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4680"/>
      </w:tblGrid>
      <w:tr w:rsidR="00407862" w:rsidRPr="00335D93" w14:paraId="785AF217" w14:textId="77777777" w:rsidTr="006B31D3">
        <w:tc>
          <w:tcPr>
            <w:tcW w:w="4680" w:type="dxa"/>
          </w:tcPr>
          <w:p w14:paraId="3C6E8E6E" w14:textId="397766D6" w:rsidR="00407862" w:rsidRPr="00335D93" w:rsidRDefault="00407862" w:rsidP="00880A25">
            <w:pPr>
              <w:rPr>
                <w:rFonts w:ascii="Times New Roman" w:hAnsi="Times New Roman" w:cs="Times New Roman"/>
              </w:rPr>
            </w:pPr>
            <w:bookmarkStart w:id="0" w:name="_GoBack" w:colFirst="1" w:colLast="1"/>
          </w:p>
        </w:tc>
      </w:tr>
      <w:tr w:rsidR="00407862" w:rsidRPr="003F07B1" w14:paraId="135BC8CD" w14:textId="77777777" w:rsidTr="006B31D3">
        <w:tc>
          <w:tcPr>
            <w:tcW w:w="4680" w:type="dxa"/>
          </w:tcPr>
          <w:p w14:paraId="54065E48" w14:textId="08CEEA39" w:rsidR="00407862" w:rsidRPr="003F07B1" w:rsidRDefault="00FB2D3E" w:rsidP="00880A25">
            <w:pPr>
              <w:pStyle w:val="TabletextR2"/>
              <w:rPr>
                <w:rFonts w:ascii="Times New Roman" w:hAnsi="Times New Roman" w:cs="Times New Roman"/>
                <w:sz w:val="24"/>
                <w:szCs w:val="28"/>
              </w:rPr>
            </w:pPr>
            <w:r w:rsidRPr="003F07B1">
              <w:rPr>
                <w:rFonts w:ascii="Times New Roman" w:hAnsi="Times New Roman" w:cs="Times New Roman"/>
                <w:sz w:val="24"/>
                <w:szCs w:val="28"/>
              </w:rPr>
              <w:t>Presented to</w:t>
            </w:r>
            <w:r w:rsidR="00407862" w:rsidRPr="003F07B1">
              <w:rPr>
                <w:rFonts w:ascii="Times New Roman" w:hAnsi="Times New Roman" w:cs="Times New Roman"/>
                <w:sz w:val="24"/>
                <w:szCs w:val="28"/>
              </w:rPr>
              <w:t>:</w:t>
            </w:r>
          </w:p>
        </w:tc>
      </w:tr>
      <w:tr w:rsidR="00407862" w:rsidRPr="003F07B1" w14:paraId="18E1CAD7" w14:textId="77777777" w:rsidTr="006B31D3">
        <w:tc>
          <w:tcPr>
            <w:tcW w:w="4680" w:type="dxa"/>
          </w:tcPr>
          <w:p w14:paraId="43330F61" w14:textId="1EAD2E85" w:rsidR="00407862" w:rsidRPr="003F07B1" w:rsidRDefault="002D499A" w:rsidP="00880A25">
            <w:pPr>
              <w:pStyle w:val="TabletextR3"/>
              <w:rPr>
                <w:rFonts w:ascii="Times New Roman" w:hAnsi="Times New Roman" w:cs="Times New Roman"/>
                <w:sz w:val="24"/>
                <w:szCs w:val="28"/>
              </w:rPr>
            </w:pPr>
            <w:r w:rsidRPr="003F07B1">
              <w:rPr>
                <w:rFonts w:ascii="Times New Roman" w:hAnsi="Times New Roman" w:cs="Times New Roman"/>
                <w:sz w:val="24"/>
                <w:szCs w:val="28"/>
              </w:rPr>
              <w:t>Massachusetts</w:t>
            </w:r>
            <w:r w:rsidR="00FB2D3E" w:rsidRPr="003F07B1">
              <w:rPr>
                <w:rFonts w:ascii="Times New Roman" w:hAnsi="Times New Roman" w:cs="Times New Roman"/>
                <w:sz w:val="24"/>
                <w:szCs w:val="28"/>
              </w:rPr>
              <w:t xml:space="preserve"> D</w:t>
            </w:r>
            <w:r w:rsidRPr="003F07B1">
              <w:rPr>
                <w:rFonts w:ascii="Times New Roman" w:hAnsi="Times New Roman" w:cs="Times New Roman"/>
                <w:sz w:val="24"/>
                <w:szCs w:val="28"/>
              </w:rPr>
              <w:t>epartment of Public Health</w:t>
            </w:r>
          </w:p>
        </w:tc>
      </w:tr>
      <w:bookmarkEnd w:id="0"/>
    </w:tbl>
    <w:p w14:paraId="6952A18D" w14:textId="77777777" w:rsidR="00407862" w:rsidRPr="003F07B1" w:rsidRDefault="00407862" w:rsidP="00407862">
      <w:pPr>
        <w:rPr>
          <w:rFonts w:ascii="Times New Roman" w:hAnsi="Times New Roman" w:cs="Times New Roman"/>
          <w:sz w:val="32"/>
          <w:szCs w:val="32"/>
        </w:rPr>
      </w:pPr>
    </w:p>
    <w:p w14:paraId="58579694" w14:textId="77777777" w:rsidR="00407862" w:rsidRPr="003F07B1" w:rsidRDefault="00407862" w:rsidP="007459BB">
      <w:pPr>
        <w:pStyle w:val="BodyText"/>
        <w:numPr>
          <w:ilvl w:val="0"/>
          <w:numId w:val="0"/>
        </w:numPr>
        <w:rPr>
          <w:rFonts w:ascii="Times New Roman" w:hAnsi="Times New Roman" w:cs="Times New Roman"/>
          <w:sz w:val="32"/>
          <w:szCs w:val="32"/>
        </w:rPr>
      </w:pPr>
    </w:p>
    <w:p w14:paraId="3338A154" w14:textId="1C681785" w:rsidR="00407862" w:rsidRPr="003F07B1" w:rsidRDefault="006F2EA0" w:rsidP="00407862">
      <w:pPr>
        <w:pStyle w:val="ReportName"/>
        <w:rPr>
          <w:rFonts w:ascii="Times New Roman" w:hAnsi="Times New Roman" w:cs="Times New Roman"/>
          <w:sz w:val="36"/>
          <w:szCs w:val="12"/>
        </w:rPr>
      </w:pPr>
      <w:r w:rsidRPr="003F07B1">
        <w:rPr>
          <w:rFonts w:ascii="Times New Roman" w:hAnsi="Times New Roman" w:cs="Times New Roman"/>
          <w:sz w:val="36"/>
          <w:szCs w:val="12"/>
        </w:rPr>
        <w:t>I</w:t>
      </w:r>
      <w:r w:rsidR="00E93226" w:rsidRPr="003F07B1">
        <w:rPr>
          <w:rFonts w:ascii="Times New Roman" w:hAnsi="Times New Roman" w:cs="Times New Roman"/>
          <w:sz w:val="36"/>
          <w:szCs w:val="12"/>
        </w:rPr>
        <w:t>ndependent Cost Analysis for:</w:t>
      </w:r>
    </w:p>
    <w:p w14:paraId="1E91ED22" w14:textId="3107E8C8" w:rsidR="00407862" w:rsidRPr="003F07B1" w:rsidRDefault="002913F1" w:rsidP="00531D15">
      <w:pPr>
        <w:pStyle w:val="ReportName"/>
        <w:spacing w:after="0" w:line="240" w:lineRule="auto"/>
        <w:rPr>
          <w:rFonts w:ascii="Times New Roman" w:hAnsi="Times New Roman" w:cs="Times New Roman"/>
          <w:color w:val="auto"/>
          <w:sz w:val="40"/>
          <w:szCs w:val="14"/>
        </w:rPr>
      </w:pPr>
      <w:r w:rsidRPr="003F07B1">
        <w:rPr>
          <w:rFonts w:ascii="Times New Roman" w:hAnsi="Times New Roman" w:cs="Times New Roman"/>
          <w:color w:val="auto"/>
          <w:sz w:val="40"/>
          <w:szCs w:val="14"/>
        </w:rPr>
        <w:t>Mass General Brigham Incorporated</w:t>
      </w:r>
    </w:p>
    <w:p w14:paraId="6FBEF555" w14:textId="797DAEF9" w:rsidR="00C95F5A" w:rsidRPr="003F07B1" w:rsidRDefault="008F62C0" w:rsidP="00531D15">
      <w:pPr>
        <w:pStyle w:val="ReportName"/>
        <w:spacing w:after="0" w:line="240" w:lineRule="auto"/>
        <w:rPr>
          <w:rFonts w:ascii="Times New Roman" w:hAnsi="Times New Roman" w:cs="Times New Roman"/>
          <w:color w:val="auto"/>
          <w:sz w:val="40"/>
          <w:szCs w:val="14"/>
        </w:rPr>
      </w:pPr>
      <w:r w:rsidRPr="003F07B1">
        <w:rPr>
          <w:rFonts w:ascii="Times New Roman" w:hAnsi="Times New Roman" w:cs="Times New Roman"/>
          <w:color w:val="auto"/>
          <w:sz w:val="40"/>
          <w:szCs w:val="14"/>
        </w:rPr>
        <w:t>D</w:t>
      </w:r>
      <w:r w:rsidR="00B8631B" w:rsidRPr="003F07B1">
        <w:rPr>
          <w:rFonts w:ascii="Times New Roman" w:hAnsi="Times New Roman" w:cs="Times New Roman"/>
          <w:color w:val="auto"/>
          <w:sz w:val="40"/>
          <w:szCs w:val="14"/>
        </w:rPr>
        <w:t>o</w:t>
      </w:r>
      <w:r w:rsidRPr="003F07B1">
        <w:rPr>
          <w:rFonts w:ascii="Times New Roman" w:hAnsi="Times New Roman" w:cs="Times New Roman"/>
          <w:color w:val="auto"/>
          <w:sz w:val="40"/>
          <w:szCs w:val="14"/>
        </w:rPr>
        <w:t>N Application #MGB-20121612-HE</w:t>
      </w:r>
    </w:p>
    <w:p w14:paraId="444B258C" w14:textId="4CCFD8C9" w:rsidR="0094347D" w:rsidRPr="003F07B1" w:rsidRDefault="0094347D" w:rsidP="00531D15">
      <w:pPr>
        <w:pStyle w:val="ReportName"/>
        <w:spacing w:after="0" w:line="240" w:lineRule="auto"/>
        <w:rPr>
          <w:rFonts w:ascii="Times New Roman" w:hAnsi="Times New Roman" w:cs="Times New Roman"/>
          <w:color w:val="auto"/>
          <w:sz w:val="40"/>
          <w:szCs w:val="14"/>
        </w:rPr>
      </w:pPr>
    </w:p>
    <w:tbl>
      <w:tblPr>
        <w:tblW w:w="0" w:type="auto"/>
        <w:tblLook w:val="0000" w:firstRow="0" w:lastRow="0" w:firstColumn="0" w:lastColumn="0" w:noHBand="0" w:noVBand="0"/>
      </w:tblPr>
      <w:tblGrid>
        <w:gridCol w:w="4219"/>
      </w:tblGrid>
      <w:tr w:rsidR="00407862" w:rsidRPr="003F07B1" w14:paraId="08A22144" w14:textId="77777777" w:rsidTr="00880A25">
        <w:tc>
          <w:tcPr>
            <w:tcW w:w="4219" w:type="dxa"/>
          </w:tcPr>
          <w:p w14:paraId="4378B41A" w14:textId="4FC91A20" w:rsidR="00407862" w:rsidRPr="003F07B1" w:rsidRDefault="00407862" w:rsidP="00880A25">
            <w:pPr>
              <w:pStyle w:val="TabletextR2"/>
              <w:rPr>
                <w:rFonts w:ascii="Times New Roman" w:hAnsi="Times New Roman" w:cs="Times New Roman"/>
                <w:sz w:val="22"/>
                <w:szCs w:val="24"/>
              </w:rPr>
            </w:pPr>
            <w:r w:rsidRPr="003F07B1">
              <w:rPr>
                <w:rFonts w:ascii="Times New Roman" w:hAnsi="Times New Roman" w:cs="Times New Roman"/>
                <w:sz w:val="24"/>
                <w:szCs w:val="28"/>
              </w:rPr>
              <w:t>Prepared by:</w:t>
            </w:r>
          </w:p>
        </w:tc>
      </w:tr>
      <w:tr w:rsidR="00407862" w:rsidRPr="003F07B1" w14:paraId="7038FB24" w14:textId="77777777" w:rsidTr="00880A25">
        <w:trPr>
          <w:trHeight w:val="377"/>
        </w:trPr>
        <w:tc>
          <w:tcPr>
            <w:tcW w:w="4219" w:type="dxa"/>
          </w:tcPr>
          <w:p w14:paraId="5D0D5692" w14:textId="4A6AF421" w:rsidR="00FB2D3E" w:rsidRPr="003F07B1" w:rsidRDefault="00FB2D3E" w:rsidP="0006405D">
            <w:pPr>
              <w:pStyle w:val="TabletextR3"/>
              <w:spacing w:before="0"/>
              <w:rPr>
                <w:rFonts w:ascii="Times New Roman" w:hAnsi="Times New Roman" w:cs="Times New Roman"/>
                <w:sz w:val="24"/>
                <w:szCs w:val="28"/>
                <w:vertAlign w:val="superscript"/>
              </w:rPr>
            </w:pPr>
            <w:r w:rsidRPr="003F07B1">
              <w:rPr>
                <w:rFonts w:ascii="Times New Roman" w:hAnsi="Times New Roman" w:cs="Times New Roman"/>
                <w:sz w:val="24"/>
                <w:szCs w:val="28"/>
              </w:rPr>
              <w:t>Sean M. May, Ph.D.</w:t>
            </w:r>
            <w:r w:rsidR="006B31D3" w:rsidRPr="003F07B1">
              <w:rPr>
                <w:rFonts w:ascii="Times New Roman" w:hAnsi="Times New Roman" w:cs="Times New Roman"/>
                <w:sz w:val="24"/>
                <w:szCs w:val="28"/>
                <w:vertAlign w:val="superscript"/>
              </w:rPr>
              <w:t>*</w:t>
            </w:r>
          </w:p>
          <w:p w14:paraId="4EE2DCAF" w14:textId="59DF1B02" w:rsidR="00407862" w:rsidRPr="003F07B1" w:rsidRDefault="00407862" w:rsidP="0006405D">
            <w:pPr>
              <w:pStyle w:val="TabletextR3"/>
              <w:spacing w:before="0"/>
              <w:rPr>
                <w:rFonts w:ascii="Times New Roman" w:hAnsi="Times New Roman" w:cs="Times New Roman"/>
                <w:sz w:val="24"/>
                <w:szCs w:val="28"/>
              </w:rPr>
            </w:pPr>
            <w:r w:rsidRPr="003F07B1">
              <w:rPr>
                <w:rFonts w:ascii="Times New Roman" w:hAnsi="Times New Roman" w:cs="Times New Roman"/>
                <w:sz w:val="24"/>
                <w:szCs w:val="28"/>
              </w:rPr>
              <w:t xml:space="preserve">Charles River Associates </w:t>
            </w:r>
          </w:p>
        </w:tc>
      </w:tr>
      <w:tr w:rsidR="00407862" w:rsidRPr="003F07B1" w14:paraId="1B8EC569" w14:textId="77777777" w:rsidTr="00880A25">
        <w:tc>
          <w:tcPr>
            <w:tcW w:w="4219" w:type="dxa"/>
          </w:tcPr>
          <w:p w14:paraId="55077E8D" w14:textId="4513BED3" w:rsidR="00407862" w:rsidRPr="003F07B1" w:rsidRDefault="00407862" w:rsidP="0006405D">
            <w:pPr>
              <w:pStyle w:val="TabletextR3"/>
              <w:spacing w:before="0"/>
              <w:rPr>
                <w:rFonts w:ascii="Times New Roman" w:hAnsi="Times New Roman" w:cs="Times New Roman"/>
                <w:sz w:val="24"/>
                <w:szCs w:val="28"/>
              </w:rPr>
            </w:pPr>
            <w:r w:rsidRPr="003F07B1">
              <w:rPr>
                <w:rFonts w:ascii="Times New Roman" w:hAnsi="Times New Roman" w:cs="Times New Roman"/>
                <w:sz w:val="24"/>
                <w:szCs w:val="28"/>
              </w:rPr>
              <w:t>200 Clarendon Street</w:t>
            </w:r>
          </w:p>
        </w:tc>
      </w:tr>
      <w:tr w:rsidR="00407862" w:rsidRPr="003F07B1" w14:paraId="3456F019" w14:textId="77777777" w:rsidTr="00880A25">
        <w:tc>
          <w:tcPr>
            <w:tcW w:w="4219" w:type="dxa"/>
          </w:tcPr>
          <w:p w14:paraId="4F380CFC" w14:textId="77777777" w:rsidR="00407862" w:rsidRPr="003F07B1" w:rsidRDefault="00407862" w:rsidP="0006405D">
            <w:pPr>
              <w:pStyle w:val="TabletextR3"/>
              <w:spacing w:before="0"/>
              <w:rPr>
                <w:rFonts w:ascii="Times New Roman" w:hAnsi="Times New Roman" w:cs="Times New Roman"/>
                <w:sz w:val="24"/>
                <w:szCs w:val="28"/>
              </w:rPr>
            </w:pPr>
            <w:r w:rsidRPr="003F07B1">
              <w:rPr>
                <w:rFonts w:ascii="Times New Roman" w:hAnsi="Times New Roman" w:cs="Times New Roman"/>
                <w:sz w:val="24"/>
                <w:szCs w:val="28"/>
              </w:rPr>
              <w:t>Boston, Massachusetts 02116</w:t>
            </w:r>
          </w:p>
        </w:tc>
      </w:tr>
      <w:tr w:rsidR="00407862" w:rsidRPr="003F07B1" w14:paraId="39FE282A" w14:textId="77777777" w:rsidTr="00880A25">
        <w:trPr>
          <w:trHeight w:val="405"/>
        </w:trPr>
        <w:tc>
          <w:tcPr>
            <w:tcW w:w="4219" w:type="dxa"/>
          </w:tcPr>
          <w:p w14:paraId="0645ACAD" w14:textId="77777777" w:rsidR="00407862" w:rsidRPr="003F07B1" w:rsidRDefault="00407862" w:rsidP="00880A25">
            <w:pPr>
              <w:pStyle w:val="TabletextR3"/>
              <w:rPr>
                <w:rFonts w:ascii="Times New Roman" w:hAnsi="Times New Roman" w:cs="Times New Roman"/>
                <w:sz w:val="24"/>
                <w:szCs w:val="28"/>
              </w:rPr>
            </w:pPr>
          </w:p>
        </w:tc>
      </w:tr>
      <w:tr w:rsidR="00407862" w:rsidRPr="003F07B1" w14:paraId="49A46BC4" w14:textId="77777777" w:rsidTr="00880A25">
        <w:tc>
          <w:tcPr>
            <w:tcW w:w="4219" w:type="dxa"/>
          </w:tcPr>
          <w:p w14:paraId="66579964" w14:textId="5A7237A2" w:rsidR="00407862" w:rsidRPr="003F07B1" w:rsidRDefault="00407862" w:rsidP="00880A25">
            <w:pPr>
              <w:pStyle w:val="TabletextR3"/>
              <w:rPr>
                <w:rFonts w:ascii="Times New Roman" w:hAnsi="Times New Roman" w:cs="Times New Roman"/>
                <w:sz w:val="24"/>
                <w:szCs w:val="28"/>
              </w:rPr>
            </w:pPr>
            <w:r w:rsidRPr="003F07B1">
              <w:rPr>
                <w:rFonts w:ascii="Times New Roman" w:hAnsi="Times New Roman" w:cs="Times New Roman"/>
                <w:sz w:val="24"/>
                <w:szCs w:val="28"/>
              </w:rPr>
              <w:t>Date:</w:t>
            </w:r>
            <w:r w:rsidR="00FB2D3E" w:rsidRPr="003F07B1">
              <w:rPr>
                <w:rFonts w:ascii="Times New Roman" w:hAnsi="Times New Roman" w:cs="Times New Roman"/>
                <w:sz w:val="24"/>
                <w:szCs w:val="28"/>
              </w:rPr>
              <w:t xml:space="preserve"> </w:t>
            </w:r>
            <w:r w:rsidR="00B678E8" w:rsidRPr="003F07B1">
              <w:rPr>
                <w:rFonts w:ascii="Times New Roman" w:hAnsi="Times New Roman" w:cs="Times New Roman"/>
                <w:sz w:val="24"/>
                <w:szCs w:val="28"/>
              </w:rPr>
              <w:t>December 10</w:t>
            </w:r>
            <w:r w:rsidR="002D499A" w:rsidRPr="003F07B1">
              <w:rPr>
                <w:rFonts w:ascii="Times New Roman" w:hAnsi="Times New Roman" w:cs="Times New Roman"/>
                <w:sz w:val="24"/>
                <w:szCs w:val="28"/>
              </w:rPr>
              <w:t>, 2021</w:t>
            </w:r>
          </w:p>
        </w:tc>
      </w:tr>
    </w:tbl>
    <w:p w14:paraId="04E3DBB1" w14:textId="0F8BAC65" w:rsidR="69898F79" w:rsidRPr="003F07B1" w:rsidRDefault="69898F79">
      <w:pPr>
        <w:rPr>
          <w:rFonts w:ascii="Times New Roman" w:hAnsi="Times New Roman" w:cs="Times New Roman"/>
        </w:rPr>
      </w:pPr>
    </w:p>
    <w:p w14:paraId="2EF3AA0B" w14:textId="13FCCCB3" w:rsidR="00C122A9" w:rsidRPr="003F07B1" w:rsidRDefault="006B31D3" w:rsidP="006B31D3">
      <w:pPr>
        <w:spacing w:line="240" w:lineRule="auto"/>
        <w:ind w:left="90"/>
        <w:rPr>
          <w:rFonts w:ascii="Times New Roman" w:hAnsi="Times New Roman" w:cs="Times New Roman"/>
          <w:sz w:val="20"/>
          <w:szCs w:val="20"/>
        </w:rPr>
        <w:sectPr w:rsidR="00C122A9" w:rsidRPr="003F07B1" w:rsidSect="004E484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pPr>
      <w:r w:rsidRPr="003F07B1">
        <w:rPr>
          <w:rFonts w:ascii="Times New Roman" w:hAnsi="Times New Roman" w:cs="Times New Roman"/>
          <w:sz w:val="20"/>
          <w:szCs w:val="20"/>
        </w:rPr>
        <w:t>* The views expressed herein are the views and opinions of the author and do not reflect or represent the views of Charles River Associates or any organizations with which the author is affiliated.</w:t>
      </w:r>
    </w:p>
    <w:p w14:paraId="4B2F0048" w14:textId="53D408A4" w:rsidR="00C122A9" w:rsidRPr="003F07B1" w:rsidRDefault="00C370E6" w:rsidP="00C370E6">
      <w:pPr>
        <w:jc w:val="center"/>
        <w:rPr>
          <w:rFonts w:ascii="Times New Roman" w:hAnsi="Times New Roman" w:cs="Times New Roman"/>
          <w:b/>
          <w:bCs/>
          <w:u w:val="single"/>
        </w:rPr>
      </w:pPr>
      <w:r w:rsidRPr="003F07B1">
        <w:rPr>
          <w:rFonts w:ascii="Times New Roman" w:hAnsi="Times New Roman" w:cs="Times New Roman"/>
          <w:b/>
          <w:bCs/>
          <w:u w:val="single"/>
        </w:rPr>
        <w:lastRenderedPageBreak/>
        <w:t>Table of Contents</w:t>
      </w:r>
    </w:p>
    <w:sdt>
      <w:sdtPr>
        <w:rPr>
          <w:rFonts w:ascii="Times New Roman" w:eastAsiaTheme="minorEastAsia" w:hAnsi="Times New Roman" w:cs="Times New Roman"/>
          <w:caps w:val="0"/>
          <w:color w:val="auto"/>
          <w:sz w:val="24"/>
          <w:szCs w:val="24"/>
        </w:rPr>
        <w:id w:val="1812604880"/>
        <w:docPartObj>
          <w:docPartGallery w:val="Table of Contents"/>
          <w:docPartUnique/>
        </w:docPartObj>
      </w:sdtPr>
      <w:sdtEndPr>
        <w:rPr>
          <w:b/>
          <w:bCs/>
          <w:noProof/>
        </w:rPr>
      </w:sdtEndPr>
      <w:sdtContent>
        <w:p w14:paraId="4B4EA34F" w14:textId="143D8406" w:rsidR="00C122A9" w:rsidRPr="00C41021" w:rsidRDefault="00C122A9" w:rsidP="0069757E">
          <w:pPr>
            <w:pStyle w:val="TOCHeading"/>
            <w:numPr>
              <w:ilvl w:val="0"/>
              <w:numId w:val="0"/>
            </w:numPr>
            <w:spacing w:line="276" w:lineRule="auto"/>
            <w:rPr>
              <w:rFonts w:ascii="Times New Roman" w:hAnsi="Times New Roman" w:cs="Times New Roman"/>
              <w:sz w:val="24"/>
              <w:szCs w:val="24"/>
            </w:rPr>
          </w:pPr>
        </w:p>
        <w:p w14:paraId="0CBF1E9E" w14:textId="5B676C7C" w:rsidR="00C41021" w:rsidRPr="00C41021" w:rsidRDefault="00C122A9" w:rsidP="0069757E">
          <w:pPr>
            <w:pStyle w:val="TOC1"/>
            <w:spacing w:line="276" w:lineRule="auto"/>
            <w:rPr>
              <w:rFonts w:ascii="Times New Roman" w:hAnsi="Times New Roman"/>
              <w:noProof/>
              <w:szCs w:val="22"/>
            </w:rPr>
          </w:pPr>
          <w:r w:rsidRPr="00C41021">
            <w:rPr>
              <w:rFonts w:ascii="Times New Roman" w:hAnsi="Times New Roman" w:cs="Times New Roman"/>
            </w:rPr>
            <w:fldChar w:fldCharType="begin"/>
          </w:r>
          <w:r w:rsidRPr="00C41021">
            <w:rPr>
              <w:rFonts w:ascii="Times New Roman" w:hAnsi="Times New Roman" w:cs="Times New Roman"/>
            </w:rPr>
            <w:instrText xml:space="preserve"> TOC \o "1-3" \h \z \u </w:instrText>
          </w:r>
          <w:r w:rsidRPr="00C41021">
            <w:rPr>
              <w:rFonts w:ascii="Times New Roman" w:hAnsi="Times New Roman" w:cs="Times New Roman"/>
            </w:rPr>
            <w:fldChar w:fldCharType="separate"/>
          </w:r>
          <w:hyperlink w:anchor="_Toc90046484" w:history="1">
            <w:r w:rsidR="00C41021" w:rsidRPr="00C41021">
              <w:rPr>
                <w:rStyle w:val="Hyperlink"/>
                <w:rFonts w:ascii="Times New Roman" w:hAnsi="Times New Roman"/>
                <w:noProof/>
              </w:rPr>
              <w:t>I.</w:t>
            </w:r>
            <w:r w:rsidR="00C41021" w:rsidRPr="00C41021">
              <w:rPr>
                <w:rFonts w:ascii="Times New Roman" w:hAnsi="Times New Roman"/>
                <w:noProof/>
                <w:szCs w:val="22"/>
              </w:rPr>
              <w:tab/>
            </w:r>
            <w:r w:rsidR="00C41021" w:rsidRPr="00C41021">
              <w:rPr>
                <w:rStyle w:val="Hyperlink"/>
                <w:rFonts w:ascii="Times New Roman" w:hAnsi="Times New Roman"/>
                <w:noProof/>
              </w:rPr>
              <w:t>Executive Summary</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_Toc90046484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1</w:t>
            </w:r>
            <w:r w:rsidR="00C41021" w:rsidRPr="00C41021">
              <w:rPr>
                <w:rFonts w:ascii="Times New Roman" w:hAnsi="Times New Roman"/>
                <w:noProof/>
                <w:webHidden/>
              </w:rPr>
              <w:fldChar w:fldCharType="end"/>
            </w:r>
          </w:hyperlink>
        </w:p>
        <w:p w14:paraId="1B065138" w14:textId="544814BB" w:rsidR="00C41021" w:rsidRPr="00C41021" w:rsidRDefault="005D4A49" w:rsidP="0069757E">
          <w:pPr>
            <w:pStyle w:val="TOC1"/>
            <w:spacing w:line="276" w:lineRule="auto"/>
            <w:rPr>
              <w:rFonts w:ascii="Times New Roman" w:hAnsi="Times New Roman"/>
              <w:noProof/>
              <w:szCs w:val="22"/>
            </w:rPr>
          </w:pPr>
          <w:hyperlink w:anchor="_Toc90046485" w:history="1">
            <w:r w:rsidR="00C41021" w:rsidRPr="00C41021">
              <w:rPr>
                <w:rStyle w:val="Hyperlink"/>
                <w:rFonts w:ascii="Times New Roman" w:hAnsi="Times New Roman"/>
                <w:noProof/>
              </w:rPr>
              <w:t>II.</w:t>
            </w:r>
            <w:r w:rsidR="00C41021" w:rsidRPr="00C41021">
              <w:rPr>
                <w:rFonts w:ascii="Times New Roman" w:hAnsi="Times New Roman"/>
                <w:noProof/>
                <w:szCs w:val="22"/>
              </w:rPr>
              <w:tab/>
            </w:r>
            <w:r w:rsidR="00C41021" w:rsidRPr="00C41021">
              <w:rPr>
                <w:rStyle w:val="Hyperlink"/>
                <w:rFonts w:ascii="Times New Roman" w:hAnsi="Times New Roman"/>
                <w:noProof/>
              </w:rPr>
              <w:t>Introduction and Background</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_Toc90046485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2</w:t>
            </w:r>
            <w:r w:rsidR="00C41021" w:rsidRPr="00C41021">
              <w:rPr>
                <w:rFonts w:ascii="Times New Roman" w:hAnsi="Times New Roman"/>
                <w:noProof/>
                <w:webHidden/>
              </w:rPr>
              <w:fldChar w:fldCharType="end"/>
            </w:r>
          </w:hyperlink>
        </w:p>
        <w:p w14:paraId="5C667F33" w14:textId="5B05E2C1" w:rsidR="00C41021" w:rsidRPr="00C41021" w:rsidRDefault="005D4A49" w:rsidP="0069757E">
          <w:pPr>
            <w:pStyle w:val="TOC2"/>
            <w:spacing w:line="276" w:lineRule="auto"/>
            <w:rPr>
              <w:rFonts w:ascii="Times New Roman" w:hAnsi="Times New Roman" w:cstheme="minorBidi"/>
              <w:szCs w:val="22"/>
            </w:rPr>
          </w:pPr>
          <w:hyperlink w:anchor="_Toc90046486" w:history="1">
            <w:r w:rsidR="00C41021" w:rsidRPr="00C41021">
              <w:rPr>
                <w:rStyle w:val="Hyperlink"/>
                <w:rFonts w:ascii="Times New Roman" w:hAnsi="Times New Roman"/>
              </w:rPr>
              <w:t>A.</w:t>
            </w:r>
            <w:r w:rsidR="00C41021" w:rsidRPr="00C41021">
              <w:rPr>
                <w:rFonts w:ascii="Times New Roman" w:hAnsi="Times New Roman" w:cstheme="minorBidi"/>
                <w:szCs w:val="22"/>
              </w:rPr>
              <w:tab/>
            </w:r>
            <w:r w:rsidR="00C41021" w:rsidRPr="00C41021">
              <w:rPr>
                <w:rStyle w:val="Hyperlink"/>
                <w:rFonts w:ascii="Times New Roman" w:hAnsi="Times New Roman"/>
              </w:rPr>
              <w:t>Introduction</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_Toc90046486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2</w:t>
            </w:r>
            <w:r w:rsidR="00C41021" w:rsidRPr="00C41021">
              <w:rPr>
                <w:rFonts w:ascii="Times New Roman" w:hAnsi="Times New Roman"/>
                <w:webHidden/>
              </w:rPr>
              <w:fldChar w:fldCharType="end"/>
            </w:r>
          </w:hyperlink>
        </w:p>
        <w:p w14:paraId="632AA7A9" w14:textId="1B05DA74" w:rsidR="00C41021" w:rsidRPr="00C41021" w:rsidRDefault="005D4A49" w:rsidP="0069757E">
          <w:pPr>
            <w:pStyle w:val="TOC2"/>
            <w:spacing w:line="276" w:lineRule="auto"/>
            <w:rPr>
              <w:rFonts w:ascii="Times New Roman" w:hAnsi="Times New Roman" w:cstheme="minorBidi"/>
              <w:szCs w:val="22"/>
            </w:rPr>
          </w:pPr>
          <w:hyperlink w:anchor="_Toc90046487" w:history="1">
            <w:r w:rsidR="00C41021" w:rsidRPr="00C41021">
              <w:rPr>
                <w:rStyle w:val="Hyperlink"/>
                <w:rFonts w:ascii="Times New Roman" w:hAnsi="Times New Roman"/>
              </w:rPr>
              <w:t>B.</w:t>
            </w:r>
            <w:r w:rsidR="00C41021" w:rsidRPr="00C41021">
              <w:rPr>
                <w:rFonts w:ascii="Times New Roman" w:hAnsi="Times New Roman" w:cstheme="minorBidi"/>
                <w:szCs w:val="22"/>
              </w:rPr>
              <w:tab/>
            </w:r>
            <w:r w:rsidR="00C41021" w:rsidRPr="00C41021">
              <w:rPr>
                <w:rStyle w:val="Hyperlink"/>
                <w:rFonts w:ascii="Times New Roman" w:hAnsi="Times New Roman"/>
              </w:rPr>
              <w:t>Elements of the ICA</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_Toc90046487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3</w:t>
            </w:r>
            <w:r w:rsidR="00C41021" w:rsidRPr="00C41021">
              <w:rPr>
                <w:rFonts w:ascii="Times New Roman" w:hAnsi="Times New Roman"/>
                <w:webHidden/>
              </w:rPr>
              <w:fldChar w:fldCharType="end"/>
            </w:r>
          </w:hyperlink>
        </w:p>
        <w:p w14:paraId="766ED9F4" w14:textId="1B868C67" w:rsidR="00C41021" w:rsidRPr="00C41021" w:rsidRDefault="005D4A49" w:rsidP="0069757E">
          <w:pPr>
            <w:pStyle w:val="TOC2"/>
            <w:spacing w:line="276" w:lineRule="auto"/>
            <w:rPr>
              <w:rFonts w:ascii="Times New Roman" w:hAnsi="Times New Roman" w:cstheme="minorBidi"/>
              <w:szCs w:val="22"/>
            </w:rPr>
          </w:pPr>
          <w:hyperlink w:anchor="_Toc90046488" w:history="1">
            <w:r w:rsidR="00C41021" w:rsidRPr="00C41021">
              <w:rPr>
                <w:rStyle w:val="Hyperlink"/>
                <w:rFonts w:ascii="Times New Roman" w:hAnsi="Times New Roman"/>
              </w:rPr>
              <w:t>C.</w:t>
            </w:r>
            <w:r w:rsidR="00C41021" w:rsidRPr="00C41021">
              <w:rPr>
                <w:rFonts w:ascii="Times New Roman" w:hAnsi="Times New Roman" w:cstheme="minorBidi"/>
                <w:szCs w:val="22"/>
              </w:rPr>
              <w:tab/>
            </w:r>
            <w:r w:rsidR="00C41021" w:rsidRPr="00C41021">
              <w:rPr>
                <w:rStyle w:val="Hyperlink"/>
                <w:rFonts w:ascii="Times New Roman" w:hAnsi="Times New Roman"/>
              </w:rPr>
              <w:t>Massachusetts General Hospital Project</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_Toc90046488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5</w:t>
            </w:r>
            <w:r w:rsidR="00C41021" w:rsidRPr="00C41021">
              <w:rPr>
                <w:rFonts w:ascii="Times New Roman" w:hAnsi="Times New Roman"/>
                <w:webHidden/>
              </w:rPr>
              <w:fldChar w:fldCharType="end"/>
            </w:r>
          </w:hyperlink>
        </w:p>
        <w:p w14:paraId="15AC647F" w14:textId="07006E0A" w:rsidR="00C41021" w:rsidRPr="00C41021" w:rsidRDefault="005D4A49" w:rsidP="0069757E">
          <w:pPr>
            <w:pStyle w:val="TOC1"/>
            <w:spacing w:line="276" w:lineRule="auto"/>
            <w:rPr>
              <w:rFonts w:ascii="Times New Roman" w:hAnsi="Times New Roman"/>
              <w:noProof/>
              <w:szCs w:val="22"/>
            </w:rPr>
          </w:pPr>
          <w:hyperlink w:anchor="_Toc90046489" w:history="1">
            <w:r w:rsidR="00C41021" w:rsidRPr="00C41021">
              <w:rPr>
                <w:rStyle w:val="Hyperlink"/>
                <w:rFonts w:ascii="Times New Roman" w:hAnsi="Times New Roman"/>
                <w:noProof/>
              </w:rPr>
              <w:t>III.</w:t>
            </w:r>
            <w:r w:rsidR="00C41021" w:rsidRPr="00C41021">
              <w:rPr>
                <w:rFonts w:ascii="Times New Roman" w:hAnsi="Times New Roman"/>
                <w:noProof/>
                <w:szCs w:val="22"/>
              </w:rPr>
              <w:tab/>
            </w:r>
            <w:r w:rsidR="00C41021" w:rsidRPr="00C41021">
              <w:rPr>
                <w:rStyle w:val="Hyperlink"/>
                <w:rFonts w:ascii="Times New Roman" w:hAnsi="Times New Roman"/>
                <w:noProof/>
              </w:rPr>
              <w:t>Data Sources, Service Line Definitions, and Prices for Health Care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_Toc90046489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7</w:t>
            </w:r>
            <w:r w:rsidR="00C41021" w:rsidRPr="00C41021">
              <w:rPr>
                <w:rFonts w:ascii="Times New Roman" w:hAnsi="Times New Roman"/>
                <w:noProof/>
                <w:webHidden/>
              </w:rPr>
              <w:fldChar w:fldCharType="end"/>
            </w:r>
          </w:hyperlink>
        </w:p>
        <w:p w14:paraId="1198238C" w14:textId="6EFB95F6" w:rsidR="00C41021" w:rsidRPr="00C41021" w:rsidRDefault="005D4A49" w:rsidP="0069757E">
          <w:pPr>
            <w:pStyle w:val="TOC2"/>
            <w:spacing w:line="276" w:lineRule="auto"/>
            <w:rPr>
              <w:rFonts w:ascii="Times New Roman" w:hAnsi="Times New Roman" w:cstheme="minorBidi"/>
              <w:szCs w:val="22"/>
            </w:rPr>
          </w:pPr>
          <w:hyperlink w:anchor="_Toc90046490" w:history="1">
            <w:r w:rsidR="00C41021" w:rsidRPr="00C41021">
              <w:rPr>
                <w:rStyle w:val="Hyperlink"/>
                <w:rFonts w:ascii="Times New Roman" w:hAnsi="Times New Roman"/>
              </w:rPr>
              <w:t>A.</w:t>
            </w:r>
            <w:r w:rsidR="00C41021" w:rsidRPr="00C41021">
              <w:rPr>
                <w:rFonts w:ascii="Times New Roman" w:hAnsi="Times New Roman" w:cstheme="minorBidi"/>
                <w:szCs w:val="22"/>
              </w:rPr>
              <w:tab/>
            </w:r>
            <w:r w:rsidR="00C41021" w:rsidRPr="00C41021">
              <w:rPr>
                <w:rStyle w:val="Hyperlink"/>
                <w:rFonts w:ascii="Times New Roman" w:hAnsi="Times New Roman"/>
              </w:rPr>
              <w:t>Data Sources Used for Analyses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_Toc90046490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7</w:t>
            </w:r>
            <w:r w:rsidR="00C41021" w:rsidRPr="00C41021">
              <w:rPr>
                <w:rFonts w:ascii="Times New Roman" w:hAnsi="Times New Roman"/>
                <w:webHidden/>
              </w:rPr>
              <w:fldChar w:fldCharType="end"/>
            </w:r>
          </w:hyperlink>
        </w:p>
        <w:p w14:paraId="1498694F" w14:textId="6A97A6D3" w:rsidR="00C41021" w:rsidRPr="00C41021" w:rsidRDefault="005D4A49" w:rsidP="0069757E">
          <w:pPr>
            <w:pStyle w:val="TOC3"/>
            <w:spacing w:line="276" w:lineRule="auto"/>
            <w:rPr>
              <w:rFonts w:ascii="Times New Roman" w:hAnsi="Times New Roman"/>
              <w:noProof/>
              <w:szCs w:val="22"/>
            </w:rPr>
          </w:pPr>
          <w:hyperlink w:anchor="_Toc90046491"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CHIA Hospital Inpatient Discharge Database</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_Toc90046491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7</w:t>
            </w:r>
            <w:r w:rsidR="00C41021" w:rsidRPr="00C41021">
              <w:rPr>
                <w:rFonts w:ascii="Times New Roman" w:hAnsi="Times New Roman"/>
                <w:noProof/>
                <w:webHidden/>
              </w:rPr>
              <w:fldChar w:fldCharType="end"/>
            </w:r>
          </w:hyperlink>
        </w:p>
        <w:p w14:paraId="360CBF10" w14:textId="17152629" w:rsidR="00C41021" w:rsidRPr="00C41021" w:rsidRDefault="005D4A49" w:rsidP="0069757E">
          <w:pPr>
            <w:pStyle w:val="TOC3"/>
            <w:spacing w:line="276" w:lineRule="auto"/>
            <w:rPr>
              <w:rFonts w:ascii="Times New Roman" w:hAnsi="Times New Roman"/>
              <w:noProof/>
              <w:szCs w:val="22"/>
            </w:rPr>
          </w:pPr>
          <w:hyperlink w:anchor="_Toc90046492"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CHIA All-Payer Claims Database</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_Toc90046492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10</w:t>
            </w:r>
            <w:r w:rsidR="00C41021" w:rsidRPr="00C41021">
              <w:rPr>
                <w:rFonts w:ascii="Times New Roman" w:hAnsi="Times New Roman"/>
                <w:noProof/>
                <w:webHidden/>
              </w:rPr>
              <w:fldChar w:fldCharType="end"/>
            </w:r>
          </w:hyperlink>
        </w:p>
        <w:p w14:paraId="220A879B" w14:textId="5586A6D8" w:rsidR="00C41021" w:rsidRPr="00C41021" w:rsidRDefault="005D4A49" w:rsidP="0069757E">
          <w:pPr>
            <w:pStyle w:val="TOC3"/>
            <w:spacing w:line="276" w:lineRule="auto"/>
            <w:rPr>
              <w:rFonts w:ascii="Times New Roman" w:hAnsi="Times New Roman"/>
              <w:noProof/>
              <w:szCs w:val="22"/>
            </w:rPr>
          </w:pPr>
          <w:hyperlink w:anchor="_Toc90046493" w:history="1">
            <w:r w:rsidR="00C41021" w:rsidRPr="00C41021">
              <w:rPr>
                <w:rStyle w:val="Hyperlink"/>
                <w:rFonts w:ascii="Times New Roman" w:hAnsi="Times New Roman"/>
                <w:noProof/>
              </w:rPr>
              <w:t>3.</w:t>
            </w:r>
            <w:r w:rsidR="00C41021" w:rsidRPr="00C41021">
              <w:rPr>
                <w:rFonts w:ascii="Times New Roman" w:hAnsi="Times New Roman"/>
                <w:noProof/>
                <w:szCs w:val="22"/>
              </w:rPr>
              <w:tab/>
            </w:r>
            <w:r w:rsidR="00C41021" w:rsidRPr="00C41021">
              <w:rPr>
                <w:rStyle w:val="Hyperlink"/>
                <w:rFonts w:ascii="Times New Roman" w:hAnsi="Times New Roman"/>
                <w:noProof/>
              </w:rPr>
              <w:t>Medicare Claims Data</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_Toc90046493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14</w:t>
            </w:r>
            <w:r w:rsidR="00C41021" w:rsidRPr="00C41021">
              <w:rPr>
                <w:rFonts w:ascii="Times New Roman" w:hAnsi="Times New Roman"/>
                <w:noProof/>
                <w:webHidden/>
              </w:rPr>
              <w:fldChar w:fldCharType="end"/>
            </w:r>
          </w:hyperlink>
        </w:p>
        <w:p w14:paraId="09010108" w14:textId="1BA064EA" w:rsidR="00C41021" w:rsidRPr="00C41021" w:rsidRDefault="005D4A49" w:rsidP="0069757E">
          <w:pPr>
            <w:pStyle w:val="TOC3"/>
            <w:spacing w:line="276" w:lineRule="auto"/>
            <w:rPr>
              <w:rFonts w:ascii="Times New Roman" w:hAnsi="Times New Roman"/>
              <w:noProof/>
              <w:szCs w:val="22"/>
            </w:rPr>
          </w:pPr>
          <w:hyperlink w:anchor="_Toc90046494" w:history="1">
            <w:r w:rsidR="00C41021" w:rsidRPr="00C41021">
              <w:rPr>
                <w:rStyle w:val="Hyperlink"/>
                <w:rFonts w:ascii="Times New Roman" w:hAnsi="Times New Roman"/>
                <w:noProof/>
              </w:rPr>
              <w:t>4.</w:t>
            </w:r>
            <w:r w:rsidR="00C41021" w:rsidRPr="00C41021">
              <w:rPr>
                <w:rFonts w:ascii="Times New Roman" w:hAnsi="Times New Roman"/>
                <w:noProof/>
                <w:szCs w:val="22"/>
              </w:rPr>
              <w:tab/>
            </w:r>
            <w:r w:rsidR="00C41021" w:rsidRPr="00C41021">
              <w:rPr>
                <w:rStyle w:val="Hyperlink"/>
                <w:rFonts w:ascii="Times New Roman" w:hAnsi="Times New Roman"/>
                <w:noProof/>
              </w:rPr>
              <w:t>CHIA Inpatient Relative Price Data</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_Toc90046494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17</w:t>
            </w:r>
            <w:r w:rsidR="00C41021" w:rsidRPr="00C41021">
              <w:rPr>
                <w:rFonts w:ascii="Times New Roman" w:hAnsi="Times New Roman"/>
                <w:noProof/>
                <w:webHidden/>
              </w:rPr>
              <w:fldChar w:fldCharType="end"/>
            </w:r>
          </w:hyperlink>
        </w:p>
        <w:p w14:paraId="06913A78" w14:textId="4C1FDE84" w:rsidR="00C41021" w:rsidRPr="00C41021" w:rsidRDefault="005D4A49" w:rsidP="0069757E">
          <w:pPr>
            <w:pStyle w:val="TOC3"/>
            <w:spacing w:line="276" w:lineRule="auto"/>
            <w:rPr>
              <w:rFonts w:ascii="Times New Roman" w:hAnsi="Times New Roman"/>
              <w:noProof/>
              <w:szCs w:val="22"/>
            </w:rPr>
          </w:pPr>
          <w:hyperlink w:anchor="_Toc90046495" w:history="1">
            <w:r w:rsidR="00C41021" w:rsidRPr="00C41021">
              <w:rPr>
                <w:rStyle w:val="Hyperlink"/>
                <w:rFonts w:ascii="Times New Roman" w:hAnsi="Times New Roman"/>
                <w:noProof/>
              </w:rPr>
              <w:t>5.</w:t>
            </w:r>
            <w:r w:rsidR="00C41021" w:rsidRPr="00C41021">
              <w:rPr>
                <w:rFonts w:ascii="Times New Roman" w:hAnsi="Times New Roman"/>
                <w:noProof/>
                <w:szCs w:val="22"/>
              </w:rPr>
              <w:tab/>
            </w:r>
            <w:r w:rsidR="00C41021" w:rsidRPr="00C41021">
              <w:rPr>
                <w:rStyle w:val="Hyperlink"/>
                <w:rFonts w:ascii="Times New Roman" w:hAnsi="Times New Roman"/>
                <w:noProof/>
              </w:rPr>
              <w:t>Medicare Inpatient Prospective Payment System Tables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_Toc90046495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19</w:t>
            </w:r>
            <w:r w:rsidR="00C41021" w:rsidRPr="00C41021">
              <w:rPr>
                <w:rFonts w:ascii="Times New Roman" w:hAnsi="Times New Roman"/>
                <w:noProof/>
                <w:webHidden/>
              </w:rPr>
              <w:fldChar w:fldCharType="end"/>
            </w:r>
          </w:hyperlink>
        </w:p>
        <w:p w14:paraId="0C7CC7AB" w14:textId="3D3B7862" w:rsidR="00C41021" w:rsidRPr="00C41021" w:rsidRDefault="005D4A49" w:rsidP="0069757E">
          <w:pPr>
            <w:pStyle w:val="TOC3"/>
            <w:spacing w:line="276" w:lineRule="auto"/>
            <w:rPr>
              <w:rFonts w:ascii="Times New Roman" w:hAnsi="Times New Roman"/>
              <w:noProof/>
              <w:szCs w:val="22"/>
            </w:rPr>
          </w:pPr>
          <w:hyperlink w:anchor="_Toc90046496" w:history="1">
            <w:r w:rsidR="00C41021" w:rsidRPr="00C41021">
              <w:rPr>
                <w:rStyle w:val="Hyperlink"/>
                <w:rFonts w:ascii="Times New Roman" w:hAnsi="Times New Roman"/>
                <w:noProof/>
              </w:rPr>
              <w:t>6.</w:t>
            </w:r>
            <w:r w:rsidR="00C41021" w:rsidRPr="00C41021">
              <w:rPr>
                <w:rFonts w:ascii="Times New Roman" w:hAnsi="Times New Roman"/>
                <w:noProof/>
                <w:szCs w:val="22"/>
              </w:rPr>
              <w:tab/>
            </w:r>
            <w:r w:rsidR="00C41021" w:rsidRPr="00C41021">
              <w:rPr>
                <w:rStyle w:val="Hyperlink"/>
                <w:rFonts w:ascii="Times New Roman" w:hAnsi="Times New Roman"/>
                <w:noProof/>
              </w:rPr>
              <w:t>Medicare Outpatient Prospective Payment System Tables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_Toc90046496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20</w:t>
            </w:r>
            <w:r w:rsidR="00C41021" w:rsidRPr="00C41021">
              <w:rPr>
                <w:rFonts w:ascii="Times New Roman" w:hAnsi="Times New Roman"/>
                <w:noProof/>
                <w:webHidden/>
              </w:rPr>
              <w:fldChar w:fldCharType="end"/>
            </w:r>
          </w:hyperlink>
        </w:p>
        <w:p w14:paraId="2A0495D5" w14:textId="0BDAD374" w:rsidR="00C41021" w:rsidRPr="00C41021" w:rsidRDefault="005D4A49" w:rsidP="0069757E">
          <w:pPr>
            <w:pStyle w:val="TOC3"/>
            <w:spacing w:line="276" w:lineRule="auto"/>
            <w:rPr>
              <w:rFonts w:ascii="Times New Roman" w:hAnsi="Times New Roman"/>
              <w:noProof/>
              <w:szCs w:val="22"/>
            </w:rPr>
          </w:pPr>
          <w:hyperlink w:anchor="_Toc90046497" w:history="1">
            <w:r w:rsidR="00C41021" w:rsidRPr="00C41021">
              <w:rPr>
                <w:rStyle w:val="Hyperlink"/>
                <w:rFonts w:ascii="Times New Roman" w:hAnsi="Times New Roman"/>
                <w:noProof/>
              </w:rPr>
              <w:t>7.</w:t>
            </w:r>
            <w:r w:rsidR="00C41021" w:rsidRPr="00C41021">
              <w:rPr>
                <w:rFonts w:ascii="Times New Roman" w:hAnsi="Times New Roman"/>
                <w:noProof/>
                <w:szCs w:val="22"/>
              </w:rPr>
              <w:tab/>
            </w:r>
            <w:r w:rsidR="00C41021" w:rsidRPr="00C41021">
              <w:rPr>
                <w:rStyle w:val="Hyperlink"/>
                <w:rFonts w:ascii="Times New Roman" w:hAnsi="Times New Roman"/>
                <w:noProof/>
              </w:rPr>
              <w:t>National Plan and Provider Enumeration System</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_Toc90046497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21</w:t>
            </w:r>
            <w:r w:rsidR="00C41021" w:rsidRPr="00C41021">
              <w:rPr>
                <w:rFonts w:ascii="Times New Roman" w:hAnsi="Times New Roman"/>
                <w:noProof/>
                <w:webHidden/>
              </w:rPr>
              <w:fldChar w:fldCharType="end"/>
            </w:r>
          </w:hyperlink>
        </w:p>
        <w:p w14:paraId="0CF4D463" w14:textId="35FA88BE" w:rsidR="00C41021" w:rsidRPr="00C41021" w:rsidRDefault="005D4A49" w:rsidP="0069757E">
          <w:pPr>
            <w:pStyle w:val="TOC3"/>
            <w:spacing w:line="276" w:lineRule="auto"/>
            <w:rPr>
              <w:rFonts w:ascii="Times New Roman" w:hAnsi="Times New Roman"/>
              <w:noProof/>
              <w:szCs w:val="22"/>
            </w:rPr>
          </w:pPr>
          <w:hyperlink w:anchor="_Toc90046498" w:history="1">
            <w:r w:rsidR="00C41021" w:rsidRPr="00C41021">
              <w:rPr>
                <w:rStyle w:val="Hyperlink"/>
                <w:rFonts w:ascii="Times New Roman" w:hAnsi="Times New Roman"/>
                <w:noProof/>
              </w:rPr>
              <w:t>8.</w:t>
            </w:r>
            <w:r w:rsidR="00C41021" w:rsidRPr="00C41021">
              <w:rPr>
                <w:rFonts w:ascii="Times New Roman" w:hAnsi="Times New Roman"/>
                <w:noProof/>
                <w:szCs w:val="22"/>
              </w:rPr>
              <w:tab/>
            </w:r>
            <w:r w:rsidR="00C41021" w:rsidRPr="00C41021">
              <w:rPr>
                <w:rStyle w:val="Hyperlink"/>
                <w:rFonts w:ascii="Times New Roman" w:hAnsi="Times New Roman"/>
                <w:noProof/>
              </w:rPr>
              <w:t>UMass Donahue Institute Population Projections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_Toc90046498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22</w:t>
            </w:r>
            <w:r w:rsidR="00C41021" w:rsidRPr="00C41021">
              <w:rPr>
                <w:rFonts w:ascii="Times New Roman" w:hAnsi="Times New Roman"/>
                <w:noProof/>
                <w:webHidden/>
              </w:rPr>
              <w:fldChar w:fldCharType="end"/>
            </w:r>
          </w:hyperlink>
        </w:p>
        <w:p w14:paraId="2784A2CC" w14:textId="6BC9FE55" w:rsidR="00C41021" w:rsidRPr="00C41021" w:rsidRDefault="005D4A49" w:rsidP="0069757E">
          <w:pPr>
            <w:pStyle w:val="TOC2"/>
            <w:spacing w:line="276" w:lineRule="auto"/>
            <w:rPr>
              <w:rFonts w:ascii="Times New Roman" w:hAnsi="Times New Roman" w:cstheme="minorBidi"/>
              <w:szCs w:val="22"/>
            </w:rPr>
          </w:pPr>
          <w:hyperlink w:anchor="_Toc90046499" w:history="1">
            <w:r w:rsidR="00C41021" w:rsidRPr="00C41021">
              <w:rPr>
                <w:rStyle w:val="Hyperlink"/>
                <w:rFonts w:ascii="Times New Roman" w:hAnsi="Times New Roman"/>
              </w:rPr>
              <w:t>B.</w:t>
            </w:r>
            <w:r w:rsidR="00C41021" w:rsidRPr="00C41021">
              <w:rPr>
                <w:rFonts w:ascii="Times New Roman" w:hAnsi="Times New Roman" w:cstheme="minorBidi"/>
                <w:szCs w:val="22"/>
              </w:rPr>
              <w:tab/>
            </w:r>
            <w:r w:rsidR="00C41021" w:rsidRPr="00C41021">
              <w:rPr>
                <w:rStyle w:val="Hyperlink"/>
                <w:rFonts w:ascii="Times New Roman" w:hAnsi="Times New Roman"/>
              </w:rPr>
              <w:t>Service Lines Definitions Used for Analyses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_Toc90046499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23</w:t>
            </w:r>
            <w:r w:rsidR="00C41021" w:rsidRPr="00C41021">
              <w:rPr>
                <w:rFonts w:ascii="Times New Roman" w:hAnsi="Times New Roman"/>
                <w:webHidden/>
              </w:rPr>
              <w:fldChar w:fldCharType="end"/>
            </w:r>
          </w:hyperlink>
        </w:p>
        <w:p w14:paraId="266634DE" w14:textId="09794FAC" w:rsidR="00C41021" w:rsidRPr="00C41021" w:rsidRDefault="005D4A49" w:rsidP="0069757E">
          <w:pPr>
            <w:pStyle w:val="TOC3"/>
            <w:spacing w:line="276" w:lineRule="auto"/>
            <w:rPr>
              <w:rFonts w:ascii="Times New Roman" w:hAnsi="Times New Roman"/>
              <w:noProof/>
              <w:szCs w:val="22"/>
            </w:rPr>
          </w:pPr>
          <w:hyperlink w:anchor="_Toc90046500"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Inpatient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_Toc90046500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23</w:t>
            </w:r>
            <w:r w:rsidR="00C41021" w:rsidRPr="00C41021">
              <w:rPr>
                <w:rFonts w:ascii="Times New Roman" w:hAnsi="Times New Roman"/>
                <w:noProof/>
                <w:webHidden/>
              </w:rPr>
              <w:fldChar w:fldCharType="end"/>
            </w:r>
          </w:hyperlink>
        </w:p>
        <w:p w14:paraId="3A06EA70" w14:textId="201AFAE0" w:rsidR="00C41021" w:rsidRPr="00C41021" w:rsidRDefault="005D4A49" w:rsidP="0069757E">
          <w:pPr>
            <w:pStyle w:val="TOC3"/>
            <w:spacing w:line="276" w:lineRule="auto"/>
            <w:rPr>
              <w:rFonts w:ascii="Times New Roman" w:hAnsi="Times New Roman"/>
              <w:noProof/>
              <w:szCs w:val="22"/>
            </w:rPr>
          </w:pPr>
          <w:hyperlink w:anchor="_Toc90046501"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Outpatient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_Toc90046501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24</w:t>
            </w:r>
            <w:r w:rsidR="00C41021" w:rsidRPr="00C41021">
              <w:rPr>
                <w:rFonts w:ascii="Times New Roman" w:hAnsi="Times New Roman"/>
                <w:noProof/>
                <w:webHidden/>
              </w:rPr>
              <w:fldChar w:fldCharType="end"/>
            </w:r>
          </w:hyperlink>
        </w:p>
        <w:p w14:paraId="365C9099" w14:textId="020D75C1" w:rsidR="00C41021" w:rsidRPr="00C41021" w:rsidRDefault="005D4A49" w:rsidP="0069757E">
          <w:pPr>
            <w:pStyle w:val="TOC2"/>
            <w:spacing w:line="276" w:lineRule="auto"/>
            <w:rPr>
              <w:rFonts w:ascii="Times New Roman" w:hAnsi="Times New Roman" w:cstheme="minorBidi"/>
              <w:szCs w:val="22"/>
            </w:rPr>
          </w:pPr>
          <w:hyperlink w:anchor="_Toc90046502" w:history="1">
            <w:r w:rsidR="00C41021" w:rsidRPr="00C41021">
              <w:rPr>
                <w:rStyle w:val="Hyperlink"/>
                <w:rFonts w:ascii="Times New Roman" w:hAnsi="Times New Roman"/>
              </w:rPr>
              <w:t>C.</w:t>
            </w:r>
            <w:r w:rsidR="00C41021" w:rsidRPr="00C41021">
              <w:rPr>
                <w:rFonts w:ascii="Times New Roman" w:hAnsi="Times New Roman" w:cstheme="minorBidi"/>
                <w:szCs w:val="22"/>
              </w:rPr>
              <w:tab/>
            </w:r>
            <w:r w:rsidR="00C41021" w:rsidRPr="00C41021">
              <w:rPr>
                <w:rStyle w:val="Hyperlink"/>
                <w:rFonts w:ascii="Times New Roman" w:hAnsi="Times New Roman"/>
              </w:rPr>
              <w:t>Prices for Health Care Services Used for Analyses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_Toc90046502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26</w:t>
            </w:r>
            <w:r w:rsidR="00C41021" w:rsidRPr="00C41021">
              <w:rPr>
                <w:rFonts w:ascii="Times New Roman" w:hAnsi="Times New Roman"/>
                <w:webHidden/>
              </w:rPr>
              <w:fldChar w:fldCharType="end"/>
            </w:r>
          </w:hyperlink>
        </w:p>
        <w:p w14:paraId="1824031E" w14:textId="7EB6E80D" w:rsidR="00C41021" w:rsidRPr="00C41021" w:rsidRDefault="005D4A49" w:rsidP="0069757E">
          <w:pPr>
            <w:pStyle w:val="TOC3"/>
            <w:spacing w:line="276" w:lineRule="auto"/>
            <w:rPr>
              <w:rFonts w:ascii="Times New Roman" w:hAnsi="Times New Roman"/>
              <w:noProof/>
              <w:szCs w:val="22"/>
            </w:rPr>
          </w:pPr>
          <w:hyperlink w:anchor="_Toc90046503"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Relative Prices for Commercial, Medicare Health Plans, and MassHealth Managed Care Plans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_Toc90046503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26</w:t>
            </w:r>
            <w:r w:rsidR="00C41021" w:rsidRPr="00C41021">
              <w:rPr>
                <w:rFonts w:ascii="Times New Roman" w:hAnsi="Times New Roman"/>
                <w:noProof/>
                <w:webHidden/>
              </w:rPr>
              <w:fldChar w:fldCharType="end"/>
            </w:r>
          </w:hyperlink>
        </w:p>
        <w:p w14:paraId="38985EF4" w14:textId="45C7AF58" w:rsidR="00C41021" w:rsidRPr="00C41021" w:rsidRDefault="005D4A49" w:rsidP="0069757E">
          <w:pPr>
            <w:pStyle w:val="TOC3"/>
            <w:spacing w:line="276" w:lineRule="auto"/>
            <w:rPr>
              <w:rFonts w:ascii="Times New Roman" w:hAnsi="Times New Roman"/>
              <w:noProof/>
              <w:szCs w:val="22"/>
            </w:rPr>
          </w:pPr>
          <w:hyperlink w:anchor="_Toc90046504"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Relative Prices for MassHealth Non-Managed Care</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_Toc90046504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28</w:t>
            </w:r>
            <w:r w:rsidR="00C41021" w:rsidRPr="00C41021">
              <w:rPr>
                <w:rFonts w:ascii="Times New Roman" w:hAnsi="Times New Roman"/>
                <w:noProof/>
                <w:webHidden/>
              </w:rPr>
              <w:fldChar w:fldCharType="end"/>
            </w:r>
          </w:hyperlink>
        </w:p>
        <w:p w14:paraId="487F944D" w14:textId="1A3FC85D" w:rsidR="00C41021" w:rsidRPr="00C41021" w:rsidRDefault="005D4A49" w:rsidP="0069757E">
          <w:pPr>
            <w:pStyle w:val="TOC3"/>
            <w:spacing w:line="276" w:lineRule="auto"/>
            <w:rPr>
              <w:rFonts w:ascii="Times New Roman" w:hAnsi="Times New Roman"/>
              <w:noProof/>
              <w:szCs w:val="22"/>
            </w:rPr>
          </w:pPr>
          <w:hyperlink w:anchor="_Toc90046505" w:history="1">
            <w:r w:rsidR="00C41021" w:rsidRPr="00C41021">
              <w:rPr>
                <w:rStyle w:val="Hyperlink"/>
                <w:rFonts w:ascii="Times New Roman" w:hAnsi="Times New Roman"/>
                <w:noProof/>
              </w:rPr>
              <w:t>3.</w:t>
            </w:r>
            <w:r w:rsidR="00C41021" w:rsidRPr="00C41021">
              <w:rPr>
                <w:rFonts w:ascii="Times New Roman" w:hAnsi="Times New Roman"/>
                <w:noProof/>
                <w:szCs w:val="22"/>
              </w:rPr>
              <w:tab/>
            </w:r>
            <w:r w:rsidR="00C41021" w:rsidRPr="00C41021">
              <w:rPr>
                <w:rStyle w:val="Hyperlink"/>
                <w:rFonts w:ascii="Times New Roman" w:hAnsi="Times New Roman"/>
                <w:noProof/>
              </w:rPr>
              <w:t>Relative Prices for Original Medicare</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_Toc90046505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30</w:t>
            </w:r>
            <w:r w:rsidR="00C41021" w:rsidRPr="00C41021">
              <w:rPr>
                <w:rFonts w:ascii="Times New Roman" w:hAnsi="Times New Roman"/>
                <w:noProof/>
                <w:webHidden/>
              </w:rPr>
              <w:fldChar w:fldCharType="end"/>
            </w:r>
          </w:hyperlink>
        </w:p>
        <w:p w14:paraId="616929C2" w14:textId="52813D36" w:rsidR="00C41021" w:rsidRPr="00C41021" w:rsidRDefault="005D4A49" w:rsidP="0069757E">
          <w:pPr>
            <w:pStyle w:val="TOC1"/>
            <w:spacing w:line="276" w:lineRule="auto"/>
            <w:rPr>
              <w:rFonts w:ascii="Times New Roman" w:hAnsi="Times New Roman"/>
              <w:noProof/>
              <w:szCs w:val="22"/>
            </w:rPr>
          </w:pPr>
          <w:hyperlink w:anchor="_Toc90046506" w:history="1">
            <w:r w:rsidR="00C41021" w:rsidRPr="00C41021">
              <w:rPr>
                <w:rStyle w:val="Hyperlink"/>
                <w:rFonts w:ascii="Times New Roman" w:hAnsi="Times New Roman"/>
                <w:noProof/>
              </w:rPr>
              <w:t>IV.</w:t>
            </w:r>
            <w:r w:rsidR="00C41021" w:rsidRPr="00C41021">
              <w:rPr>
                <w:rFonts w:ascii="Times New Roman" w:hAnsi="Times New Roman"/>
                <w:noProof/>
                <w:szCs w:val="22"/>
              </w:rPr>
              <w:tab/>
            </w:r>
            <w:r w:rsidR="00C41021" w:rsidRPr="00C41021">
              <w:rPr>
                <w:rStyle w:val="Hyperlink"/>
                <w:rFonts w:ascii="Times New Roman" w:hAnsi="Times New Roman"/>
                <w:noProof/>
              </w:rPr>
              <w:t>MGH’s Patient Panel and Utilization of Health Care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_Toc90046506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31</w:t>
            </w:r>
            <w:r w:rsidR="00C41021" w:rsidRPr="00C41021">
              <w:rPr>
                <w:rFonts w:ascii="Times New Roman" w:hAnsi="Times New Roman"/>
                <w:noProof/>
                <w:webHidden/>
              </w:rPr>
              <w:fldChar w:fldCharType="end"/>
            </w:r>
          </w:hyperlink>
        </w:p>
        <w:p w14:paraId="1A73E4E0" w14:textId="40F0B876" w:rsidR="00C41021" w:rsidRPr="00C41021" w:rsidRDefault="005D4A49" w:rsidP="0069757E">
          <w:pPr>
            <w:pStyle w:val="TOC2"/>
            <w:spacing w:line="276" w:lineRule="auto"/>
            <w:rPr>
              <w:rFonts w:ascii="Times New Roman" w:hAnsi="Times New Roman" w:cstheme="minorBidi"/>
              <w:szCs w:val="22"/>
            </w:rPr>
          </w:pPr>
          <w:hyperlink w:anchor="_Toc90046507" w:history="1">
            <w:r w:rsidR="00C41021" w:rsidRPr="00C41021">
              <w:rPr>
                <w:rStyle w:val="Hyperlink"/>
                <w:rFonts w:ascii="Times New Roman" w:hAnsi="Times New Roman"/>
              </w:rPr>
              <w:t>A.</w:t>
            </w:r>
            <w:r w:rsidR="00C41021" w:rsidRPr="00C41021">
              <w:rPr>
                <w:rFonts w:ascii="Times New Roman" w:hAnsi="Times New Roman" w:cstheme="minorBidi"/>
                <w:szCs w:val="22"/>
              </w:rPr>
              <w:tab/>
            </w:r>
            <w:r w:rsidR="00C41021" w:rsidRPr="00C41021">
              <w:rPr>
                <w:rStyle w:val="Hyperlink"/>
                <w:rFonts w:ascii="Times New Roman" w:hAnsi="Times New Roman"/>
              </w:rPr>
              <w:t>Inpatient Services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_Toc90046507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31</w:t>
            </w:r>
            <w:r w:rsidR="00C41021" w:rsidRPr="00C41021">
              <w:rPr>
                <w:rFonts w:ascii="Times New Roman" w:hAnsi="Times New Roman"/>
                <w:webHidden/>
              </w:rPr>
              <w:fldChar w:fldCharType="end"/>
            </w:r>
          </w:hyperlink>
        </w:p>
        <w:p w14:paraId="6B202057" w14:textId="7B64649F" w:rsidR="00C41021" w:rsidRPr="00C41021" w:rsidRDefault="005D4A49" w:rsidP="0069757E">
          <w:pPr>
            <w:pStyle w:val="TOC3"/>
            <w:spacing w:line="276" w:lineRule="auto"/>
            <w:rPr>
              <w:rFonts w:ascii="Times New Roman" w:hAnsi="Times New Roman"/>
              <w:noProof/>
              <w:szCs w:val="22"/>
            </w:rPr>
          </w:pPr>
          <w:hyperlink w:anchor="_Toc90046508"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Patient Profiles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_Toc90046508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31</w:t>
            </w:r>
            <w:r w:rsidR="00C41021" w:rsidRPr="00C41021">
              <w:rPr>
                <w:rFonts w:ascii="Times New Roman" w:hAnsi="Times New Roman"/>
                <w:noProof/>
                <w:webHidden/>
              </w:rPr>
              <w:fldChar w:fldCharType="end"/>
            </w:r>
          </w:hyperlink>
        </w:p>
        <w:p w14:paraId="4A85A7EF" w14:textId="06D66B29" w:rsidR="00C41021" w:rsidRPr="00C41021" w:rsidRDefault="005D4A49" w:rsidP="0069757E">
          <w:pPr>
            <w:pStyle w:val="TOC3"/>
            <w:spacing w:line="276" w:lineRule="auto"/>
            <w:rPr>
              <w:rFonts w:ascii="Times New Roman" w:hAnsi="Times New Roman"/>
              <w:noProof/>
              <w:szCs w:val="22"/>
            </w:rPr>
          </w:pPr>
          <w:hyperlink w:anchor="_Toc90046509"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Changes in Utilization</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_Toc90046509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34</w:t>
            </w:r>
            <w:r w:rsidR="00C41021" w:rsidRPr="00C41021">
              <w:rPr>
                <w:rFonts w:ascii="Times New Roman" w:hAnsi="Times New Roman"/>
                <w:noProof/>
                <w:webHidden/>
              </w:rPr>
              <w:fldChar w:fldCharType="end"/>
            </w:r>
          </w:hyperlink>
        </w:p>
        <w:p w14:paraId="04885F42" w14:textId="3B2C0267" w:rsidR="00C41021" w:rsidRPr="00C41021" w:rsidRDefault="005D4A49" w:rsidP="0069757E">
          <w:pPr>
            <w:pStyle w:val="TOC2"/>
            <w:spacing w:line="276" w:lineRule="auto"/>
            <w:rPr>
              <w:rFonts w:ascii="Times New Roman" w:hAnsi="Times New Roman" w:cstheme="minorBidi"/>
              <w:szCs w:val="22"/>
            </w:rPr>
          </w:pPr>
          <w:hyperlink w:anchor="_Toc90046510" w:history="1">
            <w:r w:rsidR="00C41021" w:rsidRPr="00C41021">
              <w:rPr>
                <w:rStyle w:val="Hyperlink"/>
                <w:rFonts w:ascii="Times New Roman" w:hAnsi="Times New Roman"/>
              </w:rPr>
              <w:t>B.</w:t>
            </w:r>
            <w:r w:rsidR="00C41021" w:rsidRPr="00C41021">
              <w:rPr>
                <w:rFonts w:ascii="Times New Roman" w:hAnsi="Times New Roman" w:cstheme="minorBidi"/>
                <w:szCs w:val="22"/>
              </w:rPr>
              <w:tab/>
            </w:r>
            <w:r w:rsidR="00C41021" w:rsidRPr="00C41021">
              <w:rPr>
                <w:rStyle w:val="Hyperlink"/>
                <w:rFonts w:ascii="Times New Roman" w:hAnsi="Times New Roman"/>
              </w:rPr>
              <w:t>Outpatient Services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_Toc90046510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35</w:t>
            </w:r>
            <w:r w:rsidR="00C41021" w:rsidRPr="00C41021">
              <w:rPr>
                <w:rFonts w:ascii="Times New Roman" w:hAnsi="Times New Roman"/>
                <w:webHidden/>
              </w:rPr>
              <w:fldChar w:fldCharType="end"/>
            </w:r>
          </w:hyperlink>
        </w:p>
        <w:p w14:paraId="7EBB1BDF" w14:textId="17DED0CA" w:rsidR="00C41021" w:rsidRPr="00C41021" w:rsidRDefault="005D4A49" w:rsidP="0069757E">
          <w:pPr>
            <w:pStyle w:val="TOC3"/>
            <w:spacing w:line="276" w:lineRule="auto"/>
            <w:rPr>
              <w:rFonts w:ascii="Times New Roman" w:hAnsi="Times New Roman"/>
              <w:noProof/>
              <w:szCs w:val="22"/>
            </w:rPr>
          </w:pPr>
          <w:hyperlink w:anchor="_Toc90046511"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Outpatient Cardiovascular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_Toc90046511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36</w:t>
            </w:r>
            <w:r w:rsidR="00C41021" w:rsidRPr="00C41021">
              <w:rPr>
                <w:rFonts w:ascii="Times New Roman" w:hAnsi="Times New Roman"/>
                <w:noProof/>
                <w:webHidden/>
              </w:rPr>
              <w:fldChar w:fldCharType="end"/>
            </w:r>
          </w:hyperlink>
        </w:p>
        <w:p w14:paraId="6B29435A" w14:textId="4A8DD566" w:rsidR="00C41021" w:rsidRPr="00C41021" w:rsidRDefault="005D4A49" w:rsidP="0069757E">
          <w:pPr>
            <w:pStyle w:val="TOC3"/>
            <w:spacing w:line="276" w:lineRule="auto"/>
            <w:rPr>
              <w:rFonts w:ascii="Times New Roman" w:hAnsi="Times New Roman"/>
              <w:noProof/>
              <w:szCs w:val="22"/>
            </w:rPr>
          </w:pPr>
          <w:hyperlink w:anchor="_Toc90046512"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Outpatient Oncology Visits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_Toc90046512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38</w:t>
            </w:r>
            <w:r w:rsidR="00C41021" w:rsidRPr="00C41021">
              <w:rPr>
                <w:rFonts w:ascii="Times New Roman" w:hAnsi="Times New Roman"/>
                <w:noProof/>
                <w:webHidden/>
              </w:rPr>
              <w:fldChar w:fldCharType="end"/>
            </w:r>
          </w:hyperlink>
        </w:p>
        <w:p w14:paraId="2909D1F4" w14:textId="4F581419" w:rsidR="00C41021" w:rsidRPr="00C41021" w:rsidRDefault="005D4A49" w:rsidP="0069757E">
          <w:pPr>
            <w:pStyle w:val="TOC3"/>
            <w:spacing w:line="276" w:lineRule="auto"/>
            <w:rPr>
              <w:rFonts w:ascii="Times New Roman" w:hAnsi="Times New Roman"/>
              <w:noProof/>
              <w:szCs w:val="22"/>
            </w:rPr>
          </w:pPr>
          <w:hyperlink w:anchor="_Toc90046513" w:history="1">
            <w:r w:rsidR="00C41021" w:rsidRPr="00C41021">
              <w:rPr>
                <w:rStyle w:val="Hyperlink"/>
                <w:rFonts w:ascii="Times New Roman" w:hAnsi="Times New Roman"/>
                <w:noProof/>
              </w:rPr>
              <w:t>3.</w:t>
            </w:r>
            <w:r w:rsidR="00C41021" w:rsidRPr="00C41021">
              <w:rPr>
                <w:rFonts w:ascii="Times New Roman" w:hAnsi="Times New Roman"/>
                <w:noProof/>
                <w:szCs w:val="22"/>
              </w:rPr>
              <w:tab/>
            </w:r>
            <w:r w:rsidR="00C41021" w:rsidRPr="00C41021">
              <w:rPr>
                <w:rStyle w:val="Hyperlink"/>
                <w:rFonts w:ascii="Times New Roman" w:hAnsi="Times New Roman"/>
                <w:noProof/>
              </w:rPr>
              <w:t>Outpatient Diagnostic Imaging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_Toc90046513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39</w:t>
            </w:r>
            <w:r w:rsidR="00C41021" w:rsidRPr="00C41021">
              <w:rPr>
                <w:rFonts w:ascii="Times New Roman" w:hAnsi="Times New Roman"/>
                <w:noProof/>
                <w:webHidden/>
              </w:rPr>
              <w:fldChar w:fldCharType="end"/>
            </w:r>
          </w:hyperlink>
        </w:p>
        <w:p w14:paraId="78C833A9" w14:textId="29453248" w:rsidR="00C41021" w:rsidRPr="00C41021" w:rsidRDefault="005D4A49" w:rsidP="0069757E">
          <w:pPr>
            <w:pStyle w:val="TOC1"/>
            <w:spacing w:line="276" w:lineRule="auto"/>
            <w:rPr>
              <w:rFonts w:ascii="Times New Roman" w:hAnsi="Times New Roman"/>
              <w:noProof/>
              <w:szCs w:val="22"/>
            </w:rPr>
          </w:pPr>
          <w:hyperlink w:anchor="_Toc90046514" w:history="1">
            <w:r w:rsidR="00C41021" w:rsidRPr="00C41021">
              <w:rPr>
                <w:rStyle w:val="Hyperlink"/>
                <w:rFonts w:ascii="Times New Roman" w:hAnsi="Times New Roman"/>
                <w:noProof/>
              </w:rPr>
              <w:t>V.</w:t>
            </w:r>
            <w:r w:rsidR="00C41021" w:rsidRPr="00C41021">
              <w:rPr>
                <w:rFonts w:ascii="Times New Roman" w:hAnsi="Times New Roman"/>
                <w:noProof/>
                <w:szCs w:val="22"/>
              </w:rPr>
              <w:tab/>
            </w:r>
            <w:r w:rsidR="00C41021" w:rsidRPr="00C41021">
              <w:rPr>
                <w:rStyle w:val="Hyperlink"/>
                <w:rFonts w:ascii="Times New Roman" w:hAnsi="Times New Roman"/>
                <w:noProof/>
              </w:rPr>
              <w:t>Five- and Ten-Year Estimates of Demand for MGH’s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_Toc90046514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41</w:t>
            </w:r>
            <w:r w:rsidR="00C41021" w:rsidRPr="00C41021">
              <w:rPr>
                <w:rFonts w:ascii="Times New Roman" w:hAnsi="Times New Roman"/>
                <w:noProof/>
                <w:webHidden/>
              </w:rPr>
              <w:fldChar w:fldCharType="end"/>
            </w:r>
          </w:hyperlink>
        </w:p>
        <w:p w14:paraId="3372D92D" w14:textId="3F3C9831" w:rsidR="00C41021" w:rsidRPr="00C41021" w:rsidRDefault="005D4A49" w:rsidP="0069757E">
          <w:pPr>
            <w:pStyle w:val="TOC2"/>
            <w:spacing w:line="276" w:lineRule="auto"/>
            <w:rPr>
              <w:rFonts w:ascii="Times New Roman" w:hAnsi="Times New Roman" w:cstheme="minorBidi"/>
              <w:szCs w:val="22"/>
            </w:rPr>
          </w:pPr>
          <w:hyperlink w:anchor="_Toc90046515" w:history="1">
            <w:r w:rsidR="00C41021" w:rsidRPr="00C41021">
              <w:rPr>
                <w:rStyle w:val="Hyperlink"/>
                <w:rFonts w:ascii="Times New Roman" w:hAnsi="Times New Roman"/>
              </w:rPr>
              <w:t>A.</w:t>
            </w:r>
            <w:r w:rsidR="00C41021" w:rsidRPr="00C41021">
              <w:rPr>
                <w:rFonts w:ascii="Times New Roman" w:hAnsi="Times New Roman" w:cstheme="minorBidi"/>
                <w:szCs w:val="22"/>
              </w:rPr>
              <w:tab/>
            </w:r>
            <w:r w:rsidR="00C41021" w:rsidRPr="00C41021">
              <w:rPr>
                <w:rStyle w:val="Hyperlink"/>
                <w:rFonts w:ascii="Times New Roman" w:hAnsi="Times New Roman"/>
              </w:rPr>
              <w:t>Inpatient Services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_Toc90046515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41</w:t>
            </w:r>
            <w:r w:rsidR="00C41021" w:rsidRPr="00C41021">
              <w:rPr>
                <w:rFonts w:ascii="Times New Roman" w:hAnsi="Times New Roman"/>
                <w:webHidden/>
              </w:rPr>
              <w:fldChar w:fldCharType="end"/>
            </w:r>
          </w:hyperlink>
        </w:p>
        <w:p w14:paraId="580253B6" w14:textId="3A86F605" w:rsidR="00C41021" w:rsidRPr="00C41021" w:rsidRDefault="005D4A49" w:rsidP="0069757E">
          <w:pPr>
            <w:pStyle w:val="TOC3"/>
            <w:spacing w:line="276" w:lineRule="auto"/>
            <w:rPr>
              <w:rFonts w:ascii="Times New Roman" w:hAnsi="Times New Roman"/>
              <w:noProof/>
              <w:szCs w:val="22"/>
            </w:rPr>
          </w:pPr>
          <w:hyperlink w:anchor="_Toc90046516"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Changes in Demographics in Five and Ten Years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_Toc90046516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41</w:t>
            </w:r>
            <w:r w:rsidR="00C41021" w:rsidRPr="00C41021">
              <w:rPr>
                <w:rFonts w:ascii="Times New Roman" w:hAnsi="Times New Roman"/>
                <w:noProof/>
                <w:webHidden/>
              </w:rPr>
              <w:fldChar w:fldCharType="end"/>
            </w:r>
          </w:hyperlink>
        </w:p>
        <w:p w14:paraId="6C524814" w14:textId="1405E95B" w:rsidR="00C41021" w:rsidRPr="00C41021" w:rsidRDefault="005D4A49" w:rsidP="0069757E">
          <w:pPr>
            <w:pStyle w:val="TOC3"/>
            <w:spacing w:line="276" w:lineRule="auto"/>
            <w:rPr>
              <w:rFonts w:ascii="Times New Roman" w:hAnsi="Times New Roman"/>
              <w:noProof/>
              <w:szCs w:val="22"/>
            </w:rPr>
          </w:pPr>
          <w:hyperlink w:anchor="_Toc90046517"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Changes in Demand Using Predicted Demographics in Five and Ten Years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_Toc90046517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41</w:t>
            </w:r>
            <w:r w:rsidR="00C41021" w:rsidRPr="00C41021">
              <w:rPr>
                <w:rFonts w:ascii="Times New Roman" w:hAnsi="Times New Roman"/>
                <w:noProof/>
                <w:webHidden/>
              </w:rPr>
              <w:fldChar w:fldCharType="end"/>
            </w:r>
          </w:hyperlink>
        </w:p>
        <w:p w14:paraId="2BA414BD" w14:textId="490B6959" w:rsidR="00C41021" w:rsidRPr="00C41021" w:rsidRDefault="005D4A49" w:rsidP="0069757E">
          <w:pPr>
            <w:pStyle w:val="TOC2"/>
            <w:spacing w:line="276" w:lineRule="auto"/>
            <w:rPr>
              <w:rFonts w:ascii="Times New Roman" w:hAnsi="Times New Roman" w:cstheme="minorBidi"/>
              <w:szCs w:val="22"/>
            </w:rPr>
          </w:pPr>
          <w:hyperlink w:anchor="_Toc90046518" w:history="1">
            <w:r w:rsidR="00C41021" w:rsidRPr="00C41021">
              <w:rPr>
                <w:rStyle w:val="Hyperlink"/>
                <w:rFonts w:ascii="Times New Roman" w:hAnsi="Times New Roman"/>
              </w:rPr>
              <w:t>B.</w:t>
            </w:r>
            <w:r w:rsidR="00C41021" w:rsidRPr="00C41021">
              <w:rPr>
                <w:rFonts w:ascii="Times New Roman" w:hAnsi="Times New Roman" w:cstheme="minorBidi"/>
                <w:szCs w:val="22"/>
              </w:rPr>
              <w:tab/>
            </w:r>
            <w:r w:rsidR="00C41021" w:rsidRPr="00C41021">
              <w:rPr>
                <w:rStyle w:val="Hyperlink"/>
                <w:rFonts w:ascii="Times New Roman" w:hAnsi="Times New Roman"/>
              </w:rPr>
              <w:t>Outpatient Services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_Toc90046518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43</w:t>
            </w:r>
            <w:r w:rsidR="00C41021" w:rsidRPr="00C41021">
              <w:rPr>
                <w:rFonts w:ascii="Times New Roman" w:hAnsi="Times New Roman"/>
                <w:webHidden/>
              </w:rPr>
              <w:fldChar w:fldCharType="end"/>
            </w:r>
          </w:hyperlink>
        </w:p>
        <w:p w14:paraId="50BC58AC" w14:textId="72B2FBDB" w:rsidR="00C41021" w:rsidRPr="00C41021" w:rsidRDefault="005D4A49" w:rsidP="0069757E">
          <w:pPr>
            <w:pStyle w:val="TOC3"/>
            <w:spacing w:line="276" w:lineRule="auto"/>
            <w:rPr>
              <w:rFonts w:ascii="Times New Roman" w:hAnsi="Times New Roman"/>
              <w:noProof/>
              <w:szCs w:val="22"/>
            </w:rPr>
          </w:pPr>
          <w:hyperlink w:anchor="_Toc90046519"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Changes in Demographics in Five and Ten Years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_Toc90046519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43</w:t>
            </w:r>
            <w:r w:rsidR="00C41021" w:rsidRPr="00C41021">
              <w:rPr>
                <w:rFonts w:ascii="Times New Roman" w:hAnsi="Times New Roman"/>
                <w:noProof/>
                <w:webHidden/>
              </w:rPr>
              <w:fldChar w:fldCharType="end"/>
            </w:r>
          </w:hyperlink>
        </w:p>
        <w:p w14:paraId="64A2994C" w14:textId="3A809A7E" w:rsidR="00C41021" w:rsidRPr="00C41021" w:rsidRDefault="005D4A49" w:rsidP="0069757E">
          <w:pPr>
            <w:pStyle w:val="TOC3"/>
            <w:spacing w:line="276" w:lineRule="auto"/>
            <w:rPr>
              <w:rFonts w:ascii="Times New Roman" w:hAnsi="Times New Roman"/>
              <w:noProof/>
              <w:szCs w:val="22"/>
            </w:rPr>
          </w:pPr>
          <w:hyperlink w:anchor="_Toc90046520"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Changes in Demand Using Predicted Demographics in Five and Ten Years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_Toc90046520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44</w:t>
            </w:r>
            <w:r w:rsidR="00C41021" w:rsidRPr="00C41021">
              <w:rPr>
                <w:rFonts w:ascii="Times New Roman" w:hAnsi="Times New Roman"/>
                <w:noProof/>
                <w:webHidden/>
              </w:rPr>
              <w:fldChar w:fldCharType="end"/>
            </w:r>
          </w:hyperlink>
        </w:p>
        <w:p w14:paraId="4CDFD824" w14:textId="712F5C2E" w:rsidR="00C41021" w:rsidRPr="00C41021" w:rsidRDefault="005D4A49" w:rsidP="0069757E">
          <w:pPr>
            <w:pStyle w:val="TOC1"/>
            <w:spacing w:line="276" w:lineRule="auto"/>
            <w:rPr>
              <w:rFonts w:ascii="Times New Roman" w:hAnsi="Times New Roman"/>
              <w:noProof/>
              <w:szCs w:val="22"/>
            </w:rPr>
          </w:pPr>
          <w:hyperlink w:anchor="_Toc90046521" w:history="1">
            <w:r w:rsidR="00C41021" w:rsidRPr="00C41021">
              <w:rPr>
                <w:rStyle w:val="Hyperlink"/>
                <w:rFonts w:ascii="Times New Roman" w:hAnsi="Times New Roman"/>
                <w:noProof/>
              </w:rPr>
              <w:t>VI.</w:t>
            </w:r>
            <w:r w:rsidR="00C41021" w:rsidRPr="00C41021">
              <w:rPr>
                <w:rFonts w:ascii="Times New Roman" w:hAnsi="Times New Roman"/>
                <w:noProof/>
                <w:szCs w:val="22"/>
              </w:rPr>
              <w:tab/>
            </w:r>
            <w:r w:rsidR="00C41021" w:rsidRPr="00C41021">
              <w:rPr>
                <w:rStyle w:val="Hyperlink"/>
                <w:rFonts w:ascii="Times New Roman" w:hAnsi="Times New Roman"/>
                <w:noProof/>
              </w:rPr>
              <w:t>Models of Patients’ Demand for Health Care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_Toc90046521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46</w:t>
            </w:r>
            <w:r w:rsidR="00C41021" w:rsidRPr="00C41021">
              <w:rPr>
                <w:rFonts w:ascii="Times New Roman" w:hAnsi="Times New Roman"/>
                <w:noProof/>
                <w:webHidden/>
              </w:rPr>
              <w:fldChar w:fldCharType="end"/>
            </w:r>
          </w:hyperlink>
        </w:p>
        <w:p w14:paraId="4273CD9F" w14:textId="5C96C730" w:rsidR="00C41021" w:rsidRPr="00C41021" w:rsidRDefault="005D4A49" w:rsidP="0069757E">
          <w:pPr>
            <w:pStyle w:val="TOC2"/>
            <w:spacing w:line="276" w:lineRule="auto"/>
            <w:rPr>
              <w:rFonts w:ascii="Times New Roman" w:hAnsi="Times New Roman" w:cstheme="minorBidi"/>
              <w:szCs w:val="22"/>
            </w:rPr>
          </w:pPr>
          <w:hyperlink w:anchor="_Toc90046522" w:history="1">
            <w:r w:rsidR="00C41021" w:rsidRPr="00C41021">
              <w:rPr>
                <w:rStyle w:val="Hyperlink"/>
                <w:rFonts w:ascii="Times New Roman" w:hAnsi="Times New Roman"/>
              </w:rPr>
              <w:t>A.</w:t>
            </w:r>
            <w:r w:rsidR="00C41021" w:rsidRPr="00C41021">
              <w:rPr>
                <w:rFonts w:ascii="Times New Roman" w:hAnsi="Times New Roman" w:cstheme="minorBidi"/>
                <w:szCs w:val="22"/>
              </w:rPr>
              <w:tab/>
            </w:r>
            <w:r w:rsidR="00C41021" w:rsidRPr="00C41021">
              <w:rPr>
                <w:rStyle w:val="Hyperlink"/>
                <w:rFonts w:ascii="Times New Roman" w:hAnsi="Times New Roman"/>
              </w:rPr>
              <w:t>Inpatient Services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_Toc90046522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46</w:t>
            </w:r>
            <w:r w:rsidR="00C41021" w:rsidRPr="00C41021">
              <w:rPr>
                <w:rFonts w:ascii="Times New Roman" w:hAnsi="Times New Roman"/>
                <w:webHidden/>
              </w:rPr>
              <w:fldChar w:fldCharType="end"/>
            </w:r>
          </w:hyperlink>
        </w:p>
        <w:p w14:paraId="6FA41FDB" w14:textId="68208A06" w:rsidR="00C41021" w:rsidRPr="00C41021" w:rsidRDefault="005D4A49" w:rsidP="0069757E">
          <w:pPr>
            <w:pStyle w:val="TOC2"/>
            <w:spacing w:line="276" w:lineRule="auto"/>
            <w:rPr>
              <w:rFonts w:ascii="Times New Roman" w:hAnsi="Times New Roman" w:cstheme="minorBidi"/>
              <w:szCs w:val="22"/>
            </w:rPr>
          </w:pPr>
          <w:hyperlink w:anchor="_Toc90046523" w:history="1">
            <w:r w:rsidR="00C41021" w:rsidRPr="00C41021">
              <w:rPr>
                <w:rStyle w:val="Hyperlink"/>
                <w:rFonts w:ascii="Times New Roman" w:hAnsi="Times New Roman"/>
              </w:rPr>
              <w:t>B.</w:t>
            </w:r>
            <w:r w:rsidR="00C41021" w:rsidRPr="00C41021">
              <w:rPr>
                <w:rFonts w:ascii="Times New Roman" w:hAnsi="Times New Roman" w:cstheme="minorBidi"/>
                <w:szCs w:val="22"/>
              </w:rPr>
              <w:tab/>
            </w:r>
            <w:r w:rsidR="00C41021" w:rsidRPr="00C41021">
              <w:rPr>
                <w:rStyle w:val="Hyperlink"/>
                <w:rFonts w:ascii="Times New Roman" w:hAnsi="Times New Roman"/>
              </w:rPr>
              <w:t>Outpatient Services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_Toc90046523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50</w:t>
            </w:r>
            <w:r w:rsidR="00C41021" w:rsidRPr="00C41021">
              <w:rPr>
                <w:rFonts w:ascii="Times New Roman" w:hAnsi="Times New Roman"/>
                <w:webHidden/>
              </w:rPr>
              <w:fldChar w:fldCharType="end"/>
            </w:r>
          </w:hyperlink>
        </w:p>
        <w:p w14:paraId="0666FF43" w14:textId="37D241CA" w:rsidR="00C41021" w:rsidRPr="00C41021" w:rsidRDefault="005D4A49" w:rsidP="0069757E">
          <w:pPr>
            <w:pStyle w:val="TOC3"/>
            <w:spacing w:line="276" w:lineRule="auto"/>
            <w:rPr>
              <w:rFonts w:ascii="Times New Roman" w:hAnsi="Times New Roman"/>
              <w:noProof/>
              <w:szCs w:val="22"/>
            </w:rPr>
          </w:pPr>
          <w:hyperlink w:anchor="_Toc90046524"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Diagnostic Imaging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_Toc90046524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51</w:t>
            </w:r>
            <w:r w:rsidR="00C41021" w:rsidRPr="00C41021">
              <w:rPr>
                <w:rFonts w:ascii="Times New Roman" w:hAnsi="Times New Roman"/>
                <w:noProof/>
                <w:webHidden/>
              </w:rPr>
              <w:fldChar w:fldCharType="end"/>
            </w:r>
          </w:hyperlink>
        </w:p>
        <w:p w14:paraId="385B53A1" w14:textId="6D070CE7" w:rsidR="00C41021" w:rsidRPr="00C41021" w:rsidRDefault="005D4A49" w:rsidP="0069757E">
          <w:pPr>
            <w:pStyle w:val="TOC3"/>
            <w:spacing w:line="276" w:lineRule="auto"/>
            <w:rPr>
              <w:rFonts w:ascii="Times New Roman" w:hAnsi="Times New Roman"/>
              <w:noProof/>
              <w:szCs w:val="22"/>
            </w:rPr>
          </w:pPr>
          <w:hyperlink w:anchor="_Toc90046525"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Cardiovascular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_Toc90046525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54</w:t>
            </w:r>
            <w:r w:rsidR="00C41021" w:rsidRPr="00C41021">
              <w:rPr>
                <w:rFonts w:ascii="Times New Roman" w:hAnsi="Times New Roman"/>
                <w:noProof/>
                <w:webHidden/>
              </w:rPr>
              <w:fldChar w:fldCharType="end"/>
            </w:r>
          </w:hyperlink>
        </w:p>
        <w:p w14:paraId="22A41A5C" w14:textId="4DC379C4" w:rsidR="00C41021" w:rsidRPr="00C41021" w:rsidRDefault="005D4A49" w:rsidP="0069757E">
          <w:pPr>
            <w:pStyle w:val="TOC3"/>
            <w:spacing w:line="276" w:lineRule="auto"/>
            <w:rPr>
              <w:rFonts w:ascii="Times New Roman" w:hAnsi="Times New Roman"/>
              <w:noProof/>
              <w:szCs w:val="22"/>
            </w:rPr>
          </w:pPr>
          <w:hyperlink w:anchor="_Toc90046526" w:history="1">
            <w:r w:rsidR="00C41021" w:rsidRPr="00C41021">
              <w:rPr>
                <w:rStyle w:val="Hyperlink"/>
                <w:rFonts w:ascii="Times New Roman" w:hAnsi="Times New Roman"/>
                <w:noProof/>
              </w:rPr>
              <w:t>3.</w:t>
            </w:r>
            <w:r w:rsidR="00C41021" w:rsidRPr="00C41021">
              <w:rPr>
                <w:rFonts w:ascii="Times New Roman" w:hAnsi="Times New Roman"/>
                <w:noProof/>
                <w:szCs w:val="22"/>
              </w:rPr>
              <w:tab/>
            </w:r>
            <w:r w:rsidR="00C41021" w:rsidRPr="00C41021">
              <w:rPr>
                <w:rStyle w:val="Hyperlink"/>
                <w:rFonts w:ascii="Times New Roman" w:hAnsi="Times New Roman"/>
                <w:noProof/>
              </w:rPr>
              <w:t>Oncology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_Toc90046526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55</w:t>
            </w:r>
            <w:r w:rsidR="00C41021" w:rsidRPr="00C41021">
              <w:rPr>
                <w:rFonts w:ascii="Times New Roman" w:hAnsi="Times New Roman"/>
                <w:noProof/>
                <w:webHidden/>
              </w:rPr>
              <w:fldChar w:fldCharType="end"/>
            </w:r>
          </w:hyperlink>
        </w:p>
        <w:p w14:paraId="0C941138" w14:textId="64DDBFD4" w:rsidR="00C41021" w:rsidRPr="00C41021" w:rsidRDefault="005D4A49" w:rsidP="0069757E">
          <w:pPr>
            <w:pStyle w:val="TOC1"/>
            <w:spacing w:line="276" w:lineRule="auto"/>
            <w:rPr>
              <w:rFonts w:ascii="Times New Roman" w:hAnsi="Times New Roman"/>
              <w:noProof/>
              <w:szCs w:val="22"/>
            </w:rPr>
          </w:pPr>
          <w:hyperlink w:anchor="_Toc90046527" w:history="1">
            <w:r w:rsidR="00C41021" w:rsidRPr="00C41021">
              <w:rPr>
                <w:rStyle w:val="Hyperlink"/>
                <w:rFonts w:ascii="Times New Roman" w:hAnsi="Times New Roman"/>
                <w:noProof/>
              </w:rPr>
              <w:t>VII.</w:t>
            </w:r>
            <w:r w:rsidR="00C41021" w:rsidRPr="00C41021">
              <w:rPr>
                <w:rFonts w:ascii="Times New Roman" w:hAnsi="Times New Roman"/>
                <w:noProof/>
                <w:szCs w:val="22"/>
              </w:rPr>
              <w:tab/>
            </w:r>
            <w:r w:rsidR="00C41021" w:rsidRPr="00C41021">
              <w:rPr>
                <w:rStyle w:val="Hyperlink"/>
                <w:rFonts w:ascii="Times New Roman" w:hAnsi="Times New Roman"/>
                <w:noProof/>
              </w:rPr>
              <w:t>Predicted Changes in MGB’s Shares and Bargaining Leverage</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_Toc90046527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57</w:t>
            </w:r>
            <w:r w:rsidR="00C41021" w:rsidRPr="00C41021">
              <w:rPr>
                <w:rFonts w:ascii="Times New Roman" w:hAnsi="Times New Roman"/>
                <w:noProof/>
                <w:webHidden/>
              </w:rPr>
              <w:fldChar w:fldCharType="end"/>
            </w:r>
          </w:hyperlink>
        </w:p>
        <w:p w14:paraId="276543FF" w14:textId="05CC3F84" w:rsidR="00C41021" w:rsidRPr="00C41021" w:rsidRDefault="005D4A49" w:rsidP="0069757E">
          <w:pPr>
            <w:pStyle w:val="TOC2"/>
            <w:spacing w:line="276" w:lineRule="auto"/>
            <w:rPr>
              <w:rFonts w:ascii="Times New Roman" w:hAnsi="Times New Roman" w:cstheme="minorBidi"/>
              <w:szCs w:val="22"/>
            </w:rPr>
          </w:pPr>
          <w:hyperlink w:anchor="_Toc90046528" w:history="1">
            <w:r w:rsidR="00C41021" w:rsidRPr="00C41021">
              <w:rPr>
                <w:rStyle w:val="Hyperlink"/>
                <w:rFonts w:ascii="Times New Roman" w:hAnsi="Times New Roman"/>
              </w:rPr>
              <w:t>A.</w:t>
            </w:r>
            <w:r w:rsidR="00C41021" w:rsidRPr="00C41021">
              <w:rPr>
                <w:rFonts w:ascii="Times New Roman" w:hAnsi="Times New Roman" w:cstheme="minorBidi"/>
                <w:szCs w:val="22"/>
              </w:rPr>
              <w:tab/>
            </w:r>
            <w:r w:rsidR="00C41021" w:rsidRPr="00C41021">
              <w:rPr>
                <w:rStyle w:val="Hyperlink"/>
                <w:rFonts w:ascii="Times New Roman" w:hAnsi="Times New Roman"/>
              </w:rPr>
              <w:t>Competition Between Health Care Providers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_Toc90046528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58</w:t>
            </w:r>
            <w:r w:rsidR="00C41021" w:rsidRPr="00C41021">
              <w:rPr>
                <w:rFonts w:ascii="Times New Roman" w:hAnsi="Times New Roman"/>
                <w:webHidden/>
              </w:rPr>
              <w:fldChar w:fldCharType="end"/>
            </w:r>
          </w:hyperlink>
        </w:p>
        <w:p w14:paraId="72EE5F61" w14:textId="1FF5A02E" w:rsidR="00C41021" w:rsidRPr="00C41021" w:rsidRDefault="005D4A49" w:rsidP="0069757E">
          <w:pPr>
            <w:pStyle w:val="TOC3"/>
            <w:spacing w:line="276" w:lineRule="auto"/>
            <w:rPr>
              <w:rFonts w:ascii="Times New Roman" w:hAnsi="Times New Roman"/>
              <w:noProof/>
              <w:szCs w:val="22"/>
            </w:rPr>
          </w:pPr>
          <w:hyperlink w:anchor="_Toc90046529"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The Relationship Between Hospital Concentration and Inpatient Prices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_Toc90046529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61</w:t>
            </w:r>
            <w:r w:rsidR="00C41021" w:rsidRPr="00C41021">
              <w:rPr>
                <w:rFonts w:ascii="Times New Roman" w:hAnsi="Times New Roman"/>
                <w:noProof/>
                <w:webHidden/>
              </w:rPr>
              <w:fldChar w:fldCharType="end"/>
            </w:r>
          </w:hyperlink>
        </w:p>
        <w:p w14:paraId="3DCE12F6" w14:textId="2B15A015" w:rsidR="00C41021" w:rsidRPr="00C41021" w:rsidRDefault="005D4A49" w:rsidP="0069757E">
          <w:pPr>
            <w:pStyle w:val="TOC3"/>
            <w:spacing w:line="276" w:lineRule="auto"/>
            <w:rPr>
              <w:rFonts w:ascii="Times New Roman" w:hAnsi="Times New Roman"/>
              <w:noProof/>
              <w:szCs w:val="22"/>
            </w:rPr>
          </w:pPr>
          <w:hyperlink w:anchor="_Toc90046530"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Effect of Entry and Expansion on Competition in the Provision of Health Care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_Toc90046530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65</w:t>
            </w:r>
            <w:r w:rsidR="00C41021" w:rsidRPr="00C41021">
              <w:rPr>
                <w:rFonts w:ascii="Times New Roman" w:hAnsi="Times New Roman"/>
                <w:noProof/>
                <w:webHidden/>
              </w:rPr>
              <w:fldChar w:fldCharType="end"/>
            </w:r>
          </w:hyperlink>
        </w:p>
        <w:p w14:paraId="25BA31A0" w14:textId="7839CEEA" w:rsidR="00C41021" w:rsidRPr="00C41021" w:rsidRDefault="005D4A49" w:rsidP="0069757E">
          <w:pPr>
            <w:pStyle w:val="TOC2"/>
            <w:spacing w:line="276" w:lineRule="auto"/>
            <w:rPr>
              <w:rFonts w:ascii="Times New Roman" w:hAnsi="Times New Roman" w:cstheme="minorBidi"/>
              <w:szCs w:val="22"/>
            </w:rPr>
          </w:pPr>
          <w:hyperlink w:anchor="_Toc90046531" w:history="1">
            <w:r w:rsidR="00C41021" w:rsidRPr="00C41021">
              <w:rPr>
                <w:rStyle w:val="Hyperlink"/>
                <w:rFonts w:ascii="Times New Roman" w:hAnsi="Times New Roman"/>
              </w:rPr>
              <w:t>B.</w:t>
            </w:r>
            <w:r w:rsidR="00C41021" w:rsidRPr="00C41021">
              <w:rPr>
                <w:rFonts w:ascii="Times New Roman" w:hAnsi="Times New Roman" w:cstheme="minorBidi"/>
                <w:szCs w:val="22"/>
              </w:rPr>
              <w:tab/>
            </w:r>
            <w:r w:rsidR="00C41021" w:rsidRPr="00C41021">
              <w:rPr>
                <w:rStyle w:val="Hyperlink"/>
                <w:rFonts w:ascii="Times New Roman" w:hAnsi="Times New Roman"/>
              </w:rPr>
              <w:t>Inpatient Services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_Toc90046531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68</w:t>
            </w:r>
            <w:r w:rsidR="00C41021" w:rsidRPr="00C41021">
              <w:rPr>
                <w:rFonts w:ascii="Times New Roman" w:hAnsi="Times New Roman"/>
                <w:webHidden/>
              </w:rPr>
              <w:fldChar w:fldCharType="end"/>
            </w:r>
          </w:hyperlink>
        </w:p>
        <w:p w14:paraId="730E7AD3" w14:textId="5F5F38D5" w:rsidR="00C41021" w:rsidRPr="00C41021" w:rsidRDefault="005D4A49" w:rsidP="0069757E">
          <w:pPr>
            <w:pStyle w:val="TOC2"/>
            <w:spacing w:line="276" w:lineRule="auto"/>
            <w:rPr>
              <w:rFonts w:ascii="Times New Roman" w:hAnsi="Times New Roman" w:cstheme="minorBidi"/>
              <w:szCs w:val="22"/>
            </w:rPr>
          </w:pPr>
          <w:hyperlink w:anchor="_Toc90046532" w:history="1">
            <w:r w:rsidR="00C41021" w:rsidRPr="00C41021">
              <w:rPr>
                <w:rStyle w:val="Hyperlink"/>
                <w:rFonts w:ascii="Times New Roman" w:hAnsi="Times New Roman"/>
              </w:rPr>
              <w:t>C.</w:t>
            </w:r>
            <w:r w:rsidR="00C41021" w:rsidRPr="00C41021">
              <w:rPr>
                <w:rFonts w:ascii="Times New Roman" w:hAnsi="Times New Roman" w:cstheme="minorBidi"/>
                <w:szCs w:val="22"/>
              </w:rPr>
              <w:tab/>
            </w:r>
            <w:r w:rsidR="00C41021" w:rsidRPr="00C41021">
              <w:rPr>
                <w:rStyle w:val="Hyperlink"/>
                <w:rFonts w:ascii="Times New Roman" w:hAnsi="Times New Roman"/>
              </w:rPr>
              <w:t>Outpatient Services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_Toc90046532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70</w:t>
            </w:r>
            <w:r w:rsidR="00C41021" w:rsidRPr="00C41021">
              <w:rPr>
                <w:rFonts w:ascii="Times New Roman" w:hAnsi="Times New Roman"/>
                <w:webHidden/>
              </w:rPr>
              <w:fldChar w:fldCharType="end"/>
            </w:r>
          </w:hyperlink>
        </w:p>
        <w:p w14:paraId="0D8AD73C" w14:textId="185B005E" w:rsidR="00C41021" w:rsidRPr="00C41021" w:rsidRDefault="005D4A49" w:rsidP="0069757E">
          <w:pPr>
            <w:pStyle w:val="TOC3"/>
            <w:spacing w:line="276" w:lineRule="auto"/>
            <w:rPr>
              <w:rFonts w:ascii="Times New Roman" w:hAnsi="Times New Roman"/>
              <w:noProof/>
              <w:szCs w:val="22"/>
            </w:rPr>
          </w:pPr>
          <w:hyperlink w:anchor="_Toc90046533"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Diagnostic Imaging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_Toc90046533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70</w:t>
            </w:r>
            <w:r w:rsidR="00C41021" w:rsidRPr="00C41021">
              <w:rPr>
                <w:rFonts w:ascii="Times New Roman" w:hAnsi="Times New Roman"/>
                <w:noProof/>
                <w:webHidden/>
              </w:rPr>
              <w:fldChar w:fldCharType="end"/>
            </w:r>
          </w:hyperlink>
        </w:p>
        <w:p w14:paraId="226FBF89" w14:textId="3F33CDC0" w:rsidR="00C41021" w:rsidRPr="00C41021" w:rsidRDefault="005D4A49" w:rsidP="0069757E">
          <w:pPr>
            <w:pStyle w:val="TOC3"/>
            <w:spacing w:line="276" w:lineRule="auto"/>
            <w:rPr>
              <w:rFonts w:ascii="Times New Roman" w:hAnsi="Times New Roman"/>
              <w:noProof/>
              <w:szCs w:val="22"/>
            </w:rPr>
          </w:pPr>
          <w:hyperlink w:anchor="_Toc90046534"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Cardiovascular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_Toc90046534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73</w:t>
            </w:r>
            <w:r w:rsidR="00C41021" w:rsidRPr="00C41021">
              <w:rPr>
                <w:rFonts w:ascii="Times New Roman" w:hAnsi="Times New Roman"/>
                <w:noProof/>
                <w:webHidden/>
              </w:rPr>
              <w:fldChar w:fldCharType="end"/>
            </w:r>
          </w:hyperlink>
        </w:p>
        <w:p w14:paraId="3413C117" w14:textId="772EF28B" w:rsidR="00C41021" w:rsidRPr="00C41021" w:rsidRDefault="005D4A49" w:rsidP="0069757E">
          <w:pPr>
            <w:pStyle w:val="TOC3"/>
            <w:spacing w:line="276" w:lineRule="auto"/>
            <w:rPr>
              <w:rFonts w:ascii="Times New Roman" w:hAnsi="Times New Roman"/>
              <w:noProof/>
              <w:szCs w:val="22"/>
            </w:rPr>
          </w:pPr>
          <w:hyperlink w:anchor="_Toc90046535" w:history="1">
            <w:r w:rsidR="00C41021" w:rsidRPr="00C41021">
              <w:rPr>
                <w:rStyle w:val="Hyperlink"/>
                <w:rFonts w:ascii="Times New Roman" w:hAnsi="Times New Roman"/>
                <w:noProof/>
              </w:rPr>
              <w:t>3.</w:t>
            </w:r>
            <w:r w:rsidR="00C41021" w:rsidRPr="00C41021">
              <w:rPr>
                <w:rFonts w:ascii="Times New Roman" w:hAnsi="Times New Roman"/>
                <w:noProof/>
                <w:szCs w:val="22"/>
              </w:rPr>
              <w:tab/>
            </w:r>
            <w:r w:rsidR="00C41021" w:rsidRPr="00C41021">
              <w:rPr>
                <w:rStyle w:val="Hyperlink"/>
                <w:rFonts w:ascii="Times New Roman" w:hAnsi="Times New Roman"/>
                <w:noProof/>
              </w:rPr>
              <w:t>Oncology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_Toc90046535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73</w:t>
            </w:r>
            <w:r w:rsidR="00C41021" w:rsidRPr="00C41021">
              <w:rPr>
                <w:rFonts w:ascii="Times New Roman" w:hAnsi="Times New Roman"/>
                <w:noProof/>
                <w:webHidden/>
              </w:rPr>
              <w:fldChar w:fldCharType="end"/>
            </w:r>
          </w:hyperlink>
        </w:p>
        <w:p w14:paraId="74E34C6B" w14:textId="446A420E" w:rsidR="00C41021" w:rsidRPr="00C41021" w:rsidRDefault="005D4A49" w:rsidP="0069757E">
          <w:pPr>
            <w:pStyle w:val="TOC1"/>
            <w:spacing w:line="276" w:lineRule="auto"/>
            <w:rPr>
              <w:rFonts w:ascii="Times New Roman" w:hAnsi="Times New Roman"/>
              <w:noProof/>
              <w:szCs w:val="22"/>
            </w:rPr>
          </w:pPr>
          <w:hyperlink w:anchor="_Toc90046536" w:history="1">
            <w:r w:rsidR="00C41021" w:rsidRPr="00C41021">
              <w:rPr>
                <w:rStyle w:val="Hyperlink"/>
                <w:rFonts w:ascii="Times New Roman" w:hAnsi="Times New Roman"/>
                <w:noProof/>
              </w:rPr>
              <w:t>VIII.</w:t>
            </w:r>
            <w:r w:rsidR="00C41021" w:rsidRPr="00C41021">
              <w:rPr>
                <w:rFonts w:ascii="Times New Roman" w:hAnsi="Times New Roman"/>
                <w:noProof/>
                <w:szCs w:val="22"/>
              </w:rPr>
              <w:tab/>
            </w:r>
            <w:r w:rsidR="00C41021" w:rsidRPr="00C41021">
              <w:rPr>
                <w:rStyle w:val="Hyperlink"/>
                <w:rFonts w:ascii="Times New Roman" w:hAnsi="Times New Roman"/>
                <w:noProof/>
              </w:rPr>
              <w:t>Rates for Private and Semi-Private Room Rates at MGH</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_Toc90046536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74</w:t>
            </w:r>
            <w:r w:rsidR="00C41021" w:rsidRPr="00C41021">
              <w:rPr>
                <w:rFonts w:ascii="Times New Roman" w:hAnsi="Times New Roman"/>
                <w:noProof/>
                <w:webHidden/>
              </w:rPr>
              <w:fldChar w:fldCharType="end"/>
            </w:r>
          </w:hyperlink>
        </w:p>
        <w:p w14:paraId="4EF7A67F" w14:textId="0CDAD27E" w:rsidR="00C41021" w:rsidRPr="00C41021" w:rsidRDefault="005D4A49" w:rsidP="0069757E">
          <w:pPr>
            <w:pStyle w:val="TOC1"/>
            <w:spacing w:line="276" w:lineRule="auto"/>
            <w:rPr>
              <w:rFonts w:ascii="Times New Roman" w:hAnsi="Times New Roman"/>
              <w:noProof/>
              <w:szCs w:val="22"/>
            </w:rPr>
          </w:pPr>
          <w:hyperlink w:anchor="_Toc90046537" w:history="1">
            <w:r w:rsidR="00C41021" w:rsidRPr="00C41021">
              <w:rPr>
                <w:rStyle w:val="Hyperlink"/>
                <w:rFonts w:ascii="Times New Roman" w:hAnsi="Times New Roman"/>
                <w:noProof/>
              </w:rPr>
              <w:t>IX.</w:t>
            </w:r>
            <w:r w:rsidR="00C41021" w:rsidRPr="00C41021">
              <w:rPr>
                <w:rFonts w:ascii="Times New Roman" w:hAnsi="Times New Roman"/>
                <w:noProof/>
                <w:szCs w:val="22"/>
              </w:rPr>
              <w:tab/>
            </w:r>
            <w:r w:rsidR="00C41021" w:rsidRPr="00C41021">
              <w:rPr>
                <w:rStyle w:val="Hyperlink"/>
                <w:rFonts w:ascii="Times New Roman" w:hAnsi="Times New Roman"/>
                <w:noProof/>
              </w:rPr>
              <w:t>Predicted Changes in Health Care Expenditures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_Toc90046537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75</w:t>
            </w:r>
            <w:r w:rsidR="00C41021" w:rsidRPr="00C41021">
              <w:rPr>
                <w:rFonts w:ascii="Times New Roman" w:hAnsi="Times New Roman"/>
                <w:noProof/>
                <w:webHidden/>
              </w:rPr>
              <w:fldChar w:fldCharType="end"/>
            </w:r>
          </w:hyperlink>
        </w:p>
        <w:p w14:paraId="0DBB3945" w14:textId="797AC0ED" w:rsidR="00C41021" w:rsidRPr="00C41021" w:rsidRDefault="005D4A49" w:rsidP="0069757E">
          <w:pPr>
            <w:pStyle w:val="TOC2"/>
            <w:spacing w:line="276" w:lineRule="auto"/>
            <w:rPr>
              <w:rFonts w:ascii="Times New Roman" w:hAnsi="Times New Roman" w:cstheme="minorBidi"/>
              <w:szCs w:val="22"/>
            </w:rPr>
          </w:pPr>
          <w:hyperlink w:anchor="_Toc90046538" w:history="1">
            <w:r w:rsidR="00C41021" w:rsidRPr="00C41021">
              <w:rPr>
                <w:rStyle w:val="Hyperlink"/>
                <w:rFonts w:ascii="Times New Roman" w:hAnsi="Times New Roman"/>
              </w:rPr>
              <w:t>A.</w:t>
            </w:r>
            <w:r w:rsidR="00C41021" w:rsidRPr="00C41021">
              <w:rPr>
                <w:rFonts w:ascii="Times New Roman" w:hAnsi="Times New Roman" w:cstheme="minorBidi"/>
                <w:szCs w:val="22"/>
              </w:rPr>
              <w:tab/>
            </w:r>
            <w:r w:rsidR="00C41021" w:rsidRPr="00C41021">
              <w:rPr>
                <w:rStyle w:val="Hyperlink"/>
                <w:rFonts w:ascii="Times New Roman" w:hAnsi="Times New Roman"/>
              </w:rPr>
              <w:t>Inpatient Services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_Toc90046538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76</w:t>
            </w:r>
            <w:r w:rsidR="00C41021" w:rsidRPr="00C41021">
              <w:rPr>
                <w:rFonts w:ascii="Times New Roman" w:hAnsi="Times New Roman"/>
                <w:webHidden/>
              </w:rPr>
              <w:fldChar w:fldCharType="end"/>
            </w:r>
          </w:hyperlink>
        </w:p>
        <w:p w14:paraId="6290CB74" w14:textId="6F9F393C" w:rsidR="00C41021" w:rsidRPr="00C41021" w:rsidRDefault="005D4A49" w:rsidP="0069757E">
          <w:pPr>
            <w:pStyle w:val="TOC3"/>
            <w:spacing w:line="276" w:lineRule="auto"/>
            <w:rPr>
              <w:rFonts w:ascii="Times New Roman" w:hAnsi="Times New Roman"/>
              <w:noProof/>
              <w:szCs w:val="22"/>
            </w:rPr>
          </w:pPr>
          <w:hyperlink w:anchor="_Toc90046539"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Inpatient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_Toc90046539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78</w:t>
            </w:r>
            <w:r w:rsidR="00C41021" w:rsidRPr="00C41021">
              <w:rPr>
                <w:rFonts w:ascii="Times New Roman" w:hAnsi="Times New Roman"/>
                <w:noProof/>
                <w:webHidden/>
              </w:rPr>
              <w:fldChar w:fldCharType="end"/>
            </w:r>
          </w:hyperlink>
        </w:p>
        <w:p w14:paraId="67DA149A" w14:textId="69368E07" w:rsidR="00C41021" w:rsidRPr="00C41021" w:rsidRDefault="005D4A49" w:rsidP="0069757E">
          <w:pPr>
            <w:pStyle w:val="TOC3"/>
            <w:spacing w:line="276" w:lineRule="auto"/>
            <w:rPr>
              <w:rFonts w:ascii="Times New Roman" w:hAnsi="Times New Roman"/>
              <w:noProof/>
              <w:szCs w:val="22"/>
            </w:rPr>
          </w:pPr>
          <w:hyperlink w:anchor="_Toc90046540"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Cancer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_Toc90046540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79</w:t>
            </w:r>
            <w:r w:rsidR="00C41021" w:rsidRPr="00C41021">
              <w:rPr>
                <w:rFonts w:ascii="Times New Roman" w:hAnsi="Times New Roman"/>
                <w:noProof/>
                <w:webHidden/>
              </w:rPr>
              <w:fldChar w:fldCharType="end"/>
            </w:r>
          </w:hyperlink>
        </w:p>
        <w:p w14:paraId="345554A1" w14:textId="566D10F3" w:rsidR="00C41021" w:rsidRPr="00C41021" w:rsidRDefault="005D4A49" w:rsidP="0069757E">
          <w:pPr>
            <w:pStyle w:val="TOC3"/>
            <w:spacing w:line="276" w:lineRule="auto"/>
            <w:rPr>
              <w:rFonts w:ascii="Times New Roman" w:hAnsi="Times New Roman"/>
              <w:noProof/>
              <w:szCs w:val="22"/>
            </w:rPr>
          </w:pPr>
          <w:hyperlink w:anchor="_Toc90046541" w:history="1">
            <w:r w:rsidR="00C41021" w:rsidRPr="00C41021">
              <w:rPr>
                <w:rStyle w:val="Hyperlink"/>
                <w:rFonts w:ascii="Times New Roman" w:hAnsi="Times New Roman"/>
                <w:noProof/>
              </w:rPr>
              <w:t>3.</w:t>
            </w:r>
            <w:r w:rsidR="00C41021" w:rsidRPr="00C41021">
              <w:rPr>
                <w:rFonts w:ascii="Times New Roman" w:hAnsi="Times New Roman"/>
                <w:noProof/>
                <w:szCs w:val="22"/>
              </w:rPr>
              <w:tab/>
            </w:r>
            <w:r w:rsidR="00C41021" w:rsidRPr="00C41021">
              <w:rPr>
                <w:rStyle w:val="Hyperlink"/>
                <w:rFonts w:ascii="Times New Roman" w:hAnsi="Times New Roman"/>
                <w:noProof/>
              </w:rPr>
              <w:t>Heart and Vascular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_Toc90046541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79</w:t>
            </w:r>
            <w:r w:rsidR="00C41021" w:rsidRPr="00C41021">
              <w:rPr>
                <w:rFonts w:ascii="Times New Roman" w:hAnsi="Times New Roman"/>
                <w:noProof/>
                <w:webHidden/>
              </w:rPr>
              <w:fldChar w:fldCharType="end"/>
            </w:r>
          </w:hyperlink>
        </w:p>
        <w:p w14:paraId="489C618E" w14:textId="1F2CB5CB" w:rsidR="00C41021" w:rsidRPr="00C41021" w:rsidRDefault="005D4A49" w:rsidP="0069757E">
          <w:pPr>
            <w:pStyle w:val="TOC2"/>
            <w:spacing w:line="276" w:lineRule="auto"/>
            <w:rPr>
              <w:rFonts w:ascii="Times New Roman" w:hAnsi="Times New Roman" w:cstheme="minorBidi"/>
              <w:szCs w:val="22"/>
            </w:rPr>
          </w:pPr>
          <w:hyperlink w:anchor="_Toc90046542" w:history="1">
            <w:r w:rsidR="00C41021" w:rsidRPr="00C41021">
              <w:rPr>
                <w:rStyle w:val="Hyperlink"/>
                <w:rFonts w:ascii="Times New Roman" w:hAnsi="Times New Roman"/>
              </w:rPr>
              <w:t>B.</w:t>
            </w:r>
            <w:r w:rsidR="00C41021" w:rsidRPr="00C41021">
              <w:rPr>
                <w:rFonts w:ascii="Times New Roman" w:hAnsi="Times New Roman" w:cstheme="minorBidi"/>
                <w:szCs w:val="22"/>
              </w:rPr>
              <w:tab/>
            </w:r>
            <w:r w:rsidR="00C41021" w:rsidRPr="00C41021">
              <w:rPr>
                <w:rStyle w:val="Hyperlink"/>
                <w:rFonts w:ascii="Times New Roman" w:hAnsi="Times New Roman"/>
              </w:rPr>
              <w:t>Outpatient Services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_Toc90046542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80</w:t>
            </w:r>
            <w:r w:rsidR="00C41021" w:rsidRPr="00C41021">
              <w:rPr>
                <w:rFonts w:ascii="Times New Roman" w:hAnsi="Times New Roman"/>
                <w:webHidden/>
              </w:rPr>
              <w:fldChar w:fldCharType="end"/>
            </w:r>
          </w:hyperlink>
        </w:p>
        <w:p w14:paraId="32575FDA" w14:textId="6981A071" w:rsidR="00C41021" w:rsidRPr="00C41021" w:rsidRDefault="005D4A49" w:rsidP="0069757E">
          <w:pPr>
            <w:pStyle w:val="TOC3"/>
            <w:spacing w:line="276" w:lineRule="auto"/>
            <w:rPr>
              <w:rFonts w:ascii="Times New Roman" w:hAnsi="Times New Roman"/>
              <w:noProof/>
              <w:szCs w:val="22"/>
            </w:rPr>
          </w:pPr>
          <w:hyperlink w:anchor="_Toc90046543"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Diagnostic Imaging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_Toc90046543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82</w:t>
            </w:r>
            <w:r w:rsidR="00C41021" w:rsidRPr="00C41021">
              <w:rPr>
                <w:rFonts w:ascii="Times New Roman" w:hAnsi="Times New Roman"/>
                <w:noProof/>
                <w:webHidden/>
              </w:rPr>
              <w:fldChar w:fldCharType="end"/>
            </w:r>
          </w:hyperlink>
        </w:p>
        <w:p w14:paraId="5D04EAD0" w14:textId="4F1AD083" w:rsidR="00C41021" w:rsidRPr="00C41021" w:rsidRDefault="005D4A49" w:rsidP="0069757E">
          <w:pPr>
            <w:pStyle w:val="TOC3"/>
            <w:spacing w:line="276" w:lineRule="auto"/>
            <w:rPr>
              <w:rFonts w:ascii="Times New Roman" w:hAnsi="Times New Roman"/>
              <w:noProof/>
              <w:szCs w:val="22"/>
            </w:rPr>
          </w:pPr>
          <w:hyperlink w:anchor="_Toc90046544"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Cardiovascular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_Toc90046544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84</w:t>
            </w:r>
            <w:r w:rsidR="00C41021" w:rsidRPr="00C41021">
              <w:rPr>
                <w:rFonts w:ascii="Times New Roman" w:hAnsi="Times New Roman"/>
                <w:noProof/>
                <w:webHidden/>
              </w:rPr>
              <w:fldChar w:fldCharType="end"/>
            </w:r>
          </w:hyperlink>
        </w:p>
        <w:p w14:paraId="20B10561" w14:textId="5EA9D990" w:rsidR="00C41021" w:rsidRPr="00C41021" w:rsidRDefault="005D4A49" w:rsidP="0069757E">
          <w:pPr>
            <w:pStyle w:val="TOC3"/>
            <w:spacing w:line="276" w:lineRule="auto"/>
            <w:rPr>
              <w:rFonts w:ascii="Times New Roman" w:hAnsi="Times New Roman"/>
              <w:noProof/>
              <w:szCs w:val="22"/>
            </w:rPr>
          </w:pPr>
          <w:hyperlink w:anchor="_Toc90046545" w:history="1">
            <w:r w:rsidR="00C41021" w:rsidRPr="00C41021">
              <w:rPr>
                <w:rStyle w:val="Hyperlink"/>
                <w:rFonts w:ascii="Times New Roman" w:hAnsi="Times New Roman"/>
                <w:noProof/>
              </w:rPr>
              <w:t>3.</w:t>
            </w:r>
            <w:r w:rsidR="00C41021" w:rsidRPr="00C41021">
              <w:rPr>
                <w:rFonts w:ascii="Times New Roman" w:hAnsi="Times New Roman"/>
                <w:noProof/>
                <w:szCs w:val="22"/>
              </w:rPr>
              <w:tab/>
            </w:r>
            <w:r w:rsidR="00C41021" w:rsidRPr="00C41021">
              <w:rPr>
                <w:rStyle w:val="Hyperlink"/>
                <w:rFonts w:ascii="Times New Roman" w:hAnsi="Times New Roman"/>
                <w:noProof/>
              </w:rPr>
              <w:t>Oncology Services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_Toc90046545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85</w:t>
            </w:r>
            <w:r w:rsidR="00C41021" w:rsidRPr="00C41021">
              <w:rPr>
                <w:rFonts w:ascii="Times New Roman" w:hAnsi="Times New Roman"/>
                <w:noProof/>
                <w:webHidden/>
              </w:rPr>
              <w:fldChar w:fldCharType="end"/>
            </w:r>
          </w:hyperlink>
        </w:p>
        <w:p w14:paraId="42282F95" w14:textId="36AC1079" w:rsidR="00C41021" w:rsidRPr="00C41021" w:rsidRDefault="005D4A49" w:rsidP="0069757E">
          <w:pPr>
            <w:pStyle w:val="TOC1"/>
            <w:spacing w:line="276" w:lineRule="auto"/>
            <w:rPr>
              <w:rFonts w:ascii="Times New Roman" w:hAnsi="Times New Roman"/>
              <w:noProof/>
              <w:szCs w:val="22"/>
            </w:rPr>
          </w:pPr>
          <w:hyperlink w:anchor="_Toc90046546" w:history="1">
            <w:r w:rsidR="00C41021" w:rsidRPr="00C41021">
              <w:rPr>
                <w:rStyle w:val="Hyperlink"/>
                <w:rFonts w:ascii="Times New Roman" w:hAnsi="Times New Roman"/>
                <w:noProof/>
              </w:rPr>
              <w:t>X.</w:t>
            </w:r>
            <w:r w:rsidR="00C41021" w:rsidRPr="00C41021">
              <w:rPr>
                <w:rFonts w:ascii="Times New Roman" w:hAnsi="Times New Roman"/>
                <w:noProof/>
                <w:szCs w:val="22"/>
              </w:rPr>
              <w:tab/>
            </w:r>
            <w:r w:rsidR="00C41021" w:rsidRPr="00C41021">
              <w:rPr>
                <w:rStyle w:val="Hyperlink"/>
                <w:rFonts w:ascii="Times New Roman" w:hAnsi="Times New Roman"/>
                <w:noProof/>
              </w:rPr>
              <w:t>Other Considerations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_Toc90046546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86</w:t>
            </w:r>
            <w:r w:rsidR="00C41021" w:rsidRPr="00C41021">
              <w:rPr>
                <w:rFonts w:ascii="Times New Roman" w:hAnsi="Times New Roman"/>
                <w:noProof/>
                <w:webHidden/>
              </w:rPr>
              <w:fldChar w:fldCharType="end"/>
            </w:r>
          </w:hyperlink>
        </w:p>
        <w:p w14:paraId="1AB63CB3" w14:textId="72832F32" w:rsidR="00C41021" w:rsidRPr="00C41021" w:rsidRDefault="005D4A49" w:rsidP="0069757E">
          <w:pPr>
            <w:pStyle w:val="TOC2"/>
            <w:spacing w:line="276" w:lineRule="auto"/>
            <w:rPr>
              <w:rFonts w:ascii="Times New Roman" w:hAnsi="Times New Roman" w:cstheme="minorBidi"/>
              <w:szCs w:val="22"/>
            </w:rPr>
          </w:pPr>
          <w:hyperlink w:anchor="_Toc90046547" w:history="1">
            <w:r w:rsidR="00C41021" w:rsidRPr="00C41021">
              <w:rPr>
                <w:rStyle w:val="Hyperlink"/>
                <w:rFonts w:ascii="Times New Roman" w:hAnsi="Times New Roman"/>
              </w:rPr>
              <w:t>A.</w:t>
            </w:r>
            <w:r w:rsidR="00C41021" w:rsidRPr="00C41021">
              <w:rPr>
                <w:rFonts w:ascii="Times New Roman" w:hAnsi="Times New Roman" w:cstheme="minorBidi"/>
                <w:szCs w:val="22"/>
              </w:rPr>
              <w:tab/>
            </w:r>
            <w:r w:rsidR="00C41021" w:rsidRPr="00C41021">
              <w:rPr>
                <w:rStyle w:val="Hyperlink"/>
                <w:rFonts w:ascii="Times New Roman" w:hAnsi="Times New Roman"/>
              </w:rPr>
              <w:t>Effect on Demand for Health Care Services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_Toc90046547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86</w:t>
            </w:r>
            <w:r w:rsidR="00C41021" w:rsidRPr="00C41021">
              <w:rPr>
                <w:rFonts w:ascii="Times New Roman" w:hAnsi="Times New Roman"/>
                <w:webHidden/>
              </w:rPr>
              <w:fldChar w:fldCharType="end"/>
            </w:r>
          </w:hyperlink>
        </w:p>
        <w:p w14:paraId="5C436323" w14:textId="4BEE9A1F" w:rsidR="00C41021" w:rsidRPr="00C41021" w:rsidRDefault="005D4A49" w:rsidP="0069757E">
          <w:pPr>
            <w:pStyle w:val="TOC3"/>
            <w:spacing w:line="276" w:lineRule="auto"/>
            <w:rPr>
              <w:rFonts w:ascii="Times New Roman" w:hAnsi="Times New Roman"/>
              <w:noProof/>
              <w:szCs w:val="22"/>
            </w:rPr>
          </w:pPr>
          <w:hyperlink w:anchor="_Toc90046548" w:history="1">
            <w:r w:rsidR="00C41021" w:rsidRPr="00C41021">
              <w:rPr>
                <w:rStyle w:val="Hyperlink"/>
                <w:rFonts w:ascii="Times New Roman" w:hAnsi="Times New Roman"/>
                <w:noProof/>
              </w:rPr>
              <w:t>1.</w:t>
            </w:r>
            <w:r w:rsidR="00C41021" w:rsidRPr="00C41021">
              <w:rPr>
                <w:rFonts w:ascii="Times New Roman" w:hAnsi="Times New Roman"/>
                <w:noProof/>
                <w:szCs w:val="22"/>
              </w:rPr>
              <w:tab/>
            </w:r>
            <w:r w:rsidR="00C41021" w:rsidRPr="00C41021">
              <w:rPr>
                <w:rStyle w:val="Hyperlink"/>
                <w:rFonts w:ascii="Times New Roman" w:hAnsi="Times New Roman"/>
                <w:noProof/>
              </w:rPr>
              <w:t>The Potential for Supply-Induced Demand</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_Toc90046548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86</w:t>
            </w:r>
            <w:r w:rsidR="00C41021" w:rsidRPr="00C41021">
              <w:rPr>
                <w:rFonts w:ascii="Times New Roman" w:hAnsi="Times New Roman"/>
                <w:noProof/>
                <w:webHidden/>
              </w:rPr>
              <w:fldChar w:fldCharType="end"/>
            </w:r>
          </w:hyperlink>
        </w:p>
        <w:p w14:paraId="203F13D4" w14:textId="36825648" w:rsidR="00C41021" w:rsidRPr="00C41021" w:rsidRDefault="005D4A49" w:rsidP="0069757E">
          <w:pPr>
            <w:pStyle w:val="TOC3"/>
            <w:spacing w:line="276" w:lineRule="auto"/>
            <w:rPr>
              <w:rFonts w:ascii="Times New Roman" w:hAnsi="Times New Roman"/>
              <w:noProof/>
              <w:szCs w:val="22"/>
            </w:rPr>
          </w:pPr>
          <w:hyperlink w:anchor="_Toc90046549" w:history="1">
            <w:r w:rsidR="00C41021" w:rsidRPr="00C41021">
              <w:rPr>
                <w:rStyle w:val="Hyperlink"/>
                <w:rFonts w:ascii="Times New Roman" w:hAnsi="Times New Roman"/>
                <w:noProof/>
              </w:rPr>
              <w:t>2.</w:t>
            </w:r>
            <w:r w:rsidR="00C41021" w:rsidRPr="00C41021">
              <w:rPr>
                <w:rFonts w:ascii="Times New Roman" w:hAnsi="Times New Roman"/>
                <w:noProof/>
                <w:szCs w:val="22"/>
              </w:rPr>
              <w:tab/>
            </w:r>
            <w:r w:rsidR="00C41021" w:rsidRPr="00C41021">
              <w:rPr>
                <w:rStyle w:val="Hyperlink"/>
                <w:rFonts w:ascii="Times New Roman" w:hAnsi="Times New Roman"/>
                <w:noProof/>
              </w:rPr>
              <w:t>Literature on the Effect of Additional Imaging Capacity on Demand for Surgery and Inpatient Care</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_Toc90046549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93</w:t>
            </w:r>
            <w:r w:rsidR="00C41021" w:rsidRPr="00C41021">
              <w:rPr>
                <w:rFonts w:ascii="Times New Roman" w:hAnsi="Times New Roman"/>
                <w:noProof/>
                <w:webHidden/>
              </w:rPr>
              <w:fldChar w:fldCharType="end"/>
            </w:r>
          </w:hyperlink>
        </w:p>
        <w:p w14:paraId="2EE864E3" w14:textId="21E646CE" w:rsidR="00C41021" w:rsidRPr="00C41021" w:rsidRDefault="005D4A49" w:rsidP="0069757E">
          <w:pPr>
            <w:pStyle w:val="TOC3"/>
            <w:spacing w:line="276" w:lineRule="auto"/>
            <w:rPr>
              <w:rFonts w:ascii="Times New Roman" w:hAnsi="Times New Roman"/>
              <w:noProof/>
              <w:szCs w:val="22"/>
            </w:rPr>
          </w:pPr>
          <w:hyperlink w:anchor="_Toc90046550" w:history="1">
            <w:r w:rsidR="00C41021" w:rsidRPr="00C41021">
              <w:rPr>
                <w:rStyle w:val="Hyperlink"/>
                <w:rFonts w:ascii="Times New Roman" w:hAnsi="Times New Roman"/>
                <w:noProof/>
              </w:rPr>
              <w:t>3.</w:t>
            </w:r>
            <w:r w:rsidR="00C41021" w:rsidRPr="00C41021">
              <w:rPr>
                <w:rFonts w:ascii="Times New Roman" w:hAnsi="Times New Roman"/>
                <w:noProof/>
                <w:szCs w:val="22"/>
              </w:rPr>
              <w:tab/>
            </w:r>
            <w:r w:rsidR="00C41021" w:rsidRPr="00C41021">
              <w:rPr>
                <w:rStyle w:val="Hyperlink"/>
                <w:rFonts w:ascii="Times New Roman" w:hAnsi="Times New Roman"/>
                <w:noProof/>
              </w:rPr>
              <w:t>The Effect of Reduced Boarding Time in Hospital Emergency Departments or Post-Anesthesia Care Units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_Toc90046550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99</w:t>
            </w:r>
            <w:r w:rsidR="00C41021" w:rsidRPr="00C41021">
              <w:rPr>
                <w:rFonts w:ascii="Times New Roman" w:hAnsi="Times New Roman"/>
                <w:noProof/>
                <w:webHidden/>
              </w:rPr>
              <w:fldChar w:fldCharType="end"/>
            </w:r>
          </w:hyperlink>
        </w:p>
        <w:p w14:paraId="24732D23" w14:textId="4FBCB910" w:rsidR="00C41021" w:rsidRPr="00C41021" w:rsidRDefault="005D4A49" w:rsidP="0069757E">
          <w:pPr>
            <w:pStyle w:val="TOC2"/>
            <w:spacing w:line="276" w:lineRule="auto"/>
            <w:rPr>
              <w:rFonts w:ascii="Times New Roman" w:hAnsi="Times New Roman" w:cstheme="minorBidi"/>
              <w:szCs w:val="22"/>
            </w:rPr>
          </w:pPr>
          <w:hyperlink w:anchor="_Toc90046551" w:history="1">
            <w:r w:rsidR="00C41021" w:rsidRPr="00C41021">
              <w:rPr>
                <w:rStyle w:val="Hyperlink"/>
                <w:rFonts w:ascii="Times New Roman" w:hAnsi="Times New Roman"/>
              </w:rPr>
              <w:t>B.</w:t>
            </w:r>
            <w:r w:rsidR="00C41021" w:rsidRPr="00C41021">
              <w:rPr>
                <w:rFonts w:ascii="Times New Roman" w:hAnsi="Times New Roman" w:cstheme="minorBidi"/>
                <w:szCs w:val="22"/>
              </w:rPr>
              <w:tab/>
            </w:r>
            <w:r w:rsidR="00C41021" w:rsidRPr="00C41021">
              <w:rPr>
                <w:rStyle w:val="Hyperlink"/>
                <w:rFonts w:ascii="Times New Roman" w:hAnsi="Times New Roman"/>
              </w:rPr>
              <w:t>Who Bears the Burden of Higher Costs or Benefits from Cost Savings?</w:t>
            </w:r>
            <w:r w:rsidR="00C41021" w:rsidRPr="00C41021">
              <w:rPr>
                <w:rFonts w:ascii="Times New Roman" w:hAnsi="Times New Roman"/>
                <w:webHidden/>
              </w:rPr>
              <w:tab/>
            </w:r>
            <w:r w:rsidR="00C41021" w:rsidRPr="00C41021">
              <w:rPr>
                <w:rFonts w:ascii="Times New Roman" w:hAnsi="Times New Roman"/>
                <w:webHidden/>
              </w:rPr>
              <w:fldChar w:fldCharType="begin"/>
            </w:r>
            <w:r w:rsidR="00C41021" w:rsidRPr="00C41021">
              <w:rPr>
                <w:rFonts w:ascii="Times New Roman" w:hAnsi="Times New Roman"/>
                <w:webHidden/>
              </w:rPr>
              <w:instrText xml:space="preserve"> PAGEREF _Toc90046551 \h </w:instrText>
            </w:r>
            <w:r w:rsidR="00C41021" w:rsidRPr="00C41021">
              <w:rPr>
                <w:rFonts w:ascii="Times New Roman" w:hAnsi="Times New Roman"/>
                <w:webHidden/>
              </w:rPr>
            </w:r>
            <w:r w:rsidR="00C41021" w:rsidRPr="00C41021">
              <w:rPr>
                <w:rFonts w:ascii="Times New Roman" w:hAnsi="Times New Roman"/>
                <w:webHidden/>
              </w:rPr>
              <w:fldChar w:fldCharType="separate"/>
            </w:r>
            <w:r w:rsidR="002B78C3">
              <w:rPr>
                <w:rFonts w:ascii="Times New Roman" w:hAnsi="Times New Roman"/>
                <w:webHidden/>
              </w:rPr>
              <w:t>102</w:t>
            </w:r>
            <w:r w:rsidR="00C41021" w:rsidRPr="00C41021">
              <w:rPr>
                <w:rFonts w:ascii="Times New Roman" w:hAnsi="Times New Roman"/>
                <w:webHidden/>
              </w:rPr>
              <w:fldChar w:fldCharType="end"/>
            </w:r>
          </w:hyperlink>
        </w:p>
        <w:p w14:paraId="719754EE" w14:textId="2C24C150" w:rsidR="00C41021" w:rsidRPr="00C41021" w:rsidRDefault="005D4A49" w:rsidP="0069757E">
          <w:pPr>
            <w:pStyle w:val="TOC1"/>
            <w:spacing w:line="276" w:lineRule="auto"/>
            <w:rPr>
              <w:rFonts w:ascii="Times New Roman" w:hAnsi="Times New Roman"/>
              <w:noProof/>
              <w:szCs w:val="22"/>
            </w:rPr>
          </w:pPr>
          <w:hyperlink w:anchor="_Toc90046552" w:history="1">
            <w:r w:rsidR="00C41021" w:rsidRPr="00C41021">
              <w:rPr>
                <w:rStyle w:val="Hyperlink"/>
                <w:rFonts w:ascii="Times New Roman" w:hAnsi="Times New Roman"/>
                <w:noProof/>
              </w:rPr>
              <w:t>XI.</w:t>
            </w:r>
            <w:r w:rsidR="00C41021" w:rsidRPr="00C41021">
              <w:rPr>
                <w:rFonts w:ascii="Times New Roman" w:hAnsi="Times New Roman"/>
                <w:noProof/>
                <w:szCs w:val="22"/>
              </w:rPr>
              <w:tab/>
            </w:r>
            <w:r w:rsidR="00C41021" w:rsidRPr="00C41021">
              <w:rPr>
                <w:rStyle w:val="Hyperlink"/>
                <w:rFonts w:ascii="Times New Roman" w:hAnsi="Times New Roman"/>
                <w:noProof/>
              </w:rPr>
              <w:t>Conclusions</w:t>
            </w:r>
            <w:r w:rsidR="00C41021" w:rsidRPr="00C41021">
              <w:rPr>
                <w:rFonts w:ascii="Times New Roman" w:hAnsi="Times New Roman"/>
                <w:noProof/>
                <w:webHidden/>
              </w:rPr>
              <w:tab/>
            </w:r>
            <w:r w:rsidR="00C41021" w:rsidRPr="00C41021">
              <w:rPr>
                <w:rFonts w:ascii="Times New Roman" w:hAnsi="Times New Roman"/>
                <w:noProof/>
                <w:webHidden/>
              </w:rPr>
              <w:fldChar w:fldCharType="begin"/>
            </w:r>
            <w:r w:rsidR="00C41021" w:rsidRPr="00C41021">
              <w:rPr>
                <w:rFonts w:ascii="Times New Roman" w:hAnsi="Times New Roman"/>
                <w:noProof/>
                <w:webHidden/>
              </w:rPr>
              <w:instrText xml:space="preserve"> PAGEREF _Toc90046552 \h </w:instrText>
            </w:r>
            <w:r w:rsidR="00C41021" w:rsidRPr="00C41021">
              <w:rPr>
                <w:rFonts w:ascii="Times New Roman" w:hAnsi="Times New Roman"/>
                <w:noProof/>
                <w:webHidden/>
              </w:rPr>
            </w:r>
            <w:r w:rsidR="00C41021" w:rsidRPr="00C41021">
              <w:rPr>
                <w:rFonts w:ascii="Times New Roman" w:hAnsi="Times New Roman"/>
                <w:noProof/>
                <w:webHidden/>
              </w:rPr>
              <w:fldChar w:fldCharType="separate"/>
            </w:r>
            <w:r w:rsidR="002B78C3">
              <w:rPr>
                <w:rFonts w:ascii="Times New Roman" w:hAnsi="Times New Roman"/>
                <w:noProof/>
                <w:webHidden/>
              </w:rPr>
              <w:t>107</w:t>
            </w:r>
            <w:r w:rsidR="00C41021" w:rsidRPr="00C41021">
              <w:rPr>
                <w:rFonts w:ascii="Times New Roman" w:hAnsi="Times New Roman"/>
                <w:noProof/>
                <w:webHidden/>
              </w:rPr>
              <w:fldChar w:fldCharType="end"/>
            </w:r>
          </w:hyperlink>
        </w:p>
        <w:p w14:paraId="06C38E94" w14:textId="55A217A9" w:rsidR="00C122A9" w:rsidRPr="003F07B1" w:rsidRDefault="00C122A9" w:rsidP="0069757E">
          <w:pPr>
            <w:spacing w:line="276" w:lineRule="auto"/>
            <w:rPr>
              <w:rFonts w:ascii="Times New Roman" w:hAnsi="Times New Roman" w:cs="Times New Roman"/>
            </w:rPr>
            <w:sectPr w:rsidR="00C122A9" w:rsidRPr="003F07B1" w:rsidSect="004E484C">
              <w:headerReference w:type="default" r:id="rId14"/>
              <w:footerReference w:type="default" r:id="rId15"/>
              <w:pgSz w:w="12240" w:h="15840"/>
              <w:pgMar w:top="1440" w:right="1440" w:bottom="1440" w:left="1440" w:header="720" w:footer="720" w:gutter="0"/>
              <w:pgNumType w:start="1"/>
              <w:cols w:space="720"/>
              <w:docGrid w:linePitch="360"/>
            </w:sectPr>
          </w:pPr>
          <w:r w:rsidRPr="00C41021">
            <w:rPr>
              <w:rFonts w:ascii="Times New Roman" w:hAnsi="Times New Roman" w:cs="Times New Roman"/>
              <w:b/>
              <w:bCs/>
              <w:noProof/>
            </w:rPr>
            <w:fldChar w:fldCharType="end"/>
          </w:r>
        </w:p>
      </w:sdtContent>
    </w:sdt>
    <w:p w14:paraId="68EF8949" w14:textId="38A968AC" w:rsidR="0091735F" w:rsidRPr="00817B9F" w:rsidRDefault="00D50871" w:rsidP="004512A3">
      <w:pPr>
        <w:pStyle w:val="Heading1"/>
      </w:pPr>
      <w:bookmarkStart w:id="1" w:name="_Toc90046484"/>
      <w:r w:rsidRPr="00817B9F">
        <w:lastRenderedPageBreak/>
        <w:t>Executive S</w:t>
      </w:r>
      <w:r w:rsidR="00363A05" w:rsidRPr="00817B9F">
        <w:t>u</w:t>
      </w:r>
      <w:r w:rsidRPr="00817B9F">
        <w:t>mmary</w:t>
      </w:r>
      <w:bookmarkEnd w:id="1"/>
    </w:p>
    <w:p w14:paraId="42F8BB1A" w14:textId="3BFD444E" w:rsidR="006D40EC" w:rsidRPr="00817B9F" w:rsidRDefault="006D40EC" w:rsidP="006D40EC">
      <w:pPr>
        <w:pStyle w:val="NumberedParagraphs"/>
      </w:pPr>
      <w:r w:rsidRPr="00817B9F">
        <w:t>Mass General Brigham filed a Determination of Need Application that proposes construction of a new tower on the main campus of Massachusetts General Hospital. The proposed new tower would contain 482 private beds and increase the number of licensed beds at the hospital by 94 beds. The project also proposes consolidation of oncology and cardiovascular services at the new tower and acquisition of new diagnostic imaging equipment for the hospital. The total proposed expenditure associated with the project is approximately $1.881 billion.</w:t>
      </w:r>
    </w:p>
    <w:p w14:paraId="64D5F334" w14:textId="118BAFEA" w:rsidR="00F825F0" w:rsidRPr="00817B9F" w:rsidRDefault="006066E7" w:rsidP="0027011C">
      <w:pPr>
        <w:pStyle w:val="NumberedParagraphs"/>
      </w:pPr>
      <w:r w:rsidRPr="00817B9F">
        <w:t>The Massachusetts Department of Public Health has required an independent cost analysis for the project to assist in determining whether the project would be consistent with the health care cost containment goals of Massachusetts. As directed by the Determination of Need program, the two primary elements to be addressed in the analysis are (i) the effects of the proposed project on prices of and competition for health care services in Massachusetts and (ii) the effects of the proposed project on the utilization of health care services in Massachusetts and the capacity of health care providers in Massachusetts to render those services.</w:t>
      </w:r>
      <w:r w:rsidR="004B3F3D" w:rsidRPr="00817B9F">
        <w:t xml:space="preserve"> Our analysis in connection with the independent cost analysis supports the following conclusions. </w:t>
      </w:r>
    </w:p>
    <w:p w14:paraId="1263BBCB" w14:textId="60081EED" w:rsidR="004B3F3D" w:rsidRPr="00817B9F" w:rsidRDefault="00967A65" w:rsidP="00C41646">
      <w:pPr>
        <w:pStyle w:val="NumberedParagraphs"/>
      </w:pPr>
      <w:r w:rsidRPr="00817B9F">
        <w:t>Inp</w:t>
      </w:r>
      <w:r w:rsidR="004B3F3D" w:rsidRPr="00817B9F">
        <w:t xml:space="preserve">atient days at </w:t>
      </w:r>
      <w:r w:rsidRPr="00817B9F">
        <w:t>Massachusetts General</w:t>
      </w:r>
      <w:r w:rsidR="004B3F3D" w:rsidRPr="00817B9F">
        <w:t xml:space="preserve"> </w:t>
      </w:r>
      <w:r w:rsidR="00124A5B" w:rsidRPr="00817B9F">
        <w:t>H</w:t>
      </w:r>
      <w:r w:rsidR="004B3F3D" w:rsidRPr="00817B9F">
        <w:t xml:space="preserve">ospital increased by almost </w:t>
      </w:r>
      <w:r w:rsidRPr="00817B9F">
        <w:t>five</w:t>
      </w:r>
      <w:r w:rsidR="004B3F3D" w:rsidRPr="00817B9F">
        <w:t xml:space="preserve"> percent between 2015 and 2019</w:t>
      </w:r>
      <w:r w:rsidR="004E1B5A" w:rsidRPr="00817B9F">
        <w:t>;</w:t>
      </w:r>
      <w:r w:rsidR="0062790D" w:rsidRPr="00817B9F">
        <w:t xml:space="preserve"> the increase in patient days for heart and vascular services was </w:t>
      </w:r>
      <w:r w:rsidR="00E47F90" w:rsidRPr="00817B9F">
        <w:t>17 percent</w:t>
      </w:r>
      <w:r w:rsidR="004B3F3D" w:rsidRPr="00817B9F">
        <w:t>. We predict further increases in demand for inpatient services</w:t>
      </w:r>
      <w:r w:rsidR="00483512" w:rsidRPr="00817B9F">
        <w:t xml:space="preserve"> </w:t>
      </w:r>
      <w:r w:rsidR="001A5288" w:rsidRPr="00817B9F">
        <w:t>across all service lines</w:t>
      </w:r>
      <w:r w:rsidR="004B3F3D" w:rsidRPr="00817B9F">
        <w:t xml:space="preserve"> at the hospital in the next five to ten years. </w:t>
      </w:r>
      <w:r w:rsidR="003F7B37" w:rsidRPr="00817B9F">
        <w:t xml:space="preserve">We also </w:t>
      </w:r>
      <w:r w:rsidR="006C1BEB" w:rsidRPr="00817B9F">
        <w:t xml:space="preserve">predict significant growth in demand </w:t>
      </w:r>
      <w:r w:rsidR="00C41646" w:rsidRPr="00817B9F">
        <w:t xml:space="preserve">for outpatient diagnostic imaging, cardiovascular services, and </w:t>
      </w:r>
      <w:r w:rsidR="00972731" w:rsidRPr="00817B9F">
        <w:t>oncology</w:t>
      </w:r>
      <w:r w:rsidR="00C41646" w:rsidRPr="00817B9F">
        <w:t xml:space="preserve"> visits at the hospital. These </w:t>
      </w:r>
      <w:r w:rsidR="004B3F3D" w:rsidRPr="00817B9F">
        <w:t>increase</w:t>
      </w:r>
      <w:r w:rsidR="00C41646" w:rsidRPr="00817B9F">
        <w:t>s</w:t>
      </w:r>
      <w:r w:rsidR="004B3F3D" w:rsidRPr="00817B9F">
        <w:t xml:space="preserve"> </w:t>
      </w:r>
      <w:r w:rsidR="00C41646" w:rsidRPr="00817B9F">
        <w:t>are</w:t>
      </w:r>
      <w:r w:rsidR="004B3F3D" w:rsidRPr="00817B9F">
        <w:t xml:space="preserve"> driven by the projected population growth in the service area of the hospital and the aging of that population. </w:t>
      </w:r>
      <w:r w:rsidR="003F4269" w:rsidRPr="00817B9F">
        <w:t xml:space="preserve">In particular, the number of residents in the hospital’s </w:t>
      </w:r>
      <w:r w:rsidR="004E1B5A" w:rsidRPr="00817B9F">
        <w:t xml:space="preserve">inpatient </w:t>
      </w:r>
      <w:r w:rsidR="003F4269" w:rsidRPr="00817B9F">
        <w:t xml:space="preserve">service area </w:t>
      </w:r>
      <w:r w:rsidR="00024AD0" w:rsidRPr="00817B9F">
        <w:t>age</w:t>
      </w:r>
      <w:r w:rsidR="003F4269" w:rsidRPr="00817B9F">
        <w:t xml:space="preserve"> 65</w:t>
      </w:r>
      <w:r w:rsidR="00024AD0" w:rsidRPr="00817B9F">
        <w:t xml:space="preserve"> </w:t>
      </w:r>
      <w:r w:rsidR="00995008" w:rsidRPr="00817B9F">
        <w:t>and</w:t>
      </w:r>
      <w:r w:rsidR="00024AD0" w:rsidRPr="00817B9F">
        <w:t xml:space="preserve"> older</w:t>
      </w:r>
      <w:r w:rsidR="0077170A" w:rsidRPr="00817B9F">
        <w:t>—who tend to require more health care services—</w:t>
      </w:r>
      <w:r w:rsidR="003F4269" w:rsidRPr="00817B9F">
        <w:t>is projected to grow by 30 percent over the next decade.</w:t>
      </w:r>
    </w:p>
    <w:p w14:paraId="711EB61B" w14:textId="0DDBF575" w:rsidR="004B3F3D" w:rsidRPr="00817B9F" w:rsidRDefault="004B3F3D" w:rsidP="006D40EC">
      <w:pPr>
        <w:pStyle w:val="NumberedParagraphs"/>
      </w:pPr>
      <w:r w:rsidRPr="00817B9F">
        <w:t xml:space="preserve">The predicted changes in Mass General Brigham’s shares associated with the proposed project are modest and </w:t>
      </w:r>
      <w:r w:rsidR="00DF49DB" w:rsidRPr="00817B9F">
        <w:t>unlikely to meaningfully change the system’s bargaining leverage with health insurers. Rather, the weight of the economics literature suggests that allowing</w:t>
      </w:r>
      <w:r w:rsidR="00714D3D" w:rsidRPr="00817B9F">
        <w:t xml:space="preserve"> capacity-constrained</w:t>
      </w:r>
      <w:r w:rsidR="00DF49DB" w:rsidRPr="00817B9F">
        <w:t xml:space="preserve"> </w:t>
      </w:r>
      <w:r w:rsidR="00D120FE" w:rsidRPr="00817B9F">
        <w:t>health care providers</w:t>
      </w:r>
      <w:r w:rsidR="00DF49DB" w:rsidRPr="00817B9F">
        <w:t xml:space="preserve"> </w:t>
      </w:r>
      <w:r w:rsidR="00714D3D" w:rsidRPr="00817B9F">
        <w:t xml:space="preserve">such as Massachusetts General Hospital </w:t>
      </w:r>
      <w:r w:rsidR="00DF49DB" w:rsidRPr="00817B9F">
        <w:t xml:space="preserve">to expand </w:t>
      </w:r>
      <w:r w:rsidR="00714D3D" w:rsidRPr="00817B9F">
        <w:t>puts downward pressure on</w:t>
      </w:r>
      <w:r w:rsidR="00DF49DB" w:rsidRPr="00817B9F">
        <w:t xml:space="preserve"> health care prices and reduces expenditures on health care services. </w:t>
      </w:r>
    </w:p>
    <w:p w14:paraId="0E26A691" w14:textId="63FBCDC1" w:rsidR="00124A5B" w:rsidRPr="00817B9F" w:rsidRDefault="00FC74EA" w:rsidP="0027011C">
      <w:pPr>
        <w:pStyle w:val="NumberedParagraphs"/>
      </w:pPr>
      <w:r w:rsidRPr="00817B9F">
        <w:lastRenderedPageBreak/>
        <w:t xml:space="preserve">The proposed project will </w:t>
      </w:r>
      <w:r w:rsidR="00B81157" w:rsidRPr="00817B9F">
        <w:t>increase</w:t>
      </w:r>
      <w:r w:rsidRPr="00817B9F">
        <w:t xml:space="preserve"> expenditures on inpatient </w:t>
      </w:r>
      <w:r w:rsidR="00B81157" w:rsidRPr="00817B9F">
        <w:t xml:space="preserve">and outpatient </w:t>
      </w:r>
      <w:r w:rsidRPr="00817B9F">
        <w:t xml:space="preserve">health care services for patients who switch to receiving care at </w:t>
      </w:r>
      <w:r w:rsidR="00B81157" w:rsidRPr="00817B9F">
        <w:t>Massachusetts General</w:t>
      </w:r>
      <w:r w:rsidRPr="00817B9F">
        <w:t xml:space="preserve"> Hospital.</w:t>
      </w:r>
      <w:r w:rsidR="00DB1E8E" w:rsidRPr="00817B9F">
        <w:t xml:space="preserve"> For each </w:t>
      </w:r>
      <w:r w:rsidR="00E8498C" w:rsidRPr="00817B9F">
        <w:t>patient</w:t>
      </w:r>
      <w:r w:rsidR="00DB1E8E" w:rsidRPr="00817B9F">
        <w:t xml:space="preserve"> who switches to receiving care at the hospital</w:t>
      </w:r>
      <w:r w:rsidR="00714D3D" w:rsidRPr="00817B9F">
        <w:t xml:space="preserve"> following the proposed expansion</w:t>
      </w:r>
      <w:r w:rsidR="00DB1E8E" w:rsidRPr="00817B9F">
        <w:t xml:space="preserve">, we predict that </w:t>
      </w:r>
      <w:r w:rsidR="00505DAC" w:rsidRPr="00817B9F">
        <w:t>average</w:t>
      </w:r>
      <w:r w:rsidR="00D07881" w:rsidRPr="00817B9F">
        <w:t xml:space="preserve"> health care</w:t>
      </w:r>
      <w:r w:rsidR="00505DAC" w:rsidRPr="00817B9F">
        <w:t xml:space="preserve"> </w:t>
      </w:r>
      <w:r w:rsidR="00DB1E8E" w:rsidRPr="00817B9F">
        <w:t xml:space="preserve">expenditures will increase by </w:t>
      </w:r>
      <w:r w:rsidR="00714D3D" w:rsidRPr="00817B9F">
        <w:t>18 percent</w:t>
      </w:r>
      <w:r w:rsidR="00DA7052" w:rsidRPr="00817B9F">
        <w:t xml:space="preserve">. </w:t>
      </w:r>
      <w:r w:rsidR="00714D3D" w:rsidRPr="00817B9F">
        <w:t xml:space="preserve">However, the overall </w:t>
      </w:r>
      <w:r w:rsidR="00384D18" w:rsidRPr="00817B9F">
        <w:t xml:space="preserve">increase in </w:t>
      </w:r>
      <w:r w:rsidR="00714D3D" w:rsidRPr="00817B9F">
        <w:t xml:space="preserve">health care expenditures across </w:t>
      </w:r>
      <w:r w:rsidR="007A13CE" w:rsidRPr="00817B9F">
        <w:t xml:space="preserve">all </w:t>
      </w:r>
      <w:r w:rsidR="00714D3D" w:rsidRPr="00817B9F">
        <w:t>the service lines associated with the proposed expansion is</w:t>
      </w:r>
      <w:r w:rsidR="00D07881" w:rsidRPr="00817B9F">
        <w:t xml:space="preserve"> </w:t>
      </w:r>
      <w:r w:rsidR="00714D3D" w:rsidRPr="00817B9F">
        <w:t>only 0</w:t>
      </w:r>
      <w:r w:rsidR="004C6E1B" w:rsidRPr="00817B9F">
        <w:t>.</w:t>
      </w:r>
      <w:r w:rsidR="007E6B1B" w:rsidRPr="00817B9F">
        <w:t>2</w:t>
      </w:r>
      <w:r w:rsidR="00714D3D" w:rsidRPr="00817B9F">
        <w:t xml:space="preserve"> percent. This overall increase is substantially smaller than the increase </w:t>
      </w:r>
      <w:r w:rsidR="00384D18" w:rsidRPr="00817B9F">
        <w:t>in</w:t>
      </w:r>
      <w:r w:rsidR="00714D3D" w:rsidRPr="00817B9F">
        <w:t xml:space="preserve"> expenditures for patients who would switch to Massachusetts General Hospital because the choices of most patients would be unaffected by the proposed project. </w:t>
      </w:r>
    </w:p>
    <w:p w14:paraId="23359721" w14:textId="59F3A2B4" w:rsidR="00D07881" w:rsidRPr="00817B9F" w:rsidRDefault="00D07881" w:rsidP="0027011C">
      <w:pPr>
        <w:pStyle w:val="NumberedParagraphs"/>
      </w:pPr>
      <w:r w:rsidRPr="00817B9F">
        <w:t>For these reasons, we believe that the proposed project is consistent with the Commonwealth of Massachusetts’ health care cost-containment goals.</w:t>
      </w:r>
    </w:p>
    <w:p w14:paraId="6641EF60" w14:textId="22C798F9" w:rsidR="004512A3" w:rsidRPr="00817B9F" w:rsidRDefault="00250C41" w:rsidP="004512A3">
      <w:pPr>
        <w:pStyle w:val="Heading1"/>
      </w:pPr>
      <w:bookmarkStart w:id="2" w:name="_Toc90046485"/>
      <w:r w:rsidRPr="00817B9F">
        <w:t>Introduction and Background</w:t>
      </w:r>
      <w:bookmarkEnd w:id="2"/>
    </w:p>
    <w:p w14:paraId="5E443D48" w14:textId="1D4469F9" w:rsidR="00BC3D87" w:rsidRPr="00817B9F" w:rsidRDefault="00286E8F" w:rsidP="00BC3D87">
      <w:pPr>
        <w:pStyle w:val="Heading2"/>
        <w:rPr>
          <w:rFonts w:cs="Times New Roman"/>
        </w:rPr>
      </w:pPr>
      <w:bookmarkStart w:id="3" w:name="_Toc90046486"/>
      <w:r w:rsidRPr="00817B9F">
        <w:rPr>
          <w:rFonts w:cs="Times New Roman"/>
        </w:rPr>
        <w:t>Introduction</w:t>
      </w:r>
      <w:bookmarkEnd w:id="3"/>
    </w:p>
    <w:p w14:paraId="5691869D" w14:textId="2653E2D5" w:rsidR="00250C41" w:rsidRPr="00817B9F" w:rsidRDefault="001B7A78" w:rsidP="00937984">
      <w:pPr>
        <w:pStyle w:val="NumberedParagraphs"/>
      </w:pPr>
      <w:r w:rsidRPr="00817B9F">
        <w:t>Mass General Brigham Incorporated (“MGB” or “the Applicant”)</w:t>
      </w:r>
      <w:r w:rsidR="00EF081C" w:rsidRPr="00817B9F">
        <w:t xml:space="preserve"> </w:t>
      </w:r>
      <w:r w:rsidR="002228E8" w:rsidRPr="00817B9F">
        <w:t xml:space="preserve">filed a Determination of Need Application </w:t>
      </w:r>
      <w:r w:rsidR="00866007" w:rsidRPr="00817B9F">
        <w:t xml:space="preserve">for project number </w:t>
      </w:r>
      <w:r w:rsidR="00CB3C3F" w:rsidRPr="00817B9F">
        <w:t>MGB-20121612-HE</w:t>
      </w:r>
      <w:r w:rsidR="00A7777C" w:rsidRPr="00817B9F">
        <w:t xml:space="preserve"> on January 21, 2021</w:t>
      </w:r>
      <w:r w:rsidR="00BB4A21" w:rsidRPr="00817B9F">
        <w:t xml:space="preserve"> (</w:t>
      </w:r>
      <w:r w:rsidR="00392A37" w:rsidRPr="00817B9F">
        <w:t xml:space="preserve">the </w:t>
      </w:r>
      <w:r w:rsidR="00F0755B" w:rsidRPr="00817B9F">
        <w:t>“</w:t>
      </w:r>
      <w:r w:rsidR="00BB4A21" w:rsidRPr="00817B9F">
        <w:t>MGH DoN</w:t>
      </w:r>
      <w:r w:rsidR="00F0755B" w:rsidRPr="00817B9F">
        <w:t>”</w:t>
      </w:r>
      <w:r w:rsidR="00BB4A21" w:rsidRPr="00817B9F">
        <w:t>)</w:t>
      </w:r>
      <w:r w:rsidR="00CB3C3F" w:rsidRPr="00817B9F">
        <w:t xml:space="preserve">. </w:t>
      </w:r>
      <w:r w:rsidR="00D242C5" w:rsidRPr="00817B9F">
        <w:t>In</w:t>
      </w:r>
      <w:r w:rsidR="006E4C5D" w:rsidRPr="00817B9F">
        <w:t xml:space="preserve"> this project</w:t>
      </w:r>
      <w:r w:rsidR="00D242C5" w:rsidRPr="00817B9F">
        <w:t>,</w:t>
      </w:r>
      <w:r w:rsidR="006E4C5D" w:rsidRPr="00817B9F">
        <w:t xml:space="preserve"> the Applicant </w:t>
      </w:r>
      <w:r w:rsidR="00471C64" w:rsidRPr="00817B9F">
        <w:t xml:space="preserve">proposes constructing a new tower on the main campus of Massachusetts General Hospital (“MGH”) </w:t>
      </w:r>
      <w:r w:rsidR="00054369" w:rsidRPr="00817B9F">
        <w:t xml:space="preserve">that would </w:t>
      </w:r>
      <w:r w:rsidR="00B8317C" w:rsidRPr="00817B9F">
        <w:t>contain</w:t>
      </w:r>
      <w:r w:rsidR="00001CF6" w:rsidRPr="00817B9F">
        <w:t xml:space="preserve"> </w:t>
      </w:r>
      <w:r w:rsidR="00B8317C" w:rsidRPr="00817B9F">
        <w:t>48</w:t>
      </w:r>
      <w:r w:rsidR="00365887" w:rsidRPr="00817B9F">
        <w:t>2</w:t>
      </w:r>
      <w:r w:rsidR="00B8317C" w:rsidRPr="00817B9F">
        <w:t xml:space="preserve"> </w:t>
      </w:r>
      <w:r w:rsidR="00001CF6" w:rsidRPr="00817B9F">
        <w:t>private</w:t>
      </w:r>
      <w:r w:rsidR="00B8317C" w:rsidRPr="00817B9F">
        <w:t xml:space="preserve"> medical/surgical and intensive care unit (“ICU”) beds, </w:t>
      </w:r>
      <w:r w:rsidR="00365887" w:rsidRPr="00817B9F">
        <w:t xml:space="preserve">corresponding to a net increase in the number of licensed beds at MGH of 94 and a net increase in the number of operational beds at MGH of </w:t>
      </w:r>
      <w:r w:rsidR="00184D6F" w:rsidRPr="00817B9F">
        <w:t>118.</w:t>
      </w:r>
      <w:r w:rsidR="00567B3F" w:rsidRPr="00817B9F">
        <w:rPr>
          <w:rStyle w:val="FootnoteReference"/>
        </w:rPr>
        <w:footnoteReference w:id="2"/>
      </w:r>
      <w:r w:rsidR="00184D6F" w:rsidRPr="00817B9F">
        <w:t xml:space="preserve"> The project also </w:t>
      </w:r>
      <w:r w:rsidR="0037316B" w:rsidRPr="00817B9F">
        <w:t xml:space="preserve">proposes consolidation of </w:t>
      </w:r>
      <w:r w:rsidR="006D40EC" w:rsidRPr="00817B9F">
        <w:t>oncology and cardiovascular</w:t>
      </w:r>
      <w:r w:rsidR="0037316B" w:rsidRPr="00817B9F">
        <w:t xml:space="preserve"> </w:t>
      </w:r>
      <w:r w:rsidR="006D40EC" w:rsidRPr="00817B9F">
        <w:t>services</w:t>
      </w:r>
      <w:r w:rsidR="0037316B" w:rsidRPr="00817B9F">
        <w:t xml:space="preserve"> at the new tower</w:t>
      </w:r>
      <w:r w:rsidR="00883546" w:rsidRPr="00817B9F">
        <w:t xml:space="preserve">, </w:t>
      </w:r>
      <w:r w:rsidR="0037316B" w:rsidRPr="00817B9F">
        <w:t xml:space="preserve">acquisition </w:t>
      </w:r>
      <w:r w:rsidR="00883546" w:rsidRPr="00817B9F">
        <w:t>of new diagnostic imaging equipment, and several small renovation projects at MGH’s main campus and satellite locations.</w:t>
      </w:r>
      <w:r w:rsidR="005F2200" w:rsidRPr="00817B9F">
        <w:rPr>
          <w:rStyle w:val="FootnoteReference"/>
        </w:rPr>
        <w:footnoteReference w:id="3"/>
      </w:r>
      <w:r w:rsidR="00883546" w:rsidRPr="00817B9F">
        <w:t xml:space="preserve"> </w:t>
      </w:r>
      <w:r w:rsidR="00A36E66" w:rsidRPr="00817B9F">
        <w:t>The total proposed expenditure associated with the project is approximately $1.881 billion.</w:t>
      </w:r>
      <w:r w:rsidR="00D348CC" w:rsidRPr="00817B9F">
        <w:rPr>
          <w:rStyle w:val="FootnoteReference"/>
        </w:rPr>
        <w:footnoteReference w:id="4"/>
      </w:r>
    </w:p>
    <w:p w14:paraId="023FC83E" w14:textId="4AC2D3DB" w:rsidR="007021CC" w:rsidRPr="00817B9F" w:rsidRDefault="00952845" w:rsidP="003B36E0">
      <w:pPr>
        <w:pStyle w:val="NumberedParagraphs"/>
      </w:pPr>
      <w:r w:rsidRPr="00817B9F">
        <w:t>T</w:t>
      </w:r>
      <w:r w:rsidR="00E7584A" w:rsidRPr="00817B9F">
        <w:t>he Massachusetts Dep</w:t>
      </w:r>
      <w:r w:rsidR="00193A5B" w:rsidRPr="00817B9F">
        <w:t>artment of Public Health</w:t>
      </w:r>
      <w:r w:rsidR="00DB7F66" w:rsidRPr="00817B9F">
        <w:t xml:space="preserve"> (“DPH”)</w:t>
      </w:r>
      <w:r w:rsidR="00193A5B" w:rsidRPr="00817B9F">
        <w:t xml:space="preserve"> has required an independent cost analysis (“ICA”) </w:t>
      </w:r>
      <w:r w:rsidR="00614C2A" w:rsidRPr="00817B9F">
        <w:t>for the project to</w:t>
      </w:r>
      <w:r w:rsidR="006066E7" w:rsidRPr="00817B9F">
        <w:t xml:space="preserve"> assist in</w:t>
      </w:r>
      <w:r w:rsidR="00614C2A" w:rsidRPr="00817B9F">
        <w:t xml:space="preserve"> determin</w:t>
      </w:r>
      <w:r w:rsidR="006066E7" w:rsidRPr="00817B9F">
        <w:t>ing</w:t>
      </w:r>
      <w:r w:rsidR="00614C2A" w:rsidRPr="00817B9F">
        <w:t xml:space="preserve"> whether the project will be consistent with </w:t>
      </w:r>
      <w:r w:rsidR="00614C2A" w:rsidRPr="00817B9F">
        <w:lastRenderedPageBreak/>
        <w:t xml:space="preserve">the health care cost containment goals of Massachusetts. </w:t>
      </w:r>
      <w:r w:rsidR="001F3E15" w:rsidRPr="00817B9F">
        <w:t>The ICA is being conducted by Charles River Associates</w:t>
      </w:r>
      <w:r w:rsidR="00F8055D" w:rsidRPr="00817B9F">
        <w:t xml:space="preserve"> </w:t>
      </w:r>
      <w:r w:rsidR="002459DC" w:rsidRPr="00817B9F">
        <w:t xml:space="preserve">(“CRA”) </w:t>
      </w:r>
      <w:r w:rsidR="00A63CD9" w:rsidRPr="00817B9F">
        <w:t xml:space="preserve">to provide an independent analysis </w:t>
      </w:r>
      <w:r w:rsidR="00F8055D" w:rsidRPr="00817B9F">
        <w:t xml:space="preserve">at the direction of the Determination of Need </w:t>
      </w:r>
      <w:r w:rsidR="007021CC" w:rsidRPr="00817B9F">
        <w:t>(“DoN”) pr</w:t>
      </w:r>
      <w:r w:rsidR="00F8055D" w:rsidRPr="00817B9F">
        <w:t xml:space="preserve">ogram of DPH. </w:t>
      </w:r>
      <w:r w:rsidR="003B36E0" w:rsidRPr="00817B9F">
        <w:t>As described by DPH:</w:t>
      </w:r>
      <w:r w:rsidR="007021CC" w:rsidRPr="00817B9F">
        <w:t xml:space="preserve"> </w:t>
      </w:r>
    </w:p>
    <w:p w14:paraId="7916A3A0" w14:textId="6C89301C" w:rsidR="003B36E0" w:rsidRPr="00817B9F" w:rsidRDefault="007021CC" w:rsidP="007021CC">
      <w:pPr>
        <w:pStyle w:val="NumberedParagraphs"/>
        <w:numPr>
          <w:ilvl w:val="0"/>
          <w:numId w:val="0"/>
        </w:numPr>
        <w:spacing w:line="276" w:lineRule="auto"/>
        <w:ind w:left="720" w:right="720"/>
      </w:pPr>
      <w:r w:rsidRPr="00817B9F">
        <w:t>The purpose and objective of the DoN program is to encourage competition with a public health focus; to promote population health; to support the development of innovative health delivery methods and population health strategies within the health care delivery system; and to ensure that resources will be made reasonably and equitably available to every person within the Commonwealth at the lowest reasonable aggregate cost. In this way the Department [of Public Health] hopes to advance the Commonwealth’s goals for cost containment, improved public health outcomes, and delivery system transformation.</w:t>
      </w:r>
      <w:r w:rsidR="00804733" w:rsidRPr="00817B9F">
        <w:rPr>
          <w:rStyle w:val="FootnoteReference"/>
        </w:rPr>
        <w:footnoteReference w:id="5"/>
      </w:r>
    </w:p>
    <w:p w14:paraId="5406ACE0" w14:textId="2F6A48AF" w:rsidR="00562214" w:rsidRPr="00817B9F" w:rsidRDefault="00133943" w:rsidP="00F52A89">
      <w:pPr>
        <w:pStyle w:val="NumberedParagraphs"/>
        <w:numPr>
          <w:ilvl w:val="0"/>
          <w:numId w:val="0"/>
        </w:numPr>
      </w:pPr>
      <w:r w:rsidRPr="00817B9F">
        <w:t xml:space="preserve">While MGB is paying </w:t>
      </w:r>
      <w:r w:rsidR="001D2172" w:rsidRPr="00817B9F">
        <w:t xml:space="preserve">for CRA’s services in conducting the ICA, CRA does not represent MGB. </w:t>
      </w:r>
      <w:r w:rsidR="00793150" w:rsidRPr="00817B9F">
        <w:t>CRA also conducted the ICA analyses independently of the</w:t>
      </w:r>
      <w:r w:rsidR="00804733" w:rsidRPr="00817B9F">
        <w:t xml:space="preserve"> staff of the DoN program at the Massachusetts D</w:t>
      </w:r>
      <w:r w:rsidR="00DB7F66" w:rsidRPr="00817B9F">
        <w:t>PH</w:t>
      </w:r>
      <w:r w:rsidR="00804733" w:rsidRPr="00817B9F">
        <w:t xml:space="preserve">. </w:t>
      </w:r>
      <w:r w:rsidR="00362535" w:rsidRPr="00817B9F">
        <w:t xml:space="preserve">In the next subsection, we briefly describe the </w:t>
      </w:r>
      <w:r w:rsidR="004E6E2E" w:rsidRPr="00817B9F">
        <w:t xml:space="preserve">questions </w:t>
      </w:r>
      <w:r w:rsidR="004E57DD" w:rsidRPr="00817B9F">
        <w:t xml:space="preserve">that the DoN </w:t>
      </w:r>
      <w:r w:rsidR="004E6E2E" w:rsidRPr="00817B9F">
        <w:t xml:space="preserve">program asked CRA to address in its ICA for this project. </w:t>
      </w:r>
    </w:p>
    <w:p w14:paraId="7D328F36" w14:textId="2F465AB7" w:rsidR="00942497" w:rsidRPr="00817B9F" w:rsidRDefault="009A7AA7" w:rsidP="00942497">
      <w:pPr>
        <w:pStyle w:val="Heading2"/>
        <w:rPr>
          <w:rFonts w:cs="Times New Roman"/>
        </w:rPr>
      </w:pPr>
      <w:bookmarkStart w:id="4" w:name="_Toc90046487"/>
      <w:r w:rsidRPr="00817B9F">
        <w:rPr>
          <w:rFonts w:cs="Times New Roman"/>
        </w:rPr>
        <w:t>Elements of the ICA</w:t>
      </w:r>
      <w:bookmarkEnd w:id="4"/>
    </w:p>
    <w:p w14:paraId="7EEF580C" w14:textId="473B35B8" w:rsidR="00A625FB" w:rsidRPr="00817B9F" w:rsidRDefault="00466CF3" w:rsidP="00250C41">
      <w:pPr>
        <w:pStyle w:val="NumberedParagraphs"/>
      </w:pPr>
      <w:r w:rsidRPr="00817B9F">
        <w:t xml:space="preserve">As directed by </w:t>
      </w:r>
      <w:r w:rsidR="00D65C33" w:rsidRPr="00817B9F">
        <w:t xml:space="preserve">the DoN program at the Massachusetts </w:t>
      </w:r>
      <w:r w:rsidR="003B18E7" w:rsidRPr="00817B9F">
        <w:t>DPH</w:t>
      </w:r>
      <w:r w:rsidR="00D65C33" w:rsidRPr="00817B9F">
        <w:t xml:space="preserve">, </w:t>
      </w:r>
      <w:r w:rsidR="00EE554D" w:rsidRPr="00817B9F">
        <w:t xml:space="preserve">the </w:t>
      </w:r>
      <w:r w:rsidR="006066E7" w:rsidRPr="00817B9F">
        <w:t xml:space="preserve">two </w:t>
      </w:r>
      <w:r w:rsidR="00EE554D" w:rsidRPr="00817B9F">
        <w:t>primary</w:t>
      </w:r>
      <w:r w:rsidR="00637B39" w:rsidRPr="00817B9F">
        <w:t xml:space="preserve"> </w:t>
      </w:r>
      <w:r w:rsidR="00EE554D" w:rsidRPr="00817B9F">
        <w:t>elements</w:t>
      </w:r>
      <w:r w:rsidR="007F271D" w:rsidRPr="00817B9F">
        <w:t xml:space="preserve"> that</w:t>
      </w:r>
      <w:r w:rsidR="00EE554D" w:rsidRPr="00817B9F">
        <w:t xml:space="preserve"> </w:t>
      </w:r>
      <w:r w:rsidR="00264359" w:rsidRPr="00817B9F">
        <w:t>the</w:t>
      </w:r>
      <w:r w:rsidR="00E82B3C" w:rsidRPr="00817B9F">
        <w:t xml:space="preserve"> ICA </w:t>
      </w:r>
      <w:r w:rsidR="00264359" w:rsidRPr="00817B9F">
        <w:t xml:space="preserve">must address </w:t>
      </w:r>
      <w:r w:rsidR="00E82B3C" w:rsidRPr="00817B9F">
        <w:t xml:space="preserve">are </w:t>
      </w:r>
      <w:r w:rsidR="00F77CB4" w:rsidRPr="00817B9F">
        <w:t xml:space="preserve">(i) </w:t>
      </w:r>
      <w:r w:rsidR="00E82B3C" w:rsidRPr="00817B9F">
        <w:t>the effect</w:t>
      </w:r>
      <w:r w:rsidR="00F77CB4" w:rsidRPr="00817B9F">
        <w:t>s</w:t>
      </w:r>
      <w:r w:rsidR="00E82B3C" w:rsidRPr="00817B9F">
        <w:t xml:space="preserve"> of the proposed project on price</w:t>
      </w:r>
      <w:r w:rsidR="00F77CB4" w:rsidRPr="00817B9F">
        <w:t>s</w:t>
      </w:r>
      <w:r w:rsidR="00E82B3C" w:rsidRPr="00817B9F">
        <w:t xml:space="preserve"> </w:t>
      </w:r>
      <w:r w:rsidR="00F77CB4" w:rsidRPr="00817B9F">
        <w:t xml:space="preserve">of </w:t>
      </w:r>
      <w:r w:rsidR="00E82B3C" w:rsidRPr="00817B9F">
        <w:t xml:space="preserve">and competition </w:t>
      </w:r>
      <w:r w:rsidR="00F77CB4" w:rsidRPr="00817B9F">
        <w:t>for health care services in Massachusetts and (i</w:t>
      </w:r>
      <w:r w:rsidR="00264359" w:rsidRPr="00817B9F">
        <w:t>i</w:t>
      </w:r>
      <w:r w:rsidR="00F77CB4" w:rsidRPr="00817B9F">
        <w:t xml:space="preserve">) the effects of the proposed project on the utilization </w:t>
      </w:r>
      <w:r w:rsidR="00E5080B" w:rsidRPr="00817B9F">
        <w:t>of</w:t>
      </w:r>
      <w:r w:rsidR="00F77CB4" w:rsidRPr="00817B9F">
        <w:t xml:space="preserve"> health care services in Massachusetts</w:t>
      </w:r>
      <w:r w:rsidR="00E5080B" w:rsidRPr="00817B9F">
        <w:t xml:space="preserve"> and the capacity of health care providers in Massachusetts to render those services.</w:t>
      </w:r>
    </w:p>
    <w:p w14:paraId="3AF314BC" w14:textId="0B465ADC" w:rsidR="0003631E" w:rsidRPr="00817B9F" w:rsidRDefault="006C70E0" w:rsidP="00250C41">
      <w:pPr>
        <w:pStyle w:val="NumberedParagraphs"/>
      </w:pPr>
      <w:r w:rsidRPr="00817B9F">
        <w:t xml:space="preserve">Regarding the </w:t>
      </w:r>
      <w:r w:rsidR="002F6D2C" w:rsidRPr="00817B9F">
        <w:t>first element</w:t>
      </w:r>
      <w:r w:rsidR="00EA6DBB" w:rsidRPr="00817B9F">
        <w:t>,</w:t>
      </w:r>
      <w:r w:rsidR="002F6D2C" w:rsidRPr="00817B9F">
        <w:t xml:space="preserve"> </w:t>
      </w:r>
      <w:r w:rsidR="00057742" w:rsidRPr="00817B9F">
        <w:t xml:space="preserve">the DoN </w:t>
      </w:r>
      <w:r w:rsidR="00EE05F7" w:rsidRPr="00817B9F">
        <w:t xml:space="preserve">program </w:t>
      </w:r>
      <w:r w:rsidR="00057742" w:rsidRPr="00817B9F">
        <w:t xml:space="preserve">asked that </w:t>
      </w:r>
      <w:r w:rsidR="00EE05F7" w:rsidRPr="00817B9F">
        <w:t xml:space="preserve">CRA </w:t>
      </w:r>
      <w:r w:rsidR="00057742" w:rsidRPr="00817B9F">
        <w:t xml:space="preserve">address </w:t>
      </w:r>
      <w:r w:rsidR="0092389A" w:rsidRPr="00817B9F">
        <w:t>specific</w:t>
      </w:r>
      <w:r w:rsidR="00057742" w:rsidRPr="00817B9F">
        <w:t xml:space="preserve"> questions</w:t>
      </w:r>
      <w:r w:rsidR="00EE05F7" w:rsidRPr="00817B9F">
        <w:t xml:space="preserve"> in the ICA</w:t>
      </w:r>
      <w:r w:rsidR="00604362" w:rsidRPr="00817B9F">
        <w:t xml:space="preserve">. Among other things, the ICA answers the following questions: </w:t>
      </w:r>
    </w:p>
    <w:p w14:paraId="06D4AAB3" w14:textId="158FBCC2" w:rsidR="00AB32AE" w:rsidRPr="00817B9F" w:rsidRDefault="00AB32AE" w:rsidP="007825E3">
      <w:pPr>
        <w:pStyle w:val="BulletParagraph"/>
        <w:rPr>
          <w:rFonts w:cs="Times New Roman"/>
        </w:rPr>
      </w:pPr>
      <w:r w:rsidRPr="00817B9F">
        <w:rPr>
          <w:rFonts w:cs="Times New Roman"/>
        </w:rPr>
        <w:t>How will each Project change utilization at higher versus lower priced providers, and what will be the subsequent impact on health care price</w:t>
      </w:r>
      <w:r w:rsidR="00630CF6" w:rsidRPr="00817B9F">
        <w:rPr>
          <w:rFonts w:cs="Times New Roman"/>
        </w:rPr>
        <w:t>s</w:t>
      </w:r>
      <w:r w:rsidRPr="00817B9F">
        <w:rPr>
          <w:rFonts w:cs="Times New Roman"/>
        </w:rPr>
        <w:t xml:space="preserve">/spending for commercial and public </w:t>
      </w:r>
      <w:r w:rsidR="001C195F" w:rsidRPr="00817B9F">
        <w:rPr>
          <w:rFonts w:cs="Times New Roman"/>
        </w:rPr>
        <w:t>payor</w:t>
      </w:r>
      <w:r w:rsidRPr="00817B9F">
        <w:rPr>
          <w:rFonts w:cs="Times New Roman"/>
        </w:rPr>
        <w:t xml:space="preserve">s? </w:t>
      </w:r>
    </w:p>
    <w:p w14:paraId="27A55073" w14:textId="46491E8A" w:rsidR="00AB32AE" w:rsidRPr="00817B9F" w:rsidRDefault="00AB32AE" w:rsidP="006B4A44">
      <w:pPr>
        <w:pStyle w:val="BulletParagraph"/>
        <w:rPr>
          <w:rFonts w:cs="Times New Roman"/>
        </w:rPr>
      </w:pPr>
      <w:r w:rsidRPr="00817B9F">
        <w:rPr>
          <w:rFonts w:cs="Times New Roman"/>
        </w:rPr>
        <w:lastRenderedPageBreak/>
        <w:t>How will each Project change price levels for the Applicant’s relevant services, and what will be the subsequent impact on health care price</w:t>
      </w:r>
      <w:r w:rsidR="00630CF6" w:rsidRPr="00817B9F">
        <w:rPr>
          <w:rFonts w:cs="Times New Roman"/>
        </w:rPr>
        <w:t>s</w:t>
      </w:r>
      <w:r w:rsidRPr="00817B9F">
        <w:rPr>
          <w:rFonts w:cs="Times New Roman"/>
        </w:rPr>
        <w:t xml:space="preserve">/spending for commercial and public </w:t>
      </w:r>
      <w:r w:rsidR="001C195F" w:rsidRPr="00817B9F">
        <w:rPr>
          <w:rFonts w:cs="Times New Roman"/>
        </w:rPr>
        <w:t>payor</w:t>
      </w:r>
      <w:r w:rsidRPr="00817B9F">
        <w:rPr>
          <w:rFonts w:cs="Times New Roman"/>
        </w:rPr>
        <w:t>s?</w:t>
      </w:r>
    </w:p>
    <w:p w14:paraId="62C9F828" w14:textId="7E257995" w:rsidR="00EE05F7" w:rsidRPr="00817B9F" w:rsidRDefault="00AB32AE" w:rsidP="006B4A44">
      <w:pPr>
        <w:pStyle w:val="BulletParagraph"/>
        <w:rPr>
          <w:rFonts w:cs="Times New Roman"/>
        </w:rPr>
      </w:pPr>
      <w:r w:rsidRPr="00817B9F">
        <w:rPr>
          <w:rFonts w:cs="Times New Roman"/>
        </w:rPr>
        <w:t>How will each Project impact the Applicant’s relevant market share for services and its negotiating leverage, and what will be the subsequent impact on health care price</w:t>
      </w:r>
      <w:r w:rsidR="00630CF6" w:rsidRPr="00817B9F">
        <w:rPr>
          <w:rFonts w:cs="Times New Roman"/>
        </w:rPr>
        <w:t>s</w:t>
      </w:r>
      <w:r w:rsidRPr="00817B9F">
        <w:rPr>
          <w:rFonts w:cs="Times New Roman"/>
        </w:rPr>
        <w:t xml:space="preserve">/spending for commercial and public </w:t>
      </w:r>
      <w:r w:rsidR="001C195F" w:rsidRPr="00817B9F">
        <w:rPr>
          <w:rFonts w:cs="Times New Roman"/>
        </w:rPr>
        <w:t>payor</w:t>
      </w:r>
      <w:r w:rsidRPr="00817B9F">
        <w:rPr>
          <w:rFonts w:cs="Times New Roman"/>
        </w:rPr>
        <w:t>s?</w:t>
      </w:r>
    </w:p>
    <w:p w14:paraId="4C708A94" w14:textId="5F2E7560" w:rsidR="00B50E46" w:rsidRPr="00817B9F" w:rsidRDefault="00B50E46" w:rsidP="00B50E46">
      <w:pPr>
        <w:pStyle w:val="NumberedParagraphs"/>
        <w:numPr>
          <w:ilvl w:val="0"/>
          <w:numId w:val="0"/>
        </w:numPr>
      </w:pPr>
      <w:r w:rsidRPr="00817B9F">
        <w:t xml:space="preserve">In addition to setting forth these general issues and questions, </w:t>
      </w:r>
      <w:r w:rsidR="00EE05F7" w:rsidRPr="00817B9F">
        <w:t>the D</w:t>
      </w:r>
      <w:r w:rsidR="00AB32AE" w:rsidRPr="00817B9F">
        <w:t xml:space="preserve">oN </w:t>
      </w:r>
      <w:r w:rsidR="0062569E" w:rsidRPr="00817B9F">
        <w:t xml:space="preserve">program </w:t>
      </w:r>
      <w:r w:rsidR="00EA6DBB" w:rsidRPr="00817B9F">
        <w:t xml:space="preserve">set forth specific areas of inquiry </w:t>
      </w:r>
      <w:r w:rsidR="00637DC9" w:rsidRPr="00817B9F">
        <w:t xml:space="preserve">related to prices and competition </w:t>
      </w:r>
      <w:r w:rsidR="00EA6DBB" w:rsidRPr="00817B9F">
        <w:t xml:space="preserve">for </w:t>
      </w:r>
      <w:r w:rsidR="009C55E5" w:rsidRPr="00817B9F">
        <w:t>the proposed project</w:t>
      </w:r>
      <w:r w:rsidR="00EA6DBB" w:rsidRPr="00817B9F">
        <w:t xml:space="preserve"> that inform the more general questions described above.</w:t>
      </w:r>
    </w:p>
    <w:p w14:paraId="039F7554" w14:textId="5C278040" w:rsidR="00057742" w:rsidRPr="00817B9F" w:rsidRDefault="00057742" w:rsidP="00250C41">
      <w:pPr>
        <w:pStyle w:val="NumberedParagraphs"/>
      </w:pPr>
      <w:r w:rsidRPr="00817B9F">
        <w:t>Regarding t</w:t>
      </w:r>
      <w:r w:rsidR="00B50E46" w:rsidRPr="00817B9F">
        <w:t>he second</w:t>
      </w:r>
      <w:r w:rsidR="00EA6DBB" w:rsidRPr="00817B9F">
        <w:t xml:space="preserve"> ele</w:t>
      </w:r>
      <w:r w:rsidR="0017541C" w:rsidRPr="00817B9F">
        <w:t xml:space="preserve">ment, the DoN program </w:t>
      </w:r>
      <w:r w:rsidR="00BE4363" w:rsidRPr="00817B9F">
        <w:t xml:space="preserve">also </w:t>
      </w:r>
      <w:r w:rsidR="0017541C" w:rsidRPr="00817B9F">
        <w:t xml:space="preserve">asked that CRA address </w:t>
      </w:r>
      <w:r w:rsidR="00BE4363" w:rsidRPr="00817B9F">
        <w:t xml:space="preserve">specific </w:t>
      </w:r>
      <w:r w:rsidR="0017541C" w:rsidRPr="00817B9F">
        <w:t>questions in the ICA</w:t>
      </w:r>
      <w:r w:rsidR="00BE4363" w:rsidRPr="00817B9F">
        <w:t>. Among other things, the</w:t>
      </w:r>
      <w:r w:rsidR="00637DC9" w:rsidRPr="00817B9F">
        <w:t xml:space="preserve"> </w:t>
      </w:r>
      <w:r w:rsidR="00BE4363" w:rsidRPr="00817B9F">
        <w:t>ICA</w:t>
      </w:r>
      <w:r w:rsidR="00153305" w:rsidRPr="00817B9F">
        <w:t xml:space="preserve"> should</w:t>
      </w:r>
      <w:r w:rsidR="00BE4363" w:rsidRPr="00817B9F">
        <w:t xml:space="preserve">: </w:t>
      </w:r>
    </w:p>
    <w:p w14:paraId="69614BBC" w14:textId="07D39563" w:rsidR="006866DD" w:rsidRPr="00817B9F" w:rsidRDefault="008A1AEF" w:rsidP="006B4A44">
      <w:pPr>
        <w:pStyle w:val="BulletParagraph"/>
        <w:rPr>
          <w:rFonts w:cs="Times New Roman"/>
        </w:rPr>
      </w:pPr>
      <w:r w:rsidRPr="00817B9F">
        <w:rPr>
          <w:rFonts w:cs="Times New Roman"/>
        </w:rPr>
        <w:t>E</w:t>
      </w:r>
      <w:r w:rsidR="00E6696E" w:rsidRPr="00817B9F">
        <w:rPr>
          <w:rFonts w:cs="Times New Roman"/>
        </w:rPr>
        <w:t xml:space="preserve">valuate the Applicant’s calculation </w:t>
      </w:r>
      <w:r w:rsidRPr="00817B9F">
        <w:rPr>
          <w:rFonts w:cs="Times New Roman"/>
        </w:rPr>
        <w:t>of need for the proposed project</w:t>
      </w:r>
      <w:r w:rsidR="000C745B" w:rsidRPr="00817B9F">
        <w:rPr>
          <w:rFonts w:cs="Times New Roman"/>
        </w:rPr>
        <w:t xml:space="preserve">. The ICA </w:t>
      </w:r>
      <w:r w:rsidR="00EE1727" w:rsidRPr="00817B9F">
        <w:rPr>
          <w:rFonts w:cs="Times New Roman"/>
        </w:rPr>
        <w:t xml:space="preserve">should </w:t>
      </w:r>
      <w:r w:rsidR="000C745B" w:rsidRPr="00817B9F">
        <w:rPr>
          <w:rFonts w:cs="Times New Roman"/>
        </w:rPr>
        <w:t xml:space="preserve">document </w:t>
      </w:r>
      <w:r w:rsidR="00E6696E" w:rsidRPr="00817B9F">
        <w:rPr>
          <w:rFonts w:cs="Times New Roman"/>
        </w:rPr>
        <w:t>current service availability in the project region</w:t>
      </w:r>
      <w:r w:rsidR="009A6564" w:rsidRPr="00817B9F">
        <w:rPr>
          <w:rFonts w:cs="Times New Roman"/>
        </w:rPr>
        <w:t>, the c</w:t>
      </w:r>
      <w:r w:rsidR="00E6696E" w:rsidRPr="00817B9F">
        <w:rPr>
          <w:rFonts w:cs="Times New Roman"/>
        </w:rPr>
        <w:t xml:space="preserve">urrent </w:t>
      </w:r>
      <w:r w:rsidR="008539F4" w:rsidRPr="00817B9F">
        <w:rPr>
          <w:rFonts w:cs="Times New Roman"/>
        </w:rPr>
        <w:t>population</w:t>
      </w:r>
      <w:r w:rsidR="009A6564" w:rsidRPr="00817B9F">
        <w:rPr>
          <w:rFonts w:cs="Times New Roman"/>
        </w:rPr>
        <w:t xml:space="preserve"> and </w:t>
      </w:r>
      <w:r w:rsidR="00E6696E" w:rsidRPr="00817B9F">
        <w:rPr>
          <w:rFonts w:cs="Times New Roman"/>
        </w:rPr>
        <w:t xml:space="preserve">demographics </w:t>
      </w:r>
      <w:r w:rsidR="00FB5762" w:rsidRPr="00817B9F">
        <w:rPr>
          <w:rFonts w:cs="Times New Roman"/>
        </w:rPr>
        <w:t>of</w:t>
      </w:r>
      <w:r w:rsidR="00E6696E" w:rsidRPr="00817B9F">
        <w:rPr>
          <w:rFonts w:cs="Times New Roman"/>
        </w:rPr>
        <w:t xml:space="preserve"> the </w:t>
      </w:r>
      <w:r w:rsidR="009A6564" w:rsidRPr="00817B9F">
        <w:rPr>
          <w:rFonts w:cs="Times New Roman"/>
        </w:rPr>
        <w:t>region, and e</w:t>
      </w:r>
      <w:r w:rsidR="00E6696E" w:rsidRPr="00817B9F">
        <w:rPr>
          <w:rFonts w:cs="Times New Roman"/>
        </w:rPr>
        <w:t>xpected changes in the populatio</w:t>
      </w:r>
      <w:r w:rsidR="009A6564" w:rsidRPr="00817B9F">
        <w:rPr>
          <w:rFonts w:cs="Times New Roman"/>
        </w:rPr>
        <w:t>n and demographics</w:t>
      </w:r>
      <w:r w:rsidR="00FB5762" w:rsidRPr="00817B9F">
        <w:rPr>
          <w:rFonts w:cs="Times New Roman"/>
        </w:rPr>
        <w:t xml:space="preserve"> of the region. </w:t>
      </w:r>
      <w:r w:rsidR="000C745B" w:rsidRPr="00817B9F">
        <w:rPr>
          <w:rFonts w:cs="Times New Roman"/>
        </w:rPr>
        <w:t xml:space="preserve">The ICA </w:t>
      </w:r>
      <w:r w:rsidR="00EE1727" w:rsidRPr="00817B9F">
        <w:rPr>
          <w:rFonts w:cs="Times New Roman"/>
        </w:rPr>
        <w:t xml:space="preserve">should </w:t>
      </w:r>
      <w:r w:rsidR="000C745B" w:rsidRPr="00817B9F">
        <w:rPr>
          <w:rFonts w:cs="Times New Roman"/>
        </w:rPr>
        <w:t>also a</w:t>
      </w:r>
      <w:r w:rsidR="00F67628" w:rsidRPr="00817B9F">
        <w:rPr>
          <w:rFonts w:cs="Times New Roman"/>
        </w:rPr>
        <w:t xml:space="preserve">nalyze </w:t>
      </w:r>
      <w:r w:rsidR="00E6696E" w:rsidRPr="00817B9F">
        <w:rPr>
          <w:rFonts w:cs="Times New Roman"/>
        </w:rPr>
        <w:t>current and potential utilization of the services and shifts from existing providers</w:t>
      </w:r>
      <w:r w:rsidR="00F67628" w:rsidRPr="00817B9F">
        <w:rPr>
          <w:rFonts w:cs="Times New Roman"/>
        </w:rPr>
        <w:t xml:space="preserve"> </w:t>
      </w:r>
      <w:r w:rsidR="00E6696E" w:rsidRPr="00817B9F">
        <w:rPr>
          <w:rFonts w:cs="Times New Roman"/>
        </w:rPr>
        <w:t xml:space="preserve">and subsequent cost impacts, </w:t>
      </w:r>
      <w:r w:rsidR="00C05A88" w:rsidRPr="00817B9F">
        <w:rPr>
          <w:rFonts w:cs="Times New Roman"/>
        </w:rPr>
        <w:t>including assessing MGB’s and competitors’</w:t>
      </w:r>
      <w:r w:rsidR="00F41587" w:rsidRPr="00817B9F">
        <w:rPr>
          <w:rFonts w:cs="Times New Roman"/>
        </w:rPr>
        <w:t xml:space="preserve"> p</w:t>
      </w:r>
      <w:r w:rsidR="00E6696E" w:rsidRPr="00817B9F">
        <w:rPr>
          <w:rFonts w:cs="Times New Roman"/>
        </w:rPr>
        <w:t xml:space="preserve">atient </w:t>
      </w:r>
      <w:r w:rsidR="00F41587" w:rsidRPr="00817B9F">
        <w:rPr>
          <w:rFonts w:cs="Times New Roman"/>
        </w:rPr>
        <w:t>p</w:t>
      </w:r>
      <w:r w:rsidR="00E6696E" w:rsidRPr="00817B9F">
        <w:rPr>
          <w:rFonts w:cs="Times New Roman"/>
        </w:rPr>
        <w:t>rofile</w:t>
      </w:r>
      <w:r w:rsidR="00C05A88" w:rsidRPr="00817B9F">
        <w:rPr>
          <w:rFonts w:cs="Times New Roman"/>
        </w:rPr>
        <w:t>s</w:t>
      </w:r>
      <w:r w:rsidR="00E6696E" w:rsidRPr="00817B9F">
        <w:rPr>
          <w:rFonts w:cs="Times New Roman"/>
        </w:rPr>
        <w:t xml:space="preserve"> </w:t>
      </w:r>
      <w:r w:rsidR="00F41587" w:rsidRPr="00817B9F">
        <w:rPr>
          <w:rFonts w:cs="Times New Roman"/>
        </w:rPr>
        <w:t>(</w:t>
      </w:r>
      <w:r w:rsidR="00F41587" w:rsidRPr="00817B9F">
        <w:rPr>
          <w:rFonts w:cs="Times New Roman"/>
          <w:i/>
          <w:iCs/>
        </w:rPr>
        <w:t>e.g.</w:t>
      </w:r>
      <w:r w:rsidR="00F41587" w:rsidRPr="00817B9F">
        <w:rPr>
          <w:rFonts w:cs="Times New Roman"/>
        </w:rPr>
        <w:t xml:space="preserve">, demographics, </w:t>
      </w:r>
      <w:r w:rsidR="000004D7" w:rsidRPr="00817B9F">
        <w:rPr>
          <w:rFonts w:cs="Times New Roman"/>
        </w:rPr>
        <w:t>insurance coverage,</w:t>
      </w:r>
      <w:r w:rsidR="006866DD" w:rsidRPr="00817B9F">
        <w:rPr>
          <w:rFonts w:cs="Times New Roman"/>
        </w:rPr>
        <w:t xml:space="preserve"> and acuity levels). </w:t>
      </w:r>
    </w:p>
    <w:p w14:paraId="65FD165F" w14:textId="5B16A8B7" w:rsidR="00E6696E" w:rsidRPr="00817B9F" w:rsidRDefault="00E6696E" w:rsidP="006B4A44">
      <w:pPr>
        <w:pStyle w:val="BulletParagraph"/>
        <w:rPr>
          <w:rFonts w:cs="Times New Roman"/>
        </w:rPr>
      </w:pPr>
      <w:r w:rsidRPr="00817B9F">
        <w:rPr>
          <w:rFonts w:cs="Times New Roman"/>
        </w:rPr>
        <w:t xml:space="preserve">Evaluate potential shifts in utilization of services by </w:t>
      </w:r>
      <w:r w:rsidR="000C745B" w:rsidRPr="00817B9F">
        <w:rPr>
          <w:rFonts w:cs="Times New Roman"/>
        </w:rPr>
        <w:t>patients</w:t>
      </w:r>
      <w:r w:rsidRPr="00817B9F">
        <w:rPr>
          <w:rFonts w:cs="Times New Roman"/>
        </w:rPr>
        <w:t xml:space="preserve">, including </w:t>
      </w:r>
      <w:r w:rsidR="00DD0CBF" w:rsidRPr="00817B9F">
        <w:rPr>
          <w:rFonts w:cs="Times New Roman"/>
        </w:rPr>
        <w:t xml:space="preserve">assessing </w:t>
      </w:r>
      <w:r w:rsidRPr="00817B9F">
        <w:rPr>
          <w:rFonts w:cs="Times New Roman"/>
        </w:rPr>
        <w:t>changes from lower</w:t>
      </w:r>
      <w:r w:rsidR="00DD0CBF" w:rsidRPr="00817B9F">
        <w:rPr>
          <w:rFonts w:cs="Times New Roman"/>
        </w:rPr>
        <w:t>-</w:t>
      </w:r>
      <w:r w:rsidRPr="00817B9F">
        <w:rPr>
          <w:rFonts w:cs="Times New Roman"/>
        </w:rPr>
        <w:t>cost to higher</w:t>
      </w:r>
      <w:r w:rsidR="00DD0CBF" w:rsidRPr="00817B9F">
        <w:rPr>
          <w:rFonts w:cs="Times New Roman"/>
        </w:rPr>
        <w:t>-</w:t>
      </w:r>
      <w:r w:rsidRPr="00817B9F">
        <w:rPr>
          <w:rFonts w:cs="Times New Roman"/>
        </w:rPr>
        <w:t>cost services</w:t>
      </w:r>
      <w:r w:rsidR="00DD0CBF" w:rsidRPr="00817B9F">
        <w:rPr>
          <w:rFonts w:cs="Times New Roman"/>
        </w:rPr>
        <w:t xml:space="preserve"> or health care providers. </w:t>
      </w:r>
    </w:p>
    <w:p w14:paraId="0AE30F49" w14:textId="2A48244C" w:rsidR="003F6293" w:rsidRPr="00817B9F" w:rsidRDefault="00765A79" w:rsidP="006B4A44">
      <w:pPr>
        <w:pStyle w:val="BulletParagraph"/>
        <w:rPr>
          <w:rFonts w:cs="Times New Roman"/>
        </w:rPr>
      </w:pPr>
      <w:r w:rsidRPr="00817B9F">
        <w:rPr>
          <w:rFonts w:cs="Times New Roman"/>
        </w:rPr>
        <w:t>Evaluate access to the project services by MassHealth Accountable Care Organization participants and individuals in subsidized insurance products through the Health Connector Authority (</w:t>
      </w:r>
      <w:r w:rsidRPr="00817B9F">
        <w:rPr>
          <w:rFonts w:cs="Times New Roman"/>
          <w:i/>
          <w:iCs/>
        </w:rPr>
        <w:t>i.e.</w:t>
      </w:r>
      <w:r w:rsidRPr="00817B9F">
        <w:rPr>
          <w:rFonts w:cs="Times New Roman"/>
        </w:rPr>
        <w:t xml:space="preserve">, ConnectorCare </w:t>
      </w:r>
      <w:r w:rsidR="00D55890" w:rsidRPr="00817B9F">
        <w:rPr>
          <w:rFonts w:cs="Times New Roman"/>
        </w:rPr>
        <w:t>health plans</w:t>
      </w:r>
      <w:r w:rsidRPr="00817B9F">
        <w:rPr>
          <w:rFonts w:cs="Times New Roman"/>
        </w:rPr>
        <w:t>).</w:t>
      </w:r>
      <w:r w:rsidR="00AA2CCB" w:rsidRPr="00817B9F">
        <w:rPr>
          <w:rStyle w:val="FootnoteReference"/>
          <w:rFonts w:cs="Times New Roman"/>
        </w:rPr>
        <w:footnoteReference w:id="6"/>
      </w:r>
    </w:p>
    <w:p w14:paraId="54D3BC02" w14:textId="0D71491D" w:rsidR="00D7208B" w:rsidRPr="00817B9F" w:rsidRDefault="00D7208B" w:rsidP="006B4A44">
      <w:pPr>
        <w:pStyle w:val="BulletParagraph"/>
        <w:rPr>
          <w:rFonts w:cs="Times New Roman"/>
        </w:rPr>
      </w:pPr>
      <w:r w:rsidRPr="00817B9F">
        <w:rPr>
          <w:rFonts w:cs="Times New Roman"/>
        </w:rPr>
        <w:lastRenderedPageBreak/>
        <w:t xml:space="preserve">Evaluate the potential for </w:t>
      </w:r>
      <w:r w:rsidR="005234B0" w:rsidRPr="00817B9F">
        <w:rPr>
          <w:rFonts w:cs="Times New Roman"/>
        </w:rPr>
        <w:t xml:space="preserve">the project to lead to “supply-induced demand” for health care service. </w:t>
      </w:r>
    </w:p>
    <w:p w14:paraId="5869D2E6" w14:textId="605ED613" w:rsidR="00E6696E" w:rsidRPr="00817B9F" w:rsidRDefault="00637DC9" w:rsidP="00E6696E">
      <w:pPr>
        <w:pStyle w:val="NumberedParagraphs"/>
        <w:numPr>
          <w:ilvl w:val="0"/>
          <w:numId w:val="0"/>
        </w:numPr>
      </w:pPr>
      <w:r w:rsidRPr="00817B9F">
        <w:t>In addition to setting forth these general issues and questions, the DoN program set forth specific areas of inquiry related to capacity</w:t>
      </w:r>
      <w:r w:rsidR="005633BD" w:rsidRPr="00817B9F">
        <w:t xml:space="preserve"> and </w:t>
      </w:r>
      <w:r w:rsidRPr="00817B9F">
        <w:t>utilization for the project that inform the more general questions described above.</w:t>
      </w:r>
    </w:p>
    <w:p w14:paraId="733D164D" w14:textId="07B33CBE" w:rsidR="0017541C" w:rsidRPr="00817B9F" w:rsidRDefault="00D87CD2" w:rsidP="00250C41">
      <w:pPr>
        <w:pStyle w:val="NumberedParagraphs"/>
      </w:pPr>
      <w:r w:rsidRPr="00817B9F">
        <w:t>The DoN program also asked that the ICA address two overarching questions in addition to the price and competition questions</w:t>
      </w:r>
      <w:r w:rsidR="005633BD" w:rsidRPr="00817B9F">
        <w:t xml:space="preserve"> and</w:t>
      </w:r>
      <w:r w:rsidRPr="00817B9F">
        <w:t xml:space="preserve"> the capacity and utilization questions. The first </w:t>
      </w:r>
      <w:r w:rsidR="00277563" w:rsidRPr="00817B9F">
        <w:t>such</w:t>
      </w:r>
      <w:r w:rsidRPr="00817B9F">
        <w:t xml:space="preserve"> question asks</w:t>
      </w:r>
      <w:r w:rsidR="00202A00" w:rsidRPr="00817B9F">
        <w:t>:</w:t>
      </w:r>
      <w:r w:rsidRPr="00817B9F">
        <w:t xml:space="preserve"> </w:t>
      </w:r>
      <w:r w:rsidR="00202A00" w:rsidRPr="00817B9F">
        <w:t>I</w:t>
      </w:r>
      <w:r w:rsidRPr="00817B9F">
        <w:t xml:space="preserve">f costs increase under the project, who bears the </w:t>
      </w:r>
      <w:r w:rsidR="003501A7" w:rsidRPr="00817B9F">
        <w:t>consequences of that increase in costs</w:t>
      </w:r>
      <w:r w:rsidR="00EF19A5" w:rsidRPr="00817B9F">
        <w:t>:</w:t>
      </w:r>
      <w:r w:rsidR="003501A7" w:rsidRPr="00817B9F">
        <w:t xml:space="preserve"> third-party payors, patients, or health plan sponsors (</w:t>
      </w:r>
      <w:r w:rsidR="003501A7" w:rsidRPr="00817B9F">
        <w:rPr>
          <w:i/>
        </w:rPr>
        <w:t>e.g.</w:t>
      </w:r>
      <w:r w:rsidR="003501A7" w:rsidRPr="00817B9F">
        <w:t xml:space="preserve">, employers)? </w:t>
      </w:r>
      <w:r w:rsidR="005B7453" w:rsidRPr="00817B9F">
        <w:t>The second such question</w:t>
      </w:r>
      <w:r w:rsidR="000D1328" w:rsidRPr="00817B9F">
        <w:t xml:space="preserve"> parallels the first</w:t>
      </w:r>
      <w:r w:rsidR="00EF19A5" w:rsidRPr="00817B9F">
        <w:t>: If savings are realized under the pro</w:t>
      </w:r>
      <w:r w:rsidR="00362535" w:rsidRPr="00817B9F">
        <w:t>ject, who benefits from those savings?</w:t>
      </w:r>
      <w:r w:rsidR="004E6E2E" w:rsidRPr="00817B9F">
        <w:t xml:space="preserve"> Before turning to</w:t>
      </w:r>
      <w:r w:rsidR="00105FA2" w:rsidRPr="00817B9F">
        <w:t xml:space="preserve"> </w:t>
      </w:r>
      <w:r w:rsidR="004E6E2E" w:rsidRPr="00817B9F">
        <w:t>the</w:t>
      </w:r>
      <w:r w:rsidR="001B2D85" w:rsidRPr="00817B9F">
        <w:t xml:space="preserve"> ICA</w:t>
      </w:r>
      <w:r w:rsidR="004E6E2E" w:rsidRPr="00817B9F">
        <w:t xml:space="preserve"> questions, in the next subsection we briefly summarize the key elements of the proposed project. </w:t>
      </w:r>
      <w:r w:rsidR="004A4945" w:rsidRPr="00817B9F">
        <w:t xml:space="preserve">A more detailed description of </w:t>
      </w:r>
      <w:r w:rsidR="001B2D85" w:rsidRPr="00817B9F">
        <w:t>the proposed</w:t>
      </w:r>
      <w:r w:rsidR="004A4945" w:rsidRPr="00817B9F">
        <w:t xml:space="preserve"> project is contained in the DoN application itself. </w:t>
      </w:r>
    </w:p>
    <w:p w14:paraId="0A8934A8" w14:textId="3912F65F" w:rsidR="004512A3" w:rsidRPr="00817B9F" w:rsidRDefault="004512A3" w:rsidP="00571662">
      <w:pPr>
        <w:pStyle w:val="Heading2"/>
        <w:rPr>
          <w:rFonts w:cs="Times New Roman"/>
        </w:rPr>
      </w:pPr>
      <w:bookmarkStart w:id="5" w:name="_Toc90046488"/>
      <w:r w:rsidRPr="00817B9F">
        <w:rPr>
          <w:rFonts w:cs="Times New Roman"/>
        </w:rPr>
        <w:t>Massachusetts General Hospital</w:t>
      </w:r>
      <w:r w:rsidR="003917DD" w:rsidRPr="00817B9F">
        <w:rPr>
          <w:rFonts w:cs="Times New Roman"/>
        </w:rPr>
        <w:t xml:space="preserve"> Project</w:t>
      </w:r>
      <w:bookmarkEnd w:id="5"/>
    </w:p>
    <w:p w14:paraId="11263CC0" w14:textId="646FACAA" w:rsidR="00BE041B" w:rsidRPr="00817B9F" w:rsidRDefault="00D65F50" w:rsidP="00562B0A">
      <w:pPr>
        <w:pStyle w:val="NumberedParagraphs"/>
      </w:pPr>
      <w:r w:rsidRPr="00817B9F">
        <w:t xml:space="preserve">In its </w:t>
      </w:r>
      <w:r w:rsidR="000A046B" w:rsidRPr="00817B9F">
        <w:t>D</w:t>
      </w:r>
      <w:r w:rsidR="004A4945" w:rsidRPr="00817B9F">
        <w:t>o</w:t>
      </w:r>
      <w:r w:rsidR="000A046B" w:rsidRPr="00817B9F">
        <w:t xml:space="preserve">N application for </w:t>
      </w:r>
      <w:r w:rsidR="000C5324" w:rsidRPr="00817B9F">
        <w:t>MGH</w:t>
      </w:r>
      <w:r w:rsidRPr="00817B9F">
        <w:t>, MGB</w:t>
      </w:r>
      <w:r w:rsidR="004B7D08" w:rsidRPr="00817B9F">
        <w:t xml:space="preserve"> propose</w:t>
      </w:r>
      <w:r w:rsidR="00064147" w:rsidRPr="00817B9F">
        <w:t>s</w:t>
      </w:r>
      <w:r w:rsidR="004B7D08" w:rsidRPr="00817B9F">
        <w:t xml:space="preserve"> construction of a new </w:t>
      </w:r>
      <w:r w:rsidR="00686C45" w:rsidRPr="00817B9F">
        <w:t>tower</w:t>
      </w:r>
      <w:r w:rsidR="004B7D08" w:rsidRPr="00817B9F">
        <w:t xml:space="preserve"> on MGH’s </w:t>
      </w:r>
      <w:r w:rsidR="00D97369" w:rsidRPr="00817B9F">
        <w:t>main</w:t>
      </w:r>
      <w:r w:rsidR="004B7D08" w:rsidRPr="00817B9F">
        <w:t xml:space="preserve"> campus.</w:t>
      </w:r>
      <w:r w:rsidR="00531DDA" w:rsidRPr="00817B9F">
        <w:rPr>
          <w:rStyle w:val="FootnoteReference"/>
        </w:rPr>
        <w:footnoteReference w:id="7"/>
      </w:r>
      <w:r w:rsidR="004B7D08" w:rsidRPr="00817B9F">
        <w:t xml:space="preserve"> </w:t>
      </w:r>
      <w:r w:rsidR="00A34C13" w:rsidRPr="00817B9F">
        <w:t xml:space="preserve">The </w:t>
      </w:r>
      <w:r w:rsidR="00686C45" w:rsidRPr="00817B9F">
        <w:t>tower</w:t>
      </w:r>
      <w:r w:rsidR="00A34C13" w:rsidRPr="00817B9F">
        <w:t xml:space="preserve"> would include </w:t>
      </w:r>
      <w:r w:rsidR="007F03AE" w:rsidRPr="00817B9F">
        <w:t>418</w:t>
      </w:r>
      <w:r w:rsidR="00355E13" w:rsidRPr="00817B9F">
        <w:t xml:space="preserve"> private </w:t>
      </w:r>
      <w:r w:rsidR="00A34C13" w:rsidRPr="00817B9F">
        <w:t xml:space="preserve">medical/surgical </w:t>
      </w:r>
      <w:r w:rsidR="00520E02" w:rsidRPr="00817B9F">
        <w:t xml:space="preserve">beds </w:t>
      </w:r>
      <w:r w:rsidR="00A34C13" w:rsidRPr="00817B9F">
        <w:t xml:space="preserve">and </w:t>
      </w:r>
      <w:r w:rsidR="00520E02" w:rsidRPr="00817B9F">
        <w:t xml:space="preserve">64 </w:t>
      </w:r>
      <w:r w:rsidR="009A7AA7" w:rsidRPr="00817B9F">
        <w:t>ICU</w:t>
      </w:r>
      <w:r w:rsidR="00A34C13" w:rsidRPr="00817B9F">
        <w:t xml:space="preserve"> beds</w:t>
      </w:r>
      <w:r w:rsidR="00F6607A" w:rsidRPr="00817B9F">
        <w:t>,</w:t>
      </w:r>
      <w:r w:rsidR="00355E13" w:rsidRPr="00817B9F">
        <w:t xml:space="preserve"> with the corresponding closure of 388 existing semi-private beds </w:t>
      </w:r>
      <w:r w:rsidR="001F7DB6" w:rsidRPr="00817B9F">
        <w:t xml:space="preserve">in other buildings on MGH’s </w:t>
      </w:r>
      <w:r w:rsidR="00D97369" w:rsidRPr="00817B9F">
        <w:t xml:space="preserve">main </w:t>
      </w:r>
      <w:r w:rsidR="001F7DB6" w:rsidRPr="00817B9F">
        <w:t>campus</w:t>
      </w:r>
      <w:r w:rsidR="00F31476" w:rsidRPr="00817B9F">
        <w:t>.</w:t>
      </w:r>
      <w:r w:rsidR="00096584" w:rsidRPr="00817B9F">
        <w:rPr>
          <w:rStyle w:val="FootnoteReference"/>
        </w:rPr>
        <w:footnoteReference w:id="8"/>
      </w:r>
      <w:r w:rsidR="001F7DB6" w:rsidRPr="00817B9F">
        <w:t xml:space="preserve"> </w:t>
      </w:r>
      <w:r w:rsidR="00F872AC" w:rsidRPr="00817B9F">
        <w:t>The increase of 94</w:t>
      </w:r>
      <w:r w:rsidR="00F6607A" w:rsidRPr="00817B9F">
        <w:t xml:space="preserve"> licensed</w:t>
      </w:r>
      <w:r w:rsidR="00F872AC" w:rsidRPr="00817B9F">
        <w:t xml:space="preserve"> beds </w:t>
      </w:r>
      <w:r w:rsidR="00F66DB8" w:rsidRPr="00817B9F">
        <w:t>(from 388 to 482) would be comprised of 54 medical/surgical beds and 40 ICU beds.</w:t>
      </w:r>
      <w:r w:rsidR="00F31476" w:rsidRPr="00817B9F">
        <w:rPr>
          <w:rStyle w:val="FootnoteReference"/>
        </w:rPr>
        <w:footnoteReference w:id="9"/>
      </w:r>
      <w:r w:rsidR="00F66DB8" w:rsidRPr="00817B9F">
        <w:t xml:space="preserve"> In addition to </w:t>
      </w:r>
      <w:r w:rsidR="00F6607A" w:rsidRPr="00817B9F">
        <w:t>an increase in the</w:t>
      </w:r>
      <w:r w:rsidR="00F66DB8" w:rsidRPr="00817B9F">
        <w:t xml:space="preserve"> number of licensed beds at MGH, the </w:t>
      </w:r>
      <w:r w:rsidRPr="00817B9F">
        <w:t>A</w:t>
      </w:r>
      <w:r w:rsidR="00F66DB8" w:rsidRPr="00817B9F">
        <w:t>pplicant also propose</w:t>
      </w:r>
      <w:r w:rsidR="00F96464" w:rsidRPr="00817B9F">
        <w:t>s</w:t>
      </w:r>
      <w:r w:rsidR="00F66DB8" w:rsidRPr="00817B9F">
        <w:t xml:space="preserve"> to </w:t>
      </w:r>
      <w:r w:rsidR="00E41D76" w:rsidRPr="00817B9F">
        <w:t>bring into operation 24</w:t>
      </w:r>
      <w:r w:rsidR="00B464EF" w:rsidRPr="00817B9F">
        <w:t xml:space="preserve"> beds that are currently licensed at MGH but that are not </w:t>
      </w:r>
      <w:r w:rsidR="00103722" w:rsidRPr="00817B9F">
        <w:t>currently available for patient care</w:t>
      </w:r>
      <w:r w:rsidR="00037E36" w:rsidRPr="00817B9F">
        <w:t>.</w:t>
      </w:r>
      <w:r w:rsidR="005776C1" w:rsidRPr="00817B9F">
        <w:rPr>
          <w:rStyle w:val="FootnoteReference"/>
        </w:rPr>
        <w:footnoteReference w:id="10"/>
      </w:r>
      <w:r w:rsidR="00037E36" w:rsidRPr="00817B9F">
        <w:t xml:space="preserve"> </w:t>
      </w:r>
      <w:r w:rsidR="00FA6EE6" w:rsidRPr="00817B9F">
        <w:t xml:space="preserve">While </w:t>
      </w:r>
      <w:r w:rsidR="00686C45" w:rsidRPr="00817B9F">
        <w:t>approval of the D</w:t>
      </w:r>
      <w:r w:rsidR="004A4945" w:rsidRPr="00817B9F">
        <w:t>o</w:t>
      </w:r>
      <w:r w:rsidR="00686C45" w:rsidRPr="00817B9F">
        <w:t xml:space="preserve">N application </w:t>
      </w:r>
      <w:r w:rsidR="00FA6EE6" w:rsidRPr="00817B9F">
        <w:t xml:space="preserve">would increase the number of medical/surgical and ICU beds at MGH, the </w:t>
      </w:r>
      <w:r w:rsidR="00686C45" w:rsidRPr="00817B9F">
        <w:t>application does not propose to</w:t>
      </w:r>
      <w:r w:rsidR="00BF7277" w:rsidRPr="00817B9F">
        <w:t xml:space="preserve"> change</w:t>
      </w:r>
      <w:r w:rsidR="00FA6EE6" w:rsidRPr="00817B9F">
        <w:t xml:space="preserve"> the number of license</w:t>
      </w:r>
      <w:r w:rsidR="00CE5F75" w:rsidRPr="00817B9F">
        <w:t>d</w:t>
      </w:r>
      <w:r w:rsidR="00FA6EE6" w:rsidRPr="00817B9F">
        <w:t xml:space="preserve"> or operational </w:t>
      </w:r>
      <w:r w:rsidR="00CE5F75" w:rsidRPr="00817B9F">
        <w:t xml:space="preserve">beds in the </w:t>
      </w:r>
      <w:r w:rsidR="00FA6EE6" w:rsidRPr="00817B9F">
        <w:t>obstetric</w:t>
      </w:r>
      <w:r w:rsidR="00CE5F75" w:rsidRPr="00817B9F">
        <w:t xml:space="preserve"> unit</w:t>
      </w:r>
      <w:r w:rsidR="00611C23" w:rsidRPr="00817B9F">
        <w:t xml:space="preserve"> (</w:t>
      </w:r>
      <w:r w:rsidR="00BF7277" w:rsidRPr="00817B9F">
        <w:t xml:space="preserve">currently </w:t>
      </w:r>
      <w:r w:rsidR="00611C23" w:rsidRPr="00817B9F">
        <w:t>27 beds)</w:t>
      </w:r>
      <w:r w:rsidR="00FA6EE6" w:rsidRPr="00817B9F">
        <w:t>, pediat</w:t>
      </w:r>
      <w:r w:rsidR="00611C23" w:rsidRPr="00817B9F">
        <w:t>ric</w:t>
      </w:r>
      <w:r w:rsidR="00CE5F75" w:rsidRPr="00817B9F">
        <w:t xml:space="preserve"> unit</w:t>
      </w:r>
      <w:r w:rsidR="00611C23" w:rsidRPr="00817B9F">
        <w:t xml:space="preserve"> (</w:t>
      </w:r>
      <w:r w:rsidR="00BF7277" w:rsidRPr="00817B9F">
        <w:t xml:space="preserve">currently </w:t>
      </w:r>
      <w:r w:rsidR="00611C23" w:rsidRPr="00817B9F">
        <w:t xml:space="preserve">58 beds), neonatal intensive care </w:t>
      </w:r>
      <w:r w:rsidR="00CE5F75" w:rsidRPr="00817B9F">
        <w:t xml:space="preserve">unit </w:t>
      </w:r>
      <w:r w:rsidR="00611C23" w:rsidRPr="00817B9F">
        <w:t>(</w:t>
      </w:r>
      <w:r w:rsidR="00BF7277" w:rsidRPr="00817B9F">
        <w:t xml:space="preserve">currently </w:t>
      </w:r>
      <w:r w:rsidR="00611C23" w:rsidRPr="00817B9F">
        <w:t xml:space="preserve">21 beds), </w:t>
      </w:r>
      <w:r w:rsidR="00CB2B0D" w:rsidRPr="00817B9F">
        <w:t xml:space="preserve">coronary </w:t>
      </w:r>
      <w:r w:rsidR="00CB2B0D" w:rsidRPr="00817B9F">
        <w:lastRenderedPageBreak/>
        <w:t>care unit (</w:t>
      </w:r>
      <w:r w:rsidR="00BF7277" w:rsidRPr="00817B9F">
        <w:t xml:space="preserve">currently </w:t>
      </w:r>
      <w:r w:rsidR="00CB2B0D" w:rsidRPr="00817B9F">
        <w:t>16 beds), burn unit (</w:t>
      </w:r>
      <w:r w:rsidR="00BF7277" w:rsidRPr="00817B9F">
        <w:t xml:space="preserve">currently </w:t>
      </w:r>
      <w:r w:rsidR="000D3E3F" w:rsidRPr="00817B9F">
        <w:t>seven</w:t>
      </w:r>
      <w:r w:rsidR="00CB2B0D" w:rsidRPr="00817B9F">
        <w:t xml:space="preserve"> beds), or psychiatr</w:t>
      </w:r>
      <w:r w:rsidR="00CE5F75" w:rsidRPr="00817B9F">
        <w:t xml:space="preserve">ic unit </w:t>
      </w:r>
      <w:r w:rsidR="00CB2B0D" w:rsidRPr="00817B9F">
        <w:t>(24 beds)</w:t>
      </w:r>
      <w:r w:rsidR="00CE5F75" w:rsidRPr="00817B9F">
        <w:t>.</w:t>
      </w:r>
      <w:r w:rsidR="00013016" w:rsidRPr="00817B9F">
        <w:rPr>
          <w:rStyle w:val="FootnoteReference"/>
        </w:rPr>
        <w:footnoteReference w:id="11"/>
      </w:r>
      <w:r w:rsidR="00CE5F75" w:rsidRPr="00817B9F">
        <w:t xml:space="preserve"> </w:t>
      </w:r>
      <w:r w:rsidR="00501666" w:rsidRPr="00817B9F">
        <w:t>In total, i</w:t>
      </w:r>
      <w:r w:rsidR="00562B0A" w:rsidRPr="00817B9F">
        <w:t xml:space="preserve">f the project </w:t>
      </w:r>
      <w:r w:rsidR="00501666" w:rsidRPr="00817B9F">
        <w:t>were</w:t>
      </w:r>
      <w:r w:rsidR="00562B0A" w:rsidRPr="00817B9F">
        <w:t xml:space="preserve"> approved as submitted, the number of beds available for patient care at MGH’s campus would increase </w:t>
      </w:r>
      <w:r w:rsidR="00B16320" w:rsidRPr="00817B9F">
        <w:t>by 11</w:t>
      </w:r>
      <w:r w:rsidR="00FF5E3E" w:rsidRPr="00817B9F">
        <w:t xml:space="preserve">8 </w:t>
      </w:r>
      <w:r w:rsidR="006D20E9" w:rsidRPr="00817B9F">
        <w:t xml:space="preserve">beds </w:t>
      </w:r>
      <w:r w:rsidR="00FF5E3E" w:rsidRPr="00817B9F">
        <w:t xml:space="preserve">from </w:t>
      </w:r>
      <w:r w:rsidR="00562B0A" w:rsidRPr="00817B9F">
        <w:t>1</w:t>
      </w:r>
      <w:r w:rsidR="009E7BA5" w:rsidRPr="00817B9F">
        <w:t>,</w:t>
      </w:r>
      <w:r w:rsidR="00562B0A" w:rsidRPr="00817B9F">
        <w:t>019 to 1</w:t>
      </w:r>
      <w:r w:rsidR="009E7BA5" w:rsidRPr="00817B9F">
        <w:t>,</w:t>
      </w:r>
      <w:r w:rsidR="00562B0A" w:rsidRPr="00817B9F">
        <w:t>137</w:t>
      </w:r>
      <w:r w:rsidR="006D20E9" w:rsidRPr="00817B9F">
        <w:t xml:space="preserve"> beds</w:t>
      </w:r>
      <w:r w:rsidR="00562B0A" w:rsidRPr="00817B9F">
        <w:t>.</w:t>
      </w:r>
      <w:r w:rsidR="00CA2609" w:rsidRPr="00817B9F">
        <w:rPr>
          <w:rStyle w:val="FootnoteReference"/>
        </w:rPr>
        <w:footnoteReference w:id="12"/>
      </w:r>
    </w:p>
    <w:p w14:paraId="6FB00E2B" w14:textId="5E0E2F9E" w:rsidR="005B1E5E" w:rsidRPr="00817B9F" w:rsidRDefault="00C52DB8" w:rsidP="0047207A">
      <w:pPr>
        <w:pStyle w:val="NumberedParagraphs"/>
      </w:pPr>
      <w:r w:rsidRPr="00817B9F">
        <w:t>The Applicant</w:t>
      </w:r>
      <w:r w:rsidR="00D65F50" w:rsidRPr="00817B9F">
        <w:t xml:space="preserve"> </w:t>
      </w:r>
      <w:r w:rsidR="00A20D2F" w:rsidRPr="00817B9F">
        <w:t xml:space="preserve">proposes to </w:t>
      </w:r>
      <w:r w:rsidR="00A94861" w:rsidRPr="00817B9F">
        <w:t xml:space="preserve">consolidate much of </w:t>
      </w:r>
      <w:r w:rsidRPr="00817B9F">
        <w:t>the</w:t>
      </w:r>
      <w:r w:rsidR="00A94861" w:rsidRPr="00817B9F">
        <w:t xml:space="preserve"> cancer and cardiac care </w:t>
      </w:r>
      <w:r w:rsidR="003B1C7F" w:rsidRPr="00817B9F">
        <w:t xml:space="preserve">provided at MGH </w:t>
      </w:r>
      <w:r w:rsidR="00A94861" w:rsidRPr="00817B9F">
        <w:t xml:space="preserve">at the </w:t>
      </w:r>
      <w:r w:rsidR="00B56600" w:rsidRPr="00817B9F">
        <w:t>new</w:t>
      </w:r>
      <w:r w:rsidR="00686C45" w:rsidRPr="00817B9F">
        <w:t xml:space="preserve"> tower</w:t>
      </w:r>
      <w:r w:rsidR="00EA5032" w:rsidRPr="00817B9F">
        <w:t xml:space="preserve"> on the </w:t>
      </w:r>
      <w:r w:rsidR="003B1C7F" w:rsidRPr="00817B9F">
        <w:t xml:space="preserve">hospital’s </w:t>
      </w:r>
      <w:r w:rsidR="00EA5032" w:rsidRPr="00817B9F">
        <w:t>main campus</w:t>
      </w:r>
      <w:r w:rsidR="008617BC" w:rsidRPr="00817B9F">
        <w:t>.</w:t>
      </w:r>
      <w:r w:rsidR="00DE4A33" w:rsidRPr="00817B9F">
        <w:rPr>
          <w:rStyle w:val="FootnoteReference"/>
        </w:rPr>
        <w:footnoteReference w:id="13"/>
      </w:r>
      <w:r w:rsidR="008617BC" w:rsidRPr="00817B9F">
        <w:t xml:space="preserve"> </w:t>
      </w:r>
      <w:r w:rsidR="00884963" w:rsidRPr="00817B9F">
        <w:t xml:space="preserve">In addition to the </w:t>
      </w:r>
      <w:r w:rsidR="00686C45" w:rsidRPr="00817B9F">
        <w:t xml:space="preserve">aforementioned </w:t>
      </w:r>
      <w:r w:rsidR="00884963" w:rsidRPr="00817B9F">
        <w:t xml:space="preserve">medical/surgical </w:t>
      </w:r>
      <w:r w:rsidR="00D633F0" w:rsidRPr="00817B9F">
        <w:t xml:space="preserve">beds </w:t>
      </w:r>
      <w:r w:rsidR="00884963" w:rsidRPr="00817B9F">
        <w:t xml:space="preserve">and ICU beds, </w:t>
      </w:r>
      <w:r w:rsidR="00296E88" w:rsidRPr="00817B9F">
        <w:t>120 oncology exam rooms and 100 oncology infusion bays</w:t>
      </w:r>
      <w:r w:rsidR="00EA5032" w:rsidRPr="00817B9F">
        <w:t xml:space="preserve"> would be located</w:t>
      </w:r>
      <w:r w:rsidR="00296E88" w:rsidRPr="00817B9F">
        <w:t xml:space="preserve"> in the </w:t>
      </w:r>
      <w:r w:rsidR="00E3658D" w:rsidRPr="00817B9F">
        <w:t>tower</w:t>
      </w:r>
      <w:r w:rsidR="00296E88" w:rsidRPr="00817B9F">
        <w:t>.</w:t>
      </w:r>
      <w:r w:rsidR="004C22C7" w:rsidRPr="00817B9F">
        <w:rPr>
          <w:rStyle w:val="FootnoteReference"/>
        </w:rPr>
        <w:footnoteReference w:id="14"/>
      </w:r>
      <w:r w:rsidR="00296E88" w:rsidRPr="00817B9F">
        <w:t xml:space="preserve"> </w:t>
      </w:r>
      <w:r w:rsidR="00F36FED" w:rsidRPr="00817B9F">
        <w:t xml:space="preserve">This corresponds to a net decrease in the number of oncology exam rooms on the MGH main campus </w:t>
      </w:r>
      <w:r w:rsidR="00310E4B" w:rsidRPr="00817B9F">
        <w:t>from 123 to 120, and a net increase in the number of oncology infusion bays on the MGH main campus from 79 to 100.</w:t>
      </w:r>
      <w:r w:rsidR="00A44067" w:rsidRPr="00817B9F">
        <w:rPr>
          <w:rStyle w:val="FootnoteReference"/>
        </w:rPr>
        <w:footnoteReference w:id="15"/>
      </w:r>
      <w:r w:rsidR="00310E4B" w:rsidRPr="00817B9F">
        <w:t xml:space="preserve"> </w:t>
      </w:r>
      <w:r w:rsidR="00BD505B" w:rsidRPr="00817B9F">
        <w:t xml:space="preserve">For </w:t>
      </w:r>
      <w:r w:rsidR="00D450C7" w:rsidRPr="00817B9F">
        <w:t>cardi</w:t>
      </w:r>
      <w:r w:rsidR="00A52710" w:rsidRPr="00817B9F">
        <w:t>ac</w:t>
      </w:r>
      <w:r w:rsidR="00D450C7" w:rsidRPr="00817B9F">
        <w:t xml:space="preserve"> services, </w:t>
      </w:r>
      <w:r w:rsidR="00F437BA" w:rsidRPr="00817B9F">
        <w:t>MGB</w:t>
      </w:r>
      <w:r w:rsidR="00D450C7" w:rsidRPr="00817B9F">
        <w:t xml:space="preserve"> proposes </w:t>
      </w:r>
      <w:r w:rsidR="00213732" w:rsidRPr="00817B9F">
        <w:t>locating</w:t>
      </w:r>
      <w:r w:rsidR="00D450C7" w:rsidRPr="00817B9F">
        <w:t xml:space="preserve"> </w:t>
      </w:r>
      <w:r w:rsidR="0044004A" w:rsidRPr="00817B9F">
        <w:t>2</w:t>
      </w:r>
      <w:r w:rsidR="00792BF5" w:rsidRPr="00817B9F">
        <w:t>3</w:t>
      </w:r>
      <w:r w:rsidR="0044004A" w:rsidRPr="00817B9F">
        <w:t xml:space="preserve"> cardi</w:t>
      </w:r>
      <w:r w:rsidR="00A52710" w:rsidRPr="00817B9F">
        <w:t>ac</w:t>
      </w:r>
      <w:r w:rsidR="0044004A" w:rsidRPr="00817B9F">
        <w:t xml:space="preserve"> oper</w:t>
      </w:r>
      <w:r w:rsidR="007A2B84" w:rsidRPr="00817B9F">
        <w:t xml:space="preserve">ating rooms </w:t>
      </w:r>
      <w:r w:rsidR="00213732" w:rsidRPr="00817B9F">
        <w:t>in</w:t>
      </w:r>
      <w:r w:rsidR="007A2B84" w:rsidRPr="00817B9F">
        <w:t xml:space="preserve"> the new building; these rooms would be comprised of six conventional </w:t>
      </w:r>
      <w:r w:rsidR="00695A8D" w:rsidRPr="00817B9F">
        <w:t xml:space="preserve">operating rooms dedicated to cardiology (a net increase of one on the MGH main campus) </w:t>
      </w:r>
      <w:r w:rsidR="00EB142B" w:rsidRPr="00817B9F">
        <w:t>and 17 hybrid multipurpose operating rooms dedicated to cardiology (</w:t>
      </w:r>
      <w:r w:rsidR="007119CF" w:rsidRPr="00817B9F">
        <w:t xml:space="preserve">a net increase of 17 </w:t>
      </w:r>
      <w:r w:rsidR="00514C7D" w:rsidRPr="00817B9F">
        <w:t>on the MGH main campus</w:t>
      </w:r>
      <w:r w:rsidR="00EB142B" w:rsidRPr="00817B9F">
        <w:t>).</w:t>
      </w:r>
      <w:r w:rsidR="00222D7F" w:rsidRPr="00817B9F">
        <w:rPr>
          <w:rStyle w:val="FootnoteReference"/>
        </w:rPr>
        <w:footnoteReference w:id="16"/>
      </w:r>
      <w:r w:rsidR="00CD1101" w:rsidRPr="00817B9F">
        <w:t xml:space="preserve"> In addition to the </w:t>
      </w:r>
      <w:r w:rsidR="00464551" w:rsidRPr="00817B9F">
        <w:t>23</w:t>
      </w:r>
      <w:r w:rsidR="00CD1101" w:rsidRPr="00817B9F">
        <w:t xml:space="preserve"> </w:t>
      </w:r>
      <w:r w:rsidR="000311DA" w:rsidRPr="00817B9F">
        <w:t>cardiac operating rooms</w:t>
      </w:r>
      <w:r w:rsidR="002F7F33" w:rsidRPr="00817B9F">
        <w:t xml:space="preserve"> in the tower</w:t>
      </w:r>
      <w:r w:rsidR="00324832" w:rsidRPr="00817B9F">
        <w:t xml:space="preserve"> (a net increase of 1</w:t>
      </w:r>
      <w:r w:rsidR="000D6313" w:rsidRPr="00817B9F">
        <w:t>8</w:t>
      </w:r>
      <w:r w:rsidR="002C44C9" w:rsidRPr="00817B9F">
        <w:t xml:space="preserve"> operating rooms</w:t>
      </w:r>
      <w:r w:rsidR="000D6313" w:rsidRPr="00817B9F">
        <w:t>)</w:t>
      </w:r>
      <w:r w:rsidR="000311DA" w:rsidRPr="00817B9F">
        <w:t xml:space="preserve">, the application proposes </w:t>
      </w:r>
      <w:r w:rsidR="002F7F33" w:rsidRPr="00817B9F">
        <w:t xml:space="preserve">to </w:t>
      </w:r>
      <w:r w:rsidR="0023104F" w:rsidRPr="00817B9F">
        <w:t>include</w:t>
      </w:r>
      <w:r w:rsidR="00671742" w:rsidRPr="00817B9F">
        <w:t xml:space="preserve"> </w:t>
      </w:r>
      <w:r w:rsidR="002F7F33" w:rsidRPr="00817B9F">
        <w:t xml:space="preserve">three </w:t>
      </w:r>
      <w:r w:rsidR="00950A6E" w:rsidRPr="00817B9F">
        <w:t xml:space="preserve">new </w:t>
      </w:r>
      <w:r w:rsidR="002F7F33" w:rsidRPr="00817B9F">
        <w:t>procedure rooms dedicated to cardiology in the tower</w:t>
      </w:r>
      <w:r w:rsidR="00950A6E" w:rsidRPr="00817B9F">
        <w:t>.</w:t>
      </w:r>
      <w:r w:rsidR="0023104F" w:rsidRPr="00817B9F">
        <w:rPr>
          <w:rStyle w:val="FootnoteReference"/>
        </w:rPr>
        <w:footnoteReference w:id="17"/>
      </w:r>
      <w:r w:rsidR="00950A6E" w:rsidRPr="00817B9F">
        <w:t xml:space="preserve"> </w:t>
      </w:r>
    </w:p>
    <w:p w14:paraId="0B92AEE2" w14:textId="31685E3E" w:rsidR="00D12546" w:rsidRPr="00817B9F" w:rsidRDefault="00D633F0" w:rsidP="00880A25">
      <w:pPr>
        <w:pStyle w:val="NumberedParagraphs"/>
      </w:pPr>
      <w:r w:rsidRPr="00817B9F">
        <w:t xml:space="preserve">Lastly, </w:t>
      </w:r>
      <w:r w:rsidR="00A335AD" w:rsidRPr="00817B9F">
        <w:t>MGB proposes to locat</w:t>
      </w:r>
      <w:r w:rsidR="000E526A" w:rsidRPr="00817B9F">
        <w:t>e</w:t>
      </w:r>
      <w:r w:rsidR="00A335AD" w:rsidRPr="00817B9F">
        <w:t xml:space="preserve"> new diagnostic imaging </w:t>
      </w:r>
      <w:r w:rsidR="00EF536F" w:rsidRPr="00817B9F">
        <w:t>equipment</w:t>
      </w:r>
      <w:r w:rsidR="00A335AD" w:rsidRPr="00817B9F">
        <w:t xml:space="preserve"> in the </w:t>
      </w:r>
      <w:r w:rsidR="001F7832" w:rsidRPr="00817B9F">
        <w:t>new tower. Th</w:t>
      </w:r>
      <w:r w:rsidRPr="00817B9F">
        <w:t xml:space="preserve">e proposed </w:t>
      </w:r>
      <w:r w:rsidR="001F7832" w:rsidRPr="00817B9F">
        <w:t xml:space="preserve">imaging equipment includes two new </w:t>
      </w:r>
      <w:r w:rsidR="00D12546" w:rsidRPr="00817B9F">
        <w:t xml:space="preserve">Computed Tomography (“CT”) </w:t>
      </w:r>
      <w:r w:rsidR="00150DC0" w:rsidRPr="00817B9F">
        <w:t>units</w:t>
      </w:r>
      <w:r w:rsidR="00AA1C35" w:rsidRPr="00817B9F">
        <w:t xml:space="preserve"> </w:t>
      </w:r>
      <w:r w:rsidR="009465C6" w:rsidRPr="00817B9F">
        <w:t>(in addition to the</w:t>
      </w:r>
      <w:r w:rsidR="00FF17AC" w:rsidRPr="00817B9F">
        <w:t xml:space="preserve"> 14 units currently on MGH’s main campus), two new </w:t>
      </w:r>
      <w:r w:rsidR="00D12546" w:rsidRPr="00817B9F">
        <w:t>Magnetic Resonance Imaging (</w:t>
      </w:r>
      <w:r w:rsidR="00FF17AC" w:rsidRPr="00817B9F">
        <w:t>“</w:t>
      </w:r>
      <w:r w:rsidR="00D12546" w:rsidRPr="00817B9F">
        <w:t>MRI</w:t>
      </w:r>
      <w:r w:rsidR="00FF17AC" w:rsidRPr="00817B9F">
        <w:t>”</w:t>
      </w:r>
      <w:r w:rsidR="00D12546" w:rsidRPr="00817B9F">
        <w:t>)</w:t>
      </w:r>
      <w:r w:rsidR="00FF17AC" w:rsidRPr="00817B9F">
        <w:t xml:space="preserve"> units (in addition to the </w:t>
      </w:r>
      <w:r w:rsidR="00F6076C" w:rsidRPr="00817B9F">
        <w:t>ten</w:t>
      </w:r>
      <w:r w:rsidR="00306A3A" w:rsidRPr="00817B9F">
        <w:t xml:space="preserve"> units currently on the campus), two new </w:t>
      </w:r>
      <w:r w:rsidR="00D12546" w:rsidRPr="00817B9F">
        <w:t>Positron Emission Tomography/Computed Tomography (</w:t>
      </w:r>
      <w:r w:rsidR="00306A3A" w:rsidRPr="00817B9F">
        <w:t>“</w:t>
      </w:r>
      <w:r w:rsidR="00D12546" w:rsidRPr="00817B9F">
        <w:t>PET/CT</w:t>
      </w:r>
      <w:r w:rsidR="00306A3A" w:rsidRPr="00817B9F">
        <w:t>”</w:t>
      </w:r>
      <w:r w:rsidR="00D12546" w:rsidRPr="00817B9F">
        <w:t>)</w:t>
      </w:r>
      <w:r w:rsidR="00306A3A" w:rsidRPr="00817B9F">
        <w:t xml:space="preserve"> units (in addition to the three units currently on </w:t>
      </w:r>
      <w:r w:rsidR="00306A3A" w:rsidRPr="00817B9F">
        <w:lastRenderedPageBreak/>
        <w:t xml:space="preserve">the campus), and one </w:t>
      </w:r>
      <w:r w:rsidR="00D02291" w:rsidRPr="00817B9F">
        <w:t xml:space="preserve">new </w:t>
      </w:r>
      <w:r w:rsidR="00D12546" w:rsidRPr="00817B9F">
        <w:t>Positron Emission Tomography/Magnetic Resonance (</w:t>
      </w:r>
      <w:r w:rsidR="004B0D8B" w:rsidRPr="00817B9F">
        <w:t>“</w:t>
      </w:r>
      <w:r w:rsidR="00D12546" w:rsidRPr="00817B9F">
        <w:t>PET/MR</w:t>
      </w:r>
      <w:r w:rsidR="004B0D8B" w:rsidRPr="00817B9F">
        <w:t>”</w:t>
      </w:r>
      <w:r w:rsidR="00D12546" w:rsidRPr="00817B9F">
        <w:t>)</w:t>
      </w:r>
      <w:r w:rsidR="004B0D8B" w:rsidRPr="00817B9F">
        <w:t xml:space="preserve"> unit</w:t>
      </w:r>
      <w:r w:rsidR="00A3194D" w:rsidRPr="00817B9F">
        <w:t xml:space="preserve"> (in addition to the one non-operational unit currently on the campus).</w:t>
      </w:r>
      <w:r w:rsidR="008B5CCC" w:rsidRPr="00817B9F">
        <w:rPr>
          <w:rStyle w:val="FootnoteReference"/>
        </w:rPr>
        <w:footnoteReference w:id="18"/>
      </w:r>
      <w:r w:rsidR="00A3194D" w:rsidRPr="00817B9F">
        <w:t xml:space="preserve"> </w:t>
      </w:r>
    </w:p>
    <w:p w14:paraId="53B8C5B8" w14:textId="20DD1975" w:rsidR="00362C21" w:rsidRPr="00817B9F" w:rsidRDefault="006D3B69" w:rsidP="0027011C">
      <w:pPr>
        <w:pStyle w:val="NumberedParagraphs"/>
      </w:pPr>
      <w:r w:rsidRPr="00817B9F">
        <w:t xml:space="preserve">While </w:t>
      </w:r>
      <w:r w:rsidR="00F7619F" w:rsidRPr="00817B9F">
        <w:t>we</w:t>
      </w:r>
      <w:r w:rsidRPr="00817B9F">
        <w:t xml:space="preserve"> do not discuss them in detail in this </w:t>
      </w:r>
      <w:r w:rsidR="00F847CE" w:rsidRPr="00817B9F">
        <w:t>ICA</w:t>
      </w:r>
      <w:r w:rsidRPr="00817B9F">
        <w:t>,</w:t>
      </w:r>
      <w:r w:rsidR="00EF536F" w:rsidRPr="00817B9F">
        <w:t xml:space="preserve"> </w:t>
      </w:r>
      <w:r w:rsidR="006713C1" w:rsidRPr="00817B9F">
        <w:t>the D</w:t>
      </w:r>
      <w:r w:rsidR="004A4945" w:rsidRPr="00817B9F">
        <w:t>o</w:t>
      </w:r>
      <w:r w:rsidR="006713C1" w:rsidRPr="00817B9F">
        <w:t xml:space="preserve">N application includes </w:t>
      </w:r>
      <w:r w:rsidR="00AB56BE" w:rsidRPr="00817B9F">
        <w:t xml:space="preserve">several </w:t>
      </w:r>
      <w:r w:rsidR="00845A89" w:rsidRPr="00817B9F">
        <w:t>small</w:t>
      </w:r>
      <w:r w:rsidR="0056097E" w:rsidRPr="00817B9F">
        <w:t>er</w:t>
      </w:r>
      <w:r w:rsidR="00845A89" w:rsidRPr="00817B9F">
        <w:t xml:space="preserve"> renovation projects on </w:t>
      </w:r>
      <w:r w:rsidR="00AE4470" w:rsidRPr="00817B9F">
        <w:t xml:space="preserve">MGH’s </w:t>
      </w:r>
      <w:r w:rsidR="000B7C1A" w:rsidRPr="00817B9F">
        <w:t>main campus and at its satellite locations.</w:t>
      </w:r>
      <w:r w:rsidR="00760980" w:rsidRPr="00817B9F">
        <w:rPr>
          <w:rStyle w:val="FootnoteReference"/>
        </w:rPr>
        <w:footnoteReference w:id="19"/>
      </w:r>
    </w:p>
    <w:p w14:paraId="754207E6" w14:textId="18BDE1E5" w:rsidR="001D5FF2" w:rsidRPr="00817B9F" w:rsidRDefault="00F022A5" w:rsidP="001D5FF2">
      <w:pPr>
        <w:pStyle w:val="Heading1"/>
      </w:pPr>
      <w:bookmarkStart w:id="6" w:name="_Ref88655817"/>
      <w:bookmarkStart w:id="7" w:name="_Toc90046489"/>
      <w:r w:rsidRPr="00817B9F">
        <w:t>Data Sources, Service Line Definitions, and Prices for Health Care Services</w:t>
      </w:r>
      <w:bookmarkEnd w:id="6"/>
      <w:bookmarkEnd w:id="7"/>
      <w:r w:rsidRPr="00817B9F">
        <w:t xml:space="preserve"> </w:t>
      </w:r>
    </w:p>
    <w:p w14:paraId="547687E3" w14:textId="0FB22B58" w:rsidR="00F022A5" w:rsidRPr="00817B9F" w:rsidRDefault="00F022A5" w:rsidP="00F022A5">
      <w:pPr>
        <w:pStyle w:val="NumberedParagraphs"/>
      </w:pPr>
      <w:r w:rsidRPr="00817B9F">
        <w:t>In this section we discuss the data sources, service line definitions, and information o</w:t>
      </w:r>
      <w:r w:rsidR="00024BA8" w:rsidRPr="00817B9F">
        <w:t>n</w:t>
      </w:r>
      <w:r w:rsidRPr="00817B9F">
        <w:t xml:space="preserve"> prices for health care services that we use throughout this report </w:t>
      </w:r>
      <w:r w:rsidR="001B6A1C" w:rsidRPr="00817B9F">
        <w:t>to respond to</w:t>
      </w:r>
      <w:r w:rsidRPr="00817B9F">
        <w:t xml:space="preserve"> </w:t>
      </w:r>
      <w:r w:rsidR="001B6A1C" w:rsidRPr="00817B9F">
        <w:t xml:space="preserve">the ICA questions posed by the DoN program. </w:t>
      </w:r>
    </w:p>
    <w:p w14:paraId="6BB95877" w14:textId="3CA54D1D" w:rsidR="004512A3" w:rsidRPr="00817B9F" w:rsidRDefault="00B67055" w:rsidP="00153E41">
      <w:pPr>
        <w:pStyle w:val="Heading2"/>
        <w:numPr>
          <w:ilvl w:val="0"/>
          <w:numId w:val="11"/>
        </w:numPr>
        <w:rPr>
          <w:rFonts w:cs="Times New Roman"/>
        </w:rPr>
      </w:pPr>
      <w:bookmarkStart w:id="8" w:name="_Ref88594712"/>
      <w:bookmarkStart w:id="9" w:name="_Toc90046490"/>
      <w:r w:rsidRPr="00817B9F">
        <w:rPr>
          <w:rFonts w:cs="Times New Roman"/>
        </w:rPr>
        <w:t xml:space="preserve">Data Sources Used </w:t>
      </w:r>
      <w:r w:rsidR="00247A28" w:rsidRPr="00817B9F">
        <w:rPr>
          <w:rFonts w:cs="Times New Roman"/>
        </w:rPr>
        <w:t>for</w:t>
      </w:r>
      <w:r w:rsidRPr="00817B9F">
        <w:rPr>
          <w:rFonts w:cs="Times New Roman"/>
        </w:rPr>
        <w:t xml:space="preserve"> A</w:t>
      </w:r>
      <w:r w:rsidR="00F85480" w:rsidRPr="00817B9F">
        <w:rPr>
          <w:rFonts w:cs="Times New Roman"/>
        </w:rPr>
        <w:t>n</w:t>
      </w:r>
      <w:r w:rsidRPr="00817B9F">
        <w:rPr>
          <w:rFonts w:cs="Times New Roman"/>
        </w:rPr>
        <w:t>alyses</w:t>
      </w:r>
      <w:bookmarkEnd w:id="8"/>
      <w:bookmarkEnd w:id="9"/>
    </w:p>
    <w:p w14:paraId="66A81986" w14:textId="5D266ECD" w:rsidR="00A22F6B" w:rsidRPr="00817B9F" w:rsidRDefault="00B67055" w:rsidP="001D5FF2">
      <w:pPr>
        <w:pStyle w:val="Heading3"/>
      </w:pPr>
      <w:bookmarkStart w:id="10" w:name="_Ref88579647"/>
      <w:bookmarkStart w:id="11" w:name="_Ref88580159"/>
      <w:bookmarkStart w:id="12" w:name="_Toc90046491"/>
      <w:r w:rsidRPr="00817B9F">
        <w:t xml:space="preserve">CHIA </w:t>
      </w:r>
      <w:r w:rsidR="009F0991" w:rsidRPr="00817B9F">
        <w:t xml:space="preserve">Hospital </w:t>
      </w:r>
      <w:r w:rsidRPr="00817B9F">
        <w:t>Inpatien</w:t>
      </w:r>
      <w:r w:rsidR="009F0991" w:rsidRPr="00817B9F">
        <w:t>t</w:t>
      </w:r>
      <w:r w:rsidRPr="00817B9F">
        <w:t xml:space="preserve"> </w:t>
      </w:r>
      <w:r w:rsidR="009F0991" w:rsidRPr="00817B9F">
        <w:t xml:space="preserve">Discharge </w:t>
      </w:r>
      <w:r w:rsidRPr="00817B9F">
        <w:t>Database</w:t>
      </w:r>
      <w:bookmarkEnd w:id="10"/>
      <w:bookmarkEnd w:id="11"/>
      <w:bookmarkEnd w:id="12"/>
    </w:p>
    <w:p w14:paraId="3A81CAE1" w14:textId="2F87AF2E" w:rsidR="00396DC0" w:rsidRPr="00817B9F" w:rsidRDefault="002C4F31" w:rsidP="002A7B1F">
      <w:pPr>
        <w:pStyle w:val="NumberedParagraphs"/>
      </w:pPr>
      <w:r w:rsidRPr="00817B9F">
        <w:t xml:space="preserve">The Hospital Inpatient Discharge Database </w:t>
      </w:r>
      <w:r w:rsidR="00224535" w:rsidRPr="00817B9F">
        <w:t xml:space="preserve">maintained by the Center for Health Information and Analysis (“CHIA”) </w:t>
      </w:r>
      <w:r w:rsidR="002D08E3" w:rsidRPr="00817B9F">
        <w:t>contains</w:t>
      </w:r>
      <w:r w:rsidR="00A15A53" w:rsidRPr="00817B9F">
        <w:t xml:space="preserve"> all</w:t>
      </w:r>
      <w:r w:rsidR="002D08E3" w:rsidRPr="00817B9F">
        <w:t xml:space="preserve"> inpatient discharges </w:t>
      </w:r>
      <w:r w:rsidR="00183CE6" w:rsidRPr="00817B9F">
        <w:t xml:space="preserve">from </w:t>
      </w:r>
      <w:r w:rsidR="00B6664B" w:rsidRPr="00817B9F">
        <w:t xml:space="preserve">Massachusetts </w:t>
      </w:r>
      <w:r w:rsidR="00183CE6" w:rsidRPr="00817B9F">
        <w:t>acute care hospitals</w:t>
      </w:r>
      <w:r w:rsidR="00FA77ED" w:rsidRPr="00817B9F">
        <w:t>.</w:t>
      </w:r>
      <w:r w:rsidR="00E8097A" w:rsidRPr="00817B9F">
        <w:rPr>
          <w:rStyle w:val="FootnoteReference"/>
        </w:rPr>
        <w:footnoteReference w:id="20"/>
      </w:r>
      <w:r w:rsidR="00FA77ED" w:rsidRPr="00817B9F">
        <w:t xml:space="preserve"> Acute care</w:t>
      </w:r>
      <w:r w:rsidR="002051EC" w:rsidRPr="00817B9F">
        <w:t xml:space="preserve"> </w:t>
      </w:r>
      <w:r w:rsidR="00F649A6" w:rsidRPr="00817B9F">
        <w:t>hospital</w:t>
      </w:r>
      <w:r w:rsidR="00C12080" w:rsidRPr="00817B9F">
        <w:t xml:space="preserve">s </w:t>
      </w:r>
      <w:r w:rsidR="00913107" w:rsidRPr="00817B9F">
        <w:t>provide inpatient</w:t>
      </w:r>
      <w:r w:rsidR="00316412" w:rsidRPr="00817B9F">
        <w:t xml:space="preserve"> and outpatient</w:t>
      </w:r>
      <w:r w:rsidR="00913107" w:rsidRPr="00817B9F">
        <w:t xml:space="preserve"> medical care and related services for </w:t>
      </w:r>
      <w:r w:rsidR="00402DD2" w:rsidRPr="00817B9F">
        <w:t>surgery</w:t>
      </w:r>
      <w:r w:rsidR="00127A89" w:rsidRPr="00817B9F">
        <w:t>, acute medical conditions</w:t>
      </w:r>
      <w:r w:rsidR="00C26530" w:rsidRPr="00817B9F">
        <w:t>,</w:t>
      </w:r>
      <w:r w:rsidR="00127A89" w:rsidRPr="00817B9F">
        <w:t xml:space="preserve"> or injuries</w:t>
      </w:r>
      <w:r w:rsidR="0004773F" w:rsidRPr="00817B9F">
        <w:t>.</w:t>
      </w:r>
      <w:r w:rsidR="00113655" w:rsidRPr="00817B9F">
        <w:t xml:space="preserve"> Unlike </w:t>
      </w:r>
      <w:r w:rsidR="00F77A7C" w:rsidRPr="00817B9F">
        <w:t xml:space="preserve">other types of hospitals, such as chronic care hospitals, </w:t>
      </w:r>
      <w:r w:rsidR="004E58FB" w:rsidRPr="00817B9F">
        <w:t>rehabilitation hospital</w:t>
      </w:r>
      <w:r w:rsidR="008C0D73" w:rsidRPr="00817B9F">
        <w:t xml:space="preserve">s, and </w:t>
      </w:r>
      <w:r w:rsidR="00C559CA" w:rsidRPr="00817B9F">
        <w:t>specialty</w:t>
      </w:r>
      <w:r w:rsidR="008C0D73" w:rsidRPr="00817B9F">
        <w:t xml:space="preserve"> care hospitals, </w:t>
      </w:r>
      <w:r w:rsidR="00C559CA" w:rsidRPr="00817B9F">
        <w:t>acute</w:t>
      </w:r>
      <w:r w:rsidR="008C0D73" w:rsidRPr="00817B9F">
        <w:t xml:space="preserve"> care hospitals generally </w:t>
      </w:r>
      <w:r w:rsidR="004448F6" w:rsidRPr="00817B9F">
        <w:t xml:space="preserve">provide </w:t>
      </w:r>
      <w:r w:rsidR="004D6D74" w:rsidRPr="00817B9F">
        <w:t>services for shorter episodes of care.</w:t>
      </w:r>
    </w:p>
    <w:p w14:paraId="0D03F594" w14:textId="6CB098AB" w:rsidR="004A0A71" w:rsidRPr="00817B9F" w:rsidRDefault="00B31A41" w:rsidP="002A7B1F">
      <w:pPr>
        <w:pStyle w:val="NumberedParagraphs"/>
      </w:pPr>
      <w:r w:rsidRPr="00817B9F">
        <w:t>Each record</w:t>
      </w:r>
      <w:r w:rsidR="003D09A7" w:rsidRPr="00817B9F">
        <w:t xml:space="preserve"> in the </w:t>
      </w:r>
      <w:r w:rsidR="00906E2E" w:rsidRPr="00817B9F">
        <w:t>Hospital Inpatient Discharge Database</w:t>
      </w:r>
      <w:r w:rsidR="003D09A7" w:rsidRPr="00817B9F">
        <w:t xml:space="preserve"> </w:t>
      </w:r>
      <w:r w:rsidR="00F45361" w:rsidRPr="00817B9F">
        <w:t xml:space="preserve">corresponds to a single </w:t>
      </w:r>
      <w:r w:rsidR="00826DF5" w:rsidRPr="00817B9F">
        <w:t>inpatient hospital stay</w:t>
      </w:r>
      <w:r w:rsidR="002D0617" w:rsidRPr="00817B9F">
        <w:t>.</w:t>
      </w:r>
      <w:r w:rsidR="00B32243" w:rsidRPr="00817B9F">
        <w:rPr>
          <w:rStyle w:val="FootnoteReference"/>
        </w:rPr>
        <w:footnoteReference w:id="21"/>
      </w:r>
      <w:r w:rsidR="00826DF5" w:rsidRPr="00817B9F">
        <w:t xml:space="preserve"> </w:t>
      </w:r>
      <w:r w:rsidR="007F3C29" w:rsidRPr="00817B9F">
        <w:t>The</w:t>
      </w:r>
      <w:r w:rsidR="009310D2" w:rsidRPr="00817B9F">
        <w:t xml:space="preserve"> database </w:t>
      </w:r>
      <w:r w:rsidR="003D09A7" w:rsidRPr="00817B9F">
        <w:t>includes a variety of information</w:t>
      </w:r>
      <w:r w:rsidR="00784A79" w:rsidRPr="00817B9F">
        <w:t xml:space="preserve"> about </w:t>
      </w:r>
      <w:r w:rsidR="007F3C29" w:rsidRPr="00817B9F">
        <w:t>each hospital stay</w:t>
      </w:r>
      <w:r w:rsidR="003D09A7" w:rsidRPr="00817B9F">
        <w:t>, including</w:t>
      </w:r>
      <w:r w:rsidR="004A0A71" w:rsidRPr="00817B9F">
        <w:t>:</w:t>
      </w:r>
      <w:r w:rsidR="004E2277" w:rsidRPr="00817B9F">
        <w:rPr>
          <w:rStyle w:val="FootnoteReference"/>
        </w:rPr>
        <w:footnoteReference w:id="22"/>
      </w:r>
    </w:p>
    <w:p w14:paraId="12AE652C" w14:textId="0A5E1D26" w:rsidR="00C54BE9" w:rsidRPr="00817B9F" w:rsidRDefault="00C54BE9" w:rsidP="006B4A44">
      <w:pPr>
        <w:pStyle w:val="BulletParagraph"/>
        <w:rPr>
          <w:rFonts w:cs="Times New Roman"/>
        </w:rPr>
      </w:pPr>
      <w:r w:rsidRPr="00817B9F">
        <w:rPr>
          <w:rFonts w:cs="Times New Roman"/>
        </w:rPr>
        <w:lastRenderedPageBreak/>
        <w:t xml:space="preserve">The </w:t>
      </w:r>
      <w:r w:rsidR="00A94A6D" w:rsidRPr="00817B9F">
        <w:rPr>
          <w:rFonts w:cs="Times New Roman"/>
        </w:rPr>
        <w:t>name of</w:t>
      </w:r>
      <w:r w:rsidR="000852DD" w:rsidRPr="00817B9F">
        <w:rPr>
          <w:rFonts w:cs="Times New Roman"/>
        </w:rPr>
        <w:t xml:space="preserve"> </w:t>
      </w:r>
      <w:r w:rsidR="00B95D62" w:rsidRPr="00817B9F">
        <w:rPr>
          <w:rFonts w:cs="Times New Roman"/>
        </w:rPr>
        <w:t xml:space="preserve">the </w:t>
      </w:r>
      <w:r w:rsidR="00332009" w:rsidRPr="00817B9F">
        <w:rPr>
          <w:rFonts w:cs="Times New Roman"/>
        </w:rPr>
        <w:t>hospital</w:t>
      </w:r>
      <w:r w:rsidR="00A94A6D" w:rsidRPr="00817B9F">
        <w:rPr>
          <w:rFonts w:cs="Times New Roman"/>
        </w:rPr>
        <w:t>.</w:t>
      </w:r>
    </w:p>
    <w:p w14:paraId="21D2122C" w14:textId="5C771024" w:rsidR="00826DF5" w:rsidRPr="00817B9F" w:rsidRDefault="004A0A71" w:rsidP="006B4A44">
      <w:pPr>
        <w:pStyle w:val="BulletParagraph"/>
        <w:rPr>
          <w:rFonts w:cs="Times New Roman"/>
        </w:rPr>
      </w:pPr>
      <w:r w:rsidRPr="00817B9F">
        <w:rPr>
          <w:rFonts w:cs="Times New Roman"/>
        </w:rPr>
        <w:t xml:space="preserve">The </w:t>
      </w:r>
      <w:r w:rsidR="00F8562A" w:rsidRPr="00817B9F">
        <w:rPr>
          <w:rFonts w:cs="Times New Roman"/>
        </w:rPr>
        <w:t xml:space="preserve">source of </w:t>
      </w:r>
      <w:r w:rsidRPr="00817B9F">
        <w:rPr>
          <w:rFonts w:cs="Times New Roman"/>
        </w:rPr>
        <w:t xml:space="preserve">each </w:t>
      </w:r>
      <w:r w:rsidR="00F8562A" w:rsidRPr="00817B9F">
        <w:rPr>
          <w:rFonts w:cs="Times New Roman"/>
        </w:rPr>
        <w:t>admission (</w:t>
      </w:r>
      <w:r w:rsidR="00F8562A" w:rsidRPr="00817B9F">
        <w:rPr>
          <w:rFonts w:cs="Times New Roman"/>
          <w:i/>
          <w:iCs/>
        </w:rPr>
        <w:t xml:space="preserve">e.g., </w:t>
      </w:r>
      <w:r w:rsidR="00F8562A" w:rsidRPr="00817B9F">
        <w:rPr>
          <w:rFonts w:cs="Times New Roman"/>
        </w:rPr>
        <w:t>whether</w:t>
      </w:r>
      <w:r w:rsidR="00332009" w:rsidRPr="00817B9F">
        <w:rPr>
          <w:rFonts w:cs="Times New Roman"/>
        </w:rPr>
        <w:t xml:space="preserve"> the patient was </w:t>
      </w:r>
      <w:r w:rsidR="00F8562A" w:rsidRPr="00817B9F">
        <w:rPr>
          <w:rFonts w:cs="Times New Roman"/>
        </w:rPr>
        <w:t xml:space="preserve">admitted after originally </w:t>
      </w:r>
      <w:r w:rsidR="00E34A8C" w:rsidRPr="00817B9F">
        <w:rPr>
          <w:rFonts w:cs="Times New Roman"/>
        </w:rPr>
        <w:t>receiving care in the emergency department</w:t>
      </w:r>
      <w:r w:rsidRPr="00817B9F">
        <w:rPr>
          <w:rFonts w:cs="Times New Roman"/>
        </w:rPr>
        <w:t xml:space="preserve"> or was transferred</w:t>
      </w:r>
      <w:r w:rsidR="00332009" w:rsidRPr="00817B9F">
        <w:rPr>
          <w:rFonts w:cs="Times New Roman"/>
        </w:rPr>
        <w:t xml:space="preserve"> from</w:t>
      </w:r>
      <w:r w:rsidRPr="00817B9F">
        <w:rPr>
          <w:rFonts w:cs="Times New Roman"/>
        </w:rPr>
        <w:t xml:space="preserve"> another facility)</w:t>
      </w:r>
      <w:r w:rsidR="00BB5D4C" w:rsidRPr="00817B9F">
        <w:rPr>
          <w:rFonts w:cs="Times New Roman"/>
        </w:rPr>
        <w:t>.</w:t>
      </w:r>
    </w:p>
    <w:p w14:paraId="4BD0091B" w14:textId="711AC6B1" w:rsidR="004A0A71" w:rsidRPr="00817B9F" w:rsidRDefault="004D7DFD" w:rsidP="006B4A44">
      <w:pPr>
        <w:pStyle w:val="BulletParagraph"/>
        <w:rPr>
          <w:rFonts w:cs="Times New Roman"/>
        </w:rPr>
      </w:pPr>
      <w:r w:rsidRPr="00817B9F">
        <w:rPr>
          <w:rFonts w:cs="Times New Roman"/>
        </w:rPr>
        <w:t>Diagnostic information, including</w:t>
      </w:r>
      <w:r w:rsidR="0016540E" w:rsidRPr="00817B9F">
        <w:rPr>
          <w:rFonts w:cs="Times New Roman"/>
        </w:rPr>
        <w:t xml:space="preserve"> primary </w:t>
      </w:r>
      <w:r w:rsidR="006139E7" w:rsidRPr="00817B9F">
        <w:rPr>
          <w:rFonts w:cs="Times New Roman"/>
        </w:rPr>
        <w:t xml:space="preserve">and secondary </w:t>
      </w:r>
      <w:r w:rsidR="0016540E" w:rsidRPr="00817B9F">
        <w:rPr>
          <w:rFonts w:cs="Times New Roman"/>
        </w:rPr>
        <w:t>diagnosis code</w:t>
      </w:r>
      <w:r w:rsidR="006139E7" w:rsidRPr="00817B9F">
        <w:rPr>
          <w:rFonts w:cs="Times New Roman"/>
        </w:rPr>
        <w:t>s</w:t>
      </w:r>
      <w:r w:rsidR="00BB5D4C" w:rsidRPr="00817B9F">
        <w:rPr>
          <w:rFonts w:cs="Times New Roman"/>
        </w:rPr>
        <w:t>.</w:t>
      </w:r>
    </w:p>
    <w:p w14:paraId="51BB3174" w14:textId="2D9DD2B8" w:rsidR="00E35E57" w:rsidRPr="00817B9F" w:rsidRDefault="0061171E" w:rsidP="006B4A44">
      <w:pPr>
        <w:pStyle w:val="BulletParagraph"/>
        <w:rPr>
          <w:rFonts w:cs="Times New Roman"/>
        </w:rPr>
      </w:pPr>
      <w:r w:rsidRPr="00817B9F">
        <w:rPr>
          <w:rFonts w:cs="Times New Roman"/>
        </w:rPr>
        <w:t xml:space="preserve">The diagnosis related group (“DRG”) for </w:t>
      </w:r>
      <w:r w:rsidR="00BB5D4C" w:rsidRPr="00817B9F">
        <w:rPr>
          <w:rFonts w:cs="Times New Roman"/>
        </w:rPr>
        <w:t>each</w:t>
      </w:r>
      <w:r w:rsidRPr="00817B9F">
        <w:rPr>
          <w:rFonts w:cs="Times New Roman"/>
        </w:rPr>
        <w:t xml:space="preserve"> stay</w:t>
      </w:r>
      <w:r w:rsidR="00BB5D4C" w:rsidRPr="00817B9F">
        <w:rPr>
          <w:rFonts w:cs="Times New Roman"/>
        </w:rPr>
        <w:t xml:space="preserve">. </w:t>
      </w:r>
      <w:r w:rsidRPr="00817B9F">
        <w:rPr>
          <w:rFonts w:cs="Times New Roman"/>
        </w:rPr>
        <w:t xml:space="preserve">DRGs </w:t>
      </w:r>
      <w:r w:rsidR="00E91125" w:rsidRPr="00817B9F">
        <w:rPr>
          <w:rFonts w:cs="Times New Roman"/>
        </w:rPr>
        <w:t>group together similar inpatient hospital stays based on diagnoses, procedures, and patient characteristics</w:t>
      </w:r>
      <w:r w:rsidR="00BB5D4C" w:rsidRPr="00817B9F">
        <w:rPr>
          <w:rFonts w:cs="Times New Roman"/>
        </w:rPr>
        <w:t xml:space="preserve">. </w:t>
      </w:r>
      <w:r w:rsidR="00B0377E" w:rsidRPr="00817B9F">
        <w:rPr>
          <w:rFonts w:cs="Times New Roman"/>
        </w:rPr>
        <w:t xml:space="preserve">Private and government payors commonly utilize DRGs </w:t>
      </w:r>
      <w:r w:rsidR="00461046" w:rsidRPr="00817B9F">
        <w:rPr>
          <w:rFonts w:cs="Times New Roman"/>
        </w:rPr>
        <w:t xml:space="preserve">in payment schedules for inpatient hospital stays. </w:t>
      </w:r>
    </w:p>
    <w:p w14:paraId="3CF6C6E9" w14:textId="236A0B61" w:rsidR="0039645F" w:rsidRPr="00817B9F" w:rsidRDefault="0039645F" w:rsidP="006B4A44">
      <w:pPr>
        <w:pStyle w:val="BulletParagraph"/>
        <w:rPr>
          <w:rFonts w:cs="Times New Roman"/>
        </w:rPr>
      </w:pPr>
      <w:r w:rsidRPr="00817B9F">
        <w:rPr>
          <w:rFonts w:cs="Times New Roman"/>
        </w:rPr>
        <w:t>The ma</w:t>
      </w:r>
      <w:r w:rsidR="004B050E" w:rsidRPr="00817B9F">
        <w:rPr>
          <w:rFonts w:cs="Times New Roman"/>
        </w:rPr>
        <w:t>jor diagnostic category (“MDC”) for each stay. MDCs g</w:t>
      </w:r>
      <w:r w:rsidR="002D0BCF" w:rsidRPr="00817B9F">
        <w:rPr>
          <w:rFonts w:cs="Times New Roman"/>
        </w:rPr>
        <w:t xml:space="preserve">roup </w:t>
      </w:r>
      <w:r w:rsidR="00C526B6" w:rsidRPr="00817B9F">
        <w:rPr>
          <w:rFonts w:cs="Times New Roman"/>
        </w:rPr>
        <w:t>diagnosis codes</w:t>
      </w:r>
      <w:r w:rsidR="002D0BCF" w:rsidRPr="00817B9F">
        <w:rPr>
          <w:rFonts w:cs="Times New Roman"/>
        </w:rPr>
        <w:t xml:space="preserve"> </w:t>
      </w:r>
      <w:r w:rsidR="003A1038" w:rsidRPr="00817B9F">
        <w:rPr>
          <w:rFonts w:cs="Times New Roman"/>
        </w:rPr>
        <w:t xml:space="preserve">into </w:t>
      </w:r>
      <w:r w:rsidR="007A1915" w:rsidRPr="00817B9F">
        <w:rPr>
          <w:rFonts w:cs="Times New Roman"/>
        </w:rPr>
        <w:t xml:space="preserve">25 </w:t>
      </w:r>
      <w:r w:rsidR="00C526B6" w:rsidRPr="00817B9F">
        <w:rPr>
          <w:rFonts w:cs="Times New Roman"/>
        </w:rPr>
        <w:t xml:space="preserve">broad </w:t>
      </w:r>
      <w:r w:rsidR="007A1915" w:rsidRPr="00817B9F">
        <w:rPr>
          <w:rFonts w:cs="Times New Roman"/>
        </w:rPr>
        <w:t xml:space="preserve">categories </w:t>
      </w:r>
      <w:r w:rsidR="00C526B6" w:rsidRPr="00817B9F">
        <w:rPr>
          <w:rFonts w:cs="Times New Roman"/>
        </w:rPr>
        <w:t>based on condition type and body region.</w:t>
      </w:r>
    </w:p>
    <w:p w14:paraId="6FBB7EAF" w14:textId="3D1A3365" w:rsidR="00A94A6D" w:rsidRPr="00817B9F" w:rsidRDefault="00A94A6D" w:rsidP="006B4A44">
      <w:pPr>
        <w:pStyle w:val="BulletParagraph"/>
        <w:rPr>
          <w:rFonts w:cs="Times New Roman"/>
        </w:rPr>
      </w:pPr>
      <w:r w:rsidRPr="00817B9F">
        <w:rPr>
          <w:rFonts w:cs="Times New Roman"/>
        </w:rPr>
        <w:t>The</w:t>
      </w:r>
      <w:r w:rsidR="0016540E" w:rsidRPr="00817B9F">
        <w:rPr>
          <w:rFonts w:cs="Times New Roman"/>
        </w:rPr>
        <w:t xml:space="preserve"> </w:t>
      </w:r>
      <w:r w:rsidR="00A7038B" w:rsidRPr="00817B9F">
        <w:rPr>
          <w:rFonts w:cs="Times New Roman"/>
        </w:rPr>
        <w:t xml:space="preserve">length of </w:t>
      </w:r>
      <w:r w:rsidRPr="00817B9F">
        <w:rPr>
          <w:rFonts w:cs="Times New Roman"/>
        </w:rPr>
        <w:t>the patient’s hospital stay.</w:t>
      </w:r>
    </w:p>
    <w:p w14:paraId="7A1AC801" w14:textId="0E24A9EE" w:rsidR="00A94A6D" w:rsidRPr="00817B9F" w:rsidRDefault="003E01C6" w:rsidP="006B4A44">
      <w:pPr>
        <w:pStyle w:val="BulletParagraph"/>
        <w:rPr>
          <w:rFonts w:cs="Times New Roman"/>
        </w:rPr>
      </w:pPr>
      <w:r w:rsidRPr="00817B9F">
        <w:rPr>
          <w:rFonts w:cs="Times New Roman"/>
        </w:rPr>
        <w:t>Whether</w:t>
      </w:r>
      <w:r w:rsidR="008A5651" w:rsidRPr="00817B9F">
        <w:rPr>
          <w:rFonts w:cs="Times New Roman"/>
        </w:rPr>
        <w:t xml:space="preserve"> the </w:t>
      </w:r>
      <w:r w:rsidRPr="00817B9F">
        <w:rPr>
          <w:rFonts w:cs="Times New Roman"/>
        </w:rPr>
        <w:t xml:space="preserve">hospital stay was covered by private insurance, Medicare, </w:t>
      </w:r>
      <w:r w:rsidR="00E6476A" w:rsidRPr="00817B9F">
        <w:rPr>
          <w:rFonts w:cs="Times New Roman"/>
        </w:rPr>
        <w:t>MassHealth</w:t>
      </w:r>
      <w:r w:rsidRPr="00817B9F">
        <w:rPr>
          <w:rFonts w:cs="Times New Roman"/>
        </w:rPr>
        <w:t>, or other types of payors.</w:t>
      </w:r>
      <w:r w:rsidR="006C16FE" w:rsidRPr="00817B9F">
        <w:rPr>
          <w:rStyle w:val="FootnoteReference"/>
          <w:rFonts w:cs="Times New Roman"/>
        </w:rPr>
        <w:footnoteReference w:id="23"/>
      </w:r>
      <w:r w:rsidRPr="00817B9F">
        <w:rPr>
          <w:rFonts w:cs="Times New Roman"/>
        </w:rPr>
        <w:t xml:space="preserve"> </w:t>
      </w:r>
    </w:p>
    <w:p w14:paraId="46A940B3" w14:textId="4BE91981" w:rsidR="00704C9D" w:rsidRPr="00817B9F" w:rsidRDefault="009003D8" w:rsidP="000A13E4">
      <w:pPr>
        <w:pStyle w:val="BulletParagraph"/>
        <w:rPr>
          <w:rFonts w:cs="Times New Roman"/>
        </w:rPr>
      </w:pPr>
      <w:r w:rsidRPr="00817B9F">
        <w:rPr>
          <w:rFonts w:cs="Times New Roman"/>
        </w:rPr>
        <w:t>P</w:t>
      </w:r>
      <w:r w:rsidR="008A5651" w:rsidRPr="00817B9F">
        <w:rPr>
          <w:rFonts w:cs="Times New Roman"/>
        </w:rPr>
        <w:t xml:space="preserve">atient </w:t>
      </w:r>
      <w:r w:rsidR="00AD4471" w:rsidRPr="00817B9F">
        <w:rPr>
          <w:rFonts w:cs="Times New Roman"/>
        </w:rPr>
        <w:t>demographic information, such as the patient’s</w:t>
      </w:r>
      <w:r w:rsidR="008A5651" w:rsidRPr="00817B9F">
        <w:rPr>
          <w:rFonts w:cs="Times New Roman"/>
        </w:rPr>
        <w:t xml:space="preserve"> age, </w:t>
      </w:r>
      <w:r w:rsidR="00F367AD" w:rsidRPr="00817B9F">
        <w:rPr>
          <w:rFonts w:cs="Times New Roman"/>
        </w:rPr>
        <w:t xml:space="preserve">gender, </w:t>
      </w:r>
      <w:r w:rsidR="002F2932" w:rsidRPr="00817B9F">
        <w:rPr>
          <w:rFonts w:cs="Times New Roman"/>
        </w:rPr>
        <w:t>ethnicity</w:t>
      </w:r>
      <w:r w:rsidR="00FA11FE" w:rsidRPr="00817B9F">
        <w:rPr>
          <w:rFonts w:cs="Times New Roman"/>
        </w:rPr>
        <w:t xml:space="preserve">, </w:t>
      </w:r>
      <w:r w:rsidR="00BA4545" w:rsidRPr="00817B9F">
        <w:rPr>
          <w:rFonts w:cs="Times New Roman"/>
        </w:rPr>
        <w:t>race</w:t>
      </w:r>
      <w:r w:rsidR="00CC3BEF" w:rsidRPr="00817B9F">
        <w:rPr>
          <w:rFonts w:cs="Times New Roman"/>
        </w:rPr>
        <w:t xml:space="preserve">, </w:t>
      </w:r>
      <w:r w:rsidR="00AD4471" w:rsidRPr="00817B9F">
        <w:rPr>
          <w:rFonts w:cs="Times New Roman"/>
        </w:rPr>
        <w:t xml:space="preserve">and </w:t>
      </w:r>
      <w:r w:rsidR="00AB6C72" w:rsidRPr="00817B9F">
        <w:rPr>
          <w:rFonts w:cs="Times New Roman"/>
        </w:rPr>
        <w:t>ZIP Code</w:t>
      </w:r>
      <w:r w:rsidR="00F367AD" w:rsidRPr="00817B9F">
        <w:rPr>
          <w:rFonts w:cs="Times New Roman"/>
        </w:rPr>
        <w:t xml:space="preserve"> of residence</w:t>
      </w:r>
      <w:r w:rsidR="00AD4471" w:rsidRPr="00817B9F">
        <w:rPr>
          <w:rFonts w:cs="Times New Roman"/>
        </w:rPr>
        <w:t>.</w:t>
      </w:r>
    </w:p>
    <w:p w14:paraId="42BBB718" w14:textId="63A3145B" w:rsidR="009A0EDF" w:rsidRPr="00817B9F" w:rsidRDefault="004A4DBF" w:rsidP="002A7B1F">
      <w:pPr>
        <w:pStyle w:val="NumberedParagraphs"/>
      </w:pPr>
      <w:r w:rsidRPr="00817B9F">
        <w:t>In</w:t>
      </w:r>
      <w:r w:rsidR="00C63C53" w:rsidRPr="00817B9F">
        <w:t xml:space="preserve"> our analyses, we</w:t>
      </w:r>
      <w:r w:rsidR="00ED7A73" w:rsidRPr="00817B9F">
        <w:t xml:space="preserve"> </w:t>
      </w:r>
      <w:r w:rsidR="00E4502A" w:rsidRPr="00817B9F">
        <w:t>focus on</w:t>
      </w:r>
      <w:r w:rsidR="003667A3" w:rsidRPr="00817B9F">
        <w:t xml:space="preserve"> </w:t>
      </w:r>
      <w:r w:rsidRPr="00817B9F">
        <w:t xml:space="preserve">discharges from </w:t>
      </w:r>
      <w:r w:rsidR="00496B9D" w:rsidRPr="00817B9F">
        <w:t xml:space="preserve">general </w:t>
      </w:r>
      <w:r w:rsidR="003667A3" w:rsidRPr="00817B9F">
        <w:t xml:space="preserve">acute care </w:t>
      </w:r>
      <w:r w:rsidR="00265B45" w:rsidRPr="00817B9F">
        <w:t xml:space="preserve">(“GAC”) </w:t>
      </w:r>
      <w:r w:rsidR="003667A3" w:rsidRPr="00817B9F">
        <w:t>hospitals</w:t>
      </w:r>
      <w:r w:rsidR="008C165F" w:rsidRPr="00817B9F">
        <w:t>.</w:t>
      </w:r>
      <w:r w:rsidR="00265B45" w:rsidRPr="00817B9F">
        <w:rPr>
          <w:rStyle w:val="FootnoteReference"/>
        </w:rPr>
        <w:footnoteReference w:id="24"/>
      </w:r>
      <w:r w:rsidR="00E21875" w:rsidRPr="00817B9F">
        <w:t xml:space="preserve"> </w:t>
      </w:r>
      <w:r w:rsidR="00C67D99" w:rsidRPr="00817B9F">
        <w:t>We exclude discharges</w:t>
      </w:r>
      <w:r w:rsidR="00C11836" w:rsidRPr="00817B9F">
        <w:t xml:space="preserve"> from</w:t>
      </w:r>
      <w:r w:rsidR="00C67D99" w:rsidRPr="00817B9F">
        <w:t xml:space="preserve"> </w:t>
      </w:r>
      <w:r w:rsidR="009A0EDF" w:rsidRPr="00817B9F">
        <w:t xml:space="preserve">temporary facilities or facilities that have closed or transitioned away </w:t>
      </w:r>
      <w:r w:rsidR="009A0EDF" w:rsidRPr="00817B9F">
        <w:lastRenderedPageBreak/>
        <w:t xml:space="preserve">from providing acute care services. In particular, we exclude </w:t>
      </w:r>
      <w:r w:rsidR="00C11836" w:rsidRPr="00817B9F">
        <w:t xml:space="preserve">stays at the </w:t>
      </w:r>
      <w:r w:rsidR="009A0EDF" w:rsidRPr="00817B9F">
        <w:t>following hospitals from our analysis:</w:t>
      </w:r>
    </w:p>
    <w:p w14:paraId="185B950F" w14:textId="77777777" w:rsidR="009A0EDF" w:rsidRPr="00817B9F" w:rsidRDefault="00BD3CA6" w:rsidP="006B4A44">
      <w:pPr>
        <w:pStyle w:val="BulletParagraph"/>
        <w:rPr>
          <w:rFonts w:cs="Times New Roman"/>
        </w:rPr>
      </w:pPr>
      <w:r w:rsidRPr="00817B9F">
        <w:rPr>
          <w:rFonts w:cs="Times New Roman"/>
        </w:rPr>
        <w:t>North Shore Medical Center</w:t>
      </w:r>
      <w:r w:rsidR="00BA74A7" w:rsidRPr="00817B9F">
        <w:rPr>
          <w:rFonts w:cs="Times New Roman"/>
        </w:rPr>
        <w:t>–</w:t>
      </w:r>
      <w:r w:rsidRPr="00817B9F">
        <w:rPr>
          <w:rFonts w:cs="Times New Roman"/>
        </w:rPr>
        <w:t>Union Campus</w:t>
      </w:r>
      <w:r w:rsidR="009A0EDF" w:rsidRPr="00817B9F">
        <w:rPr>
          <w:rFonts w:cs="Times New Roman"/>
        </w:rPr>
        <w:t xml:space="preserve">, which </w:t>
      </w:r>
      <w:r w:rsidR="00685B4D" w:rsidRPr="00817B9F">
        <w:rPr>
          <w:rFonts w:cs="Times New Roman"/>
        </w:rPr>
        <w:t xml:space="preserve">transitioned to an urgent care center in Fall 2019 and </w:t>
      </w:r>
      <w:r w:rsidR="00E92EEE" w:rsidRPr="00817B9F">
        <w:rPr>
          <w:rFonts w:cs="Times New Roman"/>
        </w:rPr>
        <w:t>closed</w:t>
      </w:r>
      <w:r w:rsidR="007266F6" w:rsidRPr="00817B9F">
        <w:rPr>
          <w:rFonts w:cs="Times New Roman"/>
        </w:rPr>
        <w:t xml:space="preserve"> in 2020</w:t>
      </w:r>
      <w:r w:rsidR="009A0EDF" w:rsidRPr="00817B9F">
        <w:rPr>
          <w:rFonts w:cs="Times New Roman"/>
        </w:rPr>
        <w:t>.</w:t>
      </w:r>
      <w:r w:rsidR="00685B4D" w:rsidRPr="00817B9F">
        <w:rPr>
          <w:rStyle w:val="FootnoteReference"/>
          <w:rFonts w:cs="Times New Roman"/>
        </w:rPr>
        <w:footnoteReference w:id="25"/>
      </w:r>
      <w:r w:rsidR="00F023C1" w:rsidRPr="00817B9F">
        <w:rPr>
          <w:rFonts w:cs="Times New Roman"/>
        </w:rPr>
        <w:t xml:space="preserve"> </w:t>
      </w:r>
    </w:p>
    <w:p w14:paraId="788D56B2" w14:textId="25003DD2" w:rsidR="00FD03F2" w:rsidRPr="00817B9F" w:rsidRDefault="00BD3CA6" w:rsidP="009D620C">
      <w:pPr>
        <w:pStyle w:val="BulletParagraph"/>
        <w:rPr>
          <w:rFonts w:cs="Times New Roman"/>
        </w:rPr>
      </w:pPr>
      <w:r w:rsidRPr="00817B9F">
        <w:rPr>
          <w:rFonts w:cs="Times New Roman"/>
        </w:rPr>
        <w:t>UMass Memorial Field Hospital</w:t>
      </w:r>
      <w:r w:rsidR="00F023C1" w:rsidRPr="00817B9F">
        <w:rPr>
          <w:rFonts w:cs="Times New Roman"/>
        </w:rPr>
        <w:t xml:space="preserve"> a</w:t>
      </w:r>
      <w:r w:rsidRPr="00817B9F">
        <w:rPr>
          <w:rFonts w:cs="Times New Roman"/>
        </w:rPr>
        <w:t>nd Boston Hope Field Hospital</w:t>
      </w:r>
      <w:r w:rsidR="009A0EDF" w:rsidRPr="00817B9F">
        <w:rPr>
          <w:rFonts w:cs="Times New Roman"/>
        </w:rPr>
        <w:t xml:space="preserve">, </w:t>
      </w:r>
      <w:r w:rsidR="00F023C1" w:rsidRPr="00817B9F">
        <w:rPr>
          <w:rFonts w:cs="Times New Roman"/>
        </w:rPr>
        <w:t>both</w:t>
      </w:r>
      <w:r w:rsidR="002A4753" w:rsidRPr="00817B9F">
        <w:rPr>
          <w:rFonts w:cs="Times New Roman"/>
        </w:rPr>
        <w:t xml:space="preserve"> </w:t>
      </w:r>
      <w:r w:rsidR="009A0EDF" w:rsidRPr="00817B9F">
        <w:rPr>
          <w:rFonts w:cs="Times New Roman"/>
        </w:rPr>
        <w:t xml:space="preserve">of which </w:t>
      </w:r>
      <w:r w:rsidR="002A4753" w:rsidRPr="00817B9F">
        <w:rPr>
          <w:rFonts w:cs="Times New Roman"/>
        </w:rPr>
        <w:t xml:space="preserve">were </w:t>
      </w:r>
      <w:r w:rsidR="009A0EDF" w:rsidRPr="00817B9F">
        <w:rPr>
          <w:rFonts w:cs="Times New Roman"/>
        </w:rPr>
        <w:t>temporary facilities</w:t>
      </w:r>
      <w:r w:rsidR="002A4753" w:rsidRPr="00817B9F">
        <w:rPr>
          <w:rFonts w:cs="Times New Roman"/>
        </w:rPr>
        <w:t xml:space="preserve"> to treat COVID-19 patients</w:t>
      </w:r>
      <w:r w:rsidR="00FD03F2" w:rsidRPr="00817B9F">
        <w:rPr>
          <w:rFonts w:cs="Times New Roman"/>
        </w:rPr>
        <w:t>.</w:t>
      </w:r>
      <w:r w:rsidR="0068625F" w:rsidRPr="00817B9F">
        <w:rPr>
          <w:rFonts w:cs="Times New Roman"/>
        </w:rPr>
        <w:t xml:space="preserve"> </w:t>
      </w:r>
      <w:r w:rsidR="00FD03F2" w:rsidRPr="00817B9F">
        <w:rPr>
          <w:rFonts w:cs="Times New Roman"/>
        </w:rPr>
        <w:t xml:space="preserve">UMass Memorial Field Hospital </w:t>
      </w:r>
      <w:r w:rsidR="00442890" w:rsidRPr="00817B9F">
        <w:rPr>
          <w:rFonts w:cs="Times New Roman"/>
        </w:rPr>
        <w:t>closed</w:t>
      </w:r>
      <w:r w:rsidR="00753F9C" w:rsidRPr="00817B9F">
        <w:rPr>
          <w:rFonts w:cs="Times New Roman"/>
        </w:rPr>
        <w:t xml:space="preserve"> </w:t>
      </w:r>
      <w:r w:rsidR="00BA74A7" w:rsidRPr="00817B9F">
        <w:rPr>
          <w:rFonts w:cs="Times New Roman"/>
        </w:rPr>
        <w:t>in</w:t>
      </w:r>
      <w:r w:rsidR="00753F9C" w:rsidRPr="00817B9F">
        <w:rPr>
          <w:rFonts w:cs="Times New Roman"/>
        </w:rPr>
        <w:t xml:space="preserve"> March 2021 and </w:t>
      </w:r>
      <w:r w:rsidR="00FD03F2" w:rsidRPr="00817B9F">
        <w:rPr>
          <w:rFonts w:cs="Times New Roman"/>
        </w:rPr>
        <w:t xml:space="preserve">Boston Hope Field Hospital closed in </w:t>
      </w:r>
      <w:r w:rsidR="00753F9C" w:rsidRPr="00817B9F">
        <w:rPr>
          <w:rFonts w:cs="Times New Roman"/>
        </w:rPr>
        <w:t>June 2020.</w:t>
      </w:r>
      <w:r w:rsidR="003847A6" w:rsidRPr="00817B9F">
        <w:rPr>
          <w:rStyle w:val="FootnoteReference"/>
          <w:rFonts w:cs="Times New Roman"/>
        </w:rPr>
        <w:footnoteReference w:id="26"/>
      </w:r>
      <w:r w:rsidR="007730F3" w:rsidRPr="00817B9F">
        <w:rPr>
          <w:rStyle w:val="FootnoteReference"/>
          <w:rFonts w:cs="Times New Roman"/>
        </w:rPr>
        <w:t xml:space="preserve"> </w:t>
      </w:r>
    </w:p>
    <w:p w14:paraId="55CA613B" w14:textId="620E12CC" w:rsidR="00EB22DF" w:rsidRPr="00817B9F" w:rsidRDefault="007730F3" w:rsidP="009D620C">
      <w:pPr>
        <w:pStyle w:val="BulletParagraph"/>
        <w:rPr>
          <w:rFonts w:cs="Times New Roman"/>
        </w:rPr>
      </w:pPr>
      <w:r w:rsidRPr="00817B9F">
        <w:rPr>
          <w:rFonts w:cs="Times New Roman"/>
        </w:rPr>
        <w:t>Metro</w:t>
      </w:r>
      <w:r w:rsidR="000F75C5" w:rsidRPr="00817B9F">
        <w:rPr>
          <w:rFonts w:cs="Times New Roman"/>
        </w:rPr>
        <w:t>W</w:t>
      </w:r>
      <w:r w:rsidRPr="00817B9F">
        <w:rPr>
          <w:rFonts w:cs="Times New Roman"/>
        </w:rPr>
        <w:t>est Medical Center–Leonard Morse Campus</w:t>
      </w:r>
      <w:r w:rsidR="005C7FD9" w:rsidRPr="00817B9F">
        <w:rPr>
          <w:rFonts w:cs="Times New Roman"/>
        </w:rPr>
        <w:t>, which</w:t>
      </w:r>
      <w:r w:rsidR="009E3D40" w:rsidRPr="00817B9F">
        <w:rPr>
          <w:rFonts w:cs="Times New Roman"/>
        </w:rPr>
        <w:t xml:space="preserve"> has</w:t>
      </w:r>
      <w:r w:rsidR="005C7FD9" w:rsidRPr="00817B9F">
        <w:rPr>
          <w:rFonts w:cs="Times New Roman"/>
        </w:rPr>
        <w:t xml:space="preserve"> </w:t>
      </w:r>
      <w:r w:rsidR="009E3D40" w:rsidRPr="00817B9F">
        <w:rPr>
          <w:rFonts w:cs="Times New Roman"/>
        </w:rPr>
        <w:t>transitioned</w:t>
      </w:r>
      <w:r w:rsidR="002F7BDC" w:rsidRPr="00817B9F">
        <w:rPr>
          <w:rFonts w:cs="Times New Roman"/>
        </w:rPr>
        <w:t xml:space="preserve"> to a</w:t>
      </w:r>
      <w:r w:rsidR="00492D39" w:rsidRPr="00817B9F">
        <w:rPr>
          <w:rFonts w:cs="Times New Roman"/>
        </w:rPr>
        <w:t xml:space="preserve"> behavioral health </w:t>
      </w:r>
      <w:r w:rsidR="002F7BDC" w:rsidRPr="00817B9F">
        <w:rPr>
          <w:rFonts w:cs="Times New Roman"/>
        </w:rPr>
        <w:t>care center</w:t>
      </w:r>
      <w:r w:rsidR="00F836FE" w:rsidRPr="00817B9F">
        <w:rPr>
          <w:rFonts w:cs="Times New Roman"/>
        </w:rPr>
        <w:t>.</w:t>
      </w:r>
      <w:r w:rsidR="001A10B8" w:rsidRPr="00817B9F">
        <w:rPr>
          <w:rStyle w:val="FootnoteReference"/>
          <w:rFonts w:cs="Times New Roman"/>
        </w:rPr>
        <w:footnoteReference w:id="27"/>
      </w:r>
      <w:r w:rsidR="00065A99" w:rsidRPr="00817B9F">
        <w:rPr>
          <w:rStyle w:val="FootnoteReference"/>
          <w:rFonts w:cs="Times New Roman"/>
        </w:rPr>
        <w:t xml:space="preserve"> </w:t>
      </w:r>
    </w:p>
    <w:p w14:paraId="75843AF2" w14:textId="3F843929" w:rsidR="0059436B" w:rsidRPr="00817B9F" w:rsidRDefault="0059436B" w:rsidP="002A7B1F">
      <w:pPr>
        <w:pStyle w:val="NumberedParagraphs"/>
      </w:pPr>
      <w:r w:rsidRPr="00817B9F">
        <w:t>Our analys</w:t>
      </w:r>
      <w:r w:rsidR="008C351A" w:rsidRPr="00817B9F">
        <w:t>e</w:t>
      </w:r>
      <w:r w:rsidRPr="00817B9F">
        <w:t>s do not include newborn, obstetric, or pediatric hospital stays.</w:t>
      </w:r>
      <w:r w:rsidRPr="00817B9F">
        <w:rPr>
          <w:rStyle w:val="FootnoteReference"/>
        </w:rPr>
        <w:footnoteReference w:id="28"/>
      </w:r>
      <w:r w:rsidR="008C351A" w:rsidRPr="00817B9F">
        <w:t xml:space="preserve"> Hospital stays associated with </w:t>
      </w:r>
      <w:r w:rsidR="00D10D9A" w:rsidRPr="00817B9F">
        <w:t xml:space="preserve">behavioral health, substance use disorder, or </w:t>
      </w:r>
      <w:r w:rsidR="00BF17CE" w:rsidRPr="00817B9F">
        <w:t>rehabilitation major dia</w:t>
      </w:r>
      <w:r w:rsidR="00DA0087" w:rsidRPr="00817B9F">
        <w:t xml:space="preserve">gnostic </w:t>
      </w:r>
      <w:r w:rsidR="00B20C91" w:rsidRPr="00817B9F">
        <w:t>categories</w:t>
      </w:r>
      <w:r w:rsidR="00DA0087" w:rsidRPr="00817B9F">
        <w:t xml:space="preserve"> are </w:t>
      </w:r>
      <w:r w:rsidR="00B20C91" w:rsidRPr="00817B9F">
        <w:t>also excluded</w:t>
      </w:r>
      <w:r w:rsidR="00641E68" w:rsidRPr="00817B9F">
        <w:t>, as are discharges with missing</w:t>
      </w:r>
      <w:r w:rsidR="00A20389" w:rsidRPr="00817B9F">
        <w:t xml:space="preserve">, </w:t>
      </w:r>
      <w:r w:rsidR="00C66EA3" w:rsidRPr="00817B9F">
        <w:t xml:space="preserve">invalid, or ungroupable </w:t>
      </w:r>
      <w:r w:rsidR="00641E68" w:rsidRPr="00817B9F">
        <w:t>DRGs</w:t>
      </w:r>
      <w:r w:rsidR="00012A5F" w:rsidRPr="00817B9F">
        <w:t xml:space="preserve">, </w:t>
      </w:r>
      <w:r w:rsidR="00C66EA3" w:rsidRPr="00817B9F">
        <w:t xml:space="preserve">and discharges with missing </w:t>
      </w:r>
      <w:r w:rsidR="00012A5F" w:rsidRPr="00817B9F">
        <w:t>patient age or gender or payor information</w:t>
      </w:r>
      <w:r w:rsidR="00641E68" w:rsidRPr="00817B9F">
        <w:t>.</w:t>
      </w:r>
      <w:r w:rsidR="009D2C1F" w:rsidRPr="00817B9F">
        <w:t xml:space="preserve"> We further restrict our analyses to patients who reside in Massachusetts</w:t>
      </w:r>
      <w:r w:rsidR="003476B7" w:rsidRPr="00817B9F">
        <w:t xml:space="preserve"> and remove transfers from intermediate care facilities, other hospitals’ emergency rooms, another unit within the same hospital, court</w:t>
      </w:r>
      <w:r w:rsidR="004C4B8C" w:rsidRPr="00817B9F">
        <w:t xml:space="preserve"> or </w:t>
      </w:r>
      <w:r w:rsidR="003476B7" w:rsidRPr="00817B9F">
        <w:t>law enforcement</w:t>
      </w:r>
      <w:r w:rsidR="004C4B8C" w:rsidRPr="00817B9F">
        <w:t xml:space="preserve"> </w:t>
      </w:r>
      <w:r w:rsidR="000D01BB" w:rsidRPr="00817B9F">
        <w:t>facilities</w:t>
      </w:r>
      <w:r w:rsidR="003476B7" w:rsidRPr="00817B9F">
        <w:t>, hospice facilities, and other institutions’ ambulatory surgery</w:t>
      </w:r>
      <w:r w:rsidR="004C4B8C" w:rsidRPr="00817B9F">
        <w:t xml:space="preserve"> centers</w:t>
      </w:r>
      <w:r w:rsidR="00C84BC7" w:rsidRPr="00817B9F">
        <w:t xml:space="preserve"> (“ASC</w:t>
      </w:r>
      <w:r w:rsidR="00C52E4A" w:rsidRPr="00817B9F">
        <w:t>s</w:t>
      </w:r>
      <w:r w:rsidR="00C84BC7" w:rsidRPr="00817B9F">
        <w:t>”)</w:t>
      </w:r>
      <w:r w:rsidR="004C7A3D" w:rsidRPr="00817B9F">
        <w:t>.</w:t>
      </w:r>
    </w:p>
    <w:p w14:paraId="6CAE5B68" w14:textId="7CA3B5DB" w:rsidR="002A7B1F" w:rsidRPr="00817B9F" w:rsidRDefault="00A1139F" w:rsidP="002A7B1F">
      <w:pPr>
        <w:pStyle w:val="NumberedParagraphs"/>
      </w:pPr>
      <w:r w:rsidRPr="00817B9F">
        <w:lastRenderedPageBreak/>
        <w:t>Our analyses</w:t>
      </w:r>
      <w:r w:rsidR="002A7B1F" w:rsidRPr="00817B9F">
        <w:t xml:space="preserve"> utilize the </w:t>
      </w:r>
      <w:r w:rsidR="0062559E" w:rsidRPr="00817B9F">
        <w:t xml:space="preserve">2019 </w:t>
      </w:r>
      <w:r w:rsidR="0066086A" w:rsidRPr="00817B9F">
        <w:t>Hospital Inpatient Discharge Database</w:t>
      </w:r>
      <w:r w:rsidR="002A7B1F" w:rsidRPr="00817B9F">
        <w:t xml:space="preserve"> in conjunction </w:t>
      </w:r>
      <w:r w:rsidR="005B175B" w:rsidRPr="00817B9F">
        <w:t>with</w:t>
      </w:r>
      <w:r w:rsidR="0018728F" w:rsidRPr="00817B9F">
        <w:t xml:space="preserve"> CHIA</w:t>
      </w:r>
      <w:r w:rsidR="00092E46" w:rsidRPr="00817B9F">
        <w:t>’s</w:t>
      </w:r>
      <w:r w:rsidR="0018728F" w:rsidRPr="00817B9F">
        <w:t xml:space="preserve"> Relative Price </w:t>
      </w:r>
      <w:r w:rsidR="00A504DD" w:rsidRPr="00817B9F">
        <w:t>D</w:t>
      </w:r>
      <w:r w:rsidR="00AF2487" w:rsidRPr="00817B9F">
        <w:t>ata</w:t>
      </w:r>
      <w:r w:rsidR="00A504DD" w:rsidRPr="00817B9F">
        <w:t>b</w:t>
      </w:r>
      <w:r w:rsidR="00041B52" w:rsidRPr="00817B9F">
        <w:t>ase</w:t>
      </w:r>
      <w:r w:rsidR="006426CD" w:rsidRPr="00817B9F">
        <w:rPr>
          <w:rStyle w:val="FootnoteReference"/>
        </w:rPr>
        <w:footnoteReference w:id="29"/>
      </w:r>
      <w:r w:rsidR="002A7B1F" w:rsidRPr="00817B9F">
        <w:t xml:space="preserve"> to study </w:t>
      </w:r>
      <w:r w:rsidR="009654E2" w:rsidRPr="00817B9F">
        <w:t xml:space="preserve">the relationship between </w:t>
      </w:r>
      <w:r w:rsidR="002A7B1F" w:rsidRPr="00817B9F">
        <w:t xml:space="preserve">inpatient </w:t>
      </w:r>
      <w:r w:rsidR="00CD60D5" w:rsidRPr="00817B9F">
        <w:t>utilization</w:t>
      </w:r>
      <w:r w:rsidR="002A7B1F" w:rsidRPr="00817B9F">
        <w:t xml:space="preserve"> and </w:t>
      </w:r>
      <w:r w:rsidR="0025394A" w:rsidRPr="00817B9F">
        <w:t>differences in case mix adjusted</w:t>
      </w:r>
      <w:r w:rsidR="002A7B1F" w:rsidRPr="00817B9F">
        <w:t xml:space="preserve"> prices</w:t>
      </w:r>
      <w:r w:rsidR="0025394A" w:rsidRPr="00817B9F">
        <w:t xml:space="preserve"> across facilities</w:t>
      </w:r>
      <w:r w:rsidR="002A7B1F" w:rsidRPr="00817B9F">
        <w:t>.</w:t>
      </w:r>
      <w:r w:rsidR="00D202E9" w:rsidRPr="00817B9F">
        <w:t xml:space="preserve"> </w:t>
      </w:r>
      <w:r w:rsidR="006A76EE" w:rsidRPr="00817B9F">
        <w:t>We also</w:t>
      </w:r>
      <w:r w:rsidR="002D6818" w:rsidRPr="00817B9F">
        <w:t xml:space="preserve"> </w:t>
      </w:r>
      <w:r w:rsidR="008745AB" w:rsidRPr="00817B9F">
        <w:t>rely on the</w:t>
      </w:r>
      <w:r w:rsidR="002D6818" w:rsidRPr="00817B9F">
        <w:t xml:space="preserve"> </w:t>
      </w:r>
      <w:r w:rsidR="00AE19AD" w:rsidRPr="00817B9F">
        <w:t>2015</w:t>
      </w:r>
      <w:r w:rsidR="003A76C1" w:rsidRPr="00817B9F">
        <w:t xml:space="preserve"> </w:t>
      </w:r>
      <w:r w:rsidR="00451CA8" w:rsidRPr="00817B9F">
        <w:t>through</w:t>
      </w:r>
      <w:r w:rsidR="003A76C1" w:rsidRPr="00817B9F">
        <w:t xml:space="preserve"> </w:t>
      </w:r>
      <w:r w:rsidR="00AE19AD" w:rsidRPr="00817B9F">
        <w:t xml:space="preserve">2019 </w:t>
      </w:r>
      <w:r w:rsidR="0066086A" w:rsidRPr="00817B9F">
        <w:t>Hospital Inpatient Discharge Database</w:t>
      </w:r>
      <w:r w:rsidR="003A76C1" w:rsidRPr="00817B9F">
        <w:t>s</w:t>
      </w:r>
      <w:r w:rsidR="00F67E94" w:rsidRPr="00817B9F">
        <w:t xml:space="preserve"> </w:t>
      </w:r>
      <w:r w:rsidR="00EB63E2" w:rsidRPr="00817B9F">
        <w:t xml:space="preserve">to </w:t>
      </w:r>
      <w:r w:rsidR="008046BA" w:rsidRPr="00817B9F">
        <w:t xml:space="preserve">examine </w:t>
      </w:r>
      <w:r w:rsidR="00273845" w:rsidRPr="00817B9F">
        <w:t>trends in</w:t>
      </w:r>
      <w:r w:rsidR="008046BA" w:rsidRPr="00817B9F">
        <w:t xml:space="preserve"> inpatient utilization at </w:t>
      </w:r>
      <w:r w:rsidR="00273845" w:rsidRPr="00817B9F">
        <w:t xml:space="preserve">MGH. </w:t>
      </w:r>
    </w:p>
    <w:p w14:paraId="4EBFDE8A" w14:textId="5FE7A4BD" w:rsidR="00E30999" w:rsidRPr="00817B9F" w:rsidRDefault="000208C5" w:rsidP="001B6A1C">
      <w:pPr>
        <w:pStyle w:val="Heading3"/>
      </w:pPr>
      <w:bookmarkStart w:id="13" w:name="_Toc90046492"/>
      <w:r w:rsidRPr="00817B9F">
        <w:t xml:space="preserve">CHIA </w:t>
      </w:r>
      <w:r w:rsidR="00F714DF" w:rsidRPr="00817B9F">
        <w:t>All</w:t>
      </w:r>
      <w:r w:rsidR="001B5B03" w:rsidRPr="00817B9F">
        <w:t>-</w:t>
      </w:r>
      <w:r w:rsidR="00F714DF" w:rsidRPr="00817B9F">
        <w:t>Payer Claims Database</w:t>
      </w:r>
      <w:bookmarkEnd w:id="13"/>
    </w:p>
    <w:p w14:paraId="49E8BFDC" w14:textId="704BF59F" w:rsidR="005D3014" w:rsidRPr="00817B9F" w:rsidRDefault="00311933" w:rsidP="00311933">
      <w:pPr>
        <w:pStyle w:val="NumberedParagraphs"/>
      </w:pPr>
      <w:r w:rsidRPr="00817B9F">
        <w:t>The Massachusetts All</w:t>
      </w:r>
      <w:r w:rsidR="001B5B03" w:rsidRPr="00817B9F">
        <w:t>-</w:t>
      </w:r>
      <w:r w:rsidRPr="00817B9F">
        <w:t>Pay</w:t>
      </w:r>
      <w:r w:rsidR="00602D7D" w:rsidRPr="00817B9F">
        <w:t>e</w:t>
      </w:r>
      <w:r w:rsidRPr="00817B9F">
        <w:t xml:space="preserve">r Claims Database (“APCD”) </w:t>
      </w:r>
      <w:r w:rsidR="00AE3A94" w:rsidRPr="00817B9F">
        <w:t>includes</w:t>
      </w:r>
      <w:r w:rsidR="00FD073A" w:rsidRPr="00817B9F">
        <w:t xml:space="preserve"> </w:t>
      </w:r>
      <w:r w:rsidR="009E2E97" w:rsidRPr="00817B9F">
        <w:t xml:space="preserve">medical </w:t>
      </w:r>
      <w:r w:rsidR="00FD073A" w:rsidRPr="00817B9F">
        <w:t xml:space="preserve">claims </w:t>
      </w:r>
      <w:r w:rsidR="00190A22" w:rsidRPr="00817B9F">
        <w:t xml:space="preserve">submitted </w:t>
      </w:r>
      <w:r w:rsidR="005B0A16" w:rsidRPr="00817B9F">
        <w:t>by</w:t>
      </w:r>
      <w:r w:rsidR="00FD073A" w:rsidRPr="00817B9F">
        <w:t xml:space="preserve"> </w:t>
      </w:r>
      <w:r w:rsidR="00AE3A94" w:rsidRPr="00817B9F">
        <w:t xml:space="preserve">a variety of public and </w:t>
      </w:r>
      <w:r w:rsidR="005A19C6" w:rsidRPr="00817B9F">
        <w:t xml:space="preserve">private </w:t>
      </w:r>
      <w:r w:rsidR="001C195F" w:rsidRPr="00817B9F">
        <w:t>payor</w:t>
      </w:r>
      <w:r w:rsidR="005A19C6" w:rsidRPr="00817B9F">
        <w:t>s</w:t>
      </w:r>
      <w:r w:rsidR="00190A22" w:rsidRPr="00817B9F">
        <w:t xml:space="preserve">, including Medicare, MassHealth, and </w:t>
      </w:r>
      <w:r w:rsidR="00C04E3B" w:rsidRPr="00817B9F">
        <w:t>commercial health plans.</w:t>
      </w:r>
      <w:r w:rsidR="009E2E97" w:rsidRPr="00817B9F">
        <w:rPr>
          <w:rStyle w:val="FootnoteReference"/>
        </w:rPr>
        <w:footnoteReference w:id="30"/>
      </w:r>
      <w:r w:rsidR="00DA1712" w:rsidRPr="00817B9F">
        <w:rPr>
          <w:vertAlign w:val="superscript"/>
        </w:rPr>
        <w:t xml:space="preserve">, </w:t>
      </w:r>
      <w:r w:rsidR="009E2E97" w:rsidRPr="00817B9F">
        <w:rPr>
          <w:rStyle w:val="FootnoteReference"/>
        </w:rPr>
        <w:footnoteReference w:id="31"/>
      </w:r>
      <w:r w:rsidR="00C04E3B" w:rsidRPr="00817B9F">
        <w:t xml:space="preserve"> </w:t>
      </w:r>
      <w:r w:rsidR="00CA0AA7" w:rsidRPr="00817B9F">
        <w:t>All fully</w:t>
      </w:r>
      <w:r w:rsidR="003641E6" w:rsidRPr="00817B9F">
        <w:t xml:space="preserve"> </w:t>
      </w:r>
      <w:r w:rsidR="00CA0AA7" w:rsidRPr="00817B9F">
        <w:t xml:space="preserve">insured commercial health plans </w:t>
      </w:r>
      <w:r w:rsidR="005750EF" w:rsidRPr="00817B9F">
        <w:t xml:space="preserve">with membership in Massachusetts </w:t>
      </w:r>
      <w:r w:rsidR="00F622E6" w:rsidRPr="00817B9F">
        <w:t xml:space="preserve">are required to </w:t>
      </w:r>
      <w:r w:rsidR="00730294" w:rsidRPr="00817B9F">
        <w:t>submit claims data for inclusion in the APCD.</w:t>
      </w:r>
      <w:r w:rsidR="00FF558B" w:rsidRPr="00817B9F">
        <w:rPr>
          <w:rStyle w:val="FootnoteReference"/>
        </w:rPr>
        <w:footnoteReference w:id="32"/>
      </w:r>
      <w:r w:rsidR="00730294" w:rsidRPr="00817B9F">
        <w:t xml:space="preserve"> </w:t>
      </w:r>
      <w:r w:rsidR="0099436E" w:rsidRPr="00817B9F">
        <w:t xml:space="preserve">Self-insured commercial plans </w:t>
      </w:r>
      <w:r w:rsidR="00046E00" w:rsidRPr="00817B9F">
        <w:t>that are preempted by the</w:t>
      </w:r>
      <w:r w:rsidR="0099436E" w:rsidRPr="00817B9F">
        <w:t xml:space="preserve"> </w:t>
      </w:r>
      <w:r w:rsidR="00D4141C" w:rsidRPr="00817B9F">
        <w:t>Employee Retirement Income Security Act of 1974 are no longer required</w:t>
      </w:r>
      <w:r w:rsidR="007E4341" w:rsidRPr="00817B9F">
        <w:t xml:space="preserve"> to </w:t>
      </w:r>
      <w:r w:rsidR="00C93A28" w:rsidRPr="00817B9F">
        <w:t xml:space="preserve">submit </w:t>
      </w:r>
      <w:r w:rsidR="00D4141C" w:rsidRPr="00817B9F">
        <w:t xml:space="preserve">their </w:t>
      </w:r>
      <w:r w:rsidR="00C93A28" w:rsidRPr="00817B9F">
        <w:t xml:space="preserve">claims </w:t>
      </w:r>
      <w:r w:rsidR="00D4141C" w:rsidRPr="00817B9F">
        <w:t xml:space="preserve">data </w:t>
      </w:r>
      <w:r w:rsidR="00C93A28" w:rsidRPr="00817B9F">
        <w:t>for inclusion in the database</w:t>
      </w:r>
      <w:r w:rsidR="00D4141C" w:rsidRPr="00817B9F">
        <w:t xml:space="preserve"> but may choose to participate on a voluntary basis</w:t>
      </w:r>
      <w:r w:rsidR="00C93A28" w:rsidRPr="00817B9F">
        <w:t>.</w:t>
      </w:r>
      <w:r w:rsidR="00FB151F" w:rsidRPr="00817B9F">
        <w:rPr>
          <w:rStyle w:val="FootnoteReference"/>
        </w:rPr>
        <w:footnoteReference w:id="33"/>
      </w:r>
      <w:r w:rsidR="00CF100F" w:rsidRPr="00817B9F">
        <w:t xml:space="preserve"> </w:t>
      </w:r>
      <w:r w:rsidR="00227919" w:rsidRPr="00817B9F">
        <w:t xml:space="preserve">The majority of </w:t>
      </w:r>
      <w:r w:rsidR="00A934E9" w:rsidRPr="00817B9F">
        <w:t>Massachusetts</w:t>
      </w:r>
      <w:r w:rsidR="00227919" w:rsidRPr="00817B9F">
        <w:t xml:space="preserve"> residents </w:t>
      </w:r>
      <w:r w:rsidR="00A934E9" w:rsidRPr="00817B9F">
        <w:t xml:space="preserve">with public or private health coverage are enrolled in plans that submit claims data to the APCD. </w:t>
      </w:r>
    </w:p>
    <w:p w14:paraId="0EFC844C" w14:textId="4D5398AF" w:rsidR="00B44B73" w:rsidRPr="00817B9F" w:rsidRDefault="00354E88" w:rsidP="00311933">
      <w:pPr>
        <w:pStyle w:val="NumberedParagraphs"/>
      </w:pPr>
      <w:r w:rsidRPr="00817B9F">
        <w:t>The</w:t>
      </w:r>
      <w:r w:rsidR="00A85A96" w:rsidRPr="00817B9F">
        <w:t xml:space="preserve"> APCD includes </w:t>
      </w:r>
      <w:r w:rsidRPr="00817B9F">
        <w:t xml:space="preserve">claim line-level data </w:t>
      </w:r>
      <w:r w:rsidR="00922EB4" w:rsidRPr="00817B9F">
        <w:t xml:space="preserve">for each </w:t>
      </w:r>
      <w:r w:rsidR="006D48C9" w:rsidRPr="00817B9F">
        <w:t xml:space="preserve">adjudicated claim </w:t>
      </w:r>
      <w:r w:rsidR="00F519CA" w:rsidRPr="00817B9F">
        <w:t xml:space="preserve">from </w:t>
      </w:r>
      <w:r w:rsidR="006D48C9" w:rsidRPr="00817B9F">
        <w:t xml:space="preserve">a </w:t>
      </w:r>
      <w:r w:rsidR="00F519CA" w:rsidRPr="00817B9F">
        <w:t xml:space="preserve">contributing health plan. </w:t>
      </w:r>
      <w:r w:rsidR="00D86906" w:rsidRPr="00817B9F">
        <w:t>These data include the following:</w:t>
      </w:r>
      <w:r w:rsidR="00A7589E" w:rsidRPr="00817B9F">
        <w:rPr>
          <w:rStyle w:val="FootnoteReference"/>
        </w:rPr>
        <w:footnoteReference w:id="34"/>
      </w:r>
    </w:p>
    <w:p w14:paraId="6B48EB2B" w14:textId="2AD44AC1" w:rsidR="005F2493" w:rsidRPr="00817B9F" w:rsidRDefault="00D86906" w:rsidP="005B0C55">
      <w:pPr>
        <w:pStyle w:val="BulletParagraph"/>
        <w:rPr>
          <w:rFonts w:cs="Times New Roman"/>
        </w:rPr>
      </w:pPr>
      <w:r w:rsidRPr="00817B9F">
        <w:rPr>
          <w:rFonts w:cs="Times New Roman"/>
        </w:rPr>
        <w:lastRenderedPageBreak/>
        <w:t xml:space="preserve">For claims </w:t>
      </w:r>
      <w:r w:rsidR="00F2595D" w:rsidRPr="00817B9F">
        <w:rPr>
          <w:rFonts w:cs="Times New Roman"/>
        </w:rPr>
        <w:t xml:space="preserve">associated with facility charges, the </w:t>
      </w:r>
      <w:r w:rsidR="00E62F64" w:rsidRPr="00817B9F">
        <w:rPr>
          <w:rFonts w:cs="Times New Roman"/>
        </w:rPr>
        <w:t>type of facility, such as hospital outpatient department</w:t>
      </w:r>
      <w:r w:rsidR="00077F06" w:rsidRPr="00817B9F">
        <w:rPr>
          <w:rFonts w:cs="Times New Roman"/>
        </w:rPr>
        <w:t xml:space="preserve">, </w:t>
      </w:r>
      <w:r w:rsidR="009C4814" w:rsidRPr="00817B9F">
        <w:rPr>
          <w:rFonts w:cs="Times New Roman"/>
        </w:rPr>
        <w:t xml:space="preserve">hospital </w:t>
      </w:r>
      <w:r w:rsidR="00E62F64" w:rsidRPr="00817B9F">
        <w:rPr>
          <w:rFonts w:cs="Times New Roman"/>
        </w:rPr>
        <w:t>inpatient department, or</w:t>
      </w:r>
      <w:r w:rsidR="009C4814" w:rsidRPr="00817B9F">
        <w:rPr>
          <w:rFonts w:cs="Times New Roman"/>
        </w:rPr>
        <w:t xml:space="preserve"> </w:t>
      </w:r>
      <w:r w:rsidR="009002A9" w:rsidRPr="00817B9F">
        <w:rPr>
          <w:rFonts w:cs="Times New Roman"/>
        </w:rPr>
        <w:t>critical access hospital</w:t>
      </w:r>
      <w:r w:rsidR="00E62F64" w:rsidRPr="00817B9F">
        <w:rPr>
          <w:rFonts w:cs="Times New Roman"/>
        </w:rPr>
        <w:t>.</w:t>
      </w:r>
      <w:r w:rsidR="00E62F64" w:rsidRPr="00817B9F">
        <w:rPr>
          <w:rStyle w:val="FootnoteReference"/>
          <w:rFonts w:cs="Times New Roman"/>
        </w:rPr>
        <w:footnoteReference w:id="35"/>
      </w:r>
    </w:p>
    <w:p w14:paraId="2BC3B5EF" w14:textId="452D2C48" w:rsidR="00C04022" w:rsidRPr="00817B9F" w:rsidRDefault="00C04022" w:rsidP="005B0C55">
      <w:pPr>
        <w:pStyle w:val="BulletParagraph"/>
        <w:rPr>
          <w:rFonts w:cs="Times New Roman"/>
        </w:rPr>
      </w:pPr>
      <w:r w:rsidRPr="00817B9F">
        <w:rPr>
          <w:rFonts w:cs="Times New Roman"/>
        </w:rPr>
        <w:t xml:space="preserve">For claims for services provided by a professional, </w:t>
      </w:r>
      <w:r w:rsidR="00124408" w:rsidRPr="00817B9F">
        <w:rPr>
          <w:rFonts w:cs="Times New Roman"/>
        </w:rPr>
        <w:t>the place of service, such as an office or clinic, on-campus or off-campus hospital outpatient department, inpatient hospital department, or hospital emergency room.</w:t>
      </w:r>
    </w:p>
    <w:p w14:paraId="2E36B4C1" w14:textId="36D4C283" w:rsidR="00DC7B5E" w:rsidRPr="00817B9F" w:rsidRDefault="005F2493" w:rsidP="005B0C55">
      <w:pPr>
        <w:pStyle w:val="BulletParagraph"/>
        <w:rPr>
          <w:rFonts w:cs="Times New Roman"/>
        </w:rPr>
      </w:pPr>
      <w:r w:rsidRPr="00817B9F">
        <w:rPr>
          <w:rFonts w:cs="Times New Roman"/>
        </w:rPr>
        <w:t xml:space="preserve">The </w:t>
      </w:r>
      <w:r w:rsidR="00B90D71" w:rsidRPr="00817B9F">
        <w:rPr>
          <w:rFonts w:cs="Times New Roman"/>
        </w:rPr>
        <w:t>procedure</w:t>
      </w:r>
      <w:r w:rsidR="00552946" w:rsidRPr="00817B9F">
        <w:rPr>
          <w:rFonts w:cs="Times New Roman"/>
        </w:rPr>
        <w:t>s</w:t>
      </w:r>
      <w:r w:rsidR="00B90D71" w:rsidRPr="00817B9F">
        <w:rPr>
          <w:rFonts w:cs="Times New Roman"/>
        </w:rPr>
        <w:t xml:space="preserve"> performed</w:t>
      </w:r>
      <w:r w:rsidR="00763A08" w:rsidRPr="00817B9F">
        <w:rPr>
          <w:rFonts w:cs="Times New Roman"/>
        </w:rPr>
        <w:t xml:space="preserve"> (</w:t>
      </w:r>
      <w:r w:rsidR="00763A08" w:rsidRPr="00817B9F">
        <w:rPr>
          <w:rFonts w:cs="Times New Roman"/>
          <w:i/>
          <w:iCs/>
        </w:rPr>
        <w:t>e.g.</w:t>
      </w:r>
      <w:r w:rsidR="00763A08" w:rsidRPr="00817B9F">
        <w:rPr>
          <w:rFonts w:cs="Times New Roman"/>
        </w:rPr>
        <w:t xml:space="preserve">, </w:t>
      </w:r>
      <w:r w:rsidR="00807B99" w:rsidRPr="00817B9F">
        <w:rPr>
          <w:rFonts w:cs="Times New Roman"/>
        </w:rPr>
        <w:t xml:space="preserve">Current Procedural Terminology </w:t>
      </w:r>
      <w:r w:rsidR="00DC7B5E" w:rsidRPr="00817B9F">
        <w:rPr>
          <w:rFonts w:cs="Times New Roman"/>
        </w:rPr>
        <w:t xml:space="preserve">(“CPT”) and </w:t>
      </w:r>
      <w:r w:rsidR="00B94E54" w:rsidRPr="00817B9F">
        <w:rPr>
          <w:rFonts w:cs="Times New Roman"/>
        </w:rPr>
        <w:t xml:space="preserve">Healthcare Common Procedure Coding System </w:t>
      </w:r>
      <w:r w:rsidR="00EA689F" w:rsidRPr="00817B9F">
        <w:rPr>
          <w:rFonts w:cs="Times New Roman"/>
        </w:rPr>
        <w:t xml:space="preserve">(“HCPCS”) </w:t>
      </w:r>
      <w:r w:rsidR="00B94E54" w:rsidRPr="00817B9F">
        <w:rPr>
          <w:rFonts w:cs="Times New Roman"/>
        </w:rPr>
        <w:t>procedure code</w:t>
      </w:r>
      <w:r w:rsidR="00D14466" w:rsidRPr="00817B9F">
        <w:rPr>
          <w:rFonts w:cs="Times New Roman"/>
        </w:rPr>
        <w:t>s</w:t>
      </w:r>
      <w:r w:rsidR="00DC7B5E" w:rsidRPr="00817B9F">
        <w:rPr>
          <w:rFonts w:cs="Times New Roman"/>
        </w:rPr>
        <w:t>)</w:t>
      </w:r>
      <w:r w:rsidR="00B94E54" w:rsidRPr="00817B9F">
        <w:rPr>
          <w:rFonts w:cs="Times New Roman"/>
        </w:rPr>
        <w:t>.</w:t>
      </w:r>
    </w:p>
    <w:p w14:paraId="62C31F55" w14:textId="4FACD6B2" w:rsidR="0062220A" w:rsidRPr="00817B9F" w:rsidRDefault="0062220A" w:rsidP="005B0C55">
      <w:pPr>
        <w:pStyle w:val="BulletParagraph"/>
        <w:rPr>
          <w:rFonts w:cs="Times New Roman"/>
        </w:rPr>
      </w:pPr>
      <w:r w:rsidRPr="00817B9F">
        <w:rPr>
          <w:rFonts w:cs="Times New Roman"/>
        </w:rPr>
        <w:t>Diagnostic information, including primary and secondary diagnosis codes.</w:t>
      </w:r>
    </w:p>
    <w:p w14:paraId="5C0FD5ED" w14:textId="6B7E9FA0" w:rsidR="003B1922" w:rsidRPr="00817B9F" w:rsidRDefault="004B7FA0" w:rsidP="005B0C55">
      <w:pPr>
        <w:pStyle w:val="BulletParagraph"/>
        <w:rPr>
          <w:rFonts w:cs="Times New Roman"/>
        </w:rPr>
      </w:pPr>
      <w:r w:rsidRPr="00817B9F">
        <w:rPr>
          <w:rFonts w:cs="Times New Roman"/>
        </w:rPr>
        <w:t>T</w:t>
      </w:r>
      <w:r w:rsidR="00620C30" w:rsidRPr="00817B9F">
        <w:rPr>
          <w:rFonts w:cs="Times New Roman"/>
        </w:rPr>
        <w:t>he</w:t>
      </w:r>
      <w:r w:rsidR="00B56571" w:rsidRPr="00817B9F">
        <w:rPr>
          <w:rFonts w:cs="Times New Roman"/>
        </w:rPr>
        <w:t xml:space="preserve"> </w:t>
      </w:r>
      <w:r w:rsidR="00DD5701" w:rsidRPr="00817B9F">
        <w:rPr>
          <w:rFonts w:cs="Times New Roman"/>
        </w:rPr>
        <w:t xml:space="preserve">identity of the </w:t>
      </w:r>
      <w:r w:rsidR="00D33E71" w:rsidRPr="00817B9F">
        <w:rPr>
          <w:rFonts w:cs="Times New Roman"/>
        </w:rPr>
        <w:t>reporting</w:t>
      </w:r>
      <w:r w:rsidR="00F570EA" w:rsidRPr="00817B9F">
        <w:rPr>
          <w:rFonts w:cs="Times New Roman"/>
        </w:rPr>
        <w:t xml:space="preserve"> </w:t>
      </w:r>
      <w:r w:rsidR="00B56571" w:rsidRPr="00817B9F">
        <w:rPr>
          <w:rFonts w:cs="Times New Roman"/>
        </w:rPr>
        <w:t xml:space="preserve">payor and </w:t>
      </w:r>
      <w:r w:rsidR="00F570EA" w:rsidRPr="00817B9F">
        <w:rPr>
          <w:rFonts w:cs="Times New Roman"/>
        </w:rPr>
        <w:t xml:space="preserve">the </w:t>
      </w:r>
      <w:r w:rsidR="008B6A5C" w:rsidRPr="00817B9F">
        <w:rPr>
          <w:rFonts w:cs="Times New Roman"/>
        </w:rPr>
        <w:t>type of plan</w:t>
      </w:r>
      <w:r w:rsidR="00D33E71" w:rsidRPr="00817B9F">
        <w:rPr>
          <w:rFonts w:cs="Times New Roman"/>
        </w:rPr>
        <w:t xml:space="preserve"> (</w:t>
      </w:r>
      <w:r w:rsidR="00D33E71" w:rsidRPr="00817B9F">
        <w:rPr>
          <w:rFonts w:cs="Times New Roman"/>
          <w:i/>
          <w:iCs/>
        </w:rPr>
        <w:t>e.g.</w:t>
      </w:r>
      <w:r w:rsidR="00D33E71" w:rsidRPr="00817B9F">
        <w:rPr>
          <w:rFonts w:cs="Times New Roman"/>
        </w:rPr>
        <w:t xml:space="preserve">, </w:t>
      </w:r>
      <w:r w:rsidR="00AF6C03" w:rsidRPr="00817B9F">
        <w:rPr>
          <w:rFonts w:cs="Times New Roman"/>
        </w:rPr>
        <w:t>c</w:t>
      </w:r>
      <w:r w:rsidR="00D33E71" w:rsidRPr="00817B9F">
        <w:rPr>
          <w:rFonts w:cs="Times New Roman"/>
        </w:rPr>
        <w:t>ommercial,</w:t>
      </w:r>
      <w:r w:rsidR="00A05CE1" w:rsidRPr="00817B9F">
        <w:rPr>
          <w:rFonts w:cs="Times New Roman"/>
        </w:rPr>
        <w:t xml:space="preserve"> MassHealth </w:t>
      </w:r>
      <w:r w:rsidR="004F0BCE" w:rsidRPr="00817B9F">
        <w:rPr>
          <w:rFonts w:cs="Times New Roman"/>
        </w:rPr>
        <w:t>m</w:t>
      </w:r>
      <w:r w:rsidR="00A05CE1" w:rsidRPr="00817B9F">
        <w:rPr>
          <w:rFonts w:cs="Times New Roman"/>
        </w:rPr>
        <w:t xml:space="preserve">anaged </w:t>
      </w:r>
      <w:r w:rsidR="004F0BCE" w:rsidRPr="00817B9F">
        <w:rPr>
          <w:rFonts w:cs="Times New Roman"/>
        </w:rPr>
        <w:t>c</w:t>
      </w:r>
      <w:r w:rsidR="00A05CE1" w:rsidRPr="00817B9F">
        <w:rPr>
          <w:rFonts w:cs="Times New Roman"/>
        </w:rPr>
        <w:t xml:space="preserve">are, MassHealth </w:t>
      </w:r>
      <w:r w:rsidR="004F0BCE" w:rsidRPr="00817B9F">
        <w:rPr>
          <w:rFonts w:cs="Times New Roman"/>
        </w:rPr>
        <w:t>n</w:t>
      </w:r>
      <w:r w:rsidR="00A05CE1" w:rsidRPr="00817B9F">
        <w:rPr>
          <w:rFonts w:cs="Times New Roman"/>
        </w:rPr>
        <w:t>on-</w:t>
      </w:r>
      <w:r w:rsidR="004F0BCE" w:rsidRPr="00817B9F">
        <w:rPr>
          <w:rFonts w:cs="Times New Roman"/>
        </w:rPr>
        <w:t>m</w:t>
      </w:r>
      <w:r w:rsidR="00A05CE1" w:rsidRPr="00817B9F">
        <w:rPr>
          <w:rFonts w:cs="Times New Roman"/>
        </w:rPr>
        <w:t>anaged</w:t>
      </w:r>
      <w:r w:rsidR="000133C1" w:rsidRPr="00817B9F">
        <w:rPr>
          <w:rFonts w:cs="Times New Roman"/>
        </w:rPr>
        <w:t xml:space="preserve"> </w:t>
      </w:r>
      <w:r w:rsidR="004F0BCE" w:rsidRPr="00817B9F">
        <w:rPr>
          <w:rFonts w:cs="Times New Roman"/>
        </w:rPr>
        <w:t>c</w:t>
      </w:r>
      <w:r w:rsidR="000133C1" w:rsidRPr="00817B9F">
        <w:rPr>
          <w:rFonts w:cs="Times New Roman"/>
        </w:rPr>
        <w:t>are</w:t>
      </w:r>
      <w:r w:rsidR="00A05CE1" w:rsidRPr="00817B9F">
        <w:rPr>
          <w:rFonts w:cs="Times New Roman"/>
        </w:rPr>
        <w:t xml:space="preserve">, Medicare </w:t>
      </w:r>
      <w:r w:rsidR="004F0BCE" w:rsidRPr="00817B9F">
        <w:rPr>
          <w:rFonts w:cs="Times New Roman"/>
        </w:rPr>
        <w:t>h</w:t>
      </w:r>
      <w:r w:rsidR="000133C1" w:rsidRPr="00817B9F">
        <w:rPr>
          <w:rFonts w:cs="Times New Roman"/>
        </w:rPr>
        <w:t xml:space="preserve">ealth </w:t>
      </w:r>
      <w:r w:rsidR="004F0BCE" w:rsidRPr="00817B9F">
        <w:rPr>
          <w:rFonts w:cs="Times New Roman"/>
        </w:rPr>
        <w:t>p</w:t>
      </w:r>
      <w:r w:rsidR="000133C1" w:rsidRPr="00817B9F">
        <w:rPr>
          <w:rFonts w:cs="Times New Roman"/>
        </w:rPr>
        <w:t>lan</w:t>
      </w:r>
      <w:r w:rsidR="00117372" w:rsidRPr="00817B9F">
        <w:rPr>
          <w:rFonts w:cs="Times New Roman"/>
        </w:rPr>
        <w:t>s</w:t>
      </w:r>
      <w:r w:rsidR="00EC1467" w:rsidRPr="00817B9F">
        <w:rPr>
          <w:rFonts w:cs="Times New Roman"/>
        </w:rPr>
        <w:t>).</w:t>
      </w:r>
    </w:p>
    <w:p w14:paraId="041FCC54" w14:textId="0222F827" w:rsidR="005B4591" w:rsidRPr="00817B9F" w:rsidRDefault="005B4591" w:rsidP="005B0C55">
      <w:pPr>
        <w:pStyle w:val="BulletParagraph"/>
        <w:rPr>
          <w:rFonts w:cs="Times New Roman"/>
        </w:rPr>
      </w:pPr>
      <w:r w:rsidRPr="00817B9F">
        <w:rPr>
          <w:rFonts w:cs="Times New Roman"/>
        </w:rPr>
        <w:t>The amount charged by the provider as well as the amount allowed by the plan.</w:t>
      </w:r>
      <w:r w:rsidRPr="00817B9F">
        <w:rPr>
          <w:rStyle w:val="FootnoteReference"/>
          <w:rFonts w:cs="Times New Roman"/>
        </w:rPr>
        <w:footnoteReference w:id="36"/>
      </w:r>
      <w:r w:rsidRPr="00817B9F">
        <w:rPr>
          <w:rFonts w:cs="Times New Roman"/>
        </w:rPr>
        <w:t xml:space="preserve"> </w:t>
      </w:r>
    </w:p>
    <w:p w14:paraId="4C5F9967" w14:textId="7312498F" w:rsidR="008F6B7E" w:rsidRPr="00817B9F" w:rsidRDefault="00041433" w:rsidP="005B0C55">
      <w:pPr>
        <w:pStyle w:val="BulletParagraph"/>
        <w:rPr>
          <w:rFonts w:cs="Times New Roman"/>
        </w:rPr>
      </w:pPr>
      <w:r w:rsidRPr="00817B9F">
        <w:rPr>
          <w:rFonts w:cs="Times New Roman"/>
        </w:rPr>
        <w:t>The payment arrangement type</w:t>
      </w:r>
      <w:r w:rsidR="00280549" w:rsidRPr="00817B9F">
        <w:rPr>
          <w:rFonts w:cs="Times New Roman"/>
        </w:rPr>
        <w:t xml:space="preserve"> (</w:t>
      </w:r>
      <w:r w:rsidR="00280549" w:rsidRPr="00817B9F">
        <w:rPr>
          <w:rFonts w:cs="Times New Roman"/>
          <w:i/>
          <w:iCs/>
        </w:rPr>
        <w:t>e.g.</w:t>
      </w:r>
      <w:r w:rsidR="00280549" w:rsidRPr="00817B9F">
        <w:rPr>
          <w:rFonts w:cs="Times New Roman"/>
        </w:rPr>
        <w:t xml:space="preserve">, fee-for-service, </w:t>
      </w:r>
      <w:r w:rsidR="001D4295" w:rsidRPr="00817B9F">
        <w:rPr>
          <w:rFonts w:cs="Times New Roman"/>
        </w:rPr>
        <w:t>capitation</w:t>
      </w:r>
      <w:r w:rsidR="007D0292" w:rsidRPr="00817B9F">
        <w:rPr>
          <w:rFonts w:cs="Times New Roman"/>
        </w:rPr>
        <w:t>, bundled payment</w:t>
      </w:r>
      <w:r w:rsidR="00EC1467" w:rsidRPr="00817B9F">
        <w:rPr>
          <w:rFonts w:cs="Times New Roman"/>
        </w:rPr>
        <w:t>).</w:t>
      </w:r>
    </w:p>
    <w:p w14:paraId="15C30EE3" w14:textId="0CB13607" w:rsidR="00872398" w:rsidRPr="00817B9F" w:rsidRDefault="00037315" w:rsidP="005B0C55">
      <w:pPr>
        <w:pStyle w:val="BulletParagraph"/>
        <w:rPr>
          <w:rFonts w:cs="Times New Roman"/>
        </w:rPr>
      </w:pPr>
      <w:r w:rsidRPr="00817B9F">
        <w:rPr>
          <w:rFonts w:cs="Times New Roman"/>
        </w:rPr>
        <w:t>Patient demographic</w:t>
      </w:r>
      <w:r w:rsidR="00483291" w:rsidRPr="00817B9F">
        <w:rPr>
          <w:rFonts w:cs="Times New Roman"/>
        </w:rPr>
        <w:t xml:space="preserve"> information</w:t>
      </w:r>
      <w:r w:rsidR="00872398" w:rsidRPr="00817B9F">
        <w:rPr>
          <w:rFonts w:cs="Times New Roman"/>
        </w:rPr>
        <w:t>, including</w:t>
      </w:r>
      <w:r w:rsidR="00A06070" w:rsidRPr="00817B9F">
        <w:rPr>
          <w:rFonts w:cs="Times New Roman"/>
        </w:rPr>
        <w:t xml:space="preserve"> birth year, gender</w:t>
      </w:r>
      <w:r w:rsidR="00EA689F" w:rsidRPr="00817B9F">
        <w:rPr>
          <w:rFonts w:cs="Times New Roman"/>
        </w:rPr>
        <w:t xml:space="preserve">, and </w:t>
      </w:r>
      <w:r w:rsidR="00760847" w:rsidRPr="00817B9F">
        <w:rPr>
          <w:rFonts w:cs="Times New Roman"/>
        </w:rPr>
        <w:t>ZIP Code of residence</w:t>
      </w:r>
      <w:r w:rsidR="00EA689F" w:rsidRPr="00817B9F">
        <w:rPr>
          <w:rFonts w:cs="Times New Roman"/>
        </w:rPr>
        <w:t>.</w:t>
      </w:r>
    </w:p>
    <w:p w14:paraId="6DE4E2A7" w14:textId="24213B1D" w:rsidR="00D95EB9" w:rsidRPr="00817B9F" w:rsidRDefault="003463F4" w:rsidP="005B0C55">
      <w:pPr>
        <w:pStyle w:val="BulletParagraph"/>
        <w:rPr>
          <w:rFonts w:cs="Times New Roman"/>
        </w:rPr>
      </w:pPr>
      <w:r w:rsidRPr="00817B9F">
        <w:rPr>
          <w:rFonts w:cs="Times New Roman"/>
        </w:rPr>
        <w:t>The ZIP Code of the service provider.</w:t>
      </w:r>
    </w:p>
    <w:p w14:paraId="76FA5109" w14:textId="7C42ACDC" w:rsidR="004074DD" w:rsidRPr="00817B9F" w:rsidRDefault="000F19F7" w:rsidP="002D2D7F">
      <w:pPr>
        <w:pStyle w:val="BulletParagraph"/>
        <w:rPr>
          <w:rFonts w:cs="Times New Roman"/>
        </w:rPr>
      </w:pPr>
      <w:r w:rsidRPr="00817B9F">
        <w:rPr>
          <w:rFonts w:cs="Times New Roman"/>
        </w:rPr>
        <w:t>The National Provider</w:t>
      </w:r>
      <w:r w:rsidR="002D2D7F" w:rsidRPr="00817B9F">
        <w:rPr>
          <w:rFonts w:cs="Times New Roman"/>
        </w:rPr>
        <w:t xml:space="preserve"> </w:t>
      </w:r>
      <w:r w:rsidRPr="00817B9F">
        <w:rPr>
          <w:rFonts w:cs="Times New Roman"/>
        </w:rPr>
        <w:t>Identifier (“NPI”)</w:t>
      </w:r>
      <w:r w:rsidR="008D30B4" w:rsidRPr="00817B9F">
        <w:rPr>
          <w:rStyle w:val="CommentReference"/>
          <w:rFonts w:eastAsiaTheme="minorEastAsia" w:cs="Times New Roman"/>
          <w:sz w:val="24"/>
          <w:szCs w:val="24"/>
        </w:rPr>
        <w:t xml:space="preserve"> </w:t>
      </w:r>
      <w:r w:rsidRPr="00817B9F">
        <w:rPr>
          <w:rFonts w:cs="Times New Roman"/>
        </w:rPr>
        <w:t>associated with the servicing, rendering, and billing provider</w:t>
      </w:r>
      <w:r w:rsidR="004074DD" w:rsidRPr="00817B9F">
        <w:rPr>
          <w:rFonts w:cs="Times New Roman"/>
        </w:rPr>
        <w:t>.</w:t>
      </w:r>
      <w:r w:rsidR="008D30B4" w:rsidRPr="00817B9F">
        <w:rPr>
          <w:rStyle w:val="FootnoteReference"/>
          <w:rFonts w:cs="Times New Roman"/>
        </w:rPr>
        <w:footnoteReference w:id="37"/>
      </w:r>
    </w:p>
    <w:p w14:paraId="1BC1F0A3" w14:textId="1EC89148" w:rsidR="00AF7F63" w:rsidRPr="00817B9F" w:rsidRDefault="00D9100F" w:rsidP="005B0C55">
      <w:pPr>
        <w:pStyle w:val="BulletParagraph"/>
        <w:rPr>
          <w:rFonts w:cs="Times New Roman"/>
        </w:rPr>
      </w:pPr>
      <w:r w:rsidRPr="00817B9F">
        <w:rPr>
          <w:rFonts w:cs="Times New Roman"/>
        </w:rPr>
        <w:t>Provider ide</w:t>
      </w:r>
      <w:r w:rsidR="00122913" w:rsidRPr="00817B9F">
        <w:rPr>
          <w:rFonts w:cs="Times New Roman"/>
        </w:rPr>
        <w:t>ntification numbers</w:t>
      </w:r>
      <w:r w:rsidRPr="00817B9F">
        <w:rPr>
          <w:rFonts w:cs="Times New Roman"/>
        </w:rPr>
        <w:t xml:space="preserve"> that can be linked to the APCD</w:t>
      </w:r>
      <w:r w:rsidR="007173DB" w:rsidRPr="00817B9F">
        <w:rPr>
          <w:rFonts w:cs="Times New Roman"/>
        </w:rPr>
        <w:t>’s</w:t>
      </w:r>
      <w:r w:rsidRPr="00817B9F">
        <w:rPr>
          <w:rFonts w:cs="Times New Roman"/>
        </w:rPr>
        <w:t xml:space="preserve"> </w:t>
      </w:r>
      <w:r w:rsidR="007173DB" w:rsidRPr="00817B9F">
        <w:rPr>
          <w:rFonts w:cs="Times New Roman"/>
        </w:rPr>
        <w:t>p</w:t>
      </w:r>
      <w:r w:rsidRPr="00817B9F">
        <w:rPr>
          <w:rFonts w:cs="Times New Roman"/>
        </w:rPr>
        <w:t xml:space="preserve">rovider </w:t>
      </w:r>
      <w:r w:rsidR="007173DB" w:rsidRPr="00817B9F">
        <w:rPr>
          <w:rFonts w:cs="Times New Roman"/>
        </w:rPr>
        <w:t>file</w:t>
      </w:r>
      <w:r w:rsidRPr="00817B9F">
        <w:rPr>
          <w:rFonts w:cs="Times New Roman"/>
        </w:rPr>
        <w:t xml:space="preserve"> to determine the </w:t>
      </w:r>
      <w:r w:rsidR="00642B52" w:rsidRPr="00817B9F">
        <w:rPr>
          <w:rFonts w:cs="Times New Roman"/>
        </w:rPr>
        <w:t xml:space="preserve">location of </w:t>
      </w:r>
      <w:r w:rsidR="003723C9" w:rsidRPr="00817B9F">
        <w:rPr>
          <w:rFonts w:cs="Times New Roman"/>
        </w:rPr>
        <w:t xml:space="preserve">the facility where </w:t>
      </w:r>
      <w:r w:rsidR="00A131B4" w:rsidRPr="00817B9F">
        <w:rPr>
          <w:rFonts w:cs="Times New Roman"/>
        </w:rPr>
        <w:t xml:space="preserve">the </w:t>
      </w:r>
      <w:r w:rsidR="003723C9" w:rsidRPr="00817B9F">
        <w:rPr>
          <w:rFonts w:cs="Times New Roman"/>
        </w:rPr>
        <w:t xml:space="preserve">service was provided </w:t>
      </w:r>
      <w:r w:rsidR="00642B52" w:rsidRPr="00817B9F">
        <w:rPr>
          <w:rFonts w:cs="Times New Roman"/>
        </w:rPr>
        <w:t xml:space="preserve">and the </w:t>
      </w:r>
      <w:r w:rsidRPr="00817B9F">
        <w:rPr>
          <w:rFonts w:cs="Times New Roman"/>
        </w:rPr>
        <w:t xml:space="preserve">identity </w:t>
      </w:r>
      <w:r w:rsidR="00642B52" w:rsidRPr="00817B9F">
        <w:rPr>
          <w:rFonts w:cs="Times New Roman"/>
        </w:rPr>
        <w:t>of the rendering provider.</w:t>
      </w:r>
    </w:p>
    <w:p w14:paraId="3B1ED503" w14:textId="41BA3F5C" w:rsidR="00565BF1" w:rsidRPr="00817B9F" w:rsidRDefault="00E94F57" w:rsidP="00565BF1">
      <w:pPr>
        <w:pStyle w:val="NumberedParagraphs"/>
      </w:pPr>
      <w:r w:rsidRPr="00817B9F">
        <w:lastRenderedPageBreak/>
        <w:t xml:space="preserve">The </w:t>
      </w:r>
      <w:r w:rsidR="007173DB" w:rsidRPr="00817B9F">
        <w:t>provider file that accompan</w:t>
      </w:r>
      <w:r w:rsidR="003110A9" w:rsidRPr="00817B9F">
        <w:t>ies</w:t>
      </w:r>
      <w:r w:rsidR="007173DB" w:rsidRPr="00817B9F">
        <w:t xml:space="preserve"> the APCD claims data</w:t>
      </w:r>
      <w:r w:rsidRPr="00817B9F">
        <w:t xml:space="preserve"> </w:t>
      </w:r>
      <w:r w:rsidR="00764097" w:rsidRPr="00817B9F">
        <w:t>contain</w:t>
      </w:r>
      <w:r w:rsidR="00ED74C5" w:rsidRPr="00817B9F">
        <w:t>s</w:t>
      </w:r>
      <w:r w:rsidR="00764097" w:rsidRPr="00817B9F">
        <w:t xml:space="preserve"> various</w:t>
      </w:r>
      <w:r w:rsidR="001C2C92" w:rsidRPr="00817B9F">
        <w:t xml:space="preserve"> </w:t>
      </w:r>
      <w:r w:rsidR="007B2593" w:rsidRPr="00817B9F">
        <w:t xml:space="preserve">demographic </w:t>
      </w:r>
      <w:r w:rsidR="001C2C92" w:rsidRPr="00817B9F">
        <w:t xml:space="preserve">information </w:t>
      </w:r>
      <w:r w:rsidR="00D11A1F" w:rsidRPr="00817B9F">
        <w:t>for each provider (</w:t>
      </w:r>
      <w:r w:rsidR="00D11A1F" w:rsidRPr="00817B9F">
        <w:rPr>
          <w:i/>
        </w:rPr>
        <w:t>e</w:t>
      </w:r>
      <w:r w:rsidR="002D7EE0" w:rsidRPr="00817B9F">
        <w:rPr>
          <w:i/>
        </w:rPr>
        <w:t>.g.</w:t>
      </w:r>
      <w:r w:rsidR="002D7EE0" w:rsidRPr="00817B9F">
        <w:t xml:space="preserve">, </w:t>
      </w:r>
      <w:r w:rsidR="00C71D8D" w:rsidRPr="00817B9F">
        <w:t>clinician</w:t>
      </w:r>
      <w:r w:rsidR="002D7EE0" w:rsidRPr="00817B9F">
        <w:t xml:space="preserve">, </w:t>
      </w:r>
      <w:r w:rsidR="00C71D8D" w:rsidRPr="00817B9F">
        <w:t xml:space="preserve">hospital, </w:t>
      </w:r>
      <w:r w:rsidR="007C0790" w:rsidRPr="00817B9F">
        <w:t>off-campus</w:t>
      </w:r>
      <w:r w:rsidR="00C71D8D" w:rsidRPr="00817B9F">
        <w:t xml:space="preserve"> </w:t>
      </w:r>
      <w:r w:rsidR="00010E2D" w:rsidRPr="00817B9F">
        <w:t xml:space="preserve">hospital outpatient department </w:t>
      </w:r>
      <w:r w:rsidR="00D40F1B" w:rsidRPr="00817B9F">
        <w:t>(</w:t>
      </w:r>
      <w:r w:rsidR="00010E2D" w:rsidRPr="00817B9F">
        <w:t>“</w:t>
      </w:r>
      <w:r w:rsidR="00C71D8D" w:rsidRPr="00817B9F">
        <w:t>HOPD</w:t>
      </w:r>
      <w:r w:rsidR="00010E2D" w:rsidRPr="00817B9F">
        <w:t>”</w:t>
      </w:r>
      <w:r w:rsidR="00D40F1B" w:rsidRPr="00817B9F">
        <w:t>)</w:t>
      </w:r>
      <w:r w:rsidR="00C71D8D" w:rsidRPr="00817B9F">
        <w:t>, clinic, physician group)</w:t>
      </w:r>
      <w:r w:rsidR="00764097" w:rsidRPr="00817B9F">
        <w:t>, including:</w:t>
      </w:r>
      <w:r w:rsidR="00764097" w:rsidRPr="00817B9F">
        <w:rPr>
          <w:rStyle w:val="FootnoteReference"/>
        </w:rPr>
        <w:footnoteReference w:id="38"/>
      </w:r>
    </w:p>
    <w:p w14:paraId="66F470CF" w14:textId="391F76F8" w:rsidR="00E608BD" w:rsidRPr="00817B9F" w:rsidRDefault="00E608BD" w:rsidP="00E608BD">
      <w:pPr>
        <w:pStyle w:val="BulletParagraph"/>
        <w:rPr>
          <w:rFonts w:cs="Times New Roman"/>
        </w:rPr>
      </w:pPr>
      <w:r w:rsidRPr="00817B9F">
        <w:rPr>
          <w:rFonts w:cs="Times New Roman"/>
        </w:rPr>
        <w:t>The name of the provider.</w:t>
      </w:r>
    </w:p>
    <w:p w14:paraId="4A989794" w14:textId="5D37CD44" w:rsidR="00E608BD" w:rsidRPr="00817B9F" w:rsidRDefault="00C90BEE" w:rsidP="00E608BD">
      <w:pPr>
        <w:pStyle w:val="BulletParagraph"/>
        <w:rPr>
          <w:rFonts w:cs="Times New Roman"/>
        </w:rPr>
      </w:pPr>
      <w:r w:rsidRPr="00817B9F">
        <w:rPr>
          <w:rFonts w:cs="Times New Roman"/>
        </w:rPr>
        <w:t>The address of the provider.</w:t>
      </w:r>
    </w:p>
    <w:p w14:paraId="1C22DE60" w14:textId="1DE7BD84" w:rsidR="00B16A7B" w:rsidRPr="00817B9F" w:rsidRDefault="00B16A7B" w:rsidP="00E608BD">
      <w:pPr>
        <w:pStyle w:val="BulletParagraph"/>
        <w:rPr>
          <w:rFonts w:cs="Times New Roman"/>
        </w:rPr>
      </w:pPr>
      <w:r w:rsidRPr="00817B9F">
        <w:rPr>
          <w:rFonts w:cs="Times New Roman"/>
        </w:rPr>
        <w:t>The provider’s NPI.</w:t>
      </w:r>
    </w:p>
    <w:p w14:paraId="143966E9" w14:textId="199DE149" w:rsidR="009A63F7" w:rsidRPr="00817B9F" w:rsidRDefault="00C90BEE" w:rsidP="00F1228E">
      <w:pPr>
        <w:pStyle w:val="BulletParagraph"/>
        <w:rPr>
          <w:rFonts w:cs="Times New Roman"/>
        </w:rPr>
      </w:pPr>
      <w:r w:rsidRPr="00817B9F">
        <w:rPr>
          <w:rFonts w:cs="Times New Roman"/>
        </w:rPr>
        <w:t xml:space="preserve">The </w:t>
      </w:r>
      <w:r w:rsidR="002A24E2" w:rsidRPr="00817B9F">
        <w:rPr>
          <w:rFonts w:cs="Times New Roman"/>
        </w:rPr>
        <w:t>p</w:t>
      </w:r>
      <w:r w:rsidR="00A9708C" w:rsidRPr="00817B9F">
        <w:rPr>
          <w:rFonts w:cs="Times New Roman"/>
        </w:rPr>
        <w:t>rovider’s a</w:t>
      </w:r>
      <w:r w:rsidR="00A35C56" w:rsidRPr="00817B9F">
        <w:rPr>
          <w:rFonts w:cs="Times New Roman"/>
        </w:rPr>
        <w:t>ssociation</w:t>
      </w:r>
      <w:r w:rsidR="00A9708C" w:rsidRPr="00817B9F">
        <w:rPr>
          <w:rFonts w:cs="Times New Roman"/>
        </w:rPr>
        <w:t xml:space="preserve"> </w:t>
      </w:r>
      <w:r w:rsidR="00A35C56" w:rsidRPr="00817B9F">
        <w:rPr>
          <w:rFonts w:cs="Times New Roman"/>
        </w:rPr>
        <w:t>with</w:t>
      </w:r>
      <w:r w:rsidR="00A9708C" w:rsidRPr="00817B9F">
        <w:rPr>
          <w:rFonts w:cs="Times New Roman"/>
        </w:rPr>
        <w:t xml:space="preserve"> another entity or to a specific facility</w:t>
      </w:r>
      <w:r w:rsidR="00A35C56" w:rsidRPr="00817B9F">
        <w:rPr>
          <w:rFonts w:cs="Times New Roman"/>
        </w:rPr>
        <w:t>, and the start and end dates of that affiliation</w:t>
      </w:r>
      <w:r w:rsidR="00A9708C" w:rsidRPr="00817B9F">
        <w:rPr>
          <w:rFonts w:cs="Times New Roman"/>
        </w:rPr>
        <w:t>.</w:t>
      </w:r>
    </w:p>
    <w:p w14:paraId="41A4B48A" w14:textId="2223BF72" w:rsidR="00F04AD3" w:rsidRPr="00817B9F" w:rsidRDefault="00416B5F" w:rsidP="00F1228E">
      <w:pPr>
        <w:pStyle w:val="BulletParagraph"/>
        <w:rPr>
          <w:rFonts w:cs="Times New Roman"/>
        </w:rPr>
      </w:pPr>
      <w:r w:rsidRPr="00817B9F">
        <w:rPr>
          <w:rFonts w:cs="Times New Roman"/>
        </w:rPr>
        <w:t xml:space="preserve">The </w:t>
      </w:r>
      <w:r w:rsidR="00385D02" w:rsidRPr="00817B9F">
        <w:rPr>
          <w:rFonts w:cs="Times New Roman"/>
        </w:rPr>
        <w:t>entity type of the provider</w:t>
      </w:r>
      <w:r w:rsidR="002B690E" w:rsidRPr="00817B9F">
        <w:rPr>
          <w:rFonts w:cs="Times New Roman"/>
        </w:rPr>
        <w:t xml:space="preserve"> (</w:t>
      </w:r>
      <w:r w:rsidR="002B690E" w:rsidRPr="00817B9F">
        <w:rPr>
          <w:rFonts w:cs="Times New Roman"/>
          <w:i/>
        </w:rPr>
        <w:t>e.g</w:t>
      </w:r>
      <w:r w:rsidR="002B690E" w:rsidRPr="00817B9F">
        <w:rPr>
          <w:rFonts w:cs="Times New Roman"/>
        </w:rPr>
        <w:t>., person, facility, financial parent).</w:t>
      </w:r>
    </w:p>
    <w:p w14:paraId="25FA93AC" w14:textId="2945C026" w:rsidR="00394583" w:rsidRPr="00817B9F" w:rsidRDefault="00A67F34" w:rsidP="00394583">
      <w:pPr>
        <w:pStyle w:val="NumberedParagraphs"/>
      </w:pPr>
      <w:r w:rsidRPr="00817B9F">
        <w:t xml:space="preserve">A single claim may be adjudicated by a payor </w:t>
      </w:r>
      <w:r w:rsidR="008D30B4" w:rsidRPr="00817B9F">
        <w:t>several</w:t>
      </w:r>
      <w:r w:rsidRPr="00817B9F">
        <w:t xml:space="preserve"> times. For example, a claim </w:t>
      </w:r>
      <w:r w:rsidR="00FC3EF2" w:rsidRPr="00817B9F">
        <w:t>that was originally denied may be reprocessed by a payor following the receipt of additional information from a plan member or provide</w:t>
      </w:r>
      <w:r w:rsidR="001646CC" w:rsidRPr="00817B9F">
        <w:t xml:space="preserve">r. Similarly, the allowed amount for a claim may be </w:t>
      </w:r>
      <w:r w:rsidR="003B5EDB" w:rsidRPr="00817B9F">
        <w:t xml:space="preserve">adjusted by a payor following the claim’s initial adjudication. </w:t>
      </w:r>
      <w:r w:rsidR="00717367" w:rsidRPr="00817B9F">
        <w:t>Because r</w:t>
      </w:r>
      <w:r w:rsidR="009407CA" w:rsidRPr="00817B9F">
        <w:t>e-adjudication of a claim can create additional records in the APCD</w:t>
      </w:r>
      <w:r w:rsidR="00717367" w:rsidRPr="00817B9F">
        <w:t xml:space="preserve">, the data must be limited </w:t>
      </w:r>
      <w:r w:rsidR="00FC19F9" w:rsidRPr="00817B9F">
        <w:t>to final adjudicated claim lines prior to analysis.</w:t>
      </w:r>
    </w:p>
    <w:p w14:paraId="2A344670" w14:textId="002F3D9F" w:rsidR="00A84D05" w:rsidRPr="00817B9F" w:rsidRDefault="00FC19F9" w:rsidP="00A84D05">
      <w:pPr>
        <w:pStyle w:val="NumberedParagraphs"/>
      </w:pPr>
      <w:r w:rsidRPr="00817B9F">
        <w:t xml:space="preserve">For each of the largest </w:t>
      </w:r>
      <w:r w:rsidR="00117554" w:rsidRPr="00817B9F">
        <w:t>carriers</w:t>
      </w:r>
      <w:r w:rsidR="00E47C03" w:rsidRPr="00817B9F">
        <w:t xml:space="preserve"> </w:t>
      </w:r>
      <w:r w:rsidR="00946BC3" w:rsidRPr="00817B9F">
        <w:t>(</w:t>
      </w:r>
      <w:r w:rsidR="00946BC3" w:rsidRPr="00817B9F">
        <w:rPr>
          <w:i/>
          <w:iCs/>
        </w:rPr>
        <w:t>i.e.</w:t>
      </w:r>
      <w:r w:rsidR="00946BC3" w:rsidRPr="00817B9F">
        <w:t>, payors)</w:t>
      </w:r>
      <w:r w:rsidRPr="00817B9F">
        <w:t xml:space="preserve"> </w:t>
      </w:r>
      <w:r w:rsidR="00117554" w:rsidRPr="00817B9F">
        <w:t xml:space="preserve">in the APCD, CHIA has developed carrier-specific logic that the agency uses to </w:t>
      </w:r>
      <w:r w:rsidR="00EC5CD4" w:rsidRPr="00817B9F">
        <w:t>flag the most recent version of each claim.</w:t>
      </w:r>
      <w:r w:rsidR="00724842" w:rsidRPr="00817B9F">
        <w:rPr>
          <w:rStyle w:val="FootnoteReference"/>
        </w:rPr>
        <w:footnoteReference w:id="39"/>
      </w:r>
      <w:r w:rsidR="00EC5CD4" w:rsidRPr="00817B9F">
        <w:t xml:space="preserve"> When available, we rely on this flag to identify final adjudicated claim lines.</w:t>
      </w:r>
      <w:r w:rsidR="00117554" w:rsidRPr="00817B9F">
        <w:t xml:space="preserve"> </w:t>
      </w:r>
      <w:r w:rsidR="00724842" w:rsidRPr="00817B9F">
        <w:t>For payors where the CHIA versioning flag is not available,</w:t>
      </w:r>
      <w:r w:rsidR="00117554" w:rsidRPr="00817B9F">
        <w:t xml:space="preserve"> </w:t>
      </w:r>
      <w:r w:rsidR="00B72E5A" w:rsidRPr="00817B9F">
        <w:t xml:space="preserve">we </w:t>
      </w:r>
      <w:r w:rsidR="00ED47AD" w:rsidRPr="00817B9F">
        <w:t xml:space="preserve">implement steps </w:t>
      </w:r>
      <w:r w:rsidR="00ED74C5" w:rsidRPr="00817B9F">
        <w:t xml:space="preserve">similar to those </w:t>
      </w:r>
      <w:r w:rsidR="00ED47AD" w:rsidRPr="00817B9F">
        <w:t>described</w:t>
      </w:r>
      <w:r w:rsidR="00B72E5A" w:rsidRPr="00817B9F">
        <w:t xml:space="preserve"> in </w:t>
      </w:r>
      <w:r w:rsidR="00EB5CF2" w:rsidRPr="00817B9F">
        <w:t>CHIA documentation</w:t>
      </w:r>
      <w:r w:rsidR="00B72E5A" w:rsidRPr="00817B9F">
        <w:t xml:space="preserve"> to </w:t>
      </w:r>
      <w:r w:rsidR="00644316" w:rsidRPr="00817B9F">
        <w:t>identify the most recent version of each claim.</w:t>
      </w:r>
      <w:r w:rsidR="00F74462" w:rsidRPr="00817B9F">
        <w:rPr>
          <w:rStyle w:val="FootnoteReference"/>
        </w:rPr>
        <w:footnoteReference w:id="40"/>
      </w:r>
      <w:r w:rsidR="00644316" w:rsidRPr="00817B9F">
        <w:t xml:space="preserve"> </w:t>
      </w:r>
      <w:r w:rsidR="00EB5CF2" w:rsidRPr="00817B9F">
        <w:t xml:space="preserve">These steps include </w:t>
      </w:r>
      <w:r w:rsidR="00E40AEB" w:rsidRPr="00817B9F">
        <w:t xml:space="preserve">(1) </w:t>
      </w:r>
      <w:r w:rsidR="00013A68" w:rsidRPr="00817B9F">
        <w:t>identifying</w:t>
      </w:r>
      <w:r w:rsidR="00B42C87" w:rsidRPr="00817B9F">
        <w:t xml:space="preserve"> duplicate </w:t>
      </w:r>
      <w:r w:rsidR="00B42C87" w:rsidRPr="00817B9F">
        <w:lastRenderedPageBreak/>
        <w:t>entries</w:t>
      </w:r>
      <w:r w:rsidR="00990DA1" w:rsidRPr="00817B9F">
        <w:t xml:space="preserve"> and void</w:t>
      </w:r>
      <w:r w:rsidR="00E40AEB" w:rsidRPr="00817B9F">
        <w:t xml:space="preserve"> </w:t>
      </w:r>
      <w:r w:rsidR="00990DA1" w:rsidRPr="00817B9F">
        <w:t>records</w:t>
      </w:r>
      <w:r w:rsidR="00E40AEB" w:rsidRPr="00817B9F">
        <w:t xml:space="preserve">, (2) removing records with certain </w:t>
      </w:r>
      <w:r w:rsidR="00BE27B6" w:rsidRPr="00817B9F">
        <w:t xml:space="preserve">claim statuses, and (3) narrowing the </w:t>
      </w:r>
      <w:r w:rsidR="00223824" w:rsidRPr="00817B9F">
        <w:t xml:space="preserve">remaining records based on the </w:t>
      </w:r>
      <w:r w:rsidR="00B777BD" w:rsidRPr="00817B9F">
        <w:rPr>
          <w:i/>
          <w:iCs/>
        </w:rPr>
        <w:t>T</w:t>
      </w:r>
      <w:r w:rsidR="00223824" w:rsidRPr="00817B9F">
        <w:rPr>
          <w:i/>
          <w:iCs/>
        </w:rPr>
        <w:t xml:space="preserve">ype of </w:t>
      </w:r>
      <w:r w:rsidR="00B777BD" w:rsidRPr="00817B9F">
        <w:rPr>
          <w:i/>
          <w:iCs/>
        </w:rPr>
        <w:t>C</w:t>
      </w:r>
      <w:r w:rsidR="00223824" w:rsidRPr="00817B9F">
        <w:rPr>
          <w:i/>
          <w:iCs/>
        </w:rPr>
        <w:t>laim</w:t>
      </w:r>
      <w:r w:rsidR="00223824" w:rsidRPr="00817B9F">
        <w:t xml:space="preserve"> field.</w:t>
      </w:r>
      <w:r w:rsidR="00845654" w:rsidRPr="00817B9F">
        <w:t xml:space="preserve"> </w:t>
      </w:r>
      <w:r w:rsidR="00C20E58" w:rsidRPr="00817B9F">
        <w:t>We</w:t>
      </w:r>
      <w:r w:rsidR="00ED74C5" w:rsidRPr="00817B9F">
        <w:t xml:space="preserve"> also</w:t>
      </w:r>
      <w:r w:rsidR="00C20E58" w:rsidRPr="00817B9F">
        <w:t xml:space="preserve"> remove any claims where the total charge or </w:t>
      </w:r>
      <w:r w:rsidR="00022131" w:rsidRPr="00817B9F">
        <w:t xml:space="preserve">the </w:t>
      </w:r>
      <w:r w:rsidR="00C20E58" w:rsidRPr="00817B9F">
        <w:t>allo</w:t>
      </w:r>
      <w:r w:rsidR="002D7CB4" w:rsidRPr="00817B9F">
        <w:t xml:space="preserve">wed </w:t>
      </w:r>
      <w:r w:rsidR="00022131" w:rsidRPr="00817B9F">
        <w:t xml:space="preserve">amount </w:t>
      </w:r>
      <w:r w:rsidR="002D7CB4" w:rsidRPr="00817B9F">
        <w:t>is negative.</w:t>
      </w:r>
      <w:r w:rsidR="008A5C76" w:rsidRPr="00817B9F">
        <w:rPr>
          <w:rStyle w:val="FootnoteReference"/>
        </w:rPr>
        <w:footnoteReference w:id="41"/>
      </w:r>
    </w:p>
    <w:p w14:paraId="3A98E0ED" w14:textId="209153A0" w:rsidR="0095770D" w:rsidRPr="00817B9F" w:rsidRDefault="00091F84" w:rsidP="0095770D">
      <w:pPr>
        <w:pStyle w:val="NumberedParagraphs"/>
      </w:pPr>
      <w:r w:rsidRPr="00817B9F">
        <w:t>After determining the final adjudicated</w:t>
      </w:r>
      <w:r w:rsidR="0095770D" w:rsidRPr="00817B9F">
        <w:t xml:space="preserve"> claim</w:t>
      </w:r>
      <w:r w:rsidRPr="00817B9F">
        <w:t xml:space="preserve"> lines</w:t>
      </w:r>
      <w:r w:rsidR="0095770D" w:rsidRPr="00817B9F">
        <w:t xml:space="preserve">, we </w:t>
      </w:r>
      <w:r w:rsidRPr="00817B9F">
        <w:t>next</w:t>
      </w:r>
      <w:r w:rsidR="0095770D" w:rsidRPr="00817B9F">
        <w:t xml:space="preserve"> identify the ZIP Code where the service was provided and the owner of the facility.</w:t>
      </w:r>
    </w:p>
    <w:p w14:paraId="15F9B686" w14:textId="4F1C9A67" w:rsidR="0095770D" w:rsidRPr="00817B9F" w:rsidRDefault="0095770D" w:rsidP="005B0C55">
      <w:pPr>
        <w:pStyle w:val="BulletParagraph"/>
        <w:rPr>
          <w:rFonts w:cs="Times New Roman"/>
        </w:rPr>
      </w:pPr>
      <w:r w:rsidRPr="00817B9F">
        <w:rPr>
          <w:rFonts w:cs="Times New Roman"/>
        </w:rPr>
        <w:t xml:space="preserve">To identify the ZIP Code where the service was provided, we </w:t>
      </w:r>
      <w:r w:rsidR="002D1178" w:rsidRPr="00817B9F">
        <w:rPr>
          <w:rFonts w:cs="Times New Roman"/>
        </w:rPr>
        <w:t xml:space="preserve">first rely on </w:t>
      </w:r>
      <w:r w:rsidRPr="00817B9F">
        <w:rPr>
          <w:rFonts w:cs="Times New Roman"/>
        </w:rPr>
        <w:t xml:space="preserve">the Service </w:t>
      </w:r>
      <w:r w:rsidR="00C84FE4" w:rsidRPr="00817B9F">
        <w:rPr>
          <w:rFonts w:cs="Times New Roman"/>
        </w:rPr>
        <w:t>P</w:t>
      </w:r>
      <w:r w:rsidR="003463F4" w:rsidRPr="00817B9F">
        <w:rPr>
          <w:rFonts w:cs="Times New Roman"/>
        </w:rPr>
        <w:t>rovider</w:t>
      </w:r>
      <w:r w:rsidRPr="00817B9F">
        <w:rPr>
          <w:rFonts w:cs="Times New Roman"/>
        </w:rPr>
        <w:t xml:space="preserve"> ZIP Code field in the </w:t>
      </w:r>
      <w:r w:rsidR="003463F4" w:rsidRPr="00817B9F">
        <w:rPr>
          <w:rFonts w:cs="Times New Roman"/>
        </w:rPr>
        <w:t xml:space="preserve">claims data. </w:t>
      </w:r>
      <w:r w:rsidR="001E6183" w:rsidRPr="00817B9F">
        <w:rPr>
          <w:rFonts w:cs="Times New Roman"/>
        </w:rPr>
        <w:t xml:space="preserve">For some claims, </w:t>
      </w:r>
      <w:r w:rsidR="0017709A" w:rsidRPr="00817B9F">
        <w:rPr>
          <w:rFonts w:cs="Times New Roman"/>
        </w:rPr>
        <w:t>t</w:t>
      </w:r>
      <w:r w:rsidR="002E1A83" w:rsidRPr="00817B9F">
        <w:rPr>
          <w:rFonts w:cs="Times New Roman"/>
        </w:rPr>
        <w:t xml:space="preserve">his ZIP Code differs from the ZIP Code </w:t>
      </w:r>
      <w:r w:rsidR="00E91FA5" w:rsidRPr="00817B9F">
        <w:rPr>
          <w:rFonts w:cs="Times New Roman"/>
        </w:rPr>
        <w:t>associated with the provider location identification n</w:t>
      </w:r>
      <w:r w:rsidR="009A45BE" w:rsidRPr="00817B9F">
        <w:rPr>
          <w:rFonts w:cs="Times New Roman"/>
        </w:rPr>
        <w:t>umber in the APCD provider file.</w:t>
      </w:r>
      <w:r w:rsidR="00937137" w:rsidRPr="00817B9F">
        <w:rPr>
          <w:rFonts w:cs="Times New Roman"/>
        </w:rPr>
        <w:t xml:space="preserve"> </w:t>
      </w:r>
      <w:r w:rsidR="009D4B36" w:rsidRPr="00817B9F">
        <w:rPr>
          <w:rFonts w:cs="Times New Roman"/>
        </w:rPr>
        <w:t>When</w:t>
      </w:r>
      <w:r w:rsidR="0072756A" w:rsidRPr="00817B9F">
        <w:rPr>
          <w:rFonts w:cs="Times New Roman"/>
        </w:rPr>
        <w:t xml:space="preserve"> the ZIP Code in the provider file</w:t>
      </w:r>
      <w:r w:rsidRPr="00817B9F">
        <w:rPr>
          <w:rFonts w:cs="Times New Roman"/>
        </w:rPr>
        <w:t xml:space="preserve"> </w:t>
      </w:r>
      <w:r w:rsidR="00BC05AC" w:rsidRPr="00817B9F">
        <w:rPr>
          <w:rFonts w:cs="Times New Roman"/>
        </w:rPr>
        <w:t xml:space="preserve">is unique or if it aligns with </w:t>
      </w:r>
      <w:r w:rsidRPr="00817B9F">
        <w:rPr>
          <w:rFonts w:cs="Times New Roman"/>
        </w:rPr>
        <w:t xml:space="preserve">the </w:t>
      </w:r>
      <w:r w:rsidR="00D31D67" w:rsidRPr="00817B9F">
        <w:rPr>
          <w:rFonts w:cs="Times New Roman"/>
        </w:rPr>
        <w:t xml:space="preserve">primary business practice ZIP Code associated with the </w:t>
      </w:r>
      <w:r w:rsidR="007B6D97" w:rsidRPr="00817B9F">
        <w:rPr>
          <w:rFonts w:cs="Times New Roman"/>
        </w:rPr>
        <w:t xml:space="preserve">NPI </w:t>
      </w:r>
      <w:r w:rsidR="004E0C6B" w:rsidRPr="00817B9F">
        <w:rPr>
          <w:rFonts w:cs="Times New Roman"/>
        </w:rPr>
        <w:t xml:space="preserve">in the </w:t>
      </w:r>
      <w:r w:rsidR="00CE43A5" w:rsidRPr="00817B9F">
        <w:rPr>
          <w:rFonts w:cs="Times New Roman"/>
        </w:rPr>
        <w:t>claims data</w:t>
      </w:r>
      <w:r w:rsidR="00665295" w:rsidRPr="00817B9F">
        <w:rPr>
          <w:rFonts w:cs="Times New Roman"/>
        </w:rPr>
        <w:t>, we</w:t>
      </w:r>
      <w:r w:rsidR="00967F81" w:rsidRPr="00817B9F">
        <w:rPr>
          <w:rFonts w:cs="Times New Roman"/>
        </w:rPr>
        <w:t xml:space="preserve"> use th</w:t>
      </w:r>
      <w:r w:rsidR="00BC05AC" w:rsidRPr="00817B9F">
        <w:rPr>
          <w:rFonts w:cs="Times New Roman"/>
        </w:rPr>
        <w:t>e ZIP Code in the provider file</w:t>
      </w:r>
      <w:r w:rsidR="00262450" w:rsidRPr="00817B9F">
        <w:rPr>
          <w:rFonts w:cs="Times New Roman"/>
        </w:rPr>
        <w:t xml:space="preserve"> </w:t>
      </w:r>
      <w:r w:rsidR="00D662BB" w:rsidRPr="00817B9F">
        <w:rPr>
          <w:rFonts w:cs="Times New Roman"/>
        </w:rPr>
        <w:t>(to the extent it differs from the</w:t>
      </w:r>
      <w:r w:rsidRPr="00817B9F">
        <w:rPr>
          <w:rFonts w:cs="Times New Roman"/>
        </w:rPr>
        <w:t xml:space="preserve"> Service </w:t>
      </w:r>
      <w:r w:rsidR="00D662BB" w:rsidRPr="00817B9F">
        <w:rPr>
          <w:rFonts w:cs="Times New Roman"/>
        </w:rPr>
        <w:t>Provider ZIP Code field in the claims data) to determine the location where the service was provided</w:t>
      </w:r>
      <w:r w:rsidRPr="00817B9F">
        <w:rPr>
          <w:rFonts w:cs="Times New Roman"/>
        </w:rPr>
        <w:t>.</w:t>
      </w:r>
    </w:p>
    <w:p w14:paraId="4F1A2F64" w14:textId="534C42C3" w:rsidR="0095770D" w:rsidRPr="00817B9F" w:rsidRDefault="0095770D" w:rsidP="005B0C55">
      <w:pPr>
        <w:pStyle w:val="BulletParagraph"/>
        <w:rPr>
          <w:rFonts w:cs="Times New Roman"/>
        </w:rPr>
      </w:pPr>
      <w:r w:rsidRPr="00817B9F">
        <w:rPr>
          <w:rFonts w:cs="Times New Roman"/>
        </w:rPr>
        <w:t xml:space="preserve">To determine the ownership for the facility, we first identify the </w:t>
      </w:r>
      <w:r w:rsidR="00ED13F0" w:rsidRPr="00817B9F">
        <w:rPr>
          <w:rFonts w:cs="Times New Roman"/>
        </w:rPr>
        <w:t>organization name</w:t>
      </w:r>
      <w:r w:rsidRPr="00817B9F">
        <w:rPr>
          <w:rFonts w:cs="Times New Roman"/>
        </w:rPr>
        <w:t xml:space="preserve"> </w:t>
      </w:r>
      <w:r w:rsidR="00ED13F0" w:rsidRPr="00817B9F">
        <w:rPr>
          <w:rFonts w:cs="Times New Roman"/>
        </w:rPr>
        <w:t>associated with</w:t>
      </w:r>
      <w:r w:rsidRPr="00817B9F">
        <w:rPr>
          <w:rFonts w:cs="Times New Roman"/>
        </w:rPr>
        <w:t xml:space="preserve"> the facility where the service was provided</w:t>
      </w:r>
      <w:r w:rsidR="001B35F9" w:rsidRPr="00817B9F">
        <w:rPr>
          <w:rFonts w:cs="Times New Roman"/>
        </w:rPr>
        <w:t xml:space="preserve"> using</w:t>
      </w:r>
      <w:r w:rsidRPr="00817B9F">
        <w:rPr>
          <w:rFonts w:cs="Times New Roman"/>
        </w:rPr>
        <w:t xml:space="preserve"> the service, rendering, and billing provider NPIs </w:t>
      </w:r>
      <w:r w:rsidR="000D7DAD" w:rsidRPr="00817B9F">
        <w:rPr>
          <w:rFonts w:cs="Times New Roman"/>
        </w:rPr>
        <w:t>recorded in the claims data</w:t>
      </w:r>
      <w:r w:rsidR="001B35F9" w:rsidRPr="00817B9F">
        <w:rPr>
          <w:rStyle w:val="HeaderChar"/>
          <w:rFonts w:cs="Times New Roman"/>
        </w:rPr>
        <w:t>.</w:t>
      </w:r>
      <w:r w:rsidR="001B35F9" w:rsidRPr="00817B9F">
        <w:rPr>
          <w:rStyle w:val="FootnoteReference"/>
          <w:rFonts w:cs="Times New Roman"/>
          <w:vertAlign w:val="baseline"/>
        </w:rPr>
        <w:footnoteReference w:id="42"/>
      </w:r>
      <w:r w:rsidRPr="00817B9F">
        <w:rPr>
          <w:rFonts w:cs="Times New Roman"/>
        </w:rPr>
        <w:t xml:space="preserve"> We then assign each facility </w:t>
      </w:r>
      <w:r w:rsidR="00236A6A" w:rsidRPr="00817B9F">
        <w:rPr>
          <w:rFonts w:cs="Times New Roman"/>
        </w:rPr>
        <w:t>its</w:t>
      </w:r>
      <w:r w:rsidRPr="00817B9F">
        <w:rPr>
          <w:rFonts w:cs="Times New Roman"/>
        </w:rPr>
        <w:t xml:space="preserve"> parent or owner based on online research.</w:t>
      </w:r>
      <w:r w:rsidR="00652909" w:rsidRPr="00817B9F">
        <w:rPr>
          <w:rStyle w:val="FootnoteReference"/>
          <w:rFonts w:cs="Times New Roman"/>
        </w:rPr>
        <w:footnoteReference w:id="43"/>
      </w:r>
    </w:p>
    <w:p w14:paraId="7ABA440B" w14:textId="3FF50F80" w:rsidR="006700C5" w:rsidRPr="00817B9F" w:rsidRDefault="00D7057D" w:rsidP="00311933">
      <w:pPr>
        <w:pStyle w:val="NumberedParagraphs"/>
      </w:pPr>
      <w:r w:rsidRPr="00817B9F">
        <w:t>Finally</w:t>
      </w:r>
      <w:r w:rsidR="00BE3956" w:rsidRPr="00817B9F">
        <w:t>, we limit the</w:t>
      </w:r>
      <w:r w:rsidR="005F6476" w:rsidRPr="00817B9F">
        <w:t xml:space="preserve"> </w:t>
      </w:r>
      <w:r w:rsidR="00BE774D" w:rsidRPr="00817B9F">
        <w:t xml:space="preserve">APCD </w:t>
      </w:r>
      <w:r w:rsidR="00CB4C88" w:rsidRPr="00817B9F">
        <w:t>claims data</w:t>
      </w:r>
      <w:r w:rsidR="00BE774D" w:rsidRPr="00817B9F">
        <w:t xml:space="preserve"> to </w:t>
      </w:r>
      <w:r w:rsidR="00DF369F" w:rsidRPr="00817B9F">
        <w:t xml:space="preserve">patient </w:t>
      </w:r>
      <w:r w:rsidR="00480A5E" w:rsidRPr="00817B9F">
        <w:t xml:space="preserve">care episodes with start dates in </w:t>
      </w:r>
      <w:r w:rsidR="00FE1C79" w:rsidRPr="00817B9F">
        <w:t>2018</w:t>
      </w:r>
      <w:r w:rsidR="004D305D" w:rsidRPr="00817B9F">
        <w:t xml:space="preserve"> </w:t>
      </w:r>
      <w:r w:rsidR="00031F0C" w:rsidRPr="00817B9F">
        <w:t>where care was</w:t>
      </w:r>
      <w:r w:rsidR="004D305D" w:rsidRPr="00817B9F">
        <w:t xml:space="preserve"> provided to </w:t>
      </w:r>
      <w:r w:rsidR="00031F0C" w:rsidRPr="00817B9F">
        <w:t xml:space="preserve">a </w:t>
      </w:r>
      <w:r w:rsidR="0086505B" w:rsidRPr="00817B9F">
        <w:t xml:space="preserve">MassHealth </w:t>
      </w:r>
      <w:r w:rsidR="00C120D4" w:rsidRPr="00817B9F">
        <w:t>beneficiary</w:t>
      </w:r>
      <w:r w:rsidR="00D373D7" w:rsidRPr="00817B9F">
        <w:t xml:space="preserve"> or to a </w:t>
      </w:r>
      <w:r w:rsidR="00031F0C" w:rsidRPr="00817B9F">
        <w:t xml:space="preserve">member of </w:t>
      </w:r>
      <w:r w:rsidR="00237EA2" w:rsidRPr="00817B9F">
        <w:t xml:space="preserve">a </w:t>
      </w:r>
      <w:r w:rsidR="00BE774D" w:rsidRPr="00817B9F">
        <w:t>commercial</w:t>
      </w:r>
      <w:r w:rsidR="005F6476" w:rsidRPr="00817B9F">
        <w:t xml:space="preserve"> </w:t>
      </w:r>
      <w:r w:rsidR="00031F0C" w:rsidRPr="00817B9F">
        <w:t xml:space="preserve">or Medicare </w:t>
      </w:r>
      <w:r w:rsidR="00237EA2" w:rsidRPr="00817B9F">
        <w:t>h</w:t>
      </w:r>
      <w:r w:rsidR="00031F0C" w:rsidRPr="00817B9F">
        <w:t xml:space="preserve">ealth </w:t>
      </w:r>
      <w:r w:rsidR="00237EA2" w:rsidRPr="00817B9F">
        <w:t>p</w:t>
      </w:r>
      <w:r w:rsidR="00031F0C" w:rsidRPr="00817B9F">
        <w:t>lan</w:t>
      </w:r>
      <w:r w:rsidR="00D373D7" w:rsidRPr="00817B9F">
        <w:t>.</w:t>
      </w:r>
      <w:r w:rsidR="00D373D7" w:rsidRPr="00817B9F">
        <w:rPr>
          <w:rStyle w:val="FootnoteReference"/>
        </w:rPr>
        <w:footnoteReference w:id="44"/>
      </w:r>
      <w:r w:rsidR="00DC79B0" w:rsidRPr="00817B9F">
        <w:t xml:space="preserve"> We also </w:t>
      </w:r>
      <w:r w:rsidR="00412025" w:rsidRPr="00817B9F">
        <w:t xml:space="preserve">exclude claims from </w:t>
      </w:r>
      <w:r w:rsidR="00E0188D" w:rsidRPr="00817B9F">
        <w:t xml:space="preserve">out-of-state providers and </w:t>
      </w:r>
      <w:r w:rsidR="00DC79B0" w:rsidRPr="00817B9F">
        <w:t>limit</w:t>
      </w:r>
      <w:r w:rsidR="00867D4C" w:rsidRPr="00817B9F">
        <w:t xml:space="preserve"> to</w:t>
      </w:r>
      <w:r w:rsidR="00DC79B0" w:rsidRPr="00817B9F">
        <w:t xml:space="preserve"> </w:t>
      </w:r>
      <w:r w:rsidR="00E0188D" w:rsidRPr="00817B9F">
        <w:t>patients</w:t>
      </w:r>
      <w:r w:rsidR="00DC79B0" w:rsidRPr="00817B9F">
        <w:t xml:space="preserve"> </w:t>
      </w:r>
      <w:r w:rsidR="0086505B" w:rsidRPr="00817B9F">
        <w:t xml:space="preserve">residing in </w:t>
      </w:r>
      <w:r w:rsidR="0086505B" w:rsidRPr="00817B9F">
        <w:lastRenderedPageBreak/>
        <w:t>one</w:t>
      </w:r>
      <w:r w:rsidR="00031F0C" w:rsidRPr="00817B9F">
        <w:t xml:space="preserve"> </w:t>
      </w:r>
      <w:r w:rsidR="004D305D" w:rsidRPr="00817B9F">
        <w:t xml:space="preserve">of the following Massachusetts counties: </w:t>
      </w:r>
      <w:r w:rsidR="0080583C" w:rsidRPr="00817B9F">
        <w:t xml:space="preserve">Suffolk, Essex, Middlesex, Norfolk, Bristol, Plymouth, and Worcester. </w:t>
      </w:r>
    </w:p>
    <w:p w14:paraId="324A3F50" w14:textId="095B77B9" w:rsidR="009A47D2" w:rsidRPr="00817B9F" w:rsidRDefault="00F21D20" w:rsidP="009A47D2">
      <w:pPr>
        <w:pStyle w:val="NumberedParagraphs"/>
      </w:pPr>
      <w:r w:rsidRPr="00817B9F">
        <w:t>When</w:t>
      </w:r>
      <w:r w:rsidR="00EF4AB3" w:rsidRPr="00817B9F">
        <w:t xml:space="preserve"> analyzing </w:t>
      </w:r>
      <w:r w:rsidRPr="00817B9F">
        <w:t>rel</w:t>
      </w:r>
      <w:r w:rsidR="00A47838" w:rsidRPr="00817B9F">
        <w:t>ative prices, we also remove</w:t>
      </w:r>
      <w:r w:rsidR="000E0BBE" w:rsidRPr="00817B9F">
        <w:t xml:space="preserve"> any claims </w:t>
      </w:r>
      <w:r w:rsidR="00A47838" w:rsidRPr="00817B9F">
        <w:t>from the APCD</w:t>
      </w:r>
      <w:r w:rsidR="000E0BBE" w:rsidRPr="00817B9F">
        <w:t xml:space="preserve"> </w:t>
      </w:r>
      <w:r w:rsidR="00851547" w:rsidRPr="00817B9F">
        <w:t xml:space="preserve">where </w:t>
      </w:r>
      <w:r w:rsidR="00A47838" w:rsidRPr="00817B9F">
        <w:t>the</w:t>
      </w:r>
      <w:r w:rsidR="00851547" w:rsidRPr="00817B9F">
        <w:t xml:space="preserve"> total </w:t>
      </w:r>
      <w:r w:rsidR="00C53C3F" w:rsidRPr="00817B9F">
        <w:t>charge or allowed amount</w:t>
      </w:r>
      <w:r w:rsidR="00851547" w:rsidRPr="00817B9F">
        <w:t xml:space="preserve"> </w:t>
      </w:r>
      <w:r w:rsidR="007216F1" w:rsidRPr="00817B9F">
        <w:t xml:space="preserve">aggregated across claim lines is zero or </w:t>
      </w:r>
      <w:r w:rsidR="00040504" w:rsidRPr="00817B9F">
        <w:t>mis</w:t>
      </w:r>
      <w:r w:rsidR="000B2499" w:rsidRPr="00817B9F">
        <w:t>sing</w:t>
      </w:r>
      <w:r w:rsidR="00C53C3F" w:rsidRPr="00817B9F">
        <w:t>.</w:t>
      </w:r>
      <w:r w:rsidR="008739D6" w:rsidRPr="00817B9F">
        <w:rPr>
          <w:rStyle w:val="FootnoteReference"/>
        </w:rPr>
        <w:footnoteReference w:id="45"/>
      </w:r>
      <w:r w:rsidR="00C53C3F" w:rsidRPr="00817B9F">
        <w:t xml:space="preserve"> Additionally</w:t>
      </w:r>
      <w:r w:rsidR="00A01131" w:rsidRPr="00817B9F">
        <w:t>,</w:t>
      </w:r>
      <w:r w:rsidR="00C53C3F" w:rsidRPr="00817B9F">
        <w:t xml:space="preserve"> we excl</w:t>
      </w:r>
      <w:r w:rsidR="00937086" w:rsidRPr="00817B9F">
        <w:t xml:space="preserve">ude any </w:t>
      </w:r>
      <w:r w:rsidR="00A01131" w:rsidRPr="00817B9F">
        <w:t>claims</w:t>
      </w:r>
      <w:r w:rsidR="000E0BBE" w:rsidRPr="00817B9F">
        <w:t xml:space="preserve"> where the </w:t>
      </w:r>
      <w:r w:rsidR="009A4104" w:rsidRPr="00817B9F">
        <w:t xml:space="preserve">claim-level </w:t>
      </w:r>
      <w:r w:rsidR="000E0BBE" w:rsidRPr="00817B9F">
        <w:t>allowed amount</w:t>
      </w:r>
      <w:r w:rsidR="004739A6" w:rsidRPr="00817B9F">
        <w:t xml:space="preserve"> </w:t>
      </w:r>
      <w:r w:rsidR="00937086" w:rsidRPr="00817B9F">
        <w:t>was</w:t>
      </w:r>
      <w:r w:rsidR="004739A6" w:rsidRPr="00817B9F">
        <w:t xml:space="preserve"> </w:t>
      </w:r>
      <w:r w:rsidR="001D4AB4" w:rsidRPr="00817B9F">
        <w:t>(1)</w:t>
      </w:r>
      <w:r w:rsidR="004739A6" w:rsidRPr="00817B9F">
        <w:t xml:space="preserve"> greater than </w:t>
      </w:r>
      <w:r w:rsidR="009A4104" w:rsidRPr="00817B9F">
        <w:t>claim-level</w:t>
      </w:r>
      <w:r w:rsidR="004739A6" w:rsidRPr="00817B9F">
        <w:t xml:space="preserve"> charges</w:t>
      </w:r>
      <w:r w:rsidR="00937086" w:rsidRPr="00817B9F">
        <w:t xml:space="preserve"> </w:t>
      </w:r>
      <w:r w:rsidR="009A4104" w:rsidRPr="00817B9F">
        <w:t>or (2)</w:t>
      </w:r>
      <w:r w:rsidR="00B91E59" w:rsidRPr="00817B9F">
        <w:t xml:space="preserve"> less than </w:t>
      </w:r>
      <w:r w:rsidR="00B043B4" w:rsidRPr="00817B9F">
        <w:t>ten</w:t>
      </w:r>
      <w:r w:rsidR="00B91E59" w:rsidRPr="00817B9F">
        <w:t xml:space="preserve"> percent of </w:t>
      </w:r>
      <w:r w:rsidR="00322C81" w:rsidRPr="00817B9F">
        <w:t>claim-level charges</w:t>
      </w:r>
      <w:r w:rsidR="00B91E59" w:rsidRPr="00817B9F">
        <w:t>. Finally</w:t>
      </w:r>
      <w:r w:rsidR="00A01131" w:rsidRPr="00817B9F">
        <w:t>,</w:t>
      </w:r>
      <w:r w:rsidR="00B91E59" w:rsidRPr="00817B9F">
        <w:t xml:space="preserve"> we exclude claims with </w:t>
      </w:r>
      <w:r w:rsidR="002D4E24" w:rsidRPr="00817B9F">
        <w:t xml:space="preserve">a non-zero </w:t>
      </w:r>
      <w:r w:rsidR="00B91E59" w:rsidRPr="00817B9F">
        <w:t xml:space="preserve">coordination of benefits </w:t>
      </w:r>
      <w:r w:rsidR="008F19EA" w:rsidRPr="00817B9F">
        <w:t>amount</w:t>
      </w:r>
      <w:r w:rsidR="00F13264" w:rsidRPr="00817B9F">
        <w:t xml:space="preserve"> (</w:t>
      </w:r>
      <w:r w:rsidR="00F13264" w:rsidRPr="00817B9F">
        <w:rPr>
          <w:i/>
          <w:iCs/>
        </w:rPr>
        <w:t>i.e.</w:t>
      </w:r>
      <w:r w:rsidR="00F13264" w:rsidRPr="00817B9F">
        <w:t>, when a secondary payor is involved)</w:t>
      </w:r>
      <w:r w:rsidR="00B91E59" w:rsidRPr="00817B9F">
        <w:t xml:space="preserve">, </w:t>
      </w:r>
      <w:r w:rsidR="009800E6" w:rsidRPr="00817B9F">
        <w:t xml:space="preserve">and </w:t>
      </w:r>
      <w:r w:rsidR="00B91E59" w:rsidRPr="00817B9F">
        <w:t xml:space="preserve">claims </w:t>
      </w:r>
      <w:r w:rsidR="003F2D4C" w:rsidRPr="00817B9F">
        <w:t xml:space="preserve">associated with </w:t>
      </w:r>
      <w:r w:rsidR="001357AA" w:rsidRPr="00817B9F">
        <w:t>cap</w:t>
      </w:r>
      <w:r w:rsidR="004E3A02" w:rsidRPr="00817B9F">
        <w:t>itated</w:t>
      </w:r>
      <w:r w:rsidR="009800E6" w:rsidRPr="00817B9F">
        <w:t>,</w:t>
      </w:r>
      <w:r w:rsidR="00A9360E" w:rsidRPr="00817B9F">
        <w:t xml:space="preserve"> </w:t>
      </w:r>
      <w:r w:rsidR="00CA61A2" w:rsidRPr="00817B9F">
        <w:t xml:space="preserve">global or </w:t>
      </w:r>
      <w:r w:rsidR="00960BD4" w:rsidRPr="00817B9F">
        <w:t>bundled payments</w:t>
      </w:r>
      <w:r w:rsidR="009800E6" w:rsidRPr="00817B9F">
        <w:t>,</w:t>
      </w:r>
      <w:r w:rsidR="00960BD4" w:rsidRPr="00817B9F">
        <w:t xml:space="preserve"> as well as </w:t>
      </w:r>
      <w:r w:rsidR="000B48B3" w:rsidRPr="00817B9F">
        <w:t xml:space="preserve">other </w:t>
      </w:r>
      <w:r w:rsidR="00EC05D8" w:rsidRPr="00817B9F">
        <w:t>paymen</w:t>
      </w:r>
      <w:r w:rsidR="00C77F64" w:rsidRPr="00817B9F">
        <w:t xml:space="preserve">t </w:t>
      </w:r>
      <w:r w:rsidR="00960BD4" w:rsidRPr="00817B9F">
        <w:t>arrangement</w:t>
      </w:r>
      <w:r w:rsidR="00567F8C" w:rsidRPr="00817B9F">
        <w:t>s</w:t>
      </w:r>
      <w:r w:rsidR="00960BD4" w:rsidRPr="00817B9F">
        <w:t>.</w:t>
      </w:r>
      <w:r w:rsidR="00960BD4" w:rsidRPr="00817B9F">
        <w:rPr>
          <w:rStyle w:val="FootnoteReference"/>
        </w:rPr>
        <w:footnoteReference w:id="46"/>
      </w:r>
    </w:p>
    <w:p w14:paraId="14084140" w14:textId="42460389" w:rsidR="00EB7370" w:rsidRPr="00817B9F" w:rsidRDefault="000208C5" w:rsidP="001B6A1C">
      <w:pPr>
        <w:pStyle w:val="Heading3"/>
      </w:pPr>
      <w:bookmarkStart w:id="14" w:name="_Toc90046493"/>
      <w:r w:rsidRPr="00817B9F">
        <w:t>Medicare Claims Data</w:t>
      </w:r>
      <w:bookmarkEnd w:id="14"/>
    </w:p>
    <w:p w14:paraId="13BC64ED" w14:textId="5CF56756" w:rsidR="00125C2A" w:rsidRPr="00817B9F" w:rsidRDefault="00CF3609" w:rsidP="00215351">
      <w:pPr>
        <w:pStyle w:val="NumberedParagraphs"/>
      </w:pPr>
      <w:r w:rsidRPr="00817B9F">
        <w:t xml:space="preserve">While the APCD includes information on </w:t>
      </w:r>
      <w:r w:rsidR="008769E8" w:rsidRPr="00817B9F">
        <w:t>claims</w:t>
      </w:r>
      <w:r w:rsidRPr="00817B9F">
        <w:t xml:space="preserve"> </w:t>
      </w:r>
      <w:r w:rsidR="008769E8" w:rsidRPr="00817B9F">
        <w:t xml:space="preserve">submitted </w:t>
      </w:r>
      <w:r w:rsidRPr="00817B9F">
        <w:t xml:space="preserve">by Medicare </w:t>
      </w:r>
      <w:r w:rsidR="00591F7D" w:rsidRPr="00817B9F">
        <w:t>h</w:t>
      </w:r>
      <w:r w:rsidR="00423F18" w:rsidRPr="00817B9F">
        <w:t>ealth</w:t>
      </w:r>
      <w:r w:rsidRPr="00817B9F">
        <w:t xml:space="preserve"> </w:t>
      </w:r>
      <w:r w:rsidR="00591F7D" w:rsidRPr="00817B9F">
        <w:t>p</w:t>
      </w:r>
      <w:r w:rsidR="0002483F" w:rsidRPr="00817B9F">
        <w:t>lans, it does not include</w:t>
      </w:r>
      <w:r w:rsidR="008769E8" w:rsidRPr="00817B9F">
        <w:t xml:space="preserve"> data on care provided to beneficiaries enrolled in Original Medicare. </w:t>
      </w:r>
      <w:r w:rsidR="00463A41" w:rsidRPr="00817B9F">
        <w:t xml:space="preserve">Unlike Medicare </w:t>
      </w:r>
      <w:r w:rsidR="00591F7D" w:rsidRPr="00817B9F">
        <w:t>h</w:t>
      </w:r>
      <w:r w:rsidR="00EA1880" w:rsidRPr="00817B9F">
        <w:t xml:space="preserve">ealth </w:t>
      </w:r>
      <w:r w:rsidR="00591F7D" w:rsidRPr="00817B9F">
        <w:t>p</w:t>
      </w:r>
      <w:r w:rsidR="00EA1880" w:rsidRPr="00817B9F">
        <w:t>lans</w:t>
      </w:r>
      <w:r w:rsidR="00463A41" w:rsidRPr="00817B9F">
        <w:t xml:space="preserve"> where a beneficiary </w:t>
      </w:r>
      <w:r w:rsidR="00547071" w:rsidRPr="00817B9F">
        <w:t xml:space="preserve">receives Medicare benefits through a </w:t>
      </w:r>
      <w:r w:rsidR="00E56DFE" w:rsidRPr="00817B9F">
        <w:t>health benefits company</w:t>
      </w:r>
      <w:r w:rsidR="000E2641" w:rsidRPr="00817B9F">
        <w:t xml:space="preserve"> </w:t>
      </w:r>
      <w:r w:rsidR="0087152D" w:rsidRPr="00817B9F">
        <w:t>that</w:t>
      </w:r>
      <w:r w:rsidR="000E2641" w:rsidRPr="00817B9F">
        <w:t xml:space="preserve"> in turn reimburses</w:t>
      </w:r>
      <w:r w:rsidR="00824BA2" w:rsidRPr="00817B9F">
        <w:t xml:space="preserve"> </w:t>
      </w:r>
      <w:r w:rsidR="00A61C83" w:rsidRPr="00817B9F">
        <w:t>providers</w:t>
      </w:r>
      <w:r w:rsidR="00824BA2" w:rsidRPr="00817B9F">
        <w:t>,</w:t>
      </w:r>
      <w:r w:rsidR="000E2641" w:rsidRPr="00817B9F">
        <w:t xml:space="preserve"> Original Medicare reimburses providers directly.</w:t>
      </w:r>
      <w:r w:rsidR="0068625F" w:rsidRPr="00817B9F">
        <w:t xml:space="preserve"> </w:t>
      </w:r>
    </w:p>
    <w:p w14:paraId="69664869" w14:textId="42AFE496" w:rsidR="00215351" w:rsidRPr="00817B9F" w:rsidRDefault="00492A68" w:rsidP="00215351">
      <w:pPr>
        <w:pStyle w:val="NumberedParagraphs"/>
      </w:pPr>
      <w:r w:rsidRPr="00817B9F">
        <w:t xml:space="preserve">We rely on </w:t>
      </w:r>
      <w:r w:rsidR="0054710A" w:rsidRPr="00817B9F">
        <w:t>two</w:t>
      </w:r>
      <w:r w:rsidRPr="00817B9F">
        <w:t xml:space="preserve"> </w:t>
      </w:r>
      <w:r w:rsidR="00FF4466" w:rsidRPr="00817B9F">
        <w:t xml:space="preserve">Medicare </w:t>
      </w:r>
      <w:r w:rsidR="00014219" w:rsidRPr="00817B9F">
        <w:t>C</w:t>
      </w:r>
      <w:r w:rsidR="00FF4466" w:rsidRPr="00817B9F">
        <w:t>laim files in our analysis</w:t>
      </w:r>
      <w:r w:rsidR="004A7D21" w:rsidRPr="00817B9F">
        <w:t>:</w:t>
      </w:r>
      <w:r w:rsidR="006E3245" w:rsidRPr="00817B9F">
        <w:rPr>
          <w:rStyle w:val="FootnoteReference"/>
        </w:rPr>
        <w:footnoteReference w:id="47"/>
      </w:r>
      <w:r w:rsidR="00166F18" w:rsidRPr="00817B9F">
        <w:rPr>
          <w:rStyle w:val="FootnoteReference"/>
        </w:rPr>
        <w:t xml:space="preserve"> </w:t>
      </w:r>
    </w:p>
    <w:p w14:paraId="093077A8" w14:textId="25373E72" w:rsidR="00232F94" w:rsidRPr="00817B9F" w:rsidRDefault="000330B6" w:rsidP="005B0C55">
      <w:pPr>
        <w:pStyle w:val="BulletParagraph"/>
        <w:rPr>
          <w:rFonts w:cs="Times New Roman"/>
        </w:rPr>
      </w:pPr>
      <w:r w:rsidRPr="00817B9F">
        <w:rPr>
          <w:rFonts w:cs="Times New Roman"/>
        </w:rPr>
        <w:t xml:space="preserve">The Medicare Outpatient </w:t>
      </w:r>
      <w:r w:rsidR="00B72FC4" w:rsidRPr="00817B9F">
        <w:rPr>
          <w:rFonts w:cs="Times New Roman"/>
        </w:rPr>
        <w:t>File</w:t>
      </w:r>
      <w:r w:rsidRPr="00817B9F">
        <w:rPr>
          <w:rFonts w:cs="Times New Roman"/>
        </w:rPr>
        <w:t xml:space="preserve"> include</w:t>
      </w:r>
      <w:r w:rsidR="008816E4" w:rsidRPr="00817B9F">
        <w:rPr>
          <w:rFonts w:cs="Times New Roman"/>
        </w:rPr>
        <w:t>s</w:t>
      </w:r>
      <w:r w:rsidRPr="00817B9F">
        <w:rPr>
          <w:rFonts w:cs="Times New Roman"/>
        </w:rPr>
        <w:t xml:space="preserve"> facility</w:t>
      </w:r>
      <w:r w:rsidR="00CB182D" w:rsidRPr="00817B9F">
        <w:rPr>
          <w:rFonts w:cs="Times New Roman"/>
        </w:rPr>
        <w:t xml:space="preserve"> claims submitted by institutional outpatient providers</w:t>
      </w:r>
      <w:r w:rsidR="006A5189" w:rsidRPr="00817B9F">
        <w:rPr>
          <w:rFonts w:cs="Times New Roman"/>
        </w:rPr>
        <w:t>, including</w:t>
      </w:r>
      <w:r w:rsidR="00A257EF" w:rsidRPr="00817B9F">
        <w:rPr>
          <w:rFonts w:cs="Times New Roman"/>
        </w:rPr>
        <w:t xml:space="preserve"> hospital outpatient departments, </w:t>
      </w:r>
      <w:r w:rsidR="00245F1D" w:rsidRPr="00817B9F">
        <w:rPr>
          <w:rFonts w:cs="Times New Roman"/>
        </w:rPr>
        <w:t xml:space="preserve">outpatient rehabilitation </w:t>
      </w:r>
      <w:r w:rsidR="00414C89" w:rsidRPr="00817B9F">
        <w:rPr>
          <w:rFonts w:cs="Times New Roman"/>
        </w:rPr>
        <w:t xml:space="preserve">facilities, and renal </w:t>
      </w:r>
      <w:r w:rsidR="004C74C5" w:rsidRPr="00817B9F">
        <w:rPr>
          <w:rFonts w:cs="Times New Roman"/>
        </w:rPr>
        <w:t>dialysis</w:t>
      </w:r>
      <w:r w:rsidR="00414C89" w:rsidRPr="00817B9F">
        <w:rPr>
          <w:rFonts w:cs="Times New Roman"/>
        </w:rPr>
        <w:t xml:space="preserve"> facilities</w:t>
      </w:r>
      <w:r w:rsidR="00245F1D" w:rsidRPr="00817B9F">
        <w:rPr>
          <w:rFonts w:cs="Times New Roman"/>
        </w:rPr>
        <w:t>.</w:t>
      </w:r>
      <w:r w:rsidR="006A363F" w:rsidRPr="00817B9F">
        <w:rPr>
          <w:rStyle w:val="FootnoteReference"/>
          <w:rFonts w:cs="Times New Roman"/>
        </w:rPr>
        <w:footnoteReference w:id="48"/>
      </w:r>
      <w:r w:rsidR="00A8152C" w:rsidRPr="00817B9F">
        <w:rPr>
          <w:rFonts w:cs="Times New Roman"/>
        </w:rPr>
        <w:t xml:space="preserve"> </w:t>
      </w:r>
    </w:p>
    <w:p w14:paraId="25CF8FB6" w14:textId="6F40DAA7" w:rsidR="00450278" w:rsidRPr="00817B9F" w:rsidRDefault="00B72FC4" w:rsidP="005B0C55">
      <w:pPr>
        <w:pStyle w:val="BulletParagraph"/>
        <w:rPr>
          <w:rFonts w:cs="Times New Roman"/>
        </w:rPr>
      </w:pPr>
      <w:r w:rsidRPr="00817B9F">
        <w:rPr>
          <w:rFonts w:cs="Times New Roman"/>
        </w:rPr>
        <w:lastRenderedPageBreak/>
        <w:t xml:space="preserve">The Medicare Carrier File </w:t>
      </w:r>
      <w:r w:rsidR="00095A0D" w:rsidRPr="00817B9F">
        <w:rPr>
          <w:rFonts w:cs="Times New Roman"/>
        </w:rPr>
        <w:t xml:space="preserve">includes claims submitted by professional providers </w:t>
      </w:r>
      <w:r w:rsidR="00381D3E" w:rsidRPr="00817B9F">
        <w:rPr>
          <w:rFonts w:cs="Times New Roman"/>
        </w:rPr>
        <w:t>and certain facility claims</w:t>
      </w:r>
      <w:r w:rsidR="0072079C" w:rsidRPr="00817B9F">
        <w:rPr>
          <w:rFonts w:cs="Times New Roman"/>
        </w:rPr>
        <w:t>.</w:t>
      </w:r>
      <w:r w:rsidR="008B370B" w:rsidRPr="00817B9F">
        <w:rPr>
          <w:rStyle w:val="FootnoteReference"/>
          <w:rFonts w:cs="Times New Roman"/>
        </w:rPr>
        <w:footnoteReference w:id="49"/>
      </w:r>
      <w:r w:rsidR="00381D3E" w:rsidRPr="00817B9F">
        <w:rPr>
          <w:rFonts w:cs="Times New Roman"/>
        </w:rPr>
        <w:t xml:space="preserve"> Professional claims include </w:t>
      </w:r>
      <w:r w:rsidR="0042363B" w:rsidRPr="00817B9F">
        <w:rPr>
          <w:rFonts w:cs="Times New Roman"/>
        </w:rPr>
        <w:t xml:space="preserve">claims submitted by physicians, physician assistants, clinical social workers, and nurse </w:t>
      </w:r>
      <w:r w:rsidR="00F35D92" w:rsidRPr="00817B9F">
        <w:rPr>
          <w:rFonts w:cs="Times New Roman"/>
        </w:rPr>
        <w:t>practitioners</w:t>
      </w:r>
      <w:r w:rsidR="0042363B" w:rsidRPr="00817B9F">
        <w:rPr>
          <w:rFonts w:cs="Times New Roman"/>
        </w:rPr>
        <w:t>.</w:t>
      </w:r>
      <w:r w:rsidR="001253FB" w:rsidRPr="00817B9F">
        <w:rPr>
          <w:rFonts w:cs="Times New Roman"/>
        </w:rPr>
        <w:t xml:space="preserve"> </w:t>
      </w:r>
      <w:r w:rsidR="003B5A98" w:rsidRPr="00817B9F">
        <w:rPr>
          <w:rFonts w:cs="Times New Roman"/>
        </w:rPr>
        <w:t>Among the facility claims included in the Carrier File are claims submitted</w:t>
      </w:r>
      <w:r w:rsidR="0068625F" w:rsidRPr="00817B9F">
        <w:rPr>
          <w:rFonts w:cs="Times New Roman"/>
        </w:rPr>
        <w:t xml:space="preserve"> </w:t>
      </w:r>
      <w:r w:rsidR="003B5A98" w:rsidRPr="00817B9F">
        <w:rPr>
          <w:rFonts w:cs="Times New Roman"/>
        </w:rPr>
        <w:t xml:space="preserve">by </w:t>
      </w:r>
      <w:r w:rsidR="00222066" w:rsidRPr="00817B9F">
        <w:rPr>
          <w:rFonts w:cs="Times New Roman"/>
        </w:rPr>
        <w:t xml:space="preserve">independent clinical laboratories, ambulance providers, freestanding </w:t>
      </w:r>
      <w:r w:rsidR="00C84BC7" w:rsidRPr="00817B9F">
        <w:rPr>
          <w:rFonts w:cs="Times New Roman"/>
        </w:rPr>
        <w:t>ASCs</w:t>
      </w:r>
      <w:r w:rsidR="00222066" w:rsidRPr="00817B9F">
        <w:rPr>
          <w:rFonts w:cs="Times New Roman"/>
        </w:rPr>
        <w:t>, and freestanding radiology centers.</w:t>
      </w:r>
      <w:r w:rsidR="006F74C9" w:rsidRPr="00817B9F">
        <w:rPr>
          <w:rStyle w:val="FootnoteReference"/>
          <w:rFonts w:cs="Times New Roman"/>
        </w:rPr>
        <w:footnoteReference w:id="50"/>
      </w:r>
    </w:p>
    <w:p w14:paraId="5463AE2F" w14:textId="7CEF61C4" w:rsidR="00222893" w:rsidRPr="00817B9F" w:rsidRDefault="007C429B" w:rsidP="007A2549">
      <w:pPr>
        <w:pStyle w:val="NumberedParagraphs"/>
      </w:pPr>
      <w:r w:rsidRPr="00817B9F">
        <w:t xml:space="preserve">Similar to the APCD, </w:t>
      </w:r>
      <w:r w:rsidR="004E7423" w:rsidRPr="00817B9F">
        <w:t xml:space="preserve">the </w:t>
      </w:r>
      <w:r w:rsidR="000832BD" w:rsidRPr="00817B9F">
        <w:t>Me</w:t>
      </w:r>
      <w:r w:rsidR="004A7D21" w:rsidRPr="00817B9F">
        <w:t xml:space="preserve">dicare </w:t>
      </w:r>
      <w:r w:rsidR="00847C2F" w:rsidRPr="00817B9F">
        <w:t>C</w:t>
      </w:r>
      <w:r w:rsidR="004A7D21" w:rsidRPr="00817B9F">
        <w:t xml:space="preserve">laims </w:t>
      </w:r>
      <w:r w:rsidR="001D5593" w:rsidRPr="00817B9F">
        <w:t>data</w:t>
      </w:r>
      <w:r w:rsidR="0079210B" w:rsidRPr="00817B9F">
        <w:t xml:space="preserve"> </w:t>
      </w:r>
      <w:r w:rsidR="00A64BAB" w:rsidRPr="00817B9F">
        <w:t>reflect detailed claim</w:t>
      </w:r>
      <w:r w:rsidR="0081710E" w:rsidRPr="00817B9F">
        <w:t xml:space="preserve"> line</w:t>
      </w:r>
      <w:r w:rsidR="00A64BAB" w:rsidRPr="00817B9F">
        <w:t xml:space="preserve">-level </w:t>
      </w:r>
      <w:r w:rsidR="008F13D3" w:rsidRPr="00817B9F">
        <w:t xml:space="preserve">data </w:t>
      </w:r>
      <w:r w:rsidR="0039184A" w:rsidRPr="00817B9F">
        <w:t xml:space="preserve">with </w:t>
      </w:r>
      <w:r w:rsidR="009C16A7" w:rsidRPr="00817B9F">
        <w:t xml:space="preserve">various </w:t>
      </w:r>
      <w:r w:rsidR="0039184A" w:rsidRPr="00817B9F">
        <w:t>information</w:t>
      </w:r>
      <w:r w:rsidR="009C16A7" w:rsidRPr="00817B9F">
        <w:t>, including</w:t>
      </w:r>
      <w:r w:rsidR="00552748" w:rsidRPr="00817B9F">
        <w:t>:</w:t>
      </w:r>
      <w:r w:rsidR="001C32E3" w:rsidRPr="00817B9F">
        <w:rPr>
          <w:rStyle w:val="FootnoteReference"/>
        </w:rPr>
        <w:footnoteReference w:id="51"/>
      </w:r>
    </w:p>
    <w:p w14:paraId="600C515B" w14:textId="0C1FCAB9" w:rsidR="000F1F2D" w:rsidRPr="00817B9F" w:rsidRDefault="000F1F2D" w:rsidP="005B0C55">
      <w:pPr>
        <w:pStyle w:val="BulletParagraph"/>
        <w:rPr>
          <w:rFonts w:cs="Times New Roman"/>
        </w:rPr>
      </w:pPr>
      <w:r w:rsidRPr="00817B9F">
        <w:rPr>
          <w:rFonts w:cs="Times New Roman"/>
        </w:rPr>
        <w:t>For professional</w:t>
      </w:r>
      <w:r w:rsidR="004E6CB9" w:rsidRPr="00817B9F">
        <w:rPr>
          <w:rFonts w:cs="Times New Roman"/>
        </w:rPr>
        <w:t xml:space="preserve"> claims</w:t>
      </w:r>
      <w:r w:rsidRPr="00817B9F">
        <w:rPr>
          <w:rFonts w:cs="Times New Roman"/>
        </w:rPr>
        <w:t>, the place of service (such as an office or clinic, on-campus or off-campus hospital outpatient department, or hospital emergency room),</w:t>
      </w:r>
      <w:r w:rsidR="002610AA" w:rsidRPr="00817B9F">
        <w:rPr>
          <w:rFonts w:cs="Times New Roman"/>
        </w:rPr>
        <w:t xml:space="preserve"> </w:t>
      </w:r>
      <w:r w:rsidR="00C36DE6" w:rsidRPr="00817B9F">
        <w:rPr>
          <w:rFonts w:cs="Times New Roman"/>
        </w:rPr>
        <w:t>service</w:t>
      </w:r>
      <w:r w:rsidR="00511139" w:rsidRPr="00817B9F">
        <w:rPr>
          <w:rFonts w:cs="Times New Roman"/>
        </w:rPr>
        <w:t xml:space="preserve"> location</w:t>
      </w:r>
      <w:r w:rsidR="00C36DE6" w:rsidRPr="00817B9F">
        <w:rPr>
          <w:rFonts w:cs="Times New Roman"/>
        </w:rPr>
        <w:t>,</w:t>
      </w:r>
      <w:r w:rsidR="00EA689F" w:rsidRPr="00817B9F">
        <w:rPr>
          <w:rFonts w:cs="Times New Roman"/>
        </w:rPr>
        <w:t xml:space="preserve"> </w:t>
      </w:r>
      <w:r w:rsidR="007E6457" w:rsidRPr="00817B9F">
        <w:rPr>
          <w:rFonts w:cs="Times New Roman"/>
        </w:rPr>
        <w:t xml:space="preserve">and NPIs for the </w:t>
      </w:r>
      <w:r w:rsidR="003800BE" w:rsidRPr="00817B9F">
        <w:rPr>
          <w:rFonts w:cs="Times New Roman"/>
        </w:rPr>
        <w:t>performing</w:t>
      </w:r>
      <w:r w:rsidR="00EA689F" w:rsidRPr="00817B9F">
        <w:rPr>
          <w:rFonts w:cs="Times New Roman"/>
        </w:rPr>
        <w:t xml:space="preserve"> </w:t>
      </w:r>
      <w:r w:rsidR="00920B3B" w:rsidRPr="00817B9F">
        <w:rPr>
          <w:rFonts w:cs="Times New Roman"/>
        </w:rPr>
        <w:t>physician</w:t>
      </w:r>
      <w:r w:rsidR="004A614F" w:rsidRPr="00817B9F">
        <w:rPr>
          <w:rFonts w:cs="Times New Roman"/>
        </w:rPr>
        <w:t>,</w:t>
      </w:r>
      <w:r w:rsidR="00C36DE6" w:rsidRPr="00817B9F">
        <w:rPr>
          <w:rFonts w:cs="Times New Roman"/>
        </w:rPr>
        <w:t xml:space="preserve"> </w:t>
      </w:r>
      <w:r w:rsidR="007E6457" w:rsidRPr="00817B9F">
        <w:rPr>
          <w:rFonts w:cs="Times New Roman"/>
        </w:rPr>
        <w:t xml:space="preserve">the </w:t>
      </w:r>
      <w:r w:rsidR="00C36DE6" w:rsidRPr="00817B9F">
        <w:rPr>
          <w:rFonts w:cs="Times New Roman"/>
        </w:rPr>
        <w:t>billing provider</w:t>
      </w:r>
      <w:r w:rsidR="003A1F30" w:rsidRPr="00817B9F">
        <w:rPr>
          <w:rFonts w:cs="Times New Roman"/>
        </w:rPr>
        <w:t>, and</w:t>
      </w:r>
      <w:r w:rsidR="007A428C" w:rsidRPr="00817B9F">
        <w:rPr>
          <w:rFonts w:cs="Times New Roman"/>
        </w:rPr>
        <w:t xml:space="preserve"> the</w:t>
      </w:r>
      <w:r w:rsidR="003A1F30" w:rsidRPr="00817B9F">
        <w:rPr>
          <w:rFonts w:cs="Times New Roman"/>
        </w:rPr>
        <w:t xml:space="preserve"> site of service</w:t>
      </w:r>
      <w:r w:rsidRPr="00817B9F">
        <w:rPr>
          <w:rFonts w:cs="Times New Roman"/>
        </w:rPr>
        <w:t>.</w:t>
      </w:r>
    </w:p>
    <w:p w14:paraId="509EAC69" w14:textId="605E34B7" w:rsidR="00F30EA4" w:rsidRPr="00817B9F" w:rsidRDefault="000F1F2D" w:rsidP="005B0C55">
      <w:pPr>
        <w:pStyle w:val="BulletParagraph"/>
        <w:rPr>
          <w:rFonts w:cs="Times New Roman"/>
        </w:rPr>
      </w:pPr>
      <w:r w:rsidRPr="00817B9F">
        <w:rPr>
          <w:rFonts w:cs="Times New Roman"/>
        </w:rPr>
        <w:t xml:space="preserve">For </w:t>
      </w:r>
      <w:r w:rsidR="005B1C4A" w:rsidRPr="00817B9F">
        <w:rPr>
          <w:rFonts w:cs="Times New Roman"/>
        </w:rPr>
        <w:t xml:space="preserve">outpatient </w:t>
      </w:r>
      <w:r w:rsidR="007E6457" w:rsidRPr="00817B9F">
        <w:rPr>
          <w:rFonts w:cs="Times New Roman"/>
        </w:rPr>
        <w:t>facility claims</w:t>
      </w:r>
      <w:r w:rsidR="005B1C4A" w:rsidRPr="00817B9F">
        <w:rPr>
          <w:rFonts w:cs="Times New Roman"/>
        </w:rPr>
        <w:t>,</w:t>
      </w:r>
      <w:r w:rsidR="00C36DE6" w:rsidRPr="00817B9F">
        <w:rPr>
          <w:rFonts w:cs="Times New Roman"/>
        </w:rPr>
        <w:t xml:space="preserve"> </w:t>
      </w:r>
      <w:r w:rsidR="00511139" w:rsidRPr="00817B9F">
        <w:rPr>
          <w:rFonts w:cs="Times New Roman"/>
        </w:rPr>
        <w:t xml:space="preserve">the </w:t>
      </w:r>
      <w:r w:rsidR="007E6457" w:rsidRPr="00817B9F">
        <w:rPr>
          <w:rFonts w:cs="Times New Roman"/>
        </w:rPr>
        <w:t xml:space="preserve">facility’s </w:t>
      </w:r>
      <w:r w:rsidR="00B253F0" w:rsidRPr="00817B9F">
        <w:rPr>
          <w:rFonts w:cs="Times New Roman"/>
        </w:rPr>
        <w:t xml:space="preserve">Centers for Medicare </w:t>
      </w:r>
      <w:r w:rsidR="00E80824" w:rsidRPr="00817B9F">
        <w:rPr>
          <w:rFonts w:cs="Times New Roman"/>
        </w:rPr>
        <w:t>and</w:t>
      </w:r>
      <w:r w:rsidR="00B253F0" w:rsidRPr="00817B9F">
        <w:rPr>
          <w:rFonts w:cs="Times New Roman"/>
        </w:rPr>
        <w:t xml:space="preserve"> Medicaid Services (“</w:t>
      </w:r>
      <w:r w:rsidR="008B3AE7" w:rsidRPr="00817B9F">
        <w:rPr>
          <w:rFonts w:cs="Times New Roman"/>
        </w:rPr>
        <w:t>CMS</w:t>
      </w:r>
      <w:r w:rsidR="00B253F0" w:rsidRPr="00817B9F">
        <w:rPr>
          <w:rFonts w:cs="Times New Roman"/>
        </w:rPr>
        <w:t>”)</w:t>
      </w:r>
      <w:r w:rsidR="008B3AE7" w:rsidRPr="00817B9F">
        <w:rPr>
          <w:rFonts w:cs="Times New Roman"/>
        </w:rPr>
        <w:t xml:space="preserve"> </w:t>
      </w:r>
      <w:r w:rsidR="00E60823" w:rsidRPr="00817B9F">
        <w:rPr>
          <w:rFonts w:cs="Times New Roman"/>
        </w:rPr>
        <w:t>c</w:t>
      </w:r>
      <w:r w:rsidR="008B3AE7" w:rsidRPr="00817B9F">
        <w:rPr>
          <w:rFonts w:cs="Times New Roman"/>
        </w:rPr>
        <w:t xml:space="preserve">ertification </w:t>
      </w:r>
      <w:r w:rsidR="00E60823" w:rsidRPr="00817B9F">
        <w:rPr>
          <w:rFonts w:cs="Times New Roman"/>
        </w:rPr>
        <w:t>n</w:t>
      </w:r>
      <w:r w:rsidR="008B3AE7" w:rsidRPr="00817B9F">
        <w:rPr>
          <w:rFonts w:cs="Times New Roman"/>
        </w:rPr>
        <w:t>umber</w:t>
      </w:r>
      <w:r w:rsidR="00752912" w:rsidRPr="00817B9F">
        <w:rPr>
          <w:rFonts w:cs="Times New Roman"/>
        </w:rPr>
        <w:t xml:space="preserve"> and </w:t>
      </w:r>
      <w:r w:rsidR="00034DF3" w:rsidRPr="00817B9F">
        <w:rPr>
          <w:rFonts w:cs="Times New Roman"/>
        </w:rPr>
        <w:t>ZIP Code</w:t>
      </w:r>
      <w:r w:rsidR="0029321C" w:rsidRPr="00817B9F">
        <w:rPr>
          <w:rFonts w:cs="Times New Roman"/>
        </w:rPr>
        <w:t>,</w:t>
      </w:r>
      <w:r w:rsidR="00034DF3" w:rsidRPr="00817B9F">
        <w:rPr>
          <w:rFonts w:cs="Times New Roman"/>
        </w:rPr>
        <w:t xml:space="preserve"> </w:t>
      </w:r>
      <w:r w:rsidR="00E1425C" w:rsidRPr="00817B9F">
        <w:rPr>
          <w:rFonts w:cs="Times New Roman"/>
        </w:rPr>
        <w:t>as well as</w:t>
      </w:r>
      <w:r w:rsidR="00034DF3" w:rsidRPr="00817B9F">
        <w:rPr>
          <w:rFonts w:cs="Times New Roman"/>
        </w:rPr>
        <w:t xml:space="preserve"> </w:t>
      </w:r>
      <w:r w:rsidR="000E5FF0" w:rsidRPr="00817B9F">
        <w:rPr>
          <w:rFonts w:cs="Times New Roman"/>
        </w:rPr>
        <w:t>the</w:t>
      </w:r>
      <w:r w:rsidR="00D31C36" w:rsidRPr="00817B9F">
        <w:rPr>
          <w:rFonts w:cs="Times New Roman"/>
        </w:rPr>
        <w:t xml:space="preserve"> organization</w:t>
      </w:r>
      <w:r w:rsidR="00B40B2D" w:rsidRPr="00817B9F">
        <w:rPr>
          <w:rFonts w:cs="Times New Roman"/>
        </w:rPr>
        <w:t>/group practice</w:t>
      </w:r>
      <w:r w:rsidR="00D31C36" w:rsidRPr="00817B9F">
        <w:rPr>
          <w:rFonts w:cs="Times New Roman"/>
        </w:rPr>
        <w:t xml:space="preserve"> and </w:t>
      </w:r>
      <w:r w:rsidR="00752912" w:rsidRPr="00817B9F">
        <w:rPr>
          <w:rFonts w:cs="Times New Roman"/>
        </w:rPr>
        <w:t xml:space="preserve">attending </w:t>
      </w:r>
      <w:r w:rsidR="00B40B2D" w:rsidRPr="00817B9F">
        <w:rPr>
          <w:rFonts w:cs="Times New Roman"/>
        </w:rPr>
        <w:t>physician</w:t>
      </w:r>
      <w:r w:rsidR="00EF5DC2" w:rsidRPr="00817B9F">
        <w:rPr>
          <w:rFonts w:cs="Times New Roman"/>
        </w:rPr>
        <w:t xml:space="preserve"> NPIs</w:t>
      </w:r>
      <w:r w:rsidR="00034DF3" w:rsidRPr="00817B9F">
        <w:rPr>
          <w:rFonts w:cs="Times New Roman"/>
        </w:rPr>
        <w:t>.</w:t>
      </w:r>
    </w:p>
    <w:p w14:paraId="39B2F246" w14:textId="205C8250" w:rsidR="00406728" w:rsidRPr="00817B9F" w:rsidRDefault="00B80916" w:rsidP="005B0C55">
      <w:pPr>
        <w:pStyle w:val="BulletParagraph"/>
        <w:rPr>
          <w:rFonts w:cs="Times New Roman"/>
        </w:rPr>
      </w:pPr>
      <w:r w:rsidRPr="00817B9F">
        <w:rPr>
          <w:rFonts w:cs="Times New Roman"/>
        </w:rPr>
        <w:t>T</w:t>
      </w:r>
      <w:r w:rsidR="0079210B" w:rsidRPr="00817B9F">
        <w:rPr>
          <w:rFonts w:cs="Times New Roman"/>
        </w:rPr>
        <w:t xml:space="preserve">he </w:t>
      </w:r>
      <w:r w:rsidR="00406728" w:rsidRPr="00817B9F">
        <w:rPr>
          <w:rFonts w:cs="Times New Roman"/>
        </w:rPr>
        <w:t>procedure performed (</w:t>
      </w:r>
      <w:r w:rsidR="00406728" w:rsidRPr="00817B9F">
        <w:rPr>
          <w:rFonts w:cs="Times New Roman"/>
          <w:i/>
          <w:iCs/>
        </w:rPr>
        <w:t>e.g.</w:t>
      </w:r>
      <w:r w:rsidR="00406728" w:rsidRPr="00817B9F">
        <w:rPr>
          <w:rFonts w:cs="Times New Roman"/>
        </w:rPr>
        <w:t>, CPT or HCPCS code) and the date of service.</w:t>
      </w:r>
    </w:p>
    <w:p w14:paraId="0765A224" w14:textId="284107B0" w:rsidR="00041B52" w:rsidRPr="00817B9F" w:rsidRDefault="00B80916" w:rsidP="005B0C55">
      <w:pPr>
        <w:pStyle w:val="BulletParagraph"/>
        <w:rPr>
          <w:rFonts w:cs="Times New Roman"/>
        </w:rPr>
      </w:pPr>
      <w:r w:rsidRPr="00817B9F">
        <w:rPr>
          <w:rFonts w:cs="Times New Roman"/>
        </w:rPr>
        <w:t>T</w:t>
      </w:r>
      <w:r w:rsidR="0079210B" w:rsidRPr="00817B9F">
        <w:rPr>
          <w:rFonts w:cs="Times New Roman"/>
        </w:rPr>
        <w:t xml:space="preserve">he </w:t>
      </w:r>
      <w:r w:rsidR="00E1425C" w:rsidRPr="00817B9F">
        <w:rPr>
          <w:rFonts w:cs="Times New Roman"/>
        </w:rPr>
        <w:t>provider’s billed charge</w:t>
      </w:r>
      <w:r w:rsidR="00A87582" w:rsidRPr="00817B9F">
        <w:rPr>
          <w:rFonts w:cs="Times New Roman"/>
        </w:rPr>
        <w:t xml:space="preserve"> for each claim</w:t>
      </w:r>
      <w:r w:rsidR="004761CF" w:rsidRPr="00817B9F">
        <w:rPr>
          <w:rFonts w:cs="Times New Roman"/>
        </w:rPr>
        <w:t>, the amount reimburse</w:t>
      </w:r>
      <w:r w:rsidR="005429B4" w:rsidRPr="00817B9F">
        <w:rPr>
          <w:rFonts w:cs="Times New Roman"/>
        </w:rPr>
        <w:t xml:space="preserve">d by Medicare, and </w:t>
      </w:r>
      <w:r w:rsidR="00A87582" w:rsidRPr="00817B9F">
        <w:rPr>
          <w:rFonts w:cs="Times New Roman"/>
        </w:rPr>
        <w:t>any</w:t>
      </w:r>
      <w:r w:rsidR="005429B4" w:rsidRPr="00817B9F">
        <w:rPr>
          <w:rFonts w:cs="Times New Roman"/>
        </w:rPr>
        <w:t xml:space="preserve"> cost-share </w:t>
      </w:r>
      <w:r w:rsidR="00820751" w:rsidRPr="00817B9F">
        <w:rPr>
          <w:rFonts w:cs="Times New Roman"/>
        </w:rPr>
        <w:t>amounts owed by the beneficiary</w:t>
      </w:r>
      <w:r w:rsidR="00FA0A6B" w:rsidRPr="00817B9F">
        <w:rPr>
          <w:rFonts w:cs="Times New Roman"/>
        </w:rPr>
        <w:t>.</w:t>
      </w:r>
    </w:p>
    <w:p w14:paraId="531F742B" w14:textId="28739EB2" w:rsidR="00FA0A6B" w:rsidRPr="00817B9F" w:rsidRDefault="00FA0A6B" w:rsidP="005B0C55">
      <w:pPr>
        <w:pStyle w:val="BulletParagraph"/>
        <w:rPr>
          <w:rFonts w:cs="Times New Roman"/>
        </w:rPr>
      </w:pPr>
      <w:r w:rsidRPr="00817B9F">
        <w:rPr>
          <w:rFonts w:cs="Times New Roman"/>
        </w:rPr>
        <w:t>Diagnostic information, including primary and secondary diagnosis codes.</w:t>
      </w:r>
    </w:p>
    <w:p w14:paraId="018F3431" w14:textId="3087EB5D" w:rsidR="003F76D2" w:rsidRPr="00817B9F" w:rsidRDefault="003F76D2" w:rsidP="005B0C55">
      <w:pPr>
        <w:pStyle w:val="BulletParagraph"/>
        <w:rPr>
          <w:rFonts w:cs="Times New Roman"/>
        </w:rPr>
      </w:pPr>
      <w:r w:rsidRPr="00817B9F">
        <w:rPr>
          <w:rFonts w:cs="Times New Roman"/>
        </w:rPr>
        <w:t xml:space="preserve">Patient demographics, including </w:t>
      </w:r>
      <w:r w:rsidR="00820751" w:rsidRPr="00817B9F">
        <w:rPr>
          <w:rFonts w:cs="Times New Roman"/>
        </w:rPr>
        <w:t>the patient’s</w:t>
      </w:r>
      <w:r w:rsidRPr="00817B9F">
        <w:rPr>
          <w:rFonts w:cs="Times New Roman"/>
        </w:rPr>
        <w:t xml:space="preserve"> ge</w:t>
      </w:r>
      <w:r w:rsidR="004E7423" w:rsidRPr="00817B9F">
        <w:rPr>
          <w:rFonts w:cs="Times New Roman"/>
        </w:rPr>
        <w:t xml:space="preserve">nder, date of birth, </w:t>
      </w:r>
      <w:r w:rsidR="00EC073E" w:rsidRPr="00817B9F">
        <w:rPr>
          <w:rFonts w:cs="Times New Roman"/>
        </w:rPr>
        <w:t>race</w:t>
      </w:r>
      <w:r w:rsidR="004E7423" w:rsidRPr="00817B9F">
        <w:rPr>
          <w:rFonts w:cs="Times New Roman"/>
        </w:rPr>
        <w:t>, and ZIP Code of residence.</w:t>
      </w:r>
    </w:p>
    <w:p w14:paraId="14602755" w14:textId="14DA0B4B" w:rsidR="00ED3EEC" w:rsidRPr="00817B9F" w:rsidRDefault="00B331E4" w:rsidP="007B0CD0">
      <w:pPr>
        <w:pStyle w:val="NumberedParagraphs"/>
      </w:pPr>
      <w:r w:rsidRPr="00817B9F">
        <w:lastRenderedPageBreak/>
        <w:t xml:space="preserve">We </w:t>
      </w:r>
      <w:r w:rsidR="007E32B4" w:rsidRPr="00817B9F">
        <w:t xml:space="preserve">rely </w:t>
      </w:r>
      <w:r w:rsidR="005F434F" w:rsidRPr="00817B9F">
        <w:t xml:space="preserve">on </w:t>
      </w:r>
      <w:r w:rsidR="008421BF" w:rsidRPr="00817B9F">
        <w:t xml:space="preserve">2018 </w:t>
      </w:r>
      <w:r w:rsidR="005F434F" w:rsidRPr="00817B9F">
        <w:t xml:space="preserve">Medicare </w:t>
      </w:r>
      <w:r w:rsidR="00595232" w:rsidRPr="00817B9F">
        <w:t>Outpatient</w:t>
      </w:r>
      <w:r w:rsidR="00522FC3" w:rsidRPr="00817B9F">
        <w:t xml:space="preserve"> and </w:t>
      </w:r>
      <w:r w:rsidR="00595232" w:rsidRPr="00817B9F">
        <w:t xml:space="preserve">Carrier </w:t>
      </w:r>
      <w:r w:rsidR="0058702C" w:rsidRPr="00817B9F">
        <w:t>F</w:t>
      </w:r>
      <w:r w:rsidR="00595232" w:rsidRPr="00817B9F">
        <w:t>iles</w:t>
      </w:r>
      <w:r w:rsidR="00DD6424" w:rsidRPr="00817B9F">
        <w:t>, in con</w:t>
      </w:r>
      <w:r w:rsidR="005D669F" w:rsidRPr="00817B9F">
        <w:t>junction</w:t>
      </w:r>
      <w:r w:rsidR="00DD6424" w:rsidRPr="00817B9F">
        <w:t xml:space="preserve"> with the APCD,</w:t>
      </w:r>
      <w:r w:rsidR="00522FC3" w:rsidRPr="00817B9F">
        <w:t xml:space="preserve"> </w:t>
      </w:r>
      <w:r w:rsidR="008421BF" w:rsidRPr="00817B9F">
        <w:t xml:space="preserve">to </w:t>
      </w:r>
      <w:r w:rsidR="00DD6424" w:rsidRPr="00817B9F">
        <w:t xml:space="preserve">analyze outpatient utilization. </w:t>
      </w:r>
      <w:r w:rsidR="00DA61EA" w:rsidRPr="00817B9F">
        <w:t>F</w:t>
      </w:r>
      <w:r w:rsidR="007E1867" w:rsidRPr="00817B9F">
        <w:t>ollow</w:t>
      </w:r>
      <w:r w:rsidR="00DA61EA" w:rsidRPr="00817B9F">
        <w:t>ing</w:t>
      </w:r>
      <w:r w:rsidR="007E1867" w:rsidRPr="00817B9F">
        <w:t xml:space="preserve"> a</w:t>
      </w:r>
      <w:r w:rsidR="00DA61EA" w:rsidRPr="00817B9F">
        <w:t>n</w:t>
      </w:r>
      <w:r w:rsidR="007E1867" w:rsidRPr="00817B9F">
        <w:t xml:space="preserve"> </w:t>
      </w:r>
      <w:r w:rsidR="003569E2" w:rsidRPr="00817B9F">
        <w:t xml:space="preserve">approach </w:t>
      </w:r>
      <w:r w:rsidR="00DA61EA" w:rsidRPr="00817B9F">
        <w:t xml:space="preserve">similar </w:t>
      </w:r>
      <w:r w:rsidR="00CE66C5" w:rsidRPr="00817B9F">
        <w:t>to</w:t>
      </w:r>
      <w:r w:rsidR="006D1006" w:rsidRPr="00817B9F">
        <w:t xml:space="preserve"> </w:t>
      </w:r>
      <w:r w:rsidR="00A675C2" w:rsidRPr="00817B9F">
        <w:t>the</w:t>
      </w:r>
      <w:r w:rsidR="006D1006" w:rsidRPr="00817B9F">
        <w:t xml:space="preserve"> APCD</w:t>
      </w:r>
      <w:r w:rsidR="00CB2ADC" w:rsidRPr="00817B9F">
        <w:t>, we</w:t>
      </w:r>
      <w:r w:rsidR="007E1867" w:rsidRPr="00817B9F">
        <w:t xml:space="preserve"> </w:t>
      </w:r>
      <w:r w:rsidR="009D126C" w:rsidRPr="00817B9F">
        <w:t>fi</w:t>
      </w:r>
      <w:r w:rsidR="004D05CD" w:rsidRPr="00817B9F">
        <w:t>rst</w:t>
      </w:r>
      <w:r w:rsidR="006D1006" w:rsidRPr="00817B9F">
        <w:t xml:space="preserve"> </w:t>
      </w:r>
      <w:r w:rsidR="00B20C99" w:rsidRPr="00817B9F">
        <w:t xml:space="preserve">identify the </w:t>
      </w:r>
      <w:r w:rsidR="00C10860" w:rsidRPr="00817B9F">
        <w:t xml:space="preserve">relevant set of outpatient </w:t>
      </w:r>
      <w:r w:rsidR="0059540F" w:rsidRPr="00817B9F">
        <w:t xml:space="preserve">claims based on the </w:t>
      </w:r>
      <w:r w:rsidR="00E81F77" w:rsidRPr="00817B9F">
        <w:t xml:space="preserve">facility type for </w:t>
      </w:r>
      <w:r w:rsidR="001E2BCB" w:rsidRPr="00817B9F">
        <w:t>institutional</w:t>
      </w:r>
      <w:r w:rsidR="00E81F77" w:rsidRPr="00817B9F">
        <w:t xml:space="preserve"> outpatient </w:t>
      </w:r>
      <w:r w:rsidR="001E2BCB" w:rsidRPr="00817B9F">
        <w:t>claims</w:t>
      </w:r>
      <w:r w:rsidR="00DB6B96" w:rsidRPr="00817B9F">
        <w:t xml:space="preserve"> and </w:t>
      </w:r>
      <w:r w:rsidR="001E2BCB" w:rsidRPr="00817B9F">
        <w:t>the place</w:t>
      </w:r>
      <w:r w:rsidR="00B7403D" w:rsidRPr="00817B9F">
        <w:t xml:space="preserve"> </w:t>
      </w:r>
      <w:r w:rsidR="00192D55" w:rsidRPr="00817B9F">
        <w:t xml:space="preserve">of </w:t>
      </w:r>
      <w:r w:rsidR="001E2BCB" w:rsidRPr="00817B9F">
        <w:t>service for professional claims</w:t>
      </w:r>
      <w:r w:rsidR="00192D55" w:rsidRPr="00817B9F">
        <w:t>.</w:t>
      </w:r>
      <w:r w:rsidR="00892DBF" w:rsidRPr="00817B9F">
        <w:t xml:space="preserve"> </w:t>
      </w:r>
    </w:p>
    <w:p w14:paraId="0EAA7E94" w14:textId="2C74B568" w:rsidR="00E35E57" w:rsidRPr="00817B9F" w:rsidRDefault="007B0CD0" w:rsidP="00E35E57">
      <w:pPr>
        <w:pStyle w:val="NumberedParagraphs"/>
      </w:pPr>
      <w:r w:rsidRPr="00817B9F">
        <w:t>For each claim</w:t>
      </w:r>
      <w:r w:rsidR="001A7973" w:rsidRPr="00817B9F">
        <w:t>, we then identify</w:t>
      </w:r>
      <w:r w:rsidRPr="00817B9F">
        <w:t xml:space="preserve"> the </w:t>
      </w:r>
      <w:r w:rsidR="008E4B0E" w:rsidRPr="00817B9F">
        <w:t>ZIP C</w:t>
      </w:r>
      <w:r w:rsidR="000B0A94" w:rsidRPr="00817B9F">
        <w:t xml:space="preserve">ode </w:t>
      </w:r>
      <w:r w:rsidRPr="00817B9F">
        <w:t>where the service was provided</w:t>
      </w:r>
      <w:r w:rsidR="00900408" w:rsidRPr="00817B9F">
        <w:t xml:space="preserve"> and the owner of the facility</w:t>
      </w:r>
      <w:r w:rsidRPr="00817B9F">
        <w:t>.</w:t>
      </w:r>
    </w:p>
    <w:p w14:paraId="447BD6A0" w14:textId="52E72112" w:rsidR="00D57516" w:rsidRPr="00817B9F" w:rsidRDefault="00210717" w:rsidP="003C408C">
      <w:pPr>
        <w:pStyle w:val="BulletParagraph"/>
        <w:rPr>
          <w:rFonts w:cs="Times New Roman"/>
        </w:rPr>
      </w:pPr>
      <w:r w:rsidRPr="00817B9F">
        <w:rPr>
          <w:rFonts w:cs="Times New Roman"/>
        </w:rPr>
        <w:t xml:space="preserve">To identify the ZIP Code where </w:t>
      </w:r>
      <w:r w:rsidR="007724AE" w:rsidRPr="00817B9F">
        <w:rPr>
          <w:rFonts w:cs="Times New Roman"/>
        </w:rPr>
        <w:t xml:space="preserve">the service was </w:t>
      </w:r>
      <w:r w:rsidR="00CA6132" w:rsidRPr="00817B9F">
        <w:rPr>
          <w:rFonts w:cs="Times New Roman"/>
        </w:rPr>
        <w:t>provided,</w:t>
      </w:r>
      <w:r w:rsidRPr="00817B9F">
        <w:rPr>
          <w:rFonts w:cs="Times New Roman"/>
        </w:rPr>
        <w:t xml:space="preserve"> we </w:t>
      </w:r>
      <w:r w:rsidR="003351BF" w:rsidRPr="00817B9F">
        <w:rPr>
          <w:rFonts w:cs="Times New Roman"/>
        </w:rPr>
        <w:t>use the</w:t>
      </w:r>
      <w:r w:rsidR="002A4B7B" w:rsidRPr="00817B9F">
        <w:rPr>
          <w:rFonts w:cs="Times New Roman"/>
        </w:rPr>
        <w:t xml:space="preserve"> </w:t>
      </w:r>
      <w:r w:rsidR="007852AE" w:rsidRPr="00817B9F">
        <w:rPr>
          <w:rFonts w:cs="Times New Roman"/>
          <w:i/>
          <w:iCs/>
        </w:rPr>
        <w:t>C</w:t>
      </w:r>
      <w:r w:rsidR="00B20285" w:rsidRPr="00817B9F">
        <w:rPr>
          <w:rFonts w:cs="Times New Roman"/>
          <w:i/>
          <w:iCs/>
        </w:rPr>
        <w:t xml:space="preserve">laim </w:t>
      </w:r>
      <w:r w:rsidR="007852AE" w:rsidRPr="00817B9F">
        <w:rPr>
          <w:rFonts w:cs="Times New Roman"/>
          <w:i/>
          <w:iCs/>
        </w:rPr>
        <w:t>S</w:t>
      </w:r>
      <w:r w:rsidR="002A4B7B" w:rsidRPr="00817B9F">
        <w:rPr>
          <w:rFonts w:cs="Times New Roman"/>
          <w:i/>
          <w:iCs/>
        </w:rPr>
        <w:t xml:space="preserve">ervice </w:t>
      </w:r>
      <w:r w:rsidR="007852AE" w:rsidRPr="00817B9F">
        <w:rPr>
          <w:rFonts w:cs="Times New Roman"/>
          <w:i/>
          <w:iCs/>
        </w:rPr>
        <w:t>F</w:t>
      </w:r>
      <w:r w:rsidR="002A4B7B" w:rsidRPr="00817B9F">
        <w:rPr>
          <w:rFonts w:cs="Times New Roman"/>
          <w:i/>
          <w:iCs/>
        </w:rPr>
        <w:t>acility ZIP Code</w:t>
      </w:r>
      <w:r w:rsidR="002A4B7B" w:rsidRPr="00817B9F">
        <w:rPr>
          <w:rFonts w:cs="Times New Roman"/>
        </w:rPr>
        <w:t xml:space="preserve"> fie</w:t>
      </w:r>
      <w:r w:rsidR="00B20285" w:rsidRPr="00817B9F">
        <w:rPr>
          <w:rFonts w:cs="Times New Roman"/>
        </w:rPr>
        <w:t>l</w:t>
      </w:r>
      <w:r w:rsidR="002A4B7B" w:rsidRPr="00817B9F">
        <w:rPr>
          <w:rFonts w:cs="Times New Roman"/>
        </w:rPr>
        <w:t xml:space="preserve">d </w:t>
      </w:r>
      <w:r w:rsidR="00031A20" w:rsidRPr="00817B9F">
        <w:rPr>
          <w:rFonts w:cs="Times New Roman"/>
        </w:rPr>
        <w:t xml:space="preserve">in the Medicare </w:t>
      </w:r>
      <w:r w:rsidR="00B02D88" w:rsidRPr="00817B9F">
        <w:rPr>
          <w:rFonts w:cs="Times New Roman"/>
        </w:rPr>
        <w:t>O</w:t>
      </w:r>
      <w:r w:rsidR="00F03385" w:rsidRPr="00817B9F">
        <w:rPr>
          <w:rFonts w:cs="Times New Roman"/>
        </w:rPr>
        <w:t xml:space="preserve">utpatient </w:t>
      </w:r>
      <w:r w:rsidR="00B02D88" w:rsidRPr="00817B9F">
        <w:rPr>
          <w:rFonts w:cs="Times New Roman"/>
        </w:rPr>
        <w:t>File</w:t>
      </w:r>
      <w:r w:rsidR="00F03385" w:rsidRPr="00817B9F">
        <w:rPr>
          <w:rFonts w:cs="Times New Roman"/>
        </w:rPr>
        <w:t xml:space="preserve"> and </w:t>
      </w:r>
      <w:r w:rsidR="007852AE" w:rsidRPr="00817B9F">
        <w:rPr>
          <w:rFonts w:cs="Times New Roman"/>
        </w:rPr>
        <w:t xml:space="preserve">the </w:t>
      </w:r>
      <w:r w:rsidR="007852AE" w:rsidRPr="00817B9F">
        <w:rPr>
          <w:rFonts w:cs="Times New Roman"/>
          <w:i/>
          <w:iCs/>
        </w:rPr>
        <w:t>Line P</w:t>
      </w:r>
      <w:r w:rsidR="004845B6" w:rsidRPr="00817B9F">
        <w:rPr>
          <w:rFonts w:cs="Times New Roman"/>
          <w:i/>
          <w:iCs/>
        </w:rPr>
        <w:t>lace</w:t>
      </w:r>
      <w:r w:rsidR="00F03385" w:rsidRPr="00817B9F">
        <w:rPr>
          <w:rFonts w:cs="Times New Roman"/>
          <w:i/>
          <w:iCs/>
        </w:rPr>
        <w:t xml:space="preserve"> of </w:t>
      </w:r>
      <w:r w:rsidR="007852AE" w:rsidRPr="00817B9F">
        <w:rPr>
          <w:rFonts w:cs="Times New Roman"/>
          <w:i/>
          <w:iCs/>
        </w:rPr>
        <w:t>S</w:t>
      </w:r>
      <w:r w:rsidR="004845B6" w:rsidRPr="00817B9F">
        <w:rPr>
          <w:rFonts w:cs="Times New Roman"/>
          <w:i/>
          <w:iCs/>
        </w:rPr>
        <w:t>ervice ZIP</w:t>
      </w:r>
      <w:r w:rsidR="00F03385" w:rsidRPr="00817B9F">
        <w:rPr>
          <w:rFonts w:cs="Times New Roman"/>
          <w:i/>
        </w:rPr>
        <w:t xml:space="preserve"> </w:t>
      </w:r>
      <w:r w:rsidR="00F03385" w:rsidRPr="00817B9F">
        <w:rPr>
          <w:rFonts w:cs="Times New Roman"/>
          <w:i/>
          <w:iCs/>
        </w:rPr>
        <w:t>Code</w:t>
      </w:r>
      <w:r w:rsidR="00F03385" w:rsidRPr="00817B9F">
        <w:rPr>
          <w:rFonts w:cs="Times New Roman"/>
        </w:rPr>
        <w:t xml:space="preserve"> </w:t>
      </w:r>
      <w:r w:rsidR="004845B6" w:rsidRPr="00817B9F">
        <w:rPr>
          <w:rFonts w:cs="Times New Roman"/>
        </w:rPr>
        <w:t>in</w:t>
      </w:r>
      <w:r w:rsidR="007852AE" w:rsidRPr="00817B9F">
        <w:rPr>
          <w:rFonts w:cs="Times New Roman"/>
        </w:rPr>
        <w:t xml:space="preserve"> </w:t>
      </w:r>
      <w:r w:rsidR="00F03385" w:rsidRPr="00817B9F">
        <w:rPr>
          <w:rFonts w:cs="Times New Roman"/>
        </w:rPr>
        <w:t xml:space="preserve">the </w:t>
      </w:r>
      <w:r w:rsidR="00B02D88" w:rsidRPr="00817B9F">
        <w:rPr>
          <w:rFonts w:cs="Times New Roman"/>
        </w:rPr>
        <w:t xml:space="preserve">Medicare </w:t>
      </w:r>
      <w:r w:rsidR="00F03385" w:rsidRPr="00817B9F">
        <w:rPr>
          <w:rFonts w:cs="Times New Roman"/>
        </w:rPr>
        <w:t xml:space="preserve">Carrier </w:t>
      </w:r>
      <w:r w:rsidR="00B02D88" w:rsidRPr="00817B9F">
        <w:rPr>
          <w:rFonts w:cs="Times New Roman"/>
        </w:rPr>
        <w:t>File</w:t>
      </w:r>
      <w:r w:rsidR="00F03385" w:rsidRPr="00817B9F">
        <w:rPr>
          <w:rFonts w:cs="Times New Roman"/>
        </w:rPr>
        <w:t>.</w:t>
      </w:r>
    </w:p>
    <w:p w14:paraId="2859B671" w14:textId="48E86DCB" w:rsidR="0005093B" w:rsidRPr="00817B9F" w:rsidRDefault="0072350B" w:rsidP="003C408C">
      <w:pPr>
        <w:pStyle w:val="BulletParagraph"/>
        <w:rPr>
          <w:rFonts w:cs="Times New Roman"/>
        </w:rPr>
      </w:pPr>
      <w:r w:rsidRPr="00817B9F">
        <w:rPr>
          <w:rFonts w:cs="Times New Roman"/>
        </w:rPr>
        <w:t>To determine the ownership for the facility</w:t>
      </w:r>
      <w:r w:rsidR="009A6110" w:rsidRPr="00817B9F">
        <w:rPr>
          <w:rFonts w:cs="Times New Roman"/>
        </w:rPr>
        <w:t>, we first</w:t>
      </w:r>
      <w:r w:rsidR="009B3495" w:rsidRPr="00817B9F">
        <w:rPr>
          <w:rFonts w:cs="Times New Roman"/>
        </w:rPr>
        <w:t xml:space="preserve"> identify </w:t>
      </w:r>
      <w:r w:rsidR="00724354" w:rsidRPr="00817B9F">
        <w:rPr>
          <w:rFonts w:cs="Times New Roman"/>
        </w:rPr>
        <w:t xml:space="preserve">the </w:t>
      </w:r>
      <w:r w:rsidR="00DC53B1" w:rsidRPr="00817B9F">
        <w:rPr>
          <w:rFonts w:cs="Times New Roman"/>
        </w:rPr>
        <w:t xml:space="preserve">name of </w:t>
      </w:r>
      <w:r w:rsidR="00681A05" w:rsidRPr="00817B9F">
        <w:rPr>
          <w:rFonts w:cs="Times New Roman"/>
        </w:rPr>
        <w:t xml:space="preserve">the </w:t>
      </w:r>
      <w:r w:rsidR="00DC53B1" w:rsidRPr="00817B9F">
        <w:rPr>
          <w:rFonts w:cs="Times New Roman"/>
        </w:rPr>
        <w:t>facility</w:t>
      </w:r>
      <w:r w:rsidR="009A6110" w:rsidRPr="00817B9F">
        <w:rPr>
          <w:rFonts w:cs="Times New Roman"/>
        </w:rPr>
        <w:t xml:space="preserve"> </w:t>
      </w:r>
      <w:r w:rsidR="003D0440" w:rsidRPr="00817B9F">
        <w:rPr>
          <w:rFonts w:cs="Times New Roman"/>
        </w:rPr>
        <w:t>where the service was provided</w:t>
      </w:r>
      <w:r w:rsidR="005C7B3C" w:rsidRPr="00817B9F">
        <w:rPr>
          <w:rFonts w:cs="Times New Roman"/>
        </w:rPr>
        <w:t>.</w:t>
      </w:r>
      <w:r w:rsidR="00D77E65" w:rsidRPr="00817B9F">
        <w:rPr>
          <w:rFonts w:cs="Times New Roman"/>
        </w:rPr>
        <w:t xml:space="preserve"> </w:t>
      </w:r>
      <w:r w:rsidR="00395CFE" w:rsidRPr="00817B9F">
        <w:rPr>
          <w:rFonts w:cs="Times New Roman"/>
        </w:rPr>
        <w:t>We use</w:t>
      </w:r>
      <w:r w:rsidR="009A6110" w:rsidRPr="00817B9F">
        <w:rPr>
          <w:rFonts w:cs="Times New Roman"/>
        </w:rPr>
        <w:t xml:space="preserve"> </w:t>
      </w:r>
      <w:r w:rsidR="004D2C4E" w:rsidRPr="00817B9F">
        <w:rPr>
          <w:rFonts w:cs="Times New Roman"/>
        </w:rPr>
        <w:t>the</w:t>
      </w:r>
      <w:r w:rsidR="009A6110" w:rsidRPr="00817B9F">
        <w:rPr>
          <w:rFonts w:cs="Times New Roman"/>
        </w:rPr>
        <w:t xml:space="preserve"> </w:t>
      </w:r>
      <w:r w:rsidR="006E598C" w:rsidRPr="00817B9F">
        <w:rPr>
          <w:rFonts w:cs="Times New Roman"/>
        </w:rPr>
        <w:t xml:space="preserve">CMS </w:t>
      </w:r>
      <w:r w:rsidR="00A075CE" w:rsidRPr="00817B9F">
        <w:rPr>
          <w:rFonts w:cs="Times New Roman"/>
        </w:rPr>
        <w:t>certification</w:t>
      </w:r>
      <w:r w:rsidR="00CC3FA3" w:rsidRPr="00817B9F">
        <w:rPr>
          <w:rFonts w:cs="Times New Roman"/>
        </w:rPr>
        <w:t xml:space="preserve"> number</w:t>
      </w:r>
      <w:r w:rsidR="009A6110" w:rsidRPr="00817B9F">
        <w:rPr>
          <w:rFonts w:cs="Times New Roman"/>
        </w:rPr>
        <w:t xml:space="preserve"> in the Medicare Outpatient File</w:t>
      </w:r>
      <w:r w:rsidR="004715B0" w:rsidRPr="00817B9F">
        <w:rPr>
          <w:rStyle w:val="FootnoteReference"/>
          <w:rFonts w:cs="Times New Roman"/>
        </w:rPr>
        <w:footnoteReference w:id="52"/>
      </w:r>
      <w:r w:rsidR="00ED76EB" w:rsidRPr="00817B9F">
        <w:rPr>
          <w:rFonts w:cs="Times New Roman"/>
        </w:rPr>
        <w:t xml:space="preserve"> and</w:t>
      </w:r>
      <w:r w:rsidR="0068625F" w:rsidRPr="00817B9F">
        <w:rPr>
          <w:rFonts w:cs="Times New Roman"/>
        </w:rPr>
        <w:t xml:space="preserve"> </w:t>
      </w:r>
      <w:r w:rsidR="001F153D" w:rsidRPr="00817B9F">
        <w:rPr>
          <w:rFonts w:cs="Times New Roman"/>
        </w:rPr>
        <w:t>the site of service, rendering physician, and billing provider NPIs</w:t>
      </w:r>
      <w:r w:rsidR="007859ED" w:rsidRPr="00817B9F">
        <w:rPr>
          <w:rFonts w:cs="Times New Roman"/>
        </w:rPr>
        <w:t xml:space="preserve"> in the Medicare Carrier File</w:t>
      </w:r>
      <w:r w:rsidR="007859ED" w:rsidRPr="00817B9F">
        <w:rPr>
          <w:rStyle w:val="FootnoteReference"/>
          <w:rFonts w:cs="Times New Roman"/>
        </w:rPr>
        <w:footnoteReference w:id="53"/>
      </w:r>
      <w:r w:rsidR="007859ED" w:rsidRPr="00817B9F">
        <w:rPr>
          <w:rFonts w:cs="Times New Roman"/>
        </w:rPr>
        <w:t xml:space="preserve"> </w:t>
      </w:r>
      <w:r w:rsidR="005C7B3C" w:rsidRPr="00817B9F">
        <w:rPr>
          <w:rFonts w:cs="Times New Roman"/>
        </w:rPr>
        <w:t>to determine</w:t>
      </w:r>
      <w:r w:rsidR="004A1B94" w:rsidRPr="00817B9F">
        <w:rPr>
          <w:rFonts w:cs="Times New Roman"/>
        </w:rPr>
        <w:t xml:space="preserve"> the identity of the providing facility</w:t>
      </w:r>
      <w:r w:rsidR="005C7B3C" w:rsidRPr="00817B9F">
        <w:rPr>
          <w:rFonts w:cs="Times New Roman"/>
        </w:rPr>
        <w:t xml:space="preserve">. We then </w:t>
      </w:r>
      <w:r w:rsidR="000B5923" w:rsidRPr="00817B9F">
        <w:rPr>
          <w:rFonts w:cs="Times New Roman"/>
        </w:rPr>
        <w:t>assign</w:t>
      </w:r>
      <w:r w:rsidR="005C7B3C" w:rsidRPr="00817B9F">
        <w:rPr>
          <w:rFonts w:cs="Times New Roman"/>
        </w:rPr>
        <w:t xml:space="preserve"> each facility </w:t>
      </w:r>
      <w:r w:rsidR="00236A6A" w:rsidRPr="00817B9F">
        <w:rPr>
          <w:rFonts w:cs="Times New Roman"/>
        </w:rPr>
        <w:t>its</w:t>
      </w:r>
      <w:r w:rsidR="005C7B3C" w:rsidRPr="00817B9F">
        <w:rPr>
          <w:rFonts w:cs="Times New Roman"/>
        </w:rPr>
        <w:t xml:space="preserve"> parent or owner</w:t>
      </w:r>
      <w:r w:rsidR="000B5923" w:rsidRPr="00817B9F">
        <w:rPr>
          <w:rFonts w:cs="Times New Roman"/>
        </w:rPr>
        <w:t xml:space="preserve"> based on </w:t>
      </w:r>
      <w:r w:rsidR="004C0D86" w:rsidRPr="00817B9F">
        <w:rPr>
          <w:rFonts w:cs="Times New Roman"/>
        </w:rPr>
        <w:t>online</w:t>
      </w:r>
      <w:r w:rsidR="000B5923" w:rsidRPr="00817B9F">
        <w:rPr>
          <w:rFonts w:cs="Times New Roman"/>
        </w:rPr>
        <w:t xml:space="preserve"> research</w:t>
      </w:r>
      <w:r w:rsidR="005C7B3C" w:rsidRPr="00817B9F">
        <w:rPr>
          <w:rFonts w:cs="Times New Roman"/>
        </w:rPr>
        <w:t>.</w:t>
      </w:r>
      <w:r w:rsidR="00CF5FA2" w:rsidRPr="00817B9F">
        <w:rPr>
          <w:rStyle w:val="FootnoteReference"/>
          <w:rFonts w:cs="Times New Roman"/>
        </w:rPr>
        <w:footnoteReference w:id="54"/>
      </w:r>
    </w:p>
    <w:p w14:paraId="7C03116B" w14:textId="4AD43961" w:rsidR="000C3E44" w:rsidRPr="00817B9F" w:rsidRDefault="000C3E44" w:rsidP="000C3E44">
      <w:pPr>
        <w:pStyle w:val="NumberedParagraphs"/>
      </w:pPr>
      <w:r w:rsidRPr="00817B9F">
        <w:t>Finally, we limit to claims for patients residing in Massachusetts and who received care in the following Massachusetts counties: Suffolk, Essex, Middlesex, Norfolk, Bristol, Plymouth, and Worcester.</w:t>
      </w:r>
    </w:p>
    <w:p w14:paraId="45B95E26" w14:textId="5F97D8D4" w:rsidR="00352CAE" w:rsidRPr="00817B9F" w:rsidRDefault="000208C5" w:rsidP="001B6A1C">
      <w:pPr>
        <w:pStyle w:val="Heading3"/>
      </w:pPr>
      <w:bookmarkStart w:id="16" w:name="_Ref88218080"/>
      <w:bookmarkStart w:id="17" w:name="_Toc90046494"/>
      <w:r w:rsidRPr="00817B9F">
        <w:lastRenderedPageBreak/>
        <w:t xml:space="preserve">CHIA Inpatient Relative Price </w:t>
      </w:r>
      <w:r w:rsidR="00A504DD" w:rsidRPr="00817B9F">
        <w:t>Data</w:t>
      </w:r>
      <w:bookmarkEnd w:id="16"/>
      <w:bookmarkEnd w:id="17"/>
    </w:p>
    <w:p w14:paraId="6C4642BF" w14:textId="3A0A2DE4" w:rsidR="00842476" w:rsidRPr="00817B9F" w:rsidRDefault="00590DC6" w:rsidP="00E15229">
      <w:pPr>
        <w:pStyle w:val="NumberedParagraphs"/>
      </w:pPr>
      <w:r w:rsidRPr="00817B9F">
        <w:t xml:space="preserve">CHIA </w:t>
      </w:r>
      <w:r w:rsidR="00842476" w:rsidRPr="00817B9F">
        <w:t>publishes an</w:t>
      </w:r>
      <w:r w:rsidR="00683199" w:rsidRPr="00817B9F">
        <w:t xml:space="preserve"> </w:t>
      </w:r>
      <w:r w:rsidR="00842476" w:rsidRPr="00817B9F">
        <w:t>ann</w:t>
      </w:r>
      <w:r w:rsidR="00683199" w:rsidRPr="00817B9F">
        <w:t>u</w:t>
      </w:r>
      <w:r w:rsidR="00842476" w:rsidRPr="00817B9F">
        <w:t>al analysis</w:t>
      </w:r>
      <w:r w:rsidR="00683199" w:rsidRPr="00817B9F">
        <w:t xml:space="preserve"> of relative prices</w:t>
      </w:r>
      <w:r w:rsidR="00380A8F" w:rsidRPr="00817B9F">
        <w:t xml:space="preserve"> </w:t>
      </w:r>
      <w:r w:rsidR="00CC4876" w:rsidRPr="00817B9F">
        <w:t>i</w:t>
      </w:r>
      <w:r w:rsidR="005A6AA5" w:rsidRPr="00817B9F">
        <w:t xml:space="preserve">ntended to </w:t>
      </w:r>
      <w:r w:rsidR="00B85DAA" w:rsidRPr="00817B9F">
        <w:t xml:space="preserve">evaluate </w:t>
      </w:r>
      <w:r w:rsidR="00380A8F" w:rsidRPr="00817B9F">
        <w:t xml:space="preserve">variation </w:t>
      </w:r>
      <w:r w:rsidR="00B57317" w:rsidRPr="00817B9F">
        <w:t xml:space="preserve">in </w:t>
      </w:r>
      <w:r w:rsidR="00CA7744" w:rsidRPr="00817B9F">
        <w:t>reimbursement</w:t>
      </w:r>
      <w:r w:rsidR="006072B1" w:rsidRPr="00817B9F">
        <w:t xml:space="preserve"> across providers after controlling for </w:t>
      </w:r>
      <w:r w:rsidR="005B48F6" w:rsidRPr="00817B9F">
        <w:t>patient acuity</w:t>
      </w:r>
      <w:r w:rsidR="0056655A" w:rsidRPr="00817B9F">
        <w:t>, service mix</w:t>
      </w:r>
      <w:r w:rsidR="00B57317" w:rsidRPr="00817B9F">
        <w:t xml:space="preserve">, </w:t>
      </w:r>
      <w:r w:rsidR="005F304C" w:rsidRPr="00817B9F">
        <w:t>and health plan product differences.</w:t>
      </w:r>
      <w:r w:rsidR="007C60E4" w:rsidRPr="00817B9F">
        <w:rPr>
          <w:rStyle w:val="FootnoteReference"/>
        </w:rPr>
        <w:footnoteReference w:id="55"/>
      </w:r>
      <w:r w:rsidR="005F304C" w:rsidRPr="00817B9F">
        <w:t xml:space="preserve"> </w:t>
      </w:r>
      <w:r w:rsidR="00BE1339" w:rsidRPr="00817B9F">
        <w:t xml:space="preserve">To perform this analysis, CHIA collects </w:t>
      </w:r>
      <w:r w:rsidR="00901817" w:rsidRPr="00817B9F">
        <w:t>information</w:t>
      </w:r>
      <w:r w:rsidR="00EA2026" w:rsidRPr="00817B9F">
        <w:t xml:space="preserve"> regarding payments to in-network providers </w:t>
      </w:r>
      <w:r w:rsidR="00BE1339" w:rsidRPr="00817B9F">
        <w:t xml:space="preserve">from </w:t>
      </w:r>
      <w:r w:rsidR="00507677" w:rsidRPr="00817B9F">
        <w:t>commercial health plans</w:t>
      </w:r>
      <w:r w:rsidR="002B1C91" w:rsidRPr="00817B9F">
        <w:t xml:space="preserve"> and </w:t>
      </w:r>
      <w:r w:rsidR="00507677" w:rsidRPr="00817B9F">
        <w:t xml:space="preserve">Medicare </w:t>
      </w:r>
      <w:r w:rsidR="00CE5D9B" w:rsidRPr="00817B9F">
        <w:t xml:space="preserve">health </w:t>
      </w:r>
      <w:r w:rsidR="00507677" w:rsidRPr="00817B9F">
        <w:t>plans</w:t>
      </w:r>
      <w:r w:rsidR="002B1C91" w:rsidRPr="00817B9F">
        <w:t xml:space="preserve"> in the state as well as</w:t>
      </w:r>
      <w:r w:rsidR="00507677" w:rsidRPr="00817B9F">
        <w:t xml:space="preserve"> </w:t>
      </w:r>
      <w:r w:rsidR="00F16AA4" w:rsidRPr="00817B9F">
        <w:t xml:space="preserve">MassHealth </w:t>
      </w:r>
      <w:r w:rsidR="00D271B0" w:rsidRPr="00817B9F">
        <w:t>m</w:t>
      </w:r>
      <w:r w:rsidR="00F16AA4" w:rsidRPr="00817B9F">
        <w:t xml:space="preserve">anaged </w:t>
      </w:r>
      <w:r w:rsidR="00D271B0" w:rsidRPr="00817B9F">
        <w:t>c</w:t>
      </w:r>
      <w:r w:rsidR="00F16AA4" w:rsidRPr="00817B9F">
        <w:t>are programs.</w:t>
      </w:r>
      <w:r w:rsidR="007E7C84" w:rsidRPr="00817B9F">
        <w:rPr>
          <w:rStyle w:val="FootnoteReference"/>
        </w:rPr>
        <w:footnoteReference w:id="56"/>
      </w:r>
      <w:r w:rsidR="00912D6C" w:rsidRPr="00817B9F">
        <w:t xml:space="preserve"> </w:t>
      </w:r>
    </w:p>
    <w:p w14:paraId="7D45F06D" w14:textId="6C3298C9" w:rsidR="007A76C7" w:rsidRPr="00817B9F" w:rsidRDefault="00C90304" w:rsidP="00E15229">
      <w:pPr>
        <w:pStyle w:val="NumberedParagraphs"/>
      </w:pPr>
      <w:r w:rsidRPr="00817B9F">
        <w:t xml:space="preserve">To calculate relative </w:t>
      </w:r>
      <w:r w:rsidR="00367F2D" w:rsidRPr="00817B9F">
        <w:t xml:space="preserve">inpatient </w:t>
      </w:r>
      <w:r w:rsidRPr="00817B9F">
        <w:t xml:space="preserve">prices paid to </w:t>
      </w:r>
      <w:r w:rsidR="00367F2D" w:rsidRPr="00817B9F">
        <w:t>hospitals, CHIA collects data from payors on the number</w:t>
      </w:r>
      <w:r w:rsidR="00056870" w:rsidRPr="00817B9F">
        <w:t xml:space="preserve"> of inpatient</w:t>
      </w:r>
      <w:r w:rsidR="00367F2D" w:rsidRPr="00817B9F">
        <w:t xml:space="preserve"> discharges</w:t>
      </w:r>
      <w:r w:rsidR="00056870" w:rsidRPr="00817B9F">
        <w:t xml:space="preserve">, total claims payments, total non-claims payments (such as </w:t>
      </w:r>
      <w:r w:rsidR="00902609" w:rsidRPr="00817B9F">
        <w:t>bonuses for financial performance or</w:t>
      </w:r>
      <w:r w:rsidR="00D117D8" w:rsidRPr="00817B9F">
        <w:t xml:space="preserve"> for meeting quality scores</w:t>
      </w:r>
      <w:r w:rsidR="005B6048" w:rsidRPr="00817B9F">
        <w:t>), and ca</w:t>
      </w:r>
      <w:r w:rsidR="00A84035" w:rsidRPr="00817B9F">
        <w:t>se mix index</w:t>
      </w:r>
      <w:r w:rsidR="00CB4EFB" w:rsidRPr="00817B9F">
        <w:t xml:space="preserve"> separately </w:t>
      </w:r>
      <w:r w:rsidR="005E4106" w:rsidRPr="00817B9F">
        <w:t xml:space="preserve">by hospital, </w:t>
      </w:r>
      <w:r w:rsidR="00DF0AEC" w:rsidRPr="00817B9F">
        <w:t>insurance category (</w:t>
      </w:r>
      <w:r w:rsidR="00DF0AEC" w:rsidRPr="00817B9F">
        <w:rPr>
          <w:i/>
          <w:iCs/>
        </w:rPr>
        <w:t>e.g.</w:t>
      </w:r>
      <w:r w:rsidR="00DF0AEC" w:rsidRPr="00817B9F">
        <w:t>, commercial</w:t>
      </w:r>
      <w:r w:rsidR="00B61AE1" w:rsidRPr="00817B9F">
        <w:t xml:space="preserve">, Medicare </w:t>
      </w:r>
      <w:r w:rsidR="00CE5D9B" w:rsidRPr="00817B9F">
        <w:t>health plan</w:t>
      </w:r>
      <w:r w:rsidR="00073F82" w:rsidRPr="00817B9F">
        <w:t>, or</w:t>
      </w:r>
      <w:r w:rsidR="00B61AE1" w:rsidRPr="00817B9F">
        <w:t xml:space="preserve"> </w:t>
      </w:r>
      <w:r w:rsidR="00CE5D9B" w:rsidRPr="00817B9F">
        <w:t>MassHealth</w:t>
      </w:r>
      <w:r w:rsidR="006C1B91" w:rsidRPr="00817B9F">
        <w:t xml:space="preserve"> managed care</w:t>
      </w:r>
      <w:r w:rsidR="00B61AE1" w:rsidRPr="00817B9F">
        <w:t>),</w:t>
      </w:r>
      <w:r w:rsidR="00B44319" w:rsidRPr="00817B9F">
        <w:t xml:space="preserve"> and product type (</w:t>
      </w:r>
      <w:r w:rsidR="00B44319" w:rsidRPr="00817B9F">
        <w:rPr>
          <w:i/>
          <w:iCs/>
        </w:rPr>
        <w:t xml:space="preserve">e.g., </w:t>
      </w:r>
      <w:r w:rsidR="00B44319" w:rsidRPr="00817B9F">
        <w:t>P</w:t>
      </w:r>
      <w:r w:rsidR="00430F1D" w:rsidRPr="00817B9F">
        <w:t xml:space="preserve">referred </w:t>
      </w:r>
      <w:r w:rsidR="00B44319" w:rsidRPr="00817B9F">
        <w:t>P</w:t>
      </w:r>
      <w:r w:rsidR="00430F1D" w:rsidRPr="00817B9F">
        <w:t xml:space="preserve">rovider </w:t>
      </w:r>
      <w:r w:rsidR="00B44319" w:rsidRPr="00817B9F">
        <w:t>O</w:t>
      </w:r>
      <w:r w:rsidR="00430F1D" w:rsidRPr="00817B9F">
        <w:t>rganization</w:t>
      </w:r>
      <w:r w:rsidR="00073F82" w:rsidRPr="00817B9F">
        <w:t xml:space="preserve"> or H</w:t>
      </w:r>
      <w:r w:rsidR="00430F1D" w:rsidRPr="00817B9F">
        <w:t xml:space="preserve">ealth </w:t>
      </w:r>
      <w:r w:rsidR="00073F82" w:rsidRPr="00817B9F">
        <w:t>M</w:t>
      </w:r>
      <w:r w:rsidR="00430F1D" w:rsidRPr="00817B9F">
        <w:t xml:space="preserve">aintenance </w:t>
      </w:r>
      <w:r w:rsidR="00073F82" w:rsidRPr="00817B9F">
        <w:t>O</w:t>
      </w:r>
      <w:r w:rsidR="00430F1D" w:rsidRPr="00817B9F">
        <w:t>rganization</w:t>
      </w:r>
      <w:r w:rsidR="00073F82" w:rsidRPr="00817B9F">
        <w:t>/P</w:t>
      </w:r>
      <w:r w:rsidR="00430F1D" w:rsidRPr="00817B9F">
        <w:t>oint</w:t>
      </w:r>
      <w:r w:rsidR="00BE6809" w:rsidRPr="00817B9F">
        <w:t xml:space="preserve"> </w:t>
      </w:r>
      <w:r w:rsidR="00430F1D" w:rsidRPr="00817B9F">
        <w:t>of</w:t>
      </w:r>
      <w:r w:rsidR="00BE6809" w:rsidRPr="00817B9F">
        <w:t xml:space="preserve"> </w:t>
      </w:r>
      <w:r w:rsidR="00430F1D" w:rsidRPr="00817B9F">
        <w:t>Service plans</w:t>
      </w:r>
      <w:r w:rsidR="00073F82" w:rsidRPr="00817B9F">
        <w:t>)</w:t>
      </w:r>
      <w:r w:rsidR="00FA0B70" w:rsidRPr="00817B9F">
        <w:t>.</w:t>
      </w:r>
      <w:r w:rsidR="000E7DBD" w:rsidRPr="00817B9F">
        <w:rPr>
          <w:rStyle w:val="FootnoteReference"/>
        </w:rPr>
        <w:footnoteReference w:id="57"/>
      </w:r>
      <w:r w:rsidR="00FA0B70" w:rsidRPr="00817B9F">
        <w:rPr>
          <w:vertAlign w:val="superscript"/>
        </w:rPr>
        <w:t xml:space="preserve"> </w:t>
      </w:r>
    </w:p>
    <w:p w14:paraId="6A630DF0" w14:textId="77D490B9" w:rsidR="00C90304" w:rsidRPr="00817B9F" w:rsidRDefault="008D6300" w:rsidP="00E15229">
      <w:pPr>
        <w:pStyle w:val="NumberedParagraphs"/>
      </w:pPr>
      <w:r w:rsidRPr="00817B9F">
        <w:t xml:space="preserve">Separately by </w:t>
      </w:r>
      <w:r w:rsidR="00FC078F" w:rsidRPr="00817B9F">
        <w:t>payor</w:t>
      </w:r>
      <w:r w:rsidR="00D959CE" w:rsidRPr="00817B9F">
        <w:t xml:space="preserve">, </w:t>
      </w:r>
      <w:r w:rsidR="0002436B" w:rsidRPr="00817B9F">
        <w:t>insurance category, and product type, CHIA calculate</w:t>
      </w:r>
      <w:r w:rsidR="00444F53" w:rsidRPr="00817B9F">
        <w:t>s</w:t>
      </w:r>
      <w:r w:rsidR="0002436B" w:rsidRPr="00817B9F">
        <w:t xml:space="preserve"> an “adjusted base rate” for each hospital as the </w:t>
      </w:r>
      <w:r w:rsidR="0023318F" w:rsidRPr="00817B9F">
        <w:t>sum of total payments to the hospital (both claims payment</w:t>
      </w:r>
      <w:r w:rsidR="001A2C2C" w:rsidRPr="00817B9F">
        <w:t>s</w:t>
      </w:r>
      <w:r w:rsidR="0023318F" w:rsidRPr="00817B9F">
        <w:t xml:space="preserve"> and non-claims payments) divided by the product of </w:t>
      </w:r>
      <w:r w:rsidR="005E3AE7" w:rsidRPr="00817B9F">
        <w:t xml:space="preserve">the </w:t>
      </w:r>
      <w:r w:rsidR="007A76C7" w:rsidRPr="00817B9F">
        <w:t>number of discharges and the case mix index.</w:t>
      </w:r>
      <w:r w:rsidR="005E3AE7" w:rsidRPr="00817B9F">
        <w:rPr>
          <w:rStyle w:val="FootnoteReference"/>
        </w:rPr>
        <w:footnoteReference w:id="58"/>
      </w:r>
      <w:r w:rsidR="00B35C85" w:rsidRPr="00817B9F">
        <w:t xml:space="preserve"> </w:t>
      </w:r>
      <w:r w:rsidR="00861B28" w:rsidRPr="00817B9F">
        <w:t>The average of th</w:t>
      </w:r>
      <w:r w:rsidR="00761839" w:rsidRPr="00817B9F">
        <w:t xml:space="preserve">ese </w:t>
      </w:r>
      <w:r w:rsidR="004C2A98" w:rsidRPr="00817B9F">
        <w:t xml:space="preserve">adjusted base rates is then calculated across all hospitals within the same </w:t>
      </w:r>
      <w:r w:rsidR="00906216" w:rsidRPr="00817B9F">
        <w:t>payor/insurance</w:t>
      </w:r>
      <w:r w:rsidR="00AB1D66" w:rsidRPr="00817B9F">
        <w:t xml:space="preserve"> category/product type combination,</w:t>
      </w:r>
      <w:r w:rsidR="00B37E7A" w:rsidRPr="00817B9F">
        <w:t xml:space="preserve"> with </w:t>
      </w:r>
      <w:r w:rsidR="00FB291C" w:rsidRPr="00817B9F">
        <w:t xml:space="preserve">the relative </w:t>
      </w:r>
      <w:r w:rsidR="003C1D14" w:rsidRPr="00817B9F">
        <w:t xml:space="preserve">price </w:t>
      </w:r>
      <w:r w:rsidR="00FB291C" w:rsidRPr="00817B9F">
        <w:t xml:space="preserve">for each </w:t>
      </w:r>
      <w:r w:rsidR="00424345" w:rsidRPr="00817B9F">
        <w:t>hospital within</w:t>
      </w:r>
      <w:r w:rsidR="003C1D14" w:rsidRPr="00817B9F">
        <w:t xml:space="preserve"> </w:t>
      </w:r>
      <w:r w:rsidR="00424345" w:rsidRPr="00817B9F">
        <w:t>each combination calculated as the adjusted base rate divided by this average.</w:t>
      </w:r>
      <w:r w:rsidR="00593AB5" w:rsidRPr="00817B9F">
        <w:rPr>
          <w:rStyle w:val="FootnoteReference"/>
        </w:rPr>
        <w:footnoteReference w:id="59"/>
      </w:r>
    </w:p>
    <w:p w14:paraId="119937E6" w14:textId="235B4F85" w:rsidR="00B71E02" w:rsidRPr="00817B9F" w:rsidRDefault="00B71E02" w:rsidP="00B71E02">
      <w:pPr>
        <w:pStyle w:val="NumberedParagraphs"/>
      </w:pPr>
      <w:r w:rsidRPr="00817B9F">
        <w:lastRenderedPageBreak/>
        <w:t>The relative price measures published by CHIA can therefore be thought of as measuring relative differences in reimbursement across hospitals within the same health plan network.</w:t>
      </w:r>
      <w:r w:rsidRPr="00817B9F">
        <w:rPr>
          <w:rStyle w:val="FootnoteReference"/>
        </w:rPr>
        <w:footnoteReference w:id="60"/>
      </w:r>
      <w:r w:rsidRPr="00817B9F">
        <w:t xml:space="preserve"> For example, the CHIA Relative Price report for 2018 shows that among inpatient hospital claims submitted by members of its commercial health plans, Blue Cross Blue Shield of Massachusetts</w:t>
      </w:r>
      <w:r w:rsidR="00416807" w:rsidRPr="00817B9F">
        <w:t>’s</w:t>
      </w:r>
      <w:r w:rsidRPr="00817B9F">
        <w:t xml:space="preserve"> (“BCBS-MA”) </w:t>
      </w:r>
      <w:r w:rsidR="005E45A4" w:rsidRPr="00817B9F">
        <w:t>MGH</w:t>
      </w:r>
      <w:r w:rsidRPr="00817B9F">
        <w:t xml:space="preserve"> relative price was 1.</w:t>
      </w:r>
      <w:r w:rsidR="008B4AEF" w:rsidRPr="00817B9F">
        <w:t>36</w:t>
      </w:r>
      <w:r w:rsidRPr="00817B9F">
        <w:t xml:space="preserve">. In other words, </w:t>
      </w:r>
      <w:r w:rsidR="00B2355D" w:rsidRPr="00817B9F">
        <w:t>MGH</w:t>
      </w:r>
      <w:r w:rsidRPr="00817B9F">
        <w:t xml:space="preserve"> received reimbursements that </w:t>
      </w:r>
      <w:r w:rsidR="00752E8C" w:rsidRPr="00817B9F">
        <w:t>on average were</w:t>
      </w:r>
      <w:r w:rsidRPr="00817B9F">
        <w:t xml:space="preserve"> </w:t>
      </w:r>
      <w:r w:rsidR="008B4AEF" w:rsidRPr="00817B9F">
        <w:t>36</w:t>
      </w:r>
      <w:r w:rsidRPr="00817B9F">
        <w:t xml:space="preserve"> percent higher than BCBS-MA’s average case mix adjusted reimbursement for inpatient hospital care provided to commercial health plan members. </w:t>
      </w:r>
      <w:r w:rsidR="007F50F1" w:rsidRPr="00817B9F">
        <w:t xml:space="preserve">The relative price for Brigham and Women’s </w:t>
      </w:r>
      <w:r w:rsidR="008C6F71" w:rsidRPr="00817B9F">
        <w:t>Faulkner</w:t>
      </w:r>
      <w:r w:rsidR="007F50F1" w:rsidRPr="00817B9F">
        <w:t xml:space="preserve"> Hospital was</w:t>
      </w:r>
      <w:r w:rsidR="00734D50" w:rsidRPr="00817B9F">
        <w:t xml:space="preserve"> </w:t>
      </w:r>
      <w:r w:rsidR="007F50F1" w:rsidRPr="00817B9F">
        <w:t>1.</w:t>
      </w:r>
      <w:r w:rsidR="003157E2" w:rsidRPr="00817B9F">
        <w:t>08</w:t>
      </w:r>
      <w:r w:rsidR="007F50F1" w:rsidRPr="00817B9F">
        <w:t xml:space="preserve"> for the same network. Using these two relative prices, BCBS-MA’s payments to B</w:t>
      </w:r>
      <w:r w:rsidR="0012205B" w:rsidRPr="00817B9F">
        <w:t>righam and Women’s Faulkner Hospital</w:t>
      </w:r>
      <w:r w:rsidR="007F50F1" w:rsidRPr="00817B9F">
        <w:t xml:space="preserve"> were</w:t>
      </w:r>
      <w:r w:rsidR="00734D50" w:rsidRPr="00817B9F">
        <w:t>, on average,</w:t>
      </w:r>
      <w:r w:rsidR="007F50F1" w:rsidRPr="00817B9F">
        <w:t xml:space="preserve"> 21 percent less than its payments to </w:t>
      </w:r>
      <w:r w:rsidR="003157E2" w:rsidRPr="00817B9F">
        <w:t>MG</w:t>
      </w:r>
      <w:r w:rsidR="00734D50" w:rsidRPr="00817B9F">
        <w:t>H</w:t>
      </w:r>
      <w:r w:rsidR="007F50F1" w:rsidRPr="00817B9F">
        <w:t xml:space="preserve"> for inpatient care provided to members of its commercial health plans (</w:t>
      </w:r>
      <w:r w:rsidR="007F50F1" w:rsidRPr="00817B9F">
        <w:rPr>
          <w:i/>
          <w:iCs/>
        </w:rPr>
        <w:t xml:space="preserve">i.e., </w:t>
      </w:r>
      <w:r w:rsidR="007F50F1" w:rsidRPr="00817B9F">
        <w:t>1.08 is 21 percent less than 1.36).</w:t>
      </w:r>
    </w:p>
    <w:p w14:paraId="3BCF3463" w14:textId="64B456F3" w:rsidR="00DE75A7" w:rsidRPr="00817B9F" w:rsidRDefault="009A6399" w:rsidP="00E15229">
      <w:pPr>
        <w:pStyle w:val="NumberedParagraphs"/>
      </w:pPr>
      <w:r w:rsidRPr="00817B9F">
        <w:t xml:space="preserve">CHIA’s </w:t>
      </w:r>
      <w:r w:rsidR="00246775" w:rsidRPr="00817B9F">
        <w:t xml:space="preserve">relative price </w:t>
      </w:r>
      <w:r w:rsidR="00105DC1" w:rsidRPr="00817B9F">
        <w:t>information</w:t>
      </w:r>
      <w:r w:rsidR="00246775" w:rsidRPr="00817B9F">
        <w:t xml:space="preserve"> does not </w:t>
      </w:r>
      <w:r w:rsidR="00105DC1" w:rsidRPr="00817B9F">
        <w:t xml:space="preserve">contain the </w:t>
      </w:r>
      <w:r w:rsidR="00BF7B53" w:rsidRPr="00817B9F">
        <w:t xml:space="preserve">actual </w:t>
      </w:r>
      <w:r w:rsidR="00105DC1" w:rsidRPr="00817B9F">
        <w:t>amounts</w:t>
      </w:r>
      <w:r w:rsidR="00BF7B53" w:rsidRPr="00817B9F">
        <w:t xml:space="preserve"> that payors reimburse</w:t>
      </w:r>
      <w:r w:rsidR="005269E2" w:rsidRPr="00817B9F">
        <w:t xml:space="preserve"> hospitals for providing inpatient care. However, </w:t>
      </w:r>
      <w:r w:rsidR="00A0394D" w:rsidRPr="00817B9F">
        <w:t>the relative prices calculated by CHIA</w:t>
      </w:r>
      <w:r w:rsidR="00105DC1" w:rsidRPr="00817B9F">
        <w:t xml:space="preserve"> </w:t>
      </w:r>
      <w:r w:rsidR="005D2097" w:rsidRPr="00817B9F">
        <w:t xml:space="preserve">are </w:t>
      </w:r>
      <w:r w:rsidR="005B799E" w:rsidRPr="00817B9F">
        <w:t>sufficient to measure</w:t>
      </w:r>
      <w:r w:rsidR="00CE24E8" w:rsidRPr="00817B9F">
        <w:t xml:space="preserve"> the percentage impact</w:t>
      </w:r>
      <w:r w:rsidR="009526ED" w:rsidRPr="00817B9F">
        <w:t xml:space="preserve"> that s</w:t>
      </w:r>
      <w:r w:rsidR="005022E4" w:rsidRPr="00817B9F">
        <w:t>hifts in health</w:t>
      </w:r>
      <w:r w:rsidR="00A46E38" w:rsidRPr="00817B9F">
        <w:t xml:space="preserve"> </w:t>
      </w:r>
      <w:r w:rsidR="005022E4" w:rsidRPr="00817B9F">
        <w:t xml:space="preserve">care utilization </w:t>
      </w:r>
      <w:r w:rsidR="003D2A9F" w:rsidRPr="00817B9F">
        <w:t xml:space="preserve">would </w:t>
      </w:r>
      <w:r w:rsidR="0003438E" w:rsidRPr="00817B9F">
        <w:t xml:space="preserve">have on a particular payor’s inpatient spending. </w:t>
      </w:r>
      <w:r w:rsidR="0002656F" w:rsidRPr="00817B9F">
        <w:t>For example,</w:t>
      </w:r>
      <w:r w:rsidR="00F06D53" w:rsidRPr="00817B9F">
        <w:t xml:space="preserve"> suppose </w:t>
      </w:r>
      <w:r w:rsidR="00C4264A" w:rsidRPr="00817B9F">
        <w:t>that</w:t>
      </w:r>
      <w:r w:rsidR="00F06D53" w:rsidRPr="00817B9F">
        <w:t xml:space="preserve"> 100 </w:t>
      </w:r>
      <w:r w:rsidR="00761668" w:rsidRPr="00817B9F">
        <w:t xml:space="preserve">members of </w:t>
      </w:r>
      <w:r w:rsidR="00F06D53" w:rsidRPr="00817B9F">
        <w:t>BCBS</w:t>
      </w:r>
      <w:r w:rsidR="00E423A9" w:rsidRPr="00817B9F">
        <w:t>-</w:t>
      </w:r>
      <w:r w:rsidR="00F06D53" w:rsidRPr="00817B9F">
        <w:t>MA</w:t>
      </w:r>
      <w:r w:rsidR="00761668" w:rsidRPr="00817B9F">
        <w:t>’s commercial health plans</w:t>
      </w:r>
      <w:r w:rsidR="00D03D6D" w:rsidRPr="00817B9F">
        <w:t xml:space="preserve"> are admitted to </w:t>
      </w:r>
      <w:r w:rsidR="0065306E" w:rsidRPr="00817B9F">
        <w:t>MGH</w:t>
      </w:r>
      <w:r w:rsidR="00942FD4" w:rsidRPr="00817B9F">
        <w:t xml:space="preserve"> </w:t>
      </w:r>
      <w:r w:rsidR="00DD4DA6" w:rsidRPr="00817B9F">
        <w:t>each year</w:t>
      </w:r>
      <w:r w:rsidR="00706289" w:rsidRPr="00817B9F">
        <w:t xml:space="preserve"> and </w:t>
      </w:r>
      <w:r w:rsidR="002971A8" w:rsidRPr="00817B9F">
        <w:t>that</w:t>
      </w:r>
      <w:r w:rsidR="00942FD4" w:rsidRPr="00817B9F">
        <w:t xml:space="preserve"> </w:t>
      </w:r>
      <w:r w:rsidR="005077E1" w:rsidRPr="00817B9F">
        <w:t>ten</w:t>
      </w:r>
      <w:r w:rsidR="00942FD4" w:rsidRPr="00817B9F">
        <w:t xml:space="preserve"> of these </w:t>
      </w:r>
      <w:r w:rsidR="002971A8" w:rsidRPr="00817B9F">
        <w:t xml:space="preserve">100 </w:t>
      </w:r>
      <w:r w:rsidR="00942FD4" w:rsidRPr="00817B9F">
        <w:t xml:space="preserve">patients </w:t>
      </w:r>
      <w:r w:rsidR="002971A8" w:rsidRPr="00817B9F">
        <w:t>are instead</w:t>
      </w:r>
      <w:r w:rsidR="00942FD4" w:rsidRPr="00817B9F">
        <w:t xml:space="preserve"> admitted to </w:t>
      </w:r>
      <w:r w:rsidR="003D53D3" w:rsidRPr="00817B9F">
        <w:t>Brigham and Women’s Faulkner Hospital</w:t>
      </w:r>
      <w:r w:rsidR="00942FD4" w:rsidRPr="00817B9F">
        <w:t xml:space="preserve">. </w:t>
      </w:r>
      <w:r w:rsidR="00586381" w:rsidRPr="00817B9F">
        <w:t>Because</w:t>
      </w:r>
      <w:r w:rsidR="00C57389" w:rsidRPr="00817B9F">
        <w:t xml:space="preserve"> </w:t>
      </w:r>
      <w:r w:rsidR="002C147E" w:rsidRPr="00817B9F">
        <w:t>BCBS</w:t>
      </w:r>
      <w:r w:rsidR="00E423A9" w:rsidRPr="00817B9F">
        <w:t>-</w:t>
      </w:r>
      <w:r w:rsidR="002C147E" w:rsidRPr="00817B9F">
        <w:t xml:space="preserve">MA </w:t>
      </w:r>
      <w:r w:rsidR="003D7F01" w:rsidRPr="00817B9F">
        <w:t>reimburses</w:t>
      </w:r>
      <w:r w:rsidR="002C147E" w:rsidRPr="00817B9F">
        <w:t xml:space="preserve"> </w:t>
      </w:r>
      <w:r w:rsidR="003D53D3" w:rsidRPr="00817B9F">
        <w:t>Brigham and Women’s Faulkner Hospital</w:t>
      </w:r>
      <w:r w:rsidR="00C57389" w:rsidRPr="00817B9F">
        <w:t xml:space="preserve"> </w:t>
      </w:r>
      <w:r w:rsidR="003D7F01" w:rsidRPr="00817B9F">
        <w:t>21</w:t>
      </w:r>
      <w:r w:rsidR="002C147E" w:rsidRPr="00817B9F">
        <w:t xml:space="preserve"> percent less than </w:t>
      </w:r>
      <w:r w:rsidR="00731AC6" w:rsidRPr="00817B9F">
        <w:t>it</w:t>
      </w:r>
      <w:r w:rsidR="002C147E" w:rsidRPr="00817B9F">
        <w:t xml:space="preserve"> do</w:t>
      </w:r>
      <w:r w:rsidR="00731AC6" w:rsidRPr="00817B9F">
        <w:t>es</w:t>
      </w:r>
      <w:r w:rsidR="002C147E" w:rsidRPr="00817B9F">
        <w:t xml:space="preserve"> </w:t>
      </w:r>
      <w:r w:rsidR="009818D9" w:rsidRPr="00817B9F">
        <w:t>MG</w:t>
      </w:r>
      <w:r w:rsidR="0096640F" w:rsidRPr="00817B9F">
        <w:t>H</w:t>
      </w:r>
      <w:r w:rsidR="002C147E" w:rsidRPr="00817B9F">
        <w:t xml:space="preserve">, this </w:t>
      </w:r>
      <w:r w:rsidR="00437387" w:rsidRPr="00817B9F">
        <w:t xml:space="preserve">substitution from </w:t>
      </w:r>
      <w:r w:rsidR="0086446D" w:rsidRPr="00817B9F">
        <w:t>MGH</w:t>
      </w:r>
      <w:r w:rsidR="00277AFA" w:rsidRPr="00817B9F">
        <w:t xml:space="preserve"> </w:t>
      </w:r>
      <w:r w:rsidR="00E12DA0" w:rsidRPr="00817B9F">
        <w:t xml:space="preserve">to </w:t>
      </w:r>
      <w:r w:rsidR="003D53D3" w:rsidRPr="00817B9F">
        <w:t>Brigham and Women’s Faulkner Hospital</w:t>
      </w:r>
      <w:r w:rsidR="00D700E2" w:rsidRPr="00817B9F">
        <w:t xml:space="preserve"> </w:t>
      </w:r>
      <w:r w:rsidR="00530577" w:rsidRPr="00817B9F">
        <w:t>w</w:t>
      </w:r>
      <w:r w:rsidR="00277AFA" w:rsidRPr="00817B9F">
        <w:t>ould</w:t>
      </w:r>
      <w:r w:rsidR="00530577" w:rsidRPr="00817B9F">
        <w:t xml:space="preserve"> reduce BCBS</w:t>
      </w:r>
      <w:r w:rsidR="00E423A9" w:rsidRPr="00817B9F">
        <w:t>-</w:t>
      </w:r>
      <w:r w:rsidR="00530577" w:rsidRPr="00817B9F">
        <w:t xml:space="preserve">MA’s expected spending on the 100 enrollees in question by approximately </w:t>
      </w:r>
      <w:r w:rsidR="00DE54B6" w:rsidRPr="00817B9F">
        <w:t>2</w:t>
      </w:r>
      <w:r w:rsidR="00F50345" w:rsidRPr="00817B9F">
        <w:t>.</w:t>
      </w:r>
      <w:r w:rsidR="00DE54B6" w:rsidRPr="00817B9F">
        <w:t>1</w:t>
      </w:r>
      <w:r w:rsidR="00530577" w:rsidRPr="00817B9F">
        <w:t xml:space="preserve"> percent.</w:t>
      </w:r>
      <w:r w:rsidR="00E26F28" w:rsidRPr="00817B9F">
        <w:rPr>
          <w:rStyle w:val="FootnoteReference"/>
        </w:rPr>
        <w:footnoteReference w:id="61"/>
      </w:r>
      <w:r w:rsidR="00580E3D" w:rsidRPr="00817B9F">
        <w:t xml:space="preserve"> </w:t>
      </w:r>
      <w:r w:rsidR="0069561C" w:rsidRPr="00817B9F">
        <w:t xml:space="preserve">While this calculation is hypothetical, </w:t>
      </w:r>
      <w:r w:rsidR="00937B23" w:rsidRPr="00817B9F">
        <w:t xml:space="preserve">we implement </w:t>
      </w:r>
      <w:r w:rsidR="00572ECF" w:rsidRPr="00817B9F">
        <w:t xml:space="preserve">similar calculations </w:t>
      </w:r>
      <w:r w:rsidR="00ED3BEF" w:rsidRPr="00817B9F">
        <w:t xml:space="preserve">discussed </w:t>
      </w:r>
      <w:r w:rsidR="00E9135F" w:rsidRPr="00817B9F">
        <w:t xml:space="preserve">later in this </w:t>
      </w:r>
      <w:r w:rsidR="00586381" w:rsidRPr="00817B9F">
        <w:t>ICA</w:t>
      </w:r>
      <w:r w:rsidR="009B3266" w:rsidRPr="00817B9F">
        <w:t xml:space="preserve"> to quantify the effect of the proposed project on</w:t>
      </w:r>
      <w:r w:rsidR="00937B23" w:rsidRPr="00817B9F">
        <w:t xml:space="preserve"> </w:t>
      </w:r>
      <w:r w:rsidR="00E26F28" w:rsidRPr="00817B9F">
        <w:t xml:space="preserve">inpatient spending. </w:t>
      </w:r>
    </w:p>
    <w:p w14:paraId="2998D81F" w14:textId="46ECD055" w:rsidR="00F37D52" w:rsidRPr="00817B9F" w:rsidRDefault="00DF3E20" w:rsidP="00E15229">
      <w:pPr>
        <w:pStyle w:val="NumberedParagraphs"/>
      </w:pPr>
      <w:r w:rsidRPr="00817B9F">
        <w:lastRenderedPageBreak/>
        <w:t>To utilize the CHIA relative price data</w:t>
      </w:r>
      <w:r w:rsidR="003B3E48" w:rsidRPr="00817B9F">
        <w:t xml:space="preserve">, we </w:t>
      </w:r>
      <w:r w:rsidR="0086080D" w:rsidRPr="00817B9F">
        <w:t>combined</w:t>
      </w:r>
      <w:r w:rsidR="002D2559" w:rsidRPr="00817B9F">
        <w:t xml:space="preserve"> </w:t>
      </w:r>
      <w:r w:rsidR="0086080D" w:rsidRPr="00817B9F">
        <w:t>relative price information</w:t>
      </w:r>
      <w:r w:rsidR="002D2559" w:rsidRPr="00817B9F">
        <w:t xml:space="preserve"> for </w:t>
      </w:r>
      <w:r w:rsidR="009C21D9" w:rsidRPr="00817B9F">
        <w:t>2018</w:t>
      </w:r>
      <w:r w:rsidR="0086080D" w:rsidRPr="00817B9F">
        <w:t xml:space="preserve"> </w:t>
      </w:r>
      <w:r w:rsidR="00540367" w:rsidRPr="00817B9F">
        <w:t xml:space="preserve">with </w:t>
      </w:r>
      <w:r w:rsidR="000554CD" w:rsidRPr="00817B9F">
        <w:t xml:space="preserve">records from </w:t>
      </w:r>
      <w:r w:rsidR="003B3E48" w:rsidRPr="00817B9F">
        <w:t xml:space="preserve">the </w:t>
      </w:r>
      <w:r w:rsidR="0012117E" w:rsidRPr="00817B9F">
        <w:t>Hospital Inpatient Discharge Data</w:t>
      </w:r>
      <w:r w:rsidR="00DE302A" w:rsidRPr="00817B9F">
        <w:t>base</w:t>
      </w:r>
      <w:r w:rsidR="00F740CF" w:rsidRPr="00817B9F">
        <w:t xml:space="preserve"> by</w:t>
      </w:r>
      <w:r w:rsidR="00B609CC" w:rsidRPr="00817B9F">
        <w:t xml:space="preserve"> </w:t>
      </w:r>
      <w:r w:rsidR="00F1458E" w:rsidRPr="00817B9F">
        <w:t>payor</w:t>
      </w:r>
      <w:r w:rsidR="000F6E24" w:rsidRPr="00817B9F">
        <w:t>, insurance type, and hospital.</w:t>
      </w:r>
      <w:r w:rsidR="00285E69" w:rsidRPr="00817B9F">
        <w:rPr>
          <w:rStyle w:val="FootnoteReference"/>
        </w:rPr>
        <w:footnoteReference w:id="62"/>
      </w:r>
      <w:r w:rsidR="005561E7" w:rsidRPr="00817B9F">
        <w:rPr>
          <w:vertAlign w:val="superscript"/>
        </w:rPr>
        <w:t>,</w:t>
      </w:r>
      <w:r w:rsidR="00072C92" w:rsidRPr="00817B9F">
        <w:rPr>
          <w:vertAlign w:val="superscript"/>
        </w:rPr>
        <w:t xml:space="preserve"> </w:t>
      </w:r>
      <w:r w:rsidR="004F3EE6" w:rsidRPr="00817B9F">
        <w:rPr>
          <w:rStyle w:val="FootnoteReference"/>
        </w:rPr>
        <w:footnoteReference w:id="63"/>
      </w:r>
      <w:r w:rsidR="00E45C34" w:rsidRPr="00817B9F">
        <w:t xml:space="preserve"> </w:t>
      </w:r>
      <w:r w:rsidR="00F37D52" w:rsidRPr="00817B9F">
        <w:t xml:space="preserve">We identified a corresponding relative price entry for </w:t>
      </w:r>
      <w:r w:rsidR="00985231" w:rsidRPr="00817B9F">
        <w:t xml:space="preserve">approximately </w:t>
      </w:r>
      <w:r w:rsidR="00F37D52" w:rsidRPr="00817B9F">
        <w:t xml:space="preserve">58 percent of the commercial discharges contained in the </w:t>
      </w:r>
      <w:r w:rsidR="00383556" w:rsidRPr="00817B9F">
        <w:t>Hospital I</w:t>
      </w:r>
      <w:r w:rsidR="00F37D52" w:rsidRPr="00817B9F">
        <w:t xml:space="preserve">npatient </w:t>
      </w:r>
      <w:r w:rsidR="00383556" w:rsidRPr="00817B9F">
        <w:t>D</w:t>
      </w:r>
      <w:r w:rsidR="00F37D52" w:rsidRPr="00817B9F">
        <w:t xml:space="preserve">ischarge </w:t>
      </w:r>
      <w:r w:rsidR="00383556" w:rsidRPr="00817B9F">
        <w:t>D</w:t>
      </w:r>
      <w:r w:rsidR="00F37D52" w:rsidRPr="00817B9F">
        <w:t>atabase</w:t>
      </w:r>
      <w:r w:rsidR="00B04F24" w:rsidRPr="00817B9F">
        <w:t xml:space="preserve"> (after implementing the aforementioned exclusions to the data)</w:t>
      </w:r>
      <w:r w:rsidR="009413FE" w:rsidRPr="00817B9F">
        <w:t>.</w:t>
      </w:r>
      <w:r w:rsidR="009413FE" w:rsidRPr="00817B9F">
        <w:rPr>
          <w:rStyle w:val="FootnoteReference"/>
        </w:rPr>
        <w:footnoteReference w:id="64"/>
      </w:r>
    </w:p>
    <w:p w14:paraId="17F1DF04" w14:textId="48802E14" w:rsidR="00DD3D6F" w:rsidRPr="00817B9F" w:rsidRDefault="00D106A0" w:rsidP="00E15229">
      <w:pPr>
        <w:pStyle w:val="NumberedParagraphs"/>
      </w:pPr>
      <w:r w:rsidRPr="00817B9F">
        <w:t>We use</w:t>
      </w:r>
      <w:r w:rsidR="009124C0" w:rsidRPr="00817B9F">
        <w:t xml:space="preserve"> </w:t>
      </w:r>
      <w:r w:rsidR="00E15229" w:rsidRPr="00817B9F">
        <w:t>th</w:t>
      </w:r>
      <w:r w:rsidR="00357EA2" w:rsidRPr="00817B9F">
        <w:t>ese relative prices</w:t>
      </w:r>
      <w:r w:rsidR="00E15229" w:rsidRPr="00817B9F">
        <w:t xml:space="preserve"> </w:t>
      </w:r>
      <w:r w:rsidR="00071157" w:rsidRPr="00817B9F">
        <w:t>and the Hospital Inpatient Discharge Database</w:t>
      </w:r>
      <w:r w:rsidR="00E15229" w:rsidRPr="00817B9F">
        <w:t xml:space="preserve"> when determining the </w:t>
      </w:r>
      <w:r w:rsidR="00930E37" w:rsidRPr="00817B9F">
        <w:t xml:space="preserve">net </w:t>
      </w:r>
      <w:r w:rsidR="003B0841" w:rsidRPr="00817B9F">
        <w:t xml:space="preserve">effect on </w:t>
      </w:r>
      <w:r w:rsidR="009167E7" w:rsidRPr="00817B9F">
        <w:t>health care expenditures</w:t>
      </w:r>
      <w:r w:rsidR="00930E37" w:rsidRPr="00817B9F">
        <w:t xml:space="preserve"> from</w:t>
      </w:r>
      <w:r w:rsidR="00E15229" w:rsidRPr="00817B9F">
        <w:t xml:space="preserve"> </w:t>
      </w:r>
      <w:r w:rsidR="00535345" w:rsidRPr="00817B9F">
        <w:t xml:space="preserve">shifting </w:t>
      </w:r>
      <w:r w:rsidR="005A66ED" w:rsidRPr="00817B9F">
        <w:t>inpatient</w:t>
      </w:r>
      <w:r w:rsidR="004F279B" w:rsidRPr="00817B9F">
        <w:t>s</w:t>
      </w:r>
      <w:r w:rsidR="00880C61" w:rsidRPr="00817B9F">
        <w:t xml:space="preserve"> </w:t>
      </w:r>
      <w:r w:rsidR="007D2F5D" w:rsidRPr="00817B9F">
        <w:t>(</w:t>
      </w:r>
      <w:r w:rsidR="00E52827" w:rsidRPr="00817B9F">
        <w:rPr>
          <w:i/>
          <w:iCs/>
        </w:rPr>
        <w:t>i.e.</w:t>
      </w:r>
      <w:r w:rsidR="00E52827" w:rsidRPr="00817B9F">
        <w:t xml:space="preserve">, inpatient </w:t>
      </w:r>
      <w:r w:rsidR="00025046" w:rsidRPr="00817B9F">
        <w:t xml:space="preserve">discharge </w:t>
      </w:r>
      <w:r w:rsidR="00E52827" w:rsidRPr="00817B9F">
        <w:t xml:space="preserve">volume) </w:t>
      </w:r>
      <w:r w:rsidR="00880C61" w:rsidRPr="00817B9F">
        <w:t xml:space="preserve">between </w:t>
      </w:r>
      <w:r w:rsidR="00D5235E" w:rsidRPr="00817B9F">
        <w:t>GAC hospitals</w:t>
      </w:r>
      <w:r w:rsidR="00880C61" w:rsidRPr="00817B9F">
        <w:t>,</w:t>
      </w:r>
      <w:r w:rsidR="004F279B" w:rsidRPr="00817B9F">
        <w:t xml:space="preserve"> separately for</w:t>
      </w:r>
      <w:r w:rsidR="00E52827" w:rsidRPr="00817B9F">
        <w:t xml:space="preserve"> </w:t>
      </w:r>
      <w:r w:rsidR="00D5235E" w:rsidRPr="00817B9F">
        <w:t>patients</w:t>
      </w:r>
      <w:r w:rsidR="004F279B" w:rsidRPr="00817B9F">
        <w:t xml:space="preserve"> with </w:t>
      </w:r>
      <w:r w:rsidR="00A51F76" w:rsidRPr="00817B9F">
        <w:t>c</w:t>
      </w:r>
      <w:r w:rsidR="00085744" w:rsidRPr="00817B9F">
        <w:t>ommercial</w:t>
      </w:r>
      <w:r w:rsidR="006932BD" w:rsidRPr="00817B9F">
        <w:t>,</w:t>
      </w:r>
      <w:r w:rsidR="008B2940" w:rsidRPr="00817B9F">
        <w:t xml:space="preserve"> </w:t>
      </w:r>
      <w:r w:rsidR="0071118E" w:rsidRPr="00817B9F">
        <w:t xml:space="preserve">MassHealth </w:t>
      </w:r>
      <w:r w:rsidR="00E767F6" w:rsidRPr="00817B9F">
        <w:t>m</w:t>
      </w:r>
      <w:r w:rsidR="00E52827" w:rsidRPr="00817B9F">
        <w:t>ana</w:t>
      </w:r>
      <w:r w:rsidR="00B8411A" w:rsidRPr="00817B9F">
        <w:t xml:space="preserve">ged </w:t>
      </w:r>
      <w:r w:rsidR="00E767F6" w:rsidRPr="00817B9F">
        <w:t>c</w:t>
      </w:r>
      <w:r w:rsidR="00B8411A" w:rsidRPr="00817B9F">
        <w:t>are</w:t>
      </w:r>
      <w:r w:rsidR="00357EA2" w:rsidRPr="00817B9F">
        <w:t xml:space="preserve">, and </w:t>
      </w:r>
      <w:r w:rsidR="006932BD" w:rsidRPr="00817B9F">
        <w:t xml:space="preserve">Medicare </w:t>
      </w:r>
      <w:r w:rsidR="00591F7D" w:rsidRPr="00817B9F">
        <w:t>h</w:t>
      </w:r>
      <w:r w:rsidR="006932BD" w:rsidRPr="00817B9F">
        <w:t xml:space="preserve">ealth </w:t>
      </w:r>
      <w:r w:rsidR="00591F7D" w:rsidRPr="00817B9F">
        <w:t>p</w:t>
      </w:r>
      <w:r w:rsidR="006932BD" w:rsidRPr="00817B9F">
        <w:t>lan</w:t>
      </w:r>
      <w:r w:rsidR="004F279B" w:rsidRPr="00817B9F">
        <w:t>s</w:t>
      </w:r>
      <w:r w:rsidR="003D0EF5" w:rsidRPr="00817B9F">
        <w:t>.</w:t>
      </w:r>
    </w:p>
    <w:p w14:paraId="200441A3" w14:textId="1EDF764F" w:rsidR="00E64F87" w:rsidRPr="00817B9F" w:rsidRDefault="00C50835" w:rsidP="001B6A1C">
      <w:pPr>
        <w:pStyle w:val="Heading3"/>
      </w:pPr>
      <w:bookmarkStart w:id="18" w:name="_Toc90046495"/>
      <w:r w:rsidRPr="00817B9F">
        <w:t>Medicare</w:t>
      </w:r>
      <w:r w:rsidR="00027D19" w:rsidRPr="00817B9F">
        <w:t xml:space="preserve"> </w:t>
      </w:r>
      <w:r w:rsidR="004A6792" w:rsidRPr="00817B9F">
        <w:t xml:space="preserve">Inpatient Prospective Payment </w:t>
      </w:r>
      <w:r w:rsidR="00F01E9D" w:rsidRPr="00817B9F">
        <w:t>System Tables</w:t>
      </w:r>
      <w:bookmarkEnd w:id="18"/>
    </w:p>
    <w:p w14:paraId="6FC25A36" w14:textId="289D928A" w:rsidR="00F01E9D" w:rsidRPr="00817B9F" w:rsidRDefault="00DB5007" w:rsidP="001F6060">
      <w:pPr>
        <w:pStyle w:val="NumberedParagraphs"/>
      </w:pPr>
      <w:r w:rsidRPr="00817B9F">
        <w:t xml:space="preserve">To determine the relative rates </w:t>
      </w:r>
      <w:r w:rsidR="000465F1" w:rsidRPr="00817B9F">
        <w:t>paid to</w:t>
      </w:r>
      <w:r w:rsidRPr="00817B9F">
        <w:t xml:space="preserve"> hospitals f</w:t>
      </w:r>
      <w:r w:rsidR="001F6060" w:rsidRPr="00817B9F">
        <w:t xml:space="preserve">or </w:t>
      </w:r>
      <w:r w:rsidR="00163E6C" w:rsidRPr="00817B9F">
        <w:t xml:space="preserve">providing inpatient care to beneficiaries enrolled in </w:t>
      </w:r>
      <w:r w:rsidR="00275C68" w:rsidRPr="00817B9F">
        <w:t>Original</w:t>
      </w:r>
      <w:r w:rsidR="001F6060" w:rsidRPr="00817B9F">
        <w:t xml:space="preserve"> Medicare</w:t>
      </w:r>
      <w:r w:rsidR="00163E6C" w:rsidRPr="00817B9F">
        <w:t>,</w:t>
      </w:r>
      <w:r w:rsidR="001F6060" w:rsidRPr="00817B9F">
        <w:t xml:space="preserve"> we utilize </w:t>
      </w:r>
      <w:r w:rsidR="0030645D" w:rsidRPr="00817B9F">
        <w:t xml:space="preserve">files published by CMS as part of </w:t>
      </w:r>
      <w:r w:rsidR="00C51504" w:rsidRPr="00817B9F">
        <w:t>the</w:t>
      </w:r>
      <w:r w:rsidR="0030645D" w:rsidRPr="00817B9F">
        <w:t xml:space="preserve"> </w:t>
      </w:r>
      <w:r w:rsidR="001F6060" w:rsidRPr="00817B9F">
        <w:t>Inpatient Prospective Payment System</w:t>
      </w:r>
      <w:r w:rsidR="0030645D" w:rsidRPr="00817B9F">
        <w:t>.</w:t>
      </w:r>
      <w:r w:rsidR="00830181" w:rsidRPr="00817B9F">
        <w:rPr>
          <w:rStyle w:val="FootnoteReference"/>
        </w:rPr>
        <w:footnoteReference w:id="65"/>
      </w:r>
      <w:r w:rsidR="0030645D" w:rsidRPr="00817B9F">
        <w:t xml:space="preserve"> </w:t>
      </w:r>
      <w:r w:rsidR="00164F60" w:rsidRPr="00817B9F">
        <w:t xml:space="preserve">Tables 1A through 1E, which are published each year as part of the final rules for the Inpatient Prospective Payment System, contain </w:t>
      </w:r>
      <w:r w:rsidR="00862B66" w:rsidRPr="00817B9F">
        <w:t xml:space="preserve">the national payment rates used by CMS in calculating payments to hospitals. We also rely </w:t>
      </w:r>
      <w:r w:rsidR="00FD56A3" w:rsidRPr="00817B9F">
        <w:t xml:space="preserve">on the annual </w:t>
      </w:r>
      <w:r w:rsidR="00F01E9D" w:rsidRPr="00817B9F">
        <w:t>Impact</w:t>
      </w:r>
      <w:r w:rsidR="00FD56A3" w:rsidRPr="00817B9F">
        <w:t xml:space="preserve"> File</w:t>
      </w:r>
      <w:r w:rsidR="00866239" w:rsidRPr="00817B9F">
        <w:t xml:space="preserve"> published by CMS</w:t>
      </w:r>
      <w:r w:rsidR="00AF5307" w:rsidRPr="00817B9F">
        <w:t xml:space="preserve"> for information on</w:t>
      </w:r>
      <w:r w:rsidR="00F01E9D" w:rsidRPr="00817B9F">
        <w:t xml:space="preserve"> hospital-specific adjustments to the national payment rates</w:t>
      </w:r>
      <w:r w:rsidR="001F6060" w:rsidRPr="00817B9F">
        <w:t>.</w:t>
      </w:r>
      <w:r w:rsidR="00D72D76" w:rsidRPr="00817B9F">
        <w:rPr>
          <w:rStyle w:val="FootnoteReference"/>
        </w:rPr>
        <w:footnoteReference w:id="66"/>
      </w:r>
      <w:r w:rsidR="00A3764E" w:rsidRPr="00817B9F">
        <w:t xml:space="preserve"> </w:t>
      </w:r>
    </w:p>
    <w:p w14:paraId="3852BF55" w14:textId="3E1A4E48" w:rsidR="001F6060" w:rsidRPr="00817B9F" w:rsidRDefault="00385529" w:rsidP="001F6060">
      <w:pPr>
        <w:pStyle w:val="NumberedParagraphs"/>
      </w:pPr>
      <w:r w:rsidRPr="00817B9F">
        <w:lastRenderedPageBreak/>
        <w:t xml:space="preserve">Using these files, we calculate Medicare </w:t>
      </w:r>
      <w:r w:rsidR="00197A3E" w:rsidRPr="00817B9F">
        <w:t xml:space="preserve">base </w:t>
      </w:r>
      <w:r w:rsidRPr="00817B9F">
        <w:t xml:space="preserve">reimbursement rates for inpatient hospital stays </w:t>
      </w:r>
      <w:r w:rsidR="001812C5" w:rsidRPr="00817B9F">
        <w:t xml:space="preserve">separately </w:t>
      </w:r>
      <w:r w:rsidR="00197A3E" w:rsidRPr="00817B9F">
        <w:t>for each</w:t>
      </w:r>
      <w:r w:rsidR="001812C5" w:rsidRPr="00817B9F">
        <w:t xml:space="preserve"> </w:t>
      </w:r>
      <w:r w:rsidR="00C863C0" w:rsidRPr="00817B9F">
        <w:t>GAC hospital in Massachusetts</w:t>
      </w:r>
      <w:r w:rsidRPr="00817B9F">
        <w:t xml:space="preserve">. Because </w:t>
      </w:r>
      <w:r w:rsidR="00C863C0" w:rsidRPr="00817B9F">
        <w:t xml:space="preserve">these base </w:t>
      </w:r>
      <w:r w:rsidRPr="00817B9F">
        <w:t xml:space="preserve">Medicare payment rates can vary across hospitals, </w:t>
      </w:r>
      <w:r w:rsidR="004C06F5" w:rsidRPr="00817B9F">
        <w:t xml:space="preserve">shifts in </w:t>
      </w:r>
      <w:r w:rsidR="005A66ED" w:rsidRPr="00817B9F">
        <w:t>inpatient</w:t>
      </w:r>
      <w:r w:rsidR="008E190E" w:rsidRPr="00817B9F">
        <w:t xml:space="preserve"> </w:t>
      </w:r>
      <w:r w:rsidR="001F198B" w:rsidRPr="00817B9F">
        <w:t xml:space="preserve">utilization </w:t>
      </w:r>
      <w:r w:rsidR="003D649D" w:rsidRPr="00817B9F">
        <w:t xml:space="preserve">patterns </w:t>
      </w:r>
      <w:r w:rsidR="009A3798" w:rsidRPr="00817B9F">
        <w:t>among</w:t>
      </w:r>
      <w:r w:rsidR="003D649D" w:rsidRPr="00817B9F">
        <w:t xml:space="preserve"> beneficiaries enrolled in</w:t>
      </w:r>
      <w:r w:rsidR="0074389C" w:rsidRPr="00817B9F">
        <w:t xml:space="preserve"> Original Medicare </w:t>
      </w:r>
      <w:r w:rsidR="009A3798" w:rsidRPr="00817B9F">
        <w:t>may result in differences</w:t>
      </w:r>
      <w:r w:rsidR="001812C5" w:rsidRPr="00817B9F">
        <w:t xml:space="preserve"> in health care expenditures for inpatient services</w:t>
      </w:r>
      <w:r w:rsidR="00EA07F1" w:rsidRPr="00817B9F">
        <w:t>.</w:t>
      </w:r>
    </w:p>
    <w:p w14:paraId="5A74C337" w14:textId="7DCA72D0" w:rsidR="00F3284E" w:rsidRPr="00817B9F" w:rsidRDefault="00C50835" w:rsidP="001B6A1C">
      <w:pPr>
        <w:pStyle w:val="Heading3"/>
      </w:pPr>
      <w:bookmarkStart w:id="19" w:name="_Toc90046496"/>
      <w:r w:rsidRPr="00817B9F">
        <w:t>Medicare</w:t>
      </w:r>
      <w:r w:rsidR="00027D19" w:rsidRPr="00817B9F">
        <w:t xml:space="preserve"> </w:t>
      </w:r>
      <w:r w:rsidR="005008AC" w:rsidRPr="00817B9F">
        <w:t xml:space="preserve">Outpatient Prospective Payment </w:t>
      </w:r>
      <w:r w:rsidR="005F45CA" w:rsidRPr="00817B9F">
        <w:t>System Tables</w:t>
      </w:r>
      <w:bookmarkEnd w:id="19"/>
    </w:p>
    <w:p w14:paraId="74A5D71D" w14:textId="676F4C94" w:rsidR="00A3582F" w:rsidRPr="00817B9F" w:rsidRDefault="00373ECE" w:rsidP="00A3582F">
      <w:pPr>
        <w:pStyle w:val="NumberedParagraphs"/>
      </w:pPr>
      <w:r w:rsidRPr="00817B9F">
        <w:t>T</w:t>
      </w:r>
      <w:r w:rsidR="000A1369" w:rsidRPr="00817B9F">
        <w:t xml:space="preserve">hroughout our analysis, we analyze </w:t>
      </w:r>
      <w:r w:rsidR="00F1294D" w:rsidRPr="00817B9F">
        <w:t xml:space="preserve">the </w:t>
      </w:r>
      <w:r w:rsidR="000A1369" w:rsidRPr="00817B9F">
        <w:t xml:space="preserve">rates paid to </w:t>
      </w:r>
      <w:r w:rsidR="00F1294D" w:rsidRPr="00817B9F">
        <w:t>facilities for providing outpatient care</w:t>
      </w:r>
      <w:r w:rsidR="000A1369" w:rsidRPr="00817B9F">
        <w:t xml:space="preserve"> relative to </w:t>
      </w:r>
      <w:r w:rsidR="00ED657A" w:rsidRPr="00817B9F">
        <w:t>Medicare reimbursement rates</w:t>
      </w:r>
      <w:r w:rsidR="00812EE4" w:rsidRPr="00817B9F">
        <w:t>, which are commonly used as benchmarks in health care economics</w:t>
      </w:r>
      <w:r w:rsidR="00ED657A" w:rsidRPr="00817B9F">
        <w:t xml:space="preserve">. </w:t>
      </w:r>
      <w:r w:rsidR="0027658A" w:rsidRPr="00817B9F">
        <w:t xml:space="preserve">There are many advantages to </w:t>
      </w:r>
      <w:r w:rsidR="001F4E16" w:rsidRPr="00817B9F">
        <w:t xml:space="preserve">benchmarking reimbursement rates </w:t>
      </w:r>
      <w:r w:rsidR="00A52463" w:rsidRPr="00817B9F">
        <w:t xml:space="preserve">relative to Medicare payment rates. First, </w:t>
      </w:r>
      <w:r w:rsidR="009E7916" w:rsidRPr="00817B9F">
        <w:t xml:space="preserve">Medicare reimbursement rates </w:t>
      </w:r>
      <w:r w:rsidR="009A1B85" w:rsidRPr="00817B9F">
        <w:t xml:space="preserve">account for differences in complexity across services. </w:t>
      </w:r>
      <w:r w:rsidR="005B2C79" w:rsidRPr="00817B9F">
        <w:t xml:space="preserve">Second, these rates account for differences </w:t>
      </w:r>
      <w:r w:rsidR="00C9203C" w:rsidRPr="00817B9F">
        <w:t xml:space="preserve">in </w:t>
      </w:r>
      <w:r w:rsidR="005B2C79" w:rsidRPr="00817B9F">
        <w:t>costs</w:t>
      </w:r>
      <w:r w:rsidR="00380667" w:rsidRPr="00817B9F">
        <w:t xml:space="preserve"> across different types of outpatient facilities and across geographies</w:t>
      </w:r>
      <w:r w:rsidR="005B2C79" w:rsidRPr="00817B9F">
        <w:t xml:space="preserve">. Third, these rates are updated annually to account for changes in costs </w:t>
      </w:r>
      <w:r w:rsidR="00FE76EE" w:rsidRPr="00817B9F">
        <w:t xml:space="preserve">and medical practice </w:t>
      </w:r>
      <w:r w:rsidR="005B2C79" w:rsidRPr="00817B9F">
        <w:t>over time.</w:t>
      </w:r>
      <w:r w:rsidR="007B35E5" w:rsidRPr="00817B9F">
        <w:t xml:space="preserve"> The methodology used by CMS to calculate these rates is known as the Outpatient Prospective Payment System (“OPPS”).</w:t>
      </w:r>
      <w:r w:rsidR="00135191" w:rsidRPr="00817B9F">
        <w:t xml:space="preserve"> The OPPS methodology </w:t>
      </w:r>
      <w:r w:rsidR="0000285D" w:rsidRPr="00817B9F">
        <w:t>is described in further detail below.</w:t>
      </w:r>
      <w:r w:rsidR="000F3115" w:rsidRPr="00817B9F">
        <w:rPr>
          <w:rStyle w:val="FootnoteReference"/>
        </w:rPr>
        <w:footnoteReference w:id="67"/>
      </w:r>
    </w:p>
    <w:p w14:paraId="437F37BC" w14:textId="7901922C" w:rsidR="00FA070D" w:rsidRPr="00817B9F" w:rsidRDefault="00FA070D" w:rsidP="0031591B">
      <w:pPr>
        <w:pStyle w:val="NumberedParagraphs"/>
      </w:pPr>
      <w:r w:rsidRPr="00817B9F">
        <w:t>First, to account for differences in complexity across services,</w:t>
      </w:r>
      <w:r w:rsidR="00FA1511" w:rsidRPr="00817B9F">
        <w:t xml:space="preserve"> </w:t>
      </w:r>
      <w:r w:rsidR="007B35E5" w:rsidRPr="00817B9F">
        <w:t>OPPS</w:t>
      </w:r>
      <w:r w:rsidRPr="00817B9F">
        <w:t xml:space="preserve"> assigns</w:t>
      </w:r>
      <w:r w:rsidR="00FA1511" w:rsidRPr="00817B9F">
        <w:t xml:space="preserve"> each procedure that is reimbursable by Medicare </w:t>
      </w:r>
      <w:r w:rsidR="00CA6AD1" w:rsidRPr="00817B9F">
        <w:t xml:space="preserve">to an </w:t>
      </w:r>
      <w:r w:rsidR="003F3B99" w:rsidRPr="00817B9F">
        <w:t>Ambulatory Payment Classification (“APC”). APCs are numeric codes utilized by CMS to group together outpatient services with similar</w:t>
      </w:r>
      <w:r w:rsidR="00CA6AD1" w:rsidRPr="00817B9F">
        <w:t xml:space="preserve"> </w:t>
      </w:r>
      <w:r w:rsidR="004560D6" w:rsidRPr="00817B9F">
        <w:t>costs and clinical characteristics. For each APC, CMS calculates a “relative weight”</w:t>
      </w:r>
      <w:r w:rsidR="004B7CC7" w:rsidRPr="00817B9F">
        <w:t xml:space="preserve"> that measures the resources required for providing care for that APC relative to the resources necessary for an average outpatient episode of care. This relative weight is applied when calculating Medicare reimbursement </w:t>
      </w:r>
      <w:r w:rsidR="007C207F" w:rsidRPr="00817B9F">
        <w:t>amounts</w:t>
      </w:r>
      <w:r w:rsidR="004B7CC7" w:rsidRPr="00817B9F">
        <w:t xml:space="preserve"> so that a procedure assigned to an APC with a relative weight of 2 will receive </w:t>
      </w:r>
      <w:r w:rsidR="00270761" w:rsidRPr="00817B9F">
        <w:t>twice the reimbursement of a procedure assigned to an APC with a relative weight of 1. These relative weights are published quarterly by CMS in “Addendum B</w:t>
      </w:r>
      <w:r w:rsidR="00CC3FA0" w:rsidRPr="00817B9F">
        <w:t>,” which also includes a listing of which CPT procedure codes are assigned to each APC.</w:t>
      </w:r>
      <w:r w:rsidR="003E60DC" w:rsidRPr="00817B9F">
        <w:rPr>
          <w:rStyle w:val="FootnoteReference"/>
        </w:rPr>
        <w:footnoteReference w:id="68"/>
      </w:r>
    </w:p>
    <w:p w14:paraId="68E6117C" w14:textId="5519F56D" w:rsidR="005B2C79" w:rsidRPr="00817B9F" w:rsidRDefault="007B35E5" w:rsidP="00602BB5">
      <w:pPr>
        <w:pStyle w:val="NumberedParagraphs"/>
      </w:pPr>
      <w:r w:rsidRPr="00817B9F">
        <w:lastRenderedPageBreak/>
        <w:t xml:space="preserve">Second, to account for differences in costs across outpatient facilities, </w:t>
      </w:r>
      <w:r w:rsidR="005B6819" w:rsidRPr="00817B9F">
        <w:t xml:space="preserve">OPPS incorporates a wage index calculated by CMS separately for each </w:t>
      </w:r>
      <w:r w:rsidR="008D1EA9" w:rsidRPr="00817B9F">
        <w:t>Core-Based Statistical Area (“CBSA”)</w:t>
      </w:r>
      <w:r w:rsidR="005B6819" w:rsidRPr="00817B9F">
        <w:t>.</w:t>
      </w:r>
      <w:r w:rsidR="003753EC" w:rsidRPr="00817B9F">
        <w:rPr>
          <w:rStyle w:val="FootnoteReference"/>
        </w:rPr>
        <w:footnoteReference w:id="69"/>
      </w:r>
      <w:r w:rsidR="005B6819" w:rsidRPr="00817B9F">
        <w:t xml:space="preserve"> </w:t>
      </w:r>
      <w:r w:rsidR="008D1EA9" w:rsidRPr="00817B9F">
        <w:t>This reflects, for example, differences in labor costs between the Boston</w:t>
      </w:r>
      <w:r w:rsidR="005B6819" w:rsidRPr="00817B9F">
        <w:t xml:space="preserve"> area</w:t>
      </w:r>
      <w:r w:rsidR="008D1EA9" w:rsidRPr="00817B9F">
        <w:t xml:space="preserve"> and the Worcester area, which are each assigned to different CBSAs.</w:t>
      </w:r>
      <w:r w:rsidR="00CC3FA0" w:rsidRPr="00817B9F">
        <w:t xml:space="preserve"> </w:t>
      </w:r>
      <w:r w:rsidR="005133AB" w:rsidRPr="00817B9F">
        <w:t xml:space="preserve">Further </w:t>
      </w:r>
      <w:r w:rsidR="00CE57AC" w:rsidRPr="00817B9F">
        <w:t>adjusting</w:t>
      </w:r>
      <w:r w:rsidR="005133AB" w:rsidRPr="00817B9F">
        <w:t xml:space="preserve"> for differences across outpatient facility providers, Medicare reimbursements to freestanding </w:t>
      </w:r>
      <w:r w:rsidR="00D46DB5" w:rsidRPr="00817B9F">
        <w:t>ASCs</w:t>
      </w:r>
      <w:r w:rsidR="00CE57AC" w:rsidRPr="00817B9F">
        <w:t xml:space="preserve"> are approximately 40 percent less tha</w:t>
      </w:r>
      <w:r w:rsidR="0031153F" w:rsidRPr="00817B9F">
        <w:t>n reimbursements to hospital outpatient depar</w:t>
      </w:r>
      <w:r w:rsidR="00A1050A" w:rsidRPr="00817B9F">
        <w:t>t</w:t>
      </w:r>
      <w:r w:rsidR="0031153F" w:rsidRPr="00817B9F">
        <w:t>ments</w:t>
      </w:r>
      <w:r w:rsidR="00A1050A" w:rsidRPr="00817B9F">
        <w:t>.</w:t>
      </w:r>
      <w:r w:rsidR="00A1050A" w:rsidRPr="00817B9F">
        <w:rPr>
          <w:rStyle w:val="FootnoteReference"/>
        </w:rPr>
        <w:footnoteReference w:id="70"/>
      </w:r>
    </w:p>
    <w:p w14:paraId="1E97EB3F" w14:textId="2CBDB6DE" w:rsidR="00116E7D" w:rsidRPr="00817B9F" w:rsidRDefault="00731622" w:rsidP="00AF45D2">
      <w:pPr>
        <w:pStyle w:val="NumberedParagraphs"/>
      </w:pPr>
      <w:r w:rsidRPr="00817B9F">
        <w:t>Third,</w:t>
      </w:r>
      <w:r w:rsidR="00F5185F" w:rsidRPr="00817B9F">
        <w:t xml:space="preserve"> CMS revise</w:t>
      </w:r>
      <w:r w:rsidR="0097207C" w:rsidRPr="00817B9F">
        <w:t>s</w:t>
      </w:r>
      <w:r w:rsidR="00F5185F" w:rsidRPr="00817B9F">
        <w:t xml:space="preserve"> the APCs and relative weights used in the OPPS each year </w:t>
      </w:r>
      <w:r w:rsidR="00B341A0" w:rsidRPr="00817B9F">
        <w:t>to reflect changes in medical practice</w:t>
      </w:r>
      <w:r w:rsidR="00144A19" w:rsidRPr="00817B9F">
        <w:t xml:space="preserve"> and technology, </w:t>
      </w:r>
      <w:r w:rsidR="00B938D4" w:rsidRPr="00817B9F">
        <w:t>new services, and changes in the cost of providing care.</w:t>
      </w:r>
      <w:r w:rsidR="00850473" w:rsidRPr="00817B9F">
        <w:rPr>
          <w:rStyle w:val="FootnoteReference"/>
        </w:rPr>
        <w:footnoteReference w:id="71"/>
      </w:r>
      <w:r w:rsidR="00B938D4" w:rsidRPr="00817B9F">
        <w:t xml:space="preserve"> </w:t>
      </w:r>
      <w:r w:rsidR="00182E9A" w:rsidRPr="00817B9F">
        <w:t xml:space="preserve">While we focus on </w:t>
      </w:r>
      <w:r w:rsidR="002C0A12" w:rsidRPr="00817B9F">
        <w:t>201</w:t>
      </w:r>
      <w:r w:rsidR="00AA37FB" w:rsidRPr="00817B9F">
        <w:t>8</w:t>
      </w:r>
      <w:r w:rsidR="002C0A12" w:rsidRPr="00817B9F">
        <w:t xml:space="preserve"> OPPS payment rates, </w:t>
      </w:r>
      <w:r w:rsidR="009C65B8" w:rsidRPr="00817B9F">
        <w:t>the regular annual updates to OPPS to reflect changes in costs over time</w:t>
      </w:r>
      <w:r w:rsidR="0062339D" w:rsidRPr="00817B9F">
        <w:t xml:space="preserve"> are an additional reason why </w:t>
      </w:r>
      <w:r w:rsidR="006258AE" w:rsidRPr="00817B9F">
        <w:t xml:space="preserve">these rates are widely used </w:t>
      </w:r>
      <w:r w:rsidR="009F512D" w:rsidRPr="00817B9F">
        <w:t xml:space="preserve">in health care economics </w:t>
      </w:r>
      <w:r w:rsidR="00C35157" w:rsidRPr="00817B9F">
        <w:t xml:space="preserve">as a benchmark when comparing payment rates. </w:t>
      </w:r>
      <w:r w:rsidR="00E63C70" w:rsidRPr="00817B9F">
        <w:t xml:space="preserve">In our analysis, </w:t>
      </w:r>
      <w:r w:rsidR="00B26CDE" w:rsidRPr="00817B9F">
        <w:t>we</w:t>
      </w:r>
      <w:r w:rsidR="00E63C70" w:rsidRPr="00817B9F">
        <w:t xml:space="preserve"> </w:t>
      </w:r>
      <w:r w:rsidR="00671F41" w:rsidRPr="00817B9F">
        <w:t>utilize</w:t>
      </w:r>
      <w:r w:rsidR="00D4493A" w:rsidRPr="00817B9F">
        <w:t xml:space="preserve"> the prices paid by commercial</w:t>
      </w:r>
      <w:r w:rsidR="003A06A3" w:rsidRPr="00817B9F">
        <w:t xml:space="preserve"> plans</w:t>
      </w:r>
      <w:r w:rsidR="00D4493A" w:rsidRPr="00817B9F">
        <w:t xml:space="preserve">, </w:t>
      </w:r>
      <w:r w:rsidR="003B3789" w:rsidRPr="00817B9F">
        <w:t xml:space="preserve">Medicare </w:t>
      </w:r>
      <w:r w:rsidR="006F7465" w:rsidRPr="00817B9F">
        <w:t>health plans</w:t>
      </w:r>
      <w:r w:rsidR="00D4493A" w:rsidRPr="00817B9F">
        <w:t xml:space="preserve">, and MassHealth </w:t>
      </w:r>
      <w:r w:rsidR="006F7465" w:rsidRPr="00817B9F">
        <w:t>m</w:t>
      </w:r>
      <w:r w:rsidR="00D4493A" w:rsidRPr="00817B9F">
        <w:t xml:space="preserve">anaged </w:t>
      </w:r>
      <w:r w:rsidR="006F7465" w:rsidRPr="00817B9F">
        <w:t>c</w:t>
      </w:r>
      <w:r w:rsidR="00D4493A" w:rsidRPr="00817B9F">
        <w:t xml:space="preserve">are </w:t>
      </w:r>
      <w:r w:rsidR="00BA6FEA" w:rsidRPr="00817B9F">
        <w:t xml:space="preserve">plans </w:t>
      </w:r>
      <w:r w:rsidR="00D4493A" w:rsidRPr="00817B9F">
        <w:t xml:space="preserve">relative to </w:t>
      </w:r>
      <w:r w:rsidR="006F7465" w:rsidRPr="00817B9F">
        <w:t>Original</w:t>
      </w:r>
      <w:r w:rsidR="00D4493A" w:rsidRPr="00817B9F">
        <w:t xml:space="preserve"> Medicare </w:t>
      </w:r>
      <w:r w:rsidR="00BA6FEA" w:rsidRPr="00817B9F">
        <w:t>reimbursement rat</w:t>
      </w:r>
      <w:r w:rsidR="00777D3B" w:rsidRPr="00817B9F">
        <w:t>es</w:t>
      </w:r>
      <w:r w:rsidR="00D4493A" w:rsidRPr="00817B9F">
        <w:t xml:space="preserve"> when </w:t>
      </w:r>
      <w:r w:rsidR="00777D3B" w:rsidRPr="00817B9F">
        <w:t>estimating</w:t>
      </w:r>
      <w:r w:rsidR="00D4493A" w:rsidRPr="00817B9F">
        <w:t xml:space="preserve"> the price</w:t>
      </w:r>
      <w:r w:rsidR="00777D3B" w:rsidRPr="00817B9F">
        <w:t>-</w:t>
      </w:r>
      <w:r w:rsidR="00D4493A" w:rsidRPr="00817B9F">
        <w:t>cost effect</w:t>
      </w:r>
      <w:r w:rsidR="00777D3B" w:rsidRPr="00817B9F">
        <w:t>s</w:t>
      </w:r>
      <w:r w:rsidR="00D4493A" w:rsidRPr="00817B9F">
        <w:t xml:space="preserve"> of </w:t>
      </w:r>
      <w:r w:rsidR="00777D3B" w:rsidRPr="00817B9F">
        <w:t>potential shifts in</w:t>
      </w:r>
      <w:r w:rsidR="00D4493A" w:rsidRPr="00817B9F">
        <w:t xml:space="preserve"> outpatient </w:t>
      </w:r>
      <w:r w:rsidR="00777D3B" w:rsidRPr="00817B9F">
        <w:t xml:space="preserve">facility </w:t>
      </w:r>
      <w:r w:rsidR="00D4493A" w:rsidRPr="00817B9F">
        <w:t xml:space="preserve">utilization </w:t>
      </w:r>
      <w:r w:rsidR="00777D3B" w:rsidRPr="00817B9F">
        <w:t xml:space="preserve">patterns. </w:t>
      </w:r>
    </w:p>
    <w:p w14:paraId="4495C634" w14:textId="2A1F5A93" w:rsidR="00B770C3" w:rsidRPr="00817B9F" w:rsidRDefault="000208C5" w:rsidP="001B6A1C">
      <w:pPr>
        <w:pStyle w:val="Heading3"/>
      </w:pPr>
      <w:bookmarkStart w:id="20" w:name="_Ref89033859"/>
      <w:bookmarkStart w:id="21" w:name="_Ref89083830"/>
      <w:bookmarkStart w:id="22" w:name="_Toc90046497"/>
      <w:r w:rsidRPr="00817B9F">
        <w:t xml:space="preserve">National Plan and Provider Enumeration </w:t>
      </w:r>
      <w:r w:rsidR="00566633" w:rsidRPr="00817B9F">
        <w:t>System</w:t>
      </w:r>
      <w:bookmarkEnd w:id="20"/>
      <w:bookmarkEnd w:id="21"/>
      <w:bookmarkEnd w:id="22"/>
    </w:p>
    <w:p w14:paraId="73717D94" w14:textId="5EF1D3B4" w:rsidR="00C635FD" w:rsidRPr="00817B9F" w:rsidRDefault="002C09E6" w:rsidP="00C635FD">
      <w:pPr>
        <w:pStyle w:val="NumberedParagraphs"/>
      </w:pPr>
      <w:r w:rsidRPr="00817B9F">
        <w:t>Ever</w:t>
      </w:r>
      <w:r w:rsidR="00936B12" w:rsidRPr="00817B9F">
        <w:t>y</w:t>
      </w:r>
      <w:r w:rsidRPr="00817B9F">
        <w:t xml:space="preserve"> health care provider in the United States </w:t>
      </w:r>
      <w:r w:rsidR="006C775C" w:rsidRPr="00817B9F">
        <w:t>must</w:t>
      </w:r>
      <w:r w:rsidR="004D7CAB" w:rsidRPr="00817B9F">
        <w:t xml:space="preserve"> obtain a</w:t>
      </w:r>
      <w:r w:rsidR="00A6611F" w:rsidRPr="00817B9F">
        <w:t xml:space="preserve">n </w:t>
      </w:r>
      <w:r w:rsidR="00275366" w:rsidRPr="00817B9F">
        <w:t>NPI</w:t>
      </w:r>
      <w:r w:rsidR="00936B12" w:rsidRPr="00817B9F">
        <w:t xml:space="preserve"> in order to electronically submit claims to payors or </w:t>
      </w:r>
      <w:r w:rsidR="005265C8" w:rsidRPr="00817B9F">
        <w:t>participate</w:t>
      </w:r>
      <w:r w:rsidR="00936B12" w:rsidRPr="00817B9F">
        <w:t xml:space="preserve"> in Medicare</w:t>
      </w:r>
      <w:r w:rsidR="009C743C" w:rsidRPr="00817B9F">
        <w:t>.</w:t>
      </w:r>
      <w:r w:rsidR="00936B12" w:rsidRPr="00817B9F">
        <w:t xml:space="preserve"> This requirement includes individual physicians and practitioners, physician groups, </w:t>
      </w:r>
      <w:r w:rsidR="002B215A" w:rsidRPr="00817B9F">
        <w:t>and hospital departments.</w:t>
      </w:r>
      <w:r w:rsidR="00936B12" w:rsidRPr="00817B9F">
        <w:t xml:space="preserve"> </w:t>
      </w:r>
      <w:r w:rsidR="002B215A" w:rsidRPr="00817B9F">
        <w:t>CMS’s</w:t>
      </w:r>
      <w:r w:rsidR="009E0B18" w:rsidRPr="00817B9F">
        <w:t xml:space="preserve"> National Plan </w:t>
      </w:r>
      <w:r w:rsidR="009E0B18" w:rsidRPr="00817B9F">
        <w:lastRenderedPageBreak/>
        <w:t>and Provider Enumeration System (</w:t>
      </w:r>
      <w:r w:rsidR="002B215A" w:rsidRPr="00817B9F">
        <w:t>“</w:t>
      </w:r>
      <w:r w:rsidR="009E0B18" w:rsidRPr="00817B9F">
        <w:t>NPPES</w:t>
      </w:r>
      <w:r w:rsidR="002B215A" w:rsidRPr="00817B9F">
        <w:t>”</w:t>
      </w:r>
      <w:r w:rsidR="009E0B18" w:rsidRPr="00817B9F">
        <w:t>)</w:t>
      </w:r>
      <w:r w:rsidR="002B215A" w:rsidRPr="00817B9F">
        <w:t xml:space="preserve"> assigns</w:t>
      </w:r>
      <w:r w:rsidR="009E0B18" w:rsidRPr="00817B9F">
        <w:t xml:space="preserve"> NPIs</w:t>
      </w:r>
      <w:r w:rsidR="002B215A" w:rsidRPr="00817B9F">
        <w:t xml:space="preserve"> and maintains an updated database of</w:t>
      </w:r>
      <w:r w:rsidR="006C1A15" w:rsidRPr="00817B9F">
        <w:t xml:space="preserve"> providers </w:t>
      </w:r>
      <w:r w:rsidR="00F15A10" w:rsidRPr="00817B9F">
        <w:t>that</w:t>
      </w:r>
      <w:r w:rsidR="002B215A" w:rsidRPr="00817B9F">
        <w:t xml:space="preserve"> is </w:t>
      </w:r>
      <w:r w:rsidR="00F15A10" w:rsidRPr="00817B9F">
        <w:t>available for download</w:t>
      </w:r>
      <w:r w:rsidR="00044F5C" w:rsidRPr="00817B9F">
        <w:t>.</w:t>
      </w:r>
      <w:r w:rsidR="00255A97" w:rsidRPr="00817B9F">
        <w:rPr>
          <w:rStyle w:val="FootnoteReference"/>
        </w:rPr>
        <w:footnoteReference w:id="72"/>
      </w:r>
      <w:r w:rsidR="00B73229" w:rsidRPr="00817B9F">
        <w:rPr>
          <w:vertAlign w:val="superscript"/>
        </w:rPr>
        <w:t>,</w:t>
      </w:r>
      <w:r w:rsidR="00482A4B" w:rsidRPr="00817B9F">
        <w:rPr>
          <w:vertAlign w:val="superscript"/>
        </w:rPr>
        <w:t xml:space="preserve"> </w:t>
      </w:r>
      <w:r w:rsidR="00B73229" w:rsidRPr="00817B9F">
        <w:rPr>
          <w:rStyle w:val="FootnoteReference"/>
        </w:rPr>
        <w:footnoteReference w:id="73"/>
      </w:r>
      <w:r w:rsidR="00044F5C" w:rsidRPr="00817B9F">
        <w:t xml:space="preserve"> </w:t>
      </w:r>
    </w:p>
    <w:p w14:paraId="5A6FB5AF" w14:textId="0D53740F" w:rsidR="00413A80" w:rsidRPr="00817B9F" w:rsidRDefault="00413A80" w:rsidP="00273838">
      <w:pPr>
        <w:pStyle w:val="NumberedParagraphs"/>
      </w:pPr>
      <w:r w:rsidRPr="00817B9F">
        <w:t xml:space="preserve">Each record in the </w:t>
      </w:r>
      <w:r w:rsidR="002A1660" w:rsidRPr="00817B9F">
        <w:t xml:space="preserve">NPPES </w:t>
      </w:r>
      <w:r w:rsidR="00387292" w:rsidRPr="00817B9F">
        <w:t>d</w:t>
      </w:r>
      <w:r w:rsidR="00B164A9" w:rsidRPr="00817B9F">
        <w:t>ownloadable</w:t>
      </w:r>
      <w:r w:rsidR="00940A59" w:rsidRPr="00817B9F">
        <w:t xml:space="preserve"> </w:t>
      </w:r>
      <w:r w:rsidR="00387292" w:rsidRPr="00817B9F">
        <w:t>f</w:t>
      </w:r>
      <w:r w:rsidR="00940A59" w:rsidRPr="00817B9F">
        <w:t>ile</w:t>
      </w:r>
      <w:r w:rsidRPr="00817B9F">
        <w:t xml:space="preserve"> reflects a unique NPI,</w:t>
      </w:r>
      <w:r w:rsidR="00F901F9" w:rsidRPr="00817B9F">
        <w:rPr>
          <w:rStyle w:val="FootnoteReference"/>
        </w:rPr>
        <w:footnoteReference w:id="74"/>
      </w:r>
      <w:r w:rsidRPr="00817B9F">
        <w:t xml:space="preserve"> and contains</w:t>
      </w:r>
      <w:r w:rsidR="002E50C5" w:rsidRPr="00817B9F">
        <w:t xml:space="preserve">, among other </w:t>
      </w:r>
      <w:r w:rsidR="008B3CA4" w:rsidRPr="00817B9F">
        <w:t>things</w:t>
      </w:r>
      <w:r w:rsidR="002E50C5" w:rsidRPr="00817B9F">
        <w:t>, the following</w:t>
      </w:r>
      <w:r w:rsidRPr="00817B9F">
        <w:t xml:space="preserve"> information about the health</w:t>
      </w:r>
      <w:r w:rsidR="009A7855" w:rsidRPr="00817B9F">
        <w:t xml:space="preserve"> </w:t>
      </w:r>
      <w:r w:rsidRPr="00817B9F">
        <w:t>care provider:</w:t>
      </w:r>
    </w:p>
    <w:p w14:paraId="72DB77DC" w14:textId="4D06AED3" w:rsidR="003D5CBD" w:rsidRPr="00817B9F" w:rsidRDefault="003D5CBD" w:rsidP="00413A80">
      <w:pPr>
        <w:pStyle w:val="BulletParagraph"/>
        <w:rPr>
          <w:rFonts w:cs="Times New Roman"/>
        </w:rPr>
      </w:pPr>
      <w:r w:rsidRPr="00817B9F">
        <w:rPr>
          <w:rFonts w:cs="Times New Roman"/>
        </w:rPr>
        <w:t xml:space="preserve">The </w:t>
      </w:r>
      <w:r w:rsidR="008B3CA4" w:rsidRPr="00817B9F">
        <w:rPr>
          <w:rFonts w:cs="Times New Roman"/>
        </w:rPr>
        <w:t xml:space="preserve">name of the </w:t>
      </w:r>
      <w:r w:rsidR="009D37DC" w:rsidRPr="00817B9F">
        <w:rPr>
          <w:rFonts w:cs="Times New Roman"/>
        </w:rPr>
        <w:t>health</w:t>
      </w:r>
      <w:r w:rsidR="009A7855" w:rsidRPr="00817B9F">
        <w:rPr>
          <w:rFonts w:cs="Times New Roman"/>
        </w:rPr>
        <w:t xml:space="preserve"> </w:t>
      </w:r>
      <w:r w:rsidR="009D37DC" w:rsidRPr="00817B9F">
        <w:rPr>
          <w:rFonts w:cs="Times New Roman"/>
        </w:rPr>
        <w:t>care professional</w:t>
      </w:r>
      <w:r w:rsidRPr="00817B9F">
        <w:rPr>
          <w:rFonts w:cs="Times New Roman"/>
        </w:rPr>
        <w:t xml:space="preserve"> or organization.</w:t>
      </w:r>
    </w:p>
    <w:p w14:paraId="1668D290" w14:textId="1B2E3A3E" w:rsidR="003D5CBD" w:rsidRPr="00817B9F" w:rsidRDefault="00387292" w:rsidP="00413A80">
      <w:pPr>
        <w:pStyle w:val="BulletParagraph"/>
        <w:rPr>
          <w:rFonts w:cs="Times New Roman"/>
        </w:rPr>
      </w:pPr>
      <w:r w:rsidRPr="00817B9F">
        <w:rPr>
          <w:rFonts w:cs="Times New Roman"/>
        </w:rPr>
        <w:t>E</w:t>
      </w:r>
      <w:r w:rsidR="009D37DC" w:rsidRPr="00817B9F">
        <w:rPr>
          <w:rFonts w:cs="Times New Roman"/>
        </w:rPr>
        <w:t>ntity type (</w:t>
      </w:r>
      <w:r w:rsidR="009D37DC" w:rsidRPr="00817B9F">
        <w:rPr>
          <w:rFonts w:cs="Times New Roman"/>
          <w:i/>
        </w:rPr>
        <w:t>i.e.,</w:t>
      </w:r>
      <w:r w:rsidR="009D37DC" w:rsidRPr="00817B9F">
        <w:rPr>
          <w:rFonts w:cs="Times New Roman"/>
        </w:rPr>
        <w:t xml:space="preserve"> individual or organization).</w:t>
      </w:r>
    </w:p>
    <w:p w14:paraId="6754E06E" w14:textId="4A1A2EF7" w:rsidR="00387292" w:rsidRPr="00817B9F" w:rsidRDefault="00387292" w:rsidP="00413A80">
      <w:pPr>
        <w:pStyle w:val="BulletParagraph"/>
        <w:rPr>
          <w:rFonts w:cs="Times New Roman"/>
        </w:rPr>
      </w:pPr>
      <w:r w:rsidRPr="00817B9F">
        <w:rPr>
          <w:rFonts w:cs="Times New Roman"/>
        </w:rPr>
        <w:t>Primary</w:t>
      </w:r>
      <w:r w:rsidR="00044F5C" w:rsidRPr="00817B9F">
        <w:rPr>
          <w:rFonts w:cs="Times New Roman"/>
        </w:rPr>
        <w:t xml:space="preserve"> </w:t>
      </w:r>
      <w:r w:rsidRPr="00817B9F">
        <w:rPr>
          <w:rFonts w:cs="Times New Roman"/>
        </w:rPr>
        <w:t>specialty.</w:t>
      </w:r>
    </w:p>
    <w:p w14:paraId="7A18A7C9" w14:textId="192942F5" w:rsidR="006B521D" w:rsidRPr="00817B9F" w:rsidRDefault="00387292" w:rsidP="00413A80">
      <w:pPr>
        <w:pStyle w:val="BulletParagraph"/>
        <w:rPr>
          <w:rFonts w:cs="Times New Roman"/>
        </w:rPr>
      </w:pPr>
      <w:r w:rsidRPr="00817B9F">
        <w:rPr>
          <w:rFonts w:cs="Times New Roman"/>
        </w:rPr>
        <w:t xml:space="preserve">Primary </w:t>
      </w:r>
      <w:r w:rsidR="006B521D" w:rsidRPr="00817B9F">
        <w:rPr>
          <w:rFonts w:cs="Times New Roman"/>
        </w:rPr>
        <w:t>business address.</w:t>
      </w:r>
    </w:p>
    <w:p w14:paraId="577C1E52" w14:textId="6459A9AC" w:rsidR="005B49B5" w:rsidRPr="00817B9F" w:rsidRDefault="00047736" w:rsidP="003B048E">
      <w:pPr>
        <w:pStyle w:val="AppendixParagraphs"/>
        <w:numPr>
          <w:ilvl w:val="0"/>
          <w:numId w:val="0"/>
        </w:numPr>
        <w:rPr>
          <w:rFonts w:ascii="Times New Roman" w:hAnsi="Times New Roman"/>
        </w:rPr>
      </w:pPr>
      <w:r w:rsidRPr="00817B9F">
        <w:rPr>
          <w:rFonts w:ascii="Times New Roman" w:hAnsi="Times New Roman"/>
        </w:rPr>
        <w:t xml:space="preserve">As discussed above, we </w:t>
      </w:r>
      <w:r w:rsidR="00387292" w:rsidRPr="00817B9F">
        <w:rPr>
          <w:rFonts w:ascii="Times New Roman" w:hAnsi="Times New Roman"/>
        </w:rPr>
        <w:t>rely on</w:t>
      </w:r>
      <w:r w:rsidRPr="00817B9F">
        <w:rPr>
          <w:rFonts w:ascii="Times New Roman" w:hAnsi="Times New Roman"/>
        </w:rPr>
        <w:t xml:space="preserve"> the NPPES </w:t>
      </w:r>
      <w:r w:rsidR="00CA3457" w:rsidRPr="00817B9F">
        <w:rPr>
          <w:rFonts w:ascii="Times New Roman" w:hAnsi="Times New Roman"/>
        </w:rPr>
        <w:t>database</w:t>
      </w:r>
      <w:r w:rsidRPr="00817B9F">
        <w:rPr>
          <w:rFonts w:ascii="Times New Roman" w:hAnsi="Times New Roman"/>
        </w:rPr>
        <w:t xml:space="preserve"> </w:t>
      </w:r>
      <w:r w:rsidR="00387292" w:rsidRPr="00817B9F">
        <w:rPr>
          <w:rFonts w:ascii="Times New Roman" w:hAnsi="Times New Roman"/>
        </w:rPr>
        <w:t>in determining the ownership of f</w:t>
      </w:r>
      <w:r w:rsidR="00393B0C" w:rsidRPr="00817B9F">
        <w:rPr>
          <w:rFonts w:ascii="Times New Roman" w:hAnsi="Times New Roman"/>
        </w:rPr>
        <w:t>acilit</w:t>
      </w:r>
      <w:r w:rsidR="00387292" w:rsidRPr="00817B9F">
        <w:rPr>
          <w:rFonts w:ascii="Times New Roman" w:hAnsi="Times New Roman"/>
        </w:rPr>
        <w:t>ies and each</w:t>
      </w:r>
      <w:r w:rsidR="00393B0C" w:rsidRPr="00817B9F">
        <w:rPr>
          <w:rFonts w:ascii="Times New Roman" w:hAnsi="Times New Roman"/>
        </w:rPr>
        <w:t xml:space="preserve"> facility’s </w:t>
      </w:r>
      <w:r w:rsidR="00AF1421" w:rsidRPr="00817B9F">
        <w:rPr>
          <w:rFonts w:ascii="Times New Roman" w:hAnsi="Times New Roman"/>
        </w:rPr>
        <w:t>ZIP</w:t>
      </w:r>
      <w:r w:rsidR="00D130AB" w:rsidRPr="00817B9F">
        <w:rPr>
          <w:rFonts w:ascii="Times New Roman" w:hAnsi="Times New Roman"/>
        </w:rPr>
        <w:t xml:space="preserve"> Code</w:t>
      </w:r>
      <w:r w:rsidR="00393B0C" w:rsidRPr="00817B9F">
        <w:rPr>
          <w:rFonts w:ascii="Times New Roman" w:hAnsi="Times New Roman"/>
        </w:rPr>
        <w:t>.</w:t>
      </w:r>
    </w:p>
    <w:p w14:paraId="6F88B4FC" w14:textId="48FDED65" w:rsidR="0027719F" w:rsidRPr="00817B9F" w:rsidRDefault="00442B5E" w:rsidP="001B6A1C">
      <w:pPr>
        <w:pStyle w:val="Heading3"/>
      </w:pPr>
      <w:bookmarkStart w:id="23" w:name="_Toc90046498"/>
      <w:r w:rsidRPr="00817B9F">
        <w:t xml:space="preserve">UMass </w:t>
      </w:r>
      <w:r w:rsidR="00566633" w:rsidRPr="00817B9F">
        <w:t>Don</w:t>
      </w:r>
      <w:r w:rsidRPr="00817B9F">
        <w:t>a</w:t>
      </w:r>
      <w:r w:rsidR="00566633" w:rsidRPr="00817B9F">
        <w:t xml:space="preserve">hue </w:t>
      </w:r>
      <w:r w:rsidRPr="00817B9F">
        <w:t>Institute Population Projections</w:t>
      </w:r>
      <w:bookmarkEnd w:id="23"/>
    </w:p>
    <w:p w14:paraId="15E10C92" w14:textId="75D9A95F" w:rsidR="00993764" w:rsidRPr="00817B9F" w:rsidRDefault="00EF1D9E" w:rsidP="006B1C1E">
      <w:pPr>
        <w:pStyle w:val="NumberedParagraphs"/>
      </w:pPr>
      <w:r w:rsidRPr="00817B9F">
        <w:t xml:space="preserve">The </w:t>
      </w:r>
      <w:r w:rsidR="00A86A4D" w:rsidRPr="00817B9F">
        <w:t xml:space="preserve">UMass Donahue Institute </w:t>
      </w:r>
      <w:r w:rsidR="00922F0A" w:rsidRPr="00817B9F">
        <w:t xml:space="preserve">(“UMDI”) </w:t>
      </w:r>
      <w:r w:rsidR="003F1F17" w:rsidRPr="00817B9F">
        <w:t>produces population projections</w:t>
      </w:r>
      <w:r w:rsidR="00D85AA4" w:rsidRPr="00817B9F">
        <w:t xml:space="preserve"> for Massachusetts</w:t>
      </w:r>
      <w:r w:rsidR="00E92BFA" w:rsidRPr="00817B9F">
        <w:t>,</w:t>
      </w:r>
      <w:r w:rsidR="00DE458E" w:rsidRPr="00817B9F">
        <w:t xml:space="preserve"> with the </w:t>
      </w:r>
      <w:r w:rsidR="00E92BFA" w:rsidRPr="00817B9F">
        <w:t xml:space="preserve">most recently available estimates extending to </w:t>
      </w:r>
      <w:r w:rsidR="00DE458E" w:rsidRPr="00817B9F">
        <w:t xml:space="preserve">the </w:t>
      </w:r>
      <w:r w:rsidR="00E92BFA" w:rsidRPr="00817B9F">
        <w:t>year 2040 in five-year increments</w:t>
      </w:r>
      <w:r w:rsidR="000014CB" w:rsidRPr="00817B9F">
        <w:t>.</w:t>
      </w:r>
      <w:r w:rsidR="000014CB" w:rsidRPr="00817B9F">
        <w:rPr>
          <w:rStyle w:val="FootnoteReference"/>
        </w:rPr>
        <w:footnoteReference w:id="75"/>
      </w:r>
      <w:r w:rsidR="003F1F17" w:rsidRPr="00817B9F">
        <w:t xml:space="preserve"> </w:t>
      </w:r>
      <w:r w:rsidR="00E92BFA" w:rsidRPr="00817B9F">
        <w:t>The projections include breakdown</w:t>
      </w:r>
      <w:r w:rsidR="00ED6A18" w:rsidRPr="00817B9F">
        <w:t>s</w:t>
      </w:r>
      <w:r w:rsidR="00E92BFA" w:rsidRPr="00817B9F">
        <w:t xml:space="preserve"> by age group and gender</w:t>
      </w:r>
      <w:r w:rsidR="00ED6A18" w:rsidRPr="00817B9F">
        <w:t xml:space="preserve"> fo</w:t>
      </w:r>
      <w:r w:rsidR="00574DA4" w:rsidRPr="00817B9F">
        <w:t>r</w:t>
      </w:r>
      <w:r w:rsidR="00ED6A18" w:rsidRPr="00817B9F">
        <w:t xml:space="preserve"> each municipal civil division (“MCD”</w:t>
      </w:r>
      <w:r w:rsidR="0077399B" w:rsidRPr="00817B9F">
        <w:t>),</w:t>
      </w:r>
      <w:r w:rsidR="00ED6A18" w:rsidRPr="00817B9F">
        <w:t xml:space="preserve"> </w:t>
      </w:r>
      <w:r w:rsidR="00ED6A18" w:rsidRPr="00817B9F">
        <w:rPr>
          <w:i/>
          <w:iCs/>
        </w:rPr>
        <w:t>i.e.</w:t>
      </w:r>
      <w:r w:rsidR="00ED6A18" w:rsidRPr="00817B9F">
        <w:t>, each city and town</w:t>
      </w:r>
      <w:r w:rsidR="0077399B" w:rsidRPr="00817B9F">
        <w:t>,</w:t>
      </w:r>
      <w:r w:rsidR="00ED6A18" w:rsidRPr="00817B9F">
        <w:t xml:space="preserve"> in the state.</w:t>
      </w:r>
    </w:p>
    <w:p w14:paraId="7D1B3DAF" w14:textId="598F5948" w:rsidR="00C54740" w:rsidRPr="00817B9F" w:rsidRDefault="00C54740" w:rsidP="00C54740">
      <w:pPr>
        <w:pStyle w:val="NumberedParagraphs"/>
      </w:pPr>
      <w:r w:rsidRPr="00817B9F">
        <w:lastRenderedPageBreak/>
        <w:t xml:space="preserve">We </w:t>
      </w:r>
      <w:r w:rsidR="00ED6A18" w:rsidRPr="00817B9F">
        <w:t>rely on</w:t>
      </w:r>
      <w:r w:rsidRPr="00817B9F">
        <w:t xml:space="preserve"> </w:t>
      </w:r>
      <w:r w:rsidR="006B52C3" w:rsidRPr="00817B9F">
        <w:t xml:space="preserve">UMDI’s </w:t>
      </w:r>
      <w:r w:rsidR="008C4892" w:rsidRPr="00817B9F">
        <w:t>modeling</w:t>
      </w:r>
      <w:r w:rsidRPr="00817B9F">
        <w:t xml:space="preserve"> </w:t>
      </w:r>
      <w:r w:rsidR="00ED6A18" w:rsidRPr="00817B9F">
        <w:t xml:space="preserve">for </w:t>
      </w:r>
      <w:r w:rsidR="00EB3CF5" w:rsidRPr="00817B9F">
        <w:t>demographic</w:t>
      </w:r>
      <w:r w:rsidRPr="00817B9F">
        <w:t xml:space="preserve"> </w:t>
      </w:r>
      <w:r w:rsidR="006B52C3" w:rsidRPr="00817B9F">
        <w:t xml:space="preserve">projections </w:t>
      </w:r>
      <w:r w:rsidR="00EB3CF5" w:rsidRPr="00817B9F">
        <w:t xml:space="preserve">of </w:t>
      </w:r>
      <w:r w:rsidR="006170C2" w:rsidRPr="00817B9F">
        <w:t xml:space="preserve">patients </w:t>
      </w:r>
      <w:r w:rsidR="008C4892" w:rsidRPr="00817B9F">
        <w:t>residing</w:t>
      </w:r>
      <w:r w:rsidR="006170C2" w:rsidRPr="00817B9F">
        <w:t xml:space="preserve"> </w:t>
      </w:r>
      <w:r w:rsidR="00B54105" w:rsidRPr="00817B9F">
        <w:t>in</w:t>
      </w:r>
      <w:r w:rsidR="006170C2" w:rsidRPr="00817B9F">
        <w:t xml:space="preserve"> the service areas </w:t>
      </w:r>
      <w:r w:rsidR="00B54105" w:rsidRPr="00817B9F">
        <w:t>of</w:t>
      </w:r>
      <w:r w:rsidR="00A241FB" w:rsidRPr="00817B9F">
        <w:t xml:space="preserve"> MGB’s </w:t>
      </w:r>
      <w:r w:rsidR="005E5E4C" w:rsidRPr="00817B9F">
        <w:t>DoN projects</w:t>
      </w:r>
      <w:r w:rsidR="008C4892" w:rsidRPr="00817B9F">
        <w:t xml:space="preserve"> in 2025 and 2</w:t>
      </w:r>
      <w:r w:rsidR="007E445E" w:rsidRPr="00817B9F">
        <w:t>0</w:t>
      </w:r>
      <w:r w:rsidR="008C4892" w:rsidRPr="00817B9F">
        <w:t>30.</w:t>
      </w:r>
      <w:r w:rsidR="007E445E" w:rsidRPr="00817B9F">
        <w:rPr>
          <w:rStyle w:val="FootnoteReference"/>
        </w:rPr>
        <w:footnoteReference w:id="76"/>
      </w:r>
      <w:r w:rsidR="000E2C38" w:rsidRPr="00817B9F">
        <w:t xml:space="preserve"> </w:t>
      </w:r>
      <w:r w:rsidR="007E445E" w:rsidRPr="00817B9F">
        <w:t>These</w:t>
      </w:r>
      <w:r w:rsidR="00A83263" w:rsidRPr="00817B9F">
        <w:t xml:space="preserve"> projections </w:t>
      </w:r>
      <w:r w:rsidR="007E445E" w:rsidRPr="00817B9F">
        <w:t xml:space="preserve">are also incorporated into our </w:t>
      </w:r>
      <w:r w:rsidR="00D24C90" w:rsidRPr="00817B9F">
        <w:t>estimate</w:t>
      </w:r>
      <w:r w:rsidR="007E445E" w:rsidRPr="00817B9F">
        <w:t>s of</w:t>
      </w:r>
      <w:r w:rsidR="00D24C90" w:rsidRPr="00817B9F">
        <w:t xml:space="preserve"> </w:t>
      </w:r>
      <w:r w:rsidR="002F010D" w:rsidRPr="00817B9F">
        <w:t xml:space="preserve">future demand for </w:t>
      </w:r>
      <w:r w:rsidR="00033523" w:rsidRPr="00817B9F">
        <w:t>inpatient and outpatient</w:t>
      </w:r>
      <w:r w:rsidR="002F010D" w:rsidRPr="00817B9F">
        <w:t xml:space="preserve"> services</w:t>
      </w:r>
      <w:r w:rsidR="006E4C48" w:rsidRPr="00817B9F">
        <w:t xml:space="preserve"> that are relevant to each of the MGB DoN projects</w:t>
      </w:r>
      <w:r w:rsidR="002F010D" w:rsidRPr="00817B9F">
        <w:t>.</w:t>
      </w:r>
    </w:p>
    <w:p w14:paraId="6EE23E15" w14:textId="65F24A72" w:rsidR="00442B5E" w:rsidRPr="00817B9F" w:rsidRDefault="00DF1740" w:rsidP="001B6A1C">
      <w:pPr>
        <w:pStyle w:val="Heading2"/>
        <w:rPr>
          <w:rFonts w:cs="Times New Roman"/>
        </w:rPr>
      </w:pPr>
      <w:bookmarkStart w:id="24" w:name="_Ref88219827"/>
      <w:bookmarkStart w:id="25" w:name="_Ref88225783"/>
      <w:bookmarkStart w:id="26" w:name="_Ref88240697"/>
      <w:bookmarkStart w:id="27" w:name="_Ref88240708"/>
      <w:bookmarkStart w:id="28" w:name="_Ref88384198"/>
      <w:bookmarkStart w:id="29" w:name="_Toc90046499"/>
      <w:r w:rsidRPr="00817B9F">
        <w:rPr>
          <w:rFonts w:cs="Times New Roman"/>
        </w:rPr>
        <w:t>Service Lines</w:t>
      </w:r>
      <w:r w:rsidR="00CF2769" w:rsidRPr="00817B9F">
        <w:rPr>
          <w:rFonts w:cs="Times New Roman"/>
        </w:rPr>
        <w:t xml:space="preserve"> Definitions</w:t>
      </w:r>
      <w:r w:rsidR="00760D85" w:rsidRPr="00817B9F">
        <w:rPr>
          <w:rFonts w:cs="Times New Roman"/>
        </w:rPr>
        <w:t xml:space="preserve"> Used for Anal</w:t>
      </w:r>
      <w:r w:rsidR="000144B0" w:rsidRPr="00817B9F">
        <w:rPr>
          <w:rFonts w:cs="Times New Roman"/>
        </w:rPr>
        <w:t>ys</w:t>
      </w:r>
      <w:r w:rsidR="002929B9" w:rsidRPr="00817B9F">
        <w:rPr>
          <w:rFonts w:cs="Times New Roman"/>
        </w:rPr>
        <w:t>e</w:t>
      </w:r>
      <w:r w:rsidR="000144B0" w:rsidRPr="00817B9F">
        <w:rPr>
          <w:rFonts w:cs="Times New Roman"/>
        </w:rPr>
        <w:t>s</w:t>
      </w:r>
      <w:bookmarkEnd w:id="24"/>
      <w:bookmarkEnd w:id="25"/>
      <w:bookmarkEnd w:id="26"/>
      <w:bookmarkEnd w:id="27"/>
      <w:bookmarkEnd w:id="28"/>
      <w:bookmarkEnd w:id="29"/>
    </w:p>
    <w:p w14:paraId="27B7DB50" w14:textId="49B7AC49" w:rsidR="00B675AE" w:rsidRPr="00817B9F" w:rsidRDefault="00B675AE" w:rsidP="003B048E">
      <w:pPr>
        <w:pStyle w:val="Heading3"/>
        <w:numPr>
          <w:ilvl w:val="0"/>
          <w:numId w:val="29"/>
        </w:numPr>
      </w:pPr>
      <w:bookmarkStart w:id="30" w:name="_Ref88474859"/>
      <w:bookmarkStart w:id="31" w:name="_Toc90046500"/>
      <w:r w:rsidRPr="00817B9F">
        <w:t>Inpatient Services</w:t>
      </w:r>
      <w:bookmarkEnd w:id="30"/>
      <w:bookmarkEnd w:id="31"/>
    </w:p>
    <w:p w14:paraId="340DD767" w14:textId="5138B700" w:rsidR="00414B95" w:rsidRPr="00817B9F" w:rsidRDefault="00004E14" w:rsidP="00184D23">
      <w:pPr>
        <w:pStyle w:val="Heading4"/>
        <w:numPr>
          <w:ilvl w:val="0"/>
          <w:numId w:val="22"/>
        </w:numPr>
      </w:pPr>
      <w:r w:rsidRPr="00817B9F">
        <w:t>Adult Inpatient Services Excluding Obstetrics and Behavioral Health</w:t>
      </w:r>
    </w:p>
    <w:p w14:paraId="3F22BE4E" w14:textId="610E49CE" w:rsidR="00B716D0" w:rsidRPr="00817B9F" w:rsidRDefault="00B716D0" w:rsidP="00C25191">
      <w:pPr>
        <w:pStyle w:val="NumberedParagraphs"/>
      </w:pPr>
      <w:r w:rsidRPr="00817B9F">
        <w:t xml:space="preserve">As described earlier, </w:t>
      </w:r>
      <w:r w:rsidR="00C271F5" w:rsidRPr="00817B9F">
        <w:t>we focus on adult inpatient services</w:t>
      </w:r>
      <w:r w:rsidR="008C6294" w:rsidRPr="00817B9F">
        <w:t xml:space="preserve"> and</w:t>
      </w:r>
      <w:r w:rsidR="00452880" w:rsidRPr="00817B9F">
        <w:t xml:space="preserve"> exclude</w:t>
      </w:r>
      <w:r w:rsidRPr="00817B9F">
        <w:t xml:space="preserve"> discharges related to obstetrics, newborns, pediatric</w:t>
      </w:r>
      <w:r w:rsidR="00184D0C" w:rsidRPr="00817B9F">
        <w:t>s</w:t>
      </w:r>
      <w:r w:rsidRPr="00817B9F">
        <w:t xml:space="preserve"> (patients under age 18), non-GAC services (</w:t>
      </w:r>
      <w:r w:rsidRPr="00817B9F">
        <w:rPr>
          <w:i/>
          <w:iCs/>
        </w:rPr>
        <w:t>i.e.</w:t>
      </w:r>
      <w:r w:rsidRPr="00817B9F">
        <w:t>, behavioral health</w:t>
      </w:r>
      <w:r w:rsidR="00947469" w:rsidRPr="00817B9F">
        <w:t xml:space="preserve">, </w:t>
      </w:r>
      <w:r w:rsidRPr="00817B9F">
        <w:t>substance use disorder, and rehabilitation/other factors influencing health status)</w:t>
      </w:r>
      <w:r w:rsidR="00C25191" w:rsidRPr="00817B9F">
        <w:t>. We also exclude</w:t>
      </w:r>
      <w:r w:rsidR="00346B13" w:rsidRPr="00817B9F">
        <w:t xml:space="preserve"> discharges </w:t>
      </w:r>
      <w:r w:rsidR="00A02E4A" w:rsidRPr="00817B9F">
        <w:t xml:space="preserve">either missing </w:t>
      </w:r>
      <w:r w:rsidR="00E2387E" w:rsidRPr="00817B9F">
        <w:t>important information (</w:t>
      </w:r>
      <w:r w:rsidR="00E2387E" w:rsidRPr="00817B9F">
        <w:rPr>
          <w:i/>
        </w:rPr>
        <w:t>e.g</w:t>
      </w:r>
      <w:r w:rsidR="00E2387E" w:rsidRPr="00817B9F">
        <w:t>., patient or payor information)</w:t>
      </w:r>
      <w:r w:rsidR="00356A3B" w:rsidRPr="00817B9F">
        <w:t xml:space="preserve"> or </w:t>
      </w:r>
      <w:r w:rsidR="00BD78D1" w:rsidRPr="00817B9F">
        <w:t>with</w:t>
      </w:r>
      <w:r w:rsidR="00346B13" w:rsidRPr="00817B9F">
        <w:t xml:space="preserve"> DRGs indicating </w:t>
      </w:r>
      <w:r w:rsidR="00DF4305" w:rsidRPr="00817B9F">
        <w:t>an invalid diagnosis</w:t>
      </w:r>
      <w:r w:rsidR="00BD78D1" w:rsidRPr="00817B9F">
        <w:t xml:space="preserve"> or ungroupable</w:t>
      </w:r>
      <w:r w:rsidR="00B92C43" w:rsidRPr="00817B9F">
        <w:t xml:space="preserve"> condition.</w:t>
      </w:r>
      <w:r w:rsidR="00B251F3" w:rsidRPr="00817B9F">
        <w:t xml:space="preserve"> </w:t>
      </w:r>
      <w:r w:rsidR="00CC05BC" w:rsidRPr="00817B9F">
        <w:t xml:space="preserve">In addition, we exclude discharges </w:t>
      </w:r>
      <w:r w:rsidR="008E027E" w:rsidRPr="00817B9F">
        <w:t>associated with certain types of</w:t>
      </w:r>
      <w:r w:rsidR="00CC05BC" w:rsidRPr="00817B9F">
        <w:t xml:space="preserve"> transfer</w:t>
      </w:r>
      <w:r w:rsidR="008E027E" w:rsidRPr="00817B9F">
        <w:t>s</w:t>
      </w:r>
      <w:r w:rsidR="00CC05BC" w:rsidRPr="00817B9F">
        <w:t>.</w:t>
      </w:r>
      <w:r w:rsidR="00CC05BC" w:rsidRPr="00817B9F">
        <w:rPr>
          <w:rStyle w:val="FootnoteReference"/>
        </w:rPr>
        <w:footnoteReference w:id="77"/>
      </w:r>
      <w:r w:rsidR="00CC05BC" w:rsidRPr="00817B9F">
        <w:t xml:space="preserve"> </w:t>
      </w:r>
      <w:r w:rsidR="00B251F3" w:rsidRPr="00817B9F">
        <w:t xml:space="preserve">Finally, we </w:t>
      </w:r>
      <w:r w:rsidR="00D40C9E" w:rsidRPr="00817B9F">
        <w:t xml:space="preserve">exclude patients who do not </w:t>
      </w:r>
      <w:r w:rsidR="00715F7B" w:rsidRPr="00817B9F">
        <w:t>reside</w:t>
      </w:r>
      <w:r w:rsidR="00D40C9E" w:rsidRPr="00817B9F">
        <w:t xml:space="preserve"> in Massachusetts.</w:t>
      </w:r>
      <w:r w:rsidR="00434E8B" w:rsidRPr="00817B9F">
        <w:rPr>
          <w:rStyle w:val="FootnoteReference"/>
        </w:rPr>
        <w:footnoteReference w:id="78"/>
      </w:r>
    </w:p>
    <w:p w14:paraId="4BA7B52D" w14:textId="37306FAD" w:rsidR="00345510" w:rsidRPr="00817B9F" w:rsidRDefault="00B675AE" w:rsidP="007C2266">
      <w:pPr>
        <w:pStyle w:val="Heading4"/>
      </w:pPr>
      <w:r w:rsidRPr="00817B9F">
        <w:t>Canc</w:t>
      </w:r>
      <w:r w:rsidR="00E227F8" w:rsidRPr="00817B9F">
        <w:t>er</w:t>
      </w:r>
      <w:r w:rsidRPr="00817B9F">
        <w:t xml:space="preserve"> </w:t>
      </w:r>
      <w:r w:rsidR="002007F9" w:rsidRPr="00817B9F">
        <w:t>Services</w:t>
      </w:r>
    </w:p>
    <w:p w14:paraId="193CC9F8" w14:textId="32730EB6" w:rsidR="001A5544" w:rsidRPr="00817B9F" w:rsidRDefault="00204856" w:rsidP="00225A18">
      <w:pPr>
        <w:pStyle w:val="NumberedParagraphs"/>
      </w:pPr>
      <w:r w:rsidRPr="00817B9F">
        <w:t xml:space="preserve">To identify </w:t>
      </w:r>
      <w:r w:rsidR="00F8702C" w:rsidRPr="00817B9F">
        <w:t xml:space="preserve">cancer </w:t>
      </w:r>
      <w:r w:rsidRPr="00817B9F">
        <w:t>services</w:t>
      </w:r>
      <w:r w:rsidR="00B97D99" w:rsidRPr="00817B9F">
        <w:t xml:space="preserve"> in the </w:t>
      </w:r>
      <w:r w:rsidR="00010EAF" w:rsidRPr="00817B9F">
        <w:t>Hospital Inpatient Discharge Database</w:t>
      </w:r>
      <w:r w:rsidR="00E54C46" w:rsidRPr="00817B9F">
        <w:t>,</w:t>
      </w:r>
      <w:r w:rsidRPr="00817B9F">
        <w:t xml:space="preserve"> we </w:t>
      </w:r>
      <w:r w:rsidR="00DC1B46" w:rsidRPr="00817B9F">
        <w:t>rely</w:t>
      </w:r>
      <w:r w:rsidR="000B577C" w:rsidRPr="00817B9F">
        <w:t xml:space="preserve"> on a list of </w:t>
      </w:r>
      <w:r w:rsidR="0092366B" w:rsidRPr="00817B9F">
        <w:t>ICD-9</w:t>
      </w:r>
      <w:r w:rsidR="00365472" w:rsidRPr="00817B9F">
        <w:t xml:space="preserve"> and </w:t>
      </w:r>
      <w:r w:rsidR="0092366B" w:rsidRPr="00817B9F">
        <w:t>ICD-10</w:t>
      </w:r>
      <w:r w:rsidR="00365472" w:rsidRPr="00817B9F">
        <w:t xml:space="preserve"> </w:t>
      </w:r>
      <w:r w:rsidR="000B577C" w:rsidRPr="00817B9F">
        <w:t xml:space="preserve">diagnosis codes </w:t>
      </w:r>
      <w:r w:rsidR="00D85FA9" w:rsidRPr="00817B9F">
        <w:t xml:space="preserve">that we </w:t>
      </w:r>
      <w:r w:rsidR="00016416" w:rsidRPr="00817B9F">
        <w:t>i</w:t>
      </w:r>
      <w:r w:rsidR="00365472" w:rsidRPr="00817B9F">
        <w:t>den</w:t>
      </w:r>
      <w:r w:rsidR="00016416" w:rsidRPr="00817B9F">
        <w:t>tif</w:t>
      </w:r>
      <w:r w:rsidR="00365472" w:rsidRPr="00817B9F">
        <w:t>ied</w:t>
      </w:r>
      <w:r w:rsidR="00D85FA9" w:rsidRPr="00817B9F">
        <w:t xml:space="preserve"> as associated with oncology and cancer </w:t>
      </w:r>
      <w:r w:rsidR="00D85FA9" w:rsidRPr="00817B9F">
        <w:lastRenderedPageBreak/>
        <w:t xml:space="preserve">related </w:t>
      </w:r>
      <w:r w:rsidR="00E62370" w:rsidRPr="00817B9F">
        <w:t>care</w:t>
      </w:r>
      <w:r w:rsidR="00365472" w:rsidRPr="00817B9F">
        <w:t>.</w:t>
      </w:r>
      <w:r w:rsidR="00097743" w:rsidRPr="00817B9F">
        <w:t xml:space="preserve"> </w:t>
      </w:r>
      <w:r w:rsidR="00CF4F45" w:rsidRPr="00817B9F">
        <w:t xml:space="preserve">If </w:t>
      </w:r>
      <w:r w:rsidR="009D01BF" w:rsidRPr="00817B9F">
        <w:t xml:space="preserve">at least </w:t>
      </w:r>
      <w:r w:rsidR="00CF4F45" w:rsidRPr="00817B9F">
        <w:t xml:space="preserve">one of these diagnosis codes </w:t>
      </w:r>
      <w:r w:rsidR="009D01BF" w:rsidRPr="00817B9F">
        <w:t xml:space="preserve">is among </w:t>
      </w:r>
      <w:r w:rsidR="003D04DE" w:rsidRPr="00817B9F">
        <w:t>t</w:t>
      </w:r>
      <w:r w:rsidR="00155F4F" w:rsidRPr="00817B9F">
        <w:t xml:space="preserve">he </w:t>
      </w:r>
      <w:r w:rsidR="00202A84" w:rsidRPr="00817B9F">
        <w:t xml:space="preserve">first four </w:t>
      </w:r>
      <w:r w:rsidR="00AA7B3B" w:rsidRPr="00817B9F">
        <w:t xml:space="preserve">unique </w:t>
      </w:r>
      <w:r w:rsidR="00202A84" w:rsidRPr="00817B9F">
        <w:t xml:space="preserve">diagnosis </w:t>
      </w:r>
      <w:r w:rsidR="007C25B0" w:rsidRPr="00817B9F">
        <w:t>code</w:t>
      </w:r>
      <w:r w:rsidR="00AA7B3B" w:rsidRPr="00817B9F">
        <w:t>s, then that discharge is considered a cancer-related inpatien</w:t>
      </w:r>
      <w:r w:rsidR="009D01BF" w:rsidRPr="00817B9F">
        <w:t>t</w:t>
      </w:r>
      <w:r w:rsidR="009B3721" w:rsidRPr="00817B9F">
        <w:t>.</w:t>
      </w:r>
      <w:r w:rsidR="005B5276" w:rsidRPr="00817B9F">
        <w:rPr>
          <w:rStyle w:val="FootnoteReference"/>
        </w:rPr>
        <w:footnoteReference w:id="79"/>
      </w:r>
      <w:r w:rsidR="005F58F9" w:rsidRPr="00817B9F">
        <w:t xml:space="preserve"> </w:t>
      </w:r>
    </w:p>
    <w:p w14:paraId="59CB2FF3" w14:textId="583901DC" w:rsidR="00B675AE" w:rsidRPr="00817B9F" w:rsidRDefault="00D6435A" w:rsidP="007C2266">
      <w:pPr>
        <w:pStyle w:val="Heading4"/>
      </w:pPr>
      <w:r w:rsidRPr="00817B9F">
        <w:t xml:space="preserve">Heart </w:t>
      </w:r>
      <w:r w:rsidR="009628E0" w:rsidRPr="00817B9F">
        <w:t>and</w:t>
      </w:r>
      <w:r w:rsidRPr="00817B9F">
        <w:t xml:space="preserve"> Vascular Services</w:t>
      </w:r>
    </w:p>
    <w:p w14:paraId="71207C11" w14:textId="552BD685" w:rsidR="00B55755" w:rsidRPr="00817B9F" w:rsidRDefault="00E15455" w:rsidP="00B1228B">
      <w:pPr>
        <w:pStyle w:val="NumberedParagraphs"/>
      </w:pPr>
      <w:r w:rsidRPr="00817B9F">
        <w:t>We identify h</w:t>
      </w:r>
      <w:r w:rsidR="0060194D" w:rsidRPr="00817B9F">
        <w:t xml:space="preserve">eart </w:t>
      </w:r>
      <w:r w:rsidR="009628E0" w:rsidRPr="00817B9F">
        <w:t>and</w:t>
      </w:r>
      <w:r w:rsidR="0060194D" w:rsidRPr="00817B9F">
        <w:t xml:space="preserve"> vascular </w:t>
      </w:r>
      <w:r w:rsidR="00B80C4F" w:rsidRPr="00817B9F">
        <w:t xml:space="preserve">patients in the Hospital Inpatient Discharge Database </w:t>
      </w:r>
      <w:r w:rsidRPr="00817B9F">
        <w:t>based on</w:t>
      </w:r>
      <w:r w:rsidR="004623C5" w:rsidRPr="00817B9F">
        <w:t xml:space="preserve"> whether</w:t>
      </w:r>
      <w:r w:rsidR="00090DDB" w:rsidRPr="00817B9F">
        <w:t xml:space="preserve"> the </w:t>
      </w:r>
      <w:r w:rsidR="00E451B6" w:rsidRPr="00817B9F">
        <w:t>DRG for the discharge</w:t>
      </w:r>
      <w:r w:rsidR="00090DDB" w:rsidRPr="00817B9F">
        <w:t xml:space="preserve"> </w:t>
      </w:r>
      <w:r w:rsidR="00545F76" w:rsidRPr="00817B9F">
        <w:t xml:space="preserve">is associated </w:t>
      </w:r>
      <w:r w:rsidRPr="00817B9F">
        <w:t>with</w:t>
      </w:r>
      <w:r w:rsidR="004E3574" w:rsidRPr="00817B9F">
        <w:t xml:space="preserve"> </w:t>
      </w:r>
      <w:r w:rsidR="00090DDB" w:rsidRPr="00817B9F">
        <w:t>MDC 05</w:t>
      </w:r>
      <w:r w:rsidRPr="00817B9F">
        <w:t>, which reflects</w:t>
      </w:r>
      <w:r w:rsidR="00140746" w:rsidRPr="00817B9F">
        <w:t xml:space="preserve"> diagnosis areas related to</w:t>
      </w:r>
      <w:r w:rsidRPr="00817B9F">
        <w:t xml:space="preserve"> d</w:t>
      </w:r>
      <w:r w:rsidR="00090DDB" w:rsidRPr="00817B9F">
        <w:t>isease</w:t>
      </w:r>
      <w:r w:rsidR="00905467" w:rsidRPr="00817B9F">
        <w:t xml:space="preserve">s </w:t>
      </w:r>
      <w:r w:rsidR="0061562F" w:rsidRPr="00817B9F">
        <w:t>and</w:t>
      </w:r>
      <w:r w:rsidR="00905467" w:rsidRPr="00817B9F">
        <w:t xml:space="preserve"> </w:t>
      </w:r>
      <w:r w:rsidRPr="00817B9F">
        <w:t>d</w:t>
      </w:r>
      <w:r w:rsidR="00905467" w:rsidRPr="00817B9F">
        <w:t xml:space="preserve">isorders of the </w:t>
      </w:r>
      <w:r w:rsidRPr="00817B9F">
        <w:t>c</w:t>
      </w:r>
      <w:r w:rsidR="00905467" w:rsidRPr="00817B9F">
        <w:t xml:space="preserve">irculatory </w:t>
      </w:r>
      <w:r w:rsidRPr="00817B9F">
        <w:t>s</w:t>
      </w:r>
      <w:r w:rsidR="00905467" w:rsidRPr="00817B9F">
        <w:t>ystem.</w:t>
      </w:r>
      <w:r w:rsidR="0057706E" w:rsidRPr="00817B9F">
        <w:t xml:space="preserve"> </w:t>
      </w:r>
      <w:r w:rsidR="00E820CC" w:rsidRPr="00817B9F">
        <w:t xml:space="preserve">Based on </w:t>
      </w:r>
      <w:r w:rsidR="000B23F5" w:rsidRPr="00817B9F">
        <w:t>our</w:t>
      </w:r>
      <w:r w:rsidR="00E820CC" w:rsidRPr="00817B9F">
        <w:t xml:space="preserve"> </w:t>
      </w:r>
      <w:r w:rsidR="00C92515" w:rsidRPr="00817B9F">
        <w:t>approach</w:t>
      </w:r>
      <w:r w:rsidR="00E820CC" w:rsidRPr="00817B9F">
        <w:t>, some discharges</w:t>
      </w:r>
      <w:r w:rsidR="00834D05" w:rsidRPr="00817B9F">
        <w:t xml:space="preserve"> could be </w:t>
      </w:r>
      <w:r w:rsidR="006C2303" w:rsidRPr="00817B9F">
        <w:t xml:space="preserve">identified as </w:t>
      </w:r>
      <w:r w:rsidR="00834D05" w:rsidRPr="00817B9F">
        <w:t>both cancer</w:t>
      </w:r>
      <w:r w:rsidR="0061562F" w:rsidRPr="00817B9F">
        <w:t>-</w:t>
      </w:r>
      <w:r w:rsidR="00834D05" w:rsidRPr="00817B9F">
        <w:t xml:space="preserve">related and heart </w:t>
      </w:r>
      <w:r w:rsidR="0061562F" w:rsidRPr="00817B9F">
        <w:t>and</w:t>
      </w:r>
      <w:r w:rsidR="00834D05" w:rsidRPr="00817B9F">
        <w:t xml:space="preserve"> vascular</w:t>
      </w:r>
      <w:r w:rsidR="0061562F" w:rsidRPr="00817B9F">
        <w:t>-related</w:t>
      </w:r>
      <w:r w:rsidR="00834D05" w:rsidRPr="00817B9F">
        <w:t xml:space="preserve"> based</w:t>
      </w:r>
      <w:r w:rsidR="00480C98" w:rsidRPr="00817B9F">
        <w:t>. In such cases, we treat</w:t>
      </w:r>
      <w:r w:rsidR="008B65B7" w:rsidRPr="00817B9F">
        <w:t xml:space="preserve"> </w:t>
      </w:r>
      <w:r w:rsidR="00AD254F" w:rsidRPr="00817B9F">
        <w:t xml:space="preserve">the </w:t>
      </w:r>
      <w:r w:rsidR="009A20B1" w:rsidRPr="00817B9F">
        <w:t xml:space="preserve">discharge as </w:t>
      </w:r>
      <w:r w:rsidR="00F0706E" w:rsidRPr="00817B9F">
        <w:t xml:space="preserve">heart </w:t>
      </w:r>
      <w:r w:rsidR="0061562F" w:rsidRPr="00817B9F">
        <w:t>and</w:t>
      </w:r>
      <w:r w:rsidR="00F0706E" w:rsidRPr="00817B9F">
        <w:t xml:space="preserve"> vascular</w:t>
      </w:r>
      <w:r w:rsidR="00DD6BB2" w:rsidRPr="00817B9F">
        <w:t>-related</w:t>
      </w:r>
      <w:r w:rsidR="00767B38" w:rsidRPr="00817B9F">
        <w:t>.</w:t>
      </w:r>
    </w:p>
    <w:p w14:paraId="1CE5513B" w14:textId="201C33CA" w:rsidR="00004E14" w:rsidRPr="00817B9F" w:rsidRDefault="00EE5C3D" w:rsidP="007C2266">
      <w:pPr>
        <w:pStyle w:val="Heading3"/>
      </w:pPr>
      <w:bookmarkStart w:id="32" w:name="_Ref88219835"/>
      <w:bookmarkStart w:id="33" w:name="_Ref88225785"/>
      <w:bookmarkStart w:id="34" w:name="_Ref88240699"/>
      <w:bookmarkStart w:id="35" w:name="_Ref88240710"/>
      <w:bookmarkStart w:id="36" w:name="_Ref88384199"/>
      <w:bookmarkStart w:id="37" w:name="_Ref88925374"/>
      <w:bookmarkStart w:id="38" w:name="_Ref89017144"/>
      <w:bookmarkStart w:id="39" w:name="_Toc90046501"/>
      <w:r w:rsidRPr="00817B9F">
        <w:t>Outpatient Services</w:t>
      </w:r>
      <w:bookmarkEnd w:id="32"/>
      <w:bookmarkEnd w:id="33"/>
      <w:bookmarkEnd w:id="34"/>
      <w:bookmarkEnd w:id="35"/>
      <w:bookmarkEnd w:id="36"/>
      <w:bookmarkEnd w:id="37"/>
      <w:bookmarkEnd w:id="38"/>
      <w:bookmarkEnd w:id="39"/>
    </w:p>
    <w:p w14:paraId="1C21BA53" w14:textId="6BCA7EA4" w:rsidR="006F30AF" w:rsidRPr="00817B9F" w:rsidRDefault="006F30AF" w:rsidP="006F30AF">
      <w:pPr>
        <w:pStyle w:val="NumberedParagraphs"/>
      </w:pPr>
      <w:bookmarkStart w:id="40" w:name="_Ref88219830"/>
      <w:r w:rsidRPr="00817B9F">
        <w:t>We use the APCD and Medicare Claims data for our analysis of outpatient services. We rely on the type of bill fields</w:t>
      </w:r>
      <w:r w:rsidRPr="00817B9F">
        <w:rPr>
          <w:rStyle w:val="FootnoteReference"/>
        </w:rPr>
        <w:footnoteReference w:id="80"/>
      </w:r>
      <w:r w:rsidRPr="00817B9F">
        <w:t xml:space="preserve"> in the APCD and the Medicare Outpatient File to limit to facility charges associated with claims from hospital outpatient departments or </w:t>
      </w:r>
      <w:r w:rsidR="00D46DB5" w:rsidRPr="00817B9F">
        <w:t>ASCs</w:t>
      </w:r>
      <w:r w:rsidRPr="00817B9F">
        <w:t>, and the place of service field</w:t>
      </w:r>
      <w:r w:rsidR="00A07DBE" w:rsidRPr="00817B9F">
        <w:t>s</w:t>
      </w:r>
      <w:r w:rsidRPr="00817B9F">
        <w:rPr>
          <w:rStyle w:val="FootnoteReference"/>
        </w:rPr>
        <w:footnoteReference w:id="81"/>
      </w:r>
      <w:r w:rsidRPr="00817B9F">
        <w:t xml:space="preserve"> in the APCD and Medicare Carrier file for services rendered at an </w:t>
      </w:r>
      <w:r w:rsidR="00D46DB5" w:rsidRPr="00817B9F">
        <w:t>ASC</w:t>
      </w:r>
      <w:r w:rsidRPr="00817B9F">
        <w:t>. For diagnostic imaging services, we also include professional claims from the APCD or Medicare Carrier File with a place of service indicating office, clinic, or urgent care settings because radiology services are often provided at these locations.</w:t>
      </w:r>
      <w:r w:rsidRPr="00817B9F">
        <w:rPr>
          <w:rStyle w:val="FootnoteReference"/>
        </w:rPr>
        <w:t xml:space="preserve"> </w:t>
      </w:r>
      <w:r w:rsidRPr="00817B9F">
        <w:rPr>
          <w:rStyle w:val="FootnoteReference"/>
        </w:rPr>
        <w:footnoteReference w:id="82"/>
      </w:r>
      <w:r w:rsidRPr="00817B9F">
        <w:t xml:space="preserve"> As previously mentioned, we limit our analyses to patients who reside in Massachusetts and received care in either Suffolk, Essex, Middlesex, Norfolk, Bristol, Plymouth, or Worcester Counties.</w:t>
      </w:r>
    </w:p>
    <w:p w14:paraId="74FBA0F9" w14:textId="62F1B942" w:rsidR="00EE5C3D" w:rsidRPr="00817B9F" w:rsidRDefault="00EE5C3D" w:rsidP="00184D23">
      <w:pPr>
        <w:pStyle w:val="Heading4"/>
        <w:numPr>
          <w:ilvl w:val="0"/>
          <w:numId w:val="23"/>
        </w:numPr>
      </w:pPr>
      <w:r w:rsidRPr="00817B9F">
        <w:lastRenderedPageBreak/>
        <w:t xml:space="preserve">Outpatient </w:t>
      </w:r>
      <w:r w:rsidR="00202FFA" w:rsidRPr="00817B9F">
        <w:t>Cardiovascular</w:t>
      </w:r>
      <w:r w:rsidRPr="00817B9F">
        <w:t xml:space="preserve"> Services</w:t>
      </w:r>
      <w:bookmarkEnd w:id="40"/>
    </w:p>
    <w:p w14:paraId="22CD9809" w14:textId="39B0B1F7" w:rsidR="00BA6C8E" w:rsidRPr="00817B9F" w:rsidRDefault="009149B9" w:rsidP="000258A9">
      <w:pPr>
        <w:pStyle w:val="NumberedParagraphs"/>
      </w:pPr>
      <w:r w:rsidRPr="00817B9F">
        <w:t>We identify outpatient cardiovascular services in the APCD and Medicare Claims data based on claim lines with surgical or non-surgical cardiovascular CPT codes.</w:t>
      </w:r>
      <w:r w:rsidRPr="00817B9F">
        <w:rPr>
          <w:rStyle w:val="FootnoteReference"/>
        </w:rPr>
        <w:footnoteReference w:id="83"/>
      </w:r>
      <w:r w:rsidRPr="00817B9F">
        <w:t xml:space="preserve"> We categorize these cardiovascular CPT codes into three broad categories (</w:t>
      </w:r>
      <w:r w:rsidRPr="00817B9F">
        <w:rPr>
          <w:i/>
          <w:iCs/>
        </w:rPr>
        <w:t>i.e.</w:t>
      </w:r>
      <w:r w:rsidRPr="00817B9F">
        <w:t xml:space="preserve">, Cardiovascular Procedures, Surgical Procedures on Arteries and Veins, and Surgical Procedures on the Heart and Pericardium.) as well as into 69 </w:t>
      </w:r>
      <w:r w:rsidR="00911F1A" w:rsidRPr="00817B9F">
        <w:t>more granular</w:t>
      </w:r>
      <w:r w:rsidRPr="00817B9F">
        <w:t xml:space="preserve"> groupings. The granular groupings include, for example, </w:t>
      </w:r>
      <w:r w:rsidR="00911F1A" w:rsidRPr="00817B9F">
        <w:t>C</w:t>
      </w:r>
      <w:r w:rsidRPr="00817B9F">
        <w:t xml:space="preserve">ardiac </w:t>
      </w:r>
      <w:r w:rsidR="00911F1A" w:rsidRPr="00817B9F">
        <w:t>A</w:t>
      </w:r>
      <w:r w:rsidRPr="00817B9F">
        <w:t xml:space="preserve">ssist </w:t>
      </w:r>
      <w:r w:rsidR="00911F1A" w:rsidRPr="00817B9F">
        <w:t>P</w:t>
      </w:r>
      <w:r w:rsidRPr="00817B9F">
        <w:t xml:space="preserve">rocedures, </w:t>
      </w:r>
      <w:r w:rsidR="00911F1A" w:rsidRPr="00817B9F">
        <w:t>R</w:t>
      </w:r>
      <w:r w:rsidRPr="00817B9F">
        <w:t xml:space="preserve">epair </w:t>
      </w:r>
      <w:r w:rsidR="00911F1A" w:rsidRPr="00817B9F">
        <w:t>P</w:t>
      </w:r>
      <w:r w:rsidRPr="00817B9F">
        <w:t xml:space="preserve">rocedures for </w:t>
      </w:r>
      <w:r w:rsidR="00911F1A" w:rsidRPr="00817B9F">
        <w:t>A</w:t>
      </w:r>
      <w:r w:rsidRPr="00817B9F">
        <w:t xml:space="preserve">ortic </w:t>
      </w:r>
      <w:r w:rsidR="00911F1A" w:rsidRPr="00817B9F">
        <w:t>A</w:t>
      </w:r>
      <w:r w:rsidRPr="00817B9F">
        <w:t xml:space="preserve">nomalies, </w:t>
      </w:r>
      <w:r w:rsidR="00911F1A" w:rsidRPr="00817B9F">
        <w:t>P</w:t>
      </w:r>
      <w:r w:rsidRPr="00817B9F">
        <w:t xml:space="preserve">acemaker or </w:t>
      </w:r>
      <w:r w:rsidR="00911F1A" w:rsidRPr="00817B9F">
        <w:t>I</w:t>
      </w:r>
      <w:r w:rsidRPr="00817B9F">
        <w:t xml:space="preserve">mplantable </w:t>
      </w:r>
      <w:r w:rsidR="00911F1A" w:rsidRPr="00817B9F">
        <w:t>D</w:t>
      </w:r>
      <w:r w:rsidRPr="00817B9F">
        <w:t xml:space="preserve">efibrillator </w:t>
      </w:r>
      <w:r w:rsidR="00911F1A" w:rsidRPr="00817B9F">
        <w:t>P</w:t>
      </w:r>
      <w:r w:rsidRPr="00817B9F">
        <w:t xml:space="preserve">rocedures, and </w:t>
      </w:r>
      <w:r w:rsidR="00911F1A" w:rsidRPr="00817B9F">
        <w:t>A</w:t>
      </w:r>
      <w:r w:rsidRPr="00817B9F">
        <w:t xml:space="preserve">ngioscopy </w:t>
      </w:r>
      <w:r w:rsidR="00911F1A" w:rsidRPr="00817B9F">
        <w:t>P</w:t>
      </w:r>
      <w:r w:rsidRPr="00817B9F">
        <w:t xml:space="preserve">rocedures on </w:t>
      </w:r>
      <w:r w:rsidR="00911F1A" w:rsidRPr="00817B9F">
        <w:t>A</w:t>
      </w:r>
      <w:r w:rsidRPr="00817B9F">
        <w:t xml:space="preserve">rteries and </w:t>
      </w:r>
      <w:r w:rsidR="00911F1A" w:rsidRPr="00817B9F">
        <w:t>V</w:t>
      </w:r>
      <w:r w:rsidRPr="00817B9F">
        <w:t>eins.</w:t>
      </w:r>
    </w:p>
    <w:p w14:paraId="44CDA428" w14:textId="28A1FD04" w:rsidR="00AF4D08" w:rsidRPr="00817B9F" w:rsidRDefault="00EE5C3D" w:rsidP="007C2266">
      <w:pPr>
        <w:pStyle w:val="Heading4"/>
      </w:pPr>
      <w:bookmarkStart w:id="41" w:name="_Ref88225787"/>
      <w:r w:rsidRPr="00817B9F">
        <w:t xml:space="preserve">Outpatient </w:t>
      </w:r>
      <w:r w:rsidR="005B01BB" w:rsidRPr="00817B9F">
        <w:t>Oncology</w:t>
      </w:r>
      <w:r w:rsidRPr="00817B9F">
        <w:t xml:space="preserve"> Services</w:t>
      </w:r>
      <w:bookmarkEnd w:id="41"/>
    </w:p>
    <w:p w14:paraId="4E2ABED5" w14:textId="14F9C29F" w:rsidR="0011538F" w:rsidRPr="00817B9F" w:rsidRDefault="003B2A37" w:rsidP="002C17AA">
      <w:pPr>
        <w:pStyle w:val="NumberedParagraphs"/>
      </w:pPr>
      <w:r w:rsidRPr="00817B9F">
        <w:t xml:space="preserve"> </w:t>
      </w:r>
      <w:r w:rsidR="0087379F" w:rsidRPr="00817B9F">
        <w:t xml:space="preserve">To identify outpatient </w:t>
      </w:r>
      <w:r w:rsidR="007238C8" w:rsidRPr="00817B9F">
        <w:t xml:space="preserve">services related </w:t>
      </w:r>
      <w:r w:rsidR="00365472" w:rsidRPr="00817B9F">
        <w:t xml:space="preserve">to </w:t>
      </w:r>
      <w:r w:rsidR="007238C8" w:rsidRPr="00817B9F">
        <w:t>oncology and cancer care,</w:t>
      </w:r>
      <w:r w:rsidR="00365472" w:rsidRPr="00817B9F">
        <w:t xml:space="preserve"> we </w:t>
      </w:r>
      <w:r w:rsidR="00805D3C" w:rsidRPr="00817B9F">
        <w:t>follow</w:t>
      </w:r>
      <w:r w:rsidR="00C56320" w:rsidRPr="00817B9F">
        <w:t xml:space="preserve"> a methodology that parallels </w:t>
      </w:r>
      <w:r w:rsidR="00CC780A" w:rsidRPr="00817B9F">
        <w:t xml:space="preserve">the </w:t>
      </w:r>
      <w:r w:rsidR="00A75271" w:rsidRPr="00817B9F">
        <w:t>method</w:t>
      </w:r>
      <w:r w:rsidR="00CC780A" w:rsidRPr="00817B9F">
        <w:t xml:space="preserve"> </w:t>
      </w:r>
      <w:r w:rsidR="00A75271" w:rsidRPr="00817B9F">
        <w:t xml:space="preserve">we </w:t>
      </w:r>
      <w:r w:rsidR="00CC780A" w:rsidRPr="00817B9F">
        <w:t xml:space="preserve">use to identify </w:t>
      </w:r>
      <w:r w:rsidR="00365472" w:rsidRPr="00817B9F">
        <w:t xml:space="preserve">inpatient </w:t>
      </w:r>
      <w:r w:rsidR="00CC780A" w:rsidRPr="00817B9F">
        <w:t>oncology services</w:t>
      </w:r>
      <w:r w:rsidR="00702A0E" w:rsidRPr="00817B9F">
        <w:t xml:space="preserve"> </w:t>
      </w:r>
      <w:r w:rsidR="00626F6A" w:rsidRPr="00817B9F">
        <w:t xml:space="preserve">by </w:t>
      </w:r>
      <w:r w:rsidR="002300DD" w:rsidRPr="00817B9F">
        <w:t>relying</w:t>
      </w:r>
      <w:r w:rsidR="00365472" w:rsidRPr="00817B9F">
        <w:t xml:space="preserve"> on </w:t>
      </w:r>
      <w:r w:rsidR="0092366B" w:rsidRPr="00817B9F">
        <w:t>ICD-10</w:t>
      </w:r>
      <w:r w:rsidR="00365472" w:rsidRPr="00817B9F">
        <w:t xml:space="preserve"> diagnosis codes.</w:t>
      </w:r>
      <w:r w:rsidR="00B5721D" w:rsidRPr="00817B9F">
        <w:rPr>
          <w:rStyle w:val="FootnoteReference"/>
        </w:rPr>
        <w:footnoteReference w:id="84"/>
      </w:r>
      <w:r w:rsidRPr="00817B9F">
        <w:t xml:space="preserve"> </w:t>
      </w:r>
      <w:r w:rsidR="00365472" w:rsidRPr="00817B9F">
        <w:t xml:space="preserve">In the Medicare Claims data, we identify any claim as related to </w:t>
      </w:r>
      <w:r w:rsidR="005B01BB" w:rsidRPr="00817B9F">
        <w:t>oncology</w:t>
      </w:r>
      <w:r w:rsidR="00365472" w:rsidRPr="00817B9F">
        <w:t xml:space="preserve"> services if one of the cancer related diagnosis codes appear</w:t>
      </w:r>
      <w:r w:rsidR="00293966" w:rsidRPr="00817B9F">
        <w:t>s</w:t>
      </w:r>
      <w:r w:rsidR="00365472" w:rsidRPr="00817B9F">
        <w:t xml:space="preserve"> in the fields </w:t>
      </w:r>
      <w:r w:rsidR="00365472" w:rsidRPr="00817B9F">
        <w:rPr>
          <w:i/>
          <w:iCs/>
        </w:rPr>
        <w:t xml:space="preserve">Claim Diagnosis Code I </w:t>
      </w:r>
      <w:r w:rsidR="00365472" w:rsidRPr="00817B9F">
        <w:t xml:space="preserve">to </w:t>
      </w:r>
      <w:r w:rsidR="00365472" w:rsidRPr="00817B9F">
        <w:rPr>
          <w:i/>
          <w:iCs/>
        </w:rPr>
        <w:t>Claim Diagnosis Code IV.</w:t>
      </w:r>
      <w:r w:rsidR="00365472" w:rsidRPr="00817B9F">
        <w:rPr>
          <w:rStyle w:val="FootnoteReference"/>
        </w:rPr>
        <w:footnoteReference w:id="85"/>
      </w:r>
      <w:r w:rsidR="00365472" w:rsidRPr="00817B9F">
        <w:t xml:space="preserve"> Similarly, in the APCD</w:t>
      </w:r>
      <w:r w:rsidR="00F50FFA" w:rsidRPr="00817B9F">
        <w:t>,</w:t>
      </w:r>
      <w:r w:rsidR="00365472" w:rsidRPr="00817B9F">
        <w:t xml:space="preserve"> we identify a claim as related to </w:t>
      </w:r>
      <w:r w:rsidR="00874169" w:rsidRPr="00817B9F">
        <w:t>oncology</w:t>
      </w:r>
      <w:r w:rsidR="00365472" w:rsidRPr="00817B9F">
        <w:t xml:space="preserve"> services if one of the cancer related diagnosis codes appear</w:t>
      </w:r>
      <w:r w:rsidR="00BA799D" w:rsidRPr="00817B9F">
        <w:t>s</w:t>
      </w:r>
      <w:r w:rsidR="00365472" w:rsidRPr="00817B9F">
        <w:t xml:space="preserve"> on any claim line in the fields </w:t>
      </w:r>
      <w:r w:rsidR="00365472" w:rsidRPr="00817B9F">
        <w:rPr>
          <w:i/>
          <w:iCs/>
        </w:rPr>
        <w:t>Principal Diagnosis</w:t>
      </w:r>
      <w:r w:rsidR="00365472" w:rsidRPr="00817B9F">
        <w:t xml:space="preserve"> and </w:t>
      </w:r>
      <w:r w:rsidR="00365472" w:rsidRPr="00817B9F">
        <w:rPr>
          <w:i/>
          <w:iCs/>
        </w:rPr>
        <w:t>Other Diagnosis 1</w:t>
      </w:r>
      <w:r w:rsidR="00365472" w:rsidRPr="00817B9F">
        <w:t xml:space="preserve"> to </w:t>
      </w:r>
      <w:r w:rsidR="00365472" w:rsidRPr="00817B9F">
        <w:rPr>
          <w:i/>
          <w:iCs/>
        </w:rPr>
        <w:t>Other Diagnosis 3</w:t>
      </w:r>
      <w:r w:rsidR="00365472" w:rsidRPr="00817B9F">
        <w:t>.</w:t>
      </w:r>
    </w:p>
    <w:p w14:paraId="659C9454" w14:textId="771DA323" w:rsidR="00F614D7" w:rsidRPr="00817B9F" w:rsidRDefault="008A5554" w:rsidP="002C17AA">
      <w:pPr>
        <w:pStyle w:val="NumberedParagraphs"/>
      </w:pPr>
      <w:r w:rsidRPr="00817B9F">
        <w:t>We</w:t>
      </w:r>
      <w:r w:rsidR="0033782B" w:rsidRPr="00817B9F">
        <w:t xml:space="preserve"> also assign each oncology diagnosis code to </w:t>
      </w:r>
      <w:r w:rsidR="0089642E" w:rsidRPr="00817B9F">
        <w:t xml:space="preserve">its </w:t>
      </w:r>
      <w:r w:rsidR="009479AB" w:rsidRPr="00817B9F">
        <w:t>associated</w:t>
      </w:r>
      <w:r w:rsidR="0089642E" w:rsidRPr="00817B9F">
        <w:t xml:space="preserve"> </w:t>
      </w:r>
      <w:r w:rsidR="008872A8" w:rsidRPr="00817B9F">
        <w:t xml:space="preserve">region of the </w:t>
      </w:r>
      <w:r w:rsidR="0089642E" w:rsidRPr="00817B9F">
        <w:t>body</w:t>
      </w:r>
      <w:r w:rsidR="00E0023F" w:rsidRPr="00817B9F">
        <w:t xml:space="preserve"> when possible</w:t>
      </w:r>
      <w:r w:rsidR="0089642E" w:rsidRPr="00817B9F">
        <w:t>.</w:t>
      </w:r>
      <w:r w:rsidR="003B2A37" w:rsidRPr="00817B9F">
        <w:t xml:space="preserve"> </w:t>
      </w:r>
      <w:r w:rsidR="009479AB" w:rsidRPr="00817B9F">
        <w:t xml:space="preserve">These include: </w:t>
      </w:r>
      <w:r w:rsidR="0013477A" w:rsidRPr="00817B9F">
        <w:t>B</w:t>
      </w:r>
      <w:r w:rsidR="00BE381E" w:rsidRPr="00817B9F">
        <w:t xml:space="preserve">reast, </w:t>
      </w:r>
      <w:r w:rsidR="0013477A" w:rsidRPr="00817B9F">
        <w:t>E</w:t>
      </w:r>
      <w:r w:rsidR="00BE381E" w:rsidRPr="00817B9F">
        <w:t xml:space="preserve">ndocrine, </w:t>
      </w:r>
      <w:r w:rsidR="001057B6" w:rsidRPr="00817B9F">
        <w:t>G</w:t>
      </w:r>
      <w:r w:rsidR="00382F24" w:rsidRPr="00817B9F">
        <w:t>astrointestinal</w:t>
      </w:r>
      <w:r w:rsidR="001057B6" w:rsidRPr="00817B9F">
        <w:t xml:space="preserve">, </w:t>
      </w:r>
      <w:r w:rsidR="003F32AF" w:rsidRPr="00817B9F">
        <w:t>Genitourinary</w:t>
      </w:r>
      <w:r w:rsidR="001057B6" w:rsidRPr="00817B9F">
        <w:t>, Gyn</w:t>
      </w:r>
      <w:r w:rsidR="00554255" w:rsidRPr="00817B9F">
        <w:t>e</w:t>
      </w:r>
      <w:r w:rsidR="002D51AE" w:rsidRPr="00817B9F">
        <w:t>cologic Oncology</w:t>
      </w:r>
      <w:r w:rsidR="001057B6" w:rsidRPr="00817B9F">
        <w:t>,</w:t>
      </w:r>
      <w:r w:rsidR="0013477A" w:rsidRPr="00817B9F">
        <w:t xml:space="preserve"> Head </w:t>
      </w:r>
      <w:r w:rsidR="00B04662" w:rsidRPr="00817B9F">
        <w:t>and</w:t>
      </w:r>
      <w:r w:rsidR="0013477A" w:rsidRPr="00817B9F">
        <w:t xml:space="preserve"> Neck, Hematology, Melanoma, Neuro Oncology, Sarcoma, </w:t>
      </w:r>
      <w:r w:rsidR="00E0023F" w:rsidRPr="00817B9F">
        <w:t xml:space="preserve">and </w:t>
      </w:r>
      <w:r w:rsidR="0013477A" w:rsidRPr="00817B9F">
        <w:t>Thoracic Oncology.</w:t>
      </w:r>
      <w:r w:rsidR="00356674" w:rsidRPr="00817B9F">
        <w:rPr>
          <w:rStyle w:val="FootnoteReference"/>
        </w:rPr>
        <w:footnoteReference w:id="86"/>
      </w:r>
    </w:p>
    <w:p w14:paraId="3B1ED205" w14:textId="0B90350E" w:rsidR="00EE5C3D" w:rsidRPr="00817B9F" w:rsidRDefault="00760D85" w:rsidP="007C2266">
      <w:pPr>
        <w:pStyle w:val="Heading4"/>
      </w:pPr>
      <w:bookmarkStart w:id="42" w:name="_Ref88581139"/>
      <w:r w:rsidRPr="00817B9F">
        <w:t>Diagnostic Imaging Services</w:t>
      </w:r>
      <w:bookmarkEnd w:id="42"/>
    </w:p>
    <w:p w14:paraId="20C713FD" w14:textId="03708848" w:rsidR="00101532" w:rsidRPr="00817B9F" w:rsidRDefault="00B70A39" w:rsidP="00F9637F">
      <w:pPr>
        <w:pStyle w:val="NumberedParagraphs"/>
      </w:pPr>
      <w:r w:rsidRPr="00817B9F">
        <w:t>To identify diagnostic imaging services</w:t>
      </w:r>
      <w:r w:rsidR="00DE189F" w:rsidRPr="00817B9F">
        <w:t xml:space="preserve"> in the </w:t>
      </w:r>
      <w:r w:rsidR="00060D8C" w:rsidRPr="00817B9F">
        <w:t xml:space="preserve">APCD and </w:t>
      </w:r>
      <w:r w:rsidR="00DE189F" w:rsidRPr="00817B9F">
        <w:t xml:space="preserve">Medicare Claims data, </w:t>
      </w:r>
      <w:r w:rsidRPr="00817B9F">
        <w:t xml:space="preserve">we first </w:t>
      </w:r>
      <w:r w:rsidR="00496EC4" w:rsidRPr="00817B9F">
        <w:t>review</w:t>
      </w:r>
      <w:r w:rsidR="00DE189F" w:rsidRPr="00817B9F">
        <w:t xml:space="preserve"> </w:t>
      </w:r>
      <w:r w:rsidR="00727A2E" w:rsidRPr="00817B9F">
        <w:t xml:space="preserve">CPT codes </w:t>
      </w:r>
      <w:r w:rsidR="002D771A" w:rsidRPr="00817B9F">
        <w:t xml:space="preserve">and associated descriptions to </w:t>
      </w:r>
      <w:r w:rsidR="002644C9" w:rsidRPr="00817B9F">
        <w:t>categorize releva</w:t>
      </w:r>
      <w:r w:rsidR="00101532" w:rsidRPr="00817B9F">
        <w:t>n</w:t>
      </w:r>
      <w:r w:rsidR="002644C9" w:rsidRPr="00817B9F">
        <w:t>t values into</w:t>
      </w:r>
      <w:r w:rsidR="00727A2E" w:rsidRPr="00817B9F">
        <w:t xml:space="preserve"> </w:t>
      </w:r>
      <w:r w:rsidR="00DE189F" w:rsidRPr="00817B9F">
        <w:t xml:space="preserve">one of the </w:t>
      </w:r>
      <w:r w:rsidR="00DE189F" w:rsidRPr="00817B9F">
        <w:lastRenderedPageBreak/>
        <w:t xml:space="preserve">following services: </w:t>
      </w:r>
      <w:r w:rsidR="00101532" w:rsidRPr="00817B9F">
        <w:t xml:space="preserve">CT, </w:t>
      </w:r>
      <w:r w:rsidR="008C5234" w:rsidRPr="00817B9F">
        <w:t>MRI</w:t>
      </w:r>
      <w:r w:rsidR="00101532" w:rsidRPr="00817B9F">
        <w:t>, PET/CT</w:t>
      </w:r>
      <w:r w:rsidR="008027FD" w:rsidRPr="00817B9F">
        <w:t>,</w:t>
      </w:r>
      <w:r w:rsidR="00101532" w:rsidRPr="00817B9F">
        <w:t xml:space="preserve"> and</w:t>
      </w:r>
      <w:r w:rsidR="007C1CD4" w:rsidRPr="00817B9F">
        <w:t xml:space="preserve"> </w:t>
      </w:r>
      <w:r w:rsidR="00101532" w:rsidRPr="00817B9F">
        <w:t>PET/MR</w:t>
      </w:r>
      <w:r w:rsidR="003C44A7" w:rsidRPr="00817B9F">
        <w:t>.</w:t>
      </w:r>
      <w:r w:rsidR="0099326B" w:rsidRPr="00817B9F">
        <w:rPr>
          <w:rStyle w:val="FootnoteReference"/>
        </w:rPr>
        <w:footnoteReference w:id="87"/>
      </w:r>
      <w:r w:rsidR="00417C51" w:rsidRPr="00817B9F">
        <w:t xml:space="preserve"> </w:t>
      </w:r>
      <w:r w:rsidR="00F5719F" w:rsidRPr="00817B9F">
        <w:t xml:space="preserve">We then </w:t>
      </w:r>
      <w:r w:rsidR="00766296" w:rsidRPr="00817B9F">
        <w:t xml:space="preserve">limit the </w:t>
      </w:r>
      <w:r w:rsidR="00D6297F" w:rsidRPr="00817B9F">
        <w:t xml:space="preserve">processed </w:t>
      </w:r>
      <w:r w:rsidR="00060D8C" w:rsidRPr="00817B9F">
        <w:t xml:space="preserve">APCD and </w:t>
      </w:r>
      <w:r w:rsidR="00766296" w:rsidRPr="00817B9F">
        <w:t xml:space="preserve">Medicare </w:t>
      </w:r>
      <w:r w:rsidR="00060D8C" w:rsidRPr="00817B9F">
        <w:t>Claims data</w:t>
      </w:r>
      <w:r w:rsidR="00766296" w:rsidRPr="00817B9F">
        <w:t xml:space="preserve"> </w:t>
      </w:r>
      <w:r w:rsidR="000239BE" w:rsidRPr="00817B9F">
        <w:t>to</w:t>
      </w:r>
      <w:r w:rsidR="00F5719F" w:rsidRPr="00817B9F">
        <w:t xml:space="preserve"> any claim line </w:t>
      </w:r>
      <w:r w:rsidR="005E1329" w:rsidRPr="00817B9F">
        <w:t>belonging to</w:t>
      </w:r>
      <w:r w:rsidR="00F5719F" w:rsidRPr="00817B9F">
        <w:t xml:space="preserve"> one of the </w:t>
      </w:r>
      <w:r w:rsidR="005E1329" w:rsidRPr="00817B9F">
        <w:t>above imaging services</w:t>
      </w:r>
      <w:r w:rsidR="005A284E" w:rsidRPr="00817B9F">
        <w:t xml:space="preserve"> to create the data used</w:t>
      </w:r>
      <w:r w:rsidR="006E08CA" w:rsidRPr="00817B9F">
        <w:t xml:space="preserve"> in our analysis of diagnostic imaging services.</w:t>
      </w:r>
    </w:p>
    <w:p w14:paraId="3D7E964F" w14:textId="7DC4698A" w:rsidR="006F6BC3" w:rsidRPr="00817B9F" w:rsidRDefault="00A93AE1" w:rsidP="007C2266">
      <w:pPr>
        <w:pStyle w:val="Heading2"/>
        <w:rPr>
          <w:rFonts w:cs="Times New Roman"/>
        </w:rPr>
      </w:pPr>
      <w:bookmarkStart w:id="43" w:name="_Ref88595129"/>
      <w:bookmarkStart w:id="44" w:name="_Ref88595165"/>
      <w:bookmarkStart w:id="45" w:name="_Ref88595174"/>
      <w:bookmarkStart w:id="46" w:name="_Ref88595735"/>
      <w:bookmarkStart w:id="47" w:name="_Ref88596031"/>
      <w:bookmarkStart w:id="48" w:name="_Ref88647445"/>
      <w:bookmarkStart w:id="49" w:name="_Toc90046502"/>
      <w:r w:rsidRPr="00817B9F">
        <w:rPr>
          <w:rFonts w:cs="Times New Roman"/>
        </w:rPr>
        <w:t xml:space="preserve">Prices </w:t>
      </w:r>
      <w:r w:rsidR="00247A28" w:rsidRPr="00817B9F">
        <w:rPr>
          <w:rFonts w:cs="Times New Roman"/>
        </w:rPr>
        <w:t xml:space="preserve">for Health Care Services </w:t>
      </w:r>
      <w:r w:rsidRPr="00817B9F">
        <w:rPr>
          <w:rFonts w:cs="Times New Roman"/>
        </w:rPr>
        <w:t xml:space="preserve">Used </w:t>
      </w:r>
      <w:r w:rsidR="00247A28" w:rsidRPr="00817B9F">
        <w:rPr>
          <w:rFonts w:cs="Times New Roman"/>
        </w:rPr>
        <w:t>for</w:t>
      </w:r>
      <w:r w:rsidRPr="00817B9F">
        <w:rPr>
          <w:rFonts w:cs="Times New Roman"/>
        </w:rPr>
        <w:t xml:space="preserve"> Analyses</w:t>
      </w:r>
      <w:bookmarkEnd w:id="43"/>
      <w:bookmarkEnd w:id="44"/>
      <w:bookmarkEnd w:id="45"/>
      <w:bookmarkEnd w:id="46"/>
      <w:bookmarkEnd w:id="47"/>
      <w:bookmarkEnd w:id="48"/>
      <w:bookmarkEnd w:id="49"/>
    </w:p>
    <w:p w14:paraId="11599825" w14:textId="68F7F22B" w:rsidR="00D013A3" w:rsidRPr="00817B9F" w:rsidRDefault="005836E2" w:rsidP="00D013A3">
      <w:pPr>
        <w:pStyle w:val="NumberedParagraphs"/>
      </w:pPr>
      <w:r w:rsidRPr="00817B9F">
        <w:t xml:space="preserve">Addressing the elements of the ICA requires </w:t>
      </w:r>
      <w:r w:rsidR="006007D5" w:rsidRPr="00817B9F">
        <w:t>estimating</w:t>
      </w:r>
      <w:r w:rsidRPr="00817B9F">
        <w:t xml:space="preserve"> how the </w:t>
      </w:r>
      <w:r w:rsidR="006007D5" w:rsidRPr="00817B9F">
        <w:t>forecasted</w:t>
      </w:r>
      <w:r w:rsidRPr="00817B9F">
        <w:t xml:space="preserve"> changes in where patients choose to receive health care services</w:t>
      </w:r>
      <w:r w:rsidR="00244D8B" w:rsidRPr="00817B9F">
        <w:t xml:space="preserve"> affects the </w:t>
      </w:r>
      <w:r w:rsidR="00D93114" w:rsidRPr="00817B9F">
        <w:t>total cost</w:t>
      </w:r>
      <w:r w:rsidR="00244D8B" w:rsidRPr="00817B9F">
        <w:t xml:space="preserve"> </w:t>
      </w:r>
      <w:r w:rsidR="0079033A" w:rsidRPr="00817B9F">
        <w:t>for</w:t>
      </w:r>
      <w:r w:rsidR="009F70DA" w:rsidRPr="00817B9F">
        <w:t xml:space="preserve"> th</w:t>
      </w:r>
      <w:r w:rsidR="00D97235" w:rsidRPr="00817B9F">
        <w:t>ose</w:t>
      </w:r>
      <w:r w:rsidR="009F70DA" w:rsidRPr="00817B9F">
        <w:t xml:space="preserve"> services</w:t>
      </w:r>
      <w:r w:rsidRPr="00817B9F">
        <w:t>.</w:t>
      </w:r>
      <w:r w:rsidR="00722316" w:rsidRPr="00817B9F">
        <w:t xml:space="preserve"> To do so</w:t>
      </w:r>
      <w:r w:rsidR="00CC5251" w:rsidRPr="00817B9F">
        <w:t>,</w:t>
      </w:r>
      <w:r w:rsidR="00722316" w:rsidRPr="00817B9F">
        <w:t xml:space="preserve"> w</w:t>
      </w:r>
      <w:r w:rsidR="007B5905" w:rsidRPr="00817B9F">
        <w:t xml:space="preserve">e construct the necessary relative price </w:t>
      </w:r>
      <w:r w:rsidR="00C81362" w:rsidRPr="00817B9F">
        <w:t xml:space="preserve">information for services provided at </w:t>
      </w:r>
      <w:r w:rsidR="009A073C" w:rsidRPr="00817B9F">
        <w:t>health</w:t>
      </w:r>
      <w:r w:rsidR="006F22A7" w:rsidRPr="00817B9F">
        <w:t xml:space="preserve"> </w:t>
      </w:r>
      <w:r w:rsidR="009A073C" w:rsidRPr="00817B9F">
        <w:t>care facilities in Massachusetts.</w:t>
      </w:r>
      <w:r w:rsidR="00E00E1F" w:rsidRPr="00817B9F">
        <w:t xml:space="preserve"> </w:t>
      </w:r>
    </w:p>
    <w:p w14:paraId="02F86684" w14:textId="155CFE3D" w:rsidR="00D3553D" w:rsidRPr="00817B9F" w:rsidRDefault="00FB1157" w:rsidP="003B048E">
      <w:pPr>
        <w:pStyle w:val="Heading3"/>
        <w:numPr>
          <w:ilvl w:val="0"/>
          <w:numId w:val="30"/>
        </w:numPr>
      </w:pPr>
      <w:bookmarkStart w:id="50" w:name="_Ref88595157"/>
      <w:bookmarkStart w:id="51" w:name="_Toc90046503"/>
      <w:r w:rsidRPr="00817B9F">
        <w:t xml:space="preserve">Relative Prices for </w:t>
      </w:r>
      <w:r w:rsidR="00D3553D" w:rsidRPr="00817B9F">
        <w:t>Commercial</w:t>
      </w:r>
      <w:r w:rsidRPr="00817B9F">
        <w:t xml:space="preserve">, Medicare </w:t>
      </w:r>
      <w:r w:rsidR="00DC0F18" w:rsidRPr="00817B9F">
        <w:t>Health Plans</w:t>
      </w:r>
      <w:r w:rsidRPr="00817B9F">
        <w:t>, and</w:t>
      </w:r>
      <w:r w:rsidR="00D3553D" w:rsidRPr="00817B9F">
        <w:t xml:space="preserve"> MassHealth</w:t>
      </w:r>
      <w:r w:rsidR="00C7733D" w:rsidRPr="00817B9F">
        <w:t xml:space="preserve"> Managed Care Plans</w:t>
      </w:r>
      <w:bookmarkEnd w:id="50"/>
      <w:bookmarkEnd w:id="51"/>
    </w:p>
    <w:p w14:paraId="05C9346B" w14:textId="07C3E530" w:rsidR="005A7061" w:rsidRPr="00817B9F" w:rsidRDefault="004F1CD9" w:rsidP="00184D23">
      <w:pPr>
        <w:pStyle w:val="Heading4"/>
        <w:numPr>
          <w:ilvl w:val="0"/>
          <w:numId w:val="24"/>
        </w:numPr>
      </w:pPr>
      <w:r w:rsidRPr="00817B9F">
        <w:t>I</w:t>
      </w:r>
      <w:r w:rsidR="005A7061" w:rsidRPr="00817B9F">
        <w:t>npatient Services</w:t>
      </w:r>
    </w:p>
    <w:p w14:paraId="421AB9FF" w14:textId="41B5C0C3" w:rsidR="00F80BFA" w:rsidRPr="00817B9F" w:rsidRDefault="00D93114" w:rsidP="00F80BFA">
      <w:pPr>
        <w:pStyle w:val="NumberedParagraphs"/>
      </w:pPr>
      <w:r w:rsidRPr="00817B9F">
        <w:t>T</w:t>
      </w:r>
      <w:r w:rsidR="009F70DA" w:rsidRPr="00817B9F">
        <w:t xml:space="preserve">o estimate the </w:t>
      </w:r>
      <w:r w:rsidR="009472EF" w:rsidRPr="00817B9F">
        <w:t xml:space="preserve">cost </w:t>
      </w:r>
      <w:r w:rsidR="007308E6" w:rsidRPr="00817B9F">
        <w:t>effect</w:t>
      </w:r>
      <w:r w:rsidR="009F70DA" w:rsidRPr="00817B9F">
        <w:t xml:space="preserve"> </w:t>
      </w:r>
      <w:r w:rsidR="004B1136" w:rsidRPr="00817B9F">
        <w:t>(</w:t>
      </w:r>
      <w:r w:rsidR="004B1136" w:rsidRPr="00817B9F">
        <w:rPr>
          <w:i/>
          <w:iCs/>
        </w:rPr>
        <w:t>i.e.</w:t>
      </w:r>
      <w:r w:rsidR="004B1136" w:rsidRPr="00817B9F">
        <w:t xml:space="preserve">, price differences) </w:t>
      </w:r>
      <w:r w:rsidR="009F70DA" w:rsidRPr="00817B9F">
        <w:t>of changes</w:t>
      </w:r>
      <w:r w:rsidR="0005731E" w:rsidRPr="00817B9F">
        <w:t xml:space="preserve"> </w:t>
      </w:r>
      <w:r w:rsidR="009F70DA" w:rsidRPr="00817B9F">
        <w:t xml:space="preserve">where inpatient care is </w:t>
      </w:r>
      <w:r w:rsidR="007308E6" w:rsidRPr="00817B9F">
        <w:t xml:space="preserve">provided </w:t>
      </w:r>
      <w:r w:rsidR="009472EF" w:rsidRPr="00817B9F">
        <w:t>for</w:t>
      </w:r>
      <w:r w:rsidR="007308E6" w:rsidRPr="00817B9F">
        <w:t xml:space="preserve"> commercial</w:t>
      </w:r>
      <w:r w:rsidR="00B71E02" w:rsidRPr="00817B9F">
        <w:t xml:space="preserve"> insurance</w:t>
      </w:r>
      <w:r w:rsidR="007308E6" w:rsidRPr="00817B9F">
        <w:t xml:space="preserve">, MassHealth </w:t>
      </w:r>
      <w:r w:rsidR="00B71E02" w:rsidRPr="00817B9F">
        <w:t>m</w:t>
      </w:r>
      <w:r w:rsidR="007308E6" w:rsidRPr="00817B9F">
        <w:t xml:space="preserve">anaged </w:t>
      </w:r>
      <w:r w:rsidR="00B71E02" w:rsidRPr="00817B9F">
        <w:t>c</w:t>
      </w:r>
      <w:r w:rsidR="007308E6" w:rsidRPr="00817B9F">
        <w:t xml:space="preserve">are, and Medicare </w:t>
      </w:r>
      <w:r w:rsidR="00B71E02" w:rsidRPr="00817B9F">
        <w:t>health</w:t>
      </w:r>
      <w:r w:rsidR="007308E6" w:rsidRPr="00817B9F">
        <w:t xml:space="preserve"> plans we utilize the CHIA </w:t>
      </w:r>
      <w:r w:rsidR="00757D22" w:rsidRPr="00817B9F">
        <w:t>Inpatient Relative Price Data</w:t>
      </w:r>
      <w:r w:rsidR="00B714F1" w:rsidRPr="00817B9F">
        <w:t xml:space="preserve">. As discussed </w:t>
      </w:r>
      <w:r w:rsidR="00D76FA7" w:rsidRPr="00817B9F">
        <w:t>above</w:t>
      </w:r>
      <w:r w:rsidR="00B714F1" w:rsidRPr="00817B9F">
        <w:t xml:space="preserve">, </w:t>
      </w:r>
      <w:r w:rsidR="00D76FA7" w:rsidRPr="00817B9F">
        <w:t>the CHIA Inpatient Relative Price Data</w:t>
      </w:r>
      <w:r w:rsidR="00224D7A" w:rsidRPr="00817B9F">
        <w:t xml:space="preserve"> “facilitates comparison of average provider prices, accounting for differences in patient acuity, the types of services providers deliver to patients, and the different insurance product types that payors offer to their members.”</w:t>
      </w:r>
      <w:r w:rsidR="00224D7A" w:rsidRPr="00817B9F">
        <w:rPr>
          <w:rStyle w:val="FootnoteReference"/>
        </w:rPr>
        <w:footnoteReference w:id="88"/>
      </w:r>
      <w:r w:rsidR="003B2A37" w:rsidRPr="00817B9F">
        <w:t xml:space="preserve"> </w:t>
      </w:r>
    </w:p>
    <w:p w14:paraId="32D2A80F" w14:textId="03BFACF7" w:rsidR="00572A16" w:rsidRPr="00817B9F" w:rsidRDefault="00D3553D" w:rsidP="007C2266">
      <w:pPr>
        <w:pStyle w:val="Heading4"/>
      </w:pPr>
      <w:bookmarkStart w:id="52" w:name="_Ref88595143"/>
      <w:r w:rsidRPr="00817B9F">
        <w:t xml:space="preserve">Outpatient </w:t>
      </w:r>
      <w:r w:rsidR="008701B6" w:rsidRPr="00817B9F">
        <w:t>Services</w:t>
      </w:r>
      <w:bookmarkEnd w:id="52"/>
    </w:p>
    <w:p w14:paraId="5DD72DD1" w14:textId="12D254CF" w:rsidR="006C0F34" w:rsidRPr="00817B9F" w:rsidRDefault="00634AD8" w:rsidP="006C0F34">
      <w:pPr>
        <w:pStyle w:val="NumberedParagraphs"/>
      </w:pPr>
      <w:r w:rsidRPr="00817B9F">
        <w:t>To estimate the effect of changes where outpatient care is provided on prices paid by commercial</w:t>
      </w:r>
      <w:r w:rsidR="00BE71B5" w:rsidRPr="00817B9F">
        <w:t xml:space="preserve"> insurance</w:t>
      </w:r>
      <w:r w:rsidRPr="00817B9F">
        <w:t xml:space="preserve">, MassHealth </w:t>
      </w:r>
      <w:r w:rsidR="00BE71B5" w:rsidRPr="00817B9F">
        <w:t>m</w:t>
      </w:r>
      <w:r w:rsidRPr="00817B9F">
        <w:t xml:space="preserve">anaged </w:t>
      </w:r>
      <w:r w:rsidR="00BE71B5" w:rsidRPr="00817B9F">
        <w:t>c</w:t>
      </w:r>
      <w:r w:rsidRPr="00817B9F">
        <w:t xml:space="preserve">are, and Medicare </w:t>
      </w:r>
      <w:r w:rsidR="00BE71B5" w:rsidRPr="00817B9F">
        <w:t>health</w:t>
      </w:r>
      <w:r w:rsidRPr="00817B9F">
        <w:t xml:space="preserve"> plans we utilize the APCD </w:t>
      </w:r>
      <w:r w:rsidR="00956485" w:rsidRPr="00817B9F">
        <w:t>in conjunction with Adde</w:t>
      </w:r>
      <w:r w:rsidR="001E1C43" w:rsidRPr="00817B9F">
        <w:t xml:space="preserve">ndum B of the </w:t>
      </w:r>
      <w:r w:rsidR="00AB297A" w:rsidRPr="00817B9F">
        <w:t>OPPS</w:t>
      </w:r>
      <w:r w:rsidR="001E1C43" w:rsidRPr="00817B9F">
        <w:t>.</w:t>
      </w:r>
      <w:r w:rsidR="003B2A37" w:rsidRPr="00817B9F">
        <w:t xml:space="preserve"> </w:t>
      </w:r>
      <w:r w:rsidR="00316CC5" w:rsidRPr="00817B9F">
        <w:t xml:space="preserve">For each </w:t>
      </w:r>
      <w:r w:rsidR="007F3811" w:rsidRPr="00817B9F">
        <w:t>outpatient service</w:t>
      </w:r>
      <w:r w:rsidR="00453FEB" w:rsidRPr="00817B9F">
        <w:t>,</w:t>
      </w:r>
      <w:r w:rsidR="005E6A36" w:rsidRPr="00817B9F">
        <w:t xml:space="preserve"> </w:t>
      </w:r>
      <w:r w:rsidR="00D85E08" w:rsidRPr="00817B9F">
        <w:t xml:space="preserve">we calculate </w:t>
      </w:r>
      <w:r w:rsidR="00003310" w:rsidRPr="00817B9F">
        <w:t>a</w:t>
      </w:r>
      <w:r w:rsidR="005E6A36" w:rsidRPr="00817B9F">
        <w:t xml:space="preserve"> reimbursement rate </w:t>
      </w:r>
      <w:r w:rsidR="005E5FDB" w:rsidRPr="00817B9F">
        <w:t>(</w:t>
      </w:r>
      <w:r w:rsidR="005E5FDB" w:rsidRPr="00817B9F">
        <w:rPr>
          <w:i/>
          <w:iCs/>
        </w:rPr>
        <w:t>i.e.</w:t>
      </w:r>
      <w:r w:rsidR="005E5FDB" w:rsidRPr="00817B9F">
        <w:t>, the allowed amount)</w:t>
      </w:r>
      <w:r w:rsidR="005E6A36" w:rsidRPr="00817B9F">
        <w:t xml:space="preserve"> </w:t>
      </w:r>
      <w:r w:rsidR="00BE4719" w:rsidRPr="00817B9F">
        <w:t xml:space="preserve">for </w:t>
      </w:r>
      <w:r w:rsidR="00003310" w:rsidRPr="00817B9F">
        <w:t xml:space="preserve">each </w:t>
      </w:r>
      <w:r w:rsidR="00F124FF" w:rsidRPr="00817B9F">
        <w:t>facility, payor</w:t>
      </w:r>
      <w:r w:rsidR="0027221E" w:rsidRPr="00817B9F">
        <w:t xml:space="preserve">, </w:t>
      </w:r>
      <w:r w:rsidR="00DD6DF5" w:rsidRPr="00817B9F">
        <w:t xml:space="preserve">and </w:t>
      </w:r>
      <w:r w:rsidR="0027221E" w:rsidRPr="00817B9F">
        <w:t>insurance type combination</w:t>
      </w:r>
      <w:r w:rsidR="00BE4719" w:rsidRPr="00817B9F">
        <w:t xml:space="preserve"> relative to the </w:t>
      </w:r>
      <w:r w:rsidR="002E7FC6" w:rsidRPr="00817B9F">
        <w:t>amount</w:t>
      </w:r>
      <w:r w:rsidR="00BE4719" w:rsidRPr="00817B9F">
        <w:t xml:space="preserve"> Original Medicare would pay</w:t>
      </w:r>
      <w:r w:rsidR="00777C26" w:rsidRPr="00817B9F">
        <w:t xml:space="preserve"> for </w:t>
      </w:r>
      <w:r w:rsidR="002E0674" w:rsidRPr="00817B9F">
        <w:t>t</w:t>
      </w:r>
      <w:r w:rsidR="00165945" w:rsidRPr="00817B9F">
        <w:t xml:space="preserve">he </w:t>
      </w:r>
      <w:r w:rsidR="00777C26" w:rsidRPr="00817B9F">
        <w:t xml:space="preserve">same </w:t>
      </w:r>
      <w:r w:rsidR="00165945" w:rsidRPr="00817B9F">
        <w:t>service</w:t>
      </w:r>
      <w:r w:rsidR="0027221E" w:rsidRPr="00817B9F">
        <w:t>.</w:t>
      </w:r>
      <w:r w:rsidR="00A0558B" w:rsidRPr="00817B9F">
        <w:rPr>
          <w:rStyle w:val="FootnoteReference"/>
        </w:rPr>
        <w:footnoteReference w:id="89"/>
      </w:r>
      <w:r w:rsidR="003B2A37" w:rsidRPr="00817B9F">
        <w:t xml:space="preserve"> </w:t>
      </w:r>
      <w:r w:rsidR="00DF72A1" w:rsidRPr="00817B9F">
        <w:t>As</w:t>
      </w:r>
      <w:r w:rsidR="00982BB7" w:rsidRPr="00817B9F">
        <w:t xml:space="preserve"> </w:t>
      </w:r>
      <w:r w:rsidR="00DF72A1" w:rsidRPr="00817B9F">
        <w:lastRenderedPageBreak/>
        <w:t xml:space="preserve">discussed </w:t>
      </w:r>
      <w:r w:rsidR="00515854" w:rsidRPr="00817B9F">
        <w:t>previously</w:t>
      </w:r>
      <w:r w:rsidR="00A200A7" w:rsidRPr="00817B9F">
        <w:t>,</w:t>
      </w:r>
      <w:r w:rsidR="00DF72A1" w:rsidRPr="00817B9F">
        <w:t xml:space="preserve"> </w:t>
      </w:r>
      <w:r w:rsidR="00BA326D" w:rsidRPr="00817B9F">
        <w:t xml:space="preserve">expressing </w:t>
      </w:r>
      <w:r w:rsidR="00D906CB" w:rsidRPr="00817B9F">
        <w:t>reimbursement rates</w:t>
      </w:r>
      <w:r w:rsidR="00BA326D" w:rsidRPr="00817B9F">
        <w:t xml:space="preserve"> relative </w:t>
      </w:r>
      <w:r w:rsidR="00D906CB" w:rsidRPr="00817B9F">
        <w:t>those</w:t>
      </w:r>
      <w:r w:rsidR="00204B64" w:rsidRPr="00817B9F">
        <w:t xml:space="preserve"> to</w:t>
      </w:r>
      <w:r w:rsidR="00D906CB" w:rsidRPr="00817B9F">
        <w:t xml:space="preserve"> paid by</w:t>
      </w:r>
      <w:r w:rsidR="00BA326D" w:rsidRPr="00817B9F">
        <w:t xml:space="preserve"> Original Medicare </w:t>
      </w:r>
      <w:r w:rsidR="00D906CB" w:rsidRPr="00817B9F">
        <w:t>allows us to compare prices</w:t>
      </w:r>
      <w:r w:rsidR="00A375AC" w:rsidRPr="00817B9F">
        <w:t xml:space="preserve"> at facilities </w:t>
      </w:r>
      <w:r w:rsidR="00B620CD" w:rsidRPr="00817B9F">
        <w:t>despite</w:t>
      </w:r>
      <w:r w:rsidR="00A375AC" w:rsidRPr="00817B9F">
        <w:t xml:space="preserve"> </w:t>
      </w:r>
      <w:r w:rsidR="00440032" w:rsidRPr="00817B9F">
        <w:t>differences in service mix</w:t>
      </w:r>
      <w:r w:rsidR="004F3495" w:rsidRPr="00817B9F">
        <w:t>.</w:t>
      </w:r>
      <w:r w:rsidR="00825FFF" w:rsidRPr="00817B9F">
        <w:rPr>
          <w:rStyle w:val="FootnoteReference"/>
        </w:rPr>
        <w:footnoteReference w:id="90"/>
      </w:r>
      <w:r w:rsidR="0051094A" w:rsidRPr="00817B9F">
        <w:t xml:space="preserve"> Below, we summarize </w:t>
      </w:r>
      <w:r w:rsidR="00745736" w:rsidRPr="00817B9F">
        <w:t xml:space="preserve">the </w:t>
      </w:r>
      <w:r w:rsidR="0045445D" w:rsidRPr="00817B9F">
        <w:t>method</w:t>
      </w:r>
      <w:r w:rsidR="00AE2BAE" w:rsidRPr="00817B9F">
        <w:t>s</w:t>
      </w:r>
      <w:r w:rsidR="0045445D" w:rsidRPr="00817B9F">
        <w:t xml:space="preserve"> used to</w:t>
      </w:r>
      <w:r w:rsidR="00745736" w:rsidRPr="00817B9F">
        <w:t xml:space="preserve"> </w:t>
      </w:r>
      <w:r w:rsidR="00D211BA" w:rsidRPr="00817B9F">
        <w:t xml:space="preserve">calculate the </w:t>
      </w:r>
      <w:r w:rsidR="00745736" w:rsidRPr="00817B9F">
        <w:t xml:space="preserve">Original Medicare </w:t>
      </w:r>
      <w:r w:rsidR="0045445D" w:rsidRPr="00817B9F">
        <w:t>payment</w:t>
      </w:r>
      <w:r w:rsidR="00745736" w:rsidRPr="00817B9F">
        <w:t xml:space="preserve"> </w:t>
      </w:r>
      <w:r w:rsidR="00D211BA" w:rsidRPr="00817B9F">
        <w:t xml:space="preserve">that </w:t>
      </w:r>
      <w:r w:rsidR="00AE2BAE" w:rsidRPr="00817B9F">
        <w:t>are</w:t>
      </w:r>
      <w:r w:rsidR="00D211BA" w:rsidRPr="00817B9F">
        <w:t xml:space="preserve"> </w:t>
      </w:r>
      <w:r w:rsidR="00745736" w:rsidRPr="00817B9F">
        <w:t xml:space="preserve">used </w:t>
      </w:r>
      <w:r w:rsidR="00B55F9F" w:rsidRPr="00817B9F">
        <w:t>to c</w:t>
      </w:r>
      <w:r w:rsidR="00AE2BAE" w:rsidRPr="00817B9F">
        <w:t>alculate</w:t>
      </w:r>
      <w:r w:rsidR="00F456DD" w:rsidRPr="00817B9F">
        <w:t xml:space="preserve"> </w:t>
      </w:r>
      <w:r w:rsidR="00D8123B" w:rsidRPr="00817B9F">
        <w:t xml:space="preserve">the </w:t>
      </w:r>
      <w:r w:rsidR="00F456DD" w:rsidRPr="00817B9F">
        <w:t>relative prices for each outpatient service discussed in this report.</w:t>
      </w:r>
    </w:p>
    <w:p w14:paraId="2821A997" w14:textId="61F522F4" w:rsidR="006C0F34" w:rsidRPr="00817B9F" w:rsidRDefault="009A5881" w:rsidP="00254CCE">
      <w:pPr>
        <w:pStyle w:val="BulletParagraph"/>
        <w:rPr>
          <w:rFonts w:cs="Times New Roman"/>
        </w:rPr>
      </w:pPr>
      <w:r w:rsidRPr="00817B9F">
        <w:rPr>
          <w:rFonts w:cs="Times New Roman"/>
        </w:rPr>
        <w:t>For outpatient cardiovascular services</w:t>
      </w:r>
      <w:r w:rsidR="009D09B6" w:rsidRPr="00817B9F">
        <w:rPr>
          <w:rFonts w:cs="Times New Roman"/>
        </w:rPr>
        <w:t xml:space="preserve"> and </w:t>
      </w:r>
      <w:r w:rsidR="00422053" w:rsidRPr="00817B9F">
        <w:rPr>
          <w:rFonts w:cs="Times New Roman"/>
        </w:rPr>
        <w:t>diagnostic</w:t>
      </w:r>
      <w:r w:rsidR="00D2685E" w:rsidRPr="00817B9F">
        <w:rPr>
          <w:rFonts w:cs="Times New Roman"/>
        </w:rPr>
        <w:t xml:space="preserve"> imaging</w:t>
      </w:r>
      <w:r w:rsidR="009D09B6" w:rsidRPr="00817B9F">
        <w:rPr>
          <w:rFonts w:cs="Times New Roman"/>
        </w:rPr>
        <w:t xml:space="preserve"> </w:t>
      </w:r>
      <w:r w:rsidRPr="00817B9F">
        <w:rPr>
          <w:rFonts w:cs="Times New Roman"/>
        </w:rPr>
        <w:t>services</w:t>
      </w:r>
      <w:r w:rsidR="0037348C" w:rsidRPr="00817B9F">
        <w:rPr>
          <w:rFonts w:cs="Times New Roman"/>
        </w:rPr>
        <w:t>,</w:t>
      </w:r>
      <w:r w:rsidRPr="00817B9F">
        <w:rPr>
          <w:rFonts w:cs="Times New Roman"/>
        </w:rPr>
        <w:t xml:space="preserve"> we determine the amount that Original Medicare would pay for </w:t>
      </w:r>
      <w:r w:rsidR="008A4DEC" w:rsidRPr="00817B9F">
        <w:rPr>
          <w:rFonts w:cs="Times New Roman"/>
        </w:rPr>
        <w:t xml:space="preserve">each CPT </w:t>
      </w:r>
      <w:r w:rsidR="00DF2099" w:rsidRPr="00817B9F">
        <w:rPr>
          <w:rFonts w:cs="Times New Roman"/>
        </w:rPr>
        <w:t xml:space="preserve">code </w:t>
      </w:r>
      <w:r w:rsidR="008A4DEC" w:rsidRPr="00817B9F">
        <w:rPr>
          <w:rFonts w:cs="Times New Roman"/>
        </w:rPr>
        <w:t xml:space="preserve">identified in Section </w:t>
      </w:r>
      <w:r w:rsidR="00973791" w:rsidRPr="00817B9F">
        <w:rPr>
          <w:rFonts w:cs="Times New Roman"/>
        </w:rPr>
        <w:fldChar w:fldCharType="begin"/>
      </w:r>
      <w:r w:rsidR="00973791" w:rsidRPr="00817B9F">
        <w:rPr>
          <w:rFonts w:cs="Times New Roman"/>
        </w:rPr>
        <w:instrText xml:space="preserve"> REF _Ref88655817 \r \h </w:instrText>
      </w:r>
      <w:r w:rsidR="00FD09F0" w:rsidRPr="00817B9F">
        <w:rPr>
          <w:rFonts w:cs="Times New Roman"/>
        </w:rPr>
        <w:instrText xml:space="preserve"> \* MERGEFORMAT </w:instrText>
      </w:r>
      <w:r w:rsidR="00973791" w:rsidRPr="00817B9F">
        <w:rPr>
          <w:rFonts w:cs="Times New Roman"/>
        </w:rPr>
      </w:r>
      <w:r w:rsidR="00973791" w:rsidRPr="00817B9F">
        <w:rPr>
          <w:rFonts w:cs="Times New Roman"/>
        </w:rPr>
        <w:fldChar w:fldCharType="separate"/>
      </w:r>
      <w:r w:rsidR="002B78C3">
        <w:rPr>
          <w:rFonts w:cs="Times New Roman"/>
        </w:rPr>
        <w:t>III</w:t>
      </w:r>
      <w:r w:rsidR="00973791" w:rsidRPr="00817B9F">
        <w:rPr>
          <w:rFonts w:cs="Times New Roman"/>
        </w:rPr>
        <w:fldChar w:fldCharType="end"/>
      </w:r>
      <w:r w:rsidR="00973791" w:rsidRPr="00817B9F">
        <w:rPr>
          <w:rFonts w:cs="Times New Roman"/>
        </w:rPr>
        <w:t>.</w:t>
      </w:r>
      <w:r w:rsidR="00764CFA" w:rsidRPr="00817B9F">
        <w:rPr>
          <w:rFonts w:cs="Times New Roman"/>
        </w:rPr>
        <w:fldChar w:fldCharType="begin"/>
      </w:r>
      <w:r w:rsidR="00764CFA" w:rsidRPr="00817B9F">
        <w:rPr>
          <w:rFonts w:cs="Times New Roman"/>
        </w:rPr>
        <w:instrText xml:space="preserve"> REF _Ref88219827 \w \h  \* MERGEFORMAT </w:instrText>
      </w:r>
      <w:r w:rsidR="00764CFA" w:rsidRPr="00817B9F">
        <w:rPr>
          <w:rFonts w:cs="Times New Roman"/>
        </w:rPr>
      </w:r>
      <w:r w:rsidR="00764CFA" w:rsidRPr="00817B9F">
        <w:rPr>
          <w:rFonts w:cs="Times New Roman"/>
        </w:rPr>
        <w:fldChar w:fldCharType="separate"/>
      </w:r>
      <w:r w:rsidR="002B78C3">
        <w:rPr>
          <w:rFonts w:cs="Times New Roman"/>
        </w:rPr>
        <w:t>B</w:t>
      </w:r>
      <w:r w:rsidR="00764CFA" w:rsidRPr="00817B9F">
        <w:rPr>
          <w:rFonts w:cs="Times New Roman"/>
        </w:rPr>
        <w:fldChar w:fldCharType="end"/>
      </w:r>
      <w:r w:rsidR="00764CFA" w:rsidRPr="00817B9F">
        <w:rPr>
          <w:rFonts w:cs="Times New Roman"/>
        </w:rPr>
        <w:t>.</w:t>
      </w:r>
      <w:r w:rsidR="00764CFA" w:rsidRPr="00817B9F">
        <w:rPr>
          <w:rFonts w:cs="Times New Roman"/>
        </w:rPr>
        <w:fldChar w:fldCharType="begin"/>
      </w:r>
      <w:r w:rsidR="00764CFA" w:rsidRPr="00817B9F">
        <w:rPr>
          <w:rFonts w:cs="Times New Roman"/>
        </w:rPr>
        <w:instrText xml:space="preserve"> REF _Ref88219835 \w \h  \* MERGEFORMAT </w:instrText>
      </w:r>
      <w:r w:rsidR="00764CFA" w:rsidRPr="00817B9F">
        <w:rPr>
          <w:rFonts w:cs="Times New Roman"/>
        </w:rPr>
      </w:r>
      <w:r w:rsidR="00764CFA" w:rsidRPr="00817B9F">
        <w:rPr>
          <w:rFonts w:cs="Times New Roman"/>
        </w:rPr>
        <w:fldChar w:fldCharType="separate"/>
      </w:r>
      <w:r w:rsidR="002B78C3">
        <w:rPr>
          <w:rFonts w:cs="Times New Roman"/>
        </w:rPr>
        <w:t>2</w:t>
      </w:r>
      <w:r w:rsidR="00764CFA" w:rsidRPr="00817B9F">
        <w:rPr>
          <w:rFonts w:cs="Times New Roman"/>
        </w:rPr>
        <w:fldChar w:fldCharType="end"/>
      </w:r>
      <w:r w:rsidR="008A4DEC" w:rsidRPr="00817B9F">
        <w:rPr>
          <w:rFonts w:cs="Times New Roman"/>
        </w:rPr>
        <w:t xml:space="preserve"> </w:t>
      </w:r>
      <w:r w:rsidR="00DC4BD4" w:rsidRPr="00817B9F">
        <w:rPr>
          <w:rFonts w:cs="Times New Roman"/>
        </w:rPr>
        <w:t xml:space="preserve">using </w:t>
      </w:r>
      <w:r w:rsidR="00326DB8" w:rsidRPr="00817B9F">
        <w:rPr>
          <w:rFonts w:cs="Times New Roman"/>
        </w:rPr>
        <w:t xml:space="preserve">the values indicated in </w:t>
      </w:r>
      <w:r w:rsidRPr="00817B9F">
        <w:rPr>
          <w:rFonts w:cs="Times New Roman"/>
        </w:rPr>
        <w:t>Addendum B</w:t>
      </w:r>
      <w:r w:rsidR="006142F7" w:rsidRPr="00817B9F">
        <w:rPr>
          <w:rFonts w:cs="Times New Roman"/>
        </w:rPr>
        <w:t xml:space="preserve">. </w:t>
      </w:r>
    </w:p>
    <w:p w14:paraId="6BE96AA6" w14:textId="3DB5CC42" w:rsidR="006C6890" w:rsidRPr="00817B9F" w:rsidRDefault="009A5881" w:rsidP="00385FCD">
      <w:pPr>
        <w:pStyle w:val="BulletParagraph"/>
        <w:rPr>
          <w:rFonts w:cs="Times New Roman"/>
        </w:rPr>
      </w:pPr>
      <w:r w:rsidRPr="00817B9F">
        <w:rPr>
          <w:rFonts w:cs="Times New Roman"/>
        </w:rPr>
        <w:t>For outpatient oncology services</w:t>
      </w:r>
      <w:r w:rsidR="0037348C" w:rsidRPr="00817B9F">
        <w:rPr>
          <w:rFonts w:cs="Times New Roman"/>
        </w:rPr>
        <w:t>,</w:t>
      </w:r>
      <w:r w:rsidRPr="00817B9F">
        <w:rPr>
          <w:rFonts w:cs="Times New Roman"/>
        </w:rPr>
        <w:t xml:space="preserve"> we</w:t>
      </w:r>
      <w:r w:rsidR="002F5545" w:rsidRPr="00817B9F">
        <w:rPr>
          <w:rFonts w:cs="Times New Roman"/>
        </w:rPr>
        <w:t xml:space="preserve"> </w:t>
      </w:r>
      <w:r w:rsidR="00C95B8F" w:rsidRPr="00817B9F">
        <w:rPr>
          <w:rFonts w:cs="Times New Roman"/>
        </w:rPr>
        <w:t xml:space="preserve">first </w:t>
      </w:r>
      <w:r w:rsidRPr="00817B9F">
        <w:rPr>
          <w:rFonts w:cs="Times New Roman"/>
        </w:rPr>
        <w:t xml:space="preserve">determine the amount that Original Medicare would pay </w:t>
      </w:r>
      <w:r w:rsidR="003E2514" w:rsidRPr="00817B9F">
        <w:rPr>
          <w:rFonts w:cs="Times New Roman"/>
        </w:rPr>
        <w:t xml:space="preserve">for each </w:t>
      </w:r>
      <w:r w:rsidR="002828F8" w:rsidRPr="00817B9F">
        <w:rPr>
          <w:rFonts w:cs="Times New Roman"/>
        </w:rPr>
        <w:t xml:space="preserve">claim </w:t>
      </w:r>
      <w:r w:rsidR="00D663CB" w:rsidRPr="00817B9F">
        <w:rPr>
          <w:rFonts w:cs="Times New Roman"/>
        </w:rPr>
        <w:t xml:space="preserve">line’s CPT code </w:t>
      </w:r>
      <w:r w:rsidRPr="00817B9F">
        <w:rPr>
          <w:rFonts w:cs="Times New Roman"/>
        </w:rPr>
        <w:t>based on</w:t>
      </w:r>
      <w:r w:rsidR="00D663CB" w:rsidRPr="00817B9F">
        <w:rPr>
          <w:rFonts w:cs="Times New Roman"/>
        </w:rPr>
        <w:t xml:space="preserve"> </w:t>
      </w:r>
      <w:r w:rsidRPr="00817B9F">
        <w:rPr>
          <w:rFonts w:cs="Times New Roman"/>
        </w:rPr>
        <w:t xml:space="preserve">the </w:t>
      </w:r>
      <w:r w:rsidR="00C3321A" w:rsidRPr="00817B9F">
        <w:rPr>
          <w:rFonts w:cs="Times New Roman"/>
        </w:rPr>
        <w:t xml:space="preserve">associated payment </w:t>
      </w:r>
      <w:r w:rsidR="00DA186F" w:rsidRPr="00817B9F">
        <w:rPr>
          <w:rFonts w:cs="Times New Roman"/>
        </w:rPr>
        <w:t>from</w:t>
      </w:r>
      <w:r w:rsidRPr="00817B9F">
        <w:rPr>
          <w:rFonts w:cs="Times New Roman"/>
        </w:rPr>
        <w:t xml:space="preserve"> Addendum B</w:t>
      </w:r>
      <w:r w:rsidR="00AF6665" w:rsidRPr="00817B9F">
        <w:rPr>
          <w:rFonts w:cs="Times New Roman"/>
        </w:rPr>
        <w:t xml:space="preserve"> for that CPT code</w:t>
      </w:r>
      <w:r w:rsidR="006142F7" w:rsidRPr="00817B9F">
        <w:rPr>
          <w:rFonts w:cs="Times New Roman"/>
        </w:rPr>
        <w:t>.</w:t>
      </w:r>
      <w:r w:rsidR="00BE1B34" w:rsidRPr="00817B9F">
        <w:rPr>
          <w:rFonts w:cs="Times New Roman"/>
        </w:rPr>
        <w:t xml:space="preserve"> We then </w:t>
      </w:r>
      <w:r w:rsidR="00F25240" w:rsidRPr="00817B9F">
        <w:rPr>
          <w:rFonts w:cs="Times New Roman"/>
        </w:rPr>
        <w:t>aggregate</w:t>
      </w:r>
      <w:r w:rsidR="00BE1B34" w:rsidRPr="00817B9F">
        <w:rPr>
          <w:rFonts w:cs="Times New Roman"/>
        </w:rPr>
        <w:t xml:space="preserve"> </w:t>
      </w:r>
      <w:r w:rsidR="00316DD5" w:rsidRPr="00817B9F">
        <w:rPr>
          <w:rFonts w:cs="Times New Roman"/>
        </w:rPr>
        <w:t>these</w:t>
      </w:r>
      <w:r w:rsidR="00BE1B34" w:rsidRPr="00817B9F">
        <w:rPr>
          <w:rFonts w:cs="Times New Roman"/>
        </w:rPr>
        <w:t xml:space="preserve"> individual claim line </w:t>
      </w:r>
      <w:r w:rsidR="005645A5" w:rsidRPr="00817B9F">
        <w:rPr>
          <w:rFonts w:cs="Times New Roman"/>
        </w:rPr>
        <w:t>payment</w:t>
      </w:r>
      <w:r w:rsidR="00AF6665" w:rsidRPr="00817B9F">
        <w:rPr>
          <w:rFonts w:cs="Times New Roman"/>
        </w:rPr>
        <w:t xml:space="preserve"> amounts</w:t>
      </w:r>
      <w:r w:rsidR="001276ED" w:rsidRPr="00817B9F">
        <w:rPr>
          <w:rFonts w:cs="Times New Roman"/>
        </w:rPr>
        <w:t xml:space="preserve"> to the claim level to </w:t>
      </w:r>
      <w:r w:rsidR="00433B87" w:rsidRPr="00817B9F">
        <w:rPr>
          <w:rFonts w:cs="Times New Roman"/>
        </w:rPr>
        <w:t>calculate what Original Medicare would pay</w:t>
      </w:r>
      <w:r w:rsidR="001276ED" w:rsidRPr="00817B9F">
        <w:rPr>
          <w:rFonts w:cs="Times New Roman"/>
        </w:rPr>
        <w:t xml:space="preserve"> </w:t>
      </w:r>
      <w:r w:rsidR="00433B87" w:rsidRPr="00817B9F">
        <w:rPr>
          <w:rFonts w:cs="Times New Roman"/>
        </w:rPr>
        <w:t>for the</w:t>
      </w:r>
      <w:r w:rsidR="001276ED" w:rsidRPr="00817B9F">
        <w:rPr>
          <w:rFonts w:cs="Times New Roman"/>
        </w:rPr>
        <w:t xml:space="preserve"> visit</w:t>
      </w:r>
      <w:r w:rsidR="00433B87" w:rsidRPr="00817B9F">
        <w:rPr>
          <w:rFonts w:cs="Times New Roman"/>
        </w:rPr>
        <w:t>.</w:t>
      </w:r>
      <w:bookmarkStart w:id="53" w:name="_Hlk88555458"/>
    </w:p>
    <w:p w14:paraId="156892DC" w14:textId="4AA8200B" w:rsidR="00D555A0" w:rsidRPr="00817B9F" w:rsidRDefault="00ED7CE1" w:rsidP="0038052E">
      <w:pPr>
        <w:pStyle w:val="NumberedParagraphs"/>
      </w:pPr>
      <w:r w:rsidRPr="00817B9F">
        <w:t xml:space="preserve">As recorded in the APCD, </w:t>
      </w:r>
      <w:r w:rsidR="0038052E" w:rsidRPr="00817B9F">
        <w:t xml:space="preserve">MassHealth managed care </w:t>
      </w:r>
      <w:r w:rsidRPr="00817B9F">
        <w:t xml:space="preserve">plan </w:t>
      </w:r>
      <w:r w:rsidR="0038052E" w:rsidRPr="00817B9F">
        <w:t xml:space="preserve">reimbursement </w:t>
      </w:r>
      <w:r w:rsidRPr="00817B9F">
        <w:t xml:space="preserve">rates </w:t>
      </w:r>
      <w:r w:rsidR="0038052E" w:rsidRPr="00817B9F">
        <w:t xml:space="preserve">for some diagnostic imaging procedures </w:t>
      </w:r>
      <w:r w:rsidRPr="00817B9F">
        <w:t>are</w:t>
      </w:r>
      <w:r w:rsidR="0038052E" w:rsidRPr="00817B9F">
        <w:t xml:space="preserve"> substantially higher than the </w:t>
      </w:r>
      <w:r w:rsidRPr="00817B9F">
        <w:t xml:space="preserve">corresponding </w:t>
      </w:r>
      <w:r w:rsidR="0038052E" w:rsidRPr="00817B9F">
        <w:t>reimbursement rates for Original Medicare (</w:t>
      </w:r>
      <w:r w:rsidRPr="00817B9F">
        <w:t xml:space="preserve">which we </w:t>
      </w:r>
      <w:r w:rsidR="0038052E" w:rsidRPr="00817B9F">
        <w:t xml:space="preserve">use for our relative prices). </w:t>
      </w:r>
      <w:r w:rsidRPr="00817B9F">
        <w:t>However, w</w:t>
      </w:r>
      <w:r w:rsidR="0038052E" w:rsidRPr="00817B9F">
        <w:t xml:space="preserve">e understand that MassHealth managed care reimbursement levels are </w:t>
      </w:r>
      <w:r w:rsidRPr="00817B9F">
        <w:t>similar</w:t>
      </w:r>
      <w:r w:rsidR="0038052E" w:rsidRPr="00817B9F">
        <w:t xml:space="preserve"> to MassHealth non-managed care rates</w:t>
      </w:r>
      <w:r w:rsidR="00B47A40" w:rsidRPr="00817B9F">
        <w:t>,</w:t>
      </w:r>
      <w:r w:rsidR="00ED5CA0" w:rsidRPr="00817B9F">
        <w:rPr>
          <w:rStyle w:val="FootnoteReference"/>
        </w:rPr>
        <w:footnoteReference w:id="91"/>
      </w:r>
      <w:r w:rsidR="0038052E" w:rsidRPr="00817B9F">
        <w:t xml:space="preserve"> and </w:t>
      </w:r>
      <w:r w:rsidR="00B47A40" w:rsidRPr="00817B9F">
        <w:t>that MassHealth non-managed care rates</w:t>
      </w:r>
      <w:r w:rsidR="0038052E" w:rsidRPr="00817B9F">
        <w:t xml:space="preserve"> </w:t>
      </w:r>
      <w:r w:rsidR="00B47A40" w:rsidRPr="00817B9F">
        <w:t>are</w:t>
      </w:r>
      <w:r w:rsidR="00D555A0" w:rsidRPr="00817B9F">
        <w:t xml:space="preserve"> generally </w:t>
      </w:r>
      <w:r w:rsidR="0038052E" w:rsidRPr="00817B9F">
        <w:t xml:space="preserve">less than </w:t>
      </w:r>
      <w:r w:rsidR="009B09AC" w:rsidRPr="00817B9F">
        <w:t xml:space="preserve">Original </w:t>
      </w:r>
      <w:r w:rsidR="0038052E" w:rsidRPr="00817B9F">
        <w:t xml:space="preserve">Medicare </w:t>
      </w:r>
      <w:r w:rsidR="00D555A0" w:rsidRPr="00817B9F">
        <w:t xml:space="preserve">fee schedule </w:t>
      </w:r>
      <w:r w:rsidR="0038052E" w:rsidRPr="00817B9F">
        <w:t>rates.</w:t>
      </w:r>
      <w:r w:rsidR="007F2D4F" w:rsidRPr="00817B9F">
        <w:t xml:space="preserve"> </w:t>
      </w:r>
      <w:r w:rsidR="00DE232D" w:rsidRPr="00817B9F">
        <w:t>Given our concern about the reliability of the price information for outpatient diagnostic imaging services covered by MassHealth managed care plans</w:t>
      </w:r>
      <w:r w:rsidR="007F2D4F" w:rsidRPr="00817B9F">
        <w:t xml:space="preserve">, </w:t>
      </w:r>
      <w:r w:rsidR="00D555A0" w:rsidRPr="00817B9F">
        <w:t xml:space="preserve">when we calculate the </w:t>
      </w:r>
      <w:r w:rsidR="00D555A0" w:rsidRPr="00817B9F">
        <w:lastRenderedPageBreak/>
        <w:t xml:space="preserve">predicted cost impact of the DoN application on the overall cost of outpatient diagnostic imaging services, </w:t>
      </w:r>
      <w:r w:rsidR="00C50F96" w:rsidRPr="00817B9F">
        <w:t>we</w:t>
      </w:r>
      <w:r w:rsidR="007A12F8" w:rsidRPr="00817B9F">
        <w:t xml:space="preserve"> assume that each health care provider would be paid the MassHealth non-managed </w:t>
      </w:r>
      <w:r w:rsidR="00B47A40" w:rsidRPr="00817B9F">
        <w:t xml:space="preserve">care fee schedule amount for the outpatient diagnostic imaging service at issue. </w:t>
      </w:r>
    </w:p>
    <w:p w14:paraId="598A51FA" w14:textId="554167D7" w:rsidR="00D3553D" w:rsidRPr="00817B9F" w:rsidRDefault="00FB1157" w:rsidP="007C2266">
      <w:pPr>
        <w:pStyle w:val="Heading3"/>
      </w:pPr>
      <w:bookmarkStart w:id="54" w:name="_Ref88595167"/>
      <w:bookmarkStart w:id="55" w:name="_Ref88647451"/>
      <w:bookmarkStart w:id="56" w:name="_Toc90046504"/>
      <w:bookmarkEnd w:id="53"/>
      <w:r w:rsidRPr="00817B9F">
        <w:t xml:space="preserve">Relative Prices for </w:t>
      </w:r>
      <w:r w:rsidR="00D3553D" w:rsidRPr="00817B9F">
        <w:t>MassHealth</w:t>
      </w:r>
      <w:r w:rsidR="00C7733D" w:rsidRPr="00817B9F">
        <w:t xml:space="preserve"> Non-Managed Care</w:t>
      </w:r>
      <w:bookmarkEnd w:id="54"/>
      <w:bookmarkEnd w:id="55"/>
      <w:bookmarkEnd w:id="56"/>
    </w:p>
    <w:p w14:paraId="12629059" w14:textId="76E85D48" w:rsidR="002B009D" w:rsidRPr="00817B9F" w:rsidRDefault="002B009D" w:rsidP="00184D23">
      <w:pPr>
        <w:pStyle w:val="Heading4"/>
        <w:numPr>
          <w:ilvl w:val="0"/>
          <w:numId w:val="25"/>
        </w:numPr>
      </w:pPr>
      <w:r w:rsidRPr="00817B9F">
        <w:t>Inpatient Services</w:t>
      </w:r>
    </w:p>
    <w:p w14:paraId="0C5678A1" w14:textId="404A8DBF" w:rsidR="00610287" w:rsidRPr="00817B9F" w:rsidRDefault="00610287" w:rsidP="009C2A80">
      <w:pPr>
        <w:pStyle w:val="NumberedParagraphs"/>
      </w:pPr>
      <w:r w:rsidRPr="00817B9F">
        <w:t>For inpatient care provided at in-state hospitals</w:t>
      </w:r>
      <w:r w:rsidR="004920B6" w:rsidRPr="00817B9F">
        <w:t>,</w:t>
      </w:r>
      <w:r w:rsidRPr="00817B9F">
        <w:t xml:space="preserve"> </w:t>
      </w:r>
      <w:r w:rsidR="008D1836" w:rsidRPr="00817B9F">
        <w:t xml:space="preserve">MassHealth </w:t>
      </w:r>
      <w:r w:rsidR="004D0247" w:rsidRPr="00817B9F">
        <w:t>n</w:t>
      </w:r>
      <w:r w:rsidR="008D1836" w:rsidRPr="00817B9F">
        <w:t>on-</w:t>
      </w:r>
      <w:r w:rsidR="004D0247" w:rsidRPr="00817B9F">
        <w:t>m</w:t>
      </w:r>
      <w:r w:rsidR="008D1836" w:rsidRPr="00817B9F">
        <w:t xml:space="preserve">anaged </w:t>
      </w:r>
      <w:r w:rsidR="004D0247" w:rsidRPr="00817B9F">
        <w:t>c</w:t>
      </w:r>
      <w:r w:rsidR="008D1836" w:rsidRPr="00817B9F">
        <w:t xml:space="preserve">are </w:t>
      </w:r>
      <w:r w:rsidR="004D0247" w:rsidRPr="00817B9F">
        <w:t>uses</w:t>
      </w:r>
      <w:r w:rsidR="008D1836" w:rsidRPr="00817B9F">
        <w:t xml:space="preserve"> </w:t>
      </w:r>
      <w:r w:rsidR="00712D87" w:rsidRPr="00817B9F">
        <w:t>a standardized</w:t>
      </w:r>
      <w:r w:rsidR="008D1836" w:rsidRPr="00817B9F">
        <w:t xml:space="preserve"> </w:t>
      </w:r>
      <w:r w:rsidR="006C2C1C" w:rsidRPr="00817B9F">
        <w:t>a</w:t>
      </w:r>
      <w:r w:rsidR="00100FFE" w:rsidRPr="00817B9F">
        <w:t xml:space="preserve">djudicated </w:t>
      </w:r>
      <w:r w:rsidR="006C2C1C" w:rsidRPr="00817B9F">
        <w:t>p</w:t>
      </w:r>
      <w:r w:rsidR="00100FFE" w:rsidRPr="00817B9F">
        <w:t xml:space="preserve">ayment </w:t>
      </w:r>
      <w:r w:rsidR="003125E9" w:rsidRPr="00817B9F">
        <w:t>amount</w:t>
      </w:r>
      <w:r w:rsidR="00D3435F" w:rsidRPr="00817B9F">
        <w:t xml:space="preserve"> </w:t>
      </w:r>
      <w:r w:rsidR="00C2151E" w:rsidRPr="00817B9F">
        <w:t>p</w:t>
      </w:r>
      <w:r w:rsidR="00100FFE" w:rsidRPr="00817B9F">
        <w:t xml:space="preserve">er </w:t>
      </w:r>
      <w:r w:rsidR="006C2C1C" w:rsidRPr="00817B9F">
        <w:t>d</w:t>
      </w:r>
      <w:r w:rsidR="00100FFE" w:rsidRPr="00817B9F">
        <w:t>ischarge.</w:t>
      </w:r>
      <w:r w:rsidR="003125E9" w:rsidRPr="00817B9F">
        <w:t xml:space="preserve"> This amount is an all-inclusive payment that covers the entire acute inpatient stay for MassHealth </w:t>
      </w:r>
      <w:r w:rsidR="004D0247" w:rsidRPr="00817B9F">
        <w:t>n</w:t>
      </w:r>
      <w:r w:rsidR="003125E9" w:rsidRPr="00817B9F">
        <w:t>on-</w:t>
      </w:r>
      <w:r w:rsidR="004D0247" w:rsidRPr="00817B9F">
        <w:t>m</w:t>
      </w:r>
      <w:r w:rsidR="003125E9" w:rsidRPr="00817B9F">
        <w:t xml:space="preserve">anaged </w:t>
      </w:r>
      <w:r w:rsidR="004D0247" w:rsidRPr="00817B9F">
        <w:t>c</w:t>
      </w:r>
      <w:r w:rsidR="003125E9" w:rsidRPr="00817B9F">
        <w:t xml:space="preserve">are </w:t>
      </w:r>
      <w:r w:rsidR="00F12FBF" w:rsidRPr="00817B9F">
        <w:t>beneficiaries</w:t>
      </w:r>
      <w:r w:rsidR="003125E9" w:rsidRPr="00817B9F">
        <w:t xml:space="preserve">. </w:t>
      </w:r>
      <w:r w:rsidR="005007DE" w:rsidRPr="00817B9F">
        <w:t xml:space="preserve">The </w:t>
      </w:r>
      <w:r w:rsidR="00A91414" w:rsidRPr="00817B9F">
        <w:t xml:space="preserve">base payment </w:t>
      </w:r>
      <w:r w:rsidR="005007DE" w:rsidRPr="00817B9F">
        <w:t>amount</w:t>
      </w:r>
      <w:r w:rsidR="009A58CC" w:rsidRPr="00817B9F">
        <w:t xml:space="preserve"> </w:t>
      </w:r>
      <w:r w:rsidR="00F26F26" w:rsidRPr="00817B9F">
        <w:t>reflects</w:t>
      </w:r>
      <w:r w:rsidR="00B27D66" w:rsidRPr="00817B9F">
        <w:t xml:space="preserve"> </w:t>
      </w:r>
      <w:r w:rsidR="009A58CC" w:rsidRPr="00817B9F">
        <w:t>the</w:t>
      </w:r>
      <w:r w:rsidR="00B27D66" w:rsidRPr="00817B9F">
        <w:t xml:space="preserve"> statewide operating standard per discharge amount (adjusted </w:t>
      </w:r>
      <w:r w:rsidR="009A58CC" w:rsidRPr="00817B9F">
        <w:t xml:space="preserve">by each hospital’s wage area) and </w:t>
      </w:r>
      <w:r w:rsidR="00F26F26" w:rsidRPr="00817B9F">
        <w:t>the</w:t>
      </w:r>
      <w:r w:rsidR="009A58CC" w:rsidRPr="00817B9F">
        <w:t xml:space="preserve"> statewide capital standard per discharge amount.</w:t>
      </w:r>
      <w:r w:rsidR="00B40CDD" w:rsidRPr="00817B9F">
        <w:rPr>
          <w:rStyle w:val="FootnoteReference"/>
        </w:rPr>
        <w:footnoteReference w:id="92"/>
      </w:r>
      <w:r w:rsidR="000B7201" w:rsidRPr="00817B9F">
        <w:t xml:space="preserve"> We utilize the </w:t>
      </w:r>
      <w:r w:rsidR="00A91414" w:rsidRPr="00817B9F">
        <w:t>b</w:t>
      </w:r>
      <w:r w:rsidR="00FB54C6" w:rsidRPr="00817B9F">
        <w:t xml:space="preserve">ase </w:t>
      </w:r>
      <w:r w:rsidR="00A91414" w:rsidRPr="00817B9F">
        <w:t>p</w:t>
      </w:r>
      <w:r w:rsidR="00FB54C6" w:rsidRPr="00817B9F">
        <w:t xml:space="preserve">ayments made to in-state hospitals </w:t>
      </w:r>
      <w:r w:rsidR="009775CC" w:rsidRPr="00817B9F">
        <w:t xml:space="preserve">to construct the relative prices for inpatient care for MassHealth non-managed </w:t>
      </w:r>
      <w:r w:rsidR="001E18F5" w:rsidRPr="00817B9F">
        <w:t xml:space="preserve">care </w:t>
      </w:r>
      <w:r w:rsidR="009775CC" w:rsidRPr="00817B9F">
        <w:t xml:space="preserve">plan </w:t>
      </w:r>
      <w:r w:rsidR="009B7C7D" w:rsidRPr="00817B9F">
        <w:t>beneficiar</w:t>
      </w:r>
      <w:r w:rsidR="00F26F26" w:rsidRPr="00817B9F">
        <w:t>ies</w:t>
      </w:r>
      <w:r w:rsidR="00713001" w:rsidRPr="00817B9F">
        <w:t xml:space="preserve"> at each Massachusetts hospital</w:t>
      </w:r>
      <w:r w:rsidR="009775CC" w:rsidRPr="00817B9F">
        <w:t>.</w:t>
      </w:r>
      <w:r w:rsidR="00113591" w:rsidRPr="00817B9F">
        <w:rPr>
          <w:rStyle w:val="FootnoteReference"/>
        </w:rPr>
        <w:footnoteReference w:id="93"/>
      </w:r>
      <w:r w:rsidR="00C31344" w:rsidRPr="00817B9F">
        <w:rPr>
          <w:vertAlign w:val="superscript"/>
        </w:rPr>
        <w:t>,</w:t>
      </w:r>
      <w:r w:rsidR="00C31344" w:rsidRPr="00817B9F">
        <w:rPr>
          <w:rStyle w:val="FootnoteReference"/>
        </w:rPr>
        <w:footnoteReference w:id="94"/>
      </w:r>
    </w:p>
    <w:p w14:paraId="438BD2E4" w14:textId="6D351355" w:rsidR="00226AD5" w:rsidRPr="00817B9F" w:rsidRDefault="00D3553D" w:rsidP="007C2266">
      <w:pPr>
        <w:pStyle w:val="Heading4"/>
      </w:pPr>
      <w:bookmarkStart w:id="57" w:name="_Ref88595168"/>
      <w:bookmarkStart w:id="58" w:name="_Ref88647453"/>
      <w:r w:rsidRPr="00817B9F">
        <w:t xml:space="preserve">Outpatient </w:t>
      </w:r>
      <w:r w:rsidR="002B009D" w:rsidRPr="00817B9F">
        <w:t>Services</w:t>
      </w:r>
      <w:bookmarkEnd w:id="57"/>
      <w:bookmarkEnd w:id="58"/>
    </w:p>
    <w:p w14:paraId="148A9F58" w14:textId="734FD312" w:rsidR="000C5A52" w:rsidRPr="00817B9F" w:rsidRDefault="00C97065" w:rsidP="004125C9">
      <w:pPr>
        <w:pStyle w:val="NumberedParagraphs"/>
        <w:rPr>
          <w:rStyle w:val="FootnoteReference"/>
        </w:rPr>
      </w:pPr>
      <w:r w:rsidRPr="00817B9F">
        <w:t>For outpatient care provided at in-state hospitals</w:t>
      </w:r>
      <w:r w:rsidR="004920B6" w:rsidRPr="00817B9F">
        <w:t>,</w:t>
      </w:r>
      <w:r w:rsidRPr="00817B9F">
        <w:t xml:space="preserve"> MassHealth </w:t>
      </w:r>
      <w:r w:rsidR="00455819" w:rsidRPr="00817B9F">
        <w:t>n</w:t>
      </w:r>
      <w:r w:rsidRPr="00817B9F">
        <w:t>on-</w:t>
      </w:r>
      <w:r w:rsidR="00455819" w:rsidRPr="00817B9F">
        <w:t>m</w:t>
      </w:r>
      <w:r w:rsidRPr="00817B9F">
        <w:t xml:space="preserve">anaged </w:t>
      </w:r>
      <w:r w:rsidR="00B933AB" w:rsidRPr="00817B9F">
        <w:t>c</w:t>
      </w:r>
      <w:r w:rsidRPr="00817B9F">
        <w:t xml:space="preserve">are </w:t>
      </w:r>
      <w:r w:rsidR="00F1700E" w:rsidRPr="00817B9F">
        <w:t>has</w:t>
      </w:r>
      <w:r w:rsidRPr="00817B9F">
        <w:t xml:space="preserve"> a standardized </w:t>
      </w:r>
      <w:r w:rsidR="006028EA" w:rsidRPr="00817B9F">
        <w:t>a</w:t>
      </w:r>
      <w:r w:rsidRPr="00817B9F">
        <w:t xml:space="preserve">djudicated </w:t>
      </w:r>
      <w:r w:rsidR="006028EA" w:rsidRPr="00817B9F">
        <w:t>p</w:t>
      </w:r>
      <w:r w:rsidRPr="00817B9F">
        <w:t xml:space="preserve">ayment </w:t>
      </w:r>
      <w:r w:rsidR="000F105E" w:rsidRPr="00817B9F">
        <w:t>a</w:t>
      </w:r>
      <w:r w:rsidRPr="00817B9F">
        <w:t xml:space="preserve">mount </w:t>
      </w:r>
      <w:r w:rsidR="000F105E" w:rsidRPr="00817B9F">
        <w:t>p</w:t>
      </w:r>
      <w:r w:rsidRPr="00817B9F">
        <w:t xml:space="preserve">er </w:t>
      </w:r>
      <w:r w:rsidR="000F105E" w:rsidRPr="00817B9F">
        <w:t>e</w:t>
      </w:r>
      <w:r w:rsidR="00DD59BC" w:rsidRPr="00817B9F">
        <w:t xml:space="preserve">pisode of </w:t>
      </w:r>
      <w:r w:rsidR="000F105E" w:rsidRPr="00817B9F">
        <w:t>c</w:t>
      </w:r>
      <w:r w:rsidR="00DD59BC" w:rsidRPr="00817B9F">
        <w:t>are</w:t>
      </w:r>
      <w:r w:rsidRPr="00817B9F">
        <w:t xml:space="preserve"> </w:t>
      </w:r>
      <w:r w:rsidR="000F105E" w:rsidRPr="00817B9F">
        <w:t>(</w:t>
      </w:r>
      <w:r w:rsidR="000F105E" w:rsidRPr="00817B9F">
        <w:rPr>
          <w:i/>
          <w:iCs/>
        </w:rPr>
        <w:t>i.e.</w:t>
      </w:r>
      <w:r w:rsidR="000F105E" w:rsidRPr="00817B9F">
        <w:t>, per outpatient visit)</w:t>
      </w:r>
      <w:r w:rsidRPr="00817B9F">
        <w:t>.</w:t>
      </w:r>
      <w:r w:rsidRPr="00817B9F">
        <w:rPr>
          <w:rStyle w:val="FootnoteReference"/>
        </w:rPr>
        <w:footnoteReference w:id="95"/>
      </w:r>
      <w:r w:rsidRPr="00817B9F">
        <w:t xml:space="preserve"> We </w:t>
      </w:r>
      <w:r w:rsidRPr="00817B9F">
        <w:lastRenderedPageBreak/>
        <w:t xml:space="preserve">utilize </w:t>
      </w:r>
      <w:r w:rsidR="000A21B2" w:rsidRPr="00817B9F">
        <w:t>this</w:t>
      </w:r>
      <w:r w:rsidRPr="00817B9F">
        <w:t xml:space="preserve"> </w:t>
      </w:r>
      <w:r w:rsidR="00315755" w:rsidRPr="00817B9F">
        <w:t>standardized adjudicated payment amount per episode of care</w:t>
      </w:r>
      <w:r w:rsidR="007101F4" w:rsidRPr="00817B9F">
        <w:t xml:space="preserve"> to construct relative prices at in-state hospitals </w:t>
      </w:r>
      <w:r w:rsidR="00E42A05" w:rsidRPr="00817B9F">
        <w:t>or outpatient services</w:t>
      </w:r>
      <w:r w:rsidRPr="00817B9F">
        <w:t>.</w:t>
      </w:r>
      <w:r w:rsidR="00CB0640" w:rsidRPr="00817B9F">
        <w:rPr>
          <w:rStyle w:val="FootnoteReference"/>
        </w:rPr>
        <w:t xml:space="preserve"> </w:t>
      </w:r>
      <w:r w:rsidR="00CB0640" w:rsidRPr="00817B9F">
        <w:rPr>
          <w:rStyle w:val="FootnoteReference"/>
        </w:rPr>
        <w:footnoteReference w:id="96"/>
      </w:r>
    </w:p>
    <w:p w14:paraId="260153FB" w14:textId="2BCD238F" w:rsidR="000A21B2" w:rsidRPr="00817B9F" w:rsidRDefault="000A21B2" w:rsidP="009C2A80">
      <w:pPr>
        <w:pStyle w:val="NumberedParagraphs"/>
      </w:pPr>
      <w:r w:rsidRPr="00817B9F">
        <w:t xml:space="preserve">For outpatient diagnostic imaging services provided </w:t>
      </w:r>
      <w:r w:rsidR="00197294" w:rsidRPr="00817B9F">
        <w:t>in a non-</w:t>
      </w:r>
      <w:r w:rsidR="00B53DD8" w:rsidRPr="00817B9F">
        <w:t>hospital setting</w:t>
      </w:r>
      <w:r w:rsidRPr="00817B9F">
        <w:t>, MassHealth non-managed care has a single fee schedule where reimbursement for the same diagnostic imaging service is the same regardless of where the service was provided.</w:t>
      </w:r>
      <w:r w:rsidRPr="00817B9F">
        <w:rPr>
          <w:rStyle w:val="FootnoteReference"/>
        </w:rPr>
        <w:footnoteReference w:id="97"/>
      </w:r>
      <w:r w:rsidRPr="00817B9F">
        <w:t xml:space="preserve"> As such, we do not expect any changes to health care expenditures for MassHealth non-managed care related to changes in where diagnostic imaging services are rendered</w:t>
      </w:r>
      <w:r w:rsidR="000D0A85" w:rsidRPr="00817B9F">
        <w:t>, when rendered outside of a hospital</w:t>
      </w:r>
      <w:r w:rsidRPr="00817B9F">
        <w:t>.</w:t>
      </w:r>
      <w:r w:rsidR="006E36EB" w:rsidRPr="00817B9F">
        <w:rPr>
          <w:rStyle w:val="CommentReference"/>
          <w:rFonts w:eastAsiaTheme="minorEastAsia"/>
          <w:sz w:val="24"/>
          <w:szCs w:val="24"/>
        </w:rPr>
        <w:t xml:space="preserve"> </w:t>
      </w:r>
    </w:p>
    <w:p w14:paraId="48D55DB0" w14:textId="10EC96B6" w:rsidR="00086172" w:rsidRPr="00817B9F" w:rsidRDefault="00521C3B" w:rsidP="00086172">
      <w:pPr>
        <w:pStyle w:val="NumberedParagraphs"/>
      </w:pPr>
      <w:bookmarkStart w:id="59" w:name="_Hlk88992532"/>
      <w:r w:rsidRPr="00817B9F">
        <w:t>W</w:t>
      </w:r>
      <w:r w:rsidR="00086172" w:rsidRPr="00817B9F">
        <w:t xml:space="preserve">e estimate cost savings </w:t>
      </w:r>
      <w:r w:rsidR="00064B2C" w:rsidRPr="00817B9F">
        <w:t xml:space="preserve">specific to </w:t>
      </w:r>
      <w:r w:rsidR="00DB6D1A" w:rsidRPr="00817B9F">
        <w:t>each service associated with instances when</w:t>
      </w:r>
      <w:r w:rsidR="004D78D6" w:rsidRPr="00817B9F">
        <w:t xml:space="preserve"> a </w:t>
      </w:r>
      <w:r w:rsidR="00086172" w:rsidRPr="00817B9F">
        <w:t xml:space="preserve">MassHealth </w:t>
      </w:r>
      <w:r w:rsidR="00434A0D" w:rsidRPr="00817B9F">
        <w:t>n</w:t>
      </w:r>
      <w:r w:rsidR="00086172" w:rsidRPr="00817B9F">
        <w:t>on-</w:t>
      </w:r>
      <w:r w:rsidR="00434A0D" w:rsidRPr="00817B9F">
        <w:t>m</w:t>
      </w:r>
      <w:r w:rsidR="00086172" w:rsidRPr="00817B9F">
        <w:t xml:space="preserve">anaged </w:t>
      </w:r>
      <w:r w:rsidR="000E4437" w:rsidRPr="00817B9F">
        <w:t xml:space="preserve">care patient </w:t>
      </w:r>
      <w:r w:rsidR="004D78D6" w:rsidRPr="00817B9F">
        <w:t>shifts</w:t>
      </w:r>
      <w:r w:rsidR="00086172" w:rsidRPr="00817B9F">
        <w:t xml:space="preserve"> </w:t>
      </w:r>
      <w:r w:rsidR="00CA7802" w:rsidRPr="00817B9F">
        <w:t xml:space="preserve">from </w:t>
      </w:r>
      <w:r w:rsidR="00D67648" w:rsidRPr="00817B9F">
        <w:t>receivi</w:t>
      </w:r>
      <w:r w:rsidR="00DA7623" w:rsidRPr="00817B9F">
        <w:t>n</w:t>
      </w:r>
      <w:r w:rsidR="00D67648" w:rsidRPr="00817B9F">
        <w:t xml:space="preserve">g outpatient </w:t>
      </w:r>
      <w:r w:rsidR="00086172" w:rsidRPr="00817B9F">
        <w:t xml:space="preserve">services </w:t>
      </w:r>
      <w:r w:rsidR="00496507" w:rsidRPr="00817B9F">
        <w:t xml:space="preserve">at </w:t>
      </w:r>
      <w:r w:rsidR="00CD0363" w:rsidRPr="00817B9F">
        <w:t xml:space="preserve">an </w:t>
      </w:r>
      <w:r w:rsidR="00086172" w:rsidRPr="00817B9F">
        <w:t xml:space="preserve">HOPD to </w:t>
      </w:r>
      <w:r w:rsidR="00CD0363" w:rsidRPr="00817B9F">
        <w:t xml:space="preserve">an </w:t>
      </w:r>
      <w:r w:rsidR="00086172" w:rsidRPr="00817B9F">
        <w:t>ASC.</w:t>
      </w:r>
      <w:r w:rsidR="004D78D6" w:rsidRPr="00817B9F">
        <w:rPr>
          <w:rStyle w:val="FootnoteReference"/>
        </w:rPr>
        <w:footnoteReference w:id="98"/>
      </w:r>
      <w:r w:rsidR="00086172" w:rsidRPr="00817B9F">
        <w:t xml:space="preserve"> </w:t>
      </w:r>
      <w:r w:rsidR="00DB6D1A" w:rsidRPr="00817B9F">
        <w:t>We estimate t</w:t>
      </w:r>
      <w:r w:rsidR="00CD0363" w:rsidRPr="00817B9F">
        <w:t>hese</w:t>
      </w:r>
      <w:r w:rsidR="009A4355" w:rsidRPr="00817B9F">
        <w:t xml:space="preserve"> cost savings </w:t>
      </w:r>
      <w:r w:rsidR="00E04120" w:rsidRPr="00817B9F">
        <w:t>using a combination of the APCD and</w:t>
      </w:r>
      <w:r w:rsidR="00FE53D9" w:rsidRPr="00817B9F">
        <w:t xml:space="preserve"> MassHealth fee schedules.</w:t>
      </w:r>
      <w:r w:rsidR="005B74D8" w:rsidRPr="00817B9F">
        <w:t xml:space="preserve"> </w:t>
      </w:r>
      <w:r w:rsidR="00FE53D9" w:rsidRPr="00817B9F">
        <w:t>For outpatient services</w:t>
      </w:r>
      <w:r w:rsidR="005B74D8" w:rsidRPr="00817B9F">
        <w:t xml:space="preserve"> we </w:t>
      </w:r>
      <w:r w:rsidR="00086172" w:rsidRPr="00817B9F">
        <w:t xml:space="preserve">limit </w:t>
      </w:r>
      <w:r w:rsidR="00C55022" w:rsidRPr="00817B9F">
        <w:t xml:space="preserve">the </w:t>
      </w:r>
      <w:r w:rsidR="00086172" w:rsidRPr="00817B9F">
        <w:t xml:space="preserve">APCD to </w:t>
      </w:r>
      <w:r w:rsidR="000E4437" w:rsidRPr="00817B9F">
        <w:t>the relevant</w:t>
      </w:r>
      <w:r w:rsidR="00086172" w:rsidRPr="00817B9F">
        <w:t xml:space="preserve"> services </w:t>
      </w:r>
      <w:r w:rsidR="000E4437" w:rsidRPr="00817B9F">
        <w:t xml:space="preserve">as </w:t>
      </w:r>
      <w:r w:rsidR="00A34B1E" w:rsidRPr="00817B9F">
        <w:t>identified</w:t>
      </w:r>
      <w:r w:rsidR="000E4437" w:rsidRPr="00817B9F">
        <w:t xml:space="preserve"> </w:t>
      </w:r>
      <w:r w:rsidR="00CD0363" w:rsidRPr="00817B9F">
        <w:t xml:space="preserve">in Section </w:t>
      </w:r>
      <w:r w:rsidR="00CD0363" w:rsidRPr="00817B9F">
        <w:fldChar w:fldCharType="begin"/>
      </w:r>
      <w:r w:rsidR="00CD0363" w:rsidRPr="00817B9F">
        <w:instrText xml:space="preserve"> REF _Ref88655817 \r \h </w:instrText>
      </w:r>
      <w:r w:rsidR="00FD09F0" w:rsidRPr="00817B9F">
        <w:instrText xml:space="preserve"> \* MERGEFORMAT </w:instrText>
      </w:r>
      <w:r w:rsidR="00CD0363" w:rsidRPr="00817B9F">
        <w:fldChar w:fldCharType="separate"/>
      </w:r>
      <w:r w:rsidR="002B78C3">
        <w:t>III</w:t>
      </w:r>
      <w:r w:rsidR="00CD0363" w:rsidRPr="00817B9F">
        <w:fldChar w:fldCharType="end"/>
      </w:r>
      <w:r w:rsidR="00764948" w:rsidRPr="00817B9F">
        <w:t>.</w:t>
      </w:r>
      <w:r w:rsidR="00764948" w:rsidRPr="00817B9F">
        <w:fldChar w:fldCharType="begin"/>
      </w:r>
      <w:r w:rsidR="00764948" w:rsidRPr="00817B9F">
        <w:instrText xml:space="preserve"> REF _Ref88219827 \r \h </w:instrText>
      </w:r>
      <w:r w:rsidR="00FD09F0" w:rsidRPr="00817B9F">
        <w:instrText xml:space="preserve"> \* MERGEFORMAT </w:instrText>
      </w:r>
      <w:r w:rsidR="00764948" w:rsidRPr="00817B9F">
        <w:fldChar w:fldCharType="separate"/>
      </w:r>
      <w:r w:rsidR="002B78C3">
        <w:t>B</w:t>
      </w:r>
      <w:r w:rsidR="00764948" w:rsidRPr="00817B9F">
        <w:fldChar w:fldCharType="end"/>
      </w:r>
      <w:r w:rsidR="006A5ADB" w:rsidRPr="00817B9F">
        <w:t>.</w:t>
      </w:r>
      <w:r w:rsidR="0082441B" w:rsidRPr="00817B9F">
        <w:fldChar w:fldCharType="begin"/>
      </w:r>
      <w:r w:rsidR="0082441B" w:rsidRPr="00817B9F">
        <w:instrText xml:space="preserve"> REF _Ref89017144 \n \h </w:instrText>
      </w:r>
      <w:r w:rsidR="00FD09F0" w:rsidRPr="00817B9F">
        <w:instrText xml:space="preserve"> \* MERGEFORMAT </w:instrText>
      </w:r>
      <w:r w:rsidR="0082441B" w:rsidRPr="00817B9F">
        <w:fldChar w:fldCharType="separate"/>
      </w:r>
      <w:r w:rsidR="002B78C3">
        <w:t>2</w:t>
      </w:r>
      <w:r w:rsidR="0082441B" w:rsidRPr="00817B9F">
        <w:fldChar w:fldCharType="end"/>
      </w:r>
      <w:r w:rsidR="00727ED9" w:rsidRPr="00817B9F">
        <w:t xml:space="preserve"> for patients enrolled in MassHealth non-managed care</w:t>
      </w:r>
      <w:r w:rsidR="00535C1B" w:rsidRPr="00817B9F">
        <w:t xml:space="preserve">. </w:t>
      </w:r>
      <w:r w:rsidR="00FE53D9" w:rsidRPr="00817B9F">
        <w:t>Then</w:t>
      </w:r>
      <w:r w:rsidR="00146BB0" w:rsidRPr="00817B9F">
        <w:t xml:space="preserve">, </w:t>
      </w:r>
      <w:r w:rsidR="004C383E" w:rsidRPr="00817B9F">
        <w:t>separately for ASCs and HOPDs</w:t>
      </w:r>
      <w:r w:rsidR="00146BB0" w:rsidRPr="00817B9F">
        <w:t>, we</w:t>
      </w:r>
      <w:r w:rsidR="00086172" w:rsidRPr="00817B9F">
        <w:t xml:space="preserve"> calculate the </w:t>
      </w:r>
      <w:r w:rsidR="00727ED9" w:rsidRPr="00817B9F">
        <w:t xml:space="preserve">amount that </w:t>
      </w:r>
      <w:r w:rsidR="00EA40E1" w:rsidRPr="00817B9F">
        <w:t>MassHeal</w:t>
      </w:r>
      <w:r w:rsidR="00316883" w:rsidRPr="00817B9F">
        <w:t xml:space="preserve">th non-managed care </w:t>
      </w:r>
      <w:r w:rsidR="00727ED9" w:rsidRPr="00817B9F">
        <w:t>plans reimbursed</w:t>
      </w:r>
      <w:r w:rsidR="00086172" w:rsidRPr="00817B9F">
        <w:t xml:space="preserve"> </w:t>
      </w:r>
      <w:r w:rsidR="00EA40E1" w:rsidRPr="00817B9F">
        <w:t xml:space="preserve">for </w:t>
      </w:r>
      <w:r w:rsidR="004719BB" w:rsidRPr="00817B9F">
        <w:t xml:space="preserve">each </w:t>
      </w:r>
      <w:r w:rsidR="00146BB0" w:rsidRPr="00817B9F">
        <w:t xml:space="preserve">outpatient </w:t>
      </w:r>
      <w:r w:rsidR="00EA40E1" w:rsidRPr="00817B9F">
        <w:t>service</w:t>
      </w:r>
      <w:r w:rsidR="00086172" w:rsidRPr="00817B9F">
        <w:t xml:space="preserve"> </w:t>
      </w:r>
      <w:r w:rsidR="00727ED9" w:rsidRPr="00817B9F">
        <w:t>relative to what</w:t>
      </w:r>
      <w:r w:rsidR="003221F9" w:rsidRPr="00817B9F">
        <w:t xml:space="preserve"> </w:t>
      </w:r>
      <w:r w:rsidR="006B7728" w:rsidRPr="00817B9F">
        <w:t xml:space="preserve">Original </w:t>
      </w:r>
      <w:r w:rsidR="003221F9" w:rsidRPr="00817B9F">
        <w:t>Medicare</w:t>
      </w:r>
      <w:r w:rsidR="002E79C1" w:rsidRPr="00817B9F">
        <w:t xml:space="preserve"> </w:t>
      </w:r>
      <w:r w:rsidR="005405B2" w:rsidRPr="00817B9F">
        <w:t>would have paid</w:t>
      </w:r>
      <w:r w:rsidR="00EA40E1" w:rsidRPr="00817B9F">
        <w:t xml:space="preserve"> </w:t>
      </w:r>
      <w:r w:rsidR="003B0BEE" w:rsidRPr="00817B9F">
        <w:t xml:space="preserve">for </w:t>
      </w:r>
      <w:r w:rsidR="005405B2" w:rsidRPr="00817B9F">
        <w:t xml:space="preserve">the </w:t>
      </w:r>
      <w:r w:rsidR="00D76F28" w:rsidRPr="00817B9F">
        <w:t>same service at an HOPD</w:t>
      </w:r>
      <w:r w:rsidR="00086172" w:rsidRPr="00817B9F">
        <w:t xml:space="preserve">. </w:t>
      </w:r>
      <w:r w:rsidR="00D76F28" w:rsidRPr="00817B9F">
        <w:t>Finally</w:t>
      </w:r>
      <w:r w:rsidR="00764948" w:rsidRPr="00817B9F">
        <w:t xml:space="preserve">, </w:t>
      </w:r>
      <w:r w:rsidR="000E4437" w:rsidRPr="00817B9F">
        <w:t xml:space="preserve">we construct a common basket </w:t>
      </w:r>
      <w:r w:rsidR="00A34B1E" w:rsidRPr="00817B9F">
        <w:t xml:space="preserve">of services that is </w:t>
      </w:r>
      <w:r w:rsidR="000E4437" w:rsidRPr="00817B9F">
        <w:t>offered</w:t>
      </w:r>
      <w:r w:rsidR="00086172" w:rsidRPr="00817B9F">
        <w:t xml:space="preserve"> </w:t>
      </w:r>
      <w:r w:rsidR="00CD1EFC" w:rsidRPr="00817B9F">
        <w:t xml:space="preserve">at both ASCs and HOPDs </w:t>
      </w:r>
      <w:r w:rsidR="00A34B1E" w:rsidRPr="00817B9F">
        <w:t>and</w:t>
      </w:r>
      <w:r w:rsidR="00086172" w:rsidRPr="00817B9F">
        <w:t xml:space="preserve"> </w:t>
      </w:r>
      <w:r w:rsidR="004D5CE8" w:rsidRPr="00817B9F">
        <w:t>calculate</w:t>
      </w:r>
      <w:r w:rsidR="00086172" w:rsidRPr="00817B9F">
        <w:t xml:space="preserve"> the average ratio of ASC to HOPD relative prices.</w:t>
      </w:r>
      <w:r w:rsidR="003B2A37" w:rsidRPr="00817B9F">
        <w:t xml:space="preserve"> </w:t>
      </w:r>
      <w:r w:rsidR="00FE53D9" w:rsidRPr="00817B9F">
        <w:t xml:space="preserve">For </w:t>
      </w:r>
      <w:r w:rsidR="00E31FCF" w:rsidRPr="00817B9F">
        <w:t xml:space="preserve">diagnostic imaging </w:t>
      </w:r>
      <w:r w:rsidR="00F25929" w:rsidRPr="00817B9F">
        <w:t>services</w:t>
      </w:r>
      <w:r w:rsidR="00E31FCF" w:rsidRPr="00817B9F">
        <w:t xml:space="preserve"> we compare the technical component indicated in the MassHealth </w:t>
      </w:r>
      <w:r w:rsidR="00F25929" w:rsidRPr="00817B9F">
        <w:t>r</w:t>
      </w:r>
      <w:r w:rsidR="00F41B50" w:rsidRPr="00817B9F">
        <w:t xml:space="preserve">adiology fee schedule to the rates for the same services </w:t>
      </w:r>
      <w:r w:rsidR="00F25929" w:rsidRPr="00817B9F">
        <w:t xml:space="preserve">paid to </w:t>
      </w:r>
      <w:r w:rsidR="00F41B50" w:rsidRPr="00817B9F">
        <w:t>in-state hospitals described above.</w:t>
      </w:r>
      <w:r w:rsidR="00F25929" w:rsidRPr="00817B9F">
        <w:t xml:space="preserve"> </w:t>
      </w:r>
    </w:p>
    <w:p w14:paraId="09A95A11" w14:textId="0C074113" w:rsidR="00D3553D" w:rsidRPr="00817B9F" w:rsidRDefault="00FB1157" w:rsidP="007C2266">
      <w:pPr>
        <w:pStyle w:val="Heading3"/>
      </w:pPr>
      <w:bookmarkStart w:id="60" w:name="_Ref88595177"/>
      <w:bookmarkStart w:id="61" w:name="_Ref88595740"/>
      <w:bookmarkStart w:id="62" w:name="_Ref88596034"/>
      <w:bookmarkStart w:id="63" w:name="_Toc90046505"/>
      <w:bookmarkEnd w:id="59"/>
      <w:r w:rsidRPr="00817B9F">
        <w:lastRenderedPageBreak/>
        <w:t xml:space="preserve">Relative Prices for </w:t>
      </w:r>
      <w:r w:rsidR="00D3553D" w:rsidRPr="00817B9F">
        <w:t>Original Medicare</w:t>
      </w:r>
      <w:bookmarkEnd w:id="60"/>
      <w:bookmarkEnd w:id="61"/>
      <w:bookmarkEnd w:id="62"/>
      <w:bookmarkEnd w:id="63"/>
      <w:r w:rsidR="003B2A37" w:rsidRPr="00817B9F">
        <w:t xml:space="preserve"> </w:t>
      </w:r>
    </w:p>
    <w:p w14:paraId="4529EC10" w14:textId="18BFD164" w:rsidR="005024ED" w:rsidRPr="00817B9F" w:rsidRDefault="005024ED" w:rsidP="003360BD">
      <w:pPr>
        <w:pStyle w:val="Heading4"/>
        <w:numPr>
          <w:ilvl w:val="0"/>
          <w:numId w:val="41"/>
        </w:numPr>
      </w:pPr>
      <w:r w:rsidRPr="00817B9F">
        <w:t xml:space="preserve">Inpatient Services </w:t>
      </w:r>
    </w:p>
    <w:p w14:paraId="2F57A9FF" w14:textId="53C3403A" w:rsidR="00DF20FB" w:rsidRPr="00817B9F" w:rsidRDefault="00DF20FB" w:rsidP="005024ED">
      <w:pPr>
        <w:pStyle w:val="NumberedParagraphs"/>
      </w:pPr>
      <w:r w:rsidRPr="00817B9F">
        <w:t xml:space="preserve">For inpatient care provided at </w:t>
      </w:r>
      <w:r w:rsidR="007D5802" w:rsidRPr="00817B9F">
        <w:t>short-</w:t>
      </w:r>
      <w:r w:rsidR="00DC38A3" w:rsidRPr="00817B9F">
        <w:t>term acute</w:t>
      </w:r>
      <w:r w:rsidR="007D5802" w:rsidRPr="00817B9F">
        <w:t xml:space="preserve"> </w:t>
      </w:r>
      <w:r w:rsidR="00DC38A3" w:rsidRPr="00817B9F">
        <w:t xml:space="preserve">care </w:t>
      </w:r>
      <w:r w:rsidRPr="00817B9F">
        <w:t xml:space="preserve">hospitals, </w:t>
      </w:r>
      <w:r w:rsidR="00DC38A3" w:rsidRPr="00817B9F">
        <w:t>Original Medicare pays</w:t>
      </w:r>
      <w:r w:rsidRPr="00817B9F">
        <w:t xml:space="preserve"> a standardized </w:t>
      </w:r>
      <w:r w:rsidR="00DC38A3" w:rsidRPr="00817B9F">
        <w:t>per-discharge amount</w:t>
      </w:r>
      <w:r w:rsidR="004B6C89" w:rsidRPr="00817B9F">
        <w:t xml:space="preserve"> under the Inpatient Prospective Payment System</w:t>
      </w:r>
      <w:r w:rsidRPr="00817B9F">
        <w:t xml:space="preserve">. </w:t>
      </w:r>
      <w:r w:rsidR="001C0E2A" w:rsidRPr="00817B9F">
        <w:t>This</w:t>
      </w:r>
      <w:r w:rsidRPr="00817B9F">
        <w:t xml:space="preserve"> amount </w:t>
      </w:r>
      <w:r w:rsidR="00357009" w:rsidRPr="00817B9F">
        <w:t>reflects</w:t>
      </w:r>
      <w:r w:rsidRPr="00817B9F">
        <w:t xml:space="preserve"> the </w:t>
      </w:r>
      <w:r w:rsidR="001C0E2A" w:rsidRPr="00817B9F">
        <w:t xml:space="preserve">national </w:t>
      </w:r>
      <w:r w:rsidR="00F62D43" w:rsidRPr="00817B9F">
        <w:t>standardized</w:t>
      </w:r>
      <w:r w:rsidRPr="00817B9F">
        <w:t xml:space="preserve"> </w:t>
      </w:r>
      <w:r w:rsidR="00357009" w:rsidRPr="00817B9F">
        <w:t xml:space="preserve">base </w:t>
      </w:r>
      <w:r w:rsidRPr="00817B9F">
        <w:t xml:space="preserve">operating </w:t>
      </w:r>
      <w:r w:rsidR="00F62D43" w:rsidRPr="00817B9F">
        <w:t xml:space="preserve">and </w:t>
      </w:r>
      <w:r w:rsidR="00357009" w:rsidRPr="00817B9F">
        <w:t xml:space="preserve">base </w:t>
      </w:r>
      <w:r w:rsidR="00F62D43" w:rsidRPr="00817B9F">
        <w:t xml:space="preserve">capital </w:t>
      </w:r>
      <w:r w:rsidR="00357009" w:rsidRPr="00817B9F">
        <w:t>payment amounts</w:t>
      </w:r>
      <w:r w:rsidRPr="00817B9F">
        <w:t>.</w:t>
      </w:r>
      <w:r w:rsidR="00F53DE7" w:rsidRPr="00817B9F">
        <w:t xml:space="preserve"> This standardized</w:t>
      </w:r>
      <w:r w:rsidRPr="00817B9F">
        <w:t xml:space="preserve"> per</w:t>
      </w:r>
      <w:r w:rsidR="00F53DE7" w:rsidRPr="00817B9F">
        <w:t>-</w:t>
      </w:r>
      <w:r w:rsidRPr="00817B9F">
        <w:t xml:space="preserve">discharge amount </w:t>
      </w:r>
      <w:r w:rsidR="00F53DE7" w:rsidRPr="00817B9F">
        <w:t xml:space="preserve">is then </w:t>
      </w:r>
      <w:r w:rsidRPr="00817B9F">
        <w:t xml:space="preserve">adjusted </w:t>
      </w:r>
      <w:r w:rsidR="00F53DE7" w:rsidRPr="00817B9F">
        <w:t>to reflect hospital</w:t>
      </w:r>
      <w:r w:rsidR="009F7574" w:rsidRPr="00817B9F">
        <w:t>-</w:t>
      </w:r>
      <w:r w:rsidR="00F53DE7" w:rsidRPr="00817B9F">
        <w:t xml:space="preserve">specific </w:t>
      </w:r>
      <w:r w:rsidR="007018ED" w:rsidRPr="00817B9F">
        <w:t>differences</w:t>
      </w:r>
      <w:r w:rsidR="00E56E62" w:rsidRPr="00817B9F">
        <w:t xml:space="preserve"> i</w:t>
      </w:r>
      <w:r w:rsidR="007D5802" w:rsidRPr="00817B9F">
        <w:t>n</w:t>
      </w:r>
      <w:r w:rsidR="00E56E62" w:rsidRPr="00817B9F">
        <w:t xml:space="preserve"> costs</w:t>
      </w:r>
      <w:r w:rsidR="005C24A6" w:rsidRPr="00817B9F">
        <w:t xml:space="preserve"> to </w:t>
      </w:r>
      <w:r w:rsidR="00357009" w:rsidRPr="00817B9F">
        <w:t>determine</w:t>
      </w:r>
      <w:r w:rsidR="005C24A6" w:rsidRPr="00817B9F">
        <w:t xml:space="preserve"> each hospital’s base payment</w:t>
      </w:r>
      <w:r w:rsidR="00E56E62" w:rsidRPr="00817B9F">
        <w:t>.</w:t>
      </w:r>
      <w:r w:rsidR="007018ED" w:rsidRPr="00817B9F">
        <w:rPr>
          <w:rStyle w:val="FootnoteReference"/>
        </w:rPr>
        <w:footnoteReference w:id="99"/>
      </w:r>
      <w:r w:rsidR="00355395" w:rsidRPr="00817B9F">
        <w:t xml:space="preserve"> </w:t>
      </w:r>
      <w:r w:rsidRPr="00817B9F">
        <w:t xml:space="preserve">We utilize </w:t>
      </w:r>
      <w:r w:rsidR="008C0BCA" w:rsidRPr="00817B9F">
        <w:t>each hospital’s b</w:t>
      </w:r>
      <w:r w:rsidRPr="00817B9F">
        <w:t xml:space="preserve">ase </w:t>
      </w:r>
      <w:r w:rsidR="008C0BCA" w:rsidRPr="00817B9F">
        <w:t>pa</w:t>
      </w:r>
      <w:r w:rsidRPr="00817B9F">
        <w:t xml:space="preserve">yment to construct the relative prices for inpatient care for </w:t>
      </w:r>
      <w:r w:rsidR="008C0BCA" w:rsidRPr="00817B9F">
        <w:t>Original Medicare</w:t>
      </w:r>
      <w:r w:rsidRPr="00817B9F">
        <w:t>.</w:t>
      </w:r>
      <w:r w:rsidR="00707F2C" w:rsidRPr="00817B9F">
        <w:rPr>
          <w:rStyle w:val="FootnoteReference"/>
        </w:rPr>
        <w:footnoteReference w:id="100"/>
      </w:r>
    </w:p>
    <w:p w14:paraId="769E8366" w14:textId="4508F92A" w:rsidR="00AA0BF6" w:rsidRPr="00817B9F" w:rsidRDefault="00D3553D" w:rsidP="007C2266">
      <w:pPr>
        <w:pStyle w:val="Heading4"/>
      </w:pPr>
      <w:bookmarkStart w:id="64" w:name="_Ref88595179"/>
      <w:bookmarkStart w:id="65" w:name="_Ref88595744"/>
      <w:bookmarkStart w:id="66" w:name="_Ref88596036"/>
      <w:r w:rsidRPr="00817B9F">
        <w:t xml:space="preserve">Outpatient </w:t>
      </w:r>
      <w:r w:rsidR="00771A6E" w:rsidRPr="00817B9F">
        <w:t>Services</w:t>
      </w:r>
      <w:bookmarkEnd w:id="64"/>
      <w:bookmarkEnd w:id="65"/>
      <w:bookmarkEnd w:id="66"/>
    </w:p>
    <w:p w14:paraId="3A032ADB" w14:textId="4F32D59C" w:rsidR="000E2776" w:rsidRPr="00817B9F" w:rsidRDefault="00E91CA8" w:rsidP="001A5323">
      <w:pPr>
        <w:pStyle w:val="NumberedParagraphs"/>
      </w:pPr>
      <w:r w:rsidRPr="00817B9F">
        <w:t>Original</w:t>
      </w:r>
      <w:r w:rsidR="00765E8F" w:rsidRPr="00817B9F">
        <w:t xml:space="preserve"> </w:t>
      </w:r>
      <w:r w:rsidRPr="00817B9F">
        <w:t>Medicare</w:t>
      </w:r>
      <w:r w:rsidR="00765E8F" w:rsidRPr="00817B9F">
        <w:t xml:space="preserve"> </w:t>
      </w:r>
      <w:r w:rsidR="004B6C89" w:rsidRPr="00817B9F">
        <w:t>pays for services rendered in HOPDs using</w:t>
      </w:r>
      <w:r w:rsidR="003730E3" w:rsidRPr="00817B9F">
        <w:t xml:space="preserve"> the </w:t>
      </w:r>
      <w:r w:rsidR="00EF62E3" w:rsidRPr="00817B9F">
        <w:t>OPPS</w:t>
      </w:r>
      <w:r w:rsidRPr="00817B9F">
        <w:t>.</w:t>
      </w:r>
      <w:r w:rsidR="004A6EA8" w:rsidRPr="00817B9F">
        <w:rPr>
          <w:rStyle w:val="FootnoteReference"/>
        </w:rPr>
        <w:footnoteReference w:id="101"/>
      </w:r>
      <w:r w:rsidR="00575730" w:rsidRPr="00817B9F">
        <w:t xml:space="preserve"> </w:t>
      </w:r>
      <w:r w:rsidR="00EF62E3" w:rsidRPr="00817B9F">
        <w:t>Under</w:t>
      </w:r>
      <w:r w:rsidR="00C50E4F" w:rsidRPr="00817B9F">
        <w:t xml:space="preserve"> </w:t>
      </w:r>
      <w:r w:rsidR="00EF62E3" w:rsidRPr="00817B9F">
        <w:t>the OPPS</w:t>
      </w:r>
      <w:r w:rsidR="00C50E4F" w:rsidRPr="00817B9F">
        <w:t>, t</w:t>
      </w:r>
      <w:r w:rsidR="00575730" w:rsidRPr="00817B9F">
        <w:t xml:space="preserve">he fees </w:t>
      </w:r>
      <w:r w:rsidR="00C50E4F" w:rsidRPr="00817B9F">
        <w:t>paid to HOPDs</w:t>
      </w:r>
      <w:r w:rsidR="007356A0" w:rsidRPr="00817B9F">
        <w:t xml:space="preserve"> are adjusted for </w:t>
      </w:r>
      <w:r w:rsidR="00CB2202" w:rsidRPr="00817B9F">
        <w:t>regional variation i</w:t>
      </w:r>
      <w:r w:rsidR="0072780C" w:rsidRPr="00817B9F">
        <w:t>n</w:t>
      </w:r>
      <w:r w:rsidR="00CB2202" w:rsidRPr="00817B9F">
        <w:t xml:space="preserve"> wage rates, but </w:t>
      </w:r>
      <w:r w:rsidR="00FF4B9B" w:rsidRPr="00817B9F">
        <w:t xml:space="preserve">all </w:t>
      </w:r>
      <w:r w:rsidR="00DF5B6E" w:rsidRPr="00817B9F">
        <w:t>HOPDs</w:t>
      </w:r>
      <w:r w:rsidR="00FF4B9B" w:rsidRPr="00817B9F">
        <w:t xml:space="preserve"> in our analysis </w:t>
      </w:r>
      <w:r w:rsidR="001433DB" w:rsidRPr="00817B9F">
        <w:t>have</w:t>
      </w:r>
      <w:r w:rsidR="00FF4B9B" w:rsidRPr="00817B9F">
        <w:t xml:space="preserve"> the same wage </w:t>
      </w:r>
      <w:r w:rsidR="001433DB" w:rsidRPr="00817B9F">
        <w:t>rate</w:t>
      </w:r>
      <w:r w:rsidR="00DC18DB" w:rsidRPr="00817B9F">
        <w:t>.</w:t>
      </w:r>
      <w:r w:rsidR="004A6EA8" w:rsidRPr="00817B9F">
        <w:rPr>
          <w:rStyle w:val="FootnoteReference"/>
        </w:rPr>
        <w:footnoteReference w:id="102"/>
      </w:r>
      <w:r w:rsidR="00FF4B9B" w:rsidRPr="00817B9F">
        <w:t xml:space="preserve"> </w:t>
      </w:r>
      <w:r w:rsidR="00DC18DB" w:rsidRPr="00817B9F">
        <w:t>We therefore</w:t>
      </w:r>
      <w:r w:rsidR="00765E8F" w:rsidRPr="00817B9F">
        <w:t xml:space="preserve"> do not estimate any savings related to changes in </w:t>
      </w:r>
      <w:r w:rsidR="00915DAB" w:rsidRPr="00817B9F">
        <w:t xml:space="preserve">which HOPDs </w:t>
      </w:r>
      <w:r w:rsidR="004A6EA8" w:rsidRPr="00817B9F">
        <w:t>outpatient</w:t>
      </w:r>
      <w:r w:rsidR="00765E8F" w:rsidRPr="00817B9F">
        <w:t xml:space="preserve"> services are rendered.</w:t>
      </w:r>
      <w:r w:rsidR="003B2A37" w:rsidRPr="00817B9F">
        <w:t xml:space="preserve"> </w:t>
      </w:r>
    </w:p>
    <w:p w14:paraId="58C3AB73" w14:textId="5D6E0215" w:rsidR="00D3553D" w:rsidRPr="00817B9F" w:rsidRDefault="000E2776" w:rsidP="00D3553D">
      <w:pPr>
        <w:pStyle w:val="NumberedParagraphs"/>
      </w:pPr>
      <w:r w:rsidRPr="00817B9F">
        <w:t>Under CMS</w:t>
      </w:r>
      <w:r w:rsidR="0039017F" w:rsidRPr="00817B9F">
        <w:t>’s</w:t>
      </w:r>
      <w:r w:rsidRPr="00817B9F">
        <w:t xml:space="preserve"> </w:t>
      </w:r>
      <w:r w:rsidR="00DE363A" w:rsidRPr="00817B9F">
        <w:t>payment</w:t>
      </w:r>
      <w:r w:rsidRPr="00817B9F">
        <w:t xml:space="preserve"> </w:t>
      </w:r>
      <w:r w:rsidR="009603D6" w:rsidRPr="00817B9F">
        <w:t>methodology</w:t>
      </w:r>
      <w:r w:rsidR="00DE363A" w:rsidRPr="00817B9F">
        <w:t xml:space="preserve"> for services rendered at </w:t>
      </w:r>
      <w:r w:rsidR="004976BE" w:rsidRPr="00817B9F">
        <w:t>ASCs</w:t>
      </w:r>
      <w:r w:rsidRPr="00817B9F">
        <w:t xml:space="preserve">, </w:t>
      </w:r>
      <w:r w:rsidR="00C80B12" w:rsidRPr="00817B9F">
        <w:t xml:space="preserve">Original </w:t>
      </w:r>
      <w:r w:rsidRPr="00817B9F">
        <w:t>Medicare reimbursement</w:t>
      </w:r>
      <w:r w:rsidR="00DE363A" w:rsidRPr="00817B9F">
        <w:t>s</w:t>
      </w:r>
      <w:r w:rsidRPr="00817B9F">
        <w:t xml:space="preserve"> </w:t>
      </w:r>
      <w:r w:rsidR="009603D6" w:rsidRPr="00817B9F">
        <w:t>are</w:t>
      </w:r>
      <w:r w:rsidRPr="00817B9F">
        <w:t xml:space="preserve"> set </w:t>
      </w:r>
      <w:r w:rsidR="009603D6" w:rsidRPr="00817B9F">
        <w:t>at</w:t>
      </w:r>
      <w:r w:rsidRPr="00817B9F">
        <w:t xml:space="preserve"> </w:t>
      </w:r>
      <w:r w:rsidR="00590A95" w:rsidRPr="00817B9F">
        <w:t xml:space="preserve">approximately </w:t>
      </w:r>
      <w:r w:rsidRPr="00817B9F">
        <w:t xml:space="preserve">59 percent of </w:t>
      </w:r>
      <w:r w:rsidR="0004095D" w:rsidRPr="00817B9F">
        <w:t>what Original Medicare pays</w:t>
      </w:r>
      <w:r w:rsidRPr="00817B9F">
        <w:t xml:space="preserve"> for the same service </w:t>
      </w:r>
      <w:r w:rsidR="0004095D" w:rsidRPr="00817B9F">
        <w:t xml:space="preserve">if </w:t>
      </w:r>
      <w:r w:rsidR="00FE1DB6" w:rsidRPr="00817B9F">
        <w:t>the service</w:t>
      </w:r>
      <w:r w:rsidR="0004095D" w:rsidRPr="00817B9F">
        <w:t xml:space="preserve"> was </w:t>
      </w:r>
      <w:r w:rsidRPr="00817B9F">
        <w:t xml:space="preserve">provided </w:t>
      </w:r>
      <w:r w:rsidR="00FE1DB6" w:rsidRPr="00817B9F">
        <w:t>at an</w:t>
      </w:r>
      <w:r w:rsidRPr="00817B9F">
        <w:t xml:space="preserve"> </w:t>
      </w:r>
      <w:r w:rsidR="0004095D" w:rsidRPr="00817B9F">
        <w:t xml:space="preserve">HOPD in </w:t>
      </w:r>
      <w:r w:rsidR="00897A7C" w:rsidRPr="00817B9F">
        <w:t>an</w:t>
      </w:r>
      <w:r w:rsidR="00F64281" w:rsidRPr="00817B9F">
        <w:t xml:space="preserve"> area</w:t>
      </w:r>
      <w:r w:rsidR="00897A7C" w:rsidRPr="00817B9F">
        <w:t xml:space="preserve"> with the same wage rate</w:t>
      </w:r>
      <w:r w:rsidRPr="00817B9F">
        <w:t>.</w:t>
      </w:r>
      <w:r w:rsidR="00897A7C" w:rsidRPr="00817B9F">
        <w:rPr>
          <w:rStyle w:val="FootnoteReference"/>
        </w:rPr>
        <w:footnoteReference w:id="103"/>
      </w:r>
      <w:r w:rsidRPr="00817B9F">
        <w:t xml:space="preserve"> Therefore</w:t>
      </w:r>
      <w:r w:rsidR="00C80B12" w:rsidRPr="00817B9F">
        <w:t>,</w:t>
      </w:r>
      <w:r w:rsidRPr="00817B9F">
        <w:t xml:space="preserve"> we</w:t>
      </w:r>
      <w:r w:rsidR="00887A7C" w:rsidRPr="00817B9F">
        <w:t xml:space="preserve"> estimate a cost savings of </w:t>
      </w:r>
      <w:r w:rsidR="000D7793" w:rsidRPr="00817B9F">
        <w:t>41 percent</w:t>
      </w:r>
      <w:r w:rsidR="00887A7C" w:rsidRPr="00817B9F">
        <w:t xml:space="preserve"> for Original Medicare due to the shift of services from HOPDs to ASCs.</w:t>
      </w:r>
    </w:p>
    <w:p w14:paraId="0A1C2954" w14:textId="45BC4308" w:rsidR="005575BD" w:rsidRPr="00817B9F" w:rsidRDefault="008F253D" w:rsidP="005575BD">
      <w:pPr>
        <w:pStyle w:val="Heading1"/>
      </w:pPr>
      <w:bookmarkStart w:id="67" w:name="_Toc90046506"/>
      <w:r w:rsidRPr="00817B9F">
        <w:lastRenderedPageBreak/>
        <w:t>MG</w:t>
      </w:r>
      <w:r w:rsidR="00E52AAC" w:rsidRPr="00817B9F">
        <w:t>H</w:t>
      </w:r>
      <w:r w:rsidR="00AC2B77" w:rsidRPr="00817B9F">
        <w:t>’s</w:t>
      </w:r>
      <w:r w:rsidRPr="00817B9F">
        <w:t xml:space="preserve"> </w:t>
      </w:r>
      <w:r w:rsidR="003941DF" w:rsidRPr="00817B9F">
        <w:t>Patient Panel</w:t>
      </w:r>
      <w:r w:rsidRPr="00817B9F">
        <w:t xml:space="preserve"> and </w:t>
      </w:r>
      <w:r w:rsidR="004B653A" w:rsidRPr="00817B9F">
        <w:t>Utilization</w:t>
      </w:r>
      <w:r w:rsidR="000F12E2" w:rsidRPr="00817B9F">
        <w:t xml:space="preserve"> </w:t>
      </w:r>
      <w:r w:rsidR="004B653A" w:rsidRPr="00817B9F">
        <w:t>of</w:t>
      </w:r>
      <w:r w:rsidR="000F12E2" w:rsidRPr="00817B9F">
        <w:t xml:space="preserve"> Health Care Services</w:t>
      </w:r>
      <w:bookmarkEnd w:id="67"/>
    </w:p>
    <w:p w14:paraId="180F7E52" w14:textId="520DEE2E" w:rsidR="00321442" w:rsidRPr="00817B9F" w:rsidRDefault="005C7AA4" w:rsidP="005C7AA4">
      <w:pPr>
        <w:pStyle w:val="NumberedParagraphs"/>
      </w:pPr>
      <w:r w:rsidRPr="00817B9F">
        <w:t>In connection with our evaluation of the DoN application</w:t>
      </w:r>
      <w:r w:rsidR="003003B5" w:rsidRPr="00817B9F">
        <w:t xml:space="preserve">, </w:t>
      </w:r>
      <w:r w:rsidRPr="00817B9F">
        <w:t xml:space="preserve">the DoN program asked </w:t>
      </w:r>
      <w:r w:rsidR="003003B5" w:rsidRPr="00817B9F">
        <w:t xml:space="preserve">us to </w:t>
      </w:r>
      <w:r w:rsidR="00711F94" w:rsidRPr="00817B9F">
        <w:t xml:space="preserve">analyze the </w:t>
      </w:r>
      <w:r w:rsidR="00A16BCE" w:rsidRPr="00817B9F">
        <w:t xml:space="preserve">current </w:t>
      </w:r>
      <w:r w:rsidR="00471910" w:rsidRPr="00817B9F">
        <w:t xml:space="preserve">utilization of </w:t>
      </w:r>
      <w:r w:rsidR="00E2032A" w:rsidRPr="00817B9F">
        <w:t>M</w:t>
      </w:r>
      <w:r w:rsidR="008379C8" w:rsidRPr="00817B9F">
        <w:t>GH</w:t>
      </w:r>
      <w:r w:rsidR="0046443D" w:rsidRPr="00817B9F">
        <w:t xml:space="preserve">. As part of </w:t>
      </w:r>
      <w:r w:rsidR="0081467E" w:rsidRPr="00817B9F">
        <w:t>this</w:t>
      </w:r>
      <w:r w:rsidR="0046443D" w:rsidRPr="00817B9F">
        <w:t xml:space="preserve"> analysis, </w:t>
      </w:r>
      <w:r w:rsidR="00BF788B" w:rsidRPr="00817B9F">
        <w:t xml:space="preserve">for the services referenced </w:t>
      </w:r>
      <w:r w:rsidR="00E40C54" w:rsidRPr="00817B9F">
        <w:t xml:space="preserve">in the DoN application for </w:t>
      </w:r>
      <w:r w:rsidR="00535C1B" w:rsidRPr="00817B9F">
        <w:t>MGH</w:t>
      </w:r>
      <w:r w:rsidR="00E40C54" w:rsidRPr="00817B9F">
        <w:t xml:space="preserve">, </w:t>
      </w:r>
      <w:r w:rsidR="0081467E" w:rsidRPr="00817B9F">
        <w:t>we were</w:t>
      </w:r>
      <w:r w:rsidR="0046443D" w:rsidRPr="00817B9F">
        <w:t xml:space="preserve"> asked </w:t>
      </w:r>
      <w:r w:rsidR="0081467E" w:rsidRPr="00817B9F">
        <w:t>to</w:t>
      </w:r>
      <w:r w:rsidR="0046443D" w:rsidRPr="00817B9F">
        <w:t xml:space="preserve"> c</w:t>
      </w:r>
      <w:r w:rsidR="00A65060" w:rsidRPr="00817B9F">
        <w:t xml:space="preserve">ompare </w:t>
      </w:r>
      <w:r w:rsidR="00EA7F54" w:rsidRPr="00817B9F">
        <w:t>the profiles of</w:t>
      </w:r>
      <w:r w:rsidR="005D68C1" w:rsidRPr="00817B9F">
        <w:t xml:space="preserve"> </w:t>
      </w:r>
      <w:r w:rsidR="0031017B" w:rsidRPr="00817B9F">
        <w:t>patient</w:t>
      </w:r>
      <w:r w:rsidR="00EA7F54" w:rsidRPr="00817B9F">
        <w:t>s</w:t>
      </w:r>
      <w:r w:rsidR="0031017B" w:rsidRPr="00817B9F">
        <w:t xml:space="preserve"> </w:t>
      </w:r>
      <w:r w:rsidR="00A65060" w:rsidRPr="00817B9F">
        <w:t xml:space="preserve">who </w:t>
      </w:r>
      <w:r w:rsidR="00520F42" w:rsidRPr="00817B9F">
        <w:t>received</w:t>
      </w:r>
      <w:r w:rsidR="00A65060" w:rsidRPr="00817B9F">
        <w:t xml:space="preserve"> care at </w:t>
      </w:r>
      <w:r w:rsidR="00535C1B" w:rsidRPr="00817B9F">
        <w:t>MGH</w:t>
      </w:r>
      <w:r w:rsidR="000B4918" w:rsidRPr="00817B9F">
        <w:t xml:space="preserve"> with </w:t>
      </w:r>
      <w:r w:rsidR="00EB5EC4" w:rsidRPr="00817B9F">
        <w:t xml:space="preserve">the </w:t>
      </w:r>
      <w:r w:rsidR="006A779E" w:rsidRPr="00817B9F">
        <w:t>profiles of the broader</w:t>
      </w:r>
      <w:r w:rsidR="00EB5EC4" w:rsidRPr="00817B9F">
        <w:t xml:space="preserve"> population </w:t>
      </w:r>
      <w:r w:rsidR="00AE2BC5" w:rsidRPr="00817B9F">
        <w:t xml:space="preserve">of patients who </w:t>
      </w:r>
      <w:r w:rsidR="00520F42" w:rsidRPr="00817B9F">
        <w:t>sought</w:t>
      </w:r>
      <w:r w:rsidR="00AE2BC5" w:rsidRPr="00817B9F">
        <w:t xml:space="preserve"> care for those services</w:t>
      </w:r>
      <w:r w:rsidR="00EB5EC4" w:rsidRPr="00817B9F">
        <w:t>.</w:t>
      </w:r>
      <w:r w:rsidR="001161D1" w:rsidRPr="00817B9F">
        <w:t xml:space="preserve"> </w:t>
      </w:r>
      <w:r w:rsidR="003263DD" w:rsidRPr="00817B9F">
        <w:t xml:space="preserve">For </w:t>
      </w:r>
      <w:r w:rsidR="00247B20" w:rsidRPr="00817B9F">
        <w:t>these comparisons</w:t>
      </w:r>
      <w:r w:rsidR="003263DD" w:rsidRPr="00817B9F">
        <w:t xml:space="preserve">, the DoN program asked that we provide </w:t>
      </w:r>
      <w:r w:rsidR="00C82189" w:rsidRPr="00817B9F">
        <w:t xml:space="preserve">information on </w:t>
      </w:r>
      <w:r w:rsidR="00622CF8" w:rsidRPr="00817B9F">
        <w:t>patient</w:t>
      </w:r>
      <w:r w:rsidR="00AE2BC5" w:rsidRPr="00817B9F">
        <w:t>s’</w:t>
      </w:r>
      <w:r w:rsidR="00622CF8" w:rsidRPr="00817B9F">
        <w:t xml:space="preserve"> </w:t>
      </w:r>
      <w:r w:rsidR="00C82189" w:rsidRPr="00817B9F">
        <w:t>demographics</w:t>
      </w:r>
      <w:r w:rsidR="00702A23" w:rsidRPr="00817B9F">
        <w:t>,</w:t>
      </w:r>
      <w:r w:rsidR="00512D40" w:rsidRPr="00817B9F">
        <w:t xml:space="preserve"> insura</w:t>
      </w:r>
      <w:r w:rsidR="008E6C56" w:rsidRPr="00817B9F">
        <w:t>n</w:t>
      </w:r>
      <w:r w:rsidR="00512D40" w:rsidRPr="00817B9F">
        <w:t>ce coverage</w:t>
      </w:r>
      <w:r w:rsidR="00702A23" w:rsidRPr="00817B9F">
        <w:t xml:space="preserve">, </w:t>
      </w:r>
      <w:r w:rsidR="00985B70" w:rsidRPr="00817B9F">
        <w:t xml:space="preserve">and the </w:t>
      </w:r>
      <w:r w:rsidR="00FB3932" w:rsidRPr="00817B9F">
        <w:t>acuity</w:t>
      </w:r>
      <w:r w:rsidR="00AE2BC5" w:rsidRPr="00817B9F">
        <w:t xml:space="preserve"> levels of patients </w:t>
      </w:r>
      <w:r w:rsidR="00553B5A" w:rsidRPr="00817B9F">
        <w:t>who received</w:t>
      </w:r>
      <w:r w:rsidR="00AE2BC5" w:rsidRPr="00817B9F">
        <w:t xml:space="preserve"> care at </w:t>
      </w:r>
      <w:r w:rsidR="00535C1B" w:rsidRPr="00817B9F">
        <w:t>MGH</w:t>
      </w:r>
      <w:r w:rsidR="00FB3932" w:rsidRPr="00817B9F">
        <w:t xml:space="preserve">. </w:t>
      </w:r>
      <w:r w:rsidR="004F5707" w:rsidRPr="00817B9F">
        <w:t xml:space="preserve">We also document changes in utilization of inpatient </w:t>
      </w:r>
      <w:r w:rsidR="008A500A" w:rsidRPr="00817B9F">
        <w:t>services</w:t>
      </w:r>
      <w:r w:rsidR="004F5707" w:rsidRPr="00817B9F">
        <w:t xml:space="preserve"> </w:t>
      </w:r>
      <w:r w:rsidR="004B653A" w:rsidRPr="00817B9F">
        <w:t>at</w:t>
      </w:r>
      <w:r w:rsidR="00535C1B" w:rsidRPr="00817B9F">
        <w:t xml:space="preserve"> MGH </w:t>
      </w:r>
      <w:r w:rsidR="004B653A" w:rsidRPr="00817B9F">
        <w:t>between 2015 and 2019.</w:t>
      </w:r>
      <w:r w:rsidR="004F5707" w:rsidRPr="00817B9F">
        <w:t xml:space="preserve"> </w:t>
      </w:r>
    </w:p>
    <w:p w14:paraId="42C24991" w14:textId="6E4CCF76" w:rsidR="00A70BEB" w:rsidRPr="00817B9F" w:rsidRDefault="005F038F" w:rsidP="00AA0512">
      <w:pPr>
        <w:pStyle w:val="Heading2"/>
        <w:numPr>
          <w:ilvl w:val="0"/>
          <w:numId w:val="18"/>
        </w:numPr>
        <w:rPr>
          <w:rFonts w:cs="Times New Roman"/>
        </w:rPr>
      </w:pPr>
      <w:bookmarkStart w:id="68" w:name="_Toc90046507"/>
      <w:r w:rsidRPr="00817B9F">
        <w:rPr>
          <w:rFonts w:cs="Times New Roman"/>
        </w:rPr>
        <w:t>Inpatient Services</w:t>
      </w:r>
      <w:bookmarkEnd w:id="68"/>
    </w:p>
    <w:p w14:paraId="40E1CCE1" w14:textId="49568F76" w:rsidR="00DA4AE6" w:rsidRPr="00817B9F" w:rsidRDefault="00F821F5" w:rsidP="009846E8">
      <w:pPr>
        <w:pStyle w:val="NumberedParagraphs"/>
      </w:pPr>
      <w:r w:rsidRPr="00817B9F">
        <w:t>As described earlier,</w:t>
      </w:r>
      <w:r w:rsidR="009550A7" w:rsidRPr="00817B9F">
        <w:t xml:space="preserve"> </w:t>
      </w:r>
      <w:r w:rsidR="000168ED" w:rsidRPr="00817B9F">
        <w:t xml:space="preserve">we limit our analyses </w:t>
      </w:r>
      <w:r w:rsidR="008A229C" w:rsidRPr="00817B9F">
        <w:t xml:space="preserve">of </w:t>
      </w:r>
      <w:r w:rsidR="00846B6E" w:rsidRPr="00817B9F">
        <w:t>inpatient services</w:t>
      </w:r>
      <w:r w:rsidR="000168ED" w:rsidRPr="00817B9F">
        <w:t xml:space="preserve"> to adult inpatient services</w:t>
      </w:r>
      <w:r w:rsidR="00310D08" w:rsidRPr="00817B9F">
        <w:t xml:space="preserve"> (</w:t>
      </w:r>
      <w:r w:rsidR="00310D08" w:rsidRPr="00817B9F">
        <w:rPr>
          <w:i/>
          <w:iCs/>
        </w:rPr>
        <w:t>i.e.</w:t>
      </w:r>
      <w:r w:rsidR="00310D08" w:rsidRPr="00817B9F">
        <w:t>, excluding pediatrics and newborns)</w:t>
      </w:r>
      <w:r w:rsidR="00F543DE" w:rsidRPr="00817B9F">
        <w:t>,</w:t>
      </w:r>
      <w:r w:rsidR="000168ED" w:rsidRPr="00817B9F">
        <w:t xml:space="preserve"> </w:t>
      </w:r>
      <w:r w:rsidRPr="00817B9F">
        <w:t>exclud</w:t>
      </w:r>
      <w:r w:rsidR="00F543DE" w:rsidRPr="00817B9F">
        <w:t>ing</w:t>
      </w:r>
      <w:r w:rsidRPr="00817B9F">
        <w:t xml:space="preserve"> </w:t>
      </w:r>
      <w:r w:rsidR="00D8619F" w:rsidRPr="00817B9F">
        <w:t xml:space="preserve">inpatient </w:t>
      </w:r>
      <w:r w:rsidRPr="00817B9F">
        <w:t>discharges related to obstetrics</w:t>
      </w:r>
      <w:r w:rsidR="00F543DE" w:rsidRPr="00817B9F">
        <w:t>,</w:t>
      </w:r>
      <w:r w:rsidRPr="00817B9F">
        <w:t xml:space="preserve"> behavioral health, substance </w:t>
      </w:r>
      <w:r w:rsidR="00F543DE" w:rsidRPr="00817B9F">
        <w:t xml:space="preserve">use </w:t>
      </w:r>
      <w:r w:rsidR="00474A3D" w:rsidRPr="00817B9F">
        <w:t>disor</w:t>
      </w:r>
      <w:r w:rsidR="00D8619F" w:rsidRPr="00817B9F">
        <w:t>der</w:t>
      </w:r>
      <w:r w:rsidRPr="00817B9F">
        <w:t>, and rehabilitation</w:t>
      </w:r>
      <w:r w:rsidR="00F543DE" w:rsidRPr="00817B9F">
        <w:t xml:space="preserve"> services</w:t>
      </w:r>
      <w:r w:rsidR="000168ED" w:rsidRPr="00817B9F">
        <w:t>.</w:t>
      </w:r>
      <w:r w:rsidR="000404A3" w:rsidRPr="00817B9F">
        <w:t xml:space="preserve"> </w:t>
      </w:r>
      <w:r w:rsidR="001538AC" w:rsidRPr="00817B9F">
        <w:t xml:space="preserve">We also exclude patients who do not live in Massachusetts </w:t>
      </w:r>
      <w:r w:rsidR="00722D46" w:rsidRPr="00817B9F">
        <w:t xml:space="preserve">because we lack information on </w:t>
      </w:r>
      <w:r w:rsidR="009B17F5" w:rsidRPr="00817B9F">
        <w:t xml:space="preserve">the </w:t>
      </w:r>
      <w:r w:rsidR="004946BA" w:rsidRPr="00817B9F">
        <w:t>characteristics</w:t>
      </w:r>
      <w:r w:rsidR="009B17F5" w:rsidRPr="00817B9F">
        <w:t xml:space="preserve"> of </w:t>
      </w:r>
      <w:r w:rsidR="00887D0B" w:rsidRPr="00817B9F">
        <w:t>patients who reside outside of Massachusetts and choose to receive care in</w:t>
      </w:r>
      <w:r w:rsidR="003B5B7E" w:rsidRPr="00817B9F">
        <w:t xml:space="preserve"> their </w:t>
      </w:r>
      <w:r w:rsidR="00887D0B" w:rsidRPr="00817B9F">
        <w:t xml:space="preserve">local </w:t>
      </w:r>
      <w:r w:rsidR="003B5B7E" w:rsidRPr="00817B9F">
        <w:t xml:space="preserve">communities. Lastly, we exclude patients who were </w:t>
      </w:r>
      <w:r w:rsidR="00332A8F" w:rsidRPr="00817B9F">
        <w:t>transfer</w:t>
      </w:r>
      <w:r w:rsidR="003B5B7E" w:rsidRPr="00817B9F">
        <w:t>red</w:t>
      </w:r>
      <w:r w:rsidR="00332A8F" w:rsidRPr="00817B9F">
        <w:t xml:space="preserve"> from intermediate care facilities, other hospitals’ emergency rooms, another unit within the same hospital, court/law enforcement</w:t>
      </w:r>
      <w:r w:rsidR="00524BA8" w:rsidRPr="00817B9F">
        <w:t xml:space="preserve"> facilities</w:t>
      </w:r>
      <w:r w:rsidR="00332A8F" w:rsidRPr="00817B9F">
        <w:t xml:space="preserve">, hospice facilities, and other institutions’ </w:t>
      </w:r>
      <w:r w:rsidR="00A90315" w:rsidRPr="00817B9F">
        <w:t>ASC</w:t>
      </w:r>
      <w:r w:rsidR="0082057A" w:rsidRPr="00817B9F">
        <w:t>s</w:t>
      </w:r>
      <w:r w:rsidR="00332A8F" w:rsidRPr="00817B9F">
        <w:t>.</w:t>
      </w:r>
      <w:r w:rsidR="00064701" w:rsidRPr="00817B9F">
        <w:t xml:space="preserve"> These limitations and exclusions apply to all analyses we discu</w:t>
      </w:r>
      <w:r w:rsidR="00DD7F50" w:rsidRPr="00817B9F">
        <w:t>s</w:t>
      </w:r>
      <w:r w:rsidR="00064701" w:rsidRPr="00817B9F">
        <w:t>s in this section</w:t>
      </w:r>
      <w:r w:rsidR="001A6CE1" w:rsidRPr="00817B9F">
        <w:t xml:space="preserve"> and we do not repeat them</w:t>
      </w:r>
      <w:r w:rsidR="00064701" w:rsidRPr="00817B9F">
        <w:t xml:space="preserve"> for the sake of brevity</w:t>
      </w:r>
      <w:r w:rsidR="001A6CE1" w:rsidRPr="00817B9F">
        <w:t>.</w:t>
      </w:r>
    </w:p>
    <w:p w14:paraId="53DEC4AB" w14:textId="61975D5B" w:rsidR="0080226E" w:rsidRPr="00817B9F" w:rsidRDefault="00DA4AE6" w:rsidP="0080226E">
      <w:pPr>
        <w:pStyle w:val="NumberedParagraphs"/>
      </w:pPr>
      <w:r w:rsidRPr="00817B9F">
        <w:t xml:space="preserve">We first describe the </w:t>
      </w:r>
      <w:r w:rsidR="00C2157E" w:rsidRPr="00817B9F">
        <w:t>characteristics of patients who receive</w:t>
      </w:r>
      <w:r w:rsidR="00F00137" w:rsidRPr="00817B9F">
        <w:t>d</w:t>
      </w:r>
      <w:r w:rsidR="00C2157E" w:rsidRPr="00817B9F">
        <w:t xml:space="preserve"> care at </w:t>
      </w:r>
      <w:r w:rsidR="000D061A" w:rsidRPr="00817B9F">
        <w:t xml:space="preserve">MGH </w:t>
      </w:r>
      <w:r w:rsidR="00F00137" w:rsidRPr="00817B9F">
        <w:t xml:space="preserve">in 2019 </w:t>
      </w:r>
      <w:r w:rsidR="00C2157E" w:rsidRPr="00817B9F">
        <w:t>and compare the characteristics of these patients to the broader population of patients who reside</w:t>
      </w:r>
      <w:r w:rsidR="001A43A3" w:rsidRPr="00817B9F">
        <w:t>d</w:t>
      </w:r>
      <w:r w:rsidR="00C2157E" w:rsidRPr="00817B9F">
        <w:t xml:space="preserve"> in the hospital’s service area. To provide conte</w:t>
      </w:r>
      <w:r w:rsidR="005B31D7" w:rsidRPr="00817B9F">
        <w:t>x</w:t>
      </w:r>
      <w:r w:rsidR="00C2157E" w:rsidRPr="00817B9F">
        <w:t xml:space="preserve">t for assessing </w:t>
      </w:r>
      <w:r w:rsidR="005B31D7" w:rsidRPr="00817B9F">
        <w:t>MGB’s proposal</w:t>
      </w:r>
      <w:r w:rsidR="00C2157E" w:rsidRPr="00817B9F">
        <w:t xml:space="preserve"> to expand the number of in</w:t>
      </w:r>
      <w:r w:rsidR="005B31D7" w:rsidRPr="00817B9F">
        <w:t>patient beds at</w:t>
      </w:r>
      <w:r w:rsidR="000D061A" w:rsidRPr="00817B9F">
        <w:t xml:space="preserve"> MGH</w:t>
      </w:r>
      <w:r w:rsidR="005B31D7" w:rsidRPr="00817B9F">
        <w:t xml:space="preserve">, we also document changes in the </w:t>
      </w:r>
      <w:r w:rsidR="00A812B5" w:rsidRPr="00817B9F">
        <w:t xml:space="preserve">utilization of the hospital’s inpatient services (both in terms of discharges and patient days) between 2015 and 2019. </w:t>
      </w:r>
      <w:r w:rsidR="0080226E" w:rsidRPr="00817B9F">
        <w:t xml:space="preserve">The figures discussed </w:t>
      </w:r>
      <w:r w:rsidR="00E776F7" w:rsidRPr="00817B9F">
        <w:t xml:space="preserve">in what follows </w:t>
      </w:r>
      <w:r w:rsidR="0080226E" w:rsidRPr="00817B9F">
        <w:t>are created using the 2019 Hospital Inpatient Discharge Database.</w:t>
      </w:r>
    </w:p>
    <w:p w14:paraId="30C8637D" w14:textId="5EF87DE0" w:rsidR="00C83798" w:rsidRPr="00817B9F" w:rsidRDefault="00B10354" w:rsidP="00E776F7">
      <w:pPr>
        <w:pStyle w:val="Heading3"/>
        <w:numPr>
          <w:ilvl w:val="0"/>
          <w:numId w:val="31"/>
        </w:numPr>
      </w:pPr>
      <w:bookmarkStart w:id="69" w:name="_Toc90046508"/>
      <w:r w:rsidRPr="00817B9F">
        <w:t>Patient Profiles</w:t>
      </w:r>
      <w:bookmarkEnd w:id="69"/>
    </w:p>
    <w:p w14:paraId="43FD0B7E" w14:textId="4CD80D5F" w:rsidR="002E2BC8" w:rsidRPr="00817B9F" w:rsidRDefault="00C6132F" w:rsidP="006F717C">
      <w:pPr>
        <w:pStyle w:val="NumberedParagraphs"/>
      </w:pPr>
      <w:r w:rsidRPr="00817B9F">
        <w:t>Figure MGH1</w:t>
      </w:r>
      <w:r w:rsidR="00734403" w:rsidRPr="00817B9F">
        <w:t xml:space="preserve"> </w:t>
      </w:r>
      <w:r w:rsidR="00A14CBD" w:rsidRPr="00817B9F">
        <w:t>summa</w:t>
      </w:r>
      <w:r w:rsidR="00D81CCD" w:rsidRPr="00817B9F">
        <w:t>rizes</w:t>
      </w:r>
      <w:r w:rsidR="002A3684" w:rsidRPr="00817B9F">
        <w:t xml:space="preserve"> patient characteristics</w:t>
      </w:r>
      <w:r w:rsidR="008E07FE" w:rsidRPr="00817B9F">
        <w:t xml:space="preserve"> (</w:t>
      </w:r>
      <w:r w:rsidR="0048236E" w:rsidRPr="00817B9F">
        <w:rPr>
          <w:i/>
          <w:iCs/>
        </w:rPr>
        <w:t>i.e.</w:t>
      </w:r>
      <w:r w:rsidR="0048236E" w:rsidRPr="00817B9F">
        <w:t xml:space="preserve">, </w:t>
      </w:r>
      <w:r w:rsidR="003A6CF0" w:rsidRPr="00817B9F">
        <w:t>gender</w:t>
      </w:r>
      <w:r w:rsidR="008E07FE" w:rsidRPr="00817B9F">
        <w:t>, race/ethnicity, age, insurance coverage</w:t>
      </w:r>
      <w:r w:rsidR="00D966C0" w:rsidRPr="00817B9F">
        <w:t>, and acuity</w:t>
      </w:r>
      <w:r w:rsidR="008E07FE" w:rsidRPr="00817B9F">
        <w:t>)</w:t>
      </w:r>
      <w:r w:rsidR="002A3684" w:rsidRPr="00817B9F">
        <w:t xml:space="preserve"> </w:t>
      </w:r>
      <w:r w:rsidR="00D66FA7" w:rsidRPr="00817B9F">
        <w:t xml:space="preserve">for all MGH </w:t>
      </w:r>
      <w:r w:rsidR="001A6CE1" w:rsidRPr="00817B9F">
        <w:t>in</w:t>
      </w:r>
      <w:r w:rsidR="00D66FA7" w:rsidRPr="00817B9F">
        <w:t>patients</w:t>
      </w:r>
      <w:r w:rsidR="001771E0" w:rsidRPr="00817B9F">
        <w:t xml:space="preserve">, MGH inpatients </w:t>
      </w:r>
      <w:r w:rsidR="00791A87" w:rsidRPr="00817B9F">
        <w:t>who resided</w:t>
      </w:r>
      <w:r w:rsidR="00462EDB" w:rsidRPr="00817B9F">
        <w:t xml:space="preserve"> </w:t>
      </w:r>
      <w:r w:rsidR="0006612E" w:rsidRPr="00817B9F">
        <w:t xml:space="preserve">in </w:t>
      </w:r>
      <w:r w:rsidR="00462EDB" w:rsidRPr="00817B9F">
        <w:t xml:space="preserve">the </w:t>
      </w:r>
      <w:r w:rsidR="009A7028" w:rsidRPr="00817B9F">
        <w:t xml:space="preserve">hospital’s 75 percent service area, and inpatients </w:t>
      </w:r>
      <w:r w:rsidR="00A75C80" w:rsidRPr="00817B9F">
        <w:t>who resided</w:t>
      </w:r>
      <w:r w:rsidR="00462EDB" w:rsidRPr="00817B9F">
        <w:t xml:space="preserve"> </w:t>
      </w:r>
      <w:r w:rsidR="0006612E" w:rsidRPr="00817B9F">
        <w:t xml:space="preserve">in </w:t>
      </w:r>
      <w:r w:rsidR="009A7028" w:rsidRPr="00817B9F">
        <w:t xml:space="preserve">the hospital’s 75 percent service </w:t>
      </w:r>
      <w:r w:rsidR="007943F3" w:rsidRPr="00817B9F">
        <w:t>area</w:t>
      </w:r>
      <w:r w:rsidR="009A7028" w:rsidRPr="00817B9F">
        <w:t xml:space="preserve"> </w:t>
      </w:r>
      <w:r w:rsidR="008F60D5" w:rsidRPr="00817B9F">
        <w:t xml:space="preserve">regardless of </w:t>
      </w:r>
      <w:r w:rsidR="00D966C0" w:rsidRPr="00817B9F">
        <w:t>their choice of hospital</w:t>
      </w:r>
      <w:r w:rsidR="00D66FA7" w:rsidRPr="00817B9F">
        <w:t>.</w:t>
      </w:r>
      <w:r w:rsidR="00030BF0" w:rsidRPr="00817B9F">
        <w:t xml:space="preserve"> </w:t>
      </w:r>
      <w:r w:rsidR="00AC157C" w:rsidRPr="00817B9F">
        <w:t xml:space="preserve">The first column of the </w:t>
      </w:r>
      <w:r w:rsidR="00215DE0" w:rsidRPr="00817B9F">
        <w:t>figure</w:t>
      </w:r>
      <w:r w:rsidR="00AC157C" w:rsidRPr="00817B9F">
        <w:t xml:space="preserve"> </w:t>
      </w:r>
      <w:r w:rsidR="00566BD4" w:rsidRPr="00817B9F">
        <w:t xml:space="preserve">summarizes </w:t>
      </w:r>
      <w:r w:rsidR="00883B0A" w:rsidRPr="00817B9F">
        <w:t xml:space="preserve">patient </w:t>
      </w:r>
      <w:r w:rsidR="006B78FA" w:rsidRPr="00817B9F">
        <w:t>characteristics for all MGH inpatients</w:t>
      </w:r>
      <w:r w:rsidR="005D18FE" w:rsidRPr="00817B9F">
        <w:t xml:space="preserve">. </w:t>
      </w:r>
    </w:p>
    <w:p w14:paraId="0C5B40DE" w14:textId="77777777" w:rsidR="002E2BC8" w:rsidRPr="00817B9F" w:rsidRDefault="004C109E" w:rsidP="005D3EC9">
      <w:pPr>
        <w:pStyle w:val="BulletParagraph"/>
        <w:rPr>
          <w:rFonts w:cs="Times New Roman"/>
        </w:rPr>
      </w:pPr>
      <w:r w:rsidRPr="00817B9F">
        <w:rPr>
          <w:rFonts w:cs="Times New Roman"/>
        </w:rPr>
        <w:lastRenderedPageBreak/>
        <w:t>In 2019, a</w:t>
      </w:r>
      <w:r w:rsidR="004F1E9B" w:rsidRPr="00817B9F">
        <w:rPr>
          <w:rFonts w:cs="Times New Roman"/>
        </w:rPr>
        <w:t>pproximately 47</w:t>
      </w:r>
      <w:r w:rsidR="002A68B9" w:rsidRPr="00817B9F">
        <w:rPr>
          <w:rFonts w:cs="Times New Roman"/>
        </w:rPr>
        <w:t xml:space="preserve"> percent</w:t>
      </w:r>
      <w:r w:rsidR="004F1E9B" w:rsidRPr="00817B9F">
        <w:rPr>
          <w:rFonts w:cs="Times New Roman"/>
        </w:rPr>
        <w:t xml:space="preserve"> of MGH</w:t>
      </w:r>
      <w:r w:rsidR="00C4198A" w:rsidRPr="00817B9F">
        <w:rPr>
          <w:rFonts w:cs="Times New Roman"/>
        </w:rPr>
        <w:t>’s</w:t>
      </w:r>
      <w:r w:rsidR="004F1E9B" w:rsidRPr="00817B9F">
        <w:rPr>
          <w:rFonts w:cs="Times New Roman"/>
        </w:rPr>
        <w:t xml:space="preserve"> </w:t>
      </w:r>
      <w:r w:rsidR="00C4198A" w:rsidRPr="00817B9F">
        <w:rPr>
          <w:rFonts w:cs="Times New Roman"/>
        </w:rPr>
        <w:t>i</w:t>
      </w:r>
      <w:r w:rsidR="002421F6" w:rsidRPr="00817B9F">
        <w:rPr>
          <w:rFonts w:cs="Times New Roman"/>
        </w:rPr>
        <w:t>n</w:t>
      </w:r>
      <w:r w:rsidR="004F1E9B" w:rsidRPr="00817B9F">
        <w:rPr>
          <w:rFonts w:cs="Times New Roman"/>
        </w:rPr>
        <w:t xml:space="preserve">patients </w:t>
      </w:r>
      <w:r w:rsidR="00EC0236" w:rsidRPr="00817B9F">
        <w:rPr>
          <w:rFonts w:cs="Times New Roman"/>
        </w:rPr>
        <w:t>were</w:t>
      </w:r>
      <w:r w:rsidR="004F1E9B" w:rsidRPr="00817B9F">
        <w:rPr>
          <w:rFonts w:cs="Times New Roman"/>
        </w:rPr>
        <w:t xml:space="preserve"> </w:t>
      </w:r>
      <w:r w:rsidR="008905C2" w:rsidRPr="00817B9F">
        <w:rPr>
          <w:rFonts w:cs="Times New Roman"/>
        </w:rPr>
        <w:t>female</w:t>
      </w:r>
      <w:r w:rsidR="00E25E1A" w:rsidRPr="00817B9F">
        <w:rPr>
          <w:rFonts w:cs="Times New Roman"/>
        </w:rPr>
        <w:t>.</w:t>
      </w:r>
      <w:r w:rsidR="00734C6B" w:rsidRPr="00817B9F">
        <w:rPr>
          <w:rFonts w:cs="Times New Roman"/>
        </w:rPr>
        <w:t xml:space="preserve"> </w:t>
      </w:r>
    </w:p>
    <w:p w14:paraId="1EC7BD51" w14:textId="6EC85017" w:rsidR="002E2BC8" w:rsidRPr="00817B9F" w:rsidRDefault="00566765" w:rsidP="005D3EC9">
      <w:pPr>
        <w:pStyle w:val="BulletParagraph"/>
        <w:rPr>
          <w:rFonts w:cs="Times New Roman"/>
        </w:rPr>
      </w:pPr>
      <w:r w:rsidRPr="00817B9F">
        <w:rPr>
          <w:rFonts w:cs="Times New Roman"/>
        </w:rPr>
        <w:t>White patients account</w:t>
      </w:r>
      <w:r w:rsidR="00EC0236" w:rsidRPr="00817B9F">
        <w:rPr>
          <w:rFonts w:cs="Times New Roman"/>
        </w:rPr>
        <w:t>ed</w:t>
      </w:r>
      <w:r w:rsidRPr="00817B9F">
        <w:rPr>
          <w:rFonts w:cs="Times New Roman"/>
        </w:rPr>
        <w:t xml:space="preserve"> for </w:t>
      </w:r>
      <w:r w:rsidR="006263FD" w:rsidRPr="00817B9F">
        <w:rPr>
          <w:rFonts w:cs="Times New Roman"/>
        </w:rPr>
        <w:t>80</w:t>
      </w:r>
      <w:r w:rsidR="002A68B9" w:rsidRPr="00817B9F">
        <w:rPr>
          <w:rFonts w:cs="Times New Roman"/>
        </w:rPr>
        <w:t xml:space="preserve"> percent</w:t>
      </w:r>
      <w:r w:rsidR="006263FD" w:rsidRPr="00817B9F">
        <w:rPr>
          <w:rFonts w:cs="Times New Roman"/>
        </w:rPr>
        <w:t xml:space="preserve"> </w:t>
      </w:r>
      <w:r w:rsidR="00363155" w:rsidRPr="00817B9F">
        <w:rPr>
          <w:rFonts w:cs="Times New Roman"/>
        </w:rPr>
        <w:t>of MGH</w:t>
      </w:r>
      <w:r w:rsidR="005C162B" w:rsidRPr="00817B9F">
        <w:rPr>
          <w:rFonts w:cs="Times New Roman"/>
        </w:rPr>
        <w:t>’s inpatient</w:t>
      </w:r>
      <w:r w:rsidR="006F4E9C" w:rsidRPr="00817B9F">
        <w:rPr>
          <w:rFonts w:cs="Times New Roman"/>
        </w:rPr>
        <w:t>s</w:t>
      </w:r>
      <w:r w:rsidR="009F3DBE" w:rsidRPr="00817B9F">
        <w:rPr>
          <w:rFonts w:cs="Times New Roman"/>
        </w:rPr>
        <w:t xml:space="preserve">. </w:t>
      </w:r>
      <w:r w:rsidR="002F4186" w:rsidRPr="00817B9F">
        <w:rPr>
          <w:rFonts w:cs="Times New Roman"/>
        </w:rPr>
        <w:t>Among</w:t>
      </w:r>
      <w:r w:rsidR="009F3DBE" w:rsidRPr="00817B9F">
        <w:rPr>
          <w:rFonts w:cs="Times New Roman"/>
        </w:rPr>
        <w:t xml:space="preserve"> the remaining 20</w:t>
      </w:r>
      <w:r w:rsidR="002A68B9" w:rsidRPr="00817B9F">
        <w:rPr>
          <w:rFonts w:cs="Times New Roman"/>
        </w:rPr>
        <w:t xml:space="preserve"> percent</w:t>
      </w:r>
      <w:r w:rsidR="00A417FF" w:rsidRPr="00817B9F">
        <w:rPr>
          <w:rFonts w:cs="Times New Roman"/>
        </w:rPr>
        <w:t xml:space="preserve"> of inpatient</w:t>
      </w:r>
      <w:r w:rsidR="006F4E9C" w:rsidRPr="00817B9F">
        <w:rPr>
          <w:rFonts w:cs="Times New Roman"/>
        </w:rPr>
        <w:t>s</w:t>
      </w:r>
      <w:r w:rsidR="009F3DBE" w:rsidRPr="00817B9F">
        <w:rPr>
          <w:rFonts w:cs="Times New Roman"/>
        </w:rPr>
        <w:t xml:space="preserve">, </w:t>
      </w:r>
      <w:r w:rsidR="002A68B9" w:rsidRPr="00817B9F">
        <w:rPr>
          <w:rFonts w:cs="Times New Roman"/>
        </w:rPr>
        <w:t>six percent</w:t>
      </w:r>
      <w:r w:rsidR="00363155" w:rsidRPr="00817B9F">
        <w:rPr>
          <w:rFonts w:cs="Times New Roman"/>
        </w:rPr>
        <w:t xml:space="preserve"> </w:t>
      </w:r>
      <w:r w:rsidR="000A2950" w:rsidRPr="00817B9F">
        <w:rPr>
          <w:rFonts w:cs="Times New Roman"/>
        </w:rPr>
        <w:t xml:space="preserve">of patients </w:t>
      </w:r>
      <w:r w:rsidR="00EC0236" w:rsidRPr="00817B9F">
        <w:rPr>
          <w:rFonts w:cs="Times New Roman"/>
        </w:rPr>
        <w:t>were</w:t>
      </w:r>
      <w:r w:rsidR="00955117" w:rsidRPr="00817B9F">
        <w:rPr>
          <w:rFonts w:cs="Times New Roman"/>
        </w:rPr>
        <w:t xml:space="preserve"> </w:t>
      </w:r>
      <w:r w:rsidR="0020754F" w:rsidRPr="00817B9F">
        <w:rPr>
          <w:rFonts w:cs="Times New Roman"/>
        </w:rPr>
        <w:t>B</w:t>
      </w:r>
      <w:r w:rsidR="00363155" w:rsidRPr="00817B9F">
        <w:rPr>
          <w:rFonts w:cs="Times New Roman"/>
        </w:rPr>
        <w:t xml:space="preserve">lack, </w:t>
      </w:r>
      <w:r w:rsidR="002A68B9" w:rsidRPr="00817B9F">
        <w:rPr>
          <w:rFonts w:cs="Times New Roman"/>
        </w:rPr>
        <w:t>four percent</w:t>
      </w:r>
      <w:r w:rsidR="00363155" w:rsidRPr="00817B9F">
        <w:rPr>
          <w:rFonts w:cs="Times New Roman"/>
        </w:rPr>
        <w:t xml:space="preserve"> </w:t>
      </w:r>
      <w:r w:rsidR="00EC0236" w:rsidRPr="00817B9F">
        <w:rPr>
          <w:rFonts w:cs="Times New Roman"/>
        </w:rPr>
        <w:t>were</w:t>
      </w:r>
      <w:r w:rsidR="0015782B" w:rsidRPr="00817B9F">
        <w:rPr>
          <w:rFonts w:cs="Times New Roman"/>
        </w:rPr>
        <w:t xml:space="preserve"> </w:t>
      </w:r>
      <w:r w:rsidR="0020754F" w:rsidRPr="00817B9F">
        <w:rPr>
          <w:rFonts w:cs="Times New Roman"/>
        </w:rPr>
        <w:t>A</w:t>
      </w:r>
      <w:r w:rsidR="002F5173" w:rsidRPr="00817B9F">
        <w:rPr>
          <w:rFonts w:cs="Times New Roman"/>
        </w:rPr>
        <w:t>sian</w:t>
      </w:r>
      <w:r w:rsidR="006A34EF" w:rsidRPr="00817B9F">
        <w:rPr>
          <w:rFonts w:cs="Times New Roman"/>
        </w:rPr>
        <w:t>/</w:t>
      </w:r>
      <w:r w:rsidR="0020754F" w:rsidRPr="00817B9F">
        <w:rPr>
          <w:rFonts w:cs="Times New Roman"/>
        </w:rPr>
        <w:t>Pacific Islander</w:t>
      </w:r>
      <w:r w:rsidR="009F3DBE" w:rsidRPr="00817B9F">
        <w:rPr>
          <w:rFonts w:cs="Times New Roman"/>
        </w:rPr>
        <w:t xml:space="preserve">, </w:t>
      </w:r>
      <w:r w:rsidR="00F67A6D" w:rsidRPr="00817B9F">
        <w:rPr>
          <w:rFonts w:cs="Times New Roman"/>
        </w:rPr>
        <w:t xml:space="preserve">and </w:t>
      </w:r>
      <w:r w:rsidR="005077E1" w:rsidRPr="00817B9F">
        <w:rPr>
          <w:rFonts w:cs="Times New Roman"/>
        </w:rPr>
        <w:t>ten</w:t>
      </w:r>
      <w:r w:rsidR="002A68B9" w:rsidRPr="00817B9F">
        <w:rPr>
          <w:rFonts w:cs="Times New Roman"/>
        </w:rPr>
        <w:t xml:space="preserve"> percent</w:t>
      </w:r>
      <w:r w:rsidR="00F67A6D" w:rsidRPr="00817B9F">
        <w:rPr>
          <w:rFonts w:cs="Times New Roman"/>
        </w:rPr>
        <w:t xml:space="preserve"> </w:t>
      </w:r>
      <w:r w:rsidR="00BD08F5" w:rsidRPr="00817B9F">
        <w:rPr>
          <w:rFonts w:cs="Times New Roman"/>
        </w:rPr>
        <w:t>were of</w:t>
      </w:r>
      <w:r w:rsidR="00F67A6D" w:rsidRPr="00817B9F">
        <w:rPr>
          <w:rFonts w:cs="Times New Roman"/>
        </w:rPr>
        <w:t xml:space="preserve"> </w:t>
      </w:r>
      <w:r w:rsidR="00D82732" w:rsidRPr="00817B9F">
        <w:rPr>
          <w:rFonts w:cs="Times New Roman"/>
        </w:rPr>
        <w:t xml:space="preserve">other or </w:t>
      </w:r>
      <w:r w:rsidR="00F67A6D" w:rsidRPr="00817B9F">
        <w:rPr>
          <w:rFonts w:cs="Times New Roman"/>
        </w:rPr>
        <w:t>unknown race</w:t>
      </w:r>
      <w:r w:rsidR="00DB3DC6" w:rsidRPr="00817B9F">
        <w:rPr>
          <w:rFonts w:cs="Times New Roman"/>
        </w:rPr>
        <w:t>.</w:t>
      </w:r>
      <w:r w:rsidR="00A417FF" w:rsidRPr="00817B9F">
        <w:rPr>
          <w:rFonts w:cs="Times New Roman"/>
        </w:rPr>
        <w:t xml:space="preserve"> Approximately </w:t>
      </w:r>
      <w:r w:rsidR="002A68B9" w:rsidRPr="00817B9F">
        <w:rPr>
          <w:rFonts w:cs="Times New Roman"/>
        </w:rPr>
        <w:t>seven percent</w:t>
      </w:r>
      <w:r w:rsidR="00A417FF" w:rsidRPr="00817B9F">
        <w:rPr>
          <w:rFonts w:cs="Times New Roman"/>
        </w:rPr>
        <w:t xml:space="preserve"> of </w:t>
      </w:r>
      <w:r w:rsidR="00EF6090" w:rsidRPr="00817B9F">
        <w:rPr>
          <w:rFonts w:cs="Times New Roman"/>
        </w:rPr>
        <w:t>inpatient</w:t>
      </w:r>
      <w:r w:rsidR="002F4186" w:rsidRPr="00817B9F">
        <w:rPr>
          <w:rFonts w:cs="Times New Roman"/>
        </w:rPr>
        <w:t>s</w:t>
      </w:r>
      <w:r w:rsidR="00EF6090" w:rsidRPr="00817B9F">
        <w:rPr>
          <w:rFonts w:cs="Times New Roman"/>
        </w:rPr>
        <w:t xml:space="preserve"> </w:t>
      </w:r>
      <w:r w:rsidR="002F4186" w:rsidRPr="00817B9F">
        <w:rPr>
          <w:rFonts w:cs="Times New Roman"/>
        </w:rPr>
        <w:t>at MGH</w:t>
      </w:r>
      <w:r w:rsidR="0006612E" w:rsidRPr="00817B9F">
        <w:rPr>
          <w:rFonts w:cs="Times New Roman"/>
        </w:rPr>
        <w:t xml:space="preserve"> </w:t>
      </w:r>
      <w:r w:rsidR="00BD08F5" w:rsidRPr="00817B9F">
        <w:rPr>
          <w:rFonts w:cs="Times New Roman"/>
        </w:rPr>
        <w:t>were</w:t>
      </w:r>
      <w:r w:rsidR="0006612E" w:rsidRPr="00817B9F">
        <w:rPr>
          <w:rFonts w:cs="Times New Roman"/>
        </w:rPr>
        <w:t xml:space="preserve"> Hispanic.</w:t>
      </w:r>
      <w:r w:rsidR="00EF6090" w:rsidRPr="00817B9F">
        <w:rPr>
          <w:rFonts w:cs="Times New Roman"/>
        </w:rPr>
        <w:t xml:space="preserve"> </w:t>
      </w:r>
    </w:p>
    <w:p w14:paraId="4A0D236B" w14:textId="1BEC8482" w:rsidR="00201BB3" w:rsidRPr="00817B9F" w:rsidRDefault="00BC6875" w:rsidP="005D3EC9">
      <w:pPr>
        <w:pStyle w:val="BulletParagraph"/>
        <w:rPr>
          <w:rFonts w:cs="Times New Roman"/>
        </w:rPr>
      </w:pPr>
      <w:r w:rsidRPr="00817B9F">
        <w:rPr>
          <w:rFonts w:cs="Times New Roman"/>
        </w:rPr>
        <w:t xml:space="preserve">The </w:t>
      </w:r>
      <w:r w:rsidR="001707E1" w:rsidRPr="00817B9F">
        <w:rPr>
          <w:rFonts w:cs="Times New Roman"/>
        </w:rPr>
        <w:t>figure</w:t>
      </w:r>
      <w:r w:rsidRPr="00817B9F">
        <w:rPr>
          <w:rFonts w:cs="Times New Roman"/>
        </w:rPr>
        <w:t xml:space="preserve"> </w:t>
      </w:r>
      <w:r w:rsidR="0015151C" w:rsidRPr="00817B9F">
        <w:rPr>
          <w:rFonts w:cs="Times New Roman"/>
        </w:rPr>
        <w:t xml:space="preserve">also </w:t>
      </w:r>
      <w:r w:rsidRPr="00817B9F">
        <w:rPr>
          <w:rFonts w:cs="Times New Roman"/>
        </w:rPr>
        <w:t xml:space="preserve">shows </w:t>
      </w:r>
      <w:r w:rsidR="0015151C" w:rsidRPr="00817B9F">
        <w:rPr>
          <w:rFonts w:cs="Times New Roman"/>
        </w:rPr>
        <w:t>the distribution of ages for MGH inpatient</w:t>
      </w:r>
      <w:r w:rsidR="00BD08F5" w:rsidRPr="00817B9F">
        <w:rPr>
          <w:rFonts w:cs="Times New Roman"/>
        </w:rPr>
        <w:t>s</w:t>
      </w:r>
      <w:r w:rsidR="0015151C" w:rsidRPr="00817B9F">
        <w:rPr>
          <w:rFonts w:cs="Times New Roman"/>
        </w:rPr>
        <w:t xml:space="preserve">. </w:t>
      </w:r>
      <w:r w:rsidR="00EC0236" w:rsidRPr="00817B9F">
        <w:rPr>
          <w:rFonts w:cs="Times New Roman"/>
        </w:rPr>
        <w:t>More than 50</w:t>
      </w:r>
      <w:r w:rsidR="002A68B9" w:rsidRPr="00817B9F">
        <w:rPr>
          <w:rFonts w:cs="Times New Roman"/>
        </w:rPr>
        <w:t xml:space="preserve"> percent</w:t>
      </w:r>
      <w:r w:rsidR="00F92F3D" w:rsidRPr="00817B9F">
        <w:rPr>
          <w:rFonts w:cs="Times New Roman"/>
        </w:rPr>
        <w:t xml:space="preserve"> of MGH’s inpatient</w:t>
      </w:r>
      <w:r w:rsidR="00EC0236" w:rsidRPr="00817B9F">
        <w:rPr>
          <w:rFonts w:cs="Times New Roman"/>
        </w:rPr>
        <w:t>s</w:t>
      </w:r>
      <w:r w:rsidR="00BD08F5" w:rsidRPr="00817B9F">
        <w:rPr>
          <w:rFonts w:cs="Times New Roman"/>
        </w:rPr>
        <w:t xml:space="preserve"> were</w:t>
      </w:r>
      <w:r w:rsidR="00F92F3D" w:rsidRPr="00817B9F">
        <w:rPr>
          <w:rFonts w:cs="Times New Roman"/>
        </w:rPr>
        <w:t xml:space="preserve"> </w:t>
      </w:r>
      <w:r w:rsidRPr="00817B9F">
        <w:rPr>
          <w:rFonts w:cs="Times New Roman"/>
        </w:rPr>
        <w:t xml:space="preserve">65 </w:t>
      </w:r>
      <w:r w:rsidR="00995008" w:rsidRPr="00817B9F">
        <w:rPr>
          <w:rFonts w:cs="Times New Roman"/>
        </w:rPr>
        <w:t>and</w:t>
      </w:r>
      <w:r w:rsidRPr="00817B9F">
        <w:rPr>
          <w:rFonts w:cs="Times New Roman"/>
        </w:rPr>
        <w:t xml:space="preserve"> older</w:t>
      </w:r>
      <w:r w:rsidR="00721F27" w:rsidRPr="00817B9F">
        <w:rPr>
          <w:rFonts w:cs="Times New Roman"/>
        </w:rPr>
        <w:t xml:space="preserve"> and</w:t>
      </w:r>
      <w:r w:rsidR="00BA7921" w:rsidRPr="00817B9F">
        <w:rPr>
          <w:rFonts w:cs="Times New Roman"/>
        </w:rPr>
        <w:t xml:space="preserve"> </w:t>
      </w:r>
      <w:r w:rsidR="00721F27" w:rsidRPr="00817B9F">
        <w:rPr>
          <w:rFonts w:cs="Times New Roman"/>
        </w:rPr>
        <w:t>a</w:t>
      </w:r>
      <w:r w:rsidR="00BA7921" w:rsidRPr="00817B9F">
        <w:rPr>
          <w:rFonts w:cs="Times New Roman"/>
        </w:rPr>
        <w:t>pproximately 27</w:t>
      </w:r>
      <w:r w:rsidR="002A68B9" w:rsidRPr="00817B9F">
        <w:rPr>
          <w:rFonts w:cs="Times New Roman"/>
        </w:rPr>
        <w:t xml:space="preserve"> percent</w:t>
      </w:r>
      <w:r w:rsidR="00721F27" w:rsidRPr="00817B9F">
        <w:rPr>
          <w:rFonts w:cs="Times New Roman"/>
        </w:rPr>
        <w:t xml:space="preserve"> </w:t>
      </w:r>
      <w:r w:rsidR="00BD08F5" w:rsidRPr="00817B9F">
        <w:rPr>
          <w:rFonts w:cs="Times New Roman"/>
        </w:rPr>
        <w:t>were</w:t>
      </w:r>
      <w:r w:rsidR="002957C9" w:rsidRPr="00817B9F">
        <w:rPr>
          <w:rFonts w:cs="Times New Roman"/>
        </w:rPr>
        <w:t xml:space="preserve"> between </w:t>
      </w:r>
      <w:r w:rsidR="00BD08F5" w:rsidRPr="00817B9F">
        <w:rPr>
          <w:rFonts w:cs="Times New Roman"/>
        </w:rPr>
        <w:t>the ages of</w:t>
      </w:r>
      <w:r w:rsidR="002957C9" w:rsidRPr="00817B9F">
        <w:rPr>
          <w:rFonts w:cs="Times New Roman"/>
        </w:rPr>
        <w:t xml:space="preserve"> 50 and 64.</w:t>
      </w:r>
      <w:r w:rsidR="00232B30" w:rsidRPr="00817B9F">
        <w:rPr>
          <w:rFonts w:cs="Times New Roman"/>
        </w:rPr>
        <w:t xml:space="preserve"> </w:t>
      </w:r>
    </w:p>
    <w:p w14:paraId="3128FA80" w14:textId="53B7E0F1" w:rsidR="00201BB3" w:rsidRPr="00817B9F" w:rsidRDefault="00481F50" w:rsidP="005D3EC9">
      <w:pPr>
        <w:pStyle w:val="BulletParagraph"/>
        <w:rPr>
          <w:rFonts w:cs="Times New Roman"/>
        </w:rPr>
      </w:pPr>
      <w:r w:rsidRPr="00817B9F">
        <w:rPr>
          <w:rFonts w:cs="Times New Roman"/>
        </w:rPr>
        <w:t>For insurance coverage, approximately 45</w:t>
      </w:r>
      <w:r w:rsidR="002A68B9" w:rsidRPr="00817B9F">
        <w:rPr>
          <w:rFonts w:cs="Times New Roman"/>
        </w:rPr>
        <w:t xml:space="preserve"> percent</w:t>
      </w:r>
      <w:r w:rsidRPr="00817B9F">
        <w:rPr>
          <w:rFonts w:cs="Times New Roman"/>
        </w:rPr>
        <w:t xml:space="preserve"> of </w:t>
      </w:r>
      <w:r w:rsidR="006F4E9C" w:rsidRPr="00817B9F">
        <w:rPr>
          <w:rFonts w:cs="Times New Roman"/>
        </w:rPr>
        <w:t>in</w:t>
      </w:r>
      <w:r w:rsidRPr="00817B9F">
        <w:rPr>
          <w:rFonts w:cs="Times New Roman"/>
        </w:rPr>
        <w:t xml:space="preserve">patients </w:t>
      </w:r>
      <w:r w:rsidR="005F5E41" w:rsidRPr="00817B9F">
        <w:rPr>
          <w:rFonts w:cs="Times New Roman"/>
        </w:rPr>
        <w:t>ha</w:t>
      </w:r>
      <w:r w:rsidR="00D01D2D" w:rsidRPr="00817B9F">
        <w:rPr>
          <w:rFonts w:cs="Times New Roman"/>
        </w:rPr>
        <w:t>d</w:t>
      </w:r>
      <w:r w:rsidR="005F5E41" w:rsidRPr="00817B9F">
        <w:rPr>
          <w:rFonts w:cs="Times New Roman"/>
        </w:rPr>
        <w:t xml:space="preserve"> Original Medicare, </w:t>
      </w:r>
      <w:r w:rsidR="002D102C" w:rsidRPr="00817B9F">
        <w:rPr>
          <w:rFonts w:cs="Times New Roman"/>
        </w:rPr>
        <w:t>3</w:t>
      </w:r>
      <w:r w:rsidR="00672F91" w:rsidRPr="00817B9F">
        <w:rPr>
          <w:rFonts w:cs="Times New Roman"/>
        </w:rPr>
        <w:t>3</w:t>
      </w:r>
      <w:r w:rsidR="002A68B9" w:rsidRPr="00817B9F">
        <w:rPr>
          <w:rFonts w:cs="Times New Roman"/>
        </w:rPr>
        <w:t xml:space="preserve"> percent</w:t>
      </w:r>
      <w:r w:rsidR="002D102C" w:rsidRPr="00817B9F">
        <w:rPr>
          <w:rFonts w:cs="Times New Roman"/>
        </w:rPr>
        <w:t xml:space="preserve"> h</w:t>
      </w:r>
      <w:r w:rsidR="00D01D2D" w:rsidRPr="00817B9F">
        <w:rPr>
          <w:rFonts w:cs="Times New Roman"/>
        </w:rPr>
        <w:t>ad</w:t>
      </w:r>
      <w:r w:rsidR="002D102C" w:rsidRPr="00817B9F">
        <w:rPr>
          <w:rFonts w:cs="Times New Roman"/>
        </w:rPr>
        <w:t xml:space="preserve"> </w:t>
      </w:r>
      <w:r w:rsidR="00D9293E" w:rsidRPr="00817B9F">
        <w:rPr>
          <w:rFonts w:cs="Times New Roman"/>
        </w:rPr>
        <w:t>c</w:t>
      </w:r>
      <w:r w:rsidR="002D102C" w:rsidRPr="00817B9F">
        <w:rPr>
          <w:rFonts w:cs="Times New Roman"/>
        </w:rPr>
        <w:t xml:space="preserve">ommercial </w:t>
      </w:r>
      <w:r w:rsidR="00D9293E" w:rsidRPr="00817B9F">
        <w:rPr>
          <w:rFonts w:cs="Times New Roman"/>
        </w:rPr>
        <w:t>coverage</w:t>
      </w:r>
      <w:r w:rsidR="002D102C" w:rsidRPr="00817B9F">
        <w:rPr>
          <w:rFonts w:cs="Times New Roman"/>
        </w:rPr>
        <w:t xml:space="preserve"> (which will include some</w:t>
      </w:r>
      <w:r w:rsidR="00EE6045" w:rsidRPr="00817B9F">
        <w:rPr>
          <w:rFonts w:cs="Times New Roman"/>
        </w:rPr>
        <w:t xml:space="preserve"> Health Connector </w:t>
      </w:r>
      <w:r w:rsidR="009D462C" w:rsidRPr="00817B9F">
        <w:rPr>
          <w:rFonts w:cs="Times New Roman"/>
        </w:rPr>
        <w:t>Authority plans</w:t>
      </w:r>
      <w:r w:rsidR="00FA619B" w:rsidRPr="00817B9F">
        <w:rPr>
          <w:rFonts w:cs="Times New Roman"/>
        </w:rPr>
        <w:t xml:space="preserve">), </w:t>
      </w:r>
      <w:r w:rsidR="007E71B7" w:rsidRPr="00817B9F">
        <w:rPr>
          <w:rFonts w:cs="Times New Roman"/>
        </w:rPr>
        <w:t>eight</w:t>
      </w:r>
      <w:r w:rsidR="00003ACB" w:rsidRPr="00817B9F">
        <w:rPr>
          <w:rFonts w:cs="Times New Roman"/>
        </w:rPr>
        <w:t xml:space="preserve"> percent ha</w:t>
      </w:r>
      <w:r w:rsidR="00D01D2D" w:rsidRPr="00817B9F">
        <w:rPr>
          <w:rFonts w:cs="Times New Roman"/>
        </w:rPr>
        <w:t>d</w:t>
      </w:r>
      <w:r w:rsidR="00003ACB" w:rsidRPr="00817B9F">
        <w:rPr>
          <w:rFonts w:cs="Times New Roman"/>
        </w:rPr>
        <w:t xml:space="preserve"> MassHealth </w:t>
      </w:r>
      <w:r w:rsidR="00D9293E" w:rsidRPr="00817B9F">
        <w:rPr>
          <w:rFonts w:cs="Times New Roman"/>
        </w:rPr>
        <w:t>m</w:t>
      </w:r>
      <w:r w:rsidR="00003ACB" w:rsidRPr="00817B9F">
        <w:rPr>
          <w:rFonts w:cs="Times New Roman"/>
        </w:rPr>
        <w:t xml:space="preserve">anaged </w:t>
      </w:r>
      <w:r w:rsidR="00D9293E" w:rsidRPr="00817B9F">
        <w:rPr>
          <w:rFonts w:cs="Times New Roman"/>
        </w:rPr>
        <w:t>c</w:t>
      </w:r>
      <w:r w:rsidR="00003ACB" w:rsidRPr="00817B9F">
        <w:rPr>
          <w:rFonts w:cs="Times New Roman"/>
        </w:rPr>
        <w:t>are</w:t>
      </w:r>
      <w:r w:rsidR="00D9293E" w:rsidRPr="00817B9F">
        <w:rPr>
          <w:rFonts w:cs="Times New Roman"/>
        </w:rPr>
        <w:t xml:space="preserve"> plans</w:t>
      </w:r>
      <w:r w:rsidR="007E71B7" w:rsidRPr="00817B9F">
        <w:rPr>
          <w:rFonts w:cs="Times New Roman"/>
        </w:rPr>
        <w:t>, two</w:t>
      </w:r>
      <w:r w:rsidR="002A68B9" w:rsidRPr="00817B9F">
        <w:rPr>
          <w:rFonts w:cs="Times New Roman"/>
        </w:rPr>
        <w:t xml:space="preserve"> percent</w:t>
      </w:r>
      <w:r w:rsidR="004C4616" w:rsidRPr="00817B9F">
        <w:rPr>
          <w:rFonts w:cs="Times New Roman"/>
        </w:rPr>
        <w:t xml:space="preserve"> ha</w:t>
      </w:r>
      <w:r w:rsidR="00D01D2D" w:rsidRPr="00817B9F">
        <w:rPr>
          <w:rFonts w:cs="Times New Roman"/>
        </w:rPr>
        <w:t>d</w:t>
      </w:r>
      <w:r w:rsidR="004C4616" w:rsidRPr="00817B9F">
        <w:rPr>
          <w:rFonts w:cs="Times New Roman"/>
        </w:rPr>
        <w:t xml:space="preserve"> MassHealth</w:t>
      </w:r>
      <w:r w:rsidR="007E71B7" w:rsidRPr="00817B9F">
        <w:rPr>
          <w:rFonts w:cs="Times New Roman"/>
        </w:rPr>
        <w:t xml:space="preserve"> </w:t>
      </w:r>
      <w:r w:rsidR="00D9293E" w:rsidRPr="00817B9F">
        <w:rPr>
          <w:rFonts w:cs="Times New Roman"/>
        </w:rPr>
        <w:t>n</w:t>
      </w:r>
      <w:r w:rsidR="007E71B7" w:rsidRPr="00817B9F">
        <w:rPr>
          <w:rFonts w:cs="Times New Roman"/>
        </w:rPr>
        <w:t>on-</w:t>
      </w:r>
      <w:r w:rsidR="00D9293E" w:rsidRPr="00817B9F">
        <w:rPr>
          <w:rFonts w:cs="Times New Roman"/>
        </w:rPr>
        <w:t>m</w:t>
      </w:r>
      <w:r w:rsidR="007E71B7" w:rsidRPr="00817B9F">
        <w:rPr>
          <w:rFonts w:cs="Times New Roman"/>
        </w:rPr>
        <w:t xml:space="preserve">anaged </w:t>
      </w:r>
      <w:r w:rsidR="00D9293E" w:rsidRPr="00817B9F">
        <w:rPr>
          <w:rFonts w:cs="Times New Roman"/>
        </w:rPr>
        <w:t>c</w:t>
      </w:r>
      <w:r w:rsidR="007E71B7" w:rsidRPr="00817B9F">
        <w:rPr>
          <w:rFonts w:cs="Times New Roman"/>
        </w:rPr>
        <w:t>are</w:t>
      </w:r>
      <w:r w:rsidR="00D9293E" w:rsidRPr="00817B9F">
        <w:rPr>
          <w:rFonts w:cs="Times New Roman"/>
        </w:rPr>
        <w:t xml:space="preserve"> coverage</w:t>
      </w:r>
      <w:r w:rsidR="00F82D16" w:rsidRPr="00817B9F">
        <w:rPr>
          <w:rFonts w:cs="Times New Roman"/>
        </w:rPr>
        <w:t>,</w:t>
      </w:r>
      <w:r w:rsidR="00894959" w:rsidRPr="00817B9F">
        <w:rPr>
          <w:rFonts w:cs="Times New Roman"/>
        </w:rPr>
        <w:t xml:space="preserve"> </w:t>
      </w:r>
      <w:r w:rsidR="002A68B9" w:rsidRPr="00817B9F">
        <w:rPr>
          <w:rFonts w:cs="Times New Roman"/>
        </w:rPr>
        <w:t>seven percent</w:t>
      </w:r>
      <w:r w:rsidR="00B339A9" w:rsidRPr="00817B9F">
        <w:rPr>
          <w:rFonts w:cs="Times New Roman"/>
        </w:rPr>
        <w:t xml:space="preserve"> ha</w:t>
      </w:r>
      <w:r w:rsidR="00D01D2D" w:rsidRPr="00817B9F">
        <w:rPr>
          <w:rFonts w:cs="Times New Roman"/>
        </w:rPr>
        <w:t>d</w:t>
      </w:r>
      <w:r w:rsidR="00B339A9" w:rsidRPr="00817B9F">
        <w:rPr>
          <w:rFonts w:cs="Times New Roman"/>
        </w:rPr>
        <w:t xml:space="preserve"> Medicare </w:t>
      </w:r>
      <w:r w:rsidR="00D9293E" w:rsidRPr="00817B9F">
        <w:rPr>
          <w:rFonts w:cs="Times New Roman"/>
        </w:rPr>
        <w:t>h</w:t>
      </w:r>
      <w:r w:rsidR="00B339A9" w:rsidRPr="00817B9F">
        <w:rPr>
          <w:rFonts w:cs="Times New Roman"/>
        </w:rPr>
        <w:t xml:space="preserve">ealth </w:t>
      </w:r>
      <w:r w:rsidR="00D9293E" w:rsidRPr="00817B9F">
        <w:rPr>
          <w:rFonts w:cs="Times New Roman"/>
        </w:rPr>
        <w:t>p</w:t>
      </w:r>
      <w:r w:rsidR="00B339A9" w:rsidRPr="00817B9F">
        <w:rPr>
          <w:rFonts w:cs="Times New Roman"/>
        </w:rPr>
        <w:t>lans,</w:t>
      </w:r>
      <w:r w:rsidR="00FE0905" w:rsidRPr="00817B9F">
        <w:rPr>
          <w:rFonts w:cs="Times New Roman"/>
        </w:rPr>
        <w:t xml:space="preserve"> </w:t>
      </w:r>
      <w:r w:rsidR="00E536BA" w:rsidRPr="00817B9F">
        <w:rPr>
          <w:rFonts w:cs="Times New Roman"/>
        </w:rPr>
        <w:t xml:space="preserve">and </w:t>
      </w:r>
      <w:r w:rsidR="002A68B9" w:rsidRPr="00817B9F">
        <w:rPr>
          <w:rFonts w:cs="Times New Roman"/>
        </w:rPr>
        <w:t>six percent</w:t>
      </w:r>
      <w:r w:rsidR="00E536BA" w:rsidRPr="00817B9F">
        <w:rPr>
          <w:rFonts w:cs="Times New Roman"/>
        </w:rPr>
        <w:t xml:space="preserve"> ha</w:t>
      </w:r>
      <w:r w:rsidR="00D01D2D" w:rsidRPr="00817B9F">
        <w:rPr>
          <w:rFonts w:cs="Times New Roman"/>
        </w:rPr>
        <w:t>d</w:t>
      </w:r>
      <w:r w:rsidR="00E536BA" w:rsidRPr="00817B9F">
        <w:rPr>
          <w:rFonts w:cs="Times New Roman"/>
        </w:rPr>
        <w:t xml:space="preserve"> other coverage (</w:t>
      </w:r>
      <w:r w:rsidR="006E2432" w:rsidRPr="00817B9F">
        <w:rPr>
          <w:rFonts w:cs="Times New Roman"/>
          <w:i/>
          <w:iCs/>
        </w:rPr>
        <w:t>e</w:t>
      </w:r>
      <w:r w:rsidR="00E536BA" w:rsidRPr="00817B9F">
        <w:rPr>
          <w:rFonts w:cs="Times New Roman"/>
          <w:i/>
          <w:iCs/>
        </w:rPr>
        <w:t>.g.</w:t>
      </w:r>
      <w:r w:rsidR="00E536BA" w:rsidRPr="00817B9F">
        <w:rPr>
          <w:rFonts w:cs="Times New Roman"/>
        </w:rPr>
        <w:t xml:space="preserve">, </w:t>
      </w:r>
      <w:r w:rsidR="00C815F5" w:rsidRPr="00817B9F">
        <w:rPr>
          <w:rFonts w:cs="Times New Roman"/>
        </w:rPr>
        <w:t>self</w:t>
      </w:r>
      <w:r w:rsidR="00891F21" w:rsidRPr="00817B9F">
        <w:rPr>
          <w:rFonts w:cs="Times New Roman"/>
        </w:rPr>
        <w:t>-</w:t>
      </w:r>
      <w:r w:rsidR="00C815F5" w:rsidRPr="00817B9F">
        <w:rPr>
          <w:rFonts w:cs="Times New Roman"/>
        </w:rPr>
        <w:t>pay patients</w:t>
      </w:r>
      <w:r w:rsidR="007A425B" w:rsidRPr="00817B9F">
        <w:rPr>
          <w:rFonts w:cs="Times New Roman"/>
        </w:rPr>
        <w:t>, other government insurance,</w:t>
      </w:r>
      <w:r w:rsidR="00C815F5" w:rsidRPr="00817B9F">
        <w:rPr>
          <w:rFonts w:cs="Times New Roman"/>
        </w:rPr>
        <w:t xml:space="preserve"> workers</w:t>
      </w:r>
      <w:r w:rsidR="00A2140F" w:rsidRPr="00817B9F">
        <w:rPr>
          <w:rFonts w:cs="Times New Roman"/>
        </w:rPr>
        <w:t>’</w:t>
      </w:r>
      <w:r w:rsidR="0086079E" w:rsidRPr="00817B9F">
        <w:rPr>
          <w:rFonts w:cs="Times New Roman"/>
        </w:rPr>
        <w:t xml:space="preserve"> compensation</w:t>
      </w:r>
      <w:r w:rsidR="00A2140F" w:rsidRPr="00817B9F">
        <w:rPr>
          <w:rFonts w:cs="Times New Roman"/>
        </w:rPr>
        <w:t xml:space="preserve">, </w:t>
      </w:r>
      <w:r w:rsidR="006E2432" w:rsidRPr="00817B9F">
        <w:rPr>
          <w:rFonts w:cs="Times New Roman"/>
        </w:rPr>
        <w:t>auto insurance, free care,</w:t>
      </w:r>
      <w:r w:rsidR="007A425B" w:rsidRPr="00817B9F">
        <w:rPr>
          <w:rFonts w:cs="Times New Roman"/>
        </w:rPr>
        <w:t xml:space="preserve"> etc.).</w:t>
      </w:r>
      <w:r w:rsidR="00F904E6" w:rsidRPr="00817B9F">
        <w:rPr>
          <w:rStyle w:val="FootnoteReference"/>
          <w:rFonts w:cs="Times New Roman"/>
        </w:rPr>
        <w:footnoteReference w:id="104"/>
      </w:r>
      <w:r w:rsidR="00B80C17" w:rsidRPr="00817B9F">
        <w:rPr>
          <w:rFonts w:cs="Times New Roman"/>
        </w:rPr>
        <w:t xml:space="preserve"> </w:t>
      </w:r>
    </w:p>
    <w:p w14:paraId="18B70B1B" w14:textId="634CC3E1" w:rsidR="008F3C07" w:rsidRPr="00817B9F" w:rsidRDefault="006E5D2E" w:rsidP="005D3EC9">
      <w:pPr>
        <w:pStyle w:val="BulletParagraph"/>
        <w:rPr>
          <w:rFonts w:cs="Times New Roman"/>
        </w:rPr>
      </w:pPr>
      <w:r w:rsidRPr="00817B9F">
        <w:rPr>
          <w:rFonts w:cs="Times New Roman"/>
        </w:rPr>
        <w:t>The case mix index (or “CMI”)</w:t>
      </w:r>
      <w:r w:rsidR="006F4E9C" w:rsidRPr="00817B9F">
        <w:rPr>
          <w:rFonts w:cs="Times New Roman"/>
        </w:rPr>
        <w:t>—</w:t>
      </w:r>
      <w:r w:rsidR="00D608A4" w:rsidRPr="00817B9F">
        <w:rPr>
          <w:rFonts w:cs="Times New Roman"/>
        </w:rPr>
        <w:t xml:space="preserve"> </w:t>
      </w:r>
      <w:r w:rsidR="00243A88" w:rsidRPr="00817B9F">
        <w:rPr>
          <w:rFonts w:cs="Times New Roman"/>
        </w:rPr>
        <w:t xml:space="preserve">which </w:t>
      </w:r>
      <w:r w:rsidR="004E6732" w:rsidRPr="00817B9F">
        <w:rPr>
          <w:rFonts w:cs="Times New Roman"/>
        </w:rPr>
        <w:t xml:space="preserve">is </w:t>
      </w:r>
      <w:r w:rsidR="00D608A4" w:rsidRPr="00817B9F">
        <w:rPr>
          <w:rFonts w:cs="Times New Roman"/>
        </w:rPr>
        <w:t>calculated as</w:t>
      </w:r>
      <w:r w:rsidR="00CC167E" w:rsidRPr="00817B9F">
        <w:rPr>
          <w:rFonts w:cs="Times New Roman"/>
        </w:rPr>
        <w:t xml:space="preserve"> the</w:t>
      </w:r>
      <w:r w:rsidR="00243A88" w:rsidRPr="00817B9F">
        <w:rPr>
          <w:rFonts w:cs="Times New Roman"/>
        </w:rPr>
        <w:t xml:space="preserve"> </w:t>
      </w:r>
      <w:r w:rsidR="00D608A4" w:rsidRPr="00817B9F">
        <w:rPr>
          <w:rFonts w:cs="Times New Roman"/>
        </w:rPr>
        <w:t xml:space="preserve">average </w:t>
      </w:r>
      <w:r w:rsidR="00787D2C" w:rsidRPr="00817B9F">
        <w:rPr>
          <w:rFonts w:cs="Times New Roman"/>
        </w:rPr>
        <w:t xml:space="preserve">of </w:t>
      </w:r>
      <w:r w:rsidR="00D608A4" w:rsidRPr="00817B9F">
        <w:rPr>
          <w:rFonts w:cs="Times New Roman"/>
        </w:rPr>
        <w:t>the Medicare Severity-DRG</w:t>
      </w:r>
      <w:r w:rsidR="00CD4F85" w:rsidRPr="00817B9F">
        <w:rPr>
          <w:rFonts w:cs="Times New Roman"/>
        </w:rPr>
        <w:t xml:space="preserve"> </w:t>
      </w:r>
      <w:r w:rsidR="00243A88" w:rsidRPr="00817B9F">
        <w:rPr>
          <w:rFonts w:cs="Times New Roman"/>
        </w:rPr>
        <w:t xml:space="preserve">relative </w:t>
      </w:r>
      <w:r w:rsidR="00D608A4" w:rsidRPr="00817B9F">
        <w:rPr>
          <w:rFonts w:cs="Times New Roman"/>
        </w:rPr>
        <w:t>weights</w:t>
      </w:r>
      <w:r w:rsidR="00D608A4" w:rsidRPr="00817B9F">
        <w:rPr>
          <w:rStyle w:val="FootnoteReference"/>
          <w:rFonts w:cs="Times New Roman"/>
        </w:rPr>
        <w:footnoteReference w:id="105"/>
      </w:r>
      <w:r w:rsidR="00D608A4" w:rsidRPr="00817B9F">
        <w:rPr>
          <w:rFonts w:cs="Times New Roman"/>
        </w:rPr>
        <w:t xml:space="preserve"> across</w:t>
      </w:r>
      <w:r w:rsidR="006A64D8" w:rsidRPr="00817B9F">
        <w:rPr>
          <w:rFonts w:cs="Times New Roman"/>
        </w:rPr>
        <w:t xml:space="preserve"> inpatients</w:t>
      </w:r>
      <w:r w:rsidR="00D608A4" w:rsidRPr="00817B9F">
        <w:rPr>
          <w:rFonts w:cs="Times New Roman"/>
        </w:rPr>
        <w:t xml:space="preserve"> at the hospital</w:t>
      </w:r>
      <w:r w:rsidR="006F4E9C" w:rsidRPr="00817B9F">
        <w:rPr>
          <w:rFonts w:cs="Times New Roman"/>
        </w:rPr>
        <w:t>—</w:t>
      </w:r>
      <w:r w:rsidR="00243A88" w:rsidRPr="00817B9F">
        <w:rPr>
          <w:rFonts w:cs="Times New Roman"/>
        </w:rPr>
        <w:t xml:space="preserve">for MGH’s inpatients </w:t>
      </w:r>
      <w:r w:rsidR="00CD633E" w:rsidRPr="00817B9F">
        <w:rPr>
          <w:rFonts w:cs="Times New Roman"/>
        </w:rPr>
        <w:t>was</w:t>
      </w:r>
      <w:r w:rsidR="00243A88" w:rsidRPr="00817B9F">
        <w:rPr>
          <w:rFonts w:cs="Times New Roman"/>
        </w:rPr>
        <w:t xml:space="preserve"> 2.12.</w:t>
      </w:r>
    </w:p>
    <w:p w14:paraId="4D4D9F6A" w14:textId="60B432F7" w:rsidR="003A4883" w:rsidRPr="00817B9F" w:rsidRDefault="005D18FE" w:rsidP="00266EFB">
      <w:pPr>
        <w:pStyle w:val="NumberedParagraphs"/>
      </w:pPr>
      <w:r w:rsidRPr="00817B9F">
        <w:t xml:space="preserve">The second column of the </w:t>
      </w:r>
      <w:r w:rsidR="00215DE0" w:rsidRPr="00817B9F">
        <w:t>figure</w:t>
      </w:r>
      <w:r w:rsidRPr="00817B9F">
        <w:t xml:space="preserve"> summarizes </w:t>
      </w:r>
      <w:r w:rsidR="00BC34C0" w:rsidRPr="00817B9F">
        <w:t xml:space="preserve">the </w:t>
      </w:r>
      <w:r w:rsidRPr="00817B9F">
        <w:t xml:space="preserve">characteristics </w:t>
      </w:r>
      <w:r w:rsidR="00BC34C0" w:rsidRPr="00817B9F">
        <w:t>of</w:t>
      </w:r>
      <w:r w:rsidRPr="00817B9F">
        <w:t xml:space="preserve"> tho</w:t>
      </w:r>
      <w:r w:rsidR="00DB4033" w:rsidRPr="00817B9F">
        <w:t>se MGH patients who reside</w:t>
      </w:r>
      <w:r w:rsidR="00A75C80" w:rsidRPr="00817B9F">
        <w:t>d</w:t>
      </w:r>
      <w:r w:rsidR="00DB4033" w:rsidRPr="00817B9F">
        <w:t xml:space="preserve"> in the hospital’s 75 percent se</w:t>
      </w:r>
      <w:r w:rsidR="000A2914" w:rsidRPr="00817B9F">
        <w:t>rvice area. This</w:t>
      </w:r>
      <w:r w:rsidR="00687788" w:rsidRPr="00817B9F">
        <w:t xml:space="preserve"> </w:t>
      </w:r>
      <w:r w:rsidR="00BC34C0" w:rsidRPr="00817B9F">
        <w:t>service</w:t>
      </w:r>
      <w:r w:rsidR="00687788" w:rsidRPr="00817B9F">
        <w:t xml:space="preserve"> area is created by identifying </w:t>
      </w:r>
      <w:r w:rsidR="00687788" w:rsidRPr="00817B9F">
        <w:lastRenderedPageBreak/>
        <w:t xml:space="preserve">the </w:t>
      </w:r>
      <w:r w:rsidR="00DE4F6A" w:rsidRPr="00817B9F">
        <w:t>small</w:t>
      </w:r>
      <w:r w:rsidR="003A584E" w:rsidRPr="00817B9F">
        <w:t>est</w:t>
      </w:r>
      <w:r w:rsidR="00DE4F6A" w:rsidRPr="00817B9F">
        <w:t xml:space="preserve"> set of </w:t>
      </w:r>
      <w:r w:rsidR="00687788" w:rsidRPr="00817B9F">
        <w:t xml:space="preserve">ZIP Codes </w:t>
      </w:r>
      <w:r w:rsidR="00DE4F6A" w:rsidRPr="00817B9F">
        <w:t>that comprise</w:t>
      </w:r>
      <w:r w:rsidR="009B4FE5" w:rsidRPr="00817B9F">
        <w:t>d</w:t>
      </w:r>
      <w:r w:rsidR="00A61B4E" w:rsidRPr="00817B9F">
        <w:t xml:space="preserve"> at least 75</w:t>
      </w:r>
      <w:r w:rsidR="00DE4F6A" w:rsidRPr="00817B9F">
        <w:t xml:space="preserve"> percent</w:t>
      </w:r>
      <w:r w:rsidR="00A61B4E" w:rsidRPr="00817B9F">
        <w:t xml:space="preserve"> of MGH’s discharges</w:t>
      </w:r>
      <w:r w:rsidR="00DE4F6A" w:rsidRPr="00817B9F">
        <w:t xml:space="preserve"> for the relevant inpatient services.</w:t>
      </w:r>
      <w:r w:rsidR="00A90F52" w:rsidRPr="00817B9F">
        <w:t xml:space="preserve"> MGH’s 75</w:t>
      </w:r>
      <w:r w:rsidR="00DE4F6A" w:rsidRPr="00817B9F">
        <w:t xml:space="preserve"> percent</w:t>
      </w:r>
      <w:r w:rsidR="00A90F52" w:rsidRPr="00817B9F">
        <w:t xml:space="preserve"> service area </w:t>
      </w:r>
      <w:r w:rsidR="008D0F9D" w:rsidRPr="00817B9F">
        <w:t xml:space="preserve">is shown in </w:t>
      </w:r>
      <w:r w:rsidR="004F6EB2" w:rsidRPr="00817B9F">
        <w:t>Figure</w:t>
      </w:r>
      <w:r w:rsidR="00E00A5D" w:rsidRPr="00817B9F">
        <w:t xml:space="preserve"> </w:t>
      </w:r>
      <w:r w:rsidR="000E5C9F" w:rsidRPr="00817B9F">
        <w:t>MGH2</w:t>
      </w:r>
      <w:r w:rsidR="00E00A5D" w:rsidRPr="00817B9F">
        <w:t>.</w:t>
      </w:r>
      <w:r w:rsidR="006A35BA" w:rsidRPr="00817B9F">
        <w:rPr>
          <w:rStyle w:val="FootnoteReference"/>
        </w:rPr>
        <w:footnoteReference w:id="106"/>
      </w:r>
    </w:p>
    <w:p w14:paraId="131336AA" w14:textId="082CDCFD" w:rsidR="00201BB3" w:rsidRPr="00817B9F" w:rsidRDefault="00A915BC" w:rsidP="004E6732">
      <w:pPr>
        <w:pStyle w:val="NumberedParagraphs"/>
      </w:pPr>
      <w:r w:rsidRPr="00817B9F">
        <w:t xml:space="preserve">The third column of </w:t>
      </w:r>
      <w:r w:rsidR="003E374D" w:rsidRPr="00817B9F">
        <w:t>Figure MGH1</w:t>
      </w:r>
      <w:r w:rsidR="00E30C32" w:rsidRPr="00817B9F">
        <w:t xml:space="preserve"> </w:t>
      </w:r>
      <w:r w:rsidR="00B2358D" w:rsidRPr="00817B9F">
        <w:t xml:space="preserve">provides a summary of the characteristics </w:t>
      </w:r>
      <w:r w:rsidR="0040317D" w:rsidRPr="00817B9F">
        <w:t>of</w:t>
      </w:r>
      <w:r w:rsidR="00B2358D" w:rsidRPr="00817B9F">
        <w:t xml:space="preserve"> all </w:t>
      </w:r>
      <w:r w:rsidR="0040317D" w:rsidRPr="00817B9F">
        <w:t>in</w:t>
      </w:r>
      <w:r w:rsidR="00B2358D" w:rsidRPr="00817B9F">
        <w:t xml:space="preserve">patients admitted </w:t>
      </w:r>
      <w:r w:rsidR="004671CE" w:rsidRPr="00817B9F">
        <w:t>to</w:t>
      </w:r>
      <w:r w:rsidR="00B2358D" w:rsidRPr="00817B9F">
        <w:t xml:space="preserve"> Massachusetts </w:t>
      </w:r>
      <w:r w:rsidR="004671CE" w:rsidRPr="00817B9F">
        <w:t>hospitals</w:t>
      </w:r>
      <w:r w:rsidR="00B2358D" w:rsidRPr="00817B9F">
        <w:t xml:space="preserve"> who </w:t>
      </w:r>
      <w:r w:rsidR="004671CE" w:rsidRPr="00817B9F">
        <w:t>reside</w:t>
      </w:r>
      <w:r w:rsidR="007A38C8" w:rsidRPr="00817B9F">
        <w:t>d</w:t>
      </w:r>
      <w:r w:rsidR="00B2358D" w:rsidRPr="00817B9F">
        <w:t xml:space="preserve"> in MGH’s 75</w:t>
      </w:r>
      <w:r w:rsidR="002A68B9" w:rsidRPr="00817B9F">
        <w:t xml:space="preserve"> percent</w:t>
      </w:r>
      <w:r w:rsidR="00B2358D" w:rsidRPr="00817B9F">
        <w:t xml:space="preserve"> service area. </w:t>
      </w:r>
      <w:r w:rsidR="009B4244" w:rsidRPr="00817B9F">
        <w:t xml:space="preserve">Broadly speaking, the </w:t>
      </w:r>
      <w:r w:rsidR="009E637A" w:rsidRPr="00817B9F">
        <w:t xml:space="preserve">profiles of MGH’s patients </w:t>
      </w:r>
      <w:r w:rsidR="00D31BD2" w:rsidRPr="00817B9F">
        <w:t>who reside</w:t>
      </w:r>
      <w:r w:rsidR="00840843" w:rsidRPr="00817B9F">
        <w:t>d</w:t>
      </w:r>
      <w:r w:rsidR="00D31BD2" w:rsidRPr="00817B9F">
        <w:t xml:space="preserve"> in the hospital’s</w:t>
      </w:r>
      <w:r w:rsidR="00DB6686" w:rsidRPr="00817B9F">
        <w:t xml:space="preserve"> 75 percent service area </w:t>
      </w:r>
      <w:r w:rsidR="005C72C6" w:rsidRPr="00817B9F">
        <w:t xml:space="preserve">and </w:t>
      </w:r>
      <w:r w:rsidR="000B06EE" w:rsidRPr="00817B9F">
        <w:t xml:space="preserve">the profiles of </w:t>
      </w:r>
      <w:r w:rsidR="0040317D" w:rsidRPr="00817B9F">
        <w:t xml:space="preserve">all </w:t>
      </w:r>
      <w:r w:rsidR="000B06EE" w:rsidRPr="00817B9F">
        <w:t xml:space="preserve">patients </w:t>
      </w:r>
      <w:r w:rsidR="0040317D" w:rsidRPr="00817B9F">
        <w:t xml:space="preserve">who </w:t>
      </w:r>
      <w:r w:rsidR="00DB6686" w:rsidRPr="00817B9F">
        <w:t>resid</w:t>
      </w:r>
      <w:r w:rsidR="0040317D" w:rsidRPr="00817B9F">
        <w:t>e</w:t>
      </w:r>
      <w:r w:rsidR="00840843" w:rsidRPr="00817B9F">
        <w:t>d</w:t>
      </w:r>
      <w:r w:rsidR="00DB6686" w:rsidRPr="00817B9F">
        <w:t xml:space="preserve"> in that </w:t>
      </w:r>
      <w:r w:rsidR="00962575" w:rsidRPr="00817B9F">
        <w:t xml:space="preserve">area </w:t>
      </w:r>
      <w:r w:rsidR="0040317D" w:rsidRPr="00817B9F">
        <w:t>were</w:t>
      </w:r>
      <w:r w:rsidR="00DB6686" w:rsidRPr="00817B9F">
        <w:t xml:space="preserve"> </w:t>
      </w:r>
      <w:r w:rsidR="00B2358D" w:rsidRPr="00817B9F">
        <w:t>similar</w:t>
      </w:r>
      <w:r w:rsidR="00DB6686" w:rsidRPr="00817B9F">
        <w:t xml:space="preserve">, </w:t>
      </w:r>
      <w:r w:rsidR="00D31BD2" w:rsidRPr="00817B9F">
        <w:t xml:space="preserve">although </w:t>
      </w:r>
      <w:r w:rsidR="000F486B" w:rsidRPr="00817B9F">
        <w:t>we note several</w:t>
      </w:r>
      <w:r w:rsidR="00D31BD2" w:rsidRPr="00817B9F">
        <w:t xml:space="preserve"> differences</w:t>
      </w:r>
      <w:r w:rsidR="000F486B" w:rsidRPr="00817B9F">
        <w:t xml:space="preserve"> </w:t>
      </w:r>
      <w:r w:rsidR="00CF0192" w:rsidRPr="00817B9F">
        <w:t>b</w:t>
      </w:r>
      <w:r w:rsidR="009E5E29" w:rsidRPr="00817B9F">
        <w:t>elow</w:t>
      </w:r>
      <w:r w:rsidR="00D31BD2" w:rsidRPr="00817B9F">
        <w:t xml:space="preserve">. </w:t>
      </w:r>
    </w:p>
    <w:p w14:paraId="24C0C827" w14:textId="2B550F8B" w:rsidR="00201BB3" w:rsidRPr="00817B9F" w:rsidRDefault="00A822DB" w:rsidP="005D3EC9">
      <w:pPr>
        <w:pStyle w:val="BulletParagraph"/>
        <w:rPr>
          <w:rFonts w:cs="Times New Roman"/>
        </w:rPr>
      </w:pPr>
      <w:r w:rsidRPr="00817B9F">
        <w:rPr>
          <w:rFonts w:cs="Times New Roman"/>
        </w:rPr>
        <w:t>R</w:t>
      </w:r>
      <w:r w:rsidR="0040317D" w:rsidRPr="00817B9F">
        <w:rPr>
          <w:rFonts w:cs="Times New Roman"/>
        </w:rPr>
        <w:t xml:space="preserve">elative to MGH’s </w:t>
      </w:r>
      <w:r w:rsidR="000B06EE" w:rsidRPr="00817B9F">
        <w:rPr>
          <w:rFonts w:cs="Times New Roman"/>
        </w:rPr>
        <w:t>patients</w:t>
      </w:r>
      <w:r w:rsidR="005C6E6B" w:rsidRPr="00817B9F">
        <w:rPr>
          <w:rFonts w:cs="Times New Roman"/>
        </w:rPr>
        <w:t xml:space="preserve"> in</w:t>
      </w:r>
      <w:r w:rsidR="00093CCC" w:rsidRPr="00817B9F">
        <w:rPr>
          <w:rFonts w:cs="Times New Roman"/>
        </w:rPr>
        <w:t xml:space="preserve"> its</w:t>
      </w:r>
      <w:r w:rsidR="005C6E6B" w:rsidRPr="00817B9F">
        <w:rPr>
          <w:rFonts w:cs="Times New Roman"/>
        </w:rPr>
        <w:t xml:space="preserve"> </w:t>
      </w:r>
      <w:r w:rsidR="00093CCC" w:rsidRPr="00817B9F">
        <w:rPr>
          <w:rFonts w:cs="Times New Roman"/>
        </w:rPr>
        <w:t xml:space="preserve">75 percent </w:t>
      </w:r>
      <w:r w:rsidR="005C6E6B" w:rsidRPr="00817B9F">
        <w:rPr>
          <w:rFonts w:cs="Times New Roman"/>
        </w:rPr>
        <w:t>service area</w:t>
      </w:r>
      <w:r w:rsidR="0040317D" w:rsidRPr="00817B9F">
        <w:rPr>
          <w:rFonts w:cs="Times New Roman"/>
        </w:rPr>
        <w:t>,</w:t>
      </w:r>
      <w:r w:rsidR="00D31BD2" w:rsidRPr="00817B9F">
        <w:rPr>
          <w:rFonts w:cs="Times New Roman"/>
        </w:rPr>
        <w:t xml:space="preserve"> </w:t>
      </w:r>
      <w:r w:rsidRPr="00817B9F">
        <w:rPr>
          <w:rFonts w:cs="Times New Roman"/>
        </w:rPr>
        <w:t>p</w:t>
      </w:r>
      <w:r w:rsidR="00D31BD2" w:rsidRPr="00817B9F">
        <w:rPr>
          <w:rFonts w:cs="Times New Roman"/>
        </w:rPr>
        <w:t>atients</w:t>
      </w:r>
      <w:r w:rsidR="00B2358D" w:rsidRPr="00817B9F">
        <w:rPr>
          <w:rFonts w:cs="Times New Roman"/>
        </w:rPr>
        <w:t xml:space="preserve"> in MGH’s service area</w:t>
      </w:r>
      <w:r w:rsidR="00D31BD2" w:rsidRPr="00817B9F">
        <w:rPr>
          <w:rFonts w:cs="Times New Roman"/>
        </w:rPr>
        <w:t xml:space="preserve"> </w:t>
      </w:r>
      <w:r w:rsidR="00C75404" w:rsidRPr="00817B9F">
        <w:rPr>
          <w:rFonts w:cs="Times New Roman"/>
        </w:rPr>
        <w:t>(regardless of which hospital they chose)</w:t>
      </w:r>
      <w:r w:rsidR="00B2358D" w:rsidRPr="00817B9F">
        <w:rPr>
          <w:rFonts w:cs="Times New Roman"/>
        </w:rPr>
        <w:t xml:space="preserve"> </w:t>
      </w:r>
      <w:r w:rsidR="0082430F" w:rsidRPr="00817B9F">
        <w:rPr>
          <w:rFonts w:cs="Times New Roman"/>
        </w:rPr>
        <w:t xml:space="preserve">were more likely to be </w:t>
      </w:r>
      <w:r w:rsidR="009574B7" w:rsidRPr="00817B9F">
        <w:rPr>
          <w:rFonts w:cs="Times New Roman"/>
        </w:rPr>
        <w:t>female</w:t>
      </w:r>
      <w:r w:rsidR="00B2358D" w:rsidRPr="00817B9F">
        <w:rPr>
          <w:rFonts w:cs="Times New Roman"/>
        </w:rPr>
        <w:t xml:space="preserve"> (52</w:t>
      </w:r>
      <w:r w:rsidR="002A68B9" w:rsidRPr="00817B9F">
        <w:rPr>
          <w:rFonts w:cs="Times New Roman"/>
        </w:rPr>
        <w:t xml:space="preserve"> percent</w:t>
      </w:r>
      <w:r w:rsidR="00B2358D" w:rsidRPr="00817B9F">
        <w:rPr>
          <w:rFonts w:cs="Times New Roman"/>
        </w:rPr>
        <w:t xml:space="preserve"> </w:t>
      </w:r>
      <w:r w:rsidR="00842DE6" w:rsidRPr="00817B9F">
        <w:rPr>
          <w:rFonts w:cs="Times New Roman"/>
        </w:rPr>
        <w:t>compared to</w:t>
      </w:r>
      <w:r w:rsidR="00B2358D" w:rsidRPr="00817B9F">
        <w:rPr>
          <w:rFonts w:cs="Times New Roman"/>
        </w:rPr>
        <w:t xml:space="preserve"> 47</w:t>
      </w:r>
      <w:r w:rsidR="002A68B9" w:rsidRPr="00817B9F">
        <w:rPr>
          <w:rFonts w:cs="Times New Roman"/>
        </w:rPr>
        <w:t xml:space="preserve"> percent</w:t>
      </w:r>
      <w:r w:rsidR="00B2358D" w:rsidRPr="00817B9F">
        <w:rPr>
          <w:rFonts w:cs="Times New Roman"/>
        </w:rPr>
        <w:t>), more likely to be Black (12</w:t>
      </w:r>
      <w:r w:rsidR="002A68B9" w:rsidRPr="00817B9F">
        <w:rPr>
          <w:rFonts w:cs="Times New Roman"/>
        </w:rPr>
        <w:t xml:space="preserve"> percent</w:t>
      </w:r>
      <w:r w:rsidR="00B2358D" w:rsidRPr="00817B9F">
        <w:rPr>
          <w:rFonts w:cs="Times New Roman"/>
        </w:rPr>
        <w:t xml:space="preserve"> </w:t>
      </w:r>
      <w:r w:rsidR="00842DE6" w:rsidRPr="00817B9F">
        <w:rPr>
          <w:rFonts w:cs="Times New Roman"/>
        </w:rPr>
        <w:t>compared to</w:t>
      </w:r>
      <w:r w:rsidR="00B2358D" w:rsidRPr="00817B9F">
        <w:rPr>
          <w:rFonts w:cs="Times New Roman"/>
        </w:rPr>
        <w:t xml:space="preserve"> </w:t>
      </w:r>
      <w:r w:rsidR="002A68B9" w:rsidRPr="00817B9F">
        <w:rPr>
          <w:rFonts w:cs="Times New Roman"/>
        </w:rPr>
        <w:t>seven percent</w:t>
      </w:r>
      <w:r w:rsidR="00B2358D" w:rsidRPr="00817B9F">
        <w:rPr>
          <w:rFonts w:cs="Times New Roman"/>
        </w:rPr>
        <w:t>), and slightly less likely to be Hispanic (</w:t>
      </w:r>
      <w:r w:rsidR="002A68B9" w:rsidRPr="00817B9F">
        <w:rPr>
          <w:rFonts w:cs="Times New Roman"/>
        </w:rPr>
        <w:t>eight percent</w:t>
      </w:r>
      <w:r w:rsidR="00B2358D" w:rsidRPr="00817B9F">
        <w:rPr>
          <w:rFonts w:cs="Times New Roman"/>
        </w:rPr>
        <w:t xml:space="preserve"> </w:t>
      </w:r>
      <w:r w:rsidR="00842DE6" w:rsidRPr="00817B9F">
        <w:rPr>
          <w:rFonts w:cs="Times New Roman"/>
        </w:rPr>
        <w:t>compared to</w:t>
      </w:r>
      <w:r w:rsidR="00B2358D" w:rsidRPr="00817B9F">
        <w:rPr>
          <w:rFonts w:cs="Times New Roman"/>
        </w:rPr>
        <w:t xml:space="preserve"> </w:t>
      </w:r>
      <w:r w:rsidR="002A68B9" w:rsidRPr="00817B9F">
        <w:rPr>
          <w:rFonts w:cs="Times New Roman"/>
        </w:rPr>
        <w:t>nine percent</w:t>
      </w:r>
      <w:r w:rsidR="00B2358D" w:rsidRPr="00817B9F">
        <w:rPr>
          <w:rFonts w:cs="Times New Roman"/>
        </w:rPr>
        <w:t>).</w:t>
      </w:r>
      <w:r w:rsidR="000B57F2" w:rsidRPr="00817B9F">
        <w:rPr>
          <w:rFonts w:cs="Times New Roman"/>
        </w:rPr>
        <w:t xml:space="preserve"> </w:t>
      </w:r>
    </w:p>
    <w:p w14:paraId="1A100107" w14:textId="0EA318C3" w:rsidR="00201BB3" w:rsidRPr="00817B9F" w:rsidRDefault="00A822DB" w:rsidP="005D3EC9">
      <w:pPr>
        <w:pStyle w:val="BulletParagraph"/>
        <w:rPr>
          <w:rFonts w:cs="Times New Roman"/>
        </w:rPr>
      </w:pPr>
      <w:r w:rsidRPr="00817B9F">
        <w:rPr>
          <w:rFonts w:cs="Times New Roman"/>
        </w:rPr>
        <w:t>Relative to MGH’s patients</w:t>
      </w:r>
      <w:r w:rsidR="00535562" w:rsidRPr="00817B9F">
        <w:rPr>
          <w:rFonts w:cs="Times New Roman"/>
        </w:rPr>
        <w:t xml:space="preserve"> in its 75 percent service area</w:t>
      </w:r>
      <w:r w:rsidRPr="00817B9F">
        <w:rPr>
          <w:rFonts w:cs="Times New Roman"/>
        </w:rPr>
        <w:t>, patients in MGH’s service area</w:t>
      </w:r>
      <w:r w:rsidR="0082430F" w:rsidRPr="00817B9F">
        <w:rPr>
          <w:rFonts w:cs="Times New Roman"/>
        </w:rPr>
        <w:t xml:space="preserve"> </w:t>
      </w:r>
      <w:r w:rsidR="00842DE6" w:rsidRPr="00817B9F">
        <w:rPr>
          <w:rFonts w:cs="Times New Roman"/>
        </w:rPr>
        <w:t>were</w:t>
      </w:r>
      <w:r w:rsidR="00407BA4" w:rsidRPr="00817B9F">
        <w:rPr>
          <w:rFonts w:cs="Times New Roman"/>
        </w:rPr>
        <w:t xml:space="preserve"> </w:t>
      </w:r>
      <w:r w:rsidR="00DC4D80" w:rsidRPr="00817B9F">
        <w:rPr>
          <w:rFonts w:cs="Times New Roman"/>
        </w:rPr>
        <w:t xml:space="preserve">less likely to have </w:t>
      </w:r>
      <w:r w:rsidR="00EE6A1B" w:rsidRPr="00817B9F">
        <w:rPr>
          <w:rFonts w:cs="Times New Roman"/>
        </w:rPr>
        <w:t>c</w:t>
      </w:r>
      <w:r w:rsidR="00DC4D80" w:rsidRPr="00817B9F">
        <w:rPr>
          <w:rFonts w:cs="Times New Roman"/>
        </w:rPr>
        <w:t xml:space="preserve">ommercial </w:t>
      </w:r>
      <w:r w:rsidR="00EE6A1B" w:rsidRPr="00817B9F">
        <w:rPr>
          <w:rFonts w:cs="Times New Roman"/>
        </w:rPr>
        <w:t>i</w:t>
      </w:r>
      <w:r w:rsidR="00DC4D80" w:rsidRPr="00817B9F">
        <w:rPr>
          <w:rFonts w:cs="Times New Roman"/>
        </w:rPr>
        <w:t>nsurance</w:t>
      </w:r>
      <w:r w:rsidR="00F93EA2" w:rsidRPr="00817B9F">
        <w:rPr>
          <w:rFonts w:cs="Times New Roman"/>
        </w:rPr>
        <w:t xml:space="preserve"> </w:t>
      </w:r>
      <w:r w:rsidR="00DC4D80" w:rsidRPr="00817B9F">
        <w:rPr>
          <w:rFonts w:cs="Times New Roman"/>
        </w:rPr>
        <w:t>(</w:t>
      </w:r>
      <w:r w:rsidR="00F667B1" w:rsidRPr="00817B9F">
        <w:rPr>
          <w:rFonts w:cs="Times New Roman"/>
        </w:rPr>
        <w:t xml:space="preserve">23 percent </w:t>
      </w:r>
      <w:r w:rsidR="00EE6A1B" w:rsidRPr="00817B9F">
        <w:rPr>
          <w:rFonts w:cs="Times New Roman"/>
        </w:rPr>
        <w:t>compared to</w:t>
      </w:r>
      <w:r w:rsidR="00F667B1" w:rsidRPr="00817B9F">
        <w:rPr>
          <w:rFonts w:cs="Times New Roman"/>
        </w:rPr>
        <w:t xml:space="preserve"> </w:t>
      </w:r>
      <w:r w:rsidR="007F3D45" w:rsidRPr="00817B9F">
        <w:rPr>
          <w:rFonts w:cs="Times New Roman"/>
        </w:rPr>
        <w:t>3</w:t>
      </w:r>
      <w:r w:rsidR="00A07CBC" w:rsidRPr="00817B9F">
        <w:rPr>
          <w:rFonts w:cs="Times New Roman"/>
        </w:rPr>
        <w:t>1</w:t>
      </w:r>
      <w:r w:rsidR="007F3D45" w:rsidRPr="00817B9F">
        <w:rPr>
          <w:rFonts w:cs="Times New Roman"/>
        </w:rPr>
        <w:t xml:space="preserve"> percent</w:t>
      </w:r>
      <w:r w:rsidR="00611A9D" w:rsidRPr="00817B9F">
        <w:rPr>
          <w:rFonts w:cs="Times New Roman"/>
        </w:rPr>
        <w:t>)</w:t>
      </w:r>
      <w:r w:rsidR="000563DE" w:rsidRPr="00817B9F">
        <w:rPr>
          <w:rFonts w:cs="Times New Roman"/>
        </w:rPr>
        <w:t xml:space="preserve">, </w:t>
      </w:r>
      <w:r w:rsidR="001E2BF5" w:rsidRPr="00817B9F">
        <w:rPr>
          <w:rFonts w:cs="Times New Roman"/>
        </w:rPr>
        <w:t xml:space="preserve">slightly </w:t>
      </w:r>
      <w:r w:rsidR="00BC7DA3" w:rsidRPr="00817B9F">
        <w:rPr>
          <w:rFonts w:cs="Times New Roman"/>
        </w:rPr>
        <w:t xml:space="preserve">more likely to be covered by </w:t>
      </w:r>
      <w:r w:rsidR="001E2BF5" w:rsidRPr="00817B9F">
        <w:rPr>
          <w:rFonts w:cs="Times New Roman"/>
        </w:rPr>
        <w:t>MassHealth (1</w:t>
      </w:r>
      <w:r w:rsidR="00D53C38" w:rsidRPr="00817B9F">
        <w:rPr>
          <w:rFonts w:cs="Times New Roman"/>
        </w:rPr>
        <w:t>1</w:t>
      </w:r>
      <w:r w:rsidR="001E2BF5" w:rsidRPr="00817B9F">
        <w:rPr>
          <w:rFonts w:cs="Times New Roman"/>
        </w:rPr>
        <w:t xml:space="preserve"> percent </w:t>
      </w:r>
      <w:r w:rsidR="00EE6A1B" w:rsidRPr="00817B9F">
        <w:rPr>
          <w:rFonts w:cs="Times New Roman"/>
        </w:rPr>
        <w:t>compared to</w:t>
      </w:r>
      <w:r w:rsidR="001E2BF5" w:rsidRPr="00817B9F">
        <w:rPr>
          <w:rFonts w:cs="Times New Roman"/>
        </w:rPr>
        <w:t xml:space="preserve"> </w:t>
      </w:r>
      <w:r w:rsidR="005077E1" w:rsidRPr="00817B9F">
        <w:rPr>
          <w:rFonts w:cs="Times New Roman"/>
        </w:rPr>
        <w:t>ten</w:t>
      </w:r>
      <w:r w:rsidR="000563DE" w:rsidRPr="00817B9F">
        <w:rPr>
          <w:rFonts w:cs="Times New Roman"/>
        </w:rPr>
        <w:t xml:space="preserve"> percent</w:t>
      </w:r>
      <w:r w:rsidR="001E2BF5" w:rsidRPr="00817B9F">
        <w:rPr>
          <w:rFonts w:cs="Times New Roman"/>
        </w:rPr>
        <w:t>)</w:t>
      </w:r>
      <w:r w:rsidR="000563DE" w:rsidRPr="00817B9F">
        <w:rPr>
          <w:rFonts w:cs="Times New Roman"/>
        </w:rPr>
        <w:t xml:space="preserve">, and </w:t>
      </w:r>
      <w:r w:rsidR="006E2BBC" w:rsidRPr="00817B9F">
        <w:rPr>
          <w:rFonts w:cs="Times New Roman"/>
        </w:rPr>
        <w:t>more likely to be covered by Medicare (</w:t>
      </w:r>
      <w:r w:rsidR="00D53C38" w:rsidRPr="00817B9F">
        <w:rPr>
          <w:rFonts w:cs="Times New Roman"/>
        </w:rPr>
        <w:t>59</w:t>
      </w:r>
      <w:r w:rsidR="00BA5A81" w:rsidRPr="00817B9F">
        <w:rPr>
          <w:rFonts w:cs="Times New Roman"/>
        </w:rPr>
        <w:t xml:space="preserve"> percent </w:t>
      </w:r>
      <w:r w:rsidR="00EE6A1B" w:rsidRPr="00817B9F">
        <w:rPr>
          <w:rFonts w:cs="Times New Roman"/>
        </w:rPr>
        <w:t>compared</w:t>
      </w:r>
      <w:r w:rsidR="00BA5A81" w:rsidRPr="00817B9F">
        <w:rPr>
          <w:rFonts w:cs="Times New Roman"/>
        </w:rPr>
        <w:t xml:space="preserve"> </w:t>
      </w:r>
      <w:r w:rsidR="0099607C" w:rsidRPr="00817B9F">
        <w:rPr>
          <w:rFonts w:cs="Times New Roman"/>
        </w:rPr>
        <w:t>to</w:t>
      </w:r>
      <w:r w:rsidR="00BA5A81" w:rsidRPr="00817B9F">
        <w:rPr>
          <w:rFonts w:cs="Times New Roman"/>
        </w:rPr>
        <w:t xml:space="preserve"> 5</w:t>
      </w:r>
      <w:r w:rsidR="00D53C38" w:rsidRPr="00817B9F">
        <w:rPr>
          <w:rFonts w:cs="Times New Roman"/>
        </w:rPr>
        <w:t>2</w:t>
      </w:r>
      <w:r w:rsidR="00BA5A81" w:rsidRPr="00817B9F">
        <w:rPr>
          <w:rFonts w:cs="Times New Roman"/>
        </w:rPr>
        <w:t xml:space="preserve"> percent).</w:t>
      </w:r>
      <w:r w:rsidR="00DF44B7" w:rsidRPr="00817B9F">
        <w:rPr>
          <w:rFonts w:cs="Times New Roman"/>
        </w:rPr>
        <w:t xml:space="preserve"> </w:t>
      </w:r>
    </w:p>
    <w:p w14:paraId="0207C167" w14:textId="52F87416" w:rsidR="00201BB3" w:rsidRPr="00817B9F" w:rsidRDefault="00DF44B7" w:rsidP="005D3EC9">
      <w:pPr>
        <w:pStyle w:val="BulletParagraph"/>
        <w:rPr>
          <w:rFonts w:cs="Times New Roman"/>
        </w:rPr>
      </w:pPr>
      <w:r w:rsidRPr="00817B9F">
        <w:rPr>
          <w:rFonts w:cs="Times New Roman"/>
        </w:rPr>
        <w:t xml:space="preserve">The age distribution </w:t>
      </w:r>
      <w:r w:rsidR="006F7A2D" w:rsidRPr="00817B9F">
        <w:rPr>
          <w:rFonts w:cs="Times New Roman"/>
        </w:rPr>
        <w:t>of</w:t>
      </w:r>
      <w:r w:rsidR="00E04C63" w:rsidRPr="00817B9F">
        <w:rPr>
          <w:rFonts w:cs="Times New Roman"/>
        </w:rPr>
        <w:t xml:space="preserve"> MGH’s patients</w:t>
      </w:r>
      <w:r w:rsidRPr="00817B9F">
        <w:rPr>
          <w:rFonts w:cs="Times New Roman"/>
        </w:rPr>
        <w:t xml:space="preserve"> </w:t>
      </w:r>
      <w:r w:rsidR="009D6B96" w:rsidRPr="00817B9F">
        <w:rPr>
          <w:rFonts w:cs="Times New Roman"/>
        </w:rPr>
        <w:t xml:space="preserve">in its 75 percent service area </w:t>
      </w:r>
      <w:r w:rsidR="00EE6A1B" w:rsidRPr="00817B9F">
        <w:rPr>
          <w:rFonts w:cs="Times New Roman"/>
        </w:rPr>
        <w:t>was</w:t>
      </w:r>
      <w:r w:rsidRPr="00817B9F">
        <w:rPr>
          <w:rFonts w:cs="Times New Roman"/>
        </w:rPr>
        <w:t xml:space="preserve"> similar</w:t>
      </w:r>
      <w:r w:rsidR="00E04C63" w:rsidRPr="00817B9F">
        <w:rPr>
          <w:rFonts w:cs="Times New Roman"/>
        </w:rPr>
        <w:t xml:space="preserve"> to the age distribution of patients who </w:t>
      </w:r>
      <w:r w:rsidR="00E71072" w:rsidRPr="00817B9F">
        <w:rPr>
          <w:rFonts w:cs="Times New Roman"/>
        </w:rPr>
        <w:t>resided in the hospital’s service area</w:t>
      </w:r>
      <w:r w:rsidR="006F7A2D" w:rsidRPr="00817B9F">
        <w:rPr>
          <w:rFonts w:cs="Times New Roman"/>
        </w:rPr>
        <w:t xml:space="preserve">, </w:t>
      </w:r>
      <w:r w:rsidR="0099607C" w:rsidRPr="00817B9F">
        <w:rPr>
          <w:rFonts w:cs="Times New Roman"/>
        </w:rPr>
        <w:t xml:space="preserve">although </w:t>
      </w:r>
      <w:r w:rsidR="00E71072" w:rsidRPr="00817B9F">
        <w:rPr>
          <w:rFonts w:cs="Times New Roman"/>
        </w:rPr>
        <w:t xml:space="preserve">the latter group of </w:t>
      </w:r>
      <w:r w:rsidR="0099607C" w:rsidRPr="00817B9F">
        <w:rPr>
          <w:rFonts w:cs="Times New Roman"/>
        </w:rPr>
        <w:t>patients were more likely to be</w:t>
      </w:r>
      <w:r w:rsidRPr="00817B9F">
        <w:rPr>
          <w:rFonts w:cs="Times New Roman"/>
        </w:rPr>
        <w:t xml:space="preserve"> age 75 </w:t>
      </w:r>
      <w:r w:rsidR="0099607C" w:rsidRPr="00817B9F">
        <w:rPr>
          <w:rFonts w:cs="Times New Roman"/>
        </w:rPr>
        <w:t>or</w:t>
      </w:r>
      <w:r w:rsidRPr="00817B9F">
        <w:rPr>
          <w:rFonts w:cs="Times New Roman"/>
        </w:rPr>
        <w:t xml:space="preserve"> older (35 percent </w:t>
      </w:r>
      <w:r w:rsidR="0099607C" w:rsidRPr="00817B9F">
        <w:rPr>
          <w:rFonts w:cs="Times New Roman"/>
        </w:rPr>
        <w:t>compared to</w:t>
      </w:r>
      <w:r w:rsidRPr="00817B9F">
        <w:rPr>
          <w:rFonts w:cs="Times New Roman"/>
        </w:rPr>
        <w:t xml:space="preserve"> 29 percent).</w:t>
      </w:r>
      <w:r w:rsidR="0099607C" w:rsidRPr="00817B9F">
        <w:rPr>
          <w:rFonts w:cs="Times New Roman"/>
        </w:rPr>
        <w:t xml:space="preserve"> </w:t>
      </w:r>
    </w:p>
    <w:p w14:paraId="2B886F50" w14:textId="43015379" w:rsidR="00486997" w:rsidRPr="00817B9F" w:rsidRDefault="0099607C" w:rsidP="005D3EC9">
      <w:pPr>
        <w:pStyle w:val="BulletParagraph"/>
        <w:rPr>
          <w:rFonts w:cs="Times New Roman"/>
        </w:rPr>
      </w:pPr>
      <w:r w:rsidRPr="00817B9F">
        <w:rPr>
          <w:rFonts w:cs="Times New Roman"/>
        </w:rPr>
        <w:t>Lastly,</w:t>
      </w:r>
      <w:r w:rsidR="00D94D48" w:rsidRPr="00817B9F">
        <w:rPr>
          <w:rFonts w:cs="Times New Roman"/>
        </w:rPr>
        <w:t xml:space="preserve"> consistent with MGH’s status as an academic medical center</w:t>
      </w:r>
      <w:r w:rsidRPr="00817B9F">
        <w:rPr>
          <w:rFonts w:cs="Times New Roman"/>
        </w:rPr>
        <w:t>,</w:t>
      </w:r>
      <w:r w:rsidR="00490123" w:rsidRPr="00817B9F">
        <w:rPr>
          <w:rFonts w:cs="Times New Roman"/>
        </w:rPr>
        <w:t xml:space="preserve"> acuity levels (as measured by the case mix index) </w:t>
      </w:r>
      <w:r w:rsidR="002E3561" w:rsidRPr="00817B9F">
        <w:rPr>
          <w:rFonts w:cs="Times New Roman"/>
        </w:rPr>
        <w:t xml:space="preserve">for patients who received care </w:t>
      </w:r>
      <w:r w:rsidR="00490123" w:rsidRPr="00817B9F">
        <w:rPr>
          <w:rFonts w:cs="Times New Roman"/>
        </w:rPr>
        <w:t xml:space="preserve">at MGH </w:t>
      </w:r>
      <w:r w:rsidR="00B330F2" w:rsidRPr="00817B9F">
        <w:rPr>
          <w:rFonts w:cs="Times New Roman"/>
        </w:rPr>
        <w:t>in its service area</w:t>
      </w:r>
      <w:r w:rsidR="00490123" w:rsidRPr="00817B9F">
        <w:rPr>
          <w:rFonts w:cs="Times New Roman"/>
        </w:rPr>
        <w:t xml:space="preserve"> </w:t>
      </w:r>
      <w:r w:rsidR="00490123" w:rsidRPr="00817B9F">
        <w:rPr>
          <w:rFonts w:cs="Times New Roman"/>
        </w:rPr>
        <w:lastRenderedPageBreak/>
        <w:t>were s</w:t>
      </w:r>
      <w:r w:rsidR="002E3561" w:rsidRPr="00817B9F">
        <w:rPr>
          <w:rFonts w:cs="Times New Roman"/>
        </w:rPr>
        <w:t>ubstantially</w:t>
      </w:r>
      <w:r w:rsidR="00490123" w:rsidRPr="00817B9F">
        <w:rPr>
          <w:rFonts w:cs="Times New Roman"/>
        </w:rPr>
        <w:t xml:space="preserve"> higher than </w:t>
      </w:r>
      <w:r w:rsidR="00E71072" w:rsidRPr="00817B9F">
        <w:rPr>
          <w:rFonts w:cs="Times New Roman"/>
        </w:rPr>
        <w:t xml:space="preserve">overall </w:t>
      </w:r>
      <w:r w:rsidR="002E3561" w:rsidRPr="00817B9F">
        <w:rPr>
          <w:rFonts w:cs="Times New Roman"/>
        </w:rPr>
        <w:t xml:space="preserve">acuity levels </w:t>
      </w:r>
      <w:r w:rsidR="00C33D5C" w:rsidRPr="00817B9F">
        <w:rPr>
          <w:rFonts w:cs="Times New Roman"/>
        </w:rPr>
        <w:t xml:space="preserve">for </w:t>
      </w:r>
      <w:r w:rsidR="00844D49" w:rsidRPr="00817B9F">
        <w:rPr>
          <w:rFonts w:cs="Times New Roman"/>
        </w:rPr>
        <w:t xml:space="preserve">all </w:t>
      </w:r>
      <w:r w:rsidR="00C33D5C" w:rsidRPr="00817B9F">
        <w:rPr>
          <w:rFonts w:cs="Times New Roman"/>
        </w:rPr>
        <w:t xml:space="preserve">patients in </w:t>
      </w:r>
      <w:r w:rsidR="00844D49" w:rsidRPr="00817B9F">
        <w:rPr>
          <w:rFonts w:cs="Times New Roman"/>
        </w:rPr>
        <w:t>its</w:t>
      </w:r>
      <w:r w:rsidR="00C33D5C" w:rsidRPr="00817B9F">
        <w:rPr>
          <w:rFonts w:cs="Times New Roman"/>
        </w:rPr>
        <w:t xml:space="preserve"> service</w:t>
      </w:r>
      <w:r w:rsidR="00E71072" w:rsidRPr="00817B9F">
        <w:rPr>
          <w:rFonts w:cs="Times New Roman"/>
        </w:rPr>
        <w:t xml:space="preserve"> area</w:t>
      </w:r>
      <w:r w:rsidR="00490123" w:rsidRPr="00817B9F">
        <w:rPr>
          <w:rFonts w:cs="Times New Roman"/>
        </w:rPr>
        <w:t xml:space="preserve"> </w:t>
      </w:r>
      <w:r w:rsidR="002E3561" w:rsidRPr="00817B9F">
        <w:rPr>
          <w:rFonts w:cs="Times New Roman"/>
        </w:rPr>
        <w:t>(</w:t>
      </w:r>
      <w:r w:rsidR="00D94D48" w:rsidRPr="00817B9F">
        <w:rPr>
          <w:rFonts w:cs="Times New Roman"/>
        </w:rPr>
        <w:t xml:space="preserve">a case mix index of </w:t>
      </w:r>
      <w:r w:rsidR="002518E0" w:rsidRPr="00817B9F">
        <w:rPr>
          <w:rFonts w:cs="Times New Roman"/>
        </w:rPr>
        <w:t>2.04</w:t>
      </w:r>
      <w:r w:rsidR="00D94D48" w:rsidRPr="00817B9F">
        <w:rPr>
          <w:rFonts w:cs="Times New Roman"/>
        </w:rPr>
        <w:t xml:space="preserve"> compared to </w:t>
      </w:r>
      <w:r w:rsidR="002518E0" w:rsidRPr="00817B9F">
        <w:rPr>
          <w:rFonts w:cs="Times New Roman"/>
        </w:rPr>
        <w:t>1.68</w:t>
      </w:r>
      <w:r w:rsidR="00D94D48" w:rsidRPr="00817B9F">
        <w:rPr>
          <w:rFonts w:cs="Times New Roman"/>
        </w:rPr>
        <w:t xml:space="preserve">). </w:t>
      </w:r>
    </w:p>
    <w:p w14:paraId="60265F40" w14:textId="7DE243D0" w:rsidR="003177D8" w:rsidRPr="00817B9F" w:rsidRDefault="00B93A80" w:rsidP="008B5EBB">
      <w:pPr>
        <w:pStyle w:val="Heading3"/>
      </w:pPr>
      <w:bookmarkStart w:id="70" w:name="_Toc90046509"/>
      <w:r w:rsidRPr="00817B9F">
        <w:t>Changes in Utilization</w:t>
      </w:r>
      <w:bookmarkEnd w:id="70"/>
    </w:p>
    <w:p w14:paraId="47906136" w14:textId="47254700" w:rsidR="009F786A" w:rsidRPr="00817B9F" w:rsidRDefault="00B26832" w:rsidP="00266EFB">
      <w:pPr>
        <w:pStyle w:val="NumberedParagraphs"/>
      </w:pPr>
      <w:bookmarkStart w:id="71" w:name="_Ref88402667"/>
      <w:r w:rsidRPr="00817B9F">
        <w:t>Figure MGH3</w:t>
      </w:r>
      <w:r w:rsidR="00807D5D" w:rsidRPr="00817B9F">
        <w:t xml:space="preserve"> </w:t>
      </w:r>
      <w:r w:rsidR="00E13C8F" w:rsidRPr="00817B9F">
        <w:t xml:space="preserve">shows </w:t>
      </w:r>
      <w:r w:rsidR="00FE3C6E" w:rsidRPr="00817B9F">
        <w:t>MGH’s</w:t>
      </w:r>
      <w:r w:rsidR="00356994" w:rsidRPr="00817B9F">
        <w:t xml:space="preserve"> </w:t>
      </w:r>
      <w:r w:rsidR="00C213CF" w:rsidRPr="00817B9F">
        <w:t>inpatient discharges</w:t>
      </w:r>
      <w:r w:rsidR="00356994" w:rsidRPr="00817B9F">
        <w:t xml:space="preserve"> and </w:t>
      </w:r>
      <w:r w:rsidR="00FE3C6E" w:rsidRPr="00817B9F">
        <w:t>patients</w:t>
      </w:r>
      <w:r w:rsidR="00356994" w:rsidRPr="00817B9F">
        <w:t xml:space="preserve"> days</w:t>
      </w:r>
      <w:r w:rsidR="00AA1273" w:rsidRPr="00817B9F">
        <w:t xml:space="preserve"> associated for each year from 2015 through 2019.</w:t>
      </w:r>
      <w:r w:rsidR="00BF46F8" w:rsidRPr="00817B9F">
        <w:rPr>
          <w:rStyle w:val="FootnoteReference"/>
        </w:rPr>
        <w:footnoteReference w:id="107"/>
      </w:r>
      <w:r w:rsidR="00FB47CE" w:rsidRPr="00817B9F">
        <w:t xml:space="preserve"> </w:t>
      </w:r>
      <w:r w:rsidR="00EC029F" w:rsidRPr="00817B9F">
        <w:t>The figure</w:t>
      </w:r>
      <w:r w:rsidR="00733637" w:rsidRPr="00817B9F">
        <w:t xml:space="preserve"> also </w:t>
      </w:r>
      <w:r w:rsidR="006852DD" w:rsidRPr="00817B9F">
        <w:t xml:space="preserve">shows </w:t>
      </w:r>
      <w:r w:rsidR="00763630" w:rsidRPr="00817B9F">
        <w:t>discharges</w:t>
      </w:r>
      <w:r w:rsidR="00733637" w:rsidRPr="00817B9F">
        <w:t xml:space="preserve"> and </w:t>
      </w:r>
      <w:r w:rsidR="00D85036" w:rsidRPr="00817B9F">
        <w:t>patient</w:t>
      </w:r>
      <w:r w:rsidR="00733637" w:rsidRPr="00817B9F">
        <w:t xml:space="preserve"> days </w:t>
      </w:r>
      <w:r w:rsidR="00D85036" w:rsidRPr="00817B9F">
        <w:t xml:space="preserve">separately </w:t>
      </w:r>
      <w:r w:rsidR="00733637" w:rsidRPr="00817B9F">
        <w:t xml:space="preserve">for cancer </w:t>
      </w:r>
      <w:r w:rsidR="00D85036" w:rsidRPr="00817B9F">
        <w:t xml:space="preserve">services, </w:t>
      </w:r>
      <w:r w:rsidR="00733637" w:rsidRPr="00817B9F">
        <w:t xml:space="preserve">heart </w:t>
      </w:r>
      <w:r w:rsidR="00D85036" w:rsidRPr="00817B9F">
        <w:t>and</w:t>
      </w:r>
      <w:r w:rsidR="00733637" w:rsidRPr="00817B9F">
        <w:t xml:space="preserve"> vascular </w:t>
      </w:r>
      <w:r w:rsidR="00D85036" w:rsidRPr="00817B9F">
        <w:t>services,</w:t>
      </w:r>
      <w:r w:rsidR="00DE2223" w:rsidRPr="00817B9F">
        <w:t xml:space="preserve"> and </w:t>
      </w:r>
      <w:r w:rsidR="00D85036" w:rsidRPr="00817B9F">
        <w:t>all other inpatient services.</w:t>
      </w:r>
      <w:bookmarkEnd w:id="71"/>
      <w:r w:rsidR="00224644" w:rsidRPr="00817B9F">
        <w:rPr>
          <w:rStyle w:val="FootnoteReference"/>
        </w:rPr>
        <w:footnoteReference w:id="108"/>
      </w:r>
    </w:p>
    <w:p w14:paraId="392CCF8B" w14:textId="1255F9E8" w:rsidR="0054436B" w:rsidRPr="00817B9F" w:rsidRDefault="000621EA" w:rsidP="0007599E">
      <w:pPr>
        <w:pStyle w:val="NumberedParagraphs"/>
      </w:pPr>
      <w:r w:rsidRPr="00817B9F">
        <w:t>While o</w:t>
      </w:r>
      <w:r w:rsidR="00F37552" w:rsidRPr="00817B9F">
        <w:t xml:space="preserve">verall </w:t>
      </w:r>
      <w:r w:rsidR="00B00F78" w:rsidRPr="00817B9F">
        <w:t>discharges</w:t>
      </w:r>
      <w:r w:rsidR="00E83178" w:rsidRPr="00817B9F">
        <w:t xml:space="preserve"> </w:t>
      </w:r>
      <w:r w:rsidR="00111D79" w:rsidRPr="00817B9F">
        <w:t>at MGH</w:t>
      </w:r>
      <w:r w:rsidR="00E83178" w:rsidRPr="00817B9F">
        <w:t xml:space="preserve"> </w:t>
      </w:r>
      <w:r w:rsidR="0054707B" w:rsidRPr="00817B9F">
        <w:t>remained</w:t>
      </w:r>
      <w:r w:rsidR="0029084C" w:rsidRPr="00817B9F">
        <w:t xml:space="preserve"> approximately the same from 2015 through 2019</w:t>
      </w:r>
      <w:r w:rsidRPr="00817B9F">
        <w:t xml:space="preserve">, the total number of </w:t>
      </w:r>
      <w:r w:rsidR="00111D79" w:rsidRPr="00817B9F">
        <w:t xml:space="preserve">patient </w:t>
      </w:r>
      <w:r w:rsidRPr="00817B9F">
        <w:t xml:space="preserve">days grew </w:t>
      </w:r>
      <w:r w:rsidR="00111D79" w:rsidRPr="00817B9F">
        <w:t xml:space="preserve">by </w:t>
      </w:r>
      <w:r w:rsidR="009D7AE2" w:rsidRPr="00817B9F">
        <w:t xml:space="preserve">approximately </w:t>
      </w:r>
      <w:r w:rsidR="007F3EE0" w:rsidRPr="00817B9F">
        <w:t>five</w:t>
      </w:r>
      <w:r w:rsidR="009D7AE2" w:rsidRPr="00817B9F">
        <w:t xml:space="preserve"> percent</w:t>
      </w:r>
      <w:r w:rsidR="00111D79" w:rsidRPr="00817B9F">
        <w:t xml:space="preserve"> </w:t>
      </w:r>
      <w:r w:rsidRPr="00817B9F">
        <w:t>from 207,047 to 217,164</w:t>
      </w:r>
      <w:r w:rsidR="009D7AE2" w:rsidRPr="00817B9F">
        <w:t>.</w:t>
      </w:r>
      <w:r w:rsidR="008A1A79" w:rsidRPr="00817B9F">
        <w:t xml:space="preserve"> </w:t>
      </w:r>
      <w:r w:rsidR="00BF2615" w:rsidRPr="00817B9F">
        <w:t xml:space="preserve">The </w:t>
      </w:r>
      <w:r w:rsidR="00E86D91" w:rsidRPr="00817B9F">
        <w:t xml:space="preserve">lack of growth in </w:t>
      </w:r>
      <w:r w:rsidR="00111D79" w:rsidRPr="00817B9F">
        <w:t>discharges</w:t>
      </w:r>
      <w:r w:rsidR="00E86D91" w:rsidRPr="00817B9F">
        <w:t xml:space="preserve"> </w:t>
      </w:r>
      <w:r w:rsidR="00EB288B" w:rsidRPr="00817B9F">
        <w:t xml:space="preserve">but </w:t>
      </w:r>
      <w:r w:rsidR="00111D79" w:rsidRPr="00817B9F">
        <w:t>an increase</w:t>
      </w:r>
      <w:r w:rsidR="00EB288B" w:rsidRPr="00817B9F">
        <w:t xml:space="preserve"> in </w:t>
      </w:r>
      <w:r w:rsidR="00111D79" w:rsidRPr="00817B9F">
        <w:t>patient</w:t>
      </w:r>
      <w:r w:rsidR="00EB288B" w:rsidRPr="00817B9F">
        <w:t xml:space="preserve"> days </w:t>
      </w:r>
      <w:r w:rsidR="00B26A40" w:rsidRPr="00817B9F">
        <w:t xml:space="preserve">is attributable to </w:t>
      </w:r>
      <w:r w:rsidR="00187C60" w:rsidRPr="00817B9F">
        <w:t>an</w:t>
      </w:r>
      <w:r w:rsidR="00B26A40" w:rsidRPr="00817B9F">
        <w:t xml:space="preserve"> </w:t>
      </w:r>
      <w:r w:rsidR="00187C60" w:rsidRPr="00817B9F">
        <w:t xml:space="preserve">increase in </w:t>
      </w:r>
      <w:r w:rsidR="00B26A40" w:rsidRPr="00817B9F">
        <w:t>patients’ average length</w:t>
      </w:r>
      <w:r w:rsidR="00187C60" w:rsidRPr="00817B9F">
        <w:t xml:space="preserve"> </w:t>
      </w:r>
      <w:r w:rsidR="00B26A40" w:rsidRPr="00817B9F">
        <w:t>of</w:t>
      </w:r>
      <w:r w:rsidR="00187C60" w:rsidRPr="00817B9F">
        <w:t xml:space="preserve"> </w:t>
      </w:r>
      <w:r w:rsidR="00B26A40" w:rsidRPr="00817B9F">
        <w:t>stay over this period</w:t>
      </w:r>
      <w:r w:rsidR="0007599E" w:rsidRPr="00817B9F">
        <w:t xml:space="preserve">. </w:t>
      </w:r>
    </w:p>
    <w:p w14:paraId="334976F7" w14:textId="0760E3C5" w:rsidR="00CC6F06" w:rsidRPr="00817B9F" w:rsidRDefault="0085195A" w:rsidP="00CC6F06">
      <w:pPr>
        <w:pStyle w:val="NumberedParagraphs"/>
      </w:pPr>
      <w:r w:rsidRPr="00817B9F">
        <w:t>Inpatient</w:t>
      </w:r>
      <w:r w:rsidR="001A2E5D" w:rsidRPr="00817B9F">
        <w:t xml:space="preserve"> </w:t>
      </w:r>
      <w:r w:rsidR="00060270" w:rsidRPr="00817B9F">
        <w:t xml:space="preserve">cancer and heart </w:t>
      </w:r>
      <w:r w:rsidR="001A2E5D" w:rsidRPr="00817B9F">
        <w:t>and</w:t>
      </w:r>
      <w:r w:rsidR="00060270" w:rsidRPr="00817B9F">
        <w:t xml:space="preserve"> vascular </w:t>
      </w:r>
      <w:r w:rsidR="001A2E5D" w:rsidRPr="00817B9F">
        <w:t>services</w:t>
      </w:r>
      <w:r w:rsidR="00FC58CB" w:rsidRPr="00817B9F">
        <w:t>, wh</w:t>
      </w:r>
      <w:r w:rsidR="004A0C1B" w:rsidRPr="00817B9F">
        <w:t>ich</w:t>
      </w:r>
      <w:r w:rsidR="006D0F3F" w:rsidRPr="00817B9F">
        <w:t xml:space="preserve"> </w:t>
      </w:r>
      <w:r w:rsidR="001A2E5D" w:rsidRPr="00817B9F">
        <w:t xml:space="preserve">MGB </w:t>
      </w:r>
      <w:r w:rsidRPr="00817B9F">
        <w:t xml:space="preserve">proposes consolidating </w:t>
      </w:r>
      <w:r w:rsidR="00982DD5" w:rsidRPr="00817B9F">
        <w:t>in a new tower on</w:t>
      </w:r>
      <w:r w:rsidR="001A2E5D" w:rsidRPr="00817B9F">
        <w:t xml:space="preserve"> the</w:t>
      </w:r>
      <w:r w:rsidR="00764443" w:rsidRPr="00817B9F">
        <w:t xml:space="preserve"> </w:t>
      </w:r>
      <w:r w:rsidR="00982DD5" w:rsidRPr="00817B9F">
        <w:t>MGH campus,</w:t>
      </w:r>
      <w:r w:rsidR="00267D7A" w:rsidRPr="00817B9F">
        <w:rPr>
          <w:rStyle w:val="FootnoteReference"/>
        </w:rPr>
        <w:footnoteReference w:id="109"/>
      </w:r>
      <w:r w:rsidR="00982DD5" w:rsidRPr="00817B9F">
        <w:t xml:space="preserve"> accounted for</w:t>
      </w:r>
      <w:r w:rsidRPr="00817B9F">
        <w:t xml:space="preserve"> </w:t>
      </w:r>
      <w:r w:rsidR="005F15BE" w:rsidRPr="00817B9F">
        <w:t xml:space="preserve">39 percent of admissions </w:t>
      </w:r>
      <w:r w:rsidR="007B6D9D" w:rsidRPr="00817B9F">
        <w:t xml:space="preserve">and </w:t>
      </w:r>
      <w:r w:rsidR="005F15BE" w:rsidRPr="00817B9F">
        <w:t xml:space="preserve">41 percent of </w:t>
      </w:r>
      <w:r w:rsidR="007B6D9D" w:rsidRPr="00817B9F">
        <w:t>patient</w:t>
      </w:r>
      <w:r w:rsidR="005F15BE" w:rsidRPr="00817B9F">
        <w:t xml:space="preserve"> days</w:t>
      </w:r>
      <w:r w:rsidR="007B6D9D" w:rsidRPr="00817B9F">
        <w:t xml:space="preserve"> in 2019</w:t>
      </w:r>
      <w:r w:rsidR="005F15BE" w:rsidRPr="00817B9F">
        <w:t xml:space="preserve">. </w:t>
      </w:r>
      <w:r w:rsidR="0085105A" w:rsidRPr="00817B9F">
        <w:t>While</w:t>
      </w:r>
      <w:r w:rsidR="002115E5" w:rsidRPr="00817B9F">
        <w:t xml:space="preserve"> </w:t>
      </w:r>
      <w:r w:rsidR="00FA596F" w:rsidRPr="00817B9F">
        <w:t xml:space="preserve">MGH </w:t>
      </w:r>
      <w:r w:rsidR="009941B9" w:rsidRPr="00817B9F">
        <w:t>experienced a</w:t>
      </w:r>
      <w:r w:rsidR="00EA3D22" w:rsidRPr="00817B9F">
        <w:t xml:space="preserve"> </w:t>
      </w:r>
      <w:r w:rsidR="0085105A" w:rsidRPr="00817B9F">
        <w:t xml:space="preserve">small </w:t>
      </w:r>
      <w:r w:rsidR="009941B9" w:rsidRPr="00817B9F">
        <w:t>decline</w:t>
      </w:r>
      <w:r w:rsidR="009E1876" w:rsidRPr="00817B9F">
        <w:t xml:space="preserve"> in both the number of </w:t>
      </w:r>
      <w:r w:rsidR="0085105A" w:rsidRPr="00817B9F">
        <w:t xml:space="preserve">discharges related to </w:t>
      </w:r>
      <w:r w:rsidR="00BD56D1" w:rsidRPr="00817B9F">
        <w:t xml:space="preserve">cancer </w:t>
      </w:r>
      <w:r w:rsidR="0085105A" w:rsidRPr="00817B9F">
        <w:t>services</w:t>
      </w:r>
      <w:r w:rsidR="00BD56D1" w:rsidRPr="00817B9F">
        <w:t xml:space="preserve"> </w:t>
      </w:r>
      <w:r w:rsidR="00EA3D22" w:rsidRPr="00817B9F">
        <w:t>(</w:t>
      </w:r>
      <w:r w:rsidR="00E94F1D" w:rsidRPr="00817B9F">
        <w:t>four</w:t>
      </w:r>
      <w:r w:rsidR="00EA3D22" w:rsidRPr="00817B9F">
        <w:t xml:space="preserve"> percent</w:t>
      </w:r>
      <w:r w:rsidR="000E5A47" w:rsidRPr="00817B9F">
        <w:t xml:space="preserve"> decline</w:t>
      </w:r>
      <w:r w:rsidR="00EA3D22" w:rsidRPr="00817B9F">
        <w:t xml:space="preserve">) </w:t>
      </w:r>
      <w:r w:rsidR="00BD56D1" w:rsidRPr="00817B9F">
        <w:t xml:space="preserve">and </w:t>
      </w:r>
      <w:r w:rsidR="000A6F30" w:rsidRPr="00817B9F">
        <w:t>patient</w:t>
      </w:r>
      <w:r w:rsidR="0053055F" w:rsidRPr="00817B9F">
        <w:t xml:space="preserve"> days</w:t>
      </w:r>
      <w:r w:rsidR="00EA3D22" w:rsidRPr="00817B9F">
        <w:t xml:space="preserve"> </w:t>
      </w:r>
      <w:r w:rsidR="000A6F30" w:rsidRPr="00817B9F">
        <w:t>related to cancer services</w:t>
      </w:r>
      <w:r w:rsidR="00EA3D22" w:rsidRPr="00817B9F">
        <w:t xml:space="preserve"> (</w:t>
      </w:r>
      <w:r w:rsidR="00E94F1D" w:rsidRPr="00817B9F">
        <w:t>two</w:t>
      </w:r>
      <w:r w:rsidR="00EA3D22" w:rsidRPr="00817B9F">
        <w:t xml:space="preserve"> percent</w:t>
      </w:r>
      <w:r w:rsidR="000E5A47" w:rsidRPr="00817B9F">
        <w:t xml:space="preserve"> decline</w:t>
      </w:r>
      <w:r w:rsidR="00EA3D22" w:rsidRPr="00817B9F">
        <w:t>)</w:t>
      </w:r>
      <w:r w:rsidR="009C1301" w:rsidRPr="00817B9F">
        <w:t xml:space="preserve">, </w:t>
      </w:r>
      <w:r w:rsidR="000A6F30" w:rsidRPr="00817B9F">
        <w:t>the hospital experienced</w:t>
      </w:r>
      <w:r w:rsidR="00490B08" w:rsidRPr="00817B9F">
        <w:t xml:space="preserve"> </w:t>
      </w:r>
      <w:r w:rsidR="000A6F30" w:rsidRPr="00817B9F">
        <w:t>substantial</w:t>
      </w:r>
      <w:r w:rsidR="00490B08" w:rsidRPr="00817B9F">
        <w:t xml:space="preserve"> growth in </w:t>
      </w:r>
      <w:r w:rsidR="000A6F30" w:rsidRPr="00817B9F">
        <w:t>discharges related to</w:t>
      </w:r>
      <w:r w:rsidR="00490B08" w:rsidRPr="00817B9F">
        <w:t xml:space="preserve"> heart </w:t>
      </w:r>
      <w:r w:rsidR="000A6F30" w:rsidRPr="00817B9F">
        <w:t>and</w:t>
      </w:r>
      <w:r w:rsidR="00490B08" w:rsidRPr="00817B9F">
        <w:t xml:space="preserve"> vas</w:t>
      </w:r>
      <w:r w:rsidR="002B1030" w:rsidRPr="00817B9F">
        <w:t>cu</w:t>
      </w:r>
      <w:r w:rsidR="00490B08" w:rsidRPr="00817B9F">
        <w:t xml:space="preserve">lar </w:t>
      </w:r>
      <w:r w:rsidR="000A6F30" w:rsidRPr="00817B9F">
        <w:t>services</w:t>
      </w:r>
      <w:r w:rsidR="00490B08" w:rsidRPr="00817B9F">
        <w:t xml:space="preserve"> (</w:t>
      </w:r>
      <w:r w:rsidR="00E94F1D" w:rsidRPr="00817B9F">
        <w:t>nine</w:t>
      </w:r>
      <w:r w:rsidR="001C4523" w:rsidRPr="00817B9F">
        <w:t xml:space="preserve"> percent) </w:t>
      </w:r>
      <w:r w:rsidR="00490B08" w:rsidRPr="00817B9F">
        <w:t xml:space="preserve">and </w:t>
      </w:r>
      <w:r w:rsidR="000A6F30" w:rsidRPr="00817B9F">
        <w:t>patient</w:t>
      </w:r>
      <w:r w:rsidR="00490B08" w:rsidRPr="00817B9F">
        <w:t xml:space="preserve"> days</w:t>
      </w:r>
      <w:r w:rsidR="001C4523" w:rsidRPr="00817B9F">
        <w:t xml:space="preserve"> </w:t>
      </w:r>
      <w:r w:rsidR="000A6F30" w:rsidRPr="00817B9F">
        <w:t xml:space="preserve">related to </w:t>
      </w:r>
      <w:r w:rsidR="005A4F38" w:rsidRPr="00817B9F">
        <w:t>heart and vascular services</w:t>
      </w:r>
      <w:r w:rsidR="001C4523" w:rsidRPr="00817B9F">
        <w:t xml:space="preserve"> (17 percent)</w:t>
      </w:r>
      <w:r w:rsidR="00541A57" w:rsidRPr="00817B9F">
        <w:t>.</w:t>
      </w:r>
      <w:r w:rsidR="005D46BD" w:rsidRPr="00817B9F">
        <w:t xml:space="preserve"> </w:t>
      </w:r>
      <w:r w:rsidR="005A4F38" w:rsidRPr="00817B9F">
        <w:t>Across these two service lines, between 2015 and 2019 total discharges at MGH</w:t>
      </w:r>
      <w:r w:rsidR="004A0879" w:rsidRPr="00817B9F">
        <w:t xml:space="preserve"> gr</w:t>
      </w:r>
      <w:r w:rsidR="009738AF" w:rsidRPr="00817B9F">
        <w:t>e</w:t>
      </w:r>
      <w:r w:rsidR="004A0879" w:rsidRPr="00817B9F">
        <w:t xml:space="preserve">w by </w:t>
      </w:r>
      <w:r w:rsidR="00E94F1D" w:rsidRPr="00817B9F">
        <w:t>two</w:t>
      </w:r>
      <w:r w:rsidR="004A0879" w:rsidRPr="00817B9F">
        <w:t xml:space="preserve"> percent</w:t>
      </w:r>
      <w:r w:rsidR="002C6933" w:rsidRPr="00817B9F">
        <w:t xml:space="preserve"> and </w:t>
      </w:r>
      <w:r w:rsidR="00517D47" w:rsidRPr="00817B9F">
        <w:t xml:space="preserve">total patient days grew by </w:t>
      </w:r>
      <w:r w:rsidR="002B1030" w:rsidRPr="00817B9F">
        <w:t>eight</w:t>
      </w:r>
      <w:r w:rsidR="00625812" w:rsidRPr="00817B9F">
        <w:t xml:space="preserve"> percen</w:t>
      </w:r>
      <w:r w:rsidR="00517D47" w:rsidRPr="00817B9F">
        <w:t>t.</w:t>
      </w:r>
    </w:p>
    <w:p w14:paraId="5C2A1AFC" w14:textId="036E8430" w:rsidR="00220A50" w:rsidRPr="00817B9F" w:rsidRDefault="00B513EA" w:rsidP="00220A50">
      <w:pPr>
        <w:pStyle w:val="NumberedParagraphs"/>
      </w:pPr>
      <w:bookmarkStart w:id="72" w:name="_Hlk89848001"/>
      <w:r w:rsidRPr="00817B9F">
        <w:t xml:space="preserve">In </w:t>
      </w:r>
      <w:r w:rsidR="0003733B" w:rsidRPr="00817B9F">
        <w:t>a supplement</w:t>
      </w:r>
      <w:r w:rsidR="00C07267" w:rsidRPr="00817B9F">
        <w:t>al</w:t>
      </w:r>
      <w:r w:rsidR="0003733B" w:rsidRPr="00817B9F">
        <w:t xml:space="preserve"> response provided to the DoN program, MGB noted that MGH operated at or above</w:t>
      </w:r>
      <w:r w:rsidR="00C07267" w:rsidRPr="00817B9F">
        <w:t xml:space="preserve"> its</w:t>
      </w:r>
      <w:r w:rsidR="0003733B" w:rsidRPr="00817B9F">
        <w:t xml:space="preserve"> capacity in fiscal year 2019 (the last full fiscal year in which utilization was not affected by the C</w:t>
      </w:r>
      <w:r w:rsidR="00DF521C" w:rsidRPr="00817B9F">
        <w:t>OVID</w:t>
      </w:r>
      <w:r w:rsidR="0003733B" w:rsidRPr="00817B9F">
        <w:t>-19 pandemic).</w:t>
      </w:r>
      <w:r w:rsidR="009843BF" w:rsidRPr="00817B9F">
        <w:rPr>
          <w:rStyle w:val="FootnoteReference"/>
        </w:rPr>
        <w:footnoteReference w:id="110"/>
      </w:r>
      <w:r w:rsidR="00C07267" w:rsidRPr="00817B9F">
        <w:t xml:space="preserve"> </w:t>
      </w:r>
      <w:r w:rsidR="0003733B" w:rsidRPr="00817B9F">
        <w:t xml:space="preserve">Specifically, MGB noted that MGH’s </w:t>
      </w:r>
      <w:r w:rsidR="00B72D6A" w:rsidRPr="00817B9F">
        <w:t xml:space="preserve">medical/surgical and ICU beds operated at an average utilization of 83 percent in fiscal year 2019 when considering </w:t>
      </w:r>
      <w:r w:rsidR="00B72D6A" w:rsidRPr="00817B9F">
        <w:lastRenderedPageBreak/>
        <w:t xml:space="preserve">only inpatient stays, </w:t>
      </w:r>
      <w:r w:rsidR="00271AD2" w:rsidRPr="00817B9F">
        <w:t>and</w:t>
      </w:r>
      <w:r w:rsidR="00B72D6A" w:rsidRPr="00817B9F">
        <w:t xml:space="preserve"> that this utilization increase</w:t>
      </w:r>
      <w:r w:rsidR="00C07267" w:rsidRPr="00817B9F">
        <w:t>s</w:t>
      </w:r>
      <w:r w:rsidR="00B72D6A" w:rsidRPr="00817B9F">
        <w:t xml:space="preserve"> to 8</w:t>
      </w:r>
      <w:r w:rsidR="0039545D" w:rsidRPr="00817B9F">
        <w:t>8</w:t>
      </w:r>
      <w:r w:rsidR="00B72D6A" w:rsidRPr="00817B9F">
        <w:t xml:space="preserve"> percent </w:t>
      </w:r>
      <w:r w:rsidR="00D22669" w:rsidRPr="00817B9F">
        <w:t xml:space="preserve">in cases </w:t>
      </w:r>
      <w:r w:rsidR="00B72D6A" w:rsidRPr="00817B9F">
        <w:t>when</w:t>
      </w:r>
      <w:r w:rsidR="00D22669" w:rsidRPr="00817B9F">
        <w:t xml:space="preserve"> not all beds in</w:t>
      </w:r>
      <w:r w:rsidR="00B72D6A" w:rsidRPr="00817B9F">
        <w:t xml:space="preserve"> </w:t>
      </w:r>
      <w:r w:rsidR="00D22669" w:rsidRPr="00817B9F">
        <w:t>semi-private rooms can be used because of infection control, a need to provide patients with privacy at the end of their lives, or differences in patient gender</w:t>
      </w:r>
      <w:r w:rsidR="00C50ADE" w:rsidRPr="00817B9F">
        <w:t>.</w:t>
      </w:r>
      <w:r w:rsidR="00461390" w:rsidRPr="00817B9F">
        <w:rPr>
          <w:rStyle w:val="FootnoteReference"/>
        </w:rPr>
        <w:footnoteReference w:id="111"/>
      </w:r>
      <w:r w:rsidR="00C50ADE" w:rsidRPr="00817B9F">
        <w:t xml:space="preserve"> </w:t>
      </w:r>
      <w:r w:rsidR="00B22CFA" w:rsidRPr="00817B9F">
        <w:t>MGB also note</w:t>
      </w:r>
      <w:r w:rsidR="00271AD2" w:rsidRPr="00817B9F">
        <w:t>d</w:t>
      </w:r>
      <w:r w:rsidR="00B22CFA" w:rsidRPr="00817B9F">
        <w:t xml:space="preserve"> that inpatient beds </w:t>
      </w:r>
      <w:r w:rsidR="001F3F6A" w:rsidRPr="00817B9F">
        <w:t>often are used for observation patients</w:t>
      </w:r>
      <w:r w:rsidR="00822537" w:rsidRPr="00817B9F">
        <w:t xml:space="preserve"> and</w:t>
      </w:r>
      <w:r w:rsidR="001F3F6A" w:rsidRPr="00817B9F">
        <w:t xml:space="preserve"> post-procedure recovery patients who may need to stay overnight</w:t>
      </w:r>
      <w:r w:rsidR="00220A50" w:rsidRPr="00817B9F">
        <w:t>.</w:t>
      </w:r>
      <w:r w:rsidR="00461390" w:rsidRPr="00817B9F">
        <w:rPr>
          <w:rStyle w:val="FootnoteReference"/>
        </w:rPr>
        <w:footnoteReference w:id="112"/>
      </w:r>
      <w:r w:rsidR="00220A50" w:rsidRPr="00817B9F">
        <w:t xml:space="preserve"> </w:t>
      </w:r>
      <w:r w:rsidR="00995C6C" w:rsidRPr="00817B9F">
        <w:t>According to MGB, a</w:t>
      </w:r>
      <w:r w:rsidR="00220A50" w:rsidRPr="00817B9F">
        <w:t xml:space="preserve">ccounting </w:t>
      </w:r>
      <w:r w:rsidR="00B6265E" w:rsidRPr="00817B9F">
        <w:t xml:space="preserve">for the effect of these considerations on </w:t>
      </w:r>
      <w:r w:rsidR="00220A50" w:rsidRPr="00817B9F">
        <w:t xml:space="preserve">inpatient bed capacity increases </w:t>
      </w:r>
      <w:r w:rsidR="00B6265E" w:rsidRPr="00817B9F">
        <w:t xml:space="preserve">average utilization </w:t>
      </w:r>
      <w:r w:rsidR="00FA11D3" w:rsidRPr="00817B9F">
        <w:t>at MGH</w:t>
      </w:r>
      <w:r w:rsidR="00B6265E" w:rsidRPr="00817B9F">
        <w:t xml:space="preserve"> to 92 percent in 2019.</w:t>
      </w:r>
      <w:r w:rsidR="00461390" w:rsidRPr="00817B9F">
        <w:rPr>
          <w:rStyle w:val="FootnoteReference"/>
        </w:rPr>
        <w:footnoteReference w:id="113"/>
      </w:r>
      <w:r w:rsidR="00B6265E" w:rsidRPr="00817B9F">
        <w:t xml:space="preserve"> </w:t>
      </w:r>
    </w:p>
    <w:bookmarkEnd w:id="72"/>
    <w:p w14:paraId="6063F19C" w14:textId="554DF8D2" w:rsidR="00D27BEF" w:rsidRPr="00817B9F" w:rsidRDefault="00136001" w:rsidP="00266EFB">
      <w:pPr>
        <w:pStyle w:val="NumberedParagraphs"/>
        <w:rPr>
          <w:noProof/>
        </w:rPr>
      </w:pPr>
      <w:r w:rsidRPr="00817B9F">
        <w:t>Because</w:t>
      </w:r>
      <w:r w:rsidR="005D6466" w:rsidRPr="00817B9F">
        <w:t xml:space="preserve"> MGH </w:t>
      </w:r>
      <w:r w:rsidRPr="00817B9F">
        <w:t>op</w:t>
      </w:r>
      <w:r w:rsidR="00A616C7" w:rsidRPr="00817B9F">
        <w:t>erated at a high level of average utilization in 2019</w:t>
      </w:r>
      <w:r w:rsidR="0090084D" w:rsidRPr="00817B9F">
        <w:t>, the hospital</w:t>
      </w:r>
      <w:r w:rsidR="00A616C7" w:rsidRPr="00817B9F">
        <w:t xml:space="preserve"> may not have </w:t>
      </w:r>
      <w:r w:rsidR="00F83FE5" w:rsidRPr="00817B9F">
        <w:t>had</w:t>
      </w:r>
      <w:r w:rsidR="00A616C7" w:rsidRPr="00817B9F">
        <w:t xml:space="preserve"> </w:t>
      </w:r>
      <w:r w:rsidR="00CF0A2E" w:rsidRPr="00817B9F">
        <w:t>the capacity</w:t>
      </w:r>
      <w:r w:rsidR="00A616C7" w:rsidRPr="00817B9F">
        <w:t xml:space="preserve"> to provide care for all patients who </w:t>
      </w:r>
      <w:r w:rsidR="00625FDA" w:rsidRPr="00817B9F">
        <w:t xml:space="preserve">wanted to receive care at </w:t>
      </w:r>
      <w:r w:rsidR="00CF0A2E" w:rsidRPr="00817B9F">
        <w:t>MGH</w:t>
      </w:r>
      <w:r w:rsidR="0090084D" w:rsidRPr="00817B9F">
        <w:t xml:space="preserve">. </w:t>
      </w:r>
      <w:r w:rsidR="00CF0A2E" w:rsidRPr="00817B9F">
        <w:t xml:space="preserve">As such, to assess overall changes in demand for MGH’s inpatient services, </w:t>
      </w:r>
      <w:r w:rsidR="00625FDA" w:rsidRPr="00817B9F">
        <w:t xml:space="preserve">we examine changes in </w:t>
      </w:r>
      <w:r w:rsidR="004905DC" w:rsidRPr="00817B9F">
        <w:t>utilization of inpatient hospital services (separately for cancer services, heart and vascular services, and other services) in MGH’s 75 percent service area</w:t>
      </w:r>
      <w:r w:rsidR="00CF0A2E" w:rsidRPr="00817B9F">
        <w:t xml:space="preserve"> for all </w:t>
      </w:r>
      <w:r w:rsidR="0081574D" w:rsidRPr="00817B9F">
        <w:t>patients (</w:t>
      </w:r>
      <w:r w:rsidR="0081574D" w:rsidRPr="00817B9F">
        <w:rPr>
          <w:i/>
          <w:iCs/>
        </w:rPr>
        <w:t>i.e.</w:t>
      </w:r>
      <w:r w:rsidR="0081574D" w:rsidRPr="00817B9F">
        <w:t xml:space="preserve">, regardless of where the patient was admitted). </w:t>
      </w:r>
      <w:r w:rsidR="00C30976" w:rsidRPr="00817B9F">
        <w:t xml:space="preserve">This is shown in </w:t>
      </w:r>
      <w:r w:rsidR="00B26832" w:rsidRPr="00817B9F">
        <w:t>Figure MGH4</w:t>
      </w:r>
      <w:r w:rsidR="00C30976" w:rsidRPr="00817B9F">
        <w:t>.</w:t>
      </w:r>
      <w:r w:rsidR="00C30976" w:rsidRPr="00817B9F">
        <w:rPr>
          <w:rStyle w:val="FootnoteReference"/>
        </w:rPr>
        <w:t xml:space="preserve"> </w:t>
      </w:r>
      <w:r w:rsidR="007D3E76" w:rsidRPr="00817B9F">
        <w:rPr>
          <w:rStyle w:val="FootnoteReference"/>
        </w:rPr>
        <w:footnoteReference w:id="114"/>
      </w:r>
      <w:r w:rsidR="00C30976" w:rsidRPr="00817B9F">
        <w:t xml:space="preserve"> In</w:t>
      </w:r>
      <w:r w:rsidR="005D6466" w:rsidRPr="00817B9F">
        <w:t xml:space="preserve"> MGH’s 75 percent service area, total discharges and patient days increased by four percent and eight percent from 2015 through 2019, respectively. In comparison, </w:t>
      </w:r>
      <w:r w:rsidR="00C30976" w:rsidRPr="00817B9F">
        <w:t>over</w:t>
      </w:r>
      <w:r w:rsidR="005D6466" w:rsidRPr="00817B9F">
        <w:t xml:space="preserve"> the same timeframe, MGH inpatient discharges </w:t>
      </w:r>
      <w:r w:rsidR="00C30976" w:rsidRPr="00817B9F">
        <w:t>were flat</w:t>
      </w:r>
      <w:r w:rsidR="005D6466" w:rsidRPr="00817B9F">
        <w:t xml:space="preserve"> and patient days grew by five percent. </w:t>
      </w:r>
      <w:r w:rsidR="0099498D" w:rsidRPr="00817B9F">
        <w:t>Patient days for heart and vascular inpatient services at MGH grew at the same rate as in the hospital’s 75 percent service area</w:t>
      </w:r>
      <w:r w:rsidR="004C222E" w:rsidRPr="00817B9F">
        <w:t xml:space="preserve"> </w:t>
      </w:r>
      <w:r w:rsidR="0096319C" w:rsidRPr="00817B9F">
        <w:t>(17 percent)</w:t>
      </w:r>
      <w:r w:rsidR="00193C6D" w:rsidRPr="00817B9F">
        <w:t>;</w:t>
      </w:r>
      <w:r w:rsidR="0099498D" w:rsidRPr="00817B9F">
        <w:t xml:space="preserve"> while patient days for inpatient cancer services declined by two percent at MGH between 2015 and 2019, patient </w:t>
      </w:r>
      <w:r w:rsidR="00193C6D" w:rsidRPr="00817B9F">
        <w:t>days for inpatient cancer services increase</w:t>
      </w:r>
      <w:r w:rsidR="00E32F3A" w:rsidRPr="00817B9F">
        <w:t>d</w:t>
      </w:r>
      <w:r w:rsidR="00193C6D" w:rsidRPr="00817B9F">
        <w:t xml:space="preserve"> by two percent in the hospital’s 75 percent service area.</w:t>
      </w:r>
    </w:p>
    <w:p w14:paraId="5994D19E" w14:textId="4F6D40A9" w:rsidR="005F038F" w:rsidRPr="00817B9F" w:rsidRDefault="005F038F" w:rsidP="005F038F">
      <w:pPr>
        <w:pStyle w:val="Heading2"/>
        <w:rPr>
          <w:rFonts w:cs="Times New Roman"/>
        </w:rPr>
      </w:pPr>
      <w:bookmarkStart w:id="73" w:name="_Toc90046510"/>
      <w:r w:rsidRPr="00817B9F">
        <w:rPr>
          <w:rFonts w:cs="Times New Roman"/>
        </w:rPr>
        <w:t>Outpatient Services</w:t>
      </w:r>
      <w:bookmarkEnd w:id="73"/>
    </w:p>
    <w:p w14:paraId="134F302C" w14:textId="04761D26" w:rsidR="002B628A" w:rsidRPr="00817B9F" w:rsidRDefault="00E76F3A" w:rsidP="002B628A">
      <w:pPr>
        <w:pStyle w:val="NumberedParagraphs"/>
      </w:pPr>
      <w:r w:rsidRPr="00817B9F">
        <w:t xml:space="preserve">For the analyses in this section, we adopt the definitions of outpatient service lines that we previously described in Section </w:t>
      </w:r>
      <w:r w:rsidR="000B339B" w:rsidRPr="00817B9F">
        <w:fldChar w:fldCharType="begin"/>
      </w:r>
      <w:r w:rsidR="000B339B" w:rsidRPr="00817B9F">
        <w:instrText xml:space="preserve"> REF _Ref88655817 \r \h </w:instrText>
      </w:r>
      <w:r w:rsidR="00FD09F0" w:rsidRPr="00817B9F">
        <w:instrText xml:space="preserve"> \* MERGEFORMAT </w:instrText>
      </w:r>
      <w:r w:rsidR="000B339B" w:rsidRPr="00817B9F">
        <w:fldChar w:fldCharType="separate"/>
      </w:r>
      <w:r w:rsidR="002B78C3">
        <w:t>III</w:t>
      </w:r>
      <w:r w:rsidR="000B339B" w:rsidRPr="00817B9F">
        <w:fldChar w:fldCharType="end"/>
      </w:r>
      <w:r w:rsidR="000B339B" w:rsidRPr="00817B9F">
        <w:t>.</w:t>
      </w:r>
      <w:r w:rsidRPr="00817B9F">
        <w:fldChar w:fldCharType="begin"/>
      </w:r>
      <w:r w:rsidRPr="00817B9F">
        <w:instrText xml:space="preserve"> REF _Ref88384198 \w \h </w:instrText>
      </w:r>
      <w:r w:rsidR="00FD09F0" w:rsidRPr="00817B9F">
        <w:instrText xml:space="preserve"> \* MERGEFORMAT </w:instrText>
      </w:r>
      <w:r w:rsidRPr="00817B9F">
        <w:fldChar w:fldCharType="separate"/>
      </w:r>
      <w:r w:rsidR="002B78C3">
        <w:t>B</w:t>
      </w:r>
      <w:r w:rsidRPr="00817B9F">
        <w:fldChar w:fldCharType="end"/>
      </w:r>
      <w:r w:rsidRPr="00817B9F">
        <w:t>.</w:t>
      </w:r>
      <w:r w:rsidRPr="00817B9F">
        <w:fldChar w:fldCharType="begin"/>
      </w:r>
      <w:r w:rsidRPr="00817B9F">
        <w:instrText xml:space="preserve"> REF _Ref88384199 \w \h </w:instrText>
      </w:r>
      <w:r w:rsidR="00FD09F0" w:rsidRPr="00817B9F">
        <w:instrText xml:space="preserve"> \* MERGEFORMAT </w:instrText>
      </w:r>
      <w:r w:rsidRPr="00817B9F">
        <w:fldChar w:fldCharType="separate"/>
      </w:r>
      <w:r w:rsidR="002B78C3">
        <w:t>2</w:t>
      </w:r>
      <w:r w:rsidRPr="00817B9F">
        <w:fldChar w:fldCharType="end"/>
      </w:r>
      <w:r w:rsidRPr="00817B9F">
        <w:t xml:space="preserve">. </w:t>
      </w:r>
      <w:r w:rsidR="005B0AFC" w:rsidRPr="00817B9F">
        <w:t>As we described earlier, we also limit the data we use for these analyses (</w:t>
      </w:r>
      <w:r w:rsidR="005B0AFC" w:rsidRPr="00817B9F">
        <w:rPr>
          <w:i/>
          <w:iCs/>
        </w:rPr>
        <w:t>i.e.</w:t>
      </w:r>
      <w:r w:rsidR="005B0AFC" w:rsidRPr="00817B9F">
        <w:t xml:space="preserve">, the APCD and Medicare Claims data) to patients who reside in Massachusetts and to claims for health care providers located in Suffolk, Essex, Middlesex, Norfolk, Bristol, Plymouth, and Worcester Counties. </w:t>
      </w:r>
      <w:r w:rsidR="005902D4" w:rsidRPr="00817B9F">
        <w:t xml:space="preserve">These limitations and exclusions apply to all analyses we </w:t>
      </w:r>
      <w:r w:rsidR="005902D4" w:rsidRPr="00817B9F">
        <w:lastRenderedPageBreak/>
        <w:t>discuss in this section.</w:t>
      </w:r>
      <w:r w:rsidR="00F833C0" w:rsidRPr="00817B9F">
        <w:t xml:space="preserve"> As we noted earlie</w:t>
      </w:r>
      <w:r w:rsidR="004877AF" w:rsidRPr="00817B9F">
        <w:t>r</w:t>
      </w:r>
      <w:r w:rsidR="00F833C0" w:rsidRPr="00817B9F">
        <w:t xml:space="preserve">, the APCD </w:t>
      </w:r>
      <w:r w:rsidR="00576ECC" w:rsidRPr="00817B9F">
        <w:t xml:space="preserve">may not include </w:t>
      </w:r>
      <w:r w:rsidR="00EA7FAF" w:rsidRPr="00817B9F">
        <w:t xml:space="preserve">claims for </w:t>
      </w:r>
      <w:r w:rsidR="004877AF" w:rsidRPr="00817B9F">
        <w:t xml:space="preserve">all </w:t>
      </w:r>
      <w:r w:rsidR="00EA7FAF" w:rsidRPr="00817B9F">
        <w:t>s</w:t>
      </w:r>
      <w:r w:rsidR="00F833C0" w:rsidRPr="00817B9F">
        <w:t xml:space="preserve">elf-insured commercial </w:t>
      </w:r>
      <w:r w:rsidR="00EA7FAF" w:rsidRPr="00817B9F">
        <w:t xml:space="preserve">health </w:t>
      </w:r>
      <w:r w:rsidR="00F833C0" w:rsidRPr="00817B9F">
        <w:t>plans</w:t>
      </w:r>
      <w:r w:rsidR="004877AF" w:rsidRPr="00817B9F">
        <w:t xml:space="preserve">. As such, </w:t>
      </w:r>
      <w:r w:rsidR="00FC4A30" w:rsidRPr="00817B9F">
        <w:t>our analyses</w:t>
      </w:r>
      <w:r w:rsidR="00F00F25" w:rsidRPr="00817B9F">
        <w:t xml:space="preserve"> in this section</w:t>
      </w:r>
      <w:r w:rsidR="00FC4A30" w:rsidRPr="00817B9F">
        <w:t xml:space="preserve"> may understate the fraction of patients covered by commercial health</w:t>
      </w:r>
      <w:r w:rsidR="00F00F25" w:rsidRPr="00817B9F">
        <w:t xml:space="preserve"> insurance.</w:t>
      </w:r>
      <w:r w:rsidR="00FC4A30" w:rsidRPr="00817B9F">
        <w:t xml:space="preserve"> </w:t>
      </w:r>
    </w:p>
    <w:p w14:paraId="6D7E9DCC" w14:textId="658F0463" w:rsidR="003E5141" w:rsidRPr="00817B9F" w:rsidRDefault="003E5141" w:rsidP="00DA4AE6">
      <w:pPr>
        <w:pStyle w:val="NumberedParagraphs"/>
      </w:pPr>
      <w:r w:rsidRPr="00817B9F">
        <w:t xml:space="preserve">In what follows, we </w:t>
      </w:r>
      <w:r w:rsidR="00F63121" w:rsidRPr="00817B9F">
        <w:t xml:space="preserve">describe the characteristics of patients who </w:t>
      </w:r>
      <w:r w:rsidR="000A0AED" w:rsidRPr="00817B9F">
        <w:t>received</w:t>
      </w:r>
      <w:r w:rsidR="00F63121" w:rsidRPr="00817B9F">
        <w:t xml:space="preserve"> care at MGH </w:t>
      </w:r>
      <w:r w:rsidR="000A0AED" w:rsidRPr="00817B9F">
        <w:t xml:space="preserve">in </w:t>
      </w:r>
      <w:r w:rsidR="00F63121" w:rsidRPr="00817B9F">
        <w:t xml:space="preserve">2018 for outpatient cardiovascular services, outpatient oncology services, and outpatient diagnostic imaging services </w:t>
      </w:r>
      <w:r w:rsidR="00B87913" w:rsidRPr="00817B9F">
        <w:t>(</w:t>
      </w:r>
      <w:r w:rsidR="00B87913" w:rsidRPr="00817B9F">
        <w:rPr>
          <w:i/>
          <w:iCs/>
        </w:rPr>
        <w:t>i.e.</w:t>
      </w:r>
      <w:r w:rsidR="00B87913" w:rsidRPr="00817B9F">
        <w:t>, MR, CT, and PET/CT scans)</w:t>
      </w:r>
      <w:r w:rsidR="00F63121" w:rsidRPr="00817B9F">
        <w:t xml:space="preserve"> and compare the characteristics of these patients to the broader population of patients who reside</w:t>
      </w:r>
      <w:r w:rsidR="009B33FE" w:rsidRPr="00817B9F">
        <w:t>d</w:t>
      </w:r>
      <w:r w:rsidR="00F63121" w:rsidRPr="00817B9F">
        <w:t xml:space="preserve"> in the hospital’s service area. </w:t>
      </w:r>
    </w:p>
    <w:p w14:paraId="764534FF" w14:textId="2C4AA030" w:rsidR="00DE30DD" w:rsidRPr="00817B9F" w:rsidRDefault="005F038F" w:rsidP="00A74911">
      <w:pPr>
        <w:pStyle w:val="Heading3"/>
        <w:numPr>
          <w:ilvl w:val="0"/>
          <w:numId w:val="32"/>
        </w:numPr>
      </w:pPr>
      <w:bookmarkStart w:id="74" w:name="_Toc90046511"/>
      <w:r w:rsidRPr="00817B9F">
        <w:t>Outpatient Car</w:t>
      </w:r>
      <w:r w:rsidR="00E85ACC" w:rsidRPr="00817B9F">
        <w:t>diovascular</w:t>
      </w:r>
      <w:r w:rsidRPr="00817B9F">
        <w:t xml:space="preserve"> Services</w:t>
      </w:r>
      <w:bookmarkEnd w:id="74"/>
    </w:p>
    <w:p w14:paraId="6BBA50C8" w14:textId="3163BD5A" w:rsidR="00EB2075" w:rsidRPr="00817B9F" w:rsidRDefault="008219E5" w:rsidP="008219E5">
      <w:pPr>
        <w:pStyle w:val="NumberedParagraphs"/>
      </w:pPr>
      <w:r w:rsidRPr="00817B9F">
        <w:t>Among patients who received outpatient cardiovascular services in 2018,</w:t>
      </w:r>
      <w:r w:rsidR="00D033DF" w:rsidRPr="00817B9F">
        <w:t xml:space="preserve"> </w:t>
      </w:r>
      <w:r w:rsidR="00A46E8D" w:rsidRPr="00817B9F">
        <w:t>Figure MGH5</w:t>
      </w:r>
      <w:r w:rsidR="00CC36AA" w:rsidRPr="00817B9F">
        <w:t xml:space="preserve"> </w:t>
      </w:r>
      <w:r w:rsidR="00D033DF" w:rsidRPr="00817B9F">
        <w:t>summarizes</w:t>
      </w:r>
      <w:r w:rsidR="003703E2" w:rsidRPr="00817B9F">
        <w:t xml:space="preserve"> </w:t>
      </w:r>
      <w:r w:rsidRPr="00817B9F">
        <w:t>the</w:t>
      </w:r>
      <w:r w:rsidR="003703E2" w:rsidRPr="00817B9F">
        <w:t xml:space="preserve"> characteristics </w:t>
      </w:r>
      <w:r w:rsidRPr="00817B9F">
        <w:t xml:space="preserve">of </w:t>
      </w:r>
      <w:r w:rsidR="003703E2" w:rsidRPr="00817B9F">
        <w:t>MGH patients</w:t>
      </w:r>
      <w:r w:rsidR="00D033DF" w:rsidRPr="00817B9F">
        <w:t xml:space="preserve">, </w:t>
      </w:r>
      <w:r w:rsidR="00AC023B" w:rsidRPr="00817B9F">
        <w:t xml:space="preserve">of </w:t>
      </w:r>
      <w:r w:rsidR="00D033DF" w:rsidRPr="00817B9F">
        <w:t xml:space="preserve">MGH patients </w:t>
      </w:r>
      <w:r w:rsidR="00164865" w:rsidRPr="00817B9F">
        <w:t>who reside</w:t>
      </w:r>
      <w:r w:rsidR="009B176E" w:rsidRPr="00817B9F">
        <w:t>d</w:t>
      </w:r>
      <w:r w:rsidR="00D033DF" w:rsidRPr="00817B9F">
        <w:t xml:space="preserve"> in the hospital’s 75 percent service area,</w:t>
      </w:r>
      <w:r w:rsidR="00EF6B84" w:rsidRPr="00817B9F">
        <w:rPr>
          <w:rStyle w:val="FootnoteReference"/>
        </w:rPr>
        <w:footnoteReference w:id="115"/>
      </w:r>
      <w:r w:rsidR="00D033DF" w:rsidRPr="00817B9F">
        <w:t xml:space="preserve"> a</w:t>
      </w:r>
      <w:r w:rsidRPr="00817B9F">
        <w:t xml:space="preserve">nd </w:t>
      </w:r>
      <w:r w:rsidR="00AC023B" w:rsidRPr="00817B9F">
        <w:t xml:space="preserve">of </w:t>
      </w:r>
      <w:r w:rsidRPr="00817B9F">
        <w:t xml:space="preserve">all patients </w:t>
      </w:r>
      <w:r w:rsidR="00164865" w:rsidRPr="00817B9F">
        <w:t xml:space="preserve">who </w:t>
      </w:r>
      <w:r w:rsidRPr="00817B9F">
        <w:t>resid</w:t>
      </w:r>
      <w:r w:rsidR="00164865" w:rsidRPr="00817B9F">
        <w:t>e</w:t>
      </w:r>
      <w:r w:rsidR="008A3140" w:rsidRPr="00817B9F">
        <w:t>d</w:t>
      </w:r>
      <w:r w:rsidRPr="00817B9F">
        <w:t xml:space="preserve"> in the hospital’s 75 percent service area regardless of </w:t>
      </w:r>
      <w:r w:rsidR="007C578B" w:rsidRPr="00817B9F">
        <w:t>where the patient received care</w:t>
      </w:r>
      <w:r w:rsidRPr="00817B9F">
        <w:t>.</w:t>
      </w:r>
      <w:r w:rsidR="003703E2" w:rsidRPr="00817B9F">
        <w:t xml:space="preserve"> The first column of the figure summarizes patient characteristics for all MGH </w:t>
      </w:r>
      <w:r w:rsidR="001F6FFC" w:rsidRPr="00817B9F">
        <w:t xml:space="preserve">patients who received </w:t>
      </w:r>
      <w:r w:rsidR="001D0F7C" w:rsidRPr="00817B9F">
        <w:t>outpatient</w:t>
      </w:r>
      <w:r w:rsidR="000C2E61" w:rsidRPr="00817B9F">
        <w:t xml:space="preserve"> cardio</w:t>
      </w:r>
      <w:r w:rsidR="00371840" w:rsidRPr="00817B9F">
        <w:t>vascular service</w:t>
      </w:r>
      <w:r w:rsidR="007C578B" w:rsidRPr="00817B9F">
        <w:t>s</w:t>
      </w:r>
      <w:r w:rsidR="003703E2" w:rsidRPr="00817B9F">
        <w:t xml:space="preserve">. </w:t>
      </w:r>
    </w:p>
    <w:p w14:paraId="3E5AE7D8" w14:textId="77777777" w:rsidR="00EB2075" w:rsidRPr="00817B9F" w:rsidRDefault="003703E2" w:rsidP="005D3EC9">
      <w:pPr>
        <w:pStyle w:val="BulletParagraph"/>
        <w:rPr>
          <w:rFonts w:cs="Times New Roman"/>
        </w:rPr>
      </w:pPr>
      <w:r w:rsidRPr="00817B9F">
        <w:rPr>
          <w:rFonts w:cs="Times New Roman"/>
        </w:rPr>
        <w:t xml:space="preserve">Approximately </w:t>
      </w:r>
      <w:r w:rsidR="0072634D" w:rsidRPr="00817B9F">
        <w:rPr>
          <w:rFonts w:cs="Times New Roman"/>
        </w:rPr>
        <w:t>53</w:t>
      </w:r>
      <w:r w:rsidRPr="00817B9F">
        <w:rPr>
          <w:rFonts w:cs="Times New Roman"/>
        </w:rPr>
        <w:t xml:space="preserve"> percent of </w:t>
      </w:r>
      <w:r w:rsidR="00AC023B" w:rsidRPr="00817B9F">
        <w:rPr>
          <w:rFonts w:cs="Times New Roman"/>
        </w:rPr>
        <w:t>these</w:t>
      </w:r>
      <w:r w:rsidRPr="00817B9F">
        <w:rPr>
          <w:rFonts w:cs="Times New Roman"/>
        </w:rPr>
        <w:t xml:space="preserve"> patients </w:t>
      </w:r>
      <w:r w:rsidR="003F722C" w:rsidRPr="00817B9F">
        <w:rPr>
          <w:rFonts w:cs="Times New Roman"/>
        </w:rPr>
        <w:t>wer</w:t>
      </w:r>
      <w:r w:rsidRPr="00817B9F">
        <w:rPr>
          <w:rFonts w:cs="Times New Roman"/>
        </w:rPr>
        <w:t xml:space="preserve">e </w:t>
      </w:r>
      <w:r w:rsidR="009574B7" w:rsidRPr="00817B9F">
        <w:rPr>
          <w:rFonts w:cs="Times New Roman"/>
        </w:rPr>
        <w:t>female</w:t>
      </w:r>
      <w:r w:rsidRPr="00817B9F">
        <w:rPr>
          <w:rFonts w:cs="Times New Roman"/>
        </w:rPr>
        <w:t xml:space="preserve">. </w:t>
      </w:r>
    </w:p>
    <w:p w14:paraId="674C10FF" w14:textId="44F69E55" w:rsidR="00EB2075" w:rsidRPr="00817B9F" w:rsidRDefault="00AC023B" w:rsidP="005D3EC9">
      <w:pPr>
        <w:pStyle w:val="BulletParagraph"/>
        <w:rPr>
          <w:rFonts w:cs="Times New Roman"/>
        </w:rPr>
      </w:pPr>
      <w:r w:rsidRPr="00817B9F">
        <w:rPr>
          <w:rFonts w:cs="Times New Roman"/>
        </w:rPr>
        <w:t>Information on patients’</w:t>
      </w:r>
      <w:r w:rsidR="00B93D3F" w:rsidRPr="00817B9F">
        <w:rPr>
          <w:rFonts w:cs="Times New Roman"/>
        </w:rPr>
        <w:t xml:space="preserve"> race </w:t>
      </w:r>
      <w:r w:rsidRPr="00817B9F">
        <w:rPr>
          <w:rFonts w:cs="Times New Roman"/>
        </w:rPr>
        <w:t xml:space="preserve">and ethnicity is not available in the APCD, so the </w:t>
      </w:r>
      <w:r w:rsidR="00F36B1E" w:rsidRPr="00817B9F">
        <w:rPr>
          <w:rFonts w:cs="Times New Roman"/>
        </w:rPr>
        <w:t>figure</w:t>
      </w:r>
      <w:r w:rsidRPr="00817B9F">
        <w:rPr>
          <w:rFonts w:cs="Times New Roman"/>
        </w:rPr>
        <w:t xml:space="preserve"> reflects this</w:t>
      </w:r>
      <w:r w:rsidR="00B93D3F" w:rsidRPr="00817B9F">
        <w:rPr>
          <w:rFonts w:cs="Times New Roman"/>
        </w:rPr>
        <w:t xml:space="preserve"> i</w:t>
      </w:r>
      <w:r w:rsidR="007A10DC" w:rsidRPr="00817B9F">
        <w:rPr>
          <w:rFonts w:cs="Times New Roman"/>
        </w:rPr>
        <w:t xml:space="preserve">nformation only </w:t>
      </w:r>
      <w:r w:rsidRPr="00817B9F">
        <w:rPr>
          <w:rFonts w:cs="Times New Roman"/>
        </w:rPr>
        <w:t>for patients covered by</w:t>
      </w:r>
      <w:r w:rsidR="00B225BD" w:rsidRPr="00817B9F">
        <w:rPr>
          <w:rFonts w:cs="Times New Roman"/>
        </w:rPr>
        <w:t xml:space="preserve"> Original Medicare</w:t>
      </w:r>
      <w:r w:rsidRPr="00817B9F">
        <w:rPr>
          <w:rFonts w:cs="Times New Roman"/>
        </w:rPr>
        <w:t>. T</w:t>
      </w:r>
      <w:r w:rsidR="00275064" w:rsidRPr="00817B9F">
        <w:rPr>
          <w:rFonts w:cs="Times New Roman"/>
        </w:rPr>
        <w:t>he</w:t>
      </w:r>
      <w:r w:rsidRPr="00817B9F">
        <w:rPr>
          <w:rFonts w:cs="Times New Roman"/>
        </w:rPr>
        <w:t>se</w:t>
      </w:r>
      <w:r w:rsidR="00275064" w:rsidRPr="00817B9F">
        <w:rPr>
          <w:rFonts w:cs="Times New Roman"/>
        </w:rPr>
        <w:t xml:space="preserve"> data </w:t>
      </w:r>
      <w:r w:rsidR="0042245B" w:rsidRPr="00817B9F">
        <w:rPr>
          <w:rFonts w:cs="Times New Roman"/>
        </w:rPr>
        <w:t xml:space="preserve">indicate that </w:t>
      </w:r>
      <w:r w:rsidR="00E93BFC" w:rsidRPr="00817B9F">
        <w:rPr>
          <w:rFonts w:cs="Times New Roman"/>
        </w:rPr>
        <w:t>W</w:t>
      </w:r>
      <w:r w:rsidR="003703E2" w:rsidRPr="00817B9F">
        <w:rPr>
          <w:rFonts w:cs="Times New Roman"/>
        </w:rPr>
        <w:t>hite patients account</w:t>
      </w:r>
      <w:r w:rsidR="00A072F4" w:rsidRPr="00817B9F">
        <w:rPr>
          <w:rFonts w:cs="Times New Roman"/>
        </w:rPr>
        <w:t>ed</w:t>
      </w:r>
      <w:r w:rsidR="003703E2" w:rsidRPr="00817B9F">
        <w:rPr>
          <w:rFonts w:cs="Times New Roman"/>
        </w:rPr>
        <w:t xml:space="preserve"> for 8</w:t>
      </w:r>
      <w:r w:rsidR="00D401AC" w:rsidRPr="00817B9F">
        <w:rPr>
          <w:rFonts w:cs="Times New Roman"/>
        </w:rPr>
        <w:t>6</w:t>
      </w:r>
      <w:r w:rsidR="003703E2" w:rsidRPr="00817B9F">
        <w:rPr>
          <w:rFonts w:cs="Times New Roman"/>
        </w:rPr>
        <w:t xml:space="preserve"> percent of MGH’s </w:t>
      </w:r>
      <w:r w:rsidR="00D401AC" w:rsidRPr="00817B9F">
        <w:rPr>
          <w:rFonts w:cs="Times New Roman"/>
        </w:rPr>
        <w:t xml:space="preserve">outpatient cardiovascular </w:t>
      </w:r>
      <w:r w:rsidR="002820BD" w:rsidRPr="00817B9F">
        <w:rPr>
          <w:rFonts w:cs="Times New Roman"/>
        </w:rPr>
        <w:t>patients.</w:t>
      </w:r>
      <w:r w:rsidR="003703E2" w:rsidRPr="00817B9F">
        <w:rPr>
          <w:rFonts w:cs="Times New Roman"/>
        </w:rPr>
        <w:t xml:space="preserve"> Among the remaining </w:t>
      </w:r>
      <w:r w:rsidR="00697CE0" w:rsidRPr="00817B9F">
        <w:rPr>
          <w:rFonts w:cs="Times New Roman"/>
        </w:rPr>
        <w:t>14</w:t>
      </w:r>
      <w:r w:rsidR="003703E2" w:rsidRPr="00817B9F">
        <w:rPr>
          <w:rFonts w:cs="Times New Roman"/>
        </w:rPr>
        <w:t xml:space="preserve"> percent of </w:t>
      </w:r>
      <w:r w:rsidR="00697CE0" w:rsidRPr="00817B9F">
        <w:rPr>
          <w:rFonts w:cs="Times New Roman"/>
        </w:rPr>
        <w:t>outpatient cardiovascular patients</w:t>
      </w:r>
      <w:r w:rsidR="003703E2" w:rsidRPr="00817B9F">
        <w:rPr>
          <w:rFonts w:cs="Times New Roman"/>
        </w:rPr>
        <w:t>,</w:t>
      </w:r>
      <w:r w:rsidR="009B02B0" w:rsidRPr="00817B9F">
        <w:rPr>
          <w:rFonts w:cs="Times New Roman"/>
        </w:rPr>
        <w:t xml:space="preserve"> approximately</w:t>
      </w:r>
      <w:r w:rsidR="003703E2" w:rsidRPr="00817B9F">
        <w:rPr>
          <w:rFonts w:cs="Times New Roman"/>
        </w:rPr>
        <w:t xml:space="preserve"> </w:t>
      </w:r>
      <w:r w:rsidR="00A44E73" w:rsidRPr="00817B9F">
        <w:rPr>
          <w:rFonts w:cs="Times New Roman"/>
        </w:rPr>
        <w:t>five</w:t>
      </w:r>
      <w:r w:rsidR="003703E2" w:rsidRPr="00817B9F">
        <w:rPr>
          <w:rFonts w:cs="Times New Roman"/>
        </w:rPr>
        <w:t xml:space="preserve"> percent of patients </w:t>
      </w:r>
      <w:r w:rsidR="00556A5A" w:rsidRPr="00817B9F">
        <w:rPr>
          <w:rFonts w:cs="Times New Roman"/>
        </w:rPr>
        <w:t>were</w:t>
      </w:r>
      <w:r w:rsidR="003703E2" w:rsidRPr="00817B9F">
        <w:rPr>
          <w:rFonts w:cs="Times New Roman"/>
        </w:rPr>
        <w:t xml:space="preserve"> Black, </w:t>
      </w:r>
      <w:r w:rsidR="006E28E3" w:rsidRPr="00817B9F">
        <w:rPr>
          <w:rFonts w:cs="Times New Roman"/>
        </w:rPr>
        <w:t>two</w:t>
      </w:r>
      <w:r w:rsidR="003703E2" w:rsidRPr="00817B9F">
        <w:rPr>
          <w:rFonts w:cs="Times New Roman"/>
        </w:rPr>
        <w:t xml:space="preserve"> percent </w:t>
      </w:r>
      <w:r w:rsidR="00556A5A" w:rsidRPr="00817B9F">
        <w:rPr>
          <w:rFonts w:cs="Times New Roman"/>
        </w:rPr>
        <w:t>were</w:t>
      </w:r>
      <w:r w:rsidR="003703E2" w:rsidRPr="00817B9F">
        <w:rPr>
          <w:rFonts w:cs="Times New Roman"/>
        </w:rPr>
        <w:t xml:space="preserve"> Asian/Pacific Islander</w:t>
      </w:r>
      <w:r w:rsidR="006E28E3" w:rsidRPr="00817B9F">
        <w:rPr>
          <w:rFonts w:cs="Times New Roman"/>
        </w:rPr>
        <w:t>/American Indian</w:t>
      </w:r>
      <w:r w:rsidR="002F12D9" w:rsidRPr="00817B9F">
        <w:rPr>
          <w:rFonts w:cs="Times New Roman"/>
        </w:rPr>
        <w:t>/Alaska Native</w:t>
      </w:r>
      <w:r w:rsidR="007D4557" w:rsidRPr="00817B9F">
        <w:rPr>
          <w:rFonts w:cs="Times New Roman"/>
        </w:rPr>
        <w:t xml:space="preserve">, two percent </w:t>
      </w:r>
      <w:r w:rsidR="00556A5A" w:rsidRPr="00817B9F">
        <w:rPr>
          <w:rFonts w:cs="Times New Roman"/>
        </w:rPr>
        <w:t>were</w:t>
      </w:r>
      <w:r w:rsidR="007D4557" w:rsidRPr="00817B9F">
        <w:rPr>
          <w:rFonts w:cs="Times New Roman"/>
        </w:rPr>
        <w:t xml:space="preserve"> Hispanic</w:t>
      </w:r>
      <w:r w:rsidR="003703E2" w:rsidRPr="00817B9F">
        <w:rPr>
          <w:rFonts w:cs="Times New Roman"/>
        </w:rPr>
        <w:t>, and</w:t>
      </w:r>
      <w:r w:rsidR="007D4557" w:rsidRPr="00817B9F">
        <w:rPr>
          <w:rFonts w:cs="Times New Roman"/>
        </w:rPr>
        <w:t xml:space="preserve"> six</w:t>
      </w:r>
      <w:r w:rsidR="003703E2" w:rsidRPr="00817B9F">
        <w:rPr>
          <w:rFonts w:cs="Times New Roman"/>
        </w:rPr>
        <w:t xml:space="preserve"> percent </w:t>
      </w:r>
      <w:r w:rsidR="00556A5A" w:rsidRPr="00817B9F">
        <w:rPr>
          <w:rFonts w:cs="Times New Roman"/>
        </w:rPr>
        <w:t>were</w:t>
      </w:r>
      <w:r w:rsidR="00792A8C" w:rsidRPr="00817B9F">
        <w:rPr>
          <w:rFonts w:cs="Times New Roman"/>
        </w:rPr>
        <w:t xml:space="preserve"> </w:t>
      </w:r>
      <w:r w:rsidR="00BC2FC0" w:rsidRPr="00817B9F">
        <w:rPr>
          <w:rFonts w:cs="Times New Roman"/>
        </w:rPr>
        <w:t xml:space="preserve">of </w:t>
      </w:r>
      <w:r w:rsidR="00792A8C" w:rsidRPr="00817B9F">
        <w:rPr>
          <w:rFonts w:cs="Times New Roman"/>
        </w:rPr>
        <w:t xml:space="preserve">other or </w:t>
      </w:r>
      <w:r w:rsidR="003703E2" w:rsidRPr="00817B9F">
        <w:rPr>
          <w:rFonts w:cs="Times New Roman"/>
        </w:rPr>
        <w:t xml:space="preserve">unknown race. </w:t>
      </w:r>
    </w:p>
    <w:p w14:paraId="12D52CBB" w14:textId="23F192C2" w:rsidR="00EB2075" w:rsidRPr="00817B9F" w:rsidRDefault="003703E2" w:rsidP="005D3EC9">
      <w:pPr>
        <w:pStyle w:val="BulletParagraph"/>
        <w:rPr>
          <w:rFonts w:cs="Times New Roman"/>
        </w:rPr>
      </w:pPr>
      <w:r w:rsidRPr="00817B9F">
        <w:rPr>
          <w:rFonts w:cs="Times New Roman"/>
        </w:rPr>
        <w:t>The figure also shows the distribution of ages for MGH</w:t>
      </w:r>
      <w:r w:rsidR="00491B31" w:rsidRPr="00817B9F">
        <w:rPr>
          <w:rFonts w:cs="Times New Roman"/>
        </w:rPr>
        <w:t xml:space="preserve"> </w:t>
      </w:r>
      <w:r w:rsidR="002D5276" w:rsidRPr="00817B9F">
        <w:rPr>
          <w:rFonts w:cs="Times New Roman"/>
        </w:rPr>
        <w:t xml:space="preserve">outpatient </w:t>
      </w:r>
      <w:r w:rsidR="00491B31" w:rsidRPr="00817B9F">
        <w:rPr>
          <w:rFonts w:cs="Times New Roman"/>
        </w:rPr>
        <w:t>cardiovascular</w:t>
      </w:r>
      <w:r w:rsidRPr="00817B9F">
        <w:rPr>
          <w:rFonts w:cs="Times New Roman"/>
        </w:rPr>
        <w:t xml:space="preserve"> patients. </w:t>
      </w:r>
      <w:r w:rsidR="00865B5D" w:rsidRPr="00817B9F">
        <w:rPr>
          <w:rFonts w:cs="Times New Roman"/>
        </w:rPr>
        <w:t>Approximately</w:t>
      </w:r>
      <w:r w:rsidRPr="00817B9F">
        <w:rPr>
          <w:rFonts w:cs="Times New Roman"/>
        </w:rPr>
        <w:t xml:space="preserve"> 5</w:t>
      </w:r>
      <w:r w:rsidR="00F43CED" w:rsidRPr="00817B9F">
        <w:rPr>
          <w:rFonts w:cs="Times New Roman"/>
        </w:rPr>
        <w:t>9</w:t>
      </w:r>
      <w:r w:rsidRPr="00817B9F">
        <w:rPr>
          <w:rFonts w:cs="Times New Roman"/>
        </w:rPr>
        <w:t xml:space="preserve"> percent of MGH’s patients </w:t>
      </w:r>
      <w:r w:rsidR="00556A5A" w:rsidRPr="00817B9F">
        <w:rPr>
          <w:rFonts w:cs="Times New Roman"/>
        </w:rPr>
        <w:t>were</w:t>
      </w:r>
      <w:r w:rsidRPr="00817B9F">
        <w:rPr>
          <w:rFonts w:cs="Times New Roman"/>
        </w:rPr>
        <w:t xml:space="preserve"> 65 </w:t>
      </w:r>
      <w:r w:rsidR="00995008" w:rsidRPr="00817B9F">
        <w:rPr>
          <w:rFonts w:cs="Times New Roman"/>
        </w:rPr>
        <w:t>and</w:t>
      </w:r>
      <w:r w:rsidRPr="00817B9F">
        <w:rPr>
          <w:rFonts w:cs="Times New Roman"/>
        </w:rPr>
        <w:t xml:space="preserve"> older and approximately 2</w:t>
      </w:r>
      <w:r w:rsidR="00255F9C" w:rsidRPr="00817B9F">
        <w:rPr>
          <w:rFonts w:cs="Times New Roman"/>
        </w:rPr>
        <w:t>1</w:t>
      </w:r>
      <w:r w:rsidRPr="00817B9F">
        <w:rPr>
          <w:rFonts w:cs="Times New Roman"/>
        </w:rPr>
        <w:t xml:space="preserve"> percent </w:t>
      </w:r>
      <w:r w:rsidR="00556A5A" w:rsidRPr="00817B9F">
        <w:rPr>
          <w:rFonts w:cs="Times New Roman"/>
        </w:rPr>
        <w:t>were</w:t>
      </w:r>
      <w:r w:rsidRPr="00817B9F">
        <w:rPr>
          <w:rFonts w:cs="Times New Roman"/>
        </w:rPr>
        <w:t xml:space="preserve"> between </w:t>
      </w:r>
      <w:r w:rsidR="00BC2FC0" w:rsidRPr="00817B9F">
        <w:rPr>
          <w:rFonts w:cs="Times New Roman"/>
        </w:rPr>
        <w:t xml:space="preserve">the ages of </w:t>
      </w:r>
      <w:r w:rsidRPr="00817B9F">
        <w:rPr>
          <w:rFonts w:cs="Times New Roman"/>
        </w:rPr>
        <w:t xml:space="preserve">50 and 64. </w:t>
      </w:r>
    </w:p>
    <w:p w14:paraId="03BD1236" w14:textId="4141C2A6" w:rsidR="003703E2" w:rsidRPr="00817B9F" w:rsidRDefault="003703E2" w:rsidP="005D3EC9">
      <w:pPr>
        <w:pStyle w:val="BulletParagraph"/>
        <w:rPr>
          <w:rFonts w:cs="Times New Roman"/>
        </w:rPr>
      </w:pPr>
      <w:r w:rsidRPr="00817B9F">
        <w:rPr>
          <w:rFonts w:cs="Times New Roman"/>
        </w:rPr>
        <w:lastRenderedPageBreak/>
        <w:t xml:space="preserve">For insurance coverage, approximately </w:t>
      </w:r>
      <w:r w:rsidR="00463FC3" w:rsidRPr="00817B9F">
        <w:rPr>
          <w:rFonts w:cs="Times New Roman"/>
        </w:rPr>
        <w:t>5</w:t>
      </w:r>
      <w:r w:rsidRPr="00817B9F">
        <w:rPr>
          <w:rFonts w:cs="Times New Roman"/>
        </w:rPr>
        <w:t xml:space="preserve">5 percent of patients </w:t>
      </w:r>
      <w:r w:rsidR="005579AB" w:rsidRPr="00817B9F">
        <w:rPr>
          <w:rFonts w:cs="Times New Roman"/>
        </w:rPr>
        <w:t>were covered by</w:t>
      </w:r>
      <w:r w:rsidRPr="00817B9F">
        <w:rPr>
          <w:rFonts w:cs="Times New Roman"/>
        </w:rPr>
        <w:t xml:space="preserve"> Original Medicare, </w:t>
      </w:r>
      <w:r w:rsidR="00463FC3" w:rsidRPr="00817B9F">
        <w:rPr>
          <w:rFonts w:cs="Times New Roman"/>
        </w:rPr>
        <w:t>27</w:t>
      </w:r>
      <w:r w:rsidRPr="00817B9F">
        <w:rPr>
          <w:rFonts w:cs="Times New Roman"/>
        </w:rPr>
        <w:t xml:space="preserve"> percent ha</w:t>
      </w:r>
      <w:r w:rsidR="00556A5A" w:rsidRPr="00817B9F">
        <w:rPr>
          <w:rFonts w:cs="Times New Roman"/>
        </w:rPr>
        <w:t>d</w:t>
      </w:r>
      <w:r w:rsidRPr="00817B9F">
        <w:rPr>
          <w:rFonts w:cs="Times New Roman"/>
        </w:rPr>
        <w:t xml:space="preserve"> </w:t>
      </w:r>
      <w:r w:rsidR="00556A5A" w:rsidRPr="00817B9F">
        <w:rPr>
          <w:rFonts w:cs="Times New Roman"/>
        </w:rPr>
        <w:t>c</w:t>
      </w:r>
      <w:r w:rsidRPr="00817B9F">
        <w:rPr>
          <w:rFonts w:cs="Times New Roman"/>
        </w:rPr>
        <w:t xml:space="preserve">ommercial </w:t>
      </w:r>
      <w:r w:rsidR="00556A5A" w:rsidRPr="00817B9F">
        <w:rPr>
          <w:rFonts w:cs="Times New Roman"/>
        </w:rPr>
        <w:t>i</w:t>
      </w:r>
      <w:r w:rsidRPr="00817B9F">
        <w:rPr>
          <w:rFonts w:cs="Times New Roman"/>
        </w:rPr>
        <w:t xml:space="preserve">nsurance (which will include some Health Connector Authority plans), </w:t>
      </w:r>
      <w:r w:rsidR="005F0BD7" w:rsidRPr="00817B9F">
        <w:rPr>
          <w:rFonts w:cs="Times New Roman"/>
        </w:rPr>
        <w:t>two</w:t>
      </w:r>
      <w:r w:rsidRPr="00817B9F">
        <w:rPr>
          <w:rFonts w:cs="Times New Roman"/>
        </w:rPr>
        <w:t xml:space="preserve"> percent ha</w:t>
      </w:r>
      <w:r w:rsidR="00556A5A" w:rsidRPr="00817B9F">
        <w:rPr>
          <w:rFonts w:cs="Times New Roman"/>
        </w:rPr>
        <w:t>d</w:t>
      </w:r>
      <w:r w:rsidRPr="00817B9F">
        <w:rPr>
          <w:rFonts w:cs="Times New Roman"/>
        </w:rPr>
        <w:t xml:space="preserve"> MassHealth </w:t>
      </w:r>
      <w:r w:rsidR="00C3231C" w:rsidRPr="00817B9F">
        <w:rPr>
          <w:rFonts w:cs="Times New Roman"/>
        </w:rPr>
        <w:t>n</w:t>
      </w:r>
      <w:r w:rsidR="009A25AA" w:rsidRPr="00817B9F">
        <w:rPr>
          <w:rFonts w:cs="Times New Roman"/>
        </w:rPr>
        <w:t>on-</w:t>
      </w:r>
      <w:r w:rsidR="00C3231C" w:rsidRPr="00817B9F">
        <w:rPr>
          <w:rFonts w:cs="Times New Roman"/>
        </w:rPr>
        <w:t>m</w:t>
      </w:r>
      <w:r w:rsidRPr="00817B9F">
        <w:rPr>
          <w:rFonts w:cs="Times New Roman"/>
        </w:rPr>
        <w:t xml:space="preserve">anaged </w:t>
      </w:r>
      <w:r w:rsidR="00C3231C" w:rsidRPr="00817B9F">
        <w:rPr>
          <w:rFonts w:cs="Times New Roman"/>
        </w:rPr>
        <w:t>c</w:t>
      </w:r>
      <w:r w:rsidRPr="00817B9F">
        <w:rPr>
          <w:rFonts w:cs="Times New Roman"/>
        </w:rPr>
        <w:t>are</w:t>
      </w:r>
      <w:r w:rsidR="00BC2FC0" w:rsidRPr="00817B9F">
        <w:rPr>
          <w:rFonts w:cs="Times New Roman"/>
        </w:rPr>
        <w:t xml:space="preserve"> </w:t>
      </w:r>
      <w:r w:rsidR="005579AB" w:rsidRPr="00817B9F">
        <w:rPr>
          <w:rFonts w:cs="Times New Roman"/>
        </w:rPr>
        <w:t>coverage</w:t>
      </w:r>
      <w:r w:rsidRPr="00817B9F">
        <w:rPr>
          <w:rFonts w:cs="Times New Roman"/>
        </w:rPr>
        <w:t xml:space="preserve">, </w:t>
      </w:r>
      <w:r w:rsidR="006B796F" w:rsidRPr="00817B9F">
        <w:rPr>
          <w:rFonts w:cs="Times New Roman"/>
        </w:rPr>
        <w:t>six percent had</w:t>
      </w:r>
      <w:r w:rsidRPr="00817B9F">
        <w:rPr>
          <w:rFonts w:cs="Times New Roman"/>
        </w:rPr>
        <w:t xml:space="preserve"> MassHealth </w:t>
      </w:r>
      <w:r w:rsidR="00C3231C" w:rsidRPr="00817B9F">
        <w:rPr>
          <w:rFonts w:cs="Times New Roman"/>
        </w:rPr>
        <w:t>m</w:t>
      </w:r>
      <w:r w:rsidRPr="00817B9F">
        <w:rPr>
          <w:rFonts w:cs="Times New Roman"/>
        </w:rPr>
        <w:t xml:space="preserve">anaged </w:t>
      </w:r>
      <w:r w:rsidR="00C3231C" w:rsidRPr="00817B9F">
        <w:rPr>
          <w:rFonts w:cs="Times New Roman"/>
        </w:rPr>
        <w:t>c</w:t>
      </w:r>
      <w:r w:rsidRPr="00817B9F">
        <w:rPr>
          <w:rFonts w:cs="Times New Roman"/>
        </w:rPr>
        <w:t>are</w:t>
      </w:r>
      <w:r w:rsidR="00BC2FC0" w:rsidRPr="00817B9F">
        <w:rPr>
          <w:rFonts w:cs="Times New Roman"/>
        </w:rPr>
        <w:t xml:space="preserve"> plans</w:t>
      </w:r>
      <w:r w:rsidRPr="00817B9F">
        <w:rPr>
          <w:rFonts w:cs="Times New Roman"/>
        </w:rPr>
        <w:t>, seven percent ha</w:t>
      </w:r>
      <w:r w:rsidR="000E0581" w:rsidRPr="00817B9F">
        <w:rPr>
          <w:rFonts w:cs="Times New Roman"/>
        </w:rPr>
        <w:t>d</w:t>
      </w:r>
      <w:r w:rsidRPr="00817B9F">
        <w:rPr>
          <w:rFonts w:cs="Times New Roman"/>
        </w:rPr>
        <w:t xml:space="preserve"> Medicare </w:t>
      </w:r>
      <w:r w:rsidR="00C3231C" w:rsidRPr="00817B9F">
        <w:rPr>
          <w:rFonts w:cs="Times New Roman"/>
        </w:rPr>
        <w:t>h</w:t>
      </w:r>
      <w:r w:rsidRPr="00817B9F">
        <w:rPr>
          <w:rFonts w:cs="Times New Roman"/>
        </w:rPr>
        <w:t xml:space="preserve">ealth </w:t>
      </w:r>
      <w:r w:rsidR="00C3231C" w:rsidRPr="00817B9F">
        <w:rPr>
          <w:rFonts w:cs="Times New Roman"/>
        </w:rPr>
        <w:t>p</w:t>
      </w:r>
      <w:r w:rsidRPr="00817B9F">
        <w:rPr>
          <w:rFonts w:cs="Times New Roman"/>
        </w:rPr>
        <w:t xml:space="preserve">lans, and </w:t>
      </w:r>
      <w:r w:rsidR="00197CE3" w:rsidRPr="00817B9F">
        <w:rPr>
          <w:rFonts w:cs="Times New Roman"/>
        </w:rPr>
        <w:t>three</w:t>
      </w:r>
      <w:r w:rsidRPr="00817B9F">
        <w:rPr>
          <w:rFonts w:cs="Times New Roman"/>
        </w:rPr>
        <w:t xml:space="preserve"> percent ha</w:t>
      </w:r>
      <w:r w:rsidR="000E0581" w:rsidRPr="00817B9F">
        <w:rPr>
          <w:rFonts w:cs="Times New Roman"/>
        </w:rPr>
        <w:t>d</w:t>
      </w:r>
      <w:r w:rsidRPr="00817B9F">
        <w:rPr>
          <w:rFonts w:cs="Times New Roman"/>
        </w:rPr>
        <w:t xml:space="preserve"> other coverage (</w:t>
      </w:r>
      <w:r w:rsidRPr="00817B9F">
        <w:rPr>
          <w:rFonts w:cs="Times New Roman"/>
          <w:i/>
          <w:iCs/>
        </w:rPr>
        <w:t>e.g.</w:t>
      </w:r>
      <w:r w:rsidRPr="00817B9F">
        <w:rPr>
          <w:rFonts w:cs="Times New Roman"/>
        </w:rPr>
        <w:t>, self</w:t>
      </w:r>
      <w:r w:rsidR="00A25852" w:rsidRPr="00817B9F">
        <w:rPr>
          <w:rFonts w:cs="Times New Roman"/>
        </w:rPr>
        <w:t>-</w:t>
      </w:r>
      <w:r w:rsidRPr="00817B9F">
        <w:rPr>
          <w:rFonts w:cs="Times New Roman"/>
        </w:rPr>
        <w:t xml:space="preserve">pay patients, other government insurance, </w:t>
      </w:r>
      <w:r w:rsidR="00394062" w:rsidRPr="00817B9F">
        <w:rPr>
          <w:rFonts w:cs="Times New Roman"/>
        </w:rPr>
        <w:t>disability</w:t>
      </w:r>
      <w:r w:rsidRPr="00817B9F">
        <w:rPr>
          <w:rFonts w:cs="Times New Roman"/>
        </w:rPr>
        <w:t xml:space="preserve">, etc.). </w:t>
      </w:r>
    </w:p>
    <w:p w14:paraId="468341DC" w14:textId="725AE532" w:rsidR="00BD78FF" w:rsidRPr="00817B9F" w:rsidRDefault="003703E2" w:rsidP="00C249CA">
      <w:pPr>
        <w:pStyle w:val="NumberedParagraphs"/>
      </w:pPr>
      <w:r w:rsidRPr="00817B9F">
        <w:t xml:space="preserve">The second column of the figure summarizes patient characteristics for those MGH </w:t>
      </w:r>
      <w:r w:rsidR="00867D80" w:rsidRPr="00817B9F">
        <w:t>out</w:t>
      </w:r>
      <w:r w:rsidRPr="00817B9F">
        <w:t>patient</w:t>
      </w:r>
      <w:r w:rsidR="00867D80" w:rsidRPr="00817B9F">
        <w:t xml:space="preserve"> cardiovascular patients</w:t>
      </w:r>
      <w:r w:rsidRPr="00817B9F">
        <w:t xml:space="preserve"> who reside</w:t>
      </w:r>
      <w:r w:rsidR="000251CA" w:rsidRPr="00817B9F">
        <w:t>d</w:t>
      </w:r>
      <w:r w:rsidRPr="00817B9F">
        <w:t xml:space="preserve"> in the hospital’s 75 percent service area. This area is created by identifying the small</w:t>
      </w:r>
      <w:r w:rsidR="00AC317D" w:rsidRPr="00817B9F">
        <w:t>est</w:t>
      </w:r>
      <w:r w:rsidRPr="00817B9F">
        <w:t xml:space="preserve"> set of ZIP Codes that comprise at least 75 percent of MGH’s </w:t>
      </w:r>
      <w:r w:rsidR="003A0A6B" w:rsidRPr="00817B9F">
        <w:t>outpatient cardiovascular procedure</w:t>
      </w:r>
      <w:r w:rsidR="006A1FD8" w:rsidRPr="00817B9F">
        <w:t xml:space="preserve"> volume</w:t>
      </w:r>
      <w:r w:rsidRPr="00817B9F">
        <w:t xml:space="preserve">. MGH’s 75 percent service area </w:t>
      </w:r>
      <w:r w:rsidR="006A1FD8" w:rsidRPr="00817B9F">
        <w:t>for these procedures</w:t>
      </w:r>
      <w:r w:rsidRPr="00817B9F">
        <w:t xml:space="preserve"> is shown in Figure </w:t>
      </w:r>
      <w:r w:rsidR="00A46E8D" w:rsidRPr="00817B9F">
        <w:t>MGH6</w:t>
      </w:r>
      <w:r w:rsidRPr="00817B9F">
        <w:t>.</w:t>
      </w:r>
      <w:r w:rsidR="00F5749A" w:rsidRPr="00817B9F">
        <w:rPr>
          <w:rStyle w:val="FootnoteReference"/>
        </w:rPr>
        <w:footnoteReference w:id="116"/>
      </w:r>
    </w:p>
    <w:p w14:paraId="50171905" w14:textId="45C178AC" w:rsidR="00EB2075" w:rsidRPr="00817B9F" w:rsidRDefault="003703E2" w:rsidP="00A37589">
      <w:pPr>
        <w:pStyle w:val="NumberedParagraphs"/>
      </w:pPr>
      <w:r w:rsidRPr="00817B9F">
        <w:t xml:space="preserve">The third column of </w:t>
      </w:r>
      <w:r w:rsidR="00117F3E" w:rsidRPr="00817B9F">
        <w:t>Figure MGH5</w:t>
      </w:r>
      <w:r w:rsidR="00CC36AA" w:rsidRPr="00817B9F">
        <w:t xml:space="preserve"> </w:t>
      </w:r>
      <w:r w:rsidRPr="00817B9F">
        <w:t xml:space="preserve">provides a summary of the characteristics </w:t>
      </w:r>
      <w:r w:rsidR="006A1FD8" w:rsidRPr="00817B9F">
        <w:t>of</w:t>
      </w:r>
      <w:r w:rsidRPr="00817B9F">
        <w:t xml:space="preserve"> all </w:t>
      </w:r>
      <w:r w:rsidR="00F85BCB" w:rsidRPr="00817B9F">
        <w:t xml:space="preserve">patients </w:t>
      </w:r>
      <w:r w:rsidRPr="00817B9F">
        <w:t xml:space="preserve">who </w:t>
      </w:r>
      <w:r w:rsidR="006A1FD8" w:rsidRPr="00817B9F">
        <w:t xml:space="preserve">received </w:t>
      </w:r>
      <w:r w:rsidR="009C69AF" w:rsidRPr="00817B9F">
        <w:t xml:space="preserve">outpatient </w:t>
      </w:r>
      <w:r w:rsidR="00F85BCB" w:rsidRPr="00817B9F">
        <w:t xml:space="preserve">cardiovascular </w:t>
      </w:r>
      <w:r w:rsidR="006A1FD8" w:rsidRPr="00817B9F">
        <w:t xml:space="preserve">services and who </w:t>
      </w:r>
      <w:r w:rsidR="00B0096E" w:rsidRPr="00817B9F">
        <w:t>reside</w:t>
      </w:r>
      <w:r w:rsidR="000251CA" w:rsidRPr="00817B9F">
        <w:t>d</w:t>
      </w:r>
      <w:r w:rsidRPr="00817B9F">
        <w:t xml:space="preserve"> </w:t>
      </w:r>
      <w:r w:rsidR="006A1FD8" w:rsidRPr="00817B9F">
        <w:t>in</w:t>
      </w:r>
      <w:r w:rsidRPr="00817B9F">
        <w:t xml:space="preserve"> MGH’s 75 percent service area</w:t>
      </w:r>
      <w:r w:rsidR="006C600E" w:rsidRPr="00817B9F">
        <w:t xml:space="preserve"> (regardless of which health care provider those patients chose)</w:t>
      </w:r>
      <w:r w:rsidRPr="00817B9F">
        <w:t xml:space="preserve">. </w:t>
      </w:r>
      <w:r w:rsidR="00747029" w:rsidRPr="00817B9F">
        <w:t>Broadly speaking, t</w:t>
      </w:r>
      <w:r w:rsidRPr="00817B9F">
        <w:t xml:space="preserve">he </w:t>
      </w:r>
      <w:r w:rsidR="00747029" w:rsidRPr="00817B9F">
        <w:t xml:space="preserve">profiles of MGH’s </w:t>
      </w:r>
      <w:r w:rsidRPr="00817B9F">
        <w:t xml:space="preserve">patients </w:t>
      </w:r>
      <w:r w:rsidR="00E510B2" w:rsidRPr="00817B9F">
        <w:t xml:space="preserve">who </w:t>
      </w:r>
      <w:r w:rsidR="00747029" w:rsidRPr="00817B9F">
        <w:t>reside</w:t>
      </w:r>
      <w:r w:rsidR="00A92367" w:rsidRPr="00817B9F">
        <w:t>d</w:t>
      </w:r>
      <w:r w:rsidRPr="00817B9F">
        <w:t xml:space="preserve"> in the </w:t>
      </w:r>
      <w:r w:rsidR="00CF1BDD" w:rsidRPr="00817B9F">
        <w:t>hospital’s</w:t>
      </w:r>
      <w:r w:rsidRPr="00817B9F">
        <w:t xml:space="preserve"> 75 percent service area</w:t>
      </w:r>
      <w:r w:rsidR="007F458A" w:rsidRPr="00817B9F">
        <w:t xml:space="preserve"> and </w:t>
      </w:r>
      <w:r w:rsidR="006C600E" w:rsidRPr="00817B9F">
        <w:t xml:space="preserve">the </w:t>
      </w:r>
      <w:r w:rsidR="004B0DA1" w:rsidRPr="00817B9F">
        <w:t>profiles of all patients who reside</w:t>
      </w:r>
      <w:r w:rsidR="00A92367" w:rsidRPr="00817B9F">
        <w:t>d</w:t>
      </w:r>
      <w:r w:rsidR="004B0DA1" w:rsidRPr="00817B9F">
        <w:t xml:space="preserve"> </w:t>
      </w:r>
      <w:r w:rsidR="00465513" w:rsidRPr="00817B9F">
        <w:t>in that area</w:t>
      </w:r>
      <w:r w:rsidRPr="00817B9F">
        <w:t xml:space="preserve"> </w:t>
      </w:r>
      <w:r w:rsidR="006C600E" w:rsidRPr="00817B9F">
        <w:t>were</w:t>
      </w:r>
      <w:r w:rsidRPr="00817B9F">
        <w:t xml:space="preserve"> similar</w:t>
      </w:r>
      <w:r w:rsidR="00465513" w:rsidRPr="00817B9F">
        <w:t>, although we note several differences</w:t>
      </w:r>
      <w:r w:rsidR="006C600E" w:rsidRPr="00817B9F">
        <w:t xml:space="preserve"> in what follows</w:t>
      </w:r>
      <w:r w:rsidRPr="00817B9F">
        <w:t xml:space="preserve">. </w:t>
      </w:r>
    </w:p>
    <w:p w14:paraId="31F74BBF" w14:textId="737FF76F" w:rsidR="00EB2075" w:rsidRPr="00817B9F" w:rsidRDefault="000A4032" w:rsidP="005D3EC9">
      <w:pPr>
        <w:pStyle w:val="BulletParagraph"/>
        <w:rPr>
          <w:rFonts w:cs="Times New Roman"/>
        </w:rPr>
      </w:pPr>
      <w:r w:rsidRPr="00817B9F">
        <w:rPr>
          <w:rFonts w:cs="Times New Roman"/>
        </w:rPr>
        <w:t>Relative to MGH’s patients</w:t>
      </w:r>
      <w:r w:rsidR="00535562" w:rsidRPr="00817B9F">
        <w:rPr>
          <w:rFonts w:cs="Times New Roman"/>
        </w:rPr>
        <w:t xml:space="preserve"> in its 75 percent service area</w:t>
      </w:r>
      <w:r w:rsidRPr="00817B9F">
        <w:rPr>
          <w:rFonts w:cs="Times New Roman"/>
        </w:rPr>
        <w:t xml:space="preserve">, patients in MGH’s service area </w:t>
      </w:r>
      <w:r w:rsidR="008911FE" w:rsidRPr="00817B9F">
        <w:rPr>
          <w:rFonts w:cs="Times New Roman"/>
        </w:rPr>
        <w:t xml:space="preserve">(regardless of which provider they chose) </w:t>
      </w:r>
      <w:r w:rsidRPr="00817B9F">
        <w:rPr>
          <w:rFonts w:cs="Times New Roman"/>
        </w:rPr>
        <w:t xml:space="preserve">were </w:t>
      </w:r>
      <w:r w:rsidR="006C600E" w:rsidRPr="00817B9F">
        <w:rPr>
          <w:rFonts w:cs="Times New Roman"/>
        </w:rPr>
        <w:t xml:space="preserve">somewhat </w:t>
      </w:r>
      <w:r w:rsidR="00976856" w:rsidRPr="00817B9F">
        <w:rPr>
          <w:rFonts w:cs="Times New Roman"/>
        </w:rPr>
        <w:t>more likely to be</w:t>
      </w:r>
      <w:r w:rsidR="00EC30D9" w:rsidRPr="00817B9F">
        <w:rPr>
          <w:rFonts w:cs="Times New Roman"/>
        </w:rPr>
        <w:t xml:space="preserve"> </w:t>
      </w:r>
      <w:r w:rsidR="003703E2" w:rsidRPr="00817B9F">
        <w:rPr>
          <w:rFonts w:cs="Times New Roman"/>
        </w:rPr>
        <w:t>female (5</w:t>
      </w:r>
      <w:r w:rsidR="00CF3689" w:rsidRPr="00817B9F">
        <w:rPr>
          <w:rFonts w:cs="Times New Roman"/>
        </w:rPr>
        <w:t>7</w:t>
      </w:r>
      <w:r w:rsidR="003703E2" w:rsidRPr="00817B9F">
        <w:rPr>
          <w:rFonts w:cs="Times New Roman"/>
        </w:rPr>
        <w:t xml:space="preserve"> percent </w:t>
      </w:r>
      <w:r w:rsidR="006C600E" w:rsidRPr="00817B9F">
        <w:rPr>
          <w:rFonts w:cs="Times New Roman"/>
        </w:rPr>
        <w:t>compared to</w:t>
      </w:r>
      <w:r w:rsidR="003703E2" w:rsidRPr="00817B9F">
        <w:rPr>
          <w:rFonts w:cs="Times New Roman"/>
        </w:rPr>
        <w:t xml:space="preserve"> </w:t>
      </w:r>
      <w:r w:rsidR="00CF3689" w:rsidRPr="00817B9F">
        <w:rPr>
          <w:rFonts w:cs="Times New Roman"/>
        </w:rPr>
        <w:t>54</w:t>
      </w:r>
      <w:r w:rsidR="003703E2" w:rsidRPr="00817B9F">
        <w:rPr>
          <w:rFonts w:cs="Times New Roman"/>
        </w:rPr>
        <w:t xml:space="preserve"> percent)</w:t>
      </w:r>
      <w:r w:rsidR="00B8124A" w:rsidRPr="00817B9F">
        <w:rPr>
          <w:rFonts w:cs="Times New Roman"/>
        </w:rPr>
        <w:t xml:space="preserve"> and</w:t>
      </w:r>
      <w:r w:rsidR="003703E2" w:rsidRPr="00817B9F">
        <w:rPr>
          <w:rFonts w:cs="Times New Roman"/>
        </w:rPr>
        <w:t xml:space="preserve"> </w:t>
      </w:r>
      <w:r w:rsidR="009941B2" w:rsidRPr="00817B9F">
        <w:rPr>
          <w:rFonts w:cs="Times New Roman"/>
        </w:rPr>
        <w:t>were</w:t>
      </w:r>
      <w:r w:rsidR="003703E2" w:rsidRPr="00817B9F">
        <w:rPr>
          <w:rFonts w:cs="Times New Roman"/>
        </w:rPr>
        <w:t xml:space="preserve"> </w:t>
      </w:r>
      <w:r w:rsidR="006C600E" w:rsidRPr="00817B9F">
        <w:rPr>
          <w:rFonts w:cs="Times New Roman"/>
        </w:rPr>
        <w:t>somewhat</w:t>
      </w:r>
      <w:r w:rsidR="003703E2" w:rsidRPr="00817B9F">
        <w:rPr>
          <w:rFonts w:cs="Times New Roman"/>
        </w:rPr>
        <w:t xml:space="preserve"> more likely to be Black (</w:t>
      </w:r>
      <w:r w:rsidR="00E2100C" w:rsidRPr="00817B9F">
        <w:rPr>
          <w:rFonts w:cs="Times New Roman"/>
        </w:rPr>
        <w:t>eight</w:t>
      </w:r>
      <w:r w:rsidR="003703E2" w:rsidRPr="00817B9F">
        <w:rPr>
          <w:rFonts w:cs="Times New Roman"/>
        </w:rPr>
        <w:t xml:space="preserve"> percent </w:t>
      </w:r>
      <w:r w:rsidR="006C600E" w:rsidRPr="00817B9F">
        <w:rPr>
          <w:rFonts w:cs="Times New Roman"/>
        </w:rPr>
        <w:t>compared to</w:t>
      </w:r>
      <w:r w:rsidR="003703E2" w:rsidRPr="00817B9F">
        <w:rPr>
          <w:rFonts w:cs="Times New Roman"/>
        </w:rPr>
        <w:t xml:space="preserve"> </w:t>
      </w:r>
      <w:r w:rsidR="00E2100C" w:rsidRPr="00817B9F">
        <w:rPr>
          <w:rFonts w:cs="Times New Roman"/>
        </w:rPr>
        <w:t>six</w:t>
      </w:r>
      <w:r w:rsidR="003703E2" w:rsidRPr="00817B9F">
        <w:rPr>
          <w:rFonts w:cs="Times New Roman"/>
        </w:rPr>
        <w:t xml:space="preserve"> percent). </w:t>
      </w:r>
    </w:p>
    <w:p w14:paraId="7F590E35" w14:textId="7D34181E" w:rsidR="00A53DAC" w:rsidRPr="00817B9F" w:rsidRDefault="00A53DAC" w:rsidP="005D3EC9">
      <w:pPr>
        <w:pStyle w:val="BulletParagraph"/>
        <w:rPr>
          <w:rFonts w:cs="Times New Roman"/>
        </w:rPr>
      </w:pPr>
      <w:r w:rsidRPr="00817B9F">
        <w:rPr>
          <w:rFonts w:cs="Times New Roman"/>
        </w:rPr>
        <w:t>The age distribution of MGH’s patients in its service area was similar to the age distribution of all patients who resided in the hospital’s service area, although the latter group of patients were less likely to be age 65 and older (5</w:t>
      </w:r>
      <w:r w:rsidR="002820BD" w:rsidRPr="00817B9F">
        <w:rPr>
          <w:rFonts w:cs="Times New Roman"/>
        </w:rPr>
        <w:t>1</w:t>
      </w:r>
      <w:r w:rsidRPr="00817B9F">
        <w:rPr>
          <w:rFonts w:cs="Times New Roman"/>
        </w:rPr>
        <w:t xml:space="preserve"> percent compared to 5</w:t>
      </w:r>
      <w:r w:rsidR="002820BD" w:rsidRPr="00817B9F">
        <w:rPr>
          <w:rFonts w:cs="Times New Roman"/>
        </w:rPr>
        <w:t>7</w:t>
      </w:r>
      <w:r w:rsidRPr="00817B9F">
        <w:rPr>
          <w:rFonts w:cs="Times New Roman"/>
        </w:rPr>
        <w:t xml:space="preserve"> percent).</w:t>
      </w:r>
    </w:p>
    <w:p w14:paraId="614F75A4" w14:textId="2E700072" w:rsidR="00EB2075" w:rsidRPr="00817B9F" w:rsidRDefault="00B37EDB" w:rsidP="005D3EC9">
      <w:pPr>
        <w:pStyle w:val="BulletParagraph"/>
        <w:rPr>
          <w:rFonts w:cs="Times New Roman"/>
        </w:rPr>
      </w:pPr>
      <w:r w:rsidRPr="00817B9F">
        <w:rPr>
          <w:rFonts w:cs="Times New Roman"/>
        </w:rPr>
        <w:lastRenderedPageBreak/>
        <w:t>T</w:t>
      </w:r>
      <w:r w:rsidR="003703E2" w:rsidRPr="00817B9F">
        <w:rPr>
          <w:rFonts w:cs="Times New Roman"/>
        </w:rPr>
        <w:t xml:space="preserve">he broader population </w:t>
      </w:r>
      <w:r w:rsidR="009941B2" w:rsidRPr="00817B9F">
        <w:rPr>
          <w:rFonts w:cs="Times New Roman"/>
        </w:rPr>
        <w:t>was</w:t>
      </w:r>
      <w:r w:rsidR="003703E2" w:rsidRPr="00817B9F">
        <w:rPr>
          <w:rFonts w:cs="Times New Roman"/>
        </w:rPr>
        <w:t xml:space="preserve"> less likely to </w:t>
      </w:r>
      <w:r w:rsidR="00A77E69" w:rsidRPr="00817B9F">
        <w:rPr>
          <w:rFonts w:cs="Times New Roman"/>
        </w:rPr>
        <w:t>be covered by</w:t>
      </w:r>
      <w:r w:rsidR="003703E2" w:rsidRPr="00817B9F">
        <w:rPr>
          <w:rFonts w:cs="Times New Roman"/>
        </w:rPr>
        <w:t xml:space="preserve"> </w:t>
      </w:r>
      <w:r w:rsidR="0018296C" w:rsidRPr="00817B9F">
        <w:rPr>
          <w:rFonts w:cs="Times New Roman"/>
        </w:rPr>
        <w:t>Origin</w:t>
      </w:r>
      <w:r w:rsidR="002A1963" w:rsidRPr="00817B9F">
        <w:rPr>
          <w:rFonts w:cs="Times New Roman"/>
        </w:rPr>
        <w:t>a</w:t>
      </w:r>
      <w:r w:rsidR="0018296C" w:rsidRPr="00817B9F">
        <w:rPr>
          <w:rFonts w:cs="Times New Roman"/>
        </w:rPr>
        <w:t>l Medicare</w:t>
      </w:r>
      <w:r w:rsidR="003703E2" w:rsidRPr="00817B9F">
        <w:rPr>
          <w:rFonts w:cs="Times New Roman"/>
        </w:rPr>
        <w:t xml:space="preserve"> (</w:t>
      </w:r>
      <w:r w:rsidR="005154B7" w:rsidRPr="00817B9F">
        <w:rPr>
          <w:rFonts w:cs="Times New Roman"/>
        </w:rPr>
        <w:t>44</w:t>
      </w:r>
      <w:r w:rsidR="003703E2" w:rsidRPr="00817B9F">
        <w:rPr>
          <w:rFonts w:cs="Times New Roman"/>
        </w:rPr>
        <w:t xml:space="preserve"> percent </w:t>
      </w:r>
      <w:r w:rsidR="00A77E69" w:rsidRPr="00817B9F">
        <w:rPr>
          <w:rFonts w:cs="Times New Roman"/>
        </w:rPr>
        <w:t>compared to</w:t>
      </w:r>
      <w:r w:rsidR="003703E2" w:rsidRPr="00817B9F">
        <w:rPr>
          <w:rFonts w:cs="Times New Roman"/>
        </w:rPr>
        <w:t xml:space="preserve"> </w:t>
      </w:r>
      <w:r w:rsidR="005154B7" w:rsidRPr="00817B9F">
        <w:rPr>
          <w:rFonts w:cs="Times New Roman"/>
        </w:rPr>
        <w:t>53</w:t>
      </w:r>
      <w:r w:rsidR="003703E2" w:rsidRPr="00817B9F">
        <w:rPr>
          <w:rFonts w:cs="Times New Roman"/>
        </w:rPr>
        <w:t xml:space="preserve"> percent)</w:t>
      </w:r>
      <w:r w:rsidR="007E79D9" w:rsidRPr="00817B9F">
        <w:rPr>
          <w:rFonts w:cs="Times New Roman"/>
        </w:rPr>
        <w:t xml:space="preserve"> and</w:t>
      </w:r>
      <w:r w:rsidR="003703E2" w:rsidRPr="00817B9F">
        <w:rPr>
          <w:rFonts w:cs="Times New Roman"/>
        </w:rPr>
        <w:t xml:space="preserve"> </w:t>
      </w:r>
      <w:r w:rsidR="009941B2" w:rsidRPr="00817B9F">
        <w:rPr>
          <w:rFonts w:cs="Times New Roman"/>
        </w:rPr>
        <w:t>was</w:t>
      </w:r>
      <w:r w:rsidR="003703E2" w:rsidRPr="00817B9F">
        <w:rPr>
          <w:rFonts w:cs="Times New Roman"/>
        </w:rPr>
        <w:t xml:space="preserve"> more likely to be covered by MassHealth </w:t>
      </w:r>
      <w:r w:rsidR="00C32398" w:rsidRPr="00817B9F">
        <w:rPr>
          <w:rFonts w:cs="Times New Roman"/>
        </w:rPr>
        <w:t>m</w:t>
      </w:r>
      <w:r w:rsidR="00E92890" w:rsidRPr="00817B9F">
        <w:rPr>
          <w:rFonts w:cs="Times New Roman"/>
        </w:rPr>
        <w:t xml:space="preserve">anaged </w:t>
      </w:r>
      <w:r w:rsidR="00C32398" w:rsidRPr="00817B9F">
        <w:rPr>
          <w:rFonts w:cs="Times New Roman"/>
        </w:rPr>
        <w:t>c</w:t>
      </w:r>
      <w:r w:rsidR="00E92890" w:rsidRPr="00817B9F">
        <w:rPr>
          <w:rFonts w:cs="Times New Roman"/>
        </w:rPr>
        <w:t xml:space="preserve">are </w:t>
      </w:r>
      <w:r w:rsidR="00A77E69" w:rsidRPr="00817B9F">
        <w:rPr>
          <w:rFonts w:cs="Times New Roman"/>
        </w:rPr>
        <w:t xml:space="preserve">plans </w:t>
      </w:r>
      <w:r w:rsidR="003703E2" w:rsidRPr="00817B9F">
        <w:rPr>
          <w:rFonts w:cs="Times New Roman"/>
        </w:rPr>
        <w:t>(1</w:t>
      </w:r>
      <w:r w:rsidR="00E92890" w:rsidRPr="00817B9F">
        <w:rPr>
          <w:rFonts w:cs="Times New Roman"/>
        </w:rPr>
        <w:t>1</w:t>
      </w:r>
      <w:r w:rsidR="003703E2" w:rsidRPr="00817B9F">
        <w:rPr>
          <w:rFonts w:cs="Times New Roman"/>
        </w:rPr>
        <w:t xml:space="preserve"> percent </w:t>
      </w:r>
      <w:r w:rsidR="00A77E69" w:rsidRPr="00817B9F">
        <w:rPr>
          <w:rFonts w:cs="Times New Roman"/>
        </w:rPr>
        <w:t>compared to</w:t>
      </w:r>
      <w:r w:rsidR="003703E2" w:rsidRPr="00817B9F">
        <w:rPr>
          <w:rFonts w:cs="Times New Roman"/>
        </w:rPr>
        <w:t xml:space="preserve"> </w:t>
      </w:r>
      <w:r w:rsidR="002B3785" w:rsidRPr="00817B9F">
        <w:rPr>
          <w:rFonts w:cs="Times New Roman"/>
        </w:rPr>
        <w:t>six</w:t>
      </w:r>
      <w:r w:rsidR="003703E2" w:rsidRPr="00817B9F">
        <w:rPr>
          <w:rFonts w:cs="Times New Roman"/>
        </w:rPr>
        <w:t xml:space="preserve"> percent).</w:t>
      </w:r>
      <w:r w:rsidR="00342EED" w:rsidRPr="00817B9F">
        <w:rPr>
          <w:rFonts w:cs="Times New Roman"/>
        </w:rPr>
        <w:t xml:space="preserve"> </w:t>
      </w:r>
    </w:p>
    <w:p w14:paraId="08F6FDE7" w14:textId="44FA78FE" w:rsidR="00FF768F" w:rsidRPr="00817B9F" w:rsidRDefault="005F038F" w:rsidP="00FF768F">
      <w:pPr>
        <w:pStyle w:val="Heading3"/>
      </w:pPr>
      <w:bookmarkStart w:id="76" w:name="_Toc90046512"/>
      <w:r w:rsidRPr="00817B9F">
        <w:t xml:space="preserve">Outpatient </w:t>
      </w:r>
      <w:r w:rsidR="00E85ACC" w:rsidRPr="00817B9F">
        <w:t>Oncology</w:t>
      </w:r>
      <w:r w:rsidRPr="00817B9F">
        <w:t xml:space="preserve"> </w:t>
      </w:r>
      <w:r w:rsidR="00C14360" w:rsidRPr="00817B9F">
        <w:t>Visits</w:t>
      </w:r>
      <w:bookmarkEnd w:id="76"/>
      <w:r w:rsidR="008E5B91" w:rsidRPr="00817B9F">
        <w:t xml:space="preserve"> </w:t>
      </w:r>
    </w:p>
    <w:p w14:paraId="6395BA4C" w14:textId="25C0B47B" w:rsidR="00EB2075" w:rsidRPr="00817B9F" w:rsidRDefault="008E5B91" w:rsidP="00177BDD">
      <w:pPr>
        <w:pStyle w:val="NumberedParagraphs"/>
      </w:pPr>
      <w:r w:rsidRPr="00817B9F">
        <w:t xml:space="preserve">Among patients who received outpatient oncology </w:t>
      </w:r>
      <w:r w:rsidR="00164865" w:rsidRPr="00817B9F">
        <w:t xml:space="preserve">services in 2018, </w:t>
      </w:r>
      <w:r w:rsidR="00117F3E" w:rsidRPr="00817B9F">
        <w:t>Figure MGH7</w:t>
      </w:r>
      <w:r w:rsidR="00CC36AA" w:rsidRPr="00817B9F">
        <w:t xml:space="preserve"> </w:t>
      </w:r>
      <w:r w:rsidR="00164865" w:rsidRPr="00817B9F">
        <w:t>summarize</w:t>
      </w:r>
      <w:r w:rsidR="00891D26" w:rsidRPr="00817B9F">
        <w:t>s</w:t>
      </w:r>
      <w:r w:rsidR="00164865" w:rsidRPr="00817B9F">
        <w:t xml:space="preserve"> the </w:t>
      </w:r>
      <w:r w:rsidR="00177BDD" w:rsidRPr="00817B9F">
        <w:t xml:space="preserve">characteristics </w:t>
      </w:r>
      <w:r w:rsidR="00164865" w:rsidRPr="00817B9F">
        <w:t xml:space="preserve">of </w:t>
      </w:r>
      <w:r w:rsidR="00177BDD" w:rsidRPr="00817B9F">
        <w:t>MGH patients</w:t>
      </w:r>
      <w:r w:rsidR="00164865" w:rsidRPr="00817B9F">
        <w:t>,</w:t>
      </w:r>
      <w:r w:rsidR="00177BDD" w:rsidRPr="00817B9F">
        <w:t xml:space="preserve"> of MGH patients </w:t>
      </w:r>
      <w:r w:rsidR="008905C2" w:rsidRPr="00817B9F">
        <w:t>who reside</w:t>
      </w:r>
      <w:r w:rsidR="005F28A0" w:rsidRPr="00817B9F">
        <w:t>d</w:t>
      </w:r>
      <w:r w:rsidR="008905C2" w:rsidRPr="00817B9F">
        <w:t xml:space="preserve"> in the hospital’s 75 percent service area, and of all patients who reside</w:t>
      </w:r>
      <w:r w:rsidR="008B6223" w:rsidRPr="00817B9F">
        <w:t>d</w:t>
      </w:r>
      <w:r w:rsidR="008905C2" w:rsidRPr="00817B9F">
        <w:t xml:space="preserve"> in the hospital’s 75 percent service area regardless of where the patient received care.</w:t>
      </w:r>
      <w:r w:rsidR="00177BDD" w:rsidRPr="00817B9F">
        <w:t xml:space="preserve"> The first column of the figure summarizes patient characteristics for all MGH patients who received outpatient </w:t>
      </w:r>
      <w:r w:rsidR="001F0211" w:rsidRPr="00817B9F">
        <w:t>oncology</w:t>
      </w:r>
      <w:r w:rsidR="00177BDD" w:rsidRPr="00817B9F">
        <w:t xml:space="preserve"> </w:t>
      </w:r>
      <w:r w:rsidR="00891D26" w:rsidRPr="00817B9F">
        <w:t>services.</w:t>
      </w:r>
      <w:r w:rsidR="00177BDD" w:rsidRPr="00817B9F">
        <w:t xml:space="preserve"> </w:t>
      </w:r>
    </w:p>
    <w:p w14:paraId="3F3BEBDB" w14:textId="77777777" w:rsidR="00EB2075" w:rsidRPr="00817B9F" w:rsidRDefault="00177BDD" w:rsidP="005D3EC9">
      <w:pPr>
        <w:pStyle w:val="BulletParagraph"/>
        <w:rPr>
          <w:rFonts w:cs="Times New Roman"/>
        </w:rPr>
      </w:pPr>
      <w:r w:rsidRPr="00817B9F">
        <w:rPr>
          <w:rFonts w:cs="Times New Roman"/>
        </w:rPr>
        <w:t>Approximately 5</w:t>
      </w:r>
      <w:r w:rsidR="00750394" w:rsidRPr="00817B9F">
        <w:rPr>
          <w:rFonts w:cs="Times New Roman"/>
        </w:rPr>
        <w:t>8</w:t>
      </w:r>
      <w:r w:rsidRPr="00817B9F">
        <w:rPr>
          <w:rFonts w:cs="Times New Roman"/>
        </w:rPr>
        <w:t xml:space="preserve"> percent of MGH patients </w:t>
      </w:r>
      <w:r w:rsidR="00336BFE" w:rsidRPr="00817B9F">
        <w:rPr>
          <w:rFonts w:cs="Times New Roman"/>
        </w:rPr>
        <w:t>were</w:t>
      </w:r>
      <w:r w:rsidRPr="00817B9F">
        <w:rPr>
          <w:rFonts w:cs="Times New Roman"/>
        </w:rPr>
        <w:t xml:space="preserve"> female. </w:t>
      </w:r>
    </w:p>
    <w:p w14:paraId="7633FB10" w14:textId="6E2A87C8" w:rsidR="00EB2075" w:rsidRPr="00817B9F" w:rsidRDefault="00F10E15" w:rsidP="005D3EC9">
      <w:pPr>
        <w:pStyle w:val="BulletParagraph"/>
        <w:rPr>
          <w:rFonts w:cs="Times New Roman"/>
        </w:rPr>
      </w:pPr>
      <w:r w:rsidRPr="00817B9F">
        <w:rPr>
          <w:rFonts w:cs="Times New Roman"/>
        </w:rPr>
        <w:t>Information on patients’</w:t>
      </w:r>
      <w:r w:rsidR="008119BE" w:rsidRPr="00817B9F">
        <w:rPr>
          <w:rFonts w:cs="Times New Roman"/>
        </w:rPr>
        <w:t xml:space="preserve"> race </w:t>
      </w:r>
      <w:r w:rsidRPr="00817B9F">
        <w:rPr>
          <w:rFonts w:cs="Times New Roman"/>
        </w:rPr>
        <w:t>and ethnicity</w:t>
      </w:r>
      <w:r w:rsidR="008119BE" w:rsidRPr="00817B9F">
        <w:rPr>
          <w:rFonts w:cs="Times New Roman"/>
        </w:rPr>
        <w:t xml:space="preserve"> is only available for Original Medicare patients, </w:t>
      </w:r>
      <w:r w:rsidR="0036708B" w:rsidRPr="00817B9F">
        <w:rPr>
          <w:rFonts w:cs="Times New Roman"/>
        </w:rPr>
        <w:t>but</w:t>
      </w:r>
      <w:r w:rsidR="008119BE" w:rsidRPr="00817B9F">
        <w:rPr>
          <w:rFonts w:cs="Times New Roman"/>
        </w:rPr>
        <w:t xml:space="preserve"> the available data indicate that </w:t>
      </w:r>
      <w:r w:rsidR="00177BDD" w:rsidRPr="00817B9F">
        <w:rPr>
          <w:rFonts w:cs="Times New Roman"/>
        </w:rPr>
        <w:t>White patients account</w:t>
      </w:r>
      <w:r w:rsidR="001429B2" w:rsidRPr="00817B9F">
        <w:rPr>
          <w:rFonts w:cs="Times New Roman"/>
        </w:rPr>
        <w:t>ed</w:t>
      </w:r>
      <w:r w:rsidR="00177BDD" w:rsidRPr="00817B9F">
        <w:rPr>
          <w:rFonts w:cs="Times New Roman"/>
        </w:rPr>
        <w:t xml:space="preserve"> for 8</w:t>
      </w:r>
      <w:r w:rsidR="00750394" w:rsidRPr="00817B9F">
        <w:rPr>
          <w:rFonts w:cs="Times New Roman"/>
        </w:rPr>
        <w:t>9</w:t>
      </w:r>
      <w:r w:rsidR="00177BDD" w:rsidRPr="00817B9F">
        <w:rPr>
          <w:rFonts w:cs="Times New Roman"/>
        </w:rPr>
        <w:t xml:space="preserve"> percent of MGH’s outpatient </w:t>
      </w:r>
      <w:r w:rsidR="000B1DE5" w:rsidRPr="00817B9F">
        <w:rPr>
          <w:rFonts w:cs="Times New Roman"/>
        </w:rPr>
        <w:t>oncology</w:t>
      </w:r>
      <w:r w:rsidR="00177BDD" w:rsidRPr="00817B9F">
        <w:rPr>
          <w:rFonts w:cs="Times New Roman"/>
        </w:rPr>
        <w:t xml:space="preserve"> </w:t>
      </w:r>
      <w:r w:rsidR="00642524" w:rsidRPr="00817B9F">
        <w:rPr>
          <w:rFonts w:cs="Times New Roman"/>
        </w:rPr>
        <w:t>patients</w:t>
      </w:r>
      <w:r w:rsidR="00177BDD" w:rsidRPr="00817B9F">
        <w:rPr>
          <w:rFonts w:cs="Times New Roman"/>
        </w:rPr>
        <w:t>. Among the remaining 1</w:t>
      </w:r>
      <w:r w:rsidR="00750394" w:rsidRPr="00817B9F">
        <w:rPr>
          <w:rFonts w:cs="Times New Roman"/>
        </w:rPr>
        <w:t>1</w:t>
      </w:r>
      <w:r w:rsidR="00177BDD" w:rsidRPr="00817B9F">
        <w:rPr>
          <w:rFonts w:cs="Times New Roman"/>
        </w:rPr>
        <w:t xml:space="preserve"> percent of </w:t>
      </w:r>
      <w:r w:rsidR="00642524" w:rsidRPr="00817B9F">
        <w:rPr>
          <w:rFonts w:cs="Times New Roman"/>
        </w:rPr>
        <w:t>patients</w:t>
      </w:r>
      <w:r w:rsidR="00177BDD" w:rsidRPr="00817B9F">
        <w:rPr>
          <w:rFonts w:cs="Times New Roman"/>
        </w:rPr>
        <w:t xml:space="preserve">, </w:t>
      </w:r>
      <w:r w:rsidR="005260CE" w:rsidRPr="00817B9F">
        <w:rPr>
          <w:rFonts w:cs="Times New Roman"/>
        </w:rPr>
        <w:t xml:space="preserve">approximately </w:t>
      </w:r>
      <w:r w:rsidR="00750394" w:rsidRPr="00817B9F">
        <w:rPr>
          <w:rFonts w:cs="Times New Roman"/>
        </w:rPr>
        <w:t>three</w:t>
      </w:r>
      <w:r w:rsidR="00177BDD" w:rsidRPr="00817B9F">
        <w:rPr>
          <w:rFonts w:cs="Times New Roman"/>
        </w:rPr>
        <w:t xml:space="preserve"> percent of patients </w:t>
      </w:r>
      <w:r w:rsidR="00BF5CA4" w:rsidRPr="00817B9F">
        <w:rPr>
          <w:rFonts w:cs="Times New Roman"/>
        </w:rPr>
        <w:t>were</w:t>
      </w:r>
      <w:r w:rsidR="00177BDD" w:rsidRPr="00817B9F">
        <w:rPr>
          <w:rFonts w:cs="Times New Roman"/>
        </w:rPr>
        <w:t xml:space="preserve"> Black, </w:t>
      </w:r>
      <w:r w:rsidR="00314B7F" w:rsidRPr="00817B9F">
        <w:rPr>
          <w:rFonts w:cs="Times New Roman"/>
        </w:rPr>
        <w:t>one</w:t>
      </w:r>
      <w:r w:rsidR="00177BDD" w:rsidRPr="00817B9F">
        <w:rPr>
          <w:rFonts w:cs="Times New Roman"/>
        </w:rPr>
        <w:t xml:space="preserve"> percent </w:t>
      </w:r>
      <w:r w:rsidR="00BF5CA4" w:rsidRPr="00817B9F">
        <w:rPr>
          <w:rFonts w:cs="Times New Roman"/>
        </w:rPr>
        <w:t>were</w:t>
      </w:r>
      <w:r w:rsidR="00177BDD" w:rsidRPr="00817B9F">
        <w:rPr>
          <w:rFonts w:cs="Times New Roman"/>
        </w:rPr>
        <w:t xml:space="preserve"> Asian/Pacific Islander/American Indian/Alaska Native, </w:t>
      </w:r>
      <w:r w:rsidR="006B53DB" w:rsidRPr="00817B9F">
        <w:rPr>
          <w:rFonts w:cs="Times New Roman"/>
        </w:rPr>
        <w:t>one</w:t>
      </w:r>
      <w:r w:rsidR="00177BDD" w:rsidRPr="00817B9F">
        <w:rPr>
          <w:rFonts w:cs="Times New Roman"/>
        </w:rPr>
        <w:t xml:space="preserve"> percent </w:t>
      </w:r>
      <w:r w:rsidR="00BF5CA4" w:rsidRPr="00817B9F">
        <w:rPr>
          <w:rFonts w:cs="Times New Roman"/>
        </w:rPr>
        <w:t>were</w:t>
      </w:r>
      <w:r w:rsidR="00177BDD" w:rsidRPr="00817B9F">
        <w:rPr>
          <w:rFonts w:cs="Times New Roman"/>
        </w:rPr>
        <w:t xml:space="preserve"> Hispanic, and </w:t>
      </w:r>
      <w:r w:rsidR="006B53DB" w:rsidRPr="00817B9F">
        <w:rPr>
          <w:rFonts w:cs="Times New Roman"/>
        </w:rPr>
        <w:t>five</w:t>
      </w:r>
      <w:r w:rsidR="00177BDD" w:rsidRPr="00817B9F">
        <w:rPr>
          <w:rFonts w:cs="Times New Roman"/>
        </w:rPr>
        <w:t xml:space="preserve"> percent </w:t>
      </w:r>
      <w:r w:rsidR="00BF5CA4" w:rsidRPr="00817B9F">
        <w:rPr>
          <w:rFonts w:cs="Times New Roman"/>
        </w:rPr>
        <w:t>were</w:t>
      </w:r>
      <w:r w:rsidR="00177BDD" w:rsidRPr="00817B9F">
        <w:rPr>
          <w:rFonts w:cs="Times New Roman"/>
        </w:rPr>
        <w:t xml:space="preserve"> </w:t>
      </w:r>
      <w:r w:rsidRPr="00817B9F">
        <w:rPr>
          <w:rFonts w:cs="Times New Roman"/>
        </w:rPr>
        <w:t xml:space="preserve">of </w:t>
      </w:r>
      <w:r w:rsidR="00177BDD" w:rsidRPr="00817B9F">
        <w:rPr>
          <w:rFonts w:cs="Times New Roman"/>
        </w:rPr>
        <w:t xml:space="preserve">other or unknown race. </w:t>
      </w:r>
    </w:p>
    <w:p w14:paraId="51DE352A" w14:textId="5EF69FF6" w:rsidR="00EB2075" w:rsidRPr="00817B9F" w:rsidRDefault="00177BDD" w:rsidP="005D3EC9">
      <w:pPr>
        <w:pStyle w:val="BulletParagraph"/>
        <w:rPr>
          <w:rFonts w:cs="Times New Roman"/>
        </w:rPr>
      </w:pPr>
      <w:r w:rsidRPr="00817B9F">
        <w:rPr>
          <w:rFonts w:cs="Times New Roman"/>
        </w:rPr>
        <w:t xml:space="preserve">The figure also shows the distribution of ages for MGH outpatient </w:t>
      </w:r>
      <w:r w:rsidR="006B53DB" w:rsidRPr="00817B9F">
        <w:rPr>
          <w:rFonts w:cs="Times New Roman"/>
        </w:rPr>
        <w:t>oncology</w:t>
      </w:r>
      <w:r w:rsidRPr="00817B9F">
        <w:rPr>
          <w:rFonts w:cs="Times New Roman"/>
        </w:rPr>
        <w:t xml:space="preserve"> patients. Approximately 5</w:t>
      </w:r>
      <w:r w:rsidR="00642524" w:rsidRPr="00817B9F">
        <w:rPr>
          <w:rFonts w:cs="Times New Roman"/>
        </w:rPr>
        <w:t>4</w:t>
      </w:r>
      <w:r w:rsidRPr="00817B9F">
        <w:rPr>
          <w:rFonts w:cs="Times New Roman"/>
        </w:rPr>
        <w:t xml:space="preserve"> percent of MGH’s patients </w:t>
      </w:r>
      <w:r w:rsidR="00302F6D" w:rsidRPr="00817B9F">
        <w:rPr>
          <w:rFonts w:cs="Times New Roman"/>
        </w:rPr>
        <w:t>were</w:t>
      </w:r>
      <w:r w:rsidRPr="00817B9F">
        <w:rPr>
          <w:rFonts w:cs="Times New Roman"/>
        </w:rPr>
        <w:t xml:space="preserve"> 65 </w:t>
      </w:r>
      <w:r w:rsidR="00995008" w:rsidRPr="00817B9F">
        <w:rPr>
          <w:rFonts w:cs="Times New Roman"/>
        </w:rPr>
        <w:t>and</w:t>
      </w:r>
      <w:r w:rsidRPr="00817B9F">
        <w:rPr>
          <w:rFonts w:cs="Times New Roman"/>
        </w:rPr>
        <w:t xml:space="preserve"> older and approximately 2</w:t>
      </w:r>
      <w:r w:rsidR="00D74D6D" w:rsidRPr="00817B9F">
        <w:rPr>
          <w:rFonts w:cs="Times New Roman"/>
        </w:rPr>
        <w:t>7</w:t>
      </w:r>
      <w:r w:rsidRPr="00817B9F">
        <w:rPr>
          <w:rFonts w:cs="Times New Roman"/>
        </w:rPr>
        <w:t xml:space="preserve"> percent </w:t>
      </w:r>
      <w:r w:rsidR="00302F6D" w:rsidRPr="00817B9F">
        <w:rPr>
          <w:rFonts w:cs="Times New Roman"/>
        </w:rPr>
        <w:t>were</w:t>
      </w:r>
      <w:r w:rsidRPr="00817B9F">
        <w:rPr>
          <w:rFonts w:cs="Times New Roman"/>
        </w:rPr>
        <w:t xml:space="preserve"> between </w:t>
      </w:r>
      <w:r w:rsidR="00BC34DF" w:rsidRPr="00817B9F">
        <w:rPr>
          <w:rFonts w:cs="Times New Roman"/>
        </w:rPr>
        <w:t xml:space="preserve">the ages of </w:t>
      </w:r>
      <w:r w:rsidRPr="00817B9F">
        <w:rPr>
          <w:rFonts w:cs="Times New Roman"/>
        </w:rPr>
        <w:t xml:space="preserve">50 and 64. </w:t>
      </w:r>
    </w:p>
    <w:p w14:paraId="3FFE88B7" w14:textId="366167F7" w:rsidR="00177BDD" w:rsidRPr="00817B9F" w:rsidRDefault="00177BDD" w:rsidP="005D3EC9">
      <w:pPr>
        <w:pStyle w:val="BulletParagraph"/>
        <w:rPr>
          <w:rFonts w:cs="Times New Roman"/>
        </w:rPr>
      </w:pPr>
      <w:r w:rsidRPr="00817B9F">
        <w:rPr>
          <w:rFonts w:cs="Times New Roman"/>
        </w:rPr>
        <w:t xml:space="preserve">For insurance coverage, approximately </w:t>
      </w:r>
      <w:r w:rsidR="00261969" w:rsidRPr="00817B9F">
        <w:rPr>
          <w:rFonts w:cs="Times New Roman"/>
        </w:rPr>
        <w:t>45</w:t>
      </w:r>
      <w:r w:rsidRPr="00817B9F">
        <w:rPr>
          <w:rFonts w:cs="Times New Roman"/>
        </w:rPr>
        <w:t xml:space="preserve"> percent of patients </w:t>
      </w:r>
      <w:r w:rsidR="005579AB" w:rsidRPr="00817B9F">
        <w:rPr>
          <w:rFonts w:cs="Times New Roman"/>
        </w:rPr>
        <w:t>were covered by</w:t>
      </w:r>
      <w:r w:rsidRPr="00817B9F">
        <w:rPr>
          <w:rFonts w:cs="Times New Roman"/>
        </w:rPr>
        <w:t xml:space="preserve"> Original Medicare, </w:t>
      </w:r>
      <w:r w:rsidR="00261969" w:rsidRPr="00817B9F">
        <w:rPr>
          <w:rFonts w:cs="Times New Roman"/>
        </w:rPr>
        <w:t>36</w:t>
      </w:r>
      <w:r w:rsidRPr="00817B9F">
        <w:rPr>
          <w:rFonts w:cs="Times New Roman"/>
        </w:rPr>
        <w:t xml:space="preserve"> percent ha</w:t>
      </w:r>
      <w:r w:rsidR="00F814B2" w:rsidRPr="00817B9F">
        <w:rPr>
          <w:rFonts w:cs="Times New Roman"/>
        </w:rPr>
        <w:t>d</w:t>
      </w:r>
      <w:r w:rsidRPr="00817B9F">
        <w:rPr>
          <w:rFonts w:cs="Times New Roman"/>
        </w:rPr>
        <w:t xml:space="preserve"> </w:t>
      </w:r>
      <w:r w:rsidR="00F814B2" w:rsidRPr="00817B9F">
        <w:rPr>
          <w:rFonts w:cs="Times New Roman"/>
        </w:rPr>
        <w:t>c</w:t>
      </w:r>
      <w:r w:rsidRPr="00817B9F">
        <w:rPr>
          <w:rFonts w:cs="Times New Roman"/>
        </w:rPr>
        <w:t xml:space="preserve">ommercial </w:t>
      </w:r>
      <w:r w:rsidR="00F814B2" w:rsidRPr="00817B9F">
        <w:rPr>
          <w:rFonts w:cs="Times New Roman"/>
        </w:rPr>
        <w:t>i</w:t>
      </w:r>
      <w:r w:rsidRPr="00817B9F">
        <w:rPr>
          <w:rFonts w:cs="Times New Roman"/>
        </w:rPr>
        <w:t xml:space="preserve">nsurance (which will include some Health Connector Authority plans), </w:t>
      </w:r>
      <w:r w:rsidR="008E5FB3" w:rsidRPr="00817B9F">
        <w:rPr>
          <w:rFonts w:cs="Times New Roman"/>
        </w:rPr>
        <w:t>one</w:t>
      </w:r>
      <w:r w:rsidRPr="00817B9F">
        <w:rPr>
          <w:rFonts w:cs="Times New Roman"/>
        </w:rPr>
        <w:t xml:space="preserve"> percent ha</w:t>
      </w:r>
      <w:r w:rsidR="00F814B2" w:rsidRPr="00817B9F">
        <w:rPr>
          <w:rFonts w:cs="Times New Roman"/>
        </w:rPr>
        <w:t>d</w:t>
      </w:r>
      <w:r w:rsidRPr="00817B9F">
        <w:rPr>
          <w:rFonts w:cs="Times New Roman"/>
        </w:rPr>
        <w:t xml:space="preserve"> MassHealth </w:t>
      </w:r>
      <w:r w:rsidR="00F814B2" w:rsidRPr="00817B9F">
        <w:rPr>
          <w:rFonts w:cs="Times New Roman"/>
        </w:rPr>
        <w:t>n</w:t>
      </w:r>
      <w:r w:rsidR="00ED7AC2" w:rsidRPr="00817B9F">
        <w:rPr>
          <w:rFonts w:cs="Times New Roman"/>
        </w:rPr>
        <w:t>on-</w:t>
      </w:r>
      <w:r w:rsidR="00F814B2" w:rsidRPr="00817B9F">
        <w:rPr>
          <w:rFonts w:cs="Times New Roman"/>
        </w:rPr>
        <w:t>m</w:t>
      </w:r>
      <w:r w:rsidRPr="00817B9F">
        <w:rPr>
          <w:rFonts w:cs="Times New Roman"/>
        </w:rPr>
        <w:t xml:space="preserve">anaged </w:t>
      </w:r>
      <w:r w:rsidR="00F814B2" w:rsidRPr="00817B9F">
        <w:rPr>
          <w:rFonts w:cs="Times New Roman"/>
        </w:rPr>
        <w:t>c</w:t>
      </w:r>
      <w:r w:rsidRPr="00817B9F">
        <w:rPr>
          <w:rFonts w:cs="Times New Roman"/>
        </w:rPr>
        <w:t>are</w:t>
      </w:r>
      <w:r w:rsidR="005579AB" w:rsidRPr="00817B9F">
        <w:rPr>
          <w:rFonts w:cs="Times New Roman"/>
        </w:rPr>
        <w:t xml:space="preserve"> coverage</w:t>
      </w:r>
      <w:r w:rsidRPr="00817B9F">
        <w:rPr>
          <w:rFonts w:cs="Times New Roman"/>
        </w:rPr>
        <w:t xml:space="preserve">, </w:t>
      </w:r>
      <w:r w:rsidR="008E5FB3" w:rsidRPr="00817B9F">
        <w:rPr>
          <w:rFonts w:cs="Times New Roman"/>
        </w:rPr>
        <w:t>seven percent had</w:t>
      </w:r>
      <w:r w:rsidRPr="00817B9F">
        <w:rPr>
          <w:rFonts w:cs="Times New Roman"/>
        </w:rPr>
        <w:t xml:space="preserve"> MassHealth </w:t>
      </w:r>
      <w:r w:rsidR="00F814B2" w:rsidRPr="00817B9F">
        <w:rPr>
          <w:rFonts w:cs="Times New Roman"/>
        </w:rPr>
        <w:t>m</w:t>
      </w:r>
      <w:r w:rsidRPr="00817B9F">
        <w:rPr>
          <w:rFonts w:cs="Times New Roman"/>
        </w:rPr>
        <w:t xml:space="preserve">anaged </w:t>
      </w:r>
      <w:r w:rsidR="00F814B2" w:rsidRPr="00817B9F">
        <w:rPr>
          <w:rFonts w:cs="Times New Roman"/>
        </w:rPr>
        <w:t>c</w:t>
      </w:r>
      <w:r w:rsidRPr="00817B9F">
        <w:rPr>
          <w:rFonts w:cs="Times New Roman"/>
        </w:rPr>
        <w:t>are</w:t>
      </w:r>
      <w:r w:rsidR="005579AB" w:rsidRPr="00817B9F">
        <w:rPr>
          <w:rFonts w:cs="Times New Roman"/>
        </w:rPr>
        <w:t xml:space="preserve"> plan</w:t>
      </w:r>
      <w:r w:rsidRPr="00817B9F">
        <w:rPr>
          <w:rFonts w:cs="Times New Roman"/>
        </w:rPr>
        <w:t xml:space="preserve">, </w:t>
      </w:r>
      <w:r w:rsidR="00760E5C" w:rsidRPr="00817B9F">
        <w:rPr>
          <w:rFonts w:cs="Times New Roman"/>
        </w:rPr>
        <w:t>eight</w:t>
      </w:r>
      <w:r w:rsidRPr="00817B9F">
        <w:rPr>
          <w:rFonts w:cs="Times New Roman"/>
        </w:rPr>
        <w:t xml:space="preserve"> percent ha</w:t>
      </w:r>
      <w:r w:rsidR="00F814B2" w:rsidRPr="00817B9F">
        <w:rPr>
          <w:rFonts w:cs="Times New Roman"/>
        </w:rPr>
        <w:t>d</w:t>
      </w:r>
      <w:r w:rsidRPr="00817B9F">
        <w:rPr>
          <w:rFonts w:cs="Times New Roman"/>
        </w:rPr>
        <w:t xml:space="preserve"> Medicare </w:t>
      </w:r>
      <w:r w:rsidR="00F814B2" w:rsidRPr="00817B9F">
        <w:rPr>
          <w:rFonts w:cs="Times New Roman"/>
        </w:rPr>
        <w:t>h</w:t>
      </w:r>
      <w:r w:rsidRPr="00817B9F">
        <w:rPr>
          <w:rFonts w:cs="Times New Roman"/>
        </w:rPr>
        <w:t xml:space="preserve">ealth </w:t>
      </w:r>
      <w:r w:rsidR="00F814B2" w:rsidRPr="00817B9F">
        <w:rPr>
          <w:rFonts w:cs="Times New Roman"/>
        </w:rPr>
        <w:t>p</w:t>
      </w:r>
      <w:r w:rsidRPr="00817B9F">
        <w:rPr>
          <w:rFonts w:cs="Times New Roman"/>
        </w:rPr>
        <w:t>lans, and three percent ha</w:t>
      </w:r>
      <w:r w:rsidR="00F814B2" w:rsidRPr="00817B9F">
        <w:rPr>
          <w:rFonts w:cs="Times New Roman"/>
        </w:rPr>
        <w:t>d</w:t>
      </w:r>
      <w:r w:rsidRPr="00817B9F">
        <w:rPr>
          <w:rFonts w:cs="Times New Roman"/>
        </w:rPr>
        <w:t xml:space="preserve"> other coverage (</w:t>
      </w:r>
      <w:r w:rsidRPr="00817B9F">
        <w:rPr>
          <w:rFonts w:cs="Times New Roman"/>
          <w:i/>
          <w:iCs/>
        </w:rPr>
        <w:t>e.g.</w:t>
      </w:r>
      <w:r w:rsidRPr="00817B9F">
        <w:rPr>
          <w:rFonts w:cs="Times New Roman"/>
        </w:rPr>
        <w:t>, self</w:t>
      </w:r>
      <w:r w:rsidR="004C56FA" w:rsidRPr="00817B9F">
        <w:rPr>
          <w:rFonts w:cs="Times New Roman"/>
        </w:rPr>
        <w:t>-</w:t>
      </w:r>
      <w:r w:rsidRPr="00817B9F">
        <w:rPr>
          <w:rFonts w:cs="Times New Roman"/>
        </w:rPr>
        <w:t xml:space="preserve">pay patients, other government insurance, disability, etc.). </w:t>
      </w:r>
    </w:p>
    <w:p w14:paraId="22CFBD02" w14:textId="77A01A27" w:rsidR="00177BDD" w:rsidRPr="00817B9F" w:rsidRDefault="00177BDD" w:rsidP="00177BDD">
      <w:pPr>
        <w:pStyle w:val="NumberedParagraphs"/>
      </w:pPr>
      <w:r w:rsidRPr="00817B9F">
        <w:t xml:space="preserve">The second column of the figure summarizes patient characteristics for those MGH outpatient </w:t>
      </w:r>
      <w:r w:rsidR="004156DB" w:rsidRPr="00817B9F">
        <w:t>oncology</w:t>
      </w:r>
      <w:r w:rsidRPr="00817B9F">
        <w:t xml:space="preserve"> patients who reside</w:t>
      </w:r>
      <w:r w:rsidR="00D42058" w:rsidRPr="00817B9F">
        <w:t>d</w:t>
      </w:r>
      <w:r w:rsidRPr="00817B9F">
        <w:t xml:space="preserve"> in the hospital’s 75 percent service area. This area is </w:t>
      </w:r>
      <w:r w:rsidRPr="00817B9F">
        <w:lastRenderedPageBreak/>
        <w:t>created by identifying the smallest set of ZIP Codes that comprise</w:t>
      </w:r>
      <w:r w:rsidR="00C96778" w:rsidRPr="00817B9F">
        <w:t>d</w:t>
      </w:r>
      <w:r w:rsidRPr="00817B9F">
        <w:t xml:space="preserve"> at least 75 percent of MGH’s outpatient </w:t>
      </w:r>
      <w:r w:rsidR="00427354" w:rsidRPr="00817B9F">
        <w:t>oncology</w:t>
      </w:r>
      <w:r w:rsidRPr="00817B9F">
        <w:t xml:space="preserve"> </w:t>
      </w:r>
      <w:r w:rsidR="005579AB" w:rsidRPr="00817B9F">
        <w:t>visits</w:t>
      </w:r>
      <w:r w:rsidRPr="00817B9F">
        <w:t xml:space="preserve">. MGH’s 75 percent service area is shown in Figure </w:t>
      </w:r>
      <w:r w:rsidR="00117F3E" w:rsidRPr="00817B9F">
        <w:t>MGH8</w:t>
      </w:r>
      <w:r w:rsidRPr="00817B9F">
        <w:t>.</w:t>
      </w:r>
      <w:r w:rsidR="00CC542C" w:rsidRPr="00817B9F">
        <w:rPr>
          <w:rStyle w:val="FootnoteReference"/>
        </w:rPr>
        <w:footnoteReference w:id="117"/>
      </w:r>
    </w:p>
    <w:p w14:paraId="26A02FD4" w14:textId="7CF19298" w:rsidR="00EB2075" w:rsidRPr="00817B9F" w:rsidRDefault="00177BDD" w:rsidP="00A27A65">
      <w:pPr>
        <w:pStyle w:val="NumberedParagraphs"/>
      </w:pPr>
      <w:r w:rsidRPr="00817B9F">
        <w:t xml:space="preserve">The third column of </w:t>
      </w:r>
      <w:r w:rsidR="002C19F2" w:rsidRPr="00817B9F">
        <w:t>Figure MGH7</w:t>
      </w:r>
      <w:r w:rsidR="003462CF" w:rsidRPr="00817B9F">
        <w:t xml:space="preserve"> </w:t>
      </w:r>
      <w:r w:rsidRPr="00817B9F">
        <w:t xml:space="preserve">provides a summary of the characteristics </w:t>
      </w:r>
      <w:r w:rsidR="00C14360" w:rsidRPr="00817B9F">
        <w:t>of</w:t>
      </w:r>
      <w:r w:rsidRPr="00817B9F">
        <w:t xml:space="preserve"> all patients </w:t>
      </w:r>
      <w:r w:rsidR="00C14360" w:rsidRPr="00817B9F">
        <w:t>who received</w:t>
      </w:r>
      <w:r w:rsidRPr="00817B9F">
        <w:t xml:space="preserve"> outpatient </w:t>
      </w:r>
      <w:r w:rsidR="00427354" w:rsidRPr="00817B9F">
        <w:t>oncology</w:t>
      </w:r>
      <w:r w:rsidRPr="00817B9F">
        <w:t xml:space="preserve"> </w:t>
      </w:r>
      <w:r w:rsidR="00C14360" w:rsidRPr="00817B9F">
        <w:t xml:space="preserve">care and who </w:t>
      </w:r>
      <w:r w:rsidR="00531F64" w:rsidRPr="00817B9F">
        <w:t>reside</w:t>
      </w:r>
      <w:r w:rsidR="00076E98" w:rsidRPr="00817B9F">
        <w:t>d</w:t>
      </w:r>
      <w:r w:rsidRPr="00817B9F">
        <w:t xml:space="preserve"> </w:t>
      </w:r>
      <w:r w:rsidR="00C14360" w:rsidRPr="00817B9F">
        <w:t>in</w:t>
      </w:r>
      <w:r w:rsidRPr="00817B9F">
        <w:t xml:space="preserve"> MGH’s 75 percent service area</w:t>
      </w:r>
      <w:r w:rsidR="00C14360" w:rsidRPr="00817B9F">
        <w:t xml:space="preserve"> (regardless of which health care provider those patients chose)</w:t>
      </w:r>
      <w:r w:rsidRPr="00817B9F">
        <w:t xml:space="preserve">. </w:t>
      </w:r>
      <w:r w:rsidR="00035348" w:rsidRPr="00817B9F">
        <w:t xml:space="preserve">Broadly speaking, the profiles of </w:t>
      </w:r>
      <w:r w:rsidR="00CE0F4C" w:rsidRPr="00817B9F">
        <w:t>MGH’s</w:t>
      </w:r>
      <w:r w:rsidRPr="00817B9F">
        <w:t xml:space="preserve"> patients </w:t>
      </w:r>
      <w:r w:rsidR="00035348" w:rsidRPr="00817B9F">
        <w:t>who reside</w:t>
      </w:r>
      <w:r w:rsidR="006A75E3" w:rsidRPr="00817B9F">
        <w:t>d</w:t>
      </w:r>
      <w:r w:rsidRPr="00817B9F">
        <w:t xml:space="preserve"> in the </w:t>
      </w:r>
      <w:r w:rsidR="00035348" w:rsidRPr="00817B9F">
        <w:t>hospital’s</w:t>
      </w:r>
      <w:r w:rsidRPr="00817B9F">
        <w:t xml:space="preserve"> 75 percent service area </w:t>
      </w:r>
      <w:r w:rsidR="00035348" w:rsidRPr="00817B9F">
        <w:t xml:space="preserve">and </w:t>
      </w:r>
      <w:r w:rsidR="00C14360" w:rsidRPr="00817B9F">
        <w:t xml:space="preserve">the </w:t>
      </w:r>
      <w:r w:rsidR="00035348" w:rsidRPr="00817B9F">
        <w:t>profiles of all patients w</w:t>
      </w:r>
      <w:r w:rsidR="00CE0F4C" w:rsidRPr="00817B9F">
        <w:t>ho reside</w:t>
      </w:r>
      <w:r w:rsidR="006A75E3" w:rsidRPr="00817B9F">
        <w:t>d</w:t>
      </w:r>
      <w:r w:rsidR="00CE0F4C" w:rsidRPr="00817B9F">
        <w:t xml:space="preserve"> in that area </w:t>
      </w:r>
      <w:r w:rsidR="00C14360" w:rsidRPr="00817B9F">
        <w:t xml:space="preserve">were </w:t>
      </w:r>
      <w:r w:rsidR="00CE0F4C" w:rsidRPr="00817B9F">
        <w:t>similar, although we note several</w:t>
      </w:r>
      <w:r w:rsidRPr="00817B9F">
        <w:t xml:space="preserve"> differences</w:t>
      </w:r>
      <w:r w:rsidR="00C14360" w:rsidRPr="00817B9F">
        <w:t xml:space="preserve"> </w:t>
      </w:r>
      <w:r w:rsidR="00F53F69" w:rsidRPr="00817B9F">
        <w:t>below</w:t>
      </w:r>
      <w:r w:rsidRPr="00817B9F">
        <w:t>.</w:t>
      </w:r>
    </w:p>
    <w:p w14:paraId="6924251C" w14:textId="18B5FF8C" w:rsidR="00EB2075" w:rsidRPr="00817B9F" w:rsidRDefault="00CE0F4C" w:rsidP="005D3EC9">
      <w:pPr>
        <w:pStyle w:val="BulletParagraph"/>
        <w:rPr>
          <w:rFonts w:cs="Times New Roman"/>
        </w:rPr>
      </w:pPr>
      <w:r w:rsidRPr="00817B9F">
        <w:rPr>
          <w:rFonts w:cs="Times New Roman"/>
        </w:rPr>
        <w:t>Relative to MGH’s patients</w:t>
      </w:r>
      <w:r w:rsidR="00535562" w:rsidRPr="00817B9F">
        <w:rPr>
          <w:rFonts w:cs="Times New Roman"/>
        </w:rPr>
        <w:t xml:space="preserve"> in its 75 percent service area</w:t>
      </w:r>
      <w:r w:rsidRPr="00817B9F">
        <w:rPr>
          <w:rFonts w:cs="Times New Roman"/>
        </w:rPr>
        <w:t>, patients in MGH’s</w:t>
      </w:r>
      <w:r w:rsidR="00177BDD" w:rsidRPr="00817B9F">
        <w:rPr>
          <w:rFonts w:cs="Times New Roman"/>
        </w:rPr>
        <w:t xml:space="preserve"> service area </w:t>
      </w:r>
      <w:r w:rsidRPr="00817B9F">
        <w:rPr>
          <w:rFonts w:cs="Times New Roman"/>
        </w:rPr>
        <w:t>(regardless</w:t>
      </w:r>
      <w:r w:rsidR="00177BDD" w:rsidRPr="00817B9F">
        <w:rPr>
          <w:rFonts w:cs="Times New Roman"/>
        </w:rPr>
        <w:t xml:space="preserve"> of </w:t>
      </w:r>
      <w:r w:rsidRPr="00817B9F">
        <w:rPr>
          <w:rFonts w:cs="Times New Roman"/>
        </w:rPr>
        <w:t xml:space="preserve">which </w:t>
      </w:r>
      <w:r w:rsidR="002E31DB" w:rsidRPr="00817B9F">
        <w:rPr>
          <w:rFonts w:cs="Times New Roman"/>
        </w:rPr>
        <w:t>provider</w:t>
      </w:r>
      <w:r w:rsidRPr="00817B9F">
        <w:rPr>
          <w:rFonts w:cs="Times New Roman"/>
        </w:rPr>
        <w:t xml:space="preserve"> they chose) were more likely </w:t>
      </w:r>
      <w:r w:rsidR="00D81A1A" w:rsidRPr="00817B9F">
        <w:rPr>
          <w:rFonts w:cs="Times New Roman"/>
        </w:rPr>
        <w:t>to be</w:t>
      </w:r>
      <w:r w:rsidR="00177BDD" w:rsidRPr="00817B9F">
        <w:rPr>
          <w:rFonts w:cs="Times New Roman"/>
        </w:rPr>
        <w:t xml:space="preserve"> female (</w:t>
      </w:r>
      <w:r w:rsidR="00016E9B" w:rsidRPr="00817B9F">
        <w:rPr>
          <w:rFonts w:cs="Times New Roman"/>
        </w:rPr>
        <w:t>62</w:t>
      </w:r>
      <w:r w:rsidR="00177BDD" w:rsidRPr="00817B9F">
        <w:rPr>
          <w:rFonts w:cs="Times New Roman"/>
        </w:rPr>
        <w:t xml:space="preserve"> percent </w:t>
      </w:r>
      <w:r w:rsidR="002E31DB" w:rsidRPr="00817B9F">
        <w:rPr>
          <w:rFonts w:cs="Times New Roman"/>
        </w:rPr>
        <w:t>compared to</w:t>
      </w:r>
      <w:r w:rsidR="00177BDD" w:rsidRPr="00817B9F">
        <w:rPr>
          <w:rFonts w:cs="Times New Roman"/>
        </w:rPr>
        <w:t xml:space="preserve"> 5</w:t>
      </w:r>
      <w:r w:rsidR="00016E9B" w:rsidRPr="00817B9F">
        <w:rPr>
          <w:rFonts w:cs="Times New Roman"/>
        </w:rPr>
        <w:t>8</w:t>
      </w:r>
      <w:r w:rsidR="00177BDD" w:rsidRPr="00817B9F">
        <w:rPr>
          <w:rFonts w:cs="Times New Roman"/>
        </w:rPr>
        <w:t xml:space="preserve"> percent) and </w:t>
      </w:r>
      <w:r w:rsidR="00D81A1A" w:rsidRPr="00817B9F">
        <w:rPr>
          <w:rFonts w:cs="Times New Roman"/>
        </w:rPr>
        <w:t>were</w:t>
      </w:r>
      <w:r w:rsidR="00177BDD" w:rsidRPr="00817B9F">
        <w:rPr>
          <w:rFonts w:cs="Times New Roman"/>
        </w:rPr>
        <w:t xml:space="preserve"> </w:t>
      </w:r>
      <w:r w:rsidR="00D81A1A" w:rsidRPr="00817B9F">
        <w:rPr>
          <w:rFonts w:cs="Times New Roman"/>
        </w:rPr>
        <w:t>slightly</w:t>
      </w:r>
      <w:r w:rsidR="009E0B32" w:rsidRPr="00817B9F">
        <w:rPr>
          <w:rFonts w:cs="Times New Roman"/>
        </w:rPr>
        <w:t xml:space="preserve"> </w:t>
      </w:r>
      <w:r w:rsidR="00177BDD" w:rsidRPr="00817B9F">
        <w:rPr>
          <w:rFonts w:cs="Times New Roman"/>
        </w:rPr>
        <w:t>more likely to be Black (</w:t>
      </w:r>
      <w:r w:rsidR="009E0B32" w:rsidRPr="00817B9F">
        <w:rPr>
          <w:rFonts w:cs="Times New Roman"/>
        </w:rPr>
        <w:t>four</w:t>
      </w:r>
      <w:r w:rsidR="00177BDD" w:rsidRPr="00817B9F">
        <w:rPr>
          <w:rFonts w:cs="Times New Roman"/>
        </w:rPr>
        <w:t xml:space="preserve"> percent </w:t>
      </w:r>
      <w:r w:rsidR="002E31DB" w:rsidRPr="00817B9F">
        <w:rPr>
          <w:rFonts w:cs="Times New Roman"/>
        </w:rPr>
        <w:t>compared to</w:t>
      </w:r>
      <w:r w:rsidR="00177BDD" w:rsidRPr="00817B9F">
        <w:rPr>
          <w:rFonts w:cs="Times New Roman"/>
        </w:rPr>
        <w:t xml:space="preserve"> </w:t>
      </w:r>
      <w:r w:rsidR="009E0B32" w:rsidRPr="00817B9F">
        <w:rPr>
          <w:rFonts w:cs="Times New Roman"/>
        </w:rPr>
        <w:t>three</w:t>
      </w:r>
      <w:r w:rsidR="00177BDD" w:rsidRPr="00817B9F">
        <w:rPr>
          <w:rFonts w:cs="Times New Roman"/>
        </w:rPr>
        <w:t xml:space="preserve"> percent). </w:t>
      </w:r>
    </w:p>
    <w:p w14:paraId="0AAB8E18" w14:textId="38BF4924" w:rsidR="00100F22" w:rsidRPr="00817B9F" w:rsidRDefault="00100F22" w:rsidP="005D3EC9">
      <w:pPr>
        <w:pStyle w:val="BulletParagraph"/>
        <w:rPr>
          <w:rFonts w:cs="Times New Roman"/>
        </w:rPr>
      </w:pPr>
      <w:r w:rsidRPr="00817B9F">
        <w:rPr>
          <w:rFonts w:cs="Times New Roman"/>
        </w:rPr>
        <w:t>The age distribution of MGH’s patients was similar to the age distribution of patients who resided in the hospital’s service area, although the latter group of patients were less likely to be age 65 and older (48 percent compared to 52 percent).</w:t>
      </w:r>
    </w:p>
    <w:p w14:paraId="5DF2D836" w14:textId="096BAAD3" w:rsidR="00EB2075" w:rsidRPr="00817B9F" w:rsidRDefault="00B37EDB" w:rsidP="005D3EC9">
      <w:pPr>
        <w:pStyle w:val="BulletParagraph"/>
        <w:rPr>
          <w:rFonts w:cs="Times New Roman"/>
        </w:rPr>
      </w:pPr>
      <w:r w:rsidRPr="00817B9F">
        <w:rPr>
          <w:rFonts w:cs="Times New Roman"/>
        </w:rPr>
        <w:t>T</w:t>
      </w:r>
      <w:r w:rsidR="00177BDD" w:rsidRPr="00817B9F">
        <w:rPr>
          <w:rFonts w:cs="Times New Roman"/>
        </w:rPr>
        <w:t xml:space="preserve">he broader population </w:t>
      </w:r>
      <w:r w:rsidR="00363FC5" w:rsidRPr="00817B9F">
        <w:rPr>
          <w:rFonts w:cs="Times New Roman"/>
        </w:rPr>
        <w:t>was</w:t>
      </w:r>
      <w:r w:rsidR="00177BDD" w:rsidRPr="00817B9F">
        <w:rPr>
          <w:rFonts w:cs="Times New Roman"/>
        </w:rPr>
        <w:t xml:space="preserve"> less likely to </w:t>
      </w:r>
      <w:r w:rsidR="002E31DB" w:rsidRPr="00817B9F">
        <w:rPr>
          <w:rFonts w:cs="Times New Roman"/>
        </w:rPr>
        <w:t>be covered by</w:t>
      </w:r>
      <w:r w:rsidR="00177BDD" w:rsidRPr="00817B9F">
        <w:rPr>
          <w:rFonts w:cs="Times New Roman"/>
        </w:rPr>
        <w:t xml:space="preserve"> Origin</w:t>
      </w:r>
      <w:r w:rsidR="002A1963" w:rsidRPr="00817B9F">
        <w:rPr>
          <w:rFonts w:cs="Times New Roman"/>
        </w:rPr>
        <w:t>a</w:t>
      </w:r>
      <w:r w:rsidR="00177BDD" w:rsidRPr="00817B9F">
        <w:rPr>
          <w:rFonts w:cs="Times New Roman"/>
        </w:rPr>
        <w:t>l Medicare (</w:t>
      </w:r>
      <w:r w:rsidR="005D253A" w:rsidRPr="00817B9F">
        <w:rPr>
          <w:rFonts w:cs="Times New Roman"/>
        </w:rPr>
        <w:t>36</w:t>
      </w:r>
      <w:r w:rsidR="00177BDD" w:rsidRPr="00817B9F">
        <w:rPr>
          <w:rFonts w:cs="Times New Roman"/>
        </w:rPr>
        <w:t xml:space="preserve"> percent </w:t>
      </w:r>
      <w:r w:rsidR="002E31DB" w:rsidRPr="00817B9F">
        <w:rPr>
          <w:rFonts w:cs="Times New Roman"/>
        </w:rPr>
        <w:t>compared to</w:t>
      </w:r>
      <w:r w:rsidR="00177BDD" w:rsidRPr="00817B9F">
        <w:rPr>
          <w:rFonts w:cs="Times New Roman"/>
        </w:rPr>
        <w:t xml:space="preserve"> </w:t>
      </w:r>
      <w:r w:rsidR="005D253A" w:rsidRPr="00817B9F">
        <w:rPr>
          <w:rFonts w:cs="Times New Roman"/>
        </w:rPr>
        <w:t>4</w:t>
      </w:r>
      <w:r w:rsidR="00177BDD" w:rsidRPr="00817B9F">
        <w:rPr>
          <w:rFonts w:cs="Times New Roman"/>
        </w:rPr>
        <w:t xml:space="preserve">3 percent) and </w:t>
      </w:r>
      <w:r w:rsidR="00E0037B" w:rsidRPr="00817B9F">
        <w:rPr>
          <w:rFonts w:cs="Times New Roman"/>
        </w:rPr>
        <w:t>was</w:t>
      </w:r>
      <w:r w:rsidR="00177BDD" w:rsidRPr="00817B9F">
        <w:rPr>
          <w:rFonts w:cs="Times New Roman"/>
        </w:rPr>
        <w:t xml:space="preserve"> </w:t>
      </w:r>
      <w:r w:rsidR="002E31DB" w:rsidRPr="00817B9F">
        <w:rPr>
          <w:rFonts w:cs="Times New Roman"/>
        </w:rPr>
        <w:t xml:space="preserve">somewhat </w:t>
      </w:r>
      <w:r w:rsidR="00177BDD" w:rsidRPr="00817B9F">
        <w:rPr>
          <w:rFonts w:cs="Times New Roman"/>
        </w:rPr>
        <w:t xml:space="preserve">more likely to be covered by MassHealth </w:t>
      </w:r>
      <w:r w:rsidR="009D0991" w:rsidRPr="00817B9F">
        <w:rPr>
          <w:rFonts w:cs="Times New Roman"/>
        </w:rPr>
        <w:t>managed care</w:t>
      </w:r>
      <w:r w:rsidR="00177BDD" w:rsidRPr="00817B9F">
        <w:rPr>
          <w:rFonts w:cs="Times New Roman"/>
        </w:rPr>
        <w:t xml:space="preserve"> </w:t>
      </w:r>
      <w:r w:rsidR="002E31DB" w:rsidRPr="00817B9F">
        <w:rPr>
          <w:rFonts w:cs="Times New Roman"/>
        </w:rPr>
        <w:t xml:space="preserve">plans </w:t>
      </w:r>
      <w:r w:rsidR="00177BDD" w:rsidRPr="00817B9F">
        <w:rPr>
          <w:rFonts w:cs="Times New Roman"/>
        </w:rPr>
        <w:t>(1</w:t>
      </w:r>
      <w:r w:rsidR="009D0991" w:rsidRPr="00817B9F">
        <w:rPr>
          <w:rFonts w:cs="Times New Roman"/>
        </w:rPr>
        <w:t>1</w:t>
      </w:r>
      <w:r w:rsidR="00177BDD" w:rsidRPr="00817B9F">
        <w:rPr>
          <w:rFonts w:cs="Times New Roman"/>
        </w:rPr>
        <w:t xml:space="preserve"> percent </w:t>
      </w:r>
      <w:r w:rsidR="002E31DB" w:rsidRPr="00817B9F">
        <w:rPr>
          <w:rFonts w:cs="Times New Roman"/>
        </w:rPr>
        <w:t>compared to</w:t>
      </w:r>
      <w:r w:rsidR="00177BDD" w:rsidRPr="00817B9F">
        <w:rPr>
          <w:rFonts w:cs="Times New Roman"/>
        </w:rPr>
        <w:t xml:space="preserve"> </w:t>
      </w:r>
      <w:r w:rsidR="009D0991" w:rsidRPr="00817B9F">
        <w:rPr>
          <w:rFonts w:cs="Times New Roman"/>
        </w:rPr>
        <w:t>eight</w:t>
      </w:r>
      <w:r w:rsidR="00177BDD" w:rsidRPr="00817B9F">
        <w:rPr>
          <w:rFonts w:cs="Times New Roman"/>
        </w:rPr>
        <w:t xml:space="preserve"> percent). </w:t>
      </w:r>
    </w:p>
    <w:p w14:paraId="06773228" w14:textId="63F0A8EF" w:rsidR="005F038F" w:rsidRPr="00817B9F" w:rsidRDefault="009D369E" w:rsidP="005F038F">
      <w:pPr>
        <w:pStyle w:val="Heading3"/>
      </w:pPr>
      <w:bookmarkStart w:id="77" w:name="_Toc90046513"/>
      <w:r w:rsidRPr="00817B9F">
        <w:t>Outpatient</w:t>
      </w:r>
      <w:r w:rsidR="002C1F96" w:rsidRPr="00817B9F">
        <w:t xml:space="preserve"> </w:t>
      </w:r>
      <w:r w:rsidR="005F038F" w:rsidRPr="00817B9F">
        <w:t>Diagnostic Imaging Services</w:t>
      </w:r>
      <w:bookmarkEnd w:id="77"/>
    </w:p>
    <w:p w14:paraId="13FB2EB1" w14:textId="0F833C67" w:rsidR="00EB2075" w:rsidRPr="00817B9F" w:rsidRDefault="002E5D99" w:rsidP="00105650">
      <w:pPr>
        <w:pStyle w:val="NumberedParagraphs"/>
      </w:pPr>
      <w:r w:rsidRPr="00817B9F">
        <w:t xml:space="preserve">Among patients who received outpatient CT, MR, or PET/CT scans in 2018, </w:t>
      </w:r>
      <w:r w:rsidR="002C19F2" w:rsidRPr="00817B9F">
        <w:t>Figure MGH9</w:t>
      </w:r>
      <w:r w:rsidR="003462CF" w:rsidRPr="00817B9F">
        <w:t xml:space="preserve"> </w:t>
      </w:r>
      <w:r w:rsidRPr="00817B9F">
        <w:t xml:space="preserve">summarizes the </w:t>
      </w:r>
      <w:r w:rsidR="00105650" w:rsidRPr="00817B9F">
        <w:t xml:space="preserve">characteristics </w:t>
      </w:r>
      <w:r w:rsidRPr="00817B9F">
        <w:t xml:space="preserve">of </w:t>
      </w:r>
      <w:r w:rsidR="00105650" w:rsidRPr="00817B9F">
        <w:t>MGH patients</w:t>
      </w:r>
      <w:r w:rsidRPr="00817B9F">
        <w:t>, of MG</w:t>
      </w:r>
      <w:r w:rsidR="00C62DD4" w:rsidRPr="00817B9F">
        <w:t>H</w:t>
      </w:r>
      <w:r w:rsidRPr="00817B9F">
        <w:t xml:space="preserve"> patients who reside</w:t>
      </w:r>
      <w:r w:rsidR="007B40FA" w:rsidRPr="00817B9F">
        <w:t>d</w:t>
      </w:r>
      <w:r w:rsidRPr="00817B9F">
        <w:t xml:space="preserve"> in the hospital’s</w:t>
      </w:r>
      <w:r w:rsidR="00105650" w:rsidRPr="00817B9F">
        <w:t xml:space="preserve"> </w:t>
      </w:r>
      <w:r w:rsidR="007E2B3E" w:rsidRPr="00817B9F">
        <w:t xml:space="preserve">75 </w:t>
      </w:r>
      <w:r w:rsidR="00C62DD4" w:rsidRPr="00817B9F">
        <w:t xml:space="preserve">percent service area, </w:t>
      </w:r>
      <w:r w:rsidR="00BC713F" w:rsidRPr="00817B9F">
        <w:t xml:space="preserve">and </w:t>
      </w:r>
      <w:r w:rsidR="00C62DD4" w:rsidRPr="00817B9F">
        <w:t>of all patients who reside</w:t>
      </w:r>
      <w:r w:rsidR="007B40FA" w:rsidRPr="00817B9F">
        <w:t>d</w:t>
      </w:r>
      <w:r w:rsidR="00C62DD4" w:rsidRPr="00817B9F">
        <w:t xml:space="preserve"> in the hospital’s 75 percent service area regardless of where the </w:t>
      </w:r>
      <w:r w:rsidR="00105650" w:rsidRPr="00817B9F">
        <w:t xml:space="preserve">patient </w:t>
      </w:r>
      <w:r w:rsidR="00C62DD4" w:rsidRPr="00817B9F">
        <w:t>received care.</w:t>
      </w:r>
      <w:r w:rsidR="00105650" w:rsidRPr="00817B9F">
        <w:rPr>
          <w:rStyle w:val="FootnoteReference"/>
        </w:rPr>
        <w:t xml:space="preserve"> </w:t>
      </w:r>
      <w:r w:rsidR="004C6FEF" w:rsidRPr="00817B9F">
        <w:rPr>
          <w:rStyle w:val="FootnoteReference"/>
        </w:rPr>
        <w:footnoteReference w:id="118"/>
      </w:r>
      <w:r w:rsidR="00105650" w:rsidRPr="00817B9F">
        <w:t xml:space="preserve"> The first column of the figure summarizes patient characteristics for all MGH patients who received </w:t>
      </w:r>
      <w:r w:rsidR="00E04202" w:rsidRPr="00817B9F">
        <w:t>outpatient diagnostic imagining services</w:t>
      </w:r>
      <w:r w:rsidR="00105650" w:rsidRPr="00817B9F">
        <w:t xml:space="preserve">. </w:t>
      </w:r>
    </w:p>
    <w:p w14:paraId="0CCB8C8F" w14:textId="77777777" w:rsidR="00EB2075" w:rsidRPr="00817B9F" w:rsidRDefault="00105650" w:rsidP="005D3EC9">
      <w:pPr>
        <w:pStyle w:val="BulletParagraph"/>
        <w:rPr>
          <w:rFonts w:cs="Times New Roman"/>
        </w:rPr>
      </w:pPr>
      <w:r w:rsidRPr="00817B9F">
        <w:rPr>
          <w:rFonts w:cs="Times New Roman"/>
        </w:rPr>
        <w:t>Approximately 5</w:t>
      </w:r>
      <w:r w:rsidR="006D7914" w:rsidRPr="00817B9F">
        <w:rPr>
          <w:rFonts w:cs="Times New Roman"/>
        </w:rPr>
        <w:t>6</w:t>
      </w:r>
      <w:r w:rsidRPr="00817B9F">
        <w:rPr>
          <w:rFonts w:cs="Times New Roman"/>
        </w:rPr>
        <w:t xml:space="preserve"> percent of </w:t>
      </w:r>
      <w:r w:rsidR="00E04202" w:rsidRPr="00817B9F">
        <w:rPr>
          <w:rFonts w:cs="Times New Roman"/>
        </w:rPr>
        <w:t>these</w:t>
      </w:r>
      <w:r w:rsidRPr="00817B9F">
        <w:rPr>
          <w:rFonts w:cs="Times New Roman"/>
        </w:rPr>
        <w:t xml:space="preserve"> patients </w:t>
      </w:r>
      <w:r w:rsidR="00437E1E" w:rsidRPr="00817B9F">
        <w:rPr>
          <w:rFonts w:cs="Times New Roman"/>
        </w:rPr>
        <w:t>were</w:t>
      </w:r>
      <w:r w:rsidRPr="00817B9F">
        <w:rPr>
          <w:rFonts w:cs="Times New Roman"/>
        </w:rPr>
        <w:t xml:space="preserve"> female. </w:t>
      </w:r>
    </w:p>
    <w:p w14:paraId="09BA66D2" w14:textId="11BD63E9" w:rsidR="00EB2075" w:rsidRPr="00817B9F" w:rsidRDefault="00E04202" w:rsidP="005D3EC9">
      <w:pPr>
        <w:pStyle w:val="BulletParagraph"/>
        <w:rPr>
          <w:rFonts w:cs="Times New Roman"/>
        </w:rPr>
      </w:pPr>
      <w:r w:rsidRPr="00817B9F">
        <w:rPr>
          <w:rFonts w:cs="Times New Roman"/>
        </w:rPr>
        <w:lastRenderedPageBreak/>
        <w:t>Information on patients’</w:t>
      </w:r>
      <w:r w:rsidR="00105650" w:rsidRPr="00817B9F">
        <w:rPr>
          <w:rFonts w:cs="Times New Roman"/>
        </w:rPr>
        <w:t xml:space="preserve"> race </w:t>
      </w:r>
      <w:r w:rsidRPr="00817B9F">
        <w:rPr>
          <w:rFonts w:cs="Times New Roman"/>
        </w:rPr>
        <w:t>and ethnicity</w:t>
      </w:r>
      <w:r w:rsidR="00105650" w:rsidRPr="00817B9F">
        <w:rPr>
          <w:rFonts w:cs="Times New Roman"/>
        </w:rPr>
        <w:t xml:space="preserve"> is only available for Original Medicare patients, </w:t>
      </w:r>
      <w:r w:rsidR="0036708B" w:rsidRPr="00817B9F">
        <w:rPr>
          <w:rFonts w:cs="Times New Roman"/>
        </w:rPr>
        <w:t>but</w:t>
      </w:r>
      <w:r w:rsidR="00105650" w:rsidRPr="00817B9F">
        <w:rPr>
          <w:rFonts w:cs="Times New Roman"/>
        </w:rPr>
        <w:t xml:space="preserve"> the available data indicate that White patients account</w:t>
      </w:r>
      <w:r w:rsidR="00437E1E" w:rsidRPr="00817B9F">
        <w:rPr>
          <w:rFonts w:cs="Times New Roman"/>
        </w:rPr>
        <w:t>ed</w:t>
      </w:r>
      <w:r w:rsidR="00105650" w:rsidRPr="00817B9F">
        <w:rPr>
          <w:rFonts w:cs="Times New Roman"/>
        </w:rPr>
        <w:t xml:space="preserve"> for 86 percent of MGH’s outpatient </w:t>
      </w:r>
      <w:r w:rsidR="00F10E15" w:rsidRPr="00817B9F">
        <w:rPr>
          <w:rFonts w:cs="Times New Roman"/>
        </w:rPr>
        <w:t xml:space="preserve">diagnostic </w:t>
      </w:r>
      <w:r w:rsidR="00E03615" w:rsidRPr="00817B9F">
        <w:rPr>
          <w:rFonts w:cs="Times New Roman"/>
        </w:rPr>
        <w:t>imaging</w:t>
      </w:r>
      <w:r w:rsidR="00105650" w:rsidRPr="00817B9F">
        <w:rPr>
          <w:rFonts w:cs="Times New Roman"/>
        </w:rPr>
        <w:t xml:space="preserve"> </w:t>
      </w:r>
      <w:r w:rsidR="00642524" w:rsidRPr="00817B9F">
        <w:rPr>
          <w:rFonts w:cs="Times New Roman"/>
        </w:rPr>
        <w:t>patients</w:t>
      </w:r>
      <w:r w:rsidR="00105650" w:rsidRPr="00817B9F">
        <w:rPr>
          <w:rFonts w:cs="Times New Roman"/>
        </w:rPr>
        <w:t xml:space="preserve">. Among the remaining 14 percent of outpatient </w:t>
      </w:r>
      <w:r w:rsidR="00E03615" w:rsidRPr="00817B9F">
        <w:rPr>
          <w:rFonts w:cs="Times New Roman"/>
        </w:rPr>
        <w:t>imaging</w:t>
      </w:r>
      <w:r w:rsidR="00105650" w:rsidRPr="00817B9F">
        <w:rPr>
          <w:rFonts w:cs="Times New Roman"/>
        </w:rPr>
        <w:t xml:space="preserve"> patients, five percent of patients </w:t>
      </w:r>
      <w:r w:rsidR="00437E1E" w:rsidRPr="00817B9F">
        <w:rPr>
          <w:rFonts w:cs="Times New Roman"/>
        </w:rPr>
        <w:t>were</w:t>
      </w:r>
      <w:r w:rsidR="00105650" w:rsidRPr="00817B9F">
        <w:rPr>
          <w:rFonts w:cs="Times New Roman"/>
        </w:rPr>
        <w:t xml:space="preserve"> Black, two percent </w:t>
      </w:r>
      <w:r w:rsidR="00437E1E" w:rsidRPr="00817B9F">
        <w:rPr>
          <w:rFonts w:cs="Times New Roman"/>
        </w:rPr>
        <w:t>were</w:t>
      </w:r>
      <w:r w:rsidR="00105650" w:rsidRPr="00817B9F">
        <w:rPr>
          <w:rFonts w:cs="Times New Roman"/>
        </w:rPr>
        <w:t xml:space="preserve"> Asian/Pacific Islander/American Indian/Alaska Native, two percent </w:t>
      </w:r>
      <w:r w:rsidR="00437E1E" w:rsidRPr="00817B9F">
        <w:rPr>
          <w:rFonts w:cs="Times New Roman"/>
        </w:rPr>
        <w:t>were</w:t>
      </w:r>
      <w:r w:rsidR="00105650" w:rsidRPr="00817B9F">
        <w:rPr>
          <w:rFonts w:cs="Times New Roman"/>
        </w:rPr>
        <w:t xml:space="preserve"> Hispanic, and </w:t>
      </w:r>
      <w:r w:rsidR="009E1069" w:rsidRPr="00817B9F">
        <w:rPr>
          <w:rFonts w:cs="Times New Roman"/>
        </w:rPr>
        <w:t>five</w:t>
      </w:r>
      <w:r w:rsidR="00105650" w:rsidRPr="00817B9F">
        <w:rPr>
          <w:rFonts w:cs="Times New Roman"/>
        </w:rPr>
        <w:t xml:space="preserve"> percent </w:t>
      </w:r>
      <w:r w:rsidR="00437E1E" w:rsidRPr="00817B9F">
        <w:rPr>
          <w:rFonts w:cs="Times New Roman"/>
        </w:rPr>
        <w:t>were</w:t>
      </w:r>
      <w:r w:rsidR="00105650" w:rsidRPr="00817B9F">
        <w:rPr>
          <w:rFonts w:cs="Times New Roman"/>
        </w:rPr>
        <w:t xml:space="preserve"> </w:t>
      </w:r>
      <w:r w:rsidR="00F10E15" w:rsidRPr="00817B9F">
        <w:rPr>
          <w:rFonts w:cs="Times New Roman"/>
        </w:rPr>
        <w:t xml:space="preserve">of </w:t>
      </w:r>
      <w:r w:rsidR="00105650" w:rsidRPr="00817B9F">
        <w:rPr>
          <w:rFonts w:cs="Times New Roman"/>
        </w:rPr>
        <w:t xml:space="preserve">other or unknown race. </w:t>
      </w:r>
    </w:p>
    <w:p w14:paraId="58D4CE58" w14:textId="7488E11B" w:rsidR="00EB2075" w:rsidRPr="00817B9F" w:rsidRDefault="00105650" w:rsidP="005D3EC9">
      <w:pPr>
        <w:pStyle w:val="BulletParagraph"/>
        <w:rPr>
          <w:rFonts w:cs="Times New Roman"/>
        </w:rPr>
      </w:pPr>
      <w:r w:rsidRPr="00817B9F">
        <w:rPr>
          <w:rFonts w:cs="Times New Roman"/>
        </w:rPr>
        <w:t xml:space="preserve">The figure also shows the distribution of ages for MGH outpatient </w:t>
      </w:r>
      <w:r w:rsidR="00F10E15" w:rsidRPr="00817B9F">
        <w:rPr>
          <w:rFonts w:cs="Times New Roman"/>
        </w:rPr>
        <w:t xml:space="preserve">diagnostic </w:t>
      </w:r>
      <w:r w:rsidR="002D5C35" w:rsidRPr="00817B9F">
        <w:rPr>
          <w:rFonts w:cs="Times New Roman"/>
        </w:rPr>
        <w:t>imaging</w:t>
      </w:r>
      <w:r w:rsidRPr="00817B9F">
        <w:rPr>
          <w:rFonts w:cs="Times New Roman"/>
        </w:rPr>
        <w:t xml:space="preserve"> patients. Approximately </w:t>
      </w:r>
      <w:r w:rsidR="00C519E4" w:rsidRPr="00817B9F">
        <w:rPr>
          <w:rFonts w:cs="Times New Roman"/>
        </w:rPr>
        <w:t>41</w:t>
      </w:r>
      <w:r w:rsidRPr="00817B9F">
        <w:rPr>
          <w:rFonts w:cs="Times New Roman"/>
        </w:rPr>
        <w:t xml:space="preserve"> percent of MGH’s patients </w:t>
      </w:r>
      <w:r w:rsidR="00437E1E" w:rsidRPr="00817B9F">
        <w:rPr>
          <w:rFonts w:cs="Times New Roman"/>
        </w:rPr>
        <w:t>were</w:t>
      </w:r>
      <w:r w:rsidRPr="00817B9F">
        <w:rPr>
          <w:rFonts w:cs="Times New Roman"/>
        </w:rPr>
        <w:t xml:space="preserve"> 65 </w:t>
      </w:r>
      <w:r w:rsidR="00995008" w:rsidRPr="00817B9F">
        <w:rPr>
          <w:rFonts w:cs="Times New Roman"/>
        </w:rPr>
        <w:t>and</w:t>
      </w:r>
      <w:r w:rsidRPr="00817B9F">
        <w:rPr>
          <w:rFonts w:cs="Times New Roman"/>
        </w:rPr>
        <w:t xml:space="preserve"> older and approximately 2</w:t>
      </w:r>
      <w:r w:rsidR="00F31F6A" w:rsidRPr="00817B9F">
        <w:rPr>
          <w:rFonts w:cs="Times New Roman"/>
        </w:rPr>
        <w:t>9</w:t>
      </w:r>
      <w:r w:rsidRPr="00817B9F">
        <w:rPr>
          <w:rFonts w:cs="Times New Roman"/>
        </w:rPr>
        <w:t xml:space="preserve"> percent </w:t>
      </w:r>
      <w:r w:rsidR="00437E1E" w:rsidRPr="00817B9F">
        <w:rPr>
          <w:rFonts w:cs="Times New Roman"/>
        </w:rPr>
        <w:t>were</w:t>
      </w:r>
      <w:r w:rsidRPr="00817B9F">
        <w:rPr>
          <w:rFonts w:cs="Times New Roman"/>
        </w:rPr>
        <w:t xml:space="preserve"> between </w:t>
      </w:r>
      <w:r w:rsidR="00FD5851" w:rsidRPr="00817B9F">
        <w:rPr>
          <w:rFonts w:cs="Times New Roman"/>
        </w:rPr>
        <w:t xml:space="preserve">the ages of </w:t>
      </w:r>
      <w:r w:rsidRPr="00817B9F">
        <w:rPr>
          <w:rFonts w:cs="Times New Roman"/>
        </w:rPr>
        <w:t xml:space="preserve">50 and 64. </w:t>
      </w:r>
    </w:p>
    <w:p w14:paraId="31552156" w14:textId="4671725F" w:rsidR="00105650" w:rsidRPr="00817B9F" w:rsidRDefault="00105650" w:rsidP="005D3EC9">
      <w:pPr>
        <w:pStyle w:val="BulletParagraph"/>
        <w:rPr>
          <w:rFonts w:cs="Times New Roman"/>
        </w:rPr>
      </w:pPr>
      <w:r w:rsidRPr="00817B9F">
        <w:rPr>
          <w:rFonts w:cs="Times New Roman"/>
        </w:rPr>
        <w:t xml:space="preserve">For insurance coverage, approximately </w:t>
      </w:r>
      <w:r w:rsidR="00F31F6A" w:rsidRPr="00817B9F">
        <w:rPr>
          <w:rFonts w:cs="Times New Roman"/>
        </w:rPr>
        <w:t>34</w:t>
      </w:r>
      <w:r w:rsidRPr="00817B9F">
        <w:rPr>
          <w:rFonts w:cs="Times New Roman"/>
        </w:rPr>
        <w:t xml:space="preserve"> percent of patients </w:t>
      </w:r>
      <w:r w:rsidR="00F10E15" w:rsidRPr="00817B9F">
        <w:rPr>
          <w:rFonts w:cs="Times New Roman"/>
        </w:rPr>
        <w:t>were covered by</w:t>
      </w:r>
      <w:r w:rsidRPr="00817B9F">
        <w:rPr>
          <w:rFonts w:cs="Times New Roman"/>
        </w:rPr>
        <w:t xml:space="preserve"> Original Medicare, </w:t>
      </w:r>
      <w:r w:rsidR="00F31F6A" w:rsidRPr="00817B9F">
        <w:rPr>
          <w:rFonts w:cs="Times New Roman"/>
        </w:rPr>
        <w:t>38</w:t>
      </w:r>
      <w:r w:rsidRPr="00817B9F">
        <w:rPr>
          <w:rFonts w:cs="Times New Roman"/>
        </w:rPr>
        <w:t xml:space="preserve"> percent ha</w:t>
      </w:r>
      <w:r w:rsidR="00437E1E" w:rsidRPr="00817B9F">
        <w:rPr>
          <w:rFonts w:cs="Times New Roman"/>
        </w:rPr>
        <w:t>d</w:t>
      </w:r>
      <w:r w:rsidRPr="00817B9F">
        <w:rPr>
          <w:rFonts w:cs="Times New Roman"/>
        </w:rPr>
        <w:t xml:space="preserve"> </w:t>
      </w:r>
      <w:r w:rsidR="00437E1E" w:rsidRPr="00817B9F">
        <w:rPr>
          <w:rFonts w:cs="Times New Roman"/>
        </w:rPr>
        <w:t>c</w:t>
      </w:r>
      <w:r w:rsidRPr="00817B9F">
        <w:rPr>
          <w:rFonts w:cs="Times New Roman"/>
        </w:rPr>
        <w:t xml:space="preserve">ommercial </w:t>
      </w:r>
      <w:r w:rsidR="00437E1E" w:rsidRPr="00817B9F">
        <w:rPr>
          <w:rFonts w:cs="Times New Roman"/>
        </w:rPr>
        <w:t>i</w:t>
      </w:r>
      <w:r w:rsidRPr="00817B9F">
        <w:rPr>
          <w:rFonts w:cs="Times New Roman"/>
        </w:rPr>
        <w:t xml:space="preserve">nsurance (which will include some Health Connector Authority plans), </w:t>
      </w:r>
      <w:r w:rsidR="00A615DC" w:rsidRPr="00817B9F">
        <w:rPr>
          <w:rFonts w:cs="Times New Roman"/>
        </w:rPr>
        <w:t>1</w:t>
      </w:r>
      <w:r w:rsidR="006F596E" w:rsidRPr="00817B9F">
        <w:rPr>
          <w:rFonts w:cs="Times New Roman"/>
        </w:rPr>
        <w:t>3</w:t>
      </w:r>
      <w:r w:rsidRPr="00817B9F">
        <w:rPr>
          <w:rFonts w:cs="Times New Roman"/>
        </w:rPr>
        <w:t xml:space="preserve"> percent ha</w:t>
      </w:r>
      <w:r w:rsidR="00437E1E" w:rsidRPr="00817B9F">
        <w:rPr>
          <w:rFonts w:cs="Times New Roman"/>
        </w:rPr>
        <w:t>d</w:t>
      </w:r>
      <w:r w:rsidRPr="00817B9F">
        <w:rPr>
          <w:rFonts w:cs="Times New Roman"/>
        </w:rPr>
        <w:t xml:space="preserve"> MassHealth </w:t>
      </w:r>
      <w:r w:rsidR="00437E1E" w:rsidRPr="00817B9F">
        <w:rPr>
          <w:rFonts w:cs="Times New Roman"/>
        </w:rPr>
        <w:t>m</w:t>
      </w:r>
      <w:r w:rsidRPr="00817B9F">
        <w:rPr>
          <w:rFonts w:cs="Times New Roman"/>
        </w:rPr>
        <w:t xml:space="preserve">anaged </w:t>
      </w:r>
      <w:r w:rsidR="00437E1E" w:rsidRPr="00817B9F">
        <w:rPr>
          <w:rFonts w:cs="Times New Roman"/>
        </w:rPr>
        <w:t>c</w:t>
      </w:r>
      <w:r w:rsidRPr="00817B9F">
        <w:rPr>
          <w:rFonts w:cs="Times New Roman"/>
        </w:rPr>
        <w:t>are</w:t>
      </w:r>
      <w:r w:rsidR="00F10E15" w:rsidRPr="00817B9F">
        <w:rPr>
          <w:rFonts w:cs="Times New Roman"/>
        </w:rPr>
        <w:t xml:space="preserve"> </w:t>
      </w:r>
      <w:r w:rsidR="00342962" w:rsidRPr="00817B9F">
        <w:rPr>
          <w:rFonts w:cs="Times New Roman"/>
        </w:rPr>
        <w:t>plans</w:t>
      </w:r>
      <w:r w:rsidRPr="00817B9F">
        <w:rPr>
          <w:rFonts w:cs="Times New Roman"/>
        </w:rPr>
        <w:t xml:space="preserve">, </w:t>
      </w:r>
      <w:r w:rsidR="00E445FB" w:rsidRPr="00817B9F">
        <w:rPr>
          <w:rFonts w:cs="Times New Roman"/>
        </w:rPr>
        <w:t>four</w:t>
      </w:r>
      <w:r w:rsidRPr="00817B9F">
        <w:rPr>
          <w:rFonts w:cs="Times New Roman"/>
        </w:rPr>
        <w:t xml:space="preserve"> percent ha</w:t>
      </w:r>
      <w:r w:rsidR="00437E1E" w:rsidRPr="00817B9F">
        <w:rPr>
          <w:rFonts w:cs="Times New Roman"/>
        </w:rPr>
        <w:t>d</w:t>
      </w:r>
      <w:r w:rsidRPr="00817B9F">
        <w:rPr>
          <w:rFonts w:cs="Times New Roman"/>
        </w:rPr>
        <w:t xml:space="preserve"> MassHealth </w:t>
      </w:r>
      <w:r w:rsidR="00437E1E" w:rsidRPr="00817B9F">
        <w:rPr>
          <w:rFonts w:cs="Times New Roman"/>
        </w:rPr>
        <w:t>n</w:t>
      </w:r>
      <w:r w:rsidR="00A615DC" w:rsidRPr="00817B9F">
        <w:rPr>
          <w:rFonts w:cs="Times New Roman"/>
        </w:rPr>
        <w:t>on-</w:t>
      </w:r>
      <w:r w:rsidR="00437E1E" w:rsidRPr="00817B9F">
        <w:rPr>
          <w:rFonts w:cs="Times New Roman"/>
        </w:rPr>
        <w:t>m</w:t>
      </w:r>
      <w:r w:rsidRPr="00817B9F">
        <w:rPr>
          <w:rFonts w:cs="Times New Roman"/>
        </w:rPr>
        <w:t xml:space="preserve">anaged </w:t>
      </w:r>
      <w:r w:rsidR="00437E1E" w:rsidRPr="00817B9F">
        <w:rPr>
          <w:rFonts w:cs="Times New Roman"/>
        </w:rPr>
        <w:t>c</w:t>
      </w:r>
      <w:r w:rsidRPr="00817B9F">
        <w:rPr>
          <w:rFonts w:cs="Times New Roman"/>
        </w:rPr>
        <w:t>are</w:t>
      </w:r>
      <w:r w:rsidR="00F10E15" w:rsidRPr="00817B9F">
        <w:rPr>
          <w:rFonts w:cs="Times New Roman"/>
        </w:rPr>
        <w:t xml:space="preserve"> plans</w:t>
      </w:r>
      <w:r w:rsidRPr="00817B9F">
        <w:rPr>
          <w:rFonts w:cs="Times New Roman"/>
        </w:rPr>
        <w:t>, seven percent ha</w:t>
      </w:r>
      <w:r w:rsidR="00437E1E" w:rsidRPr="00817B9F">
        <w:rPr>
          <w:rFonts w:cs="Times New Roman"/>
        </w:rPr>
        <w:t>d</w:t>
      </w:r>
      <w:r w:rsidRPr="00817B9F">
        <w:rPr>
          <w:rFonts w:cs="Times New Roman"/>
        </w:rPr>
        <w:t xml:space="preserve"> Medicare </w:t>
      </w:r>
      <w:r w:rsidR="00437E1E" w:rsidRPr="00817B9F">
        <w:rPr>
          <w:rFonts w:cs="Times New Roman"/>
        </w:rPr>
        <w:t>h</w:t>
      </w:r>
      <w:r w:rsidRPr="00817B9F">
        <w:rPr>
          <w:rFonts w:cs="Times New Roman"/>
        </w:rPr>
        <w:t xml:space="preserve">ealth </w:t>
      </w:r>
      <w:r w:rsidR="00437E1E" w:rsidRPr="00817B9F">
        <w:rPr>
          <w:rFonts w:cs="Times New Roman"/>
        </w:rPr>
        <w:t>p</w:t>
      </w:r>
      <w:r w:rsidRPr="00817B9F">
        <w:rPr>
          <w:rFonts w:cs="Times New Roman"/>
        </w:rPr>
        <w:t xml:space="preserve">lans, and </w:t>
      </w:r>
      <w:r w:rsidR="00A51D3E" w:rsidRPr="00817B9F">
        <w:rPr>
          <w:rFonts w:cs="Times New Roman"/>
        </w:rPr>
        <w:t>four</w:t>
      </w:r>
      <w:r w:rsidRPr="00817B9F">
        <w:rPr>
          <w:rFonts w:cs="Times New Roman"/>
        </w:rPr>
        <w:t xml:space="preserve"> percent ha</w:t>
      </w:r>
      <w:r w:rsidR="00437E1E" w:rsidRPr="00817B9F">
        <w:rPr>
          <w:rFonts w:cs="Times New Roman"/>
        </w:rPr>
        <w:t>d</w:t>
      </w:r>
      <w:r w:rsidRPr="00817B9F">
        <w:rPr>
          <w:rFonts w:cs="Times New Roman"/>
        </w:rPr>
        <w:t xml:space="preserve"> other coverage (</w:t>
      </w:r>
      <w:r w:rsidRPr="00817B9F">
        <w:rPr>
          <w:rFonts w:cs="Times New Roman"/>
          <w:i/>
          <w:iCs/>
        </w:rPr>
        <w:t>e.g.</w:t>
      </w:r>
      <w:r w:rsidRPr="00817B9F">
        <w:rPr>
          <w:rFonts w:cs="Times New Roman"/>
        </w:rPr>
        <w:t>, self</w:t>
      </w:r>
      <w:r w:rsidR="00437E1E" w:rsidRPr="00817B9F">
        <w:rPr>
          <w:rFonts w:cs="Times New Roman"/>
        </w:rPr>
        <w:t>-</w:t>
      </w:r>
      <w:r w:rsidRPr="00817B9F">
        <w:rPr>
          <w:rFonts w:cs="Times New Roman"/>
        </w:rPr>
        <w:t xml:space="preserve">pay patients, other government insurance, disability, etc.). </w:t>
      </w:r>
    </w:p>
    <w:p w14:paraId="760B1312" w14:textId="693B5C0E" w:rsidR="00105650" w:rsidRPr="00817B9F" w:rsidRDefault="00105650" w:rsidP="00517EB3">
      <w:pPr>
        <w:pStyle w:val="NumberedParagraphs"/>
      </w:pPr>
      <w:r w:rsidRPr="00817B9F">
        <w:t xml:space="preserve">The second column of the figure summarizes patient characteristics for those MGH outpatient </w:t>
      </w:r>
      <w:r w:rsidR="00834394" w:rsidRPr="00817B9F">
        <w:t xml:space="preserve">diagnostic </w:t>
      </w:r>
      <w:r w:rsidR="00F44332" w:rsidRPr="00817B9F">
        <w:t>imaging</w:t>
      </w:r>
      <w:r w:rsidRPr="00817B9F">
        <w:t xml:space="preserve"> patients who reside</w:t>
      </w:r>
      <w:r w:rsidR="007B40FA" w:rsidRPr="00817B9F">
        <w:t>d</w:t>
      </w:r>
      <w:r w:rsidRPr="00817B9F">
        <w:t xml:space="preserve"> in the hospital’s 75 percent service area. This area is created by identifying the smallest set of ZIP Codes that comprise at least 75 percent of MGH’s outpatient </w:t>
      </w:r>
      <w:r w:rsidR="00834394" w:rsidRPr="00817B9F">
        <w:t>CT, MR, and PET/CT scans</w:t>
      </w:r>
      <w:r w:rsidRPr="00817B9F">
        <w:t xml:space="preserve">. MGH’s 75 percent service area is shown in Figure </w:t>
      </w:r>
      <w:r w:rsidR="002C19F2" w:rsidRPr="00817B9F">
        <w:t>MGH10</w:t>
      </w:r>
      <w:r w:rsidRPr="00817B9F">
        <w:t>.</w:t>
      </w:r>
      <w:r w:rsidR="00BB1315" w:rsidRPr="00817B9F">
        <w:rPr>
          <w:rStyle w:val="FootnoteReference"/>
        </w:rPr>
        <w:footnoteReference w:id="119"/>
      </w:r>
    </w:p>
    <w:p w14:paraId="721FFB7F" w14:textId="3F953769" w:rsidR="00113925" w:rsidRPr="00817B9F" w:rsidRDefault="00105650" w:rsidP="00EE6F48">
      <w:pPr>
        <w:pStyle w:val="NumberedParagraphs"/>
      </w:pPr>
      <w:r w:rsidRPr="00817B9F">
        <w:t xml:space="preserve">The third column of </w:t>
      </w:r>
      <w:r w:rsidR="002C19F2" w:rsidRPr="00817B9F">
        <w:t>Figure MGH9</w:t>
      </w:r>
      <w:r w:rsidR="003462CF" w:rsidRPr="00817B9F">
        <w:t xml:space="preserve"> </w:t>
      </w:r>
      <w:r w:rsidRPr="00817B9F">
        <w:t xml:space="preserve">provides a summary of the characteristics </w:t>
      </w:r>
      <w:r w:rsidR="00FD5851" w:rsidRPr="00817B9F">
        <w:t>of</w:t>
      </w:r>
      <w:r w:rsidRPr="00817B9F">
        <w:t xml:space="preserve"> all patients </w:t>
      </w:r>
      <w:r w:rsidR="00FD5851" w:rsidRPr="00817B9F">
        <w:t>who received outpatient diagnostic imaging services and who reside</w:t>
      </w:r>
      <w:r w:rsidR="00D45621" w:rsidRPr="00817B9F">
        <w:t>d</w:t>
      </w:r>
      <w:r w:rsidR="00FD5851" w:rsidRPr="00817B9F">
        <w:t xml:space="preserve"> in </w:t>
      </w:r>
      <w:r w:rsidRPr="00817B9F">
        <w:t>MGH’s 75 percent service area</w:t>
      </w:r>
      <w:r w:rsidR="00FD5851" w:rsidRPr="00817B9F">
        <w:t xml:space="preserve"> (regardless of which health care provider those patients chose)</w:t>
      </w:r>
      <w:r w:rsidRPr="00817B9F">
        <w:t xml:space="preserve">. </w:t>
      </w:r>
      <w:r w:rsidR="00FD5851" w:rsidRPr="00817B9F">
        <w:t xml:space="preserve">As </w:t>
      </w:r>
      <w:r w:rsidR="00934C2F" w:rsidRPr="00817B9F">
        <w:t>with</w:t>
      </w:r>
      <w:r w:rsidR="00FD5851" w:rsidRPr="00817B9F">
        <w:t xml:space="preserve"> the other services, </w:t>
      </w:r>
      <w:r w:rsidR="008E6208" w:rsidRPr="00817B9F">
        <w:t>the profiles of MGH’s patients who reside</w:t>
      </w:r>
      <w:r w:rsidR="00D45621" w:rsidRPr="00817B9F">
        <w:t>d</w:t>
      </w:r>
      <w:r w:rsidR="008E6208" w:rsidRPr="00817B9F">
        <w:t xml:space="preserve"> in the hospital’s 75 percent service area and profiles of all patients who reside</w:t>
      </w:r>
      <w:r w:rsidR="00D45621" w:rsidRPr="00817B9F">
        <w:t>d</w:t>
      </w:r>
      <w:r w:rsidR="008E6208" w:rsidRPr="00817B9F">
        <w:t xml:space="preserve"> in that area </w:t>
      </w:r>
      <w:r w:rsidR="00934C2F" w:rsidRPr="00817B9F">
        <w:t xml:space="preserve">are broadly </w:t>
      </w:r>
      <w:r w:rsidR="008E6208" w:rsidRPr="00817B9F">
        <w:t xml:space="preserve">similar, </w:t>
      </w:r>
      <w:r w:rsidR="003E79D9" w:rsidRPr="00817B9F">
        <w:t xml:space="preserve">with the primary difference being in insurance coverage. </w:t>
      </w:r>
      <w:r w:rsidR="008E6208" w:rsidRPr="00817B9F">
        <w:t>Relative to MGH’s patients</w:t>
      </w:r>
      <w:r w:rsidR="00322DE8" w:rsidRPr="00817B9F">
        <w:t xml:space="preserve"> in its 75 percent service area</w:t>
      </w:r>
      <w:r w:rsidR="008E6208" w:rsidRPr="00817B9F">
        <w:t xml:space="preserve">, </w:t>
      </w:r>
      <w:r w:rsidR="00934C2F" w:rsidRPr="00817B9F">
        <w:t xml:space="preserve">the broader population was </w:t>
      </w:r>
      <w:r w:rsidR="00934C2F" w:rsidRPr="00817B9F">
        <w:lastRenderedPageBreak/>
        <w:t xml:space="preserve">somewhat less </w:t>
      </w:r>
      <w:r w:rsidR="008E6208" w:rsidRPr="00817B9F">
        <w:t xml:space="preserve">likely </w:t>
      </w:r>
      <w:r w:rsidR="005009DD" w:rsidRPr="00817B9F">
        <w:t xml:space="preserve">to </w:t>
      </w:r>
      <w:r w:rsidR="004E6F96" w:rsidRPr="00817B9F">
        <w:t>have c</w:t>
      </w:r>
      <w:r w:rsidR="00BC2244" w:rsidRPr="00817B9F">
        <w:t xml:space="preserve">ommercial </w:t>
      </w:r>
      <w:r w:rsidR="004E6F96" w:rsidRPr="00817B9F">
        <w:t>i</w:t>
      </w:r>
      <w:r w:rsidR="00BC2244" w:rsidRPr="00817B9F">
        <w:t>nsurance (32 percent</w:t>
      </w:r>
      <w:r w:rsidR="00934C2F" w:rsidRPr="00817B9F">
        <w:t xml:space="preserve"> compared to</w:t>
      </w:r>
      <w:r w:rsidR="00BC2244" w:rsidRPr="00817B9F">
        <w:t xml:space="preserve"> </w:t>
      </w:r>
      <w:r w:rsidR="00EE6D1B" w:rsidRPr="00817B9F">
        <w:t>37</w:t>
      </w:r>
      <w:r w:rsidRPr="00817B9F">
        <w:t xml:space="preserve"> percent</w:t>
      </w:r>
      <w:r w:rsidR="00EE6D1B" w:rsidRPr="00817B9F">
        <w:t>)</w:t>
      </w:r>
      <w:r w:rsidR="00361F96" w:rsidRPr="00817B9F">
        <w:t xml:space="preserve"> and </w:t>
      </w:r>
      <w:r w:rsidR="00770097" w:rsidRPr="00817B9F">
        <w:t xml:space="preserve">somewhat </w:t>
      </w:r>
      <w:r w:rsidR="0085366F" w:rsidRPr="00817B9F">
        <w:t xml:space="preserve">more likely to </w:t>
      </w:r>
      <w:r w:rsidR="00770097" w:rsidRPr="00817B9F">
        <w:t xml:space="preserve">be covered by </w:t>
      </w:r>
      <w:r w:rsidR="0085366F" w:rsidRPr="00817B9F">
        <w:t xml:space="preserve">Original Medicare </w:t>
      </w:r>
      <w:r w:rsidR="00BC2244" w:rsidRPr="00817B9F">
        <w:t>(</w:t>
      </w:r>
      <w:r w:rsidR="00012CC3" w:rsidRPr="00817B9F">
        <w:t>34</w:t>
      </w:r>
      <w:r w:rsidRPr="00817B9F">
        <w:t xml:space="preserve"> percent</w:t>
      </w:r>
      <w:r w:rsidR="00770097" w:rsidRPr="00817B9F">
        <w:t xml:space="preserve"> compared to </w:t>
      </w:r>
      <w:r w:rsidR="00012CC3" w:rsidRPr="00817B9F">
        <w:t>32</w:t>
      </w:r>
      <w:r w:rsidRPr="00817B9F">
        <w:t xml:space="preserve"> percent).</w:t>
      </w:r>
      <w:r w:rsidR="00E26437" w:rsidRPr="00817B9F">
        <w:rPr>
          <w:rFonts w:eastAsia="TimesNewRomanPSMT"/>
          <w:noProof/>
        </w:rPr>
        <mc:AlternateContent>
          <mc:Choice Requires="wps">
            <w:drawing>
              <wp:inline distT="0" distB="0" distL="0" distR="0" wp14:anchorId="5960E0F9" wp14:editId="774531CB">
                <wp:extent cx="6164580" cy="342900"/>
                <wp:effectExtent l="0" t="0" r="7620" b="0"/>
                <wp:docPr id="117" name="Text Box 117" descr="Blank text box" title="Blank 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D4F78" w14:textId="77777777" w:rsidR="00CF3141" w:rsidRDefault="00CF3141"/>
                          <w:p w14:paraId="519E7374" w14:textId="77777777" w:rsidR="00CF3141" w:rsidRDefault="00CF3141" w:rsidP="00DD15A5">
                            <w:pPr>
                              <w:pStyle w:val="BodyText"/>
                            </w:pPr>
                          </w:p>
                        </w:txbxContent>
                      </wps:txbx>
                      <wps:bodyPr rot="0" vert="horz" wrap="square" lIns="0" tIns="0" rIns="0" bIns="0" anchor="t" anchorCtr="0" upright="1">
                        <a:noAutofit/>
                      </wps:bodyPr>
                    </wps:wsp>
                  </a:graphicData>
                </a:graphic>
              </wp:inline>
            </w:drawing>
          </mc:Choice>
          <mc:Fallback>
            <w:pict>
              <v:shapetype w14:anchorId="5960E0F9" id="_x0000_t202" coordsize="21600,21600" o:spt="202" path="m,l,21600r21600,l21600,xe">
                <v:stroke joinstyle="miter"/>
                <v:path gradientshapeok="t" o:connecttype="rect"/>
              </v:shapetype>
              <v:shape id="Text Box 117" o:spid="_x0000_s1026" type="#_x0000_t202" alt="Title: Blank text box - Description: Blank text box" style="width:485.4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" filled="f" stroked="f">
                <v:textbox inset="0,0,0,0">
                  <w:txbxContent>
                    <w:p w14:paraId="38BD4F78" w14:textId="77777777" w:rsidR="00CF3141" w:rsidRDefault="00CF3141"/>
                    <w:p w14:paraId="519E7374" w14:textId="77777777" w:rsidR="00CF3141" w:rsidRDefault="00CF3141" w:rsidP="00DD15A5">
                      <w:pPr>
                        <w:pStyle w:val="BodyText"/>
                      </w:pPr>
                    </w:p>
                  </w:txbxContent>
                </v:textbox>
                <w10:anchorlock/>
              </v:shape>
            </w:pict>
          </mc:Fallback>
        </mc:AlternateContent>
      </w:r>
    </w:p>
    <w:p w14:paraId="50964175" w14:textId="647622BB" w:rsidR="00620137" w:rsidRPr="00817B9F" w:rsidRDefault="00213C42" w:rsidP="00620137">
      <w:pPr>
        <w:pStyle w:val="Heading1"/>
      </w:pPr>
      <w:bookmarkStart w:id="78" w:name="_Toc90046514"/>
      <w:r w:rsidRPr="00817B9F">
        <w:t>Five- and Ten-Year Estimates of</w:t>
      </w:r>
      <w:r w:rsidR="00F74F88" w:rsidRPr="00817B9F">
        <w:t xml:space="preserve"> Demand for MG</w:t>
      </w:r>
      <w:r w:rsidR="00E52AAC" w:rsidRPr="00817B9F">
        <w:t>H’s</w:t>
      </w:r>
      <w:r w:rsidR="00F74F88" w:rsidRPr="00817B9F">
        <w:t xml:space="preserve"> Services</w:t>
      </w:r>
      <w:bookmarkEnd w:id="78"/>
      <w:r w:rsidR="00F74F88" w:rsidRPr="00817B9F">
        <w:t xml:space="preserve"> </w:t>
      </w:r>
    </w:p>
    <w:p w14:paraId="0BC2CA9F" w14:textId="017854C4" w:rsidR="00A13753" w:rsidRPr="00817B9F" w:rsidRDefault="00A13753" w:rsidP="00EE6F48">
      <w:pPr>
        <w:pStyle w:val="NumberedParagraphs"/>
      </w:pPr>
      <w:r w:rsidRPr="00817B9F">
        <w:t>The DoN program requested that we provide short-term (</w:t>
      </w:r>
      <w:r w:rsidRPr="00817B9F">
        <w:rPr>
          <w:i/>
          <w:iCs/>
        </w:rPr>
        <w:t>i.e.</w:t>
      </w:r>
      <w:r w:rsidRPr="00817B9F">
        <w:t>, five years) and long-term (</w:t>
      </w:r>
      <w:r w:rsidRPr="00817B9F">
        <w:rPr>
          <w:i/>
          <w:iCs/>
        </w:rPr>
        <w:t>i.e.</w:t>
      </w:r>
      <w:r w:rsidRPr="00817B9F">
        <w:t xml:space="preserve">, </w:t>
      </w:r>
      <w:r w:rsidR="00CA318B" w:rsidRPr="00817B9F">
        <w:t>ten</w:t>
      </w:r>
      <w:r w:rsidRPr="00817B9F">
        <w:t xml:space="preserve"> years) estimates of expected changes in total population and projected demographic shifts in MGH’s service area. In addition, the DoN program requested that we project </w:t>
      </w:r>
      <w:r w:rsidR="00E70E14" w:rsidRPr="00817B9F">
        <w:t>c</w:t>
      </w:r>
      <w:r w:rsidR="0096106D" w:rsidRPr="00817B9F">
        <w:t>han</w:t>
      </w:r>
      <w:r w:rsidR="00E70E14" w:rsidRPr="00817B9F">
        <w:t>ges</w:t>
      </w:r>
      <w:r w:rsidRPr="00817B9F">
        <w:t xml:space="preserve"> in demand at MGH for inpatient services (including heart and vascular and cancer inpatient services), outpatient diagnostic imaging services (</w:t>
      </w:r>
      <w:r w:rsidRPr="00817B9F">
        <w:rPr>
          <w:i/>
          <w:iCs/>
        </w:rPr>
        <w:t>i.e</w:t>
      </w:r>
      <w:r w:rsidRPr="00817B9F">
        <w:t xml:space="preserve">., outpatient CT, MR, and PET/CT scans), </w:t>
      </w:r>
      <w:r w:rsidR="00B90147" w:rsidRPr="00817B9F">
        <w:t xml:space="preserve">outpatient </w:t>
      </w:r>
      <w:r w:rsidRPr="00817B9F">
        <w:t xml:space="preserve">cardiovascular </w:t>
      </w:r>
      <w:r w:rsidR="00B90147" w:rsidRPr="00817B9F">
        <w:t xml:space="preserve">services, and outpatient </w:t>
      </w:r>
      <w:r w:rsidR="00414F68" w:rsidRPr="00817B9F">
        <w:t>oncology</w:t>
      </w:r>
      <w:r w:rsidR="00B90147" w:rsidRPr="00817B9F">
        <w:t xml:space="preserve"> visits. We discuss each of these considerations in what follows. </w:t>
      </w:r>
    </w:p>
    <w:p w14:paraId="57965E8D" w14:textId="2AA14B13" w:rsidR="00A26969" w:rsidRPr="00817B9F" w:rsidRDefault="00A26969" w:rsidP="00AA0512">
      <w:pPr>
        <w:pStyle w:val="Heading2"/>
        <w:numPr>
          <w:ilvl w:val="0"/>
          <w:numId w:val="12"/>
        </w:numPr>
        <w:rPr>
          <w:rFonts w:cs="Times New Roman"/>
        </w:rPr>
      </w:pPr>
      <w:bookmarkStart w:id="79" w:name="_Toc90046515"/>
      <w:r w:rsidRPr="00817B9F">
        <w:rPr>
          <w:rFonts w:cs="Times New Roman"/>
        </w:rPr>
        <w:t>Inpatient Services</w:t>
      </w:r>
      <w:bookmarkEnd w:id="79"/>
    </w:p>
    <w:p w14:paraId="67228904" w14:textId="739E4508" w:rsidR="00426935" w:rsidRPr="00817B9F" w:rsidRDefault="00426935" w:rsidP="00EE6F48">
      <w:pPr>
        <w:pStyle w:val="Heading3"/>
        <w:numPr>
          <w:ilvl w:val="0"/>
          <w:numId w:val="33"/>
        </w:numPr>
      </w:pPr>
      <w:bookmarkStart w:id="80" w:name="_Toc90046516"/>
      <w:r w:rsidRPr="00817B9F">
        <w:t xml:space="preserve">Changes in Demographics in </w:t>
      </w:r>
      <w:r w:rsidR="00CC09D1" w:rsidRPr="00817B9F">
        <w:t>Five</w:t>
      </w:r>
      <w:r w:rsidRPr="00817B9F">
        <w:t xml:space="preserve"> and </w:t>
      </w:r>
      <w:r w:rsidR="00CC09D1" w:rsidRPr="00817B9F">
        <w:t xml:space="preserve">Ten </w:t>
      </w:r>
      <w:r w:rsidRPr="00817B9F">
        <w:t>Years</w:t>
      </w:r>
      <w:bookmarkEnd w:id="80"/>
      <w:r w:rsidR="00CC09D1" w:rsidRPr="00817B9F">
        <w:t xml:space="preserve"> </w:t>
      </w:r>
    </w:p>
    <w:p w14:paraId="54C38FF4" w14:textId="359D68C0" w:rsidR="00A57398" w:rsidRPr="00817B9F" w:rsidRDefault="00B03CD7" w:rsidP="00517EB3">
      <w:pPr>
        <w:pStyle w:val="NumberedParagraphs"/>
      </w:pPr>
      <w:r w:rsidRPr="00817B9F">
        <w:t xml:space="preserve">Figure </w:t>
      </w:r>
      <w:r w:rsidR="00D73CCE" w:rsidRPr="00817B9F">
        <w:t>MGH11</w:t>
      </w:r>
      <w:r w:rsidR="001252E8" w:rsidRPr="00817B9F">
        <w:t xml:space="preserve"> </w:t>
      </w:r>
      <w:r w:rsidR="00B90147" w:rsidRPr="00817B9F">
        <w:t>summarizes short-term (</w:t>
      </w:r>
      <w:r w:rsidR="00B90147" w:rsidRPr="00817B9F">
        <w:rPr>
          <w:i/>
          <w:iCs/>
        </w:rPr>
        <w:t>i.e.</w:t>
      </w:r>
      <w:r w:rsidR="00B90147" w:rsidRPr="00817B9F">
        <w:t>, five years) and long-term (</w:t>
      </w:r>
      <w:r w:rsidR="00B90147" w:rsidRPr="00817B9F">
        <w:rPr>
          <w:i/>
          <w:iCs/>
        </w:rPr>
        <w:t>i.e.</w:t>
      </w:r>
      <w:r w:rsidR="00B90147" w:rsidRPr="00817B9F">
        <w:t xml:space="preserve">, </w:t>
      </w:r>
      <w:r w:rsidR="00C532D8" w:rsidRPr="00817B9F">
        <w:t>ten</w:t>
      </w:r>
      <w:r w:rsidR="00B90147" w:rsidRPr="00817B9F">
        <w:t xml:space="preserve"> years) estimates of expected changes in total population and projected demographic shifts in MGH's 75 percent service area for inpatient services. These population projections include projections by </w:t>
      </w:r>
      <w:r w:rsidR="003A6CF0" w:rsidRPr="00817B9F">
        <w:t>gender</w:t>
      </w:r>
      <w:r w:rsidR="00B90147" w:rsidRPr="00817B9F">
        <w:t xml:space="preserve"> and age group; however, estimates by race and ethnicity are not available. </w:t>
      </w:r>
      <w:r w:rsidR="00E231E8" w:rsidRPr="00817B9F">
        <w:t>W</w:t>
      </w:r>
      <w:r w:rsidR="00B90147" w:rsidRPr="00817B9F">
        <w:t xml:space="preserve">ithin MGH’s 75 percent inpatient service area, the total population is projected to grow from </w:t>
      </w:r>
      <w:r w:rsidR="00847E4C" w:rsidRPr="00817B9F">
        <w:t>3</w:t>
      </w:r>
      <w:r w:rsidR="00B90147" w:rsidRPr="00817B9F">
        <w:t xml:space="preserve">.3 million </w:t>
      </w:r>
      <w:r w:rsidR="003D4F6C" w:rsidRPr="00817B9F">
        <w:t xml:space="preserve">in 2020 </w:t>
      </w:r>
      <w:r w:rsidR="00B90147" w:rsidRPr="00817B9F">
        <w:t xml:space="preserve">to </w:t>
      </w:r>
      <w:r w:rsidR="00847E4C" w:rsidRPr="00817B9F">
        <w:t>3.5</w:t>
      </w:r>
      <w:r w:rsidR="00B90147" w:rsidRPr="00817B9F">
        <w:t xml:space="preserve"> million</w:t>
      </w:r>
      <w:r w:rsidR="00E231E8" w:rsidRPr="00817B9F">
        <w:t xml:space="preserve"> by 2030</w:t>
      </w:r>
      <w:r w:rsidR="00B90147" w:rsidRPr="00817B9F">
        <w:t>, an increase of six percent. During this</w:t>
      </w:r>
      <w:r w:rsidR="00BA7B24" w:rsidRPr="00817B9F">
        <w:t xml:space="preserve"> </w:t>
      </w:r>
      <w:r w:rsidR="00B90147" w:rsidRPr="00817B9F">
        <w:t xml:space="preserve">period, the number of residents age 65 and older is expected to grow at a faster rate than the overall population, increasing by 30 percent from </w:t>
      </w:r>
      <w:r w:rsidR="00847E4C" w:rsidRPr="00817B9F">
        <w:t>550 thousand</w:t>
      </w:r>
      <w:r w:rsidR="00B90147" w:rsidRPr="00817B9F">
        <w:t xml:space="preserve"> </w:t>
      </w:r>
      <w:r w:rsidR="00BE78CF" w:rsidRPr="00817B9F">
        <w:t>in</w:t>
      </w:r>
      <w:r w:rsidR="00B90147" w:rsidRPr="00817B9F">
        <w:t xml:space="preserve"> 2020 to </w:t>
      </w:r>
      <w:r w:rsidR="00847E4C" w:rsidRPr="00817B9F">
        <w:t>712 thousand</w:t>
      </w:r>
      <w:r w:rsidR="00B90147" w:rsidRPr="00817B9F">
        <w:t xml:space="preserve"> in 2030.</w:t>
      </w:r>
    </w:p>
    <w:p w14:paraId="26CDA149" w14:textId="5B02A651" w:rsidR="00E81945" w:rsidRPr="00817B9F" w:rsidRDefault="007E0AF7" w:rsidP="00DA7778">
      <w:pPr>
        <w:pStyle w:val="Heading3"/>
      </w:pPr>
      <w:bookmarkStart w:id="81" w:name="_Toc90046517"/>
      <w:r w:rsidRPr="00817B9F">
        <w:t>Changes</w:t>
      </w:r>
      <w:r w:rsidR="000240CF" w:rsidRPr="00817B9F">
        <w:t xml:space="preserve"> in Demand</w:t>
      </w:r>
      <w:r w:rsidRPr="00817B9F">
        <w:t xml:space="preserve"> </w:t>
      </w:r>
      <w:r w:rsidR="00AF6977" w:rsidRPr="00817B9F">
        <w:t xml:space="preserve">Using </w:t>
      </w:r>
      <w:r w:rsidR="00E81945" w:rsidRPr="00817B9F">
        <w:t xml:space="preserve">Predicted Demographics in </w:t>
      </w:r>
      <w:r w:rsidR="00CC09D1" w:rsidRPr="00817B9F">
        <w:t>Five</w:t>
      </w:r>
      <w:r w:rsidR="00DF326D" w:rsidRPr="00817B9F">
        <w:t xml:space="preserve"> and </w:t>
      </w:r>
      <w:r w:rsidR="00CC09D1" w:rsidRPr="00817B9F">
        <w:t>Ten</w:t>
      </w:r>
      <w:r w:rsidR="00DF326D" w:rsidRPr="00817B9F">
        <w:t xml:space="preserve"> Years</w:t>
      </w:r>
      <w:bookmarkEnd w:id="81"/>
      <w:r w:rsidR="00CC09D1" w:rsidRPr="00817B9F">
        <w:t xml:space="preserve"> </w:t>
      </w:r>
    </w:p>
    <w:p w14:paraId="2324C6BC" w14:textId="2F7B41C4" w:rsidR="0043774B" w:rsidRPr="00817B9F" w:rsidRDefault="00C2522B" w:rsidP="00517EB3">
      <w:pPr>
        <w:pStyle w:val="NumberedParagraphs"/>
      </w:pPr>
      <w:r w:rsidRPr="00817B9F">
        <w:t xml:space="preserve">To </w:t>
      </w:r>
      <w:r w:rsidR="007C3FC1" w:rsidRPr="00817B9F">
        <w:t xml:space="preserve">estimate </w:t>
      </w:r>
      <w:r w:rsidR="00F41853" w:rsidRPr="00817B9F">
        <w:t xml:space="preserve">future demand for inpatient hospital services, we </w:t>
      </w:r>
      <w:r w:rsidR="00CC09D1" w:rsidRPr="00817B9F">
        <w:t>combine</w:t>
      </w:r>
      <w:r w:rsidR="006549CA" w:rsidRPr="00817B9F">
        <w:t xml:space="preserve"> </w:t>
      </w:r>
      <w:r w:rsidR="001C7D86" w:rsidRPr="00817B9F">
        <w:t xml:space="preserve">the UMDI </w:t>
      </w:r>
      <w:r w:rsidR="00710286" w:rsidRPr="00817B9F">
        <w:t>population</w:t>
      </w:r>
      <w:r w:rsidR="00FA6098" w:rsidRPr="00817B9F">
        <w:t xml:space="preserve"> </w:t>
      </w:r>
      <w:r w:rsidR="001C7D86" w:rsidRPr="00817B9F">
        <w:t>p</w:t>
      </w:r>
      <w:r w:rsidR="00231A9F" w:rsidRPr="00817B9F">
        <w:t>rojections</w:t>
      </w:r>
      <w:r w:rsidR="00CC09D1" w:rsidRPr="00817B9F">
        <w:t xml:space="preserve"> with</w:t>
      </w:r>
      <w:r w:rsidR="00000FBF" w:rsidRPr="00817B9F">
        <w:t xml:space="preserve"> </w:t>
      </w:r>
      <w:r w:rsidR="007E46EE" w:rsidRPr="00817B9F">
        <w:t xml:space="preserve">data from the Hospital Inpatient Discharge Database on current demand for inpatient </w:t>
      </w:r>
      <w:r w:rsidR="00E5715C" w:rsidRPr="00817B9F">
        <w:t>hospital</w:t>
      </w:r>
      <w:r w:rsidR="007E46EE" w:rsidRPr="00817B9F">
        <w:t xml:space="preserve"> services</w:t>
      </w:r>
      <w:r w:rsidR="00C82A0F" w:rsidRPr="00817B9F">
        <w:t xml:space="preserve">. </w:t>
      </w:r>
      <w:r w:rsidR="00CC09D1" w:rsidRPr="00817B9F">
        <w:t>Specifically</w:t>
      </w:r>
      <w:r w:rsidR="009B4C0D" w:rsidRPr="00817B9F">
        <w:t xml:space="preserve">, we tabulate the </w:t>
      </w:r>
      <w:r w:rsidR="004B2974" w:rsidRPr="00817B9F">
        <w:t>current number of discharges</w:t>
      </w:r>
      <w:r w:rsidR="00756331" w:rsidRPr="00817B9F">
        <w:t xml:space="preserve"> and patient days</w:t>
      </w:r>
      <w:r w:rsidR="004B2974" w:rsidRPr="00817B9F">
        <w:t xml:space="preserve"> by patient age,</w:t>
      </w:r>
      <w:r w:rsidR="002002F1" w:rsidRPr="00817B9F">
        <w:t xml:space="preserve"> </w:t>
      </w:r>
      <w:r w:rsidR="003905E4" w:rsidRPr="00817B9F">
        <w:t>gender</w:t>
      </w:r>
      <w:r w:rsidR="002002F1" w:rsidRPr="00817B9F">
        <w:t>, an</w:t>
      </w:r>
      <w:r w:rsidR="00CC09D1" w:rsidRPr="00817B9F">
        <w:t>d</w:t>
      </w:r>
      <w:r w:rsidR="0027083B" w:rsidRPr="00817B9F">
        <w:t xml:space="preserve"> ZIP </w:t>
      </w:r>
      <w:r w:rsidR="00466EEB" w:rsidRPr="00817B9F">
        <w:t>C</w:t>
      </w:r>
      <w:r w:rsidR="0027083B" w:rsidRPr="00817B9F">
        <w:t>ode</w:t>
      </w:r>
      <w:r w:rsidR="00CC09D1" w:rsidRPr="00817B9F">
        <w:t xml:space="preserve"> for MGH</w:t>
      </w:r>
      <w:r w:rsidR="0027083B" w:rsidRPr="00817B9F">
        <w:t xml:space="preserve">. </w:t>
      </w:r>
      <w:r w:rsidR="00721C32" w:rsidRPr="00817B9F">
        <w:t xml:space="preserve">We then apply the expected </w:t>
      </w:r>
      <w:r w:rsidR="00562136" w:rsidRPr="00817B9F">
        <w:t xml:space="preserve">population </w:t>
      </w:r>
      <w:r w:rsidR="00DF2582" w:rsidRPr="00817B9F">
        <w:t xml:space="preserve">growth rate </w:t>
      </w:r>
      <w:r w:rsidR="00562136" w:rsidRPr="00817B9F">
        <w:t xml:space="preserve">for the same age group, </w:t>
      </w:r>
      <w:r w:rsidR="003905E4" w:rsidRPr="00817B9F">
        <w:t>gender</w:t>
      </w:r>
      <w:r w:rsidR="008E024C" w:rsidRPr="00817B9F">
        <w:t>,</w:t>
      </w:r>
      <w:r w:rsidR="00562136" w:rsidRPr="00817B9F">
        <w:t xml:space="preserve"> and ZIP </w:t>
      </w:r>
      <w:r w:rsidR="00466EEB" w:rsidRPr="00817B9F">
        <w:t xml:space="preserve">Code based on </w:t>
      </w:r>
      <w:r w:rsidR="00DF2582" w:rsidRPr="00817B9F">
        <w:t>UMDI’s projections</w:t>
      </w:r>
      <w:r w:rsidR="002E3D30" w:rsidRPr="00817B9F">
        <w:t xml:space="preserve"> </w:t>
      </w:r>
      <w:r w:rsidR="002E3D30" w:rsidRPr="00817B9F">
        <w:lastRenderedPageBreak/>
        <w:t xml:space="preserve">to calculate </w:t>
      </w:r>
      <w:r w:rsidR="001A5755" w:rsidRPr="00817B9F">
        <w:t>the corresponding</w:t>
      </w:r>
      <w:r w:rsidR="00E96E47" w:rsidRPr="00817B9F">
        <w:t xml:space="preserve"> increase in discharges and patient days</w:t>
      </w:r>
      <w:r w:rsidR="00BB3BB5" w:rsidRPr="00817B9F">
        <w:t>.</w:t>
      </w:r>
      <w:r w:rsidR="00570CCF" w:rsidRPr="00817B9F">
        <w:rPr>
          <w:rStyle w:val="FootnoteReference"/>
        </w:rPr>
        <w:footnoteReference w:id="120"/>
      </w:r>
      <w:r w:rsidR="00BB3BB5" w:rsidRPr="00817B9F">
        <w:t xml:space="preserve"> Figure MGH</w:t>
      </w:r>
      <w:r w:rsidR="0081698A" w:rsidRPr="00817B9F">
        <w:t>12</w:t>
      </w:r>
      <w:r w:rsidR="00BB3BB5" w:rsidRPr="00817B9F">
        <w:t xml:space="preserve"> summarizes </w:t>
      </w:r>
      <w:r w:rsidR="00B461F0" w:rsidRPr="00817B9F">
        <w:t xml:space="preserve">the </w:t>
      </w:r>
      <w:r w:rsidR="002D30F1" w:rsidRPr="00817B9F">
        <w:t xml:space="preserve">resulting </w:t>
      </w:r>
      <w:r w:rsidR="00D011F2" w:rsidRPr="00817B9F">
        <w:t xml:space="preserve">estimates of demand in 2025 and 2030 </w:t>
      </w:r>
      <w:r w:rsidR="00D03978" w:rsidRPr="00817B9F">
        <w:t xml:space="preserve">separately for cancer services, heart and vascular services, and other inpatient services. </w:t>
      </w:r>
      <w:r w:rsidR="00CC09D1" w:rsidRPr="00817B9F">
        <w:t>This method does not account for changes in patients’ demand for inpatient hospital care that might arise from, for example, changes in the incidence of diseases or disorders, changes in treatment patterns, or entry or expansion of competitors to MGH. Importantly, our method also does not account for changes in</w:t>
      </w:r>
      <w:r w:rsidR="00774668" w:rsidRPr="00817B9F">
        <w:t xml:space="preserve"> </w:t>
      </w:r>
      <w:r w:rsidR="00CC09D1" w:rsidRPr="00817B9F">
        <w:t xml:space="preserve">inpatient </w:t>
      </w:r>
      <w:r w:rsidR="00774668" w:rsidRPr="00817B9F">
        <w:t>demand or capacity at</w:t>
      </w:r>
      <w:r w:rsidR="00CC09D1" w:rsidRPr="00817B9F">
        <w:t xml:space="preserve"> MGH </w:t>
      </w:r>
      <w:r w:rsidR="00774668" w:rsidRPr="00817B9F">
        <w:t>associated with the proposed project.</w:t>
      </w:r>
    </w:p>
    <w:p w14:paraId="4B4AED1D" w14:textId="527D18E7" w:rsidR="001E7FB1" w:rsidRPr="00817B9F" w:rsidRDefault="00CC09D1" w:rsidP="00EE4904">
      <w:pPr>
        <w:pStyle w:val="NumberedParagraphs"/>
      </w:pPr>
      <w:r w:rsidRPr="00817B9F">
        <w:t>We project that t</w:t>
      </w:r>
      <w:r w:rsidR="00813820" w:rsidRPr="00817B9F">
        <w:t>otal discharges and patient days at</w:t>
      </w:r>
      <w:r w:rsidR="00D00F86" w:rsidRPr="00817B9F">
        <w:t xml:space="preserve"> MGH </w:t>
      </w:r>
      <w:r w:rsidRPr="00817B9F">
        <w:t>will</w:t>
      </w:r>
      <w:r w:rsidR="00813820" w:rsidRPr="00817B9F">
        <w:t xml:space="preserve"> increase by nine percent between 2019 and 202</w:t>
      </w:r>
      <w:r w:rsidR="00ED13AD" w:rsidRPr="00817B9F">
        <w:t>5 and by 17 percent between 2019 and 20</w:t>
      </w:r>
      <w:r w:rsidR="00D863F5" w:rsidRPr="00817B9F">
        <w:t>3</w:t>
      </w:r>
      <w:r w:rsidR="00ED13AD" w:rsidRPr="00817B9F">
        <w:t>0</w:t>
      </w:r>
      <w:r w:rsidR="00D00F86" w:rsidRPr="00817B9F">
        <w:t xml:space="preserve">. </w:t>
      </w:r>
      <w:r w:rsidR="001E7FB1" w:rsidRPr="00817B9F">
        <w:t xml:space="preserve">The </w:t>
      </w:r>
      <w:r w:rsidR="00D10ED2" w:rsidRPr="00817B9F">
        <w:t xml:space="preserve">estimated </w:t>
      </w:r>
      <w:r w:rsidR="002E3245" w:rsidRPr="00817B9F">
        <w:t>growth rate</w:t>
      </w:r>
      <w:r w:rsidR="001E7FB1" w:rsidRPr="00817B9F">
        <w:t xml:space="preserve"> </w:t>
      </w:r>
      <w:r w:rsidR="00B8190B" w:rsidRPr="00817B9F">
        <w:t>in demand</w:t>
      </w:r>
      <w:r w:rsidR="001E7FB1" w:rsidRPr="00817B9F">
        <w:t xml:space="preserve"> for inpatient </w:t>
      </w:r>
      <w:r w:rsidR="00B8190B" w:rsidRPr="00817B9F">
        <w:t xml:space="preserve">cancer services </w:t>
      </w:r>
      <w:r w:rsidR="001768D9" w:rsidRPr="00817B9F">
        <w:t xml:space="preserve">is similar to </w:t>
      </w:r>
      <w:r w:rsidR="00684F37" w:rsidRPr="00817B9F">
        <w:t xml:space="preserve">the </w:t>
      </w:r>
      <w:r w:rsidR="001768D9" w:rsidRPr="00817B9F">
        <w:t>overall project</w:t>
      </w:r>
      <w:r w:rsidR="00684F37" w:rsidRPr="00817B9F">
        <w:t>ed</w:t>
      </w:r>
      <w:r w:rsidR="001768D9" w:rsidRPr="00817B9F">
        <w:t xml:space="preserve"> increases in demand</w:t>
      </w:r>
      <w:r w:rsidR="00774668" w:rsidRPr="00817B9F">
        <w:t xml:space="preserve"> for inpatient services at MGH</w:t>
      </w:r>
      <w:r w:rsidR="00684F37" w:rsidRPr="00817B9F">
        <w:t xml:space="preserve">, with </w:t>
      </w:r>
      <w:r w:rsidR="00A55835" w:rsidRPr="00817B9F">
        <w:t xml:space="preserve">cancer discharges projected to increase </w:t>
      </w:r>
      <w:r w:rsidR="0076780C" w:rsidRPr="00817B9F">
        <w:t xml:space="preserve">by 14 percent by 2030, with an accompanying </w:t>
      </w:r>
      <w:r w:rsidR="009E3B1C" w:rsidRPr="00817B9F">
        <w:t xml:space="preserve">15 percent increase </w:t>
      </w:r>
      <w:r w:rsidR="00740B14" w:rsidRPr="00817B9F">
        <w:t>in patient days.</w:t>
      </w:r>
      <w:r w:rsidR="0023307C" w:rsidRPr="00817B9F">
        <w:t xml:space="preserve"> Demand for heart and vascular services </w:t>
      </w:r>
      <w:r w:rsidR="004A282B" w:rsidRPr="00817B9F">
        <w:t xml:space="preserve">is projected to grow at a higher rate, with </w:t>
      </w:r>
      <w:r w:rsidR="00CE3C70" w:rsidRPr="00817B9F">
        <w:t xml:space="preserve">discharges and patient days predicted to increase </w:t>
      </w:r>
      <w:r w:rsidR="004D5F56" w:rsidRPr="00817B9F">
        <w:t xml:space="preserve">by more than </w:t>
      </w:r>
      <w:r w:rsidR="00104E9B" w:rsidRPr="00817B9F">
        <w:t>20 percent by 2030.</w:t>
      </w:r>
      <w:r w:rsidR="00E56CE6" w:rsidRPr="00817B9F">
        <w:t xml:space="preserve"> These </w:t>
      </w:r>
      <w:r w:rsidR="00D92E02" w:rsidRPr="00817B9F">
        <w:t>projections</w:t>
      </w:r>
      <w:r w:rsidR="00E56CE6" w:rsidRPr="00817B9F">
        <w:t xml:space="preserve"> are consistent with increase</w:t>
      </w:r>
      <w:r w:rsidR="00206BDD" w:rsidRPr="00817B9F">
        <w:t>d</w:t>
      </w:r>
      <w:r w:rsidR="00E56CE6" w:rsidRPr="00817B9F">
        <w:t xml:space="preserve"> </w:t>
      </w:r>
      <w:r w:rsidR="00774668" w:rsidRPr="00817B9F">
        <w:t xml:space="preserve">short- and long-term </w:t>
      </w:r>
      <w:r w:rsidR="00E56CE6" w:rsidRPr="00817B9F">
        <w:t xml:space="preserve">demand for inpatient </w:t>
      </w:r>
      <w:r w:rsidR="00D75CFB" w:rsidRPr="00817B9F">
        <w:t>services at MGH.</w:t>
      </w:r>
      <w:r w:rsidR="00676989" w:rsidRPr="00817B9F">
        <w:rPr>
          <w:rStyle w:val="FootnoteReference"/>
        </w:rPr>
        <w:footnoteReference w:id="121"/>
      </w:r>
    </w:p>
    <w:p w14:paraId="740D442E" w14:textId="6F33D6CD" w:rsidR="00E52354" w:rsidRPr="00817B9F" w:rsidRDefault="001766B4" w:rsidP="00E52354">
      <w:pPr>
        <w:pStyle w:val="NumberedParagraphs"/>
      </w:pPr>
      <w:r w:rsidRPr="00817B9F">
        <w:t>In the DoN</w:t>
      </w:r>
      <w:r w:rsidR="00774668" w:rsidRPr="00817B9F">
        <w:t xml:space="preserve"> application for MGH</w:t>
      </w:r>
      <w:r w:rsidRPr="00817B9F">
        <w:t xml:space="preserve">, </w:t>
      </w:r>
      <w:r w:rsidR="00774668" w:rsidRPr="00817B9F">
        <w:t>MGB</w:t>
      </w:r>
      <w:r w:rsidRPr="00817B9F">
        <w:t xml:space="preserve"> provides its own projections </w:t>
      </w:r>
      <w:r w:rsidR="003614E8" w:rsidRPr="00817B9F">
        <w:t>of</w:t>
      </w:r>
      <w:r w:rsidRPr="00817B9F">
        <w:t xml:space="preserve"> future inpatient </w:t>
      </w:r>
      <w:r w:rsidR="003614E8" w:rsidRPr="00817B9F">
        <w:t>demand</w:t>
      </w:r>
      <w:r w:rsidR="00774668" w:rsidRPr="00817B9F">
        <w:t xml:space="preserve"> at MGH</w:t>
      </w:r>
      <w:r w:rsidRPr="00817B9F">
        <w:t>.</w:t>
      </w:r>
      <w:r w:rsidR="00E52354" w:rsidRPr="00817B9F">
        <w:t xml:space="preserve"> MG</w:t>
      </w:r>
      <w:r w:rsidR="002A1DC6" w:rsidRPr="00817B9F">
        <w:t>B</w:t>
      </w:r>
      <w:r w:rsidR="00E52354" w:rsidRPr="00817B9F">
        <w:t xml:space="preserve"> </w:t>
      </w:r>
      <w:r w:rsidR="006751E0" w:rsidRPr="00817B9F">
        <w:t>explains that</w:t>
      </w:r>
      <w:r w:rsidR="00E52354" w:rsidRPr="00817B9F">
        <w:t xml:space="preserve"> its projections account for </w:t>
      </w:r>
      <w:r w:rsidR="00F53219" w:rsidRPr="00817B9F">
        <w:t xml:space="preserve">population changes, </w:t>
      </w:r>
      <w:r w:rsidR="00E52354" w:rsidRPr="00817B9F">
        <w:t xml:space="preserve">“shifting care from </w:t>
      </w:r>
      <w:r w:rsidR="00EF05E8" w:rsidRPr="00817B9F">
        <w:t xml:space="preserve">the </w:t>
      </w:r>
      <w:r w:rsidR="00E52354" w:rsidRPr="00817B9F">
        <w:t xml:space="preserve">inpatient to outpatient setting,” “improved </w:t>
      </w:r>
      <w:r w:rsidR="00EF05E8" w:rsidRPr="00817B9F">
        <w:t>care</w:t>
      </w:r>
      <w:r w:rsidR="00E52354" w:rsidRPr="00817B9F">
        <w:t xml:space="preserve"> coordination and improved health outcomes resulting in fewer inpatient medical/surgical admissions,” “shift[ing] </w:t>
      </w:r>
      <w:r w:rsidR="00CC0683" w:rsidRPr="00817B9F">
        <w:t>appropriate</w:t>
      </w:r>
      <w:r w:rsidR="00E52354" w:rsidRPr="00817B9F">
        <w:t xml:space="preserve"> cases to community hospitals</w:t>
      </w:r>
      <w:r w:rsidR="005518B0" w:rsidRPr="00817B9F">
        <w:t>,</w:t>
      </w:r>
      <w:r w:rsidR="00E52354" w:rsidRPr="00817B9F">
        <w:t>”</w:t>
      </w:r>
      <w:r w:rsidR="005518B0" w:rsidRPr="00817B9F">
        <w:t xml:space="preserve"> and </w:t>
      </w:r>
      <w:r w:rsidR="00482691" w:rsidRPr="00817B9F">
        <w:t xml:space="preserve">taking on </w:t>
      </w:r>
      <w:r w:rsidR="000C3EA6" w:rsidRPr="00817B9F">
        <w:t>“</w:t>
      </w:r>
      <w:r w:rsidR="00E105CF" w:rsidRPr="00817B9F">
        <w:t>higher acuity patients from community hospitals</w:t>
      </w:r>
      <w:r w:rsidR="00E52354" w:rsidRPr="00817B9F">
        <w:t>.”</w:t>
      </w:r>
      <w:r w:rsidR="00E52354" w:rsidRPr="00817B9F">
        <w:rPr>
          <w:rStyle w:val="FootnoteReference"/>
        </w:rPr>
        <w:footnoteReference w:id="122"/>
      </w:r>
      <w:r w:rsidR="00E52354" w:rsidRPr="00817B9F">
        <w:t xml:space="preserve"> </w:t>
      </w:r>
      <w:r w:rsidR="0092617E" w:rsidRPr="00817B9F">
        <w:t>MG</w:t>
      </w:r>
      <w:r w:rsidR="002A1DC6" w:rsidRPr="00817B9F">
        <w:t>B</w:t>
      </w:r>
      <w:r w:rsidR="0092617E" w:rsidRPr="00817B9F">
        <w:t xml:space="preserve">’s projections </w:t>
      </w:r>
      <w:r w:rsidR="00847CAF" w:rsidRPr="00817B9F">
        <w:t xml:space="preserve">for </w:t>
      </w:r>
      <w:r w:rsidR="005C68A2" w:rsidRPr="00817B9F">
        <w:t xml:space="preserve">inpatient </w:t>
      </w:r>
      <w:r w:rsidR="00847CAF" w:rsidRPr="00817B9F">
        <w:t>canc</w:t>
      </w:r>
      <w:r w:rsidR="00C811BE" w:rsidRPr="00817B9F">
        <w:t xml:space="preserve">er </w:t>
      </w:r>
      <w:r w:rsidR="005C68A2" w:rsidRPr="00817B9F">
        <w:t xml:space="preserve">services </w:t>
      </w:r>
      <w:r w:rsidR="00C811BE" w:rsidRPr="00817B9F">
        <w:t xml:space="preserve">and </w:t>
      </w:r>
      <w:r w:rsidR="005C68A2" w:rsidRPr="00817B9F">
        <w:t xml:space="preserve">inpatient </w:t>
      </w:r>
      <w:r w:rsidR="00C811BE" w:rsidRPr="00817B9F">
        <w:t xml:space="preserve">heart and vascular </w:t>
      </w:r>
      <w:r w:rsidR="005C68A2" w:rsidRPr="00817B9F">
        <w:t>services</w:t>
      </w:r>
      <w:r w:rsidR="002A1DC6" w:rsidRPr="00817B9F">
        <w:t xml:space="preserve"> at MGH</w:t>
      </w:r>
      <w:r w:rsidR="0092617E" w:rsidRPr="00817B9F">
        <w:t xml:space="preserve"> </w:t>
      </w:r>
      <w:r w:rsidR="0092617E" w:rsidRPr="00817B9F">
        <w:lastRenderedPageBreak/>
        <w:t>als</w:t>
      </w:r>
      <w:r w:rsidR="00E70A47" w:rsidRPr="00817B9F">
        <w:t xml:space="preserve">o assume </w:t>
      </w:r>
      <w:r w:rsidR="00847C2D" w:rsidRPr="00817B9F">
        <w:t>expanded</w:t>
      </w:r>
      <w:r w:rsidR="000A5C94" w:rsidRPr="00817B9F">
        <w:t xml:space="preserve"> inpatient beds and </w:t>
      </w:r>
      <w:r w:rsidR="00847C2D" w:rsidRPr="00817B9F">
        <w:t>the construction of</w:t>
      </w:r>
      <w:r w:rsidR="000A5C94" w:rsidRPr="00817B9F">
        <w:t xml:space="preserve"> a new tower focused on cancer and heart and vascular services.</w:t>
      </w:r>
      <w:r w:rsidR="0092617E" w:rsidRPr="00817B9F">
        <w:t xml:space="preserve"> </w:t>
      </w:r>
      <w:r w:rsidR="00EB6F48" w:rsidRPr="00817B9F">
        <w:t xml:space="preserve">This stands in contrast to our projections, which only reflect expected changes in the population and </w:t>
      </w:r>
      <w:r w:rsidR="004E0837" w:rsidRPr="00817B9F">
        <w:t>demographic</w:t>
      </w:r>
      <w:r w:rsidR="00EB6F48" w:rsidRPr="00817B9F">
        <w:t xml:space="preserve"> shift</w:t>
      </w:r>
      <w:r w:rsidR="004E0837" w:rsidRPr="00817B9F">
        <w:t>s</w:t>
      </w:r>
      <w:r w:rsidR="004F5C1A" w:rsidRPr="00817B9F">
        <w:t xml:space="preserve"> but hold </w:t>
      </w:r>
      <w:r w:rsidR="00774668" w:rsidRPr="00817B9F">
        <w:t>other factors affecting the demand for</w:t>
      </w:r>
      <w:r w:rsidR="005163CF" w:rsidRPr="00817B9F">
        <w:t xml:space="preserve"> and supply of</w:t>
      </w:r>
      <w:r w:rsidR="00774668" w:rsidRPr="00817B9F">
        <w:t xml:space="preserve"> inpatient hospital services constant. </w:t>
      </w:r>
    </w:p>
    <w:p w14:paraId="4E882C8F" w14:textId="10C51756" w:rsidR="008A62CD" w:rsidRPr="00817B9F" w:rsidRDefault="00787359" w:rsidP="008A62CD">
      <w:pPr>
        <w:pStyle w:val="NumberedParagraphs"/>
      </w:pPr>
      <w:r w:rsidRPr="00817B9F">
        <w:t>MG</w:t>
      </w:r>
      <w:r w:rsidR="002A1DC6" w:rsidRPr="00817B9F">
        <w:t>B</w:t>
      </w:r>
      <w:r w:rsidR="0009202F" w:rsidRPr="00817B9F">
        <w:t xml:space="preserve"> </w:t>
      </w:r>
      <w:r w:rsidR="00EA5D38" w:rsidRPr="00817B9F">
        <w:t>projects</w:t>
      </w:r>
      <w:r w:rsidR="003B6361" w:rsidRPr="00817B9F">
        <w:t xml:space="preserve"> a six percent increase in </w:t>
      </w:r>
      <w:r w:rsidR="006B646F" w:rsidRPr="00817B9F">
        <w:t xml:space="preserve">total </w:t>
      </w:r>
      <w:r w:rsidR="003B6361" w:rsidRPr="00817B9F">
        <w:t>patient days</w:t>
      </w:r>
      <w:r w:rsidR="002A1DC6" w:rsidRPr="00817B9F">
        <w:t xml:space="preserve"> at MGH</w:t>
      </w:r>
      <w:r w:rsidR="003B6361" w:rsidRPr="00817B9F">
        <w:t xml:space="preserve"> between </w:t>
      </w:r>
      <w:r w:rsidR="00823D03" w:rsidRPr="00817B9F">
        <w:t>2019 and 2029</w:t>
      </w:r>
      <w:r w:rsidR="000837A5" w:rsidRPr="00817B9F">
        <w:t xml:space="preserve">, </w:t>
      </w:r>
      <w:r w:rsidR="001E3585" w:rsidRPr="00817B9F">
        <w:t xml:space="preserve">which is </w:t>
      </w:r>
      <w:r w:rsidR="00CB06A5" w:rsidRPr="00817B9F">
        <w:t xml:space="preserve">lower than </w:t>
      </w:r>
      <w:r w:rsidR="00E94D69" w:rsidRPr="00817B9F">
        <w:t>our projected 17 percent increase over a similar period</w:t>
      </w:r>
      <w:r w:rsidR="00106E6E" w:rsidRPr="00817B9F">
        <w:t>.</w:t>
      </w:r>
      <w:r w:rsidR="00E94D69" w:rsidRPr="00817B9F">
        <w:rPr>
          <w:rStyle w:val="FootnoteReference"/>
        </w:rPr>
        <w:footnoteReference w:id="123"/>
      </w:r>
      <w:r w:rsidR="00BA68C1" w:rsidRPr="00817B9F">
        <w:t xml:space="preserve"> </w:t>
      </w:r>
      <w:r w:rsidR="003B0692" w:rsidRPr="00817B9F">
        <w:t xml:space="preserve">However, </w:t>
      </w:r>
      <w:r w:rsidR="006E53A6" w:rsidRPr="00817B9F">
        <w:t>our</w:t>
      </w:r>
      <w:r w:rsidR="00EA5D38" w:rsidRPr="00817B9F">
        <w:t xml:space="preserve"> estimates of </w:t>
      </w:r>
      <w:r w:rsidR="00774668" w:rsidRPr="00817B9F">
        <w:t>changes in</w:t>
      </w:r>
      <w:r w:rsidR="00EA5D38" w:rsidRPr="00817B9F">
        <w:t xml:space="preserve"> demand for </w:t>
      </w:r>
      <w:r w:rsidR="00774668" w:rsidRPr="00817B9F">
        <w:t xml:space="preserve">inpatient </w:t>
      </w:r>
      <w:r w:rsidR="00EA5D38" w:rsidRPr="00817B9F">
        <w:t xml:space="preserve">cancer services and </w:t>
      </w:r>
      <w:r w:rsidR="00774668" w:rsidRPr="00817B9F">
        <w:t xml:space="preserve">inpatient </w:t>
      </w:r>
      <w:r w:rsidR="00EA5D38" w:rsidRPr="00817B9F">
        <w:t>hea</w:t>
      </w:r>
      <w:r w:rsidR="00CD3038" w:rsidRPr="00817B9F">
        <w:t>rt</w:t>
      </w:r>
      <w:r w:rsidR="00EA5D38" w:rsidRPr="00817B9F">
        <w:t xml:space="preserve"> and </w:t>
      </w:r>
      <w:r w:rsidR="00C6311E" w:rsidRPr="00817B9F">
        <w:t>vascular</w:t>
      </w:r>
      <w:r w:rsidR="00EA5D38" w:rsidRPr="00817B9F">
        <w:t xml:space="preserve"> services are similar to MG</w:t>
      </w:r>
      <w:r w:rsidR="002A1DC6" w:rsidRPr="00817B9F">
        <w:t>B</w:t>
      </w:r>
      <w:r w:rsidR="00EA5D38" w:rsidRPr="00817B9F">
        <w:t xml:space="preserve">’s projections </w:t>
      </w:r>
      <w:r w:rsidR="00BC1205" w:rsidRPr="00817B9F">
        <w:t xml:space="preserve">for these services. </w:t>
      </w:r>
      <w:r w:rsidR="00C6311E" w:rsidRPr="00817B9F">
        <w:t>MG</w:t>
      </w:r>
      <w:r w:rsidR="002A1DC6" w:rsidRPr="00817B9F">
        <w:t>B</w:t>
      </w:r>
      <w:r w:rsidR="00C6311E" w:rsidRPr="00817B9F">
        <w:t xml:space="preserve"> estimates that patient days </w:t>
      </w:r>
      <w:r w:rsidR="002A1DC6" w:rsidRPr="00817B9F">
        <w:t xml:space="preserve">at MGH </w:t>
      </w:r>
      <w:r w:rsidR="001C4EEA" w:rsidRPr="00817B9F">
        <w:t xml:space="preserve">will increase by 19 percent by 2029 for both service </w:t>
      </w:r>
      <w:r w:rsidR="00774668" w:rsidRPr="00817B9F">
        <w:t>lines</w:t>
      </w:r>
      <w:r w:rsidR="004F3E00" w:rsidRPr="00817B9F">
        <w:rPr>
          <w:rStyle w:val="FootnoteReference"/>
        </w:rPr>
        <w:footnoteReference w:id="124"/>
      </w:r>
      <w:r w:rsidR="001C4EEA" w:rsidRPr="00817B9F">
        <w:t>, which is similar to our projected increase</w:t>
      </w:r>
      <w:r w:rsidR="00A96602" w:rsidRPr="00817B9F">
        <w:t xml:space="preserve">s in patient days for cancer services </w:t>
      </w:r>
      <w:r w:rsidR="00A9174B" w:rsidRPr="00817B9F">
        <w:t>(15 percent by 2030) and hea</w:t>
      </w:r>
      <w:r w:rsidR="002B15D9" w:rsidRPr="00817B9F">
        <w:t>rt</w:t>
      </w:r>
      <w:r w:rsidR="00A9174B" w:rsidRPr="00817B9F">
        <w:t xml:space="preserve"> and vascular services (</w:t>
      </w:r>
      <w:r w:rsidR="0081047C" w:rsidRPr="00817B9F">
        <w:t>21</w:t>
      </w:r>
      <w:r w:rsidR="00A9174B" w:rsidRPr="00817B9F">
        <w:t xml:space="preserve"> percent by 2030).</w:t>
      </w:r>
    </w:p>
    <w:p w14:paraId="693EADFE" w14:textId="3DD77245" w:rsidR="005379AD" w:rsidRPr="00817B9F" w:rsidRDefault="00F431BA" w:rsidP="005B4A97">
      <w:pPr>
        <w:pStyle w:val="NumberedParagraphs"/>
      </w:pPr>
      <w:r w:rsidRPr="00817B9F">
        <w:t>In summary, w</w:t>
      </w:r>
      <w:r w:rsidR="00FA7EB1" w:rsidRPr="00817B9F">
        <w:t xml:space="preserve">e predict substantial increases in demand for </w:t>
      </w:r>
      <w:r w:rsidR="00F80BC4" w:rsidRPr="00817B9F">
        <w:t>inpatient services</w:t>
      </w:r>
      <w:r w:rsidR="00FA7EB1" w:rsidRPr="00817B9F">
        <w:t xml:space="preserve"> at MG</w:t>
      </w:r>
      <w:r w:rsidR="00F80BC4" w:rsidRPr="00817B9F">
        <w:t>H</w:t>
      </w:r>
      <w:r w:rsidR="00FA7EB1" w:rsidRPr="00817B9F">
        <w:t xml:space="preserve"> in the next five to </w:t>
      </w:r>
      <w:r w:rsidR="005077E1" w:rsidRPr="00817B9F">
        <w:t>ten</w:t>
      </w:r>
      <w:r w:rsidR="00A903D7" w:rsidRPr="00817B9F">
        <w:t xml:space="preserve"> </w:t>
      </w:r>
      <w:r w:rsidR="00FA7EB1" w:rsidRPr="00817B9F">
        <w:t xml:space="preserve">years. This increase is driven by the </w:t>
      </w:r>
      <w:r w:rsidR="00420EF2" w:rsidRPr="00817B9F">
        <w:t xml:space="preserve">projected </w:t>
      </w:r>
      <w:r w:rsidR="00FA7EB1" w:rsidRPr="00817B9F">
        <w:t xml:space="preserve">population </w:t>
      </w:r>
      <w:r w:rsidR="00420EF2" w:rsidRPr="00817B9F">
        <w:t>growth</w:t>
      </w:r>
      <w:r w:rsidR="00FA7EB1" w:rsidRPr="00817B9F">
        <w:t xml:space="preserve"> in the service area of the hospital and </w:t>
      </w:r>
      <w:r w:rsidR="00F80BC4" w:rsidRPr="00817B9F">
        <w:t>the</w:t>
      </w:r>
      <w:r w:rsidR="00FA7EB1" w:rsidRPr="00817B9F">
        <w:t xml:space="preserve"> aging of that population. For</w:t>
      </w:r>
      <w:r w:rsidR="00CD3038" w:rsidRPr="00817B9F">
        <w:t xml:space="preserve"> cancer inpatient services and heart and vascular inpatient services</w:t>
      </w:r>
      <w:r w:rsidR="00FA7EB1" w:rsidRPr="00817B9F">
        <w:t>, our projections are consistent with the projections that MGB included in its DoN application, although we rely on a different method to arrive at our projections.</w:t>
      </w:r>
    </w:p>
    <w:p w14:paraId="4EF1EE30" w14:textId="7238A448" w:rsidR="007E0AF7" w:rsidRPr="00817B9F" w:rsidRDefault="00DF326D" w:rsidP="006D5A60">
      <w:pPr>
        <w:pStyle w:val="Heading2"/>
        <w:rPr>
          <w:rFonts w:cs="Times New Roman"/>
        </w:rPr>
      </w:pPr>
      <w:bookmarkStart w:id="82" w:name="_Toc90046518"/>
      <w:r w:rsidRPr="00817B9F">
        <w:rPr>
          <w:rFonts w:cs="Times New Roman"/>
        </w:rPr>
        <w:t>Outpatient Services</w:t>
      </w:r>
      <w:bookmarkEnd w:id="82"/>
    </w:p>
    <w:p w14:paraId="0C9985DF" w14:textId="60857F30" w:rsidR="004460D9" w:rsidRPr="00817B9F" w:rsidRDefault="00CE5109" w:rsidP="009B5648">
      <w:pPr>
        <w:pStyle w:val="Heading3"/>
        <w:numPr>
          <w:ilvl w:val="0"/>
          <w:numId w:val="34"/>
        </w:numPr>
      </w:pPr>
      <w:bookmarkStart w:id="83" w:name="_Toc90046519"/>
      <w:r w:rsidRPr="00817B9F">
        <w:t xml:space="preserve">Changes in Demographics in </w:t>
      </w:r>
      <w:r w:rsidR="00B80B1A" w:rsidRPr="00817B9F">
        <w:t>Five</w:t>
      </w:r>
      <w:r w:rsidRPr="00817B9F">
        <w:t xml:space="preserve"> and </w:t>
      </w:r>
      <w:r w:rsidR="00B80B1A" w:rsidRPr="00817B9F">
        <w:t>Ten</w:t>
      </w:r>
      <w:r w:rsidRPr="00817B9F">
        <w:t xml:space="preserve"> Years</w:t>
      </w:r>
      <w:bookmarkEnd w:id="83"/>
    </w:p>
    <w:p w14:paraId="4BA0ADB8" w14:textId="1BBBE284" w:rsidR="00570D9B" w:rsidRPr="00817B9F" w:rsidRDefault="00570D9B" w:rsidP="00517EB3">
      <w:pPr>
        <w:pStyle w:val="NumberedParagraphs"/>
      </w:pPr>
      <w:r w:rsidRPr="00817B9F">
        <w:t xml:space="preserve">Figure </w:t>
      </w:r>
      <w:r w:rsidR="00F31B3F" w:rsidRPr="00817B9F">
        <w:t>MGH</w:t>
      </w:r>
      <w:r w:rsidR="0081698A" w:rsidRPr="00817B9F">
        <w:t>13</w:t>
      </w:r>
      <w:r w:rsidRPr="00817B9F">
        <w:t xml:space="preserve"> </w:t>
      </w:r>
      <w:r w:rsidR="005444F2" w:rsidRPr="00817B9F">
        <w:t>summarizes</w:t>
      </w:r>
      <w:r w:rsidRPr="00817B9F">
        <w:t xml:space="preserve"> </w:t>
      </w:r>
      <w:r w:rsidR="0096106D" w:rsidRPr="00817B9F">
        <w:t>short- and long-term estimates of expected changes in total population and project</w:t>
      </w:r>
      <w:r w:rsidR="00C868A4" w:rsidRPr="00817B9F">
        <w:t>ed</w:t>
      </w:r>
      <w:r w:rsidR="0096106D" w:rsidRPr="00817B9F">
        <w:t xml:space="preserve"> demographic shifts in MGH’s 75 percent service area for outpatient services, including diagnostic imaging services, </w:t>
      </w:r>
      <w:r w:rsidR="004815A2" w:rsidRPr="00817B9F">
        <w:t>cardiovascular</w:t>
      </w:r>
      <w:r w:rsidR="00D20686" w:rsidRPr="00817B9F">
        <w:t xml:space="preserve"> </w:t>
      </w:r>
      <w:r w:rsidR="0096106D" w:rsidRPr="00817B9F">
        <w:t>services</w:t>
      </w:r>
      <w:r w:rsidR="00D20686" w:rsidRPr="00817B9F">
        <w:t>,</w:t>
      </w:r>
      <w:r w:rsidR="0096106D" w:rsidRPr="00817B9F">
        <w:t xml:space="preserve"> and oncology services</w:t>
      </w:r>
      <w:r w:rsidR="008F5BF3" w:rsidRPr="00817B9F">
        <w:t>.</w:t>
      </w:r>
      <w:r w:rsidR="00257860" w:rsidRPr="00817B9F">
        <w:t xml:space="preserve"> </w:t>
      </w:r>
      <w:r w:rsidR="0096106D" w:rsidRPr="00817B9F">
        <w:t xml:space="preserve">As with our projections for inpatient services in MGH’s 75 percent </w:t>
      </w:r>
      <w:r w:rsidR="00B80B1A" w:rsidRPr="00817B9F">
        <w:t xml:space="preserve">inpatient </w:t>
      </w:r>
      <w:r w:rsidR="0096106D" w:rsidRPr="00817B9F">
        <w:t>service area, t</w:t>
      </w:r>
      <w:r w:rsidR="00B11F63" w:rsidRPr="00817B9F">
        <w:t>hese projections include estimates</w:t>
      </w:r>
      <w:r w:rsidRPr="00817B9F">
        <w:t xml:space="preserve"> by </w:t>
      </w:r>
      <w:r w:rsidR="003905E4" w:rsidRPr="00817B9F">
        <w:t>gender</w:t>
      </w:r>
      <w:r w:rsidRPr="00817B9F">
        <w:t xml:space="preserve"> </w:t>
      </w:r>
      <w:r w:rsidR="00B11F63" w:rsidRPr="00817B9F">
        <w:t xml:space="preserve">and </w:t>
      </w:r>
      <w:r w:rsidRPr="00817B9F">
        <w:t>age group</w:t>
      </w:r>
      <w:r w:rsidR="00B11F63" w:rsidRPr="00817B9F">
        <w:t>, but estimates by</w:t>
      </w:r>
      <w:r w:rsidRPr="00817B9F">
        <w:t xml:space="preserve"> race</w:t>
      </w:r>
      <w:r w:rsidR="00B11F63" w:rsidRPr="00817B9F">
        <w:t xml:space="preserve"> and </w:t>
      </w:r>
      <w:r w:rsidRPr="00817B9F">
        <w:t xml:space="preserve">ethnicity are not available. </w:t>
      </w:r>
      <w:r w:rsidR="0096106D" w:rsidRPr="00817B9F">
        <w:t xml:space="preserve">Within MGH’s 75 percent outpatient service area, the total population is projected to grow from 3.1 million </w:t>
      </w:r>
      <w:r w:rsidR="003D4F6C" w:rsidRPr="00817B9F">
        <w:t xml:space="preserve">in 2020 </w:t>
      </w:r>
      <w:r w:rsidR="0096106D" w:rsidRPr="00817B9F">
        <w:t>to 3.3 million</w:t>
      </w:r>
      <w:r w:rsidR="003D4F6C" w:rsidRPr="00817B9F">
        <w:t xml:space="preserve"> in 2030</w:t>
      </w:r>
      <w:r w:rsidR="0096106D" w:rsidRPr="00817B9F">
        <w:t xml:space="preserve">, an increase of six percent. During this period, </w:t>
      </w:r>
      <w:r w:rsidR="0096106D" w:rsidRPr="00817B9F">
        <w:lastRenderedPageBreak/>
        <w:t>the number of residents age 65 and older is expected to grow at a faster rate than the overall population, increasing by 29 percent from 529 thousand</w:t>
      </w:r>
      <w:r w:rsidR="003D4F6C" w:rsidRPr="00817B9F">
        <w:t xml:space="preserve"> in 2020</w:t>
      </w:r>
      <w:r w:rsidR="0096106D" w:rsidRPr="00817B9F">
        <w:t xml:space="preserve"> to 682 thousand in 2030.</w:t>
      </w:r>
    </w:p>
    <w:p w14:paraId="07C623AD" w14:textId="7E83A4D0" w:rsidR="00477BFB" w:rsidRPr="00817B9F" w:rsidRDefault="007E0AF7" w:rsidP="005C0E6B">
      <w:pPr>
        <w:pStyle w:val="Heading3"/>
      </w:pPr>
      <w:bookmarkStart w:id="84" w:name="_Toc90046520"/>
      <w:r w:rsidRPr="00817B9F">
        <w:t xml:space="preserve">Changes </w:t>
      </w:r>
      <w:r w:rsidR="00D94764" w:rsidRPr="00817B9F">
        <w:t xml:space="preserve">in Demand </w:t>
      </w:r>
      <w:r w:rsidR="00AF6977" w:rsidRPr="00817B9F">
        <w:t xml:space="preserve">Using </w:t>
      </w:r>
      <w:r w:rsidR="00911501" w:rsidRPr="00817B9F">
        <w:t>P</w:t>
      </w:r>
      <w:r w:rsidR="00477BFB" w:rsidRPr="00817B9F">
        <w:t>redicted Demographics in</w:t>
      </w:r>
      <w:r w:rsidR="001E65F2" w:rsidRPr="00817B9F">
        <w:t xml:space="preserve"> Five</w:t>
      </w:r>
      <w:r w:rsidR="00477BFB" w:rsidRPr="00817B9F">
        <w:t xml:space="preserve"> and </w:t>
      </w:r>
      <w:r w:rsidR="001E65F2" w:rsidRPr="00817B9F">
        <w:t>Ten</w:t>
      </w:r>
      <w:r w:rsidR="00477BFB" w:rsidRPr="00817B9F">
        <w:t xml:space="preserve"> Years</w:t>
      </w:r>
      <w:bookmarkEnd w:id="84"/>
    </w:p>
    <w:p w14:paraId="1D550AAF" w14:textId="6060569E" w:rsidR="007F0120" w:rsidRPr="00817B9F" w:rsidRDefault="00507ED8" w:rsidP="00517EB3">
      <w:pPr>
        <w:pStyle w:val="NumberedParagraphs"/>
      </w:pPr>
      <w:r w:rsidRPr="00817B9F">
        <w:t>To estimate future demand for</w:t>
      </w:r>
      <w:r w:rsidR="00DA2DAD" w:rsidRPr="00817B9F">
        <w:t xml:space="preserve"> </w:t>
      </w:r>
      <w:r w:rsidRPr="00817B9F">
        <w:t>outpatient services</w:t>
      </w:r>
      <w:r w:rsidR="00000FBF" w:rsidRPr="00817B9F">
        <w:t xml:space="preserve"> at MGH</w:t>
      </w:r>
      <w:r w:rsidRPr="00817B9F">
        <w:t xml:space="preserve">, we </w:t>
      </w:r>
      <w:r w:rsidR="00000FBF" w:rsidRPr="00817B9F">
        <w:t xml:space="preserve">combine the </w:t>
      </w:r>
      <w:r w:rsidRPr="00817B9F">
        <w:t xml:space="preserve">UMDI population projections </w:t>
      </w:r>
      <w:r w:rsidR="00000FBF" w:rsidRPr="00817B9F">
        <w:t xml:space="preserve">with </w:t>
      </w:r>
      <w:r w:rsidR="00B461F0" w:rsidRPr="00817B9F">
        <w:t xml:space="preserve">data from the APCD and Medicare Claims data on current demand for outpatient health care services. Specifically, </w:t>
      </w:r>
      <w:r w:rsidRPr="00817B9F">
        <w:t xml:space="preserve">we tabulate the current </w:t>
      </w:r>
      <w:r w:rsidR="00A420DC" w:rsidRPr="00817B9F">
        <w:t>volume</w:t>
      </w:r>
      <w:r w:rsidRPr="00817B9F">
        <w:t xml:space="preserve"> </w:t>
      </w:r>
      <w:r w:rsidR="00F51723" w:rsidRPr="00817B9F">
        <w:t>for</w:t>
      </w:r>
      <w:r w:rsidR="00D333DE" w:rsidRPr="00817B9F">
        <w:t xml:space="preserve"> </w:t>
      </w:r>
      <w:r w:rsidR="00B461F0" w:rsidRPr="00817B9F">
        <w:t xml:space="preserve">each </w:t>
      </w:r>
      <w:r w:rsidR="00D333DE" w:rsidRPr="00817B9F">
        <w:t>outpatient service</w:t>
      </w:r>
      <w:r w:rsidR="00B461F0" w:rsidRPr="00817B9F">
        <w:t xml:space="preserve"> line</w:t>
      </w:r>
      <w:r w:rsidRPr="00817B9F">
        <w:t xml:space="preserve"> by patient age, </w:t>
      </w:r>
      <w:r w:rsidR="003905E4" w:rsidRPr="00817B9F">
        <w:t>gender</w:t>
      </w:r>
      <w:r w:rsidRPr="00817B9F">
        <w:t>,</w:t>
      </w:r>
      <w:r w:rsidR="00B461F0" w:rsidRPr="00817B9F">
        <w:t xml:space="preserve"> and</w:t>
      </w:r>
      <w:r w:rsidRPr="00817B9F">
        <w:t xml:space="preserve"> ZIP Code</w:t>
      </w:r>
      <w:r w:rsidR="00B461F0" w:rsidRPr="00817B9F">
        <w:t xml:space="preserve"> for MG</w:t>
      </w:r>
      <w:r w:rsidR="00B02461" w:rsidRPr="00817B9F">
        <w:t>H</w:t>
      </w:r>
      <w:r w:rsidRPr="00817B9F">
        <w:t xml:space="preserve">. We then apply the expected population growth rate for the same age group, </w:t>
      </w:r>
      <w:r w:rsidR="003905E4" w:rsidRPr="00817B9F">
        <w:t>gender</w:t>
      </w:r>
      <w:r w:rsidR="00B461F0" w:rsidRPr="00817B9F">
        <w:t>,</w:t>
      </w:r>
      <w:r w:rsidRPr="00817B9F">
        <w:t xml:space="preserve"> and</w:t>
      </w:r>
      <w:r w:rsidR="00872FD7" w:rsidRPr="00817B9F">
        <w:t xml:space="preserve"> </w:t>
      </w:r>
      <w:r w:rsidRPr="00817B9F">
        <w:t xml:space="preserve">ZIP Code based on UMDI’s projections to calculate </w:t>
      </w:r>
      <w:r w:rsidR="001A5755" w:rsidRPr="00817B9F">
        <w:t>the</w:t>
      </w:r>
      <w:r w:rsidRPr="00817B9F">
        <w:t xml:space="preserve"> </w:t>
      </w:r>
      <w:r w:rsidR="001A5755" w:rsidRPr="00817B9F">
        <w:t>corresponding</w:t>
      </w:r>
      <w:r w:rsidRPr="00817B9F">
        <w:t xml:space="preserve"> increase in</w:t>
      </w:r>
      <w:r w:rsidR="00B461F0" w:rsidRPr="00817B9F">
        <w:t xml:space="preserve"> outpatient service</w:t>
      </w:r>
      <w:r w:rsidRPr="00817B9F">
        <w:t xml:space="preserve"> </w:t>
      </w:r>
      <w:r w:rsidR="00B461F0" w:rsidRPr="00817B9F">
        <w:t>volume</w:t>
      </w:r>
      <w:r w:rsidR="00CA4B73" w:rsidRPr="00817B9F">
        <w:t>.</w:t>
      </w:r>
      <w:r w:rsidR="005A5BFC" w:rsidRPr="00817B9F">
        <w:rPr>
          <w:rStyle w:val="FootnoteReference"/>
        </w:rPr>
        <w:footnoteReference w:id="125"/>
      </w:r>
      <w:r w:rsidR="003E442C" w:rsidRPr="00817B9F">
        <w:t xml:space="preserve"> </w:t>
      </w:r>
      <w:r w:rsidR="007423EF" w:rsidRPr="00817B9F">
        <w:t>Figure MGH</w:t>
      </w:r>
      <w:r w:rsidR="00BC3FA3" w:rsidRPr="00817B9F">
        <w:t>14</w:t>
      </w:r>
      <w:r w:rsidR="007423EF" w:rsidRPr="00817B9F">
        <w:t xml:space="preserve"> summarizes </w:t>
      </w:r>
      <w:r w:rsidR="00B02461" w:rsidRPr="00817B9F">
        <w:t xml:space="preserve">the </w:t>
      </w:r>
      <w:r w:rsidR="007423EF" w:rsidRPr="00817B9F">
        <w:t>resulting estimates of demand in 2025 and 2030 separately for</w:t>
      </w:r>
      <w:r w:rsidR="00B02461" w:rsidRPr="00817B9F">
        <w:t xml:space="preserve"> outpatient</w:t>
      </w:r>
      <w:r w:rsidR="007423EF" w:rsidRPr="00817B9F">
        <w:t xml:space="preserve"> </w:t>
      </w:r>
      <w:r w:rsidR="002D6A14" w:rsidRPr="00817B9F">
        <w:t>CT s</w:t>
      </w:r>
      <w:r w:rsidR="0076342E" w:rsidRPr="00817B9F">
        <w:t>cans, MR scans, PET</w:t>
      </w:r>
      <w:r w:rsidR="00B02461" w:rsidRPr="00817B9F">
        <w:t>/CT</w:t>
      </w:r>
      <w:r w:rsidR="0076342E" w:rsidRPr="00817B9F">
        <w:t xml:space="preserve"> scans, </w:t>
      </w:r>
      <w:r w:rsidR="00C43AAC" w:rsidRPr="00817B9F">
        <w:t xml:space="preserve">cardiovascular </w:t>
      </w:r>
      <w:r w:rsidR="00B02461" w:rsidRPr="00817B9F">
        <w:t>services</w:t>
      </w:r>
      <w:r w:rsidR="001476F6" w:rsidRPr="00817B9F">
        <w:t xml:space="preserve">, and </w:t>
      </w:r>
      <w:r w:rsidR="00C43AAC" w:rsidRPr="00817B9F">
        <w:t>oncology visits</w:t>
      </w:r>
      <w:r w:rsidR="007423EF" w:rsidRPr="00817B9F">
        <w:t>.</w:t>
      </w:r>
      <w:r w:rsidR="00CB5091" w:rsidRPr="00817B9F">
        <w:rPr>
          <w:rStyle w:val="FootnoteReference"/>
        </w:rPr>
        <w:footnoteReference w:id="126"/>
      </w:r>
      <w:r w:rsidR="007423EF" w:rsidRPr="00817B9F">
        <w:t xml:space="preserve"> </w:t>
      </w:r>
      <w:r w:rsidR="0067545B" w:rsidRPr="00817B9F">
        <w:t>This method does not account for changes in patients’ demand for outpatient hospital services that might arise from, for example, changes in the incidence of diseases or disorders, changes in treatment patterns, or entry or expansion of competitors to MGH. Importantly, our method also does not account for changes in outpatient demand or capacity at MGH associated with the proposed project.</w:t>
      </w:r>
    </w:p>
    <w:p w14:paraId="4DCCAFB5" w14:textId="5F26099B" w:rsidR="003F00EC" w:rsidRPr="00817B9F" w:rsidRDefault="0067545B" w:rsidP="00272167">
      <w:pPr>
        <w:pStyle w:val="NumberedParagraphs"/>
      </w:pPr>
      <w:r w:rsidRPr="00817B9F">
        <w:t>We project that outpatient</w:t>
      </w:r>
      <w:r w:rsidR="00DF3206" w:rsidRPr="00817B9F">
        <w:t xml:space="preserve"> </w:t>
      </w:r>
      <w:r w:rsidR="00186573" w:rsidRPr="00817B9F">
        <w:t>CT, MR and PET</w:t>
      </w:r>
      <w:r w:rsidRPr="00817B9F">
        <w:t>/</w:t>
      </w:r>
      <w:r w:rsidR="00186573" w:rsidRPr="00817B9F">
        <w:t xml:space="preserve">CT scans </w:t>
      </w:r>
      <w:r w:rsidRPr="00817B9F">
        <w:t xml:space="preserve">at MGH will increase </w:t>
      </w:r>
      <w:r w:rsidR="00762D9D" w:rsidRPr="00817B9F">
        <w:t xml:space="preserve">by </w:t>
      </w:r>
      <w:r w:rsidR="00355F7D" w:rsidRPr="00817B9F">
        <w:t>nine</w:t>
      </w:r>
      <w:r w:rsidR="00BB7CA8" w:rsidRPr="00817B9F">
        <w:t xml:space="preserve"> percent, </w:t>
      </w:r>
      <w:r w:rsidR="00355F7D" w:rsidRPr="00817B9F">
        <w:t>six</w:t>
      </w:r>
      <w:r w:rsidR="00BB7CA8" w:rsidRPr="00817B9F">
        <w:t xml:space="preserve"> percent</w:t>
      </w:r>
      <w:r w:rsidR="002E40E1" w:rsidRPr="00817B9F">
        <w:t>,</w:t>
      </w:r>
      <w:r w:rsidR="00BB7CA8" w:rsidRPr="00817B9F">
        <w:t xml:space="preserve"> and </w:t>
      </w:r>
      <w:r w:rsidR="005077E1" w:rsidRPr="00817B9F">
        <w:t>ten</w:t>
      </w:r>
      <w:r w:rsidR="00BB7CA8" w:rsidRPr="00817B9F">
        <w:t xml:space="preserve"> percent</w:t>
      </w:r>
      <w:r w:rsidR="008C097C" w:rsidRPr="00817B9F">
        <w:t>, re</w:t>
      </w:r>
      <w:r w:rsidR="00396C4F" w:rsidRPr="00817B9F">
        <w:t>spectively,</w:t>
      </w:r>
      <w:r w:rsidR="002E40E1" w:rsidRPr="00817B9F">
        <w:t xml:space="preserve"> </w:t>
      </w:r>
      <w:r w:rsidR="0045231F" w:rsidRPr="00817B9F">
        <w:t>between 2018 and 2025</w:t>
      </w:r>
      <w:r w:rsidR="00882A2C" w:rsidRPr="00817B9F">
        <w:t xml:space="preserve">. </w:t>
      </w:r>
      <w:r w:rsidR="006454F7" w:rsidRPr="00817B9F">
        <w:t xml:space="preserve">The projected growth rates </w:t>
      </w:r>
      <w:r w:rsidR="00FF063E" w:rsidRPr="00817B9F">
        <w:t xml:space="preserve">for </w:t>
      </w:r>
      <w:r w:rsidR="009E1E59" w:rsidRPr="00817B9F">
        <w:t>the same</w:t>
      </w:r>
      <w:r w:rsidRPr="00817B9F">
        <w:t xml:space="preserve"> outpatient diagnostic</w:t>
      </w:r>
      <w:r w:rsidR="009E1E59" w:rsidRPr="00817B9F">
        <w:t xml:space="preserve"> imaging services </w:t>
      </w:r>
      <w:r w:rsidR="006454F7" w:rsidRPr="00817B9F">
        <w:t xml:space="preserve">are </w:t>
      </w:r>
      <w:r w:rsidR="00377F9D" w:rsidRPr="00817B9F">
        <w:t>16</w:t>
      </w:r>
      <w:r w:rsidR="00505A97" w:rsidRPr="00817B9F">
        <w:t xml:space="preserve"> percent, </w:t>
      </w:r>
      <w:r w:rsidR="005077E1" w:rsidRPr="00817B9F">
        <w:t>ten</w:t>
      </w:r>
      <w:r w:rsidR="00505A97" w:rsidRPr="00817B9F">
        <w:t xml:space="preserve"> percent, and 17 percent</w:t>
      </w:r>
      <w:r w:rsidR="00BD6695" w:rsidRPr="00817B9F">
        <w:t>, respectively,</w:t>
      </w:r>
      <w:r w:rsidR="00B179B3" w:rsidRPr="00817B9F">
        <w:t xml:space="preserve"> </w:t>
      </w:r>
      <w:r w:rsidRPr="00817B9F">
        <w:t>between</w:t>
      </w:r>
      <w:r w:rsidR="00D92673" w:rsidRPr="00817B9F">
        <w:t xml:space="preserve"> 2018 to 2030. </w:t>
      </w:r>
      <w:r w:rsidR="00272167" w:rsidRPr="00817B9F">
        <w:t xml:space="preserve">We project that </w:t>
      </w:r>
      <w:r w:rsidR="005D283D" w:rsidRPr="00817B9F">
        <w:t>cardiovascular services</w:t>
      </w:r>
      <w:r w:rsidR="003F00EC" w:rsidRPr="00817B9F">
        <w:t xml:space="preserve"> and </w:t>
      </w:r>
      <w:r w:rsidR="00272167" w:rsidRPr="00817B9F">
        <w:t>outpatient</w:t>
      </w:r>
      <w:r w:rsidR="00F55CBC" w:rsidRPr="00817B9F">
        <w:t xml:space="preserve"> </w:t>
      </w:r>
      <w:r w:rsidR="003F00EC" w:rsidRPr="00817B9F">
        <w:t>oncology visits</w:t>
      </w:r>
      <w:r w:rsidR="00272167" w:rsidRPr="00817B9F">
        <w:t xml:space="preserve"> will </w:t>
      </w:r>
      <w:r w:rsidR="00F55CBC" w:rsidRPr="00817B9F">
        <w:t>increase</w:t>
      </w:r>
      <w:r w:rsidR="003F00EC" w:rsidRPr="00817B9F">
        <w:t xml:space="preserve"> </w:t>
      </w:r>
      <w:r w:rsidR="00F55CBC" w:rsidRPr="00817B9F">
        <w:t>by</w:t>
      </w:r>
      <w:r w:rsidR="003F00EC" w:rsidRPr="00817B9F">
        <w:t xml:space="preserve"> </w:t>
      </w:r>
      <w:r w:rsidR="009D6DC5" w:rsidRPr="00817B9F">
        <w:t>12</w:t>
      </w:r>
      <w:r w:rsidR="003F00EC" w:rsidRPr="00817B9F">
        <w:t xml:space="preserve"> percent and </w:t>
      </w:r>
      <w:r w:rsidR="005077E1" w:rsidRPr="00817B9F">
        <w:t>ten</w:t>
      </w:r>
      <w:r w:rsidR="003F00EC" w:rsidRPr="00817B9F">
        <w:t xml:space="preserve"> percent </w:t>
      </w:r>
      <w:r w:rsidR="00147994" w:rsidRPr="00817B9F">
        <w:t>between</w:t>
      </w:r>
      <w:r w:rsidR="003F00EC" w:rsidRPr="00817B9F">
        <w:t xml:space="preserve"> 2018 </w:t>
      </w:r>
      <w:r w:rsidR="00272167" w:rsidRPr="00817B9F">
        <w:t xml:space="preserve">and </w:t>
      </w:r>
      <w:r w:rsidR="003F00EC" w:rsidRPr="00817B9F">
        <w:t>2025</w:t>
      </w:r>
      <w:r w:rsidR="006332D1" w:rsidRPr="00817B9F">
        <w:t xml:space="preserve"> and </w:t>
      </w:r>
      <w:r w:rsidR="00272167" w:rsidRPr="00817B9F">
        <w:t xml:space="preserve">by </w:t>
      </w:r>
      <w:r w:rsidR="009D6DC5" w:rsidRPr="00817B9F">
        <w:t>21</w:t>
      </w:r>
      <w:r w:rsidR="006332D1" w:rsidRPr="00817B9F">
        <w:t xml:space="preserve"> percent and 18 percent </w:t>
      </w:r>
      <w:r w:rsidR="00BB6FF7" w:rsidRPr="00817B9F">
        <w:t>between 2018 and 2030</w:t>
      </w:r>
      <w:r w:rsidR="003F00EC" w:rsidRPr="00817B9F">
        <w:t xml:space="preserve">, respectively. </w:t>
      </w:r>
      <w:r w:rsidR="00272167" w:rsidRPr="00817B9F">
        <w:t xml:space="preserve">These results are consistent </w:t>
      </w:r>
      <w:r w:rsidR="00272167" w:rsidRPr="00817B9F">
        <w:lastRenderedPageBreak/>
        <w:t>with increased short- and long-term demand for outpatient diagnostic imaging services, cardiovascular services, and oncology vis</w:t>
      </w:r>
      <w:r w:rsidR="00374CD7" w:rsidRPr="00817B9F">
        <w:t>i</w:t>
      </w:r>
      <w:r w:rsidR="00272167" w:rsidRPr="00817B9F">
        <w:t>ts at MGH.</w:t>
      </w:r>
      <w:r w:rsidR="00272167" w:rsidRPr="00817B9F">
        <w:rPr>
          <w:rStyle w:val="FootnoteReference"/>
        </w:rPr>
        <w:footnoteReference w:id="127"/>
      </w:r>
    </w:p>
    <w:p w14:paraId="3A5BFA54" w14:textId="4C11F2A7" w:rsidR="00140788" w:rsidRPr="00817B9F" w:rsidRDefault="001A590A" w:rsidP="00912481">
      <w:pPr>
        <w:pStyle w:val="NumberedParagraphs"/>
      </w:pPr>
      <w:r w:rsidRPr="00817B9F">
        <w:t>In the DoN</w:t>
      </w:r>
      <w:r w:rsidR="00272167" w:rsidRPr="00817B9F">
        <w:t xml:space="preserve"> application for MGH</w:t>
      </w:r>
      <w:r w:rsidRPr="00817B9F">
        <w:t xml:space="preserve">, </w:t>
      </w:r>
      <w:r w:rsidR="00272167" w:rsidRPr="00817B9F">
        <w:t>MG</w:t>
      </w:r>
      <w:r w:rsidR="00E503F3" w:rsidRPr="00817B9F">
        <w:t>B</w:t>
      </w:r>
      <w:r w:rsidRPr="00817B9F">
        <w:t xml:space="preserve"> provides its own projections </w:t>
      </w:r>
      <w:r w:rsidR="008E1AAC" w:rsidRPr="00817B9F">
        <w:t>of future demand</w:t>
      </w:r>
      <w:r w:rsidR="00786DB8" w:rsidRPr="00817B9F">
        <w:t xml:space="preserve"> for outpatient</w:t>
      </w:r>
      <w:r w:rsidRPr="00817B9F">
        <w:t xml:space="preserve"> imag</w:t>
      </w:r>
      <w:r w:rsidR="00A30F0E" w:rsidRPr="00817B9F">
        <w:t>ing</w:t>
      </w:r>
      <w:r w:rsidR="007B1BB4" w:rsidRPr="00817B9F">
        <w:t>, oncology, and cardiovascular</w:t>
      </w:r>
      <w:r w:rsidRPr="00817B9F">
        <w:t xml:space="preserve"> services</w:t>
      </w:r>
      <w:r w:rsidR="00786DB8" w:rsidRPr="00817B9F">
        <w:t>.</w:t>
      </w:r>
      <w:r w:rsidRPr="00817B9F">
        <w:t xml:space="preserve"> MG</w:t>
      </w:r>
      <w:r w:rsidR="00BD32AF" w:rsidRPr="00817B9F">
        <w:t>B</w:t>
      </w:r>
      <w:r w:rsidRPr="00817B9F">
        <w:t xml:space="preserve"> </w:t>
      </w:r>
      <w:r w:rsidR="00CE3F7E" w:rsidRPr="00817B9F">
        <w:t>explains</w:t>
      </w:r>
      <w:r w:rsidRPr="00817B9F">
        <w:t xml:space="preserve"> its projections account for</w:t>
      </w:r>
      <w:r w:rsidR="006C5383" w:rsidRPr="00817B9F">
        <w:t xml:space="preserve"> expected</w:t>
      </w:r>
      <w:r w:rsidRPr="00817B9F">
        <w:t xml:space="preserve"> population changes, </w:t>
      </w:r>
      <w:r w:rsidR="000560CF" w:rsidRPr="00817B9F">
        <w:t>increases in incidence of cancer and cardiovascular disease</w:t>
      </w:r>
      <w:r w:rsidR="00052850" w:rsidRPr="00817B9F">
        <w:t xml:space="preserve">, </w:t>
      </w:r>
      <w:r w:rsidR="009C04BE" w:rsidRPr="00817B9F">
        <w:t xml:space="preserve">expectations of patient volume shifting from inpatient to outpatient treatment and services, </w:t>
      </w:r>
      <w:r w:rsidR="00052850" w:rsidRPr="00817B9F">
        <w:t xml:space="preserve">and </w:t>
      </w:r>
      <w:r w:rsidR="004A4C27" w:rsidRPr="00817B9F">
        <w:t>current capacity constraints</w:t>
      </w:r>
      <w:r w:rsidR="00912481" w:rsidRPr="00817B9F">
        <w:t xml:space="preserve"> and wait times</w:t>
      </w:r>
      <w:r w:rsidR="004A4C27" w:rsidRPr="00817B9F">
        <w:t>.</w:t>
      </w:r>
      <w:r w:rsidR="002C742B" w:rsidRPr="00817B9F">
        <w:rPr>
          <w:rStyle w:val="FootnoteReference"/>
        </w:rPr>
        <w:footnoteReference w:id="128"/>
      </w:r>
      <w:r w:rsidR="00912481" w:rsidRPr="00817B9F">
        <w:t xml:space="preserve"> </w:t>
      </w:r>
      <w:r w:rsidRPr="00817B9F">
        <w:t>MG</w:t>
      </w:r>
      <w:r w:rsidR="00192D99" w:rsidRPr="00817B9F">
        <w:t>B</w:t>
      </w:r>
      <w:r w:rsidRPr="00817B9F">
        <w:t xml:space="preserve">’s projections </w:t>
      </w:r>
      <w:r w:rsidR="005606F1" w:rsidRPr="00817B9F">
        <w:t xml:space="preserve">for these outpatient services </w:t>
      </w:r>
      <w:r w:rsidRPr="00817B9F">
        <w:t xml:space="preserve">also assume </w:t>
      </w:r>
      <w:r w:rsidR="00C17798" w:rsidRPr="00817B9F">
        <w:t xml:space="preserve">the </w:t>
      </w:r>
      <w:r w:rsidR="000D0DDD" w:rsidRPr="00817B9F">
        <w:t xml:space="preserve">construction of a new tower focused </w:t>
      </w:r>
      <w:r w:rsidR="003E721D" w:rsidRPr="00817B9F">
        <w:t>on</w:t>
      </w:r>
      <w:r w:rsidRPr="00817B9F">
        <w:t xml:space="preserve"> </w:t>
      </w:r>
      <w:r w:rsidR="00E73A26" w:rsidRPr="00817B9F">
        <w:t>oncology and cardiovascular services</w:t>
      </w:r>
      <w:r w:rsidR="00C17798" w:rsidRPr="00817B9F">
        <w:t xml:space="preserve">, including </w:t>
      </w:r>
      <w:r w:rsidR="0038675F" w:rsidRPr="00817B9F">
        <w:t xml:space="preserve">the expansion of its imaging capacity and </w:t>
      </w:r>
      <w:r w:rsidR="003D19B7" w:rsidRPr="00817B9F">
        <w:t xml:space="preserve">additional </w:t>
      </w:r>
      <w:r w:rsidR="00991A55" w:rsidRPr="00817B9F">
        <w:t xml:space="preserve">oncology exam rooms, </w:t>
      </w:r>
      <w:r w:rsidR="007F3FAE" w:rsidRPr="00817B9F">
        <w:t>infusion bays,</w:t>
      </w:r>
      <w:r w:rsidR="004200F6" w:rsidRPr="00817B9F">
        <w:t xml:space="preserve"> and </w:t>
      </w:r>
      <w:r w:rsidR="00087232" w:rsidRPr="00817B9F">
        <w:t>cardi</w:t>
      </w:r>
      <w:r w:rsidR="00F900DE" w:rsidRPr="00817B9F">
        <w:t>ovascular</w:t>
      </w:r>
      <w:r w:rsidR="00087232" w:rsidRPr="00817B9F">
        <w:t xml:space="preserve"> </w:t>
      </w:r>
      <w:r w:rsidR="008009E0" w:rsidRPr="00817B9F">
        <w:t>operating rooms.</w:t>
      </w:r>
      <w:r w:rsidR="00991A55" w:rsidRPr="00817B9F">
        <w:rPr>
          <w:rStyle w:val="FootnoteReference"/>
        </w:rPr>
        <w:t xml:space="preserve"> </w:t>
      </w:r>
      <w:r w:rsidR="00347AC3" w:rsidRPr="00817B9F">
        <w:rPr>
          <w:rStyle w:val="FootnoteReference"/>
        </w:rPr>
        <w:footnoteReference w:id="129"/>
      </w:r>
      <w:r w:rsidR="00991A55" w:rsidRPr="00817B9F">
        <w:t xml:space="preserve"> </w:t>
      </w:r>
      <w:r w:rsidR="006F55EA" w:rsidRPr="00817B9F">
        <w:t xml:space="preserve">This stands in contrast to our projections, which only reflect expected changes in the population and demographic shifts but hold </w:t>
      </w:r>
      <w:r w:rsidR="00272167" w:rsidRPr="00817B9F">
        <w:t>other fact</w:t>
      </w:r>
      <w:r w:rsidR="00AB02A7" w:rsidRPr="00817B9F">
        <w:t>or</w:t>
      </w:r>
      <w:r w:rsidR="00272167" w:rsidRPr="00817B9F">
        <w:t xml:space="preserve">s affecting the demand for </w:t>
      </w:r>
      <w:r w:rsidR="00F80E0E" w:rsidRPr="00817B9F">
        <w:t xml:space="preserve">and supply of </w:t>
      </w:r>
      <w:r w:rsidR="00272167" w:rsidRPr="00817B9F">
        <w:t xml:space="preserve">outpatient health care services constant. </w:t>
      </w:r>
    </w:p>
    <w:p w14:paraId="5765615D" w14:textId="15AFC546" w:rsidR="0030647A" w:rsidRPr="00817B9F" w:rsidRDefault="00192D99" w:rsidP="0040416C">
      <w:pPr>
        <w:pStyle w:val="NumberedParagraphs"/>
      </w:pPr>
      <w:r w:rsidRPr="00817B9F">
        <w:t>Because of these differences, o</w:t>
      </w:r>
      <w:r w:rsidR="00D1443D" w:rsidRPr="00817B9F">
        <w:t xml:space="preserve">ur </w:t>
      </w:r>
      <w:r w:rsidR="00547278" w:rsidRPr="00817B9F">
        <w:t xml:space="preserve">projections </w:t>
      </w:r>
      <w:r w:rsidRPr="00817B9F">
        <w:t>for outpatient diagnostic imagining volumes are</w:t>
      </w:r>
      <w:r w:rsidR="006A57A5" w:rsidRPr="00817B9F">
        <w:t xml:space="preserve"> </w:t>
      </w:r>
      <w:r w:rsidR="0080093B" w:rsidRPr="00817B9F">
        <w:t xml:space="preserve">substantially lower </w:t>
      </w:r>
      <w:r w:rsidR="00547278" w:rsidRPr="00817B9F">
        <w:t>than MG</w:t>
      </w:r>
      <w:r w:rsidRPr="00817B9F">
        <w:t>B</w:t>
      </w:r>
      <w:r w:rsidR="00547278" w:rsidRPr="00817B9F">
        <w:t>’s projections</w:t>
      </w:r>
      <w:r w:rsidR="00DE1837" w:rsidRPr="00817B9F">
        <w:t xml:space="preserve"> </w:t>
      </w:r>
      <w:r w:rsidR="00547278" w:rsidRPr="00817B9F">
        <w:t>from 201</w:t>
      </w:r>
      <w:r w:rsidR="00BA26EC" w:rsidRPr="00817B9F">
        <w:t xml:space="preserve">8 </w:t>
      </w:r>
      <w:r w:rsidR="00547278" w:rsidRPr="00817B9F">
        <w:t>to 20</w:t>
      </w:r>
      <w:r w:rsidR="007372DA" w:rsidRPr="00817B9F">
        <w:t>2</w:t>
      </w:r>
      <w:r w:rsidR="00FA4629" w:rsidRPr="00817B9F">
        <w:t>9. While we</w:t>
      </w:r>
      <w:r w:rsidR="00923E02" w:rsidRPr="00817B9F">
        <w:t xml:space="preserve"> estimate </w:t>
      </w:r>
      <w:r w:rsidRPr="00817B9F">
        <w:t xml:space="preserve">outpatient </w:t>
      </w:r>
      <w:r w:rsidR="00923E02" w:rsidRPr="00817B9F">
        <w:t>CT scan</w:t>
      </w:r>
      <w:r w:rsidRPr="00817B9F">
        <w:t xml:space="preserve"> volume</w:t>
      </w:r>
      <w:r w:rsidR="00923E02" w:rsidRPr="00817B9F">
        <w:t xml:space="preserve"> to grow 1</w:t>
      </w:r>
      <w:r w:rsidR="00C16C91" w:rsidRPr="00817B9F">
        <w:t>6</w:t>
      </w:r>
      <w:r w:rsidR="00923E02" w:rsidRPr="00817B9F">
        <w:t xml:space="preserve"> percent </w:t>
      </w:r>
      <w:r w:rsidR="000F4309" w:rsidRPr="00817B9F">
        <w:t>from 2018 to 2030, MG</w:t>
      </w:r>
      <w:r w:rsidRPr="00817B9F">
        <w:t>B</w:t>
      </w:r>
      <w:r w:rsidR="000F4309" w:rsidRPr="00817B9F">
        <w:t xml:space="preserve"> project</w:t>
      </w:r>
      <w:r w:rsidRPr="00817B9F">
        <w:t>s an increase of</w:t>
      </w:r>
      <w:r w:rsidR="000F4309" w:rsidRPr="00817B9F">
        <w:t xml:space="preserve"> </w:t>
      </w:r>
      <w:r w:rsidR="0029118A" w:rsidRPr="00817B9F">
        <w:t>77 percent</w:t>
      </w:r>
      <w:r w:rsidR="009206B7" w:rsidRPr="00817B9F">
        <w:t>.</w:t>
      </w:r>
      <w:r w:rsidR="001601DB" w:rsidRPr="00817B9F">
        <w:rPr>
          <w:rStyle w:val="FootnoteReference"/>
        </w:rPr>
        <w:footnoteReference w:id="130"/>
      </w:r>
      <w:r w:rsidR="009206B7" w:rsidRPr="00817B9F">
        <w:t xml:space="preserve"> </w:t>
      </w:r>
      <w:r w:rsidR="00B84FB2" w:rsidRPr="00817B9F">
        <w:t xml:space="preserve">Similarly, </w:t>
      </w:r>
      <w:r w:rsidR="00C743DA" w:rsidRPr="00817B9F">
        <w:t xml:space="preserve">while we estimate </w:t>
      </w:r>
      <w:r w:rsidRPr="00817B9F">
        <w:t xml:space="preserve">outpatient </w:t>
      </w:r>
      <w:r w:rsidR="002F7507" w:rsidRPr="00817B9F">
        <w:t>MR scan</w:t>
      </w:r>
      <w:r w:rsidRPr="00817B9F">
        <w:t xml:space="preserve"> volume</w:t>
      </w:r>
      <w:r w:rsidR="002F7507" w:rsidRPr="00817B9F">
        <w:t xml:space="preserve"> to grow </w:t>
      </w:r>
      <w:r w:rsidR="00946A0A" w:rsidRPr="00817B9F">
        <w:t>ten</w:t>
      </w:r>
      <w:r w:rsidR="002F7507" w:rsidRPr="00817B9F">
        <w:t xml:space="preserve"> percent</w:t>
      </w:r>
      <w:r w:rsidRPr="00817B9F">
        <w:t xml:space="preserve"> from 2018 to 2030</w:t>
      </w:r>
      <w:r w:rsidR="00A64B6D" w:rsidRPr="00817B9F">
        <w:t>, MG</w:t>
      </w:r>
      <w:r w:rsidRPr="00817B9F">
        <w:t>B</w:t>
      </w:r>
      <w:r w:rsidR="0073789B" w:rsidRPr="00817B9F">
        <w:t xml:space="preserve"> </w:t>
      </w:r>
      <w:r w:rsidRPr="00817B9F">
        <w:t>projects an increase of</w:t>
      </w:r>
      <w:r w:rsidR="00A64B6D" w:rsidRPr="00817B9F">
        <w:t xml:space="preserve"> </w:t>
      </w:r>
      <w:r w:rsidR="00FF5F90" w:rsidRPr="00817B9F">
        <w:t>24 percent.</w:t>
      </w:r>
      <w:r w:rsidR="00D27450" w:rsidRPr="00817B9F">
        <w:rPr>
          <w:rStyle w:val="FootnoteReference"/>
        </w:rPr>
        <w:footnoteReference w:id="131"/>
      </w:r>
      <w:r w:rsidR="00FF5F90" w:rsidRPr="00817B9F">
        <w:t xml:space="preserve"> Lastly, </w:t>
      </w:r>
      <w:r w:rsidR="0014292F" w:rsidRPr="00817B9F">
        <w:t xml:space="preserve">we estimate </w:t>
      </w:r>
      <w:r w:rsidRPr="00817B9F">
        <w:t xml:space="preserve">outpatient </w:t>
      </w:r>
      <w:r w:rsidR="009C7F9C" w:rsidRPr="00817B9F">
        <w:t>PET/CT scan</w:t>
      </w:r>
      <w:r w:rsidRPr="00817B9F">
        <w:t xml:space="preserve"> volume</w:t>
      </w:r>
      <w:r w:rsidR="009C7F9C" w:rsidRPr="00817B9F">
        <w:t xml:space="preserve"> to grow 17 percent</w:t>
      </w:r>
      <w:r w:rsidR="00925A6A" w:rsidRPr="00817B9F">
        <w:t xml:space="preserve"> from 2018 to 2030</w:t>
      </w:r>
      <w:r w:rsidR="009C7F9C" w:rsidRPr="00817B9F">
        <w:t>, which is much lower than MG</w:t>
      </w:r>
      <w:r w:rsidR="00A903D7" w:rsidRPr="00817B9F">
        <w:t>B</w:t>
      </w:r>
      <w:r w:rsidR="009C7F9C" w:rsidRPr="00817B9F">
        <w:t xml:space="preserve">’s projection of </w:t>
      </w:r>
      <w:r w:rsidR="00134ADD" w:rsidRPr="00817B9F">
        <w:t xml:space="preserve">a 112 </w:t>
      </w:r>
      <w:r w:rsidR="00665AD8" w:rsidRPr="00817B9F">
        <w:t xml:space="preserve">percent </w:t>
      </w:r>
      <w:r w:rsidRPr="00817B9F">
        <w:t>increase</w:t>
      </w:r>
      <w:r w:rsidR="00134ADD" w:rsidRPr="00817B9F">
        <w:t>.</w:t>
      </w:r>
      <w:r w:rsidR="00D27450" w:rsidRPr="00817B9F">
        <w:rPr>
          <w:rStyle w:val="FootnoteReference"/>
        </w:rPr>
        <w:footnoteReference w:id="132"/>
      </w:r>
    </w:p>
    <w:p w14:paraId="3AB606EF" w14:textId="2FBBF06B" w:rsidR="00CD2B12" w:rsidRPr="00817B9F" w:rsidRDefault="009E1F2E" w:rsidP="008957BB">
      <w:pPr>
        <w:pStyle w:val="NumberedParagraphs"/>
      </w:pPr>
      <w:r w:rsidRPr="00817B9F">
        <w:lastRenderedPageBreak/>
        <w:t xml:space="preserve">Our projections </w:t>
      </w:r>
      <w:r w:rsidR="00192D99" w:rsidRPr="00817B9F">
        <w:t>for outp</w:t>
      </w:r>
      <w:r w:rsidR="00A903D7" w:rsidRPr="00817B9F">
        <w:t>a</w:t>
      </w:r>
      <w:r w:rsidR="00192D99" w:rsidRPr="00817B9F">
        <w:t>t</w:t>
      </w:r>
      <w:r w:rsidR="00A903D7" w:rsidRPr="00817B9F">
        <w:t>i</w:t>
      </w:r>
      <w:r w:rsidR="00192D99" w:rsidRPr="00817B9F">
        <w:t>e</w:t>
      </w:r>
      <w:r w:rsidR="00A903D7" w:rsidRPr="00817B9F">
        <w:t>n</w:t>
      </w:r>
      <w:r w:rsidR="00192D99" w:rsidRPr="00817B9F">
        <w:t xml:space="preserve">t </w:t>
      </w:r>
      <w:r w:rsidRPr="00817B9F">
        <w:t xml:space="preserve">cardiovascular </w:t>
      </w:r>
      <w:r w:rsidR="00A903D7" w:rsidRPr="00817B9F">
        <w:t>services are higher than MGB’s estimates: We project growth of</w:t>
      </w:r>
      <w:r w:rsidRPr="00817B9F">
        <w:t xml:space="preserve"> 2</w:t>
      </w:r>
      <w:r w:rsidR="00C40591" w:rsidRPr="00817B9F">
        <w:t>1</w:t>
      </w:r>
      <w:r w:rsidRPr="00817B9F">
        <w:t xml:space="preserve"> percent </w:t>
      </w:r>
      <w:r w:rsidR="00A903D7" w:rsidRPr="00817B9F">
        <w:t>from 2018 to 2030</w:t>
      </w:r>
      <w:r w:rsidRPr="00817B9F">
        <w:t>, while MGH project</w:t>
      </w:r>
      <w:r w:rsidR="00A903D7" w:rsidRPr="00817B9F">
        <w:t>s</w:t>
      </w:r>
      <w:r w:rsidRPr="00817B9F">
        <w:t xml:space="preserve"> </w:t>
      </w:r>
      <w:r w:rsidR="00A903D7" w:rsidRPr="00817B9F">
        <w:t xml:space="preserve">growth of </w:t>
      </w:r>
      <w:r w:rsidR="008C29CD" w:rsidRPr="00817B9F">
        <w:t>seven percent</w:t>
      </w:r>
      <w:r w:rsidRPr="00817B9F">
        <w:t>.</w:t>
      </w:r>
      <w:r w:rsidRPr="00817B9F">
        <w:rPr>
          <w:rStyle w:val="FootnoteReference"/>
        </w:rPr>
        <w:footnoteReference w:id="133"/>
      </w:r>
      <w:r w:rsidRPr="00817B9F">
        <w:t xml:space="preserve"> </w:t>
      </w:r>
      <w:r w:rsidR="00C16C91" w:rsidRPr="00817B9F">
        <w:t>In contra</w:t>
      </w:r>
      <w:r w:rsidR="00E454B0" w:rsidRPr="00817B9F">
        <w:t>s</w:t>
      </w:r>
      <w:r w:rsidR="00C16C91" w:rsidRPr="00817B9F">
        <w:t>t, o</w:t>
      </w:r>
      <w:r w:rsidRPr="00817B9F">
        <w:t xml:space="preserve">ur projections </w:t>
      </w:r>
      <w:r w:rsidR="00192D99" w:rsidRPr="00817B9F">
        <w:t>for outp</w:t>
      </w:r>
      <w:r w:rsidR="00A903D7" w:rsidRPr="00817B9F">
        <w:t>a</w:t>
      </w:r>
      <w:r w:rsidR="00192D99" w:rsidRPr="00817B9F">
        <w:t>t</w:t>
      </w:r>
      <w:r w:rsidR="00A903D7" w:rsidRPr="00817B9F">
        <w:t>i</w:t>
      </w:r>
      <w:r w:rsidR="00192D99" w:rsidRPr="00817B9F">
        <w:t>e</w:t>
      </w:r>
      <w:r w:rsidR="00A903D7" w:rsidRPr="00817B9F">
        <w:t>n</w:t>
      </w:r>
      <w:r w:rsidR="00192D99" w:rsidRPr="00817B9F">
        <w:t xml:space="preserve">t oncology visits </w:t>
      </w:r>
      <w:r w:rsidRPr="00817B9F">
        <w:t>are</w:t>
      </w:r>
      <w:r w:rsidR="00730E56" w:rsidRPr="00817B9F">
        <w:t xml:space="preserve"> </w:t>
      </w:r>
      <w:r w:rsidRPr="00817B9F">
        <w:t>lower than MG</w:t>
      </w:r>
      <w:r w:rsidR="00A903D7" w:rsidRPr="00817B9F">
        <w:t>B</w:t>
      </w:r>
      <w:r w:rsidRPr="00817B9F">
        <w:t>’s estimates</w:t>
      </w:r>
      <w:r w:rsidR="00A903D7" w:rsidRPr="00817B9F">
        <w:t xml:space="preserve">: We project growth of </w:t>
      </w:r>
      <w:r w:rsidRPr="00817B9F">
        <w:t>18 percent</w:t>
      </w:r>
      <w:r w:rsidR="00C526B4" w:rsidRPr="00817B9F">
        <w:t xml:space="preserve"> </w:t>
      </w:r>
      <w:r w:rsidRPr="00817B9F">
        <w:t>from 2018 to 2030</w:t>
      </w:r>
      <w:r w:rsidR="00A903D7" w:rsidRPr="00817B9F">
        <w:t xml:space="preserve">, while </w:t>
      </w:r>
      <w:r w:rsidRPr="00817B9F">
        <w:t>MG</w:t>
      </w:r>
      <w:r w:rsidR="00A903D7" w:rsidRPr="00817B9F">
        <w:t>B</w:t>
      </w:r>
      <w:r w:rsidR="000719F0" w:rsidRPr="00817B9F">
        <w:t xml:space="preserve"> </w:t>
      </w:r>
      <w:r w:rsidR="00555135" w:rsidRPr="00817B9F">
        <w:t>projec</w:t>
      </w:r>
      <w:r w:rsidR="00A903D7" w:rsidRPr="00817B9F">
        <w:t>ts</w:t>
      </w:r>
      <w:r w:rsidR="00555135" w:rsidRPr="00817B9F">
        <w:t xml:space="preserve"> </w:t>
      </w:r>
      <w:r w:rsidR="00A903D7" w:rsidRPr="00817B9F">
        <w:t>growth of</w:t>
      </w:r>
      <w:r w:rsidR="00273780" w:rsidRPr="00817B9F">
        <w:t xml:space="preserve"> </w:t>
      </w:r>
      <w:r w:rsidRPr="00817B9F">
        <w:t>38</w:t>
      </w:r>
      <w:r w:rsidR="00555135" w:rsidRPr="00817B9F">
        <w:t xml:space="preserve"> percent</w:t>
      </w:r>
      <w:r w:rsidRPr="00817B9F">
        <w:t>.</w:t>
      </w:r>
      <w:r w:rsidRPr="00817B9F">
        <w:rPr>
          <w:rStyle w:val="FootnoteReference"/>
        </w:rPr>
        <w:footnoteReference w:id="134"/>
      </w:r>
      <w:r w:rsidR="00230CA4" w:rsidRPr="00817B9F">
        <w:t xml:space="preserve"> </w:t>
      </w:r>
    </w:p>
    <w:p w14:paraId="73ACE4B9" w14:textId="7D1485B6" w:rsidR="00070DAA" w:rsidRPr="00817B9F" w:rsidRDefault="00A903D7" w:rsidP="009B5648">
      <w:pPr>
        <w:pStyle w:val="NumberedParagraphs"/>
      </w:pPr>
      <w:r w:rsidRPr="00817B9F">
        <w:t>In summary, w</w:t>
      </w:r>
      <w:r w:rsidR="00A054B9" w:rsidRPr="00817B9F">
        <w:t xml:space="preserve">e predict substantial increases in demand for </w:t>
      </w:r>
      <w:r w:rsidR="00A32FFB" w:rsidRPr="00817B9F">
        <w:t xml:space="preserve">outpatient </w:t>
      </w:r>
      <w:r w:rsidRPr="00817B9F">
        <w:t xml:space="preserve">diagnostic </w:t>
      </w:r>
      <w:r w:rsidR="00CA1BF6" w:rsidRPr="00817B9F">
        <w:t xml:space="preserve">imaging, oncology, and cardiovascular </w:t>
      </w:r>
      <w:r w:rsidR="00A054B9" w:rsidRPr="00817B9F">
        <w:t xml:space="preserve">services at MGH in the next five to </w:t>
      </w:r>
      <w:r w:rsidR="009B5648" w:rsidRPr="00817B9F">
        <w:t>ten</w:t>
      </w:r>
      <w:r w:rsidRPr="00817B9F">
        <w:t xml:space="preserve"> </w:t>
      </w:r>
      <w:r w:rsidR="00A054B9" w:rsidRPr="00817B9F">
        <w:t>years. Th</w:t>
      </w:r>
      <w:r w:rsidR="00673D6B" w:rsidRPr="00817B9F">
        <w:t>ese</w:t>
      </w:r>
      <w:r w:rsidR="00A054B9" w:rsidRPr="00817B9F">
        <w:t xml:space="preserve"> increase</w:t>
      </w:r>
      <w:r w:rsidR="00673D6B" w:rsidRPr="00817B9F">
        <w:t>s</w:t>
      </w:r>
      <w:r w:rsidR="00A054B9" w:rsidRPr="00817B9F">
        <w:t xml:space="preserve"> </w:t>
      </w:r>
      <w:r w:rsidR="00673D6B" w:rsidRPr="00817B9F">
        <w:t>are</w:t>
      </w:r>
      <w:r w:rsidR="00A054B9" w:rsidRPr="00817B9F">
        <w:t xml:space="preserve"> driven by the </w:t>
      </w:r>
      <w:r w:rsidR="00B4457F" w:rsidRPr="00817B9F">
        <w:t xml:space="preserve">projected </w:t>
      </w:r>
      <w:r w:rsidR="00A054B9" w:rsidRPr="00817B9F">
        <w:t xml:space="preserve">population </w:t>
      </w:r>
      <w:r w:rsidR="00B4457F" w:rsidRPr="00817B9F">
        <w:t>growth</w:t>
      </w:r>
      <w:r w:rsidR="00A054B9" w:rsidRPr="00817B9F">
        <w:t xml:space="preserve"> in the service area of the hospital and the aging of that population. </w:t>
      </w:r>
      <w:r w:rsidR="00936CFE" w:rsidRPr="00817B9F">
        <w:t xml:space="preserve">While we predict substantial increases in demand for </w:t>
      </w:r>
      <w:r w:rsidRPr="00817B9F">
        <w:t xml:space="preserve">these </w:t>
      </w:r>
      <w:r w:rsidR="00936CFE" w:rsidRPr="00817B9F">
        <w:t>services, o</w:t>
      </w:r>
      <w:r w:rsidR="00A054B9" w:rsidRPr="00817B9F">
        <w:t xml:space="preserve">ur projections </w:t>
      </w:r>
      <w:r w:rsidR="00936CFE" w:rsidRPr="00817B9F">
        <w:t xml:space="preserve">are </w:t>
      </w:r>
      <w:r w:rsidR="00FD1CB3" w:rsidRPr="00817B9F">
        <w:t>lower than the</w:t>
      </w:r>
      <w:r w:rsidR="00A054B9" w:rsidRPr="00817B9F">
        <w:t xml:space="preserve"> projections that MGB included in its DoN application</w:t>
      </w:r>
      <w:r w:rsidR="00A32FFB" w:rsidRPr="00817B9F">
        <w:t xml:space="preserve"> </w:t>
      </w:r>
      <w:r w:rsidR="00FD1CB3" w:rsidRPr="00817B9F">
        <w:t>(</w:t>
      </w:r>
      <w:r w:rsidRPr="00817B9F">
        <w:t>except for</w:t>
      </w:r>
      <w:r w:rsidR="00FD1CB3" w:rsidRPr="00817B9F">
        <w:t xml:space="preserve"> outpatient cardiovascular procedures</w:t>
      </w:r>
      <w:r w:rsidR="00462A28" w:rsidRPr="00817B9F">
        <w:t>)</w:t>
      </w:r>
      <w:r w:rsidR="00FD1CB3" w:rsidRPr="00817B9F">
        <w:t xml:space="preserve">. </w:t>
      </w:r>
      <w:r w:rsidRPr="00817B9F">
        <w:t xml:space="preserve">However, we </w:t>
      </w:r>
      <w:r w:rsidR="00A054B9" w:rsidRPr="00817B9F">
        <w:t>rely on a different method to arrive at our projections</w:t>
      </w:r>
      <w:r w:rsidRPr="00817B9F">
        <w:t xml:space="preserve"> that does not account for the same factors that MGB considered, including an expansion of MGH’s outpatient capacity. </w:t>
      </w:r>
    </w:p>
    <w:p w14:paraId="3840D74B" w14:textId="77777777" w:rsidR="00D115D8" w:rsidRPr="00817B9F" w:rsidRDefault="00D115D8" w:rsidP="00D115D8">
      <w:pPr>
        <w:pStyle w:val="Heading1"/>
      </w:pPr>
      <w:bookmarkStart w:id="85" w:name="_Ref88993224"/>
      <w:bookmarkStart w:id="86" w:name="_Ref88993266"/>
      <w:bookmarkStart w:id="87" w:name="_Ref88993374"/>
      <w:bookmarkStart w:id="88" w:name="_Ref88994621"/>
      <w:bookmarkStart w:id="89" w:name="_Toc90046521"/>
      <w:r w:rsidRPr="00817B9F">
        <w:t>Models of Patients’ Demand for Health Care Services</w:t>
      </w:r>
      <w:bookmarkEnd w:id="85"/>
      <w:bookmarkEnd w:id="86"/>
      <w:bookmarkEnd w:id="87"/>
      <w:bookmarkEnd w:id="88"/>
      <w:bookmarkEnd w:id="89"/>
    </w:p>
    <w:p w14:paraId="2A903C34" w14:textId="06B175E4" w:rsidR="00D115D8" w:rsidRPr="00817B9F" w:rsidRDefault="00D115D8" w:rsidP="00184D23">
      <w:pPr>
        <w:pStyle w:val="Heading2"/>
        <w:numPr>
          <w:ilvl w:val="0"/>
          <w:numId w:val="27"/>
        </w:numPr>
        <w:rPr>
          <w:rFonts w:cs="Times New Roman"/>
        </w:rPr>
      </w:pPr>
      <w:bookmarkStart w:id="90" w:name="_Ref88993270"/>
      <w:bookmarkStart w:id="91" w:name="_Ref88994570"/>
      <w:bookmarkStart w:id="92" w:name="_Toc90046522"/>
      <w:r w:rsidRPr="00817B9F">
        <w:rPr>
          <w:rFonts w:cs="Times New Roman"/>
        </w:rPr>
        <w:t>Inpatient Services</w:t>
      </w:r>
      <w:bookmarkEnd w:id="90"/>
      <w:bookmarkEnd w:id="91"/>
      <w:bookmarkEnd w:id="92"/>
    </w:p>
    <w:p w14:paraId="7A625634" w14:textId="77777777" w:rsidR="00D115D8" w:rsidRPr="00817B9F" w:rsidRDefault="00D115D8" w:rsidP="00D115D8">
      <w:pPr>
        <w:pStyle w:val="NumberedParagraphs"/>
      </w:pPr>
      <w:r w:rsidRPr="00817B9F">
        <w:t>Addressing the elements of the ICA requires forecasting how the proposed project will affect where patients choose to receive health care services. To forecast how the proposed project will impact patients’ demand for inpatient services, we use the CHIA Hospital Inpatient Discharge Database to estimate a model of Massachusetts patients’ demand for inpatient hospital services. The framework for this model assumes that patients have preferences over hospitals and hospitals’ characteristics, and that patients’ hospital choices that we observe in the Hospital Inpatient Discharge Database reflect these preferences. The framework we use to develop this model was peer-reviewed</w:t>
      </w:r>
      <w:r w:rsidRPr="00817B9F">
        <w:rPr>
          <w:rStyle w:val="FootnoteReference"/>
        </w:rPr>
        <w:footnoteReference w:id="135"/>
      </w:r>
      <w:r w:rsidRPr="00817B9F">
        <w:t xml:space="preserve"> and is flexible enough to estimate projections of consumer demand for inpatient hospital services that allow us to address the elements of the ICA.</w:t>
      </w:r>
    </w:p>
    <w:p w14:paraId="2991F563" w14:textId="455B4BD0" w:rsidR="00D115D8" w:rsidRPr="00817B9F" w:rsidRDefault="00D115D8" w:rsidP="00D115D8">
      <w:pPr>
        <w:pStyle w:val="NumberedParagraphs"/>
      </w:pPr>
      <w:r w:rsidRPr="00817B9F">
        <w:lastRenderedPageBreak/>
        <w:t xml:space="preserve">In estimating our model, we restrict the Hospital Inpatient Discharge Database to those patients whose demand for inpatient hospital care may be affected by the additional inpatient bed capacity requested by MGB in the proposed project. Because the proposed additional inpatient bed capacity would be used for adult patients, we exclude discharges for pediatric patients (including newborns). We also exclude discharges for obstetrics patients and patients receiving care for substance use disorder, behavioral health, or inpatient rehabilitation services. Lastly, we exclude discharges for patients who reside outside of Massachusetts, transfers from intermediate-care facilities, transfers from other hospitals’ emergency departments, transfers from another unit within the same hospital, transfers from law enforcement agencies, transfers from hospice facilities, and transfers from </w:t>
      </w:r>
      <w:r w:rsidR="00A90315" w:rsidRPr="00817B9F">
        <w:t>ASCs</w:t>
      </w:r>
      <w:r w:rsidRPr="00817B9F">
        <w:t xml:space="preserve"> operated by another health care provider. </w:t>
      </w:r>
    </w:p>
    <w:p w14:paraId="5F7FB167" w14:textId="77777777" w:rsidR="00D115D8" w:rsidRPr="00817B9F" w:rsidRDefault="00D115D8" w:rsidP="00D115D8">
      <w:pPr>
        <w:pStyle w:val="NumberedParagraphs"/>
      </w:pPr>
      <w:r w:rsidRPr="00817B9F">
        <w:t>Using these data, we assume that patients’ preferences over hospitals vary based on, among other things, where the patients live (</w:t>
      </w:r>
      <w:r w:rsidRPr="00817B9F">
        <w:rPr>
          <w:i/>
          <w:iCs/>
        </w:rPr>
        <w:t>e.g.</w:t>
      </w:r>
      <w:r w:rsidRPr="00817B9F">
        <w:t>, the ZIP Code of their residence), the health condition for which they seek inpatient care (</w:t>
      </w:r>
      <w:r w:rsidRPr="00817B9F">
        <w:rPr>
          <w:i/>
          <w:iCs/>
        </w:rPr>
        <w:t>e.g.</w:t>
      </w:r>
      <w:r w:rsidRPr="00817B9F">
        <w:t>, the patients’ DRG), their health insurance coverage (</w:t>
      </w:r>
      <w:r w:rsidRPr="00817B9F">
        <w:rPr>
          <w:i/>
          <w:iCs/>
        </w:rPr>
        <w:t>e.g.</w:t>
      </w:r>
      <w:r w:rsidRPr="00817B9F">
        <w:t>, Original Medicare), and demographics (</w:t>
      </w:r>
      <w:r w:rsidRPr="00817B9F">
        <w:rPr>
          <w:i/>
          <w:iCs/>
        </w:rPr>
        <w:t>e.g.</w:t>
      </w:r>
      <w:r w:rsidRPr="00817B9F">
        <w:t>, age and gender).</w:t>
      </w:r>
      <w:r w:rsidRPr="00817B9F">
        <w:rPr>
          <w:rStyle w:val="FootnoteReference"/>
        </w:rPr>
        <w:footnoteReference w:id="136"/>
      </w:r>
      <w:r w:rsidRPr="00817B9F">
        <w:t xml:space="preserve"> In our model, patients’ preferences over hospitals implicitly depend on the characteristics of hospitals from which the patients are choosing (</w:t>
      </w:r>
      <w:r w:rsidRPr="00817B9F">
        <w:rPr>
          <w:i/>
          <w:iCs/>
        </w:rPr>
        <w:t>e.g.</w:t>
      </w:r>
      <w:r w:rsidRPr="00817B9F">
        <w:t>, the hospitals’ reputation for clinical quality, the locations of the hospitals, or the amenities offered by the hospitals).</w:t>
      </w:r>
      <w:r w:rsidRPr="00817B9F">
        <w:rPr>
          <w:rStyle w:val="FootnoteReference"/>
        </w:rPr>
        <w:footnoteReference w:id="137"/>
      </w:r>
    </w:p>
    <w:p w14:paraId="40C59F79" w14:textId="0BAD7DBB" w:rsidR="00D115D8" w:rsidRPr="00817B9F" w:rsidRDefault="00D115D8" w:rsidP="00D115D8">
      <w:pPr>
        <w:pStyle w:val="NumberedParagraphs"/>
      </w:pPr>
      <w:r w:rsidRPr="00817B9F">
        <w:t>Our estimation proceeds in two steps. In the first step, we identify groups of patients who are similar in terms of the aforementioned characteristics and who are, therefore, likely to have similar preferences across hospitals.</w:t>
      </w:r>
      <w:r w:rsidRPr="00817B9F">
        <w:rPr>
          <w:rStyle w:val="FootnoteReference"/>
        </w:rPr>
        <w:footnoteReference w:id="138"/>
      </w:r>
      <w:r w:rsidRPr="00817B9F">
        <w:t xml:space="preserve"> In the second step, we estimate hospital preferences within </w:t>
      </w:r>
      <w:r w:rsidRPr="00817B9F">
        <w:lastRenderedPageBreak/>
        <w:t xml:space="preserve">each group. We assume that patients grouped together have the same preferences across hospitals and estimate these preferences based on the observed hospital choices made by patients assigned to the group. In particular, we assume that the likelihood a patient in the group chooses a hospital is equal to the share of patients within the group who actually chose that hospital, and that substitution pattern across hospitals for patients in the group are proportional to these group-level shares. We estimate this model of patient demand for inpatient hospital services using approximately 525 thousand discharges from Massachusetts hospitals. </w:t>
      </w:r>
    </w:p>
    <w:p w14:paraId="7883C3BD" w14:textId="70C6F412" w:rsidR="00D115D8" w:rsidRPr="00817B9F" w:rsidRDefault="00D115D8" w:rsidP="00D115D8">
      <w:pPr>
        <w:pStyle w:val="NumberedParagraphs"/>
      </w:pPr>
      <w:r w:rsidRPr="00817B9F">
        <w:t>We use the results of this model to calculate “diversion ratios” between MGB hospitals and hospitals affiliated with other health systems.</w:t>
      </w:r>
      <w:r w:rsidRPr="00817B9F">
        <w:rPr>
          <w:rStyle w:val="FootnoteReference"/>
        </w:rPr>
        <w:footnoteReference w:id="139"/>
      </w:r>
      <w:r w:rsidRPr="00817B9F">
        <w:t xml:space="preserve"> In the context of our model, diversion ratios answer the question: If a patient wanted to receive inpatient hospital care at </w:t>
      </w:r>
      <w:r w:rsidR="00A437D2" w:rsidRPr="00817B9F">
        <w:t>MGH</w:t>
      </w:r>
      <w:r w:rsidRPr="00817B9F">
        <w:t xml:space="preserve"> but could not because of capacity constraints at the hospital, what competing hospitals might that patient choose, and how likely is that patient to choose each one of those competing hospitals? Suppose, for example, that the estimated diversion ratio from </w:t>
      </w:r>
      <w:r w:rsidR="00A437D2" w:rsidRPr="00817B9F">
        <w:t>MGH</w:t>
      </w:r>
      <w:r w:rsidRPr="00817B9F">
        <w:t xml:space="preserve"> to Beth Israel Deaconess Medical Center was 50 percent, the diversion ratio to Boston Medical Center was 30 percent, and the diversion ratio to Tufts Medical Center was 20 percent. If a patient could not receive care at </w:t>
      </w:r>
      <w:r w:rsidR="00A437D2" w:rsidRPr="00817B9F">
        <w:t>MGH</w:t>
      </w:r>
      <w:r w:rsidRPr="00817B9F">
        <w:t xml:space="preserve">, the model then predicts that there is a 50 percent chance the patient chooses Beth Israel Deaconess Medical Center instead, a 30 percent chance the patient chooses Boston Medical Center instead, and a 20 percent chance that the patient chooses Tufts Medical Center instead. Equivalently, each discharge lost by </w:t>
      </w:r>
      <w:r w:rsidR="00A437D2" w:rsidRPr="00817B9F">
        <w:t>MGH</w:t>
      </w:r>
      <w:r w:rsidRPr="00817B9F">
        <w:t xml:space="preserve"> would increase the expected number of discharges at Beth Israel Deaconess Medical Center, Boston Medical Center, and Tufts Medical Center by 0.5, 0.3, and 0.2 discharges, respectively. </w:t>
      </w:r>
    </w:p>
    <w:p w14:paraId="71F9213E" w14:textId="43F9F887" w:rsidR="00D115D8" w:rsidRPr="00817B9F" w:rsidRDefault="00D115D8" w:rsidP="00D115D8">
      <w:pPr>
        <w:pStyle w:val="NumberedParagraphs"/>
      </w:pPr>
      <w:r w:rsidRPr="00817B9F">
        <w:t xml:space="preserve">Conversely, the diversion ratios can be used to predict which competing hospitals </w:t>
      </w:r>
      <w:r w:rsidR="00A437D2" w:rsidRPr="00817B9F">
        <w:t>MGH</w:t>
      </w:r>
      <w:r w:rsidRPr="00817B9F">
        <w:t xml:space="preserve"> would attract patients from if the proposed project to expand the number of inpatient beds at the hospital were approved. Using the </w:t>
      </w:r>
      <w:r w:rsidR="00A437D2" w:rsidRPr="00817B9F">
        <w:t>previous</w:t>
      </w:r>
      <w:r w:rsidRPr="00817B9F">
        <w:t xml:space="preserve"> example, if the proposed project increased the number </w:t>
      </w:r>
      <w:r w:rsidRPr="00817B9F">
        <w:lastRenderedPageBreak/>
        <w:t xml:space="preserve">of inpatient admissions at </w:t>
      </w:r>
      <w:r w:rsidR="00A437D2" w:rsidRPr="00817B9F">
        <w:t xml:space="preserve">MGH </w:t>
      </w:r>
      <w:r w:rsidRPr="00817B9F">
        <w:t xml:space="preserve">by one, the diversion ratios tell us that the number of expected discharges at Beth Israel Deaconess Medical Center, Boston Medical Center, and Tufts Medical Center would decrease by 0.5, 0.3, and 0.2, respectively. </w:t>
      </w:r>
    </w:p>
    <w:p w14:paraId="7D7D43D3" w14:textId="1ACF4CAB" w:rsidR="00D115D8" w:rsidRPr="00817B9F" w:rsidRDefault="00D115D8" w:rsidP="00D115D8">
      <w:pPr>
        <w:pStyle w:val="NumberedParagraphs"/>
      </w:pPr>
      <w:r w:rsidRPr="00817B9F">
        <w:t xml:space="preserve">The estimated model can also be used to calculate diversion ratios for specific groups of patients, for example, cancer patients or patients from ZIP Code 02116. In the previous example, overall diversion from </w:t>
      </w:r>
      <w:r w:rsidR="00A437D2" w:rsidRPr="00817B9F">
        <w:t>MGH</w:t>
      </w:r>
      <w:r w:rsidRPr="00817B9F">
        <w:t xml:space="preserve"> to Boston Medical Center is 30 percent. This overall measure is a summation of patient-specific diversions that will vary across patients. Perhaps, for example, diversion from </w:t>
      </w:r>
      <w:r w:rsidR="00A437D2" w:rsidRPr="00817B9F">
        <w:t>MGH</w:t>
      </w:r>
      <w:r w:rsidRPr="00817B9F">
        <w:t xml:space="preserve"> to Boston Medical Center is 35 percent for patients </w:t>
      </w:r>
      <w:r w:rsidR="00A437D2" w:rsidRPr="00817B9F">
        <w:t xml:space="preserve">receiving cancer care </w:t>
      </w:r>
      <w:r w:rsidRPr="00817B9F">
        <w:t>and less than 30 percent for all other patients.</w:t>
      </w:r>
    </w:p>
    <w:p w14:paraId="1AA18D8C" w14:textId="6324B1BC" w:rsidR="00D115D8" w:rsidRPr="00817B9F" w:rsidRDefault="00D115D8" w:rsidP="00A437D2">
      <w:pPr>
        <w:pStyle w:val="NumberedParagraphs"/>
      </w:pPr>
      <w:r w:rsidRPr="00817B9F">
        <w:t>Our forecasts of the effect of the proposed project on demand for inpatient hospitals are based, in part, on the estimated diversion ratios from the inpatient choice model. MGB anticipates the proposed expansion at MGH would increase the number of inpatient patient</w:t>
      </w:r>
      <w:r w:rsidR="00622A33" w:rsidRPr="00817B9F">
        <w:t xml:space="preserve"> </w:t>
      </w:r>
      <w:r w:rsidRPr="00817B9F">
        <w:t>days at the hospital from 270,488 in fiscal year 2019 to 287,991 in fiscal year 2029, which is comprised of an increase in the number of cancer and heart and vascular patient</w:t>
      </w:r>
      <w:r w:rsidR="00622A33" w:rsidRPr="00817B9F">
        <w:t xml:space="preserve"> </w:t>
      </w:r>
      <w:r w:rsidRPr="00817B9F">
        <w:t>days from 66,901 and 48,971 to 79,550 and 58,519, respectively, and a decrease in patient</w:t>
      </w:r>
      <w:r w:rsidR="00622A33" w:rsidRPr="00817B9F">
        <w:t xml:space="preserve"> </w:t>
      </w:r>
      <w:r w:rsidRPr="00817B9F">
        <w:t>days for other inpatient services from 154,616 to 149,922.</w:t>
      </w:r>
      <w:r w:rsidRPr="00817B9F">
        <w:rPr>
          <w:rStyle w:val="FootnoteReference"/>
        </w:rPr>
        <w:footnoteReference w:id="140"/>
      </w:r>
      <w:r w:rsidRPr="00817B9F">
        <w:t xml:space="preserve"> To address ICA questions related to shifts in hospital utilization if the proposed project were approved, we use the inpatient demand model to predict which cancer and heart and vascular</w:t>
      </w:r>
      <w:r w:rsidRPr="00817B9F">
        <w:rPr>
          <w:rStyle w:val="CommentReference"/>
          <w:rFonts w:eastAsiaTheme="minorEastAsia"/>
          <w:sz w:val="24"/>
          <w:szCs w:val="24"/>
        </w:rPr>
        <w:t xml:space="preserve"> p</w:t>
      </w:r>
      <w:r w:rsidRPr="00817B9F">
        <w:t xml:space="preserve">atients would switch to MGH following the proposed project. We adjust the parameters in the demand model so that the predicted increase in inpatient volume at MGH for cancer, heart and </w:t>
      </w:r>
      <w:r w:rsidRPr="00817B9F">
        <w:lastRenderedPageBreak/>
        <w:t>vascular, and all other inpatient services exactly matches MGB’s inpatient volume projections in the MGH DoN.</w:t>
      </w:r>
      <w:r w:rsidRPr="00817B9F">
        <w:rPr>
          <w:rStyle w:val="FootnoteReference"/>
        </w:rPr>
        <w:t xml:space="preserve"> </w:t>
      </w:r>
      <w:r w:rsidRPr="00817B9F">
        <w:rPr>
          <w:rStyle w:val="FootnoteReference"/>
        </w:rPr>
        <w:footnoteReference w:id="141"/>
      </w:r>
      <w:r w:rsidRPr="00817B9F">
        <w:rPr>
          <w:vertAlign w:val="superscript"/>
        </w:rPr>
        <w:t>,</w:t>
      </w:r>
      <w:r w:rsidRPr="00817B9F">
        <w:rPr>
          <w:rStyle w:val="FootnoteReference"/>
        </w:rPr>
        <w:footnoteReference w:id="142"/>
      </w:r>
      <w:r w:rsidRPr="00817B9F">
        <w:rPr>
          <w:vertAlign w:val="superscript"/>
        </w:rPr>
        <w:t>,</w:t>
      </w:r>
      <w:r w:rsidRPr="00817B9F">
        <w:rPr>
          <w:rStyle w:val="FootnoteReference"/>
        </w:rPr>
        <w:footnoteReference w:id="143"/>
      </w:r>
      <w:r w:rsidRPr="00817B9F">
        <w:t xml:space="preserve"> </w:t>
      </w:r>
    </w:p>
    <w:p w14:paraId="589EAE74" w14:textId="05B3A56B" w:rsidR="00D115D8" w:rsidRPr="00817B9F" w:rsidRDefault="00D115D8" w:rsidP="00A437D2">
      <w:pPr>
        <w:pStyle w:val="Heading2"/>
        <w:rPr>
          <w:rFonts w:cs="Times New Roman"/>
        </w:rPr>
      </w:pPr>
      <w:bookmarkStart w:id="93" w:name="_Ref88993228"/>
      <w:bookmarkStart w:id="94" w:name="_Ref88993376"/>
      <w:bookmarkStart w:id="95" w:name="_Ref88994623"/>
      <w:bookmarkStart w:id="96" w:name="_Toc90046523"/>
      <w:r w:rsidRPr="00817B9F">
        <w:rPr>
          <w:rFonts w:cs="Times New Roman"/>
        </w:rPr>
        <w:t>Outpatient Services</w:t>
      </w:r>
      <w:bookmarkStart w:id="97" w:name="_Ref88483316"/>
      <w:bookmarkEnd w:id="93"/>
      <w:bookmarkEnd w:id="94"/>
      <w:bookmarkEnd w:id="95"/>
      <w:bookmarkEnd w:id="96"/>
    </w:p>
    <w:p w14:paraId="5A9784A3" w14:textId="57DDA1BB" w:rsidR="00D115D8" w:rsidRPr="00817B9F" w:rsidRDefault="00D115D8" w:rsidP="00D115D8">
      <w:pPr>
        <w:pStyle w:val="NumberedParagraphs"/>
      </w:pPr>
      <w:r w:rsidRPr="00817B9F">
        <w:t xml:space="preserve">In addition to our model of patients’ demand for inpatient hospital services, we estimate a model of demand for outpatient health care services using the APCD and Medicare Claims data. We use a framework for this purpose that is similar to the framework that we use to model demand for inpatient hospital services. </w:t>
      </w:r>
    </w:p>
    <w:p w14:paraId="57498FFE" w14:textId="1636448D" w:rsidR="00D115D8" w:rsidRPr="00817B9F" w:rsidRDefault="00D115D8" w:rsidP="00A437D2">
      <w:pPr>
        <w:pStyle w:val="NumberedParagraphs"/>
      </w:pPr>
      <w:r w:rsidRPr="00817B9F">
        <w:t>Because the DoN application for MGH proposes expanding the hospital’s diagnostic imaging equipment (with the proposed addition of two CT units, two MRI units, two PET/CT units, and one PET/MR unit),</w:t>
      </w:r>
      <w:r w:rsidRPr="00817B9F">
        <w:rPr>
          <w:rStyle w:val="FootnoteReference"/>
        </w:rPr>
        <w:footnoteReference w:id="144"/>
      </w:r>
      <w:r w:rsidRPr="00817B9F">
        <w:t xml:space="preserve"> cardiac operating and procedure rooms (with a proposed net </w:t>
      </w:r>
      <w:r w:rsidRPr="00817B9F">
        <w:lastRenderedPageBreak/>
        <w:t>increase of 18 cardiac operating rooms and three cardiology procedure rooms), and oncology infusion bays (with a proposed net increase of 21 infusion bays),</w:t>
      </w:r>
      <w:r w:rsidRPr="00817B9F">
        <w:rPr>
          <w:rStyle w:val="FootnoteReference"/>
        </w:rPr>
        <w:footnoteReference w:id="145"/>
      </w:r>
      <w:r w:rsidRPr="00817B9F">
        <w:t xml:space="preserve"> we estimate separate models of patient demand for outpatient diagnostic imaging, outpatient cardiovascular procedures, and outpatient oncology visits. For each of these services, we restrict the APCD and Medicare Claims data to those patients whose demand for outpatient health care services may be affected by the proposed project.</w:t>
      </w:r>
      <w:r w:rsidRPr="00817B9F">
        <w:rPr>
          <w:rStyle w:val="FootnoteReference"/>
        </w:rPr>
        <w:footnoteReference w:id="146"/>
      </w:r>
      <w:r w:rsidRPr="00817B9F">
        <w:t xml:space="preserve"> We describe our model of patient demand for outpatient diagnostic imaging services first, followed by the models for outpatient cardiovascular services and outpatient oncology visits. Our models of patient demand for outpatient services (</w:t>
      </w:r>
      <w:r w:rsidRPr="00817B9F">
        <w:rPr>
          <w:i/>
          <w:iCs/>
        </w:rPr>
        <w:t>i.e.</w:t>
      </w:r>
      <w:r w:rsidRPr="00817B9F">
        <w:t xml:space="preserve">, diagnostic imaging, cardiovascular, and oncology) all share several features, so descriptions of the latter models often reference the first. </w:t>
      </w:r>
    </w:p>
    <w:p w14:paraId="3C25EB80" w14:textId="55873CB5" w:rsidR="00D115D8" w:rsidRPr="00817B9F" w:rsidRDefault="00D115D8" w:rsidP="00D115D8">
      <w:pPr>
        <w:pStyle w:val="NumberedParagraphs"/>
      </w:pPr>
      <w:r w:rsidRPr="00817B9F">
        <w:t>As we noted in our discussion of the APCD, not all commercial health plans in Massachusetts are required to submit their claims data for inclusion in the database.</w:t>
      </w:r>
      <w:r w:rsidRPr="00817B9F">
        <w:rPr>
          <w:rStyle w:val="FootnoteReference"/>
        </w:rPr>
        <w:footnoteReference w:id="147"/>
      </w:r>
      <w:r w:rsidRPr="00817B9F">
        <w:t xml:space="preserve"> Because of this, the volume of any outpatient procedure calculated using these data will be incomplete and will not match the volume of outpatient procedures that MGB—or any other health care provider in Massachusetts—would calculate using its own internal records of outpatient procedure (or visit) volume, including any volume calculations referenced by MGB in its DoN application. </w:t>
      </w:r>
    </w:p>
    <w:p w14:paraId="15C85A61" w14:textId="130B6D45" w:rsidR="00D115D8" w:rsidRPr="00817B9F" w:rsidRDefault="00D115D8" w:rsidP="00A437D2">
      <w:pPr>
        <w:pStyle w:val="Heading3"/>
        <w:numPr>
          <w:ilvl w:val="0"/>
          <w:numId w:val="35"/>
        </w:numPr>
      </w:pPr>
      <w:bookmarkStart w:id="98" w:name="_Ref88993380"/>
      <w:bookmarkStart w:id="99" w:name="_Toc90046524"/>
      <w:r w:rsidRPr="00817B9F">
        <w:t>Diagnostic Imaging Services</w:t>
      </w:r>
      <w:bookmarkEnd w:id="98"/>
      <w:bookmarkEnd w:id="99"/>
    </w:p>
    <w:p w14:paraId="423FFCA7" w14:textId="1A8EF768" w:rsidR="00D115D8" w:rsidRPr="00817B9F" w:rsidRDefault="00D115D8" w:rsidP="00D115D8">
      <w:pPr>
        <w:pStyle w:val="NumberedParagraphs"/>
      </w:pPr>
      <w:r w:rsidRPr="00817B9F">
        <w:t xml:space="preserve">In estimating our model of demand for outpatient diagnostic imaging services, we restrict the APCD and Medicare Claims data to those patients who received outpatient CT, MRI, or PET/CT diagnostic imaging services. We exclude claims associated with patients who reside </w:t>
      </w:r>
      <w:r w:rsidRPr="00817B9F">
        <w:lastRenderedPageBreak/>
        <w:t>outside of Massachusetts, and we limit to claims with service locations in Suffolk, Essex, Middlesex, Norfolk, Bristol, Plymouth, and Worcester Counties in Massachusetts.</w:t>
      </w:r>
      <w:r w:rsidRPr="00817B9F">
        <w:rPr>
          <w:rStyle w:val="FootnoteReference"/>
        </w:rPr>
        <w:footnoteReference w:id="148"/>
      </w:r>
    </w:p>
    <w:p w14:paraId="2BCC5C19" w14:textId="77777777" w:rsidR="00D115D8" w:rsidRPr="00817B9F" w:rsidRDefault="00D115D8" w:rsidP="00D115D8">
      <w:pPr>
        <w:pStyle w:val="NumberedParagraphs"/>
      </w:pPr>
      <w:r w:rsidRPr="00817B9F">
        <w:t>Using these data, we assume that patients’ preferences over outpatient diagnostic imaging services vary based on, among other things, where the patients live (</w:t>
      </w:r>
      <w:r w:rsidRPr="00817B9F">
        <w:rPr>
          <w:i/>
        </w:rPr>
        <w:t>e.g.</w:t>
      </w:r>
      <w:r w:rsidRPr="00817B9F">
        <w:t>, the ZIP Code of their residence), the type of outpatient imaging procedure they require (</w:t>
      </w:r>
      <w:r w:rsidRPr="00817B9F">
        <w:rPr>
          <w:i/>
        </w:rPr>
        <w:t>e.g.</w:t>
      </w:r>
      <w:r w:rsidRPr="00817B9F">
        <w:t>, the CPT or HCPCS code associated with the procedure), their health insurance coverage (</w:t>
      </w:r>
      <w:r w:rsidRPr="00817B9F">
        <w:rPr>
          <w:i/>
        </w:rPr>
        <w:t>e.g.</w:t>
      </w:r>
      <w:r w:rsidRPr="00817B9F">
        <w:t>, Original Medicare), and their demographics (</w:t>
      </w:r>
      <w:r w:rsidRPr="00817B9F">
        <w:rPr>
          <w:i/>
          <w:iCs/>
        </w:rPr>
        <w:t>e.g.,</w:t>
      </w:r>
      <w:r w:rsidRPr="00817B9F">
        <w:t xml:space="preserve"> age and gender).</w:t>
      </w:r>
      <w:r w:rsidRPr="00817B9F">
        <w:rPr>
          <w:rStyle w:val="FootnoteReference"/>
        </w:rPr>
        <w:footnoteReference w:id="149"/>
      </w:r>
      <w:r w:rsidRPr="00817B9F">
        <w:t xml:space="preserve"> In our model, patients’ preferences over outpatient diagnostic imaging facilities also implicitly depend on the characteristics of the facilities from which the patients are choosing (</w:t>
      </w:r>
      <w:r w:rsidRPr="00817B9F">
        <w:rPr>
          <w:i/>
          <w:iCs/>
        </w:rPr>
        <w:t>e.g.</w:t>
      </w:r>
      <w:r w:rsidRPr="00817B9F">
        <w:t>, the outpatient facilities’ reputation for quality, the locations of the facilities, or the amenities offered by the facilities).</w:t>
      </w:r>
      <w:r w:rsidRPr="00817B9F">
        <w:rPr>
          <w:rStyle w:val="FootnoteReference"/>
        </w:rPr>
        <w:footnoteReference w:id="150"/>
      </w:r>
      <w:r w:rsidRPr="00817B9F">
        <w:t xml:space="preserve"> Based on these preferences, patients choose at which facility they receive their diagnostic imaging scans.</w:t>
      </w:r>
      <w:r w:rsidRPr="00817B9F">
        <w:rPr>
          <w:rStyle w:val="FootnoteReference"/>
        </w:rPr>
        <w:footnoteReference w:id="151"/>
      </w:r>
      <w:r w:rsidRPr="00817B9F">
        <w:rPr>
          <w:vertAlign w:val="superscript"/>
        </w:rPr>
        <w:t>,</w:t>
      </w:r>
      <w:r w:rsidRPr="00817B9F">
        <w:rPr>
          <w:rStyle w:val="FootnoteReference"/>
        </w:rPr>
        <w:footnoteReference w:id="152"/>
      </w:r>
      <w:r w:rsidRPr="00817B9F">
        <w:t xml:space="preserve"> </w:t>
      </w:r>
    </w:p>
    <w:p w14:paraId="1ACE4DBC" w14:textId="4E633A60" w:rsidR="00D115D8" w:rsidRPr="00817B9F" w:rsidRDefault="00D115D8" w:rsidP="00A437D2">
      <w:pPr>
        <w:pStyle w:val="NumberedParagraphs"/>
      </w:pPr>
      <w:r w:rsidRPr="00817B9F">
        <w:lastRenderedPageBreak/>
        <w:t>Our estimation proceeds in two steps. In the first step, we identify groups of patients who are similar in terms of the aforementioned characteristics and who are, therefore, likely to have similar preferences across outpatient diagnostic imaging facilities.</w:t>
      </w:r>
      <w:r w:rsidRPr="00817B9F">
        <w:rPr>
          <w:rStyle w:val="FootnoteReference"/>
        </w:rPr>
        <w:footnoteReference w:id="153"/>
      </w:r>
      <w:r w:rsidRPr="00817B9F">
        <w:t xml:space="preserve"> In the second step, we estimate patients’ preferences for imaging facilities within each group. We assume that patients grouped together have the same preferences across imaging facilities and estimate these preferences based on the observed choices made by patients assigned to the group. In particular, we assume that the likelihood a patient in the group receives an imaging service at a particular facility is equal to the share of patients within the group who actually chose that facility, and that substitution patterns across facilities for patients in the group are proportional to these group-level shares. </w:t>
      </w:r>
      <w:r w:rsidR="009578C5" w:rsidRPr="00817B9F">
        <w:t>We estimate this model of demand for outpatient diagnostic imaging using approximately 1.2 million CT, MR, and PET</w:t>
      </w:r>
      <w:r w:rsidR="00AA685E" w:rsidRPr="00817B9F">
        <w:t>/</w:t>
      </w:r>
      <w:r w:rsidR="009578C5" w:rsidRPr="00817B9F">
        <w:t>CT scans performed at Massachusetts outpatient facilities</w:t>
      </w:r>
      <w:r w:rsidR="000318FA" w:rsidRPr="00817B9F">
        <w:t>.</w:t>
      </w:r>
    </w:p>
    <w:p w14:paraId="7788F504" w14:textId="126336F0" w:rsidR="00D115D8" w:rsidRPr="00817B9F" w:rsidRDefault="00D115D8" w:rsidP="00D115D8">
      <w:pPr>
        <w:pStyle w:val="NumberedParagraphs"/>
      </w:pPr>
      <w:r w:rsidRPr="00817B9F">
        <w:t xml:space="preserve">We use our model of demand for outpatient imaging services to calculate diversion ratios between competing providers of diagnostic imaging services in a manner analogous to the way in which we previously described calculating diversion ratios for inpatient hospital services. These diversion ratios can then be used to predict which competing diagnostic imaging providers </w:t>
      </w:r>
      <w:r w:rsidR="00A437D2" w:rsidRPr="00817B9F">
        <w:t>MGH</w:t>
      </w:r>
      <w:r w:rsidRPr="00817B9F">
        <w:t xml:space="preserve"> would attract patients from if the proposed project to expand the number of imaging units at the hospital were approved.</w:t>
      </w:r>
      <w:r w:rsidRPr="00817B9F">
        <w:rPr>
          <w:rStyle w:val="FootnoteReference"/>
        </w:rPr>
        <w:footnoteReference w:id="154"/>
      </w:r>
      <w:r w:rsidRPr="00817B9F">
        <w:t xml:space="preserve"> </w:t>
      </w:r>
    </w:p>
    <w:p w14:paraId="5C2CA4D8" w14:textId="1F70002B" w:rsidR="00D115D8" w:rsidRPr="00817B9F" w:rsidRDefault="00D115D8" w:rsidP="00D115D8">
      <w:pPr>
        <w:pStyle w:val="NumberedParagraphs"/>
      </w:pPr>
      <w:r w:rsidRPr="00817B9F">
        <w:t xml:space="preserve">Our forecasts of the effect of the proposed project on demand for diagnostic imaging services are derived as follows. In its DoN application, MGB proposes increasing the number of CT units at MGH from 14 to 16 (a 14 percent increase), the number of MRI units from </w:t>
      </w:r>
      <w:r w:rsidR="00946A0A" w:rsidRPr="00817B9F">
        <w:t>ten</w:t>
      </w:r>
      <w:r w:rsidRPr="00817B9F">
        <w:t xml:space="preserve"> to 12 (a 20 percent increase), and the number of PET/CT units from three to five (a 67 percent </w:t>
      </w:r>
      <w:r w:rsidRPr="00817B9F">
        <w:lastRenderedPageBreak/>
        <w:t>increase).</w:t>
      </w:r>
      <w:r w:rsidRPr="00817B9F">
        <w:rPr>
          <w:rStyle w:val="FootnoteReference"/>
        </w:rPr>
        <w:footnoteReference w:id="155"/>
      </w:r>
      <w:r w:rsidRPr="00817B9F">
        <w:t xml:space="preserve"> To address the ICA questions related to shifts in the utilization of diagnostic imaging facilities if the proposed project were approved, we use the outpatient demand model to predict which patients would switch to MGH for their CT, MR, and PET/CT scans after the expansion. We calibrate the demand model so that the predicted increase (in percentage terms) in CT, MR, and PET/CT scan volume at MGH exactly matches the percentage increase in CT, MR, and PET/CT scans MGB proposes to add in the DoN application for MGH.</w:t>
      </w:r>
    </w:p>
    <w:p w14:paraId="375EE52F" w14:textId="648C6DEE" w:rsidR="00D115D8" w:rsidRPr="00817B9F" w:rsidRDefault="00D115D8" w:rsidP="00D115D8">
      <w:pPr>
        <w:pStyle w:val="Heading3"/>
      </w:pPr>
      <w:bookmarkStart w:id="100" w:name="_Toc90046525"/>
      <w:r w:rsidRPr="00817B9F">
        <w:t>Cardiovascular Services</w:t>
      </w:r>
      <w:bookmarkEnd w:id="100"/>
    </w:p>
    <w:p w14:paraId="4E8B1191" w14:textId="489A1FA8" w:rsidR="00D115D8" w:rsidRPr="00817B9F" w:rsidRDefault="00D115D8" w:rsidP="00D115D8">
      <w:pPr>
        <w:pStyle w:val="NumberedParagraphs"/>
      </w:pPr>
      <w:r w:rsidRPr="00817B9F">
        <w:t xml:space="preserve">To estimate patients’ demand for outpatient cardiovascular services, we use a method that is similar to the one used to estimate demand for diagnostic imaging services. In estimating this model, we restrict the APCD and Medicare Claims data to those patients who might potentially use the additional cardiovascular services that will be available at MGH if the proposed project to expand the hospital’s cardiovascular operating and procedure rooms is approved. We restrict the APCD and Medicare Claims data to patients who received outpatient care for the cardiovascular services we previously described in Section </w:t>
      </w:r>
      <w:r w:rsidRPr="00817B9F">
        <w:fldChar w:fldCharType="begin"/>
      </w:r>
      <w:r w:rsidRPr="00817B9F">
        <w:instrText xml:space="preserve"> REF _Ref88655817 \r \h </w:instrText>
      </w:r>
      <w:r w:rsidR="00FD09F0" w:rsidRPr="00817B9F">
        <w:instrText xml:space="preserve"> \* MERGEFORMAT </w:instrText>
      </w:r>
      <w:r w:rsidRPr="00817B9F">
        <w:fldChar w:fldCharType="separate"/>
      </w:r>
      <w:r w:rsidR="002B78C3">
        <w:t>III</w:t>
      </w:r>
      <w:r w:rsidRPr="00817B9F">
        <w:fldChar w:fldCharType="end"/>
      </w:r>
      <w:r w:rsidRPr="00817B9F">
        <w:t>.</w:t>
      </w:r>
      <w:r w:rsidRPr="00817B9F">
        <w:fldChar w:fldCharType="begin"/>
      </w:r>
      <w:r w:rsidRPr="00817B9F">
        <w:instrText xml:space="preserve"> REF _Ref88219827 \w \h  \* MERGEFORMAT </w:instrText>
      </w:r>
      <w:r w:rsidRPr="00817B9F">
        <w:fldChar w:fldCharType="separate"/>
      </w:r>
      <w:r w:rsidR="002B78C3">
        <w:t>B</w:t>
      </w:r>
      <w:r w:rsidRPr="00817B9F">
        <w:fldChar w:fldCharType="end"/>
      </w:r>
      <w:r w:rsidRPr="00817B9F">
        <w:t>.</w:t>
      </w:r>
      <w:r w:rsidRPr="00817B9F">
        <w:fldChar w:fldCharType="begin"/>
      </w:r>
      <w:r w:rsidRPr="00817B9F">
        <w:instrText xml:space="preserve"> REF _Ref88219835 \w \h  \* MERGEFORMAT </w:instrText>
      </w:r>
      <w:r w:rsidRPr="00817B9F">
        <w:fldChar w:fldCharType="separate"/>
      </w:r>
      <w:r w:rsidR="002B78C3">
        <w:t>2</w:t>
      </w:r>
      <w:r w:rsidRPr="00817B9F">
        <w:fldChar w:fldCharType="end"/>
      </w:r>
      <w:r w:rsidRPr="00817B9F">
        <w:t>. We exclude claims associated with patients who reside outside of Massachusetts, and we limit to claims with service locations in Suffolk, Essex, Middlesex, Norfolk, Bristol, Plymouth, and Worcester Counties in Massachusetts.</w:t>
      </w:r>
      <w:r w:rsidRPr="00817B9F">
        <w:rPr>
          <w:rStyle w:val="FootnoteReference"/>
        </w:rPr>
        <w:footnoteReference w:id="156"/>
      </w:r>
      <w:r w:rsidRPr="00817B9F">
        <w:t xml:space="preserve"> </w:t>
      </w:r>
    </w:p>
    <w:p w14:paraId="482DCB2E" w14:textId="56408A41" w:rsidR="00D115D8" w:rsidRPr="00817B9F" w:rsidRDefault="00D115D8" w:rsidP="00D115D8">
      <w:pPr>
        <w:pStyle w:val="NumberedParagraphs"/>
      </w:pPr>
      <w:r w:rsidRPr="00817B9F">
        <w:t>We assume that patients’ preferences over facilities that offer outpatient cardiovascular services vary based on the same factors as in our model of demand for outpatient diagnostic imaging, including where the patients live (</w:t>
      </w:r>
      <w:r w:rsidRPr="00817B9F">
        <w:rPr>
          <w:i/>
        </w:rPr>
        <w:t>e.g.</w:t>
      </w:r>
      <w:r w:rsidRPr="00817B9F">
        <w:t>, the ZIP Code of their residence), the type of cardiovascular procedure they seek (</w:t>
      </w:r>
      <w:r w:rsidRPr="00817B9F">
        <w:rPr>
          <w:i/>
        </w:rPr>
        <w:t>e.g.</w:t>
      </w:r>
      <w:r w:rsidRPr="00817B9F">
        <w:t>, the patients’ CPT code), their health insurance coverage (</w:t>
      </w:r>
      <w:r w:rsidRPr="00817B9F">
        <w:rPr>
          <w:i/>
        </w:rPr>
        <w:t>e.g.</w:t>
      </w:r>
      <w:r w:rsidRPr="00817B9F">
        <w:t>, Original Medicare), and their demographics (</w:t>
      </w:r>
      <w:r w:rsidRPr="00817B9F">
        <w:rPr>
          <w:i/>
          <w:iCs/>
        </w:rPr>
        <w:t>e.g.,</w:t>
      </w:r>
      <w:r w:rsidRPr="00817B9F">
        <w:t xml:space="preserve"> age and gender).</w:t>
      </w:r>
      <w:r w:rsidRPr="00817B9F">
        <w:rPr>
          <w:rStyle w:val="FootnoteReference"/>
        </w:rPr>
        <w:footnoteReference w:id="157"/>
      </w:r>
      <w:r w:rsidRPr="00817B9F">
        <w:t xml:space="preserve"> In our model, patients’ </w:t>
      </w:r>
      <w:r w:rsidRPr="00817B9F">
        <w:lastRenderedPageBreak/>
        <w:t>preferences over outpatient cardiovascular facilities may also depend on the characteristics of the facilities from which the patients are choosing. Based on these preferences, patients choose a facility for their outpatient cardiovascular care.</w:t>
      </w:r>
      <w:r w:rsidRPr="00817B9F">
        <w:rPr>
          <w:rStyle w:val="FootnoteReference"/>
        </w:rPr>
        <w:footnoteReference w:id="158"/>
      </w:r>
      <w:r w:rsidRPr="00817B9F">
        <w:t xml:space="preserve"> We estimate the model using</w:t>
      </w:r>
      <w:r w:rsidR="00BB17B6" w:rsidRPr="00817B9F">
        <w:t xml:space="preserve"> approximately 2.5 million cardiovascular procedures performed at Massachusetts outpatient facilities and</w:t>
      </w:r>
      <w:r w:rsidRPr="00817B9F">
        <w:t xml:space="preserve"> the same two-step estimation process as in our model of demand for outpatient diagnostic imaging services; as before, we use the model to calculate diversion ratios between facilities offering outpatient cardiovascular services. </w:t>
      </w:r>
    </w:p>
    <w:p w14:paraId="1FD885F2" w14:textId="77777777" w:rsidR="00D115D8" w:rsidRPr="00817B9F" w:rsidRDefault="00D115D8" w:rsidP="00D115D8">
      <w:pPr>
        <w:pStyle w:val="NumberedParagraphs"/>
      </w:pPr>
      <w:r w:rsidRPr="00817B9F">
        <w:t>Our forecasts of the effect of the proposed expansion at MGH on demand for cardiovascular services are derived from diversion ratios that predict which patients will shift their demand for outpatient cardiovascular procedures to MGH after the proposed project is completed. MGH performed 42,092 cardiovascular procedures in fiscal year 2019, and in fiscal year 2025 it projects a volume of 43,195 cardiovascular procedures, representing a 2.6 percent increase in procedure volume.</w:t>
      </w:r>
      <w:r w:rsidRPr="00817B9F">
        <w:rPr>
          <w:rStyle w:val="FootnoteReference"/>
        </w:rPr>
        <w:footnoteReference w:id="159"/>
      </w:r>
      <w:r w:rsidRPr="00817B9F">
        <w:t xml:space="preserve"> For the purpose of modeling the effect of MGH’s proposed expansion, we assume that outpatient cardiovascular procedure volume will increase by this amount and conservatively assume that the entirety of this projected increase is due to the proposed expansion in MGH’s capacity (rather than, for example, changes in the incidence of heart disease or changes in patient demographics). </w:t>
      </w:r>
    </w:p>
    <w:p w14:paraId="50974D69" w14:textId="1D5EEEEB" w:rsidR="00D115D8" w:rsidRPr="00817B9F" w:rsidRDefault="00D115D8" w:rsidP="00D115D8">
      <w:pPr>
        <w:pStyle w:val="Heading3"/>
      </w:pPr>
      <w:bookmarkStart w:id="101" w:name="_Toc90046526"/>
      <w:r w:rsidRPr="00817B9F">
        <w:t>Oncology Services</w:t>
      </w:r>
      <w:bookmarkEnd w:id="101"/>
    </w:p>
    <w:p w14:paraId="57818D56" w14:textId="77777777" w:rsidR="00D115D8" w:rsidRPr="00817B9F" w:rsidRDefault="00D115D8" w:rsidP="00D115D8">
      <w:pPr>
        <w:pStyle w:val="NumberedParagraphs"/>
      </w:pPr>
      <w:r w:rsidRPr="00817B9F">
        <w:t>We estimate patients’ demand for outpatient oncology care somewhat differently than we do for outpatient diagnostic imaging services and outpatient cardiovascular procedures. Whereas diagnostic imaging and cardiovascular services can be identified using specific CPT or HCPCS procedure codes, outpatient oncology services may include an array of procedural services that are not limited to patients receiving oncology services (</w:t>
      </w:r>
      <w:r w:rsidRPr="00817B9F">
        <w:rPr>
          <w:i/>
        </w:rPr>
        <w:t>e.g.</w:t>
      </w:r>
      <w:r w:rsidRPr="00817B9F">
        <w:t xml:space="preserve">, a patient receiving oncology care at MGH may receive evaluation and management services from an oncologist in addition to chemotherapy </w:t>
      </w:r>
      <w:r w:rsidRPr="00817B9F">
        <w:lastRenderedPageBreak/>
        <w:t>infusion services, radiation oncology services, or surgical oncology services). Accordingly, we define “oncology services” using the diagnosis codes recorded for each patient in the APCD and Medicare Claims data,</w:t>
      </w:r>
      <w:r w:rsidRPr="00817B9F">
        <w:rPr>
          <w:rStyle w:val="FootnoteReference"/>
        </w:rPr>
        <w:footnoteReference w:id="160"/>
      </w:r>
      <w:r w:rsidRPr="00817B9F">
        <w:t xml:space="preserve"> rather than using the procedure codes for each claim. As such, our model of demand for outpatient oncology services models this demand at the patient-visit level—which may encompass more than one procedure code—rather than at the procedure-code level as in our models of demand for other types of outpatient health care services. </w:t>
      </w:r>
    </w:p>
    <w:p w14:paraId="2017EE11" w14:textId="3C3CBDF4" w:rsidR="00D115D8" w:rsidRPr="00817B9F" w:rsidRDefault="00D115D8" w:rsidP="00D115D8">
      <w:pPr>
        <w:pStyle w:val="NumberedParagraphs"/>
      </w:pPr>
      <w:r w:rsidRPr="00817B9F">
        <w:t>In estimating our model, we restrict the APCD and Medicare Claims data to those patients potentially affected by the expanded oncology services that will be available at MGH if the proposed project is approved. To do this, we restrict the APCD and Medicare Claims data to outpatient visits where the claim for the visit was associated with an oncology diagnosis code. We exclude claims associated with patients who reside outside of Massachusetts, and we limit to claims with service locations in Suffolk, Essex, Middlesex, Norfolk, Bristol, Plymouth, and Worcester Counties in Massachusetts.</w:t>
      </w:r>
      <w:r w:rsidRPr="00817B9F">
        <w:rPr>
          <w:rStyle w:val="FootnoteReference"/>
        </w:rPr>
        <w:footnoteReference w:id="161"/>
      </w:r>
    </w:p>
    <w:p w14:paraId="5114C323" w14:textId="5759D1BC" w:rsidR="00D115D8" w:rsidRPr="00817B9F" w:rsidRDefault="00D115D8" w:rsidP="00D115D8">
      <w:pPr>
        <w:pStyle w:val="NumberedParagraphs"/>
      </w:pPr>
      <w:r w:rsidRPr="00817B9F">
        <w:t>We assume that patients’ preferences over facilities that offer outpatient oncology care vary based on the same factors as in our models of demand for outpatient diagnostic imaging and cardiovascular services (</w:t>
      </w:r>
      <w:r w:rsidRPr="00817B9F">
        <w:rPr>
          <w:i/>
          <w:iCs/>
        </w:rPr>
        <w:t>e.g.</w:t>
      </w:r>
      <w:r w:rsidRPr="00817B9F">
        <w:t>, the ZIP Code of the patients’ residence, the patients’ health insurance coverage, the patients’ demographics, and so on) with one exception. Because we estimate our model at the patient-visit level rather than at the procedure-code level, there is not necessarily a single procedure code associated with each outpatient visit. As such, rather than allowing patients’ preferences over health care facilities to vary based on procedure, we allow patients’ preferences to depend on their type of cancer.</w:t>
      </w:r>
      <w:r w:rsidRPr="00817B9F">
        <w:rPr>
          <w:rStyle w:val="FootnoteReference"/>
        </w:rPr>
        <w:footnoteReference w:id="162"/>
      </w:r>
      <w:r w:rsidRPr="00817B9F">
        <w:t xml:space="preserve"> In our model, patients’ preferences over outpatient oncology providers may also depend on the characteristics of the facilities from which the patients are choosing. Based on these preferences, patients choose a facility for their outpatient oncology care. </w:t>
      </w:r>
      <w:r w:rsidR="00BC629E" w:rsidRPr="00817B9F">
        <w:lastRenderedPageBreak/>
        <w:t>We estimate the model using approximately 1.7 million patient-visits and</w:t>
      </w:r>
      <w:r w:rsidRPr="00817B9F">
        <w:t xml:space="preserve"> the same two-step estimation process as in our models of demand for outpatient diagnostic imaging and cardiovascular services; as before, we use the model to calculate diversion ratios between facilities offering outpatient oncology services.</w:t>
      </w:r>
    </w:p>
    <w:p w14:paraId="248F0210" w14:textId="77777777" w:rsidR="00D115D8" w:rsidRPr="00817B9F" w:rsidRDefault="00D115D8" w:rsidP="00D115D8">
      <w:pPr>
        <w:pStyle w:val="NumberedParagraphs"/>
      </w:pPr>
      <w:r w:rsidRPr="00817B9F">
        <w:t>To forecast the effect of the proposed project on demand for outpatient oncology patient-visits, we rely on the same methodology applied to demand for outpatient diagnostic imaging and cardiovascular services. MGH provided 159,365 outpatient oncology visits in fiscal year 2019, and in fiscal year 2025 it projects a volume of 188,063 outpatient oncology visits, representing an 18 percent increase.</w:t>
      </w:r>
      <w:r w:rsidRPr="00817B9F">
        <w:rPr>
          <w:rStyle w:val="FootnoteReference"/>
        </w:rPr>
        <w:footnoteReference w:id="163"/>
      </w:r>
      <w:r w:rsidRPr="00817B9F">
        <w:t xml:space="preserve"> For the purpose of modeling the effect of MGH’s proposed expansion, we assume that outpatient oncology visits will increase by this amount and conservatively assume that the entirety of this projected increase is due to the proposed expansion in MGH’s capacity (rather than, for example, changes in the incidence of cancer or changes in patient demographics).</w:t>
      </w:r>
    </w:p>
    <w:p w14:paraId="32E3DCB6" w14:textId="1D7BA8F5" w:rsidR="00A5542D" w:rsidRPr="00817B9F" w:rsidRDefault="001D1EC0" w:rsidP="00636253">
      <w:pPr>
        <w:pStyle w:val="Heading1"/>
      </w:pPr>
      <w:bookmarkStart w:id="102" w:name="_Ref88993326"/>
      <w:bookmarkStart w:id="103" w:name="_Ref88994298"/>
      <w:bookmarkStart w:id="104" w:name="_Toc90046527"/>
      <w:r w:rsidRPr="00817B9F">
        <w:t>P</w:t>
      </w:r>
      <w:r w:rsidR="00F47403" w:rsidRPr="00817B9F">
        <w:t>r</w:t>
      </w:r>
      <w:r w:rsidRPr="00817B9F">
        <w:t>edicted Cha</w:t>
      </w:r>
      <w:r w:rsidR="00996880" w:rsidRPr="00817B9F">
        <w:t xml:space="preserve">nges in </w:t>
      </w:r>
      <w:r w:rsidR="00E4223D" w:rsidRPr="00817B9F">
        <w:t xml:space="preserve">MGB’s </w:t>
      </w:r>
      <w:r w:rsidR="00A5542D" w:rsidRPr="00817B9F">
        <w:t xml:space="preserve">Shares and </w:t>
      </w:r>
      <w:r w:rsidR="0080743E" w:rsidRPr="00817B9F">
        <w:t>Bargaining Leverage</w:t>
      </w:r>
      <w:bookmarkEnd w:id="97"/>
      <w:bookmarkEnd w:id="102"/>
      <w:bookmarkEnd w:id="103"/>
      <w:bookmarkEnd w:id="104"/>
    </w:p>
    <w:p w14:paraId="4CE7311B" w14:textId="059C9151" w:rsidR="00BE5035" w:rsidRPr="00817B9F" w:rsidRDefault="00227F64" w:rsidP="00BE5035">
      <w:pPr>
        <w:pStyle w:val="NumberedParagraphs"/>
      </w:pPr>
      <w:r w:rsidRPr="00817B9F">
        <w:t xml:space="preserve">As part of </w:t>
      </w:r>
      <w:r w:rsidR="0070535A" w:rsidRPr="00817B9F">
        <w:t xml:space="preserve">our evaluation of </w:t>
      </w:r>
      <w:r w:rsidRPr="00817B9F">
        <w:t xml:space="preserve">the </w:t>
      </w:r>
      <w:r w:rsidR="0070535A" w:rsidRPr="00817B9F">
        <w:t>proposed project on health care costs in Massachusetts</w:t>
      </w:r>
      <w:r w:rsidRPr="00817B9F">
        <w:t xml:space="preserve">, the DoN program asked that we evaluate MGB’s </w:t>
      </w:r>
      <w:r w:rsidR="007C67DA" w:rsidRPr="00817B9F">
        <w:t xml:space="preserve">market share for the services addressed in </w:t>
      </w:r>
      <w:r w:rsidR="00235D8C" w:rsidRPr="00817B9F">
        <w:t>its</w:t>
      </w:r>
      <w:r w:rsidR="007C67DA" w:rsidRPr="00817B9F">
        <w:t xml:space="preserve"> DoN application and </w:t>
      </w:r>
      <w:r w:rsidR="00235D8C" w:rsidRPr="00817B9F">
        <w:t>that we</w:t>
      </w:r>
      <w:r w:rsidR="007C67DA" w:rsidRPr="00817B9F">
        <w:t xml:space="preserve"> assess how </w:t>
      </w:r>
      <w:r w:rsidR="00EE29AF" w:rsidRPr="00817B9F">
        <w:t>those</w:t>
      </w:r>
      <w:r w:rsidR="007C67DA" w:rsidRPr="00817B9F">
        <w:t xml:space="preserve"> share</w:t>
      </w:r>
      <w:r w:rsidR="00EE29AF" w:rsidRPr="00817B9F">
        <w:t>s</w:t>
      </w:r>
      <w:r w:rsidR="007C67DA" w:rsidRPr="00817B9F">
        <w:t xml:space="preserve"> might change </w:t>
      </w:r>
      <w:r w:rsidR="00E901BB" w:rsidRPr="00817B9F">
        <w:t>if MGB’s</w:t>
      </w:r>
      <w:r w:rsidR="007C67DA" w:rsidRPr="00817B9F">
        <w:t xml:space="preserve"> DoN application were approved. </w:t>
      </w:r>
      <w:r w:rsidR="00235D8C" w:rsidRPr="00817B9F">
        <w:t>Related to this</w:t>
      </w:r>
      <w:r w:rsidRPr="00817B9F">
        <w:t xml:space="preserve">, the DoN program </w:t>
      </w:r>
      <w:r w:rsidR="00235D8C" w:rsidRPr="00817B9F">
        <w:t>also</w:t>
      </w:r>
      <w:r w:rsidR="00971BA0" w:rsidRPr="00817B9F">
        <w:t xml:space="preserve"> </w:t>
      </w:r>
      <w:r w:rsidRPr="00817B9F">
        <w:t>asked that we consider how changes in MGB’s share might affect the prices it negotiates with third-party payors</w:t>
      </w:r>
      <w:r w:rsidR="00E901BB" w:rsidRPr="00817B9F">
        <w:t xml:space="preserve"> (</w:t>
      </w:r>
      <w:r w:rsidR="00E901BB" w:rsidRPr="00817B9F">
        <w:rPr>
          <w:i/>
          <w:iCs/>
        </w:rPr>
        <w:t>i.e.</w:t>
      </w:r>
      <w:r w:rsidR="00E901BB" w:rsidRPr="00817B9F">
        <w:t>, its</w:t>
      </w:r>
      <w:r w:rsidR="00971BA0" w:rsidRPr="00817B9F">
        <w:t xml:space="preserve"> negotiating leverage with third-party payors</w:t>
      </w:r>
      <w:r w:rsidR="00E901BB" w:rsidRPr="00817B9F">
        <w:t xml:space="preserve">). </w:t>
      </w:r>
      <w:r w:rsidR="00D43702" w:rsidRPr="00817B9F">
        <w:t xml:space="preserve">In this section we discuss </w:t>
      </w:r>
      <w:r w:rsidR="00AF2674" w:rsidRPr="00817B9F">
        <w:t xml:space="preserve">the economic literature related to market </w:t>
      </w:r>
      <w:r w:rsidR="00EB5B3C" w:rsidRPr="00817B9F">
        <w:t xml:space="preserve">shares and </w:t>
      </w:r>
      <w:r w:rsidR="00AF2674" w:rsidRPr="00817B9F">
        <w:t xml:space="preserve">concentration in health care and the relationship between </w:t>
      </w:r>
      <w:r w:rsidR="00EB5B3C" w:rsidRPr="00817B9F">
        <w:t xml:space="preserve">market structure and health care prices. We </w:t>
      </w:r>
      <w:r w:rsidR="009E34B4" w:rsidRPr="00817B9F">
        <w:t xml:space="preserve">then turn to an assessment of MGB’s current share for the services addressed in its DoN </w:t>
      </w:r>
      <w:r w:rsidR="00860F4B" w:rsidRPr="00817B9F">
        <w:t xml:space="preserve">and use our models of patient demand for health care services to predict how those shares might change if the proposed project were approved. </w:t>
      </w:r>
    </w:p>
    <w:p w14:paraId="01137752" w14:textId="2821B296" w:rsidR="00DB7DC7" w:rsidRPr="00817B9F" w:rsidRDefault="00350987" w:rsidP="00DB7DC7">
      <w:pPr>
        <w:pStyle w:val="NumberedParagraphs"/>
      </w:pPr>
      <w:r w:rsidRPr="00817B9F">
        <w:t xml:space="preserve">Before turning to this discussion, we </w:t>
      </w:r>
      <w:r w:rsidR="00574460" w:rsidRPr="00817B9F">
        <w:t>provide a brief overview of</w:t>
      </w:r>
      <w:r w:rsidR="00DB7DC7" w:rsidRPr="00817B9F">
        <w:t xml:space="preserve"> the bargaining dynamics between health insurers and health care providers </w:t>
      </w:r>
      <w:r w:rsidR="00197105" w:rsidRPr="00817B9F">
        <w:t xml:space="preserve">that determine the </w:t>
      </w:r>
      <w:r w:rsidR="008C7373" w:rsidRPr="00817B9F">
        <w:t>rates they negotiate for inpatient and outpatient services</w:t>
      </w:r>
      <w:r w:rsidR="00DB7DC7" w:rsidRPr="00817B9F">
        <w:t xml:space="preserve">. Economists generally view </w:t>
      </w:r>
      <w:r w:rsidR="008311B8" w:rsidRPr="00817B9F">
        <w:t xml:space="preserve">the </w:t>
      </w:r>
      <w:r w:rsidR="00DB7DC7" w:rsidRPr="00817B9F">
        <w:t xml:space="preserve">competition between health care </w:t>
      </w:r>
      <w:r w:rsidR="00DB7DC7" w:rsidRPr="00817B9F">
        <w:lastRenderedPageBreak/>
        <w:t>providers as occurring in two stages.</w:t>
      </w:r>
      <w:r w:rsidR="00DB7DC7" w:rsidRPr="00817B9F">
        <w:rPr>
          <w:rStyle w:val="FootnoteReference"/>
        </w:rPr>
        <w:footnoteReference w:id="164"/>
      </w:r>
      <w:r w:rsidR="00DB7DC7" w:rsidRPr="00817B9F">
        <w:t xml:space="preserve"> </w:t>
      </w:r>
      <w:r w:rsidR="006F1EE3" w:rsidRPr="00817B9F">
        <w:t>Negotiations over prices occur i</w:t>
      </w:r>
      <w:r w:rsidR="00DB7DC7" w:rsidRPr="00817B9F">
        <w:t xml:space="preserve">n the first stage, </w:t>
      </w:r>
      <w:r w:rsidR="006F1EE3" w:rsidRPr="00817B9F">
        <w:t>when</w:t>
      </w:r>
      <w:r w:rsidR="00DB7DC7" w:rsidRPr="00817B9F">
        <w:t xml:space="preserve"> providers negotiate with insurers to be included as in-network providers. In the second stage, </w:t>
      </w:r>
      <w:r w:rsidR="006F1EE3" w:rsidRPr="00817B9F">
        <w:t xml:space="preserve">after health insurers have formed </w:t>
      </w:r>
      <w:r w:rsidR="00A1168D" w:rsidRPr="00817B9F">
        <w:t>these</w:t>
      </w:r>
      <w:r w:rsidR="006F1EE3" w:rsidRPr="00817B9F">
        <w:t xml:space="preserve"> networks</w:t>
      </w:r>
      <w:r w:rsidR="00A1168D" w:rsidRPr="00817B9F">
        <w:t>,</w:t>
      </w:r>
      <w:r w:rsidR="006F1EE3" w:rsidRPr="00817B9F">
        <w:t xml:space="preserve"> </w:t>
      </w:r>
      <w:r w:rsidR="00DB7DC7" w:rsidRPr="00817B9F">
        <w:t xml:space="preserve">in-network providers compete (primarily over non-price terms) to attract </w:t>
      </w:r>
      <w:r w:rsidR="00A1168D" w:rsidRPr="00817B9F">
        <w:t>the</w:t>
      </w:r>
      <w:r w:rsidR="00DB7DC7" w:rsidRPr="00817B9F">
        <w:t xml:space="preserve"> patients</w:t>
      </w:r>
      <w:r w:rsidR="00A1168D" w:rsidRPr="00817B9F">
        <w:t xml:space="preserve"> that have in-network access to the</w:t>
      </w:r>
      <w:r w:rsidR="00277FDD" w:rsidRPr="00817B9F">
        <w:t>m</w:t>
      </w:r>
      <w:r w:rsidR="00DB7DC7" w:rsidRPr="00817B9F">
        <w:t>. The two stages of competition among health care providers are closely related: the factors that may allow a h</w:t>
      </w:r>
      <w:r w:rsidR="00645927" w:rsidRPr="00817B9F">
        <w:t>ealth care provider</w:t>
      </w:r>
      <w:r w:rsidR="00DB7DC7" w:rsidRPr="00817B9F">
        <w:t xml:space="preserve"> to negotiate better rates with a health insurer in the first stage also typically make the </w:t>
      </w:r>
      <w:r w:rsidR="00645927" w:rsidRPr="00817B9F">
        <w:t>provider</w:t>
      </w:r>
      <w:r w:rsidR="00DB7DC7" w:rsidRPr="00817B9F">
        <w:t xml:space="preserve"> more attractive to patients in the second stage. </w:t>
      </w:r>
    </w:p>
    <w:p w14:paraId="2EDA069D" w14:textId="70FF3422" w:rsidR="000D58E6" w:rsidRPr="00817B9F" w:rsidRDefault="00525D28" w:rsidP="007364EF">
      <w:pPr>
        <w:pStyle w:val="NumberedParagraphs"/>
      </w:pPr>
      <w:r w:rsidRPr="00817B9F">
        <w:t xml:space="preserve">In models of the </w:t>
      </w:r>
      <w:r w:rsidR="00193804" w:rsidRPr="00817B9F">
        <w:t>first</w:t>
      </w:r>
      <w:r w:rsidRPr="00817B9F">
        <w:t xml:space="preserve"> stage, t</w:t>
      </w:r>
      <w:r w:rsidR="00645927" w:rsidRPr="00817B9F">
        <w:t xml:space="preserve">he reimbursement rates that </w:t>
      </w:r>
      <w:r w:rsidRPr="00817B9F">
        <w:t>a</w:t>
      </w:r>
      <w:r w:rsidR="00645927" w:rsidRPr="00817B9F">
        <w:t xml:space="preserve"> provider and health insurer negotiate are determined by the value to each of reaching an agreement to include the provider in the insurer’s network and the prospects of each if they fail to reach an agreement. T</w:t>
      </w:r>
      <w:r w:rsidR="00120976" w:rsidRPr="00817B9F">
        <w:t xml:space="preserve">o the </w:t>
      </w:r>
      <w:r w:rsidR="00645927" w:rsidRPr="00817B9F">
        <w:t>health insurer</w:t>
      </w:r>
      <w:r w:rsidR="00120976" w:rsidRPr="00817B9F">
        <w:t>, the extra</w:t>
      </w:r>
      <w:r w:rsidR="00645927" w:rsidRPr="00817B9F">
        <w:t xml:space="preserve"> value </w:t>
      </w:r>
      <w:r w:rsidR="00120976" w:rsidRPr="00817B9F">
        <w:t>from</w:t>
      </w:r>
      <w:r w:rsidR="00645927" w:rsidRPr="00817B9F">
        <w:t xml:space="preserve"> adding a provider to its network depends</w:t>
      </w:r>
      <w:r w:rsidR="00120976" w:rsidRPr="00817B9F">
        <w:t xml:space="preserve"> </w:t>
      </w:r>
      <w:r w:rsidR="00A72181" w:rsidRPr="00817B9F">
        <w:t xml:space="preserve">on </w:t>
      </w:r>
      <w:r w:rsidR="00120976" w:rsidRPr="00817B9F">
        <w:t xml:space="preserve">the </w:t>
      </w:r>
      <w:r w:rsidR="00A72181" w:rsidRPr="00817B9F">
        <w:t>extra</w:t>
      </w:r>
      <w:r w:rsidR="00120976" w:rsidRPr="00817B9F">
        <w:t xml:space="preserve"> value </w:t>
      </w:r>
      <w:r w:rsidR="00645927" w:rsidRPr="00817B9F">
        <w:t xml:space="preserve">the </w:t>
      </w:r>
      <w:r w:rsidR="00A72181" w:rsidRPr="00817B9F">
        <w:t>insurer’s enrollees derive from</w:t>
      </w:r>
      <w:r w:rsidR="00645927" w:rsidRPr="00817B9F">
        <w:t xml:space="preserve"> a network that includes the provider </w:t>
      </w:r>
      <w:r w:rsidR="00A72181" w:rsidRPr="00817B9F">
        <w:t>relative to one</w:t>
      </w:r>
      <w:r w:rsidR="00645927" w:rsidRPr="00817B9F">
        <w:t xml:space="preserve"> that excludes it. The greater this </w:t>
      </w:r>
      <w:r w:rsidR="00A72181" w:rsidRPr="00817B9F">
        <w:t>extra value</w:t>
      </w:r>
      <w:r w:rsidR="00645927" w:rsidRPr="00817B9F">
        <w:t xml:space="preserve">, the more the insurer is willing to pay the provider to participate in its network. </w:t>
      </w:r>
      <w:r w:rsidR="003513C4" w:rsidRPr="00817B9F">
        <w:t>For</w:t>
      </w:r>
      <w:r w:rsidR="00645927" w:rsidRPr="00817B9F">
        <w:t xml:space="preserve"> example, providers that offer a broad range of services, have a superior reputation or clinical quality, are conveniently located, or offer desirable amenities have more bargaining leverage with insurers and receive higher rates. In contrast, providers for which there are reasonable or superior alternatives in the eyes of consumers (in terms of location, services, reputation, and so on) have less bargaining leverage with insurers and receive lower rates.</w:t>
      </w:r>
      <w:r w:rsidR="00AB1F52" w:rsidRPr="00817B9F">
        <w:t xml:space="preserve"> </w:t>
      </w:r>
      <w:r w:rsidR="00832F91" w:rsidRPr="00817B9F">
        <w:t xml:space="preserve">Much of the economics literature we discuss below explicitly or implicitly relies on the same two-stage framework to assess </w:t>
      </w:r>
      <w:r w:rsidR="00EA3781" w:rsidRPr="00817B9F">
        <w:t xml:space="preserve">the relationship between </w:t>
      </w:r>
      <w:r w:rsidR="00832F91" w:rsidRPr="00817B9F">
        <w:t xml:space="preserve">prices and </w:t>
      </w:r>
      <w:r w:rsidR="00EA3781" w:rsidRPr="00817B9F">
        <w:t>concentration in health care markets</w:t>
      </w:r>
      <w:r w:rsidR="00832F91" w:rsidRPr="00817B9F">
        <w:t xml:space="preserve">. </w:t>
      </w:r>
      <w:r w:rsidR="00C611D2" w:rsidRPr="00817B9F">
        <w:t xml:space="preserve">When considering </w:t>
      </w:r>
      <w:r w:rsidR="00EB7664" w:rsidRPr="00817B9F">
        <w:t xml:space="preserve">the </w:t>
      </w:r>
      <w:r w:rsidR="00C611D2" w:rsidRPr="00817B9F">
        <w:t xml:space="preserve">potential impact to prices from </w:t>
      </w:r>
      <w:r w:rsidR="00EB7664" w:rsidRPr="00817B9F">
        <w:t>a change</w:t>
      </w:r>
      <w:r w:rsidR="00C611D2" w:rsidRPr="00817B9F">
        <w:t xml:space="preserve"> in market </w:t>
      </w:r>
      <w:r w:rsidR="00C07E73" w:rsidRPr="00817B9F">
        <w:t>structure</w:t>
      </w:r>
      <w:r w:rsidR="00C611D2" w:rsidRPr="00817B9F">
        <w:t xml:space="preserve"> such as </w:t>
      </w:r>
      <w:r w:rsidR="00EB7664" w:rsidRPr="00817B9F">
        <w:t xml:space="preserve">an acquisition or the </w:t>
      </w:r>
      <w:r w:rsidR="00EA3781" w:rsidRPr="00817B9F">
        <w:t>proposed project</w:t>
      </w:r>
      <w:r w:rsidR="00832F91" w:rsidRPr="00817B9F">
        <w:t xml:space="preserve">, economists consider how the change </w:t>
      </w:r>
      <w:r w:rsidR="00EB7664" w:rsidRPr="00817B9F">
        <w:t>will affect the val</w:t>
      </w:r>
      <w:r w:rsidR="00EA3781" w:rsidRPr="00817B9F">
        <w:t>ues that</w:t>
      </w:r>
      <w:r w:rsidR="00EB7664" w:rsidRPr="00817B9F">
        <w:t xml:space="preserve"> </w:t>
      </w:r>
      <w:r w:rsidR="00EA3781" w:rsidRPr="00817B9F">
        <w:t>providers and insurers put on reaching an agreement</w:t>
      </w:r>
      <w:r w:rsidR="00CB44A6" w:rsidRPr="00817B9F">
        <w:t>.</w:t>
      </w:r>
      <w:r w:rsidR="00EB7664" w:rsidRPr="00817B9F">
        <w:t xml:space="preserve"> </w:t>
      </w:r>
    </w:p>
    <w:p w14:paraId="12DC26A1" w14:textId="4370616E" w:rsidR="004F664B" w:rsidRPr="00817B9F" w:rsidRDefault="008F603E" w:rsidP="00184D23">
      <w:pPr>
        <w:pStyle w:val="Heading2"/>
        <w:numPr>
          <w:ilvl w:val="0"/>
          <w:numId w:val="20"/>
        </w:numPr>
        <w:rPr>
          <w:rFonts w:cs="Times New Roman"/>
        </w:rPr>
      </w:pPr>
      <w:bookmarkStart w:id="105" w:name="_Ref88483325"/>
      <w:bookmarkStart w:id="106" w:name="_Toc90046528"/>
      <w:r w:rsidRPr="00817B9F">
        <w:rPr>
          <w:rFonts w:cs="Times New Roman"/>
        </w:rPr>
        <w:t>Competition Between Health Care Providers</w:t>
      </w:r>
      <w:bookmarkEnd w:id="105"/>
      <w:bookmarkEnd w:id="106"/>
    </w:p>
    <w:p w14:paraId="3F225180" w14:textId="2BB10F72" w:rsidR="0080743E" w:rsidRPr="00817B9F" w:rsidRDefault="00C534C4" w:rsidP="0080743E">
      <w:pPr>
        <w:pStyle w:val="NumberedParagraphs"/>
      </w:pPr>
      <w:r w:rsidRPr="00817B9F">
        <w:t xml:space="preserve">Turning first </w:t>
      </w:r>
      <w:r w:rsidR="009E46AD" w:rsidRPr="00817B9F">
        <w:t xml:space="preserve">to </w:t>
      </w:r>
      <w:r w:rsidR="0080743E" w:rsidRPr="00817B9F">
        <w:t xml:space="preserve">the </w:t>
      </w:r>
      <w:r w:rsidR="009E46AD" w:rsidRPr="00817B9F">
        <w:t>economics literature</w:t>
      </w:r>
      <w:r w:rsidR="0080743E" w:rsidRPr="00817B9F">
        <w:t xml:space="preserve"> on </w:t>
      </w:r>
      <w:r w:rsidR="009E46AD" w:rsidRPr="00817B9F">
        <w:t xml:space="preserve">the relationship between </w:t>
      </w:r>
      <w:r w:rsidR="00F2256A" w:rsidRPr="00817B9F">
        <w:t xml:space="preserve">market structure and </w:t>
      </w:r>
      <w:r w:rsidR="0080743E" w:rsidRPr="00817B9F">
        <w:t xml:space="preserve">health care </w:t>
      </w:r>
      <w:r w:rsidR="00F2256A" w:rsidRPr="00817B9F">
        <w:t xml:space="preserve">prices, we </w:t>
      </w:r>
      <w:r w:rsidR="007D3536" w:rsidRPr="00817B9F">
        <w:t>note</w:t>
      </w:r>
      <w:r w:rsidR="0080743E" w:rsidRPr="00817B9F">
        <w:t xml:space="preserve"> that </w:t>
      </w:r>
      <w:r w:rsidR="007D3536" w:rsidRPr="00817B9F">
        <w:t>most of this literature focus</w:t>
      </w:r>
      <w:r w:rsidR="00C45379" w:rsidRPr="00817B9F">
        <w:t>es</w:t>
      </w:r>
      <w:r w:rsidR="0080743E" w:rsidRPr="00817B9F">
        <w:t xml:space="preserve"> on </w:t>
      </w:r>
      <w:r w:rsidR="00C45379" w:rsidRPr="00817B9F">
        <w:t>prices</w:t>
      </w:r>
      <w:r w:rsidR="00BD44BE" w:rsidRPr="00817B9F">
        <w:t xml:space="preserve"> paid by commercial health insurers</w:t>
      </w:r>
      <w:r w:rsidR="0080743E" w:rsidRPr="00817B9F">
        <w:t xml:space="preserve"> for </w:t>
      </w:r>
      <w:r w:rsidR="00BD44BE" w:rsidRPr="00817B9F">
        <w:t xml:space="preserve">health care </w:t>
      </w:r>
      <w:r w:rsidR="0080743E" w:rsidRPr="00817B9F">
        <w:t>services</w:t>
      </w:r>
      <w:r w:rsidR="00BD44BE" w:rsidRPr="00817B9F">
        <w:t xml:space="preserve">. </w:t>
      </w:r>
      <w:r w:rsidR="00FC159E" w:rsidRPr="00817B9F">
        <w:t>This is because</w:t>
      </w:r>
      <w:r w:rsidR="0080743E" w:rsidRPr="00817B9F">
        <w:t xml:space="preserve"> </w:t>
      </w:r>
      <w:r w:rsidR="00374C5A" w:rsidRPr="00817B9F">
        <w:t>while</w:t>
      </w:r>
      <w:r w:rsidR="0080743E" w:rsidRPr="00817B9F">
        <w:t xml:space="preserve"> commercial </w:t>
      </w:r>
      <w:r w:rsidR="00374C5A" w:rsidRPr="00817B9F">
        <w:t>insurers typically</w:t>
      </w:r>
      <w:r w:rsidR="0080743E" w:rsidRPr="00817B9F">
        <w:t xml:space="preserve"> negotiate </w:t>
      </w:r>
      <w:r w:rsidR="0080743E" w:rsidRPr="00817B9F">
        <w:lastRenderedPageBreak/>
        <w:t>reimbursement rates with health care providers like MGB</w:t>
      </w:r>
      <w:r w:rsidR="00374C5A" w:rsidRPr="00817B9F">
        <w:t>,</w:t>
      </w:r>
      <w:r w:rsidR="0080743E" w:rsidRPr="00817B9F">
        <w:t xml:space="preserve"> reimbursement for government programs like Original Medicare or MassHealth </w:t>
      </w:r>
      <w:r w:rsidR="002A06AC" w:rsidRPr="00817B9F">
        <w:t>n</w:t>
      </w:r>
      <w:r w:rsidR="0080743E" w:rsidRPr="00817B9F">
        <w:t>on-</w:t>
      </w:r>
      <w:r w:rsidR="002A06AC" w:rsidRPr="00817B9F">
        <w:t>m</w:t>
      </w:r>
      <w:r w:rsidR="0080743E" w:rsidRPr="00817B9F">
        <w:t xml:space="preserve">anaged </w:t>
      </w:r>
      <w:r w:rsidR="002A06AC" w:rsidRPr="00817B9F">
        <w:t>c</w:t>
      </w:r>
      <w:r w:rsidR="0080743E" w:rsidRPr="00817B9F">
        <w:t xml:space="preserve">are is set by regulation rather than through negotiation with providers and would be unaffected by </w:t>
      </w:r>
      <w:r w:rsidR="00374C5A" w:rsidRPr="00817B9F">
        <w:t xml:space="preserve">any </w:t>
      </w:r>
      <w:r w:rsidR="0080743E" w:rsidRPr="00817B9F">
        <w:t xml:space="preserve">changes in MGB’s </w:t>
      </w:r>
      <w:r w:rsidR="00374C5A" w:rsidRPr="00817B9F">
        <w:t>bargaining</w:t>
      </w:r>
      <w:r w:rsidR="0080743E" w:rsidRPr="00817B9F">
        <w:t xml:space="preserve"> leverage.</w:t>
      </w:r>
      <w:r w:rsidR="0080743E" w:rsidRPr="00817B9F">
        <w:rPr>
          <w:rStyle w:val="FootnoteReference"/>
        </w:rPr>
        <w:footnoteReference w:id="165"/>
      </w:r>
      <w:r w:rsidR="0080743E" w:rsidRPr="00817B9F">
        <w:t xml:space="preserve"> Although government-sponsored health plans like Medicare Advantage plans negotiate prices with hospitals, research has found that the prices negotiated by these plans </w:t>
      </w:r>
      <w:r w:rsidR="002A06AC" w:rsidRPr="00817B9F">
        <w:t xml:space="preserve">are </w:t>
      </w:r>
      <w:r w:rsidR="0080743E" w:rsidRPr="00817B9F">
        <w:t>typically comparable to the corresponding Medicare fee schedule amounts.</w:t>
      </w:r>
      <w:r w:rsidR="0080743E" w:rsidRPr="00817B9F">
        <w:rPr>
          <w:rStyle w:val="FootnoteReference"/>
        </w:rPr>
        <w:footnoteReference w:id="166"/>
      </w:r>
    </w:p>
    <w:p w14:paraId="640B1A6F" w14:textId="5A512E60" w:rsidR="005C227C" w:rsidRPr="00817B9F" w:rsidRDefault="0080743E" w:rsidP="0080743E">
      <w:pPr>
        <w:pStyle w:val="NumberedParagraphs"/>
      </w:pPr>
      <w:r w:rsidRPr="00817B9F">
        <w:t>In assessing the effect of the proposed project on MGB’s bargaining</w:t>
      </w:r>
      <w:r w:rsidR="00374C5A" w:rsidRPr="00817B9F">
        <w:t xml:space="preserve"> leverage</w:t>
      </w:r>
      <w:r w:rsidRPr="00817B9F">
        <w:t>, we rely on a measure of hospital market concentration known as the Herfindahl-Hirschman Index (“HHI”), which is calculated as the sum of the squares of shares of the firms that compete in the market.</w:t>
      </w:r>
      <w:r w:rsidRPr="00817B9F">
        <w:rPr>
          <w:rStyle w:val="FootnoteReference"/>
        </w:rPr>
        <w:footnoteReference w:id="167"/>
      </w:r>
      <w:r w:rsidRPr="00817B9F">
        <w:t xml:space="preserve"> Federal and state antitrust agencies often include analyses of HHIs in their evaluations of the competitive effects of mergers, and the standards used by the federal agencies in these analyses are described in the </w:t>
      </w:r>
      <w:r w:rsidRPr="00817B9F">
        <w:rPr>
          <w:i/>
        </w:rPr>
        <w:t>Horizontal Merger Guidelines</w:t>
      </w:r>
      <w:r w:rsidRPr="00817B9F">
        <w:t xml:space="preserve"> promulgated by the Federal Trade Commission and Department of Justice.</w:t>
      </w:r>
      <w:r w:rsidRPr="00817B9F">
        <w:rPr>
          <w:rStyle w:val="FootnoteReference"/>
        </w:rPr>
        <w:footnoteReference w:id="168"/>
      </w:r>
      <w:r w:rsidRPr="00817B9F">
        <w:t xml:space="preserve"> </w:t>
      </w:r>
      <w:r w:rsidR="005C227C" w:rsidRPr="00817B9F">
        <w:rPr>
          <w:color w:val="000000"/>
        </w:rPr>
        <w:t>We also note that the HHI has been adopted by the Massachusetts Health Policy Commission in assessing the competitive effects of recent Cost and Market Impact Reviews.</w:t>
      </w:r>
      <w:r w:rsidR="005C227C" w:rsidRPr="00817B9F">
        <w:rPr>
          <w:rStyle w:val="FootnoteReference"/>
          <w:color w:val="000000"/>
        </w:rPr>
        <w:footnoteReference w:id="169"/>
      </w:r>
      <w:r w:rsidR="005C227C" w:rsidRPr="00817B9F">
        <w:rPr>
          <w:color w:val="000000"/>
        </w:rPr>
        <w:t xml:space="preserve"> </w:t>
      </w:r>
    </w:p>
    <w:p w14:paraId="229D769D" w14:textId="2CCBE6FA" w:rsidR="0080743E" w:rsidRPr="00817B9F" w:rsidRDefault="0080743E" w:rsidP="005C227C">
      <w:pPr>
        <w:pStyle w:val="NumberedParagraphs"/>
      </w:pPr>
      <w:r w:rsidRPr="00817B9F">
        <w:lastRenderedPageBreak/>
        <w:t xml:space="preserve">As the </w:t>
      </w:r>
      <w:r w:rsidRPr="00817B9F">
        <w:rPr>
          <w:i/>
        </w:rPr>
        <w:t>Guidelines</w:t>
      </w:r>
      <w:r w:rsidRPr="00817B9F">
        <w:t xml:space="preserve"> describe, the Federal Trade Commission and Department of Justice generally classify markets into three types depending on the HHI: unconcentrated markets, which are those with an HHI below 1,500; moderately concentrated markets, which are those with an HHI between 1,500 and 2,500; and highly concentrated markets, which are those with an HHI above 2,500.</w:t>
      </w:r>
      <w:r w:rsidRPr="00817B9F">
        <w:rPr>
          <w:rStyle w:val="FootnoteReference"/>
        </w:rPr>
        <w:footnoteReference w:id="170"/>
      </w:r>
      <w:r w:rsidRPr="00817B9F">
        <w:t xml:space="preserve"> Because mergers typically increase concentration,</w:t>
      </w:r>
      <w:r w:rsidRPr="00817B9F">
        <w:rPr>
          <w:rStyle w:val="FootnoteReference"/>
        </w:rPr>
        <w:footnoteReference w:id="171"/>
      </w:r>
      <w:r w:rsidRPr="00817B9F">
        <w:t xml:space="preserve"> the </w:t>
      </w:r>
      <w:r w:rsidRPr="00817B9F">
        <w:rPr>
          <w:i/>
        </w:rPr>
        <w:t>Guidelines</w:t>
      </w:r>
      <w:r w:rsidRPr="00817B9F">
        <w:t xml:space="preserve"> also describe the circumstances in which a proposed merger may give rise to competitive concerns. Among other things, the </w:t>
      </w:r>
      <w:r w:rsidRPr="00817B9F">
        <w:rPr>
          <w:i/>
          <w:iCs/>
        </w:rPr>
        <w:t xml:space="preserve">Guidelines </w:t>
      </w:r>
      <w:r w:rsidRPr="00817B9F">
        <w:t>state that mergers resulting in a change in HHI of less than 100 points or which maintain an unconcentrated market are unlikely to lead to adverse competitive effects.</w:t>
      </w:r>
      <w:r w:rsidRPr="00817B9F">
        <w:rPr>
          <w:rStyle w:val="FootnoteReference"/>
        </w:rPr>
        <w:footnoteReference w:id="172"/>
      </w:r>
      <w:r w:rsidRPr="00817B9F">
        <w:t xml:space="preserve"> (Of course, non-merger transactions can result in </w:t>
      </w:r>
      <w:r w:rsidRPr="00817B9F">
        <w:rPr>
          <w:i/>
          <w:iCs/>
        </w:rPr>
        <w:t>decreases</w:t>
      </w:r>
      <w:r w:rsidRPr="00817B9F">
        <w:t xml:space="preserve"> in concentration, which would be either competitively neutral or may lead to procompetitive effects based on HHI calculations.) </w:t>
      </w:r>
      <w:r w:rsidR="00A079B2" w:rsidRPr="00817B9F">
        <w:rPr>
          <w:color w:val="000000"/>
        </w:rPr>
        <w:t xml:space="preserve">While the </w:t>
      </w:r>
      <w:r w:rsidR="00A079B2" w:rsidRPr="00817B9F">
        <w:rPr>
          <w:i/>
          <w:color w:val="000000"/>
        </w:rPr>
        <w:t>Guidelines</w:t>
      </w:r>
      <w:r w:rsidR="00A079B2" w:rsidRPr="00817B9F">
        <w:rPr>
          <w:color w:val="000000"/>
        </w:rPr>
        <w:t xml:space="preserve"> provide a “safe harbor” for horizontal mergers that increase concentration </w:t>
      </w:r>
      <w:r w:rsidR="008468D5" w:rsidRPr="00817B9F">
        <w:rPr>
          <w:color w:val="000000"/>
        </w:rPr>
        <w:t xml:space="preserve">by less than 100 points, in practice many mergers involving health care providers </w:t>
      </w:r>
      <w:r w:rsidR="008167B2" w:rsidRPr="00817B9F">
        <w:rPr>
          <w:color w:val="000000"/>
        </w:rPr>
        <w:t xml:space="preserve">that result in substantially higher changes in concentration are not challenged by state or federal enforcement agencies. </w:t>
      </w:r>
      <w:r w:rsidR="00D0405E" w:rsidRPr="00817B9F">
        <w:rPr>
          <w:color w:val="000000"/>
        </w:rPr>
        <w:t xml:space="preserve">To our knowledge, no hospital merger resulting in a change in HHI of less than 700 points has been challenged </w:t>
      </w:r>
      <w:r w:rsidR="009A5EA0" w:rsidRPr="00817B9F">
        <w:rPr>
          <w:color w:val="000000"/>
        </w:rPr>
        <w:t xml:space="preserve">(either successfully or unsuccessfully) </w:t>
      </w:r>
      <w:r w:rsidR="00D0405E" w:rsidRPr="00817B9F">
        <w:rPr>
          <w:color w:val="000000"/>
        </w:rPr>
        <w:t xml:space="preserve">by antitrust enforcement agencies </w:t>
      </w:r>
      <w:r w:rsidR="009A5EA0" w:rsidRPr="00817B9F">
        <w:rPr>
          <w:color w:val="000000"/>
        </w:rPr>
        <w:t>in the last 15 years.</w:t>
      </w:r>
      <w:r w:rsidR="009137AE" w:rsidRPr="00817B9F">
        <w:rPr>
          <w:rStyle w:val="FootnoteReference"/>
          <w:color w:val="000000"/>
        </w:rPr>
        <w:footnoteReference w:id="173"/>
      </w:r>
      <w:r w:rsidR="009A5EA0" w:rsidRPr="00817B9F">
        <w:rPr>
          <w:color w:val="000000"/>
        </w:rPr>
        <w:t xml:space="preserve"> </w:t>
      </w:r>
    </w:p>
    <w:p w14:paraId="54ACF153" w14:textId="1A9EEB4B" w:rsidR="0080743E" w:rsidRPr="00817B9F" w:rsidRDefault="0080743E" w:rsidP="001F4F5C">
      <w:pPr>
        <w:pStyle w:val="NumberedParagraphs"/>
      </w:pPr>
      <w:r w:rsidRPr="00817B9F">
        <w:rPr>
          <w:color w:val="000000"/>
        </w:rPr>
        <w:lastRenderedPageBreak/>
        <w:t xml:space="preserve">In addition to the general guidance contained in the </w:t>
      </w:r>
      <w:r w:rsidRPr="00817B9F">
        <w:rPr>
          <w:i/>
          <w:color w:val="000000"/>
        </w:rPr>
        <w:t>Horizontal Merger Guidelines</w:t>
      </w:r>
      <w:r w:rsidRPr="00817B9F">
        <w:rPr>
          <w:color w:val="000000"/>
        </w:rPr>
        <w:t xml:space="preserve"> on the relationship between the competitiveness of markets and HHI, the HHI has also been used in studies of the relationship between market structure and the prices of inpatient hospital services.</w:t>
      </w:r>
      <w:r w:rsidRPr="00817B9F">
        <w:rPr>
          <w:rStyle w:val="FootnoteReference"/>
          <w:color w:val="000000"/>
        </w:rPr>
        <w:footnoteReference w:id="174"/>
      </w:r>
      <w:r w:rsidRPr="00817B9F">
        <w:rPr>
          <w:color w:val="000000"/>
        </w:rPr>
        <w:t xml:space="preserve"> We review this literature in the next </w:t>
      </w:r>
      <w:r w:rsidR="00931040" w:rsidRPr="00817B9F">
        <w:rPr>
          <w:color w:val="000000"/>
        </w:rPr>
        <w:t>sub</w:t>
      </w:r>
      <w:r w:rsidRPr="00817B9F">
        <w:rPr>
          <w:color w:val="000000"/>
        </w:rPr>
        <w:t xml:space="preserve">section and describe how to use the results of a recent study to simulate the price effect of MGB’s proposed expansion in inpatient services on its bargaining leverage with commercial payors. </w:t>
      </w:r>
      <w:r w:rsidR="001C6971" w:rsidRPr="00817B9F">
        <w:rPr>
          <w:color w:val="000000"/>
        </w:rPr>
        <w:t>Because</w:t>
      </w:r>
      <w:r w:rsidRPr="00817B9F">
        <w:rPr>
          <w:color w:val="000000"/>
        </w:rPr>
        <w:t xml:space="preserve"> the proposed project also </w:t>
      </w:r>
      <w:r w:rsidR="00572D28" w:rsidRPr="00817B9F">
        <w:rPr>
          <w:color w:val="000000"/>
        </w:rPr>
        <w:t>represents an</w:t>
      </w:r>
      <w:r w:rsidRPr="00817B9F">
        <w:rPr>
          <w:color w:val="000000"/>
        </w:rPr>
        <w:t xml:space="preserve"> expansion of </w:t>
      </w:r>
      <w:r w:rsidR="00572D28" w:rsidRPr="00817B9F">
        <w:rPr>
          <w:color w:val="000000"/>
        </w:rPr>
        <w:t xml:space="preserve">MGB’s existing inpatient and </w:t>
      </w:r>
      <w:r w:rsidRPr="00817B9F">
        <w:rPr>
          <w:color w:val="000000"/>
        </w:rPr>
        <w:t xml:space="preserve">outpatient </w:t>
      </w:r>
      <w:r w:rsidR="00572D28" w:rsidRPr="00817B9F">
        <w:rPr>
          <w:color w:val="000000"/>
        </w:rPr>
        <w:t>capacity in eastern Massachusetts</w:t>
      </w:r>
      <w:r w:rsidRPr="00817B9F">
        <w:rPr>
          <w:color w:val="000000"/>
        </w:rPr>
        <w:t xml:space="preserve">, we </w:t>
      </w:r>
      <w:r w:rsidR="001C6971" w:rsidRPr="00817B9F">
        <w:rPr>
          <w:color w:val="000000"/>
        </w:rPr>
        <w:t>also</w:t>
      </w:r>
      <w:r w:rsidR="00E96154" w:rsidRPr="00817B9F">
        <w:rPr>
          <w:color w:val="000000"/>
        </w:rPr>
        <w:t xml:space="preserve"> review</w:t>
      </w:r>
      <w:r w:rsidRPr="00817B9F">
        <w:rPr>
          <w:color w:val="000000"/>
        </w:rPr>
        <w:t xml:space="preserve"> studies of the effect of </w:t>
      </w:r>
      <w:r w:rsidR="00E96154" w:rsidRPr="00817B9F">
        <w:rPr>
          <w:color w:val="000000"/>
        </w:rPr>
        <w:t>entry and</w:t>
      </w:r>
      <w:r w:rsidRPr="00817B9F">
        <w:rPr>
          <w:color w:val="000000"/>
        </w:rPr>
        <w:t xml:space="preserve"> expansion </w:t>
      </w:r>
      <w:r w:rsidR="00E96154" w:rsidRPr="00817B9F">
        <w:rPr>
          <w:color w:val="000000"/>
        </w:rPr>
        <w:t xml:space="preserve">on market dynamics </w:t>
      </w:r>
      <w:r w:rsidRPr="00817B9F">
        <w:rPr>
          <w:color w:val="000000"/>
        </w:rPr>
        <w:t xml:space="preserve">in </w:t>
      </w:r>
      <w:r w:rsidR="00E96154" w:rsidRPr="00817B9F">
        <w:rPr>
          <w:color w:val="000000"/>
        </w:rPr>
        <w:t>health care</w:t>
      </w:r>
      <w:r w:rsidRPr="00817B9F">
        <w:rPr>
          <w:color w:val="000000"/>
        </w:rPr>
        <w:t xml:space="preserve">. </w:t>
      </w:r>
    </w:p>
    <w:p w14:paraId="09B2D1C0" w14:textId="7173AD3C" w:rsidR="0080743E" w:rsidRPr="00817B9F" w:rsidRDefault="0080743E" w:rsidP="001F4F5C">
      <w:pPr>
        <w:pStyle w:val="Heading3"/>
        <w:numPr>
          <w:ilvl w:val="0"/>
          <w:numId w:val="36"/>
        </w:numPr>
      </w:pPr>
      <w:bookmarkStart w:id="107" w:name="_Toc90046529"/>
      <w:r w:rsidRPr="00817B9F">
        <w:t xml:space="preserve">The Relationship Between Hospital </w:t>
      </w:r>
      <w:r w:rsidR="00C52929" w:rsidRPr="00817B9F">
        <w:t>Concentration</w:t>
      </w:r>
      <w:r w:rsidRPr="00817B9F">
        <w:t xml:space="preserve"> and Inpatient Prices</w:t>
      </w:r>
      <w:bookmarkEnd w:id="107"/>
      <w:r w:rsidRPr="00817B9F">
        <w:t xml:space="preserve"> </w:t>
      </w:r>
    </w:p>
    <w:p w14:paraId="2C256900" w14:textId="456B7074" w:rsidR="0080743E" w:rsidRPr="00817B9F" w:rsidRDefault="0080743E" w:rsidP="0080743E">
      <w:pPr>
        <w:pStyle w:val="NumberedParagraphs"/>
      </w:pPr>
      <w:r w:rsidRPr="00817B9F">
        <w:rPr>
          <w:color w:val="000000"/>
        </w:rPr>
        <w:t>In this section we review recent economic studies that examine the time-series or cross-sectional relationship between hospital market concentration and negotiated prices for inpatient services. The most relevant of these studies use large, nationwide databases of commercial health care claims, while older studies focus on hospital markets in California and Florida where administrative data on hospitals prices were publicly available. The evidence in these studies on the relationship between concentration and hospital prices is mixed: some studies find statistically significant, positive associations, while others find no relationship. These findings are consistent with a more recent article that noted that most “high-price” hospitals are not in concentrated markets, suggesting that other factors may be more important determinants of variation in hospital prices.</w:t>
      </w:r>
      <w:r w:rsidRPr="00817B9F">
        <w:rPr>
          <w:rStyle w:val="FootnoteReference"/>
          <w:color w:val="000000"/>
        </w:rPr>
        <w:footnoteReference w:id="175"/>
      </w:r>
      <w:r w:rsidRPr="00817B9F">
        <w:rPr>
          <w:color w:val="000000"/>
        </w:rPr>
        <w:t xml:space="preserve"> While hospital mergers may lead to changes in market concentration, we do not review studies of the effects of hospital mergers on prices because the proposed project involves the </w:t>
      </w:r>
      <w:r w:rsidRPr="00817B9F">
        <w:rPr>
          <w:i/>
          <w:color w:val="000000"/>
        </w:rPr>
        <w:t xml:space="preserve">expansion </w:t>
      </w:r>
      <w:r w:rsidRPr="00817B9F">
        <w:rPr>
          <w:color w:val="000000"/>
        </w:rPr>
        <w:t xml:space="preserve">of an existing competitor rather than the </w:t>
      </w:r>
      <w:r w:rsidRPr="00817B9F">
        <w:rPr>
          <w:i/>
          <w:color w:val="000000"/>
        </w:rPr>
        <w:t>exit</w:t>
      </w:r>
      <w:r w:rsidRPr="00817B9F">
        <w:rPr>
          <w:color w:val="000000"/>
        </w:rPr>
        <w:t xml:space="preserve"> of an existing independent competitor (as would be in the case if one hospital were acquired by another). </w:t>
      </w:r>
    </w:p>
    <w:p w14:paraId="3239EBF5" w14:textId="77777777" w:rsidR="0080743E" w:rsidRPr="00817B9F" w:rsidRDefault="0080743E" w:rsidP="0080743E">
      <w:pPr>
        <w:pStyle w:val="NumberedParagraphs"/>
      </w:pPr>
      <w:r w:rsidRPr="00817B9F">
        <w:lastRenderedPageBreak/>
        <w:t xml:space="preserve">Cooper </w:t>
      </w:r>
      <w:r w:rsidRPr="00817B9F">
        <w:rPr>
          <w:i/>
        </w:rPr>
        <w:t>et al.</w:t>
      </w:r>
      <w:r w:rsidRPr="00817B9F">
        <w:t xml:space="preserve"> (2019) use a large, nationwide database of commercial health care claims covering the period 2007 to 2011 to examine the sources of differences in health care spending for commercially insured patients and to analyze variation in health care prices.</w:t>
      </w:r>
      <w:r w:rsidRPr="00817B9F">
        <w:rPr>
          <w:rStyle w:val="FootnoteReference"/>
        </w:rPr>
        <w:footnoteReference w:id="176"/>
      </w:r>
      <w:r w:rsidRPr="00817B9F">
        <w:t xml:space="preserve"> The authors find that half of the regional variation in health care spending for commercially insured patients is explained by differences in the quantity of services received and half is explained by differences in the prices of those services. The authors also study the relationship between hospital market structure and the prices that commercial payors negotiate with hospitals in those markets, finding that hospital market structure is “strongly associated” with prices: prices at monopoly hospitals (</w:t>
      </w:r>
      <w:r w:rsidRPr="00817B9F">
        <w:rPr>
          <w:i/>
          <w:iCs/>
        </w:rPr>
        <w:t>i.e.</w:t>
      </w:r>
      <w:r w:rsidRPr="00817B9F">
        <w:t xml:space="preserve">, where the HHI would be 10,000) are 12 percent higher than in markets where there are four or more competitors. </w:t>
      </w:r>
    </w:p>
    <w:p w14:paraId="731DF05D" w14:textId="5B740928" w:rsidR="0080743E" w:rsidRPr="00817B9F" w:rsidRDefault="0080743E" w:rsidP="0080743E">
      <w:pPr>
        <w:pStyle w:val="NumberedParagraphs"/>
      </w:pPr>
      <w:r w:rsidRPr="00817B9F">
        <w:t>While the authors’ primary results examine the relationship between the number of competitors and inpatient prices, in an online appendix the authors also regress the logarithm of the price of inpatient services on the logarithm of the HHI in geographic markets for inpatient services. The authors find a statistically significant, positive relationship between concentration and prices, with the coefficient on the logarithm of HHI ranging between 0.047 where the size of the market depended on whether the hospital was in a large urban, urban, or rural location; and 0.100 where the size of the market was fixed at a 30-mile radius.</w:t>
      </w:r>
      <w:r w:rsidRPr="00817B9F">
        <w:rPr>
          <w:rStyle w:val="FootnoteReference"/>
        </w:rPr>
        <w:footnoteReference w:id="177"/>
      </w:r>
      <w:r w:rsidRPr="00817B9F">
        <w:t xml:space="preserve"> So, for example using these estimates, a </w:t>
      </w:r>
      <w:r w:rsidR="00247230" w:rsidRPr="00817B9F">
        <w:t>fiv</w:t>
      </w:r>
      <w:r w:rsidR="009C631D" w:rsidRPr="00817B9F">
        <w:t>e</w:t>
      </w:r>
      <w:r w:rsidRPr="00817B9F">
        <w:t xml:space="preserve"> percent increase in HHI from 2,000 to 2,100 points would be predicted to increase prices for inpatient hospital services by approximately between 0.24 and 0.50 percent.</w:t>
      </w:r>
      <w:r w:rsidRPr="00817B9F">
        <w:rPr>
          <w:rStyle w:val="FootnoteReference"/>
        </w:rPr>
        <w:footnoteReference w:id="178"/>
      </w:r>
      <w:r w:rsidRPr="00817B9F">
        <w:t xml:space="preserve"> Conversely, a decrease in concentration as measured by the HHI would lead to a predicted decrease in prices. We later discuss using the results of this study to predict changes in inpatient prices that </w:t>
      </w:r>
      <w:r w:rsidRPr="00817B9F">
        <w:lastRenderedPageBreak/>
        <w:t xml:space="preserve">may be associated with changes in MGB’s bargaining leverage that result from its expansion. (We focus on this study because, to our knowledge, it is the most recent peer-reviewed study of the relationship between hospital prices and market structure. The study also relies on a national database that includes commercial health care claims for more than one-quarter of individuals enrolled in employer-sponsored health plans.) </w:t>
      </w:r>
    </w:p>
    <w:p w14:paraId="5E9B223C" w14:textId="029B38F5" w:rsidR="0080743E" w:rsidRPr="00817B9F" w:rsidRDefault="0080743E" w:rsidP="0080743E">
      <w:pPr>
        <w:pStyle w:val="NumberedParagraphs"/>
      </w:pPr>
      <w:r w:rsidRPr="00817B9F">
        <w:t xml:space="preserve">Moriya </w:t>
      </w:r>
      <w:r w:rsidRPr="00817B9F">
        <w:rPr>
          <w:i/>
        </w:rPr>
        <w:t>et al.</w:t>
      </w:r>
      <w:r w:rsidRPr="00817B9F">
        <w:t xml:space="preserve"> (2010) also use a large, nationwide database of commercial health insurance claims covering the period 2001 to 2003 to study the relationship between hospital and insurer concentration on negotiated pries for inpatient services.</w:t>
      </w:r>
      <w:r w:rsidRPr="00817B9F">
        <w:rPr>
          <w:rStyle w:val="FootnoteReference"/>
        </w:rPr>
        <w:footnoteReference w:id="179"/>
      </w:r>
      <w:r w:rsidRPr="00817B9F">
        <w:t xml:space="preserve"> The authors regress the logarithm of inpatient prices on concentration in the hospital market (measured using the HHI for inpatient services in a geographic market corresponding to CMS’s Hospital Service Areas), concentration in the insurance market, hospital characteristics (</w:t>
      </w:r>
      <w:r w:rsidRPr="00817B9F">
        <w:rPr>
          <w:i/>
        </w:rPr>
        <w:t>e.g.</w:t>
      </w:r>
      <w:r w:rsidRPr="00817B9F">
        <w:t xml:space="preserve">, teaching status), patient demographics, and health plan characteristics. In their primary specification, the authors find a positive but statistically insignificant relationship between hospital prices and hospital concentration. The authors note, however, that their results appear sensitive to the inclusion of claims data for hospitals in Michigan and Georgia. If their data are limited to claims for just these two states, the coefficient on hospital concentration becomes positive and </w:t>
      </w:r>
      <w:r w:rsidR="003F171F" w:rsidRPr="00817B9F">
        <w:t xml:space="preserve">marginally </w:t>
      </w:r>
      <w:r w:rsidRPr="00817B9F">
        <w:t xml:space="preserve">statistically significant, providing some evidence that higher concentration is associated with higher prices in those states. </w:t>
      </w:r>
    </w:p>
    <w:p w14:paraId="007D3AC8" w14:textId="1FB2475F" w:rsidR="0080743E" w:rsidRPr="00817B9F" w:rsidRDefault="0080743E" w:rsidP="0080743E">
      <w:pPr>
        <w:pStyle w:val="NumberedParagraphs"/>
      </w:pPr>
      <w:r w:rsidRPr="00817B9F">
        <w:t xml:space="preserve"> Dranove </w:t>
      </w:r>
      <w:r w:rsidRPr="00817B9F">
        <w:rPr>
          <w:i/>
        </w:rPr>
        <w:t>et al.</w:t>
      </w:r>
      <w:r w:rsidRPr="00817B9F">
        <w:t xml:space="preserve"> (2008) hypothesize that the growth of managed care plans in the 1990s allowed insurers to limit increases in negotiated hospital prices, but that consumer preferences for broad provider networks in the late 1990s and early 2000s diminished this ability.</w:t>
      </w:r>
      <w:r w:rsidRPr="00817B9F">
        <w:rPr>
          <w:rStyle w:val="FootnoteReference"/>
        </w:rPr>
        <w:footnoteReference w:id="180"/>
      </w:r>
      <w:r w:rsidRPr="00817B9F">
        <w:t xml:space="preserve"> That is, consumers’ demand for inclusive hospital networks may limit the ability of insurers to negotiate lower prices because insurers cannot credibly threaten to exclude hospitals from their network. To study this question, the authors use data on hospital prices in California and Florida in 1990, 1995, 1999, 2001, and 2003 to estimate the relationship between hospital concentration and prices. Hospital prices are measured using the average reimbursement for a set of </w:t>
      </w:r>
      <w:r w:rsidR="00946A0A" w:rsidRPr="00817B9F">
        <w:t>ten</w:t>
      </w:r>
      <w:r w:rsidRPr="00817B9F">
        <w:t xml:space="preserve"> common inpatient services, while concentration is measured using a hospital-specific measure of concentration. </w:t>
      </w:r>
      <w:r w:rsidRPr="00817B9F">
        <w:lastRenderedPageBreak/>
        <w:t>Using this approach, the authors find a weak, negative relationship between concentration and prices in 1990 and 1995 (</w:t>
      </w:r>
      <w:r w:rsidRPr="00817B9F">
        <w:rPr>
          <w:i/>
        </w:rPr>
        <w:t>i.e.</w:t>
      </w:r>
      <w:r w:rsidRPr="00817B9F">
        <w:t xml:space="preserve">, more concentrated hospital markets are associated with lower prices). In later years the relationship between prices and HHI becomes positive and statistically significant, with the magnitude of the relationship being largest in 2001. The authors conclude that, despite the “managed care backlash,” insurers appeared to be successful in negotiating lower prices with hospitals in more competitive markets. </w:t>
      </w:r>
    </w:p>
    <w:p w14:paraId="5F44BC1B" w14:textId="54C582AC" w:rsidR="0080743E" w:rsidRPr="00817B9F" w:rsidRDefault="0080743E" w:rsidP="0080743E">
      <w:pPr>
        <w:pStyle w:val="NumberedParagraphs"/>
      </w:pPr>
      <w:r w:rsidRPr="00817B9F">
        <w:t>Melnick and Keeler (2007) analyze growth in California hospital prices between 1999 and 2003, a period that was marked by significant growth in these prices.</w:t>
      </w:r>
      <w:r w:rsidRPr="00817B9F">
        <w:rPr>
          <w:rStyle w:val="FootnoteReference"/>
        </w:rPr>
        <w:footnoteReference w:id="181"/>
      </w:r>
      <w:r w:rsidRPr="00817B9F">
        <w:t xml:space="preserve"> The authors’ primary research question concerns whether being part of a multi-hospital system was associated with faster rates of growth in a hospital’s prices. To address this question, the authors construct a measure of hospital reimbursement for a bundle of </w:t>
      </w:r>
      <w:r w:rsidR="00946A0A" w:rsidRPr="00817B9F">
        <w:t>ten</w:t>
      </w:r>
      <w:r w:rsidRPr="00817B9F">
        <w:t xml:space="preserve"> common inpatient services, and regress that measure of inpatient prices on controls for whether the hospital was part of a system (distinguishing between “small” systems comprised of between two and fourteen hospitals and “large” systems with at least fifteen hospitals), hospital characteristics, and a hospital-specific measure of concentration. In their baseline specification the authors find a positive, statistically significant relationship between inpatient prices and concentration; however, adding controls for time-invariant county attributes (</w:t>
      </w:r>
      <w:r w:rsidRPr="00817B9F">
        <w:rPr>
          <w:i/>
        </w:rPr>
        <w:t>i.e.</w:t>
      </w:r>
      <w:r w:rsidRPr="00817B9F">
        <w:t>, county fixed effects) reduces the magnitude of the price-concentration relationship and causes it to become statistically insignificant. As such, the study provides</w:t>
      </w:r>
      <w:r w:rsidR="00534DA1" w:rsidRPr="00817B9F">
        <w:t>,</w:t>
      </w:r>
      <w:r w:rsidRPr="00817B9F">
        <w:t xml:space="preserve"> at best</w:t>
      </w:r>
      <w:r w:rsidR="00534DA1" w:rsidRPr="00817B9F">
        <w:t>,</w:t>
      </w:r>
      <w:r w:rsidRPr="00817B9F">
        <w:t xml:space="preserve"> only weak evidence that more concentrated hospital markets are associated with higher prices. </w:t>
      </w:r>
    </w:p>
    <w:p w14:paraId="6AF15384" w14:textId="758C54AB" w:rsidR="0080743E" w:rsidRPr="00817B9F" w:rsidRDefault="0080743E" w:rsidP="0080743E">
      <w:pPr>
        <w:pStyle w:val="NumberedParagraphs"/>
      </w:pPr>
      <w:r w:rsidRPr="00817B9F">
        <w:t xml:space="preserve">Antwi </w:t>
      </w:r>
      <w:r w:rsidRPr="00817B9F">
        <w:rPr>
          <w:i/>
        </w:rPr>
        <w:t>et al</w:t>
      </w:r>
      <w:r w:rsidRPr="00817B9F">
        <w:t>. (2009) assess changes in hospital prices in California between 1992 and 2006.</w:t>
      </w:r>
      <w:r w:rsidR="00C560D7" w:rsidRPr="00817B9F">
        <w:rPr>
          <w:rStyle w:val="FootnoteReference"/>
        </w:rPr>
        <w:footnoteReference w:id="182"/>
      </w:r>
      <w:r w:rsidRPr="00817B9F">
        <w:t xml:space="preserve"> The authors note that hospital prices for commercially insured patients in California </w:t>
      </w:r>
      <w:r w:rsidRPr="00817B9F">
        <w:rPr>
          <w:i/>
        </w:rPr>
        <w:t>decreased</w:t>
      </w:r>
      <w:r w:rsidRPr="00817B9F">
        <w:t xml:space="preserve"> between the early and late 1990s but then increased sharply between 1999 and 2006. The annual average increase in inpatient prices over this later period was 10.6 percent, so that hospital prices in 2006 were nearly double what they had been in 1999. To determine whether the sharp increase in hospital prices starting in 1999 might be attributed to changes in hospital </w:t>
      </w:r>
      <w:r w:rsidRPr="00817B9F">
        <w:lastRenderedPageBreak/>
        <w:t>concentration, the authors calculate hospital HHIs using counties as assumed geographic markets. While the authors note that county-level HHIs increased between 1999 and 2006—from an average of 2,046 in 1992 to 2,824 in 2003—they conclude that the observed pattern of price increases and concentration is not consistent with the hypothesis that growth in hospital concentration led to growth in hospital prices. Specifically, the authors note that if increases in concentration led to increases in prices, one would expect to see prices rising most in markets where concentration rose the most. However, the largest price increases were observed in relatively concentrated markets where the HHI changed little over this period, while markets with large changes in concentrat</w:t>
      </w:r>
      <w:r w:rsidR="00C560D7" w:rsidRPr="00817B9F">
        <w:t>ion</w:t>
      </w:r>
      <w:r w:rsidRPr="00817B9F">
        <w:t xml:space="preserve"> experienced moderate growth in prices.</w:t>
      </w:r>
    </w:p>
    <w:p w14:paraId="471DCFFC" w14:textId="3DDDB98C" w:rsidR="0080743E" w:rsidRPr="00817B9F" w:rsidRDefault="0080743E" w:rsidP="0080743E">
      <w:pPr>
        <w:pStyle w:val="Heading3"/>
      </w:pPr>
      <w:bookmarkStart w:id="108" w:name="_Ref88552262"/>
      <w:bookmarkStart w:id="109" w:name="_Toc90046530"/>
      <w:r w:rsidRPr="00817B9F">
        <w:t xml:space="preserve">Effect of Entry </w:t>
      </w:r>
      <w:r w:rsidR="00572D28" w:rsidRPr="00817B9F">
        <w:t xml:space="preserve">and Expansion </w:t>
      </w:r>
      <w:r w:rsidRPr="00817B9F">
        <w:t>on Competition in the Provision of Health Care Services</w:t>
      </w:r>
      <w:bookmarkEnd w:id="108"/>
      <w:bookmarkEnd w:id="109"/>
    </w:p>
    <w:p w14:paraId="11180C8F" w14:textId="73CC6159" w:rsidR="0072099C" w:rsidRPr="00817B9F" w:rsidRDefault="0080743E" w:rsidP="0080743E">
      <w:pPr>
        <w:pStyle w:val="NumberedParagraphs"/>
      </w:pPr>
      <w:r w:rsidRPr="00817B9F">
        <w:t xml:space="preserve">There is an extensive health economics literature on the effect of hospital acquisitions on hospitals’ negotiating leverage with commercial insurers and hospital prices. While this literature does not speak directly to the effect of entry </w:t>
      </w:r>
      <w:r w:rsidR="006F0C3A" w:rsidRPr="00817B9F">
        <w:t>or expansion</w:t>
      </w:r>
      <w:r w:rsidRPr="00817B9F">
        <w:t xml:space="preserve"> on health care providers’ bargaining leverage, it is potentially relevant for evaluating the competitive impact of the </w:t>
      </w:r>
      <w:r w:rsidR="006F0C3A" w:rsidRPr="00817B9F">
        <w:t>proposed</w:t>
      </w:r>
      <w:r w:rsidRPr="00817B9F">
        <w:t xml:space="preserve"> project </w:t>
      </w:r>
      <w:r w:rsidR="006F0C3A" w:rsidRPr="00817B9F">
        <w:t>because</w:t>
      </w:r>
      <w:r w:rsidR="00350987" w:rsidRPr="00817B9F">
        <w:t xml:space="preserve"> acquisitions of health care providers are the inverse of health care provider entry. That is, while hospital acquisitions remove an independent competitor from the market (the acquired hospital does not close, but ceases to exist as a separate firm), entry achieves the opposite effect. As such, if there is some symmetry in the effects of removing and adding a competitor, studying the effects of health care provider acquisitions may provide useful guidance as to the likely competitive effects of provider entry</w:t>
      </w:r>
      <w:r w:rsidR="000A506D" w:rsidRPr="00817B9F">
        <w:t xml:space="preserve"> or expansion</w:t>
      </w:r>
      <w:r w:rsidR="00350987" w:rsidRPr="00817B9F">
        <w:t>.</w:t>
      </w:r>
    </w:p>
    <w:p w14:paraId="2CD63CEC" w14:textId="7E241216" w:rsidR="0080743E" w:rsidRPr="00817B9F" w:rsidRDefault="0080743E" w:rsidP="0080743E">
      <w:pPr>
        <w:pStyle w:val="NumberedParagraphs"/>
        <w:rPr>
          <w:color w:val="000000"/>
        </w:rPr>
      </w:pPr>
      <w:r w:rsidRPr="00817B9F">
        <w:t xml:space="preserve">Gaynor and Town (2012) summarize </w:t>
      </w:r>
      <w:r w:rsidR="00EA3781" w:rsidRPr="00817B9F">
        <w:t xml:space="preserve">less recent </w:t>
      </w:r>
      <w:r w:rsidRPr="00817B9F">
        <w:t>research on the impact of hospital mergers on price and the quality of care provided by the hospitals.</w:t>
      </w:r>
      <w:r w:rsidRPr="00817B9F">
        <w:rPr>
          <w:rStyle w:val="FootnoteReference"/>
        </w:rPr>
        <w:footnoteReference w:id="183"/>
      </w:r>
      <w:r w:rsidRPr="00817B9F">
        <w:t xml:space="preserve"> Based on their review of the empirical economics literature, the authors conclude that </w:t>
      </w:r>
      <w:r w:rsidR="009264B4" w:rsidRPr="00817B9F">
        <w:t xml:space="preserve">the </w:t>
      </w:r>
      <w:r w:rsidRPr="00817B9F">
        <w:t>consensus view is that “hospital consolidation generally results in higher prices” and that competition improves the quality of care provided by hospital</w:t>
      </w:r>
      <w:r w:rsidR="009264B4" w:rsidRPr="00817B9F">
        <w:t>s</w:t>
      </w:r>
      <w:r w:rsidRPr="00817B9F">
        <w:t xml:space="preserve">. Gaynor </w:t>
      </w:r>
      <w:r w:rsidRPr="00817B9F">
        <w:rPr>
          <w:i/>
        </w:rPr>
        <w:t>et al.</w:t>
      </w:r>
      <w:r w:rsidRPr="00817B9F">
        <w:t xml:space="preserve"> (2015) is a more recent critical review of the empirical evidence on the </w:t>
      </w:r>
      <w:r w:rsidRPr="00817B9F">
        <w:lastRenderedPageBreak/>
        <w:t>effect of hospital competition on prices.</w:t>
      </w:r>
      <w:r w:rsidRPr="00817B9F">
        <w:rPr>
          <w:rStyle w:val="FootnoteReference"/>
        </w:rPr>
        <w:footnoteReference w:id="184"/>
      </w:r>
      <w:r w:rsidRPr="00817B9F">
        <w:t xml:space="preserve"> Based on their review, the authors conclude that “mergers between rival hospitals are likely to raise the price of inpatient care and these effects are larger in concentrated markets. The estimated magnitudes are heterogenous and differ across market settings, hospitals, and insurers.”</w:t>
      </w:r>
      <w:r w:rsidRPr="00817B9F">
        <w:rPr>
          <w:color w:val="000000"/>
        </w:rPr>
        <w:t xml:space="preserve"> </w:t>
      </w:r>
    </w:p>
    <w:p w14:paraId="1FD7F178" w14:textId="4BE95F52" w:rsidR="00593CD9" w:rsidRPr="00817B9F" w:rsidRDefault="000F6DE9" w:rsidP="00C86FC3">
      <w:pPr>
        <w:pStyle w:val="NumberedParagraphs"/>
      </w:pPr>
      <w:r w:rsidRPr="00817B9F">
        <w:t xml:space="preserve">We are aware of one study </w:t>
      </w:r>
      <w:r w:rsidR="00012AAA" w:rsidRPr="00817B9F">
        <w:t xml:space="preserve">that provides evidence on the effects of </w:t>
      </w:r>
      <w:r w:rsidR="00C86FC3" w:rsidRPr="00817B9F">
        <w:t xml:space="preserve">expansions of health care providers and the effects of these expansions on </w:t>
      </w:r>
      <w:r w:rsidR="00012AAA" w:rsidRPr="00817B9F">
        <w:t>negotiating leverage with commercial insurers and prices. Ho (2009)</w:t>
      </w:r>
      <w:r w:rsidR="007C12AF" w:rsidRPr="00817B9F">
        <w:t xml:space="preserve"> finds that capacity-constrained hospitals negotiate</w:t>
      </w:r>
      <w:r w:rsidR="00F02854" w:rsidRPr="00817B9F">
        <w:t>, on average, payments from health insurers that are $6,900 more than hospitals that are not capacity-constrained.</w:t>
      </w:r>
      <w:r w:rsidR="00F02854" w:rsidRPr="00817B9F">
        <w:rPr>
          <w:rStyle w:val="FootnoteReference"/>
        </w:rPr>
        <w:footnoteReference w:id="185"/>
      </w:r>
      <w:r w:rsidR="00A6279B" w:rsidRPr="00817B9F">
        <w:rPr>
          <w:vertAlign w:val="superscript"/>
        </w:rPr>
        <w:t>,</w:t>
      </w:r>
      <w:r w:rsidR="00A6279B" w:rsidRPr="00817B9F">
        <w:rPr>
          <w:rStyle w:val="FootnoteReference"/>
        </w:rPr>
        <w:footnoteReference w:id="186"/>
      </w:r>
      <w:r w:rsidR="00F02854" w:rsidRPr="00817B9F">
        <w:t xml:space="preserve"> </w:t>
      </w:r>
      <w:r w:rsidR="00FE2F60" w:rsidRPr="00817B9F">
        <w:t>The author argues</w:t>
      </w:r>
      <w:r w:rsidR="00D654D4" w:rsidRPr="00817B9F">
        <w:t xml:space="preserve"> that capacity-constrained hospitals </w:t>
      </w:r>
      <w:r w:rsidR="00F76CFA" w:rsidRPr="00817B9F">
        <w:t xml:space="preserve">are able to negotiate higher rates with health insurers </w:t>
      </w:r>
      <w:r w:rsidR="00FE1AC4" w:rsidRPr="00817B9F">
        <w:t>because</w:t>
      </w:r>
      <w:r w:rsidR="00F76CFA" w:rsidRPr="00817B9F">
        <w:t xml:space="preserve"> demand for th</w:t>
      </w:r>
      <w:r w:rsidR="00FE2F60" w:rsidRPr="00817B9F">
        <w:t>ose hospitals’</w:t>
      </w:r>
      <w:r w:rsidR="00F76CFA" w:rsidRPr="00817B9F">
        <w:t xml:space="preserve"> services exceeds </w:t>
      </w:r>
      <w:r w:rsidR="00FE1AC4" w:rsidRPr="00817B9F">
        <w:t>what the hospital can</w:t>
      </w:r>
      <w:r w:rsidR="00F76CFA" w:rsidRPr="00817B9F">
        <w:t xml:space="preserve"> supply. </w:t>
      </w:r>
      <w:r w:rsidR="00FE2F60" w:rsidRPr="00817B9F">
        <w:t>T</w:t>
      </w:r>
      <w:r w:rsidR="00FE1AC4" w:rsidRPr="00817B9F">
        <w:t>he author</w:t>
      </w:r>
      <w:r w:rsidR="00FE2F60" w:rsidRPr="00817B9F">
        <w:t xml:space="preserve"> also</w:t>
      </w:r>
      <w:r w:rsidR="00FE1AC4" w:rsidRPr="00817B9F">
        <w:t xml:space="preserve"> notes that</w:t>
      </w:r>
      <w:r w:rsidR="00396B99" w:rsidRPr="00817B9F">
        <w:t xml:space="preserve"> health care providers might </w:t>
      </w:r>
      <w:r w:rsidR="00FE1AC4" w:rsidRPr="00817B9F">
        <w:t>intenti</w:t>
      </w:r>
      <w:r w:rsidR="00CE1A9C" w:rsidRPr="00817B9F">
        <w:t>ona</w:t>
      </w:r>
      <w:r w:rsidR="00FE1AC4" w:rsidRPr="00817B9F">
        <w:t>lly</w:t>
      </w:r>
      <w:r w:rsidR="00396B99" w:rsidRPr="00817B9F">
        <w:t xml:space="preserve"> underinvest in capacity </w:t>
      </w:r>
      <w:r w:rsidR="00FE2F60" w:rsidRPr="00817B9F">
        <w:t>so as to</w:t>
      </w:r>
      <w:r w:rsidR="00FE1AC4" w:rsidRPr="00817B9F">
        <w:t xml:space="preserve"> benefit from the advantages this </w:t>
      </w:r>
      <w:r w:rsidR="00C64490" w:rsidRPr="00817B9F">
        <w:t xml:space="preserve">provides in negotiations with health insurers. </w:t>
      </w:r>
      <w:r w:rsidR="00FE2F60" w:rsidRPr="00817B9F">
        <w:t>Conversely, relaxing providers’ capacity constraints through entry or expansion decreases their negotiating leverage with health insurers and may result in lower prices for health care services.</w:t>
      </w:r>
      <w:r w:rsidR="000227E1" w:rsidRPr="00817B9F">
        <w:t xml:space="preserve"> </w:t>
      </w:r>
    </w:p>
    <w:p w14:paraId="1AAA2D9C" w14:textId="24270D9D" w:rsidR="0080743E" w:rsidRPr="00817B9F" w:rsidRDefault="0080743E" w:rsidP="0080743E">
      <w:pPr>
        <w:pStyle w:val="NumberedParagraphs"/>
      </w:pPr>
      <w:r w:rsidRPr="00817B9F">
        <w:t xml:space="preserve">While there have been relatively few studies </w:t>
      </w:r>
      <w:r w:rsidR="008B725B" w:rsidRPr="00817B9F">
        <w:t>of</w:t>
      </w:r>
      <w:r w:rsidRPr="00817B9F">
        <w:t xml:space="preserve"> the effects of entry </w:t>
      </w:r>
      <w:r w:rsidR="00FE2F60" w:rsidRPr="00817B9F">
        <w:t xml:space="preserve">and expansion </w:t>
      </w:r>
      <w:r w:rsidRPr="00817B9F">
        <w:t xml:space="preserve">by health care providers on prices, there is a large literature that addresses the effects of certificate-of-need programs on health care prices and expenditures. As described by the Federal Trade Commission and Department of Justice, these programs “generally prevent firms from entering certain areas of the health care market unless they can demonstrate to state authorities that there is an unmet need </w:t>
      </w:r>
      <w:r w:rsidRPr="00817B9F">
        <w:lastRenderedPageBreak/>
        <w:t>for their services.”</w:t>
      </w:r>
      <w:r w:rsidRPr="00817B9F">
        <w:rPr>
          <w:rStyle w:val="FootnoteReference"/>
        </w:rPr>
        <w:footnoteReference w:id="187"/>
      </w:r>
      <w:r w:rsidRPr="00817B9F">
        <w:t xml:space="preserve"> If certificate-of-need programs prevent entry and expansion, then estimates of the effects o</w:t>
      </w:r>
      <w:r w:rsidR="00462846" w:rsidRPr="00817B9F">
        <w:t>f</w:t>
      </w:r>
      <w:r w:rsidRPr="00817B9F">
        <w:t xml:space="preserve"> these program on market outcomes may be informative regarding the effect of entry and expansion on health care market outcomes. (Of course, certificate-of-need programs may have benefits or costs that are not captured solely by examining health care expenditures or the prices of health care services.) </w:t>
      </w:r>
    </w:p>
    <w:p w14:paraId="5FC83CDD" w14:textId="5380E504" w:rsidR="0069080A" w:rsidRPr="00817B9F" w:rsidRDefault="0080743E" w:rsidP="0080743E">
      <w:pPr>
        <w:pStyle w:val="NumberedParagraphs"/>
      </w:pPr>
      <w:r w:rsidRPr="00817B9F">
        <w:t xml:space="preserve">We note that federal antitrust enforcers have generally been opposed to certificate-of-need programs because of a belief that </w:t>
      </w:r>
      <w:r w:rsidR="008B725B" w:rsidRPr="00817B9F">
        <w:t>such</w:t>
      </w:r>
      <w:r w:rsidRPr="00817B9F">
        <w:t xml:space="preserve"> programs are ineffective in controlling health care costs and present a risk of anticompetitive outcomes that may outweigh the benefits of these programs.</w:t>
      </w:r>
      <w:r w:rsidRPr="00817B9F">
        <w:rPr>
          <w:rStyle w:val="FootnoteReference"/>
        </w:rPr>
        <w:footnoteReference w:id="188"/>
      </w:r>
      <w:r w:rsidRPr="00817B9F">
        <w:t xml:space="preserve"> This position is supported by reviews of the health economics literature on the effects of certificate-of-need regulations. Mitchell (2016) synthesizes the findings of 19 peer-reviewed studies on the effects of certificate-of-need programs.</w:t>
      </w:r>
      <w:r w:rsidRPr="00817B9F">
        <w:rPr>
          <w:rStyle w:val="FootnoteReference"/>
        </w:rPr>
        <w:footnoteReference w:id="189"/>
      </w:r>
      <w:r w:rsidRPr="00817B9F">
        <w:t xml:space="preserve"> Based on this review, the author concludes that “the overwhelming weight of evidence suggests that [certificate-of-need] laws are associated with both higher per unit costs and higher total expenditures,”</w:t>
      </w:r>
      <w:r w:rsidRPr="00817B9F">
        <w:rPr>
          <w:rStyle w:val="FootnoteReference"/>
        </w:rPr>
        <w:footnoteReference w:id="190"/>
      </w:r>
      <w:r w:rsidRPr="00817B9F">
        <w:t xml:space="preserve"> although the number of studies that address the effect of certificate-of-need programs on health care expenditures—which take into account both price and quantity effects—is much greater than the number of studies that address the effect of these programs on per-unit prices. </w:t>
      </w:r>
    </w:p>
    <w:p w14:paraId="0DA47B3D" w14:textId="2ECB9787" w:rsidR="0080743E" w:rsidRPr="00817B9F" w:rsidRDefault="0080743E" w:rsidP="0080743E">
      <w:pPr>
        <w:pStyle w:val="NumberedParagraphs"/>
      </w:pPr>
      <w:r w:rsidRPr="00817B9F">
        <w:t>Conover and Bailey (2020) is a comprehensive review of the certificate-of-need literature that synthesizes 90 articles on the effects of certificate-of-need programs on regulatory costs, expenditures on health care services, health outcomes, and access to care.</w:t>
      </w:r>
      <w:r w:rsidRPr="00817B9F">
        <w:rPr>
          <w:rStyle w:val="FootnoteReference"/>
        </w:rPr>
        <w:footnoteReference w:id="191"/>
      </w:r>
      <w:r w:rsidRPr="00817B9F">
        <w:t xml:space="preserve"> In addition, the </w:t>
      </w:r>
      <w:r w:rsidRPr="00817B9F">
        <w:lastRenderedPageBreak/>
        <w:t xml:space="preserve">authors use the results of these studies to conduct an analysis of the cost-effectiveness of certificate-of-need programs. The authors find that evidence on the effect of certificate-of-need programs on health care expenditures is mixed, but that the weight of the evidence is that these programs increase health care expenditures. These higher expenditures are offset by beneficial effects that certificate-of-need programs have in reducing mortality rates for some patients and procedures. The authors conclude that the costs of certificate-of-need programs somewhat outweigh the benefits, although there is considerable uncertainty in their estimates. </w:t>
      </w:r>
    </w:p>
    <w:p w14:paraId="32287B11" w14:textId="2BB566E2" w:rsidR="0080743E" w:rsidRPr="00817B9F" w:rsidRDefault="00ED1DBB" w:rsidP="001F4F5C">
      <w:pPr>
        <w:pStyle w:val="NumberedParagraphs"/>
      </w:pPr>
      <w:r w:rsidRPr="00817B9F">
        <w:t xml:space="preserve">In summary, while there is little economic literature that is directly relevant to the effects of expansion by </w:t>
      </w:r>
      <w:r w:rsidR="001F4F5C" w:rsidRPr="00817B9F">
        <w:t xml:space="preserve">MGH </w:t>
      </w:r>
      <w:r w:rsidRPr="00817B9F">
        <w:t>on the prices for inpatient and outpatient health care services, the weight of the evidence—including the hospital merger literature and certificate-of-need literature—suggests that expansion in health care markets is likely to lower prices for consumers.</w:t>
      </w:r>
    </w:p>
    <w:p w14:paraId="5C3283F6" w14:textId="20573BB3" w:rsidR="00763E70" w:rsidRPr="00817B9F" w:rsidRDefault="00996880" w:rsidP="00763E70">
      <w:pPr>
        <w:pStyle w:val="Heading2"/>
        <w:rPr>
          <w:rFonts w:cs="Times New Roman"/>
        </w:rPr>
      </w:pPr>
      <w:bookmarkStart w:id="110" w:name="_Ref88824286"/>
      <w:bookmarkStart w:id="111" w:name="_Toc90046531"/>
      <w:r w:rsidRPr="00817B9F">
        <w:rPr>
          <w:rFonts w:cs="Times New Roman"/>
        </w:rPr>
        <w:t>Inpatient Services</w:t>
      </w:r>
      <w:bookmarkEnd w:id="110"/>
      <w:bookmarkEnd w:id="111"/>
    </w:p>
    <w:p w14:paraId="30A20117" w14:textId="5FF024D3" w:rsidR="00C74E96" w:rsidRPr="00817B9F" w:rsidRDefault="00CA2354" w:rsidP="00C74E96">
      <w:pPr>
        <w:pStyle w:val="NumberedParagraphs"/>
      </w:pPr>
      <w:r w:rsidRPr="00817B9F">
        <w:t xml:space="preserve">For inpatient services, </w:t>
      </w:r>
      <w:r w:rsidR="008C4299" w:rsidRPr="00817B9F">
        <w:t>we calculate the shares of MGB and its competitors in the service area of</w:t>
      </w:r>
      <w:r w:rsidR="001F4F5C" w:rsidRPr="00817B9F">
        <w:t xml:space="preserve"> MGH</w:t>
      </w:r>
      <w:r w:rsidR="008C4299" w:rsidRPr="00817B9F">
        <w:t xml:space="preserve"> in two steps.</w:t>
      </w:r>
      <w:r w:rsidR="006C2EDF" w:rsidRPr="00817B9F">
        <w:rPr>
          <w:rStyle w:val="FootnoteReference"/>
        </w:rPr>
        <w:footnoteReference w:id="192"/>
      </w:r>
      <w:r w:rsidR="008C4299" w:rsidRPr="00817B9F">
        <w:t xml:space="preserve"> </w:t>
      </w:r>
      <w:r w:rsidR="00032417" w:rsidRPr="00817B9F">
        <w:t xml:space="preserve">First, </w:t>
      </w:r>
      <w:r w:rsidR="00F554BF" w:rsidRPr="00817B9F">
        <w:t xml:space="preserve">using the Hospital Inpatient Discharge Database, </w:t>
      </w:r>
      <w:r w:rsidR="00032417" w:rsidRPr="00817B9F">
        <w:t xml:space="preserve">we calculate </w:t>
      </w:r>
      <w:r w:rsidR="007F37DE" w:rsidRPr="00817B9F">
        <w:t>hospital</w:t>
      </w:r>
      <w:r w:rsidR="005E6D47" w:rsidRPr="00817B9F">
        <w:t xml:space="preserve"> systems’</w:t>
      </w:r>
      <w:r w:rsidR="00032417" w:rsidRPr="00817B9F">
        <w:t xml:space="preserve"> shares of </w:t>
      </w:r>
      <w:r w:rsidR="005E6D47" w:rsidRPr="00817B9F">
        <w:t>inpatient discharges</w:t>
      </w:r>
      <w:r w:rsidR="00032417" w:rsidRPr="00817B9F">
        <w:t xml:space="preserve"> and the resulting HHI</w:t>
      </w:r>
      <w:r w:rsidR="005E6D47" w:rsidRPr="00817B9F">
        <w:t>s</w:t>
      </w:r>
      <w:r w:rsidR="00032417" w:rsidRPr="00817B9F">
        <w:t xml:space="preserve"> in each ZIP Code</w:t>
      </w:r>
      <w:r w:rsidR="005E6D47" w:rsidRPr="00817B9F">
        <w:t xml:space="preserve"> in Massachusetts</w:t>
      </w:r>
      <w:r w:rsidR="00032417" w:rsidRPr="00817B9F">
        <w:t xml:space="preserve">. Second, we calculate </w:t>
      </w:r>
      <w:r w:rsidR="005E6D47" w:rsidRPr="00817B9F">
        <w:t xml:space="preserve">the weighted </w:t>
      </w:r>
      <w:r w:rsidR="00032417" w:rsidRPr="00817B9F">
        <w:t xml:space="preserve">averages of these shares and HHIs across ZIP Codes </w:t>
      </w:r>
      <w:r w:rsidR="005E6D47" w:rsidRPr="00817B9F">
        <w:t>in Massachusetts, where</w:t>
      </w:r>
      <w:r w:rsidR="00032417" w:rsidRPr="00817B9F">
        <w:t xml:space="preserve"> each ZIP Code </w:t>
      </w:r>
      <w:r w:rsidR="005E6D47" w:rsidRPr="00817B9F">
        <w:t xml:space="preserve">is </w:t>
      </w:r>
      <w:r w:rsidR="00032417" w:rsidRPr="00817B9F">
        <w:t>weighted by</w:t>
      </w:r>
      <w:r w:rsidR="001F4F5C" w:rsidRPr="00817B9F">
        <w:t xml:space="preserve"> MGH’s</w:t>
      </w:r>
      <w:r w:rsidR="005E6D47" w:rsidRPr="00817B9F">
        <w:t xml:space="preserve"> discharges </w:t>
      </w:r>
      <w:r w:rsidR="003A66E5" w:rsidRPr="00817B9F">
        <w:t>in that ZIP Code.</w:t>
      </w:r>
      <w:r w:rsidR="00032417" w:rsidRPr="00817B9F">
        <w:t xml:space="preserve"> This measure </w:t>
      </w:r>
      <w:r w:rsidR="003A66E5" w:rsidRPr="00817B9F">
        <w:t xml:space="preserve">of market concentration </w:t>
      </w:r>
      <w:r w:rsidR="00032417" w:rsidRPr="00817B9F">
        <w:t xml:space="preserve">is </w:t>
      </w:r>
      <w:r w:rsidR="003A66E5" w:rsidRPr="00817B9F">
        <w:t>commonly</w:t>
      </w:r>
      <w:r w:rsidR="00032417" w:rsidRPr="00817B9F">
        <w:t xml:space="preserve"> used in the hospital competition </w:t>
      </w:r>
      <w:r w:rsidR="003A66E5" w:rsidRPr="00817B9F">
        <w:t xml:space="preserve">literature </w:t>
      </w:r>
      <w:r w:rsidR="00032417" w:rsidRPr="00817B9F">
        <w:t>because it does not require precisely delineating the boundaries of a specific geographic</w:t>
      </w:r>
      <w:r w:rsidR="00805549" w:rsidRPr="00817B9F">
        <w:t xml:space="preserve"> market </w:t>
      </w:r>
      <w:r w:rsidR="00032417" w:rsidRPr="00817B9F">
        <w:t>(</w:t>
      </w:r>
      <w:r w:rsidR="00032417" w:rsidRPr="00817B9F">
        <w:rPr>
          <w:i/>
        </w:rPr>
        <w:t>e.g.</w:t>
      </w:r>
      <w:r w:rsidR="00032417" w:rsidRPr="00817B9F">
        <w:t>, the primary service area or secondary service area of a health care provider).</w:t>
      </w:r>
      <w:r w:rsidR="00032417" w:rsidRPr="00817B9F">
        <w:rPr>
          <w:rStyle w:val="FootnoteReference"/>
        </w:rPr>
        <w:footnoteReference w:id="193"/>
      </w:r>
      <w:r w:rsidR="00032417" w:rsidRPr="00817B9F">
        <w:t xml:space="preserve"> </w:t>
      </w:r>
      <w:r w:rsidR="000E77B3" w:rsidRPr="00817B9F">
        <w:t xml:space="preserve">The use of this approach </w:t>
      </w:r>
      <w:r w:rsidR="0016271D" w:rsidRPr="00817B9F">
        <w:t>also avoids potentially</w:t>
      </w:r>
      <w:r w:rsidR="00032417" w:rsidRPr="00817B9F">
        <w:t xml:space="preserve"> misleading conclusions about changes in providers’ competitive significance and bargaining leverage if the </w:t>
      </w:r>
      <w:r w:rsidR="0016271D" w:rsidRPr="00817B9F">
        <w:t xml:space="preserve">geographic </w:t>
      </w:r>
      <w:r w:rsidR="00032417" w:rsidRPr="00817B9F">
        <w:t>market is defined too narrowly or broadly.</w:t>
      </w:r>
      <w:r w:rsidR="00032417" w:rsidRPr="00817B9F">
        <w:rPr>
          <w:rStyle w:val="FootnoteReference"/>
        </w:rPr>
        <w:footnoteReference w:id="194"/>
      </w:r>
      <w:r w:rsidR="00032417" w:rsidRPr="00817B9F">
        <w:t xml:space="preserve"> </w:t>
      </w:r>
      <w:r w:rsidR="00AE2125" w:rsidRPr="00817B9F">
        <w:t xml:space="preserve">Rather, </w:t>
      </w:r>
      <w:r w:rsidR="0040518D" w:rsidRPr="00817B9F">
        <w:t xml:space="preserve">the </w:t>
      </w:r>
      <w:r w:rsidR="00AE2125" w:rsidRPr="00817B9F">
        <w:t>a</w:t>
      </w:r>
      <w:r w:rsidR="00032417" w:rsidRPr="00817B9F">
        <w:t xml:space="preserve">pproach we employ </w:t>
      </w:r>
      <w:r w:rsidR="00AE2125" w:rsidRPr="00817B9F">
        <w:t xml:space="preserve">reflects MGB’s significance </w:t>
      </w:r>
      <w:r w:rsidR="005B00F5" w:rsidRPr="00817B9F">
        <w:t xml:space="preserve">in </w:t>
      </w:r>
      <w:r w:rsidR="00032417" w:rsidRPr="00817B9F">
        <w:t>all ZIP Codes in Massachusetts</w:t>
      </w:r>
      <w:r w:rsidR="005B00F5" w:rsidRPr="00817B9F">
        <w:t xml:space="preserve">, but we weight </w:t>
      </w:r>
      <w:r w:rsidR="00C74E96" w:rsidRPr="00817B9F">
        <w:t>more</w:t>
      </w:r>
      <w:r w:rsidR="005B00F5" w:rsidRPr="00817B9F">
        <w:t xml:space="preserve"> heavily MGB’s shares in the ZIP Codes </w:t>
      </w:r>
      <w:r w:rsidR="00805270" w:rsidRPr="00817B9F">
        <w:t xml:space="preserve">that </w:t>
      </w:r>
      <w:r w:rsidR="00C74E96" w:rsidRPr="00817B9F">
        <w:t xml:space="preserve">account for a greater fraction of </w:t>
      </w:r>
      <w:r w:rsidR="001F4F5C" w:rsidRPr="00817B9F">
        <w:t xml:space="preserve">MGH’s </w:t>
      </w:r>
      <w:r w:rsidR="00C74E96" w:rsidRPr="00817B9F">
        <w:t xml:space="preserve">discharges. </w:t>
      </w:r>
    </w:p>
    <w:p w14:paraId="06DCB75B" w14:textId="244B52A8" w:rsidR="005357F5" w:rsidRPr="00817B9F" w:rsidRDefault="00D55448" w:rsidP="000356CA">
      <w:pPr>
        <w:pStyle w:val="NumberedParagraphs"/>
      </w:pPr>
      <w:r w:rsidRPr="00817B9F">
        <w:lastRenderedPageBreak/>
        <w:t xml:space="preserve">Using this approach, </w:t>
      </w:r>
      <w:r w:rsidR="000356CA" w:rsidRPr="00817B9F">
        <w:t xml:space="preserve">Figure </w:t>
      </w:r>
      <w:r w:rsidR="005300A5" w:rsidRPr="00817B9F">
        <w:t>MGH</w:t>
      </w:r>
      <w:r w:rsidR="00BC3FA3" w:rsidRPr="00817B9F">
        <w:t>15</w:t>
      </w:r>
      <w:r w:rsidR="000356CA" w:rsidRPr="00817B9F">
        <w:t xml:space="preserve"> reports </w:t>
      </w:r>
      <w:r w:rsidR="007C7112" w:rsidRPr="00817B9F">
        <w:t xml:space="preserve">inpatient </w:t>
      </w:r>
      <w:r w:rsidR="000356CA" w:rsidRPr="00817B9F">
        <w:t xml:space="preserve">shares </w:t>
      </w:r>
      <w:r w:rsidRPr="00817B9F">
        <w:t xml:space="preserve">in MGH’s service area. We calculate shares separately </w:t>
      </w:r>
      <w:r w:rsidR="000356CA" w:rsidRPr="00817B9F">
        <w:t xml:space="preserve">for </w:t>
      </w:r>
      <w:r w:rsidRPr="00817B9F">
        <w:t>all inpatient services, inpatient cancer ser</w:t>
      </w:r>
      <w:r w:rsidR="008B180A" w:rsidRPr="00817B9F">
        <w:t>vices, inpatient heart and vascular services, and other inpatient services (</w:t>
      </w:r>
      <w:r w:rsidR="008B180A" w:rsidRPr="00817B9F">
        <w:rPr>
          <w:i/>
          <w:iCs/>
        </w:rPr>
        <w:t>i.e.</w:t>
      </w:r>
      <w:r w:rsidR="008B180A" w:rsidRPr="00817B9F">
        <w:t>, inpatient services not in the cancer or heart and vascular service lines)</w:t>
      </w:r>
      <w:r w:rsidR="000356CA" w:rsidRPr="00817B9F">
        <w:t xml:space="preserve">. </w:t>
      </w:r>
    </w:p>
    <w:p w14:paraId="44E0F5B4" w14:textId="40DA0619" w:rsidR="005357F5" w:rsidRPr="00817B9F" w:rsidRDefault="008B180A" w:rsidP="005D3EC9">
      <w:pPr>
        <w:pStyle w:val="BulletParagraph"/>
        <w:rPr>
          <w:rFonts w:cs="Times New Roman"/>
        </w:rPr>
      </w:pPr>
      <w:r w:rsidRPr="00817B9F">
        <w:rPr>
          <w:rFonts w:cs="Times New Roman"/>
        </w:rPr>
        <w:t>MGB has the highest share</w:t>
      </w:r>
      <w:r w:rsidR="00725D2E" w:rsidRPr="00817B9F">
        <w:rPr>
          <w:rFonts w:cs="Times New Roman"/>
        </w:rPr>
        <w:t xml:space="preserve"> in MGH’s own service area for each of these four groups of </w:t>
      </w:r>
      <w:r w:rsidR="005357F5" w:rsidRPr="00817B9F">
        <w:rPr>
          <w:rFonts w:cs="Times New Roman"/>
        </w:rPr>
        <w:t xml:space="preserve">inpatient </w:t>
      </w:r>
      <w:r w:rsidR="00725D2E" w:rsidRPr="00817B9F">
        <w:rPr>
          <w:rFonts w:cs="Times New Roman"/>
        </w:rPr>
        <w:t xml:space="preserve">services, </w:t>
      </w:r>
      <w:r w:rsidR="005357F5" w:rsidRPr="00817B9F">
        <w:rPr>
          <w:rFonts w:cs="Times New Roman"/>
        </w:rPr>
        <w:t>with shares</w:t>
      </w:r>
      <w:r w:rsidR="00725D2E" w:rsidRPr="00817B9F">
        <w:rPr>
          <w:rFonts w:cs="Times New Roman"/>
        </w:rPr>
        <w:t xml:space="preserve"> ranging from 32 percent (other inpatient services) to 45 percent (inpatient cancer services). </w:t>
      </w:r>
    </w:p>
    <w:p w14:paraId="53B5D2AB" w14:textId="77777777" w:rsidR="00CF3EAF" w:rsidRPr="00817B9F" w:rsidRDefault="005357F5" w:rsidP="005D3EC9">
      <w:pPr>
        <w:pStyle w:val="BulletParagraph"/>
        <w:rPr>
          <w:rFonts w:cs="Times New Roman"/>
        </w:rPr>
      </w:pPr>
      <w:r w:rsidRPr="00817B9F">
        <w:rPr>
          <w:rFonts w:cs="Times New Roman"/>
        </w:rPr>
        <w:t xml:space="preserve">Beth Israel Lahey Health has the second-to-highest share in MGH’s service area for all four groups of inpatient services, with shares ranging </w:t>
      </w:r>
      <w:r w:rsidR="00CF3EAF" w:rsidRPr="00817B9F">
        <w:rPr>
          <w:rFonts w:cs="Times New Roman"/>
        </w:rPr>
        <w:t xml:space="preserve">from 23 percent (inpatient cancer services) to 26 percent (other inpatient services). </w:t>
      </w:r>
    </w:p>
    <w:p w14:paraId="254680AA" w14:textId="29FB6F79" w:rsidR="000356CA" w:rsidRPr="00817B9F" w:rsidRDefault="00CF3EAF" w:rsidP="00517EB3">
      <w:pPr>
        <w:pStyle w:val="BulletParagraph"/>
        <w:rPr>
          <w:rFonts w:cs="Times New Roman"/>
        </w:rPr>
      </w:pPr>
      <w:r w:rsidRPr="00817B9F">
        <w:rPr>
          <w:rFonts w:cs="Times New Roman"/>
        </w:rPr>
        <w:t>Other health systems with a share in MGH’s service area exceeding five percent in at least one inpatient service line include Boston Medical Center (shares</w:t>
      </w:r>
      <w:r w:rsidR="005357F5" w:rsidRPr="00817B9F">
        <w:rPr>
          <w:rFonts w:cs="Times New Roman"/>
        </w:rPr>
        <w:t xml:space="preserve"> </w:t>
      </w:r>
      <w:r w:rsidR="009E7847" w:rsidRPr="00817B9F">
        <w:rPr>
          <w:rFonts w:cs="Times New Roman"/>
        </w:rPr>
        <w:t>of five percent), Steward Health Care (shares of four to seven percent), and Wellforce (shares of seven to nine percent).</w:t>
      </w:r>
    </w:p>
    <w:p w14:paraId="2925E3AF" w14:textId="281F3AC3" w:rsidR="002330B2" w:rsidRPr="00817B9F" w:rsidRDefault="002830EA" w:rsidP="002330B2">
      <w:pPr>
        <w:pStyle w:val="NumberedParagraphs"/>
      </w:pPr>
      <w:r w:rsidRPr="00817B9F">
        <w:t>As we noted above, in addition to assessing MGB’s current market shares, the DoN program asked that we consider how those shares might change if MGB’s DoN were approved</w:t>
      </w:r>
      <w:r w:rsidR="00584202" w:rsidRPr="00817B9F">
        <w:t xml:space="preserve">, and how changes in MGB’s shares might affect its </w:t>
      </w:r>
      <w:r w:rsidR="008C1391" w:rsidRPr="00817B9F">
        <w:t>negotiating leverage</w:t>
      </w:r>
      <w:r w:rsidR="00584202" w:rsidRPr="00817B9F">
        <w:t xml:space="preserve"> with third-party payors</w:t>
      </w:r>
      <w:r w:rsidR="008C1391" w:rsidRPr="00817B9F">
        <w:t>.</w:t>
      </w:r>
      <w:r w:rsidR="003B2A37" w:rsidRPr="00817B9F">
        <w:t xml:space="preserve"> </w:t>
      </w:r>
      <w:r w:rsidR="002330B2" w:rsidRPr="00817B9F">
        <w:t xml:space="preserve">To </w:t>
      </w:r>
      <w:r w:rsidR="00C2081E" w:rsidRPr="00817B9F">
        <w:t>address</w:t>
      </w:r>
      <w:r w:rsidR="002330B2" w:rsidRPr="00817B9F">
        <w:t xml:space="preserve"> this </w:t>
      </w:r>
      <w:r w:rsidR="00C2081E" w:rsidRPr="00817B9F">
        <w:t>question,</w:t>
      </w:r>
      <w:r w:rsidR="002330B2" w:rsidRPr="00817B9F">
        <w:t xml:space="preserve"> we </w:t>
      </w:r>
      <w:r w:rsidR="00A04300" w:rsidRPr="00817B9F">
        <w:t xml:space="preserve">first </w:t>
      </w:r>
      <w:r w:rsidR="00C2081E" w:rsidRPr="00817B9F">
        <w:t>use o</w:t>
      </w:r>
      <w:r w:rsidR="00766656" w:rsidRPr="00817B9F">
        <w:t>ur</w:t>
      </w:r>
      <w:r w:rsidR="002330B2" w:rsidRPr="00817B9F">
        <w:t xml:space="preserve"> model of demand for inpatient </w:t>
      </w:r>
      <w:r w:rsidR="002B0249" w:rsidRPr="00817B9F">
        <w:t>hospital</w:t>
      </w:r>
      <w:r w:rsidR="002330B2" w:rsidRPr="00817B9F">
        <w:t xml:space="preserve"> services and </w:t>
      </w:r>
      <w:r w:rsidR="00E94344" w:rsidRPr="00817B9F">
        <w:t xml:space="preserve">the </w:t>
      </w:r>
      <w:r w:rsidR="00766656" w:rsidRPr="00817B9F">
        <w:t>method for simulating th</w:t>
      </w:r>
      <w:r w:rsidR="00F94F4A" w:rsidRPr="00817B9F">
        <w:t xml:space="preserve">e effect of the proposed </w:t>
      </w:r>
      <w:r w:rsidR="00F4327B" w:rsidRPr="00817B9F">
        <w:t xml:space="preserve">expansion of </w:t>
      </w:r>
      <w:r w:rsidR="001F4F5C" w:rsidRPr="00817B9F">
        <w:t>MGH</w:t>
      </w:r>
      <w:r w:rsidR="00F4327B" w:rsidRPr="00817B9F">
        <w:t xml:space="preserve"> on patients’ demand for inpatient services that</w:t>
      </w:r>
      <w:r w:rsidR="002330B2" w:rsidRPr="00817B9F">
        <w:t xml:space="preserve"> </w:t>
      </w:r>
      <w:r w:rsidR="002B0249" w:rsidRPr="00817B9F">
        <w:t xml:space="preserve">we </w:t>
      </w:r>
      <w:r w:rsidR="002330B2" w:rsidRPr="00817B9F">
        <w:t xml:space="preserve">described in </w:t>
      </w:r>
      <w:r w:rsidR="00ED08E8" w:rsidRPr="00817B9F">
        <w:t>Section</w:t>
      </w:r>
      <w:r w:rsidR="00385FCD" w:rsidRPr="00817B9F">
        <w:t xml:space="preserve"> </w:t>
      </w:r>
      <w:r w:rsidR="00385FCD" w:rsidRPr="00817B9F">
        <w:fldChar w:fldCharType="begin"/>
      </w:r>
      <w:r w:rsidR="00385FCD" w:rsidRPr="00817B9F">
        <w:instrText xml:space="preserve"> REF _Ref88993266 \w \h </w:instrText>
      </w:r>
      <w:r w:rsidR="00FD09F0" w:rsidRPr="00817B9F">
        <w:instrText xml:space="preserve"> \* MERGEFORMAT </w:instrText>
      </w:r>
      <w:r w:rsidR="00385FCD" w:rsidRPr="00817B9F">
        <w:fldChar w:fldCharType="separate"/>
      </w:r>
      <w:r w:rsidR="002B78C3">
        <w:t>VI</w:t>
      </w:r>
      <w:r w:rsidR="00385FCD" w:rsidRPr="00817B9F">
        <w:fldChar w:fldCharType="end"/>
      </w:r>
      <w:r w:rsidR="00385FCD" w:rsidRPr="00817B9F">
        <w:t>.</w:t>
      </w:r>
      <w:r w:rsidR="00385FCD" w:rsidRPr="00817B9F">
        <w:fldChar w:fldCharType="begin"/>
      </w:r>
      <w:r w:rsidR="00385FCD" w:rsidRPr="00817B9F">
        <w:instrText xml:space="preserve"> REF _Ref88993270 \w \h </w:instrText>
      </w:r>
      <w:r w:rsidR="00FD09F0" w:rsidRPr="00817B9F">
        <w:instrText xml:space="preserve"> \* MERGEFORMAT </w:instrText>
      </w:r>
      <w:r w:rsidR="00385FCD" w:rsidRPr="00817B9F">
        <w:fldChar w:fldCharType="separate"/>
      </w:r>
      <w:r w:rsidR="002B78C3">
        <w:t>A</w:t>
      </w:r>
      <w:r w:rsidR="00385FCD" w:rsidRPr="00817B9F">
        <w:fldChar w:fldCharType="end"/>
      </w:r>
      <w:r w:rsidR="00766656" w:rsidRPr="00817B9F">
        <w:t>.</w:t>
      </w:r>
      <w:r w:rsidR="003B2A37" w:rsidRPr="00817B9F">
        <w:t xml:space="preserve"> </w:t>
      </w:r>
      <w:r w:rsidR="00AB7840" w:rsidRPr="00817B9F">
        <w:t>Using this approach, we</w:t>
      </w:r>
      <w:r w:rsidR="002330B2" w:rsidRPr="00817B9F">
        <w:t xml:space="preserve"> assess the impact of the </w:t>
      </w:r>
      <w:r w:rsidR="00E90EEB" w:rsidRPr="00817B9F">
        <w:t>p</w:t>
      </w:r>
      <w:r w:rsidR="002330B2" w:rsidRPr="00817B9F">
        <w:t>roject on</w:t>
      </w:r>
      <w:r w:rsidR="00584202" w:rsidRPr="00817B9F">
        <w:t xml:space="preserve"> MGB’s</w:t>
      </w:r>
      <w:r w:rsidR="002330B2" w:rsidRPr="00817B9F">
        <w:t xml:space="preserve"> shares and </w:t>
      </w:r>
      <w:r w:rsidR="00584202" w:rsidRPr="00817B9F">
        <w:t xml:space="preserve">market </w:t>
      </w:r>
      <w:r w:rsidR="002330B2" w:rsidRPr="00817B9F">
        <w:t>concentration</w:t>
      </w:r>
      <w:r w:rsidR="00AB7840" w:rsidRPr="00817B9F">
        <w:t xml:space="preserve"> by comparing</w:t>
      </w:r>
      <w:r w:rsidR="002330B2" w:rsidRPr="00817B9F">
        <w:t xml:space="preserve"> </w:t>
      </w:r>
      <w:r w:rsidR="00441D02" w:rsidRPr="00817B9F">
        <w:t>current</w:t>
      </w:r>
      <w:r w:rsidR="002330B2" w:rsidRPr="00817B9F">
        <w:t xml:space="preserve"> shares and concentration to </w:t>
      </w:r>
      <w:r w:rsidR="00AB7840" w:rsidRPr="00817B9F">
        <w:t>the predicted shares and concentration resulting from our</w:t>
      </w:r>
      <w:r w:rsidR="002330B2" w:rsidRPr="00817B9F">
        <w:t xml:space="preserve"> simulation.</w:t>
      </w:r>
      <w:r w:rsidR="00512AD2" w:rsidRPr="00817B9F">
        <w:t xml:space="preserve"> Using</w:t>
      </w:r>
      <w:r w:rsidR="002330B2" w:rsidRPr="00817B9F">
        <w:t xml:space="preserve"> </w:t>
      </w:r>
      <w:r w:rsidR="00512AD2" w:rsidRPr="00817B9F">
        <w:t>the economics literature that we summarized in Section</w:t>
      </w:r>
      <w:r w:rsidR="00385FCD" w:rsidRPr="00817B9F">
        <w:t xml:space="preserve"> </w:t>
      </w:r>
      <w:r w:rsidR="00385FCD" w:rsidRPr="00817B9F">
        <w:fldChar w:fldCharType="begin"/>
      </w:r>
      <w:r w:rsidR="00385FCD" w:rsidRPr="00817B9F">
        <w:instrText xml:space="preserve"> REF _Ref88993326 \w \h </w:instrText>
      </w:r>
      <w:r w:rsidR="00FD09F0" w:rsidRPr="00817B9F">
        <w:instrText xml:space="preserve"> \* MERGEFORMAT </w:instrText>
      </w:r>
      <w:r w:rsidR="00385FCD" w:rsidRPr="00817B9F">
        <w:fldChar w:fldCharType="separate"/>
      </w:r>
      <w:r w:rsidR="002B78C3">
        <w:t>VII</w:t>
      </w:r>
      <w:r w:rsidR="00385FCD" w:rsidRPr="00817B9F">
        <w:fldChar w:fldCharType="end"/>
      </w:r>
      <w:r w:rsidR="00385FCD" w:rsidRPr="00817B9F">
        <w:t>.</w:t>
      </w:r>
      <w:r w:rsidR="00385FCD" w:rsidRPr="00817B9F">
        <w:fldChar w:fldCharType="begin"/>
      </w:r>
      <w:r w:rsidR="00385FCD" w:rsidRPr="00817B9F">
        <w:instrText xml:space="preserve"> REF _Ref88483325 \w \h </w:instrText>
      </w:r>
      <w:r w:rsidR="00FD09F0" w:rsidRPr="00817B9F">
        <w:instrText xml:space="preserve"> \* MERGEFORMAT </w:instrText>
      </w:r>
      <w:r w:rsidR="00385FCD" w:rsidRPr="00817B9F">
        <w:fldChar w:fldCharType="separate"/>
      </w:r>
      <w:r w:rsidR="002B78C3">
        <w:t>A</w:t>
      </w:r>
      <w:r w:rsidR="00385FCD" w:rsidRPr="00817B9F">
        <w:fldChar w:fldCharType="end"/>
      </w:r>
      <w:r w:rsidR="00512AD2" w:rsidRPr="00817B9F">
        <w:t>, w</w:t>
      </w:r>
      <w:r w:rsidR="00584202" w:rsidRPr="00817B9F">
        <w:t xml:space="preserve">e then </w:t>
      </w:r>
      <w:r w:rsidR="00EB6610" w:rsidRPr="00817B9F">
        <w:t xml:space="preserve">relate the predicted change in concentration to </w:t>
      </w:r>
      <w:r w:rsidR="00BB5C97" w:rsidRPr="00817B9F">
        <w:t xml:space="preserve">determine how MGB’s negotiating </w:t>
      </w:r>
      <w:r w:rsidR="006F2EE7" w:rsidRPr="00817B9F">
        <w:t xml:space="preserve">leverage might </w:t>
      </w:r>
      <w:r w:rsidR="00B55A40" w:rsidRPr="00817B9F">
        <w:t xml:space="preserve">change as a result of the proposed project. </w:t>
      </w:r>
    </w:p>
    <w:p w14:paraId="0EC43FE7" w14:textId="743F2E45" w:rsidR="006C5B0A" w:rsidRPr="00817B9F" w:rsidRDefault="002330B2" w:rsidP="00517EB3">
      <w:pPr>
        <w:pStyle w:val="NumberedParagraphs"/>
      </w:pPr>
      <w:r w:rsidRPr="00817B9F">
        <w:t xml:space="preserve">Figure </w:t>
      </w:r>
      <w:r w:rsidR="00625368" w:rsidRPr="00817B9F">
        <w:t>MGH</w:t>
      </w:r>
      <w:r w:rsidR="00BC3FA3" w:rsidRPr="00817B9F">
        <w:t>16</w:t>
      </w:r>
      <w:r w:rsidRPr="00817B9F">
        <w:t xml:space="preserve"> reports </w:t>
      </w:r>
      <w:r w:rsidR="00743653" w:rsidRPr="00817B9F">
        <w:t xml:space="preserve">each </w:t>
      </w:r>
      <w:r w:rsidR="00114B94" w:rsidRPr="00817B9F">
        <w:t>hospital</w:t>
      </w:r>
      <w:r w:rsidR="00743653" w:rsidRPr="00817B9F">
        <w:t>’s</w:t>
      </w:r>
      <w:r w:rsidRPr="00817B9F">
        <w:t xml:space="preserve"> share</w:t>
      </w:r>
      <w:r w:rsidR="00441D02" w:rsidRPr="00817B9F">
        <w:t xml:space="preserve"> of</w:t>
      </w:r>
      <w:r w:rsidRPr="00817B9F">
        <w:t xml:space="preserve"> </w:t>
      </w:r>
      <w:r w:rsidR="006E3282" w:rsidRPr="00817B9F">
        <w:t>inpatient admissions</w:t>
      </w:r>
      <w:r w:rsidRPr="00817B9F">
        <w:t xml:space="preserve"> </w:t>
      </w:r>
      <w:r w:rsidR="00114B94" w:rsidRPr="00817B9F">
        <w:t xml:space="preserve">in MGH’s service </w:t>
      </w:r>
      <w:r w:rsidR="00F72D46" w:rsidRPr="00817B9F">
        <w:t xml:space="preserve">area </w:t>
      </w:r>
      <w:r w:rsidR="00114B94" w:rsidRPr="00817B9F">
        <w:t xml:space="preserve">and the </w:t>
      </w:r>
      <w:r w:rsidRPr="00817B9F">
        <w:t xml:space="preserve">implied concentration levels before and after the proposed project. </w:t>
      </w:r>
      <w:r w:rsidR="009C6828" w:rsidRPr="00817B9F">
        <w:t>If the proposed project were approved, a</w:t>
      </w:r>
      <w:r w:rsidR="00D305EE" w:rsidRPr="00817B9F">
        <w:t xml:space="preserve">cross all inpatient service lines, </w:t>
      </w:r>
      <w:r w:rsidR="00496B4D" w:rsidRPr="00817B9F">
        <w:t xml:space="preserve">we predict that </w:t>
      </w:r>
      <w:r w:rsidRPr="00817B9F">
        <w:t>MGH</w:t>
      </w:r>
      <w:r w:rsidR="009868C8" w:rsidRPr="00817B9F">
        <w:t>’s</w:t>
      </w:r>
      <w:r w:rsidRPr="00817B9F">
        <w:t xml:space="preserve"> share of </w:t>
      </w:r>
      <w:r w:rsidR="00B70A87" w:rsidRPr="00817B9F">
        <w:t>discharges</w:t>
      </w:r>
      <w:r w:rsidRPr="00817B9F">
        <w:t xml:space="preserve"> in </w:t>
      </w:r>
      <w:r w:rsidR="002F4049" w:rsidRPr="00817B9F">
        <w:t xml:space="preserve">its service area would </w:t>
      </w:r>
      <w:r w:rsidRPr="00817B9F">
        <w:t xml:space="preserve">increase by </w:t>
      </w:r>
      <w:r w:rsidR="00B70A87" w:rsidRPr="00817B9F">
        <w:t>1.</w:t>
      </w:r>
      <w:r w:rsidR="00750091" w:rsidRPr="00817B9F">
        <w:t>3</w:t>
      </w:r>
      <w:r w:rsidRPr="00817B9F">
        <w:t xml:space="preserve"> percent</w:t>
      </w:r>
      <w:r w:rsidR="00441DB5" w:rsidRPr="00817B9F">
        <w:t>age points</w:t>
      </w:r>
      <w:r w:rsidRPr="00817B9F">
        <w:t xml:space="preserve"> from </w:t>
      </w:r>
      <w:r w:rsidR="00B70A87" w:rsidRPr="00817B9F">
        <w:t>1</w:t>
      </w:r>
      <w:r w:rsidR="00C30F95" w:rsidRPr="00817B9F">
        <w:t>8.9</w:t>
      </w:r>
      <w:r w:rsidRPr="00817B9F">
        <w:t xml:space="preserve"> percent to </w:t>
      </w:r>
      <w:r w:rsidR="00B70A87" w:rsidRPr="00817B9F">
        <w:t>20</w:t>
      </w:r>
      <w:r w:rsidR="00C30F95" w:rsidRPr="00817B9F">
        <w:t>.2</w:t>
      </w:r>
      <w:r w:rsidRPr="00817B9F">
        <w:t xml:space="preserve"> percent.</w:t>
      </w:r>
      <w:r w:rsidR="00D27766" w:rsidRPr="00817B9F">
        <w:t xml:space="preserve"> MGB’s </w:t>
      </w:r>
      <w:r w:rsidR="00F50A5C" w:rsidRPr="00817B9F">
        <w:t xml:space="preserve">overall </w:t>
      </w:r>
      <w:r w:rsidR="00D27766" w:rsidRPr="00817B9F">
        <w:t xml:space="preserve">share increases by less than this amount </w:t>
      </w:r>
      <w:r w:rsidR="00EE03C5" w:rsidRPr="00817B9F">
        <w:t xml:space="preserve">because some of the </w:t>
      </w:r>
      <w:r w:rsidR="002746AF" w:rsidRPr="00817B9F">
        <w:t xml:space="preserve">additional </w:t>
      </w:r>
      <w:r w:rsidR="00914EDC" w:rsidRPr="00817B9F">
        <w:t>MG</w:t>
      </w:r>
      <w:r w:rsidR="002746AF" w:rsidRPr="00817B9F">
        <w:t>H</w:t>
      </w:r>
      <w:r w:rsidR="00914EDC" w:rsidRPr="00817B9F">
        <w:t xml:space="preserve"> disc</w:t>
      </w:r>
      <w:r w:rsidR="002746AF" w:rsidRPr="00817B9F">
        <w:t xml:space="preserve">harges </w:t>
      </w:r>
      <w:r w:rsidR="002746AF" w:rsidRPr="00817B9F">
        <w:lastRenderedPageBreak/>
        <w:t>are patients who otherwise would have received care at other MGB hospitals, includ</w:t>
      </w:r>
      <w:r w:rsidR="00C81881" w:rsidRPr="00817B9F">
        <w:t>ing</w:t>
      </w:r>
      <w:r w:rsidR="002746AF" w:rsidRPr="00817B9F">
        <w:t xml:space="preserve"> Brigh</w:t>
      </w:r>
      <w:r w:rsidR="00AA19C5" w:rsidRPr="00817B9F">
        <w:t>am</w:t>
      </w:r>
      <w:r w:rsidR="002746AF" w:rsidRPr="00817B9F">
        <w:t xml:space="preserve"> and Women’s Hospital</w:t>
      </w:r>
      <w:r w:rsidR="000D77C4" w:rsidRPr="00817B9F">
        <w:t xml:space="preserve"> (whose </w:t>
      </w:r>
      <w:r w:rsidR="00F50A5C" w:rsidRPr="00817B9F">
        <w:t xml:space="preserve">share in MGH’s service area declines by </w:t>
      </w:r>
      <w:r w:rsidR="00C360B8" w:rsidRPr="00817B9F">
        <w:t>0.13 percent</w:t>
      </w:r>
      <w:r w:rsidR="00441DB5" w:rsidRPr="00817B9F">
        <w:t>age points</w:t>
      </w:r>
      <w:r w:rsidR="00C360B8" w:rsidRPr="00817B9F">
        <w:t>)</w:t>
      </w:r>
      <w:r w:rsidR="00BD56B6" w:rsidRPr="00817B9F">
        <w:t xml:space="preserve"> </w:t>
      </w:r>
      <w:r w:rsidR="000D77C4" w:rsidRPr="00817B9F">
        <w:t>and Salem Hospital</w:t>
      </w:r>
      <w:r w:rsidR="002746AF" w:rsidRPr="00817B9F">
        <w:t xml:space="preserve"> </w:t>
      </w:r>
      <w:r w:rsidR="00C360B8" w:rsidRPr="00817B9F">
        <w:t xml:space="preserve">(whose share in MGH’s service area declines by </w:t>
      </w:r>
      <w:r w:rsidR="00BD397C" w:rsidRPr="00817B9F">
        <w:t>0.05 percent</w:t>
      </w:r>
      <w:r w:rsidR="00441DB5" w:rsidRPr="00817B9F">
        <w:t>age points</w:t>
      </w:r>
      <w:r w:rsidR="00BD397C" w:rsidRPr="00817B9F">
        <w:t>)</w:t>
      </w:r>
      <w:r w:rsidR="00D6791D" w:rsidRPr="00817B9F">
        <w:t>.</w:t>
      </w:r>
      <w:r w:rsidR="003B2A37" w:rsidRPr="00817B9F">
        <w:t xml:space="preserve"> </w:t>
      </w:r>
      <w:r w:rsidR="003A61EF" w:rsidRPr="00817B9F">
        <w:t xml:space="preserve">Given the </w:t>
      </w:r>
      <w:r w:rsidR="00BD397C" w:rsidRPr="00817B9F">
        <w:t>small increase in MG</w:t>
      </w:r>
      <w:r w:rsidR="00FC3DA3" w:rsidRPr="00817B9F">
        <w:t>H’s share in its own service area</w:t>
      </w:r>
      <w:r w:rsidR="008F5CD8" w:rsidRPr="00817B9F">
        <w:t xml:space="preserve">, </w:t>
      </w:r>
      <w:r w:rsidR="003A61EF" w:rsidRPr="00817B9F">
        <w:t xml:space="preserve">the </w:t>
      </w:r>
      <w:r w:rsidR="008F5CD8" w:rsidRPr="00817B9F">
        <w:t xml:space="preserve">predicted </w:t>
      </w:r>
      <w:r w:rsidR="003A61EF" w:rsidRPr="00817B9F">
        <w:t xml:space="preserve">effects </w:t>
      </w:r>
      <w:r w:rsidR="008F5CD8" w:rsidRPr="00817B9F">
        <w:t xml:space="preserve">of the proposed project </w:t>
      </w:r>
      <w:r w:rsidR="003A61EF" w:rsidRPr="00817B9F">
        <w:t>on other hospitals</w:t>
      </w:r>
      <w:r w:rsidR="008F5CD8" w:rsidRPr="00817B9F">
        <w:t>’ discharge vol</w:t>
      </w:r>
      <w:r w:rsidR="009C282A" w:rsidRPr="00817B9F">
        <w:t>ume</w:t>
      </w:r>
      <w:r w:rsidR="003A61EF" w:rsidRPr="00817B9F">
        <w:t xml:space="preserve"> are </w:t>
      </w:r>
      <w:r w:rsidR="0012253F" w:rsidRPr="00817B9F">
        <w:t xml:space="preserve">also </w:t>
      </w:r>
      <w:r w:rsidR="003A61EF" w:rsidRPr="00817B9F">
        <w:t xml:space="preserve">very </w:t>
      </w:r>
      <w:r w:rsidR="0012253F" w:rsidRPr="00817B9F">
        <w:t xml:space="preserve">small. In particular, </w:t>
      </w:r>
      <w:r w:rsidR="00385F9E" w:rsidRPr="00817B9F">
        <w:t xml:space="preserve">the hospital whose share in MGH’s service area declines by the largest amount is </w:t>
      </w:r>
      <w:r w:rsidR="00E506F5" w:rsidRPr="00817B9F">
        <w:t>Beth Israel Deaconess Medical Center,</w:t>
      </w:r>
      <w:r w:rsidR="00385F9E" w:rsidRPr="00817B9F">
        <w:t xml:space="preserve"> and its share declines by</w:t>
      </w:r>
      <w:r w:rsidR="00441DB5" w:rsidRPr="00817B9F">
        <w:t xml:space="preserve"> only 0.21 percentage points</w:t>
      </w:r>
      <w:r w:rsidR="00E506F5" w:rsidRPr="00817B9F">
        <w:t>.</w:t>
      </w:r>
    </w:p>
    <w:p w14:paraId="7FF1ACFF" w14:textId="65E88A0E" w:rsidR="004401C4" w:rsidRPr="00817B9F" w:rsidRDefault="002F5C34" w:rsidP="001F4F5C">
      <w:pPr>
        <w:pStyle w:val="NumberedParagraphs"/>
      </w:pPr>
      <w:r w:rsidRPr="00817B9F">
        <w:t>Using the predicted change in shares, t</w:t>
      </w:r>
      <w:r w:rsidR="002330B2" w:rsidRPr="00817B9F">
        <w:t xml:space="preserve">he bottom </w:t>
      </w:r>
      <w:r w:rsidR="00EC2825" w:rsidRPr="00817B9F">
        <w:t xml:space="preserve">panel </w:t>
      </w:r>
      <w:r w:rsidR="002330B2" w:rsidRPr="00817B9F">
        <w:t xml:space="preserve">of Figure </w:t>
      </w:r>
      <w:r w:rsidR="00625368" w:rsidRPr="00817B9F">
        <w:t>MGH</w:t>
      </w:r>
      <w:r w:rsidR="00BC3FA3" w:rsidRPr="00817B9F">
        <w:t>16</w:t>
      </w:r>
      <w:r w:rsidR="002330B2" w:rsidRPr="00817B9F">
        <w:t xml:space="preserve"> </w:t>
      </w:r>
      <w:r w:rsidR="00EC2825" w:rsidRPr="00817B9F">
        <w:t xml:space="preserve">shows that the HHI in MGH’s service area is projected to increase by </w:t>
      </w:r>
      <w:r w:rsidR="00F61EE0" w:rsidRPr="00817B9F">
        <w:t>5</w:t>
      </w:r>
      <w:r w:rsidR="001332F3" w:rsidRPr="00817B9F">
        <w:t>9</w:t>
      </w:r>
      <w:r w:rsidR="00EC2825" w:rsidRPr="00817B9F">
        <w:t xml:space="preserve"> points</w:t>
      </w:r>
      <w:r w:rsidR="002330B2" w:rsidRPr="00817B9F">
        <w:t xml:space="preserve"> from </w:t>
      </w:r>
      <w:r w:rsidR="00F61EE0" w:rsidRPr="00817B9F">
        <w:t>4</w:t>
      </w:r>
      <w:r w:rsidR="00C93E5E" w:rsidRPr="00817B9F">
        <w:t>,</w:t>
      </w:r>
      <w:r w:rsidR="00F61EE0" w:rsidRPr="00817B9F">
        <w:t>212</w:t>
      </w:r>
      <w:r w:rsidR="002330B2" w:rsidRPr="00817B9F">
        <w:t xml:space="preserve"> to </w:t>
      </w:r>
      <w:r w:rsidR="00A36A61" w:rsidRPr="00817B9F">
        <w:t>4</w:t>
      </w:r>
      <w:r w:rsidR="00C93E5E" w:rsidRPr="00817B9F">
        <w:t>,</w:t>
      </w:r>
      <w:r w:rsidR="00A36A61" w:rsidRPr="00817B9F">
        <w:t>2</w:t>
      </w:r>
      <w:r w:rsidR="001332F3" w:rsidRPr="00817B9F">
        <w:t>71</w:t>
      </w:r>
      <w:r w:rsidR="002330B2" w:rsidRPr="00817B9F">
        <w:t>.</w:t>
      </w:r>
      <w:r w:rsidR="00EC2825" w:rsidRPr="00817B9F">
        <w:t xml:space="preserve"> As we noted earlier, </w:t>
      </w:r>
      <w:r w:rsidR="0012253F" w:rsidRPr="00817B9F">
        <w:t xml:space="preserve">according to </w:t>
      </w:r>
      <w:r w:rsidR="00EC2825" w:rsidRPr="00817B9F">
        <w:t xml:space="preserve">the </w:t>
      </w:r>
      <w:r w:rsidR="00EC2825" w:rsidRPr="00817B9F">
        <w:rPr>
          <w:i/>
          <w:iCs/>
        </w:rPr>
        <w:t>Horizontal Merger Guidelines</w:t>
      </w:r>
      <w:r w:rsidR="00517EA3" w:rsidRPr="00817B9F">
        <w:t xml:space="preserve">, </w:t>
      </w:r>
      <w:r w:rsidR="0012253F" w:rsidRPr="00817B9F">
        <w:t>transactions resulting in a change in HHI of less than 100 points are unlikely to lead to adverse competitive effects</w:t>
      </w:r>
      <w:r w:rsidR="002330B2" w:rsidRPr="00817B9F">
        <w:t>.</w:t>
      </w:r>
      <w:r w:rsidR="002330B2" w:rsidRPr="00817B9F">
        <w:rPr>
          <w:rStyle w:val="FootnoteReference"/>
        </w:rPr>
        <w:footnoteReference w:id="195"/>
      </w:r>
      <w:r w:rsidR="00A266CE" w:rsidRPr="00817B9F">
        <w:t xml:space="preserve"> </w:t>
      </w:r>
      <w:r w:rsidR="0012253F" w:rsidRPr="00817B9F">
        <w:t xml:space="preserve">As such, we </w:t>
      </w:r>
      <w:r w:rsidR="00121026" w:rsidRPr="00817B9F">
        <w:t>believe that the proposed project is unlikely to affect MGB’s</w:t>
      </w:r>
      <w:r w:rsidR="008A3313" w:rsidRPr="00817B9F">
        <w:t xml:space="preserve"> negotiating leverage with third-party payors.</w:t>
      </w:r>
    </w:p>
    <w:p w14:paraId="2CE8A091" w14:textId="692A53CB" w:rsidR="00F226E6" w:rsidRPr="00817B9F" w:rsidRDefault="0041288B" w:rsidP="001F4F5C">
      <w:pPr>
        <w:pStyle w:val="Heading2"/>
        <w:rPr>
          <w:rFonts w:cs="Times New Roman"/>
        </w:rPr>
      </w:pPr>
      <w:bookmarkStart w:id="112" w:name="_Ref88581367"/>
      <w:bookmarkStart w:id="113" w:name="_Toc90046532"/>
      <w:r w:rsidRPr="00817B9F">
        <w:rPr>
          <w:rFonts w:cs="Times New Roman"/>
        </w:rPr>
        <w:t>Outpatient Services</w:t>
      </w:r>
      <w:bookmarkEnd w:id="112"/>
      <w:bookmarkEnd w:id="113"/>
    </w:p>
    <w:p w14:paraId="1F8E1E05" w14:textId="5ADD5BF6" w:rsidR="00F226E6" w:rsidRPr="00817B9F" w:rsidRDefault="00F226E6" w:rsidP="001F4F5C">
      <w:pPr>
        <w:pStyle w:val="NumberedParagraphs"/>
      </w:pPr>
      <w:r w:rsidRPr="00817B9F">
        <w:t xml:space="preserve">In this section we </w:t>
      </w:r>
      <w:r w:rsidR="0096725C" w:rsidRPr="00817B9F">
        <w:t>assess MGH’s current shares for outpatient diagnostic imaging services (separately for CT, MR, and PET/CT scans)</w:t>
      </w:r>
      <w:r w:rsidR="0038173E" w:rsidRPr="00817B9F">
        <w:t>, outpatient cardiovascular services, and outpatient oncology services</w:t>
      </w:r>
      <w:r w:rsidR="0096725C" w:rsidRPr="00817B9F">
        <w:t xml:space="preserve"> in the hospital’s service area and how those shares might change if MGB’s DoN were approved</w:t>
      </w:r>
      <w:r w:rsidR="0038173E" w:rsidRPr="00817B9F">
        <w:t>. For each of these outpatient service lines, we also assess how changes in MGB’s shares might affect its negotiating leverage with third</w:t>
      </w:r>
      <w:r w:rsidR="003C3463" w:rsidRPr="00817B9F">
        <w:t xml:space="preserve">-party payors. </w:t>
      </w:r>
    </w:p>
    <w:p w14:paraId="731D3671" w14:textId="2FF28039" w:rsidR="00D75056" w:rsidRPr="00817B9F" w:rsidRDefault="00FF7C7E" w:rsidP="001F4F5C">
      <w:pPr>
        <w:pStyle w:val="Heading3"/>
        <w:numPr>
          <w:ilvl w:val="0"/>
          <w:numId w:val="37"/>
        </w:numPr>
      </w:pPr>
      <w:bookmarkStart w:id="114" w:name="_Ref88595594"/>
      <w:bookmarkStart w:id="115" w:name="_Ref88595879"/>
      <w:bookmarkStart w:id="116" w:name="_Toc90046533"/>
      <w:r w:rsidRPr="00817B9F">
        <w:t>Diagnostic Imaging Services</w:t>
      </w:r>
      <w:bookmarkEnd w:id="114"/>
      <w:bookmarkEnd w:id="115"/>
      <w:bookmarkEnd w:id="116"/>
    </w:p>
    <w:p w14:paraId="76B31B88" w14:textId="4F2C33BC" w:rsidR="005301E0" w:rsidRPr="00817B9F" w:rsidRDefault="00717EE9" w:rsidP="00BB5408">
      <w:pPr>
        <w:pStyle w:val="NumberedParagraphs"/>
      </w:pPr>
      <w:r w:rsidRPr="00817B9F">
        <w:t xml:space="preserve">For outpatient </w:t>
      </w:r>
      <w:r w:rsidR="00457E4D" w:rsidRPr="00817B9F">
        <w:t xml:space="preserve">diagnostic imaging </w:t>
      </w:r>
      <w:r w:rsidRPr="00817B9F">
        <w:t>services</w:t>
      </w:r>
      <w:r w:rsidR="005301E0" w:rsidRPr="00817B9F">
        <w:t>,</w:t>
      </w:r>
      <w:r w:rsidRPr="00817B9F">
        <w:t xml:space="preserve"> we use the same general approach that we </w:t>
      </w:r>
      <w:r w:rsidR="005301E0" w:rsidRPr="00817B9F">
        <w:t>used</w:t>
      </w:r>
      <w:r w:rsidRPr="00817B9F">
        <w:t xml:space="preserve"> in analyzing </w:t>
      </w:r>
      <w:r w:rsidR="005301E0" w:rsidRPr="00817B9F">
        <w:t>MGH’s share for inpatient services and the effect of the proposed project on th</w:t>
      </w:r>
      <w:r w:rsidR="00017C70" w:rsidRPr="00817B9F">
        <w:t>ose</w:t>
      </w:r>
      <w:r w:rsidR="005301E0" w:rsidRPr="00817B9F">
        <w:t xml:space="preserve"> shares. </w:t>
      </w:r>
      <w:r w:rsidR="00457E4D" w:rsidRPr="00817B9F">
        <w:t xml:space="preserve">Specifically, we </w:t>
      </w:r>
      <w:r w:rsidR="00B50C60" w:rsidRPr="00817B9F">
        <w:t>use the 2018 APCD and Medicare Claims data to</w:t>
      </w:r>
      <w:r w:rsidR="00457E4D" w:rsidRPr="00817B9F">
        <w:t xml:space="preserve"> calculate the shares of MGB and its competitors in MGH’s service area </w:t>
      </w:r>
      <w:r w:rsidR="008B45D4" w:rsidRPr="00817B9F">
        <w:t xml:space="preserve">for outpatient diagnostic imaging services </w:t>
      </w:r>
      <w:r w:rsidR="00457E4D" w:rsidRPr="00817B9F">
        <w:t xml:space="preserve">in two steps. First, we calculate health care providers’ share of outpatient diagnostic imaging procedures (separately for CT, MR, and PET/CT scans) and the resulting HHIs in each ZIP Code in Massachusetts. Second, we calculate the weighted averages of these shares and HHIs across ZIP </w:t>
      </w:r>
      <w:r w:rsidR="00457E4D" w:rsidRPr="00817B9F">
        <w:lastRenderedPageBreak/>
        <w:t xml:space="preserve">Codes, where each ZIP Code is weighted by the number of outpatient diagnostic imaging procedures (separately </w:t>
      </w:r>
      <w:r w:rsidR="008B45D4" w:rsidRPr="00817B9F">
        <w:t>for CT, MR, and PET/CT</w:t>
      </w:r>
      <w:r w:rsidR="00CF3FB2" w:rsidRPr="00817B9F">
        <w:t xml:space="preserve"> scans</w:t>
      </w:r>
      <w:r w:rsidR="00457E4D" w:rsidRPr="00817B9F">
        <w:t xml:space="preserve">) </w:t>
      </w:r>
      <w:r w:rsidR="008B45D4" w:rsidRPr="00817B9F">
        <w:t xml:space="preserve">that MGH provided </w:t>
      </w:r>
      <w:r w:rsidR="00457E4D" w:rsidRPr="00817B9F">
        <w:t xml:space="preserve">in that ZIP Code. </w:t>
      </w:r>
    </w:p>
    <w:p w14:paraId="2E459E31" w14:textId="64F0DBE7" w:rsidR="00F63123" w:rsidRPr="00817B9F" w:rsidRDefault="00CF3FB2" w:rsidP="001F4F5C">
      <w:pPr>
        <w:pStyle w:val="NumberedParagraphs"/>
      </w:pPr>
      <w:r w:rsidRPr="00817B9F">
        <w:t xml:space="preserve">In addition to assessing MGB’s current market shares, the DoN asked that we consider how those shares might change if MGB’s DoN were approved, and how changes in MGB’s shares might affect its negotiating leverage with third-party payors. To address this question, we use our model of demand for outpatient </w:t>
      </w:r>
      <w:r w:rsidR="006D7164" w:rsidRPr="00817B9F">
        <w:t>diagnostic imaging services</w:t>
      </w:r>
      <w:r w:rsidRPr="00817B9F">
        <w:t xml:space="preserve"> and the method for simulating the effect of the proposed </w:t>
      </w:r>
      <w:r w:rsidR="006D7164" w:rsidRPr="00817B9F">
        <w:t xml:space="preserve">project </w:t>
      </w:r>
      <w:r w:rsidRPr="00817B9F">
        <w:t xml:space="preserve">on patients’ demand for </w:t>
      </w:r>
      <w:r w:rsidR="006D7164" w:rsidRPr="00817B9F">
        <w:t>those services</w:t>
      </w:r>
      <w:r w:rsidRPr="00817B9F">
        <w:t xml:space="preserve"> that we described in Section</w:t>
      </w:r>
      <w:r w:rsidR="00385FCD" w:rsidRPr="00817B9F">
        <w:t xml:space="preserve"> </w:t>
      </w:r>
      <w:r w:rsidR="00385FCD" w:rsidRPr="00817B9F">
        <w:fldChar w:fldCharType="begin"/>
      </w:r>
      <w:r w:rsidR="00385FCD" w:rsidRPr="00817B9F">
        <w:instrText xml:space="preserve"> REF _Ref88993374 \w \h </w:instrText>
      </w:r>
      <w:r w:rsidR="00FD09F0" w:rsidRPr="00817B9F">
        <w:instrText xml:space="preserve"> \* MERGEFORMAT </w:instrText>
      </w:r>
      <w:r w:rsidR="00385FCD" w:rsidRPr="00817B9F">
        <w:fldChar w:fldCharType="separate"/>
      </w:r>
      <w:r w:rsidR="002B78C3">
        <w:t>VI</w:t>
      </w:r>
      <w:r w:rsidR="00385FCD" w:rsidRPr="00817B9F">
        <w:fldChar w:fldCharType="end"/>
      </w:r>
      <w:r w:rsidR="00385FCD" w:rsidRPr="00817B9F">
        <w:t>.</w:t>
      </w:r>
      <w:r w:rsidR="00385FCD" w:rsidRPr="00817B9F">
        <w:fldChar w:fldCharType="begin"/>
      </w:r>
      <w:r w:rsidR="00385FCD" w:rsidRPr="00817B9F">
        <w:instrText xml:space="preserve"> REF _Ref88993376 \w \h </w:instrText>
      </w:r>
      <w:r w:rsidR="00FD09F0" w:rsidRPr="00817B9F">
        <w:instrText xml:space="preserve"> \* MERGEFORMAT </w:instrText>
      </w:r>
      <w:r w:rsidR="00385FCD" w:rsidRPr="00817B9F">
        <w:fldChar w:fldCharType="separate"/>
      </w:r>
      <w:r w:rsidR="002B78C3">
        <w:t>B</w:t>
      </w:r>
      <w:r w:rsidR="00385FCD" w:rsidRPr="00817B9F">
        <w:fldChar w:fldCharType="end"/>
      </w:r>
      <w:r w:rsidR="00B01B76" w:rsidRPr="00817B9F">
        <w:t>.</w:t>
      </w:r>
      <w:r w:rsidR="00385FCD" w:rsidRPr="00817B9F">
        <w:fldChar w:fldCharType="begin"/>
      </w:r>
      <w:r w:rsidR="00385FCD" w:rsidRPr="00817B9F">
        <w:instrText xml:space="preserve"> REF _Ref88993380 \w \h </w:instrText>
      </w:r>
      <w:r w:rsidR="00FD09F0" w:rsidRPr="00817B9F">
        <w:instrText xml:space="preserve"> \* MERGEFORMAT </w:instrText>
      </w:r>
      <w:r w:rsidR="00385FCD" w:rsidRPr="00817B9F">
        <w:fldChar w:fldCharType="separate"/>
      </w:r>
      <w:r w:rsidR="002B78C3">
        <w:t>1</w:t>
      </w:r>
      <w:r w:rsidR="00385FCD" w:rsidRPr="00817B9F">
        <w:fldChar w:fldCharType="end"/>
      </w:r>
      <w:r w:rsidRPr="00817B9F">
        <w:t xml:space="preserve">. Using this approach, we assess the impact of the project on MGB’s shares and market concentration by comparing current shares and concentration to the predicted shares and concentration resulting from our simulation. </w:t>
      </w:r>
      <w:r w:rsidR="006D7164" w:rsidRPr="00817B9F">
        <w:t xml:space="preserve">We do this separately for </w:t>
      </w:r>
      <w:r w:rsidR="00C1274B" w:rsidRPr="00817B9F">
        <w:t xml:space="preserve">outpatient </w:t>
      </w:r>
      <w:r w:rsidR="006D7164" w:rsidRPr="00817B9F">
        <w:t xml:space="preserve">CT, MR, and PET/CT scans </w:t>
      </w:r>
      <w:r w:rsidR="00017C70" w:rsidRPr="00817B9F">
        <w:t>in</w:t>
      </w:r>
      <w:r w:rsidR="006D7164" w:rsidRPr="00817B9F">
        <w:t xml:space="preserve"> MGH</w:t>
      </w:r>
      <w:r w:rsidR="00017C70" w:rsidRPr="00817B9F">
        <w:t>’s service area</w:t>
      </w:r>
      <w:r w:rsidR="006D7164" w:rsidRPr="00817B9F">
        <w:t xml:space="preserve">. </w:t>
      </w:r>
      <w:r w:rsidRPr="00817B9F">
        <w:t>Using the economics literature that we summarized in Section</w:t>
      </w:r>
      <w:r w:rsidR="004227D6" w:rsidRPr="00817B9F">
        <w:t xml:space="preserve"> </w:t>
      </w:r>
      <w:r w:rsidR="004227D6" w:rsidRPr="00817B9F">
        <w:fldChar w:fldCharType="begin"/>
      </w:r>
      <w:r w:rsidR="004227D6" w:rsidRPr="00817B9F">
        <w:instrText xml:space="preserve"> REF _Ref88994298 \w \h </w:instrText>
      </w:r>
      <w:r w:rsidR="00FD09F0" w:rsidRPr="00817B9F">
        <w:instrText xml:space="preserve"> \* MERGEFORMAT </w:instrText>
      </w:r>
      <w:r w:rsidR="004227D6" w:rsidRPr="00817B9F">
        <w:fldChar w:fldCharType="separate"/>
      </w:r>
      <w:r w:rsidR="002B78C3">
        <w:t>VII</w:t>
      </w:r>
      <w:r w:rsidR="004227D6" w:rsidRPr="00817B9F">
        <w:fldChar w:fldCharType="end"/>
      </w:r>
      <w:r w:rsidR="004227D6" w:rsidRPr="00817B9F">
        <w:t>.</w:t>
      </w:r>
      <w:r w:rsidR="004227D6" w:rsidRPr="00817B9F">
        <w:fldChar w:fldCharType="begin"/>
      </w:r>
      <w:r w:rsidR="004227D6" w:rsidRPr="00817B9F">
        <w:instrText xml:space="preserve"> REF _Ref88483325 \w \h </w:instrText>
      </w:r>
      <w:r w:rsidR="00FD09F0" w:rsidRPr="00817B9F">
        <w:instrText xml:space="preserve"> \* MERGEFORMAT </w:instrText>
      </w:r>
      <w:r w:rsidR="004227D6" w:rsidRPr="00817B9F">
        <w:fldChar w:fldCharType="separate"/>
      </w:r>
      <w:r w:rsidR="002B78C3">
        <w:t>A</w:t>
      </w:r>
      <w:r w:rsidR="004227D6" w:rsidRPr="00817B9F">
        <w:fldChar w:fldCharType="end"/>
      </w:r>
      <w:r w:rsidRPr="00817B9F">
        <w:t xml:space="preserve">, we then relate the predicted change in concentration to determine how MGB’s negotiating leverage </w:t>
      </w:r>
      <w:r w:rsidR="007214EA" w:rsidRPr="00817B9F">
        <w:t xml:space="preserve">for outpatient diagnostic imaging services </w:t>
      </w:r>
      <w:r w:rsidRPr="00817B9F">
        <w:t xml:space="preserve">might change as a result of the proposed project. </w:t>
      </w:r>
    </w:p>
    <w:p w14:paraId="0078E675" w14:textId="59674F26" w:rsidR="008076AC" w:rsidRPr="00817B9F" w:rsidRDefault="007C7112" w:rsidP="00517EB3">
      <w:pPr>
        <w:pStyle w:val="NumberedParagraphs"/>
      </w:pPr>
      <w:bookmarkStart w:id="117" w:name="_Hlk88501143"/>
      <w:r w:rsidRPr="00817B9F">
        <w:t>Using this approach, Figure MGH</w:t>
      </w:r>
      <w:r w:rsidR="00BC3FA3" w:rsidRPr="00817B9F">
        <w:t>17</w:t>
      </w:r>
      <w:r w:rsidRPr="00817B9F">
        <w:t xml:space="preserve"> reports shares for outpatient CT scans in MGH’s service area. </w:t>
      </w:r>
      <w:r w:rsidR="00C81881" w:rsidRPr="00817B9F">
        <w:t xml:space="preserve">If the proposed project were approved, we predict that MGH’s share of outpatient CT scans in its service area would increase by 2.2 percentage points from 15.7 percent to 17.9 percent. MGB’s overall share increases by less than this amount because some of the additional MGH </w:t>
      </w:r>
      <w:r w:rsidR="00190AAC" w:rsidRPr="00817B9F">
        <w:t>volume comes from</w:t>
      </w:r>
      <w:r w:rsidR="00C81881" w:rsidRPr="00817B9F">
        <w:t xml:space="preserve"> patients who otherwise would have received services at other MGB facilities (</w:t>
      </w:r>
      <w:r w:rsidR="00190AAC" w:rsidRPr="00817B9F">
        <w:rPr>
          <w:i/>
          <w:iCs/>
        </w:rPr>
        <w:t>i.e.</w:t>
      </w:r>
      <w:r w:rsidR="00BC4490" w:rsidRPr="00817B9F">
        <w:t xml:space="preserve">, </w:t>
      </w:r>
      <w:r w:rsidR="00C81881" w:rsidRPr="00817B9F">
        <w:t>the share of other MGB facilities in MGH’s service area decrease</w:t>
      </w:r>
      <w:r w:rsidR="00BC4490" w:rsidRPr="00817B9F">
        <w:t>s</w:t>
      </w:r>
      <w:r w:rsidR="00C81881" w:rsidRPr="00817B9F">
        <w:t xml:space="preserve"> by 0.6 percentage points from 19.5 percent to 18.9 percent</w:t>
      </w:r>
      <w:r w:rsidR="00BC4490" w:rsidRPr="00817B9F">
        <w:t>).</w:t>
      </w:r>
      <w:r w:rsidR="00C81881" w:rsidRPr="00817B9F">
        <w:t xml:space="preserve"> Given the small increase in MGH’s share in its own service area, the predicted effects of the proposed project on other </w:t>
      </w:r>
      <w:r w:rsidR="00BC4490" w:rsidRPr="00817B9F">
        <w:t>providers</w:t>
      </w:r>
      <w:r w:rsidR="00190AAC" w:rsidRPr="00817B9F">
        <w:t>’</w:t>
      </w:r>
      <w:r w:rsidR="00BC4490" w:rsidRPr="00817B9F">
        <w:t xml:space="preserve"> outpatient CT scan </w:t>
      </w:r>
      <w:r w:rsidR="00C81881" w:rsidRPr="00817B9F">
        <w:t>volume</w:t>
      </w:r>
      <w:r w:rsidR="0017729C" w:rsidRPr="00817B9F">
        <w:t>s</w:t>
      </w:r>
      <w:r w:rsidR="00C81881" w:rsidRPr="00817B9F">
        <w:t xml:space="preserve"> are </w:t>
      </w:r>
      <w:r w:rsidR="00BC4490" w:rsidRPr="00817B9F">
        <w:t>modest</w:t>
      </w:r>
      <w:r w:rsidR="00C81881" w:rsidRPr="00817B9F">
        <w:t xml:space="preserve">. </w:t>
      </w:r>
      <w:r w:rsidR="00BC4490" w:rsidRPr="00817B9F">
        <w:t>The providers</w:t>
      </w:r>
      <w:r w:rsidR="00C81881" w:rsidRPr="00817B9F">
        <w:t xml:space="preserve"> whose share</w:t>
      </w:r>
      <w:r w:rsidR="00BC4490" w:rsidRPr="00817B9F">
        <w:t>s</w:t>
      </w:r>
      <w:r w:rsidR="00C81881" w:rsidRPr="00817B9F">
        <w:t xml:space="preserve"> in MGH’s service area decline by the largest amount</w:t>
      </w:r>
      <w:r w:rsidR="00BC4490" w:rsidRPr="00817B9F">
        <w:t>s</w:t>
      </w:r>
      <w:r w:rsidR="00C81881" w:rsidRPr="00817B9F">
        <w:t xml:space="preserve"> </w:t>
      </w:r>
      <w:r w:rsidR="00BC4490" w:rsidRPr="00817B9F">
        <w:t xml:space="preserve">are </w:t>
      </w:r>
      <w:r w:rsidR="00C81881" w:rsidRPr="00817B9F">
        <w:t xml:space="preserve">Beth Israel </w:t>
      </w:r>
      <w:r w:rsidR="00086CE7" w:rsidRPr="00817B9F">
        <w:t xml:space="preserve">Lahey </w:t>
      </w:r>
      <w:r w:rsidR="00BC4490" w:rsidRPr="00817B9F">
        <w:t>Health (a decline of 0.5 percentage point</w:t>
      </w:r>
      <w:r w:rsidR="00190AAC" w:rsidRPr="00817B9F">
        <w:t>s</w:t>
      </w:r>
      <w:r w:rsidR="00BC4490" w:rsidRPr="00817B9F">
        <w:t>) and Wellforce (a decline of 0.3 percentage points).</w:t>
      </w:r>
      <w:bookmarkEnd w:id="117"/>
    </w:p>
    <w:p w14:paraId="0B8F4CFD" w14:textId="2CAC2815" w:rsidR="005137AC" w:rsidRPr="00817B9F" w:rsidRDefault="008076AC" w:rsidP="00517EB3">
      <w:pPr>
        <w:pStyle w:val="NumberedParagraphs"/>
      </w:pPr>
      <w:r w:rsidRPr="00817B9F">
        <w:t>Figure MGH1</w:t>
      </w:r>
      <w:r w:rsidR="00594207" w:rsidRPr="00817B9F">
        <w:t>8</w:t>
      </w:r>
      <w:r w:rsidRPr="00817B9F">
        <w:t xml:space="preserve"> reports shares for outpatient MR scans in MGH’s service area. If the proposed project were approved, we predict that MGH’s share of outpatient </w:t>
      </w:r>
      <w:r w:rsidR="00086CE7" w:rsidRPr="00817B9F">
        <w:t>MR</w:t>
      </w:r>
      <w:r w:rsidRPr="00817B9F">
        <w:t xml:space="preserve"> scans in its service area would increase by </w:t>
      </w:r>
      <w:r w:rsidR="00086CE7" w:rsidRPr="00817B9F">
        <w:t>2.8</w:t>
      </w:r>
      <w:r w:rsidRPr="00817B9F">
        <w:t xml:space="preserve"> percentage points from </w:t>
      </w:r>
      <w:r w:rsidR="00086CE7" w:rsidRPr="00817B9F">
        <w:t>14.0</w:t>
      </w:r>
      <w:r w:rsidRPr="00817B9F">
        <w:t xml:space="preserve"> percent to </w:t>
      </w:r>
      <w:r w:rsidR="00086CE7" w:rsidRPr="00817B9F">
        <w:t>16.8</w:t>
      </w:r>
      <w:r w:rsidRPr="00817B9F">
        <w:t xml:space="preserve"> percent. MGB’s overall share increases by less than this amount because some of the additional MGH volume comes from patients who otherwise would have received services at other MGB facilities (</w:t>
      </w:r>
      <w:r w:rsidRPr="00817B9F">
        <w:rPr>
          <w:i/>
          <w:iCs/>
        </w:rPr>
        <w:t>i.e.</w:t>
      </w:r>
      <w:r w:rsidRPr="00817B9F">
        <w:t xml:space="preserve">, the share of </w:t>
      </w:r>
      <w:r w:rsidRPr="00817B9F">
        <w:lastRenderedPageBreak/>
        <w:t>other MGB facilities in MGH’s service area decreases by 0.</w:t>
      </w:r>
      <w:r w:rsidR="00086CE7" w:rsidRPr="00817B9F">
        <w:t>7</w:t>
      </w:r>
      <w:r w:rsidRPr="00817B9F">
        <w:t xml:space="preserve"> percentage points from 19.</w:t>
      </w:r>
      <w:r w:rsidR="00086CE7" w:rsidRPr="00817B9F">
        <w:t>2</w:t>
      </w:r>
      <w:r w:rsidRPr="00817B9F">
        <w:t xml:space="preserve"> percent to 18.</w:t>
      </w:r>
      <w:r w:rsidR="00086CE7" w:rsidRPr="00817B9F">
        <w:t>5</w:t>
      </w:r>
      <w:r w:rsidRPr="00817B9F">
        <w:t xml:space="preserve"> percent). Given the small increase in MGH’s share in its own service area, the predicted effects of the proposed project on other providers’ outpatient </w:t>
      </w:r>
      <w:r w:rsidR="000A46A0" w:rsidRPr="00817B9F">
        <w:t>MR</w:t>
      </w:r>
      <w:r w:rsidRPr="00817B9F">
        <w:t xml:space="preserve"> scan volume</w:t>
      </w:r>
      <w:r w:rsidR="0017729C" w:rsidRPr="00817B9F">
        <w:t>s</w:t>
      </w:r>
      <w:r w:rsidRPr="00817B9F">
        <w:t xml:space="preserve"> are modest. The provider whose shares in MGH’s service area decline</w:t>
      </w:r>
      <w:r w:rsidR="000A46A0" w:rsidRPr="00817B9F">
        <w:t>s</w:t>
      </w:r>
      <w:r w:rsidRPr="00817B9F">
        <w:t xml:space="preserve"> by the largest amount</w:t>
      </w:r>
      <w:r w:rsidR="000A46A0" w:rsidRPr="00817B9F">
        <w:t xml:space="preserve"> is </w:t>
      </w:r>
      <w:r w:rsidRPr="00817B9F">
        <w:t xml:space="preserve">Beth Israel </w:t>
      </w:r>
      <w:r w:rsidR="00086CE7" w:rsidRPr="00817B9F">
        <w:t xml:space="preserve">Lahey </w:t>
      </w:r>
      <w:r w:rsidRPr="00817B9F">
        <w:t>Health (a decline of 0.</w:t>
      </w:r>
      <w:r w:rsidR="000A46A0" w:rsidRPr="00817B9F">
        <w:t>6</w:t>
      </w:r>
      <w:r w:rsidRPr="00817B9F">
        <w:t xml:space="preserve"> percentage points</w:t>
      </w:r>
      <w:r w:rsidR="005137AC" w:rsidRPr="00817B9F">
        <w:t>).</w:t>
      </w:r>
    </w:p>
    <w:p w14:paraId="2C359F18" w14:textId="2D2A8104" w:rsidR="002E5C68" w:rsidRPr="00817B9F" w:rsidRDefault="008C7D3F" w:rsidP="00517EB3">
      <w:pPr>
        <w:pStyle w:val="NumberedParagraphs"/>
      </w:pPr>
      <w:r w:rsidRPr="00817B9F">
        <w:t xml:space="preserve">Figure </w:t>
      </w:r>
      <w:r w:rsidR="00DD14B6" w:rsidRPr="00817B9F">
        <w:t>MGH1</w:t>
      </w:r>
      <w:r w:rsidR="00594207" w:rsidRPr="00817B9F">
        <w:t>9</w:t>
      </w:r>
      <w:r w:rsidRPr="00817B9F">
        <w:t xml:space="preserve"> </w:t>
      </w:r>
      <w:r w:rsidR="002E5C68" w:rsidRPr="00817B9F">
        <w:t>reports shares for outpatient PET/CT scans in MGH’s service area. If the proposed project were approved, we predict that MGH’s share of outpatient PET/CT scans in its service area would increase by 8.</w:t>
      </w:r>
      <w:r w:rsidR="00C975ED" w:rsidRPr="00817B9F">
        <w:t>1</w:t>
      </w:r>
      <w:r w:rsidR="002E5C68" w:rsidRPr="00817B9F">
        <w:t xml:space="preserve"> percentage points from 16.4 percent to 24.6 percent. Our predicted increase in MGH’s share for outpatient PET/CT scans is larger than our predicted increases in MGH’s shar</w:t>
      </w:r>
      <w:r w:rsidR="004F76B8" w:rsidRPr="00817B9F">
        <w:t xml:space="preserve">es for outpatient CT and MR scans because the proposed </w:t>
      </w:r>
      <w:r w:rsidR="004F76B8" w:rsidRPr="00817B9F">
        <w:rPr>
          <w:i/>
          <w:iCs/>
        </w:rPr>
        <w:t>relative</w:t>
      </w:r>
      <w:r w:rsidR="004F76B8" w:rsidRPr="00817B9F">
        <w:t xml:space="preserve"> increase in MGH’s capacity</w:t>
      </w:r>
      <w:r w:rsidR="00CD7CC1" w:rsidRPr="00817B9F">
        <w:t xml:space="preserve"> for PET/CT scans</w:t>
      </w:r>
      <w:r w:rsidR="004F76B8" w:rsidRPr="00817B9F">
        <w:t xml:space="preserve"> is higher</w:t>
      </w:r>
      <w:r w:rsidR="00CD7CC1" w:rsidRPr="00817B9F">
        <w:t>:</w:t>
      </w:r>
      <w:r w:rsidR="004717BC" w:rsidRPr="00817B9F">
        <w:t xml:space="preserve"> </w:t>
      </w:r>
      <w:r w:rsidR="004F76B8" w:rsidRPr="00817B9F">
        <w:t xml:space="preserve">from </w:t>
      </w:r>
      <w:r w:rsidR="004717BC" w:rsidRPr="00817B9F">
        <w:t xml:space="preserve">three to five, whereas the number of CT units would increase from 14 to 16 and the number of MRI units would increase from </w:t>
      </w:r>
      <w:r w:rsidR="00946A0A" w:rsidRPr="00817B9F">
        <w:t>ten</w:t>
      </w:r>
      <w:r w:rsidR="004717BC" w:rsidRPr="00817B9F">
        <w:t xml:space="preserve"> to </w:t>
      </w:r>
      <w:r w:rsidR="00F9633A" w:rsidRPr="00817B9F">
        <w:t>12</w:t>
      </w:r>
      <w:r w:rsidR="3DFABED3" w:rsidRPr="00817B9F">
        <w:t>.</w:t>
      </w:r>
      <w:r w:rsidR="00FE3EF6" w:rsidRPr="00817B9F">
        <w:rPr>
          <w:rStyle w:val="FootnoteReference"/>
        </w:rPr>
        <w:footnoteReference w:id="196"/>
      </w:r>
      <w:r w:rsidR="00AB3F20" w:rsidRPr="00817B9F">
        <w:t xml:space="preserve"> </w:t>
      </w:r>
      <w:r w:rsidR="002E5C68" w:rsidRPr="00817B9F">
        <w:t>MGB’s overall share increases by</w:t>
      </w:r>
      <w:r w:rsidR="004717BC" w:rsidRPr="00817B9F">
        <w:t xml:space="preserve"> somewhat</w:t>
      </w:r>
      <w:r w:rsidR="002E5C68" w:rsidRPr="00817B9F">
        <w:t xml:space="preserve"> less than this amount because some of the additional MGH volume comes from patients who otherwise would have received services at other MGB facilities (</w:t>
      </w:r>
      <w:r w:rsidR="002E5C68" w:rsidRPr="00817B9F">
        <w:rPr>
          <w:i/>
          <w:iCs/>
        </w:rPr>
        <w:t>i.e.</w:t>
      </w:r>
      <w:r w:rsidR="002E5C68" w:rsidRPr="00817B9F">
        <w:t xml:space="preserve">, the share of other MGB facilities in MGH’s service area decreases by </w:t>
      </w:r>
      <w:r w:rsidR="00464621" w:rsidRPr="00817B9F">
        <w:t>2.</w:t>
      </w:r>
      <w:r w:rsidR="001F4E4A" w:rsidRPr="00817B9F">
        <w:t>0</w:t>
      </w:r>
      <w:r w:rsidR="002E5C68" w:rsidRPr="00817B9F">
        <w:t xml:space="preserve"> percentage points from </w:t>
      </w:r>
      <w:r w:rsidR="00464621" w:rsidRPr="00817B9F">
        <w:t>16.3</w:t>
      </w:r>
      <w:r w:rsidR="002E5C68" w:rsidRPr="00817B9F">
        <w:t xml:space="preserve"> percent to </w:t>
      </w:r>
      <w:r w:rsidR="001F4E4A" w:rsidRPr="00817B9F">
        <w:t>14.3</w:t>
      </w:r>
      <w:r w:rsidR="002E5C68" w:rsidRPr="00817B9F">
        <w:t xml:space="preserve"> percent). The provider</w:t>
      </w:r>
      <w:r w:rsidR="00EA3632" w:rsidRPr="00817B9F">
        <w:t>s</w:t>
      </w:r>
      <w:r w:rsidR="002E5C68" w:rsidRPr="00817B9F">
        <w:t xml:space="preserve"> whose shares in MGH’s service area decline by the largest amounts </w:t>
      </w:r>
      <w:r w:rsidR="00EA3632" w:rsidRPr="00817B9F">
        <w:t>are</w:t>
      </w:r>
      <w:r w:rsidR="002E5C68" w:rsidRPr="00817B9F">
        <w:t xml:space="preserve"> Beth Israel Lahey Health (a decline of </w:t>
      </w:r>
      <w:r w:rsidR="00464621" w:rsidRPr="00817B9F">
        <w:t>2.7</w:t>
      </w:r>
      <w:r w:rsidR="002E5C68" w:rsidRPr="00817B9F">
        <w:t xml:space="preserve"> percentage points</w:t>
      </w:r>
      <w:r w:rsidR="00464621" w:rsidRPr="00817B9F">
        <w:t>),</w:t>
      </w:r>
      <w:r w:rsidR="00EA3632" w:rsidRPr="00817B9F">
        <w:t xml:space="preserve"> Dana</w:t>
      </w:r>
      <w:r w:rsidR="009A4D53" w:rsidRPr="00817B9F">
        <w:t>-</w:t>
      </w:r>
      <w:r w:rsidR="00EA3632" w:rsidRPr="00817B9F">
        <w:t>Farber Cancer Institute (a decline of 1.</w:t>
      </w:r>
      <w:r w:rsidR="001F4E4A" w:rsidRPr="00817B9F">
        <w:t>2</w:t>
      </w:r>
      <w:r w:rsidR="00EA3632" w:rsidRPr="00817B9F">
        <w:t xml:space="preserve"> </w:t>
      </w:r>
      <w:r w:rsidR="00B20BE8" w:rsidRPr="00817B9F">
        <w:t>percentage points</w:t>
      </w:r>
      <w:r w:rsidR="00EA3632" w:rsidRPr="00817B9F">
        <w:t xml:space="preserve">), and </w:t>
      </w:r>
      <w:r w:rsidR="00464621" w:rsidRPr="00817B9F">
        <w:t>Shield</w:t>
      </w:r>
      <w:r w:rsidR="00E53566" w:rsidRPr="00817B9F">
        <w:t>s</w:t>
      </w:r>
      <w:r w:rsidR="00464621" w:rsidRPr="00817B9F">
        <w:t xml:space="preserve"> Heath Care Group (a decline of 0</w:t>
      </w:r>
      <w:r w:rsidR="00914ED9" w:rsidRPr="00817B9F">
        <w:t>.9</w:t>
      </w:r>
      <w:r w:rsidR="00464621" w:rsidRPr="00817B9F">
        <w:t xml:space="preserve"> percentage points).</w:t>
      </w:r>
    </w:p>
    <w:p w14:paraId="2A6580D1" w14:textId="31627E30" w:rsidR="00E931F6" w:rsidRPr="00817B9F" w:rsidRDefault="00556925" w:rsidP="001F4F5C">
      <w:pPr>
        <w:pStyle w:val="NumberedParagraphs"/>
      </w:pPr>
      <w:r w:rsidRPr="00817B9F">
        <w:t>Using the predicted change in shares, the bottom panel</w:t>
      </w:r>
      <w:r w:rsidR="00DC76DC" w:rsidRPr="00817B9F">
        <w:t>s</w:t>
      </w:r>
      <w:r w:rsidRPr="00817B9F">
        <w:t xml:space="preserve"> of</w:t>
      </w:r>
      <w:r w:rsidR="00DB60B4" w:rsidRPr="00817B9F">
        <w:t xml:space="preserve"> </w:t>
      </w:r>
      <w:r w:rsidRPr="00817B9F">
        <w:t xml:space="preserve">Figures </w:t>
      </w:r>
      <w:r w:rsidR="00142B01" w:rsidRPr="00817B9F">
        <w:t>MGH17</w:t>
      </w:r>
      <w:r w:rsidR="002E664C" w:rsidRPr="00817B9F">
        <w:t>-MGH19</w:t>
      </w:r>
      <w:r w:rsidR="00142B01" w:rsidRPr="00817B9F">
        <w:t xml:space="preserve"> show the associated changes in concentration </w:t>
      </w:r>
      <w:r w:rsidR="00DC76DC" w:rsidRPr="00817B9F">
        <w:t xml:space="preserve">for outpatient CT, MR, and PET/CT scans </w:t>
      </w:r>
      <w:r w:rsidR="00142B01" w:rsidRPr="00817B9F">
        <w:t xml:space="preserve">in MGH’s service areas. </w:t>
      </w:r>
      <w:r w:rsidR="0053482C" w:rsidRPr="00817B9F">
        <w:t xml:space="preserve">Across </w:t>
      </w:r>
      <w:r w:rsidR="00142B01" w:rsidRPr="00817B9F">
        <w:t>the</w:t>
      </w:r>
      <w:r w:rsidR="0053482C" w:rsidRPr="00817B9F">
        <w:t xml:space="preserve"> three imaging modalities, concentration in </w:t>
      </w:r>
      <w:r w:rsidR="000A46A0" w:rsidRPr="00817B9F">
        <w:t xml:space="preserve">MGH’s service area is projected to increase by 100 points </w:t>
      </w:r>
      <w:r w:rsidR="0053482C" w:rsidRPr="00817B9F">
        <w:t>(</w:t>
      </w:r>
      <w:r w:rsidR="006F0332" w:rsidRPr="00817B9F">
        <w:t>outpatient CT</w:t>
      </w:r>
      <w:r w:rsidR="0053482C" w:rsidRPr="00817B9F">
        <w:t xml:space="preserve">), </w:t>
      </w:r>
      <w:r w:rsidR="006F0332" w:rsidRPr="00817B9F">
        <w:t>131 points (outpatient MRI), or 2</w:t>
      </w:r>
      <w:r w:rsidR="00914ED9" w:rsidRPr="00817B9F">
        <w:t>60</w:t>
      </w:r>
      <w:r w:rsidR="006F0332" w:rsidRPr="00817B9F">
        <w:t xml:space="preserve"> points (outpatient PET/CT).</w:t>
      </w:r>
      <w:r w:rsidR="00DB60B4" w:rsidRPr="00817B9F">
        <w:t xml:space="preserve"> </w:t>
      </w:r>
      <w:r w:rsidR="006F0332" w:rsidRPr="00817B9F">
        <w:t xml:space="preserve">While these changes are somewhat higher than the safe-harbor threshold in </w:t>
      </w:r>
      <w:r w:rsidR="006F0332" w:rsidRPr="00817B9F">
        <w:rPr>
          <w:i/>
          <w:iCs/>
        </w:rPr>
        <w:t>Horizontal Merger Guidelines</w:t>
      </w:r>
      <w:r w:rsidR="006F0332" w:rsidRPr="00817B9F">
        <w:t>, the over</w:t>
      </w:r>
      <w:r w:rsidR="00840629" w:rsidRPr="00817B9F">
        <w:t>all</w:t>
      </w:r>
      <w:r w:rsidR="006F0332" w:rsidRPr="00817B9F">
        <w:t xml:space="preserve"> changes in MGB’s shares for each </w:t>
      </w:r>
      <w:r w:rsidR="00DB60B4" w:rsidRPr="00817B9F">
        <w:t>modality are modest and it is unlikely that the proposed project would meaningfully increase MGB’s bargaining leverage with third-party payors.</w:t>
      </w:r>
    </w:p>
    <w:p w14:paraId="372545CF" w14:textId="5C6C8FA6" w:rsidR="00BA1D9F" w:rsidRPr="00817B9F" w:rsidRDefault="00C77D93" w:rsidP="00BA1D9F">
      <w:pPr>
        <w:pStyle w:val="Heading3"/>
      </w:pPr>
      <w:bookmarkStart w:id="118" w:name="_Toc90046534"/>
      <w:r w:rsidRPr="00817B9F">
        <w:lastRenderedPageBreak/>
        <w:t xml:space="preserve">Cardiovascular </w:t>
      </w:r>
      <w:r w:rsidR="0041288B" w:rsidRPr="00817B9F">
        <w:t>Services</w:t>
      </w:r>
      <w:bookmarkEnd w:id="118"/>
    </w:p>
    <w:p w14:paraId="5C824740" w14:textId="09458C03" w:rsidR="008A2586" w:rsidRPr="00817B9F" w:rsidRDefault="008C7BB9" w:rsidP="00517EB3">
      <w:pPr>
        <w:pStyle w:val="NumberedParagraphs"/>
      </w:pPr>
      <w:r w:rsidRPr="00817B9F">
        <w:t xml:space="preserve">Figure </w:t>
      </w:r>
      <w:r w:rsidR="00EA6C33" w:rsidRPr="00817B9F">
        <w:t>MGH</w:t>
      </w:r>
      <w:r w:rsidR="00594207" w:rsidRPr="00817B9F">
        <w:t>20</w:t>
      </w:r>
      <w:r w:rsidRPr="00817B9F">
        <w:t xml:space="preserve"> reports providers’ shares of </w:t>
      </w:r>
      <w:r w:rsidR="00652AC3" w:rsidRPr="00817B9F">
        <w:t xml:space="preserve">outpatient </w:t>
      </w:r>
      <w:r w:rsidR="008A5CB9" w:rsidRPr="00817B9F">
        <w:t>cardiovascular procedures</w:t>
      </w:r>
      <w:r w:rsidRPr="00817B9F">
        <w:t xml:space="preserve"> </w:t>
      </w:r>
      <w:r w:rsidR="00652AC3" w:rsidRPr="00817B9F">
        <w:t>in MGH’s service area</w:t>
      </w:r>
      <w:r w:rsidRPr="00817B9F">
        <w:t>. The</w:t>
      </w:r>
      <w:r w:rsidR="00FE250A" w:rsidRPr="00817B9F">
        <w:t xml:space="preserve"> method</w:t>
      </w:r>
      <w:r w:rsidR="00652AC3" w:rsidRPr="00817B9F">
        <w:t xml:space="preserve"> we</w:t>
      </w:r>
      <w:r w:rsidR="00FE250A" w:rsidRPr="00817B9F">
        <w:t xml:space="preserve"> use to </w:t>
      </w:r>
      <w:r w:rsidR="00652AC3" w:rsidRPr="00817B9F">
        <w:t>calculate</w:t>
      </w:r>
      <w:r w:rsidRPr="00817B9F">
        <w:t xml:space="preserve"> </w:t>
      </w:r>
      <w:r w:rsidR="00FE250A" w:rsidRPr="00817B9F">
        <w:t>is</w:t>
      </w:r>
      <w:r w:rsidR="00DF3B9D" w:rsidRPr="00817B9F">
        <w:t xml:space="preserve"> </w:t>
      </w:r>
      <w:r w:rsidR="00652AC3" w:rsidRPr="00817B9F">
        <w:t>similar to the method we used for outpatient</w:t>
      </w:r>
      <w:r w:rsidR="00DF3B9D" w:rsidRPr="00817B9F">
        <w:t xml:space="preserve"> diagnostic imaging services</w:t>
      </w:r>
      <w:r w:rsidR="00FE250A" w:rsidRPr="00817B9F">
        <w:t>,</w:t>
      </w:r>
      <w:r w:rsidR="00DF3B9D" w:rsidRPr="00817B9F">
        <w:t xml:space="preserve"> except</w:t>
      </w:r>
      <w:r w:rsidRPr="00817B9F">
        <w:t xml:space="preserve"> </w:t>
      </w:r>
      <w:r w:rsidR="00652AC3" w:rsidRPr="00817B9F">
        <w:t xml:space="preserve">that </w:t>
      </w:r>
      <w:r w:rsidRPr="00817B9F">
        <w:t xml:space="preserve">ZIP </w:t>
      </w:r>
      <w:r w:rsidR="00FE250A" w:rsidRPr="00817B9F">
        <w:t>C</w:t>
      </w:r>
      <w:r w:rsidRPr="00817B9F">
        <w:t xml:space="preserve">odes </w:t>
      </w:r>
      <w:r w:rsidR="00652AC3" w:rsidRPr="00817B9F">
        <w:t xml:space="preserve">in MGH’s service </w:t>
      </w:r>
      <w:r w:rsidR="00DF3B9D" w:rsidRPr="00817B9F">
        <w:t xml:space="preserve">are </w:t>
      </w:r>
      <w:r w:rsidRPr="00817B9F">
        <w:t xml:space="preserve">weighted by the number of </w:t>
      </w:r>
      <w:r w:rsidR="00DF3B9D" w:rsidRPr="00817B9F">
        <w:t xml:space="preserve">outpatient cardiovascular procedures </w:t>
      </w:r>
      <w:r w:rsidRPr="00817B9F">
        <w:t>MGH</w:t>
      </w:r>
      <w:r w:rsidR="00DF3B9D" w:rsidRPr="00817B9F">
        <w:t xml:space="preserve"> </w:t>
      </w:r>
      <w:r w:rsidR="00AD2B0C" w:rsidRPr="00817B9F">
        <w:t xml:space="preserve">provided to </w:t>
      </w:r>
      <w:r w:rsidRPr="00817B9F">
        <w:t xml:space="preserve">patients </w:t>
      </w:r>
      <w:r w:rsidR="00AD2B0C" w:rsidRPr="00817B9F">
        <w:t>in that</w:t>
      </w:r>
      <w:r w:rsidRPr="00817B9F">
        <w:t xml:space="preserve"> ZIP </w:t>
      </w:r>
      <w:r w:rsidR="00FE250A" w:rsidRPr="00817B9F">
        <w:t>C</w:t>
      </w:r>
      <w:r w:rsidRPr="00817B9F">
        <w:t>ode.</w:t>
      </w:r>
      <w:r w:rsidR="00580E3D" w:rsidRPr="00817B9F">
        <w:t xml:space="preserve"> </w:t>
      </w:r>
      <w:r w:rsidR="008A2586" w:rsidRPr="00817B9F">
        <w:t>Using our model of patient demand for outpatient cardiovascular procedures, i</w:t>
      </w:r>
      <w:r w:rsidR="00652AC3" w:rsidRPr="00817B9F">
        <w:t xml:space="preserve">f the proposed project were approved, we predict that MGH’s share of outpatient </w:t>
      </w:r>
      <w:r w:rsidR="00F40D0A" w:rsidRPr="00817B9F">
        <w:t>cardiovascular</w:t>
      </w:r>
      <w:r w:rsidR="00652AC3" w:rsidRPr="00817B9F">
        <w:t xml:space="preserve"> </w:t>
      </w:r>
      <w:r w:rsidR="00C4297E" w:rsidRPr="00817B9F">
        <w:t>procedures</w:t>
      </w:r>
      <w:r w:rsidR="00652AC3" w:rsidRPr="00817B9F">
        <w:t xml:space="preserve"> in its service area would increase by </w:t>
      </w:r>
      <w:r w:rsidR="0017729C" w:rsidRPr="00817B9F">
        <w:t>only 0.4</w:t>
      </w:r>
      <w:r w:rsidR="00652AC3" w:rsidRPr="00817B9F">
        <w:t xml:space="preserve"> percentage points from </w:t>
      </w:r>
      <w:r w:rsidR="0017729C" w:rsidRPr="00817B9F">
        <w:t>13.8</w:t>
      </w:r>
      <w:r w:rsidR="00652AC3" w:rsidRPr="00817B9F">
        <w:t xml:space="preserve"> percent to </w:t>
      </w:r>
      <w:r w:rsidR="0017729C" w:rsidRPr="00817B9F">
        <w:t>14.2</w:t>
      </w:r>
      <w:r w:rsidR="00652AC3" w:rsidRPr="00817B9F">
        <w:t xml:space="preserve"> percent. MGB’s overall share increases by less than this amount because some of the additional MGH volume comes from patients who otherwise would have received services at other MGB facilities (</w:t>
      </w:r>
      <w:r w:rsidR="00652AC3" w:rsidRPr="00817B9F">
        <w:rPr>
          <w:i/>
          <w:iCs/>
        </w:rPr>
        <w:t>i.e.</w:t>
      </w:r>
      <w:r w:rsidR="00652AC3" w:rsidRPr="00817B9F">
        <w:t xml:space="preserve">, the share of other MGB facilities in MGH’s service area decreases by </w:t>
      </w:r>
      <w:r w:rsidR="0017729C" w:rsidRPr="00817B9F">
        <w:t>0.1</w:t>
      </w:r>
      <w:r w:rsidR="00652AC3" w:rsidRPr="00817B9F">
        <w:t xml:space="preserve"> percentage points from </w:t>
      </w:r>
      <w:r w:rsidR="0017729C" w:rsidRPr="00817B9F">
        <w:t>18.3</w:t>
      </w:r>
      <w:r w:rsidR="00652AC3" w:rsidRPr="00817B9F">
        <w:t xml:space="preserve"> percent to </w:t>
      </w:r>
      <w:r w:rsidR="0017729C" w:rsidRPr="00817B9F">
        <w:t>18.2</w:t>
      </w:r>
      <w:r w:rsidR="00652AC3" w:rsidRPr="00817B9F">
        <w:t xml:space="preserve"> percent). Given the small increase in MGH’s share in its own service area, the predicted effects of the proposed project on other providers’ </w:t>
      </w:r>
      <w:r w:rsidR="00802ACB" w:rsidRPr="00817B9F">
        <w:t>outpatient cardiovascular procedure volumes</w:t>
      </w:r>
      <w:r w:rsidR="00652AC3" w:rsidRPr="00817B9F">
        <w:t xml:space="preserve"> are modest. The providers whose shares in MGH’s service area decline by the largest amounts are Beth Israel Lahey Health (a decline of 0.</w:t>
      </w:r>
      <w:r w:rsidR="009C22EF" w:rsidRPr="00817B9F">
        <w:t>1</w:t>
      </w:r>
      <w:r w:rsidR="00652AC3" w:rsidRPr="00817B9F">
        <w:t xml:space="preserve"> percentage points) and Wellforce (a decline of 0.</w:t>
      </w:r>
      <w:r w:rsidR="009C22EF" w:rsidRPr="00817B9F">
        <w:t>1</w:t>
      </w:r>
      <w:r w:rsidR="00652AC3" w:rsidRPr="00817B9F">
        <w:t xml:space="preserve"> percentage points).</w:t>
      </w:r>
      <w:r w:rsidR="009C22EF" w:rsidRPr="00817B9F">
        <w:t xml:space="preserve"> Using the predicted change in shares, the bottom panel of Figure MGH</w:t>
      </w:r>
      <w:r w:rsidR="00594207" w:rsidRPr="00817B9F">
        <w:t>20</w:t>
      </w:r>
      <w:r w:rsidR="009C22EF" w:rsidRPr="00817B9F">
        <w:t xml:space="preserve"> shows that the HHI in </w:t>
      </w:r>
      <w:r w:rsidR="00131F50" w:rsidRPr="00817B9F">
        <w:t>MGH</w:t>
      </w:r>
      <w:r w:rsidR="009C22EF" w:rsidRPr="00817B9F">
        <w:t xml:space="preserve">’s service area is projected to increase by only </w:t>
      </w:r>
      <w:r w:rsidR="00946A0A" w:rsidRPr="00817B9F">
        <w:t>ten</w:t>
      </w:r>
      <w:r w:rsidR="009C22EF" w:rsidRPr="00817B9F">
        <w:t xml:space="preserve"> points from </w:t>
      </w:r>
      <w:r w:rsidR="00131F50" w:rsidRPr="00817B9F">
        <w:t>3</w:t>
      </w:r>
      <w:r w:rsidR="005040D0" w:rsidRPr="00817B9F">
        <w:t>,</w:t>
      </w:r>
      <w:r w:rsidR="00131F50" w:rsidRPr="00817B9F">
        <w:t>782</w:t>
      </w:r>
      <w:r w:rsidR="009C22EF" w:rsidRPr="00817B9F">
        <w:t xml:space="preserve"> to </w:t>
      </w:r>
      <w:r w:rsidR="00131F50" w:rsidRPr="00817B9F">
        <w:t>3</w:t>
      </w:r>
      <w:r w:rsidR="005040D0" w:rsidRPr="00817B9F">
        <w:t>,</w:t>
      </w:r>
      <w:r w:rsidR="00131F50" w:rsidRPr="00817B9F">
        <w:t>792, which is competitively insignificant.</w:t>
      </w:r>
    </w:p>
    <w:p w14:paraId="0391451D" w14:textId="4B8DFCCA" w:rsidR="00D365F5" w:rsidRPr="00817B9F" w:rsidRDefault="00C77D93" w:rsidP="00D365F5">
      <w:pPr>
        <w:pStyle w:val="Heading3"/>
      </w:pPr>
      <w:bookmarkStart w:id="119" w:name="_Toc90046535"/>
      <w:r w:rsidRPr="00817B9F">
        <w:t>Oncology</w:t>
      </w:r>
      <w:r w:rsidR="0041288B" w:rsidRPr="00817B9F">
        <w:t xml:space="preserve"> Services</w:t>
      </w:r>
      <w:bookmarkEnd w:id="119"/>
    </w:p>
    <w:p w14:paraId="3DFBA40B" w14:textId="772AA8D1" w:rsidR="008A5CB9" w:rsidRPr="00817B9F" w:rsidRDefault="004E739C" w:rsidP="00FA0A73">
      <w:pPr>
        <w:pStyle w:val="NumberedParagraphs"/>
      </w:pPr>
      <w:r w:rsidRPr="00817B9F">
        <w:t>Figure MGH</w:t>
      </w:r>
      <w:r w:rsidR="00F72D10" w:rsidRPr="00817B9F">
        <w:t>21</w:t>
      </w:r>
      <w:r w:rsidRPr="00817B9F">
        <w:t xml:space="preserve"> reports providers’ shares of outpatient oncology visits in MGH’s service area</w:t>
      </w:r>
      <w:r w:rsidR="00530D73" w:rsidRPr="00817B9F">
        <w:t xml:space="preserve">; for these calculations </w:t>
      </w:r>
      <w:r w:rsidRPr="00817B9F">
        <w:t xml:space="preserve">ZIP Codes in MGH’s service are weighted by the number of outpatient </w:t>
      </w:r>
      <w:r w:rsidR="00530D73" w:rsidRPr="00817B9F">
        <w:t xml:space="preserve">oncology visits that </w:t>
      </w:r>
      <w:r w:rsidRPr="00817B9F">
        <w:t xml:space="preserve">MGH provided to patients in that ZIP Code. Using our model of patient demand for outpatient </w:t>
      </w:r>
      <w:r w:rsidR="00D96FF8" w:rsidRPr="00817B9F">
        <w:t>oncology visits</w:t>
      </w:r>
      <w:r w:rsidRPr="00817B9F">
        <w:t xml:space="preserve">, if the proposed project were approved, we predict that MGH’s share of outpatient </w:t>
      </w:r>
      <w:r w:rsidR="00802ACB" w:rsidRPr="00817B9F">
        <w:t>oncology visits</w:t>
      </w:r>
      <w:r w:rsidRPr="00817B9F">
        <w:t xml:space="preserve"> in its service area would increase by only </w:t>
      </w:r>
      <w:r w:rsidR="00802ACB" w:rsidRPr="00817B9F">
        <w:t>3.2</w:t>
      </w:r>
      <w:r w:rsidRPr="00817B9F">
        <w:t xml:space="preserve"> percentage points from 18</w:t>
      </w:r>
      <w:r w:rsidR="00802ACB" w:rsidRPr="00817B9F">
        <w:t>.</w:t>
      </w:r>
      <w:r w:rsidR="00582E2B" w:rsidRPr="00817B9F">
        <w:t>2</w:t>
      </w:r>
      <w:r w:rsidRPr="00817B9F">
        <w:t xml:space="preserve"> percent to </w:t>
      </w:r>
      <w:r w:rsidR="00802ACB" w:rsidRPr="00817B9F">
        <w:t>21.</w:t>
      </w:r>
      <w:r w:rsidR="00582E2B" w:rsidRPr="00817B9F">
        <w:t>4</w:t>
      </w:r>
      <w:r w:rsidRPr="00817B9F">
        <w:t xml:space="preserve"> percent. MGB’s overall share increases by less than this amount because some of the additional MGH volume comes from patients who otherwise would have received services at other MGB facilities (</w:t>
      </w:r>
      <w:r w:rsidRPr="00817B9F">
        <w:rPr>
          <w:i/>
          <w:iCs/>
        </w:rPr>
        <w:t>i.e.</w:t>
      </w:r>
      <w:r w:rsidRPr="00817B9F">
        <w:t>, the share of other MGB facilities in MGH’s service area decreases by 0.</w:t>
      </w:r>
      <w:r w:rsidR="00802ACB" w:rsidRPr="00817B9F">
        <w:t>9</w:t>
      </w:r>
      <w:r w:rsidRPr="00817B9F">
        <w:t xml:space="preserve"> percentage points from 1</w:t>
      </w:r>
      <w:r w:rsidR="00802ACB" w:rsidRPr="00817B9F">
        <w:t>6.4</w:t>
      </w:r>
      <w:r w:rsidRPr="00817B9F">
        <w:t xml:space="preserve"> percent to 1</w:t>
      </w:r>
      <w:r w:rsidR="00802ACB" w:rsidRPr="00817B9F">
        <w:t>5.</w:t>
      </w:r>
      <w:r w:rsidR="00582E2B" w:rsidRPr="00817B9F">
        <w:t>6</w:t>
      </w:r>
      <w:r w:rsidRPr="00817B9F">
        <w:t xml:space="preserve"> percent). </w:t>
      </w:r>
      <w:r w:rsidR="00802ACB" w:rsidRPr="00817B9F">
        <w:t>T</w:t>
      </w:r>
      <w:r w:rsidRPr="00817B9F">
        <w:t xml:space="preserve">he predicted effects of the proposed project on other providers’ outpatient </w:t>
      </w:r>
      <w:r w:rsidR="00BE3A20" w:rsidRPr="00817B9F">
        <w:t>oncology visit</w:t>
      </w:r>
      <w:r w:rsidRPr="00817B9F">
        <w:t xml:space="preserve"> volumes are modest. The providers whose shares in MGH’s service area decline by the largest amounts are Beth Israel Lahey </w:t>
      </w:r>
      <w:r w:rsidRPr="00817B9F">
        <w:lastRenderedPageBreak/>
        <w:t>Health (a decline of 0.</w:t>
      </w:r>
      <w:r w:rsidR="00BE3A20" w:rsidRPr="00817B9F">
        <w:t>9</w:t>
      </w:r>
      <w:r w:rsidRPr="00817B9F">
        <w:t xml:space="preserve"> percentage points) and </w:t>
      </w:r>
      <w:r w:rsidR="00BE3A20" w:rsidRPr="00817B9F">
        <w:t>Dana</w:t>
      </w:r>
      <w:r w:rsidR="009A4D53" w:rsidRPr="00817B9F">
        <w:t>-</w:t>
      </w:r>
      <w:r w:rsidR="00BE3A20" w:rsidRPr="00817B9F">
        <w:t>Farber Cancer Institute</w:t>
      </w:r>
      <w:r w:rsidRPr="00817B9F">
        <w:t xml:space="preserve"> (a decline of 0.</w:t>
      </w:r>
      <w:r w:rsidR="00BE3A20" w:rsidRPr="00817B9F">
        <w:t>5</w:t>
      </w:r>
      <w:r w:rsidRPr="00817B9F">
        <w:t xml:space="preserve"> percentage points). Using the predicted change in shares, the bottom panel of Figure MGH</w:t>
      </w:r>
      <w:r w:rsidR="009000C8" w:rsidRPr="00817B9F">
        <w:t>21</w:t>
      </w:r>
      <w:r w:rsidRPr="00817B9F">
        <w:t xml:space="preserve"> shows that the HHI in MGH’s service area is projected to increase by only </w:t>
      </w:r>
      <w:r w:rsidR="00BE3A20" w:rsidRPr="00817B9F">
        <w:t>11</w:t>
      </w:r>
      <w:r w:rsidR="00582E2B" w:rsidRPr="00817B9F">
        <w:t>3</w:t>
      </w:r>
      <w:r w:rsidRPr="00817B9F">
        <w:t xml:space="preserve"> points from </w:t>
      </w:r>
      <w:r w:rsidR="00BE3A20" w:rsidRPr="00817B9F">
        <w:t>3</w:t>
      </w:r>
      <w:r w:rsidR="00582E2B" w:rsidRPr="00817B9F">
        <w:t>,</w:t>
      </w:r>
      <w:r w:rsidR="00BE3A20" w:rsidRPr="00817B9F">
        <w:t>12</w:t>
      </w:r>
      <w:r w:rsidR="00582E2B" w:rsidRPr="00817B9F">
        <w:t>6</w:t>
      </w:r>
      <w:r w:rsidRPr="00817B9F">
        <w:t xml:space="preserve"> to </w:t>
      </w:r>
      <w:r w:rsidR="00BE3A20" w:rsidRPr="00817B9F">
        <w:t>3</w:t>
      </w:r>
      <w:r w:rsidR="00582E2B" w:rsidRPr="00817B9F">
        <w:t>,</w:t>
      </w:r>
      <w:r w:rsidR="00BE3A20" w:rsidRPr="00817B9F">
        <w:t>23</w:t>
      </w:r>
      <w:r w:rsidR="00582E2B" w:rsidRPr="00817B9F">
        <w:t>9</w:t>
      </w:r>
      <w:r w:rsidR="00BE3A20" w:rsidRPr="00817B9F">
        <w:t>.</w:t>
      </w:r>
      <w:r w:rsidRPr="00817B9F">
        <w:t xml:space="preserve"> </w:t>
      </w:r>
      <w:r w:rsidR="00BE3A20" w:rsidRPr="00817B9F">
        <w:t>This change</w:t>
      </w:r>
      <w:r w:rsidRPr="00817B9F">
        <w:t xml:space="preserve"> is</w:t>
      </w:r>
      <w:r w:rsidR="00BE3A20" w:rsidRPr="00817B9F">
        <w:t xml:space="preserve"> slightly higher than the </w:t>
      </w:r>
      <w:r w:rsidR="00BE3A20" w:rsidRPr="00817B9F">
        <w:rPr>
          <w:i/>
          <w:iCs/>
        </w:rPr>
        <w:t>Horizontal Merger Guidelines</w:t>
      </w:r>
      <w:r w:rsidR="00BE3A20" w:rsidRPr="00817B9F">
        <w:t xml:space="preserve"> safe harbor, but the overall changes in MGB’s shares are small and it is unlikely that the proposed project would meaningfully increase MGB’s bargaining leverage with third-party payors.</w:t>
      </w:r>
    </w:p>
    <w:p w14:paraId="38A652A5" w14:textId="65DC60DD" w:rsidR="00B350F9" w:rsidRPr="00817B9F" w:rsidRDefault="003146E3" w:rsidP="003146E3">
      <w:pPr>
        <w:pStyle w:val="Heading1"/>
      </w:pPr>
      <w:bookmarkStart w:id="120" w:name="_Toc90046536"/>
      <w:r w:rsidRPr="00817B9F">
        <w:t xml:space="preserve">Rates for </w:t>
      </w:r>
      <w:r w:rsidR="00595907" w:rsidRPr="00817B9F">
        <w:t>Private and Semi-Private Room Rates at M</w:t>
      </w:r>
      <w:r w:rsidR="003366A3" w:rsidRPr="00817B9F">
        <w:t>GH</w:t>
      </w:r>
      <w:bookmarkEnd w:id="120"/>
    </w:p>
    <w:p w14:paraId="1E5ED7C0" w14:textId="6B038972" w:rsidR="004156C4" w:rsidRPr="00817B9F" w:rsidRDefault="005C5367" w:rsidP="00192704">
      <w:pPr>
        <w:pStyle w:val="NumberedParagraphs"/>
      </w:pPr>
      <w:r w:rsidRPr="00817B9F">
        <w:t xml:space="preserve">As part the ICA, the DoN program asked </w:t>
      </w:r>
      <w:r w:rsidR="00FF33F0" w:rsidRPr="00817B9F">
        <w:t xml:space="preserve">us </w:t>
      </w:r>
      <w:r w:rsidR="00653123" w:rsidRPr="00817B9F">
        <w:t xml:space="preserve">to evaluate </w:t>
      </w:r>
      <w:r w:rsidRPr="00817B9F">
        <w:t xml:space="preserve">any impact on </w:t>
      </w:r>
      <w:r w:rsidR="00957483" w:rsidRPr="00817B9F">
        <w:t xml:space="preserve">health care </w:t>
      </w:r>
      <w:r w:rsidRPr="00817B9F">
        <w:t xml:space="preserve">costs </w:t>
      </w:r>
      <w:r w:rsidR="00957483" w:rsidRPr="00817B9F">
        <w:t>resulting from</w:t>
      </w:r>
      <w:r w:rsidRPr="00817B9F">
        <w:t xml:space="preserve"> </w:t>
      </w:r>
      <w:r w:rsidR="00957483" w:rsidRPr="00817B9F">
        <w:t>MGB’s</w:t>
      </w:r>
      <w:r w:rsidRPr="00817B9F">
        <w:t xml:space="preserve"> </w:t>
      </w:r>
      <w:r w:rsidR="00957483" w:rsidRPr="00817B9F">
        <w:t>propos</w:t>
      </w:r>
      <w:r w:rsidR="00653123" w:rsidRPr="00817B9F">
        <w:t>al to</w:t>
      </w:r>
      <w:r w:rsidR="00957483" w:rsidRPr="00817B9F">
        <w:t xml:space="preserve"> </w:t>
      </w:r>
      <w:r w:rsidR="000851F3" w:rsidRPr="00817B9F">
        <w:t xml:space="preserve">increase </w:t>
      </w:r>
      <w:r w:rsidR="00653123" w:rsidRPr="00817B9F">
        <w:t>the number of</w:t>
      </w:r>
      <w:r w:rsidR="000851F3" w:rsidRPr="00817B9F">
        <w:t xml:space="preserve"> private beds at M</w:t>
      </w:r>
      <w:r w:rsidR="004156C4" w:rsidRPr="00817B9F">
        <w:t>GH</w:t>
      </w:r>
      <w:r w:rsidR="00F07F02" w:rsidRPr="00817B9F">
        <w:t>.</w:t>
      </w:r>
      <w:r w:rsidR="00CF453A" w:rsidRPr="00817B9F">
        <w:t xml:space="preserve"> </w:t>
      </w:r>
      <w:r w:rsidR="00957483" w:rsidRPr="00817B9F">
        <w:t>A</w:t>
      </w:r>
      <w:r w:rsidR="004156C4" w:rsidRPr="00817B9F">
        <w:t>s part of the</w:t>
      </w:r>
      <w:r w:rsidR="00957483" w:rsidRPr="00817B9F">
        <w:t xml:space="preserve"> </w:t>
      </w:r>
      <w:r w:rsidR="00CE23D9" w:rsidRPr="00817B9F">
        <w:t xml:space="preserve">proposed </w:t>
      </w:r>
      <w:r w:rsidR="00957483" w:rsidRPr="00817B9F">
        <w:t>p</w:t>
      </w:r>
      <w:r w:rsidR="004156C4" w:rsidRPr="00817B9F">
        <w:t xml:space="preserve">roject, </w:t>
      </w:r>
      <w:r w:rsidR="002261E7" w:rsidRPr="00817B9F">
        <w:t xml:space="preserve">482 </w:t>
      </w:r>
      <w:r w:rsidR="00CE23D9" w:rsidRPr="00817B9F">
        <w:t>pr</w:t>
      </w:r>
      <w:r w:rsidR="002343C3" w:rsidRPr="00817B9F">
        <w:t>ivate</w:t>
      </w:r>
      <w:r w:rsidR="00CE23D9" w:rsidRPr="00817B9F">
        <w:t xml:space="preserve"> </w:t>
      </w:r>
      <w:r w:rsidR="002261E7" w:rsidRPr="00817B9F">
        <w:t xml:space="preserve">inpatient beds (418 medical/surgical and 64 ICU beds) </w:t>
      </w:r>
      <w:r w:rsidR="00CE23D9" w:rsidRPr="00817B9F">
        <w:t xml:space="preserve">would be constructed in a new tower on MGH’s main campus; </w:t>
      </w:r>
      <w:r w:rsidR="001C000F" w:rsidRPr="00817B9F">
        <w:t xml:space="preserve">combined with the </w:t>
      </w:r>
      <w:r w:rsidR="001B6664" w:rsidRPr="00817B9F">
        <w:t>planned closure of</w:t>
      </w:r>
      <w:r w:rsidR="00F113BD" w:rsidRPr="00817B9F">
        <w:t xml:space="preserve"> 388 existing semi-private beds</w:t>
      </w:r>
      <w:r w:rsidR="001C000F" w:rsidRPr="00817B9F">
        <w:t xml:space="preserve">, the net impact would </w:t>
      </w:r>
      <w:r w:rsidR="000E697E" w:rsidRPr="00817B9F">
        <w:t xml:space="preserve">be to increase the number of licensed inpatient beds on MGH’s main </w:t>
      </w:r>
      <w:r w:rsidR="00827B57" w:rsidRPr="00817B9F">
        <w:t>campus by 94</w:t>
      </w:r>
      <w:r w:rsidR="002261E7" w:rsidRPr="00817B9F">
        <w:t>.</w:t>
      </w:r>
      <w:r w:rsidR="002261E7" w:rsidRPr="00817B9F">
        <w:rPr>
          <w:rStyle w:val="FootnoteReference"/>
        </w:rPr>
        <w:footnoteReference w:id="197"/>
      </w:r>
      <w:r w:rsidR="00BA24FC" w:rsidRPr="00817B9F">
        <w:t xml:space="preserve"> </w:t>
      </w:r>
      <w:r w:rsidR="007D2703" w:rsidRPr="00817B9F">
        <w:t>The result of this proposal would increase the perce</w:t>
      </w:r>
      <w:r w:rsidR="002A76E9" w:rsidRPr="00817B9F">
        <w:t xml:space="preserve">ntage of single-bed </w:t>
      </w:r>
      <w:r w:rsidR="000A7C33" w:rsidRPr="00817B9F">
        <w:t>medical/surgical rooms on MGH’s main campus from 38 percent to 88 percent.</w:t>
      </w:r>
      <w:r w:rsidR="000A7C33" w:rsidRPr="00817B9F">
        <w:rPr>
          <w:rStyle w:val="FootnoteReference"/>
        </w:rPr>
        <w:footnoteReference w:id="198"/>
      </w:r>
      <w:r w:rsidR="00EC6C23" w:rsidRPr="00817B9F">
        <w:t xml:space="preserve"> MGB argues that </w:t>
      </w:r>
      <w:r w:rsidR="00EB7865" w:rsidRPr="00817B9F">
        <w:t>sing</w:t>
      </w:r>
      <w:r w:rsidR="009C298F" w:rsidRPr="00817B9F">
        <w:t>l</w:t>
      </w:r>
      <w:r w:rsidR="00EB7865" w:rsidRPr="00817B9F">
        <w:t xml:space="preserve">e-bed rooms </w:t>
      </w:r>
      <w:r w:rsidR="00AA2A71" w:rsidRPr="00817B9F">
        <w:t xml:space="preserve">would </w:t>
      </w:r>
      <w:r w:rsidR="005C004C" w:rsidRPr="00817B9F">
        <w:t>improve patient satisfaction</w:t>
      </w:r>
      <w:r w:rsidR="19307CA1" w:rsidRPr="00817B9F">
        <w:t>,</w:t>
      </w:r>
      <w:r w:rsidR="005C004C" w:rsidRPr="00817B9F">
        <w:t xml:space="preserve"> </w:t>
      </w:r>
      <w:r w:rsidR="000E50A1" w:rsidRPr="00817B9F">
        <w:t>contribute to enhanced patient outcomes</w:t>
      </w:r>
      <w:r w:rsidR="7F387A00" w:rsidRPr="00817B9F">
        <w:t>,</w:t>
      </w:r>
      <w:r w:rsidR="000E50A1" w:rsidRPr="00817B9F">
        <w:t xml:space="preserve"> and alleviate capacity constraints caused by </w:t>
      </w:r>
      <w:r w:rsidR="00BA1392" w:rsidRPr="00817B9F">
        <w:t>bed blocks</w:t>
      </w:r>
      <w:r w:rsidR="00740924" w:rsidRPr="00817B9F">
        <w:t xml:space="preserve"> resulting from gender </w:t>
      </w:r>
      <w:r w:rsidR="00A02D3F" w:rsidRPr="00817B9F">
        <w:t xml:space="preserve">or age mismatches, </w:t>
      </w:r>
      <w:r w:rsidR="00A658A5" w:rsidRPr="00817B9F">
        <w:t xml:space="preserve">patients requiring end-of-life care, </w:t>
      </w:r>
      <w:r w:rsidR="7E26E789" w:rsidRPr="00817B9F">
        <w:t xml:space="preserve">disruptive patient behavior, </w:t>
      </w:r>
      <w:r w:rsidR="007D5361" w:rsidRPr="00817B9F">
        <w:t>or a need for infection control</w:t>
      </w:r>
      <w:r w:rsidR="00BA1392" w:rsidRPr="00817B9F">
        <w:t>.</w:t>
      </w:r>
      <w:r w:rsidR="00AA2A71" w:rsidRPr="00817B9F">
        <w:rPr>
          <w:rStyle w:val="FootnoteReference"/>
        </w:rPr>
        <w:footnoteReference w:id="199"/>
      </w:r>
      <w:r w:rsidR="00BA1392" w:rsidRPr="00817B9F">
        <w:t xml:space="preserve"> </w:t>
      </w:r>
    </w:p>
    <w:p w14:paraId="174D3606" w14:textId="7586482F" w:rsidR="00A94AAF" w:rsidRPr="00817B9F" w:rsidRDefault="00E67248" w:rsidP="00CF594E">
      <w:pPr>
        <w:pStyle w:val="NumberedParagraphs"/>
      </w:pPr>
      <w:r w:rsidRPr="00817B9F">
        <w:t>Putting aside the benefits of private rooms, w</w:t>
      </w:r>
      <w:r w:rsidR="005C0ADA" w:rsidRPr="00817B9F">
        <w:t xml:space="preserve">e have </w:t>
      </w:r>
      <w:r w:rsidR="008211A1" w:rsidRPr="00817B9F">
        <w:t>determined</w:t>
      </w:r>
      <w:r w:rsidR="00F41665" w:rsidRPr="00817B9F">
        <w:t xml:space="preserve"> that </w:t>
      </w:r>
      <w:r w:rsidR="00307F43" w:rsidRPr="00817B9F">
        <w:t>a</w:t>
      </w:r>
      <w:r w:rsidR="00F41665" w:rsidRPr="00817B9F">
        <w:t xml:space="preserve"> </w:t>
      </w:r>
      <w:r w:rsidR="00F47F78" w:rsidRPr="00817B9F">
        <w:t>greater</w:t>
      </w:r>
      <w:r w:rsidR="00F41665" w:rsidRPr="00817B9F">
        <w:t xml:space="preserve"> utilization of private rooms</w:t>
      </w:r>
      <w:r w:rsidR="008F206B" w:rsidRPr="00817B9F">
        <w:t xml:space="preserve"> at MGH</w:t>
      </w:r>
      <w:r w:rsidR="00D90B66" w:rsidRPr="00817B9F">
        <w:t xml:space="preserve"> </w:t>
      </w:r>
      <w:r w:rsidR="008211A1" w:rsidRPr="00817B9F">
        <w:t>would</w:t>
      </w:r>
      <w:r w:rsidR="00F41665" w:rsidRPr="00817B9F">
        <w:t xml:space="preserve"> </w:t>
      </w:r>
      <w:r w:rsidR="00D90B66" w:rsidRPr="00817B9F">
        <w:t>not</w:t>
      </w:r>
      <w:r w:rsidR="00F41665" w:rsidRPr="00817B9F">
        <w:t xml:space="preserve"> </w:t>
      </w:r>
      <w:r w:rsidR="008211A1" w:rsidRPr="00817B9F">
        <w:t>direct</w:t>
      </w:r>
      <w:r w:rsidR="00D90B66" w:rsidRPr="00817B9F">
        <w:t>ly</w:t>
      </w:r>
      <w:r w:rsidR="008211A1" w:rsidRPr="00817B9F">
        <w:t xml:space="preserve"> impact health care cost</w:t>
      </w:r>
      <w:r w:rsidR="00D90B66" w:rsidRPr="00817B9F">
        <w:t>s</w:t>
      </w:r>
      <w:r w:rsidR="00F47F78" w:rsidRPr="00817B9F">
        <w:t xml:space="preserve">. </w:t>
      </w:r>
    </w:p>
    <w:p w14:paraId="474CEB94" w14:textId="77777777" w:rsidR="00D21145" w:rsidRPr="00817B9F" w:rsidRDefault="00986E24" w:rsidP="005D3EC9">
      <w:pPr>
        <w:pStyle w:val="BulletParagraph"/>
        <w:rPr>
          <w:rFonts w:cs="Times New Roman"/>
        </w:rPr>
      </w:pPr>
      <w:r w:rsidRPr="00817B9F">
        <w:rPr>
          <w:rFonts w:cs="Times New Roman"/>
        </w:rPr>
        <w:lastRenderedPageBreak/>
        <w:t>First</w:t>
      </w:r>
      <w:r w:rsidR="00A679B7" w:rsidRPr="00817B9F">
        <w:rPr>
          <w:rFonts w:cs="Times New Roman"/>
        </w:rPr>
        <w:t>,</w:t>
      </w:r>
      <w:r w:rsidRPr="00817B9F">
        <w:rPr>
          <w:rFonts w:cs="Times New Roman"/>
        </w:rPr>
        <w:t xml:space="preserve"> Original Medicare pays </w:t>
      </w:r>
      <w:r w:rsidR="00A94AAF" w:rsidRPr="00817B9F">
        <w:rPr>
          <w:rFonts w:cs="Times New Roman"/>
        </w:rPr>
        <w:t xml:space="preserve">MGH </w:t>
      </w:r>
      <w:r w:rsidRPr="00817B9F">
        <w:rPr>
          <w:rFonts w:cs="Times New Roman"/>
        </w:rPr>
        <w:t xml:space="preserve">for inpatient stays </w:t>
      </w:r>
      <w:r w:rsidR="00A94AAF" w:rsidRPr="00817B9F">
        <w:rPr>
          <w:rFonts w:cs="Times New Roman"/>
        </w:rPr>
        <w:t>using</w:t>
      </w:r>
      <w:r w:rsidRPr="00817B9F">
        <w:rPr>
          <w:rFonts w:cs="Times New Roman"/>
        </w:rPr>
        <w:t xml:space="preserve"> </w:t>
      </w:r>
      <w:r w:rsidR="00A94AAF" w:rsidRPr="00817B9F">
        <w:rPr>
          <w:rFonts w:cs="Times New Roman"/>
        </w:rPr>
        <w:t>the Inpatient Prospective Payment System. Under this system, hospital reimbursement</w:t>
      </w:r>
      <w:r w:rsidRPr="00817B9F">
        <w:rPr>
          <w:rFonts w:cs="Times New Roman"/>
        </w:rPr>
        <w:t xml:space="preserve"> does not </w:t>
      </w:r>
      <w:r w:rsidR="00A94AAF" w:rsidRPr="00817B9F">
        <w:rPr>
          <w:rFonts w:cs="Times New Roman"/>
        </w:rPr>
        <w:t>depend</w:t>
      </w:r>
      <w:r w:rsidR="00A679B7" w:rsidRPr="00817B9F">
        <w:rPr>
          <w:rFonts w:cs="Times New Roman"/>
        </w:rPr>
        <w:t xml:space="preserve"> on the type of room </w:t>
      </w:r>
      <w:r w:rsidR="00D21145" w:rsidRPr="00817B9F">
        <w:rPr>
          <w:rFonts w:cs="Times New Roman"/>
        </w:rPr>
        <w:t>in which</w:t>
      </w:r>
      <w:r w:rsidR="00A679B7" w:rsidRPr="00817B9F">
        <w:rPr>
          <w:rFonts w:cs="Times New Roman"/>
        </w:rPr>
        <w:t xml:space="preserve"> the patient</w:t>
      </w:r>
      <w:r w:rsidR="00D21145" w:rsidRPr="00817B9F">
        <w:rPr>
          <w:rFonts w:cs="Times New Roman"/>
        </w:rPr>
        <w:t xml:space="preserve"> was boarded</w:t>
      </w:r>
      <w:r w:rsidR="00A679B7" w:rsidRPr="00817B9F">
        <w:rPr>
          <w:rFonts w:cs="Times New Roman"/>
        </w:rPr>
        <w:t>.</w:t>
      </w:r>
      <w:r w:rsidR="00A679B7" w:rsidRPr="00817B9F">
        <w:rPr>
          <w:rStyle w:val="FootnoteReference"/>
          <w:rFonts w:cs="Times New Roman"/>
        </w:rPr>
        <w:footnoteReference w:id="200"/>
      </w:r>
      <w:r w:rsidR="00F47F78" w:rsidRPr="00817B9F">
        <w:rPr>
          <w:rFonts w:cs="Times New Roman"/>
        </w:rPr>
        <w:t xml:space="preserve"> </w:t>
      </w:r>
    </w:p>
    <w:p w14:paraId="1389AE4D" w14:textId="6141673C" w:rsidR="00ED24C4" w:rsidRPr="00817B9F" w:rsidRDefault="00A679B7" w:rsidP="005D3EC9">
      <w:pPr>
        <w:pStyle w:val="BulletParagraph"/>
        <w:rPr>
          <w:rFonts w:cs="Times New Roman"/>
        </w:rPr>
      </w:pPr>
      <w:r w:rsidRPr="00817B9F">
        <w:rPr>
          <w:rFonts w:cs="Times New Roman"/>
        </w:rPr>
        <w:t>Second</w:t>
      </w:r>
      <w:r w:rsidR="00F47F78" w:rsidRPr="00817B9F">
        <w:rPr>
          <w:rFonts w:cs="Times New Roman"/>
        </w:rPr>
        <w:t xml:space="preserve">, for patients covered by </w:t>
      </w:r>
      <w:r w:rsidR="00B949BD" w:rsidRPr="00817B9F">
        <w:rPr>
          <w:rFonts w:cs="Times New Roman"/>
        </w:rPr>
        <w:t>commercial</w:t>
      </w:r>
      <w:r w:rsidR="00F47F78" w:rsidRPr="00817B9F">
        <w:rPr>
          <w:rFonts w:cs="Times New Roman"/>
        </w:rPr>
        <w:t xml:space="preserve"> insurance</w:t>
      </w:r>
      <w:r w:rsidR="00B949BD" w:rsidRPr="00817B9F">
        <w:rPr>
          <w:rFonts w:cs="Times New Roman"/>
        </w:rPr>
        <w:t>,</w:t>
      </w:r>
      <w:r w:rsidR="00F47F78" w:rsidRPr="00817B9F">
        <w:rPr>
          <w:rFonts w:cs="Times New Roman"/>
        </w:rPr>
        <w:t xml:space="preserve"> MassHealth </w:t>
      </w:r>
      <w:r w:rsidR="009727DD" w:rsidRPr="00817B9F">
        <w:rPr>
          <w:rFonts w:cs="Times New Roman"/>
        </w:rPr>
        <w:t xml:space="preserve">managed care </w:t>
      </w:r>
      <w:r w:rsidR="00B949BD" w:rsidRPr="00817B9F">
        <w:rPr>
          <w:rFonts w:cs="Times New Roman"/>
        </w:rPr>
        <w:t xml:space="preserve">plans, </w:t>
      </w:r>
      <w:r w:rsidR="24CE4A21" w:rsidRPr="00817B9F">
        <w:rPr>
          <w:rFonts w:cs="Times New Roman"/>
        </w:rPr>
        <w:t>or</w:t>
      </w:r>
      <w:r w:rsidR="00F47F78" w:rsidRPr="00817B9F">
        <w:rPr>
          <w:rFonts w:cs="Times New Roman"/>
        </w:rPr>
        <w:t xml:space="preserve"> Medicare </w:t>
      </w:r>
      <w:r w:rsidR="009727DD" w:rsidRPr="00817B9F">
        <w:rPr>
          <w:rFonts w:cs="Times New Roman"/>
        </w:rPr>
        <w:t>health plans</w:t>
      </w:r>
      <w:r w:rsidR="00B949BD" w:rsidRPr="00817B9F">
        <w:rPr>
          <w:rFonts w:cs="Times New Roman"/>
        </w:rPr>
        <w:t>, our</w:t>
      </w:r>
      <w:r w:rsidR="00F47F78" w:rsidRPr="00817B9F">
        <w:rPr>
          <w:rFonts w:cs="Times New Roman"/>
        </w:rPr>
        <w:t xml:space="preserve"> review of</w:t>
      </w:r>
      <w:r w:rsidR="00B70E4E" w:rsidRPr="00817B9F">
        <w:rPr>
          <w:rFonts w:cs="Times New Roman"/>
        </w:rPr>
        <w:t xml:space="preserve"> MGH</w:t>
      </w:r>
      <w:r w:rsidR="009727DD" w:rsidRPr="00817B9F">
        <w:rPr>
          <w:rFonts w:cs="Times New Roman"/>
        </w:rPr>
        <w:t>’</w:t>
      </w:r>
      <w:r w:rsidR="00B70E4E" w:rsidRPr="00817B9F">
        <w:rPr>
          <w:rFonts w:cs="Times New Roman"/>
        </w:rPr>
        <w:t>s chargemaster and price transparency data indicate</w:t>
      </w:r>
      <w:r w:rsidR="00B949BD" w:rsidRPr="00817B9F">
        <w:rPr>
          <w:rFonts w:cs="Times New Roman"/>
        </w:rPr>
        <w:t>s</w:t>
      </w:r>
      <w:r w:rsidR="00B70E4E" w:rsidRPr="00817B9F">
        <w:rPr>
          <w:rFonts w:cs="Times New Roman"/>
        </w:rPr>
        <w:t xml:space="preserve"> that </w:t>
      </w:r>
      <w:r w:rsidR="00ED24C4" w:rsidRPr="00817B9F">
        <w:rPr>
          <w:rFonts w:cs="Times New Roman"/>
        </w:rPr>
        <w:t>hospital reimbursement does not depend</w:t>
      </w:r>
      <w:r w:rsidR="00B70E4E" w:rsidRPr="00817B9F">
        <w:rPr>
          <w:rFonts w:cs="Times New Roman"/>
        </w:rPr>
        <w:t xml:space="preserve"> on the </w:t>
      </w:r>
      <w:r w:rsidR="00ED24C4" w:rsidRPr="00817B9F">
        <w:rPr>
          <w:rFonts w:cs="Times New Roman"/>
        </w:rPr>
        <w:t xml:space="preserve">type of </w:t>
      </w:r>
      <w:r w:rsidR="00B70E4E" w:rsidRPr="00817B9F">
        <w:rPr>
          <w:rFonts w:cs="Times New Roman"/>
        </w:rPr>
        <w:t xml:space="preserve">room </w:t>
      </w:r>
      <w:r w:rsidR="00ED24C4" w:rsidRPr="00817B9F">
        <w:rPr>
          <w:rFonts w:cs="Times New Roman"/>
        </w:rPr>
        <w:t>in which the patient was boarded</w:t>
      </w:r>
      <w:r w:rsidR="00986E24" w:rsidRPr="00817B9F">
        <w:rPr>
          <w:rFonts w:cs="Times New Roman"/>
        </w:rPr>
        <w:t>.</w:t>
      </w:r>
      <w:r w:rsidR="00986E24" w:rsidRPr="00817B9F">
        <w:rPr>
          <w:rStyle w:val="FootnoteReference"/>
          <w:rFonts w:cs="Times New Roman"/>
        </w:rPr>
        <w:footnoteReference w:id="201"/>
      </w:r>
      <w:r w:rsidR="00986E24" w:rsidRPr="00817B9F">
        <w:rPr>
          <w:rFonts w:cs="Times New Roman"/>
        </w:rPr>
        <w:t xml:space="preserve"> I</w:t>
      </w:r>
      <w:r w:rsidR="00B70E4E" w:rsidRPr="00817B9F">
        <w:rPr>
          <w:rFonts w:cs="Times New Roman"/>
        </w:rPr>
        <w:t>nstead</w:t>
      </w:r>
      <w:r w:rsidR="006F2753" w:rsidRPr="00817B9F">
        <w:rPr>
          <w:rFonts w:cs="Times New Roman"/>
        </w:rPr>
        <w:t>,</w:t>
      </w:r>
      <w:r w:rsidR="00B70E4E" w:rsidRPr="00817B9F">
        <w:rPr>
          <w:rFonts w:cs="Times New Roman"/>
        </w:rPr>
        <w:t xml:space="preserve"> payments </w:t>
      </w:r>
      <w:r w:rsidRPr="00817B9F">
        <w:rPr>
          <w:rFonts w:cs="Times New Roman"/>
        </w:rPr>
        <w:t>associated</w:t>
      </w:r>
      <w:r w:rsidR="00B70E4E" w:rsidRPr="00817B9F">
        <w:rPr>
          <w:rFonts w:cs="Times New Roman"/>
        </w:rPr>
        <w:t xml:space="preserve"> with room charges are included in a larger </w:t>
      </w:r>
      <w:r w:rsidR="00DF550B" w:rsidRPr="00817B9F">
        <w:rPr>
          <w:rFonts w:cs="Times New Roman"/>
        </w:rPr>
        <w:t>overall</w:t>
      </w:r>
      <w:r w:rsidR="00B70E4E" w:rsidRPr="00817B9F">
        <w:rPr>
          <w:rFonts w:cs="Times New Roman"/>
        </w:rPr>
        <w:t xml:space="preserve"> payment</w:t>
      </w:r>
      <w:r w:rsidR="00192704" w:rsidRPr="00817B9F">
        <w:rPr>
          <w:rFonts w:cs="Times New Roman"/>
        </w:rPr>
        <w:t xml:space="preserve"> that do</w:t>
      </w:r>
      <w:r w:rsidR="00ED24C4" w:rsidRPr="00817B9F">
        <w:rPr>
          <w:rFonts w:cs="Times New Roman"/>
        </w:rPr>
        <w:t>es</w:t>
      </w:r>
      <w:r w:rsidR="00CB1528" w:rsidRPr="00817B9F">
        <w:rPr>
          <w:rFonts w:cs="Times New Roman"/>
        </w:rPr>
        <w:t xml:space="preserve"> not</w:t>
      </w:r>
      <w:r w:rsidR="00192704" w:rsidRPr="00817B9F">
        <w:rPr>
          <w:rFonts w:cs="Times New Roman"/>
        </w:rPr>
        <w:t xml:space="preserve"> differentiate based on room type</w:t>
      </w:r>
      <w:r w:rsidR="00ED24C4" w:rsidRPr="00817B9F">
        <w:rPr>
          <w:rFonts w:cs="Times New Roman"/>
        </w:rPr>
        <w:t xml:space="preserve"> (</w:t>
      </w:r>
      <w:r w:rsidR="00ED24C4" w:rsidRPr="00817B9F">
        <w:rPr>
          <w:rFonts w:cs="Times New Roman"/>
          <w:i/>
          <w:iCs/>
        </w:rPr>
        <w:t>i.e.</w:t>
      </w:r>
      <w:r w:rsidR="00ED24C4" w:rsidRPr="00817B9F">
        <w:rPr>
          <w:rFonts w:cs="Times New Roman"/>
        </w:rPr>
        <w:t>, similar to the</w:t>
      </w:r>
      <w:r w:rsidRPr="00817B9F">
        <w:rPr>
          <w:rFonts w:cs="Times New Roman"/>
        </w:rPr>
        <w:t xml:space="preserve"> Medicare</w:t>
      </w:r>
      <w:r w:rsidR="00ED24C4" w:rsidRPr="00817B9F">
        <w:rPr>
          <w:rFonts w:cs="Times New Roman"/>
        </w:rPr>
        <w:t xml:space="preserve"> Inpatient Prospective Payment System). </w:t>
      </w:r>
    </w:p>
    <w:p w14:paraId="092BA785" w14:textId="24410C37" w:rsidR="008828FE" w:rsidRPr="00817B9F" w:rsidRDefault="00A679B7" w:rsidP="005D3EC9">
      <w:pPr>
        <w:pStyle w:val="BulletParagraph"/>
        <w:rPr>
          <w:rFonts w:cs="Times New Roman"/>
        </w:rPr>
      </w:pPr>
      <w:r w:rsidRPr="00817B9F">
        <w:rPr>
          <w:rFonts w:cs="Times New Roman"/>
        </w:rPr>
        <w:t xml:space="preserve">Finally, MassHealth </w:t>
      </w:r>
      <w:r w:rsidR="0030218E" w:rsidRPr="00817B9F">
        <w:rPr>
          <w:rFonts w:cs="Times New Roman"/>
        </w:rPr>
        <w:t xml:space="preserve">non-managed care </w:t>
      </w:r>
      <w:r w:rsidR="00C20120" w:rsidRPr="00817B9F">
        <w:rPr>
          <w:rFonts w:cs="Times New Roman"/>
        </w:rPr>
        <w:t>pays for inpatient care utilizing a</w:t>
      </w:r>
      <w:r w:rsidR="00496504" w:rsidRPr="00817B9F">
        <w:rPr>
          <w:rFonts w:cs="Times New Roman"/>
        </w:rPr>
        <w:t xml:space="preserve">n </w:t>
      </w:r>
      <w:r w:rsidR="00FF2AC3" w:rsidRPr="00817B9F">
        <w:rPr>
          <w:rFonts w:cs="Times New Roman"/>
        </w:rPr>
        <w:t>A</w:t>
      </w:r>
      <w:r w:rsidR="006B07A7" w:rsidRPr="00817B9F">
        <w:rPr>
          <w:rFonts w:cs="Times New Roman"/>
        </w:rPr>
        <w:t xml:space="preserve">djudicated </w:t>
      </w:r>
      <w:r w:rsidR="00FF2AC3" w:rsidRPr="00817B9F">
        <w:rPr>
          <w:rFonts w:cs="Times New Roman"/>
        </w:rPr>
        <w:t>P</w:t>
      </w:r>
      <w:r w:rsidR="006B07A7" w:rsidRPr="00817B9F">
        <w:rPr>
          <w:rFonts w:cs="Times New Roman"/>
        </w:rPr>
        <w:t xml:space="preserve">ayment </w:t>
      </w:r>
      <w:r w:rsidR="00FF2AC3" w:rsidRPr="00817B9F">
        <w:rPr>
          <w:rFonts w:cs="Times New Roman"/>
        </w:rPr>
        <w:t>A</w:t>
      </w:r>
      <w:r w:rsidR="006B07A7" w:rsidRPr="00817B9F">
        <w:rPr>
          <w:rFonts w:cs="Times New Roman"/>
        </w:rPr>
        <w:t xml:space="preserve">mount per </w:t>
      </w:r>
      <w:r w:rsidR="00FF2AC3" w:rsidRPr="00817B9F">
        <w:rPr>
          <w:rFonts w:cs="Times New Roman"/>
        </w:rPr>
        <w:t>D</w:t>
      </w:r>
      <w:r w:rsidR="006B07A7" w:rsidRPr="00817B9F">
        <w:rPr>
          <w:rFonts w:cs="Times New Roman"/>
        </w:rPr>
        <w:t>ischarge</w:t>
      </w:r>
      <w:r w:rsidR="00C20120" w:rsidRPr="00817B9F">
        <w:rPr>
          <w:rFonts w:cs="Times New Roman"/>
        </w:rPr>
        <w:t xml:space="preserve"> payment rate that</w:t>
      </w:r>
      <w:r w:rsidRPr="00817B9F">
        <w:rPr>
          <w:rFonts w:cs="Times New Roman"/>
        </w:rPr>
        <w:t xml:space="preserve"> does not </w:t>
      </w:r>
      <w:r w:rsidR="00C20120" w:rsidRPr="00817B9F">
        <w:rPr>
          <w:rFonts w:cs="Times New Roman"/>
        </w:rPr>
        <w:t>vary</w:t>
      </w:r>
      <w:r w:rsidR="001743FB" w:rsidRPr="00817B9F">
        <w:rPr>
          <w:rFonts w:cs="Times New Roman"/>
        </w:rPr>
        <w:t xml:space="preserve"> </w:t>
      </w:r>
      <w:r w:rsidR="00AF0A82" w:rsidRPr="00817B9F">
        <w:rPr>
          <w:rFonts w:cs="Times New Roman"/>
        </w:rPr>
        <w:t>based on room type.</w:t>
      </w:r>
      <w:r w:rsidR="009D16AE" w:rsidRPr="00817B9F">
        <w:rPr>
          <w:rStyle w:val="FootnoteReference"/>
          <w:rFonts w:cs="Times New Roman"/>
        </w:rPr>
        <w:footnoteReference w:id="202"/>
      </w:r>
    </w:p>
    <w:p w14:paraId="4E4A24DA" w14:textId="528CECAA" w:rsidR="00CF594E" w:rsidRPr="00817B9F" w:rsidRDefault="00CF594E" w:rsidP="008828FE">
      <w:pPr>
        <w:pStyle w:val="NumberedParagraphs"/>
        <w:numPr>
          <w:ilvl w:val="0"/>
          <w:numId w:val="0"/>
        </w:numPr>
      </w:pPr>
      <w:r w:rsidRPr="00817B9F">
        <w:t xml:space="preserve">We did not assess any indirect effects of a shift to private rooms on health care costs, such </w:t>
      </w:r>
      <w:r w:rsidR="008828FE" w:rsidRPr="00817B9F">
        <w:t xml:space="preserve">as a reduction in overall expenditures on health care services that may result, for example, from improved infection control associated with a greater number of single-bed rooms at MGH. </w:t>
      </w:r>
    </w:p>
    <w:p w14:paraId="6167F9B5" w14:textId="5103B6A0" w:rsidR="00D73917" w:rsidRPr="00817B9F" w:rsidRDefault="0065632A" w:rsidP="0065632A">
      <w:pPr>
        <w:pStyle w:val="Heading1"/>
      </w:pPr>
      <w:bookmarkStart w:id="121" w:name="_Ref88488670"/>
      <w:bookmarkStart w:id="122" w:name="_Ref88569029"/>
      <w:bookmarkStart w:id="123" w:name="_Toc90046537"/>
      <w:r w:rsidRPr="00817B9F">
        <w:t>P</w:t>
      </w:r>
      <w:r w:rsidR="008A449C" w:rsidRPr="00817B9F">
        <w:t>r</w:t>
      </w:r>
      <w:r w:rsidRPr="00817B9F">
        <w:t xml:space="preserve">edicted </w:t>
      </w:r>
      <w:r w:rsidR="00F47403" w:rsidRPr="00817B9F">
        <w:t>C</w:t>
      </w:r>
      <w:r w:rsidRPr="00817B9F">
        <w:t xml:space="preserve">hanges in </w:t>
      </w:r>
      <w:r w:rsidR="00F47403" w:rsidRPr="00817B9F">
        <w:t>H</w:t>
      </w:r>
      <w:r w:rsidR="00793B87" w:rsidRPr="00817B9F">
        <w:t xml:space="preserve">ealth </w:t>
      </w:r>
      <w:r w:rsidR="00F47403" w:rsidRPr="00817B9F">
        <w:t>C</w:t>
      </w:r>
      <w:r w:rsidR="00793B87" w:rsidRPr="00817B9F">
        <w:t>are Expenditures</w:t>
      </w:r>
      <w:bookmarkEnd w:id="121"/>
      <w:bookmarkEnd w:id="122"/>
      <w:bookmarkEnd w:id="123"/>
      <w:r w:rsidR="00793B87" w:rsidRPr="00817B9F">
        <w:t xml:space="preserve"> </w:t>
      </w:r>
    </w:p>
    <w:p w14:paraId="0E1FEACD" w14:textId="7B627804" w:rsidR="00FF3C15" w:rsidRPr="00817B9F" w:rsidRDefault="00FF3C15" w:rsidP="00FF3C15">
      <w:pPr>
        <w:pStyle w:val="NumberedParagraphs"/>
      </w:pPr>
      <w:r w:rsidRPr="00817B9F">
        <w:t xml:space="preserve">As part of our evaluation of the proposed project on health care costs in Massachusetts, the DoN program asked that we evaluate </w:t>
      </w:r>
      <w:r w:rsidR="004423FF" w:rsidRPr="00817B9F">
        <w:t xml:space="preserve">how the project might change utilization of relatively higher- and lower-priced health care providers, and to assess the effect of any changes in utilization on health care expenditures in Massachusetts. </w:t>
      </w:r>
      <w:r w:rsidR="002102C0" w:rsidRPr="00817B9F">
        <w:t xml:space="preserve">To answer this question, we use our models of patients’ demand for health care services to predict how patients’ choices of health care providers would change if the proposed project were approved. We then use our measures of the relative prices of health care services—separately by </w:t>
      </w:r>
      <w:r w:rsidR="00477F9F" w:rsidRPr="00817B9F">
        <w:t xml:space="preserve">health care provider, service line, and third-party payor—to </w:t>
      </w:r>
      <w:r w:rsidR="00477F9F" w:rsidRPr="00817B9F">
        <w:lastRenderedPageBreak/>
        <w:t xml:space="preserve">estimate the cost impact of changes in where patients choose to receive care if the proposed project were approved. </w:t>
      </w:r>
    </w:p>
    <w:p w14:paraId="3F755B6C" w14:textId="4FDC260B" w:rsidR="00BB6801" w:rsidRPr="00817B9F" w:rsidRDefault="00793B87" w:rsidP="00AA0512">
      <w:pPr>
        <w:pStyle w:val="Heading2"/>
        <w:numPr>
          <w:ilvl w:val="0"/>
          <w:numId w:val="13"/>
        </w:numPr>
        <w:rPr>
          <w:rFonts w:cs="Times New Roman"/>
        </w:rPr>
      </w:pPr>
      <w:bookmarkStart w:id="124" w:name="_Ref88488672"/>
      <w:bookmarkStart w:id="125" w:name="_Ref88569031"/>
      <w:bookmarkStart w:id="126" w:name="_Toc90046538"/>
      <w:r w:rsidRPr="00817B9F">
        <w:rPr>
          <w:rFonts w:cs="Times New Roman"/>
        </w:rPr>
        <w:t>Inpatient Services</w:t>
      </w:r>
      <w:bookmarkEnd w:id="124"/>
      <w:bookmarkEnd w:id="125"/>
      <w:bookmarkEnd w:id="126"/>
    </w:p>
    <w:p w14:paraId="55372D1B" w14:textId="04DF295F" w:rsidR="00161248" w:rsidRPr="00817B9F" w:rsidRDefault="00417828" w:rsidP="00161248">
      <w:pPr>
        <w:pStyle w:val="NumberedParagraphs"/>
      </w:pPr>
      <w:r w:rsidRPr="00817B9F">
        <w:t>For inpatient services</w:t>
      </w:r>
      <w:r w:rsidR="00AF12CE" w:rsidRPr="00817B9F">
        <w:t>,</w:t>
      </w:r>
      <w:r w:rsidRPr="00817B9F">
        <w:t xml:space="preserve"> we </w:t>
      </w:r>
      <w:r w:rsidR="00E84191" w:rsidRPr="00817B9F">
        <w:t>forecast</w:t>
      </w:r>
      <w:r w:rsidRPr="00817B9F">
        <w:t xml:space="preserve"> changes in health care expenditures </w:t>
      </w:r>
      <w:r w:rsidR="00366A71" w:rsidRPr="00817B9F">
        <w:t xml:space="preserve">associated with the proposed project using (i) </w:t>
      </w:r>
      <w:r w:rsidRPr="00817B9F">
        <w:t xml:space="preserve">the simulations </w:t>
      </w:r>
      <w:r w:rsidR="00366A71" w:rsidRPr="00817B9F">
        <w:t xml:space="preserve">we </w:t>
      </w:r>
      <w:r w:rsidRPr="00817B9F">
        <w:t>describe</w:t>
      </w:r>
      <w:r w:rsidR="006E3678" w:rsidRPr="00817B9F">
        <w:t>d</w:t>
      </w:r>
      <w:r w:rsidRPr="00817B9F">
        <w:t xml:space="preserve"> in Section </w:t>
      </w:r>
      <w:r w:rsidR="00126A2B" w:rsidRPr="00817B9F">
        <w:fldChar w:fldCharType="begin"/>
      </w:r>
      <w:r w:rsidR="00126A2B" w:rsidRPr="00817B9F">
        <w:instrText xml:space="preserve"> REF _Ref88993224 \n \h  \* MERGEFORMAT </w:instrText>
      </w:r>
      <w:r w:rsidR="00126A2B" w:rsidRPr="00817B9F">
        <w:fldChar w:fldCharType="separate"/>
      </w:r>
      <w:r w:rsidR="002B78C3">
        <w:t>VI</w:t>
      </w:r>
      <w:r w:rsidR="00126A2B" w:rsidRPr="00817B9F">
        <w:fldChar w:fldCharType="end"/>
      </w:r>
      <w:r w:rsidR="000142C5" w:rsidRPr="00817B9F">
        <w:t>.</w:t>
      </w:r>
      <w:r w:rsidR="004227D6" w:rsidRPr="00817B9F">
        <w:fldChar w:fldCharType="begin"/>
      </w:r>
      <w:r w:rsidR="004227D6" w:rsidRPr="00817B9F">
        <w:instrText xml:space="preserve"> REF _Ref88994570 \w \h </w:instrText>
      </w:r>
      <w:r w:rsidR="00FD09F0" w:rsidRPr="00817B9F">
        <w:instrText xml:space="preserve"> \* MERGEFORMAT </w:instrText>
      </w:r>
      <w:r w:rsidR="004227D6" w:rsidRPr="00817B9F">
        <w:fldChar w:fldCharType="separate"/>
      </w:r>
      <w:r w:rsidR="002B78C3">
        <w:t>A</w:t>
      </w:r>
      <w:r w:rsidR="004227D6" w:rsidRPr="00817B9F">
        <w:fldChar w:fldCharType="end"/>
      </w:r>
      <w:r w:rsidRPr="00817B9F">
        <w:t xml:space="preserve"> that forecast inpatient hospital utilization after the proposed project</w:t>
      </w:r>
      <w:r w:rsidR="001315A3" w:rsidRPr="00817B9F">
        <w:t>,</w:t>
      </w:r>
      <w:r w:rsidRPr="00817B9F">
        <w:t xml:space="preserve"> and </w:t>
      </w:r>
      <w:r w:rsidR="001315A3" w:rsidRPr="00817B9F">
        <w:t xml:space="preserve">(ii) </w:t>
      </w:r>
      <w:r w:rsidRPr="00817B9F">
        <w:t xml:space="preserve">the CHIA Inpatient Relative Price Data </w:t>
      </w:r>
      <w:r w:rsidR="00C03658" w:rsidRPr="00817B9F">
        <w:t xml:space="preserve">we </w:t>
      </w:r>
      <w:r w:rsidRPr="00817B9F">
        <w:t>describe</w:t>
      </w:r>
      <w:r w:rsidR="006E3678" w:rsidRPr="00817B9F">
        <w:t>d</w:t>
      </w:r>
      <w:r w:rsidRPr="00817B9F">
        <w:t xml:space="preserve"> in Section </w:t>
      </w:r>
      <w:r w:rsidR="001315A3" w:rsidRPr="00817B9F">
        <w:fldChar w:fldCharType="begin"/>
      </w:r>
      <w:r w:rsidR="001315A3" w:rsidRPr="00817B9F">
        <w:instrText xml:space="preserve"> REF _Ref88655817 \w \h </w:instrText>
      </w:r>
      <w:r w:rsidR="00FD09F0" w:rsidRPr="00817B9F">
        <w:instrText xml:space="preserve"> \* MERGEFORMAT </w:instrText>
      </w:r>
      <w:r w:rsidR="001315A3" w:rsidRPr="00817B9F">
        <w:fldChar w:fldCharType="separate"/>
      </w:r>
      <w:r w:rsidR="002B78C3">
        <w:t>III</w:t>
      </w:r>
      <w:r w:rsidR="001315A3" w:rsidRPr="00817B9F">
        <w:fldChar w:fldCharType="end"/>
      </w:r>
      <w:r w:rsidR="001315A3" w:rsidRPr="00817B9F">
        <w:t>.</w:t>
      </w:r>
      <w:r w:rsidRPr="00817B9F">
        <w:fldChar w:fldCharType="begin"/>
      </w:r>
      <w:r w:rsidRPr="00817B9F">
        <w:instrText xml:space="preserve"> REF _Ref88594712 \r \h  \* MERGEFORMAT </w:instrText>
      </w:r>
      <w:r w:rsidRPr="00817B9F">
        <w:fldChar w:fldCharType="separate"/>
      </w:r>
      <w:r w:rsidR="002B78C3">
        <w:t>A</w:t>
      </w:r>
      <w:r w:rsidRPr="00817B9F">
        <w:fldChar w:fldCharType="end"/>
      </w:r>
      <w:r w:rsidRPr="00817B9F">
        <w:t>.</w:t>
      </w:r>
      <w:r w:rsidRPr="00817B9F">
        <w:fldChar w:fldCharType="begin"/>
      </w:r>
      <w:r w:rsidRPr="00817B9F">
        <w:instrText xml:space="preserve"> REF _Ref88218080 \r \h  \* MERGEFORMAT </w:instrText>
      </w:r>
      <w:r w:rsidRPr="00817B9F">
        <w:fldChar w:fldCharType="separate"/>
      </w:r>
      <w:r w:rsidR="002B78C3">
        <w:t>4</w:t>
      </w:r>
      <w:r w:rsidRPr="00817B9F">
        <w:fldChar w:fldCharType="end"/>
      </w:r>
      <w:r w:rsidRPr="00817B9F">
        <w:t xml:space="preserve">. </w:t>
      </w:r>
      <w:r w:rsidR="007E26A6" w:rsidRPr="00817B9F">
        <w:t>Specifically, t</w:t>
      </w:r>
      <w:r w:rsidRPr="00817B9F">
        <w:t>he simulations summarize</w:t>
      </w:r>
      <w:r w:rsidR="00692E02" w:rsidRPr="00817B9F">
        <w:t>d</w:t>
      </w:r>
      <w:r w:rsidRPr="00817B9F">
        <w:t xml:space="preserve"> in Figure MGH1</w:t>
      </w:r>
      <w:r w:rsidR="00946F23" w:rsidRPr="00817B9F">
        <w:t>6</w:t>
      </w:r>
      <w:r w:rsidRPr="00817B9F">
        <w:t xml:space="preserve"> </w:t>
      </w:r>
      <w:r w:rsidR="007E26A6" w:rsidRPr="00817B9F">
        <w:t>predict</w:t>
      </w:r>
      <w:r w:rsidRPr="00817B9F">
        <w:t xml:space="preserve"> which</w:t>
      </w:r>
      <w:r w:rsidR="008D5B22" w:rsidRPr="00817B9F">
        <w:t xml:space="preserve"> </w:t>
      </w:r>
      <w:r w:rsidR="00DE7558" w:rsidRPr="00817B9F">
        <w:t xml:space="preserve">patients would </w:t>
      </w:r>
      <w:r w:rsidR="00C03658" w:rsidRPr="00817B9F">
        <w:t>switch</w:t>
      </w:r>
      <w:r w:rsidR="00DE7558" w:rsidRPr="00817B9F">
        <w:t xml:space="preserve"> to MGH</w:t>
      </w:r>
      <w:r w:rsidR="00BD7754" w:rsidRPr="00817B9F">
        <w:t xml:space="preserve"> </w:t>
      </w:r>
      <w:r w:rsidR="00845F93" w:rsidRPr="00817B9F">
        <w:t xml:space="preserve">to </w:t>
      </w:r>
      <w:r w:rsidR="00DE7558" w:rsidRPr="00817B9F">
        <w:t xml:space="preserve">receive care </w:t>
      </w:r>
      <w:r w:rsidRPr="00817B9F">
        <w:t xml:space="preserve">after the proposed project. </w:t>
      </w:r>
      <w:r w:rsidR="005900D6" w:rsidRPr="00817B9F">
        <w:t xml:space="preserve">For each patient who would switch to MGH, the Hospital Inpatient Discharge Data identify the source of the patient’s health insurance coverage. </w:t>
      </w:r>
      <w:r w:rsidRPr="00817B9F">
        <w:t>We</w:t>
      </w:r>
      <w:r w:rsidR="000F528E" w:rsidRPr="00817B9F">
        <w:t xml:space="preserve"> </w:t>
      </w:r>
      <w:r w:rsidR="006E4539" w:rsidRPr="00817B9F">
        <w:t>then</w:t>
      </w:r>
      <w:r w:rsidRPr="00817B9F">
        <w:t xml:space="preserve"> use the CHIA Inpatient Relative Price Data to </w:t>
      </w:r>
      <w:r w:rsidR="001A5DD1" w:rsidRPr="00817B9F">
        <w:t>compare the prices</w:t>
      </w:r>
      <w:r w:rsidR="008D5B22" w:rsidRPr="00817B9F">
        <w:t>—which are specific to the patient’s health insurance coverage—</w:t>
      </w:r>
      <w:r w:rsidR="001A5DD1" w:rsidRPr="00817B9F">
        <w:t xml:space="preserve">for the </w:t>
      </w:r>
      <w:r w:rsidR="00163165" w:rsidRPr="00817B9F">
        <w:t xml:space="preserve">inpatient </w:t>
      </w:r>
      <w:r w:rsidR="001A5DD1" w:rsidRPr="00817B9F">
        <w:t xml:space="preserve">service at the hospital </w:t>
      </w:r>
      <w:r w:rsidR="005D2F80" w:rsidRPr="00817B9F">
        <w:t xml:space="preserve">utilized by </w:t>
      </w:r>
      <w:r w:rsidR="001A5DD1" w:rsidRPr="00817B9F">
        <w:t xml:space="preserve">the patient to prices for the same </w:t>
      </w:r>
      <w:r w:rsidR="00163165" w:rsidRPr="00817B9F">
        <w:t xml:space="preserve">inpatient </w:t>
      </w:r>
      <w:r w:rsidR="001A5DD1" w:rsidRPr="00817B9F">
        <w:t>service at MGH</w:t>
      </w:r>
      <w:r w:rsidR="008D5B22" w:rsidRPr="00817B9F">
        <w:t xml:space="preserve">. </w:t>
      </w:r>
      <w:r w:rsidR="00163165" w:rsidRPr="00817B9F">
        <w:t xml:space="preserve">If the price for the service is higher at MGH than at the hospital the patient </w:t>
      </w:r>
      <w:r w:rsidR="005D2F80" w:rsidRPr="00817B9F">
        <w:t>previously utilized</w:t>
      </w:r>
      <w:r w:rsidR="00163165" w:rsidRPr="00817B9F">
        <w:t xml:space="preserve">, </w:t>
      </w:r>
      <w:r w:rsidR="00161248" w:rsidRPr="00817B9F">
        <w:t xml:space="preserve">health care expenditures will increase. If the price for the service at MGH is lower than </w:t>
      </w:r>
      <w:r w:rsidR="00F54049" w:rsidRPr="00817B9F">
        <w:t>the price</w:t>
      </w:r>
      <w:r w:rsidR="00161248" w:rsidRPr="00817B9F">
        <w:t xml:space="preserve"> at the hospital the patient </w:t>
      </w:r>
      <w:r w:rsidR="005D2F80" w:rsidRPr="00817B9F">
        <w:t>previously utilized</w:t>
      </w:r>
      <w:r w:rsidR="00161248" w:rsidRPr="00817B9F">
        <w:t xml:space="preserve">, health care expenditures will decrease. </w:t>
      </w:r>
      <w:r w:rsidR="00216CA5" w:rsidRPr="00817B9F">
        <w:t>For</w:t>
      </w:r>
      <w:r w:rsidR="0035306F" w:rsidRPr="00817B9F">
        <w:t xml:space="preserve"> patients</w:t>
      </w:r>
      <w:r w:rsidR="00216CA5" w:rsidRPr="00817B9F">
        <w:t xml:space="preserve"> whose</w:t>
      </w:r>
      <w:r w:rsidR="0035306F" w:rsidRPr="00817B9F">
        <w:t xml:space="preserve"> choice of hospital is unaffected (</w:t>
      </w:r>
      <w:r w:rsidR="0035306F" w:rsidRPr="00817B9F">
        <w:rPr>
          <w:i/>
        </w:rPr>
        <w:t>i.e.</w:t>
      </w:r>
      <w:r w:rsidR="0035306F" w:rsidRPr="00817B9F">
        <w:t>, the patient continues to receive care at MGH or one of its competitors</w:t>
      </w:r>
      <w:r w:rsidR="00216CA5" w:rsidRPr="00817B9F">
        <w:t xml:space="preserve"> after the completion of the proposed project</w:t>
      </w:r>
      <w:r w:rsidR="0035306F" w:rsidRPr="00817B9F">
        <w:t xml:space="preserve">), there is no impact </w:t>
      </w:r>
      <w:r w:rsidR="00C03658" w:rsidRPr="00817B9F">
        <w:t xml:space="preserve">on health care expenditures. </w:t>
      </w:r>
    </w:p>
    <w:p w14:paraId="7E61F570" w14:textId="10D51FCE" w:rsidR="00F34E2F" w:rsidRPr="00817B9F" w:rsidRDefault="001B2E9B" w:rsidP="000907DB">
      <w:pPr>
        <w:pStyle w:val="NumberedParagraphs"/>
      </w:pPr>
      <w:r w:rsidRPr="00817B9F">
        <w:t xml:space="preserve">As we </w:t>
      </w:r>
      <w:r w:rsidR="000907DB" w:rsidRPr="00817B9F">
        <w:t>remarked</w:t>
      </w:r>
      <w:r w:rsidRPr="00817B9F">
        <w:t xml:space="preserve"> above, the </w:t>
      </w:r>
      <w:r w:rsidR="008D5071" w:rsidRPr="00817B9F">
        <w:t xml:space="preserve">Hospital Inpatient Discharge Database </w:t>
      </w:r>
      <w:r w:rsidR="00E65A5A" w:rsidRPr="00817B9F">
        <w:t xml:space="preserve">that </w:t>
      </w:r>
      <w:r w:rsidR="008D5071" w:rsidRPr="00817B9F">
        <w:t>we us</w:t>
      </w:r>
      <w:r w:rsidR="000907DB" w:rsidRPr="00817B9F">
        <w:t>e</w:t>
      </w:r>
      <w:r w:rsidR="008D5071" w:rsidRPr="00817B9F">
        <w:t xml:space="preserve"> to estimate </w:t>
      </w:r>
      <w:r w:rsidR="000907DB" w:rsidRPr="00817B9F">
        <w:t>demand for in</w:t>
      </w:r>
      <w:r w:rsidR="00E65A5A" w:rsidRPr="00817B9F">
        <w:t>patient hospital</w:t>
      </w:r>
      <w:r w:rsidR="008D5071" w:rsidRPr="00817B9F">
        <w:t xml:space="preserve"> services </w:t>
      </w:r>
      <w:r w:rsidR="009421B1" w:rsidRPr="00817B9F">
        <w:t>report</w:t>
      </w:r>
      <w:r w:rsidR="00E65A5A" w:rsidRPr="00817B9F">
        <w:t>s</w:t>
      </w:r>
      <w:r w:rsidR="009421B1" w:rsidRPr="00817B9F">
        <w:t xml:space="preserve"> the type of insurance </w:t>
      </w:r>
      <w:r w:rsidR="00E65A5A" w:rsidRPr="00817B9F">
        <w:t xml:space="preserve">coverage for </w:t>
      </w:r>
      <w:r w:rsidR="009421B1" w:rsidRPr="00817B9F">
        <w:t>each patient</w:t>
      </w:r>
      <w:r w:rsidR="00E65A5A" w:rsidRPr="00817B9F">
        <w:t xml:space="preserve"> </w:t>
      </w:r>
      <w:r w:rsidR="009421B1" w:rsidRPr="00817B9F">
        <w:t>(</w:t>
      </w:r>
      <w:r w:rsidR="009421B1" w:rsidRPr="00817B9F">
        <w:rPr>
          <w:i/>
        </w:rPr>
        <w:t>e.g.</w:t>
      </w:r>
      <w:r w:rsidR="009421B1" w:rsidRPr="00817B9F">
        <w:t xml:space="preserve">, </w:t>
      </w:r>
      <w:r w:rsidR="0018356D" w:rsidRPr="00817B9F">
        <w:t>c</w:t>
      </w:r>
      <w:r w:rsidR="009421B1" w:rsidRPr="00817B9F">
        <w:t>ommercial, Original Medicare, MassHealth</w:t>
      </w:r>
      <w:r w:rsidR="00DE0F84" w:rsidRPr="00817B9F">
        <w:t xml:space="preserve">) and </w:t>
      </w:r>
      <w:r w:rsidR="00AC2223" w:rsidRPr="00817B9F">
        <w:t xml:space="preserve">the </w:t>
      </w:r>
      <w:r w:rsidR="00E65A5A" w:rsidRPr="00817B9F">
        <w:t xml:space="preserve">payor </w:t>
      </w:r>
      <w:r w:rsidR="00AC2223" w:rsidRPr="00817B9F">
        <w:t>that</w:t>
      </w:r>
      <w:r w:rsidR="00E65A5A" w:rsidRPr="00817B9F">
        <w:t xml:space="preserve"> insures or administers</w:t>
      </w:r>
      <w:r w:rsidR="00AC2223" w:rsidRPr="00817B9F">
        <w:t xml:space="preserve"> </w:t>
      </w:r>
      <w:r w:rsidR="00A87483" w:rsidRPr="00817B9F">
        <w:t>the patient’s health plan.</w:t>
      </w:r>
      <w:r w:rsidR="00A266CE" w:rsidRPr="00817B9F">
        <w:t xml:space="preserve"> </w:t>
      </w:r>
      <w:r w:rsidR="008C631C" w:rsidRPr="00817B9F">
        <w:t xml:space="preserve">For example, </w:t>
      </w:r>
      <w:r w:rsidR="00CC01F2" w:rsidRPr="00817B9F">
        <w:t xml:space="preserve">the simulations summarized in </w:t>
      </w:r>
      <w:r w:rsidR="008C631C" w:rsidRPr="00817B9F">
        <w:t xml:space="preserve">Figure </w:t>
      </w:r>
      <w:r w:rsidR="00D67DE8" w:rsidRPr="00817B9F">
        <w:t>MGH</w:t>
      </w:r>
      <w:r w:rsidR="00230DEE" w:rsidRPr="00817B9F">
        <w:t>1</w:t>
      </w:r>
      <w:r w:rsidR="00946F23" w:rsidRPr="00817B9F">
        <w:t>6</w:t>
      </w:r>
      <w:r w:rsidR="008C631C" w:rsidRPr="00817B9F">
        <w:t xml:space="preserve"> </w:t>
      </w:r>
      <w:r w:rsidR="00CC01F2" w:rsidRPr="00817B9F">
        <w:t>show that</w:t>
      </w:r>
      <w:r w:rsidR="00033055" w:rsidRPr="00817B9F">
        <w:t xml:space="preserve"> </w:t>
      </w:r>
      <w:r w:rsidR="005C3B1D" w:rsidRPr="00817B9F">
        <w:t>MGH’s share</w:t>
      </w:r>
      <w:r w:rsidR="00CC01F2" w:rsidRPr="00817B9F">
        <w:t xml:space="preserve"> of inpatient discharges </w:t>
      </w:r>
      <w:r w:rsidR="00CA2305" w:rsidRPr="00817B9F">
        <w:t xml:space="preserve">in its service area </w:t>
      </w:r>
      <w:r w:rsidR="00CC01F2" w:rsidRPr="00817B9F">
        <w:t xml:space="preserve">is predicted to increase by </w:t>
      </w:r>
      <w:r w:rsidR="005C3B1D" w:rsidRPr="00817B9F">
        <w:t>1.</w:t>
      </w:r>
      <w:r w:rsidR="008A021F" w:rsidRPr="00817B9F">
        <w:t>3</w:t>
      </w:r>
      <w:r w:rsidR="005C3B1D" w:rsidRPr="00817B9F">
        <w:t xml:space="preserve"> percent</w:t>
      </w:r>
      <w:r w:rsidR="00CC01F2" w:rsidRPr="00817B9F">
        <w:t>age points as a result of the proposed project</w:t>
      </w:r>
      <w:r w:rsidR="005C3B1D" w:rsidRPr="00817B9F">
        <w:t>, partially at the expense of Beth Israel Deaconess Medical Center, whose share</w:t>
      </w:r>
      <w:r w:rsidR="00CA2305" w:rsidRPr="00817B9F">
        <w:t xml:space="preserve"> in MGH’s service area</w:t>
      </w:r>
      <w:r w:rsidR="005C3B1D" w:rsidRPr="00817B9F">
        <w:t xml:space="preserve"> decreases by 0.</w:t>
      </w:r>
      <w:r w:rsidR="008A021F" w:rsidRPr="00817B9F">
        <w:t>2</w:t>
      </w:r>
      <w:r w:rsidR="005C3B1D" w:rsidRPr="00817B9F">
        <w:t xml:space="preserve"> percent</w:t>
      </w:r>
      <w:r w:rsidR="00CA2305" w:rsidRPr="00817B9F">
        <w:t>age points</w:t>
      </w:r>
      <w:r w:rsidR="005C3B1D" w:rsidRPr="00817B9F">
        <w:t>.</w:t>
      </w:r>
      <w:r w:rsidR="00580E3D" w:rsidRPr="00817B9F">
        <w:t xml:space="preserve"> </w:t>
      </w:r>
      <w:r w:rsidR="00061082" w:rsidRPr="00817B9F">
        <w:t>The Beth Israel Deaconess</w:t>
      </w:r>
      <w:r w:rsidR="00CA2305" w:rsidRPr="00817B9F">
        <w:t xml:space="preserve"> Medical Center</w:t>
      </w:r>
      <w:r w:rsidR="00061082" w:rsidRPr="00817B9F">
        <w:t xml:space="preserve"> patients</w:t>
      </w:r>
      <w:r w:rsidR="00FA2F95" w:rsidRPr="00817B9F">
        <w:t xml:space="preserve"> </w:t>
      </w:r>
      <w:r w:rsidR="00CA2305" w:rsidRPr="00817B9F">
        <w:t>who are predicted to switch to MGH are covered by many different payors</w:t>
      </w:r>
      <w:r w:rsidR="00FA2F95" w:rsidRPr="00817B9F">
        <w:t>.</w:t>
      </w:r>
      <w:r w:rsidR="00580E3D" w:rsidRPr="00817B9F">
        <w:t xml:space="preserve"> </w:t>
      </w:r>
      <w:r w:rsidR="007B504D" w:rsidRPr="00817B9F">
        <w:t>A</w:t>
      </w:r>
      <w:r w:rsidR="001131C2" w:rsidRPr="00817B9F">
        <w:t xml:space="preserve">pproximately half </w:t>
      </w:r>
      <w:r w:rsidR="00CA2305" w:rsidRPr="00817B9F">
        <w:t xml:space="preserve">of these </w:t>
      </w:r>
      <w:r w:rsidR="001131C2" w:rsidRPr="00817B9F">
        <w:t xml:space="preserve">patients </w:t>
      </w:r>
      <w:r w:rsidR="00FA2F95" w:rsidRPr="00817B9F">
        <w:t>are covered by Original Medicare,</w:t>
      </w:r>
      <w:r w:rsidR="00CA2305" w:rsidRPr="00817B9F">
        <w:t xml:space="preserve"> </w:t>
      </w:r>
      <w:r w:rsidR="00946A0A" w:rsidRPr="00817B9F">
        <w:t>ten</w:t>
      </w:r>
      <w:r w:rsidR="00CA2305" w:rsidRPr="00817B9F">
        <w:t xml:space="preserve"> p</w:t>
      </w:r>
      <w:r w:rsidR="00F0207D" w:rsidRPr="00817B9F">
        <w:t xml:space="preserve">ercent </w:t>
      </w:r>
      <w:r w:rsidR="00384F76" w:rsidRPr="00817B9F">
        <w:t>are covered by a BCBS-MA</w:t>
      </w:r>
      <w:r w:rsidR="00F24A1C" w:rsidRPr="00817B9F">
        <w:t xml:space="preserve"> </w:t>
      </w:r>
      <w:r w:rsidR="00F0207D" w:rsidRPr="00817B9F">
        <w:t>commercial</w:t>
      </w:r>
      <w:r w:rsidR="00F24A1C" w:rsidRPr="00817B9F">
        <w:t xml:space="preserve"> </w:t>
      </w:r>
      <w:r w:rsidR="00F06846" w:rsidRPr="00817B9F">
        <w:t xml:space="preserve">health </w:t>
      </w:r>
      <w:r w:rsidR="00F24A1C" w:rsidRPr="00817B9F">
        <w:t>plan</w:t>
      </w:r>
      <w:r w:rsidR="00F06846" w:rsidRPr="00817B9F">
        <w:t xml:space="preserve">, </w:t>
      </w:r>
      <w:r w:rsidR="00946A0A" w:rsidRPr="00817B9F">
        <w:t>ten</w:t>
      </w:r>
      <w:r w:rsidR="00F06846" w:rsidRPr="00817B9F">
        <w:t xml:space="preserve"> percent are covered by </w:t>
      </w:r>
      <w:r w:rsidR="00F24A1C" w:rsidRPr="00817B9F">
        <w:t xml:space="preserve">a </w:t>
      </w:r>
      <w:r w:rsidR="00A86A8A" w:rsidRPr="00817B9F">
        <w:t>Tufts</w:t>
      </w:r>
      <w:r w:rsidR="00F24A1C" w:rsidRPr="00817B9F">
        <w:t xml:space="preserve"> </w:t>
      </w:r>
      <w:r w:rsidR="00F06846" w:rsidRPr="00817B9F">
        <w:t xml:space="preserve">Health Plan </w:t>
      </w:r>
      <w:r w:rsidR="00F24A1C" w:rsidRPr="00817B9F">
        <w:t>Medicare</w:t>
      </w:r>
      <w:r w:rsidR="00F06846" w:rsidRPr="00817B9F">
        <w:t xml:space="preserve"> Advantage</w:t>
      </w:r>
      <w:r w:rsidR="00F24A1C" w:rsidRPr="00817B9F">
        <w:t xml:space="preserve"> plan, </w:t>
      </w:r>
      <w:r w:rsidR="00F06846" w:rsidRPr="00817B9F">
        <w:t>and so on</w:t>
      </w:r>
      <w:r w:rsidR="000907DB" w:rsidRPr="00817B9F">
        <w:t xml:space="preserve">. </w:t>
      </w:r>
    </w:p>
    <w:p w14:paraId="4EFE9343" w14:textId="38D3E177" w:rsidR="00350FAD" w:rsidRPr="00817B9F" w:rsidRDefault="003E1633" w:rsidP="00347D12">
      <w:pPr>
        <w:pStyle w:val="NumberedParagraphs"/>
      </w:pPr>
      <w:r w:rsidRPr="00817B9F">
        <w:lastRenderedPageBreak/>
        <w:t>The overall effect</w:t>
      </w:r>
      <w:r w:rsidR="00781FF3" w:rsidRPr="00817B9F">
        <w:t xml:space="preserve"> </w:t>
      </w:r>
      <w:r w:rsidR="00471132" w:rsidRPr="00817B9F">
        <w:t>of these switches</w:t>
      </w:r>
      <w:r w:rsidR="00781FF3" w:rsidRPr="00817B9F">
        <w:t xml:space="preserve"> </w:t>
      </w:r>
      <w:r w:rsidR="00062CBA" w:rsidRPr="00817B9F">
        <w:t xml:space="preserve">on inpatient hospital expenditures </w:t>
      </w:r>
      <w:r w:rsidR="00781FF3" w:rsidRPr="00817B9F">
        <w:t xml:space="preserve">depends on </w:t>
      </w:r>
      <w:r w:rsidR="00471132" w:rsidRPr="00817B9F">
        <w:t xml:space="preserve">the relative </w:t>
      </w:r>
      <w:r w:rsidR="00E81B70" w:rsidRPr="00817B9F">
        <w:t>prices</w:t>
      </w:r>
      <w:r w:rsidR="00471132" w:rsidRPr="00817B9F">
        <w:t xml:space="preserve"> </w:t>
      </w:r>
      <w:r w:rsidR="00062CBA" w:rsidRPr="00817B9F">
        <w:t xml:space="preserve">of MGH and the hospitals that patients are </w:t>
      </w:r>
      <w:r w:rsidR="00E81B70" w:rsidRPr="00817B9F">
        <w:t>s</w:t>
      </w:r>
      <w:r w:rsidR="00062CBA" w:rsidRPr="00817B9F">
        <w:t>witching from</w:t>
      </w:r>
      <w:r w:rsidR="00E81B70" w:rsidRPr="00817B9F">
        <w:t>.</w:t>
      </w:r>
      <w:r w:rsidR="00580E3D" w:rsidRPr="00817B9F">
        <w:t xml:space="preserve"> </w:t>
      </w:r>
      <w:r w:rsidR="001C46F8" w:rsidRPr="00817B9F">
        <w:t>For example</w:t>
      </w:r>
      <w:r w:rsidR="00350FAD" w:rsidRPr="00817B9F">
        <w:t>:</w:t>
      </w:r>
      <w:r w:rsidR="001C46F8" w:rsidRPr="00817B9F">
        <w:t xml:space="preserve"> </w:t>
      </w:r>
    </w:p>
    <w:p w14:paraId="2C6DBFCA" w14:textId="32F65E4B" w:rsidR="00350FAD" w:rsidRPr="00817B9F" w:rsidRDefault="00BD6F84" w:rsidP="005D3EC9">
      <w:pPr>
        <w:pStyle w:val="BulletParagraph"/>
        <w:rPr>
          <w:rFonts w:cs="Times New Roman"/>
        </w:rPr>
      </w:pPr>
      <w:r w:rsidRPr="00817B9F">
        <w:rPr>
          <w:rFonts w:cs="Times New Roman"/>
        </w:rPr>
        <w:t>The CHIA Inpatient Relative Price Data</w:t>
      </w:r>
      <w:r w:rsidR="00062CBA" w:rsidRPr="00817B9F">
        <w:rPr>
          <w:rFonts w:cs="Times New Roman"/>
        </w:rPr>
        <w:t xml:space="preserve"> report that </w:t>
      </w:r>
      <w:r w:rsidR="00B523C7" w:rsidRPr="00817B9F">
        <w:rPr>
          <w:rFonts w:cs="Times New Roman"/>
        </w:rPr>
        <w:t xml:space="preserve">BCBS-MA </w:t>
      </w:r>
      <w:r w:rsidR="00300927" w:rsidRPr="00817B9F">
        <w:rPr>
          <w:rFonts w:cs="Times New Roman"/>
        </w:rPr>
        <w:t>pay</w:t>
      </w:r>
      <w:r w:rsidR="00A771F8" w:rsidRPr="00817B9F">
        <w:rPr>
          <w:rFonts w:cs="Times New Roman"/>
        </w:rPr>
        <w:t>s</w:t>
      </w:r>
      <w:r w:rsidR="00300927" w:rsidRPr="00817B9F">
        <w:rPr>
          <w:rFonts w:cs="Times New Roman"/>
        </w:rPr>
        <w:t xml:space="preserve"> MGH commercial rates that are 36 percent higher than </w:t>
      </w:r>
      <w:r w:rsidR="00026470" w:rsidRPr="00817B9F">
        <w:rPr>
          <w:rFonts w:cs="Times New Roman"/>
        </w:rPr>
        <w:t>BCBS-MA’s</w:t>
      </w:r>
      <w:r w:rsidR="00DD20F3" w:rsidRPr="00817B9F">
        <w:rPr>
          <w:rFonts w:cs="Times New Roman"/>
        </w:rPr>
        <w:t xml:space="preserve"> average commercial rates </w:t>
      </w:r>
      <w:r w:rsidR="005A37A5" w:rsidRPr="00817B9F">
        <w:rPr>
          <w:rFonts w:cs="Times New Roman"/>
        </w:rPr>
        <w:t xml:space="preserve">across </w:t>
      </w:r>
      <w:r w:rsidR="00026470" w:rsidRPr="00817B9F">
        <w:rPr>
          <w:rFonts w:cs="Times New Roman"/>
        </w:rPr>
        <w:t>its</w:t>
      </w:r>
      <w:r w:rsidR="005A37A5" w:rsidRPr="00817B9F">
        <w:rPr>
          <w:rFonts w:cs="Times New Roman"/>
        </w:rPr>
        <w:t xml:space="preserve"> hospital</w:t>
      </w:r>
      <w:r w:rsidR="00300927" w:rsidRPr="00817B9F">
        <w:rPr>
          <w:rFonts w:cs="Times New Roman"/>
        </w:rPr>
        <w:t xml:space="preserve"> net</w:t>
      </w:r>
      <w:r w:rsidR="00ED55B5" w:rsidRPr="00817B9F">
        <w:rPr>
          <w:rFonts w:cs="Times New Roman"/>
        </w:rPr>
        <w:t>work</w:t>
      </w:r>
      <w:r w:rsidR="005A37A5" w:rsidRPr="00817B9F">
        <w:rPr>
          <w:rFonts w:cs="Times New Roman"/>
        </w:rPr>
        <w:t xml:space="preserve">. CHIA also reports that BCBS-MA </w:t>
      </w:r>
      <w:r w:rsidR="00ED55B5" w:rsidRPr="00817B9F">
        <w:rPr>
          <w:rFonts w:cs="Times New Roman"/>
        </w:rPr>
        <w:t>pay</w:t>
      </w:r>
      <w:r w:rsidR="00A771F8" w:rsidRPr="00817B9F">
        <w:rPr>
          <w:rFonts w:cs="Times New Roman"/>
        </w:rPr>
        <w:t>s</w:t>
      </w:r>
      <w:r w:rsidR="00ED55B5" w:rsidRPr="00817B9F">
        <w:rPr>
          <w:rFonts w:cs="Times New Roman"/>
        </w:rPr>
        <w:t xml:space="preserve"> Beth Israel Deaconess Medical Center commercial rates that are 20 percent higher than </w:t>
      </w:r>
      <w:r w:rsidR="00026470" w:rsidRPr="00817B9F">
        <w:rPr>
          <w:rFonts w:cs="Times New Roman"/>
        </w:rPr>
        <w:t>BCBS-MA’s</w:t>
      </w:r>
      <w:r w:rsidR="005A37A5" w:rsidRPr="00817B9F">
        <w:rPr>
          <w:rFonts w:cs="Times New Roman"/>
        </w:rPr>
        <w:t xml:space="preserve"> average</w:t>
      </w:r>
      <w:r w:rsidR="00ED55B5" w:rsidRPr="00817B9F">
        <w:rPr>
          <w:rFonts w:cs="Times New Roman"/>
        </w:rPr>
        <w:t xml:space="preserve"> commercial rates</w:t>
      </w:r>
      <w:r w:rsidR="005A37A5" w:rsidRPr="00817B9F">
        <w:rPr>
          <w:rFonts w:cs="Times New Roman"/>
        </w:rPr>
        <w:t xml:space="preserve"> across</w:t>
      </w:r>
      <w:r w:rsidR="00026470" w:rsidRPr="00817B9F">
        <w:rPr>
          <w:rFonts w:cs="Times New Roman"/>
        </w:rPr>
        <w:t xml:space="preserve"> its</w:t>
      </w:r>
      <w:r w:rsidR="005A37A5" w:rsidRPr="00817B9F">
        <w:rPr>
          <w:rFonts w:cs="Times New Roman"/>
        </w:rPr>
        <w:t xml:space="preserve"> hospital network</w:t>
      </w:r>
      <w:r w:rsidR="00ED55B5" w:rsidRPr="00817B9F">
        <w:rPr>
          <w:rFonts w:cs="Times New Roman"/>
        </w:rPr>
        <w:t>.</w:t>
      </w:r>
      <w:r w:rsidR="00580E3D" w:rsidRPr="00817B9F">
        <w:rPr>
          <w:rFonts w:cs="Times New Roman"/>
        </w:rPr>
        <w:t xml:space="preserve"> </w:t>
      </w:r>
      <w:r w:rsidR="003A41B3" w:rsidRPr="00817B9F">
        <w:rPr>
          <w:rFonts w:cs="Times New Roman"/>
        </w:rPr>
        <w:t>Based on</w:t>
      </w:r>
      <w:r w:rsidR="0070673F" w:rsidRPr="00817B9F">
        <w:rPr>
          <w:rFonts w:cs="Times New Roman"/>
        </w:rPr>
        <w:t xml:space="preserve"> CHIA’s calculations, t</w:t>
      </w:r>
      <w:r w:rsidR="00805246" w:rsidRPr="00817B9F">
        <w:rPr>
          <w:rFonts w:cs="Times New Roman"/>
        </w:rPr>
        <w:t xml:space="preserve">his </w:t>
      </w:r>
      <w:r w:rsidR="0070673F" w:rsidRPr="00817B9F">
        <w:rPr>
          <w:rFonts w:cs="Times New Roman"/>
        </w:rPr>
        <w:t>implies</w:t>
      </w:r>
      <w:r w:rsidR="0013340C" w:rsidRPr="00817B9F">
        <w:rPr>
          <w:rFonts w:cs="Times New Roman"/>
        </w:rPr>
        <w:t xml:space="preserve"> that BCBS-MA </w:t>
      </w:r>
      <w:r w:rsidR="00461E68" w:rsidRPr="00817B9F">
        <w:rPr>
          <w:rFonts w:cs="Times New Roman"/>
        </w:rPr>
        <w:t>will incur</w:t>
      </w:r>
      <w:r w:rsidR="00611D68" w:rsidRPr="00817B9F">
        <w:rPr>
          <w:rFonts w:cs="Times New Roman"/>
        </w:rPr>
        <w:t xml:space="preserve"> a 13 percent </w:t>
      </w:r>
      <w:r w:rsidR="00D44DC5" w:rsidRPr="00817B9F">
        <w:rPr>
          <w:rFonts w:cs="Times New Roman"/>
        </w:rPr>
        <w:t xml:space="preserve">increase </w:t>
      </w:r>
      <w:r w:rsidR="001B6ED1" w:rsidRPr="00817B9F">
        <w:rPr>
          <w:rFonts w:cs="Times New Roman"/>
        </w:rPr>
        <w:t>(=</w:t>
      </w:r>
      <w:r w:rsidR="00EB42EA" w:rsidRPr="00817B9F">
        <w:rPr>
          <w:rFonts w:cs="Times New Roman"/>
        </w:rPr>
        <w:t xml:space="preserve"> 1</w:t>
      </w:r>
      <w:r w:rsidR="007827C6" w:rsidRPr="00817B9F">
        <w:rPr>
          <w:rFonts w:cs="Times New Roman"/>
        </w:rPr>
        <w:t>.</w:t>
      </w:r>
      <w:r w:rsidR="00EB42EA" w:rsidRPr="00817B9F">
        <w:rPr>
          <w:rFonts w:cs="Times New Roman"/>
        </w:rPr>
        <w:t>36</w:t>
      </w:r>
      <w:r w:rsidR="007827C6" w:rsidRPr="00817B9F">
        <w:rPr>
          <w:rFonts w:cs="Times New Roman"/>
        </w:rPr>
        <w:t xml:space="preserve"> ÷</w:t>
      </w:r>
      <w:r w:rsidR="00EB42EA" w:rsidRPr="00817B9F">
        <w:rPr>
          <w:rFonts w:cs="Times New Roman"/>
        </w:rPr>
        <w:t xml:space="preserve"> 1</w:t>
      </w:r>
      <w:r w:rsidR="007827C6" w:rsidRPr="00817B9F">
        <w:rPr>
          <w:rFonts w:cs="Times New Roman"/>
        </w:rPr>
        <w:t>.</w:t>
      </w:r>
      <w:r w:rsidR="00EB42EA" w:rsidRPr="00817B9F">
        <w:rPr>
          <w:rFonts w:cs="Times New Roman"/>
        </w:rPr>
        <w:t>20 - 1</w:t>
      </w:r>
      <w:r w:rsidR="00BF20B3" w:rsidRPr="00817B9F">
        <w:rPr>
          <w:rFonts w:cs="Times New Roman"/>
        </w:rPr>
        <w:t>)</w:t>
      </w:r>
      <w:r w:rsidR="00D44DC5" w:rsidRPr="00817B9F">
        <w:rPr>
          <w:rFonts w:cs="Times New Roman"/>
        </w:rPr>
        <w:t xml:space="preserve"> </w:t>
      </w:r>
      <w:r w:rsidR="00EF3DAB" w:rsidRPr="00817B9F">
        <w:rPr>
          <w:rFonts w:cs="Times New Roman"/>
        </w:rPr>
        <w:t xml:space="preserve">in </w:t>
      </w:r>
      <w:r w:rsidR="0070673F" w:rsidRPr="00817B9F">
        <w:rPr>
          <w:rFonts w:cs="Times New Roman"/>
        </w:rPr>
        <w:t>expenditures</w:t>
      </w:r>
      <w:r w:rsidR="00BF7B06" w:rsidRPr="00817B9F">
        <w:rPr>
          <w:rFonts w:cs="Times New Roman"/>
        </w:rPr>
        <w:t xml:space="preserve"> </w:t>
      </w:r>
      <w:r w:rsidR="003626B9" w:rsidRPr="00817B9F">
        <w:rPr>
          <w:rFonts w:cs="Times New Roman"/>
        </w:rPr>
        <w:t xml:space="preserve">on average </w:t>
      </w:r>
      <w:r w:rsidR="00BF7B06" w:rsidRPr="00817B9F">
        <w:rPr>
          <w:rFonts w:cs="Times New Roman"/>
        </w:rPr>
        <w:t xml:space="preserve">for each patient </w:t>
      </w:r>
      <w:r w:rsidR="0070673F" w:rsidRPr="00817B9F">
        <w:rPr>
          <w:rFonts w:cs="Times New Roman"/>
        </w:rPr>
        <w:t xml:space="preserve">enrolled </w:t>
      </w:r>
      <w:r w:rsidR="00BF7B06" w:rsidRPr="00817B9F">
        <w:rPr>
          <w:rFonts w:cs="Times New Roman"/>
        </w:rPr>
        <w:t>in a commercial plan</w:t>
      </w:r>
      <w:r w:rsidR="0013340C" w:rsidRPr="00817B9F">
        <w:rPr>
          <w:rFonts w:cs="Times New Roman"/>
        </w:rPr>
        <w:t xml:space="preserve"> who </w:t>
      </w:r>
      <w:r w:rsidR="00EF3DAB" w:rsidRPr="00817B9F">
        <w:rPr>
          <w:rFonts w:cs="Times New Roman"/>
        </w:rPr>
        <w:t>switches</w:t>
      </w:r>
      <w:r w:rsidR="00BF7B06" w:rsidRPr="00817B9F">
        <w:rPr>
          <w:rFonts w:cs="Times New Roman"/>
        </w:rPr>
        <w:t xml:space="preserve"> to MGH </w:t>
      </w:r>
      <w:r w:rsidR="0013340C" w:rsidRPr="00817B9F">
        <w:rPr>
          <w:rFonts w:cs="Times New Roman"/>
        </w:rPr>
        <w:t xml:space="preserve">from Beth Israel Deaconess </w:t>
      </w:r>
      <w:r w:rsidR="0070673F" w:rsidRPr="00817B9F">
        <w:rPr>
          <w:rFonts w:cs="Times New Roman"/>
        </w:rPr>
        <w:t>Medical Center</w:t>
      </w:r>
      <w:r w:rsidR="00BF7B06" w:rsidRPr="00817B9F">
        <w:rPr>
          <w:rFonts w:cs="Times New Roman"/>
        </w:rPr>
        <w:t>.</w:t>
      </w:r>
      <w:r w:rsidR="00580E3D" w:rsidRPr="00817B9F">
        <w:rPr>
          <w:rFonts w:cs="Times New Roman"/>
        </w:rPr>
        <w:t xml:space="preserve"> </w:t>
      </w:r>
    </w:p>
    <w:p w14:paraId="49343A21" w14:textId="0B4B7135" w:rsidR="00A14618" w:rsidRPr="00817B9F" w:rsidRDefault="006E61B9" w:rsidP="005D3EC9">
      <w:pPr>
        <w:pStyle w:val="BulletParagraph"/>
        <w:rPr>
          <w:rFonts w:cs="Times New Roman"/>
        </w:rPr>
      </w:pPr>
      <w:r w:rsidRPr="00817B9F">
        <w:rPr>
          <w:rFonts w:cs="Times New Roman"/>
        </w:rPr>
        <w:t xml:space="preserve">The </w:t>
      </w:r>
      <w:r w:rsidR="00B0316D" w:rsidRPr="00817B9F">
        <w:rPr>
          <w:rFonts w:cs="Times New Roman"/>
        </w:rPr>
        <w:t xml:space="preserve">CHIA </w:t>
      </w:r>
      <w:r w:rsidRPr="00817B9F">
        <w:rPr>
          <w:rFonts w:cs="Times New Roman"/>
        </w:rPr>
        <w:t>Inpatient Relative Price Data</w:t>
      </w:r>
      <w:r w:rsidR="00B0316D" w:rsidRPr="00817B9F">
        <w:rPr>
          <w:rFonts w:cs="Times New Roman"/>
        </w:rPr>
        <w:t xml:space="preserve"> </w:t>
      </w:r>
      <w:r w:rsidR="003626B9" w:rsidRPr="00817B9F">
        <w:rPr>
          <w:rFonts w:cs="Times New Roman"/>
        </w:rPr>
        <w:t xml:space="preserve">report </w:t>
      </w:r>
      <w:r w:rsidR="00B0316D" w:rsidRPr="00817B9F">
        <w:rPr>
          <w:rFonts w:cs="Times New Roman"/>
        </w:rPr>
        <w:t xml:space="preserve">that </w:t>
      </w:r>
      <w:r w:rsidR="00CE2296" w:rsidRPr="00817B9F">
        <w:rPr>
          <w:rFonts w:cs="Times New Roman"/>
        </w:rPr>
        <w:t xml:space="preserve">Medicare Advantage </w:t>
      </w:r>
      <w:r w:rsidR="003626B9" w:rsidRPr="00817B9F">
        <w:rPr>
          <w:rFonts w:cs="Times New Roman"/>
        </w:rPr>
        <w:t xml:space="preserve">plans offered by </w:t>
      </w:r>
      <w:r w:rsidR="00D91E49" w:rsidRPr="00817B9F">
        <w:rPr>
          <w:rFonts w:cs="Times New Roman"/>
        </w:rPr>
        <w:t>Tufts</w:t>
      </w:r>
      <w:r w:rsidR="00B0316D" w:rsidRPr="00817B9F">
        <w:rPr>
          <w:rFonts w:cs="Times New Roman"/>
        </w:rPr>
        <w:t xml:space="preserve"> Health Plan</w:t>
      </w:r>
      <w:r w:rsidR="007C78B0" w:rsidRPr="00817B9F">
        <w:rPr>
          <w:rFonts w:cs="Times New Roman"/>
        </w:rPr>
        <w:t xml:space="preserve"> </w:t>
      </w:r>
      <w:r w:rsidR="00CE2296" w:rsidRPr="00817B9F">
        <w:rPr>
          <w:rFonts w:cs="Times New Roman"/>
        </w:rPr>
        <w:t xml:space="preserve">pay </w:t>
      </w:r>
      <w:r w:rsidR="007C78B0" w:rsidRPr="00817B9F">
        <w:rPr>
          <w:rFonts w:cs="Times New Roman"/>
        </w:rPr>
        <w:t xml:space="preserve">MGH rates </w:t>
      </w:r>
      <w:r w:rsidR="00CE2296" w:rsidRPr="00817B9F">
        <w:rPr>
          <w:rFonts w:cs="Times New Roman"/>
        </w:rPr>
        <w:t xml:space="preserve">that are </w:t>
      </w:r>
      <w:r w:rsidR="00026470" w:rsidRPr="00817B9F">
        <w:rPr>
          <w:rFonts w:cs="Times New Roman"/>
        </w:rPr>
        <w:t>65 percent higher than Tufts’ average Medicare Advantage rates across its hospital network. CHIA also reports that Tufts pays Beth Israel Deaconess Medical Center Medicare Advantage rates that are 43 percent higher than Tufts’ average Medicare Advantage rates across its hospital network.</w:t>
      </w:r>
      <w:r w:rsidR="00DB737E" w:rsidRPr="00817B9F">
        <w:rPr>
          <w:rFonts w:cs="Times New Roman"/>
        </w:rPr>
        <w:t xml:space="preserve"> This implies that Tufts will incur a 15 percent increase (= 1.65 ÷ 1.43 - 1) in expenditures </w:t>
      </w:r>
      <w:r w:rsidR="00096412" w:rsidRPr="00817B9F">
        <w:rPr>
          <w:rFonts w:cs="Times New Roman"/>
        </w:rPr>
        <w:t xml:space="preserve">on average </w:t>
      </w:r>
      <w:r w:rsidR="00DB737E" w:rsidRPr="00817B9F">
        <w:rPr>
          <w:rFonts w:cs="Times New Roman"/>
        </w:rPr>
        <w:t>for each patient enrolled in a Medicare Advantage plan who switches to MGH from Beth Israel Deaconess Medical Center.</w:t>
      </w:r>
    </w:p>
    <w:p w14:paraId="0B11C653" w14:textId="51B2702A" w:rsidR="00A14618" w:rsidRPr="00817B9F" w:rsidRDefault="00A14618" w:rsidP="00A14618">
      <w:pPr>
        <w:pStyle w:val="NumberedParagraphs"/>
        <w:numPr>
          <w:ilvl w:val="0"/>
          <w:numId w:val="0"/>
        </w:numPr>
      </w:pPr>
      <w:r w:rsidRPr="00817B9F">
        <w:t>In this example, t</w:t>
      </w:r>
      <w:r w:rsidR="009F5995" w:rsidRPr="00817B9F">
        <w:t xml:space="preserve">he </w:t>
      </w:r>
      <w:r w:rsidRPr="00817B9F">
        <w:t>overall effect on</w:t>
      </w:r>
      <w:r w:rsidR="00E60DEC" w:rsidRPr="00817B9F">
        <w:t xml:space="preserve"> a payor’s</w:t>
      </w:r>
      <w:r w:rsidRPr="00817B9F">
        <w:t xml:space="preserve"> inpatient hospital expenditures then depends </w:t>
      </w:r>
      <w:r w:rsidR="00BB0C04" w:rsidRPr="00817B9F">
        <w:t xml:space="preserve">on how many patients of each type would switch to MGH after the proposed project. </w:t>
      </w:r>
      <w:r w:rsidR="00B13970" w:rsidRPr="00817B9F">
        <w:t xml:space="preserve">Suppose that we use discharge information for 100 BCBS-MA commercial patients to estimate </w:t>
      </w:r>
      <w:r w:rsidR="006647CD" w:rsidRPr="00817B9F">
        <w:t xml:space="preserve">our model of demand for inpatient services. If </w:t>
      </w:r>
      <w:r w:rsidR="00946A0A" w:rsidRPr="00817B9F">
        <w:t>ten</w:t>
      </w:r>
      <w:r w:rsidR="006647CD" w:rsidRPr="00817B9F">
        <w:t xml:space="preserve"> of these patients switch from Beth Israel Deaconess Medical Center to MGH </w:t>
      </w:r>
      <w:r w:rsidR="00A54023" w:rsidRPr="00817B9F">
        <w:t>following the project,</w:t>
      </w:r>
      <w:r w:rsidR="006647CD" w:rsidRPr="00817B9F">
        <w:t xml:space="preserve"> BCBS-MA’s overall expenditures on inpatient hospital services would increase by </w:t>
      </w:r>
      <w:r w:rsidR="00A54023" w:rsidRPr="00817B9F">
        <w:t>1.3 percent (= 13 percent × 10 ÷ 100). If only one of these patients switch, BCBS-MA’s overall expenditures on inpatient hospital services would increase by 0.13 percent (= 13 percent × 1 ÷ 100).</w:t>
      </w:r>
    </w:p>
    <w:p w14:paraId="6A0A6BA8" w14:textId="59849627" w:rsidR="00CD432F" w:rsidRPr="00817B9F" w:rsidRDefault="00D240E4" w:rsidP="00CD432F">
      <w:pPr>
        <w:pStyle w:val="NumberedParagraphs"/>
      </w:pPr>
      <w:r w:rsidRPr="00817B9F">
        <w:t xml:space="preserve">The </w:t>
      </w:r>
      <w:r w:rsidR="00A77E40" w:rsidRPr="00817B9F">
        <w:t>previous example</w:t>
      </w:r>
      <w:r w:rsidR="00E60DEC" w:rsidRPr="00817B9F">
        <w:t xml:space="preserve"> </w:t>
      </w:r>
      <w:r w:rsidRPr="00817B9F">
        <w:t>calculated</w:t>
      </w:r>
      <w:r w:rsidR="009D3D7A" w:rsidRPr="00817B9F">
        <w:t xml:space="preserve"> inpatient hospital </w:t>
      </w:r>
      <w:r w:rsidRPr="00817B9F">
        <w:t>expenditure changes separately by payor</w:t>
      </w:r>
      <w:r w:rsidR="00A77E40" w:rsidRPr="00817B9F">
        <w:t>, but we</w:t>
      </w:r>
      <w:r w:rsidR="005465C3" w:rsidRPr="00817B9F">
        <w:t xml:space="preserve"> do not report </w:t>
      </w:r>
      <w:r w:rsidRPr="00817B9F">
        <w:t xml:space="preserve">payor-specific results </w:t>
      </w:r>
      <w:r w:rsidR="005465C3" w:rsidRPr="00817B9F">
        <w:t>below</w:t>
      </w:r>
      <w:r w:rsidRPr="00817B9F">
        <w:t xml:space="preserve"> and</w:t>
      </w:r>
      <w:r w:rsidR="007E5DC0" w:rsidRPr="00817B9F">
        <w:t xml:space="preserve"> </w:t>
      </w:r>
      <w:r w:rsidRPr="00817B9F">
        <w:t>instead</w:t>
      </w:r>
      <w:r w:rsidR="00711593" w:rsidRPr="00817B9F">
        <w:t xml:space="preserve"> </w:t>
      </w:r>
      <w:r w:rsidR="00B83068" w:rsidRPr="00817B9F">
        <w:t>summarize</w:t>
      </w:r>
      <w:r w:rsidR="00711593" w:rsidRPr="00817B9F">
        <w:t xml:space="preserve"> </w:t>
      </w:r>
      <w:r w:rsidR="00B83068" w:rsidRPr="00817B9F">
        <w:t xml:space="preserve">our </w:t>
      </w:r>
      <w:r w:rsidR="00711593" w:rsidRPr="00817B9F">
        <w:t xml:space="preserve">calculations </w:t>
      </w:r>
      <w:r w:rsidR="00265052" w:rsidRPr="00817B9F">
        <w:t>for each</w:t>
      </w:r>
      <w:r w:rsidR="00711593" w:rsidRPr="00817B9F">
        <w:t xml:space="preserve"> type of </w:t>
      </w:r>
      <w:r w:rsidR="004C315D" w:rsidRPr="00817B9F">
        <w:t>payor</w:t>
      </w:r>
      <w:r w:rsidR="0089703F" w:rsidRPr="00817B9F">
        <w:t xml:space="preserve"> </w:t>
      </w:r>
      <w:r w:rsidR="00677102" w:rsidRPr="00817B9F">
        <w:t>(</w:t>
      </w:r>
      <w:r w:rsidR="00C976B0" w:rsidRPr="00817B9F">
        <w:rPr>
          <w:i/>
        </w:rPr>
        <w:t>e</w:t>
      </w:r>
      <w:r w:rsidR="0089703F" w:rsidRPr="00817B9F">
        <w:rPr>
          <w:i/>
          <w:iCs/>
        </w:rPr>
        <w:t>.</w:t>
      </w:r>
      <w:r w:rsidR="00677102" w:rsidRPr="00817B9F">
        <w:rPr>
          <w:i/>
          <w:iCs/>
        </w:rPr>
        <w:t>g</w:t>
      </w:r>
      <w:r w:rsidR="0089703F" w:rsidRPr="00817B9F">
        <w:rPr>
          <w:i/>
          <w:iCs/>
        </w:rPr>
        <w:t>.</w:t>
      </w:r>
      <w:r w:rsidR="0089703F" w:rsidRPr="00817B9F">
        <w:t>, commercial, Medicare health plans,</w:t>
      </w:r>
      <w:r w:rsidR="00175C2C" w:rsidRPr="00817B9F">
        <w:t xml:space="preserve"> MassHealth </w:t>
      </w:r>
      <w:r w:rsidR="00C976B0" w:rsidRPr="00817B9F">
        <w:t>managed care, MassHealth non-managed care, and Original Medicare</w:t>
      </w:r>
      <w:r w:rsidR="00677102" w:rsidRPr="00817B9F">
        <w:t>)</w:t>
      </w:r>
      <w:r w:rsidR="004C315D" w:rsidRPr="00817B9F">
        <w:t>.</w:t>
      </w:r>
      <w:r w:rsidR="002511E1" w:rsidRPr="00817B9F">
        <w:t xml:space="preserve"> </w:t>
      </w:r>
      <w:r w:rsidR="006C384E" w:rsidRPr="00817B9F">
        <w:t>For example, if</w:t>
      </w:r>
      <w:r w:rsidR="00A77E40" w:rsidRPr="00817B9F">
        <w:t xml:space="preserve"> ten</w:t>
      </w:r>
      <w:r w:rsidR="00343352" w:rsidRPr="00817B9F">
        <w:t xml:space="preserve"> </w:t>
      </w:r>
      <w:r w:rsidR="00F15038" w:rsidRPr="00817B9F">
        <w:t xml:space="preserve">BCBS-MA </w:t>
      </w:r>
      <w:r w:rsidR="00450F50" w:rsidRPr="00817B9F">
        <w:lastRenderedPageBreak/>
        <w:t>commercial</w:t>
      </w:r>
      <w:r w:rsidR="00F15038" w:rsidRPr="00817B9F">
        <w:t xml:space="preserve"> </w:t>
      </w:r>
      <w:r w:rsidR="00343352" w:rsidRPr="00817B9F">
        <w:t xml:space="preserve">enrollees </w:t>
      </w:r>
      <w:r w:rsidR="00F15038" w:rsidRPr="00817B9F">
        <w:t xml:space="preserve">and </w:t>
      </w:r>
      <w:r w:rsidR="00523162" w:rsidRPr="00817B9F">
        <w:t>five</w:t>
      </w:r>
      <w:r w:rsidR="00F15038" w:rsidRPr="00817B9F">
        <w:t xml:space="preserve"> Tufts </w:t>
      </w:r>
      <w:r w:rsidR="00450F50" w:rsidRPr="00817B9F">
        <w:t xml:space="preserve">Medicare Advantage </w:t>
      </w:r>
      <w:r w:rsidR="00343352" w:rsidRPr="00817B9F">
        <w:t xml:space="preserve">enrollees are predicted to switch to </w:t>
      </w:r>
      <w:r w:rsidR="00A77E40" w:rsidRPr="00817B9F">
        <w:t xml:space="preserve">MGH </w:t>
      </w:r>
      <w:r w:rsidR="00D74B8F" w:rsidRPr="00817B9F">
        <w:t xml:space="preserve">after the proposed </w:t>
      </w:r>
      <w:r w:rsidR="00A14F6F" w:rsidRPr="00817B9F">
        <w:t>project</w:t>
      </w:r>
      <w:r w:rsidR="00343352" w:rsidRPr="00817B9F">
        <w:t xml:space="preserve"> </w:t>
      </w:r>
      <w:r w:rsidR="009634EC" w:rsidRPr="00817B9F">
        <w:t>and</w:t>
      </w:r>
      <w:r w:rsidR="00523162" w:rsidRPr="00817B9F">
        <w:t xml:space="preserve"> these are the only enrollees predicted to switch, then </w:t>
      </w:r>
      <w:r w:rsidR="00150030" w:rsidRPr="00817B9F">
        <w:t xml:space="preserve">we would calculate the effect on </w:t>
      </w:r>
      <w:r w:rsidR="00E57A14" w:rsidRPr="00817B9F">
        <w:t>all payors’</w:t>
      </w:r>
      <w:r w:rsidR="00150030" w:rsidRPr="00817B9F">
        <w:t xml:space="preserve"> inpatient hospital expenditures </w:t>
      </w:r>
      <w:r w:rsidR="00E57A14" w:rsidRPr="00817B9F">
        <w:t xml:space="preserve">as </w:t>
      </w:r>
      <w:r w:rsidR="000E3E8B" w:rsidRPr="00817B9F">
        <w:t>an average of</w:t>
      </w:r>
      <w:r w:rsidR="00E57A14" w:rsidRPr="00817B9F">
        <w:t xml:space="preserve"> </w:t>
      </w:r>
      <w:r w:rsidR="00E07342" w:rsidRPr="00817B9F">
        <w:t xml:space="preserve">13.7 percent (= </w:t>
      </w:r>
      <w:r w:rsidR="00A77E40" w:rsidRPr="00817B9F">
        <w:t xml:space="preserve">0.13 </w:t>
      </w:r>
      <w:r w:rsidR="008817E1" w:rsidRPr="00817B9F">
        <w:t>× 10</w:t>
      </w:r>
      <w:r w:rsidR="00A77E40" w:rsidRPr="00817B9F">
        <w:t xml:space="preserve"> ÷ 15</w:t>
      </w:r>
      <w:r w:rsidR="008817E1" w:rsidRPr="00817B9F">
        <w:t xml:space="preserve"> + </w:t>
      </w:r>
      <w:r w:rsidR="00A77E40" w:rsidRPr="00817B9F">
        <w:t>0.15</w:t>
      </w:r>
      <w:r w:rsidR="00716F1D" w:rsidRPr="00817B9F">
        <w:t xml:space="preserve"> ×</w:t>
      </w:r>
      <w:r w:rsidR="008817E1" w:rsidRPr="00817B9F">
        <w:t xml:space="preserve"> 5 </w:t>
      </w:r>
      <w:r w:rsidR="00716F1D" w:rsidRPr="00817B9F">
        <w:t>÷ 15)</w:t>
      </w:r>
      <w:r w:rsidR="00A77E40" w:rsidRPr="00817B9F">
        <w:t xml:space="preserve"> for each patient who switches. </w:t>
      </w:r>
    </w:p>
    <w:p w14:paraId="2BD7CBF9" w14:textId="207D4CC4" w:rsidR="00074482" w:rsidRPr="00817B9F" w:rsidRDefault="00CC722A" w:rsidP="00074482">
      <w:pPr>
        <w:pStyle w:val="NumberedParagraphs"/>
      </w:pPr>
      <w:r w:rsidRPr="00817B9F">
        <w:t xml:space="preserve">We first summarize the results of these calculations across all inpatient service lines at MGH, and then briefly review the results </w:t>
      </w:r>
      <w:r w:rsidR="00235CD5" w:rsidRPr="00817B9F">
        <w:t>of similar</w:t>
      </w:r>
      <w:r w:rsidRPr="00817B9F">
        <w:t xml:space="preserve"> analyses </w:t>
      </w:r>
      <w:r w:rsidR="00235CD5" w:rsidRPr="00817B9F">
        <w:t xml:space="preserve">that </w:t>
      </w:r>
      <w:r w:rsidRPr="00817B9F">
        <w:t>are limited to inpatient cancer services or inpatient heart and vascular services</w:t>
      </w:r>
      <w:r w:rsidR="00235CD5" w:rsidRPr="00817B9F">
        <w:t xml:space="preserve"> provided at MGH</w:t>
      </w:r>
      <w:r w:rsidRPr="00817B9F">
        <w:t xml:space="preserve">. </w:t>
      </w:r>
    </w:p>
    <w:p w14:paraId="2690DC0C" w14:textId="24837F98" w:rsidR="0047192C" w:rsidRPr="00817B9F" w:rsidRDefault="00793B87" w:rsidP="00A77E40">
      <w:pPr>
        <w:pStyle w:val="Heading3"/>
        <w:numPr>
          <w:ilvl w:val="0"/>
          <w:numId w:val="39"/>
        </w:numPr>
      </w:pPr>
      <w:bookmarkStart w:id="127" w:name="_Toc90046539"/>
      <w:r w:rsidRPr="00817B9F">
        <w:t>Inpatient Services</w:t>
      </w:r>
      <w:bookmarkEnd w:id="127"/>
    </w:p>
    <w:p w14:paraId="4322B764" w14:textId="64D05947" w:rsidR="00235CD5" w:rsidRPr="00817B9F" w:rsidRDefault="007A60B1" w:rsidP="00235CD5">
      <w:pPr>
        <w:pStyle w:val="NumberedParagraphs"/>
      </w:pPr>
      <w:r w:rsidRPr="00817B9F">
        <w:t xml:space="preserve">The </w:t>
      </w:r>
      <w:r w:rsidR="000A3EA5" w:rsidRPr="00817B9F">
        <w:t>first</w:t>
      </w:r>
      <w:r w:rsidRPr="00817B9F">
        <w:t xml:space="preserve"> panel of Figure MGH</w:t>
      </w:r>
      <w:r w:rsidR="00C05B8B" w:rsidRPr="00817B9F">
        <w:t>22</w:t>
      </w:r>
      <w:r w:rsidRPr="00817B9F">
        <w:t xml:space="preserve"> summarizes the results of our calculation</w:t>
      </w:r>
      <w:r w:rsidR="00290EB8" w:rsidRPr="00817B9F">
        <w:t>s</w:t>
      </w:r>
      <w:r w:rsidRPr="00817B9F">
        <w:t xml:space="preserve"> using our model’s full predictions of which patients would switch to MGH and the relative prices for those patients’ care at MGH and at the hospital they are switching from.</w:t>
      </w:r>
      <w:r w:rsidRPr="00817B9F">
        <w:rPr>
          <w:rStyle w:val="FootnoteReference"/>
        </w:rPr>
        <w:t xml:space="preserve"> </w:t>
      </w:r>
      <w:r w:rsidRPr="00817B9F">
        <w:rPr>
          <w:rStyle w:val="FootnoteReference"/>
        </w:rPr>
        <w:footnoteReference w:id="203"/>
      </w:r>
      <w:r w:rsidRPr="00817B9F">
        <w:t xml:space="preserve"> We predict that commercial payors’ </w:t>
      </w:r>
      <w:r w:rsidR="00B4285A" w:rsidRPr="00817B9F">
        <w:t xml:space="preserve">average </w:t>
      </w:r>
      <w:r w:rsidR="00697047" w:rsidRPr="00817B9F">
        <w:t>expenditure</w:t>
      </w:r>
      <w:r w:rsidRPr="00817B9F">
        <w:t xml:space="preserve"> on inpatient services will increase percent, respectively, for each patient who switches to </w:t>
      </w:r>
      <w:r w:rsidR="00290EB8" w:rsidRPr="00817B9F">
        <w:t>MGH</w:t>
      </w:r>
      <w:r w:rsidRPr="00817B9F">
        <w:t xml:space="preserve">. Changes in expenditures for patients covered by MassHealth non-managed care and Original Medicare—where prices are set administratively rather than negotiated—are smaller. </w:t>
      </w:r>
      <w:r w:rsidR="0081305D" w:rsidRPr="00817B9F">
        <w:t>On average, w</w:t>
      </w:r>
      <w:r w:rsidRPr="00817B9F">
        <w:t xml:space="preserve">e predict that Original Medicare and MassHealth non-managed care expenditures on inpatient services will </w:t>
      </w:r>
      <w:r w:rsidR="00290EB8" w:rsidRPr="00817B9F">
        <w:t>increase</w:t>
      </w:r>
      <w:r w:rsidRPr="00817B9F">
        <w:t xml:space="preserve"> by </w:t>
      </w:r>
      <w:r w:rsidR="00290EB8" w:rsidRPr="00817B9F">
        <w:t>7.1</w:t>
      </w:r>
      <w:r w:rsidRPr="00817B9F">
        <w:t xml:space="preserve"> percent and </w:t>
      </w:r>
      <w:r w:rsidR="00290EB8" w:rsidRPr="00817B9F">
        <w:t>1</w:t>
      </w:r>
      <w:r w:rsidRPr="00817B9F">
        <w:t xml:space="preserve">.7 percent, respectively, for each patient who switches to </w:t>
      </w:r>
      <w:r w:rsidR="00290EB8" w:rsidRPr="00817B9F">
        <w:t>MGH</w:t>
      </w:r>
      <w:r w:rsidRPr="00817B9F">
        <w:t xml:space="preserve">. Overall, across all coverage types, we predict that </w:t>
      </w:r>
      <w:r w:rsidR="00324948" w:rsidRPr="00817B9F">
        <w:t>the average</w:t>
      </w:r>
      <w:r w:rsidRPr="00817B9F">
        <w:t xml:space="preserve"> expenditure on inpatient services will </w:t>
      </w:r>
      <w:r w:rsidR="00EE2C0D" w:rsidRPr="00817B9F">
        <w:t>increase</w:t>
      </w:r>
      <w:r w:rsidRPr="00817B9F">
        <w:t xml:space="preserve"> by an average of </w:t>
      </w:r>
      <w:r w:rsidR="00290EB8" w:rsidRPr="00817B9F">
        <w:t>14.4</w:t>
      </w:r>
      <w:r w:rsidRPr="00817B9F">
        <w:t xml:space="preserve"> percent for each patient who switches to </w:t>
      </w:r>
      <w:r w:rsidR="00290EB8" w:rsidRPr="00817B9F">
        <w:t>MGH</w:t>
      </w:r>
      <w:r w:rsidRPr="00817B9F">
        <w:t>.</w:t>
      </w:r>
    </w:p>
    <w:p w14:paraId="75CC763D" w14:textId="549C1AD9" w:rsidR="00235CD5" w:rsidRPr="00817B9F" w:rsidRDefault="00290EB8" w:rsidP="00290EB8">
      <w:pPr>
        <w:pStyle w:val="NumberedParagraphs"/>
      </w:pPr>
      <w:r w:rsidRPr="00817B9F">
        <w:t>These increases in expenditures on inpatient hospital services are limited to patients who we predict would switch to MGH following the proposed project. However, the choices of most patients who receive inpatient hospital care would be unaffected by project. Because there would be no change in inpatient health care expenditures for these patients, the total effect on expenditures for inpatient services will be smaller than the size</w:t>
      </w:r>
      <w:r w:rsidR="000E060F" w:rsidRPr="00817B9F">
        <w:t xml:space="preserve"> of the </w:t>
      </w:r>
      <w:r w:rsidRPr="00817B9F">
        <w:t>effect we calculate for patients who switch. These total effects are also reported in Figure MGH</w:t>
      </w:r>
      <w:r w:rsidR="008D223C" w:rsidRPr="00817B9F">
        <w:t>22</w:t>
      </w:r>
      <w:r w:rsidR="00F53B73" w:rsidRPr="00817B9F">
        <w:t xml:space="preserve"> and represent total expenditure effects across patients residing in Massachusetts and who received relevant inpatient </w:t>
      </w:r>
      <w:r w:rsidR="00F53B73" w:rsidRPr="00817B9F">
        <w:lastRenderedPageBreak/>
        <w:t>services within the state.</w:t>
      </w:r>
      <w:r w:rsidRPr="00817B9F">
        <w:t xml:space="preserve"> Across all coverage types, we predict that </w:t>
      </w:r>
      <w:r w:rsidR="00B9166D" w:rsidRPr="00817B9F">
        <w:t xml:space="preserve">the average </w:t>
      </w:r>
      <w:r w:rsidR="00713190" w:rsidRPr="00817B9F">
        <w:t xml:space="preserve">inpatient hospital services </w:t>
      </w:r>
      <w:r w:rsidR="00B9166D" w:rsidRPr="00817B9F">
        <w:t>expenditure per person</w:t>
      </w:r>
      <w:r w:rsidRPr="00817B9F">
        <w:t xml:space="preserve"> (</w:t>
      </w:r>
      <w:r w:rsidRPr="00817B9F">
        <w:rPr>
          <w:i/>
          <w:iCs/>
        </w:rPr>
        <w:t>i.e.</w:t>
      </w:r>
      <w:r w:rsidRPr="00817B9F">
        <w:t xml:space="preserve">, including both patients who switch to MGH and patients whose choices are unchanged) would </w:t>
      </w:r>
      <w:r w:rsidR="00940A74" w:rsidRPr="00817B9F">
        <w:t>increase</w:t>
      </w:r>
      <w:r w:rsidRPr="00817B9F">
        <w:t xml:space="preserve"> by 0.06 percent.</w:t>
      </w:r>
    </w:p>
    <w:p w14:paraId="1E567F8B" w14:textId="47F997A2" w:rsidR="00E11725" w:rsidRPr="00817B9F" w:rsidRDefault="00793B87" w:rsidP="00E11725">
      <w:pPr>
        <w:pStyle w:val="Heading3"/>
      </w:pPr>
      <w:bookmarkStart w:id="128" w:name="_Toc90046540"/>
      <w:r w:rsidRPr="00817B9F">
        <w:t>Cancer Services</w:t>
      </w:r>
      <w:bookmarkEnd w:id="128"/>
    </w:p>
    <w:p w14:paraId="22D77286" w14:textId="6CAE9384" w:rsidR="0053345B" w:rsidRPr="00817B9F" w:rsidRDefault="00B765BB" w:rsidP="0053345B">
      <w:pPr>
        <w:pStyle w:val="NumberedParagraphs"/>
      </w:pPr>
      <w:r w:rsidRPr="00817B9F">
        <w:t xml:space="preserve">The second panel </w:t>
      </w:r>
      <w:r w:rsidR="000A3EA5" w:rsidRPr="00817B9F">
        <w:t>of</w:t>
      </w:r>
      <w:r w:rsidRPr="00817B9F">
        <w:t xml:space="preserve"> Figure </w:t>
      </w:r>
      <w:r w:rsidR="00E41D46" w:rsidRPr="00817B9F">
        <w:t>MGH</w:t>
      </w:r>
      <w:r w:rsidR="008D223C" w:rsidRPr="00817B9F">
        <w:t>22</w:t>
      </w:r>
      <w:r w:rsidRPr="00817B9F">
        <w:t xml:space="preserve"> </w:t>
      </w:r>
      <w:r w:rsidR="000A3EA5" w:rsidRPr="00817B9F">
        <w:t>summarizes similar calculations for inp</w:t>
      </w:r>
      <w:r w:rsidR="0053345B" w:rsidRPr="00817B9F">
        <w:t>a</w:t>
      </w:r>
      <w:r w:rsidR="000A3EA5" w:rsidRPr="00817B9F">
        <w:t xml:space="preserve">tient </w:t>
      </w:r>
      <w:r w:rsidR="0053345B" w:rsidRPr="00817B9F">
        <w:t>cancer</w:t>
      </w:r>
      <w:r w:rsidR="000A3EA5" w:rsidRPr="00817B9F">
        <w:t xml:space="preserve"> services.</w:t>
      </w:r>
      <w:r w:rsidR="00104080" w:rsidRPr="00817B9F">
        <w:t xml:space="preserve"> </w:t>
      </w:r>
      <w:r w:rsidR="0053345B" w:rsidRPr="00817B9F">
        <w:t xml:space="preserve">We predict that commercial payors’ </w:t>
      </w:r>
      <w:r w:rsidR="0009713A" w:rsidRPr="00817B9F">
        <w:t>average expenditure</w:t>
      </w:r>
      <w:r w:rsidR="0053345B" w:rsidRPr="00817B9F">
        <w:t xml:space="preserve"> on inpatient cancer services will increase by 72.7 percent for each patient who switches to MGH. Similarly, we predict that Medicare health plans’ and MassHealth managed care plans’ </w:t>
      </w:r>
      <w:r w:rsidR="0009713A" w:rsidRPr="00817B9F">
        <w:t>average expenditure</w:t>
      </w:r>
      <w:r w:rsidR="0053345B" w:rsidRPr="00817B9F">
        <w:t xml:space="preserve"> on inpatient </w:t>
      </w:r>
      <w:r w:rsidR="002A3093" w:rsidRPr="00817B9F">
        <w:t xml:space="preserve">cancer </w:t>
      </w:r>
      <w:r w:rsidR="0053345B" w:rsidRPr="00817B9F">
        <w:t xml:space="preserve">services will </w:t>
      </w:r>
      <w:r w:rsidR="009556CE" w:rsidRPr="00817B9F">
        <w:t>increase</w:t>
      </w:r>
      <w:r w:rsidR="0053345B" w:rsidRPr="00817B9F">
        <w:t xml:space="preserve"> by 121.2 percent and 82.7 percent, respectively, for each patient who switches to MGH. Changes in expenditures for patients covered by MassHealth non-managed care and Original Medicare are smaller: </w:t>
      </w:r>
      <w:r w:rsidR="00384861" w:rsidRPr="00817B9F">
        <w:t>On average, w</w:t>
      </w:r>
      <w:r w:rsidR="0053345B" w:rsidRPr="00817B9F">
        <w:t xml:space="preserve">e predict that Original Medicare and MassHealth non-managed care expenditures on inpatient </w:t>
      </w:r>
      <w:r w:rsidR="002A3093" w:rsidRPr="00817B9F">
        <w:t xml:space="preserve">cancer </w:t>
      </w:r>
      <w:r w:rsidR="0053345B" w:rsidRPr="00817B9F">
        <w:t>services will increase by 21.4 percent and 5.0 percent, respectively, for each patient who switches to MGH. Overall, across all coverage types, we predict that expenditures on inpatient can</w:t>
      </w:r>
      <w:r w:rsidR="009556CE" w:rsidRPr="00817B9F">
        <w:t>c</w:t>
      </w:r>
      <w:r w:rsidR="0053345B" w:rsidRPr="00817B9F">
        <w:t xml:space="preserve">er services will </w:t>
      </w:r>
      <w:r w:rsidR="009556CE" w:rsidRPr="00817B9F">
        <w:t>increase</w:t>
      </w:r>
      <w:r w:rsidR="0053345B" w:rsidRPr="00817B9F">
        <w:t xml:space="preserve"> by an average of </w:t>
      </w:r>
      <w:r w:rsidR="009556CE" w:rsidRPr="00817B9F">
        <w:t>37.8</w:t>
      </w:r>
      <w:r w:rsidR="0053345B" w:rsidRPr="00817B9F">
        <w:t xml:space="preserve"> percent for each patient who switches to MGH. </w:t>
      </w:r>
      <w:r w:rsidR="00487683" w:rsidRPr="00817B9F">
        <w:t>I</w:t>
      </w:r>
      <w:r w:rsidR="009556CE" w:rsidRPr="00817B9F">
        <w:t>ncluding patients who switch to MGH and patients whose choices are unchanged</w:t>
      </w:r>
      <w:r w:rsidR="00487683" w:rsidRPr="00817B9F">
        <w:t>, average per-person expenditure</w:t>
      </w:r>
      <w:r w:rsidR="009556CE" w:rsidRPr="00817B9F">
        <w:t xml:space="preserve"> on inpatient cancer services </w:t>
      </w:r>
      <w:r w:rsidR="00487683" w:rsidRPr="00817B9F">
        <w:t xml:space="preserve">across all coverage types </w:t>
      </w:r>
      <w:r w:rsidR="009556CE" w:rsidRPr="00817B9F">
        <w:t>would increase by 1.01 percent.</w:t>
      </w:r>
    </w:p>
    <w:p w14:paraId="7767C066" w14:textId="02DB195C" w:rsidR="00621E62" w:rsidRPr="00817B9F" w:rsidRDefault="00074482" w:rsidP="00621E62">
      <w:pPr>
        <w:pStyle w:val="Heading3"/>
      </w:pPr>
      <w:bookmarkStart w:id="129" w:name="_Toc90046541"/>
      <w:r w:rsidRPr="00817B9F">
        <w:t>Heart and Vascular</w:t>
      </w:r>
      <w:r w:rsidR="00793B87" w:rsidRPr="00817B9F">
        <w:t xml:space="preserve"> Services</w:t>
      </w:r>
      <w:bookmarkEnd w:id="129"/>
    </w:p>
    <w:p w14:paraId="4162AD33" w14:textId="062506C2" w:rsidR="00AC68BA" w:rsidRPr="00817B9F" w:rsidRDefault="00F62202" w:rsidP="00AC68BA">
      <w:pPr>
        <w:pStyle w:val="NumberedParagraphs"/>
      </w:pPr>
      <w:r w:rsidRPr="00817B9F">
        <w:t>The third panel of Figure MGH2</w:t>
      </w:r>
      <w:r w:rsidR="008D223C" w:rsidRPr="00817B9F">
        <w:t>2</w:t>
      </w:r>
      <w:r w:rsidRPr="00817B9F">
        <w:t xml:space="preserve"> summarizes similar calculations for inpatient heart and vascular services. We predict that commercial payors’ </w:t>
      </w:r>
      <w:r w:rsidR="00683103" w:rsidRPr="00817B9F">
        <w:t>average expenditure</w:t>
      </w:r>
      <w:r w:rsidRPr="00817B9F">
        <w:t xml:space="preserve"> on inpatient heart and vascular services will increase by 62.5 percent for each patient who switches to MGH. Similarly, we predict that Medicare health plans’ and MassHealth managed care plans’ </w:t>
      </w:r>
      <w:r w:rsidR="00683103" w:rsidRPr="00817B9F">
        <w:t xml:space="preserve">average </w:t>
      </w:r>
      <w:r w:rsidRPr="00817B9F">
        <w:t xml:space="preserve">expenditure on inpatient </w:t>
      </w:r>
      <w:r w:rsidR="00406C7B" w:rsidRPr="00817B9F">
        <w:t xml:space="preserve">heart and vascular </w:t>
      </w:r>
      <w:r w:rsidRPr="00817B9F">
        <w:t xml:space="preserve">services will increase by 52.5 percent and 58.5 percent, respectively, for each patient who switches to MGH. Changes in expenditures for patients covered by MassHealth non-managed care and Original Medicare are smaller: </w:t>
      </w:r>
      <w:r w:rsidR="00683103" w:rsidRPr="00817B9F">
        <w:t>On average, w</w:t>
      </w:r>
      <w:r w:rsidRPr="00817B9F">
        <w:t xml:space="preserve">e predict that Original Medicare and MassHealth non-managed care expenditures on inpatient services will increase by 9.5 percent and 2.2 percent, respectively, for each patient who switches to MGH. Overall, across all coverage types, we predict that </w:t>
      </w:r>
      <w:r w:rsidR="00683103" w:rsidRPr="00817B9F">
        <w:t>average</w:t>
      </w:r>
      <w:r w:rsidRPr="00817B9F">
        <w:t xml:space="preserve"> expenditure on inpatient </w:t>
      </w:r>
      <w:r w:rsidR="00972840" w:rsidRPr="00817B9F">
        <w:t>heart and vascular</w:t>
      </w:r>
      <w:r w:rsidRPr="00817B9F">
        <w:t xml:space="preserve"> services will increase by </w:t>
      </w:r>
      <w:r w:rsidR="00972840" w:rsidRPr="00817B9F">
        <w:t>19.4</w:t>
      </w:r>
      <w:r w:rsidRPr="00817B9F">
        <w:t xml:space="preserve"> percent for each patient who switches to MGH. </w:t>
      </w:r>
      <w:r w:rsidR="00C44648" w:rsidRPr="00817B9F">
        <w:t>Including</w:t>
      </w:r>
      <w:r w:rsidRPr="00817B9F">
        <w:t xml:space="preserve"> </w:t>
      </w:r>
      <w:r w:rsidRPr="00817B9F">
        <w:lastRenderedPageBreak/>
        <w:t xml:space="preserve">patients who </w:t>
      </w:r>
      <w:r w:rsidR="001B0316" w:rsidRPr="00817B9F">
        <w:t>do</w:t>
      </w:r>
      <w:r w:rsidRPr="00817B9F">
        <w:t xml:space="preserve"> switch to MGH and patients whose choices are unchanged</w:t>
      </w:r>
      <w:r w:rsidR="00C44648" w:rsidRPr="00817B9F">
        <w:t>, average per-person expenditure</w:t>
      </w:r>
      <w:r w:rsidRPr="00817B9F">
        <w:t xml:space="preserve"> on inpatient </w:t>
      </w:r>
      <w:r w:rsidR="00972840" w:rsidRPr="00817B9F">
        <w:t>heart and va</w:t>
      </w:r>
      <w:r w:rsidR="001B478A" w:rsidRPr="00817B9F">
        <w:t>s</w:t>
      </w:r>
      <w:r w:rsidR="00972840" w:rsidRPr="00817B9F">
        <w:t>cular</w:t>
      </w:r>
      <w:r w:rsidRPr="00817B9F">
        <w:t xml:space="preserve"> services would increase by </w:t>
      </w:r>
      <w:r w:rsidR="00972840" w:rsidRPr="00817B9F">
        <w:t>0.35</w:t>
      </w:r>
      <w:r w:rsidRPr="00817B9F">
        <w:t xml:space="preserve"> percent.</w:t>
      </w:r>
    </w:p>
    <w:p w14:paraId="624CFF24" w14:textId="52551A9A" w:rsidR="00793B87" w:rsidRPr="00817B9F" w:rsidRDefault="00793B87" w:rsidP="00793B87">
      <w:pPr>
        <w:pStyle w:val="Heading2"/>
        <w:rPr>
          <w:rFonts w:cs="Times New Roman"/>
        </w:rPr>
      </w:pPr>
      <w:bookmarkStart w:id="130" w:name="_Toc90046542"/>
      <w:r w:rsidRPr="00817B9F">
        <w:rPr>
          <w:rFonts w:cs="Times New Roman"/>
        </w:rPr>
        <w:t>Outpatient Services</w:t>
      </w:r>
      <w:bookmarkEnd w:id="130"/>
    </w:p>
    <w:p w14:paraId="55FAD288" w14:textId="441D10B6" w:rsidR="00AA05BB" w:rsidRPr="00817B9F" w:rsidRDefault="00F9473F" w:rsidP="00AA05BB">
      <w:pPr>
        <w:pStyle w:val="NumberedParagraphs"/>
      </w:pPr>
      <w:r w:rsidRPr="00817B9F">
        <w:t>Similar to our approach for inpatient services, f</w:t>
      </w:r>
      <w:r w:rsidR="00F313A3" w:rsidRPr="00817B9F">
        <w:t>or outpatient services we forecast changes in health care expenditures associated with the proposed project using (i) the simulations we describe</w:t>
      </w:r>
      <w:r w:rsidR="00E37EC6" w:rsidRPr="00817B9F">
        <w:t>d</w:t>
      </w:r>
      <w:r w:rsidR="00F313A3" w:rsidRPr="00817B9F">
        <w:t xml:space="preserve"> in Section </w:t>
      </w:r>
      <w:r w:rsidR="004227D6" w:rsidRPr="00817B9F">
        <w:fldChar w:fldCharType="begin"/>
      </w:r>
      <w:r w:rsidR="004227D6" w:rsidRPr="00817B9F">
        <w:instrText xml:space="preserve"> REF _Ref88994621 \w \h </w:instrText>
      </w:r>
      <w:r w:rsidR="00FD09F0" w:rsidRPr="00817B9F">
        <w:instrText xml:space="preserve"> \* MERGEFORMAT </w:instrText>
      </w:r>
      <w:r w:rsidR="004227D6" w:rsidRPr="00817B9F">
        <w:fldChar w:fldCharType="separate"/>
      </w:r>
      <w:r w:rsidR="002B78C3">
        <w:t>VI</w:t>
      </w:r>
      <w:r w:rsidR="004227D6" w:rsidRPr="00817B9F">
        <w:fldChar w:fldCharType="end"/>
      </w:r>
      <w:r w:rsidR="004227D6" w:rsidRPr="00817B9F">
        <w:t>.</w:t>
      </w:r>
      <w:r w:rsidR="004227D6" w:rsidRPr="00817B9F">
        <w:fldChar w:fldCharType="begin"/>
      </w:r>
      <w:r w:rsidR="004227D6" w:rsidRPr="00817B9F">
        <w:instrText xml:space="preserve"> REF _Ref88994623 \w \h </w:instrText>
      </w:r>
      <w:r w:rsidR="00FD09F0" w:rsidRPr="00817B9F">
        <w:instrText xml:space="preserve"> \* MERGEFORMAT </w:instrText>
      </w:r>
      <w:r w:rsidR="004227D6" w:rsidRPr="00817B9F">
        <w:fldChar w:fldCharType="separate"/>
      </w:r>
      <w:r w:rsidR="002B78C3">
        <w:t>B</w:t>
      </w:r>
      <w:r w:rsidR="004227D6" w:rsidRPr="00817B9F">
        <w:fldChar w:fldCharType="end"/>
      </w:r>
      <w:r w:rsidR="004227D6" w:rsidRPr="00817B9F">
        <w:t xml:space="preserve"> </w:t>
      </w:r>
      <w:r w:rsidR="00F313A3" w:rsidRPr="00817B9F">
        <w:t xml:space="preserve">that forecast utilization </w:t>
      </w:r>
      <w:r w:rsidR="004A2A77" w:rsidRPr="00817B9F">
        <w:t>of outpatient health care services</w:t>
      </w:r>
      <w:r w:rsidR="00F313A3" w:rsidRPr="00817B9F">
        <w:t xml:space="preserve"> after the proposed project, and (ii) </w:t>
      </w:r>
      <w:r w:rsidR="004A2A77" w:rsidRPr="00817B9F">
        <w:t xml:space="preserve">estimates of </w:t>
      </w:r>
      <w:r w:rsidR="00F313A3" w:rsidRPr="00817B9F">
        <w:t xml:space="preserve">the </w:t>
      </w:r>
      <w:r w:rsidR="004A2A77" w:rsidRPr="00817B9F">
        <w:t>relative prices of outpatient health care providers</w:t>
      </w:r>
      <w:r w:rsidR="00704E7A" w:rsidRPr="00817B9F">
        <w:t>—which are based on, among other things, the prices we observe in the APCD—</w:t>
      </w:r>
      <w:r w:rsidR="004A2A77" w:rsidRPr="00817B9F">
        <w:t>that</w:t>
      </w:r>
      <w:r w:rsidR="00F313A3" w:rsidRPr="00817B9F">
        <w:t xml:space="preserve"> we </w:t>
      </w:r>
      <w:r w:rsidR="004A2A77" w:rsidRPr="00817B9F">
        <w:t>discussed</w:t>
      </w:r>
      <w:r w:rsidR="00F313A3" w:rsidRPr="00817B9F">
        <w:t xml:space="preserve"> in Section </w:t>
      </w:r>
      <w:r w:rsidR="00F313A3" w:rsidRPr="00817B9F">
        <w:fldChar w:fldCharType="begin"/>
      </w:r>
      <w:r w:rsidR="00F313A3" w:rsidRPr="00817B9F">
        <w:instrText xml:space="preserve"> REF _Ref88655817 \w \h </w:instrText>
      </w:r>
      <w:r w:rsidR="00FD09F0" w:rsidRPr="00817B9F">
        <w:instrText xml:space="preserve"> \* MERGEFORMAT </w:instrText>
      </w:r>
      <w:r w:rsidR="00F313A3" w:rsidRPr="00817B9F">
        <w:fldChar w:fldCharType="separate"/>
      </w:r>
      <w:r w:rsidR="002B78C3">
        <w:t>III</w:t>
      </w:r>
      <w:r w:rsidR="00F313A3" w:rsidRPr="00817B9F">
        <w:fldChar w:fldCharType="end"/>
      </w:r>
      <w:r w:rsidR="00F313A3" w:rsidRPr="00817B9F">
        <w:t>.</w:t>
      </w:r>
      <w:r w:rsidR="004A2A77" w:rsidRPr="00817B9F">
        <w:fldChar w:fldCharType="begin"/>
      </w:r>
      <w:r w:rsidR="004A2A77" w:rsidRPr="00817B9F">
        <w:instrText xml:space="preserve"> REF _Ref88647445 \w \h </w:instrText>
      </w:r>
      <w:r w:rsidR="00FD09F0" w:rsidRPr="00817B9F">
        <w:instrText xml:space="preserve"> \* MERGEFORMAT </w:instrText>
      </w:r>
      <w:r w:rsidR="004A2A77" w:rsidRPr="00817B9F">
        <w:fldChar w:fldCharType="separate"/>
      </w:r>
      <w:r w:rsidR="002B78C3">
        <w:t>C</w:t>
      </w:r>
      <w:r w:rsidR="004A2A77" w:rsidRPr="00817B9F">
        <w:fldChar w:fldCharType="end"/>
      </w:r>
      <w:r w:rsidR="00F313A3" w:rsidRPr="00817B9F">
        <w:t xml:space="preserve">. </w:t>
      </w:r>
      <w:r w:rsidR="00E37EC6" w:rsidRPr="00817B9F">
        <w:t>For</w:t>
      </w:r>
      <w:r w:rsidR="00D267A8" w:rsidRPr="00817B9F">
        <w:t xml:space="preserve"> example</w:t>
      </w:r>
      <w:r w:rsidR="00F313A3" w:rsidRPr="00817B9F">
        <w:t>, the simulations summarized in Figure MGH1</w:t>
      </w:r>
      <w:r w:rsidR="006670BA" w:rsidRPr="00817B9F">
        <w:t>8</w:t>
      </w:r>
      <w:r w:rsidR="00F313A3" w:rsidRPr="00817B9F">
        <w:t xml:space="preserve"> predict which patients would switch to receiv</w:t>
      </w:r>
      <w:r w:rsidR="0009247E" w:rsidRPr="00817B9F">
        <w:t>ing</w:t>
      </w:r>
      <w:r w:rsidR="00F313A3" w:rsidRPr="00817B9F">
        <w:t xml:space="preserve"> </w:t>
      </w:r>
      <w:r w:rsidR="00D267A8" w:rsidRPr="00817B9F">
        <w:t>outpatient MR scans</w:t>
      </w:r>
      <w:r w:rsidR="00F313A3" w:rsidRPr="00817B9F">
        <w:t xml:space="preserve"> at MGH after the proposed project. For each patient who would switch to MGH, the </w:t>
      </w:r>
      <w:r w:rsidR="004261DB" w:rsidRPr="00817B9F">
        <w:t>APCD and Medicare Claims data</w:t>
      </w:r>
      <w:r w:rsidR="00F313A3" w:rsidRPr="00817B9F">
        <w:t xml:space="preserve"> identify the source of the patient’s health insurance coverage. We then use </w:t>
      </w:r>
      <w:r w:rsidR="004261DB" w:rsidRPr="00817B9F">
        <w:t>our relative price measures</w:t>
      </w:r>
      <w:r w:rsidR="00F313A3" w:rsidRPr="00817B9F">
        <w:t xml:space="preserve"> to compare the prices—which are specific to the patient’s health insurance coverage—for the </w:t>
      </w:r>
      <w:r w:rsidR="004261DB" w:rsidRPr="00817B9F">
        <w:t>outpatient MR scan</w:t>
      </w:r>
      <w:r w:rsidR="00F313A3" w:rsidRPr="00817B9F">
        <w:t xml:space="preserve"> at the </w:t>
      </w:r>
      <w:r w:rsidR="004261DB" w:rsidRPr="00817B9F">
        <w:t>facility</w:t>
      </w:r>
      <w:r w:rsidR="00F313A3" w:rsidRPr="00817B9F">
        <w:t xml:space="preserve"> the patient is switching from to the prices for the same </w:t>
      </w:r>
      <w:r w:rsidR="004261DB" w:rsidRPr="00817B9F">
        <w:t>outpatient MR scan</w:t>
      </w:r>
      <w:r w:rsidR="00F313A3" w:rsidRPr="00817B9F">
        <w:t xml:space="preserve"> at MGH. If the price for the service is higher at MGH than at the </w:t>
      </w:r>
      <w:r w:rsidR="004261DB" w:rsidRPr="00817B9F">
        <w:t>facility</w:t>
      </w:r>
      <w:r w:rsidR="00F313A3" w:rsidRPr="00817B9F">
        <w:t xml:space="preserve"> the patient is switching from, health care expenditures will increase. If the price for the service at MGH is lower than at the </w:t>
      </w:r>
      <w:r w:rsidR="004261DB" w:rsidRPr="00817B9F">
        <w:t>facility</w:t>
      </w:r>
      <w:r w:rsidR="00F313A3" w:rsidRPr="00817B9F">
        <w:t xml:space="preserve"> the patient is switching from, health care expenditures will decrease. If a patient’s choice of </w:t>
      </w:r>
      <w:r w:rsidR="004261DB" w:rsidRPr="00817B9F">
        <w:t>outpatient diagnostic imaging facility</w:t>
      </w:r>
      <w:r w:rsidR="00F313A3" w:rsidRPr="00817B9F">
        <w:t xml:space="preserve"> is unaffected (</w:t>
      </w:r>
      <w:r w:rsidR="00F313A3" w:rsidRPr="00817B9F">
        <w:rPr>
          <w:i/>
        </w:rPr>
        <w:t>i.e.</w:t>
      </w:r>
      <w:r w:rsidR="00F313A3" w:rsidRPr="00817B9F">
        <w:t>, the patient continues to receive care at MGH or one of its competitors), there is no impact on health care expenditures.</w:t>
      </w:r>
    </w:p>
    <w:p w14:paraId="66902DA1" w14:textId="26D05330" w:rsidR="00035375" w:rsidRPr="00817B9F" w:rsidRDefault="00912AC4" w:rsidP="00035375">
      <w:pPr>
        <w:pStyle w:val="NumberedParagraphs"/>
      </w:pPr>
      <w:r w:rsidRPr="00817B9F">
        <w:t>F</w:t>
      </w:r>
      <w:r w:rsidR="00A56FF3" w:rsidRPr="00817B9F">
        <w:t>or example,</w:t>
      </w:r>
      <w:r w:rsidR="00162262" w:rsidRPr="00817B9F">
        <w:t xml:space="preserve"> the simulations summarized</w:t>
      </w:r>
      <w:r w:rsidR="00A56FF3" w:rsidRPr="00817B9F">
        <w:t xml:space="preserve"> i</w:t>
      </w:r>
      <w:r w:rsidR="00035375" w:rsidRPr="00817B9F">
        <w:t>n Figure MGH1</w:t>
      </w:r>
      <w:r w:rsidR="006670BA" w:rsidRPr="00817B9F">
        <w:t>8</w:t>
      </w:r>
      <w:r w:rsidR="00162262" w:rsidRPr="00817B9F">
        <w:t xml:space="preserve"> show that MGH’s share of outpatient MR scans in its service area is predicted to increase by </w:t>
      </w:r>
      <w:r w:rsidR="00035375" w:rsidRPr="00817B9F">
        <w:t xml:space="preserve">2.8 percentage points </w:t>
      </w:r>
      <w:r w:rsidR="00DD1D13" w:rsidRPr="00817B9F">
        <w:t xml:space="preserve">as a result of the proposed project, partially at the expense of Beth Israel Lahey Health, whose share in MGH’s service area decreases </w:t>
      </w:r>
      <w:r w:rsidR="00B21317" w:rsidRPr="00817B9F">
        <w:t xml:space="preserve">by </w:t>
      </w:r>
      <w:r w:rsidR="00035375" w:rsidRPr="00817B9F">
        <w:t>0</w:t>
      </w:r>
      <w:r w:rsidR="00B21317" w:rsidRPr="00817B9F">
        <w:t>.</w:t>
      </w:r>
      <w:r w:rsidR="007F52BE" w:rsidRPr="00817B9F">
        <w:t>6</w:t>
      </w:r>
      <w:r w:rsidR="00035375" w:rsidRPr="00817B9F">
        <w:t xml:space="preserve"> percentage points. While not reported in Figure MGH1</w:t>
      </w:r>
      <w:r w:rsidR="006670BA" w:rsidRPr="00817B9F">
        <w:t>8</w:t>
      </w:r>
      <w:r w:rsidR="00035375" w:rsidRPr="00817B9F">
        <w:t xml:space="preserve">, the APCD </w:t>
      </w:r>
      <w:r w:rsidR="00B21317" w:rsidRPr="00817B9F">
        <w:t xml:space="preserve">and Medicare Claims </w:t>
      </w:r>
      <w:r w:rsidR="00035375" w:rsidRPr="00817B9F">
        <w:t xml:space="preserve">data we </w:t>
      </w:r>
      <w:r w:rsidR="00B21317" w:rsidRPr="00817B9F">
        <w:t>use for these simulations</w:t>
      </w:r>
      <w:r w:rsidR="00035375" w:rsidRPr="00817B9F">
        <w:t xml:space="preserve"> contain information on the </w:t>
      </w:r>
      <w:r w:rsidR="00B21317" w:rsidRPr="00817B9F">
        <w:t xml:space="preserve">source of </w:t>
      </w:r>
      <w:r w:rsidR="00035375" w:rsidRPr="00817B9F">
        <w:t xml:space="preserve">health </w:t>
      </w:r>
      <w:r w:rsidR="00B21317" w:rsidRPr="00817B9F">
        <w:t>insurance coverage</w:t>
      </w:r>
      <w:r w:rsidR="00035375" w:rsidRPr="00817B9F">
        <w:t xml:space="preserve"> for each patient predicted to switch from Beth Israel Lahey Health to MGH. </w:t>
      </w:r>
      <w:r w:rsidR="00C87F09" w:rsidRPr="00817B9F">
        <w:t>Among</w:t>
      </w:r>
      <w:r w:rsidR="00035375" w:rsidRPr="00817B9F">
        <w:t xml:space="preserve"> patients switching from Beth Israel Lahey to MGH</w:t>
      </w:r>
      <w:r w:rsidR="00C87F09" w:rsidRPr="00817B9F">
        <w:t>, 31 percent</w:t>
      </w:r>
      <w:r w:rsidR="00035375" w:rsidRPr="00817B9F">
        <w:t xml:space="preserve"> </w:t>
      </w:r>
      <w:r w:rsidR="009C46A2" w:rsidRPr="00817B9F">
        <w:t>have</w:t>
      </w:r>
      <w:r w:rsidR="00035375" w:rsidRPr="00817B9F">
        <w:t xml:space="preserve"> Original Medicare or MassHealth non-managed care</w:t>
      </w:r>
      <w:r w:rsidR="009C46A2" w:rsidRPr="00817B9F">
        <w:t xml:space="preserve"> cover</w:t>
      </w:r>
      <w:r w:rsidR="0012642C" w:rsidRPr="00817B9F">
        <w:t>age</w:t>
      </w:r>
      <w:r w:rsidR="00035375" w:rsidRPr="00817B9F">
        <w:t>.</w:t>
      </w:r>
      <w:bookmarkStart w:id="131" w:name="_Hlk90031102"/>
      <w:r w:rsidR="00035375" w:rsidRPr="00817B9F">
        <w:t xml:space="preserve"> As </w:t>
      </w:r>
      <w:r w:rsidR="009C46A2" w:rsidRPr="00817B9F">
        <w:t xml:space="preserve">we </w:t>
      </w:r>
      <w:r w:rsidR="00035375" w:rsidRPr="00817B9F">
        <w:t>explained in Section</w:t>
      </w:r>
      <w:r w:rsidR="0057748D" w:rsidRPr="00817B9F">
        <w:t xml:space="preserve">s </w:t>
      </w:r>
      <w:r w:rsidR="0057748D" w:rsidRPr="00817B9F">
        <w:fldChar w:fldCharType="begin"/>
      </w:r>
      <w:r w:rsidR="0057748D" w:rsidRPr="00817B9F">
        <w:instrText xml:space="preserve"> REF _Ref88655817 \w \h </w:instrText>
      </w:r>
      <w:r w:rsidR="00FD09F0" w:rsidRPr="00817B9F">
        <w:instrText xml:space="preserve"> \* MERGEFORMAT </w:instrText>
      </w:r>
      <w:r w:rsidR="0057748D" w:rsidRPr="00817B9F">
        <w:fldChar w:fldCharType="separate"/>
      </w:r>
      <w:r w:rsidR="002B78C3">
        <w:t>III</w:t>
      </w:r>
      <w:r w:rsidR="0057748D" w:rsidRPr="00817B9F">
        <w:fldChar w:fldCharType="end"/>
      </w:r>
      <w:r w:rsidR="0057748D" w:rsidRPr="00817B9F">
        <w:t>.</w:t>
      </w:r>
      <w:r w:rsidR="0057748D" w:rsidRPr="00817B9F">
        <w:fldChar w:fldCharType="begin"/>
      </w:r>
      <w:r w:rsidR="0057748D" w:rsidRPr="00817B9F">
        <w:instrText xml:space="preserve"> REF _Ref88595129 \w \h </w:instrText>
      </w:r>
      <w:r w:rsidR="00FD09F0" w:rsidRPr="00817B9F">
        <w:instrText xml:space="preserve"> \* MERGEFORMAT </w:instrText>
      </w:r>
      <w:r w:rsidR="0057748D" w:rsidRPr="00817B9F">
        <w:fldChar w:fldCharType="separate"/>
      </w:r>
      <w:r w:rsidR="002B78C3">
        <w:t>C</w:t>
      </w:r>
      <w:r w:rsidR="0057748D" w:rsidRPr="00817B9F">
        <w:fldChar w:fldCharType="end"/>
      </w:r>
      <w:r w:rsidR="0057748D" w:rsidRPr="00817B9F">
        <w:t>.</w:t>
      </w:r>
      <w:r w:rsidR="0057748D" w:rsidRPr="00817B9F">
        <w:fldChar w:fldCharType="begin"/>
      </w:r>
      <w:r w:rsidR="0057748D" w:rsidRPr="00817B9F">
        <w:instrText xml:space="preserve"> REF _Ref88595167 \w \h </w:instrText>
      </w:r>
      <w:r w:rsidR="005B2DEC" w:rsidRPr="00817B9F">
        <w:instrText xml:space="preserve"> \* MERGEFORMAT </w:instrText>
      </w:r>
      <w:r w:rsidR="0057748D" w:rsidRPr="00817B9F">
        <w:fldChar w:fldCharType="separate"/>
      </w:r>
      <w:r w:rsidR="002B78C3">
        <w:t>2</w:t>
      </w:r>
      <w:r w:rsidR="0057748D" w:rsidRPr="00817B9F">
        <w:fldChar w:fldCharType="end"/>
      </w:r>
      <w:r w:rsidR="0057748D" w:rsidRPr="00817B9F">
        <w:t xml:space="preserve"> and</w:t>
      </w:r>
      <w:r w:rsidR="00035375" w:rsidRPr="00817B9F">
        <w:t xml:space="preserve"> </w:t>
      </w:r>
      <w:r w:rsidR="009C46A2" w:rsidRPr="00817B9F">
        <w:fldChar w:fldCharType="begin"/>
      </w:r>
      <w:r w:rsidR="009C46A2" w:rsidRPr="00817B9F">
        <w:instrText xml:space="preserve"> REF _Ref88655817 \w \h </w:instrText>
      </w:r>
      <w:r w:rsidR="00F559BE" w:rsidRPr="00817B9F">
        <w:instrText xml:space="preserve"> \* MERGEFORMAT </w:instrText>
      </w:r>
      <w:r w:rsidR="009C46A2" w:rsidRPr="00817B9F">
        <w:fldChar w:fldCharType="separate"/>
      </w:r>
      <w:r w:rsidR="002B78C3">
        <w:t>III</w:t>
      </w:r>
      <w:r w:rsidR="009C46A2" w:rsidRPr="00817B9F">
        <w:fldChar w:fldCharType="end"/>
      </w:r>
      <w:r w:rsidR="009C46A2" w:rsidRPr="00817B9F">
        <w:t>.</w:t>
      </w:r>
      <w:r w:rsidR="00035375" w:rsidRPr="00817B9F">
        <w:fldChar w:fldCharType="begin"/>
      </w:r>
      <w:r w:rsidR="00035375" w:rsidRPr="00817B9F">
        <w:instrText xml:space="preserve"> REF _Ref88595735 \r \h </w:instrText>
      </w:r>
      <w:r w:rsidR="00F559BE" w:rsidRPr="00817B9F">
        <w:instrText xml:space="preserve"> \* MERGEFORMAT </w:instrText>
      </w:r>
      <w:r w:rsidR="00035375" w:rsidRPr="00817B9F">
        <w:fldChar w:fldCharType="separate"/>
      </w:r>
      <w:r w:rsidR="002B78C3">
        <w:t>C</w:t>
      </w:r>
      <w:r w:rsidR="00035375" w:rsidRPr="00817B9F">
        <w:fldChar w:fldCharType="end"/>
      </w:r>
      <w:r w:rsidR="00035375" w:rsidRPr="00817B9F">
        <w:t>.</w:t>
      </w:r>
      <w:r w:rsidR="00035375" w:rsidRPr="00817B9F">
        <w:fldChar w:fldCharType="begin"/>
      </w:r>
      <w:r w:rsidR="00035375" w:rsidRPr="00817B9F">
        <w:instrText xml:space="preserve"> REF _Ref88595740 \r \h </w:instrText>
      </w:r>
      <w:r w:rsidR="00F559BE" w:rsidRPr="00817B9F">
        <w:instrText xml:space="preserve"> \* MERGEFORMAT </w:instrText>
      </w:r>
      <w:r w:rsidR="00035375" w:rsidRPr="00817B9F">
        <w:fldChar w:fldCharType="separate"/>
      </w:r>
      <w:r w:rsidR="002B78C3">
        <w:t>3</w:t>
      </w:r>
      <w:r w:rsidR="00035375" w:rsidRPr="00817B9F">
        <w:fldChar w:fldCharType="end"/>
      </w:r>
      <w:r w:rsidR="00035375" w:rsidRPr="00817B9F">
        <w:t xml:space="preserve">, health care expenditures will not change for patients </w:t>
      </w:r>
      <w:r w:rsidR="00AC58B6" w:rsidRPr="00817B9F">
        <w:t>covered by Original Medicare</w:t>
      </w:r>
      <w:r w:rsidR="00035375" w:rsidRPr="00817B9F">
        <w:t xml:space="preserve"> </w:t>
      </w:r>
      <w:r w:rsidR="00D30C27" w:rsidRPr="00817B9F">
        <w:t>or MassHealth non-managed care</w:t>
      </w:r>
      <w:r w:rsidR="00035375" w:rsidRPr="00817B9F">
        <w:t xml:space="preserve"> who </w:t>
      </w:r>
      <w:r w:rsidR="0012642C" w:rsidRPr="00817B9F">
        <w:t>switch to receiving an</w:t>
      </w:r>
      <w:r w:rsidR="00035375" w:rsidRPr="00817B9F">
        <w:t xml:space="preserve"> outpatient MR scan at MGH instead of a Beth Israel Lahey HOPD</w:t>
      </w:r>
      <w:r w:rsidR="00077CC6" w:rsidRPr="00817B9F">
        <w:t xml:space="preserve">, since the price for </w:t>
      </w:r>
      <w:r w:rsidR="006A05A7" w:rsidRPr="00817B9F">
        <w:t xml:space="preserve">outpatient MR scans should be the same across </w:t>
      </w:r>
      <w:r w:rsidR="006A05A7" w:rsidRPr="00817B9F">
        <w:lastRenderedPageBreak/>
        <w:t>HOPDs located in the same geography</w:t>
      </w:r>
      <w:bookmarkEnd w:id="131"/>
      <w:r w:rsidR="00035375" w:rsidRPr="00817B9F">
        <w:t>.</w:t>
      </w:r>
      <w:r w:rsidR="008B1707" w:rsidRPr="00817B9F">
        <w:rPr>
          <w:rStyle w:val="FootnoteReference"/>
        </w:rPr>
        <w:footnoteReference w:id="204"/>
      </w:r>
      <w:r w:rsidR="00035375" w:rsidRPr="00817B9F">
        <w:t xml:space="preserve"> The remainder of patients switching from Beth Israel Lahey to MGH are covered by commercial</w:t>
      </w:r>
      <w:r w:rsidR="0012642C" w:rsidRPr="00817B9F">
        <w:t xml:space="preserve"> health plans</w:t>
      </w:r>
      <w:r w:rsidR="00035375" w:rsidRPr="00817B9F">
        <w:t>, Medicare</w:t>
      </w:r>
      <w:r w:rsidR="0012642C" w:rsidRPr="00817B9F">
        <w:t xml:space="preserve"> health plans</w:t>
      </w:r>
      <w:r w:rsidR="00035375" w:rsidRPr="00817B9F">
        <w:t>, or MassHealth managed care plans. BCBS-MA</w:t>
      </w:r>
      <w:r w:rsidR="00B11BC8" w:rsidRPr="00817B9F">
        <w:t xml:space="preserve"> commercial plans</w:t>
      </w:r>
      <w:r w:rsidR="00035375" w:rsidRPr="00817B9F">
        <w:t>, for example, cover 15 percent of the patients predicted to switch</w:t>
      </w:r>
      <w:r w:rsidR="00B11BC8" w:rsidRPr="00817B9F">
        <w:t xml:space="preserve"> from Beth Israel Lahey Health to MGB</w:t>
      </w:r>
      <w:r w:rsidR="00035375" w:rsidRPr="00817B9F">
        <w:t xml:space="preserve">. </w:t>
      </w:r>
      <w:r w:rsidR="00B11BC8" w:rsidRPr="00817B9F">
        <w:t>Because</w:t>
      </w:r>
      <w:r w:rsidR="00035375" w:rsidRPr="00817B9F">
        <w:t xml:space="preserve"> we can directly observe in the APCD data </w:t>
      </w:r>
      <w:r w:rsidR="00AC58B6" w:rsidRPr="00817B9F">
        <w:t>the amount that</w:t>
      </w:r>
      <w:r w:rsidR="00035375" w:rsidRPr="00817B9F">
        <w:t xml:space="preserve"> BCBS-MA reimburses </w:t>
      </w:r>
      <w:r w:rsidR="00B11BC8" w:rsidRPr="00817B9F">
        <w:t>MGH</w:t>
      </w:r>
      <w:r w:rsidR="00035375" w:rsidRPr="00817B9F">
        <w:t xml:space="preserve"> and Beth Israel Health for </w:t>
      </w:r>
      <w:r w:rsidR="00B11BC8" w:rsidRPr="00817B9F">
        <w:t xml:space="preserve">the same outpatient </w:t>
      </w:r>
      <w:r w:rsidR="00035375" w:rsidRPr="00817B9F">
        <w:t xml:space="preserve">MR scans, we can predict the change in BCBS-MA expenditures when its </w:t>
      </w:r>
      <w:r w:rsidR="00B11BC8" w:rsidRPr="00817B9F">
        <w:t>members switch to</w:t>
      </w:r>
      <w:r w:rsidR="00035375" w:rsidRPr="00817B9F">
        <w:t xml:space="preserve"> receiv</w:t>
      </w:r>
      <w:r w:rsidR="00DC243F" w:rsidRPr="00817B9F">
        <w:t>ing</w:t>
      </w:r>
      <w:r w:rsidR="00035375" w:rsidRPr="00817B9F">
        <w:t xml:space="preserve"> </w:t>
      </w:r>
      <w:r w:rsidR="00B11BC8" w:rsidRPr="00817B9F">
        <w:t>an outpatient</w:t>
      </w:r>
      <w:r w:rsidR="00035375" w:rsidRPr="00817B9F">
        <w:t xml:space="preserve"> MR scans at </w:t>
      </w:r>
      <w:r w:rsidR="00B11BC8" w:rsidRPr="00817B9F">
        <w:t>MGH</w:t>
      </w:r>
      <w:r w:rsidR="00035375" w:rsidRPr="00817B9F">
        <w:t xml:space="preserve"> instead of Beth Israel Lahey</w:t>
      </w:r>
      <w:r w:rsidR="00B11BC8" w:rsidRPr="00817B9F">
        <w:t xml:space="preserve"> Health</w:t>
      </w:r>
      <w:r w:rsidR="00035375" w:rsidRPr="00817B9F">
        <w:t xml:space="preserve">. We perform this exercise </w:t>
      </w:r>
      <w:r w:rsidR="009E6468" w:rsidRPr="00817B9F">
        <w:t>separately</w:t>
      </w:r>
      <w:r w:rsidR="00035375" w:rsidRPr="00817B9F">
        <w:t xml:space="preserve"> for each outpatient facility that MGH is predicted to draw patients from and </w:t>
      </w:r>
      <w:r w:rsidR="009E6468" w:rsidRPr="00817B9F">
        <w:t xml:space="preserve">for </w:t>
      </w:r>
      <w:r w:rsidR="00035375" w:rsidRPr="00817B9F">
        <w:t xml:space="preserve">each </w:t>
      </w:r>
      <w:r w:rsidR="009E6468" w:rsidRPr="00817B9F">
        <w:t>third-party</w:t>
      </w:r>
      <w:r w:rsidR="00035375" w:rsidRPr="00817B9F">
        <w:t xml:space="preserve"> payor that covers the patients predicted to switch to MGH from these facilities.</w:t>
      </w:r>
      <w:r w:rsidR="00035375" w:rsidRPr="00817B9F">
        <w:rPr>
          <w:rStyle w:val="FootnoteReference"/>
        </w:rPr>
        <w:footnoteReference w:id="205"/>
      </w:r>
      <w:r w:rsidR="00035375" w:rsidRPr="00817B9F">
        <w:t xml:space="preserve"> Aggregating these calculations across facilities </w:t>
      </w:r>
      <w:r w:rsidR="009E6468" w:rsidRPr="00817B9F">
        <w:t>and payors for each patient predicted to switch to MGH</w:t>
      </w:r>
      <w:r w:rsidR="00035375" w:rsidRPr="00817B9F">
        <w:t xml:space="preserve"> </w:t>
      </w:r>
      <w:r w:rsidR="009E6468" w:rsidRPr="00817B9F">
        <w:t>yields an estimate of how</w:t>
      </w:r>
      <w:r w:rsidR="00035375" w:rsidRPr="00817B9F">
        <w:t xml:space="preserve"> health care expenditures will change following the proposed project.</w:t>
      </w:r>
      <w:r w:rsidR="00035375" w:rsidRPr="00817B9F">
        <w:rPr>
          <w:rStyle w:val="FootnoteReference"/>
        </w:rPr>
        <w:footnoteReference w:id="206"/>
      </w:r>
    </w:p>
    <w:p w14:paraId="322FB090" w14:textId="52E2F197" w:rsidR="0065763B" w:rsidRPr="00817B9F" w:rsidRDefault="0065763B" w:rsidP="009C46A2">
      <w:pPr>
        <w:pStyle w:val="NumberedParagraphs"/>
      </w:pPr>
      <w:r w:rsidRPr="00817B9F">
        <w:t xml:space="preserve">In addition to calculating the effect of the proposed project on changes in expenditures associated with outpatient MR scans, in the following sections we </w:t>
      </w:r>
      <w:r w:rsidR="00523650" w:rsidRPr="00817B9F">
        <w:t>use a similar approach to</w:t>
      </w:r>
      <w:r w:rsidRPr="00817B9F">
        <w:t xml:space="preserve"> calculate </w:t>
      </w:r>
      <w:r w:rsidR="002205E8" w:rsidRPr="00817B9F">
        <w:t xml:space="preserve">the effect of the proposed project on expenditure for outpatient CT scans, outpatient PET/CT scans, outpatient cardiovascular services, and outpatient oncology services. </w:t>
      </w:r>
      <w:r w:rsidR="007B5294" w:rsidRPr="00817B9F">
        <w:t>We provide</w:t>
      </w:r>
      <w:r w:rsidR="00710475" w:rsidRPr="00817B9F">
        <w:t xml:space="preserve"> </w:t>
      </w:r>
      <w:r w:rsidR="00C1517B" w:rsidRPr="00817B9F">
        <w:lastRenderedPageBreak/>
        <w:t>both</w:t>
      </w:r>
      <w:r w:rsidR="004A17B0" w:rsidRPr="00817B9F">
        <w:t xml:space="preserve"> </w:t>
      </w:r>
      <w:r w:rsidR="0001698A" w:rsidRPr="00817B9F">
        <w:t xml:space="preserve">the </w:t>
      </w:r>
      <w:r w:rsidR="001D5F9F" w:rsidRPr="00817B9F">
        <w:t xml:space="preserve">predicted expenditure effect for patients who switch providers and </w:t>
      </w:r>
      <w:r w:rsidR="009E3358" w:rsidRPr="00817B9F">
        <w:t>the predicted t</w:t>
      </w:r>
      <w:r w:rsidR="00B20AD7" w:rsidRPr="00817B9F">
        <w:t>otal</w:t>
      </w:r>
      <w:r w:rsidR="00760178" w:rsidRPr="00817B9F">
        <w:t xml:space="preserve"> percentage effect on expenditures for patients</w:t>
      </w:r>
      <w:r w:rsidR="003F7299" w:rsidRPr="00817B9F">
        <w:t>—regardless of whether they switch to MGH—</w:t>
      </w:r>
      <w:r w:rsidR="00760178" w:rsidRPr="00817B9F">
        <w:t xml:space="preserve"> </w:t>
      </w:r>
      <w:r w:rsidR="00011717" w:rsidRPr="00817B9F">
        <w:t xml:space="preserve">who </w:t>
      </w:r>
      <w:r w:rsidR="00760178" w:rsidRPr="00817B9F">
        <w:t>resid</w:t>
      </w:r>
      <w:r w:rsidR="00011717" w:rsidRPr="00817B9F">
        <w:t xml:space="preserve">e </w:t>
      </w:r>
      <w:r w:rsidR="00760178" w:rsidRPr="00817B9F">
        <w:t>in Massachusetts and recei</w:t>
      </w:r>
      <w:r w:rsidR="00011717" w:rsidRPr="00817B9F">
        <w:t>ve</w:t>
      </w:r>
      <w:r w:rsidR="003F7299" w:rsidRPr="00817B9F">
        <w:t xml:space="preserve"> these </w:t>
      </w:r>
      <w:r w:rsidR="00760178" w:rsidRPr="00817B9F">
        <w:t xml:space="preserve">outpatient </w:t>
      </w:r>
      <w:r w:rsidR="003F7299" w:rsidRPr="00817B9F">
        <w:t>services</w:t>
      </w:r>
      <w:r w:rsidR="00760178" w:rsidRPr="00817B9F">
        <w:t xml:space="preserve"> from facilities in Suffolk, Essex, Middlesex, Norfolk, Bristol, Plymouth, and Worcester</w:t>
      </w:r>
      <w:r w:rsidR="001A1061" w:rsidRPr="00817B9F">
        <w:t xml:space="preserve"> Counties</w:t>
      </w:r>
      <w:r w:rsidR="00760178" w:rsidRPr="00817B9F">
        <w:t>.</w:t>
      </w:r>
    </w:p>
    <w:p w14:paraId="6D11AE83" w14:textId="77777777" w:rsidR="00793B87" w:rsidRPr="00817B9F" w:rsidRDefault="00793B87" w:rsidP="009E28B0">
      <w:pPr>
        <w:pStyle w:val="Heading3"/>
        <w:numPr>
          <w:ilvl w:val="0"/>
          <w:numId w:val="40"/>
        </w:numPr>
      </w:pPr>
      <w:bookmarkStart w:id="132" w:name="_Toc90046543"/>
      <w:r w:rsidRPr="00817B9F">
        <w:t>Diagnostic Imaging Services</w:t>
      </w:r>
      <w:bookmarkEnd w:id="132"/>
    </w:p>
    <w:p w14:paraId="50944E90" w14:textId="59884813" w:rsidR="00270DFC" w:rsidRPr="00817B9F" w:rsidRDefault="000262B1" w:rsidP="000262B1">
      <w:pPr>
        <w:pStyle w:val="NumberedParagraphs"/>
      </w:pPr>
      <w:bookmarkStart w:id="133" w:name="_Hlk88856398"/>
      <w:r w:rsidRPr="00817B9F">
        <w:t xml:space="preserve">Figure </w:t>
      </w:r>
      <w:r w:rsidR="00C565BF" w:rsidRPr="00817B9F">
        <w:t>MGH</w:t>
      </w:r>
      <w:r w:rsidR="00796DE1" w:rsidRPr="00817B9F">
        <w:t>23</w:t>
      </w:r>
      <w:r w:rsidRPr="00817B9F">
        <w:t xml:space="preserve"> </w:t>
      </w:r>
      <w:r w:rsidR="006D0FC6" w:rsidRPr="00817B9F">
        <w:t>summarizes the change</w:t>
      </w:r>
      <w:r w:rsidR="00270DFC" w:rsidRPr="00817B9F">
        <w:t>s</w:t>
      </w:r>
      <w:r w:rsidR="006D0FC6" w:rsidRPr="00817B9F">
        <w:t xml:space="preserve"> in health care expenditures associated with the expansion of outpatient CT </w:t>
      </w:r>
      <w:r w:rsidR="000768B4" w:rsidRPr="00817B9F">
        <w:t>imaging capacity</w:t>
      </w:r>
      <w:r w:rsidR="006D0FC6" w:rsidRPr="00817B9F">
        <w:t xml:space="preserve"> at MGH. </w:t>
      </w:r>
    </w:p>
    <w:p w14:paraId="1E305FEC" w14:textId="777C7464" w:rsidR="00270DFC" w:rsidRPr="00817B9F" w:rsidRDefault="006D0FC6" w:rsidP="005D3EC9">
      <w:pPr>
        <w:pStyle w:val="BulletParagraph"/>
        <w:rPr>
          <w:rFonts w:cs="Times New Roman"/>
        </w:rPr>
      </w:pPr>
      <w:bookmarkStart w:id="134" w:name="_Hlk88928900"/>
      <w:r w:rsidRPr="00817B9F">
        <w:rPr>
          <w:rFonts w:cs="Times New Roman"/>
        </w:rPr>
        <w:t>We predict that commercial payors’ expenditures on these services will increase by 24.4 percent for each patient who switches to MGH.</w:t>
      </w:r>
      <w:r w:rsidR="00270DFC" w:rsidRPr="00817B9F">
        <w:rPr>
          <w:rFonts w:cs="Times New Roman"/>
        </w:rPr>
        <w:t xml:space="preserve"> Commercial patients comprise 25.4 percent of the patients predicted to switch to MGH.</w:t>
      </w:r>
    </w:p>
    <w:bookmarkEnd w:id="134"/>
    <w:p w14:paraId="60B2BF15" w14:textId="5734B400" w:rsidR="00270DFC" w:rsidRPr="00817B9F" w:rsidRDefault="006D0FC6" w:rsidP="005D3EC9">
      <w:pPr>
        <w:pStyle w:val="BulletParagraph"/>
        <w:rPr>
          <w:rFonts w:cs="Times New Roman"/>
        </w:rPr>
      </w:pPr>
      <w:r w:rsidRPr="00817B9F">
        <w:rPr>
          <w:rFonts w:cs="Times New Roman"/>
        </w:rPr>
        <w:t>We predict that</w:t>
      </w:r>
      <w:r w:rsidR="00270DFC" w:rsidRPr="00817B9F">
        <w:rPr>
          <w:rFonts w:cs="Times New Roman"/>
        </w:rPr>
        <w:t xml:space="preserve"> expenditures for </w:t>
      </w:r>
      <w:r w:rsidR="00157F06" w:rsidRPr="00817B9F">
        <w:rPr>
          <w:rFonts w:cs="Times New Roman"/>
        </w:rPr>
        <w:t xml:space="preserve">each patient covered by </w:t>
      </w:r>
      <w:r w:rsidR="00270DFC" w:rsidRPr="00817B9F">
        <w:rPr>
          <w:rFonts w:cs="Times New Roman"/>
        </w:rPr>
        <w:t xml:space="preserve">Original Medicare </w:t>
      </w:r>
      <w:r w:rsidR="00157F06" w:rsidRPr="00817B9F">
        <w:rPr>
          <w:rFonts w:cs="Times New Roman"/>
        </w:rPr>
        <w:t>who switches to MGH</w:t>
      </w:r>
      <w:r w:rsidRPr="00817B9F">
        <w:rPr>
          <w:rFonts w:cs="Times New Roman"/>
        </w:rPr>
        <w:t xml:space="preserve"> </w:t>
      </w:r>
      <w:r w:rsidR="00270DFC" w:rsidRPr="00817B9F">
        <w:rPr>
          <w:rFonts w:cs="Times New Roman"/>
        </w:rPr>
        <w:t xml:space="preserve">will increase by 5.5 percent and </w:t>
      </w:r>
      <w:r w:rsidR="00157F06" w:rsidRPr="00817B9F">
        <w:rPr>
          <w:rFonts w:cs="Times New Roman"/>
        </w:rPr>
        <w:t xml:space="preserve">expenditures for each patient covered by a </w:t>
      </w:r>
      <w:r w:rsidRPr="00817B9F">
        <w:rPr>
          <w:rFonts w:cs="Times New Roman"/>
        </w:rPr>
        <w:t>Medicare health plan</w:t>
      </w:r>
      <w:r w:rsidR="00157F06" w:rsidRPr="00817B9F">
        <w:rPr>
          <w:rFonts w:cs="Times New Roman"/>
        </w:rPr>
        <w:t xml:space="preserve"> who switches </w:t>
      </w:r>
      <w:r w:rsidR="00270DFC" w:rsidRPr="00817B9F">
        <w:rPr>
          <w:rFonts w:cs="Times New Roman"/>
        </w:rPr>
        <w:t xml:space="preserve">will </w:t>
      </w:r>
      <w:r w:rsidRPr="00817B9F">
        <w:rPr>
          <w:rFonts w:cs="Times New Roman"/>
        </w:rPr>
        <w:t xml:space="preserve">decrease by </w:t>
      </w:r>
      <w:r w:rsidR="00270DFC" w:rsidRPr="00817B9F">
        <w:rPr>
          <w:rFonts w:cs="Times New Roman"/>
        </w:rPr>
        <w:t>5.2 percent</w:t>
      </w:r>
      <w:r w:rsidRPr="00817B9F">
        <w:rPr>
          <w:rFonts w:cs="Times New Roman"/>
        </w:rPr>
        <w:t xml:space="preserve">. </w:t>
      </w:r>
      <w:r w:rsidR="005D5C32" w:rsidRPr="00817B9F">
        <w:rPr>
          <w:rFonts w:cs="Times New Roman"/>
        </w:rPr>
        <w:t>Among patient</w:t>
      </w:r>
      <w:r w:rsidR="00FC3DA9" w:rsidRPr="00817B9F">
        <w:rPr>
          <w:rFonts w:cs="Times New Roman"/>
        </w:rPr>
        <w:t>s</w:t>
      </w:r>
      <w:r w:rsidR="005D5C32" w:rsidRPr="00817B9F">
        <w:rPr>
          <w:rFonts w:cs="Times New Roman"/>
        </w:rPr>
        <w:t xml:space="preserve"> who are predicted to switch to MGH, </w:t>
      </w:r>
      <w:r w:rsidR="00270DFC" w:rsidRPr="00817B9F">
        <w:rPr>
          <w:rFonts w:cs="Times New Roman"/>
        </w:rPr>
        <w:t>41.2 percent</w:t>
      </w:r>
      <w:r w:rsidR="005D5C32" w:rsidRPr="00817B9F">
        <w:rPr>
          <w:rFonts w:cs="Times New Roman"/>
        </w:rPr>
        <w:t xml:space="preserve"> are covered by Original Medicare</w:t>
      </w:r>
      <w:r w:rsidR="00270DFC" w:rsidRPr="00817B9F">
        <w:rPr>
          <w:rFonts w:cs="Times New Roman"/>
        </w:rPr>
        <w:t xml:space="preserve"> and 8.7 percent </w:t>
      </w:r>
      <w:r w:rsidR="005D5C32" w:rsidRPr="00817B9F">
        <w:rPr>
          <w:rFonts w:cs="Times New Roman"/>
        </w:rPr>
        <w:t>are covered by a Medicare health plan</w:t>
      </w:r>
      <w:r w:rsidR="00270DFC" w:rsidRPr="00817B9F">
        <w:rPr>
          <w:rFonts w:cs="Times New Roman"/>
        </w:rPr>
        <w:t>.</w:t>
      </w:r>
    </w:p>
    <w:p w14:paraId="0183DEEE" w14:textId="7DB29566" w:rsidR="005D5C32" w:rsidRPr="00817B9F" w:rsidRDefault="005D5C32" w:rsidP="005D3EC9">
      <w:pPr>
        <w:pStyle w:val="BulletParagraph"/>
        <w:rPr>
          <w:rFonts w:cs="Times New Roman"/>
        </w:rPr>
      </w:pPr>
      <w:r w:rsidRPr="00817B9F">
        <w:rPr>
          <w:rFonts w:cs="Times New Roman"/>
        </w:rPr>
        <w:t xml:space="preserve">We predict that expenditures for each patient covered by MassHealth non-managed care who switches to MGH will increase by </w:t>
      </w:r>
      <w:r w:rsidR="009E4D2C" w:rsidRPr="00817B9F">
        <w:rPr>
          <w:rFonts w:cs="Times New Roman"/>
        </w:rPr>
        <w:t xml:space="preserve">a </w:t>
      </w:r>
      <w:r w:rsidR="000A39E2" w:rsidRPr="00817B9F">
        <w:rPr>
          <w:rFonts w:cs="Times New Roman"/>
        </w:rPr>
        <w:t>very small amount</w:t>
      </w:r>
      <w:r w:rsidR="00C06A43" w:rsidRPr="00817B9F">
        <w:rPr>
          <w:rFonts w:cs="Times New Roman"/>
        </w:rPr>
        <w:t xml:space="preserve"> </w:t>
      </w:r>
      <w:r w:rsidRPr="00817B9F">
        <w:rPr>
          <w:rFonts w:cs="Times New Roman"/>
        </w:rPr>
        <w:t xml:space="preserve">and expenditures for each patient covered by a MassHealth managed care plan who switches will </w:t>
      </w:r>
      <w:r w:rsidR="00FC3DA9" w:rsidRPr="00817B9F">
        <w:rPr>
          <w:rFonts w:cs="Times New Roman"/>
        </w:rPr>
        <w:t>increase</w:t>
      </w:r>
      <w:r w:rsidRPr="00817B9F">
        <w:rPr>
          <w:rFonts w:cs="Times New Roman"/>
        </w:rPr>
        <w:t xml:space="preserve"> by </w:t>
      </w:r>
      <w:r w:rsidR="00FC3DA9" w:rsidRPr="00817B9F">
        <w:rPr>
          <w:rFonts w:cs="Times New Roman"/>
        </w:rPr>
        <w:t>0</w:t>
      </w:r>
      <w:r w:rsidR="00A875D6" w:rsidRPr="00817B9F">
        <w:rPr>
          <w:rFonts w:cs="Times New Roman"/>
        </w:rPr>
        <w:t>.</w:t>
      </w:r>
      <w:r w:rsidR="004C76DA" w:rsidRPr="00817B9F">
        <w:rPr>
          <w:rFonts w:cs="Times New Roman"/>
        </w:rPr>
        <w:t>3</w:t>
      </w:r>
      <w:r w:rsidRPr="00817B9F">
        <w:rPr>
          <w:rFonts w:cs="Times New Roman"/>
        </w:rPr>
        <w:t xml:space="preserve"> percent. Among patient</w:t>
      </w:r>
      <w:r w:rsidR="00FC3DA9" w:rsidRPr="00817B9F">
        <w:rPr>
          <w:rFonts w:cs="Times New Roman"/>
        </w:rPr>
        <w:t>s</w:t>
      </w:r>
      <w:r w:rsidRPr="00817B9F">
        <w:rPr>
          <w:rFonts w:cs="Times New Roman"/>
        </w:rPr>
        <w:t xml:space="preserve"> who are predicted to switch to MGH, </w:t>
      </w:r>
      <w:r w:rsidR="00FC3DA9" w:rsidRPr="00817B9F">
        <w:rPr>
          <w:rFonts w:cs="Times New Roman"/>
        </w:rPr>
        <w:t>5</w:t>
      </w:r>
      <w:r w:rsidR="002B5ECE" w:rsidRPr="00817B9F">
        <w:rPr>
          <w:rFonts w:cs="Times New Roman"/>
        </w:rPr>
        <w:t>.4</w:t>
      </w:r>
      <w:r w:rsidRPr="00817B9F">
        <w:rPr>
          <w:rFonts w:cs="Times New Roman"/>
        </w:rPr>
        <w:t xml:space="preserve"> percent are covered by </w:t>
      </w:r>
      <w:r w:rsidR="00FC3DA9" w:rsidRPr="00817B9F">
        <w:rPr>
          <w:rFonts w:cs="Times New Roman"/>
        </w:rPr>
        <w:t>MassHealth non-managed care</w:t>
      </w:r>
      <w:r w:rsidRPr="00817B9F">
        <w:rPr>
          <w:rFonts w:cs="Times New Roman"/>
        </w:rPr>
        <w:t xml:space="preserve"> and </w:t>
      </w:r>
      <w:r w:rsidR="002B5ECE" w:rsidRPr="00817B9F">
        <w:rPr>
          <w:rFonts w:cs="Times New Roman"/>
        </w:rPr>
        <w:t>13.</w:t>
      </w:r>
      <w:r w:rsidR="00FC3DA9" w:rsidRPr="00817B9F">
        <w:rPr>
          <w:rFonts w:cs="Times New Roman"/>
        </w:rPr>
        <w:t>5</w:t>
      </w:r>
      <w:r w:rsidRPr="00817B9F">
        <w:rPr>
          <w:rFonts w:cs="Times New Roman"/>
        </w:rPr>
        <w:t xml:space="preserve"> percent are covered by a </w:t>
      </w:r>
      <w:r w:rsidR="00FC3DA9" w:rsidRPr="00817B9F">
        <w:rPr>
          <w:rFonts w:cs="Times New Roman"/>
        </w:rPr>
        <w:t>MassHealth managed care</w:t>
      </w:r>
      <w:r w:rsidRPr="00817B9F">
        <w:rPr>
          <w:rFonts w:cs="Times New Roman"/>
        </w:rPr>
        <w:t xml:space="preserve"> plan.</w:t>
      </w:r>
    </w:p>
    <w:p w14:paraId="736DE7D2" w14:textId="1DF97EA2" w:rsidR="00886A67" w:rsidRPr="00817B9F" w:rsidRDefault="00270DFC" w:rsidP="00FA0A73">
      <w:pPr>
        <w:pStyle w:val="BulletParagraph"/>
        <w:rPr>
          <w:rFonts w:cs="Times New Roman"/>
        </w:rPr>
      </w:pPr>
      <w:r w:rsidRPr="00817B9F">
        <w:rPr>
          <w:rFonts w:cs="Times New Roman"/>
        </w:rPr>
        <w:t>Overall, across all coverage types, we predict that expenditures on outpatient CT scans will increase by an average of 7.</w:t>
      </w:r>
      <w:r w:rsidR="00A875D6" w:rsidRPr="00817B9F">
        <w:rPr>
          <w:rFonts w:cs="Times New Roman"/>
        </w:rPr>
        <w:t>2</w:t>
      </w:r>
      <w:r w:rsidRPr="00817B9F">
        <w:rPr>
          <w:rFonts w:cs="Times New Roman"/>
        </w:rPr>
        <w:t xml:space="preserve"> percent for each patient who switches to MGH. Across all coverage types, we predict that total expenditures </w:t>
      </w:r>
      <w:r w:rsidR="00855431" w:rsidRPr="00817B9F">
        <w:rPr>
          <w:rFonts w:cs="Times New Roman"/>
        </w:rPr>
        <w:t>on outpatient CT scans</w:t>
      </w:r>
      <w:r w:rsidRPr="00817B9F">
        <w:rPr>
          <w:rFonts w:cs="Times New Roman"/>
        </w:rPr>
        <w:t xml:space="preserve"> (</w:t>
      </w:r>
      <w:r w:rsidRPr="00817B9F">
        <w:rPr>
          <w:rFonts w:cs="Times New Roman"/>
          <w:i/>
        </w:rPr>
        <w:t>i.e.</w:t>
      </w:r>
      <w:r w:rsidRPr="00817B9F">
        <w:rPr>
          <w:rFonts w:cs="Times New Roman"/>
        </w:rPr>
        <w:t xml:space="preserve">, including both patients who switch to MGH and patients whose choices are unchanged) </w:t>
      </w:r>
      <w:r w:rsidR="007E4521" w:rsidRPr="00817B9F">
        <w:rPr>
          <w:rFonts w:cs="Times New Roman"/>
        </w:rPr>
        <w:t>will</w:t>
      </w:r>
      <w:r w:rsidRPr="00817B9F">
        <w:rPr>
          <w:rFonts w:cs="Times New Roman"/>
        </w:rPr>
        <w:t xml:space="preserve"> increase by 0.1 percent.</w:t>
      </w:r>
      <w:bookmarkEnd w:id="133"/>
    </w:p>
    <w:p w14:paraId="16B3A988" w14:textId="24446253" w:rsidR="00270DFC" w:rsidRPr="00817B9F" w:rsidRDefault="00DD1512" w:rsidP="00270DFC">
      <w:pPr>
        <w:pStyle w:val="NumberedParagraphs"/>
      </w:pPr>
      <w:r w:rsidRPr="00817B9F">
        <w:t xml:space="preserve">Figure </w:t>
      </w:r>
      <w:r w:rsidR="00A764CE" w:rsidRPr="00817B9F">
        <w:t>MGH</w:t>
      </w:r>
      <w:r w:rsidR="00796DE1" w:rsidRPr="00817B9F">
        <w:t>24</w:t>
      </w:r>
      <w:r w:rsidR="004442AB" w:rsidRPr="00817B9F">
        <w:t xml:space="preserve"> </w:t>
      </w:r>
      <w:r w:rsidR="00270DFC" w:rsidRPr="00817B9F">
        <w:t>summarizes the changes in health care expenditures associated with the expansion of outpatient MR</w:t>
      </w:r>
      <w:r w:rsidR="000768B4" w:rsidRPr="00817B9F">
        <w:t>I capacity</w:t>
      </w:r>
      <w:r w:rsidR="00270DFC" w:rsidRPr="00817B9F">
        <w:t xml:space="preserve"> at MGH. </w:t>
      </w:r>
    </w:p>
    <w:p w14:paraId="057B8A38" w14:textId="717E6D88" w:rsidR="00270DFC" w:rsidRPr="00817B9F" w:rsidRDefault="00270DFC" w:rsidP="005D3EC9">
      <w:pPr>
        <w:pStyle w:val="BulletParagraph"/>
        <w:rPr>
          <w:rFonts w:cs="Times New Roman"/>
        </w:rPr>
      </w:pPr>
      <w:r w:rsidRPr="00817B9F">
        <w:rPr>
          <w:rFonts w:cs="Times New Roman"/>
        </w:rPr>
        <w:lastRenderedPageBreak/>
        <w:t>We predict that commercial payors’ expenditures on these services will increase by 23.7 percent for each patient who switches to MGH. Commercial patients comprise 41.0 percent of the patients predicted to switch to MGH.</w:t>
      </w:r>
    </w:p>
    <w:p w14:paraId="289FA3D5" w14:textId="2E675B71" w:rsidR="00A85254" w:rsidRPr="00817B9F" w:rsidRDefault="00A85254" w:rsidP="005D3EC9">
      <w:pPr>
        <w:pStyle w:val="BulletParagraph"/>
        <w:rPr>
          <w:rFonts w:cs="Times New Roman"/>
        </w:rPr>
      </w:pPr>
      <w:r w:rsidRPr="00817B9F">
        <w:rPr>
          <w:rFonts w:cs="Times New Roman"/>
        </w:rPr>
        <w:t xml:space="preserve">We predict that expenditures for each patient covered by Original Medicare who switches to MGH will increase by </w:t>
      </w:r>
      <w:r w:rsidR="00B32089" w:rsidRPr="00817B9F">
        <w:rPr>
          <w:rFonts w:cs="Times New Roman"/>
        </w:rPr>
        <w:t>18.6</w:t>
      </w:r>
      <w:r w:rsidRPr="00817B9F">
        <w:rPr>
          <w:rFonts w:cs="Times New Roman"/>
        </w:rPr>
        <w:t xml:space="preserve"> percent and expenditures for each patient covered by a Medicare health plan who switches will </w:t>
      </w:r>
      <w:r w:rsidR="00B32089" w:rsidRPr="00817B9F">
        <w:rPr>
          <w:rFonts w:cs="Times New Roman"/>
        </w:rPr>
        <w:t>increase</w:t>
      </w:r>
      <w:r w:rsidRPr="00817B9F">
        <w:rPr>
          <w:rFonts w:cs="Times New Roman"/>
        </w:rPr>
        <w:t xml:space="preserve"> by </w:t>
      </w:r>
      <w:r w:rsidR="00B32089" w:rsidRPr="00817B9F">
        <w:rPr>
          <w:rFonts w:cs="Times New Roman"/>
        </w:rPr>
        <w:t>0.5</w:t>
      </w:r>
      <w:r w:rsidRPr="00817B9F">
        <w:rPr>
          <w:rFonts w:cs="Times New Roman"/>
        </w:rPr>
        <w:t xml:space="preserve"> percent. Among patients who are predicted to switch to MGH, </w:t>
      </w:r>
      <w:r w:rsidR="00B32089" w:rsidRPr="00817B9F">
        <w:rPr>
          <w:rFonts w:cs="Times New Roman"/>
        </w:rPr>
        <w:t>28.0</w:t>
      </w:r>
      <w:r w:rsidRPr="00817B9F">
        <w:rPr>
          <w:rFonts w:cs="Times New Roman"/>
        </w:rPr>
        <w:t xml:space="preserve"> percent are covered by Original Medicare and </w:t>
      </w:r>
      <w:r w:rsidR="00B32089" w:rsidRPr="00817B9F">
        <w:rPr>
          <w:rFonts w:cs="Times New Roman"/>
        </w:rPr>
        <w:t>7.4</w:t>
      </w:r>
      <w:r w:rsidRPr="00817B9F">
        <w:rPr>
          <w:rFonts w:cs="Times New Roman"/>
        </w:rPr>
        <w:t xml:space="preserve"> percent are covered by a Medicare health plan.</w:t>
      </w:r>
    </w:p>
    <w:p w14:paraId="1FB1F851" w14:textId="7EF2A671" w:rsidR="007E4521" w:rsidRPr="00817B9F" w:rsidRDefault="007E4521" w:rsidP="005D3EC9">
      <w:pPr>
        <w:pStyle w:val="BulletParagraph"/>
        <w:rPr>
          <w:rFonts w:cs="Times New Roman"/>
        </w:rPr>
      </w:pPr>
      <w:r w:rsidRPr="00817B9F">
        <w:rPr>
          <w:rFonts w:cs="Times New Roman"/>
        </w:rPr>
        <w:t xml:space="preserve">We predict that expenditures for each patient covered by MassHealth non-managed care who switches to MGH will increase by </w:t>
      </w:r>
      <w:r w:rsidR="003527D3" w:rsidRPr="00817B9F">
        <w:rPr>
          <w:rFonts w:cs="Times New Roman"/>
        </w:rPr>
        <w:t>0.7</w:t>
      </w:r>
      <w:r w:rsidRPr="00817B9F">
        <w:rPr>
          <w:rFonts w:cs="Times New Roman"/>
        </w:rPr>
        <w:t xml:space="preserve"> percent and expenditures for each patient covered by a MassHealth managed care plan who switches will increase by </w:t>
      </w:r>
      <w:r w:rsidR="006A6806" w:rsidRPr="00817B9F">
        <w:rPr>
          <w:rFonts w:cs="Times New Roman"/>
        </w:rPr>
        <w:t>2.1</w:t>
      </w:r>
      <w:r w:rsidRPr="00817B9F">
        <w:rPr>
          <w:rFonts w:cs="Times New Roman"/>
        </w:rPr>
        <w:t xml:space="preserve"> percent. Among patients who are predicted to switch to MGH, 3.5 percent are covered by MassHealth non-managed care and 15.9 percent are covered by a MassHealth managed care plan.</w:t>
      </w:r>
    </w:p>
    <w:p w14:paraId="52450CC1" w14:textId="4089CCCC" w:rsidR="00270DFC" w:rsidRPr="00817B9F" w:rsidRDefault="00270DFC" w:rsidP="00F054C7">
      <w:pPr>
        <w:pStyle w:val="BulletParagraph"/>
        <w:rPr>
          <w:rFonts w:cs="Times New Roman"/>
        </w:rPr>
      </w:pPr>
      <w:r w:rsidRPr="00817B9F">
        <w:rPr>
          <w:rFonts w:cs="Times New Roman"/>
        </w:rPr>
        <w:t xml:space="preserve">Overall, across all coverage types, we predict that expenditures on outpatient MR scans will increase by an average of </w:t>
      </w:r>
      <w:r w:rsidR="006A6806" w:rsidRPr="00817B9F">
        <w:rPr>
          <w:rFonts w:cs="Times New Roman"/>
        </w:rPr>
        <w:t>15.1</w:t>
      </w:r>
      <w:r w:rsidRPr="00817B9F">
        <w:rPr>
          <w:rFonts w:cs="Times New Roman"/>
        </w:rPr>
        <w:t xml:space="preserve"> percent for each patient who switches to MGH. Across all coverage types, we predict that total expenditures </w:t>
      </w:r>
      <w:r w:rsidR="007E4521" w:rsidRPr="00817B9F">
        <w:rPr>
          <w:rFonts w:cs="Times New Roman"/>
        </w:rPr>
        <w:t>on outpatient MR scans</w:t>
      </w:r>
      <w:r w:rsidRPr="00817B9F">
        <w:rPr>
          <w:rFonts w:cs="Times New Roman"/>
        </w:rPr>
        <w:t xml:space="preserve"> (</w:t>
      </w:r>
      <w:r w:rsidRPr="00817B9F">
        <w:rPr>
          <w:rFonts w:cs="Times New Roman"/>
          <w:i/>
          <w:iCs/>
        </w:rPr>
        <w:t>i.e.</w:t>
      </w:r>
      <w:r w:rsidRPr="00817B9F">
        <w:rPr>
          <w:rFonts w:cs="Times New Roman"/>
        </w:rPr>
        <w:t xml:space="preserve">, including both patients who switch to MGH and patients whose choices are unchanged) </w:t>
      </w:r>
      <w:r w:rsidR="007E4521" w:rsidRPr="00817B9F">
        <w:rPr>
          <w:rFonts w:cs="Times New Roman"/>
        </w:rPr>
        <w:t>will</w:t>
      </w:r>
      <w:r w:rsidRPr="00817B9F">
        <w:rPr>
          <w:rFonts w:cs="Times New Roman"/>
        </w:rPr>
        <w:t xml:space="preserve"> increase by 0.</w:t>
      </w:r>
      <w:r w:rsidR="006A6806" w:rsidRPr="00817B9F">
        <w:rPr>
          <w:rFonts w:cs="Times New Roman"/>
        </w:rPr>
        <w:t>2</w:t>
      </w:r>
      <w:r w:rsidRPr="00817B9F">
        <w:rPr>
          <w:rFonts w:cs="Times New Roman"/>
        </w:rPr>
        <w:t xml:space="preserve"> percent.</w:t>
      </w:r>
    </w:p>
    <w:p w14:paraId="05C9ED5F" w14:textId="45C535A8" w:rsidR="00D62A70" w:rsidRPr="00817B9F" w:rsidRDefault="00910BCB" w:rsidP="00D62A70">
      <w:pPr>
        <w:pStyle w:val="NumberedParagraphs"/>
      </w:pPr>
      <w:r w:rsidRPr="00817B9F">
        <w:t xml:space="preserve">Figure </w:t>
      </w:r>
      <w:r w:rsidR="00A764CE" w:rsidRPr="00817B9F">
        <w:t>MGH2</w:t>
      </w:r>
      <w:r w:rsidR="00796DE1" w:rsidRPr="00817B9F">
        <w:t>5</w:t>
      </w:r>
      <w:r w:rsidR="00C61901" w:rsidRPr="00817B9F">
        <w:t xml:space="preserve"> </w:t>
      </w:r>
      <w:r w:rsidR="00D62A70" w:rsidRPr="00817B9F">
        <w:t xml:space="preserve">summarizes the changes in health care expenditures associated with the expansion of outpatient PET/CT </w:t>
      </w:r>
      <w:r w:rsidR="000768B4" w:rsidRPr="00817B9F">
        <w:t>imaging capacity</w:t>
      </w:r>
      <w:r w:rsidR="00D62A70" w:rsidRPr="00817B9F">
        <w:t xml:space="preserve"> at MGH. </w:t>
      </w:r>
    </w:p>
    <w:p w14:paraId="2EA3FE20" w14:textId="430237D4" w:rsidR="00D62A70" w:rsidRPr="00817B9F" w:rsidRDefault="00D62A70" w:rsidP="005D3EC9">
      <w:pPr>
        <w:pStyle w:val="BulletParagraph"/>
        <w:rPr>
          <w:rFonts w:cs="Times New Roman"/>
        </w:rPr>
      </w:pPr>
      <w:r w:rsidRPr="00817B9F">
        <w:rPr>
          <w:rFonts w:cs="Times New Roman"/>
        </w:rPr>
        <w:t>We predict that commercial payors’ expenditures on these services will increase by 16.7 percent for each patient who switches to MGH. Commercial patients comprise 23.1 percent of the patients predicted to switch to MGH.</w:t>
      </w:r>
    </w:p>
    <w:p w14:paraId="5B0A26FD" w14:textId="336301E8" w:rsidR="008E505F" w:rsidRPr="00817B9F" w:rsidRDefault="008E505F" w:rsidP="005D3EC9">
      <w:pPr>
        <w:pStyle w:val="BulletParagraph"/>
        <w:rPr>
          <w:rFonts w:cs="Times New Roman"/>
        </w:rPr>
      </w:pPr>
      <w:r w:rsidRPr="00817B9F">
        <w:rPr>
          <w:rFonts w:cs="Times New Roman"/>
        </w:rPr>
        <w:t>We predict that expenditures for each patient covered by Original Medicare who switches to MGH will increase by 21.1 percent and expenditures for each patient covered by a Medicare health plan who switches will increase by 25.9 percent. Among patients who are predicted to switch to MGH, 47.2 percent are covered by Original Medicare and 15.8 percent are covered by a Medicare health plan</w:t>
      </w:r>
      <w:r w:rsidR="00AC68BA" w:rsidRPr="00817B9F">
        <w:rPr>
          <w:rFonts w:cs="Times New Roman"/>
        </w:rPr>
        <w:t>.</w:t>
      </w:r>
    </w:p>
    <w:p w14:paraId="3F236A5F" w14:textId="42C8D923" w:rsidR="00D62A70" w:rsidRPr="00817B9F" w:rsidRDefault="00D62A70" w:rsidP="005D3EC9">
      <w:pPr>
        <w:pStyle w:val="BulletParagraph"/>
        <w:rPr>
          <w:rFonts w:cs="Times New Roman"/>
        </w:rPr>
      </w:pPr>
      <w:r w:rsidRPr="00817B9F">
        <w:rPr>
          <w:rFonts w:cs="Times New Roman"/>
        </w:rPr>
        <w:lastRenderedPageBreak/>
        <w:t xml:space="preserve">We predict that expenditures for </w:t>
      </w:r>
      <w:r w:rsidR="00830A23" w:rsidRPr="00817B9F">
        <w:rPr>
          <w:rFonts w:cs="Times New Roman"/>
        </w:rPr>
        <w:t xml:space="preserve">each patient covered by </w:t>
      </w:r>
      <w:r w:rsidRPr="00817B9F">
        <w:rPr>
          <w:rFonts w:cs="Times New Roman"/>
        </w:rPr>
        <w:t xml:space="preserve">MassHealth non-managed care </w:t>
      </w:r>
      <w:r w:rsidR="00830A23" w:rsidRPr="00817B9F">
        <w:rPr>
          <w:rFonts w:cs="Times New Roman"/>
        </w:rPr>
        <w:t>who switches to MGH</w:t>
      </w:r>
      <w:r w:rsidRPr="00817B9F">
        <w:rPr>
          <w:rFonts w:cs="Times New Roman"/>
        </w:rPr>
        <w:t xml:space="preserve"> will increase by </w:t>
      </w:r>
      <w:r w:rsidR="0052323D" w:rsidRPr="00817B9F">
        <w:rPr>
          <w:rFonts w:cs="Times New Roman"/>
        </w:rPr>
        <w:t>2.0</w:t>
      </w:r>
      <w:r w:rsidRPr="00817B9F">
        <w:rPr>
          <w:rFonts w:cs="Times New Roman"/>
        </w:rPr>
        <w:t xml:space="preserve"> percent and </w:t>
      </w:r>
      <w:r w:rsidR="00830A23" w:rsidRPr="00817B9F">
        <w:rPr>
          <w:rFonts w:cs="Times New Roman"/>
        </w:rPr>
        <w:t>expenditures</w:t>
      </w:r>
      <w:r w:rsidRPr="00817B9F">
        <w:rPr>
          <w:rFonts w:cs="Times New Roman"/>
        </w:rPr>
        <w:t xml:space="preserve"> for each patient </w:t>
      </w:r>
      <w:r w:rsidR="00830A23" w:rsidRPr="00817B9F">
        <w:rPr>
          <w:rFonts w:cs="Times New Roman"/>
        </w:rPr>
        <w:t xml:space="preserve">covered by a MassHealth managed care plan who switches will increase by </w:t>
      </w:r>
      <w:r w:rsidR="00380753" w:rsidRPr="00817B9F">
        <w:rPr>
          <w:rFonts w:cs="Times New Roman"/>
        </w:rPr>
        <w:t>3.0</w:t>
      </w:r>
      <w:r w:rsidR="00830A23" w:rsidRPr="00817B9F">
        <w:rPr>
          <w:rFonts w:cs="Times New Roman"/>
        </w:rPr>
        <w:t xml:space="preserve"> percent. Among patients who are predicted to switch to MGH, </w:t>
      </w:r>
      <w:r w:rsidR="00AE4DE4" w:rsidRPr="00817B9F">
        <w:rPr>
          <w:rFonts w:cs="Times New Roman"/>
        </w:rPr>
        <w:t>1.8</w:t>
      </w:r>
      <w:r w:rsidR="00830A23" w:rsidRPr="00817B9F">
        <w:rPr>
          <w:rFonts w:cs="Times New Roman"/>
        </w:rPr>
        <w:t xml:space="preserve"> percent are covered by MassHealth non-managed care and </w:t>
      </w:r>
      <w:r w:rsidR="00AE4DE4" w:rsidRPr="00817B9F">
        <w:rPr>
          <w:rFonts w:cs="Times New Roman"/>
        </w:rPr>
        <w:t>8.3</w:t>
      </w:r>
      <w:r w:rsidR="00830A23" w:rsidRPr="00817B9F">
        <w:rPr>
          <w:rFonts w:cs="Times New Roman"/>
        </w:rPr>
        <w:t xml:space="preserve"> percent are covered by a MassHealth managed care plan</w:t>
      </w:r>
      <w:r w:rsidRPr="00817B9F">
        <w:rPr>
          <w:rFonts w:cs="Times New Roman"/>
        </w:rPr>
        <w:t>.</w:t>
      </w:r>
    </w:p>
    <w:p w14:paraId="33E83022" w14:textId="3E7419E0" w:rsidR="002241E4" w:rsidRPr="00817B9F" w:rsidRDefault="00D62A70" w:rsidP="00F054C7">
      <w:pPr>
        <w:pStyle w:val="BulletParagraph"/>
        <w:rPr>
          <w:rFonts w:cs="Times New Roman"/>
        </w:rPr>
      </w:pPr>
      <w:r w:rsidRPr="00817B9F">
        <w:rPr>
          <w:rFonts w:cs="Times New Roman"/>
        </w:rPr>
        <w:t xml:space="preserve">Overall, across all coverage types, we predict that expenditures on outpatient </w:t>
      </w:r>
      <w:r w:rsidR="00A46E5B" w:rsidRPr="00817B9F">
        <w:rPr>
          <w:rFonts w:cs="Times New Roman"/>
        </w:rPr>
        <w:t xml:space="preserve">PET/CT </w:t>
      </w:r>
      <w:r w:rsidRPr="00817B9F">
        <w:rPr>
          <w:rFonts w:cs="Times New Roman"/>
        </w:rPr>
        <w:t xml:space="preserve">scans will increase by an average of </w:t>
      </w:r>
      <w:r w:rsidR="00B3033C" w:rsidRPr="00817B9F">
        <w:rPr>
          <w:rFonts w:cs="Times New Roman"/>
        </w:rPr>
        <w:t>18.4</w:t>
      </w:r>
      <w:r w:rsidRPr="00817B9F">
        <w:rPr>
          <w:rFonts w:cs="Times New Roman"/>
        </w:rPr>
        <w:t xml:space="preserve"> percent for each patient who switches to MGH. Across all coverage types, we predict that total expenditures </w:t>
      </w:r>
      <w:r w:rsidR="00CE4CDB" w:rsidRPr="00817B9F">
        <w:rPr>
          <w:rFonts w:cs="Times New Roman"/>
        </w:rPr>
        <w:t xml:space="preserve">on outpatient PET/CT scans </w:t>
      </w:r>
      <w:r w:rsidRPr="00817B9F">
        <w:rPr>
          <w:rFonts w:cs="Times New Roman"/>
        </w:rPr>
        <w:t>(</w:t>
      </w:r>
      <w:r w:rsidRPr="00817B9F">
        <w:rPr>
          <w:rFonts w:cs="Times New Roman"/>
          <w:i/>
          <w:iCs/>
        </w:rPr>
        <w:t>i.e.</w:t>
      </w:r>
      <w:r w:rsidRPr="00817B9F">
        <w:rPr>
          <w:rFonts w:cs="Times New Roman"/>
        </w:rPr>
        <w:t xml:space="preserve">, including both patients who switch to MGH and patients whose choices are unchanged) </w:t>
      </w:r>
      <w:r w:rsidR="00CE4CDB" w:rsidRPr="00817B9F">
        <w:rPr>
          <w:rFonts w:cs="Times New Roman"/>
        </w:rPr>
        <w:t>will</w:t>
      </w:r>
      <w:r w:rsidRPr="00817B9F">
        <w:rPr>
          <w:rFonts w:cs="Times New Roman"/>
        </w:rPr>
        <w:t xml:space="preserve"> increase by </w:t>
      </w:r>
      <w:r w:rsidR="00BD0B58" w:rsidRPr="00817B9F">
        <w:rPr>
          <w:rFonts w:cs="Times New Roman"/>
        </w:rPr>
        <w:t>1.</w:t>
      </w:r>
      <w:r w:rsidR="00B3033C" w:rsidRPr="00817B9F">
        <w:rPr>
          <w:rFonts w:cs="Times New Roman"/>
        </w:rPr>
        <w:t>1</w:t>
      </w:r>
      <w:r w:rsidRPr="00817B9F">
        <w:rPr>
          <w:rFonts w:cs="Times New Roman"/>
        </w:rPr>
        <w:t xml:space="preserve"> percent.</w:t>
      </w:r>
    </w:p>
    <w:p w14:paraId="4ECE8B2F" w14:textId="2D010B62" w:rsidR="00886A67" w:rsidRPr="00817B9F" w:rsidRDefault="00886A67" w:rsidP="000647AC">
      <w:pPr>
        <w:pStyle w:val="Heading3"/>
      </w:pPr>
      <w:bookmarkStart w:id="135" w:name="_Toc90046544"/>
      <w:r w:rsidRPr="00817B9F">
        <w:t>Cardiovascular Services</w:t>
      </w:r>
      <w:bookmarkEnd w:id="135"/>
    </w:p>
    <w:p w14:paraId="1CAFA9C3" w14:textId="06E8928D" w:rsidR="007909B4" w:rsidRPr="00817B9F" w:rsidRDefault="007909B4" w:rsidP="007909B4">
      <w:pPr>
        <w:pStyle w:val="NumberedParagraphs"/>
      </w:pPr>
      <w:r w:rsidRPr="00817B9F">
        <w:t>Figure MGH2</w:t>
      </w:r>
      <w:r w:rsidR="00796DE1" w:rsidRPr="00817B9F">
        <w:t>6</w:t>
      </w:r>
      <w:r w:rsidRPr="00817B9F">
        <w:t xml:space="preserve"> summarizes the changes in health care expenditures associated with the expansion of outpatient cardio</w:t>
      </w:r>
      <w:r w:rsidR="007D5838" w:rsidRPr="00817B9F">
        <w:t xml:space="preserve">vascular </w:t>
      </w:r>
      <w:r w:rsidR="009812DE" w:rsidRPr="00817B9F">
        <w:t>services</w:t>
      </w:r>
      <w:r w:rsidRPr="00817B9F">
        <w:t xml:space="preserve"> at MGH. </w:t>
      </w:r>
    </w:p>
    <w:p w14:paraId="1A107163" w14:textId="1FD66464" w:rsidR="007909B4" w:rsidRPr="00817B9F" w:rsidRDefault="007909B4" w:rsidP="005D3EC9">
      <w:pPr>
        <w:pStyle w:val="BulletParagraph"/>
        <w:rPr>
          <w:rFonts w:cs="Times New Roman"/>
        </w:rPr>
      </w:pPr>
      <w:r w:rsidRPr="00817B9F">
        <w:rPr>
          <w:rFonts w:cs="Times New Roman"/>
        </w:rPr>
        <w:t xml:space="preserve">We predict that commercial payors’ expenditures on these services will increase by </w:t>
      </w:r>
      <w:r w:rsidR="009812DE" w:rsidRPr="00817B9F">
        <w:rPr>
          <w:rFonts w:cs="Times New Roman"/>
        </w:rPr>
        <w:t>34.9</w:t>
      </w:r>
      <w:r w:rsidRPr="00817B9F">
        <w:rPr>
          <w:rFonts w:cs="Times New Roman"/>
        </w:rPr>
        <w:t xml:space="preserve"> percent for each patient who switches to MGH. Commercial patients comprise </w:t>
      </w:r>
      <w:r w:rsidR="008D3D9E" w:rsidRPr="00817B9F">
        <w:rPr>
          <w:rFonts w:cs="Times New Roman"/>
        </w:rPr>
        <w:t>20.3</w:t>
      </w:r>
      <w:r w:rsidRPr="00817B9F">
        <w:rPr>
          <w:rFonts w:cs="Times New Roman"/>
        </w:rPr>
        <w:t xml:space="preserve"> percent of the patients predicted to switch to MGH.</w:t>
      </w:r>
    </w:p>
    <w:p w14:paraId="758B20DC" w14:textId="76927A84" w:rsidR="00BD344D" w:rsidRPr="00817B9F" w:rsidRDefault="007909B4" w:rsidP="005D3EC9">
      <w:pPr>
        <w:pStyle w:val="BulletParagraph"/>
        <w:rPr>
          <w:rFonts w:cs="Times New Roman"/>
        </w:rPr>
      </w:pPr>
      <w:r w:rsidRPr="00817B9F">
        <w:rPr>
          <w:rFonts w:cs="Times New Roman"/>
        </w:rPr>
        <w:t>We predict that expenditures for</w:t>
      </w:r>
      <w:r w:rsidR="00BD344D" w:rsidRPr="00817B9F">
        <w:rPr>
          <w:rFonts w:cs="Times New Roman"/>
        </w:rPr>
        <w:t xml:space="preserve"> each patient covered by a Medicare health plan who switches to MGH will increase by 1.8 percent</w:t>
      </w:r>
      <w:r w:rsidR="00C7566C" w:rsidRPr="00817B9F">
        <w:rPr>
          <w:rFonts w:cs="Times New Roman"/>
        </w:rPr>
        <w:t xml:space="preserve">. </w:t>
      </w:r>
      <w:r w:rsidR="001E60CD" w:rsidRPr="00817B9F">
        <w:rPr>
          <w:rFonts w:cs="Times New Roman"/>
        </w:rPr>
        <w:t xml:space="preserve">Among patients who are predicted to switch to MGH, 6.9 percent are covered by a Medicare health plan. For patients covered by Original Medicare who switch to MGH, we predict that nearly all of these patients </w:t>
      </w:r>
      <w:r w:rsidR="00F906A5" w:rsidRPr="00817B9F">
        <w:rPr>
          <w:rFonts w:cs="Times New Roman"/>
        </w:rPr>
        <w:t>shift</w:t>
      </w:r>
      <w:r w:rsidR="001E60CD" w:rsidRPr="00817B9F">
        <w:rPr>
          <w:rFonts w:cs="Times New Roman"/>
        </w:rPr>
        <w:t xml:space="preserve"> to MGH from another HOPD</w:t>
      </w:r>
      <w:r w:rsidR="002D18FB" w:rsidRPr="00817B9F">
        <w:rPr>
          <w:rFonts w:cs="Times New Roman"/>
        </w:rPr>
        <w:t xml:space="preserve">. Therefore, </w:t>
      </w:r>
      <w:r w:rsidR="00546D88" w:rsidRPr="00817B9F">
        <w:rPr>
          <w:rFonts w:cs="Times New Roman"/>
        </w:rPr>
        <w:t>the</w:t>
      </w:r>
      <w:r w:rsidR="002D18FB" w:rsidRPr="00817B9F">
        <w:rPr>
          <w:rFonts w:cs="Times New Roman"/>
        </w:rPr>
        <w:t xml:space="preserve"> </w:t>
      </w:r>
      <w:r w:rsidR="001E60CD" w:rsidRPr="00817B9F">
        <w:rPr>
          <w:rFonts w:cs="Times New Roman"/>
        </w:rPr>
        <w:t xml:space="preserve">change in health care expenditures </w:t>
      </w:r>
      <w:r w:rsidR="00546D88" w:rsidRPr="00817B9F">
        <w:rPr>
          <w:rFonts w:cs="Times New Roman"/>
        </w:rPr>
        <w:t xml:space="preserve">associated with </w:t>
      </w:r>
      <w:r w:rsidR="00F906A5" w:rsidRPr="00817B9F">
        <w:rPr>
          <w:rFonts w:cs="Times New Roman"/>
        </w:rPr>
        <w:t>patients covered by</w:t>
      </w:r>
      <w:r w:rsidR="00546D88" w:rsidRPr="00817B9F">
        <w:rPr>
          <w:rFonts w:cs="Times New Roman"/>
        </w:rPr>
        <w:t xml:space="preserve"> Original </w:t>
      </w:r>
      <w:r w:rsidR="001E60CD" w:rsidRPr="00817B9F">
        <w:rPr>
          <w:rFonts w:cs="Times New Roman"/>
        </w:rPr>
        <w:t xml:space="preserve">Medicare </w:t>
      </w:r>
      <w:r w:rsidR="00546D88" w:rsidRPr="00817B9F">
        <w:rPr>
          <w:rFonts w:cs="Times New Roman"/>
        </w:rPr>
        <w:t>who switch to MGH is minimal. Among</w:t>
      </w:r>
      <w:r w:rsidR="001E60CD" w:rsidRPr="00817B9F">
        <w:rPr>
          <w:rFonts w:cs="Times New Roman"/>
        </w:rPr>
        <w:t xml:space="preserve"> patients </w:t>
      </w:r>
      <w:r w:rsidR="00546D88" w:rsidRPr="00817B9F">
        <w:rPr>
          <w:rFonts w:cs="Times New Roman"/>
        </w:rPr>
        <w:t>who are predicted to switch to MGH, 62.5 percent are covered by Original Medicare.</w:t>
      </w:r>
    </w:p>
    <w:p w14:paraId="495209FC" w14:textId="018874E7" w:rsidR="00E4370E" w:rsidRPr="00817B9F" w:rsidRDefault="00E4370E" w:rsidP="005D3EC9">
      <w:pPr>
        <w:pStyle w:val="BulletParagraph"/>
        <w:rPr>
          <w:rFonts w:cs="Times New Roman"/>
        </w:rPr>
      </w:pPr>
      <w:r w:rsidRPr="00817B9F">
        <w:rPr>
          <w:rFonts w:cs="Times New Roman"/>
        </w:rPr>
        <w:t xml:space="preserve">We predict that expenditures for each patient covered by a MassHealth managed care plan who switches to MGH will increase by 2.9 percent. Among patients who are predicted to switch to MGH, </w:t>
      </w:r>
      <w:r w:rsidR="006643E6" w:rsidRPr="00817B9F">
        <w:rPr>
          <w:rFonts w:cs="Times New Roman"/>
        </w:rPr>
        <w:t>5.1</w:t>
      </w:r>
      <w:r w:rsidRPr="00817B9F">
        <w:rPr>
          <w:rFonts w:cs="Times New Roman"/>
        </w:rPr>
        <w:t xml:space="preserve"> percent are covered by a MassHealth managed care plan. </w:t>
      </w:r>
      <w:r w:rsidR="00EC311A" w:rsidRPr="00817B9F">
        <w:rPr>
          <w:rFonts w:cs="Times New Roman"/>
        </w:rPr>
        <w:t xml:space="preserve">Similar to </w:t>
      </w:r>
      <w:r w:rsidRPr="00817B9F">
        <w:rPr>
          <w:rFonts w:cs="Times New Roman"/>
        </w:rPr>
        <w:t xml:space="preserve">patients covered by Original Medicare, we predict </w:t>
      </w:r>
      <w:r w:rsidR="00EC311A" w:rsidRPr="00817B9F">
        <w:rPr>
          <w:rFonts w:cs="Times New Roman"/>
        </w:rPr>
        <w:t>minimal</w:t>
      </w:r>
      <w:r w:rsidRPr="00817B9F">
        <w:rPr>
          <w:rFonts w:cs="Times New Roman"/>
        </w:rPr>
        <w:t xml:space="preserve"> change in expenditures </w:t>
      </w:r>
      <w:r w:rsidR="00EC311A" w:rsidRPr="00817B9F">
        <w:rPr>
          <w:rFonts w:cs="Times New Roman"/>
        </w:rPr>
        <w:t>for</w:t>
      </w:r>
      <w:r w:rsidRPr="00817B9F">
        <w:rPr>
          <w:rFonts w:cs="Times New Roman"/>
        </w:rPr>
        <w:t xml:space="preserve"> </w:t>
      </w:r>
      <w:r w:rsidRPr="00817B9F">
        <w:rPr>
          <w:rFonts w:cs="Times New Roman"/>
        </w:rPr>
        <w:lastRenderedPageBreak/>
        <w:t xml:space="preserve">patients covered by </w:t>
      </w:r>
      <w:r w:rsidR="00EC311A" w:rsidRPr="00817B9F">
        <w:rPr>
          <w:rFonts w:cs="Times New Roman"/>
        </w:rPr>
        <w:t>MassHealth non-managed care</w:t>
      </w:r>
      <w:r w:rsidRPr="00817B9F">
        <w:rPr>
          <w:rFonts w:cs="Times New Roman"/>
        </w:rPr>
        <w:t xml:space="preserve"> who switch to MGH. Among patients who are predicted to switch to MGH, </w:t>
      </w:r>
      <w:r w:rsidR="00EC311A" w:rsidRPr="00817B9F">
        <w:rPr>
          <w:rFonts w:cs="Times New Roman"/>
        </w:rPr>
        <w:t>2.0</w:t>
      </w:r>
      <w:r w:rsidRPr="00817B9F">
        <w:rPr>
          <w:rFonts w:cs="Times New Roman"/>
        </w:rPr>
        <w:t xml:space="preserve"> percent are covered by </w:t>
      </w:r>
      <w:r w:rsidR="00EC311A" w:rsidRPr="00817B9F">
        <w:rPr>
          <w:rFonts w:cs="Times New Roman"/>
        </w:rPr>
        <w:t>MassHealth non-managed care.</w:t>
      </w:r>
    </w:p>
    <w:p w14:paraId="7CE64066" w14:textId="70800C24" w:rsidR="00886A67" w:rsidRPr="00817B9F" w:rsidRDefault="007909B4" w:rsidP="00F054C7">
      <w:pPr>
        <w:pStyle w:val="BulletParagraph"/>
        <w:rPr>
          <w:rFonts w:cs="Times New Roman"/>
        </w:rPr>
      </w:pPr>
      <w:r w:rsidRPr="00817B9F">
        <w:rPr>
          <w:rFonts w:cs="Times New Roman"/>
        </w:rPr>
        <w:t xml:space="preserve">Overall, across all coverage types, we predict that expenditures on outpatient </w:t>
      </w:r>
      <w:r w:rsidR="009812DE" w:rsidRPr="00817B9F">
        <w:rPr>
          <w:rFonts w:cs="Times New Roman"/>
        </w:rPr>
        <w:t>cardiovascular procedures</w:t>
      </w:r>
      <w:r w:rsidRPr="00817B9F">
        <w:rPr>
          <w:rFonts w:cs="Times New Roman"/>
        </w:rPr>
        <w:t xml:space="preserve"> will increase by an average of 7.</w:t>
      </w:r>
      <w:r w:rsidR="009812DE" w:rsidRPr="00817B9F">
        <w:rPr>
          <w:rFonts w:cs="Times New Roman"/>
        </w:rPr>
        <w:t>7</w:t>
      </w:r>
      <w:r w:rsidRPr="00817B9F">
        <w:rPr>
          <w:rFonts w:cs="Times New Roman"/>
        </w:rPr>
        <w:t xml:space="preserve"> percent for each patient who switches to MGH. Across all coverage types, we predict that total expenditures </w:t>
      </w:r>
      <w:r w:rsidR="00591479" w:rsidRPr="00817B9F">
        <w:rPr>
          <w:rFonts w:cs="Times New Roman"/>
        </w:rPr>
        <w:t xml:space="preserve">on outpatient cardiovascular procedures </w:t>
      </w:r>
      <w:r w:rsidRPr="00817B9F">
        <w:rPr>
          <w:rFonts w:cs="Times New Roman"/>
        </w:rPr>
        <w:t>(</w:t>
      </w:r>
      <w:r w:rsidRPr="00817B9F">
        <w:rPr>
          <w:rFonts w:cs="Times New Roman"/>
          <w:i/>
          <w:iCs/>
        </w:rPr>
        <w:t>i.e.</w:t>
      </w:r>
      <w:r w:rsidRPr="00817B9F">
        <w:rPr>
          <w:rFonts w:cs="Times New Roman"/>
        </w:rPr>
        <w:t xml:space="preserve">, including both patients who switch to MGH and patients whose choices are unchanged) would increase by </w:t>
      </w:r>
      <w:r w:rsidR="00591479" w:rsidRPr="00817B9F">
        <w:rPr>
          <w:rFonts w:cs="Times New Roman"/>
        </w:rPr>
        <w:t>only a minimal amount</w:t>
      </w:r>
      <w:r w:rsidRPr="00817B9F">
        <w:rPr>
          <w:rFonts w:cs="Times New Roman"/>
        </w:rPr>
        <w:t>.</w:t>
      </w:r>
      <w:r w:rsidR="00AC68BA" w:rsidRPr="00817B9F">
        <w:rPr>
          <w:rFonts w:cs="Times New Roman"/>
        </w:rPr>
        <w:t xml:space="preserve"> </w:t>
      </w:r>
      <w:r w:rsidR="009812DE" w:rsidRPr="00817B9F">
        <w:rPr>
          <w:rFonts w:cs="Times New Roman"/>
        </w:rPr>
        <w:t>(Because the shift in utilization is small relative to total utilization, the overall effect on payors’ expenditures is close to zero</w:t>
      </w:r>
      <w:r w:rsidR="00D90F15" w:rsidRPr="00817B9F">
        <w:rPr>
          <w:rFonts w:cs="Times New Roman"/>
        </w:rPr>
        <w:t>.</w:t>
      </w:r>
      <w:r w:rsidR="009812DE" w:rsidRPr="00817B9F">
        <w:rPr>
          <w:rFonts w:cs="Times New Roman"/>
        </w:rPr>
        <w:t>)</w:t>
      </w:r>
    </w:p>
    <w:p w14:paraId="28418B5B" w14:textId="59E3CE8B" w:rsidR="00886A67" w:rsidRPr="00817B9F" w:rsidRDefault="00886A67" w:rsidP="00886A67">
      <w:pPr>
        <w:pStyle w:val="Heading3"/>
      </w:pPr>
      <w:bookmarkStart w:id="136" w:name="_Toc90046545"/>
      <w:r w:rsidRPr="00817B9F">
        <w:t>Oncology Services</w:t>
      </w:r>
      <w:bookmarkEnd w:id="136"/>
    </w:p>
    <w:p w14:paraId="08616260" w14:textId="0A5F89ED" w:rsidR="00164E22" w:rsidRPr="00817B9F" w:rsidRDefault="00164E22" w:rsidP="00164E22">
      <w:pPr>
        <w:pStyle w:val="NumberedParagraphs"/>
      </w:pPr>
      <w:r w:rsidRPr="00817B9F">
        <w:t>Figure MGH2</w:t>
      </w:r>
      <w:r w:rsidR="00796DE1" w:rsidRPr="00817B9F">
        <w:t>7</w:t>
      </w:r>
      <w:r w:rsidRPr="00817B9F">
        <w:t xml:space="preserve"> summarizes the changes in health care expenditures associated with the expansion of outpatient oncology visits at MGH. </w:t>
      </w:r>
    </w:p>
    <w:p w14:paraId="1B07BA65" w14:textId="6548BAE4" w:rsidR="00164E22" w:rsidRPr="00817B9F" w:rsidRDefault="00164E22" w:rsidP="005D3EC9">
      <w:pPr>
        <w:pStyle w:val="BulletParagraph"/>
        <w:rPr>
          <w:rFonts w:cs="Times New Roman"/>
        </w:rPr>
      </w:pPr>
      <w:r w:rsidRPr="00817B9F">
        <w:rPr>
          <w:rFonts w:cs="Times New Roman"/>
        </w:rPr>
        <w:t>We predict that commercial payors’ expenditures on these services will increase by 69.3 percent for each patient who switches to MGH. Commercial patients comprise 27.2 percent of the patients predicted to switch to MGH.</w:t>
      </w:r>
    </w:p>
    <w:p w14:paraId="12866D0A" w14:textId="24E647CD" w:rsidR="00164E22" w:rsidRPr="00817B9F" w:rsidRDefault="00164E22" w:rsidP="005D3EC9">
      <w:pPr>
        <w:pStyle w:val="BulletParagraph"/>
        <w:rPr>
          <w:rFonts w:cs="Times New Roman"/>
        </w:rPr>
      </w:pPr>
      <w:r w:rsidRPr="00817B9F">
        <w:rPr>
          <w:rFonts w:cs="Times New Roman"/>
        </w:rPr>
        <w:t xml:space="preserve">We predict that expenditures for </w:t>
      </w:r>
      <w:r w:rsidR="004C7011" w:rsidRPr="00817B9F">
        <w:rPr>
          <w:rFonts w:cs="Times New Roman"/>
        </w:rPr>
        <w:t xml:space="preserve">each patient covered by </w:t>
      </w:r>
      <w:r w:rsidRPr="00817B9F">
        <w:rPr>
          <w:rFonts w:cs="Times New Roman"/>
        </w:rPr>
        <w:t xml:space="preserve">Original Medicare </w:t>
      </w:r>
      <w:r w:rsidR="004C7011" w:rsidRPr="00817B9F">
        <w:rPr>
          <w:rFonts w:cs="Times New Roman"/>
        </w:rPr>
        <w:t>who switches to MGH</w:t>
      </w:r>
      <w:r w:rsidRPr="00817B9F">
        <w:rPr>
          <w:rFonts w:cs="Times New Roman"/>
        </w:rPr>
        <w:t xml:space="preserve"> will increase by 2.9 percent and </w:t>
      </w:r>
      <w:r w:rsidR="004C7011" w:rsidRPr="00817B9F">
        <w:rPr>
          <w:rFonts w:cs="Times New Roman"/>
        </w:rPr>
        <w:t>expenditures</w:t>
      </w:r>
      <w:r w:rsidRPr="00817B9F">
        <w:rPr>
          <w:rFonts w:cs="Times New Roman"/>
        </w:rPr>
        <w:t xml:space="preserve"> for each patient </w:t>
      </w:r>
      <w:r w:rsidR="004C7011" w:rsidRPr="00817B9F">
        <w:rPr>
          <w:rFonts w:cs="Times New Roman"/>
        </w:rPr>
        <w:t>covered by a Medicare health plan who switches will increase by 3.2 percent. Among patients who are predicted to switch to MGH, 48.2 percent are covered by Original Medicare and 9.9 percent are covered by a Medicare health plan</w:t>
      </w:r>
      <w:r w:rsidRPr="00817B9F">
        <w:rPr>
          <w:rFonts w:cs="Times New Roman"/>
        </w:rPr>
        <w:t xml:space="preserve">. </w:t>
      </w:r>
    </w:p>
    <w:p w14:paraId="4A11E2E3" w14:textId="78B8A0CD" w:rsidR="00164E22" w:rsidRPr="00817B9F" w:rsidRDefault="00164E22" w:rsidP="005D3EC9">
      <w:pPr>
        <w:pStyle w:val="BulletParagraph"/>
        <w:rPr>
          <w:rFonts w:cs="Times New Roman"/>
        </w:rPr>
      </w:pPr>
      <w:r w:rsidRPr="00817B9F">
        <w:rPr>
          <w:rFonts w:cs="Times New Roman"/>
        </w:rPr>
        <w:t xml:space="preserve">We predict that expenditures for </w:t>
      </w:r>
      <w:r w:rsidR="00B177E2" w:rsidRPr="00817B9F">
        <w:rPr>
          <w:rFonts w:cs="Times New Roman"/>
        </w:rPr>
        <w:t xml:space="preserve">each patient covered by </w:t>
      </w:r>
      <w:r w:rsidRPr="00817B9F">
        <w:rPr>
          <w:rFonts w:cs="Times New Roman"/>
        </w:rPr>
        <w:t xml:space="preserve">MassHealth non-managed care </w:t>
      </w:r>
      <w:r w:rsidR="00B177E2" w:rsidRPr="00817B9F">
        <w:rPr>
          <w:rFonts w:cs="Times New Roman"/>
        </w:rPr>
        <w:t>who switches to MGH</w:t>
      </w:r>
      <w:r w:rsidRPr="00817B9F">
        <w:rPr>
          <w:rFonts w:cs="Times New Roman"/>
        </w:rPr>
        <w:t xml:space="preserve"> will increase by 0.1 percent and </w:t>
      </w:r>
      <w:r w:rsidR="00B177E2" w:rsidRPr="00817B9F">
        <w:rPr>
          <w:rFonts w:cs="Times New Roman"/>
        </w:rPr>
        <w:t>expenditures</w:t>
      </w:r>
      <w:r w:rsidRPr="00817B9F">
        <w:rPr>
          <w:rFonts w:cs="Times New Roman"/>
        </w:rPr>
        <w:t xml:space="preserve"> for each patient </w:t>
      </w:r>
      <w:r w:rsidR="00B177E2" w:rsidRPr="00817B9F">
        <w:rPr>
          <w:rFonts w:cs="Times New Roman"/>
        </w:rPr>
        <w:t>covered by a MassHealth managed care plan who switches will increase by 24.5 percent. Among patients who are predicted to switch to MGH, 2.7 percent are covered by MassHealth non-managed care and 8.6 percent are covered by a MassHealth managed care plan</w:t>
      </w:r>
      <w:r w:rsidRPr="00817B9F">
        <w:rPr>
          <w:rFonts w:cs="Times New Roman"/>
        </w:rPr>
        <w:t>.</w:t>
      </w:r>
    </w:p>
    <w:p w14:paraId="63BB522F" w14:textId="7150BB19" w:rsidR="00037E88" w:rsidRPr="00817B9F" w:rsidRDefault="00164E22" w:rsidP="009E28B0">
      <w:pPr>
        <w:pStyle w:val="BulletParagraph"/>
        <w:rPr>
          <w:rFonts w:cs="Times New Roman"/>
        </w:rPr>
      </w:pPr>
      <w:r w:rsidRPr="00817B9F">
        <w:rPr>
          <w:rFonts w:cs="Times New Roman"/>
        </w:rPr>
        <w:t xml:space="preserve">Overall, across all coverage types, we predict that expenditures on outpatient </w:t>
      </w:r>
      <w:r w:rsidR="008259C1" w:rsidRPr="00817B9F">
        <w:rPr>
          <w:rFonts w:cs="Times New Roman"/>
        </w:rPr>
        <w:t>oncology</w:t>
      </w:r>
      <w:r w:rsidRPr="00817B9F">
        <w:rPr>
          <w:rFonts w:cs="Times New Roman"/>
        </w:rPr>
        <w:t xml:space="preserve"> will increase by an average of </w:t>
      </w:r>
      <w:r w:rsidR="008259C1" w:rsidRPr="00817B9F">
        <w:rPr>
          <w:rFonts w:cs="Times New Roman"/>
        </w:rPr>
        <w:t>22.3</w:t>
      </w:r>
      <w:r w:rsidRPr="00817B9F">
        <w:rPr>
          <w:rFonts w:cs="Times New Roman"/>
        </w:rPr>
        <w:t xml:space="preserve"> percent for each patient who switches to MGH. Across </w:t>
      </w:r>
      <w:r w:rsidRPr="00817B9F">
        <w:rPr>
          <w:rFonts w:cs="Times New Roman"/>
        </w:rPr>
        <w:lastRenderedPageBreak/>
        <w:t xml:space="preserve">all coverage types, we predict that total expenditures </w:t>
      </w:r>
      <w:r w:rsidR="00B177E2" w:rsidRPr="00817B9F">
        <w:rPr>
          <w:rFonts w:cs="Times New Roman"/>
        </w:rPr>
        <w:t>on outpatient oncology visits</w:t>
      </w:r>
      <w:r w:rsidRPr="00817B9F">
        <w:rPr>
          <w:rFonts w:cs="Times New Roman"/>
        </w:rPr>
        <w:t xml:space="preserve"> (</w:t>
      </w:r>
      <w:r w:rsidRPr="00817B9F">
        <w:rPr>
          <w:rFonts w:cs="Times New Roman"/>
          <w:i/>
          <w:iCs/>
        </w:rPr>
        <w:t>i.e.</w:t>
      </w:r>
      <w:r w:rsidRPr="00817B9F">
        <w:rPr>
          <w:rFonts w:cs="Times New Roman"/>
        </w:rPr>
        <w:t xml:space="preserve">, including both patients who switch to MGH and patients whose choices are unchanged) </w:t>
      </w:r>
      <w:r w:rsidR="00B177E2" w:rsidRPr="00817B9F">
        <w:rPr>
          <w:rFonts w:cs="Times New Roman"/>
        </w:rPr>
        <w:t>will</w:t>
      </w:r>
      <w:r w:rsidRPr="00817B9F">
        <w:rPr>
          <w:rFonts w:cs="Times New Roman"/>
        </w:rPr>
        <w:t xml:space="preserve"> increase by 0.</w:t>
      </w:r>
      <w:r w:rsidR="008259C1" w:rsidRPr="00817B9F">
        <w:rPr>
          <w:rFonts w:cs="Times New Roman"/>
        </w:rPr>
        <w:t>5</w:t>
      </w:r>
      <w:r w:rsidRPr="00817B9F">
        <w:rPr>
          <w:rFonts w:cs="Times New Roman"/>
        </w:rPr>
        <w:t xml:space="preserve"> percent. (Because the shift in utilization is small relative to total utilization, the overall effect on payors’ expenditures is</w:t>
      </w:r>
      <w:r w:rsidR="008259C1" w:rsidRPr="00817B9F">
        <w:rPr>
          <w:rFonts w:cs="Times New Roman"/>
        </w:rPr>
        <w:t xml:space="preserve"> much smaller than the effect on expenditures for those who switch.</w:t>
      </w:r>
      <w:r w:rsidRPr="00817B9F">
        <w:rPr>
          <w:rFonts w:cs="Times New Roman"/>
        </w:rPr>
        <w:t>)</w:t>
      </w:r>
    </w:p>
    <w:p w14:paraId="4E60B022" w14:textId="77777777" w:rsidR="004512A3" w:rsidRPr="00817B9F" w:rsidRDefault="004512A3" w:rsidP="00D15D02">
      <w:pPr>
        <w:pStyle w:val="Heading1"/>
      </w:pPr>
      <w:bookmarkStart w:id="137" w:name="_Toc90046546"/>
      <w:r w:rsidRPr="00817B9F">
        <w:t>Other Considerations</w:t>
      </w:r>
      <w:bookmarkEnd w:id="137"/>
    </w:p>
    <w:p w14:paraId="2B1FD999" w14:textId="4556DB75" w:rsidR="00D15D02" w:rsidRPr="00817B9F" w:rsidRDefault="00D15D02" w:rsidP="00184D23">
      <w:pPr>
        <w:pStyle w:val="Heading2"/>
        <w:numPr>
          <w:ilvl w:val="0"/>
          <w:numId w:val="21"/>
        </w:numPr>
        <w:rPr>
          <w:rFonts w:cs="Times New Roman"/>
        </w:rPr>
      </w:pPr>
      <w:bookmarkStart w:id="138" w:name="_Toc90046547"/>
      <w:r w:rsidRPr="00817B9F">
        <w:rPr>
          <w:rFonts w:cs="Times New Roman"/>
        </w:rPr>
        <w:t xml:space="preserve">Effect on </w:t>
      </w:r>
      <w:r w:rsidR="00FE2284" w:rsidRPr="00817B9F">
        <w:rPr>
          <w:rFonts w:cs="Times New Roman"/>
        </w:rPr>
        <w:t>D</w:t>
      </w:r>
      <w:r w:rsidRPr="00817B9F">
        <w:rPr>
          <w:rFonts w:cs="Times New Roman"/>
        </w:rPr>
        <w:t xml:space="preserve">emand for </w:t>
      </w:r>
      <w:r w:rsidR="00FE2284" w:rsidRPr="00817B9F">
        <w:rPr>
          <w:rFonts w:cs="Times New Roman"/>
        </w:rPr>
        <w:t>H</w:t>
      </w:r>
      <w:r w:rsidRPr="00817B9F">
        <w:rPr>
          <w:rFonts w:cs="Times New Roman"/>
        </w:rPr>
        <w:t xml:space="preserve">ealth </w:t>
      </w:r>
      <w:r w:rsidR="00FE2284" w:rsidRPr="00817B9F">
        <w:rPr>
          <w:rFonts w:cs="Times New Roman"/>
        </w:rPr>
        <w:t>C</w:t>
      </w:r>
      <w:r w:rsidRPr="00817B9F">
        <w:rPr>
          <w:rFonts w:cs="Times New Roman"/>
        </w:rPr>
        <w:t xml:space="preserve">are </w:t>
      </w:r>
      <w:r w:rsidR="00FE2284" w:rsidRPr="00817B9F">
        <w:rPr>
          <w:rFonts w:cs="Times New Roman"/>
        </w:rPr>
        <w:t>S</w:t>
      </w:r>
      <w:r w:rsidRPr="00817B9F">
        <w:rPr>
          <w:rFonts w:cs="Times New Roman"/>
        </w:rPr>
        <w:t>ervices</w:t>
      </w:r>
      <w:bookmarkEnd w:id="138"/>
    </w:p>
    <w:p w14:paraId="0F0DE78F" w14:textId="3BAE64D5" w:rsidR="00697AC3" w:rsidRPr="00817B9F" w:rsidRDefault="00F85D1D" w:rsidP="00AA0512">
      <w:pPr>
        <w:pStyle w:val="Heading3"/>
        <w:numPr>
          <w:ilvl w:val="0"/>
          <w:numId w:val="14"/>
        </w:numPr>
      </w:pPr>
      <w:bookmarkStart w:id="139" w:name="_Toc90046548"/>
      <w:r w:rsidRPr="00817B9F">
        <w:t xml:space="preserve">The Potential for </w:t>
      </w:r>
      <w:r w:rsidR="00697AC3" w:rsidRPr="00817B9F">
        <w:t>Supply</w:t>
      </w:r>
      <w:r w:rsidR="00250D86" w:rsidRPr="00817B9F">
        <w:t>-</w:t>
      </w:r>
      <w:r w:rsidR="00697AC3" w:rsidRPr="00817B9F">
        <w:t>Induced Demand</w:t>
      </w:r>
      <w:bookmarkEnd w:id="139"/>
    </w:p>
    <w:p w14:paraId="16CA6686" w14:textId="4910C5EA" w:rsidR="00B66D3B" w:rsidRPr="00817B9F" w:rsidRDefault="00EE10B5" w:rsidP="00860937">
      <w:pPr>
        <w:pStyle w:val="NumberedParagraphs"/>
      </w:pPr>
      <w:r w:rsidRPr="00817B9F">
        <w:t xml:space="preserve">In </w:t>
      </w:r>
      <w:r w:rsidR="00840422" w:rsidRPr="00817B9F">
        <w:t xml:space="preserve">connection with </w:t>
      </w:r>
      <w:r w:rsidRPr="00817B9F">
        <w:t xml:space="preserve">our </w:t>
      </w:r>
      <w:r w:rsidR="00331CDD" w:rsidRPr="00817B9F">
        <w:t xml:space="preserve">evaluation </w:t>
      </w:r>
      <w:r w:rsidR="00840422" w:rsidRPr="00817B9F">
        <w:t xml:space="preserve">of the effects of the proposed project on utilization of health care services in Massachusetts, the </w:t>
      </w:r>
      <w:r w:rsidR="00D00B58" w:rsidRPr="00817B9F">
        <w:t xml:space="preserve">DoN program asked that we consider the potential </w:t>
      </w:r>
      <w:r w:rsidR="00AD702C" w:rsidRPr="00817B9F">
        <w:t>for the project to lead to “supply-induced demand</w:t>
      </w:r>
      <w:r w:rsidR="00EA6186" w:rsidRPr="00817B9F">
        <w:t xml:space="preserve">.” </w:t>
      </w:r>
      <w:r w:rsidR="0070599F" w:rsidRPr="00817B9F">
        <w:t>Supply</w:t>
      </w:r>
      <w:r w:rsidR="00250D86" w:rsidRPr="00817B9F">
        <w:t>-</w:t>
      </w:r>
      <w:r w:rsidR="0070599F" w:rsidRPr="00817B9F">
        <w:t xml:space="preserve">induced demand is generally defined </w:t>
      </w:r>
      <w:r w:rsidR="004A5E16" w:rsidRPr="00817B9F">
        <w:t xml:space="preserve">by economists </w:t>
      </w:r>
      <w:r w:rsidR="0070599F" w:rsidRPr="00817B9F">
        <w:t xml:space="preserve">as a “physician providing care that a fully informed patient would not choose for </w:t>
      </w:r>
      <w:r w:rsidR="00B66D3B" w:rsidRPr="00817B9F">
        <w:t>[themself]</w:t>
      </w:r>
      <w:r w:rsidR="0070599F" w:rsidRPr="00817B9F">
        <w:t>.”</w:t>
      </w:r>
      <w:r w:rsidR="0070599F" w:rsidRPr="00817B9F">
        <w:rPr>
          <w:rStyle w:val="FootnoteReference"/>
        </w:rPr>
        <w:footnoteReference w:id="207"/>
      </w:r>
      <w:r w:rsidR="0070599F" w:rsidRPr="00817B9F">
        <w:t xml:space="preserve"> </w:t>
      </w:r>
      <w:r w:rsidR="00AF44D7" w:rsidRPr="00817B9F">
        <w:t xml:space="preserve">While we </w:t>
      </w:r>
      <w:r w:rsidR="00A465F8" w:rsidRPr="00817B9F">
        <w:t>can</w:t>
      </w:r>
      <w:r w:rsidR="00AF44D7" w:rsidRPr="00817B9F">
        <w:t xml:space="preserve">not estimate the extent to which utilization </w:t>
      </w:r>
      <w:r w:rsidR="007200A1" w:rsidRPr="00817B9F">
        <w:t>o</w:t>
      </w:r>
      <w:r w:rsidR="004A5E16" w:rsidRPr="00817B9F">
        <w:t>f</w:t>
      </w:r>
      <w:r w:rsidR="00AF44D7" w:rsidRPr="00817B9F">
        <w:t xml:space="preserve"> </w:t>
      </w:r>
      <w:r w:rsidR="00875811" w:rsidRPr="00817B9F">
        <w:t>the health care services referenced in the D</w:t>
      </w:r>
      <w:r w:rsidR="008156B9" w:rsidRPr="00817B9F">
        <w:t>o</w:t>
      </w:r>
      <w:r w:rsidR="00875811" w:rsidRPr="00817B9F">
        <w:t>N application might increase as a res</w:t>
      </w:r>
      <w:r w:rsidR="00CE65AD" w:rsidRPr="00817B9F">
        <w:t xml:space="preserve">ult of supply-induced demand, we </w:t>
      </w:r>
      <w:r w:rsidR="004A5E16" w:rsidRPr="00817B9F">
        <w:t>review the existing health economics literature on th</w:t>
      </w:r>
      <w:r w:rsidR="00A94A1A" w:rsidRPr="00817B9F">
        <w:t xml:space="preserve">is subject. </w:t>
      </w:r>
    </w:p>
    <w:p w14:paraId="402FDA60" w14:textId="77777777" w:rsidR="000854B5" w:rsidRPr="00817B9F" w:rsidRDefault="0070599F" w:rsidP="000854B5">
      <w:pPr>
        <w:pStyle w:val="NumberedParagraphs"/>
      </w:pPr>
      <w:r w:rsidRPr="00817B9F">
        <w:t xml:space="preserve">Assuming for this purpose that the proposed </w:t>
      </w:r>
      <w:r w:rsidR="00216673" w:rsidRPr="00817B9F">
        <w:t xml:space="preserve">project would be </w:t>
      </w:r>
      <w:r w:rsidRPr="00817B9F">
        <w:t>associated with increased service utilization</w:t>
      </w:r>
      <w:r w:rsidR="00544826" w:rsidRPr="00817B9F">
        <w:t xml:space="preserve"> for the Applicant’s facilities</w:t>
      </w:r>
      <w:r w:rsidRPr="00817B9F">
        <w:t xml:space="preserve">, the relevant question is how to distinguish </w:t>
      </w:r>
      <w:r w:rsidR="00220747" w:rsidRPr="00817B9F">
        <w:t xml:space="preserve">between an increase in utilization that is </w:t>
      </w:r>
      <w:r w:rsidRPr="00817B9F">
        <w:t>attributable to</w:t>
      </w:r>
      <w:r w:rsidR="00220747" w:rsidRPr="00817B9F">
        <w:t xml:space="preserve">, on the one hand, the new capacity for MGB </w:t>
      </w:r>
      <w:r w:rsidRPr="00817B9F">
        <w:t>to serve demand that was previously unmet due to capacity constraints</w:t>
      </w:r>
      <w:r w:rsidR="00500C5E" w:rsidRPr="00817B9F">
        <w:t xml:space="preserve"> and</w:t>
      </w:r>
      <w:r w:rsidR="00C71AD1" w:rsidRPr="00817B9F">
        <w:t xml:space="preserve">, </w:t>
      </w:r>
      <w:r w:rsidR="00113AF8" w:rsidRPr="00817B9F">
        <w:t>on the other hand, MGB</w:t>
      </w:r>
      <w:r w:rsidRPr="00817B9F">
        <w:t xml:space="preserve"> </w:t>
      </w:r>
      <w:r w:rsidR="00D264C9" w:rsidRPr="00817B9F">
        <w:t>providing</w:t>
      </w:r>
      <w:r w:rsidRPr="00817B9F">
        <w:t xml:space="preserve"> more services </w:t>
      </w:r>
      <w:r w:rsidR="00022187" w:rsidRPr="00817B9F">
        <w:t xml:space="preserve">to patients </w:t>
      </w:r>
      <w:r w:rsidRPr="00817B9F">
        <w:t>once the complementary resources (</w:t>
      </w:r>
      <w:r w:rsidR="00022187" w:rsidRPr="00817B9F">
        <w:rPr>
          <w:i/>
          <w:iCs/>
        </w:rPr>
        <w:t>e.g.</w:t>
      </w:r>
      <w:r w:rsidR="00022187" w:rsidRPr="00817B9F">
        <w:t xml:space="preserve">, </w:t>
      </w:r>
      <w:r w:rsidR="00D264C9" w:rsidRPr="00817B9F">
        <w:t xml:space="preserve">hospital </w:t>
      </w:r>
      <w:r w:rsidRPr="00817B9F">
        <w:t>beds, operating rooms, imaging equipment) are available to do so</w:t>
      </w:r>
      <w:r w:rsidR="00022187" w:rsidRPr="00817B9F">
        <w:t>. This second category of increase</w:t>
      </w:r>
      <w:r w:rsidR="000A5C56" w:rsidRPr="00817B9F">
        <w:t>d utilization corresponds to a supply-</w:t>
      </w:r>
      <w:r w:rsidRPr="00817B9F">
        <w:t>induced deman</w:t>
      </w:r>
      <w:r w:rsidR="000A5C56" w:rsidRPr="00817B9F">
        <w:t xml:space="preserve">d effect. </w:t>
      </w:r>
    </w:p>
    <w:p w14:paraId="384FF4AC" w14:textId="45C01EF5" w:rsidR="001B1BD4" w:rsidRPr="00817B9F" w:rsidRDefault="0070599F" w:rsidP="001B1BD4">
      <w:pPr>
        <w:pStyle w:val="NumberedParagraphs"/>
      </w:pPr>
      <w:r w:rsidRPr="00817B9F">
        <w:t>The standard simplified economic model of supply</w:t>
      </w:r>
      <w:r w:rsidR="00330A80" w:rsidRPr="00817B9F">
        <w:t>-</w:t>
      </w:r>
      <w:r w:rsidRPr="00817B9F">
        <w:t xml:space="preserve">induced demand assumes that physicians have two motivations: </w:t>
      </w:r>
      <w:r w:rsidR="00307519" w:rsidRPr="00817B9F">
        <w:t>primarily</w:t>
      </w:r>
      <w:r w:rsidR="00340126" w:rsidRPr="00817B9F">
        <w:t xml:space="preserve"> </w:t>
      </w:r>
      <w:r w:rsidRPr="00817B9F">
        <w:t>to provide care that maximizes patient</w:t>
      </w:r>
      <w:r w:rsidR="00640642" w:rsidRPr="00817B9F">
        <w:t>s’</w:t>
      </w:r>
      <w:r w:rsidRPr="00817B9F">
        <w:t xml:space="preserve"> health</w:t>
      </w:r>
      <w:r w:rsidR="000B0CDE" w:rsidRPr="00817B9F">
        <w:t xml:space="preserve"> </w:t>
      </w:r>
      <w:r w:rsidRPr="00817B9F">
        <w:t>and</w:t>
      </w:r>
      <w:r w:rsidR="000B0CDE" w:rsidRPr="00817B9F">
        <w:t xml:space="preserve"> </w:t>
      </w:r>
      <w:r w:rsidR="00340126" w:rsidRPr="00817B9F">
        <w:t>second</w:t>
      </w:r>
      <w:r w:rsidR="00307519" w:rsidRPr="00817B9F">
        <w:t>arily</w:t>
      </w:r>
      <w:r w:rsidR="00340126" w:rsidRPr="00817B9F">
        <w:t xml:space="preserve"> </w:t>
      </w:r>
      <w:r w:rsidR="00D17310" w:rsidRPr="00817B9F">
        <w:t xml:space="preserve">to increase </w:t>
      </w:r>
      <w:r w:rsidR="001649E0" w:rsidRPr="00817B9F">
        <w:t>earnings</w:t>
      </w:r>
      <w:r w:rsidRPr="00817B9F">
        <w:t>.</w:t>
      </w:r>
      <w:r w:rsidR="00640642" w:rsidRPr="00817B9F">
        <w:t xml:space="preserve"> </w:t>
      </w:r>
      <w:r w:rsidRPr="00817B9F">
        <w:t>The presence of a financial motivation</w:t>
      </w:r>
      <w:r w:rsidR="004F4618" w:rsidRPr="00817B9F">
        <w:t xml:space="preserve"> for physicians </w:t>
      </w:r>
      <w:r w:rsidRPr="00817B9F">
        <w:t xml:space="preserve">combined </w:t>
      </w:r>
      <w:r w:rsidRPr="00817B9F">
        <w:lastRenderedPageBreak/>
        <w:t>with patient</w:t>
      </w:r>
      <w:r w:rsidR="00D176EA" w:rsidRPr="00817B9F">
        <w:t xml:space="preserve">s’ lack of expertise regarding </w:t>
      </w:r>
      <w:r w:rsidRPr="00817B9F">
        <w:t>treatment efficacy</w:t>
      </w:r>
      <w:r w:rsidR="00D176EA" w:rsidRPr="00817B9F">
        <w:t xml:space="preserve"> creates the potential</w:t>
      </w:r>
      <w:r w:rsidRPr="00817B9F">
        <w:t xml:space="preserve"> </w:t>
      </w:r>
      <w:r w:rsidR="007200A1" w:rsidRPr="00817B9F">
        <w:t xml:space="preserve">for </w:t>
      </w:r>
      <w:r w:rsidRPr="00817B9F">
        <w:t>supply</w:t>
      </w:r>
      <w:r w:rsidR="00D176EA" w:rsidRPr="00817B9F">
        <w:t>-</w:t>
      </w:r>
      <w:r w:rsidRPr="00817B9F">
        <w:t>induced demand. Under this model, observed variation in service utilization</w:t>
      </w:r>
      <w:r w:rsidR="00313578" w:rsidRPr="00817B9F">
        <w:t xml:space="preserve"> in different parts of the country</w:t>
      </w:r>
      <w:r w:rsidRPr="00817B9F">
        <w:t xml:space="preserve"> may be at least in part due to how physicians are reimbursed</w:t>
      </w:r>
      <w:r w:rsidR="00313578" w:rsidRPr="00817B9F">
        <w:t>. P</w:t>
      </w:r>
      <w:r w:rsidRPr="00817B9F">
        <w:t>hysicians who are paid for each service that they provide may be more susceptible to financial</w:t>
      </w:r>
      <w:r w:rsidR="00313578" w:rsidRPr="00817B9F">
        <w:t xml:space="preserve"> motivations</w:t>
      </w:r>
      <w:r w:rsidRPr="00817B9F">
        <w:t xml:space="preserve"> than salaried physicians</w:t>
      </w:r>
      <w:r w:rsidR="000A39E2" w:rsidRPr="00817B9F">
        <w:t>—</w:t>
      </w:r>
      <w:r w:rsidRPr="00817B9F">
        <w:t>such as those employed by MGB</w:t>
      </w:r>
      <w:r w:rsidR="000A39E2" w:rsidRPr="00817B9F">
        <w:t>—or</w:t>
      </w:r>
      <w:r w:rsidR="00313578" w:rsidRPr="00817B9F">
        <w:t xml:space="preserve"> </w:t>
      </w:r>
      <w:r w:rsidR="003705D8" w:rsidRPr="00817B9F">
        <w:t xml:space="preserve">physicians reimbursed under alternative payment models or as part of </w:t>
      </w:r>
      <w:r w:rsidR="00233092" w:rsidRPr="00817B9F">
        <w:t>accountable care</w:t>
      </w:r>
      <w:r w:rsidR="00386330" w:rsidRPr="00817B9F">
        <w:t xml:space="preserve"> organizations. </w:t>
      </w:r>
    </w:p>
    <w:p w14:paraId="7FA9370B" w14:textId="16B121D0" w:rsidR="007C71B0" w:rsidRPr="00817B9F" w:rsidRDefault="00E13F55" w:rsidP="007C71B0">
      <w:pPr>
        <w:pStyle w:val="NumberedParagraphs"/>
      </w:pPr>
      <w:r w:rsidRPr="00817B9F">
        <w:t>I</w:t>
      </w:r>
      <w:r w:rsidR="0070599F" w:rsidRPr="00817B9F">
        <w:t xml:space="preserve">t is also critical to recognize that physicians’ views about the efficacy of particular treatments, willingness to adopt new technologies, risk aversion, or access to complementary resources (which can affect or be affected by local practice norms) vary. This </w:t>
      </w:r>
      <w:r w:rsidRPr="00817B9F">
        <w:t>variability</w:t>
      </w:r>
      <w:r w:rsidR="0070599F" w:rsidRPr="00817B9F">
        <w:t xml:space="preserve"> is attributable to physicians’ views about </w:t>
      </w:r>
      <w:r w:rsidR="0070599F" w:rsidRPr="00817B9F">
        <w:rPr>
          <w:i/>
          <w:iCs/>
        </w:rPr>
        <w:t>what</w:t>
      </w:r>
      <w:r w:rsidR="0070599F" w:rsidRPr="00817B9F">
        <w:t xml:space="preserve"> services maximize patient health rather than to the characteristics typically </w:t>
      </w:r>
      <w:r w:rsidR="004F544D" w:rsidRPr="00817B9F">
        <w:t>linked to</w:t>
      </w:r>
      <w:r w:rsidR="0070599F" w:rsidRPr="00817B9F">
        <w:t xml:space="preserve"> supply</w:t>
      </w:r>
      <w:r w:rsidR="004F544D" w:rsidRPr="00817B9F">
        <w:t>-</w:t>
      </w:r>
      <w:r w:rsidR="0070599F" w:rsidRPr="00817B9F">
        <w:t>induced demand</w:t>
      </w:r>
      <w:r w:rsidR="004F544D" w:rsidRPr="00817B9F">
        <w:t xml:space="preserve">: </w:t>
      </w:r>
      <w:r w:rsidR="0070599F" w:rsidRPr="00817B9F">
        <w:t>variability in the importance of financial incentives combined with patients’ imperfect information</w:t>
      </w:r>
      <w:r w:rsidR="004F544D" w:rsidRPr="00817B9F">
        <w:t xml:space="preserve"> </w:t>
      </w:r>
      <w:r w:rsidR="00DF57A5" w:rsidRPr="00817B9F">
        <w:t>on treatment efficacy</w:t>
      </w:r>
      <w:r w:rsidR="0070599F" w:rsidRPr="00817B9F">
        <w:t>.</w:t>
      </w:r>
      <w:r w:rsidR="00611B71" w:rsidRPr="00817B9F">
        <w:t xml:space="preserve"> </w:t>
      </w:r>
      <w:r w:rsidR="0070599F" w:rsidRPr="00817B9F">
        <w:t>In assessing the potential for variation in utilization, services can be categorized into three groups</w:t>
      </w:r>
      <w:r w:rsidR="00BB2346" w:rsidRPr="00817B9F">
        <w:t>.</w:t>
      </w:r>
      <w:r w:rsidR="00BB2346" w:rsidRPr="00817B9F">
        <w:rPr>
          <w:rStyle w:val="FootnoteReference"/>
        </w:rPr>
        <w:footnoteReference w:id="208"/>
      </w:r>
      <w:r w:rsidR="0070599F" w:rsidRPr="00817B9F">
        <w:t xml:space="preserve"> </w:t>
      </w:r>
    </w:p>
    <w:p w14:paraId="3D86F2D6" w14:textId="77777777" w:rsidR="00C90C21" w:rsidRPr="00817B9F" w:rsidRDefault="0070599F" w:rsidP="005D3EC9">
      <w:pPr>
        <w:pStyle w:val="BulletParagraph"/>
        <w:rPr>
          <w:rFonts w:cs="Times New Roman"/>
        </w:rPr>
      </w:pPr>
      <w:r w:rsidRPr="00817B9F">
        <w:rPr>
          <w:rFonts w:cs="Times New Roman"/>
        </w:rPr>
        <w:t xml:space="preserve">Treatments that are known (and generally perceived) to be highly effective, </w:t>
      </w:r>
      <w:r w:rsidRPr="00817B9F">
        <w:rPr>
          <w:rFonts w:cs="Times New Roman"/>
          <w:i/>
          <w:iCs/>
        </w:rPr>
        <w:t>e.g.</w:t>
      </w:r>
      <w:r w:rsidRPr="00817B9F">
        <w:rPr>
          <w:rFonts w:cs="Times New Roman"/>
        </w:rPr>
        <w:t>, beta blockers for heart attacks. These services may be costly, but they are generally highly productive for well-defined categories of patients, or they are reasonably productive across a wide range of patients and low cost. As a result, utilization of these services is not likely to exhibit much variability (or</w:t>
      </w:r>
      <w:r w:rsidR="00261BED" w:rsidRPr="00817B9F">
        <w:rPr>
          <w:rFonts w:cs="Times New Roman"/>
        </w:rPr>
        <w:t xml:space="preserve"> be susceptible to</w:t>
      </w:r>
      <w:r w:rsidRPr="00817B9F">
        <w:rPr>
          <w:rFonts w:cs="Times New Roman"/>
        </w:rPr>
        <w:t xml:space="preserve"> supply</w:t>
      </w:r>
      <w:r w:rsidR="00261BED" w:rsidRPr="00817B9F">
        <w:rPr>
          <w:rFonts w:cs="Times New Roman"/>
        </w:rPr>
        <w:t>-</w:t>
      </w:r>
      <w:r w:rsidRPr="00817B9F">
        <w:rPr>
          <w:rFonts w:cs="Times New Roman"/>
        </w:rPr>
        <w:t>induced demand)</w:t>
      </w:r>
      <w:r w:rsidR="00261BED" w:rsidRPr="00817B9F">
        <w:rPr>
          <w:rFonts w:cs="Times New Roman"/>
        </w:rPr>
        <w:t>.</w:t>
      </w:r>
    </w:p>
    <w:p w14:paraId="163EF066" w14:textId="7651F69C" w:rsidR="0070599F" w:rsidRPr="00817B9F" w:rsidRDefault="0070599F" w:rsidP="005D3EC9">
      <w:pPr>
        <w:pStyle w:val="BulletParagraph"/>
        <w:rPr>
          <w:rFonts w:cs="Times New Roman"/>
        </w:rPr>
      </w:pPr>
      <w:r w:rsidRPr="00817B9F">
        <w:rPr>
          <w:rFonts w:cs="Times New Roman"/>
        </w:rPr>
        <w:t xml:space="preserve">Treatments for which there is substantial heterogeneity in the benefit across different types of patients, </w:t>
      </w:r>
      <w:r w:rsidRPr="00817B9F">
        <w:rPr>
          <w:rFonts w:cs="Times New Roman"/>
          <w:i/>
          <w:iCs/>
        </w:rPr>
        <w:t>e.g.,</w:t>
      </w:r>
      <w:r w:rsidRPr="00817B9F">
        <w:rPr>
          <w:rFonts w:cs="Times New Roman"/>
        </w:rPr>
        <w:t xml:space="preserve"> stents that work well for patients with recent heart attacks but are much less effective later in the patients’ recovery, or back surgery. Differences of opinions across physicians regarding the likely patient benefit may lead to different utilization patterns for these services. </w:t>
      </w:r>
    </w:p>
    <w:p w14:paraId="079935E6" w14:textId="77777777" w:rsidR="0070599F" w:rsidRPr="00817B9F" w:rsidRDefault="0070599F" w:rsidP="005D3EC9">
      <w:pPr>
        <w:pStyle w:val="BulletParagraph"/>
        <w:rPr>
          <w:rFonts w:cs="Times New Roman"/>
        </w:rPr>
      </w:pPr>
      <w:r w:rsidRPr="00817B9F">
        <w:rPr>
          <w:rFonts w:cs="Times New Roman"/>
        </w:rPr>
        <w:t xml:space="preserve">Treatments for which evidence of benefit is small or unknown. </w:t>
      </w:r>
    </w:p>
    <w:p w14:paraId="121B2258" w14:textId="52F619D8" w:rsidR="00C50DF9" w:rsidRPr="00817B9F" w:rsidRDefault="0070599F" w:rsidP="00C50DF9">
      <w:pPr>
        <w:spacing w:after="200"/>
        <w:rPr>
          <w:rFonts w:ascii="Times New Roman" w:hAnsi="Times New Roman" w:cs="Times New Roman"/>
        </w:rPr>
      </w:pPr>
      <w:r w:rsidRPr="00817B9F">
        <w:rPr>
          <w:rFonts w:ascii="Times New Roman" w:hAnsi="Times New Roman" w:cs="Times New Roman"/>
        </w:rPr>
        <w:lastRenderedPageBreak/>
        <w:t>This last category is most likely to exhibit substantial variability and be most susceptible to supply</w:t>
      </w:r>
      <w:r w:rsidR="00D35DE1" w:rsidRPr="00817B9F">
        <w:rPr>
          <w:rFonts w:ascii="Times New Roman" w:hAnsi="Times New Roman" w:cs="Times New Roman"/>
        </w:rPr>
        <w:t>-</w:t>
      </w:r>
      <w:r w:rsidRPr="00817B9F">
        <w:rPr>
          <w:rFonts w:ascii="Times New Roman" w:hAnsi="Times New Roman" w:cs="Times New Roman"/>
        </w:rPr>
        <w:t>induced demand. However, a</w:t>
      </w:r>
      <w:r w:rsidR="00C50DF9" w:rsidRPr="00817B9F">
        <w:rPr>
          <w:rFonts w:ascii="Times New Roman" w:hAnsi="Times New Roman" w:cs="Times New Roman"/>
        </w:rPr>
        <w:t xml:space="preserve"> </w:t>
      </w:r>
      <w:r w:rsidRPr="00817B9F">
        <w:rPr>
          <w:rFonts w:ascii="Times New Roman" w:hAnsi="Times New Roman" w:cs="Times New Roman"/>
        </w:rPr>
        <w:t xml:space="preserve">service for which clinical guidance is </w:t>
      </w:r>
      <w:r w:rsidR="008978E5" w:rsidRPr="00817B9F">
        <w:rPr>
          <w:rFonts w:ascii="Times New Roman" w:hAnsi="Times New Roman" w:cs="Times New Roman"/>
        </w:rPr>
        <w:t>lacking</w:t>
      </w:r>
      <w:r w:rsidRPr="00817B9F">
        <w:rPr>
          <w:rFonts w:ascii="Times New Roman" w:hAnsi="Times New Roman" w:cs="Times New Roman"/>
        </w:rPr>
        <w:t>, the scope of harm (the risk) from providing the service is small</w:t>
      </w:r>
      <w:r w:rsidR="008978E5" w:rsidRPr="00817B9F">
        <w:rPr>
          <w:rFonts w:ascii="Times New Roman" w:hAnsi="Times New Roman" w:cs="Times New Roman"/>
        </w:rPr>
        <w:t>,</w:t>
      </w:r>
      <w:r w:rsidRPr="00817B9F">
        <w:rPr>
          <w:rFonts w:ascii="Times New Roman" w:hAnsi="Times New Roman" w:cs="Times New Roman"/>
        </w:rPr>
        <w:t xml:space="preserve"> or the benefit is idiosyncratic across patients is</w:t>
      </w:r>
      <w:r w:rsidR="00C50DF9" w:rsidRPr="00817B9F">
        <w:rPr>
          <w:rFonts w:ascii="Times New Roman" w:hAnsi="Times New Roman" w:cs="Times New Roman"/>
        </w:rPr>
        <w:t>, all else equal,</w:t>
      </w:r>
      <w:r w:rsidRPr="00817B9F">
        <w:rPr>
          <w:rFonts w:ascii="Times New Roman" w:hAnsi="Times New Roman" w:cs="Times New Roman"/>
        </w:rPr>
        <w:t xml:space="preserve"> more likely to exhibit variation in utilization because of differing physician beliefs regarding treatment efficacy.</w:t>
      </w:r>
      <w:r w:rsidRPr="00817B9F">
        <w:rPr>
          <w:rStyle w:val="FootnoteReference"/>
          <w:rFonts w:ascii="Times New Roman" w:hAnsi="Times New Roman" w:cs="Times New Roman"/>
        </w:rPr>
        <w:footnoteReference w:id="209"/>
      </w:r>
    </w:p>
    <w:p w14:paraId="1CD29FFE" w14:textId="2A4AD8C6" w:rsidR="0070599F" w:rsidRPr="00817B9F" w:rsidRDefault="0070599F" w:rsidP="00C50DF9">
      <w:pPr>
        <w:pStyle w:val="NumberedParagraphs"/>
      </w:pPr>
      <w:r w:rsidRPr="00817B9F">
        <w:t>In assessing the causes of regional variation in observed utilization</w:t>
      </w:r>
      <w:r w:rsidR="006F0B18" w:rsidRPr="00817B9F">
        <w:t>—</w:t>
      </w:r>
      <w:r w:rsidRPr="00817B9F">
        <w:t xml:space="preserve">either in aggregate or for </w:t>
      </w:r>
      <w:r w:rsidR="00BB69EA" w:rsidRPr="00817B9F">
        <w:t>individual</w:t>
      </w:r>
      <w:r w:rsidRPr="00817B9F">
        <w:t xml:space="preserve"> services</w:t>
      </w:r>
      <w:r w:rsidR="00BB69EA" w:rsidRPr="00817B9F">
        <w:t>—</w:t>
      </w:r>
      <w:r w:rsidRPr="00817B9F">
        <w:t>the empirical economic literature tends to attempt to distinguish between variation in direct patient demand due to differences in health status, ability to pay, and supply</w:t>
      </w:r>
      <w:r w:rsidR="00BB69EA" w:rsidRPr="00817B9F">
        <w:t>-</w:t>
      </w:r>
      <w:r w:rsidRPr="00817B9F">
        <w:t>induced factors. This literature typically finds that both demand and supply factors are relevant</w:t>
      </w:r>
      <w:r w:rsidR="00AA0DB3" w:rsidRPr="00817B9F">
        <w:t xml:space="preserve"> in explaining variation in utilization of health care services</w:t>
      </w:r>
      <w:r w:rsidRPr="00817B9F">
        <w:t>, but that more variation is explained by supply</w:t>
      </w:r>
      <w:r w:rsidR="00AA0DB3" w:rsidRPr="00817B9F">
        <w:t xml:space="preserve"> factors</w:t>
      </w:r>
      <w:r w:rsidRPr="00817B9F">
        <w:t xml:space="preserve"> than </w:t>
      </w:r>
      <w:r w:rsidR="00AA0DB3" w:rsidRPr="00817B9F">
        <w:t xml:space="preserve">by </w:t>
      </w:r>
      <w:r w:rsidRPr="00817B9F">
        <w:t>demand</w:t>
      </w:r>
      <w:r w:rsidR="008C2F8C" w:rsidRPr="00817B9F">
        <w:t xml:space="preserve"> factors</w:t>
      </w:r>
      <w:r w:rsidRPr="00817B9F">
        <w:t xml:space="preserve">. This finding alone, however, does not support </w:t>
      </w:r>
      <w:r w:rsidR="00841DF9" w:rsidRPr="00817B9F">
        <w:t xml:space="preserve">the </w:t>
      </w:r>
      <w:r w:rsidRPr="00817B9F">
        <w:t xml:space="preserve">conclusion </w:t>
      </w:r>
      <w:r w:rsidR="00841DF9" w:rsidRPr="00817B9F">
        <w:t>that construction or expansion of health care facilities will lead to</w:t>
      </w:r>
      <w:r w:rsidRPr="00817B9F">
        <w:t xml:space="preserve"> supply</w:t>
      </w:r>
      <w:r w:rsidR="00841DF9" w:rsidRPr="00817B9F">
        <w:t>-</w:t>
      </w:r>
      <w:r w:rsidRPr="00817B9F">
        <w:t xml:space="preserve">induced demand </w:t>
      </w:r>
      <w:r w:rsidR="00193526" w:rsidRPr="00817B9F">
        <w:t>because</w:t>
      </w:r>
      <w:r w:rsidR="0091607F" w:rsidRPr="00817B9F">
        <w:t xml:space="preserve"> differences in utilization are</w:t>
      </w:r>
      <w:r w:rsidRPr="00817B9F">
        <w:t xml:space="preserve"> also often attributable to substantial variation in physician beliefs about treatment effectiveness.</w:t>
      </w:r>
    </w:p>
    <w:p w14:paraId="5750839A" w14:textId="3CB70616" w:rsidR="0070599F" w:rsidRPr="00817B9F" w:rsidRDefault="0070599F" w:rsidP="00193526">
      <w:pPr>
        <w:pStyle w:val="NumberedParagraphs"/>
      </w:pPr>
      <w:r w:rsidRPr="00817B9F">
        <w:t>There are limitations to many of the existing studies that attempt to distinguish between demand</w:t>
      </w:r>
      <w:r w:rsidR="00CC1C67" w:rsidRPr="00817B9F">
        <w:t>-</w:t>
      </w:r>
      <w:r w:rsidRPr="00817B9F">
        <w:t xml:space="preserve"> and supply</w:t>
      </w:r>
      <w:r w:rsidR="00315C2C" w:rsidRPr="00817B9F">
        <w:t>-</w:t>
      </w:r>
      <w:r w:rsidRPr="00817B9F">
        <w:t xml:space="preserve">driven factors. </w:t>
      </w:r>
      <w:r w:rsidR="004E41DE" w:rsidRPr="00817B9F">
        <w:t>These s</w:t>
      </w:r>
      <w:r w:rsidRPr="00817B9F">
        <w:t>tudies are often based on the experience</w:t>
      </w:r>
      <w:r w:rsidR="00F437DD" w:rsidRPr="00817B9F">
        <w:t>s</w:t>
      </w:r>
      <w:r w:rsidRPr="00817B9F">
        <w:t xml:space="preserve"> of Medicare </w:t>
      </w:r>
      <w:r w:rsidR="00F437DD" w:rsidRPr="00817B9F">
        <w:t>beneficiaries because utilization data</w:t>
      </w:r>
      <w:r w:rsidRPr="00817B9F">
        <w:t xml:space="preserve"> are more readily available for this patient cohort</w:t>
      </w:r>
      <w:r w:rsidR="00E81666" w:rsidRPr="00817B9F">
        <w:t>; however,</w:t>
      </w:r>
      <w:r w:rsidRPr="00817B9F">
        <w:t xml:space="preserve"> findings </w:t>
      </w:r>
      <w:r w:rsidR="00E81666" w:rsidRPr="00817B9F">
        <w:t xml:space="preserve">for the Medicare cohort may not be generalizable to the broader population of </w:t>
      </w:r>
      <w:r w:rsidR="0007105A" w:rsidRPr="00817B9F">
        <w:t>patients</w:t>
      </w:r>
      <w:r w:rsidRPr="00817B9F">
        <w:t xml:space="preserve">. Many studies are also of limited </w:t>
      </w:r>
      <w:r w:rsidR="0007105A" w:rsidRPr="00817B9F">
        <w:t>use</w:t>
      </w:r>
      <w:r w:rsidRPr="00817B9F">
        <w:t xml:space="preserve"> because they are descriptive rather than attempt to sort out causation: for example, does the high utilization and lower mortality </w:t>
      </w:r>
      <w:r w:rsidR="00C07F31" w:rsidRPr="00817B9F">
        <w:t>in</w:t>
      </w:r>
      <w:r w:rsidRPr="00817B9F">
        <w:t xml:space="preserve"> McAllen, Texas imply that the additional </w:t>
      </w:r>
      <w:r w:rsidR="00003773" w:rsidRPr="00817B9F">
        <w:t xml:space="preserve">health care </w:t>
      </w:r>
      <w:r w:rsidRPr="00817B9F">
        <w:t xml:space="preserve">services </w:t>
      </w:r>
      <w:r w:rsidR="00003773" w:rsidRPr="00817B9F">
        <w:t xml:space="preserve">offered to patients in that community </w:t>
      </w:r>
      <w:r w:rsidRPr="00817B9F">
        <w:t>produce “good outcomes</w:t>
      </w:r>
      <w:r w:rsidR="00EF0C2A" w:rsidRPr="00817B9F">
        <w:t>,</w:t>
      </w:r>
      <w:r w:rsidRPr="00817B9F">
        <w:t>” or are those additional services unnecessary because the population’s underlying health status is greater?</w:t>
      </w:r>
      <w:r w:rsidRPr="00817B9F">
        <w:rPr>
          <w:rStyle w:val="FootnoteReference"/>
        </w:rPr>
        <w:footnoteReference w:id="210"/>
      </w:r>
      <w:r w:rsidRPr="00817B9F">
        <w:t xml:space="preserve"> Some recent studies have used</w:t>
      </w:r>
      <w:r w:rsidR="00F87411" w:rsidRPr="00817B9F">
        <w:t xml:space="preserve"> a</w:t>
      </w:r>
      <w:r w:rsidRPr="00817B9F">
        <w:t xml:space="preserve"> more robust </w:t>
      </w:r>
      <w:r w:rsidR="00F87411" w:rsidRPr="00817B9F">
        <w:t xml:space="preserve">empirical approach </w:t>
      </w:r>
      <w:r w:rsidRPr="00817B9F">
        <w:t>to address</w:t>
      </w:r>
      <w:r w:rsidR="00F87411" w:rsidRPr="00817B9F">
        <w:t xml:space="preserve"> the </w:t>
      </w:r>
      <w:r w:rsidR="00B34EC7" w:rsidRPr="00817B9F">
        <w:t>issue of</w:t>
      </w:r>
      <w:r w:rsidRPr="00817B9F">
        <w:t xml:space="preserve"> causation. </w:t>
      </w:r>
      <w:r w:rsidR="00B11FBD" w:rsidRPr="00817B9F">
        <w:t>We</w:t>
      </w:r>
      <w:r w:rsidR="00F87411" w:rsidRPr="00817B9F">
        <w:t xml:space="preserve"> describe f</w:t>
      </w:r>
      <w:r w:rsidRPr="00817B9F">
        <w:t xml:space="preserve">indings from a few </w:t>
      </w:r>
      <w:r w:rsidR="00F87411" w:rsidRPr="00817B9F">
        <w:t xml:space="preserve">such studies </w:t>
      </w:r>
      <w:r w:rsidRPr="00817B9F">
        <w:t>below.</w:t>
      </w:r>
    </w:p>
    <w:p w14:paraId="46D58ADA" w14:textId="37D6835C" w:rsidR="0070599F" w:rsidRPr="00817B9F" w:rsidRDefault="0070599F" w:rsidP="00B34EC7">
      <w:pPr>
        <w:pStyle w:val="NumberedParagraphs"/>
      </w:pPr>
      <w:r w:rsidRPr="00817B9F">
        <w:lastRenderedPageBreak/>
        <w:t xml:space="preserve">Cutler </w:t>
      </w:r>
      <w:r w:rsidRPr="00817B9F">
        <w:rPr>
          <w:i/>
          <w:iCs/>
        </w:rPr>
        <w:t>et al.</w:t>
      </w:r>
      <w:r w:rsidR="00B34EC7" w:rsidRPr="00817B9F">
        <w:t xml:space="preserve"> (</w:t>
      </w:r>
      <w:r w:rsidR="00610FF3" w:rsidRPr="00817B9F">
        <w:t>2019)</w:t>
      </w:r>
      <w:r w:rsidRPr="00817B9F">
        <w:t xml:space="preserve"> use vignette-based physician and patient surveys linked with Medicare claims to assess whether physician or patient characteristics can explain variation in Medicare expenditures across geographic areas.</w:t>
      </w:r>
      <w:r w:rsidR="00610FF3" w:rsidRPr="00817B9F">
        <w:rPr>
          <w:rStyle w:val="FootnoteReference"/>
        </w:rPr>
        <w:footnoteReference w:id="211"/>
      </w:r>
      <w:r w:rsidR="00BA460D" w:rsidRPr="00817B9F">
        <w:t xml:space="preserve"> </w:t>
      </w:r>
      <w:r w:rsidRPr="00817B9F">
        <w:t>The</w:t>
      </w:r>
      <w:r w:rsidR="00610FF3" w:rsidRPr="00817B9F">
        <w:t xml:space="preserve"> authors</w:t>
      </w:r>
      <w:r w:rsidRPr="00817B9F">
        <w:t xml:space="preserve"> survey both primary care physicians and cardiologists using vignettes that describe elderly patients with particular conditions and medical histories and ask the physicians how they would </w:t>
      </w:r>
      <w:r w:rsidR="00BA460D" w:rsidRPr="00817B9F">
        <w:t>provide care for</w:t>
      </w:r>
      <w:r w:rsidRPr="00817B9F">
        <w:t xml:space="preserve"> such patients. Based on their responses, surveyed physicians are characterized non-exclusively as “cowboys” (physicians who routinely recommend care beyond what clinical guidelines suggest) and “comforters” (those who consistently recommend palliative care for severely ill patients)</w:t>
      </w:r>
      <w:r w:rsidR="00303C2C" w:rsidRPr="00817B9F">
        <w:t>.</w:t>
      </w:r>
      <w:r w:rsidRPr="00817B9F">
        <w:t xml:space="preserve"> The surveys also measure the frequency with which physicians recommend that patients return for follow</w:t>
      </w:r>
      <w:r w:rsidR="00735D4D" w:rsidRPr="00817B9F">
        <w:t>-</w:t>
      </w:r>
      <w:r w:rsidRPr="00817B9F">
        <w:t>up visits and collect information on the physicians’ compensation arrangements and practice structure.</w:t>
      </w:r>
      <w:r w:rsidR="00303C2C" w:rsidRPr="00817B9F">
        <w:t xml:space="preserve"> P</w:t>
      </w:r>
      <w:r w:rsidRPr="00817B9F">
        <w:t>atient preferences are measured by asking patients about whether they would choose aggressive or palliative end</w:t>
      </w:r>
      <w:r w:rsidR="00303C2C" w:rsidRPr="00817B9F">
        <w:t>-</w:t>
      </w:r>
      <w:r w:rsidRPr="00817B9F">
        <w:t>of</w:t>
      </w:r>
      <w:r w:rsidR="00303C2C" w:rsidRPr="00817B9F">
        <w:t>-</w:t>
      </w:r>
      <w:r w:rsidRPr="00817B9F">
        <w:t xml:space="preserve">life care and whether they would seek additional testing or cardiac referrals for new chest pain. </w:t>
      </w:r>
    </w:p>
    <w:p w14:paraId="79C0B4D5" w14:textId="12204212" w:rsidR="0070599F" w:rsidRPr="00817B9F" w:rsidRDefault="0070599F" w:rsidP="003406B5">
      <w:pPr>
        <w:pStyle w:val="NumberedParagraphs"/>
      </w:pPr>
      <w:r w:rsidRPr="00817B9F">
        <w:t xml:space="preserve">The authors estimate models that attempt to explain either total health care expenditures in the last two years of life or spending following heart attacks as a function of provider-specific factors and patient preferences. </w:t>
      </w:r>
      <w:r w:rsidR="003639AF" w:rsidRPr="00817B9F">
        <w:t>T</w:t>
      </w:r>
      <w:r w:rsidRPr="00817B9F">
        <w:t>hey use data from the Dartmouth Atlas on Medicare spending across th</w:t>
      </w:r>
      <w:r w:rsidR="00EC7BA0" w:rsidRPr="00817B9F">
        <w:t>e</w:t>
      </w:r>
      <w:r w:rsidRPr="00817B9F">
        <w:t xml:space="preserve"> largest Hospital Referral Regions and aggregate physician and patient survey responses to this level. They also estimate a model using individual patient</w:t>
      </w:r>
      <w:r w:rsidR="00F20E14" w:rsidRPr="00817B9F">
        <w:t>-</w:t>
      </w:r>
      <w:r w:rsidRPr="00817B9F">
        <w:t>level expenditures for heart attacks.</w:t>
      </w:r>
      <w:r w:rsidR="003406B5" w:rsidRPr="00817B9F">
        <w:t xml:space="preserve"> Using this approach, the authors </w:t>
      </w:r>
      <w:r w:rsidRPr="00817B9F">
        <w:t>find that end</w:t>
      </w:r>
      <w:r w:rsidR="003406B5" w:rsidRPr="00817B9F">
        <w:t>-</w:t>
      </w:r>
      <w:r w:rsidRPr="00817B9F">
        <w:t>of</w:t>
      </w:r>
      <w:r w:rsidR="003406B5" w:rsidRPr="00817B9F">
        <w:t>-</w:t>
      </w:r>
      <w:r w:rsidRPr="00817B9F">
        <w:t>life spending is positively related to the proportion of cowboys, negatively related to the proportion of comforters, and positively related to the fraction of physicians who recommend more frequent follow up than is suggested by clinical guidelines.</w:t>
      </w:r>
      <w:r w:rsidRPr="00817B9F">
        <w:rPr>
          <w:rStyle w:val="FootnoteReference"/>
        </w:rPr>
        <w:footnoteReference w:id="212"/>
      </w:r>
      <w:r w:rsidRPr="00817B9F">
        <w:t xml:space="preserve"> Demand-based factors and patient preferences are generally not significant, although physicians’ expressed “pressure to accommodate” patients (or their referring physicians) </w:t>
      </w:r>
      <w:r w:rsidR="00C47959" w:rsidRPr="00817B9F">
        <w:t>has</w:t>
      </w:r>
      <w:r w:rsidRPr="00817B9F">
        <w:t xml:space="preserve"> a small</w:t>
      </w:r>
      <w:r w:rsidR="00EC7BA0" w:rsidRPr="00817B9F">
        <w:t xml:space="preserve"> but statistically </w:t>
      </w:r>
      <w:r w:rsidRPr="00817B9F">
        <w:t xml:space="preserve">significant relationship with physician beliefs about appropriate care patterns. </w:t>
      </w:r>
    </w:p>
    <w:p w14:paraId="4B96BAC2" w14:textId="34A20800" w:rsidR="0070599F" w:rsidRPr="00817B9F" w:rsidRDefault="0070599F" w:rsidP="00E23D62">
      <w:pPr>
        <w:pStyle w:val="NumberedParagraphs"/>
      </w:pPr>
      <w:r w:rsidRPr="00817B9F">
        <w:lastRenderedPageBreak/>
        <w:t xml:space="preserve">The authors </w:t>
      </w:r>
      <w:r w:rsidR="00B37085" w:rsidRPr="00817B9F">
        <w:t xml:space="preserve">also </w:t>
      </w:r>
      <w:r w:rsidRPr="00817B9F">
        <w:t xml:space="preserve">estimate </w:t>
      </w:r>
      <w:r w:rsidR="00B37085" w:rsidRPr="00817B9F">
        <w:t xml:space="preserve">models that attempt to explain </w:t>
      </w:r>
      <w:r w:rsidRPr="00817B9F">
        <w:t xml:space="preserve">variation in expenditures on heart attack patients </w:t>
      </w:r>
      <w:r w:rsidR="00C65C0C" w:rsidRPr="00817B9F">
        <w:t>across</w:t>
      </w:r>
      <w:r w:rsidR="0059326F" w:rsidRPr="00817B9F">
        <w:t xml:space="preserve"> Hospital Referral Regions</w:t>
      </w:r>
      <w:r w:rsidRPr="00817B9F">
        <w:t>.</w:t>
      </w:r>
      <w:r w:rsidR="00C55670" w:rsidRPr="00817B9F">
        <w:t xml:space="preserve"> </w:t>
      </w:r>
      <w:r w:rsidRPr="00817B9F">
        <w:t>They find that high proportions of cowboys and high</w:t>
      </w:r>
      <w:r w:rsidR="00B37085" w:rsidRPr="00817B9F">
        <w:t>-</w:t>
      </w:r>
      <w:r w:rsidRPr="00817B9F">
        <w:t>follow</w:t>
      </w:r>
      <w:r w:rsidR="00B37085" w:rsidRPr="00817B9F">
        <w:t>-</w:t>
      </w:r>
      <w:r w:rsidRPr="00817B9F">
        <w:t>up</w:t>
      </w:r>
      <w:r w:rsidR="00B37085" w:rsidRPr="00817B9F">
        <w:t xml:space="preserve"> </w:t>
      </w:r>
      <w:r w:rsidRPr="00817B9F">
        <w:t>physicians are associated with higher expenditures and the opposite is true for comforters and low</w:t>
      </w:r>
      <w:r w:rsidR="00B37085" w:rsidRPr="00817B9F">
        <w:t>-fo</w:t>
      </w:r>
      <w:r w:rsidRPr="00817B9F">
        <w:t>llow</w:t>
      </w:r>
      <w:r w:rsidR="00B37085" w:rsidRPr="00817B9F">
        <w:t>-</w:t>
      </w:r>
      <w:r w:rsidRPr="00817B9F">
        <w:t xml:space="preserve">up physicians. They also find that </w:t>
      </w:r>
      <w:r w:rsidR="00C55670" w:rsidRPr="00817B9F">
        <w:t>Hospital Referral Regions</w:t>
      </w:r>
      <w:r w:rsidRPr="00817B9F">
        <w:t xml:space="preserve"> with larger proportions of cowboys and high</w:t>
      </w:r>
      <w:r w:rsidR="00C55670" w:rsidRPr="00817B9F">
        <w:t>-</w:t>
      </w:r>
      <w:r w:rsidRPr="00817B9F">
        <w:t xml:space="preserve">follow-up </w:t>
      </w:r>
      <w:r w:rsidR="00E23D62" w:rsidRPr="00817B9F">
        <w:t>physicians</w:t>
      </w:r>
      <w:r w:rsidRPr="00817B9F">
        <w:t xml:space="preserve"> </w:t>
      </w:r>
      <w:r w:rsidR="0D6F1033" w:rsidRPr="00817B9F">
        <w:t>e</w:t>
      </w:r>
      <w:r w:rsidR="472E5E79" w:rsidRPr="00817B9F">
        <w:t>xperi</w:t>
      </w:r>
      <w:r w:rsidRPr="00817B9F">
        <w:t>ence higher</w:t>
      </w:r>
      <w:r w:rsidR="00E23D62" w:rsidRPr="00817B9F">
        <w:t>-</w:t>
      </w:r>
      <w:r w:rsidRPr="00817B9F">
        <w:t>quality care for acute myocardial infarction. While t</w:t>
      </w:r>
      <w:r w:rsidR="00E23D62" w:rsidRPr="00817B9F">
        <w:t xml:space="preserve">his </w:t>
      </w:r>
      <w:r w:rsidRPr="00817B9F">
        <w:t>evidence might be interpreted as indicating supply</w:t>
      </w:r>
      <w:r w:rsidR="00E23D62" w:rsidRPr="00817B9F">
        <w:t>-</w:t>
      </w:r>
      <w:r w:rsidRPr="00817B9F">
        <w:t>induced demand (if physicians become motivated as cowboys due to financial considerations), the authors note the limited role of financial factors in explaining variation in physician practice patterns.</w:t>
      </w:r>
      <w:r w:rsidRPr="00817B9F">
        <w:rPr>
          <w:rStyle w:val="FootnoteReference"/>
        </w:rPr>
        <w:footnoteReference w:id="213"/>
      </w:r>
      <w:r w:rsidRPr="00817B9F">
        <w:t xml:space="preserve"> Rather, the authors find that surveyed physicians express very different beliefs about the efficacy of </w:t>
      </w:r>
      <w:r w:rsidR="008657B4" w:rsidRPr="00817B9F">
        <w:t>particular treatments</w:t>
      </w:r>
      <w:r w:rsidRPr="00817B9F">
        <w:t>.</w:t>
      </w:r>
      <w:r w:rsidR="004C5218" w:rsidRPr="00817B9F">
        <w:t xml:space="preserve"> Most importantly, the variation in health care expenditures in this study was</w:t>
      </w:r>
      <w:r w:rsidR="00355E77" w:rsidRPr="00817B9F">
        <w:t xml:space="preserve"> linked to differences in physician practice patterns, not to differences in the </w:t>
      </w:r>
      <w:r w:rsidR="00033CB1" w:rsidRPr="00817B9F">
        <w:t xml:space="preserve">number or capacity of health care facilities in each region. </w:t>
      </w:r>
    </w:p>
    <w:p w14:paraId="7B64F7DD" w14:textId="1081ACE9" w:rsidR="00475BB4" w:rsidRPr="00817B9F" w:rsidRDefault="0070599F" w:rsidP="00E60C4B">
      <w:pPr>
        <w:pStyle w:val="NumberedParagraphs"/>
      </w:pPr>
      <w:r w:rsidRPr="00817B9F">
        <w:t>Clemens and Gottlieb</w:t>
      </w:r>
      <w:r w:rsidR="00180868" w:rsidRPr="00817B9F">
        <w:t xml:space="preserve"> (2014) </w:t>
      </w:r>
      <w:r w:rsidRPr="00817B9F">
        <w:t>investigate the extent to which physicians</w:t>
      </w:r>
      <w:r w:rsidR="00271AB5" w:rsidRPr="00817B9F">
        <w:t>’</w:t>
      </w:r>
      <w:r w:rsidRPr="00817B9F">
        <w:t xml:space="preserve"> compensation arrangements affect their treatment recommendations.</w:t>
      </w:r>
      <w:r w:rsidR="00180868" w:rsidRPr="00817B9F">
        <w:rPr>
          <w:rStyle w:val="FootnoteReference"/>
        </w:rPr>
        <w:footnoteReference w:id="214"/>
      </w:r>
      <w:r w:rsidRPr="00817B9F">
        <w:t xml:space="preserve"> They use a natural experiment based on a 1997 change in the way </w:t>
      </w:r>
      <w:r w:rsidR="004B7EE3" w:rsidRPr="00817B9F">
        <w:t>the</w:t>
      </w:r>
      <w:r w:rsidRPr="00817B9F">
        <w:t xml:space="preserve"> Medicare program adjusted physician payment rates geographically to analyze how physician treatment decisions change when their reimbursement changes</w:t>
      </w:r>
      <w:r w:rsidR="000D1562" w:rsidRPr="00817B9F">
        <w:t>.</w:t>
      </w:r>
      <w:r w:rsidR="000D1562" w:rsidRPr="00817B9F">
        <w:rPr>
          <w:rStyle w:val="FootnoteReference"/>
        </w:rPr>
        <w:footnoteReference w:id="215"/>
      </w:r>
      <w:r w:rsidR="00E60C4B" w:rsidRPr="00817B9F">
        <w:t xml:space="preserve"> </w:t>
      </w:r>
      <w:r w:rsidRPr="00817B9F">
        <w:t xml:space="preserve">The authors estimate both the aggregate effect </w:t>
      </w:r>
      <w:r w:rsidR="00F07D3F" w:rsidRPr="00817B9F">
        <w:t>on the amount of care provided to patients</w:t>
      </w:r>
      <w:r w:rsidRPr="00817B9F">
        <w:t xml:space="preserve"> as well as the effect on the </w:t>
      </w:r>
      <w:r w:rsidR="00D44CC8" w:rsidRPr="00817B9F">
        <w:t>number</w:t>
      </w:r>
      <w:r w:rsidR="00F07D3F" w:rsidRPr="00817B9F">
        <w:t xml:space="preserve"> of individual ser</w:t>
      </w:r>
      <w:r w:rsidR="00265EED" w:rsidRPr="00817B9F">
        <w:t>vices offered to patients</w:t>
      </w:r>
      <w:r w:rsidRPr="00817B9F">
        <w:t>. They find that Medicare services in aggregate indicate a long</w:t>
      </w:r>
      <w:r w:rsidR="00265EED" w:rsidRPr="00817B9F">
        <w:t>-</w:t>
      </w:r>
      <w:r w:rsidRPr="00817B9F">
        <w:t xml:space="preserve">run wage elasticity of approximately </w:t>
      </w:r>
      <w:r w:rsidR="00717D94" w:rsidRPr="00817B9F">
        <w:t>0</w:t>
      </w:r>
      <w:r w:rsidRPr="00817B9F">
        <w:t>.6</w:t>
      </w:r>
      <w:r w:rsidR="004640F2" w:rsidRPr="00817B9F">
        <w:t xml:space="preserve"> (</w:t>
      </w:r>
      <w:r w:rsidR="004640F2" w:rsidRPr="00817B9F">
        <w:rPr>
          <w:i/>
          <w:iCs/>
        </w:rPr>
        <w:t>i.e.</w:t>
      </w:r>
      <w:r w:rsidR="004640F2" w:rsidRPr="00817B9F">
        <w:t>, the quantity of services provided by physicians increases as their reimbursement for providing those services increases)</w:t>
      </w:r>
      <w:r w:rsidRPr="00817B9F">
        <w:t>.</w:t>
      </w:r>
      <w:r w:rsidRPr="00817B9F">
        <w:rPr>
          <w:rStyle w:val="FootnoteReference"/>
        </w:rPr>
        <w:footnoteReference w:id="216"/>
      </w:r>
      <w:r w:rsidRPr="00817B9F">
        <w:t xml:space="preserve"> </w:t>
      </w:r>
      <w:r w:rsidR="004640F2" w:rsidRPr="00817B9F">
        <w:t xml:space="preserve">The authors </w:t>
      </w:r>
      <w:r w:rsidRPr="00817B9F">
        <w:t>also assess the effect of the reimbursement change on</w:t>
      </w:r>
      <w:r w:rsidR="004640F2" w:rsidRPr="00817B9F">
        <w:t xml:space="preserve"> the prov</w:t>
      </w:r>
      <w:r w:rsidR="00D4471F" w:rsidRPr="00817B9F">
        <w:t>ision of</w:t>
      </w:r>
      <w:r w:rsidRPr="00817B9F">
        <w:t xml:space="preserve"> particular </w:t>
      </w:r>
      <w:r w:rsidRPr="00817B9F">
        <w:lastRenderedPageBreak/>
        <w:t>services.</w:t>
      </w:r>
      <w:r w:rsidR="00411558" w:rsidRPr="00817B9F">
        <w:t xml:space="preserve"> T</w:t>
      </w:r>
      <w:r w:rsidRPr="00817B9F">
        <w:t xml:space="preserve">hey develop a model of physician </w:t>
      </w:r>
      <w:r w:rsidR="00411558" w:rsidRPr="00817B9F">
        <w:t>incentives</w:t>
      </w:r>
      <w:r w:rsidRPr="00817B9F">
        <w:t xml:space="preserve"> based on both perceptions of what maximizes patient health and financial considerations. They posit that elective procedures are more likely to offer moderate benefits for many patients, while other services such as emergency department treatment or chemotherapy benefit only specific patients and may have substantial negative effects as well as benefits. As a result, they predict that elective procedures are more </w:t>
      </w:r>
      <w:r w:rsidR="00C26456" w:rsidRPr="00817B9F">
        <w:t xml:space="preserve">likely to respond to changes in </w:t>
      </w:r>
      <w:r w:rsidRPr="00817B9F">
        <w:t>reimbursement. Classifying services into specific categories</w:t>
      </w:r>
      <w:r w:rsidR="00C26456" w:rsidRPr="00817B9F">
        <w:t>,</w:t>
      </w:r>
      <w:r w:rsidRPr="00817B9F">
        <w:t xml:space="preserve"> they find evidence consistent with their theory: approximately two</w:t>
      </w:r>
      <w:r w:rsidR="00475BB4" w:rsidRPr="00817B9F">
        <w:t>-</w:t>
      </w:r>
      <w:r w:rsidRPr="00817B9F">
        <w:t xml:space="preserve">thirds of the supply response is attributable to </w:t>
      </w:r>
      <w:r w:rsidR="00475BB4" w:rsidRPr="00817B9F">
        <w:t xml:space="preserve">the one-third of services that are </w:t>
      </w:r>
      <w:r w:rsidRPr="00817B9F">
        <w:t xml:space="preserve">relatively </w:t>
      </w:r>
      <w:r w:rsidR="00475BB4" w:rsidRPr="00817B9F">
        <w:t>“</w:t>
      </w:r>
      <w:r w:rsidRPr="00817B9F">
        <w:t>elective</w:t>
      </w:r>
      <w:r w:rsidR="00475BB4" w:rsidRPr="00817B9F">
        <w:t>.”</w:t>
      </w:r>
      <w:r w:rsidRPr="00817B9F">
        <w:t xml:space="preserve"> </w:t>
      </w:r>
    </w:p>
    <w:p w14:paraId="1AD76626" w14:textId="004B8209" w:rsidR="0070599F" w:rsidRPr="00817B9F" w:rsidRDefault="0070599F" w:rsidP="00E60C4B">
      <w:pPr>
        <w:pStyle w:val="NumberedParagraphs"/>
      </w:pPr>
      <w:r w:rsidRPr="00817B9F">
        <w:t>Finally, the authors focus on two specific services: the provision of MRIs and cardiac care. They find that the provision of MRIs did respond positively to price changes</w:t>
      </w:r>
      <w:r w:rsidR="00033239" w:rsidRPr="00817B9F">
        <w:t>,</w:t>
      </w:r>
      <w:r w:rsidRPr="00817B9F">
        <w:t xml:space="preserve"> but their finding was only marginally statistically significant. Moreover, they found that almost the entire effect was attributable to the increased supply of MRIs by non-radiologists performing services in their offices and not in </w:t>
      </w:r>
      <w:r w:rsidR="004554DB" w:rsidRPr="00817B9F">
        <w:t xml:space="preserve">diagnostic </w:t>
      </w:r>
      <w:r w:rsidRPr="00817B9F">
        <w:t xml:space="preserve">imaging centers. The authors also find a positive supply response for elective cardiac services such as catheterization and angioplasty, with most of the response focused on increased services provided to populations already receiving relatively intensive care. </w:t>
      </w:r>
    </w:p>
    <w:p w14:paraId="545C0BDE" w14:textId="74DF7EF0" w:rsidR="009D5995" w:rsidRPr="00817B9F" w:rsidRDefault="0070599F" w:rsidP="009D5995">
      <w:pPr>
        <w:pStyle w:val="NumberedParagraphs"/>
      </w:pPr>
      <w:r w:rsidRPr="00817B9F">
        <w:t xml:space="preserve">Ikegami </w:t>
      </w:r>
      <w:r w:rsidRPr="00817B9F">
        <w:rPr>
          <w:i/>
          <w:iCs/>
        </w:rPr>
        <w:t>et al.</w:t>
      </w:r>
      <w:r w:rsidRPr="00817B9F">
        <w:t xml:space="preserve"> </w:t>
      </w:r>
      <w:r w:rsidR="000234E3" w:rsidRPr="00817B9F">
        <w:t xml:space="preserve">(2021) </w:t>
      </w:r>
      <w:r w:rsidRPr="00817B9F">
        <w:t>assess how physicians at one hospital change their use of MRIs when a neighboring hospital purchases a new MRI.</w:t>
      </w:r>
      <w:r w:rsidR="00B533E4" w:rsidRPr="00817B9F">
        <w:rPr>
          <w:rStyle w:val="FootnoteReference"/>
        </w:rPr>
        <w:footnoteReference w:id="217"/>
      </w:r>
      <w:r w:rsidRPr="00817B9F">
        <w:t xml:space="preserve"> Using administrative panel data on Japanese hospitals’ ownership and usage of MRIs between 20</w:t>
      </w:r>
      <w:r w:rsidR="000234E3" w:rsidRPr="00817B9F">
        <w:t>0</w:t>
      </w:r>
      <w:r w:rsidRPr="00817B9F">
        <w:t>5 and 2014, they find that a hospital’s MRI pat</w:t>
      </w:r>
      <w:r w:rsidR="00246445" w:rsidRPr="00817B9F">
        <w:t>i</w:t>
      </w:r>
      <w:r w:rsidRPr="00817B9F">
        <w:t xml:space="preserve">ent count falls by up to 6.6 percentage points when a surrounding hospital purchases an additional MRI. They also find that the hospital that loses patients compensates by offering more of its remaining patients MRIs than it had previously. They attribute this </w:t>
      </w:r>
      <w:r w:rsidR="00246445" w:rsidRPr="00817B9F">
        <w:t>response</w:t>
      </w:r>
      <w:r w:rsidRPr="00817B9F">
        <w:t xml:space="preserve"> to “competition-driven physician-induced demand.” The authors </w:t>
      </w:r>
      <w:r w:rsidR="00246445" w:rsidRPr="00817B9F">
        <w:t xml:space="preserve">note </w:t>
      </w:r>
      <w:r w:rsidRPr="00817B9F">
        <w:t xml:space="preserve">that in the Japanese health system, physicians and hospitals cannot affect the </w:t>
      </w:r>
      <w:r w:rsidR="00246445" w:rsidRPr="00817B9F">
        <w:t>reimbursement they</w:t>
      </w:r>
      <w:r w:rsidRPr="00817B9F">
        <w:t xml:space="preserve"> receive </w:t>
      </w:r>
      <w:r w:rsidR="00246445" w:rsidRPr="00817B9F">
        <w:t>for health care services</w:t>
      </w:r>
      <w:r w:rsidR="009C5A99" w:rsidRPr="00817B9F">
        <w:t>,</w:t>
      </w:r>
      <w:r w:rsidR="00246445" w:rsidRPr="00817B9F">
        <w:t xml:space="preserve"> </w:t>
      </w:r>
      <w:r w:rsidRPr="00817B9F">
        <w:t xml:space="preserve">so the </w:t>
      </w:r>
      <w:r w:rsidR="00246445" w:rsidRPr="00817B9F">
        <w:t>primary</w:t>
      </w:r>
      <w:r w:rsidRPr="00817B9F">
        <w:t xml:space="preserve"> competitive response that they can make is in volume. They also note that it is possible that the greater number of patients receiving MRIs could be beneficial to patients if it is attributable to the freeing up of formerly capacity-constrained equipment. </w:t>
      </w:r>
    </w:p>
    <w:p w14:paraId="628FBC07" w14:textId="12C77A90" w:rsidR="0070599F" w:rsidRPr="00817B9F" w:rsidRDefault="0070599F" w:rsidP="009D5995">
      <w:pPr>
        <w:pStyle w:val="NumberedParagraphs"/>
      </w:pPr>
      <w:r w:rsidRPr="00817B9F">
        <w:lastRenderedPageBreak/>
        <w:t xml:space="preserve">Finkelstein </w:t>
      </w:r>
      <w:r w:rsidRPr="00817B9F">
        <w:rPr>
          <w:i/>
          <w:iCs/>
        </w:rPr>
        <w:t>et al.</w:t>
      </w:r>
      <w:r w:rsidR="00781301" w:rsidRPr="00817B9F">
        <w:rPr>
          <w:i/>
          <w:iCs/>
        </w:rPr>
        <w:t xml:space="preserve"> </w:t>
      </w:r>
      <w:r w:rsidR="00781301" w:rsidRPr="00817B9F">
        <w:t>(20</w:t>
      </w:r>
      <w:r w:rsidR="00E71864" w:rsidRPr="00817B9F">
        <w:t>16)</w:t>
      </w:r>
      <w:r w:rsidRPr="00817B9F">
        <w:t xml:space="preserve"> use another type of natural experiment to assess regional variation in health care utilization.</w:t>
      </w:r>
      <w:r w:rsidR="00E71864" w:rsidRPr="00817B9F">
        <w:rPr>
          <w:rStyle w:val="FootnoteReference"/>
        </w:rPr>
        <w:footnoteReference w:id="218"/>
      </w:r>
      <w:r w:rsidRPr="00817B9F">
        <w:t xml:space="preserve"> They study Medicare </w:t>
      </w:r>
      <w:r w:rsidR="00E71864" w:rsidRPr="00817B9F">
        <w:t>beneficiary</w:t>
      </w:r>
      <w:r w:rsidRPr="00817B9F">
        <w:t xml:space="preserve"> utilization patterns between 1998 and 2008 following patients’ relocation from an area of high utilization to one of low utilization</w:t>
      </w:r>
      <w:r w:rsidR="00E71864" w:rsidRPr="00817B9F">
        <w:t xml:space="preserve"> (or </w:t>
      </w:r>
      <w:r w:rsidR="00E71864" w:rsidRPr="00817B9F">
        <w:rPr>
          <w:i/>
          <w:iCs/>
        </w:rPr>
        <w:t>vice versa</w:t>
      </w:r>
      <w:r w:rsidR="00E71864" w:rsidRPr="00817B9F">
        <w:t>)</w:t>
      </w:r>
      <w:r w:rsidRPr="00817B9F">
        <w:t>. The</w:t>
      </w:r>
      <w:r w:rsidR="00E71864" w:rsidRPr="00817B9F">
        <w:t xml:space="preserve"> authors</w:t>
      </w:r>
      <w:r w:rsidRPr="00817B9F">
        <w:t xml:space="preserve"> posit that if patient characteristics drive most of the variation in health care utilization</w:t>
      </w:r>
      <w:r w:rsidR="004D27E9" w:rsidRPr="00817B9F">
        <w:t>,</w:t>
      </w:r>
      <w:r w:rsidRPr="00817B9F">
        <w:t xml:space="preserve"> then </w:t>
      </w:r>
      <w:r w:rsidR="004D27E9" w:rsidRPr="00817B9F">
        <w:t>patients who relocate</w:t>
      </w:r>
      <w:r w:rsidRPr="00817B9F">
        <w:t xml:space="preserve"> should maintain their pre-existing utilization patterns regardless of whether they move to an area with </w:t>
      </w:r>
      <w:r w:rsidR="004D27E9" w:rsidRPr="00817B9F">
        <w:t xml:space="preserve">utilization </w:t>
      </w:r>
      <w:r w:rsidRPr="00817B9F">
        <w:t xml:space="preserve">patterns that differ from their own. However, instead what they observe is a sharp change in utilization patterns the year </w:t>
      </w:r>
      <w:r w:rsidR="004D27E9" w:rsidRPr="00817B9F">
        <w:t>that a p</w:t>
      </w:r>
      <w:r w:rsidRPr="00817B9F">
        <w:t>atient move</w:t>
      </w:r>
      <w:r w:rsidR="004D27E9" w:rsidRPr="00817B9F">
        <w:t>s</w:t>
      </w:r>
      <w:r w:rsidR="00931820" w:rsidRPr="00817B9F">
        <w:t>.</w:t>
      </w:r>
      <w:r w:rsidR="00B4356C" w:rsidRPr="00817B9F">
        <w:t xml:space="preserve"> </w:t>
      </w:r>
      <w:r w:rsidR="00931820" w:rsidRPr="00817B9F">
        <w:t xml:space="preserve">The </w:t>
      </w:r>
      <w:r w:rsidR="001379EB" w:rsidRPr="00817B9F">
        <w:t>change in utilization is</w:t>
      </w:r>
      <w:r w:rsidRPr="00817B9F">
        <w:t xml:space="preserve"> equal to about half of the difference between the average utilization patterns across the origin and destination locations of the patients’ moves</w:t>
      </w:r>
      <w:r w:rsidR="00D2187D" w:rsidRPr="00817B9F">
        <w:t>,</w:t>
      </w:r>
      <w:r w:rsidRPr="00817B9F">
        <w:t xml:space="preserve"> regardless of the direction of the move. Patient characteristics such as health status are important, but the authors find that </w:t>
      </w:r>
      <w:r w:rsidR="008F661D" w:rsidRPr="00817B9F">
        <w:t>these characteristics</w:t>
      </w:r>
      <w:r w:rsidRPr="00817B9F">
        <w:t xml:space="preserve"> explain</w:t>
      </w:r>
      <w:r w:rsidR="008F661D" w:rsidRPr="00817B9F">
        <w:t>,</w:t>
      </w:r>
      <w:r w:rsidRPr="00817B9F">
        <w:t xml:space="preserve"> on average</w:t>
      </w:r>
      <w:r w:rsidR="008F661D" w:rsidRPr="00817B9F">
        <w:t>,</w:t>
      </w:r>
      <w:r w:rsidRPr="00817B9F">
        <w:t xml:space="preserve"> about 47 percent of </w:t>
      </w:r>
      <w:r w:rsidR="00F603D3" w:rsidRPr="00817B9F">
        <w:t xml:space="preserve">regional </w:t>
      </w:r>
      <w:r w:rsidRPr="00817B9F">
        <w:t>variation</w:t>
      </w:r>
      <w:r w:rsidR="00F603D3" w:rsidRPr="00817B9F">
        <w:t xml:space="preserve"> in utilization</w:t>
      </w:r>
      <w:r w:rsidRPr="00817B9F">
        <w:t xml:space="preserve">. They also find substantial variation in the </w:t>
      </w:r>
      <w:r w:rsidR="006300DE" w:rsidRPr="00817B9F">
        <w:t>effects</w:t>
      </w:r>
      <w:r w:rsidRPr="00817B9F">
        <w:t xml:space="preserve"> that patient </w:t>
      </w:r>
      <w:r w:rsidR="006300DE" w:rsidRPr="00817B9F">
        <w:t xml:space="preserve">characteristics have </w:t>
      </w:r>
      <w:r w:rsidR="00003B4C" w:rsidRPr="00817B9F">
        <w:t xml:space="preserve">on demand for </w:t>
      </w:r>
      <w:r w:rsidR="0001067A" w:rsidRPr="00817B9F">
        <w:t>individual services</w:t>
      </w:r>
      <w:r w:rsidRPr="00817B9F">
        <w:t xml:space="preserve">. Patient </w:t>
      </w:r>
      <w:r w:rsidR="0001067A" w:rsidRPr="00817B9F">
        <w:t>characteristics</w:t>
      </w:r>
      <w:r w:rsidRPr="00817B9F">
        <w:t xml:space="preserve"> play a stronger role in </w:t>
      </w:r>
      <w:r w:rsidR="0001067A" w:rsidRPr="00817B9F">
        <w:t xml:space="preserve">explaining variation in </w:t>
      </w:r>
      <w:r w:rsidRPr="00817B9F">
        <w:t xml:space="preserve">services such as emergency department </w:t>
      </w:r>
      <w:r w:rsidR="0001067A" w:rsidRPr="00817B9F">
        <w:t xml:space="preserve">care </w:t>
      </w:r>
      <w:r w:rsidRPr="00817B9F">
        <w:t xml:space="preserve">or preventive care and a smaller role </w:t>
      </w:r>
      <w:r w:rsidR="0001067A" w:rsidRPr="00817B9F">
        <w:t xml:space="preserve">in explaining variation in </w:t>
      </w:r>
      <w:r w:rsidRPr="00817B9F">
        <w:t xml:space="preserve">diagnostic testing. </w:t>
      </w:r>
      <w:r w:rsidR="00A90A82" w:rsidRPr="00817B9F">
        <w:t>S</w:t>
      </w:r>
      <w:r w:rsidRPr="00817B9F">
        <w:t>upply</w:t>
      </w:r>
      <w:r w:rsidR="00A90A82" w:rsidRPr="00817B9F">
        <w:t>-side</w:t>
      </w:r>
      <w:r w:rsidRPr="00817B9F">
        <w:t xml:space="preserve"> factors are particularly pronounced in areas with more “cowboy” physicians (using the data collected in Cutler </w:t>
      </w:r>
      <w:r w:rsidRPr="00817B9F">
        <w:rPr>
          <w:i/>
          <w:iCs/>
        </w:rPr>
        <w:t>et al.</w:t>
      </w:r>
      <w:r w:rsidRPr="00817B9F">
        <w:t xml:space="preserve"> </w:t>
      </w:r>
      <w:r w:rsidR="00A90A82" w:rsidRPr="00817B9F">
        <w:t xml:space="preserve">(2019) </w:t>
      </w:r>
      <w:r w:rsidRPr="00817B9F">
        <w:t>d</w:t>
      </w:r>
      <w:r w:rsidR="00A90A82" w:rsidRPr="00817B9F">
        <w:t>iscussed</w:t>
      </w:r>
      <w:r w:rsidRPr="00817B9F">
        <w:t xml:space="preserve"> above) and more for-profit hospitals, as well as in areas with more </w:t>
      </w:r>
      <w:r w:rsidR="00A90A82" w:rsidRPr="00817B9F">
        <w:t>women</w:t>
      </w:r>
      <w:r w:rsidRPr="00817B9F">
        <w:t xml:space="preserve"> patients, less</w:t>
      </w:r>
      <w:r w:rsidR="00A90A82" w:rsidRPr="00817B9F">
        <w:t>-</w:t>
      </w:r>
      <w:r w:rsidRPr="00817B9F">
        <w:t>educated patients</w:t>
      </w:r>
      <w:r w:rsidR="00A90A82" w:rsidRPr="00817B9F">
        <w:t>,</w:t>
      </w:r>
      <w:r w:rsidRPr="00817B9F">
        <w:t xml:space="preserve"> and sicker patients.</w:t>
      </w:r>
    </w:p>
    <w:p w14:paraId="0673F699" w14:textId="38DE1B2C" w:rsidR="0070599F" w:rsidRPr="00817B9F" w:rsidRDefault="0070599F" w:rsidP="008D513F">
      <w:pPr>
        <w:pStyle w:val="NumberedParagraphs"/>
      </w:pPr>
      <w:r w:rsidRPr="00817B9F">
        <w:t xml:space="preserve">Finally, Young </w:t>
      </w:r>
      <w:r w:rsidRPr="00817B9F">
        <w:rPr>
          <w:i/>
          <w:iCs/>
        </w:rPr>
        <w:t>et al.</w:t>
      </w:r>
      <w:r w:rsidR="008D513F" w:rsidRPr="00817B9F">
        <w:t xml:space="preserve"> (2021)</w:t>
      </w:r>
      <w:r w:rsidRPr="00817B9F">
        <w:t xml:space="preserve"> examine whether physicians who become hospital employees change their usage of MRIs following employment.</w:t>
      </w:r>
      <w:r w:rsidR="008D513F" w:rsidRPr="00817B9F">
        <w:rPr>
          <w:rStyle w:val="FootnoteReference"/>
        </w:rPr>
        <w:footnoteReference w:id="219"/>
      </w:r>
      <w:r w:rsidRPr="00817B9F">
        <w:t xml:space="preserve"> The</w:t>
      </w:r>
      <w:r w:rsidR="008D513F" w:rsidRPr="00817B9F">
        <w:t xml:space="preserve"> authors</w:t>
      </w:r>
      <w:r w:rsidRPr="00817B9F">
        <w:t xml:space="preserve"> suggest that physicians who are employed by a hospital</w:t>
      </w:r>
      <w:r w:rsidR="008D513F" w:rsidRPr="00817B9F">
        <w:t xml:space="preserve"> system</w:t>
      </w:r>
      <w:r w:rsidRPr="00817B9F">
        <w:t xml:space="preserve"> may be more likely to refer their patients for services that benefit the hospital financially, particularly for those services for which efficacy is uncertain or disputed. Using the </w:t>
      </w:r>
      <w:r w:rsidR="008D513F" w:rsidRPr="00817B9F">
        <w:t xml:space="preserve">Massachusetts APCD, </w:t>
      </w:r>
      <w:r w:rsidRPr="00817B9F">
        <w:t xml:space="preserve">they assess health insurance claims between 2009 and 2016. They combine these data with information on physician employment derived from Medicare claims </w:t>
      </w:r>
      <w:r w:rsidR="008B2CEB" w:rsidRPr="00817B9F">
        <w:t xml:space="preserve">data </w:t>
      </w:r>
      <w:r w:rsidRPr="00817B9F">
        <w:t xml:space="preserve">and </w:t>
      </w:r>
      <w:r w:rsidR="008D513F" w:rsidRPr="00817B9F">
        <w:t>physicians’</w:t>
      </w:r>
      <w:r w:rsidR="008B2CEB" w:rsidRPr="00817B9F">
        <w:t xml:space="preserve"> </w:t>
      </w:r>
      <w:r w:rsidRPr="00817B9F">
        <w:t>Taxpayer Identification Numbers. They classify MRIs used to diagnose causes of lower back pain, knee pain</w:t>
      </w:r>
      <w:r w:rsidR="006530E3" w:rsidRPr="00817B9F">
        <w:t>,</w:t>
      </w:r>
      <w:r w:rsidRPr="00817B9F">
        <w:t xml:space="preserve"> and shoulder pain as appropriate or inappropriate </w:t>
      </w:r>
      <w:r w:rsidRPr="00817B9F">
        <w:lastRenderedPageBreak/>
        <w:t xml:space="preserve">based on clinical guidelines issued by the American College of Radiology. They find that the odds of a patient receiving a referral for an MRI increased by 31 percent, relative to a comparison group, following hospital employment of </w:t>
      </w:r>
      <w:r w:rsidR="008B2CEB" w:rsidRPr="00817B9F">
        <w:t>the</w:t>
      </w:r>
      <w:r w:rsidR="002A4E7C" w:rsidRPr="00817B9F">
        <w:t xml:space="preserve"> patient’s</w:t>
      </w:r>
      <w:r w:rsidRPr="00817B9F">
        <w:t xml:space="preserve"> physician, while the </w:t>
      </w:r>
      <w:r w:rsidR="008B2CEB" w:rsidRPr="00817B9F">
        <w:t>likelihood</w:t>
      </w:r>
      <w:r w:rsidRPr="00817B9F">
        <w:t xml:space="preserve"> of receiving an inappropriate referral increased by 22 percent, relative to the comparison group. As the authors acknowledge, however, identifying “inappropriateness” solely on claims data, rather than through a review of the medical record has its limitations. In addition, the composition of the patient panels </w:t>
      </w:r>
      <w:r w:rsidR="006C4F2C" w:rsidRPr="00817B9F">
        <w:t xml:space="preserve">may have </w:t>
      </w:r>
      <w:r w:rsidRPr="00817B9F">
        <w:t>changed as the physicians transferred to hospital employment</w:t>
      </w:r>
      <w:r w:rsidR="008B2CEB" w:rsidRPr="00817B9F">
        <w:t xml:space="preserve">, making the results </w:t>
      </w:r>
      <w:r w:rsidR="005E4CBD" w:rsidRPr="00817B9F">
        <w:t xml:space="preserve">more difficult to interpret. </w:t>
      </w:r>
    </w:p>
    <w:p w14:paraId="0F3FE5EF" w14:textId="794E5E39" w:rsidR="00AE296E" w:rsidRPr="00817B9F" w:rsidRDefault="00AE296E" w:rsidP="00AE296E">
      <w:pPr>
        <w:pStyle w:val="NumberedParagraphs"/>
      </w:pPr>
      <w:r w:rsidRPr="00817B9F">
        <w:t>On balance, the health economics literature finds that both demand- and supply-related factors are important in explaining variability in the utilization of health care services and health care expenditures. However, the literature that examines the causes of supply-related variation in demand for health care services finds th</w:t>
      </w:r>
      <w:r w:rsidR="00450774" w:rsidRPr="00817B9F">
        <w:t>at</w:t>
      </w:r>
      <w:r w:rsidRPr="00817B9F">
        <w:t xml:space="preserve"> most evidence </w:t>
      </w:r>
      <w:r w:rsidR="00450774" w:rsidRPr="00817B9F">
        <w:t xml:space="preserve">is </w:t>
      </w:r>
      <w:r w:rsidRPr="00817B9F">
        <w:t xml:space="preserve">consistent with the role of physicians’ differing beliefs about the efficacy of </w:t>
      </w:r>
      <w:r w:rsidR="00A80137" w:rsidRPr="00817B9F">
        <w:t>alternative trea</w:t>
      </w:r>
      <w:r w:rsidR="00194D1C" w:rsidRPr="00817B9F">
        <w:t>tment</w:t>
      </w:r>
      <w:r w:rsidR="00693708" w:rsidRPr="00817B9F">
        <w:t>s</w:t>
      </w:r>
      <w:r w:rsidRPr="00817B9F">
        <w:t xml:space="preserve"> and </w:t>
      </w:r>
      <w:r w:rsidR="00693708" w:rsidRPr="00817B9F">
        <w:t xml:space="preserve">differing </w:t>
      </w:r>
      <w:r w:rsidRPr="00817B9F">
        <w:t xml:space="preserve">practice patterns in explaining that variation, rather than on the availability of the types of complementary inputs that are sought by MGB in its DoN application. </w:t>
      </w:r>
    </w:p>
    <w:p w14:paraId="4F6D7A69" w14:textId="5E6A86DC" w:rsidR="00697AC3" w:rsidRPr="00817B9F" w:rsidRDefault="009E28B0" w:rsidP="00E666B8">
      <w:pPr>
        <w:pStyle w:val="Heading3"/>
      </w:pPr>
      <w:bookmarkStart w:id="140" w:name="_Toc90046549"/>
      <w:r w:rsidRPr="00817B9F">
        <w:t xml:space="preserve">Literature on the </w:t>
      </w:r>
      <w:r w:rsidR="00C478EB" w:rsidRPr="00817B9F">
        <w:t xml:space="preserve">Effect of </w:t>
      </w:r>
      <w:r w:rsidR="00201AE5" w:rsidRPr="00817B9F">
        <w:t>A</w:t>
      </w:r>
      <w:r w:rsidR="00C478EB" w:rsidRPr="00817B9F">
        <w:t xml:space="preserve">dditional </w:t>
      </w:r>
      <w:r w:rsidR="00201AE5" w:rsidRPr="00817B9F">
        <w:t>I</w:t>
      </w:r>
      <w:r w:rsidR="00C478EB" w:rsidRPr="00817B9F">
        <w:t xml:space="preserve">maging </w:t>
      </w:r>
      <w:r w:rsidR="00201AE5" w:rsidRPr="00817B9F">
        <w:t>C</w:t>
      </w:r>
      <w:r w:rsidR="00C478EB" w:rsidRPr="00817B9F">
        <w:t xml:space="preserve">apacity on </w:t>
      </w:r>
      <w:r w:rsidR="00201AE5" w:rsidRPr="00817B9F">
        <w:t>D</w:t>
      </w:r>
      <w:r w:rsidR="00C478EB" w:rsidRPr="00817B9F">
        <w:t xml:space="preserve">emand for </w:t>
      </w:r>
      <w:r w:rsidR="00201AE5" w:rsidRPr="00817B9F">
        <w:t>S</w:t>
      </w:r>
      <w:r w:rsidR="00C478EB" w:rsidRPr="00817B9F">
        <w:t>urgery</w:t>
      </w:r>
      <w:r w:rsidR="00026E03" w:rsidRPr="00817B9F">
        <w:t xml:space="preserve"> and Inpatient</w:t>
      </w:r>
      <w:r w:rsidR="00021186" w:rsidRPr="00817B9F">
        <w:t xml:space="preserve"> </w:t>
      </w:r>
      <w:r w:rsidR="00186A40" w:rsidRPr="00817B9F">
        <w:t>C</w:t>
      </w:r>
      <w:r w:rsidR="00021186" w:rsidRPr="00817B9F">
        <w:t>are</w:t>
      </w:r>
      <w:bookmarkEnd w:id="140"/>
      <w:r w:rsidR="00F35259" w:rsidRPr="00817B9F">
        <w:t xml:space="preserve"> </w:t>
      </w:r>
    </w:p>
    <w:p w14:paraId="348041B6" w14:textId="096CD064" w:rsidR="00630233" w:rsidRPr="00817B9F" w:rsidRDefault="00A102C1" w:rsidP="00535872">
      <w:pPr>
        <w:pStyle w:val="NumberedParagraphs"/>
      </w:pPr>
      <w:r w:rsidRPr="00817B9F">
        <w:t xml:space="preserve">In connection with MGB’s application to add </w:t>
      </w:r>
      <w:r w:rsidR="00C67787" w:rsidRPr="00817B9F">
        <w:t xml:space="preserve">additional diagnostic imaging capacity to MGH, the DoN program asked CRA to assess the </w:t>
      </w:r>
      <w:r w:rsidR="001B70C4" w:rsidRPr="00817B9F">
        <w:t xml:space="preserve">downstream impact of the proposed project’s new imaging capacity on inpatient and surgical </w:t>
      </w:r>
      <w:r w:rsidR="00EB4D5B" w:rsidRPr="00817B9F">
        <w:t xml:space="preserve">volume at MGH. </w:t>
      </w:r>
      <w:r w:rsidR="00A73361" w:rsidRPr="00817B9F">
        <w:t>The literature that directly addresses the question of the downstream impact of increased capacity in advanced imaging (</w:t>
      </w:r>
      <w:r w:rsidR="00920D66" w:rsidRPr="00817B9F">
        <w:rPr>
          <w:i/>
          <w:iCs/>
        </w:rPr>
        <w:t>e.g</w:t>
      </w:r>
      <w:r w:rsidR="004C5CF6" w:rsidRPr="00817B9F">
        <w:rPr>
          <w:i/>
          <w:iCs/>
        </w:rPr>
        <w:t>.</w:t>
      </w:r>
      <w:r w:rsidR="004C5CF6" w:rsidRPr="00817B9F">
        <w:t xml:space="preserve">, </w:t>
      </w:r>
      <w:r w:rsidR="00A73361" w:rsidRPr="00817B9F">
        <w:t>CT, MRI</w:t>
      </w:r>
      <w:r w:rsidR="00222896" w:rsidRPr="00817B9F">
        <w:t>,</w:t>
      </w:r>
      <w:r w:rsidR="002707CD" w:rsidRPr="00817B9F">
        <w:t xml:space="preserve"> </w:t>
      </w:r>
      <w:r w:rsidR="00A73361" w:rsidRPr="00817B9F">
        <w:t>PET</w:t>
      </w:r>
      <w:r w:rsidR="00836F70" w:rsidRPr="00817B9F">
        <w:t>/CT</w:t>
      </w:r>
      <w:r w:rsidR="00920D66" w:rsidRPr="00817B9F">
        <w:t>, or PET/MR</w:t>
      </w:r>
      <w:r w:rsidR="00A73361" w:rsidRPr="00817B9F">
        <w:t xml:space="preserve">) on surgical and inpatient volumes is sparse. </w:t>
      </w:r>
      <w:r w:rsidR="00487181" w:rsidRPr="00817B9F">
        <w:t xml:space="preserve">A </w:t>
      </w:r>
      <w:r w:rsidR="006D1620" w:rsidRPr="00817B9F">
        <w:t xml:space="preserve">larger </w:t>
      </w:r>
      <w:r w:rsidR="00A73361" w:rsidRPr="00817B9F">
        <w:t>body of research analyze</w:t>
      </w:r>
      <w:r w:rsidR="002707CD" w:rsidRPr="00817B9F">
        <w:t>s</w:t>
      </w:r>
      <w:r w:rsidR="00A73361" w:rsidRPr="00817B9F">
        <w:t xml:space="preserve"> the costs and benefits of providing advanced imaging to various categories of patients and provides evidence of improved quality of life or lengthened life</w:t>
      </w:r>
      <w:r w:rsidR="00E176A6" w:rsidRPr="00817B9F">
        <w:t xml:space="preserve">, although we were unable to </w:t>
      </w:r>
      <w:r w:rsidR="00535872" w:rsidRPr="00817B9F">
        <w:t xml:space="preserve">identify </w:t>
      </w:r>
      <w:r w:rsidR="00E57189" w:rsidRPr="00817B9F">
        <w:t xml:space="preserve">studies that estimated </w:t>
      </w:r>
      <w:r w:rsidR="00535872" w:rsidRPr="00817B9F">
        <w:t>the effects of</w:t>
      </w:r>
      <w:r w:rsidR="00C73DFB" w:rsidRPr="00817B9F">
        <w:t xml:space="preserve"> </w:t>
      </w:r>
      <w:r w:rsidR="00E57189" w:rsidRPr="00817B9F">
        <w:rPr>
          <w:i/>
          <w:iCs/>
        </w:rPr>
        <w:t>each</w:t>
      </w:r>
      <w:r w:rsidR="00E57189" w:rsidRPr="00817B9F">
        <w:t xml:space="preserve"> type of imaging equipment requested by MGB in its D</w:t>
      </w:r>
      <w:r w:rsidR="005F7DE5" w:rsidRPr="00817B9F">
        <w:t>o</w:t>
      </w:r>
      <w:r w:rsidR="00E57189" w:rsidRPr="00817B9F">
        <w:t xml:space="preserve">N application </w:t>
      </w:r>
      <w:r w:rsidR="00535872" w:rsidRPr="00817B9F">
        <w:t xml:space="preserve">on </w:t>
      </w:r>
      <w:r w:rsidR="00630233" w:rsidRPr="00817B9F">
        <w:t xml:space="preserve">both </w:t>
      </w:r>
      <w:r w:rsidR="00535872" w:rsidRPr="00817B9F">
        <w:t xml:space="preserve">cancer and cardiac </w:t>
      </w:r>
      <w:r w:rsidR="00487181" w:rsidRPr="00817B9F">
        <w:t>c</w:t>
      </w:r>
      <w:r w:rsidR="00535872" w:rsidRPr="00817B9F">
        <w:t>are</w:t>
      </w:r>
      <w:r w:rsidR="00E57189" w:rsidRPr="00817B9F">
        <w:t xml:space="preserve"> o</w:t>
      </w:r>
      <w:r w:rsidR="00630233" w:rsidRPr="00817B9F">
        <w:t>utcomes</w:t>
      </w:r>
      <w:r w:rsidR="00535872" w:rsidRPr="00817B9F">
        <w:t xml:space="preserve">. </w:t>
      </w:r>
    </w:p>
    <w:p w14:paraId="3E2333D1" w14:textId="413CDDBC" w:rsidR="00A73361" w:rsidRPr="00817B9F" w:rsidRDefault="00953D0C" w:rsidP="00535872">
      <w:pPr>
        <w:pStyle w:val="NumberedParagraphs"/>
      </w:pPr>
      <w:r w:rsidRPr="00817B9F">
        <w:t>H</w:t>
      </w:r>
      <w:r w:rsidR="00A73361" w:rsidRPr="00817B9F">
        <w:t xml:space="preserve">owever, as </w:t>
      </w:r>
      <w:r w:rsidR="00E07CC3" w:rsidRPr="00817B9F">
        <w:t>v</w:t>
      </w:r>
      <w:r w:rsidR="00A73361" w:rsidRPr="00817B9F">
        <w:t xml:space="preserve">an Beek </w:t>
      </w:r>
      <w:r w:rsidR="00A73361" w:rsidRPr="00817B9F">
        <w:rPr>
          <w:i/>
          <w:iCs/>
        </w:rPr>
        <w:t>et al.</w:t>
      </w:r>
      <w:r w:rsidR="004C5CF6" w:rsidRPr="00817B9F">
        <w:t xml:space="preserve"> (2019)</w:t>
      </w:r>
      <w:r w:rsidR="00A73361" w:rsidRPr="00817B9F">
        <w:t xml:space="preserve"> note</w:t>
      </w:r>
      <w:r w:rsidR="004C5CF6" w:rsidRPr="00817B9F">
        <w:t>s</w:t>
      </w:r>
      <w:r w:rsidR="00A73361" w:rsidRPr="00817B9F">
        <w:t xml:space="preserve">, it is difficult to evaluate the effectiveness of any diagnostic modality </w:t>
      </w:r>
      <w:r w:rsidR="0032546B" w:rsidRPr="00817B9F">
        <w:t>because</w:t>
      </w:r>
      <w:r w:rsidR="00A73361" w:rsidRPr="00817B9F">
        <w:t xml:space="preserve"> diagnosis generally begins a therapeutic episode whose outcomes are typically evaluated at the end or at least at a point in time substantially after the </w:t>
      </w:r>
      <w:r w:rsidR="0032546B" w:rsidRPr="00817B9F">
        <w:t xml:space="preserve">initial </w:t>
      </w:r>
      <w:r w:rsidR="00A73361" w:rsidRPr="00817B9F">
        <w:t xml:space="preserve">diagnostic </w:t>
      </w:r>
      <w:r w:rsidR="00A73361" w:rsidRPr="00817B9F">
        <w:lastRenderedPageBreak/>
        <w:t>test.</w:t>
      </w:r>
      <w:r w:rsidR="007E0801" w:rsidRPr="00817B9F">
        <w:rPr>
          <w:rStyle w:val="FootnoteReference"/>
        </w:rPr>
        <w:footnoteReference w:id="220"/>
      </w:r>
      <w:r w:rsidR="0032546B" w:rsidRPr="00817B9F">
        <w:t xml:space="preserve"> </w:t>
      </w:r>
      <w:r w:rsidR="00A73361" w:rsidRPr="00817B9F">
        <w:t xml:space="preserve">As a result, a variety of confounding influences can affect </w:t>
      </w:r>
      <w:r w:rsidR="0032546B" w:rsidRPr="00817B9F">
        <w:t xml:space="preserve">the measure of the relevant </w:t>
      </w:r>
      <w:r w:rsidR="00A73361" w:rsidRPr="00817B9F">
        <w:t>outcome</w:t>
      </w:r>
      <w:r w:rsidR="00D21AEA" w:rsidRPr="00817B9F">
        <w:t>.</w:t>
      </w:r>
      <w:r w:rsidR="0032546B" w:rsidRPr="00817B9F">
        <w:t xml:space="preserve"> Notwithstanding this</w:t>
      </w:r>
      <w:r w:rsidR="00D21AEA" w:rsidRPr="00817B9F">
        <w:t xml:space="preserve"> difficulty, i</w:t>
      </w:r>
      <w:r w:rsidR="00A73361" w:rsidRPr="00817B9F">
        <w:t>n this section</w:t>
      </w:r>
      <w:r w:rsidR="00D21AEA" w:rsidRPr="00817B9F">
        <w:t xml:space="preserve"> </w:t>
      </w:r>
      <w:r w:rsidR="00A73361" w:rsidRPr="00817B9F">
        <w:t xml:space="preserve">we </w:t>
      </w:r>
      <w:r w:rsidR="00BA7138" w:rsidRPr="00817B9F">
        <w:t>briefly summarize</w:t>
      </w:r>
      <w:r w:rsidR="00A73361" w:rsidRPr="00817B9F">
        <w:t xml:space="preserve"> </w:t>
      </w:r>
      <w:r w:rsidR="00246B5E" w:rsidRPr="00817B9F">
        <w:t>examples</w:t>
      </w:r>
      <w:r w:rsidR="00A73361" w:rsidRPr="00817B9F">
        <w:t xml:space="preserve"> of recent studies of each </w:t>
      </w:r>
      <w:r w:rsidR="00D21AEA" w:rsidRPr="00817B9F">
        <w:t xml:space="preserve">imaging </w:t>
      </w:r>
      <w:r w:rsidR="00A73361" w:rsidRPr="00817B9F">
        <w:t>modality.</w:t>
      </w:r>
      <w:r w:rsidR="00232872" w:rsidRPr="00817B9F">
        <w:t xml:space="preserve"> </w:t>
      </w:r>
      <w:r w:rsidR="00A73361" w:rsidRPr="00817B9F">
        <w:t xml:space="preserve">There has also been substantial analysis of the trends in utilization of specific imaging modalities as well as imaging in general for both commercially </w:t>
      </w:r>
      <w:r w:rsidR="00886996" w:rsidRPr="00817B9F">
        <w:t xml:space="preserve">insured </w:t>
      </w:r>
      <w:r w:rsidR="00A73361" w:rsidRPr="00817B9F">
        <w:t>and government-insured patients. We summarize this literature at the end of this section.</w:t>
      </w:r>
    </w:p>
    <w:p w14:paraId="6105A878" w14:textId="6E5936B6" w:rsidR="00A55C21" w:rsidRPr="00817B9F" w:rsidRDefault="00A55C21" w:rsidP="00AA0512">
      <w:pPr>
        <w:pStyle w:val="Heading4"/>
        <w:numPr>
          <w:ilvl w:val="0"/>
          <w:numId w:val="15"/>
        </w:numPr>
      </w:pPr>
      <w:r w:rsidRPr="00817B9F">
        <w:t>Positron Emission Tomography</w:t>
      </w:r>
      <w:r w:rsidR="00836F70" w:rsidRPr="00817B9F">
        <w:t>/Computed Tomography</w:t>
      </w:r>
    </w:p>
    <w:p w14:paraId="40A340BB" w14:textId="7EE63C42" w:rsidR="00A55C21" w:rsidRPr="00817B9F" w:rsidRDefault="00A55C21" w:rsidP="00A55C21">
      <w:pPr>
        <w:pStyle w:val="NumberedParagraphs"/>
      </w:pPr>
      <w:r w:rsidRPr="00817B9F">
        <w:t xml:space="preserve">PET scanning </w:t>
      </w:r>
      <w:r w:rsidR="00F45E6D" w:rsidRPr="00817B9F">
        <w:t>is often</w:t>
      </w:r>
      <w:r w:rsidRPr="00817B9F">
        <w:t xml:space="preserve"> used to assess brain function and disorders, diagnos</w:t>
      </w:r>
      <w:r w:rsidR="00767B3A" w:rsidRPr="00817B9F">
        <w:t>e</w:t>
      </w:r>
      <w:r w:rsidRPr="00817B9F">
        <w:t xml:space="preserve"> cancer as well as its spread and response to treatment, and </w:t>
      </w:r>
      <w:r w:rsidR="00767B3A" w:rsidRPr="00817B9F">
        <w:t>evaluate</w:t>
      </w:r>
      <w:r w:rsidRPr="00817B9F">
        <w:t xml:space="preserve"> heart problems.</w:t>
      </w:r>
      <w:r w:rsidRPr="00817B9F">
        <w:rPr>
          <w:rStyle w:val="FootnoteReference"/>
        </w:rPr>
        <w:footnoteReference w:id="221"/>
      </w:r>
      <w:r w:rsidRPr="00817B9F">
        <w:t xml:space="preserve"> </w:t>
      </w:r>
      <w:r w:rsidR="009E5C0E" w:rsidRPr="00817B9F">
        <w:t>Based on our reviews</w:t>
      </w:r>
      <w:r w:rsidR="00313391" w:rsidRPr="00817B9F">
        <w:t xml:space="preserve"> of the health literature</w:t>
      </w:r>
      <w:r w:rsidR="009E5C0E" w:rsidRPr="00817B9F">
        <w:t>, its</w:t>
      </w:r>
      <w:r w:rsidRPr="00817B9F">
        <w:t xml:space="preserve"> use in the diagnosis and treatment of various types of cancer has been most studied.</w:t>
      </w:r>
      <w:r w:rsidR="0018465E" w:rsidRPr="00817B9F">
        <w:t xml:space="preserve"> </w:t>
      </w:r>
      <w:r w:rsidRPr="00817B9F">
        <w:t>Strong evidence exists for the use of PET</w:t>
      </w:r>
      <w:r w:rsidR="0018465E" w:rsidRPr="00817B9F">
        <w:t>/CT</w:t>
      </w:r>
      <w:r w:rsidRPr="00817B9F">
        <w:t xml:space="preserve"> in the diagnosis and staging of non-small cell lung cancer, the most common form of lung cancer with </w:t>
      </w:r>
      <w:r w:rsidR="00815115" w:rsidRPr="00817B9F">
        <w:t>more than 200 thousand</w:t>
      </w:r>
      <w:r w:rsidRPr="00817B9F">
        <w:t xml:space="preserve"> new cases in the U.S. annually.</w:t>
      </w:r>
      <w:r w:rsidRPr="00817B9F">
        <w:rPr>
          <w:rStyle w:val="FootnoteReference"/>
        </w:rPr>
        <w:footnoteReference w:id="222"/>
      </w:r>
      <w:r w:rsidRPr="00817B9F">
        <w:t xml:space="preserve"> Zeng </w:t>
      </w:r>
      <w:r w:rsidRPr="00817B9F">
        <w:rPr>
          <w:i/>
        </w:rPr>
        <w:t>et al.</w:t>
      </w:r>
      <w:r w:rsidR="00567F99" w:rsidRPr="00817B9F">
        <w:rPr>
          <w:i/>
          <w:iCs/>
        </w:rPr>
        <w:t xml:space="preserve"> </w:t>
      </w:r>
      <w:r w:rsidR="00567F99" w:rsidRPr="00817B9F">
        <w:t>(2019)</w:t>
      </w:r>
      <w:r w:rsidRPr="00817B9F">
        <w:t xml:space="preserve"> found that the diagnostic accuracy and sensitivity of combined PET</w:t>
      </w:r>
      <w:r w:rsidR="00C53597" w:rsidRPr="00817B9F">
        <w:t>/</w:t>
      </w:r>
      <w:r w:rsidRPr="00817B9F">
        <w:t xml:space="preserve">CT </w:t>
      </w:r>
      <w:r w:rsidR="00C53597" w:rsidRPr="00817B9F">
        <w:t>imaging</w:t>
      </w:r>
      <w:r w:rsidRPr="00817B9F">
        <w:t xml:space="preserve"> is superior to that of CT alone, and that the combined approach met cost-effectiveness thresholds in the Chinese health system.</w:t>
      </w:r>
      <w:r w:rsidR="00567F99" w:rsidRPr="00817B9F">
        <w:rPr>
          <w:rStyle w:val="FootnoteReference"/>
        </w:rPr>
        <w:footnoteReference w:id="223"/>
      </w:r>
      <w:r w:rsidRPr="00817B9F">
        <w:t xml:space="preserve"> The</w:t>
      </w:r>
      <w:r w:rsidR="00997AF2" w:rsidRPr="00817B9F">
        <w:t xml:space="preserve"> authors</w:t>
      </w:r>
      <w:r w:rsidRPr="00817B9F">
        <w:t xml:space="preserve"> also found that </w:t>
      </w:r>
      <w:r w:rsidR="00E70944" w:rsidRPr="00817B9F">
        <w:t>the</w:t>
      </w:r>
      <w:r w:rsidRPr="00817B9F">
        <w:t xml:space="preserve"> </w:t>
      </w:r>
      <w:r w:rsidR="00BB6D6D" w:rsidRPr="00817B9F">
        <w:t>us</w:t>
      </w:r>
      <w:r w:rsidR="00E70944" w:rsidRPr="00817B9F">
        <w:t>e</w:t>
      </w:r>
      <w:r w:rsidR="00BB6D6D" w:rsidRPr="00817B9F">
        <w:t xml:space="preserve"> of PET/CT imaging was positively correlated with </w:t>
      </w:r>
      <w:r w:rsidRPr="00817B9F">
        <w:t>survival</w:t>
      </w:r>
      <w:r w:rsidR="00BB6D6D" w:rsidRPr="00817B9F">
        <w:t xml:space="preserve"> rates</w:t>
      </w:r>
      <w:r w:rsidRPr="00817B9F">
        <w:t xml:space="preserve">. </w:t>
      </w:r>
    </w:p>
    <w:p w14:paraId="51F71D13" w14:textId="0B33DB4B" w:rsidR="00A55C21" w:rsidRPr="00817B9F" w:rsidRDefault="00A55C21" w:rsidP="00BB6D6D">
      <w:pPr>
        <w:pStyle w:val="NumberedParagraphs"/>
      </w:pPr>
      <w:r w:rsidRPr="00817B9F">
        <w:t xml:space="preserve">Buck </w:t>
      </w:r>
      <w:r w:rsidRPr="00817B9F">
        <w:rPr>
          <w:i/>
        </w:rPr>
        <w:t>et al.</w:t>
      </w:r>
      <w:r w:rsidRPr="00817B9F">
        <w:t xml:space="preserve"> </w:t>
      </w:r>
      <w:r w:rsidR="007F4902" w:rsidRPr="00817B9F">
        <w:t>(2010)</w:t>
      </w:r>
      <w:r w:rsidRPr="00817B9F">
        <w:t xml:space="preserve"> note that the “combination of </w:t>
      </w:r>
      <w:r w:rsidR="000F1297" w:rsidRPr="00817B9F">
        <w:t xml:space="preserve">a dedicated </w:t>
      </w:r>
      <w:r w:rsidRPr="00817B9F">
        <w:t xml:space="preserve">PET </w:t>
      </w:r>
      <w:r w:rsidR="000F1297" w:rsidRPr="00817B9F">
        <w:t xml:space="preserve">scanner </w:t>
      </w:r>
      <w:r w:rsidRPr="00817B9F">
        <w:t xml:space="preserve">and </w:t>
      </w:r>
      <w:r w:rsidR="000F1297" w:rsidRPr="00817B9F">
        <w:t xml:space="preserve">multislice </w:t>
      </w:r>
      <w:r w:rsidR="00C103F5" w:rsidRPr="00817B9F">
        <w:t>helical</w:t>
      </w:r>
      <w:r w:rsidRPr="00817B9F">
        <w:t xml:space="preserve"> CT enables integrated functional and high-resolution morphologic imaging</w:t>
      </w:r>
      <w:r w:rsidR="00A06381" w:rsidRPr="00817B9F">
        <w:t>” and has many advan</w:t>
      </w:r>
      <w:r w:rsidR="00A75BD7" w:rsidRPr="00817B9F">
        <w:t>tages</w:t>
      </w:r>
      <w:r w:rsidR="00266F52" w:rsidRPr="00817B9F">
        <w:t> </w:t>
      </w:r>
      <w:r w:rsidR="00A75BD7" w:rsidRPr="00817B9F">
        <w:t>in</w:t>
      </w:r>
      <w:r w:rsidRPr="00817B9F">
        <w:t xml:space="preserve"> </w:t>
      </w:r>
      <w:r w:rsidR="00A06381" w:rsidRPr="00817B9F">
        <w:t>“</w:t>
      </w:r>
      <w:r w:rsidRPr="00817B9F">
        <w:t>differential diagnos</w:t>
      </w:r>
      <w:r w:rsidR="0038356B" w:rsidRPr="00817B9F">
        <w:t>is</w:t>
      </w:r>
      <w:r w:rsidR="00A42E75" w:rsidRPr="00817B9F">
        <w:t xml:space="preserve"> of</w:t>
      </w:r>
      <w:r w:rsidRPr="00817B9F">
        <w:t xml:space="preserve"> undefined lesions, initial tumor staging, detect</w:t>
      </w:r>
      <w:r w:rsidR="00A95CF0" w:rsidRPr="00817B9F">
        <w:t>ion of</w:t>
      </w:r>
      <w:r w:rsidRPr="00817B9F">
        <w:t xml:space="preserve"> relapse</w:t>
      </w:r>
      <w:r w:rsidR="009F0D76" w:rsidRPr="00817B9F">
        <w:t>,</w:t>
      </w:r>
      <w:r w:rsidRPr="00817B9F">
        <w:t xml:space="preserve"> and response</w:t>
      </w:r>
      <w:r w:rsidR="009F0D76" w:rsidRPr="00817B9F">
        <w:t xml:space="preserve"> </w:t>
      </w:r>
      <w:r w:rsidR="00DE16C6" w:rsidRPr="00817B9F">
        <w:t>monitoring</w:t>
      </w:r>
      <w:r w:rsidR="007A192F" w:rsidRPr="00817B9F">
        <w:t>,</w:t>
      </w:r>
      <w:r w:rsidRPr="00817B9F">
        <w:t xml:space="preserve">” leading to higher sensitivity and specificity in cancer imaging </w:t>
      </w:r>
      <w:r w:rsidRPr="00817B9F">
        <w:lastRenderedPageBreak/>
        <w:t>than previously available.</w:t>
      </w:r>
      <w:r w:rsidRPr="00817B9F">
        <w:rPr>
          <w:rStyle w:val="FootnoteReference"/>
        </w:rPr>
        <w:t xml:space="preserve"> </w:t>
      </w:r>
      <w:r w:rsidR="004A2A32" w:rsidRPr="00817B9F">
        <w:rPr>
          <w:rStyle w:val="FootnoteReference"/>
        </w:rPr>
        <w:footnoteReference w:id="224"/>
      </w:r>
      <w:r w:rsidR="004A2A32" w:rsidRPr="00817B9F">
        <w:t xml:space="preserve"> </w:t>
      </w:r>
      <w:r w:rsidRPr="00817B9F">
        <w:t>The</w:t>
      </w:r>
      <w:r w:rsidR="007F4902" w:rsidRPr="00817B9F">
        <w:t xml:space="preserve"> authors</w:t>
      </w:r>
      <w:r w:rsidRPr="00817B9F">
        <w:t xml:space="preserve"> note that</w:t>
      </w:r>
      <w:r w:rsidR="006F6772" w:rsidRPr="00817B9F">
        <w:t>,</w:t>
      </w:r>
      <w:r w:rsidRPr="00817B9F">
        <w:t xml:space="preserve"> in response</w:t>
      </w:r>
      <w:r w:rsidR="006F6772" w:rsidRPr="00817B9F">
        <w:t>,</w:t>
      </w:r>
      <w:r w:rsidRPr="00817B9F">
        <w:t xml:space="preserve"> </w:t>
      </w:r>
      <w:r w:rsidR="00451119" w:rsidRPr="00817B9F">
        <w:t>third-party payors</w:t>
      </w:r>
      <w:r w:rsidRPr="00817B9F">
        <w:t xml:space="preserve"> in the United States and Europe have approved reimbursement of combined PET</w:t>
      </w:r>
      <w:r w:rsidR="00451119" w:rsidRPr="00817B9F">
        <w:t>/</w:t>
      </w:r>
      <w:r w:rsidRPr="00817B9F">
        <w:t xml:space="preserve">CT for various oncologic indications. In addition to demonstrated cost-effectiveness for </w:t>
      </w:r>
      <w:r w:rsidR="00F13FD6" w:rsidRPr="00817B9F">
        <w:t>non-small cell lung cancer</w:t>
      </w:r>
      <w:r w:rsidRPr="00817B9F">
        <w:t xml:space="preserve">, they note </w:t>
      </w:r>
      <w:r w:rsidR="0031756F" w:rsidRPr="00817B9F">
        <w:t xml:space="preserve">the </w:t>
      </w:r>
      <w:r w:rsidRPr="00817B9F">
        <w:t xml:space="preserve">cost effectiveness </w:t>
      </w:r>
      <w:r w:rsidR="0031756F" w:rsidRPr="00817B9F">
        <w:t xml:space="preserve">of PET/CT </w:t>
      </w:r>
      <w:r w:rsidRPr="00817B9F">
        <w:t xml:space="preserve">in </w:t>
      </w:r>
      <w:r w:rsidR="00C72043" w:rsidRPr="00817B9F">
        <w:t xml:space="preserve">the </w:t>
      </w:r>
      <w:r w:rsidRPr="00817B9F">
        <w:t>restaging of Hodgkin</w:t>
      </w:r>
      <w:r w:rsidR="00275CF1" w:rsidRPr="00817B9F">
        <w:t>’</w:t>
      </w:r>
      <w:r w:rsidRPr="00817B9F">
        <w:t>s disease, non-Hodgkin lymphoma</w:t>
      </w:r>
      <w:r w:rsidR="00275CF1" w:rsidRPr="00817B9F">
        <w:t>,</w:t>
      </w:r>
      <w:r w:rsidRPr="00817B9F">
        <w:t xml:space="preserve"> and colorectal carcinoma.</w:t>
      </w:r>
    </w:p>
    <w:p w14:paraId="0B33E5DB" w14:textId="7BE61699" w:rsidR="00A55C21" w:rsidRPr="00817B9F" w:rsidRDefault="00A55C21" w:rsidP="00ED68D5">
      <w:pPr>
        <w:pStyle w:val="NumberedParagraphs"/>
      </w:pPr>
      <w:r w:rsidRPr="00817B9F">
        <w:t xml:space="preserve">Langer </w:t>
      </w:r>
      <w:r w:rsidR="006F2F51" w:rsidRPr="00817B9F">
        <w:t>(2010)</w:t>
      </w:r>
      <w:r w:rsidRPr="00817B9F">
        <w:t xml:space="preserve"> assessed a variety of studies o</w:t>
      </w:r>
      <w:r w:rsidR="00C72043" w:rsidRPr="00817B9F">
        <w:t>n</w:t>
      </w:r>
      <w:r w:rsidRPr="00817B9F">
        <w:t xml:space="preserve"> the use of PET</w:t>
      </w:r>
      <w:r w:rsidR="006F2F51" w:rsidRPr="00817B9F">
        <w:t>/</w:t>
      </w:r>
      <w:r w:rsidRPr="00817B9F">
        <w:t>CT in oncology</w:t>
      </w:r>
      <w:r w:rsidR="00A81436" w:rsidRPr="00817B9F">
        <w:t xml:space="preserve">, finding </w:t>
      </w:r>
      <w:r w:rsidRPr="00817B9F">
        <w:t xml:space="preserve">the strongest evidence of cost-effectiveness for </w:t>
      </w:r>
      <w:r w:rsidR="005E7CFF" w:rsidRPr="00817B9F">
        <w:t>non-small cell lung cancer</w:t>
      </w:r>
      <w:r w:rsidRPr="00817B9F">
        <w:t>.</w:t>
      </w:r>
      <w:r w:rsidRPr="00817B9F">
        <w:rPr>
          <w:rStyle w:val="FootnoteReference"/>
        </w:rPr>
        <w:t xml:space="preserve"> </w:t>
      </w:r>
      <w:r w:rsidR="006F2F51" w:rsidRPr="00817B9F">
        <w:rPr>
          <w:rStyle w:val="FootnoteReference"/>
        </w:rPr>
        <w:footnoteReference w:id="225"/>
      </w:r>
      <w:r w:rsidRPr="00817B9F">
        <w:t xml:space="preserve"> More generally, they concluded that PET</w:t>
      </w:r>
      <w:r w:rsidR="00116619" w:rsidRPr="00817B9F">
        <w:t>/CT</w:t>
      </w:r>
      <w:r w:rsidRPr="00817B9F">
        <w:t xml:space="preserve"> led to improved care and reduced exposure to ineffective treatments and may, therefore, be more generally cost-effective</w:t>
      </w:r>
      <w:r w:rsidR="002C2F84" w:rsidRPr="00817B9F">
        <w:t>. The author noted, however,</w:t>
      </w:r>
      <w:r w:rsidRPr="00817B9F">
        <w:t xml:space="preserve"> that further research is needed for many types of cancer to determine </w:t>
      </w:r>
      <w:r w:rsidR="002C2F84" w:rsidRPr="00817B9F">
        <w:t>the</w:t>
      </w:r>
      <w:r w:rsidRPr="00817B9F">
        <w:t xml:space="preserve"> most cost-effective use </w:t>
      </w:r>
      <w:r w:rsidR="002C2F84" w:rsidRPr="00817B9F">
        <w:t xml:space="preserve">of PET/CT imaging </w:t>
      </w:r>
      <w:r w:rsidRPr="00817B9F">
        <w:t xml:space="preserve">in </w:t>
      </w:r>
      <w:r w:rsidR="002C2F84" w:rsidRPr="00817B9F">
        <w:t>cancer care.</w:t>
      </w:r>
      <w:r w:rsidRPr="00817B9F">
        <w:t xml:space="preserve"> However, like the previously cited study, this review of existing literature was issued in 2010, so more recent research, not yet summarized in the form of a meta-analysis, may </w:t>
      </w:r>
      <w:r w:rsidR="002C2F84" w:rsidRPr="00817B9F">
        <w:t>provide more evidence on the cost-ef</w:t>
      </w:r>
      <w:r w:rsidR="00D655C5" w:rsidRPr="00817B9F">
        <w:t xml:space="preserve">fectiveness of PET/CT in cancer care. </w:t>
      </w:r>
      <w:r w:rsidRPr="00817B9F">
        <w:t>Indeed, a 2016 editorial notes the significant promise of combined PET</w:t>
      </w:r>
      <w:r w:rsidR="000A2FB6" w:rsidRPr="00817B9F">
        <w:t>/</w:t>
      </w:r>
      <w:r w:rsidRPr="00817B9F">
        <w:t>CT for reducing the cost of cancer management by improving the accuracy of both diagnosis and staging.</w:t>
      </w:r>
      <w:r w:rsidR="000A2FB6" w:rsidRPr="00817B9F">
        <w:rPr>
          <w:rStyle w:val="FootnoteReference"/>
        </w:rPr>
        <w:footnoteReference w:id="226"/>
      </w:r>
      <w:r w:rsidRPr="00817B9F">
        <w:t xml:space="preserve"> This improved accuracy </w:t>
      </w:r>
      <w:r w:rsidR="000A2FB6" w:rsidRPr="00817B9F">
        <w:t>may</w:t>
      </w:r>
      <w:r w:rsidRPr="00817B9F">
        <w:t xml:space="preserve"> help to avoid expensive but </w:t>
      </w:r>
      <w:r w:rsidR="000A2FB6" w:rsidRPr="00817B9F">
        <w:t>ineffective</w:t>
      </w:r>
      <w:r w:rsidRPr="00817B9F">
        <w:t xml:space="preserve"> treatment and </w:t>
      </w:r>
      <w:r w:rsidR="000A2FB6" w:rsidRPr="00817B9F">
        <w:t xml:space="preserve">the </w:t>
      </w:r>
      <w:r w:rsidRPr="00817B9F">
        <w:t>associated side effects.</w:t>
      </w:r>
    </w:p>
    <w:p w14:paraId="33360A6F" w14:textId="6E022089" w:rsidR="00A73361" w:rsidRPr="00817B9F" w:rsidRDefault="00A73361" w:rsidP="00606EFA">
      <w:pPr>
        <w:pStyle w:val="Heading4"/>
      </w:pPr>
      <w:r w:rsidRPr="00817B9F">
        <w:t>Computed Tomography</w:t>
      </w:r>
    </w:p>
    <w:p w14:paraId="3B3B043D" w14:textId="4F5B3CCC" w:rsidR="00A73361" w:rsidRPr="00817B9F" w:rsidRDefault="00A73361" w:rsidP="003D1FD5">
      <w:pPr>
        <w:pStyle w:val="NumberedParagraphs"/>
      </w:pPr>
      <w:r w:rsidRPr="00817B9F">
        <w:t xml:space="preserve">Regular CT </w:t>
      </w:r>
      <w:r w:rsidR="003D1FD5" w:rsidRPr="00817B9F">
        <w:t>imaging</w:t>
      </w:r>
      <w:r w:rsidRPr="00817B9F">
        <w:t xml:space="preserve"> has been widely recommended as a screening technique for current </w:t>
      </w:r>
      <w:r w:rsidR="005B7DCF" w:rsidRPr="00817B9F">
        <w:t>and</w:t>
      </w:r>
      <w:r w:rsidRPr="00817B9F">
        <w:t xml:space="preserve"> former regular smokers. Specifically, the U.S. Preventive </w:t>
      </w:r>
      <w:r w:rsidR="0011342E" w:rsidRPr="00817B9F">
        <w:t xml:space="preserve">Services </w:t>
      </w:r>
      <w:r w:rsidRPr="00817B9F">
        <w:t xml:space="preserve">Task Force </w:t>
      </w:r>
      <w:r w:rsidR="0011342E" w:rsidRPr="00817B9F">
        <w:t>g</w:t>
      </w:r>
      <w:r w:rsidRPr="00817B9F">
        <w:t>uideline, most recently updated in March 2021, recommends that adults aged 50-80 with a 20 pack-year smoking history (</w:t>
      </w:r>
      <w:r w:rsidR="00AD2800" w:rsidRPr="00817B9F">
        <w:rPr>
          <w:i/>
          <w:iCs/>
        </w:rPr>
        <w:t>i.e.</w:t>
      </w:r>
      <w:r w:rsidR="00AD2800" w:rsidRPr="00817B9F">
        <w:t xml:space="preserve">, </w:t>
      </w:r>
      <w:r w:rsidRPr="00817B9F">
        <w:t>20 years of smoking one pack</w:t>
      </w:r>
      <w:r w:rsidR="00AD2800" w:rsidRPr="00817B9F">
        <w:t xml:space="preserve"> of cigarettes per </w:t>
      </w:r>
      <w:r w:rsidRPr="00817B9F">
        <w:t xml:space="preserve">day or equivalent) who are current smokers or who have quit </w:t>
      </w:r>
      <w:r w:rsidR="00AD2800" w:rsidRPr="00817B9F">
        <w:t xml:space="preserve">during </w:t>
      </w:r>
      <w:r w:rsidRPr="00817B9F">
        <w:t xml:space="preserve">the last 15 years should undergo annual low-dose CT </w:t>
      </w:r>
      <w:r w:rsidRPr="00817B9F">
        <w:lastRenderedPageBreak/>
        <w:t>screening.</w:t>
      </w:r>
      <w:r w:rsidRPr="00817B9F">
        <w:rPr>
          <w:rStyle w:val="FootnoteReference"/>
        </w:rPr>
        <w:footnoteReference w:id="227"/>
      </w:r>
      <w:r w:rsidRPr="00817B9F">
        <w:t xml:space="preserve"> This guideline continues recommendations that have been </w:t>
      </w:r>
      <w:r w:rsidR="00AD2800" w:rsidRPr="00817B9F">
        <w:t xml:space="preserve">in </w:t>
      </w:r>
      <w:r w:rsidRPr="00817B9F">
        <w:t>effect since a 2010 National Cancer Institute</w:t>
      </w:r>
      <w:r w:rsidR="00590FD5" w:rsidRPr="00817B9F">
        <w:t>-</w:t>
      </w:r>
      <w:r w:rsidRPr="00817B9F">
        <w:t xml:space="preserve">sponsored study of </w:t>
      </w:r>
      <w:r w:rsidR="008D5596" w:rsidRPr="00817B9F">
        <w:t xml:space="preserve">more than </w:t>
      </w:r>
      <w:r w:rsidRPr="00817B9F">
        <w:t>53,000 individuals found that annual CT scanning of current and former smokers reduced the risk of death by 20 percent.</w:t>
      </w:r>
      <w:r w:rsidRPr="00817B9F">
        <w:rPr>
          <w:rStyle w:val="FootnoteReference"/>
        </w:rPr>
        <w:footnoteReference w:id="228"/>
      </w:r>
    </w:p>
    <w:p w14:paraId="621E6FAD" w14:textId="30959173" w:rsidR="00A73361" w:rsidRPr="00817B9F" w:rsidRDefault="00A73361" w:rsidP="00B37CBC">
      <w:pPr>
        <w:pStyle w:val="NumberedParagraphs"/>
      </w:pPr>
      <w:r w:rsidRPr="00817B9F">
        <w:t>Recently, a multidisciplinary international panel evaluated the efficacy of CT scanning for management of patients with C</w:t>
      </w:r>
      <w:r w:rsidR="00A55C21" w:rsidRPr="00817B9F">
        <w:t>OVID</w:t>
      </w:r>
      <w:r w:rsidRPr="00817B9F">
        <w:t>-19.</w:t>
      </w:r>
      <w:r w:rsidRPr="00817B9F">
        <w:rPr>
          <w:rStyle w:val="FootnoteReference"/>
        </w:rPr>
        <w:footnoteReference w:id="229"/>
      </w:r>
      <w:r w:rsidRPr="00817B9F">
        <w:t xml:space="preserve"> The panel agreed that imaging with CT is indicated for patients with C</w:t>
      </w:r>
      <w:r w:rsidR="00A55C21" w:rsidRPr="00817B9F">
        <w:t>OVID</w:t>
      </w:r>
      <w:r w:rsidRPr="00817B9F">
        <w:t>-19 and worsening respiratory status</w:t>
      </w:r>
      <w:r w:rsidR="001D4338" w:rsidRPr="00817B9F">
        <w:t>,</w:t>
      </w:r>
      <w:r w:rsidRPr="00817B9F">
        <w:t xml:space="preserve"> as well as patients who are mildly ill but at risk for disease progression. They also recommend CT imaging as a method to triage patients in a resource-constrained environment.</w:t>
      </w:r>
    </w:p>
    <w:p w14:paraId="0623DB79" w14:textId="77777777" w:rsidR="00ED68D5" w:rsidRPr="00817B9F" w:rsidRDefault="00ED68D5" w:rsidP="005F25AD">
      <w:pPr>
        <w:pStyle w:val="Heading4"/>
      </w:pPr>
      <w:r w:rsidRPr="00817B9F">
        <w:t xml:space="preserve">Magnetic Resonance Imaging </w:t>
      </w:r>
    </w:p>
    <w:p w14:paraId="28A75D2B" w14:textId="254AD30A" w:rsidR="00ED68D5" w:rsidRPr="00817B9F" w:rsidRDefault="00ED68D5" w:rsidP="00ED68D5">
      <w:pPr>
        <w:pStyle w:val="NumberedParagraphs"/>
      </w:pPr>
      <w:r w:rsidRPr="00817B9F">
        <w:t xml:space="preserve">Redd </w:t>
      </w:r>
      <w:r w:rsidRPr="00817B9F">
        <w:rPr>
          <w:i/>
          <w:iCs/>
        </w:rPr>
        <w:t>et al.</w:t>
      </w:r>
      <w:r w:rsidRPr="00817B9F">
        <w:t xml:space="preserve"> (2015) assess</w:t>
      </w:r>
      <w:r w:rsidR="00F94D9E" w:rsidRPr="00817B9F">
        <w:t>ed</w:t>
      </w:r>
      <w:r w:rsidRPr="00817B9F">
        <w:t xml:space="preserve"> the effect of MRI utilization on subsequent hospitalization and length of stay.</w:t>
      </w:r>
      <w:r w:rsidRPr="00817B9F">
        <w:rPr>
          <w:rStyle w:val="FootnoteReference"/>
        </w:rPr>
        <w:footnoteReference w:id="230"/>
      </w:r>
      <w:r w:rsidRPr="00817B9F">
        <w:t xml:space="preserve"> The authors measure</w:t>
      </w:r>
      <w:r w:rsidR="00F94D9E" w:rsidRPr="00817B9F">
        <w:t>d</w:t>
      </w:r>
      <w:r w:rsidRPr="00817B9F">
        <w:t xml:space="preserve"> the effect of locating an always-accessible MRI in the emergency department of a hospital on changes in emergency MRI utilization and its effect on resource utilization for two classes of patients presenting in the emergency department. The authors found that locating an MRI in the emergency department of a trauma center increased MRI utilization by 3</w:t>
      </w:r>
      <w:r w:rsidR="006F0CE7" w:rsidRPr="00817B9F">
        <w:t>8</w:t>
      </w:r>
      <w:r w:rsidRPr="00817B9F">
        <w:t xml:space="preserve"> percent for rule-out stroke cases and by 51 percent for neurology consults. </w:t>
      </w:r>
      <w:r w:rsidRPr="00817B9F">
        <w:lastRenderedPageBreak/>
        <w:t xml:space="preserve">Subsequent hospital admission of these patients declined by 17 percent for rule-out stroke cases, while remaining unchanged </w:t>
      </w:r>
      <w:r w:rsidR="00FB0715" w:rsidRPr="00817B9F">
        <w:t>for</w:t>
      </w:r>
      <w:r w:rsidRPr="00817B9F">
        <w:t xml:space="preserve"> neurology consults. Patients spent more time in the emergency department, but patients who were hospitalized had shorter lengths of stay. Moreover, utilization of MRI imaging during any subsequent inpatient stay declined significantly for both cohorts.</w:t>
      </w:r>
    </w:p>
    <w:p w14:paraId="20E4D749" w14:textId="618FA50D" w:rsidR="00ED68D5" w:rsidRPr="00817B9F" w:rsidRDefault="00ED68D5" w:rsidP="00ED68D5">
      <w:pPr>
        <w:pStyle w:val="NumberedParagraphs"/>
      </w:pPr>
      <w:r w:rsidRPr="00817B9F">
        <w:t xml:space="preserve">Kraus </w:t>
      </w:r>
      <w:r w:rsidRPr="00817B9F">
        <w:rPr>
          <w:i/>
          <w:iCs/>
        </w:rPr>
        <w:t xml:space="preserve">et al. </w:t>
      </w:r>
      <w:r w:rsidRPr="00817B9F">
        <w:t>(2021) note that some patients initially diagnosed with soft tissue sarcomas of the extremity or trunk experience a recurrence that generally predicts substantially worse outcomes unless detected early.</w:t>
      </w:r>
      <w:r w:rsidRPr="00817B9F">
        <w:rPr>
          <w:rStyle w:val="FootnoteReference"/>
        </w:rPr>
        <w:footnoteReference w:id="231"/>
      </w:r>
      <w:r w:rsidRPr="00817B9F">
        <w:t xml:space="preserve"> A comparison of MRI</w:t>
      </w:r>
      <w:r w:rsidR="00144462" w:rsidRPr="00817B9F">
        <w:t>s</w:t>
      </w:r>
      <w:r w:rsidRPr="00817B9F">
        <w:t xml:space="preserve"> with clinical examination</w:t>
      </w:r>
      <w:r w:rsidR="00144462" w:rsidRPr="00817B9F">
        <w:t>s</w:t>
      </w:r>
      <w:r w:rsidRPr="00817B9F">
        <w:t xml:space="preserve"> to detect recurrence found that MRI diagnostics were superior, but the study recommends using both techniques as complementary approaches. </w:t>
      </w:r>
    </w:p>
    <w:p w14:paraId="34BA76A9" w14:textId="77777777" w:rsidR="00A73361" w:rsidRPr="00817B9F" w:rsidRDefault="00A73361" w:rsidP="00606EFA">
      <w:pPr>
        <w:pStyle w:val="Heading4"/>
      </w:pPr>
      <w:r w:rsidRPr="00817B9F">
        <w:t>Trends in Utilization of and Spending on Imaging</w:t>
      </w:r>
    </w:p>
    <w:p w14:paraId="337CC4B9" w14:textId="66B03E9C" w:rsidR="00566D7A" w:rsidRPr="00817B9F" w:rsidRDefault="00EF50F4" w:rsidP="0014681F">
      <w:pPr>
        <w:pStyle w:val="NumberedParagraphs"/>
      </w:pPr>
      <w:r w:rsidRPr="00817B9F">
        <w:t>As we noted above, a large volume of literature has document</w:t>
      </w:r>
      <w:r w:rsidR="001B3693" w:rsidRPr="00817B9F">
        <w:t xml:space="preserve">ed trends in </w:t>
      </w:r>
      <w:r w:rsidR="00F94D9E" w:rsidRPr="00817B9F">
        <w:t xml:space="preserve">the </w:t>
      </w:r>
      <w:r w:rsidR="001B3693" w:rsidRPr="00817B9F">
        <w:t>utilization of and expenditures on diagnostic imaging</w:t>
      </w:r>
      <w:r w:rsidR="005E160E" w:rsidRPr="00817B9F">
        <w:t xml:space="preserve">. This literature has generally concluded that </w:t>
      </w:r>
      <w:r w:rsidR="005D56F3" w:rsidRPr="00817B9F">
        <w:t>expenditures on imaging services have grown more slowly (or even declined) relative to spending on other types of</w:t>
      </w:r>
      <w:r w:rsidRPr="00817B9F">
        <w:t xml:space="preserve"> </w:t>
      </w:r>
      <w:r w:rsidR="00566D7A" w:rsidRPr="00817B9F">
        <w:t xml:space="preserve">health care services. </w:t>
      </w:r>
    </w:p>
    <w:p w14:paraId="3F4DF52F" w14:textId="0B554F14" w:rsidR="00A73361" w:rsidRPr="00817B9F" w:rsidRDefault="00A73361" w:rsidP="00942DEA">
      <w:pPr>
        <w:pStyle w:val="NumberedParagraphs"/>
      </w:pPr>
      <w:r w:rsidRPr="00817B9F">
        <w:t xml:space="preserve">Lee </w:t>
      </w:r>
      <w:r w:rsidRPr="00817B9F">
        <w:rPr>
          <w:i/>
        </w:rPr>
        <w:t>et al.</w:t>
      </w:r>
      <w:r w:rsidR="009A2C22" w:rsidRPr="00817B9F">
        <w:rPr>
          <w:i/>
          <w:iCs/>
        </w:rPr>
        <w:t xml:space="preserve"> </w:t>
      </w:r>
      <w:r w:rsidR="009A2C22" w:rsidRPr="00817B9F">
        <w:t>(2013)</w:t>
      </w:r>
      <w:r w:rsidRPr="00817B9F">
        <w:t xml:space="preserve"> compared trends in Medicare spending on imaging and non-imaging services.</w:t>
      </w:r>
      <w:r w:rsidRPr="00817B9F">
        <w:rPr>
          <w:rStyle w:val="FootnoteReference"/>
        </w:rPr>
        <w:t xml:space="preserve"> </w:t>
      </w:r>
      <w:r w:rsidR="009A2C22" w:rsidRPr="00817B9F">
        <w:rPr>
          <w:rStyle w:val="FootnoteReference"/>
        </w:rPr>
        <w:footnoteReference w:id="232"/>
      </w:r>
      <w:r w:rsidRPr="00817B9F">
        <w:t xml:space="preserve"> </w:t>
      </w:r>
      <w:r w:rsidR="009A2C22" w:rsidRPr="00817B9F">
        <w:t>The authors</w:t>
      </w:r>
      <w:r w:rsidRPr="00817B9F">
        <w:t xml:space="preserve"> found that between 2000 and 2006, spending on </w:t>
      </w:r>
      <w:r w:rsidR="009A2C22" w:rsidRPr="00817B9F">
        <w:t xml:space="preserve">diagnostic </w:t>
      </w:r>
      <w:r w:rsidRPr="00817B9F">
        <w:t xml:space="preserve">imaging grew at nearly double the rate </w:t>
      </w:r>
      <w:r w:rsidR="00F94D9E" w:rsidRPr="00817B9F">
        <w:t>of</w:t>
      </w:r>
      <w:r w:rsidRPr="00817B9F">
        <w:t xml:space="preserve"> non-imaging </w:t>
      </w:r>
      <w:r w:rsidR="009A2C22" w:rsidRPr="00817B9F">
        <w:t xml:space="preserve">services </w:t>
      </w:r>
      <w:r w:rsidRPr="00817B9F">
        <w:t>(</w:t>
      </w:r>
      <w:r w:rsidR="009A2C22" w:rsidRPr="00817B9F">
        <w:t>a</w:t>
      </w:r>
      <w:r w:rsidR="0010615E" w:rsidRPr="00817B9F">
        <w:t xml:space="preserve"> </w:t>
      </w:r>
      <w:r w:rsidRPr="00817B9F">
        <w:t>12 percent</w:t>
      </w:r>
      <w:r w:rsidR="009A2C22" w:rsidRPr="00817B9F">
        <w:t xml:space="preserve"> increase for imaging compared to a </w:t>
      </w:r>
      <w:r w:rsidR="00F403AA" w:rsidRPr="00817B9F">
        <w:t>6.8</w:t>
      </w:r>
      <w:r w:rsidR="009A2C22" w:rsidRPr="00817B9F">
        <w:t xml:space="preserve"> percent </w:t>
      </w:r>
      <w:r w:rsidR="00F403AA" w:rsidRPr="00817B9F">
        <w:t xml:space="preserve">increase </w:t>
      </w:r>
      <w:r w:rsidR="009A2C22" w:rsidRPr="00817B9F">
        <w:t>for other services</w:t>
      </w:r>
      <w:r w:rsidRPr="00817B9F">
        <w:t xml:space="preserve">). However, </w:t>
      </w:r>
      <w:r w:rsidR="009A2C22" w:rsidRPr="00817B9F">
        <w:t>between</w:t>
      </w:r>
      <w:r w:rsidRPr="00817B9F">
        <w:t xml:space="preserve"> 2007 </w:t>
      </w:r>
      <w:r w:rsidR="009A2C22" w:rsidRPr="00817B9F">
        <w:t>and</w:t>
      </w:r>
      <w:r w:rsidRPr="00817B9F">
        <w:t xml:space="preserve"> 2011</w:t>
      </w:r>
      <w:r w:rsidR="0019549D" w:rsidRPr="00817B9F">
        <w:t>,</w:t>
      </w:r>
      <w:r w:rsidRPr="00817B9F">
        <w:t xml:space="preserve"> </w:t>
      </w:r>
      <w:r w:rsidR="009A2C22" w:rsidRPr="00817B9F">
        <w:t xml:space="preserve">Medicare spending on diagnostic </w:t>
      </w:r>
      <w:r w:rsidRPr="00817B9F">
        <w:t xml:space="preserve">imaging spending </w:t>
      </w:r>
      <w:r w:rsidR="009A2C22" w:rsidRPr="00817B9F">
        <w:t>fe</w:t>
      </w:r>
      <w:r w:rsidR="00C219C9" w:rsidRPr="00817B9F">
        <w:t>ll</w:t>
      </w:r>
      <w:r w:rsidRPr="00817B9F">
        <w:t xml:space="preserve"> by </w:t>
      </w:r>
      <w:r w:rsidR="0019549D" w:rsidRPr="00817B9F">
        <w:t>3.5</w:t>
      </w:r>
      <w:r w:rsidRPr="00817B9F">
        <w:t xml:space="preserve"> percent</w:t>
      </w:r>
      <w:r w:rsidR="0019549D" w:rsidRPr="00817B9F">
        <w:t>,</w:t>
      </w:r>
      <w:r w:rsidRPr="00817B9F">
        <w:t xml:space="preserve"> while </w:t>
      </w:r>
      <w:r w:rsidR="0019549D" w:rsidRPr="00817B9F">
        <w:t xml:space="preserve">Medicare </w:t>
      </w:r>
      <w:r w:rsidRPr="00817B9F">
        <w:t>spending on other services increased by 3.6 percent.</w:t>
      </w:r>
      <w:r w:rsidR="00B72D57" w:rsidRPr="00817B9F">
        <w:t xml:space="preserve"> </w:t>
      </w:r>
      <w:r w:rsidRPr="00817B9F">
        <w:t xml:space="preserve">Similarly, Kassavin </w:t>
      </w:r>
      <w:r w:rsidRPr="00817B9F">
        <w:rPr>
          <w:i/>
        </w:rPr>
        <w:t>et al</w:t>
      </w:r>
      <w:r w:rsidR="00853DE0" w:rsidRPr="00817B9F">
        <w:t>. (2021)</w:t>
      </w:r>
      <w:r w:rsidRPr="00817B9F">
        <w:rPr>
          <w:rStyle w:val="FootnoteReference"/>
        </w:rPr>
        <w:t xml:space="preserve"> </w:t>
      </w:r>
      <w:r w:rsidRPr="00817B9F">
        <w:t xml:space="preserve">found that the annual growth rate </w:t>
      </w:r>
      <w:r w:rsidR="00F94D9E" w:rsidRPr="00817B9F">
        <w:t>of</w:t>
      </w:r>
      <w:r w:rsidRPr="00817B9F">
        <w:t xml:space="preserve"> Medicare Part B spending between 2009 and 2019 </w:t>
      </w:r>
      <w:r w:rsidR="00DA74B4" w:rsidRPr="00817B9F">
        <w:t>f</w:t>
      </w:r>
      <w:r w:rsidRPr="00817B9F">
        <w:t xml:space="preserve">or all imaging services was </w:t>
      </w:r>
      <w:r w:rsidR="0036521D" w:rsidRPr="00817B9F">
        <w:t xml:space="preserve">negative </w:t>
      </w:r>
      <w:r w:rsidR="00F43209" w:rsidRPr="00817B9F">
        <w:t>3</w:t>
      </w:r>
      <w:r w:rsidR="0036521D" w:rsidRPr="00817B9F">
        <w:t>.</w:t>
      </w:r>
      <w:r w:rsidR="00755F01" w:rsidRPr="00817B9F">
        <w:t>0</w:t>
      </w:r>
      <w:r w:rsidR="00F43209" w:rsidRPr="00817B9F">
        <w:t xml:space="preserve"> percent</w:t>
      </w:r>
      <w:r w:rsidR="00B42028" w:rsidRPr="00817B9F">
        <w:t>.</w:t>
      </w:r>
      <w:r w:rsidR="00853DE0" w:rsidRPr="00817B9F">
        <w:rPr>
          <w:rStyle w:val="FootnoteReference"/>
        </w:rPr>
        <w:footnoteReference w:id="233"/>
      </w:r>
      <w:r w:rsidRPr="00817B9F">
        <w:t xml:space="preserve"> </w:t>
      </w:r>
      <w:r w:rsidR="00DA74B4" w:rsidRPr="00817B9F">
        <w:t>The reduction in Medicare</w:t>
      </w:r>
      <w:r w:rsidRPr="00817B9F">
        <w:t xml:space="preserve"> </w:t>
      </w:r>
      <w:r w:rsidR="00B42028" w:rsidRPr="00817B9F">
        <w:t xml:space="preserve">spending for imaging services </w:t>
      </w:r>
      <w:r w:rsidR="00B501F8" w:rsidRPr="00817B9F">
        <w:t>was</w:t>
      </w:r>
      <w:r w:rsidRPr="00817B9F">
        <w:t xml:space="preserve"> contrast</w:t>
      </w:r>
      <w:r w:rsidR="00B501F8" w:rsidRPr="00817B9F">
        <w:t xml:space="preserve">ed with </w:t>
      </w:r>
      <w:r w:rsidR="009215E0" w:rsidRPr="00817B9F">
        <w:t xml:space="preserve">increases </w:t>
      </w:r>
      <w:r w:rsidR="009215E0" w:rsidRPr="00817B9F">
        <w:lastRenderedPageBreak/>
        <w:t xml:space="preserve">in </w:t>
      </w:r>
      <w:r w:rsidR="003231CD" w:rsidRPr="00817B9F">
        <w:t xml:space="preserve">Medicare spending on </w:t>
      </w:r>
      <w:r w:rsidR="00314CCF" w:rsidRPr="00817B9F">
        <w:t>other services, including prescription drugs (</w:t>
      </w:r>
      <w:r w:rsidR="00755F01" w:rsidRPr="00817B9F">
        <w:t>5.9</w:t>
      </w:r>
      <w:r w:rsidR="00406DBB" w:rsidRPr="00817B9F">
        <w:t xml:space="preserve"> percent</w:t>
      </w:r>
      <w:r w:rsidR="00471C04" w:rsidRPr="00817B9F">
        <w:t xml:space="preserve">) and physicians’ services </w:t>
      </w:r>
      <w:r w:rsidR="00406DBB" w:rsidRPr="00817B9F">
        <w:t>(</w:t>
      </w:r>
      <w:r w:rsidR="00755F01" w:rsidRPr="00817B9F">
        <w:t>0.9</w:t>
      </w:r>
      <w:r w:rsidR="00406DBB" w:rsidRPr="00817B9F">
        <w:t xml:space="preserve"> percent</w:t>
      </w:r>
      <w:r w:rsidR="00471C04" w:rsidRPr="00817B9F">
        <w:t>).</w:t>
      </w:r>
      <w:r w:rsidR="00406DBB" w:rsidRPr="00817B9F">
        <w:t xml:space="preserve"> </w:t>
      </w:r>
      <w:r w:rsidR="00414F25" w:rsidRPr="00817B9F">
        <w:t xml:space="preserve">The findings of </w:t>
      </w:r>
      <w:r w:rsidRPr="00817B9F">
        <w:t xml:space="preserve">Rosenkrantz </w:t>
      </w:r>
      <w:r w:rsidRPr="00817B9F">
        <w:rPr>
          <w:i/>
        </w:rPr>
        <w:t>et al.</w:t>
      </w:r>
      <w:r w:rsidR="00414F25" w:rsidRPr="00817B9F">
        <w:rPr>
          <w:i/>
          <w:iCs/>
        </w:rPr>
        <w:t xml:space="preserve"> </w:t>
      </w:r>
      <w:r w:rsidR="00414F25" w:rsidRPr="00817B9F">
        <w:t>(2015) are consistent with</w:t>
      </w:r>
      <w:r w:rsidR="00C3558A" w:rsidRPr="00817B9F">
        <w:t xml:space="preserve"> the</w:t>
      </w:r>
      <w:r w:rsidR="00175A54" w:rsidRPr="00817B9F">
        <w:t>se</w:t>
      </w:r>
      <w:r w:rsidR="00C3558A" w:rsidRPr="00817B9F">
        <w:t xml:space="preserve"> </w:t>
      </w:r>
      <w:r w:rsidR="00175A54" w:rsidRPr="00817B9F">
        <w:t>two</w:t>
      </w:r>
      <w:r w:rsidR="00C3558A" w:rsidRPr="00817B9F">
        <w:t xml:space="preserve"> studies</w:t>
      </w:r>
      <w:r w:rsidR="006E4FD1" w:rsidRPr="00817B9F">
        <w:t>.</w:t>
      </w:r>
      <w:r w:rsidR="00414F25" w:rsidRPr="00817B9F">
        <w:rPr>
          <w:rStyle w:val="FootnoteReference"/>
        </w:rPr>
        <w:footnoteReference w:id="234"/>
      </w:r>
      <w:r w:rsidR="00414F25" w:rsidRPr="00817B9F">
        <w:t xml:space="preserve"> </w:t>
      </w:r>
      <w:r w:rsidR="00802D66" w:rsidRPr="00817B9F">
        <w:t>Using data on Medicare expenditures on imaging between 2004 and 201</w:t>
      </w:r>
      <w:r w:rsidR="00FA0C82" w:rsidRPr="00817B9F">
        <w:t>2</w:t>
      </w:r>
      <w:r w:rsidR="00802D66" w:rsidRPr="00817B9F">
        <w:t xml:space="preserve">, the </w:t>
      </w:r>
      <w:r w:rsidR="00B7322D" w:rsidRPr="00817B9F">
        <w:t xml:space="preserve">authors find that </w:t>
      </w:r>
      <w:r w:rsidRPr="00817B9F">
        <w:t>average per beneficiary Medicare Part B imaging spending peaked in 2006 and then decreased by 4.4 percent annually between 2006 and 2012. The</w:t>
      </w:r>
      <w:r w:rsidR="0004441E" w:rsidRPr="00817B9F">
        <w:t xml:space="preserve"> authors</w:t>
      </w:r>
      <w:r w:rsidRPr="00817B9F">
        <w:t xml:space="preserve"> also found that this decline was experienced </w:t>
      </w:r>
      <w:r w:rsidR="00E14126" w:rsidRPr="00817B9F">
        <w:t>in</w:t>
      </w:r>
      <w:r w:rsidRPr="00817B9F">
        <w:t xml:space="preserve"> nearly all states.</w:t>
      </w:r>
    </w:p>
    <w:p w14:paraId="2CC3E936" w14:textId="5F0465FD" w:rsidR="00A73361" w:rsidRPr="00817B9F" w:rsidRDefault="00A73361" w:rsidP="00997C46">
      <w:pPr>
        <w:pStyle w:val="NumberedParagraphs"/>
      </w:pPr>
      <w:r w:rsidRPr="00817B9F">
        <w:t xml:space="preserve">Hong </w:t>
      </w:r>
      <w:r w:rsidRPr="00817B9F">
        <w:rPr>
          <w:i/>
        </w:rPr>
        <w:t>et al.</w:t>
      </w:r>
      <w:r w:rsidR="003F1306" w:rsidRPr="00817B9F">
        <w:t xml:space="preserve"> (20</w:t>
      </w:r>
      <w:r w:rsidR="00384784" w:rsidRPr="00817B9F">
        <w:t>20)</w:t>
      </w:r>
      <w:r w:rsidRPr="00817B9F">
        <w:rPr>
          <w:rStyle w:val="FootnoteReference"/>
        </w:rPr>
        <w:t xml:space="preserve"> </w:t>
      </w:r>
      <w:r w:rsidRPr="00817B9F">
        <w:t xml:space="preserve">assessed trends in imaging utilization between 2003 and 2016 </w:t>
      </w:r>
      <w:r w:rsidR="00384784" w:rsidRPr="00817B9F">
        <w:t xml:space="preserve">for both </w:t>
      </w:r>
      <w:r w:rsidR="00CE6053" w:rsidRPr="00817B9F">
        <w:t xml:space="preserve">Original </w:t>
      </w:r>
      <w:r w:rsidR="00384784" w:rsidRPr="00817B9F">
        <w:t>Medicare beneficiaries and commercially insured patients.</w:t>
      </w:r>
      <w:r w:rsidR="00384784" w:rsidRPr="00817B9F">
        <w:rPr>
          <w:rStyle w:val="FootnoteReference"/>
        </w:rPr>
        <w:footnoteReference w:id="235"/>
      </w:r>
      <w:r w:rsidRPr="00817B9F">
        <w:t xml:space="preserve"> The</w:t>
      </w:r>
      <w:r w:rsidR="00384784" w:rsidRPr="00817B9F">
        <w:t xml:space="preserve"> authors</w:t>
      </w:r>
      <w:r w:rsidRPr="00817B9F">
        <w:t xml:space="preserve"> found that utilization for both populations </w:t>
      </w:r>
      <w:r w:rsidR="00A210D8" w:rsidRPr="00817B9F">
        <w:t xml:space="preserve">increased </w:t>
      </w:r>
      <w:r w:rsidRPr="00817B9F">
        <w:t>through 2010</w:t>
      </w:r>
      <w:r w:rsidR="00384784" w:rsidRPr="00817B9F">
        <w:t xml:space="preserve"> but </w:t>
      </w:r>
      <w:r w:rsidRPr="00817B9F">
        <w:t>began to decline</w:t>
      </w:r>
      <w:r w:rsidR="00A210D8" w:rsidRPr="00817B9F">
        <w:t xml:space="preserve"> after that</w:t>
      </w:r>
      <w:r w:rsidRPr="00817B9F">
        <w:t>.</w:t>
      </w:r>
      <w:r w:rsidRPr="00817B9F">
        <w:rPr>
          <w:rStyle w:val="FootnoteReference"/>
        </w:rPr>
        <w:footnoteReference w:id="236"/>
      </w:r>
      <w:r w:rsidRPr="00817B9F">
        <w:t xml:space="preserve"> They </w:t>
      </w:r>
      <w:r w:rsidR="003829DA" w:rsidRPr="00817B9F">
        <w:t>also document</w:t>
      </w:r>
      <w:r w:rsidRPr="00817B9F">
        <w:t xml:space="preserve"> consistent trends </w:t>
      </w:r>
      <w:r w:rsidR="003829DA" w:rsidRPr="00817B9F">
        <w:t>in</w:t>
      </w:r>
      <w:r w:rsidRPr="00817B9F">
        <w:t xml:space="preserve"> the Medicare and commercially insured populations, though utilization levels were always higher among </w:t>
      </w:r>
      <w:r w:rsidR="006D4ED2" w:rsidRPr="00817B9F">
        <w:t>Medicare beneficiaries than the commercially insured</w:t>
      </w:r>
      <w:r w:rsidRPr="00817B9F">
        <w:t>.</w:t>
      </w:r>
    </w:p>
    <w:p w14:paraId="076A5820" w14:textId="2F847125" w:rsidR="00A73361" w:rsidRPr="00817B9F" w:rsidRDefault="00A73361" w:rsidP="00A73361">
      <w:pPr>
        <w:pStyle w:val="NumberedParagraphs"/>
      </w:pPr>
      <w:r w:rsidRPr="00817B9F">
        <w:t xml:space="preserve">Flaherty </w:t>
      </w:r>
      <w:r w:rsidRPr="00817B9F">
        <w:rPr>
          <w:i/>
        </w:rPr>
        <w:t>et al.</w:t>
      </w:r>
      <w:r w:rsidR="002A6971" w:rsidRPr="00817B9F">
        <w:t xml:space="preserve"> (</w:t>
      </w:r>
      <w:r w:rsidR="00B95120" w:rsidRPr="00817B9F">
        <w:t>2018)</w:t>
      </w:r>
      <w:r w:rsidRPr="00817B9F">
        <w:t xml:space="preserve"> focused specifically on </w:t>
      </w:r>
      <w:r w:rsidR="00D545D2" w:rsidRPr="00817B9F">
        <w:t xml:space="preserve">utilization of health care services for </w:t>
      </w:r>
      <w:r w:rsidRPr="00817B9F">
        <w:t xml:space="preserve">commercially insured </w:t>
      </w:r>
      <w:r w:rsidR="00D545D2" w:rsidRPr="00817B9F">
        <w:t xml:space="preserve">residents of </w:t>
      </w:r>
      <w:r w:rsidRPr="00817B9F">
        <w:t>Massachusetts between 2009 and 2013.</w:t>
      </w:r>
      <w:r w:rsidR="00B95120" w:rsidRPr="00817B9F">
        <w:rPr>
          <w:rStyle w:val="FootnoteReference"/>
        </w:rPr>
        <w:footnoteReference w:id="237"/>
      </w:r>
      <w:r w:rsidRPr="00817B9F">
        <w:t xml:space="preserve"> Using data from the </w:t>
      </w:r>
      <w:r w:rsidR="00D545D2" w:rsidRPr="00817B9F">
        <w:t xml:space="preserve">Massachusetts </w:t>
      </w:r>
      <w:r w:rsidRPr="00817B9F">
        <w:t>APCD</w:t>
      </w:r>
      <w:r w:rsidR="00D545D2" w:rsidRPr="00817B9F">
        <w:t>, the authors</w:t>
      </w:r>
      <w:r w:rsidRPr="00817B9F">
        <w:t xml:space="preserve"> measured trends in imaging and non-imaging utilization and expenditures. </w:t>
      </w:r>
      <w:r w:rsidR="00124054" w:rsidRPr="00817B9F">
        <w:t xml:space="preserve">Utilization per member for imaging services grew by less than one percent </w:t>
      </w:r>
      <w:r w:rsidR="00D723A1" w:rsidRPr="00817B9F">
        <w:t xml:space="preserve">per year </w:t>
      </w:r>
      <w:r w:rsidR="00124054" w:rsidRPr="00817B9F">
        <w:t xml:space="preserve">over the period of the study, while expenditures declined by more than </w:t>
      </w:r>
      <w:r w:rsidR="00467730" w:rsidRPr="00817B9F">
        <w:t>seven</w:t>
      </w:r>
      <w:r w:rsidR="00124054" w:rsidRPr="00817B9F">
        <w:t xml:space="preserve"> percent</w:t>
      </w:r>
      <w:r w:rsidR="00FB5A95" w:rsidRPr="00817B9F">
        <w:t xml:space="preserve"> per year</w:t>
      </w:r>
      <w:r w:rsidR="003B5A7D" w:rsidRPr="00817B9F">
        <w:t>,</w:t>
      </w:r>
      <w:r w:rsidR="00FB5A95" w:rsidRPr="00817B9F">
        <w:t xml:space="preserve"> on average</w:t>
      </w:r>
      <w:r w:rsidR="003B5A7D" w:rsidRPr="00817B9F">
        <w:t>,</w:t>
      </w:r>
      <w:r w:rsidR="00FB5A95" w:rsidRPr="00817B9F">
        <w:t xml:space="preserve"> over the period of study</w:t>
      </w:r>
      <w:r w:rsidR="00124054" w:rsidRPr="00817B9F">
        <w:t xml:space="preserve">. In contrast, </w:t>
      </w:r>
      <w:r w:rsidR="00890804" w:rsidRPr="00817B9F">
        <w:t xml:space="preserve">utilization per member for non-imaging services grew by </w:t>
      </w:r>
      <w:r w:rsidR="00467730" w:rsidRPr="00817B9F">
        <w:t>seven</w:t>
      </w:r>
      <w:r w:rsidR="00890804" w:rsidRPr="00817B9F">
        <w:t xml:space="preserve"> percent </w:t>
      </w:r>
      <w:r w:rsidR="00242F43" w:rsidRPr="00817B9F">
        <w:t xml:space="preserve">per year </w:t>
      </w:r>
      <w:r w:rsidR="00890804" w:rsidRPr="00817B9F">
        <w:t xml:space="preserve">over the study period, corresponding to an increase in expenditures for non-imaging services of </w:t>
      </w:r>
      <w:r w:rsidR="002A68B9" w:rsidRPr="00817B9F">
        <w:t>four</w:t>
      </w:r>
      <w:r w:rsidR="00890804" w:rsidRPr="00817B9F">
        <w:t xml:space="preserve"> percent</w:t>
      </w:r>
      <w:r w:rsidR="003B5A7D" w:rsidRPr="00817B9F">
        <w:t xml:space="preserve"> per year</w:t>
      </w:r>
      <w:r w:rsidR="00890804" w:rsidRPr="00817B9F">
        <w:t xml:space="preserve">. </w:t>
      </w:r>
      <w:r w:rsidRPr="00817B9F">
        <w:t>The</w:t>
      </w:r>
      <w:r w:rsidR="000224AB" w:rsidRPr="00817B9F">
        <w:t xml:space="preserve"> authors</w:t>
      </w:r>
      <w:r w:rsidRPr="00817B9F">
        <w:t xml:space="preserve"> found substantial variation in utilization trends across imaging modalities, with CT and </w:t>
      </w:r>
      <w:r w:rsidR="000224AB" w:rsidRPr="00817B9F">
        <w:t>n</w:t>
      </w:r>
      <w:r w:rsidRPr="00817B9F">
        <w:t xml:space="preserve">uclear medicine showing </w:t>
      </w:r>
      <w:r w:rsidR="000224AB" w:rsidRPr="00817B9F">
        <w:t>declines in utilization</w:t>
      </w:r>
      <w:r w:rsidRPr="00817B9F">
        <w:t>, while X-ray, MRI, PET</w:t>
      </w:r>
      <w:r w:rsidR="00FE48DC" w:rsidRPr="00817B9F">
        <w:t>,</w:t>
      </w:r>
      <w:r w:rsidRPr="00817B9F">
        <w:t xml:space="preserve"> and </w:t>
      </w:r>
      <w:r w:rsidR="000224AB" w:rsidRPr="00817B9F">
        <w:t>u</w:t>
      </w:r>
      <w:r w:rsidRPr="00817B9F">
        <w:t xml:space="preserve">ltrasound </w:t>
      </w:r>
      <w:r w:rsidR="000224AB" w:rsidRPr="00817B9F">
        <w:t xml:space="preserve">showed increases in utilization. </w:t>
      </w:r>
    </w:p>
    <w:p w14:paraId="45F05CF0" w14:textId="10C9F491" w:rsidR="00A73361" w:rsidRPr="00817B9F" w:rsidRDefault="00120580" w:rsidP="00A73361">
      <w:pPr>
        <w:pStyle w:val="NumberedParagraphs"/>
      </w:pPr>
      <w:r w:rsidRPr="00817B9F">
        <w:lastRenderedPageBreak/>
        <w:t>Lastly</w:t>
      </w:r>
      <w:r w:rsidR="00A73361" w:rsidRPr="00817B9F">
        <w:t>, Rosenkrantz and Duszak</w:t>
      </w:r>
      <w:r w:rsidRPr="00817B9F">
        <w:t xml:space="preserve"> (2017)</w:t>
      </w:r>
      <w:r w:rsidR="00A73361" w:rsidRPr="00817B9F">
        <w:t xml:space="preserve"> assessed whether utilization of advanced imaging techniques had any effect on Medicare Shared Savings Program</w:t>
      </w:r>
      <w:r w:rsidR="00DA0063" w:rsidRPr="00817B9F">
        <w:t>-participating</w:t>
      </w:r>
      <w:r w:rsidR="00A73361" w:rsidRPr="00817B9F">
        <w:t xml:space="preserve"> A</w:t>
      </w:r>
      <w:r w:rsidR="00B04E27" w:rsidRPr="00817B9F">
        <w:t xml:space="preserve">ccountable </w:t>
      </w:r>
      <w:r w:rsidR="00A73361" w:rsidRPr="00817B9F">
        <w:t>C</w:t>
      </w:r>
      <w:r w:rsidR="00B04E27" w:rsidRPr="00817B9F">
        <w:t xml:space="preserve">are </w:t>
      </w:r>
      <w:r w:rsidR="00A73361" w:rsidRPr="00817B9F">
        <w:t>O</w:t>
      </w:r>
      <w:r w:rsidR="00B04E27" w:rsidRPr="00817B9F">
        <w:t>r</w:t>
      </w:r>
      <w:r w:rsidR="00BF1E08" w:rsidRPr="00817B9F">
        <w:t>ganization</w:t>
      </w:r>
      <w:r w:rsidR="00A73361" w:rsidRPr="00817B9F">
        <w:t>s’ ability to achieve savings and meet the minimum savings rate necessary to qualify for savings sharing</w:t>
      </w:r>
      <w:r w:rsidR="00C71321" w:rsidRPr="00817B9F">
        <w:t>.</w:t>
      </w:r>
      <w:r w:rsidR="00B026ED" w:rsidRPr="00817B9F">
        <w:rPr>
          <w:rStyle w:val="FootnoteReference"/>
        </w:rPr>
        <w:footnoteReference w:id="238"/>
      </w:r>
      <w:r w:rsidR="00A73361" w:rsidRPr="00817B9F">
        <w:t xml:space="preserve"> Using data on per member utilization of MRI and CT</w:t>
      </w:r>
      <w:r w:rsidR="00C71321" w:rsidRPr="00817B9F">
        <w:t>,</w:t>
      </w:r>
      <w:r w:rsidR="00A73361" w:rsidRPr="00817B9F">
        <w:t xml:space="preserve"> the</w:t>
      </w:r>
      <w:r w:rsidR="00C71321" w:rsidRPr="00817B9F">
        <w:t xml:space="preserve"> </w:t>
      </w:r>
      <w:r w:rsidR="00D178C8" w:rsidRPr="00817B9F">
        <w:t>authors</w:t>
      </w:r>
      <w:r w:rsidR="00A73361" w:rsidRPr="00817B9F">
        <w:t xml:space="preserve"> found that MRI utilization had a small, significant positive effect on A</w:t>
      </w:r>
      <w:r w:rsidR="0009347B" w:rsidRPr="00817B9F">
        <w:t>ccountable Care Organization</w:t>
      </w:r>
      <w:r w:rsidR="0015206B" w:rsidRPr="00817B9F">
        <w:t>s</w:t>
      </w:r>
      <w:r w:rsidR="00A73361" w:rsidRPr="00817B9F">
        <w:t xml:space="preserve">’ achieved savings as well as the probability of achieving the minimum </w:t>
      </w:r>
      <w:r w:rsidR="00735DE3" w:rsidRPr="00817B9F">
        <w:t>savings rate thres</w:t>
      </w:r>
      <w:r w:rsidR="00D17241" w:rsidRPr="00817B9F">
        <w:t>hold.</w:t>
      </w:r>
      <w:r w:rsidR="00A73361" w:rsidRPr="00817B9F">
        <w:t xml:space="preserve"> The</w:t>
      </w:r>
      <w:r w:rsidR="00D17241" w:rsidRPr="00817B9F">
        <w:t>se</w:t>
      </w:r>
      <w:r w:rsidR="00A73361" w:rsidRPr="00817B9F">
        <w:t xml:space="preserve"> finding</w:t>
      </w:r>
      <w:r w:rsidR="00470F7E" w:rsidRPr="00817B9F">
        <w:t>s</w:t>
      </w:r>
      <w:r w:rsidR="00A73361" w:rsidRPr="00817B9F">
        <w:t xml:space="preserve"> indicate that the cost of </w:t>
      </w:r>
      <w:r w:rsidR="00094FF3" w:rsidRPr="00817B9F">
        <w:t>higher</w:t>
      </w:r>
      <w:r w:rsidR="00A73361" w:rsidRPr="00817B9F">
        <w:t xml:space="preserve"> MRI utilization was more than offset by savings in other types of care.</w:t>
      </w:r>
      <w:r w:rsidR="00D17241" w:rsidRPr="00817B9F">
        <w:t xml:space="preserve"> </w:t>
      </w:r>
      <w:r w:rsidR="00094FF3" w:rsidRPr="00817B9F">
        <w:t>However, the authors</w:t>
      </w:r>
      <w:r w:rsidR="00D17241" w:rsidRPr="00817B9F">
        <w:t xml:space="preserve"> found no significant effect of CT utilization</w:t>
      </w:r>
      <w:r w:rsidR="00094FF3" w:rsidRPr="00817B9F">
        <w:t xml:space="preserve"> on </w:t>
      </w:r>
      <w:r w:rsidR="003832F1" w:rsidRPr="00817B9F">
        <w:t>reducing</w:t>
      </w:r>
      <w:r w:rsidR="00614375" w:rsidRPr="00817B9F">
        <w:t xml:space="preserve"> expenditures on other types of care. </w:t>
      </w:r>
    </w:p>
    <w:p w14:paraId="156EB087" w14:textId="37C48B27" w:rsidR="00021186" w:rsidRPr="00817B9F" w:rsidRDefault="002607B0" w:rsidP="00E666B8">
      <w:pPr>
        <w:pStyle w:val="Heading3"/>
      </w:pPr>
      <w:bookmarkStart w:id="141" w:name="_Toc90046550"/>
      <w:r w:rsidRPr="00817B9F">
        <w:t xml:space="preserve">The </w:t>
      </w:r>
      <w:r w:rsidR="00F70B31" w:rsidRPr="00817B9F">
        <w:t xml:space="preserve">Effect of </w:t>
      </w:r>
      <w:r w:rsidR="00186A40" w:rsidRPr="00817B9F">
        <w:t>R</w:t>
      </w:r>
      <w:r w:rsidR="00F70B31" w:rsidRPr="00817B9F">
        <w:t xml:space="preserve">educed </w:t>
      </w:r>
      <w:r w:rsidRPr="00817B9F">
        <w:t xml:space="preserve">Boarding </w:t>
      </w:r>
      <w:r w:rsidR="00186A40" w:rsidRPr="00817B9F">
        <w:t>T</w:t>
      </w:r>
      <w:r w:rsidR="00F70B31" w:rsidRPr="00817B9F">
        <w:t xml:space="preserve">ime in </w:t>
      </w:r>
      <w:r w:rsidRPr="00817B9F">
        <w:t xml:space="preserve">Hospital </w:t>
      </w:r>
      <w:r w:rsidR="00F70B31" w:rsidRPr="00817B9F">
        <w:t>E</w:t>
      </w:r>
      <w:r w:rsidRPr="00817B9F">
        <w:t>mergency Departments or Post-Anesthesia Care Units</w:t>
      </w:r>
      <w:bookmarkEnd w:id="141"/>
    </w:p>
    <w:p w14:paraId="1A942904" w14:textId="4B5F1755" w:rsidR="006058D7" w:rsidRPr="00817B9F" w:rsidRDefault="00E749AC" w:rsidP="002A543E">
      <w:pPr>
        <w:pStyle w:val="NumberedParagraphs"/>
      </w:pPr>
      <w:r w:rsidRPr="00817B9F">
        <w:t xml:space="preserve">In its application, MGB notes that an increase in the number of beds at the hospital </w:t>
      </w:r>
      <w:r w:rsidR="00FF2B76" w:rsidRPr="00817B9F">
        <w:t xml:space="preserve">may reduce the amount of time that patients spend boarding in </w:t>
      </w:r>
      <w:r w:rsidR="009E28B0" w:rsidRPr="00817B9F">
        <w:t>MGH’s</w:t>
      </w:r>
      <w:r w:rsidR="00683DFB" w:rsidRPr="00817B9F">
        <w:t xml:space="preserve"> emergency </w:t>
      </w:r>
      <w:r w:rsidR="00087932" w:rsidRPr="00817B9F">
        <w:t xml:space="preserve">department. </w:t>
      </w:r>
      <w:r w:rsidR="006A4F43" w:rsidRPr="00817B9F">
        <w:t xml:space="preserve">A recent Kaiser Health News analysis documented long average lengths of stay </w:t>
      </w:r>
      <w:r w:rsidR="007877D3" w:rsidRPr="00817B9F">
        <w:t xml:space="preserve">in hospital emergency departments </w:t>
      </w:r>
      <w:r w:rsidR="006A4F43" w:rsidRPr="00817B9F">
        <w:t xml:space="preserve">across many states </w:t>
      </w:r>
      <w:r w:rsidR="00A339A1" w:rsidRPr="00817B9F">
        <w:t>and</w:t>
      </w:r>
      <w:r w:rsidR="006A4F43" w:rsidRPr="00817B9F">
        <w:t xml:space="preserve"> found that Massachusetts has among the </w:t>
      </w:r>
      <w:r w:rsidR="00304ACF" w:rsidRPr="00817B9F">
        <w:t xml:space="preserve">longest </w:t>
      </w:r>
      <w:r w:rsidR="00D94FA2" w:rsidRPr="00817B9F">
        <w:t xml:space="preserve">emergency department </w:t>
      </w:r>
      <w:r w:rsidR="00103F45" w:rsidRPr="00817B9F">
        <w:t>lengths</w:t>
      </w:r>
      <w:r w:rsidR="006A4F43" w:rsidRPr="00817B9F">
        <w:t>.</w:t>
      </w:r>
      <w:r w:rsidR="006A4F43" w:rsidRPr="00817B9F">
        <w:rPr>
          <w:rStyle w:val="FootnoteReference"/>
        </w:rPr>
        <w:t xml:space="preserve"> </w:t>
      </w:r>
      <w:r w:rsidR="007877D3" w:rsidRPr="00817B9F">
        <w:rPr>
          <w:rStyle w:val="FootnoteReference"/>
        </w:rPr>
        <w:footnoteReference w:id="239"/>
      </w:r>
      <w:r w:rsidR="006A4F43" w:rsidRPr="00817B9F">
        <w:t xml:space="preserve"> Assessing the experience </w:t>
      </w:r>
      <w:r w:rsidR="007F217E" w:rsidRPr="00817B9F">
        <w:t xml:space="preserve">of hospitals in </w:t>
      </w:r>
      <w:r w:rsidR="006A4F43" w:rsidRPr="00817B9F">
        <w:t>California in particular, th</w:t>
      </w:r>
      <w:r w:rsidR="007F217E" w:rsidRPr="00817B9F">
        <w:t>e</w:t>
      </w:r>
      <w:r w:rsidR="006A4F43" w:rsidRPr="00817B9F">
        <w:t xml:space="preserve"> analysis noted that </w:t>
      </w:r>
      <w:r w:rsidR="001C4022" w:rsidRPr="00817B9F">
        <w:t xml:space="preserve">emergency department crowding </w:t>
      </w:r>
      <w:r w:rsidR="0066488D" w:rsidRPr="00817B9F">
        <w:t>has led to an increase in the number of patients who leave the emergency department without having their care completed. In California,</w:t>
      </w:r>
      <w:r w:rsidR="005A0FDD" w:rsidRPr="00817B9F">
        <w:t xml:space="preserve"> </w:t>
      </w:r>
      <w:r w:rsidR="006A4F43" w:rsidRPr="00817B9F">
        <w:t xml:space="preserve">the number of </w:t>
      </w:r>
      <w:r w:rsidR="00BB6190" w:rsidRPr="00817B9F">
        <w:t xml:space="preserve">such </w:t>
      </w:r>
      <w:r w:rsidR="006A4F43" w:rsidRPr="00817B9F">
        <w:t xml:space="preserve">patients increased by 57 percent between 2012 and 2017. </w:t>
      </w:r>
    </w:p>
    <w:p w14:paraId="5295CB68" w14:textId="161F8B58" w:rsidR="00607F2B" w:rsidRPr="00817B9F" w:rsidRDefault="006A359A" w:rsidP="009E28B0">
      <w:pPr>
        <w:pStyle w:val="NumberedParagraphs"/>
      </w:pPr>
      <w:r w:rsidRPr="00817B9F">
        <w:t xml:space="preserve">In its </w:t>
      </w:r>
      <w:r w:rsidR="004E7CAB" w:rsidRPr="00817B9F">
        <w:t xml:space="preserve">DoN </w:t>
      </w:r>
      <w:r w:rsidRPr="00817B9F">
        <w:t xml:space="preserve">application for MGH, </w:t>
      </w:r>
      <w:r w:rsidR="006A4F43" w:rsidRPr="00817B9F">
        <w:t>MGB noted</w:t>
      </w:r>
      <w:r w:rsidR="003D5ED1" w:rsidRPr="00817B9F">
        <w:t xml:space="preserve"> that </w:t>
      </w:r>
      <w:r w:rsidR="006A4F43" w:rsidRPr="00817B9F">
        <w:t xml:space="preserve">in </w:t>
      </w:r>
      <w:r w:rsidR="003D5ED1" w:rsidRPr="00817B9F">
        <w:t>fiscal year 2019</w:t>
      </w:r>
      <w:r w:rsidR="006A4F43" w:rsidRPr="00817B9F">
        <w:t xml:space="preserve">, 78 percent of </w:t>
      </w:r>
      <w:r w:rsidR="00C43F9B" w:rsidRPr="00817B9F">
        <w:t>MGH’s</w:t>
      </w:r>
      <w:r w:rsidR="006A4F43" w:rsidRPr="00817B9F">
        <w:t xml:space="preserve"> admissions through </w:t>
      </w:r>
      <w:r w:rsidR="00C43F9B" w:rsidRPr="00817B9F">
        <w:t>its</w:t>
      </w:r>
      <w:r w:rsidR="006A4F43" w:rsidRPr="00817B9F">
        <w:t xml:space="preserve"> </w:t>
      </w:r>
      <w:r w:rsidR="003D5ED1" w:rsidRPr="00817B9F">
        <w:t>emergency department</w:t>
      </w:r>
      <w:r w:rsidR="006A4F43" w:rsidRPr="00817B9F">
        <w:t xml:space="preserve"> boarded in the </w:t>
      </w:r>
      <w:r w:rsidR="003D5ED1" w:rsidRPr="00817B9F">
        <w:t>emergency department</w:t>
      </w:r>
      <w:r w:rsidR="006A4F43" w:rsidRPr="00817B9F">
        <w:t xml:space="preserve"> for more than two hours </w:t>
      </w:r>
      <w:r w:rsidR="0040278E" w:rsidRPr="00817B9F">
        <w:t xml:space="preserve">following a bed request </w:t>
      </w:r>
      <w:r w:rsidR="006A4F43" w:rsidRPr="00817B9F">
        <w:t>before transferring to an inpatient bed</w:t>
      </w:r>
      <w:r w:rsidR="00AB390A" w:rsidRPr="00817B9F">
        <w:t>.</w:t>
      </w:r>
      <w:r w:rsidR="000A1005" w:rsidRPr="00817B9F">
        <w:rPr>
          <w:rStyle w:val="FootnoteReference"/>
        </w:rPr>
        <w:footnoteReference w:id="240"/>
      </w:r>
      <w:r w:rsidR="006A4F43" w:rsidRPr="00817B9F">
        <w:t xml:space="preserve"> </w:t>
      </w:r>
      <w:r w:rsidR="00931108" w:rsidRPr="00817B9F">
        <w:t>82</w:t>
      </w:r>
      <w:r w:rsidR="00FF6A8D" w:rsidRPr="00817B9F">
        <w:t xml:space="preserve"> percent of cardiology patients admitted by the MGH emergency department were </w:t>
      </w:r>
      <w:r w:rsidR="00607F2B" w:rsidRPr="00817B9F">
        <w:t xml:space="preserve">boarded in the </w:t>
      </w:r>
      <w:r w:rsidR="0049179D" w:rsidRPr="00817B9F">
        <w:t xml:space="preserve">emergency </w:t>
      </w:r>
      <w:r w:rsidR="0049179D" w:rsidRPr="00817B9F">
        <w:lastRenderedPageBreak/>
        <w:t xml:space="preserve">department, with an </w:t>
      </w:r>
      <w:r w:rsidR="00E53F0F" w:rsidRPr="00817B9F">
        <w:t xml:space="preserve">average length of stay in the emergency department of </w:t>
      </w:r>
      <w:r w:rsidR="00607F2B" w:rsidRPr="00817B9F">
        <w:t>10.5 hours.</w:t>
      </w:r>
      <w:r w:rsidR="0007251D" w:rsidRPr="00817B9F">
        <w:rPr>
          <w:rStyle w:val="FootnoteReference"/>
        </w:rPr>
        <w:footnoteReference w:id="241"/>
      </w:r>
      <w:r w:rsidR="00607F2B" w:rsidRPr="00817B9F">
        <w:t xml:space="preserve"> </w:t>
      </w:r>
      <w:r w:rsidR="00105079" w:rsidRPr="00817B9F">
        <w:t>Similarly, 87</w:t>
      </w:r>
      <w:r w:rsidR="00C45C15" w:rsidRPr="00817B9F">
        <w:t xml:space="preserve"> percent of oncology patients ad</w:t>
      </w:r>
      <w:r w:rsidR="00FE33B3" w:rsidRPr="00817B9F">
        <w:t xml:space="preserve">mitted by the MGH emergency </w:t>
      </w:r>
      <w:r w:rsidR="00EE6273" w:rsidRPr="00817B9F">
        <w:t>department</w:t>
      </w:r>
      <w:r w:rsidR="00FE33B3" w:rsidRPr="00817B9F">
        <w:t xml:space="preserve"> were boarded in the emergency department</w:t>
      </w:r>
      <w:r w:rsidR="005932F1" w:rsidRPr="00817B9F">
        <w:t>.</w:t>
      </w:r>
      <w:r w:rsidR="005F571F" w:rsidRPr="00817B9F">
        <w:rPr>
          <w:rStyle w:val="FootnoteReference"/>
        </w:rPr>
        <w:footnoteReference w:id="242"/>
      </w:r>
      <w:r w:rsidR="005932F1" w:rsidRPr="00817B9F">
        <w:t xml:space="preserve"> Based on information that MGB provided CRA, the </w:t>
      </w:r>
      <w:r w:rsidR="005F571F" w:rsidRPr="00817B9F">
        <w:t xml:space="preserve">average length of stay in the emergency department for these patients was 10.9 hours. </w:t>
      </w:r>
      <w:r w:rsidR="006B4E66" w:rsidRPr="00817B9F">
        <w:t xml:space="preserve">In this section, </w:t>
      </w:r>
      <w:r w:rsidR="00497A3D" w:rsidRPr="00817B9F">
        <w:t xml:space="preserve">we briefly review the health literature on the effects of </w:t>
      </w:r>
      <w:r w:rsidR="00C71830" w:rsidRPr="00817B9F">
        <w:t xml:space="preserve">emergency department boarding on patient outcomes and health care expenditures. </w:t>
      </w:r>
      <w:r w:rsidR="0030289B" w:rsidRPr="00817B9F">
        <w:t xml:space="preserve">Generally, this literature finds that reducing emergency department boarding improves patient outcomes and reduces hospital lengths of stay; a related literature finds that reducing emergency department waiting times also lowers costs and improves outcomes. </w:t>
      </w:r>
    </w:p>
    <w:p w14:paraId="06D91118" w14:textId="7DF5CC57" w:rsidR="006A4F43" w:rsidRPr="00817B9F" w:rsidRDefault="00FB0ED9" w:rsidP="00854D82">
      <w:pPr>
        <w:pStyle w:val="NumberedParagraphs"/>
      </w:pPr>
      <w:r w:rsidRPr="00817B9F">
        <w:t>Several studies have add</w:t>
      </w:r>
      <w:r w:rsidR="00446A2A" w:rsidRPr="00817B9F">
        <w:t xml:space="preserve">ressed the effect of emergency department boarding on patient </w:t>
      </w:r>
      <w:r w:rsidR="00E87E4A" w:rsidRPr="00817B9F">
        <w:t xml:space="preserve">outcomes. </w:t>
      </w:r>
      <w:r w:rsidR="006A4F43" w:rsidRPr="00817B9F">
        <w:t xml:space="preserve">Liu </w:t>
      </w:r>
      <w:r w:rsidR="006A4F43" w:rsidRPr="00817B9F">
        <w:rPr>
          <w:i/>
        </w:rPr>
        <w:t>et al.</w:t>
      </w:r>
      <w:r w:rsidR="006A4F43" w:rsidRPr="00817B9F">
        <w:t xml:space="preserve"> </w:t>
      </w:r>
      <w:r w:rsidR="00E87E4A" w:rsidRPr="00817B9F">
        <w:t>(2009)</w:t>
      </w:r>
      <w:r w:rsidR="006A4F43" w:rsidRPr="00817B9F">
        <w:t xml:space="preserve"> assessed the frequency of undesirable events</w:t>
      </w:r>
      <w:r w:rsidR="00E87E4A" w:rsidRPr="00817B9F">
        <w:t xml:space="preserve"> associated with </w:t>
      </w:r>
      <w:r w:rsidR="00AD7B78" w:rsidRPr="00817B9F">
        <w:t>patients who boarded in the emergency department of a large, urban academic medical center.</w:t>
      </w:r>
      <w:r w:rsidR="00AD7B78" w:rsidRPr="00817B9F">
        <w:rPr>
          <w:rStyle w:val="FootnoteReference"/>
        </w:rPr>
        <w:footnoteReference w:id="243"/>
      </w:r>
      <w:r w:rsidR="000C07AE" w:rsidRPr="00817B9F">
        <w:t xml:space="preserve"> The undesirable events </w:t>
      </w:r>
      <w:r w:rsidR="00AD5AFE" w:rsidRPr="00817B9F">
        <w:t>reflected</w:t>
      </w:r>
      <w:r w:rsidR="000C07AE" w:rsidRPr="00817B9F">
        <w:t xml:space="preserve"> in the study </w:t>
      </w:r>
      <w:r w:rsidR="00AD5AFE" w:rsidRPr="00817B9F">
        <w:t>design</w:t>
      </w:r>
      <w:r w:rsidR="000C07AE" w:rsidRPr="00817B9F">
        <w:t xml:space="preserve"> </w:t>
      </w:r>
      <w:r w:rsidR="006A4F43" w:rsidRPr="00817B9F">
        <w:t>includ</w:t>
      </w:r>
      <w:r w:rsidR="00AD5AFE" w:rsidRPr="00817B9F">
        <w:t>ed</w:t>
      </w:r>
      <w:r w:rsidR="006A4F43" w:rsidRPr="00817B9F">
        <w:t xml:space="preserve"> missed </w:t>
      </w:r>
      <w:r w:rsidR="00AD5AFE" w:rsidRPr="00817B9F">
        <w:t xml:space="preserve">home </w:t>
      </w:r>
      <w:r w:rsidR="006A4F43" w:rsidRPr="00817B9F">
        <w:t xml:space="preserve">medications, missed laboratory test results, </w:t>
      </w:r>
      <w:r w:rsidR="003E7E09" w:rsidRPr="00817B9F">
        <w:t>and</w:t>
      </w:r>
      <w:r w:rsidR="006A4F43" w:rsidRPr="00817B9F">
        <w:t xml:space="preserve"> arrhythmias</w:t>
      </w:r>
      <w:r w:rsidR="00AD5AFE" w:rsidRPr="00817B9F">
        <w:t xml:space="preserve">. </w:t>
      </w:r>
      <w:r w:rsidR="006A4F43" w:rsidRPr="00817B9F">
        <w:t>Using retrospective chart analyses, the</w:t>
      </w:r>
      <w:r w:rsidR="00AD5AFE" w:rsidRPr="00817B9F">
        <w:t xml:space="preserve"> authors</w:t>
      </w:r>
      <w:r w:rsidR="006A4F43" w:rsidRPr="00817B9F">
        <w:t xml:space="preserve"> found that </w:t>
      </w:r>
      <w:r w:rsidR="0083242B" w:rsidRPr="00817B9F">
        <w:t>28</w:t>
      </w:r>
      <w:r w:rsidR="006A4F43" w:rsidRPr="00817B9F">
        <w:t xml:space="preserve"> percent of patients </w:t>
      </w:r>
      <w:r w:rsidR="0083242B" w:rsidRPr="00817B9F">
        <w:t>who boarded in the emerge</w:t>
      </w:r>
      <w:r w:rsidR="006E3F73" w:rsidRPr="00817B9F">
        <w:t xml:space="preserve">ncy department </w:t>
      </w:r>
      <w:r w:rsidR="006A4F43" w:rsidRPr="00817B9F">
        <w:t xml:space="preserve">experienced an undesirable event and 3.3 percent had a preventable adverse event. Undesirable events were more common among older patients </w:t>
      </w:r>
      <w:r w:rsidR="005524FA" w:rsidRPr="00817B9F">
        <w:t xml:space="preserve">and those </w:t>
      </w:r>
      <w:r w:rsidR="006A4F43" w:rsidRPr="00817B9F">
        <w:t>with more comorbidities.</w:t>
      </w:r>
    </w:p>
    <w:p w14:paraId="507186D5" w14:textId="06981D1D" w:rsidR="006A4F43" w:rsidRPr="00817B9F" w:rsidRDefault="006A4F43" w:rsidP="00740704">
      <w:pPr>
        <w:pStyle w:val="NumberedParagraphs"/>
      </w:pPr>
      <w:r w:rsidRPr="00817B9F">
        <w:t xml:space="preserve">Boulain </w:t>
      </w:r>
      <w:r w:rsidRPr="00817B9F">
        <w:rPr>
          <w:i/>
        </w:rPr>
        <w:t>et al.</w:t>
      </w:r>
      <w:r w:rsidR="00515790" w:rsidRPr="00817B9F">
        <w:t xml:space="preserve"> (2020)</w:t>
      </w:r>
      <w:r w:rsidRPr="00817B9F">
        <w:t xml:space="preserve"> assessed whether </w:t>
      </w:r>
      <w:r w:rsidR="00D77671" w:rsidRPr="00817B9F">
        <w:t>emergency department</w:t>
      </w:r>
      <w:r w:rsidRPr="00817B9F">
        <w:t xml:space="preserve"> boarding for more than four hours prior to admission increased the risk of in</w:t>
      </w:r>
      <w:r w:rsidR="00D77671" w:rsidRPr="00817B9F">
        <w:t>-</w:t>
      </w:r>
      <w:r w:rsidRPr="00817B9F">
        <w:t>hospital mortality or lengthened inpatient stay.</w:t>
      </w:r>
      <w:r w:rsidR="00515790" w:rsidRPr="00817B9F">
        <w:rPr>
          <w:rStyle w:val="FootnoteReference"/>
        </w:rPr>
        <w:footnoteReference w:id="244"/>
      </w:r>
      <w:r w:rsidRPr="00817B9F">
        <w:t xml:space="preserve"> The authors used a retrospective analysis of all patients admitted through the </w:t>
      </w:r>
      <w:r w:rsidR="004755CD" w:rsidRPr="00817B9F">
        <w:t xml:space="preserve">emergency department of </w:t>
      </w:r>
      <w:r w:rsidRPr="00817B9F">
        <w:t>a large academic medical center in France. They found that the odds of in</w:t>
      </w:r>
      <w:r w:rsidR="0083563E" w:rsidRPr="00817B9F">
        <w:t>-</w:t>
      </w:r>
      <w:r w:rsidRPr="00817B9F">
        <w:t xml:space="preserve">hospital </w:t>
      </w:r>
      <w:r w:rsidR="0083563E" w:rsidRPr="00817B9F">
        <w:t>mortality</w:t>
      </w:r>
      <w:r w:rsidRPr="00817B9F">
        <w:t xml:space="preserve"> </w:t>
      </w:r>
      <w:r w:rsidR="00713CED" w:rsidRPr="00817B9F">
        <w:t>were significantly higher</w:t>
      </w:r>
      <w:r w:rsidRPr="00817B9F">
        <w:t xml:space="preserve"> for those patients who boarded in the </w:t>
      </w:r>
      <w:r w:rsidR="00713CED" w:rsidRPr="00817B9F">
        <w:t>emergency department</w:t>
      </w:r>
      <w:r w:rsidRPr="00817B9F">
        <w:t xml:space="preserve"> </w:t>
      </w:r>
      <w:r w:rsidRPr="00817B9F">
        <w:lastRenderedPageBreak/>
        <w:t>for more than four hours. In addition, the</w:t>
      </w:r>
      <w:r w:rsidR="00713CED" w:rsidRPr="00817B9F">
        <w:t xml:space="preserve"> </w:t>
      </w:r>
      <w:r w:rsidR="00653C84" w:rsidRPr="00817B9F">
        <w:t>authors</w:t>
      </w:r>
      <w:r w:rsidRPr="00817B9F">
        <w:t xml:space="preserve"> found that admitted patients who boarded in the </w:t>
      </w:r>
      <w:r w:rsidR="00653C84" w:rsidRPr="00817B9F">
        <w:t>emergency department</w:t>
      </w:r>
      <w:r w:rsidRPr="00817B9F">
        <w:t xml:space="preserve"> for more than four hours remained hospitalized longer</w:t>
      </w:r>
      <w:r w:rsidR="00653C84" w:rsidRPr="00817B9F">
        <w:t xml:space="preserve">: the </w:t>
      </w:r>
      <w:r w:rsidRPr="00817B9F">
        <w:t xml:space="preserve">median length of stay </w:t>
      </w:r>
      <w:r w:rsidR="00653C84" w:rsidRPr="00817B9F">
        <w:t>for these patients</w:t>
      </w:r>
      <w:r w:rsidRPr="00817B9F">
        <w:t xml:space="preserve"> was two days longer, and </w:t>
      </w:r>
      <w:r w:rsidR="00653C84" w:rsidRPr="00817B9F">
        <w:t xml:space="preserve">the </w:t>
      </w:r>
      <w:r w:rsidRPr="00817B9F">
        <w:t xml:space="preserve">mean </w:t>
      </w:r>
      <w:r w:rsidR="001C22DB" w:rsidRPr="00817B9F">
        <w:t>length of stay for these patients was 1.15 days longer.</w:t>
      </w:r>
    </w:p>
    <w:p w14:paraId="2E4E6D4D" w14:textId="6910AD25" w:rsidR="0019628C" w:rsidRPr="00817B9F" w:rsidRDefault="006A4F43" w:rsidP="001A6B8A">
      <w:pPr>
        <w:pStyle w:val="NumberedParagraphs"/>
      </w:pPr>
      <w:r w:rsidRPr="00817B9F">
        <w:t xml:space="preserve">Van Loveren </w:t>
      </w:r>
      <w:r w:rsidRPr="00817B9F">
        <w:rPr>
          <w:i/>
        </w:rPr>
        <w:t>et al.</w:t>
      </w:r>
      <w:r w:rsidR="00D321EB" w:rsidRPr="00817B9F">
        <w:rPr>
          <w:i/>
          <w:iCs/>
        </w:rPr>
        <w:t xml:space="preserve"> </w:t>
      </w:r>
      <w:r w:rsidR="00D321EB" w:rsidRPr="00817B9F">
        <w:t>(2021)</w:t>
      </w:r>
      <w:r w:rsidRPr="00817B9F">
        <w:t xml:space="preserve"> </w:t>
      </w:r>
      <w:r w:rsidR="007729A6" w:rsidRPr="00817B9F">
        <w:t>assessed</w:t>
      </w:r>
      <w:r w:rsidRPr="00817B9F">
        <w:t xml:space="preserve"> the </w:t>
      </w:r>
      <w:r w:rsidR="00D321EB" w:rsidRPr="00817B9F">
        <w:t>likelihood that</w:t>
      </w:r>
      <w:r w:rsidRPr="00817B9F">
        <w:t xml:space="preserve"> patients admitted to </w:t>
      </w:r>
      <w:r w:rsidR="00095114" w:rsidRPr="00817B9F">
        <w:t>a</w:t>
      </w:r>
      <w:r w:rsidRPr="00817B9F">
        <w:t xml:space="preserve"> hospital through the </w:t>
      </w:r>
      <w:r w:rsidR="00892237" w:rsidRPr="00817B9F">
        <w:t>emergency department</w:t>
      </w:r>
      <w:r w:rsidRPr="00817B9F">
        <w:t xml:space="preserve"> experience</w:t>
      </w:r>
      <w:r w:rsidR="00095114" w:rsidRPr="00817B9F">
        <w:t>d</w:t>
      </w:r>
      <w:r w:rsidRPr="00817B9F">
        <w:t xml:space="preserve"> delirium during their hospital stays</w:t>
      </w:r>
      <w:r w:rsidR="00095114" w:rsidRPr="00817B9F">
        <w:t xml:space="preserve"> after bo</w:t>
      </w:r>
      <w:r w:rsidR="007729A6" w:rsidRPr="00817B9F">
        <w:t>arding in a hospital hallway</w:t>
      </w:r>
      <w:r w:rsidRPr="00817B9F">
        <w:t>.</w:t>
      </w:r>
      <w:r w:rsidR="00D321EB" w:rsidRPr="00817B9F">
        <w:rPr>
          <w:rStyle w:val="FootnoteReference"/>
        </w:rPr>
        <w:footnoteReference w:id="245"/>
      </w:r>
      <w:r w:rsidRPr="00817B9F">
        <w:t xml:space="preserve"> The</w:t>
      </w:r>
      <w:r w:rsidR="007729A6" w:rsidRPr="00817B9F">
        <w:t xml:space="preserve"> authors</w:t>
      </w:r>
      <w:r w:rsidRPr="00817B9F">
        <w:t xml:space="preserve"> used a retrospective chart review of all patients admitted to </w:t>
      </w:r>
      <w:r w:rsidR="00A314DD" w:rsidRPr="00817B9F">
        <w:t>an</w:t>
      </w:r>
      <w:r w:rsidR="00CB0DB9" w:rsidRPr="00817B9F">
        <w:t xml:space="preserve"> </w:t>
      </w:r>
      <w:r w:rsidRPr="00817B9F">
        <w:t xml:space="preserve">academic medical center </w:t>
      </w:r>
      <w:r w:rsidR="00A314DD" w:rsidRPr="00817B9F">
        <w:t xml:space="preserve">through the hospital’s emergency department </w:t>
      </w:r>
      <w:r w:rsidRPr="00817B9F">
        <w:t xml:space="preserve">who did not initially present in the </w:t>
      </w:r>
      <w:r w:rsidR="000D66FE" w:rsidRPr="00817B9F">
        <w:t>emergency department</w:t>
      </w:r>
      <w:r w:rsidRPr="00817B9F">
        <w:t xml:space="preserve"> with cognitive impairment. They found that those patients who were subsequently diagnosed with delirium while in the hospital had spent a larger proportion of their </w:t>
      </w:r>
      <w:r w:rsidR="000D66FE" w:rsidRPr="00817B9F">
        <w:t>emergency department boarding</w:t>
      </w:r>
      <w:r w:rsidRPr="00817B9F">
        <w:t xml:space="preserve"> time in </w:t>
      </w:r>
      <w:r w:rsidR="000D66FE" w:rsidRPr="00817B9F">
        <w:t>a hospital</w:t>
      </w:r>
      <w:r w:rsidRPr="00817B9F">
        <w:t xml:space="preserve"> hallway</w:t>
      </w:r>
      <w:r w:rsidR="00F2629F" w:rsidRPr="00817B9F">
        <w:t xml:space="preserve"> and</w:t>
      </w:r>
      <w:r w:rsidRPr="00817B9F">
        <w:t xml:space="preserve"> </w:t>
      </w:r>
      <w:r w:rsidR="00F2629F" w:rsidRPr="00817B9F">
        <w:t>boarded</w:t>
      </w:r>
      <w:r w:rsidRPr="00817B9F">
        <w:t xml:space="preserve"> in the </w:t>
      </w:r>
      <w:r w:rsidR="000D66FE" w:rsidRPr="00817B9F">
        <w:t>emergency</w:t>
      </w:r>
      <w:r w:rsidRPr="00817B9F">
        <w:t xml:space="preserve"> </w:t>
      </w:r>
      <w:r w:rsidR="00F2629F" w:rsidRPr="00817B9F">
        <w:t xml:space="preserve">department </w:t>
      </w:r>
      <w:r w:rsidRPr="00817B9F">
        <w:t>longer before being admitted</w:t>
      </w:r>
      <w:r w:rsidR="00F2629F" w:rsidRPr="00817B9F">
        <w:t>.</w:t>
      </w:r>
      <w:r w:rsidRPr="00817B9F">
        <w:t xml:space="preserve"> </w:t>
      </w:r>
    </w:p>
    <w:p w14:paraId="11C3E73C" w14:textId="2DA40643" w:rsidR="006A4F43" w:rsidRPr="00817B9F" w:rsidRDefault="00031639" w:rsidP="006A4F43">
      <w:pPr>
        <w:pStyle w:val="NumberedParagraphs"/>
      </w:pPr>
      <w:r w:rsidRPr="00817B9F">
        <w:t xml:space="preserve">While not a study of boarding </w:t>
      </w:r>
      <w:r w:rsidR="00244FD9" w:rsidRPr="00817B9F">
        <w:t>times</w:t>
      </w:r>
      <w:r w:rsidR="0064508D" w:rsidRPr="00817B9F">
        <w:t xml:space="preserve">, </w:t>
      </w:r>
      <w:r w:rsidR="00577A77" w:rsidRPr="00817B9F">
        <w:t>Woodworth and Holmes (2020) use</w:t>
      </w:r>
      <w:r w:rsidR="002C0824" w:rsidRPr="00817B9F">
        <w:t>d</w:t>
      </w:r>
      <w:r w:rsidR="00577A77" w:rsidRPr="00817B9F">
        <w:t xml:space="preserve"> the quasi-random assignment of patients to triage nurses with varying proclivities to classify patients as requiring urgent or semi-urgent assistance</w:t>
      </w:r>
      <w:r w:rsidR="0064508D" w:rsidRPr="00817B9F">
        <w:t xml:space="preserve"> to measure the effect </w:t>
      </w:r>
      <w:r w:rsidR="00255FB8" w:rsidRPr="00817B9F">
        <w:t>of emergency department wait times on costs and outcomes</w:t>
      </w:r>
      <w:r w:rsidR="00577A77" w:rsidRPr="00817B9F">
        <w:t>.</w:t>
      </w:r>
      <w:r w:rsidR="00577A77" w:rsidRPr="00817B9F">
        <w:rPr>
          <w:rStyle w:val="FootnoteReference"/>
        </w:rPr>
        <w:footnoteReference w:id="246"/>
      </w:r>
      <w:r w:rsidR="00577A77" w:rsidRPr="00817B9F">
        <w:t xml:space="preserve"> </w:t>
      </w:r>
      <w:r w:rsidR="002227AD" w:rsidRPr="00817B9F">
        <w:t>C</w:t>
      </w:r>
      <w:r w:rsidR="00577A77" w:rsidRPr="00817B9F">
        <w:t xml:space="preserve">lassification </w:t>
      </w:r>
      <w:r w:rsidR="002227AD" w:rsidRPr="00817B9F">
        <w:t>by triage nurses</w:t>
      </w:r>
      <w:r w:rsidR="00577A77" w:rsidRPr="00817B9F">
        <w:t xml:space="preserve"> affects patients’ locations in the emergency department queue and, thus, the time</w:t>
      </w:r>
      <w:r w:rsidR="002C0824" w:rsidRPr="00817B9F">
        <w:t>s</w:t>
      </w:r>
      <w:r w:rsidR="00577A77" w:rsidRPr="00817B9F">
        <w:t xml:space="preserve"> that they are likely to wait. Reviewing the electronic medical records for patients at large academic urban </w:t>
      </w:r>
      <w:r w:rsidR="002227AD" w:rsidRPr="00817B9F">
        <w:t>emergency department</w:t>
      </w:r>
      <w:r w:rsidR="000B2F94" w:rsidRPr="00817B9F">
        <w:t>s</w:t>
      </w:r>
      <w:r w:rsidR="002227AD" w:rsidRPr="00817B9F">
        <w:t>, the authors</w:t>
      </w:r>
      <w:r w:rsidR="00577A77" w:rsidRPr="00817B9F">
        <w:t xml:space="preserve"> found th</w:t>
      </w:r>
      <w:r w:rsidR="000B2F94" w:rsidRPr="00817B9F">
        <w:t>at</w:t>
      </w:r>
      <w:r w:rsidR="00577A77" w:rsidRPr="00817B9F">
        <w:t xml:space="preserve"> for a person arriving with the most severe conditions, waiting an additional </w:t>
      </w:r>
      <w:r w:rsidR="00923221" w:rsidRPr="00817B9F">
        <w:t>ten</w:t>
      </w:r>
      <w:r w:rsidR="00577A77" w:rsidRPr="00817B9F">
        <w:t xml:space="preserve"> minutes increased the hospital’s cost to care for the patient by </w:t>
      </w:r>
      <w:r w:rsidR="000B2F94" w:rsidRPr="00817B9F">
        <w:t>six</w:t>
      </w:r>
      <w:r w:rsidR="00577A77" w:rsidRPr="00817B9F">
        <w:t xml:space="preserve"> percent on average. For patients with moderately severe conditions, waiting an additional </w:t>
      </w:r>
      <w:r w:rsidR="00923221" w:rsidRPr="00817B9F">
        <w:t>ten</w:t>
      </w:r>
      <w:r w:rsidR="00577A77" w:rsidRPr="00817B9F">
        <w:t xml:space="preserve"> minutes increased costs by </w:t>
      </w:r>
      <w:r w:rsidR="002A68B9" w:rsidRPr="00817B9F">
        <w:t>three</w:t>
      </w:r>
      <w:r w:rsidR="00577A77" w:rsidRPr="00817B9F">
        <w:t xml:space="preserve"> percent</w:t>
      </w:r>
      <w:r w:rsidR="000B2F94" w:rsidRPr="00817B9F">
        <w:t xml:space="preserve"> on average</w:t>
      </w:r>
      <w:r w:rsidR="00577A77" w:rsidRPr="00817B9F">
        <w:t>, while for relatively healthy patients additional waiting time did not appear to affect costs.</w:t>
      </w:r>
      <w:r w:rsidR="00B32E58" w:rsidRPr="00817B9F">
        <w:t xml:space="preserve"> </w:t>
      </w:r>
      <w:r w:rsidR="006A4F43" w:rsidRPr="00817B9F">
        <w:t xml:space="preserve">Gruber </w:t>
      </w:r>
      <w:r w:rsidR="006A4F43" w:rsidRPr="00817B9F">
        <w:rPr>
          <w:i/>
        </w:rPr>
        <w:t>et al.</w:t>
      </w:r>
      <w:r w:rsidR="007D326A" w:rsidRPr="00817B9F">
        <w:t xml:space="preserve"> (2021)</w:t>
      </w:r>
      <w:r w:rsidR="006A4F43" w:rsidRPr="00817B9F">
        <w:t xml:space="preserve"> studied how physicians responded to the adoption of a United Kingdom policy that imposed strong incentives to treat patients </w:t>
      </w:r>
      <w:r w:rsidR="007D326A" w:rsidRPr="00817B9F">
        <w:t xml:space="preserve">presenting in the emergency </w:t>
      </w:r>
      <w:r w:rsidR="007D326A" w:rsidRPr="00817B9F">
        <w:lastRenderedPageBreak/>
        <w:t>department</w:t>
      </w:r>
      <w:r w:rsidR="006A4F43" w:rsidRPr="00817B9F">
        <w:t xml:space="preserve"> within four hours.</w:t>
      </w:r>
      <w:r w:rsidR="007D326A" w:rsidRPr="00817B9F">
        <w:rPr>
          <w:rStyle w:val="FootnoteReference"/>
        </w:rPr>
        <w:footnoteReference w:id="247"/>
      </w:r>
      <w:r w:rsidR="006A4F43" w:rsidRPr="00817B9F">
        <w:t xml:space="preserve"> The</w:t>
      </w:r>
      <w:r w:rsidR="00690926" w:rsidRPr="00817B9F">
        <w:t xml:space="preserve"> authors</w:t>
      </w:r>
      <w:r w:rsidR="006A4F43" w:rsidRPr="00817B9F">
        <w:t xml:space="preserve"> found that the policy reduced </w:t>
      </w:r>
      <w:r w:rsidR="00690926" w:rsidRPr="00817B9F">
        <w:t>emergency department</w:t>
      </w:r>
      <w:r w:rsidR="006A4F43" w:rsidRPr="00817B9F">
        <w:t xml:space="preserve"> wait times by </w:t>
      </w:r>
      <w:r w:rsidR="0079608D" w:rsidRPr="00817B9F">
        <w:t>21</w:t>
      </w:r>
      <w:r w:rsidR="006A4F43" w:rsidRPr="00817B9F">
        <w:t xml:space="preserve"> minutes</w:t>
      </w:r>
      <w:r w:rsidR="00690926" w:rsidRPr="00817B9F">
        <w:t>,</w:t>
      </w:r>
      <w:r w:rsidR="006A4F43" w:rsidRPr="00817B9F">
        <w:t xml:space="preserve"> increased the intensity of </w:t>
      </w:r>
      <w:r w:rsidR="00690926" w:rsidRPr="00817B9F">
        <w:t>emergency department</w:t>
      </w:r>
      <w:r w:rsidR="006A4F43" w:rsidRPr="00817B9F">
        <w:t xml:space="preserve"> treatment</w:t>
      </w:r>
      <w:r w:rsidR="007F0597" w:rsidRPr="00817B9F">
        <w:t>,</w:t>
      </w:r>
      <w:r w:rsidR="00690926" w:rsidRPr="00817B9F">
        <w:t xml:space="preserve"> </w:t>
      </w:r>
      <w:r w:rsidR="007F0597" w:rsidRPr="00817B9F">
        <w:t>a</w:t>
      </w:r>
      <w:r w:rsidR="00690926" w:rsidRPr="00817B9F">
        <w:t>nd increased i</w:t>
      </w:r>
      <w:r w:rsidR="006A4F43" w:rsidRPr="00817B9F">
        <w:t xml:space="preserve">npatient admissions </w:t>
      </w:r>
      <w:r w:rsidR="00690926" w:rsidRPr="00817B9F">
        <w:t xml:space="preserve">to </w:t>
      </w:r>
      <w:r w:rsidR="007F0597" w:rsidRPr="00817B9F">
        <w:t>hospitals</w:t>
      </w:r>
      <w:r w:rsidR="006A4F43" w:rsidRPr="00817B9F">
        <w:t xml:space="preserve">. The </w:t>
      </w:r>
      <w:r w:rsidR="007F0597" w:rsidRPr="00817B9F">
        <w:t>authors</w:t>
      </w:r>
      <w:r w:rsidR="006A4F43" w:rsidRPr="00817B9F">
        <w:t xml:space="preserve"> also found a significant 14 percent reduction in mortality, which their analysis indicated resulted from the reduced wait times rather than increased hospital admissions.</w:t>
      </w:r>
    </w:p>
    <w:p w14:paraId="417372C6" w14:textId="0AE7C712" w:rsidR="00D15D02" w:rsidRPr="00817B9F" w:rsidRDefault="002C68E8" w:rsidP="00E45EAD">
      <w:pPr>
        <w:pStyle w:val="Heading2"/>
        <w:rPr>
          <w:rFonts w:cs="Times New Roman"/>
        </w:rPr>
      </w:pPr>
      <w:bookmarkStart w:id="142" w:name="_Toc90046551"/>
      <w:r w:rsidRPr="00817B9F">
        <w:rPr>
          <w:rFonts w:cs="Times New Roman"/>
        </w:rPr>
        <w:t xml:space="preserve">Who Bears the </w:t>
      </w:r>
      <w:r w:rsidR="002F5EEB" w:rsidRPr="00817B9F">
        <w:rPr>
          <w:rFonts w:cs="Times New Roman"/>
        </w:rPr>
        <w:t>Burden of Higher Costs or Benefits from Cost Savings?</w:t>
      </w:r>
      <w:bookmarkEnd w:id="142"/>
    </w:p>
    <w:p w14:paraId="45140962" w14:textId="3F5D796E" w:rsidR="00980DDA" w:rsidRPr="00817B9F" w:rsidRDefault="00980DDA" w:rsidP="007D38D0">
      <w:pPr>
        <w:pStyle w:val="NumberedParagraphs"/>
      </w:pPr>
      <w:r w:rsidRPr="00817B9F">
        <w:t xml:space="preserve">As we noted earlier, the </w:t>
      </w:r>
      <w:r w:rsidR="00DE7EC8" w:rsidRPr="00817B9F">
        <w:t xml:space="preserve">DoN program asked that the ICA address </w:t>
      </w:r>
      <w:r w:rsidR="00613A3B" w:rsidRPr="00817B9F">
        <w:t>the question of</w:t>
      </w:r>
      <w:r w:rsidR="000D37E5" w:rsidRPr="00817B9F">
        <w:t xml:space="preserve"> if costs </w:t>
      </w:r>
      <w:r w:rsidR="009C2762" w:rsidRPr="00817B9F">
        <w:t xml:space="preserve">were to </w:t>
      </w:r>
      <w:r w:rsidR="000D37E5" w:rsidRPr="00817B9F">
        <w:t xml:space="preserve">increase </w:t>
      </w:r>
      <w:r w:rsidR="0096571D" w:rsidRPr="00817B9F">
        <w:t>because</w:t>
      </w:r>
      <w:r w:rsidR="000D37E5" w:rsidRPr="00817B9F">
        <w:t xml:space="preserve"> of the proposed project, who bears the burden of that change in costs: third-party payors, </w:t>
      </w:r>
      <w:r w:rsidR="0096571D" w:rsidRPr="00817B9F">
        <w:t>patients, or health-plan sponsors? Similar</w:t>
      </w:r>
      <w:r w:rsidR="004617F7" w:rsidRPr="00817B9F">
        <w:t xml:space="preserve">ly, </w:t>
      </w:r>
      <w:r w:rsidR="009C2762" w:rsidRPr="00817B9F">
        <w:t xml:space="preserve">if costs were to decrease because of the proposed project, who benefits from those savings? </w:t>
      </w:r>
      <w:r w:rsidR="00303437" w:rsidRPr="00817B9F">
        <w:t xml:space="preserve">We focus our discussion </w:t>
      </w:r>
      <w:r w:rsidR="00365B8A" w:rsidRPr="00817B9F">
        <w:t>of these questions on commercially insured patients for whom the link between health care expend</w:t>
      </w:r>
      <w:r w:rsidR="00854515" w:rsidRPr="00817B9F">
        <w:t xml:space="preserve">itures, out-of-pocket costs, health plan premiums, and </w:t>
      </w:r>
      <w:r w:rsidR="000E007E" w:rsidRPr="00817B9F">
        <w:t xml:space="preserve">earnings is most direct. </w:t>
      </w:r>
      <w:r w:rsidR="004235C0" w:rsidRPr="00817B9F">
        <w:t>We do not address th</w:t>
      </w:r>
      <w:r w:rsidR="004874CB" w:rsidRPr="00817B9F">
        <w:t xml:space="preserve">is question for government-sponsored health </w:t>
      </w:r>
      <w:r w:rsidR="00300BDD" w:rsidRPr="00817B9F">
        <w:t>insurance</w:t>
      </w:r>
      <w:r w:rsidR="00EA3636" w:rsidRPr="00817B9F">
        <w:t xml:space="preserve"> such as Medicare or MassHealth </w:t>
      </w:r>
      <w:r w:rsidR="00E75F65" w:rsidRPr="00817B9F">
        <w:t xml:space="preserve">because health </w:t>
      </w:r>
      <w:r w:rsidR="00D2428D" w:rsidRPr="00817B9F">
        <w:t xml:space="preserve">care </w:t>
      </w:r>
      <w:r w:rsidR="00E75F65" w:rsidRPr="00817B9F">
        <w:t xml:space="preserve">provider reimbursement </w:t>
      </w:r>
      <w:r w:rsidR="00896BEA" w:rsidRPr="00817B9F">
        <w:t>for</w:t>
      </w:r>
      <w:r w:rsidR="00E75F65" w:rsidRPr="00817B9F">
        <w:t xml:space="preserve"> these programs is typically not negotiated</w:t>
      </w:r>
      <w:r w:rsidR="00BC45F4" w:rsidRPr="00817B9F">
        <w:t>.</w:t>
      </w:r>
      <w:r w:rsidR="00BD435D" w:rsidRPr="00817B9F">
        <w:t xml:space="preserve"> </w:t>
      </w:r>
    </w:p>
    <w:p w14:paraId="45DBF864" w14:textId="06A2984D" w:rsidR="006D29A5" w:rsidRPr="00817B9F" w:rsidRDefault="002C68E8" w:rsidP="006D29A5">
      <w:pPr>
        <w:pStyle w:val="NumberedParagraphs"/>
      </w:pPr>
      <w:r w:rsidRPr="00817B9F">
        <w:t xml:space="preserve">Assessing who bears health care cost increases or decreases requires </w:t>
      </w:r>
      <w:r w:rsidR="00D2428D" w:rsidRPr="00817B9F">
        <w:t xml:space="preserve">an </w:t>
      </w:r>
      <w:r w:rsidRPr="00817B9F">
        <w:t xml:space="preserve">understanding </w:t>
      </w:r>
      <w:r w:rsidR="00883B09" w:rsidRPr="00817B9F">
        <w:t xml:space="preserve">of </w:t>
      </w:r>
      <w:r w:rsidRPr="00817B9F">
        <w:t>how</w:t>
      </w:r>
      <w:r w:rsidR="00944123" w:rsidRPr="00817B9F">
        <w:t xml:space="preserve">, and </w:t>
      </w:r>
      <w:r w:rsidRPr="00817B9F">
        <w:t>to what extent</w:t>
      </w:r>
      <w:r w:rsidR="00944123" w:rsidRPr="00817B9F">
        <w:t>,</w:t>
      </w:r>
      <w:r w:rsidRPr="00817B9F">
        <w:t xml:space="preserve"> those changes are passed on to various parties. That is, to the extent that the proposed </w:t>
      </w:r>
      <w:r w:rsidR="005E5EFE" w:rsidRPr="00817B9F">
        <w:t>project</w:t>
      </w:r>
      <w:r w:rsidRPr="00817B9F">
        <w:t xml:space="preserve"> resul</w:t>
      </w:r>
      <w:r w:rsidR="005E5EFE" w:rsidRPr="00817B9F">
        <w:t>ts</w:t>
      </w:r>
      <w:r w:rsidRPr="00817B9F">
        <w:t xml:space="preserve"> in </w:t>
      </w:r>
      <w:r w:rsidR="003B45EC" w:rsidRPr="00817B9F">
        <w:t>a reduction of health care</w:t>
      </w:r>
      <w:r w:rsidRPr="00817B9F">
        <w:t xml:space="preserve"> costs </w:t>
      </w:r>
      <w:r w:rsidR="003B45EC" w:rsidRPr="00817B9F">
        <w:t>because care is delivered</w:t>
      </w:r>
      <w:r w:rsidRPr="00817B9F">
        <w:t xml:space="preserve"> more efficiently, are these cost reductions passed on to </w:t>
      </w:r>
      <w:r w:rsidR="003B45EC" w:rsidRPr="00817B9F">
        <w:t xml:space="preserve">third-party </w:t>
      </w:r>
      <w:r w:rsidRPr="00817B9F">
        <w:t>payors</w:t>
      </w:r>
      <w:r w:rsidR="00486CA0" w:rsidRPr="00817B9F">
        <w:t>,</w:t>
      </w:r>
      <w:r w:rsidRPr="00817B9F">
        <w:t xml:space="preserve"> and do </w:t>
      </w:r>
      <w:r w:rsidR="00792C8A" w:rsidRPr="00817B9F">
        <w:t xml:space="preserve">those </w:t>
      </w:r>
      <w:r w:rsidRPr="00817B9F">
        <w:t xml:space="preserve">payors, in turn, pass them onto employers that purchase </w:t>
      </w:r>
      <w:r w:rsidR="00792C8A" w:rsidRPr="00817B9F">
        <w:t>health</w:t>
      </w:r>
      <w:r w:rsidRPr="00817B9F">
        <w:t xml:space="preserve"> plans on behalf of their </w:t>
      </w:r>
      <w:r w:rsidR="00C01502" w:rsidRPr="00817B9F">
        <w:t>workers</w:t>
      </w:r>
      <w:r w:rsidRPr="00817B9F">
        <w:t xml:space="preserve">? </w:t>
      </w:r>
      <w:r w:rsidR="002352C6" w:rsidRPr="00817B9F">
        <w:t xml:space="preserve">Conversely, </w:t>
      </w:r>
      <w:r w:rsidR="00703F1F" w:rsidRPr="00817B9F">
        <w:t xml:space="preserve">if the proposed project </w:t>
      </w:r>
      <w:r w:rsidR="00F80FEE" w:rsidRPr="00817B9F">
        <w:t>increase</w:t>
      </w:r>
      <w:r w:rsidR="00575BBA" w:rsidRPr="00817B9F">
        <w:t>s</w:t>
      </w:r>
      <w:r w:rsidR="00F80FEE" w:rsidRPr="00817B9F">
        <w:t xml:space="preserve"> the bargaining leverage of MGB with commercial payors</w:t>
      </w:r>
      <w:r w:rsidR="005F29E9" w:rsidRPr="00817B9F">
        <w:t xml:space="preserve"> and negotiated prices increase commensurately, </w:t>
      </w:r>
      <w:r w:rsidR="00B31486" w:rsidRPr="00817B9F">
        <w:t>do</w:t>
      </w:r>
      <w:r w:rsidR="000E6B9F" w:rsidRPr="00817B9F">
        <w:t xml:space="preserve"> those </w:t>
      </w:r>
      <w:r w:rsidR="00B31486" w:rsidRPr="00817B9F">
        <w:t xml:space="preserve">payors increase premiums for the health plans they insure? </w:t>
      </w:r>
      <w:r w:rsidRPr="00817B9F">
        <w:t xml:space="preserve">An additional, related question is whether patients </w:t>
      </w:r>
      <w:r w:rsidR="00996E16" w:rsidRPr="00817B9F">
        <w:t>who receive care</w:t>
      </w:r>
      <w:r w:rsidRPr="00817B9F">
        <w:t xml:space="preserve"> are directly affected, either through the out-of-pocket payments </w:t>
      </w:r>
      <w:r w:rsidR="00996E16" w:rsidRPr="00817B9F">
        <w:t>(</w:t>
      </w:r>
      <w:r w:rsidR="00996E16" w:rsidRPr="00817B9F">
        <w:rPr>
          <w:i/>
          <w:iCs/>
        </w:rPr>
        <w:t>i.e.</w:t>
      </w:r>
      <w:r w:rsidR="00996E16" w:rsidRPr="00817B9F">
        <w:t>, coinsurance amounts or deductible payments)</w:t>
      </w:r>
      <w:r w:rsidRPr="00817B9F">
        <w:t xml:space="preserve"> they make or through changes in their wages or the proportion of </w:t>
      </w:r>
      <w:r w:rsidR="00B71D7E" w:rsidRPr="00817B9F">
        <w:t xml:space="preserve">health plan </w:t>
      </w:r>
      <w:r w:rsidRPr="00817B9F">
        <w:t>premiums that they must pay.</w:t>
      </w:r>
    </w:p>
    <w:p w14:paraId="15ACCE8A" w14:textId="7C448D02" w:rsidR="00D10E84" w:rsidRPr="00817B9F" w:rsidRDefault="00D708CE" w:rsidP="001A59C8">
      <w:pPr>
        <w:pStyle w:val="NumberedParagraphs"/>
      </w:pPr>
      <w:r w:rsidRPr="00817B9F">
        <w:lastRenderedPageBreak/>
        <w:t>Starting</w:t>
      </w:r>
      <w:r w:rsidR="006E3E67" w:rsidRPr="00817B9F">
        <w:t xml:space="preserve"> with the question of whether increases in health</w:t>
      </w:r>
      <w:r w:rsidRPr="00817B9F">
        <w:t xml:space="preserve"> care expenditures are </w:t>
      </w:r>
      <w:r w:rsidR="00B46A71" w:rsidRPr="00817B9F">
        <w:t>passed on by third-party payors in the form of higher premiums, we note that</w:t>
      </w:r>
      <w:r w:rsidR="007A6CEB" w:rsidRPr="00817B9F">
        <w:t xml:space="preserve"> e</w:t>
      </w:r>
      <w:r w:rsidR="00DD1D60" w:rsidRPr="00817B9F">
        <w:t xml:space="preserve">xpenditures on health care services </w:t>
      </w:r>
      <w:r w:rsidR="00A36EBD" w:rsidRPr="00817B9F">
        <w:t xml:space="preserve">received by plan members </w:t>
      </w:r>
      <w:r w:rsidR="00410AE8" w:rsidRPr="00817B9F">
        <w:t xml:space="preserve">comprise </w:t>
      </w:r>
      <w:r w:rsidR="00177F1C" w:rsidRPr="00817B9F">
        <w:t>almost all</w:t>
      </w:r>
      <w:r w:rsidR="00410AE8" w:rsidRPr="00817B9F">
        <w:t xml:space="preserve"> </w:t>
      </w:r>
      <w:r w:rsidR="00E70CFA" w:rsidRPr="00817B9F">
        <w:t xml:space="preserve">health </w:t>
      </w:r>
      <w:r w:rsidR="00410AE8" w:rsidRPr="00817B9F">
        <w:t>plan expenses</w:t>
      </w:r>
      <w:r w:rsidR="00A36EBD" w:rsidRPr="00817B9F">
        <w:t>.</w:t>
      </w:r>
      <w:r w:rsidR="00410AE8" w:rsidRPr="00817B9F">
        <w:t xml:space="preserve"> An analysis conducted by </w:t>
      </w:r>
      <w:r w:rsidR="00410AE8" w:rsidRPr="00817B9F" w:rsidDel="004B7A59">
        <w:t>CMS</w:t>
      </w:r>
      <w:r w:rsidR="00410AE8" w:rsidRPr="00817B9F">
        <w:t xml:space="preserve"> found that slightly </w:t>
      </w:r>
      <w:r w:rsidR="00747EDE" w:rsidRPr="00817B9F">
        <w:t>fewer</w:t>
      </w:r>
      <w:r w:rsidR="00410AE8" w:rsidRPr="00817B9F">
        <w:t xml:space="preserve"> than 90 percent of premiums for private health insurance in 2019 were used to pay for health care services received by plan members.</w:t>
      </w:r>
      <w:r w:rsidR="00410AE8" w:rsidRPr="00817B9F">
        <w:rPr>
          <w:rStyle w:val="FootnoteReference"/>
        </w:rPr>
        <w:footnoteReference w:id="248"/>
      </w:r>
      <w:r w:rsidR="00410AE8" w:rsidRPr="00817B9F">
        <w:t xml:space="preserve"> As expenditures on </w:t>
      </w:r>
      <w:r w:rsidR="00CC5646" w:rsidRPr="00817B9F">
        <w:t xml:space="preserve">health plan </w:t>
      </w:r>
      <w:r w:rsidR="00410AE8" w:rsidRPr="00817B9F">
        <w:t xml:space="preserve">benefits, such as hospital services, increase—either because of an increase in utilization of health care services or an increase in reimbursement for those services—so do health plan premiums. As a general matter of economics, increased costs are passed on to consumers in the form of higher prices, with the precise magnitude of the increase in prices resulting from an increase in costs </w:t>
      </w:r>
      <w:r w:rsidR="00E70CFA" w:rsidRPr="00817B9F">
        <w:t xml:space="preserve">depending on the cost </w:t>
      </w:r>
      <w:r w:rsidR="00410AE8" w:rsidRPr="00817B9F">
        <w:t>pass-through rate.</w:t>
      </w:r>
      <w:r w:rsidR="00410AE8" w:rsidRPr="00817B9F">
        <w:rPr>
          <w:rStyle w:val="FootnoteReference"/>
        </w:rPr>
        <w:footnoteReference w:id="249"/>
      </w:r>
      <w:r w:rsidR="00410AE8" w:rsidRPr="00817B9F">
        <w:t xml:space="preserve"> </w:t>
      </w:r>
    </w:p>
    <w:p w14:paraId="5D1E88A4" w14:textId="68E4C1A0" w:rsidR="00410AE8" w:rsidRPr="00817B9F" w:rsidRDefault="00410AE8" w:rsidP="00410AE8">
      <w:pPr>
        <w:pStyle w:val="NumberedParagraphs"/>
      </w:pPr>
      <w:r w:rsidRPr="00817B9F">
        <w:t xml:space="preserve">The pass-through of costs is particularly evident for self-insured health plans. In such plans, the </w:t>
      </w:r>
      <w:r w:rsidR="00433052" w:rsidRPr="00817B9F">
        <w:t xml:space="preserve">health plan administrator </w:t>
      </w:r>
      <w:r w:rsidRPr="00817B9F">
        <w:t xml:space="preserve">will receive and process claims, but the </w:t>
      </w:r>
      <w:r w:rsidR="00433052" w:rsidRPr="00817B9F">
        <w:t xml:space="preserve">employer sponsoring the plan </w:t>
      </w:r>
      <w:r w:rsidRPr="00817B9F">
        <w:t>is ultimately responsible for paying those claims. In the United States, 6</w:t>
      </w:r>
      <w:r w:rsidR="00B73E37" w:rsidRPr="00817B9F">
        <w:t>4</w:t>
      </w:r>
      <w:r w:rsidRPr="00817B9F">
        <w:t xml:space="preserve"> percent of people enrolled in private employer-sponsored health plans are enrolled in self-insured plans.</w:t>
      </w:r>
      <w:r w:rsidRPr="00817B9F">
        <w:rPr>
          <w:rStyle w:val="FootnoteReference"/>
        </w:rPr>
        <w:footnoteReference w:id="250"/>
      </w:r>
      <w:r w:rsidRPr="00817B9F">
        <w:t xml:space="preserve"> For </w:t>
      </w:r>
      <w:r w:rsidR="00195E33" w:rsidRPr="00817B9F">
        <w:t xml:space="preserve">fully </w:t>
      </w:r>
      <w:r w:rsidRPr="00817B9F">
        <w:t xml:space="preserve">insured </w:t>
      </w:r>
      <w:r w:rsidR="00195E33" w:rsidRPr="00817B9F">
        <w:t>health</w:t>
      </w:r>
      <w:r w:rsidRPr="00817B9F">
        <w:t xml:space="preserve"> plans, the premiums for the plan are </w:t>
      </w:r>
      <w:r w:rsidR="00195E33" w:rsidRPr="00817B9F">
        <w:t xml:space="preserve">typically </w:t>
      </w:r>
      <w:r w:rsidRPr="00817B9F">
        <w:t xml:space="preserve">established at the beginning of the plan year and cannot be subsequently adjusted during the plan year. However, this does not mean that participants in those plans are insulated from the effects of increases in expenditures on health care services. Premiums for fully insured plans are </w:t>
      </w:r>
      <w:r w:rsidR="00195E33" w:rsidRPr="00817B9F">
        <w:t>often</w:t>
      </w:r>
      <w:r w:rsidRPr="00817B9F">
        <w:t xml:space="preserve"> determined on an annual basis, and claims </w:t>
      </w:r>
      <w:r w:rsidRPr="00817B9F">
        <w:lastRenderedPageBreak/>
        <w:t>incurred by plan participants in the previous year can affect premiums for the plan in subsequent years.</w:t>
      </w:r>
      <w:r w:rsidRPr="00817B9F">
        <w:rPr>
          <w:rStyle w:val="FootnoteReference"/>
        </w:rPr>
        <w:footnoteReference w:id="251"/>
      </w:r>
    </w:p>
    <w:p w14:paraId="15A7CE4A" w14:textId="034C8008" w:rsidR="00410AE8" w:rsidRPr="00817B9F" w:rsidRDefault="00410AE8" w:rsidP="00F054C7">
      <w:pPr>
        <w:pStyle w:val="NumberedParagraphs"/>
      </w:pPr>
      <w:r w:rsidRPr="00817B9F">
        <w:t>The relationship between health plan premiums and expenditures on health care services is evident in longitudinal data compiled by CMS on premiums and health care service expenditures</w:t>
      </w:r>
      <w:r w:rsidR="00862DE0" w:rsidRPr="00817B9F">
        <w:t xml:space="preserve"> </w:t>
      </w:r>
      <w:r w:rsidR="003809E8" w:rsidRPr="00817B9F">
        <w:t>that is</w:t>
      </w:r>
      <w:r w:rsidR="00862DE0" w:rsidRPr="00817B9F">
        <w:t xml:space="preserve"> shown in Figure MGH2</w:t>
      </w:r>
      <w:r w:rsidR="00C27975" w:rsidRPr="00817B9F">
        <w:t>8</w:t>
      </w:r>
      <w:r w:rsidRPr="00817B9F">
        <w:t>.</w:t>
      </w:r>
      <w:r w:rsidRPr="00817B9F">
        <w:rPr>
          <w:rStyle w:val="FootnoteReference"/>
        </w:rPr>
        <w:footnoteReference w:id="252"/>
      </w:r>
      <w:r w:rsidRPr="00817B9F">
        <w:t xml:space="preserve"> Two features of these data are noteworthy. First, </w:t>
      </w:r>
      <w:r w:rsidR="005C5DCD" w:rsidRPr="00817B9F">
        <w:t>a</w:t>
      </w:r>
      <w:r w:rsidRPr="00817B9F">
        <w:t xml:space="preserve">s </w:t>
      </w:r>
      <w:r w:rsidR="00D10E84" w:rsidRPr="00817B9F">
        <w:t>we</w:t>
      </w:r>
      <w:r w:rsidRPr="00817B9F">
        <w:t xml:space="preserve"> noted above, in 2019 almost 90 percent of health plan premiums were used to pay participants’ claims</w:t>
      </w:r>
      <w:r w:rsidR="00935B45" w:rsidRPr="00817B9F">
        <w:t>—</w:t>
      </w:r>
      <w:r w:rsidR="000A05B9" w:rsidRPr="00817B9F">
        <w:t xml:space="preserve">almost all premiums collected by health plans </w:t>
      </w:r>
      <w:r w:rsidR="00143FE7" w:rsidRPr="00817B9F">
        <w:t>were</w:t>
      </w:r>
      <w:r w:rsidR="000A05B9" w:rsidRPr="00817B9F">
        <w:t xml:space="preserve"> used to pay for health care services</w:t>
      </w:r>
      <w:r w:rsidRPr="00817B9F">
        <w:t>. Second, CMS’s data show that expenditures on health care services increased substantially between 2010 and 2019, and health plan premiums increased at almost the same rate. Expenditures on health care services increased by an average annual rate of 4.4 percent over this period, while health plan premiums increased by an average annual rate of 4.3 percent (</w:t>
      </w:r>
      <w:r w:rsidRPr="00817B9F">
        <w:rPr>
          <w:i/>
        </w:rPr>
        <w:t>i.e.</w:t>
      </w:r>
      <w:r w:rsidRPr="00817B9F">
        <w:t xml:space="preserve">, slightly less than the rate of increase of health care costs). These data show, therefore, that health care expenditures are the primary determinant of health plan premiums, and as those expenditures increase </w:t>
      </w:r>
      <w:r w:rsidR="007A2F85" w:rsidRPr="00817B9F">
        <w:t>(or decrease)</w:t>
      </w:r>
      <w:r w:rsidR="00210C43" w:rsidRPr="00817B9F">
        <w:t>,</w:t>
      </w:r>
      <w:r w:rsidR="007A2F85" w:rsidRPr="00817B9F">
        <w:t xml:space="preserve"> </w:t>
      </w:r>
      <w:r w:rsidRPr="00817B9F">
        <w:t xml:space="preserve">so do premiums. </w:t>
      </w:r>
    </w:p>
    <w:p w14:paraId="22D4F117" w14:textId="383A6F1C" w:rsidR="002C68E8" w:rsidRPr="00817B9F" w:rsidRDefault="001657F0" w:rsidP="00DB5768">
      <w:pPr>
        <w:pStyle w:val="NumberedParagraphs"/>
      </w:pPr>
      <w:r w:rsidRPr="00817B9F">
        <w:t>Given the strong relation between health care expenditures and health plan premiums, we turn next to the</w:t>
      </w:r>
      <w:r w:rsidR="002C68E8" w:rsidRPr="00817B9F">
        <w:t xml:space="preserve"> incidence of increases in employer-sponsored health insurance premiums on </w:t>
      </w:r>
      <w:r w:rsidR="00196C09" w:rsidRPr="00817B9F">
        <w:t>employers</w:t>
      </w:r>
      <w:r w:rsidR="002C68E8" w:rsidRPr="00817B9F">
        <w:t xml:space="preserve"> and their </w:t>
      </w:r>
      <w:r w:rsidR="00196C09" w:rsidRPr="00817B9F">
        <w:t>workers</w:t>
      </w:r>
      <w:r w:rsidRPr="00817B9F">
        <w:t xml:space="preserve">. This </w:t>
      </w:r>
      <w:r w:rsidR="00F50BBA" w:rsidRPr="00817B9F">
        <w:t>question</w:t>
      </w:r>
      <w:r w:rsidR="005833DB" w:rsidRPr="00817B9F">
        <w:t xml:space="preserve"> has been addressed in several economic studies</w:t>
      </w:r>
      <w:r w:rsidR="00F50BBA" w:rsidRPr="00817B9F">
        <w:t>, which</w:t>
      </w:r>
      <w:r w:rsidR="002C68E8" w:rsidRPr="00817B9F">
        <w:t xml:space="preserve"> are based on models that recognize that this incidence depends on elasticities of labor supply and demand, regulatory and institutional constraints on wages (</w:t>
      </w:r>
      <w:r w:rsidR="002C68E8" w:rsidRPr="00817B9F">
        <w:rPr>
          <w:i/>
          <w:iCs/>
        </w:rPr>
        <w:t>e.g.</w:t>
      </w:r>
      <w:r w:rsidR="002C68E8" w:rsidRPr="00817B9F">
        <w:t>, minimum hourly wages)</w:t>
      </w:r>
      <w:r w:rsidR="00407FFC" w:rsidRPr="00817B9F">
        <w:t>,</w:t>
      </w:r>
      <w:r w:rsidR="002C68E8" w:rsidRPr="00817B9F">
        <w:t xml:space="preserve"> and the value that </w:t>
      </w:r>
      <w:r w:rsidR="00C01502" w:rsidRPr="00817B9F">
        <w:t>workers</w:t>
      </w:r>
      <w:r w:rsidR="002C68E8" w:rsidRPr="00817B9F">
        <w:t xml:space="preserve"> place on health insurance. The</w:t>
      </w:r>
      <w:r w:rsidR="00164658" w:rsidRPr="00817B9F">
        <w:t>se studies</w:t>
      </w:r>
      <w:r w:rsidR="002C68E8" w:rsidRPr="00817B9F">
        <w:t xml:space="preserve"> recognize that workers consider their total compensation (</w:t>
      </w:r>
      <w:r w:rsidR="00196C09" w:rsidRPr="00817B9F">
        <w:rPr>
          <w:i/>
          <w:iCs/>
        </w:rPr>
        <w:t>i.e.</w:t>
      </w:r>
      <w:r w:rsidR="00196C09" w:rsidRPr="00817B9F">
        <w:t xml:space="preserve">, </w:t>
      </w:r>
      <w:r w:rsidR="002C68E8" w:rsidRPr="00817B9F">
        <w:t xml:space="preserve">wages plus </w:t>
      </w:r>
      <w:r w:rsidR="00196C09" w:rsidRPr="00817B9F">
        <w:t xml:space="preserve">non-wage </w:t>
      </w:r>
      <w:r w:rsidR="002C68E8" w:rsidRPr="00817B9F">
        <w:t>benefits) in evaluating alternative employment opportunities and how many hours to work</w:t>
      </w:r>
      <w:r w:rsidR="00196C09" w:rsidRPr="00817B9F">
        <w:t xml:space="preserve"> at the prevailing level of compensation</w:t>
      </w:r>
      <w:r w:rsidR="002C68E8" w:rsidRPr="00817B9F">
        <w:t xml:space="preserve">. These analyses generally find that workers </w:t>
      </w:r>
      <w:r w:rsidR="00196C09" w:rsidRPr="00817B9F">
        <w:t>bear</w:t>
      </w:r>
      <w:r w:rsidR="002C68E8" w:rsidRPr="00817B9F">
        <w:t xml:space="preserve"> most of the increase in the cost of health insurance premiums through reduced wages</w:t>
      </w:r>
      <w:r w:rsidR="00515E58" w:rsidRPr="00817B9F">
        <w:t>—</w:t>
      </w:r>
      <w:r w:rsidR="002C68E8" w:rsidRPr="00817B9F">
        <w:t>either directly or indirectly through increased required contribution to health insurance premiums</w:t>
      </w:r>
      <w:r w:rsidR="00515E58" w:rsidRPr="00817B9F">
        <w:t>—</w:t>
      </w:r>
      <w:r w:rsidR="002C68E8" w:rsidRPr="00817B9F">
        <w:t xml:space="preserve">or hours. While there does not appear to be any published literature </w:t>
      </w:r>
      <w:r w:rsidR="002C68E8" w:rsidRPr="00817B9F">
        <w:lastRenderedPageBreak/>
        <w:t>on the effect of premium reductions</w:t>
      </w:r>
      <w:r w:rsidR="00B467EE" w:rsidRPr="00817B9F">
        <w:t xml:space="preserve"> </w:t>
      </w:r>
      <w:r w:rsidR="00691A88" w:rsidRPr="00817B9F">
        <w:t>because</w:t>
      </w:r>
      <w:r w:rsidR="00B467EE" w:rsidRPr="00817B9F">
        <w:t xml:space="preserve"> premiums </w:t>
      </w:r>
      <w:r w:rsidR="00691A88" w:rsidRPr="00817B9F">
        <w:t>generally increase year-over-year</w:t>
      </w:r>
      <w:r w:rsidR="002C68E8" w:rsidRPr="00817B9F">
        <w:t xml:space="preserve">, one would expect that these would also </w:t>
      </w:r>
      <w:r w:rsidR="005F215B" w:rsidRPr="00817B9F">
        <w:t xml:space="preserve">pass on </w:t>
      </w:r>
      <w:r w:rsidR="002C68E8" w:rsidRPr="00817B9F">
        <w:t xml:space="preserve">to workers </w:t>
      </w:r>
      <w:r w:rsidR="005F215B" w:rsidRPr="00817B9F">
        <w:t xml:space="preserve">primarily </w:t>
      </w:r>
      <w:r w:rsidR="002C68E8" w:rsidRPr="00817B9F">
        <w:t xml:space="preserve">in the form of higher wages. </w:t>
      </w:r>
    </w:p>
    <w:p w14:paraId="5E31D43F" w14:textId="2F8BB125" w:rsidR="002C68E8" w:rsidRPr="00817B9F" w:rsidRDefault="002C68E8" w:rsidP="00843D6E">
      <w:pPr>
        <w:pStyle w:val="NumberedParagraphs"/>
      </w:pPr>
      <w:r w:rsidRPr="00817B9F">
        <w:t>Kolstad and Kowalski</w:t>
      </w:r>
      <w:r w:rsidR="00843D6E" w:rsidRPr="00817B9F">
        <w:t xml:space="preserve"> (</w:t>
      </w:r>
      <w:r w:rsidR="00836CDE" w:rsidRPr="00817B9F">
        <w:t>2016)</w:t>
      </w:r>
      <w:r w:rsidRPr="00817B9F">
        <w:t xml:space="preserve"> analyzed Massachusetts’ adoption of individual and employer mandates in 2006</w:t>
      </w:r>
      <w:r w:rsidR="00BE78FA" w:rsidRPr="00817B9F">
        <w:t>.</w:t>
      </w:r>
      <w:r w:rsidR="00BE78FA" w:rsidRPr="00817B9F">
        <w:rPr>
          <w:rStyle w:val="FootnoteReference"/>
        </w:rPr>
        <w:footnoteReference w:id="253"/>
      </w:r>
      <w:r w:rsidRPr="00817B9F">
        <w:t xml:space="preserve"> The</w:t>
      </w:r>
      <w:r w:rsidR="00BE78FA" w:rsidRPr="00817B9F">
        <w:t xml:space="preserve"> authors</w:t>
      </w:r>
      <w:r w:rsidRPr="00817B9F">
        <w:t xml:space="preserve"> found that annual wages for </w:t>
      </w:r>
      <w:r w:rsidR="00C01502" w:rsidRPr="00817B9F">
        <w:t>workers</w:t>
      </w:r>
      <w:r w:rsidRPr="00817B9F">
        <w:t xml:space="preserve"> with employer-sponsored insurance </w:t>
      </w:r>
      <w:r w:rsidR="00BE78FA" w:rsidRPr="00817B9F">
        <w:t>were</w:t>
      </w:r>
      <w:r w:rsidRPr="00817B9F">
        <w:t xml:space="preserve"> lower by about $2,800 relative to what these same </w:t>
      </w:r>
      <w:r w:rsidR="00C01502" w:rsidRPr="00817B9F">
        <w:t>worker</w:t>
      </w:r>
      <w:r w:rsidR="0076528E" w:rsidRPr="00817B9F">
        <w:t>s</w:t>
      </w:r>
      <w:r w:rsidRPr="00817B9F">
        <w:t xml:space="preserve"> would have been paid without </w:t>
      </w:r>
      <w:r w:rsidR="00BE78FA" w:rsidRPr="00817B9F">
        <w:t>employer-sponsored insurance</w:t>
      </w:r>
      <w:r w:rsidRPr="00817B9F">
        <w:t xml:space="preserve">. They calculated that this reduction </w:t>
      </w:r>
      <w:r w:rsidR="00BE4E8C" w:rsidRPr="00817B9F">
        <w:t>in wages</w:t>
      </w:r>
      <w:r w:rsidRPr="00817B9F">
        <w:t xml:space="preserve"> was slightly less than the amount that employers typically spent on </w:t>
      </w:r>
      <w:r w:rsidR="00BE4E8C" w:rsidRPr="00817B9F">
        <w:t>insurance coverage</w:t>
      </w:r>
      <w:r w:rsidR="00256532" w:rsidRPr="00817B9F">
        <w:t xml:space="preserve"> (</w:t>
      </w:r>
      <w:r w:rsidR="00256532" w:rsidRPr="00817B9F">
        <w:rPr>
          <w:i/>
        </w:rPr>
        <w:t>i.e.</w:t>
      </w:r>
      <w:r w:rsidR="00256532" w:rsidRPr="00817B9F">
        <w:t xml:space="preserve">, the cost of health insurance was largely borne by </w:t>
      </w:r>
      <w:r w:rsidR="00C01502" w:rsidRPr="00817B9F">
        <w:t>workers</w:t>
      </w:r>
      <w:r w:rsidR="00160E6E" w:rsidRPr="00817B9F">
        <w:t xml:space="preserve"> in the form of lower </w:t>
      </w:r>
      <w:r w:rsidR="00EB6D53" w:rsidRPr="00817B9F">
        <w:t>wages)</w:t>
      </w:r>
      <w:r w:rsidRPr="00817B9F">
        <w:t>.</w:t>
      </w:r>
    </w:p>
    <w:p w14:paraId="38A86D5F" w14:textId="6AABEC32" w:rsidR="002C68E8" w:rsidRPr="00817B9F" w:rsidRDefault="002C68E8" w:rsidP="003C5C97">
      <w:pPr>
        <w:pStyle w:val="NumberedParagraphs"/>
      </w:pPr>
      <w:r w:rsidRPr="00817B9F">
        <w:t>Anand</w:t>
      </w:r>
      <w:r w:rsidR="008D0681" w:rsidRPr="00817B9F">
        <w:t xml:space="preserve"> (2017)</w:t>
      </w:r>
      <w:r w:rsidRPr="00817B9F">
        <w:t xml:space="preserve"> assesse</w:t>
      </w:r>
      <w:r w:rsidR="00F128E5" w:rsidRPr="00817B9F">
        <w:t>d</w:t>
      </w:r>
      <w:r w:rsidRPr="00817B9F">
        <w:t xml:space="preserve"> the relation</w:t>
      </w:r>
      <w:r w:rsidR="00961B2F" w:rsidRPr="00817B9F">
        <w:t>ship</w:t>
      </w:r>
      <w:r w:rsidRPr="00817B9F">
        <w:t xml:space="preserve"> between </w:t>
      </w:r>
      <w:r w:rsidR="00961B2F" w:rsidRPr="00817B9F">
        <w:t xml:space="preserve">the </w:t>
      </w:r>
      <w:r w:rsidRPr="00817B9F">
        <w:t xml:space="preserve">rising </w:t>
      </w:r>
      <w:r w:rsidR="00961B2F" w:rsidRPr="00817B9F">
        <w:t xml:space="preserve">costs of </w:t>
      </w:r>
      <w:r w:rsidR="006B2536" w:rsidRPr="00817B9F">
        <w:t xml:space="preserve">employer-sponsored </w:t>
      </w:r>
      <w:r w:rsidR="00961B2F" w:rsidRPr="00817B9F">
        <w:t>insurance</w:t>
      </w:r>
      <w:r w:rsidRPr="00817B9F">
        <w:t xml:space="preserve"> cost and </w:t>
      </w:r>
      <w:r w:rsidR="00C01502" w:rsidRPr="00817B9F">
        <w:t>worker</w:t>
      </w:r>
      <w:r w:rsidRPr="00817B9F">
        <w:t xml:space="preserve"> compensation between 2003 and 2010, analyzing separately the effects on wages, non-health fringe benefits, and </w:t>
      </w:r>
      <w:r w:rsidR="00C01502" w:rsidRPr="00817B9F">
        <w:t>worker</w:t>
      </w:r>
      <w:r w:rsidRPr="00817B9F">
        <w:t xml:space="preserve"> contributions to </w:t>
      </w:r>
      <w:r w:rsidR="00BE317B" w:rsidRPr="00817B9F">
        <w:t>health plan</w:t>
      </w:r>
      <w:r w:rsidRPr="00817B9F">
        <w:t xml:space="preserve"> premiums.</w:t>
      </w:r>
      <w:r w:rsidR="008D0681" w:rsidRPr="00817B9F">
        <w:rPr>
          <w:rStyle w:val="FootnoteReference"/>
        </w:rPr>
        <w:footnoteReference w:id="254"/>
      </w:r>
      <w:r w:rsidRPr="00817B9F">
        <w:t xml:space="preserve"> </w:t>
      </w:r>
      <w:r w:rsidR="00BE317B" w:rsidRPr="00817B9F">
        <w:t>T</w:t>
      </w:r>
      <w:r w:rsidRPr="00817B9F">
        <w:t>he</w:t>
      </w:r>
      <w:r w:rsidR="00BE317B" w:rsidRPr="00817B9F">
        <w:t xml:space="preserve"> author</w:t>
      </w:r>
      <w:r w:rsidRPr="00817B9F">
        <w:t xml:space="preserve"> finds that total hourly compensation decreases by </w:t>
      </w:r>
      <w:r w:rsidR="005C4FD5" w:rsidRPr="00817B9F">
        <w:t>$0</w:t>
      </w:r>
      <w:r w:rsidRPr="00817B9F">
        <w:t xml:space="preserve">.52 </w:t>
      </w:r>
      <w:r w:rsidR="005C4FD5" w:rsidRPr="00817B9F">
        <w:t>for</w:t>
      </w:r>
      <w:r w:rsidRPr="00817B9F">
        <w:t xml:space="preserve"> every $1 increase in </w:t>
      </w:r>
      <w:r w:rsidR="005C4FD5" w:rsidRPr="00817B9F">
        <w:t>the cost of employer-sponsored insurance</w:t>
      </w:r>
      <w:r w:rsidRPr="00817B9F">
        <w:t xml:space="preserve">, with almost all the decrease attributable to higher </w:t>
      </w:r>
      <w:r w:rsidR="00C01502" w:rsidRPr="00817B9F">
        <w:t>worker</w:t>
      </w:r>
      <w:r w:rsidRPr="00817B9F">
        <w:t xml:space="preserve"> contributions to </w:t>
      </w:r>
      <w:r w:rsidR="005C4FD5" w:rsidRPr="00817B9F">
        <w:t>health plans</w:t>
      </w:r>
      <w:r w:rsidRPr="00817B9F">
        <w:t>, while hourly wages and non-health benefits remain relatively unchanged.</w:t>
      </w:r>
    </w:p>
    <w:p w14:paraId="3078B259" w14:textId="5128E910" w:rsidR="002C68E8" w:rsidRPr="00817B9F" w:rsidRDefault="002C68E8" w:rsidP="005C4FD5">
      <w:pPr>
        <w:pStyle w:val="NumberedParagraphs"/>
      </w:pPr>
      <w:r w:rsidRPr="00817B9F">
        <w:t>Baicker and Chandra</w:t>
      </w:r>
      <w:r w:rsidR="0037270C" w:rsidRPr="00817B9F">
        <w:t xml:space="preserve"> (2006)</w:t>
      </w:r>
      <w:r w:rsidRPr="00817B9F">
        <w:t xml:space="preserve"> examine</w:t>
      </w:r>
      <w:r w:rsidR="00864FEE" w:rsidRPr="00817B9F">
        <w:t>d</w:t>
      </w:r>
      <w:r w:rsidRPr="00817B9F">
        <w:t xml:space="preserve"> the effect of rising health insurance premiums between 1996 and 2002 on wages, employment, and the proportions of full</w:t>
      </w:r>
      <w:r w:rsidR="00CF7C5A" w:rsidRPr="00817B9F">
        <w:t>-</w:t>
      </w:r>
      <w:r w:rsidRPr="00817B9F">
        <w:t xml:space="preserve"> and part</w:t>
      </w:r>
      <w:r w:rsidR="00CF7C5A" w:rsidRPr="00817B9F">
        <w:t>-</w:t>
      </w:r>
      <w:r w:rsidRPr="00817B9F">
        <w:t>time workers</w:t>
      </w:r>
      <w:r w:rsidR="00CF7C5A" w:rsidRPr="00817B9F">
        <w:t xml:space="preserve"> employed by firms</w:t>
      </w:r>
      <w:r w:rsidRPr="00817B9F">
        <w:t>.</w:t>
      </w:r>
      <w:r w:rsidR="0037270C" w:rsidRPr="00817B9F">
        <w:rPr>
          <w:rStyle w:val="FootnoteReference"/>
        </w:rPr>
        <w:footnoteReference w:id="255"/>
      </w:r>
      <w:r w:rsidRPr="00817B9F">
        <w:t xml:space="preserve"> The</w:t>
      </w:r>
      <w:r w:rsidR="008E7D21" w:rsidRPr="00817B9F">
        <w:t xml:space="preserve"> authors use </w:t>
      </w:r>
      <w:r w:rsidRPr="00817B9F">
        <w:t xml:space="preserve">variation in medical malpractice premiums across states and its effect on health insurance premiums to measure </w:t>
      </w:r>
      <w:r w:rsidR="008E7D21" w:rsidRPr="00817B9F">
        <w:t>the</w:t>
      </w:r>
      <w:r w:rsidRPr="00817B9F">
        <w:t xml:space="preserve"> incidence</w:t>
      </w:r>
      <w:r w:rsidR="008E7D21" w:rsidRPr="00817B9F">
        <w:t xml:space="preserve"> of </w:t>
      </w:r>
      <w:r w:rsidRPr="00817B9F">
        <w:t>cost increase</w:t>
      </w:r>
      <w:r w:rsidR="008E7D21" w:rsidRPr="00817B9F">
        <w:t>s in health care services.</w:t>
      </w:r>
      <w:r w:rsidRPr="00817B9F">
        <w:t xml:space="preserve"> </w:t>
      </w:r>
      <w:r w:rsidR="008E7D21" w:rsidRPr="00817B9F">
        <w:t>(</w:t>
      </w:r>
      <w:r w:rsidR="005471B7" w:rsidRPr="00817B9F">
        <w:t>As we discussed above, the authors</w:t>
      </w:r>
      <w:r w:rsidRPr="00817B9F">
        <w:t xml:space="preserve"> assume, based on the economic literature, that the demand for medical services is inelastic so that increases in malpractice premiums are passed on to health insurers, who in turn pass them on to their customers.) They find that a </w:t>
      </w:r>
      <w:r w:rsidR="00923221" w:rsidRPr="00817B9F">
        <w:t>ten</w:t>
      </w:r>
      <w:r w:rsidRPr="00817B9F">
        <w:t xml:space="preserve"> percent increase in health insurance premiums reduces the </w:t>
      </w:r>
      <w:r w:rsidR="00283D66" w:rsidRPr="00817B9F">
        <w:t>likelihood</w:t>
      </w:r>
      <w:r w:rsidRPr="00817B9F">
        <w:t xml:space="preserve"> of being employed by 1.2 percentage points, reduces hours worked by 2.4</w:t>
      </w:r>
      <w:r w:rsidR="00283D66" w:rsidRPr="00817B9F">
        <w:t xml:space="preserve"> percent,</w:t>
      </w:r>
      <w:r w:rsidRPr="00817B9F">
        <w:t xml:space="preserve"> and increases the likelihood that a worker is employed </w:t>
      </w:r>
      <w:r w:rsidRPr="00817B9F">
        <w:lastRenderedPageBreak/>
        <w:t>part</w:t>
      </w:r>
      <w:r w:rsidR="00283D66" w:rsidRPr="00817B9F">
        <w:t>-</w:t>
      </w:r>
      <w:r w:rsidRPr="00817B9F">
        <w:t xml:space="preserve">time by 1.9 percentage points. </w:t>
      </w:r>
      <w:r w:rsidR="00F22C68" w:rsidRPr="00817B9F">
        <w:t>For work</w:t>
      </w:r>
      <w:r w:rsidR="00196084" w:rsidRPr="00817B9F">
        <w:t>er</w:t>
      </w:r>
      <w:r w:rsidR="00F22C68" w:rsidRPr="00817B9F">
        <w:t>s covered by e</w:t>
      </w:r>
      <w:r w:rsidR="006876D7" w:rsidRPr="00817B9F">
        <w:t xml:space="preserve">mployer-sponsored insurance, </w:t>
      </w:r>
      <w:r w:rsidR="00E92C46" w:rsidRPr="00817B9F">
        <w:t>t</w:t>
      </w:r>
      <w:r w:rsidR="006876D7" w:rsidRPr="00817B9F">
        <w:t xml:space="preserve">he increase in premiums reduces </w:t>
      </w:r>
      <w:r w:rsidRPr="00817B9F">
        <w:t xml:space="preserve">wages </w:t>
      </w:r>
      <w:r w:rsidR="00E92C46" w:rsidRPr="00817B9F">
        <w:t>by</w:t>
      </w:r>
      <w:r w:rsidRPr="00817B9F">
        <w:t xml:space="preserve"> 2.3</w:t>
      </w:r>
      <w:r w:rsidR="00E92C46" w:rsidRPr="00817B9F">
        <w:t xml:space="preserve"> percent.</w:t>
      </w:r>
      <w:r w:rsidRPr="00817B9F">
        <w:t xml:space="preserve"> All told, the</w:t>
      </w:r>
      <w:r w:rsidR="00E92C46" w:rsidRPr="00817B9F">
        <w:t xml:space="preserve"> authors</w:t>
      </w:r>
      <w:r w:rsidRPr="00817B9F">
        <w:t xml:space="preserve"> conclude that the cost of rising </w:t>
      </w:r>
      <w:r w:rsidR="00E92C46" w:rsidRPr="00817B9F">
        <w:t>health plan</w:t>
      </w:r>
      <w:r w:rsidRPr="00817B9F">
        <w:t xml:space="preserve"> premiums is borne primarily by workers.</w:t>
      </w:r>
    </w:p>
    <w:p w14:paraId="215EDC32" w14:textId="3C98EC86" w:rsidR="002C68E8" w:rsidRPr="00817B9F" w:rsidRDefault="002C68E8" w:rsidP="00E92C46">
      <w:pPr>
        <w:pStyle w:val="NumberedParagraphs"/>
      </w:pPr>
      <w:r w:rsidRPr="00817B9F">
        <w:t>Gruber</w:t>
      </w:r>
      <w:r w:rsidR="002078D5" w:rsidRPr="00817B9F">
        <w:t xml:space="preserve"> (1994) </w:t>
      </w:r>
      <w:r w:rsidRPr="00817B9F">
        <w:t>examine</w:t>
      </w:r>
      <w:r w:rsidR="001A672B" w:rsidRPr="00817B9F">
        <w:t>d</w:t>
      </w:r>
      <w:r w:rsidRPr="00817B9F">
        <w:t xml:space="preserve"> changes in state and federal laws during the mid</w:t>
      </w:r>
      <w:r w:rsidR="002078D5" w:rsidRPr="00817B9F">
        <w:t>-</w:t>
      </w:r>
      <w:r w:rsidRPr="00817B9F">
        <w:t xml:space="preserve"> and late 1970s that mandated that insurance plans cover maternity benefits to assess who bears the increased cost </w:t>
      </w:r>
      <w:r w:rsidR="007F5821" w:rsidRPr="00817B9F">
        <w:t>associated with</w:t>
      </w:r>
      <w:r w:rsidRPr="00817B9F">
        <w:t xml:space="preserve"> benefit mandates.</w:t>
      </w:r>
      <w:r w:rsidRPr="00817B9F">
        <w:rPr>
          <w:rStyle w:val="FootnoteReference"/>
        </w:rPr>
        <w:t xml:space="preserve"> </w:t>
      </w:r>
      <w:r w:rsidR="002078D5" w:rsidRPr="00817B9F">
        <w:rPr>
          <w:rStyle w:val="FootnoteReference"/>
        </w:rPr>
        <w:footnoteReference w:id="256"/>
      </w:r>
      <w:r w:rsidRPr="00817B9F">
        <w:t xml:space="preserve"> </w:t>
      </w:r>
      <w:r w:rsidR="004D210A" w:rsidRPr="00817B9F">
        <w:t>The author</w:t>
      </w:r>
      <w:r w:rsidRPr="00817B9F">
        <w:t xml:space="preserve"> finds that the costs of the mandates are shifted completely to workers, with little effect on net labor input.</w:t>
      </w:r>
    </w:p>
    <w:p w14:paraId="77E6FD69" w14:textId="15A7D3B8" w:rsidR="00CB7933" w:rsidRPr="00817B9F" w:rsidRDefault="005F5C40" w:rsidP="00CD7402">
      <w:pPr>
        <w:pStyle w:val="NumberedParagraphs"/>
      </w:pPr>
      <w:r w:rsidRPr="00817B9F">
        <w:t>Lastly, a</w:t>
      </w:r>
      <w:r w:rsidR="002C68E8" w:rsidRPr="00817B9F">
        <w:t xml:space="preserve"> related question is how the cost of </w:t>
      </w:r>
      <w:r w:rsidRPr="00817B9F">
        <w:t>employer-sponsored insurance</w:t>
      </w:r>
      <w:r w:rsidR="002C68E8" w:rsidRPr="00817B9F">
        <w:t xml:space="preserve"> is </w:t>
      </w:r>
      <w:r w:rsidRPr="00817B9F">
        <w:t xml:space="preserve">shared by </w:t>
      </w:r>
      <w:r w:rsidR="002C68E8" w:rsidRPr="00817B9F">
        <w:t>employers</w:t>
      </w:r>
      <w:r w:rsidRPr="00817B9F">
        <w:t xml:space="preserve"> and workers</w:t>
      </w:r>
      <w:r w:rsidR="002C68E8" w:rsidRPr="00817B9F">
        <w:t xml:space="preserve">. Rae </w:t>
      </w:r>
      <w:r w:rsidR="002C68E8" w:rsidRPr="00817B9F">
        <w:rPr>
          <w:i/>
        </w:rPr>
        <w:t>et al</w:t>
      </w:r>
      <w:r w:rsidR="002C68E8" w:rsidRPr="00817B9F">
        <w:t>.</w:t>
      </w:r>
      <w:r w:rsidRPr="00817B9F">
        <w:t xml:space="preserve"> (2019)</w:t>
      </w:r>
      <w:r w:rsidR="002C68E8" w:rsidRPr="00817B9F">
        <w:t xml:space="preserve"> f</w:t>
      </w:r>
      <w:r w:rsidR="003E71BF" w:rsidRPr="00817B9F">
        <w:t>ound</w:t>
      </w:r>
      <w:r w:rsidR="002C68E8" w:rsidRPr="00817B9F">
        <w:t xml:space="preserve"> that in 2018, large employers paid approximately two</w:t>
      </w:r>
      <w:r w:rsidR="006A759F" w:rsidRPr="00817B9F">
        <w:t>-</w:t>
      </w:r>
      <w:r w:rsidR="002C68E8" w:rsidRPr="00817B9F">
        <w:t xml:space="preserve">thirds of the cost of family policies for their </w:t>
      </w:r>
      <w:r w:rsidR="00C01502" w:rsidRPr="00817B9F">
        <w:t>workers</w:t>
      </w:r>
      <w:r w:rsidR="002C68E8" w:rsidRPr="00817B9F">
        <w:t xml:space="preserve">, while </w:t>
      </w:r>
      <w:r w:rsidR="00C01502" w:rsidRPr="00817B9F">
        <w:t>workers</w:t>
      </w:r>
      <w:r w:rsidR="002C68E8" w:rsidRPr="00817B9F">
        <w:t xml:space="preserve"> bore the remaining one</w:t>
      </w:r>
      <w:r w:rsidR="006A759F" w:rsidRPr="00817B9F">
        <w:t>-</w:t>
      </w:r>
      <w:r w:rsidR="002C68E8" w:rsidRPr="00817B9F">
        <w:t>third of the cost</w:t>
      </w:r>
      <w:r w:rsidR="006A759F" w:rsidRPr="00817B9F">
        <w:t>.</w:t>
      </w:r>
      <w:r w:rsidR="006A759F" w:rsidRPr="00817B9F">
        <w:rPr>
          <w:rStyle w:val="FootnoteReference"/>
        </w:rPr>
        <w:t xml:space="preserve"> </w:t>
      </w:r>
      <w:r w:rsidR="00845221" w:rsidRPr="00817B9F">
        <w:rPr>
          <w:rStyle w:val="FootnoteReference"/>
        </w:rPr>
        <w:footnoteReference w:id="257"/>
      </w:r>
      <w:r w:rsidR="00845221" w:rsidRPr="00817B9F">
        <w:t xml:space="preserve"> </w:t>
      </w:r>
      <w:r w:rsidR="006A759F" w:rsidRPr="00817B9F">
        <w:t xml:space="preserve">Of </w:t>
      </w:r>
      <w:r w:rsidR="003E71BF" w:rsidRPr="00817B9F">
        <w:t xml:space="preserve">the cost borne by workers, </w:t>
      </w:r>
      <w:r w:rsidR="0060470C" w:rsidRPr="00817B9F">
        <w:t>approximately two-thirds was</w:t>
      </w:r>
      <w:r w:rsidR="002C68E8" w:rsidRPr="00817B9F">
        <w:t xml:space="preserve"> </w:t>
      </w:r>
      <w:r w:rsidR="00845221" w:rsidRPr="00817B9F">
        <w:t>related</w:t>
      </w:r>
      <w:r w:rsidR="002C68E8" w:rsidRPr="00817B9F">
        <w:t xml:space="preserve"> to premium contributions and </w:t>
      </w:r>
      <w:r w:rsidR="00845221" w:rsidRPr="00817B9F">
        <w:t>one-third was related</w:t>
      </w:r>
      <w:r w:rsidR="002C68E8" w:rsidRPr="00817B9F">
        <w:t xml:space="preserve"> to cost-sharing </w:t>
      </w:r>
      <w:r w:rsidR="00845221" w:rsidRPr="00817B9F">
        <w:t>in the form</w:t>
      </w:r>
      <w:r w:rsidR="002C68E8" w:rsidRPr="00817B9F">
        <w:t xml:space="preserve"> of out</w:t>
      </w:r>
      <w:r w:rsidR="00845221" w:rsidRPr="00817B9F">
        <w:t>-</w:t>
      </w:r>
      <w:r w:rsidR="002C68E8" w:rsidRPr="00817B9F">
        <w:t>of</w:t>
      </w:r>
      <w:r w:rsidR="00845221" w:rsidRPr="00817B9F">
        <w:t>-</w:t>
      </w:r>
      <w:r w:rsidR="002C68E8" w:rsidRPr="00817B9F">
        <w:t>pocket payments</w:t>
      </w:r>
      <w:r w:rsidR="00FD379D" w:rsidRPr="00817B9F">
        <w:t xml:space="preserve"> such as copayments, coinsurance, and deductibles</w:t>
      </w:r>
      <w:r w:rsidR="002C68E8" w:rsidRPr="00817B9F">
        <w:t>. The percentage of total cost born</w:t>
      </w:r>
      <w:r w:rsidR="00FD379D" w:rsidRPr="00817B9F">
        <w:t>e</w:t>
      </w:r>
      <w:r w:rsidR="002C68E8" w:rsidRPr="00817B9F">
        <w:t xml:space="preserve"> by </w:t>
      </w:r>
      <w:r w:rsidR="00FD379D" w:rsidRPr="00817B9F">
        <w:t>workers</w:t>
      </w:r>
      <w:r w:rsidR="002C68E8" w:rsidRPr="00817B9F">
        <w:t xml:space="preserve"> increased from 32 to 34 percent between 2008 and 2018. </w:t>
      </w:r>
      <w:r w:rsidR="00012BF4" w:rsidRPr="00817B9F">
        <w:t xml:space="preserve">This analysis is consistent with data from the </w:t>
      </w:r>
      <w:r w:rsidR="002C68E8" w:rsidRPr="00817B9F">
        <w:t xml:space="preserve">National Compensation Survey </w:t>
      </w:r>
      <w:r w:rsidR="00012BF4" w:rsidRPr="00817B9F">
        <w:t xml:space="preserve">compiled by </w:t>
      </w:r>
      <w:r w:rsidR="002C68E8" w:rsidRPr="00817B9F">
        <w:t>the Bureau of Labor Statistics</w:t>
      </w:r>
      <w:r w:rsidR="00012BF4" w:rsidRPr="00817B9F">
        <w:t xml:space="preserve">, which </w:t>
      </w:r>
      <w:r w:rsidR="001423D0" w:rsidRPr="00817B9F">
        <w:t>indicate</w:t>
      </w:r>
      <w:r w:rsidR="002C68E8" w:rsidRPr="00817B9F">
        <w:t xml:space="preserve"> a two</w:t>
      </w:r>
      <w:r w:rsidR="001423D0" w:rsidRPr="00817B9F">
        <w:t>-</w:t>
      </w:r>
      <w:r w:rsidR="002C68E8" w:rsidRPr="00817B9F">
        <w:t>thirds employer</w:t>
      </w:r>
      <w:r w:rsidR="00094F55" w:rsidRPr="00817B9F">
        <w:t xml:space="preserve"> and</w:t>
      </w:r>
      <w:r w:rsidR="002C68E8" w:rsidRPr="00817B9F">
        <w:t xml:space="preserve"> one</w:t>
      </w:r>
      <w:r w:rsidR="00094F55" w:rsidRPr="00817B9F">
        <w:t>-</w:t>
      </w:r>
      <w:r w:rsidR="002C68E8" w:rsidRPr="00817B9F">
        <w:t xml:space="preserve">third </w:t>
      </w:r>
      <w:r w:rsidR="00094F55" w:rsidRPr="00817B9F">
        <w:t>worker</w:t>
      </w:r>
      <w:r w:rsidR="002C68E8" w:rsidRPr="00817B9F">
        <w:t xml:space="preserve"> split in the share of health insurance premiums for family plans, while employers pay 80 percent of the premiums for single coverage.</w:t>
      </w:r>
      <w:r w:rsidR="002C68E8" w:rsidRPr="00817B9F">
        <w:rPr>
          <w:rStyle w:val="FootnoteReference"/>
        </w:rPr>
        <w:footnoteReference w:id="258"/>
      </w:r>
      <w:r w:rsidR="002C68E8" w:rsidRPr="00817B9F">
        <w:t xml:space="preserve"> </w:t>
      </w:r>
    </w:p>
    <w:p w14:paraId="25A3EFA7" w14:textId="5F4B7886" w:rsidR="00BF18A7" w:rsidRPr="00817B9F" w:rsidRDefault="00CB7933" w:rsidP="009E28B0">
      <w:pPr>
        <w:pStyle w:val="NumberedParagraphs"/>
      </w:pPr>
      <w:r w:rsidRPr="00817B9F">
        <w:t>In summary, the economic evidence suggests that increases in health care expenditures associated with member</w:t>
      </w:r>
      <w:r w:rsidR="00603CCA" w:rsidRPr="00817B9F">
        <w:t>s</w:t>
      </w:r>
      <w:r w:rsidRPr="00817B9F">
        <w:t xml:space="preserve"> of employer-sponsored health plans </w:t>
      </w:r>
      <w:r w:rsidR="007F58E3" w:rsidRPr="00817B9F">
        <w:t>lead to higher health plan premiums</w:t>
      </w:r>
      <w:r w:rsidR="00B64B3B" w:rsidRPr="00817B9F">
        <w:t xml:space="preserve">, with the </w:t>
      </w:r>
      <w:r w:rsidR="00723B55" w:rsidRPr="00817B9F">
        <w:t xml:space="preserve">pass-through rate being </w:t>
      </w:r>
      <w:r w:rsidR="00F779A8" w:rsidRPr="00817B9F">
        <w:t>close to one-for-one</w:t>
      </w:r>
      <w:r w:rsidR="00BE0500" w:rsidRPr="00817B9F">
        <w:t xml:space="preserve"> (</w:t>
      </w:r>
      <w:r w:rsidR="00BE0500" w:rsidRPr="00817B9F">
        <w:rPr>
          <w:i/>
          <w:iCs/>
        </w:rPr>
        <w:t>i.e.</w:t>
      </w:r>
      <w:r w:rsidR="00BE0500" w:rsidRPr="00817B9F">
        <w:t>, a one dollar increase in expenditures increases health plan premiums by one dollar</w:t>
      </w:r>
      <w:r w:rsidR="005D5CF8" w:rsidRPr="00817B9F">
        <w:t>)</w:t>
      </w:r>
      <w:r w:rsidR="00F779A8" w:rsidRPr="00817B9F">
        <w:t xml:space="preserve">. </w:t>
      </w:r>
      <w:r w:rsidR="009834E1" w:rsidRPr="00817B9F">
        <w:t xml:space="preserve">Economic studies of </w:t>
      </w:r>
      <w:r w:rsidR="00ED5BD5" w:rsidRPr="00817B9F">
        <w:t xml:space="preserve">the incidence of </w:t>
      </w:r>
      <w:r w:rsidR="005A2777" w:rsidRPr="00817B9F">
        <w:t>increases</w:t>
      </w:r>
      <w:r w:rsidR="00ED5BD5" w:rsidRPr="00817B9F">
        <w:t xml:space="preserve"> in </w:t>
      </w:r>
      <w:r w:rsidR="00ED5BD5" w:rsidRPr="00817B9F">
        <w:lastRenderedPageBreak/>
        <w:t xml:space="preserve">the </w:t>
      </w:r>
      <w:r w:rsidR="00900070" w:rsidRPr="00817B9F">
        <w:t xml:space="preserve">cost of </w:t>
      </w:r>
      <w:r w:rsidR="00ED5BD5" w:rsidRPr="00817B9F">
        <w:t xml:space="preserve">employer-sponsored insurance </w:t>
      </w:r>
      <w:r w:rsidR="00963D37" w:rsidRPr="00817B9F">
        <w:t xml:space="preserve">show that both employers and workers bear these </w:t>
      </w:r>
      <w:r w:rsidR="005A2777" w:rsidRPr="00817B9F">
        <w:t xml:space="preserve">costs, </w:t>
      </w:r>
      <w:r w:rsidR="003217BF" w:rsidRPr="00817B9F">
        <w:t>although the preponderance of evidence suggests</w:t>
      </w:r>
      <w:r w:rsidR="00996013" w:rsidRPr="00817B9F">
        <w:t xml:space="preserve"> that </w:t>
      </w:r>
      <w:r w:rsidR="006A759F" w:rsidRPr="00817B9F">
        <w:t>they</w:t>
      </w:r>
      <w:r w:rsidR="00996013" w:rsidRPr="00817B9F">
        <w:t xml:space="preserve"> are borne primarily by workers. </w:t>
      </w:r>
      <w:r w:rsidR="003217BF" w:rsidRPr="00817B9F">
        <w:t xml:space="preserve">While there does not appear to be any published literature on the effect of </w:t>
      </w:r>
      <w:r w:rsidR="00BA6EE3" w:rsidRPr="00817B9F">
        <w:t xml:space="preserve">premium </w:t>
      </w:r>
      <w:r w:rsidR="003217BF" w:rsidRPr="00817B9F">
        <w:t xml:space="preserve">reductions </w:t>
      </w:r>
      <w:r w:rsidR="00BA6EE3" w:rsidRPr="00817B9F">
        <w:t xml:space="preserve">on worker </w:t>
      </w:r>
      <w:r w:rsidR="00552BBE" w:rsidRPr="00817B9F">
        <w:t>compensation, we</w:t>
      </w:r>
      <w:r w:rsidR="003217BF" w:rsidRPr="00817B9F">
        <w:t xml:space="preserve"> would expect that </w:t>
      </w:r>
      <w:r w:rsidR="00D50FA6" w:rsidRPr="00817B9F">
        <w:t xml:space="preserve">the benefits of lower premiums would </w:t>
      </w:r>
      <w:r w:rsidR="00F2061C" w:rsidRPr="00817B9F">
        <w:t>pass on</w:t>
      </w:r>
      <w:r w:rsidR="00D50FA6" w:rsidRPr="00817B9F">
        <w:t xml:space="preserve"> to workers in the form of higher </w:t>
      </w:r>
      <w:r w:rsidR="00DC4E2D" w:rsidRPr="00817B9F">
        <w:t>wages.</w:t>
      </w:r>
    </w:p>
    <w:p w14:paraId="6D5B9C52" w14:textId="5991EC73" w:rsidR="00B678E8" w:rsidRPr="00817B9F" w:rsidRDefault="00B678E8" w:rsidP="00B678E8">
      <w:pPr>
        <w:pStyle w:val="Heading1"/>
      </w:pPr>
      <w:bookmarkStart w:id="143" w:name="_Ref90041260"/>
      <w:bookmarkStart w:id="144" w:name="_Toc90046552"/>
      <w:r w:rsidRPr="00817B9F">
        <w:t>Conclusions</w:t>
      </w:r>
      <w:bookmarkEnd w:id="143"/>
      <w:bookmarkEnd w:id="144"/>
    </w:p>
    <w:p w14:paraId="12EE17CE" w14:textId="568A4A0D" w:rsidR="00E8380C" w:rsidRPr="00817B9F" w:rsidRDefault="00AB3560" w:rsidP="00E8380C">
      <w:pPr>
        <w:pStyle w:val="NumberedParagraphs"/>
      </w:pPr>
      <w:r w:rsidRPr="00817B9F">
        <w:t>The DoN program requested that we provide short-term (</w:t>
      </w:r>
      <w:r w:rsidRPr="00817B9F">
        <w:rPr>
          <w:i/>
          <w:iCs/>
        </w:rPr>
        <w:t>i.e.</w:t>
      </w:r>
      <w:r w:rsidRPr="00817B9F">
        <w:t>, five years) and long-term (</w:t>
      </w:r>
      <w:r w:rsidRPr="00817B9F">
        <w:rPr>
          <w:i/>
          <w:iCs/>
        </w:rPr>
        <w:t>i.e.</w:t>
      </w:r>
      <w:r w:rsidRPr="00817B9F">
        <w:t xml:space="preserve">, ten years) projections of changes in demand at MGH for inpatient services (including </w:t>
      </w:r>
      <w:r w:rsidR="007E6B1B" w:rsidRPr="00817B9F">
        <w:t xml:space="preserve">cancer and </w:t>
      </w:r>
      <w:r w:rsidRPr="00817B9F">
        <w:t>heart and vascular inpatient services), outpatient diagnostic imaging services (</w:t>
      </w:r>
      <w:r w:rsidRPr="00817B9F">
        <w:rPr>
          <w:i/>
          <w:iCs/>
        </w:rPr>
        <w:t>i.e</w:t>
      </w:r>
      <w:r w:rsidRPr="00817B9F">
        <w:t xml:space="preserve">., outpatient CT, MR, and PET/CT scans), outpatient cardiovascular services, and outpatient oncology </w:t>
      </w:r>
      <w:r w:rsidR="007E6B1B" w:rsidRPr="00817B9F">
        <w:t>visits</w:t>
      </w:r>
      <w:r w:rsidRPr="00817B9F">
        <w:t xml:space="preserve">. Our projections account for the effects of expected changes in population and demographic shifts, but hold other factors affecting the demand for and supply of </w:t>
      </w:r>
      <w:r w:rsidR="002202B7" w:rsidRPr="00817B9F">
        <w:t>health care</w:t>
      </w:r>
      <w:r w:rsidRPr="00817B9F">
        <w:t xml:space="preserve"> services constant. </w:t>
      </w:r>
      <w:r w:rsidR="000D3E71" w:rsidRPr="00817B9F">
        <w:t xml:space="preserve">Our projections are summarized in </w:t>
      </w:r>
      <w:r w:rsidR="00E75F47" w:rsidRPr="00817B9F">
        <w:t>Figure MGH29</w:t>
      </w:r>
      <w:r w:rsidR="000D3E71" w:rsidRPr="00817B9F">
        <w:t xml:space="preserve"> below. </w:t>
      </w:r>
      <w:r w:rsidR="00C20F7B" w:rsidRPr="00817B9F">
        <w:t>As shown in the fi</w:t>
      </w:r>
      <w:r w:rsidR="000E3EED" w:rsidRPr="00817B9F">
        <w:t>gure, we project that demand</w:t>
      </w:r>
      <w:r w:rsidR="00613B35" w:rsidRPr="00817B9F">
        <w:t xml:space="preserve"> for adult </w:t>
      </w:r>
      <w:r w:rsidR="000E3EED" w:rsidRPr="00817B9F">
        <w:t>inpatient services</w:t>
      </w:r>
      <w:bookmarkStart w:id="145" w:name="_Hlk89947146"/>
      <w:r w:rsidR="000E3EED" w:rsidRPr="00817B9F">
        <w:t xml:space="preserve"> </w:t>
      </w:r>
      <w:r w:rsidR="00613B35" w:rsidRPr="00817B9F">
        <w:t xml:space="preserve">(excluding obstetrics, behavioral health, substance use disorder, and rehabilitation services) </w:t>
      </w:r>
      <w:r w:rsidR="000E3EED" w:rsidRPr="00817B9F">
        <w:t>at MGH will increase by 17 percent over the next ten years</w:t>
      </w:r>
      <w:r w:rsidR="00A43951" w:rsidRPr="00817B9F">
        <w:t xml:space="preserve"> (with somewhat lower projected increases for inpatient cancer services and higher project</w:t>
      </w:r>
      <w:r w:rsidR="00F535F8" w:rsidRPr="00817B9F">
        <w:t>ed</w:t>
      </w:r>
      <w:r w:rsidR="00A43951" w:rsidRPr="00817B9F">
        <w:t xml:space="preserve"> increases for inpatient heart and vascular services)</w:t>
      </w:r>
      <w:r w:rsidR="000E3EED" w:rsidRPr="00817B9F">
        <w:t xml:space="preserve">, while demand for outpatient diagnostic imaging, cardiovascular services, and oncology visits at MGH will increase by between ten and 21 percent. </w:t>
      </w:r>
      <w:bookmarkEnd w:id="145"/>
    </w:p>
    <w:p w14:paraId="660B2A34" w14:textId="643E06F3" w:rsidR="003F750E" w:rsidRPr="00817B9F" w:rsidRDefault="00C1176A" w:rsidP="00C1176A">
      <w:pPr>
        <w:pStyle w:val="NumberedParagraphs"/>
        <w:keepNext/>
        <w:keepLines/>
        <w:numPr>
          <w:ilvl w:val="0"/>
          <w:numId w:val="0"/>
        </w:numPr>
        <w:spacing w:after="0" w:line="240" w:lineRule="auto"/>
        <w:ind w:firstLine="720"/>
        <w:rPr>
          <w:b/>
          <w:bCs/>
        </w:rPr>
      </w:pPr>
      <w:r w:rsidRPr="00817B9F">
        <w:rPr>
          <w:b/>
          <w:bCs/>
        </w:rPr>
        <w:t>Figure MGH29</w:t>
      </w:r>
    </w:p>
    <w:tbl>
      <w:tblPr>
        <w:tblStyle w:val="TableGrid"/>
        <w:tblpPr w:leftFromText="180" w:rightFromText="180" w:vertAnchor="text" w:horzAnchor="margin" w:tblpXSpec="center" w:tblpY="204"/>
        <w:tblW w:w="7920" w:type="dxa"/>
        <w:jc w:val="center"/>
        <w:tblLayout w:type="fixed"/>
        <w:tblLook w:val="04A0" w:firstRow="1" w:lastRow="0" w:firstColumn="1" w:lastColumn="0" w:noHBand="0" w:noVBand="1"/>
        <w:tblCaption w:val="Figure MGH29"/>
        <w:tblDescription w:val="  Service Line (Units) and Projected Increase in Demand at MGH&#10; &#10;Adult Inpatient (Patient Days) 17%&#10;Cancer (Patient Days) 15%&#10;Heart &amp; Vascular (Patient Days) 21%&#10;Outpatient CT (Scans) 16%&#10;Outpatient MR (Scans) 10%&#10;Outpatient PET/CT (Scans) 17%&#10;Outpatient Cardiovascular (Procedures) 21%&#10;Outpatient Oncology (Visits) 18%&#10;"/>
      </w:tblPr>
      <w:tblGrid>
        <w:gridCol w:w="4495"/>
        <w:gridCol w:w="3425"/>
      </w:tblGrid>
      <w:tr w:rsidR="003F750E" w:rsidRPr="00817B9F" w14:paraId="2311154F" w14:textId="77777777" w:rsidTr="004D3848">
        <w:trPr>
          <w:cantSplit/>
          <w:trHeight w:val="565"/>
          <w:tblHeader/>
          <w:jc w:val="center"/>
        </w:trPr>
        <w:tc>
          <w:tcPr>
            <w:tcW w:w="4495" w:type="dxa"/>
            <w:tcBorders>
              <w:top w:val="single" w:sz="12" w:space="0" w:color="auto"/>
              <w:left w:val="nil"/>
              <w:bottom w:val="single" w:sz="12" w:space="0" w:color="auto"/>
              <w:right w:val="nil"/>
            </w:tcBorders>
            <w:vAlign w:val="bottom"/>
          </w:tcPr>
          <w:p w14:paraId="555EF87D" w14:textId="67E18D16" w:rsidR="003F750E" w:rsidRPr="00817B9F" w:rsidRDefault="002202B7" w:rsidP="000D3E71">
            <w:pPr>
              <w:pStyle w:val="NumberedParagraphs"/>
              <w:keepLines/>
              <w:numPr>
                <w:ilvl w:val="0"/>
                <w:numId w:val="0"/>
              </w:numPr>
              <w:rPr>
                <w:b/>
                <w:bCs/>
              </w:rPr>
            </w:pPr>
            <w:r w:rsidRPr="00817B9F">
              <w:rPr>
                <w:b/>
                <w:bCs/>
              </w:rPr>
              <w:t xml:space="preserve">  </w:t>
            </w:r>
            <w:r w:rsidR="00C724EC" w:rsidRPr="00817B9F">
              <w:rPr>
                <w:b/>
                <w:bCs/>
              </w:rPr>
              <w:t>Service Line (Units)</w:t>
            </w:r>
          </w:p>
        </w:tc>
        <w:tc>
          <w:tcPr>
            <w:tcW w:w="3425" w:type="dxa"/>
            <w:tcBorders>
              <w:top w:val="single" w:sz="12" w:space="0" w:color="auto"/>
              <w:left w:val="nil"/>
              <w:bottom w:val="single" w:sz="12" w:space="0" w:color="auto"/>
              <w:right w:val="nil"/>
            </w:tcBorders>
          </w:tcPr>
          <w:p w14:paraId="376FA6F5" w14:textId="674EA68E" w:rsidR="003F750E" w:rsidRPr="00817B9F" w:rsidRDefault="00C20F7B" w:rsidP="000D3E71">
            <w:pPr>
              <w:pStyle w:val="NumberedParagraphs"/>
              <w:keepLines/>
              <w:numPr>
                <w:ilvl w:val="0"/>
                <w:numId w:val="0"/>
              </w:numPr>
              <w:spacing w:line="240" w:lineRule="auto"/>
              <w:ind w:right="0"/>
              <w:jc w:val="center"/>
              <w:rPr>
                <w:b/>
                <w:bCs/>
              </w:rPr>
            </w:pPr>
            <w:r w:rsidRPr="00817B9F">
              <w:rPr>
                <w:b/>
                <w:bCs/>
              </w:rPr>
              <w:t xml:space="preserve">Projected Increase in </w:t>
            </w:r>
            <w:r w:rsidR="00352BF8" w:rsidRPr="00817B9F">
              <w:rPr>
                <w:b/>
                <w:bCs/>
              </w:rPr>
              <w:t xml:space="preserve">  </w:t>
            </w:r>
            <w:r w:rsidRPr="00817B9F">
              <w:rPr>
                <w:b/>
                <w:bCs/>
              </w:rPr>
              <w:t>Demand at MGH</w:t>
            </w:r>
          </w:p>
        </w:tc>
      </w:tr>
      <w:tr w:rsidR="003F750E" w:rsidRPr="00817B9F" w14:paraId="5AE04E67" w14:textId="77777777" w:rsidTr="00C1176A">
        <w:trPr>
          <w:cantSplit/>
          <w:trHeight w:hRule="exact" w:val="360"/>
          <w:jc w:val="center"/>
        </w:trPr>
        <w:tc>
          <w:tcPr>
            <w:tcW w:w="4495" w:type="dxa"/>
            <w:tcBorders>
              <w:top w:val="nil"/>
              <w:left w:val="nil"/>
              <w:bottom w:val="nil"/>
              <w:right w:val="nil"/>
            </w:tcBorders>
          </w:tcPr>
          <w:p w14:paraId="1B7125EF" w14:textId="2FD33A85" w:rsidR="003F750E" w:rsidRPr="00817B9F" w:rsidRDefault="003F750E" w:rsidP="000D3E71">
            <w:pPr>
              <w:pStyle w:val="NumberedParagraphs"/>
              <w:keepLines/>
              <w:numPr>
                <w:ilvl w:val="0"/>
                <w:numId w:val="0"/>
              </w:numPr>
              <w:ind w:left="504" w:right="0" w:hanging="360"/>
            </w:pPr>
            <w:r w:rsidRPr="00817B9F">
              <w:t xml:space="preserve">Adult Inpatient </w:t>
            </w:r>
            <w:r w:rsidR="00C724EC" w:rsidRPr="00817B9F">
              <w:t>(Patient Days)</w:t>
            </w:r>
          </w:p>
        </w:tc>
        <w:tc>
          <w:tcPr>
            <w:tcW w:w="3425" w:type="dxa"/>
            <w:tcBorders>
              <w:top w:val="nil"/>
              <w:left w:val="nil"/>
              <w:bottom w:val="nil"/>
              <w:right w:val="nil"/>
            </w:tcBorders>
          </w:tcPr>
          <w:p w14:paraId="5EC90662" w14:textId="38876332" w:rsidR="003F750E" w:rsidRPr="00817B9F" w:rsidRDefault="006250A8" w:rsidP="000D3E71">
            <w:pPr>
              <w:pStyle w:val="NumberedParagraphs"/>
              <w:keepLines/>
              <w:numPr>
                <w:ilvl w:val="0"/>
                <w:numId w:val="0"/>
              </w:numPr>
              <w:ind w:right="0"/>
              <w:jc w:val="center"/>
            </w:pPr>
            <w:r w:rsidRPr="00817B9F">
              <w:t>17</w:t>
            </w:r>
            <w:r w:rsidR="003F750E" w:rsidRPr="00817B9F">
              <w:t>%</w:t>
            </w:r>
          </w:p>
        </w:tc>
      </w:tr>
      <w:tr w:rsidR="006250A8" w:rsidRPr="00817B9F" w14:paraId="4692D05A" w14:textId="77777777" w:rsidTr="00C1176A">
        <w:trPr>
          <w:cantSplit/>
          <w:trHeight w:hRule="exact" w:val="360"/>
          <w:jc w:val="center"/>
        </w:trPr>
        <w:tc>
          <w:tcPr>
            <w:tcW w:w="4495" w:type="dxa"/>
            <w:tcBorders>
              <w:top w:val="nil"/>
              <w:left w:val="nil"/>
              <w:bottom w:val="nil"/>
              <w:right w:val="nil"/>
            </w:tcBorders>
          </w:tcPr>
          <w:p w14:paraId="2C854AEF" w14:textId="606B40CB" w:rsidR="006250A8" w:rsidRPr="00817B9F" w:rsidRDefault="006250A8" w:rsidP="000D3E71">
            <w:pPr>
              <w:pStyle w:val="NumberedParagraphs"/>
              <w:keepLines/>
              <w:numPr>
                <w:ilvl w:val="0"/>
                <w:numId w:val="0"/>
              </w:numPr>
              <w:ind w:left="792" w:hanging="360"/>
            </w:pPr>
            <w:r w:rsidRPr="00817B9F">
              <w:t>Cancer</w:t>
            </w:r>
            <w:r w:rsidR="00C724EC" w:rsidRPr="00817B9F">
              <w:t xml:space="preserve"> (Patient Days)</w:t>
            </w:r>
          </w:p>
        </w:tc>
        <w:tc>
          <w:tcPr>
            <w:tcW w:w="3425" w:type="dxa"/>
            <w:tcBorders>
              <w:top w:val="nil"/>
              <w:left w:val="nil"/>
              <w:bottom w:val="nil"/>
              <w:right w:val="nil"/>
            </w:tcBorders>
          </w:tcPr>
          <w:p w14:paraId="1098877F" w14:textId="6BA428E5" w:rsidR="006250A8" w:rsidRPr="00817B9F" w:rsidRDefault="006250A8" w:rsidP="000D3E71">
            <w:pPr>
              <w:pStyle w:val="NumberedParagraphs"/>
              <w:keepLines/>
              <w:numPr>
                <w:ilvl w:val="0"/>
                <w:numId w:val="0"/>
              </w:numPr>
              <w:ind w:right="0"/>
              <w:jc w:val="center"/>
            </w:pPr>
            <w:r w:rsidRPr="00817B9F">
              <w:t>15%</w:t>
            </w:r>
          </w:p>
        </w:tc>
      </w:tr>
      <w:tr w:rsidR="006250A8" w:rsidRPr="00817B9F" w14:paraId="0A87A44F" w14:textId="77777777" w:rsidTr="00C1176A">
        <w:trPr>
          <w:cantSplit/>
          <w:trHeight w:hRule="exact" w:val="360"/>
          <w:jc w:val="center"/>
        </w:trPr>
        <w:tc>
          <w:tcPr>
            <w:tcW w:w="4495" w:type="dxa"/>
            <w:tcBorders>
              <w:top w:val="nil"/>
              <w:left w:val="nil"/>
              <w:bottom w:val="nil"/>
              <w:right w:val="nil"/>
            </w:tcBorders>
          </w:tcPr>
          <w:p w14:paraId="5006CE1D" w14:textId="71443712" w:rsidR="006250A8" w:rsidRPr="00817B9F" w:rsidRDefault="006250A8" w:rsidP="000D3E71">
            <w:pPr>
              <w:pStyle w:val="NumberedParagraphs"/>
              <w:keepLines/>
              <w:numPr>
                <w:ilvl w:val="0"/>
                <w:numId w:val="0"/>
              </w:numPr>
              <w:ind w:left="792" w:hanging="360"/>
            </w:pPr>
            <w:r w:rsidRPr="00817B9F">
              <w:t>Heart &amp; Vascular</w:t>
            </w:r>
            <w:r w:rsidR="00C724EC" w:rsidRPr="00817B9F">
              <w:t xml:space="preserve"> (Patient Days)</w:t>
            </w:r>
          </w:p>
        </w:tc>
        <w:tc>
          <w:tcPr>
            <w:tcW w:w="3425" w:type="dxa"/>
            <w:tcBorders>
              <w:top w:val="nil"/>
              <w:left w:val="nil"/>
              <w:bottom w:val="nil"/>
              <w:right w:val="nil"/>
            </w:tcBorders>
          </w:tcPr>
          <w:p w14:paraId="301E03E1" w14:textId="1418FD2C" w:rsidR="006250A8" w:rsidRPr="00817B9F" w:rsidRDefault="006250A8" w:rsidP="000D3E71">
            <w:pPr>
              <w:pStyle w:val="NumberedParagraphs"/>
              <w:keepLines/>
              <w:numPr>
                <w:ilvl w:val="0"/>
                <w:numId w:val="0"/>
              </w:numPr>
              <w:ind w:right="0"/>
              <w:jc w:val="center"/>
            </w:pPr>
            <w:r w:rsidRPr="00817B9F">
              <w:t>21%</w:t>
            </w:r>
          </w:p>
        </w:tc>
      </w:tr>
      <w:tr w:rsidR="003F750E" w:rsidRPr="00817B9F" w14:paraId="203DAFFC" w14:textId="77777777" w:rsidTr="00C1176A">
        <w:trPr>
          <w:cantSplit/>
          <w:trHeight w:hRule="exact" w:val="360"/>
          <w:jc w:val="center"/>
        </w:trPr>
        <w:tc>
          <w:tcPr>
            <w:tcW w:w="4495" w:type="dxa"/>
            <w:tcBorders>
              <w:top w:val="nil"/>
              <w:left w:val="nil"/>
              <w:bottom w:val="nil"/>
              <w:right w:val="nil"/>
            </w:tcBorders>
          </w:tcPr>
          <w:p w14:paraId="6A2C9C55" w14:textId="40AC472D" w:rsidR="003F750E" w:rsidRPr="00817B9F" w:rsidRDefault="003F750E" w:rsidP="000D3E71">
            <w:pPr>
              <w:pStyle w:val="NumberedParagraphs"/>
              <w:keepLines/>
              <w:numPr>
                <w:ilvl w:val="0"/>
                <w:numId w:val="0"/>
              </w:numPr>
              <w:ind w:left="504" w:right="0" w:hanging="360"/>
            </w:pPr>
            <w:r w:rsidRPr="00817B9F">
              <w:t xml:space="preserve">Outpatient CT </w:t>
            </w:r>
            <w:r w:rsidR="00C724EC" w:rsidRPr="00817B9F">
              <w:t>(</w:t>
            </w:r>
            <w:r w:rsidRPr="00817B9F">
              <w:t>Scans</w:t>
            </w:r>
            <w:r w:rsidR="00C724EC" w:rsidRPr="00817B9F">
              <w:t>)</w:t>
            </w:r>
          </w:p>
        </w:tc>
        <w:tc>
          <w:tcPr>
            <w:tcW w:w="3425" w:type="dxa"/>
            <w:tcBorders>
              <w:top w:val="nil"/>
              <w:left w:val="nil"/>
              <w:bottom w:val="nil"/>
              <w:right w:val="nil"/>
            </w:tcBorders>
          </w:tcPr>
          <w:p w14:paraId="4C765DB1" w14:textId="28E89741" w:rsidR="003F750E" w:rsidRPr="00817B9F" w:rsidRDefault="006250A8" w:rsidP="000D3E71">
            <w:pPr>
              <w:pStyle w:val="NumberedParagraphs"/>
              <w:keepLines/>
              <w:numPr>
                <w:ilvl w:val="0"/>
                <w:numId w:val="0"/>
              </w:numPr>
              <w:ind w:right="0"/>
              <w:jc w:val="center"/>
            </w:pPr>
            <w:r w:rsidRPr="00817B9F">
              <w:t>16</w:t>
            </w:r>
            <w:r w:rsidR="003F750E" w:rsidRPr="00817B9F">
              <w:t>%</w:t>
            </w:r>
          </w:p>
        </w:tc>
      </w:tr>
      <w:tr w:rsidR="003F750E" w:rsidRPr="00817B9F" w14:paraId="1BA79406" w14:textId="77777777" w:rsidTr="00C1176A">
        <w:trPr>
          <w:cantSplit/>
          <w:trHeight w:hRule="exact" w:val="360"/>
          <w:jc w:val="center"/>
        </w:trPr>
        <w:tc>
          <w:tcPr>
            <w:tcW w:w="4495" w:type="dxa"/>
            <w:tcBorders>
              <w:top w:val="nil"/>
              <w:left w:val="nil"/>
              <w:bottom w:val="nil"/>
              <w:right w:val="nil"/>
            </w:tcBorders>
          </w:tcPr>
          <w:p w14:paraId="79951243" w14:textId="3092B1F4" w:rsidR="003F750E" w:rsidRPr="00817B9F" w:rsidRDefault="003F750E" w:rsidP="000D3E71">
            <w:pPr>
              <w:pStyle w:val="NumberedParagraphs"/>
              <w:keepLines/>
              <w:numPr>
                <w:ilvl w:val="0"/>
                <w:numId w:val="0"/>
              </w:numPr>
              <w:ind w:left="504" w:right="0" w:hanging="360"/>
            </w:pPr>
            <w:r w:rsidRPr="00817B9F">
              <w:t xml:space="preserve">Outpatient MR </w:t>
            </w:r>
            <w:r w:rsidR="00C724EC" w:rsidRPr="00817B9F">
              <w:t>(</w:t>
            </w:r>
            <w:r w:rsidRPr="00817B9F">
              <w:t>Scans</w:t>
            </w:r>
            <w:r w:rsidR="00C724EC" w:rsidRPr="00817B9F">
              <w:t>)</w:t>
            </w:r>
          </w:p>
        </w:tc>
        <w:tc>
          <w:tcPr>
            <w:tcW w:w="3425" w:type="dxa"/>
            <w:tcBorders>
              <w:top w:val="nil"/>
              <w:left w:val="nil"/>
              <w:bottom w:val="nil"/>
              <w:right w:val="nil"/>
            </w:tcBorders>
          </w:tcPr>
          <w:p w14:paraId="66EA8BA0" w14:textId="1CEEE8CA" w:rsidR="003F750E" w:rsidRPr="00817B9F" w:rsidRDefault="006250A8" w:rsidP="000D3E71">
            <w:pPr>
              <w:pStyle w:val="NumberedParagraphs"/>
              <w:keepLines/>
              <w:numPr>
                <w:ilvl w:val="0"/>
                <w:numId w:val="0"/>
              </w:numPr>
              <w:ind w:right="0"/>
              <w:jc w:val="center"/>
            </w:pPr>
            <w:r w:rsidRPr="00817B9F">
              <w:t>10</w:t>
            </w:r>
            <w:r w:rsidR="003F750E" w:rsidRPr="00817B9F">
              <w:t>%</w:t>
            </w:r>
          </w:p>
        </w:tc>
      </w:tr>
      <w:tr w:rsidR="003F750E" w:rsidRPr="00817B9F" w14:paraId="0AFE2771" w14:textId="77777777" w:rsidTr="00C1176A">
        <w:trPr>
          <w:cantSplit/>
          <w:trHeight w:hRule="exact" w:val="360"/>
          <w:jc w:val="center"/>
        </w:trPr>
        <w:tc>
          <w:tcPr>
            <w:tcW w:w="4495" w:type="dxa"/>
            <w:tcBorders>
              <w:top w:val="nil"/>
              <w:left w:val="nil"/>
              <w:bottom w:val="nil"/>
              <w:right w:val="nil"/>
            </w:tcBorders>
          </w:tcPr>
          <w:p w14:paraId="06E67231" w14:textId="4EF3CF03" w:rsidR="003F750E" w:rsidRPr="00817B9F" w:rsidRDefault="003F750E" w:rsidP="000D3E71">
            <w:pPr>
              <w:pStyle w:val="NumberedParagraphs"/>
              <w:keepLines/>
              <w:numPr>
                <w:ilvl w:val="0"/>
                <w:numId w:val="0"/>
              </w:numPr>
              <w:ind w:left="504" w:right="0" w:hanging="360"/>
            </w:pPr>
            <w:r w:rsidRPr="00817B9F">
              <w:t xml:space="preserve">Outpatient PET/CT </w:t>
            </w:r>
            <w:r w:rsidR="00C724EC" w:rsidRPr="00817B9F">
              <w:t>(</w:t>
            </w:r>
            <w:r w:rsidRPr="00817B9F">
              <w:t>Scans</w:t>
            </w:r>
            <w:r w:rsidR="00C724EC" w:rsidRPr="00817B9F">
              <w:t>)</w:t>
            </w:r>
          </w:p>
        </w:tc>
        <w:tc>
          <w:tcPr>
            <w:tcW w:w="3425" w:type="dxa"/>
            <w:tcBorders>
              <w:top w:val="nil"/>
              <w:left w:val="nil"/>
              <w:bottom w:val="nil"/>
              <w:right w:val="nil"/>
            </w:tcBorders>
          </w:tcPr>
          <w:p w14:paraId="51B76444" w14:textId="7854ECE8" w:rsidR="003F750E" w:rsidRPr="00817B9F" w:rsidRDefault="006250A8" w:rsidP="000D3E71">
            <w:pPr>
              <w:pStyle w:val="NumberedParagraphs"/>
              <w:keepLines/>
              <w:numPr>
                <w:ilvl w:val="0"/>
                <w:numId w:val="0"/>
              </w:numPr>
              <w:ind w:left="360" w:right="0" w:hanging="360"/>
              <w:jc w:val="center"/>
            </w:pPr>
            <w:r w:rsidRPr="00817B9F">
              <w:t>17</w:t>
            </w:r>
            <w:r w:rsidR="003F750E" w:rsidRPr="00817B9F">
              <w:t>%</w:t>
            </w:r>
          </w:p>
        </w:tc>
      </w:tr>
      <w:tr w:rsidR="003F750E" w:rsidRPr="00817B9F" w14:paraId="1483C91F" w14:textId="77777777" w:rsidTr="00C1176A">
        <w:trPr>
          <w:cantSplit/>
          <w:trHeight w:hRule="exact" w:val="360"/>
          <w:jc w:val="center"/>
        </w:trPr>
        <w:tc>
          <w:tcPr>
            <w:tcW w:w="4495" w:type="dxa"/>
            <w:tcBorders>
              <w:top w:val="nil"/>
              <w:left w:val="nil"/>
              <w:bottom w:val="nil"/>
              <w:right w:val="nil"/>
            </w:tcBorders>
          </w:tcPr>
          <w:p w14:paraId="533BDFF5" w14:textId="4433D436" w:rsidR="003F750E" w:rsidRPr="00817B9F" w:rsidRDefault="003F750E" w:rsidP="000D3E71">
            <w:pPr>
              <w:pStyle w:val="NumberedParagraphs"/>
              <w:keepLines/>
              <w:numPr>
                <w:ilvl w:val="0"/>
                <w:numId w:val="0"/>
              </w:numPr>
              <w:ind w:left="504" w:right="0" w:hanging="360"/>
            </w:pPr>
            <w:r w:rsidRPr="00817B9F">
              <w:t xml:space="preserve">Outpatient Cardiovascular </w:t>
            </w:r>
            <w:r w:rsidR="00C724EC" w:rsidRPr="00817B9F">
              <w:t>(Procedures)</w:t>
            </w:r>
          </w:p>
        </w:tc>
        <w:tc>
          <w:tcPr>
            <w:tcW w:w="3425" w:type="dxa"/>
            <w:tcBorders>
              <w:top w:val="nil"/>
              <w:left w:val="nil"/>
              <w:bottom w:val="nil"/>
              <w:right w:val="nil"/>
            </w:tcBorders>
          </w:tcPr>
          <w:p w14:paraId="3B0BA5E7" w14:textId="7BBC428C" w:rsidR="003F750E" w:rsidRPr="00817B9F" w:rsidRDefault="006250A8" w:rsidP="000D3E71">
            <w:pPr>
              <w:pStyle w:val="NumberedParagraphs"/>
              <w:keepLines/>
              <w:numPr>
                <w:ilvl w:val="0"/>
                <w:numId w:val="0"/>
              </w:numPr>
              <w:ind w:left="360" w:right="0" w:hanging="360"/>
              <w:jc w:val="center"/>
            </w:pPr>
            <w:r w:rsidRPr="00817B9F">
              <w:t>21</w:t>
            </w:r>
            <w:r w:rsidR="003F750E" w:rsidRPr="00817B9F">
              <w:t>%</w:t>
            </w:r>
          </w:p>
        </w:tc>
      </w:tr>
      <w:tr w:rsidR="003F750E" w:rsidRPr="00817B9F" w14:paraId="25D4DD91" w14:textId="77777777" w:rsidTr="00C1176A">
        <w:trPr>
          <w:cantSplit/>
          <w:trHeight w:hRule="exact" w:val="360"/>
          <w:jc w:val="center"/>
        </w:trPr>
        <w:tc>
          <w:tcPr>
            <w:tcW w:w="4495" w:type="dxa"/>
            <w:tcBorders>
              <w:top w:val="nil"/>
              <w:left w:val="nil"/>
              <w:bottom w:val="single" w:sz="18" w:space="0" w:color="auto"/>
              <w:right w:val="nil"/>
            </w:tcBorders>
          </w:tcPr>
          <w:p w14:paraId="1EC75FB0" w14:textId="56A01668" w:rsidR="003F750E" w:rsidRPr="00817B9F" w:rsidRDefault="003F750E" w:rsidP="000D3E71">
            <w:pPr>
              <w:pStyle w:val="NumberedParagraphs"/>
              <w:keepLines/>
              <w:numPr>
                <w:ilvl w:val="0"/>
                <w:numId w:val="0"/>
              </w:numPr>
              <w:ind w:left="504" w:right="0" w:hanging="360"/>
            </w:pPr>
            <w:r w:rsidRPr="00817B9F">
              <w:t xml:space="preserve">Outpatient Oncology </w:t>
            </w:r>
            <w:r w:rsidR="00C724EC" w:rsidRPr="00817B9F">
              <w:t>(Visits)</w:t>
            </w:r>
          </w:p>
        </w:tc>
        <w:tc>
          <w:tcPr>
            <w:tcW w:w="3425" w:type="dxa"/>
            <w:tcBorders>
              <w:top w:val="nil"/>
              <w:left w:val="nil"/>
              <w:bottom w:val="single" w:sz="18" w:space="0" w:color="auto"/>
              <w:right w:val="nil"/>
            </w:tcBorders>
          </w:tcPr>
          <w:p w14:paraId="61AEA9F8" w14:textId="32DCA0C4" w:rsidR="003F750E" w:rsidRPr="00817B9F" w:rsidRDefault="006250A8" w:rsidP="000D3E71">
            <w:pPr>
              <w:pStyle w:val="NumberedParagraphs"/>
              <w:keepLines/>
              <w:numPr>
                <w:ilvl w:val="0"/>
                <w:numId w:val="0"/>
              </w:numPr>
              <w:ind w:left="360" w:right="0" w:hanging="360"/>
              <w:jc w:val="center"/>
            </w:pPr>
            <w:r w:rsidRPr="00817B9F">
              <w:t>18</w:t>
            </w:r>
            <w:r w:rsidR="003F750E" w:rsidRPr="00817B9F">
              <w:t>%</w:t>
            </w:r>
          </w:p>
        </w:tc>
      </w:tr>
    </w:tbl>
    <w:p w14:paraId="7CD1BE9D" w14:textId="7064057B" w:rsidR="00B678E8" w:rsidRPr="00817B9F" w:rsidRDefault="0006773E" w:rsidP="007B0CA6">
      <w:pPr>
        <w:pStyle w:val="NumberedParagraphs"/>
        <w:spacing w:before="240"/>
      </w:pPr>
      <w:r w:rsidRPr="00817B9F">
        <w:lastRenderedPageBreak/>
        <w:t>In all cases, t</w:t>
      </w:r>
      <w:r w:rsidR="00B678E8" w:rsidRPr="00817B9F">
        <w:t xml:space="preserve">hese </w:t>
      </w:r>
      <w:r w:rsidRPr="00817B9F">
        <w:t xml:space="preserve">predicted </w:t>
      </w:r>
      <w:r w:rsidR="00B678E8" w:rsidRPr="00817B9F">
        <w:t xml:space="preserve">increases are driven by the projected population growth in the service area of the hospital and the aging of that population. In particular, the number of residents in the hospital’s inpatient service area age 65 </w:t>
      </w:r>
      <w:r w:rsidR="00995008" w:rsidRPr="00817B9F">
        <w:t>and</w:t>
      </w:r>
      <w:r w:rsidR="00B678E8" w:rsidRPr="00817B9F">
        <w:t xml:space="preserve"> older—who tend to require more health care services—is projected to grow by 30 percent over the next decade.</w:t>
      </w:r>
      <w:r w:rsidR="00BD2C33" w:rsidRPr="00817B9F">
        <w:t xml:space="preserve"> </w:t>
      </w:r>
      <w:bookmarkStart w:id="146" w:name="_Hlk89848425"/>
      <w:r w:rsidR="00C724EC" w:rsidRPr="00817B9F">
        <w:t>Without expansion, t</w:t>
      </w:r>
      <w:r w:rsidR="00BD2C33" w:rsidRPr="00817B9F">
        <w:t xml:space="preserve">hese projected increases in demand for care at MGH likely exceed the hospital’s </w:t>
      </w:r>
      <w:r w:rsidR="007E6B1B" w:rsidRPr="00817B9F">
        <w:t xml:space="preserve">existing </w:t>
      </w:r>
      <w:r w:rsidR="00BD2C33" w:rsidRPr="00817B9F">
        <w:t xml:space="preserve">ability to provide care because </w:t>
      </w:r>
      <w:r w:rsidR="00E018E8" w:rsidRPr="00817B9F">
        <w:t xml:space="preserve">the hospital </w:t>
      </w:r>
      <w:r w:rsidR="00BD2C33" w:rsidRPr="00817B9F">
        <w:t xml:space="preserve">operated at or above its capacity in fiscal year 2019 (the last full fiscal year in which utilization was not affected by the COVID-19 pandemic). </w:t>
      </w:r>
      <w:bookmarkEnd w:id="146"/>
    </w:p>
    <w:p w14:paraId="251EA9B8" w14:textId="7651D06F" w:rsidR="00C1176A" w:rsidRPr="00817B9F" w:rsidRDefault="006C7BC8" w:rsidP="00195EC7">
      <w:pPr>
        <w:pStyle w:val="NumberedParagraphs"/>
      </w:pPr>
      <w:r w:rsidRPr="00817B9F">
        <w:t xml:space="preserve">The DoN program asked that we evaluate MGB’s market share for the services addressed in the DoN application and that we assess how those shares might change if MGB’s DoN application were approved. </w:t>
      </w:r>
      <w:r w:rsidR="000D3E71" w:rsidRPr="00817B9F">
        <w:t xml:space="preserve">Our calculations are summarized in </w:t>
      </w:r>
      <w:r w:rsidR="00E75F47" w:rsidRPr="00817B9F">
        <w:t>Figure MGH30</w:t>
      </w:r>
      <w:r w:rsidR="000D3E71" w:rsidRPr="00817B9F">
        <w:t xml:space="preserve"> below.</w:t>
      </w:r>
      <w:r w:rsidR="000E3EED" w:rsidRPr="00817B9F">
        <w:t xml:space="preserve"> </w:t>
      </w:r>
      <w:bookmarkStart w:id="147" w:name="_Hlk89947286"/>
      <w:r w:rsidR="000E3EED" w:rsidRPr="00817B9F">
        <w:t>As shown in the figure, in each of the service lines addressed in the DoN application, MGB’s current share in MGH’s service area is between 32 and 35 percent. The proposed project would increase MGB’s share in these service areas by 2.3 percentage points or less with the exception of outpatient PET/CT scans, where we predict that MGB’s share would increase by 6.1 percentage points</w:t>
      </w:r>
      <w:r w:rsidR="00A43951" w:rsidRPr="00817B9F">
        <w:t xml:space="preserve"> as a result of the proposed project</w:t>
      </w:r>
      <w:r w:rsidR="000E3EED" w:rsidRPr="00817B9F">
        <w:t xml:space="preserve">. </w:t>
      </w:r>
    </w:p>
    <w:bookmarkEnd w:id="147"/>
    <w:p w14:paraId="72C44E56" w14:textId="323425C7" w:rsidR="00C1176A" w:rsidRPr="00817B9F" w:rsidRDefault="00C1176A" w:rsidP="00C1176A">
      <w:pPr>
        <w:pStyle w:val="NumberedParagraphs"/>
        <w:keepNext/>
        <w:keepLines/>
        <w:numPr>
          <w:ilvl w:val="0"/>
          <w:numId w:val="0"/>
        </w:numPr>
        <w:rPr>
          <w:b/>
          <w:bCs/>
        </w:rPr>
      </w:pPr>
      <w:r w:rsidRPr="00817B9F">
        <w:rPr>
          <w:b/>
          <w:bCs/>
        </w:rPr>
        <w:t>Figure MGH30</w:t>
      </w:r>
    </w:p>
    <w:tbl>
      <w:tblPr>
        <w:tblStyle w:val="TableGrid"/>
        <w:tblW w:w="9450" w:type="dxa"/>
        <w:jc w:val="center"/>
        <w:tblLayout w:type="fixed"/>
        <w:tblLook w:val="04A0" w:firstRow="1" w:lastRow="0" w:firstColumn="1" w:lastColumn="0" w:noHBand="0" w:noVBand="1"/>
        <w:tblCaption w:val="Figure MGH30"/>
        <w:tblDescription w:val="Service Line, MGB’s Share Before Proposed Project, Change in MGB’s Share After Proposed Project&#10;  &#10;Adult Inpatient Discharges 34% 1.1%&#10;Outpatient CT Scans 35% 1.6%&#10;Outpatient MR Scans 33% 2.1%&#10;Outpatient PET/CT Scans 33% 6.1%&#10;Outpatient Cardiovascular Procs. 32% 0.3%&#10;Outpatient Oncology Visits 35% 2.3%&#10;"/>
      </w:tblPr>
      <w:tblGrid>
        <w:gridCol w:w="3780"/>
        <w:gridCol w:w="2835"/>
        <w:gridCol w:w="2835"/>
      </w:tblGrid>
      <w:tr w:rsidR="00500673" w:rsidRPr="00817B9F" w14:paraId="4A07F4A5" w14:textId="77777777" w:rsidTr="004D3848">
        <w:trPr>
          <w:cantSplit/>
          <w:trHeight w:val="565"/>
          <w:tblHeader/>
          <w:jc w:val="center"/>
        </w:trPr>
        <w:tc>
          <w:tcPr>
            <w:tcW w:w="3780" w:type="dxa"/>
            <w:tcBorders>
              <w:top w:val="single" w:sz="12" w:space="0" w:color="auto"/>
              <w:left w:val="nil"/>
              <w:bottom w:val="single" w:sz="12" w:space="0" w:color="auto"/>
              <w:right w:val="nil"/>
            </w:tcBorders>
            <w:vAlign w:val="bottom"/>
          </w:tcPr>
          <w:p w14:paraId="21768145" w14:textId="6E56777F" w:rsidR="00500673" w:rsidRPr="00817B9F" w:rsidRDefault="002202B7" w:rsidP="000D3E71">
            <w:pPr>
              <w:pStyle w:val="NumberedParagraphs"/>
              <w:keepNext/>
              <w:keepLines/>
              <w:numPr>
                <w:ilvl w:val="0"/>
                <w:numId w:val="0"/>
              </w:numPr>
              <w:rPr>
                <w:b/>
                <w:bCs/>
              </w:rPr>
            </w:pPr>
            <w:r w:rsidRPr="00817B9F">
              <w:rPr>
                <w:b/>
                <w:bCs/>
              </w:rPr>
              <w:t xml:space="preserve">  </w:t>
            </w:r>
            <w:r w:rsidR="00F311DB" w:rsidRPr="00817B9F">
              <w:rPr>
                <w:b/>
                <w:bCs/>
              </w:rPr>
              <w:t>Service Line</w:t>
            </w:r>
          </w:p>
        </w:tc>
        <w:tc>
          <w:tcPr>
            <w:tcW w:w="2835" w:type="dxa"/>
            <w:tcBorders>
              <w:top w:val="single" w:sz="12" w:space="0" w:color="auto"/>
              <w:left w:val="nil"/>
              <w:bottom w:val="single" w:sz="12" w:space="0" w:color="auto"/>
              <w:right w:val="nil"/>
            </w:tcBorders>
            <w:vAlign w:val="center"/>
          </w:tcPr>
          <w:p w14:paraId="653DF7E0" w14:textId="4B8E2708" w:rsidR="00500673" w:rsidRPr="00817B9F" w:rsidRDefault="00C20F7B" w:rsidP="000D3E71">
            <w:pPr>
              <w:pStyle w:val="NumberedParagraphs"/>
              <w:keepNext/>
              <w:keepLines/>
              <w:numPr>
                <w:ilvl w:val="0"/>
                <w:numId w:val="0"/>
              </w:numPr>
              <w:spacing w:line="240" w:lineRule="auto"/>
              <w:ind w:right="0"/>
              <w:jc w:val="center"/>
              <w:rPr>
                <w:b/>
                <w:bCs/>
              </w:rPr>
            </w:pPr>
            <w:r w:rsidRPr="00817B9F">
              <w:rPr>
                <w:b/>
                <w:bCs/>
              </w:rPr>
              <w:t xml:space="preserve">MGB’s </w:t>
            </w:r>
            <w:r w:rsidR="00AA75C2" w:rsidRPr="00817B9F">
              <w:rPr>
                <w:b/>
                <w:bCs/>
              </w:rPr>
              <w:t>Share Before</w:t>
            </w:r>
            <w:r w:rsidR="00B67FE9">
              <w:rPr>
                <w:b/>
                <w:bCs/>
              </w:rPr>
              <w:t xml:space="preserve"> </w:t>
            </w:r>
            <w:r w:rsidR="00AA75C2" w:rsidRPr="00817B9F">
              <w:rPr>
                <w:b/>
                <w:bCs/>
              </w:rPr>
              <w:t>Proposed Project</w:t>
            </w:r>
          </w:p>
        </w:tc>
        <w:tc>
          <w:tcPr>
            <w:tcW w:w="2835" w:type="dxa"/>
            <w:tcBorders>
              <w:top w:val="single" w:sz="12" w:space="0" w:color="auto"/>
              <w:left w:val="nil"/>
              <w:bottom w:val="single" w:sz="12" w:space="0" w:color="auto"/>
              <w:right w:val="nil"/>
            </w:tcBorders>
            <w:vAlign w:val="center"/>
          </w:tcPr>
          <w:p w14:paraId="155B3594" w14:textId="17FECD9E" w:rsidR="00500673" w:rsidRPr="00817B9F" w:rsidRDefault="00AA75C2" w:rsidP="000D3E71">
            <w:pPr>
              <w:pStyle w:val="NumberedParagraphs"/>
              <w:keepNext/>
              <w:keepLines/>
              <w:numPr>
                <w:ilvl w:val="0"/>
                <w:numId w:val="0"/>
              </w:numPr>
              <w:spacing w:line="240" w:lineRule="auto"/>
              <w:ind w:right="0"/>
              <w:jc w:val="center"/>
              <w:rPr>
                <w:b/>
                <w:bCs/>
              </w:rPr>
            </w:pPr>
            <w:r w:rsidRPr="00817B9F">
              <w:rPr>
                <w:b/>
                <w:bCs/>
              </w:rPr>
              <w:t xml:space="preserve">Change in </w:t>
            </w:r>
            <w:r w:rsidR="00C20F7B" w:rsidRPr="00817B9F">
              <w:rPr>
                <w:b/>
                <w:bCs/>
              </w:rPr>
              <w:t xml:space="preserve">MGB’s </w:t>
            </w:r>
            <w:r w:rsidRPr="00817B9F">
              <w:rPr>
                <w:b/>
                <w:bCs/>
              </w:rPr>
              <w:t>Share After Proposed Project</w:t>
            </w:r>
          </w:p>
        </w:tc>
      </w:tr>
      <w:tr w:rsidR="00500673" w:rsidRPr="00817B9F" w14:paraId="10066D45" w14:textId="77777777" w:rsidTr="000D3E71">
        <w:trPr>
          <w:cantSplit/>
          <w:trHeight w:hRule="exact" w:val="360"/>
          <w:jc w:val="center"/>
        </w:trPr>
        <w:tc>
          <w:tcPr>
            <w:tcW w:w="3780" w:type="dxa"/>
            <w:tcBorders>
              <w:top w:val="nil"/>
              <w:left w:val="nil"/>
              <w:bottom w:val="nil"/>
              <w:right w:val="nil"/>
            </w:tcBorders>
          </w:tcPr>
          <w:p w14:paraId="3DE2763F" w14:textId="45624721" w:rsidR="00500673" w:rsidRPr="00817B9F" w:rsidRDefault="00500673" w:rsidP="000D3E71">
            <w:pPr>
              <w:pStyle w:val="NumberedParagraphs"/>
              <w:keepNext/>
              <w:keepLines/>
              <w:numPr>
                <w:ilvl w:val="0"/>
                <w:numId w:val="0"/>
              </w:numPr>
              <w:ind w:left="504" w:right="0" w:hanging="360"/>
            </w:pPr>
            <w:r w:rsidRPr="00817B9F">
              <w:t xml:space="preserve">Adult Inpatient </w:t>
            </w:r>
            <w:r w:rsidR="00C724EC" w:rsidRPr="00817B9F">
              <w:t>Discharges</w:t>
            </w:r>
          </w:p>
        </w:tc>
        <w:tc>
          <w:tcPr>
            <w:tcW w:w="2835" w:type="dxa"/>
            <w:tcBorders>
              <w:top w:val="nil"/>
              <w:left w:val="nil"/>
              <w:bottom w:val="nil"/>
              <w:right w:val="nil"/>
            </w:tcBorders>
          </w:tcPr>
          <w:p w14:paraId="14DC45B8" w14:textId="39AFD73A" w:rsidR="00500673" w:rsidRPr="00817B9F" w:rsidRDefault="00AA75C2" w:rsidP="000D3E71">
            <w:pPr>
              <w:pStyle w:val="NumberedParagraphs"/>
              <w:keepNext/>
              <w:keepLines/>
              <w:numPr>
                <w:ilvl w:val="0"/>
                <w:numId w:val="0"/>
              </w:numPr>
              <w:ind w:right="0"/>
              <w:jc w:val="center"/>
            </w:pPr>
            <w:r w:rsidRPr="00817B9F">
              <w:t>34</w:t>
            </w:r>
            <w:r w:rsidR="00500673" w:rsidRPr="00817B9F">
              <w:t>%</w:t>
            </w:r>
          </w:p>
        </w:tc>
        <w:tc>
          <w:tcPr>
            <w:tcW w:w="2835" w:type="dxa"/>
            <w:tcBorders>
              <w:top w:val="nil"/>
              <w:left w:val="nil"/>
              <w:bottom w:val="nil"/>
              <w:right w:val="nil"/>
            </w:tcBorders>
          </w:tcPr>
          <w:p w14:paraId="616B4E67" w14:textId="10903F4F" w:rsidR="00500673" w:rsidRPr="00817B9F" w:rsidRDefault="00AA75C2" w:rsidP="000D3E71">
            <w:pPr>
              <w:pStyle w:val="NumberedParagraphs"/>
              <w:keepNext/>
              <w:keepLines/>
              <w:numPr>
                <w:ilvl w:val="0"/>
                <w:numId w:val="0"/>
              </w:numPr>
              <w:ind w:right="0"/>
              <w:jc w:val="center"/>
            </w:pPr>
            <w:r w:rsidRPr="00817B9F">
              <w:t>1.1</w:t>
            </w:r>
            <w:r w:rsidR="00500673" w:rsidRPr="00817B9F">
              <w:t>%</w:t>
            </w:r>
          </w:p>
        </w:tc>
      </w:tr>
      <w:tr w:rsidR="00500673" w:rsidRPr="00817B9F" w14:paraId="4B5992F1" w14:textId="77777777" w:rsidTr="000D3E71">
        <w:trPr>
          <w:cantSplit/>
          <w:trHeight w:hRule="exact" w:val="360"/>
          <w:jc w:val="center"/>
        </w:trPr>
        <w:tc>
          <w:tcPr>
            <w:tcW w:w="3780" w:type="dxa"/>
            <w:tcBorders>
              <w:top w:val="nil"/>
              <w:left w:val="nil"/>
              <w:bottom w:val="nil"/>
              <w:right w:val="nil"/>
            </w:tcBorders>
          </w:tcPr>
          <w:p w14:paraId="619AB838" w14:textId="4DB5A4C5" w:rsidR="00500673" w:rsidRPr="00817B9F" w:rsidRDefault="00500673" w:rsidP="000D3E71">
            <w:pPr>
              <w:pStyle w:val="NumberedParagraphs"/>
              <w:keepNext/>
              <w:keepLines/>
              <w:numPr>
                <w:ilvl w:val="0"/>
                <w:numId w:val="0"/>
              </w:numPr>
              <w:ind w:left="504" w:right="0" w:hanging="360"/>
            </w:pPr>
            <w:r w:rsidRPr="00817B9F">
              <w:t>Outpatient CT Scans</w:t>
            </w:r>
          </w:p>
        </w:tc>
        <w:tc>
          <w:tcPr>
            <w:tcW w:w="2835" w:type="dxa"/>
            <w:tcBorders>
              <w:top w:val="nil"/>
              <w:left w:val="nil"/>
              <w:bottom w:val="nil"/>
              <w:right w:val="nil"/>
            </w:tcBorders>
          </w:tcPr>
          <w:p w14:paraId="429BBDD5" w14:textId="0E7BB8B2" w:rsidR="00500673" w:rsidRPr="00817B9F" w:rsidRDefault="00AA75C2" w:rsidP="000D3E71">
            <w:pPr>
              <w:pStyle w:val="NumberedParagraphs"/>
              <w:keepNext/>
              <w:keepLines/>
              <w:numPr>
                <w:ilvl w:val="0"/>
                <w:numId w:val="0"/>
              </w:numPr>
              <w:ind w:right="0"/>
              <w:jc w:val="center"/>
            </w:pPr>
            <w:r w:rsidRPr="00817B9F">
              <w:t>35</w:t>
            </w:r>
            <w:r w:rsidR="00500673" w:rsidRPr="00817B9F">
              <w:t>%</w:t>
            </w:r>
          </w:p>
        </w:tc>
        <w:tc>
          <w:tcPr>
            <w:tcW w:w="2835" w:type="dxa"/>
            <w:tcBorders>
              <w:top w:val="nil"/>
              <w:left w:val="nil"/>
              <w:bottom w:val="nil"/>
              <w:right w:val="nil"/>
            </w:tcBorders>
          </w:tcPr>
          <w:p w14:paraId="6BCE7D47" w14:textId="2869BA89" w:rsidR="00500673" w:rsidRPr="00817B9F" w:rsidRDefault="00AA75C2" w:rsidP="000D3E71">
            <w:pPr>
              <w:pStyle w:val="NumberedParagraphs"/>
              <w:keepNext/>
              <w:keepLines/>
              <w:numPr>
                <w:ilvl w:val="0"/>
                <w:numId w:val="0"/>
              </w:numPr>
              <w:ind w:right="0"/>
              <w:jc w:val="center"/>
            </w:pPr>
            <w:r w:rsidRPr="00817B9F">
              <w:t>1.6</w:t>
            </w:r>
            <w:r w:rsidR="00500673" w:rsidRPr="00817B9F">
              <w:t>%</w:t>
            </w:r>
          </w:p>
        </w:tc>
      </w:tr>
      <w:tr w:rsidR="00500673" w:rsidRPr="00817B9F" w14:paraId="54072FF5" w14:textId="77777777" w:rsidTr="000D3E71">
        <w:trPr>
          <w:cantSplit/>
          <w:trHeight w:hRule="exact" w:val="360"/>
          <w:jc w:val="center"/>
        </w:trPr>
        <w:tc>
          <w:tcPr>
            <w:tcW w:w="3780" w:type="dxa"/>
            <w:tcBorders>
              <w:top w:val="nil"/>
              <w:left w:val="nil"/>
              <w:bottom w:val="nil"/>
              <w:right w:val="nil"/>
            </w:tcBorders>
          </w:tcPr>
          <w:p w14:paraId="4666FB65" w14:textId="121CEB0E" w:rsidR="00500673" w:rsidRPr="00817B9F" w:rsidRDefault="00500673" w:rsidP="000D3E71">
            <w:pPr>
              <w:pStyle w:val="NumberedParagraphs"/>
              <w:keepNext/>
              <w:keepLines/>
              <w:numPr>
                <w:ilvl w:val="0"/>
                <w:numId w:val="0"/>
              </w:numPr>
              <w:ind w:left="504" w:right="0" w:hanging="360"/>
            </w:pPr>
            <w:r w:rsidRPr="00817B9F">
              <w:t>Outpatient MR Scans</w:t>
            </w:r>
          </w:p>
        </w:tc>
        <w:tc>
          <w:tcPr>
            <w:tcW w:w="2835" w:type="dxa"/>
            <w:tcBorders>
              <w:top w:val="nil"/>
              <w:left w:val="nil"/>
              <w:bottom w:val="nil"/>
              <w:right w:val="nil"/>
            </w:tcBorders>
          </w:tcPr>
          <w:p w14:paraId="30566123" w14:textId="4B048290" w:rsidR="00500673" w:rsidRPr="00817B9F" w:rsidRDefault="00AA75C2" w:rsidP="000D3E71">
            <w:pPr>
              <w:pStyle w:val="NumberedParagraphs"/>
              <w:keepNext/>
              <w:keepLines/>
              <w:numPr>
                <w:ilvl w:val="0"/>
                <w:numId w:val="0"/>
              </w:numPr>
              <w:ind w:right="0"/>
              <w:jc w:val="center"/>
            </w:pPr>
            <w:r w:rsidRPr="00817B9F">
              <w:t>33</w:t>
            </w:r>
            <w:r w:rsidR="00500673" w:rsidRPr="00817B9F">
              <w:t>%</w:t>
            </w:r>
          </w:p>
        </w:tc>
        <w:tc>
          <w:tcPr>
            <w:tcW w:w="2835" w:type="dxa"/>
            <w:tcBorders>
              <w:top w:val="nil"/>
              <w:left w:val="nil"/>
              <w:bottom w:val="nil"/>
              <w:right w:val="nil"/>
            </w:tcBorders>
          </w:tcPr>
          <w:p w14:paraId="7CD95267" w14:textId="73E25776" w:rsidR="00500673" w:rsidRPr="00817B9F" w:rsidRDefault="00AA75C2" w:rsidP="000D3E71">
            <w:pPr>
              <w:pStyle w:val="NumberedParagraphs"/>
              <w:keepNext/>
              <w:keepLines/>
              <w:numPr>
                <w:ilvl w:val="0"/>
                <w:numId w:val="0"/>
              </w:numPr>
              <w:ind w:right="0"/>
              <w:jc w:val="center"/>
            </w:pPr>
            <w:r w:rsidRPr="00817B9F">
              <w:t>2.1</w:t>
            </w:r>
            <w:r w:rsidR="00500673" w:rsidRPr="00817B9F">
              <w:t>%</w:t>
            </w:r>
          </w:p>
        </w:tc>
      </w:tr>
      <w:tr w:rsidR="00500673" w:rsidRPr="00817B9F" w14:paraId="2396876F" w14:textId="77777777" w:rsidTr="000D3E71">
        <w:trPr>
          <w:cantSplit/>
          <w:trHeight w:hRule="exact" w:val="360"/>
          <w:jc w:val="center"/>
        </w:trPr>
        <w:tc>
          <w:tcPr>
            <w:tcW w:w="3780" w:type="dxa"/>
            <w:tcBorders>
              <w:top w:val="nil"/>
              <w:left w:val="nil"/>
              <w:bottom w:val="nil"/>
              <w:right w:val="nil"/>
            </w:tcBorders>
          </w:tcPr>
          <w:p w14:paraId="7D919F3D" w14:textId="1D0A347C" w:rsidR="00500673" w:rsidRPr="00817B9F" w:rsidRDefault="00500673" w:rsidP="000D3E71">
            <w:pPr>
              <w:pStyle w:val="NumberedParagraphs"/>
              <w:keepNext/>
              <w:keepLines/>
              <w:numPr>
                <w:ilvl w:val="0"/>
                <w:numId w:val="0"/>
              </w:numPr>
              <w:ind w:left="504" w:right="0" w:hanging="360"/>
            </w:pPr>
            <w:r w:rsidRPr="00817B9F">
              <w:t>Outpatient PET/CT Scans</w:t>
            </w:r>
          </w:p>
        </w:tc>
        <w:tc>
          <w:tcPr>
            <w:tcW w:w="2835" w:type="dxa"/>
            <w:tcBorders>
              <w:top w:val="nil"/>
              <w:left w:val="nil"/>
              <w:bottom w:val="nil"/>
              <w:right w:val="nil"/>
            </w:tcBorders>
          </w:tcPr>
          <w:p w14:paraId="7498BF27" w14:textId="5C2B3BD1" w:rsidR="00500673" w:rsidRPr="00817B9F" w:rsidRDefault="00AA75C2" w:rsidP="000D3E71">
            <w:pPr>
              <w:pStyle w:val="NumberedParagraphs"/>
              <w:keepNext/>
              <w:keepLines/>
              <w:numPr>
                <w:ilvl w:val="0"/>
                <w:numId w:val="0"/>
              </w:numPr>
              <w:ind w:left="360" w:right="0" w:hanging="360"/>
              <w:jc w:val="center"/>
            </w:pPr>
            <w:r w:rsidRPr="00817B9F">
              <w:t>33</w:t>
            </w:r>
            <w:r w:rsidR="00500673" w:rsidRPr="00817B9F">
              <w:t>%</w:t>
            </w:r>
          </w:p>
        </w:tc>
        <w:tc>
          <w:tcPr>
            <w:tcW w:w="2835" w:type="dxa"/>
            <w:tcBorders>
              <w:top w:val="nil"/>
              <w:left w:val="nil"/>
              <w:bottom w:val="nil"/>
              <w:right w:val="nil"/>
            </w:tcBorders>
          </w:tcPr>
          <w:p w14:paraId="22EA2D83" w14:textId="6ED79616" w:rsidR="00500673" w:rsidRPr="00817B9F" w:rsidRDefault="00AA75C2" w:rsidP="000D3E71">
            <w:pPr>
              <w:pStyle w:val="NumberedParagraphs"/>
              <w:keepNext/>
              <w:keepLines/>
              <w:numPr>
                <w:ilvl w:val="0"/>
                <w:numId w:val="0"/>
              </w:numPr>
              <w:ind w:left="360" w:right="0" w:hanging="360"/>
              <w:jc w:val="center"/>
            </w:pPr>
            <w:r w:rsidRPr="00817B9F">
              <w:t>6.1</w:t>
            </w:r>
            <w:r w:rsidR="00500673" w:rsidRPr="00817B9F">
              <w:t>%</w:t>
            </w:r>
          </w:p>
        </w:tc>
      </w:tr>
      <w:tr w:rsidR="00500673" w:rsidRPr="00817B9F" w14:paraId="25768C6C" w14:textId="77777777" w:rsidTr="00CA431A">
        <w:trPr>
          <w:cantSplit/>
          <w:trHeight w:hRule="exact" w:val="360"/>
          <w:jc w:val="center"/>
        </w:trPr>
        <w:tc>
          <w:tcPr>
            <w:tcW w:w="3780" w:type="dxa"/>
            <w:tcBorders>
              <w:top w:val="nil"/>
              <w:left w:val="nil"/>
              <w:bottom w:val="nil"/>
              <w:right w:val="nil"/>
            </w:tcBorders>
          </w:tcPr>
          <w:p w14:paraId="60D67AB9" w14:textId="62FD9BE8" w:rsidR="00500673" w:rsidRPr="00817B9F" w:rsidRDefault="00500673" w:rsidP="000D3E71">
            <w:pPr>
              <w:pStyle w:val="NumberedParagraphs"/>
              <w:keepNext/>
              <w:keepLines/>
              <w:numPr>
                <w:ilvl w:val="0"/>
                <w:numId w:val="0"/>
              </w:numPr>
              <w:ind w:left="504" w:right="0" w:hanging="360"/>
            </w:pPr>
            <w:r w:rsidRPr="00817B9F">
              <w:t xml:space="preserve">Outpatient Cardiovascular </w:t>
            </w:r>
            <w:r w:rsidR="00C724EC" w:rsidRPr="00817B9F">
              <w:t>Procs.</w:t>
            </w:r>
          </w:p>
        </w:tc>
        <w:tc>
          <w:tcPr>
            <w:tcW w:w="2835" w:type="dxa"/>
            <w:tcBorders>
              <w:top w:val="nil"/>
              <w:left w:val="nil"/>
              <w:bottom w:val="nil"/>
              <w:right w:val="nil"/>
            </w:tcBorders>
          </w:tcPr>
          <w:p w14:paraId="68BC0500" w14:textId="74413CFA" w:rsidR="00500673" w:rsidRPr="00817B9F" w:rsidRDefault="00AA75C2" w:rsidP="000D3E71">
            <w:pPr>
              <w:pStyle w:val="NumberedParagraphs"/>
              <w:keepNext/>
              <w:keepLines/>
              <w:numPr>
                <w:ilvl w:val="0"/>
                <w:numId w:val="0"/>
              </w:numPr>
              <w:ind w:left="360" w:right="0" w:hanging="360"/>
              <w:jc w:val="center"/>
            </w:pPr>
            <w:r w:rsidRPr="00817B9F">
              <w:t>32</w:t>
            </w:r>
            <w:r w:rsidR="00500673" w:rsidRPr="00817B9F">
              <w:t>%</w:t>
            </w:r>
          </w:p>
        </w:tc>
        <w:tc>
          <w:tcPr>
            <w:tcW w:w="2835" w:type="dxa"/>
            <w:tcBorders>
              <w:top w:val="nil"/>
              <w:left w:val="nil"/>
              <w:bottom w:val="nil"/>
              <w:right w:val="nil"/>
            </w:tcBorders>
          </w:tcPr>
          <w:p w14:paraId="1018ADC4" w14:textId="630412B0" w:rsidR="00500673" w:rsidRPr="00817B9F" w:rsidRDefault="00AA75C2" w:rsidP="000D3E71">
            <w:pPr>
              <w:pStyle w:val="NumberedParagraphs"/>
              <w:keepNext/>
              <w:keepLines/>
              <w:numPr>
                <w:ilvl w:val="0"/>
                <w:numId w:val="0"/>
              </w:numPr>
              <w:ind w:left="360" w:right="0" w:hanging="360"/>
              <w:jc w:val="center"/>
            </w:pPr>
            <w:r w:rsidRPr="00817B9F">
              <w:t>0.3</w:t>
            </w:r>
            <w:r w:rsidR="00500673" w:rsidRPr="00817B9F">
              <w:t>%</w:t>
            </w:r>
          </w:p>
        </w:tc>
      </w:tr>
      <w:tr w:rsidR="00500673" w:rsidRPr="00817B9F" w14:paraId="01999FC2" w14:textId="77777777" w:rsidTr="00CA431A">
        <w:trPr>
          <w:cantSplit/>
          <w:trHeight w:hRule="exact" w:val="360"/>
          <w:jc w:val="center"/>
        </w:trPr>
        <w:tc>
          <w:tcPr>
            <w:tcW w:w="3780" w:type="dxa"/>
            <w:tcBorders>
              <w:top w:val="nil"/>
              <w:left w:val="nil"/>
              <w:bottom w:val="single" w:sz="18" w:space="0" w:color="auto"/>
              <w:right w:val="nil"/>
            </w:tcBorders>
          </w:tcPr>
          <w:p w14:paraId="4FF5C1B5" w14:textId="10462920" w:rsidR="00500673" w:rsidRPr="00817B9F" w:rsidRDefault="00500673" w:rsidP="000D3E71">
            <w:pPr>
              <w:pStyle w:val="NumberedParagraphs"/>
              <w:keepNext/>
              <w:keepLines/>
              <w:numPr>
                <w:ilvl w:val="0"/>
                <w:numId w:val="0"/>
              </w:numPr>
              <w:ind w:left="504" w:right="0" w:hanging="360"/>
            </w:pPr>
            <w:r w:rsidRPr="00817B9F">
              <w:t xml:space="preserve">Outpatient Oncology </w:t>
            </w:r>
            <w:r w:rsidR="00B01EC9" w:rsidRPr="00817B9F">
              <w:t>Visits</w:t>
            </w:r>
          </w:p>
        </w:tc>
        <w:tc>
          <w:tcPr>
            <w:tcW w:w="2835" w:type="dxa"/>
            <w:tcBorders>
              <w:top w:val="nil"/>
              <w:left w:val="nil"/>
              <w:bottom w:val="single" w:sz="18" w:space="0" w:color="auto"/>
              <w:right w:val="nil"/>
            </w:tcBorders>
          </w:tcPr>
          <w:p w14:paraId="1E5E3367" w14:textId="48649F95" w:rsidR="00500673" w:rsidRPr="00817B9F" w:rsidRDefault="00AA75C2" w:rsidP="000D3E71">
            <w:pPr>
              <w:pStyle w:val="NumberedParagraphs"/>
              <w:keepNext/>
              <w:keepLines/>
              <w:numPr>
                <w:ilvl w:val="0"/>
                <w:numId w:val="0"/>
              </w:numPr>
              <w:ind w:left="360" w:right="0" w:hanging="360"/>
              <w:jc w:val="center"/>
            </w:pPr>
            <w:r w:rsidRPr="00817B9F">
              <w:t>35</w:t>
            </w:r>
            <w:r w:rsidR="00500673" w:rsidRPr="00817B9F">
              <w:t>%</w:t>
            </w:r>
          </w:p>
        </w:tc>
        <w:tc>
          <w:tcPr>
            <w:tcW w:w="2835" w:type="dxa"/>
            <w:tcBorders>
              <w:top w:val="nil"/>
              <w:left w:val="nil"/>
              <w:bottom w:val="single" w:sz="18" w:space="0" w:color="auto"/>
              <w:right w:val="nil"/>
            </w:tcBorders>
          </w:tcPr>
          <w:p w14:paraId="1EE6AD45" w14:textId="71863917" w:rsidR="00500673" w:rsidRPr="00817B9F" w:rsidRDefault="00AA75C2" w:rsidP="000D3E71">
            <w:pPr>
              <w:pStyle w:val="NumberedParagraphs"/>
              <w:keepNext/>
              <w:keepLines/>
              <w:numPr>
                <w:ilvl w:val="0"/>
                <w:numId w:val="0"/>
              </w:numPr>
              <w:ind w:left="360" w:right="0" w:hanging="360"/>
              <w:jc w:val="center"/>
            </w:pPr>
            <w:r w:rsidRPr="00817B9F">
              <w:t>2.3</w:t>
            </w:r>
            <w:r w:rsidR="00500673" w:rsidRPr="00817B9F">
              <w:t>%</w:t>
            </w:r>
          </w:p>
        </w:tc>
      </w:tr>
    </w:tbl>
    <w:p w14:paraId="488BC023" w14:textId="77777777" w:rsidR="000D3E71" w:rsidRPr="00817B9F" w:rsidRDefault="000D3E71" w:rsidP="000D3E71">
      <w:pPr>
        <w:pStyle w:val="NumberedParagraphs"/>
        <w:numPr>
          <w:ilvl w:val="0"/>
          <w:numId w:val="0"/>
        </w:numPr>
        <w:spacing w:after="0" w:line="240" w:lineRule="auto"/>
      </w:pPr>
    </w:p>
    <w:p w14:paraId="158A861F" w14:textId="57CB8224" w:rsidR="00B678E8" w:rsidRPr="00817B9F" w:rsidRDefault="00A43951" w:rsidP="006C7BC8">
      <w:pPr>
        <w:pStyle w:val="NumberedParagraphs"/>
      </w:pPr>
      <w:r w:rsidRPr="00817B9F">
        <w:t>Accordingly, w</w:t>
      </w:r>
      <w:r w:rsidR="00141099" w:rsidRPr="00817B9F">
        <w:t>e conclude that t</w:t>
      </w:r>
      <w:r w:rsidR="00B678E8" w:rsidRPr="00817B9F">
        <w:t>he predicted changes in</w:t>
      </w:r>
      <w:r w:rsidR="006C7BC8" w:rsidRPr="00817B9F">
        <w:t xml:space="preserve"> MGB’</w:t>
      </w:r>
      <w:r w:rsidR="00B678E8" w:rsidRPr="00817B9F">
        <w:t>s shares</w:t>
      </w:r>
      <w:r w:rsidR="006C7BC8" w:rsidRPr="00817B9F">
        <w:t xml:space="preserve"> and the corresponding changes in concentration </w:t>
      </w:r>
      <w:r w:rsidR="00B678E8" w:rsidRPr="00817B9F">
        <w:t>associated with the proposed project are modest and unlikely to meaningfully change the system’s bargaining leverage with health insurers. Rather, the weight of the economics literature suggests that allowing health care providers</w:t>
      </w:r>
      <w:r w:rsidR="00141099" w:rsidRPr="00817B9F">
        <w:t>—especially health care providers that are constrained in terms of capacity—</w:t>
      </w:r>
      <w:r w:rsidR="00B678E8" w:rsidRPr="00817B9F">
        <w:t xml:space="preserve">to expand </w:t>
      </w:r>
      <w:r w:rsidR="00141099" w:rsidRPr="00817B9F">
        <w:t>puts downward pressure on</w:t>
      </w:r>
      <w:r w:rsidR="00B678E8" w:rsidRPr="00817B9F">
        <w:t xml:space="preserve"> health care prices and reduces expenditures on health care services. </w:t>
      </w:r>
    </w:p>
    <w:p w14:paraId="0A127AF1" w14:textId="6B2FD654" w:rsidR="005B46DF" w:rsidRPr="00817B9F" w:rsidRDefault="00141099" w:rsidP="005B46DF">
      <w:pPr>
        <w:pStyle w:val="NumberedParagraphs"/>
      </w:pPr>
      <w:r w:rsidRPr="00817B9F">
        <w:lastRenderedPageBreak/>
        <w:t xml:space="preserve">The DoN program asked that we evaluate how the proposed project might change utilization of relatively higher- and lower-priced health care providers, and to assess the effect of any changes in utilization on health care expenditures in Massachusetts. We present our estimates of the effect of the proposed project on health care expenditures </w:t>
      </w:r>
      <w:r w:rsidR="0030641A" w:rsidRPr="00817B9F">
        <w:t>using two approaches</w:t>
      </w:r>
      <w:r w:rsidRPr="00817B9F">
        <w:t>. First, we measure the impact of the proposed project on the cost of health care services for only those patients who would switch to receiving care at MGH after the hospital’s proposed expansion. Second, we measure the impact of the proposed project on the cost of health care services for</w:t>
      </w:r>
      <w:r w:rsidR="00F05E89" w:rsidRPr="00817B9F">
        <w:t xml:space="preserve"> all </w:t>
      </w:r>
      <w:r w:rsidRPr="00817B9F">
        <w:t xml:space="preserve">patients who received the </w:t>
      </w:r>
      <w:r w:rsidR="00F05E89" w:rsidRPr="00817B9F">
        <w:t>relevant service (</w:t>
      </w:r>
      <w:r w:rsidR="00F05E89" w:rsidRPr="00817B9F">
        <w:rPr>
          <w:i/>
          <w:iCs/>
        </w:rPr>
        <w:t>i.e.</w:t>
      </w:r>
      <w:r w:rsidR="00F05E89" w:rsidRPr="00817B9F">
        <w:t xml:space="preserve">, including both the patients who would switch to MGH and the patients </w:t>
      </w:r>
      <w:r w:rsidR="0030641A" w:rsidRPr="00817B9F">
        <w:t>who would not change their health care provider</w:t>
      </w:r>
      <w:r w:rsidR="00F05E89" w:rsidRPr="00817B9F">
        <w:t>).</w:t>
      </w:r>
      <w:bookmarkStart w:id="148" w:name="_Hlk89864542"/>
      <w:r w:rsidR="00F05E89" w:rsidRPr="00817B9F">
        <w:t xml:space="preserve"> </w:t>
      </w:r>
      <w:r w:rsidR="007F0384" w:rsidRPr="00817B9F">
        <w:t>The second approach produces substantially smaller estimates of the cost impact of the proposed project because the choices of most patients would be unaffected by MGH’s expansion</w:t>
      </w:r>
      <w:bookmarkEnd w:id="148"/>
      <w:r w:rsidR="007F0384" w:rsidRPr="00817B9F">
        <w:t xml:space="preserve">. </w:t>
      </w:r>
      <w:r w:rsidR="00F05E89" w:rsidRPr="00817B9F">
        <w:t xml:space="preserve">We provide these estimates separately for each service line addressed in the DoN application and </w:t>
      </w:r>
      <w:r w:rsidR="0030641A" w:rsidRPr="00817B9F">
        <w:t xml:space="preserve">also </w:t>
      </w:r>
      <w:r w:rsidR="00F05E89" w:rsidRPr="00817B9F">
        <w:t>combined across all service lines.</w:t>
      </w:r>
      <w:r w:rsidR="00544EDF" w:rsidRPr="00817B9F">
        <w:rPr>
          <w:rStyle w:val="FootnoteReference"/>
        </w:rPr>
        <w:footnoteReference w:id="259"/>
      </w:r>
      <w:r w:rsidR="00F05E89" w:rsidRPr="00817B9F">
        <w:t xml:space="preserve"> </w:t>
      </w:r>
      <w:r w:rsidR="005B46DF" w:rsidRPr="00817B9F">
        <w:t>In all cases, o</w:t>
      </w:r>
      <w:r w:rsidR="0030641A" w:rsidRPr="00817B9F">
        <w:t>ur estimates of the cost impact of the proposed project are based on current price differences between health care providers in Massachusetts</w:t>
      </w:r>
      <w:r w:rsidR="00422FB8" w:rsidRPr="00817B9F">
        <w:t xml:space="preserve"> and do not account for any downward pressure on prices that might result from MGB’s proposed expansion.</w:t>
      </w:r>
      <w:r w:rsidR="0030641A" w:rsidRPr="00817B9F">
        <w:t xml:space="preserve"> </w:t>
      </w:r>
    </w:p>
    <w:p w14:paraId="6B3D7C65" w14:textId="0929BE13" w:rsidR="00AA75C2" w:rsidRPr="00817B9F" w:rsidRDefault="005B46DF" w:rsidP="005B46DF">
      <w:pPr>
        <w:pStyle w:val="NumberedParagraphs"/>
      </w:pPr>
      <w:r w:rsidRPr="00817B9F">
        <w:t xml:space="preserve">Our estimates of the cost impact of the proposed project are summarized in </w:t>
      </w:r>
      <w:r w:rsidR="00E75F47" w:rsidRPr="00817B9F">
        <w:t>Figure MGH31</w:t>
      </w:r>
      <w:r w:rsidRPr="00817B9F">
        <w:t xml:space="preserve"> below. Estimates using our first approach that measure</w:t>
      </w:r>
      <w:r w:rsidR="000D77D6" w:rsidRPr="00817B9F">
        <w:t>s</w:t>
      </w:r>
      <w:r w:rsidRPr="00817B9F">
        <w:t xml:space="preserve"> the increase in expenditures for patients who would switch to MGH is shown in the left column; estimates using our second approach that measures the increase in expenditures across all patients is shown in the right column. </w:t>
      </w:r>
      <w:r w:rsidR="000E3EED" w:rsidRPr="00817B9F">
        <w:t>As shown in the figure, for each patient who switches to MGH, the change in expenditures ranges between seven percent (outpatient CT scans) and 38 percent (inpatient cancer services</w:t>
      </w:r>
      <w:r w:rsidR="00F874FE" w:rsidRPr="00817B9F">
        <w:t>), with the weighted average change a</w:t>
      </w:r>
      <w:r w:rsidR="000E3EED" w:rsidRPr="00817B9F">
        <w:t>cross all service lines</w:t>
      </w:r>
      <w:r w:rsidR="00F874FE" w:rsidRPr="00817B9F">
        <w:t xml:space="preserve"> being </w:t>
      </w:r>
      <w:r w:rsidR="00BD588D" w:rsidRPr="00817B9F">
        <w:t>18 percent</w:t>
      </w:r>
      <w:r w:rsidR="00F874FE" w:rsidRPr="00817B9F">
        <w:t>.</w:t>
      </w:r>
      <w:r w:rsidR="000E3EED" w:rsidRPr="00817B9F">
        <w:t xml:space="preserve"> Across all patients, the changes in expenditures range between 0.0 percent (outpatient cardiovascular services) and </w:t>
      </w:r>
      <w:r w:rsidR="00F874FE" w:rsidRPr="00817B9F">
        <w:t>1.</w:t>
      </w:r>
      <w:r w:rsidR="00C724EC" w:rsidRPr="00817B9F">
        <w:t>1</w:t>
      </w:r>
      <w:r w:rsidR="00F874FE" w:rsidRPr="00817B9F">
        <w:t xml:space="preserve"> percent (</w:t>
      </w:r>
      <w:r w:rsidR="00C724EC" w:rsidRPr="00817B9F">
        <w:t>outpatient PET/CT scans</w:t>
      </w:r>
      <w:r w:rsidR="00F874FE" w:rsidRPr="00817B9F">
        <w:t xml:space="preserve">), with the weighted average change across all service lines being </w:t>
      </w:r>
      <w:r w:rsidR="00BD588D" w:rsidRPr="00817B9F">
        <w:t>0.</w:t>
      </w:r>
      <w:r w:rsidR="00B01EC9" w:rsidRPr="00817B9F">
        <w:t>2</w:t>
      </w:r>
      <w:r w:rsidR="00BD588D" w:rsidRPr="00817B9F">
        <w:t xml:space="preserve"> percent</w:t>
      </w:r>
      <w:r w:rsidR="00F874FE" w:rsidRPr="00817B9F">
        <w:t xml:space="preserve">. </w:t>
      </w:r>
    </w:p>
    <w:p w14:paraId="4927AFEF" w14:textId="566A8BDC" w:rsidR="00C1176A" w:rsidRPr="00817B9F" w:rsidRDefault="00C1176A" w:rsidP="00F2226E">
      <w:pPr>
        <w:pStyle w:val="NumberedParagraphs"/>
        <w:keepNext/>
        <w:keepLines/>
        <w:numPr>
          <w:ilvl w:val="0"/>
          <w:numId w:val="0"/>
        </w:numPr>
        <w:spacing w:after="0" w:line="240" w:lineRule="auto"/>
        <w:rPr>
          <w:b/>
          <w:bCs/>
        </w:rPr>
      </w:pPr>
      <w:r w:rsidRPr="00817B9F">
        <w:rPr>
          <w:b/>
          <w:bCs/>
        </w:rPr>
        <w:lastRenderedPageBreak/>
        <w:t>Figure MGH31</w:t>
      </w:r>
    </w:p>
    <w:tbl>
      <w:tblPr>
        <w:tblStyle w:val="TableGrid"/>
        <w:tblpPr w:leftFromText="180" w:rightFromText="180" w:vertAnchor="text" w:horzAnchor="margin" w:tblpY="204"/>
        <w:tblW w:w="9450" w:type="dxa"/>
        <w:tblLayout w:type="fixed"/>
        <w:tblLook w:val="04A0" w:firstRow="1" w:lastRow="0" w:firstColumn="1" w:lastColumn="0" w:noHBand="0" w:noVBand="1"/>
        <w:tblCaption w:val="Figure MGH31"/>
        <w:tblDescription w:val="Service Line, Change in Spending Per Switch to MGH, Change in Spending Across All Patients&#10;  &#10;Adult Inpatient Services 14% 0.1%&#10;Cancer 38% 1.0%&#10;Heart &amp; Vascular 19% 0.4%&#10;Outpatient CT Scans   7% 0.1%&#10;Outpatient MR Scans 15% 0.2%&#10;Outpatient PET/CT Scans 18% 1.1%&#10;Outpatient Cardiovascular Procs.    8% 0.0%&#10;Outpatient Oncology Visits 22% 0.5%&#10;Across All Service Lines 18% 0.2%&#10;"/>
      </w:tblPr>
      <w:tblGrid>
        <w:gridCol w:w="3780"/>
        <w:gridCol w:w="2835"/>
        <w:gridCol w:w="2835"/>
      </w:tblGrid>
      <w:tr w:rsidR="00AA75C2" w:rsidRPr="00817B9F" w14:paraId="324F9F16" w14:textId="77777777" w:rsidTr="004D3848">
        <w:trPr>
          <w:cantSplit/>
          <w:trHeight w:val="565"/>
          <w:tblHeader/>
        </w:trPr>
        <w:tc>
          <w:tcPr>
            <w:tcW w:w="3780" w:type="dxa"/>
            <w:tcBorders>
              <w:top w:val="single" w:sz="12" w:space="0" w:color="auto"/>
              <w:left w:val="nil"/>
              <w:bottom w:val="single" w:sz="12" w:space="0" w:color="auto"/>
              <w:right w:val="nil"/>
            </w:tcBorders>
            <w:vAlign w:val="bottom"/>
          </w:tcPr>
          <w:p w14:paraId="30DA2F45" w14:textId="75D3C78F" w:rsidR="00AA75C2" w:rsidRPr="00817B9F" w:rsidRDefault="002202B7" w:rsidP="00F2226E">
            <w:pPr>
              <w:pStyle w:val="NumberedParagraphs"/>
              <w:keepLines/>
              <w:numPr>
                <w:ilvl w:val="0"/>
                <w:numId w:val="0"/>
              </w:numPr>
              <w:rPr>
                <w:b/>
                <w:bCs/>
              </w:rPr>
            </w:pPr>
            <w:r w:rsidRPr="00817B9F">
              <w:rPr>
                <w:b/>
                <w:bCs/>
              </w:rPr>
              <w:t xml:space="preserve">  </w:t>
            </w:r>
            <w:r w:rsidR="00F311DB" w:rsidRPr="00817B9F">
              <w:rPr>
                <w:b/>
                <w:bCs/>
              </w:rPr>
              <w:t>Service Line</w:t>
            </w:r>
          </w:p>
        </w:tc>
        <w:tc>
          <w:tcPr>
            <w:tcW w:w="2835" w:type="dxa"/>
            <w:tcBorders>
              <w:top w:val="single" w:sz="12" w:space="0" w:color="auto"/>
              <w:left w:val="nil"/>
              <w:bottom w:val="single" w:sz="12" w:space="0" w:color="auto"/>
              <w:right w:val="nil"/>
            </w:tcBorders>
            <w:vAlign w:val="center"/>
          </w:tcPr>
          <w:p w14:paraId="3D543838" w14:textId="17CC9AAB" w:rsidR="00AA75C2" w:rsidRPr="00817B9F" w:rsidRDefault="000F7156" w:rsidP="00B67FE9">
            <w:pPr>
              <w:pStyle w:val="NumberedParagraphs"/>
              <w:keepLines/>
              <w:numPr>
                <w:ilvl w:val="0"/>
                <w:numId w:val="0"/>
              </w:numPr>
              <w:spacing w:line="240" w:lineRule="auto"/>
              <w:ind w:right="0"/>
              <w:jc w:val="center"/>
              <w:rPr>
                <w:b/>
                <w:bCs/>
              </w:rPr>
            </w:pPr>
            <w:r w:rsidRPr="00817B9F">
              <w:rPr>
                <w:b/>
                <w:bCs/>
              </w:rPr>
              <w:t>Change in Spending</w:t>
            </w:r>
            <w:r w:rsidR="00B67FE9">
              <w:rPr>
                <w:b/>
                <w:bCs/>
              </w:rPr>
              <w:t xml:space="preserve"> </w:t>
            </w:r>
            <w:r w:rsidR="00AA75C2" w:rsidRPr="00817B9F">
              <w:rPr>
                <w:b/>
                <w:bCs/>
              </w:rPr>
              <w:t>Per Switch to MGH</w:t>
            </w:r>
          </w:p>
        </w:tc>
        <w:tc>
          <w:tcPr>
            <w:tcW w:w="2835" w:type="dxa"/>
            <w:tcBorders>
              <w:top w:val="single" w:sz="12" w:space="0" w:color="auto"/>
              <w:left w:val="nil"/>
              <w:bottom w:val="single" w:sz="12" w:space="0" w:color="auto"/>
              <w:right w:val="nil"/>
            </w:tcBorders>
            <w:shd w:val="clear" w:color="auto" w:fill="EEECE1" w:themeFill="background2"/>
            <w:vAlign w:val="center"/>
          </w:tcPr>
          <w:p w14:paraId="62FD8120" w14:textId="1D755D53" w:rsidR="00AA75C2" w:rsidRPr="00817B9F" w:rsidRDefault="000F7156" w:rsidP="00F2226E">
            <w:pPr>
              <w:pStyle w:val="NumberedParagraphs"/>
              <w:keepLines/>
              <w:numPr>
                <w:ilvl w:val="0"/>
                <w:numId w:val="0"/>
              </w:numPr>
              <w:spacing w:line="240" w:lineRule="auto"/>
              <w:ind w:right="0"/>
              <w:jc w:val="center"/>
              <w:rPr>
                <w:b/>
                <w:bCs/>
              </w:rPr>
            </w:pPr>
            <w:r w:rsidRPr="00817B9F">
              <w:rPr>
                <w:b/>
                <w:bCs/>
              </w:rPr>
              <w:t>Change in Spending</w:t>
            </w:r>
            <w:r w:rsidR="00B67FE9">
              <w:rPr>
                <w:b/>
                <w:bCs/>
              </w:rPr>
              <w:t xml:space="preserve"> </w:t>
            </w:r>
            <w:r w:rsidR="00AA75C2" w:rsidRPr="00817B9F">
              <w:rPr>
                <w:b/>
                <w:bCs/>
              </w:rPr>
              <w:t xml:space="preserve">Across All </w:t>
            </w:r>
            <w:r w:rsidR="005B46DF" w:rsidRPr="00817B9F">
              <w:rPr>
                <w:b/>
                <w:bCs/>
              </w:rPr>
              <w:t>Patients</w:t>
            </w:r>
          </w:p>
        </w:tc>
      </w:tr>
      <w:tr w:rsidR="00AA75C2" w:rsidRPr="00817B9F" w14:paraId="4A6A7050" w14:textId="77777777" w:rsidTr="00613B35">
        <w:trPr>
          <w:cantSplit/>
          <w:trHeight w:hRule="exact" w:val="360"/>
        </w:trPr>
        <w:tc>
          <w:tcPr>
            <w:tcW w:w="3780" w:type="dxa"/>
            <w:tcBorders>
              <w:top w:val="nil"/>
              <w:left w:val="nil"/>
              <w:bottom w:val="nil"/>
              <w:right w:val="nil"/>
            </w:tcBorders>
          </w:tcPr>
          <w:p w14:paraId="4140F782" w14:textId="77777777" w:rsidR="00AA75C2" w:rsidRPr="00817B9F" w:rsidRDefault="00AA75C2" w:rsidP="00F2226E">
            <w:pPr>
              <w:pStyle w:val="NumberedParagraphs"/>
              <w:keepLines/>
              <w:numPr>
                <w:ilvl w:val="0"/>
                <w:numId w:val="0"/>
              </w:numPr>
              <w:ind w:left="504" w:right="0" w:hanging="360"/>
            </w:pPr>
            <w:r w:rsidRPr="00817B9F">
              <w:t>Adult Inpatient Services</w:t>
            </w:r>
          </w:p>
        </w:tc>
        <w:tc>
          <w:tcPr>
            <w:tcW w:w="2835" w:type="dxa"/>
            <w:tcBorders>
              <w:top w:val="nil"/>
              <w:left w:val="nil"/>
              <w:bottom w:val="nil"/>
              <w:right w:val="nil"/>
            </w:tcBorders>
          </w:tcPr>
          <w:p w14:paraId="746410BD" w14:textId="1E1C9498" w:rsidR="00AA75C2" w:rsidRPr="00817B9F" w:rsidRDefault="000F7156" w:rsidP="00F2226E">
            <w:pPr>
              <w:pStyle w:val="NumberedParagraphs"/>
              <w:keepLines/>
              <w:numPr>
                <w:ilvl w:val="0"/>
                <w:numId w:val="0"/>
              </w:numPr>
              <w:ind w:right="0"/>
              <w:jc w:val="center"/>
            </w:pPr>
            <w:r w:rsidRPr="00817B9F">
              <w:t>14</w:t>
            </w:r>
            <w:r w:rsidR="00AA75C2" w:rsidRPr="00817B9F">
              <w:t>%</w:t>
            </w:r>
          </w:p>
        </w:tc>
        <w:tc>
          <w:tcPr>
            <w:tcW w:w="2835" w:type="dxa"/>
            <w:tcBorders>
              <w:top w:val="nil"/>
              <w:left w:val="nil"/>
              <w:bottom w:val="nil"/>
              <w:right w:val="nil"/>
            </w:tcBorders>
            <w:shd w:val="clear" w:color="auto" w:fill="EEECE1" w:themeFill="background2"/>
          </w:tcPr>
          <w:p w14:paraId="3DE30CAF" w14:textId="771E6698" w:rsidR="00AA75C2" w:rsidRPr="00817B9F" w:rsidRDefault="000F7156" w:rsidP="00F2226E">
            <w:pPr>
              <w:pStyle w:val="NumberedParagraphs"/>
              <w:keepLines/>
              <w:numPr>
                <w:ilvl w:val="0"/>
                <w:numId w:val="0"/>
              </w:numPr>
              <w:ind w:right="0"/>
              <w:jc w:val="center"/>
            </w:pPr>
            <w:r w:rsidRPr="00817B9F">
              <w:t>0</w:t>
            </w:r>
            <w:r w:rsidR="00AA75C2" w:rsidRPr="00817B9F">
              <w:t>.1%</w:t>
            </w:r>
          </w:p>
        </w:tc>
      </w:tr>
      <w:tr w:rsidR="000F7156" w:rsidRPr="00817B9F" w14:paraId="07A7506F" w14:textId="77777777" w:rsidTr="00613B35">
        <w:trPr>
          <w:cantSplit/>
          <w:trHeight w:hRule="exact" w:val="360"/>
        </w:trPr>
        <w:tc>
          <w:tcPr>
            <w:tcW w:w="3780" w:type="dxa"/>
            <w:tcBorders>
              <w:top w:val="nil"/>
              <w:left w:val="nil"/>
              <w:bottom w:val="nil"/>
              <w:right w:val="nil"/>
            </w:tcBorders>
          </w:tcPr>
          <w:p w14:paraId="5078A149" w14:textId="26AFADD8" w:rsidR="000F7156" w:rsidRPr="00817B9F" w:rsidRDefault="000F7156" w:rsidP="00F2226E">
            <w:pPr>
              <w:pStyle w:val="NumberedParagraphs"/>
              <w:keepLines/>
              <w:numPr>
                <w:ilvl w:val="0"/>
                <w:numId w:val="0"/>
              </w:numPr>
              <w:ind w:left="792" w:hanging="360"/>
            </w:pPr>
            <w:r w:rsidRPr="00817B9F">
              <w:t>Cancer</w:t>
            </w:r>
          </w:p>
        </w:tc>
        <w:tc>
          <w:tcPr>
            <w:tcW w:w="2835" w:type="dxa"/>
            <w:tcBorders>
              <w:top w:val="nil"/>
              <w:left w:val="nil"/>
              <w:bottom w:val="nil"/>
              <w:right w:val="nil"/>
            </w:tcBorders>
          </w:tcPr>
          <w:p w14:paraId="3ED03D8B" w14:textId="1D8B60DB" w:rsidR="000F7156" w:rsidRPr="00817B9F" w:rsidRDefault="000F7156" w:rsidP="00F2226E">
            <w:pPr>
              <w:pStyle w:val="NumberedParagraphs"/>
              <w:keepLines/>
              <w:numPr>
                <w:ilvl w:val="0"/>
                <w:numId w:val="0"/>
              </w:numPr>
              <w:ind w:right="0"/>
              <w:jc w:val="center"/>
            </w:pPr>
            <w:r w:rsidRPr="00817B9F">
              <w:t>38%</w:t>
            </w:r>
          </w:p>
        </w:tc>
        <w:tc>
          <w:tcPr>
            <w:tcW w:w="2835" w:type="dxa"/>
            <w:tcBorders>
              <w:top w:val="nil"/>
              <w:left w:val="nil"/>
              <w:bottom w:val="nil"/>
              <w:right w:val="nil"/>
            </w:tcBorders>
            <w:shd w:val="clear" w:color="auto" w:fill="EEECE1" w:themeFill="background2"/>
          </w:tcPr>
          <w:p w14:paraId="55D5D709" w14:textId="1729CC1B" w:rsidR="000F7156" w:rsidRPr="00817B9F" w:rsidRDefault="000F7156" w:rsidP="00F2226E">
            <w:pPr>
              <w:pStyle w:val="NumberedParagraphs"/>
              <w:keepLines/>
              <w:numPr>
                <w:ilvl w:val="0"/>
                <w:numId w:val="0"/>
              </w:numPr>
              <w:ind w:right="0"/>
              <w:jc w:val="center"/>
            </w:pPr>
            <w:r w:rsidRPr="00817B9F">
              <w:t>1.0%</w:t>
            </w:r>
          </w:p>
        </w:tc>
      </w:tr>
      <w:tr w:rsidR="000F7156" w:rsidRPr="00817B9F" w14:paraId="25F29E46" w14:textId="77777777" w:rsidTr="00613B35">
        <w:trPr>
          <w:cantSplit/>
          <w:trHeight w:hRule="exact" w:val="360"/>
        </w:trPr>
        <w:tc>
          <w:tcPr>
            <w:tcW w:w="3780" w:type="dxa"/>
            <w:tcBorders>
              <w:top w:val="nil"/>
              <w:left w:val="nil"/>
              <w:bottom w:val="nil"/>
              <w:right w:val="nil"/>
            </w:tcBorders>
          </w:tcPr>
          <w:p w14:paraId="08C2E5A9" w14:textId="621EC7FE" w:rsidR="000F7156" w:rsidRPr="00817B9F" w:rsidRDefault="000F7156" w:rsidP="00F2226E">
            <w:pPr>
              <w:pStyle w:val="NumberedParagraphs"/>
              <w:keepLines/>
              <w:numPr>
                <w:ilvl w:val="0"/>
                <w:numId w:val="0"/>
              </w:numPr>
              <w:ind w:left="792" w:hanging="360"/>
            </w:pPr>
            <w:r w:rsidRPr="00817B9F">
              <w:t>Heart &amp; Vascular</w:t>
            </w:r>
          </w:p>
        </w:tc>
        <w:tc>
          <w:tcPr>
            <w:tcW w:w="2835" w:type="dxa"/>
            <w:tcBorders>
              <w:top w:val="nil"/>
              <w:left w:val="nil"/>
              <w:bottom w:val="nil"/>
              <w:right w:val="nil"/>
            </w:tcBorders>
          </w:tcPr>
          <w:p w14:paraId="37F1322D" w14:textId="747A7A49" w:rsidR="000F7156" w:rsidRPr="00817B9F" w:rsidRDefault="000F7156" w:rsidP="00F2226E">
            <w:pPr>
              <w:pStyle w:val="NumberedParagraphs"/>
              <w:keepLines/>
              <w:numPr>
                <w:ilvl w:val="0"/>
                <w:numId w:val="0"/>
              </w:numPr>
              <w:ind w:right="0"/>
              <w:jc w:val="center"/>
            </w:pPr>
            <w:r w:rsidRPr="00817B9F">
              <w:t>19%</w:t>
            </w:r>
          </w:p>
        </w:tc>
        <w:tc>
          <w:tcPr>
            <w:tcW w:w="2835" w:type="dxa"/>
            <w:tcBorders>
              <w:top w:val="nil"/>
              <w:left w:val="nil"/>
              <w:bottom w:val="nil"/>
              <w:right w:val="nil"/>
            </w:tcBorders>
            <w:shd w:val="clear" w:color="auto" w:fill="EEECE1" w:themeFill="background2"/>
          </w:tcPr>
          <w:p w14:paraId="3B1EC183" w14:textId="5AA72D43" w:rsidR="000F7156" w:rsidRPr="00817B9F" w:rsidRDefault="000F7156" w:rsidP="00F2226E">
            <w:pPr>
              <w:pStyle w:val="NumberedParagraphs"/>
              <w:keepLines/>
              <w:numPr>
                <w:ilvl w:val="0"/>
                <w:numId w:val="0"/>
              </w:numPr>
              <w:ind w:right="0"/>
              <w:jc w:val="center"/>
            </w:pPr>
            <w:r w:rsidRPr="00817B9F">
              <w:t>0.4%</w:t>
            </w:r>
          </w:p>
        </w:tc>
      </w:tr>
      <w:tr w:rsidR="00AA75C2" w:rsidRPr="00817B9F" w14:paraId="15D9E28A" w14:textId="77777777" w:rsidTr="00613B35">
        <w:trPr>
          <w:cantSplit/>
          <w:trHeight w:hRule="exact" w:val="360"/>
        </w:trPr>
        <w:tc>
          <w:tcPr>
            <w:tcW w:w="3780" w:type="dxa"/>
            <w:tcBorders>
              <w:top w:val="nil"/>
              <w:left w:val="nil"/>
              <w:bottom w:val="nil"/>
              <w:right w:val="nil"/>
            </w:tcBorders>
          </w:tcPr>
          <w:p w14:paraId="706385A0" w14:textId="77777777" w:rsidR="00AA75C2" w:rsidRPr="00817B9F" w:rsidRDefault="00AA75C2" w:rsidP="00F2226E">
            <w:pPr>
              <w:pStyle w:val="NumberedParagraphs"/>
              <w:keepLines/>
              <w:numPr>
                <w:ilvl w:val="0"/>
                <w:numId w:val="0"/>
              </w:numPr>
              <w:ind w:left="504" w:right="0" w:hanging="360"/>
            </w:pPr>
            <w:r w:rsidRPr="00817B9F">
              <w:t>Outpatient CT Scans</w:t>
            </w:r>
          </w:p>
        </w:tc>
        <w:tc>
          <w:tcPr>
            <w:tcW w:w="2835" w:type="dxa"/>
            <w:tcBorders>
              <w:top w:val="nil"/>
              <w:left w:val="nil"/>
              <w:bottom w:val="nil"/>
              <w:right w:val="nil"/>
            </w:tcBorders>
          </w:tcPr>
          <w:p w14:paraId="350A3FCA" w14:textId="7351EA61" w:rsidR="00AA75C2" w:rsidRPr="00817B9F" w:rsidRDefault="00A06F84" w:rsidP="00F2226E">
            <w:pPr>
              <w:pStyle w:val="NumberedParagraphs"/>
              <w:keepLines/>
              <w:numPr>
                <w:ilvl w:val="0"/>
                <w:numId w:val="0"/>
              </w:numPr>
              <w:ind w:right="0"/>
              <w:jc w:val="center"/>
            </w:pPr>
            <w:r>
              <w:t xml:space="preserve">  </w:t>
            </w:r>
            <w:r w:rsidR="000F7156" w:rsidRPr="00817B9F">
              <w:t>7</w:t>
            </w:r>
            <w:r w:rsidR="00AA75C2" w:rsidRPr="00817B9F">
              <w:t>%</w:t>
            </w:r>
          </w:p>
        </w:tc>
        <w:tc>
          <w:tcPr>
            <w:tcW w:w="2835" w:type="dxa"/>
            <w:tcBorders>
              <w:top w:val="nil"/>
              <w:left w:val="nil"/>
              <w:bottom w:val="nil"/>
              <w:right w:val="nil"/>
            </w:tcBorders>
            <w:shd w:val="clear" w:color="auto" w:fill="EEECE1" w:themeFill="background2"/>
          </w:tcPr>
          <w:p w14:paraId="653DFB2D" w14:textId="38B2D341" w:rsidR="00AA75C2" w:rsidRPr="00817B9F" w:rsidRDefault="000F7156" w:rsidP="00F2226E">
            <w:pPr>
              <w:pStyle w:val="NumberedParagraphs"/>
              <w:keepLines/>
              <w:numPr>
                <w:ilvl w:val="0"/>
                <w:numId w:val="0"/>
              </w:numPr>
              <w:ind w:right="0"/>
              <w:jc w:val="center"/>
            </w:pPr>
            <w:r w:rsidRPr="00817B9F">
              <w:t>0.1</w:t>
            </w:r>
            <w:r w:rsidR="00AA75C2" w:rsidRPr="00817B9F">
              <w:t>%</w:t>
            </w:r>
          </w:p>
        </w:tc>
      </w:tr>
      <w:tr w:rsidR="00AA75C2" w:rsidRPr="00817B9F" w14:paraId="07974E93" w14:textId="77777777" w:rsidTr="00613B35">
        <w:trPr>
          <w:cantSplit/>
          <w:trHeight w:hRule="exact" w:val="360"/>
        </w:trPr>
        <w:tc>
          <w:tcPr>
            <w:tcW w:w="3780" w:type="dxa"/>
            <w:tcBorders>
              <w:top w:val="nil"/>
              <w:left w:val="nil"/>
              <w:bottom w:val="nil"/>
              <w:right w:val="nil"/>
            </w:tcBorders>
          </w:tcPr>
          <w:p w14:paraId="62D47EE7" w14:textId="77777777" w:rsidR="00AA75C2" w:rsidRPr="00817B9F" w:rsidRDefault="00AA75C2" w:rsidP="00F2226E">
            <w:pPr>
              <w:pStyle w:val="NumberedParagraphs"/>
              <w:keepLines/>
              <w:numPr>
                <w:ilvl w:val="0"/>
                <w:numId w:val="0"/>
              </w:numPr>
              <w:ind w:left="504" w:right="0" w:hanging="360"/>
            </w:pPr>
            <w:r w:rsidRPr="00817B9F">
              <w:t>Outpatient MR Scans</w:t>
            </w:r>
          </w:p>
        </w:tc>
        <w:tc>
          <w:tcPr>
            <w:tcW w:w="2835" w:type="dxa"/>
            <w:tcBorders>
              <w:top w:val="nil"/>
              <w:left w:val="nil"/>
              <w:bottom w:val="nil"/>
              <w:right w:val="nil"/>
            </w:tcBorders>
          </w:tcPr>
          <w:p w14:paraId="0D155BA8" w14:textId="27AE9C24" w:rsidR="00AA75C2" w:rsidRPr="00817B9F" w:rsidRDefault="000F7156" w:rsidP="00F2226E">
            <w:pPr>
              <w:pStyle w:val="NumberedParagraphs"/>
              <w:keepLines/>
              <w:numPr>
                <w:ilvl w:val="0"/>
                <w:numId w:val="0"/>
              </w:numPr>
              <w:ind w:right="0"/>
              <w:jc w:val="center"/>
            </w:pPr>
            <w:r w:rsidRPr="00817B9F">
              <w:t>15</w:t>
            </w:r>
            <w:r w:rsidR="00AA75C2" w:rsidRPr="00817B9F">
              <w:t>%</w:t>
            </w:r>
          </w:p>
        </w:tc>
        <w:tc>
          <w:tcPr>
            <w:tcW w:w="2835" w:type="dxa"/>
            <w:tcBorders>
              <w:top w:val="nil"/>
              <w:left w:val="nil"/>
              <w:bottom w:val="nil"/>
              <w:right w:val="nil"/>
            </w:tcBorders>
            <w:shd w:val="clear" w:color="auto" w:fill="EEECE1" w:themeFill="background2"/>
          </w:tcPr>
          <w:p w14:paraId="0769F98D" w14:textId="3FD148B5" w:rsidR="00AA75C2" w:rsidRPr="00817B9F" w:rsidRDefault="000F7156" w:rsidP="00F2226E">
            <w:pPr>
              <w:pStyle w:val="NumberedParagraphs"/>
              <w:keepLines/>
              <w:numPr>
                <w:ilvl w:val="0"/>
                <w:numId w:val="0"/>
              </w:numPr>
              <w:ind w:right="0"/>
              <w:jc w:val="center"/>
            </w:pPr>
            <w:r w:rsidRPr="00817B9F">
              <w:t>0.2</w:t>
            </w:r>
            <w:r w:rsidR="00AA75C2" w:rsidRPr="00817B9F">
              <w:t>%</w:t>
            </w:r>
          </w:p>
        </w:tc>
      </w:tr>
      <w:tr w:rsidR="00AA75C2" w:rsidRPr="00817B9F" w14:paraId="38352DE5" w14:textId="77777777" w:rsidTr="00613B35">
        <w:trPr>
          <w:cantSplit/>
          <w:trHeight w:hRule="exact" w:val="360"/>
        </w:trPr>
        <w:tc>
          <w:tcPr>
            <w:tcW w:w="3780" w:type="dxa"/>
            <w:tcBorders>
              <w:top w:val="nil"/>
              <w:left w:val="nil"/>
              <w:bottom w:val="nil"/>
              <w:right w:val="nil"/>
            </w:tcBorders>
          </w:tcPr>
          <w:p w14:paraId="52AE014B" w14:textId="77777777" w:rsidR="00AA75C2" w:rsidRPr="00817B9F" w:rsidRDefault="00AA75C2" w:rsidP="00F2226E">
            <w:pPr>
              <w:pStyle w:val="NumberedParagraphs"/>
              <w:keepLines/>
              <w:numPr>
                <w:ilvl w:val="0"/>
                <w:numId w:val="0"/>
              </w:numPr>
              <w:ind w:left="504" w:right="0" w:hanging="360"/>
            </w:pPr>
            <w:r w:rsidRPr="00817B9F">
              <w:t>Outpatient PET/CT Scans</w:t>
            </w:r>
          </w:p>
        </w:tc>
        <w:tc>
          <w:tcPr>
            <w:tcW w:w="2835" w:type="dxa"/>
            <w:tcBorders>
              <w:top w:val="nil"/>
              <w:left w:val="nil"/>
              <w:bottom w:val="nil"/>
              <w:right w:val="nil"/>
            </w:tcBorders>
          </w:tcPr>
          <w:p w14:paraId="7874744F" w14:textId="7567EB40" w:rsidR="00AA75C2" w:rsidRPr="00817B9F" w:rsidRDefault="000F7156" w:rsidP="00F2226E">
            <w:pPr>
              <w:pStyle w:val="NumberedParagraphs"/>
              <w:keepLines/>
              <w:numPr>
                <w:ilvl w:val="0"/>
                <w:numId w:val="0"/>
              </w:numPr>
              <w:ind w:left="360" w:right="0" w:hanging="360"/>
              <w:jc w:val="center"/>
            </w:pPr>
            <w:r w:rsidRPr="00817B9F">
              <w:t>18</w:t>
            </w:r>
            <w:r w:rsidR="00AA75C2" w:rsidRPr="00817B9F">
              <w:t>%</w:t>
            </w:r>
          </w:p>
        </w:tc>
        <w:tc>
          <w:tcPr>
            <w:tcW w:w="2835" w:type="dxa"/>
            <w:tcBorders>
              <w:top w:val="nil"/>
              <w:left w:val="nil"/>
              <w:bottom w:val="nil"/>
              <w:right w:val="nil"/>
            </w:tcBorders>
            <w:shd w:val="clear" w:color="auto" w:fill="EEECE1" w:themeFill="background2"/>
          </w:tcPr>
          <w:p w14:paraId="269EE147" w14:textId="62364B52" w:rsidR="00AA75C2" w:rsidRPr="00817B9F" w:rsidRDefault="000F7156" w:rsidP="00F2226E">
            <w:pPr>
              <w:pStyle w:val="NumberedParagraphs"/>
              <w:keepLines/>
              <w:numPr>
                <w:ilvl w:val="0"/>
                <w:numId w:val="0"/>
              </w:numPr>
              <w:ind w:left="360" w:right="0" w:hanging="360"/>
              <w:jc w:val="center"/>
            </w:pPr>
            <w:r w:rsidRPr="00817B9F">
              <w:t>1.1</w:t>
            </w:r>
            <w:r w:rsidR="00AA75C2" w:rsidRPr="00817B9F">
              <w:t>%</w:t>
            </w:r>
          </w:p>
        </w:tc>
      </w:tr>
      <w:tr w:rsidR="00AA75C2" w:rsidRPr="00817B9F" w14:paraId="5CD4362C" w14:textId="77777777" w:rsidTr="00613B35">
        <w:trPr>
          <w:cantSplit/>
          <w:trHeight w:hRule="exact" w:val="360"/>
        </w:trPr>
        <w:tc>
          <w:tcPr>
            <w:tcW w:w="3780" w:type="dxa"/>
            <w:tcBorders>
              <w:top w:val="nil"/>
              <w:left w:val="nil"/>
              <w:bottom w:val="nil"/>
              <w:right w:val="nil"/>
            </w:tcBorders>
          </w:tcPr>
          <w:p w14:paraId="6B2E8082" w14:textId="56C08DFF" w:rsidR="00AA75C2" w:rsidRPr="00817B9F" w:rsidRDefault="00AA75C2" w:rsidP="00F2226E">
            <w:pPr>
              <w:pStyle w:val="NumberedParagraphs"/>
              <w:keepLines/>
              <w:numPr>
                <w:ilvl w:val="0"/>
                <w:numId w:val="0"/>
              </w:numPr>
              <w:ind w:left="504" w:right="0" w:hanging="360"/>
            </w:pPr>
            <w:r w:rsidRPr="00817B9F">
              <w:t xml:space="preserve">Outpatient Cardiovascular </w:t>
            </w:r>
            <w:r w:rsidR="00C724EC" w:rsidRPr="00817B9F">
              <w:t xml:space="preserve">Procs. </w:t>
            </w:r>
          </w:p>
        </w:tc>
        <w:tc>
          <w:tcPr>
            <w:tcW w:w="2835" w:type="dxa"/>
            <w:tcBorders>
              <w:top w:val="nil"/>
              <w:left w:val="nil"/>
              <w:bottom w:val="nil"/>
              <w:right w:val="nil"/>
            </w:tcBorders>
          </w:tcPr>
          <w:p w14:paraId="7204DEA7" w14:textId="04BFE432" w:rsidR="00AA75C2" w:rsidRPr="00817B9F" w:rsidRDefault="00A06F84" w:rsidP="00F2226E">
            <w:pPr>
              <w:pStyle w:val="NumberedParagraphs"/>
              <w:keepLines/>
              <w:numPr>
                <w:ilvl w:val="0"/>
                <w:numId w:val="0"/>
              </w:numPr>
              <w:ind w:left="360" w:right="0" w:hanging="360"/>
              <w:jc w:val="center"/>
            </w:pPr>
            <w:r>
              <w:t xml:space="preserve">  </w:t>
            </w:r>
            <w:r w:rsidR="000F7156" w:rsidRPr="00817B9F">
              <w:t>8</w:t>
            </w:r>
            <w:r w:rsidR="00AA75C2" w:rsidRPr="00817B9F">
              <w:t>%</w:t>
            </w:r>
          </w:p>
        </w:tc>
        <w:tc>
          <w:tcPr>
            <w:tcW w:w="2835" w:type="dxa"/>
            <w:tcBorders>
              <w:top w:val="nil"/>
              <w:left w:val="nil"/>
              <w:bottom w:val="nil"/>
              <w:right w:val="nil"/>
            </w:tcBorders>
            <w:shd w:val="clear" w:color="auto" w:fill="EEECE1" w:themeFill="background2"/>
          </w:tcPr>
          <w:p w14:paraId="3FDEAE5F" w14:textId="56FF7A92" w:rsidR="00AA75C2" w:rsidRPr="00817B9F" w:rsidRDefault="00AA75C2" w:rsidP="00F2226E">
            <w:pPr>
              <w:pStyle w:val="NumberedParagraphs"/>
              <w:keepLines/>
              <w:numPr>
                <w:ilvl w:val="0"/>
                <w:numId w:val="0"/>
              </w:numPr>
              <w:ind w:left="360" w:right="0" w:hanging="360"/>
              <w:jc w:val="center"/>
            </w:pPr>
            <w:r w:rsidRPr="00817B9F">
              <w:t>0.</w:t>
            </w:r>
            <w:r w:rsidR="000F7156" w:rsidRPr="00817B9F">
              <w:t>0</w:t>
            </w:r>
            <w:r w:rsidRPr="00817B9F">
              <w:t>%</w:t>
            </w:r>
          </w:p>
        </w:tc>
      </w:tr>
      <w:tr w:rsidR="00AA75C2" w:rsidRPr="00817B9F" w14:paraId="52A5D4F3" w14:textId="77777777" w:rsidTr="00995008">
        <w:trPr>
          <w:cantSplit/>
          <w:trHeight w:hRule="exact" w:val="360"/>
        </w:trPr>
        <w:tc>
          <w:tcPr>
            <w:tcW w:w="3780" w:type="dxa"/>
            <w:tcBorders>
              <w:top w:val="nil"/>
              <w:left w:val="nil"/>
              <w:bottom w:val="nil"/>
              <w:right w:val="nil"/>
            </w:tcBorders>
          </w:tcPr>
          <w:p w14:paraId="542F10A6" w14:textId="5FD97AFC" w:rsidR="00AA75C2" w:rsidRPr="00817B9F" w:rsidRDefault="00AA75C2" w:rsidP="00F2226E">
            <w:pPr>
              <w:pStyle w:val="NumberedParagraphs"/>
              <w:keepLines/>
              <w:numPr>
                <w:ilvl w:val="0"/>
                <w:numId w:val="0"/>
              </w:numPr>
              <w:ind w:left="504" w:right="0" w:hanging="360"/>
            </w:pPr>
            <w:r w:rsidRPr="00817B9F">
              <w:t xml:space="preserve">Outpatient Oncology </w:t>
            </w:r>
            <w:r w:rsidR="00B01EC9" w:rsidRPr="00817B9F">
              <w:t>Visits</w:t>
            </w:r>
          </w:p>
        </w:tc>
        <w:tc>
          <w:tcPr>
            <w:tcW w:w="2835" w:type="dxa"/>
            <w:tcBorders>
              <w:top w:val="nil"/>
              <w:left w:val="nil"/>
              <w:bottom w:val="nil"/>
              <w:right w:val="nil"/>
            </w:tcBorders>
          </w:tcPr>
          <w:p w14:paraId="2C9E81E7" w14:textId="5AAFA3E5" w:rsidR="00AA75C2" w:rsidRPr="00817B9F" w:rsidRDefault="000F7156" w:rsidP="00F2226E">
            <w:pPr>
              <w:pStyle w:val="NumberedParagraphs"/>
              <w:keepLines/>
              <w:numPr>
                <w:ilvl w:val="0"/>
                <w:numId w:val="0"/>
              </w:numPr>
              <w:ind w:left="360" w:right="0" w:hanging="360"/>
              <w:jc w:val="center"/>
            </w:pPr>
            <w:r w:rsidRPr="00817B9F">
              <w:t>22</w:t>
            </w:r>
            <w:r w:rsidR="00AA75C2" w:rsidRPr="00817B9F">
              <w:t>%</w:t>
            </w:r>
          </w:p>
        </w:tc>
        <w:tc>
          <w:tcPr>
            <w:tcW w:w="2835" w:type="dxa"/>
            <w:tcBorders>
              <w:top w:val="nil"/>
              <w:left w:val="nil"/>
              <w:bottom w:val="nil"/>
              <w:right w:val="nil"/>
            </w:tcBorders>
            <w:shd w:val="clear" w:color="auto" w:fill="EEECE1" w:themeFill="background2"/>
          </w:tcPr>
          <w:p w14:paraId="57EA4D57" w14:textId="753FD127" w:rsidR="00AA75C2" w:rsidRPr="00817B9F" w:rsidRDefault="000F7156" w:rsidP="00F2226E">
            <w:pPr>
              <w:pStyle w:val="NumberedParagraphs"/>
              <w:keepLines/>
              <w:numPr>
                <w:ilvl w:val="0"/>
                <w:numId w:val="0"/>
              </w:numPr>
              <w:ind w:left="360" w:right="0" w:hanging="360"/>
              <w:jc w:val="center"/>
            </w:pPr>
            <w:r w:rsidRPr="00817B9F">
              <w:t>0.5</w:t>
            </w:r>
            <w:r w:rsidR="00AA75C2" w:rsidRPr="00817B9F">
              <w:t>%</w:t>
            </w:r>
          </w:p>
        </w:tc>
      </w:tr>
      <w:tr w:rsidR="00AA75C2" w:rsidRPr="00817B9F" w14:paraId="35DB04DF" w14:textId="77777777" w:rsidTr="00995008">
        <w:trPr>
          <w:cantSplit/>
          <w:trHeight w:hRule="exact" w:val="360"/>
        </w:trPr>
        <w:tc>
          <w:tcPr>
            <w:tcW w:w="3780" w:type="dxa"/>
            <w:tcBorders>
              <w:top w:val="nil"/>
              <w:left w:val="nil"/>
              <w:bottom w:val="single" w:sz="18" w:space="0" w:color="auto"/>
              <w:right w:val="nil"/>
            </w:tcBorders>
          </w:tcPr>
          <w:p w14:paraId="3EE76005" w14:textId="77777777" w:rsidR="00AA75C2" w:rsidRPr="00817B9F" w:rsidRDefault="00AA75C2" w:rsidP="00F2226E">
            <w:pPr>
              <w:pStyle w:val="NumberedParagraphs"/>
              <w:keepLines/>
              <w:numPr>
                <w:ilvl w:val="0"/>
                <w:numId w:val="0"/>
              </w:numPr>
              <w:ind w:left="504" w:right="0" w:hanging="360"/>
              <w:rPr>
                <w:b/>
                <w:bCs/>
                <w:i/>
                <w:iCs/>
              </w:rPr>
            </w:pPr>
            <w:r w:rsidRPr="00817B9F">
              <w:rPr>
                <w:b/>
                <w:bCs/>
                <w:i/>
                <w:iCs/>
              </w:rPr>
              <w:t>Across All Service Lines</w:t>
            </w:r>
          </w:p>
        </w:tc>
        <w:tc>
          <w:tcPr>
            <w:tcW w:w="2835" w:type="dxa"/>
            <w:tcBorders>
              <w:top w:val="nil"/>
              <w:left w:val="nil"/>
              <w:bottom w:val="single" w:sz="18" w:space="0" w:color="auto"/>
              <w:right w:val="nil"/>
            </w:tcBorders>
          </w:tcPr>
          <w:p w14:paraId="4D5B6F51" w14:textId="2C5A58DC" w:rsidR="00AA75C2" w:rsidRPr="00817B9F" w:rsidRDefault="00BD588D" w:rsidP="00F2226E">
            <w:pPr>
              <w:pStyle w:val="NumberedParagraphs"/>
              <w:keepLines/>
              <w:numPr>
                <w:ilvl w:val="0"/>
                <w:numId w:val="0"/>
              </w:numPr>
              <w:ind w:left="360" w:right="0" w:hanging="360"/>
              <w:jc w:val="center"/>
              <w:rPr>
                <w:b/>
                <w:bCs/>
                <w:i/>
                <w:iCs/>
              </w:rPr>
            </w:pPr>
            <w:r w:rsidRPr="00817B9F">
              <w:rPr>
                <w:b/>
                <w:bCs/>
                <w:i/>
                <w:iCs/>
              </w:rPr>
              <w:t>18%</w:t>
            </w:r>
          </w:p>
        </w:tc>
        <w:tc>
          <w:tcPr>
            <w:tcW w:w="2835" w:type="dxa"/>
            <w:tcBorders>
              <w:top w:val="nil"/>
              <w:left w:val="nil"/>
              <w:bottom w:val="single" w:sz="18" w:space="0" w:color="auto"/>
              <w:right w:val="nil"/>
            </w:tcBorders>
            <w:shd w:val="clear" w:color="auto" w:fill="EEECE1" w:themeFill="background2"/>
          </w:tcPr>
          <w:p w14:paraId="47CA458D" w14:textId="0D6DC592" w:rsidR="00AA75C2" w:rsidRPr="00817B9F" w:rsidRDefault="00BD588D" w:rsidP="00BD588D">
            <w:pPr>
              <w:pStyle w:val="NumberedParagraphs"/>
              <w:keepLines/>
              <w:numPr>
                <w:ilvl w:val="0"/>
                <w:numId w:val="0"/>
              </w:numPr>
              <w:ind w:right="0"/>
              <w:jc w:val="center"/>
              <w:rPr>
                <w:b/>
                <w:bCs/>
                <w:i/>
                <w:iCs/>
              </w:rPr>
            </w:pPr>
            <w:r w:rsidRPr="00817B9F">
              <w:rPr>
                <w:b/>
                <w:bCs/>
                <w:i/>
                <w:iCs/>
              </w:rPr>
              <w:t>0.</w:t>
            </w:r>
            <w:r w:rsidR="00B01EC9" w:rsidRPr="00817B9F">
              <w:rPr>
                <w:b/>
                <w:bCs/>
                <w:i/>
                <w:iCs/>
              </w:rPr>
              <w:t>2</w:t>
            </w:r>
            <w:r w:rsidRPr="00817B9F">
              <w:rPr>
                <w:b/>
                <w:bCs/>
                <w:i/>
                <w:iCs/>
              </w:rPr>
              <w:t>%</w:t>
            </w:r>
          </w:p>
        </w:tc>
      </w:tr>
    </w:tbl>
    <w:p w14:paraId="7D9F9145" w14:textId="60CC81B5" w:rsidR="00B678E8" w:rsidRPr="00817B9F" w:rsidRDefault="0006773E" w:rsidP="00B01EC9">
      <w:pPr>
        <w:pStyle w:val="NumberedParagraphs"/>
        <w:spacing w:before="240"/>
      </w:pPr>
      <w:r w:rsidRPr="00817B9F">
        <w:t xml:space="preserve">In summary, we predict substantial increases in demand for inpatient and outpatient services at MGH over the next decade. </w:t>
      </w:r>
      <w:r w:rsidR="00422FB8" w:rsidRPr="00817B9F">
        <w:t>H</w:t>
      </w:r>
      <w:r w:rsidRPr="00817B9F">
        <w:t xml:space="preserve">ealth care services at MGH </w:t>
      </w:r>
      <w:r w:rsidR="00422FB8" w:rsidRPr="00817B9F">
        <w:t xml:space="preserve">are more costly </w:t>
      </w:r>
      <w:r w:rsidRPr="00817B9F">
        <w:t xml:space="preserve">than </w:t>
      </w:r>
      <w:r w:rsidR="00422FB8" w:rsidRPr="00817B9F">
        <w:t xml:space="preserve">those at many </w:t>
      </w:r>
      <w:r w:rsidRPr="00817B9F">
        <w:t>competing health care providers in Massachusetts</w:t>
      </w:r>
      <w:r w:rsidR="00422FB8" w:rsidRPr="00817B9F">
        <w:t xml:space="preserve">, but </w:t>
      </w:r>
      <w:r w:rsidRPr="00817B9F">
        <w:t xml:space="preserve">the overall </w:t>
      </w:r>
      <w:r w:rsidRPr="00817B9F">
        <w:rPr>
          <w:b/>
          <w:bCs/>
          <w:u w:val="single"/>
        </w:rPr>
        <w:t>increase</w:t>
      </w:r>
      <w:r w:rsidRPr="00817B9F">
        <w:t xml:space="preserve"> in health care expenditures</w:t>
      </w:r>
      <w:r w:rsidR="00BD588D" w:rsidRPr="00817B9F">
        <w:t xml:space="preserve"> across the service lines </w:t>
      </w:r>
      <w:r w:rsidR="00422FB8" w:rsidRPr="00817B9F">
        <w:t xml:space="preserve">associated with the </w:t>
      </w:r>
      <w:r w:rsidR="00BD588D" w:rsidRPr="00817B9F">
        <w:t xml:space="preserve">proposed </w:t>
      </w:r>
      <w:r w:rsidR="00422FB8" w:rsidRPr="00817B9F">
        <w:t xml:space="preserve">expansion of MGH </w:t>
      </w:r>
      <w:r w:rsidRPr="00817B9F">
        <w:t xml:space="preserve">is only </w:t>
      </w:r>
      <w:r w:rsidR="00BD588D" w:rsidRPr="00817B9F">
        <w:t>0.</w:t>
      </w:r>
      <w:r w:rsidR="00B01EC9" w:rsidRPr="00817B9F">
        <w:t>2</w:t>
      </w:r>
      <w:r w:rsidRPr="00817B9F">
        <w:t xml:space="preserve"> percent. Moreover, the economics literature predicts that allow</w:t>
      </w:r>
      <w:r w:rsidR="00422FB8" w:rsidRPr="00817B9F">
        <w:t>ing</w:t>
      </w:r>
      <w:r w:rsidRPr="00817B9F">
        <w:t xml:space="preserve"> capacity-constrained providers such as MGH to expand puts downward pressure on health care prices. </w:t>
      </w:r>
      <w:r w:rsidR="00B678E8" w:rsidRPr="00817B9F">
        <w:t xml:space="preserve">For these reasons, we believe that the proposed project is consistent with the Commonwealth of Massachusetts’ health care cost-containment goals. </w:t>
      </w:r>
    </w:p>
    <w:sectPr w:rsidR="00B678E8" w:rsidRPr="00817B9F" w:rsidSect="00CC3B43">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CD4C3" w14:textId="77777777" w:rsidR="00CF3141" w:rsidRDefault="00CF3141">
      <w:r>
        <w:separator/>
      </w:r>
    </w:p>
  </w:endnote>
  <w:endnote w:type="continuationSeparator" w:id="0">
    <w:p w14:paraId="48E4F8AA" w14:textId="77777777" w:rsidR="00CF3141" w:rsidRDefault="00CF3141">
      <w:r>
        <w:continuationSeparator/>
      </w:r>
    </w:p>
  </w:endnote>
  <w:endnote w:type="continuationNotice" w:id="1">
    <w:p w14:paraId="7A235D04" w14:textId="77777777" w:rsidR="00CF3141" w:rsidRDefault="00CF3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dvOT3f82cb7c+20">
    <w:altName w:val="Calibri"/>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C6045" w14:textId="77777777" w:rsidR="00CF3141" w:rsidRDefault="00CF3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E47C8" w14:textId="0E2A5005" w:rsidR="00CF3141" w:rsidRDefault="00CF3141" w:rsidP="00873D72">
    <w:pPr>
      <w:pStyle w:val="Footer"/>
      <w:tabs>
        <w:tab w:val="left" w:pos="4710"/>
      </w:tabs>
      <w:jc w:val="center"/>
      <w:rPr>
        <w:rFonts w:cs="Times-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DD75F" w14:textId="77777777" w:rsidR="00CF3141" w:rsidRDefault="00CF31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751DA" w14:textId="647815E0" w:rsidR="00CF3141" w:rsidRPr="00CC3B43" w:rsidRDefault="00CF3141" w:rsidP="00873D72">
    <w:pPr>
      <w:pStyle w:val="Footer"/>
      <w:tabs>
        <w:tab w:val="left" w:pos="4710"/>
      </w:tabs>
      <w:jc w:val="center"/>
      <w:rPr>
        <w:rFonts w:ascii="Times New Roman" w:hAnsi="Times New Roman" w:cs="Times New Roman"/>
      </w:rPr>
    </w:pPr>
    <w:r w:rsidRPr="00CC3B43">
      <w:rPr>
        <w:rFonts w:ascii="Times New Roman" w:hAnsi="Times New Roman" w:cs="Times New Roman"/>
      </w:rPr>
      <w:fldChar w:fldCharType="begin"/>
    </w:r>
    <w:r w:rsidRPr="00CC3B43">
      <w:rPr>
        <w:rFonts w:ascii="Times New Roman" w:hAnsi="Times New Roman" w:cs="Times New Roman"/>
      </w:rPr>
      <w:instrText xml:space="preserve"> PAGE  \* roman  \* MERGEFORMAT </w:instrText>
    </w:r>
    <w:r w:rsidRPr="00CC3B43">
      <w:rPr>
        <w:rFonts w:ascii="Times New Roman" w:hAnsi="Times New Roman" w:cs="Times New Roman"/>
      </w:rPr>
      <w:fldChar w:fldCharType="separate"/>
    </w:r>
    <w:r w:rsidR="005D4A49">
      <w:rPr>
        <w:rFonts w:ascii="Times New Roman" w:hAnsi="Times New Roman" w:cs="Times New Roman"/>
        <w:noProof/>
      </w:rPr>
      <w:t>iii</w:t>
    </w:r>
    <w:r w:rsidRPr="00CC3B43">
      <w:rPr>
        <w:rFonts w:ascii="Times New Roman" w:hAnsi="Times New Roman" w:cs="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62992" w14:textId="00D5DD96" w:rsidR="00CF3141" w:rsidRPr="00BC2F0C" w:rsidRDefault="00CF3141" w:rsidP="00873D72">
    <w:pPr>
      <w:pStyle w:val="Footer"/>
      <w:tabs>
        <w:tab w:val="left" w:pos="4710"/>
      </w:tabs>
      <w:jc w:val="center"/>
      <w:rPr>
        <w:rFonts w:ascii="Times New Roman" w:hAnsi="Times New Roman" w:cs="Times New Roman"/>
      </w:rPr>
    </w:pPr>
    <w:r w:rsidRPr="00BC2F0C">
      <w:rPr>
        <w:rFonts w:ascii="Times New Roman" w:hAnsi="Times New Roman" w:cs="Times New Roman"/>
      </w:rPr>
      <w:fldChar w:fldCharType="begin"/>
    </w:r>
    <w:r w:rsidRPr="00BC2F0C">
      <w:rPr>
        <w:rFonts w:ascii="Times New Roman" w:hAnsi="Times New Roman" w:cs="Times New Roman"/>
      </w:rPr>
      <w:instrText xml:space="preserve"> PAGE  \* Arabic  \* MERGEFORMAT </w:instrText>
    </w:r>
    <w:r w:rsidRPr="00BC2F0C">
      <w:rPr>
        <w:rFonts w:ascii="Times New Roman" w:hAnsi="Times New Roman" w:cs="Times New Roman"/>
      </w:rPr>
      <w:fldChar w:fldCharType="separate"/>
    </w:r>
    <w:r w:rsidR="005D4A49">
      <w:rPr>
        <w:rFonts w:ascii="Times New Roman" w:hAnsi="Times New Roman" w:cs="Times New Roman"/>
        <w:noProof/>
      </w:rPr>
      <w:t>16</w:t>
    </w:r>
    <w:r w:rsidRPr="00BC2F0C">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E4551" w14:textId="77777777" w:rsidR="00CF3141" w:rsidRDefault="00CF3141">
      <w:r>
        <w:separator/>
      </w:r>
    </w:p>
  </w:footnote>
  <w:footnote w:type="continuationSeparator" w:id="0">
    <w:p w14:paraId="6E187DFD" w14:textId="77777777" w:rsidR="00CF3141" w:rsidRDefault="00CF3141">
      <w:r>
        <w:continuationSeparator/>
      </w:r>
    </w:p>
  </w:footnote>
  <w:footnote w:type="continuationNotice" w:id="1">
    <w:p w14:paraId="543C8C5E" w14:textId="77777777" w:rsidR="00CF3141" w:rsidRDefault="00CF3141"/>
  </w:footnote>
  <w:footnote w:id="2">
    <w:p w14:paraId="32989870" w14:textId="6ABC813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mass-general-brigham-incorporated-mgh-application-form-and-attachments.pdf [hereinafter, MGH DoN], Appendix 2, Section 2.1, pp. 1-4 and Massachusetts General Hospital - DoN Application MGB-20121612-HE - Bed Summary Response.docx [hereinafter, MGH Bed Summary Response], p. 2. </w:t>
      </w:r>
    </w:p>
  </w:footnote>
  <w:footnote w:id="3">
    <w:p w14:paraId="0AD4DE14" w14:textId="430B685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pp. 1-4.</w:t>
      </w:r>
    </w:p>
  </w:footnote>
  <w:footnote w:id="4">
    <w:p w14:paraId="5DA8203C" w14:textId="0520DE1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1, Q12, p. 3.</w:t>
      </w:r>
    </w:p>
  </w:footnote>
  <w:footnote w:id="5">
    <w:p w14:paraId="6607970F" w14:textId="05F9D64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Massachusetts Department of Public Health. “Determination of Need (DoN),” </w:t>
      </w:r>
      <w:r w:rsidRPr="002F227B">
        <w:rPr>
          <w:rFonts w:ascii="Times New Roman" w:hAnsi="Times New Roman" w:cs="Times New Roman"/>
          <w:i/>
          <w:iCs/>
        </w:rPr>
        <w:t>available at</w:t>
      </w:r>
      <w:r w:rsidRPr="002F227B">
        <w:rPr>
          <w:rFonts w:ascii="Times New Roman" w:hAnsi="Times New Roman" w:cs="Times New Roman"/>
        </w:rPr>
        <w:t xml:space="preserve"> https://www.mass.gov/determination-of-need-don. </w:t>
      </w:r>
    </w:p>
  </w:footnote>
  <w:footnote w:id="6">
    <w:p w14:paraId="2CA54649" w14:textId="7770C87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note that the data we rely on throughout the ICA distinguish between commercial and Medicare health plans, but do not distinguish between individuals enrolled in health plans offered through the Health Connector Authority and employer-sponsored group health plans. Rather, the data typically identify the insurer or claims administrator, but not the specific type of plan in which the patient was enrolled (</w:t>
      </w:r>
      <w:r w:rsidRPr="002F227B">
        <w:rPr>
          <w:rFonts w:ascii="Times New Roman" w:hAnsi="Times New Roman" w:cs="Times New Roman"/>
          <w:i/>
        </w:rPr>
        <w:t>e.g.</w:t>
      </w:r>
      <w:r w:rsidRPr="002F227B">
        <w:rPr>
          <w:rFonts w:ascii="Times New Roman" w:hAnsi="Times New Roman" w:cs="Times New Roman"/>
        </w:rPr>
        <w:t>, we cannot distinguish between Tufts commercial group health plans and Connector plans—the data simply identify the patient as being covered by a Tufts plan). As such, throughout our analyses we only distinguish between patients enrolled in Original Medicare, Medicare health plans, MassHealth non-managed care, MassHealth managed care, and commercial health plans (including both ConnectorCare and employer-sponsored group health plans).</w:t>
      </w:r>
    </w:p>
  </w:footnote>
  <w:footnote w:id="7">
    <w:p w14:paraId="5FFB2F1A" w14:textId="17A5AFD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pp. 1-2. </w:t>
      </w:r>
    </w:p>
  </w:footnote>
  <w:footnote w:id="8">
    <w:p w14:paraId="0BE48340" w14:textId="700C300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pp. 1 and 17. </w:t>
      </w:r>
    </w:p>
  </w:footnote>
  <w:footnote w:id="9">
    <w:p w14:paraId="0FF0E942" w14:textId="131FA5F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 2. </w:t>
      </w:r>
    </w:p>
  </w:footnote>
  <w:footnote w:id="10">
    <w:p w14:paraId="7E66AA8E" w14:textId="29A347EF"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Bed Summary Response, p. 2.</w:t>
      </w:r>
    </w:p>
  </w:footnote>
  <w:footnote w:id="11">
    <w:p w14:paraId="3283A94E" w14:textId="573611D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7 and MGH Tower Questions - DoN #MGB-20121612-HE - Excel Submission Document 8.20.2021.xlsx [hereinafter, MGH Applicant Response – Excel Submission], Tab 3.a.</w:t>
      </w:r>
    </w:p>
  </w:footnote>
  <w:footnote w:id="12">
    <w:p w14:paraId="619F0483" w14:textId="45C9776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Applicant Response – Excel Submission, Tab 3.a.</w:t>
      </w:r>
    </w:p>
  </w:footnote>
  <w:footnote w:id="13">
    <w:p w14:paraId="7B695E2A" w14:textId="18B9132C"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 3.</w:t>
      </w:r>
    </w:p>
  </w:footnote>
  <w:footnote w:id="14">
    <w:p w14:paraId="0DC49722"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 3.</w:t>
      </w:r>
    </w:p>
  </w:footnote>
  <w:footnote w:id="15">
    <w:p w14:paraId="13293E33" w14:textId="07CAC88A"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Applicant Response – Excel Submission, Tab 3.b.</w:t>
      </w:r>
    </w:p>
  </w:footnote>
  <w:footnote w:id="16">
    <w:p w14:paraId="44731059" w14:textId="64AD275A"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Applicant Response – Excel Submission, Tab 3.b.</w:t>
      </w:r>
    </w:p>
  </w:footnote>
  <w:footnote w:id="17">
    <w:p w14:paraId="36F0E8C6" w14:textId="5B9923E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Applicant Response – Excel Submission, Tab 3.b.</w:t>
      </w:r>
    </w:p>
  </w:footnote>
  <w:footnote w:id="18">
    <w:p w14:paraId="5DE80280" w14:textId="2B04722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Applicant Response – Excel Submission, Tab 3.b. and MGH Tower Questions - DoN #MGB-20121612-HE - Applicant Response Final.docx [hereinafter, MGH Applicant Response], p. 19.</w:t>
      </w:r>
    </w:p>
  </w:footnote>
  <w:footnote w:id="19">
    <w:p w14:paraId="3479F671" w14:textId="1F79A5E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pp. 4-5.</w:t>
      </w:r>
    </w:p>
  </w:footnote>
  <w:footnote w:id="20">
    <w:p w14:paraId="224E7698" w14:textId="580E3CC5"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“Massachusetts Case Mix: Hospital Inpatient Discharge Data (HIDD) Documentation Manual, Fiscal Year 2020,” </w:t>
      </w:r>
      <w:r w:rsidRPr="002F227B">
        <w:rPr>
          <w:rFonts w:ascii="Times New Roman" w:hAnsi="Times New Roman" w:cs="Times New Roman"/>
          <w:i/>
        </w:rPr>
        <w:t>available at</w:t>
      </w:r>
      <w:r w:rsidRPr="002F227B">
        <w:rPr>
          <w:rFonts w:ascii="Times New Roman" w:hAnsi="Times New Roman" w:cs="Times New Roman"/>
        </w:rPr>
        <w:t xml:space="preserve"> https://www.chiamass.gov/assets/docs/r/hdd/FY20-Case-Mix-Hospital-Inpatient-Discharge-Documentation-Guide.pdf, p. 3. </w:t>
      </w:r>
    </w:p>
  </w:footnote>
  <w:footnote w:id="21">
    <w:p w14:paraId="3B896227" w14:textId="1C95FC6F"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“Massachusetts Case Mix: Hospital Inpatient Discharge Data (HIDD) Documentation Manual, Fiscal Year 2020,” </w:t>
      </w:r>
      <w:r w:rsidRPr="002F227B">
        <w:rPr>
          <w:rFonts w:ascii="Times New Roman" w:hAnsi="Times New Roman" w:cs="Times New Roman"/>
          <w:i/>
        </w:rPr>
        <w:t>available at</w:t>
      </w:r>
      <w:r w:rsidRPr="002F227B">
        <w:rPr>
          <w:rFonts w:ascii="Times New Roman" w:hAnsi="Times New Roman" w:cs="Times New Roman"/>
        </w:rPr>
        <w:t xml:space="preserve"> https://www.chiamass.gov/assets/docs/r/hdd/FY20-Case-Mix-Hospital-Inpatient-Discharge-Documentation-Guide.pdf, p. 7.</w:t>
      </w:r>
    </w:p>
  </w:footnote>
  <w:footnote w:id="22">
    <w:p w14:paraId="6B7307C6" w14:textId="1D10742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“Massachusetts Case Mix: Hospital Inpatient Discharge Data (HIDD) Documentation Manual, Fiscal Year 2020,” </w:t>
      </w:r>
      <w:r w:rsidRPr="002F227B">
        <w:rPr>
          <w:rFonts w:ascii="Times New Roman" w:hAnsi="Times New Roman" w:cs="Times New Roman"/>
          <w:i/>
        </w:rPr>
        <w:t>available at</w:t>
      </w:r>
      <w:r w:rsidRPr="002F227B">
        <w:rPr>
          <w:rFonts w:ascii="Times New Roman" w:hAnsi="Times New Roman" w:cs="Times New Roman"/>
        </w:rPr>
        <w:t xml:space="preserve"> https://www.chiamass.gov/assets/docs/r/hdd/FY20-Case-Mix-Hospital-Inpatient-Discharge-Documentation-Guide.pdf, pp. 9-12.</w:t>
      </w:r>
    </w:p>
  </w:footnote>
  <w:footnote w:id="23">
    <w:p w14:paraId="3D4A6329" w14:textId="21E21A0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In the Hospital Inpatient Discharge Database, we assign discharges to payor types based on the primary payor. According to CHIA’s submission guide, MassHealth should be recorded as the secondary payor if the inpatient is also covered by another insurer. (CHIA, “Hospital Inpatient Discharge Data: File Submission Guide, October 2016,” </w:t>
      </w:r>
      <w:r w:rsidRPr="002F227B">
        <w:rPr>
          <w:rFonts w:ascii="Times New Roman" w:hAnsi="Times New Roman" w:cs="Times New Roman"/>
          <w:i/>
        </w:rPr>
        <w:t>available at</w:t>
      </w:r>
      <w:r w:rsidRPr="002F227B">
        <w:rPr>
          <w:rFonts w:ascii="Times New Roman" w:hAnsi="Times New Roman" w:cs="Times New Roman"/>
        </w:rPr>
        <w:t xml:space="preserve"> https://www.chiamass.gov/assets/docs/p/case-mix/FY17-Inpatient-Submission-Guide.pdf, p.18.) This is because Medicaid generally pays for covered services after commercial, Medicare, and MediGap plans have paid. (Centers for Medicare and Medicaid Services, “Medicaid,” </w:t>
      </w:r>
      <w:r w:rsidRPr="002F227B">
        <w:rPr>
          <w:rFonts w:ascii="Times New Roman" w:hAnsi="Times New Roman" w:cs="Times New Roman"/>
          <w:i/>
          <w:iCs/>
        </w:rPr>
        <w:t>available at</w:t>
      </w:r>
      <w:r w:rsidRPr="002F227B">
        <w:rPr>
          <w:rFonts w:ascii="Times New Roman" w:hAnsi="Times New Roman" w:cs="Times New Roman"/>
        </w:rPr>
        <w:t xml:space="preserve"> https://www.medicare.gov/your-medicare-costs/get-help-paying-costs/medicaid.)</w:t>
      </w:r>
    </w:p>
  </w:footnote>
  <w:footnote w:id="24">
    <w:p w14:paraId="45F5C3F5" w14:textId="2289FEEA"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exclude discharges from the following non-GAC hospitals: MelroseWakefield Healthcare’s Lawrence Memorial Hospital Campus (psychiatric hospital), MiraVista Behavioral Health Center, and Steward Good Samaritan Medical Center’s NORCAP Lodge (substance abuse disorder treatment facility). We also exclude discharges from the following children’s hospitals: Boston Children’s Hospital and Shriner’s Hospitals for Children in Springfield and Boston.</w:t>
      </w:r>
    </w:p>
  </w:footnote>
  <w:footnote w:id="25">
    <w:p w14:paraId="3FF100B2" w14:textId="0DA4CB7F"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Steve Krause, “Union Hospital Selects New Developer,” </w:t>
      </w:r>
      <w:r w:rsidRPr="002F227B">
        <w:rPr>
          <w:rFonts w:ascii="Times New Roman" w:hAnsi="Times New Roman" w:cs="Times New Roman"/>
          <w:i/>
          <w:iCs/>
        </w:rPr>
        <w:t>Itemlive.com</w:t>
      </w:r>
      <w:r w:rsidRPr="002F227B">
        <w:rPr>
          <w:rFonts w:ascii="Times New Roman" w:hAnsi="Times New Roman" w:cs="Times New Roman"/>
        </w:rPr>
        <w:t xml:space="preserve"> (June 9, 2020), </w:t>
      </w:r>
      <w:r w:rsidRPr="002F227B">
        <w:rPr>
          <w:rFonts w:ascii="Times New Roman" w:hAnsi="Times New Roman" w:cs="Times New Roman"/>
          <w:i/>
          <w:iCs/>
        </w:rPr>
        <w:t>available at</w:t>
      </w:r>
      <w:r w:rsidRPr="002F227B">
        <w:rPr>
          <w:rFonts w:ascii="Times New Roman" w:hAnsi="Times New Roman" w:cs="Times New Roman"/>
        </w:rPr>
        <w:t xml:space="preserve"> https://www.itemlive.com/2020/06/09/union-hospital-selects-new-developer/.</w:t>
      </w:r>
    </w:p>
  </w:footnote>
  <w:footnote w:id="26">
    <w:p w14:paraId="24CEB55F" w14:textId="0FDDEABC"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Monica Madeja, “Field Hospital at Worcester’s DCU Center Closes Monday,” </w:t>
      </w:r>
      <w:r w:rsidRPr="002F227B">
        <w:rPr>
          <w:rFonts w:ascii="Times New Roman" w:hAnsi="Times New Roman" w:cs="Times New Roman"/>
          <w:i/>
          <w:iCs/>
        </w:rPr>
        <w:t>NBC Boston</w:t>
      </w:r>
      <w:r w:rsidRPr="002F227B">
        <w:rPr>
          <w:rFonts w:ascii="Times New Roman" w:hAnsi="Times New Roman" w:cs="Times New Roman"/>
        </w:rPr>
        <w:t xml:space="preserve"> (March 15, 2021), </w:t>
      </w:r>
      <w:r w:rsidRPr="002F227B">
        <w:rPr>
          <w:rFonts w:ascii="Times New Roman" w:hAnsi="Times New Roman" w:cs="Times New Roman"/>
          <w:i/>
          <w:iCs/>
        </w:rPr>
        <w:t>available at</w:t>
      </w:r>
      <w:r w:rsidRPr="002F227B">
        <w:rPr>
          <w:rFonts w:ascii="Times New Roman" w:hAnsi="Times New Roman" w:cs="Times New Roman"/>
        </w:rPr>
        <w:t xml:space="preserve"> https://www.nbcboston.com/news/local/field-hospital-at-worcesters-dcu-center-closes-monday/2328677/; Juli McDonald, “Boston Hope Field Hospital Releases Final 2 Coronavirus Patients,” </w:t>
      </w:r>
      <w:r w:rsidRPr="002F227B">
        <w:rPr>
          <w:rFonts w:ascii="Times New Roman" w:hAnsi="Times New Roman" w:cs="Times New Roman"/>
          <w:i/>
          <w:iCs/>
        </w:rPr>
        <w:t>CBS Boston</w:t>
      </w:r>
      <w:r w:rsidRPr="002F227B">
        <w:rPr>
          <w:rFonts w:ascii="Times New Roman" w:hAnsi="Times New Roman" w:cs="Times New Roman"/>
        </w:rPr>
        <w:t xml:space="preserve">, (June 3, 2020), </w:t>
      </w:r>
      <w:r w:rsidRPr="002F227B">
        <w:rPr>
          <w:rFonts w:ascii="Times New Roman" w:hAnsi="Times New Roman" w:cs="Times New Roman"/>
          <w:i/>
          <w:iCs/>
        </w:rPr>
        <w:t>available at</w:t>
      </w:r>
      <w:r w:rsidRPr="002F227B">
        <w:rPr>
          <w:rFonts w:ascii="Times New Roman" w:hAnsi="Times New Roman" w:cs="Times New Roman"/>
        </w:rPr>
        <w:t xml:space="preserve"> https://boston.cbslocal.com/2020/06/03/boston-hope-field-hospital-closes-final-patients-oger-julien-joseph-murphy/.</w:t>
      </w:r>
    </w:p>
  </w:footnote>
  <w:footnote w:id="27">
    <w:p w14:paraId="5BEDE2E5" w14:textId="6D69801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MetroWest Medical Center, “Leonard Morse Hospital,” </w:t>
      </w:r>
      <w:r w:rsidRPr="002F227B">
        <w:rPr>
          <w:rFonts w:ascii="Times New Roman" w:hAnsi="Times New Roman" w:cs="Times New Roman"/>
          <w:i/>
        </w:rPr>
        <w:t xml:space="preserve">available at </w:t>
      </w:r>
      <w:r w:rsidRPr="002F227B">
        <w:rPr>
          <w:rFonts w:ascii="Times New Roman" w:hAnsi="Times New Roman" w:cs="Times New Roman"/>
        </w:rPr>
        <w:t xml:space="preserve">https://www.mwmc.com/locations/detail/leonard-morse-hospital?pagestyle=card; Henry Swan, “New role for Leonard Morse Hospital,” </w:t>
      </w:r>
      <w:r w:rsidRPr="002F227B">
        <w:rPr>
          <w:rFonts w:ascii="Times New Roman" w:hAnsi="Times New Roman" w:cs="Times New Roman"/>
          <w:i/>
          <w:iCs/>
        </w:rPr>
        <w:t>MetroWest Daily News</w:t>
      </w:r>
      <w:r w:rsidRPr="002F227B">
        <w:rPr>
          <w:rFonts w:ascii="Times New Roman" w:hAnsi="Times New Roman" w:cs="Times New Roman"/>
        </w:rPr>
        <w:t xml:space="preserve"> (October 22, 2020), </w:t>
      </w:r>
      <w:r w:rsidRPr="002F227B">
        <w:rPr>
          <w:rFonts w:ascii="Times New Roman" w:hAnsi="Times New Roman" w:cs="Times New Roman"/>
          <w:i/>
          <w:iCs/>
        </w:rPr>
        <w:t xml:space="preserve">available at </w:t>
      </w:r>
      <w:r w:rsidRPr="002F227B">
        <w:rPr>
          <w:rFonts w:ascii="Times New Roman" w:hAnsi="Times New Roman" w:cs="Times New Roman"/>
        </w:rPr>
        <w:t xml:space="preserve">https://www.metrowestdailynews.com/story/lifestyle/health-fitness/2020/10/22/starting-sunday-leonard-morse-hospital-in-natick-becomes-behavioral-health-center/114464988/. </w:t>
      </w:r>
    </w:p>
  </w:footnote>
  <w:footnote w:id="28">
    <w:p w14:paraId="32A169F1" w14:textId="49EC834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Obstetric discharges are identified based on the presence of MDC 14 and newborn discharges are identified based on the admission type field or the presence of MDC 15. Pediatric stays are identified based on the patient being younger than eighteen. </w:t>
      </w:r>
    </w:p>
  </w:footnote>
  <w:footnote w:id="29">
    <w:p w14:paraId="5FF91818" w14:textId="6407750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Relative Price and Provider Price Variation, October-RP-Databook-12.28.2020-Update.xlsx, reflecting relative price data for 2018 was downloaded from https://www.chiamass.gov/relative-price-and-provider-price-variation/. It appears however that file is no longer available for download and was replaced with a file containing 2019 relative prices. </w:t>
      </w:r>
    </w:p>
  </w:footnote>
  <w:footnote w:id="30">
    <w:p w14:paraId="5B07AEE1" w14:textId="19445EC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“Massachusetts All Payer Claims Database,” </w:t>
      </w:r>
      <w:r w:rsidRPr="002F227B">
        <w:rPr>
          <w:rFonts w:ascii="Times New Roman" w:hAnsi="Times New Roman" w:cs="Times New Roman"/>
          <w:i/>
        </w:rPr>
        <w:t xml:space="preserve">available at </w:t>
      </w:r>
      <w:r w:rsidRPr="002F227B">
        <w:rPr>
          <w:rFonts w:ascii="Times New Roman" w:hAnsi="Times New Roman" w:cs="Times New Roman"/>
        </w:rPr>
        <w:t>https://www.chiamass.gov/ma-apcd/.</w:t>
      </w:r>
    </w:p>
  </w:footnote>
  <w:footnote w:id="31">
    <w:p w14:paraId="609FB029"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In addition to medical claims, the APCD also includes information on pharmacy and dental claims. However, we limit our analysis to the claims included in the APCD’s medical claims files. </w:t>
      </w:r>
    </w:p>
  </w:footnote>
  <w:footnote w:id="32">
    <w:p w14:paraId="64D082C6" w14:textId="0245400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“The Massachusetts All-Payer Claims Database: Medical Claim File Submission Guide, February 2019,” </w:t>
      </w:r>
      <w:r w:rsidRPr="002F227B">
        <w:rPr>
          <w:rFonts w:ascii="Times New Roman" w:hAnsi="Times New Roman" w:cs="Times New Roman"/>
          <w:i/>
        </w:rPr>
        <w:t>available</w:t>
      </w:r>
      <w:r w:rsidRPr="002F227B">
        <w:rPr>
          <w:rFonts w:ascii="Times New Roman" w:hAnsi="Times New Roman" w:cs="Times New Roman"/>
        </w:rPr>
        <w:t xml:space="preserve"> </w:t>
      </w:r>
      <w:r w:rsidRPr="002F227B">
        <w:rPr>
          <w:rFonts w:ascii="Times New Roman" w:hAnsi="Times New Roman" w:cs="Times New Roman"/>
          <w:i/>
        </w:rPr>
        <w:t>at</w:t>
      </w:r>
      <w:r w:rsidRPr="002F227B">
        <w:rPr>
          <w:rFonts w:ascii="Times New Roman" w:hAnsi="Times New Roman" w:cs="Times New Roman"/>
        </w:rPr>
        <w:t xml:space="preserve"> https://www.chiamass.gov/assets/docs/p/apcd/2019-apcd-submission-guides/2019-apcd-medical-claim-file-submission-guide-FINAL-Revision-1.0.pdf, p. 9.</w:t>
      </w:r>
    </w:p>
  </w:footnote>
  <w:footnote w:id="33">
    <w:p w14:paraId="5B605642" w14:textId="77EDDA8D" w:rsidR="00CF3141" w:rsidRPr="002F227B" w:rsidRDefault="00CF3141" w:rsidP="00335D93">
      <w:pPr>
        <w:pStyle w:val="FootnoteText"/>
        <w:rPr>
          <w:rFonts w:ascii="Times New Roman" w:hAnsi="Times New Roman" w:cs="Times New Roman"/>
          <w:i/>
        </w:rPr>
      </w:pPr>
      <w:r w:rsidRPr="002F227B">
        <w:rPr>
          <w:rStyle w:val="FootnoteReference"/>
          <w:rFonts w:ascii="Times New Roman" w:hAnsi="Times New Roman" w:cs="Times New Roman"/>
        </w:rPr>
        <w:footnoteRef/>
      </w:r>
      <w:r w:rsidRPr="002F227B">
        <w:rPr>
          <w:rFonts w:ascii="Times New Roman" w:hAnsi="Times New Roman" w:cs="Times New Roman"/>
        </w:rPr>
        <w:t xml:space="preserve"> Prior to 2016, self-insured plans were required to submit claims data for inclusion in the APCD. The APCD does not include claims submitted to workers’ compensation plans, claims submitted through TRICARE or the Veterans Health Administration, or claims submitted to the Federal Employees Health Benefits Plan. (CHIA, “Overview of the Massachusetts All-Payer Claims Database, September 2016,” av</w:t>
      </w:r>
      <w:r w:rsidRPr="002F227B">
        <w:rPr>
          <w:rFonts w:ascii="Times New Roman" w:hAnsi="Times New Roman" w:cs="Times New Roman"/>
          <w:i/>
          <w:iCs/>
        </w:rPr>
        <w:t xml:space="preserve">ailable at </w:t>
      </w:r>
      <w:r w:rsidRPr="002F227B">
        <w:rPr>
          <w:rFonts w:ascii="Times New Roman" w:hAnsi="Times New Roman" w:cs="Times New Roman"/>
        </w:rPr>
        <w:t>https://www.chiamass.gov/assets/docs/p/apcd/APCD-White-Paper-2016.pdf, p. 2).</w:t>
      </w:r>
    </w:p>
  </w:footnote>
  <w:footnote w:id="34">
    <w:p w14:paraId="612B8E2F" w14:textId="3CAC98EE"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 list of the fields contained in the APCD medical claims is available on CHIA’s website: CHIA, “The Massachusetts All-Payer Claims Database: Medical Claim File Submission Guide, February 2019,” </w:t>
      </w:r>
      <w:r w:rsidRPr="002F227B">
        <w:rPr>
          <w:rFonts w:ascii="Times New Roman" w:hAnsi="Times New Roman" w:cs="Times New Roman"/>
          <w:i/>
        </w:rPr>
        <w:t>available</w:t>
      </w:r>
      <w:r w:rsidRPr="002F227B">
        <w:rPr>
          <w:rFonts w:ascii="Times New Roman" w:hAnsi="Times New Roman" w:cs="Times New Roman"/>
        </w:rPr>
        <w:t xml:space="preserve"> </w:t>
      </w:r>
      <w:r w:rsidRPr="002F227B">
        <w:rPr>
          <w:rFonts w:ascii="Times New Roman" w:hAnsi="Times New Roman" w:cs="Times New Roman"/>
          <w:i/>
          <w:iCs/>
        </w:rPr>
        <w:t>at</w:t>
      </w:r>
      <w:r w:rsidRPr="002F227B">
        <w:rPr>
          <w:rFonts w:ascii="Times New Roman" w:hAnsi="Times New Roman" w:cs="Times New Roman"/>
        </w:rPr>
        <w:t xml:space="preserve"> https://www.chiamass.gov/assets/docs/p/apcd/2019-apcd-submission-guides/2019-apcd-medical-claim-file-submission-guide-FINAL-Revision-1.0.pdf.</w:t>
      </w:r>
    </w:p>
  </w:footnote>
  <w:footnote w:id="35">
    <w:p w14:paraId="654B65D0" w14:textId="3B61B33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“bill type” for each claim indicates the type of facility that provided care.</w:t>
      </w:r>
    </w:p>
  </w:footnote>
  <w:footnote w:id="36">
    <w:p w14:paraId="1D5A3391" w14:textId="648FA0E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allowed amount represents the maximum amount the health plan (or plan sponsor) is expected to pay for the service. For claims associated with contracted providers in a health plan’s network who have agreed to negotiated rates, the allowed amount corresponds to the applicable negotiated fee. For providers where the health plan does not have an advanced negotiated rate, the allowed amount generally represents the rate that the health plan or plan sponsor determines as the usual, customary, and reasonable fee for the service. The amount that a health plan or plan sponsor pays the provider may be less than the allowed amount due to patient cost-share obligations (</w:t>
      </w:r>
      <w:r w:rsidRPr="002F227B">
        <w:rPr>
          <w:rFonts w:ascii="Times New Roman" w:hAnsi="Times New Roman" w:cs="Times New Roman"/>
          <w:i/>
          <w:iCs/>
        </w:rPr>
        <w:t>e.g.</w:t>
      </w:r>
      <w:r w:rsidRPr="002F227B">
        <w:rPr>
          <w:rFonts w:ascii="Times New Roman" w:hAnsi="Times New Roman" w:cs="Times New Roman"/>
        </w:rPr>
        <w:t>, deductible, coinsurance, and copayment).</w:t>
      </w:r>
    </w:p>
  </w:footnote>
  <w:footnote w:id="37">
    <w:p w14:paraId="79DD6968" w14:textId="032CD32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t>
      </w:r>
      <w:r w:rsidRPr="002F227B">
        <w:rPr>
          <w:rFonts w:ascii="Times New Roman" w:hAnsi="Times New Roman" w:cs="Times New Roman"/>
          <w:i/>
        </w:rPr>
        <w:t>See</w:t>
      </w:r>
      <w:r w:rsidRPr="002F227B">
        <w:rPr>
          <w:rFonts w:ascii="Times New Roman" w:hAnsi="Times New Roman" w:cs="Times New Roman"/>
        </w:rPr>
        <w:t xml:space="preserve"> Section </w:t>
      </w:r>
      <w:r w:rsidRPr="002F227B">
        <w:rPr>
          <w:rFonts w:ascii="Times New Roman" w:hAnsi="Times New Roman" w:cs="Times New Roman"/>
        </w:rPr>
        <w:fldChar w:fldCharType="begin"/>
      </w:r>
      <w:r w:rsidRPr="002F227B">
        <w:rPr>
          <w:rFonts w:ascii="Times New Roman" w:hAnsi="Times New Roman" w:cs="Times New Roman"/>
        </w:rPr>
        <w:instrText xml:space="preserve"> REF _Ref88655817 \r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III</w:t>
      </w:r>
      <w:r w:rsidRPr="002F227B">
        <w:rPr>
          <w:rFonts w:ascii="Times New Roman" w:hAnsi="Times New Roman" w:cs="Times New Roman"/>
        </w:rPr>
        <w:fldChar w:fldCharType="end"/>
      </w:r>
      <w:r w:rsidRPr="002F227B">
        <w:rPr>
          <w:rFonts w:ascii="Times New Roman" w:hAnsi="Times New Roman" w:cs="Times New Roman"/>
        </w:rPr>
        <w:t>.</w:t>
      </w:r>
      <w:r w:rsidRPr="002F227B">
        <w:rPr>
          <w:rFonts w:ascii="Times New Roman" w:hAnsi="Times New Roman" w:cs="Times New Roman"/>
        </w:rPr>
        <w:fldChar w:fldCharType="begin"/>
      </w:r>
      <w:r w:rsidRPr="002F227B">
        <w:rPr>
          <w:rFonts w:ascii="Times New Roman" w:hAnsi="Times New Roman" w:cs="Times New Roman"/>
        </w:rPr>
        <w:instrText xml:space="preserve"> REF _Ref88594712 \r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A</w:t>
      </w:r>
      <w:r w:rsidRPr="002F227B">
        <w:rPr>
          <w:rFonts w:ascii="Times New Roman" w:hAnsi="Times New Roman" w:cs="Times New Roman"/>
        </w:rPr>
        <w:fldChar w:fldCharType="end"/>
      </w:r>
      <w:r w:rsidRPr="002F227B">
        <w:rPr>
          <w:rFonts w:ascii="Times New Roman" w:hAnsi="Times New Roman" w:cs="Times New Roman"/>
        </w:rPr>
        <w:t>.</w:t>
      </w:r>
      <w:r w:rsidRPr="002F227B">
        <w:rPr>
          <w:rFonts w:ascii="Times New Roman" w:hAnsi="Times New Roman" w:cs="Times New Roman"/>
        </w:rPr>
        <w:fldChar w:fldCharType="begin"/>
      </w:r>
      <w:r w:rsidRPr="002F227B">
        <w:rPr>
          <w:rFonts w:ascii="Times New Roman" w:hAnsi="Times New Roman" w:cs="Times New Roman"/>
        </w:rPr>
        <w:instrText xml:space="preserve"> REF _Ref89083830 \r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7</w:t>
      </w:r>
      <w:r w:rsidRPr="002F227B">
        <w:rPr>
          <w:rFonts w:ascii="Times New Roman" w:hAnsi="Times New Roman" w:cs="Times New Roman"/>
        </w:rPr>
        <w:fldChar w:fldCharType="end"/>
      </w:r>
      <w:r w:rsidRPr="002F227B">
        <w:rPr>
          <w:rFonts w:ascii="Times New Roman" w:hAnsi="Times New Roman" w:cs="Times New Roman"/>
        </w:rPr>
        <w:t xml:space="preserve"> for additional discussion about NPIs.</w:t>
      </w:r>
    </w:p>
  </w:footnote>
  <w:footnote w:id="38">
    <w:p w14:paraId="243D37D7" w14:textId="27818258"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 list of the fields contained in the provider file is available on CHIA’s website: CHIA, “The Massachusetts All-Payer Claims Database: Provider File Submission Guide, February 2019,” </w:t>
      </w:r>
      <w:r w:rsidRPr="002F227B">
        <w:rPr>
          <w:rFonts w:ascii="Times New Roman" w:hAnsi="Times New Roman" w:cs="Times New Roman"/>
          <w:i/>
        </w:rPr>
        <w:t>available at</w:t>
      </w:r>
      <w:r w:rsidRPr="002F227B">
        <w:rPr>
          <w:rFonts w:ascii="Times New Roman" w:hAnsi="Times New Roman" w:cs="Times New Roman"/>
        </w:rPr>
        <w:t xml:space="preserve"> https://www.chiamass.gov/assets/docs/p/apcd/2019-apcd-submission-guides/2019-apcd-provider-file-submission-guide-FINAL.pdf.</w:t>
      </w:r>
    </w:p>
  </w:footnote>
  <w:footnote w:id="39">
    <w:p w14:paraId="222F88C1" w14:textId="110F6E0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“Overview of the Massachusetts All-Payer Claims Database, September 2016,” p. 5, </w:t>
      </w:r>
      <w:r w:rsidRPr="002F227B">
        <w:rPr>
          <w:rFonts w:ascii="Times New Roman" w:hAnsi="Times New Roman" w:cs="Times New Roman"/>
          <w:i/>
          <w:iCs/>
        </w:rPr>
        <w:t>available at</w:t>
      </w:r>
      <w:r w:rsidRPr="002F227B">
        <w:rPr>
          <w:rFonts w:ascii="Times New Roman" w:hAnsi="Times New Roman" w:cs="Times New Roman"/>
        </w:rPr>
        <w:t xml:space="preserve"> https://www.chiamass.gov/assets/docs/p/apcd/APCD-White-Paper-2016.pdf; and CHIA, “Massachusetts All-Payer Claims Database: Release 8.0; 2014-2018 Documentation Guide,” pp. 21-22, </w:t>
      </w:r>
      <w:r w:rsidRPr="002F227B">
        <w:rPr>
          <w:rFonts w:ascii="Times New Roman" w:hAnsi="Times New Roman" w:cs="Times New Roman"/>
          <w:i/>
          <w:iCs/>
        </w:rPr>
        <w:t>available at</w:t>
      </w:r>
      <w:r w:rsidRPr="002F227B">
        <w:rPr>
          <w:rFonts w:ascii="Times New Roman" w:hAnsi="Times New Roman" w:cs="Times New Roman"/>
        </w:rPr>
        <w:t xml:space="preserve"> https://www.chiamass.gov/assets/docs/p/apcd/apcd-8.0/APCD-Release-8-Documentation-Guide.pdf.</w:t>
      </w:r>
    </w:p>
  </w:footnote>
  <w:footnote w:id="40">
    <w:p w14:paraId="4FA7E79C" w14:textId="6BC9DEA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“Medical Claims Versioning Brief,” </w:t>
      </w:r>
      <w:r w:rsidRPr="002F227B">
        <w:rPr>
          <w:rFonts w:ascii="Times New Roman" w:hAnsi="Times New Roman" w:cs="Times New Roman"/>
          <w:i/>
          <w:iCs/>
        </w:rPr>
        <w:t xml:space="preserve">available at </w:t>
      </w:r>
      <w:r w:rsidRPr="002F227B">
        <w:rPr>
          <w:rFonts w:ascii="Times New Roman" w:hAnsi="Times New Roman" w:cs="Times New Roman"/>
        </w:rPr>
        <w:t>https://www.bidnet.com/bneattachments?/489972194.docx.</w:t>
      </w:r>
    </w:p>
  </w:footnote>
  <w:footnote w:id="41">
    <w:p w14:paraId="1FDCA8D3"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Specially, we exclude claims where either the allowed amount field or the sum of values in the plan payments and patient cost-share fields, aggregated to the claim-level, is negative.</w:t>
      </w:r>
    </w:p>
  </w:footnote>
  <w:footnote w:id="42">
    <w:p w14:paraId="7BBD935A" w14:textId="4CAD095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use these three NPI fields in an iterative approach. If the service provider NPI is an organizational NPI, we use the provider name and business practice address as recorded in the National Plan and Provider Enumeration System database for that NPI. If the service provider NPI is not an organizational NPI, we then rely on the provider name and address associated with the rendering provider NPI (to the extent that it is an organizational NPI), followed by the billing provider NPI. (The National Plan and Provider Enumeration System database is discussed in Section </w:t>
      </w:r>
      <w:r w:rsidRPr="002F227B">
        <w:rPr>
          <w:rFonts w:ascii="Times New Roman" w:hAnsi="Times New Roman" w:cs="Times New Roman"/>
        </w:rPr>
        <w:fldChar w:fldCharType="begin"/>
      </w:r>
      <w:r w:rsidRPr="002F227B">
        <w:rPr>
          <w:rFonts w:ascii="Times New Roman" w:hAnsi="Times New Roman" w:cs="Times New Roman"/>
        </w:rPr>
        <w:instrText xml:space="preserve"> REF _Ref88655817 \w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III</w:t>
      </w:r>
      <w:r w:rsidRPr="002F227B">
        <w:rPr>
          <w:rFonts w:ascii="Times New Roman" w:hAnsi="Times New Roman" w:cs="Times New Roman"/>
        </w:rPr>
        <w:fldChar w:fldCharType="end"/>
      </w:r>
      <w:r w:rsidRPr="002F227B">
        <w:rPr>
          <w:rFonts w:ascii="Times New Roman" w:hAnsi="Times New Roman" w:cs="Times New Roman"/>
        </w:rPr>
        <w:t>.</w:t>
      </w:r>
      <w:r w:rsidRPr="002F227B">
        <w:rPr>
          <w:rFonts w:ascii="Times New Roman" w:hAnsi="Times New Roman" w:cs="Times New Roman"/>
        </w:rPr>
        <w:fldChar w:fldCharType="begin"/>
      </w:r>
      <w:r w:rsidRPr="002F227B">
        <w:rPr>
          <w:rFonts w:ascii="Times New Roman" w:hAnsi="Times New Roman" w:cs="Times New Roman"/>
        </w:rPr>
        <w:instrText xml:space="preserve"> REF _Ref88594712 \w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A</w:t>
      </w:r>
      <w:r w:rsidRPr="002F227B">
        <w:rPr>
          <w:rFonts w:ascii="Times New Roman" w:hAnsi="Times New Roman" w:cs="Times New Roman"/>
        </w:rPr>
        <w:fldChar w:fldCharType="end"/>
      </w:r>
      <w:r w:rsidRPr="002F227B">
        <w:rPr>
          <w:rFonts w:ascii="Times New Roman" w:hAnsi="Times New Roman" w:cs="Times New Roman"/>
        </w:rPr>
        <w:t>.</w:t>
      </w:r>
      <w:r w:rsidRPr="002F227B">
        <w:rPr>
          <w:rFonts w:ascii="Times New Roman" w:hAnsi="Times New Roman" w:cs="Times New Roman"/>
        </w:rPr>
        <w:fldChar w:fldCharType="begin"/>
      </w:r>
      <w:r w:rsidRPr="002F227B">
        <w:rPr>
          <w:rFonts w:ascii="Times New Roman" w:hAnsi="Times New Roman" w:cs="Times New Roman"/>
        </w:rPr>
        <w:instrText xml:space="preserve"> REF _Ref89033859 \w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7</w:t>
      </w:r>
      <w:r w:rsidRPr="002F227B">
        <w:rPr>
          <w:rFonts w:ascii="Times New Roman" w:hAnsi="Times New Roman" w:cs="Times New Roman"/>
        </w:rPr>
        <w:fldChar w:fldCharType="end"/>
      </w:r>
      <w:r w:rsidRPr="002F227B">
        <w:rPr>
          <w:rFonts w:ascii="Times New Roman" w:hAnsi="Times New Roman" w:cs="Times New Roman"/>
        </w:rPr>
        <w:t>.)</w:t>
      </w:r>
    </w:p>
  </w:footnote>
  <w:footnote w:id="43">
    <w:p w14:paraId="6671D773" w14:textId="2CD8E7BE"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are unable to assign facility ownership for some claims. These include claims where the service, rendering, and billing provider NPIs are not organizational NPIs or if those NPIs did not appear in the National Plan and Provider Enumeration System database (</w:t>
      </w:r>
      <w:r w:rsidRPr="002F227B">
        <w:rPr>
          <w:rFonts w:ascii="Times New Roman" w:hAnsi="Times New Roman" w:cs="Times New Roman"/>
          <w:i/>
          <w:iCs/>
        </w:rPr>
        <w:t>i.e.</w:t>
      </w:r>
      <w:r w:rsidRPr="002F227B">
        <w:rPr>
          <w:rFonts w:ascii="Times New Roman" w:hAnsi="Times New Roman" w:cs="Times New Roman"/>
        </w:rPr>
        <w:t>, they are invalid NPIs).</w:t>
      </w:r>
    </w:p>
  </w:footnote>
  <w:footnote w:id="44">
    <w:p w14:paraId="34E04F1A" w14:textId="3212D94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rely on the APCD for information on care provided to members of Medicare health plans (</w:t>
      </w:r>
      <w:r w:rsidRPr="002F227B">
        <w:rPr>
          <w:rFonts w:ascii="Times New Roman" w:hAnsi="Times New Roman" w:cs="Times New Roman"/>
          <w:i/>
          <w:iCs/>
        </w:rPr>
        <w:t>i.e.</w:t>
      </w:r>
      <w:r w:rsidRPr="002F227B">
        <w:rPr>
          <w:rFonts w:ascii="Times New Roman" w:hAnsi="Times New Roman" w:cs="Times New Roman"/>
        </w:rPr>
        <w:t>, Medicare Advantage (Part C) and supplemental Medicare plans). For care provided to beneficiaries enrolled in Original Medicare, we rely on the Medicare Claims data described in the following section.</w:t>
      </w:r>
    </w:p>
  </w:footnote>
  <w:footnote w:id="45">
    <w:p w14:paraId="470A96A6"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exclude claims where either the allowed amount field or the sum of values in the plan payments and patient cost-share fields, aggregated to the claim-level, is zero.</w:t>
      </w:r>
    </w:p>
  </w:footnote>
  <w:footnote w:id="46">
    <w:p w14:paraId="7162804B" w14:textId="156BCAD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also exclude claims where the payment arrangement field indicated that the claim was paid on </w:t>
      </w:r>
      <w:r w:rsidRPr="002F227B">
        <w:rPr>
          <w:rFonts w:ascii="Times New Roman" w:eastAsia="Times-Roman" w:hAnsi="Times New Roman" w:cs="Times New Roman"/>
        </w:rPr>
        <w:t>a per-episode basis or using enhanced ambulatory patient groupings, or was otherwise missing payment arrangement information.</w:t>
      </w:r>
    </w:p>
  </w:footnote>
  <w:footnote w:id="47">
    <w:p w14:paraId="74DE3C4E"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t>
      </w:r>
      <w:bookmarkStart w:id="15" w:name="_Hlk90041358"/>
      <w:r w:rsidRPr="002F227B">
        <w:rPr>
          <w:rFonts w:ascii="Times New Roman" w:hAnsi="Times New Roman" w:cs="Times New Roman"/>
        </w:rPr>
        <w:t xml:space="preserve">In addition to the Outpatient and Carrier Files, the Medicare Claims data also includes a separate Inpatient File that contains facility claims submitted by inpatient hospital providers. However, we use the Hospital Inpatient Discharge Database when analyzing utilization of inpatient services for Original Medicare beneficiaries. </w:t>
      </w:r>
    </w:p>
    <w:p w14:paraId="7E42DF83" w14:textId="52D28108" w:rsidR="00CF3141" w:rsidRPr="002F227B" w:rsidRDefault="00CF3141" w:rsidP="007C54F6">
      <w:pPr>
        <w:pStyle w:val="FootnoteText"/>
        <w:ind w:firstLine="720"/>
        <w:rPr>
          <w:rFonts w:ascii="Times New Roman" w:hAnsi="Times New Roman" w:cs="Times New Roman"/>
        </w:rPr>
      </w:pPr>
      <w:r w:rsidRPr="002F227B">
        <w:rPr>
          <w:rFonts w:ascii="Times New Roman" w:hAnsi="Times New Roman" w:cs="Times New Roman"/>
        </w:rPr>
        <w:t xml:space="preserve">Although we do not discuss it in detail here, we use the Medicare Inpatient File to calculate the total allowed amounts for inpatient services provided to Original Medicare beneficiaries. We use these allowed amounts to weight the estimated cost impacts across service lines in Section </w:t>
      </w:r>
      <w:r w:rsidRPr="002F227B">
        <w:rPr>
          <w:rFonts w:ascii="Times New Roman" w:hAnsi="Times New Roman" w:cs="Times New Roman"/>
        </w:rPr>
        <w:fldChar w:fldCharType="begin"/>
      </w:r>
      <w:r w:rsidRPr="002F227B">
        <w:rPr>
          <w:rFonts w:ascii="Times New Roman" w:hAnsi="Times New Roman" w:cs="Times New Roman"/>
        </w:rPr>
        <w:instrText xml:space="preserve"> REF _Ref90041260 \w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XI</w:t>
      </w:r>
      <w:r w:rsidRPr="002F227B">
        <w:rPr>
          <w:rFonts w:ascii="Times New Roman" w:hAnsi="Times New Roman" w:cs="Times New Roman"/>
        </w:rPr>
        <w:fldChar w:fldCharType="end"/>
      </w:r>
      <w:r w:rsidRPr="002F227B">
        <w:rPr>
          <w:rFonts w:ascii="Times New Roman" w:hAnsi="Times New Roman" w:cs="Times New Roman"/>
        </w:rPr>
        <w:t xml:space="preserve">. </w:t>
      </w:r>
      <w:bookmarkEnd w:id="15"/>
    </w:p>
  </w:footnote>
  <w:footnote w:id="48">
    <w:p w14:paraId="73D4F3AF" w14:textId="7E0D898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Research Data Assistance Center, “Outpatient (Fee-for-Service),”</w:t>
      </w:r>
      <w:r w:rsidRPr="002F227B">
        <w:rPr>
          <w:rFonts w:ascii="Times New Roman" w:hAnsi="Times New Roman" w:cs="Times New Roman"/>
          <w:i/>
          <w:iCs/>
        </w:rPr>
        <w:t xml:space="preserve"> available at</w:t>
      </w:r>
      <w:r w:rsidRPr="002F227B">
        <w:rPr>
          <w:rFonts w:ascii="Times New Roman" w:hAnsi="Times New Roman" w:cs="Times New Roman"/>
          <w:i/>
        </w:rPr>
        <w:t xml:space="preserve"> </w:t>
      </w:r>
      <w:r w:rsidRPr="002F227B">
        <w:rPr>
          <w:rFonts w:ascii="Times New Roman" w:hAnsi="Times New Roman" w:cs="Times New Roman"/>
        </w:rPr>
        <w:t>https://resdac.org/cms-data/files/op-ffs.</w:t>
      </w:r>
    </w:p>
  </w:footnote>
  <w:footnote w:id="49">
    <w:p w14:paraId="13E3C33F" w14:textId="6CF8D4F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Research Data Assistance Center, “Carrier (Fee-for-Service),”</w:t>
      </w:r>
      <w:r w:rsidRPr="002F227B">
        <w:rPr>
          <w:rFonts w:ascii="Times New Roman" w:hAnsi="Times New Roman" w:cs="Times New Roman"/>
          <w:i/>
          <w:iCs/>
        </w:rPr>
        <w:t xml:space="preserve"> available at</w:t>
      </w:r>
      <w:r w:rsidRPr="002F227B">
        <w:rPr>
          <w:rFonts w:ascii="Times New Roman" w:hAnsi="Times New Roman" w:cs="Times New Roman"/>
          <w:i/>
        </w:rPr>
        <w:t xml:space="preserve"> </w:t>
      </w:r>
      <w:r w:rsidRPr="002F227B">
        <w:rPr>
          <w:rFonts w:ascii="Times New Roman" w:hAnsi="Times New Roman" w:cs="Times New Roman"/>
        </w:rPr>
        <w:t>https://resdac.org/cms-data/files/carrier-ffs.</w:t>
      </w:r>
    </w:p>
  </w:footnote>
  <w:footnote w:id="50">
    <w:p w14:paraId="5BCCD5BD" w14:textId="5458EA2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Facility claims in the Carrier File include claims submitted on Centers for Medicare and Medicaid Services claim form 1500 (or its electronic equivalent), which is also used for the submission of professional claims. Hospitals and other facilities whose claims are included in the Medicare Outpatient Claim File submit claims to Medicare using Centers for Medicare and Medicaid Services claim form 1450 (sometimes referred to form UB-04).</w:t>
      </w:r>
    </w:p>
  </w:footnote>
  <w:footnote w:id="51">
    <w:p w14:paraId="7E7BA72B" w14:textId="587488A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Lists of the fields contained in the Medicare Carrier and Outpatient files are available on the Research Data Assistance Center’s website: Research Data Assistance Center, “Outpatient (Fee-for-Service),”</w:t>
      </w:r>
      <w:r w:rsidRPr="002F227B">
        <w:rPr>
          <w:rFonts w:ascii="Times New Roman" w:hAnsi="Times New Roman" w:cs="Times New Roman"/>
          <w:i/>
        </w:rPr>
        <w:t xml:space="preserve"> available at </w:t>
      </w:r>
      <w:r w:rsidRPr="002F227B">
        <w:rPr>
          <w:rFonts w:ascii="Times New Roman" w:hAnsi="Times New Roman" w:cs="Times New Roman"/>
        </w:rPr>
        <w:t>https://resdac.org/cms-data/files/op-ffs. Research Data Assistance Center, “Carrier (Fee-for-Service),”</w:t>
      </w:r>
      <w:r w:rsidRPr="002F227B">
        <w:rPr>
          <w:rFonts w:ascii="Times New Roman" w:hAnsi="Times New Roman" w:cs="Times New Roman"/>
          <w:i/>
        </w:rPr>
        <w:t xml:space="preserve"> available at </w:t>
      </w:r>
      <w:r w:rsidRPr="002F227B">
        <w:rPr>
          <w:rFonts w:ascii="Times New Roman" w:hAnsi="Times New Roman" w:cs="Times New Roman"/>
        </w:rPr>
        <w:t>https://resdac.org/cms-data/files/carrier-ffs.</w:t>
      </w:r>
    </w:p>
  </w:footnote>
  <w:footnote w:id="52">
    <w:p w14:paraId="19905709" w14:textId="37C601FC"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rely on the CMS Provider of Services File to identify the provider name associated with each CMS certification number. (CMS, December 2018 POS OTHER CSV File and Layouts, </w:t>
      </w:r>
      <w:r w:rsidRPr="002F227B">
        <w:rPr>
          <w:rFonts w:ascii="Times New Roman" w:hAnsi="Times New Roman" w:cs="Times New Roman"/>
          <w:i/>
          <w:iCs/>
        </w:rPr>
        <w:t>available at</w:t>
      </w:r>
      <w:r w:rsidRPr="002F227B">
        <w:rPr>
          <w:rFonts w:ascii="Times New Roman" w:hAnsi="Times New Roman" w:cs="Times New Roman"/>
        </w:rPr>
        <w:t xml:space="preserve"> https://downloads.cms.gov/files/pos_other_csv_dec18.zip.)</w:t>
      </w:r>
    </w:p>
  </w:footnote>
  <w:footnote w:id="53">
    <w:p w14:paraId="4D394B75" w14:textId="3F48DEA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use these three NPI fields in an iterative approach. If the site of service NPI is an organizational NPI, we use the provider name and primary business practice address as recorded in the National Plan and Provider Enumeration System database for that NPI. If the site of service NPI is not an organizational NPI, we then rely on the provider name and address associated with the rendering physician NPI (to the extent that it is an organizational NPI), followed by the billing provider NPI.</w:t>
      </w:r>
    </w:p>
  </w:footnote>
  <w:footnote w:id="54">
    <w:p w14:paraId="2BE4440D" w14:textId="5C54F95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are unable to assign facility ownership for some claims. These include claims where the site of service, rendering physician, and billing provider NPIs are not populated, are not organizational NPIs, or did not appear in the NPPES database.</w:t>
      </w:r>
    </w:p>
  </w:footnote>
  <w:footnote w:id="55">
    <w:p w14:paraId="6E37F510" w14:textId="119C842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Relative Price and Provider Price Variation website, </w:t>
      </w:r>
      <w:r w:rsidRPr="002F227B">
        <w:rPr>
          <w:rFonts w:ascii="Times New Roman" w:hAnsi="Times New Roman" w:cs="Times New Roman"/>
          <w:i/>
        </w:rPr>
        <w:t xml:space="preserve">available at </w:t>
      </w:r>
      <w:r w:rsidRPr="002F227B">
        <w:rPr>
          <w:rFonts w:ascii="Times New Roman" w:hAnsi="Times New Roman" w:cs="Times New Roman"/>
        </w:rPr>
        <w:t>https://www.chiamass.gov/relative-price-and-provider-price-variation/.</w:t>
      </w:r>
    </w:p>
  </w:footnote>
  <w:footnote w:id="56">
    <w:p w14:paraId="7BF63DEC" w14:textId="427B2195"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 list of payors required to submit Relative Price data to CHIA is </w:t>
      </w:r>
      <w:r w:rsidRPr="002F227B">
        <w:rPr>
          <w:rFonts w:ascii="Times New Roman" w:hAnsi="Times New Roman" w:cs="Times New Roman"/>
          <w:i/>
        </w:rPr>
        <w:t>available at</w:t>
      </w:r>
      <w:r w:rsidRPr="002F227B">
        <w:rPr>
          <w:rFonts w:ascii="Times New Roman" w:hAnsi="Times New Roman" w:cs="Times New Roman"/>
        </w:rPr>
        <w:t xml:space="preserve"> https://www.chiamass.gov/list-of-payers-required-to-report-data. </w:t>
      </w:r>
    </w:p>
  </w:footnote>
  <w:footnote w:id="57">
    <w:p w14:paraId="3C12AF30" w14:textId="6149EE5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“Relative Price and Provider Price Variation in the Massachusetts Commercial Market, June 2021, Methodology Report,” </w:t>
      </w:r>
      <w:r w:rsidRPr="002F227B">
        <w:rPr>
          <w:rFonts w:ascii="Times New Roman" w:hAnsi="Times New Roman" w:cs="Times New Roman"/>
          <w:i/>
        </w:rPr>
        <w:t xml:space="preserve">available at </w:t>
      </w:r>
      <w:r w:rsidRPr="002F227B">
        <w:rPr>
          <w:rFonts w:ascii="Times New Roman" w:hAnsi="Times New Roman" w:cs="Times New Roman"/>
        </w:rPr>
        <w:t>https://www.chiamass.gov/assets/docs/r/pubs/2021/Relative-Price-Methodology-2019.pdf, pp. 3-4.</w:t>
      </w:r>
    </w:p>
  </w:footnote>
  <w:footnote w:id="58">
    <w:p w14:paraId="1BA5B443"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“Relative Price and Provider Price Variation in the Massachusetts Commercial Market, June 2021, Methodology Report,” </w:t>
      </w:r>
      <w:r w:rsidRPr="002F227B">
        <w:rPr>
          <w:rFonts w:ascii="Times New Roman" w:hAnsi="Times New Roman" w:cs="Times New Roman"/>
          <w:i/>
        </w:rPr>
        <w:t xml:space="preserve">available at </w:t>
      </w:r>
      <w:r w:rsidRPr="002F227B">
        <w:rPr>
          <w:rFonts w:ascii="Times New Roman" w:hAnsi="Times New Roman" w:cs="Times New Roman"/>
        </w:rPr>
        <w:t>https://www.chiamass.gov/assets/docs/r/pubs/2021/Relative-Price-Methodology-2019.pdf, p. 5.</w:t>
      </w:r>
    </w:p>
  </w:footnote>
  <w:footnote w:id="59">
    <w:p w14:paraId="55E073A2" w14:textId="2822CE0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“Relative Price and Provider Price Variation in the Massachusetts Commercial Market, June 2021, Methodology Report,” </w:t>
      </w:r>
      <w:r w:rsidRPr="002F227B">
        <w:rPr>
          <w:rFonts w:ascii="Times New Roman" w:hAnsi="Times New Roman" w:cs="Times New Roman"/>
          <w:i/>
        </w:rPr>
        <w:t xml:space="preserve">available at </w:t>
      </w:r>
      <w:r w:rsidRPr="002F227B">
        <w:rPr>
          <w:rFonts w:ascii="Times New Roman" w:hAnsi="Times New Roman" w:cs="Times New Roman"/>
        </w:rPr>
        <w:t>https://www.chiamass.gov/assets/docs/r/pubs/2021/Relative-Price-Methodology-2019.pdf, p. 5.</w:t>
      </w:r>
    </w:p>
  </w:footnote>
  <w:footnote w:id="60">
    <w:p w14:paraId="741D8109" w14:textId="49CE26D9"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CHIA’s relative price methodology defines a “network” as a unique combination of (a) insurance payor, (b) provider type, (c) insurance category, and (d) product type. (CHIA, “Relative Price and Provider Price Variation in the Massachusetts Commercial Market, June 2021 Methodology Report,” </w:t>
      </w:r>
      <w:r w:rsidRPr="002F227B">
        <w:rPr>
          <w:rFonts w:ascii="Times New Roman" w:hAnsi="Times New Roman" w:cs="Times New Roman"/>
          <w:i/>
        </w:rPr>
        <w:t xml:space="preserve">available at </w:t>
      </w:r>
      <w:r w:rsidRPr="002F227B">
        <w:rPr>
          <w:rFonts w:ascii="Times New Roman" w:hAnsi="Times New Roman" w:cs="Times New Roman"/>
        </w:rPr>
        <w:t>https://www.chiamass.gov/assets/docs/r/pubs/2021/Relative-Price-Methodology-2019.pdf</w:t>
      </w:r>
      <w:r w:rsidRPr="002F227B">
        <w:rPr>
          <w:rFonts w:ascii="Times New Roman" w:hAnsi="Times New Roman" w:cs="Times New Roman"/>
          <w:i/>
        </w:rPr>
        <w:t>,</w:t>
      </w:r>
      <w:r w:rsidRPr="002F227B">
        <w:rPr>
          <w:rFonts w:ascii="Times New Roman" w:hAnsi="Times New Roman" w:cs="Times New Roman"/>
        </w:rPr>
        <w:t xml:space="preserve"> p. 3.)</w:t>
      </w:r>
    </w:p>
  </w:footnote>
  <w:footnote w:id="61">
    <w:p w14:paraId="450F748A" w14:textId="5494909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Suppose that prior to the hypothetical shift, BCBS-MA paid MGH $136 on average for each of the 100 members admitted to MGH, for a total of $13,600. After ten of these members switch to Brigham and Women’s Faulkner Hospital, BCBS-MA’s spending on the 100 members decreases to $13,320, calculated as $136 for each of the 90 members who are admitted to MGH plus $108 for each of the ten members who are admitted to Brigham and Women’s Faulkner Hospital. The $13,320 in total spending corresponds to a 2.1 percent reduction from $13,600.</w:t>
      </w:r>
    </w:p>
  </w:footnote>
  <w:footnote w:id="62">
    <w:p w14:paraId="31D497AC" w14:textId="40BA01B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CHIA relative price information includes the following insurance types: commercial plans, Medicare health plans, MassHealth managed care plans, Dual Eligibles 18-64 plans, and Dual Eligibles 65+ plans. The Hospital Inpatient Discharge Database allows us to distinguish claims submitted by commercial plans, Medicare health plans, and MassHealth managed care plans. Therefore, we rely on data for commercial, Medicare health plans, and MassHealth managed care from CHIA’s inpatient relative price data.</w:t>
      </w:r>
    </w:p>
  </w:footnote>
  <w:footnote w:id="63">
    <w:p w14:paraId="57A9C04F" w14:textId="3335401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Although the relative price data also summarizes prices by product (such as Preferred Provider Organization or Health Maintenance Organization), a similar field is not available in the Hospital Inpatient Discharge Data. Therefore, we rely on the relative prices from the “all product” product type.</w:t>
      </w:r>
    </w:p>
  </w:footnote>
  <w:footnote w:id="64">
    <w:p w14:paraId="65A33AF9" w14:textId="10D528D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majority of commercial discharges where we could not identify a corresponding value in the relative price data are associated with payors that do not submit relative price information to CHIA, such as the Kaiser Foundation and Liberty Mutual.</w:t>
      </w:r>
    </w:p>
  </w:footnote>
  <w:footnote w:id="65">
    <w:p w14:paraId="744236C2" w14:textId="09ABDCA5"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CMS, Files for FY 2019 Final Rule and Correction Notice, </w:t>
      </w:r>
      <w:r w:rsidRPr="002F227B">
        <w:rPr>
          <w:rFonts w:ascii="Times New Roman" w:hAnsi="Times New Roman" w:cs="Times New Roman"/>
          <w:i/>
        </w:rPr>
        <w:t>available at</w:t>
      </w:r>
      <w:r w:rsidRPr="002F227B">
        <w:rPr>
          <w:rFonts w:ascii="Times New Roman" w:hAnsi="Times New Roman" w:cs="Times New Roman"/>
        </w:rPr>
        <w:t xml:space="preserve"> https://www.cms.gov/medicaremedicare-fee-service-paymentacuteinpatientppsacute-inpatient-files-download/files-fy-2019-final-rule-and-correction-notice; CMS, FY 2019 Final Rule and Correction Notice Data Files, </w:t>
      </w:r>
      <w:r w:rsidRPr="002F227B">
        <w:rPr>
          <w:rFonts w:ascii="Times New Roman" w:hAnsi="Times New Roman" w:cs="Times New Roman"/>
          <w:i/>
          <w:iCs/>
        </w:rPr>
        <w:t>available at</w:t>
      </w:r>
      <w:r w:rsidRPr="002F227B">
        <w:rPr>
          <w:rFonts w:ascii="Times New Roman" w:hAnsi="Times New Roman" w:cs="Times New Roman"/>
        </w:rPr>
        <w:t xml:space="preserve"> https://www.cms.gov/Medicare/Medicare-Fee-for-Service-Payment/AcuteInpatientPPS/</w:t>
      </w:r>
      <w:r w:rsidRPr="002F227B">
        <w:rPr>
          <w:rFonts w:ascii="Times New Roman" w:hAnsi="Times New Roman" w:cs="Times New Roman"/>
        </w:rPr>
        <w:br/>
        <w:t xml:space="preserve">FY2019-IPPS-Final-Rule-Home-Page-Items/FY2019-IPPS-Final-Rule-Data-Files. </w:t>
      </w:r>
    </w:p>
  </w:footnote>
  <w:footnote w:id="66">
    <w:p w14:paraId="1084242B"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base rates for individual hospitals vary due to local variation in labor or capital costs and costs associated with providing graduate medical education. Hospitals serving a disproportionately high share of low-income patients may also receive an upward adjustment in the amounts reimbursed by CMS.</w:t>
      </w:r>
    </w:p>
  </w:footnote>
  <w:footnote w:id="67">
    <w:p w14:paraId="33D9B810" w14:textId="5897AAA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Medicare Payment Advisory Commission, “Outpatient Hospital Services Payment System” (Revised: November 2021), </w:t>
      </w:r>
      <w:r w:rsidRPr="002F227B">
        <w:rPr>
          <w:rFonts w:ascii="Times New Roman" w:hAnsi="Times New Roman" w:cs="Times New Roman"/>
          <w:i/>
        </w:rPr>
        <w:t>available at</w:t>
      </w:r>
      <w:r w:rsidRPr="002F227B">
        <w:rPr>
          <w:rFonts w:ascii="Times New Roman" w:hAnsi="Times New Roman" w:cs="Times New Roman"/>
        </w:rPr>
        <w:t xml:space="preserve"> https://www.medpac.gov/wp-content/uploads/2021/11/medpac_payment_basics_21_opd_</w:t>
      </w:r>
      <w:r w:rsidRPr="002F227B">
        <w:rPr>
          <w:rFonts w:ascii="Times New Roman" w:hAnsi="Times New Roman" w:cs="Times New Roman"/>
        </w:rPr>
        <w:br/>
        <w:t>final_sec.pdf.</w:t>
      </w:r>
    </w:p>
  </w:footnote>
  <w:footnote w:id="68">
    <w:p w14:paraId="03A2FEA9" w14:textId="4ADBDF5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CMS, Addendum A and Addendum B Updates, </w:t>
      </w:r>
      <w:r w:rsidRPr="002F227B">
        <w:rPr>
          <w:rFonts w:ascii="Times New Roman" w:hAnsi="Times New Roman" w:cs="Times New Roman"/>
          <w:i/>
          <w:iCs/>
        </w:rPr>
        <w:t>available at</w:t>
      </w:r>
      <w:r w:rsidRPr="002F227B">
        <w:rPr>
          <w:rFonts w:ascii="Times New Roman" w:hAnsi="Times New Roman" w:cs="Times New Roman"/>
        </w:rPr>
        <w:t xml:space="preserve"> https://www.cms.gov/Medicare/Medicare-Fee-for-Service-Payment/HospitalOutpatientPPS/Addendum-A-and-Addendum-B-Updates.</w:t>
      </w:r>
    </w:p>
  </w:footnote>
  <w:footnote w:id="69">
    <w:p w14:paraId="1B86E562" w14:textId="0921619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CBSAs are geographical areas (either metropolitan statistical areas or micropolitan statistical areas) with at least one urbanized area with a minimum population of 50,000 (metropolitan) or 10,000 (micropolitan) and adjacent territory with a “high degree of social and economic integration with the core as measured by commuting ties.” (U.S. Census Bureau, “Core-Based Statistical Areas,” </w:t>
      </w:r>
      <w:r w:rsidRPr="002F227B">
        <w:rPr>
          <w:rFonts w:ascii="Times New Roman" w:hAnsi="Times New Roman" w:cs="Times New Roman"/>
          <w:i/>
          <w:iCs/>
        </w:rPr>
        <w:t>available at</w:t>
      </w:r>
      <w:r w:rsidRPr="002F227B">
        <w:rPr>
          <w:rFonts w:ascii="Times New Roman" w:hAnsi="Times New Roman" w:cs="Times New Roman"/>
        </w:rPr>
        <w:t xml:space="preserve"> https://www.census.gov/topics/housing/housing-patterns/about/core-based-statistical-areas.html.)</w:t>
      </w:r>
    </w:p>
  </w:footnote>
  <w:footnote w:id="70">
    <w:p w14:paraId="15960027" w14:textId="1584FD4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methodology used by CMS to calculate Medicare reimbursement rates to ASCs is similar to the OPPS methodology. Both methods utilize the same APC-level relative weights and adjust for differences in labor costs across CBSAs, although the wage adjustment is slightly smaller for ASCs. (MedPAC Payment Basics, “Ambulatory Surgical Center Services Payment System,” (Revised: November 2021), </w:t>
      </w:r>
      <w:r w:rsidRPr="002F227B">
        <w:rPr>
          <w:rFonts w:ascii="Times New Roman" w:hAnsi="Times New Roman" w:cs="Times New Roman"/>
          <w:i/>
        </w:rPr>
        <w:t>available at</w:t>
      </w:r>
      <w:r w:rsidRPr="002F227B">
        <w:rPr>
          <w:rFonts w:ascii="Times New Roman" w:hAnsi="Times New Roman" w:cs="Times New Roman"/>
        </w:rPr>
        <w:t xml:space="preserve"> https://www.medpac.gov/wp-content/uploads/2021/11/medpac_payment_basics_21_asc_final_sec.pdf.)</w:t>
      </w:r>
    </w:p>
  </w:footnote>
  <w:footnote w:id="71">
    <w:p w14:paraId="051D35D3" w14:textId="4D7A35A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MedPAC Payment Basics, “Outpatient Hospital Services Payment System,” (Revised: November 2021),</w:t>
      </w:r>
      <w:r w:rsidRPr="002F227B">
        <w:rPr>
          <w:rFonts w:ascii="Times New Roman" w:hAnsi="Times New Roman" w:cs="Times New Roman"/>
          <w:i/>
        </w:rPr>
        <w:t xml:space="preserve"> available at</w:t>
      </w:r>
      <w:r w:rsidRPr="002F227B">
        <w:rPr>
          <w:rFonts w:ascii="Times New Roman" w:hAnsi="Times New Roman" w:cs="Times New Roman"/>
        </w:rPr>
        <w:t xml:space="preserve"> https://www.medpac.gov/wp-content/uploads/2021/11/medpac_payment_basics_21_opd_</w:t>
      </w:r>
      <w:r w:rsidRPr="002F227B">
        <w:rPr>
          <w:rFonts w:ascii="Times New Roman" w:hAnsi="Times New Roman" w:cs="Times New Roman"/>
        </w:rPr>
        <w:br/>
        <w:t>final_sec.pdf, p 4.</w:t>
      </w:r>
    </w:p>
  </w:footnote>
  <w:footnote w:id="72">
    <w:p w14:paraId="61C1A820" w14:textId="6BEEF8A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For additional details regarding NPIs, </w:t>
      </w:r>
      <w:r w:rsidRPr="002F227B">
        <w:rPr>
          <w:rFonts w:ascii="Times New Roman" w:hAnsi="Times New Roman" w:cs="Times New Roman"/>
          <w:i/>
        </w:rPr>
        <w:t>see</w:t>
      </w:r>
      <w:r w:rsidRPr="002F227B">
        <w:rPr>
          <w:rFonts w:ascii="Times New Roman" w:hAnsi="Times New Roman" w:cs="Times New Roman"/>
        </w:rPr>
        <w:t xml:space="preserve"> CMS, “NPI: What You Need to Know,” </w:t>
      </w:r>
      <w:r w:rsidRPr="002F227B">
        <w:rPr>
          <w:rFonts w:ascii="Times New Roman" w:hAnsi="Times New Roman" w:cs="Times New Roman"/>
          <w:i/>
        </w:rPr>
        <w:t>available at</w:t>
      </w:r>
      <w:r w:rsidRPr="002F227B">
        <w:rPr>
          <w:rFonts w:ascii="Times New Roman" w:hAnsi="Times New Roman" w:cs="Times New Roman"/>
        </w:rPr>
        <w:t xml:space="preserve"> https://www.cms.gov/Outreach-and-Education/Medicare-Learning-Network-MLN/MLNProducts/downloads/NPI-What-You-Need-To-Know.pdf.</w:t>
      </w:r>
    </w:p>
  </w:footnote>
  <w:footnote w:id="73">
    <w:p w14:paraId="1EAD28C3" w14:textId="1E54185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NPPES downloadable file is </w:t>
      </w:r>
      <w:r w:rsidRPr="002F227B">
        <w:rPr>
          <w:rFonts w:ascii="Times New Roman" w:hAnsi="Times New Roman" w:cs="Times New Roman"/>
          <w:i/>
          <w:iCs/>
        </w:rPr>
        <w:t>available at</w:t>
      </w:r>
      <w:r w:rsidRPr="002F227B">
        <w:rPr>
          <w:rFonts w:ascii="Times New Roman" w:hAnsi="Times New Roman" w:cs="Times New Roman"/>
        </w:rPr>
        <w:t xml:space="preserve"> https://download.cms.gov/nppes/NPI_Files.html. The complete database of all NPIs is updated on a monthly basis with incremental NPI files published weekly.</w:t>
      </w:r>
    </w:p>
  </w:footnote>
  <w:footnote w:id="74">
    <w:p w14:paraId="00FD4E6F" w14:textId="7A3009F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 provider is assigned one NPI, which never expires (and can remain active even if a provider retires or is no longer in clinical practice) and is never recycled or assigned to a different health care provider. Providers are able to update information associated with their NPI (</w:t>
      </w:r>
      <w:r w:rsidRPr="002F227B">
        <w:rPr>
          <w:rFonts w:ascii="Times New Roman" w:hAnsi="Times New Roman" w:cs="Times New Roman"/>
          <w:i/>
        </w:rPr>
        <w:t>e.g.</w:t>
      </w:r>
      <w:r w:rsidRPr="002F227B">
        <w:rPr>
          <w:rFonts w:ascii="Times New Roman" w:hAnsi="Times New Roman" w:cs="Times New Roman"/>
        </w:rPr>
        <w:t xml:space="preserve">, their name, credentials, address, taxonomy codes, etc.) but their NPI will remain the same. (CMS, “NPI Fact Sheet,” </w:t>
      </w:r>
      <w:r w:rsidRPr="002F227B">
        <w:rPr>
          <w:rFonts w:ascii="Times New Roman" w:hAnsi="Times New Roman" w:cs="Times New Roman"/>
          <w:i/>
          <w:iCs/>
        </w:rPr>
        <w:t>available at</w:t>
      </w:r>
      <w:r w:rsidRPr="002F227B">
        <w:rPr>
          <w:rFonts w:ascii="Times New Roman" w:hAnsi="Times New Roman" w:cs="Times New Roman"/>
        </w:rPr>
        <w:t xml:space="preserve"> https://www.cms.gov/Regulations-and-Guidance/Administrative-Simplification/NationalProvIdentStand/Downloads/NPIFactSheet012606.pdf.)</w:t>
      </w:r>
    </w:p>
  </w:footnote>
  <w:footnote w:id="75">
    <w:p w14:paraId="5309B328" w14:textId="78AD96B8"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UMass Donahue Institute, “Massachusetts Population Estimates Program,” </w:t>
      </w:r>
      <w:r w:rsidRPr="002F227B">
        <w:rPr>
          <w:rFonts w:ascii="Times New Roman" w:hAnsi="Times New Roman" w:cs="Times New Roman"/>
          <w:i/>
          <w:iCs/>
        </w:rPr>
        <w:t>available at</w:t>
      </w:r>
      <w:r w:rsidRPr="002F227B">
        <w:rPr>
          <w:rFonts w:ascii="Times New Roman" w:hAnsi="Times New Roman" w:cs="Times New Roman"/>
          <w:i/>
        </w:rPr>
        <w:t xml:space="preserve"> </w:t>
      </w:r>
      <w:r w:rsidRPr="002F227B">
        <w:rPr>
          <w:rFonts w:ascii="Times New Roman" w:hAnsi="Times New Roman" w:cs="Times New Roman"/>
        </w:rPr>
        <w:t>https://donahue.umass.edu/business-groups/economic-public-policy-research/massachusetts-population-estimates-program/population-projections.</w:t>
      </w:r>
    </w:p>
  </w:footnote>
  <w:footnote w:id="76">
    <w:p w14:paraId="538ED724" w14:textId="0D89C63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define patient service areas based on patient ZIP Codes, which are smaller geographic units than MCDs. We allocate UMDI’s MCD-level population estimates to ZIP Codes based on each ZIP Code’s share of the total land area of an MCD. Land area measurements for each MCD-ZIP Code pair are obtained from the U.S. Department of Housing and Urban Development’s County Subdivision to ZIP Code crosswalk file, </w:t>
      </w:r>
      <w:r w:rsidRPr="002F227B">
        <w:rPr>
          <w:rFonts w:ascii="Times New Roman" w:hAnsi="Times New Roman" w:cs="Times New Roman"/>
          <w:i/>
        </w:rPr>
        <w:t>available at</w:t>
      </w:r>
      <w:r w:rsidRPr="002F227B">
        <w:rPr>
          <w:rFonts w:ascii="Times New Roman" w:hAnsi="Times New Roman" w:cs="Times New Roman"/>
        </w:rPr>
        <w:t xml:space="preserve"> https://www.huduser.gov/portal/datasets/usps_crosswalk.html. For ZIP Codes that span multiple MCDs, we aggregate the MCD/ZIP Code-specific demographic estimates across MCDs to the ZIP Code-level.</w:t>
      </w:r>
    </w:p>
  </w:footnote>
  <w:footnote w:id="77">
    <w:p w14:paraId="2053C495" w14:textId="00B439B9"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These include transfers from an outside hospital emergency room, another unit within the same hospital, court/law enforcement, hospice facility, or another institution’s ASC.</w:t>
      </w:r>
    </w:p>
  </w:footnote>
  <w:footnote w:id="78">
    <w:p w14:paraId="52513E3B" w14:textId="34F9644C"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It appears that the inpatient service analyses in the MGH DoN application is not limited to patients living in Massachusetts. As such, MGB’s numbers are often higher than those in our analyses.</w:t>
      </w:r>
    </w:p>
  </w:footnote>
  <w:footnote w:id="79">
    <w:p w14:paraId="0E9EF776" w14:textId="5F9F97D0" w:rsidR="00CF3141" w:rsidRPr="002F227B" w:rsidRDefault="00CF3141" w:rsidP="00335D93">
      <w:pPr>
        <w:pStyle w:val="CommentText"/>
        <w:spacing w:line="240" w:lineRule="auto"/>
        <w:rPr>
          <w:rFonts w:cs="Times New Roman"/>
        </w:rPr>
      </w:pPr>
      <w:r w:rsidRPr="002F227B">
        <w:rPr>
          <w:rStyle w:val="FootnoteReference"/>
          <w:rFonts w:cs="Times New Roman"/>
        </w:rPr>
        <w:footnoteRef/>
      </w:r>
      <w:r w:rsidRPr="002F227B">
        <w:rPr>
          <w:rFonts w:cs="Times New Roman"/>
        </w:rPr>
        <w:t xml:space="preserve"> We rely on the discharge, admitting, and as many secondary diagnosis codes (in the order they are submitted) as necessary to identify four unique diagnosis codes. These diagnosis codes appear in a separate table in the Hospital Inpatient Discharge Data where each record corresponds to a diagnosis code for a given discharge. (The </w:t>
      </w:r>
      <w:r w:rsidRPr="002F227B">
        <w:rPr>
          <w:rFonts w:cs="Times New Roman"/>
          <w:i/>
        </w:rPr>
        <w:t>indicator</w:t>
      </w:r>
      <w:r w:rsidRPr="002F227B">
        <w:rPr>
          <w:rFonts w:cs="Times New Roman"/>
        </w:rPr>
        <w:t xml:space="preserve"> field separately identifies the admitting, discharge, and secondary diagnosis codes and the values in the </w:t>
      </w:r>
      <w:r w:rsidRPr="002F227B">
        <w:rPr>
          <w:rFonts w:cs="Times New Roman"/>
          <w:i/>
        </w:rPr>
        <w:t>associatedindicator</w:t>
      </w:r>
      <w:r w:rsidRPr="002F227B">
        <w:rPr>
          <w:rFonts w:cs="Times New Roman"/>
        </w:rPr>
        <w:t xml:space="preserve"> field corresponds to the order in which the secondary diagnoses are submitted.)</w:t>
      </w:r>
    </w:p>
  </w:footnote>
  <w:footnote w:id="80">
    <w:p w14:paraId="54F5D3E6"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type of bill is reflected in the </w:t>
      </w:r>
      <w:r w:rsidRPr="002F227B">
        <w:rPr>
          <w:rFonts w:ascii="Times New Roman" w:hAnsi="Times New Roman" w:cs="Times New Roman"/>
          <w:i/>
          <w:iCs/>
        </w:rPr>
        <w:t>Type of Bill - on Facility Claims</w:t>
      </w:r>
      <w:r w:rsidRPr="002F227B">
        <w:rPr>
          <w:rFonts w:ascii="Times New Roman" w:hAnsi="Times New Roman" w:cs="Times New Roman"/>
        </w:rPr>
        <w:t xml:space="preserve"> field in the APCD. The type of bill in the Medicare Outpatient File is determined by combining the </w:t>
      </w:r>
      <w:r w:rsidRPr="002F227B">
        <w:rPr>
          <w:rFonts w:ascii="Times New Roman" w:hAnsi="Times New Roman" w:cs="Times New Roman"/>
          <w:i/>
          <w:iCs/>
        </w:rPr>
        <w:t>Claim Facility Type Code</w:t>
      </w:r>
      <w:r w:rsidRPr="002F227B">
        <w:rPr>
          <w:rFonts w:ascii="Times New Roman" w:hAnsi="Times New Roman" w:cs="Times New Roman"/>
        </w:rPr>
        <w:t xml:space="preserve"> field with the </w:t>
      </w:r>
      <w:r w:rsidRPr="002F227B">
        <w:rPr>
          <w:rFonts w:ascii="Times New Roman" w:hAnsi="Times New Roman" w:cs="Times New Roman"/>
          <w:i/>
          <w:iCs/>
        </w:rPr>
        <w:t>Claim Service Classification Type Code</w:t>
      </w:r>
      <w:r w:rsidRPr="002F227B">
        <w:rPr>
          <w:rFonts w:ascii="Times New Roman" w:hAnsi="Times New Roman" w:cs="Times New Roman"/>
        </w:rPr>
        <w:t xml:space="preserve"> field.</w:t>
      </w:r>
    </w:p>
  </w:footnote>
  <w:footnote w:id="81">
    <w:p w14:paraId="75CEFEE9"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place of service is reflected in the </w:t>
      </w:r>
      <w:r w:rsidRPr="002F227B">
        <w:rPr>
          <w:rFonts w:ascii="Times New Roman" w:hAnsi="Times New Roman" w:cs="Times New Roman"/>
          <w:i/>
          <w:iCs/>
        </w:rPr>
        <w:t>Site of Service</w:t>
      </w:r>
      <w:r w:rsidRPr="002F227B">
        <w:rPr>
          <w:rFonts w:ascii="Times New Roman" w:hAnsi="Times New Roman" w:cs="Times New Roman"/>
        </w:rPr>
        <w:t xml:space="preserve"> and </w:t>
      </w:r>
      <w:r w:rsidRPr="002F227B">
        <w:rPr>
          <w:rFonts w:ascii="Times New Roman" w:hAnsi="Times New Roman" w:cs="Times New Roman"/>
          <w:i/>
          <w:iCs/>
        </w:rPr>
        <w:t xml:space="preserve">Place of Service </w:t>
      </w:r>
      <w:r w:rsidRPr="002F227B">
        <w:rPr>
          <w:rFonts w:ascii="Times New Roman" w:hAnsi="Times New Roman" w:cs="Times New Roman"/>
        </w:rPr>
        <w:t>fields in the APCD and Medicare Carrier File, respectively.</w:t>
      </w:r>
    </w:p>
  </w:footnote>
  <w:footnote w:id="82">
    <w:p w14:paraId="2116211D"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facility fees (</w:t>
      </w:r>
      <w:r w:rsidRPr="002F227B">
        <w:rPr>
          <w:rFonts w:ascii="Times New Roman" w:hAnsi="Times New Roman" w:cs="Times New Roman"/>
          <w:i/>
          <w:iCs/>
        </w:rPr>
        <w:t>i.e.</w:t>
      </w:r>
      <w:r w:rsidRPr="002F227B">
        <w:rPr>
          <w:rFonts w:ascii="Times New Roman" w:hAnsi="Times New Roman" w:cs="Times New Roman"/>
        </w:rPr>
        <w:t>, the technical component) associated with diagnostic imaging services provided at these locations are submitted on CMS claim form 1500 (or its electronic equivalent), which is also used for the submission of professional claims. Our analysis excludes the professional fees (</w:t>
      </w:r>
      <w:r w:rsidRPr="002F227B">
        <w:rPr>
          <w:rFonts w:ascii="Times New Roman" w:hAnsi="Times New Roman" w:cs="Times New Roman"/>
          <w:i/>
          <w:iCs/>
        </w:rPr>
        <w:t>i.e</w:t>
      </w:r>
      <w:r w:rsidRPr="002F227B">
        <w:rPr>
          <w:rFonts w:ascii="Times New Roman" w:hAnsi="Times New Roman" w:cs="Times New Roman"/>
        </w:rPr>
        <w:t>., the radiologist’s fee billed with modifier 26) associated with claims from these locations.</w:t>
      </w:r>
    </w:p>
  </w:footnote>
  <w:footnote w:id="83">
    <w:p w14:paraId="289469F4"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do not treat vascular CPTs as part of cardiovascular in our analyses.</w:t>
      </w:r>
    </w:p>
  </w:footnote>
  <w:footnote w:id="84">
    <w:p w14:paraId="2869758B" w14:textId="0EFDBDDC"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rely on the same set of diagnosis codes as in our analysis of inpatient oncology services.</w:t>
      </w:r>
    </w:p>
  </w:footnote>
  <w:footnote w:id="85">
    <w:p w14:paraId="12C67ED7" w14:textId="5EB44BC9"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In the Medicare claims data, </w:t>
      </w:r>
      <w:r w:rsidRPr="002F227B">
        <w:rPr>
          <w:rFonts w:ascii="Times New Roman" w:hAnsi="Times New Roman" w:cs="Times New Roman"/>
          <w:i/>
        </w:rPr>
        <w:t>Claim Diagnosis Code I</w:t>
      </w:r>
      <w:r w:rsidRPr="002F227B">
        <w:rPr>
          <w:rFonts w:ascii="Times New Roman" w:hAnsi="Times New Roman" w:cs="Times New Roman"/>
        </w:rPr>
        <w:t xml:space="preserve"> is also the </w:t>
      </w:r>
      <w:r w:rsidRPr="002F227B">
        <w:rPr>
          <w:rFonts w:ascii="Times New Roman" w:hAnsi="Times New Roman" w:cs="Times New Roman"/>
          <w:i/>
        </w:rPr>
        <w:t>Principal Diagnosis Code</w:t>
      </w:r>
      <w:r w:rsidRPr="002F227B">
        <w:rPr>
          <w:rFonts w:ascii="Times New Roman" w:hAnsi="Times New Roman" w:cs="Times New Roman"/>
        </w:rPr>
        <w:t>.</w:t>
      </w:r>
    </w:p>
  </w:footnote>
  <w:footnote w:id="86">
    <w:p w14:paraId="1B7B3853" w14:textId="48B44618"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Certain oncology-related diagnosis codes could not be assigned to a body part.</w:t>
      </w:r>
    </w:p>
  </w:footnote>
  <w:footnote w:id="87">
    <w:p w14:paraId="4A33E5F4"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While the proposed project includes the addition of a PET/MR unit at MGH, the APCD and Medicare Claims reflect claims for 2018 and we understand that in 2018 there were no operational PET/MR units in Massachusetts.</w:t>
      </w:r>
    </w:p>
  </w:footnote>
  <w:footnote w:id="88">
    <w:p w14:paraId="3582E780" w14:textId="45DE860F"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CHIA, “Relative Price and Provider Price Variation,” </w:t>
      </w:r>
      <w:r w:rsidRPr="002F227B">
        <w:rPr>
          <w:rFonts w:ascii="Times New Roman" w:hAnsi="Times New Roman" w:cs="Times New Roman"/>
          <w:i/>
        </w:rPr>
        <w:t>available at</w:t>
      </w:r>
      <w:r w:rsidRPr="002F227B">
        <w:rPr>
          <w:rFonts w:ascii="Times New Roman" w:hAnsi="Times New Roman" w:cs="Times New Roman"/>
        </w:rPr>
        <w:t xml:space="preserve"> https://www.chiamass.gov/relative-price-and-provider-price-variation/.</w:t>
      </w:r>
    </w:p>
  </w:footnote>
  <w:footnote w:id="89">
    <w:p w14:paraId="7B05F914" w14:textId="5EADBA6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To calculate the overall reimbursement rate for a given outpatient service, facility, payor, and insurance type combination, we restrict the set of reimbursements to those we could assign an Original Medicare payment. For example, suppose a facility received $10,000 in reimbursements for CT scans performed on enrollees in BCBS-MA commercial health plans, but we can only assign an Original Medicare reimbursement rate to claims underlying $9,000 of the $10,000 in reimbursements. The overall reimbursement rate then equals the ratio of these restricted reimbursements (</w:t>
      </w:r>
      <w:r w:rsidRPr="002F227B">
        <w:rPr>
          <w:rFonts w:ascii="Times New Roman" w:hAnsi="Times New Roman" w:cs="Times New Roman"/>
          <w:i/>
        </w:rPr>
        <w:t xml:space="preserve">e.g., </w:t>
      </w:r>
      <w:r w:rsidRPr="002F227B">
        <w:rPr>
          <w:rFonts w:ascii="Times New Roman" w:hAnsi="Times New Roman" w:cs="Times New Roman"/>
        </w:rPr>
        <w:t>$9,000) to what Original Medicare would have paid the facility for the same set of claims. If Original Medicare would have reimbursed the facility $6,000 for the $9,000 in CT scan claims BCBS-MA reimbursed the facility, the overall CT scans reimbursement rate for the facility, payor, and insurance type combination would be 1.50 (= $9,000 / $6,000).</w:t>
      </w:r>
    </w:p>
  </w:footnote>
  <w:footnote w:id="90">
    <w:p w14:paraId="3835287C" w14:textId="5367437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Addendum B indicates the rates that Original Medicare pays for services in HOPDs and not the rates paid for services provided at other types of facilities. However, expressing prices as a ratio to the HOPD rate allows us to capture differences in the relative prices across facilities. To remove potential outliers, we exclude claims with charges relative to Original Medicare payments that fall into the top and bottom five percent of claims, separately for each service line (</w:t>
      </w:r>
      <w:r w:rsidRPr="002F227B">
        <w:rPr>
          <w:rFonts w:ascii="Times New Roman" w:hAnsi="Times New Roman" w:cs="Times New Roman"/>
          <w:i/>
        </w:rPr>
        <w:t>e.g</w:t>
      </w:r>
      <w:r w:rsidRPr="002F227B">
        <w:rPr>
          <w:rFonts w:ascii="Times New Roman" w:hAnsi="Times New Roman" w:cs="Times New Roman"/>
          <w:i/>
          <w:iCs/>
        </w:rPr>
        <w:t>.,</w:t>
      </w:r>
      <w:r w:rsidRPr="002F227B">
        <w:rPr>
          <w:rFonts w:ascii="Times New Roman" w:hAnsi="Times New Roman" w:cs="Times New Roman"/>
        </w:rPr>
        <w:t xml:space="preserve"> outpatient cardiovascular).</w:t>
      </w:r>
    </w:p>
  </w:footnote>
  <w:footnote w:id="91">
    <w:p w14:paraId="6AC4CB2E" w14:textId="0DE16DC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While we are not aware of any study that compares MassHealth managed care rates with MassHealth non-managed care rates, a related study documents that Medicare Advantage rates are similar to Original Medicare’s fee schedule amounts. (Robert A. Berenson, Jonathan H. Sunshine, David Helms, and Emily Lawton. “Why Medicare Advantage Plans Pay Hospitals Traditional Medicare Prices.” </w:t>
      </w:r>
      <w:r w:rsidRPr="002F227B">
        <w:rPr>
          <w:rFonts w:ascii="Times New Roman" w:hAnsi="Times New Roman" w:cs="Times New Roman"/>
          <w:i/>
          <w:iCs/>
        </w:rPr>
        <w:t>Health Affairs</w:t>
      </w:r>
      <w:r w:rsidRPr="002F227B">
        <w:rPr>
          <w:rFonts w:ascii="Times New Roman" w:hAnsi="Times New Roman" w:cs="Times New Roman"/>
        </w:rPr>
        <w:t xml:space="preserve"> (2015).)</w:t>
      </w:r>
    </w:p>
  </w:footnote>
  <w:footnote w:id="92">
    <w:p w14:paraId="207298E7" w14:textId="4F39EC4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MassHealth: Payment for In-State Acute Hospital Services and Out-of-State Acute Hospital Services, effective November 1, 2021. p. 7, </w:t>
      </w:r>
      <w:r w:rsidRPr="002F227B">
        <w:rPr>
          <w:rFonts w:ascii="Times New Roman" w:hAnsi="Times New Roman" w:cs="Times New Roman"/>
          <w:i/>
          <w:iCs/>
        </w:rPr>
        <w:t>available at</w:t>
      </w:r>
      <w:r w:rsidRPr="002F227B">
        <w:rPr>
          <w:rFonts w:ascii="Times New Roman" w:hAnsi="Times New Roman" w:cs="Times New Roman"/>
        </w:rPr>
        <w:t xml:space="preserve"> https://www.mass.gov/doc/notice-of-final-agency-action-masshealth-payment-for-in-state-acute-hospital-services-and-out-of-state-acute-hospital-services-effective-november-1-2021-0.</w:t>
      </w:r>
    </w:p>
  </w:footnote>
  <w:footnote w:id="93">
    <w:p w14:paraId="631C959E" w14:textId="07A2E0F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MassHealth: Payment for In-State Acute Hospital Services and Out-of-State Acute Hospital Services, effective November 1, 2021. Attachment B, </w:t>
      </w:r>
      <w:r w:rsidRPr="002F227B">
        <w:rPr>
          <w:rFonts w:ascii="Times New Roman" w:hAnsi="Times New Roman" w:cs="Times New Roman"/>
          <w:i/>
          <w:iCs/>
        </w:rPr>
        <w:t>available at</w:t>
      </w:r>
      <w:r w:rsidRPr="002F227B">
        <w:rPr>
          <w:rFonts w:ascii="Times New Roman" w:hAnsi="Times New Roman" w:cs="Times New Roman"/>
        </w:rPr>
        <w:t xml:space="preserve"> https://www.mass.gov/doc/notice-of-final-agency-action-masshealth-payment-for-in-state-acute-hospital-services-and-out-of-state-acute-hospital-services-effective-november-1-2021-0.</w:t>
      </w:r>
    </w:p>
  </w:footnote>
  <w:footnote w:id="94">
    <w:p w14:paraId="79F462E0" w14:textId="30C7197A"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To calculate the specific payment for each in-state discharge, the base payment for the hospital is multiplied by the MassHealth DRG relative weight assigned to each discharge. This discharge specific weight scales up (or down) the base payment to account for differences in the cost of treatment associated with each All Patients Refined-DRG. To compare relative rates between hospitals this final scaling is not necessary.</w:t>
      </w:r>
    </w:p>
  </w:footnote>
  <w:footnote w:id="95">
    <w:p w14:paraId="3EBBEF11"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MassHealth: Payment for In-State Acute Hospital Services and Out-of-State Acute Hospital Services, effective November 1, 2021. pp. 10-11, </w:t>
      </w:r>
      <w:r w:rsidRPr="002F227B">
        <w:rPr>
          <w:rFonts w:ascii="Times New Roman" w:hAnsi="Times New Roman" w:cs="Times New Roman"/>
          <w:i/>
        </w:rPr>
        <w:t>available at</w:t>
      </w:r>
      <w:r w:rsidRPr="002F227B">
        <w:rPr>
          <w:rFonts w:ascii="Times New Roman" w:hAnsi="Times New Roman" w:cs="Times New Roman"/>
        </w:rPr>
        <w:t xml:space="preserve"> https://www.mass.gov/doc/notice-of-final-agency-action-masshealth-payment-for-in-state-acute-hospital-services-and-out-of-state-acute-hospital-services-effective-november-1-2021-0.</w:t>
      </w:r>
    </w:p>
  </w:footnote>
  <w:footnote w:id="96">
    <w:p w14:paraId="6AF287BF" w14:textId="73070635"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MassHealth: Payment for In-State Acute Hospital Services and Out-of-State Acute Hospital Services, effective November 1, 2021. p. 57, </w:t>
      </w:r>
      <w:r w:rsidRPr="002F227B">
        <w:rPr>
          <w:rFonts w:ascii="Times New Roman" w:hAnsi="Times New Roman" w:cs="Times New Roman"/>
          <w:i/>
        </w:rPr>
        <w:t>available at</w:t>
      </w:r>
      <w:r w:rsidRPr="002F227B">
        <w:rPr>
          <w:rFonts w:ascii="Times New Roman" w:hAnsi="Times New Roman" w:cs="Times New Roman"/>
        </w:rPr>
        <w:t xml:space="preserve"> https://www.mass.gov/doc/notice-of-final-agency-action-masshealth-payment-for-in-state-acute-hospital-services-and-out-of-state-acute-hospital-services-effective-november-1-2021-0. </w:t>
      </w:r>
    </w:p>
    <w:p w14:paraId="63AD1E77" w14:textId="0607C821" w:rsidR="00CF3141" w:rsidRPr="002F227B" w:rsidRDefault="00CF3141" w:rsidP="00335D93">
      <w:pPr>
        <w:pStyle w:val="FootnoteText"/>
        <w:ind w:firstLine="720"/>
        <w:rPr>
          <w:rFonts w:ascii="Times New Roman" w:hAnsi="Times New Roman" w:cs="Times New Roman"/>
        </w:rPr>
      </w:pPr>
      <w:r w:rsidRPr="002F227B">
        <w:rPr>
          <w:rFonts w:ascii="Times New Roman" w:hAnsi="Times New Roman" w:cs="Times New Roman"/>
        </w:rPr>
        <w:t>To calculate the specific payment for each in-state outpatient episode of care, a wage adjusted outpatient standard amount is multiplied by the MassHealth Enhanced Ambulatory Patient Group (“EAPG”) relative weight assigned to each claim line and the result is aggregated to the episode level. This EAPG specific weight scales up (or down) the wage adjusted outpatient standard amount to account for differences in the cost of treatment associated with each EAPG. To compare relative rates for outpatient services between hospitals this final scaling is not necessary. We do not adjust the standardized amount to account for hospitals wage areas as this would necessitate identifying the wage rate for every individual facility in the APCD data.</w:t>
      </w:r>
    </w:p>
  </w:footnote>
  <w:footnote w:id="97">
    <w:p w14:paraId="3012217D"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Rates for Radiology Services (effective August 1, 2021), </w:t>
      </w:r>
      <w:r w:rsidRPr="002F227B">
        <w:rPr>
          <w:rFonts w:ascii="Times New Roman" w:hAnsi="Times New Roman" w:cs="Times New Roman"/>
          <w:i/>
        </w:rPr>
        <w:t>available at</w:t>
      </w:r>
      <w:r w:rsidRPr="002F227B">
        <w:rPr>
          <w:rFonts w:ascii="Times New Roman" w:hAnsi="Times New Roman" w:cs="Times New Roman"/>
        </w:rPr>
        <w:t xml:space="preserve"> https://www.mass.gov/doc/rates-for-radiology-services-effective-august-1-2021-0, p. 1. </w:t>
      </w:r>
    </w:p>
  </w:footnote>
  <w:footnote w:id="98">
    <w:p w14:paraId="7F6A8235" w14:textId="79EF2CE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Shifts from ASCs to HOPDs by MassHealth non-managed care patients incur a corresponding increase in cost.</w:t>
      </w:r>
    </w:p>
  </w:footnote>
  <w:footnote w:id="99">
    <w:p w14:paraId="4AF0AFE8" w14:textId="0FCB18E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Rates to individual hospitals may vary due to local variation in labor or capital costs, graduate medical education, or having a disproportionately high share of low-income patients among other adjustments.</w:t>
      </w:r>
    </w:p>
  </w:footnote>
  <w:footnote w:id="100">
    <w:p w14:paraId="16A314D1" w14:textId="42A1363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To calculate the specific payment for each discharge, the base payment is multiplied by the DRG weight that is assigned to each discharge. This discharge specific weight scales up (or down) the base payment to account for differences in the cost of treatment associated with each DRG. To compare relative rates between hospitals this final scaling is not necessary.</w:t>
      </w:r>
    </w:p>
  </w:footnote>
  <w:footnote w:id="101">
    <w:p w14:paraId="500379D5" w14:textId="35C3527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MedPAC Payment Basics, “Outpatient Hospital Services Payment System,” (Revised: November 2021), </w:t>
      </w:r>
      <w:r w:rsidRPr="002F227B">
        <w:rPr>
          <w:rFonts w:ascii="Times New Roman" w:hAnsi="Times New Roman" w:cs="Times New Roman"/>
          <w:i/>
        </w:rPr>
        <w:t>available at</w:t>
      </w:r>
      <w:r w:rsidRPr="002F227B">
        <w:rPr>
          <w:rFonts w:ascii="Times New Roman" w:hAnsi="Times New Roman" w:cs="Times New Roman"/>
        </w:rPr>
        <w:t xml:space="preserve"> https://www.medpac.gov/wp-content/uploads/2021/11/medpac_payment_basics_21_opd_final_sec.pdf.</w:t>
      </w:r>
    </w:p>
  </w:footnote>
  <w:footnote w:id="102">
    <w:p w14:paraId="388E0B5C" w14:textId="44AFE7B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CMS, FY 2019 Final Rule and Correction Notice Data Files, </w:t>
      </w:r>
      <w:r w:rsidRPr="002F227B">
        <w:rPr>
          <w:rFonts w:ascii="Times New Roman" w:hAnsi="Times New Roman" w:cs="Times New Roman"/>
          <w:i/>
          <w:iCs/>
        </w:rPr>
        <w:t>available at</w:t>
      </w:r>
      <w:r w:rsidRPr="002F227B">
        <w:rPr>
          <w:rFonts w:ascii="Times New Roman" w:hAnsi="Times New Roman" w:cs="Times New Roman"/>
        </w:rPr>
        <w:t xml:space="preserve"> https://www.cms.gov/Medicare/Medicare-Fee-for-Service-Payment/AcuteInpatientPPS/FY2019-IPPS-Final-Rule-Home-Page-Items/FY2019-IPPS-Final-Rule-Data-Files.</w:t>
      </w:r>
    </w:p>
  </w:footnote>
  <w:footnote w:id="103">
    <w:p w14:paraId="0E0435EA" w14:textId="646882CF"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MedPAC Payment Basics, “Ambulatory Surgical Center Services Payment System,” (Revised: November 2021), </w:t>
      </w:r>
      <w:r w:rsidRPr="002F227B">
        <w:rPr>
          <w:rFonts w:ascii="Times New Roman" w:hAnsi="Times New Roman" w:cs="Times New Roman"/>
          <w:i/>
        </w:rPr>
        <w:t xml:space="preserve">available at </w:t>
      </w:r>
      <w:r w:rsidRPr="002F227B">
        <w:rPr>
          <w:rFonts w:ascii="Times New Roman" w:hAnsi="Times New Roman" w:cs="Times New Roman"/>
        </w:rPr>
        <w:t>https://www.medpac.gov/wp-content/uploads/2021/11/medpac_payment_basics_21_asc_</w:t>
      </w:r>
      <w:r w:rsidRPr="002F227B">
        <w:rPr>
          <w:rFonts w:ascii="Times New Roman" w:hAnsi="Times New Roman" w:cs="Times New Roman"/>
        </w:rPr>
        <w:br/>
        <w:t>final_sec.pdf, p. 1.</w:t>
      </w:r>
    </w:p>
  </w:footnote>
  <w:footnote w:id="104">
    <w:p w14:paraId="7E1CE18B" w14:textId="77C66799"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share of patients with MassHealth non-managed care coverage may differ substantially for the inpatient and outpatient services. This is largely due to the Hospital Inpatient Discharge Database (used for inpatient services) and APCD (used for outpatient services) classifying primary payors differently: The Hospital Inpatient Discharge Database nearly always assigns MassHealth non-managed care coverage as the secondary payor if there are two or more payors for a discharge.</w:t>
      </w:r>
    </w:p>
  </w:footnote>
  <w:footnote w:id="105">
    <w:p w14:paraId="5DA48CE3" w14:textId="4CAF863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Medicare Severity-DRG relative weight “represents the average resources required to care for cases in that particular DRG, relative to the average resources used to treat cases in all DRGs.” (CMS, “MS-DRG Classifications and Software,” </w:t>
      </w:r>
      <w:r w:rsidRPr="002F227B">
        <w:rPr>
          <w:rFonts w:ascii="Times New Roman" w:hAnsi="Times New Roman" w:cs="Times New Roman"/>
          <w:i/>
          <w:iCs/>
        </w:rPr>
        <w:t xml:space="preserve">available at </w:t>
      </w:r>
      <w:r w:rsidRPr="002F227B">
        <w:rPr>
          <w:rFonts w:ascii="Times New Roman" w:hAnsi="Times New Roman" w:cs="Times New Roman"/>
        </w:rPr>
        <w:t>https://www.cms.gov/Medicare/Medicare-Fee-for-Service-Payment/AcuteInpatientPPS/MS-DRG-Classifications-and-Software.)</w:t>
      </w:r>
    </w:p>
  </w:footnote>
  <w:footnote w:id="106">
    <w:p w14:paraId="7CFB5B77" w14:textId="1A5B47C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Figure MGH2 identifies GAC hospitals in the mapped geographic area based on information obtained from Massachusetts DPH’s directory of licensed healthcare facilities available at https://www.mass.gov/doc/list-of-health-care-facilities-licensed-or-certified-by-the-division/download. The map excludes closed hospitals and facilities that have transitioned away from providing acute care services (</w:t>
      </w:r>
      <w:r w:rsidRPr="002F227B">
        <w:rPr>
          <w:rFonts w:ascii="Times New Roman" w:hAnsi="Times New Roman" w:cs="Times New Roman"/>
          <w:i/>
        </w:rPr>
        <w:t>See</w:t>
      </w:r>
      <w:r w:rsidRPr="002F227B">
        <w:rPr>
          <w:rFonts w:ascii="Times New Roman" w:hAnsi="Times New Roman" w:cs="Times New Roman"/>
        </w:rPr>
        <w:t xml:space="preserve"> Section </w:t>
      </w:r>
      <w:r w:rsidRPr="002F227B">
        <w:rPr>
          <w:rFonts w:ascii="Times New Roman" w:hAnsi="Times New Roman" w:cs="Times New Roman"/>
        </w:rPr>
        <w:fldChar w:fldCharType="begin"/>
      </w:r>
      <w:r w:rsidRPr="002F227B">
        <w:rPr>
          <w:rFonts w:ascii="Times New Roman" w:hAnsi="Times New Roman" w:cs="Times New Roman"/>
        </w:rPr>
        <w:instrText xml:space="preserve"> REF _Ref88655817 \r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III</w:t>
      </w:r>
      <w:r w:rsidRPr="002F227B">
        <w:rPr>
          <w:rFonts w:ascii="Times New Roman" w:hAnsi="Times New Roman" w:cs="Times New Roman"/>
        </w:rPr>
        <w:fldChar w:fldCharType="end"/>
      </w:r>
      <w:r w:rsidRPr="002F227B">
        <w:rPr>
          <w:rFonts w:ascii="Times New Roman" w:hAnsi="Times New Roman" w:cs="Times New Roman"/>
        </w:rPr>
        <w:t>.</w:t>
      </w:r>
      <w:r w:rsidRPr="002F227B">
        <w:rPr>
          <w:rFonts w:ascii="Times New Roman" w:hAnsi="Times New Roman" w:cs="Times New Roman"/>
        </w:rPr>
        <w:fldChar w:fldCharType="begin"/>
      </w:r>
      <w:r w:rsidRPr="002F227B">
        <w:rPr>
          <w:rFonts w:ascii="Times New Roman" w:hAnsi="Times New Roman" w:cs="Times New Roman"/>
        </w:rPr>
        <w:instrText xml:space="preserve"> REF _Ref88594712 \r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A</w:t>
      </w:r>
      <w:r w:rsidRPr="002F227B">
        <w:rPr>
          <w:rFonts w:ascii="Times New Roman" w:hAnsi="Times New Roman" w:cs="Times New Roman"/>
        </w:rPr>
        <w:fldChar w:fldCharType="end"/>
      </w:r>
      <w:r w:rsidRPr="002F227B">
        <w:rPr>
          <w:rFonts w:ascii="Times New Roman" w:hAnsi="Times New Roman" w:cs="Times New Roman"/>
        </w:rPr>
        <w:t>.</w:t>
      </w:r>
      <w:r w:rsidRPr="002F227B">
        <w:rPr>
          <w:rFonts w:ascii="Times New Roman" w:hAnsi="Times New Roman" w:cs="Times New Roman"/>
        </w:rPr>
        <w:fldChar w:fldCharType="begin"/>
      </w:r>
      <w:r w:rsidRPr="002F227B">
        <w:rPr>
          <w:rFonts w:ascii="Times New Roman" w:hAnsi="Times New Roman" w:cs="Times New Roman"/>
        </w:rPr>
        <w:instrText xml:space="preserve"> REF _Ref88579647 \r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1</w:t>
      </w:r>
      <w:r w:rsidRPr="002F227B">
        <w:rPr>
          <w:rFonts w:ascii="Times New Roman" w:hAnsi="Times New Roman" w:cs="Times New Roman"/>
        </w:rPr>
        <w:fldChar w:fldCharType="end"/>
      </w:r>
      <w:r w:rsidRPr="002F227B">
        <w:rPr>
          <w:rFonts w:ascii="Times New Roman" w:hAnsi="Times New Roman" w:cs="Times New Roman"/>
        </w:rPr>
        <w:t>). MGB’s GAC hospitals are separately labeled on the map: BWH = Brigham and Women’s Hospital, BWFH = Brigham and Women’s Faulkner Hospital, MEE = Mass Eye and Ear, NWH = Newton-Wellesley Hospital, and SH = Salem Hospital (formerly North Shore Medical Center).</w:t>
      </w:r>
    </w:p>
  </w:footnote>
  <w:footnote w:id="107">
    <w:p w14:paraId="7836D701" w14:textId="23692CF9"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This figure uses the 2019 Hospital Inpatient Discharge Database.</w:t>
      </w:r>
    </w:p>
  </w:footnote>
  <w:footnote w:id="108">
    <w:p w14:paraId="4A706B78" w14:textId="54398A4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2019 discharges reported in Figure MGH3 are slightly lower than those reported in Figure MGH1 because the latter includes discharges with unknown MDCs and unknown patient gender. We retain these discharges in Figure MGH1 so that the patient panels capture MGH’s patient characteristics more completely</w:t>
      </w:r>
    </w:p>
  </w:footnote>
  <w:footnote w:id="109">
    <w:p w14:paraId="7A29E64B"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 10.</w:t>
      </w:r>
    </w:p>
  </w:footnote>
  <w:footnote w:id="110">
    <w:p w14:paraId="2A0FAD09" w14:textId="77A047AF"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Bed Summary Response, p. 3. </w:t>
      </w:r>
    </w:p>
  </w:footnote>
  <w:footnote w:id="111">
    <w:p w14:paraId="236ED998" w14:textId="53DA82E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Bed Summary Response, p. 2. </w:t>
      </w:r>
    </w:p>
  </w:footnote>
  <w:footnote w:id="112">
    <w:p w14:paraId="60B44C13" w14:textId="3EA0AC4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Bed Summary Response, p. 2.</w:t>
      </w:r>
    </w:p>
  </w:footnote>
  <w:footnote w:id="113">
    <w:p w14:paraId="6AEAA4AF" w14:textId="27F906D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Bed Summary Response, p. 2. </w:t>
      </w:r>
    </w:p>
  </w:footnote>
  <w:footnote w:id="114">
    <w:p w14:paraId="00C00E2F" w14:textId="1A734C0F"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2019 discharges reported in Figure MGH4 are slightly lower than those reported in Figure MGH1 because the latter includes discharges with unknown MDCs and unknown patient gender. We retain these discharges in Figure MGH1 so that the patient panels capture the characteristics of patients residing in MGH’s 75 percent service area more completely.</w:t>
      </w:r>
    </w:p>
  </w:footnote>
  <w:footnote w:id="115">
    <w:p w14:paraId="0ED65476" w14:textId="6B199F9C"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determine MGH’s service area for outpatient cardiovascular services specifically. As such, this area differs from the hospital’s 75 percent service area for inpatient services, which we discussed previously. In subsequent analyses we calculate separate service areas for outpatient oncology services and for outpatient diagnostic imaging services at the hospital. </w:t>
      </w:r>
    </w:p>
  </w:footnote>
  <w:footnote w:id="116">
    <w:p w14:paraId="67756F48" w14:textId="03CA57C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t>
      </w:r>
      <w:bookmarkStart w:id="75" w:name="_Hlk89071270"/>
      <w:r w:rsidRPr="002F227B">
        <w:rPr>
          <w:rFonts w:ascii="Times New Roman" w:hAnsi="Times New Roman" w:cs="Times New Roman"/>
        </w:rPr>
        <w:t xml:space="preserve">Figure MGH6 shows MGH’s 75 percent service area for outpatient cardiovascular services. The map is limited to facilities that provided at least 300 outpatient cardiovascular visits in the 2018 APCD and Medicare Claims data after applying the aforementioned exclusions. </w:t>
      </w:r>
      <w:bookmarkEnd w:id="75"/>
    </w:p>
  </w:footnote>
  <w:footnote w:id="117">
    <w:p w14:paraId="68D77A16" w14:textId="1199B8D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Figure MGH8 shows MGH’s 75 percent service area for outpatient oncology services. The map is limited to facilities that provided at least 300 outpatient oncology visits in the 2018 APCD and Medicare Claims data after applying the aforementioned exclusions. </w:t>
      </w:r>
    </w:p>
  </w:footnote>
  <w:footnote w:id="118">
    <w:p w14:paraId="343FD2B5"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understand that in 2018 there were no operational PET/MR units in Massachusetts.</w:t>
      </w:r>
    </w:p>
  </w:footnote>
  <w:footnote w:id="119">
    <w:p w14:paraId="1E4BD9EA" w14:textId="7E8B6CA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Figure MGH10 shows MGH’s 75 percent service area for outpatient advanced diagnostic imaging visits (CT, MRI, PET/CT). The map is limited to facilities that provided at least 300 diagnostic imaging scans in the 018 APCD and Medicare Claims data after applying the aforementioned exclusions. </w:t>
      </w:r>
    </w:p>
  </w:footnote>
  <w:footnote w:id="120">
    <w:p w14:paraId="770D6BD2" w14:textId="28747F1A"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For example, MGH discharged 22 female patients from ZIP Code 02155 in the 45-49 age group. According to the UMDI projections, this demographic group will grow by 20 percent between 2020 and 2025 and by 45 percent between 2020 and 2030. Therefore, we predict that MGH will discharge 26 female patients from ZIP Code 02155 in the 45-49 age group in 2025 and 32 in 2030.</w:t>
      </w:r>
    </w:p>
  </w:footnote>
  <w:footnote w:id="121">
    <w:p w14:paraId="2DD33A09" w14:textId="70249B3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perform the same analysis for patients living within MGH’s 75 percent service area who sought inpatient services at any hospital in Massachusetts to measure total projected demand for inpatient services for patients residing in MGH’s service area. These growth rates are similar to the growth rates we project for MGH itself. For patients residing within MGH’s 75 percent service area, we project a growth rate from 2019 to 2030 of 19 percent and 20 percent for total discharges and patient days, respectively. For cancer and heart and vascular services patient days, we project growth rates of 19 percent and 23 percent, respectively.</w:t>
      </w:r>
    </w:p>
  </w:footnote>
  <w:footnote w:id="122">
    <w:p w14:paraId="0B9252BD" w14:textId="036CD9E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pp. 16, 18, 21, and 23.</w:t>
      </w:r>
    </w:p>
  </w:footnote>
  <w:footnote w:id="123">
    <w:p w14:paraId="2E3F5897" w14:textId="75F1153A"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Attachment C - Revised MGH Bed Allocation FY29.docx [hereinafter, Updated MGH Bed Summary Response].</w:t>
      </w:r>
    </w:p>
  </w:footnote>
  <w:footnote w:id="124">
    <w:p w14:paraId="4847608E" w14:textId="23E7C51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Updated MGH Bed Summary Response.</w:t>
      </w:r>
    </w:p>
  </w:footnote>
  <w:footnote w:id="125">
    <w:p w14:paraId="54DBC491" w14:textId="2186F33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APCD data we use for these analyses may not include claims for all self-insured commercial health plans. As such, our estimates of the number of outpatient procedures currently provided by MGH is likely understated. </w:t>
      </w:r>
    </w:p>
  </w:footnote>
  <w:footnote w:id="126">
    <w:p w14:paraId="66318D58" w14:textId="086C469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For example, MGH performed 24 outpatient MR scans on men aged 55-59 from ZIP Code 02446 in 2018. According to the UMass Donahue Population Projection, this demographic group is predicted to grow two percent through 2025 and 11 percent through 2030. Therefore, we predict that MGH will perform 24.5 outpatient MR scans on this group in 2025 and 26.6 outpatient MR scans on this group in 2030. </w:t>
      </w:r>
    </w:p>
  </w:footnote>
  <w:footnote w:id="127">
    <w:p w14:paraId="21167093" w14:textId="15F9C42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perform the same analysis for patients living within MGH’s 75 percent service area who sought outpatient services from any provider in Massachusetts to measure total projected demand for outpatient services for patients residing in MGH’s service area. For each of the outpatient services, the growth rates are similar to the growth rates we project for MGH itself. For patients residing within MGH’s 75 percent service area, we project growth rates from 2018 to 2030 of 17 percent (CT scans), 13 percent (MR scans), and 23 percent (PET/CT scans). For cardiovascular and oncology services, we project growth rates of 21 percent and 18 percent, respectively.</w:t>
      </w:r>
    </w:p>
  </w:footnote>
  <w:footnote w:id="128">
    <w:p w14:paraId="6270C5B2" w14:textId="234F732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pp. 18-26. </w:t>
      </w:r>
    </w:p>
  </w:footnote>
  <w:footnote w:id="129">
    <w:p w14:paraId="5FC7195A" w14:textId="203AFF1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pp. 1-2. </w:t>
      </w:r>
    </w:p>
  </w:footnote>
  <w:footnote w:id="130">
    <w:p w14:paraId="0F473BA6" w14:textId="259B5D6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 24.</w:t>
      </w:r>
    </w:p>
  </w:footnote>
  <w:footnote w:id="131">
    <w:p w14:paraId="3296DBF9" w14:textId="69847FC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 25.</w:t>
      </w:r>
    </w:p>
  </w:footnote>
  <w:footnote w:id="132">
    <w:p w14:paraId="2E5C7FBA" w14:textId="375714E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pp. 25-26.</w:t>
      </w:r>
    </w:p>
  </w:footnote>
  <w:footnote w:id="133">
    <w:p w14:paraId="6C7982D3" w14:textId="558D64E9"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 22.</w:t>
      </w:r>
    </w:p>
  </w:footnote>
  <w:footnote w:id="134">
    <w:p w14:paraId="3A8070F0" w14:textId="58469E6C"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pp. 20-21.</w:t>
      </w:r>
    </w:p>
  </w:footnote>
  <w:footnote w:id="135">
    <w:p w14:paraId="5F345D72" w14:textId="77777777" w:rsidR="00CF3141" w:rsidRPr="002F227B" w:rsidRDefault="00CF3141" w:rsidP="00335D93">
      <w:pPr>
        <w:pStyle w:val="FootnoteText"/>
        <w:rPr>
          <w:rFonts w:ascii="Times New Roman" w:hAnsi="Times New Roman" w:cs="Times New Roman"/>
          <w:i/>
          <w:iCs/>
        </w:rPr>
      </w:pPr>
      <w:r w:rsidRPr="002F227B">
        <w:rPr>
          <w:rStyle w:val="FootnoteReference"/>
          <w:rFonts w:ascii="Times New Roman" w:hAnsi="Times New Roman" w:cs="Times New Roman"/>
        </w:rPr>
        <w:footnoteRef/>
      </w:r>
      <w:r w:rsidRPr="002F227B">
        <w:rPr>
          <w:rFonts w:ascii="Times New Roman" w:hAnsi="Times New Roman" w:cs="Times New Roman"/>
        </w:rPr>
        <w:t xml:space="preserve"> Devesh Raval, Ted Rosenbaum, and Steven A Tenn. “A Semiparametric Discrete Choice Model: An Application to Hospital Mergers.” </w:t>
      </w:r>
      <w:r w:rsidRPr="002F227B">
        <w:rPr>
          <w:rFonts w:ascii="Times New Roman" w:hAnsi="Times New Roman" w:cs="Times New Roman"/>
          <w:i/>
          <w:iCs/>
        </w:rPr>
        <w:t>Economic Inquiry</w:t>
      </w:r>
      <w:r w:rsidRPr="002F227B">
        <w:rPr>
          <w:rFonts w:ascii="Times New Roman" w:hAnsi="Times New Roman" w:cs="Times New Roman"/>
        </w:rPr>
        <w:t xml:space="preserve"> (2017).</w:t>
      </w:r>
      <w:r w:rsidRPr="002F227B">
        <w:rPr>
          <w:rFonts w:ascii="Times New Roman" w:hAnsi="Times New Roman" w:cs="Times New Roman"/>
          <w:i/>
          <w:iCs/>
        </w:rPr>
        <w:t xml:space="preserve"> </w:t>
      </w:r>
    </w:p>
  </w:footnote>
  <w:footnote w:id="136">
    <w:p w14:paraId="76F1D672" w14:textId="6750833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More specifically, patient preferences in our model of demand for inpatient hospital services depend on (i) the patient’s county and ZIP Code of residence; (ii) the DRG or MDC associated with the patient’s care; (iii) whether the admission is for surgical care or an emergency admission; (iv) the quartile of the DRG relative weight associated with the admission; (v) the patient’s health insurance coverage (commercial, Original Medicare, Medicare health plan, MassHealth non-managed care, MassHealth managed care, or other types of coverage such as self-pay); (vi) gender; and (vii) age category (18-45, 46-62, and 63 and older).</w:t>
      </w:r>
    </w:p>
  </w:footnote>
  <w:footnote w:id="137">
    <w:p w14:paraId="36BCD32B"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use a “semi-parametric” method to estimate demand that does not require that we explicitly specify the hospital characteristics that affect patients’ preferences. Instead, we assume that patients’ preferences within each group are determined by a semi-parametric logit demand model. Then, for each hospital, the method estimates one parameter for each group of patients that measures the overall attractiveness of that hospital to that group of patients. This parameter implicitly reflects all the characteristics of that hospital that affect the preferences of patients in that group.</w:t>
      </w:r>
    </w:p>
  </w:footnote>
  <w:footnote w:id="138">
    <w:p w14:paraId="04FDE6ED" w14:textId="7E5F1F6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use an iterative procedure to allocate patients into groups subject to a minimum group size of 20 discharges. When possible, the procedure allocates patients into the most granular category, </w:t>
      </w:r>
      <w:r w:rsidRPr="002F227B">
        <w:rPr>
          <w:rFonts w:ascii="Times New Roman" w:hAnsi="Times New Roman" w:cs="Times New Roman"/>
          <w:i/>
          <w:iCs/>
        </w:rPr>
        <w:t>e.g.</w:t>
      </w:r>
      <w:r w:rsidRPr="002F227B">
        <w:rPr>
          <w:rFonts w:ascii="Times New Roman" w:hAnsi="Times New Roman" w:cs="Times New Roman"/>
        </w:rPr>
        <w:t xml:space="preserve">, male patients aged 18-44 with commercial insurance coverage who reside in ZIP Code 02118 who were admitted to an inpatient hospital for DRG 694 (urinary stones without complications). If there are not 20 such patients who share those characteristics, the iterative procedure allocates patients into broader categories, </w:t>
      </w:r>
      <w:r w:rsidRPr="002F227B">
        <w:rPr>
          <w:rFonts w:ascii="Times New Roman" w:hAnsi="Times New Roman" w:cs="Times New Roman"/>
          <w:i/>
          <w:iCs/>
        </w:rPr>
        <w:t>e.g.</w:t>
      </w:r>
      <w:r w:rsidRPr="002F227B">
        <w:rPr>
          <w:rFonts w:ascii="Times New Roman" w:hAnsi="Times New Roman" w:cs="Times New Roman"/>
        </w:rPr>
        <w:t>, patients who reside in Suffolk County admitted to an inpatient hospital for MDC 11 (Diseases and Disorders of the Kidney and Urinary Tract).</w:t>
      </w:r>
    </w:p>
  </w:footnote>
  <w:footnote w:id="139">
    <w:p w14:paraId="1B90BE75"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Diversion ratios are commonly used in assessing competition between firms in differentiated product markets. </w:t>
      </w:r>
      <w:r w:rsidRPr="002F227B">
        <w:rPr>
          <w:rFonts w:ascii="Times New Roman" w:hAnsi="Times New Roman" w:cs="Times New Roman"/>
          <w:i/>
        </w:rPr>
        <w:t>See</w:t>
      </w:r>
      <w:r w:rsidRPr="002F227B">
        <w:rPr>
          <w:rFonts w:ascii="Times New Roman" w:hAnsi="Times New Roman" w:cs="Times New Roman"/>
        </w:rPr>
        <w:t xml:space="preserve">, for example, U.S. Department of Justice and the Federal Trade Commission. </w:t>
      </w:r>
      <w:r w:rsidRPr="002F227B">
        <w:rPr>
          <w:rFonts w:ascii="Times New Roman" w:hAnsi="Times New Roman" w:cs="Times New Roman"/>
          <w:i/>
          <w:iCs/>
        </w:rPr>
        <w:t>Horizontal Merger Guidelines</w:t>
      </w:r>
      <w:r w:rsidRPr="002F227B">
        <w:rPr>
          <w:rFonts w:ascii="Times New Roman" w:hAnsi="Times New Roman" w:cs="Times New Roman"/>
        </w:rPr>
        <w:t xml:space="preserve"> (2010)</w:t>
      </w:r>
      <w:r w:rsidRPr="002F227B">
        <w:rPr>
          <w:rFonts w:ascii="Times New Roman" w:hAnsi="Times New Roman" w:cs="Times New Roman"/>
          <w:i/>
          <w:iCs/>
        </w:rPr>
        <w:t xml:space="preserve">, </w:t>
      </w:r>
      <w:r w:rsidRPr="002F227B">
        <w:rPr>
          <w:rFonts w:ascii="Times New Roman" w:hAnsi="Times New Roman" w:cs="Times New Roman"/>
        </w:rPr>
        <w:t>§ 6.1.</w:t>
      </w:r>
    </w:p>
  </w:footnote>
  <w:footnote w:id="140">
    <w:p w14:paraId="1AE7565D" w14:textId="687FA1D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Updated MGH Bed Summary Response. </w:t>
      </w:r>
    </w:p>
  </w:footnote>
  <w:footnote w:id="141">
    <w:p w14:paraId="37E8E8AE"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assume that when MGH increases its capacity and admits more inpatients, the characteristics of the incremental patients that MGH admits will be like those of patients previously admitted to MGH. Within the context of the patient demand model, this means the proposed project increases every patient’s probability of choosing MGH by the same relative amount. </w:t>
      </w:r>
    </w:p>
    <w:p w14:paraId="7D332C34" w14:textId="21CE3A2E" w:rsidR="00CF3141" w:rsidRPr="002F227B" w:rsidRDefault="00CF3141" w:rsidP="00335D93">
      <w:pPr>
        <w:pStyle w:val="FootnoteText"/>
        <w:ind w:firstLine="720"/>
        <w:rPr>
          <w:rFonts w:ascii="Times New Roman" w:hAnsi="Times New Roman" w:cs="Times New Roman"/>
        </w:rPr>
      </w:pPr>
      <w:r w:rsidRPr="002F227B">
        <w:rPr>
          <w:rFonts w:ascii="Times New Roman" w:hAnsi="Times New Roman" w:cs="Times New Roman"/>
        </w:rPr>
        <w:t>For example, consider two groups of patients. The first group includes patients from a ZIP Code close to MGH for a service that MGH is renowned for, and the second group includes patients from a ZIP Code more distant from MGH for a service that is commonly provided by community hospitals. Assume that 50 percent of the first group chooses MGH but only one percent of the second group chooses MGH. Our calculations assume that if MGH expands, its shares within the two groups increase by the same relative amounts. For example, if MGH’s share in the first group increases from 50 percent to 55 percent (</w:t>
      </w:r>
      <w:r w:rsidRPr="002F227B">
        <w:rPr>
          <w:rFonts w:ascii="Times New Roman" w:hAnsi="Times New Roman" w:cs="Times New Roman"/>
          <w:i/>
          <w:iCs/>
        </w:rPr>
        <w:t>i.e</w:t>
      </w:r>
      <w:r w:rsidRPr="002F227B">
        <w:rPr>
          <w:rFonts w:ascii="Times New Roman" w:hAnsi="Times New Roman" w:cs="Times New Roman"/>
        </w:rPr>
        <w:t>., by ten percent), then MGH’s share in the second group increases from one percent to 1.1 percent (</w:t>
      </w:r>
      <w:r w:rsidRPr="002F227B">
        <w:rPr>
          <w:rFonts w:ascii="Times New Roman" w:hAnsi="Times New Roman" w:cs="Times New Roman"/>
          <w:i/>
          <w:iCs/>
        </w:rPr>
        <w:t xml:space="preserve">i.e., </w:t>
      </w:r>
      <w:r w:rsidRPr="002F227B">
        <w:rPr>
          <w:rFonts w:ascii="Times New Roman" w:hAnsi="Times New Roman" w:cs="Times New Roman"/>
        </w:rPr>
        <w:t xml:space="preserve">by ten percent). </w:t>
      </w:r>
    </w:p>
    <w:p w14:paraId="2F33D4A8" w14:textId="207D496E" w:rsidR="00CF3141" w:rsidRPr="002F227B" w:rsidRDefault="00CF3141" w:rsidP="00335D93">
      <w:pPr>
        <w:pStyle w:val="FootnoteText"/>
        <w:ind w:firstLine="720"/>
        <w:rPr>
          <w:rFonts w:ascii="Times New Roman" w:hAnsi="Times New Roman" w:cs="Times New Roman"/>
        </w:rPr>
      </w:pPr>
      <w:r w:rsidRPr="002F227B">
        <w:rPr>
          <w:rFonts w:ascii="Times New Roman" w:hAnsi="Times New Roman" w:cs="Times New Roman"/>
        </w:rPr>
        <w:t>We assume that this relationship holds so long as it is feasible (</w:t>
      </w:r>
      <w:r w:rsidRPr="002F227B">
        <w:rPr>
          <w:rFonts w:ascii="Times New Roman" w:hAnsi="Times New Roman" w:cs="Times New Roman"/>
          <w:i/>
          <w:iCs/>
        </w:rPr>
        <w:t>i.e.</w:t>
      </w:r>
      <w:r w:rsidRPr="002F227B">
        <w:rPr>
          <w:rFonts w:ascii="Times New Roman" w:hAnsi="Times New Roman" w:cs="Times New Roman"/>
        </w:rPr>
        <w:t xml:space="preserve">, MGH cannot attract more than 100 percent of some group of patients). To expand on our previous example, if 95 percent of a third group of patients chooses MGH, then when MGH’s shares in the first two groups are expanded by ten percent to 55 percent and 1.1 percent, respectively, MGH’s share in the third group can only increase from 95 percent to 100 percent, which is less than a ten percent increase. </w:t>
      </w:r>
    </w:p>
    <w:p w14:paraId="7271FDFB" w14:textId="77777777" w:rsidR="00CF3141" w:rsidRPr="002F227B" w:rsidRDefault="00CF3141" w:rsidP="00335D93">
      <w:pPr>
        <w:pStyle w:val="FootnoteText"/>
        <w:ind w:firstLine="720"/>
        <w:rPr>
          <w:rFonts w:ascii="Times New Roman" w:hAnsi="Times New Roman" w:cs="Times New Roman"/>
        </w:rPr>
      </w:pPr>
      <w:r w:rsidRPr="002F227B">
        <w:rPr>
          <w:rFonts w:ascii="Times New Roman" w:hAnsi="Times New Roman" w:cs="Times New Roman"/>
        </w:rPr>
        <w:t xml:space="preserve">Implicitly, our simulations assume that MGH will admit more of the types of patients that currently value MGH the most, according to the estimated patient demand model, where “value” is reflected in the MGH group shares. </w:t>
      </w:r>
    </w:p>
  </w:footnote>
  <w:footnote w:id="142">
    <w:p w14:paraId="1A2974EE"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perform this exercise separately for inpatient heart and vascular services, cancer services, and all other inpatient service lines. Because MGB projects it will admit fewer patients from other inpatient service lines (</w:t>
      </w:r>
      <w:r w:rsidRPr="002F227B">
        <w:rPr>
          <w:rFonts w:ascii="Times New Roman" w:hAnsi="Times New Roman" w:cs="Times New Roman"/>
          <w:i/>
          <w:iCs/>
        </w:rPr>
        <w:t>i.e.</w:t>
      </w:r>
      <w:r w:rsidRPr="002F227B">
        <w:rPr>
          <w:rFonts w:ascii="Times New Roman" w:hAnsi="Times New Roman" w:cs="Times New Roman"/>
        </w:rPr>
        <w:t>, not heart and vascular or cancer services) in the future, our simulations decrease MGH’s share for those other inpatient service lines.</w:t>
      </w:r>
    </w:p>
  </w:footnote>
  <w:footnote w:id="143">
    <w:p w14:paraId="437793EB" w14:textId="35538C2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When we perform this exercise, we increase MGH inpatient patient days for cancer-related discharges by 7,958 instead of by 12,649, as indicated in the text (= 79,550 – 66,901). We scale down the MGH expansion to reflect the fact that we scaled down the raw discharge data by the same proportion when preparing it (</w:t>
      </w:r>
      <w:r w:rsidRPr="002F227B">
        <w:rPr>
          <w:rFonts w:ascii="Times New Roman" w:hAnsi="Times New Roman" w:cs="Times New Roman"/>
          <w:i/>
          <w:iCs/>
        </w:rPr>
        <w:t xml:space="preserve">e.g., </w:t>
      </w:r>
      <w:r w:rsidRPr="002F227B">
        <w:rPr>
          <w:rFonts w:ascii="Times New Roman" w:hAnsi="Times New Roman" w:cs="Times New Roman"/>
        </w:rPr>
        <w:t>removing out-of-state discharges) for the analyses here. We make the same adjustments to the changes in inpatient patient days for heart and vascular services and other types of discharges.</w:t>
      </w:r>
    </w:p>
  </w:footnote>
  <w:footnote w:id="144">
    <w:p w14:paraId="329FDBDF"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APCD and Medicare Claims data that we use to estimate our model of demand for outpatient diagnostic imaging services reflect claims for 2018. We understand that in 2018 there were no operational PET/MR units in Massachusetts, and so we have no data from which we can infer patients’ demand for this new technology. As such, we exclude PET/MR scans from our model of demand for outpatient diagnostic imaging services. </w:t>
      </w:r>
    </w:p>
  </w:footnote>
  <w:footnote w:id="145">
    <w:p w14:paraId="39C2C6BD"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Applicant Response – Excel Submission, Tab 3.b.</w:t>
      </w:r>
    </w:p>
  </w:footnote>
  <w:footnote w:id="146">
    <w:p w14:paraId="004F1A81"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proposed additional diagnostic imaging units or cardiovascular operating rooms may also be used by inpatients who receive care at MGH, but this demand would be reflected in our inpatient hospital model, and we do not address it separately here. </w:t>
      </w:r>
    </w:p>
  </w:footnote>
  <w:footnote w:id="147">
    <w:p w14:paraId="3A1D15E1"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Specifically, self-insured health plans are not required to, but may voluntarily, submit their claims data to CHIA’s APCD. </w:t>
      </w:r>
    </w:p>
  </w:footnote>
  <w:footnote w:id="148">
    <w:p w14:paraId="08DD3820" w14:textId="2DAE972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restrict the data to these seven counties because it is unlikely that patients who might receive care at MGH for outpatient diagnostic imaging services would travel outside of this region for these services, except under unusual or exceptional circumstances.</w:t>
      </w:r>
    </w:p>
  </w:footnote>
  <w:footnote w:id="149">
    <w:p w14:paraId="29BEDFDE" w14:textId="41BD842E"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More specifically, patient preferences in our model of demand for outpatient diagnostic imaging services depend on (i) the patient’s county and ZIP Code of residence; (ii) the CPT or HCPCS code associated with the imaging services the patient received; (iii) the region of the body (</w:t>
      </w:r>
      <w:r w:rsidRPr="002F227B">
        <w:rPr>
          <w:rFonts w:ascii="Times New Roman" w:hAnsi="Times New Roman" w:cs="Times New Roman"/>
          <w:i/>
        </w:rPr>
        <w:t>e.g.</w:t>
      </w:r>
      <w:r w:rsidRPr="002F227B">
        <w:rPr>
          <w:rFonts w:ascii="Times New Roman" w:hAnsi="Times New Roman" w:cs="Times New Roman"/>
        </w:rPr>
        <w:t>, breast, spine, pelvis, chest) associated with the imaging services the patient received; (iv) whether the patient received a CT, MR, or PET/CT scan; (v) the patient’s health insurance coverage (commercial, Original Medicare, Medicare health plan, MassHealth non-managed care, MassHealth managed care, or other types of coverage such as self-pay); (vi) the patient’s gender; and (vii) the patient’s age category (18-45, 46-62, and 63 and older).</w:t>
      </w:r>
    </w:p>
  </w:footnote>
  <w:footnote w:id="150">
    <w:p w14:paraId="1A9F22FD"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use a “semi-parametric” method to estimate demand that does not require we explicitly specify the facility characteristics that patients care about. Instead, for each facility, the method estimates one parameter for each group of patients that measures the overall attractiveness of the facility to that group of patients. This parameter implicitly reflects all the characteristics of that facility that affect the utility of patients in that group.</w:t>
      </w:r>
    </w:p>
  </w:footnote>
  <w:footnote w:id="151">
    <w:p w14:paraId="660E077E"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unit of observation in our model of patient demand for diagnostic imaging services is a single CT, MR, or PET/CT scan because patients in the APCD and Medicare Claims data choose to receive different types of advanced imaging services at different facilities.</w:t>
      </w:r>
    </w:p>
  </w:footnote>
  <w:footnote w:id="152">
    <w:p w14:paraId="434266D5" w14:textId="187E2B4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Our model combines claims for outpatient diagnostic imaging facilities that share the same facility type (</w:t>
      </w:r>
      <w:r w:rsidRPr="002F227B">
        <w:rPr>
          <w:rFonts w:ascii="Times New Roman" w:hAnsi="Times New Roman" w:cs="Times New Roman"/>
          <w:i/>
        </w:rPr>
        <w:t>e.g.</w:t>
      </w:r>
      <w:r w:rsidRPr="002F227B">
        <w:rPr>
          <w:rFonts w:ascii="Times New Roman" w:hAnsi="Times New Roman" w:cs="Times New Roman"/>
        </w:rPr>
        <w:t>, physician offices and clinics or HOPDs), have the same owner, and are located in the same ZIP Code. This means the patients in our model do not choose between specific locations (</w:t>
      </w:r>
      <w:r w:rsidRPr="002F227B">
        <w:rPr>
          <w:rFonts w:ascii="Times New Roman" w:hAnsi="Times New Roman" w:cs="Times New Roman"/>
          <w:i/>
        </w:rPr>
        <w:t>e.g.,</w:t>
      </w:r>
      <w:r w:rsidRPr="002F227B">
        <w:rPr>
          <w:rFonts w:ascii="Times New Roman" w:hAnsi="Times New Roman" w:cs="Times New Roman"/>
        </w:rPr>
        <w:t xml:space="preserve"> a Shields clinic at 40 Allied Drive in Dedham, MA 02026). Instead, this choice is represented as Shields – Office/Clinic – 02026 in the demand model. We aggregate the data in this way because it is not feasible to reliably identify the exact facility address where health care services were provided in the APCD and Medicare Claims data. Therefore, we are unable to calculate the facility-level shares needed to reliably estimate a facility-level demand model. Aggregating the data to the owner – facility type – ZIP Code-level (</w:t>
      </w:r>
      <w:r w:rsidRPr="002F227B">
        <w:rPr>
          <w:rFonts w:ascii="Times New Roman" w:hAnsi="Times New Roman" w:cs="Times New Roman"/>
          <w:i/>
        </w:rPr>
        <w:t>e.g.,</w:t>
      </w:r>
      <w:r w:rsidRPr="002F227B">
        <w:rPr>
          <w:rFonts w:ascii="Times New Roman" w:hAnsi="Times New Roman" w:cs="Times New Roman"/>
        </w:rPr>
        <w:t xml:space="preserve"> Shields – Office/Clinic – 02026) mitigates this issue. Consequently, we cannot distinguish between demand for outpatient facilities of the same type with the same owner in the same ZIP Code. </w:t>
      </w:r>
    </w:p>
  </w:footnote>
  <w:footnote w:id="153">
    <w:p w14:paraId="656FCF18"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use an iterative process to allocate patients into groups subject to a minimum group size of 30 claims with diagnostic imaging. When possible, the process allocates patients into the most granular category, </w:t>
      </w:r>
      <w:r w:rsidRPr="002F227B">
        <w:rPr>
          <w:rFonts w:ascii="Times New Roman" w:hAnsi="Times New Roman" w:cs="Times New Roman"/>
          <w:i/>
        </w:rPr>
        <w:t>e.g.</w:t>
      </w:r>
      <w:r w:rsidRPr="002F227B">
        <w:rPr>
          <w:rFonts w:ascii="Times New Roman" w:hAnsi="Times New Roman" w:cs="Times New Roman"/>
        </w:rPr>
        <w:t xml:space="preserve">, male patients aged 18-44 with commercial insurance coverage who reside in ZIP Code 02118 (located in Suffolk County) who received an MR scan with CPT code 73221 (shoulder, elbow, or wrist MRIs without contrast). If there are not 30 such patients who share those characteristics, the iterative process allocates patients into broader categories, </w:t>
      </w:r>
      <w:r w:rsidRPr="002F227B">
        <w:rPr>
          <w:rFonts w:ascii="Times New Roman" w:hAnsi="Times New Roman" w:cs="Times New Roman"/>
          <w:i/>
        </w:rPr>
        <w:t>e.g.</w:t>
      </w:r>
      <w:r w:rsidRPr="002F227B">
        <w:rPr>
          <w:rFonts w:ascii="Times New Roman" w:hAnsi="Times New Roman" w:cs="Times New Roman"/>
        </w:rPr>
        <w:t>, patients who reside in Suffolk County who received any type of MRI.</w:t>
      </w:r>
    </w:p>
  </w:footnote>
  <w:footnote w:id="154">
    <w:p w14:paraId="0738FBDC" w14:textId="244B9F5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use the same methodology to perform these simulations as when simulating the effects of MGH’s additional inpatient capacity on utilization of inpatient GAC services. As with the inpatient demand model, we assume that when MGH completes the proposed project and is able to perform more CT, MR, and PET/CT scans, the incremental patients MGH performs these scans on will resemble the patients to whom MGH already provides diagnostic imaging services.</w:t>
      </w:r>
    </w:p>
  </w:footnote>
  <w:footnote w:id="155">
    <w:p w14:paraId="3022E08B"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Applicant Response – Excel Submission, Tab 3.b.</w:t>
      </w:r>
    </w:p>
  </w:footnote>
  <w:footnote w:id="156">
    <w:p w14:paraId="1B7E5A09" w14:textId="57EF7EE9"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restrict the data to these seven counties because it is unlikely that patients who might receive care at MGH for outpatient cardiovascular services would travel outside of this region for these services, except under unusual or exceptional circumstances.</w:t>
      </w:r>
    </w:p>
  </w:footnote>
  <w:footnote w:id="157">
    <w:p w14:paraId="5950C44A" w14:textId="6A4EE71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More specifically, patient preferences in our model of demand for outpatient cardiovascular services depend on (i) the patient’s county and ZIP Code of residence; (ii) the CPT code associated with the cardiovascular procedure the patient received; (iii) the cardiovascular service line (</w:t>
      </w:r>
      <w:r w:rsidRPr="002F227B">
        <w:rPr>
          <w:rFonts w:ascii="Times New Roman" w:hAnsi="Times New Roman" w:cs="Times New Roman"/>
          <w:i/>
        </w:rPr>
        <w:t>e.g.</w:t>
      </w:r>
      <w:r w:rsidRPr="002F227B">
        <w:rPr>
          <w:rFonts w:ascii="Times New Roman" w:hAnsi="Times New Roman" w:cs="Times New Roman"/>
        </w:rPr>
        <w:t>, Echocardiography Procedures or Surgical Procedures on the Pericardium); (iv) the service type (</w:t>
      </w:r>
      <w:r w:rsidRPr="002F227B">
        <w:rPr>
          <w:rFonts w:ascii="Times New Roman" w:hAnsi="Times New Roman" w:cs="Times New Roman"/>
          <w:i/>
        </w:rPr>
        <w:t>i.e.</w:t>
      </w:r>
      <w:r w:rsidRPr="002F227B">
        <w:rPr>
          <w:rFonts w:ascii="Times New Roman" w:hAnsi="Times New Roman" w:cs="Times New Roman"/>
        </w:rPr>
        <w:t>, Surgical Procedures on the Heart and Pericardium, Surgical Procedures on Arteries and Veins, and Cardiovascular Procedures); (v) the patient’s health insurance coverage (commercial, Original Medicare, Medicare health plan, MassHealth non-managed care, MassHealth managed care, or other types of coverage such as self-pay); (vi) gender; and (vii) age category (18-45, 46-62, and 63 and older).</w:t>
      </w:r>
    </w:p>
  </w:footnote>
  <w:footnote w:id="158">
    <w:p w14:paraId="0A872D7E"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In our model, patients make separate choices for each outpatient cardiovascular service (</w:t>
      </w:r>
      <w:r w:rsidRPr="002F227B">
        <w:rPr>
          <w:rFonts w:ascii="Times New Roman" w:hAnsi="Times New Roman" w:cs="Times New Roman"/>
          <w:i/>
        </w:rPr>
        <w:t>i.e.</w:t>
      </w:r>
      <w:r w:rsidRPr="002F227B">
        <w:rPr>
          <w:rFonts w:ascii="Times New Roman" w:hAnsi="Times New Roman" w:cs="Times New Roman"/>
        </w:rPr>
        <w:t xml:space="preserve">, CPT procedure code) that they receive. </w:t>
      </w:r>
    </w:p>
  </w:footnote>
  <w:footnote w:id="159">
    <w:p w14:paraId="7EE8EFBF"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Tables 8 and 9.</w:t>
      </w:r>
    </w:p>
  </w:footnote>
  <w:footnote w:id="160">
    <w:p w14:paraId="49425C56" w14:textId="17F7D77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t>
      </w:r>
      <w:r w:rsidRPr="002F227B">
        <w:rPr>
          <w:rFonts w:ascii="Times New Roman" w:hAnsi="Times New Roman" w:cs="Times New Roman"/>
          <w:i/>
        </w:rPr>
        <w:t>See</w:t>
      </w:r>
      <w:r w:rsidRPr="002F227B">
        <w:rPr>
          <w:rFonts w:ascii="Times New Roman" w:hAnsi="Times New Roman" w:cs="Times New Roman"/>
        </w:rPr>
        <w:t xml:space="preserve"> Section </w:t>
      </w:r>
      <w:r w:rsidRPr="002F227B">
        <w:rPr>
          <w:rFonts w:ascii="Times New Roman" w:hAnsi="Times New Roman" w:cs="Times New Roman"/>
        </w:rPr>
        <w:fldChar w:fldCharType="begin"/>
      </w:r>
      <w:r w:rsidRPr="002F227B">
        <w:rPr>
          <w:rFonts w:ascii="Times New Roman" w:hAnsi="Times New Roman" w:cs="Times New Roman"/>
        </w:rPr>
        <w:instrText xml:space="preserve"> REF _Ref88655817 \r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III</w:t>
      </w:r>
      <w:r w:rsidRPr="002F227B">
        <w:rPr>
          <w:rFonts w:ascii="Times New Roman" w:hAnsi="Times New Roman" w:cs="Times New Roman"/>
        </w:rPr>
        <w:fldChar w:fldCharType="end"/>
      </w:r>
      <w:r w:rsidRPr="002F227B">
        <w:rPr>
          <w:rFonts w:ascii="Times New Roman" w:hAnsi="Times New Roman" w:cs="Times New Roman"/>
        </w:rPr>
        <w:t>.</w:t>
      </w:r>
      <w:r w:rsidRPr="002F227B">
        <w:rPr>
          <w:rFonts w:ascii="Times New Roman" w:hAnsi="Times New Roman" w:cs="Times New Roman"/>
        </w:rPr>
        <w:fldChar w:fldCharType="begin"/>
      </w:r>
      <w:r w:rsidRPr="002F227B">
        <w:rPr>
          <w:rFonts w:ascii="Times New Roman" w:hAnsi="Times New Roman" w:cs="Times New Roman"/>
        </w:rPr>
        <w:instrText xml:space="preserve"> REF _Ref88225783 \w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B</w:t>
      </w:r>
      <w:r w:rsidRPr="002F227B">
        <w:rPr>
          <w:rFonts w:ascii="Times New Roman" w:hAnsi="Times New Roman" w:cs="Times New Roman"/>
        </w:rPr>
        <w:fldChar w:fldCharType="end"/>
      </w:r>
      <w:r w:rsidRPr="002F227B">
        <w:rPr>
          <w:rFonts w:ascii="Times New Roman" w:hAnsi="Times New Roman" w:cs="Times New Roman"/>
        </w:rPr>
        <w:t>.</w:t>
      </w:r>
      <w:r w:rsidRPr="002F227B">
        <w:rPr>
          <w:rFonts w:ascii="Times New Roman" w:hAnsi="Times New Roman" w:cs="Times New Roman"/>
        </w:rPr>
        <w:fldChar w:fldCharType="begin"/>
      </w:r>
      <w:r w:rsidRPr="002F227B">
        <w:rPr>
          <w:rFonts w:ascii="Times New Roman" w:hAnsi="Times New Roman" w:cs="Times New Roman"/>
        </w:rPr>
        <w:instrText xml:space="preserve"> REF _Ref88225785 \w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2</w:t>
      </w:r>
      <w:r w:rsidRPr="002F227B">
        <w:rPr>
          <w:rFonts w:ascii="Times New Roman" w:hAnsi="Times New Roman" w:cs="Times New Roman"/>
        </w:rPr>
        <w:fldChar w:fldCharType="end"/>
      </w:r>
      <w:r w:rsidRPr="002F227B">
        <w:rPr>
          <w:rFonts w:ascii="Times New Roman" w:hAnsi="Times New Roman" w:cs="Times New Roman"/>
        </w:rPr>
        <w:t>.</w:t>
      </w:r>
    </w:p>
  </w:footnote>
  <w:footnote w:id="161">
    <w:p w14:paraId="11DD2317" w14:textId="1E2563B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restrict the data to these seven counties because it is unlikely that patients who might receive care at MGH for outpatient oncology services would travel outside of this region for these services, except under unusual or exceptional circumstances.</w:t>
      </w:r>
    </w:p>
  </w:footnote>
  <w:footnote w:id="162">
    <w:p w14:paraId="6B97E6A5" w14:textId="082953E5"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More specifically, patient preferences in our model of demand for outpatient oncology visits depend on (i) the patient’s county and ZIP Code of residence; (ii) the type of cancer with which the patient has been diagnosed (</w:t>
      </w:r>
      <w:r w:rsidRPr="002F227B">
        <w:rPr>
          <w:rFonts w:ascii="Times New Roman" w:hAnsi="Times New Roman" w:cs="Times New Roman"/>
          <w:i/>
          <w:iCs/>
        </w:rPr>
        <w:t>e.g</w:t>
      </w:r>
      <w:r w:rsidRPr="002F227B">
        <w:rPr>
          <w:rFonts w:ascii="Times New Roman" w:hAnsi="Times New Roman" w:cs="Times New Roman"/>
        </w:rPr>
        <w:t>., breast, sarcoma, melanoma, head and neck, and so on); (iii) the patient’s health insurance coverage (commercial, Original Medicare, Medicare health plan, MassHealth non-managed care, MassHealth managed care, or other types of coverage such as self-pay); (iv) gender; and (v) age category (18-45, 46-62, and 63 and older).</w:t>
      </w:r>
    </w:p>
  </w:footnote>
  <w:footnote w:id="163">
    <w:p w14:paraId="3D78381C"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Tables 5 and 7.</w:t>
      </w:r>
    </w:p>
  </w:footnote>
  <w:footnote w:id="164">
    <w:p w14:paraId="1B241C9C" w14:textId="7FFC055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Robert Town and Gregory Vistnes. “Hospital Competition in HMO Networks.” </w:t>
      </w:r>
      <w:r w:rsidRPr="002F227B">
        <w:rPr>
          <w:rFonts w:ascii="Times New Roman" w:hAnsi="Times New Roman" w:cs="Times New Roman"/>
          <w:i/>
        </w:rPr>
        <w:t xml:space="preserve">Journal of Health Economics </w:t>
      </w:r>
      <w:r w:rsidRPr="002F227B">
        <w:rPr>
          <w:rFonts w:ascii="Times New Roman" w:hAnsi="Times New Roman" w:cs="Times New Roman"/>
        </w:rPr>
        <w:t xml:space="preserve">(2001); Cory Capps, David Dranove, and Mark Satterthwaite. “Competition and market power in option demand markets.” </w:t>
      </w:r>
      <w:r w:rsidRPr="002F227B">
        <w:rPr>
          <w:rFonts w:ascii="Times New Roman" w:hAnsi="Times New Roman" w:cs="Times New Roman"/>
          <w:i/>
        </w:rPr>
        <w:t>RAND Journal of Economics</w:t>
      </w:r>
      <w:r w:rsidRPr="002F227B">
        <w:rPr>
          <w:rFonts w:ascii="Times New Roman" w:hAnsi="Times New Roman" w:cs="Times New Roman"/>
        </w:rPr>
        <w:t xml:space="preserve"> (2003).</w:t>
      </w:r>
    </w:p>
  </w:footnote>
  <w:footnote w:id="165">
    <w:p w14:paraId="2DF0757D" w14:textId="2687AF9A"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t>
      </w:r>
      <w:r w:rsidRPr="002F227B">
        <w:rPr>
          <w:rFonts w:ascii="Times New Roman" w:hAnsi="Times New Roman" w:cs="Times New Roman"/>
          <w:i/>
        </w:rPr>
        <w:t>See</w:t>
      </w:r>
      <w:r w:rsidRPr="002F227B">
        <w:rPr>
          <w:rFonts w:ascii="Times New Roman" w:hAnsi="Times New Roman" w:cs="Times New Roman"/>
        </w:rPr>
        <w:t xml:space="preserve"> MedPAC Payment Basics, “Hospital Acute Inpatient Services Payment System,” (Revised: November 2021), </w:t>
      </w:r>
      <w:r w:rsidRPr="002F227B">
        <w:rPr>
          <w:rFonts w:ascii="Times New Roman" w:hAnsi="Times New Roman" w:cs="Times New Roman"/>
          <w:i/>
        </w:rPr>
        <w:t>available at</w:t>
      </w:r>
      <w:r w:rsidRPr="002F227B">
        <w:rPr>
          <w:rFonts w:ascii="Times New Roman" w:hAnsi="Times New Roman" w:cs="Times New Roman"/>
        </w:rPr>
        <w:t xml:space="preserve"> https://www.medpac.gov/wp-content/uploads/2021/11/medpac_payment_basics_21_hospital_final_sec.pdf.; MedPAC Payment Basics, “Outpatient Hospital Services Payment System” (Revised: November 2021), </w:t>
      </w:r>
      <w:r w:rsidRPr="002F227B">
        <w:rPr>
          <w:rFonts w:ascii="Times New Roman" w:hAnsi="Times New Roman" w:cs="Times New Roman"/>
          <w:i/>
        </w:rPr>
        <w:t>available at</w:t>
      </w:r>
      <w:r w:rsidRPr="002F227B">
        <w:rPr>
          <w:rFonts w:ascii="Times New Roman" w:hAnsi="Times New Roman" w:cs="Times New Roman"/>
        </w:rPr>
        <w:t xml:space="preserve"> https://www.medpac.gov/wp-content/uploads/2021/11/medpac_payment_basics_21_opd_final_sec.pdf; Massachusetts Executive Office of Health and Human Services (EOHHS), Office of Medicaid. “Notice of Final Agency Action. MassHealth: Payment for In-State Acute Hospital Services and Out-of-State Acute Hospital Services, effective November 1, 2021,” </w:t>
      </w:r>
      <w:r w:rsidRPr="002F227B">
        <w:rPr>
          <w:rFonts w:ascii="Times New Roman" w:hAnsi="Times New Roman" w:cs="Times New Roman"/>
          <w:i/>
        </w:rPr>
        <w:t>available at</w:t>
      </w:r>
      <w:r w:rsidRPr="002F227B">
        <w:rPr>
          <w:rFonts w:ascii="Times New Roman" w:hAnsi="Times New Roman" w:cs="Times New Roman"/>
        </w:rPr>
        <w:t xml:space="preserve"> https://www.mass.gov/doc/notice-of-final-agency-action-masshealth-payment-for-in-state-acute-hospital-services-and-out-of-state-acute-hospital-services-effective-november-1-2021-0, pp. 1-6. </w:t>
      </w:r>
    </w:p>
  </w:footnote>
  <w:footnote w:id="166">
    <w:p w14:paraId="7CD7FE32" w14:textId="7F9D1F4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Robert A. Berenson, Jonathan H. Sunshine, David Helms, and Emily Lawton. “Why Medicare Advantage Plans Pay Hospitals Traditional Medicare Prices.” </w:t>
      </w:r>
      <w:r w:rsidRPr="002F227B">
        <w:rPr>
          <w:rFonts w:ascii="Times New Roman" w:hAnsi="Times New Roman" w:cs="Times New Roman"/>
          <w:i/>
          <w:iCs/>
        </w:rPr>
        <w:t>Health Affairs</w:t>
      </w:r>
      <w:r w:rsidRPr="002F227B">
        <w:rPr>
          <w:rFonts w:ascii="Times New Roman" w:hAnsi="Times New Roman" w:cs="Times New Roman"/>
        </w:rPr>
        <w:t xml:space="preserve"> (2015).</w:t>
      </w:r>
    </w:p>
  </w:footnote>
  <w:footnote w:id="167">
    <w:p w14:paraId="053FB070" w14:textId="50CE6D0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For example, if there were four firms competing in the market and each firm had a share of 25 percent, the HHI would be calculated as 2,500 = 25</w:t>
      </w:r>
      <w:r w:rsidRPr="002F227B">
        <w:rPr>
          <w:rFonts w:ascii="Times New Roman" w:hAnsi="Times New Roman" w:cs="Times New Roman"/>
          <w:vertAlign w:val="superscript"/>
        </w:rPr>
        <w:t>2</w:t>
      </w:r>
      <w:r w:rsidRPr="002F227B">
        <w:rPr>
          <w:rFonts w:ascii="Times New Roman" w:hAnsi="Times New Roman" w:cs="Times New Roman"/>
        </w:rPr>
        <w:t xml:space="preserve"> + 25</w:t>
      </w:r>
      <w:r w:rsidRPr="002F227B">
        <w:rPr>
          <w:rFonts w:ascii="Times New Roman" w:hAnsi="Times New Roman" w:cs="Times New Roman"/>
          <w:vertAlign w:val="superscript"/>
        </w:rPr>
        <w:t xml:space="preserve">2 + </w:t>
      </w:r>
      <w:r w:rsidRPr="002F227B">
        <w:rPr>
          <w:rFonts w:ascii="Times New Roman" w:hAnsi="Times New Roman" w:cs="Times New Roman"/>
        </w:rPr>
        <w:t>25</w:t>
      </w:r>
      <w:r w:rsidRPr="002F227B">
        <w:rPr>
          <w:rFonts w:ascii="Times New Roman" w:hAnsi="Times New Roman" w:cs="Times New Roman"/>
          <w:vertAlign w:val="superscript"/>
        </w:rPr>
        <w:t>2</w:t>
      </w:r>
      <w:r w:rsidRPr="002F227B">
        <w:rPr>
          <w:rFonts w:ascii="Times New Roman" w:hAnsi="Times New Roman" w:cs="Times New Roman"/>
        </w:rPr>
        <w:t xml:space="preserve"> + 25</w:t>
      </w:r>
      <w:r w:rsidRPr="002F227B">
        <w:rPr>
          <w:rFonts w:ascii="Times New Roman" w:hAnsi="Times New Roman" w:cs="Times New Roman"/>
          <w:vertAlign w:val="superscript"/>
        </w:rPr>
        <w:t>2</w:t>
      </w:r>
      <w:r w:rsidRPr="002F227B">
        <w:rPr>
          <w:rFonts w:ascii="Times New Roman" w:hAnsi="Times New Roman" w:cs="Times New Roman"/>
        </w:rPr>
        <w:t xml:space="preserve">. In the case of a single firm competing in the market, the HHI is 10,000. In the case of a large number of firms competing in the market where each such firm has a small share, the HHI would be close to zero. In general, if there are </w:t>
      </w:r>
      <w:r w:rsidRPr="002F227B">
        <w:rPr>
          <w:rFonts w:ascii="Times New Roman" w:hAnsi="Times New Roman" w:cs="Times New Roman"/>
          <w:i/>
        </w:rPr>
        <w:t>n</w:t>
      </w:r>
      <w:r w:rsidRPr="002F227B">
        <w:rPr>
          <w:rFonts w:ascii="Times New Roman" w:hAnsi="Times New Roman" w:cs="Times New Roman"/>
        </w:rPr>
        <w:t xml:space="preserve"> equally sized firms competing in the market, the HHI is 10,000 ÷ </w:t>
      </w:r>
      <w:r w:rsidRPr="002F227B">
        <w:rPr>
          <w:rFonts w:ascii="Times New Roman" w:hAnsi="Times New Roman" w:cs="Times New Roman"/>
          <w:i/>
          <w:iCs/>
        </w:rPr>
        <w:t>n</w:t>
      </w:r>
      <w:r w:rsidRPr="002F227B">
        <w:rPr>
          <w:rFonts w:ascii="Times New Roman" w:hAnsi="Times New Roman" w:cs="Times New Roman"/>
        </w:rPr>
        <w:t xml:space="preserve">. </w:t>
      </w:r>
    </w:p>
  </w:footnote>
  <w:footnote w:id="168">
    <w:p w14:paraId="77607E4B"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U.S. Department of Justice and the Federal Trade Commission. </w:t>
      </w:r>
      <w:r w:rsidRPr="002F227B">
        <w:rPr>
          <w:rFonts w:ascii="Times New Roman" w:hAnsi="Times New Roman" w:cs="Times New Roman"/>
          <w:i/>
          <w:iCs/>
        </w:rPr>
        <w:t>Horizontal Merger Guidelines</w:t>
      </w:r>
      <w:r w:rsidRPr="002F227B">
        <w:rPr>
          <w:rFonts w:ascii="Times New Roman" w:hAnsi="Times New Roman" w:cs="Times New Roman"/>
        </w:rPr>
        <w:t xml:space="preserve"> (2010). </w:t>
      </w:r>
    </w:p>
  </w:footnote>
  <w:footnote w:id="169">
    <w:p w14:paraId="3A30E634" w14:textId="4859F97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t>
      </w:r>
      <w:r w:rsidRPr="002F227B">
        <w:rPr>
          <w:rFonts w:ascii="Times New Roman" w:hAnsi="Times New Roman" w:cs="Times New Roman"/>
          <w:i/>
        </w:rPr>
        <w:t>See</w:t>
      </w:r>
      <w:r w:rsidRPr="002F227B">
        <w:rPr>
          <w:rFonts w:ascii="Times New Roman" w:hAnsi="Times New Roman" w:cs="Times New Roman"/>
        </w:rPr>
        <w:t xml:space="preserve">, for example, Massachusetts Health Policy Commission Review of The Proposed Merger of Lahey Health System; CareGroup and its Component Parts, Beth Israel Deaconess Medical Center, New England Baptist Hospital, and Mount Auburn Hospital; Seacoast Regional Health Systems; and Each of their Corporate Subsidiaries into Beth Israel Lahey Health; AND The Acquisition of the Beth Israel Deaconess Care Organization by Beth Israel Lahey Health; AND The Contracting Affiliation Between Beth Israel Lahey Health and Mount Auburn Cambridge Independent Practice Association (HPC-CMIR-2017-2), Final Report (September 27, 2018), pp. 47-48. </w:t>
      </w:r>
    </w:p>
  </w:footnote>
  <w:footnote w:id="170">
    <w:p w14:paraId="4BD9F9A2"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U.S. Department of Justice and the Federal Trade Commission. </w:t>
      </w:r>
      <w:r w:rsidRPr="002F227B">
        <w:rPr>
          <w:rFonts w:ascii="Times New Roman" w:hAnsi="Times New Roman" w:cs="Times New Roman"/>
          <w:i/>
          <w:iCs/>
        </w:rPr>
        <w:t>Horizontal Merger Guidelines</w:t>
      </w:r>
      <w:r w:rsidRPr="002F227B">
        <w:rPr>
          <w:rFonts w:ascii="Times New Roman" w:hAnsi="Times New Roman" w:cs="Times New Roman"/>
        </w:rPr>
        <w:t xml:space="preserve"> (2010)</w:t>
      </w:r>
      <w:r w:rsidRPr="002F227B">
        <w:rPr>
          <w:rFonts w:ascii="Times New Roman" w:hAnsi="Times New Roman" w:cs="Times New Roman"/>
          <w:i/>
          <w:iCs/>
        </w:rPr>
        <w:t xml:space="preserve">, </w:t>
      </w:r>
      <w:r w:rsidRPr="002F227B">
        <w:rPr>
          <w:rFonts w:ascii="Times New Roman" w:hAnsi="Times New Roman" w:cs="Times New Roman"/>
        </w:rPr>
        <w:t>§ 5.3.</w:t>
      </w:r>
    </w:p>
  </w:footnote>
  <w:footnote w:id="171">
    <w:p w14:paraId="044A9565" w14:textId="441B20D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change in HHI associated with a merger is equal to twice the product of the shares of the merging firms. For example, the merger of firms with a five percent share and a ten percent share would increase the HHI by 100 = 2 × 5 × 10. </w:t>
      </w:r>
    </w:p>
  </w:footnote>
  <w:footnote w:id="172">
    <w:p w14:paraId="3C51F97E"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U.S. Department of Justice and the Federal Trade Commission. </w:t>
      </w:r>
      <w:r w:rsidRPr="002F227B">
        <w:rPr>
          <w:rFonts w:ascii="Times New Roman" w:hAnsi="Times New Roman" w:cs="Times New Roman"/>
          <w:i/>
          <w:iCs/>
        </w:rPr>
        <w:t>Horizontal Merger Guidelines</w:t>
      </w:r>
      <w:r w:rsidRPr="002F227B">
        <w:rPr>
          <w:rFonts w:ascii="Times New Roman" w:hAnsi="Times New Roman" w:cs="Times New Roman"/>
        </w:rPr>
        <w:t xml:space="preserve"> (2010)</w:t>
      </w:r>
      <w:r w:rsidRPr="002F227B">
        <w:rPr>
          <w:rFonts w:ascii="Times New Roman" w:hAnsi="Times New Roman" w:cs="Times New Roman"/>
          <w:i/>
          <w:iCs/>
        </w:rPr>
        <w:t xml:space="preserve">, </w:t>
      </w:r>
      <w:r w:rsidRPr="002F227B">
        <w:rPr>
          <w:rFonts w:ascii="Times New Roman" w:hAnsi="Times New Roman" w:cs="Times New Roman"/>
        </w:rPr>
        <w:t>§ 5.3.</w:t>
      </w:r>
    </w:p>
  </w:footnote>
  <w:footnote w:id="173">
    <w:p w14:paraId="4FF406EC" w14:textId="3326E0A9"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Federal Trade Commission unsuccessfully challenged the acquisition of Albert Einstein Healthcare Network by Thomas Jefferson University in 2020. In its complaint, the Federal Trade Commission alleged that the transaction would increase concentration in the market for the provision of inpatient general acute care hospital services in Montgomery County, Pennsylvania by at least 700 points to more than 3,500 points. (Complaint, </w:t>
      </w:r>
      <w:r w:rsidRPr="002F227B">
        <w:rPr>
          <w:rFonts w:ascii="Times New Roman" w:hAnsi="Times New Roman" w:cs="Times New Roman"/>
          <w:i/>
          <w:iCs/>
        </w:rPr>
        <w:t>In the Matter of Thomas Jefferson University and Albert Einstein Healthcare Network</w:t>
      </w:r>
      <w:r w:rsidRPr="002F227B">
        <w:rPr>
          <w:rFonts w:ascii="Times New Roman" w:hAnsi="Times New Roman" w:cs="Times New Roman"/>
        </w:rPr>
        <w:t xml:space="preserve">, Docket No. 9392, ¶ 50.) The administrative complaint was later dismissed after the Commission voted to voluntarily dismiss its appeal of the District Court’s decision declining to preliminarily enjoin the transaction. (Federal Trade Commission, Case Summary. “Thomas Jefferson University, In the Matter of.” </w:t>
      </w:r>
      <w:r w:rsidRPr="002F227B">
        <w:rPr>
          <w:rFonts w:ascii="Times New Roman" w:hAnsi="Times New Roman" w:cs="Times New Roman"/>
          <w:i/>
          <w:iCs/>
        </w:rPr>
        <w:t>available at</w:t>
      </w:r>
      <w:r w:rsidRPr="002F227B">
        <w:rPr>
          <w:rFonts w:ascii="Times New Roman" w:hAnsi="Times New Roman" w:cs="Times New Roman"/>
        </w:rPr>
        <w:t xml:space="preserve"> https://www.ftc.gov/enforcement/cases-proceedings/181-0128/thomas-jefferson-university-matter.) </w:t>
      </w:r>
    </w:p>
  </w:footnote>
  <w:footnote w:id="174">
    <w:p w14:paraId="50462F3F" w14:textId="4A4D219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Studies of the relationship between market structure and prices are commonly referred to as Structure-Conduct-Performance or “SCP” studies. While we do not discuss it here, economists have noted that the “SCP approach has a number of well-recognized problems when price is the dependent variable” as is the case in the studies reviewed here. (Martin Gaynor, Kate Ho, and Robert J. Town. “The Industrial Organization of Health-Care Markets.” </w:t>
      </w:r>
      <w:r w:rsidRPr="002F227B">
        <w:rPr>
          <w:rFonts w:ascii="Times New Roman" w:hAnsi="Times New Roman" w:cs="Times New Roman"/>
          <w:i/>
        </w:rPr>
        <w:t>Journal of Economic Literature</w:t>
      </w:r>
      <w:r w:rsidRPr="002F227B">
        <w:rPr>
          <w:rFonts w:ascii="Times New Roman" w:hAnsi="Times New Roman" w:cs="Times New Roman"/>
        </w:rPr>
        <w:t xml:space="preserve"> (2015), p. 246.) </w:t>
      </w:r>
    </w:p>
  </w:footnote>
  <w:footnote w:id="175">
    <w:p w14:paraId="2F8F5DBA" w14:textId="44E5CC99"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Maximillian J. Pany, Michael E. Chernew, and Leemore S. Dafny. “Regulating Hospital Prices Based on Market Concentration Is Likely to Leave High-Price Hospitals Unaffected.” </w:t>
      </w:r>
      <w:r w:rsidRPr="002F227B">
        <w:rPr>
          <w:rFonts w:ascii="Times New Roman" w:hAnsi="Times New Roman" w:cs="Times New Roman"/>
          <w:i/>
          <w:iCs/>
        </w:rPr>
        <w:t>Health Affairs</w:t>
      </w:r>
      <w:r w:rsidRPr="002F227B">
        <w:rPr>
          <w:rFonts w:ascii="Times New Roman" w:hAnsi="Times New Roman" w:cs="Times New Roman"/>
        </w:rPr>
        <w:t xml:space="preserve"> (2021). </w:t>
      </w:r>
    </w:p>
  </w:footnote>
  <w:footnote w:id="176">
    <w:p w14:paraId="2A0B7A3E" w14:textId="3CB67E18"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Zack Cooper, Stuart V. Craig, Martin Gaynor, and John Van Reenen. “The Price Ain’t Right? Hospital Prices and Health Spending on the Privately Insured.” </w:t>
      </w:r>
      <w:r w:rsidRPr="002F227B">
        <w:rPr>
          <w:rFonts w:ascii="Times New Roman" w:hAnsi="Times New Roman" w:cs="Times New Roman"/>
          <w:i/>
        </w:rPr>
        <w:t>Quarterly Journal of Economics</w:t>
      </w:r>
      <w:r w:rsidRPr="002F227B">
        <w:rPr>
          <w:rFonts w:ascii="Times New Roman" w:hAnsi="Times New Roman" w:cs="Times New Roman"/>
        </w:rPr>
        <w:t xml:space="preserve"> (2019). </w:t>
      </w:r>
    </w:p>
  </w:footnote>
  <w:footnote w:id="177">
    <w:p w14:paraId="155D75EA" w14:textId="46E6D3AF"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Zack Cooper, Stuart V. Craig, Martin Gaynor, and John Van Reenen. “The Price Ain’t Right? Hospital Prices and Health Spending on the Privately Insured.” </w:t>
      </w:r>
      <w:r w:rsidRPr="002F227B">
        <w:rPr>
          <w:rFonts w:ascii="Times New Roman" w:hAnsi="Times New Roman" w:cs="Times New Roman"/>
          <w:i/>
          <w:iCs/>
        </w:rPr>
        <w:t>Quarterly Journal of Economics</w:t>
      </w:r>
      <w:r w:rsidRPr="002F227B">
        <w:rPr>
          <w:rFonts w:ascii="Times New Roman" w:hAnsi="Times New Roman" w:cs="Times New Roman"/>
        </w:rPr>
        <w:t xml:space="preserve"> (2019), Online Appendix, Appendix Table XVI. </w:t>
      </w:r>
    </w:p>
  </w:footnote>
  <w:footnote w:id="178">
    <w:p w14:paraId="3D81603C" w14:textId="01EE44C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Because both the dependent variable (inpatient prices) and HHI are expressed as logarithms in this regression, the estimated coefficient on the logarithm of HHI can be interpreted as an elasticity. That is, if the estimated coefficient on the logarithm of HHI is β and HHI increases by </w:t>
      </w:r>
      <w:r w:rsidRPr="002F227B">
        <w:rPr>
          <w:rFonts w:ascii="Times New Roman" w:hAnsi="Times New Roman" w:cs="Times New Roman"/>
          <w:i/>
        </w:rPr>
        <w:t>p</w:t>
      </w:r>
      <w:r w:rsidRPr="002F227B">
        <w:rPr>
          <w:rFonts w:ascii="Times New Roman" w:hAnsi="Times New Roman" w:cs="Times New Roman"/>
        </w:rPr>
        <w:t xml:space="preserve"> percent, the predicted increase in prices is approximately β</w:t>
      </w:r>
      <w:r w:rsidRPr="002F227B">
        <w:rPr>
          <w:rFonts w:ascii="Times New Roman" w:hAnsi="Times New Roman" w:cs="Times New Roman"/>
          <w:i/>
        </w:rPr>
        <w:t xml:space="preserve"> × p</w:t>
      </w:r>
      <w:r w:rsidRPr="002F227B">
        <w:rPr>
          <w:rFonts w:ascii="Times New Roman" w:hAnsi="Times New Roman" w:cs="Times New Roman"/>
        </w:rPr>
        <w:t xml:space="preserve">. For example, 0.24 percent is calculated as the product of 0.05 (the five percent increase in HHI) and the coefficient of 0.047 from the authors’ estimate. Similarly, 0.50 percent is calculated as the product of 0.05 (the five percent increase in HHI) and the coefficient of 0.100 from the authors’ estimates. </w:t>
      </w:r>
    </w:p>
  </w:footnote>
  <w:footnote w:id="179">
    <w:p w14:paraId="2755A98D"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Asako Moriya, William B. Vogt, and Martin Gaynor. “Hospital prices and market structure in the hospital and insurance industries.” </w:t>
      </w:r>
      <w:r w:rsidRPr="002F227B">
        <w:rPr>
          <w:rFonts w:ascii="Times New Roman" w:hAnsi="Times New Roman" w:cs="Times New Roman"/>
          <w:i/>
        </w:rPr>
        <w:t>Health Economics</w:t>
      </w:r>
      <w:r w:rsidRPr="002F227B">
        <w:rPr>
          <w:rFonts w:ascii="Times New Roman" w:hAnsi="Times New Roman" w:cs="Times New Roman"/>
          <w:i/>
          <w:iCs/>
        </w:rPr>
        <w:t>, Policy and Law</w:t>
      </w:r>
      <w:r w:rsidRPr="002F227B">
        <w:rPr>
          <w:rFonts w:ascii="Times New Roman" w:hAnsi="Times New Roman" w:cs="Times New Roman"/>
        </w:rPr>
        <w:t xml:space="preserve"> (2010). </w:t>
      </w:r>
    </w:p>
  </w:footnote>
  <w:footnote w:id="180">
    <w:p w14:paraId="1C565234"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David Dranove, Richard Lindrooth, William D. White, and Jack Zwanziger. “Is the impact of managed care on hospital prices decreasing?” </w:t>
      </w:r>
      <w:r w:rsidRPr="002F227B">
        <w:rPr>
          <w:rFonts w:ascii="Times New Roman" w:hAnsi="Times New Roman" w:cs="Times New Roman"/>
          <w:i/>
          <w:iCs/>
        </w:rPr>
        <w:t>Journal of Health Economics</w:t>
      </w:r>
      <w:r w:rsidRPr="002F227B">
        <w:rPr>
          <w:rFonts w:ascii="Times New Roman" w:hAnsi="Times New Roman" w:cs="Times New Roman"/>
        </w:rPr>
        <w:t xml:space="preserve"> (2008). </w:t>
      </w:r>
    </w:p>
  </w:footnote>
  <w:footnote w:id="181">
    <w:p w14:paraId="369C4F69"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Glenn Melnick and Emmett Keeler. “The effects of multi-hospital systems on hospital prices.” </w:t>
      </w:r>
      <w:r w:rsidRPr="002F227B">
        <w:rPr>
          <w:rFonts w:ascii="Times New Roman" w:hAnsi="Times New Roman" w:cs="Times New Roman"/>
          <w:i/>
          <w:iCs/>
        </w:rPr>
        <w:t xml:space="preserve">Journal of Health Economics </w:t>
      </w:r>
      <w:r w:rsidRPr="002F227B">
        <w:rPr>
          <w:rFonts w:ascii="Times New Roman" w:hAnsi="Times New Roman" w:cs="Times New Roman"/>
        </w:rPr>
        <w:t xml:space="preserve">(2007). </w:t>
      </w:r>
    </w:p>
  </w:footnote>
  <w:footnote w:id="182">
    <w:p w14:paraId="2399150A" w14:textId="52775D58"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Yaa Akosa Antwi, Martin S. Ganor, and William B. Vogt. “A Bargain at Twice the Price? California Hospital Prices in the New Millennium.” </w:t>
      </w:r>
      <w:r w:rsidRPr="002F227B">
        <w:rPr>
          <w:rFonts w:ascii="Times New Roman" w:hAnsi="Times New Roman" w:cs="Times New Roman"/>
          <w:i/>
          <w:iCs/>
        </w:rPr>
        <w:t>Forum for Health Economics &amp; Policy</w:t>
      </w:r>
      <w:r w:rsidRPr="002F227B">
        <w:rPr>
          <w:rFonts w:ascii="Times New Roman" w:hAnsi="Times New Roman" w:cs="Times New Roman"/>
        </w:rPr>
        <w:t xml:space="preserve"> (2009).</w:t>
      </w:r>
    </w:p>
  </w:footnote>
  <w:footnote w:id="183">
    <w:p w14:paraId="4343887F"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Martin Gaynor and Robert Town. “The impact of hospital consolidation—Update.” Robert Wood Johnson Foundation: The Synthesis Project (2012). </w:t>
      </w:r>
    </w:p>
  </w:footnote>
  <w:footnote w:id="184">
    <w:p w14:paraId="10D84A21"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Martin Gaynor, Kate Ho, and Robert J. Town. “The Industrial Organization of Health-Care Markets.” </w:t>
      </w:r>
      <w:r w:rsidRPr="002F227B">
        <w:rPr>
          <w:rFonts w:ascii="Times New Roman" w:hAnsi="Times New Roman" w:cs="Times New Roman"/>
          <w:i/>
        </w:rPr>
        <w:t>Journal of Economic Literature</w:t>
      </w:r>
      <w:r w:rsidRPr="002F227B">
        <w:rPr>
          <w:rFonts w:ascii="Times New Roman" w:hAnsi="Times New Roman" w:cs="Times New Roman"/>
        </w:rPr>
        <w:t xml:space="preserve"> (2015). </w:t>
      </w:r>
    </w:p>
  </w:footnote>
  <w:footnote w:id="185">
    <w:p w14:paraId="19229469" w14:textId="6FC63DE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Kate Ho. “Insurer-Provider Networks in the Medical Care Market.” </w:t>
      </w:r>
      <w:r w:rsidRPr="002F227B">
        <w:rPr>
          <w:rFonts w:ascii="Times New Roman" w:hAnsi="Times New Roman" w:cs="Times New Roman"/>
          <w:i/>
        </w:rPr>
        <w:t xml:space="preserve">The American Economic Review </w:t>
      </w:r>
      <w:r w:rsidRPr="002F227B">
        <w:rPr>
          <w:rFonts w:ascii="Times New Roman" w:hAnsi="Times New Roman" w:cs="Times New Roman"/>
        </w:rPr>
        <w:t>(2009).</w:t>
      </w:r>
    </w:p>
  </w:footnote>
  <w:footnote w:id="186">
    <w:p w14:paraId="594BE047" w14:textId="4EE7EF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author defines a hospital as capacity-constrained if, according to their model of patient hospital demand, the hospital’s expected utilization in terms of patient days exceeds 85 percent of its maximum capacity, calculated as its bed count times 365 days.</w:t>
      </w:r>
    </w:p>
    <w:p w14:paraId="68669FD9" w14:textId="7D9040E4" w:rsidR="00CF3141" w:rsidRPr="002F227B" w:rsidRDefault="00CF3141" w:rsidP="00335D93">
      <w:pPr>
        <w:pStyle w:val="FootnoteText"/>
        <w:ind w:firstLine="720"/>
        <w:rPr>
          <w:rFonts w:ascii="Times New Roman" w:hAnsi="Times New Roman" w:cs="Times New Roman"/>
        </w:rPr>
      </w:pPr>
      <w:r w:rsidRPr="002F227B">
        <w:rPr>
          <w:rFonts w:ascii="Times New Roman" w:hAnsi="Times New Roman" w:cs="Times New Roman"/>
        </w:rPr>
        <w:t>The author also finds that “star” hospitals are able to negotiate payments from health insurers that are $6,700 more than hospitals that are not “stars,” which is similar to her finding on capacity-constrained hospitals. The author explains that capacity-constrained hospitals tend to be stars (and vice versa), but that the effect from capacity-constraints is important because “capacity constraints seem to give the hospital additional leverage in the bargaining process, perhaps by acting as a commitment device to persuade plans that it will choose to contract selectively.”</w:t>
      </w:r>
    </w:p>
  </w:footnote>
  <w:footnote w:id="187">
    <w:p w14:paraId="1EA48F44" w14:textId="7C70426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Federal Trade Commission and Department of Justice, “Improving Health Care: A Dose of Competition.” (July 2004), Chapter 8, p. 1. </w:t>
      </w:r>
    </w:p>
  </w:footnote>
  <w:footnote w:id="188">
    <w:p w14:paraId="2A18E1F8" w14:textId="79AF716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t>
      </w:r>
      <w:r w:rsidRPr="002F227B">
        <w:rPr>
          <w:rFonts w:ascii="Times New Roman" w:hAnsi="Times New Roman" w:cs="Times New Roman"/>
          <w:i/>
        </w:rPr>
        <w:t>See</w:t>
      </w:r>
      <w:r w:rsidRPr="002F227B">
        <w:rPr>
          <w:rFonts w:ascii="Times New Roman" w:hAnsi="Times New Roman" w:cs="Times New Roman"/>
        </w:rPr>
        <w:t xml:space="preserve">, for example, Federal Trade Commission and Department of Justice, “Improving Health Care: A Dose of Competition.” (July 2004), Executive Summary, p. 22; Joint Statement of the Antitrust Division of the U.S. Department of Justice and the Federal Trade Commission on Certificate-of-Need Laws and Alaska Senate Bill 62; Federal Trade Commission Office of Policy Planning, Bureau of Competition, and Bureau of Economics Comment Before the Georgia Department of Community Health (October 16, 2017); Statement of Commissioner Christine S. Wilson, Joined by Commissioner Noah Joshua Phillips, </w:t>
      </w:r>
      <w:r w:rsidRPr="002F227B">
        <w:rPr>
          <w:rFonts w:ascii="Times New Roman" w:hAnsi="Times New Roman" w:cs="Times New Roman"/>
          <w:i/>
          <w:iCs/>
        </w:rPr>
        <w:t>In the Matter of Methodist Hospital/Tenet St. Francis Hospital</w:t>
      </w:r>
      <w:r w:rsidRPr="002F227B">
        <w:rPr>
          <w:rFonts w:ascii="Times New Roman" w:hAnsi="Times New Roman" w:cs="Times New Roman"/>
        </w:rPr>
        <w:t xml:space="preserve">, File No. 1910-0189 (November 13, 2020); Maureen K. Ohlhausen, “Certificate of Need Laws: A Prescription for Higher Costs.” </w:t>
      </w:r>
      <w:r w:rsidRPr="002F227B">
        <w:rPr>
          <w:rFonts w:ascii="Times New Roman" w:hAnsi="Times New Roman" w:cs="Times New Roman"/>
          <w:i/>
        </w:rPr>
        <w:t>Antitrust</w:t>
      </w:r>
      <w:r w:rsidRPr="002F227B">
        <w:rPr>
          <w:rFonts w:ascii="Times New Roman" w:hAnsi="Times New Roman" w:cs="Times New Roman"/>
        </w:rPr>
        <w:t xml:space="preserve"> (2015). </w:t>
      </w:r>
    </w:p>
  </w:footnote>
  <w:footnote w:id="189">
    <w:p w14:paraId="17A1BEC3"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Matthew D. Mitchell. “Do Certificate-of-Need Laws Limit Spending?” Mercatus Working Paper, Mercatus Center, George Mason University (2016). </w:t>
      </w:r>
    </w:p>
  </w:footnote>
  <w:footnote w:id="190">
    <w:p w14:paraId="3320063F"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Matthew D. Mitchell. “Do Certificate-of-Need Laws Limit Spending?” Mercatus Working Paper, Mercatus Center, George Mason University (2016), p. 29. </w:t>
      </w:r>
    </w:p>
  </w:footnote>
  <w:footnote w:id="191">
    <w:p w14:paraId="6E9C7CB2"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Christopher J. Conover and James Bailey. “Certificate of need laws: a systematic review and cost-effectiveness review.” BMC Health Services Research (2020).</w:t>
      </w:r>
    </w:p>
  </w:footnote>
  <w:footnote w:id="192">
    <w:p w14:paraId="47365337" w14:textId="4A4DC0D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All calculations in this section adopt the inpatient service line definitions we described in Section </w:t>
      </w:r>
      <w:r w:rsidRPr="002F227B">
        <w:rPr>
          <w:rFonts w:ascii="Times New Roman" w:hAnsi="Times New Roman" w:cs="Times New Roman"/>
        </w:rPr>
        <w:fldChar w:fldCharType="begin"/>
      </w:r>
      <w:r w:rsidRPr="002F227B">
        <w:rPr>
          <w:rFonts w:ascii="Times New Roman" w:hAnsi="Times New Roman" w:cs="Times New Roman"/>
        </w:rPr>
        <w:instrText xml:space="preserve"> REF _Ref88655817 \r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III</w:t>
      </w:r>
      <w:r w:rsidRPr="002F227B">
        <w:rPr>
          <w:rFonts w:ascii="Times New Roman" w:hAnsi="Times New Roman" w:cs="Times New Roman"/>
        </w:rPr>
        <w:fldChar w:fldCharType="end"/>
      </w:r>
      <w:r w:rsidRPr="002F227B">
        <w:rPr>
          <w:rFonts w:ascii="Times New Roman" w:hAnsi="Times New Roman" w:cs="Times New Roman"/>
        </w:rPr>
        <w:t>.</w:t>
      </w:r>
      <w:r w:rsidRPr="002F227B">
        <w:rPr>
          <w:rFonts w:ascii="Times New Roman" w:hAnsi="Times New Roman" w:cs="Times New Roman"/>
        </w:rPr>
        <w:fldChar w:fldCharType="begin"/>
      </w:r>
      <w:r w:rsidRPr="002F227B">
        <w:rPr>
          <w:rFonts w:ascii="Times New Roman" w:hAnsi="Times New Roman" w:cs="Times New Roman"/>
        </w:rPr>
        <w:instrText xml:space="preserve"> REF _Ref88219827 \w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B</w:t>
      </w:r>
      <w:r w:rsidRPr="002F227B">
        <w:rPr>
          <w:rFonts w:ascii="Times New Roman" w:hAnsi="Times New Roman" w:cs="Times New Roman"/>
        </w:rPr>
        <w:fldChar w:fldCharType="end"/>
      </w:r>
      <w:r w:rsidRPr="002F227B">
        <w:rPr>
          <w:rFonts w:ascii="Times New Roman" w:hAnsi="Times New Roman" w:cs="Times New Roman"/>
        </w:rPr>
        <w:t>.</w:t>
      </w:r>
      <w:r w:rsidRPr="002F227B">
        <w:rPr>
          <w:rFonts w:ascii="Times New Roman" w:hAnsi="Times New Roman" w:cs="Times New Roman"/>
        </w:rPr>
        <w:fldChar w:fldCharType="begin"/>
      </w:r>
      <w:r w:rsidRPr="002F227B">
        <w:rPr>
          <w:rFonts w:ascii="Times New Roman" w:hAnsi="Times New Roman" w:cs="Times New Roman"/>
        </w:rPr>
        <w:instrText xml:space="preserve"> REF _Ref88474859 \w \h  \* MERGEFORMAT </w:instrText>
      </w:r>
      <w:r w:rsidRPr="002F227B">
        <w:rPr>
          <w:rFonts w:ascii="Times New Roman" w:hAnsi="Times New Roman" w:cs="Times New Roman"/>
        </w:rPr>
      </w:r>
      <w:r w:rsidRPr="002F227B">
        <w:rPr>
          <w:rFonts w:ascii="Times New Roman" w:hAnsi="Times New Roman" w:cs="Times New Roman"/>
        </w:rPr>
        <w:fldChar w:fldCharType="separate"/>
      </w:r>
      <w:r>
        <w:rPr>
          <w:rFonts w:ascii="Times New Roman" w:hAnsi="Times New Roman" w:cs="Times New Roman"/>
        </w:rPr>
        <w:t>1</w:t>
      </w:r>
      <w:r w:rsidRPr="002F227B">
        <w:rPr>
          <w:rFonts w:ascii="Times New Roman" w:hAnsi="Times New Roman" w:cs="Times New Roman"/>
        </w:rPr>
        <w:fldChar w:fldCharType="end"/>
      </w:r>
      <w:r w:rsidRPr="002F227B">
        <w:rPr>
          <w:rFonts w:ascii="Times New Roman" w:hAnsi="Times New Roman" w:cs="Times New Roman"/>
        </w:rPr>
        <w:t xml:space="preserve">. </w:t>
      </w:r>
    </w:p>
  </w:footnote>
  <w:footnote w:id="193">
    <w:p w14:paraId="17D12AEA" w14:textId="4ABE7A0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t>
      </w:r>
      <w:r w:rsidRPr="002F227B">
        <w:rPr>
          <w:rFonts w:ascii="Times New Roman" w:hAnsi="Times New Roman" w:cs="Times New Roman"/>
          <w:i/>
        </w:rPr>
        <w:t>See</w:t>
      </w:r>
      <w:r w:rsidRPr="002F227B">
        <w:rPr>
          <w:rFonts w:ascii="Times New Roman" w:hAnsi="Times New Roman" w:cs="Times New Roman"/>
        </w:rPr>
        <w:t>, for example</w:t>
      </w:r>
      <w:r w:rsidRPr="002F227B">
        <w:rPr>
          <w:rFonts w:ascii="Times New Roman" w:hAnsi="Times New Roman" w:cs="Times New Roman"/>
          <w:i/>
          <w:iCs/>
        </w:rPr>
        <w:t xml:space="preserve">, </w:t>
      </w:r>
      <w:r w:rsidRPr="002F227B">
        <w:rPr>
          <w:rFonts w:ascii="Times New Roman" w:hAnsi="Times New Roman" w:cs="Times New Roman"/>
        </w:rPr>
        <w:t xml:space="preserve">Christopher Garmon. “The accuracy of hospital screening methods.” </w:t>
      </w:r>
      <w:r w:rsidRPr="002F227B">
        <w:rPr>
          <w:rFonts w:ascii="Times New Roman" w:hAnsi="Times New Roman" w:cs="Times New Roman"/>
          <w:i/>
          <w:iCs/>
        </w:rPr>
        <w:t xml:space="preserve">RAND Journal of Economics </w:t>
      </w:r>
      <w:r w:rsidRPr="002F227B">
        <w:rPr>
          <w:rFonts w:ascii="Times New Roman" w:hAnsi="Times New Roman" w:cs="Times New Roman"/>
        </w:rPr>
        <w:t>(2017).</w:t>
      </w:r>
    </w:p>
  </w:footnote>
  <w:footnote w:id="194">
    <w:p w14:paraId="4E68098E" w14:textId="0B023B6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U.S. Department of Justice and the Federal Trade Commission. </w:t>
      </w:r>
      <w:r w:rsidRPr="002F227B">
        <w:rPr>
          <w:rFonts w:ascii="Times New Roman" w:hAnsi="Times New Roman" w:cs="Times New Roman"/>
          <w:i/>
          <w:iCs/>
        </w:rPr>
        <w:t>Horizontal Merger Guidelines</w:t>
      </w:r>
      <w:r w:rsidRPr="002F227B">
        <w:rPr>
          <w:rFonts w:ascii="Times New Roman" w:hAnsi="Times New Roman" w:cs="Times New Roman"/>
        </w:rPr>
        <w:t xml:space="preserve"> (2010)</w:t>
      </w:r>
      <w:r w:rsidRPr="002F227B">
        <w:rPr>
          <w:rFonts w:ascii="Times New Roman" w:hAnsi="Times New Roman" w:cs="Times New Roman"/>
          <w:i/>
          <w:iCs/>
        </w:rPr>
        <w:t xml:space="preserve">, </w:t>
      </w:r>
      <w:r w:rsidRPr="002F227B">
        <w:rPr>
          <w:rFonts w:ascii="Times New Roman" w:hAnsi="Times New Roman" w:cs="Times New Roman"/>
        </w:rPr>
        <w:t xml:space="preserve">Section 4. </w:t>
      </w:r>
    </w:p>
  </w:footnote>
  <w:footnote w:id="195">
    <w:p w14:paraId="6174E7E7" w14:textId="1FAA591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U.S. Department of Justice and the Federal Trade Commission. </w:t>
      </w:r>
      <w:r w:rsidRPr="002F227B">
        <w:rPr>
          <w:rFonts w:ascii="Times New Roman" w:hAnsi="Times New Roman" w:cs="Times New Roman"/>
          <w:i/>
          <w:iCs/>
        </w:rPr>
        <w:t>Horizontal Merger Guidelines</w:t>
      </w:r>
      <w:r w:rsidRPr="002F227B">
        <w:rPr>
          <w:rFonts w:ascii="Times New Roman" w:hAnsi="Times New Roman" w:cs="Times New Roman"/>
        </w:rPr>
        <w:t xml:space="preserve"> (2010)</w:t>
      </w:r>
      <w:r w:rsidRPr="002F227B">
        <w:rPr>
          <w:rFonts w:ascii="Times New Roman" w:hAnsi="Times New Roman" w:cs="Times New Roman"/>
          <w:i/>
          <w:iCs/>
        </w:rPr>
        <w:t xml:space="preserve">, </w:t>
      </w:r>
      <w:r w:rsidRPr="002F227B">
        <w:rPr>
          <w:rFonts w:ascii="Times New Roman" w:hAnsi="Times New Roman" w:cs="Times New Roman"/>
        </w:rPr>
        <w:t>§ 5.3.</w:t>
      </w:r>
    </w:p>
  </w:footnote>
  <w:footnote w:id="196">
    <w:p w14:paraId="0B49B3F0" w14:textId="63684FA3" w:rsidR="00CF3141" w:rsidRPr="002F227B" w:rsidRDefault="00CF3141" w:rsidP="00335D93">
      <w:pPr>
        <w:spacing w:line="240" w:lineRule="auto"/>
        <w:rPr>
          <w:rFonts w:ascii="Times New Roman" w:eastAsia="Times New Roman" w:hAnsi="Times New Roman" w:cs="Times New Roman"/>
          <w:sz w:val="20"/>
          <w:szCs w:val="20"/>
        </w:rPr>
      </w:pPr>
      <w:r w:rsidRPr="002F227B">
        <w:rPr>
          <w:rStyle w:val="FootnoteReference"/>
          <w:rFonts w:ascii="Times New Roman" w:eastAsia="Times New Roman" w:hAnsi="Times New Roman" w:cs="Times New Roman"/>
          <w:sz w:val="20"/>
          <w:szCs w:val="20"/>
        </w:rPr>
        <w:footnoteRef/>
      </w:r>
      <w:r w:rsidRPr="002F227B">
        <w:rPr>
          <w:rFonts w:ascii="Times New Roman" w:eastAsia="Times New Roman" w:hAnsi="Times New Roman" w:cs="Times New Roman"/>
          <w:sz w:val="20"/>
          <w:szCs w:val="20"/>
        </w:rPr>
        <w:t xml:space="preserve"> MGH Application Response – Excel Submission, Tab 3.b.</w:t>
      </w:r>
    </w:p>
  </w:footnote>
  <w:footnote w:id="197">
    <w:p w14:paraId="03C7F27B" w14:textId="223BEB7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Section 2.1, pp. 1-2 and MGH Bed Summary Response, p. 2.</w:t>
      </w:r>
    </w:p>
  </w:footnote>
  <w:footnote w:id="198">
    <w:p w14:paraId="407F8EEE" w14:textId="6EC9A740"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p. 2. </w:t>
      </w:r>
    </w:p>
  </w:footnote>
  <w:footnote w:id="199">
    <w:p w14:paraId="370EE5C6" w14:textId="2DCF60A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p. 11. </w:t>
      </w:r>
    </w:p>
  </w:footnote>
  <w:footnote w:id="200">
    <w:p w14:paraId="7F3C797D" w14:textId="460DFFA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MedPAC Payment Basics, “Hospital Acute Inpatient Services Payment System,” (Revised: November 2021), </w:t>
      </w:r>
      <w:r w:rsidRPr="002F227B">
        <w:rPr>
          <w:rFonts w:ascii="Times New Roman" w:hAnsi="Times New Roman" w:cs="Times New Roman"/>
          <w:i/>
          <w:iCs/>
        </w:rPr>
        <w:t>available at</w:t>
      </w:r>
      <w:r w:rsidRPr="002F227B">
        <w:rPr>
          <w:rFonts w:ascii="Times New Roman" w:hAnsi="Times New Roman" w:cs="Times New Roman"/>
        </w:rPr>
        <w:t xml:space="preserve"> https://www.medpac.gov/wp-content/uploads/2021/11/medpac_payment_basics_21_hospital_</w:t>
      </w:r>
      <w:r w:rsidRPr="002F227B">
        <w:rPr>
          <w:rFonts w:ascii="Times New Roman" w:hAnsi="Times New Roman" w:cs="Times New Roman"/>
        </w:rPr>
        <w:br/>
        <w:t>final_sec.pdf.</w:t>
      </w:r>
    </w:p>
  </w:footnote>
  <w:footnote w:id="201">
    <w:p w14:paraId="4E0DA8E5" w14:textId="604B7C8F"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Mass General Brigham, CMS-Required Hospital Charge Data, </w:t>
      </w:r>
      <w:r w:rsidRPr="002F227B">
        <w:rPr>
          <w:rFonts w:ascii="Times New Roman" w:hAnsi="Times New Roman" w:cs="Times New Roman"/>
          <w:i/>
          <w:iCs/>
        </w:rPr>
        <w:t>available at</w:t>
      </w:r>
      <w:r w:rsidRPr="002F227B">
        <w:rPr>
          <w:rFonts w:ascii="Times New Roman" w:hAnsi="Times New Roman" w:cs="Times New Roman"/>
        </w:rPr>
        <w:t xml:space="preserve"> https://healthcare.partners.org/pricetransparency/042697983_Massachusetts-General-Hospital_StandardCharges.zip.</w:t>
      </w:r>
    </w:p>
  </w:footnote>
  <w:footnote w:id="202">
    <w:p w14:paraId="7D153606"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MassHealth: Payment for In-State Acute Hospital Services and Out-of-State Acute Hospital Services, effective November 1, 2021. Attachment B, </w:t>
      </w:r>
      <w:r w:rsidRPr="002F227B">
        <w:rPr>
          <w:rFonts w:ascii="Times New Roman" w:hAnsi="Times New Roman" w:cs="Times New Roman"/>
          <w:i/>
          <w:iCs/>
        </w:rPr>
        <w:t>available at</w:t>
      </w:r>
      <w:r w:rsidRPr="002F227B">
        <w:rPr>
          <w:rFonts w:ascii="Times New Roman" w:hAnsi="Times New Roman" w:cs="Times New Roman"/>
        </w:rPr>
        <w:t xml:space="preserve"> https://www.mass.gov/doc/notice-of-final-agency-action-masshealth-payment-for-in-state-acute-hospital-services-and-out-of-state-acute-hospital-services-effective-november-1-2021-0.</w:t>
      </w:r>
    </w:p>
  </w:footnote>
  <w:footnote w:id="203">
    <w:p w14:paraId="5AD553B5" w14:textId="39217AA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Using CHIA’s Inpatient Relative Price Data, we were able to determine the relative prices for 58 percent of the discharges in the Hospital Inpatient Discharge Data used to estimate our model of demand for inpatient hospital services (excluding patients enrolled in Original Medicare or MassHealth non-managed care plans).</w:t>
      </w:r>
    </w:p>
  </w:footnote>
  <w:footnote w:id="204">
    <w:p w14:paraId="37E2755A" w14:textId="5E11807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Since BWFH and Beth Israel Lahey HOPD are located in the same wage rate area (and geography), they get the same reimbursement rates for outpatient services from Original Medicare (or MassHealth non-manage care).</w:t>
      </w:r>
      <w:r w:rsidR="00B67FE9">
        <w:rPr>
          <w:rFonts w:ascii="Times New Roman" w:hAnsi="Times New Roman" w:cs="Times New Roman"/>
        </w:rPr>
        <w:t xml:space="preserve">  </w:t>
      </w:r>
    </w:p>
  </w:footnote>
  <w:footnote w:id="205">
    <w:p w14:paraId="38AF95EA" w14:textId="601C548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To determine relative prices, we calculate the allowed amounts for outpatient MR scans relative to the Medicare fee schedule by health insurer, type of health plan coverage (</w:t>
      </w:r>
      <w:r w:rsidRPr="002F227B">
        <w:rPr>
          <w:rFonts w:ascii="Times New Roman" w:hAnsi="Times New Roman" w:cs="Times New Roman"/>
          <w:i/>
          <w:iCs/>
        </w:rPr>
        <w:t>e.g.</w:t>
      </w:r>
      <w:r w:rsidRPr="002F227B">
        <w:rPr>
          <w:rFonts w:ascii="Times New Roman" w:hAnsi="Times New Roman" w:cs="Times New Roman"/>
        </w:rPr>
        <w:t>, commercial or Medicare health plan), health system (</w:t>
      </w:r>
      <w:r w:rsidRPr="002F227B">
        <w:rPr>
          <w:rFonts w:ascii="Times New Roman" w:hAnsi="Times New Roman" w:cs="Times New Roman"/>
          <w:i/>
        </w:rPr>
        <w:t>e.g.</w:t>
      </w:r>
      <w:r w:rsidRPr="002F227B">
        <w:rPr>
          <w:rFonts w:ascii="Times New Roman" w:hAnsi="Times New Roman" w:cs="Times New Roman"/>
        </w:rPr>
        <w:t>, MGB or Beth Israel Lahey Health), facility type (</w:t>
      </w:r>
      <w:r w:rsidRPr="002F227B">
        <w:rPr>
          <w:rFonts w:ascii="Times New Roman" w:hAnsi="Times New Roman" w:cs="Times New Roman"/>
          <w:i/>
          <w:iCs/>
        </w:rPr>
        <w:t>e.g</w:t>
      </w:r>
      <w:r w:rsidRPr="002F227B">
        <w:rPr>
          <w:rFonts w:ascii="Times New Roman" w:hAnsi="Times New Roman" w:cs="Times New Roman"/>
        </w:rPr>
        <w:t>., HOPD or freestanding diagnostic imaging center), and facility ZIP Code. For some patients who are predicted to switch from a competing provider to MGH, there was an insufficient amount of pricing data in the APCD to reliably calculate relative price of MGH and the competing provider. We do not use the relative price information for these patients for our per-procedure estimate of the change in expenditures on outpatient MR scans.</w:t>
      </w:r>
    </w:p>
  </w:footnote>
  <w:footnote w:id="206">
    <w:p w14:paraId="78E771AD" w14:textId="6D85E00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We calculate the overall change in health care expenditures as a weighted average of the changes in health care expenditures for the patients who are predicted to switch. </w:t>
      </w:r>
    </w:p>
    <w:p w14:paraId="263BA795" w14:textId="459FFDC3" w:rsidR="00CF3141" w:rsidRPr="002F227B" w:rsidRDefault="00CF3141" w:rsidP="00335D93">
      <w:pPr>
        <w:pStyle w:val="FootnoteText"/>
        <w:ind w:firstLine="720"/>
        <w:rPr>
          <w:rFonts w:ascii="Times New Roman" w:hAnsi="Times New Roman" w:cs="Times New Roman"/>
        </w:rPr>
      </w:pPr>
      <w:r w:rsidRPr="002F227B">
        <w:rPr>
          <w:rFonts w:ascii="Times New Roman" w:hAnsi="Times New Roman" w:cs="Times New Roman"/>
        </w:rPr>
        <w:t>For example, suppose that 50 percent of the patients switching to MGH for outpatient MR scans are BCBS-MA commercial health plan members who switched from a Shields Health Care Group facility and 30 percent are Tufts Health plan Medicare health plan members who switched from a Beth Israel Lahey Health HOPD. Further suppose that we lack reliable information on the relative prices for the remaining 20 percent of patients predicted to switch to MGH.</w:t>
      </w:r>
    </w:p>
    <w:p w14:paraId="4317137D" w14:textId="05D16DD4" w:rsidR="00CF3141" w:rsidRPr="002F227B" w:rsidRDefault="00CF3141" w:rsidP="00335D93">
      <w:pPr>
        <w:pStyle w:val="FootnoteText"/>
        <w:ind w:firstLine="720"/>
        <w:rPr>
          <w:rFonts w:ascii="Times New Roman" w:hAnsi="Times New Roman" w:cs="Times New Roman"/>
        </w:rPr>
      </w:pPr>
      <w:r w:rsidRPr="002F227B">
        <w:rPr>
          <w:rFonts w:ascii="Times New Roman" w:hAnsi="Times New Roman" w:cs="Times New Roman"/>
        </w:rPr>
        <w:t>If, hypothetically, MGH’s prices for BCBS-MA commercial health plan members are ten percent higher than Shield’s Health Care Group’s prices for these patients, and MGH’s prices for Tuft’s Health Plan Medicare health plan members are five percent higher than Beth Israel Lahey Health’s prices for these patients, we would calculate the average change in health care expenditures for each patient who switches to MGH as (0.50 × 0.10 + 0.30 × 0.05) ÷ (0.50 + 0.30) = 0.081, or 8.1 percent.</w:t>
      </w:r>
    </w:p>
  </w:footnote>
  <w:footnote w:id="207">
    <w:p w14:paraId="29C7F89E" w14:textId="5D9289F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Mark V. Pauly, Thomas G. McGuire, and Pedro Pita Barros (eds). </w:t>
      </w:r>
      <w:r w:rsidRPr="002F227B">
        <w:rPr>
          <w:rFonts w:ascii="Times New Roman" w:hAnsi="Times New Roman" w:cs="Times New Roman"/>
          <w:i/>
        </w:rPr>
        <w:t>Handbook of Health Economics</w:t>
      </w:r>
      <w:r w:rsidRPr="002F227B">
        <w:rPr>
          <w:rFonts w:ascii="Times New Roman" w:hAnsi="Times New Roman" w:cs="Times New Roman"/>
        </w:rPr>
        <w:t xml:space="preserve">, Volume 2. North Holland, Elsevier (2012) [hereinafter, </w:t>
      </w:r>
      <w:r w:rsidRPr="002F227B">
        <w:rPr>
          <w:rFonts w:ascii="Times New Roman" w:hAnsi="Times New Roman" w:cs="Times New Roman"/>
          <w:smallCaps/>
        </w:rPr>
        <w:t>Handbook</w:t>
      </w:r>
      <w:r w:rsidRPr="002F227B">
        <w:rPr>
          <w:rFonts w:ascii="Times New Roman" w:hAnsi="Times New Roman" w:cs="Times New Roman"/>
        </w:rPr>
        <w:t xml:space="preserve">], Chapter 6: Amitabh Chandra, David Cutler, and Zirui Song. “Who Ordered That? The Economics of Treatment Choices in Medical Care.” p. 414. This article provides a good overview of the underlying economic models of supply-induced demand. </w:t>
      </w:r>
    </w:p>
  </w:footnote>
  <w:footnote w:id="208">
    <w:p w14:paraId="2E1403E3"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t>
      </w:r>
      <w:r w:rsidRPr="002F227B">
        <w:rPr>
          <w:rFonts w:ascii="Times New Roman" w:hAnsi="Times New Roman" w:cs="Times New Roman"/>
          <w:smallCaps/>
        </w:rPr>
        <w:t>Handbook</w:t>
      </w:r>
      <w:r w:rsidRPr="002F227B">
        <w:rPr>
          <w:rFonts w:ascii="Times New Roman" w:hAnsi="Times New Roman" w:cs="Times New Roman"/>
        </w:rPr>
        <w:t>: Chapter 2: Jonathan Skinner. “Causes and Consequences of Regional Variation in Health Care.”, pp. 54-56.</w:t>
      </w:r>
    </w:p>
  </w:footnote>
  <w:footnote w:id="209">
    <w:p w14:paraId="56B3500E" w14:textId="10E8D47F"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Mark V. Pauly, Thomas G. McGuire, and Pedro Pita Barros (eds). </w:t>
      </w:r>
      <w:r w:rsidRPr="002F227B">
        <w:rPr>
          <w:rFonts w:ascii="Times New Roman" w:hAnsi="Times New Roman" w:cs="Times New Roman"/>
          <w:i/>
        </w:rPr>
        <w:t>Handbook of Health Economics</w:t>
      </w:r>
      <w:r w:rsidRPr="002F227B">
        <w:rPr>
          <w:rFonts w:ascii="Times New Roman" w:hAnsi="Times New Roman" w:cs="Times New Roman"/>
        </w:rPr>
        <w:t>, Volume 2. North Holland, Elsevier (2012), Chapter 6: Amitabh Chandra, David Cutler, and Zirui Song. “Who Ordered That? The Economics of Treatment Choices in Medical Care.” pp. 402-403.</w:t>
      </w:r>
    </w:p>
  </w:footnote>
  <w:footnote w:id="210">
    <w:p w14:paraId="3812FD88" w14:textId="104B9CD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Atul Gawande. “The Cost Conundrum,” </w:t>
      </w:r>
      <w:r w:rsidRPr="002F227B">
        <w:rPr>
          <w:rFonts w:ascii="Times New Roman" w:hAnsi="Times New Roman" w:cs="Times New Roman"/>
          <w:i/>
        </w:rPr>
        <w:t>The New Yorker</w:t>
      </w:r>
      <w:r w:rsidRPr="002F227B">
        <w:rPr>
          <w:rFonts w:ascii="Times New Roman" w:hAnsi="Times New Roman" w:cs="Times New Roman"/>
        </w:rPr>
        <w:t xml:space="preserve"> (June 1, 2009), </w:t>
      </w:r>
      <w:r w:rsidRPr="002F227B">
        <w:rPr>
          <w:rFonts w:ascii="Times New Roman" w:hAnsi="Times New Roman" w:cs="Times New Roman"/>
          <w:i/>
          <w:iCs/>
        </w:rPr>
        <w:t xml:space="preserve">available at </w:t>
      </w:r>
      <w:r w:rsidRPr="002F227B">
        <w:rPr>
          <w:rFonts w:ascii="Times New Roman" w:hAnsi="Times New Roman" w:cs="Times New Roman"/>
        </w:rPr>
        <w:t>https://www.newyorker.com/magazine/2009/06/01/the-cost-conundrum</w:t>
      </w:r>
      <w:r w:rsidRPr="002F227B">
        <w:rPr>
          <w:rFonts w:ascii="Times New Roman" w:hAnsi="Times New Roman" w:cs="Times New Roman"/>
          <w:iCs/>
        </w:rPr>
        <w:t>;</w:t>
      </w:r>
      <w:r w:rsidRPr="002F227B">
        <w:rPr>
          <w:rFonts w:ascii="Times New Roman" w:hAnsi="Times New Roman" w:cs="Times New Roman"/>
          <w:i/>
        </w:rPr>
        <w:t xml:space="preserve"> See</w:t>
      </w:r>
      <w:r w:rsidRPr="002F227B">
        <w:rPr>
          <w:rFonts w:ascii="Times New Roman" w:hAnsi="Times New Roman" w:cs="Times New Roman"/>
        </w:rPr>
        <w:t xml:space="preserve"> </w:t>
      </w:r>
      <w:r w:rsidRPr="002F227B">
        <w:rPr>
          <w:rFonts w:ascii="Times New Roman" w:hAnsi="Times New Roman" w:cs="Times New Roman"/>
          <w:i/>
        </w:rPr>
        <w:t>also</w:t>
      </w:r>
      <w:r w:rsidRPr="002F227B">
        <w:rPr>
          <w:rFonts w:ascii="Times New Roman" w:hAnsi="Times New Roman" w:cs="Times New Roman"/>
        </w:rPr>
        <w:t xml:space="preserve">, </w:t>
      </w:r>
      <w:r w:rsidRPr="002F227B">
        <w:rPr>
          <w:rFonts w:ascii="Times New Roman" w:hAnsi="Times New Roman" w:cs="Times New Roman"/>
          <w:smallCaps/>
        </w:rPr>
        <w:t>Handbook</w:t>
      </w:r>
      <w:r w:rsidRPr="002F227B">
        <w:rPr>
          <w:rFonts w:ascii="Times New Roman" w:hAnsi="Times New Roman" w:cs="Times New Roman"/>
        </w:rPr>
        <w:t>, Skinner, p. 62.</w:t>
      </w:r>
    </w:p>
  </w:footnote>
  <w:footnote w:id="211">
    <w:p w14:paraId="38504074" w14:textId="5A9F801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David Cutler, Jonathan S. Skinner, Ariel Dora Stern, and David Wennberg. “Physician Beliefs and Patient Preferences: A New Look at Regional Variation in Health Care Spending.” </w:t>
      </w:r>
      <w:r w:rsidRPr="002F227B">
        <w:rPr>
          <w:rFonts w:ascii="Times New Roman" w:hAnsi="Times New Roman" w:cs="Times New Roman"/>
          <w:i/>
        </w:rPr>
        <w:t>American Economic Journal of Economic Policy</w:t>
      </w:r>
      <w:r w:rsidRPr="002F227B">
        <w:rPr>
          <w:rFonts w:ascii="Times New Roman" w:hAnsi="Times New Roman" w:cs="Times New Roman"/>
        </w:rPr>
        <w:t xml:space="preserve"> (2019).</w:t>
      </w:r>
    </w:p>
  </w:footnote>
  <w:footnote w:id="212">
    <w:p w14:paraId="31F009D4" w14:textId="2A4C0D18" w:rsidR="00CF3141" w:rsidRPr="002F227B" w:rsidRDefault="00CF3141" w:rsidP="00335D93">
      <w:pPr>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The local proportion of cowboys/comforters explains 36 percent of variation; when the frequency of high- or low-follow-up recommenders is added, the regressions explain 62 percent of variation.</w:t>
      </w:r>
    </w:p>
  </w:footnote>
  <w:footnote w:id="213">
    <w:p w14:paraId="60B5E3A1" w14:textId="3F6D132C"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authors do find that practice type is associated with treatment recommendations. Solo or two-person practices—practicing in an environment that is dissimilar to MGB-employed physicians—are more likely to be cowboys and high-follow-up physicians. </w:t>
      </w:r>
    </w:p>
  </w:footnote>
  <w:footnote w:id="214">
    <w:p w14:paraId="25AF92C3" w14:textId="6E1FA56A"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Jeffrey Clemens and Joshua Gottlieb. “Do Physicians’ Financial Incentives Affect Medical Treatment and Patient Health?” </w:t>
      </w:r>
      <w:r w:rsidRPr="002F227B">
        <w:rPr>
          <w:rFonts w:ascii="Times New Roman" w:hAnsi="Times New Roman" w:cs="Times New Roman"/>
          <w:i/>
        </w:rPr>
        <w:t>American Economic Review</w:t>
      </w:r>
      <w:r w:rsidRPr="002F227B">
        <w:rPr>
          <w:rFonts w:ascii="Times New Roman" w:hAnsi="Times New Roman" w:cs="Times New Roman"/>
        </w:rPr>
        <w:t xml:space="preserve"> (2014).</w:t>
      </w:r>
    </w:p>
  </w:footnote>
  <w:footnote w:id="215">
    <w:p w14:paraId="747F6805" w14:textId="3D339D1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CMS varies the fee schedule amounts for physicians using “Geographic Adjustment Factors” that account for differences in where physicians practice. In 1997, CMS consolidated the regions in which these Geographic Adjustment Factors were calculated. As a result, some physicians experienced increases in Medicare reimbursements while others experienced decreases. </w:t>
      </w:r>
    </w:p>
  </w:footnote>
  <w:footnote w:id="216">
    <w:p w14:paraId="5B59D645" w14:textId="303162AA"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Specifically, the authors estimate a long-run elasticity of 1.5 but note that Medicare reimbursement rates compensate physicians for the costs they incur in addition to their own efforts. Using an average of about 40 percent of Medicare reimbursement attributable to physician work, they calculate a wage elasticity of 0.6.</w:t>
      </w:r>
    </w:p>
  </w:footnote>
  <w:footnote w:id="217">
    <w:p w14:paraId="38DD2390" w14:textId="0973411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Kei Ikegami, Ken Onishi, and Naoki Wakamori. “Competition-driven physician-induced demand.” </w:t>
      </w:r>
      <w:r w:rsidRPr="002F227B">
        <w:rPr>
          <w:rFonts w:ascii="Times New Roman" w:hAnsi="Times New Roman" w:cs="Times New Roman"/>
          <w:i/>
        </w:rPr>
        <w:t>Journal of Health Economics</w:t>
      </w:r>
      <w:r w:rsidRPr="002F227B">
        <w:rPr>
          <w:rFonts w:ascii="Times New Roman" w:hAnsi="Times New Roman" w:cs="Times New Roman"/>
        </w:rPr>
        <w:t xml:space="preserve"> (2021).</w:t>
      </w:r>
    </w:p>
  </w:footnote>
  <w:footnote w:id="218">
    <w:p w14:paraId="4DA6A582"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Amy Finkelstein, Matthew Gentzkow, and Heidi Williams. “Sources of Geographic Variation in Health Care: Evidence from Patient Migration.” </w:t>
      </w:r>
      <w:r w:rsidRPr="002F227B">
        <w:rPr>
          <w:rFonts w:ascii="Times New Roman" w:hAnsi="Times New Roman" w:cs="Times New Roman"/>
          <w:i/>
        </w:rPr>
        <w:t>Quarterly Journal of Economics</w:t>
      </w:r>
      <w:r w:rsidRPr="002F227B">
        <w:rPr>
          <w:rFonts w:ascii="Times New Roman" w:hAnsi="Times New Roman" w:cs="Times New Roman"/>
        </w:rPr>
        <w:t xml:space="preserve"> (2016).</w:t>
      </w:r>
    </w:p>
  </w:footnote>
  <w:footnote w:id="219">
    <w:p w14:paraId="47076FF7" w14:textId="007EBF54"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Gary J. Young, E. David Zapada, Stephen Flaherty, and Ngoc Thai. “Hospital Employment Of Physicians In Massachusetts Is Associated With Inappropriate Diagnostic Imaging.” </w:t>
      </w:r>
      <w:r w:rsidRPr="002F227B">
        <w:rPr>
          <w:rFonts w:ascii="Times New Roman" w:hAnsi="Times New Roman" w:cs="Times New Roman"/>
          <w:i/>
        </w:rPr>
        <w:t>Health Affairs</w:t>
      </w:r>
      <w:r w:rsidRPr="002F227B">
        <w:rPr>
          <w:rFonts w:ascii="Times New Roman" w:hAnsi="Times New Roman" w:cs="Times New Roman"/>
        </w:rPr>
        <w:t xml:space="preserve"> (2021).</w:t>
      </w:r>
    </w:p>
  </w:footnote>
  <w:footnote w:id="220">
    <w:p w14:paraId="11A0EE2F" w14:textId="66E5DFBF" w:rsidR="00CF3141" w:rsidRPr="002F227B" w:rsidRDefault="00CF3141" w:rsidP="00335D93">
      <w:pPr>
        <w:pStyle w:val="Default"/>
        <w:spacing w:after="120"/>
        <w:jc w:val="both"/>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Edwin J.R. van Beek, Christiane Kuhl, Yoshimi Anzai, Patricia Desmond, Richard L. Ehman, Qiyong Gong, Garry Gold, Vikas Gulani, Margaret Hall-Craggs, Tim Leiner, C.C. Tschoyoson Lim, James G. Pipe, Scott Reeder, Caroline Reinhold, Marion Smits, Daniel K. Sodickson, Clare Tempany, H. Alberto Vargas, and Meiyun Wang. “Value of MRI in Medicine: More Than Just Another Test?” </w:t>
      </w:r>
      <w:r w:rsidRPr="002F227B">
        <w:rPr>
          <w:rFonts w:ascii="Times New Roman" w:hAnsi="Times New Roman" w:cs="Times New Roman"/>
          <w:i/>
          <w:iCs/>
          <w:sz w:val="20"/>
          <w:szCs w:val="20"/>
        </w:rPr>
        <w:t>Journal of</w:t>
      </w:r>
      <w:r w:rsidRPr="002F227B">
        <w:rPr>
          <w:rFonts w:ascii="Times New Roman" w:hAnsi="Times New Roman" w:cs="Times New Roman"/>
          <w:sz w:val="20"/>
          <w:szCs w:val="20"/>
        </w:rPr>
        <w:t xml:space="preserve"> </w:t>
      </w:r>
      <w:r w:rsidRPr="002F227B">
        <w:rPr>
          <w:rFonts w:ascii="Times New Roman" w:hAnsi="Times New Roman" w:cs="Times New Roman"/>
          <w:i/>
          <w:iCs/>
          <w:sz w:val="20"/>
          <w:szCs w:val="20"/>
        </w:rPr>
        <w:t>Magnetic Resonance Imaging</w:t>
      </w:r>
      <w:r w:rsidRPr="002F227B">
        <w:rPr>
          <w:rFonts w:ascii="Times New Roman" w:hAnsi="Times New Roman" w:cs="Times New Roman"/>
          <w:sz w:val="20"/>
          <w:szCs w:val="20"/>
        </w:rPr>
        <w:t xml:space="preserve"> (2019).</w:t>
      </w:r>
    </w:p>
  </w:footnote>
  <w:footnote w:id="221">
    <w:p w14:paraId="024A432C" w14:textId="2346B84C"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C.H. Weaver. “The Role of PET Scans in the Diagnosis and Treatment of Cancer.” </w:t>
      </w:r>
      <w:r w:rsidRPr="002F227B">
        <w:rPr>
          <w:rFonts w:ascii="Times New Roman" w:hAnsi="Times New Roman" w:cs="Times New Roman"/>
          <w:i/>
        </w:rPr>
        <w:t xml:space="preserve">CancerConnect </w:t>
      </w:r>
      <w:r w:rsidRPr="002F227B">
        <w:rPr>
          <w:rFonts w:ascii="Times New Roman" w:hAnsi="Times New Roman" w:cs="Times New Roman"/>
        </w:rPr>
        <w:t>(2021)</w:t>
      </w:r>
      <w:r w:rsidRPr="002F227B">
        <w:rPr>
          <w:rFonts w:ascii="Times New Roman" w:hAnsi="Times New Roman" w:cs="Times New Roman"/>
          <w:i/>
          <w:iCs/>
        </w:rPr>
        <w:t>, available at</w:t>
      </w:r>
      <w:r w:rsidRPr="002F227B">
        <w:rPr>
          <w:rFonts w:ascii="Times New Roman" w:hAnsi="Times New Roman" w:cs="Times New Roman"/>
        </w:rPr>
        <w:t xml:space="preserve"> https://news.cancerconnect.com/treatment-care/the-role-of-pet-scans-in-the-diagnosis-and-treatment-of-cancer.</w:t>
      </w:r>
    </w:p>
  </w:footnote>
  <w:footnote w:id="222">
    <w:p w14:paraId="75FFA00F" w14:textId="2C402B48"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Cancer.Net. “Lung Cancer – Non-Small Cell: Statistics,” </w:t>
      </w:r>
      <w:r w:rsidRPr="002F227B">
        <w:rPr>
          <w:rFonts w:ascii="Times New Roman" w:hAnsi="Times New Roman" w:cs="Times New Roman"/>
          <w:i/>
        </w:rPr>
        <w:t>available at</w:t>
      </w:r>
      <w:r w:rsidRPr="002F227B">
        <w:rPr>
          <w:rFonts w:ascii="Times New Roman" w:hAnsi="Times New Roman" w:cs="Times New Roman"/>
        </w:rPr>
        <w:t xml:space="preserve"> https://www.cancer.net/cancer-types/lung-cancer-non-small-cell/statistics. </w:t>
      </w:r>
    </w:p>
  </w:footnote>
  <w:footnote w:id="223">
    <w:p w14:paraId="74F0073A" w14:textId="08AE00F1" w:rsidR="00CF3141" w:rsidRPr="002F227B" w:rsidRDefault="00CF3141" w:rsidP="00335D93">
      <w:pPr>
        <w:autoSpaceDE w:val="0"/>
        <w:autoSpaceDN w:val="0"/>
        <w:adjustRightInd w:val="0"/>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Xiaohui Zeng, Liubao Peng, Chongqing Tan, and Yunhua Wang. “Cost-effectiveness analysis of positron-emission tomography-computed tomography in preoperative staging for nonsmall-cell lung cancer with resected monometastatic disease.” </w:t>
      </w:r>
      <w:r w:rsidRPr="002F227B">
        <w:rPr>
          <w:rFonts w:ascii="Times New Roman" w:hAnsi="Times New Roman" w:cs="Times New Roman"/>
          <w:i/>
          <w:sz w:val="20"/>
          <w:szCs w:val="20"/>
        </w:rPr>
        <w:t>Medicine</w:t>
      </w:r>
      <w:r w:rsidRPr="002F227B">
        <w:rPr>
          <w:rFonts w:ascii="Times New Roman" w:hAnsi="Times New Roman" w:cs="Times New Roman"/>
          <w:sz w:val="20"/>
          <w:szCs w:val="20"/>
        </w:rPr>
        <w:t xml:space="preserve"> (2019). </w:t>
      </w:r>
    </w:p>
  </w:footnote>
  <w:footnote w:id="224">
    <w:p w14:paraId="200D3947" w14:textId="01EBE3F0" w:rsidR="00CF3141" w:rsidRPr="002F227B" w:rsidRDefault="00CF3141" w:rsidP="00335D93">
      <w:pPr>
        <w:autoSpaceDE w:val="0"/>
        <w:autoSpaceDN w:val="0"/>
        <w:adjustRightInd w:val="0"/>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Andreas K. Buck, Ken Herrmann, Tom Stargardt, Tobias Dechow, Bernd Joachim Krause, and Jonas Schreyögg. “Economic Evaluation of PET and PET/CT in Oncology: Evidence and Methodologic Approaches.” </w:t>
      </w:r>
      <w:r w:rsidRPr="002F227B">
        <w:rPr>
          <w:rFonts w:ascii="Times New Roman" w:hAnsi="Times New Roman" w:cs="Times New Roman"/>
          <w:i/>
          <w:sz w:val="20"/>
          <w:szCs w:val="20"/>
        </w:rPr>
        <w:t>Journal of Nuclear Medicine Technology</w:t>
      </w:r>
      <w:r w:rsidRPr="002F227B">
        <w:rPr>
          <w:rFonts w:ascii="Times New Roman" w:hAnsi="Times New Roman" w:cs="Times New Roman"/>
          <w:sz w:val="20"/>
          <w:szCs w:val="20"/>
        </w:rPr>
        <w:t xml:space="preserve"> (2010).</w:t>
      </w:r>
    </w:p>
  </w:footnote>
  <w:footnote w:id="225">
    <w:p w14:paraId="6AF8F58F"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Astrid Langer. “A systematic review of PET and PET/CT in oncology: A way to personalize cancer treatment in a cost-effective manner?” </w:t>
      </w:r>
      <w:r w:rsidRPr="002F227B">
        <w:rPr>
          <w:rFonts w:ascii="Times New Roman" w:hAnsi="Times New Roman" w:cs="Times New Roman"/>
          <w:i/>
        </w:rPr>
        <w:t>BMC Health Services Research</w:t>
      </w:r>
      <w:r w:rsidRPr="002F227B">
        <w:rPr>
          <w:rFonts w:ascii="Times New Roman" w:hAnsi="Times New Roman" w:cs="Times New Roman"/>
        </w:rPr>
        <w:t xml:space="preserve"> (2010). </w:t>
      </w:r>
    </w:p>
  </w:footnote>
  <w:footnote w:id="226">
    <w:p w14:paraId="7EB50E0B" w14:textId="5625D47F" w:rsidR="00CF3141" w:rsidRPr="002F227B" w:rsidRDefault="00CF3141" w:rsidP="00335D93">
      <w:pPr>
        <w:autoSpaceDE w:val="0"/>
        <w:autoSpaceDN w:val="0"/>
        <w:adjustRightInd w:val="0"/>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Barbara Malene Fischer, Barry A. Siegel, Wolfgang A. Weber, Konrade von Bremen, Thomas Beyer, and Antonis Kalemis</w:t>
      </w:r>
      <w:r w:rsidRPr="002F227B">
        <w:rPr>
          <w:rFonts w:ascii="Times New Roman" w:hAnsi="Times New Roman" w:cs="Times New Roman"/>
          <w:i/>
          <w:sz w:val="20"/>
          <w:szCs w:val="20"/>
        </w:rPr>
        <w:t>.</w:t>
      </w:r>
      <w:r w:rsidRPr="002F227B">
        <w:rPr>
          <w:rFonts w:ascii="Times New Roman" w:hAnsi="Times New Roman" w:cs="Times New Roman"/>
          <w:sz w:val="20"/>
          <w:szCs w:val="20"/>
        </w:rPr>
        <w:t xml:space="preserve"> “Editorial: PET/CT is a cost-effective tool against cancer: synergy supersedes singularity.” </w:t>
      </w:r>
      <w:r w:rsidRPr="002F227B">
        <w:rPr>
          <w:rFonts w:ascii="Times New Roman" w:hAnsi="Times New Roman" w:cs="Times New Roman"/>
          <w:i/>
          <w:sz w:val="20"/>
          <w:szCs w:val="20"/>
        </w:rPr>
        <w:t>European Journal of Nuclear Medicine and Molecular Imaging</w:t>
      </w:r>
      <w:r w:rsidRPr="002F227B">
        <w:rPr>
          <w:rFonts w:ascii="Times New Roman" w:hAnsi="Times New Roman" w:cs="Times New Roman"/>
          <w:sz w:val="20"/>
          <w:szCs w:val="20"/>
        </w:rPr>
        <w:t xml:space="preserve"> (2016).</w:t>
      </w:r>
    </w:p>
  </w:footnote>
  <w:footnote w:id="227">
    <w:p w14:paraId="1C39355B" w14:textId="28B17B96"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U.S. Preventive Services Task Force. “Final Recommendation Statement – Lung Cancer: Screening,” </w:t>
      </w:r>
      <w:r w:rsidRPr="002F227B">
        <w:rPr>
          <w:rFonts w:ascii="Times New Roman" w:hAnsi="Times New Roman" w:cs="Times New Roman"/>
          <w:i/>
        </w:rPr>
        <w:t>available at</w:t>
      </w:r>
      <w:r w:rsidRPr="002F227B">
        <w:rPr>
          <w:rFonts w:ascii="Times New Roman" w:hAnsi="Times New Roman" w:cs="Times New Roman"/>
        </w:rPr>
        <w:t xml:space="preserve"> https://www.uspreventiveservicestaskforce.org/uspstf/recommendation/lung-cancer-screening. Exceptions are made for individuals who have health problems that limit their life expectancy or the ability to undergo lung surgery; </w:t>
      </w:r>
      <w:r w:rsidRPr="002F227B">
        <w:rPr>
          <w:rFonts w:ascii="Times New Roman" w:hAnsi="Times New Roman" w:cs="Times New Roman"/>
          <w:i/>
        </w:rPr>
        <w:t>See also</w:t>
      </w:r>
      <w:r w:rsidRPr="002F227B">
        <w:rPr>
          <w:rFonts w:ascii="Times New Roman" w:hAnsi="Times New Roman" w:cs="Times New Roman"/>
        </w:rPr>
        <w:t>, Harry J. de Koning, Carlijn M. van der Aalst, Pim A. de Jong, Ernst T. Scholten, Kristiaan Nackaerts, Marjolein A. Heuvelmans, Jan-Willem J. Lammers, Carla Weenink, Uraujh Yousaf-Khan, Nanda Horeweg, Susan van’t Westeinde, Mathias Prokop, Willem P. Mali, Firdaus A.A. Mohamed Hosein, Peter M. A. van Ooijen, Joachim G. J. V. Aerts, Michael A. den Bakker, Erik Thunnissen, Johny Verschakelen, Rozemarijn Vliegenthart, Joan E. Walter, Kevin Ten Haaf, Harry J. M. Groen, and Matthijs Oudkerk. “</w:t>
      </w:r>
      <w:r w:rsidRPr="002F227B">
        <w:rPr>
          <w:rFonts w:ascii="Times New Roman" w:eastAsia="AdvOT3f82cb7c+20" w:hAnsi="Times New Roman" w:cs="Times New Roman"/>
        </w:rPr>
        <w:t xml:space="preserve">Reduced Lung-Cancer Mortality with Volume CT Screening in a Randomized Trial.” </w:t>
      </w:r>
      <w:r w:rsidRPr="002F227B">
        <w:rPr>
          <w:rFonts w:ascii="Times New Roman" w:eastAsia="AdvOT3f82cb7c+20" w:hAnsi="Times New Roman" w:cs="Times New Roman"/>
          <w:i/>
        </w:rPr>
        <w:t>New England Journal of Medicine</w:t>
      </w:r>
      <w:r w:rsidRPr="002F227B">
        <w:rPr>
          <w:rFonts w:ascii="Times New Roman" w:eastAsia="AdvOT3f82cb7c+20" w:hAnsi="Times New Roman" w:cs="Times New Roman"/>
        </w:rPr>
        <w:t xml:space="preserve"> (2020).</w:t>
      </w:r>
      <w:r w:rsidRPr="002F227B">
        <w:rPr>
          <w:rFonts w:ascii="Times New Roman" w:hAnsi="Times New Roman" w:cs="Times New Roman"/>
        </w:rPr>
        <w:t xml:space="preserve"> </w:t>
      </w:r>
    </w:p>
  </w:footnote>
  <w:footnote w:id="228">
    <w:p w14:paraId="59C09F1A" w14:textId="24E4688E" w:rsidR="00CF3141" w:rsidRPr="002F227B" w:rsidRDefault="00CF3141" w:rsidP="00335D93">
      <w:pPr>
        <w:autoSpaceDE w:val="0"/>
        <w:autoSpaceDN w:val="0"/>
        <w:adjustRightInd w:val="0"/>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Gardiner Harris. “CT Scans Cut Lung Cancer Deaths, Study Finds,” </w:t>
      </w:r>
      <w:r w:rsidRPr="002F227B">
        <w:rPr>
          <w:rFonts w:ascii="Times New Roman" w:hAnsi="Times New Roman" w:cs="Times New Roman"/>
          <w:i/>
          <w:sz w:val="20"/>
          <w:szCs w:val="20"/>
        </w:rPr>
        <w:t>New York Times</w:t>
      </w:r>
      <w:r w:rsidRPr="002F227B">
        <w:rPr>
          <w:rFonts w:ascii="Times New Roman" w:hAnsi="Times New Roman" w:cs="Times New Roman"/>
          <w:sz w:val="20"/>
          <w:szCs w:val="20"/>
        </w:rPr>
        <w:t xml:space="preserve"> (November 4, 2010)</w:t>
      </w:r>
      <w:r w:rsidRPr="002F227B">
        <w:rPr>
          <w:rFonts w:ascii="Times New Roman" w:hAnsi="Times New Roman" w:cs="Times New Roman"/>
          <w:i/>
          <w:iCs/>
          <w:sz w:val="20"/>
          <w:szCs w:val="20"/>
        </w:rPr>
        <w:t xml:space="preserve">, available at </w:t>
      </w:r>
      <w:r w:rsidRPr="002F227B">
        <w:rPr>
          <w:rFonts w:ascii="Times New Roman" w:hAnsi="Times New Roman" w:cs="Times New Roman"/>
          <w:sz w:val="20"/>
          <w:szCs w:val="20"/>
        </w:rPr>
        <w:t>https://www.nytimes.com/2010/11/05/health/research/05cancer.html.</w:t>
      </w:r>
    </w:p>
  </w:footnote>
  <w:footnote w:id="229">
    <w:p w14:paraId="3BEA7366" w14:textId="1CA02EBF" w:rsidR="00CF3141" w:rsidRPr="002F227B" w:rsidRDefault="00CF3141" w:rsidP="00335D93">
      <w:pPr>
        <w:autoSpaceDE w:val="0"/>
        <w:autoSpaceDN w:val="0"/>
        <w:adjustRightInd w:val="0"/>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Geoffrey D. Rubin, Christopher J. Ryerson, Linda B. Haramati, Nicola Sverzellati, Jeffrey P. Kanne, Suhail Raoof, Neil W. Schluger, Annalisa Volpi, Jae-Joon Yim, Ian B. K. Martin, Deverick J. Anderson, Christina Kong, Talissa Altes, Andrew Bush, Sujal R. Desai, Jonathan Goldin, Jin Mo Goo, Marc Humbert, Yoshikazu Inoue, Hans-Ulrich Kauczor, Fengming Luo, Peter J. Mazzone, Mathias Prokop, Martine Remy-Jardin, Luca Richeldi, Cornelia M. Schaefer-Prokop, Noriyuki Tomiyama, Athol U. Wells, and Ann N. Leung. “The Role of Chest Imaging in Patient Management during the COVID-19 Pandemic: A Multinational Consensus Statement from the Fleischner Society.” </w:t>
      </w:r>
      <w:r w:rsidRPr="002F227B">
        <w:rPr>
          <w:rFonts w:ascii="Times New Roman" w:hAnsi="Times New Roman" w:cs="Times New Roman"/>
          <w:i/>
          <w:sz w:val="20"/>
          <w:szCs w:val="20"/>
        </w:rPr>
        <w:t>Radiology</w:t>
      </w:r>
      <w:r w:rsidRPr="002F227B">
        <w:rPr>
          <w:rFonts w:ascii="Times New Roman" w:hAnsi="Times New Roman" w:cs="Times New Roman"/>
          <w:sz w:val="20"/>
          <w:szCs w:val="20"/>
        </w:rPr>
        <w:t xml:space="preserve"> (2020).</w:t>
      </w:r>
    </w:p>
  </w:footnote>
  <w:footnote w:id="230">
    <w:p w14:paraId="278B3BA2" w14:textId="46C05469"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Vanessa Redd, Scott Levin, Matthew Toerper, Amanda Creel, and Susan Peterson. “Effects of Fully Accessible Magnetic Resonance Imaging in the Emergency Department.” </w:t>
      </w:r>
      <w:r w:rsidRPr="002F227B">
        <w:rPr>
          <w:rFonts w:ascii="Times New Roman" w:hAnsi="Times New Roman" w:cs="Times New Roman"/>
          <w:i/>
        </w:rPr>
        <w:t xml:space="preserve">Academic Emergency Medicine </w:t>
      </w:r>
      <w:r w:rsidRPr="002F227B">
        <w:rPr>
          <w:rFonts w:ascii="Times New Roman" w:hAnsi="Times New Roman" w:cs="Times New Roman"/>
        </w:rPr>
        <w:t>(2015).</w:t>
      </w:r>
    </w:p>
  </w:footnote>
  <w:footnote w:id="231">
    <w:p w14:paraId="237B861A" w14:textId="7D230A50" w:rsidR="00CF3141" w:rsidRPr="002F227B" w:rsidRDefault="00CF3141" w:rsidP="00335D93">
      <w:pPr>
        <w:autoSpaceDE w:val="0"/>
        <w:autoSpaceDN w:val="0"/>
        <w:adjustRightInd w:val="0"/>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Daniel Kraus, Felix Oettinger, Jurij Kiefer, Holger Bannasch, G. Björn Stark, and Filip Simunovic. “Efficacy and Cost-Benefit Analysis of Magnetic Resonance Imaging in the Follow-Up of Soft Tissue Sarcomas of the Extremities and Trunk.” </w:t>
      </w:r>
      <w:r w:rsidRPr="002F227B">
        <w:rPr>
          <w:rFonts w:ascii="Times New Roman" w:hAnsi="Times New Roman" w:cs="Times New Roman"/>
          <w:i/>
          <w:sz w:val="20"/>
          <w:szCs w:val="20"/>
        </w:rPr>
        <w:t>Journal of Oncology</w:t>
      </w:r>
      <w:r w:rsidRPr="002F227B">
        <w:rPr>
          <w:rFonts w:ascii="Times New Roman" w:hAnsi="Times New Roman" w:cs="Times New Roman"/>
          <w:sz w:val="20"/>
          <w:szCs w:val="20"/>
        </w:rPr>
        <w:t xml:space="preserve"> (2021).</w:t>
      </w:r>
    </w:p>
  </w:footnote>
  <w:footnote w:id="232">
    <w:p w14:paraId="56E1444D" w14:textId="3C16C4C9" w:rsidR="00CF3141" w:rsidRPr="002F227B" w:rsidRDefault="00CF3141" w:rsidP="00335D93">
      <w:pPr>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David W. Lee, Richard Duszak Jr., and Danny R. Hughes. “Comparative analysis of Medicare spending for medical imaging: sustained dramatic slowdown compared with other services.” </w:t>
      </w:r>
      <w:r w:rsidRPr="002F227B">
        <w:rPr>
          <w:rFonts w:ascii="Times New Roman" w:hAnsi="Times New Roman" w:cs="Times New Roman"/>
          <w:i/>
          <w:sz w:val="20"/>
          <w:szCs w:val="20"/>
        </w:rPr>
        <w:t>American Journal of Roentgenology</w:t>
      </w:r>
      <w:r w:rsidRPr="002F227B">
        <w:rPr>
          <w:rFonts w:ascii="Times New Roman" w:hAnsi="Times New Roman" w:cs="Times New Roman"/>
          <w:sz w:val="20"/>
          <w:szCs w:val="20"/>
        </w:rPr>
        <w:t xml:space="preserve"> (2013).</w:t>
      </w:r>
    </w:p>
  </w:footnote>
  <w:footnote w:id="233">
    <w:p w14:paraId="755A61FF" w14:textId="0F1B5BFE" w:rsidR="00CF3141" w:rsidRPr="002F227B" w:rsidRDefault="00CF3141" w:rsidP="00335D93">
      <w:pPr>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Monica H. Kassavin, Keval D. Parikh, Sree Harsha Tirumani, and Nikhil Ramaiya. “Trends in Medicare Part B Payments and Utilization for Imaging Services between 2009 and 2019.” </w:t>
      </w:r>
      <w:r w:rsidRPr="002F227B">
        <w:rPr>
          <w:rFonts w:ascii="Times New Roman" w:hAnsi="Times New Roman" w:cs="Times New Roman"/>
          <w:i/>
          <w:sz w:val="20"/>
          <w:szCs w:val="20"/>
        </w:rPr>
        <w:t>Current Problems in Diagnostic Radiology</w:t>
      </w:r>
      <w:r w:rsidRPr="002F227B">
        <w:rPr>
          <w:rFonts w:ascii="Times New Roman" w:hAnsi="Times New Roman" w:cs="Times New Roman"/>
          <w:sz w:val="20"/>
          <w:szCs w:val="20"/>
        </w:rPr>
        <w:t xml:space="preserve"> (2021).</w:t>
      </w:r>
    </w:p>
  </w:footnote>
  <w:footnote w:id="234">
    <w:p w14:paraId="3DE093E4" w14:textId="266C547B" w:rsidR="00CF3141" w:rsidRPr="002F227B" w:rsidRDefault="00CF3141" w:rsidP="00335D93">
      <w:pPr>
        <w:autoSpaceDE w:val="0"/>
        <w:autoSpaceDN w:val="0"/>
        <w:adjustRightInd w:val="0"/>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Andrew B. Rosenkrantz, Danny R. Hughes, and Richard Duszak Jr. “State Variation in Medical Imaging: Despite Great Variation, the Medicare Spending Decline Continues.” </w:t>
      </w:r>
      <w:r w:rsidRPr="002F227B">
        <w:rPr>
          <w:rFonts w:ascii="Times New Roman" w:hAnsi="Times New Roman" w:cs="Times New Roman"/>
          <w:i/>
          <w:sz w:val="20"/>
          <w:szCs w:val="20"/>
        </w:rPr>
        <w:t>American Journal of Roentgenology</w:t>
      </w:r>
      <w:r w:rsidRPr="002F227B">
        <w:rPr>
          <w:rFonts w:ascii="Times New Roman" w:hAnsi="Times New Roman" w:cs="Times New Roman"/>
          <w:sz w:val="20"/>
          <w:szCs w:val="20"/>
        </w:rPr>
        <w:t xml:space="preserve"> (2015).</w:t>
      </w:r>
    </w:p>
  </w:footnote>
  <w:footnote w:id="235">
    <w:p w14:paraId="2CC80EDE" w14:textId="1B8123B5"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Arthur S. Hong, David Levin, Laurence Parker, Vijay M. Rao, Dennis Ross-Degnan, and J. Frank Wharam. “Trends in Diagnostic Imaging Utilization among Medicare and Commercially Insured Adults from 2003 through 2016.” </w:t>
      </w:r>
      <w:r w:rsidRPr="002F227B">
        <w:rPr>
          <w:rFonts w:ascii="Times New Roman" w:hAnsi="Times New Roman" w:cs="Times New Roman"/>
          <w:i/>
        </w:rPr>
        <w:t xml:space="preserve">Radiology </w:t>
      </w:r>
      <w:r w:rsidRPr="002F227B">
        <w:rPr>
          <w:rFonts w:ascii="Times New Roman" w:hAnsi="Times New Roman" w:cs="Times New Roman"/>
        </w:rPr>
        <w:t>(2020).</w:t>
      </w:r>
    </w:p>
  </w:footnote>
  <w:footnote w:id="236">
    <w:p w14:paraId="113B5B21" w14:textId="4092FF4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The one exception to this general pattern was that utilization of CT continued to grow between 2012 and 2016 for the under-45 commercially insured population.</w:t>
      </w:r>
    </w:p>
  </w:footnote>
  <w:footnote w:id="237">
    <w:p w14:paraId="32AE9DB6" w14:textId="58D5C306" w:rsidR="00CF3141" w:rsidRPr="002F227B" w:rsidRDefault="00CF3141" w:rsidP="00335D93">
      <w:pPr>
        <w:autoSpaceDE w:val="0"/>
        <w:autoSpaceDN w:val="0"/>
        <w:adjustRightInd w:val="0"/>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Stephen Flaherty, Koenraad J. Mortele, and Gary J. Young. “Utilization Trends in Diagnostic Imaging for a Commercially Insured Population: A Study of Massachusetts Residents 2009 to 2013.” </w:t>
      </w:r>
      <w:r w:rsidRPr="002F227B">
        <w:rPr>
          <w:rFonts w:ascii="Times New Roman" w:hAnsi="Times New Roman" w:cs="Times New Roman"/>
          <w:i/>
          <w:sz w:val="20"/>
          <w:szCs w:val="20"/>
        </w:rPr>
        <w:t>Journal of the American College of Radiology</w:t>
      </w:r>
      <w:r w:rsidRPr="002F227B">
        <w:rPr>
          <w:rFonts w:ascii="Times New Roman" w:hAnsi="Times New Roman" w:cs="Times New Roman"/>
          <w:sz w:val="20"/>
          <w:szCs w:val="20"/>
        </w:rPr>
        <w:t xml:space="preserve"> (2018).</w:t>
      </w:r>
    </w:p>
  </w:footnote>
  <w:footnote w:id="238">
    <w:p w14:paraId="515C00A8" w14:textId="684084E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Andrew B. Rosenkrantz and Richard Duszak Jr. “Advanced Imaging Utilization and Cost Savings Among Medicare Shared Savings Program Accountable Care Organizations: An Initial Exploratory Analysis.” </w:t>
      </w:r>
      <w:r w:rsidRPr="002F227B">
        <w:rPr>
          <w:rFonts w:ascii="Times New Roman" w:hAnsi="Times New Roman" w:cs="Times New Roman"/>
          <w:i/>
        </w:rPr>
        <w:t>Journal of the American College of Radiology</w:t>
      </w:r>
      <w:r w:rsidRPr="002F227B">
        <w:rPr>
          <w:rFonts w:ascii="Times New Roman" w:hAnsi="Times New Roman" w:cs="Times New Roman"/>
        </w:rPr>
        <w:t xml:space="preserve"> (2017).</w:t>
      </w:r>
    </w:p>
  </w:footnote>
  <w:footnote w:id="239">
    <w:p w14:paraId="5BA3404B" w14:textId="2FB42F49"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Phillip Reese. “As ER Wait Times Grow, More Patients Leave Against Medical Advice,” </w:t>
      </w:r>
      <w:r w:rsidRPr="002F227B">
        <w:rPr>
          <w:rFonts w:ascii="Times New Roman" w:hAnsi="Times New Roman" w:cs="Times New Roman"/>
          <w:i/>
        </w:rPr>
        <w:t>Kaiser Health News</w:t>
      </w:r>
      <w:r w:rsidRPr="002F227B">
        <w:rPr>
          <w:rFonts w:ascii="Times New Roman" w:hAnsi="Times New Roman" w:cs="Times New Roman"/>
        </w:rPr>
        <w:t xml:space="preserve"> (May 2019)</w:t>
      </w:r>
      <w:r w:rsidRPr="002F227B">
        <w:rPr>
          <w:rFonts w:ascii="Times New Roman" w:hAnsi="Times New Roman" w:cs="Times New Roman"/>
          <w:i/>
          <w:iCs/>
        </w:rPr>
        <w:t xml:space="preserve">, available at </w:t>
      </w:r>
      <w:r w:rsidRPr="002F227B">
        <w:rPr>
          <w:rFonts w:ascii="Times New Roman" w:hAnsi="Times New Roman" w:cs="Times New Roman"/>
        </w:rPr>
        <w:t>https://khn.org/news/as-er-wait-times-grow-more-patients-leave-against-medical-advice/.</w:t>
      </w:r>
    </w:p>
  </w:footnote>
  <w:footnote w:id="240">
    <w:p w14:paraId="44331455" w14:textId="56BA4F3A"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p. 12. </w:t>
      </w:r>
    </w:p>
  </w:footnote>
  <w:footnote w:id="241">
    <w:p w14:paraId="00C8F42F" w14:textId="2730119E"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p. 12. </w:t>
      </w:r>
    </w:p>
  </w:footnote>
  <w:footnote w:id="242">
    <w:p w14:paraId="399B1FBA" w14:textId="00D0E271"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MGH DoN, Appendix 2, p. 12. </w:t>
      </w:r>
    </w:p>
  </w:footnote>
  <w:footnote w:id="243">
    <w:p w14:paraId="20538879" w14:textId="154DAADC" w:rsidR="00CF3141" w:rsidRPr="002F227B" w:rsidRDefault="00CF3141" w:rsidP="00335D93">
      <w:pPr>
        <w:autoSpaceDE w:val="0"/>
        <w:autoSpaceDN w:val="0"/>
        <w:adjustRightInd w:val="0"/>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Shan W. Liu, Stephen H. Thomas, James A. Gordon, Azita G. Hamedani, and Joel S. Weissman. “A Pilot Study Examining Undesirable Events Among Emergency Department–Boarded Patients Awaiting Inpatient Beds.” </w:t>
      </w:r>
      <w:r w:rsidRPr="002F227B">
        <w:rPr>
          <w:rFonts w:ascii="Times New Roman" w:hAnsi="Times New Roman" w:cs="Times New Roman"/>
          <w:i/>
          <w:sz w:val="20"/>
          <w:szCs w:val="20"/>
        </w:rPr>
        <w:t>Annals of Emergency Medicine</w:t>
      </w:r>
      <w:r w:rsidRPr="002F227B">
        <w:rPr>
          <w:rFonts w:ascii="Times New Roman" w:hAnsi="Times New Roman" w:cs="Times New Roman"/>
          <w:sz w:val="20"/>
          <w:szCs w:val="20"/>
        </w:rPr>
        <w:t xml:space="preserve"> (2009).</w:t>
      </w:r>
    </w:p>
  </w:footnote>
  <w:footnote w:id="244">
    <w:p w14:paraId="0BA3E426" w14:textId="444FD1A2" w:rsidR="00CF3141" w:rsidRPr="002F227B" w:rsidRDefault="00CF3141" w:rsidP="00335D93">
      <w:pPr>
        <w:autoSpaceDE w:val="0"/>
        <w:autoSpaceDN w:val="0"/>
        <w:adjustRightInd w:val="0"/>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Thierry Boulain, Anne Malet, and Olivier Maitre. “</w:t>
      </w:r>
      <w:r w:rsidRPr="002F227B">
        <w:rPr>
          <w:rFonts w:ascii="Times New Roman" w:hAnsi="Times New Roman" w:cs="Times New Roman"/>
          <w:color w:val="333333"/>
          <w:sz w:val="20"/>
          <w:szCs w:val="20"/>
        </w:rPr>
        <w:t xml:space="preserve">Association between long boarding time in the emergency department and hospital mortality: a single-center propensity score-based analysis.” </w:t>
      </w:r>
      <w:r w:rsidRPr="002F227B">
        <w:rPr>
          <w:rFonts w:ascii="Times New Roman" w:hAnsi="Times New Roman" w:cs="Times New Roman"/>
          <w:i/>
          <w:color w:val="333333"/>
          <w:sz w:val="20"/>
          <w:szCs w:val="20"/>
        </w:rPr>
        <w:t>Internal and Emergency Medicine</w:t>
      </w:r>
      <w:r w:rsidRPr="002F227B">
        <w:rPr>
          <w:rFonts w:ascii="Times New Roman" w:hAnsi="Times New Roman" w:cs="Times New Roman"/>
          <w:color w:val="333333"/>
          <w:sz w:val="20"/>
          <w:szCs w:val="20"/>
        </w:rPr>
        <w:t xml:space="preserve"> (2020). </w:t>
      </w:r>
    </w:p>
  </w:footnote>
  <w:footnote w:id="245">
    <w:p w14:paraId="203D117B" w14:textId="3DF1B12A"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Kate van Loveren, Arnav Singla, Liron Sinvani, Christopher Calandrella, Thomas Perera, Martina Brave, Lance Becker, and Timmy Li. “Increased Emergency Department Hallway Length of Stay is Associated with Development of Delirium.” </w:t>
      </w:r>
      <w:r w:rsidRPr="002F227B">
        <w:rPr>
          <w:rFonts w:ascii="Times New Roman" w:hAnsi="Times New Roman" w:cs="Times New Roman"/>
          <w:i/>
        </w:rPr>
        <w:t>Western Journal of Emergency Medicine</w:t>
      </w:r>
      <w:r w:rsidRPr="002F227B">
        <w:rPr>
          <w:rFonts w:ascii="Times New Roman" w:hAnsi="Times New Roman" w:cs="Times New Roman"/>
        </w:rPr>
        <w:t xml:space="preserve"> (2021).</w:t>
      </w:r>
    </w:p>
  </w:footnote>
  <w:footnote w:id="246">
    <w:p w14:paraId="06E59D54" w14:textId="6897453E" w:rsidR="00CF3141" w:rsidRPr="002F227B" w:rsidRDefault="00CF3141" w:rsidP="00335D93">
      <w:pPr>
        <w:autoSpaceDE w:val="0"/>
        <w:autoSpaceDN w:val="0"/>
        <w:adjustRightInd w:val="0"/>
        <w:spacing w:line="240" w:lineRule="auto"/>
        <w:rPr>
          <w:rFonts w:ascii="Times New Roman" w:hAnsi="Times New Roman" w:cs="Times New Roman"/>
          <w:sz w:val="20"/>
          <w:szCs w:val="20"/>
        </w:rPr>
      </w:pPr>
      <w:r w:rsidRPr="002F227B">
        <w:rPr>
          <w:rStyle w:val="FootnoteReference"/>
          <w:rFonts w:ascii="Times New Roman" w:hAnsi="Times New Roman" w:cs="Times New Roman"/>
          <w:sz w:val="20"/>
          <w:szCs w:val="20"/>
        </w:rPr>
        <w:footnoteRef/>
      </w:r>
      <w:r w:rsidRPr="002F227B">
        <w:rPr>
          <w:rFonts w:ascii="Times New Roman" w:hAnsi="Times New Roman" w:cs="Times New Roman"/>
          <w:sz w:val="20"/>
          <w:szCs w:val="20"/>
        </w:rPr>
        <w:t xml:space="preserve"> Lindsey Woodworth and James F. Holmes. “Just a Minute: The Effect of Emergency Department Wait Time on the Cost of Care.” </w:t>
      </w:r>
      <w:r w:rsidRPr="002F227B">
        <w:rPr>
          <w:rFonts w:ascii="Times New Roman" w:hAnsi="Times New Roman" w:cs="Times New Roman"/>
          <w:i/>
          <w:sz w:val="20"/>
          <w:szCs w:val="20"/>
        </w:rPr>
        <w:t>Economic Inquiry</w:t>
      </w:r>
      <w:r w:rsidRPr="002F227B">
        <w:rPr>
          <w:rFonts w:ascii="Times New Roman" w:hAnsi="Times New Roman" w:cs="Times New Roman"/>
          <w:sz w:val="20"/>
          <w:szCs w:val="20"/>
        </w:rPr>
        <w:t xml:space="preserve"> (2020).</w:t>
      </w:r>
    </w:p>
  </w:footnote>
  <w:footnote w:id="247">
    <w:p w14:paraId="002C91BE" w14:textId="34F1E202"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Jonathan Gruber, Thomas P. Hoe, and George Stoye. “Saving Lives by Tying Hands: The Unexpected Effects of Constraining Health Care Providers.” </w:t>
      </w:r>
      <w:r w:rsidRPr="002F227B">
        <w:rPr>
          <w:rFonts w:ascii="Times New Roman" w:hAnsi="Times New Roman" w:cs="Times New Roman"/>
          <w:i/>
        </w:rPr>
        <w:t>The Review of Economics and Statistics</w:t>
      </w:r>
      <w:r w:rsidRPr="002F227B">
        <w:rPr>
          <w:rFonts w:ascii="Times New Roman" w:hAnsi="Times New Roman" w:cs="Times New Roman"/>
        </w:rPr>
        <w:t xml:space="preserve"> (2021).</w:t>
      </w:r>
    </w:p>
  </w:footnote>
  <w:footnote w:id="248">
    <w:p w14:paraId="794FCB25" w14:textId="3BDFFE6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Centers for Medicare and Medicaid Services, National Health Expenditure Accounts, Table 20, </w:t>
      </w:r>
      <w:r w:rsidRPr="002F227B">
        <w:rPr>
          <w:rFonts w:ascii="Times New Roman" w:hAnsi="Times New Roman" w:cs="Times New Roman"/>
          <w:i/>
        </w:rPr>
        <w:t>available at</w:t>
      </w:r>
      <w:r w:rsidRPr="002F227B">
        <w:rPr>
          <w:rFonts w:ascii="Times New Roman" w:hAnsi="Times New Roman" w:cs="Times New Roman"/>
          <w:i/>
          <w:iCs/>
        </w:rPr>
        <w:t xml:space="preserve"> </w:t>
      </w:r>
      <w:r w:rsidRPr="002F227B">
        <w:rPr>
          <w:rFonts w:ascii="Times New Roman" w:hAnsi="Times New Roman" w:cs="Times New Roman"/>
          <w:iCs/>
        </w:rPr>
        <w:t>https://www.cms.gov/files/zip/nhe-tables.zip.</w:t>
      </w:r>
      <w:r w:rsidRPr="002F227B">
        <w:rPr>
          <w:rFonts w:ascii="Times New Roman" w:hAnsi="Times New Roman" w:cs="Times New Roman"/>
          <w:i/>
          <w:iCs/>
        </w:rPr>
        <w:t xml:space="preserve"> </w:t>
      </w:r>
    </w:p>
  </w:footnote>
  <w:footnote w:id="249">
    <w:p w14:paraId="0531336B" w14:textId="24CF2B7D"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t>
      </w:r>
      <w:r w:rsidRPr="002F227B">
        <w:rPr>
          <w:rFonts w:ascii="Times New Roman" w:hAnsi="Times New Roman" w:cs="Times New Roman"/>
          <w:i/>
        </w:rPr>
        <w:t>See</w:t>
      </w:r>
      <w:r w:rsidRPr="002F227B">
        <w:rPr>
          <w:rFonts w:ascii="Times New Roman" w:hAnsi="Times New Roman" w:cs="Times New Roman"/>
        </w:rPr>
        <w:t xml:space="preserve"> Complaint, </w:t>
      </w:r>
      <w:r w:rsidRPr="002F227B">
        <w:rPr>
          <w:rFonts w:ascii="Times New Roman" w:hAnsi="Times New Roman" w:cs="Times New Roman"/>
          <w:i/>
        </w:rPr>
        <w:t>In the Matter of Methodist Le Bonheur Healthcare and Tenet Healthcare Corporation</w:t>
      </w:r>
      <w:r w:rsidRPr="002F227B">
        <w:rPr>
          <w:rFonts w:ascii="Times New Roman" w:hAnsi="Times New Roman" w:cs="Times New Roman"/>
        </w:rPr>
        <w:t>, Federal Trade Commission Docket No. 9396, ¶ 4. In that complaint, the Federal Trade Commission discussed the loss of competition that would have allegedly resulted from a proposed hospital merger and the effect of increased hospital prices on consumers: “Commercial insurers will have to pass on at least some of those higher healthcare costs to employers and their insurance plan members in the form of increased premiums, co-pays, deductibles, and other out-of-pocket expenses. ‘Self-insured’ employers that pay the cost of their employees’ healthcare claims directly will bear the full and immediate burden of higher reimbursement rates and other less favorable terms.”</w:t>
      </w:r>
    </w:p>
  </w:footnote>
  <w:footnote w:id="250">
    <w:p w14:paraId="4B8E55C7" w14:textId="72200D1F"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sidDel="00A62572">
        <w:rPr>
          <w:rFonts w:ascii="Times New Roman" w:hAnsi="Times New Roman" w:cs="Times New Roman"/>
        </w:rPr>
        <w:t xml:space="preserve"> </w:t>
      </w:r>
      <w:r w:rsidRPr="002F227B">
        <w:rPr>
          <w:rFonts w:ascii="Times New Roman" w:hAnsi="Times New Roman" w:cs="Times New Roman"/>
        </w:rPr>
        <w:t>Kaiser Family Foundation, “Employer Health Benefits: 2021 Annual Survey,</w:t>
      </w:r>
      <w:r w:rsidRPr="002F227B">
        <w:rPr>
          <w:rFonts w:ascii="Times New Roman" w:hAnsi="Times New Roman" w:cs="Times New Roman"/>
          <w:iCs/>
        </w:rPr>
        <w:t>”</w:t>
      </w:r>
      <w:r w:rsidRPr="002F227B">
        <w:rPr>
          <w:rFonts w:ascii="Times New Roman" w:hAnsi="Times New Roman" w:cs="Times New Roman"/>
        </w:rPr>
        <w:t xml:space="preserve"> Figure 10.1, </w:t>
      </w:r>
      <w:r w:rsidRPr="002F227B">
        <w:rPr>
          <w:rFonts w:ascii="Times New Roman" w:hAnsi="Times New Roman" w:cs="Times New Roman"/>
          <w:i/>
        </w:rPr>
        <w:t>available at</w:t>
      </w:r>
      <w:r w:rsidRPr="002F227B">
        <w:rPr>
          <w:rFonts w:ascii="Times New Roman" w:hAnsi="Times New Roman" w:cs="Times New Roman"/>
        </w:rPr>
        <w:t xml:space="preserve"> https://files.kff.org/attachment/Report-Employer-Health-Benefits-2021-Annual-Survey.pdf.</w:t>
      </w:r>
    </w:p>
  </w:footnote>
  <w:footnote w:id="251">
    <w:p w14:paraId="2450E3DC" w14:textId="64CA909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w:t>
      </w:r>
      <w:r w:rsidRPr="002F227B">
        <w:rPr>
          <w:rFonts w:ascii="Times New Roman" w:hAnsi="Times New Roman" w:cs="Times New Roman"/>
          <w:i/>
          <w:iCs/>
        </w:rPr>
        <w:t xml:space="preserve">See </w:t>
      </w:r>
      <w:r w:rsidRPr="002F227B">
        <w:rPr>
          <w:rFonts w:ascii="Times New Roman" w:hAnsi="Times New Roman" w:cs="Times New Roman"/>
        </w:rPr>
        <w:t xml:space="preserve">Peter R. Kongstvedt (ed.). </w:t>
      </w:r>
      <w:r w:rsidRPr="002F227B">
        <w:rPr>
          <w:rFonts w:ascii="Times New Roman" w:hAnsi="Times New Roman" w:cs="Times New Roman"/>
          <w:i/>
          <w:iCs/>
        </w:rPr>
        <w:t xml:space="preserve">The Managed Health Care Handbook, </w:t>
      </w:r>
      <w:r w:rsidRPr="002F227B">
        <w:rPr>
          <w:rFonts w:ascii="Times New Roman" w:hAnsi="Times New Roman" w:cs="Times New Roman"/>
        </w:rPr>
        <w:t>Fourth Edition. Gaithersburg, Aspen Publishers (2001), Chapter 49.</w:t>
      </w:r>
    </w:p>
  </w:footnote>
  <w:footnote w:id="252">
    <w:p w14:paraId="4E422638" w14:textId="5FE0D075"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Centers for Medicare and Medicaid Services. National Health Expenditure Accounts, Table 20, </w:t>
      </w:r>
      <w:r w:rsidRPr="002F227B">
        <w:rPr>
          <w:rFonts w:ascii="Times New Roman" w:hAnsi="Times New Roman" w:cs="Times New Roman"/>
          <w:i/>
        </w:rPr>
        <w:t xml:space="preserve">available at </w:t>
      </w:r>
      <w:r w:rsidRPr="002F227B">
        <w:rPr>
          <w:rFonts w:ascii="Times New Roman" w:hAnsi="Times New Roman" w:cs="Times New Roman"/>
        </w:rPr>
        <w:t>https://www.cms.gov/files/zip/nhe-tables.zip.</w:t>
      </w:r>
    </w:p>
  </w:footnote>
  <w:footnote w:id="253">
    <w:p w14:paraId="37E0E74C" w14:textId="473A33DE"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Jonathan T. Kolstad and Amanda E. Kowalski. “Mandate-based health reform and the labor market: Evidence from the Massachusetts reform.” </w:t>
      </w:r>
      <w:r w:rsidRPr="002F227B">
        <w:rPr>
          <w:rFonts w:ascii="Times New Roman" w:hAnsi="Times New Roman" w:cs="Times New Roman"/>
          <w:i/>
        </w:rPr>
        <w:t>Journal of Health Economics</w:t>
      </w:r>
      <w:r w:rsidRPr="002F227B">
        <w:rPr>
          <w:rFonts w:ascii="Times New Roman" w:hAnsi="Times New Roman" w:cs="Times New Roman"/>
        </w:rPr>
        <w:t xml:space="preserve"> (2016). </w:t>
      </w:r>
    </w:p>
  </w:footnote>
  <w:footnote w:id="254">
    <w:p w14:paraId="39C8DDE7"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Priyanka Anand. “Health Insurance Costs and Employee Compensation: Evidence from the National Compensation Survey.” </w:t>
      </w:r>
      <w:r w:rsidRPr="002F227B">
        <w:rPr>
          <w:rFonts w:ascii="Times New Roman" w:hAnsi="Times New Roman" w:cs="Times New Roman"/>
          <w:i/>
        </w:rPr>
        <w:t>Health Economics</w:t>
      </w:r>
      <w:r w:rsidRPr="002F227B">
        <w:rPr>
          <w:rFonts w:ascii="Times New Roman" w:hAnsi="Times New Roman" w:cs="Times New Roman"/>
        </w:rPr>
        <w:t xml:space="preserve"> (2017). </w:t>
      </w:r>
    </w:p>
  </w:footnote>
  <w:footnote w:id="255">
    <w:p w14:paraId="55291850" w14:textId="6CB7F398"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Katherine Baicker and Amitabh Chandra. “The Labor Market Effects of Rising Health Insurance Premiums.” </w:t>
      </w:r>
      <w:r w:rsidRPr="002F227B">
        <w:rPr>
          <w:rFonts w:ascii="Times New Roman" w:hAnsi="Times New Roman" w:cs="Times New Roman"/>
          <w:i/>
        </w:rPr>
        <w:t>Journal of Labor Economics</w:t>
      </w:r>
      <w:r w:rsidRPr="002F227B">
        <w:rPr>
          <w:rFonts w:ascii="Times New Roman" w:hAnsi="Times New Roman" w:cs="Times New Roman"/>
        </w:rPr>
        <w:t xml:space="preserve"> (2006). </w:t>
      </w:r>
    </w:p>
  </w:footnote>
  <w:footnote w:id="256">
    <w:p w14:paraId="621653F4" w14:textId="77777777"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Jonathan Gruber. “The Incidence of Mandated Maternity Benefits.” </w:t>
      </w:r>
      <w:r w:rsidRPr="002F227B">
        <w:rPr>
          <w:rFonts w:ascii="Times New Roman" w:hAnsi="Times New Roman" w:cs="Times New Roman"/>
          <w:i/>
        </w:rPr>
        <w:t xml:space="preserve">American Economic Review </w:t>
      </w:r>
      <w:r w:rsidRPr="002F227B">
        <w:rPr>
          <w:rFonts w:ascii="Times New Roman" w:hAnsi="Times New Roman" w:cs="Times New Roman"/>
        </w:rPr>
        <w:t>(1994).</w:t>
      </w:r>
    </w:p>
  </w:footnote>
  <w:footnote w:id="257">
    <w:p w14:paraId="5F4DB9E8" w14:textId="3C251A2C"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Matthew Rae, Rebecca Copeland, and Cynthia Cox. “Tracking the rise in premium contributions and cost-sharing for families with large employer coverage,” Peterson-KFF Health System Tracker (2019), </w:t>
      </w:r>
      <w:r w:rsidRPr="002F227B">
        <w:rPr>
          <w:rFonts w:ascii="Times New Roman" w:hAnsi="Times New Roman" w:cs="Times New Roman"/>
          <w:i/>
        </w:rPr>
        <w:t>available at</w:t>
      </w:r>
      <w:r w:rsidRPr="002F227B">
        <w:rPr>
          <w:rFonts w:ascii="Times New Roman" w:hAnsi="Times New Roman" w:cs="Times New Roman"/>
        </w:rPr>
        <w:t xml:space="preserve"> https://www.healthsystemtracker.org/brief/tracking-the-rise-in-premium-contributions-and-cost-sharing-for-families-with-large-employer-coverage. </w:t>
      </w:r>
    </w:p>
  </w:footnote>
  <w:footnote w:id="258">
    <w:p w14:paraId="749DEA7B" w14:textId="5824DE03"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Bureau of Labor Statistics National Compensation Survey. “</w:t>
      </w:r>
      <w:r w:rsidRPr="002F227B">
        <w:rPr>
          <w:rFonts w:ascii="Times New Roman" w:hAnsi="Times New Roman" w:cs="Times New Roman"/>
          <w:shd w:val="clear" w:color="auto" w:fill="FFFFFF"/>
        </w:rPr>
        <w:t xml:space="preserve">Table 4. Medical plans: Share of premiums paid by employer and employee for family coverage,” (March 2021), </w:t>
      </w:r>
      <w:r w:rsidRPr="002F227B">
        <w:rPr>
          <w:rFonts w:ascii="Times New Roman" w:hAnsi="Times New Roman" w:cs="Times New Roman"/>
          <w:i/>
          <w:shd w:val="clear" w:color="auto" w:fill="FFFFFF"/>
        </w:rPr>
        <w:t xml:space="preserve">available at </w:t>
      </w:r>
      <w:r w:rsidRPr="002F227B">
        <w:rPr>
          <w:rFonts w:ascii="Times New Roman" w:hAnsi="Times New Roman" w:cs="Times New Roman"/>
        </w:rPr>
        <w:t>https://www.bls.gov/news.release/ebs2.t04.htm</w:t>
      </w:r>
      <w:r w:rsidRPr="002F227B">
        <w:rPr>
          <w:rFonts w:ascii="Times New Roman" w:hAnsi="Times New Roman" w:cs="Times New Roman"/>
          <w:shd w:val="clear" w:color="auto" w:fill="FFFFFF"/>
        </w:rPr>
        <w:t xml:space="preserve">; </w:t>
      </w:r>
      <w:r w:rsidRPr="002F227B">
        <w:rPr>
          <w:rFonts w:ascii="Times New Roman" w:hAnsi="Times New Roman" w:cs="Times New Roman"/>
        </w:rPr>
        <w:t>Bureau of Labor Statistics National Compensation Survey. “</w:t>
      </w:r>
      <w:r w:rsidRPr="002F227B">
        <w:rPr>
          <w:rFonts w:ascii="Times New Roman" w:eastAsia="Times-Roman" w:hAnsi="Times New Roman" w:cs="Times New Roman"/>
        </w:rPr>
        <w:t xml:space="preserve">Table 3. Medical plans: Share of premiums paid by employer and employee for single coverage,” (March 2021), </w:t>
      </w:r>
      <w:r w:rsidRPr="002F227B">
        <w:rPr>
          <w:rFonts w:ascii="Times New Roman" w:eastAsia="Times-Roman" w:hAnsi="Times New Roman" w:cs="Times New Roman"/>
          <w:i/>
        </w:rPr>
        <w:t>available at</w:t>
      </w:r>
      <w:r w:rsidRPr="002F227B">
        <w:rPr>
          <w:rFonts w:ascii="Times New Roman" w:hAnsi="Times New Roman" w:cs="Times New Roman"/>
        </w:rPr>
        <w:t xml:space="preserve"> https://www.bls.gov/news.release/ebs2.t03.htm. </w:t>
      </w:r>
    </w:p>
  </w:footnote>
  <w:footnote w:id="259">
    <w:p w14:paraId="253E3327" w14:textId="5556398B" w:rsidR="00CF3141" w:rsidRPr="002F227B" w:rsidRDefault="00CF3141" w:rsidP="00335D93">
      <w:pPr>
        <w:pStyle w:val="FootnoteText"/>
        <w:rPr>
          <w:rFonts w:ascii="Times New Roman" w:hAnsi="Times New Roman" w:cs="Times New Roman"/>
        </w:rPr>
      </w:pPr>
      <w:r w:rsidRPr="002F227B">
        <w:rPr>
          <w:rStyle w:val="FootnoteReference"/>
          <w:rFonts w:ascii="Times New Roman" w:hAnsi="Times New Roman" w:cs="Times New Roman"/>
        </w:rPr>
        <w:footnoteRef/>
      </w:r>
      <w:r w:rsidRPr="002F227B">
        <w:rPr>
          <w:rFonts w:ascii="Times New Roman" w:hAnsi="Times New Roman" w:cs="Times New Roman"/>
        </w:rPr>
        <w:t xml:space="preserve"> To calculate the changes in expenditures across all service lines reported in Figure MGH31, we weight the expenditure impact for each service line by the total allowed amounts for that service line. We calculate these allowed amounts using the APCD and Medicare Claims data for patients residing in eastern Massachusetts. These weights are used to measure the contribution of each service line to the total cost impact of the proposed project</w:t>
      </w:r>
      <w:r>
        <w:rPr>
          <w:rFonts w:ascii="Times New Roman" w:hAnsi="Times New Roman" w:cs="Times New Roman"/>
        </w:rPr>
        <w:t xml:space="preserve"> in order t</w:t>
      </w:r>
      <w:r w:rsidRPr="002F227B">
        <w:rPr>
          <w:rFonts w:ascii="Times New Roman" w:hAnsi="Times New Roman" w:cs="Times New Roman"/>
        </w:rPr>
        <w:t>o give more weight to the cost impact associated with service lines with higher health care expenditures and less weight to service lines with lower health care expenditures.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8AA8E" w14:textId="77777777" w:rsidR="00CF3141" w:rsidRDefault="00CF3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5A708" w14:textId="206F5090" w:rsidR="00CF3141" w:rsidRDefault="00CF3141">
    <w:pPr>
      <w:pStyle w:val="Header"/>
    </w:pPr>
    <w:r>
      <w:rPr>
        <w:noProof/>
      </w:rPr>
      <w:drawing>
        <wp:inline distT="0" distB="0" distL="0" distR="0" wp14:anchorId="7AB4ED72" wp14:editId="281ACD76">
          <wp:extent cx="1771650" cy="323850"/>
          <wp:effectExtent l="0" t="0" r="0" b="0"/>
          <wp:docPr id="43" name="Picture 43" descr="Charles River Associa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les River Associat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323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19FF3" w14:textId="77777777" w:rsidR="00CF3141" w:rsidRDefault="00CF31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DB6AB" w14:textId="77777777" w:rsidR="00CF3141" w:rsidRDefault="00CF31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95132" w14:textId="448FD8B7" w:rsidR="00CF3141" w:rsidRDefault="00CF31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AF20CC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018A840C"/>
    <w:lvl w:ilvl="0">
      <w:start w:val="1"/>
      <w:numFmt w:val="bullet"/>
      <w:pStyle w:val="ListBullet"/>
      <w:lvlText w:val=""/>
      <w:lvlJc w:val="left"/>
      <w:pPr>
        <w:tabs>
          <w:tab w:val="num" w:pos="360"/>
        </w:tabs>
        <w:ind w:left="360" w:hanging="360"/>
      </w:pPr>
      <w:rPr>
        <w:rFonts w:ascii="SimSun" w:hAnsi="SimSun" w:hint="default"/>
      </w:rPr>
    </w:lvl>
  </w:abstractNum>
  <w:abstractNum w:abstractNumId="2" w15:restartNumberingAfterBreak="0">
    <w:nsid w:val="FFFFFFFB"/>
    <w:multiLevelType w:val="multilevel"/>
    <w:tmpl w:val="60BEED90"/>
    <w:lvl w:ilvl="0">
      <w:start w:val="1"/>
      <w:numFmt w:val="upperRoman"/>
      <w:pStyle w:val="Heading1"/>
      <w:lvlText w:val="%1."/>
      <w:lvlJc w:val="right"/>
      <w:pPr>
        <w:ind w:left="372" w:hanging="360"/>
      </w:pPr>
    </w:lvl>
    <w:lvl w:ilvl="1">
      <w:start w:val="1"/>
      <w:numFmt w:val="decimal"/>
      <w:lvlText w:val="%1.%2."/>
      <w:legacy w:legacy="1" w:legacySpace="0" w:legacyIndent="708"/>
      <w:lvlJc w:val="left"/>
      <w:pPr>
        <w:ind w:left="720" w:hanging="708"/>
      </w:pPr>
    </w:lvl>
    <w:lvl w:ilvl="2">
      <w:start w:val="1"/>
      <w:numFmt w:val="decimal"/>
      <w:lvlText w:val="%1.%2.%3."/>
      <w:legacy w:legacy="1" w:legacySpace="0" w:legacyIndent="708"/>
      <w:lvlJc w:val="left"/>
      <w:pPr>
        <w:ind w:left="720" w:hanging="708"/>
      </w:pPr>
    </w:lvl>
    <w:lvl w:ilvl="3">
      <w:start w:val="1"/>
      <w:numFmt w:val="none"/>
      <w:suff w:val="nothing"/>
      <w:lvlText w:val=""/>
      <w:lvlJc w:val="left"/>
      <w:pPr>
        <w:ind w:left="1440" w:hanging="708"/>
      </w:pPr>
    </w:lvl>
    <w:lvl w:ilvl="4">
      <w:start w:val="1"/>
      <w:numFmt w:val="decimal"/>
      <w:pStyle w:val="Heading5"/>
      <w:lvlText w:val="%5."/>
      <w:legacy w:legacy="1" w:legacySpace="0" w:legacyIndent="708"/>
      <w:lvlJc w:val="left"/>
      <w:pPr>
        <w:ind w:left="3540" w:hanging="708"/>
      </w:pPr>
    </w:lvl>
    <w:lvl w:ilvl="5">
      <w:start w:val="1"/>
      <w:numFmt w:val="decimal"/>
      <w:pStyle w:val="Heading6"/>
      <w:lvlText w:val="%5.%6."/>
      <w:legacy w:legacy="1" w:legacySpace="0" w:legacyIndent="708"/>
      <w:lvlJc w:val="left"/>
      <w:pPr>
        <w:ind w:left="4248" w:hanging="708"/>
      </w:pPr>
    </w:lvl>
    <w:lvl w:ilvl="6">
      <w:start w:val="1"/>
      <w:numFmt w:val="decimal"/>
      <w:pStyle w:val="Heading7"/>
      <w:lvlText w:val="%5.%6.%7."/>
      <w:legacy w:legacy="1" w:legacySpace="0" w:legacyIndent="708"/>
      <w:lvlJc w:val="left"/>
      <w:pPr>
        <w:ind w:left="4956" w:hanging="708"/>
      </w:pPr>
    </w:lvl>
    <w:lvl w:ilvl="7">
      <w:start w:val="1"/>
      <w:numFmt w:val="decimal"/>
      <w:pStyle w:val="Heading8"/>
      <w:lvlText w:val="%5.%6.%7.%8."/>
      <w:legacy w:legacy="1" w:legacySpace="0" w:legacyIndent="708"/>
      <w:lvlJc w:val="left"/>
      <w:pPr>
        <w:ind w:left="5664" w:hanging="708"/>
      </w:pPr>
    </w:lvl>
    <w:lvl w:ilvl="8">
      <w:start w:val="1"/>
      <w:numFmt w:val="decimal"/>
      <w:pStyle w:val="Heading9"/>
      <w:lvlText w:val="%5.%6.%7.%8.%9."/>
      <w:legacy w:legacy="1" w:legacySpace="0" w:legacyIndent="708"/>
      <w:lvlJc w:val="left"/>
      <w:pPr>
        <w:ind w:left="6372" w:hanging="708"/>
      </w:pPr>
    </w:lvl>
  </w:abstractNum>
  <w:abstractNum w:abstractNumId="3" w15:restartNumberingAfterBreak="0">
    <w:nsid w:val="01DE4A15"/>
    <w:multiLevelType w:val="hybridMultilevel"/>
    <w:tmpl w:val="BB16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A68CC"/>
    <w:multiLevelType w:val="hybridMultilevel"/>
    <w:tmpl w:val="8F6CBC16"/>
    <w:lvl w:ilvl="0" w:tplc="5582E27E">
      <w:start w:val="1"/>
      <w:numFmt w:val="decimal"/>
      <w:pStyle w:val="BodyText"/>
      <w:lvlText w:val="%1."/>
      <w:lvlJc w:val="left"/>
      <w:pPr>
        <w:tabs>
          <w:tab w:val="num" w:pos="720"/>
        </w:tabs>
        <w:ind w:left="0" w:firstLine="360"/>
      </w:pPr>
      <w:rPr>
        <w:rFonts w:hint="default"/>
      </w:rPr>
    </w:lvl>
    <w:lvl w:ilvl="1" w:tplc="BB0078BC">
      <w:start w:val="1"/>
      <w:numFmt w:val="lowerLetter"/>
      <w:lvlText w:val="%2."/>
      <w:lvlJc w:val="left"/>
      <w:pPr>
        <w:tabs>
          <w:tab w:val="num" w:pos="1440"/>
        </w:tabs>
        <w:ind w:left="1440" w:hanging="360"/>
      </w:pPr>
    </w:lvl>
    <w:lvl w:ilvl="2" w:tplc="2F1E1FFE">
      <w:start w:val="2"/>
      <w:numFmt w:val="lowerLetter"/>
      <w:lvlText w:val="(%3)"/>
      <w:lvlJc w:val="left"/>
      <w:pPr>
        <w:tabs>
          <w:tab w:val="num" w:pos="2340"/>
        </w:tabs>
        <w:ind w:left="2340" w:hanging="360"/>
      </w:pPr>
      <w:rPr>
        <w:rFonts w:hint="default"/>
      </w:rPr>
    </w:lvl>
    <w:lvl w:ilvl="3" w:tplc="C24A4930">
      <w:start w:val="1"/>
      <w:numFmt w:val="decimal"/>
      <w:lvlText w:val="%4."/>
      <w:lvlJc w:val="left"/>
      <w:pPr>
        <w:tabs>
          <w:tab w:val="num" w:pos="2880"/>
        </w:tabs>
        <w:ind w:left="2880" w:hanging="360"/>
      </w:pPr>
    </w:lvl>
    <w:lvl w:ilvl="4" w:tplc="20EECCFE">
      <w:start w:val="1"/>
      <w:numFmt w:val="lowerLetter"/>
      <w:lvlText w:val="%5."/>
      <w:lvlJc w:val="left"/>
      <w:pPr>
        <w:tabs>
          <w:tab w:val="num" w:pos="3600"/>
        </w:tabs>
        <w:ind w:left="3600" w:hanging="360"/>
      </w:pPr>
    </w:lvl>
    <w:lvl w:ilvl="5" w:tplc="AE9E7848">
      <w:start w:val="1"/>
      <w:numFmt w:val="lowerRoman"/>
      <w:lvlText w:val="%6."/>
      <w:lvlJc w:val="right"/>
      <w:pPr>
        <w:tabs>
          <w:tab w:val="num" w:pos="4320"/>
        </w:tabs>
        <w:ind w:left="4320" w:hanging="180"/>
      </w:pPr>
    </w:lvl>
    <w:lvl w:ilvl="6" w:tplc="DACA3AB6" w:tentative="1">
      <w:start w:val="1"/>
      <w:numFmt w:val="decimal"/>
      <w:lvlText w:val="%7."/>
      <w:lvlJc w:val="left"/>
      <w:pPr>
        <w:tabs>
          <w:tab w:val="num" w:pos="5040"/>
        </w:tabs>
        <w:ind w:left="5040" w:hanging="360"/>
      </w:pPr>
    </w:lvl>
    <w:lvl w:ilvl="7" w:tplc="D9C284DE" w:tentative="1">
      <w:start w:val="1"/>
      <w:numFmt w:val="lowerLetter"/>
      <w:lvlText w:val="%8."/>
      <w:lvlJc w:val="left"/>
      <w:pPr>
        <w:tabs>
          <w:tab w:val="num" w:pos="5760"/>
        </w:tabs>
        <w:ind w:left="5760" w:hanging="360"/>
      </w:pPr>
    </w:lvl>
    <w:lvl w:ilvl="8" w:tplc="D96C96B4" w:tentative="1">
      <w:start w:val="1"/>
      <w:numFmt w:val="lowerRoman"/>
      <w:lvlText w:val="%9."/>
      <w:lvlJc w:val="right"/>
      <w:pPr>
        <w:tabs>
          <w:tab w:val="num" w:pos="6480"/>
        </w:tabs>
        <w:ind w:left="6480" w:hanging="180"/>
      </w:pPr>
    </w:lvl>
  </w:abstractNum>
  <w:abstractNum w:abstractNumId="5" w15:restartNumberingAfterBreak="0">
    <w:nsid w:val="0C316148"/>
    <w:multiLevelType w:val="hybridMultilevel"/>
    <w:tmpl w:val="8542B9CA"/>
    <w:lvl w:ilvl="0" w:tplc="05421F18">
      <w:start w:val="1"/>
      <w:numFmt w:val="decimal"/>
      <w:pStyle w:val="AppendixParagraphs"/>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203436"/>
    <w:multiLevelType w:val="hybridMultilevel"/>
    <w:tmpl w:val="7AC67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ambria Math" w:hAnsi="Cambria Math" w:cs="Cambria Math" w:hint="default"/>
      </w:rPr>
    </w:lvl>
    <w:lvl w:ilvl="2" w:tplc="04090005" w:tentative="1">
      <w:start w:val="1"/>
      <w:numFmt w:val="bullet"/>
      <w:lvlText w:val=""/>
      <w:lvlJc w:val="left"/>
      <w:pPr>
        <w:ind w:left="2160" w:hanging="360"/>
      </w:pPr>
      <w:rPr>
        <w:rFonts w:ascii="Verdana" w:hAnsi="Verdana" w:hint="default"/>
      </w:rPr>
    </w:lvl>
    <w:lvl w:ilvl="3" w:tplc="04090001" w:tentative="1">
      <w:start w:val="1"/>
      <w:numFmt w:val="bullet"/>
      <w:lvlText w:val=""/>
      <w:lvlJc w:val="left"/>
      <w:pPr>
        <w:ind w:left="2880" w:hanging="360"/>
      </w:pPr>
      <w:rPr>
        <w:rFonts w:ascii="SimSun" w:hAnsi="SimSun" w:hint="default"/>
      </w:rPr>
    </w:lvl>
    <w:lvl w:ilvl="4" w:tplc="04090003" w:tentative="1">
      <w:start w:val="1"/>
      <w:numFmt w:val="bullet"/>
      <w:lvlText w:val="o"/>
      <w:lvlJc w:val="left"/>
      <w:pPr>
        <w:ind w:left="3600" w:hanging="360"/>
      </w:pPr>
      <w:rPr>
        <w:rFonts w:ascii="Cambria Math" w:hAnsi="Cambria Math" w:cs="Cambria Math" w:hint="default"/>
      </w:rPr>
    </w:lvl>
    <w:lvl w:ilvl="5" w:tplc="04090005" w:tentative="1">
      <w:start w:val="1"/>
      <w:numFmt w:val="bullet"/>
      <w:lvlText w:val=""/>
      <w:lvlJc w:val="left"/>
      <w:pPr>
        <w:ind w:left="4320" w:hanging="360"/>
      </w:pPr>
      <w:rPr>
        <w:rFonts w:ascii="Verdana" w:hAnsi="Verdana" w:hint="default"/>
      </w:rPr>
    </w:lvl>
    <w:lvl w:ilvl="6" w:tplc="04090001" w:tentative="1">
      <w:start w:val="1"/>
      <w:numFmt w:val="bullet"/>
      <w:lvlText w:val=""/>
      <w:lvlJc w:val="left"/>
      <w:pPr>
        <w:ind w:left="5040" w:hanging="360"/>
      </w:pPr>
      <w:rPr>
        <w:rFonts w:ascii="SimSun" w:hAnsi="SimSun" w:hint="default"/>
      </w:rPr>
    </w:lvl>
    <w:lvl w:ilvl="7" w:tplc="04090003" w:tentative="1">
      <w:start w:val="1"/>
      <w:numFmt w:val="bullet"/>
      <w:lvlText w:val="o"/>
      <w:lvlJc w:val="left"/>
      <w:pPr>
        <w:ind w:left="5760" w:hanging="360"/>
      </w:pPr>
      <w:rPr>
        <w:rFonts w:ascii="Cambria Math" w:hAnsi="Cambria Math" w:cs="Cambria Math" w:hint="default"/>
      </w:rPr>
    </w:lvl>
    <w:lvl w:ilvl="8" w:tplc="04090005" w:tentative="1">
      <w:start w:val="1"/>
      <w:numFmt w:val="bullet"/>
      <w:lvlText w:val=""/>
      <w:lvlJc w:val="left"/>
      <w:pPr>
        <w:ind w:left="6480" w:hanging="360"/>
      </w:pPr>
      <w:rPr>
        <w:rFonts w:ascii="Verdana" w:hAnsi="Verdana" w:hint="default"/>
      </w:rPr>
    </w:lvl>
  </w:abstractNum>
  <w:abstractNum w:abstractNumId="7" w15:restartNumberingAfterBreak="0">
    <w:nsid w:val="199812A3"/>
    <w:multiLevelType w:val="hybridMultilevel"/>
    <w:tmpl w:val="465A7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ambria Math" w:hAnsi="Cambria Math" w:cs="Cambria Math" w:hint="default"/>
      </w:rPr>
    </w:lvl>
    <w:lvl w:ilvl="2" w:tplc="04090005" w:tentative="1">
      <w:start w:val="1"/>
      <w:numFmt w:val="bullet"/>
      <w:lvlText w:val=""/>
      <w:lvlJc w:val="left"/>
      <w:pPr>
        <w:ind w:left="2160" w:hanging="360"/>
      </w:pPr>
      <w:rPr>
        <w:rFonts w:ascii="Verdana" w:hAnsi="Verdana" w:hint="default"/>
      </w:rPr>
    </w:lvl>
    <w:lvl w:ilvl="3" w:tplc="04090001" w:tentative="1">
      <w:start w:val="1"/>
      <w:numFmt w:val="bullet"/>
      <w:lvlText w:val=""/>
      <w:lvlJc w:val="left"/>
      <w:pPr>
        <w:ind w:left="2880" w:hanging="360"/>
      </w:pPr>
      <w:rPr>
        <w:rFonts w:ascii="SimSun" w:hAnsi="SimSun" w:hint="default"/>
      </w:rPr>
    </w:lvl>
    <w:lvl w:ilvl="4" w:tplc="04090003" w:tentative="1">
      <w:start w:val="1"/>
      <w:numFmt w:val="bullet"/>
      <w:lvlText w:val="o"/>
      <w:lvlJc w:val="left"/>
      <w:pPr>
        <w:ind w:left="3600" w:hanging="360"/>
      </w:pPr>
      <w:rPr>
        <w:rFonts w:ascii="Cambria Math" w:hAnsi="Cambria Math" w:cs="Cambria Math" w:hint="default"/>
      </w:rPr>
    </w:lvl>
    <w:lvl w:ilvl="5" w:tplc="04090005" w:tentative="1">
      <w:start w:val="1"/>
      <w:numFmt w:val="bullet"/>
      <w:lvlText w:val=""/>
      <w:lvlJc w:val="left"/>
      <w:pPr>
        <w:ind w:left="4320" w:hanging="360"/>
      </w:pPr>
      <w:rPr>
        <w:rFonts w:ascii="Verdana" w:hAnsi="Verdana" w:hint="default"/>
      </w:rPr>
    </w:lvl>
    <w:lvl w:ilvl="6" w:tplc="04090001" w:tentative="1">
      <w:start w:val="1"/>
      <w:numFmt w:val="bullet"/>
      <w:lvlText w:val=""/>
      <w:lvlJc w:val="left"/>
      <w:pPr>
        <w:ind w:left="5040" w:hanging="360"/>
      </w:pPr>
      <w:rPr>
        <w:rFonts w:ascii="SimSun" w:hAnsi="SimSun" w:hint="default"/>
      </w:rPr>
    </w:lvl>
    <w:lvl w:ilvl="7" w:tplc="04090003" w:tentative="1">
      <w:start w:val="1"/>
      <w:numFmt w:val="bullet"/>
      <w:lvlText w:val="o"/>
      <w:lvlJc w:val="left"/>
      <w:pPr>
        <w:ind w:left="5760" w:hanging="360"/>
      </w:pPr>
      <w:rPr>
        <w:rFonts w:ascii="Cambria Math" w:hAnsi="Cambria Math" w:cs="Cambria Math" w:hint="default"/>
      </w:rPr>
    </w:lvl>
    <w:lvl w:ilvl="8" w:tplc="04090005" w:tentative="1">
      <w:start w:val="1"/>
      <w:numFmt w:val="bullet"/>
      <w:lvlText w:val=""/>
      <w:lvlJc w:val="left"/>
      <w:pPr>
        <w:ind w:left="6480" w:hanging="360"/>
      </w:pPr>
      <w:rPr>
        <w:rFonts w:ascii="Verdana" w:hAnsi="Verdana" w:hint="default"/>
      </w:rPr>
    </w:lvl>
  </w:abstractNum>
  <w:abstractNum w:abstractNumId="8" w15:restartNumberingAfterBreak="0">
    <w:nsid w:val="1A8B6DF4"/>
    <w:multiLevelType w:val="hybridMultilevel"/>
    <w:tmpl w:val="DE3C522E"/>
    <w:lvl w:ilvl="0" w:tplc="E4AC2F9E">
      <w:start w:val="1"/>
      <w:numFmt w:val="lowerRoman"/>
      <w:pStyle w:val="Heading4"/>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303B715C"/>
    <w:multiLevelType w:val="hybridMultilevel"/>
    <w:tmpl w:val="569AE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AC595D"/>
    <w:multiLevelType w:val="hybridMultilevel"/>
    <w:tmpl w:val="9C1ECAD0"/>
    <w:lvl w:ilvl="0" w:tplc="137CDD3C">
      <w:start w:val="1"/>
      <w:numFmt w:val="upperLetter"/>
      <w:pStyle w:val="Heading2"/>
      <w:lvlText w:val="%1."/>
      <w:lvlJc w:val="left"/>
      <w:pPr>
        <w:ind w:left="1092" w:hanging="360"/>
      </w:pPr>
    </w:lvl>
    <w:lvl w:ilvl="1" w:tplc="04090019">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11" w15:restartNumberingAfterBreak="0">
    <w:nsid w:val="579F3F33"/>
    <w:multiLevelType w:val="multilevel"/>
    <w:tmpl w:val="D28A9DF6"/>
    <w:name w:val="Default Numbering Scheme"/>
    <w:lvl w:ilvl="0">
      <w:start w:val="1"/>
      <w:numFmt w:val="upperRoman"/>
      <w:lvlText w:val="%1."/>
      <w:lvlJc w:val="left"/>
      <w:pPr>
        <w:tabs>
          <w:tab w:val="num" w:pos="720"/>
        </w:tabs>
        <w:ind w:left="720" w:hanging="720"/>
      </w:pPr>
      <w:rPr>
        <w:color w:val="010000"/>
        <w:u w:val="none"/>
      </w:rPr>
    </w:lvl>
    <w:lvl w:ilvl="1">
      <w:start w:val="1"/>
      <w:numFmt w:val="upperLetter"/>
      <w:lvlText w:val="%2."/>
      <w:lvlJc w:val="left"/>
      <w:pPr>
        <w:tabs>
          <w:tab w:val="num" w:pos="1440"/>
        </w:tabs>
        <w:ind w:left="1440" w:hanging="720"/>
      </w:pPr>
      <w:rPr>
        <w:color w:val="010000"/>
        <w:u w:val="none"/>
      </w:rPr>
    </w:lvl>
    <w:lvl w:ilvl="2">
      <w:start w:val="1"/>
      <w:numFmt w:val="decimal"/>
      <w:lvlText w:val="%3."/>
      <w:lvlJc w:val="left"/>
      <w:pPr>
        <w:tabs>
          <w:tab w:val="num" w:pos="2160"/>
        </w:tabs>
        <w:ind w:left="2160" w:hanging="720"/>
      </w:pPr>
      <w:rPr>
        <w:color w:val="010000"/>
        <w:u w:val="none"/>
      </w:rPr>
    </w:lvl>
    <w:lvl w:ilvl="3">
      <w:start w:val="1"/>
      <w:numFmt w:val="lowerLetter"/>
      <w:lvlText w:val="%4."/>
      <w:lvlJc w:val="left"/>
      <w:pPr>
        <w:tabs>
          <w:tab w:val="num" w:pos="2880"/>
        </w:tabs>
        <w:ind w:left="2880" w:hanging="720"/>
      </w:pPr>
      <w:rPr>
        <w:color w:val="010000"/>
        <w:u w:val="none"/>
      </w:rPr>
    </w:lvl>
    <w:lvl w:ilvl="4">
      <w:start w:val="1"/>
      <w:numFmt w:val="lowerRoman"/>
      <w:lvlText w:val="(%5)"/>
      <w:lvlJc w:val="left"/>
      <w:pPr>
        <w:tabs>
          <w:tab w:val="num" w:pos="3600"/>
        </w:tabs>
        <w:ind w:left="3600" w:hanging="715"/>
      </w:pPr>
      <w:rPr>
        <w:color w:val="010000"/>
        <w:u w:val="none"/>
      </w:rPr>
    </w:lvl>
    <w:lvl w:ilvl="5">
      <w:start w:val="1"/>
      <w:numFmt w:val="lowerLetter"/>
      <w:lvlText w:val="(%6)"/>
      <w:lvlJc w:val="left"/>
      <w:pPr>
        <w:tabs>
          <w:tab w:val="num" w:pos="4325"/>
        </w:tabs>
        <w:ind w:left="4325" w:hanging="720"/>
      </w:pPr>
      <w:rPr>
        <w:color w:val="010000"/>
        <w:u w:val="none"/>
      </w:rPr>
    </w:lvl>
    <w:lvl w:ilvl="6">
      <w:start w:val="1"/>
      <w:numFmt w:val="upperRoman"/>
      <w:lvlText w:val="(%7)"/>
      <w:lvlJc w:val="left"/>
      <w:pPr>
        <w:tabs>
          <w:tab w:val="num" w:pos="5040"/>
        </w:tabs>
        <w:ind w:left="5040" w:hanging="720"/>
      </w:pPr>
      <w:rPr>
        <w:color w:val="010000"/>
        <w:u w:val="none"/>
      </w:rPr>
    </w:lvl>
    <w:lvl w:ilvl="7">
      <w:start w:val="1"/>
      <w:numFmt w:val="upperLetter"/>
      <w:lvlText w:val="(%8)"/>
      <w:lvlJc w:val="left"/>
      <w:pPr>
        <w:tabs>
          <w:tab w:val="num" w:pos="5760"/>
        </w:tabs>
        <w:ind w:left="5760" w:hanging="720"/>
      </w:pPr>
      <w:rPr>
        <w:color w:val="010000"/>
        <w:u w:val="none"/>
      </w:rPr>
    </w:lvl>
    <w:lvl w:ilvl="8">
      <w:start w:val="1"/>
      <w:numFmt w:val="decimal"/>
      <w:lvlText w:val="(%9)"/>
      <w:lvlJc w:val="left"/>
      <w:pPr>
        <w:tabs>
          <w:tab w:val="num" w:pos="6480"/>
        </w:tabs>
        <w:ind w:left="6480" w:hanging="720"/>
      </w:pPr>
      <w:rPr>
        <w:color w:val="010000"/>
        <w:u w:val="none"/>
      </w:rPr>
    </w:lvl>
  </w:abstractNum>
  <w:abstractNum w:abstractNumId="12" w15:restartNumberingAfterBreak="0">
    <w:nsid w:val="57FD602E"/>
    <w:multiLevelType w:val="hybridMultilevel"/>
    <w:tmpl w:val="ABF8C6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F966D7"/>
    <w:multiLevelType w:val="hybridMultilevel"/>
    <w:tmpl w:val="67C446AE"/>
    <w:lvl w:ilvl="0" w:tplc="E42AC598">
      <w:start w:val="1"/>
      <w:numFmt w:val="decimal"/>
      <w:pStyle w:val="NumberedParagraphs"/>
      <w:lvlText w:val="%1."/>
      <w:lvlJc w:val="left"/>
      <w:pPr>
        <w:ind w:left="360" w:hanging="360"/>
      </w:pPr>
      <w:rPr>
        <w:rFonts w:ascii="Times New Roman" w:hAnsi="Times New Roman" w:cs="Times New Roman" w:hint="default"/>
        <w:sz w:val="24"/>
        <w:szCs w:val="24"/>
        <w:vertAlign w:val="baseline"/>
      </w:rPr>
    </w:lvl>
    <w:lvl w:ilvl="1" w:tplc="04090001">
      <w:start w:val="1"/>
      <w:numFmt w:val="bullet"/>
      <w:lvlText w:val=""/>
      <w:lvlJc w:val="left"/>
      <w:pPr>
        <w:ind w:left="1440" w:hanging="360"/>
      </w:pPr>
      <w:rPr>
        <w:rFonts w:ascii="SimSun" w:hAnsi="SimSu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B86114"/>
    <w:multiLevelType w:val="hybridMultilevel"/>
    <w:tmpl w:val="0494137E"/>
    <w:lvl w:ilvl="0" w:tplc="CF6851D4">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0C06BD"/>
    <w:multiLevelType w:val="hybridMultilevel"/>
    <w:tmpl w:val="7A48A93C"/>
    <w:lvl w:ilvl="0" w:tplc="FC26D3BE">
      <w:start w:val="1"/>
      <w:numFmt w:val="decimal"/>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E463476"/>
    <w:multiLevelType w:val="hybridMultilevel"/>
    <w:tmpl w:val="11E4A25A"/>
    <w:lvl w:ilvl="0" w:tplc="AF40CEB8">
      <w:start w:val="1"/>
      <w:numFmt w:val="bullet"/>
      <w:pStyle w:val="BulletParagraph"/>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ambria Math" w:hAnsi="Cambria Math" w:cs="Cambria Math" w:hint="default"/>
      </w:rPr>
    </w:lvl>
    <w:lvl w:ilvl="2" w:tplc="04090005" w:tentative="1">
      <w:start w:val="1"/>
      <w:numFmt w:val="bullet"/>
      <w:lvlText w:val=""/>
      <w:lvlJc w:val="left"/>
      <w:pPr>
        <w:ind w:left="2220" w:hanging="360"/>
      </w:pPr>
      <w:rPr>
        <w:rFonts w:ascii="Verdana" w:hAnsi="Verdana" w:hint="default"/>
      </w:rPr>
    </w:lvl>
    <w:lvl w:ilvl="3" w:tplc="04090001" w:tentative="1">
      <w:start w:val="1"/>
      <w:numFmt w:val="bullet"/>
      <w:lvlText w:val=""/>
      <w:lvlJc w:val="left"/>
      <w:pPr>
        <w:ind w:left="2940" w:hanging="360"/>
      </w:pPr>
      <w:rPr>
        <w:rFonts w:ascii="SimSun" w:hAnsi="SimSun" w:hint="default"/>
      </w:rPr>
    </w:lvl>
    <w:lvl w:ilvl="4" w:tplc="04090003" w:tentative="1">
      <w:start w:val="1"/>
      <w:numFmt w:val="bullet"/>
      <w:lvlText w:val="o"/>
      <w:lvlJc w:val="left"/>
      <w:pPr>
        <w:ind w:left="3660" w:hanging="360"/>
      </w:pPr>
      <w:rPr>
        <w:rFonts w:ascii="Cambria Math" w:hAnsi="Cambria Math" w:cs="Cambria Math" w:hint="default"/>
      </w:rPr>
    </w:lvl>
    <w:lvl w:ilvl="5" w:tplc="04090005" w:tentative="1">
      <w:start w:val="1"/>
      <w:numFmt w:val="bullet"/>
      <w:lvlText w:val=""/>
      <w:lvlJc w:val="left"/>
      <w:pPr>
        <w:ind w:left="4380" w:hanging="360"/>
      </w:pPr>
      <w:rPr>
        <w:rFonts w:ascii="Verdana" w:hAnsi="Verdana" w:hint="default"/>
      </w:rPr>
    </w:lvl>
    <w:lvl w:ilvl="6" w:tplc="04090001" w:tentative="1">
      <w:start w:val="1"/>
      <w:numFmt w:val="bullet"/>
      <w:lvlText w:val=""/>
      <w:lvlJc w:val="left"/>
      <w:pPr>
        <w:ind w:left="5100" w:hanging="360"/>
      </w:pPr>
      <w:rPr>
        <w:rFonts w:ascii="SimSun" w:hAnsi="SimSun" w:hint="default"/>
      </w:rPr>
    </w:lvl>
    <w:lvl w:ilvl="7" w:tplc="04090003" w:tentative="1">
      <w:start w:val="1"/>
      <w:numFmt w:val="bullet"/>
      <w:lvlText w:val="o"/>
      <w:lvlJc w:val="left"/>
      <w:pPr>
        <w:ind w:left="5820" w:hanging="360"/>
      </w:pPr>
      <w:rPr>
        <w:rFonts w:ascii="Cambria Math" w:hAnsi="Cambria Math" w:cs="Cambria Math" w:hint="default"/>
      </w:rPr>
    </w:lvl>
    <w:lvl w:ilvl="8" w:tplc="04090005" w:tentative="1">
      <w:start w:val="1"/>
      <w:numFmt w:val="bullet"/>
      <w:lvlText w:val=""/>
      <w:lvlJc w:val="left"/>
      <w:pPr>
        <w:ind w:left="6540" w:hanging="360"/>
      </w:pPr>
      <w:rPr>
        <w:rFonts w:ascii="Verdana" w:hAnsi="Verdana" w:hint="default"/>
      </w:rPr>
    </w:lvl>
  </w:abstractNum>
  <w:num w:numId="1">
    <w:abstractNumId w:val="4"/>
  </w:num>
  <w:num w:numId="2">
    <w:abstractNumId w:val="0"/>
  </w:num>
  <w:num w:numId="3">
    <w:abstractNumId w:val="5"/>
  </w:num>
  <w:num w:numId="4">
    <w:abstractNumId w:val="13"/>
  </w:num>
  <w:num w:numId="5">
    <w:abstractNumId w:val="1"/>
  </w:num>
  <w:num w:numId="6">
    <w:abstractNumId w:val="8"/>
  </w:num>
  <w:num w:numId="7">
    <w:abstractNumId w:val="8"/>
    <w:lvlOverride w:ilvl="0">
      <w:startOverride w:val="1"/>
    </w:lvlOverride>
  </w:num>
  <w:num w:numId="8">
    <w:abstractNumId w:val="2"/>
  </w:num>
  <w:num w:numId="9">
    <w:abstractNumId w:val="7"/>
  </w:num>
  <w:num w:numId="10">
    <w:abstractNumId w:val="15"/>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5"/>
    <w:lvlOverride w:ilvl="0">
      <w:startOverride w:val="1"/>
    </w:lvlOverride>
  </w:num>
  <w:num w:numId="15">
    <w:abstractNumId w:val="8"/>
    <w:lvlOverride w:ilvl="0">
      <w:startOverride w:val="1"/>
    </w:lvlOverride>
  </w:num>
  <w:num w:numId="16">
    <w:abstractNumId w:val="6"/>
  </w:num>
  <w:num w:numId="17">
    <w:abstractNumId w:val="16"/>
  </w:num>
  <w:num w:numId="18">
    <w:abstractNumId w:val="10"/>
    <w:lvlOverride w:ilvl="0">
      <w:startOverride w:val="1"/>
    </w:lvlOverride>
  </w:num>
  <w:num w:numId="19">
    <w:abstractNumId w:val="10"/>
  </w:num>
  <w:num w:numId="20">
    <w:abstractNumId w:val="10"/>
    <w:lvlOverride w:ilvl="0">
      <w:startOverride w:val="1"/>
    </w:lvlOverride>
  </w:num>
  <w:num w:numId="21">
    <w:abstractNumId w:val="10"/>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8"/>
    <w:lvlOverride w:ilvl="0">
      <w:startOverride w:val="1"/>
    </w:lvlOverride>
  </w:num>
  <w:num w:numId="26">
    <w:abstractNumId w:val="14"/>
  </w:num>
  <w:num w:numId="27">
    <w:abstractNumId w:val="10"/>
    <w:lvlOverride w:ilvl="0">
      <w:startOverride w:val="1"/>
    </w:lvlOverride>
  </w:num>
  <w:num w:numId="28">
    <w:abstractNumId w:val="15"/>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15"/>
    <w:lvlOverride w:ilvl="0">
      <w:startOverride w:val="1"/>
    </w:lvlOverride>
  </w:num>
  <w:num w:numId="34">
    <w:abstractNumId w:val="15"/>
    <w:lvlOverride w:ilvl="0">
      <w:startOverride w:val="1"/>
    </w:lvlOverride>
  </w:num>
  <w:num w:numId="35">
    <w:abstractNumId w:val="15"/>
    <w:lvlOverride w:ilvl="0">
      <w:startOverride w:val="1"/>
    </w:lvlOverride>
  </w:num>
  <w:num w:numId="36">
    <w:abstractNumId w:val="15"/>
    <w:lvlOverride w:ilvl="0">
      <w:startOverride w:val="1"/>
    </w:lvlOverride>
  </w:num>
  <w:num w:numId="37">
    <w:abstractNumId w:val="15"/>
    <w:lvlOverride w:ilvl="0">
      <w:startOverride w:val="1"/>
    </w:lvlOverride>
  </w:num>
  <w:num w:numId="38">
    <w:abstractNumId w:val="15"/>
    <w:lvlOverride w:ilvl="0">
      <w:startOverride w:val="1"/>
    </w:lvlOverride>
  </w:num>
  <w:num w:numId="39">
    <w:abstractNumId w:val="15"/>
    <w:lvlOverride w:ilvl="0">
      <w:startOverride w:val="1"/>
    </w:lvlOverride>
  </w:num>
  <w:num w:numId="40">
    <w:abstractNumId w:val="15"/>
    <w:lvlOverride w:ilvl="0">
      <w:startOverride w:val="1"/>
    </w:lvlOverride>
  </w:num>
  <w:num w:numId="41">
    <w:abstractNumId w:val="8"/>
    <w:lvlOverride w:ilvl="0">
      <w:startOverride w:val="1"/>
    </w:lvlOverride>
  </w:num>
  <w:num w:numId="42">
    <w:abstractNumId w:val="3"/>
  </w:num>
  <w:num w:numId="43">
    <w:abstractNumId w:val="9"/>
  </w:num>
  <w:num w:numId="44">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nforcement="0"/>
  <w:autoFormatOverride/>
  <w:styleLockTheme/>
  <w:styleLockQFSet/>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65"/>
    <w:rsid w:val="0000006D"/>
    <w:rsid w:val="00000096"/>
    <w:rsid w:val="000000BB"/>
    <w:rsid w:val="00000102"/>
    <w:rsid w:val="00000145"/>
    <w:rsid w:val="000001C1"/>
    <w:rsid w:val="00000243"/>
    <w:rsid w:val="000002A7"/>
    <w:rsid w:val="0000041F"/>
    <w:rsid w:val="00000468"/>
    <w:rsid w:val="000004A6"/>
    <w:rsid w:val="000004C7"/>
    <w:rsid w:val="000004D7"/>
    <w:rsid w:val="000004DC"/>
    <w:rsid w:val="000004FA"/>
    <w:rsid w:val="000005FE"/>
    <w:rsid w:val="0000061E"/>
    <w:rsid w:val="0000066A"/>
    <w:rsid w:val="00000701"/>
    <w:rsid w:val="00000790"/>
    <w:rsid w:val="0000080A"/>
    <w:rsid w:val="000008C2"/>
    <w:rsid w:val="00000995"/>
    <w:rsid w:val="000009E3"/>
    <w:rsid w:val="00000A11"/>
    <w:rsid w:val="00000A77"/>
    <w:rsid w:val="00000B9F"/>
    <w:rsid w:val="00000BB6"/>
    <w:rsid w:val="00000BBC"/>
    <w:rsid w:val="00000BF6"/>
    <w:rsid w:val="00000C30"/>
    <w:rsid w:val="00000C5A"/>
    <w:rsid w:val="00000C6A"/>
    <w:rsid w:val="00000D19"/>
    <w:rsid w:val="00000D4F"/>
    <w:rsid w:val="00000D6C"/>
    <w:rsid w:val="00000DB5"/>
    <w:rsid w:val="00000E10"/>
    <w:rsid w:val="00000E50"/>
    <w:rsid w:val="00000ECC"/>
    <w:rsid w:val="00000F04"/>
    <w:rsid w:val="00000F6A"/>
    <w:rsid w:val="00000FAC"/>
    <w:rsid w:val="00000FB4"/>
    <w:rsid w:val="00000FBF"/>
    <w:rsid w:val="00000FD0"/>
    <w:rsid w:val="00001004"/>
    <w:rsid w:val="00001047"/>
    <w:rsid w:val="00001124"/>
    <w:rsid w:val="00001139"/>
    <w:rsid w:val="0000114F"/>
    <w:rsid w:val="0000118F"/>
    <w:rsid w:val="0000119F"/>
    <w:rsid w:val="000011F5"/>
    <w:rsid w:val="0000120A"/>
    <w:rsid w:val="000012D9"/>
    <w:rsid w:val="000012EC"/>
    <w:rsid w:val="00001340"/>
    <w:rsid w:val="00001375"/>
    <w:rsid w:val="000013B2"/>
    <w:rsid w:val="000013C1"/>
    <w:rsid w:val="000013C4"/>
    <w:rsid w:val="00001491"/>
    <w:rsid w:val="000014B4"/>
    <w:rsid w:val="000014BA"/>
    <w:rsid w:val="000014CB"/>
    <w:rsid w:val="0000154E"/>
    <w:rsid w:val="000015AA"/>
    <w:rsid w:val="0000164B"/>
    <w:rsid w:val="000016A6"/>
    <w:rsid w:val="000016D3"/>
    <w:rsid w:val="0000170E"/>
    <w:rsid w:val="00001809"/>
    <w:rsid w:val="0000180D"/>
    <w:rsid w:val="00001830"/>
    <w:rsid w:val="00001831"/>
    <w:rsid w:val="00001880"/>
    <w:rsid w:val="000018C4"/>
    <w:rsid w:val="000018FD"/>
    <w:rsid w:val="00001911"/>
    <w:rsid w:val="000019ED"/>
    <w:rsid w:val="00001ADA"/>
    <w:rsid w:val="00001B76"/>
    <w:rsid w:val="00001BB6"/>
    <w:rsid w:val="00001C47"/>
    <w:rsid w:val="00001C5D"/>
    <w:rsid w:val="00001CA8"/>
    <w:rsid w:val="00001CD3"/>
    <w:rsid w:val="00001CF6"/>
    <w:rsid w:val="00001D20"/>
    <w:rsid w:val="00001E7B"/>
    <w:rsid w:val="00001EB7"/>
    <w:rsid w:val="00001F0D"/>
    <w:rsid w:val="00001FA4"/>
    <w:rsid w:val="00001FDA"/>
    <w:rsid w:val="00001FDB"/>
    <w:rsid w:val="000020B5"/>
    <w:rsid w:val="000020D3"/>
    <w:rsid w:val="0000225C"/>
    <w:rsid w:val="000022C4"/>
    <w:rsid w:val="00002344"/>
    <w:rsid w:val="00002376"/>
    <w:rsid w:val="00002461"/>
    <w:rsid w:val="00002483"/>
    <w:rsid w:val="000024B4"/>
    <w:rsid w:val="00002517"/>
    <w:rsid w:val="0000252D"/>
    <w:rsid w:val="00002570"/>
    <w:rsid w:val="00002579"/>
    <w:rsid w:val="00002655"/>
    <w:rsid w:val="00002658"/>
    <w:rsid w:val="000026B2"/>
    <w:rsid w:val="000026D3"/>
    <w:rsid w:val="000026EA"/>
    <w:rsid w:val="000026F2"/>
    <w:rsid w:val="000026F4"/>
    <w:rsid w:val="00002707"/>
    <w:rsid w:val="000027D2"/>
    <w:rsid w:val="000027F6"/>
    <w:rsid w:val="00002815"/>
    <w:rsid w:val="0000285D"/>
    <w:rsid w:val="0000287D"/>
    <w:rsid w:val="000028B6"/>
    <w:rsid w:val="000028C9"/>
    <w:rsid w:val="0000290C"/>
    <w:rsid w:val="000029B3"/>
    <w:rsid w:val="00002AC9"/>
    <w:rsid w:val="00002B00"/>
    <w:rsid w:val="00002B38"/>
    <w:rsid w:val="00002B6C"/>
    <w:rsid w:val="00002BB8"/>
    <w:rsid w:val="00002BC4"/>
    <w:rsid w:val="00002C27"/>
    <w:rsid w:val="00002C3D"/>
    <w:rsid w:val="00002C55"/>
    <w:rsid w:val="00002C64"/>
    <w:rsid w:val="00002DC8"/>
    <w:rsid w:val="00002DF8"/>
    <w:rsid w:val="00002F29"/>
    <w:rsid w:val="00002F99"/>
    <w:rsid w:val="00002FDA"/>
    <w:rsid w:val="00003002"/>
    <w:rsid w:val="00003040"/>
    <w:rsid w:val="000030E4"/>
    <w:rsid w:val="00003125"/>
    <w:rsid w:val="0000315C"/>
    <w:rsid w:val="00003162"/>
    <w:rsid w:val="0000319D"/>
    <w:rsid w:val="000031A0"/>
    <w:rsid w:val="000031CD"/>
    <w:rsid w:val="0000326E"/>
    <w:rsid w:val="0000328B"/>
    <w:rsid w:val="000032C9"/>
    <w:rsid w:val="000032DD"/>
    <w:rsid w:val="00003301"/>
    <w:rsid w:val="00003310"/>
    <w:rsid w:val="00003404"/>
    <w:rsid w:val="00003412"/>
    <w:rsid w:val="00003424"/>
    <w:rsid w:val="0000347B"/>
    <w:rsid w:val="0000349A"/>
    <w:rsid w:val="000034A4"/>
    <w:rsid w:val="000034BF"/>
    <w:rsid w:val="000034CA"/>
    <w:rsid w:val="000035DA"/>
    <w:rsid w:val="0000365A"/>
    <w:rsid w:val="0000367A"/>
    <w:rsid w:val="000036B5"/>
    <w:rsid w:val="000036FC"/>
    <w:rsid w:val="00003755"/>
    <w:rsid w:val="0000376D"/>
    <w:rsid w:val="00003773"/>
    <w:rsid w:val="00003796"/>
    <w:rsid w:val="000037CF"/>
    <w:rsid w:val="00003843"/>
    <w:rsid w:val="000038B0"/>
    <w:rsid w:val="000039F6"/>
    <w:rsid w:val="00003A20"/>
    <w:rsid w:val="00003A9F"/>
    <w:rsid w:val="00003ACB"/>
    <w:rsid w:val="00003B4C"/>
    <w:rsid w:val="00003B53"/>
    <w:rsid w:val="00003BE9"/>
    <w:rsid w:val="00003C1F"/>
    <w:rsid w:val="00003C5C"/>
    <w:rsid w:val="00003C6B"/>
    <w:rsid w:val="00003D21"/>
    <w:rsid w:val="00003D92"/>
    <w:rsid w:val="00003DBB"/>
    <w:rsid w:val="00003E0F"/>
    <w:rsid w:val="00003E2C"/>
    <w:rsid w:val="00003E92"/>
    <w:rsid w:val="00003EA8"/>
    <w:rsid w:val="00003EB4"/>
    <w:rsid w:val="00003ECE"/>
    <w:rsid w:val="00003EF0"/>
    <w:rsid w:val="00003F92"/>
    <w:rsid w:val="00003FCE"/>
    <w:rsid w:val="00003FF9"/>
    <w:rsid w:val="0000408C"/>
    <w:rsid w:val="000040A3"/>
    <w:rsid w:val="000040F4"/>
    <w:rsid w:val="0000422F"/>
    <w:rsid w:val="000042AC"/>
    <w:rsid w:val="000042D3"/>
    <w:rsid w:val="0000434E"/>
    <w:rsid w:val="0000439B"/>
    <w:rsid w:val="000043C7"/>
    <w:rsid w:val="0000443F"/>
    <w:rsid w:val="00004462"/>
    <w:rsid w:val="0000449E"/>
    <w:rsid w:val="000044CE"/>
    <w:rsid w:val="000044EA"/>
    <w:rsid w:val="00004526"/>
    <w:rsid w:val="0000456D"/>
    <w:rsid w:val="0000460A"/>
    <w:rsid w:val="0000462C"/>
    <w:rsid w:val="00004684"/>
    <w:rsid w:val="000047B0"/>
    <w:rsid w:val="000047FB"/>
    <w:rsid w:val="000048E8"/>
    <w:rsid w:val="000048F0"/>
    <w:rsid w:val="0000490A"/>
    <w:rsid w:val="000049BD"/>
    <w:rsid w:val="00004A3D"/>
    <w:rsid w:val="00004A41"/>
    <w:rsid w:val="00004B53"/>
    <w:rsid w:val="00004BFD"/>
    <w:rsid w:val="00004C18"/>
    <w:rsid w:val="00004C28"/>
    <w:rsid w:val="00004C65"/>
    <w:rsid w:val="00004C9A"/>
    <w:rsid w:val="00004CC0"/>
    <w:rsid w:val="00004D12"/>
    <w:rsid w:val="00004D51"/>
    <w:rsid w:val="00004D71"/>
    <w:rsid w:val="00004E14"/>
    <w:rsid w:val="00004E32"/>
    <w:rsid w:val="00004E8E"/>
    <w:rsid w:val="00004EBB"/>
    <w:rsid w:val="00004EFD"/>
    <w:rsid w:val="00004F46"/>
    <w:rsid w:val="00004F98"/>
    <w:rsid w:val="00004FF0"/>
    <w:rsid w:val="000050CA"/>
    <w:rsid w:val="00005118"/>
    <w:rsid w:val="00005133"/>
    <w:rsid w:val="0000517E"/>
    <w:rsid w:val="000051BC"/>
    <w:rsid w:val="000051F9"/>
    <w:rsid w:val="00005253"/>
    <w:rsid w:val="000052C4"/>
    <w:rsid w:val="00005300"/>
    <w:rsid w:val="00005331"/>
    <w:rsid w:val="0000535A"/>
    <w:rsid w:val="000053F6"/>
    <w:rsid w:val="00005465"/>
    <w:rsid w:val="0000546E"/>
    <w:rsid w:val="0000557B"/>
    <w:rsid w:val="0000561F"/>
    <w:rsid w:val="00005684"/>
    <w:rsid w:val="00005689"/>
    <w:rsid w:val="000056D5"/>
    <w:rsid w:val="000056D8"/>
    <w:rsid w:val="0000577A"/>
    <w:rsid w:val="00005804"/>
    <w:rsid w:val="000058C5"/>
    <w:rsid w:val="000058EE"/>
    <w:rsid w:val="000059A9"/>
    <w:rsid w:val="000059F4"/>
    <w:rsid w:val="00005A0A"/>
    <w:rsid w:val="00005A29"/>
    <w:rsid w:val="00005A6A"/>
    <w:rsid w:val="00005AF2"/>
    <w:rsid w:val="00005B09"/>
    <w:rsid w:val="00005B0B"/>
    <w:rsid w:val="00005B20"/>
    <w:rsid w:val="00005B7A"/>
    <w:rsid w:val="00005B99"/>
    <w:rsid w:val="00005C4C"/>
    <w:rsid w:val="00005C5C"/>
    <w:rsid w:val="00005C67"/>
    <w:rsid w:val="00005C82"/>
    <w:rsid w:val="00005D3D"/>
    <w:rsid w:val="00005E37"/>
    <w:rsid w:val="00005E40"/>
    <w:rsid w:val="00005E9F"/>
    <w:rsid w:val="00005ED7"/>
    <w:rsid w:val="00005EE1"/>
    <w:rsid w:val="00005EFB"/>
    <w:rsid w:val="00005F61"/>
    <w:rsid w:val="00005FD2"/>
    <w:rsid w:val="00005FE2"/>
    <w:rsid w:val="0000616E"/>
    <w:rsid w:val="000061A6"/>
    <w:rsid w:val="00006218"/>
    <w:rsid w:val="0000622C"/>
    <w:rsid w:val="00006269"/>
    <w:rsid w:val="00006288"/>
    <w:rsid w:val="000062A8"/>
    <w:rsid w:val="000062B8"/>
    <w:rsid w:val="000062E7"/>
    <w:rsid w:val="0000635F"/>
    <w:rsid w:val="00006365"/>
    <w:rsid w:val="00006384"/>
    <w:rsid w:val="000064A2"/>
    <w:rsid w:val="0000650E"/>
    <w:rsid w:val="00006552"/>
    <w:rsid w:val="0000670E"/>
    <w:rsid w:val="00006740"/>
    <w:rsid w:val="00006748"/>
    <w:rsid w:val="00006846"/>
    <w:rsid w:val="00006881"/>
    <w:rsid w:val="000068F9"/>
    <w:rsid w:val="0000695C"/>
    <w:rsid w:val="0000698A"/>
    <w:rsid w:val="00006A21"/>
    <w:rsid w:val="00006AEB"/>
    <w:rsid w:val="00006B09"/>
    <w:rsid w:val="00006B0A"/>
    <w:rsid w:val="00006C27"/>
    <w:rsid w:val="00006C69"/>
    <w:rsid w:val="00006CA1"/>
    <w:rsid w:val="00006CB6"/>
    <w:rsid w:val="00006D48"/>
    <w:rsid w:val="00006D5D"/>
    <w:rsid w:val="00006D5F"/>
    <w:rsid w:val="00006D71"/>
    <w:rsid w:val="00006F15"/>
    <w:rsid w:val="00006F1B"/>
    <w:rsid w:val="00006F58"/>
    <w:rsid w:val="0000712B"/>
    <w:rsid w:val="00007225"/>
    <w:rsid w:val="0000722D"/>
    <w:rsid w:val="00007238"/>
    <w:rsid w:val="00007267"/>
    <w:rsid w:val="000072A2"/>
    <w:rsid w:val="00007316"/>
    <w:rsid w:val="000073DF"/>
    <w:rsid w:val="000073FE"/>
    <w:rsid w:val="00007492"/>
    <w:rsid w:val="000075DD"/>
    <w:rsid w:val="000075E7"/>
    <w:rsid w:val="00007628"/>
    <w:rsid w:val="0000764A"/>
    <w:rsid w:val="0000767A"/>
    <w:rsid w:val="0000769F"/>
    <w:rsid w:val="000076B2"/>
    <w:rsid w:val="000076EC"/>
    <w:rsid w:val="00007705"/>
    <w:rsid w:val="00007708"/>
    <w:rsid w:val="0000777C"/>
    <w:rsid w:val="00007794"/>
    <w:rsid w:val="000077E3"/>
    <w:rsid w:val="0000783F"/>
    <w:rsid w:val="000078BD"/>
    <w:rsid w:val="0000790A"/>
    <w:rsid w:val="0000793D"/>
    <w:rsid w:val="000079D2"/>
    <w:rsid w:val="000079F3"/>
    <w:rsid w:val="000079F9"/>
    <w:rsid w:val="00007A7E"/>
    <w:rsid w:val="00007AD2"/>
    <w:rsid w:val="00007ADF"/>
    <w:rsid w:val="00007B5F"/>
    <w:rsid w:val="00007B7D"/>
    <w:rsid w:val="00007BB3"/>
    <w:rsid w:val="00007BCD"/>
    <w:rsid w:val="00007C12"/>
    <w:rsid w:val="00007CBF"/>
    <w:rsid w:val="00007D23"/>
    <w:rsid w:val="00007DBD"/>
    <w:rsid w:val="00007DC2"/>
    <w:rsid w:val="00007DDF"/>
    <w:rsid w:val="00007FF6"/>
    <w:rsid w:val="00010002"/>
    <w:rsid w:val="0001012B"/>
    <w:rsid w:val="00010198"/>
    <w:rsid w:val="000101E0"/>
    <w:rsid w:val="000101F1"/>
    <w:rsid w:val="0001022D"/>
    <w:rsid w:val="0001026D"/>
    <w:rsid w:val="0001028A"/>
    <w:rsid w:val="000103DE"/>
    <w:rsid w:val="00010456"/>
    <w:rsid w:val="00010465"/>
    <w:rsid w:val="00010480"/>
    <w:rsid w:val="000104AC"/>
    <w:rsid w:val="000104B3"/>
    <w:rsid w:val="000104CA"/>
    <w:rsid w:val="000104FE"/>
    <w:rsid w:val="0001050A"/>
    <w:rsid w:val="000105DB"/>
    <w:rsid w:val="000105E6"/>
    <w:rsid w:val="000105F9"/>
    <w:rsid w:val="0001067A"/>
    <w:rsid w:val="00010692"/>
    <w:rsid w:val="000106A3"/>
    <w:rsid w:val="000106F0"/>
    <w:rsid w:val="000106F8"/>
    <w:rsid w:val="0001076D"/>
    <w:rsid w:val="00010817"/>
    <w:rsid w:val="0001083C"/>
    <w:rsid w:val="00010861"/>
    <w:rsid w:val="0001087D"/>
    <w:rsid w:val="000108B5"/>
    <w:rsid w:val="000108EC"/>
    <w:rsid w:val="00010912"/>
    <w:rsid w:val="0001099F"/>
    <w:rsid w:val="000109D5"/>
    <w:rsid w:val="00010AA5"/>
    <w:rsid w:val="00010AB4"/>
    <w:rsid w:val="00010ABE"/>
    <w:rsid w:val="00010ADB"/>
    <w:rsid w:val="00010B1A"/>
    <w:rsid w:val="00010B30"/>
    <w:rsid w:val="00010B4F"/>
    <w:rsid w:val="00010C1C"/>
    <w:rsid w:val="00010CAF"/>
    <w:rsid w:val="00010D27"/>
    <w:rsid w:val="00010D4C"/>
    <w:rsid w:val="00010E2D"/>
    <w:rsid w:val="00010EAE"/>
    <w:rsid w:val="00010EAF"/>
    <w:rsid w:val="00010EB5"/>
    <w:rsid w:val="00010EDD"/>
    <w:rsid w:val="00010F52"/>
    <w:rsid w:val="00010F99"/>
    <w:rsid w:val="00010FE1"/>
    <w:rsid w:val="0001105B"/>
    <w:rsid w:val="0001105C"/>
    <w:rsid w:val="00011060"/>
    <w:rsid w:val="00011073"/>
    <w:rsid w:val="00011075"/>
    <w:rsid w:val="00011105"/>
    <w:rsid w:val="00011141"/>
    <w:rsid w:val="00011151"/>
    <w:rsid w:val="000111A8"/>
    <w:rsid w:val="000111B7"/>
    <w:rsid w:val="000111F4"/>
    <w:rsid w:val="000111F9"/>
    <w:rsid w:val="000111FC"/>
    <w:rsid w:val="000111FF"/>
    <w:rsid w:val="00011212"/>
    <w:rsid w:val="000112C7"/>
    <w:rsid w:val="000112D2"/>
    <w:rsid w:val="000113DC"/>
    <w:rsid w:val="00011414"/>
    <w:rsid w:val="0001147E"/>
    <w:rsid w:val="00011499"/>
    <w:rsid w:val="00011502"/>
    <w:rsid w:val="00011552"/>
    <w:rsid w:val="00011573"/>
    <w:rsid w:val="000115AC"/>
    <w:rsid w:val="000115C5"/>
    <w:rsid w:val="000115D2"/>
    <w:rsid w:val="000115F1"/>
    <w:rsid w:val="0001170F"/>
    <w:rsid w:val="00011717"/>
    <w:rsid w:val="000117BA"/>
    <w:rsid w:val="000117BD"/>
    <w:rsid w:val="0001182B"/>
    <w:rsid w:val="0001182C"/>
    <w:rsid w:val="0001185E"/>
    <w:rsid w:val="000118EA"/>
    <w:rsid w:val="000118F9"/>
    <w:rsid w:val="0001196B"/>
    <w:rsid w:val="000119F5"/>
    <w:rsid w:val="00011B00"/>
    <w:rsid w:val="00011B24"/>
    <w:rsid w:val="00011B38"/>
    <w:rsid w:val="00011B42"/>
    <w:rsid w:val="00011B95"/>
    <w:rsid w:val="00011BA9"/>
    <w:rsid w:val="00011CAE"/>
    <w:rsid w:val="00011D2C"/>
    <w:rsid w:val="00011D36"/>
    <w:rsid w:val="00011D44"/>
    <w:rsid w:val="00011DA2"/>
    <w:rsid w:val="00011E0C"/>
    <w:rsid w:val="00011E31"/>
    <w:rsid w:val="00011E32"/>
    <w:rsid w:val="00011E5E"/>
    <w:rsid w:val="00011EBD"/>
    <w:rsid w:val="00011F8F"/>
    <w:rsid w:val="00011FC6"/>
    <w:rsid w:val="00011FE7"/>
    <w:rsid w:val="00012029"/>
    <w:rsid w:val="0001205D"/>
    <w:rsid w:val="00012067"/>
    <w:rsid w:val="000120E7"/>
    <w:rsid w:val="000120FC"/>
    <w:rsid w:val="000121CD"/>
    <w:rsid w:val="0001221A"/>
    <w:rsid w:val="0001222C"/>
    <w:rsid w:val="00012240"/>
    <w:rsid w:val="0001225B"/>
    <w:rsid w:val="000122C0"/>
    <w:rsid w:val="00012335"/>
    <w:rsid w:val="0001244C"/>
    <w:rsid w:val="0001246B"/>
    <w:rsid w:val="000125CE"/>
    <w:rsid w:val="000126C2"/>
    <w:rsid w:val="000126F5"/>
    <w:rsid w:val="00012784"/>
    <w:rsid w:val="000127FA"/>
    <w:rsid w:val="0001286D"/>
    <w:rsid w:val="00012898"/>
    <w:rsid w:val="000128D3"/>
    <w:rsid w:val="0001293F"/>
    <w:rsid w:val="00012966"/>
    <w:rsid w:val="00012982"/>
    <w:rsid w:val="00012A29"/>
    <w:rsid w:val="00012A5F"/>
    <w:rsid w:val="00012AAA"/>
    <w:rsid w:val="00012AFC"/>
    <w:rsid w:val="00012B21"/>
    <w:rsid w:val="00012B98"/>
    <w:rsid w:val="00012BC5"/>
    <w:rsid w:val="00012BE5"/>
    <w:rsid w:val="00012BF4"/>
    <w:rsid w:val="00012C25"/>
    <w:rsid w:val="00012C39"/>
    <w:rsid w:val="00012CC3"/>
    <w:rsid w:val="00012D3C"/>
    <w:rsid w:val="00012D72"/>
    <w:rsid w:val="00012DAA"/>
    <w:rsid w:val="00012E1E"/>
    <w:rsid w:val="00012E23"/>
    <w:rsid w:val="00012E32"/>
    <w:rsid w:val="00012EA9"/>
    <w:rsid w:val="00012ED7"/>
    <w:rsid w:val="00012EDE"/>
    <w:rsid w:val="00012EFE"/>
    <w:rsid w:val="00012F25"/>
    <w:rsid w:val="00012F7D"/>
    <w:rsid w:val="00012FA8"/>
    <w:rsid w:val="00012FE4"/>
    <w:rsid w:val="00013016"/>
    <w:rsid w:val="0001307C"/>
    <w:rsid w:val="000130A1"/>
    <w:rsid w:val="000130BE"/>
    <w:rsid w:val="0001313F"/>
    <w:rsid w:val="00013200"/>
    <w:rsid w:val="0001321D"/>
    <w:rsid w:val="00013286"/>
    <w:rsid w:val="000132B0"/>
    <w:rsid w:val="0001331F"/>
    <w:rsid w:val="000133C1"/>
    <w:rsid w:val="000133D2"/>
    <w:rsid w:val="00013426"/>
    <w:rsid w:val="00013442"/>
    <w:rsid w:val="00013446"/>
    <w:rsid w:val="0001346D"/>
    <w:rsid w:val="00013499"/>
    <w:rsid w:val="000134A8"/>
    <w:rsid w:val="000134AE"/>
    <w:rsid w:val="000134B8"/>
    <w:rsid w:val="00013516"/>
    <w:rsid w:val="000135B2"/>
    <w:rsid w:val="000135D6"/>
    <w:rsid w:val="000135EC"/>
    <w:rsid w:val="0001360F"/>
    <w:rsid w:val="00013622"/>
    <w:rsid w:val="00013644"/>
    <w:rsid w:val="00013653"/>
    <w:rsid w:val="0001368C"/>
    <w:rsid w:val="000136AB"/>
    <w:rsid w:val="000137A0"/>
    <w:rsid w:val="0001381D"/>
    <w:rsid w:val="0001383F"/>
    <w:rsid w:val="00013883"/>
    <w:rsid w:val="0001398D"/>
    <w:rsid w:val="00013990"/>
    <w:rsid w:val="000139FE"/>
    <w:rsid w:val="00013A41"/>
    <w:rsid w:val="00013A57"/>
    <w:rsid w:val="00013A68"/>
    <w:rsid w:val="00013A89"/>
    <w:rsid w:val="00013AB4"/>
    <w:rsid w:val="00013B0B"/>
    <w:rsid w:val="00013B51"/>
    <w:rsid w:val="00013C84"/>
    <w:rsid w:val="00013C8A"/>
    <w:rsid w:val="00013CAF"/>
    <w:rsid w:val="00013CCC"/>
    <w:rsid w:val="00013CF6"/>
    <w:rsid w:val="00013D19"/>
    <w:rsid w:val="00013D20"/>
    <w:rsid w:val="00013D40"/>
    <w:rsid w:val="00013D47"/>
    <w:rsid w:val="00013DA3"/>
    <w:rsid w:val="00013DB0"/>
    <w:rsid w:val="00013E67"/>
    <w:rsid w:val="00013ECE"/>
    <w:rsid w:val="00013F5D"/>
    <w:rsid w:val="00013F6B"/>
    <w:rsid w:val="00013F98"/>
    <w:rsid w:val="00013FFF"/>
    <w:rsid w:val="00014004"/>
    <w:rsid w:val="000140F5"/>
    <w:rsid w:val="0001417B"/>
    <w:rsid w:val="000141A3"/>
    <w:rsid w:val="000141E6"/>
    <w:rsid w:val="000141FB"/>
    <w:rsid w:val="00014219"/>
    <w:rsid w:val="00014227"/>
    <w:rsid w:val="0001422F"/>
    <w:rsid w:val="000142C5"/>
    <w:rsid w:val="000142EA"/>
    <w:rsid w:val="00014350"/>
    <w:rsid w:val="000143E6"/>
    <w:rsid w:val="00014401"/>
    <w:rsid w:val="0001441E"/>
    <w:rsid w:val="000144AA"/>
    <w:rsid w:val="000144B0"/>
    <w:rsid w:val="000144F1"/>
    <w:rsid w:val="0001452C"/>
    <w:rsid w:val="00014579"/>
    <w:rsid w:val="000145E8"/>
    <w:rsid w:val="00014600"/>
    <w:rsid w:val="00014605"/>
    <w:rsid w:val="0001467F"/>
    <w:rsid w:val="0001470F"/>
    <w:rsid w:val="00014741"/>
    <w:rsid w:val="0001477C"/>
    <w:rsid w:val="0001485B"/>
    <w:rsid w:val="00014879"/>
    <w:rsid w:val="000148B8"/>
    <w:rsid w:val="000148C0"/>
    <w:rsid w:val="00014919"/>
    <w:rsid w:val="0001498C"/>
    <w:rsid w:val="00014B04"/>
    <w:rsid w:val="00014B34"/>
    <w:rsid w:val="00014BB8"/>
    <w:rsid w:val="00014C65"/>
    <w:rsid w:val="00014CB7"/>
    <w:rsid w:val="00014DD0"/>
    <w:rsid w:val="00014DEA"/>
    <w:rsid w:val="00014DED"/>
    <w:rsid w:val="00014E07"/>
    <w:rsid w:val="00014E93"/>
    <w:rsid w:val="00014F39"/>
    <w:rsid w:val="00014FD0"/>
    <w:rsid w:val="00015121"/>
    <w:rsid w:val="00015154"/>
    <w:rsid w:val="0001519C"/>
    <w:rsid w:val="00015217"/>
    <w:rsid w:val="00015257"/>
    <w:rsid w:val="0001525F"/>
    <w:rsid w:val="0001526F"/>
    <w:rsid w:val="000152D5"/>
    <w:rsid w:val="0001530F"/>
    <w:rsid w:val="0001532B"/>
    <w:rsid w:val="00015368"/>
    <w:rsid w:val="0001539D"/>
    <w:rsid w:val="000153AD"/>
    <w:rsid w:val="00015457"/>
    <w:rsid w:val="00015468"/>
    <w:rsid w:val="00015481"/>
    <w:rsid w:val="00015592"/>
    <w:rsid w:val="000155BE"/>
    <w:rsid w:val="0001560B"/>
    <w:rsid w:val="00015615"/>
    <w:rsid w:val="00015724"/>
    <w:rsid w:val="000157B0"/>
    <w:rsid w:val="000158DE"/>
    <w:rsid w:val="000158E9"/>
    <w:rsid w:val="0001597C"/>
    <w:rsid w:val="00015999"/>
    <w:rsid w:val="000159DA"/>
    <w:rsid w:val="00015ABD"/>
    <w:rsid w:val="00015B49"/>
    <w:rsid w:val="00015B8C"/>
    <w:rsid w:val="00015BF5"/>
    <w:rsid w:val="00015CE4"/>
    <w:rsid w:val="00015D9A"/>
    <w:rsid w:val="00015DEB"/>
    <w:rsid w:val="00015EDB"/>
    <w:rsid w:val="00015EF7"/>
    <w:rsid w:val="00015F04"/>
    <w:rsid w:val="00015F93"/>
    <w:rsid w:val="00015FE8"/>
    <w:rsid w:val="00015FEC"/>
    <w:rsid w:val="0001602E"/>
    <w:rsid w:val="00016056"/>
    <w:rsid w:val="000160AC"/>
    <w:rsid w:val="00016112"/>
    <w:rsid w:val="000161BA"/>
    <w:rsid w:val="000161FB"/>
    <w:rsid w:val="0001626C"/>
    <w:rsid w:val="0001628D"/>
    <w:rsid w:val="000162B7"/>
    <w:rsid w:val="0001630C"/>
    <w:rsid w:val="0001631D"/>
    <w:rsid w:val="0001637F"/>
    <w:rsid w:val="00016385"/>
    <w:rsid w:val="00016416"/>
    <w:rsid w:val="00016495"/>
    <w:rsid w:val="000164DB"/>
    <w:rsid w:val="000164E6"/>
    <w:rsid w:val="000164F3"/>
    <w:rsid w:val="0001658E"/>
    <w:rsid w:val="000165E2"/>
    <w:rsid w:val="00016607"/>
    <w:rsid w:val="00016614"/>
    <w:rsid w:val="000166F1"/>
    <w:rsid w:val="00016727"/>
    <w:rsid w:val="0001675B"/>
    <w:rsid w:val="0001679B"/>
    <w:rsid w:val="000167D9"/>
    <w:rsid w:val="00016817"/>
    <w:rsid w:val="000168A8"/>
    <w:rsid w:val="000168AB"/>
    <w:rsid w:val="000168ED"/>
    <w:rsid w:val="00016918"/>
    <w:rsid w:val="0001698A"/>
    <w:rsid w:val="0001698C"/>
    <w:rsid w:val="000169B8"/>
    <w:rsid w:val="000169EA"/>
    <w:rsid w:val="00016A18"/>
    <w:rsid w:val="00016A2F"/>
    <w:rsid w:val="00016A78"/>
    <w:rsid w:val="00016B85"/>
    <w:rsid w:val="00016BC1"/>
    <w:rsid w:val="00016C59"/>
    <w:rsid w:val="00016CAF"/>
    <w:rsid w:val="00016CBB"/>
    <w:rsid w:val="00016CD2"/>
    <w:rsid w:val="00016CE0"/>
    <w:rsid w:val="00016DCA"/>
    <w:rsid w:val="00016E88"/>
    <w:rsid w:val="00016E9B"/>
    <w:rsid w:val="00016F58"/>
    <w:rsid w:val="00016FCB"/>
    <w:rsid w:val="0001701A"/>
    <w:rsid w:val="00017065"/>
    <w:rsid w:val="00017094"/>
    <w:rsid w:val="000170EB"/>
    <w:rsid w:val="0001713D"/>
    <w:rsid w:val="00017157"/>
    <w:rsid w:val="00017158"/>
    <w:rsid w:val="0001717E"/>
    <w:rsid w:val="0001719C"/>
    <w:rsid w:val="000171B9"/>
    <w:rsid w:val="000171DD"/>
    <w:rsid w:val="00017217"/>
    <w:rsid w:val="00017281"/>
    <w:rsid w:val="000172FE"/>
    <w:rsid w:val="00017455"/>
    <w:rsid w:val="00017490"/>
    <w:rsid w:val="0001754C"/>
    <w:rsid w:val="0001756C"/>
    <w:rsid w:val="000175AF"/>
    <w:rsid w:val="000176EB"/>
    <w:rsid w:val="000177A3"/>
    <w:rsid w:val="000177D1"/>
    <w:rsid w:val="000177E1"/>
    <w:rsid w:val="0001780D"/>
    <w:rsid w:val="00017901"/>
    <w:rsid w:val="00017941"/>
    <w:rsid w:val="00017971"/>
    <w:rsid w:val="00017987"/>
    <w:rsid w:val="00017A6A"/>
    <w:rsid w:val="00017AE9"/>
    <w:rsid w:val="00017B7A"/>
    <w:rsid w:val="00017C3A"/>
    <w:rsid w:val="00017C70"/>
    <w:rsid w:val="00017CDE"/>
    <w:rsid w:val="00017CE6"/>
    <w:rsid w:val="00017E06"/>
    <w:rsid w:val="00017E8E"/>
    <w:rsid w:val="00017ECA"/>
    <w:rsid w:val="00017F0A"/>
    <w:rsid w:val="00020094"/>
    <w:rsid w:val="000200A2"/>
    <w:rsid w:val="000200F5"/>
    <w:rsid w:val="00020148"/>
    <w:rsid w:val="000201A9"/>
    <w:rsid w:val="000201B0"/>
    <w:rsid w:val="000201CF"/>
    <w:rsid w:val="00020285"/>
    <w:rsid w:val="00020353"/>
    <w:rsid w:val="0002036D"/>
    <w:rsid w:val="000205AE"/>
    <w:rsid w:val="000205BE"/>
    <w:rsid w:val="00020693"/>
    <w:rsid w:val="000206C1"/>
    <w:rsid w:val="00020740"/>
    <w:rsid w:val="00020815"/>
    <w:rsid w:val="000208BC"/>
    <w:rsid w:val="000208C5"/>
    <w:rsid w:val="00020922"/>
    <w:rsid w:val="0002093F"/>
    <w:rsid w:val="00020979"/>
    <w:rsid w:val="000209B1"/>
    <w:rsid w:val="00020AFF"/>
    <w:rsid w:val="00020B6F"/>
    <w:rsid w:val="00020C1E"/>
    <w:rsid w:val="00020C2B"/>
    <w:rsid w:val="00020C37"/>
    <w:rsid w:val="00020CE0"/>
    <w:rsid w:val="00020CE1"/>
    <w:rsid w:val="00020D16"/>
    <w:rsid w:val="00020DAC"/>
    <w:rsid w:val="00020DB7"/>
    <w:rsid w:val="00020DC5"/>
    <w:rsid w:val="00020DEC"/>
    <w:rsid w:val="00020E1A"/>
    <w:rsid w:val="00020F24"/>
    <w:rsid w:val="00020F4B"/>
    <w:rsid w:val="00020F4C"/>
    <w:rsid w:val="00020FF5"/>
    <w:rsid w:val="0002107B"/>
    <w:rsid w:val="00021081"/>
    <w:rsid w:val="000210BC"/>
    <w:rsid w:val="00021146"/>
    <w:rsid w:val="0002115D"/>
    <w:rsid w:val="00021186"/>
    <w:rsid w:val="0002118A"/>
    <w:rsid w:val="00021194"/>
    <w:rsid w:val="000211DF"/>
    <w:rsid w:val="0002121C"/>
    <w:rsid w:val="00021291"/>
    <w:rsid w:val="000212AD"/>
    <w:rsid w:val="00021423"/>
    <w:rsid w:val="0002150D"/>
    <w:rsid w:val="00021534"/>
    <w:rsid w:val="00021593"/>
    <w:rsid w:val="00021602"/>
    <w:rsid w:val="00021654"/>
    <w:rsid w:val="000216DD"/>
    <w:rsid w:val="00021714"/>
    <w:rsid w:val="0002174D"/>
    <w:rsid w:val="000217AB"/>
    <w:rsid w:val="0002180E"/>
    <w:rsid w:val="0002185A"/>
    <w:rsid w:val="000218AB"/>
    <w:rsid w:val="000218D5"/>
    <w:rsid w:val="00021927"/>
    <w:rsid w:val="0002192E"/>
    <w:rsid w:val="0002196B"/>
    <w:rsid w:val="00021A6E"/>
    <w:rsid w:val="00021AFB"/>
    <w:rsid w:val="00021B07"/>
    <w:rsid w:val="00021B3B"/>
    <w:rsid w:val="00021B43"/>
    <w:rsid w:val="00021B88"/>
    <w:rsid w:val="00021B8F"/>
    <w:rsid w:val="00021C4B"/>
    <w:rsid w:val="00021CCC"/>
    <w:rsid w:val="00021D3B"/>
    <w:rsid w:val="00021D62"/>
    <w:rsid w:val="00021DA1"/>
    <w:rsid w:val="00021E50"/>
    <w:rsid w:val="00021EDA"/>
    <w:rsid w:val="00021EE7"/>
    <w:rsid w:val="00021F29"/>
    <w:rsid w:val="00021F2D"/>
    <w:rsid w:val="00021F42"/>
    <w:rsid w:val="00021FB4"/>
    <w:rsid w:val="00021FC4"/>
    <w:rsid w:val="00021FFD"/>
    <w:rsid w:val="000220C2"/>
    <w:rsid w:val="000220E1"/>
    <w:rsid w:val="000220F9"/>
    <w:rsid w:val="00022102"/>
    <w:rsid w:val="0002211D"/>
    <w:rsid w:val="00022131"/>
    <w:rsid w:val="00022187"/>
    <w:rsid w:val="000222B8"/>
    <w:rsid w:val="000224AB"/>
    <w:rsid w:val="0002250D"/>
    <w:rsid w:val="00022523"/>
    <w:rsid w:val="0002253A"/>
    <w:rsid w:val="00022569"/>
    <w:rsid w:val="00022766"/>
    <w:rsid w:val="000227E1"/>
    <w:rsid w:val="0002287A"/>
    <w:rsid w:val="000228CB"/>
    <w:rsid w:val="000228EB"/>
    <w:rsid w:val="0002299F"/>
    <w:rsid w:val="00022A65"/>
    <w:rsid w:val="00022A69"/>
    <w:rsid w:val="00022AEB"/>
    <w:rsid w:val="00022AF3"/>
    <w:rsid w:val="00022B6A"/>
    <w:rsid w:val="00022BFA"/>
    <w:rsid w:val="00022C7C"/>
    <w:rsid w:val="00022CCE"/>
    <w:rsid w:val="00022D0E"/>
    <w:rsid w:val="00022D3E"/>
    <w:rsid w:val="00022F54"/>
    <w:rsid w:val="00022FFD"/>
    <w:rsid w:val="00023050"/>
    <w:rsid w:val="0002312D"/>
    <w:rsid w:val="00023192"/>
    <w:rsid w:val="00023283"/>
    <w:rsid w:val="00023284"/>
    <w:rsid w:val="000232E7"/>
    <w:rsid w:val="00023305"/>
    <w:rsid w:val="00023336"/>
    <w:rsid w:val="000233B7"/>
    <w:rsid w:val="000233E2"/>
    <w:rsid w:val="00023434"/>
    <w:rsid w:val="00023474"/>
    <w:rsid w:val="0002347E"/>
    <w:rsid w:val="000234E3"/>
    <w:rsid w:val="00023536"/>
    <w:rsid w:val="00023573"/>
    <w:rsid w:val="00023591"/>
    <w:rsid w:val="000235FA"/>
    <w:rsid w:val="00023634"/>
    <w:rsid w:val="000236ED"/>
    <w:rsid w:val="000236F6"/>
    <w:rsid w:val="00023717"/>
    <w:rsid w:val="00023766"/>
    <w:rsid w:val="000237E7"/>
    <w:rsid w:val="00023868"/>
    <w:rsid w:val="000238C7"/>
    <w:rsid w:val="0002395C"/>
    <w:rsid w:val="0002396B"/>
    <w:rsid w:val="0002397E"/>
    <w:rsid w:val="000239BE"/>
    <w:rsid w:val="000239D6"/>
    <w:rsid w:val="000239FD"/>
    <w:rsid w:val="00023A7F"/>
    <w:rsid w:val="00023B0C"/>
    <w:rsid w:val="00023C04"/>
    <w:rsid w:val="00023C15"/>
    <w:rsid w:val="00023C2C"/>
    <w:rsid w:val="00023C40"/>
    <w:rsid w:val="00023C99"/>
    <w:rsid w:val="00023D8D"/>
    <w:rsid w:val="00023DBA"/>
    <w:rsid w:val="00023DF2"/>
    <w:rsid w:val="00023E95"/>
    <w:rsid w:val="00023F5E"/>
    <w:rsid w:val="0002408D"/>
    <w:rsid w:val="000240CF"/>
    <w:rsid w:val="000240D7"/>
    <w:rsid w:val="00024194"/>
    <w:rsid w:val="00024277"/>
    <w:rsid w:val="0002428F"/>
    <w:rsid w:val="000242B5"/>
    <w:rsid w:val="000242BC"/>
    <w:rsid w:val="000242D3"/>
    <w:rsid w:val="00024309"/>
    <w:rsid w:val="0002435D"/>
    <w:rsid w:val="0002436B"/>
    <w:rsid w:val="0002445D"/>
    <w:rsid w:val="000244B3"/>
    <w:rsid w:val="000244F0"/>
    <w:rsid w:val="00024518"/>
    <w:rsid w:val="00024529"/>
    <w:rsid w:val="00024539"/>
    <w:rsid w:val="0002457F"/>
    <w:rsid w:val="000245C9"/>
    <w:rsid w:val="00024668"/>
    <w:rsid w:val="0002471C"/>
    <w:rsid w:val="000247B1"/>
    <w:rsid w:val="000247C3"/>
    <w:rsid w:val="0002480F"/>
    <w:rsid w:val="0002481D"/>
    <w:rsid w:val="00024824"/>
    <w:rsid w:val="0002483F"/>
    <w:rsid w:val="00024906"/>
    <w:rsid w:val="000249BF"/>
    <w:rsid w:val="00024A1B"/>
    <w:rsid w:val="00024A31"/>
    <w:rsid w:val="00024A47"/>
    <w:rsid w:val="00024AD0"/>
    <w:rsid w:val="00024B34"/>
    <w:rsid w:val="00024B3C"/>
    <w:rsid w:val="00024B6D"/>
    <w:rsid w:val="00024BA8"/>
    <w:rsid w:val="00024BD4"/>
    <w:rsid w:val="00024C2F"/>
    <w:rsid w:val="00024C7A"/>
    <w:rsid w:val="00024D23"/>
    <w:rsid w:val="00024D4B"/>
    <w:rsid w:val="00024D7D"/>
    <w:rsid w:val="00024D84"/>
    <w:rsid w:val="00024DE8"/>
    <w:rsid w:val="00024E8D"/>
    <w:rsid w:val="00024F18"/>
    <w:rsid w:val="00024F28"/>
    <w:rsid w:val="00024F3B"/>
    <w:rsid w:val="00024F93"/>
    <w:rsid w:val="00024FC6"/>
    <w:rsid w:val="00024FD2"/>
    <w:rsid w:val="00024FEE"/>
    <w:rsid w:val="00025046"/>
    <w:rsid w:val="0002508B"/>
    <w:rsid w:val="000250E8"/>
    <w:rsid w:val="0002511F"/>
    <w:rsid w:val="0002516A"/>
    <w:rsid w:val="00025199"/>
    <w:rsid w:val="0002519D"/>
    <w:rsid w:val="000251AE"/>
    <w:rsid w:val="000251CA"/>
    <w:rsid w:val="000251FE"/>
    <w:rsid w:val="000252FC"/>
    <w:rsid w:val="00025398"/>
    <w:rsid w:val="000253B6"/>
    <w:rsid w:val="000253DC"/>
    <w:rsid w:val="0002548F"/>
    <w:rsid w:val="00025496"/>
    <w:rsid w:val="00025499"/>
    <w:rsid w:val="00025543"/>
    <w:rsid w:val="000255B2"/>
    <w:rsid w:val="000255FC"/>
    <w:rsid w:val="0002562F"/>
    <w:rsid w:val="000258A9"/>
    <w:rsid w:val="000258D7"/>
    <w:rsid w:val="000258F3"/>
    <w:rsid w:val="00025947"/>
    <w:rsid w:val="00025A0E"/>
    <w:rsid w:val="00025A16"/>
    <w:rsid w:val="00025B03"/>
    <w:rsid w:val="00025BAF"/>
    <w:rsid w:val="00025BDF"/>
    <w:rsid w:val="00025C67"/>
    <w:rsid w:val="00025D3B"/>
    <w:rsid w:val="00025D5E"/>
    <w:rsid w:val="00025D6D"/>
    <w:rsid w:val="00025E9A"/>
    <w:rsid w:val="00025F28"/>
    <w:rsid w:val="00025F30"/>
    <w:rsid w:val="00025F6C"/>
    <w:rsid w:val="00025FF5"/>
    <w:rsid w:val="0002601F"/>
    <w:rsid w:val="00026038"/>
    <w:rsid w:val="00026052"/>
    <w:rsid w:val="0002607D"/>
    <w:rsid w:val="00026098"/>
    <w:rsid w:val="0002609F"/>
    <w:rsid w:val="000260CE"/>
    <w:rsid w:val="0002610D"/>
    <w:rsid w:val="000261A8"/>
    <w:rsid w:val="000261D4"/>
    <w:rsid w:val="0002625E"/>
    <w:rsid w:val="000262AA"/>
    <w:rsid w:val="000262B1"/>
    <w:rsid w:val="000262E9"/>
    <w:rsid w:val="00026360"/>
    <w:rsid w:val="0002636C"/>
    <w:rsid w:val="0002637B"/>
    <w:rsid w:val="000263F6"/>
    <w:rsid w:val="0002641B"/>
    <w:rsid w:val="00026450"/>
    <w:rsid w:val="00026470"/>
    <w:rsid w:val="0002648E"/>
    <w:rsid w:val="000264B8"/>
    <w:rsid w:val="00026534"/>
    <w:rsid w:val="0002655D"/>
    <w:rsid w:val="00026565"/>
    <w:rsid w:val="0002656F"/>
    <w:rsid w:val="00026716"/>
    <w:rsid w:val="000267F3"/>
    <w:rsid w:val="00026831"/>
    <w:rsid w:val="0002685E"/>
    <w:rsid w:val="00026860"/>
    <w:rsid w:val="00026884"/>
    <w:rsid w:val="00026955"/>
    <w:rsid w:val="00026975"/>
    <w:rsid w:val="000269E7"/>
    <w:rsid w:val="00026A32"/>
    <w:rsid w:val="00026B29"/>
    <w:rsid w:val="00026C93"/>
    <w:rsid w:val="00026CC1"/>
    <w:rsid w:val="00026D5C"/>
    <w:rsid w:val="00026D9F"/>
    <w:rsid w:val="00026DF1"/>
    <w:rsid w:val="00026E03"/>
    <w:rsid w:val="00026E3D"/>
    <w:rsid w:val="00026F51"/>
    <w:rsid w:val="000270D5"/>
    <w:rsid w:val="00027185"/>
    <w:rsid w:val="000271E1"/>
    <w:rsid w:val="00027287"/>
    <w:rsid w:val="0002729D"/>
    <w:rsid w:val="000272BB"/>
    <w:rsid w:val="0002732B"/>
    <w:rsid w:val="00027392"/>
    <w:rsid w:val="000273A7"/>
    <w:rsid w:val="00027463"/>
    <w:rsid w:val="000274A6"/>
    <w:rsid w:val="0002753F"/>
    <w:rsid w:val="00027574"/>
    <w:rsid w:val="00027590"/>
    <w:rsid w:val="000275BA"/>
    <w:rsid w:val="00027601"/>
    <w:rsid w:val="0002760B"/>
    <w:rsid w:val="000276B5"/>
    <w:rsid w:val="0002770A"/>
    <w:rsid w:val="00027713"/>
    <w:rsid w:val="00027717"/>
    <w:rsid w:val="00027753"/>
    <w:rsid w:val="000277B4"/>
    <w:rsid w:val="0002784F"/>
    <w:rsid w:val="000278CE"/>
    <w:rsid w:val="00027909"/>
    <w:rsid w:val="000279D8"/>
    <w:rsid w:val="000279E6"/>
    <w:rsid w:val="00027A08"/>
    <w:rsid w:val="00027A50"/>
    <w:rsid w:val="00027AE9"/>
    <w:rsid w:val="00027AF7"/>
    <w:rsid w:val="00027B66"/>
    <w:rsid w:val="00027B70"/>
    <w:rsid w:val="00027C11"/>
    <w:rsid w:val="00027C2C"/>
    <w:rsid w:val="00027D19"/>
    <w:rsid w:val="00027D3B"/>
    <w:rsid w:val="00027E30"/>
    <w:rsid w:val="00027E78"/>
    <w:rsid w:val="00027EBC"/>
    <w:rsid w:val="00027F6E"/>
    <w:rsid w:val="00027F80"/>
    <w:rsid w:val="0003003B"/>
    <w:rsid w:val="000300CB"/>
    <w:rsid w:val="0003012E"/>
    <w:rsid w:val="00030157"/>
    <w:rsid w:val="00030167"/>
    <w:rsid w:val="000301A1"/>
    <w:rsid w:val="00030221"/>
    <w:rsid w:val="00030250"/>
    <w:rsid w:val="000302AD"/>
    <w:rsid w:val="0003035C"/>
    <w:rsid w:val="0003039C"/>
    <w:rsid w:val="000303CB"/>
    <w:rsid w:val="000303FF"/>
    <w:rsid w:val="00030405"/>
    <w:rsid w:val="00030412"/>
    <w:rsid w:val="00030459"/>
    <w:rsid w:val="000304F7"/>
    <w:rsid w:val="00030529"/>
    <w:rsid w:val="00030554"/>
    <w:rsid w:val="00030583"/>
    <w:rsid w:val="000305A0"/>
    <w:rsid w:val="000305A9"/>
    <w:rsid w:val="000305F7"/>
    <w:rsid w:val="00030605"/>
    <w:rsid w:val="00030780"/>
    <w:rsid w:val="00030810"/>
    <w:rsid w:val="00030815"/>
    <w:rsid w:val="00030932"/>
    <w:rsid w:val="00030933"/>
    <w:rsid w:val="00030996"/>
    <w:rsid w:val="000309C0"/>
    <w:rsid w:val="00030BC3"/>
    <w:rsid w:val="00030BF0"/>
    <w:rsid w:val="00030C12"/>
    <w:rsid w:val="00030C53"/>
    <w:rsid w:val="00030DE3"/>
    <w:rsid w:val="00030DFF"/>
    <w:rsid w:val="00030E20"/>
    <w:rsid w:val="00030E29"/>
    <w:rsid w:val="00030E38"/>
    <w:rsid w:val="00030E3A"/>
    <w:rsid w:val="00030E7D"/>
    <w:rsid w:val="00030E8B"/>
    <w:rsid w:val="00030F0C"/>
    <w:rsid w:val="00030F7D"/>
    <w:rsid w:val="00030FE0"/>
    <w:rsid w:val="00031043"/>
    <w:rsid w:val="000310D3"/>
    <w:rsid w:val="000310E2"/>
    <w:rsid w:val="0003112D"/>
    <w:rsid w:val="0003118A"/>
    <w:rsid w:val="000311DA"/>
    <w:rsid w:val="000311F8"/>
    <w:rsid w:val="000311FC"/>
    <w:rsid w:val="00031224"/>
    <w:rsid w:val="00031235"/>
    <w:rsid w:val="00031240"/>
    <w:rsid w:val="000312F7"/>
    <w:rsid w:val="00031325"/>
    <w:rsid w:val="0003138D"/>
    <w:rsid w:val="000313A0"/>
    <w:rsid w:val="000313D1"/>
    <w:rsid w:val="00031422"/>
    <w:rsid w:val="00031561"/>
    <w:rsid w:val="0003159A"/>
    <w:rsid w:val="000315B2"/>
    <w:rsid w:val="000315CF"/>
    <w:rsid w:val="000315D2"/>
    <w:rsid w:val="00031639"/>
    <w:rsid w:val="0003166E"/>
    <w:rsid w:val="0003167C"/>
    <w:rsid w:val="000316B0"/>
    <w:rsid w:val="000316BE"/>
    <w:rsid w:val="000316F6"/>
    <w:rsid w:val="00031722"/>
    <w:rsid w:val="000317EB"/>
    <w:rsid w:val="000317FA"/>
    <w:rsid w:val="0003187B"/>
    <w:rsid w:val="000318DF"/>
    <w:rsid w:val="000318FA"/>
    <w:rsid w:val="000318FC"/>
    <w:rsid w:val="00031A20"/>
    <w:rsid w:val="00031A34"/>
    <w:rsid w:val="00031B00"/>
    <w:rsid w:val="00031BDA"/>
    <w:rsid w:val="00031C25"/>
    <w:rsid w:val="00031CA7"/>
    <w:rsid w:val="00031D18"/>
    <w:rsid w:val="00031EB2"/>
    <w:rsid w:val="00031F0C"/>
    <w:rsid w:val="00032016"/>
    <w:rsid w:val="00032020"/>
    <w:rsid w:val="0003205A"/>
    <w:rsid w:val="000320AC"/>
    <w:rsid w:val="000320CF"/>
    <w:rsid w:val="00032124"/>
    <w:rsid w:val="0003218A"/>
    <w:rsid w:val="000321E7"/>
    <w:rsid w:val="00032226"/>
    <w:rsid w:val="0003222D"/>
    <w:rsid w:val="0003222F"/>
    <w:rsid w:val="00032256"/>
    <w:rsid w:val="00032281"/>
    <w:rsid w:val="0003228C"/>
    <w:rsid w:val="000322BF"/>
    <w:rsid w:val="000322F9"/>
    <w:rsid w:val="0003234F"/>
    <w:rsid w:val="0003235A"/>
    <w:rsid w:val="00032363"/>
    <w:rsid w:val="00032372"/>
    <w:rsid w:val="000323B3"/>
    <w:rsid w:val="000323BA"/>
    <w:rsid w:val="000323C8"/>
    <w:rsid w:val="00032415"/>
    <w:rsid w:val="00032417"/>
    <w:rsid w:val="000324E4"/>
    <w:rsid w:val="00032518"/>
    <w:rsid w:val="0003251B"/>
    <w:rsid w:val="0003256D"/>
    <w:rsid w:val="0003257F"/>
    <w:rsid w:val="000325BE"/>
    <w:rsid w:val="00032612"/>
    <w:rsid w:val="00032667"/>
    <w:rsid w:val="0003269D"/>
    <w:rsid w:val="000326C7"/>
    <w:rsid w:val="0003277B"/>
    <w:rsid w:val="0003277F"/>
    <w:rsid w:val="000327C3"/>
    <w:rsid w:val="000327E9"/>
    <w:rsid w:val="000327FF"/>
    <w:rsid w:val="0003283F"/>
    <w:rsid w:val="0003285B"/>
    <w:rsid w:val="0003289B"/>
    <w:rsid w:val="00032919"/>
    <w:rsid w:val="0003297B"/>
    <w:rsid w:val="000329AA"/>
    <w:rsid w:val="000329B3"/>
    <w:rsid w:val="00032A16"/>
    <w:rsid w:val="00032A6C"/>
    <w:rsid w:val="00032AB2"/>
    <w:rsid w:val="00032AC8"/>
    <w:rsid w:val="00032B38"/>
    <w:rsid w:val="00032B4F"/>
    <w:rsid w:val="00032BE7"/>
    <w:rsid w:val="00032BFC"/>
    <w:rsid w:val="00032C13"/>
    <w:rsid w:val="00032C3F"/>
    <w:rsid w:val="00032CB6"/>
    <w:rsid w:val="00032D08"/>
    <w:rsid w:val="00032D1E"/>
    <w:rsid w:val="00032D48"/>
    <w:rsid w:val="00032D75"/>
    <w:rsid w:val="00032D88"/>
    <w:rsid w:val="00032E14"/>
    <w:rsid w:val="00032E18"/>
    <w:rsid w:val="00032E36"/>
    <w:rsid w:val="00032E65"/>
    <w:rsid w:val="00032EA4"/>
    <w:rsid w:val="00032ED2"/>
    <w:rsid w:val="00032F07"/>
    <w:rsid w:val="00032F66"/>
    <w:rsid w:val="00033002"/>
    <w:rsid w:val="0003302D"/>
    <w:rsid w:val="00033055"/>
    <w:rsid w:val="00033057"/>
    <w:rsid w:val="00033066"/>
    <w:rsid w:val="000330A0"/>
    <w:rsid w:val="000330B6"/>
    <w:rsid w:val="000330F9"/>
    <w:rsid w:val="00033159"/>
    <w:rsid w:val="00033177"/>
    <w:rsid w:val="00033239"/>
    <w:rsid w:val="00033263"/>
    <w:rsid w:val="000332C2"/>
    <w:rsid w:val="000332C7"/>
    <w:rsid w:val="000332E4"/>
    <w:rsid w:val="000332EA"/>
    <w:rsid w:val="0003330F"/>
    <w:rsid w:val="00033361"/>
    <w:rsid w:val="00033395"/>
    <w:rsid w:val="000333B3"/>
    <w:rsid w:val="00033495"/>
    <w:rsid w:val="00033523"/>
    <w:rsid w:val="0003352C"/>
    <w:rsid w:val="00033598"/>
    <w:rsid w:val="000335E7"/>
    <w:rsid w:val="000336DD"/>
    <w:rsid w:val="000337AF"/>
    <w:rsid w:val="000337E1"/>
    <w:rsid w:val="00033851"/>
    <w:rsid w:val="00033892"/>
    <w:rsid w:val="0003392F"/>
    <w:rsid w:val="000339C3"/>
    <w:rsid w:val="00033AE4"/>
    <w:rsid w:val="00033AF9"/>
    <w:rsid w:val="00033BAC"/>
    <w:rsid w:val="00033C1A"/>
    <w:rsid w:val="00033C42"/>
    <w:rsid w:val="00033CB1"/>
    <w:rsid w:val="00033D6C"/>
    <w:rsid w:val="00033DDD"/>
    <w:rsid w:val="00033DF1"/>
    <w:rsid w:val="00033E00"/>
    <w:rsid w:val="00033E82"/>
    <w:rsid w:val="00033F5D"/>
    <w:rsid w:val="00033F68"/>
    <w:rsid w:val="00033FF9"/>
    <w:rsid w:val="00034004"/>
    <w:rsid w:val="00034034"/>
    <w:rsid w:val="00034081"/>
    <w:rsid w:val="0003408A"/>
    <w:rsid w:val="000340E2"/>
    <w:rsid w:val="00034173"/>
    <w:rsid w:val="0003417C"/>
    <w:rsid w:val="000341DC"/>
    <w:rsid w:val="000341E6"/>
    <w:rsid w:val="000341F9"/>
    <w:rsid w:val="00034213"/>
    <w:rsid w:val="00034228"/>
    <w:rsid w:val="00034267"/>
    <w:rsid w:val="000342B4"/>
    <w:rsid w:val="000342D9"/>
    <w:rsid w:val="000342DD"/>
    <w:rsid w:val="0003432D"/>
    <w:rsid w:val="00034370"/>
    <w:rsid w:val="0003438E"/>
    <w:rsid w:val="00034390"/>
    <w:rsid w:val="000343B5"/>
    <w:rsid w:val="000343E8"/>
    <w:rsid w:val="000344B9"/>
    <w:rsid w:val="000344ED"/>
    <w:rsid w:val="0003450D"/>
    <w:rsid w:val="0003451F"/>
    <w:rsid w:val="0003455D"/>
    <w:rsid w:val="0003458E"/>
    <w:rsid w:val="00034596"/>
    <w:rsid w:val="000345F6"/>
    <w:rsid w:val="0003462C"/>
    <w:rsid w:val="0003477D"/>
    <w:rsid w:val="000347E0"/>
    <w:rsid w:val="0003487D"/>
    <w:rsid w:val="000348C4"/>
    <w:rsid w:val="000349A8"/>
    <w:rsid w:val="000349FE"/>
    <w:rsid w:val="00034AA3"/>
    <w:rsid w:val="00034B24"/>
    <w:rsid w:val="00034B6A"/>
    <w:rsid w:val="00034BDC"/>
    <w:rsid w:val="00034BEE"/>
    <w:rsid w:val="00034C06"/>
    <w:rsid w:val="00034C1C"/>
    <w:rsid w:val="00034CD6"/>
    <w:rsid w:val="00034D52"/>
    <w:rsid w:val="00034DF3"/>
    <w:rsid w:val="00034E62"/>
    <w:rsid w:val="00034EB1"/>
    <w:rsid w:val="00034F10"/>
    <w:rsid w:val="00034F1D"/>
    <w:rsid w:val="00034F34"/>
    <w:rsid w:val="00034F55"/>
    <w:rsid w:val="00034FA8"/>
    <w:rsid w:val="00034FEF"/>
    <w:rsid w:val="00035001"/>
    <w:rsid w:val="000350FE"/>
    <w:rsid w:val="00035161"/>
    <w:rsid w:val="000351C1"/>
    <w:rsid w:val="000351F5"/>
    <w:rsid w:val="00035222"/>
    <w:rsid w:val="00035348"/>
    <w:rsid w:val="0003534B"/>
    <w:rsid w:val="00035375"/>
    <w:rsid w:val="00035388"/>
    <w:rsid w:val="00035392"/>
    <w:rsid w:val="0003540E"/>
    <w:rsid w:val="00035428"/>
    <w:rsid w:val="00035494"/>
    <w:rsid w:val="000354F3"/>
    <w:rsid w:val="00035539"/>
    <w:rsid w:val="00035569"/>
    <w:rsid w:val="000355B5"/>
    <w:rsid w:val="000355E5"/>
    <w:rsid w:val="000355FF"/>
    <w:rsid w:val="000356CA"/>
    <w:rsid w:val="00035827"/>
    <w:rsid w:val="00035832"/>
    <w:rsid w:val="0003586B"/>
    <w:rsid w:val="00035916"/>
    <w:rsid w:val="00035929"/>
    <w:rsid w:val="00035950"/>
    <w:rsid w:val="00035973"/>
    <w:rsid w:val="000359B3"/>
    <w:rsid w:val="000359B5"/>
    <w:rsid w:val="00035A04"/>
    <w:rsid w:val="00035A3F"/>
    <w:rsid w:val="00035A48"/>
    <w:rsid w:val="00035A7E"/>
    <w:rsid w:val="00035AA4"/>
    <w:rsid w:val="00035B64"/>
    <w:rsid w:val="00035C59"/>
    <w:rsid w:val="00035C9A"/>
    <w:rsid w:val="00035D2E"/>
    <w:rsid w:val="00035D39"/>
    <w:rsid w:val="00035D3C"/>
    <w:rsid w:val="00035D62"/>
    <w:rsid w:val="00035E20"/>
    <w:rsid w:val="00035E79"/>
    <w:rsid w:val="00035EE7"/>
    <w:rsid w:val="00035F17"/>
    <w:rsid w:val="00035F53"/>
    <w:rsid w:val="00035F75"/>
    <w:rsid w:val="00036070"/>
    <w:rsid w:val="000360CD"/>
    <w:rsid w:val="000361DD"/>
    <w:rsid w:val="000361E1"/>
    <w:rsid w:val="000361F8"/>
    <w:rsid w:val="000362C9"/>
    <w:rsid w:val="0003631E"/>
    <w:rsid w:val="00036368"/>
    <w:rsid w:val="000363B6"/>
    <w:rsid w:val="0003646A"/>
    <w:rsid w:val="000364B7"/>
    <w:rsid w:val="0003658D"/>
    <w:rsid w:val="00036595"/>
    <w:rsid w:val="000365AA"/>
    <w:rsid w:val="000365AB"/>
    <w:rsid w:val="0003663D"/>
    <w:rsid w:val="000366F6"/>
    <w:rsid w:val="00036728"/>
    <w:rsid w:val="0003674B"/>
    <w:rsid w:val="000368A2"/>
    <w:rsid w:val="000368FB"/>
    <w:rsid w:val="00036906"/>
    <w:rsid w:val="000369BA"/>
    <w:rsid w:val="00036A2C"/>
    <w:rsid w:val="00036A30"/>
    <w:rsid w:val="00036A9E"/>
    <w:rsid w:val="00036C25"/>
    <w:rsid w:val="00036C4E"/>
    <w:rsid w:val="00036CB9"/>
    <w:rsid w:val="00036CC2"/>
    <w:rsid w:val="00036CEA"/>
    <w:rsid w:val="00036DFA"/>
    <w:rsid w:val="00036E09"/>
    <w:rsid w:val="00036E79"/>
    <w:rsid w:val="00036E96"/>
    <w:rsid w:val="00036F07"/>
    <w:rsid w:val="00036F3B"/>
    <w:rsid w:val="00036F63"/>
    <w:rsid w:val="0003700F"/>
    <w:rsid w:val="0003702C"/>
    <w:rsid w:val="000370B9"/>
    <w:rsid w:val="000370DD"/>
    <w:rsid w:val="00037114"/>
    <w:rsid w:val="000371DA"/>
    <w:rsid w:val="000371F6"/>
    <w:rsid w:val="00037233"/>
    <w:rsid w:val="0003725A"/>
    <w:rsid w:val="000372D1"/>
    <w:rsid w:val="00037315"/>
    <w:rsid w:val="0003733B"/>
    <w:rsid w:val="0003734D"/>
    <w:rsid w:val="000373EA"/>
    <w:rsid w:val="0003747F"/>
    <w:rsid w:val="00037483"/>
    <w:rsid w:val="000374CA"/>
    <w:rsid w:val="0003756C"/>
    <w:rsid w:val="000375E9"/>
    <w:rsid w:val="000376FA"/>
    <w:rsid w:val="0003776D"/>
    <w:rsid w:val="00037781"/>
    <w:rsid w:val="00037788"/>
    <w:rsid w:val="00037821"/>
    <w:rsid w:val="0003786C"/>
    <w:rsid w:val="0003787E"/>
    <w:rsid w:val="000378C8"/>
    <w:rsid w:val="00037932"/>
    <w:rsid w:val="0003796F"/>
    <w:rsid w:val="00037A05"/>
    <w:rsid w:val="00037A36"/>
    <w:rsid w:val="00037A5D"/>
    <w:rsid w:val="00037A67"/>
    <w:rsid w:val="00037A92"/>
    <w:rsid w:val="00037AA2"/>
    <w:rsid w:val="00037AF1"/>
    <w:rsid w:val="00037B9D"/>
    <w:rsid w:val="00037BBA"/>
    <w:rsid w:val="00037BCC"/>
    <w:rsid w:val="00037C8D"/>
    <w:rsid w:val="00037CF3"/>
    <w:rsid w:val="00037D57"/>
    <w:rsid w:val="00037E36"/>
    <w:rsid w:val="00037E41"/>
    <w:rsid w:val="00037E56"/>
    <w:rsid w:val="00037E61"/>
    <w:rsid w:val="00037E88"/>
    <w:rsid w:val="00037EC5"/>
    <w:rsid w:val="00037F0F"/>
    <w:rsid w:val="00037F1E"/>
    <w:rsid w:val="00037FB6"/>
    <w:rsid w:val="00040029"/>
    <w:rsid w:val="00040086"/>
    <w:rsid w:val="000400C5"/>
    <w:rsid w:val="000400E8"/>
    <w:rsid w:val="00040100"/>
    <w:rsid w:val="0004010F"/>
    <w:rsid w:val="00040122"/>
    <w:rsid w:val="00040138"/>
    <w:rsid w:val="0004017C"/>
    <w:rsid w:val="0004017D"/>
    <w:rsid w:val="0004017E"/>
    <w:rsid w:val="00040184"/>
    <w:rsid w:val="0004018B"/>
    <w:rsid w:val="000401AE"/>
    <w:rsid w:val="000401CD"/>
    <w:rsid w:val="0004027D"/>
    <w:rsid w:val="00040295"/>
    <w:rsid w:val="0004029F"/>
    <w:rsid w:val="000402CC"/>
    <w:rsid w:val="000403A5"/>
    <w:rsid w:val="000404A3"/>
    <w:rsid w:val="00040504"/>
    <w:rsid w:val="00040536"/>
    <w:rsid w:val="000405A7"/>
    <w:rsid w:val="00040623"/>
    <w:rsid w:val="00040651"/>
    <w:rsid w:val="000406F8"/>
    <w:rsid w:val="000406FB"/>
    <w:rsid w:val="0004073D"/>
    <w:rsid w:val="00040742"/>
    <w:rsid w:val="00040765"/>
    <w:rsid w:val="00040776"/>
    <w:rsid w:val="0004077B"/>
    <w:rsid w:val="000407CB"/>
    <w:rsid w:val="000407F1"/>
    <w:rsid w:val="00040830"/>
    <w:rsid w:val="00040851"/>
    <w:rsid w:val="0004086D"/>
    <w:rsid w:val="00040896"/>
    <w:rsid w:val="00040909"/>
    <w:rsid w:val="0004092C"/>
    <w:rsid w:val="00040936"/>
    <w:rsid w:val="0004095D"/>
    <w:rsid w:val="000409E4"/>
    <w:rsid w:val="00040AA6"/>
    <w:rsid w:val="00040AC0"/>
    <w:rsid w:val="00040B07"/>
    <w:rsid w:val="00040CDD"/>
    <w:rsid w:val="00040CFC"/>
    <w:rsid w:val="00040D3D"/>
    <w:rsid w:val="00040D55"/>
    <w:rsid w:val="00040D56"/>
    <w:rsid w:val="00040D85"/>
    <w:rsid w:val="00040DB8"/>
    <w:rsid w:val="00040E8E"/>
    <w:rsid w:val="00040EF4"/>
    <w:rsid w:val="00040F5C"/>
    <w:rsid w:val="00040FB7"/>
    <w:rsid w:val="0004101F"/>
    <w:rsid w:val="00041079"/>
    <w:rsid w:val="0004110E"/>
    <w:rsid w:val="0004123A"/>
    <w:rsid w:val="00041261"/>
    <w:rsid w:val="000412B8"/>
    <w:rsid w:val="000412E5"/>
    <w:rsid w:val="00041388"/>
    <w:rsid w:val="000413D4"/>
    <w:rsid w:val="000413EA"/>
    <w:rsid w:val="00041433"/>
    <w:rsid w:val="0004145E"/>
    <w:rsid w:val="00041471"/>
    <w:rsid w:val="00041478"/>
    <w:rsid w:val="0004151A"/>
    <w:rsid w:val="00041592"/>
    <w:rsid w:val="000415B7"/>
    <w:rsid w:val="0004160E"/>
    <w:rsid w:val="00041628"/>
    <w:rsid w:val="00041729"/>
    <w:rsid w:val="0004172A"/>
    <w:rsid w:val="00041769"/>
    <w:rsid w:val="000417A8"/>
    <w:rsid w:val="000417FB"/>
    <w:rsid w:val="00041810"/>
    <w:rsid w:val="00041844"/>
    <w:rsid w:val="0004185A"/>
    <w:rsid w:val="000418BB"/>
    <w:rsid w:val="00041921"/>
    <w:rsid w:val="0004194B"/>
    <w:rsid w:val="000419D3"/>
    <w:rsid w:val="000419EA"/>
    <w:rsid w:val="00041A1D"/>
    <w:rsid w:val="00041A2A"/>
    <w:rsid w:val="00041A45"/>
    <w:rsid w:val="00041A9B"/>
    <w:rsid w:val="00041B52"/>
    <w:rsid w:val="00041BBE"/>
    <w:rsid w:val="00041C6E"/>
    <w:rsid w:val="00041C7C"/>
    <w:rsid w:val="00041CA2"/>
    <w:rsid w:val="00041CBE"/>
    <w:rsid w:val="00041CD3"/>
    <w:rsid w:val="00041D31"/>
    <w:rsid w:val="00041DB3"/>
    <w:rsid w:val="00041E0B"/>
    <w:rsid w:val="00041E1B"/>
    <w:rsid w:val="00041E47"/>
    <w:rsid w:val="00041E66"/>
    <w:rsid w:val="00041EBC"/>
    <w:rsid w:val="00041F48"/>
    <w:rsid w:val="00041F90"/>
    <w:rsid w:val="00041FBD"/>
    <w:rsid w:val="00041FEE"/>
    <w:rsid w:val="0004204B"/>
    <w:rsid w:val="000420D7"/>
    <w:rsid w:val="00042126"/>
    <w:rsid w:val="0004212E"/>
    <w:rsid w:val="0004213C"/>
    <w:rsid w:val="00042161"/>
    <w:rsid w:val="00042217"/>
    <w:rsid w:val="0004223B"/>
    <w:rsid w:val="000422DD"/>
    <w:rsid w:val="00042365"/>
    <w:rsid w:val="000424C6"/>
    <w:rsid w:val="000424D9"/>
    <w:rsid w:val="0004253D"/>
    <w:rsid w:val="000426AA"/>
    <w:rsid w:val="00042726"/>
    <w:rsid w:val="000427EA"/>
    <w:rsid w:val="00042824"/>
    <w:rsid w:val="000428C8"/>
    <w:rsid w:val="000428F0"/>
    <w:rsid w:val="000429EE"/>
    <w:rsid w:val="00042B5C"/>
    <w:rsid w:val="00042B79"/>
    <w:rsid w:val="00042D09"/>
    <w:rsid w:val="00042D1B"/>
    <w:rsid w:val="00042D34"/>
    <w:rsid w:val="00042E51"/>
    <w:rsid w:val="00042E9D"/>
    <w:rsid w:val="00042EB8"/>
    <w:rsid w:val="00042EE3"/>
    <w:rsid w:val="00042F71"/>
    <w:rsid w:val="00042F73"/>
    <w:rsid w:val="00042F9D"/>
    <w:rsid w:val="00042FA7"/>
    <w:rsid w:val="00042FDC"/>
    <w:rsid w:val="00043291"/>
    <w:rsid w:val="000432A6"/>
    <w:rsid w:val="000432A7"/>
    <w:rsid w:val="000432CC"/>
    <w:rsid w:val="00043308"/>
    <w:rsid w:val="0004331B"/>
    <w:rsid w:val="00043324"/>
    <w:rsid w:val="0004333E"/>
    <w:rsid w:val="00043360"/>
    <w:rsid w:val="000433C2"/>
    <w:rsid w:val="000433F2"/>
    <w:rsid w:val="0004345E"/>
    <w:rsid w:val="00043482"/>
    <w:rsid w:val="00043504"/>
    <w:rsid w:val="0004362D"/>
    <w:rsid w:val="0004363B"/>
    <w:rsid w:val="000436DC"/>
    <w:rsid w:val="000436E2"/>
    <w:rsid w:val="000437B5"/>
    <w:rsid w:val="000437B9"/>
    <w:rsid w:val="00043800"/>
    <w:rsid w:val="0004381F"/>
    <w:rsid w:val="00043879"/>
    <w:rsid w:val="00043899"/>
    <w:rsid w:val="00043903"/>
    <w:rsid w:val="0004393E"/>
    <w:rsid w:val="00043981"/>
    <w:rsid w:val="000439A1"/>
    <w:rsid w:val="000439CF"/>
    <w:rsid w:val="000439F2"/>
    <w:rsid w:val="00043A26"/>
    <w:rsid w:val="00043A56"/>
    <w:rsid w:val="00043A65"/>
    <w:rsid w:val="00043A6C"/>
    <w:rsid w:val="00043B52"/>
    <w:rsid w:val="00043B75"/>
    <w:rsid w:val="00043B86"/>
    <w:rsid w:val="00043C89"/>
    <w:rsid w:val="00043C92"/>
    <w:rsid w:val="00043CD8"/>
    <w:rsid w:val="00043D50"/>
    <w:rsid w:val="00043D8C"/>
    <w:rsid w:val="00043DDB"/>
    <w:rsid w:val="00043E5B"/>
    <w:rsid w:val="00043F39"/>
    <w:rsid w:val="00043F4D"/>
    <w:rsid w:val="00043FB6"/>
    <w:rsid w:val="00044029"/>
    <w:rsid w:val="0004402D"/>
    <w:rsid w:val="0004407E"/>
    <w:rsid w:val="000440D1"/>
    <w:rsid w:val="000440D5"/>
    <w:rsid w:val="000440E1"/>
    <w:rsid w:val="00044105"/>
    <w:rsid w:val="00044137"/>
    <w:rsid w:val="0004427E"/>
    <w:rsid w:val="0004433C"/>
    <w:rsid w:val="000443BD"/>
    <w:rsid w:val="000443D7"/>
    <w:rsid w:val="000443F7"/>
    <w:rsid w:val="0004441E"/>
    <w:rsid w:val="0004448B"/>
    <w:rsid w:val="000444A9"/>
    <w:rsid w:val="000444D7"/>
    <w:rsid w:val="000444D9"/>
    <w:rsid w:val="000444EA"/>
    <w:rsid w:val="000444F1"/>
    <w:rsid w:val="00044510"/>
    <w:rsid w:val="000445A7"/>
    <w:rsid w:val="000445E6"/>
    <w:rsid w:val="000446C5"/>
    <w:rsid w:val="000446E9"/>
    <w:rsid w:val="00044703"/>
    <w:rsid w:val="0004474B"/>
    <w:rsid w:val="000447C2"/>
    <w:rsid w:val="00044842"/>
    <w:rsid w:val="0004485D"/>
    <w:rsid w:val="000448B3"/>
    <w:rsid w:val="000448E8"/>
    <w:rsid w:val="000448FA"/>
    <w:rsid w:val="00044970"/>
    <w:rsid w:val="00044986"/>
    <w:rsid w:val="00044A10"/>
    <w:rsid w:val="00044B94"/>
    <w:rsid w:val="00044BE9"/>
    <w:rsid w:val="00044C99"/>
    <w:rsid w:val="00044DB2"/>
    <w:rsid w:val="00044E2E"/>
    <w:rsid w:val="00044F5C"/>
    <w:rsid w:val="00045008"/>
    <w:rsid w:val="00045025"/>
    <w:rsid w:val="0004503C"/>
    <w:rsid w:val="00045046"/>
    <w:rsid w:val="00045058"/>
    <w:rsid w:val="0004512C"/>
    <w:rsid w:val="000451FC"/>
    <w:rsid w:val="00045381"/>
    <w:rsid w:val="000453E7"/>
    <w:rsid w:val="00045442"/>
    <w:rsid w:val="0004545D"/>
    <w:rsid w:val="000455C5"/>
    <w:rsid w:val="0004561A"/>
    <w:rsid w:val="00045641"/>
    <w:rsid w:val="00045688"/>
    <w:rsid w:val="000456FF"/>
    <w:rsid w:val="00045703"/>
    <w:rsid w:val="00045705"/>
    <w:rsid w:val="0004573A"/>
    <w:rsid w:val="0004573D"/>
    <w:rsid w:val="0004573F"/>
    <w:rsid w:val="00045757"/>
    <w:rsid w:val="00045786"/>
    <w:rsid w:val="0004579A"/>
    <w:rsid w:val="00045814"/>
    <w:rsid w:val="0004583A"/>
    <w:rsid w:val="0004588E"/>
    <w:rsid w:val="00045891"/>
    <w:rsid w:val="000458D1"/>
    <w:rsid w:val="00045976"/>
    <w:rsid w:val="0004597C"/>
    <w:rsid w:val="000459B8"/>
    <w:rsid w:val="000459E3"/>
    <w:rsid w:val="00045B44"/>
    <w:rsid w:val="00045B61"/>
    <w:rsid w:val="00045B89"/>
    <w:rsid w:val="00045BCD"/>
    <w:rsid w:val="00045BD3"/>
    <w:rsid w:val="00045CC5"/>
    <w:rsid w:val="00045CDE"/>
    <w:rsid w:val="00045CFE"/>
    <w:rsid w:val="00045D22"/>
    <w:rsid w:val="00045DBC"/>
    <w:rsid w:val="00045F32"/>
    <w:rsid w:val="00045F8C"/>
    <w:rsid w:val="00045FDA"/>
    <w:rsid w:val="00046011"/>
    <w:rsid w:val="00046035"/>
    <w:rsid w:val="00046083"/>
    <w:rsid w:val="000460AE"/>
    <w:rsid w:val="000460E9"/>
    <w:rsid w:val="0004612B"/>
    <w:rsid w:val="00046156"/>
    <w:rsid w:val="00046176"/>
    <w:rsid w:val="000461BC"/>
    <w:rsid w:val="000461E2"/>
    <w:rsid w:val="0004625C"/>
    <w:rsid w:val="00046298"/>
    <w:rsid w:val="0004643B"/>
    <w:rsid w:val="00046456"/>
    <w:rsid w:val="000464A5"/>
    <w:rsid w:val="00046509"/>
    <w:rsid w:val="00046521"/>
    <w:rsid w:val="00046524"/>
    <w:rsid w:val="00046528"/>
    <w:rsid w:val="00046540"/>
    <w:rsid w:val="0004656B"/>
    <w:rsid w:val="000465F1"/>
    <w:rsid w:val="000466AE"/>
    <w:rsid w:val="000466EE"/>
    <w:rsid w:val="000466F0"/>
    <w:rsid w:val="000467CE"/>
    <w:rsid w:val="000467D4"/>
    <w:rsid w:val="000468CD"/>
    <w:rsid w:val="000468D6"/>
    <w:rsid w:val="0004691F"/>
    <w:rsid w:val="000469F5"/>
    <w:rsid w:val="00046A00"/>
    <w:rsid w:val="00046A25"/>
    <w:rsid w:val="00046A8D"/>
    <w:rsid w:val="00046B5B"/>
    <w:rsid w:val="00046BAF"/>
    <w:rsid w:val="00046BB1"/>
    <w:rsid w:val="00046BC8"/>
    <w:rsid w:val="00046C23"/>
    <w:rsid w:val="00046C64"/>
    <w:rsid w:val="00046CB3"/>
    <w:rsid w:val="00046E00"/>
    <w:rsid w:val="00046EC9"/>
    <w:rsid w:val="00046F10"/>
    <w:rsid w:val="00046F9B"/>
    <w:rsid w:val="00046FA6"/>
    <w:rsid w:val="000470A8"/>
    <w:rsid w:val="0004713E"/>
    <w:rsid w:val="00047141"/>
    <w:rsid w:val="0004722F"/>
    <w:rsid w:val="000472F2"/>
    <w:rsid w:val="00047378"/>
    <w:rsid w:val="000473C7"/>
    <w:rsid w:val="000474E7"/>
    <w:rsid w:val="00047515"/>
    <w:rsid w:val="00047557"/>
    <w:rsid w:val="00047570"/>
    <w:rsid w:val="00047732"/>
    <w:rsid w:val="00047736"/>
    <w:rsid w:val="0004773F"/>
    <w:rsid w:val="0004783F"/>
    <w:rsid w:val="000478C4"/>
    <w:rsid w:val="000478EC"/>
    <w:rsid w:val="00047927"/>
    <w:rsid w:val="0004792C"/>
    <w:rsid w:val="00047A1B"/>
    <w:rsid w:val="00047AD4"/>
    <w:rsid w:val="00047B68"/>
    <w:rsid w:val="00047C25"/>
    <w:rsid w:val="00047CCB"/>
    <w:rsid w:val="00047D3F"/>
    <w:rsid w:val="00047DAC"/>
    <w:rsid w:val="00047DCF"/>
    <w:rsid w:val="00047DE3"/>
    <w:rsid w:val="00047E30"/>
    <w:rsid w:val="00047F5D"/>
    <w:rsid w:val="00047F90"/>
    <w:rsid w:val="00047FAE"/>
    <w:rsid w:val="00047FF6"/>
    <w:rsid w:val="00050043"/>
    <w:rsid w:val="00050065"/>
    <w:rsid w:val="000500DB"/>
    <w:rsid w:val="0005019A"/>
    <w:rsid w:val="0005019D"/>
    <w:rsid w:val="000501C2"/>
    <w:rsid w:val="000502BB"/>
    <w:rsid w:val="0005040F"/>
    <w:rsid w:val="00050478"/>
    <w:rsid w:val="000504ED"/>
    <w:rsid w:val="00050518"/>
    <w:rsid w:val="00050524"/>
    <w:rsid w:val="0005053D"/>
    <w:rsid w:val="00050562"/>
    <w:rsid w:val="00050590"/>
    <w:rsid w:val="0005059D"/>
    <w:rsid w:val="000505B6"/>
    <w:rsid w:val="000505D7"/>
    <w:rsid w:val="0005061D"/>
    <w:rsid w:val="00050655"/>
    <w:rsid w:val="0005069E"/>
    <w:rsid w:val="000506A8"/>
    <w:rsid w:val="00050735"/>
    <w:rsid w:val="000507B5"/>
    <w:rsid w:val="000507D1"/>
    <w:rsid w:val="0005085D"/>
    <w:rsid w:val="00050878"/>
    <w:rsid w:val="000508AE"/>
    <w:rsid w:val="000508D1"/>
    <w:rsid w:val="0005093B"/>
    <w:rsid w:val="000509AE"/>
    <w:rsid w:val="000509E9"/>
    <w:rsid w:val="000509FB"/>
    <w:rsid w:val="00050A24"/>
    <w:rsid w:val="00050A50"/>
    <w:rsid w:val="00050B9F"/>
    <w:rsid w:val="00050C73"/>
    <w:rsid w:val="00050C9B"/>
    <w:rsid w:val="00050DA9"/>
    <w:rsid w:val="00050E0B"/>
    <w:rsid w:val="00050E15"/>
    <w:rsid w:val="00050E54"/>
    <w:rsid w:val="00050EAA"/>
    <w:rsid w:val="00050EF0"/>
    <w:rsid w:val="00050F4E"/>
    <w:rsid w:val="00050FD3"/>
    <w:rsid w:val="00051001"/>
    <w:rsid w:val="00051097"/>
    <w:rsid w:val="000510D7"/>
    <w:rsid w:val="000510F2"/>
    <w:rsid w:val="00051102"/>
    <w:rsid w:val="00051165"/>
    <w:rsid w:val="0005118B"/>
    <w:rsid w:val="0005118F"/>
    <w:rsid w:val="0005120B"/>
    <w:rsid w:val="00051227"/>
    <w:rsid w:val="000512D9"/>
    <w:rsid w:val="00051313"/>
    <w:rsid w:val="00051328"/>
    <w:rsid w:val="00051335"/>
    <w:rsid w:val="00051354"/>
    <w:rsid w:val="00051389"/>
    <w:rsid w:val="000513F2"/>
    <w:rsid w:val="0005140B"/>
    <w:rsid w:val="0005148D"/>
    <w:rsid w:val="000514B6"/>
    <w:rsid w:val="000514C1"/>
    <w:rsid w:val="00051505"/>
    <w:rsid w:val="000515CE"/>
    <w:rsid w:val="000515D0"/>
    <w:rsid w:val="00051625"/>
    <w:rsid w:val="000516AC"/>
    <w:rsid w:val="000516D2"/>
    <w:rsid w:val="00051730"/>
    <w:rsid w:val="00051755"/>
    <w:rsid w:val="0005176A"/>
    <w:rsid w:val="000517A9"/>
    <w:rsid w:val="000517ED"/>
    <w:rsid w:val="000517F3"/>
    <w:rsid w:val="00051813"/>
    <w:rsid w:val="000518B5"/>
    <w:rsid w:val="00051979"/>
    <w:rsid w:val="00051A04"/>
    <w:rsid w:val="00051A12"/>
    <w:rsid w:val="00051A2A"/>
    <w:rsid w:val="00051A56"/>
    <w:rsid w:val="00051A85"/>
    <w:rsid w:val="00051AD2"/>
    <w:rsid w:val="00051B5C"/>
    <w:rsid w:val="00051B60"/>
    <w:rsid w:val="00051C25"/>
    <w:rsid w:val="00051C97"/>
    <w:rsid w:val="00051D19"/>
    <w:rsid w:val="00051D31"/>
    <w:rsid w:val="00051D82"/>
    <w:rsid w:val="00051E58"/>
    <w:rsid w:val="00052009"/>
    <w:rsid w:val="000520AE"/>
    <w:rsid w:val="000520BE"/>
    <w:rsid w:val="000520E1"/>
    <w:rsid w:val="0005212C"/>
    <w:rsid w:val="000521E5"/>
    <w:rsid w:val="0005223D"/>
    <w:rsid w:val="0005228D"/>
    <w:rsid w:val="0005236A"/>
    <w:rsid w:val="000523AF"/>
    <w:rsid w:val="000523E4"/>
    <w:rsid w:val="000523F4"/>
    <w:rsid w:val="0005248F"/>
    <w:rsid w:val="00052525"/>
    <w:rsid w:val="00052573"/>
    <w:rsid w:val="00052596"/>
    <w:rsid w:val="000525A0"/>
    <w:rsid w:val="0005266C"/>
    <w:rsid w:val="00052690"/>
    <w:rsid w:val="000526F9"/>
    <w:rsid w:val="00052751"/>
    <w:rsid w:val="000527BC"/>
    <w:rsid w:val="000527CF"/>
    <w:rsid w:val="0005283D"/>
    <w:rsid w:val="00052850"/>
    <w:rsid w:val="00052899"/>
    <w:rsid w:val="00052A02"/>
    <w:rsid w:val="00052A26"/>
    <w:rsid w:val="00052A32"/>
    <w:rsid w:val="00052AB0"/>
    <w:rsid w:val="00052AD6"/>
    <w:rsid w:val="00052AF9"/>
    <w:rsid w:val="00052B68"/>
    <w:rsid w:val="00052CB4"/>
    <w:rsid w:val="00052CC5"/>
    <w:rsid w:val="00052CCB"/>
    <w:rsid w:val="00052CE7"/>
    <w:rsid w:val="00052CF6"/>
    <w:rsid w:val="00052D1F"/>
    <w:rsid w:val="00052E19"/>
    <w:rsid w:val="00052E2B"/>
    <w:rsid w:val="00052E43"/>
    <w:rsid w:val="00052ECF"/>
    <w:rsid w:val="00052F22"/>
    <w:rsid w:val="00052F42"/>
    <w:rsid w:val="00052F4E"/>
    <w:rsid w:val="00053064"/>
    <w:rsid w:val="00053088"/>
    <w:rsid w:val="000530D5"/>
    <w:rsid w:val="000530D6"/>
    <w:rsid w:val="0005322C"/>
    <w:rsid w:val="00053248"/>
    <w:rsid w:val="00053284"/>
    <w:rsid w:val="000532C6"/>
    <w:rsid w:val="0005337F"/>
    <w:rsid w:val="000533C5"/>
    <w:rsid w:val="00053428"/>
    <w:rsid w:val="0005351D"/>
    <w:rsid w:val="00053529"/>
    <w:rsid w:val="0005365C"/>
    <w:rsid w:val="000536D4"/>
    <w:rsid w:val="00053870"/>
    <w:rsid w:val="000539D2"/>
    <w:rsid w:val="000539E7"/>
    <w:rsid w:val="00053A25"/>
    <w:rsid w:val="00053A7C"/>
    <w:rsid w:val="00053AEE"/>
    <w:rsid w:val="00053B0A"/>
    <w:rsid w:val="00053B6D"/>
    <w:rsid w:val="00053BA4"/>
    <w:rsid w:val="00053BCD"/>
    <w:rsid w:val="00053BD2"/>
    <w:rsid w:val="00053C30"/>
    <w:rsid w:val="00053C7D"/>
    <w:rsid w:val="00053CBB"/>
    <w:rsid w:val="00053E11"/>
    <w:rsid w:val="00053EB9"/>
    <w:rsid w:val="00053EC4"/>
    <w:rsid w:val="00053F19"/>
    <w:rsid w:val="00053F59"/>
    <w:rsid w:val="00053F86"/>
    <w:rsid w:val="00053FB9"/>
    <w:rsid w:val="00053FC4"/>
    <w:rsid w:val="00053FE5"/>
    <w:rsid w:val="0005401F"/>
    <w:rsid w:val="00054093"/>
    <w:rsid w:val="0005417D"/>
    <w:rsid w:val="00054285"/>
    <w:rsid w:val="000542CE"/>
    <w:rsid w:val="00054369"/>
    <w:rsid w:val="00054393"/>
    <w:rsid w:val="000543EF"/>
    <w:rsid w:val="0005445F"/>
    <w:rsid w:val="0005447B"/>
    <w:rsid w:val="00054511"/>
    <w:rsid w:val="00054582"/>
    <w:rsid w:val="000545C7"/>
    <w:rsid w:val="000545E2"/>
    <w:rsid w:val="00054652"/>
    <w:rsid w:val="00054717"/>
    <w:rsid w:val="0005474D"/>
    <w:rsid w:val="0005474F"/>
    <w:rsid w:val="000547D5"/>
    <w:rsid w:val="00054869"/>
    <w:rsid w:val="00054887"/>
    <w:rsid w:val="000548A9"/>
    <w:rsid w:val="00054974"/>
    <w:rsid w:val="000549C0"/>
    <w:rsid w:val="000549D9"/>
    <w:rsid w:val="00054A56"/>
    <w:rsid w:val="00054A87"/>
    <w:rsid w:val="00054AE9"/>
    <w:rsid w:val="00054B26"/>
    <w:rsid w:val="00054B43"/>
    <w:rsid w:val="00054B68"/>
    <w:rsid w:val="00054B69"/>
    <w:rsid w:val="00054B92"/>
    <w:rsid w:val="00054BE9"/>
    <w:rsid w:val="00054C11"/>
    <w:rsid w:val="00054D1F"/>
    <w:rsid w:val="00054D9E"/>
    <w:rsid w:val="00054DAB"/>
    <w:rsid w:val="00054DCC"/>
    <w:rsid w:val="00054E01"/>
    <w:rsid w:val="00054F47"/>
    <w:rsid w:val="00054FCD"/>
    <w:rsid w:val="0005502D"/>
    <w:rsid w:val="00055168"/>
    <w:rsid w:val="00055189"/>
    <w:rsid w:val="000551A1"/>
    <w:rsid w:val="000552DA"/>
    <w:rsid w:val="0005534C"/>
    <w:rsid w:val="000553F6"/>
    <w:rsid w:val="0005544C"/>
    <w:rsid w:val="0005544E"/>
    <w:rsid w:val="00055492"/>
    <w:rsid w:val="0005549F"/>
    <w:rsid w:val="000554AA"/>
    <w:rsid w:val="000554CD"/>
    <w:rsid w:val="000555BC"/>
    <w:rsid w:val="0005560E"/>
    <w:rsid w:val="00055621"/>
    <w:rsid w:val="00055662"/>
    <w:rsid w:val="00055694"/>
    <w:rsid w:val="0005570C"/>
    <w:rsid w:val="00055716"/>
    <w:rsid w:val="000557A7"/>
    <w:rsid w:val="000557CE"/>
    <w:rsid w:val="000557D7"/>
    <w:rsid w:val="0005582B"/>
    <w:rsid w:val="0005582D"/>
    <w:rsid w:val="000558A1"/>
    <w:rsid w:val="000558B3"/>
    <w:rsid w:val="000558DA"/>
    <w:rsid w:val="00055953"/>
    <w:rsid w:val="00055AC0"/>
    <w:rsid w:val="00055B33"/>
    <w:rsid w:val="00055B39"/>
    <w:rsid w:val="00055B6A"/>
    <w:rsid w:val="00055BB4"/>
    <w:rsid w:val="00055BE8"/>
    <w:rsid w:val="00055BF0"/>
    <w:rsid w:val="00055C35"/>
    <w:rsid w:val="00055CF5"/>
    <w:rsid w:val="00055D4E"/>
    <w:rsid w:val="00055DB1"/>
    <w:rsid w:val="00055DE2"/>
    <w:rsid w:val="00055DF0"/>
    <w:rsid w:val="00055E3F"/>
    <w:rsid w:val="00055E75"/>
    <w:rsid w:val="00055E90"/>
    <w:rsid w:val="00055F32"/>
    <w:rsid w:val="00055F60"/>
    <w:rsid w:val="00055F94"/>
    <w:rsid w:val="00055FCE"/>
    <w:rsid w:val="00055FDF"/>
    <w:rsid w:val="00055FE8"/>
    <w:rsid w:val="00056072"/>
    <w:rsid w:val="000560CF"/>
    <w:rsid w:val="000560F4"/>
    <w:rsid w:val="000561A5"/>
    <w:rsid w:val="000561DB"/>
    <w:rsid w:val="0005622E"/>
    <w:rsid w:val="000562C5"/>
    <w:rsid w:val="00056326"/>
    <w:rsid w:val="00056335"/>
    <w:rsid w:val="0005635B"/>
    <w:rsid w:val="00056385"/>
    <w:rsid w:val="000563DE"/>
    <w:rsid w:val="00056482"/>
    <w:rsid w:val="000564E7"/>
    <w:rsid w:val="000564F8"/>
    <w:rsid w:val="000565DC"/>
    <w:rsid w:val="00056645"/>
    <w:rsid w:val="00056699"/>
    <w:rsid w:val="000566D2"/>
    <w:rsid w:val="00056722"/>
    <w:rsid w:val="00056768"/>
    <w:rsid w:val="000567F3"/>
    <w:rsid w:val="0005681B"/>
    <w:rsid w:val="00056870"/>
    <w:rsid w:val="0005687F"/>
    <w:rsid w:val="00056888"/>
    <w:rsid w:val="00056A06"/>
    <w:rsid w:val="00056A2A"/>
    <w:rsid w:val="00056A4F"/>
    <w:rsid w:val="00056AA1"/>
    <w:rsid w:val="00056ABE"/>
    <w:rsid w:val="00056AD3"/>
    <w:rsid w:val="00056B1B"/>
    <w:rsid w:val="00056C01"/>
    <w:rsid w:val="00056C45"/>
    <w:rsid w:val="00056CD5"/>
    <w:rsid w:val="00056CE7"/>
    <w:rsid w:val="00056D6D"/>
    <w:rsid w:val="00056D97"/>
    <w:rsid w:val="00056DDB"/>
    <w:rsid w:val="00056E43"/>
    <w:rsid w:val="00056ED9"/>
    <w:rsid w:val="00056F13"/>
    <w:rsid w:val="00056F4C"/>
    <w:rsid w:val="00056FCD"/>
    <w:rsid w:val="00057016"/>
    <w:rsid w:val="0005709E"/>
    <w:rsid w:val="000570A0"/>
    <w:rsid w:val="00057118"/>
    <w:rsid w:val="0005714E"/>
    <w:rsid w:val="000571BD"/>
    <w:rsid w:val="000571FE"/>
    <w:rsid w:val="00057233"/>
    <w:rsid w:val="00057295"/>
    <w:rsid w:val="000572E3"/>
    <w:rsid w:val="0005731E"/>
    <w:rsid w:val="00057354"/>
    <w:rsid w:val="00057357"/>
    <w:rsid w:val="000573A6"/>
    <w:rsid w:val="000573B7"/>
    <w:rsid w:val="000573E4"/>
    <w:rsid w:val="00057494"/>
    <w:rsid w:val="0005749D"/>
    <w:rsid w:val="000574A2"/>
    <w:rsid w:val="00057521"/>
    <w:rsid w:val="00057537"/>
    <w:rsid w:val="00057639"/>
    <w:rsid w:val="00057643"/>
    <w:rsid w:val="0005766E"/>
    <w:rsid w:val="000576D2"/>
    <w:rsid w:val="000576F6"/>
    <w:rsid w:val="0005770F"/>
    <w:rsid w:val="00057742"/>
    <w:rsid w:val="00057785"/>
    <w:rsid w:val="000577D8"/>
    <w:rsid w:val="00057862"/>
    <w:rsid w:val="0005790D"/>
    <w:rsid w:val="0005791A"/>
    <w:rsid w:val="00057934"/>
    <w:rsid w:val="00057977"/>
    <w:rsid w:val="000579A0"/>
    <w:rsid w:val="000579A8"/>
    <w:rsid w:val="000579CE"/>
    <w:rsid w:val="000579D6"/>
    <w:rsid w:val="00057A26"/>
    <w:rsid w:val="00057A30"/>
    <w:rsid w:val="00057A45"/>
    <w:rsid w:val="00057A93"/>
    <w:rsid w:val="00057AAE"/>
    <w:rsid w:val="00057B88"/>
    <w:rsid w:val="00057C61"/>
    <w:rsid w:val="00057C85"/>
    <w:rsid w:val="00057CA2"/>
    <w:rsid w:val="00057CD6"/>
    <w:rsid w:val="00057D82"/>
    <w:rsid w:val="00057D8C"/>
    <w:rsid w:val="00057DDA"/>
    <w:rsid w:val="00057DFE"/>
    <w:rsid w:val="00057E0D"/>
    <w:rsid w:val="00057E9C"/>
    <w:rsid w:val="00057ED9"/>
    <w:rsid w:val="00057F5D"/>
    <w:rsid w:val="00057F83"/>
    <w:rsid w:val="00057F90"/>
    <w:rsid w:val="00057F9D"/>
    <w:rsid w:val="00057F9E"/>
    <w:rsid w:val="00060011"/>
    <w:rsid w:val="0006003B"/>
    <w:rsid w:val="000600AD"/>
    <w:rsid w:val="000600EA"/>
    <w:rsid w:val="000600F3"/>
    <w:rsid w:val="00060123"/>
    <w:rsid w:val="00060126"/>
    <w:rsid w:val="0006013F"/>
    <w:rsid w:val="000601EC"/>
    <w:rsid w:val="000601F6"/>
    <w:rsid w:val="00060253"/>
    <w:rsid w:val="00060267"/>
    <w:rsid w:val="00060270"/>
    <w:rsid w:val="000602DB"/>
    <w:rsid w:val="000602FE"/>
    <w:rsid w:val="0006034C"/>
    <w:rsid w:val="0006041D"/>
    <w:rsid w:val="00060451"/>
    <w:rsid w:val="00060465"/>
    <w:rsid w:val="0006048F"/>
    <w:rsid w:val="000604BD"/>
    <w:rsid w:val="000604FE"/>
    <w:rsid w:val="0006055A"/>
    <w:rsid w:val="000605FD"/>
    <w:rsid w:val="00060610"/>
    <w:rsid w:val="00060617"/>
    <w:rsid w:val="0006067B"/>
    <w:rsid w:val="000606A8"/>
    <w:rsid w:val="00060724"/>
    <w:rsid w:val="00060736"/>
    <w:rsid w:val="00060751"/>
    <w:rsid w:val="00060863"/>
    <w:rsid w:val="0006087E"/>
    <w:rsid w:val="00060A1A"/>
    <w:rsid w:val="00060A22"/>
    <w:rsid w:val="00060A3A"/>
    <w:rsid w:val="00060A4E"/>
    <w:rsid w:val="00060B25"/>
    <w:rsid w:val="00060B41"/>
    <w:rsid w:val="00060C33"/>
    <w:rsid w:val="00060D38"/>
    <w:rsid w:val="00060D8C"/>
    <w:rsid w:val="00060E16"/>
    <w:rsid w:val="00060E1F"/>
    <w:rsid w:val="00060F41"/>
    <w:rsid w:val="00060F84"/>
    <w:rsid w:val="00061082"/>
    <w:rsid w:val="00061192"/>
    <w:rsid w:val="000611CA"/>
    <w:rsid w:val="00061203"/>
    <w:rsid w:val="00061204"/>
    <w:rsid w:val="00061213"/>
    <w:rsid w:val="00061215"/>
    <w:rsid w:val="0006121B"/>
    <w:rsid w:val="00061245"/>
    <w:rsid w:val="0006124B"/>
    <w:rsid w:val="0006126E"/>
    <w:rsid w:val="0006127D"/>
    <w:rsid w:val="00061346"/>
    <w:rsid w:val="00061366"/>
    <w:rsid w:val="00061386"/>
    <w:rsid w:val="000613A1"/>
    <w:rsid w:val="000613D0"/>
    <w:rsid w:val="0006144A"/>
    <w:rsid w:val="000615DD"/>
    <w:rsid w:val="000615E1"/>
    <w:rsid w:val="0006161C"/>
    <w:rsid w:val="0006163A"/>
    <w:rsid w:val="00061655"/>
    <w:rsid w:val="0006165F"/>
    <w:rsid w:val="0006171E"/>
    <w:rsid w:val="0006172A"/>
    <w:rsid w:val="00061736"/>
    <w:rsid w:val="00061773"/>
    <w:rsid w:val="000617A1"/>
    <w:rsid w:val="00061815"/>
    <w:rsid w:val="00061869"/>
    <w:rsid w:val="0006186E"/>
    <w:rsid w:val="000618CE"/>
    <w:rsid w:val="000618EE"/>
    <w:rsid w:val="00061956"/>
    <w:rsid w:val="0006196B"/>
    <w:rsid w:val="00061A36"/>
    <w:rsid w:val="00061A5E"/>
    <w:rsid w:val="00061A97"/>
    <w:rsid w:val="00061AD3"/>
    <w:rsid w:val="00061ADF"/>
    <w:rsid w:val="00061B4C"/>
    <w:rsid w:val="00061B62"/>
    <w:rsid w:val="00061B7A"/>
    <w:rsid w:val="00061B7B"/>
    <w:rsid w:val="00061B9B"/>
    <w:rsid w:val="00061CDF"/>
    <w:rsid w:val="00061D1C"/>
    <w:rsid w:val="00061D91"/>
    <w:rsid w:val="00061DD2"/>
    <w:rsid w:val="00061DDA"/>
    <w:rsid w:val="00061E0C"/>
    <w:rsid w:val="00061E14"/>
    <w:rsid w:val="00061E77"/>
    <w:rsid w:val="00061E78"/>
    <w:rsid w:val="00061EA4"/>
    <w:rsid w:val="00061EE1"/>
    <w:rsid w:val="00061EEB"/>
    <w:rsid w:val="00061F0D"/>
    <w:rsid w:val="00061F10"/>
    <w:rsid w:val="00061FFE"/>
    <w:rsid w:val="00062040"/>
    <w:rsid w:val="00062143"/>
    <w:rsid w:val="00062152"/>
    <w:rsid w:val="00062161"/>
    <w:rsid w:val="000621EA"/>
    <w:rsid w:val="000622E0"/>
    <w:rsid w:val="000622E5"/>
    <w:rsid w:val="0006230C"/>
    <w:rsid w:val="00062325"/>
    <w:rsid w:val="00062328"/>
    <w:rsid w:val="00062336"/>
    <w:rsid w:val="0006237F"/>
    <w:rsid w:val="000623FA"/>
    <w:rsid w:val="00062427"/>
    <w:rsid w:val="0006249B"/>
    <w:rsid w:val="00062550"/>
    <w:rsid w:val="0006256B"/>
    <w:rsid w:val="0006259C"/>
    <w:rsid w:val="0006259D"/>
    <w:rsid w:val="000625BE"/>
    <w:rsid w:val="000625D6"/>
    <w:rsid w:val="000627AA"/>
    <w:rsid w:val="000627D6"/>
    <w:rsid w:val="000627EB"/>
    <w:rsid w:val="000628F7"/>
    <w:rsid w:val="000628FF"/>
    <w:rsid w:val="0006295F"/>
    <w:rsid w:val="00062A60"/>
    <w:rsid w:val="00062AF3"/>
    <w:rsid w:val="00062AFC"/>
    <w:rsid w:val="00062B71"/>
    <w:rsid w:val="00062BDD"/>
    <w:rsid w:val="00062C68"/>
    <w:rsid w:val="00062C6A"/>
    <w:rsid w:val="00062CBA"/>
    <w:rsid w:val="00062CE8"/>
    <w:rsid w:val="00062D7E"/>
    <w:rsid w:val="00062D94"/>
    <w:rsid w:val="00062DB0"/>
    <w:rsid w:val="00062DD9"/>
    <w:rsid w:val="00062E20"/>
    <w:rsid w:val="00062E31"/>
    <w:rsid w:val="00062E92"/>
    <w:rsid w:val="00062EDA"/>
    <w:rsid w:val="00062EE2"/>
    <w:rsid w:val="00062FEF"/>
    <w:rsid w:val="0006306C"/>
    <w:rsid w:val="00063075"/>
    <w:rsid w:val="00063123"/>
    <w:rsid w:val="00063186"/>
    <w:rsid w:val="000631A8"/>
    <w:rsid w:val="000631B4"/>
    <w:rsid w:val="00063206"/>
    <w:rsid w:val="0006323A"/>
    <w:rsid w:val="0006327D"/>
    <w:rsid w:val="00063280"/>
    <w:rsid w:val="0006336D"/>
    <w:rsid w:val="000633F9"/>
    <w:rsid w:val="00063400"/>
    <w:rsid w:val="0006340C"/>
    <w:rsid w:val="0006348F"/>
    <w:rsid w:val="000634B0"/>
    <w:rsid w:val="000634BA"/>
    <w:rsid w:val="00063507"/>
    <w:rsid w:val="0006352B"/>
    <w:rsid w:val="00063564"/>
    <w:rsid w:val="0006356D"/>
    <w:rsid w:val="00063643"/>
    <w:rsid w:val="0006368A"/>
    <w:rsid w:val="000636C9"/>
    <w:rsid w:val="0006373C"/>
    <w:rsid w:val="00063754"/>
    <w:rsid w:val="00063819"/>
    <w:rsid w:val="000638B6"/>
    <w:rsid w:val="00063977"/>
    <w:rsid w:val="000639B8"/>
    <w:rsid w:val="000639D5"/>
    <w:rsid w:val="000639FA"/>
    <w:rsid w:val="00063AEA"/>
    <w:rsid w:val="00063B51"/>
    <w:rsid w:val="00063BE0"/>
    <w:rsid w:val="00063BF5"/>
    <w:rsid w:val="00063C74"/>
    <w:rsid w:val="00063C88"/>
    <w:rsid w:val="00063CFD"/>
    <w:rsid w:val="00063CFE"/>
    <w:rsid w:val="00063D02"/>
    <w:rsid w:val="00063DF7"/>
    <w:rsid w:val="00063E3A"/>
    <w:rsid w:val="00063F34"/>
    <w:rsid w:val="00063FAF"/>
    <w:rsid w:val="0006400E"/>
    <w:rsid w:val="00064047"/>
    <w:rsid w:val="0006405D"/>
    <w:rsid w:val="0006413B"/>
    <w:rsid w:val="00064147"/>
    <w:rsid w:val="00064169"/>
    <w:rsid w:val="000641BF"/>
    <w:rsid w:val="000641D1"/>
    <w:rsid w:val="00064304"/>
    <w:rsid w:val="00064372"/>
    <w:rsid w:val="00064398"/>
    <w:rsid w:val="00064410"/>
    <w:rsid w:val="00064415"/>
    <w:rsid w:val="00064445"/>
    <w:rsid w:val="000644AF"/>
    <w:rsid w:val="000644CE"/>
    <w:rsid w:val="000645E1"/>
    <w:rsid w:val="000645E9"/>
    <w:rsid w:val="0006462D"/>
    <w:rsid w:val="00064641"/>
    <w:rsid w:val="00064670"/>
    <w:rsid w:val="00064696"/>
    <w:rsid w:val="000646B5"/>
    <w:rsid w:val="000646FC"/>
    <w:rsid w:val="00064701"/>
    <w:rsid w:val="00064714"/>
    <w:rsid w:val="00064753"/>
    <w:rsid w:val="0006475B"/>
    <w:rsid w:val="000647AC"/>
    <w:rsid w:val="000647D7"/>
    <w:rsid w:val="000647EB"/>
    <w:rsid w:val="00064804"/>
    <w:rsid w:val="00064836"/>
    <w:rsid w:val="00064875"/>
    <w:rsid w:val="00064887"/>
    <w:rsid w:val="000648C0"/>
    <w:rsid w:val="000648CD"/>
    <w:rsid w:val="000648EB"/>
    <w:rsid w:val="00064940"/>
    <w:rsid w:val="00064987"/>
    <w:rsid w:val="000649BE"/>
    <w:rsid w:val="000649EC"/>
    <w:rsid w:val="00064A3C"/>
    <w:rsid w:val="00064A42"/>
    <w:rsid w:val="00064A54"/>
    <w:rsid w:val="00064B15"/>
    <w:rsid w:val="00064B2C"/>
    <w:rsid w:val="00064B4D"/>
    <w:rsid w:val="00064B7A"/>
    <w:rsid w:val="00064B8E"/>
    <w:rsid w:val="00064BFD"/>
    <w:rsid w:val="00064C0C"/>
    <w:rsid w:val="00064C90"/>
    <w:rsid w:val="00064DDE"/>
    <w:rsid w:val="00064E1D"/>
    <w:rsid w:val="00064E68"/>
    <w:rsid w:val="00064E92"/>
    <w:rsid w:val="00064EE5"/>
    <w:rsid w:val="00064F09"/>
    <w:rsid w:val="00064F6A"/>
    <w:rsid w:val="00064F88"/>
    <w:rsid w:val="00065040"/>
    <w:rsid w:val="00065080"/>
    <w:rsid w:val="000650BC"/>
    <w:rsid w:val="000650C3"/>
    <w:rsid w:val="00065104"/>
    <w:rsid w:val="00065109"/>
    <w:rsid w:val="0006512D"/>
    <w:rsid w:val="0006517B"/>
    <w:rsid w:val="00065198"/>
    <w:rsid w:val="000651A8"/>
    <w:rsid w:val="00065209"/>
    <w:rsid w:val="0006522F"/>
    <w:rsid w:val="00065341"/>
    <w:rsid w:val="00065349"/>
    <w:rsid w:val="0006536E"/>
    <w:rsid w:val="00065404"/>
    <w:rsid w:val="0006544F"/>
    <w:rsid w:val="00065518"/>
    <w:rsid w:val="00065531"/>
    <w:rsid w:val="000655AB"/>
    <w:rsid w:val="00065674"/>
    <w:rsid w:val="000656D6"/>
    <w:rsid w:val="00065741"/>
    <w:rsid w:val="00065781"/>
    <w:rsid w:val="000657A6"/>
    <w:rsid w:val="000657AD"/>
    <w:rsid w:val="000657E1"/>
    <w:rsid w:val="00065818"/>
    <w:rsid w:val="00065879"/>
    <w:rsid w:val="00065918"/>
    <w:rsid w:val="0006591D"/>
    <w:rsid w:val="0006595B"/>
    <w:rsid w:val="000659DD"/>
    <w:rsid w:val="00065A99"/>
    <w:rsid w:val="00065AAB"/>
    <w:rsid w:val="00065ACD"/>
    <w:rsid w:val="00065AE8"/>
    <w:rsid w:val="00065AEE"/>
    <w:rsid w:val="00065B49"/>
    <w:rsid w:val="00065B96"/>
    <w:rsid w:val="00065BD2"/>
    <w:rsid w:val="00065BF6"/>
    <w:rsid w:val="00065C4F"/>
    <w:rsid w:val="00065C59"/>
    <w:rsid w:val="00065C5B"/>
    <w:rsid w:val="00065CAA"/>
    <w:rsid w:val="00065CC5"/>
    <w:rsid w:val="00065D17"/>
    <w:rsid w:val="00065DAD"/>
    <w:rsid w:val="00065DAF"/>
    <w:rsid w:val="00065DBA"/>
    <w:rsid w:val="00065DE7"/>
    <w:rsid w:val="00065FCD"/>
    <w:rsid w:val="0006601B"/>
    <w:rsid w:val="0006605B"/>
    <w:rsid w:val="0006612E"/>
    <w:rsid w:val="000661D3"/>
    <w:rsid w:val="00066210"/>
    <w:rsid w:val="0006626E"/>
    <w:rsid w:val="000662CB"/>
    <w:rsid w:val="000662E6"/>
    <w:rsid w:val="0006631C"/>
    <w:rsid w:val="0006635D"/>
    <w:rsid w:val="00066375"/>
    <w:rsid w:val="000663B0"/>
    <w:rsid w:val="00066410"/>
    <w:rsid w:val="00066414"/>
    <w:rsid w:val="000664B8"/>
    <w:rsid w:val="0006650B"/>
    <w:rsid w:val="000665CE"/>
    <w:rsid w:val="0006662E"/>
    <w:rsid w:val="00066696"/>
    <w:rsid w:val="000666C9"/>
    <w:rsid w:val="000666F8"/>
    <w:rsid w:val="0006675B"/>
    <w:rsid w:val="000667FC"/>
    <w:rsid w:val="000668AA"/>
    <w:rsid w:val="000668CF"/>
    <w:rsid w:val="000668F3"/>
    <w:rsid w:val="000668F9"/>
    <w:rsid w:val="00066920"/>
    <w:rsid w:val="00066993"/>
    <w:rsid w:val="00066998"/>
    <w:rsid w:val="00066A99"/>
    <w:rsid w:val="00066AC9"/>
    <w:rsid w:val="00066AEC"/>
    <w:rsid w:val="00066B24"/>
    <w:rsid w:val="00066B35"/>
    <w:rsid w:val="00066B51"/>
    <w:rsid w:val="00066BC7"/>
    <w:rsid w:val="00066BDB"/>
    <w:rsid w:val="00066BFD"/>
    <w:rsid w:val="00066C34"/>
    <w:rsid w:val="00066D92"/>
    <w:rsid w:val="00066D93"/>
    <w:rsid w:val="00066E2B"/>
    <w:rsid w:val="00066E46"/>
    <w:rsid w:val="00066E74"/>
    <w:rsid w:val="00066EBC"/>
    <w:rsid w:val="00066EC5"/>
    <w:rsid w:val="00066F4D"/>
    <w:rsid w:val="00066F4F"/>
    <w:rsid w:val="00066FA6"/>
    <w:rsid w:val="00066FF5"/>
    <w:rsid w:val="00067009"/>
    <w:rsid w:val="00067060"/>
    <w:rsid w:val="000670D2"/>
    <w:rsid w:val="00067101"/>
    <w:rsid w:val="00067138"/>
    <w:rsid w:val="0006713F"/>
    <w:rsid w:val="00067160"/>
    <w:rsid w:val="00067171"/>
    <w:rsid w:val="00067189"/>
    <w:rsid w:val="000671A4"/>
    <w:rsid w:val="000671EC"/>
    <w:rsid w:val="00067262"/>
    <w:rsid w:val="0006726E"/>
    <w:rsid w:val="00067287"/>
    <w:rsid w:val="00067347"/>
    <w:rsid w:val="0006737F"/>
    <w:rsid w:val="000673A3"/>
    <w:rsid w:val="000673A4"/>
    <w:rsid w:val="000673D5"/>
    <w:rsid w:val="000673F6"/>
    <w:rsid w:val="0006745E"/>
    <w:rsid w:val="000674B6"/>
    <w:rsid w:val="000674BE"/>
    <w:rsid w:val="0006754D"/>
    <w:rsid w:val="0006756C"/>
    <w:rsid w:val="0006757E"/>
    <w:rsid w:val="000675AE"/>
    <w:rsid w:val="0006768B"/>
    <w:rsid w:val="000676F6"/>
    <w:rsid w:val="0006773E"/>
    <w:rsid w:val="0006774A"/>
    <w:rsid w:val="0006777E"/>
    <w:rsid w:val="000677C0"/>
    <w:rsid w:val="000677CA"/>
    <w:rsid w:val="000677EC"/>
    <w:rsid w:val="00067814"/>
    <w:rsid w:val="000678A6"/>
    <w:rsid w:val="00067935"/>
    <w:rsid w:val="000679E8"/>
    <w:rsid w:val="00067A69"/>
    <w:rsid w:val="00067A77"/>
    <w:rsid w:val="00067A99"/>
    <w:rsid w:val="00067AFB"/>
    <w:rsid w:val="00067B03"/>
    <w:rsid w:val="00067B31"/>
    <w:rsid w:val="00067B33"/>
    <w:rsid w:val="00067C86"/>
    <w:rsid w:val="00067CE9"/>
    <w:rsid w:val="00067D36"/>
    <w:rsid w:val="00067D62"/>
    <w:rsid w:val="00067D6E"/>
    <w:rsid w:val="00067DD4"/>
    <w:rsid w:val="00067EA9"/>
    <w:rsid w:val="00067EEE"/>
    <w:rsid w:val="00067F04"/>
    <w:rsid w:val="00070008"/>
    <w:rsid w:val="00070034"/>
    <w:rsid w:val="000700AA"/>
    <w:rsid w:val="000700AE"/>
    <w:rsid w:val="00070165"/>
    <w:rsid w:val="0007021B"/>
    <w:rsid w:val="0007024F"/>
    <w:rsid w:val="0007025E"/>
    <w:rsid w:val="000702E0"/>
    <w:rsid w:val="0007031C"/>
    <w:rsid w:val="00070329"/>
    <w:rsid w:val="00070460"/>
    <w:rsid w:val="00070478"/>
    <w:rsid w:val="00070493"/>
    <w:rsid w:val="000704A5"/>
    <w:rsid w:val="000704C5"/>
    <w:rsid w:val="000704CE"/>
    <w:rsid w:val="000704F8"/>
    <w:rsid w:val="000704FF"/>
    <w:rsid w:val="00070520"/>
    <w:rsid w:val="00070625"/>
    <w:rsid w:val="0007071D"/>
    <w:rsid w:val="0007081E"/>
    <w:rsid w:val="00070890"/>
    <w:rsid w:val="00070926"/>
    <w:rsid w:val="00070943"/>
    <w:rsid w:val="00070A36"/>
    <w:rsid w:val="00070A6B"/>
    <w:rsid w:val="00070BA0"/>
    <w:rsid w:val="00070BA2"/>
    <w:rsid w:val="00070C3A"/>
    <w:rsid w:val="00070D58"/>
    <w:rsid w:val="00070D9D"/>
    <w:rsid w:val="00070DAA"/>
    <w:rsid w:val="00070DF6"/>
    <w:rsid w:val="00070E0C"/>
    <w:rsid w:val="0007105A"/>
    <w:rsid w:val="0007109A"/>
    <w:rsid w:val="000710E3"/>
    <w:rsid w:val="0007111F"/>
    <w:rsid w:val="00071157"/>
    <w:rsid w:val="0007119A"/>
    <w:rsid w:val="000711D1"/>
    <w:rsid w:val="000711D3"/>
    <w:rsid w:val="0007120A"/>
    <w:rsid w:val="00071216"/>
    <w:rsid w:val="00071219"/>
    <w:rsid w:val="00071298"/>
    <w:rsid w:val="00071352"/>
    <w:rsid w:val="00071358"/>
    <w:rsid w:val="000713A4"/>
    <w:rsid w:val="000713F7"/>
    <w:rsid w:val="0007148E"/>
    <w:rsid w:val="0007149B"/>
    <w:rsid w:val="000715AC"/>
    <w:rsid w:val="00071634"/>
    <w:rsid w:val="00071766"/>
    <w:rsid w:val="000717E0"/>
    <w:rsid w:val="00071905"/>
    <w:rsid w:val="00071964"/>
    <w:rsid w:val="0007199E"/>
    <w:rsid w:val="000719A0"/>
    <w:rsid w:val="000719F0"/>
    <w:rsid w:val="000719F5"/>
    <w:rsid w:val="00071A4A"/>
    <w:rsid w:val="00071A7D"/>
    <w:rsid w:val="00071A7E"/>
    <w:rsid w:val="00071AA1"/>
    <w:rsid w:val="00071B00"/>
    <w:rsid w:val="00071B93"/>
    <w:rsid w:val="00071C0B"/>
    <w:rsid w:val="00071C72"/>
    <w:rsid w:val="00071C82"/>
    <w:rsid w:val="00071C8C"/>
    <w:rsid w:val="00071CAF"/>
    <w:rsid w:val="00071CF0"/>
    <w:rsid w:val="00071D09"/>
    <w:rsid w:val="00071D6A"/>
    <w:rsid w:val="00071DE6"/>
    <w:rsid w:val="00071DFB"/>
    <w:rsid w:val="00071E5A"/>
    <w:rsid w:val="00071EDE"/>
    <w:rsid w:val="00071F22"/>
    <w:rsid w:val="00071FD5"/>
    <w:rsid w:val="00071FDF"/>
    <w:rsid w:val="00072051"/>
    <w:rsid w:val="00072097"/>
    <w:rsid w:val="00072140"/>
    <w:rsid w:val="0007214A"/>
    <w:rsid w:val="0007219A"/>
    <w:rsid w:val="000721D5"/>
    <w:rsid w:val="000721F1"/>
    <w:rsid w:val="0007227E"/>
    <w:rsid w:val="0007234D"/>
    <w:rsid w:val="000723B6"/>
    <w:rsid w:val="000723CC"/>
    <w:rsid w:val="00072452"/>
    <w:rsid w:val="000724F1"/>
    <w:rsid w:val="0007251D"/>
    <w:rsid w:val="000725DE"/>
    <w:rsid w:val="000725F8"/>
    <w:rsid w:val="00072634"/>
    <w:rsid w:val="00072642"/>
    <w:rsid w:val="0007267E"/>
    <w:rsid w:val="00072723"/>
    <w:rsid w:val="00072759"/>
    <w:rsid w:val="00072775"/>
    <w:rsid w:val="00072791"/>
    <w:rsid w:val="000727BF"/>
    <w:rsid w:val="000728A5"/>
    <w:rsid w:val="000728B1"/>
    <w:rsid w:val="000728C1"/>
    <w:rsid w:val="000728E8"/>
    <w:rsid w:val="0007291D"/>
    <w:rsid w:val="00072923"/>
    <w:rsid w:val="00072941"/>
    <w:rsid w:val="00072962"/>
    <w:rsid w:val="000729D8"/>
    <w:rsid w:val="00072B00"/>
    <w:rsid w:val="00072B18"/>
    <w:rsid w:val="00072B42"/>
    <w:rsid w:val="00072B49"/>
    <w:rsid w:val="00072BA1"/>
    <w:rsid w:val="00072BF8"/>
    <w:rsid w:val="00072C92"/>
    <w:rsid w:val="00072CC7"/>
    <w:rsid w:val="00072CF8"/>
    <w:rsid w:val="00072D03"/>
    <w:rsid w:val="00072D2F"/>
    <w:rsid w:val="00072DB7"/>
    <w:rsid w:val="00072E3A"/>
    <w:rsid w:val="00072E44"/>
    <w:rsid w:val="00072E48"/>
    <w:rsid w:val="00072EA8"/>
    <w:rsid w:val="00073000"/>
    <w:rsid w:val="00073094"/>
    <w:rsid w:val="000730F9"/>
    <w:rsid w:val="00073179"/>
    <w:rsid w:val="000731C0"/>
    <w:rsid w:val="000731DB"/>
    <w:rsid w:val="000731DF"/>
    <w:rsid w:val="00073208"/>
    <w:rsid w:val="00073374"/>
    <w:rsid w:val="0007352F"/>
    <w:rsid w:val="0007357E"/>
    <w:rsid w:val="000735D4"/>
    <w:rsid w:val="000737B6"/>
    <w:rsid w:val="000737CD"/>
    <w:rsid w:val="00073809"/>
    <w:rsid w:val="00073843"/>
    <w:rsid w:val="00073891"/>
    <w:rsid w:val="00073895"/>
    <w:rsid w:val="000738E3"/>
    <w:rsid w:val="000739A2"/>
    <w:rsid w:val="000739B0"/>
    <w:rsid w:val="000739BA"/>
    <w:rsid w:val="00073A47"/>
    <w:rsid w:val="00073B46"/>
    <w:rsid w:val="00073B55"/>
    <w:rsid w:val="00073C67"/>
    <w:rsid w:val="00073CED"/>
    <w:rsid w:val="00073CF4"/>
    <w:rsid w:val="00073CF8"/>
    <w:rsid w:val="00073D2D"/>
    <w:rsid w:val="00073D5A"/>
    <w:rsid w:val="00073DDD"/>
    <w:rsid w:val="00073E04"/>
    <w:rsid w:val="00073E09"/>
    <w:rsid w:val="00073E1B"/>
    <w:rsid w:val="00073EE1"/>
    <w:rsid w:val="00073F2C"/>
    <w:rsid w:val="00073F7B"/>
    <w:rsid w:val="00073F82"/>
    <w:rsid w:val="00074029"/>
    <w:rsid w:val="00074039"/>
    <w:rsid w:val="00074040"/>
    <w:rsid w:val="0007407B"/>
    <w:rsid w:val="000740A6"/>
    <w:rsid w:val="0007418C"/>
    <w:rsid w:val="000741AC"/>
    <w:rsid w:val="000741C6"/>
    <w:rsid w:val="00074241"/>
    <w:rsid w:val="00074243"/>
    <w:rsid w:val="0007425A"/>
    <w:rsid w:val="00074265"/>
    <w:rsid w:val="00074282"/>
    <w:rsid w:val="000742A8"/>
    <w:rsid w:val="000742C0"/>
    <w:rsid w:val="0007430B"/>
    <w:rsid w:val="00074482"/>
    <w:rsid w:val="00074514"/>
    <w:rsid w:val="000745B2"/>
    <w:rsid w:val="000745C4"/>
    <w:rsid w:val="00074601"/>
    <w:rsid w:val="00074608"/>
    <w:rsid w:val="00074628"/>
    <w:rsid w:val="0007464E"/>
    <w:rsid w:val="0007465A"/>
    <w:rsid w:val="00074681"/>
    <w:rsid w:val="00074692"/>
    <w:rsid w:val="00074707"/>
    <w:rsid w:val="00074740"/>
    <w:rsid w:val="000748FC"/>
    <w:rsid w:val="0007493B"/>
    <w:rsid w:val="00074A7E"/>
    <w:rsid w:val="00074AD5"/>
    <w:rsid w:val="00074B2F"/>
    <w:rsid w:val="00074B41"/>
    <w:rsid w:val="00074B71"/>
    <w:rsid w:val="00074CCE"/>
    <w:rsid w:val="00074D63"/>
    <w:rsid w:val="00074D79"/>
    <w:rsid w:val="00074DB3"/>
    <w:rsid w:val="00074E05"/>
    <w:rsid w:val="00074E2C"/>
    <w:rsid w:val="00074F02"/>
    <w:rsid w:val="00074F3F"/>
    <w:rsid w:val="00074F83"/>
    <w:rsid w:val="00075184"/>
    <w:rsid w:val="000751EE"/>
    <w:rsid w:val="00075280"/>
    <w:rsid w:val="000752B3"/>
    <w:rsid w:val="000752ED"/>
    <w:rsid w:val="000754F1"/>
    <w:rsid w:val="00075554"/>
    <w:rsid w:val="00075575"/>
    <w:rsid w:val="000755AD"/>
    <w:rsid w:val="00075726"/>
    <w:rsid w:val="0007573B"/>
    <w:rsid w:val="000757DD"/>
    <w:rsid w:val="0007586B"/>
    <w:rsid w:val="000758B6"/>
    <w:rsid w:val="0007595C"/>
    <w:rsid w:val="00075983"/>
    <w:rsid w:val="0007599E"/>
    <w:rsid w:val="000759AA"/>
    <w:rsid w:val="000759D2"/>
    <w:rsid w:val="00075A1B"/>
    <w:rsid w:val="00075A27"/>
    <w:rsid w:val="00075A36"/>
    <w:rsid w:val="00075A9D"/>
    <w:rsid w:val="00075B18"/>
    <w:rsid w:val="00075B65"/>
    <w:rsid w:val="00075BF9"/>
    <w:rsid w:val="00075C16"/>
    <w:rsid w:val="00075CD4"/>
    <w:rsid w:val="00075CD7"/>
    <w:rsid w:val="00075DF7"/>
    <w:rsid w:val="00075E92"/>
    <w:rsid w:val="00075F54"/>
    <w:rsid w:val="00075F90"/>
    <w:rsid w:val="00075FB3"/>
    <w:rsid w:val="00075FC8"/>
    <w:rsid w:val="0007602E"/>
    <w:rsid w:val="00076088"/>
    <w:rsid w:val="00076135"/>
    <w:rsid w:val="00076194"/>
    <w:rsid w:val="00076197"/>
    <w:rsid w:val="000761E7"/>
    <w:rsid w:val="000761EC"/>
    <w:rsid w:val="0007629E"/>
    <w:rsid w:val="000762F1"/>
    <w:rsid w:val="00076320"/>
    <w:rsid w:val="00076327"/>
    <w:rsid w:val="00076337"/>
    <w:rsid w:val="00076350"/>
    <w:rsid w:val="00076378"/>
    <w:rsid w:val="00076394"/>
    <w:rsid w:val="0007639D"/>
    <w:rsid w:val="000763AA"/>
    <w:rsid w:val="000763AF"/>
    <w:rsid w:val="000763FA"/>
    <w:rsid w:val="0007642C"/>
    <w:rsid w:val="0007648C"/>
    <w:rsid w:val="000764E2"/>
    <w:rsid w:val="00076501"/>
    <w:rsid w:val="00076652"/>
    <w:rsid w:val="000766B2"/>
    <w:rsid w:val="000767AC"/>
    <w:rsid w:val="0007688C"/>
    <w:rsid w:val="0007688D"/>
    <w:rsid w:val="000768B4"/>
    <w:rsid w:val="00076962"/>
    <w:rsid w:val="00076980"/>
    <w:rsid w:val="000769FD"/>
    <w:rsid w:val="00076A0F"/>
    <w:rsid w:val="00076A6A"/>
    <w:rsid w:val="00076A95"/>
    <w:rsid w:val="00076AE7"/>
    <w:rsid w:val="00076AFE"/>
    <w:rsid w:val="00076B26"/>
    <w:rsid w:val="00076B2B"/>
    <w:rsid w:val="00076B2F"/>
    <w:rsid w:val="00076BB5"/>
    <w:rsid w:val="00076BB6"/>
    <w:rsid w:val="00076BBE"/>
    <w:rsid w:val="00076C23"/>
    <w:rsid w:val="00076C9C"/>
    <w:rsid w:val="00076CE8"/>
    <w:rsid w:val="00076D76"/>
    <w:rsid w:val="00076DF7"/>
    <w:rsid w:val="00076E45"/>
    <w:rsid w:val="00076E98"/>
    <w:rsid w:val="00076EC4"/>
    <w:rsid w:val="00076F83"/>
    <w:rsid w:val="00076F85"/>
    <w:rsid w:val="00076F89"/>
    <w:rsid w:val="00077082"/>
    <w:rsid w:val="00077085"/>
    <w:rsid w:val="000770A2"/>
    <w:rsid w:val="0007716A"/>
    <w:rsid w:val="000771F9"/>
    <w:rsid w:val="00077240"/>
    <w:rsid w:val="00077276"/>
    <w:rsid w:val="00077288"/>
    <w:rsid w:val="000772E1"/>
    <w:rsid w:val="000772FD"/>
    <w:rsid w:val="0007736B"/>
    <w:rsid w:val="00077421"/>
    <w:rsid w:val="000774BC"/>
    <w:rsid w:val="00077667"/>
    <w:rsid w:val="000776A1"/>
    <w:rsid w:val="0007772E"/>
    <w:rsid w:val="0007773F"/>
    <w:rsid w:val="00077777"/>
    <w:rsid w:val="000777DD"/>
    <w:rsid w:val="000777E6"/>
    <w:rsid w:val="000777EC"/>
    <w:rsid w:val="000778DC"/>
    <w:rsid w:val="0007797D"/>
    <w:rsid w:val="000779F3"/>
    <w:rsid w:val="00077A80"/>
    <w:rsid w:val="00077ADF"/>
    <w:rsid w:val="00077AF0"/>
    <w:rsid w:val="00077B09"/>
    <w:rsid w:val="00077B5D"/>
    <w:rsid w:val="00077BAF"/>
    <w:rsid w:val="00077BB4"/>
    <w:rsid w:val="00077C59"/>
    <w:rsid w:val="00077CC4"/>
    <w:rsid w:val="00077CC6"/>
    <w:rsid w:val="00077CEA"/>
    <w:rsid w:val="00077D0E"/>
    <w:rsid w:val="00077D56"/>
    <w:rsid w:val="00077DFF"/>
    <w:rsid w:val="00077E0E"/>
    <w:rsid w:val="00077F06"/>
    <w:rsid w:val="00077F66"/>
    <w:rsid w:val="00077FA6"/>
    <w:rsid w:val="00080076"/>
    <w:rsid w:val="000800F3"/>
    <w:rsid w:val="00080191"/>
    <w:rsid w:val="000801A8"/>
    <w:rsid w:val="00080282"/>
    <w:rsid w:val="00080347"/>
    <w:rsid w:val="000803D7"/>
    <w:rsid w:val="00080414"/>
    <w:rsid w:val="00080426"/>
    <w:rsid w:val="00080507"/>
    <w:rsid w:val="000805BC"/>
    <w:rsid w:val="000805F8"/>
    <w:rsid w:val="0008069A"/>
    <w:rsid w:val="000806C7"/>
    <w:rsid w:val="00080711"/>
    <w:rsid w:val="000807B7"/>
    <w:rsid w:val="000807E0"/>
    <w:rsid w:val="000808B1"/>
    <w:rsid w:val="0008095E"/>
    <w:rsid w:val="0008099A"/>
    <w:rsid w:val="000809D1"/>
    <w:rsid w:val="000809F4"/>
    <w:rsid w:val="00080A29"/>
    <w:rsid w:val="00080A93"/>
    <w:rsid w:val="00080AAC"/>
    <w:rsid w:val="00080AC8"/>
    <w:rsid w:val="00080BEA"/>
    <w:rsid w:val="00080BF6"/>
    <w:rsid w:val="00080C86"/>
    <w:rsid w:val="00080C89"/>
    <w:rsid w:val="00080D7A"/>
    <w:rsid w:val="00080DE3"/>
    <w:rsid w:val="00080DF9"/>
    <w:rsid w:val="00080E7F"/>
    <w:rsid w:val="00080ECB"/>
    <w:rsid w:val="00080ED6"/>
    <w:rsid w:val="00080EDD"/>
    <w:rsid w:val="00080F15"/>
    <w:rsid w:val="00080F1B"/>
    <w:rsid w:val="00080FDB"/>
    <w:rsid w:val="00080FF7"/>
    <w:rsid w:val="00081045"/>
    <w:rsid w:val="00081052"/>
    <w:rsid w:val="00081080"/>
    <w:rsid w:val="00081168"/>
    <w:rsid w:val="000811F0"/>
    <w:rsid w:val="0008123C"/>
    <w:rsid w:val="00081278"/>
    <w:rsid w:val="000812A1"/>
    <w:rsid w:val="0008130A"/>
    <w:rsid w:val="0008138E"/>
    <w:rsid w:val="00081396"/>
    <w:rsid w:val="0008140C"/>
    <w:rsid w:val="0008143C"/>
    <w:rsid w:val="000814A1"/>
    <w:rsid w:val="000814CF"/>
    <w:rsid w:val="000814DC"/>
    <w:rsid w:val="00081519"/>
    <w:rsid w:val="0008154C"/>
    <w:rsid w:val="000815C1"/>
    <w:rsid w:val="000816CD"/>
    <w:rsid w:val="000816F0"/>
    <w:rsid w:val="0008172B"/>
    <w:rsid w:val="0008172D"/>
    <w:rsid w:val="00081735"/>
    <w:rsid w:val="000817CA"/>
    <w:rsid w:val="00081804"/>
    <w:rsid w:val="0008184C"/>
    <w:rsid w:val="00081863"/>
    <w:rsid w:val="0008187D"/>
    <w:rsid w:val="00081885"/>
    <w:rsid w:val="000818ED"/>
    <w:rsid w:val="0008197D"/>
    <w:rsid w:val="000819E2"/>
    <w:rsid w:val="000819EC"/>
    <w:rsid w:val="00081A04"/>
    <w:rsid w:val="00081A4E"/>
    <w:rsid w:val="00081ABA"/>
    <w:rsid w:val="00081B31"/>
    <w:rsid w:val="00081B61"/>
    <w:rsid w:val="00081BDD"/>
    <w:rsid w:val="00081C0E"/>
    <w:rsid w:val="00081C3A"/>
    <w:rsid w:val="00081C80"/>
    <w:rsid w:val="00081CFF"/>
    <w:rsid w:val="00081DBA"/>
    <w:rsid w:val="00081E3D"/>
    <w:rsid w:val="00081EAF"/>
    <w:rsid w:val="00081EDB"/>
    <w:rsid w:val="00081F0E"/>
    <w:rsid w:val="00081F27"/>
    <w:rsid w:val="00081FBB"/>
    <w:rsid w:val="00082030"/>
    <w:rsid w:val="0008205B"/>
    <w:rsid w:val="00082111"/>
    <w:rsid w:val="0008214E"/>
    <w:rsid w:val="00082169"/>
    <w:rsid w:val="00082170"/>
    <w:rsid w:val="0008217F"/>
    <w:rsid w:val="00082188"/>
    <w:rsid w:val="000821D7"/>
    <w:rsid w:val="000821D8"/>
    <w:rsid w:val="000821EF"/>
    <w:rsid w:val="00082204"/>
    <w:rsid w:val="00082219"/>
    <w:rsid w:val="00082247"/>
    <w:rsid w:val="00082288"/>
    <w:rsid w:val="00082395"/>
    <w:rsid w:val="000823B5"/>
    <w:rsid w:val="000823C0"/>
    <w:rsid w:val="000823DF"/>
    <w:rsid w:val="0008245E"/>
    <w:rsid w:val="000824B6"/>
    <w:rsid w:val="00082558"/>
    <w:rsid w:val="00082584"/>
    <w:rsid w:val="000825D0"/>
    <w:rsid w:val="00082624"/>
    <w:rsid w:val="000826C9"/>
    <w:rsid w:val="00082774"/>
    <w:rsid w:val="00082795"/>
    <w:rsid w:val="000827AF"/>
    <w:rsid w:val="000827BB"/>
    <w:rsid w:val="000827DE"/>
    <w:rsid w:val="000827F7"/>
    <w:rsid w:val="00082804"/>
    <w:rsid w:val="00082812"/>
    <w:rsid w:val="00082876"/>
    <w:rsid w:val="00082897"/>
    <w:rsid w:val="00082909"/>
    <w:rsid w:val="0008292D"/>
    <w:rsid w:val="00082A5C"/>
    <w:rsid w:val="00082A9F"/>
    <w:rsid w:val="00082B59"/>
    <w:rsid w:val="00082BFC"/>
    <w:rsid w:val="00082C2A"/>
    <w:rsid w:val="00082C9C"/>
    <w:rsid w:val="00082CA0"/>
    <w:rsid w:val="00082DC7"/>
    <w:rsid w:val="00082E33"/>
    <w:rsid w:val="00082E56"/>
    <w:rsid w:val="00082E9C"/>
    <w:rsid w:val="00082F1C"/>
    <w:rsid w:val="00082F5D"/>
    <w:rsid w:val="0008303D"/>
    <w:rsid w:val="00083123"/>
    <w:rsid w:val="0008313B"/>
    <w:rsid w:val="00083155"/>
    <w:rsid w:val="000831AE"/>
    <w:rsid w:val="0008328C"/>
    <w:rsid w:val="000832BD"/>
    <w:rsid w:val="00083321"/>
    <w:rsid w:val="00083349"/>
    <w:rsid w:val="00083384"/>
    <w:rsid w:val="00083388"/>
    <w:rsid w:val="000833D0"/>
    <w:rsid w:val="000833D8"/>
    <w:rsid w:val="000834BA"/>
    <w:rsid w:val="000834BB"/>
    <w:rsid w:val="000834CB"/>
    <w:rsid w:val="000834E9"/>
    <w:rsid w:val="000834F1"/>
    <w:rsid w:val="00083528"/>
    <w:rsid w:val="0008356A"/>
    <w:rsid w:val="0008356C"/>
    <w:rsid w:val="00083698"/>
    <w:rsid w:val="000836C0"/>
    <w:rsid w:val="00083703"/>
    <w:rsid w:val="00083740"/>
    <w:rsid w:val="00083774"/>
    <w:rsid w:val="000837A5"/>
    <w:rsid w:val="000837A7"/>
    <w:rsid w:val="000837F3"/>
    <w:rsid w:val="000838C2"/>
    <w:rsid w:val="000838FF"/>
    <w:rsid w:val="00083922"/>
    <w:rsid w:val="00083957"/>
    <w:rsid w:val="000839E5"/>
    <w:rsid w:val="00083A27"/>
    <w:rsid w:val="00083A94"/>
    <w:rsid w:val="00083AF8"/>
    <w:rsid w:val="00083B21"/>
    <w:rsid w:val="00083B3F"/>
    <w:rsid w:val="00083B62"/>
    <w:rsid w:val="00083B97"/>
    <w:rsid w:val="00083BA3"/>
    <w:rsid w:val="00083BF3"/>
    <w:rsid w:val="00083C05"/>
    <w:rsid w:val="00083C2A"/>
    <w:rsid w:val="00083C64"/>
    <w:rsid w:val="00083C87"/>
    <w:rsid w:val="00083CE1"/>
    <w:rsid w:val="00083E4B"/>
    <w:rsid w:val="00083EFD"/>
    <w:rsid w:val="00083F1C"/>
    <w:rsid w:val="00083F81"/>
    <w:rsid w:val="00083FCB"/>
    <w:rsid w:val="00083FF6"/>
    <w:rsid w:val="0008406E"/>
    <w:rsid w:val="000840A0"/>
    <w:rsid w:val="00084168"/>
    <w:rsid w:val="00084183"/>
    <w:rsid w:val="00084213"/>
    <w:rsid w:val="000842A9"/>
    <w:rsid w:val="000842D5"/>
    <w:rsid w:val="000842E7"/>
    <w:rsid w:val="000844D3"/>
    <w:rsid w:val="000844E6"/>
    <w:rsid w:val="0008454B"/>
    <w:rsid w:val="000845B8"/>
    <w:rsid w:val="000845C6"/>
    <w:rsid w:val="000845DB"/>
    <w:rsid w:val="000845EB"/>
    <w:rsid w:val="00084671"/>
    <w:rsid w:val="000846F4"/>
    <w:rsid w:val="000846F9"/>
    <w:rsid w:val="00084756"/>
    <w:rsid w:val="0008475C"/>
    <w:rsid w:val="000847D6"/>
    <w:rsid w:val="000847D7"/>
    <w:rsid w:val="00084965"/>
    <w:rsid w:val="000849AF"/>
    <w:rsid w:val="00084A65"/>
    <w:rsid w:val="00084AB4"/>
    <w:rsid w:val="00084ABD"/>
    <w:rsid w:val="00084AC7"/>
    <w:rsid w:val="00084AF0"/>
    <w:rsid w:val="00084B10"/>
    <w:rsid w:val="00084B43"/>
    <w:rsid w:val="00084BE6"/>
    <w:rsid w:val="00084BEC"/>
    <w:rsid w:val="00084C1A"/>
    <w:rsid w:val="00084C62"/>
    <w:rsid w:val="00084C87"/>
    <w:rsid w:val="00084CCA"/>
    <w:rsid w:val="00084D89"/>
    <w:rsid w:val="00084D99"/>
    <w:rsid w:val="00084E0E"/>
    <w:rsid w:val="00084E29"/>
    <w:rsid w:val="00084E69"/>
    <w:rsid w:val="00084E6A"/>
    <w:rsid w:val="00084E7C"/>
    <w:rsid w:val="00084FC0"/>
    <w:rsid w:val="00084FC3"/>
    <w:rsid w:val="00085042"/>
    <w:rsid w:val="00085076"/>
    <w:rsid w:val="000850B7"/>
    <w:rsid w:val="000850D3"/>
    <w:rsid w:val="00085144"/>
    <w:rsid w:val="0008515D"/>
    <w:rsid w:val="00085190"/>
    <w:rsid w:val="000851C1"/>
    <w:rsid w:val="000851F3"/>
    <w:rsid w:val="00085209"/>
    <w:rsid w:val="000852B3"/>
    <w:rsid w:val="000852B7"/>
    <w:rsid w:val="000852DD"/>
    <w:rsid w:val="000852E3"/>
    <w:rsid w:val="0008533B"/>
    <w:rsid w:val="000853BA"/>
    <w:rsid w:val="000853C8"/>
    <w:rsid w:val="00085417"/>
    <w:rsid w:val="00085453"/>
    <w:rsid w:val="000854B5"/>
    <w:rsid w:val="000854C4"/>
    <w:rsid w:val="000854DC"/>
    <w:rsid w:val="0008552D"/>
    <w:rsid w:val="00085568"/>
    <w:rsid w:val="000855A4"/>
    <w:rsid w:val="000855DE"/>
    <w:rsid w:val="000856FA"/>
    <w:rsid w:val="00085744"/>
    <w:rsid w:val="000857A9"/>
    <w:rsid w:val="000858B6"/>
    <w:rsid w:val="0008591F"/>
    <w:rsid w:val="0008592B"/>
    <w:rsid w:val="00085961"/>
    <w:rsid w:val="00085984"/>
    <w:rsid w:val="00085A5F"/>
    <w:rsid w:val="00085A62"/>
    <w:rsid w:val="00085AA5"/>
    <w:rsid w:val="00085B7A"/>
    <w:rsid w:val="00085C4A"/>
    <w:rsid w:val="00085CC3"/>
    <w:rsid w:val="00085CD4"/>
    <w:rsid w:val="00085CD8"/>
    <w:rsid w:val="00085D2B"/>
    <w:rsid w:val="00085DB6"/>
    <w:rsid w:val="00085E68"/>
    <w:rsid w:val="00085EB2"/>
    <w:rsid w:val="00085EE5"/>
    <w:rsid w:val="00085F16"/>
    <w:rsid w:val="00085F25"/>
    <w:rsid w:val="00085F56"/>
    <w:rsid w:val="00085FB7"/>
    <w:rsid w:val="00085FD6"/>
    <w:rsid w:val="0008612E"/>
    <w:rsid w:val="00086172"/>
    <w:rsid w:val="000861FF"/>
    <w:rsid w:val="000862E8"/>
    <w:rsid w:val="000862F2"/>
    <w:rsid w:val="00086310"/>
    <w:rsid w:val="00086334"/>
    <w:rsid w:val="000863FE"/>
    <w:rsid w:val="000863FF"/>
    <w:rsid w:val="00086498"/>
    <w:rsid w:val="0008657D"/>
    <w:rsid w:val="0008657E"/>
    <w:rsid w:val="0008667A"/>
    <w:rsid w:val="000866AF"/>
    <w:rsid w:val="000866B4"/>
    <w:rsid w:val="000866DE"/>
    <w:rsid w:val="0008678A"/>
    <w:rsid w:val="00086829"/>
    <w:rsid w:val="0008683B"/>
    <w:rsid w:val="000868B9"/>
    <w:rsid w:val="000868E7"/>
    <w:rsid w:val="00086947"/>
    <w:rsid w:val="00086965"/>
    <w:rsid w:val="000869F7"/>
    <w:rsid w:val="00086A04"/>
    <w:rsid w:val="00086A52"/>
    <w:rsid w:val="00086ABA"/>
    <w:rsid w:val="00086B05"/>
    <w:rsid w:val="00086B07"/>
    <w:rsid w:val="00086B0F"/>
    <w:rsid w:val="00086B22"/>
    <w:rsid w:val="00086B9E"/>
    <w:rsid w:val="00086BA1"/>
    <w:rsid w:val="00086BAE"/>
    <w:rsid w:val="00086BBE"/>
    <w:rsid w:val="00086CB8"/>
    <w:rsid w:val="00086CE7"/>
    <w:rsid w:val="00086D8D"/>
    <w:rsid w:val="00086DE1"/>
    <w:rsid w:val="00086E29"/>
    <w:rsid w:val="00086E3C"/>
    <w:rsid w:val="00086E5E"/>
    <w:rsid w:val="00086E6E"/>
    <w:rsid w:val="00086F11"/>
    <w:rsid w:val="00086F50"/>
    <w:rsid w:val="00086F9B"/>
    <w:rsid w:val="00086FE9"/>
    <w:rsid w:val="0008700A"/>
    <w:rsid w:val="00087088"/>
    <w:rsid w:val="000870C1"/>
    <w:rsid w:val="00087109"/>
    <w:rsid w:val="00087196"/>
    <w:rsid w:val="0008722C"/>
    <w:rsid w:val="00087232"/>
    <w:rsid w:val="00087265"/>
    <w:rsid w:val="000873BC"/>
    <w:rsid w:val="0008743A"/>
    <w:rsid w:val="00087449"/>
    <w:rsid w:val="00087467"/>
    <w:rsid w:val="00087504"/>
    <w:rsid w:val="00087561"/>
    <w:rsid w:val="00087584"/>
    <w:rsid w:val="000875D2"/>
    <w:rsid w:val="000876E0"/>
    <w:rsid w:val="0008774E"/>
    <w:rsid w:val="0008781B"/>
    <w:rsid w:val="0008781C"/>
    <w:rsid w:val="0008781E"/>
    <w:rsid w:val="0008785E"/>
    <w:rsid w:val="000878D3"/>
    <w:rsid w:val="000878D5"/>
    <w:rsid w:val="00087913"/>
    <w:rsid w:val="0008792A"/>
    <w:rsid w:val="00087932"/>
    <w:rsid w:val="0008797F"/>
    <w:rsid w:val="0008798B"/>
    <w:rsid w:val="00087A0C"/>
    <w:rsid w:val="00087B53"/>
    <w:rsid w:val="00087B73"/>
    <w:rsid w:val="00087C7B"/>
    <w:rsid w:val="00087D73"/>
    <w:rsid w:val="00087D9C"/>
    <w:rsid w:val="00087DE6"/>
    <w:rsid w:val="00087E00"/>
    <w:rsid w:val="00087E26"/>
    <w:rsid w:val="00087EF9"/>
    <w:rsid w:val="00087F2C"/>
    <w:rsid w:val="00087F50"/>
    <w:rsid w:val="00087FA7"/>
    <w:rsid w:val="0009001A"/>
    <w:rsid w:val="0009002E"/>
    <w:rsid w:val="0009005E"/>
    <w:rsid w:val="00090061"/>
    <w:rsid w:val="000900DB"/>
    <w:rsid w:val="000900FF"/>
    <w:rsid w:val="0009017D"/>
    <w:rsid w:val="0009029F"/>
    <w:rsid w:val="000902E7"/>
    <w:rsid w:val="000903B1"/>
    <w:rsid w:val="0009044D"/>
    <w:rsid w:val="000904B0"/>
    <w:rsid w:val="000904BE"/>
    <w:rsid w:val="000904E5"/>
    <w:rsid w:val="00090525"/>
    <w:rsid w:val="00090528"/>
    <w:rsid w:val="00090569"/>
    <w:rsid w:val="00090571"/>
    <w:rsid w:val="00090589"/>
    <w:rsid w:val="0009060F"/>
    <w:rsid w:val="000907DB"/>
    <w:rsid w:val="000907E7"/>
    <w:rsid w:val="00090818"/>
    <w:rsid w:val="00090914"/>
    <w:rsid w:val="000909F3"/>
    <w:rsid w:val="00090A05"/>
    <w:rsid w:val="00090A24"/>
    <w:rsid w:val="00090A30"/>
    <w:rsid w:val="00090A65"/>
    <w:rsid w:val="00090AA4"/>
    <w:rsid w:val="00090AC4"/>
    <w:rsid w:val="00090B2D"/>
    <w:rsid w:val="00090B7F"/>
    <w:rsid w:val="00090BA1"/>
    <w:rsid w:val="00090BDA"/>
    <w:rsid w:val="00090C08"/>
    <w:rsid w:val="00090C2B"/>
    <w:rsid w:val="00090C39"/>
    <w:rsid w:val="00090D4D"/>
    <w:rsid w:val="00090D70"/>
    <w:rsid w:val="00090DC2"/>
    <w:rsid w:val="00090DDB"/>
    <w:rsid w:val="00090E57"/>
    <w:rsid w:val="00090EB1"/>
    <w:rsid w:val="00090FEE"/>
    <w:rsid w:val="00091058"/>
    <w:rsid w:val="000910C2"/>
    <w:rsid w:val="000910E0"/>
    <w:rsid w:val="0009110B"/>
    <w:rsid w:val="00091149"/>
    <w:rsid w:val="00091152"/>
    <w:rsid w:val="00091174"/>
    <w:rsid w:val="000911C5"/>
    <w:rsid w:val="00091216"/>
    <w:rsid w:val="0009122D"/>
    <w:rsid w:val="000912AC"/>
    <w:rsid w:val="000912E1"/>
    <w:rsid w:val="0009131D"/>
    <w:rsid w:val="00091384"/>
    <w:rsid w:val="000913CF"/>
    <w:rsid w:val="000913F1"/>
    <w:rsid w:val="0009145D"/>
    <w:rsid w:val="0009145F"/>
    <w:rsid w:val="00091461"/>
    <w:rsid w:val="00091462"/>
    <w:rsid w:val="0009146E"/>
    <w:rsid w:val="0009148C"/>
    <w:rsid w:val="000914BD"/>
    <w:rsid w:val="000914FD"/>
    <w:rsid w:val="00091598"/>
    <w:rsid w:val="000915DD"/>
    <w:rsid w:val="00091617"/>
    <w:rsid w:val="0009169B"/>
    <w:rsid w:val="000916A1"/>
    <w:rsid w:val="0009182F"/>
    <w:rsid w:val="00091881"/>
    <w:rsid w:val="000918A1"/>
    <w:rsid w:val="000918B6"/>
    <w:rsid w:val="0009190F"/>
    <w:rsid w:val="00091946"/>
    <w:rsid w:val="000919B1"/>
    <w:rsid w:val="00091B15"/>
    <w:rsid w:val="00091B3D"/>
    <w:rsid w:val="00091B46"/>
    <w:rsid w:val="00091C25"/>
    <w:rsid w:val="00091C6C"/>
    <w:rsid w:val="00091C9A"/>
    <w:rsid w:val="00091E41"/>
    <w:rsid w:val="00091F29"/>
    <w:rsid w:val="00091F84"/>
    <w:rsid w:val="00091FB7"/>
    <w:rsid w:val="00091FD1"/>
    <w:rsid w:val="00091FD6"/>
    <w:rsid w:val="0009201D"/>
    <w:rsid w:val="0009202F"/>
    <w:rsid w:val="00092075"/>
    <w:rsid w:val="000920F0"/>
    <w:rsid w:val="00092120"/>
    <w:rsid w:val="0009216C"/>
    <w:rsid w:val="000921A4"/>
    <w:rsid w:val="000922A4"/>
    <w:rsid w:val="00092314"/>
    <w:rsid w:val="00092330"/>
    <w:rsid w:val="0009234B"/>
    <w:rsid w:val="00092376"/>
    <w:rsid w:val="00092388"/>
    <w:rsid w:val="00092390"/>
    <w:rsid w:val="0009241B"/>
    <w:rsid w:val="0009247E"/>
    <w:rsid w:val="000924AD"/>
    <w:rsid w:val="00092549"/>
    <w:rsid w:val="000925BE"/>
    <w:rsid w:val="0009266E"/>
    <w:rsid w:val="000926B7"/>
    <w:rsid w:val="00092864"/>
    <w:rsid w:val="00092875"/>
    <w:rsid w:val="0009288F"/>
    <w:rsid w:val="000928D3"/>
    <w:rsid w:val="000928FB"/>
    <w:rsid w:val="0009297F"/>
    <w:rsid w:val="00092AC4"/>
    <w:rsid w:val="00092B4A"/>
    <w:rsid w:val="00092B8E"/>
    <w:rsid w:val="00092C39"/>
    <w:rsid w:val="00092C7E"/>
    <w:rsid w:val="00092CB5"/>
    <w:rsid w:val="00092CE7"/>
    <w:rsid w:val="00092D07"/>
    <w:rsid w:val="00092DBB"/>
    <w:rsid w:val="00092E0A"/>
    <w:rsid w:val="00092E45"/>
    <w:rsid w:val="00092E46"/>
    <w:rsid w:val="00092E7B"/>
    <w:rsid w:val="00092ECC"/>
    <w:rsid w:val="00092ED1"/>
    <w:rsid w:val="00092F37"/>
    <w:rsid w:val="00092F4D"/>
    <w:rsid w:val="00092F85"/>
    <w:rsid w:val="00093028"/>
    <w:rsid w:val="00093030"/>
    <w:rsid w:val="00093197"/>
    <w:rsid w:val="000931A3"/>
    <w:rsid w:val="000931C3"/>
    <w:rsid w:val="00093303"/>
    <w:rsid w:val="0009331A"/>
    <w:rsid w:val="0009336A"/>
    <w:rsid w:val="00093436"/>
    <w:rsid w:val="00093438"/>
    <w:rsid w:val="0009347B"/>
    <w:rsid w:val="00093531"/>
    <w:rsid w:val="0009357B"/>
    <w:rsid w:val="00093584"/>
    <w:rsid w:val="000935E6"/>
    <w:rsid w:val="000935FA"/>
    <w:rsid w:val="00093680"/>
    <w:rsid w:val="000936A1"/>
    <w:rsid w:val="000936D5"/>
    <w:rsid w:val="00093723"/>
    <w:rsid w:val="00093794"/>
    <w:rsid w:val="00093877"/>
    <w:rsid w:val="0009388B"/>
    <w:rsid w:val="000938E9"/>
    <w:rsid w:val="00093929"/>
    <w:rsid w:val="00093985"/>
    <w:rsid w:val="00093AB4"/>
    <w:rsid w:val="00093BA7"/>
    <w:rsid w:val="00093BFA"/>
    <w:rsid w:val="00093C2D"/>
    <w:rsid w:val="00093C37"/>
    <w:rsid w:val="00093C64"/>
    <w:rsid w:val="00093CC8"/>
    <w:rsid w:val="00093CCC"/>
    <w:rsid w:val="00093CEB"/>
    <w:rsid w:val="00093E64"/>
    <w:rsid w:val="00093E9F"/>
    <w:rsid w:val="00093ECE"/>
    <w:rsid w:val="00094029"/>
    <w:rsid w:val="00094038"/>
    <w:rsid w:val="00094045"/>
    <w:rsid w:val="00094049"/>
    <w:rsid w:val="000940A5"/>
    <w:rsid w:val="000941A0"/>
    <w:rsid w:val="0009421D"/>
    <w:rsid w:val="00094251"/>
    <w:rsid w:val="000942C7"/>
    <w:rsid w:val="0009437A"/>
    <w:rsid w:val="00094397"/>
    <w:rsid w:val="000943A5"/>
    <w:rsid w:val="000943F3"/>
    <w:rsid w:val="000943F4"/>
    <w:rsid w:val="00094474"/>
    <w:rsid w:val="000944CD"/>
    <w:rsid w:val="00094566"/>
    <w:rsid w:val="0009458B"/>
    <w:rsid w:val="000945C9"/>
    <w:rsid w:val="000945F8"/>
    <w:rsid w:val="000945FC"/>
    <w:rsid w:val="0009460C"/>
    <w:rsid w:val="000946AA"/>
    <w:rsid w:val="00094857"/>
    <w:rsid w:val="00094860"/>
    <w:rsid w:val="000948D8"/>
    <w:rsid w:val="000948E4"/>
    <w:rsid w:val="000948F1"/>
    <w:rsid w:val="000948FD"/>
    <w:rsid w:val="00094973"/>
    <w:rsid w:val="00094A32"/>
    <w:rsid w:val="00094AD4"/>
    <w:rsid w:val="00094B46"/>
    <w:rsid w:val="00094C63"/>
    <w:rsid w:val="00094CE7"/>
    <w:rsid w:val="00094CEA"/>
    <w:rsid w:val="00094D40"/>
    <w:rsid w:val="00094D68"/>
    <w:rsid w:val="00094DA0"/>
    <w:rsid w:val="00094DAA"/>
    <w:rsid w:val="00094DEB"/>
    <w:rsid w:val="00094DFD"/>
    <w:rsid w:val="00094E7C"/>
    <w:rsid w:val="00094E84"/>
    <w:rsid w:val="00094F55"/>
    <w:rsid w:val="00094F76"/>
    <w:rsid w:val="00094FF3"/>
    <w:rsid w:val="00095075"/>
    <w:rsid w:val="000950A9"/>
    <w:rsid w:val="000950F7"/>
    <w:rsid w:val="00095114"/>
    <w:rsid w:val="000951B3"/>
    <w:rsid w:val="000951B6"/>
    <w:rsid w:val="000951B8"/>
    <w:rsid w:val="000951DC"/>
    <w:rsid w:val="0009520D"/>
    <w:rsid w:val="0009530B"/>
    <w:rsid w:val="00095387"/>
    <w:rsid w:val="000953B4"/>
    <w:rsid w:val="000953DF"/>
    <w:rsid w:val="0009540A"/>
    <w:rsid w:val="000954EB"/>
    <w:rsid w:val="000954EF"/>
    <w:rsid w:val="00095502"/>
    <w:rsid w:val="00095555"/>
    <w:rsid w:val="0009565F"/>
    <w:rsid w:val="000956C6"/>
    <w:rsid w:val="0009580B"/>
    <w:rsid w:val="0009580F"/>
    <w:rsid w:val="00095839"/>
    <w:rsid w:val="0009584B"/>
    <w:rsid w:val="00095881"/>
    <w:rsid w:val="000958BA"/>
    <w:rsid w:val="000958C7"/>
    <w:rsid w:val="00095901"/>
    <w:rsid w:val="00095916"/>
    <w:rsid w:val="00095964"/>
    <w:rsid w:val="0009597A"/>
    <w:rsid w:val="000959A5"/>
    <w:rsid w:val="000959C3"/>
    <w:rsid w:val="00095A0D"/>
    <w:rsid w:val="00095A3E"/>
    <w:rsid w:val="00095A7E"/>
    <w:rsid w:val="00095ADF"/>
    <w:rsid w:val="00095B4A"/>
    <w:rsid w:val="00095BDA"/>
    <w:rsid w:val="00095C39"/>
    <w:rsid w:val="00095CBC"/>
    <w:rsid w:val="00095CDE"/>
    <w:rsid w:val="00095D15"/>
    <w:rsid w:val="00095D67"/>
    <w:rsid w:val="00095DC2"/>
    <w:rsid w:val="00095F0E"/>
    <w:rsid w:val="00095F14"/>
    <w:rsid w:val="00095F61"/>
    <w:rsid w:val="00095FB0"/>
    <w:rsid w:val="00096077"/>
    <w:rsid w:val="000960D5"/>
    <w:rsid w:val="00096111"/>
    <w:rsid w:val="000961E2"/>
    <w:rsid w:val="000961E9"/>
    <w:rsid w:val="00096200"/>
    <w:rsid w:val="00096225"/>
    <w:rsid w:val="0009633B"/>
    <w:rsid w:val="0009638A"/>
    <w:rsid w:val="000963DA"/>
    <w:rsid w:val="000963F4"/>
    <w:rsid w:val="00096412"/>
    <w:rsid w:val="0009648C"/>
    <w:rsid w:val="000964B5"/>
    <w:rsid w:val="00096505"/>
    <w:rsid w:val="0009652C"/>
    <w:rsid w:val="00096584"/>
    <w:rsid w:val="000965B3"/>
    <w:rsid w:val="000965C6"/>
    <w:rsid w:val="00096698"/>
    <w:rsid w:val="000966C2"/>
    <w:rsid w:val="000966EE"/>
    <w:rsid w:val="00096742"/>
    <w:rsid w:val="000967A1"/>
    <w:rsid w:val="0009684A"/>
    <w:rsid w:val="00096877"/>
    <w:rsid w:val="00096902"/>
    <w:rsid w:val="0009697B"/>
    <w:rsid w:val="000969CD"/>
    <w:rsid w:val="00096AEA"/>
    <w:rsid w:val="00096B5C"/>
    <w:rsid w:val="00096C22"/>
    <w:rsid w:val="00096C3B"/>
    <w:rsid w:val="00096C41"/>
    <w:rsid w:val="00096D12"/>
    <w:rsid w:val="00096D2F"/>
    <w:rsid w:val="00096E15"/>
    <w:rsid w:val="00096E1B"/>
    <w:rsid w:val="00096E34"/>
    <w:rsid w:val="00096E51"/>
    <w:rsid w:val="00096E7F"/>
    <w:rsid w:val="00096F67"/>
    <w:rsid w:val="00096FB0"/>
    <w:rsid w:val="00097048"/>
    <w:rsid w:val="00097056"/>
    <w:rsid w:val="000970E8"/>
    <w:rsid w:val="000970E9"/>
    <w:rsid w:val="00097129"/>
    <w:rsid w:val="0009713A"/>
    <w:rsid w:val="0009716D"/>
    <w:rsid w:val="0009719A"/>
    <w:rsid w:val="000971B3"/>
    <w:rsid w:val="0009720C"/>
    <w:rsid w:val="0009720E"/>
    <w:rsid w:val="00097225"/>
    <w:rsid w:val="00097256"/>
    <w:rsid w:val="000972AD"/>
    <w:rsid w:val="000972D6"/>
    <w:rsid w:val="000972FB"/>
    <w:rsid w:val="00097308"/>
    <w:rsid w:val="00097395"/>
    <w:rsid w:val="00097481"/>
    <w:rsid w:val="000974FD"/>
    <w:rsid w:val="00097546"/>
    <w:rsid w:val="000975A6"/>
    <w:rsid w:val="000975EB"/>
    <w:rsid w:val="00097621"/>
    <w:rsid w:val="00097626"/>
    <w:rsid w:val="00097743"/>
    <w:rsid w:val="00097747"/>
    <w:rsid w:val="00097818"/>
    <w:rsid w:val="0009793D"/>
    <w:rsid w:val="00097947"/>
    <w:rsid w:val="00097960"/>
    <w:rsid w:val="00097983"/>
    <w:rsid w:val="00097A0B"/>
    <w:rsid w:val="00097AB4"/>
    <w:rsid w:val="00097AC6"/>
    <w:rsid w:val="00097AF8"/>
    <w:rsid w:val="00097B41"/>
    <w:rsid w:val="00097B7A"/>
    <w:rsid w:val="00097BE9"/>
    <w:rsid w:val="00097C11"/>
    <w:rsid w:val="00097CE2"/>
    <w:rsid w:val="00097CE9"/>
    <w:rsid w:val="00097CEB"/>
    <w:rsid w:val="00097CF2"/>
    <w:rsid w:val="00097D06"/>
    <w:rsid w:val="00097D13"/>
    <w:rsid w:val="00097D94"/>
    <w:rsid w:val="00097E08"/>
    <w:rsid w:val="00097E0F"/>
    <w:rsid w:val="00097EB5"/>
    <w:rsid w:val="00097F66"/>
    <w:rsid w:val="00097F6A"/>
    <w:rsid w:val="00097FD5"/>
    <w:rsid w:val="00097FFD"/>
    <w:rsid w:val="000A0052"/>
    <w:rsid w:val="000A0085"/>
    <w:rsid w:val="000A00EC"/>
    <w:rsid w:val="000A014D"/>
    <w:rsid w:val="000A025F"/>
    <w:rsid w:val="000A026E"/>
    <w:rsid w:val="000A02AF"/>
    <w:rsid w:val="000A02BD"/>
    <w:rsid w:val="000A0377"/>
    <w:rsid w:val="000A037E"/>
    <w:rsid w:val="000A03AF"/>
    <w:rsid w:val="000A03E9"/>
    <w:rsid w:val="000A044B"/>
    <w:rsid w:val="000A045D"/>
    <w:rsid w:val="000A046B"/>
    <w:rsid w:val="000A0541"/>
    <w:rsid w:val="000A0572"/>
    <w:rsid w:val="000A059A"/>
    <w:rsid w:val="000A05B9"/>
    <w:rsid w:val="000A06A7"/>
    <w:rsid w:val="000A078F"/>
    <w:rsid w:val="000A07AA"/>
    <w:rsid w:val="000A07C5"/>
    <w:rsid w:val="000A0841"/>
    <w:rsid w:val="000A087D"/>
    <w:rsid w:val="000A09A4"/>
    <w:rsid w:val="000A09C2"/>
    <w:rsid w:val="000A09F6"/>
    <w:rsid w:val="000A09FE"/>
    <w:rsid w:val="000A0A82"/>
    <w:rsid w:val="000A0AED"/>
    <w:rsid w:val="000A0B0D"/>
    <w:rsid w:val="000A0BBB"/>
    <w:rsid w:val="000A0BE4"/>
    <w:rsid w:val="000A0C35"/>
    <w:rsid w:val="000A0D9F"/>
    <w:rsid w:val="000A0DBB"/>
    <w:rsid w:val="000A0E05"/>
    <w:rsid w:val="000A0E44"/>
    <w:rsid w:val="000A0E7A"/>
    <w:rsid w:val="000A0E9F"/>
    <w:rsid w:val="000A0FE8"/>
    <w:rsid w:val="000A1005"/>
    <w:rsid w:val="000A1045"/>
    <w:rsid w:val="000A10C9"/>
    <w:rsid w:val="000A10F0"/>
    <w:rsid w:val="000A10FC"/>
    <w:rsid w:val="000A111E"/>
    <w:rsid w:val="000A11CB"/>
    <w:rsid w:val="000A12AF"/>
    <w:rsid w:val="000A1306"/>
    <w:rsid w:val="000A1327"/>
    <w:rsid w:val="000A1345"/>
    <w:rsid w:val="000A1369"/>
    <w:rsid w:val="000A1377"/>
    <w:rsid w:val="000A13CC"/>
    <w:rsid w:val="000A13E4"/>
    <w:rsid w:val="000A1488"/>
    <w:rsid w:val="000A1586"/>
    <w:rsid w:val="000A15F1"/>
    <w:rsid w:val="000A163B"/>
    <w:rsid w:val="000A1685"/>
    <w:rsid w:val="000A1693"/>
    <w:rsid w:val="000A16D1"/>
    <w:rsid w:val="000A16E5"/>
    <w:rsid w:val="000A17A7"/>
    <w:rsid w:val="000A17D5"/>
    <w:rsid w:val="000A17E6"/>
    <w:rsid w:val="000A1821"/>
    <w:rsid w:val="000A18FE"/>
    <w:rsid w:val="000A191B"/>
    <w:rsid w:val="000A1923"/>
    <w:rsid w:val="000A194C"/>
    <w:rsid w:val="000A1986"/>
    <w:rsid w:val="000A19E3"/>
    <w:rsid w:val="000A19F1"/>
    <w:rsid w:val="000A19F3"/>
    <w:rsid w:val="000A1A87"/>
    <w:rsid w:val="000A1AC8"/>
    <w:rsid w:val="000A1AEF"/>
    <w:rsid w:val="000A1B17"/>
    <w:rsid w:val="000A1BC3"/>
    <w:rsid w:val="000A1BF9"/>
    <w:rsid w:val="000A1C64"/>
    <w:rsid w:val="000A1C72"/>
    <w:rsid w:val="000A1C7D"/>
    <w:rsid w:val="000A1DB0"/>
    <w:rsid w:val="000A1DF1"/>
    <w:rsid w:val="000A1E23"/>
    <w:rsid w:val="000A1EF1"/>
    <w:rsid w:val="000A1F05"/>
    <w:rsid w:val="000A2010"/>
    <w:rsid w:val="000A2146"/>
    <w:rsid w:val="000A2179"/>
    <w:rsid w:val="000A21B2"/>
    <w:rsid w:val="000A21BB"/>
    <w:rsid w:val="000A21BF"/>
    <w:rsid w:val="000A21E2"/>
    <w:rsid w:val="000A2200"/>
    <w:rsid w:val="000A2232"/>
    <w:rsid w:val="000A2233"/>
    <w:rsid w:val="000A225E"/>
    <w:rsid w:val="000A226D"/>
    <w:rsid w:val="000A22E9"/>
    <w:rsid w:val="000A22F1"/>
    <w:rsid w:val="000A230C"/>
    <w:rsid w:val="000A234C"/>
    <w:rsid w:val="000A23A7"/>
    <w:rsid w:val="000A24E7"/>
    <w:rsid w:val="000A2525"/>
    <w:rsid w:val="000A256C"/>
    <w:rsid w:val="000A258F"/>
    <w:rsid w:val="000A25D5"/>
    <w:rsid w:val="000A267F"/>
    <w:rsid w:val="000A26B6"/>
    <w:rsid w:val="000A2727"/>
    <w:rsid w:val="000A2755"/>
    <w:rsid w:val="000A27A2"/>
    <w:rsid w:val="000A27CB"/>
    <w:rsid w:val="000A27E9"/>
    <w:rsid w:val="000A282E"/>
    <w:rsid w:val="000A2871"/>
    <w:rsid w:val="000A289E"/>
    <w:rsid w:val="000A28A2"/>
    <w:rsid w:val="000A28E2"/>
    <w:rsid w:val="000A28F2"/>
    <w:rsid w:val="000A2914"/>
    <w:rsid w:val="000A292E"/>
    <w:rsid w:val="000A2950"/>
    <w:rsid w:val="000A2984"/>
    <w:rsid w:val="000A298F"/>
    <w:rsid w:val="000A2A35"/>
    <w:rsid w:val="000A2A39"/>
    <w:rsid w:val="000A2A5E"/>
    <w:rsid w:val="000A2A71"/>
    <w:rsid w:val="000A2AAC"/>
    <w:rsid w:val="000A2B86"/>
    <w:rsid w:val="000A2BCF"/>
    <w:rsid w:val="000A2BEB"/>
    <w:rsid w:val="000A2C2E"/>
    <w:rsid w:val="000A2C5B"/>
    <w:rsid w:val="000A2C6E"/>
    <w:rsid w:val="000A2CA0"/>
    <w:rsid w:val="000A2CB3"/>
    <w:rsid w:val="000A2CE2"/>
    <w:rsid w:val="000A2D15"/>
    <w:rsid w:val="000A2D1A"/>
    <w:rsid w:val="000A2D30"/>
    <w:rsid w:val="000A2D91"/>
    <w:rsid w:val="000A2DE9"/>
    <w:rsid w:val="000A2E02"/>
    <w:rsid w:val="000A2E15"/>
    <w:rsid w:val="000A2F0D"/>
    <w:rsid w:val="000A2F92"/>
    <w:rsid w:val="000A2FB6"/>
    <w:rsid w:val="000A3043"/>
    <w:rsid w:val="000A3097"/>
    <w:rsid w:val="000A3150"/>
    <w:rsid w:val="000A318C"/>
    <w:rsid w:val="000A3276"/>
    <w:rsid w:val="000A3278"/>
    <w:rsid w:val="000A328B"/>
    <w:rsid w:val="000A32F0"/>
    <w:rsid w:val="000A34C5"/>
    <w:rsid w:val="000A34ED"/>
    <w:rsid w:val="000A3505"/>
    <w:rsid w:val="000A3649"/>
    <w:rsid w:val="000A36B9"/>
    <w:rsid w:val="000A3713"/>
    <w:rsid w:val="000A375A"/>
    <w:rsid w:val="000A376C"/>
    <w:rsid w:val="000A3799"/>
    <w:rsid w:val="000A383C"/>
    <w:rsid w:val="000A38B3"/>
    <w:rsid w:val="000A38C9"/>
    <w:rsid w:val="000A38CE"/>
    <w:rsid w:val="000A3967"/>
    <w:rsid w:val="000A396F"/>
    <w:rsid w:val="000A39C0"/>
    <w:rsid w:val="000A39E2"/>
    <w:rsid w:val="000A3A00"/>
    <w:rsid w:val="000A3A6E"/>
    <w:rsid w:val="000A3A98"/>
    <w:rsid w:val="000A3AC0"/>
    <w:rsid w:val="000A3AD1"/>
    <w:rsid w:val="000A3B5A"/>
    <w:rsid w:val="000A3B95"/>
    <w:rsid w:val="000A3BC5"/>
    <w:rsid w:val="000A3C35"/>
    <w:rsid w:val="000A3C6A"/>
    <w:rsid w:val="000A3C74"/>
    <w:rsid w:val="000A3CB0"/>
    <w:rsid w:val="000A3D18"/>
    <w:rsid w:val="000A3E38"/>
    <w:rsid w:val="000A3E4F"/>
    <w:rsid w:val="000A3E57"/>
    <w:rsid w:val="000A3EA5"/>
    <w:rsid w:val="000A3F12"/>
    <w:rsid w:val="000A3F30"/>
    <w:rsid w:val="000A3F77"/>
    <w:rsid w:val="000A4032"/>
    <w:rsid w:val="000A409B"/>
    <w:rsid w:val="000A40B4"/>
    <w:rsid w:val="000A40B8"/>
    <w:rsid w:val="000A40E0"/>
    <w:rsid w:val="000A40EF"/>
    <w:rsid w:val="000A4115"/>
    <w:rsid w:val="000A41A9"/>
    <w:rsid w:val="000A41B7"/>
    <w:rsid w:val="000A420C"/>
    <w:rsid w:val="000A4268"/>
    <w:rsid w:val="000A42E0"/>
    <w:rsid w:val="000A43CD"/>
    <w:rsid w:val="000A43DF"/>
    <w:rsid w:val="000A43E3"/>
    <w:rsid w:val="000A446E"/>
    <w:rsid w:val="000A4472"/>
    <w:rsid w:val="000A44E3"/>
    <w:rsid w:val="000A4546"/>
    <w:rsid w:val="000A457C"/>
    <w:rsid w:val="000A45DE"/>
    <w:rsid w:val="000A45DF"/>
    <w:rsid w:val="000A4632"/>
    <w:rsid w:val="000A46A0"/>
    <w:rsid w:val="000A46D5"/>
    <w:rsid w:val="000A47D2"/>
    <w:rsid w:val="000A488B"/>
    <w:rsid w:val="000A48A1"/>
    <w:rsid w:val="000A498E"/>
    <w:rsid w:val="000A4A13"/>
    <w:rsid w:val="000A4AE2"/>
    <w:rsid w:val="000A4B8A"/>
    <w:rsid w:val="000A4C44"/>
    <w:rsid w:val="000A4CFE"/>
    <w:rsid w:val="000A4D61"/>
    <w:rsid w:val="000A4DBF"/>
    <w:rsid w:val="000A4F02"/>
    <w:rsid w:val="000A4F68"/>
    <w:rsid w:val="000A4F6F"/>
    <w:rsid w:val="000A4F94"/>
    <w:rsid w:val="000A4FED"/>
    <w:rsid w:val="000A5018"/>
    <w:rsid w:val="000A504B"/>
    <w:rsid w:val="000A5054"/>
    <w:rsid w:val="000A506D"/>
    <w:rsid w:val="000A5081"/>
    <w:rsid w:val="000A517A"/>
    <w:rsid w:val="000A51DF"/>
    <w:rsid w:val="000A51F8"/>
    <w:rsid w:val="000A5235"/>
    <w:rsid w:val="000A523A"/>
    <w:rsid w:val="000A5281"/>
    <w:rsid w:val="000A52B2"/>
    <w:rsid w:val="000A52CE"/>
    <w:rsid w:val="000A5390"/>
    <w:rsid w:val="000A53B1"/>
    <w:rsid w:val="000A54D9"/>
    <w:rsid w:val="000A54F1"/>
    <w:rsid w:val="000A54F4"/>
    <w:rsid w:val="000A5549"/>
    <w:rsid w:val="000A569F"/>
    <w:rsid w:val="000A56DC"/>
    <w:rsid w:val="000A56F5"/>
    <w:rsid w:val="000A56FF"/>
    <w:rsid w:val="000A5707"/>
    <w:rsid w:val="000A571D"/>
    <w:rsid w:val="000A576A"/>
    <w:rsid w:val="000A57B9"/>
    <w:rsid w:val="000A57FC"/>
    <w:rsid w:val="000A5803"/>
    <w:rsid w:val="000A587B"/>
    <w:rsid w:val="000A58CA"/>
    <w:rsid w:val="000A594B"/>
    <w:rsid w:val="000A5987"/>
    <w:rsid w:val="000A59A3"/>
    <w:rsid w:val="000A5AE6"/>
    <w:rsid w:val="000A5B1B"/>
    <w:rsid w:val="000A5C02"/>
    <w:rsid w:val="000A5C1B"/>
    <w:rsid w:val="000A5C4E"/>
    <w:rsid w:val="000A5C56"/>
    <w:rsid w:val="000A5C94"/>
    <w:rsid w:val="000A5CD2"/>
    <w:rsid w:val="000A5D66"/>
    <w:rsid w:val="000A5DAE"/>
    <w:rsid w:val="000A5DD4"/>
    <w:rsid w:val="000A5E44"/>
    <w:rsid w:val="000A5F4C"/>
    <w:rsid w:val="000A5FCD"/>
    <w:rsid w:val="000A6075"/>
    <w:rsid w:val="000A60C8"/>
    <w:rsid w:val="000A6105"/>
    <w:rsid w:val="000A619B"/>
    <w:rsid w:val="000A61AA"/>
    <w:rsid w:val="000A61B1"/>
    <w:rsid w:val="000A6212"/>
    <w:rsid w:val="000A6271"/>
    <w:rsid w:val="000A6302"/>
    <w:rsid w:val="000A6316"/>
    <w:rsid w:val="000A63A0"/>
    <w:rsid w:val="000A64E0"/>
    <w:rsid w:val="000A653C"/>
    <w:rsid w:val="000A6596"/>
    <w:rsid w:val="000A6637"/>
    <w:rsid w:val="000A670C"/>
    <w:rsid w:val="000A6733"/>
    <w:rsid w:val="000A67B0"/>
    <w:rsid w:val="000A67FB"/>
    <w:rsid w:val="000A681F"/>
    <w:rsid w:val="000A6824"/>
    <w:rsid w:val="000A6831"/>
    <w:rsid w:val="000A68C4"/>
    <w:rsid w:val="000A6B21"/>
    <w:rsid w:val="000A6B49"/>
    <w:rsid w:val="000A6BC1"/>
    <w:rsid w:val="000A6BD7"/>
    <w:rsid w:val="000A6C13"/>
    <w:rsid w:val="000A6D06"/>
    <w:rsid w:val="000A6D40"/>
    <w:rsid w:val="000A6D5D"/>
    <w:rsid w:val="000A6D7C"/>
    <w:rsid w:val="000A6DB8"/>
    <w:rsid w:val="000A6DDB"/>
    <w:rsid w:val="000A6DFE"/>
    <w:rsid w:val="000A6E28"/>
    <w:rsid w:val="000A6E53"/>
    <w:rsid w:val="000A6E69"/>
    <w:rsid w:val="000A6E82"/>
    <w:rsid w:val="000A6E94"/>
    <w:rsid w:val="000A6E97"/>
    <w:rsid w:val="000A6EC5"/>
    <w:rsid w:val="000A6F0E"/>
    <w:rsid w:val="000A6F30"/>
    <w:rsid w:val="000A7030"/>
    <w:rsid w:val="000A7063"/>
    <w:rsid w:val="000A7065"/>
    <w:rsid w:val="000A706A"/>
    <w:rsid w:val="000A7088"/>
    <w:rsid w:val="000A711D"/>
    <w:rsid w:val="000A7145"/>
    <w:rsid w:val="000A714B"/>
    <w:rsid w:val="000A71A7"/>
    <w:rsid w:val="000A722F"/>
    <w:rsid w:val="000A723F"/>
    <w:rsid w:val="000A731E"/>
    <w:rsid w:val="000A733F"/>
    <w:rsid w:val="000A7344"/>
    <w:rsid w:val="000A738F"/>
    <w:rsid w:val="000A73DD"/>
    <w:rsid w:val="000A7478"/>
    <w:rsid w:val="000A74AD"/>
    <w:rsid w:val="000A74CD"/>
    <w:rsid w:val="000A74FC"/>
    <w:rsid w:val="000A750B"/>
    <w:rsid w:val="000A7515"/>
    <w:rsid w:val="000A75A5"/>
    <w:rsid w:val="000A7633"/>
    <w:rsid w:val="000A768D"/>
    <w:rsid w:val="000A7782"/>
    <w:rsid w:val="000A7817"/>
    <w:rsid w:val="000A7829"/>
    <w:rsid w:val="000A7903"/>
    <w:rsid w:val="000A7927"/>
    <w:rsid w:val="000A7979"/>
    <w:rsid w:val="000A798A"/>
    <w:rsid w:val="000A7991"/>
    <w:rsid w:val="000A79CA"/>
    <w:rsid w:val="000A79CD"/>
    <w:rsid w:val="000A7A0E"/>
    <w:rsid w:val="000A7A46"/>
    <w:rsid w:val="000A7A7D"/>
    <w:rsid w:val="000A7AB3"/>
    <w:rsid w:val="000A7AFE"/>
    <w:rsid w:val="000A7B2A"/>
    <w:rsid w:val="000A7B2F"/>
    <w:rsid w:val="000A7C33"/>
    <w:rsid w:val="000A7C8D"/>
    <w:rsid w:val="000A7D35"/>
    <w:rsid w:val="000A7D8E"/>
    <w:rsid w:val="000A7D97"/>
    <w:rsid w:val="000A7E93"/>
    <w:rsid w:val="000A7F22"/>
    <w:rsid w:val="000A7F86"/>
    <w:rsid w:val="000A7F93"/>
    <w:rsid w:val="000A7F98"/>
    <w:rsid w:val="000B0078"/>
    <w:rsid w:val="000B00E1"/>
    <w:rsid w:val="000B0170"/>
    <w:rsid w:val="000B0193"/>
    <w:rsid w:val="000B01D5"/>
    <w:rsid w:val="000B0233"/>
    <w:rsid w:val="000B030A"/>
    <w:rsid w:val="000B03A9"/>
    <w:rsid w:val="000B03B2"/>
    <w:rsid w:val="000B03D5"/>
    <w:rsid w:val="000B05B8"/>
    <w:rsid w:val="000B05F2"/>
    <w:rsid w:val="000B0611"/>
    <w:rsid w:val="000B06AA"/>
    <w:rsid w:val="000B06EE"/>
    <w:rsid w:val="000B070C"/>
    <w:rsid w:val="000B07C8"/>
    <w:rsid w:val="000B0851"/>
    <w:rsid w:val="000B08BC"/>
    <w:rsid w:val="000B08D3"/>
    <w:rsid w:val="000B0A02"/>
    <w:rsid w:val="000B0A07"/>
    <w:rsid w:val="000B0A27"/>
    <w:rsid w:val="000B0A94"/>
    <w:rsid w:val="000B0AA8"/>
    <w:rsid w:val="000B0B8D"/>
    <w:rsid w:val="000B0B95"/>
    <w:rsid w:val="000B0B9C"/>
    <w:rsid w:val="000B0C31"/>
    <w:rsid w:val="000B0C41"/>
    <w:rsid w:val="000B0CDE"/>
    <w:rsid w:val="000B0D2A"/>
    <w:rsid w:val="000B0D6D"/>
    <w:rsid w:val="000B0D7A"/>
    <w:rsid w:val="000B0E3C"/>
    <w:rsid w:val="000B0E42"/>
    <w:rsid w:val="000B0E5B"/>
    <w:rsid w:val="000B0E5E"/>
    <w:rsid w:val="000B0E89"/>
    <w:rsid w:val="000B0F36"/>
    <w:rsid w:val="000B0F3E"/>
    <w:rsid w:val="000B0F5A"/>
    <w:rsid w:val="000B0FEF"/>
    <w:rsid w:val="000B102E"/>
    <w:rsid w:val="000B103E"/>
    <w:rsid w:val="000B10CF"/>
    <w:rsid w:val="000B10E9"/>
    <w:rsid w:val="000B1133"/>
    <w:rsid w:val="000B1146"/>
    <w:rsid w:val="000B1175"/>
    <w:rsid w:val="000B1182"/>
    <w:rsid w:val="000B1188"/>
    <w:rsid w:val="000B11D0"/>
    <w:rsid w:val="000B121E"/>
    <w:rsid w:val="000B1294"/>
    <w:rsid w:val="000B12ED"/>
    <w:rsid w:val="000B131A"/>
    <w:rsid w:val="000B132D"/>
    <w:rsid w:val="000B13BB"/>
    <w:rsid w:val="000B13F3"/>
    <w:rsid w:val="000B1421"/>
    <w:rsid w:val="000B14AE"/>
    <w:rsid w:val="000B1540"/>
    <w:rsid w:val="000B1567"/>
    <w:rsid w:val="000B1576"/>
    <w:rsid w:val="000B15B4"/>
    <w:rsid w:val="000B1600"/>
    <w:rsid w:val="000B16B8"/>
    <w:rsid w:val="000B1769"/>
    <w:rsid w:val="000B17CF"/>
    <w:rsid w:val="000B17D0"/>
    <w:rsid w:val="000B1804"/>
    <w:rsid w:val="000B1831"/>
    <w:rsid w:val="000B1846"/>
    <w:rsid w:val="000B18A3"/>
    <w:rsid w:val="000B1927"/>
    <w:rsid w:val="000B1947"/>
    <w:rsid w:val="000B1959"/>
    <w:rsid w:val="000B195F"/>
    <w:rsid w:val="000B1974"/>
    <w:rsid w:val="000B1990"/>
    <w:rsid w:val="000B19DD"/>
    <w:rsid w:val="000B1AAF"/>
    <w:rsid w:val="000B1B3D"/>
    <w:rsid w:val="000B1B97"/>
    <w:rsid w:val="000B1BE2"/>
    <w:rsid w:val="000B1C16"/>
    <w:rsid w:val="000B1C1B"/>
    <w:rsid w:val="000B1C4F"/>
    <w:rsid w:val="000B1C61"/>
    <w:rsid w:val="000B1CD5"/>
    <w:rsid w:val="000B1D33"/>
    <w:rsid w:val="000B1D62"/>
    <w:rsid w:val="000B1DA8"/>
    <w:rsid w:val="000B1DA9"/>
    <w:rsid w:val="000B1DBA"/>
    <w:rsid w:val="000B1DC1"/>
    <w:rsid w:val="000B1DD5"/>
    <w:rsid w:val="000B1DE5"/>
    <w:rsid w:val="000B1E34"/>
    <w:rsid w:val="000B1E62"/>
    <w:rsid w:val="000B1EC9"/>
    <w:rsid w:val="000B1FCD"/>
    <w:rsid w:val="000B202E"/>
    <w:rsid w:val="000B2031"/>
    <w:rsid w:val="000B209E"/>
    <w:rsid w:val="000B20DC"/>
    <w:rsid w:val="000B20FA"/>
    <w:rsid w:val="000B2107"/>
    <w:rsid w:val="000B2162"/>
    <w:rsid w:val="000B218B"/>
    <w:rsid w:val="000B2190"/>
    <w:rsid w:val="000B21C9"/>
    <w:rsid w:val="000B2205"/>
    <w:rsid w:val="000B234E"/>
    <w:rsid w:val="000B2358"/>
    <w:rsid w:val="000B23F5"/>
    <w:rsid w:val="000B2499"/>
    <w:rsid w:val="000B24DF"/>
    <w:rsid w:val="000B24FC"/>
    <w:rsid w:val="000B250C"/>
    <w:rsid w:val="000B2511"/>
    <w:rsid w:val="000B25D6"/>
    <w:rsid w:val="000B25E1"/>
    <w:rsid w:val="000B2627"/>
    <w:rsid w:val="000B2635"/>
    <w:rsid w:val="000B26C6"/>
    <w:rsid w:val="000B26EE"/>
    <w:rsid w:val="000B2712"/>
    <w:rsid w:val="000B2763"/>
    <w:rsid w:val="000B2779"/>
    <w:rsid w:val="000B27EC"/>
    <w:rsid w:val="000B2858"/>
    <w:rsid w:val="000B2871"/>
    <w:rsid w:val="000B28A1"/>
    <w:rsid w:val="000B28CD"/>
    <w:rsid w:val="000B28DF"/>
    <w:rsid w:val="000B2970"/>
    <w:rsid w:val="000B29A6"/>
    <w:rsid w:val="000B29CD"/>
    <w:rsid w:val="000B2A74"/>
    <w:rsid w:val="000B2AA9"/>
    <w:rsid w:val="000B2ABB"/>
    <w:rsid w:val="000B2AE7"/>
    <w:rsid w:val="000B2BBA"/>
    <w:rsid w:val="000B2BC5"/>
    <w:rsid w:val="000B2CEC"/>
    <w:rsid w:val="000B2D40"/>
    <w:rsid w:val="000B2D46"/>
    <w:rsid w:val="000B2DB9"/>
    <w:rsid w:val="000B2E67"/>
    <w:rsid w:val="000B2E99"/>
    <w:rsid w:val="000B2F35"/>
    <w:rsid w:val="000B2F44"/>
    <w:rsid w:val="000B2F94"/>
    <w:rsid w:val="000B2FC9"/>
    <w:rsid w:val="000B2FD8"/>
    <w:rsid w:val="000B303B"/>
    <w:rsid w:val="000B30A1"/>
    <w:rsid w:val="000B30D3"/>
    <w:rsid w:val="000B30E7"/>
    <w:rsid w:val="000B311C"/>
    <w:rsid w:val="000B317E"/>
    <w:rsid w:val="000B320D"/>
    <w:rsid w:val="000B3240"/>
    <w:rsid w:val="000B3306"/>
    <w:rsid w:val="000B3343"/>
    <w:rsid w:val="000B339B"/>
    <w:rsid w:val="000B33D7"/>
    <w:rsid w:val="000B343B"/>
    <w:rsid w:val="000B34C6"/>
    <w:rsid w:val="000B3504"/>
    <w:rsid w:val="000B351B"/>
    <w:rsid w:val="000B3586"/>
    <w:rsid w:val="000B35BD"/>
    <w:rsid w:val="000B35C8"/>
    <w:rsid w:val="000B36B7"/>
    <w:rsid w:val="000B373E"/>
    <w:rsid w:val="000B37A5"/>
    <w:rsid w:val="000B3812"/>
    <w:rsid w:val="000B3837"/>
    <w:rsid w:val="000B38BB"/>
    <w:rsid w:val="000B3926"/>
    <w:rsid w:val="000B3A40"/>
    <w:rsid w:val="000B3A48"/>
    <w:rsid w:val="000B3A57"/>
    <w:rsid w:val="000B3B17"/>
    <w:rsid w:val="000B3B31"/>
    <w:rsid w:val="000B3C7F"/>
    <w:rsid w:val="000B3CE8"/>
    <w:rsid w:val="000B3D41"/>
    <w:rsid w:val="000B3D6B"/>
    <w:rsid w:val="000B3D9F"/>
    <w:rsid w:val="000B3DFF"/>
    <w:rsid w:val="000B3E47"/>
    <w:rsid w:val="000B3E52"/>
    <w:rsid w:val="000B3ED4"/>
    <w:rsid w:val="000B3F2A"/>
    <w:rsid w:val="000B3FAF"/>
    <w:rsid w:val="000B3FB4"/>
    <w:rsid w:val="000B3FCB"/>
    <w:rsid w:val="000B3FDA"/>
    <w:rsid w:val="000B4027"/>
    <w:rsid w:val="000B404E"/>
    <w:rsid w:val="000B420C"/>
    <w:rsid w:val="000B4250"/>
    <w:rsid w:val="000B4280"/>
    <w:rsid w:val="000B42A9"/>
    <w:rsid w:val="000B42E9"/>
    <w:rsid w:val="000B4406"/>
    <w:rsid w:val="000B445B"/>
    <w:rsid w:val="000B44D7"/>
    <w:rsid w:val="000B452E"/>
    <w:rsid w:val="000B46FC"/>
    <w:rsid w:val="000B4715"/>
    <w:rsid w:val="000B4782"/>
    <w:rsid w:val="000B4878"/>
    <w:rsid w:val="000B48B3"/>
    <w:rsid w:val="000B48C3"/>
    <w:rsid w:val="000B48EA"/>
    <w:rsid w:val="000B4918"/>
    <w:rsid w:val="000B4922"/>
    <w:rsid w:val="000B4987"/>
    <w:rsid w:val="000B49D7"/>
    <w:rsid w:val="000B4A05"/>
    <w:rsid w:val="000B4A08"/>
    <w:rsid w:val="000B4A43"/>
    <w:rsid w:val="000B4AF2"/>
    <w:rsid w:val="000B4BAC"/>
    <w:rsid w:val="000B4BB3"/>
    <w:rsid w:val="000B4C20"/>
    <w:rsid w:val="000B4D4C"/>
    <w:rsid w:val="000B4DCE"/>
    <w:rsid w:val="000B4DD5"/>
    <w:rsid w:val="000B4F1E"/>
    <w:rsid w:val="000B4FE9"/>
    <w:rsid w:val="000B504B"/>
    <w:rsid w:val="000B506F"/>
    <w:rsid w:val="000B5197"/>
    <w:rsid w:val="000B51F1"/>
    <w:rsid w:val="000B5206"/>
    <w:rsid w:val="000B527B"/>
    <w:rsid w:val="000B52A5"/>
    <w:rsid w:val="000B52B1"/>
    <w:rsid w:val="000B5373"/>
    <w:rsid w:val="000B53D2"/>
    <w:rsid w:val="000B547F"/>
    <w:rsid w:val="000B54A5"/>
    <w:rsid w:val="000B54C2"/>
    <w:rsid w:val="000B5540"/>
    <w:rsid w:val="000B5605"/>
    <w:rsid w:val="000B5625"/>
    <w:rsid w:val="000B5650"/>
    <w:rsid w:val="000B5693"/>
    <w:rsid w:val="000B569F"/>
    <w:rsid w:val="000B56D1"/>
    <w:rsid w:val="000B575B"/>
    <w:rsid w:val="000B5761"/>
    <w:rsid w:val="000B577C"/>
    <w:rsid w:val="000B5786"/>
    <w:rsid w:val="000B57A1"/>
    <w:rsid w:val="000B57F2"/>
    <w:rsid w:val="000B58BC"/>
    <w:rsid w:val="000B58BD"/>
    <w:rsid w:val="000B5913"/>
    <w:rsid w:val="000B591E"/>
    <w:rsid w:val="000B5923"/>
    <w:rsid w:val="000B5956"/>
    <w:rsid w:val="000B5971"/>
    <w:rsid w:val="000B59BA"/>
    <w:rsid w:val="000B5A20"/>
    <w:rsid w:val="000B5A41"/>
    <w:rsid w:val="000B5A67"/>
    <w:rsid w:val="000B5A69"/>
    <w:rsid w:val="000B5AD5"/>
    <w:rsid w:val="000B5B57"/>
    <w:rsid w:val="000B5B79"/>
    <w:rsid w:val="000B5BD0"/>
    <w:rsid w:val="000B5C11"/>
    <w:rsid w:val="000B5D49"/>
    <w:rsid w:val="000B5D6E"/>
    <w:rsid w:val="000B5DBB"/>
    <w:rsid w:val="000B5DFA"/>
    <w:rsid w:val="000B5DFF"/>
    <w:rsid w:val="000B5E3B"/>
    <w:rsid w:val="000B5E78"/>
    <w:rsid w:val="000B5ED0"/>
    <w:rsid w:val="000B5F29"/>
    <w:rsid w:val="000B5F30"/>
    <w:rsid w:val="000B605A"/>
    <w:rsid w:val="000B61AE"/>
    <w:rsid w:val="000B61F7"/>
    <w:rsid w:val="000B61FA"/>
    <w:rsid w:val="000B61FB"/>
    <w:rsid w:val="000B627F"/>
    <w:rsid w:val="000B639E"/>
    <w:rsid w:val="000B63E9"/>
    <w:rsid w:val="000B645A"/>
    <w:rsid w:val="000B64ED"/>
    <w:rsid w:val="000B64FE"/>
    <w:rsid w:val="000B651A"/>
    <w:rsid w:val="000B6597"/>
    <w:rsid w:val="000B65A3"/>
    <w:rsid w:val="000B6653"/>
    <w:rsid w:val="000B6749"/>
    <w:rsid w:val="000B6773"/>
    <w:rsid w:val="000B679E"/>
    <w:rsid w:val="000B67C5"/>
    <w:rsid w:val="000B6874"/>
    <w:rsid w:val="000B6878"/>
    <w:rsid w:val="000B68CD"/>
    <w:rsid w:val="000B6950"/>
    <w:rsid w:val="000B6A2D"/>
    <w:rsid w:val="000B6A4C"/>
    <w:rsid w:val="000B6B81"/>
    <w:rsid w:val="000B6B8F"/>
    <w:rsid w:val="000B6B9A"/>
    <w:rsid w:val="000B6CAE"/>
    <w:rsid w:val="000B6D86"/>
    <w:rsid w:val="000B6D96"/>
    <w:rsid w:val="000B6DB6"/>
    <w:rsid w:val="000B6DD4"/>
    <w:rsid w:val="000B6EC7"/>
    <w:rsid w:val="000B6EDE"/>
    <w:rsid w:val="000B6F28"/>
    <w:rsid w:val="000B6F46"/>
    <w:rsid w:val="000B6F5F"/>
    <w:rsid w:val="000B6FB0"/>
    <w:rsid w:val="000B6FD2"/>
    <w:rsid w:val="000B6FE0"/>
    <w:rsid w:val="000B6FFA"/>
    <w:rsid w:val="000B7016"/>
    <w:rsid w:val="000B7032"/>
    <w:rsid w:val="000B70AE"/>
    <w:rsid w:val="000B70C1"/>
    <w:rsid w:val="000B70E4"/>
    <w:rsid w:val="000B712C"/>
    <w:rsid w:val="000B71D8"/>
    <w:rsid w:val="000B7201"/>
    <w:rsid w:val="000B7228"/>
    <w:rsid w:val="000B72D3"/>
    <w:rsid w:val="000B741C"/>
    <w:rsid w:val="000B7453"/>
    <w:rsid w:val="000B745A"/>
    <w:rsid w:val="000B74BA"/>
    <w:rsid w:val="000B75B7"/>
    <w:rsid w:val="000B766E"/>
    <w:rsid w:val="000B76E6"/>
    <w:rsid w:val="000B7721"/>
    <w:rsid w:val="000B7773"/>
    <w:rsid w:val="000B7818"/>
    <w:rsid w:val="000B784D"/>
    <w:rsid w:val="000B78F1"/>
    <w:rsid w:val="000B7AEB"/>
    <w:rsid w:val="000B7BBB"/>
    <w:rsid w:val="000B7BC0"/>
    <w:rsid w:val="000B7BCD"/>
    <w:rsid w:val="000B7C01"/>
    <w:rsid w:val="000B7C1A"/>
    <w:rsid w:val="000B7CDC"/>
    <w:rsid w:val="000B7D59"/>
    <w:rsid w:val="000B7D62"/>
    <w:rsid w:val="000B7E4E"/>
    <w:rsid w:val="000B7E5C"/>
    <w:rsid w:val="000B7E62"/>
    <w:rsid w:val="000B7E85"/>
    <w:rsid w:val="000B7EA8"/>
    <w:rsid w:val="000B7F12"/>
    <w:rsid w:val="000B7F4F"/>
    <w:rsid w:val="000B7F7A"/>
    <w:rsid w:val="000B7F8F"/>
    <w:rsid w:val="000C00DE"/>
    <w:rsid w:val="000C01C8"/>
    <w:rsid w:val="000C021E"/>
    <w:rsid w:val="000C0242"/>
    <w:rsid w:val="000C02B4"/>
    <w:rsid w:val="000C0302"/>
    <w:rsid w:val="000C038C"/>
    <w:rsid w:val="000C03AD"/>
    <w:rsid w:val="000C03D9"/>
    <w:rsid w:val="000C0437"/>
    <w:rsid w:val="000C0486"/>
    <w:rsid w:val="000C048E"/>
    <w:rsid w:val="000C049C"/>
    <w:rsid w:val="000C04BB"/>
    <w:rsid w:val="000C04CC"/>
    <w:rsid w:val="000C04E8"/>
    <w:rsid w:val="000C050C"/>
    <w:rsid w:val="000C05F3"/>
    <w:rsid w:val="000C0669"/>
    <w:rsid w:val="000C0698"/>
    <w:rsid w:val="000C06C8"/>
    <w:rsid w:val="000C06DE"/>
    <w:rsid w:val="000C072C"/>
    <w:rsid w:val="000C07AE"/>
    <w:rsid w:val="000C07CC"/>
    <w:rsid w:val="000C0902"/>
    <w:rsid w:val="000C094E"/>
    <w:rsid w:val="000C09F1"/>
    <w:rsid w:val="000C0A17"/>
    <w:rsid w:val="000C0A2A"/>
    <w:rsid w:val="000C0A7C"/>
    <w:rsid w:val="000C0A86"/>
    <w:rsid w:val="000C0AD1"/>
    <w:rsid w:val="000C0AE8"/>
    <w:rsid w:val="000C0B7F"/>
    <w:rsid w:val="000C0C47"/>
    <w:rsid w:val="000C0CAC"/>
    <w:rsid w:val="000C0CFC"/>
    <w:rsid w:val="000C0D02"/>
    <w:rsid w:val="000C0D59"/>
    <w:rsid w:val="000C0DA8"/>
    <w:rsid w:val="000C0DD5"/>
    <w:rsid w:val="000C0F12"/>
    <w:rsid w:val="000C0F50"/>
    <w:rsid w:val="000C0FEB"/>
    <w:rsid w:val="000C1021"/>
    <w:rsid w:val="000C1113"/>
    <w:rsid w:val="000C1135"/>
    <w:rsid w:val="000C1155"/>
    <w:rsid w:val="000C11E5"/>
    <w:rsid w:val="000C11EF"/>
    <w:rsid w:val="000C121A"/>
    <w:rsid w:val="000C1237"/>
    <w:rsid w:val="000C12C4"/>
    <w:rsid w:val="000C1351"/>
    <w:rsid w:val="000C135D"/>
    <w:rsid w:val="000C13AC"/>
    <w:rsid w:val="000C1415"/>
    <w:rsid w:val="000C1448"/>
    <w:rsid w:val="000C1462"/>
    <w:rsid w:val="000C149B"/>
    <w:rsid w:val="000C158F"/>
    <w:rsid w:val="000C1623"/>
    <w:rsid w:val="000C1710"/>
    <w:rsid w:val="000C1781"/>
    <w:rsid w:val="000C17D9"/>
    <w:rsid w:val="000C17F5"/>
    <w:rsid w:val="000C181B"/>
    <w:rsid w:val="000C185D"/>
    <w:rsid w:val="000C188F"/>
    <w:rsid w:val="000C190C"/>
    <w:rsid w:val="000C1978"/>
    <w:rsid w:val="000C19BE"/>
    <w:rsid w:val="000C19FD"/>
    <w:rsid w:val="000C1B0B"/>
    <w:rsid w:val="000C1B73"/>
    <w:rsid w:val="000C1C6E"/>
    <w:rsid w:val="000C1C6F"/>
    <w:rsid w:val="000C1CE3"/>
    <w:rsid w:val="000C1D6D"/>
    <w:rsid w:val="000C1D70"/>
    <w:rsid w:val="000C1D96"/>
    <w:rsid w:val="000C1DB3"/>
    <w:rsid w:val="000C1EF3"/>
    <w:rsid w:val="000C1F52"/>
    <w:rsid w:val="000C2006"/>
    <w:rsid w:val="000C2016"/>
    <w:rsid w:val="000C202A"/>
    <w:rsid w:val="000C2069"/>
    <w:rsid w:val="000C20C6"/>
    <w:rsid w:val="000C2204"/>
    <w:rsid w:val="000C2207"/>
    <w:rsid w:val="000C22AD"/>
    <w:rsid w:val="000C2352"/>
    <w:rsid w:val="000C2378"/>
    <w:rsid w:val="000C25A0"/>
    <w:rsid w:val="000C25AB"/>
    <w:rsid w:val="000C2617"/>
    <w:rsid w:val="000C268A"/>
    <w:rsid w:val="000C269C"/>
    <w:rsid w:val="000C26D7"/>
    <w:rsid w:val="000C26E2"/>
    <w:rsid w:val="000C270B"/>
    <w:rsid w:val="000C274F"/>
    <w:rsid w:val="000C27C1"/>
    <w:rsid w:val="000C2809"/>
    <w:rsid w:val="000C2868"/>
    <w:rsid w:val="000C28DC"/>
    <w:rsid w:val="000C28E6"/>
    <w:rsid w:val="000C28FD"/>
    <w:rsid w:val="000C2948"/>
    <w:rsid w:val="000C2957"/>
    <w:rsid w:val="000C2A0B"/>
    <w:rsid w:val="000C2AEB"/>
    <w:rsid w:val="000C2B69"/>
    <w:rsid w:val="000C2B8A"/>
    <w:rsid w:val="000C2BB5"/>
    <w:rsid w:val="000C2BC3"/>
    <w:rsid w:val="000C2C33"/>
    <w:rsid w:val="000C2C88"/>
    <w:rsid w:val="000C2CC6"/>
    <w:rsid w:val="000C2CF7"/>
    <w:rsid w:val="000C2DC8"/>
    <w:rsid w:val="000C2E36"/>
    <w:rsid w:val="000C2E54"/>
    <w:rsid w:val="000C2E61"/>
    <w:rsid w:val="000C2ED4"/>
    <w:rsid w:val="000C3030"/>
    <w:rsid w:val="000C3049"/>
    <w:rsid w:val="000C306E"/>
    <w:rsid w:val="000C30B1"/>
    <w:rsid w:val="000C3139"/>
    <w:rsid w:val="000C3162"/>
    <w:rsid w:val="000C31FD"/>
    <w:rsid w:val="000C320B"/>
    <w:rsid w:val="000C3221"/>
    <w:rsid w:val="000C3286"/>
    <w:rsid w:val="000C3291"/>
    <w:rsid w:val="000C330C"/>
    <w:rsid w:val="000C33BC"/>
    <w:rsid w:val="000C33C3"/>
    <w:rsid w:val="000C33EC"/>
    <w:rsid w:val="000C33F7"/>
    <w:rsid w:val="000C3412"/>
    <w:rsid w:val="000C3499"/>
    <w:rsid w:val="000C34D8"/>
    <w:rsid w:val="000C3506"/>
    <w:rsid w:val="000C361C"/>
    <w:rsid w:val="000C3637"/>
    <w:rsid w:val="000C36E7"/>
    <w:rsid w:val="000C36ED"/>
    <w:rsid w:val="000C3798"/>
    <w:rsid w:val="000C37A5"/>
    <w:rsid w:val="000C37C2"/>
    <w:rsid w:val="000C37C5"/>
    <w:rsid w:val="000C37F5"/>
    <w:rsid w:val="000C382C"/>
    <w:rsid w:val="000C382F"/>
    <w:rsid w:val="000C388D"/>
    <w:rsid w:val="000C393B"/>
    <w:rsid w:val="000C3945"/>
    <w:rsid w:val="000C397F"/>
    <w:rsid w:val="000C39BC"/>
    <w:rsid w:val="000C3A31"/>
    <w:rsid w:val="000C3A53"/>
    <w:rsid w:val="000C3A54"/>
    <w:rsid w:val="000C3AB9"/>
    <w:rsid w:val="000C3B7A"/>
    <w:rsid w:val="000C3C88"/>
    <w:rsid w:val="000C3D1C"/>
    <w:rsid w:val="000C3D3C"/>
    <w:rsid w:val="000C3D79"/>
    <w:rsid w:val="000C3D7B"/>
    <w:rsid w:val="000C3DB8"/>
    <w:rsid w:val="000C3DE3"/>
    <w:rsid w:val="000C3E07"/>
    <w:rsid w:val="000C3E25"/>
    <w:rsid w:val="000C3E41"/>
    <w:rsid w:val="000C3E44"/>
    <w:rsid w:val="000C3E52"/>
    <w:rsid w:val="000C3E9C"/>
    <w:rsid w:val="000C3EA6"/>
    <w:rsid w:val="000C3EE5"/>
    <w:rsid w:val="000C3F7F"/>
    <w:rsid w:val="000C3FD7"/>
    <w:rsid w:val="000C3FE9"/>
    <w:rsid w:val="000C3FEB"/>
    <w:rsid w:val="000C403B"/>
    <w:rsid w:val="000C408F"/>
    <w:rsid w:val="000C4140"/>
    <w:rsid w:val="000C4254"/>
    <w:rsid w:val="000C42E2"/>
    <w:rsid w:val="000C4316"/>
    <w:rsid w:val="000C4333"/>
    <w:rsid w:val="000C4360"/>
    <w:rsid w:val="000C43AF"/>
    <w:rsid w:val="000C43E2"/>
    <w:rsid w:val="000C4408"/>
    <w:rsid w:val="000C443F"/>
    <w:rsid w:val="000C444E"/>
    <w:rsid w:val="000C4461"/>
    <w:rsid w:val="000C4478"/>
    <w:rsid w:val="000C4511"/>
    <w:rsid w:val="000C4592"/>
    <w:rsid w:val="000C45D7"/>
    <w:rsid w:val="000C461E"/>
    <w:rsid w:val="000C461F"/>
    <w:rsid w:val="000C4630"/>
    <w:rsid w:val="000C4660"/>
    <w:rsid w:val="000C4664"/>
    <w:rsid w:val="000C46A6"/>
    <w:rsid w:val="000C4707"/>
    <w:rsid w:val="000C470E"/>
    <w:rsid w:val="000C4718"/>
    <w:rsid w:val="000C472F"/>
    <w:rsid w:val="000C4767"/>
    <w:rsid w:val="000C4770"/>
    <w:rsid w:val="000C478B"/>
    <w:rsid w:val="000C482F"/>
    <w:rsid w:val="000C4888"/>
    <w:rsid w:val="000C48E9"/>
    <w:rsid w:val="000C498E"/>
    <w:rsid w:val="000C4A0B"/>
    <w:rsid w:val="000C4AC6"/>
    <w:rsid w:val="000C4AD4"/>
    <w:rsid w:val="000C4AF6"/>
    <w:rsid w:val="000C4B5F"/>
    <w:rsid w:val="000C4BBF"/>
    <w:rsid w:val="000C4C02"/>
    <w:rsid w:val="000C4C36"/>
    <w:rsid w:val="000C4D14"/>
    <w:rsid w:val="000C4D54"/>
    <w:rsid w:val="000C4E66"/>
    <w:rsid w:val="000C4EB0"/>
    <w:rsid w:val="000C4ECE"/>
    <w:rsid w:val="000C4ED1"/>
    <w:rsid w:val="000C4F2F"/>
    <w:rsid w:val="000C4F57"/>
    <w:rsid w:val="000C4FE8"/>
    <w:rsid w:val="000C5002"/>
    <w:rsid w:val="000C5024"/>
    <w:rsid w:val="000C5026"/>
    <w:rsid w:val="000C5060"/>
    <w:rsid w:val="000C5123"/>
    <w:rsid w:val="000C5172"/>
    <w:rsid w:val="000C51E1"/>
    <w:rsid w:val="000C5215"/>
    <w:rsid w:val="000C528A"/>
    <w:rsid w:val="000C52C7"/>
    <w:rsid w:val="000C5324"/>
    <w:rsid w:val="000C5351"/>
    <w:rsid w:val="000C53F6"/>
    <w:rsid w:val="000C5412"/>
    <w:rsid w:val="000C5420"/>
    <w:rsid w:val="000C542B"/>
    <w:rsid w:val="000C544B"/>
    <w:rsid w:val="000C54EF"/>
    <w:rsid w:val="000C54F2"/>
    <w:rsid w:val="000C5598"/>
    <w:rsid w:val="000C55A6"/>
    <w:rsid w:val="000C55E4"/>
    <w:rsid w:val="000C564D"/>
    <w:rsid w:val="000C5709"/>
    <w:rsid w:val="000C5775"/>
    <w:rsid w:val="000C57BE"/>
    <w:rsid w:val="000C57BF"/>
    <w:rsid w:val="000C57DD"/>
    <w:rsid w:val="000C57E4"/>
    <w:rsid w:val="000C5818"/>
    <w:rsid w:val="000C5833"/>
    <w:rsid w:val="000C5A52"/>
    <w:rsid w:val="000C5A5F"/>
    <w:rsid w:val="000C5AC9"/>
    <w:rsid w:val="000C5AD1"/>
    <w:rsid w:val="000C5B03"/>
    <w:rsid w:val="000C5B30"/>
    <w:rsid w:val="000C5BA1"/>
    <w:rsid w:val="000C5BA9"/>
    <w:rsid w:val="000C5C07"/>
    <w:rsid w:val="000C5C1F"/>
    <w:rsid w:val="000C5C83"/>
    <w:rsid w:val="000C5C96"/>
    <w:rsid w:val="000C5DF5"/>
    <w:rsid w:val="000C5E76"/>
    <w:rsid w:val="000C5EA8"/>
    <w:rsid w:val="000C5ED1"/>
    <w:rsid w:val="000C5F83"/>
    <w:rsid w:val="000C5F96"/>
    <w:rsid w:val="000C5FB9"/>
    <w:rsid w:val="000C6006"/>
    <w:rsid w:val="000C6076"/>
    <w:rsid w:val="000C60BF"/>
    <w:rsid w:val="000C6298"/>
    <w:rsid w:val="000C62A9"/>
    <w:rsid w:val="000C62BC"/>
    <w:rsid w:val="000C63C2"/>
    <w:rsid w:val="000C640D"/>
    <w:rsid w:val="000C6453"/>
    <w:rsid w:val="000C65E9"/>
    <w:rsid w:val="000C6613"/>
    <w:rsid w:val="000C6618"/>
    <w:rsid w:val="000C661D"/>
    <w:rsid w:val="000C66D7"/>
    <w:rsid w:val="000C67AC"/>
    <w:rsid w:val="000C6874"/>
    <w:rsid w:val="000C68C6"/>
    <w:rsid w:val="000C68F0"/>
    <w:rsid w:val="000C6A07"/>
    <w:rsid w:val="000C6A72"/>
    <w:rsid w:val="000C6A91"/>
    <w:rsid w:val="000C6A9D"/>
    <w:rsid w:val="000C6B54"/>
    <w:rsid w:val="000C6B73"/>
    <w:rsid w:val="000C6BD2"/>
    <w:rsid w:val="000C6D3B"/>
    <w:rsid w:val="000C6D54"/>
    <w:rsid w:val="000C6DAF"/>
    <w:rsid w:val="000C6DF2"/>
    <w:rsid w:val="000C6E56"/>
    <w:rsid w:val="000C6ED0"/>
    <w:rsid w:val="000C6FB5"/>
    <w:rsid w:val="000C7033"/>
    <w:rsid w:val="000C7045"/>
    <w:rsid w:val="000C7057"/>
    <w:rsid w:val="000C707B"/>
    <w:rsid w:val="000C70C9"/>
    <w:rsid w:val="000C718E"/>
    <w:rsid w:val="000C71BD"/>
    <w:rsid w:val="000C7218"/>
    <w:rsid w:val="000C72A0"/>
    <w:rsid w:val="000C72D8"/>
    <w:rsid w:val="000C730A"/>
    <w:rsid w:val="000C7336"/>
    <w:rsid w:val="000C7395"/>
    <w:rsid w:val="000C73E6"/>
    <w:rsid w:val="000C741C"/>
    <w:rsid w:val="000C7420"/>
    <w:rsid w:val="000C745B"/>
    <w:rsid w:val="000C745F"/>
    <w:rsid w:val="000C7463"/>
    <w:rsid w:val="000C74A2"/>
    <w:rsid w:val="000C74E2"/>
    <w:rsid w:val="000C74FD"/>
    <w:rsid w:val="000C754B"/>
    <w:rsid w:val="000C757B"/>
    <w:rsid w:val="000C758C"/>
    <w:rsid w:val="000C7591"/>
    <w:rsid w:val="000C7677"/>
    <w:rsid w:val="000C770A"/>
    <w:rsid w:val="000C77B3"/>
    <w:rsid w:val="000C7809"/>
    <w:rsid w:val="000C781D"/>
    <w:rsid w:val="000C782E"/>
    <w:rsid w:val="000C7890"/>
    <w:rsid w:val="000C7908"/>
    <w:rsid w:val="000C7951"/>
    <w:rsid w:val="000C7A3F"/>
    <w:rsid w:val="000C7A48"/>
    <w:rsid w:val="000C7A69"/>
    <w:rsid w:val="000C7A98"/>
    <w:rsid w:val="000C7B28"/>
    <w:rsid w:val="000C7B56"/>
    <w:rsid w:val="000C7B73"/>
    <w:rsid w:val="000C7BB5"/>
    <w:rsid w:val="000C7BBF"/>
    <w:rsid w:val="000C7C0E"/>
    <w:rsid w:val="000C7C1C"/>
    <w:rsid w:val="000C7C7B"/>
    <w:rsid w:val="000C7CDE"/>
    <w:rsid w:val="000C7DE0"/>
    <w:rsid w:val="000C7E99"/>
    <w:rsid w:val="000C7EE7"/>
    <w:rsid w:val="000C7F2E"/>
    <w:rsid w:val="000C7F3A"/>
    <w:rsid w:val="000C7F57"/>
    <w:rsid w:val="000C7F63"/>
    <w:rsid w:val="000CBC0E"/>
    <w:rsid w:val="000D00E3"/>
    <w:rsid w:val="000D015D"/>
    <w:rsid w:val="000D0162"/>
    <w:rsid w:val="000D01BB"/>
    <w:rsid w:val="000D01FF"/>
    <w:rsid w:val="000D0265"/>
    <w:rsid w:val="000D02C4"/>
    <w:rsid w:val="000D031C"/>
    <w:rsid w:val="000D0346"/>
    <w:rsid w:val="000D03AC"/>
    <w:rsid w:val="000D044B"/>
    <w:rsid w:val="000D0464"/>
    <w:rsid w:val="000D04B9"/>
    <w:rsid w:val="000D0508"/>
    <w:rsid w:val="000D0533"/>
    <w:rsid w:val="000D0543"/>
    <w:rsid w:val="000D0546"/>
    <w:rsid w:val="000D0560"/>
    <w:rsid w:val="000D0590"/>
    <w:rsid w:val="000D0599"/>
    <w:rsid w:val="000D0603"/>
    <w:rsid w:val="000D061A"/>
    <w:rsid w:val="000D06D3"/>
    <w:rsid w:val="000D06F7"/>
    <w:rsid w:val="000D0768"/>
    <w:rsid w:val="000D0789"/>
    <w:rsid w:val="000D07A2"/>
    <w:rsid w:val="000D0853"/>
    <w:rsid w:val="000D08F0"/>
    <w:rsid w:val="000D0930"/>
    <w:rsid w:val="000D0947"/>
    <w:rsid w:val="000D0983"/>
    <w:rsid w:val="000D0A7D"/>
    <w:rsid w:val="000D0A85"/>
    <w:rsid w:val="000D0ACD"/>
    <w:rsid w:val="000D0ADB"/>
    <w:rsid w:val="000D0B3E"/>
    <w:rsid w:val="000D0B5F"/>
    <w:rsid w:val="000D0BED"/>
    <w:rsid w:val="000D0C84"/>
    <w:rsid w:val="000D0CB1"/>
    <w:rsid w:val="000D0CCE"/>
    <w:rsid w:val="000D0D5D"/>
    <w:rsid w:val="000D0D72"/>
    <w:rsid w:val="000D0DDD"/>
    <w:rsid w:val="000D0E49"/>
    <w:rsid w:val="000D0E76"/>
    <w:rsid w:val="000D0F10"/>
    <w:rsid w:val="000D1003"/>
    <w:rsid w:val="000D100A"/>
    <w:rsid w:val="000D101D"/>
    <w:rsid w:val="000D105D"/>
    <w:rsid w:val="000D1099"/>
    <w:rsid w:val="000D10EB"/>
    <w:rsid w:val="000D115F"/>
    <w:rsid w:val="000D1263"/>
    <w:rsid w:val="000D1287"/>
    <w:rsid w:val="000D1328"/>
    <w:rsid w:val="000D13C6"/>
    <w:rsid w:val="000D1408"/>
    <w:rsid w:val="000D14F4"/>
    <w:rsid w:val="000D150B"/>
    <w:rsid w:val="000D155E"/>
    <w:rsid w:val="000D1561"/>
    <w:rsid w:val="000D1562"/>
    <w:rsid w:val="000D1605"/>
    <w:rsid w:val="000D160A"/>
    <w:rsid w:val="000D1661"/>
    <w:rsid w:val="000D16F8"/>
    <w:rsid w:val="000D16FD"/>
    <w:rsid w:val="000D1718"/>
    <w:rsid w:val="000D17F1"/>
    <w:rsid w:val="000D183A"/>
    <w:rsid w:val="000D1849"/>
    <w:rsid w:val="000D1943"/>
    <w:rsid w:val="000D198A"/>
    <w:rsid w:val="000D19B4"/>
    <w:rsid w:val="000D1A7B"/>
    <w:rsid w:val="000D1A8C"/>
    <w:rsid w:val="000D1AA5"/>
    <w:rsid w:val="000D1BC5"/>
    <w:rsid w:val="000D1BCE"/>
    <w:rsid w:val="000D1C07"/>
    <w:rsid w:val="000D1C5A"/>
    <w:rsid w:val="000D1C84"/>
    <w:rsid w:val="000D1CD2"/>
    <w:rsid w:val="000D1CEB"/>
    <w:rsid w:val="000D1D40"/>
    <w:rsid w:val="000D1D84"/>
    <w:rsid w:val="000D1E1C"/>
    <w:rsid w:val="000D1E63"/>
    <w:rsid w:val="000D1E88"/>
    <w:rsid w:val="000D1EF3"/>
    <w:rsid w:val="000D1EFB"/>
    <w:rsid w:val="000D1FD1"/>
    <w:rsid w:val="000D2040"/>
    <w:rsid w:val="000D2057"/>
    <w:rsid w:val="000D2075"/>
    <w:rsid w:val="000D21E7"/>
    <w:rsid w:val="000D2214"/>
    <w:rsid w:val="000D2224"/>
    <w:rsid w:val="000D22BB"/>
    <w:rsid w:val="000D235D"/>
    <w:rsid w:val="000D23C6"/>
    <w:rsid w:val="000D2408"/>
    <w:rsid w:val="000D2501"/>
    <w:rsid w:val="000D2510"/>
    <w:rsid w:val="000D2608"/>
    <w:rsid w:val="000D2637"/>
    <w:rsid w:val="000D2658"/>
    <w:rsid w:val="000D26AD"/>
    <w:rsid w:val="000D26E1"/>
    <w:rsid w:val="000D2712"/>
    <w:rsid w:val="000D2713"/>
    <w:rsid w:val="000D2791"/>
    <w:rsid w:val="000D27EE"/>
    <w:rsid w:val="000D2812"/>
    <w:rsid w:val="000D284F"/>
    <w:rsid w:val="000D2893"/>
    <w:rsid w:val="000D2968"/>
    <w:rsid w:val="000D29CE"/>
    <w:rsid w:val="000D29D1"/>
    <w:rsid w:val="000D2A67"/>
    <w:rsid w:val="000D2A6A"/>
    <w:rsid w:val="000D2AD5"/>
    <w:rsid w:val="000D2B8F"/>
    <w:rsid w:val="000D2C38"/>
    <w:rsid w:val="000D2CDF"/>
    <w:rsid w:val="000D2D06"/>
    <w:rsid w:val="000D2DAC"/>
    <w:rsid w:val="000D2DB7"/>
    <w:rsid w:val="000D2E3B"/>
    <w:rsid w:val="000D2E55"/>
    <w:rsid w:val="000D2F07"/>
    <w:rsid w:val="000D2FAA"/>
    <w:rsid w:val="000D2FBA"/>
    <w:rsid w:val="000D2FE8"/>
    <w:rsid w:val="000D3068"/>
    <w:rsid w:val="000D3092"/>
    <w:rsid w:val="000D30A9"/>
    <w:rsid w:val="000D3184"/>
    <w:rsid w:val="000D319C"/>
    <w:rsid w:val="000D3226"/>
    <w:rsid w:val="000D327E"/>
    <w:rsid w:val="000D32F0"/>
    <w:rsid w:val="000D334E"/>
    <w:rsid w:val="000D33AF"/>
    <w:rsid w:val="000D33CB"/>
    <w:rsid w:val="000D3417"/>
    <w:rsid w:val="000D3485"/>
    <w:rsid w:val="000D359B"/>
    <w:rsid w:val="000D35D5"/>
    <w:rsid w:val="000D3661"/>
    <w:rsid w:val="000D376E"/>
    <w:rsid w:val="000D37A8"/>
    <w:rsid w:val="000D37AE"/>
    <w:rsid w:val="000D37E5"/>
    <w:rsid w:val="000D3817"/>
    <w:rsid w:val="000D384C"/>
    <w:rsid w:val="000D385F"/>
    <w:rsid w:val="000D388E"/>
    <w:rsid w:val="000D38C1"/>
    <w:rsid w:val="000D393D"/>
    <w:rsid w:val="000D395A"/>
    <w:rsid w:val="000D3970"/>
    <w:rsid w:val="000D3A0C"/>
    <w:rsid w:val="000D3A20"/>
    <w:rsid w:val="000D3A97"/>
    <w:rsid w:val="000D3ACD"/>
    <w:rsid w:val="000D3AD4"/>
    <w:rsid w:val="000D3BA1"/>
    <w:rsid w:val="000D3BED"/>
    <w:rsid w:val="000D3CB5"/>
    <w:rsid w:val="000D3D89"/>
    <w:rsid w:val="000D3DA0"/>
    <w:rsid w:val="000D3E32"/>
    <w:rsid w:val="000D3E3F"/>
    <w:rsid w:val="000D3E71"/>
    <w:rsid w:val="000D3F08"/>
    <w:rsid w:val="000D3F47"/>
    <w:rsid w:val="000D3FB2"/>
    <w:rsid w:val="000D3FDB"/>
    <w:rsid w:val="000D3FE8"/>
    <w:rsid w:val="000D4012"/>
    <w:rsid w:val="000D4041"/>
    <w:rsid w:val="000D4065"/>
    <w:rsid w:val="000D4071"/>
    <w:rsid w:val="000D40A7"/>
    <w:rsid w:val="000D4191"/>
    <w:rsid w:val="000D4204"/>
    <w:rsid w:val="000D4299"/>
    <w:rsid w:val="000D42B1"/>
    <w:rsid w:val="000D4322"/>
    <w:rsid w:val="000D4405"/>
    <w:rsid w:val="000D44B0"/>
    <w:rsid w:val="000D44F9"/>
    <w:rsid w:val="000D4544"/>
    <w:rsid w:val="000D4565"/>
    <w:rsid w:val="000D458D"/>
    <w:rsid w:val="000D45DA"/>
    <w:rsid w:val="000D4711"/>
    <w:rsid w:val="000D47E9"/>
    <w:rsid w:val="000D482A"/>
    <w:rsid w:val="000D4897"/>
    <w:rsid w:val="000D48C2"/>
    <w:rsid w:val="000D49C2"/>
    <w:rsid w:val="000D4A39"/>
    <w:rsid w:val="000D4AA0"/>
    <w:rsid w:val="000D4ABE"/>
    <w:rsid w:val="000D4AC5"/>
    <w:rsid w:val="000D4B15"/>
    <w:rsid w:val="000D4D26"/>
    <w:rsid w:val="000D4D59"/>
    <w:rsid w:val="000D4D77"/>
    <w:rsid w:val="000D4DF8"/>
    <w:rsid w:val="000D4E4B"/>
    <w:rsid w:val="000D4E84"/>
    <w:rsid w:val="000D4EA8"/>
    <w:rsid w:val="000D4F3A"/>
    <w:rsid w:val="000D5016"/>
    <w:rsid w:val="000D5020"/>
    <w:rsid w:val="000D504F"/>
    <w:rsid w:val="000D5154"/>
    <w:rsid w:val="000D51A1"/>
    <w:rsid w:val="000D51C4"/>
    <w:rsid w:val="000D51FD"/>
    <w:rsid w:val="000D5231"/>
    <w:rsid w:val="000D52D2"/>
    <w:rsid w:val="000D53C9"/>
    <w:rsid w:val="000D5454"/>
    <w:rsid w:val="000D5497"/>
    <w:rsid w:val="000D5525"/>
    <w:rsid w:val="000D557D"/>
    <w:rsid w:val="000D5644"/>
    <w:rsid w:val="000D56FF"/>
    <w:rsid w:val="000D571E"/>
    <w:rsid w:val="000D574F"/>
    <w:rsid w:val="000D5756"/>
    <w:rsid w:val="000D577F"/>
    <w:rsid w:val="000D5842"/>
    <w:rsid w:val="000D586F"/>
    <w:rsid w:val="000D58BF"/>
    <w:rsid w:val="000D58E6"/>
    <w:rsid w:val="000D58E9"/>
    <w:rsid w:val="000D594C"/>
    <w:rsid w:val="000D5951"/>
    <w:rsid w:val="000D5953"/>
    <w:rsid w:val="000D59D7"/>
    <w:rsid w:val="000D59F4"/>
    <w:rsid w:val="000D5A19"/>
    <w:rsid w:val="000D5B67"/>
    <w:rsid w:val="000D5BF6"/>
    <w:rsid w:val="000D5C02"/>
    <w:rsid w:val="000D5C77"/>
    <w:rsid w:val="000D5C9A"/>
    <w:rsid w:val="000D5CCE"/>
    <w:rsid w:val="000D5D47"/>
    <w:rsid w:val="000D5DBA"/>
    <w:rsid w:val="000D5DBB"/>
    <w:rsid w:val="000D5E1E"/>
    <w:rsid w:val="000D5E7B"/>
    <w:rsid w:val="000D5FB2"/>
    <w:rsid w:val="000D5FF0"/>
    <w:rsid w:val="000D601A"/>
    <w:rsid w:val="000D6021"/>
    <w:rsid w:val="000D60B6"/>
    <w:rsid w:val="000D60D9"/>
    <w:rsid w:val="000D6234"/>
    <w:rsid w:val="000D6248"/>
    <w:rsid w:val="000D625B"/>
    <w:rsid w:val="000D6281"/>
    <w:rsid w:val="000D6313"/>
    <w:rsid w:val="000D63A4"/>
    <w:rsid w:val="000D6414"/>
    <w:rsid w:val="000D64AA"/>
    <w:rsid w:val="000D6504"/>
    <w:rsid w:val="000D6571"/>
    <w:rsid w:val="000D65B0"/>
    <w:rsid w:val="000D65B1"/>
    <w:rsid w:val="000D65F6"/>
    <w:rsid w:val="000D6646"/>
    <w:rsid w:val="000D6671"/>
    <w:rsid w:val="000D6687"/>
    <w:rsid w:val="000D66E6"/>
    <w:rsid w:val="000D66FE"/>
    <w:rsid w:val="000D67CA"/>
    <w:rsid w:val="000D67FD"/>
    <w:rsid w:val="000D681C"/>
    <w:rsid w:val="000D6845"/>
    <w:rsid w:val="000D688A"/>
    <w:rsid w:val="000D68AA"/>
    <w:rsid w:val="000D68B8"/>
    <w:rsid w:val="000D6900"/>
    <w:rsid w:val="000D69BE"/>
    <w:rsid w:val="000D6A16"/>
    <w:rsid w:val="000D6A51"/>
    <w:rsid w:val="000D6A6D"/>
    <w:rsid w:val="000D6AA9"/>
    <w:rsid w:val="000D6B8F"/>
    <w:rsid w:val="000D6CCA"/>
    <w:rsid w:val="000D6CEF"/>
    <w:rsid w:val="000D6D15"/>
    <w:rsid w:val="000D6D39"/>
    <w:rsid w:val="000D6D76"/>
    <w:rsid w:val="000D6DC5"/>
    <w:rsid w:val="000D6E17"/>
    <w:rsid w:val="000D6E27"/>
    <w:rsid w:val="000D6EA0"/>
    <w:rsid w:val="000D6EC3"/>
    <w:rsid w:val="000D6EDF"/>
    <w:rsid w:val="000D6F1C"/>
    <w:rsid w:val="000D6F47"/>
    <w:rsid w:val="000D6F8D"/>
    <w:rsid w:val="000D6FA7"/>
    <w:rsid w:val="000D6FD2"/>
    <w:rsid w:val="000D6FE4"/>
    <w:rsid w:val="000D7027"/>
    <w:rsid w:val="000D7098"/>
    <w:rsid w:val="000D70B6"/>
    <w:rsid w:val="000D70EF"/>
    <w:rsid w:val="000D70F5"/>
    <w:rsid w:val="000D7112"/>
    <w:rsid w:val="000D714B"/>
    <w:rsid w:val="000D71DF"/>
    <w:rsid w:val="000D7207"/>
    <w:rsid w:val="000D721B"/>
    <w:rsid w:val="000D722E"/>
    <w:rsid w:val="000D7269"/>
    <w:rsid w:val="000D72B1"/>
    <w:rsid w:val="000D72B3"/>
    <w:rsid w:val="000D731C"/>
    <w:rsid w:val="000D7353"/>
    <w:rsid w:val="000D7354"/>
    <w:rsid w:val="000D7366"/>
    <w:rsid w:val="000D7368"/>
    <w:rsid w:val="000D73A2"/>
    <w:rsid w:val="000D740B"/>
    <w:rsid w:val="000D745C"/>
    <w:rsid w:val="000D74AA"/>
    <w:rsid w:val="000D7526"/>
    <w:rsid w:val="000D7530"/>
    <w:rsid w:val="000D7590"/>
    <w:rsid w:val="000D7593"/>
    <w:rsid w:val="000D76A5"/>
    <w:rsid w:val="000D76CB"/>
    <w:rsid w:val="000D76F7"/>
    <w:rsid w:val="000D7704"/>
    <w:rsid w:val="000D7739"/>
    <w:rsid w:val="000D7787"/>
    <w:rsid w:val="000D7793"/>
    <w:rsid w:val="000D77B1"/>
    <w:rsid w:val="000D77C4"/>
    <w:rsid w:val="000D77D6"/>
    <w:rsid w:val="000D7811"/>
    <w:rsid w:val="000D7822"/>
    <w:rsid w:val="000D7874"/>
    <w:rsid w:val="000D7894"/>
    <w:rsid w:val="000D78DE"/>
    <w:rsid w:val="000D7930"/>
    <w:rsid w:val="000D7944"/>
    <w:rsid w:val="000D79BF"/>
    <w:rsid w:val="000D79C0"/>
    <w:rsid w:val="000D7A17"/>
    <w:rsid w:val="000D7AB1"/>
    <w:rsid w:val="000D7B78"/>
    <w:rsid w:val="000D7BFF"/>
    <w:rsid w:val="000D7C17"/>
    <w:rsid w:val="000D7C31"/>
    <w:rsid w:val="000D7C59"/>
    <w:rsid w:val="000D7D26"/>
    <w:rsid w:val="000D7D94"/>
    <w:rsid w:val="000D7DA8"/>
    <w:rsid w:val="000D7DAD"/>
    <w:rsid w:val="000D7DB2"/>
    <w:rsid w:val="000D7E2C"/>
    <w:rsid w:val="000D7E69"/>
    <w:rsid w:val="000D7F00"/>
    <w:rsid w:val="000D7F23"/>
    <w:rsid w:val="000D7F65"/>
    <w:rsid w:val="000D7FBD"/>
    <w:rsid w:val="000D7FCF"/>
    <w:rsid w:val="000E0012"/>
    <w:rsid w:val="000E007E"/>
    <w:rsid w:val="000E00CE"/>
    <w:rsid w:val="000E029C"/>
    <w:rsid w:val="000E029F"/>
    <w:rsid w:val="000E02A5"/>
    <w:rsid w:val="000E02CC"/>
    <w:rsid w:val="000E0334"/>
    <w:rsid w:val="000E0342"/>
    <w:rsid w:val="000E041D"/>
    <w:rsid w:val="000E0455"/>
    <w:rsid w:val="000E04A4"/>
    <w:rsid w:val="000E04D9"/>
    <w:rsid w:val="000E0581"/>
    <w:rsid w:val="000E0605"/>
    <w:rsid w:val="000E060F"/>
    <w:rsid w:val="000E0630"/>
    <w:rsid w:val="000E0676"/>
    <w:rsid w:val="000E0682"/>
    <w:rsid w:val="000E0699"/>
    <w:rsid w:val="000E06D9"/>
    <w:rsid w:val="000E06DA"/>
    <w:rsid w:val="000E07DC"/>
    <w:rsid w:val="000E087E"/>
    <w:rsid w:val="000E08C9"/>
    <w:rsid w:val="000E0902"/>
    <w:rsid w:val="000E0952"/>
    <w:rsid w:val="000E0982"/>
    <w:rsid w:val="000E0A86"/>
    <w:rsid w:val="000E0A94"/>
    <w:rsid w:val="000E0B4E"/>
    <w:rsid w:val="000E0BBE"/>
    <w:rsid w:val="000E0BF8"/>
    <w:rsid w:val="000E0C47"/>
    <w:rsid w:val="000E0C76"/>
    <w:rsid w:val="000E0CF4"/>
    <w:rsid w:val="000E0CF8"/>
    <w:rsid w:val="000E0D4C"/>
    <w:rsid w:val="000E0D98"/>
    <w:rsid w:val="000E0E1D"/>
    <w:rsid w:val="000E0E50"/>
    <w:rsid w:val="000E0E8C"/>
    <w:rsid w:val="000E0EA7"/>
    <w:rsid w:val="000E0EE4"/>
    <w:rsid w:val="000E0F06"/>
    <w:rsid w:val="000E0F6C"/>
    <w:rsid w:val="000E0F8C"/>
    <w:rsid w:val="000E1010"/>
    <w:rsid w:val="000E101E"/>
    <w:rsid w:val="000E1031"/>
    <w:rsid w:val="000E10AF"/>
    <w:rsid w:val="000E113B"/>
    <w:rsid w:val="000E1151"/>
    <w:rsid w:val="000E1172"/>
    <w:rsid w:val="000E11B0"/>
    <w:rsid w:val="000E1205"/>
    <w:rsid w:val="000E120D"/>
    <w:rsid w:val="000E1256"/>
    <w:rsid w:val="000E126D"/>
    <w:rsid w:val="000E127A"/>
    <w:rsid w:val="000E12AD"/>
    <w:rsid w:val="000E12B3"/>
    <w:rsid w:val="000E12E3"/>
    <w:rsid w:val="000E1338"/>
    <w:rsid w:val="000E13B9"/>
    <w:rsid w:val="000E13EF"/>
    <w:rsid w:val="000E1444"/>
    <w:rsid w:val="000E144D"/>
    <w:rsid w:val="000E14BD"/>
    <w:rsid w:val="000E1522"/>
    <w:rsid w:val="000E15C1"/>
    <w:rsid w:val="000E15E3"/>
    <w:rsid w:val="000E15FB"/>
    <w:rsid w:val="000E1610"/>
    <w:rsid w:val="000E1678"/>
    <w:rsid w:val="000E16B4"/>
    <w:rsid w:val="000E1722"/>
    <w:rsid w:val="000E1735"/>
    <w:rsid w:val="000E174F"/>
    <w:rsid w:val="000E1762"/>
    <w:rsid w:val="000E17BE"/>
    <w:rsid w:val="000E1843"/>
    <w:rsid w:val="000E1885"/>
    <w:rsid w:val="000E188D"/>
    <w:rsid w:val="000E19F6"/>
    <w:rsid w:val="000E1A73"/>
    <w:rsid w:val="000E1AE3"/>
    <w:rsid w:val="000E1AFB"/>
    <w:rsid w:val="000E1B1B"/>
    <w:rsid w:val="000E1B21"/>
    <w:rsid w:val="000E1B59"/>
    <w:rsid w:val="000E1B5F"/>
    <w:rsid w:val="000E1B63"/>
    <w:rsid w:val="000E1BC0"/>
    <w:rsid w:val="000E1CB3"/>
    <w:rsid w:val="000E1D4B"/>
    <w:rsid w:val="000E1D5E"/>
    <w:rsid w:val="000E1D6B"/>
    <w:rsid w:val="000E1DA8"/>
    <w:rsid w:val="000E1DCB"/>
    <w:rsid w:val="000E1DD4"/>
    <w:rsid w:val="000E1FB0"/>
    <w:rsid w:val="000E200D"/>
    <w:rsid w:val="000E2020"/>
    <w:rsid w:val="000E206C"/>
    <w:rsid w:val="000E20E5"/>
    <w:rsid w:val="000E2103"/>
    <w:rsid w:val="000E2165"/>
    <w:rsid w:val="000E2181"/>
    <w:rsid w:val="000E21CE"/>
    <w:rsid w:val="000E220F"/>
    <w:rsid w:val="000E226E"/>
    <w:rsid w:val="000E22DE"/>
    <w:rsid w:val="000E22FA"/>
    <w:rsid w:val="000E23A2"/>
    <w:rsid w:val="000E245B"/>
    <w:rsid w:val="000E248B"/>
    <w:rsid w:val="000E2513"/>
    <w:rsid w:val="000E256E"/>
    <w:rsid w:val="000E2626"/>
    <w:rsid w:val="000E2641"/>
    <w:rsid w:val="000E274B"/>
    <w:rsid w:val="000E2759"/>
    <w:rsid w:val="000E276A"/>
    <w:rsid w:val="000E2776"/>
    <w:rsid w:val="000E2796"/>
    <w:rsid w:val="000E288E"/>
    <w:rsid w:val="000E289A"/>
    <w:rsid w:val="000E28BC"/>
    <w:rsid w:val="000E2921"/>
    <w:rsid w:val="000E29C2"/>
    <w:rsid w:val="000E2A3D"/>
    <w:rsid w:val="000E2A85"/>
    <w:rsid w:val="000E2AD1"/>
    <w:rsid w:val="000E2B2B"/>
    <w:rsid w:val="000E2B3F"/>
    <w:rsid w:val="000E2C15"/>
    <w:rsid w:val="000E2C38"/>
    <w:rsid w:val="000E2C4B"/>
    <w:rsid w:val="000E2C54"/>
    <w:rsid w:val="000E2D6E"/>
    <w:rsid w:val="000E2E3B"/>
    <w:rsid w:val="000E2E70"/>
    <w:rsid w:val="000E2E77"/>
    <w:rsid w:val="000E2F01"/>
    <w:rsid w:val="000E2F05"/>
    <w:rsid w:val="000E2F56"/>
    <w:rsid w:val="000E2FCE"/>
    <w:rsid w:val="000E2FD1"/>
    <w:rsid w:val="000E30C4"/>
    <w:rsid w:val="000E30EC"/>
    <w:rsid w:val="000E3101"/>
    <w:rsid w:val="000E311E"/>
    <w:rsid w:val="000E3192"/>
    <w:rsid w:val="000E328D"/>
    <w:rsid w:val="000E32A6"/>
    <w:rsid w:val="000E32AA"/>
    <w:rsid w:val="000E32DA"/>
    <w:rsid w:val="000E330F"/>
    <w:rsid w:val="000E3337"/>
    <w:rsid w:val="000E333B"/>
    <w:rsid w:val="000E333E"/>
    <w:rsid w:val="000E3372"/>
    <w:rsid w:val="000E3460"/>
    <w:rsid w:val="000E3494"/>
    <w:rsid w:val="000E34AA"/>
    <w:rsid w:val="000E34AF"/>
    <w:rsid w:val="000E34D1"/>
    <w:rsid w:val="000E351E"/>
    <w:rsid w:val="000E352F"/>
    <w:rsid w:val="000E3570"/>
    <w:rsid w:val="000E361A"/>
    <w:rsid w:val="000E361B"/>
    <w:rsid w:val="000E3642"/>
    <w:rsid w:val="000E36A6"/>
    <w:rsid w:val="000E3700"/>
    <w:rsid w:val="000E370E"/>
    <w:rsid w:val="000E3727"/>
    <w:rsid w:val="000E3748"/>
    <w:rsid w:val="000E37CC"/>
    <w:rsid w:val="000E389E"/>
    <w:rsid w:val="000E38CA"/>
    <w:rsid w:val="000E394B"/>
    <w:rsid w:val="000E39C2"/>
    <w:rsid w:val="000E39CE"/>
    <w:rsid w:val="000E3A02"/>
    <w:rsid w:val="000E3A5D"/>
    <w:rsid w:val="000E3B1A"/>
    <w:rsid w:val="000E3B42"/>
    <w:rsid w:val="000E3B65"/>
    <w:rsid w:val="000E3D80"/>
    <w:rsid w:val="000E3DBF"/>
    <w:rsid w:val="000E3E8B"/>
    <w:rsid w:val="000E3E9B"/>
    <w:rsid w:val="000E3EAA"/>
    <w:rsid w:val="000E3EED"/>
    <w:rsid w:val="000E3F05"/>
    <w:rsid w:val="000E3F25"/>
    <w:rsid w:val="000E3F33"/>
    <w:rsid w:val="000E3F6A"/>
    <w:rsid w:val="000E3FDF"/>
    <w:rsid w:val="000E3FEC"/>
    <w:rsid w:val="000E3FFB"/>
    <w:rsid w:val="000E4023"/>
    <w:rsid w:val="000E4034"/>
    <w:rsid w:val="000E4047"/>
    <w:rsid w:val="000E40E6"/>
    <w:rsid w:val="000E4102"/>
    <w:rsid w:val="000E410E"/>
    <w:rsid w:val="000E4117"/>
    <w:rsid w:val="000E414B"/>
    <w:rsid w:val="000E4197"/>
    <w:rsid w:val="000E4207"/>
    <w:rsid w:val="000E4336"/>
    <w:rsid w:val="000E4370"/>
    <w:rsid w:val="000E438F"/>
    <w:rsid w:val="000E43EB"/>
    <w:rsid w:val="000E4424"/>
    <w:rsid w:val="000E4435"/>
    <w:rsid w:val="000E4437"/>
    <w:rsid w:val="000E4465"/>
    <w:rsid w:val="000E44DC"/>
    <w:rsid w:val="000E4578"/>
    <w:rsid w:val="000E45A3"/>
    <w:rsid w:val="000E4603"/>
    <w:rsid w:val="000E461F"/>
    <w:rsid w:val="000E4638"/>
    <w:rsid w:val="000E46AA"/>
    <w:rsid w:val="000E46BD"/>
    <w:rsid w:val="000E46CE"/>
    <w:rsid w:val="000E47D4"/>
    <w:rsid w:val="000E47E8"/>
    <w:rsid w:val="000E49AE"/>
    <w:rsid w:val="000E49EA"/>
    <w:rsid w:val="000E4B79"/>
    <w:rsid w:val="000E4BFD"/>
    <w:rsid w:val="000E4C5E"/>
    <w:rsid w:val="000E4C5F"/>
    <w:rsid w:val="000E4CBA"/>
    <w:rsid w:val="000E4D1B"/>
    <w:rsid w:val="000E4DAF"/>
    <w:rsid w:val="000E4E33"/>
    <w:rsid w:val="000E4F6C"/>
    <w:rsid w:val="000E4FA7"/>
    <w:rsid w:val="000E4FAD"/>
    <w:rsid w:val="000E4FC9"/>
    <w:rsid w:val="000E4FF0"/>
    <w:rsid w:val="000E5021"/>
    <w:rsid w:val="000E509F"/>
    <w:rsid w:val="000E50A1"/>
    <w:rsid w:val="000E50EB"/>
    <w:rsid w:val="000E510E"/>
    <w:rsid w:val="000E511E"/>
    <w:rsid w:val="000E51C3"/>
    <w:rsid w:val="000E5209"/>
    <w:rsid w:val="000E526A"/>
    <w:rsid w:val="000E52D3"/>
    <w:rsid w:val="000E535C"/>
    <w:rsid w:val="000E5391"/>
    <w:rsid w:val="000E53C0"/>
    <w:rsid w:val="000E5428"/>
    <w:rsid w:val="000E5429"/>
    <w:rsid w:val="000E54C9"/>
    <w:rsid w:val="000E551A"/>
    <w:rsid w:val="000E5543"/>
    <w:rsid w:val="000E5585"/>
    <w:rsid w:val="000E55CA"/>
    <w:rsid w:val="000E55F6"/>
    <w:rsid w:val="000E561E"/>
    <w:rsid w:val="000E563D"/>
    <w:rsid w:val="000E5679"/>
    <w:rsid w:val="000E56A9"/>
    <w:rsid w:val="000E56C7"/>
    <w:rsid w:val="000E5734"/>
    <w:rsid w:val="000E57A2"/>
    <w:rsid w:val="000E57F5"/>
    <w:rsid w:val="000E598B"/>
    <w:rsid w:val="000E59C8"/>
    <w:rsid w:val="000E5A47"/>
    <w:rsid w:val="000E5A5D"/>
    <w:rsid w:val="000E5A6F"/>
    <w:rsid w:val="000E5A87"/>
    <w:rsid w:val="000E5A8D"/>
    <w:rsid w:val="000E5AC4"/>
    <w:rsid w:val="000E5B40"/>
    <w:rsid w:val="000E5B4E"/>
    <w:rsid w:val="000E5C9E"/>
    <w:rsid w:val="000E5C9F"/>
    <w:rsid w:val="000E5CB1"/>
    <w:rsid w:val="000E5CED"/>
    <w:rsid w:val="000E5D00"/>
    <w:rsid w:val="000E5D18"/>
    <w:rsid w:val="000E5D2A"/>
    <w:rsid w:val="000E5D70"/>
    <w:rsid w:val="000E5DBA"/>
    <w:rsid w:val="000E5DCF"/>
    <w:rsid w:val="000E5DD1"/>
    <w:rsid w:val="000E5E53"/>
    <w:rsid w:val="000E5E63"/>
    <w:rsid w:val="000E5E65"/>
    <w:rsid w:val="000E5FA7"/>
    <w:rsid w:val="000E5FF0"/>
    <w:rsid w:val="000E6003"/>
    <w:rsid w:val="000E60A0"/>
    <w:rsid w:val="000E60FA"/>
    <w:rsid w:val="000E623D"/>
    <w:rsid w:val="000E6275"/>
    <w:rsid w:val="000E62B3"/>
    <w:rsid w:val="000E62F9"/>
    <w:rsid w:val="000E6465"/>
    <w:rsid w:val="000E647D"/>
    <w:rsid w:val="000E64A2"/>
    <w:rsid w:val="000E64B3"/>
    <w:rsid w:val="000E64D5"/>
    <w:rsid w:val="000E6523"/>
    <w:rsid w:val="000E6540"/>
    <w:rsid w:val="000E6579"/>
    <w:rsid w:val="000E65E3"/>
    <w:rsid w:val="000E66BE"/>
    <w:rsid w:val="000E6718"/>
    <w:rsid w:val="000E671D"/>
    <w:rsid w:val="000E6819"/>
    <w:rsid w:val="000E684F"/>
    <w:rsid w:val="000E687B"/>
    <w:rsid w:val="000E68BD"/>
    <w:rsid w:val="000E68C8"/>
    <w:rsid w:val="000E693B"/>
    <w:rsid w:val="000E697E"/>
    <w:rsid w:val="000E69C4"/>
    <w:rsid w:val="000E6A05"/>
    <w:rsid w:val="000E6B08"/>
    <w:rsid w:val="000E6B56"/>
    <w:rsid w:val="000E6B75"/>
    <w:rsid w:val="000E6B9F"/>
    <w:rsid w:val="000E6C3E"/>
    <w:rsid w:val="000E6D68"/>
    <w:rsid w:val="000E6DA9"/>
    <w:rsid w:val="000E6DB0"/>
    <w:rsid w:val="000E6DB6"/>
    <w:rsid w:val="000E6DBE"/>
    <w:rsid w:val="000E6E4F"/>
    <w:rsid w:val="000E6E76"/>
    <w:rsid w:val="000E6E7A"/>
    <w:rsid w:val="000E6EDC"/>
    <w:rsid w:val="000E6F25"/>
    <w:rsid w:val="000E703C"/>
    <w:rsid w:val="000E7099"/>
    <w:rsid w:val="000E7150"/>
    <w:rsid w:val="000E7178"/>
    <w:rsid w:val="000E7267"/>
    <w:rsid w:val="000E7272"/>
    <w:rsid w:val="000E72B9"/>
    <w:rsid w:val="000E72D1"/>
    <w:rsid w:val="000E7306"/>
    <w:rsid w:val="000E7340"/>
    <w:rsid w:val="000E73E6"/>
    <w:rsid w:val="000E73F3"/>
    <w:rsid w:val="000E7404"/>
    <w:rsid w:val="000E74B5"/>
    <w:rsid w:val="000E74F7"/>
    <w:rsid w:val="000E7644"/>
    <w:rsid w:val="000E76CD"/>
    <w:rsid w:val="000E76FA"/>
    <w:rsid w:val="000E778A"/>
    <w:rsid w:val="000E77B3"/>
    <w:rsid w:val="000E783A"/>
    <w:rsid w:val="000E7847"/>
    <w:rsid w:val="000E786A"/>
    <w:rsid w:val="000E78DB"/>
    <w:rsid w:val="000E78EB"/>
    <w:rsid w:val="000E7906"/>
    <w:rsid w:val="000E7923"/>
    <w:rsid w:val="000E793C"/>
    <w:rsid w:val="000E7977"/>
    <w:rsid w:val="000E79C6"/>
    <w:rsid w:val="000E7A11"/>
    <w:rsid w:val="000E7A2D"/>
    <w:rsid w:val="000E7A59"/>
    <w:rsid w:val="000E7B4B"/>
    <w:rsid w:val="000E7BE9"/>
    <w:rsid w:val="000E7CC8"/>
    <w:rsid w:val="000E7D0E"/>
    <w:rsid w:val="000E7D6A"/>
    <w:rsid w:val="000E7DBD"/>
    <w:rsid w:val="000E7DBE"/>
    <w:rsid w:val="000E7DD7"/>
    <w:rsid w:val="000E7E17"/>
    <w:rsid w:val="000E7E74"/>
    <w:rsid w:val="000E7F39"/>
    <w:rsid w:val="000E7F9E"/>
    <w:rsid w:val="000E7FA9"/>
    <w:rsid w:val="000E7FD4"/>
    <w:rsid w:val="000F0020"/>
    <w:rsid w:val="000F005C"/>
    <w:rsid w:val="000F0082"/>
    <w:rsid w:val="000F00AF"/>
    <w:rsid w:val="000F00C1"/>
    <w:rsid w:val="000F0109"/>
    <w:rsid w:val="000F01CE"/>
    <w:rsid w:val="000F01FD"/>
    <w:rsid w:val="000F0225"/>
    <w:rsid w:val="000F0248"/>
    <w:rsid w:val="000F0277"/>
    <w:rsid w:val="000F02FE"/>
    <w:rsid w:val="000F0342"/>
    <w:rsid w:val="000F03BE"/>
    <w:rsid w:val="000F041C"/>
    <w:rsid w:val="000F044E"/>
    <w:rsid w:val="000F0479"/>
    <w:rsid w:val="000F05B2"/>
    <w:rsid w:val="000F0624"/>
    <w:rsid w:val="000F0669"/>
    <w:rsid w:val="000F066F"/>
    <w:rsid w:val="000F077C"/>
    <w:rsid w:val="000F077D"/>
    <w:rsid w:val="000F07C0"/>
    <w:rsid w:val="000F07D5"/>
    <w:rsid w:val="000F0851"/>
    <w:rsid w:val="000F085D"/>
    <w:rsid w:val="000F088F"/>
    <w:rsid w:val="000F08F2"/>
    <w:rsid w:val="000F095C"/>
    <w:rsid w:val="000F0974"/>
    <w:rsid w:val="000F0979"/>
    <w:rsid w:val="000F0A67"/>
    <w:rsid w:val="000F0A68"/>
    <w:rsid w:val="000F0BBA"/>
    <w:rsid w:val="000F0BC3"/>
    <w:rsid w:val="000F0BE2"/>
    <w:rsid w:val="000F0BF1"/>
    <w:rsid w:val="000F0C16"/>
    <w:rsid w:val="000F0CFC"/>
    <w:rsid w:val="000F0D7F"/>
    <w:rsid w:val="000F0DC6"/>
    <w:rsid w:val="000F0E38"/>
    <w:rsid w:val="000F0E3C"/>
    <w:rsid w:val="000F0EB9"/>
    <w:rsid w:val="000F0EC7"/>
    <w:rsid w:val="000F0F8A"/>
    <w:rsid w:val="000F0F9B"/>
    <w:rsid w:val="000F0FEC"/>
    <w:rsid w:val="000F1010"/>
    <w:rsid w:val="000F1056"/>
    <w:rsid w:val="000F105E"/>
    <w:rsid w:val="000F1073"/>
    <w:rsid w:val="000F10D8"/>
    <w:rsid w:val="000F1105"/>
    <w:rsid w:val="000F1128"/>
    <w:rsid w:val="000F112E"/>
    <w:rsid w:val="000F1195"/>
    <w:rsid w:val="000F1297"/>
    <w:rsid w:val="000F12E2"/>
    <w:rsid w:val="000F1302"/>
    <w:rsid w:val="000F1308"/>
    <w:rsid w:val="000F131B"/>
    <w:rsid w:val="000F1389"/>
    <w:rsid w:val="000F139B"/>
    <w:rsid w:val="000F13F7"/>
    <w:rsid w:val="000F1407"/>
    <w:rsid w:val="000F14BE"/>
    <w:rsid w:val="000F14C3"/>
    <w:rsid w:val="000F14DE"/>
    <w:rsid w:val="000F156B"/>
    <w:rsid w:val="000F15B6"/>
    <w:rsid w:val="000F15D1"/>
    <w:rsid w:val="000F15DA"/>
    <w:rsid w:val="000F1698"/>
    <w:rsid w:val="000F1758"/>
    <w:rsid w:val="000F175F"/>
    <w:rsid w:val="000F17C1"/>
    <w:rsid w:val="000F1800"/>
    <w:rsid w:val="000F1836"/>
    <w:rsid w:val="000F189D"/>
    <w:rsid w:val="000F18D6"/>
    <w:rsid w:val="000F19A8"/>
    <w:rsid w:val="000F19EF"/>
    <w:rsid w:val="000F19F7"/>
    <w:rsid w:val="000F1A0A"/>
    <w:rsid w:val="000F1A70"/>
    <w:rsid w:val="000F1A83"/>
    <w:rsid w:val="000F1A92"/>
    <w:rsid w:val="000F1BC9"/>
    <w:rsid w:val="000F1C3B"/>
    <w:rsid w:val="000F1D2D"/>
    <w:rsid w:val="000F1D32"/>
    <w:rsid w:val="000F1D7D"/>
    <w:rsid w:val="000F1D91"/>
    <w:rsid w:val="000F1DB0"/>
    <w:rsid w:val="000F1E67"/>
    <w:rsid w:val="000F1EB2"/>
    <w:rsid w:val="000F1EE1"/>
    <w:rsid w:val="000F1F2D"/>
    <w:rsid w:val="000F1F6A"/>
    <w:rsid w:val="000F1F72"/>
    <w:rsid w:val="000F1F7C"/>
    <w:rsid w:val="000F1F99"/>
    <w:rsid w:val="000F2010"/>
    <w:rsid w:val="000F20CA"/>
    <w:rsid w:val="000F212B"/>
    <w:rsid w:val="000F2175"/>
    <w:rsid w:val="000F2197"/>
    <w:rsid w:val="000F21D3"/>
    <w:rsid w:val="000F22A2"/>
    <w:rsid w:val="000F236B"/>
    <w:rsid w:val="000F256A"/>
    <w:rsid w:val="000F259B"/>
    <w:rsid w:val="000F25DC"/>
    <w:rsid w:val="000F25DF"/>
    <w:rsid w:val="000F2674"/>
    <w:rsid w:val="000F26C7"/>
    <w:rsid w:val="000F270C"/>
    <w:rsid w:val="000F274C"/>
    <w:rsid w:val="000F275A"/>
    <w:rsid w:val="000F277C"/>
    <w:rsid w:val="000F2880"/>
    <w:rsid w:val="000F2882"/>
    <w:rsid w:val="000F2942"/>
    <w:rsid w:val="000F2955"/>
    <w:rsid w:val="000F29AB"/>
    <w:rsid w:val="000F29DA"/>
    <w:rsid w:val="000F2ADE"/>
    <w:rsid w:val="000F2B27"/>
    <w:rsid w:val="000F2C5B"/>
    <w:rsid w:val="000F2C61"/>
    <w:rsid w:val="000F2CC4"/>
    <w:rsid w:val="000F2D2A"/>
    <w:rsid w:val="000F2D44"/>
    <w:rsid w:val="000F2D83"/>
    <w:rsid w:val="000F2DF5"/>
    <w:rsid w:val="000F2E53"/>
    <w:rsid w:val="000F2E60"/>
    <w:rsid w:val="000F2EEE"/>
    <w:rsid w:val="000F2F1B"/>
    <w:rsid w:val="000F2F35"/>
    <w:rsid w:val="000F2F94"/>
    <w:rsid w:val="000F2FE1"/>
    <w:rsid w:val="000F3048"/>
    <w:rsid w:val="000F305F"/>
    <w:rsid w:val="000F30D3"/>
    <w:rsid w:val="000F30E2"/>
    <w:rsid w:val="000F3115"/>
    <w:rsid w:val="000F3189"/>
    <w:rsid w:val="000F3208"/>
    <w:rsid w:val="000F324D"/>
    <w:rsid w:val="000F329D"/>
    <w:rsid w:val="000F3321"/>
    <w:rsid w:val="000F3360"/>
    <w:rsid w:val="000F336A"/>
    <w:rsid w:val="000F3418"/>
    <w:rsid w:val="000F3500"/>
    <w:rsid w:val="000F3591"/>
    <w:rsid w:val="000F35A5"/>
    <w:rsid w:val="000F35DD"/>
    <w:rsid w:val="000F3604"/>
    <w:rsid w:val="000F3633"/>
    <w:rsid w:val="000F3662"/>
    <w:rsid w:val="000F367B"/>
    <w:rsid w:val="000F3688"/>
    <w:rsid w:val="000F3693"/>
    <w:rsid w:val="000F36A6"/>
    <w:rsid w:val="000F36D7"/>
    <w:rsid w:val="000F3845"/>
    <w:rsid w:val="000F3855"/>
    <w:rsid w:val="000F3901"/>
    <w:rsid w:val="000F39A1"/>
    <w:rsid w:val="000F39F1"/>
    <w:rsid w:val="000F3A4A"/>
    <w:rsid w:val="000F3A9E"/>
    <w:rsid w:val="000F3AB6"/>
    <w:rsid w:val="000F3AC3"/>
    <w:rsid w:val="000F3AC4"/>
    <w:rsid w:val="000F3BD3"/>
    <w:rsid w:val="000F3BD6"/>
    <w:rsid w:val="000F3C13"/>
    <w:rsid w:val="000F3C1D"/>
    <w:rsid w:val="000F3C4B"/>
    <w:rsid w:val="000F3C60"/>
    <w:rsid w:val="000F3D91"/>
    <w:rsid w:val="000F3DFA"/>
    <w:rsid w:val="000F3E30"/>
    <w:rsid w:val="000F3E4C"/>
    <w:rsid w:val="000F3EA8"/>
    <w:rsid w:val="000F3F74"/>
    <w:rsid w:val="000F3F87"/>
    <w:rsid w:val="000F3FE2"/>
    <w:rsid w:val="000F3FE5"/>
    <w:rsid w:val="000F4086"/>
    <w:rsid w:val="000F4093"/>
    <w:rsid w:val="000F4140"/>
    <w:rsid w:val="000F414D"/>
    <w:rsid w:val="000F4233"/>
    <w:rsid w:val="000F4299"/>
    <w:rsid w:val="000F42E5"/>
    <w:rsid w:val="000F42FD"/>
    <w:rsid w:val="000F4308"/>
    <w:rsid w:val="000F4309"/>
    <w:rsid w:val="000F434B"/>
    <w:rsid w:val="000F4392"/>
    <w:rsid w:val="000F4454"/>
    <w:rsid w:val="000F4669"/>
    <w:rsid w:val="000F467B"/>
    <w:rsid w:val="000F46E8"/>
    <w:rsid w:val="000F47B8"/>
    <w:rsid w:val="000F47C3"/>
    <w:rsid w:val="000F47E8"/>
    <w:rsid w:val="000F4803"/>
    <w:rsid w:val="000F485C"/>
    <w:rsid w:val="000F486B"/>
    <w:rsid w:val="000F4876"/>
    <w:rsid w:val="000F488A"/>
    <w:rsid w:val="000F4894"/>
    <w:rsid w:val="000F48AC"/>
    <w:rsid w:val="000F48DF"/>
    <w:rsid w:val="000F48FE"/>
    <w:rsid w:val="000F4902"/>
    <w:rsid w:val="000F49A5"/>
    <w:rsid w:val="000F4A47"/>
    <w:rsid w:val="000F4A95"/>
    <w:rsid w:val="000F4AAB"/>
    <w:rsid w:val="000F4AB2"/>
    <w:rsid w:val="000F4ADE"/>
    <w:rsid w:val="000F4B24"/>
    <w:rsid w:val="000F4B3B"/>
    <w:rsid w:val="000F4B5E"/>
    <w:rsid w:val="000F4B7C"/>
    <w:rsid w:val="000F4BBC"/>
    <w:rsid w:val="000F4BD0"/>
    <w:rsid w:val="000F4D42"/>
    <w:rsid w:val="000F4D9B"/>
    <w:rsid w:val="000F4D9E"/>
    <w:rsid w:val="000F4DA5"/>
    <w:rsid w:val="000F4E0E"/>
    <w:rsid w:val="000F4F0D"/>
    <w:rsid w:val="000F4F79"/>
    <w:rsid w:val="000F5019"/>
    <w:rsid w:val="000F5066"/>
    <w:rsid w:val="000F513F"/>
    <w:rsid w:val="000F5144"/>
    <w:rsid w:val="000F5166"/>
    <w:rsid w:val="000F5188"/>
    <w:rsid w:val="000F5222"/>
    <w:rsid w:val="000F5259"/>
    <w:rsid w:val="000F528E"/>
    <w:rsid w:val="000F52A3"/>
    <w:rsid w:val="000F52FC"/>
    <w:rsid w:val="000F532C"/>
    <w:rsid w:val="000F5373"/>
    <w:rsid w:val="000F53BD"/>
    <w:rsid w:val="000F53EF"/>
    <w:rsid w:val="000F5444"/>
    <w:rsid w:val="000F544B"/>
    <w:rsid w:val="000F5459"/>
    <w:rsid w:val="000F5501"/>
    <w:rsid w:val="000F5564"/>
    <w:rsid w:val="000F5569"/>
    <w:rsid w:val="000F5571"/>
    <w:rsid w:val="000F55F4"/>
    <w:rsid w:val="000F5622"/>
    <w:rsid w:val="000F5631"/>
    <w:rsid w:val="000F563B"/>
    <w:rsid w:val="000F5696"/>
    <w:rsid w:val="000F57AC"/>
    <w:rsid w:val="000F57B8"/>
    <w:rsid w:val="000F5829"/>
    <w:rsid w:val="000F5846"/>
    <w:rsid w:val="000F584B"/>
    <w:rsid w:val="000F5898"/>
    <w:rsid w:val="000F5943"/>
    <w:rsid w:val="000F596E"/>
    <w:rsid w:val="000F59A4"/>
    <w:rsid w:val="000F59AD"/>
    <w:rsid w:val="000F59D6"/>
    <w:rsid w:val="000F5A7A"/>
    <w:rsid w:val="000F5B96"/>
    <w:rsid w:val="000F5BD9"/>
    <w:rsid w:val="000F5BE7"/>
    <w:rsid w:val="000F5C09"/>
    <w:rsid w:val="000F5C0F"/>
    <w:rsid w:val="000F5C44"/>
    <w:rsid w:val="000F5C8F"/>
    <w:rsid w:val="000F5DB3"/>
    <w:rsid w:val="000F5E03"/>
    <w:rsid w:val="000F5E12"/>
    <w:rsid w:val="000F5E2E"/>
    <w:rsid w:val="000F5E60"/>
    <w:rsid w:val="000F5E8E"/>
    <w:rsid w:val="000F5FF1"/>
    <w:rsid w:val="000F6006"/>
    <w:rsid w:val="000F600B"/>
    <w:rsid w:val="000F6031"/>
    <w:rsid w:val="000F60DF"/>
    <w:rsid w:val="000F617B"/>
    <w:rsid w:val="000F619F"/>
    <w:rsid w:val="000F61C7"/>
    <w:rsid w:val="000F61E7"/>
    <w:rsid w:val="000F61EE"/>
    <w:rsid w:val="000F61FE"/>
    <w:rsid w:val="000F6218"/>
    <w:rsid w:val="000F6222"/>
    <w:rsid w:val="000F6228"/>
    <w:rsid w:val="000F623F"/>
    <w:rsid w:val="000F625B"/>
    <w:rsid w:val="000F6291"/>
    <w:rsid w:val="000F62D9"/>
    <w:rsid w:val="000F63B9"/>
    <w:rsid w:val="000F642A"/>
    <w:rsid w:val="000F6448"/>
    <w:rsid w:val="000F6455"/>
    <w:rsid w:val="000F649A"/>
    <w:rsid w:val="000F64FD"/>
    <w:rsid w:val="000F6502"/>
    <w:rsid w:val="000F6504"/>
    <w:rsid w:val="000F65F4"/>
    <w:rsid w:val="000F666F"/>
    <w:rsid w:val="000F6737"/>
    <w:rsid w:val="000F6747"/>
    <w:rsid w:val="000F6854"/>
    <w:rsid w:val="000F6883"/>
    <w:rsid w:val="000F688F"/>
    <w:rsid w:val="000F6977"/>
    <w:rsid w:val="000F6991"/>
    <w:rsid w:val="000F699D"/>
    <w:rsid w:val="000F69A1"/>
    <w:rsid w:val="000F6A76"/>
    <w:rsid w:val="000F6ADD"/>
    <w:rsid w:val="000F6CA8"/>
    <w:rsid w:val="000F6CBF"/>
    <w:rsid w:val="000F6CC1"/>
    <w:rsid w:val="000F6CC2"/>
    <w:rsid w:val="000F6D9D"/>
    <w:rsid w:val="000F6DE9"/>
    <w:rsid w:val="000F6E24"/>
    <w:rsid w:val="000F6E31"/>
    <w:rsid w:val="000F6E51"/>
    <w:rsid w:val="000F6E6D"/>
    <w:rsid w:val="000F6F5E"/>
    <w:rsid w:val="000F6F74"/>
    <w:rsid w:val="000F6F7C"/>
    <w:rsid w:val="000F6F7F"/>
    <w:rsid w:val="000F6FC3"/>
    <w:rsid w:val="000F7047"/>
    <w:rsid w:val="000F7056"/>
    <w:rsid w:val="000F70EF"/>
    <w:rsid w:val="000F7114"/>
    <w:rsid w:val="000F7156"/>
    <w:rsid w:val="000F719D"/>
    <w:rsid w:val="000F71FF"/>
    <w:rsid w:val="000F72BB"/>
    <w:rsid w:val="000F72E0"/>
    <w:rsid w:val="000F7302"/>
    <w:rsid w:val="000F73A7"/>
    <w:rsid w:val="000F73E8"/>
    <w:rsid w:val="000F74C6"/>
    <w:rsid w:val="000F74F0"/>
    <w:rsid w:val="000F7526"/>
    <w:rsid w:val="000F7531"/>
    <w:rsid w:val="000F75C5"/>
    <w:rsid w:val="000F75CF"/>
    <w:rsid w:val="000F766C"/>
    <w:rsid w:val="000F7672"/>
    <w:rsid w:val="000F7705"/>
    <w:rsid w:val="000F7784"/>
    <w:rsid w:val="000F7786"/>
    <w:rsid w:val="000F778D"/>
    <w:rsid w:val="000F7828"/>
    <w:rsid w:val="000F78AC"/>
    <w:rsid w:val="000F79E5"/>
    <w:rsid w:val="000F7A62"/>
    <w:rsid w:val="000F7AB1"/>
    <w:rsid w:val="000F7B16"/>
    <w:rsid w:val="000F7B4F"/>
    <w:rsid w:val="000F7BCC"/>
    <w:rsid w:val="000F7BEB"/>
    <w:rsid w:val="000F7C59"/>
    <w:rsid w:val="000F7CC4"/>
    <w:rsid w:val="000F7CEE"/>
    <w:rsid w:val="000F7DE5"/>
    <w:rsid w:val="000F7E04"/>
    <w:rsid w:val="000F7ECE"/>
    <w:rsid w:val="000F7ED7"/>
    <w:rsid w:val="000F7EDC"/>
    <w:rsid w:val="000F7F20"/>
    <w:rsid w:val="000F7F58"/>
    <w:rsid w:val="00100011"/>
    <w:rsid w:val="00100016"/>
    <w:rsid w:val="00100053"/>
    <w:rsid w:val="001001A9"/>
    <w:rsid w:val="00100216"/>
    <w:rsid w:val="00100225"/>
    <w:rsid w:val="0010022C"/>
    <w:rsid w:val="0010023D"/>
    <w:rsid w:val="00100249"/>
    <w:rsid w:val="0010027C"/>
    <w:rsid w:val="0010029A"/>
    <w:rsid w:val="001002F8"/>
    <w:rsid w:val="00100341"/>
    <w:rsid w:val="0010038F"/>
    <w:rsid w:val="001003A5"/>
    <w:rsid w:val="001003AB"/>
    <w:rsid w:val="00100450"/>
    <w:rsid w:val="00100473"/>
    <w:rsid w:val="001004C2"/>
    <w:rsid w:val="001004EF"/>
    <w:rsid w:val="00100543"/>
    <w:rsid w:val="0010054B"/>
    <w:rsid w:val="0010057E"/>
    <w:rsid w:val="0010062C"/>
    <w:rsid w:val="001006C7"/>
    <w:rsid w:val="00100779"/>
    <w:rsid w:val="00100A28"/>
    <w:rsid w:val="00100A8F"/>
    <w:rsid w:val="00100B23"/>
    <w:rsid w:val="00100B69"/>
    <w:rsid w:val="00100BEB"/>
    <w:rsid w:val="00100CD2"/>
    <w:rsid w:val="00100D5A"/>
    <w:rsid w:val="00100DB3"/>
    <w:rsid w:val="00100DC8"/>
    <w:rsid w:val="00100DEC"/>
    <w:rsid w:val="00100E19"/>
    <w:rsid w:val="00100E66"/>
    <w:rsid w:val="00100EB1"/>
    <w:rsid w:val="00100EB2"/>
    <w:rsid w:val="00100EDE"/>
    <w:rsid w:val="00100EE1"/>
    <w:rsid w:val="00100F22"/>
    <w:rsid w:val="00100F37"/>
    <w:rsid w:val="00100F59"/>
    <w:rsid w:val="00100FAB"/>
    <w:rsid w:val="00100FFE"/>
    <w:rsid w:val="00101169"/>
    <w:rsid w:val="00101232"/>
    <w:rsid w:val="00101241"/>
    <w:rsid w:val="001012C2"/>
    <w:rsid w:val="001012D0"/>
    <w:rsid w:val="001013C2"/>
    <w:rsid w:val="0010141E"/>
    <w:rsid w:val="00101451"/>
    <w:rsid w:val="00101458"/>
    <w:rsid w:val="001014F4"/>
    <w:rsid w:val="00101515"/>
    <w:rsid w:val="00101532"/>
    <w:rsid w:val="00101538"/>
    <w:rsid w:val="001015BD"/>
    <w:rsid w:val="00101601"/>
    <w:rsid w:val="00101606"/>
    <w:rsid w:val="0010169C"/>
    <w:rsid w:val="001016EB"/>
    <w:rsid w:val="00101707"/>
    <w:rsid w:val="00101807"/>
    <w:rsid w:val="00101843"/>
    <w:rsid w:val="00101902"/>
    <w:rsid w:val="00101A53"/>
    <w:rsid w:val="00101A7C"/>
    <w:rsid w:val="00101A96"/>
    <w:rsid w:val="00101AEE"/>
    <w:rsid w:val="00101C3E"/>
    <w:rsid w:val="00101CA1"/>
    <w:rsid w:val="00101CB1"/>
    <w:rsid w:val="00101CC6"/>
    <w:rsid w:val="00101CF3"/>
    <w:rsid w:val="00101D38"/>
    <w:rsid w:val="00101D46"/>
    <w:rsid w:val="00101D5D"/>
    <w:rsid w:val="00101E75"/>
    <w:rsid w:val="00101EBF"/>
    <w:rsid w:val="00101EC4"/>
    <w:rsid w:val="00101ECD"/>
    <w:rsid w:val="00101EF5"/>
    <w:rsid w:val="00101F64"/>
    <w:rsid w:val="00101F81"/>
    <w:rsid w:val="00101F89"/>
    <w:rsid w:val="00101F8B"/>
    <w:rsid w:val="00101FD2"/>
    <w:rsid w:val="00101FE2"/>
    <w:rsid w:val="00102011"/>
    <w:rsid w:val="00102052"/>
    <w:rsid w:val="001020A7"/>
    <w:rsid w:val="001020B9"/>
    <w:rsid w:val="001020F4"/>
    <w:rsid w:val="00102139"/>
    <w:rsid w:val="00102143"/>
    <w:rsid w:val="00102183"/>
    <w:rsid w:val="001021B3"/>
    <w:rsid w:val="001021FD"/>
    <w:rsid w:val="001022E2"/>
    <w:rsid w:val="0010234E"/>
    <w:rsid w:val="0010235E"/>
    <w:rsid w:val="001023C6"/>
    <w:rsid w:val="001023CE"/>
    <w:rsid w:val="00102435"/>
    <w:rsid w:val="0010244C"/>
    <w:rsid w:val="001024AD"/>
    <w:rsid w:val="00102563"/>
    <w:rsid w:val="0010268C"/>
    <w:rsid w:val="001026A3"/>
    <w:rsid w:val="001026DD"/>
    <w:rsid w:val="00102714"/>
    <w:rsid w:val="00102762"/>
    <w:rsid w:val="00102775"/>
    <w:rsid w:val="001027E2"/>
    <w:rsid w:val="00102842"/>
    <w:rsid w:val="001028BF"/>
    <w:rsid w:val="00102980"/>
    <w:rsid w:val="00102A30"/>
    <w:rsid w:val="00102A5B"/>
    <w:rsid w:val="00102AC7"/>
    <w:rsid w:val="00102AE7"/>
    <w:rsid w:val="00102B22"/>
    <w:rsid w:val="00102B96"/>
    <w:rsid w:val="00102C15"/>
    <w:rsid w:val="00102C48"/>
    <w:rsid w:val="00102CC2"/>
    <w:rsid w:val="00102CE6"/>
    <w:rsid w:val="00102CFF"/>
    <w:rsid w:val="00102D09"/>
    <w:rsid w:val="00102D20"/>
    <w:rsid w:val="00102D37"/>
    <w:rsid w:val="00102D4B"/>
    <w:rsid w:val="00102D81"/>
    <w:rsid w:val="00102DE2"/>
    <w:rsid w:val="00102DFB"/>
    <w:rsid w:val="00102E13"/>
    <w:rsid w:val="00102E17"/>
    <w:rsid w:val="00102E59"/>
    <w:rsid w:val="00102F87"/>
    <w:rsid w:val="00102F88"/>
    <w:rsid w:val="00102FA9"/>
    <w:rsid w:val="00102FB6"/>
    <w:rsid w:val="00102FDD"/>
    <w:rsid w:val="0010301B"/>
    <w:rsid w:val="0010303B"/>
    <w:rsid w:val="00103074"/>
    <w:rsid w:val="0010315A"/>
    <w:rsid w:val="00103181"/>
    <w:rsid w:val="0010326D"/>
    <w:rsid w:val="0010327C"/>
    <w:rsid w:val="001032D2"/>
    <w:rsid w:val="0010335E"/>
    <w:rsid w:val="00103399"/>
    <w:rsid w:val="00103425"/>
    <w:rsid w:val="0010346E"/>
    <w:rsid w:val="001034A3"/>
    <w:rsid w:val="00103528"/>
    <w:rsid w:val="00103546"/>
    <w:rsid w:val="001035FB"/>
    <w:rsid w:val="00103650"/>
    <w:rsid w:val="00103652"/>
    <w:rsid w:val="00103660"/>
    <w:rsid w:val="00103661"/>
    <w:rsid w:val="0010371B"/>
    <w:rsid w:val="00103722"/>
    <w:rsid w:val="00103724"/>
    <w:rsid w:val="0010373B"/>
    <w:rsid w:val="0010375E"/>
    <w:rsid w:val="001037C3"/>
    <w:rsid w:val="00103833"/>
    <w:rsid w:val="0010386C"/>
    <w:rsid w:val="001038C8"/>
    <w:rsid w:val="0010391D"/>
    <w:rsid w:val="00103945"/>
    <w:rsid w:val="0010394B"/>
    <w:rsid w:val="001039A9"/>
    <w:rsid w:val="00103A68"/>
    <w:rsid w:val="00103A76"/>
    <w:rsid w:val="00103A84"/>
    <w:rsid w:val="00103AA6"/>
    <w:rsid w:val="00103BE7"/>
    <w:rsid w:val="00103C40"/>
    <w:rsid w:val="00103C51"/>
    <w:rsid w:val="00103C9B"/>
    <w:rsid w:val="00103CBE"/>
    <w:rsid w:val="00103D07"/>
    <w:rsid w:val="00103DD6"/>
    <w:rsid w:val="00103DEC"/>
    <w:rsid w:val="00103DF2"/>
    <w:rsid w:val="00103E3B"/>
    <w:rsid w:val="00103F3F"/>
    <w:rsid w:val="00103F45"/>
    <w:rsid w:val="00103FB3"/>
    <w:rsid w:val="00103FE2"/>
    <w:rsid w:val="00104039"/>
    <w:rsid w:val="00104044"/>
    <w:rsid w:val="00104080"/>
    <w:rsid w:val="001040D9"/>
    <w:rsid w:val="0010410F"/>
    <w:rsid w:val="00104139"/>
    <w:rsid w:val="00104143"/>
    <w:rsid w:val="0010415E"/>
    <w:rsid w:val="0010419A"/>
    <w:rsid w:val="001041D7"/>
    <w:rsid w:val="001041FD"/>
    <w:rsid w:val="00104323"/>
    <w:rsid w:val="0010435F"/>
    <w:rsid w:val="00104367"/>
    <w:rsid w:val="00104368"/>
    <w:rsid w:val="00104371"/>
    <w:rsid w:val="001043CE"/>
    <w:rsid w:val="00104403"/>
    <w:rsid w:val="0010441B"/>
    <w:rsid w:val="00104436"/>
    <w:rsid w:val="001044BA"/>
    <w:rsid w:val="0010458D"/>
    <w:rsid w:val="00104610"/>
    <w:rsid w:val="0010462B"/>
    <w:rsid w:val="0010464F"/>
    <w:rsid w:val="001046DD"/>
    <w:rsid w:val="001046EB"/>
    <w:rsid w:val="00104783"/>
    <w:rsid w:val="001047F0"/>
    <w:rsid w:val="00104830"/>
    <w:rsid w:val="00104900"/>
    <w:rsid w:val="00104939"/>
    <w:rsid w:val="00104956"/>
    <w:rsid w:val="00104978"/>
    <w:rsid w:val="00104A8E"/>
    <w:rsid w:val="00104AF4"/>
    <w:rsid w:val="00104B5C"/>
    <w:rsid w:val="00104B62"/>
    <w:rsid w:val="00104B6E"/>
    <w:rsid w:val="00104BDD"/>
    <w:rsid w:val="00104BF8"/>
    <w:rsid w:val="00104C33"/>
    <w:rsid w:val="00104C3D"/>
    <w:rsid w:val="00104C40"/>
    <w:rsid w:val="00104E9B"/>
    <w:rsid w:val="00104EB2"/>
    <w:rsid w:val="00104EC3"/>
    <w:rsid w:val="00104EF6"/>
    <w:rsid w:val="00104F19"/>
    <w:rsid w:val="00104F8A"/>
    <w:rsid w:val="00104F9E"/>
    <w:rsid w:val="00104FC7"/>
    <w:rsid w:val="00104FF7"/>
    <w:rsid w:val="00105001"/>
    <w:rsid w:val="00105030"/>
    <w:rsid w:val="00105079"/>
    <w:rsid w:val="00105087"/>
    <w:rsid w:val="001050FD"/>
    <w:rsid w:val="00105120"/>
    <w:rsid w:val="00105124"/>
    <w:rsid w:val="00105171"/>
    <w:rsid w:val="001051F0"/>
    <w:rsid w:val="001051F7"/>
    <w:rsid w:val="00105201"/>
    <w:rsid w:val="0010521D"/>
    <w:rsid w:val="001052AB"/>
    <w:rsid w:val="0010532D"/>
    <w:rsid w:val="00105394"/>
    <w:rsid w:val="001053AE"/>
    <w:rsid w:val="00105427"/>
    <w:rsid w:val="00105442"/>
    <w:rsid w:val="00105486"/>
    <w:rsid w:val="001054D3"/>
    <w:rsid w:val="00105564"/>
    <w:rsid w:val="00105580"/>
    <w:rsid w:val="001055B0"/>
    <w:rsid w:val="00105622"/>
    <w:rsid w:val="00105650"/>
    <w:rsid w:val="00105675"/>
    <w:rsid w:val="00105688"/>
    <w:rsid w:val="001056CD"/>
    <w:rsid w:val="00105707"/>
    <w:rsid w:val="0010570E"/>
    <w:rsid w:val="00105748"/>
    <w:rsid w:val="001057B6"/>
    <w:rsid w:val="001057DF"/>
    <w:rsid w:val="001057FD"/>
    <w:rsid w:val="00105804"/>
    <w:rsid w:val="0010580A"/>
    <w:rsid w:val="0010582C"/>
    <w:rsid w:val="00105842"/>
    <w:rsid w:val="0010593D"/>
    <w:rsid w:val="00105972"/>
    <w:rsid w:val="001059D2"/>
    <w:rsid w:val="00105B35"/>
    <w:rsid w:val="00105B76"/>
    <w:rsid w:val="00105B95"/>
    <w:rsid w:val="00105BC6"/>
    <w:rsid w:val="00105CAE"/>
    <w:rsid w:val="00105CBA"/>
    <w:rsid w:val="00105D3D"/>
    <w:rsid w:val="00105D98"/>
    <w:rsid w:val="00105DC1"/>
    <w:rsid w:val="00105E02"/>
    <w:rsid w:val="00105E1C"/>
    <w:rsid w:val="00105E41"/>
    <w:rsid w:val="00105E49"/>
    <w:rsid w:val="00105E60"/>
    <w:rsid w:val="00105F17"/>
    <w:rsid w:val="00105F76"/>
    <w:rsid w:val="00105F82"/>
    <w:rsid w:val="00105FA2"/>
    <w:rsid w:val="00105FD4"/>
    <w:rsid w:val="00106055"/>
    <w:rsid w:val="001060B2"/>
    <w:rsid w:val="0010612E"/>
    <w:rsid w:val="00106133"/>
    <w:rsid w:val="00106148"/>
    <w:rsid w:val="0010615E"/>
    <w:rsid w:val="00106245"/>
    <w:rsid w:val="00106252"/>
    <w:rsid w:val="00106283"/>
    <w:rsid w:val="001062F5"/>
    <w:rsid w:val="001062F8"/>
    <w:rsid w:val="00106362"/>
    <w:rsid w:val="0010640D"/>
    <w:rsid w:val="00106455"/>
    <w:rsid w:val="00106457"/>
    <w:rsid w:val="001064B2"/>
    <w:rsid w:val="00106548"/>
    <w:rsid w:val="001065AC"/>
    <w:rsid w:val="001065D9"/>
    <w:rsid w:val="0010662B"/>
    <w:rsid w:val="00106633"/>
    <w:rsid w:val="0010665A"/>
    <w:rsid w:val="00106691"/>
    <w:rsid w:val="001066A0"/>
    <w:rsid w:val="001066A2"/>
    <w:rsid w:val="001066B2"/>
    <w:rsid w:val="001066B9"/>
    <w:rsid w:val="001067A3"/>
    <w:rsid w:val="001067FF"/>
    <w:rsid w:val="00106836"/>
    <w:rsid w:val="0010683B"/>
    <w:rsid w:val="0010686E"/>
    <w:rsid w:val="001069C9"/>
    <w:rsid w:val="00106A4C"/>
    <w:rsid w:val="00106A56"/>
    <w:rsid w:val="00106A5F"/>
    <w:rsid w:val="00106A67"/>
    <w:rsid w:val="00106AD8"/>
    <w:rsid w:val="00106B24"/>
    <w:rsid w:val="00106B69"/>
    <w:rsid w:val="00106B78"/>
    <w:rsid w:val="00106C81"/>
    <w:rsid w:val="00106CDE"/>
    <w:rsid w:val="00106CFD"/>
    <w:rsid w:val="00106D4B"/>
    <w:rsid w:val="00106DC6"/>
    <w:rsid w:val="00106E6E"/>
    <w:rsid w:val="00106EEC"/>
    <w:rsid w:val="00106F03"/>
    <w:rsid w:val="00106FCD"/>
    <w:rsid w:val="00107032"/>
    <w:rsid w:val="001070D6"/>
    <w:rsid w:val="001070E7"/>
    <w:rsid w:val="001070EC"/>
    <w:rsid w:val="001070F5"/>
    <w:rsid w:val="0010712A"/>
    <w:rsid w:val="0010714A"/>
    <w:rsid w:val="00107220"/>
    <w:rsid w:val="00107290"/>
    <w:rsid w:val="001072A2"/>
    <w:rsid w:val="001072B8"/>
    <w:rsid w:val="0010731D"/>
    <w:rsid w:val="001073CB"/>
    <w:rsid w:val="001073EB"/>
    <w:rsid w:val="0010743B"/>
    <w:rsid w:val="001074C9"/>
    <w:rsid w:val="00107524"/>
    <w:rsid w:val="00107567"/>
    <w:rsid w:val="00107642"/>
    <w:rsid w:val="00107674"/>
    <w:rsid w:val="00107693"/>
    <w:rsid w:val="001076A9"/>
    <w:rsid w:val="0010773C"/>
    <w:rsid w:val="0010773D"/>
    <w:rsid w:val="00107753"/>
    <w:rsid w:val="00107767"/>
    <w:rsid w:val="0010777A"/>
    <w:rsid w:val="0010778C"/>
    <w:rsid w:val="001077FD"/>
    <w:rsid w:val="00107816"/>
    <w:rsid w:val="001078B7"/>
    <w:rsid w:val="001079C7"/>
    <w:rsid w:val="00107A1A"/>
    <w:rsid w:val="00107A3C"/>
    <w:rsid w:val="00107AEC"/>
    <w:rsid w:val="00107B47"/>
    <w:rsid w:val="00107C11"/>
    <w:rsid w:val="00107C5B"/>
    <w:rsid w:val="00107CD2"/>
    <w:rsid w:val="00107CEB"/>
    <w:rsid w:val="00107D4B"/>
    <w:rsid w:val="00107D80"/>
    <w:rsid w:val="00107D9F"/>
    <w:rsid w:val="00107DE2"/>
    <w:rsid w:val="00107E26"/>
    <w:rsid w:val="00107E6A"/>
    <w:rsid w:val="00107E7B"/>
    <w:rsid w:val="00107E8E"/>
    <w:rsid w:val="00107F65"/>
    <w:rsid w:val="00107FB0"/>
    <w:rsid w:val="00107FE3"/>
    <w:rsid w:val="0011001F"/>
    <w:rsid w:val="001100AB"/>
    <w:rsid w:val="001101DC"/>
    <w:rsid w:val="001101E3"/>
    <w:rsid w:val="00110261"/>
    <w:rsid w:val="001102D5"/>
    <w:rsid w:val="00110375"/>
    <w:rsid w:val="0011038C"/>
    <w:rsid w:val="001103AB"/>
    <w:rsid w:val="001103E9"/>
    <w:rsid w:val="001103EF"/>
    <w:rsid w:val="001104A2"/>
    <w:rsid w:val="001104BA"/>
    <w:rsid w:val="001104DC"/>
    <w:rsid w:val="001104E0"/>
    <w:rsid w:val="0011056C"/>
    <w:rsid w:val="00110676"/>
    <w:rsid w:val="001106A8"/>
    <w:rsid w:val="00110719"/>
    <w:rsid w:val="0011073A"/>
    <w:rsid w:val="0011089E"/>
    <w:rsid w:val="00110981"/>
    <w:rsid w:val="00110996"/>
    <w:rsid w:val="00110A01"/>
    <w:rsid w:val="00110A1F"/>
    <w:rsid w:val="00110A33"/>
    <w:rsid w:val="00110AAE"/>
    <w:rsid w:val="00110B18"/>
    <w:rsid w:val="00110C2F"/>
    <w:rsid w:val="00110C62"/>
    <w:rsid w:val="00110CF8"/>
    <w:rsid w:val="00110D40"/>
    <w:rsid w:val="00110DA4"/>
    <w:rsid w:val="00110DD6"/>
    <w:rsid w:val="00110E39"/>
    <w:rsid w:val="00110E40"/>
    <w:rsid w:val="00110EA3"/>
    <w:rsid w:val="00110EEF"/>
    <w:rsid w:val="00110F1C"/>
    <w:rsid w:val="00110F5B"/>
    <w:rsid w:val="00110F95"/>
    <w:rsid w:val="00110FA0"/>
    <w:rsid w:val="00110FCA"/>
    <w:rsid w:val="00111032"/>
    <w:rsid w:val="001110C4"/>
    <w:rsid w:val="00111193"/>
    <w:rsid w:val="00111216"/>
    <w:rsid w:val="0011121E"/>
    <w:rsid w:val="001112CC"/>
    <w:rsid w:val="001112D8"/>
    <w:rsid w:val="001112E6"/>
    <w:rsid w:val="0011130D"/>
    <w:rsid w:val="001113D1"/>
    <w:rsid w:val="001113DB"/>
    <w:rsid w:val="001114D4"/>
    <w:rsid w:val="0011150E"/>
    <w:rsid w:val="00111530"/>
    <w:rsid w:val="00111592"/>
    <w:rsid w:val="001115D2"/>
    <w:rsid w:val="001115D8"/>
    <w:rsid w:val="00111643"/>
    <w:rsid w:val="00111658"/>
    <w:rsid w:val="0011165F"/>
    <w:rsid w:val="00111684"/>
    <w:rsid w:val="001116C2"/>
    <w:rsid w:val="001116D0"/>
    <w:rsid w:val="00111727"/>
    <w:rsid w:val="0011176C"/>
    <w:rsid w:val="001117BE"/>
    <w:rsid w:val="00111851"/>
    <w:rsid w:val="0011194F"/>
    <w:rsid w:val="00111972"/>
    <w:rsid w:val="00111A03"/>
    <w:rsid w:val="00111ABB"/>
    <w:rsid w:val="00111B40"/>
    <w:rsid w:val="00111B98"/>
    <w:rsid w:val="00111C31"/>
    <w:rsid w:val="00111C5F"/>
    <w:rsid w:val="00111C74"/>
    <w:rsid w:val="00111C88"/>
    <w:rsid w:val="00111C9E"/>
    <w:rsid w:val="00111D3D"/>
    <w:rsid w:val="00111D79"/>
    <w:rsid w:val="00111E4B"/>
    <w:rsid w:val="00111EDB"/>
    <w:rsid w:val="00111EF1"/>
    <w:rsid w:val="00111FBE"/>
    <w:rsid w:val="00111FD3"/>
    <w:rsid w:val="00111FE7"/>
    <w:rsid w:val="00111FF3"/>
    <w:rsid w:val="00112007"/>
    <w:rsid w:val="0011200E"/>
    <w:rsid w:val="0011201C"/>
    <w:rsid w:val="00112049"/>
    <w:rsid w:val="00112124"/>
    <w:rsid w:val="001121A0"/>
    <w:rsid w:val="0011225D"/>
    <w:rsid w:val="00112289"/>
    <w:rsid w:val="001122A0"/>
    <w:rsid w:val="001122DA"/>
    <w:rsid w:val="001122FC"/>
    <w:rsid w:val="00112310"/>
    <w:rsid w:val="00112383"/>
    <w:rsid w:val="00112397"/>
    <w:rsid w:val="001123E7"/>
    <w:rsid w:val="001123F3"/>
    <w:rsid w:val="0011247C"/>
    <w:rsid w:val="0011254D"/>
    <w:rsid w:val="00112590"/>
    <w:rsid w:val="0011260D"/>
    <w:rsid w:val="00112626"/>
    <w:rsid w:val="00112644"/>
    <w:rsid w:val="00112686"/>
    <w:rsid w:val="001126E7"/>
    <w:rsid w:val="00112722"/>
    <w:rsid w:val="0011276C"/>
    <w:rsid w:val="001127ED"/>
    <w:rsid w:val="0011282F"/>
    <w:rsid w:val="00112836"/>
    <w:rsid w:val="001128FC"/>
    <w:rsid w:val="0011291A"/>
    <w:rsid w:val="001129B7"/>
    <w:rsid w:val="001129C8"/>
    <w:rsid w:val="001129C9"/>
    <w:rsid w:val="001129F2"/>
    <w:rsid w:val="001129FC"/>
    <w:rsid w:val="00112BC7"/>
    <w:rsid w:val="00112C07"/>
    <w:rsid w:val="00112C65"/>
    <w:rsid w:val="00112CA1"/>
    <w:rsid w:val="00112CA2"/>
    <w:rsid w:val="00112D04"/>
    <w:rsid w:val="00112D75"/>
    <w:rsid w:val="00112F01"/>
    <w:rsid w:val="00112F91"/>
    <w:rsid w:val="001130A4"/>
    <w:rsid w:val="0011312F"/>
    <w:rsid w:val="00113168"/>
    <w:rsid w:val="001131C2"/>
    <w:rsid w:val="001131E1"/>
    <w:rsid w:val="00113204"/>
    <w:rsid w:val="0011320F"/>
    <w:rsid w:val="00113216"/>
    <w:rsid w:val="00113249"/>
    <w:rsid w:val="00113296"/>
    <w:rsid w:val="0011329B"/>
    <w:rsid w:val="001132B7"/>
    <w:rsid w:val="001132B9"/>
    <w:rsid w:val="001132E0"/>
    <w:rsid w:val="001132F3"/>
    <w:rsid w:val="00113367"/>
    <w:rsid w:val="00113391"/>
    <w:rsid w:val="001133FD"/>
    <w:rsid w:val="00113420"/>
    <w:rsid w:val="0011342E"/>
    <w:rsid w:val="00113438"/>
    <w:rsid w:val="00113449"/>
    <w:rsid w:val="00113471"/>
    <w:rsid w:val="00113515"/>
    <w:rsid w:val="00113544"/>
    <w:rsid w:val="00113591"/>
    <w:rsid w:val="0011364F"/>
    <w:rsid w:val="00113655"/>
    <w:rsid w:val="00113660"/>
    <w:rsid w:val="001136AD"/>
    <w:rsid w:val="001136D7"/>
    <w:rsid w:val="0011370B"/>
    <w:rsid w:val="00113761"/>
    <w:rsid w:val="001137DA"/>
    <w:rsid w:val="00113820"/>
    <w:rsid w:val="00113925"/>
    <w:rsid w:val="00113932"/>
    <w:rsid w:val="001139CA"/>
    <w:rsid w:val="001139F5"/>
    <w:rsid w:val="00113AF8"/>
    <w:rsid w:val="00113B0C"/>
    <w:rsid w:val="00113B3E"/>
    <w:rsid w:val="00113B4F"/>
    <w:rsid w:val="00113B53"/>
    <w:rsid w:val="00113B5F"/>
    <w:rsid w:val="00113BB9"/>
    <w:rsid w:val="00113BD9"/>
    <w:rsid w:val="00113C12"/>
    <w:rsid w:val="00113CAA"/>
    <w:rsid w:val="00113CE3"/>
    <w:rsid w:val="00113D05"/>
    <w:rsid w:val="00113D0B"/>
    <w:rsid w:val="00113D63"/>
    <w:rsid w:val="00113DDF"/>
    <w:rsid w:val="00113DED"/>
    <w:rsid w:val="00113DF7"/>
    <w:rsid w:val="00113E0C"/>
    <w:rsid w:val="00113F85"/>
    <w:rsid w:val="00113F89"/>
    <w:rsid w:val="00113FAD"/>
    <w:rsid w:val="00114002"/>
    <w:rsid w:val="0011400F"/>
    <w:rsid w:val="0011401B"/>
    <w:rsid w:val="00114030"/>
    <w:rsid w:val="00114103"/>
    <w:rsid w:val="00114194"/>
    <w:rsid w:val="001141B6"/>
    <w:rsid w:val="00114260"/>
    <w:rsid w:val="00114280"/>
    <w:rsid w:val="001142E5"/>
    <w:rsid w:val="001142F1"/>
    <w:rsid w:val="0011433D"/>
    <w:rsid w:val="00114350"/>
    <w:rsid w:val="001143CB"/>
    <w:rsid w:val="0011440F"/>
    <w:rsid w:val="00114488"/>
    <w:rsid w:val="0011448E"/>
    <w:rsid w:val="001144D2"/>
    <w:rsid w:val="001144F7"/>
    <w:rsid w:val="0011451E"/>
    <w:rsid w:val="0011453D"/>
    <w:rsid w:val="00114576"/>
    <w:rsid w:val="00114588"/>
    <w:rsid w:val="001145ED"/>
    <w:rsid w:val="001146BC"/>
    <w:rsid w:val="001146C3"/>
    <w:rsid w:val="00114716"/>
    <w:rsid w:val="00114752"/>
    <w:rsid w:val="00114758"/>
    <w:rsid w:val="0011480B"/>
    <w:rsid w:val="0011482D"/>
    <w:rsid w:val="00114858"/>
    <w:rsid w:val="00114863"/>
    <w:rsid w:val="00114890"/>
    <w:rsid w:val="0011489D"/>
    <w:rsid w:val="001148AB"/>
    <w:rsid w:val="001148DB"/>
    <w:rsid w:val="0011492A"/>
    <w:rsid w:val="0011495B"/>
    <w:rsid w:val="0011496F"/>
    <w:rsid w:val="00114977"/>
    <w:rsid w:val="00114990"/>
    <w:rsid w:val="001149C3"/>
    <w:rsid w:val="001149F5"/>
    <w:rsid w:val="00114A22"/>
    <w:rsid w:val="00114A4F"/>
    <w:rsid w:val="00114AFD"/>
    <w:rsid w:val="00114B25"/>
    <w:rsid w:val="00114B4A"/>
    <w:rsid w:val="00114B55"/>
    <w:rsid w:val="00114B94"/>
    <w:rsid w:val="00114BD1"/>
    <w:rsid w:val="00114BEA"/>
    <w:rsid w:val="00114C84"/>
    <w:rsid w:val="00114DD5"/>
    <w:rsid w:val="00114DF8"/>
    <w:rsid w:val="00114E1B"/>
    <w:rsid w:val="00114E42"/>
    <w:rsid w:val="00114F19"/>
    <w:rsid w:val="00115092"/>
    <w:rsid w:val="0011510C"/>
    <w:rsid w:val="0011514E"/>
    <w:rsid w:val="001151A2"/>
    <w:rsid w:val="0011524F"/>
    <w:rsid w:val="00115299"/>
    <w:rsid w:val="0011531B"/>
    <w:rsid w:val="0011536B"/>
    <w:rsid w:val="0011538F"/>
    <w:rsid w:val="001153AB"/>
    <w:rsid w:val="001153DE"/>
    <w:rsid w:val="001153E9"/>
    <w:rsid w:val="001154A1"/>
    <w:rsid w:val="001154FF"/>
    <w:rsid w:val="00115517"/>
    <w:rsid w:val="0011554D"/>
    <w:rsid w:val="001155E1"/>
    <w:rsid w:val="00115606"/>
    <w:rsid w:val="00115615"/>
    <w:rsid w:val="0011562E"/>
    <w:rsid w:val="00115650"/>
    <w:rsid w:val="0011581D"/>
    <w:rsid w:val="00115829"/>
    <w:rsid w:val="0011585F"/>
    <w:rsid w:val="001158DB"/>
    <w:rsid w:val="00115910"/>
    <w:rsid w:val="0011591C"/>
    <w:rsid w:val="001159A5"/>
    <w:rsid w:val="001159C2"/>
    <w:rsid w:val="00115A9D"/>
    <w:rsid w:val="00115AE4"/>
    <w:rsid w:val="00115AF7"/>
    <w:rsid w:val="00115C10"/>
    <w:rsid w:val="00115CAE"/>
    <w:rsid w:val="00115CB7"/>
    <w:rsid w:val="00115CD3"/>
    <w:rsid w:val="00115CD5"/>
    <w:rsid w:val="00115D8C"/>
    <w:rsid w:val="00115DD7"/>
    <w:rsid w:val="00115E03"/>
    <w:rsid w:val="00115E1B"/>
    <w:rsid w:val="00115E34"/>
    <w:rsid w:val="00115E6F"/>
    <w:rsid w:val="00115EFA"/>
    <w:rsid w:val="00115F49"/>
    <w:rsid w:val="00115FC4"/>
    <w:rsid w:val="00115FCE"/>
    <w:rsid w:val="00115FF5"/>
    <w:rsid w:val="00116020"/>
    <w:rsid w:val="001160BF"/>
    <w:rsid w:val="001160E9"/>
    <w:rsid w:val="001160FF"/>
    <w:rsid w:val="0011610E"/>
    <w:rsid w:val="00116112"/>
    <w:rsid w:val="00116189"/>
    <w:rsid w:val="0011618D"/>
    <w:rsid w:val="00116190"/>
    <w:rsid w:val="00116194"/>
    <w:rsid w:val="001161B8"/>
    <w:rsid w:val="001161D1"/>
    <w:rsid w:val="0011622E"/>
    <w:rsid w:val="001162AC"/>
    <w:rsid w:val="001162C4"/>
    <w:rsid w:val="001162C8"/>
    <w:rsid w:val="001163DA"/>
    <w:rsid w:val="001163ED"/>
    <w:rsid w:val="001164A2"/>
    <w:rsid w:val="001164B1"/>
    <w:rsid w:val="001164EA"/>
    <w:rsid w:val="0011655B"/>
    <w:rsid w:val="001165C0"/>
    <w:rsid w:val="00116619"/>
    <w:rsid w:val="0011669E"/>
    <w:rsid w:val="001166B1"/>
    <w:rsid w:val="001166B5"/>
    <w:rsid w:val="001166BD"/>
    <w:rsid w:val="00116737"/>
    <w:rsid w:val="0011679D"/>
    <w:rsid w:val="001167B1"/>
    <w:rsid w:val="001167ED"/>
    <w:rsid w:val="001167FA"/>
    <w:rsid w:val="0011683E"/>
    <w:rsid w:val="00116861"/>
    <w:rsid w:val="00116868"/>
    <w:rsid w:val="0011688E"/>
    <w:rsid w:val="001168C3"/>
    <w:rsid w:val="001168E7"/>
    <w:rsid w:val="0011693A"/>
    <w:rsid w:val="001169C7"/>
    <w:rsid w:val="00116A30"/>
    <w:rsid w:val="00116A5C"/>
    <w:rsid w:val="00116AEA"/>
    <w:rsid w:val="00116B0B"/>
    <w:rsid w:val="00116B92"/>
    <w:rsid w:val="00116C0E"/>
    <w:rsid w:val="00116C86"/>
    <w:rsid w:val="00116CBC"/>
    <w:rsid w:val="00116D0F"/>
    <w:rsid w:val="00116DD3"/>
    <w:rsid w:val="00116E38"/>
    <w:rsid w:val="00116E3F"/>
    <w:rsid w:val="00116E45"/>
    <w:rsid w:val="00116E7D"/>
    <w:rsid w:val="00116EC0"/>
    <w:rsid w:val="00116ED6"/>
    <w:rsid w:val="00116EEB"/>
    <w:rsid w:val="00116EF0"/>
    <w:rsid w:val="00116F23"/>
    <w:rsid w:val="00116F38"/>
    <w:rsid w:val="00116F4B"/>
    <w:rsid w:val="00116FF8"/>
    <w:rsid w:val="001170CF"/>
    <w:rsid w:val="0011711A"/>
    <w:rsid w:val="00117139"/>
    <w:rsid w:val="001171A6"/>
    <w:rsid w:val="001171BA"/>
    <w:rsid w:val="001171DD"/>
    <w:rsid w:val="00117230"/>
    <w:rsid w:val="00117256"/>
    <w:rsid w:val="0011726E"/>
    <w:rsid w:val="001172B9"/>
    <w:rsid w:val="0011731C"/>
    <w:rsid w:val="00117360"/>
    <w:rsid w:val="00117372"/>
    <w:rsid w:val="0011739F"/>
    <w:rsid w:val="001173EE"/>
    <w:rsid w:val="0011740C"/>
    <w:rsid w:val="0011743B"/>
    <w:rsid w:val="00117455"/>
    <w:rsid w:val="00117457"/>
    <w:rsid w:val="00117458"/>
    <w:rsid w:val="001174A4"/>
    <w:rsid w:val="001174FD"/>
    <w:rsid w:val="00117537"/>
    <w:rsid w:val="00117554"/>
    <w:rsid w:val="00117569"/>
    <w:rsid w:val="001175F8"/>
    <w:rsid w:val="0011763D"/>
    <w:rsid w:val="001176D4"/>
    <w:rsid w:val="0011770A"/>
    <w:rsid w:val="0011772D"/>
    <w:rsid w:val="00117730"/>
    <w:rsid w:val="0011784E"/>
    <w:rsid w:val="00117891"/>
    <w:rsid w:val="0011789A"/>
    <w:rsid w:val="001178A8"/>
    <w:rsid w:val="001178A9"/>
    <w:rsid w:val="001178AF"/>
    <w:rsid w:val="001178E9"/>
    <w:rsid w:val="0011792D"/>
    <w:rsid w:val="00117947"/>
    <w:rsid w:val="0011796C"/>
    <w:rsid w:val="00117986"/>
    <w:rsid w:val="00117993"/>
    <w:rsid w:val="0011799F"/>
    <w:rsid w:val="00117A41"/>
    <w:rsid w:val="00117B53"/>
    <w:rsid w:val="00117B7D"/>
    <w:rsid w:val="00117C3C"/>
    <w:rsid w:val="00117C7C"/>
    <w:rsid w:val="00117CBE"/>
    <w:rsid w:val="00117CDD"/>
    <w:rsid w:val="00117D05"/>
    <w:rsid w:val="00117D97"/>
    <w:rsid w:val="00117DA7"/>
    <w:rsid w:val="00117F00"/>
    <w:rsid w:val="00117F03"/>
    <w:rsid w:val="00117F3E"/>
    <w:rsid w:val="00117FEE"/>
    <w:rsid w:val="0012005B"/>
    <w:rsid w:val="00120100"/>
    <w:rsid w:val="0012010D"/>
    <w:rsid w:val="0012013E"/>
    <w:rsid w:val="00120192"/>
    <w:rsid w:val="001201C4"/>
    <w:rsid w:val="001201D5"/>
    <w:rsid w:val="00120281"/>
    <w:rsid w:val="001202B3"/>
    <w:rsid w:val="001202FE"/>
    <w:rsid w:val="00120359"/>
    <w:rsid w:val="00120384"/>
    <w:rsid w:val="00120482"/>
    <w:rsid w:val="00120536"/>
    <w:rsid w:val="0012057B"/>
    <w:rsid w:val="00120580"/>
    <w:rsid w:val="00120637"/>
    <w:rsid w:val="00120719"/>
    <w:rsid w:val="0012072A"/>
    <w:rsid w:val="00120783"/>
    <w:rsid w:val="0012079B"/>
    <w:rsid w:val="00120836"/>
    <w:rsid w:val="0012083F"/>
    <w:rsid w:val="0012088B"/>
    <w:rsid w:val="00120894"/>
    <w:rsid w:val="001208AA"/>
    <w:rsid w:val="001208BE"/>
    <w:rsid w:val="00120901"/>
    <w:rsid w:val="00120912"/>
    <w:rsid w:val="00120976"/>
    <w:rsid w:val="00120999"/>
    <w:rsid w:val="00120A01"/>
    <w:rsid w:val="00120A1A"/>
    <w:rsid w:val="00120ADE"/>
    <w:rsid w:val="00120B63"/>
    <w:rsid w:val="00120B76"/>
    <w:rsid w:val="00120BB7"/>
    <w:rsid w:val="00120BCE"/>
    <w:rsid w:val="00120BD4"/>
    <w:rsid w:val="00120BF5"/>
    <w:rsid w:val="00120CB9"/>
    <w:rsid w:val="00120DE1"/>
    <w:rsid w:val="00120DF7"/>
    <w:rsid w:val="00120ECA"/>
    <w:rsid w:val="00120EDF"/>
    <w:rsid w:val="00120EE8"/>
    <w:rsid w:val="00120F33"/>
    <w:rsid w:val="00121026"/>
    <w:rsid w:val="0012117E"/>
    <w:rsid w:val="0012129E"/>
    <w:rsid w:val="001212AC"/>
    <w:rsid w:val="001212C4"/>
    <w:rsid w:val="001212F0"/>
    <w:rsid w:val="00121344"/>
    <w:rsid w:val="00121397"/>
    <w:rsid w:val="00121410"/>
    <w:rsid w:val="00121475"/>
    <w:rsid w:val="001214F7"/>
    <w:rsid w:val="00121516"/>
    <w:rsid w:val="0012151A"/>
    <w:rsid w:val="0012152D"/>
    <w:rsid w:val="001215A5"/>
    <w:rsid w:val="001215FE"/>
    <w:rsid w:val="00121653"/>
    <w:rsid w:val="00121658"/>
    <w:rsid w:val="001216B7"/>
    <w:rsid w:val="001216CE"/>
    <w:rsid w:val="001216F1"/>
    <w:rsid w:val="0012171B"/>
    <w:rsid w:val="00121774"/>
    <w:rsid w:val="00121794"/>
    <w:rsid w:val="001217BA"/>
    <w:rsid w:val="00121837"/>
    <w:rsid w:val="001218C9"/>
    <w:rsid w:val="00121910"/>
    <w:rsid w:val="001219A3"/>
    <w:rsid w:val="001219E6"/>
    <w:rsid w:val="001219E9"/>
    <w:rsid w:val="00121B8A"/>
    <w:rsid w:val="00121CDB"/>
    <w:rsid w:val="00121E93"/>
    <w:rsid w:val="00121E97"/>
    <w:rsid w:val="00121F0B"/>
    <w:rsid w:val="00121F3B"/>
    <w:rsid w:val="00121F5F"/>
    <w:rsid w:val="00121F74"/>
    <w:rsid w:val="00121F92"/>
    <w:rsid w:val="0012200B"/>
    <w:rsid w:val="0012202B"/>
    <w:rsid w:val="0012205B"/>
    <w:rsid w:val="00122060"/>
    <w:rsid w:val="00122073"/>
    <w:rsid w:val="00122076"/>
    <w:rsid w:val="001220E6"/>
    <w:rsid w:val="00122161"/>
    <w:rsid w:val="001221A3"/>
    <w:rsid w:val="001221EB"/>
    <w:rsid w:val="00122200"/>
    <w:rsid w:val="0012229A"/>
    <w:rsid w:val="001222DF"/>
    <w:rsid w:val="001222E6"/>
    <w:rsid w:val="0012231E"/>
    <w:rsid w:val="001223D4"/>
    <w:rsid w:val="001223F9"/>
    <w:rsid w:val="001224BC"/>
    <w:rsid w:val="001224BF"/>
    <w:rsid w:val="00122536"/>
    <w:rsid w:val="0012253F"/>
    <w:rsid w:val="0012256C"/>
    <w:rsid w:val="00122603"/>
    <w:rsid w:val="00122616"/>
    <w:rsid w:val="00122624"/>
    <w:rsid w:val="00122676"/>
    <w:rsid w:val="0012273A"/>
    <w:rsid w:val="00122767"/>
    <w:rsid w:val="001227DF"/>
    <w:rsid w:val="001227FF"/>
    <w:rsid w:val="00122913"/>
    <w:rsid w:val="00122921"/>
    <w:rsid w:val="0012294C"/>
    <w:rsid w:val="001229A7"/>
    <w:rsid w:val="00122A37"/>
    <w:rsid w:val="00122A52"/>
    <w:rsid w:val="00122A90"/>
    <w:rsid w:val="00122A9A"/>
    <w:rsid w:val="00122ABC"/>
    <w:rsid w:val="00122B46"/>
    <w:rsid w:val="00122BF7"/>
    <w:rsid w:val="00122C06"/>
    <w:rsid w:val="00122C27"/>
    <w:rsid w:val="00122C3D"/>
    <w:rsid w:val="00122CEA"/>
    <w:rsid w:val="00122D45"/>
    <w:rsid w:val="00122DEB"/>
    <w:rsid w:val="00122E66"/>
    <w:rsid w:val="00122EF5"/>
    <w:rsid w:val="00122F43"/>
    <w:rsid w:val="00122F6D"/>
    <w:rsid w:val="00123040"/>
    <w:rsid w:val="00123090"/>
    <w:rsid w:val="00123094"/>
    <w:rsid w:val="0012318C"/>
    <w:rsid w:val="00123227"/>
    <w:rsid w:val="0012322A"/>
    <w:rsid w:val="0012327A"/>
    <w:rsid w:val="00123285"/>
    <w:rsid w:val="00123295"/>
    <w:rsid w:val="0012329A"/>
    <w:rsid w:val="001232C4"/>
    <w:rsid w:val="001232C6"/>
    <w:rsid w:val="001232E0"/>
    <w:rsid w:val="00123308"/>
    <w:rsid w:val="00123342"/>
    <w:rsid w:val="001233FF"/>
    <w:rsid w:val="00123440"/>
    <w:rsid w:val="00123469"/>
    <w:rsid w:val="00123473"/>
    <w:rsid w:val="00123480"/>
    <w:rsid w:val="001235A1"/>
    <w:rsid w:val="001235AB"/>
    <w:rsid w:val="001235C1"/>
    <w:rsid w:val="0012361D"/>
    <w:rsid w:val="00123621"/>
    <w:rsid w:val="001236D4"/>
    <w:rsid w:val="0012377F"/>
    <w:rsid w:val="001237D5"/>
    <w:rsid w:val="0012381A"/>
    <w:rsid w:val="0012389E"/>
    <w:rsid w:val="001238DB"/>
    <w:rsid w:val="001239A8"/>
    <w:rsid w:val="001239AE"/>
    <w:rsid w:val="001239F4"/>
    <w:rsid w:val="00123AB4"/>
    <w:rsid w:val="00123ABB"/>
    <w:rsid w:val="00123AFA"/>
    <w:rsid w:val="00123B1A"/>
    <w:rsid w:val="00123B9B"/>
    <w:rsid w:val="00123BF0"/>
    <w:rsid w:val="00123D07"/>
    <w:rsid w:val="00123D50"/>
    <w:rsid w:val="00123DA2"/>
    <w:rsid w:val="00123DA3"/>
    <w:rsid w:val="00123E59"/>
    <w:rsid w:val="00123E9B"/>
    <w:rsid w:val="00123F4D"/>
    <w:rsid w:val="00123F90"/>
    <w:rsid w:val="00124001"/>
    <w:rsid w:val="00124005"/>
    <w:rsid w:val="00124054"/>
    <w:rsid w:val="00124191"/>
    <w:rsid w:val="001241BD"/>
    <w:rsid w:val="001241FA"/>
    <w:rsid w:val="00124294"/>
    <w:rsid w:val="0012433F"/>
    <w:rsid w:val="0012437D"/>
    <w:rsid w:val="001243A4"/>
    <w:rsid w:val="001243C3"/>
    <w:rsid w:val="00124408"/>
    <w:rsid w:val="00124414"/>
    <w:rsid w:val="00124437"/>
    <w:rsid w:val="00124472"/>
    <w:rsid w:val="001244A9"/>
    <w:rsid w:val="00124512"/>
    <w:rsid w:val="00124570"/>
    <w:rsid w:val="0012458E"/>
    <w:rsid w:val="0012459D"/>
    <w:rsid w:val="00124747"/>
    <w:rsid w:val="00124784"/>
    <w:rsid w:val="0012487C"/>
    <w:rsid w:val="00124930"/>
    <w:rsid w:val="001249FE"/>
    <w:rsid w:val="00124A1A"/>
    <w:rsid w:val="00124A5B"/>
    <w:rsid w:val="00124ADD"/>
    <w:rsid w:val="00124B0C"/>
    <w:rsid w:val="00124C49"/>
    <w:rsid w:val="00124C7D"/>
    <w:rsid w:val="00124CEA"/>
    <w:rsid w:val="00124D44"/>
    <w:rsid w:val="00124E2F"/>
    <w:rsid w:val="00124E46"/>
    <w:rsid w:val="00124EB9"/>
    <w:rsid w:val="00124EE0"/>
    <w:rsid w:val="00124F5C"/>
    <w:rsid w:val="00124FBE"/>
    <w:rsid w:val="001250F2"/>
    <w:rsid w:val="00125111"/>
    <w:rsid w:val="0012514D"/>
    <w:rsid w:val="0012517A"/>
    <w:rsid w:val="00125191"/>
    <w:rsid w:val="001251AD"/>
    <w:rsid w:val="001251F6"/>
    <w:rsid w:val="001252A6"/>
    <w:rsid w:val="001252B3"/>
    <w:rsid w:val="001252E0"/>
    <w:rsid w:val="001252E8"/>
    <w:rsid w:val="0012538E"/>
    <w:rsid w:val="001253FB"/>
    <w:rsid w:val="00125400"/>
    <w:rsid w:val="00125407"/>
    <w:rsid w:val="00125431"/>
    <w:rsid w:val="00125484"/>
    <w:rsid w:val="001254B8"/>
    <w:rsid w:val="00125520"/>
    <w:rsid w:val="00125562"/>
    <w:rsid w:val="00125654"/>
    <w:rsid w:val="0012566E"/>
    <w:rsid w:val="0012568C"/>
    <w:rsid w:val="001258AE"/>
    <w:rsid w:val="001258DF"/>
    <w:rsid w:val="00125ABA"/>
    <w:rsid w:val="00125B0C"/>
    <w:rsid w:val="00125B67"/>
    <w:rsid w:val="00125BA4"/>
    <w:rsid w:val="00125BF5"/>
    <w:rsid w:val="00125C24"/>
    <w:rsid w:val="00125C2A"/>
    <w:rsid w:val="00125C93"/>
    <w:rsid w:val="00125C95"/>
    <w:rsid w:val="00125D3A"/>
    <w:rsid w:val="00125DC5"/>
    <w:rsid w:val="00125E14"/>
    <w:rsid w:val="00125E15"/>
    <w:rsid w:val="00125E17"/>
    <w:rsid w:val="00125E5F"/>
    <w:rsid w:val="00125E68"/>
    <w:rsid w:val="00125EA6"/>
    <w:rsid w:val="00125F42"/>
    <w:rsid w:val="0012603B"/>
    <w:rsid w:val="001260D1"/>
    <w:rsid w:val="001260E8"/>
    <w:rsid w:val="001260E9"/>
    <w:rsid w:val="0012620F"/>
    <w:rsid w:val="00126225"/>
    <w:rsid w:val="00126261"/>
    <w:rsid w:val="00126273"/>
    <w:rsid w:val="00126278"/>
    <w:rsid w:val="00126283"/>
    <w:rsid w:val="00126290"/>
    <w:rsid w:val="0012634C"/>
    <w:rsid w:val="0012642C"/>
    <w:rsid w:val="0012643D"/>
    <w:rsid w:val="00126478"/>
    <w:rsid w:val="00126555"/>
    <w:rsid w:val="00126579"/>
    <w:rsid w:val="001265E7"/>
    <w:rsid w:val="0012661D"/>
    <w:rsid w:val="00126660"/>
    <w:rsid w:val="0012670C"/>
    <w:rsid w:val="0012673E"/>
    <w:rsid w:val="0012677D"/>
    <w:rsid w:val="00126783"/>
    <w:rsid w:val="001268A1"/>
    <w:rsid w:val="001268F4"/>
    <w:rsid w:val="001268FB"/>
    <w:rsid w:val="0012690B"/>
    <w:rsid w:val="00126913"/>
    <w:rsid w:val="0012699B"/>
    <w:rsid w:val="001269C6"/>
    <w:rsid w:val="00126A2B"/>
    <w:rsid w:val="00126A94"/>
    <w:rsid w:val="00126ABA"/>
    <w:rsid w:val="00126AC9"/>
    <w:rsid w:val="00126ACD"/>
    <w:rsid w:val="00126ADA"/>
    <w:rsid w:val="00126B0C"/>
    <w:rsid w:val="00126B2E"/>
    <w:rsid w:val="00126BBC"/>
    <w:rsid w:val="00126BEA"/>
    <w:rsid w:val="00126CAD"/>
    <w:rsid w:val="00126CD1"/>
    <w:rsid w:val="00126CE2"/>
    <w:rsid w:val="00126D6E"/>
    <w:rsid w:val="00126DCC"/>
    <w:rsid w:val="00126E0B"/>
    <w:rsid w:val="00126E45"/>
    <w:rsid w:val="00126E85"/>
    <w:rsid w:val="00126E95"/>
    <w:rsid w:val="00126F85"/>
    <w:rsid w:val="00127070"/>
    <w:rsid w:val="00127076"/>
    <w:rsid w:val="0012708B"/>
    <w:rsid w:val="001270D6"/>
    <w:rsid w:val="001270E8"/>
    <w:rsid w:val="0012710E"/>
    <w:rsid w:val="001271B2"/>
    <w:rsid w:val="001271BA"/>
    <w:rsid w:val="001271C1"/>
    <w:rsid w:val="001271E7"/>
    <w:rsid w:val="0012724D"/>
    <w:rsid w:val="00127325"/>
    <w:rsid w:val="00127333"/>
    <w:rsid w:val="00127335"/>
    <w:rsid w:val="0012733E"/>
    <w:rsid w:val="00127349"/>
    <w:rsid w:val="001273C1"/>
    <w:rsid w:val="001274C7"/>
    <w:rsid w:val="001274F4"/>
    <w:rsid w:val="00127554"/>
    <w:rsid w:val="00127589"/>
    <w:rsid w:val="0012758E"/>
    <w:rsid w:val="001275B5"/>
    <w:rsid w:val="00127618"/>
    <w:rsid w:val="00127684"/>
    <w:rsid w:val="001276ED"/>
    <w:rsid w:val="00127814"/>
    <w:rsid w:val="00127872"/>
    <w:rsid w:val="00127893"/>
    <w:rsid w:val="001278A8"/>
    <w:rsid w:val="001278AD"/>
    <w:rsid w:val="00127988"/>
    <w:rsid w:val="00127A2C"/>
    <w:rsid w:val="00127A89"/>
    <w:rsid w:val="00127A92"/>
    <w:rsid w:val="00127B62"/>
    <w:rsid w:val="00127BDF"/>
    <w:rsid w:val="00127D1E"/>
    <w:rsid w:val="00127DE9"/>
    <w:rsid w:val="00127E81"/>
    <w:rsid w:val="00127E9F"/>
    <w:rsid w:val="00127EAC"/>
    <w:rsid w:val="00127F29"/>
    <w:rsid w:val="00127F40"/>
    <w:rsid w:val="00127F92"/>
    <w:rsid w:val="001300AB"/>
    <w:rsid w:val="001300FD"/>
    <w:rsid w:val="0013010E"/>
    <w:rsid w:val="00130134"/>
    <w:rsid w:val="0013018F"/>
    <w:rsid w:val="00130190"/>
    <w:rsid w:val="0013019F"/>
    <w:rsid w:val="001302A2"/>
    <w:rsid w:val="00130319"/>
    <w:rsid w:val="001303A5"/>
    <w:rsid w:val="00130412"/>
    <w:rsid w:val="0013049A"/>
    <w:rsid w:val="001304AE"/>
    <w:rsid w:val="00130581"/>
    <w:rsid w:val="001305A0"/>
    <w:rsid w:val="001305AD"/>
    <w:rsid w:val="0013061E"/>
    <w:rsid w:val="001306E0"/>
    <w:rsid w:val="001306EA"/>
    <w:rsid w:val="001306FE"/>
    <w:rsid w:val="00130805"/>
    <w:rsid w:val="0013081A"/>
    <w:rsid w:val="00130868"/>
    <w:rsid w:val="001308BE"/>
    <w:rsid w:val="001308C2"/>
    <w:rsid w:val="001308C7"/>
    <w:rsid w:val="001308C8"/>
    <w:rsid w:val="001308D3"/>
    <w:rsid w:val="00130910"/>
    <w:rsid w:val="00130946"/>
    <w:rsid w:val="00130958"/>
    <w:rsid w:val="0013095E"/>
    <w:rsid w:val="00130999"/>
    <w:rsid w:val="001309FA"/>
    <w:rsid w:val="00130A48"/>
    <w:rsid w:val="00130A49"/>
    <w:rsid w:val="00130AF9"/>
    <w:rsid w:val="00130B3F"/>
    <w:rsid w:val="00130BB2"/>
    <w:rsid w:val="00130BC3"/>
    <w:rsid w:val="00130BDC"/>
    <w:rsid w:val="00130CD0"/>
    <w:rsid w:val="00130CD1"/>
    <w:rsid w:val="00130CE8"/>
    <w:rsid w:val="00130D13"/>
    <w:rsid w:val="00130D2F"/>
    <w:rsid w:val="00130DC2"/>
    <w:rsid w:val="00130DFD"/>
    <w:rsid w:val="00130E84"/>
    <w:rsid w:val="00130F2A"/>
    <w:rsid w:val="00131004"/>
    <w:rsid w:val="00131097"/>
    <w:rsid w:val="00131099"/>
    <w:rsid w:val="0013109A"/>
    <w:rsid w:val="001310AC"/>
    <w:rsid w:val="001310F6"/>
    <w:rsid w:val="0013116F"/>
    <w:rsid w:val="00131192"/>
    <w:rsid w:val="001311BF"/>
    <w:rsid w:val="001311CE"/>
    <w:rsid w:val="001311D6"/>
    <w:rsid w:val="0013121F"/>
    <w:rsid w:val="0013125F"/>
    <w:rsid w:val="00131269"/>
    <w:rsid w:val="0013127D"/>
    <w:rsid w:val="001312AD"/>
    <w:rsid w:val="001312C0"/>
    <w:rsid w:val="001312E2"/>
    <w:rsid w:val="00131366"/>
    <w:rsid w:val="001313BE"/>
    <w:rsid w:val="001313E8"/>
    <w:rsid w:val="0013140A"/>
    <w:rsid w:val="00131420"/>
    <w:rsid w:val="0013144D"/>
    <w:rsid w:val="0013149E"/>
    <w:rsid w:val="001314BD"/>
    <w:rsid w:val="0013155A"/>
    <w:rsid w:val="0013157A"/>
    <w:rsid w:val="00131598"/>
    <w:rsid w:val="001315A3"/>
    <w:rsid w:val="001316B8"/>
    <w:rsid w:val="001316BB"/>
    <w:rsid w:val="0013178A"/>
    <w:rsid w:val="00131819"/>
    <w:rsid w:val="00131884"/>
    <w:rsid w:val="0013191A"/>
    <w:rsid w:val="001319DE"/>
    <w:rsid w:val="00131AD3"/>
    <w:rsid w:val="00131AF6"/>
    <w:rsid w:val="00131B9B"/>
    <w:rsid w:val="00131C11"/>
    <w:rsid w:val="00131C38"/>
    <w:rsid w:val="00131C73"/>
    <w:rsid w:val="00131C7F"/>
    <w:rsid w:val="00131C8A"/>
    <w:rsid w:val="00131CEF"/>
    <w:rsid w:val="00131CFF"/>
    <w:rsid w:val="00131D27"/>
    <w:rsid w:val="00131D28"/>
    <w:rsid w:val="00131D7D"/>
    <w:rsid w:val="00131EC3"/>
    <w:rsid w:val="00131F50"/>
    <w:rsid w:val="00131F62"/>
    <w:rsid w:val="00131FB7"/>
    <w:rsid w:val="00131FE6"/>
    <w:rsid w:val="00132029"/>
    <w:rsid w:val="00132098"/>
    <w:rsid w:val="00132160"/>
    <w:rsid w:val="00132168"/>
    <w:rsid w:val="00132180"/>
    <w:rsid w:val="0013218E"/>
    <w:rsid w:val="001321D7"/>
    <w:rsid w:val="00132235"/>
    <w:rsid w:val="001322FA"/>
    <w:rsid w:val="00132320"/>
    <w:rsid w:val="00132388"/>
    <w:rsid w:val="0013239C"/>
    <w:rsid w:val="001323AA"/>
    <w:rsid w:val="0013241F"/>
    <w:rsid w:val="00132426"/>
    <w:rsid w:val="0013242F"/>
    <w:rsid w:val="0013249B"/>
    <w:rsid w:val="00132584"/>
    <w:rsid w:val="001325C7"/>
    <w:rsid w:val="001325E2"/>
    <w:rsid w:val="0013261D"/>
    <w:rsid w:val="0013271F"/>
    <w:rsid w:val="00132722"/>
    <w:rsid w:val="001327AD"/>
    <w:rsid w:val="001327B7"/>
    <w:rsid w:val="00132819"/>
    <w:rsid w:val="0013287F"/>
    <w:rsid w:val="001328B7"/>
    <w:rsid w:val="00132906"/>
    <w:rsid w:val="00132923"/>
    <w:rsid w:val="00132A01"/>
    <w:rsid w:val="00132A02"/>
    <w:rsid w:val="00132B07"/>
    <w:rsid w:val="00132B55"/>
    <w:rsid w:val="00132C65"/>
    <w:rsid w:val="00132CE5"/>
    <w:rsid w:val="00132E3A"/>
    <w:rsid w:val="00132EAC"/>
    <w:rsid w:val="00132EC5"/>
    <w:rsid w:val="00132EE3"/>
    <w:rsid w:val="00132EED"/>
    <w:rsid w:val="00132F50"/>
    <w:rsid w:val="00132FE4"/>
    <w:rsid w:val="001330C6"/>
    <w:rsid w:val="001330FA"/>
    <w:rsid w:val="00133114"/>
    <w:rsid w:val="00133189"/>
    <w:rsid w:val="001331BF"/>
    <w:rsid w:val="001331DC"/>
    <w:rsid w:val="001331DF"/>
    <w:rsid w:val="001331EA"/>
    <w:rsid w:val="001331FD"/>
    <w:rsid w:val="00133245"/>
    <w:rsid w:val="0013326E"/>
    <w:rsid w:val="00133270"/>
    <w:rsid w:val="001332F3"/>
    <w:rsid w:val="0013337B"/>
    <w:rsid w:val="0013340C"/>
    <w:rsid w:val="0013340F"/>
    <w:rsid w:val="00133423"/>
    <w:rsid w:val="00133445"/>
    <w:rsid w:val="0013350D"/>
    <w:rsid w:val="00133518"/>
    <w:rsid w:val="00133552"/>
    <w:rsid w:val="00133564"/>
    <w:rsid w:val="001335CD"/>
    <w:rsid w:val="001336C0"/>
    <w:rsid w:val="001337A1"/>
    <w:rsid w:val="001337BA"/>
    <w:rsid w:val="001337C3"/>
    <w:rsid w:val="0013385F"/>
    <w:rsid w:val="001338EE"/>
    <w:rsid w:val="00133943"/>
    <w:rsid w:val="0013395B"/>
    <w:rsid w:val="00133983"/>
    <w:rsid w:val="00133991"/>
    <w:rsid w:val="00133A2B"/>
    <w:rsid w:val="00133A7A"/>
    <w:rsid w:val="00133B1E"/>
    <w:rsid w:val="00133B50"/>
    <w:rsid w:val="00133B5B"/>
    <w:rsid w:val="00133BE4"/>
    <w:rsid w:val="00133C18"/>
    <w:rsid w:val="00133E9D"/>
    <w:rsid w:val="00133F01"/>
    <w:rsid w:val="0013400B"/>
    <w:rsid w:val="00134045"/>
    <w:rsid w:val="00134053"/>
    <w:rsid w:val="00134069"/>
    <w:rsid w:val="00134090"/>
    <w:rsid w:val="001340B0"/>
    <w:rsid w:val="0013412F"/>
    <w:rsid w:val="0013413E"/>
    <w:rsid w:val="00134179"/>
    <w:rsid w:val="00134184"/>
    <w:rsid w:val="0013418C"/>
    <w:rsid w:val="00134198"/>
    <w:rsid w:val="001341CD"/>
    <w:rsid w:val="00134216"/>
    <w:rsid w:val="001342F1"/>
    <w:rsid w:val="00134329"/>
    <w:rsid w:val="00134395"/>
    <w:rsid w:val="001343D0"/>
    <w:rsid w:val="001343FB"/>
    <w:rsid w:val="0013442B"/>
    <w:rsid w:val="00134436"/>
    <w:rsid w:val="001344F0"/>
    <w:rsid w:val="001345B2"/>
    <w:rsid w:val="001345CF"/>
    <w:rsid w:val="001346A7"/>
    <w:rsid w:val="00134700"/>
    <w:rsid w:val="00134704"/>
    <w:rsid w:val="00134749"/>
    <w:rsid w:val="0013477A"/>
    <w:rsid w:val="0013480D"/>
    <w:rsid w:val="00134867"/>
    <w:rsid w:val="00134881"/>
    <w:rsid w:val="001348EA"/>
    <w:rsid w:val="0013494D"/>
    <w:rsid w:val="00134966"/>
    <w:rsid w:val="00134A1C"/>
    <w:rsid w:val="00134A65"/>
    <w:rsid w:val="00134AAC"/>
    <w:rsid w:val="00134ADA"/>
    <w:rsid w:val="00134ADD"/>
    <w:rsid w:val="00134AEF"/>
    <w:rsid w:val="00134B2B"/>
    <w:rsid w:val="00134B8E"/>
    <w:rsid w:val="00134C17"/>
    <w:rsid w:val="00134C20"/>
    <w:rsid w:val="00134D35"/>
    <w:rsid w:val="00134D66"/>
    <w:rsid w:val="00134D6D"/>
    <w:rsid w:val="00134D93"/>
    <w:rsid w:val="00134E43"/>
    <w:rsid w:val="00134E9A"/>
    <w:rsid w:val="00134F12"/>
    <w:rsid w:val="00134FBE"/>
    <w:rsid w:val="00135044"/>
    <w:rsid w:val="0013506F"/>
    <w:rsid w:val="0013512E"/>
    <w:rsid w:val="0013513B"/>
    <w:rsid w:val="00135191"/>
    <w:rsid w:val="001351EE"/>
    <w:rsid w:val="0013524B"/>
    <w:rsid w:val="00135251"/>
    <w:rsid w:val="001352EC"/>
    <w:rsid w:val="00135374"/>
    <w:rsid w:val="0013540E"/>
    <w:rsid w:val="0013544D"/>
    <w:rsid w:val="00135540"/>
    <w:rsid w:val="0013554C"/>
    <w:rsid w:val="00135584"/>
    <w:rsid w:val="00135693"/>
    <w:rsid w:val="001356F0"/>
    <w:rsid w:val="0013574A"/>
    <w:rsid w:val="00135752"/>
    <w:rsid w:val="0013575A"/>
    <w:rsid w:val="001357AA"/>
    <w:rsid w:val="001357CC"/>
    <w:rsid w:val="001357EC"/>
    <w:rsid w:val="00135879"/>
    <w:rsid w:val="00135A61"/>
    <w:rsid w:val="00135AA4"/>
    <w:rsid w:val="00135B07"/>
    <w:rsid w:val="00135B21"/>
    <w:rsid w:val="00135B43"/>
    <w:rsid w:val="00135B8E"/>
    <w:rsid w:val="00135BCA"/>
    <w:rsid w:val="00135C25"/>
    <w:rsid w:val="00135C31"/>
    <w:rsid w:val="00135C57"/>
    <w:rsid w:val="00135CD2"/>
    <w:rsid w:val="00135D11"/>
    <w:rsid w:val="00135D22"/>
    <w:rsid w:val="00135DF7"/>
    <w:rsid w:val="00135E5C"/>
    <w:rsid w:val="00135E64"/>
    <w:rsid w:val="00135E6B"/>
    <w:rsid w:val="00135EA4"/>
    <w:rsid w:val="00135ED8"/>
    <w:rsid w:val="00135F0D"/>
    <w:rsid w:val="00135F14"/>
    <w:rsid w:val="00135FA5"/>
    <w:rsid w:val="00136001"/>
    <w:rsid w:val="00136094"/>
    <w:rsid w:val="00136101"/>
    <w:rsid w:val="0013613E"/>
    <w:rsid w:val="00136166"/>
    <w:rsid w:val="0013616A"/>
    <w:rsid w:val="00136234"/>
    <w:rsid w:val="001362CC"/>
    <w:rsid w:val="001362D8"/>
    <w:rsid w:val="001362FB"/>
    <w:rsid w:val="00136316"/>
    <w:rsid w:val="00136394"/>
    <w:rsid w:val="0013640B"/>
    <w:rsid w:val="00136428"/>
    <w:rsid w:val="001364E9"/>
    <w:rsid w:val="00136500"/>
    <w:rsid w:val="00136519"/>
    <w:rsid w:val="001365FA"/>
    <w:rsid w:val="00136602"/>
    <w:rsid w:val="0013660B"/>
    <w:rsid w:val="00136695"/>
    <w:rsid w:val="00136741"/>
    <w:rsid w:val="001367CE"/>
    <w:rsid w:val="0013686B"/>
    <w:rsid w:val="00136874"/>
    <w:rsid w:val="0013687E"/>
    <w:rsid w:val="00136891"/>
    <w:rsid w:val="001368D7"/>
    <w:rsid w:val="0013694A"/>
    <w:rsid w:val="00136A62"/>
    <w:rsid w:val="00136AB3"/>
    <w:rsid w:val="00136B4F"/>
    <w:rsid w:val="00136B55"/>
    <w:rsid w:val="00136BB2"/>
    <w:rsid w:val="00136C98"/>
    <w:rsid w:val="00136CCB"/>
    <w:rsid w:val="00136CD7"/>
    <w:rsid w:val="00136D69"/>
    <w:rsid w:val="00136DDF"/>
    <w:rsid w:val="00136E27"/>
    <w:rsid w:val="00136E7A"/>
    <w:rsid w:val="00136EDC"/>
    <w:rsid w:val="00136EE1"/>
    <w:rsid w:val="00136FE8"/>
    <w:rsid w:val="0013702A"/>
    <w:rsid w:val="001370DF"/>
    <w:rsid w:val="001370F1"/>
    <w:rsid w:val="00137376"/>
    <w:rsid w:val="001373F6"/>
    <w:rsid w:val="001374C9"/>
    <w:rsid w:val="001375CD"/>
    <w:rsid w:val="00137638"/>
    <w:rsid w:val="00137732"/>
    <w:rsid w:val="0013773D"/>
    <w:rsid w:val="00137780"/>
    <w:rsid w:val="0013778B"/>
    <w:rsid w:val="001377A1"/>
    <w:rsid w:val="001377ED"/>
    <w:rsid w:val="0013780D"/>
    <w:rsid w:val="00137815"/>
    <w:rsid w:val="0013781B"/>
    <w:rsid w:val="00137827"/>
    <w:rsid w:val="00137845"/>
    <w:rsid w:val="001378A7"/>
    <w:rsid w:val="001378B8"/>
    <w:rsid w:val="001378C4"/>
    <w:rsid w:val="001378F3"/>
    <w:rsid w:val="00137913"/>
    <w:rsid w:val="00137956"/>
    <w:rsid w:val="00137977"/>
    <w:rsid w:val="00137995"/>
    <w:rsid w:val="001379EB"/>
    <w:rsid w:val="00137A60"/>
    <w:rsid w:val="00137B63"/>
    <w:rsid w:val="00137BB5"/>
    <w:rsid w:val="00137C06"/>
    <w:rsid w:val="00137C35"/>
    <w:rsid w:val="00137D05"/>
    <w:rsid w:val="00137DD7"/>
    <w:rsid w:val="00137E08"/>
    <w:rsid w:val="00137E4F"/>
    <w:rsid w:val="00137E8E"/>
    <w:rsid w:val="00137F1D"/>
    <w:rsid w:val="00137F54"/>
    <w:rsid w:val="00137F71"/>
    <w:rsid w:val="00140096"/>
    <w:rsid w:val="00140178"/>
    <w:rsid w:val="0014020D"/>
    <w:rsid w:val="0014021F"/>
    <w:rsid w:val="0014024E"/>
    <w:rsid w:val="00140269"/>
    <w:rsid w:val="0014041A"/>
    <w:rsid w:val="001404B6"/>
    <w:rsid w:val="0014053F"/>
    <w:rsid w:val="001405C8"/>
    <w:rsid w:val="0014063E"/>
    <w:rsid w:val="00140652"/>
    <w:rsid w:val="001406A7"/>
    <w:rsid w:val="001406E0"/>
    <w:rsid w:val="001406E5"/>
    <w:rsid w:val="001406EE"/>
    <w:rsid w:val="001406F8"/>
    <w:rsid w:val="00140746"/>
    <w:rsid w:val="00140788"/>
    <w:rsid w:val="0014086B"/>
    <w:rsid w:val="00140933"/>
    <w:rsid w:val="001409E8"/>
    <w:rsid w:val="00140BB8"/>
    <w:rsid w:val="00140C4D"/>
    <w:rsid w:val="00140CCB"/>
    <w:rsid w:val="00140CD6"/>
    <w:rsid w:val="00140D5C"/>
    <w:rsid w:val="00140DB3"/>
    <w:rsid w:val="00140EDE"/>
    <w:rsid w:val="00140F12"/>
    <w:rsid w:val="00140F27"/>
    <w:rsid w:val="00140F50"/>
    <w:rsid w:val="00140F93"/>
    <w:rsid w:val="00140FA6"/>
    <w:rsid w:val="00140FE0"/>
    <w:rsid w:val="00141037"/>
    <w:rsid w:val="00141066"/>
    <w:rsid w:val="00141099"/>
    <w:rsid w:val="001410AD"/>
    <w:rsid w:val="001410C0"/>
    <w:rsid w:val="001410E3"/>
    <w:rsid w:val="00141156"/>
    <w:rsid w:val="00141180"/>
    <w:rsid w:val="00141198"/>
    <w:rsid w:val="001411C7"/>
    <w:rsid w:val="001411D1"/>
    <w:rsid w:val="001411EB"/>
    <w:rsid w:val="00141212"/>
    <w:rsid w:val="001412BC"/>
    <w:rsid w:val="001412E2"/>
    <w:rsid w:val="00141322"/>
    <w:rsid w:val="0014142D"/>
    <w:rsid w:val="00141464"/>
    <w:rsid w:val="001414BA"/>
    <w:rsid w:val="00141520"/>
    <w:rsid w:val="00141523"/>
    <w:rsid w:val="0014152D"/>
    <w:rsid w:val="00141638"/>
    <w:rsid w:val="0014171D"/>
    <w:rsid w:val="00141774"/>
    <w:rsid w:val="00141796"/>
    <w:rsid w:val="001417A3"/>
    <w:rsid w:val="001418C6"/>
    <w:rsid w:val="0014197C"/>
    <w:rsid w:val="001419A7"/>
    <w:rsid w:val="00141A57"/>
    <w:rsid w:val="00141A79"/>
    <w:rsid w:val="00141AD2"/>
    <w:rsid w:val="00141B3A"/>
    <w:rsid w:val="00141BBC"/>
    <w:rsid w:val="00141C34"/>
    <w:rsid w:val="00141C6F"/>
    <w:rsid w:val="00141D30"/>
    <w:rsid w:val="00141D38"/>
    <w:rsid w:val="00141D46"/>
    <w:rsid w:val="00141D8D"/>
    <w:rsid w:val="00141DA4"/>
    <w:rsid w:val="00141DC5"/>
    <w:rsid w:val="00141E67"/>
    <w:rsid w:val="00141EDD"/>
    <w:rsid w:val="00141EE8"/>
    <w:rsid w:val="00141FB2"/>
    <w:rsid w:val="00141FD1"/>
    <w:rsid w:val="00142015"/>
    <w:rsid w:val="00142064"/>
    <w:rsid w:val="00142094"/>
    <w:rsid w:val="00142109"/>
    <w:rsid w:val="00142126"/>
    <w:rsid w:val="0014214D"/>
    <w:rsid w:val="0014219C"/>
    <w:rsid w:val="001422F7"/>
    <w:rsid w:val="00142351"/>
    <w:rsid w:val="001423D0"/>
    <w:rsid w:val="001423ED"/>
    <w:rsid w:val="0014247D"/>
    <w:rsid w:val="001424C9"/>
    <w:rsid w:val="00142536"/>
    <w:rsid w:val="00142560"/>
    <w:rsid w:val="0014256A"/>
    <w:rsid w:val="001425DD"/>
    <w:rsid w:val="001425EB"/>
    <w:rsid w:val="001425ED"/>
    <w:rsid w:val="0014261C"/>
    <w:rsid w:val="00142662"/>
    <w:rsid w:val="001426D0"/>
    <w:rsid w:val="0014271D"/>
    <w:rsid w:val="00142725"/>
    <w:rsid w:val="001427F3"/>
    <w:rsid w:val="00142828"/>
    <w:rsid w:val="0014282E"/>
    <w:rsid w:val="00142845"/>
    <w:rsid w:val="00142868"/>
    <w:rsid w:val="0014290F"/>
    <w:rsid w:val="0014292F"/>
    <w:rsid w:val="001429B2"/>
    <w:rsid w:val="001429D0"/>
    <w:rsid w:val="00142A99"/>
    <w:rsid w:val="00142ACB"/>
    <w:rsid w:val="00142B01"/>
    <w:rsid w:val="00142B65"/>
    <w:rsid w:val="00142B91"/>
    <w:rsid w:val="00142BAB"/>
    <w:rsid w:val="00142BC7"/>
    <w:rsid w:val="00142C11"/>
    <w:rsid w:val="00142C23"/>
    <w:rsid w:val="00142CA0"/>
    <w:rsid w:val="00142CCB"/>
    <w:rsid w:val="00142CE5"/>
    <w:rsid w:val="00142D6E"/>
    <w:rsid w:val="00142DA2"/>
    <w:rsid w:val="00142E93"/>
    <w:rsid w:val="00142EC7"/>
    <w:rsid w:val="00142ECB"/>
    <w:rsid w:val="00142F0B"/>
    <w:rsid w:val="00142FA7"/>
    <w:rsid w:val="00142FAA"/>
    <w:rsid w:val="00143049"/>
    <w:rsid w:val="00143058"/>
    <w:rsid w:val="00143084"/>
    <w:rsid w:val="001432C5"/>
    <w:rsid w:val="001433A6"/>
    <w:rsid w:val="001433DA"/>
    <w:rsid w:val="001433DB"/>
    <w:rsid w:val="001433F2"/>
    <w:rsid w:val="0014343B"/>
    <w:rsid w:val="00143520"/>
    <w:rsid w:val="001435BE"/>
    <w:rsid w:val="00143656"/>
    <w:rsid w:val="00143708"/>
    <w:rsid w:val="00143783"/>
    <w:rsid w:val="00143881"/>
    <w:rsid w:val="001438E2"/>
    <w:rsid w:val="0014398E"/>
    <w:rsid w:val="001439E7"/>
    <w:rsid w:val="00143A5B"/>
    <w:rsid w:val="00143A74"/>
    <w:rsid w:val="00143A7E"/>
    <w:rsid w:val="00143B20"/>
    <w:rsid w:val="00143B41"/>
    <w:rsid w:val="00143B85"/>
    <w:rsid w:val="00143BF4"/>
    <w:rsid w:val="00143C80"/>
    <w:rsid w:val="00143CF0"/>
    <w:rsid w:val="00143D18"/>
    <w:rsid w:val="00143DCE"/>
    <w:rsid w:val="00143DF6"/>
    <w:rsid w:val="00143E0D"/>
    <w:rsid w:val="00143F50"/>
    <w:rsid w:val="00143F7D"/>
    <w:rsid w:val="00143FE7"/>
    <w:rsid w:val="00144027"/>
    <w:rsid w:val="0014408F"/>
    <w:rsid w:val="00144094"/>
    <w:rsid w:val="001440DC"/>
    <w:rsid w:val="001441FB"/>
    <w:rsid w:val="00144229"/>
    <w:rsid w:val="00144328"/>
    <w:rsid w:val="0014438E"/>
    <w:rsid w:val="00144443"/>
    <w:rsid w:val="00144462"/>
    <w:rsid w:val="0014446C"/>
    <w:rsid w:val="001444CF"/>
    <w:rsid w:val="00144552"/>
    <w:rsid w:val="001445A9"/>
    <w:rsid w:val="0014467A"/>
    <w:rsid w:val="00144700"/>
    <w:rsid w:val="00144724"/>
    <w:rsid w:val="0014479B"/>
    <w:rsid w:val="001447EF"/>
    <w:rsid w:val="0014480A"/>
    <w:rsid w:val="00144837"/>
    <w:rsid w:val="0014488C"/>
    <w:rsid w:val="001448A7"/>
    <w:rsid w:val="001448D2"/>
    <w:rsid w:val="00144A08"/>
    <w:rsid w:val="00144A19"/>
    <w:rsid w:val="00144A52"/>
    <w:rsid w:val="00144A77"/>
    <w:rsid w:val="00144AF9"/>
    <w:rsid w:val="00144B60"/>
    <w:rsid w:val="00144B79"/>
    <w:rsid w:val="00144B7F"/>
    <w:rsid w:val="00144B80"/>
    <w:rsid w:val="00144BDA"/>
    <w:rsid w:val="00144C58"/>
    <w:rsid w:val="00144C9D"/>
    <w:rsid w:val="00144CE6"/>
    <w:rsid w:val="00144D0E"/>
    <w:rsid w:val="00144D1F"/>
    <w:rsid w:val="00144D65"/>
    <w:rsid w:val="00144DAE"/>
    <w:rsid w:val="00144F49"/>
    <w:rsid w:val="00144F51"/>
    <w:rsid w:val="00144F85"/>
    <w:rsid w:val="00145013"/>
    <w:rsid w:val="00145025"/>
    <w:rsid w:val="00145034"/>
    <w:rsid w:val="00145046"/>
    <w:rsid w:val="001450C0"/>
    <w:rsid w:val="00145115"/>
    <w:rsid w:val="00145177"/>
    <w:rsid w:val="0014518E"/>
    <w:rsid w:val="00145240"/>
    <w:rsid w:val="0014527A"/>
    <w:rsid w:val="0014528D"/>
    <w:rsid w:val="001452C6"/>
    <w:rsid w:val="001452E1"/>
    <w:rsid w:val="0014539D"/>
    <w:rsid w:val="001453AE"/>
    <w:rsid w:val="0014543F"/>
    <w:rsid w:val="00145452"/>
    <w:rsid w:val="001454B2"/>
    <w:rsid w:val="001454EF"/>
    <w:rsid w:val="001455CE"/>
    <w:rsid w:val="0014564D"/>
    <w:rsid w:val="00145664"/>
    <w:rsid w:val="00145675"/>
    <w:rsid w:val="00145706"/>
    <w:rsid w:val="0014570A"/>
    <w:rsid w:val="001457C6"/>
    <w:rsid w:val="0014580D"/>
    <w:rsid w:val="0014585F"/>
    <w:rsid w:val="0014588C"/>
    <w:rsid w:val="001458F2"/>
    <w:rsid w:val="00145939"/>
    <w:rsid w:val="0014597B"/>
    <w:rsid w:val="0014598B"/>
    <w:rsid w:val="001459B2"/>
    <w:rsid w:val="001459BC"/>
    <w:rsid w:val="00145A11"/>
    <w:rsid w:val="00145A12"/>
    <w:rsid w:val="00145A36"/>
    <w:rsid w:val="00145ACE"/>
    <w:rsid w:val="00145B80"/>
    <w:rsid w:val="00145C06"/>
    <w:rsid w:val="00145D9A"/>
    <w:rsid w:val="00145DE7"/>
    <w:rsid w:val="00145E12"/>
    <w:rsid w:val="00145E1C"/>
    <w:rsid w:val="00145E2C"/>
    <w:rsid w:val="00145EAE"/>
    <w:rsid w:val="00145F9E"/>
    <w:rsid w:val="001460B7"/>
    <w:rsid w:val="001460D4"/>
    <w:rsid w:val="001461D1"/>
    <w:rsid w:val="001461D5"/>
    <w:rsid w:val="001461E0"/>
    <w:rsid w:val="0014630E"/>
    <w:rsid w:val="00146385"/>
    <w:rsid w:val="00146458"/>
    <w:rsid w:val="0014654A"/>
    <w:rsid w:val="00146619"/>
    <w:rsid w:val="00146628"/>
    <w:rsid w:val="00146636"/>
    <w:rsid w:val="0014669B"/>
    <w:rsid w:val="001466AB"/>
    <w:rsid w:val="001466B4"/>
    <w:rsid w:val="001466BE"/>
    <w:rsid w:val="001466E6"/>
    <w:rsid w:val="001466FB"/>
    <w:rsid w:val="0014673F"/>
    <w:rsid w:val="0014676B"/>
    <w:rsid w:val="00146785"/>
    <w:rsid w:val="001467E1"/>
    <w:rsid w:val="001467F9"/>
    <w:rsid w:val="0014681F"/>
    <w:rsid w:val="0014683D"/>
    <w:rsid w:val="001468FD"/>
    <w:rsid w:val="00146901"/>
    <w:rsid w:val="0014693A"/>
    <w:rsid w:val="00146AA0"/>
    <w:rsid w:val="00146AB3"/>
    <w:rsid w:val="00146B1C"/>
    <w:rsid w:val="00146B7A"/>
    <w:rsid w:val="00146B8E"/>
    <w:rsid w:val="00146BB0"/>
    <w:rsid w:val="00146BC6"/>
    <w:rsid w:val="00146C00"/>
    <w:rsid w:val="00146C2F"/>
    <w:rsid w:val="00146D3D"/>
    <w:rsid w:val="00146D3E"/>
    <w:rsid w:val="00146D9C"/>
    <w:rsid w:val="00146EC1"/>
    <w:rsid w:val="00146ECD"/>
    <w:rsid w:val="00146F73"/>
    <w:rsid w:val="00146FE0"/>
    <w:rsid w:val="00147001"/>
    <w:rsid w:val="00147065"/>
    <w:rsid w:val="001470C0"/>
    <w:rsid w:val="001470E5"/>
    <w:rsid w:val="001470EF"/>
    <w:rsid w:val="0014711D"/>
    <w:rsid w:val="001471D6"/>
    <w:rsid w:val="001471F9"/>
    <w:rsid w:val="0014721D"/>
    <w:rsid w:val="0014724A"/>
    <w:rsid w:val="001472C0"/>
    <w:rsid w:val="001472FB"/>
    <w:rsid w:val="0014730A"/>
    <w:rsid w:val="00147385"/>
    <w:rsid w:val="0014744D"/>
    <w:rsid w:val="001474D6"/>
    <w:rsid w:val="00147510"/>
    <w:rsid w:val="00147512"/>
    <w:rsid w:val="00147573"/>
    <w:rsid w:val="0014761C"/>
    <w:rsid w:val="0014768D"/>
    <w:rsid w:val="001476CC"/>
    <w:rsid w:val="001476E8"/>
    <w:rsid w:val="001476F6"/>
    <w:rsid w:val="00147779"/>
    <w:rsid w:val="00147792"/>
    <w:rsid w:val="001477DF"/>
    <w:rsid w:val="001477EF"/>
    <w:rsid w:val="00147882"/>
    <w:rsid w:val="001478B0"/>
    <w:rsid w:val="0014794D"/>
    <w:rsid w:val="00147950"/>
    <w:rsid w:val="00147976"/>
    <w:rsid w:val="00147994"/>
    <w:rsid w:val="00147A46"/>
    <w:rsid w:val="00147A9D"/>
    <w:rsid w:val="00147B97"/>
    <w:rsid w:val="00147BA5"/>
    <w:rsid w:val="00147BB4"/>
    <w:rsid w:val="00147D06"/>
    <w:rsid w:val="00147D1E"/>
    <w:rsid w:val="00147D80"/>
    <w:rsid w:val="00147D91"/>
    <w:rsid w:val="00147DC2"/>
    <w:rsid w:val="00147DD7"/>
    <w:rsid w:val="00147DE5"/>
    <w:rsid w:val="00147E7B"/>
    <w:rsid w:val="00147E7D"/>
    <w:rsid w:val="00147EB3"/>
    <w:rsid w:val="00147F50"/>
    <w:rsid w:val="00147FC4"/>
    <w:rsid w:val="00147FCA"/>
    <w:rsid w:val="00150030"/>
    <w:rsid w:val="001500F5"/>
    <w:rsid w:val="00150118"/>
    <w:rsid w:val="0015018F"/>
    <w:rsid w:val="001501A1"/>
    <w:rsid w:val="001501E3"/>
    <w:rsid w:val="00150235"/>
    <w:rsid w:val="001502E7"/>
    <w:rsid w:val="00150361"/>
    <w:rsid w:val="001503C1"/>
    <w:rsid w:val="001503C4"/>
    <w:rsid w:val="00150405"/>
    <w:rsid w:val="00150494"/>
    <w:rsid w:val="001504AC"/>
    <w:rsid w:val="001504C7"/>
    <w:rsid w:val="00150581"/>
    <w:rsid w:val="00150601"/>
    <w:rsid w:val="0015066D"/>
    <w:rsid w:val="00150692"/>
    <w:rsid w:val="001506E1"/>
    <w:rsid w:val="001506E6"/>
    <w:rsid w:val="0015071B"/>
    <w:rsid w:val="001507F1"/>
    <w:rsid w:val="00150809"/>
    <w:rsid w:val="00150852"/>
    <w:rsid w:val="001508BB"/>
    <w:rsid w:val="001508C4"/>
    <w:rsid w:val="001508C9"/>
    <w:rsid w:val="001508D1"/>
    <w:rsid w:val="00150ACB"/>
    <w:rsid w:val="00150B05"/>
    <w:rsid w:val="00150B53"/>
    <w:rsid w:val="00150B62"/>
    <w:rsid w:val="00150CC5"/>
    <w:rsid w:val="00150D19"/>
    <w:rsid w:val="00150D1F"/>
    <w:rsid w:val="00150DC0"/>
    <w:rsid w:val="00150E1C"/>
    <w:rsid w:val="00150F0C"/>
    <w:rsid w:val="00150F1A"/>
    <w:rsid w:val="00150F9E"/>
    <w:rsid w:val="001510EB"/>
    <w:rsid w:val="00151105"/>
    <w:rsid w:val="00151142"/>
    <w:rsid w:val="00151183"/>
    <w:rsid w:val="001511E1"/>
    <w:rsid w:val="0015121A"/>
    <w:rsid w:val="00151240"/>
    <w:rsid w:val="0015130D"/>
    <w:rsid w:val="00151323"/>
    <w:rsid w:val="00151332"/>
    <w:rsid w:val="0015134D"/>
    <w:rsid w:val="0015138A"/>
    <w:rsid w:val="00151390"/>
    <w:rsid w:val="001513A2"/>
    <w:rsid w:val="001513F0"/>
    <w:rsid w:val="00151414"/>
    <w:rsid w:val="001514DC"/>
    <w:rsid w:val="0015151C"/>
    <w:rsid w:val="00151521"/>
    <w:rsid w:val="0015155A"/>
    <w:rsid w:val="001515B0"/>
    <w:rsid w:val="00151627"/>
    <w:rsid w:val="0015175F"/>
    <w:rsid w:val="0015177B"/>
    <w:rsid w:val="00151788"/>
    <w:rsid w:val="001517FC"/>
    <w:rsid w:val="00151826"/>
    <w:rsid w:val="0015193B"/>
    <w:rsid w:val="00151951"/>
    <w:rsid w:val="001519C3"/>
    <w:rsid w:val="001519F0"/>
    <w:rsid w:val="00151A06"/>
    <w:rsid w:val="00151A32"/>
    <w:rsid w:val="00151A3C"/>
    <w:rsid w:val="00151B1C"/>
    <w:rsid w:val="00151B24"/>
    <w:rsid w:val="00151BA9"/>
    <w:rsid w:val="00151BCE"/>
    <w:rsid w:val="00151C1E"/>
    <w:rsid w:val="00151C83"/>
    <w:rsid w:val="00151CBF"/>
    <w:rsid w:val="00151CDC"/>
    <w:rsid w:val="00151D45"/>
    <w:rsid w:val="00151DBE"/>
    <w:rsid w:val="00151E75"/>
    <w:rsid w:val="00151E98"/>
    <w:rsid w:val="00151ED3"/>
    <w:rsid w:val="00151F80"/>
    <w:rsid w:val="00152013"/>
    <w:rsid w:val="0015205E"/>
    <w:rsid w:val="0015206B"/>
    <w:rsid w:val="001520D6"/>
    <w:rsid w:val="0015210E"/>
    <w:rsid w:val="00152192"/>
    <w:rsid w:val="00152198"/>
    <w:rsid w:val="0015219A"/>
    <w:rsid w:val="00152247"/>
    <w:rsid w:val="001522AA"/>
    <w:rsid w:val="001522CB"/>
    <w:rsid w:val="001522D7"/>
    <w:rsid w:val="001522E3"/>
    <w:rsid w:val="00152331"/>
    <w:rsid w:val="00152388"/>
    <w:rsid w:val="001523B2"/>
    <w:rsid w:val="00152453"/>
    <w:rsid w:val="00152509"/>
    <w:rsid w:val="0015251C"/>
    <w:rsid w:val="0015259C"/>
    <w:rsid w:val="001525B7"/>
    <w:rsid w:val="001525D2"/>
    <w:rsid w:val="00152656"/>
    <w:rsid w:val="00152660"/>
    <w:rsid w:val="00152715"/>
    <w:rsid w:val="00152733"/>
    <w:rsid w:val="001528C1"/>
    <w:rsid w:val="001529DE"/>
    <w:rsid w:val="00152A18"/>
    <w:rsid w:val="00152A5A"/>
    <w:rsid w:val="00152AD2"/>
    <w:rsid w:val="00152B0A"/>
    <w:rsid w:val="00152B81"/>
    <w:rsid w:val="00152BCA"/>
    <w:rsid w:val="00152C1F"/>
    <w:rsid w:val="00152C5A"/>
    <w:rsid w:val="00152C78"/>
    <w:rsid w:val="00152D04"/>
    <w:rsid w:val="00152D07"/>
    <w:rsid w:val="00152D79"/>
    <w:rsid w:val="00152E17"/>
    <w:rsid w:val="00152EE9"/>
    <w:rsid w:val="00152EFC"/>
    <w:rsid w:val="00153028"/>
    <w:rsid w:val="0015302E"/>
    <w:rsid w:val="001530DE"/>
    <w:rsid w:val="0015311C"/>
    <w:rsid w:val="00153144"/>
    <w:rsid w:val="00153151"/>
    <w:rsid w:val="001531C0"/>
    <w:rsid w:val="0015321C"/>
    <w:rsid w:val="00153305"/>
    <w:rsid w:val="0015331C"/>
    <w:rsid w:val="00153491"/>
    <w:rsid w:val="001534D1"/>
    <w:rsid w:val="00153511"/>
    <w:rsid w:val="00153547"/>
    <w:rsid w:val="00153595"/>
    <w:rsid w:val="00153648"/>
    <w:rsid w:val="0015368D"/>
    <w:rsid w:val="001536CC"/>
    <w:rsid w:val="001536D3"/>
    <w:rsid w:val="00153703"/>
    <w:rsid w:val="0015371C"/>
    <w:rsid w:val="00153755"/>
    <w:rsid w:val="0015379C"/>
    <w:rsid w:val="001537E0"/>
    <w:rsid w:val="0015389D"/>
    <w:rsid w:val="001538A9"/>
    <w:rsid w:val="001538AC"/>
    <w:rsid w:val="0015391E"/>
    <w:rsid w:val="00153920"/>
    <w:rsid w:val="00153A5B"/>
    <w:rsid w:val="00153B22"/>
    <w:rsid w:val="00153B31"/>
    <w:rsid w:val="00153B35"/>
    <w:rsid w:val="00153B91"/>
    <w:rsid w:val="00153B9A"/>
    <w:rsid w:val="00153C2B"/>
    <w:rsid w:val="00153CCC"/>
    <w:rsid w:val="00153CDB"/>
    <w:rsid w:val="00153D06"/>
    <w:rsid w:val="00153D35"/>
    <w:rsid w:val="00153D7C"/>
    <w:rsid w:val="00153D80"/>
    <w:rsid w:val="00153E2C"/>
    <w:rsid w:val="00153E41"/>
    <w:rsid w:val="00153E7C"/>
    <w:rsid w:val="00153F2E"/>
    <w:rsid w:val="00153F69"/>
    <w:rsid w:val="00153FD5"/>
    <w:rsid w:val="00153FE9"/>
    <w:rsid w:val="00153FFE"/>
    <w:rsid w:val="001540D4"/>
    <w:rsid w:val="001540E5"/>
    <w:rsid w:val="00154126"/>
    <w:rsid w:val="00154162"/>
    <w:rsid w:val="00154247"/>
    <w:rsid w:val="00154255"/>
    <w:rsid w:val="0015425D"/>
    <w:rsid w:val="001542B2"/>
    <w:rsid w:val="001542EB"/>
    <w:rsid w:val="0015435D"/>
    <w:rsid w:val="00154398"/>
    <w:rsid w:val="001543D6"/>
    <w:rsid w:val="0015443D"/>
    <w:rsid w:val="001544D8"/>
    <w:rsid w:val="001545C7"/>
    <w:rsid w:val="00154610"/>
    <w:rsid w:val="00154636"/>
    <w:rsid w:val="00154662"/>
    <w:rsid w:val="0015468F"/>
    <w:rsid w:val="001546C4"/>
    <w:rsid w:val="001546E0"/>
    <w:rsid w:val="001546EB"/>
    <w:rsid w:val="001546ED"/>
    <w:rsid w:val="001547C2"/>
    <w:rsid w:val="00154841"/>
    <w:rsid w:val="00154862"/>
    <w:rsid w:val="00154868"/>
    <w:rsid w:val="001548CD"/>
    <w:rsid w:val="001548E1"/>
    <w:rsid w:val="0015490B"/>
    <w:rsid w:val="00154932"/>
    <w:rsid w:val="0015494C"/>
    <w:rsid w:val="0015497B"/>
    <w:rsid w:val="001549C9"/>
    <w:rsid w:val="001549DC"/>
    <w:rsid w:val="001549E4"/>
    <w:rsid w:val="00154A08"/>
    <w:rsid w:val="00154A66"/>
    <w:rsid w:val="00154A99"/>
    <w:rsid w:val="00154AD9"/>
    <w:rsid w:val="00154B47"/>
    <w:rsid w:val="00154B50"/>
    <w:rsid w:val="00154B65"/>
    <w:rsid w:val="00154B75"/>
    <w:rsid w:val="00154C77"/>
    <w:rsid w:val="00154C98"/>
    <w:rsid w:val="00154D1A"/>
    <w:rsid w:val="00154D9A"/>
    <w:rsid w:val="00154DD5"/>
    <w:rsid w:val="00154E58"/>
    <w:rsid w:val="00154EC2"/>
    <w:rsid w:val="00154EC3"/>
    <w:rsid w:val="00154EE3"/>
    <w:rsid w:val="00154F46"/>
    <w:rsid w:val="00154FE0"/>
    <w:rsid w:val="00154FE3"/>
    <w:rsid w:val="0015502C"/>
    <w:rsid w:val="00155168"/>
    <w:rsid w:val="00155169"/>
    <w:rsid w:val="0015516A"/>
    <w:rsid w:val="00155190"/>
    <w:rsid w:val="00155195"/>
    <w:rsid w:val="001551EF"/>
    <w:rsid w:val="0015524F"/>
    <w:rsid w:val="0015525C"/>
    <w:rsid w:val="001552C1"/>
    <w:rsid w:val="001552EA"/>
    <w:rsid w:val="00155304"/>
    <w:rsid w:val="0015530B"/>
    <w:rsid w:val="00155313"/>
    <w:rsid w:val="001554DB"/>
    <w:rsid w:val="001554FB"/>
    <w:rsid w:val="00155547"/>
    <w:rsid w:val="001555DE"/>
    <w:rsid w:val="00155608"/>
    <w:rsid w:val="0015565A"/>
    <w:rsid w:val="0015566E"/>
    <w:rsid w:val="001556D0"/>
    <w:rsid w:val="001556D6"/>
    <w:rsid w:val="0015570F"/>
    <w:rsid w:val="001557F7"/>
    <w:rsid w:val="00155834"/>
    <w:rsid w:val="00155854"/>
    <w:rsid w:val="00155896"/>
    <w:rsid w:val="00155932"/>
    <w:rsid w:val="0015598A"/>
    <w:rsid w:val="001559CA"/>
    <w:rsid w:val="001559E7"/>
    <w:rsid w:val="00155A55"/>
    <w:rsid w:val="00155A68"/>
    <w:rsid w:val="00155A8B"/>
    <w:rsid w:val="00155B5F"/>
    <w:rsid w:val="00155B94"/>
    <w:rsid w:val="00155B95"/>
    <w:rsid w:val="00155B9A"/>
    <w:rsid w:val="00155BC7"/>
    <w:rsid w:val="00155BDB"/>
    <w:rsid w:val="00155C46"/>
    <w:rsid w:val="00155C5B"/>
    <w:rsid w:val="00155CFF"/>
    <w:rsid w:val="00155DFE"/>
    <w:rsid w:val="00155E4D"/>
    <w:rsid w:val="00155E65"/>
    <w:rsid w:val="00155ED9"/>
    <w:rsid w:val="00155F2F"/>
    <w:rsid w:val="00155F4A"/>
    <w:rsid w:val="00155F4D"/>
    <w:rsid w:val="00155F4F"/>
    <w:rsid w:val="00155FB3"/>
    <w:rsid w:val="00156082"/>
    <w:rsid w:val="001560BA"/>
    <w:rsid w:val="001560C9"/>
    <w:rsid w:val="00156114"/>
    <w:rsid w:val="00156131"/>
    <w:rsid w:val="001561E7"/>
    <w:rsid w:val="00156282"/>
    <w:rsid w:val="00156288"/>
    <w:rsid w:val="0015628C"/>
    <w:rsid w:val="001562A3"/>
    <w:rsid w:val="00156394"/>
    <w:rsid w:val="00156396"/>
    <w:rsid w:val="001563DB"/>
    <w:rsid w:val="001563F1"/>
    <w:rsid w:val="001564E6"/>
    <w:rsid w:val="00156507"/>
    <w:rsid w:val="00156520"/>
    <w:rsid w:val="001565A1"/>
    <w:rsid w:val="001565BF"/>
    <w:rsid w:val="00156948"/>
    <w:rsid w:val="001569F7"/>
    <w:rsid w:val="00156A70"/>
    <w:rsid w:val="00156A72"/>
    <w:rsid w:val="00156A82"/>
    <w:rsid w:val="00156AAC"/>
    <w:rsid w:val="00156B5C"/>
    <w:rsid w:val="00156C00"/>
    <w:rsid w:val="00156C15"/>
    <w:rsid w:val="00156C1A"/>
    <w:rsid w:val="00156C80"/>
    <w:rsid w:val="00156CE3"/>
    <w:rsid w:val="00156CEE"/>
    <w:rsid w:val="00156D70"/>
    <w:rsid w:val="00156D93"/>
    <w:rsid w:val="00156DB0"/>
    <w:rsid w:val="00156DE4"/>
    <w:rsid w:val="00156E78"/>
    <w:rsid w:val="00156E84"/>
    <w:rsid w:val="00156E94"/>
    <w:rsid w:val="00156EBD"/>
    <w:rsid w:val="00156ED8"/>
    <w:rsid w:val="00156EFA"/>
    <w:rsid w:val="00156F1A"/>
    <w:rsid w:val="00156FF2"/>
    <w:rsid w:val="0015704D"/>
    <w:rsid w:val="00157064"/>
    <w:rsid w:val="001570B3"/>
    <w:rsid w:val="001570E0"/>
    <w:rsid w:val="001570FA"/>
    <w:rsid w:val="00157172"/>
    <w:rsid w:val="00157177"/>
    <w:rsid w:val="001571BB"/>
    <w:rsid w:val="001571F2"/>
    <w:rsid w:val="00157221"/>
    <w:rsid w:val="00157223"/>
    <w:rsid w:val="00157295"/>
    <w:rsid w:val="00157313"/>
    <w:rsid w:val="00157351"/>
    <w:rsid w:val="00157378"/>
    <w:rsid w:val="001573B5"/>
    <w:rsid w:val="001574CD"/>
    <w:rsid w:val="00157598"/>
    <w:rsid w:val="00157613"/>
    <w:rsid w:val="00157616"/>
    <w:rsid w:val="0015763F"/>
    <w:rsid w:val="001577E6"/>
    <w:rsid w:val="0015780A"/>
    <w:rsid w:val="0015782B"/>
    <w:rsid w:val="00157866"/>
    <w:rsid w:val="0015793E"/>
    <w:rsid w:val="001579C1"/>
    <w:rsid w:val="00157AA5"/>
    <w:rsid w:val="00157AEE"/>
    <w:rsid w:val="00157AF3"/>
    <w:rsid w:val="00157AFA"/>
    <w:rsid w:val="00157B27"/>
    <w:rsid w:val="00157B5C"/>
    <w:rsid w:val="00157B73"/>
    <w:rsid w:val="00157C10"/>
    <w:rsid w:val="00157C29"/>
    <w:rsid w:val="00157C9B"/>
    <w:rsid w:val="00157CB2"/>
    <w:rsid w:val="00157D40"/>
    <w:rsid w:val="00157D88"/>
    <w:rsid w:val="00157DC3"/>
    <w:rsid w:val="00157DD7"/>
    <w:rsid w:val="00157E65"/>
    <w:rsid w:val="00157ECC"/>
    <w:rsid w:val="00157F06"/>
    <w:rsid w:val="00157F0E"/>
    <w:rsid w:val="00157F25"/>
    <w:rsid w:val="00157F46"/>
    <w:rsid w:val="00157F5C"/>
    <w:rsid w:val="00157F92"/>
    <w:rsid w:val="00157FA3"/>
    <w:rsid w:val="00157FB2"/>
    <w:rsid w:val="00157FC2"/>
    <w:rsid w:val="0015944F"/>
    <w:rsid w:val="001600B5"/>
    <w:rsid w:val="001600D6"/>
    <w:rsid w:val="001600E2"/>
    <w:rsid w:val="00160133"/>
    <w:rsid w:val="0016014B"/>
    <w:rsid w:val="00160172"/>
    <w:rsid w:val="001601D0"/>
    <w:rsid w:val="001601DB"/>
    <w:rsid w:val="001601EC"/>
    <w:rsid w:val="001601FD"/>
    <w:rsid w:val="001602BD"/>
    <w:rsid w:val="001602F0"/>
    <w:rsid w:val="001602F9"/>
    <w:rsid w:val="001603B8"/>
    <w:rsid w:val="001603BE"/>
    <w:rsid w:val="001603E3"/>
    <w:rsid w:val="00160420"/>
    <w:rsid w:val="001604EF"/>
    <w:rsid w:val="0016052B"/>
    <w:rsid w:val="00160546"/>
    <w:rsid w:val="0016057D"/>
    <w:rsid w:val="001605AA"/>
    <w:rsid w:val="001605D4"/>
    <w:rsid w:val="0016061F"/>
    <w:rsid w:val="0016062D"/>
    <w:rsid w:val="00160663"/>
    <w:rsid w:val="0016069B"/>
    <w:rsid w:val="001606B3"/>
    <w:rsid w:val="00160734"/>
    <w:rsid w:val="00160745"/>
    <w:rsid w:val="00160749"/>
    <w:rsid w:val="0016078A"/>
    <w:rsid w:val="0016079A"/>
    <w:rsid w:val="00160829"/>
    <w:rsid w:val="00160840"/>
    <w:rsid w:val="00160841"/>
    <w:rsid w:val="001608AF"/>
    <w:rsid w:val="001608DC"/>
    <w:rsid w:val="001609C9"/>
    <w:rsid w:val="001609E5"/>
    <w:rsid w:val="00160A0A"/>
    <w:rsid w:val="00160A51"/>
    <w:rsid w:val="00160ACE"/>
    <w:rsid w:val="00160B4B"/>
    <w:rsid w:val="00160B54"/>
    <w:rsid w:val="00160C2A"/>
    <w:rsid w:val="00160CDB"/>
    <w:rsid w:val="00160DC1"/>
    <w:rsid w:val="00160E3C"/>
    <w:rsid w:val="00160E6E"/>
    <w:rsid w:val="00160ED1"/>
    <w:rsid w:val="00160F58"/>
    <w:rsid w:val="00160F6D"/>
    <w:rsid w:val="00160FDA"/>
    <w:rsid w:val="00161032"/>
    <w:rsid w:val="001610F1"/>
    <w:rsid w:val="00161102"/>
    <w:rsid w:val="0016112A"/>
    <w:rsid w:val="001611D3"/>
    <w:rsid w:val="00161248"/>
    <w:rsid w:val="001612B0"/>
    <w:rsid w:val="0016132E"/>
    <w:rsid w:val="00161356"/>
    <w:rsid w:val="001613CD"/>
    <w:rsid w:val="0016142A"/>
    <w:rsid w:val="00161519"/>
    <w:rsid w:val="0016159D"/>
    <w:rsid w:val="0016161A"/>
    <w:rsid w:val="0016172E"/>
    <w:rsid w:val="00161751"/>
    <w:rsid w:val="00161776"/>
    <w:rsid w:val="001617AD"/>
    <w:rsid w:val="001617E9"/>
    <w:rsid w:val="001617F0"/>
    <w:rsid w:val="00161957"/>
    <w:rsid w:val="0016195C"/>
    <w:rsid w:val="00161A1E"/>
    <w:rsid w:val="00161A2E"/>
    <w:rsid w:val="00161A6B"/>
    <w:rsid w:val="00161AE7"/>
    <w:rsid w:val="00161AE9"/>
    <w:rsid w:val="00161B00"/>
    <w:rsid w:val="00161BA6"/>
    <w:rsid w:val="00161BC7"/>
    <w:rsid w:val="00161C08"/>
    <w:rsid w:val="00161C19"/>
    <w:rsid w:val="00161C3F"/>
    <w:rsid w:val="00161CFA"/>
    <w:rsid w:val="00161E6D"/>
    <w:rsid w:val="00161FA4"/>
    <w:rsid w:val="00162023"/>
    <w:rsid w:val="00162030"/>
    <w:rsid w:val="00162069"/>
    <w:rsid w:val="001620F0"/>
    <w:rsid w:val="001620F7"/>
    <w:rsid w:val="00162108"/>
    <w:rsid w:val="0016210E"/>
    <w:rsid w:val="00162177"/>
    <w:rsid w:val="001621B4"/>
    <w:rsid w:val="00162218"/>
    <w:rsid w:val="00162262"/>
    <w:rsid w:val="001622A3"/>
    <w:rsid w:val="001622CA"/>
    <w:rsid w:val="001622D2"/>
    <w:rsid w:val="001622FE"/>
    <w:rsid w:val="00162385"/>
    <w:rsid w:val="0016238A"/>
    <w:rsid w:val="001623B0"/>
    <w:rsid w:val="00162453"/>
    <w:rsid w:val="001624B1"/>
    <w:rsid w:val="001624DC"/>
    <w:rsid w:val="00162510"/>
    <w:rsid w:val="0016254D"/>
    <w:rsid w:val="0016256D"/>
    <w:rsid w:val="001625ED"/>
    <w:rsid w:val="0016271D"/>
    <w:rsid w:val="00162877"/>
    <w:rsid w:val="001628A4"/>
    <w:rsid w:val="001628BE"/>
    <w:rsid w:val="001628F1"/>
    <w:rsid w:val="00162962"/>
    <w:rsid w:val="00162A21"/>
    <w:rsid w:val="00162A8F"/>
    <w:rsid w:val="00162AD8"/>
    <w:rsid w:val="00162B12"/>
    <w:rsid w:val="00162B2F"/>
    <w:rsid w:val="00162BD9"/>
    <w:rsid w:val="00162C5C"/>
    <w:rsid w:val="00162C9D"/>
    <w:rsid w:val="00162CE1"/>
    <w:rsid w:val="00162D1A"/>
    <w:rsid w:val="00162D26"/>
    <w:rsid w:val="00162D68"/>
    <w:rsid w:val="00162D8C"/>
    <w:rsid w:val="00162E45"/>
    <w:rsid w:val="00162E94"/>
    <w:rsid w:val="00162F63"/>
    <w:rsid w:val="00162F96"/>
    <w:rsid w:val="001630A4"/>
    <w:rsid w:val="001630BD"/>
    <w:rsid w:val="00163104"/>
    <w:rsid w:val="00163165"/>
    <w:rsid w:val="001631F2"/>
    <w:rsid w:val="00163218"/>
    <w:rsid w:val="001632B4"/>
    <w:rsid w:val="00163340"/>
    <w:rsid w:val="0016337C"/>
    <w:rsid w:val="001633B1"/>
    <w:rsid w:val="0016345F"/>
    <w:rsid w:val="00163469"/>
    <w:rsid w:val="001635AC"/>
    <w:rsid w:val="0016363A"/>
    <w:rsid w:val="00163658"/>
    <w:rsid w:val="00163748"/>
    <w:rsid w:val="001637AB"/>
    <w:rsid w:val="001637F8"/>
    <w:rsid w:val="0016384B"/>
    <w:rsid w:val="0016384E"/>
    <w:rsid w:val="00163886"/>
    <w:rsid w:val="00163908"/>
    <w:rsid w:val="0016391E"/>
    <w:rsid w:val="0016393C"/>
    <w:rsid w:val="001639C2"/>
    <w:rsid w:val="00163ADC"/>
    <w:rsid w:val="00163B8F"/>
    <w:rsid w:val="00163B9B"/>
    <w:rsid w:val="00163BE4"/>
    <w:rsid w:val="00163C80"/>
    <w:rsid w:val="00163CFC"/>
    <w:rsid w:val="00163D06"/>
    <w:rsid w:val="00163DA8"/>
    <w:rsid w:val="00163DB2"/>
    <w:rsid w:val="00163DE4"/>
    <w:rsid w:val="00163DF0"/>
    <w:rsid w:val="00163E37"/>
    <w:rsid w:val="00163E3D"/>
    <w:rsid w:val="00163E6C"/>
    <w:rsid w:val="00163E75"/>
    <w:rsid w:val="00163EC2"/>
    <w:rsid w:val="00163EC8"/>
    <w:rsid w:val="00163F63"/>
    <w:rsid w:val="00163F99"/>
    <w:rsid w:val="00163FED"/>
    <w:rsid w:val="00164022"/>
    <w:rsid w:val="00164046"/>
    <w:rsid w:val="0016408B"/>
    <w:rsid w:val="001640DE"/>
    <w:rsid w:val="001640F5"/>
    <w:rsid w:val="00164155"/>
    <w:rsid w:val="0016418C"/>
    <w:rsid w:val="00164316"/>
    <w:rsid w:val="00164340"/>
    <w:rsid w:val="00164362"/>
    <w:rsid w:val="00164366"/>
    <w:rsid w:val="001643CB"/>
    <w:rsid w:val="001643ED"/>
    <w:rsid w:val="0016441D"/>
    <w:rsid w:val="00164525"/>
    <w:rsid w:val="0016452E"/>
    <w:rsid w:val="0016453A"/>
    <w:rsid w:val="00164564"/>
    <w:rsid w:val="0016458A"/>
    <w:rsid w:val="00164611"/>
    <w:rsid w:val="00164636"/>
    <w:rsid w:val="00164639"/>
    <w:rsid w:val="0016464E"/>
    <w:rsid w:val="00164658"/>
    <w:rsid w:val="0016465D"/>
    <w:rsid w:val="0016468C"/>
    <w:rsid w:val="001646CC"/>
    <w:rsid w:val="00164717"/>
    <w:rsid w:val="0016473A"/>
    <w:rsid w:val="0016480F"/>
    <w:rsid w:val="00164865"/>
    <w:rsid w:val="00164868"/>
    <w:rsid w:val="00164910"/>
    <w:rsid w:val="00164964"/>
    <w:rsid w:val="00164982"/>
    <w:rsid w:val="00164994"/>
    <w:rsid w:val="001649E0"/>
    <w:rsid w:val="001649E8"/>
    <w:rsid w:val="00164A7A"/>
    <w:rsid w:val="00164A7B"/>
    <w:rsid w:val="00164B53"/>
    <w:rsid w:val="00164BE7"/>
    <w:rsid w:val="00164C11"/>
    <w:rsid w:val="00164C3E"/>
    <w:rsid w:val="00164C9D"/>
    <w:rsid w:val="00164CA8"/>
    <w:rsid w:val="00164CE2"/>
    <w:rsid w:val="00164D4D"/>
    <w:rsid w:val="00164E22"/>
    <w:rsid w:val="00164E44"/>
    <w:rsid w:val="00164E91"/>
    <w:rsid w:val="00164EB9"/>
    <w:rsid w:val="00164EF7"/>
    <w:rsid w:val="00164F0C"/>
    <w:rsid w:val="00164F1C"/>
    <w:rsid w:val="00164F41"/>
    <w:rsid w:val="00164F60"/>
    <w:rsid w:val="00164F87"/>
    <w:rsid w:val="00164FEB"/>
    <w:rsid w:val="00165002"/>
    <w:rsid w:val="001650D9"/>
    <w:rsid w:val="001650FB"/>
    <w:rsid w:val="0016511F"/>
    <w:rsid w:val="0016512D"/>
    <w:rsid w:val="00165226"/>
    <w:rsid w:val="00165259"/>
    <w:rsid w:val="00165315"/>
    <w:rsid w:val="0016531A"/>
    <w:rsid w:val="00165369"/>
    <w:rsid w:val="001653B0"/>
    <w:rsid w:val="001653C7"/>
    <w:rsid w:val="0016540E"/>
    <w:rsid w:val="00165467"/>
    <w:rsid w:val="00165544"/>
    <w:rsid w:val="001655AF"/>
    <w:rsid w:val="0016561A"/>
    <w:rsid w:val="001656CB"/>
    <w:rsid w:val="0016571B"/>
    <w:rsid w:val="0016576D"/>
    <w:rsid w:val="0016578D"/>
    <w:rsid w:val="001657C4"/>
    <w:rsid w:val="001657F0"/>
    <w:rsid w:val="00165805"/>
    <w:rsid w:val="001658A7"/>
    <w:rsid w:val="001658C8"/>
    <w:rsid w:val="001658EA"/>
    <w:rsid w:val="001658F0"/>
    <w:rsid w:val="00165901"/>
    <w:rsid w:val="0016590B"/>
    <w:rsid w:val="00165945"/>
    <w:rsid w:val="0016597E"/>
    <w:rsid w:val="001659B3"/>
    <w:rsid w:val="00165A1E"/>
    <w:rsid w:val="00165A4B"/>
    <w:rsid w:val="00165B06"/>
    <w:rsid w:val="00165BF0"/>
    <w:rsid w:val="00165C7A"/>
    <w:rsid w:val="00165C99"/>
    <w:rsid w:val="00165CAE"/>
    <w:rsid w:val="00165D36"/>
    <w:rsid w:val="00165DBA"/>
    <w:rsid w:val="00165DE5"/>
    <w:rsid w:val="00165DF6"/>
    <w:rsid w:val="00165E6D"/>
    <w:rsid w:val="00165E74"/>
    <w:rsid w:val="00165EB4"/>
    <w:rsid w:val="00165F89"/>
    <w:rsid w:val="00165FB7"/>
    <w:rsid w:val="00166082"/>
    <w:rsid w:val="00166088"/>
    <w:rsid w:val="0016615B"/>
    <w:rsid w:val="00166168"/>
    <w:rsid w:val="001661B7"/>
    <w:rsid w:val="001661FA"/>
    <w:rsid w:val="0016621B"/>
    <w:rsid w:val="00166278"/>
    <w:rsid w:val="0016633E"/>
    <w:rsid w:val="001663A3"/>
    <w:rsid w:val="001663D2"/>
    <w:rsid w:val="00166411"/>
    <w:rsid w:val="00166435"/>
    <w:rsid w:val="00166447"/>
    <w:rsid w:val="001665BA"/>
    <w:rsid w:val="0016661A"/>
    <w:rsid w:val="001666BA"/>
    <w:rsid w:val="00166720"/>
    <w:rsid w:val="00166786"/>
    <w:rsid w:val="001667B4"/>
    <w:rsid w:val="001667CE"/>
    <w:rsid w:val="00166820"/>
    <w:rsid w:val="0016682F"/>
    <w:rsid w:val="0016688A"/>
    <w:rsid w:val="001668B3"/>
    <w:rsid w:val="001668B4"/>
    <w:rsid w:val="00166904"/>
    <w:rsid w:val="001669C7"/>
    <w:rsid w:val="001669E1"/>
    <w:rsid w:val="00166A31"/>
    <w:rsid w:val="00166ADB"/>
    <w:rsid w:val="00166AE2"/>
    <w:rsid w:val="00166B25"/>
    <w:rsid w:val="00166BBE"/>
    <w:rsid w:val="00166C0C"/>
    <w:rsid w:val="00166C4D"/>
    <w:rsid w:val="00166CC5"/>
    <w:rsid w:val="00166CC9"/>
    <w:rsid w:val="00166D53"/>
    <w:rsid w:val="00166D5C"/>
    <w:rsid w:val="00166D8C"/>
    <w:rsid w:val="00166DF5"/>
    <w:rsid w:val="00166E51"/>
    <w:rsid w:val="00166E94"/>
    <w:rsid w:val="00166EB0"/>
    <w:rsid w:val="00166F18"/>
    <w:rsid w:val="00166F73"/>
    <w:rsid w:val="00166F87"/>
    <w:rsid w:val="00166FEA"/>
    <w:rsid w:val="00166FF3"/>
    <w:rsid w:val="0016700A"/>
    <w:rsid w:val="00167092"/>
    <w:rsid w:val="001670D6"/>
    <w:rsid w:val="001670E2"/>
    <w:rsid w:val="00167150"/>
    <w:rsid w:val="001671C9"/>
    <w:rsid w:val="00167204"/>
    <w:rsid w:val="00167221"/>
    <w:rsid w:val="00167256"/>
    <w:rsid w:val="001672B6"/>
    <w:rsid w:val="001673C4"/>
    <w:rsid w:val="001674DA"/>
    <w:rsid w:val="001674E0"/>
    <w:rsid w:val="0016751E"/>
    <w:rsid w:val="00167536"/>
    <w:rsid w:val="0016758D"/>
    <w:rsid w:val="00167590"/>
    <w:rsid w:val="001675AD"/>
    <w:rsid w:val="001675BC"/>
    <w:rsid w:val="0016761F"/>
    <w:rsid w:val="00167674"/>
    <w:rsid w:val="001676A3"/>
    <w:rsid w:val="001676BF"/>
    <w:rsid w:val="001676EE"/>
    <w:rsid w:val="00167741"/>
    <w:rsid w:val="0016776B"/>
    <w:rsid w:val="00167785"/>
    <w:rsid w:val="0016778F"/>
    <w:rsid w:val="001677E4"/>
    <w:rsid w:val="0016780F"/>
    <w:rsid w:val="00167861"/>
    <w:rsid w:val="00167889"/>
    <w:rsid w:val="0016788A"/>
    <w:rsid w:val="001678AC"/>
    <w:rsid w:val="0016794B"/>
    <w:rsid w:val="001679C4"/>
    <w:rsid w:val="00167B30"/>
    <w:rsid w:val="00167B6F"/>
    <w:rsid w:val="00167B90"/>
    <w:rsid w:val="00167BF8"/>
    <w:rsid w:val="00167D00"/>
    <w:rsid w:val="00167D49"/>
    <w:rsid w:val="00167D93"/>
    <w:rsid w:val="00167D9E"/>
    <w:rsid w:val="00167E16"/>
    <w:rsid w:val="00167E23"/>
    <w:rsid w:val="00167E39"/>
    <w:rsid w:val="00167E48"/>
    <w:rsid w:val="00167E9E"/>
    <w:rsid w:val="00167EE6"/>
    <w:rsid w:val="00167F2C"/>
    <w:rsid w:val="00167FDC"/>
    <w:rsid w:val="0017003B"/>
    <w:rsid w:val="00170042"/>
    <w:rsid w:val="00170156"/>
    <w:rsid w:val="00170185"/>
    <w:rsid w:val="001701D5"/>
    <w:rsid w:val="001701E0"/>
    <w:rsid w:val="00170326"/>
    <w:rsid w:val="00170353"/>
    <w:rsid w:val="00170371"/>
    <w:rsid w:val="0017037E"/>
    <w:rsid w:val="0017038E"/>
    <w:rsid w:val="001703AC"/>
    <w:rsid w:val="0017040A"/>
    <w:rsid w:val="00170444"/>
    <w:rsid w:val="001704A6"/>
    <w:rsid w:val="001704C1"/>
    <w:rsid w:val="0017050D"/>
    <w:rsid w:val="00170554"/>
    <w:rsid w:val="0017057D"/>
    <w:rsid w:val="00170584"/>
    <w:rsid w:val="00170585"/>
    <w:rsid w:val="0017058C"/>
    <w:rsid w:val="001705B9"/>
    <w:rsid w:val="0017061D"/>
    <w:rsid w:val="001706CF"/>
    <w:rsid w:val="001706DB"/>
    <w:rsid w:val="001706E9"/>
    <w:rsid w:val="001706F3"/>
    <w:rsid w:val="00170708"/>
    <w:rsid w:val="001707E1"/>
    <w:rsid w:val="0017080F"/>
    <w:rsid w:val="00170813"/>
    <w:rsid w:val="0017084C"/>
    <w:rsid w:val="001708C7"/>
    <w:rsid w:val="001708F3"/>
    <w:rsid w:val="00170907"/>
    <w:rsid w:val="00170966"/>
    <w:rsid w:val="0017097E"/>
    <w:rsid w:val="001709BC"/>
    <w:rsid w:val="00170A6B"/>
    <w:rsid w:val="00170AB3"/>
    <w:rsid w:val="00170ADC"/>
    <w:rsid w:val="00170BA6"/>
    <w:rsid w:val="00170BAA"/>
    <w:rsid w:val="00170BC2"/>
    <w:rsid w:val="00170BCD"/>
    <w:rsid w:val="00170BDD"/>
    <w:rsid w:val="00170BFD"/>
    <w:rsid w:val="00170C1C"/>
    <w:rsid w:val="00170C70"/>
    <w:rsid w:val="00170C83"/>
    <w:rsid w:val="00170C89"/>
    <w:rsid w:val="00170DC5"/>
    <w:rsid w:val="00170DD1"/>
    <w:rsid w:val="00170E14"/>
    <w:rsid w:val="00170E29"/>
    <w:rsid w:val="00170E82"/>
    <w:rsid w:val="00170EC0"/>
    <w:rsid w:val="00170EE8"/>
    <w:rsid w:val="00170F32"/>
    <w:rsid w:val="00170F4C"/>
    <w:rsid w:val="00170F59"/>
    <w:rsid w:val="0017107F"/>
    <w:rsid w:val="001710FB"/>
    <w:rsid w:val="00171127"/>
    <w:rsid w:val="0017124F"/>
    <w:rsid w:val="0017125B"/>
    <w:rsid w:val="0017130C"/>
    <w:rsid w:val="00171316"/>
    <w:rsid w:val="0017132F"/>
    <w:rsid w:val="00171377"/>
    <w:rsid w:val="001713A1"/>
    <w:rsid w:val="001713D4"/>
    <w:rsid w:val="001713FE"/>
    <w:rsid w:val="00171400"/>
    <w:rsid w:val="0017143C"/>
    <w:rsid w:val="0017157D"/>
    <w:rsid w:val="001715B2"/>
    <w:rsid w:val="001715D4"/>
    <w:rsid w:val="00171776"/>
    <w:rsid w:val="001717B6"/>
    <w:rsid w:val="001717C1"/>
    <w:rsid w:val="001717CA"/>
    <w:rsid w:val="001717F3"/>
    <w:rsid w:val="001717FA"/>
    <w:rsid w:val="00171855"/>
    <w:rsid w:val="00171864"/>
    <w:rsid w:val="00171893"/>
    <w:rsid w:val="00171942"/>
    <w:rsid w:val="001719AB"/>
    <w:rsid w:val="001719B0"/>
    <w:rsid w:val="001719C7"/>
    <w:rsid w:val="001719FF"/>
    <w:rsid w:val="00171A1D"/>
    <w:rsid w:val="00171A2D"/>
    <w:rsid w:val="00171A37"/>
    <w:rsid w:val="00171A4B"/>
    <w:rsid w:val="00171A4C"/>
    <w:rsid w:val="00171A6B"/>
    <w:rsid w:val="00171A7B"/>
    <w:rsid w:val="00171AE1"/>
    <w:rsid w:val="00171B6C"/>
    <w:rsid w:val="00171BE4"/>
    <w:rsid w:val="00171C07"/>
    <w:rsid w:val="00171C14"/>
    <w:rsid w:val="00171C5A"/>
    <w:rsid w:val="00171D5F"/>
    <w:rsid w:val="00171D74"/>
    <w:rsid w:val="00171D7C"/>
    <w:rsid w:val="00171DC6"/>
    <w:rsid w:val="00171E6F"/>
    <w:rsid w:val="00171E8C"/>
    <w:rsid w:val="00171F9D"/>
    <w:rsid w:val="00171FAC"/>
    <w:rsid w:val="00172006"/>
    <w:rsid w:val="00172033"/>
    <w:rsid w:val="00172039"/>
    <w:rsid w:val="00172081"/>
    <w:rsid w:val="00172093"/>
    <w:rsid w:val="001720D1"/>
    <w:rsid w:val="001721F1"/>
    <w:rsid w:val="0017220C"/>
    <w:rsid w:val="00172235"/>
    <w:rsid w:val="0017225A"/>
    <w:rsid w:val="00172277"/>
    <w:rsid w:val="00172280"/>
    <w:rsid w:val="00172291"/>
    <w:rsid w:val="0017233E"/>
    <w:rsid w:val="00172379"/>
    <w:rsid w:val="001723AF"/>
    <w:rsid w:val="001723F3"/>
    <w:rsid w:val="0017240D"/>
    <w:rsid w:val="0017245C"/>
    <w:rsid w:val="001724C9"/>
    <w:rsid w:val="00172538"/>
    <w:rsid w:val="0017253E"/>
    <w:rsid w:val="00172641"/>
    <w:rsid w:val="0017267B"/>
    <w:rsid w:val="0017270A"/>
    <w:rsid w:val="001727AC"/>
    <w:rsid w:val="00172844"/>
    <w:rsid w:val="0017286C"/>
    <w:rsid w:val="00172872"/>
    <w:rsid w:val="001728C0"/>
    <w:rsid w:val="001729B1"/>
    <w:rsid w:val="001729CC"/>
    <w:rsid w:val="001729E0"/>
    <w:rsid w:val="00172A28"/>
    <w:rsid w:val="00172A48"/>
    <w:rsid w:val="00172A81"/>
    <w:rsid w:val="00172B33"/>
    <w:rsid w:val="00172BB0"/>
    <w:rsid w:val="00172CAF"/>
    <w:rsid w:val="00172D01"/>
    <w:rsid w:val="00172D6B"/>
    <w:rsid w:val="00172DEA"/>
    <w:rsid w:val="00172E34"/>
    <w:rsid w:val="00172E63"/>
    <w:rsid w:val="00172E72"/>
    <w:rsid w:val="00172E9B"/>
    <w:rsid w:val="00172EDE"/>
    <w:rsid w:val="00172F02"/>
    <w:rsid w:val="00172F23"/>
    <w:rsid w:val="00172F5B"/>
    <w:rsid w:val="00172FED"/>
    <w:rsid w:val="0017310E"/>
    <w:rsid w:val="0017311B"/>
    <w:rsid w:val="0017314D"/>
    <w:rsid w:val="0017317F"/>
    <w:rsid w:val="0017318F"/>
    <w:rsid w:val="001731E7"/>
    <w:rsid w:val="00173205"/>
    <w:rsid w:val="001732A0"/>
    <w:rsid w:val="001732F8"/>
    <w:rsid w:val="00173321"/>
    <w:rsid w:val="0017334D"/>
    <w:rsid w:val="001733D8"/>
    <w:rsid w:val="001733E8"/>
    <w:rsid w:val="00173456"/>
    <w:rsid w:val="001734CD"/>
    <w:rsid w:val="00173509"/>
    <w:rsid w:val="0017357B"/>
    <w:rsid w:val="001735E0"/>
    <w:rsid w:val="001736DD"/>
    <w:rsid w:val="0017378A"/>
    <w:rsid w:val="001737E6"/>
    <w:rsid w:val="0017393E"/>
    <w:rsid w:val="00173ACF"/>
    <w:rsid w:val="00173AD7"/>
    <w:rsid w:val="00173B2C"/>
    <w:rsid w:val="00173C86"/>
    <w:rsid w:val="00173CF6"/>
    <w:rsid w:val="00173D0D"/>
    <w:rsid w:val="00173D19"/>
    <w:rsid w:val="00173D45"/>
    <w:rsid w:val="00173D6D"/>
    <w:rsid w:val="00173E19"/>
    <w:rsid w:val="00173E75"/>
    <w:rsid w:val="00173EE9"/>
    <w:rsid w:val="00173FA3"/>
    <w:rsid w:val="00173FBF"/>
    <w:rsid w:val="00174045"/>
    <w:rsid w:val="0017408B"/>
    <w:rsid w:val="001740A7"/>
    <w:rsid w:val="001740C1"/>
    <w:rsid w:val="001740ED"/>
    <w:rsid w:val="001740F6"/>
    <w:rsid w:val="00174109"/>
    <w:rsid w:val="00174160"/>
    <w:rsid w:val="0017416B"/>
    <w:rsid w:val="00174174"/>
    <w:rsid w:val="001741A4"/>
    <w:rsid w:val="00174200"/>
    <w:rsid w:val="00174268"/>
    <w:rsid w:val="00174286"/>
    <w:rsid w:val="001742DD"/>
    <w:rsid w:val="0017430F"/>
    <w:rsid w:val="00174313"/>
    <w:rsid w:val="0017434A"/>
    <w:rsid w:val="001743B8"/>
    <w:rsid w:val="001743FB"/>
    <w:rsid w:val="00174458"/>
    <w:rsid w:val="00174611"/>
    <w:rsid w:val="00174726"/>
    <w:rsid w:val="00174732"/>
    <w:rsid w:val="0017481F"/>
    <w:rsid w:val="001748C8"/>
    <w:rsid w:val="001748CF"/>
    <w:rsid w:val="001748D7"/>
    <w:rsid w:val="0017490D"/>
    <w:rsid w:val="00174932"/>
    <w:rsid w:val="00174950"/>
    <w:rsid w:val="001749BE"/>
    <w:rsid w:val="001749D5"/>
    <w:rsid w:val="00174A76"/>
    <w:rsid w:val="00174A7E"/>
    <w:rsid w:val="00174BF0"/>
    <w:rsid w:val="00174CFE"/>
    <w:rsid w:val="00174D2A"/>
    <w:rsid w:val="00174D3E"/>
    <w:rsid w:val="00174D40"/>
    <w:rsid w:val="00174D90"/>
    <w:rsid w:val="00174DC8"/>
    <w:rsid w:val="00174DF6"/>
    <w:rsid w:val="00174E37"/>
    <w:rsid w:val="00174E97"/>
    <w:rsid w:val="00174F04"/>
    <w:rsid w:val="00174F09"/>
    <w:rsid w:val="00174F0F"/>
    <w:rsid w:val="00174F1F"/>
    <w:rsid w:val="00174F72"/>
    <w:rsid w:val="00174FCD"/>
    <w:rsid w:val="00174FDD"/>
    <w:rsid w:val="00174FF3"/>
    <w:rsid w:val="00175006"/>
    <w:rsid w:val="00175031"/>
    <w:rsid w:val="0017505B"/>
    <w:rsid w:val="00175062"/>
    <w:rsid w:val="0017507B"/>
    <w:rsid w:val="001750EE"/>
    <w:rsid w:val="0017511E"/>
    <w:rsid w:val="00175129"/>
    <w:rsid w:val="00175131"/>
    <w:rsid w:val="00175181"/>
    <w:rsid w:val="001751AC"/>
    <w:rsid w:val="001751F8"/>
    <w:rsid w:val="00175279"/>
    <w:rsid w:val="001753FF"/>
    <w:rsid w:val="0017540A"/>
    <w:rsid w:val="0017541C"/>
    <w:rsid w:val="001754F0"/>
    <w:rsid w:val="001754F5"/>
    <w:rsid w:val="00175513"/>
    <w:rsid w:val="00175529"/>
    <w:rsid w:val="00175557"/>
    <w:rsid w:val="001755E3"/>
    <w:rsid w:val="0017560F"/>
    <w:rsid w:val="00175612"/>
    <w:rsid w:val="0017563A"/>
    <w:rsid w:val="0017567F"/>
    <w:rsid w:val="0017574B"/>
    <w:rsid w:val="00175778"/>
    <w:rsid w:val="001757BF"/>
    <w:rsid w:val="00175857"/>
    <w:rsid w:val="001758B1"/>
    <w:rsid w:val="00175978"/>
    <w:rsid w:val="00175A54"/>
    <w:rsid w:val="00175A88"/>
    <w:rsid w:val="00175AF7"/>
    <w:rsid w:val="00175B3C"/>
    <w:rsid w:val="00175B95"/>
    <w:rsid w:val="00175BB4"/>
    <w:rsid w:val="00175BC2"/>
    <w:rsid w:val="00175BFB"/>
    <w:rsid w:val="00175C0C"/>
    <w:rsid w:val="00175C2C"/>
    <w:rsid w:val="00175C83"/>
    <w:rsid w:val="00175C9F"/>
    <w:rsid w:val="00175D44"/>
    <w:rsid w:val="00175E40"/>
    <w:rsid w:val="00175EBF"/>
    <w:rsid w:val="00175ED5"/>
    <w:rsid w:val="00175F1F"/>
    <w:rsid w:val="00175F6A"/>
    <w:rsid w:val="00175F85"/>
    <w:rsid w:val="00176019"/>
    <w:rsid w:val="0017602B"/>
    <w:rsid w:val="0017602E"/>
    <w:rsid w:val="0017604B"/>
    <w:rsid w:val="00176095"/>
    <w:rsid w:val="001760EE"/>
    <w:rsid w:val="00176184"/>
    <w:rsid w:val="00176194"/>
    <w:rsid w:val="001761D0"/>
    <w:rsid w:val="00176230"/>
    <w:rsid w:val="00176243"/>
    <w:rsid w:val="00176272"/>
    <w:rsid w:val="0017627A"/>
    <w:rsid w:val="0017628C"/>
    <w:rsid w:val="001762FC"/>
    <w:rsid w:val="00176314"/>
    <w:rsid w:val="0017638B"/>
    <w:rsid w:val="001763F0"/>
    <w:rsid w:val="001763FA"/>
    <w:rsid w:val="0017642E"/>
    <w:rsid w:val="00176465"/>
    <w:rsid w:val="00176473"/>
    <w:rsid w:val="001764C0"/>
    <w:rsid w:val="001764C1"/>
    <w:rsid w:val="001764F9"/>
    <w:rsid w:val="00176509"/>
    <w:rsid w:val="0017655D"/>
    <w:rsid w:val="001765F7"/>
    <w:rsid w:val="00176626"/>
    <w:rsid w:val="00176639"/>
    <w:rsid w:val="001766B4"/>
    <w:rsid w:val="0017678C"/>
    <w:rsid w:val="001767B2"/>
    <w:rsid w:val="001767E7"/>
    <w:rsid w:val="00176825"/>
    <w:rsid w:val="00176846"/>
    <w:rsid w:val="00176876"/>
    <w:rsid w:val="001768C9"/>
    <w:rsid w:val="001768D9"/>
    <w:rsid w:val="001768F1"/>
    <w:rsid w:val="00176925"/>
    <w:rsid w:val="00176988"/>
    <w:rsid w:val="00176A0A"/>
    <w:rsid w:val="00176B66"/>
    <w:rsid w:val="00176BF4"/>
    <w:rsid w:val="00176C02"/>
    <w:rsid w:val="00176C63"/>
    <w:rsid w:val="00176CA5"/>
    <w:rsid w:val="00176D59"/>
    <w:rsid w:val="00176D68"/>
    <w:rsid w:val="00176DC0"/>
    <w:rsid w:val="00176DF1"/>
    <w:rsid w:val="00176E0E"/>
    <w:rsid w:val="00176E9A"/>
    <w:rsid w:val="00176EB7"/>
    <w:rsid w:val="00176F50"/>
    <w:rsid w:val="00176F6D"/>
    <w:rsid w:val="00176FB9"/>
    <w:rsid w:val="00176FE4"/>
    <w:rsid w:val="00176FF8"/>
    <w:rsid w:val="00176FFB"/>
    <w:rsid w:val="0017702A"/>
    <w:rsid w:val="00177044"/>
    <w:rsid w:val="0017708C"/>
    <w:rsid w:val="0017709A"/>
    <w:rsid w:val="001770D0"/>
    <w:rsid w:val="001770D9"/>
    <w:rsid w:val="00177123"/>
    <w:rsid w:val="0017713B"/>
    <w:rsid w:val="00177198"/>
    <w:rsid w:val="001771CC"/>
    <w:rsid w:val="001771E0"/>
    <w:rsid w:val="0017729A"/>
    <w:rsid w:val="0017729C"/>
    <w:rsid w:val="001772BB"/>
    <w:rsid w:val="00177353"/>
    <w:rsid w:val="001773A3"/>
    <w:rsid w:val="001773FB"/>
    <w:rsid w:val="00177422"/>
    <w:rsid w:val="0017749A"/>
    <w:rsid w:val="001774DF"/>
    <w:rsid w:val="0017750E"/>
    <w:rsid w:val="0017756D"/>
    <w:rsid w:val="0017760E"/>
    <w:rsid w:val="00177642"/>
    <w:rsid w:val="00177690"/>
    <w:rsid w:val="0017773B"/>
    <w:rsid w:val="0017774E"/>
    <w:rsid w:val="00177792"/>
    <w:rsid w:val="00177794"/>
    <w:rsid w:val="001777A9"/>
    <w:rsid w:val="001777CF"/>
    <w:rsid w:val="001777DC"/>
    <w:rsid w:val="00177836"/>
    <w:rsid w:val="00177894"/>
    <w:rsid w:val="0017791A"/>
    <w:rsid w:val="0017795A"/>
    <w:rsid w:val="00177985"/>
    <w:rsid w:val="001779DF"/>
    <w:rsid w:val="00177AA5"/>
    <w:rsid w:val="00177B31"/>
    <w:rsid w:val="00177BDD"/>
    <w:rsid w:val="00177CCB"/>
    <w:rsid w:val="00177D58"/>
    <w:rsid w:val="00177D9F"/>
    <w:rsid w:val="00177DA4"/>
    <w:rsid w:val="00177DBD"/>
    <w:rsid w:val="00177E41"/>
    <w:rsid w:val="00177E52"/>
    <w:rsid w:val="00177EFC"/>
    <w:rsid w:val="00177F1C"/>
    <w:rsid w:val="00177F25"/>
    <w:rsid w:val="00177F26"/>
    <w:rsid w:val="00177F92"/>
    <w:rsid w:val="00177F9A"/>
    <w:rsid w:val="0018001E"/>
    <w:rsid w:val="0018006B"/>
    <w:rsid w:val="001800F4"/>
    <w:rsid w:val="0018011D"/>
    <w:rsid w:val="00180129"/>
    <w:rsid w:val="00180203"/>
    <w:rsid w:val="00180213"/>
    <w:rsid w:val="00180228"/>
    <w:rsid w:val="0018029D"/>
    <w:rsid w:val="0018035D"/>
    <w:rsid w:val="00180373"/>
    <w:rsid w:val="00180470"/>
    <w:rsid w:val="00180496"/>
    <w:rsid w:val="001804D9"/>
    <w:rsid w:val="00180579"/>
    <w:rsid w:val="001805F3"/>
    <w:rsid w:val="0018066F"/>
    <w:rsid w:val="001806AF"/>
    <w:rsid w:val="001806B6"/>
    <w:rsid w:val="001806CB"/>
    <w:rsid w:val="00180704"/>
    <w:rsid w:val="001807BD"/>
    <w:rsid w:val="00180804"/>
    <w:rsid w:val="00180868"/>
    <w:rsid w:val="0018087F"/>
    <w:rsid w:val="001808FD"/>
    <w:rsid w:val="00180919"/>
    <w:rsid w:val="0018092A"/>
    <w:rsid w:val="001809B9"/>
    <w:rsid w:val="00180A06"/>
    <w:rsid w:val="00180A36"/>
    <w:rsid w:val="00180A75"/>
    <w:rsid w:val="00180B5C"/>
    <w:rsid w:val="00180C0F"/>
    <w:rsid w:val="00180C13"/>
    <w:rsid w:val="00180CBB"/>
    <w:rsid w:val="00180D0B"/>
    <w:rsid w:val="00180D2C"/>
    <w:rsid w:val="00180EAA"/>
    <w:rsid w:val="00180F4D"/>
    <w:rsid w:val="00180F7C"/>
    <w:rsid w:val="00181024"/>
    <w:rsid w:val="00181038"/>
    <w:rsid w:val="00181049"/>
    <w:rsid w:val="00181050"/>
    <w:rsid w:val="001810D6"/>
    <w:rsid w:val="00181122"/>
    <w:rsid w:val="00181144"/>
    <w:rsid w:val="0018117F"/>
    <w:rsid w:val="0018129F"/>
    <w:rsid w:val="001812A5"/>
    <w:rsid w:val="001812C5"/>
    <w:rsid w:val="00181300"/>
    <w:rsid w:val="00181337"/>
    <w:rsid w:val="00181344"/>
    <w:rsid w:val="001813D2"/>
    <w:rsid w:val="0018142E"/>
    <w:rsid w:val="0018147D"/>
    <w:rsid w:val="0018148E"/>
    <w:rsid w:val="001814BD"/>
    <w:rsid w:val="00181535"/>
    <w:rsid w:val="00181563"/>
    <w:rsid w:val="001815C8"/>
    <w:rsid w:val="001816C3"/>
    <w:rsid w:val="00181739"/>
    <w:rsid w:val="001817BC"/>
    <w:rsid w:val="00181815"/>
    <w:rsid w:val="00181856"/>
    <w:rsid w:val="001818D8"/>
    <w:rsid w:val="0018193F"/>
    <w:rsid w:val="001819C7"/>
    <w:rsid w:val="001819C9"/>
    <w:rsid w:val="001819CF"/>
    <w:rsid w:val="00181A45"/>
    <w:rsid w:val="00181A48"/>
    <w:rsid w:val="00181A74"/>
    <w:rsid w:val="00181A97"/>
    <w:rsid w:val="00181BAF"/>
    <w:rsid w:val="00181BC3"/>
    <w:rsid w:val="00181C1C"/>
    <w:rsid w:val="00181C57"/>
    <w:rsid w:val="00181C67"/>
    <w:rsid w:val="00181CF4"/>
    <w:rsid w:val="00181D0B"/>
    <w:rsid w:val="00181DBA"/>
    <w:rsid w:val="00181DCE"/>
    <w:rsid w:val="00181E5C"/>
    <w:rsid w:val="00181E85"/>
    <w:rsid w:val="00181EE7"/>
    <w:rsid w:val="00181EEC"/>
    <w:rsid w:val="00181EF9"/>
    <w:rsid w:val="00181FAB"/>
    <w:rsid w:val="001820BB"/>
    <w:rsid w:val="001820E1"/>
    <w:rsid w:val="0018210B"/>
    <w:rsid w:val="00182123"/>
    <w:rsid w:val="0018213D"/>
    <w:rsid w:val="001821AD"/>
    <w:rsid w:val="001821B4"/>
    <w:rsid w:val="00182210"/>
    <w:rsid w:val="00182232"/>
    <w:rsid w:val="001822C5"/>
    <w:rsid w:val="00182395"/>
    <w:rsid w:val="001823B0"/>
    <w:rsid w:val="0018241D"/>
    <w:rsid w:val="001824C9"/>
    <w:rsid w:val="00182526"/>
    <w:rsid w:val="0018254D"/>
    <w:rsid w:val="00182567"/>
    <w:rsid w:val="001825B7"/>
    <w:rsid w:val="00182617"/>
    <w:rsid w:val="00182636"/>
    <w:rsid w:val="00182670"/>
    <w:rsid w:val="0018267E"/>
    <w:rsid w:val="001826E1"/>
    <w:rsid w:val="0018271A"/>
    <w:rsid w:val="00182802"/>
    <w:rsid w:val="00182892"/>
    <w:rsid w:val="001828A3"/>
    <w:rsid w:val="001828B4"/>
    <w:rsid w:val="001828E6"/>
    <w:rsid w:val="0018290C"/>
    <w:rsid w:val="0018290F"/>
    <w:rsid w:val="0018292B"/>
    <w:rsid w:val="0018296C"/>
    <w:rsid w:val="0018296E"/>
    <w:rsid w:val="00182977"/>
    <w:rsid w:val="00182989"/>
    <w:rsid w:val="00182A07"/>
    <w:rsid w:val="00182A27"/>
    <w:rsid w:val="00182A2B"/>
    <w:rsid w:val="00182A7D"/>
    <w:rsid w:val="00182AA9"/>
    <w:rsid w:val="00182AAF"/>
    <w:rsid w:val="00182AB3"/>
    <w:rsid w:val="00182ACC"/>
    <w:rsid w:val="00182B0A"/>
    <w:rsid w:val="00182BD3"/>
    <w:rsid w:val="00182C14"/>
    <w:rsid w:val="00182C8F"/>
    <w:rsid w:val="00182D2B"/>
    <w:rsid w:val="00182DDF"/>
    <w:rsid w:val="00182E77"/>
    <w:rsid w:val="00182E9A"/>
    <w:rsid w:val="00182F25"/>
    <w:rsid w:val="00182F2B"/>
    <w:rsid w:val="00182F32"/>
    <w:rsid w:val="00182F67"/>
    <w:rsid w:val="00183009"/>
    <w:rsid w:val="00183021"/>
    <w:rsid w:val="00183036"/>
    <w:rsid w:val="00183041"/>
    <w:rsid w:val="001830B6"/>
    <w:rsid w:val="001830D7"/>
    <w:rsid w:val="00183109"/>
    <w:rsid w:val="00183115"/>
    <w:rsid w:val="001831B0"/>
    <w:rsid w:val="0018323E"/>
    <w:rsid w:val="001832F7"/>
    <w:rsid w:val="00183301"/>
    <w:rsid w:val="0018331E"/>
    <w:rsid w:val="00183365"/>
    <w:rsid w:val="00183390"/>
    <w:rsid w:val="001833D9"/>
    <w:rsid w:val="001833F0"/>
    <w:rsid w:val="0018340B"/>
    <w:rsid w:val="00183550"/>
    <w:rsid w:val="00183558"/>
    <w:rsid w:val="0018356D"/>
    <w:rsid w:val="0018357D"/>
    <w:rsid w:val="00183598"/>
    <w:rsid w:val="00183693"/>
    <w:rsid w:val="00183710"/>
    <w:rsid w:val="0018376E"/>
    <w:rsid w:val="00183791"/>
    <w:rsid w:val="001837BF"/>
    <w:rsid w:val="001837F2"/>
    <w:rsid w:val="0018387D"/>
    <w:rsid w:val="001838CB"/>
    <w:rsid w:val="001838F7"/>
    <w:rsid w:val="00183996"/>
    <w:rsid w:val="001839B8"/>
    <w:rsid w:val="001839E5"/>
    <w:rsid w:val="00183A2F"/>
    <w:rsid w:val="00183A38"/>
    <w:rsid w:val="00183A99"/>
    <w:rsid w:val="00183A9A"/>
    <w:rsid w:val="00183ABB"/>
    <w:rsid w:val="00183ABE"/>
    <w:rsid w:val="00183B3D"/>
    <w:rsid w:val="00183C65"/>
    <w:rsid w:val="00183C82"/>
    <w:rsid w:val="00183C97"/>
    <w:rsid w:val="00183CDC"/>
    <w:rsid w:val="00183CE6"/>
    <w:rsid w:val="00183CE8"/>
    <w:rsid w:val="00183CF3"/>
    <w:rsid w:val="00183D4C"/>
    <w:rsid w:val="00183D5D"/>
    <w:rsid w:val="00183DC3"/>
    <w:rsid w:val="00183DFE"/>
    <w:rsid w:val="00183E36"/>
    <w:rsid w:val="00183E71"/>
    <w:rsid w:val="00183F31"/>
    <w:rsid w:val="00183F66"/>
    <w:rsid w:val="00183F97"/>
    <w:rsid w:val="00183FC6"/>
    <w:rsid w:val="00183FF5"/>
    <w:rsid w:val="00184035"/>
    <w:rsid w:val="001840B2"/>
    <w:rsid w:val="0018410C"/>
    <w:rsid w:val="00184165"/>
    <w:rsid w:val="001841DD"/>
    <w:rsid w:val="00184235"/>
    <w:rsid w:val="00184259"/>
    <w:rsid w:val="00184322"/>
    <w:rsid w:val="0018442A"/>
    <w:rsid w:val="001844C9"/>
    <w:rsid w:val="0018452E"/>
    <w:rsid w:val="001845D6"/>
    <w:rsid w:val="001845E4"/>
    <w:rsid w:val="001845ED"/>
    <w:rsid w:val="0018461E"/>
    <w:rsid w:val="0018465E"/>
    <w:rsid w:val="00184665"/>
    <w:rsid w:val="0018466C"/>
    <w:rsid w:val="001846C0"/>
    <w:rsid w:val="00184720"/>
    <w:rsid w:val="00184727"/>
    <w:rsid w:val="0018474A"/>
    <w:rsid w:val="0018475A"/>
    <w:rsid w:val="00184767"/>
    <w:rsid w:val="00184781"/>
    <w:rsid w:val="001847A7"/>
    <w:rsid w:val="00184803"/>
    <w:rsid w:val="0018482A"/>
    <w:rsid w:val="0018484E"/>
    <w:rsid w:val="0018490E"/>
    <w:rsid w:val="001849AD"/>
    <w:rsid w:val="001849DC"/>
    <w:rsid w:val="001849F6"/>
    <w:rsid w:val="00184A07"/>
    <w:rsid w:val="00184AC2"/>
    <w:rsid w:val="00184ACD"/>
    <w:rsid w:val="00184B3C"/>
    <w:rsid w:val="00184B79"/>
    <w:rsid w:val="00184BC7"/>
    <w:rsid w:val="00184BF3"/>
    <w:rsid w:val="00184C4B"/>
    <w:rsid w:val="00184C5A"/>
    <w:rsid w:val="00184C74"/>
    <w:rsid w:val="00184D0C"/>
    <w:rsid w:val="00184D23"/>
    <w:rsid w:val="00184D6F"/>
    <w:rsid w:val="00184DC6"/>
    <w:rsid w:val="00184E48"/>
    <w:rsid w:val="00184E52"/>
    <w:rsid w:val="00184EB9"/>
    <w:rsid w:val="00184EBC"/>
    <w:rsid w:val="00184EBD"/>
    <w:rsid w:val="00184ED4"/>
    <w:rsid w:val="00184F27"/>
    <w:rsid w:val="00184F66"/>
    <w:rsid w:val="00185023"/>
    <w:rsid w:val="00185139"/>
    <w:rsid w:val="00185149"/>
    <w:rsid w:val="0018516C"/>
    <w:rsid w:val="001851B4"/>
    <w:rsid w:val="00185213"/>
    <w:rsid w:val="0018522F"/>
    <w:rsid w:val="001852F0"/>
    <w:rsid w:val="00185330"/>
    <w:rsid w:val="001853CC"/>
    <w:rsid w:val="001853F3"/>
    <w:rsid w:val="00185455"/>
    <w:rsid w:val="0018547E"/>
    <w:rsid w:val="001854C5"/>
    <w:rsid w:val="0018557D"/>
    <w:rsid w:val="0018558C"/>
    <w:rsid w:val="0018568C"/>
    <w:rsid w:val="0018569C"/>
    <w:rsid w:val="001856F0"/>
    <w:rsid w:val="001856F6"/>
    <w:rsid w:val="001857BD"/>
    <w:rsid w:val="0018585C"/>
    <w:rsid w:val="0018587B"/>
    <w:rsid w:val="001858B6"/>
    <w:rsid w:val="001858D3"/>
    <w:rsid w:val="0018595F"/>
    <w:rsid w:val="00185964"/>
    <w:rsid w:val="00185966"/>
    <w:rsid w:val="0018597B"/>
    <w:rsid w:val="00185A43"/>
    <w:rsid w:val="00185A49"/>
    <w:rsid w:val="00185A59"/>
    <w:rsid w:val="00185A61"/>
    <w:rsid w:val="00185AA1"/>
    <w:rsid w:val="00185B5D"/>
    <w:rsid w:val="00185B80"/>
    <w:rsid w:val="00185BAC"/>
    <w:rsid w:val="00185BE9"/>
    <w:rsid w:val="00185C45"/>
    <w:rsid w:val="00185C70"/>
    <w:rsid w:val="00185D30"/>
    <w:rsid w:val="00185D41"/>
    <w:rsid w:val="00185D88"/>
    <w:rsid w:val="00185EE6"/>
    <w:rsid w:val="00185F0A"/>
    <w:rsid w:val="00185F1D"/>
    <w:rsid w:val="00185F62"/>
    <w:rsid w:val="00185FB8"/>
    <w:rsid w:val="00186007"/>
    <w:rsid w:val="00186110"/>
    <w:rsid w:val="00186127"/>
    <w:rsid w:val="0018614C"/>
    <w:rsid w:val="0018617C"/>
    <w:rsid w:val="001861A8"/>
    <w:rsid w:val="001861F1"/>
    <w:rsid w:val="00186217"/>
    <w:rsid w:val="00186298"/>
    <w:rsid w:val="001862DE"/>
    <w:rsid w:val="00186308"/>
    <w:rsid w:val="001864E6"/>
    <w:rsid w:val="001864F0"/>
    <w:rsid w:val="00186509"/>
    <w:rsid w:val="00186573"/>
    <w:rsid w:val="00186632"/>
    <w:rsid w:val="00186640"/>
    <w:rsid w:val="0018665D"/>
    <w:rsid w:val="0018666B"/>
    <w:rsid w:val="00186722"/>
    <w:rsid w:val="0018678D"/>
    <w:rsid w:val="001867AD"/>
    <w:rsid w:val="00186810"/>
    <w:rsid w:val="00186853"/>
    <w:rsid w:val="00186868"/>
    <w:rsid w:val="0018696F"/>
    <w:rsid w:val="001869C2"/>
    <w:rsid w:val="001869D3"/>
    <w:rsid w:val="00186A40"/>
    <w:rsid w:val="00186AA4"/>
    <w:rsid w:val="00186AED"/>
    <w:rsid w:val="00186B92"/>
    <w:rsid w:val="00186B9D"/>
    <w:rsid w:val="00186BDE"/>
    <w:rsid w:val="00186CA6"/>
    <w:rsid w:val="00186D3C"/>
    <w:rsid w:val="00186DBF"/>
    <w:rsid w:val="00186EBD"/>
    <w:rsid w:val="00186EF0"/>
    <w:rsid w:val="00186EFA"/>
    <w:rsid w:val="00186F74"/>
    <w:rsid w:val="001870B8"/>
    <w:rsid w:val="001870F5"/>
    <w:rsid w:val="00187162"/>
    <w:rsid w:val="00187187"/>
    <w:rsid w:val="001871C0"/>
    <w:rsid w:val="0018728F"/>
    <w:rsid w:val="0018731C"/>
    <w:rsid w:val="00187367"/>
    <w:rsid w:val="00187375"/>
    <w:rsid w:val="00187387"/>
    <w:rsid w:val="00187396"/>
    <w:rsid w:val="00187398"/>
    <w:rsid w:val="001873B5"/>
    <w:rsid w:val="001873CB"/>
    <w:rsid w:val="00187441"/>
    <w:rsid w:val="00187445"/>
    <w:rsid w:val="001874B6"/>
    <w:rsid w:val="00187593"/>
    <w:rsid w:val="0018759E"/>
    <w:rsid w:val="0018767D"/>
    <w:rsid w:val="001876F4"/>
    <w:rsid w:val="0018772B"/>
    <w:rsid w:val="00187764"/>
    <w:rsid w:val="0018776B"/>
    <w:rsid w:val="001877B8"/>
    <w:rsid w:val="001877BC"/>
    <w:rsid w:val="001877DC"/>
    <w:rsid w:val="0018795C"/>
    <w:rsid w:val="0018796F"/>
    <w:rsid w:val="00187980"/>
    <w:rsid w:val="001879A1"/>
    <w:rsid w:val="001879A9"/>
    <w:rsid w:val="001879AB"/>
    <w:rsid w:val="00187A09"/>
    <w:rsid w:val="00187B15"/>
    <w:rsid w:val="00187BC9"/>
    <w:rsid w:val="00187C46"/>
    <w:rsid w:val="00187C58"/>
    <w:rsid w:val="00187C60"/>
    <w:rsid w:val="00187CEE"/>
    <w:rsid w:val="00187D0F"/>
    <w:rsid w:val="00187D91"/>
    <w:rsid w:val="00187DAB"/>
    <w:rsid w:val="00187DFA"/>
    <w:rsid w:val="00187E9A"/>
    <w:rsid w:val="00187EA8"/>
    <w:rsid w:val="00187F15"/>
    <w:rsid w:val="00187F38"/>
    <w:rsid w:val="00187F5D"/>
    <w:rsid w:val="00187F8B"/>
    <w:rsid w:val="00187F9F"/>
    <w:rsid w:val="0019000F"/>
    <w:rsid w:val="00190038"/>
    <w:rsid w:val="00190045"/>
    <w:rsid w:val="001900D7"/>
    <w:rsid w:val="00190123"/>
    <w:rsid w:val="00190336"/>
    <w:rsid w:val="001903ED"/>
    <w:rsid w:val="00190585"/>
    <w:rsid w:val="001906F7"/>
    <w:rsid w:val="001907B4"/>
    <w:rsid w:val="001907E7"/>
    <w:rsid w:val="00190878"/>
    <w:rsid w:val="001909F5"/>
    <w:rsid w:val="00190A22"/>
    <w:rsid w:val="00190A7C"/>
    <w:rsid w:val="00190A88"/>
    <w:rsid w:val="00190AA6"/>
    <w:rsid w:val="00190AAC"/>
    <w:rsid w:val="00190AB3"/>
    <w:rsid w:val="00190B04"/>
    <w:rsid w:val="00190B40"/>
    <w:rsid w:val="00190B42"/>
    <w:rsid w:val="00190B8B"/>
    <w:rsid w:val="00190BD8"/>
    <w:rsid w:val="00190C45"/>
    <w:rsid w:val="00190C5D"/>
    <w:rsid w:val="00190CC3"/>
    <w:rsid w:val="00190CD7"/>
    <w:rsid w:val="00190CEA"/>
    <w:rsid w:val="00190CF5"/>
    <w:rsid w:val="00190D4D"/>
    <w:rsid w:val="00190D59"/>
    <w:rsid w:val="00190DE1"/>
    <w:rsid w:val="00190DEC"/>
    <w:rsid w:val="00190DF3"/>
    <w:rsid w:val="00190E23"/>
    <w:rsid w:val="00190E50"/>
    <w:rsid w:val="00190E7F"/>
    <w:rsid w:val="00190EA6"/>
    <w:rsid w:val="00190FF6"/>
    <w:rsid w:val="00191043"/>
    <w:rsid w:val="001910EF"/>
    <w:rsid w:val="001910F5"/>
    <w:rsid w:val="00191109"/>
    <w:rsid w:val="00191122"/>
    <w:rsid w:val="00191130"/>
    <w:rsid w:val="0019114C"/>
    <w:rsid w:val="0019119E"/>
    <w:rsid w:val="001911EF"/>
    <w:rsid w:val="00191217"/>
    <w:rsid w:val="0019124C"/>
    <w:rsid w:val="00191250"/>
    <w:rsid w:val="001912BA"/>
    <w:rsid w:val="001912DC"/>
    <w:rsid w:val="001912E1"/>
    <w:rsid w:val="00191345"/>
    <w:rsid w:val="001913ED"/>
    <w:rsid w:val="001913F4"/>
    <w:rsid w:val="00191440"/>
    <w:rsid w:val="0019145B"/>
    <w:rsid w:val="0019153A"/>
    <w:rsid w:val="00191648"/>
    <w:rsid w:val="00191656"/>
    <w:rsid w:val="00191657"/>
    <w:rsid w:val="00191660"/>
    <w:rsid w:val="00191688"/>
    <w:rsid w:val="0019169B"/>
    <w:rsid w:val="001916FD"/>
    <w:rsid w:val="0019179C"/>
    <w:rsid w:val="00191833"/>
    <w:rsid w:val="0019191B"/>
    <w:rsid w:val="00191934"/>
    <w:rsid w:val="001919FC"/>
    <w:rsid w:val="00191A33"/>
    <w:rsid w:val="00191A93"/>
    <w:rsid w:val="00191B13"/>
    <w:rsid w:val="00191B60"/>
    <w:rsid w:val="00191BA6"/>
    <w:rsid w:val="00191BAB"/>
    <w:rsid w:val="00191CB5"/>
    <w:rsid w:val="00191D6D"/>
    <w:rsid w:val="00191D91"/>
    <w:rsid w:val="00191DAD"/>
    <w:rsid w:val="00191DD7"/>
    <w:rsid w:val="00191E00"/>
    <w:rsid w:val="00191EE5"/>
    <w:rsid w:val="00191FBB"/>
    <w:rsid w:val="00191FBD"/>
    <w:rsid w:val="00192044"/>
    <w:rsid w:val="00192082"/>
    <w:rsid w:val="001920DF"/>
    <w:rsid w:val="0019212C"/>
    <w:rsid w:val="00192144"/>
    <w:rsid w:val="0019218D"/>
    <w:rsid w:val="00192308"/>
    <w:rsid w:val="001923DE"/>
    <w:rsid w:val="00192472"/>
    <w:rsid w:val="00192485"/>
    <w:rsid w:val="001924EA"/>
    <w:rsid w:val="00192577"/>
    <w:rsid w:val="001925CD"/>
    <w:rsid w:val="0019268D"/>
    <w:rsid w:val="001926FD"/>
    <w:rsid w:val="00192704"/>
    <w:rsid w:val="001927C1"/>
    <w:rsid w:val="00192808"/>
    <w:rsid w:val="00192821"/>
    <w:rsid w:val="00192892"/>
    <w:rsid w:val="001928ED"/>
    <w:rsid w:val="00192947"/>
    <w:rsid w:val="001929CD"/>
    <w:rsid w:val="00192A5E"/>
    <w:rsid w:val="00192A60"/>
    <w:rsid w:val="00192A8A"/>
    <w:rsid w:val="00192A9D"/>
    <w:rsid w:val="00192AAA"/>
    <w:rsid w:val="00192B8E"/>
    <w:rsid w:val="00192B9E"/>
    <w:rsid w:val="00192C0C"/>
    <w:rsid w:val="00192C54"/>
    <w:rsid w:val="00192CAD"/>
    <w:rsid w:val="00192D01"/>
    <w:rsid w:val="00192D12"/>
    <w:rsid w:val="00192D15"/>
    <w:rsid w:val="00192D55"/>
    <w:rsid w:val="00192D99"/>
    <w:rsid w:val="00192DC7"/>
    <w:rsid w:val="00192DE9"/>
    <w:rsid w:val="00192E95"/>
    <w:rsid w:val="00192FA4"/>
    <w:rsid w:val="00192FAD"/>
    <w:rsid w:val="00192FCA"/>
    <w:rsid w:val="0019304F"/>
    <w:rsid w:val="00193091"/>
    <w:rsid w:val="00193156"/>
    <w:rsid w:val="0019335D"/>
    <w:rsid w:val="001933DD"/>
    <w:rsid w:val="0019343F"/>
    <w:rsid w:val="00193470"/>
    <w:rsid w:val="00193486"/>
    <w:rsid w:val="001934D1"/>
    <w:rsid w:val="001934DA"/>
    <w:rsid w:val="00193526"/>
    <w:rsid w:val="00193548"/>
    <w:rsid w:val="001935CC"/>
    <w:rsid w:val="00193625"/>
    <w:rsid w:val="00193804"/>
    <w:rsid w:val="0019383E"/>
    <w:rsid w:val="001938D5"/>
    <w:rsid w:val="001938F4"/>
    <w:rsid w:val="0019394B"/>
    <w:rsid w:val="00193A1C"/>
    <w:rsid w:val="00193A39"/>
    <w:rsid w:val="00193A45"/>
    <w:rsid w:val="00193A5B"/>
    <w:rsid w:val="00193A80"/>
    <w:rsid w:val="00193B2C"/>
    <w:rsid w:val="00193B81"/>
    <w:rsid w:val="00193B87"/>
    <w:rsid w:val="00193B8B"/>
    <w:rsid w:val="00193B8F"/>
    <w:rsid w:val="00193BCF"/>
    <w:rsid w:val="00193C1C"/>
    <w:rsid w:val="00193C6D"/>
    <w:rsid w:val="00193CA9"/>
    <w:rsid w:val="00193E5F"/>
    <w:rsid w:val="00193E63"/>
    <w:rsid w:val="00193E69"/>
    <w:rsid w:val="00193F0D"/>
    <w:rsid w:val="00193FA3"/>
    <w:rsid w:val="00193FC0"/>
    <w:rsid w:val="00193FEB"/>
    <w:rsid w:val="001940F1"/>
    <w:rsid w:val="001941AA"/>
    <w:rsid w:val="001941CD"/>
    <w:rsid w:val="001942AF"/>
    <w:rsid w:val="001942E4"/>
    <w:rsid w:val="001943A8"/>
    <w:rsid w:val="0019454A"/>
    <w:rsid w:val="001945A4"/>
    <w:rsid w:val="00194641"/>
    <w:rsid w:val="0019469A"/>
    <w:rsid w:val="0019469B"/>
    <w:rsid w:val="00194715"/>
    <w:rsid w:val="00194782"/>
    <w:rsid w:val="0019480C"/>
    <w:rsid w:val="00194849"/>
    <w:rsid w:val="001948D9"/>
    <w:rsid w:val="0019494F"/>
    <w:rsid w:val="001949D9"/>
    <w:rsid w:val="001949E8"/>
    <w:rsid w:val="00194A43"/>
    <w:rsid w:val="00194A99"/>
    <w:rsid w:val="00194AB4"/>
    <w:rsid w:val="00194B7B"/>
    <w:rsid w:val="00194B93"/>
    <w:rsid w:val="00194BF2"/>
    <w:rsid w:val="00194C80"/>
    <w:rsid w:val="00194CBF"/>
    <w:rsid w:val="00194CF8"/>
    <w:rsid w:val="00194D1C"/>
    <w:rsid w:val="00194DBB"/>
    <w:rsid w:val="00194E50"/>
    <w:rsid w:val="00194E53"/>
    <w:rsid w:val="00194EA7"/>
    <w:rsid w:val="00194EC2"/>
    <w:rsid w:val="00194F1B"/>
    <w:rsid w:val="00194FA5"/>
    <w:rsid w:val="00194FF0"/>
    <w:rsid w:val="00195081"/>
    <w:rsid w:val="0019508E"/>
    <w:rsid w:val="0019508F"/>
    <w:rsid w:val="0019516B"/>
    <w:rsid w:val="001951C6"/>
    <w:rsid w:val="001951E5"/>
    <w:rsid w:val="00195221"/>
    <w:rsid w:val="001952BB"/>
    <w:rsid w:val="001952E9"/>
    <w:rsid w:val="001952FA"/>
    <w:rsid w:val="0019537F"/>
    <w:rsid w:val="00195396"/>
    <w:rsid w:val="00195441"/>
    <w:rsid w:val="0019549D"/>
    <w:rsid w:val="00195576"/>
    <w:rsid w:val="0019557E"/>
    <w:rsid w:val="00195586"/>
    <w:rsid w:val="0019558D"/>
    <w:rsid w:val="001955C8"/>
    <w:rsid w:val="00195622"/>
    <w:rsid w:val="0019564B"/>
    <w:rsid w:val="0019565D"/>
    <w:rsid w:val="00195667"/>
    <w:rsid w:val="00195686"/>
    <w:rsid w:val="00195695"/>
    <w:rsid w:val="001956AC"/>
    <w:rsid w:val="001956FC"/>
    <w:rsid w:val="0019570C"/>
    <w:rsid w:val="0019572F"/>
    <w:rsid w:val="0019575F"/>
    <w:rsid w:val="0019577F"/>
    <w:rsid w:val="001957CE"/>
    <w:rsid w:val="00195833"/>
    <w:rsid w:val="00195843"/>
    <w:rsid w:val="00195872"/>
    <w:rsid w:val="001958C7"/>
    <w:rsid w:val="0019594F"/>
    <w:rsid w:val="0019596F"/>
    <w:rsid w:val="001959BC"/>
    <w:rsid w:val="001959F3"/>
    <w:rsid w:val="00195A37"/>
    <w:rsid w:val="00195A9E"/>
    <w:rsid w:val="00195ADE"/>
    <w:rsid w:val="00195AF4"/>
    <w:rsid w:val="00195C68"/>
    <w:rsid w:val="00195C85"/>
    <w:rsid w:val="00195CD5"/>
    <w:rsid w:val="00195E33"/>
    <w:rsid w:val="00195EC7"/>
    <w:rsid w:val="00195ED7"/>
    <w:rsid w:val="00195F67"/>
    <w:rsid w:val="00195FD2"/>
    <w:rsid w:val="00195FF7"/>
    <w:rsid w:val="0019602A"/>
    <w:rsid w:val="00196061"/>
    <w:rsid w:val="00196084"/>
    <w:rsid w:val="00196086"/>
    <w:rsid w:val="00196099"/>
    <w:rsid w:val="00196117"/>
    <w:rsid w:val="00196141"/>
    <w:rsid w:val="00196153"/>
    <w:rsid w:val="0019620C"/>
    <w:rsid w:val="00196217"/>
    <w:rsid w:val="00196231"/>
    <w:rsid w:val="0019623F"/>
    <w:rsid w:val="0019628C"/>
    <w:rsid w:val="00196342"/>
    <w:rsid w:val="0019637A"/>
    <w:rsid w:val="001963B9"/>
    <w:rsid w:val="001963E0"/>
    <w:rsid w:val="00196444"/>
    <w:rsid w:val="00196485"/>
    <w:rsid w:val="00196496"/>
    <w:rsid w:val="001964B1"/>
    <w:rsid w:val="00196512"/>
    <w:rsid w:val="00196657"/>
    <w:rsid w:val="0019665A"/>
    <w:rsid w:val="001966D4"/>
    <w:rsid w:val="001966F0"/>
    <w:rsid w:val="001966F1"/>
    <w:rsid w:val="0019672C"/>
    <w:rsid w:val="00196757"/>
    <w:rsid w:val="00196859"/>
    <w:rsid w:val="001968AF"/>
    <w:rsid w:val="001968F1"/>
    <w:rsid w:val="0019692A"/>
    <w:rsid w:val="00196975"/>
    <w:rsid w:val="001969B8"/>
    <w:rsid w:val="001969D6"/>
    <w:rsid w:val="00196A87"/>
    <w:rsid w:val="00196B87"/>
    <w:rsid w:val="00196C09"/>
    <w:rsid w:val="00196C0C"/>
    <w:rsid w:val="00196C40"/>
    <w:rsid w:val="00196C4C"/>
    <w:rsid w:val="00196CCC"/>
    <w:rsid w:val="00196D16"/>
    <w:rsid w:val="00196DB9"/>
    <w:rsid w:val="00196EA3"/>
    <w:rsid w:val="00196EF8"/>
    <w:rsid w:val="00196F08"/>
    <w:rsid w:val="00196F71"/>
    <w:rsid w:val="00196FB5"/>
    <w:rsid w:val="00197077"/>
    <w:rsid w:val="00197087"/>
    <w:rsid w:val="00197105"/>
    <w:rsid w:val="00197172"/>
    <w:rsid w:val="00197190"/>
    <w:rsid w:val="001971BA"/>
    <w:rsid w:val="00197207"/>
    <w:rsid w:val="00197235"/>
    <w:rsid w:val="00197294"/>
    <w:rsid w:val="001972A9"/>
    <w:rsid w:val="00197377"/>
    <w:rsid w:val="001973AE"/>
    <w:rsid w:val="001973C6"/>
    <w:rsid w:val="0019740C"/>
    <w:rsid w:val="00197490"/>
    <w:rsid w:val="0019749C"/>
    <w:rsid w:val="001974C5"/>
    <w:rsid w:val="00197529"/>
    <w:rsid w:val="00197606"/>
    <w:rsid w:val="0019761B"/>
    <w:rsid w:val="0019762F"/>
    <w:rsid w:val="00197637"/>
    <w:rsid w:val="00197657"/>
    <w:rsid w:val="00197671"/>
    <w:rsid w:val="0019768E"/>
    <w:rsid w:val="001976B2"/>
    <w:rsid w:val="001976F8"/>
    <w:rsid w:val="00197700"/>
    <w:rsid w:val="00197782"/>
    <w:rsid w:val="001977CA"/>
    <w:rsid w:val="0019782A"/>
    <w:rsid w:val="00197894"/>
    <w:rsid w:val="001978A3"/>
    <w:rsid w:val="001978D3"/>
    <w:rsid w:val="00197907"/>
    <w:rsid w:val="00197932"/>
    <w:rsid w:val="00197971"/>
    <w:rsid w:val="00197998"/>
    <w:rsid w:val="001979AC"/>
    <w:rsid w:val="001979EA"/>
    <w:rsid w:val="00197A2A"/>
    <w:rsid w:val="00197A3E"/>
    <w:rsid w:val="00197B3C"/>
    <w:rsid w:val="00197B76"/>
    <w:rsid w:val="00197CDA"/>
    <w:rsid w:val="00197CE3"/>
    <w:rsid w:val="00197D21"/>
    <w:rsid w:val="00197D5A"/>
    <w:rsid w:val="00197E17"/>
    <w:rsid w:val="00197E81"/>
    <w:rsid w:val="00197F31"/>
    <w:rsid w:val="00197F87"/>
    <w:rsid w:val="00197FD8"/>
    <w:rsid w:val="001A000C"/>
    <w:rsid w:val="001A0035"/>
    <w:rsid w:val="001A0056"/>
    <w:rsid w:val="001A0083"/>
    <w:rsid w:val="001A00B4"/>
    <w:rsid w:val="001A00D2"/>
    <w:rsid w:val="001A010F"/>
    <w:rsid w:val="001A016D"/>
    <w:rsid w:val="001A019D"/>
    <w:rsid w:val="001A0210"/>
    <w:rsid w:val="001A021B"/>
    <w:rsid w:val="001A0257"/>
    <w:rsid w:val="001A026F"/>
    <w:rsid w:val="001A0290"/>
    <w:rsid w:val="001A0297"/>
    <w:rsid w:val="001A0312"/>
    <w:rsid w:val="001A046C"/>
    <w:rsid w:val="001A047F"/>
    <w:rsid w:val="001A04DE"/>
    <w:rsid w:val="001A0564"/>
    <w:rsid w:val="001A05C0"/>
    <w:rsid w:val="001A078F"/>
    <w:rsid w:val="001A0809"/>
    <w:rsid w:val="001A0812"/>
    <w:rsid w:val="001A0836"/>
    <w:rsid w:val="001A084F"/>
    <w:rsid w:val="001A096A"/>
    <w:rsid w:val="001A0A00"/>
    <w:rsid w:val="001A0A25"/>
    <w:rsid w:val="001A0B0A"/>
    <w:rsid w:val="001A0B2C"/>
    <w:rsid w:val="001A0B3D"/>
    <w:rsid w:val="001A0B44"/>
    <w:rsid w:val="001A0B48"/>
    <w:rsid w:val="001A0B51"/>
    <w:rsid w:val="001A0B66"/>
    <w:rsid w:val="001A0BB9"/>
    <w:rsid w:val="001A0C45"/>
    <w:rsid w:val="001A0C50"/>
    <w:rsid w:val="001A0CD1"/>
    <w:rsid w:val="001A0D44"/>
    <w:rsid w:val="001A0D6D"/>
    <w:rsid w:val="001A0DA6"/>
    <w:rsid w:val="001A0E0D"/>
    <w:rsid w:val="001A0E6D"/>
    <w:rsid w:val="001A0FB5"/>
    <w:rsid w:val="001A0FD1"/>
    <w:rsid w:val="001A0FDE"/>
    <w:rsid w:val="001A0FF2"/>
    <w:rsid w:val="001A1033"/>
    <w:rsid w:val="001A1037"/>
    <w:rsid w:val="001A1056"/>
    <w:rsid w:val="001A1061"/>
    <w:rsid w:val="001A1091"/>
    <w:rsid w:val="001A10B8"/>
    <w:rsid w:val="001A10BE"/>
    <w:rsid w:val="001A10E6"/>
    <w:rsid w:val="001A1165"/>
    <w:rsid w:val="001A11DA"/>
    <w:rsid w:val="001A11EB"/>
    <w:rsid w:val="001A1251"/>
    <w:rsid w:val="001A1295"/>
    <w:rsid w:val="001A12D8"/>
    <w:rsid w:val="001A12F7"/>
    <w:rsid w:val="001A1338"/>
    <w:rsid w:val="001A13E6"/>
    <w:rsid w:val="001A13F0"/>
    <w:rsid w:val="001A1476"/>
    <w:rsid w:val="001A1499"/>
    <w:rsid w:val="001A14A1"/>
    <w:rsid w:val="001A14EF"/>
    <w:rsid w:val="001A1551"/>
    <w:rsid w:val="001A1559"/>
    <w:rsid w:val="001A162E"/>
    <w:rsid w:val="001A1682"/>
    <w:rsid w:val="001A1764"/>
    <w:rsid w:val="001A1781"/>
    <w:rsid w:val="001A1875"/>
    <w:rsid w:val="001A188D"/>
    <w:rsid w:val="001A189C"/>
    <w:rsid w:val="001A190B"/>
    <w:rsid w:val="001A193B"/>
    <w:rsid w:val="001A1B50"/>
    <w:rsid w:val="001A1B76"/>
    <w:rsid w:val="001A1BD1"/>
    <w:rsid w:val="001A1C06"/>
    <w:rsid w:val="001A1C07"/>
    <w:rsid w:val="001A1C41"/>
    <w:rsid w:val="001A1C63"/>
    <w:rsid w:val="001A1C8A"/>
    <w:rsid w:val="001A1CC2"/>
    <w:rsid w:val="001A1CEE"/>
    <w:rsid w:val="001A1D1A"/>
    <w:rsid w:val="001A1DE6"/>
    <w:rsid w:val="001A1E41"/>
    <w:rsid w:val="001A1EC8"/>
    <w:rsid w:val="001A1EDF"/>
    <w:rsid w:val="001A1EFD"/>
    <w:rsid w:val="001A1F2E"/>
    <w:rsid w:val="001A1F38"/>
    <w:rsid w:val="001A1F4A"/>
    <w:rsid w:val="001A1F8D"/>
    <w:rsid w:val="001A1FF3"/>
    <w:rsid w:val="001A2011"/>
    <w:rsid w:val="001A2037"/>
    <w:rsid w:val="001A20D6"/>
    <w:rsid w:val="001A213E"/>
    <w:rsid w:val="001A219B"/>
    <w:rsid w:val="001A21DF"/>
    <w:rsid w:val="001A2255"/>
    <w:rsid w:val="001A2274"/>
    <w:rsid w:val="001A22ED"/>
    <w:rsid w:val="001A2305"/>
    <w:rsid w:val="001A246D"/>
    <w:rsid w:val="001A24F0"/>
    <w:rsid w:val="001A25BE"/>
    <w:rsid w:val="001A25F1"/>
    <w:rsid w:val="001A2601"/>
    <w:rsid w:val="001A2615"/>
    <w:rsid w:val="001A267C"/>
    <w:rsid w:val="001A26B1"/>
    <w:rsid w:val="001A26E0"/>
    <w:rsid w:val="001A26F7"/>
    <w:rsid w:val="001A270A"/>
    <w:rsid w:val="001A27F8"/>
    <w:rsid w:val="001A280F"/>
    <w:rsid w:val="001A2933"/>
    <w:rsid w:val="001A2951"/>
    <w:rsid w:val="001A29AF"/>
    <w:rsid w:val="001A2A12"/>
    <w:rsid w:val="001A2A50"/>
    <w:rsid w:val="001A2AAD"/>
    <w:rsid w:val="001A2ABC"/>
    <w:rsid w:val="001A2AC5"/>
    <w:rsid w:val="001A2B16"/>
    <w:rsid w:val="001A2B19"/>
    <w:rsid w:val="001A2B86"/>
    <w:rsid w:val="001A2BD2"/>
    <w:rsid w:val="001A2BD3"/>
    <w:rsid w:val="001A2C2C"/>
    <w:rsid w:val="001A2C3D"/>
    <w:rsid w:val="001A2D82"/>
    <w:rsid w:val="001A2D94"/>
    <w:rsid w:val="001A2E0C"/>
    <w:rsid w:val="001A2E5D"/>
    <w:rsid w:val="001A2E98"/>
    <w:rsid w:val="001A2EAB"/>
    <w:rsid w:val="001A2F08"/>
    <w:rsid w:val="001A2F50"/>
    <w:rsid w:val="001A2FCD"/>
    <w:rsid w:val="001A3001"/>
    <w:rsid w:val="001A308C"/>
    <w:rsid w:val="001A3146"/>
    <w:rsid w:val="001A3166"/>
    <w:rsid w:val="001A3196"/>
    <w:rsid w:val="001A322D"/>
    <w:rsid w:val="001A323C"/>
    <w:rsid w:val="001A326B"/>
    <w:rsid w:val="001A3299"/>
    <w:rsid w:val="001A32DE"/>
    <w:rsid w:val="001A333B"/>
    <w:rsid w:val="001A338F"/>
    <w:rsid w:val="001A33D5"/>
    <w:rsid w:val="001A34A9"/>
    <w:rsid w:val="001A34D4"/>
    <w:rsid w:val="001A34E7"/>
    <w:rsid w:val="001A34FA"/>
    <w:rsid w:val="001A3536"/>
    <w:rsid w:val="001A3563"/>
    <w:rsid w:val="001A35B5"/>
    <w:rsid w:val="001A35F3"/>
    <w:rsid w:val="001A3622"/>
    <w:rsid w:val="001A365B"/>
    <w:rsid w:val="001A3675"/>
    <w:rsid w:val="001A36F9"/>
    <w:rsid w:val="001A377C"/>
    <w:rsid w:val="001A37AF"/>
    <w:rsid w:val="001A37B9"/>
    <w:rsid w:val="001A38AA"/>
    <w:rsid w:val="001A38DB"/>
    <w:rsid w:val="001A38FE"/>
    <w:rsid w:val="001A3909"/>
    <w:rsid w:val="001A3915"/>
    <w:rsid w:val="001A3933"/>
    <w:rsid w:val="001A394E"/>
    <w:rsid w:val="001A395E"/>
    <w:rsid w:val="001A39FC"/>
    <w:rsid w:val="001A3A18"/>
    <w:rsid w:val="001A3A46"/>
    <w:rsid w:val="001A3AA8"/>
    <w:rsid w:val="001A3AF6"/>
    <w:rsid w:val="001A3B1C"/>
    <w:rsid w:val="001A3BD3"/>
    <w:rsid w:val="001A3C5C"/>
    <w:rsid w:val="001A3C5D"/>
    <w:rsid w:val="001A3C70"/>
    <w:rsid w:val="001A3CDB"/>
    <w:rsid w:val="001A3EE4"/>
    <w:rsid w:val="001A3F27"/>
    <w:rsid w:val="001A3FB6"/>
    <w:rsid w:val="001A4003"/>
    <w:rsid w:val="001A4048"/>
    <w:rsid w:val="001A4059"/>
    <w:rsid w:val="001A4084"/>
    <w:rsid w:val="001A408B"/>
    <w:rsid w:val="001A40B1"/>
    <w:rsid w:val="001A40F0"/>
    <w:rsid w:val="001A4107"/>
    <w:rsid w:val="001A4171"/>
    <w:rsid w:val="001A4196"/>
    <w:rsid w:val="001A41CF"/>
    <w:rsid w:val="001A4207"/>
    <w:rsid w:val="001A4215"/>
    <w:rsid w:val="001A425C"/>
    <w:rsid w:val="001A4386"/>
    <w:rsid w:val="001A4390"/>
    <w:rsid w:val="001A43A3"/>
    <w:rsid w:val="001A4442"/>
    <w:rsid w:val="001A4452"/>
    <w:rsid w:val="001A44B4"/>
    <w:rsid w:val="001A44BA"/>
    <w:rsid w:val="001A44C4"/>
    <w:rsid w:val="001A44DE"/>
    <w:rsid w:val="001A450F"/>
    <w:rsid w:val="001A459C"/>
    <w:rsid w:val="001A45B7"/>
    <w:rsid w:val="001A4630"/>
    <w:rsid w:val="001A46A0"/>
    <w:rsid w:val="001A46CB"/>
    <w:rsid w:val="001A4708"/>
    <w:rsid w:val="001A4710"/>
    <w:rsid w:val="001A4748"/>
    <w:rsid w:val="001A475C"/>
    <w:rsid w:val="001A482F"/>
    <w:rsid w:val="001A49AA"/>
    <w:rsid w:val="001A49EC"/>
    <w:rsid w:val="001A49FF"/>
    <w:rsid w:val="001A4B25"/>
    <w:rsid w:val="001A4B41"/>
    <w:rsid w:val="001A4B99"/>
    <w:rsid w:val="001A4BA2"/>
    <w:rsid w:val="001A4BBD"/>
    <w:rsid w:val="001A4BDA"/>
    <w:rsid w:val="001A4C1B"/>
    <w:rsid w:val="001A4C51"/>
    <w:rsid w:val="001A4CAC"/>
    <w:rsid w:val="001A4CCE"/>
    <w:rsid w:val="001A4CE1"/>
    <w:rsid w:val="001A4D70"/>
    <w:rsid w:val="001A4DFD"/>
    <w:rsid w:val="001A4E60"/>
    <w:rsid w:val="001A4E6C"/>
    <w:rsid w:val="001A4EBF"/>
    <w:rsid w:val="001A4EE1"/>
    <w:rsid w:val="001A4F22"/>
    <w:rsid w:val="001A4F73"/>
    <w:rsid w:val="001A4F8C"/>
    <w:rsid w:val="001A4FF5"/>
    <w:rsid w:val="001A5004"/>
    <w:rsid w:val="001A501A"/>
    <w:rsid w:val="001A503F"/>
    <w:rsid w:val="001A508A"/>
    <w:rsid w:val="001A50C6"/>
    <w:rsid w:val="001A50E5"/>
    <w:rsid w:val="001A5101"/>
    <w:rsid w:val="001A5165"/>
    <w:rsid w:val="001A51F3"/>
    <w:rsid w:val="001A5207"/>
    <w:rsid w:val="001A5243"/>
    <w:rsid w:val="001A5288"/>
    <w:rsid w:val="001A52A0"/>
    <w:rsid w:val="001A52CF"/>
    <w:rsid w:val="001A52E4"/>
    <w:rsid w:val="001A5321"/>
    <w:rsid w:val="001A5323"/>
    <w:rsid w:val="001A5341"/>
    <w:rsid w:val="001A5352"/>
    <w:rsid w:val="001A539B"/>
    <w:rsid w:val="001A53A0"/>
    <w:rsid w:val="001A5468"/>
    <w:rsid w:val="001A54FD"/>
    <w:rsid w:val="001A5533"/>
    <w:rsid w:val="001A5544"/>
    <w:rsid w:val="001A5586"/>
    <w:rsid w:val="001A55CD"/>
    <w:rsid w:val="001A55DB"/>
    <w:rsid w:val="001A5755"/>
    <w:rsid w:val="001A577B"/>
    <w:rsid w:val="001A5791"/>
    <w:rsid w:val="001A57B0"/>
    <w:rsid w:val="001A57F2"/>
    <w:rsid w:val="001A5824"/>
    <w:rsid w:val="001A5848"/>
    <w:rsid w:val="001A5849"/>
    <w:rsid w:val="001A58B4"/>
    <w:rsid w:val="001A58BE"/>
    <w:rsid w:val="001A590A"/>
    <w:rsid w:val="001A5917"/>
    <w:rsid w:val="001A59C8"/>
    <w:rsid w:val="001A59DF"/>
    <w:rsid w:val="001A5A0F"/>
    <w:rsid w:val="001A5A49"/>
    <w:rsid w:val="001A5A6B"/>
    <w:rsid w:val="001A5AE3"/>
    <w:rsid w:val="001A5B06"/>
    <w:rsid w:val="001A5B1B"/>
    <w:rsid w:val="001A5B34"/>
    <w:rsid w:val="001A5C28"/>
    <w:rsid w:val="001A5C49"/>
    <w:rsid w:val="001A5D17"/>
    <w:rsid w:val="001A5D80"/>
    <w:rsid w:val="001A5DC3"/>
    <w:rsid w:val="001A5DD1"/>
    <w:rsid w:val="001A5DEE"/>
    <w:rsid w:val="001A5E26"/>
    <w:rsid w:val="001A5EC2"/>
    <w:rsid w:val="001A5ED1"/>
    <w:rsid w:val="001A5F17"/>
    <w:rsid w:val="001A5FFE"/>
    <w:rsid w:val="001A6034"/>
    <w:rsid w:val="001A6041"/>
    <w:rsid w:val="001A60BA"/>
    <w:rsid w:val="001A6271"/>
    <w:rsid w:val="001A6294"/>
    <w:rsid w:val="001A630A"/>
    <w:rsid w:val="001A63CF"/>
    <w:rsid w:val="001A63E2"/>
    <w:rsid w:val="001A6405"/>
    <w:rsid w:val="001A641D"/>
    <w:rsid w:val="001A6599"/>
    <w:rsid w:val="001A659E"/>
    <w:rsid w:val="001A666A"/>
    <w:rsid w:val="001A672B"/>
    <w:rsid w:val="001A67CE"/>
    <w:rsid w:val="001A67F2"/>
    <w:rsid w:val="001A6826"/>
    <w:rsid w:val="001A6834"/>
    <w:rsid w:val="001A684F"/>
    <w:rsid w:val="001A6859"/>
    <w:rsid w:val="001A6891"/>
    <w:rsid w:val="001A690E"/>
    <w:rsid w:val="001A696A"/>
    <w:rsid w:val="001A698C"/>
    <w:rsid w:val="001A6993"/>
    <w:rsid w:val="001A6A3A"/>
    <w:rsid w:val="001A6AA9"/>
    <w:rsid w:val="001A6ADA"/>
    <w:rsid w:val="001A6B01"/>
    <w:rsid w:val="001A6B6C"/>
    <w:rsid w:val="001A6B8A"/>
    <w:rsid w:val="001A6C60"/>
    <w:rsid w:val="001A6C78"/>
    <w:rsid w:val="001A6C88"/>
    <w:rsid w:val="001A6CA3"/>
    <w:rsid w:val="001A6CE1"/>
    <w:rsid w:val="001A6DAD"/>
    <w:rsid w:val="001A6E76"/>
    <w:rsid w:val="001A6E97"/>
    <w:rsid w:val="001A6EF8"/>
    <w:rsid w:val="001A6F1D"/>
    <w:rsid w:val="001A6F29"/>
    <w:rsid w:val="001A7001"/>
    <w:rsid w:val="001A704E"/>
    <w:rsid w:val="001A70C6"/>
    <w:rsid w:val="001A7162"/>
    <w:rsid w:val="001A71AD"/>
    <w:rsid w:val="001A71DF"/>
    <w:rsid w:val="001A71F0"/>
    <w:rsid w:val="001A722E"/>
    <w:rsid w:val="001A7244"/>
    <w:rsid w:val="001A72E5"/>
    <w:rsid w:val="001A72F1"/>
    <w:rsid w:val="001A73F6"/>
    <w:rsid w:val="001A7426"/>
    <w:rsid w:val="001A742D"/>
    <w:rsid w:val="001A743B"/>
    <w:rsid w:val="001A7447"/>
    <w:rsid w:val="001A7589"/>
    <w:rsid w:val="001A7618"/>
    <w:rsid w:val="001A7636"/>
    <w:rsid w:val="001A76D8"/>
    <w:rsid w:val="001A76E9"/>
    <w:rsid w:val="001A76F0"/>
    <w:rsid w:val="001A76F9"/>
    <w:rsid w:val="001A7853"/>
    <w:rsid w:val="001A787B"/>
    <w:rsid w:val="001A7927"/>
    <w:rsid w:val="001A7930"/>
    <w:rsid w:val="001A7973"/>
    <w:rsid w:val="001A79AA"/>
    <w:rsid w:val="001A79B1"/>
    <w:rsid w:val="001A79D4"/>
    <w:rsid w:val="001A79E9"/>
    <w:rsid w:val="001A79F6"/>
    <w:rsid w:val="001A7A7C"/>
    <w:rsid w:val="001A7A7E"/>
    <w:rsid w:val="001A7A93"/>
    <w:rsid w:val="001A7A96"/>
    <w:rsid w:val="001A7ADF"/>
    <w:rsid w:val="001A7B0F"/>
    <w:rsid w:val="001A7B16"/>
    <w:rsid w:val="001A7B1A"/>
    <w:rsid w:val="001A7B31"/>
    <w:rsid w:val="001A7B6F"/>
    <w:rsid w:val="001A7CFD"/>
    <w:rsid w:val="001A7D66"/>
    <w:rsid w:val="001A7D7E"/>
    <w:rsid w:val="001A7DD1"/>
    <w:rsid w:val="001A7E91"/>
    <w:rsid w:val="001A7EAC"/>
    <w:rsid w:val="001A7F44"/>
    <w:rsid w:val="001A7FCE"/>
    <w:rsid w:val="001A7FE6"/>
    <w:rsid w:val="001B004C"/>
    <w:rsid w:val="001B0072"/>
    <w:rsid w:val="001B0108"/>
    <w:rsid w:val="001B012F"/>
    <w:rsid w:val="001B0154"/>
    <w:rsid w:val="001B01B6"/>
    <w:rsid w:val="001B02EC"/>
    <w:rsid w:val="001B0316"/>
    <w:rsid w:val="001B0319"/>
    <w:rsid w:val="001B03AD"/>
    <w:rsid w:val="001B03B0"/>
    <w:rsid w:val="001B03B1"/>
    <w:rsid w:val="001B03B6"/>
    <w:rsid w:val="001B03E9"/>
    <w:rsid w:val="001B041F"/>
    <w:rsid w:val="001B042B"/>
    <w:rsid w:val="001B0450"/>
    <w:rsid w:val="001B0462"/>
    <w:rsid w:val="001B048F"/>
    <w:rsid w:val="001B0491"/>
    <w:rsid w:val="001B04AB"/>
    <w:rsid w:val="001B0523"/>
    <w:rsid w:val="001B0591"/>
    <w:rsid w:val="001B05BF"/>
    <w:rsid w:val="001B05D7"/>
    <w:rsid w:val="001B065E"/>
    <w:rsid w:val="001B06A5"/>
    <w:rsid w:val="001B0788"/>
    <w:rsid w:val="001B0796"/>
    <w:rsid w:val="001B08A0"/>
    <w:rsid w:val="001B08D6"/>
    <w:rsid w:val="001B093F"/>
    <w:rsid w:val="001B09DB"/>
    <w:rsid w:val="001B0A38"/>
    <w:rsid w:val="001B0AE7"/>
    <w:rsid w:val="001B0B10"/>
    <w:rsid w:val="001B0B65"/>
    <w:rsid w:val="001B0B6E"/>
    <w:rsid w:val="001B0BDC"/>
    <w:rsid w:val="001B0CAC"/>
    <w:rsid w:val="001B0CED"/>
    <w:rsid w:val="001B0DC7"/>
    <w:rsid w:val="001B0E36"/>
    <w:rsid w:val="001B0E7D"/>
    <w:rsid w:val="001B0E88"/>
    <w:rsid w:val="001B0ED2"/>
    <w:rsid w:val="001B0EF7"/>
    <w:rsid w:val="001B0F02"/>
    <w:rsid w:val="001B0F5D"/>
    <w:rsid w:val="001B107A"/>
    <w:rsid w:val="001B1103"/>
    <w:rsid w:val="001B112C"/>
    <w:rsid w:val="001B1179"/>
    <w:rsid w:val="001B11C3"/>
    <w:rsid w:val="001B132E"/>
    <w:rsid w:val="001B13AC"/>
    <w:rsid w:val="001B13E0"/>
    <w:rsid w:val="001B143B"/>
    <w:rsid w:val="001B148D"/>
    <w:rsid w:val="001B1543"/>
    <w:rsid w:val="001B1551"/>
    <w:rsid w:val="001B1587"/>
    <w:rsid w:val="001B165C"/>
    <w:rsid w:val="001B1663"/>
    <w:rsid w:val="001B1676"/>
    <w:rsid w:val="001B1692"/>
    <w:rsid w:val="001B1876"/>
    <w:rsid w:val="001B187B"/>
    <w:rsid w:val="001B1926"/>
    <w:rsid w:val="001B1936"/>
    <w:rsid w:val="001B1993"/>
    <w:rsid w:val="001B19BB"/>
    <w:rsid w:val="001B1A12"/>
    <w:rsid w:val="001B1A38"/>
    <w:rsid w:val="001B1A4B"/>
    <w:rsid w:val="001B1A62"/>
    <w:rsid w:val="001B1A71"/>
    <w:rsid w:val="001B1AA1"/>
    <w:rsid w:val="001B1AC2"/>
    <w:rsid w:val="001B1B81"/>
    <w:rsid w:val="001B1BD4"/>
    <w:rsid w:val="001B1C00"/>
    <w:rsid w:val="001B1C58"/>
    <w:rsid w:val="001B1D40"/>
    <w:rsid w:val="001B1D66"/>
    <w:rsid w:val="001B1D72"/>
    <w:rsid w:val="001B1E4E"/>
    <w:rsid w:val="001B1EFA"/>
    <w:rsid w:val="001B1F9C"/>
    <w:rsid w:val="001B1FD7"/>
    <w:rsid w:val="001B1FD9"/>
    <w:rsid w:val="001B2017"/>
    <w:rsid w:val="001B20E6"/>
    <w:rsid w:val="001B2103"/>
    <w:rsid w:val="001B212F"/>
    <w:rsid w:val="001B215D"/>
    <w:rsid w:val="001B2241"/>
    <w:rsid w:val="001B2249"/>
    <w:rsid w:val="001B2273"/>
    <w:rsid w:val="001B2318"/>
    <w:rsid w:val="001B232C"/>
    <w:rsid w:val="001B233A"/>
    <w:rsid w:val="001B2406"/>
    <w:rsid w:val="001B2433"/>
    <w:rsid w:val="001B2462"/>
    <w:rsid w:val="001B2488"/>
    <w:rsid w:val="001B2499"/>
    <w:rsid w:val="001B24D2"/>
    <w:rsid w:val="001B24D9"/>
    <w:rsid w:val="001B25AC"/>
    <w:rsid w:val="001B25B8"/>
    <w:rsid w:val="001B25D2"/>
    <w:rsid w:val="001B261F"/>
    <w:rsid w:val="001B2658"/>
    <w:rsid w:val="001B2784"/>
    <w:rsid w:val="001B27BC"/>
    <w:rsid w:val="001B27FE"/>
    <w:rsid w:val="001B280D"/>
    <w:rsid w:val="001B288C"/>
    <w:rsid w:val="001B28BA"/>
    <w:rsid w:val="001B294A"/>
    <w:rsid w:val="001B2950"/>
    <w:rsid w:val="001B295F"/>
    <w:rsid w:val="001B2964"/>
    <w:rsid w:val="001B29AC"/>
    <w:rsid w:val="001B29EC"/>
    <w:rsid w:val="001B2A1B"/>
    <w:rsid w:val="001B2A22"/>
    <w:rsid w:val="001B2A60"/>
    <w:rsid w:val="001B2AEB"/>
    <w:rsid w:val="001B2B3B"/>
    <w:rsid w:val="001B2B7C"/>
    <w:rsid w:val="001B2BB1"/>
    <w:rsid w:val="001B2BE2"/>
    <w:rsid w:val="001B2D85"/>
    <w:rsid w:val="001B2E28"/>
    <w:rsid w:val="001B2E9B"/>
    <w:rsid w:val="001B2E9E"/>
    <w:rsid w:val="001B2F20"/>
    <w:rsid w:val="001B2F4A"/>
    <w:rsid w:val="001B2F95"/>
    <w:rsid w:val="001B2FDA"/>
    <w:rsid w:val="001B2FDE"/>
    <w:rsid w:val="001B306F"/>
    <w:rsid w:val="001B3111"/>
    <w:rsid w:val="001B318F"/>
    <w:rsid w:val="001B322A"/>
    <w:rsid w:val="001B32DB"/>
    <w:rsid w:val="001B32DC"/>
    <w:rsid w:val="001B3307"/>
    <w:rsid w:val="001B333B"/>
    <w:rsid w:val="001B3370"/>
    <w:rsid w:val="001B337E"/>
    <w:rsid w:val="001B33A1"/>
    <w:rsid w:val="001B33AA"/>
    <w:rsid w:val="001B33BF"/>
    <w:rsid w:val="001B34A2"/>
    <w:rsid w:val="001B3517"/>
    <w:rsid w:val="001B353D"/>
    <w:rsid w:val="001B35F9"/>
    <w:rsid w:val="001B363F"/>
    <w:rsid w:val="001B3669"/>
    <w:rsid w:val="001B3693"/>
    <w:rsid w:val="001B36D7"/>
    <w:rsid w:val="001B3746"/>
    <w:rsid w:val="001B375D"/>
    <w:rsid w:val="001B376D"/>
    <w:rsid w:val="001B3788"/>
    <w:rsid w:val="001B381A"/>
    <w:rsid w:val="001B3889"/>
    <w:rsid w:val="001B38B3"/>
    <w:rsid w:val="001B38CA"/>
    <w:rsid w:val="001B3909"/>
    <w:rsid w:val="001B395A"/>
    <w:rsid w:val="001B3978"/>
    <w:rsid w:val="001B39C1"/>
    <w:rsid w:val="001B3AB9"/>
    <w:rsid w:val="001B3B3F"/>
    <w:rsid w:val="001B3B53"/>
    <w:rsid w:val="001B3B62"/>
    <w:rsid w:val="001B3B70"/>
    <w:rsid w:val="001B3BAB"/>
    <w:rsid w:val="001B3BF7"/>
    <w:rsid w:val="001B3C7C"/>
    <w:rsid w:val="001B3C86"/>
    <w:rsid w:val="001B3CBA"/>
    <w:rsid w:val="001B3D9D"/>
    <w:rsid w:val="001B3DE5"/>
    <w:rsid w:val="001B3E34"/>
    <w:rsid w:val="001B3E4C"/>
    <w:rsid w:val="001B3E70"/>
    <w:rsid w:val="001B3F93"/>
    <w:rsid w:val="001B4089"/>
    <w:rsid w:val="001B409F"/>
    <w:rsid w:val="001B4140"/>
    <w:rsid w:val="001B41DC"/>
    <w:rsid w:val="001B41F0"/>
    <w:rsid w:val="001B4248"/>
    <w:rsid w:val="001B42EF"/>
    <w:rsid w:val="001B431F"/>
    <w:rsid w:val="001B436F"/>
    <w:rsid w:val="001B43CB"/>
    <w:rsid w:val="001B43CD"/>
    <w:rsid w:val="001B43CE"/>
    <w:rsid w:val="001B44C6"/>
    <w:rsid w:val="001B457C"/>
    <w:rsid w:val="001B457E"/>
    <w:rsid w:val="001B457F"/>
    <w:rsid w:val="001B45FF"/>
    <w:rsid w:val="001B4603"/>
    <w:rsid w:val="001B4649"/>
    <w:rsid w:val="001B4690"/>
    <w:rsid w:val="001B474A"/>
    <w:rsid w:val="001B478A"/>
    <w:rsid w:val="001B47B2"/>
    <w:rsid w:val="001B4839"/>
    <w:rsid w:val="001B4840"/>
    <w:rsid w:val="001B4852"/>
    <w:rsid w:val="001B485F"/>
    <w:rsid w:val="001B4874"/>
    <w:rsid w:val="001B48C0"/>
    <w:rsid w:val="001B48CD"/>
    <w:rsid w:val="001B48D4"/>
    <w:rsid w:val="001B4924"/>
    <w:rsid w:val="001B4953"/>
    <w:rsid w:val="001B4961"/>
    <w:rsid w:val="001B4971"/>
    <w:rsid w:val="001B4A4E"/>
    <w:rsid w:val="001B4A5E"/>
    <w:rsid w:val="001B4A70"/>
    <w:rsid w:val="001B4AF2"/>
    <w:rsid w:val="001B4B1A"/>
    <w:rsid w:val="001B4B87"/>
    <w:rsid w:val="001B4C4D"/>
    <w:rsid w:val="001B4CB9"/>
    <w:rsid w:val="001B4D09"/>
    <w:rsid w:val="001B4D96"/>
    <w:rsid w:val="001B4DA2"/>
    <w:rsid w:val="001B4DA9"/>
    <w:rsid w:val="001B4E8D"/>
    <w:rsid w:val="001B4F16"/>
    <w:rsid w:val="001B4F55"/>
    <w:rsid w:val="001B4FD0"/>
    <w:rsid w:val="001B5075"/>
    <w:rsid w:val="001B50D4"/>
    <w:rsid w:val="001B50EC"/>
    <w:rsid w:val="001B5128"/>
    <w:rsid w:val="001B5140"/>
    <w:rsid w:val="001B5170"/>
    <w:rsid w:val="001B5181"/>
    <w:rsid w:val="001B51A4"/>
    <w:rsid w:val="001B5211"/>
    <w:rsid w:val="001B521B"/>
    <w:rsid w:val="001B5236"/>
    <w:rsid w:val="001B5268"/>
    <w:rsid w:val="001B52C2"/>
    <w:rsid w:val="001B532F"/>
    <w:rsid w:val="001B5364"/>
    <w:rsid w:val="001B5399"/>
    <w:rsid w:val="001B53F5"/>
    <w:rsid w:val="001B543D"/>
    <w:rsid w:val="001B5476"/>
    <w:rsid w:val="001B5488"/>
    <w:rsid w:val="001B5489"/>
    <w:rsid w:val="001B54EE"/>
    <w:rsid w:val="001B556D"/>
    <w:rsid w:val="001B56C9"/>
    <w:rsid w:val="001B5719"/>
    <w:rsid w:val="001B5736"/>
    <w:rsid w:val="001B5770"/>
    <w:rsid w:val="001B577B"/>
    <w:rsid w:val="001B577D"/>
    <w:rsid w:val="001B57A8"/>
    <w:rsid w:val="001B57B9"/>
    <w:rsid w:val="001B57EA"/>
    <w:rsid w:val="001B5873"/>
    <w:rsid w:val="001B58A9"/>
    <w:rsid w:val="001B598A"/>
    <w:rsid w:val="001B5A31"/>
    <w:rsid w:val="001B5A5B"/>
    <w:rsid w:val="001B5A87"/>
    <w:rsid w:val="001B5B03"/>
    <w:rsid w:val="001B5B20"/>
    <w:rsid w:val="001B5B57"/>
    <w:rsid w:val="001B5BE7"/>
    <w:rsid w:val="001B5C0B"/>
    <w:rsid w:val="001B5C2E"/>
    <w:rsid w:val="001B5C71"/>
    <w:rsid w:val="001B5CB0"/>
    <w:rsid w:val="001B5CBA"/>
    <w:rsid w:val="001B5D1B"/>
    <w:rsid w:val="001B5D89"/>
    <w:rsid w:val="001B5E2B"/>
    <w:rsid w:val="001B5E6D"/>
    <w:rsid w:val="001B5E76"/>
    <w:rsid w:val="001B5FA1"/>
    <w:rsid w:val="001B600B"/>
    <w:rsid w:val="001B602A"/>
    <w:rsid w:val="001B6056"/>
    <w:rsid w:val="001B60F5"/>
    <w:rsid w:val="001B6262"/>
    <w:rsid w:val="001B630B"/>
    <w:rsid w:val="001B6345"/>
    <w:rsid w:val="001B635A"/>
    <w:rsid w:val="001B635F"/>
    <w:rsid w:val="001B6376"/>
    <w:rsid w:val="001B6396"/>
    <w:rsid w:val="001B63BE"/>
    <w:rsid w:val="001B63E0"/>
    <w:rsid w:val="001B6426"/>
    <w:rsid w:val="001B6441"/>
    <w:rsid w:val="001B6446"/>
    <w:rsid w:val="001B6483"/>
    <w:rsid w:val="001B64C3"/>
    <w:rsid w:val="001B64CF"/>
    <w:rsid w:val="001B64D0"/>
    <w:rsid w:val="001B655F"/>
    <w:rsid w:val="001B6584"/>
    <w:rsid w:val="001B659B"/>
    <w:rsid w:val="001B65FC"/>
    <w:rsid w:val="001B6605"/>
    <w:rsid w:val="001B6615"/>
    <w:rsid w:val="001B6629"/>
    <w:rsid w:val="001B6664"/>
    <w:rsid w:val="001B66A9"/>
    <w:rsid w:val="001B672F"/>
    <w:rsid w:val="001B6773"/>
    <w:rsid w:val="001B68DB"/>
    <w:rsid w:val="001B68F1"/>
    <w:rsid w:val="001B6915"/>
    <w:rsid w:val="001B692D"/>
    <w:rsid w:val="001B6969"/>
    <w:rsid w:val="001B6996"/>
    <w:rsid w:val="001B69E6"/>
    <w:rsid w:val="001B6A1C"/>
    <w:rsid w:val="001B6A42"/>
    <w:rsid w:val="001B6ACD"/>
    <w:rsid w:val="001B6AD7"/>
    <w:rsid w:val="001B6B24"/>
    <w:rsid w:val="001B6B40"/>
    <w:rsid w:val="001B6B5F"/>
    <w:rsid w:val="001B6B9A"/>
    <w:rsid w:val="001B6BC8"/>
    <w:rsid w:val="001B6C18"/>
    <w:rsid w:val="001B6C2C"/>
    <w:rsid w:val="001B6C2F"/>
    <w:rsid w:val="001B6C64"/>
    <w:rsid w:val="001B6CDB"/>
    <w:rsid w:val="001B6D1F"/>
    <w:rsid w:val="001B6D70"/>
    <w:rsid w:val="001B6DDE"/>
    <w:rsid w:val="001B6DF5"/>
    <w:rsid w:val="001B6DFD"/>
    <w:rsid w:val="001B6E0A"/>
    <w:rsid w:val="001B6E96"/>
    <w:rsid w:val="001B6EA7"/>
    <w:rsid w:val="001B6ED1"/>
    <w:rsid w:val="001B6EDE"/>
    <w:rsid w:val="001B6EFE"/>
    <w:rsid w:val="001B6F44"/>
    <w:rsid w:val="001B6FCF"/>
    <w:rsid w:val="001B7002"/>
    <w:rsid w:val="001B7073"/>
    <w:rsid w:val="001B7077"/>
    <w:rsid w:val="001B70C4"/>
    <w:rsid w:val="001B70D0"/>
    <w:rsid w:val="001B711A"/>
    <w:rsid w:val="001B724E"/>
    <w:rsid w:val="001B72B3"/>
    <w:rsid w:val="001B72DE"/>
    <w:rsid w:val="001B733E"/>
    <w:rsid w:val="001B7365"/>
    <w:rsid w:val="001B738B"/>
    <w:rsid w:val="001B73B8"/>
    <w:rsid w:val="001B7467"/>
    <w:rsid w:val="001B74A0"/>
    <w:rsid w:val="001B74BF"/>
    <w:rsid w:val="001B74E6"/>
    <w:rsid w:val="001B74F7"/>
    <w:rsid w:val="001B74FE"/>
    <w:rsid w:val="001B75AE"/>
    <w:rsid w:val="001B767C"/>
    <w:rsid w:val="001B768C"/>
    <w:rsid w:val="001B76F4"/>
    <w:rsid w:val="001B7701"/>
    <w:rsid w:val="001B77B4"/>
    <w:rsid w:val="001B77C8"/>
    <w:rsid w:val="001B77CF"/>
    <w:rsid w:val="001B77E6"/>
    <w:rsid w:val="001B78C8"/>
    <w:rsid w:val="001B791C"/>
    <w:rsid w:val="001B795F"/>
    <w:rsid w:val="001B797F"/>
    <w:rsid w:val="001B7986"/>
    <w:rsid w:val="001B7995"/>
    <w:rsid w:val="001B79C2"/>
    <w:rsid w:val="001B79E1"/>
    <w:rsid w:val="001B7A08"/>
    <w:rsid w:val="001B7A18"/>
    <w:rsid w:val="001B7A2A"/>
    <w:rsid w:val="001B7A39"/>
    <w:rsid w:val="001B7A42"/>
    <w:rsid w:val="001B7A5C"/>
    <w:rsid w:val="001B7A76"/>
    <w:rsid w:val="001B7A78"/>
    <w:rsid w:val="001B7AA3"/>
    <w:rsid w:val="001B7AAC"/>
    <w:rsid w:val="001B7B1A"/>
    <w:rsid w:val="001B7B2E"/>
    <w:rsid w:val="001B7BC7"/>
    <w:rsid w:val="001B7C59"/>
    <w:rsid w:val="001B7C91"/>
    <w:rsid w:val="001B7D0F"/>
    <w:rsid w:val="001B7D11"/>
    <w:rsid w:val="001B7D23"/>
    <w:rsid w:val="001B7D33"/>
    <w:rsid w:val="001B7D4D"/>
    <w:rsid w:val="001B7E54"/>
    <w:rsid w:val="001B7E60"/>
    <w:rsid w:val="001B7E88"/>
    <w:rsid w:val="001B7EA6"/>
    <w:rsid w:val="001B7F10"/>
    <w:rsid w:val="001B7F24"/>
    <w:rsid w:val="001B7F5B"/>
    <w:rsid w:val="001B7FE1"/>
    <w:rsid w:val="001BB1D7"/>
    <w:rsid w:val="001BB769"/>
    <w:rsid w:val="001C000F"/>
    <w:rsid w:val="001C0057"/>
    <w:rsid w:val="001C0060"/>
    <w:rsid w:val="001C0095"/>
    <w:rsid w:val="001C009A"/>
    <w:rsid w:val="001C0129"/>
    <w:rsid w:val="001C01A2"/>
    <w:rsid w:val="001C0204"/>
    <w:rsid w:val="001C030F"/>
    <w:rsid w:val="001C0324"/>
    <w:rsid w:val="001C03F4"/>
    <w:rsid w:val="001C04D7"/>
    <w:rsid w:val="001C051D"/>
    <w:rsid w:val="001C0561"/>
    <w:rsid w:val="001C0644"/>
    <w:rsid w:val="001C06E4"/>
    <w:rsid w:val="001C078B"/>
    <w:rsid w:val="001C07AC"/>
    <w:rsid w:val="001C07EE"/>
    <w:rsid w:val="001C082B"/>
    <w:rsid w:val="001C084C"/>
    <w:rsid w:val="001C0873"/>
    <w:rsid w:val="001C08B9"/>
    <w:rsid w:val="001C09BD"/>
    <w:rsid w:val="001C0A63"/>
    <w:rsid w:val="001C0A9D"/>
    <w:rsid w:val="001C0B49"/>
    <w:rsid w:val="001C0BAB"/>
    <w:rsid w:val="001C0BB7"/>
    <w:rsid w:val="001C0BF9"/>
    <w:rsid w:val="001C0C28"/>
    <w:rsid w:val="001C0C3A"/>
    <w:rsid w:val="001C0C6B"/>
    <w:rsid w:val="001C0C8F"/>
    <w:rsid w:val="001C0C98"/>
    <w:rsid w:val="001C0CB6"/>
    <w:rsid w:val="001C0D90"/>
    <w:rsid w:val="001C0DA0"/>
    <w:rsid w:val="001C0DA4"/>
    <w:rsid w:val="001C0DC2"/>
    <w:rsid w:val="001C0DDF"/>
    <w:rsid w:val="001C0E2A"/>
    <w:rsid w:val="001C0E75"/>
    <w:rsid w:val="001C0E78"/>
    <w:rsid w:val="001C0EC0"/>
    <w:rsid w:val="001C0F35"/>
    <w:rsid w:val="001C0F3D"/>
    <w:rsid w:val="001C0F42"/>
    <w:rsid w:val="001C0F8E"/>
    <w:rsid w:val="001C0FCE"/>
    <w:rsid w:val="001C0FFF"/>
    <w:rsid w:val="001C108C"/>
    <w:rsid w:val="001C11A0"/>
    <w:rsid w:val="001C11A5"/>
    <w:rsid w:val="001C11C1"/>
    <w:rsid w:val="001C11FC"/>
    <w:rsid w:val="001C12B2"/>
    <w:rsid w:val="001C12E5"/>
    <w:rsid w:val="001C13E4"/>
    <w:rsid w:val="001C14E7"/>
    <w:rsid w:val="001C14EB"/>
    <w:rsid w:val="001C152C"/>
    <w:rsid w:val="001C153C"/>
    <w:rsid w:val="001C1573"/>
    <w:rsid w:val="001C15EC"/>
    <w:rsid w:val="001C1685"/>
    <w:rsid w:val="001C16D5"/>
    <w:rsid w:val="001C16FF"/>
    <w:rsid w:val="001C1700"/>
    <w:rsid w:val="001C1856"/>
    <w:rsid w:val="001C1862"/>
    <w:rsid w:val="001C186E"/>
    <w:rsid w:val="001C191F"/>
    <w:rsid w:val="001C192C"/>
    <w:rsid w:val="001C1955"/>
    <w:rsid w:val="001C195F"/>
    <w:rsid w:val="001C1A28"/>
    <w:rsid w:val="001C1ACD"/>
    <w:rsid w:val="001C1B2E"/>
    <w:rsid w:val="001C1B54"/>
    <w:rsid w:val="001C1B5B"/>
    <w:rsid w:val="001C1B69"/>
    <w:rsid w:val="001C1B72"/>
    <w:rsid w:val="001C1B9C"/>
    <w:rsid w:val="001C1BA9"/>
    <w:rsid w:val="001C1BCE"/>
    <w:rsid w:val="001C1BF9"/>
    <w:rsid w:val="001C1C24"/>
    <w:rsid w:val="001C1CF1"/>
    <w:rsid w:val="001C1DE9"/>
    <w:rsid w:val="001C1E85"/>
    <w:rsid w:val="001C1F04"/>
    <w:rsid w:val="001C1FCE"/>
    <w:rsid w:val="001C1FD8"/>
    <w:rsid w:val="001C20EB"/>
    <w:rsid w:val="001C2179"/>
    <w:rsid w:val="001C21C5"/>
    <w:rsid w:val="001C21D6"/>
    <w:rsid w:val="001C21EB"/>
    <w:rsid w:val="001C2254"/>
    <w:rsid w:val="001C2258"/>
    <w:rsid w:val="001C22DB"/>
    <w:rsid w:val="001C2433"/>
    <w:rsid w:val="001C24FE"/>
    <w:rsid w:val="001C2506"/>
    <w:rsid w:val="001C25AE"/>
    <w:rsid w:val="001C25C9"/>
    <w:rsid w:val="001C25E8"/>
    <w:rsid w:val="001C25FE"/>
    <w:rsid w:val="001C2603"/>
    <w:rsid w:val="001C265D"/>
    <w:rsid w:val="001C2662"/>
    <w:rsid w:val="001C2738"/>
    <w:rsid w:val="001C27B2"/>
    <w:rsid w:val="001C27CE"/>
    <w:rsid w:val="001C2856"/>
    <w:rsid w:val="001C2887"/>
    <w:rsid w:val="001C28A0"/>
    <w:rsid w:val="001C28E6"/>
    <w:rsid w:val="001C2AB8"/>
    <w:rsid w:val="001C2AEF"/>
    <w:rsid w:val="001C2B8D"/>
    <w:rsid w:val="001C2BBE"/>
    <w:rsid w:val="001C2C22"/>
    <w:rsid w:val="001C2C92"/>
    <w:rsid w:val="001C2CD1"/>
    <w:rsid w:val="001C2CD9"/>
    <w:rsid w:val="001C2D5E"/>
    <w:rsid w:val="001C2E35"/>
    <w:rsid w:val="001C2EAB"/>
    <w:rsid w:val="001C2F4E"/>
    <w:rsid w:val="001C2F74"/>
    <w:rsid w:val="001C2FA6"/>
    <w:rsid w:val="001C2FE1"/>
    <w:rsid w:val="001C3013"/>
    <w:rsid w:val="001C3079"/>
    <w:rsid w:val="001C30B4"/>
    <w:rsid w:val="001C30E0"/>
    <w:rsid w:val="001C311C"/>
    <w:rsid w:val="001C31D9"/>
    <w:rsid w:val="001C32CC"/>
    <w:rsid w:val="001C32E3"/>
    <w:rsid w:val="001C3335"/>
    <w:rsid w:val="001C33A2"/>
    <w:rsid w:val="001C33DA"/>
    <w:rsid w:val="001C340F"/>
    <w:rsid w:val="001C3451"/>
    <w:rsid w:val="001C34B4"/>
    <w:rsid w:val="001C351F"/>
    <w:rsid w:val="001C352D"/>
    <w:rsid w:val="001C3558"/>
    <w:rsid w:val="001C3572"/>
    <w:rsid w:val="001C3598"/>
    <w:rsid w:val="001C3633"/>
    <w:rsid w:val="001C367C"/>
    <w:rsid w:val="001C36A4"/>
    <w:rsid w:val="001C36F2"/>
    <w:rsid w:val="001C36FF"/>
    <w:rsid w:val="001C375D"/>
    <w:rsid w:val="001C3793"/>
    <w:rsid w:val="001C3889"/>
    <w:rsid w:val="001C3987"/>
    <w:rsid w:val="001C39EB"/>
    <w:rsid w:val="001C3A0D"/>
    <w:rsid w:val="001C3A11"/>
    <w:rsid w:val="001C3A16"/>
    <w:rsid w:val="001C3A59"/>
    <w:rsid w:val="001C3AB1"/>
    <w:rsid w:val="001C3ADC"/>
    <w:rsid w:val="001C3AE9"/>
    <w:rsid w:val="001C3C7C"/>
    <w:rsid w:val="001C3CE9"/>
    <w:rsid w:val="001C3D76"/>
    <w:rsid w:val="001C3D8C"/>
    <w:rsid w:val="001C3DEC"/>
    <w:rsid w:val="001C3E60"/>
    <w:rsid w:val="001C3EDC"/>
    <w:rsid w:val="001C3F2D"/>
    <w:rsid w:val="001C3F30"/>
    <w:rsid w:val="001C3F38"/>
    <w:rsid w:val="001C3F79"/>
    <w:rsid w:val="001C3FDF"/>
    <w:rsid w:val="001C4022"/>
    <w:rsid w:val="001C4082"/>
    <w:rsid w:val="001C4158"/>
    <w:rsid w:val="001C419D"/>
    <w:rsid w:val="001C41AA"/>
    <w:rsid w:val="001C41C7"/>
    <w:rsid w:val="001C423F"/>
    <w:rsid w:val="001C4259"/>
    <w:rsid w:val="001C429F"/>
    <w:rsid w:val="001C42EA"/>
    <w:rsid w:val="001C42FA"/>
    <w:rsid w:val="001C4309"/>
    <w:rsid w:val="001C4332"/>
    <w:rsid w:val="001C4336"/>
    <w:rsid w:val="001C4388"/>
    <w:rsid w:val="001C43BA"/>
    <w:rsid w:val="001C43D3"/>
    <w:rsid w:val="001C4523"/>
    <w:rsid w:val="001C4529"/>
    <w:rsid w:val="001C4552"/>
    <w:rsid w:val="001C4560"/>
    <w:rsid w:val="001C459D"/>
    <w:rsid w:val="001C45AD"/>
    <w:rsid w:val="001C45D5"/>
    <w:rsid w:val="001C460A"/>
    <w:rsid w:val="001C46F6"/>
    <w:rsid w:val="001C46F8"/>
    <w:rsid w:val="001C4707"/>
    <w:rsid w:val="001C4732"/>
    <w:rsid w:val="001C47A7"/>
    <w:rsid w:val="001C47DE"/>
    <w:rsid w:val="001C47F4"/>
    <w:rsid w:val="001C4823"/>
    <w:rsid w:val="001C4870"/>
    <w:rsid w:val="001C488E"/>
    <w:rsid w:val="001C490C"/>
    <w:rsid w:val="001C493B"/>
    <w:rsid w:val="001C4992"/>
    <w:rsid w:val="001C4A84"/>
    <w:rsid w:val="001C4AAA"/>
    <w:rsid w:val="001C4ACA"/>
    <w:rsid w:val="001C4ADB"/>
    <w:rsid w:val="001C4B48"/>
    <w:rsid w:val="001C4C37"/>
    <w:rsid w:val="001C4CA8"/>
    <w:rsid w:val="001C4D69"/>
    <w:rsid w:val="001C4D78"/>
    <w:rsid w:val="001C4D96"/>
    <w:rsid w:val="001C4DF9"/>
    <w:rsid w:val="001C4E17"/>
    <w:rsid w:val="001C4E96"/>
    <w:rsid w:val="001C4EEA"/>
    <w:rsid w:val="001C4F42"/>
    <w:rsid w:val="001C4FBF"/>
    <w:rsid w:val="001C4FD1"/>
    <w:rsid w:val="001C507C"/>
    <w:rsid w:val="001C508E"/>
    <w:rsid w:val="001C50A0"/>
    <w:rsid w:val="001C50E6"/>
    <w:rsid w:val="001C510A"/>
    <w:rsid w:val="001C5156"/>
    <w:rsid w:val="001C51CF"/>
    <w:rsid w:val="001C5222"/>
    <w:rsid w:val="001C5229"/>
    <w:rsid w:val="001C52F3"/>
    <w:rsid w:val="001C53B7"/>
    <w:rsid w:val="001C545A"/>
    <w:rsid w:val="001C553E"/>
    <w:rsid w:val="001C556D"/>
    <w:rsid w:val="001C5590"/>
    <w:rsid w:val="001C560C"/>
    <w:rsid w:val="001C571A"/>
    <w:rsid w:val="001C580F"/>
    <w:rsid w:val="001C583E"/>
    <w:rsid w:val="001C58F9"/>
    <w:rsid w:val="001C5986"/>
    <w:rsid w:val="001C59AF"/>
    <w:rsid w:val="001C5A30"/>
    <w:rsid w:val="001C5B1C"/>
    <w:rsid w:val="001C5B47"/>
    <w:rsid w:val="001C5BBE"/>
    <w:rsid w:val="001C5CE6"/>
    <w:rsid w:val="001C5D15"/>
    <w:rsid w:val="001C5D26"/>
    <w:rsid w:val="001C5D88"/>
    <w:rsid w:val="001C5DAB"/>
    <w:rsid w:val="001C5DDB"/>
    <w:rsid w:val="001C5DF3"/>
    <w:rsid w:val="001C5EE7"/>
    <w:rsid w:val="001C5EF8"/>
    <w:rsid w:val="001C5F5B"/>
    <w:rsid w:val="001C6036"/>
    <w:rsid w:val="001C6089"/>
    <w:rsid w:val="001C60F9"/>
    <w:rsid w:val="001C62CE"/>
    <w:rsid w:val="001C62CF"/>
    <w:rsid w:val="001C631E"/>
    <w:rsid w:val="001C6327"/>
    <w:rsid w:val="001C6351"/>
    <w:rsid w:val="001C63AD"/>
    <w:rsid w:val="001C63CC"/>
    <w:rsid w:val="001C6412"/>
    <w:rsid w:val="001C64B4"/>
    <w:rsid w:val="001C6531"/>
    <w:rsid w:val="001C65B3"/>
    <w:rsid w:val="001C6602"/>
    <w:rsid w:val="001C666F"/>
    <w:rsid w:val="001C66A9"/>
    <w:rsid w:val="001C6716"/>
    <w:rsid w:val="001C671A"/>
    <w:rsid w:val="001C6797"/>
    <w:rsid w:val="001C67B6"/>
    <w:rsid w:val="001C6814"/>
    <w:rsid w:val="001C68D1"/>
    <w:rsid w:val="001C6969"/>
    <w:rsid w:val="001C6971"/>
    <w:rsid w:val="001C69D5"/>
    <w:rsid w:val="001C69F5"/>
    <w:rsid w:val="001C6A12"/>
    <w:rsid w:val="001C6A49"/>
    <w:rsid w:val="001C6B14"/>
    <w:rsid w:val="001C6B3F"/>
    <w:rsid w:val="001C6B41"/>
    <w:rsid w:val="001C6B7B"/>
    <w:rsid w:val="001C6CD2"/>
    <w:rsid w:val="001C6D1A"/>
    <w:rsid w:val="001C6D3F"/>
    <w:rsid w:val="001C6DD5"/>
    <w:rsid w:val="001C6DF6"/>
    <w:rsid w:val="001C6F71"/>
    <w:rsid w:val="001C6F84"/>
    <w:rsid w:val="001C6FBB"/>
    <w:rsid w:val="001C70AC"/>
    <w:rsid w:val="001C710D"/>
    <w:rsid w:val="001C7135"/>
    <w:rsid w:val="001C7158"/>
    <w:rsid w:val="001C7179"/>
    <w:rsid w:val="001C71B0"/>
    <w:rsid w:val="001C71D6"/>
    <w:rsid w:val="001C7212"/>
    <w:rsid w:val="001C7224"/>
    <w:rsid w:val="001C7313"/>
    <w:rsid w:val="001C73E2"/>
    <w:rsid w:val="001C7429"/>
    <w:rsid w:val="001C742F"/>
    <w:rsid w:val="001C751C"/>
    <w:rsid w:val="001C752F"/>
    <w:rsid w:val="001C759B"/>
    <w:rsid w:val="001C75E0"/>
    <w:rsid w:val="001C7694"/>
    <w:rsid w:val="001C7701"/>
    <w:rsid w:val="001C774A"/>
    <w:rsid w:val="001C7777"/>
    <w:rsid w:val="001C77E7"/>
    <w:rsid w:val="001C77F2"/>
    <w:rsid w:val="001C784C"/>
    <w:rsid w:val="001C78F7"/>
    <w:rsid w:val="001C79E1"/>
    <w:rsid w:val="001C79E8"/>
    <w:rsid w:val="001C7A6B"/>
    <w:rsid w:val="001C7AF2"/>
    <w:rsid w:val="001C7B0A"/>
    <w:rsid w:val="001C7B3D"/>
    <w:rsid w:val="001C7B91"/>
    <w:rsid w:val="001C7B98"/>
    <w:rsid w:val="001C7BDC"/>
    <w:rsid w:val="001C7C7E"/>
    <w:rsid w:val="001C7CE8"/>
    <w:rsid w:val="001C7CF4"/>
    <w:rsid w:val="001C7D51"/>
    <w:rsid w:val="001C7D73"/>
    <w:rsid w:val="001C7D86"/>
    <w:rsid w:val="001C7D8A"/>
    <w:rsid w:val="001C7E7B"/>
    <w:rsid w:val="001C7EC0"/>
    <w:rsid w:val="001C7EDA"/>
    <w:rsid w:val="001C7EF9"/>
    <w:rsid w:val="001C7FCF"/>
    <w:rsid w:val="001D0081"/>
    <w:rsid w:val="001D0185"/>
    <w:rsid w:val="001D01D2"/>
    <w:rsid w:val="001D0285"/>
    <w:rsid w:val="001D030E"/>
    <w:rsid w:val="001D0445"/>
    <w:rsid w:val="001D048D"/>
    <w:rsid w:val="001D04A1"/>
    <w:rsid w:val="001D0500"/>
    <w:rsid w:val="001D0575"/>
    <w:rsid w:val="001D063D"/>
    <w:rsid w:val="001D0642"/>
    <w:rsid w:val="001D068A"/>
    <w:rsid w:val="001D068C"/>
    <w:rsid w:val="001D0751"/>
    <w:rsid w:val="001D076E"/>
    <w:rsid w:val="001D0785"/>
    <w:rsid w:val="001D0871"/>
    <w:rsid w:val="001D08A8"/>
    <w:rsid w:val="001D08BB"/>
    <w:rsid w:val="001D090C"/>
    <w:rsid w:val="001D0A43"/>
    <w:rsid w:val="001D0A47"/>
    <w:rsid w:val="001D0B1C"/>
    <w:rsid w:val="001D0BA7"/>
    <w:rsid w:val="001D0C66"/>
    <w:rsid w:val="001D0C7F"/>
    <w:rsid w:val="001D0CB5"/>
    <w:rsid w:val="001D0CD3"/>
    <w:rsid w:val="001D0D2D"/>
    <w:rsid w:val="001D0D75"/>
    <w:rsid w:val="001D0E4A"/>
    <w:rsid w:val="001D0E69"/>
    <w:rsid w:val="001D0F19"/>
    <w:rsid w:val="001D0F47"/>
    <w:rsid w:val="001D0F66"/>
    <w:rsid w:val="001D0F72"/>
    <w:rsid w:val="001D0F7C"/>
    <w:rsid w:val="001D0FCD"/>
    <w:rsid w:val="001D0FD8"/>
    <w:rsid w:val="001D102F"/>
    <w:rsid w:val="001D1038"/>
    <w:rsid w:val="001D109F"/>
    <w:rsid w:val="001D10D4"/>
    <w:rsid w:val="001D10FE"/>
    <w:rsid w:val="001D1177"/>
    <w:rsid w:val="001D119B"/>
    <w:rsid w:val="001D1263"/>
    <w:rsid w:val="001D12AB"/>
    <w:rsid w:val="001D135C"/>
    <w:rsid w:val="001D1364"/>
    <w:rsid w:val="001D140A"/>
    <w:rsid w:val="001D1479"/>
    <w:rsid w:val="001D147E"/>
    <w:rsid w:val="001D1537"/>
    <w:rsid w:val="001D1538"/>
    <w:rsid w:val="001D1566"/>
    <w:rsid w:val="001D156A"/>
    <w:rsid w:val="001D1571"/>
    <w:rsid w:val="001D15AF"/>
    <w:rsid w:val="001D15D0"/>
    <w:rsid w:val="001D1613"/>
    <w:rsid w:val="001D163F"/>
    <w:rsid w:val="001D174E"/>
    <w:rsid w:val="001D176B"/>
    <w:rsid w:val="001D17A5"/>
    <w:rsid w:val="001D189E"/>
    <w:rsid w:val="001D18B2"/>
    <w:rsid w:val="001D18DC"/>
    <w:rsid w:val="001D194B"/>
    <w:rsid w:val="001D1993"/>
    <w:rsid w:val="001D19DD"/>
    <w:rsid w:val="001D1A0E"/>
    <w:rsid w:val="001D1A7E"/>
    <w:rsid w:val="001D1AF9"/>
    <w:rsid w:val="001D1B34"/>
    <w:rsid w:val="001D1C6C"/>
    <w:rsid w:val="001D1D79"/>
    <w:rsid w:val="001D1DF3"/>
    <w:rsid w:val="001D1E53"/>
    <w:rsid w:val="001D1E67"/>
    <w:rsid w:val="001D1EC0"/>
    <w:rsid w:val="001D2050"/>
    <w:rsid w:val="001D2172"/>
    <w:rsid w:val="001D217A"/>
    <w:rsid w:val="001D2183"/>
    <w:rsid w:val="001D21BE"/>
    <w:rsid w:val="001D21C2"/>
    <w:rsid w:val="001D21FE"/>
    <w:rsid w:val="001D2206"/>
    <w:rsid w:val="001D2209"/>
    <w:rsid w:val="001D22AC"/>
    <w:rsid w:val="001D22CD"/>
    <w:rsid w:val="001D22F8"/>
    <w:rsid w:val="001D2376"/>
    <w:rsid w:val="001D2405"/>
    <w:rsid w:val="001D247C"/>
    <w:rsid w:val="001D254A"/>
    <w:rsid w:val="001D2577"/>
    <w:rsid w:val="001D267B"/>
    <w:rsid w:val="001D26D4"/>
    <w:rsid w:val="001D272C"/>
    <w:rsid w:val="001D273C"/>
    <w:rsid w:val="001D2790"/>
    <w:rsid w:val="001D2794"/>
    <w:rsid w:val="001D294B"/>
    <w:rsid w:val="001D29A1"/>
    <w:rsid w:val="001D2A7E"/>
    <w:rsid w:val="001D2AAA"/>
    <w:rsid w:val="001D2ABF"/>
    <w:rsid w:val="001D2BF0"/>
    <w:rsid w:val="001D2C4B"/>
    <w:rsid w:val="001D2C7D"/>
    <w:rsid w:val="001D2C94"/>
    <w:rsid w:val="001D2D7E"/>
    <w:rsid w:val="001D2D8A"/>
    <w:rsid w:val="001D2D8C"/>
    <w:rsid w:val="001D2D91"/>
    <w:rsid w:val="001D2D9F"/>
    <w:rsid w:val="001D2DBC"/>
    <w:rsid w:val="001D2F26"/>
    <w:rsid w:val="001D2F5C"/>
    <w:rsid w:val="001D2F6B"/>
    <w:rsid w:val="001D2F86"/>
    <w:rsid w:val="001D2F91"/>
    <w:rsid w:val="001D3012"/>
    <w:rsid w:val="001D3047"/>
    <w:rsid w:val="001D30A2"/>
    <w:rsid w:val="001D30AE"/>
    <w:rsid w:val="001D30B4"/>
    <w:rsid w:val="001D30D2"/>
    <w:rsid w:val="001D30DB"/>
    <w:rsid w:val="001D3163"/>
    <w:rsid w:val="001D3165"/>
    <w:rsid w:val="001D3169"/>
    <w:rsid w:val="001D3183"/>
    <w:rsid w:val="001D31A9"/>
    <w:rsid w:val="001D3257"/>
    <w:rsid w:val="001D3279"/>
    <w:rsid w:val="001D32BB"/>
    <w:rsid w:val="001D331D"/>
    <w:rsid w:val="001D3467"/>
    <w:rsid w:val="001D346A"/>
    <w:rsid w:val="001D3472"/>
    <w:rsid w:val="001D3485"/>
    <w:rsid w:val="001D35EE"/>
    <w:rsid w:val="001D3627"/>
    <w:rsid w:val="001D367A"/>
    <w:rsid w:val="001D36AE"/>
    <w:rsid w:val="001D36C5"/>
    <w:rsid w:val="001D371C"/>
    <w:rsid w:val="001D376E"/>
    <w:rsid w:val="001D38DD"/>
    <w:rsid w:val="001D3952"/>
    <w:rsid w:val="001D3961"/>
    <w:rsid w:val="001D3A56"/>
    <w:rsid w:val="001D3A70"/>
    <w:rsid w:val="001D3AE1"/>
    <w:rsid w:val="001D3B1B"/>
    <w:rsid w:val="001D3B73"/>
    <w:rsid w:val="001D3B88"/>
    <w:rsid w:val="001D3BBD"/>
    <w:rsid w:val="001D3C01"/>
    <w:rsid w:val="001D3CE2"/>
    <w:rsid w:val="001D3D1A"/>
    <w:rsid w:val="001D3D42"/>
    <w:rsid w:val="001D3D4A"/>
    <w:rsid w:val="001D3D8D"/>
    <w:rsid w:val="001D3D95"/>
    <w:rsid w:val="001D3DB1"/>
    <w:rsid w:val="001D3DBD"/>
    <w:rsid w:val="001D3F1E"/>
    <w:rsid w:val="001D3F40"/>
    <w:rsid w:val="001D3F57"/>
    <w:rsid w:val="001D3FD8"/>
    <w:rsid w:val="001D4000"/>
    <w:rsid w:val="001D4037"/>
    <w:rsid w:val="001D40AC"/>
    <w:rsid w:val="001D41BA"/>
    <w:rsid w:val="001D41C6"/>
    <w:rsid w:val="001D4210"/>
    <w:rsid w:val="001D423F"/>
    <w:rsid w:val="001D4295"/>
    <w:rsid w:val="001D4338"/>
    <w:rsid w:val="001D4342"/>
    <w:rsid w:val="001D43D4"/>
    <w:rsid w:val="001D4434"/>
    <w:rsid w:val="001D4476"/>
    <w:rsid w:val="001D45A3"/>
    <w:rsid w:val="001D45AE"/>
    <w:rsid w:val="001D45CA"/>
    <w:rsid w:val="001D460C"/>
    <w:rsid w:val="001D4643"/>
    <w:rsid w:val="001D4662"/>
    <w:rsid w:val="001D468C"/>
    <w:rsid w:val="001D4692"/>
    <w:rsid w:val="001D4708"/>
    <w:rsid w:val="001D475F"/>
    <w:rsid w:val="001D4785"/>
    <w:rsid w:val="001D4791"/>
    <w:rsid w:val="001D47EF"/>
    <w:rsid w:val="001D47FD"/>
    <w:rsid w:val="001D484A"/>
    <w:rsid w:val="001D486B"/>
    <w:rsid w:val="001D4993"/>
    <w:rsid w:val="001D4AB4"/>
    <w:rsid w:val="001D4B9A"/>
    <w:rsid w:val="001D4C36"/>
    <w:rsid w:val="001D4C9B"/>
    <w:rsid w:val="001D4C9C"/>
    <w:rsid w:val="001D4CAE"/>
    <w:rsid w:val="001D4CF5"/>
    <w:rsid w:val="001D4D72"/>
    <w:rsid w:val="001D4DC8"/>
    <w:rsid w:val="001D4E7A"/>
    <w:rsid w:val="001D4E9A"/>
    <w:rsid w:val="001D4F81"/>
    <w:rsid w:val="001D4F85"/>
    <w:rsid w:val="001D4FC0"/>
    <w:rsid w:val="001D4FFB"/>
    <w:rsid w:val="001D50D4"/>
    <w:rsid w:val="001D5131"/>
    <w:rsid w:val="001D517C"/>
    <w:rsid w:val="001D51F9"/>
    <w:rsid w:val="001D525C"/>
    <w:rsid w:val="001D527E"/>
    <w:rsid w:val="001D5399"/>
    <w:rsid w:val="001D53C4"/>
    <w:rsid w:val="001D5442"/>
    <w:rsid w:val="001D5452"/>
    <w:rsid w:val="001D5593"/>
    <w:rsid w:val="001D55C6"/>
    <w:rsid w:val="001D55D2"/>
    <w:rsid w:val="001D56F0"/>
    <w:rsid w:val="001D56F1"/>
    <w:rsid w:val="001D5815"/>
    <w:rsid w:val="001D5857"/>
    <w:rsid w:val="001D5860"/>
    <w:rsid w:val="001D587E"/>
    <w:rsid w:val="001D58FA"/>
    <w:rsid w:val="001D599A"/>
    <w:rsid w:val="001D5A18"/>
    <w:rsid w:val="001D5A1F"/>
    <w:rsid w:val="001D5A81"/>
    <w:rsid w:val="001D5AA9"/>
    <w:rsid w:val="001D5BBA"/>
    <w:rsid w:val="001D5BDB"/>
    <w:rsid w:val="001D5CF8"/>
    <w:rsid w:val="001D5CFA"/>
    <w:rsid w:val="001D5D23"/>
    <w:rsid w:val="001D5D3D"/>
    <w:rsid w:val="001D5D4B"/>
    <w:rsid w:val="001D5D4C"/>
    <w:rsid w:val="001D5D79"/>
    <w:rsid w:val="001D5E62"/>
    <w:rsid w:val="001D5F7D"/>
    <w:rsid w:val="001D5F9F"/>
    <w:rsid w:val="001D5FC1"/>
    <w:rsid w:val="001D5FF2"/>
    <w:rsid w:val="001D6057"/>
    <w:rsid w:val="001D60E0"/>
    <w:rsid w:val="001D6131"/>
    <w:rsid w:val="001D6153"/>
    <w:rsid w:val="001D62D8"/>
    <w:rsid w:val="001D6358"/>
    <w:rsid w:val="001D63F2"/>
    <w:rsid w:val="001D640F"/>
    <w:rsid w:val="001D6450"/>
    <w:rsid w:val="001D6491"/>
    <w:rsid w:val="001D64D2"/>
    <w:rsid w:val="001D6547"/>
    <w:rsid w:val="001D6559"/>
    <w:rsid w:val="001D6571"/>
    <w:rsid w:val="001D65D5"/>
    <w:rsid w:val="001D6624"/>
    <w:rsid w:val="001D66CF"/>
    <w:rsid w:val="001D66E2"/>
    <w:rsid w:val="001D66EE"/>
    <w:rsid w:val="001D6707"/>
    <w:rsid w:val="001D679E"/>
    <w:rsid w:val="001D67B3"/>
    <w:rsid w:val="001D67ED"/>
    <w:rsid w:val="001D67FD"/>
    <w:rsid w:val="001D6893"/>
    <w:rsid w:val="001D69A5"/>
    <w:rsid w:val="001D69B1"/>
    <w:rsid w:val="001D69BA"/>
    <w:rsid w:val="001D6A40"/>
    <w:rsid w:val="001D6A68"/>
    <w:rsid w:val="001D6A84"/>
    <w:rsid w:val="001D6B14"/>
    <w:rsid w:val="001D6B56"/>
    <w:rsid w:val="001D6B8C"/>
    <w:rsid w:val="001D6BFB"/>
    <w:rsid w:val="001D6C7A"/>
    <w:rsid w:val="001D6CC8"/>
    <w:rsid w:val="001D6CEA"/>
    <w:rsid w:val="001D6D59"/>
    <w:rsid w:val="001D6D9A"/>
    <w:rsid w:val="001D6DB1"/>
    <w:rsid w:val="001D6DB2"/>
    <w:rsid w:val="001D6E3A"/>
    <w:rsid w:val="001D6EB9"/>
    <w:rsid w:val="001D6F46"/>
    <w:rsid w:val="001D7069"/>
    <w:rsid w:val="001D7077"/>
    <w:rsid w:val="001D70A7"/>
    <w:rsid w:val="001D7109"/>
    <w:rsid w:val="001D7113"/>
    <w:rsid w:val="001D7144"/>
    <w:rsid w:val="001D717D"/>
    <w:rsid w:val="001D7238"/>
    <w:rsid w:val="001D725C"/>
    <w:rsid w:val="001D72A7"/>
    <w:rsid w:val="001D72E2"/>
    <w:rsid w:val="001D7354"/>
    <w:rsid w:val="001D745F"/>
    <w:rsid w:val="001D748D"/>
    <w:rsid w:val="001D7531"/>
    <w:rsid w:val="001D753E"/>
    <w:rsid w:val="001D7567"/>
    <w:rsid w:val="001D7633"/>
    <w:rsid w:val="001D771A"/>
    <w:rsid w:val="001D7774"/>
    <w:rsid w:val="001D77C0"/>
    <w:rsid w:val="001D78A8"/>
    <w:rsid w:val="001D799C"/>
    <w:rsid w:val="001D79F4"/>
    <w:rsid w:val="001D7A1B"/>
    <w:rsid w:val="001D7ABC"/>
    <w:rsid w:val="001D7ABF"/>
    <w:rsid w:val="001D7AE5"/>
    <w:rsid w:val="001D7B26"/>
    <w:rsid w:val="001D7B89"/>
    <w:rsid w:val="001D7BA0"/>
    <w:rsid w:val="001D7BBB"/>
    <w:rsid w:val="001D7C22"/>
    <w:rsid w:val="001D7C3A"/>
    <w:rsid w:val="001D7C3B"/>
    <w:rsid w:val="001D7CFD"/>
    <w:rsid w:val="001D7D0E"/>
    <w:rsid w:val="001D7D44"/>
    <w:rsid w:val="001D7D52"/>
    <w:rsid w:val="001D7D6C"/>
    <w:rsid w:val="001D7D99"/>
    <w:rsid w:val="001D7DB5"/>
    <w:rsid w:val="001D7E2D"/>
    <w:rsid w:val="001D7ECE"/>
    <w:rsid w:val="001D7F1F"/>
    <w:rsid w:val="001D7F57"/>
    <w:rsid w:val="001D7F70"/>
    <w:rsid w:val="001D7F9E"/>
    <w:rsid w:val="001D7FB5"/>
    <w:rsid w:val="001D7FEA"/>
    <w:rsid w:val="001E0042"/>
    <w:rsid w:val="001E0043"/>
    <w:rsid w:val="001E007C"/>
    <w:rsid w:val="001E00D2"/>
    <w:rsid w:val="001E00D6"/>
    <w:rsid w:val="001E00EC"/>
    <w:rsid w:val="001E0188"/>
    <w:rsid w:val="001E0203"/>
    <w:rsid w:val="001E0220"/>
    <w:rsid w:val="001E022C"/>
    <w:rsid w:val="001E025F"/>
    <w:rsid w:val="001E02D1"/>
    <w:rsid w:val="001E0347"/>
    <w:rsid w:val="001E0386"/>
    <w:rsid w:val="001E0391"/>
    <w:rsid w:val="001E03A4"/>
    <w:rsid w:val="001E03AE"/>
    <w:rsid w:val="001E03BF"/>
    <w:rsid w:val="001E04E9"/>
    <w:rsid w:val="001E0557"/>
    <w:rsid w:val="001E0676"/>
    <w:rsid w:val="001E069C"/>
    <w:rsid w:val="001E06B9"/>
    <w:rsid w:val="001E06DB"/>
    <w:rsid w:val="001E0739"/>
    <w:rsid w:val="001E0763"/>
    <w:rsid w:val="001E07A3"/>
    <w:rsid w:val="001E07AA"/>
    <w:rsid w:val="001E07B0"/>
    <w:rsid w:val="001E0902"/>
    <w:rsid w:val="001E099D"/>
    <w:rsid w:val="001E09B5"/>
    <w:rsid w:val="001E09DF"/>
    <w:rsid w:val="001E09F9"/>
    <w:rsid w:val="001E0B0C"/>
    <w:rsid w:val="001E0BFE"/>
    <w:rsid w:val="001E0D70"/>
    <w:rsid w:val="001E0DF0"/>
    <w:rsid w:val="001E0E12"/>
    <w:rsid w:val="001E0E5B"/>
    <w:rsid w:val="001E0EC1"/>
    <w:rsid w:val="001E0EC6"/>
    <w:rsid w:val="001E0F38"/>
    <w:rsid w:val="001E1034"/>
    <w:rsid w:val="001E105A"/>
    <w:rsid w:val="001E1084"/>
    <w:rsid w:val="001E108E"/>
    <w:rsid w:val="001E11A5"/>
    <w:rsid w:val="001E11A6"/>
    <w:rsid w:val="001E11F1"/>
    <w:rsid w:val="001E1210"/>
    <w:rsid w:val="001E1222"/>
    <w:rsid w:val="001E1238"/>
    <w:rsid w:val="001E1283"/>
    <w:rsid w:val="001E12CD"/>
    <w:rsid w:val="001E12F1"/>
    <w:rsid w:val="001E1336"/>
    <w:rsid w:val="001E14A7"/>
    <w:rsid w:val="001E14AA"/>
    <w:rsid w:val="001E14EE"/>
    <w:rsid w:val="001E1518"/>
    <w:rsid w:val="001E155C"/>
    <w:rsid w:val="001E156D"/>
    <w:rsid w:val="001E1570"/>
    <w:rsid w:val="001E158E"/>
    <w:rsid w:val="001E15BE"/>
    <w:rsid w:val="001E15E8"/>
    <w:rsid w:val="001E1613"/>
    <w:rsid w:val="001E16B5"/>
    <w:rsid w:val="001E1739"/>
    <w:rsid w:val="001E18F5"/>
    <w:rsid w:val="001E1924"/>
    <w:rsid w:val="001E1939"/>
    <w:rsid w:val="001E1947"/>
    <w:rsid w:val="001E196F"/>
    <w:rsid w:val="001E19A6"/>
    <w:rsid w:val="001E19AE"/>
    <w:rsid w:val="001E19C6"/>
    <w:rsid w:val="001E1A28"/>
    <w:rsid w:val="001E1AEB"/>
    <w:rsid w:val="001E1BCF"/>
    <w:rsid w:val="001E1BE0"/>
    <w:rsid w:val="001E1C0B"/>
    <w:rsid w:val="001E1C43"/>
    <w:rsid w:val="001E1C5B"/>
    <w:rsid w:val="001E1CA0"/>
    <w:rsid w:val="001E1D49"/>
    <w:rsid w:val="001E1D4B"/>
    <w:rsid w:val="001E1D92"/>
    <w:rsid w:val="001E1E7A"/>
    <w:rsid w:val="001E1EC3"/>
    <w:rsid w:val="001E1EDF"/>
    <w:rsid w:val="001E1EFF"/>
    <w:rsid w:val="001E1F1F"/>
    <w:rsid w:val="001E2023"/>
    <w:rsid w:val="001E204A"/>
    <w:rsid w:val="001E21CB"/>
    <w:rsid w:val="001E2209"/>
    <w:rsid w:val="001E2223"/>
    <w:rsid w:val="001E2302"/>
    <w:rsid w:val="001E2309"/>
    <w:rsid w:val="001E233E"/>
    <w:rsid w:val="001E2359"/>
    <w:rsid w:val="001E238A"/>
    <w:rsid w:val="001E23B1"/>
    <w:rsid w:val="001E23E8"/>
    <w:rsid w:val="001E240E"/>
    <w:rsid w:val="001E24E5"/>
    <w:rsid w:val="001E24E9"/>
    <w:rsid w:val="001E252F"/>
    <w:rsid w:val="001E2568"/>
    <w:rsid w:val="001E264A"/>
    <w:rsid w:val="001E265E"/>
    <w:rsid w:val="001E26A2"/>
    <w:rsid w:val="001E2715"/>
    <w:rsid w:val="001E2757"/>
    <w:rsid w:val="001E27E4"/>
    <w:rsid w:val="001E2806"/>
    <w:rsid w:val="001E2813"/>
    <w:rsid w:val="001E28BB"/>
    <w:rsid w:val="001E28C5"/>
    <w:rsid w:val="001E28D5"/>
    <w:rsid w:val="001E293E"/>
    <w:rsid w:val="001E2946"/>
    <w:rsid w:val="001E29DA"/>
    <w:rsid w:val="001E2A07"/>
    <w:rsid w:val="001E2A27"/>
    <w:rsid w:val="001E2A61"/>
    <w:rsid w:val="001E2A6A"/>
    <w:rsid w:val="001E2AAF"/>
    <w:rsid w:val="001E2ACD"/>
    <w:rsid w:val="001E2B2D"/>
    <w:rsid w:val="001E2B5C"/>
    <w:rsid w:val="001E2BCB"/>
    <w:rsid w:val="001E2BF5"/>
    <w:rsid w:val="001E2CDD"/>
    <w:rsid w:val="001E2D9B"/>
    <w:rsid w:val="001E2E42"/>
    <w:rsid w:val="001E2E4A"/>
    <w:rsid w:val="001E2EAD"/>
    <w:rsid w:val="001E2F2D"/>
    <w:rsid w:val="001E2F94"/>
    <w:rsid w:val="001E3032"/>
    <w:rsid w:val="001E3049"/>
    <w:rsid w:val="001E309F"/>
    <w:rsid w:val="001E30B8"/>
    <w:rsid w:val="001E314E"/>
    <w:rsid w:val="001E315E"/>
    <w:rsid w:val="001E3260"/>
    <w:rsid w:val="001E32B2"/>
    <w:rsid w:val="001E32BF"/>
    <w:rsid w:val="001E32E4"/>
    <w:rsid w:val="001E3364"/>
    <w:rsid w:val="001E3384"/>
    <w:rsid w:val="001E339C"/>
    <w:rsid w:val="001E33E9"/>
    <w:rsid w:val="001E34DA"/>
    <w:rsid w:val="001E3527"/>
    <w:rsid w:val="001E3585"/>
    <w:rsid w:val="001E358E"/>
    <w:rsid w:val="001E35A2"/>
    <w:rsid w:val="001E36C2"/>
    <w:rsid w:val="001E36CF"/>
    <w:rsid w:val="001E36EC"/>
    <w:rsid w:val="001E3768"/>
    <w:rsid w:val="001E378C"/>
    <w:rsid w:val="001E3814"/>
    <w:rsid w:val="001E38CA"/>
    <w:rsid w:val="001E39A1"/>
    <w:rsid w:val="001E39B7"/>
    <w:rsid w:val="001E3A44"/>
    <w:rsid w:val="001E3A63"/>
    <w:rsid w:val="001E3AAD"/>
    <w:rsid w:val="001E3B69"/>
    <w:rsid w:val="001E3BE6"/>
    <w:rsid w:val="001E3C0C"/>
    <w:rsid w:val="001E3C1B"/>
    <w:rsid w:val="001E3C31"/>
    <w:rsid w:val="001E3CB2"/>
    <w:rsid w:val="001E3D3E"/>
    <w:rsid w:val="001E3D97"/>
    <w:rsid w:val="001E3DB7"/>
    <w:rsid w:val="001E3DDE"/>
    <w:rsid w:val="001E3DDF"/>
    <w:rsid w:val="001E3E53"/>
    <w:rsid w:val="001E3E5C"/>
    <w:rsid w:val="001E3E67"/>
    <w:rsid w:val="001E3EB8"/>
    <w:rsid w:val="001E3F2E"/>
    <w:rsid w:val="001E402D"/>
    <w:rsid w:val="001E4042"/>
    <w:rsid w:val="001E4177"/>
    <w:rsid w:val="001E41F2"/>
    <w:rsid w:val="001E41FB"/>
    <w:rsid w:val="001E4228"/>
    <w:rsid w:val="001E42B4"/>
    <w:rsid w:val="001E42D5"/>
    <w:rsid w:val="001E4309"/>
    <w:rsid w:val="001E4320"/>
    <w:rsid w:val="001E437E"/>
    <w:rsid w:val="001E4385"/>
    <w:rsid w:val="001E43D1"/>
    <w:rsid w:val="001E43D6"/>
    <w:rsid w:val="001E4468"/>
    <w:rsid w:val="001E44FD"/>
    <w:rsid w:val="001E450C"/>
    <w:rsid w:val="001E455B"/>
    <w:rsid w:val="001E4573"/>
    <w:rsid w:val="001E45BB"/>
    <w:rsid w:val="001E471A"/>
    <w:rsid w:val="001E4745"/>
    <w:rsid w:val="001E4794"/>
    <w:rsid w:val="001E47B2"/>
    <w:rsid w:val="001E486C"/>
    <w:rsid w:val="001E487E"/>
    <w:rsid w:val="001E48D1"/>
    <w:rsid w:val="001E48E4"/>
    <w:rsid w:val="001E48FE"/>
    <w:rsid w:val="001E490A"/>
    <w:rsid w:val="001E49CC"/>
    <w:rsid w:val="001E4A40"/>
    <w:rsid w:val="001E4A9B"/>
    <w:rsid w:val="001E4AA7"/>
    <w:rsid w:val="001E4ABB"/>
    <w:rsid w:val="001E4AC1"/>
    <w:rsid w:val="001E4B4D"/>
    <w:rsid w:val="001E4BD1"/>
    <w:rsid w:val="001E4BEB"/>
    <w:rsid w:val="001E4C3F"/>
    <w:rsid w:val="001E4D1E"/>
    <w:rsid w:val="001E4D4F"/>
    <w:rsid w:val="001E4DD8"/>
    <w:rsid w:val="001E4EAA"/>
    <w:rsid w:val="001E4ED8"/>
    <w:rsid w:val="001E4F32"/>
    <w:rsid w:val="001E4F7C"/>
    <w:rsid w:val="001E4FDB"/>
    <w:rsid w:val="001E4FDC"/>
    <w:rsid w:val="001E4FE8"/>
    <w:rsid w:val="001E5011"/>
    <w:rsid w:val="001E513D"/>
    <w:rsid w:val="001E517A"/>
    <w:rsid w:val="001E51A5"/>
    <w:rsid w:val="001E51E6"/>
    <w:rsid w:val="001E5229"/>
    <w:rsid w:val="001E5234"/>
    <w:rsid w:val="001E523C"/>
    <w:rsid w:val="001E5261"/>
    <w:rsid w:val="001E5322"/>
    <w:rsid w:val="001E5341"/>
    <w:rsid w:val="001E53D9"/>
    <w:rsid w:val="001E53DD"/>
    <w:rsid w:val="001E53F1"/>
    <w:rsid w:val="001E540C"/>
    <w:rsid w:val="001E545E"/>
    <w:rsid w:val="001E54C3"/>
    <w:rsid w:val="001E5527"/>
    <w:rsid w:val="001E5546"/>
    <w:rsid w:val="001E556C"/>
    <w:rsid w:val="001E5644"/>
    <w:rsid w:val="001E5688"/>
    <w:rsid w:val="001E568F"/>
    <w:rsid w:val="001E5728"/>
    <w:rsid w:val="001E572F"/>
    <w:rsid w:val="001E578E"/>
    <w:rsid w:val="001E5800"/>
    <w:rsid w:val="001E5899"/>
    <w:rsid w:val="001E58D8"/>
    <w:rsid w:val="001E58F2"/>
    <w:rsid w:val="001E5961"/>
    <w:rsid w:val="001E5975"/>
    <w:rsid w:val="001E5A06"/>
    <w:rsid w:val="001E5A76"/>
    <w:rsid w:val="001E5AC7"/>
    <w:rsid w:val="001E5AFE"/>
    <w:rsid w:val="001E5B2F"/>
    <w:rsid w:val="001E5C62"/>
    <w:rsid w:val="001E5C70"/>
    <w:rsid w:val="001E5C9D"/>
    <w:rsid w:val="001E5CC4"/>
    <w:rsid w:val="001E5CC9"/>
    <w:rsid w:val="001E5D05"/>
    <w:rsid w:val="001E5D11"/>
    <w:rsid w:val="001E5DF1"/>
    <w:rsid w:val="001E5E39"/>
    <w:rsid w:val="001E5E65"/>
    <w:rsid w:val="001E5EC5"/>
    <w:rsid w:val="001E5ECD"/>
    <w:rsid w:val="001E5F35"/>
    <w:rsid w:val="001E5F46"/>
    <w:rsid w:val="001E5F4F"/>
    <w:rsid w:val="001E602C"/>
    <w:rsid w:val="001E6034"/>
    <w:rsid w:val="001E6055"/>
    <w:rsid w:val="001E60BB"/>
    <w:rsid w:val="001E60CD"/>
    <w:rsid w:val="001E60F9"/>
    <w:rsid w:val="001E6150"/>
    <w:rsid w:val="001E6154"/>
    <w:rsid w:val="001E6178"/>
    <w:rsid w:val="001E6183"/>
    <w:rsid w:val="001E6190"/>
    <w:rsid w:val="001E61E3"/>
    <w:rsid w:val="001E61ED"/>
    <w:rsid w:val="001E61F3"/>
    <w:rsid w:val="001E6222"/>
    <w:rsid w:val="001E62C5"/>
    <w:rsid w:val="001E6346"/>
    <w:rsid w:val="001E6409"/>
    <w:rsid w:val="001E644E"/>
    <w:rsid w:val="001E649B"/>
    <w:rsid w:val="001E64A3"/>
    <w:rsid w:val="001E64B5"/>
    <w:rsid w:val="001E6533"/>
    <w:rsid w:val="001E6559"/>
    <w:rsid w:val="001E65F2"/>
    <w:rsid w:val="001E6617"/>
    <w:rsid w:val="001E6653"/>
    <w:rsid w:val="001E667A"/>
    <w:rsid w:val="001E6683"/>
    <w:rsid w:val="001E673F"/>
    <w:rsid w:val="001E6749"/>
    <w:rsid w:val="001E6761"/>
    <w:rsid w:val="001E676A"/>
    <w:rsid w:val="001E67D6"/>
    <w:rsid w:val="001E67DE"/>
    <w:rsid w:val="001E6821"/>
    <w:rsid w:val="001E6866"/>
    <w:rsid w:val="001E68D3"/>
    <w:rsid w:val="001E6908"/>
    <w:rsid w:val="001E6958"/>
    <w:rsid w:val="001E695C"/>
    <w:rsid w:val="001E6989"/>
    <w:rsid w:val="001E69E8"/>
    <w:rsid w:val="001E6AAC"/>
    <w:rsid w:val="001E6B21"/>
    <w:rsid w:val="001E6B53"/>
    <w:rsid w:val="001E6B5B"/>
    <w:rsid w:val="001E6BE2"/>
    <w:rsid w:val="001E6BF5"/>
    <w:rsid w:val="001E6C50"/>
    <w:rsid w:val="001E6C63"/>
    <w:rsid w:val="001E6C95"/>
    <w:rsid w:val="001E6CFE"/>
    <w:rsid w:val="001E6D31"/>
    <w:rsid w:val="001E6D68"/>
    <w:rsid w:val="001E6D75"/>
    <w:rsid w:val="001E6DE4"/>
    <w:rsid w:val="001E6E6B"/>
    <w:rsid w:val="001E6E6C"/>
    <w:rsid w:val="001E6E90"/>
    <w:rsid w:val="001E6ECB"/>
    <w:rsid w:val="001E6F1B"/>
    <w:rsid w:val="001E6F5C"/>
    <w:rsid w:val="001E7120"/>
    <w:rsid w:val="001E713B"/>
    <w:rsid w:val="001E713C"/>
    <w:rsid w:val="001E717A"/>
    <w:rsid w:val="001E726F"/>
    <w:rsid w:val="001E72F3"/>
    <w:rsid w:val="001E72F4"/>
    <w:rsid w:val="001E72FC"/>
    <w:rsid w:val="001E730C"/>
    <w:rsid w:val="001E7454"/>
    <w:rsid w:val="001E74BE"/>
    <w:rsid w:val="001E74C2"/>
    <w:rsid w:val="001E7570"/>
    <w:rsid w:val="001E7622"/>
    <w:rsid w:val="001E76E6"/>
    <w:rsid w:val="001E7753"/>
    <w:rsid w:val="001E777A"/>
    <w:rsid w:val="001E7811"/>
    <w:rsid w:val="001E78A5"/>
    <w:rsid w:val="001E78B9"/>
    <w:rsid w:val="001E78D4"/>
    <w:rsid w:val="001E7908"/>
    <w:rsid w:val="001E793E"/>
    <w:rsid w:val="001E795D"/>
    <w:rsid w:val="001E79E5"/>
    <w:rsid w:val="001E7A52"/>
    <w:rsid w:val="001E7B2C"/>
    <w:rsid w:val="001E7BFE"/>
    <w:rsid w:val="001E7C26"/>
    <w:rsid w:val="001E7CC0"/>
    <w:rsid w:val="001E7CF5"/>
    <w:rsid w:val="001E7D13"/>
    <w:rsid w:val="001E7D76"/>
    <w:rsid w:val="001E7DC0"/>
    <w:rsid w:val="001E7DF8"/>
    <w:rsid w:val="001E7E4F"/>
    <w:rsid w:val="001E7EB6"/>
    <w:rsid w:val="001E7FA5"/>
    <w:rsid w:val="001E7FB1"/>
    <w:rsid w:val="001F0077"/>
    <w:rsid w:val="001F00B4"/>
    <w:rsid w:val="001F00F4"/>
    <w:rsid w:val="001F014A"/>
    <w:rsid w:val="001F01D6"/>
    <w:rsid w:val="001F0209"/>
    <w:rsid w:val="001F0211"/>
    <w:rsid w:val="001F0255"/>
    <w:rsid w:val="001F02F9"/>
    <w:rsid w:val="001F0370"/>
    <w:rsid w:val="001F03ED"/>
    <w:rsid w:val="001F0401"/>
    <w:rsid w:val="001F04F3"/>
    <w:rsid w:val="001F04FD"/>
    <w:rsid w:val="001F057C"/>
    <w:rsid w:val="001F0846"/>
    <w:rsid w:val="001F0853"/>
    <w:rsid w:val="001F0865"/>
    <w:rsid w:val="001F0889"/>
    <w:rsid w:val="001F08B4"/>
    <w:rsid w:val="001F08EE"/>
    <w:rsid w:val="001F0973"/>
    <w:rsid w:val="001F09BB"/>
    <w:rsid w:val="001F09CC"/>
    <w:rsid w:val="001F0A2C"/>
    <w:rsid w:val="001F0A40"/>
    <w:rsid w:val="001F0AA5"/>
    <w:rsid w:val="001F0B3D"/>
    <w:rsid w:val="001F0B43"/>
    <w:rsid w:val="001F0B5F"/>
    <w:rsid w:val="001F0C00"/>
    <w:rsid w:val="001F0C66"/>
    <w:rsid w:val="001F0CA8"/>
    <w:rsid w:val="001F0CC7"/>
    <w:rsid w:val="001F0CE7"/>
    <w:rsid w:val="001F0DAA"/>
    <w:rsid w:val="001F0E30"/>
    <w:rsid w:val="001F0E44"/>
    <w:rsid w:val="001F0E84"/>
    <w:rsid w:val="001F0E9B"/>
    <w:rsid w:val="001F0EA2"/>
    <w:rsid w:val="001F0F38"/>
    <w:rsid w:val="001F0FA1"/>
    <w:rsid w:val="001F1039"/>
    <w:rsid w:val="001F1094"/>
    <w:rsid w:val="001F10A7"/>
    <w:rsid w:val="001F10D1"/>
    <w:rsid w:val="001F10E2"/>
    <w:rsid w:val="001F1147"/>
    <w:rsid w:val="001F1257"/>
    <w:rsid w:val="001F1286"/>
    <w:rsid w:val="001F1293"/>
    <w:rsid w:val="001F12BB"/>
    <w:rsid w:val="001F1379"/>
    <w:rsid w:val="001F1380"/>
    <w:rsid w:val="001F13C0"/>
    <w:rsid w:val="001F13D8"/>
    <w:rsid w:val="001F13F7"/>
    <w:rsid w:val="001F1476"/>
    <w:rsid w:val="001F1490"/>
    <w:rsid w:val="001F14F0"/>
    <w:rsid w:val="001F1518"/>
    <w:rsid w:val="001F153D"/>
    <w:rsid w:val="001F1554"/>
    <w:rsid w:val="001F15D4"/>
    <w:rsid w:val="001F15F8"/>
    <w:rsid w:val="001F1638"/>
    <w:rsid w:val="001F165E"/>
    <w:rsid w:val="001F168B"/>
    <w:rsid w:val="001F169D"/>
    <w:rsid w:val="001F16C5"/>
    <w:rsid w:val="001F1714"/>
    <w:rsid w:val="001F172F"/>
    <w:rsid w:val="001F1756"/>
    <w:rsid w:val="001F1796"/>
    <w:rsid w:val="001F17A2"/>
    <w:rsid w:val="001F189B"/>
    <w:rsid w:val="001F18AC"/>
    <w:rsid w:val="001F196C"/>
    <w:rsid w:val="001F1983"/>
    <w:rsid w:val="001F198B"/>
    <w:rsid w:val="001F19AD"/>
    <w:rsid w:val="001F19CA"/>
    <w:rsid w:val="001F1A14"/>
    <w:rsid w:val="001F1AC6"/>
    <w:rsid w:val="001F1B3D"/>
    <w:rsid w:val="001F1BE4"/>
    <w:rsid w:val="001F1C14"/>
    <w:rsid w:val="001F1C73"/>
    <w:rsid w:val="001F1D25"/>
    <w:rsid w:val="001F1DBD"/>
    <w:rsid w:val="001F1E05"/>
    <w:rsid w:val="001F1E9A"/>
    <w:rsid w:val="001F1F63"/>
    <w:rsid w:val="001F1F70"/>
    <w:rsid w:val="001F1F9E"/>
    <w:rsid w:val="001F1FEA"/>
    <w:rsid w:val="001F200A"/>
    <w:rsid w:val="001F201C"/>
    <w:rsid w:val="001F2083"/>
    <w:rsid w:val="001F20D0"/>
    <w:rsid w:val="001F20E8"/>
    <w:rsid w:val="001F216A"/>
    <w:rsid w:val="001F2186"/>
    <w:rsid w:val="001F2280"/>
    <w:rsid w:val="001F2299"/>
    <w:rsid w:val="001F2350"/>
    <w:rsid w:val="001F2496"/>
    <w:rsid w:val="001F25C0"/>
    <w:rsid w:val="001F2640"/>
    <w:rsid w:val="001F2773"/>
    <w:rsid w:val="001F27AC"/>
    <w:rsid w:val="001F2869"/>
    <w:rsid w:val="001F2874"/>
    <w:rsid w:val="001F288D"/>
    <w:rsid w:val="001F2926"/>
    <w:rsid w:val="001F2960"/>
    <w:rsid w:val="001F297B"/>
    <w:rsid w:val="001F29B9"/>
    <w:rsid w:val="001F2A15"/>
    <w:rsid w:val="001F2A92"/>
    <w:rsid w:val="001F2AB4"/>
    <w:rsid w:val="001F2AE8"/>
    <w:rsid w:val="001F2B52"/>
    <w:rsid w:val="001F2BCD"/>
    <w:rsid w:val="001F2C5F"/>
    <w:rsid w:val="001F2D6D"/>
    <w:rsid w:val="001F2D73"/>
    <w:rsid w:val="001F2DC7"/>
    <w:rsid w:val="001F2E18"/>
    <w:rsid w:val="001F2E27"/>
    <w:rsid w:val="001F2EE4"/>
    <w:rsid w:val="001F2F8F"/>
    <w:rsid w:val="001F2FB2"/>
    <w:rsid w:val="001F2FB6"/>
    <w:rsid w:val="001F2FC8"/>
    <w:rsid w:val="001F2FCD"/>
    <w:rsid w:val="001F3058"/>
    <w:rsid w:val="001F315B"/>
    <w:rsid w:val="001F3167"/>
    <w:rsid w:val="001F31A4"/>
    <w:rsid w:val="001F31A6"/>
    <w:rsid w:val="001F31BC"/>
    <w:rsid w:val="001F329F"/>
    <w:rsid w:val="001F334D"/>
    <w:rsid w:val="001F33EF"/>
    <w:rsid w:val="001F3413"/>
    <w:rsid w:val="001F3466"/>
    <w:rsid w:val="001F3494"/>
    <w:rsid w:val="001F351E"/>
    <w:rsid w:val="001F3539"/>
    <w:rsid w:val="001F36C1"/>
    <w:rsid w:val="001F36CE"/>
    <w:rsid w:val="001F385B"/>
    <w:rsid w:val="001F3892"/>
    <w:rsid w:val="001F38AA"/>
    <w:rsid w:val="001F38EA"/>
    <w:rsid w:val="001F38F0"/>
    <w:rsid w:val="001F38F3"/>
    <w:rsid w:val="001F38F5"/>
    <w:rsid w:val="001F393A"/>
    <w:rsid w:val="001F3980"/>
    <w:rsid w:val="001F3987"/>
    <w:rsid w:val="001F3A6A"/>
    <w:rsid w:val="001F3A96"/>
    <w:rsid w:val="001F3AAD"/>
    <w:rsid w:val="001F3BFE"/>
    <w:rsid w:val="001F3C6E"/>
    <w:rsid w:val="001F3C74"/>
    <w:rsid w:val="001F3C8D"/>
    <w:rsid w:val="001F3CDC"/>
    <w:rsid w:val="001F3D95"/>
    <w:rsid w:val="001F3DF4"/>
    <w:rsid w:val="001F3E15"/>
    <w:rsid w:val="001F3E52"/>
    <w:rsid w:val="001F3EA6"/>
    <w:rsid w:val="001F3ED0"/>
    <w:rsid w:val="001F3EF7"/>
    <w:rsid w:val="001F3F1F"/>
    <w:rsid w:val="001F3F6A"/>
    <w:rsid w:val="001F3FCE"/>
    <w:rsid w:val="001F4011"/>
    <w:rsid w:val="001F403C"/>
    <w:rsid w:val="001F40E4"/>
    <w:rsid w:val="001F411A"/>
    <w:rsid w:val="001F415F"/>
    <w:rsid w:val="001F425E"/>
    <w:rsid w:val="001F43BB"/>
    <w:rsid w:val="001F43C1"/>
    <w:rsid w:val="001F43C6"/>
    <w:rsid w:val="001F45CA"/>
    <w:rsid w:val="001F4646"/>
    <w:rsid w:val="001F4683"/>
    <w:rsid w:val="001F46E4"/>
    <w:rsid w:val="001F4762"/>
    <w:rsid w:val="001F47B7"/>
    <w:rsid w:val="001F47BC"/>
    <w:rsid w:val="001F4840"/>
    <w:rsid w:val="001F4846"/>
    <w:rsid w:val="001F485E"/>
    <w:rsid w:val="001F498D"/>
    <w:rsid w:val="001F4A14"/>
    <w:rsid w:val="001F4A42"/>
    <w:rsid w:val="001F4AAB"/>
    <w:rsid w:val="001F4ACB"/>
    <w:rsid w:val="001F4B2B"/>
    <w:rsid w:val="001F4C35"/>
    <w:rsid w:val="001F4C8A"/>
    <w:rsid w:val="001F4D0D"/>
    <w:rsid w:val="001F4D3C"/>
    <w:rsid w:val="001F4D4A"/>
    <w:rsid w:val="001F4D77"/>
    <w:rsid w:val="001F4D83"/>
    <w:rsid w:val="001F4DFF"/>
    <w:rsid w:val="001F4E16"/>
    <w:rsid w:val="001F4E4A"/>
    <w:rsid w:val="001F4E53"/>
    <w:rsid w:val="001F4EAC"/>
    <w:rsid w:val="001F4EBB"/>
    <w:rsid w:val="001F4EED"/>
    <w:rsid w:val="001F4F1A"/>
    <w:rsid w:val="001F4F49"/>
    <w:rsid w:val="001F4F5C"/>
    <w:rsid w:val="001F4FA6"/>
    <w:rsid w:val="001F4FDD"/>
    <w:rsid w:val="001F4FE1"/>
    <w:rsid w:val="001F4FE4"/>
    <w:rsid w:val="001F4FFE"/>
    <w:rsid w:val="001F512E"/>
    <w:rsid w:val="001F5138"/>
    <w:rsid w:val="001F5148"/>
    <w:rsid w:val="001F51A8"/>
    <w:rsid w:val="001F51D4"/>
    <w:rsid w:val="001F51ED"/>
    <w:rsid w:val="001F525A"/>
    <w:rsid w:val="001F526C"/>
    <w:rsid w:val="001F5315"/>
    <w:rsid w:val="001F5341"/>
    <w:rsid w:val="001F534B"/>
    <w:rsid w:val="001F53AD"/>
    <w:rsid w:val="001F5405"/>
    <w:rsid w:val="001F55D4"/>
    <w:rsid w:val="001F55DA"/>
    <w:rsid w:val="001F55E0"/>
    <w:rsid w:val="001F56D1"/>
    <w:rsid w:val="001F5719"/>
    <w:rsid w:val="001F578A"/>
    <w:rsid w:val="001F57AF"/>
    <w:rsid w:val="001F57F6"/>
    <w:rsid w:val="001F58AE"/>
    <w:rsid w:val="001F593E"/>
    <w:rsid w:val="001F598E"/>
    <w:rsid w:val="001F59F5"/>
    <w:rsid w:val="001F5A07"/>
    <w:rsid w:val="001F5A0A"/>
    <w:rsid w:val="001F5A53"/>
    <w:rsid w:val="001F5B67"/>
    <w:rsid w:val="001F5C2E"/>
    <w:rsid w:val="001F5C38"/>
    <w:rsid w:val="001F5CDE"/>
    <w:rsid w:val="001F5D4A"/>
    <w:rsid w:val="001F5D51"/>
    <w:rsid w:val="001F5D7F"/>
    <w:rsid w:val="001F5DE8"/>
    <w:rsid w:val="001F5E36"/>
    <w:rsid w:val="001F5E54"/>
    <w:rsid w:val="001F5EB3"/>
    <w:rsid w:val="001F5EC0"/>
    <w:rsid w:val="001F5F0E"/>
    <w:rsid w:val="001F5F77"/>
    <w:rsid w:val="001F5FCA"/>
    <w:rsid w:val="001F6024"/>
    <w:rsid w:val="001F6060"/>
    <w:rsid w:val="001F6149"/>
    <w:rsid w:val="001F6184"/>
    <w:rsid w:val="001F624D"/>
    <w:rsid w:val="001F62A3"/>
    <w:rsid w:val="001F62DC"/>
    <w:rsid w:val="001F6446"/>
    <w:rsid w:val="001F64A6"/>
    <w:rsid w:val="001F64BD"/>
    <w:rsid w:val="001F64D9"/>
    <w:rsid w:val="001F6514"/>
    <w:rsid w:val="001F65CD"/>
    <w:rsid w:val="001F6603"/>
    <w:rsid w:val="001F66E3"/>
    <w:rsid w:val="001F6781"/>
    <w:rsid w:val="001F67FB"/>
    <w:rsid w:val="001F67FD"/>
    <w:rsid w:val="001F680F"/>
    <w:rsid w:val="001F6810"/>
    <w:rsid w:val="001F6844"/>
    <w:rsid w:val="001F688E"/>
    <w:rsid w:val="001F68AA"/>
    <w:rsid w:val="001F68AD"/>
    <w:rsid w:val="001F68EC"/>
    <w:rsid w:val="001F68FE"/>
    <w:rsid w:val="001F6929"/>
    <w:rsid w:val="001F693D"/>
    <w:rsid w:val="001F6996"/>
    <w:rsid w:val="001F6A7C"/>
    <w:rsid w:val="001F6B39"/>
    <w:rsid w:val="001F6B3E"/>
    <w:rsid w:val="001F6B65"/>
    <w:rsid w:val="001F6B67"/>
    <w:rsid w:val="001F6B72"/>
    <w:rsid w:val="001F6B97"/>
    <w:rsid w:val="001F6BB7"/>
    <w:rsid w:val="001F6CF6"/>
    <w:rsid w:val="001F6D96"/>
    <w:rsid w:val="001F6E02"/>
    <w:rsid w:val="001F6E28"/>
    <w:rsid w:val="001F6E94"/>
    <w:rsid w:val="001F6EB5"/>
    <w:rsid w:val="001F6F61"/>
    <w:rsid w:val="001F6FAF"/>
    <w:rsid w:val="001F6FFC"/>
    <w:rsid w:val="001F703B"/>
    <w:rsid w:val="001F7053"/>
    <w:rsid w:val="001F70B9"/>
    <w:rsid w:val="001F70C1"/>
    <w:rsid w:val="001F7149"/>
    <w:rsid w:val="001F715A"/>
    <w:rsid w:val="001F716B"/>
    <w:rsid w:val="001F71D1"/>
    <w:rsid w:val="001F71DD"/>
    <w:rsid w:val="001F7267"/>
    <w:rsid w:val="001F72D4"/>
    <w:rsid w:val="001F72DF"/>
    <w:rsid w:val="001F72E3"/>
    <w:rsid w:val="001F72F8"/>
    <w:rsid w:val="001F7390"/>
    <w:rsid w:val="001F73BD"/>
    <w:rsid w:val="001F73CD"/>
    <w:rsid w:val="001F746B"/>
    <w:rsid w:val="001F74EF"/>
    <w:rsid w:val="001F7572"/>
    <w:rsid w:val="001F760D"/>
    <w:rsid w:val="001F7688"/>
    <w:rsid w:val="001F769F"/>
    <w:rsid w:val="001F770E"/>
    <w:rsid w:val="001F7726"/>
    <w:rsid w:val="001F7768"/>
    <w:rsid w:val="001F7792"/>
    <w:rsid w:val="001F77C9"/>
    <w:rsid w:val="001F7803"/>
    <w:rsid w:val="001F7819"/>
    <w:rsid w:val="001F7832"/>
    <w:rsid w:val="001F7954"/>
    <w:rsid w:val="001F795E"/>
    <w:rsid w:val="001F7964"/>
    <w:rsid w:val="001F7975"/>
    <w:rsid w:val="001F79C6"/>
    <w:rsid w:val="001F79F6"/>
    <w:rsid w:val="001F7A98"/>
    <w:rsid w:val="001F7ABE"/>
    <w:rsid w:val="001F7AC2"/>
    <w:rsid w:val="001F7BAD"/>
    <w:rsid w:val="001F7C1A"/>
    <w:rsid w:val="001F7CA2"/>
    <w:rsid w:val="001F7CF6"/>
    <w:rsid w:val="001F7D4A"/>
    <w:rsid w:val="001F7D93"/>
    <w:rsid w:val="001F7D99"/>
    <w:rsid w:val="001F7DA1"/>
    <w:rsid w:val="001F7DB6"/>
    <w:rsid w:val="001F7DE2"/>
    <w:rsid w:val="001F7E4B"/>
    <w:rsid w:val="001F7EFC"/>
    <w:rsid w:val="001F7F98"/>
    <w:rsid w:val="001F7FB8"/>
    <w:rsid w:val="001FE817"/>
    <w:rsid w:val="0020006D"/>
    <w:rsid w:val="0020007D"/>
    <w:rsid w:val="002000B7"/>
    <w:rsid w:val="00200151"/>
    <w:rsid w:val="0020017B"/>
    <w:rsid w:val="002002B3"/>
    <w:rsid w:val="002002F1"/>
    <w:rsid w:val="00200339"/>
    <w:rsid w:val="0020033D"/>
    <w:rsid w:val="00200377"/>
    <w:rsid w:val="0020044E"/>
    <w:rsid w:val="002004EF"/>
    <w:rsid w:val="00200500"/>
    <w:rsid w:val="00200509"/>
    <w:rsid w:val="0020050A"/>
    <w:rsid w:val="00200523"/>
    <w:rsid w:val="00200549"/>
    <w:rsid w:val="00200557"/>
    <w:rsid w:val="002005DC"/>
    <w:rsid w:val="0020060D"/>
    <w:rsid w:val="002007AF"/>
    <w:rsid w:val="002007CB"/>
    <w:rsid w:val="002007F9"/>
    <w:rsid w:val="002007FF"/>
    <w:rsid w:val="0020080A"/>
    <w:rsid w:val="00200824"/>
    <w:rsid w:val="00200838"/>
    <w:rsid w:val="0020089B"/>
    <w:rsid w:val="002009B4"/>
    <w:rsid w:val="00200A1C"/>
    <w:rsid w:val="00200AF7"/>
    <w:rsid w:val="00200C11"/>
    <w:rsid w:val="00200C1E"/>
    <w:rsid w:val="00200CBC"/>
    <w:rsid w:val="00200DC2"/>
    <w:rsid w:val="00200DDE"/>
    <w:rsid w:val="00200DE2"/>
    <w:rsid w:val="00200DE5"/>
    <w:rsid w:val="00200E71"/>
    <w:rsid w:val="00200E95"/>
    <w:rsid w:val="00201088"/>
    <w:rsid w:val="002010E2"/>
    <w:rsid w:val="00201219"/>
    <w:rsid w:val="0020124E"/>
    <w:rsid w:val="00201257"/>
    <w:rsid w:val="0020129F"/>
    <w:rsid w:val="002012B2"/>
    <w:rsid w:val="002012CB"/>
    <w:rsid w:val="0020131B"/>
    <w:rsid w:val="00201351"/>
    <w:rsid w:val="002013B4"/>
    <w:rsid w:val="002013CA"/>
    <w:rsid w:val="0020142D"/>
    <w:rsid w:val="00201446"/>
    <w:rsid w:val="00201456"/>
    <w:rsid w:val="00201502"/>
    <w:rsid w:val="00201552"/>
    <w:rsid w:val="0020156D"/>
    <w:rsid w:val="002015DE"/>
    <w:rsid w:val="00201681"/>
    <w:rsid w:val="00201744"/>
    <w:rsid w:val="00201758"/>
    <w:rsid w:val="002017A4"/>
    <w:rsid w:val="00201805"/>
    <w:rsid w:val="00201823"/>
    <w:rsid w:val="002018A5"/>
    <w:rsid w:val="002018E4"/>
    <w:rsid w:val="0020196C"/>
    <w:rsid w:val="002019CC"/>
    <w:rsid w:val="002019E7"/>
    <w:rsid w:val="00201A12"/>
    <w:rsid w:val="00201A77"/>
    <w:rsid w:val="00201AE4"/>
    <w:rsid w:val="00201AE5"/>
    <w:rsid w:val="00201BB3"/>
    <w:rsid w:val="00201CCA"/>
    <w:rsid w:val="00201CE7"/>
    <w:rsid w:val="00201CED"/>
    <w:rsid w:val="00201D76"/>
    <w:rsid w:val="00201DA9"/>
    <w:rsid w:val="00201DFC"/>
    <w:rsid w:val="00201E0C"/>
    <w:rsid w:val="00201EF2"/>
    <w:rsid w:val="002020A7"/>
    <w:rsid w:val="002020F9"/>
    <w:rsid w:val="0020212E"/>
    <w:rsid w:val="0020220B"/>
    <w:rsid w:val="00202230"/>
    <w:rsid w:val="0020224A"/>
    <w:rsid w:val="00202279"/>
    <w:rsid w:val="002023FD"/>
    <w:rsid w:val="00202442"/>
    <w:rsid w:val="002024C3"/>
    <w:rsid w:val="002024C5"/>
    <w:rsid w:val="002024CB"/>
    <w:rsid w:val="0020250E"/>
    <w:rsid w:val="00202665"/>
    <w:rsid w:val="0020268F"/>
    <w:rsid w:val="002027F4"/>
    <w:rsid w:val="00202841"/>
    <w:rsid w:val="0020285C"/>
    <w:rsid w:val="002028B8"/>
    <w:rsid w:val="002028BF"/>
    <w:rsid w:val="002028C7"/>
    <w:rsid w:val="002028D8"/>
    <w:rsid w:val="0020295F"/>
    <w:rsid w:val="00202984"/>
    <w:rsid w:val="00202985"/>
    <w:rsid w:val="00202A00"/>
    <w:rsid w:val="00202A2F"/>
    <w:rsid w:val="00202A84"/>
    <w:rsid w:val="00202AE0"/>
    <w:rsid w:val="00202B1A"/>
    <w:rsid w:val="00202B52"/>
    <w:rsid w:val="00202B63"/>
    <w:rsid w:val="00202B74"/>
    <w:rsid w:val="00202C00"/>
    <w:rsid w:val="00202C75"/>
    <w:rsid w:val="00202C94"/>
    <w:rsid w:val="00202D1A"/>
    <w:rsid w:val="00202D6D"/>
    <w:rsid w:val="00202D97"/>
    <w:rsid w:val="00202E3F"/>
    <w:rsid w:val="00202E60"/>
    <w:rsid w:val="00202F4D"/>
    <w:rsid w:val="00202F64"/>
    <w:rsid w:val="00202FFA"/>
    <w:rsid w:val="0020302F"/>
    <w:rsid w:val="00203072"/>
    <w:rsid w:val="002030F0"/>
    <w:rsid w:val="002031A5"/>
    <w:rsid w:val="00203213"/>
    <w:rsid w:val="00203225"/>
    <w:rsid w:val="0020324D"/>
    <w:rsid w:val="002032AC"/>
    <w:rsid w:val="0020338B"/>
    <w:rsid w:val="0020342B"/>
    <w:rsid w:val="00203469"/>
    <w:rsid w:val="0020346B"/>
    <w:rsid w:val="00203478"/>
    <w:rsid w:val="002034C2"/>
    <w:rsid w:val="002034F6"/>
    <w:rsid w:val="00203561"/>
    <w:rsid w:val="0020356D"/>
    <w:rsid w:val="00203586"/>
    <w:rsid w:val="00203601"/>
    <w:rsid w:val="00203647"/>
    <w:rsid w:val="00203655"/>
    <w:rsid w:val="00203670"/>
    <w:rsid w:val="002036A6"/>
    <w:rsid w:val="002036F7"/>
    <w:rsid w:val="00203778"/>
    <w:rsid w:val="002037D9"/>
    <w:rsid w:val="00203809"/>
    <w:rsid w:val="0020381D"/>
    <w:rsid w:val="002038DD"/>
    <w:rsid w:val="00203912"/>
    <w:rsid w:val="0020392F"/>
    <w:rsid w:val="0020395F"/>
    <w:rsid w:val="00203994"/>
    <w:rsid w:val="002039BE"/>
    <w:rsid w:val="002039D0"/>
    <w:rsid w:val="00203A33"/>
    <w:rsid w:val="00203A41"/>
    <w:rsid w:val="00203A52"/>
    <w:rsid w:val="00203B3B"/>
    <w:rsid w:val="00203B4A"/>
    <w:rsid w:val="00203B58"/>
    <w:rsid w:val="00203C1B"/>
    <w:rsid w:val="00203C4A"/>
    <w:rsid w:val="00203C5B"/>
    <w:rsid w:val="00203C68"/>
    <w:rsid w:val="00203CA6"/>
    <w:rsid w:val="00203CEB"/>
    <w:rsid w:val="00203D76"/>
    <w:rsid w:val="00203D7C"/>
    <w:rsid w:val="00203DE2"/>
    <w:rsid w:val="00203DF8"/>
    <w:rsid w:val="00203E17"/>
    <w:rsid w:val="00203E36"/>
    <w:rsid w:val="00203EC0"/>
    <w:rsid w:val="00203F09"/>
    <w:rsid w:val="00203F53"/>
    <w:rsid w:val="00203F5B"/>
    <w:rsid w:val="002040B4"/>
    <w:rsid w:val="002040E0"/>
    <w:rsid w:val="0020417D"/>
    <w:rsid w:val="00204185"/>
    <w:rsid w:val="002041FE"/>
    <w:rsid w:val="0020426D"/>
    <w:rsid w:val="0020427A"/>
    <w:rsid w:val="00204287"/>
    <w:rsid w:val="002042ED"/>
    <w:rsid w:val="00204385"/>
    <w:rsid w:val="002043A3"/>
    <w:rsid w:val="002043DA"/>
    <w:rsid w:val="002043F2"/>
    <w:rsid w:val="0020441F"/>
    <w:rsid w:val="00204458"/>
    <w:rsid w:val="00204470"/>
    <w:rsid w:val="0020448F"/>
    <w:rsid w:val="00204502"/>
    <w:rsid w:val="0020456F"/>
    <w:rsid w:val="00204578"/>
    <w:rsid w:val="002045CE"/>
    <w:rsid w:val="002045F4"/>
    <w:rsid w:val="002045FB"/>
    <w:rsid w:val="0020468E"/>
    <w:rsid w:val="002046C7"/>
    <w:rsid w:val="00204746"/>
    <w:rsid w:val="00204768"/>
    <w:rsid w:val="00204806"/>
    <w:rsid w:val="00204856"/>
    <w:rsid w:val="0020486C"/>
    <w:rsid w:val="002048A1"/>
    <w:rsid w:val="00204961"/>
    <w:rsid w:val="00204964"/>
    <w:rsid w:val="00204984"/>
    <w:rsid w:val="00204987"/>
    <w:rsid w:val="002049A3"/>
    <w:rsid w:val="002049CD"/>
    <w:rsid w:val="002049FF"/>
    <w:rsid w:val="00204A07"/>
    <w:rsid w:val="00204A88"/>
    <w:rsid w:val="00204A90"/>
    <w:rsid w:val="00204A9D"/>
    <w:rsid w:val="00204ABC"/>
    <w:rsid w:val="00204ADE"/>
    <w:rsid w:val="00204AF8"/>
    <w:rsid w:val="00204B12"/>
    <w:rsid w:val="00204B1D"/>
    <w:rsid w:val="00204B64"/>
    <w:rsid w:val="00204C11"/>
    <w:rsid w:val="00204C46"/>
    <w:rsid w:val="00204CAC"/>
    <w:rsid w:val="00204D0F"/>
    <w:rsid w:val="00204D5B"/>
    <w:rsid w:val="00204D8B"/>
    <w:rsid w:val="00204D99"/>
    <w:rsid w:val="00204EEA"/>
    <w:rsid w:val="00204EF8"/>
    <w:rsid w:val="00204FA2"/>
    <w:rsid w:val="00204FA7"/>
    <w:rsid w:val="00204FCB"/>
    <w:rsid w:val="0020509F"/>
    <w:rsid w:val="00205151"/>
    <w:rsid w:val="0020515A"/>
    <w:rsid w:val="002051EC"/>
    <w:rsid w:val="002052AA"/>
    <w:rsid w:val="00205307"/>
    <w:rsid w:val="0020530A"/>
    <w:rsid w:val="0020536A"/>
    <w:rsid w:val="00205415"/>
    <w:rsid w:val="002054CF"/>
    <w:rsid w:val="002054F9"/>
    <w:rsid w:val="002055E3"/>
    <w:rsid w:val="0020561A"/>
    <w:rsid w:val="0020561F"/>
    <w:rsid w:val="00205658"/>
    <w:rsid w:val="00205690"/>
    <w:rsid w:val="002056CB"/>
    <w:rsid w:val="0020570A"/>
    <w:rsid w:val="0020571A"/>
    <w:rsid w:val="00205807"/>
    <w:rsid w:val="0020580D"/>
    <w:rsid w:val="002058CE"/>
    <w:rsid w:val="00205938"/>
    <w:rsid w:val="00205941"/>
    <w:rsid w:val="00205943"/>
    <w:rsid w:val="00205960"/>
    <w:rsid w:val="0020596C"/>
    <w:rsid w:val="00205981"/>
    <w:rsid w:val="00205AE4"/>
    <w:rsid w:val="00205B49"/>
    <w:rsid w:val="00205B56"/>
    <w:rsid w:val="00205BA9"/>
    <w:rsid w:val="00205BB3"/>
    <w:rsid w:val="00205C9D"/>
    <w:rsid w:val="00205CBE"/>
    <w:rsid w:val="00205D3A"/>
    <w:rsid w:val="00205DDB"/>
    <w:rsid w:val="00205EBC"/>
    <w:rsid w:val="00205F89"/>
    <w:rsid w:val="00206188"/>
    <w:rsid w:val="0020625C"/>
    <w:rsid w:val="00206394"/>
    <w:rsid w:val="002063E3"/>
    <w:rsid w:val="00206406"/>
    <w:rsid w:val="0020640D"/>
    <w:rsid w:val="00206442"/>
    <w:rsid w:val="002064D7"/>
    <w:rsid w:val="002064D8"/>
    <w:rsid w:val="002064F8"/>
    <w:rsid w:val="00206575"/>
    <w:rsid w:val="00206582"/>
    <w:rsid w:val="0020659C"/>
    <w:rsid w:val="002065A8"/>
    <w:rsid w:val="002065F8"/>
    <w:rsid w:val="00206641"/>
    <w:rsid w:val="002066E5"/>
    <w:rsid w:val="002067FB"/>
    <w:rsid w:val="002067FF"/>
    <w:rsid w:val="0020684A"/>
    <w:rsid w:val="002068CB"/>
    <w:rsid w:val="00206946"/>
    <w:rsid w:val="00206964"/>
    <w:rsid w:val="00206967"/>
    <w:rsid w:val="002069BB"/>
    <w:rsid w:val="00206A01"/>
    <w:rsid w:val="00206A51"/>
    <w:rsid w:val="00206A80"/>
    <w:rsid w:val="00206A9F"/>
    <w:rsid w:val="00206AC4"/>
    <w:rsid w:val="00206AF4"/>
    <w:rsid w:val="00206B6B"/>
    <w:rsid w:val="00206BDD"/>
    <w:rsid w:val="00206BEF"/>
    <w:rsid w:val="00206C05"/>
    <w:rsid w:val="00206C0A"/>
    <w:rsid w:val="00206C4F"/>
    <w:rsid w:val="00206CB5"/>
    <w:rsid w:val="00206DB4"/>
    <w:rsid w:val="00206E2E"/>
    <w:rsid w:val="00206E37"/>
    <w:rsid w:val="00206E38"/>
    <w:rsid w:val="00206F26"/>
    <w:rsid w:val="00206F5A"/>
    <w:rsid w:val="00206FB4"/>
    <w:rsid w:val="00206FBF"/>
    <w:rsid w:val="00206FDF"/>
    <w:rsid w:val="00206FFD"/>
    <w:rsid w:val="0020706E"/>
    <w:rsid w:val="0020708E"/>
    <w:rsid w:val="00207143"/>
    <w:rsid w:val="00207168"/>
    <w:rsid w:val="002071B4"/>
    <w:rsid w:val="002071CC"/>
    <w:rsid w:val="0020725B"/>
    <w:rsid w:val="00207270"/>
    <w:rsid w:val="002072DF"/>
    <w:rsid w:val="0020730B"/>
    <w:rsid w:val="0020731C"/>
    <w:rsid w:val="00207325"/>
    <w:rsid w:val="00207364"/>
    <w:rsid w:val="00207396"/>
    <w:rsid w:val="002073A9"/>
    <w:rsid w:val="002073B4"/>
    <w:rsid w:val="002073FB"/>
    <w:rsid w:val="0020743E"/>
    <w:rsid w:val="002074C2"/>
    <w:rsid w:val="002074D4"/>
    <w:rsid w:val="00207506"/>
    <w:rsid w:val="0020754F"/>
    <w:rsid w:val="00207608"/>
    <w:rsid w:val="00207617"/>
    <w:rsid w:val="0020768D"/>
    <w:rsid w:val="002077B0"/>
    <w:rsid w:val="002077C8"/>
    <w:rsid w:val="002078CD"/>
    <w:rsid w:val="002078D5"/>
    <w:rsid w:val="002079C6"/>
    <w:rsid w:val="002079ED"/>
    <w:rsid w:val="00207A6D"/>
    <w:rsid w:val="00207ACB"/>
    <w:rsid w:val="00207AEA"/>
    <w:rsid w:val="00207B1F"/>
    <w:rsid w:val="00207B3B"/>
    <w:rsid w:val="00207B53"/>
    <w:rsid w:val="00207C13"/>
    <w:rsid w:val="00207CA7"/>
    <w:rsid w:val="00207CCE"/>
    <w:rsid w:val="00207D1E"/>
    <w:rsid w:val="00207DA8"/>
    <w:rsid w:val="00207DE3"/>
    <w:rsid w:val="00207F96"/>
    <w:rsid w:val="00207FB9"/>
    <w:rsid w:val="00207FC0"/>
    <w:rsid w:val="00207FC8"/>
    <w:rsid w:val="00210007"/>
    <w:rsid w:val="0021001A"/>
    <w:rsid w:val="00210047"/>
    <w:rsid w:val="0021008B"/>
    <w:rsid w:val="0021008E"/>
    <w:rsid w:val="002100B8"/>
    <w:rsid w:val="002100DA"/>
    <w:rsid w:val="00210186"/>
    <w:rsid w:val="002101AD"/>
    <w:rsid w:val="0021024E"/>
    <w:rsid w:val="002102C0"/>
    <w:rsid w:val="002102EA"/>
    <w:rsid w:val="002102ED"/>
    <w:rsid w:val="0021032F"/>
    <w:rsid w:val="0021033F"/>
    <w:rsid w:val="002103A8"/>
    <w:rsid w:val="002103C3"/>
    <w:rsid w:val="002103CE"/>
    <w:rsid w:val="002103E9"/>
    <w:rsid w:val="002103FA"/>
    <w:rsid w:val="00210466"/>
    <w:rsid w:val="00210494"/>
    <w:rsid w:val="00210513"/>
    <w:rsid w:val="00210648"/>
    <w:rsid w:val="0021064D"/>
    <w:rsid w:val="0021065F"/>
    <w:rsid w:val="0021067B"/>
    <w:rsid w:val="0021068E"/>
    <w:rsid w:val="002106FA"/>
    <w:rsid w:val="00210707"/>
    <w:rsid w:val="00210717"/>
    <w:rsid w:val="0021075D"/>
    <w:rsid w:val="00210844"/>
    <w:rsid w:val="0021087D"/>
    <w:rsid w:val="00210964"/>
    <w:rsid w:val="002109AE"/>
    <w:rsid w:val="002109E5"/>
    <w:rsid w:val="00210A49"/>
    <w:rsid w:val="00210A76"/>
    <w:rsid w:val="00210A9D"/>
    <w:rsid w:val="00210AC3"/>
    <w:rsid w:val="00210AF1"/>
    <w:rsid w:val="00210AFE"/>
    <w:rsid w:val="00210B5D"/>
    <w:rsid w:val="00210C18"/>
    <w:rsid w:val="00210C2F"/>
    <w:rsid w:val="00210C43"/>
    <w:rsid w:val="00210CA5"/>
    <w:rsid w:val="00210CE6"/>
    <w:rsid w:val="00210DC0"/>
    <w:rsid w:val="00210DE2"/>
    <w:rsid w:val="00210E13"/>
    <w:rsid w:val="00210E4A"/>
    <w:rsid w:val="00210E85"/>
    <w:rsid w:val="00210EC5"/>
    <w:rsid w:val="00210F0F"/>
    <w:rsid w:val="00210F29"/>
    <w:rsid w:val="00210F6D"/>
    <w:rsid w:val="00210FBB"/>
    <w:rsid w:val="002110DE"/>
    <w:rsid w:val="002110E8"/>
    <w:rsid w:val="002110EF"/>
    <w:rsid w:val="00211136"/>
    <w:rsid w:val="00211153"/>
    <w:rsid w:val="00211167"/>
    <w:rsid w:val="00211175"/>
    <w:rsid w:val="002111A5"/>
    <w:rsid w:val="002111C5"/>
    <w:rsid w:val="002111E7"/>
    <w:rsid w:val="00211342"/>
    <w:rsid w:val="00211361"/>
    <w:rsid w:val="0021138B"/>
    <w:rsid w:val="002114A5"/>
    <w:rsid w:val="002114CA"/>
    <w:rsid w:val="002115C1"/>
    <w:rsid w:val="002115C8"/>
    <w:rsid w:val="002115DC"/>
    <w:rsid w:val="002115E5"/>
    <w:rsid w:val="00211603"/>
    <w:rsid w:val="00211621"/>
    <w:rsid w:val="0021162B"/>
    <w:rsid w:val="0021162E"/>
    <w:rsid w:val="0021166F"/>
    <w:rsid w:val="00211691"/>
    <w:rsid w:val="0021169B"/>
    <w:rsid w:val="0021171B"/>
    <w:rsid w:val="0021173D"/>
    <w:rsid w:val="002117B5"/>
    <w:rsid w:val="002117DC"/>
    <w:rsid w:val="0021180F"/>
    <w:rsid w:val="0021181A"/>
    <w:rsid w:val="00211845"/>
    <w:rsid w:val="00211909"/>
    <w:rsid w:val="0021191D"/>
    <w:rsid w:val="00211A7A"/>
    <w:rsid w:val="00211CD6"/>
    <w:rsid w:val="00211CF5"/>
    <w:rsid w:val="00211D4D"/>
    <w:rsid w:val="00211D73"/>
    <w:rsid w:val="00211D74"/>
    <w:rsid w:val="00211DA7"/>
    <w:rsid w:val="00211DC9"/>
    <w:rsid w:val="00211DF8"/>
    <w:rsid w:val="00211E3F"/>
    <w:rsid w:val="00211E76"/>
    <w:rsid w:val="00211EC2"/>
    <w:rsid w:val="00211ECE"/>
    <w:rsid w:val="00211F69"/>
    <w:rsid w:val="00211F75"/>
    <w:rsid w:val="00211F80"/>
    <w:rsid w:val="00211F91"/>
    <w:rsid w:val="00211F9B"/>
    <w:rsid w:val="0021200F"/>
    <w:rsid w:val="00212015"/>
    <w:rsid w:val="0021205F"/>
    <w:rsid w:val="00212084"/>
    <w:rsid w:val="00212157"/>
    <w:rsid w:val="00212174"/>
    <w:rsid w:val="0021223D"/>
    <w:rsid w:val="0021230D"/>
    <w:rsid w:val="0021242E"/>
    <w:rsid w:val="00212496"/>
    <w:rsid w:val="00212516"/>
    <w:rsid w:val="0021251A"/>
    <w:rsid w:val="00212583"/>
    <w:rsid w:val="002125E5"/>
    <w:rsid w:val="0021260F"/>
    <w:rsid w:val="0021264D"/>
    <w:rsid w:val="0021266D"/>
    <w:rsid w:val="00212804"/>
    <w:rsid w:val="00212881"/>
    <w:rsid w:val="00212981"/>
    <w:rsid w:val="00212998"/>
    <w:rsid w:val="002129B7"/>
    <w:rsid w:val="00212A66"/>
    <w:rsid w:val="00212AA1"/>
    <w:rsid w:val="00212ABB"/>
    <w:rsid w:val="00212B19"/>
    <w:rsid w:val="00212B42"/>
    <w:rsid w:val="00212BE4"/>
    <w:rsid w:val="00212C82"/>
    <w:rsid w:val="00212CA5"/>
    <w:rsid w:val="00212D03"/>
    <w:rsid w:val="00212D06"/>
    <w:rsid w:val="00212D14"/>
    <w:rsid w:val="00212D3F"/>
    <w:rsid w:val="00212D85"/>
    <w:rsid w:val="00212DA1"/>
    <w:rsid w:val="00212ED8"/>
    <w:rsid w:val="00212F72"/>
    <w:rsid w:val="00212F81"/>
    <w:rsid w:val="00213061"/>
    <w:rsid w:val="0021307B"/>
    <w:rsid w:val="002130C0"/>
    <w:rsid w:val="00213112"/>
    <w:rsid w:val="00213196"/>
    <w:rsid w:val="00213226"/>
    <w:rsid w:val="00213270"/>
    <w:rsid w:val="002132DD"/>
    <w:rsid w:val="002132F5"/>
    <w:rsid w:val="00213321"/>
    <w:rsid w:val="00213388"/>
    <w:rsid w:val="0021339A"/>
    <w:rsid w:val="002133A1"/>
    <w:rsid w:val="0021341F"/>
    <w:rsid w:val="00213429"/>
    <w:rsid w:val="0021344C"/>
    <w:rsid w:val="00213457"/>
    <w:rsid w:val="00213489"/>
    <w:rsid w:val="002134B1"/>
    <w:rsid w:val="00213548"/>
    <w:rsid w:val="002135F3"/>
    <w:rsid w:val="00213650"/>
    <w:rsid w:val="002136C1"/>
    <w:rsid w:val="002136F6"/>
    <w:rsid w:val="00213732"/>
    <w:rsid w:val="00213734"/>
    <w:rsid w:val="0021373E"/>
    <w:rsid w:val="00213760"/>
    <w:rsid w:val="0021378C"/>
    <w:rsid w:val="002137E6"/>
    <w:rsid w:val="0021386A"/>
    <w:rsid w:val="0021387D"/>
    <w:rsid w:val="002138C9"/>
    <w:rsid w:val="00213918"/>
    <w:rsid w:val="002139DB"/>
    <w:rsid w:val="002139DC"/>
    <w:rsid w:val="00213ABB"/>
    <w:rsid w:val="00213B13"/>
    <w:rsid w:val="00213C09"/>
    <w:rsid w:val="00213C42"/>
    <w:rsid w:val="00213C69"/>
    <w:rsid w:val="00213C78"/>
    <w:rsid w:val="00213CBC"/>
    <w:rsid w:val="00213D14"/>
    <w:rsid w:val="00213D29"/>
    <w:rsid w:val="00213D3C"/>
    <w:rsid w:val="00213D85"/>
    <w:rsid w:val="00213D8B"/>
    <w:rsid w:val="00213D9F"/>
    <w:rsid w:val="00213DC4"/>
    <w:rsid w:val="00213E02"/>
    <w:rsid w:val="00213E04"/>
    <w:rsid w:val="00213E38"/>
    <w:rsid w:val="00213E39"/>
    <w:rsid w:val="00213E3E"/>
    <w:rsid w:val="00213E51"/>
    <w:rsid w:val="00213E68"/>
    <w:rsid w:val="00213EC7"/>
    <w:rsid w:val="00213EC8"/>
    <w:rsid w:val="00213ED8"/>
    <w:rsid w:val="00213EEA"/>
    <w:rsid w:val="00213F0C"/>
    <w:rsid w:val="00213F41"/>
    <w:rsid w:val="00213F80"/>
    <w:rsid w:val="00214029"/>
    <w:rsid w:val="002140B9"/>
    <w:rsid w:val="00214118"/>
    <w:rsid w:val="0021412A"/>
    <w:rsid w:val="00214158"/>
    <w:rsid w:val="002141E2"/>
    <w:rsid w:val="002141F9"/>
    <w:rsid w:val="0021421F"/>
    <w:rsid w:val="0021424E"/>
    <w:rsid w:val="00214267"/>
    <w:rsid w:val="00214326"/>
    <w:rsid w:val="00214332"/>
    <w:rsid w:val="0021434B"/>
    <w:rsid w:val="0021440B"/>
    <w:rsid w:val="00214411"/>
    <w:rsid w:val="002144A5"/>
    <w:rsid w:val="002144B4"/>
    <w:rsid w:val="002144D5"/>
    <w:rsid w:val="002144DB"/>
    <w:rsid w:val="00214581"/>
    <w:rsid w:val="00214687"/>
    <w:rsid w:val="0021473A"/>
    <w:rsid w:val="00214759"/>
    <w:rsid w:val="0021499A"/>
    <w:rsid w:val="00214A11"/>
    <w:rsid w:val="00214A95"/>
    <w:rsid w:val="00214AB6"/>
    <w:rsid w:val="00214B51"/>
    <w:rsid w:val="00214C5B"/>
    <w:rsid w:val="00214C69"/>
    <w:rsid w:val="00214C9A"/>
    <w:rsid w:val="00214D1E"/>
    <w:rsid w:val="00214D6C"/>
    <w:rsid w:val="00214DF7"/>
    <w:rsid w:val="00214DFE"/>
    <w:rsid w:val="00214E37"/>
    <w:rsid w:val="00214E91"/>
    <w:rsid w:val="00214F0E"/>
    <w:rsid w:val="00214F4C"/>
    <w:rsid w:val="00214F7A"/>
    <w:rsid w:val="00214FB5"/>
    <w:rsid w:val="00214FCD"/>
    <w:rsid w:val="00215069"/>
    <w:rsid w:val="00215075"/>
    <w:rsid w:val="002150B0"/>
    <w:rsid w:val="002150BB"/>
    <w:rsid w:val="002152EC"/>
    <w:rsid w:val="00215310"/>
    <w:rsid w:val="00215351"/>
    <w:rsid w:val="00215352"/>
    <w:rsid w:val="00215385"/>
    <w:rsid w:val="002154AD"/>
    <w:rsid w:val="002154BA"/>
    <w:rsid w:val="0021552C"/>
    <w:rsid w:val="002155D1"/>
    <w:rsid w:val="00215610"/>
    <w:rsid w:val="00215654"/>
    <w:rsid w:val="00215657"/>
    <w:rsid w:val="00215733"/>
    <w:rsid w:val="00215745"/>
    <w:rsid w:val="0021583A"/>
    <w:rsid w:val="00215887"/>
    <w:rsid w:val="00215896"/>
    <w:rsid w:val="0021596A"/>
    <w:rsid w:val="00215AC1"/>
    <w:rsid w:val="00215AC6"/>
    <w:rsid w:val="00215AF2"/>
    <w:rsid w:val="00215CF6"/>
    <w:rsid w:val="00215D2B"/>
    <w:rsid w:val="00215D56"/>
    <w:rsid w:val="00215DB8"/>
    <w:rsid w:val="00215DE0"/>
    <w:rsid w:val="00215E20"/>
    <w:rsid w:val="00215E49"/>
    <w:rsid w:val="00215F0C"/>
    <w:rsid w:val="00215F38"/>
    <w:rsid w:val="00215F67"/>
    <w:rsid w:val="00215F88"/>
    <w:rsid w:val="00215F9B"/>
    <w:rsid w:val="0021601A"/>
    <w:rsid w:val="0021602D"/>
    <w:rsid w:val="00216125"/>
    <w:rsid w:val="00216157"/>
    <w:rsid w:val="00216158"/>
    <w:rsid w:val="002161A8"/>
    <w:rsid w:val="002161B0"/>
    <w:rsid w:val="002161B3"/>
    <w:rsid w:val="002161ED"/>
    <w:rsid w:val="00216222"/>
    <w:rsid w:val="00216276"/>
    <w:rsid w:val="00216299"/>
    <w:rsid w:val="002162BB"/>
    <w:rsid w:val="002162E7"/>
    <w:rsid w:val="002162FB"/>
    <w:rsid w:val="002162FC"/>
    <w:rsid w:val="00216314"/>
    <w:rsid w:val="00216318"/>
    <w:rsid w:val="00216341"/>
    <w:rsid w:val="00216381"/>
    <w:rsid w:val="00216395"/>
    <w:rsid w:val="0021639E"/>
    <w:rsid w:val="002163E9"/>
    <w:rsid w:val="00216407"/>
    <w:rsid w:val="0021642E"/>
    <w:rsid w:val="00216440"/>
    <w:rsid w:val="002164B2"/>
    <w:rsid w:val="002164DD"/>
    <w:rsid w:val="00216560"/>
    <w:rsid w:val="00216588"/>
    <w:rsid w:val="002165D2"/>
    <w:rsid w:val="00216646"/>
    <w:rsid w:val="00216673"/>
    <w:rsid w:val="00216704"/>
    <w:rsid w:val="00216718"/>
    <w:rsid w:val="00216853"/>
    <w:rsid w:val="002168C7"/>
    <w:rsid w:val="00216A01"/>
    <w:rsid w:val="00216AF1"/>
    <w:rsid w:val="00216B28"/>
    <w:rsid w:val="00216B84"/>
    <w:rsid w:val="00216BB8"/>
    <w:rsid w:val="00216BF1"/>
    <w:rsid w:val="00216BF7"/>
    <w:rsid w:val="00216C18"/>
    <w:rsid w:val="00216C49"/>
    <w:rsid w:val="00216CA5"/>
    <w:rsid w:val="00216CC9"/>
    <w:rsid w:val="00216CF7"/>
    <w:rsid w:val="00216D0B"/>
    <w:rsid w:val="00216DA4"/>
    <w:rsid w:val="00216DF4"/>
    <w:rsid w:val="00216EC8"/>
    <w:rsid w:val="00216EF7"/>
    <w:rsid w:val="00216F54"/>
    <w:rsid w:val="00216FED"/>
    <w:rsid w:val="002170C3"/>
    <w:rsid w:val="0021711D"/>
    <w:rsid w:val="00217139"/>
    <w:rsid w:val="00217157"/>
    <w:rsid w:val="002171CF"/>
    <w:rsid w:val="00217256"/>
    <w:rsid w:val="0021725B"/>
    <w:rsid w:val="0021728E"/>
    <w:rsid w:val="002172E1"/>
    <w:rsid w:val="0021735F"/>
    <w:rsid w:val="002173D2"/>
    <w:rsid w:val="002174CF"/>
    <w:rsid w:val="002174DE"/>
    <w:rsid w:val="00217503"/>
    <w:rsid w:val="002175D7"/>
    <w:rsid w:val="002175DC"/>
    <w:rsid w:val="002175DF"/>
    <w:rsid w:val="00217607"/>
    <w:rsid w:val="00217610"/>
    <w:rsid w:val="00217660"/>
    <w:rsid w:val="0021772C"/>
    <w:rsid w:val="00217762"/>
    <w:rsid w:val="0021778F"/>
    <w:rsid w:val="002177AC"/>
    <w:rsid w:val="00217859"/>
    <w:rsid w:val="002178CB"/>
    <w:rsid w:val="00217921"/>
    <w:rsid w:val="0021796C"/>
    <w:rsid w:val="002179AE"/>
    <w:rsid w:val="002179B4"/>
    <w:rsid w:val="00217A7D"/>
    <w:rsid w:val="00217AC5"/>
    <w:rsid w:val="00217B0A"/>
    <w:rsid w:val="00217B2A"/>
    <w:rsid w:val="00217C6A"/>
    <w:rsid w:val="00217C83"/>
    <w:rsid w:val="00217CAB"/>
    <w:rsid w:val="00217D36"/>
    <w:rsid w:val="00217E0D"/>
    <w:rsid w:val="00217E5A"/>
    <w:rsid w:val="00217F0D"/>
    <w:rsid w:val="00217FA7"/>
    <w:rsid w:val="00217FF7"/>
    <w:rsid w:val="002200B3"/>
    <w:rsid w:val="002201F8"/>
    <w:rsid w:val="002201F9"/>
    <w:rsid w:val="00220217"/>
    <w:rsid w:val="002202B7"/>
    <w:rsid w:val="002202BA"/>
    <w:rsid w:val="002202F1"/>
    <w:rsid w:val="002202FE"/>
    <w:rsid w:val="0022032A"/>
    <w:rsid w:val="00220355"/>
    <w:rsid w:val="00220369"/>
    <w:rsid w:val="0022040B"/>
    <w:rsid w:val="00220423"/>
    <w:rsid w:val="00220476"/>
    <w:rsid w:val="002204E0"/>
    <w:rsid w:val="002205E8"/>
    <w:rsid w:val="00220600"/>
    <w:rsid w:val="0022065A"/>
    <w:rsid w:val="002206D2"/>
    <w:rsid w:val="00220747"/>
    <w:rsid w:val="00220753"/>
    <w:rsid w:val="00220889"/>
    <w:rsid w:val="00220925"/>
    <w:rsid w:val="00220937"/>
    <w:rsid w:val="00220A03"/>
    <w:rsid w:val="00220A0E"/>
    <w:rsid w:val="00220A50"/>
    <w:rsid w:val="00220A69"/>
    <w:rsid w:val="00220A8E"/>
    <w:rsid w:val="00220AA2"/>
    <w:rsid w:val="00220AA9"/>
    <w:rsid w:val="00220BD3"/>
    <w:rsid w:val="00220C9D"/>
    <w:rsid w:val="00220D34"/>
    <w:rsid w:val="00220D4D"/>
    <w:rsid w:val="00220D5C"/>
    <w:rsid w:val="00220DC3"/>
    <w:rsid w:val="00220E1B"/>
    <w:rsid w:val="00220E5B"/>
    <w:rsid w:val="00220E71"/>
    <w:rsid w:val="00220F49"/>
    <w:rsid w:val="00220FCF"/>
    <w:rsid w:val="0022100C"/>
    <w:rsid w:val="00221054"/>
    <w:rsid w:val="002210D2"/>
    <w:rsid w:val="00221144"/>
    <w:rsid w:val="0022119B"/>
    <w:rsid w:val="002211B7"/>
    <w:rsid w:val="002211FE"/>
    <w:rsid w:val="002212D6"/>
    <w:rsid w:val="00221340"/>
    <w:rsid w:val="0022136C"/>
    <w:rsid w:val="00221374"/>
    <w:rsid w:val="00221399"/>
    <w:rsid w:val="002213B2"/>
    <w:rsid w:val="0022141B"/>
    <w:rsid w:val="0022141F"/>
    <w:rsid w:val="00221440"/>
    <w:rsid w:val="00221469"/>
    <w:rsid w:val="00221480"/>
    <w:rsid w:val="002214A0"/>
    <w:rsid w:val="002214E4"/>
    <w:rsid w:val="0022151A"/>
    <w:rsid w:val="00221523"/>
    <w:rsid w:val="0022156D"/>
    <w:rsid w:val="002215A1"/>
    <w:rsid w:val="00221623"/>
    <w:rsid w:val="0022164F"/>
    <w:rsid w:val="002216DA"/>
    <w:rsid w:val="0022170F"/>
    <w:rsid w:val="00221719"/>
    <w:rsid w:val="002217F0"/>
    <w:rsid w:val="00221846"/>
    <w:rsid w:val="0022186B"/>
    <w:rsid w:val="0022186D"/>
    <w:rsid w:val="0022189C"/>
    <w:rsid w:val="002218EF"/>
    <w:rsid w:val="00221965"/>
    <w:rsid w:val="002219D7"/>
    <w:rsid w:val="00221A05"/>
    <w:rsid w:val="00221A13"/>
    <w:rsid w:val="00221A1E"/>
    <w:rsid w:val="00221A87"/>
    <w:rsid w:val="00221AB7"/>
    <w:rsid w:val="00221B15"/>
    <w:rsid w:val="00221B22"/>
    <w:rsid w:val="00221BA8"/>
    <w:rsid w:val="00221C06"/>
    <w:rsid w:val="00221C33"/>
    <w:rsid w:val="00221CBB"/>
    <w:rsid w:val="00221CC4"/>
    <w:rsid w:val="00221CD0"/>
    <w:rsid w:val="00221D45"/>
    <w:rsid w:val="00221D56"/>
    <w:rsid w:val="00221DAD"/>
    <w:rsid w:val="00221DC1"/>
    <w:rsid w:val="00221DFB"/>
    <w:rsid w:val="00221E2F"/>
    <w:rsid w:val="00221F20"/>
    <w:rsid w:val="00221F67"/>
    <w:rsid w:val="00221F7C"/>
    <w:rsid w:val="00221FA6"/>
    <w:rsid w:val="00221FAC"/>
    <w:rsid w:val="00221FDB"/>
    <w:rsid w:val="0022200C"/>
    <w:rsid w:val="0022205C"/>
    <w:rsid w:val="0022205D"/>
    <w:rsid w:val="00222066"/>
    <w:rsid w:val="00222068"/>
    <w:rsid w:val="00222070"/>
    <w:rsid w:val="002220B8"/>
    <w:rsid w:val="002220F7"/>
    <w:rsid w:val="00222130"/>
    <w:rsid w:val="00222149"/>
    <w:rsid w:val="00222182"/>
    <w:rsid w:val="002221DA"/>
    <w:rsid w:val="00222208"/>
    <w:rsid w:val="0022243B"/>
    <w:rsid w:val="002224DC"/>
    <w:rsid w:val="0022255E"/>
    <w:rsid w:val="002225C4"/>
    <w:rsid w:val="00222646"/>
    <w:rsid w:val="0022265F"/>
    <w:rsid w:val="002226E5"/>
    <w:rsid w:val="002226FD"/>
    <w:rsid w:val="002227AD"/>
    <w:rsid w:val="002227CD"/>
    <w:rsid w:val="002227E8"/>
    <w:rsid w:val="00222893"/>
    <w:rsid w:val="00222896"/>
    <w:rsid w:val="002228E8"/>
    <w:rsid w:val="00222924"/>
    <w:rsid w:val="0022295C"/>
    <w:rsid w:val="0022297F"/>
    <w:rsid w:val="002229A9"/>
    <w:rsid w:val="002229BC"/>
    <w:rsid w:val="00222AC9"/>
    <w:rsid w:val="00222ADA"/>
    <w:rsid w:val="00222B79"/>
    <w:rsid w:val="00222BF8"/>
    <w:rsid w:val="00222C70"/>
    <w:rsid w:val="00222D04"/>
    <w:rsid w:val="00222D36"/>
    <w:rsid w:val="00222D71"/>
    <w:rsid w:val="00222D7F"/>
    <w:rsid w:val="00222D96"/>
    <w:rsid w:val="00222DC7"/>
    <w:rsid w:val="00222E14"/>
    <w:rsid w:val="00222E45"/>
    <w:rsid w:val="00222E53"/>
    <w:rsid w:val="00222E97"/>
    <w:rsid w:val="00222ECD"/>
    <w:rsid w:val="00222F8A"/>
    <w:rsid w:val="00222F9A"/>
    <w:rsid w:val="00222FA8"/>
    <w:rsid w:val="0022302B"/>
    <w:rsid w:val="00223093"/>
    <w:rsid w:val="002230A2"/>
    <w:rsid w:val="002230AF"/>
    <w:rsid w:val="002230BD"/>
    <w:rsid w:val="00223128"/>
    <w:rsid w:val="00223174"/>
    <w:rsid w:val="002231A2"/>
    <w:rsid w:val="002231AC"/>
    <w:rsid w:val="002231E0"/>
    <w:rsid w:val="00223282"/>
    <w:rsid w:val="002232EB"/>
    <w:rsid w:val="00223322"/>
    <w:rsid w:val="0022335B"/>
    <w:rsid w:val="002233F4"/>
    <w:rsid w:val="002233F5"/>
    <w:rsid w:val="00223422"/>
    <w:rsid w:val="00223481"/>
    <w:rsid w:val="00223484"/>
    <w:rsid w:val="002234A7"/>
    <w:rsid w:val="002235C1"/>
    <w:rsid w:val="002235E0"/>
    <w:rsid w:val="00223604"/>
    <w:rsid w:val="00223669"/>
    <w:rsid w:val="00223702"/>
    <w:rsid w:val="00223743"/>
    <w:rsid w:val="00223791"/>
    <w:rsid w:val="002237AF"/>
    <w:rsid w:val="002237D6"/>
    <w:rsid w:val="00223824"/>
    <w:rsid w:val="002239F6"/>
    <w:rsid w:val="00223A31"/>
    <w:rsid w:val="00223A98"/>
    <w:rsid w:val="00223B65"/>
    <w:rsid w:val="00223B67"/>
    <w:rsid w:val="00223B7F"/>
    <w:rsid w:val="00223BA6"/>
    <w:rsid w:val="00223BFF"/>
    <w:rsid w:val="00223C4C"/>
    <w:rsid w:val="00223E4E"/>
    <w:rsid w:val="00223ED1"/>
    <w:rsid w:val="00223EEF"/>
    <w:rsid w:val="00223F02"/>
    <w:rsid w:val="00223F32"/>
    <w:rsid w:val="00223FA4"/>
    <w:rsid w:val="00223FAA"/>
    <w:rsid w:val="00223FC3"/>
    <w:rsid w:val="00224046"/>
    <w:rsid w:val="002240B8"/>
    <w:rsid w:val="002240FD"/>
    <w:rsid w:val="002241D7"/>
    <w:rsid w:val="002241E4"/>
    <w:rsid w:val="0022424E"/>
    <w:rsid w:val="002242A6"/>
    <w:rsid w:val="00224318"/>
    <w:rsid w:val="0022432B"/>
    <w:rsid w:val="00224332"/>
    <w:rsid w:val="00224349"/>
    <w:rsid w:val="00224388"/>
    <w:rsid w:val="002243ED"/>
    <w:rsid w:val="002244A8"/>
    <w:rsid w:val="00224535"/>
    <w:rsid w:val="00224630"/>
    <w:rsid w:val="00224644"/>
    <w:rsid w:val="00224662"/>
    <w:rsid w:val="002246EB"/>
    <w:rsid w:val="002246F3"/>
    <w:rsid w:val="002246FE"/>
    <w:rsid w:val="00224738"/>
    <w:rsid w:val="00224753"/>
    <w:rsid w:val="002247BF"/>
    <w:rsid w:val="00224802"/>
    <w:rsid w:val="0022480B"/>
    <w:rsid w:val="00224814"/>
    <w:rsid w:val="00224835"/>
    <w:rsid w:val="002248A1"/>
    <w:rsid w:val="00224905"/>
    <w:rsid w:val="00224AAD"/>
    <w:rsid w:val="00224AF4"/>
    <w:rsid w:val="00224B4D"/>
    <w:rsid w:val="00224BA5"/>
    <w:rsid w:val="00224BB5"/>
    <w:rsid w:val="00224BEB"/>
    <w:rsid w:val="00224C16"/>
    <w:rsid w:val="00224CA8"/>
    <w:rsid w:val="00224CC6"/>
    <w:rsid w:val="00224D7A"/>
    <w:rsid w:val="00224DA4"/>
    <w:rsid w:val="00224E72"/>
    <w:rsid w:val="00224EEF"/>
    <w:rsid w:val="00224FAC"/>
    <w:rsid w:val="0022509E"/>
    <w:rsid w:val="00225133"/>
    <w:rsid w:val="0022516B"/>
    <w:rsid w:val="002251E0"/>
    <w:rsid w:val="002251FA"/>
    <w:rsid w:val="0022522D"/>
    <w:rsid w:val="002252EE"/>
    <w:rsid w:val="00225385"/>
    <w:rsid w:val="00225419"/>
    <w:rsid w:val="0022541D"/>
    <w:rsid w:val="00225498"/>
    <w:rsid w:val="002254FC"/>
    <w:rsid w:val="00225501"/>
    <w:rsid w:val="00225534"/>
    <w:rsid w:val="00225583"/>
    <w:rsid w:val="002256BE"/>
    <w:rsid w:val="002256F6"/>
    <w:rsid w:val="00225761"/>
    <w:rsid w:val="00225779"/>
    <w:rsid w:val="002258CC"/>
    <w:rsid w:val="002258F5"/>
    <w:rsid w:val="00225901"/>
    <w:rsid w:val="0022598A"/>
    <w:rsid w:val="00225A18"/>
    <w:rsid w:val="00225A73"/>
    <w:rsid w:val="00225A94"/>
    <w:rsid w:val="00225AB5"/>
    <w:rsid w:val="00225AEF"/>
    <w:rsid w:val="00225AFE"/>
    <w:rsid w:val="00225C06"/>
    <w:rsid w:val="00225C2F"/>
    <w:rsid w:val="00225CC3"/>
    <w:rsid w:val="00225D84"/>
    <w:rsid w:val="00225DA4"/>
    <w:rsid w:val="00225DD9"/>
    <w:rsid w:val="00225E58"/>
    <w:rsid w:val="00225E5D"/>
    <w:rsid w:val="00225F52"/>
    <w:rsid w:val="00225F5D"/>
    <w:rsid w:val="00225FF3"/>
    <w:rsid w:val="00226049"/>
    <w:rsid w:val="00226071"/>
    <w:rsid w:val="00226077"/>
    <w:rsid w:val="00226093"/>
    <w:rsid w:val="002260F3"/>
    <w:rsid w:val="00226103"/>
    <w:rsid w:val="002261E7"/>
    <w:rsid w:val="002261F1"/>
    <w:rsid w:val="00226208"/>
    <w:rsid w:val="0022625A"/>
    <w:rsid w:val="00226329"/>
    <w:rsid w:val="00226340"/>
    <w:rsid w:val="00226387"/>
    <w:rsid w:val="002263B4"/>
    <w:rsid w:val="0022644F"/>
    <w:rsid w:val="0022648F"/>
    <w:rsid w:val="002264CC"/>
    <w:rsid w:val="00226568"/>
    <w:rsid w:val="0022658B"/>
    <w:rsid w:val="00226618"/>
    <w:rsid w:val="002266C7"/>
    <w:rsid w:val="00226703"/>
    <w:rsid w:val="0022670C"/>
    <w:rsid w:val="00226754"/>
    <w:rsid w:val="00226805"/>
    <w:rsid w:val="00226807"/>
    <w:rsid w:val="0022682B"/>
    <w:rsid w:val="00226832"/>
    <w:rsid w:val="002268A7"/>
    <w:rsid w:val="00226A8D"/>
    <w:rsid w:val="00226AA8"/>
    <w:rsid w:val="00226AD5"/>
    <w:rsid w:val="00226AF2"/>
    <w:rsid w:val="00226AF3"/>
    <w:rsid w:val="00226B5C"/>
    <w:rsid w:val="00226B85"/>
    <w:rsid w:val="00226BD0"/>
    <w:rsid w:val="00226C40"/>
    <w:rsid w:val="00226C41"/>
    <w:rsid w:val="00226C82"/>
    <w:rsid w:val="00226CD6"/>
    <w:rsid w:val="00226CE3"/>
    <w:rsid w:val="00226E6D"/>
    <w:rsid w:val="00226E70"/>
    <w:rsid w:val="00226F30"/>
    <w:rsid w:val="00226F61"/>
    <w:rsid w:val="00226F79"/>
    <w:rsid w:val="0022703A"/>
    <w:rsid w:val="00227078"/>
    <w:rsid w:val="002270BC"/>
    <w:rsid w:val="00227148"/>
    <w:rsid w:val="002271C6"/>
    <w:rsid w:val="00227245"/>
    <w:rsid w:val="0022728E"/>
    <w:rsid w:val="00227296"/>
    <w:rsid w:val="00227345"/>
    <w:rsid w:val="00227366"/>
    <w:rsid w:val="00227411"/>
    <w:rsid w:val="00227424"/>
    <w:rsid w:val="0022742E"/>
    <w:rsid w:val="00227495"/>
    <w:rsid w:val="00227512"/>
    <w:rsid w:val="002275A1"/>
    <w:rsid w:val="002275A3"/>
    <w:rsid w:val="002276C4"/>
    <w:rsid w:val="0022781F"/>
    <w:rsid w:val="00227840"/>
    <w:rsid w:val="00227851"/>
    <w:rsid w:val="00227881"/>
    <w:rsid w:val="00227889"/>
    <w:rsid w:val="002278BE"/>
    <w:rsid w:val="002278CC"/>
    <w:rsid w:val="002278F0"/>
    <w:rsid w:val="00227919"/>
    <w:rsid w:val="00227998"/>
    <w:rsid w:val="002279A1"/>
    <w:rsid w:val="002279EC"/>
    <w:rsid w:val="00227A67"/>
    <w:rsid w:val="00227BAD"/>
    <w:rsid w:val="00227C0F"/>
    <w:rsid w:val="00227C73"/>
    <w:rsid w:val="00227CCD"/>
    <w:rsid w:val="00227CF6"/>
    <w:rsid w:val="00227D61"/>
    <w:rsid w:val="00227DC2"/>
    <w:rsid w:val="00227DD0"/>
    <w:rsid w:val="00227DEB"/>
    <w:rsid w:val="00227E21"/>
    <w:rsid w:val="00227EA6"/>
    <w:rsid w:val="00227EF8"/>
    <w:rsid w:val="00227F30"/>
    <w:rsid w:val="00227F3A"/>
    <w:rsid w:val="00227F4D"/>
    <w:rsid w:val="00227F54"/>
    <w:rsid w:val="00227F64"/>
    <w:rsid w:val="00227FFA"/>
    <w:rsid w:val="00230016"/>
    <w:rsid w:val="002300DD"/>
    <w:rsid w:val="0023010E"/>
    <w:rsid w:val="002301AC"/>
    <w:rsid w:val="00230223"/>
    <w:rsid w:val="00230224"/>
    <w:rsid w:val="00230265"/>
    <w:rsid w:val="002302AB"/>
    <w:rsid w:val="00230302"/>
    <w:rsid w:val="00230333"/>
    <w:rsid w:val="002303BF"/>
    <w:rsid w:val="002303E3"/>
    <w:rsid w:val="0023040A"/>
    <w:rsid w:val="002304CE"/>
    <w:rsid w:val="0023057C"/>
    <w:rsid w:val="0023061E"/>
    <w:rsid w:val="002306CC"/>
    <w:rsid w:val="002306DB"/>
    <w:rsid w:val="00230716"/>
    <w:rsid w:val="0023072A"/>
    <w:rsid w:val="002307D5"/>
    <w:rsid w:val="002307E1"/>
    <w:rsid w:val="002307FE"/>
    <w:rsid w:val="002308C2"/>
    <w:rsid w:val="002308C5"/>
    <w:rsid w:val="0023091F"/>
    <w:rsid w:val="0023094A"/>
    <w:rsid w:val="00230A2A"/>
    <w:rsid w:val="00230A78"/>
    <w:rsid w:val="00230AC7"/>
    <w:rsid w:val="00230B2A"/>
    <w:rsid w:val="00230B74"/>
    <w:rsid w:val="00230BB3"/>
    <w:rsid w:val="00230BFD"/>
    <w:rsid w:val="00230C25"/>
    <w:rsid w:val="00230CA4"/>
    <w:rsid w:val="00230CE7"/>
    <w:rsid w:val="00230D4D"/>
    <w:rsid w:val="00230D55"/>
    <w:rsid w:val="00230DCD"/>
    <w:rsid w:val="00230DEE"/>
    <w:rsid w:val="00230E20"/>
    <w:rsid w:val="00230E93"/>
    <w:rsid w:val="00230F7E"/>
    <w:rsid w:val="00230FE6"/>
    <w:rsid w:val="0023104F"/>
    <w:rsid w:val="00231073"/>
    <w:rsid w:val="00231088"/>
    <w:rsid w:val="002310CD"/>
    <w:rsid w:val="00231188"/>
    <w:rsid w:val="00231227"/>
    <w:rsid w:val="002312BF"/>
    <w:rsid w:val="00231379"/>
    <w:rsid w:val="00231391"/>
    <w:rsid w:val="002313B5"/>
    <w:rsid w:val="0023147A"/>
    <w:rsid w:val="0023149C"/>
    <w:rsid w:val="002314E0"/>
    <w:rsid w:val="002314E8"/>
    <w:rsid w:val="00231531"/>
    <w:rsid w:val="002315A9"/>
    <w:rsid w:val="002315C4"/>
    <w:rsid w:val="002316D7"/>
    <w:rsid w:val="0023175A"/>
    <w:rsid w:val="00231770"/>
    <w:rsid w:val="002317DB"/>
    <w:rsid w:val="00231863"/>
    <w:rsid w:val="002318FF"/>
    <w:rsid w:val="00231924"/>
    <w:rsid w:val="00231961"/>
    <w:rsid w:val="00231964"/>
    <w:rsid w:val="00231966"/>
    <w:rsid w:val="00231A07"/>
    <w:rsid w:val="00231A73"/>
    <w:rsid w:val="00231A7E"/>
    <w:rsid w:val="00231A8C"/>
    <w:rsid w:val="00231A9E"/>
    <w:rsid w:val="00231A9F"/>
    <w:rsid w:val="00231AFD"/>
    <w:rsid w:val="00231B6D"/>
    <w:rsid w:val="00231C1C"/>
    <w:rsid w:val="00231D30"/>
    <w:rsid w:val="00231D3A"/>
    <w:rsid w:val="00231D82"/>
    <w:rsid w:val="00231E45"/>
    <w:rsid w:val="00231E4D"/>
    <w:rsid w:val="00231EF4"/>
    <w:rsid w:val="00231F73"/>
    <w:rsid w:val="00231F80"/>
    <w:rsid w:val="00232035"/>
    <w:rsid w:val="00232087"/>
    <w:rsid w:val="002320A1"/>
    <w:rsid w:val="002320EA"/>
    <w:rsid w:val="002320ED"/>
    <w:rsid w:val="0023211C"/>
    <w:rsid w:val="0023212C"/>
    <w:rsid w:val="002321AC"/>
    <w:rsid w:val="0023228B"/>
    <w:rsid w:val="002322A3"/>
    <w:rsid w:val="002322B2"/>
    <w:rsid w:val="002322FB"/>
    <w:rsid w:val="0023235F"/>
    <w:rsid w:val="00232367"/>
    <w:rsid w:val="002323B1"/>
    <w:rsid w:val="002323E9"/>
    <w:rsid w:val="0023248C"/>
    <w:rsid w:val="002324DA"/>
    <w:rsid w:val="0023251B"/>
    <w:rsid w:val="00232556"/>
    <w:rsid w:val="0023258D"/>
    <w:rsid w:val="002325AE"/>
    <w:rsid w:val="00232620"/>
    <w:rsid w:val="00232642"/>
    <w:rsid w:val="00232652"/>
    <w:rsid w:val="0023266A"/>
    <w:rsid w:val="0023268E"/>
    <w:rsid w:val="00232695"/>
    <w:rsid w:val="002326D5"/>
    <w:rsid w:val="0023272F"/>
    <w:rsid w:val="002327AB"/>
    <w:rsid w:val="002327CC"/>
    <w:rsid w:val="00232857"/>
    <w:rsid w:val="00232872"/>
    <w:rsid w:val="002328F7"/>
    <w:rsid w:val="00232959"/>
    <w:rsid w:val="0023296D"/>
    <w:rsid w:val="00232984"/>
    <w:rsid w:val="0023299C"/>
    <w:rsid w:val="002329CD"/>
    <w:rsid w:val="002329F1"/>
    <w:rsid w:val="00232A4C"/>
    <w:rsid w:val="00232A7D"/>
    <w:rsid w:val="00232B30"/>
    <w:rsid w:val="00232C4D"/>
    <w:rsid w:val="00232C56"/>
    <w:rsid w:val="00232C65"/>
    <w:rsid w:val="00232C77"/>
    <w:rsid w:val="00232D41"/>
    <w:rsid w:val="00232D71"/>
    <w:rsid w:val="00232D7B"/>
    <w:rsid w:val="00232D93"/>
    <w:rsid w:val="00232E3E"/>
    <w:rsid w:val="00232EB2"/>
    <w:rsid w:val="00232F07"/>
    <w:rsid w:val="00232F5D"/>
    <w:rsid w:val="00232F94"/>
    <w:rsid w:val="00232FF6"/>
    <w:rsid w:val="00233032"/>
    <w:rsid w:val="0023307C"/>
    <w:rsid w:val="00233092"/>
    <w:rsid w:val="0023309D"/>
    <w:rsid w:val="002330B2"/>
    <w:rsid w:val="002330B7"/>
    <w:rsid w:val="002330C2"/>
    <w:rsid w:val="0023312B"/>
    <w:rsid w:val="0023318F"/>
    <w:rsid w:val="002331ED"/>
    <w:rsid w:val="00233225"/>
    <w:rsid w:val="0023322B"/>
    <w:rsid w:val="00233266"/>
    <w:rsid w:val="00233267"/>
    <w:rsid w:val="00233287"/>
    <w:rsid w:val="002332C0"/>
    <w:rsid w:val="0023337C"/>
    <w:rsid w:val="00233385"/>
    <w:rsid w:val="002333A5"/>
    <w:rsid w:val="0023347D"/>
    <w:rsid w:val="002334FE"/>
    <w:rsid w:val="0023353E"/>
    <w:rsid w:val="002335E7"/>
    <w:rsid w:val="00233625"/>
    <w:rsid w:val="00233647"/>
    <w:rsid w:val="0023376C"/>
    <w:rsid w:val="002337DC"/>
    <w:rsid w:val="002337EA"/>
    <w:rsid w:val="002338AB"/>
    <w:rsid w:val="0023393B"/>
    <w:rsid w:val="002339A4"/>
    <w:rsid w:val="00233A88"/>
    <w:rsid w:val="00233B12"/>
    <w:rsid w:val="00233B40"/>
    <w:rsid w:val="00233B5D"/>
    <w:rsid w:val="00233B60"/>
    <w:rsid w:val="00233B68"/>
    <w:rsid w:val="00233B8E"/>
    <w:rsid w:val="00233C01"/>
    <w:rsid w:val="00233C10"/>
    <w:rsid w:val="00233C6D"/>
    <w:rsid w:val="00233D58"/>
    <w:rsid w:val="00233DCD"/>
    <w:rsid w:val="00233ED8"/>
    <w:rsid w:val="00233EED"/>
    <w:rsid w:val="00233F25"/>
    <w:rsid w:val="00233F32"/>
    <w:rsid w:val="00233F5C"/>
    <w:rsid w:val="00233FB2"/>
    <w:rsid w:val="00233FEB"/>
    <w:rsid w:val="00234023"/>
    <w:rsid w:val="0023404E"/>
    <w:rsid w:val="00234182"/>
    <w:rsid w:val="00234199"/>
    <w:rsid w:val="002341D7"/>
    <w:rsid w:val="002341DA"/>
    <w:rsid w:val="0023426F"/>
    <w:rsid w:val="00234299"/>
    <w:rsid w:val="0023433D"/>
    <w:rsid w:val="00234347"/>
    <w:rsid w:val="002343C3"/>
    <w:rsid w:val="00234416"/>
    <w:rsid w:val="00234428"/>
    <w:rsid w:val="00234463"/>
    <w:rsid w:val="00234468"/>
    <w:rsid w:val="002344DB"/>
    <w:rsid w:val="002344F9"/>
    <w:rsid w:val="00234514"/>
    <w:rsid w:val="0023453C"/>
    <w:rsid w:val="00234576"/>
    <w:rsid w:val="00234660"/>
    <w:rsid w:val="002346DC"/>
    <w:rsid w:val="002347DF"/>
    <w:rsid w:val="002347F2"/>
    <w:rsid w:val="00234829"/>
    <w:rsid w:val="00234848"/>
    <w:rsid w:val="00234849"/>
    <w:rsid w:val="00234851"/>
    <w:rsid w:val="002348ED"/>
    <w:rsid w:val="002349F3"/>
    <w:rsid w:val="00234A8C"/>
    <w:rsid w:val="00234A9C"/>
    <w:rsid w:val="00234AC1"/>
    <w:rsid w:val="00234AE1"/>
    <w:rsid w:val="00234B64"/>
    <w:rsid w:val="00234B86"/>
    <w:rsid w:val="00234B8B"/>
    <w:rsid w:val="00234B97"/>
    <w:rsid w:val="00234C07"/>
    <w:rsid w:val="00234C12"/>
    <w:rsid w:val="00234C6A"/>
    <w:rsid w:val="00234CA2"/>
    <w:rsid w:val="00234D8C"/>
    <w:rsid w:val="00234DC7"/>
    <w:rsid w:val="00234E00"/>
    <w:rsid w:val="00234E29"/>
    <w:rsid w:val="00234E42"/>
    <w:rsid w:val="00234F54"/>
    <w:rsid w:val="00235032"/>
    <w:rsid w:val="00235039"/>
    <w:rsid w:val="00235068"/>
    <w:rsid w:val="00235080"/>
    <w:rsid w:val="0023509C"/>
    <w:rsid w:val="002350CE"/>
    <w:rsid w:val="002350EC"/>
    <w:rsid w:val="00235141"/>
    <w:rsid w:val="0023516E"/>
    <w:rsid w:val="0023517D"/>
    <w:rsid w:val="002351EA"/>
    <w:rsid w:val="0023524A"/>
    <w:rsid w:val="00235278"/>
    <w:rsid w:val="0023527F"/>
    <w:rsid w:val="002352A6"/>
    <w:rsid w:val="002352C6"/>
    <w:rsid w:val="002352EF"/>
    <w:rsid w:val="00235373"/>
    <w:rsid w:val="002353FB"/>
    <w:rsid w:val="0023541A"/>
    <w:rsid w:val="0023543C"/>
    <w:rsid w:val="002354AB"/>
    <w:rsid w:val="002354EA"/>
    <w:rsid w:val="00235562"/>
    <w:rsid w:val="0023556F"/>
    <w:rsid w:val="00235666"/>
    <w:rsid w:val="00235687"/>
    <w:rsid w:val="002356B8"/>
    <w:rsid w:val="002356E5"/>
    <w:rsid w:val="0023570B"/>
    <w:rsid w:val="00235758"/>
    <w:rsid w:val="00235770"/>
    <w:rsid w:val="002357E7"/>
    <w:rsid w:val="0023584D"/>
    <w:rsid w:val="002358CF"/>
    <w:rsid w:val="002358D3"/>
    <w:rsid w:val="002358E0"/>
    <w:rsid w:val="0023592C"/>
    <w:rsid w:val="0023593E"/>
    <w:rsid w:val="00235973"/>
    <w:rsid w:val="002359BE"/>
    <w:rsid w:val="00235A15"/>
    <w:rsid w:val="00235A1A"/>
    <w:rsid w:val="00235AA3"/>
    <w:rsid w:val="00235ACC"/>
    <w:rsid w:val="00235AD9"/>
    <w:rsid w:val="00235B89"/>
    <w:rsid w:val="00235BF4"/>
    <w:rsid w:val="00235C07"/>
    <w:rsid w:val="00235C55"/>
    <w:rsid w:val="00235CD5"/>
    <w:rsid w:val="00235CF4"/>
    <w:rsid w:val="00235D02"/>
    <w:rsid w:val="00235D8C"/>
    <w:rsid w:val="00235DC4"/>
    <w:rsid w:val="00235DF8"/>
    <w:rsid w:val="00235E22"/>
    <w:rsid w:val="00235E36"/>
    <w:rsid w:val="00235E5A"/>
    <w:rsid w:val="00235ED1"/>
    <w:rsid w:val="00235ED4"/>
    <w:rsid w:val="00235F67"/>
    <w:rsid w:val="00235F8D"/>
    <w:rsid w:val="0023603E"/>
    <w:rsid w:val="0023608F"/>
    <w:rsid w:val="0023615B"/>
    <w:rsid w:val="002361D7"/>
    <w:rsid w:val="002361EB"/>
    <w:rsid w:val="0023621A"/>
    <w:rsid w:val="00236310"/>
    <w:rsid w:val="0023645D"/>
    <w:rsid w:val="002364E2"/>
    <w:rsid w:val="00236511"/>
    <w:rsid w:val="00236535"/>
    <w:rsid w:val="00236565"/>
    <w:rsid w:val="00236586"/>
    <w:rsid w:val="0023664E"/>
    <w:rsid w:val="00236671"/>
    <w:rsid w:val="00236682"/>
    <w:rsid w:val="0023670B"/>
    <w:rsid w:val="0023672A"/>
    <w:rsid w:val="0023675E"/>
    <w:rsid w:val="002367C8"/>
    <w:rsid w:val="00236849"/>
    <w:rsid w:val="0023685D"/>
    <w:rsid w:val="00236863"/>
    <w:rsid w:val="00236875"/>
    <w:rsid w:val="0023691A"/>
    <w:rsid w:val="002369FB"/>
    <w:rsid w:val="00236A00"/>
    <w:rsid w:val="00236A1C"/>
    <w:rsid w:val="00236A5D"/>
    <w:rsid w:val="00236A61"/>
    <w:rsid w:val="00236A6A"/>
    <w:rsid w:val="00236B12"/>
    <w:rsid w:val="00236B3F"/>
    <w:rsid w:val="00236B53"/>
    <w:rsid w:val="00236C1C"/>
    <w:rsid w:val="00236C44"/>
    <w:rsid w:val="00236C65"/>
    <w:rsid w:val="00236CD3"/>
    <w:rsid w:val="00236CE5"/>
    <w:rsid w:val="00236D23"/>
    <w:rsid w:val="00236D31"/>
    <w:rsid w:val="00236D5F"/>
    <w:rsid w:val="00236D7A"/>
    <w:rsid w:val="00236E07"/>
    <w:rsid w:val="00236E85"/>
    <w:rsid w:val="00236E8A"/>
    <w:rsid w:val="00236F31"/>
    <w:rsid w:val="00236F4B"/>
    <w:rsid w:val="00236FDE"/>
    <w:rsid w:val="0023701A"/>
    <w:rsid w:val="00237169"/>
    <w:rsid w:val="002371B9"/>
    <w:rsid w:val="0023723E"/>
    <w:rsid w:val="00237246"/>
    <w:rsid w:val="002372A8"/>
    <w:rsid w:val="002372DA"/>
    <w:rsid w:val="002373FB"/>
    <w:rsid w:val="00237561"/>
    <w:rsid w:val="002375F8"/>
    <w:rsid w:val="0023768D"/>
    <w:rsid w:val="00237801"/>
    <w:rsid w:val="00237808"/>
    <w:rsid w:val="00237904"/>
    <w:rsid w:val="00237927"/>
    <w:rsid w:val="0023798C"/>
    <w:rsid w:val="00237A06"/>
    <w:rsid w:val="00237A10"/>
    <w:rsid w:val="00237A42"/>
    <w:rsid w:val="00237A83"/>
    <w:rsid w:val="00237AAF"/>
    <w:rsid w:val="00237B11"/>
    <w:rsid w:val="00237B5F"/>
    <w:rsid w:val="00237B9F"/>
    <w:rsid w:val="00237C05"/>
    <w:rsid w:val="00237C0C"/>
    <w:rsid w:val="00237C3B"/>
    <w:rsid w:val="00237CCD"/>
    <w:rsid w:val="00237CD1"/>
    <w:rsid w:val="00237D1B"/>
    <w:rsid w:val="00237D4E"/>
    <w:rsid w:val="00237DCA"/>
    <w:rsid w:val="00237EA2"/>
    <w:rsid w:val="00237ECD"/>
    <w:rsid w:val="00237F00"/>
    <w:rsid w:val="00237F1D"/>
    <w:rsid w:val="00237F8B"/>
    <w:rsid w:val="00237FA7"/>
    <w:rsid w:val="00237FD3"/>
    <w:rsid w:val="0023FAB2"/>
    <w:rsid w:val="00240007"/>
    <w:rsid w:val="0024010F"/>
    <w:rsid w:val="0024013C"/>
    <w:rsid w:val="002401AD"/>
    <w:rsid w:val="00240256"/>
    <w:rsid w:val="002402B9"/>
    <w:rsid w:val="002403B3"/>
    <w:rsid w:val="002403DA"/>
    <w:rsid w:val="00240431"/>
    <w:rsid w:val="0024044B"/>
    <w:rsid w:val="00240481"/>
    <w:rsid w:val="0024048C"/>
    <w:rsid w:val="002404CC"/>
    <w:rsid w:val="00240555"/>
    <w:rsid w:val="00240565"/>
    <w:rsid w:val="002405F2"/>
    <w:rsid w:val="00240659"/>
    <w:rsid w:val="00240680"/>
    <w:rsid w:val="0024074E"/>
    <w:rsid w:val="002407AA"/>
    <w:rsid w:val="002407D2"/>
    <w:rsid w:val="002408B2"/>
    <w:rsid w:val="00240959"/>
    <w:rsid w:val="00240975"/>
    <w:rsid w:val="0024099D"/>
    <w:rsid w:val="002409A2"/>
    <w:rsid w:val="00240A7F"/>
    <w:rsid w:val="00240C1D"/>
    <w:rsid w:val="00240C2A"/>
    <w:rsid w:val="00240C31"/>
    <w:rsid w:val="00240C96"/>
    <w:rsid w:val="00240CA2"/>
    <w:rsid w:val="00240CB8"/>
    <w:rsid w:val="00240CCF"/>
    <w:rsid w:val="00240CDA"/>
    <w:rsid w:val="00240CED"/>
    <w:rsid w:val="00240D5D"/>
    <w:rsid w:val="00240E6A"/>
    <w:rsid w:val="00240EC4"/>
    <w:rsid w:val="00240EC8"/>
    <w:rsid w:val="00240EDF"/>
    <w:rsid w:val="00240F0A"/>
    <w:rsid w:val="00240F27"/>
    <w:rsid w:val="00240F84"/>
    <w:rsid w:val="00240FB0"/>
    <w:rsid w:val="00241061"/>
    <w:rsid w:val="00241112"/>
    <w:rsid w:val="0024115D"/>
    <w:rsid w:val="00241174"/>
    <w:rsid w:val="002411F0"/>
    <w:rsid w:val="00241227"/>
    <w:rsid w:val="0024123C"/>
    <w:rsid w:val="00241250"/>
    <w:rsid w:val="0024128D"/>
    <w:rsid w:val="0024129C"/>
    <w:rsid w:val="0024139B"/>
    <w:rsid w:val="002413AD"/>
    <w:rsid w:val="002413DB"/>
    <w:rsid w:val="002413DD"/>
    <w:rsid w:val="002413E4"/>
    <w:rsid w:val="00241402"/>
    <w:rsid w:val="00241419"/>
    <w:rsid w:val="00241494"/>
    <w:rsid w:val="00241540"/>
    <w:rsid w:val="00241547"/>
    <w:rsid w:val="00241567"/>
    <w:rsid w:val="002415F7"/>
    <w:rsid w:val="0024161A"/>
    <w:rsid w:val="00241627"/>
    <w:rsid w:val="00241710"/>
    <w:rsid w:val="00241722"/>
    <w:rsid w:val="00241736"/>
    <w:rsid w:val="00241767"/>
    <w:rsid w:val="00241774"/>
    <w:rsid w:val="00241865"/>
    <w:rsid w:val="00241917"/>
    <w:rsid w:val="00241929"/>
    <w:rsid w:val="00241936"/>
    <w:rsid w:val="00241946"/>
    <w:rsid w:val="00241960"/>
    <w:rsid w:val="00241984"/>
    <w:rsid w:val="00241A92"/>
    <w:rsid w:val="00241AA5"/>
    <w:rsid w:val="00241AAD"/>
    <w:rsid w:val="00241ABD"/>
    <w:rsid w:val="00241B0F"/>
    <w:rsid w:val="00241B1C"/>
    <w:rsid w:val="00241B49"/>
    <w:rsid w:val="00241B9B"/>
    <w:rsid w:val="00241BEB"/>
    <w:rsid w:val="00241C02"/>
    <w:rsid w:val="00241C9B"/>
    <w:rsid w:val="00241C9D"/>
    <w:rsid w:val="00241CF5"/>
    <w:rsid w:val="00241D65"/>
    <w:rsid w:val="00241DAA"/>
    <w:rsid w:val="00241DBF"/>
    <w:rsid w:val="00241DF8"/>
    <w:rsid w:val="00241EE3"/>
    <w:rsid w:val="00242100"/>
    <w:rsid w:val="0024212D"/>
    <w:rsid w:val="00242140"/>
    <w:rsid w:val="00242152"/>
    <w:rsid w:val="00242160"/>
    <w:rsid w:val="002421F6"/>
    <w:rsid w:val="0024221C"/>
    <w:rsid w:val="0024228A"/>
    <w:rsid w:val="00242307"/>
    <w:rsid w:val="0024234D"/>
    <w:rsid w:val="00242351"/>
    <w:rsid w:val="0024235E"/>
    <w:rsid w:val="002423A8"/>
    <w:rsid w:val="0024243C"/>
    <w:rsid w:val="0024246E"/>
    <w:rsid w:val="0024251D"/>
    <w:rsid w:val="002425CF"/>
    <w:rsid w:val="002425DA"/>
    <w:rsid w:val="0024264F"/>
    <w:rsid w:val="0024266F"/>
    <w:rsid w:val="002426EA"/>
    <w:rsid w:val="00242744"/>
    <w:rsid w:val="0024275C"/>
    <w:rsid w:val="00242770"/>
    <w:rsid w:val="002427AE"/>
    <w:rsid w:val="00242821"/>
    <w:rsid w:val="002428CA"/>
    <w:rsid w:val="002428EC"/>
    <w:rsid w:val="00242908"/>
    <w:rsid w:val="0024295B"/>
    <w:rsid w:val="00242988"/>
    <w:rsid w:val="002429BF"/>
    <w:rsid w:val="002429EB"/>
    <w:rsid w:val="00242A79"/>
    <w:rsid w:val="00242AB3"/>
    <w:rsid w:val="00242B60"/>
    <w:rsid w:val="00242C1B"/>
    <w:rsid w:val="00242C2B"/>
    <w:rsid w:val="00242C66"/>
    <w:rsid w:val="00242CBA"/>
    <w:rsid w:val="00242CD0"/>
    <w:rsid w:val="00242CE7"/>
    <w:rsid w:val="00242D5A"/>
    <w:rsid w:val="00242DDC"/>
    <w:rsid w:val="00242E33"/>
    <w:rsid w:val="00242E6B"/>
    <w:rsid w:val="00242F43"/>
    <w:rsid w:val="00242FD0"/>
    <w:rsid w:val="002430EE"/>
    <w:rsid w:val="00243105"/>
    <w:rsid w:val="0024313D"/>
    <w:rsid w:val="00243207"/>
    <w:rsid w:val="00243234"/>
    <w:rsid w:val="002432F2"/>
    <w:rsid w:val="0024336A"/>
    <w:rsid w:val="00243409"/>
    <w:rsid w:val="00243469"/>
    <w:rsid w:val="002434B5"/>
    <w:rsid w:val="002434EF"/>
    <w:rsid w:val="002434F6"/>
    <w:rsid w:val="0024352B"/>
    <w:rsid w:val="00243576"/>
    <w:rsid w:val="00243594"/>
    <w:rsid w:val="00243648"/>
    <w:rsid w:val="002436BF"/>
    <w:rsid w:val="002436F2"/>
    <w:rsid w:val="0024375D"/>
    <w:rsid w:val="002437B8"/>
    <w:rsid w:val="002437C3"/>
    <w:rsid w:val="002437E8"/>
    <w:rsid w:val="002437EC"/>
    <w:rsid w:val="00243810"/>
    <w:rsid w:val="002439A5"/>
    <w:rsid w:val="00243A15"/>
    <w:rsid w:val="00243A88"/>
    <w:rsid w:val="00243ABB"/>
    <w:rsid w:val="00243AD8"/>
    <w:rsid w:val="00243B0A"/>
    <w:rsid w:val="00243B19"/>
    <w:rsid w:val="00243B6A"/>
    <w:rsid w:val="00243C1F"/>
    <w:rsid w:val="00243C5C"/>
    <w:rsid w:val="00243D07"/>
    <w:rsid w:val="00243D32"/>
    <w:rsid w:val="00243D64"/>
    <w:rsid w:val="00243D6C"/>
    <w:rsid w:val="00243E02"/>
    <w:rsid w:val="00243EB9"/>
    <w:rsid w:val="00243EC7"/>
    <w:rsid w:val="00243EE7"/>
    <w:rsid w:val="00243F14"/>
    <w:rsid w:val="00243F90"/>
    <w:rsid w:val="00243FA6"/>
    <w:rsid w:val="00243FDE"/>
    <w:rsid w:val="00244035"/>
    <w:rsid w:val="0024405A"/>
    <w:rsid w:val="002440A3"/>
    <w:rsid w:val="002440BE"/>
    <w:rsid w:val="002440EF"/>
    <w:rsid w:val="0024412C"/>
    <w:rsid w:val="002441C7"/>
    <w:rsid w:val="0024422A"/>
    <w:rsid w:val="002442E6"/>
    <w:rsid w:val="0024432B"/>
    <w:rsid w:val="00244341"/>
    <w:rsid w:val="0024437C"/>
    <w:rsid w:val="0024444C"/>
    <w:rsid w:val="00244461"/>
    <w:rsid w:val="00244493"/>
    <w:rsid w:val="002444A0"/>
    <w:rsid w:val="00244569"/>
    <w:rsid w:val="002445C6"/>
    <w:rsid w:val="0024464B"/>
    <w:rsid w:val="00244672"/>
    <w:rsid w:val="002446D5"/>
    <w:rsid w:val="0024473C"/>
    <w:rsid w:val="0024473E"/>
    <w:rsid w:val="002447AF"/>
    <w:rsid w:val="002447B1"/>
    <w:rsid w:val="002448D9"/>
    <w:rsid w:val="0024493F"/>
    <w:rsid w:val="00244995"/>
    <w:rsid w:val="00244AF4"/>
    <w:rsid w:val="00244AF8"/>
    <w:rsid w:val="00244B9D"/>
    <w:rsid w:val="00244BA4"/>
    <w:rsid w:val="00244BFE"/>
    <w:rsid w:val="00244C56"/>
    <w:rsid w:val="00244C77"/>
    <w:rsid w:val="00244D20"/>
    <w:rsid w:val="00244D8B"/>
    <w:rsid w:val="00244DBB"/>
    <w:rsid w:val="00244DE1"/>
    <w:rsid w:val="00244E5F"/>
    <w:rsid w:val="00244EA1"/>
    <w:rsid w:val="00244F10"/>
    <w:rsid w:val="00244F1E"/>
    <w:rsid w:val="00244F91"/>
    <w:rsid w:val="00244FD9"/>
    <w:rsid w:val="00244FE7"/>
    <w:rsid w:val="00244FEC"/>
    <w:rsid w:val="0024500A"/>
    <w:rsid w:val="0024508E"/>
    <w:rsid w:val="002450F8"/>
    <w:rsid w:val="0024510B"/>
    <w:rsid w:val="00245117"/>
    <w:rsid w:val="00245132"/>
    <w:rsid w:val="00245156"/>
    <w:rsid w:val="0024515C"/>
    <w:rsid w:val="002451D7"/>
    <w:rsid w:val="002451D9"/>
    <w:rsid w:val="00245310"/>
    <w:rsid w:val="00245355"/>
    <w:rsid w:val="0024542A"/>
    <w:rsid w:val="002454F5"/>
    <w:rsid w:val="00245508"/>
    <w:rsid w:val="00245610"/>
    <w:rsid w:val="0024569F"/>
    <w:rsid w:val="0024575A"/>
    <w:rsid w:val="0024577F"/>
    <w:rsid w:val="002457DC"/>
    <w:rsid w:val="002457F4"/>
    <w:rsid w:val="00245918"/>
    <w:rsid w:val="0024591B"/>
    <w:rsid w:val="00245954"/>
    <w:rsid w:val="002459DC"/>
    <w:rsid w:val="002459E9"/>
    <w:rsid w:val="00245AE1"/>
    <w:rsid w:val="00245B05"/>
    <w:rsid w:val="00245B38"/>
    <w:rsid w:val="00245B7F"/>
    <w:rsid w:val="00245EAD"/>
    <w:rsid w:val="00245EB4"/>
    <w:rsid w:val="00245EF8"/>
    <w:rsid w:val="00245F1D"/>
    <w:rsid w:val="00245F3D"/>
    <w:rsid w:val="00246015"/>
    <w:rsid w:val="00246051"/>
    <w:rsid w:val="002460B4"/>
    <w:rsid w:val="002460E5"/>
    <w:rsid w:val="002460EB"/>
    <w:rsid w:val="002460FF"/>
    <w:rsid w:val="0024611C"/>
    <w:rsid w:val="002461FF"/>
    <w:rsid w:val="00246222"/>
    <w:rsid w:val="0024623C"/>
    <w:rsid w:val="0024625B"/>
    <w:rsid w:val="002462A5"/>
    <w:rsid w:val="002462B8"/>
    <w:rsid w:val="00246371"/>
    <w:rsid w:val="00246379"/>
    <w:rsid w:val="0024638E"/>
    <w:rsid w:val="00246420"/>
    <w:rsid w:val="00246432"/>
    <w:rsid w:val="00246439"/>
    <w:rsid w:val="00246442"/>
    <w:rsid w:val="00246445"/>
    <w:rsid w:val="00246524"/>
    <w:rsid w:val="0024658E"/>
    <w:rsid w:val="002465D6"/>
    <w:rsid w:val="00246614"/>
    <w:rsid w:val="0024669C"/>
    <w:rsid w:val="002466A4"/>
    <w:rsid w:val="00246775"/>
    <w:rsid w:val="002467FE"/>
    <w:rsid w:val="0024684F"/>
    <w:rsid w:val="00246873"/>
    <w:rsid w:val="002468DD"/>
    <w:rsid w:val="00246927"/>
    <w:rsid w:val="0024694B"/>
    <w:rsid w:val="002469B8"/>
    <w:rsid w:val="00246B5E"/>
    <w:rsid w:val="00246B79"/>
    <w:rsid w:val="00246BBA"/>
    <w:rsid w:val="00246BED"/>
    <w:rsid w:val="00246C9F"/>
    <w:rsid w:val="00246D03"/>
    <w:rsid w:val="00246D3B"/>
    <w:rsid w:val="00246E2A"/>
    <w:rsid w:val="00246E37"/>
    <w:rsid w:val="00246E48"/>
    <w:rsid w:val="00246E59"/>
    <w:rsid w:val="00246EC2"/>
    <w:rsid w:val="00246F37"/>
    <w:rsid w:val="00246F8F"/>
    <w:rsid w:val="00246FC7"/>
    <w:rsid w:val="00246FDC"/>
    <w:rsid w:val="00247023"/>
    <w:rsid w:val="00247064"/>
    <w:rsid w:val="0024709C"/>
    <w:rsid w:val="002470D3"/>
    <w:rsid w:val="0024718C"/>
    <w:rsid w:val="002471A4"/>
    <w:rsid w:val="00247208"/>
    <w:rsid w:val="00247224"/>
    <w:rsid w:val="00247230"/>
    <w:rsid w:val="00247233"/>
    <w:rsid w:val="00247293"/>
    <w:rsid w:val="00247295"/>
    <w:rsid w:val="002472D9"/>
    <w:rsid w:val="0024732E"/>
    <w:rsid w:val="00247356"/>
    <w:rsid w:val="002473FE"/>
    <w:rsid w:val="0024741E"/>
    <w:rsid w:val="002474A6"/>
    <w:rsid w:val="00247605"/>
    <w:rsid w:val="0024760A"/>
    <w:rsid w:val="00247633"/>
    <w:rsid w:val="00247668"/>
    <w:rsid w:val="002476AE"/>
    <w:rsid w:val="002476EB"/>
    <w:rsid w:val="002477A0"/>
    <w:rsid w:val="002477B8"/>
    <w:rsid w:val="00247803"/>
    <w:rsid w:val="00247812"/>
    <w:rsid w:val="0024788B"/>
    <w:rsid w:val="002479B2"/>
    <w:rsid w:val="002479F8"/>
    <w:rsid w:val="00247A0F"/>
    <w:rsid w:val="00247A27"/>
    <w:rsid w:val="00247A28"/>
    <w:rsid w:val="00247AFA"/>
    <w:rsid w:val="00247B20"/>
    <w:rsid w:val="00247B54"/>
    <w:rsid w:val="00247B89"/>
    <w:rsid w:val="00247B92"/>
    <w:rsid w:val="00247BA8"/>
    <w:rsid w:val="00247BCC"/>
    <w:rsid w:val="00247BFD"/>
    <w:rsid w:val="00247BFE"/>
    <w:rsid w:val="00247C4F"/>
    <w:rsid w:val="00247C84"/>
    <w:rsid w:val="00247C86"/>
    <w:rsid w:val="00247D73"/>
    <w:rsid w:val="00247D7E"/>
    <w:rsid w:val="00247D8E"/>
    <w:rsid w:val="00247DB7"/>
    <w:rsid w:val="00247DF1"/>
    <w:rsid w:val="00247E25"/>
    <w:rsid w:val="00247E3C"/>
    <w:rsid w:val="00247E41"/>
    <w:rsid w:val="00247EBE"/>
    <w:rsid w:val="00247EC8"/>
    <w:rsid w:val="00247F35"/>
    <w:rsid w:val="00247F63"/>
    <w:rsid w:val="00247F8A"/>
    <w:rsid w:val="00247FA1"/>
    <w:rsid w:val="00247FCF"/>
    <w:rsid w:val="00250084"/>
    <w:rsid w:val="002500E2"/>
    <w:rsid w:val="002500F1"/>
    <w:rsid w:val="0025010A"/>
    <w:rsid w:val="00250129"/>
    <w:rsid w:val="0025019B"/>
    <w:rsid w:val="00250248"/>
    <w:rsid w:val="00250249"/>
    <w:rsid w:val="00250315"/>
    <w:rsid w:val="00250345"/>
    <w:rsid w:val="00250391"/>
    <w:rsid w:val="002504A3"/>
    <w:rsid w:val="002504B5"/>
    <w:rsid w:val="00250547"/>
    <w:rsid w:val="00250555"/>
    <w:rsid w:val="0025057F"/>
    <w:rsid w:val="002505A6"/>
    <w:rsid w:val="002505DD"/>
    <w:rsid w:val="0025062E"/>
    <w:rsid w:val="0025063A"/>
    <w:rsid w:val="0025063D"/>
    <w:rsid w:val="00250718"/>
    <w:rsid w:val="00250727"/>
    <w:rsid w:val="0025073E"/>
    <w:rsid w:val="00250751"/>
    <w:rsid w:val="00250772"/>
    <w:rsid w:val="002507D0"/>
    <w:rsid w:val="00250862"/>
    <w:rsid w:val="00250889"/>
    <w:rsid w:val="002508CB"/>
    <w:rsid w:val="002508CC"/>
    <w:rsid w:val="002508CD"/>
    <w:rsid w:val="002508E9"/>
    <w:rsid w:val="00250923"/>
    <w:rsid w:val="0025093C"/>
    <w:rsid w:val="00250993"/>
    <w:rsid w:val="002509A1"/>
    <w:rsid w:val="002509A5"/>
    <w:rsid w:val="00250A73"/>
    <w:rsid w:val="00250AA1"/>
    <w:rsid w:val="00250B12"/>
    <w:rsid w:val="00250C41"/>
    <w:rsid w:val="00250CBB"/>
    <w:rsid w:val="00250D10"/>
    <w:rsid w:val="00250D4E"/>
    <w:rsid w:val="00250D55"/>
    <w:rsid w:val="00250D60"/>
    <w:rsid w:val="00250D70"/>
    <w:rsid w:val="00250D86"/>
    <w:rsid w:val="00250D9F"/>
    <w:rsid w:val="00250DBC"/>
    <w:rsid w:val="00250DCA"/>
    <w:rsid w:val="00250DD8"/>
    <w:rsid w:val="00250DE9"/>
    <w:rsid w:val="00250E5D"/>
    <w:rsid w:val="00250E5E"/>
    <w:rsid w:val="00250EA8"/>
    <w:rsid w:val="00250EAA"/>
    <w:rsid w:val="00250EE5"/>
    <w:rsid w:val="00250F4E"/>
    <w:rsid w:val="00250F5E"/>
    <w:rsid w:val="00251136"/>
    <w:rsid w:val="002511CF"/>
    <w:rsid w:val="002511E1"/>
    <w:rsid w:val="00251233"/>
    <w:rsid w:val="0025123C"/>
    <w:rsid w:val="00251247"/>
    <w:rsid w:val="0025127F"/>
    <w:rsid w:val="0025133C"/>
    <w:rsid w:val="0025136C"/>
    <w:rsid w:val="002513E0"/>
    <w:rsid w:val="002513E4"/>
    <w:rsid w:val="0025158B"/>
    <w:rsid w:val="002515D1"/>
    <w:rsid w:val="0025160B"/>
    <w:rsid w:val="00251621"/>
    <w:rsid w:val="00251622"/>
    <w:rsid w:val="0025168A"/>
    <w:rsid w:val="00251690"/>
    <w:rsid w:val="002516A1"/>
    <w:rsid w:val="002516A8"/>
    <w:rsid w:val="002516D9"/>
    <w:rsid w:val="002516F5"/>
    <w:rsid w:val="0025171F"/>
    <w:rsid w:val="0025172B"/>
    <w:rsid w:val="00251790"/>
    <w:rsid w:val="0025180C"/>
    <w:rsid w:val="0025180D"/>
    <w:rsid w:val="002518C5"/>
    <w:rsid w:val="002518E0"/>
    <w:rsid w:val="002518F3"/>
    <w:rsid w:val="00251969"/>
    <w:rsid w:val="00251A1E"/>
    <w:rsid w:val="00251A74"/>
    <w:rsid w:val="00251A7D"/>
    <w:rsid w:val="00251AFF"/>
    <w:rsid w:val="00251B47"/>
    <w:rsid w:val="00251BB7"/>
    <w:rsid w:val="00251BE2"/>
    <w:rsid w:val="00251C30"/>
    <w:rsid w:val="00251C4E"/>
    <w:rsid w:val="00251C56"/>
    <w:rsid w:val="00251C6F"/>
    <w:rsid w:val="00251C9E"/>
    <w:rsid w:val="00251CD1"/>
    <w:rsid w:val="00251D1D"/>
    <w:rsid w:val="00251D89"/>
    <w:rsid w:val="00251D9B"/>
    <w:rsid w:val="00251DC1"/>
    <w:rsid w:val="00251F7F"/>
    <w:rsid w:val="00251F87"/>
    <w:rsid w:val="00251FAB"/>
    <w:rsid w:val="00251FBD"/>
    <w:rsid w:val="00252064"/>
    <w:rsid w:val="00252065"/>
    <w:rsid w:val="0025208A"/>
    <w:rsid w:val="00252116"/>
    <w:rsid w:val="00252147"/>
    <w:rsid w:val="00252150"/>
    <w:rsid w:val="0025222F"/>
    <w:rsid w:val="002522D1"/>
    <w:rsid w:val="002522D3"/>
    <w:rsid w:val="0025230C"/>
    <w:rsid w:val="0025232A"/>
    <w:rsid w:val="00252384"/>
    <w:rsid w:val="002523F6"/>
    <w:rsid w:val="0025243C"/>
    <w:rsid w:val="002524A4"/>
    <w:rsid w:val="002524BB"/>
    <w:rsid w:val="00252574"/>
    <w:rsid w:val="00252595"/>
    <w:rsid w:val="002525CA"/>
    <w:rsid w:val="0025268B"/>
    <w:rsid w:val="002526A0"/>
    <w:rsid w:val="002526AD"/>
    <w:rsid w:val="00252713"/>
    <w:rsid w:val="00252803"/>
    <w:rsid w:val="0025284A"/>
    <w:rsid w:val="0025285E"/>
    <w:rsid w:val="002528BA"/>
    <w:rsid w:val="00252904"/>
    <w:rsid w:val="0025297F"/>
    <w:rsid w:val="00252991"/>
    <w:rsid w:val="002529D2"/>
    <w:rsid w:val="00252A8F"/>
    <w:rsid w:val="00252AAA"/>
    <w:rsid w:val="00252AF8"/>
    <w:rsid w:val="00252BDA"/>
    <w:rsid w:val="00252BE1"/>
    <w:rsid w:val="00252C2B"/>
    <w:rsid w:val="00252C53"/>
    <w:rsid w:val="00252C7A"/>
    <w:rsid w:val="00252DD7"/>
    <w:rsid w:val="00252DF8"/>
    <w:rsid w:val="00252E2C"/>
    <w:rsid w:val="00252E4E"/>
    <w:rsid w:val="00252E61"/>
    <w:rsid w:val="00252E6F"/>
    <w:rsid w:val="00252E85"/>
    <w:rsid w:val="00252ED3"/>
    <w:rsid w:val="00252EEA"/>
    <w:rsid w:val="00252EF7"/>
    <w:rsid w:val="00252F52"/>
    <w:rsid w:val="00253014"/>
    <w:rsid w:val="00253072"/>
    <w:rsid w:val="00253073"/>
    <w:rsid w:val="002530AF"/>
    <w:rsid w:val="002530E0"/>
    <w:rsid w:val="00253171"/>
    <w:rsid w:val="002531BD"/>
    <w:rsid w:val="00253200"/>
    <w:rsid w:val="0025321F"/>
    <w:rsid w:val="00253381"/>
    <w:rsid w:val="002533C3"/>
    <w:rsid w:val="002533CC"/>
    <w:rsid w:val="002533DB"/>
    <w:rsid w:val="00253495"/>
    <w:rsid w:val="00253503"/>
    <w:rsid w:val="00253563"/>
    <w:rsid w:val="0025357F"/>
    <w:rsid w:val="0025358B"/>
    <w:rsid w:val="002535F0"/>
    <w:rsid w:val="00253631"/>
    <w:rsid w:val="00253654"/>
    <w:rsid w:val="0025370F"/>
    <w:rsid w:val="0025371D"/>
    <w:rsid w:val="00253756"/>
    <w:rsid w:val="002537D6"/>
    <w:rsid w:val="0025386D"/>
    <w:rsid w:val="0025388D"/>
    <w:rsid w:val="0025389D"/>
    <w:rsid w:val="002538F7"/>
    <w:rsid w:val="00253948"/>
    <w:rsid w:val="0025394A"/>
    <w:rsid w:val="002539BE"/>
    <w:rsid w:val="00253A97"/>
    <w:rsid w:val="00253AD7"/>
    <w:rsid w:val="00253B22"/>
    <w:rsid w:val="00253B82"/>
    <w:rsid w:val="00253BA1"/>
    <w:rsid w:val="00253BEA"/>
    <w:rsid w:val="00253C0F"/>
    <w:rsid w:val="00253C4B"/>
    <w:rsid w:val="00253C53"/>
    <w:rsid w:val="00253C7C"/>
    <w:rsid w:val="00253D7D"/>
    <w:rsid w:val="00253D86"/>
    <w:rsid w:val="00253E61"/>
    <w:rsid w:val="00253E68"/>
    <w:rsid w:val="00253E94"/>
    <w:rsid w:val="00253EC5"/>
    <w:rsid w:val="00253F24"/>
    <w:rsid w:val="00253FAE"/>
    <w:rsid w:val="00253FB9"/>
    <w:rsid w:val="00253FCF"/>
    <w:rsid w:val="0025402F"/>
    <w:rsid w:val="002540FA"/>
    <w:rsid w:val="002540FD"/>
    <w:rsid w:val="00254164"/>
    <w:rsid w:val="002541A8"/>
    <w:rsid w:val="002541CD"/>
    <w:rsid w:val="002541F9"/>
    <w:rsid w:val="0025421C"/>
    <w:rsid w:val="00254236"/>
    <w:rsid w:val="002542C4"/>
    <w:rsid w:val="0025434D"/>
    <w:rsid w:val="00254358"/>
    <w:rsid w:val="0025435A"/>
    <w:rsid w:val="00254397"/>
    <w:rsid w:val="0025441B"/>
    <w:rsid w:val="00254432"/>
    <w:rsid w:val="00254497"/>
    <w:rsid w:val="002544BD"/>
    <w:rsid w:val="0025452E"/>
    <w:rsid w:val="0025453A"/>
    <w:rsid w:val="00254582"/>
    <w:rsid w:val="00254599"/>
    <w:rsid w:val="002545EB"/>
    <w:rsid w:val="002545FB"/>
    <w:rsid w:val="00254635"/>
    <w:rsid w:val="0025465B"/>
    <w:rsid w:val="002546DF"/>
    <w:rsid w:val="00254767"/>
    <w:rsid w:val="0025479F"/>
    <w:rsid w:val="002547CA"/>
    <w:rsid w:val="00254842"/>
    <w:rsid w:val="0025487F"/>
    <w:rsid w:val="00254883"/>
    <w:rsid w:val="002548E2"/>
    <w:rsid w:val="00254936"/>
    <w:rsid w:val="0025493C"/>
    <w:rsid w:val="002549A3"/>
    <w:rsid w:val="00254A35"/>
    <w:rsid w:val="00254A37"/>
    <w:rsid w:val="00254A3D"/>
    <w:rsid w:val="00254A9D"/>
    <w:rsid w:val="00254AF7"/>
    <w:rsid w:val="00254B1F"/>
    <w:rsid w:val="00254BBB"/>
    <w:rsid w:val="00254BC2"/>
    <w:rsid w:val="00254BF6"/>
    <w:rsid w:val="00254C1F"/>
    <w:rsid w:val="00254C33"/>
    <w:rsid w:val="00254C34"/>
    <w:rsid w:val="00254C3F"/>
    <w:rsid w:val="00254CB2"/>
    <w:rsid w:val="00254CC3"/>
    <w:rsid w:val="00254CC8"/>
    <w:rsid w:val="00254CCE"/>
    <w:rsid w:val="00254D5D"/>
    <w:rsid w:val="00254D5E"/>
    <w:rsid w:val="00254D80"/>
    <w:rsid w:val="00254D9F"/>
    <w:rsid w:val="00254DF9"/>
    <w:rsid w:val="00254E6F"/>
    <w:rsid w:val="00254E8A"/>
    <w:rsid w:val="00254E8C"/>
    <w:rsid w:val="00254E97"/>
    <w:rsid w:val="00254EC9"/>
    <w:rsid w:val="00254EED"/>
    <w:rsid w:val="00254FAE"/>
    <w:rsid w:val="00254FED"/>
    <w:rsid w:val="00255083"/>
    <w:rsid w:val="002550B7"/>
    <w:rsid w:val="002550CD"/>
    <w:rsid w:val="002550DB"/>
    <w:rsid w:val="0025511F"/>
    <w:rsid w:val="00255261"/>
    <w:rsid w:val="00255331"/>
    <w:rsid w:val="0025534E"/>
    <w:rsid w:val="00255365"/>
    <w:rsid w:val="002553D7"/>
    <w:rsid w:val="0025541B"/>
    <w:rsid w:val="0025550D"/>
    <w:rsid w:val="0025552F"/>
    <w:rsid w:val="0025556A"/>
    <w:rsid w:val="002555CA"/>
    <w:rsid w:val="00255600"/>
    <w:rsid w:val="0025564C"/>
    <w:rsid w:val="002556AF"/>
    <w:rsid w:val="002556E3"/>
    <w:rsid w:val="002556EE"/>
    <w:rsid w:val="00255796"/>
    <w:rsid w:val="002557B1"/>
    <w:rsid w:val="002557B4"/>
    <w:rsid w:val="0025585C"/>
    <w:rsid w:val="0025586C"/>
    <w:rsid w:val="00255894"/>
    <w:rsid w:val="002558AD"/>
    <w:rsid w:val="002558E7"/>
    <w:rsid w:val="002558F2"/>
    <w:rsid w:val="002559F3"/>
    <w:rsid w:val="00255A97"/>
    <w:rsid w:val="00255A99"/>
    <w:rsid w:val="00255ACE"/>
    <w:rsid w:val="00255AE5"/>
    <w:rsid w:val="00255AFB"/>
    <w:rsid w:val="00255C37"/>
    <w:rsid w:val="00255CEB"/>
    <w:rsid w:val="00255D40"/>
    <w:rsid w:val="00255D42"/>
    <w:rsid w:val="00255D4C"/>
    <w:rsid w:val="00255DA2"/>
    <w:rsid w:val="00255DD1"/>
    <w:rsid w:val="00255E1B"/>
    <w:rsid w:val="00255E40"/>
    <w:rsid w:val="00255E78"/>
    <w:rsid w:val="00255EB8"/>
    <w:rsid w:val="00255F9C"/>
    <w:rsid w:val="00255FAE"/>
    <w:rsid w:val="00255FB8"/>
    <w:rsid w:val="0025605B"/>
    <w:rsid w:val="00256066"/>
    <w:rsid w:val="00256090"/>
    <w:rsid w:val="0025620B"/>
    <w:rsid w:val="00256237"/>
    <w:rsid w:val="0025624F"/>
    <w:rsid w:val="002562EE"/>
    <w:rsid w:val="0025630B"/>
    <w:rsid w:val="00256405"/>
    <w:rsid w:val="00256473"/>
    <w:rsid w:val="002564FF"/>
    <w:rsid w:val="00256532"/>
    <w:rsid w:val="00256582"/>
    <w:rsid w:val="00256726"/>
    <w:rsid w:val="00256794"/>
    <w:rsid w:val="0025679A"/>
    <w:rsid w:val="0025679E"/>
    <w:rsid w:val="00256847"/>
    <w:rsid w:val="002568DF"/>
    <w:rsid w:val="00256901"/>
    <w:rsid w:val="00256949"/>
    <w:rsid w:val="00256A2E"/>
    <w:rsid w:val="00256A6B"/>
    <w:rsid w:val="00256AEF"/>
    <w:rsid w:val="00256B24"/>
    <w:rsid w:val="00256B63"/>
    <w:rsid w:val="00256C53"/>
    <w:rsid w:val="00256CA9"/>
    <w:rsid w:val="00256CC2"/>
    <w:rsid w:val="00256CC6"/>
    <w:rsid w:val="00256DBC"/>
    <w:rsid w:val="00256DC1"/>
    <w:rsid w:val="00256E8C"/>
    <w:rsid w:val="00256EF6"/>
    <w:rsid w:val="00256F5D"/>
    <w:rsid w:val="00256F67"/>
    <w:rsid w:val="00256F77"/>
    <w:rsid w:val="00256FBF"/>
    <w:rsid w:val="00257011"/>
    <w:rsid w:val="002570B9"/>
    <w:rsid w:val="0025710C"/>
    <w:rsid w:val="002571A6"/>
    <w:rsid w:val="00257386"/>
    <w:rsid w:val="00257532"/>
    <w:rsid w:val="00257535"/>
    <w:rsid w:val="00257545"/>
    <w:rsid w:val="002575A3"/>
    <w:rsid w:val="002575BF"/>
    <w:rsid w:val="002575D4"/>
    <w:rsid w:val="00257616"/>
    <w:rsid w:val="002576C5"/>
    <w:rsid w:val="002576EE"/>
    <w:rsid w:val="0025770F"/>
    <w:rsid w:val="002577AE"/>
    <w:rsid w:val="0025781F"/>
    <w:rsid w:val="00257860"/>
    <w:rsid w:val="00257921"/>
    <w:rsid w:val="0025797A"/>
    <w:rsid w:val="002579D0"/>
    <w:rsid w:val="002579E1"/>
    <w:rsid w:val="00257A34"/>
    <w:rsid w:val="00257A62"/>
    <w:rsid w:val="00257A91"/>
    <w:rsid w:val="00257AAD"/>
    <w:rsid w:val="00257AB5"/>
    <w:rsid w:val="00257AFB"/>
    <w:rsid w:val="00257B7A"/>
    <w:rsid w:val="00257BC5"/>
    <w:rsid w:val="00257CF4"/>
    <w:rsid w:val="00257DB2"/>
    <w:rsid w:val="00257E10"/>
    <w:rsid w:val="00257E59"/>
    <w:rsid w:val="00257E6B"/>
    <w:rsid w:val="00257F90"/>
    <w:rsid w:val="00257FA5"/>
    <w:rsid w:val="00260038"/>
    <w:rsid w:val="00260099"/>
    <w:rsid w:val="002600C2"/>
    <w:rsid w:val="00260111"/>
    <w:rsid w:val="0026012D"/>
    <w:rsid w:val="002601CB"/>
    <w:rsid w:val="0026030C"/>
    <w:rsid w:val="00260392"/>
    <w:rsid w:val="002603A4"/>
    <w:rsid w:val="002603A9"/>
    <w:rsid w:val="002603C1"/>
    <w:rsid w:val="002603FD"/>
    <w:rsid w:val="00260426"/>
    <w:rsid w:val="002604A2"/>
    <w:rsid w:val="00260597"/>
    <w:rsid w:val="002605DB"/>
    <w:rsid w:val="002605E0"/>
    <w:rsid w:val="00260654"/>
    <w:rsid w:val="002606F3"/>
    <w:rsid w:val="0026077B"/>
    <w:rsid w:val="0026078A"/>
    <w:rsid w:val="0026078B"/>
    <w:rsid w:val="00260799"/>
    <w:rsid w:val="002607B0"/>
    <w:rsid w:val="002607D4"/>
    <w:rsid w:val="0026082F"/>
    <w:rsid w:val="002608C2"/>
    <w:rsid w:val="002609B6"/>
    <w:rsid w:val="002609C3"/>
    <w:rsid w:val="00260A59"/>
    <w:rsid w:val="00260BB8"/>
    <w:rsid w:val="00260BD5"/>
    <w:rsid w:val="00260BF9"/>
    <w:rsid w:val="00260C59"/>
    <w:rsid w:val="00260C81"/>
    <w:rsid w:val="00260C90"/>
    <w:rsid w:val="00260D30"/>
    <w:rsid w:val="00260E10"/>
    <w:rsid w:val="00260E55"/>
    <w:rsid w:val="00260EE5"/>
    <w:rsid w:val="00260FFB"/>
    <w:rsid w:val="00261086"/>
    <w:rsid w:val="002610AA"/>
    <w:rsid w:val="002610D9"/>
    <w:rsid w:val="002611C2"/>
    <w:rsid w:val="00261259"/>
    <w:rsid w:val="002612A6"/>
    <w:rsid w:val="002612CF"/>
    <w:rsid w:val="0026134D"/>
    <w:rsid w:val="002613AF"/>
    <w:rsid w:val="002613EE"/>
    <w:rsid w:val="0026141C"/>
    <w:rsid w:val="0026142F"/>
    <w:rsid w:val="00261468"/>
    <w:rsid w:val="0026148A"/>
    <w:rsid w:val="0026148F"/>
    <w:rsid w:val="00261519"/>
    <w:rsid w:val="0026151A"/>
    <w:rsid w:val="00261532"/>
    <w:rsid w:val="0026153B"/>
    <w:rsid w:val="00261558"/>
    <w:rsid w:val="00261599"/>
    <w:rsid w:val="002615DC"/>
    <w:rsid w:val="002615E5"/>
    <w:rsid w:val="0026169F"/>
    <w:rsid w:val="00261715"/>
    <w:rsid w:val="002617CA"/>
    <w:rsid w:val="0026184C"/>
    <w:rsid w:val="0026184D"/>
    <w:rsid w:val="00261862"/>
    <w:rsid w:val="00261887"/>
    <w:rsid w:val="00261969"/>
    <w:rsid w:val="002619AD"/>
    <w:rsid w:val="002619BE"/>
    <w:rsid w:val="00261A0B"/>
    <w:rsid w:val="00261A90"/>
    <w:rsid w:val="00261ABC"/>
    <w:rsid w:val="00261B54"/>
    <w:rsid w:val="00261B57"/>
    <w:rsid w:val="00261BED"/>
    <w:rsid w:val="00261C61"/>
    <w:rsid w:val="00261CB2"/>
    <w:rsid w:val="00261CED"/>
    <w:rsid w:val="00261D8A"/>
    <w:rsid w:val="00261D93"/>
    <w:rsid w:val="00261DD2"/>
    <w:rsid w:val="00261EC3"/>
    <w:rsid w:val="00261EE8"/>
    <w:rsid w:val="00261F4B"/>
    <w:rsid w:val="00261F53"/>
    <w:rsid w:val="00262005"/>
    <w:rsid w:val="00262034"/>
    <w:rsid w:val="00262035"/>
    <w:rsid w:val="0026207C"/>
    <w:rsid w:val="002620CB"/>
    <w:rsid w:val="0026211D"/>
    <w:rsid w:val="00262156"/>
    <w:rsid w:val="00262164"/>
    <w:rsid w:val="00262283"/>
    <w:rsid w:val="00262288"/>
    <w:rsid w:val="002623D8"/>
    <w:rsid w:val="00262424"/>
    <w:rsid w:val="00262450"/>
    <w:rsid w:val="00262465"/>
    <w:rsid w:val="002624A9"/>
    <w:rsid w:val="0026250D"/>
    <w:rsid w:val="002625B0"/>
    <w:rsid w:val="002627D6"/>
    <w:rsid w:val="00262903"/>
    <w:rsid w:val="00262933"/>
    <w:rsid w:val="00262A7F"/>
    <w:rsid w:val="00262BAC"/>
    <w:rsid w:val="00262BF5"/>
    <w:rsid w:val="00262C01"/>
    <w:rsid w:val="00262C2A"/>
    <w:rsid w:val="00262CBA"/>
    <w:rsid w:val="00262D10"/>
    <w:rsid w:val="00262D63"/>
    <w:rsid w:val="00262D69"/>
    <w:rsid w:val="00262D74"/>
    <w:rsid w:val="00262E32"/>
    <w:rsid w:val="00262E65"/>
    <w:rsid w:val="00262EBD"/>
    <w:rsid w:val="00262F18"/>
    <w:rsid w:val="00262F3B"/>
    <w:rsid w:val="00262FEB"/>
    <w:rsid w:val="002630AC"/>
    <w:rsid w:val="00263119"/>
    <w:rsid w:val="0026314B"/>
    <w:rsid w:val="0026322C"/>
    <w:rsid w:val="00263235"/>
    <w:rsid w:val="0026324B"/>
    <w:rsid w:val="00263255"/>
    <w:rsid w:val="0026329C"/>
    <w:rsid w:val="002632D8"/>
    <w:rsid w:val="002632F0"/>
    <w:rsid w:val="00263349"/>
    <w:rsid w:val="0026335E"/>
    <w:rsid w:val="0026335F"/>
    <w:rsid w:val="002633D6"/>
    <w:rsid w:val="002633DC"/>
    <w:rsid w:val="0026341C"/>
    <w:rsid w:val="0026359D"/>
    <w:rsid w:val="00263609"/>
    <w:rsid w:val="002637A2"/>
    <w:rsid w:val="00263809"/>
    <w:rsid w:val="0026387A"/>
    <w:rsid w:val="002638A0"/>
    <w:rsid w:val="00263991"/>
    <w:rsid w:val="00263A0D"/>
    <w:rsid w:val="00263A4E"/>
    <w:rsid w:val="00263AAC"/>
    <w:rsid w:val="00263B5C"/>
    <w:rsid w:val="00263B68"/>
    <w:rsid w:val="00263B81"/>
    <w:rsid w:val="00263B8D"/>
    <w:rsid w:val="00263B93"/>
    <w:rsid w:val="00263B9B"/>
    <w:rsid w:val="00263BB3"/>
    <w:rsid w:val="00263CF0"/>
    <w:rsid w:val="00263D1A"/>
    <w:rsid w:val="00263D3D"/>
    <w:rsid w:val="00263D4C"/>
    <w:rsid w:val="00263D78"/>
    <w:rsid w:val="00263DB2"/>
    <w:rsid w:val="00263DE0"/>
    <w:rsid w:val="00263DE3"/>
    <w:rsid w:val="00263EAC"/>
    <w:rsid w:val="00263EBA"/>
    <w:rsid w:val="00263ED6"/>
    <w:rsid w:val="00263F00"/>
    <w:rsid w:val="00263F9F"/>
    <w:rsid w:val="00264081"/>
    <w:rsid w:val="00264093"/>
    <w:rsid w:val="002640F0"/>
    <w:rsid w:val="002640FA"/>
    <w:rsid w:val="0026411B"/>
    <w:rsid w:val="00264169"/>
    <w:rsid w:val="00264200"/>
    <w:rsid w:val="00264231"/>
    <w:rsid w:val="002642CA"/>
    <w:rsid w:val="002642CE"/>
    <w:rsid w:val="00264315"/>
    <w:rsid w:val="00264359"/>
    <w:rsid w:val="00264380"/>
    <w:rsid w:val="00264391"/>
    <w:rsid w:val="002644B1"/>
    <w:rsid w:val="002644C9"/>
    <w:rsid w:val="002644E1"/>
    <w:rsid w:val="002644E3"/>
    <w:rsid w:val="002644F6"/>
    <w:rsid w:val="00264560"/>
    <w:rsid w:val="002645DD"/>
    <w:rsid w:val="002646CE"/>
    <w:rsid w:val="0026472C"/>
    <w:rsid w:val="00264789"/>
    <w:rsid w:val="0026480F"/>
    <w:rsid w:val="002648A4"/>
    <w:rsid w:val="002648CC"/>
    <w:rsid w:val="002648E8"/>
    <w:rsid w:val="0026493C"/>
    <w:rsid w:val="00264984"/>
    <w:rsid w:val="00264A04"/>
    <w:rsid w:val="00264A18"/>
    <w:rsid w:val="00264A4E"/>
    <w:rsid w:val="00264B2E"/>
    <w:rsid w:val="00264BFC"/>
    <w:rsid w:val="00264C1C"/>
    <w:rsid w:val="00264C20"/>
    <w:rsid w:val="00264C3B"/>
    <w:rsid w:val="00264C42"/>
    <w:rsid w:val="00264CEF"/>
    <w:rsid w:val="00264D00"/>
    <w:rsid w:val="00264D5B"/>
    <w:rsid w:val="00264DF7"/>
    <w:rsid w:val="00264E06"/>
    <w:rsid w:val="00264E3B"/>
    <w:rsid w:val="00264EC7"/>
    <w:rsid w:val="00264EEF"/>
    <w:rsid w:val="00264F01"/>
    <w:rsid w:val="00264FBA"/>
    <w:rsid w:val="00264FD0"/>
    <w:rsid w:val="00264FFD"/>
    <w:rsid w:val="00265039"/>
    <w:rsid w:val="0026503C"/>
    <w:rsid w:val="00265052"/>
    <w:rsid w:val="00265087"/>
    <w:rsid w:val="00265120"/>
    <w:rsid w:val="00265152"/>
    <w:rsid w:val="00265185"/>
    <w:rsid w:val="00265256"/>
    <w:rsid w:val="00265277"/>
    <w:rsid w:val="0026530F"/>
    <w:rsid w:val="0026533C"/>
    <w:rsid w:val="0026535E"/>
    <w:rsid w:val="002653BB"/>
    <w:rsid w:val="002653DD"/>
    <w:rsid w:val="002653E1"/>
    <w:rsid w:val="00265401"/>
    <w:rsid w:val="00265402"/>
    <w:rsid w:val="0026541D"/>
    <w:rsid w:val="0026544D"/>
    <w:rsid w:val="00265476"/>
    <w:rsid w:val="0026548A"/>
    <w:rsid w:val="00265543"/>
    <w:rsid w:val="0026555E"/>
    <w:rsid w:val="0026556A"/>
    <w:rsid w:val="00265595"/>
    <w:rsid w:val="002655A1"/>
    <w:rsid w:val="002655E6"/>
    <w:rsid w:val="0026565C"/>
    <w:rsid w:val="002656AD"/>
    <w:rsid w:val="00265732"/>
    <w:rsid w:val="00265806"/>
    <w:rsid w:val="00265808"/>
    <w:rsid w:val="00265851"/>
    <w:rsid w:val="0026585E"/>
    <w:rsid w:val="002658B3"/>
    <w:rsid w:val="002658FC"/>
    <w:rsid w:val="0026591B"/>
    <w:rsid w:val="0026593F"/>
    <w:rsid w:val="00265989"/>
    <w:rsid w:val="00265990"/>
    <w:rsid w:val="00265A03"/>
    <w:rsid w:val="00265A22"/>
    <w:rsid w:val="00265A9F"/>
    <w:rsid w:val="00265AAD"/>
    <w:rsid w:val="00265AF9"/>
    <w:rsid w:val="00265B22"/>
    <w:rsid w:val="00265B34"/>
    <w:rsid w:val="00265B45"/>
    <w:rsid w:val="00265BBD"/>
    <w:rsid w:val="00265BE7"/>
    <w:rsid w:val="00265C7C"/>
    <w:rsid w:val="00265C8A"/>
    <w:rsid w:val="00265CB7"/>
    <w:rsid w:val="00265D3F"/>
    <w:rsid w:val="00265D73"/>
    <w:rsid w:val="00265DF6"/>
    <w:rsid w:val="00265E0C"/>
    <w:rsid w:val="00265EAD"/>
    <w:rsid w:val="00265EED"/>
    <w:rsid w:val="00265F0A"/>
    <w:rsid w:val="00265F1B"/>
    <w:rsid w:val="00265F60"/>
    <w:rsid w:val="00265F69"/>
    <w:rsid w:val="00265FCF"/>
    <w:rsid w:val="00265FD9"/>
    <w:rsid w:val="00265FE3"/>
    <w:rsid w:val="00266064"/>
    <w:rsid w:val="00266068"/>
    <w:rsid w:val="00266075"/>
    <w:rsid w:val="002660D8"/>
    <w:rsid w:val="002660E6"/>
    <w:rsid w:val="00266180"/>
    <w:rsid w:val="00266199"/>
    <w:rsid w:val="00266239"/>
    <w:rsid w:val="002662AA"/>
    <w:rsid w:val="00266350"/>
    <w:rsid w:val="00266356"/>
    <w:rsid w:val="00266386"/>
    <w:rsid w:val="002663EE"/>
    <w:rsid w:val="0026651E"/>
    <w:rsid w:val="00266533"/>
    <w:rsid w:val="00266586"/>
    <w:rsid w:val="00266592"/>
    <w:rsid w:val="00266594"/>
    <w:rsid w:val="002665DF"/>
    <w:rsid w:val="002665E1"/>
    <w:rsid w:val="0026660B"/>
    <w:rsid w:val="00266647"/>
    <w:rsid w:val="00266729"/>
    <w:rsid w:val="002667AD"/>
    <w:rsid w:val="002667D0"/>
    <w:rsid w:val="002667D7"/>
    <w:rsid w:val="002667D9"/>
    <w:rsid w:val="002667ED"/>
    <w:rsid w:val="00266889"/>
    <w:rsid w:val="002668A8"/>
    <w:rsid w:val="002668F3"/>
    <w:rsid w:val="00266AD4"/>
    <w:rsid w:val="00266AD5"/>
    <w:rsid w:val="00266B14"/>
    <w:rsid w:val="00266B1B"/>
    <w:rsid w:val="00266C52"/>
    <w:rsid w:val="00266D36"/>
    <w:rsid w:val="00266D74"/>
    <w:rsid w:val="00266D7D"/>
    <w:rsid w:val="00266DEC"/>
    <w:rsid w:val="00266E14"/>
    <w:rsid w:val="00266E70"/>
    <w:rsid w:val="00266E81"/>
    <w:rsid w:val="00266E92"/>
    <w:rsid w:val="00266EFB"/>
    <w:rsid w:val="00266F52"/>
    <w:rsid w:val="00266FB2"/>
    <w:rsid w:val="00266FB3"/>
    <w:rsid w:val="00266FCD"/>
    <w:rsid w:val="00266FFE"/>
    <w:rsid w:val="0026705E"/>
    <w:rsid w:val="0026714A"/>
    <w:rsid w:val="00267171"/>
    <w:rsid w:val="00267199"/>
    <w:rsid w:val="002671AB"/>
    <w:rsid w:val="0026724F"/>
    <w:rsid w:val="00267278"/>
    <w:rsid w:val="002674FD"/>
    <w:rsid w:val="00267500"/>
    <w:rsid w:val="00267505"/>
    <w:rsid w:val="0026754F"/>
    <w:rsid w:val="0026761C"/>
    <w:rsid w:val="00267642"/>
    <w:rsid w:val="002676A1"/>
    <w:rsid w:val="002676A9"/>
    <w:rsid w:val="002676B0"/>
    <w:rsid w:val="002676DD"/>
    <w:rsid w:val="0026775A"/>
    <w:rsid w:val="0026775D"/>
    <w:rsid w:val="002677CB"/>
    <w:rsid w:val="00267930"/>
    <w:rsid w:val="002679BF"/>
    <w:rsid w:val="00267AEA"/>
    <w:rsid w:val="00267AF3"/>
    <w:rsid w:val="00267B20"/>
    <w:rsid w:val="00267BF9"/>
    <w:rsid w:val="00267C37"/>
    <w:rsid w:val="00267C46"/>
    <w:rsid w:val="00267D44"/>
    <w:rsid w:val="00267D66"/>
    <w:rsid w:val="00267D6C"/>
    <w:rsid w:val="00267D7A"/>
    <w:rsid w:val="00267DA1"/>
    <w:rsid w:val="00267DCE"/>
    <w:rsid w:val="00267DDC"/>
    <w:rsid w:val="00267DF3"/>
    <w:rsid w:val="00267E6B"/>
    <w:rsid w:val="00267E89"/>
    <w:rsid w:val="00267E8C"/>
    <w:rsid w:val="00267E97"/>
    <w:rsid w:val="00267EA3"/>
    <w:rsid w:val="00267EEE"/>
    <w:rsid w:val="00267F6F"/>
    <w:rsid w:val="00267F7B"/>
    <w:rsid w:val="00270071"/>
    <w:rsid w:val="002700A6"/>
    <w:rsid w:val="0027011C"/>
    <w:rsid w:val="00270153"/>
    <w:rsid w:val="00270165"/>
    <w:rsid w:val="00270191"/>
    <w:rsid w:val="0027021F"/>
    <w:rsid w:val="00270222"/>
    <w:rsid w:val="0027022B"/>
    <w:rsid w:val="0027023F"/>
    <w:rsid w:val="00270243"/>
    <w:rsid w:val="00270261"/>
    <w:rsid w:val="00270269"/>
    <w:rsid w:val="0027028A"/>
    <w:rsid w:val="00270315"/>
    <w:rsid w:val="00270346"/>
    <w:rsid w:val="0027035D"/>
    <w:rsid w:val="002703D1"/>
    <w:rsid w:val="002703E2"/>
    <w:rsid w:val="0027041B"/>
    <w:rsid w:val="0027041D"/>
    <w:rsid w:val="002704A9"/>
    <w:rsid w:val="002704BA"/>
    <w:rsid w:val="00270536"/>
    <w:rsid w:val="00270580"/>
    <w:rsid w:val="002705A5"/>
    <w:rsid w:val="002705FE"/>
    <w:rsid w:val="0027065A"/>
    <w:rsid w:val="002706F4"/>
    <w:rsid w:val="0027070C"/>
    <w:rsid w:val="0027071F"/>
    <w:rsid w:val="0027074F"/>
    <w:rsid w:val="00270761"/>
    <w:rsid w:val="0027076A"/>
    <w:rsid w:val="002707C3"/>
    <w:rsid w:val="002707CD"/>
    <w:rsid w:val="0027083B"/>
    <w:rsid w:val="00270870"/>
    <w:rsid w:val="0027089B"/>
    <w:rsid w:val="002708A4"/>
    <w:rsid w:val="002708C0"/>
    <w:rsid w:val="002709A0"/>
    <w:rsid w:val="002709E7"/>
    <w:rsid w:val="00270AA0"/>
    <w:rsid w:val="00270B98"/>
    <w:rsid w:val="00270BCD"/>
    <w:rsid w:val="00270C4D"/>
    <w:rsid w:val="00270C7C"/>
    <w:rsid w:val="00270C92"/>
    <w:rsid w:val="00270C9B"/>
    <w:rsid w:val="00270CA1"/>
    <w:rsid w:val="00270D40"/>
    <w:rsid w:val="00270D5A"/>
    <w:rsid w:val="00270DD3"/>
    <w:rsid w:val="00270DFC"/>
    <w:rsid w:val="00270E05"/>
    <w:rsid w:val="00270E1E"/>
    <w:rsid w:val="00270E38"/>
    <w:rsid w:val="00270E5D"/>
    <w:rsid w:val="00270F4C"/>
    <w:rsid w:val="00270F5B"/>
    <w:rsid w:val="00270FAC"/>
    <w:rsid w:val="00271078"/>
    <w:rsid w:val="002710E7"/>
    <w:rsid w:val="00271184"/>
    <w:rsid w:val="002711BA"/>
    <w:rsid w:val="002712A7"/>
    <w:rsid w:val="00271305"/>
    <w:rsid w:val="0027138F"/>
    <w:rsid w:val="002713DB"/>
    <w:rsid w:val="00271481"/>
    <w:rsid w:val="002714D1"/>
    <w:rsid w:val="0027150F"/>
    <w:rsid w:val="00271556"/>
    <w:rsid w:val="0027156E"/>
    <w:rsid w:val="00271574"/>
    <w:rsid w:val="002715BA"/>
    <w:rsid w:val="002715CC"/>
    <w:rsid w:val="002715E6"/>
    <w:rsid w:val="002715F3"/>
    <w:rsid w:val="0027165B"/>
    <w:rsid w:val="00271663"/>
    <w:rsid w:val="0027171A"/>
    <w:rsid w:val="00271750"/>
    <w:rsid w:val="00271781"/>
    <w:rsid w:val="0027180A"/>
    <w:rsid w:val="00271853"/>
    <w:rsid w:val="00271868"/>
    <w:rsid w:val="0027186D"/>
    <w:rsid w:val="00271876"/>
    <w:rsid w:val="00271882"/>
    <w:rsid w:val="002718BC"/>
    <w:rsid w:val="002718F7"/>
    <w:rsid w:val="00271922"/>
    <w:rsid w:val="00271942"/>
    <w:rsid w:val="00271949"/>
    <w:rsid w:val="00271981"/>
    <w:rsid w:val="00271998"/>
    <w:rsid w:val="0027199D"/>
    <w:rsid w:val="00271A04"/>
    <w:rsid w:val="00271A71"/>
    <w:rsid w:val="00271AB5"/>
    <w:rsid w:val="00271AD0"/>
    <w:rsid w:val="00271AD2"/>
    <w:rsid w:val="00271B4A"/>
    <w:rsid w:val="00271BE5"/>
    <w:rsid w:val="00271CA9"/>
    <w:rsid w:val="00271CB0"/>
    <w:rsid w:val="00271CD2"/>
    <w:rsid w:val="00271CFE"/>
    <w:rsid w:val="00271D4A"/>
    <w:rsid w:val="00271F24"/>
    <w:rsid w:val="00271F4E"/>
    <w:rsid w:val="00271F99"/>
    <w:rsid w:val="00271FE2"/>
    <w:rsid w:val="00271FEF"/>
    <w:rsid w:val="0027204C"/>
    <w:rsid w:val="002720F1"/>
    <w:rsid w:val="00272140"/>
    <w:rsid w:val="00272167"/>
    <w:rsid w:val="002721B1"/>
    <w:rsid w:val="002721D0"/>
    <w:rsid w:val="0027221E"/>
    <w:rsid w:val="00272224"/>
    <w:rsid w:val="00272272"/>
    <w:rsid w:val="002722CA"/>
    <w:rsid w:val="002722D6"/>
    <w:rsid w:val="00272348"/>
    <w:rsid w:val="002723C7"/>
    <w:rsid w:val="00272459"/>
    <w:rsid w:val="0027246C"/>
    <w:rsid w:val="00272515"/>
    <w:rsid w:val="0027252B"/>
    <w:rsid w:val="00272570"/>
    <w:rsid w:val="00272674"/>
    <w:rsid w:val="002726D5"/>
    <w:rsid w:val="0027271D"/>
    <w:rsid w:val="00272734"/>
    <w:rsid w:val="0027273B"/>
    <w:rsid w:val="002727A7"/>
    <w:rsid w:val="0027286A"/>
    <w:rsid w:val="00272897"/>
    <w:rsid w:val="0027297B"/>
    <w:rsid w:val="00272982"/>
    <w:rsid w:val="002729A6"/>
    <w:rsid w:val="00272A72"/>
    <w:rsid w:val="00272A79"/>
    <w:rsid w:val="00272B0C"/>
    <w:rsid w:val="00272BB6"/>
    <w:rsid w:val="00272BF0"/>
    <w:rsid w:val="00272C99"/>
    <w:rsid w:val="00272CE3"/>
    <w:rsid w:val="00272D15"/>
    <w:rsid w:val="00272D41"/>
    <w:rsid w:val="00272DFC"/>
    <w:rsid w:val="00272E3F"/>
    <w:rsid w:val="00272E4F"/>
    <w:rsid w:val="00272EB0"/>
    <w:rsid w:val="00272EBC"/>
    <w:rsid w:val="00272EE6"/>
    <w:rsid w:val="00272F33"/>
    <w:rsid w:val="00272F50"/>
    <w:rsid w:val="00272F8A"/>
    <w:rsid w:val="00272FA1"/>
    <w:rsid w:val="00272FB3"/>
    <w:rsid w:val="00272FE3"/>
    <w:rsid w:val="00273089"/>
    <w:rsid w:val="00273097"/>
    <w:rsid w:val="00273149"/>
    <w:rsid w:val="00273169"/>
    <w:rsid w:val="002731B8"/>
    <w:rsid w:val="002731BB"/>
    <w:rsid w:val="002731E4"/>
    <w:rsid w:val="002731E7"/>
    <w:rsid w:val="0027328B"/>
    <w:rsid w:val="00273374"/>
    <w:rsid w:val="002734B8"/>
    <w:rsid w:val="00273566"/>
    <w:rsid w:val="0027358A"/>
    <w:rsid w:val="00273620"/>
    <w:rsid w:val="002736FB"/>
    <w:rsid w:val="0027374F"/>
    <w:rsid w:val="00273780"/>
    <w:rsid w:val="00273807"/>
    <w:rsid w:val="00273834"/>
    <w:rsid w:val="00273838"/>
    <w:rsid w:val="00273845"/>
    <w:rsid w:val="0027384D"/>
    <w:rsid w:val="00273868"/>
    <w:rsid w:val="00273897"/>
    <w:rsid w:val="002738BB"/>
    <w:rsid w:val="002738CB"/>
    <w:rsid w:val="002738E1"/>
    <w:rsid w:val="002738F5"/>
    <w:rsid w:val="0027395C"/>
    <w:rsid w:val="0027397C"/>
    <w:rsid w:val="002739A9"/>
    <w:rsid w:val="002739BD"/>
    <w:rsid w:val="00273A1B"/>
    <w:rsid w:val="00273A3B"/>
    <w:rsid w:val="00273AF6"/>
    <w:rsid w:val="00273B58"/>
    <w:rsid w:val="00273B9E"/>
    <w:rsid w:val="00273C45"/>
    <w:rsid w:val="00273C84"/>
    <w:rsid w:val="00273CA4"/>
    <w:rsid w:val="00273D28"/>
    <w:rsid w:val="00273D41"/>
    <w:rsid w:val="00273D50"/>
    <w:rsid w:val="00273D83"/>
    <w:rsid w:val="00273D94"/>
    <w:rsid w:val="00273D96"/>
    <w:rsid w:val="00273DD5"/>
    <w:rsid w:val="00273F01"/>
    <w:rsid w:val="00273F79"/>
    <w:rsid w:val="00273F7E"/>
    <w:rsid w:val="00273FA5"/>
    <w:rsid w:val="0027415A"/>
    <w:rsid w:val="00274239"/>
    <w:rsid w:val="002742A3"/>
    <w:rsid w:val="002742DA"/>
    <w:rsid w:val="002743C7"/>
    <w:rsid w:val="002743D3"/>
    <w:rsid w:val="002744BF"/>
    <w:rsid w:val="00274579"/>
    <w:rsid w:val="002745F7"/>
    <w:rsid w:val="00274669"/>
    <w:rsid w:val="002746AF"/>
    <w:rsid w:val="00274711"/>
    <w:rsid w:val="002747C1"/>
    <w:rsid w:val="002747D6"/>
    <w:rsid w:val="002747DD"/>
    <w:rsid w:val="00274858"/>
    <w:rsid w:val="0027486C"/>
    <w:rsid w:val="002748D8"/>
    <w:rsid w:val="002749A7"/>
    <w:rsid w:val="00274B1E"/>
    <w:rsid w:val="00274BA1"/>
    <w:rsid w:val="00274BD9"/>
    <w:rsid w:val="00274C23"/>
    <w:rsid w:val="00274D94"/>
    <w:rsid w:val="00274DCE"/>
    <w:rsid w:val="00274DD8"/>
    <w:rsid w:val="00274DFB"/>
    <w:rsid w:val="00274E46"/>
    <w:rsid w:val="00274E4D"/>
    <w:rsid w:val="00274E70"/>
    <w:rsid w:val="00274EC6"/>
    <w:rsid w:val="00274EF5"/>
    <w:rsid w:val="00274F6F"/>
    <w:rsid w:val="00274FA0"/>
    <w:rsid w:val="00274FFB"/>
    <w:rsid w:val="0027502F"/>
    <w:rsid w:val="00275062"/>
    <w:rsid w:val="00275064"/>
    <w:rsid w:val="00275075"/>
    <w:rsid w:val="0027527F"/>
    <w:rsid w:val="002752B9"/>
    <w:rsid w:val="0027531D"/>
    <w:rsid w:val="00275357"/>
    <w:rsid w:val="00275363"/>
    <w:rsid w:val="00275366"/>
    <w:rsid w:val="002753B1"/>
    <w:rsid w:val="002753BB"/>
    <w:rsid w:val="002753DE"/>
    <w:rsid w:val="00275423"/>
    <w:rsid w:val="002754E7"/>
    <w:rsid w:val="0027557C"/>
    <w:rsid w:val="00275602"/>
    <w:rsid w:val="002756B8"/>
    <w:rsid w:val="002756E8"/>
    <w:rsid w:val="00275710"/>
    <w:rsid w:val="0027579A"/>
    <w:rsid w:val="002757B0"/>
    <w:rsid w:val="002757B8"/>
    <w:rsid w:val="00275858"/>
    <w:rsid w:val="00275976"/>
    <w:rsid w:val="002759F5"/>
    <w:rsid w:val="00275A3B"/>
    <w:rsid w:val="00275A41"/>
    <w:rsid w:val="00275A65"/>
    <w:rsid w:val="00275A66"/>
    <w:rsid w:val="00275B0D"/>
    <w:rsid w:val="00275B3F"/>
    <w:rsid w:val="00275B9C"/>
    <w:rsid w:val="00275BFF"/>
    <w:rsid w:val="00275C21"/>
    <w:rsid w:val="00275C32"/>
    <w:rsid w:val="00275C40"/>
    <w:rsid w:val="00275C68"/>
    <w:rsid w:val="00275CF1"/>
    <w:rsid w:val="00275CF7"/>
    <w:rsid w:val="00275DAC"/>
    <w:rsid w:val="00275E32"/>
    <w:rsid w:val="00275E59"/>
    <w:rsid w:val="00275E63"/>
    <w:rsid w:val="00275E6B"/>
    <w:rsid w:val="00275ECF"/>
    <w:rsid w:val="00275FF8"/>
    <w:rsid w:val="0027603C"/>
    <w:rsid w:val="00276073"/>
    <w:rsid w:val="002760BF"/>
    <w:rsid w:val="00276121"/>
    <w:rsid w:val="00276221"/>
    <w:rsid w:val="00276269"/>
    <w:rsid w:val="002762AF"/>
    <w:rsid w:val="002762DE"/>
    <w:rsid w:val="00276330"/>
    <w:rsid w:val="002763A8"/>
    <w:rsid w:val="002763B3"/>
    <w:rsid w:val="002763C7"/>
    <w:rsid w:val="002763F4"/>
    <w:rsid w:val="00276485"/>
    <w:rsid w:val="002764B7"/>
    <w:rsid w:val="002764CF"/>
    <w:rsid w:val="0027655C"/>
    <w:rsid w:val="0027658A"/>
    <w:rsid w:val="0027659E"/>
    <w:rsid w:val="002765BA"/>
    <w:rsid w:val="002765E3"/>
    <w:rsid w:val="002765FB"/>
    <w:rsid w:val="00276604"/>
    <w:rsid w:val="00276610"/>
    <w:rsid w:val="00276628"/>
    <w:rsid w:val="00276651"/>
    <w:rsid w:val="00276674"/>
    <w:rsid w:val="00276730"/>
    <w:rsid w:val="00276778"/>
    <w:rsid w:val="002767A5"/>
    <w:rsid w:val="002767CA"/>
    <w:rsid w:val="00276813"/>
    <w:rsid w:val="0027693E"/>
    <w:rsid w:val="002769AF"/>
    <w:rsid w:val="002769C1"/>
    <w:rsid w:val="002769F2"/>
    <w:rsid w:val="002769F3"/>
    <w:rsid w:val="00276A36"/>
    <w:rsid w:val="00276A45"/>
    <w:rsid w:val="00276A67"/>
    <w:rsid w:val="00276AF0"/>
    <w:rsid w:val="00276B20"/>
    <w:rsid w:val="00276BAA"/>
    <w:rsid w:val="00276C14"/>
    <w:rsid w:val="00276D08"/>
    <w:rsid w:val="00276D31"/>
    <w:rsid w:val="00276D7D"/>
    <w:rsid w:val="00276DB6"/>
    <w:rsid w:val="00276DBA"/>
    <w:rsid w:val="00276DFB"/>
    <w:rsid w:val="00276E4D"/>
    <w:rsid w:val="00276EDA"/>
    <w:rsid w:val="00276F18"/>
    <w:rsid w:val="00276F1E"/>
    <w:rsid w:val="00276F7E"/>
    <w:rsid w:val="00276FB7"/>
    <w:rsid w:val="00277013"/>
    <w:rsid w:val="0027704F"/>
    <w:rsid w:val="00277072"/>
    <w:rsid w:val="00277079"/>
    <w:rsid w:val="002770AA"/>
    <w:rsid w:val="002770C5"/>
    <w:rsid w:val="0027710D"/>
    <w:rsid w:val="00277158"/>
    <w:rsid w:val="0027719F"/>
    <w:rsid w:val="002771A8"/>
    <w:rsid w:val="00277252"/>
    <w:rsid w:val="00277271"/>
    <w:rsid w:val="002772CC"/>
    <w:rsid w:val="00277352"/>
    <w:rsid w:val="00277393"/>
    <w:rsid w:val="002773AF"/>
    <w:rsid w:val="002773DE"/>
    <w:rsid w:val="002773E6"/>
    <w:rsid w:val="0027742B"/>
    <w:rsid w:val="0027746B"/>
    <w:rsid w:val="002774AC"/>
    <w:rsid w:val="0027755B"/>
    <w:rsid w:val="00277563"/>
    <w:rsid w:val="00277565"/>
    <w:rsid w:val="0027756A"/>
    <w:rsid w:val="002775C3"/>
    <w:rsid w:val="002775E3"/>
    <w:rsid w:val="002775E7"/>
    <w:rsid w:val="002776A6"/>
    <w:rsid w:val="002776F8"/>
    <w:rsid w:val="00277704"/>
    <w:rsid w:val="002777E3"/>
    <w:rsid w:val="00277807"/>
    <w:rsid w:val="00277845"/>
    <w:rsid w:val="002778C0"/>
    <w:rsid w:val="002778E7"/>
    <w:rsid w:val="0027797A"/>
    <w:rsid w:val="00277998"/>
    <w:rsid w:val="002779E8"/>
    <w:rsid w:val="00277A1F"/>
    <w:rsid w:val="00277ABF"/>
    <w:rsid w:val="00277AFA"/>
    <w:rsid w:val="00277AFE"/>
    <w:rsid w:val="00277B0E"/>
    <w:rsid w:val="00277B5B"/>
    <w:rsid w:val="00277BC1"/>
    <w:rsid w:val="00277BCB"/>
    <w:rsid w:val="00277CD6"/>
    <w:rsid w:val="00277D73"/>
    <w:rsid w:val="00277D80"/>
    <w:rsid w:val="00277D8E"/>
    <w:rsid w:val="00277DA9"/>
    <w:rsid w:val="00277DF4"/>
    <w:rsid w:val="00277EA1"/>
    <w:rsid w:val="00277EF2"/>
    <w:rsid w:val="00277F05"/>
    <w:rsid w:val="00277F06"/>
    <w:rsid w:val="00277F07"/>
    <w:rsid w:val="00277F41"/>
    <w:rsid w:val="00277F53"/>
    <w:rsid w:val="00277F5B"/>
    <w:rsid w:val="00277FC1"/>
    <w:rsid w:val="00277FDD"/>
    <w:rsid w:val="00277FEB"/>
    <w:rsid w:val="00280040"/>
    <w:rsid w:val="0028013F"/>
    <w:rsid w:val="002801F9"/>
    <w:rsid w:val="00280208"/>
    <w:rsid w:val="0028020C"/>
    <w:rsid w:val="0028023B"/>
    <w:rsid w:val="0028025D"/>
    <w:rsid w:val="0028029E"/>
    <w:rsid w:val="002803B3"/>
    <w:rsid w:val="00280428"/>
    <w:rsid w:val="00280463"/>
    <w:rsid w:val="00280502"/>
    <w:rsid w:val="00280549"/>
    <w:rsid w:val="0028055B"/>
    <w:rsid w:val="00280576"/>
    <w:rsid w:val="002805CE"/>
    <w:rsid w:val="002806BE"/>
    <w:rsid w:val="00280719"/>
    <w:rsid w:val="002807B3"/>
    <w:rsid w:val="0028082E"/>
    <w:rsid w:val="00280874"/>
    <w:rsid w:val="0028088C"/>
    <w:rsid w:val="002808F5"/>
    <w:rsid w:val="00280936"/>
    <w:rsid w:val="00280961"/>
    <w:rsid w:val="0028099B"/>
    <w:rsid w:val="00280B07"/>
    <w:rsid w:val="00280B7A"/>
    <w:rsid w:val="00280C0B"/>
    <w:rsid w:val="00280CCA"/>
    <w:rsid w:val="00280D07"/>
    <w:rsid w:val="00280D1E"/>
    <w:rsid w:val="00280D39"/>
    <w:rsid w:val="00280D7C"/>
    <w:rsid w:val="00280D82"/>
    <w:rsid w:val="00280DA8"/>
    <w:rsid w:val="00280DCA"/>
    <w:rsid w:val="00280EA7"/>
    <w:rsid w:val="00280F45"/>
    <w:rsid w:val="00280FD9"/>
    <w:rsid w:val="0028100E"/>
    <w:rsid w:val="0028101E"/>
    <w:rsid w:val="0028103E"/>
    <w:rsid w:val="0028104E"/>
    <w:rsid w:val="002810F3"/>
    <w:rsid w:val="00281157"/>
    <w:rsid w:val="0028119C"/>
    <w:rsid w:val="002811C0"/>
    <w:rsid w:val="0028126E"/>
    <w:rsid w:val="0028129A"/>
    <w:rsid w:val="002812B0"/>
    <w:rsid w:val="002812D1"/>
    <w:rsid w:val="002812EA"/>
    <w:rsid w:val="0028136A"/>
    <w:rsid w:val="002813BC"/>
    <w:rsid w:val="00281442"/>
    <w:rsid w:val="0028149A"/>
    <w:rsid w:val="002814A4"/>
    <w:rsid w:val="002814D6"/>
    <w:rsid w:val="0028153D"/>
    <w:rsid w:val="0028157A"/>
    <w:rsid w:val="0028158D"/>
    <w:rsid w:val="0028162A"/>
    <w:rsid w:val="00281684"/>
    <w:rsid w:val="002816DF"/>
    <w:rsid w:val="00281723"/>
    <w:rsid w:val="002817CF"/>
    <w:rsid w:val="002817EC"/>
    <w:rsid w:val="0028181A"/>
    <w:rsid w:val="0028183B"/>
    <w:rsid w:val="00281862"/>
    <w:rsid w:val="0028186B"/>
    <w:rsid w:val="0028190F"/>
    <w:rsid w:val="0028193C"/>
    <w:rsid w:val="00281958"/>
    <w:rsid w:val="002819BC"/>
    <w:rsid w:val="00281A4D"/>
    <w:rsid w:val="00281A51"/>
    <w:rsid w:val="00281A5B"/>
    <w:rsid w:val="00281A6C"/>
    <w:rsid w:val="00281ADC"/>
    <w:rsid w:val="00281AE5"/>
    <w:rsid w:val="00281B17"/>
    <w:rsid w:val="00281B2E"/>
    <w:rsid w:val="00281B38"/>
    <w:rsid w:val="00281C45"/>
    <w:rsid w:val="00281C7C"/>
    <w:rsid w:val="00281C85"/>
    <w:rsid w:val="00281CB7"/>
    <w:rsid w:val="00281CC3"/>
    <w:rsid w:val="00281CE5"/>
    <w:rsid w:val="00281D45"/>
    <w:rsid w:val="00281DB5"/>
    <w:rsid w:val="00281E24"/>
    <w:rsid w:val="00281E44"/>
    <w:rsid w:val="00281EDD"/>
    <w:rsid w:val="00281F2D"/>
    <w:rsid w:val="00281FB6"/>
    <w:rsid w:val="00281FD2"/>
    <w:rsid w:val="00281FDB"/>
    <w:rsid w:val="00281FE4"/>
    <w:rsid w:val="00281FE5"/>
    <w:rsid w:val="002820B3"/>
    <w:rsid w:val="002820BD"/>
    <w:rsid w:val="002820C8"/>
    <w:rsid w:val="002821B2"/>
    <w:rsid w:val="00282269"/>
    <w:rsid w:val="0028231F"/>
    <w:rsid w:val="0028234C"/>
    <w:rsid w:val="00282401"/>
    <w:rsid w:val="0028240C"/>
    <w:rsid w:val="00282441"/>
    <w:rsid w:val="00282451"/>
    <w:rsid w:val="0028247F"/>
    <w:rsid w:val="00282486"/>
    <w:rsid w:val="002824CA"/>
    <w:rsid w:val="00282595"/>
    <w:rsid w:val="0028259F"/>
    <w:rsid w:val="002826C9"/>
    <w:rsid w:val="002826FA"/>
    <w:rsid w:val="00282754"/>
    <w:rsid w:val="0028284B"/>
    <w:rsid w:val="00282859"/>
    <w:rsid w:val="0028286E"/>
    <w:rsid w:val="002828F8"/>
    <w:rsid w:val="00282945"/>
    <w:rsid w:val="002829F2"/>
    <w:rsid w:val="00282A05"/>
    <w:rsid w:val="00282AC4"/>
    <w:rsid w:val="00282AE8"/>
    <w:rsid w:val="00282B08"/>
    <w:rsid w:val="00282B96"/>
    <w:rsid w:val="00282C09"/>
    <w:rsid w:val="00282C58"/>
    <w:rsid w:val="00282C8E"/>
    <w:rsid w:val="00282D11"/>
    <w:rsid w:val="00282D1E"/>
    <w:rsid w:val="00282DA7"/>
    <w:rsid w:val="00282DFC"/>
    <w:rsid w:val="00282E2C"/>
    <w:rsid w:val="00282E6A"/>
    <w:rsid w:val="00282E8A"/>
    <w:rsid w:val="00282EC1"/>
    <w:rsid w:val="00282F14"/>
    <w:rsid w:val="00282F19"/>
    <w:rsid w:val="00282F86"/>
    <w:rsid w:val="00282F9D"/>
    <w:rsid w:val="00283038"/>
    <w:rsid w:val="0028304A"/>
    <w:rsid w:val="00283056"/>
    <w:rsid w:val="00283090"/>
    <w:rsid w:val="002830CC"/>
    <w:rsid w:val="002830DD"/>
    <w:rsid w:val="002830EA"/>
    <w:rsid w:val="00283162"/>
    <w:rsid w:val="002831E0"/>
    <w:rsid w:val="00283262"/>
    <w:rsid w:val="0028328C"/>
    <w:rsid w:val="002833A9"/>
    <w:rsid w:val="002833E1"/>
    <w:rsid w:val="00283411"/>
    <w:rsid w:val="00283459"/>
    <w:rsid w:val="0028347C"/>
    <w:rsid w:val="002834B8"/>
    <w:rsid w:val="002834F0"/>
    <w:rsid w:val="00283565"/>
    <w:rsid w:val="002835B3"/>
    <w:rsid w:val="002835C7"/>
    <w:rsid w:val="00283633"/>
    <w:rsid w:val="00283690"/>
    <w:rsid w:val="0028370D"/>
    <w:rsid w:val="0028373A"/>
    <w:rsid w:val="00283798"/>
    <w:rsid w:val="002837BB"/>
    <w:rsid w:val="0028382A"/>
    <w:rsid w:val="0028389E"/>
    <w:rsid w:val="002838B7"/>
    <w:rsid w:val="0028393D"/>
    <w:rsid w:val="00283970"/>
    <w:rsid w:val="0028398E"/>
    <w:rsid w:val="002839AC"/>
    <w:rsid w:val="00283A2B"/>
    <w:rsid w:val="00283A42"/>
    <w:rsid w:val="00283AE1"/>
    <w:rsid w:val="00283AF9"/>
    <w:rsid w:val="00283C4D"/>
    <w:rsid w:val="00283C6F"/>
    <w:rsid w:val="00283CC6"/>
    <w:rsid w:val="00283D38"/>
    <w:rsid w:val="00283D66"/>
    <w:rsid w:val="00283E24"/>
    <w:rsid w:val="00283E54"/>
    <w:rsid w:val="00283ED1"/>
    <w:rsid w:val="00283EE1"/>
    <w:rsid w:val="00283F4F"/>
    <w:rsid w:val="00283F6F"/>
    <w:rsid w:val="00283FD1"/>
    <w:rsid w:val="00284035"/>
    <w:rsid w:val="00284069"/>
    <w:rsid w:val="002840F4"/>
    <w:rsid w:val="00284139"/>
    <w:rsid w:val="00284364"/>
    <w:rsid w:val="00284411"/>
    <w:rsid w:val="00284438"/>
    <w:rsid w:val="00284439"/>
    <w:rsid w:val="00284491"/>
    <w:rsid w:val="002844CD"/>
    <w:rsid w:val="002844F6"/>
    <w:rsid w:val="00284522"/>
    <w:rsid w:val="00284575"/>
    <w:rsid w:val="002845D7"/>
    <w:rsid w:val="002845E3"/>
    <w:rsid w:val="00284626"/>
    <w:rsid w:val="0028467C"/>
    <w:rsid w:val="002846CA"/>
    <w:rsid w:val="00284715"/>
    <w:rsid w:val="00284727"/>
    <w:rsid w:val="00284777"/>
    <w:rsid w:val="002847E6"/>
    <w:rsid w:val="002848CF"/>
    <w:rsid w:val="0028494A"/>
    <w:rsid w:val="00284A07"/>
    <w:rsid w:val="00284A3F"/>
    <w:rsid w:val="00284B29"/>
    <w:rsid w:val="00284B3E"/>
    <w:rsid w:val="00284B64"/>
    <w:rsid w:val="00284B7C"/>
    <w:rsid w:val="00284C0B"/>
    <w:rsid w:val="00284C3E"/>
    <w:rsid w:val="00284C4D"/>
    <w:rsid w:val="00284C73"/>
    <w:rsid w:val="00284CBC"/>
    <w:rsid w:val="00284D46"/>
    <w:rsid w:val="00284D61"/>
    <w:rsid w:val="00284DBD"/>
    <w:rsid w:val="00284E64"/>
    <w:rsid w:val="00284E7D"/>
    <w:rsid w:val="00284E93"/>
    <w:rsid w:val="00284E9B"/>
    <w:rsid w:val="00284EE5"/>
    <w:rsid w:val="00284F7B"/>
    <w:rsid w:val="00285017"/>
    <w:rsid w:val="00285024"/>
    <w:rsid w:val="00285048"/>
    <w:rsid w:val="0028512E"/>
    <w:rsid w:val="002851CD"/>
    <w:rsid w:val="002851D1"/>
    <w:rsid w:val="0028525C"/>
    <w:rsid w:val="002853D7"/>
    <w:rsid w:val="002853FA"/>
    <w:rsid w:val="0028551B"/>
    <w:rsid w:val="0028552F"/>
    <w:rsid w:val="00285530"/>
    <w:rsid w:val="00285541"/>
    <w:rsid w:val="0028554E"/>
    <w:rsid w:val="00285555"/>
    <w:rsid w:val="002855FD"/>
    <w:rsid w:val="00285624"/>
    <w:rsid w:val="0028565A"/>
    <w:rsid w:val="002856F1"/>
    <w:rsid w:val="00285745"/>
    <w:rsid w:val="0028575C"/>
    <w:rsid w:val="002857A9"/>
    <w:rsid w:val="002857E4"/>
    <w:rsid w:val="00285821"/>
    <w:rsid w:val="0028582A"/>
    <w:rsid w:val="0028588C"/>
    <w:rsid w:val="00285943"/>
    <w:rsid w:val="0028594B"/>
    <w:rsid w:val="0028595E"/>
    <w:rsid w:val="002859BB"/>
    <w:rsid w:val="002859D7"/>
    <w:rsid w:val="002859DF"/>
    <w:rsid w:val="00285A6A"/>
    <w:rsid w:val="00285A6D"/>
    <w:rsid w:val="00285AD8"/>
    <w:rsid w:val="00285B79"/>
    <w:rsid w:val="00285B92"/>
    <w:rsid w:val="00285BA0"/>
    <w:rsid w:val="00285C2B"/>
    <w:rsid w:val="00285D04"/>
    <w:rsid w:val="00285E60"/>
    <w:rsid w:val="00285E65"/>
    <w:rsid w:val="00285E69"/>
    <w:rsid w:val="00285E9B"/>
    <w:rsid w:val="00285F2E"/>
    <w:rsid w:val="00285FB8"/>
    <w:rsid w:val="00285FBC"/>
    <w:rsid w:val="00285FEB"/>
    <w:rsid w:val="00286022"/>
    <w:rsid w:val="00286036"/>
    <w:rsid w:val="00286042"/>
    <w:rsid w:val="0028605C"/>
    <w:rsid w:val="00286063"/>
    <w:rsid w:val="002860D4"/>
    <w:rsid w:val="002860E7"/>
    <w:rsid w:val="002860F4"/>
    <w:rsid w:val="0028610F"/>
    <w:rsid w:val="00286146"/>
    <w:rsid w:val="0028621F"/>
    <w:rsid w:val="0028623F"/>
    <w:rsid w:val="0028625E"/>
    <w:rsid w:val="0028627F"/>
    <w:rsid w:val="00286293"/>
    <w:rsid w:val="002862C4"/>
    <w:rsid w:val="0028632B"/>
    <w:rsid w:val="0028639F"/>
    <w:rsid w:val="00286408"/>
    <w:rsid w:val="002864CF"/>
    <w:rsid w:val="00286584"/>
    <w:rsid w:val="002865C2"/>
    <w:rsid w:val="0028662C"/>
    <w:rsid w:val="00286655"/>
    <w:rsid w:val="002866C3"/>
    <w:rsid w:val="0028670A"/>
    <w:rsid w:val="002867D3"/>
    <w:rsid w:val="002868BF"/>
    <w:rsid w:val="00286948"/>
    <w:rsid w:val="002869D7"/>
    <w:rsid w:val="002869E2"/>
    <w:rsid w:val="00286B21"/>
    <w:rsid w:val="00286B6E"/>
    <w:rsid w:val="00286BE5"/>
    <w:rsid w:val="00286C20"/>
    <w:rsid w:val="00286C33"/>
    <w:rsid w:val="00286C65"/>
    <w:rsid w:val="00286D0F"/>
    <w:rsid w:val="00286D11"/>
    <w:rsid w:val="00286D39"/>
    <w:rsid w:val="00286D5A"/>
    <w:rsid w:val="00286D9F"/>
    <w:rsid w:val="00286E8F"/>
    <w:rsid w:val="00286EC2"/>
    <w:rsid w:val="00286F39"/>
    <w:rsid w:val="00286F93"/>
    <w:rsid w:val="00286FB8"/>
    <w:rsid w:val="00286FF5"/>
    <w:rsid w:val="002870F6"/>
    <w:rsid w:val="00287109"/>
    <w:rsid w:val="0028717B"/>
    <w:rsid w:val="002871EA"/>
    <w:rsid w:val="002872E1"/>
    <w:rsid w:val="00287335"/>
    <w:rsid w:val="002873FD"/>
    <w:rsid w:val="00287435"/>
    <w:rsid w:val="00287452"/>
    <w:rsid w:val="00287465"/>
    <w:rsid w:val="00287479"/>
    <w:rsid w:val="002874DB"/>
    <w:rsid w:val="0028750B"/>
    <w:rsid w:val="00287578"/>
    <w:rsid w:val="00287590"/>
    <w:rsid w:val="0028759A"/>
    <w:rsid w:val="002875D5"/>
    <w:rsid w:val="002876BA"/>
    <w:rsid w:val="00287711"/>
    <w:rsid w:val="002877B5"/>
    <w:rsid w:val="002877C6"/>
    <w:rsid w:val="002877FC"/>
    <w:rsid w:val="00287822"/>
    <w:rsid w:val="0028785E"/>
    <w:rsid w:val="002878BD"/>
    <w:rsid w:val="002878EC"/>
    <w:rsid w:val="00287944"/>
    <w:rsid w:val="002879AA"/>
    <w:rsid w:val="00287A34"/>
    <w:rsid w:val="00287A93"/>
    <w:rsid w:val="00287A9E"/>
    <w:rsid w:val="00287AE8"/>
    <w:rsid w:val="00287B02"/>
    <w:rsid w:val="00287B7C"/>
    <w:rsid w:val="00287C5F"/>
    <w:rsid w:val="00287CE5"/>
    <w:rsid w:val="00287D13"/>
    <w:rsid w:val="00287D7C"/>
    <w:rsid w:val="00287DE5"/>
    <w:rsid w:val="00287E1F"/>
    <w:rsid w:val="00287E7F"/>
    <w:rsid w:val="00287E84"/>
    <w:rsid w:val="00287E98"/>
    <w:rsid w:val="00287FD5"/>
    <w:rsid w:val="00287FE5"/>
    <w:rsid w:val="0029001C"/>
    <w:rsid w:val="00290033"/>
    <w:rsid w:val="00290135"/>
    <w:rsid w:val="0029015F"/>
    <w:rsid w:val="002901CD"/>
    <w:rsid w:val="002901D9"/>
    <w:rsid w:val="00290243"/>
    <w:rsid w:val="002902B6"/>
    <w:rsid w:val="0029040D"/>
    <w:rsid w:val="00290483"/>
    <w:rsid w:val="002904B1"/>
    <w:rsid w:val="002904E0"/>
    <w:rsid w:val="0029063C"/>
    <w:rsid w:val="00290677"/>
    <w:rsid w:val="002906AC"/>
    <w:rsid w:val="00290732"/>
    <w:rsid w:val="00290736"/>
    <w:rsid w:val="0029074E"/>
    <w:rsid w:val="002907AC"/>
    <w:rsid w:val="002907C3"/>
    <w:rsid w:val="002907E5"/>
    <w:rsid w:val="0029083F"/>
    <w:rsid w:val="0029084C"/>
    <w:rsid w:val="002909EB"/>
    <w:rsid w:val="00290AC3"/>
    <w:rsid w:val="00290AC9"/>
    <w:rsid w:val="00290AF8"/>
    <w:rsid w:val="00290B2B"/>
    <w:rsid w:val="00290BC4"/>
    <w:rsid w:val="00290BE1"/>
    <w:rsid w:val="00290C2B"/>
    <w:rsid w:val="00290C69"/>
    <w:rsid w:val="00290CCB"/>
    <w:rsid w:val="00290CD2"/>
    <w:rsid w:val="00290D1C"/>
    <w:rsid w:val="00290D25"/>
    <w:rsid w:val="00290D8A"/>
    <w:rsid w:val="00290DF3"/>
    <w:rsid w:val="00290E07"/>
    <w:rsid w:val="00290E49"/>
    <w:rsid w:val="00290E64"/>
    <w:rsid w:val="00290E89"/>
    <w:rsid w:val="00290E9B"/>
    <w:rsid w:val="00290EB8"/>
    <w:rsid w:val="00290ECB"/>
    <w:rsid w:val="00290F7B"/>
    <w:rsid w:val="00290FA3"/>
    <w:rsid w:val="00290FAE"/>
    <w:rsid w:val="00290FF7"/>
    <w:rsid w:val="00291024"/>
    <w:rsid w:val="00291032"/>
    <w:rsid w:val="0029105E"/>
    <w:rsid w:val="0029105F"/>
    <w:rsid w:val="00291063"/>
    <w:rsid w:val="002910C8"/>
    <w:rsid w:val="002910D8"/>
    <w:rsid w:val="0029118A"/>
    <w:rsid w:val="002911D7"/>
    <w:rsid w:val="0029121A"/>
    <w:rsid w:val="00291334"/>
    <w:rsid w:val="002913F0"/>
    <w:rsid w:val="002913F1"/>
    <w:rsid w:val="0029140D"/>
    <w:rsid w:val="00291449"/>
    <w:rsid w:val="00291453"/>
    <w:rsid w:val="00291470"/>
    <w:rsid w:val="002914A9"/>
    <w:rsid w:val="002914AA"/>
    <w:rsid w:val="002914E2"/>
    <w:rsid w:val="00291504"/>
    <w:rsid w:val="0029158B"/>
    <w:rsid w:val="00291656"/>
    <w:rsid w:val="0029174C"/>
    <w:rsid w:val="0029179F"/>
    <w:rsid w:val="002917CE"/>
    <w:rsid w:val="002917EB"/>
    <w:rsid w:val="00291900"/>
    <w:rsid w:val="00291926"/>
    <w:rsid w:val="00291989"/>
    <w:rsid w:val="002919A7"/>
    <w:rsid w:val="002919C1"/>
    <w:rsid w:val="00291AED"/>
    <w:rsid w:val="00291B37"/>
    <w:rsid w:val="00291B40"/>
    <w:rsid w:val="00291B9F"/>
    <w:rsid w:val="00291C1E"/>
    <w:rsid w:val="00291CA3"/>
    <w:rsid w:val="00291CB1"/>
    <w:rsid w:val="00291CB5"/>
    <w:rsid w:val="00291CCC"/>
    <w:rsid w:val="00291CF7"/>
    <w:rsid w:val="00291D11"/>
    <w:rsid w:val="00291D83"/>
    <w:rsid w:val="00291DE9"/>
    <w:rsid w:val="00291E12"/>
    <w:rsid w:val="00291E1D"/>
    <w:rsid w:val="00291E22"/>
    <w:rsid w:val="00291E3D"/>
    <w:rsid w:val="00291E8E"/>
    <w:rsid w:val="00291EFC"/>
    <w:rsid w:val="00291F28"/>
    <w:rsid w:val="00291F3F"/>
    <w:rsid w:val="00291FBF"/>
    <w:rsid w:val="00292018"/>
    <w:rsid w:val="00292021"/>
    <w:rsid w:val="0029205F"/>
    <w:rsid w:val="00292082"/>
    <w:rsid w:val="002920DD"/>
    <w:rsid w:val="002920E0"/>
    <w:rsid w:val="002921BD"/>
    <w:rsid w:val="002921F0"/>
    <w:rsid w:val="0029220C"/>
    <w:rsid w:val="00292231"/>
    <w:rsid w:val="00292240"/>
    <w:rsid w:val="002922B1"/>
    <w:rsid w:val="0029231B"/>
    <w:rsid w:val="00292330"/>
    <w:rsid w:val="00292342"/>
    <w:rsid w:val="0029237B"/>
    <w:rsid w:val="0029237D"/>
    <w:rsid w:val="00292396"/>
    <w:rsid w:val="0029252C"/>
    <w:rsid w:val="002925B9"/>
    <w:rsid w:val="002926C3"/>
    <w:rsid w:val="00292703"/>
    <w:rsid w:val="00292750"/>
    <w:rsid w:val="0029277F"/>
    <w:rsid w:val="0029283E"/>
    <w:rsid w:val="002928E2"/>
    <w:rsid w:val="00292927"/>
    <w:rsid w:val="00292977"/>
    <w:rsid w:val="002929B9"/>
    <w:rsid w:val="002929CE"/>
    <w:rsid w:val="00292A01"/>
    <w:rsid w:val="00292A23"/>
    <w:rsid w:val="00292A3F"/>
    <w:rsid w:val="00292A90"/>
    <w:rsid w:val="00292AF3"/>
    <w:rsid w:val="00292B49"/>
    <w:rsid w:val="00292B5A"/>
    <w:rsid w:val="00292B87"/>
    <w:rsid w:val="00292B88"/>
    <w:rsid w:val="00292BE2"/>
    <w:rsid w:val="00292BE9"/>
    <w:rsid w:val="00292C5C"/>
    <w:rsid w:val="00292CC1"/>
    <w:rsid w:val="00292D0B"/>
    <w:rsid w:val="00292D58"/>
    <w:rsid w:val="00292D5C"/>
    <w:rsid w:val="00292D71"/>
    <w:rsid w:val="00292D8E"/>
    <w:rsid w:val="00292EC6"/>
    <w:rsid w:val="00292EE8"/>
    <w:rsid w:val="00292F04"/>
    <w:rsid w:val="00292FD3"/>
    <w:rsid w:val="00293016"/>
    <w:rsid w:val="00293031"/>
    <w:rsid w:val="002930AC"/>
    <w:rsid w:val="002930F9"/>
    <w:rsid w:val="0029312B"/>
    <w:rsid w:val="0029319A"/>
    <w:rsid w:val="0029321C"/>
    <w:rsid w:val="0029322C"/>
    <w:rsid w:val="00293268"/>
    <w:rsid w:val="00293302"/>
    <w:rsid w:val="0029330B"/>
    <w:rsid w:val="00293328"/>
    <w:rsid w:val="00293337"/>
    <w:rsid w:val="00293395"/>
    <w:rsid w:val="0029341C"/>
    <w:rsid w:val="002934E2"/>
    <w:rsid w:val="002935C2"/>
    <w:rsid w:val="002936AD"/>
    <w:rsid w:val="0029379F"/>
    <w:rsid w:val="002937B4"/>
    <w:rsid w:val="002937E9"/>
    <w:rsid w:val="00293808"/>
    <w:rsid w:val="00293813"/>
    <w:rsid w:val="00293823"/>
    <w:rsid w:val="00293833"/>
    <w:rsid w:val="00293846"/>
    <w:rsid w:val="0029391E"/>
    <w:rsid w:val="00293966"/>
    <w:rsid w:val="00293968"/>
    <w:rsid w:val="00293978"/>
    <w:rsid w:val="002939BA"/>
    <w:rsid w:val="002939EA"/>
    <w:rsid w:val="002939FD"/>
    <w:rsid w:val="00293A74"/>
    <w:rsid w:val="00293A80"/>
    <w:rsid w:val="00293A94"/>
    <w:rsid w:val="00293B63"/>
    <w:rsid w:val="00293BA5"/>
    <w:rsid w:val="00293BCE"/>
    <w:rsid w:val="00293C7A"/>
    <w:rsid w:val="00293D23"/>
    <w:rsid w:val="00293D4A"/>
    <w:rsid w:val="00293D64"/>
    <w:rsid w:val="00293D98"/>
    <w:rsid w:val="00293DB4"/>
    <w:rsid w:val="00293E26"/>
    <w:rsid w:val="00293F08"/>
    <w:rsid w:val="00293F66"/>
    <w:rsid w:val="00293F9A"/>
    <w:rsid w:val="00293FD6"/>
    <w:rsid w:val="00294066"/>
    <w:rsid w:val="0029425F"/>
    <w:rsid w:val="00294291"/>
    <w:rsid w:val="0029435C"/>
    <w:rsid w:val="00294368"/>
    <w:rsid w:val="0029436A"/>
    <w:rsid w:val="002943F5"/>
    <w:rsid w:val="00294413"/>
    <w:rsid w:val="0029442C"/>
    <w:rsid w:val="0029444B"/>
    <w:rsid w:val="00294485"/>
    <w:rsid w:val="00294527"/>
    <w:rsid w:val="00294535"/>
    <w:rsid w:val="002945C1"/>
    <w:rsid w:val="00294635"/>
    <w:rsid w:val="00294662"/>
    <w:rsid w:val="002946BE"/>
    <w:rsid w:val="002946E7"/>
    <w:rsid w:val="0029484B"/>
    <w:rsid w:val="00294856"/>
    <w:rsid w:val="0029486C"/>
    <w:rsid w:val="0029494F"/>
    <w:rsid w:val="002949F4"/>
    <w:rsid w:val="00294A3E"/>
    <w:rsid w:val="00294A8F"/>
    <w:rsid w:val="00294A9E"/>
    <w:rsid w:val="00294AC8"/>
    <w:rsid w:val="00294AD4"/>
    <w:rsid w:val="00294AFB"/>
    <w:rsid w:val="00294B82"/>
    <w:rsid w:val="00294BDF"/>
    <w:rsid w:val="00294BEC"/>
    <w:rsid w:val="00294C50"/>
    <w:rsid w:val="00294C8A"/>
    <w:rsid w:val="00294D4F"/>
    <w:rsid w:val="00294D94"/>
    <w:rsid w:val="00294DC8"/>
    <w:rsid w:val="00294DE0"/>
    <w:rsid w:val="00294E23"/>
    <w:rsid w:val="00294E36"/>
    <w:rsid w:val="00294E44"/>
    <w:rsid w:val="00294E82"/>
    <w:rsid w:val="00294EEF"/>
    <w:rsid w:val="00294F61"/>
    <w:rsid w:val="00295118"/>
    <w:rsid w:val="00295143"/>
    <w:rsid w:val="00295153"/>
    <w:rsid w:val="0029516A"/>
    <w:rsid w:val="00295179"/>
    <w:rsid w:val="00295186"/>
    <w:rsid w:val="00295280"/>
    <w:rsid w:val="00295284"/>
    <w:rsid w:val="00295288"/>
    <w:rsid w:val="002952C8"/>
    <w:rsid w:val="00295461"/>
    <w:rsid w:val="002955E6"/>
    <w:rsid w:val="00295617"/>
    <w:rsid w:val="00295640"/>
    <w:rsid w:val="0029566B"/>
    <w:rsid w:val="00295676"/>
    <w:rsid w:val="002956D2"/>
    <w:rsid w:val="002956E6"/>
    <w:rsid w:val="002956F9"/>
    <w:rsid w:val="00295721"/>
    <w:rsid w:val="0029573C"/>
    <w:rsid w:val="002957A7"/>
    <w:rsid w:val="002957C9"/>
    <w:rsid w:val="002957E4"/>
    <w:rsid w:val="0029582A"/>
    <w:rsid w:val="002958BF"/>
    <w:rsid w:val="00295907"/>
    <w:rsid w:val="00295954"/>
    <w:rsid w:val="00295956"/>
    <w:rsid w:val="00295962"/>
    <w:rsid w:val="00295988"/>
    <w:rsid w:val="0029598A"/>
    <w:rsid w:val="002959DE"/>
    <w:rsid w:val="00295A34"/>
    <w:rsid w:val="00295A53"/>
    <w:rsid w:val="00295A68"/>
    <w:rsid w:val="00295B9C"/>
    <w:rsid w:val="00295BA0"/>
    <w:rsid w:val="00295BA3"/>
    <w:rsid w:val="00295BA6"/>
    <w:rsid w:val="00295C50"/>
    <w:rsid w:val="00295D33"/>
    <w:rsid w:val="00295DD7"/>
    <w:rsid w:val="00295DEC"/>
    <w:rsid w:val="00295E1F"/>
    <w:rsid w:val="00295E69"/>
    <w:rsid w:val="00295E9A"/>
    <w:rsid w:val="00295EB4"/>
    <w:rsid w:val="00295F2D"/>
    <w:rsid w:val="00295F51"/>
    <w:rsid w:val="00295FB5"/>
    <w:rsid w:val="00296010"/>
    <w:rsid w:val="00296021"/>
    <w:rsid w:val="0029606C"/>
    <w:rsid w:val="0029608D"/>
    <w:rsid w:val="00296106"/>
    <w:rsid w:val="00296116"/>
    <w:rsid w:val="00296230"/>
    <w:rsid w:val="0029625D"/>
    <w:rsid w:val="00296288"/>
    <w:rsid w:val="0029632C"/>
    <w:rsid w:val="00296350"/>
    <w:rsid w:val="0029645B"/>
    <w:rsid w:val="00296476"/>
    <w:rsid w:val="002964D3"/>
    <w:rsid w:val="00296510"/>
    <w:rsid w:val="002965DF"/>
    <w:rsid w:val="00296617"/>
    <w:rsid w:val="002967FA"/>
    <w:rsid w:val="00296844"/>
    <w:rsid w:val="0029689D"/>
    <w:rsid w:val="0029689F"/>
    <w:rsid w:val="00296992"/>
    <w:rsid w:val="002969A6"/>
    <w:rsid w:val="00296AA9"/>
    <w:rsid w:val="00296B38"/>
    <w:rsid w:val="00296B4E"/>
    <w:rsid w:val="00296CF2"/>
    <w:rsid w:val="00296D0A"/>
    <w:rsid w:val="00296D0C"/>
    <w:rsid w:val="00296D36"/>
    <w:rsid w:val="00296D5A"/>
    <w:rsid w:val="00296DB2"/>
    <w:rsid w:val="00296DD1"/>
    <w:rsid w:val="00296DDC"/>
    <w:rsid w:val="00296E57"/>
    <w:rsid w:val="00296E88"/>
    <w:rsid w:val="00296ED6"/>
    <w:rsid w:val="00296F01"/>
    <w:rsid w:val="00296F19"/>
    <w:rsid w:val="00296F5E"/>
    <w:rsid w:val="00296F8D"/>
    <w:rsid w:val="00296FC7"/>
    <w:rsid w:val="00296FFD"/>
    <w:rsid w:val="00297005"/>
    <w:rsid w:val="0029704D"/>
    <w:rsid w:val="0029705C"/>
    <w:rsid w:val="0029710B"/>
    <w:rsid w:val="0029716E"/>
    <w:rsid w:val="0029719C"/>
    <w:rsid w:val="002971A8"/>
    <w:rsid w:val="002971D1"/>
    <w:rsid w:val="002971F8"/>
    <w:rsid w:val="00297282"/>
    <w:rsid w:val="002972D5"/>
    <w:rsid w:val="002972EB"/>
    <w:rsid w:val="002972F2"/>
    <w:rsid w:val="00297349"/>
    <w:rsid w:val="00297395"/>
    <w:rsid w:val="002974AB"/>
    <w:rsid w:val="002974BD"/>
    <w:rsid w:val="002974E3"/>
    <w:rsid w:val="002974EF"/>
    <w:rsid w:val="00297545"/>
    <w:rsid w:val="0029754D"/>
    <w:rsid w:val="0029764D"/>
    <w:rsid w:val="00297689"/>
    <w:rsid w:val="0029770B"/>
    <w:rsid w:val="0029772F"/>
    <w:rsid w:val="00297745"/>
    <w:rsid w:val="00297784"/>
    <w:rsid w:val="00297789"/>
    <w:rsid w:val="002977A8"/>
    <w:rsid w:val="002977F6"/>
    <w:rsid w:val="0029781C"/>
    <w:rsid w:val="0029786F"/>
    <w:rsid w:val="00297880"/>
    <w:rsid w:val="0029789C"/>
    <w:rsid w:val="002978A0"/>
    <w:rsid w:val="002978C1"/>
    <w:rsid w:val="002978CA"/>
    <w:rsid w:val="002978FA"/>
    <w:rsid w:val="00297902"/>
    <w:rsid w:val="00297982"/>
    <w:rsid w:val="0029798A"/>
    <w:rsid w:val="00297A3E"/>
    <w:rsid w:val="00297AC8"/>
    <w:rsid w:val="00297BC3"/>
    <w:rsid w:val="00297BD6"/>
    <w:rsid w:val="00297BE2"/>
    <w:rsid w:val="00297C06"/>
    <w:rsid w:val="00297C6C"/>
    <w:rsid w:val="00297CCB"/>
    <w:rsid w:val="00297CD4"/>
    <w:rsid w:val="00297CDE"/>
    <w:rsid w:val="00297CED"/>
    <w:rsid w:val="00297CEE"/>
    <w:rsid w:val="00297DFD"/>
    <w:rsid w:val="00297E19"/>
    <w:rsid w:val="00297EEB"/>
    <w:rsid w:val="00297F07"/>
    <w:rsid w:val="00297F31"/>
    <w:rsid w:val="00297FBA"/>
    <w:rsid w:val="00297FF4"/>
    <w:rsid w:val="002A001E"/>
    <w:rsid w:val="002A0029"/>
    <w:rsid w:val="002A00C6"/>
    <w:rsid w:val="002A00F9"/>
    <w:rsid w:val="002A0145"/>
    <w:rsid w:val="002A01A1"/>
    <w:rsid w:val="002A01D6"/>
    <w:rsid w:val="002A01EB"/>
    <w:rsid w:val="002A0227"/>
    <w:rsid w:val="002A028C"/>
    <w:rsid w:val="002A0341"/>
    <w:rsid w:val="002A0344"/>
    <w:rsid w:val="002A0359"/>
    <w:rsid w:val="002A0379"/>
    <w:rsid w:val="002A0398"/>
    <w:rsid w:val="002A03DA"/>
    <w:rsid w:val="002A040E"/>
    <w:rsid w:val="002A0547"/>
    <w:rsid w:val="002A05AB"/>
    <w:rsid w:val="002A0606"/>
    <w:rsid w:val="002A065B"/>
    <w:rsid w:val="002A0678"/>
    <w:rsid w:val="002A06AC"/>
    <w:rsid w:val="002A0760"/>
    <w:rsid w:val="002A07E6"/>
    <w:rsid w:val="002A0906"/>
    <w:rsid w:val="002A090A"/>
    <w:rsid w:val="002A093B"/>
    <w:rsid w:val="002A094D"/>
    <w:rsid w:val="002A0952"/>
    <w:rsid w:val="002A0958"/>
    <w:rsid w:val="002A096B"/>
    <w:rsid w:val="002A09B4"/>
    <w:rsid w:val="002A09E7"/>
    <w:rsid w:val="002A0A58"/>
    <w:rsid w:val="002A0B0A"/>
    <w:rsid w:val="002A0BB0"/>
    <w:rsid w:val="002A0C71"/>
    <w:rsid w:val="002A0D0B"/>
    <w:rsid w:val="002A0D10"/>
    <w:rsid w:val="002A0D26"/>
    <w:rsid w:val="002A0D70"/>
    <w:rsid w:val="002A0DA1"/>
    <w:rsid w:val="002A0E8A"/>
    <w:rsid w:val="002A0EB4"/>
    <w:rsid w:val="002A0EFE"/>
    <w:rsid w:val="002A0F06"/>
    <w:rsid w:val="002A0F0F"/>
    <w:rsid w:val="002A10A7"/>
    <w:rsid w:val="002A10D5"/>
    <w:rsid w:val="002A1114"/>
    <w:rsid w:val="002A1147"/>
    <w:rsid w:val="002A116B"/>
    <w:rsid w:val="002A119C"/>
    <w:rsid w:val="002A11C8"/>
    <w:rsid w:val="002A1369"/>
    <w:rsid w:val="002A13CE"/>
    <w:rsid w:val="002A13E5"/>
    <w:rsid w:val="002A147C"/>
    <w:rsid w:val="002A148A"/>
    <w:rsid w:val="002A14BA"/>
    <w:rsid w:val="002A14CA"/>
    <w:rsid w:val="002A14DC"/>
    <w:rsid w:val="002A14F4"/>
    <w:rsid w:val="002A1516"/>
    <w:rsid w:val="002A1548"/>
    <w:rsid w:val="002A15B9"/>
    <w:rsid w:val="002A1611"/>
    <w:rsid w:val="002A1660"/>
    <w:rsid w:val="002A16DE"/>
    <w:rsid w:val="002A17B3"/>
    <w:rsid w:val="002A1801"/>
    <w:rsid w:val="002A188E"/>
    <w:rsid w:val="002A1905"/>
    <w:rsid w:val="002A1963"/>
    <w:rsid w:val="002A196B"/>
    <w:rsid w:val="002A1983"/>
    <w:rsid w:val="002A19A2"/>
    <w:rsid w:val="002A19D1"/>
    <w:rsid w:val="002A1A0A"/>
    <w:rsid w:val="002A1A31"/>
    <w:rsid w:val="002A1B4B"/>
    <w:rsid w:val="002A1B88"/>
    <w:rsid w:val="002A1BDA"/>
    <w:rsid w:val="002A1C53"/>
    <w:rsid w:val="002A1C9A"/>
    <w:rsid w:val="002A1D5B"/>
    <w:rsid w:val="002A1DC6"/>
    <w:rsid w:val="002A1EE2"/>
    <w:rsid w:val="002A1EE6"/>
    <w:rsid w:val="002A1F05"/>
    <w:rsid w:val="002A1F3F"/>
    <w:rsid w:val="002A1F6D"/>
    <w:rsid w:val="002A1F96"/>
    <w:rsid w:val="002A1FCE"/>
    <w:rsid w:val="002A208D"/>
    <w:rsid w:val="002A2093"/>
    <w:rsid w:val="002A20A9"/>
    <w:rsid w:val="002A20C1"/>
    <w:rsid w:val="002A20D5"/>
    <w:rsid w:val="002A210E"/>
    <w:rsid w:val="002A213D"/>
    <w:rsid w:val="002A2168"/>
    <w:rsid w:val="002A2208"/>
    <w:rsid w:val="002A22C9"/>
    <w:rsid w:val="002A2351"/>
    <w:rsid w:val="002A2386"/>
    <w:rsid w:val="002A23B4"/>
    <w:rsid w:val="002A2421"/>
    <w:rsid w:val="002A24D8"/>
    <w:rsid w:val="002A24E2"/>
    <w:rsid w:val="002A2576"/>
    <w:rsid w:val="002A25EE"/>
    <w:rsid w:val="002A2695"/>
    <w:rsid w:val="002A26C0"/>
    <w:rsid w:val="002A27C7"/>
    <w:rsid w:val="002A2828"/>
    <w:rsid w:val="002A28AE"/>
    <w:rsid w:val="002A28C4"/>
    <w:rsid w:val="002A2946"/>
    <w:rsid w:val="002A29B0"/>
    <w:rsid w:val="002A2A1A"/>
    <w:rsid w:val="002A2AFC"/>
    <w:rsid w:val="002A2B52"/>
    <w:rsid w:val="002A2BCE"/>
    <w:rsid w:val="002A2C94"/>
    <w:rsid w:val="002A2CB4"/>
    <w:rsid w:val="002A2CFB"/>
    <w:rsid w:val="002A2D72"/>
    <w:rsid w:val="002A2D7C"/>
    <w:rsid w:val="002A2D91"/>
    <w:rsid w:val="002A2D97"/>
    <w:rsid w:val="002A2DA0"/>
    <w:rsid w:val="002A2E05"/>
    <w:rsid w:val="002A2EA0"/>
    <w:rsid w:val="002A2EEA"/>
    <w:rsid w:val="002A2EEB"/>
    <w:rsid w:val="002A2F2C"/>
    <w:rsid w:val="002A2F32"/>
    <w:rsid w:val="002A2F35"/>
    <w:rsid w:val="002A2F61"/>
    <w:rsid w:val="002A2F67"/>
    <w:rsid w:val="002A2FC5"/>
    <w:rsid w:val="002A3023"/>
    <w:rsid w:val="002A3093"/>
    <w:rsid w:val="002A3121"/>
    <w:rsid w:val="002A315C"/>
    <w:rsid w:val="002A3208"/>
    <w:rsid w:val="002A323C"/>
    <w:rsid w:val="002A3258"/>
    <w:rsid w:val="002A3292"/>
    <w:rsid w:val="002A3320"/>
    <w:rsid w:val="002A33D8"/>
    <w:rsid w:val="002A33E0"/>
    <w:rsid w:val="002A343A"/>
    <w:rsid w:val="002A34A9"/>
    <w:rsid w:val="002A34E3"/>
    <w:rsid w:val="002A3586"/>
    <w:rsid w:val="002A3684"/>
    <w:rsid w:val="002A36FA"/>
    <w:rsid w:val="002A3737"/>
    <w:rsid w:val="002A377E"/>
    <w:rsid w:val="002A37E9"/>
    <w:rsid w:val="002A3862"/>
    <w:rsid w:val="002A3885"/>
    <w:rsid w:val="002A394E"/>
    <w:rsid w:val="002A3957"/>
    <w:rsid w:val="002A3A19"/>
    <w:rsid w:val="002A3A1E"/>
    <w:rsid w:val="002A3A47"/>
    <w:rsid w:val="002A3A48"/>
    <w:rsid w:val="002A3AB1"/>
    <w:rsid w:val="002A3B4D"/>
    <w:rsid w:val="002A3B5B"/>
    <w:rsid w:val="002A3C05"/>
    <w:rsid w:val="002A3CA0"/>
    <w:rsid w:val="002A3D74"/>
    <w:rsid w:val="002A3D91"/>
    <w:rsid w:val="002A3DC5"/>
    <w:rsid w:val="002A3DC7"/>
    <w:rsid w:val="002A3DDD"/>
    <w:rsid w:val="002A3DF8"/>
    <w:rsid w:val="002A3DFA"/>
    <w:rsid w:val="002A3E27"/>
    <w:rsid w:val="002A3E29"/>
    <w:rsid w:val="002A3E6A"/>
    <w:rsid w:val="002A3E82"/>
    <w:rsid w:val="002A3EAF"/>
    <w:rsid w:val="002A3F3A"/>
    <w:rsid w:val="002A3F49"/>
    <w:rsid w:val="002A3F56"/>
    <w:rsid w:val="002A3FCA"/>
    <w:rsid w:val="002A3FDD"/>
    <w:rsid w:val="002A4030"/>
    <w:rsid w:val="002A4072"/>
    <w:rsid w:val="002A40FB"/>
    <w:rsid w:val="002A4250"/>
    <w:rsid w:val="002A42A5"/>
    <w:rsid w:val="002A42C7"/>
    <w:rsid w:val="002A42D8"/>
    <w:rsid w:val="002A42FB"/>
    <w:rsid w:val="002A43A8"/>
    <w:rsid w:val="002A43E0"/>
    <w:rsid w:val="002A4468"/>
    <w:rsid w:val="002A4475"/>
    <w:rsid w:val="002A44E6"/>
    <w:rsid w:val="002A44EF"/>
    <w:rsid w:val="002A451B"/>
    <w:rsid w:val="002A4529"/>
    <w:rsid w:val="002A4567"/>
    <w:rsid w:val="002A45B2"/>
    <w:rsid w:val="002A4622"/>
    <w:rsid w:val="002A46A8"/>
    <w:rsid w:val="002A46DE"/>
    <w:rsid w:val="002A4753"/>
    <w:rsid w:val="002A4768"/>
    <w:rsid w:val="002A4980"/>
    <w:rsid w:val="002A4991"/>
    <w:rsid w:val="002A49D5"/>
    <w:rsid w:val="002A4AC4"/>
    <w:rsid w:val="002A4B05"/>
    <w:rsid w:val="002A4B7B"/>
    <w:rsid w:val="002A4B85"/>
    <w:rsid w:val="002A4BCB"/>
    <w:rsid w:val="002A4BE9"/>
    <w:rsid w:val="002A4C6F"/>
    <w:rsid w:val="002A4CEF"/>
    <w:rsid w:val="002A4DA1"/>
    <w:rsid w:val="002A4E11"/>
    <w:rsid w:val="002A4E5E"/>
    <w:rsid w:val="002A4E6F"/>
    <w:rsid w:val="002A4E7C"/>
    <w:rsid w:val="002A4F00"/>
    <w:rsid w:val="002A4F9C"/>
    <w:rsid w:val="002A4FE3"/>
    <w:rsid w:val="002A4FE8"/>
    <w:rsid w:val="002A4FFB"/>
    <w:rsid w:val="002A5063"/>
    <w:rsid w:val="002A50BA"/>
    <w:rsid w:val="002A50D0"/>
    <w:rsid w:val="002A514F"/>
    <w:rsid w:val="002A51BB"/>
    <w:rsid w:val="002A51CF"/>
    <w:rsid w:val="002A5206"/>
    <w:rsid w:val="002A524C"/>
    <w:rsid w:val="002A5299"/>
    <w:rsid w:val="002A52C7"/>
    <w:rsid w:val="002A52D8"/>
    <w:rsid w:val="002A53CF"/>
    <w:rsid w:val="002A5430"/>
    <w:rsid w:val="002A5437"/>
    <w:rsid w:val="002A543E"/>
    <w:rsid w:val="002A54CC"/>
    <w:rsid w:val="002A54CF"/>
    <w:rsid w:val="002A54D7"/>
    <w:rsid w:val="002A550C"/>
    <w:rsid w:val="002A5559"/>
    <w:rsid w:val="002A5604"/>
    <w:rsid w:val="002A5639"/>
    <w:rsid w:val="002A56B2"/>
    <w:rsid w:val="002A56C9"/>
    <w:rsid w:val="002A5726"/>
    <w:rsid w:val="002A5729"/>
    <w:rsid w:val="002A5730"/>
    <w:rsid w:val="002A574F"/>
    <w:rsid w:val="002A578D"/>
    <w:rsid w:val="002A57C7"/>
    <w:rsid w:val="002A5873"/>
    <w:rsid w:val="002A5919"/>
    <w:rsid w:val="002A5981"/>
    <w:rsid w:val="002A598C"/>
    <w:rsid w:val="002A59B9"/>
    <w:rsid w:val="002A59DC"/>
    <w:rsid w:val="002A5A90"/>
    <w:rsid w:val="002A5A9D"/>
    <w:rsid w:val="002A5AA4"/>
    <w:rsid w:val="002A5AD2"/>
    <w:rsid w:val="002A5B89"/>
    <w:rsid w:val="002A5BB8"/>
    <w:rsid w:val="002A5C17"/>
    <w:rsid w:val="002A5C40"/>
    <w:rsid w:val="002A5C5E"/>
    <w:rsid w:val="002A5D50"/>
    <w:rsid w:val="002A5D5F"/>
    <w:rsid w:val="002A5D6D"/>
    <w:rsid w:val="002A5D7C"/>
    <w:rsid w:val="002A5DC5"/>
    <w:rsid w:val="002A5DCB"/>
    <w:rsid w:val="002A5E01"/>
    <w:rsid w:val="002A5E37"/>
    <w:rsid w:val="002A5E83"/>
    <w:rsid w:val="002A5ED5"/>
    <w:rsid w:val="002A5EE8"/>
    <w:rsid w:val="002A5EF9"/>
    <w:rsid w:val="002A6035"/>
    <w:rsid w:val="002A606B"/>
    <w:rsid w:val="002A60F4"/>
    <w:rsid w:val="002A6155"/>
    <w:rsid w:val="002A61B5"/>
    <w:rsid w:val="002A625A"/>
    <w:rsid w:val="002A626B"/>
    <w:rsid w:val="002A628F"/>
    <w:rsid w:val="002A62B9"/>
    <w:rsid w:val="002A62E1"/>
    <w:rsid w:val="002A631F"/>
    <w:rsid w:val="002A632B"/>
    <w:rsid w:val="002A63D3"/>
    <w:rsid w:val="002A63DF"/>
    <w:rsid w:val="002A6528"/>
    <w:rsid w:val="002A6689"/>
    <w:rsid w:val="002A66AD"/>
    <w:rsid w:val="002A671A"/>
    <w:rsid w:val="002A67D8"/>
    <w:rsid w:val="002A682A"/>
    <w:rsid w:val="002A687D"/>
    <w:rsid w:val="002A68B9"/>
    <w:rsid w:val="002A6946"/>
    <w:rsid w:val="002A6971"/>
    <w:rsid w:val="002A6990"/>
    <w:rsid w:val="002A699A"/>
    <w:rsid w:val="002A69F9"/>
    <w:rsid w:val="002A6A92"/>
    <w:rsid w:val="002A6AB5"/>
    <w:rsid w:val="002A6ABB"/>
    <w:rsid w:val="002A6BA8"/>
    <w:rsid w:val="002A6C76"/>
    <w:rsid w:val="002A6CF6"/>
    <w:rsid w:val="002A6D3A"/>
    <w:rsid w:val="002A6D71"/>
    <w:rsid w:val="002A6D93"/>
    <w:rsid w:val="002A6E3C"/>
    <w:rsid w:val="002A6E59"/>
    <w:rsid w:val="002A6E65"/>
    <w:rsid w:val="002A6EC5"/>
    <w:rsid w:val="002A702F"/>
    <w:rsid w:val="002A707E"/>
    <w:rsid w:val="002A70CE"/>
    <w:rsid w:val="002A7118"/>
    <w:rsid w:val="002A7139"/>
    <w:rsid w:val="002A7173"/>
    <w:rsid w:val="002A71A9"/>
    <w:rsid w:val="002A7437"/>
    <w:rsid w:val="002A745F"/>
    <w:rsid w:val="002A74A7"/>
    <w:rsid w:val="002A74E2"/>
    <w:rsid w:val="002A74F4"/>
    <w:rsid w:val="002A7501"/>
    <w:rsid w:val="002A757F"/>
    <w:rsid w:val="002A75B6"/>
    <w:rsid w:val="002A75C0"/>
    <w:rsid w:val="002A75E4"/>
    <w:rsid w:val="002A7658"/>
    <w:rsid w:val="002A76B9"/>
    <w:rsid w:val="002A76DA"/>
    <w:rsid w:val="002A76E9"/>
    <w:rsid w:val="002A7740"/>
    <w:rsid w:val="002A77A4"/>
    <w:rsid w:val="002A78DD"/>
    <w:rsid w:val="002A78F2"/>
    <w:rsid w:val="002A79F1"/>
    <w:rsid w:val="002A7A0C"/>
    <w:rsid w:val="002A7A67"/>
    <w:rsid w:val="002A7A6A"/>
    <w:rsid w:val="002A7AFF"/>
    <w:rsid w:val="002A7B0D"/>
    <w:rsid w:val="002A7B1F"/>
    <w:rsid w:val="002A7BFA"/>
    <w:rsid w:val="002A7C34"/>
    <w:rsid w:val="002A7D0F"/>
    <w:rsid w:val="002A7D61"/>
    <w:rsid w:val="002A7D79"/>
    <w:rsid w:val="002A7DB8"/>
    <w:rsid w:val="002A7DE1"/>
    <w:rsid w:val="002A7DE5"/>
    <w:rsid w:val="002A7E93"/>
    <w:rsid w:val="002A7EEC"/>
    <w:rsid w:val="002A7F29"/>
    <w:rsid w:val="002A7F43"/>
    <w:rsid w:val="002AF35B"/>
    <w:rsid w:val="002B0056"/>
    <w:rsid w:val="002B009D"/>
    <w:rsid w:val="002B00E9"/>
    <w:rsid w:val="002B0242"/>
    <w:rsid w:val="002B0249"/>
    <w:rsid w:val="002B0260"/>
    <w:rsid w:val="002B026A"/>
    <w:rsid w:val="002B027E"/>
    <w:rsid w:val="002B0375"/>
    <w:rsid w:val="002B03D3"/>
    <w:rsid w:val="002B0425"/>
    <w:rsid w:val="002B042D"/>
    <w:rsid w:val="002B04C9"/>
    <w:rsid w:val="002B04CE"/>
    <w:rsid w:val="002B04F0"/>
    <w:rsid w:val="002B0519"/>
    <w:rsid w:val="002B0540"/>
    <w:rsid w:val="002B05D0"/>
    <w:rsid w:val="002B06BF"/>
    <w:rsid w:val="002B0765"/>
    <w:rsid w:val="002B0789"/>
    <w:rsid w:val="002B07E3"/>
    <w:rsid w:val="002B0800"/>
    <w:rsid w:val="002B0841"/>
    <w:rsid w:val="002B084C"/>
    <w:rsid w:val="002B0949"/>
    <w:rsid w:val="002B099E"/>
    <w:rsid w:val="002B0A08"/>
    <w:rsid w:val="002B0AFF"/>
    <w:rsid w:val="002B0B7B"/>
    <w:rsid w:val="002B0C7F"/>
    <w:rsid w:val="002B0C94"/>
    <w:rsid w:val="002B0C9F"/>
    <w:rsid w:val="002B0CFB"/>
    <w:rsid w:val="002B0D07"/>
    <w:rsid w:val="002B0D65"/>
    <w:rsid w:val="002B0DDA"/>
    <w:rsid w:val="002B0E1A"/>
    <w:rsid w:val="002B0E59"/>
    <w:rsid w:val="002B0EB7"/>
    <w:rsid w:val="002B0F7F"/>
    <w:rsid w:val="002B0F94"/>
    <w:rsid w:val="002B1030"/>
    <w:rsid w:val="002B10D0"/>
    <w:rsid w:val="002B10E2"/>
    <w:rsid w:val="002B1155"/>
    <w:rsid w:val="002B11B6"/>
    <w:rsid w:val="002B11C2"/>
    <w:rsid w:val="002B1274"/>
    <w:rsid w:val="002B1304"/>
    <w:rsid w:val="002B136A"/>
    <w:rsid w:val="002B1383"/>
    <w:rsid w:val="002B13E4"/>
    <w:rsid w:val="002B1419"/>
    <w:rsid w:val="002B1504"/>
    <w:rsid w:val="002B15CC"/>
    <w:rsid w:val="002B15D9"/>
    <w:rsid w:val="002B15EC"/>
    <w:rsid w:val="002B15FC"/>
    <w:rsid w:val="002B160C"/>
    <w:rsid w:val="002B1693"/>
    <w:rsid w:val="002B169C"/>
    <w:rsid w:val="002B16AC"/>
    <w:rsid w:val="002B16DB"/>
    <w:rsid w:val="002B17D9"/>
    <w:rsid w:val="002B1895"/>
    <w:rsid w:val="002B19BE"/>
    <w:rsid w:val="002B19C8"/>
    <w:rsid w:val="002B1A0B"/>
    <w:rsid w:val="002B1A5C"/>
    <w:rsid w:val="002B1B64"/>
    <w:rsid w:val="002B1C0F"/>
    <w:rsid w:val="002B1C91"/>
    <w:rsid w:val="002B1C9E"/>
    <w:rsid w:val="002B1CBD"/>
    <w:rsid w:val="002B1D67"/>
    <w:rsid w:val="002B1DA7"/>
    <w:rsid w:val="002B1DC0"/>
    <w:rsid w:val="002B1DD0"/>
    <w:rsid w:val="002B1DEA"/>
    <w:rsid w:val="002B1E1D"/>
    <w:rsid w:val="002B1F31"/>
    <w:rsid w:val="002B1F3C"/>
    <w:rsid w:val="002B206B"/>
    <w:rsid w:val="002B215A"/>
    <w:rsid w:val="002B21E8"/>
    <w:rsid w:val="002B2217"/>
    <w:rsid w:val="002B222A"/>
    <w:rsid w:val="002B230B"/>
    <w:rsid w:val="002B235A"/>
    <w:rsid w:val="002B238F"/>
    <w:rsid w:val="002B23B2"/>
    <w:rsid w:val="002B2433"/>
    <w:rsid w:val="002B2435"/>
    <w:rsid w:val="002B247D"/>
    <w:rsid w:val="002B24B6"/>
    <w:rsid w:val="002B2577"/>
    <w:rsid w:val="002B262C"/>
    <w:rsid w:val="002B262E"/>
    <w:rsid w:val="002B2681"/>
    <w:rsid w:val="002B26B9"/>
    <w:rsid w:val="002B26BA"/>
    <w:rsid w:val="002B26F9"/>
    <w:rsid w:val="002B26FB"/>
    <w:rsid w:val="002B274D"/>
    <w:rsid w:val="002B27A7"/>
    <w:rsid w:val="002B27F2"/>
    <w:rsid w:val="002B2806"/>
    <w:rsid w:val="002B2815"/>
    <w:rsid w:val="002B2909"/>
    <w:rsid w:val="002B295D"/>
    <w:rsid w:val="002B29B0"/>
    <w:rsid w:val="002B29F6"/>
    <w:rsid w:val="002B2A60"/>
    <w:rsid w:val="002B2AA8"/>
    <w:rsid w:val="002B2AB0"/>
    <w:rsid w:val="002B2AB1"/>
    <w:rsid w:val="002B2AC6"/>
    <w:rsid w:val="002B2AE5"/>
    <w:rsid w:val="002B2AE8"/>
    <w:rsid w:val="002B2B99"/>
    <w:rsid w:val="002B2BB4"/>
    <w:rsid w:val="002B2C47"/>
    <w:rsid w:val="002B2C82"/>
    <w:rsid w:val="002B2CAF"/>
    <w:rsid w:val="002B2DD2"/>
    <w:rsid w:val="002B2DE8"/>
    <w:rsid w:val="002B2E01"/>
    <w:rsid w:val="002B2E38"/>
    <w:rsid w:val="002B2EBD"/>
    <w:rsid w:val="002B2ECA"/>
    <w:rsid w:val="002B2EE2"/>
    <w:rsid w:val="002B2F49"/>
    <w:rsid w:val="002B2F92"/>
    <w:rsid w:val="002B2FA5"/>
    <w:rsid w:val="002B2FE1"/>
    <w:rsid w:val="002B300C"/>
    <w:rsid w:val="002B3018"/>
    <w:rsid w:val="002B3045"/>
    <w:rsid w:val="002B3052"/>
    <w:rsid w:val="002B3066"/>
    <w:rsid w:val="002B3069"/>
    <w:rsid w:val="002B30A1"/>
    <w:rsid w:val="002B30B6"/>
    <w:rsid w:val="002B30C3"/>
    <w:rsid w:val="002B30FE"/>
    <w:rsid w:val="002B3152"/>
    <w:rsid w:val="002B316F"/>
    <w:rsid w:val="002B31A6"/>
    <w:rsid w:val="002B31D4"/>
    <w:rsid w:val="002B31D5"/>
    <w:rsid w:val="002B3317"/>
    <w:rsid w:val="002B3319"/>
    <w:rsid w:val="002B333B"/>
    <w:rsid w:val="002B334B"/>
    <w:rsid w:val="002B3365"/>
    <w:rsid w:val="002B33BA"/>
    <w:rsid w:val="002B33EF"/>
    <w:rsid w:val="002B3408"/>
    <w:rsid w:val="002B3420"/>
    <w:rsid w:val="002B3451"/>
    <w:rsid w:val="002B3516"/>
    <w:rsid w:val="002B351E"/>
    <w:rsid w:val="002B3552"/>
    <w:rsid w:val="002B3564"/>
    <w:rsid w:val="002B3597"/>
    <w:rsid w:val="002B367F"/>
    <w:rsid w:val="002B36C4"/>
    <w:rsid w:val="002B3715"/>
    <w:rsid w:val="002B3785"/>
    <w:rsid w:val="002B384A"/>
    <w:rsid w:val="002B3850"/>
    <w:rsid w:val="002B389D"/>
    <w:rsid w:val="002B38D8"/>
    <w:rsid w:val="002B3A5E"/>
    <w:rsid w:val="002B3AD2"/>
    <w:rsid w:val="002B3AFB"/>
    <w:rsid w:val="002B3B18"/>
    <w:rsid w:val="002B3BDC"/>
    <w:rsid w:val="002B3BEF"/>
    <w:rsid w:val="002B3C6D"/>
    <w:rsid w:val="002B3C73"/>
    <w:rsid w:val="002B3CC7"/>
    <w:rsid w:val="002B3D3F"/>
    <w:rsid w:val="002B3D4A"/>
    <w:rsid w:val="002B3DFD"/>
    <w:rsid w:val="002B3F42"/>
    <w:rsid w:val="002B3F75"/>
    <w:rsid w:val="002B4024"/>
    <w:rsid w:val="002B4054"/>
    <w:rsid w:val="002B4055"/>
    <w:rsid w:val="002B4094"/>
    <w:rsid w:val="002B40B1"/>
    <w:rsid w:val="002B40B5"/>
    <w:rsid w:val="002B4146"/>
    <w:rsid w:val="002B4180"/>
    <w:rsid w:val="002B4190"/>
    <w:rsid w:val="002B4238"/>
    <w:rsid w:val="002B4268"/>
    <w:rsid w:val="002B426C"/>
    <w:rsid w:val="002B427C"/>
    <w:rsid w:val="002B42A8"/>
    <w:rsid w:val="002B4384"/>
    <w:rsid w:val="002B4410"/>
    <w:rsid w:val="002B4430"/>
    <w:rsid w:val="002B44B0"/>
    <w:rsid w:val="002B44B4"/>
    <w:rsid w:val="002B4561"/>
    <w:rsid w:val="002B456D"/>
    <w:rsid w:val="002B456F"/>
    <w:rsid w:val="002B459F"/>
    <w:rsid w:val="002B45F3"/>
    <w:rsid w:val="002B460C"/>
    <w:rsid w:val="002B4666"/>
    <w:rsid w:val="002B46B8"/>
    <w:rsid w:val="002B47D9"/>
    <w:rsid w:val="002B481A"/>
    <w:rsid w:val="002B4892"/>
    <w:rsid w:val="002B48E4"/>
    <w:rsid w:val="002B4905"/>
    <w:rsid w:val="002B493A"/>
    <w:rsid w:val="002B49B1"/>
    <w:rsid w:val="002B49CC"/>
    <w:rsid w:val="002B49E1"/>
    <w:rsid w:val="002B49FA"/>
    <w:rsid w:val="002B4A65"/>
    <w:rsid w:val="002B4AED"/>
    <w:rsid w:val="002B4B8C"/>
    <w:rsid w:val="002B4B9F"/>
    <w:rsid w:val="002B4BE8"/>
    <w:rsid w:val="002B4C84"/>
    <w:rsid w:val="002B4CAC"/>
    <w:rsid w:val="002B4CBF"/>
    <w:rsid w:val="002B4D22"/>
    <w:rsid w:val="002B4DDB"/>
    <w:rsid w:val="002B4DF2"/>
    <w:rsid w:val="002B4E53"/>
    <w:rsid w:val="002B4E98"/>
    <w:rsid w:val="002B4ED1"/>
    <w:rsid w:val="002B4F0F"/>
    <w:rsid w:val="002B4F46"/>
    <w:rsid w:val="002B4F65"/>
    <w:rsid w:val="002B4F96"/>
    <w:rsid w:val="002B5009"/>
    <w:rsid w:val="002B505D"/>
    <w:rsid w:val="002B50F1"/>
    <w:rsid w:val="002B515E"/>
    <w:rsid w:val="002B521A"/>
    <w:rsid w:val="002B5263"/>
    <w:rsid w:val="002B5299"/>
    <w:rsid w:val="002B52A2"/>
    <w:rsid w:val="002B536A"/>
    <w:rsid w:val="002B53AD"/>
    <w:rsid w:val="002B53B2"/>
    <w:rsid w:val="002B53B5"/>
    <w:rsid w:val="002B545C"/>
    <w:rsid w:val="002B5514"/>
    <w:rsid w:val="002B56D6"/>
    <w:rsid w:val="002B56F2"/>
    <w:rsid w:val="002B5739"/>
    <w:rsid w:val="002B57F6"/>
    <w:rsid w:val="002B5897"/>
    <w:rsid w:val="002B58E4"/>
    <w:rsid w:val="002B590A"/>
    <w:rsid w:val="002B5961"/>
    <w:rsid w:val="002B59E6"/>
    <w:rsid w:val="002B5ABD"/>
    <w:rsid w:val="002B5B9C"/>
    <w:rsid w:val="002B5BB7"/>
    <w:rsid w:val="002B5C51"/>
    <w:rsid w:val="002B5C75"/>
    <w:rsid w:val="002B5C96"/>
    <w:rsid w:val="002B5CE3"/>
    <w:rsid w:val="002B5DDA"/>
    <w:rsid w:val="002B5E13"/>
    <w:rsid w:val="002B5E66"/>
    <w:rsid w:val="002B5E76"/>
    <w:rsid w:val="002B5EAD"/>
    <w:rsid w:val="002B5EC8"/>
    <w:rsid w:val="002B5ECE"/>
    <w:rsid w:val="002B6007"/>
    <w:rsid w:val="002B60C4"/>
    <w:rsid w:val="002B6106"/>
    <w:rsid w:val="002B6168"/>
    <w:rsid w:val="002B6169"/>
    <w:rsid w:val="002B6180"/>
    <w:rsid w:val="002B61C8"/>
    <w:rsid w:val="002B625C"/>
    <w:rsid w:val="002B628A"/>
    <w:rsid w:val="002B6295"/>
    <w:rsid w:val="002B635D"/>
    <w:rsid w:val="002B639A"/>
    <w:rsid w:val="002B640A"/>
    <w:rsid w:val="002B646C"/>
    <w:rsid w:val="002B6493"/>
    <w:rsid w:val="002B66EF"/>
    <w:rsid w:val="002B670F"/>
    <w:rsid w:val="002B6798"/>
    <w:rsid w:val="002B690E"/>
    <w:rsid w:val="002B69E0"/>
    <w:rsid w:val="002B6A11"/>
    <w:rsid w:val="002B6A26"/>
    <w:rsid w:val="002B6A2B"/>
    <w:rsid w:val="002B6A7B"/>
    <w:rsid w:val="002B6A7F"/>
    <w:rsid w:val="002B6ADD"/>
    <w:rsid w:val="002B6AE0"/>
    <w:rsid w:val="002B6B6E"/>
    <w:rsid w:val="002B6BA3"/>
    <w:rsid w:val="002B6BAC"/>
    <w:rsid w:val="002B6BCC"/>
    <w:rsid w:val="002B6C89"/>
    <w:rsid w:val="002B6DAB"/>
    <w:rsid w:val="002B6F6F"/>
    <w:rsid w:val="002B6F92"/>
    <w:rsid w:val="002B6FB5"/>
    <w:rsid w:val="002B6FF7"/>
    <w:rsid w:val="002B7013"/>
    <w:rsid w:val="002B7080"/>
    <w:rsid w:val="002B70E1"/>
    <w:rsid w:val="002B717A"/>
    <w:rsid w:val="002B71B6"/>
    <w:rsid w:val="002B71C1"/>
    <w:rsid w:val="002B72CA"/>
    <w:rsid w:val="002B73C0"/>
    <w:rsid w:val="002B73D5"/>
    <w:rsid w:val="002B7416"/>
    <w:rsid w:val="002B7452"/>
    <w:rsid w:val="002B7477"/>
    <w:rsid w:val="002B7487"/>
    <w:rsid w:val="002B7615"/>
    <w:rsid w:val="002B769B"/>
    <w:rsid w:val="002B76AD"/>
    <w:rsid w:val="002B76C9"/>
    <w:rsid w:val="002B76EA"/>
    <w:rsid w:val="002B76F5"/>
    <w:rsid w:val="002B7700"/>
    <w:rsid w:val="002B7704"/>
    <w:rsid w:val="002B7718"/>
    <w:rsid w:val="002B7734"/>
    <w:rsid w:val="002B773E"/>
    <w:rsid w:val="002B77C8"/>
    <w:rsid w:val="002B78C3"/>
    <w:rsid w:val="002B7932"/>
    <w:rsid w:val="002B7936"/>
    <w:rsid w:val="002B79B5"/>
    <w:rsid w:val="002B7A16"/>
    <w:rsid w:val="002B7A63"/>
    <w:rsid w:val="002B7B02"/>
    <w:rsid w:val="002B7B57"/>
    <w:rsid w:val="002B7BE3"/>
    <w:rsid w:val="002B7C2F"/>
    <w:rsid w:val="002B7C9E"/>
    <w:rsid w:val="002B7CB5"/>
    <w:rsid w:val="002B7E06"/>
    <w:rsid w:val="002B7F17"/>
    <w:rsid w:val="002B7F49"/>
    <w:rsid w:val="002B7F7F"/>
    <w:rsid w:val="002B7FB5"/>
    <w:rsid w:val="002B7FEA"/>
    <w:rsid w:val="002B7FF3"/>
    <w:rsid w:val="002B7FFB"/>
    <w:rsid w:val="002C004D"/>
    <w:rsid w:val="002C0053"/>
    <w:rsid w:val="002C00D3"/>
    <w:rsid w:val="002C0121"/>
    <w:rsid w:val="002C0162"/>
    <w:rsid w:val="002C0333"/>
    <w:rsid w:val="002C03B2"/>
    <w:rsid w:val="002C03BC"/>
    <w:rsid w:val="002C041B"/>
    <w:rsid w:val="002C0541"/>
    <w:rsid w:val="002C0542"/>
    <w:rsid w:val="002C058F"/>
    <w:rsid w:val="002C05D4"/>
    <w:rsid w:val="002C05F3"/>
    <w:rsid w:val="002C0645"/>
    <w:rsid w:val="002C064A"/>
    <w:rsid w:val="002C0689"/>
    <w:rsid w:val="002C06C5"/>
    <w:rsid w:val="002C06CC"/>
    <w:rsid w:val="002C0719"/>
    <w:rsid w:val="002C0721"/>
    <w:rsid w:val="002C077A"/>
    <w:rsid w:val="002C0786"/>
    <w:rsid w:val="002C07C1"/>
    <w:rsid w:val="002C07FA"/>
    <w:rsid w:val="002C0824"/>
    <w:rsid w:val="002C082D"/>
    <w:rsid w:val="002C0905"/>
    <w:rsid w:val="002C09CB"/>
    <w:rsid w:val="002C09E6"/>
    <w:rsid w:val="002C09FC"/>
    <w:rsid w:val="002C0A12"/>
    <w:rsid w:val="002C0AC9"/>
    <w:rsid w:val="002C0C16"/>
    <w:rsid w:val="002C0C2B"/>
    <w:rsid w:val="002C0C51"/>
    <w:rsid w:val="002C0CC5"/>
    <w:rsid w:val="002C0CE9"/>
    <w:rsid w:val="002C0D01"/>
    <w:rsid w:val="002C0D14"/>
    <w:rsid w:val="002C0D4C"/>
    <w:rsid w:val="002C0D56"/>
    <w:rsid w:val="002C0DE2"/>
    <w:rsid w:val="002C0E2C"/>
    <w:rsid w:val="002C0EB4"/>
    <w:rsid w:val="002C0EFB"/>
    <w:rsid w:val="002C0F37"/>
    <w:rsid w:val="002C0F69"/>
    <w:rsid w:val="002C0F77"/>
    <w:rsid w:val="002C0F7C"/>
    <w:rsid w:val="002C0FC0"/>
    <w:rsid w:val="002C0FE5"/>
    <w:rsid w:val="002C1067"/>
    <w:rsid w:val="002C1081"/>
    <w:rsid w:val="002C10DE"/>
    <w:rsid w:val="002C11FE"/>
    <w:rsid w:val="002C123F"/>
    <w:rsid w:val="002C1264"/>
    <w:rsid w:val="002C1267"/>
    <w:rsid w:val="002C1277"/>
    <w:rsid w:val="002C12EB"/>
    <w:rsid w:val="002C136E"/>
    <w:rsid w:val="002C13A9"/>
    <w:rsid w:val="002C1438"/>
    <w:rsid w:val="002C1439"/>
    <w:rsid w:val="002C147E"/>
    <w:rsid w:val="002C148D"/>
    <w:rsid w:val="002C1502"/>
    <w:rsid w:val="002C162A"/>
    <w:rsid w:val="002C16D0"/>
    <w:rsid w:val="002C16D7"/>
    <w:rsid w:val="002C16DD"/>
    <w:rsid w:val="002C1758"/>
    <w:rsid w:val="002C17A3"/>
    <w:rsid w:val="002C17AA"/>
    <w:rsid w:val="002C1819"/>
    <w:rsid w:val="002C1830"/>
    <w:rsid w:val="002C1878"/>
    <w:rsid w:val="002C188D"/>
    <w:rsid w:val="002C189B"/>
    <w:rsid w:val="002C18BB"/>
    <w:rsid w:val="002C18C7"/>
    <w:rsid w:val="002C1907"/>
    <w:rsid w:val="002C199E"/>
    <w:rsid w:val="002C19F2"/>
    <w:rsid w:val="002C19F4"/>
    <w:rsid w:val="002C1A10"/>
    <w:rsid w:val="002C1A3E"/>
    <w:rsid w:val="002C1B8B"/>
    <w:rsid w:val="002C1BAE"/>
    <w:rsid w:val="002C1CE4"/>
    <w:rsid w:val="002C1D41"/>
    <w:rsid w:val="002C1D46"/>
    <w:rsid w:val="002C1D96"/>
    <w:rsid w:val="002C1DDF"/>
    <w:rsid w:val="002C1E4A"/>
    <w:rsid w:val="002C1E81"/>
    <w:rsid w:val="002C1EC5"/>
    <w:rsid w:val="002C1EE3"/>
    <w:rsid w:val="002C1EF4"/>
    <w:rsid w:val="002C1F5C"/>
    <w:rsid w:val="002C1F96"/>
    <w:rsid w:val="002C201A"/>
    <w:rsid w:val="002C20E5"/>
    <w:rsid w:val="002C2180"/>
    <w:rsid w:val="002C2240"/>
    <w:rsid w:val="002C2244"/>
    <w:rsid w:val="002C224F"/>
    <w:rsid w:val="002C22A3"/>
    <w:rsid w:val="002C22B3"/>
    <w:rsid w:val="002C22D1"/>
    <w:rsid w:val="002C2317"/>
    <w:rsid w:val="002C2422"/>
    <w:rsid w:val="002C2439"/>
    <w:rsid w:val="002C24A6"/>
    <w:rsid w:val="002C2540"/>
    <w:rsid w:val="002C2563"/>
    <w:rsid w:val="002C261D"/>
    <w:rsid w:val="002C2725"/>
    <w:rsid w:val="002C2768"/>
    <w:rsid w:val="002C2894"/>
    <w:rsid w:val="002C28BE"/>
    <w:rsid w:val="002C28F4"/>
    <w:rsid w:val="002C2954"/>
    <w:rsid w:val="002C298D"/>
    <w:rsid w:val="002C298F"/>
    <w:rsid w:val="002C29E8"/>
    <w:rsid w:val="002C2A46"/>
    <w:rsid w:val="002C2B81"/>
    <w:rsid w:val="002C2BBE"/>
    <w:rsid w:val="002C2C7B"/>
    <w:rsid w:val="002C2C9E"/>
    <w:rsid w:val="002C2CD2"/>
    <w:rsid w:val="002C2D02"/>
    <w:rsid w:val="002C2D20"/>
    <w:rsid w:val="002C2D7E"/>
    <w:rsid w:val="002C2DA6"/>
    <w:rsid w:val="002C2DDF"/>
    <w:rsid w:val="002C2DED"/>
    <w:rsid w:val="002C2E81"/>
    <w:rsid w:val="002C2F11"/>
    <w:rsid w:val="002C2F35"/>
    <w:rsid w:val="002C2F3A"/>
    <w:rsid w:val="002C2F84"/>
    <w:rsid w:val="002C2FF8"/>
    <w:rsid w:val="002C3100"/>
    <w:rsid w:val="002C3105"/>
    <w:rsid w:val="002C3134"/>
    <w:rsid w:val="002C3139"/>
    <w:rsid w:val="002C319D"/>
    <w:rsid w:val="002C31C3"/>
    <w:rsid w:val="002C33A4"/>
    <w:rsid w:val="002C33C2"/>
    <w:rsid w:val="002C344D"/>
    <w:rsid w:val="002C3471"/>
    <w:rsid w:val="002C349E"/>
    <w:rsid w:val="002C34BE"/>
    <w:rsid w:val="002C34DB"/>
    <w:rsid w:val="002C3512"/>
    <w:rsid w:val="002C3571"/>
    <w:rsid w:val="002C3592"/>
    <w:rsid w:val="002C35F3"/>
    <w:rsid w:val="002C3638"/>
    <w:rsid w:val="002C363E"/>
    <w:rsid w:val="002C3658"/>
    <w:rsid w:val="002C367B"/>
    <w:rsid w:val="002C368B"/>
    <w:rsid w:val="002C36A0"/>
    <w:rsid w:val="002C371B"/>
    <w:rsid w:val="002C37B1"/>
    <w:rsid w:val="002C3830"/>
    <w:rsid w:val="002C38AC"/>
    <w:rsid w:val="002C3902"/>
    <w:rsid w:val="002C3941"/>
    <w:rsid w:val="002C396C"/>
    <w:rsid w:val="002C39FB"/>
    <w:rsid w:val="002C3A23"/>
    <w:rsid w:val="002C3AC7"/>
    <w:rsid w:val="002C3AE5"/>
    <w:rsid w:val="002C3B6E"/>
    <w:rsid w:val="002C3BC4"/>
    <w:rsid w:val="002C3BE9"/>
    <w:rsid w:val="002C3C6F"/>
    <w:rsid w:val="002C3CCE"/>
    <w:rsid w:val="002C3D59"/>
    <w:rsid w:val="002C3E88"/>
    <w:rsid w:val="002C3E90"/>
    <w:rsid w:val="002C3F4D"/>
    <w:rsid w:val="002C3F8C"/>
    <w:rsid w:val="002C4040"/>
    <w:rsid w:val="002C406A"/>
    <w:rsid w:val="002C4088"/>
    <w:rsid w:val="002C40D8"/>
    <w:rsid w:val="002C416E"/>
    <w:rsid w:val="002C41A6"/>
    <w:rsid w:val="002C41A7"/>
    <w:rsid w:val="002C4241"/>
    <w:rsid w:val="002C430E"/>
    <w:rsid w:val="002C430F"/>
    <w:rsid w:val="002C431C"/>
    <w:rsid w:val="002C4469"/>
    <w:rsid w:val="002C44C9"/>
    <w:rsid w:val="002C44E0"/>
    <w:rsid w:val="002C453D"/>
    <w:rsid w:val="002C4587"/>
    <w:rsid w:val="002C45C6"/>
    <w:rsid w:val="002C45DD"/>
    <w:rsid w:val="002C45F1"/>
    <w:rsid w:val="002C4638"/>
    <w:rsid w:val="002C4679"/>
    <w:rsid w:val="002C46D6"/>
    <w:rsid w:val="002C472D"/>
    <w:rsid w:val="002C479F"/>
    <w:rsid w:val="002C47B8"/>
    <w:rsid w:val="002C47E4"/>
    <w:rsid w:val="002C4982"/>
    <w:rsid w:val="002C4A22"/>
    <w:rsid w:val="002C4A5C"/>
    <w:rsid w:val="002C4A5E"/>
    <w:rsid w:val="002C4A68"/>
    <w:rsid w:val="002C4A7D"/>
    <w:rsid w:val="002C4A7F"/>
    <w:rsid w:val="002C4A84"/>
    <w:rsid w:val="002C4A93"/>
    <w:rsid w:val="002C4AA1"/>
    <w:rsid w:val="002C4AC5"/>
    <w:rsid w:val="002C4B49"/>
    <w:rsid w:val="002C4BA2"/>
    <w:rsid w:val="002C4BC7"/>
    <w:rsid w:val="002C4BFC"/>
    <w:rsid w:val="002C4CB2"/>
    <w:rsid w:val="002C4CD9"/>
    <w:rsid w:val="002C4DFA"/>
    <w:rsid w:val="002C4DFD"/>
    <w:rsid w:val="002C4E64"/>
    <w:rsid w:val="002C4EEE"/>
    <w:rsid w:val="002C4EFC"/>
    <w:rsid w:val="002C4F25"/>
    <w:rsid w:val="002C4F31"/>
    <w:rsid w:val="002C4F3D"/>
    <w:rsid w:val="002C4F6F"/>
    <w:rsid w:val="002C4FF0"/>
    <w:rsid w:val="002C50D0"/>
    <w:rsid w:val="002C51FC"/>
    <w:rsid w:val="002C52D9"/>
    <w:rsid w:val="002C52ED"/>
    <w:rsid w:val="002C5332"/>
    <w:rsid w:val="002C548E"/>
    <w:rsid w:val="002C5490"/>
    <w:rsid w:val="002C54E2"/>
    <w:rsid w:val="002C5595"/>
    <w:rsid w:val="002C55EF"/>
    <w:rsid w:val="002C5615"/>
    <w:rsid w:val="002C562D"/>
    <w:rsid w:val="002C5645"/>
    <w:rsid w:val="002C56BD"/>
    <w:rsid w:val="002C56DF"/>
    <w:rsid w:val="002C5712"/>
    <w:rsid w:val="002C5746"/>
    <w:rsid w:val="002C578B"/>
    <w:rsid w:val="002C5795"/>
    <w:rsid w:val="002C579E"/>
    <w:rsid w:val="002C57BF"/>
    <w:rsid w:val="002C57C9"/>
    <w:rsid w:val="002C57DC"/>
    <w:rsid w:val="002C5875"/>
    <w:rsid w:val="002C58F7"/>
    <w:rsid w:val="002C593D"/>
    <w:rsid w:val="002C59A0"/>
    <w:rsid w:val="002C5A03"/>
    <w:rsid w:val="002C5A9E"/>
    <w:rsid w:val="002C5AD0"/>
    <w:rsid w:val="002C5B37"/>
    <w:rsid w:val="002C5B4D"/>
    <w:rsid w:val="002C5C98"/>
    <w:rsid w:val="002C5CBF"/>
    <w:rsid w:val="002C5D4E"/>
    <w:rsid w:val="002C5D77"/>
    <w:rsid w:val="002C5E01"/>
    <w:rsid w:val="002C5E6B"/>
    <w:rsid w:val="002C5EB5"/>
    <w:rsid w:val="002C5EE6"/>
    <w:rsid w:val="002C5F38"/>
    <w:rsid w:val="002C5F79"/>
    <w:rsid w:val="002C5F8B"/>
    <w:rsid w:val="002C5F9E"/>
    <w:rsid w:val="002C6004"/>
    <w:rsid w:val="002C6104"/>
    <w:rsid w:val="002C6114"/>
    <w:rsid w:val="002C61AC"/>
    <w:rsid w:val="002C61BA"/>
    <w:rsid w:val="002C61C3"/>
    <w:rsid w:val="002C6225"/>
    <w:rsid w:val="002C6266"/>
    <w:rsid w:val="002C6312"/>
    <w:rsid w:val="002C6379"/>
    <w:rsid w:val="002C637D"/>
    <w:rsid w:val="002C6450"/>
    <w:rsid w:val="002C6452"/>
    <w:rsid w:val="002C6496"/>
    <w:rsid w:val="002C64F4"/>
    <w:rsid w:val="002C6522"/>
    <w:rsid w:val="002C6580"/>
    <w:rsid w:val="002C660E"/>
    <w:rsid w:val="002C667E"/>
    <w:rsid w:val="002C670D"/>
    <w:rsid w:val="002C6775"/>
    <w:rsid w:val="002C679D"/>
    <w:rsid w:val="002C67D9"/>
    <w:rsid w:val="002C6811"/>
    <w:rsid w:val="002C6816"/>
    <w:rsid w:val="002C68E8"/>
    <w:rsid w:val="002C690B"/>
    <w:rsid w:val="002C6928"/>
    <w:rsid w:val="002C6933"/>
    <w:rsid w:val="002C6943"/>
    <w:rsid w:val="002C6A50"/>
    <w:rsid w:val="002C6A7B"/>
    <w:rsid w:val="002C6A87"/>
    <w:rsid w:val="002C6A99"/>
    <w:rsid w:val="002C6AF3"/>
    <w:rsid w:val="002C6B16"/>
    <w:rsid w:val="002C6B98"/>
    <w:rsid w:val="002C6BC2"/>
    <w:rsid w:val="002C6C80"/>
    <w:rsid w:val="002C6CBA"/>
    <w:rsid w:val="002C6CEC"/>
    <w:rsid w:val="002C6D03"/>
    <w:rsid w:val="002C6D5B"/>
    <w:rsid w:val="002C6D7F"/>
    <w:rsid w:val="002C6E49"/>
    <w:rsid w:val="002C6E8C"/>
    <w:rsid w:val="002C6E98"/>
    <w:rsid w:val="002C6E9C"/>
    <w:rsid w:val="002C6EFE"/>
    <w:rsid w:val="002C6F0C"/>
    <w:rsid w:val="002C6FFA"/>
    <w:rsid w:val="002C700C"/>
    <w:rsid w:val="002C706C"/>
    <w:rsid w:val="002C7082"/>
    <w:rsid w:val="002C709B"/>
    <w:rsid w:val="002C70D8"/>
    <w:rsid w:val="002C70DF"/>
    <w:rsid w:val="002C70FF"/>
    <w:rsid w:val="002C717E"/>
    <w:rsid w:val="002C7196"/>
    <w:rsid w:val="002C7211"/>
    <w:rsid w:val="002C72F9"/>
    <w:rsid w:val="002C739D"/>
    <w:rsid w:val="002C740C"/>
    <w:rsid w:val="002C742B"/>
    <w:rsid w:val="002C743C"/>
    <w:rsid w:val="002C7460"/>
    <w:rsid w:val="002C74DB"/>
    <w:rsid w:val="002C7510"/>
    <w:rsid w:val="002C75CB"/>
    <w:rsid w:val="002C75EA"/>
    <w:rsid w:val="002C7621"/>
    <w:rsid w:val="002C762B"/>
    <w:rsid w:val="002C763A"/>
    <w:rsid w:val="002C7691"/>
    <w:rsid w:val="002C76A4"/>
    <w:rsid w:val="002C76D7"/>
    <w:rsid w:val="002C7708"/>
    <w:rsid w:val="002C770C"/>
    <w:rsid w:val="002C7728"/>
    <w:rsid w:val="002C7802"/>
    <w:rsid w:val="002C7833"/>
    <w:rsid w:val="002C788E"/>
    <w:rsid w:val="002C7913"/>
    <w:rsid w:val="002C794D"/>
    <w:rsid w:val="002C795A"/>
    <w:rsid w:val="002C7971"/>
    <w:rsid w:val="002C79C6"/>
    <w:rsid w:val="002C79C8"/>
    <w:rsid w:val="002C7AF3"/>
    <w:rsid w:val="002C7B8B"/>
    <w:rsid w:val="002C7BC1"/>
    <w:rsid w:val="002C7C44"/>
    <w:rsid w:val="002C7C61"/>
    <w:rsid w:val="002C7DAD"/>
    <w:rsid w:val="002C7E97"/>
    <w:rsid w:val="002C7EEC"/>
    <w:rsid w:val="002C7EFA"/>
    <w:rsid w:val="002C7F4D"/>
    <w:rsid w:val="002C7FA1"/>
    <w:rsid w:val="002C7FE5"/>
    <w:rsid w:val="002C7FEF"/>
    <w:rsid w:val="002D0042"/>
    <w:rsid w:val="002D0045"/>
    <w:rsid w:val="002D00E4"/>
    <w:rsid w:val="002D0167"/>
    <w:rsid w:val="002D017F"/>
    <w:rsid w:val="002D019D"/>
    <w:rsid w:val="002D0212"/>
    <w:rsid w:val="002D02D9"/>
    <w:rsid w:val="002D02E5"/>
    <w:rsid w:val="002D03C3"/>
    <w:rsid w:val="002D040A"/>
    <w:rsid w:val="002D0456"/>
    <w:rsid w:val="002D0497"/>
    <w:rsid w:val="002D04EE"/>
    <w:rsid w:val="002D0505"/>
    <w:rsid w:val="002D0617"/>
    <w:rsid w:val="002D062E"/>
    <w:rsid w:val="002D0631"/>
    <w:rsid w:val="002D06F3"/>
    <w:rsid w:val="002D06FE"/>
    <w:rsid w:val="002D071E"/>
    <w:rsid w:val="002D07B0"/>
    <w:rsid w:val="002D081E"/>
    <w:rsid w:val="002D0850"/>
    <w:rsid w:val="002D087D"/>
    <w:rsid w:val="002D08E3"/>
    <w:rsid w:val="002D0A5F"/>
    <w:rsid w:val="002D0B48"/>
    <w:rsid w:val="002D0BCF"/>
    <w:rsid w:val="002D0C0E"/>
    <w:rsid w:val="002D0C6F"/>
    <w:rsid w:val="002D0C88"/>
    <w:rsid w:val="002D0CA8"/>
    <w:rsid w:val="002D0CC2"/>
    <w:rsid w:val="002D0DF1"/>
    <w:rsid w:val="002D0E53"/>
    <w:rsid w:val="002D0EE1"/>
    <w:rsid w:val="002D0EEA"/>
    <w:rsid w:val="002D0F14"/>
    <w:rsid w:val="002D0F31"/>
    <w:rsid w:val="002D0F67"/>
    <w:rsid w:val="002D0F78"/>
    <w:rsid w:val="002D0F8A"/>
    <w:rsid w:val="002D0F95"/>
    <w:rsid w:val="002D0FCD"/>
    <w:rsid w:val="002D0FEB"/>
    <w:rsid w:val="002D102C"/>
    <w:rsid w:val="002D1037"/>
    <w:rsid w:val="002D1092"/>
    <w:rsid w:val="002D10EB"/>
    <w:rsid w:val="002D110A"/>
    <w:rsid w:val="002D1178"/>
    <w:rsid w:val="002D11A1"/>
    <w:rsid w:val="002D120F"/>
    <w:rsid w:val="002D12B4"/>
    <w:rsid w:val="002D12F7"/>
    <w:rsid w:val="002D138F"/>
    <w:rsid w:val="002D1392"/>
    <w:rsid w:val="002D13D4"/>
    <w:rsid w:val="002D142E"/>
    <w:rsid w:val="002D1436"/>
    <w:rsid w:val="002D1444"/>
    <w:rsid w:val="002D144F"/>
    <w:rsid w:val="002D1503"/>
    <w:rsid w:val="002D157A"/>
    <w:rsid w:val="002D159B"/>
    <w:rsid w:val="002D15A8"/>
    <w:rsid w:val="002D15BB"/>
    <w:rsid w:val="002D15C2"/>
    <w:rsid w:val="002D1619"/>
    <w:rsid w:val="002D1808"/>
    <w:rsid w:val="002D1820"/>
    <w:rsid w:val="002D182C"/>
    <w:rsid w:val="002D1839"/>
    <w:rsid w:val="002D1897"/>
    <w:rsid w:val="002D18BA"/>
    <w:rsid w:val="002D18FB"/>
    <w:rsid w:val="002D197E"/>
    <w:rsid w:val="002D19A5"/>
    <w:rsid w:val="002D19B7"/>
    <w:rsid w:val="002D1A4D"/>
    <w:rsid w:val="002D1AA0"/>
    <w:rsid w:val="002D1ACC"/>
    <w:rsid w:val="002D1AD5"/>
    <w:rsid w:val="002D1B70"/>
    <w:rsid w:val="002D1B81"/>
    <w:rsid w:val="002D1BBF"/>
    <w:rsid w:val="002D1C2B"/>
    <w:rsid w:val="002D1CE2"/>
    <w:rsid w:val="002D1CE7"/>
    <w:rsid w:val="002D1E16"/>
    <w:rsid w:val="002D1E7F"/>
    <w:rsid w:val="002D1EA1"/>
    <w:rsid w:val="002D1F1C"/>
    <w:rsid w:val="002D1FE3"/>
    <w:rsid w:val="002D1FFD"/>
    <w:rsid w:val="002D200E"/>
    <w:rsid w:val="002D2074"/>
    <w:rsid w:val="002D20B0"/>
    <w:rsid w:val="002D2121"/>
    <w:rsid w:val="002D2154"/>
    <w:rsid w:val="002D23DD"/>
    <w:rsid w:val="002D2431"/>
    <w:rsid w:val="002D245D"/>
    <w:rsid w:val="002D247D"/>
    <w:rsid w:val="002D24CA"/>
    <w:rsid w:val="002D24D0"/>
    <w:rsid w:val="002D2559"/>
    <w:rsid w:val="002D2636"/>
    <w:rsid w:val="002D2651"/>
    <w:rsid w:val="002D2677"/>
    <w:rsid w:val="002D267F"/>
    <w:rsid w:val="002D26E6"/>
    <w:rsid w:val="002D279C"/>
    <w:rsid w:val="002D27B9"/>
    <w:rsid w:val="002D27D7"/>
    <w:rsid w:val="002D27ED"/>
    <w:rsid w:val="002D27F0"/>
    <w:rsid w:val="002D2829"/>
    <w:rsid w:val="002D28C6"/>
    <w:rsid w:val="002D292D"/>
    <w:rsid w:val="002D29F6"/>
    <w:rsid w:val="002D2A4D"/>
    <w:rsid w:val="002D2A51"/>
    <w:rsid w:val="002D2A74"/>
    <w:rsid w:val="002D2AB8"/>
    <w:rsid w:val="002D2AFD"/>
    <w:rsid w:val="002D2B1E"/>
    <w:rsid w:val="002D2B8A"/>
    <w:rsid w:val="002D2BAE"/>
    <w:rsid w:val="002D2D48"/>
    <w:rsid w:val="002D2D7F"/>
    <w:rsid w:val="002D2E43"/>
    <w:rsid w:val="002D2E50"/>
    <w:rsid w:val="002D2E92"/>
    <w:rsid w:val="002D2F00"/>
    <w:rsid w:val="002D2F04"/>
    <w:rsid w:val="002D2F1F"/>
    <w:rsid w:val="002D2F30"/>
    <w:rsid w:val="002D2F31"/>
    <w:rsid w:val="002D2F62"/>
    <w:rsid w:val="002D2FB8"/>
    <w:rsid w:val="002D3050"/>
    <w:rsid w:val="002D309F"/>
    <w:rsid w:val="002D30AC"/>
    <w:rsid w:val="002D30F1"/>
    <w:rsid w:val="002D3153"/>
    <w:rsid w:val="002D31DE"/>
    <w:rsid w:val="002D327A"/>
    <w:rsid w:val="002D3291"/>
    <w:rsid w:val="002D32B5"/>
    <w:rsid w:val="002D335C"/>
    <w:rsid w:val="002D3380"/>
    <w:rsid w:val="002D33A7"/>
    <w:rsid w:val="002D33AE"/>
    <w:rsid w:val="002D33CB"/>
    <w:rsid w:val="002D3409"/>
    <w:rsid w:val="002D343F"/>
    <w:rsid w:val="002D3478"/>
    <w:rsid w:val="002D348F"/>
    <w:rsid w:val="002D34C1"/>
    <w:rsid w:val="002D34CC"/>
    <w:rsid w:val="002D35EE"/>
    <w:rsid w:val="002D3640"/>
    <w:rsid w:val="002D3696"/>
    <w:rsid w:val="002D36A2"/>
    <w:rsid w:val="002D3788"/>
    <w:rsid w:val="002D378B"/>
    <w:rsid w:val="002D37A8"/>
    <w:rsid w:val="002D3810"/>
    <w:rsid w:val="002D38AC"/>
    <w:rsid w:val="002D38FB"/>
    <w:rsid w:val="002D3928"/>
    <w:rsid w:val="002D3982"/>
    <w:rsid w:val="002D39A0"/>
    <w:rsid w:val="002D3A37"/>
    <w:rsid w:val="002D3A4A"/>
    <w:rsid w:val="002D3A53"/>
    <w:rsid w:val="002D3AA3"/>
    <w:rsid w:val="002D3ACA"/>
    <w:rsid w:val="002D3B08"/>
    <w:rsid w:val="002D3BBE"/>
    <w:rsid w:val="002D3C31"/>
    <w:rsid w:val="002D3D51"/>
    <w:rsid w:val="002D3D8F"/>
    <w:rsid w:val="002D3DF9"/>
    <w:rsid w:val="002D3DFF"/>
    <w:rsid w:val="002D3E09"/>
    <w:rsid w:val="002D3EA5"/>
    <w:rsid w:val="002D3EB8"/>
    <w:rsid w:val="002D3EC7"/>
    <w:rsid w:val="002D3F15"/>
    <w:rsid w:val="002D3FA8"/>
    <w:rsid w:val="002D3FE4"/>
    <w:rsid w:val="002D405E"/>
    <w:rsid w:val="002D40F9"/>
    <w:rsid w:val="002D4110"/>
    <w:rsid w:val="002D4144"/>
    <w:rsid w:val="002D41E7"/>
    <w:rsid w:val="002D424B"/>
    <w:rsid w:val="002D43B7"/>
    <w:rsid w:val="002D43CC"/>
    <w:rsid w:val="002D43E7"/>
    <w:rsid w:val="002D45B4"/>
    <w:rsid w:val="002D45D4"/>
    <w:rsid w:val="002D4632"/>
    <w:rsid w:val="002D468B"/>
    <w:rsid w:val="002D472F"/>
    <w:rsid w:val="002D4760"/>
    <w:rsid w:val="002D4786"/>
    <w:rsid w:val="002D4790"/>
    <w:rsid w:val="002D482E"/>
    <w:rsid w:val="002D483A"/>
    <w:rsid w:val="002D484D"/>
    <w:rsid w:val="002D487B"/>
    <w:rsid w:val="002D48BA"/>
    <w:rsid w:val="002D499A"/>
    <w:rsid w:val="002D49B5"/>
    <w:rsid w:val="002D4A12"/>
    <w:rsid w:val="002D4AA0"/>
    <w:rsid w:val="002D4AAA"/>
    <w:rsid w:val="002D4B46"/>
    <w:rsid w:val="002D4B83"/>
    <w:rsid w:val="002D4B89"/>
    <w:rsid w:val="002D4C09"/>
    <w:rsid w:val="002D4C38"/>
    <w:rsid w:val="002D4CD3"/>
    <w:rsid w:val="002D4D55"/>
    <w:rsid w:val="002D4D56"/>
    <w:rsid w:val="002D4E24"/>
    <w:rsid w:val="002D4ECA"/>
    <w:rsid w:val="002D4F18"/>
    <w:rsid w:val="002D4F41"/>
    <w:rsid w:val="002D4F7E"/>
    <w:rsid w:val="002D4FC8"/>
    <w:rsid w:val="002D509A"/>
    <w:rsid w:val="002D5109"/>
    <w:rsid w:val="002D5157"/>
    <w:rsid w:val="002D5165"/>
    <w:rsid w:val="002D51AE"/>
    <w:rsid w:val="002D51ED"/>
    <w:rsid w:val="002D51EE"/>
    <w:rsid w:val="002D5271"/>
    <w:rsid w:val="002D5276"/>
    <w:rsid w:val="002D52E5"/>
    <w:rsid w:val="002D534B"/>
    <w:rsid w:val="002D5385"/>
    <w:rsid w:val="002D5388"/>
    <w:rsid w:val="002D5395"/>
    <w:rsid w:val="002D543E"/>
    <w:rsid w:val="002D5599"/>
    <w:rsid w:val="002D55D7"/>
    <w:rsid w:val="002D55DC"/>
    <w:rsid w:val="002D5621"/>
    <w:rsid w:val="002D5792"/>
    <w:rsid w:val="002D5822"/>
    <w:rsid w:val="002D5861"/>
    <w:rsid w:val="002D588C"/>
    <w:rsid w:val="002D58BE"/>
    <w:rsid w:val="002D593E"/>
    <w:rsid w:val="002D5945"/>
    <w:rsid w:val="002D596B"/>
    <w:rsid w:val="002D5977"/>
    <w:rsid w:val="002D597E"/>
    <w:rsid w:val="002D59C1"/>
    <w:rsid w:val="002D5A3B"/>
    <w:rsid w:val="002D5A98"/>
    <w:rsid w:val="002D5B0E"/>
    <w:rsid w:val="002D5B4A"/>
    <w:rsid w:val="002D5B67"/>
    <w:rsid w:val="002D5B8D"/>
    <w:rsid w:val="002D5BDB"/>
    <w:rsid w:val="002D5BE5"/>
    <w:rsid w:val="002D5BFA"/>
    <w:rsid w:val="002D5BFF"/>
    <w:rsid w:val="002D5C09"/>
    <w:rsid w:val="002D5C17"/>
    <w:rsid w:val="002D5C35"/>
    <w:rsid w:val="002D5C94"/>
    <w:rsid w:val="002D5CD2"/>
    <w:rsid w:val="002D5D41"/>
    <w:rsid w:val="002D5DEF"/>
    <w:rsid w:val="002D5E5A"/>
    <w:rsid w:val="002D5E5B"/>
    <w:rsid w:val="002D5E61"/>
    <w:rsid w:val="002D5E7A"/>
    <w:rsid w:val="002D5ECC"/>
    <w:rsid w:val="002D5EF9"/>
    <w:rsid w:val="002D5F80"/>
    <w:rsid w:val="002D5F8F"/>
    <w:rsid w:val="002D604B"/>
    <w:rsid w:val="002D6093"/>
    <w:rsid w:val="002D60D5"/>
    <w:rsid w:val="002D615C"/>
    <w:rsid w:val="002D617F"/>
    <w:rsid w:val="002D61FA"/>
    <w:rsid w:val="002D6269"/>
    <w:rsid w:val="002D627B"/>
    <w:rsid w:val="002D628A"/>
    <w:rsid w:val="002D62A4"/>
    <w:rsid w:val="002D62B2"/>
    <w:rsid w:val="002D6360"/>
    <w:rsid w:val="002D6417"/>
    <w:rsid w:val="002D641C"/>
    <w:rsid w:val="002D64A2"/>
    <w:rsid w:val="002D64BC"/>
    <w:rsid w:val="002D657A"/>
    <w:rsid w:val="002D6597"/>
    <w:rsid w:val="002D660C"/>
    <w:rsid w:val="002D66FF"/>
    <w:rsid w:val="002D6773"/>
    <w:rsid w:val="002D67A8"/>
    <w:rsid w:val="002D67DB"/>
    <w:rsid w:val="002D67DF"/>
    <w:rsid w:val="002D6818"/>
    <w:rsid w:val="002D683A"/>
    <w:rsid w:val="002D6856"/>
    <w:rsid w:val="002D6909"/>
    <w:rsid w:val="002D6A0D"/>
    <w:rsid w:val="002D6A0F"/>
    <w:rsid w:val="002D6A14"/>
    <w:rsid w:val="002D6AB0"/>
    <w:rsid w:val="002D6AC3"/>
    <w:rsid w:val="002D6B53"/>
    <w:rsid w:val="002D6C03"/>
    <w:rsid w:val="002D6C07"/>
    <w:rsid w:val="002D6C2C"/>
    <w:rsid w:val="002D6C6B"/>
    <w:rsid w:val="002D6CA0"/>
    <w:rsid w:val="002D6D13"/>
    <w:rsid w:val="002D6D1B"/>
    <w:rsid w:val="002D6D62"/>
    <w:rsid w:val="002D6E3C"/>
    <w:rsid w:val="002D6F82"/>
    <w:rsid w:val="002D6FEA"/>
    <w:rsid w:val="002D6FEE"/>
    <w:rsid w:val="002D7025"/>
    <w:rsid w:val="002D7081"/>
    <w:rsid w:val="002D7141"/>
    <w:rsid w:val="002D7238"/>
    <w:rsid w:val="002D7290"/>
    <w:rsid w:val="002D72A7"/>
    <w:rsid w:val="002D7342"/>
    <w:rsid w:val="002D7347"/>
    <w:rsid w:val="002D73F7"/>
    <w:rsid w:val="002D74C4"/>
    <w:rsid w:val="002D7531"/>
    <w:rsid w:val="002D7595"/>
    <w:rsid w:val="002D75D8"/>
    <w:rsid w:val="002D760D"/>
    <w:rsid w:val="002D7638"/>
    <w:rsid w:val="002D7693"/>
    <w:rsid w:val="002D76AA"/>
    <w:rsid w:val="002D76BB"/>
    <w:rsid w:val="002D771A"/>
    <w:rsid w:val="002D772F"/>
    <w:rsid w:val="002D77FB"/>
    <w:rsid w:val="002D7842"/>
    <w:rsid w:val="002D784E"/>
    <w:rsid w:val="002D7851"/>
    <w:rsid w:val="002D789B"/>
    <w:rsid w:val="002D78FB"/>
    <w:rsid w:val="002D791B"/>
    <w:rsid w:val="002D7981"/>
    <w:rsid w:val="002D79C9"/>
    <w:rsid w:val="002D79D7"/>
    <w:rsid w:val="002D7A08"/>
    <w:rsid w:val="002D7A4B"/>
    <w:rsid w:val="002D7AB2"/>
    <w:rsid w:val="002D7B41"/>
    <w:rsid w:val="002D7B4F"/>
    <w:rsid w:val="002D7BB6"/>
    <w:rsid w:val="002D7C4B"/>
    <w:rsid w:val="002D7CB4"/>
    <w:rsid w:val="002D7DB1"/>
    <w:rsid w:val="002D7DB4"/>
    <w:rsid w:val="002D7E0C"/>
    <w:rsid w:val="002D7EA1"/>
    <w:rsid w:val="002D7EE0"/>
    <w:rsid w:val="002D7F63"/>
    <w:rsid w:val="002D7F7C"/>
    <w:rsid w:val="002D7F8F"/>
    <w:rsid w:val="002D7FAF"/>
    <w:rsid w:val="002D7FF3"/>
    <w:rsid w:val="002D7FFB"/>
    <w:rsid w:val="002E0043"/>
    <w:rsid w:val="002E0189"/>
    <w:rsid w:val="002E01C5"/>
    <w:rsid w:val="002E01FE"/>
    <w:rsid w:val="002E02F2"/>
    <w:rsid w:val="002E030D"/>
    <w:rsid w:val="002E030F"/>
    <w:rsid w:val="002E0312"/>
    <w:rsid w:val="002E03F4"/>
    <w:rsid w:val="002E0476"/>
    <w:rsid w:val="002E0477"/>
    <w:rsid w:val="002E0490"/>
    <w:rsid w:val="002E04E8"/>
    <w:rsid w:val="002E0634"/>
    <w:rsid w:val="002E0651"/>
    <w:rsid w:val="002E0674"/>
    <w:rsid w:val="002E06AA"/>
    <w:rsid w:val="002E06D4"/>
    <w:rsid w:val="002E06FE"/>
    <w:rsid w:val="002E0737"/>
    <w:rsid w:val="002E07CA"/>
    <w:rsid w:val="002E081A"/>
    <w:rsid w:val="002E0831"/>
    <w:rsid w:val="002E0862"/>
    <w:rsid w:val="002E08C8"/>
    <w:rsid w:val="002E093F"/>
    <w:rsid w:val="002E097D"/>
    <w:rsid w:val="002E09B4"/>
    <w:rsid w:val="002E0A0F"/>
    <w:rsid w:val="002E0A35"/>
    <w:rsid w:val="002E0A72"/>
    <w:rsid w:val="002E0AE0"/>
    <w:rsid w:val="002E0B23"/>
    <w:rsid w:val="002E0B3F"/>
    <w:rsid w:val="002E0BDC"/>
    <w:rsid w:val="002E0CA4"/>
    <w:rsid w:val="002E0CBB"/>
    <w:rsid w:val="002E0D80"/>
    <w:rsid w:val="002E0DAA"/>
    <w:rsid w:val="002E0DDF"/>
    <w:rsid w:val="002E0E65"/>
    <w:rsid w:val="002E0EB3"/>
    <w:rsid w:val="002E0EEB"/>
    <w:rsid w:val="002E0F1D"/>
    <w:rsid w:val="002E0F41"/>
    <w:rsid w:val="002E0F47"/>
    <w:rsid w:val="002E0F8B"/>
    <w:rsid w:val="002E0FFF"/>
    <w:rsid w:val="002E1065"/>
    <w:rsid w:val="002E107F"/>
    <w:rsid w:val="002E108F"/>
    <w:rsid w:val="002E10AD"/>
    <w:rsid w:val="002E10D5"/>
    <w:rsid w:val="002E10F1"/>
    <w:rsid w:val="002E1121"/>
    <w:rsid w:val="002E113F"/>
    <w:rsid w:val="002E11FE"/>
    <w:rsid w:val="002E1246"/>
    <w:rsid w:val="002E12AC"/>
    <w:rsid w:val="002E12F9"/>
    <w:rsid w:val="002E1335"/>
    <w:rsid w:val="002E139F"/>
    <w:rsid w:val="002E13D5"/>
    <w:rsid w:val="002E13F0"/>
    <w:rsid w:val="002E1435"/>
    <w:rsid w:val="002E14C7"/>
    <w:rsid w:val="002E1568"/>
    <w:rsid w:val="002E163B"/>
    <w:rsid w:val="002E166D"/>
    <w:rsid w:val="002E166F"/>
    <w:rsid w:val="002E167E"/>
    <w:rsid w:val="002E1686"/>
    <w:rsid w:val="002E168D"/>
    <w:rsid w:val="002E16FD"/>
    <w:rsid w:val="002E177B"/>
    <w:rsid w:val="002E1787"/>
    <w:rsid w:val="002E179E"/>
    <w:rsid w:val="002E17B6"/>
    <w:rsid w:val="002E17B9"/>
    <w:rsid w:val="002E1884"/>
    <w:rsid w:val="002E1888"/>
    <w:rsid w:val="002E18A0"/>
    <w:rsid w:val="002E18EC"/>
    <w:rsid w:val="002E1940"/>
    <w:rsid w:val="002E1A34"/>
    <w:rsid w:val="002E1A57"/>
    <w:rsid w:val="002E1A7D"/>
    <w:rsid w:val="002E1A83"/>
    <w:rsid w:val="002E1A9E"/>
    <w:rsid w:val="002E1AD6"/>
    <w:rsid w:val="002E1B89"/>
    <w:rsid w:val="002E1B9E"/>
    <w:rsid w:val="002E1BA3"/>
    <w:rsid w:val="002E1C06"/>
    <w:rsid w:val="002E1C3E"/>
    <w:rsid w:val="002E1CE2"/>
    <w:rsid w:val="002E1D2D"/>
    <w:rsid w:val="002E1DC1"/>
    <w:rsid w:val="002E1DDA"/>
    <w:rsid w:val="002E1E68"/>
    <w:rsid w:val="002E1EA4"/>
    <w:rsid w:val="002E1EE2"/>
    <w:rsid w:val="002E1F00"/>
    <w:rsid w:val="002E2105"/>
    <w:rsid w:val="002E210B"/>
    <w:rsid w:val="002E21C8"/>
    <w:rsid w:val="002E2214"/>
    <w:rsid w:val="002E2272"/>
    <w:rsid w:val="002E22B5"/>
    <w:rsid w:val="002E22FE"/>
    <w:rsid w:val="002E234A"/>
    <w:rsid w:val="002E2363"/>
    <w:rsid w:val="002E2376"/>
    <w:rsid w:val="002E2408"/>
    <w:rsid w:val="002E248C"/>
    <w:rsid w:val="002E24EF"/>
    <w:rsid w:val="002E2552"/>
    <w:rsid w:val="002E2605"/>
    <w:rsid w:val="002E2606"/>
    <w:rsid w:val="002E260F"/>
    <w:rsid w:val="002E276B"/>
    <w:rsid w:val="002E27D9"/>
    <w:rsid w:val="002E2803"/>
    <w:rsid w:val="002E28A9"/>
    <w:rsid w:val="002E2924"/>
    <w:rsid w:val="002E297C"/>
    <w:rsid w:val="002E2983"/>
    <w:rsid w:val="002E29DD"/>
    <w:rsid w:val="002E2A27"/>
    <w:rsid w:val="002E2AA2"/>
    <w:rsid w:val="002E2AF9"/>
    <w:rsid w:val="002E2B6B"/>
    <w:rsid w:val="002E2B7B"/>
    <w:rsid w:val="002E2BC8"/>
    <w:rsid w:val="002E2BCA"/>
    <w:rsid w:val="002E2CE6"/>
    <w:rsid w:val="002E2D89"/>
    <w:rsid w:val="002E2DC5"/>
    <w:rsid w:val="002E2DCE"/>
    <w:rsid w:val="002E2DD3"/>
    <w:rsid w:val="002E2E65"/>
    <w:rsid w:val="002E2EF4"/>
    <w:rsid w:val="002E2F5D"/>
    <w:rsid w:val="002E2FAA"/>
    <w:rsid w:val="002E2FDE"/>
    <w:rsid w:val="002E2FF3"/>
    <w:rsid w:val="002E2FFD"/>
    <w:rsid w:val="002E301F"/>
    <w:rsid w:val="002E3066"/>
    <w:rsid w:val="002E30C0"/>
    <w:rsid w:val="002E3167"/>
    <w:rsid w:val="002E3181"/>
    <w:rsid w:val="002E3193"/>
    <w:rsid w:val="002E31DB"/>
    <w:rsid w:val="002E31E9"/>
    <w:rsid w:val="002E3245"/>
    <w:rsid w:val="002E33E3"/>
    <w:rsid w:val="002E3434"/>
    <w:rsid w:val="002E34AA"/>
    <w:rsid w:val="002E3521"/>
    <w:rsid w:val="002E3561"/>
    <w:rsid w:val="002E357F"/>
    <w:rsid w:val="002E35D2"/>
    <w:rsid w:val="002E35DD"/>
    <w:rsid w:val="002E36EF"/>
    <w:rsid w:val="002E371B"/>
    <w:rsid w:val="002E374E"/>
    <w:rsid w:val="002E37A2"/>
    <w:rsid w:val="002E383E"/>
    <w:rsid w:val="002E3852"/>
    <w:rsid w:val="002E3935"/>
    <w:rsid w:val="002E3961"/>
    <w:rsid w:val="002E3989"/>
    <w:rsid w:val="002E39B9"/>
    <w:rsid w:val="002E39E0"/>
    <w:rsid w:val="002E39E3"/>
    <w:rsid w:val="002E3A16"/>
    <w:rsid w:val="002E3A93"/>
    <w:rsid w:val="002E3B00"/>
    <w:rsid w:val="002E3B15"/>
    <w:rsid w:val="002E3B3E"/>
    <w:rsid w:val="002E3B5A"/>
    <w:rsid w:val="002E3B9E"/>
    <w:rsid w:val="002E3BAE"/>
    <w:rsid w:val="002E3BE5"/>
    <w:rsid w:val="002E3CEE"/>
    <w:rsid w:val="002E3D30"/>
    <w:rsid w:val="002E3D33"/>
    <w:rsid w:val="002E3D92"/>
    <w:rsid w:val="002E3EA8"/>
    <w:rsid w:val="002E3EBB"/>
    <w:rsid w:val="002E3EDB"/>
    <w:rsid w:val="002E3F71"/>
    <w:rsid w:val="002E3F97"/>
    <w:rsid w:val="002E4027"/>
    <w:rsid w:val="002E4034"/>
    <w:rsid w:val="002E4062"/>
    <w:rsid w:val="002E4090"/>
    <w:rsid w:val="002E40E1"/>
    <w:rsid w:val="002E416D"/>
    <w:rsid w:val="002E4190"/>
    <w:rsid w:val="002E41FD"/>
    <w:rsid w:val="002E422D"/>
    <w:rsid w:val="002E4239"/>
    <w:rsid w:val="002E4360"/>
    <w:rsid w:val="002E4388"/>
    <w:rsid w:val="002E43A5"/>
    <w:rsid w:val="002E43AC"/>
    <w:rsid w:val="002E43D7"/>
    <w:rsid w:val="002E4403"/>
    <w:rsid w:val="002E4407"/>
    <w:rsid w:val="002E4472"/>
    <w:rsid w:val="002E44DE"/>
    <w:rsid w:val="002E450C"/>
    <w:rsid w:val="002E4526"/>
    <w:rsid w:val="002E4598"/>
    <w:rsid w:val="002E45FC"/>
    <w:rsid w:val="002E4692"/>
    <w:rsid w:val="002E471B"/>
    <w:rsid w:val="002E471D"/>
    <w:rsid w:val="002E4741"/>
    <w:rsid w:val="002E47FC"/>
    <w:rsid w:val="002E48F8"/>
    <w:rsid w:val="002E490B"/>
    <w:rsid w:val="002E4962"/>
    <w:rsid w:val="002E4984"/>
    <w:rsid w:val="002E498A"/>
    <w:rsid w:val="002E49E6"/>
    <w:rsid w:val="002E4CEA"/>
    <w:rsid w:val="002E4D0E"/>
    <w:rsid w:val="002E4D96"/>
    <w:rsid w:val="002E4DA2"/>
    <w:rsid w:val="002E4DA5"/>
    <w:rsid w:val="002E4DF4"/>
    <w:rsid w:val="002E4E57"/>
    <w:rsid w:val="002E4EC9"/>
    <w:rsid w:val="002E4ECF"/>
    <w:rsid w:val="002E4EEB"/>
    <w:rsid w:val="002E4EFD"/>
    <w:rsid w:val="002E4F1E"/>
    <w:rsid w:val="002E4F20"/>
    <w:rsid w:val="002E5017"/>
    <w:rsid w:val="002E5090"/>
    <w:rsid w:val="002E50C5"/>
    <w:rsid w:val="002E50E8"/>
    <w:rsid w:val="002E5121"/>
    <w:rsid w:val="002E51E8"/>
    <w:rsid w:val="002E52A4"/>
    <w:rsid w:val="002E52BA"/>
    <w:rsid w:val="002E5305"/>
    <w:rsid w:val="002E534E"/>
    <w:rsid w:val="002E5404"/>
    <w:rsid w:val="002E5418"/>
    <w:rsid w:val="002E5509"/>
    <w:rsid w:val="002E550D"/>
    <w:rsid w:val="002E5566"/>
    <w:rsid w:val="002E558C"/>
    <w:rsid w:val="002E55F5"/>
    <w:rsid w:val="002E5681"/>
    <w:rsid w:val="002E5779"/>
    <w:rsid w:val="002E5780"/>
    <w:rsid w:val="002E579F"/>
    <w:rsid w:val="002E57FB"/>
    <w:rsid w:val="002E5820"/>
    <w:rsid w:val="002E58CA"/>
    <w:rsid w:val="002E58CC"/>
    <w:rsid w:val="002E5920"/>
    <w:rsid w:val="002E599A"/>
    <w:rsid w:val="002E5A64"/>
    <w:rsid w:val="002E5AE4"/>
    <w:rsid w:val="002E5AEF"/>
    <w:rsid w:val="002E5B8F"/>
    <w:rsid w:val="002E5C09"/>
    <w:rsid w:val="002E5C68"/>
    <w:rsid w:val="002E5CB6"/>
    <w:rsid w:val="002E5D08"/>
    <w:rsid w:val="002E5D1F"/>
    <w:rsid w:val="002E5D21"/>
    <w:rsid w:val="002E5D99"/>
    <w:rsid w:val="002E5E38"/>
    <w:rsid w:val="002E5F31"/>
    <w:rsid w:val="002E5F70"/>
    <w:rsid w:val="002E5F7D"/>
    <w:rsid w:val="002E60E1"/>
    <w:rsid w:val="002E615F"/>
    <w:rsid w:val="002E6169"/>
    <w:rsid w:val="002E6221"/>
    <w:rsid w:val="002E6266"/>
    <w:rsid w:val="002E62F2"/>
    <w:rsid w:val="002E6302"/>
    <w:rsid w:val="002E6305"/>
    <w:rsid w:val="002E633C"/>
    <w:rsid w:val="002E63C5"/>
    <w:rsid w:val="002E6438"/>
    <w:rsid w:val="002E643E"/>
    <w:rsid w:val="002E6458"/>
    <w:rsid w:val="002E645E"/>
    <w:rsid w:val="002E6477"/>
    <w:rsid w:val="002E6495"/>
    <w:rsid w:val="002E64B8"/>
    <w:rsid w:val="002E64DF"/>
    <w:rsid w:val="002E653B"/>
    <w:rsid w:val="002E655F"/>
    <w:rsid w:val="002E6596"/>
    <w:rsid w:val="002E65B1"/>
    <w:rsid w:val="002E65C5"/>
    <w:rsid w:val="002E65C9"/>
    <w:rsid w:val="002E664C"/>
    <w:rsid w:val="002E67BB"/>
    <w:rsid w:val="002E67D5"/>
    <w:rsid w:val="002E6890"/>
    <w:rsid w:val="002E689C"/>
    <w:rsid w:val="002E6902"/>
    <w:rsid w:val="002E694F"/>
    <w:rsid w:val="002E6A5C"/>
    <w:rsid w:val="002E6AE7"/>
    <w:rsid w:val="002E6B4E"/>
    <w:rsid w:val="002E6B59"/>
    <w:rsid w:val="002E6B66"/>
    <w:rsid w:val="002E6C4C"/>
    <w:rsid w:val="002E6C63"/>
    <w:rsid w:val="002E6CB9"/>
    <w:rsid w:val="002E6CCE"/>
    <w:rsid w:val="002E6CF6"/>
    <w:rsid w:val="002E6D15"/>
    <w:rsid w:val="002E6D43"/>
    <w:rsid w:val="002E6D5F"/>
    <w:rsid w:val="002E6D81"/>
    <w:rsid w:val="002E6D8A"/>
    <w:rsid w:val="002E6DC6"/>
    <w:rsid w:val="002E6E04"/>
    <w:rsid w:val="002E6E24"/>
    <w:rsid w:val="002E6E57"/>
    <w:rsid w:val="002E6E73"/>
    <w:rsid w:val="002E6EA3"/>
    <w:rsid w:val="002E6EB1"/>
    <w:rsid w:val="002E6EF0"/>
    <w:rsid w:val="002E6F4D"/>
    <w:rsid w:val="002E6F81"/>
    <w:rsid w:val="002E6FDC"/>
    <w:rsid w:val="002E7000"/>
    <w:rsid w:val="002E7052"/>
    <w:rsid w:val="002E7092"/>
    <w:rsid w:val="002E70B3"/>
    <w:rsid w:val="002E70C9"/>
    <w:rsid w:val="002E7100"/>
    <w:rsid w:val="002E71A8"/>
    <w:rsid w:val="002E71C8"/>
    <w:rsid w:val="002E71E5"/>
    <w:rsid w:val="002E71EA"/>
    <w:rsid w:val="002E71EE"/>
    <w:rsid w:val="002E7371"/>
    <w:rsid w:val="002E7451"/>
    <w:rsid w:val="002E7454"/>
    <w:rsid w:val="002E74E1"/>
    <w:rsid w:val="002E751D"/>
    <w:rsid w:val="002E75E8"/>
    <w:rsid w:val="002E7673"/>
    <w:rsid w:val="002E77E8"/>
    <w:rsid w:val="002E780C"/>
    <w:rsid w:val="002E782E"/>
    <w:rsid w:val="002E7866"/>
    <w:rsid w:val="002E78D1"/>
    <w:rsid w:val="002E7986"/>
    <w:rsid w:val="002E79C1"/>
    <w:rsid w:val="002E79C4"/>
    <w:rsid w:val="002E7A6C"/>
    <w:rsid w:val="002E7AFC"/>
    <w:rsid w:val="002E7B00"/>
    <w:rsid w:val="002E7B19"/>
    <w:rsid w:val="002E7BB5"/>
    <w:rsid w:val="002E7BC5"/>
    <w:rsid w:val="002E7CAC"/>
    <w:rsid w:val="002E7CD5"/>
    <w:rsid w:val="002E7D75"/>
    <w:rsid w:val="002E7D86"/>
    <w:rsid w:val="002E7E98"/>
    <w:rsid w:val="002E7F53"/>
    <w:rsid w:val="002E7FA6"/>
    <w:rsid w:val="002E7FC6"/>
    <w:rsid w:val="002E7FF9"/>
    <w:rsid w:val="002F0003"/>
    <w:rsid w:val="002F000B"/>
    <w:rsid w:val="002F010C"/>
    <w:rsid w:val="002F010D"/>
    <w:rsid w:val="002F0197"/>
    <w:rsid w:val="002F0209"/>
    <w:rsid w:val="002F02BA"/>
    <w:rsid w:val="002F02CE"/>
    <w:rsid w:val="002F02EA"/>
    <w:rsid w:val="002F0399"/>
    <w:rsid w:val="002F039F"/>
    <w:rsid w:val="002F03F4"/>
    <w:rsid w:val="002F0491"/>
    <w:rsid w:val="002F049D"/>
    <w:rsid w:val="002F04E1"/>
    <w:rsid w:val="002F0595"/>
    <w:rsid w:val="002F059C"/>
    <w:rsid w:val="002F05AB"/>
    <w:rsid w:val="002F05F9"/>
    <w:rsid w:val="002F061B"/>
    <w:rsid w:val="002F0637"/>
    <w:rsid w:val="002F06BB"/>
    <w:rsid w:val="002F06F6"/>
    <w:rsid w:val="002F07AC"/>
    <w:rsid w:val="002F07AE"/>
    <w:rsid w:val="002F07E5"/>
    <w:rsid w:val="002F0844"/>
    <w:rsid w:val="002F0876"/>
    <w:rsid w:val="002F0919"/>
    <w:rsid w:val="002F094B"/>
    <w:rsid w:val="002F09AD"/>
    <w:rsid w:val="002F09B9"/>
    <w:rsid w:val="002F0A0A"/>
    <w:rsid w:val="002F0A28"/>
    <w:rsid w:val="002F0A50"/>
    <w:rsid w:val="002F0B3C"/>
    <w:rsid w:val="002F0B81"/>
    <w:rsid w:val="002F0BB8"/>
    <w:rsid w:val="002F0BD6"/>
    <w:rsid w:val="002F0BD8"/>
    <w:rsid w:val="002F0C29"/>
    <w:rsid w:val="002F0C58"/>
    <w:rsid w:val="002F0CA2"/>
    <w:rsid w:val="002F0CA5"/>
    <w:rsid w:val="002F0D0C"/>
    <w:rsid w:val="002F0D45"/>
    <w:rsid w:val="002F0D99"/>
    <w:rsid w:val="002F0E22"/>
    <w:rsid w:val="002F0E36"/>
    <w:rsid w:val="002F0E4D"/>
    <w:rsid w:val="002F0E63"/>
    <w:rsid w:val="002F0ED3"/>
    <w:rsid w:val="002F0F23"/>
    <w:rsid w:val="002F0FB7"/>
    <w:rsid w:val="002F0FC5"/>
    <w:rsid w:val="002F10F5"/>
    <w:rsid w:val="002F1156"/>
    <w:rsid w:val="002F11B2"/>
    <w:rsid w:val="002F11CC"/>
    <w:rsid w:val="002F1239"/>
    <w:rsid w:val="002F12B0"/>
    <w:rsid w:val="002F12C8"/>
    <w:rsid w:val="002F12D9"/>
    <w:rsid w:val="002F12F2"/>
    <w:rsid w:val="002F1308"/>
    <w:rsid w:val="002F132B"/>
    <w:rsid w:val="002F1347"/>
    <w:rsid w:val="002F13CB"/>
    <w:rsid w:val="002F13EA"/>
    <w:rsid w:val="002F1478"/>
    <w:rsid w:val="002F1488"/>
    <w:rsid w:val="002F14B4"/>
    <w:rsid w:val="002F14FE"/>
    <w:rsid w:val="002F155D"/>
    <w:rsid w:val="002F1628"/>
    <w:rsid w:val="002F16DE"/>
    <w:rsid w:val="002F170A"/>
    <w:rsid w:val="002F1763"/>
    <w:rsid w:val="002F17B5"/>
    <w:rsid w:val="002F18D6"/>
    <w:rsid w:val="002F197D"/>
    <w:rsid w:val="002F19DF"/>
    <w:rsid w:val="002F19E9"/>
    <w:rsid w:val="002F19FB"/>
    <w:rsid w:val="002F1A13"/>
    <w:rsid w:val="002F1A3B"/>
    <w:rsid w:val="002F1A4E"/>
    <w:rsid w:val="002F1A6F"/>
    <w:rsid w:val="002F1AE3"/>
    <w:rsid w:val="002F1B31"/>
    <w:rsid w:val="002F1B66"/>
    <w:rsid w:val="002F1C4A"/>
    <w:rsid w:val="002F1DA0"/>
    <w:rsid w:val="002F1DA4"/>
    <w:rsid w:val="002F1DEE"/>
    <w:rsid w:val="002F1E7E"/>
    <w:rsid w:val="002F1E82"/>
    <w:rsid w:val="002F1F42"/>
    <w:rsid w:val="002F1F56"/>
    <w:rsid w:val="002F1F5D"/>
    <w:rsid w:val="002F1F64"/>
    <w:rsid w:val="002F1FDF"/>
    <w:rsid w:val="002F2042"/>
    <w:rsid w:val="002F2211"/>
    <w:rsid w:val="002F227B"/>
    <w:rsid w:val="002F2290"/>
    <w:rsid w:val="002F2297"/>
    <w:rsid w:val="002F22A1"/>
    <w:rsid w:val="002F23F3"/>
    <w:rsid w:val="002F2487"/>
    <w:rsid w:val="002F2497"/>
    <w:rsid w:val="002F24CC"/>
    <w:rsid w:val="002F24E0"/>
    <w:rsid w:val="002F24E7"/>
    <w:rsid w:val="002F251E"/>
    <w:rsid w:val="002F2562"/>
    <w:rsid w:val="002F25A3"/>
    <w:rsid w:val="002F25E1"/>
    <w:rsid w:val="002F25F5"/>
    <w:rsid w:val="002F2633"/>
    <w:rsid w:val="002F26A8"/>
    <w:rsid w:val="002F2751"/>
    <w:rsid w:val="002F277D"/>
    <w:rsid w:val="002F27A6"/>
    <w:rsid w:val="002F27AB"/>
    <w:rsid w:val="002F2802"/>
    <w:rsid w:val="002F28B9"/>
    <w:rsid w:val="002F28D9"/>
    <w:rsid w:val="002F290B"/>
    <w:rsid w:val="002F292E"/>
    <w:rsid w:val="002F2932"/>
    <w:rsid w:val="002F2976"/>
    <w:rsid w:val="002F29CB"/>
    <w:rsid w:val="002F29E6"/>
    <w:rsid w:val="002F2A1F"/>
    <w:rsid w:val="002F2ADD"/>
    <w:rsid w:val="002F2AE2"/>
    <w:rsid w:val="002F2B18"/>
    <w:rsid w:val="002F2C19"/>
    <w:rsid w:val="002F2C92"/>
    <w:rsid w:val="002F2C93"/>
    <w:rsid w:val="002F2CB6"/>
    <w:rsid w:val="002F2DDE"/>
    <w:rsid w:val="002F2E66"/>
    <w:rsid w:val="002F2E7C"/>
    <w:rsid w:val="002F2EBF"/>
    <w:rsid w:val="002F2F21"/>
    <w:rsid w:val="002F2F71"/>
    <w:rsid w:val="002F3054"/>
    <w:rsid w:val="002F3073"/>
    <w:rsid w:val="002F3160"/>
    <w:rsid w:val="002F316B"/>
    <w:rsid w:val="002F31B4"/>
    <w:rsid w:val="002F32AA"/>
    <w:rsid w:val="002F3336"/>
    <w:rsid w:val="002F333B"/>
    <w:rsid w:val="002F3356"/>
    <w:rsid w:val="002F3413"/>
    <w:rsid w:val="002F3430"/>
    <w:rsid w:val="002F344C"/>
    <w:rsid w:val="002F3552"/>
    <w:rsid w:val="002F3590"/>
    <w:rsid w:val="002F35E6"/>
    <w:rsid w:val="002F367F"/>
    <w:rsid w:val="002F3699"/>
    <w:rsid w:val="002F36DC"/>
    <w:rsid w:val="002F3705"/>
    <w:rsid w:val="002F37C3"/>
    <w:rsid w:val="002F37F0"/>
    <w:rsid w:val="002F3807"/>
    <w:rsid w:val="002F381B"/>
    <w:rsid w:val="002F3833"/>
    <w:rsid w:val="002F3841"/>
    <w:rsid w:val="002F38A4"/>
    <w:rsid w:val="002F38A9"/>
    <w:rsid w:val="002F3905"/>
    <w:rsid w:val="002F3926"/>
    <w:rsid w:val="002F3940"/>
    <w:rsid w:val="002F3978"/>
    <w:rsid w:val="002F3B12"/>
    <w:rsid w:val="002F3B5B"/>
    <w:rsid w:val="002F3B8E"/>
    <w:rsid w:val="002F3BA0"/>
    <w:rsid w:val="002F3BE8"/>
    <w:rsid w:val="002F3C13"/>
    <w:rsid w:val="002F3C19"/>
    <w:rsid w:val="002F3C8D"/>
    <w:rsid w:val="002F3CDD"/>
    <w:rsid w:val="002F3CE9"/>
    <w:rsid w:val="002F3CFD"/>
    <w:rsid w:val="002F3D2F"/>
    <w:rsid w:val="002F3D78"/>
    <w:rsid w:val="002F3DA8"/>
    <w:rsid w:val="002F3DD3"/>
    <w:rsid w:val="002F3DF0"/>
    <w:rsid w:val="002F3DF7"/>
    <w:rsid w:val="002F3E21"/>
    <w:rsid w:val="002F3E7E"/>
    <w:rsid w:val="002F3E7F"/>
    <w:rsid w:val="002F3F51"/>
    <w:rsid w:val="002F4049"/>
    <w:rsid w:val="002F4060"/>
    <w:rsid w:val="002F406B"/>
    <w:rsid w:val="002F40A7"/>
    <w:rsid w:val="002F40FF"/>
    <w:rsid w:val="002F4138"/>
    <w:rsid w:val="002F4186"/>
    <w:rsid w:val="002F41CA"/>
    <w:rsid w:val="002F41E1"/>
    <w:rsid w:val="002F41F5"/>
    <w:rsid w:val="002F4252"/>
    <w:rsid w:val="002F4256"/>
    <w:rsid w:val="002F4285"/>
    <w:rsid w:val="002F43A7"/>
    <w:rsid w:val="002F43A8"/>
    <w:rsid w:val="002F441C"/>
    <w:rsid w:val="002F444A"/>
    <w:rsid w:val="002F4473"/>
    <w:rsid w:val="002F44D6"/>
    <w:rsid w:val="002F455B"/>
    <w:rsid w:val="002F4597"/>
    <w:rsid w:val="002F45AD"/>
    <w:rsid w:val="002F465A"/>
    <w:rsid w:val="002F4676"/>
    <w:rsid w:val="002F467D"/>
    <w:rsid w:val="002F46AA"/>
    <w:rsid w:val="002F46AE"/>
    <w:rsid w:val="002F46B5"/>
    <w:rsid w:val="002F46C0"/>
    <w:rsid w:val="002F470B"/>
    <w:rsid w:val="002F4719"/>
    <w:rsid w:val="002F478D"/>
    <w:rsid w:val="002F47FF"/>
    <w:rsid w:val="002F482A"/>
    <w:rsid w:val="002F4848"/>
    <w:rsid w:val="002F4862"/>
    <w:rsid w:val="002F489F"/>
    <w:rsid w:val="002F48C5"/>
    <w:rsid w:val="002F48C9"/>
    <w:rsid w:val="002F48DD"/>
    <w:rsid w:val="002F48EB"/>
    <w:rsid w:val="002F48FA"/>
    <w:rsid w:val="002F4956"/>
    <w:rsid w:val="002F49A0"/>
    <w:rsid w:val="002F49C0"/>
    <w:rsid w:val="002F49C9"/>
    <w:rsid w:val="002F4B2F"/>
    <w:rsid w:val="002F4B33"/>
    <w:rsid w:val="002F4BBC"/>
    <w:rsid w:val="002F4BC1"/>
    <w:rsid w:val="002F4C11"/>
    <w:rsid w:val="002F4C34"/>
    <w:rsid w:val="002F4CA7"/>
    <w:rsid w:val="002F4D16"/>
    <w:rsid w:val="002F4D26"/>
    <w:rsid w:val="002F4D81"/>
    <w:rsid w:val="002F4E04"/>
    <w:rsid w:val="002F4E40"/>
    <w:rsid w:val="002F4E9F"/>
    <w:rsid w:val="002F4ECC"/>
    <w:rsid w:val="002F4F63"/>
    <w:rsid w:val="002F4F7D"/>
    <w:rsid w:val="002F4F85"/>
    <w:rsid w:val="002F4FC1"/>
    <w:rsid w:val="002F4FD8"/>
    <w:rsid w:val="002F5093"/>
    <w:rsid w:val="002F5095"/>
    <w:rsid w:val="002F50B7"/>
    <w:rsid w:val="002F50F7"/>
    <w:rsid w:val="002F5105"/>
    <w:rsid w:val="002F510F"/>
    <w:rsid w:val="002F5119"/>
    <w:rsid w:val="002F513C"/>
    <w:rsid w:val="002F5158"/>
    <w:rsid w:val="002F515B"/>
    <w:rsid w:val="002F5173"/>
    <w:rsid w:val="002F51CE"/>
    <w:rsid w:val="002F51D9"/>
    <w:rsid w:val="002F52F3"/>
    <w:rsid w:val="002F5300"/>
    <w:rsid w:val="002F5320"/>
    <w:rsid w:val="002F5364"/>
    <w:rsid w:val="002F5368"/>
    <w:rsid w:val="002F5372"/>
    <w:rsid w:val="002F53B6"/>
    <w:rsid w:val="002F53C8"/>
    <w:rsid w:val="002F541D"/>
    <w:rsid w:val="002F5433"/>
    <w:rsid w:val="002F5437"/>
    <w:rsid w:val="002F5545"/>
    <w:rsid w:val="002F5564"/>
    <w:rsid w:val="002F557D"/>
    <w:rsid w:val="002F55C7"/>
    <w:rsid w:val="002F55ED"/>
    <w:rsid w:val="002F5666"/>
    <w:rsid w:val="002F56A1"/>
    <w:rsid w:val="002F576C"/>
    <w:rsid w:val="002F579F"/>
    <w:rsid w:val="002F57FE"/>
    <w:rsid w:val="002F5842"/>
    <w:rsid w:val="002F595A"/>
    <w:rsid w:val="002F59F1"/>
    <w:rsid w:val="002F5A01"/>
    <w:rsid w:val="002F5BCD"/>
    <w:rsid w:val="002F5BE0"/>
    <w:rsid w:val="002F5BE4"/>
    <w:rsid w:val="002F5BF7"/>
    <w:rsid w:val="002F5C10"/>
    <w:rsid w:val="002F5C34"/>
    <w:rsid w:val="002F5C4E"/>
    <w:rsid w:val="002F5C69"/>
    <w:rsid w:val="002F5CAF"/>
    <w:rsid w:val="002F5DF6"/>
    <w:rsid w:val="002F5E4F"/>
    <w:rsid w:val="002F5EE1"/>
    <w:rsid w:val="002F5EEB"/>
    <w:rsid w:val="002F5F52"/>
    <w:rsid w:val="002F5FFB"/>
    <w:rsid w:val="002F603D"/>
    <w:rsid w:val="002F6044"/>
    <w:rsid w:val="002F6046"/>
    <w:rsid w:val="002F60D4"/>
    <w:rsid w:val="002F612D"/>
    <w:rsid w:val="002F626F"/>
    <w:rsid w:val="002F639D"/>
    <w:rsid w:val="002F63E1"/>
    <w:rsid w:val="002F640C"/>
    <w:rsid w:val="002F6476"/>
    <w:rsid w:val="002F64B6"/>
    <w:rsid w:val="002F6503"/>
    <w:rsid w:val="002F6516"/>
    <w:rsid w:val="002F6550"/>
    <w:rsid w:val="002F6556"/>
    <w:rsid w:val="002F658C"/>
    <w:rsid w:val="002F6618"/>
    <w:rsid w:val="002F66B3"/>
    <w:rsid w:val="002F66C3"/>
    <w:rsid w:val="002F6781"/>
    <w:rsid w:val="002F6864"/>
    <w:rsid w:val="002F695B"/>
    <w:rsid w:val="002F696B"/>
    <w:rsid w:val="002F6986"/>
    <w:rsid w:val="002F69C4"/>
    <w:rsid w:val="002F6BE8"/>
    <w:rsid w:val="002F6C02"/>
    <w:rsid w:val="002F6CD5"/>
    <w:rsid w:val="002F6D2C"/>
    <w:rsid w:val="002F6D80"/>
    <w:rsid w:val="002F6DE6"/>
    <w:rsid w:val="002F6DF1"/>
    <w:rsid w:val="002F6E26"/>
    <w:rsid w:val="002F6E49"/>
    <w:rsid w:val="002F6E56"/>
    <w:rsid w:val="002F6E70"/>
    <w:rsid w:val="002F6E78"/>
    <w:rsid w:val="002F6E7C"/>
    <w:rsid w:val="002F6E9D"/>
    <w:rsid w:val="002F6EBE"/>
    <w:rsid w:val="002F6EBF"/>
    <w:rsid w:val="002F6F70"/>
    <w:rsid w:val="002F6FE7"/>
    <w:rsid w:val="002F7056"/>
    <w:rsid w:val="002F70B7"/>
    <w:rsid w:val="002F7198"/>
    <w:rsid w:val="002F71B0"/>
    <w:rsid w:val="002F71CD"/>
    <w:rsid w:val="002F71D7"/>
    <w:rsid w:val="002F72CE"/>
    <w:rsid w:val="002F72FD"/>
    <w:rsid w:val="002F7349"/>
    <w:rsid w:val="002F738A"/>
    <w:rsid w:val="002F74B0"/>
    <w:rsid w:val="002F74BE"/>
    <w:rsid w:val="002F7507"/>
    <w:rsid w:val="002F75E6"/>
    <w:rsid w:val="002F764B"/>
    <w:rsid w:val="002F76C6"/>
    <w:rsid w:val="002F7709"/>
    <w:rsid w:val="002F7787"/>
    <w:rsid w:val="002F7816"/>
    <w:rsid w:val="002F7839"/>
    <w:rsid w:val="002F785F"/>
    <w:rsid w:val="002F7872"/>
    <w:rsid w:val="002F79A6"/>
    <w:rsid w:val="002F79A9"/>
    <w:rsid w:val="002F79D0"/>
    <w:rsid w:val="002F79E4"/>
    <w:rsid w:val="002F7A8C"/>
    <w:rsid w:val="002F7BDC"/>
    <w:rsid w:val="002F7C59"/>
    <w:rsid w:val="002F7CAA"/>
    <w:rsid w:val="002F7CB7"/>
    <w:rsid w:val="002F7CE5"/>
    <w:rsid w:val="002F7D56"/>
    <w:rsid w:val="002F7DFA"/>
    <w:rsid w:val="002F7E4F"/>
    <w:rsid w:val="002F7F20"/>
    <w:rsid w:val="002F7F33"/>
    <w:rsid w:val="002F7F4E"/>
    <w:rsid w:val="002F7FA9"/>
    <w:rsid w:val="002F7FF2"/>
    <w:rsid w:val="002FB215"/>
    <w:rsid w:val="00300049"/>
    <w:rsid w:val="003000A2"/>
    <w:rsid w:val="00300106"/>
    <w:rsid w:val="0030010E"/>
    <w:rsid w:val="0030012C"/>
    <w:rsid w:val="00300195"/>
    <w:rsid w:val="003001E0"/>
    <w:rsid w:val="003001E9"/>
    <w:rsid w:val="003001F8"/>
    <w:rsid w:val="00300336"/>
    <w:rsid w:val="003003B5"/>
    <w:rsid w:val="00300480"/>
    <w:rsid w:val="00300481"/>
    <w:rsid w:val="003004AE"/>
    <w:rsid w:val="003004D2"/>
    <w:rsid w:val="003004E8"/>
    <w:rsid w:val="0030052A"/>
    <w:rsid w:val="00300601"/>
    <w:rsid w:val="0030066E"/>
    <w:rsid w:val="003006A1"/>
    <w:rsid w:val="0030072D"/>
    <w:rsid w:val="00300745"/>
    <w:rsid w:val="00300768"/>
    <w:rsid w:val="00300784"/>
    <w:rsid w:val="003007B0"/>
    <w:rsid w:val="003007E6"/>
    <w:rsid w:val="003007EE"/>
    <w:rsid w:val="00300876"/>
    <w:rsid w:val="0030089C"/>
    <w:rsid w:val="003008BE"/>
    <w:rsid w:val="003008F8"/>
    <w:rsid w:val="00300927"/>
    <w:rsid w:val="00300953"/>
    <w:rsid w:val="00300954"/>
    <w:rsid w:val="00300955"/>
    <w:rsid w:val="00300976"/>
    <w:rsid w:val="00300A56"/>
    <w:rsid w:val="00300A87"/>
    <w:rsid w:val="00300B09"/>
    <w:rsid w:val="00300B28"/>
    <w:rsid w:val="00300B44"/>
    <w:rsid w:val="00300BDD"/>
    <w:rsid w:val="00300BE0"/>
    <w:rsid w:val="00300BF2"/>
    <w:rsid w:val="00300C37"/>
    <w:rsid w:val="00300C73"/>
    <w:rsid w:val="00300CBB"/>
    <w:rsid w:val="00300CFF"/>
    <w:rsid w:val="00300DB4"/>
    <w:rsid w:val="00300E17"/>
    <w:rsid w:val="00300F11"/>
    <w:rsid w:val="00300F7F"/>
    <w:rsid w:val="00300F88"/>
    <w:rsid w:val="00300FF4"/>
    <w:rsid w:val="00301051"/>
    <w:rsid w:val="0030107E"/>
    <w:rsid w:val="003010E5"/>
    <w:rsid w:val="003010EC"/>
    <w:rsid w:val="003011E1"/>
    <w:rsid w:val="00301202"/>
    <w:rsid w:val="0030123C"/>
    <w:rsid w:val="00301277"/>
    <w:rsid w:val="003012B5"/>
    <w:rsid w:val="00301305"/>
    <w:rsid w:val="00301311"/>
    <w:rsid w:val="003013B2"/>
    <w:rsid w:val="00301416"/>
    <w:rsid w:val="00301436"/>
    <w:rsid w:val="003014A3"/>
    <w:rsid w:val="003014A4"/>
    <w:rsid w:val="003014AE"/>
    <w:rsid w:val="003014C1"/>
    <w:rsid w:val="003014C8"/>
    <w:rsid w:val="00301507"/>
    <w:rsid w:val="0030151C"/>
    <w:rsid w:val="00301599"/>
    <w:rsid w:val="003015AC"/>
    <w:rsid w:val="003015DA"/>
    <w:rsid w:val="00301665"/>
    <w:rsid w:val="0030169F"/>
    <w:rsid w:val="003016B7"/>
    <w:rsid w:val="003016BC"/>
    <w:rsid w:val="0030172B"/>
    <w:rsid w:val="0030173F"/>
    <w:rsid w:val="003018ED"/>
    <w:rsid w:val="00301A54"/>
    <w:rsid w:val="00301A6E"/>
    <w:rsid w:val="00301A71"/>
    <w:rsid w:val="00301AD1"/>
    <w:rsid w:val="00301ADF"/>
    <w:rsid w:val="00301B6F"/>
    <w:rsid w:val="00301B8C"/>
    <w:rsid w:val="00301BF3"/>
    <w:rsid w:val="00301C0D"/>
    <w:rsid w:val="00301C43"/>
    <w:rsid w:val="00301C7D"/>
    <w:rsid w:val="00301CA8"/>
    <w:rsid w:val="00301CB0"/>
    <w:rsid w:val="00301D1A"/>
    <w:rsid w:val="00301E23"/>
    <w:rsid w:val="00301ECA"/>
    <w:rsid w:val="00301F29"/>
    <w:rsid w:val="00301F40"/>
    <w:rsid w:val="00301F45"/>
    <w:rsid w:val="00301FB3"/>
    <w:rsid w:val="00302007"/>
    <w:rsid w:val="00302068"/>
    <w:rsid w:val="00302093"/>
    <w:rsid w:val="003020E9"/>
    <w:rsid w:val="003020EC"/>
    <w:rsid w:val="00302188"/>
    <w:rsid w:val="0030218E"/>
    <w:rsid w:val="0030219E"/>
    <w:rsid w:val="003021AD"/>
    <w:rsid w:val="003021F8"/>
    <w:rsid w:val="00302230"/>
    <w:rsid w:val="00302252"/>
    <w:rsid w:val="0030239E"/>
    <w:rsid w:val="00302469"/>
    <w:rsid w:val="00302568"/>
    <w:rsid w:val="0030256C"/>
    <w:rsid w:val="003025C2"/>
    <w:rsid w:val="00302638"/>
    <w:rsid w:val="0030268B"/>
    <w:rsid w:val="00302695"/>
    <w:rsid w:val="003026A7"/>
    <w:rsid w:val="003026F8"/>
    <w:rsid w:val="003026FF"/>
    <w:rsid w:val="00302730"/>
    <w:rsid w:val="00302738"/>
    <w:rsid w:val="003027B5"/>
    <w:rsid w:val="00302813"/>
    <w:rsid w:val="0030289B"/>
    <w:rsid w:val="003028FC"/>
    <w:rsid w:val="00302902"/>
    <w:rsid w:val="00302979"/>
    <w:rsid w:val="003029E0"/>
    <w:rsid w:val="00302A27"/>
    <w:rsid w:val="00302A30"/>
    <w:rsid w:val="00302A51"/>
    <w:rsid w:val="00302A68"/>
    <w:rsid w:val="00302B0D"/>
    <w:rsid w:val="00302B3F"/>
    <w:rsid w:val="00302BA3"/>
    <w:rsid w:val="00302BE2"/>
    <w:rsid w:val="00302BF6"/>
    <w:rsid w:val="00302C0B"/>
    <w:rsid w:val="00302C91"/>
    <w:rsid w:val="00302C9E"/>
    <w:rsid w:val="00302CA1"/>
    <w:rsid w:val="00302D5C"/>
    <w:rsid w:val="00302D64"/>
    <w:rsid w:val="00302E39"/>
    <w:rsid w:val="00302E6B"/>
    <w:rsid w:val="00302E9E"/>
    <w:rsid w:val="00302F6D"/>
    <w:rsid w:val="00302FD6"/>
    <w:rsid w:val="00302FE1"/>
    <w:rsid w:val="00303079"/>
    <w:rsid w:val="003030A2"/>
    <w:rsid w:val="003030D8"/>
    <w:rsid w:val="003030F0"/>
    <w:rsid w:val="0030310F"/>
    <w:rsid w:val="00303199"/>
    <w:rsid w:val="003031C4"/>
    <w:rsid w:val="00303213"/>
    <w:rsid w:val="0030322B"/>
    <w:rsid w:val="00303234"/>
    <w:rsid w:val="00303247"/>
    <w:rsid w:val="003032F5"/>
    <w:rsid w:val="00303323"/>
    <w:rsid w:val="0030333E"/>
    <w:rsid w:val="0030335B"/>
    <w:rsid w:val="0030339D"/>
    <w:rsid w:val="00303437"/>
    <w:rsid w:val="0030344D"/>
    <w:rsid w:val="00303476"/>
    <w:rsid w:val="0030351B"/>
    <w:rsid w:val="003035E7"/>
    <w:rsid w:val="0030366D"/>
    <w:rsid w:val="00303677"/>
    <w:rsid w:val="003036A0"/>
    <w:rsid w:val="003036A5"/>
    <w:rsid w:val="00303768"/>
    <w:rsid w:val="003037AF"/>
    <w:rsid w:val="00303805"/>
    <w:rsid w:val="00303844"/>
    <w:rsid w:val="003038C7"/>
    <w:rsid w:val="00303956"/>
    <w:rsid w:val="00303974"/>
    <w:rsid w:val="00303A10"/>
    <w:rsid w:val="00303A6C"/>
    <w:rsid w:val="00303B2A"/>
    <w:rsid w:val="00303C08"/>
    <w:rsid w:val="00303C2C"/>
    <w:rsid w:val="00303C31"/>
    <w:rsid w:val="00303CFA"/>
    <w:rsid w:val="00303D0A"/>
    <w:rsid w:val="00303D7A"/>
    <w:rsid w:val="00303D89"/>
    <w:rsid w:val="00303D94"/>
    <w:rsid w:val="00303DCF"/>
    <w:rsid w:val="00303DD0"/>
    <w:rsid w:val="00303E4D"/>
    <w:rsid w:val="00303E84"/>
    <w:rsid w:val="00303E85"/>
    <w:rsid w:val="00303EDE"/>
    <w:rsid w:val="00303EE5"/>
    <w:rsid w:val="00303EF2"/>
    <w:rsid w:val="00303F01"/>
    <w:rsid w:val="00303F48"/>
    <w:rsid w:val="00303F7D"/>
    <w:rsid w:val="00303FCE"/>
    <w:rsid w:val="00303FE8"/>
    <w:rsid w:val="00303FEA"/>
    <w:rsid w:val="0030408C"/>
    <w:rsid w:val="003040D3"/>
    <w:rsid w:val="003040E6"/>
    <w:rsid w:val="003040FD"/>
    <w:rsid w:val="003041F3"/>
    <w:rsid w:val="00304232"/>
    <w:rsid w:val="0030432F"/>
    <w:rsid w:val="00304331"/>
    <w:rsid w:val="0030433E"/>
    <w:rsid w:val="00304359"/>
    <w:rsid w:val="0030436F"/>
    <w:rsid w:val="0030437F"/>
    <w:rsid w:val="003043CE"/>
    <w:rsid w:val="00304448"/>
    <w:rsid w:val="0030445C"/>
    <w:rsid w:val="0030453B"/>
    <w:rsid w:val="00304560"/>
    <w:rsid w:val="003045DA"/>
    <w:rsid w:val="003045E4"/>
    <w:rsid w:val="003045F1"/>
    <w:rsid w:val="00304624"/>
    <w:rsid w:val="0030467F"/>
    <w:rsid w:val="0030469E"/>
    <w:rsid w:val="00304823"/>
    <w:rsid w:val="0030489E"/>
    <w:rsid w:val="00304A15"/>
    <w:rsid w:val="00304A62"/>
    <w:rsid w:val="00304A75"/>
    <w:rsid w:val="00304A78"/>
    <w:rsid w:val="00304A90"/>
    <w:rsid w:val="00304A91"/>
    <w:rsid w:val="00304A9D"/>
    <w:rsid w:val="00304ABA"/>
    <w:rsid w:val="00304ACF"/>
    <w:rsid w:val="00304C33"/>
    <w:rsid w:val="00304CD1"/>
    <w:rsid w:val="00304CE2"/>
    <w:rsid w:val="00304D75"/>
    <w:rsid w:val="00304DBD"/>
    <w:rsid w:val="00304E63"/>
    <w:rsid w:val="00304E8B"/>
    <w:rsid w:val="00304F12"/>
    <w:rsid w:val="00304FF0"/>
    <w:rsid w:val="00305062"/>
    <w:rsid w:val="00305068"/>
    <w:rsid w:val="00305099"/>
    <w:rsid w:val="003050AF"/>
    <w:rsid w:val="003050D7"/>
    <w:rsid w:val="003050FC"/>
    <w:rsid w:val="003050FE"/>
    <w:rsid w:val="0030511B"/>
    <w:rsid w:val="00305132"/>
    <w:rsid w:val="00305167"/>
    <w:rsid w:val="00305189"/>
    <w:rsid w:val="0030519C"/>
    <w:rsid w:val="003051AD"/>
    <w:rsid w:val="0030520D"/>
    <w:rsid w:val="00305227"/>
    <w:rsid w:val="003052D2"/>
    <w:rsid w:val="003052F7"/>
    <w:rsid w:val="0030532E"/>
    <w:rsid w:val="00305438"/>
    <w:rsid w:val="00305450"/>
    <w:rsid w:val="003054E4"/>
    <w:rsid w:val="003054F1"/>
    <w:rsid w:val="003054F4"/>
    <w:rsid w:val="00305525"/>
    <w:rsid w:val="00305530"/>
    <w:rsid w:val="00305540"/>
    <w:rsid w:val="003055DC"/>
    <w:rsid w:val="003055E2"/>
    <w:rsid w:val="00305603"/>
    <w:rsid w:val="00305675"/>
    <w:rsid w:val="00305690"/>
    <w:rsid w:val="003056D3"/>
    <w:rsid w:val="003058E8"/>
    <w:rsid w:val="003058F2"/>
    <w:rsid w:val="00305911"/>
    <w:rsid w:val="0030592C"/>
    <w:rsid w:val="00305933"/>
    <w:rsid w:val="003059F2"/>
    <w:rsid w:val="00305A29"/>
    <w:rsid w:val="00305AF6"/>
    <w:rsid w:val="00305BD4"/>
    <w:rsid w:val="00305BD5"/>
    <w:rsid w:val="00305BDF"/>
    <w:rsid w:val="00305C1C"/>
    <w:rsid w:val="00305D44"/>
    <w:rsid w:val="00305E27"/>
    <w:rsid w:val="00305E58"/>
    <w:rsid w:val="00305E7A"/>
    <w:rsid w:val="00305E9A"/>
    <w:rsid w:val="00305F46"/>
    <w:rsid w:val="00305F65"/>
    <w:rsid w:val="00306057"/>
    <w:rsid w:val="003060BE"/>
    <w:rsid w:val="003060EE"/>
    <w:rsid w:val="00306104"/>
    <w:rsid w:val="0030614B"/>
    <w:rsid w:val="00306198"/>
    <w:rsid w:val="003061EA"/>
    <w:rsid w:val="00306245"/>
    <w:rsid w:val="003062EE"/>
    <w:rsid w:val="00306304"/>
    <w:rsid w:val="00306412"/>
    <w:rsid w:val="0030641A"/>
    <w:rsid w:val="0030645D"/>
    <w:rsid w:val="0030647A"/>
    <w:rsid w:val="003065F1"/>
    <w:rsid w:val="003065F6"/>
    <w:rsid w:val="00306625"/>
    <w:rsid w:val="00306660"/>
    <w:rsid w:val="003066C0"/>
    <w:rsid w:val="003066CC"/>
    <w:rsid w:val="003066F8"/>
    <w:rsid w:val="00306743"/>
    <w:rsid w:val="00306747"/>
    <w:rsid w:val="003067F3"/>
    <w:rsid w:val="003069F6"/>
    <w:rsid w:val="003069FA"/>
    <w:rsid w:val="00306A3A"/>
    <w:rsid w:val="00306A72"/>
    <w:rsid w:val="00306AE9"/>
    <w:rsid w:val="00306B48"/>
    <w:rsid w:val="00306B74"/>
    <w:rsid w:val="00306BF0"/>
    <w:rsid w:val="00306C5D"/>
    <w:rsid w:val="00306C7C"/>
    <w:rsid w:val="00306C84"/>
    <w:rsid w:val="00306CB1"/>
    <w:rsid w:val="00306D21"/>
    <w:rsid w:val="00306D4F"/>
    <w:rsid w:val="00306D75"/>
    <w:rsid w:val="00306D82"/>
    <w:rsid w:val="00306D86"/>
    <w:rsid w:val="00306DCA"/>
    <w:rsid w:val="00306DFC"/>
    <w:rsid w:val="00306EA9"/>
    <w:rsid w:val="00306ECA"/>
    <w:rsid w:val="00306ED9"/>
    <w:rsid w:val="00306F00"/>
    <w:rsid w:val="00306FBE"/>
    <w:rsid w:val="00306FE9"/>
    <w:rsid w:val="00307006"/>
    <w:rsid w:val="00307009"/>
    <w:rsid w:val="00307096"/>
    <w:rsid w:val="003070B4"/>
    <w:rsid w:val="003071A2"/>
    <w:rsid w:val="003071B6"/>
    <w:rsid w:val="003071C1"/>
    <w:rsid w:val="003071FE"/>
    <w:rsid w:val="00307249"/>
    <w:rsid w:val="0030724C"/>
    <w:rsid w:val="0030726F"/>
    <w:rsid w:val="003072AE"/>
    <w:rsid w:val="003072BB"/>
    <w:rsid w:val="003072ED"/>
    <w:rsid w:val="0030748A"/>
    <w:rsid w:val="003074EF"/>
    <w:rsid w:val="00307501"/>
    <w:rsid w:val="00307519"/>
    <w:rsid w:val="00307522"/>
    <w:rsid w:val="0030755F"/>
    <w:rsid w:val="003075D9"/>
    <w:rsid w:val="00307695"/>
    <w:rsid w:val="00307726"/>
    <w:rsid w:val="00307733"/>
    <w:rsid w:val="003077E4"/>
    <w:rsid w:val="003077F2"/>
    <w:rsid w:val="0030780B"/>
    <w:rsid w:val="00307935"/>
    <w:rsid w:val="0030794C"/>
    <w:rsid w:val="00307987"/>
    <w:rsid w:val="003079EC"/>
    <w:rsid w:val="003079F5"/>
    <w:rsid w:val="00307A22"/>
    <w:rsid w:val="00307AA5"/>
    <w:rsid w:val="00307B23"/>
    <w:rsid w:val="00307B2C"/>
    <w:rsid w:val="00307BC2"/>
    <w:rsid w:val="00307BEA"/>
    <w:rsid w:val="00307C01"/>
    <w:rsid w:val="00307C90"/>
    <w:rsid w:val="00307CD6"/>
    <w:rsid w:val="00307DFB"/>
    <w:rsid w:val="00307E03"/>
    <w:rsid w:val="00307E3A"/>
    <w:rsid w:val="00307E67"/>
    <w:rsid w:val="00307EA9"/>
    <w:rsid w:val="00307EE5"/>
    <w:rsid w:val="00307F43"/>
    <w:rsid w:val="003100F0"/>
    <w:rsid w:val="0031017B"/>
    <w:rsid w:val="003101FC"/>
    <w:rsid w:val="0031021A"/>
    <w:rsid w:val="0031028F"/>
    <w:rsid w:val="003103A3"/>
    <w:rsid w:val="003103F1"/>
    <w:rsid w:val="0031048D"/>
    <w:rsid w:val="003104D8"/>
    <w:rsid w:val="003104FD"/>
    <w:rsid w:val="0031055E"/>
    <w:rsid w:val="0031058B"/>
    <w:rsid w:val="0031058E"/>
    <w:rsid w:val="00310593"/>
    <w:rsid w:val="00310616"/>
    <w:rsid w:val="00310635"/>
    <w:rsid w:val="00310703"/>
    <w:rsid w:val="003107C9"/>
    <w:rsid w:val="003107DF"/>
    <w:rsid w:val="003107E9"/>
    <w:rsid w:val="00310839"/>
    <w:rsid w:val="0031087D"/>
    <w:rsid w:val="00310883"/>
    <w:rsid w:val="00310894"/>
    <w:rsid w:val="00310948"/>
    <w:rsid w:val="0031095E"/>
    <w:rsid w:val="00310995"/>
    <w:rsid w:val="00310998"/>
    <w:rsid w:val="003109EA"/>
    <w:rsid w:val="003109F3"/>
    <w:rsid w:val="00310B25"/>
    <w:rsid w:val="00310B37"/>
    <w:rsid w:val="00310B9A"/>
    <w:rsid w:val="00310BE7"/>
    <w:rsid w:val="00310BFC"/>
    <w:rsid w:val="00310C15"/>
    <w:rsid w:val="00310C22"/>
    <w:rsid w:val="00310C9A"/>
    <w:rsid w:val="00310CD1"/>
    <w:rsid w:val="00310CE2"/>
    <w:rsid w:val="00310D05"/>
    <w:rsid w:val="00310D08"/>
    <w:rsid w:val="00310D4F"/>
    <w:rsid w:val="00310E4B"/>
    <w:rsid w:val="00310E66"/>
    <w:rsid w:val="00310EE5"/>
    <w:rsid w:val="00310EF4"/>
    <w:rsid w:val="00310F0E"/>
    <w:rsid w:val="00310F5A"/>
    <w:rsid w:val="00311036"/>
    <w:rsid w:val="003110A9"/>
    <w:rsid w:val="003110B2"/>
    <w:rsid w:val="00311148"/>
    <w:rsid w:val="003111CA"/>
    <w:rsid w:val="003111E9"/>
    <w:rsid w:val="00311221"/>
    <w:rsid w:val="003112CC"/>
    <w:rsid w:val="0031133F"/>
    <w:rsid w:val="00311378"/>
    <w:rsid w:val="003113FC"/>
    <w:rsid w:val="0031143C"/>
    <w:rsid w:val="0031147F"/>
    <w:rsid w:val="00311480"/>
    <w:rsid w:val="003114BF"/>
    <w:rsid w:val="003114E3"/>
    <w:rsid w:val="0031150B"/>
    <w:rsid w:val="00311526"/>
    <w:rsid w:val="00311538"/>
    <w:rsid w:val="0031153F"/>
    <w:rsid w:val="0031158D"/>
    <w:rsid w:val="003115EB"/>
    <w:rsid w:val="00311687"/>
    <w:rsid w:val="003116C0"/>
    <w:rsid w:val="003116EC"/>
    <w:rsid w:val="003116F3"/>
    <w:rsid w:val="00311726"/>
    <w:rsid w:val="00311786"/>
    <w:rsid w:val="0031178A"/>
    <w:rsid w:val="003117D0"/>
    <w:rsid w:val="003117E2"/>
    <w:rsid w:val="00311819"/>
    <w:rsid w:val="0031183F"/>
    <w:rsid w:val="00311850"/>
    <w:rsid w:val="003118A6"/>
    <w:rsid w:val="003118B3"/>
    <w:rsid w:val="003118F3"/>
    <w:rsid w:val="0031191B"/>
    <w:rsid w:val="00311933"/>
    <w:rsid w:val="0031193A"/>
    <w:rsid w:val="0031193D"/>
    <w:rsid w:val="00311AAC"/>
    <w:rsid w:val="00311BE4"/>
    <w:rsid w:val="00311BF7"/>
    <w:rsid w:val="00311C28"/>
    <w:rsid w:val="00311C6E"/>
    <w:rsid w:val="00311CDB"/>
    <w:rsid w:val="00311D1F"/>
    <w:rsid w:val="00311D7F"/>
    <w:rsid w:val="00311DFA"/>
    <w:rsid w:val="00311E73"/>
    <w:rsid w:val="00311EAD"/>
    <w:rsid w:val="00311EDB"/>
    <w:rsid w:val="00311F6D"/>
    <w:rsid w:val="00311F90"/>
    <w:rsid w:val="003120D9"/>
    <w:rsid w:val="003120EB"/>
    <w:rsid w:val="0031211A"/>
    <w:rsid w:val="003121B7"/>
    <w:rsid w:val="003121ED"/>
    <w:rsid w:val="00312226"/>
    <w:rsid w:val="0031223A"/>
    <w:rsid w:val="0031227C"/>
    <w:rsid w:val="003122B9"/>
    <w:rsid w:val="003122DE"/>
    <w:rsid w:val="00312321"/>
    <w:rsid w:val="0031232B"/>
    <w:rsid w:val="0031238A"/>
    <w:rsid w:val="003123A4"/>
    <w:rsid w:val="003123DC"/>
    <w:rsid w:val="003123EE"/>
    <w:rsid w:val="00312438"/>
    <w:rsid w:val="003124E2"/>
    <w:rsid w:val="00312510"/>
    <w:rsid w:val="003125AD"/>
    <w:rsid w:val="003125DC"/>
    <w:rsid w:val="003125E9"/>
    <w:rsid w:val="0031260B"/>
    <w:rsid w:val="00312744"/>
    <w:rsid w:val="003127A5"/>
    <w:rsid w:val="003127AE"/>
    <w:rsid w:val="003127F2"/>
    <w:rsid w:val="003127FE"/>
    <w:rsid w:val="00312880"/>
    <w:rsid w:val="003129AD"/>
    <w:rsid w:val="003129CE"/>
    <w:rsid w:val="00312A26"/>
    <w:rsid w:val="00312B15"/>
    <w:rsid w:val="00312B35"/>
    <w:rsid w:val="00312B72"/>
    <w:rsid w:val="00312C3D"/>
    <w:rsid w:val="00312D2C"/>
    <w:rsid w:val="00312D2F"/>
    <w:rsid w:val="00312D72"/>
    <w:rsid w:val="00312DDE"/>
    <w:rsid w:val="00312E4F"/>
    <w:rsid w:val="00312E5E"/>
    <w:rsid w:val="00312EA0"/>
    <w:rsid w:val="00312EB8"/>
    <w:rsid w:val="00312F44"/>
    <w:rsid w:val="00312F45"/>
    <w:rsid w:val="00312F5A"/>
    <w:rsid w:val="00313027"/>
    <w:rsid w:val="0031307F"/>
    <w:rsid w:val="003130AE"/>
    <w:rsid w:val="003130EB"/>
    <w:rsid w:val="00313112"/>
    <w:rsid w:val="003131A7"/>
    <w:rsid w:val="003131FA"/>
    <w:rsid w:val="0031321D"/>
    <w:rsid w:val="0031324D"/>
    <w:rsid w:val="0031326B"/>
    <w:rsid w:val="0031326D"/>
    <w:rsid w:val="0031333C"/>
    <w:rsid w:val="00313391"/>
    <w:rsid w:val="003133BE"/>
    <w:rsid w:val="00313435"/>
    <w:rsid w:val="003134D4"/>
    <w:rsid w:val="003134E1"/>
    <w:rsid w:val="003134EB"/>
    <w:rsid w:val="00313543"/>
    <w:rsid w:val="00313578"/>
    <w:rsid w:val="0031357E"/>
    <w:rsid w:val="0031358D"/>
    <w:rsid w:val="0031358F"/>
    <w:rsid w:val="00313669"/>
    <w:rsid w:val="0031377D"/>
    <w:rsid w:val="003137BA"/>
    <w:rsid w:val="003138F8"/>
    <w:rsid w:val="00313910"/>
    <w:rsid w:val="00313932"/>
    <w:rsid w:val="00313936"/>
    <w:rsid w:val="00313AC5"/>
    <w:rsid w:val="00313ACB"/>
    <w:rsid w:val="00313B0C"/>
    <w:rsid w:val="00313BBA"/>
    <w:rsid w:val="00313BE1"/>
    <w:rsid w:val="00313BE8"/>
    <w:rsid w:val="00313C73"/>
    <w:rsid w:val="00313CA5"/>
    <w:rsid w:val="00313CC5"/>
    <w:rsid w:val="00313D2C"/>
    <w:rsid w:val="00313D3A"/>
    <w:rsid w:val="00313DB8"/>
    <w:rsid w:val="00313E7A"/>
    <w:rsid w:val="00313F72"/>
    <w:rsid w:val="00314009"/>
    <w:rsid w:val="00314028"/>
    <w:rsid w:val="003140B7"/>
    <w:rsid w:val="003140BF"/>
    <w:rsid w:val="00314212"/>
    <w:rsid w:val="00314275"/>
    <w:rsid w:val="00314292"/>
    <w:rsid w:val="003142B4"/>
    <w:rsid w:val="003142E0"/>
    <w:rsid w:val="00314313"/>
    <w:rsid w:val="0031435E"/>
    <w:rsid w:val="003143BA"/>
    <w:rsid w:val="00314401"/>
    <w:rsid w:val="00314444"/>
    <w:rsid w:val="003144D4"/>
    <w:rsid w:val="0031454B"/>
    <w:rsid w:val="00314591"/>
    <w:rsid w:val="00314592"/>
    <w:rsid w:val="003145F7"/>
    <w:rsid w:val="003146E3"/>
    <w:rsid w:val="00314783"/>
    <w:rsid w:val="00314786"/>
    <w:rsid w:val="003147A4"/>
    <w:rsid w:val="003148A5"/>
    <w:rsid w:val="00314918"/>
    <w:rsid w:val="003149E2"/>
    <w:rsid w:val="00314B02"/>
    <w:rsid w:val="00314B5B"/>
    <w:rsid w:val="00314B7F"/>
    <w:rsid w:val="00314C27"/>
    <w:rsid w:val="00314C36"/>
    <w:rsid w:val="00314C46"/>
    <w:rsid w:val="00314C5D"/>
    <w:rsid w:val="00314C89"/>
    <w:rsid w:val="00314C9B"/>
    <w:rsid w:val="00314CCF"/>
    <w:rsid w:val="00314D0F"/>
    <w:rsid w:val="00314D11"/>
    <w:rsid w:val="00314D1A"/>
    <w:rsid w:val="00314E3C"/>
    <w:rsid w:val="00314E54"/>
    <w:rsid w:val="00314E77"/>
    <w:rsid w:val="00314FE5"/>
    <w:rsid w:val="0031502F"/>
    <w:rsid w:val="00315039"/>
    <w:rsid w:val="0031505C"/>
    <w:rsid w:val="00315073"/>
    <w:rsid w:val="00315084"/>
    <w:rsid w:val="00315088"/>
    <w:rsid w:val="003150B8"/>
    <w:rsid w:val="00315114"/>
    <w:rsid w:val="00315167"/>
    <w:rsid w:val="00315218"/>
    <w:rsid w:val="0031523F"/>
    <w:rsid w:val="0031527F"/>
    <w:rsid w:val="003152CA"/>
    <w:rsid w:val="003152FB"/>
    <w:rsid w:val="00315308"/>
    <w:rsid w:val="00315342"/>
    <w:rsid w:val="00315372"/>
    <w:rsid w:val="003153D2"/>
    <w:rsid w:val="00315455"/>
    <w:rsid w:val="003154C7"/>
    <w:rsid w:val="003154E9"/>
    <w:rsid w:val="00315519"/>
    <w:rsid w:val="00315572"/>
    <w:rsid w:val="00315588"/>
    <w:rsid w:val="003155FF"/>
    <w:rsid w:val="0031563D"/>
    <w:rsid w:val="0031566C"/>
    <w:rsid w:val="003156BD"/>
    <w:rsid w:val="003156DB"/>
    <w:rsid w:val="003156ED"/>
    <w:rsid w:val="00315755"/>
    <w:rsid w:val="003157E2"/>
    <w:rsid w:val="00315848"/>
    <w:rsid w:val="00315863"/>
    <w:rsid w:val="00315866"/>
    <w:rsid w:val="0031591B"/>
    <w:rsid w:val="00315934"/>
    <w:rsid w:val="00315939"/>
    <w:rsid w:val="00315943"/>
    <w:rsid w:val="00315A36"/>
    <w:rsid w:val="00315A72"/>
    <w:rsid w:val="00315AA9"/>
    <w:rsid w:val="00315B65"/>
    <w:rsid w:val="00315B94"/>
    <w:rsid w:val="00315B9E"/>
    <w:rsid w:val="00315BA6"/>
    <w:rsid w:val="00315BAF"/>
    <w:rsid w:val="00315BEB"/>
    <w:rsid w:val="00315C22"/>
    <w:rsid w:val="00315C2C"/>
    <w:rsid w:val="00315C82"/>
    <w:rsid w:val="00315CE3"/>
    <w:rsid w:val="00315D20"/>
    <w:rsid w:val="00315DAB"/>
    <w:rsid w:val="00315DC2"/>
    <w:rsid w:val="00315E1B"/>
    <w:rsid w:val="00315E7E"/>
    <w:rsid w:val="00315E85"/>
    <w:rsid w:val="00315F19"/>
    <w:rsid w:val="00315F35"/>
    <w:rsid w:val="00315FA3"/>
    <w:rsid w:val="00315FF0"/>
    <w:rsid w:val="0031609C"/>
    <w:rsid w:val="003160C5"/>
    <w:rsid w:val="0031611E"/>
    <w:rsid w:val="0031626E"/>
    <w:rsid w:val="003162C0"/>
    <w:rsid w:val="003162DF"/>
    <w:rsid w:val="00316314"/>
    <w:rsid w:val="00316316"/>
    <w:rsid w:val="00316362"/>
    <w:rsid w:val="003163FF"/>
    <w:rsid w:val="00316412"/>
    <w:rsid w:val="003164A7"/>
    <w:rsid w:val="003164FC"/>
    <w:rsid w:val="0031652E"/>
    <w:rsid w:val="00316563"/>
    <w:rsid w:val="00316573"/>
    <w:rsid w:val="00316574"/>
    <w:rsid w:val="003166AE"/>
    <w:rsid w:val="003166F5"/>
    <w:rsid w:val="00316716"/>
    <w:rsid w:val="00316746"/>
    <w:rsid w:val="00316767"/>
    <w:rsid w:val="003167F2"/>
    <w:rsid w:val="0031680A"/>
    <w:rsid w:val="00316861"/>
    <w:rsid w:val="00316883"/>
    <w:rsid w:val="00316899"/>
    <w:rsid w:val="00316954"/>
    <w:rsid w:val="00316989"/>
    <w:rsid w:val="003169F2"/>
    <w:rsid w:val="00316A21"/>
    <w:rsid w:val="00316A53"/>
    <w:rsid w:val="00316A5B"/>
    <w:rsid w:val="00316A87"/>
    <w:rsid w:val="00316A90"/>
    <w:rsid w:val="00316B68"/>
    <w:rsid w:val="00316C02"/>
    <w:rsid w:val="00316C96"/>
    <w:rsid w:val="00316C99"/>
    <w:rsid w:val="00316CC5"/>
    <w:rsid w:val="00316DC4"/>
    <w:rsid w:val="00316DD5"/>
    <w:rsid w:val="00316DEB"/>
    <w:rsid w:val="00316E6C"/>
    <w:rsid w:val="00316EFF"/>
    <w:rsid w:val="00316F23"/>
    <w:rsid w:val="00316F2C"/>
    <w:rsid w:val="00316FA9"/>
    <w:rsid w:val="00316FC8"/>
    <w:rsid w:val="00317009"/>
    <w:rsid w:val="00317063"/>
    <w:rsid w:val="003170BB"/>
    <w:rsid w:val="0031711A"/>
    <w:rsid w:val="0031719F"/>
    <w:rsid w:val="003171AB"/>
    <w:rsid w:val="003171D5"/>
    <w:rsid w:val="0031721C"/>
    <w:rsid w:val="00317253"/>
    <w:rsid w:val="003172BD"/>
    <w:rsid w:val="0031737B"/>
    <w:rsid w:val="0031738F"/>
    <w:rsid w:val="003173F0"/>
    <w:rsid w:val="00317515"/>
    <w:rsid w:val="0031756F"/>
    <w:rsid w:val="00317684"/>
    <w:rsid w:val="003176D4"/>
    <w:rsid w:val="00317705"/>
    <w:rsid w:val="00317763"/>
    <w:rsid w:val="0031777E"/>
    <w:rsid w:val="003177BA"/>
    <w:rsid w:val="003177D8"/>
    <w:rsid w:val="003177F2"/>
    <w:rsid w:val="003178D2"/>
    <w:rsid w:val="003178E6"/>
    <w:rsid w:val="0031791C"/>
    <w:rsid w:val="0031798C"/>
    <w:rsid w:val="0031798E"/>
    <w:rsid w:val="00317990"/>
    <w:rsid w:val="00317A0E"/>
    <w:rsid w:val="00317A74"/>
    <w:rsid w:val="00317AC2"/>
    <w:rsid w:val="00317BBF"/>
    <w:rsid w:val="00317C44"/>
    <w:rsid w:val="00317C6D"/>
    <w:rsid w:val="00317C7A"/>
    <w:rsid w:val="00317DAF"/>
    <w:rsid w:val="00317DB1"/>
    <w:rsid w:val="00317DC1"/>
    <w:rsid w:val="00317E85"/>
    <w:rsid w:val="00317EBF"/>
    <w:rsid w:val="00317EED"/>
    <w:rsid w:val="00317F57"/>
    <w:rsid w:val="00317F81"/>
    <w:rsid w:val="00317FA1"/>
    <w:rsid w:val="00317FCB"/>
    <w:rsid w:val="00317FE5"/>
    <w:rsid w:val="00317FE9"/>
    <w:rsid w:val="0031BD28"/>
    <w:rsid w:val="0032002E"/>
    <w:rsid w:val="003201AB"/>
    <w:rsid w:val="00320213"/>
    <w:rsid w:val="00320233"/>
    <w:rsid w:val="00320247"/>
    <w:rsid w:val="00320249"/>
    <w:rsid w:val="00320275"/>
    <w:rsid w:val="00320350"/>
    <w:rsid w:val="00320388"/>
    <w:rsid w:val="003203F3"/>
    <w:rsid w:val="003203F7"/>
    <w:rsid w:val="0032040E"/>
    <w:rsid w:val="00320477"/>
    <w:rsid w:val="003204DC"/>
    <w:rsid w:val="003204F0"/>
    <w:rsid w:val="003204FD"/>
    <w:rsid w:val="00320523"/>
    <w:rsid w:val="003205DF"/>
    <w:rsid w:val="003206E9"/>
    <w:rsid w:val="00320719"/>
    <w:rsid w:val="00320742"/>
    <w:rsid w:val="003207F8"/>
    <w:rsid w:val="0032097F"/>
    <w:rsid w:val="00320ACB"/>
    <w:rsid w:val="00320BAF"/>
    <w:rsid w:val="00320BB4"/>
    <w:rsid w:val="00320BB6"/>
    <w:rsid w:val="00320BFA"/>
    <w:rsid w:val="00320C2C"/>
    <w:rsid w:val="00320C35"/>
    <w:rsid w:val="00320C59"/>
    <w:rsid w:val="00320CA3"/>
    <w:rsid w:val="00320CFB"/>
    <w:rsid w:val="00320D3F"/>
    <w:rsid w:val="00320DA3"/>
    <w:rsid w:val="00320DB9"/>
    <w:rsid w:val="00320DC5"/>
    <w:rsid w:val="00320E66"/>
    <w:rsid w:val="00320F2E"/>
    <w:rsid w:val="00320F6E"/>
    <w:rsid w:val="00320F96"/>
    <w:rsid w:val="00320FAF"/>
    <w:rsid w:val="00320FE1"/>
    <w:rsid w:val="00321025"/>
    <w:rsid w:val="0032105F"/>
    <w:rsid w:val="003210C5"/>
    <w:rsid w:val="003210D3"/>
    <w:rsid w:val="003210D7"/>
    <w:rsid w:val="003210DA"/>
    <w:rsid w:val="003210E2"/>
    <w:rsid w:val="003210F0"/>
    <w:rsid w:val="00321129"/>
    <w:rsid w:val="0032114E"/>
    <w:rsid w:val="00321189"/>
    <w:rsid w:val="003211A8"/>
    <w:rsid w:val="003211C8"/>
    <w:rsid w:val="003211CE"/>
    <w:rsid w:val="00321275"/>
    <w:rsid w:val="00321282"/>
    <w:rsid w:val="00321299"/>
    <w:rsid w:val="0032130A"/>
    <w:rsid w:val="0032130E"/>
    <w:rsid w:val="00321318"/>
    <w:rsid w:val="00321384"/>
    <w:rsid w:val="00321442"/>
    <w:rsid w:val="0032146D"/>
    <w:rsid w:val="00321481"/>
    <w:rsid w:val="003214D8"/>
    <w:rsid w:val="003214DB"/>
    <w:rsid w:val="003214FA"/>
    <w:rsid w:val="003215C7"/>
    <w:rsid w:val="003215D3"/>
    <w:rsid w:val="00321603"/>
    <w:rsid w:val="00321607"/>
    <w:rsid w:val="0032161B"/>
    <w:rsid w:val="0032162B"/>
    <w:rsid w:val="0032165E"/>
    <w:rsid w:val="00321670"/>
    <w:rsid w:val="003216AA"/>
    <w:rsid w:val="003217BF"/>
    <w:rsid w:val="003217EC"/>
    <w:rsid w:val="00321829"/>
    <w:rsid w:val="00321891"/>
    <w:rsid w:val="0032189C"/>
    <w:rsid w:val="003218AA"/>
    <w:rsid w:val="003218CD"/>
    <w:rsid w:val="00321954"/>
    <w:rsid w:val="0032195A"/>
    <w:rsid w:val="0032196B"/>
    <w:rsid w:val="003219A0"/>
    <w:rsid w:val="00321A03"/>
    <w:rsid w:val="00321A24"/>
    <w:rsid w:val="00321A78"/>
    <w:rsid w:val="00321B1B"/>
    <w:rsid w:val="00321B50"/>
    <w:rsid w:val="00321C0D"/>
    <w:rsid w:val="00321C5A"/>
    <w:rsid w:val="00321CCC"/>
    <w:rsid w:val="00321D2A"/>
    <w:rsid w:val="00321D31"/>
    <w:rsid w:val="00321DC8"/>
    <w:rsid w:val="00321E26"/>
    <w:rsid w:val="00321E36"/>
    <w:rsid w:val="00322036"/>
    <w:rsid w:val="003220E0"/>
    <w:rsid w:val="003220E7"/>
    <w:rsid w:val="003221F9"/>
    <w:rsid w:val="003221FD"/>
    <w:rsid w:val="00322213"/>
    <w:rsid w:val="0032223F"/>
    <w:rsid w:val="0032227B"/>
    <w:rsid w:val="003222E0"/>
    <w:rsid w:val="003222E3"/>
    <w:rsid w:val="00322300"/>
    <w:rsid w:val="00322353"/>
    <w:rsid w:val="003223A8"/>
    <w:rsid w:val="00322464"/>
    <w:rsid w:val="003224A2"/>
    <w:rsid w:val="003224AE"/>
    <w:rsid w:val="003224AF"/>
    <w:rsid w:val="0032253A"/>
    <w:rsid w:val="003225FA"/>
    <w:rsid w:val="00322629"/>
    <w:rsid w:val="0032266B"/>
    <w:rsid w:val="00322754"/>
    <w:rsid w:val="00322785"/>
    <w:rsid w:val="0032281D"/>
    <w:rsid w:val="00322963"/>
    <w:rsid w:val="00322971"/>
    <w:rsid w:val="003229B3"/>
    <w:rsid w:val="003229CA"/>
    <w:rsid w:val="00322A34"/>
    <w:rsid w:val="00322A63"/>
    <w:rsid w:val="00322A7B"/>
    <w:rsid w:val="00322B38"/>
    <w:rsid w:val="00322B70"/>
    <w:rsid w:val="00322C81"/>
    <w:rsid w:val="00322CA5"/>
    <w:rsid w:val="00322CA6"/>
    <w:rsid w:val="00322D2D"/>
    <w:rsid w:val="00322D68"/>
    <w:rsid w:val="00322D9E"/>
    <w:rsid w:val="00322DAA"/>
    <w:rsid w:val="00322DCF"/>
    <w:rsid w:val="00322DE8"/>
    <w:rsid w:val="00322E5F"/>
    <w:rsid w:val="00322E76"/>
    <w:rsid w:val="00322E9B"/>
    <w:rsid w:val="00322EA5"/>
    <w:rsid w:val="00322F05"/>
    <w:rsid w:val="00322F38"/>
    <w:rsid w:val="00322F3D"/>
    <w:rsid w:val="00323063"/>
    <w:rsid w:val="0032307F"/>
    <w:rsid w:val="003230A6"/>
    <w:rsid w:val="003230C5"/>
    <w:rsid w:val="00323141"/>
    <w:rsid w:val="00323145"/>
    <w:rsid w:val="0032314F"/>
    <w:rsid w:val="00323173"/>
    <w:rsid w:val="003231CD"/>
    <w:rsid w:val="00323233"/>
    <w:rsid w:val="00323297"/>
    <w:rsid w:val="003232A6"/>
    <w:rsid w:val="003232E5"/>
    <w:rsid w:val="0032338E"/>
    <w:rsid w:val="003233C5"/>
    <w:rsid w:val="003233DE"/>
    <w:rsid w:val="0032342F"/>
    <w:rsid w:val="00323446"/>
    <w:rsid w:val="0032344C"/>
    <w:rsid w:val="003234B1"/>
    <w:rsid w:val="00323555"/>
    <w:rsid w:val="0032358A"/>
    <w:rsid w:val="00323636"/>
    <w:rsid w:val="00323673"/>
    <w:rsid w:val="003236B1"/>
    <w:rsid w:val="00323754"/>
    <w:rsid w:val="00323836"/>
    <w:rsid w:val="00323839"/>
    <w:rsid w:val="0032386B"/>
    <w:rsid w:val="00323892"/>
    <w:rsid w:val="003238B8"/>
    <w:rsid w:val="003238C9"/>
    <w:rsid w:val="0032394D"/>
    <w:rsid w:val="00323956"/>
    <w:rsid w:val="0032399E"/>
    <w:rsid w:val="003239D5"/>
    <w:rsid w:val="00323A45"/>
    <w:rsid w:val="00323A6C"/>
    <w:rsid w:val="00323AD2"/>
    <w:rsid w:val="00323B92"/>
    <w:rsid w:val="00323BC2"/>
    <w:rsid w:val="00323BF4"/>
    <w:rsid w:val="00323BFF"/>
    <w:rsid w:val="00323CEA"/>
    <w:rsid w:val="00323D04"/>
    <w:rsid w:val="00323D95"/>
    <w:rsid w:val="00323E03"/>
    <w:rsid w:val="00323E10"/>
    <w:rsid w:val="00323E1B"/>
    <w:rsid w:val="00323E2E"/>
    <w:rsid w:val="00323E73"/>
    <w:rsid w:val="00323E87"/>
    <w:rsid w:val="00323EA5"/>
    <w:rsid w:val="00323EA6"/>
    <w:rsid w:val="00323F2E"/>
    <w:rsid w:val="00323F46"/>
    <w:rsid w:val="00323FB0"/>
    <w:rsid w:val="00323FB4"/>
    <w:rsid w:val="00324020"/>
    <w:rsid w:val="0032404D"/>
    <w:rsid w:val="00324058"/>
    <w:rsid w:val="00324087"/>
    <w:rsid w:val="0032413E"/>
    <w:rsid w:val="003241AF"/>
    <w:rsid w:val="0032424D"/>
    <w:rsid w:val="003242FC"/>
    <w:rsid w:val="003243B3"/>
    <w:rsid w:val="003243F2"/>
    <w:rsid w:val="003243F3"/>
    <w:rsid w:val="0032447B"/>
    <w:rsid w:val="00324486"/>
    <w:rsid w:val="003244C3"/>
    <w:rsid w:val="003244CC"/>
    <w:rsid w:val="003244F4"/>
    <w:rsid w:val="00324504"/>
    <w:rsid w:val="0032450D"/>
    <w:rsid w:val="003245C3"/>
    <w:rsid w:val="003245CF"/>
    <w:rsid w:val="0032461E"/>
    <w:rsid w:val="00324667"/>
    <w:rsid w:val="00324748"/>
    <w:rsid w:val="003247AA"/>
    <w:rsid w:val="00324832"/>
    <w:rsid w:val="00324842"/>
    <w:rsid w:val="0032484E"/>
    <w:rsid w:val="00324948"/>
    <w:rsid w:val="00324ACC"/>
    <w:rsid w:val="00324ADC"/>
    <w:rsid w:val="00324B08"/>
    <w:rsid w:val="00324B21"/>
    <w:rsid w:val="00324B52"/>
    <w:rsid w:val="00324C09"/>
    <w:rsid w:val="00324C37"/>
    <w:rsid w:val="00324C45"/>
    <w:rsid w:val="00324D36"/>
    <w:rsid w:val="00324D67"/>
    <w:rsid w:val="00324E14"/>
    <w:rsid w:val="00324ED6"/>
    <w:rsid w:val="00324F3D"/>
    <w:rsid w:val="00324FAE"/>
    <w:rsid w:val="00324FEA"/>
    <w:rsid w:val="00324FF6"/>
    <w:rsid w:val="0032500F"/>
    <w:rsid w:val="00325027"/>
    <w:rsid w:val="00325047"/>
    <w:rsid w:val="00325092"/>
    <w:rsid w:val="003250A4"/>
    <w:rsid w:val="003250D3"/>
    <w:rsid w:val="00325162"/>
    <w:rsid w:val="0032524D"/>
    <w:rsid w:val="00325274"/>
    <w:rsid w:val="00325298"/>
    <w:rsid w:val="003252B9"/>
    <w:rsid w:val="0032530C"/>
    <w:rsid w:val="0032538A"/>
    <w:rsid w:val="0032540A"/>
    <w:rsid w:val="00325421"/>
    <w:rsid w:val="00325465"/>
    <w:rsid w:val="0032546B"/>
    <w:rsid w:val="0032546D"/>
    <w:rsid w:val="00325470"/>
    <w:rsid w:val="00325497"/>
    <w:rsid w:val="003255EC"/>
    <w:rsid w:val="00325611"/>
    <w:rsid w:val="00325629"/>
    <w:rsid w:val="00325696"/>
    <w:rsid w:val="0032579B"/>
    <w:rsid w:val="00325853"/>
    <w:rsid w:val="003258BD"/>
    <w:rsid w:val="003258D9"/>
    <w:rsid w:val="00325934"/>
    <w:rsid w:val="00325955"/>
    <w:rsid w:val="0032595D"/>
    <w:rsid w:val="00325964"/>
    <w:rsid w:val="00325A35"/>
    <w:rsid w:val="00325ACB"/>
    <w:rsid w:val="00325ACC"/>
    <w:rsid w:val="00325BDD"/>
    <w:rsid w:val="00325C17"/>
    <w:rsid w:val="00325D22"/>
    <w:rsid w:val="00325D99"/>
    <w:rsid w:val="00325DC4"/>
    <w:rsid w:val="00325DED"/>
    <w:rsid w:val="00325E2D"/>
    <w:rsid w:val="00325E4A"/>
    <w:rsid w:val="00325FF6"/>
    <w:rsid w:val="00326025"/>
    <w:rsid w:val="0032607F"/>
    <w:rsid w:val="003260BF"/>
    <w:rsid w:val="0032610E"/>
    <w:rsid w:val="0032611E"/>
    <w:rsid w:val="00326123"/>
    <w:rsid w:val="00326241"/>
    <w:rsid w:val="0032626A"/>
    <w:rsid w:val="003262C4"/>
    <w:rsid w:val="003262EC"/>
    <w:rsid w:val="00326365"/>
    <w:rsid w:val="003263DD"/>
    <w:rsid w:val="00326450"/>
    <w:rsid w:val="00326493"/>
    <w:rsid w:val="003264F8"/>
    <w:rsid w:val="00326521"/>
    <w:rsid w:val="0032652C"/>
    <w:rsid w:val="00326619"/>
    <w:rsid w:val="00326682"/>
    <w:rsid w:val="003266A3"/>
    <w:rsid w:val="003266B3"/>
    <w:rsid w:val="003266BD"/>
    <w:rsid w:val="003266C9"/>
    <w:rsid w:val="003266DB"/>
    <w:rsid w:val="0032672E"/>
    <w:rsid w:val="0032673A"/>
    <w:rsid w:val="00326763"/>
    <w:rsid w:val="00326798"/>
    <w:rsid w:val="0032680D"/>
    <w:rsid w:val="00326906"/>
    <w:rsid w:val="00326A49"/>
    <w:rsid w:val="00326A6D"/>
    <w:rsid w:val="00326A87"/>
    <w:rsid w:val="00326AAB"/>
    <w:rsid w:val="00326B3A"/>
    <w:rsid w:val="00326B48"/>
    <w:rsid w:val="00326C72"/>
    <w:rsid w:val="00326CD2"/>
    <w:rsid w:val="00326D04"/>
    <w:rsid w:val="00326D29"/>
    <w:rsid w:val="00326DA0"/>
    <w:rsid w:val="00326DB8"/>
    <w:rsid w:val="00326DC5"/>
    <w:rsid w:val="00326E3F"/>
    <w:rsid w:val="00326E44"/>
    <w:rsid w:val="00326E9A"/>
    <w:rsid w:val="00326F35"/>
    <w:rsid w:val="00326FDC"/>
    <w:rsid w:val="00327066"/>
    <w:rsid w:val="003271C2"/>
    <w:rsid w:val="00327208"/>
    <w:rsid w:val="00327211"/>
    <w:rsid w:val="0032728C"/>
    <w:rsid w:val="00327358"/>
    <w:rsid w:val="00327445"/>
    <w:rsid w:val="003274F7"/>
    <w:rsid w:val="0032767D"/>
    <w:rsid w:val="00327695"/>
    <w:rsid w:val="003276AC"/>
    <w:rsid w:val="0032779A"/>
    <w:rsid w:val="00327890"/>
    <w:rsid w:val="00327896"/>
    <w:rsid w:val="003278B7"/>
    <w:rsid w:val="00327914"/>
    <w:rsid w:val="00327919"/>
    <w:rsid w:val="0032792B"/>
    <w:rsid w:val="00327934"/>
    <w:rsid w:val="00327B13"/>
    <w:rsid w:val="00327B70"/>
    <w:rsid w:val="00327BC6"/>
    <w:rsid w:val="00327BE5"/>
    <w:rsid w:val="00327C76"/>
    <w:rsid w:val="00327CAE"/>
    <w:rsid w:val="00327CB1"/>
    <w:rsid w:val="00327CFE"/>
    <w:rsid w:val="00327D9C"/>
    <w:rsid w:val="00327DD6"/>
    <w:rsid w:val="00327E9A"/>
    <w:rsid w:val="00327F0C"/>
    <w:rsid w:val="0033006B"/>
    <w:rsid w:val="00330099"/>
    <w:rsid w:val="003300F5"/>
    <w:rsid w:val="00330168"/>
    <w:rsid w:val="00330216"/>
    <w:rsid w:val="00330286"/>
    <w:rsid w:val="0033035C"/>
    <w:rsid w:val="00330372"/>
    <w:rsid w:val="00330383"/>
    <w:rsid w:val="003303D6"/>
    <w:rsid w:val="0033048D"/>
    <w:rsid w:val="003304DF"/>
    <w:rsid w:val="003304E2"/>
    <w:rsid w:val="00330525"/>
    <w:rsid w:val="003305A5"/>
    <w:rsid w:val="003305FF"/>
    <w:rsid w:val="00330680"/>
    <w:rsid w:val="00330694"/>
    <w:rsid w:val="003308FF"/>
    <w:rsid w:val="0033092F"/>
    <w:rsid w:val="003309B2"/>
    <w:rsid w:val="00330A11"/>
    <w:rsid w:val="00330A80"/>
    <w:rsid w:val="00330BAC"/>
    <w:rsid w:val="00330BD8"/>
    <w:rsid w:val="00330BF6"/>
    <w:rsid w:val="00330C09"/>
    <w:rsid w:val="00330C38"/>
    <w:rsid w:val="00330C4B"/>
    <w:rsid w:val="00330DD7"/>
    <w:rsid w:val="00330DD9"/>
    <w:rsid w:val="00330EC2"/>
    <w:rsid w:val="00330EF0"/>
    <w:rsid w:val="00330F68"/>
    <w:rsid w:val="00330F8F"/>
    <w:rsid w:val="00330FAC"/>
    <w:rsid w:val="00330FB8"/>
    <w:rsid w:val="00330FE8"/>
    <w:rsid w:val="0033102F"/>
    <w:rsid w:val="00331045"/>
    <w:rsid w:val="003310C2"/>
    <w:rsid w:val="003310C3"/>
    <w:rsid w:val="003311C7"/>
    <w:rsid w:val="00331235"/>
    <w:rsid w:val="00331247"/>
    <w:rsid w:val="00331268"/>
    <w:rsid w:val="00331290"/>
    <w:rsid w:val="00331298"/>
    <w:rsid w:val="0033134C"/>
    <w:rsid w:val="00331361"/>
    <w:rsid w:val="0033139A"/>
    <w:rsid w:val="0033139C"/>
    <w:rsid w:val="0033140E"/>
    <w:rsid w:val="0033153B"/>
    <w:rsid w:val="00331579"/>
    <w:rsid w:val="0033159E"/>
    <w:rsid w:val="003316B7"/>
    <w:rsid w:val="003316F1"/>
    <w:rsid w:val="0033174E"/>
    <w:rsid w:val="00331852"/>
    <w:rsid w:val="0033199A"/>
    <w:rsid w:val="00331A3F"/>
    <w:rsid w:val="00331A6C"/>
    <w:rsid w:val="00331AD3"/>
    <w:rsid w:val="00331BC2"/>
    <w:rsid w:val="00331C18"/>
    <w:rsid w:val="00331C51"/>
    <w:rsid w:val="00331C8A"/>
    <w:rsid w:val="00331CC6"/>
    <w:rsid w:val="00331CDD"/>
    <w:rsid w:val="00331D18"/>
    <w:rsid w:val="00331D31"/>
    <w:rsid w:val="00331E34"/>
    <w:rsid w:val="00331E40"/>
    <w:rsid w:val="00331E64"/>
    <w:rsid w:val="00331F36"/>
    <w:rsid w:val="00331F5E"/>
    <w:rsid w:val="00331F8D"/>
    <w:rsid w:val="00331FD1"/>
    <w:rsid w:val="00332009"/>
    <w:rsid w:val="00332034"/>
    <w:rsid w:val="0033209D"/>
    <w:rsid w:val="00332138"/>
    <w:rsid w:val="00332151"/>
    <w:rsid w:val="003321BF"/>
    <w:rsid w:val="0033223E"/>
    <w:rsid w:val="003323C7"/>
    <w:rsid w:val="00332467"/>
    <w:rsid w:val="0033255C"/>
    <w:rsid w:val="003325AD"/>
    <w:rsid w:val="003325AE"/>
    <w:rsid w:val="003325DE"/>
    <w:rsid w:val="0033272D"/>
    <w:rsid w:val="00332745"/>
    <w:rsid w:val="0033278C"/>
    <w:rsid w:val="003327A6"/>
    <w:rsid w:val="00332807"/>
    <w:rsid w:val="00332818"/>
    <w:rsid w:val="00332860"/>
    <w:rsid w:val="00332867"/>
    <w:rsid w:val="003328B5"/>
    <w:rsid w:val="00332924"/>
    <w:rsid w:val="00332939"/>
    <w:rsid w:val="00332A8F"/>
    <w:rsid w:val="00332BBF"/>
    <w:rsid w:val="00332C07"/>
    <w:rsid w:val="00332CD6"/>
    <w:rsid w:val="00332D76"/>
    <w:rsid w:val="00332D78"/>
    <w:rsid w:val="00332E19"/>
    <w:rsid w:val="00332E30"/>
    <w:rsid w:val="00332E6E"/>
    <w:rsid w:val="00332EE4"/>
    <w:rsid w:val="00332F0F"/>
    <w:rsid w:val="00332FC4"/>
    <w:rsid w:val="00332FCD"/>
    <w:rsid w:val="003330C6"/>
    <w:rsid w:val="00333140"/>
    <w:rsid w:val="00333164"/>
    <w:rsid w:val="003332AA"/>
    <w:rsid w:val="0033333B"/>
    <w:rsid w:val="00333374"/>
    <w:rsid w:val="00333497"/>
    <w:rsid w:val="00333498"/>
    <w:rsid w:val="003334E8"/>
    <w:rsid w:val="00333597"/>
    <w:rsid w:val="00333636"/>
    <w:rsid w:val="00333683"/>
    <w:rsid w:val="003336C1"/>
    <w:rsid w:val="00333777"/>
    <w:rsid w:val="003337EC"/>
    <w:rsid w:val="003338AA"/>
    <w:rsid w:val="0033395F"/>
    <w:rsid w:val="00333A79"/>
    <w:rsid w:val="00333A89"/>
    <w:rsid w:val="00333AD4"/>
    <w:rsid w:val="00333B4D"/>
    <w:rsid w:val="00333B58"/>
    <w:rsid w:val="00333B9D"/>
    <w:rsid w:val="00333BE9"/>
    <w:rsid w:val="00333C4D"/>
    <w:rsid w:val="00333CC8"/>
    <w:rsid w:val="00333D3A"/>
    <w:rsid w:val="00333D6D"/>
    <w:rsid w:val="00333DF6"/>
    <w:rsid w:val="00333E15"/>
    <w:rsid w:val="00333E4C"/>
    <w:rsid w:val="00333E95"/>
    <w:rsid w:val="00333F82"/>
    <w:rsid w:val="00333FB2"/>
    <w:rsid w:val="003340C8"/>
    <w:rsid w:val="003340DB"/>
    <w:rsid w:val="00334157"/>
    <w:rsid w:val="00334296"/>
    <w:rsid w:val="003342B3"/>
    <w:rsid w:val="00334350"/>
    <w:rsid w:val="00334378"/>
    <w:rsid w:val="003343A6"/>
    <w:rsid w:val="00334431"/>
    <w:rsid w:val="00334434"/>
    <w:rsid w:val="003344A6"/>
    <w:rsid w:val="003344B6"/>
    <w:rsid w:val="003344D4"/>
    <w:rsid w:val="00334599"/>
    <w:rsid w:val="0033459B"/>
    <w:rsid w:val="00334639"/>
    <w:rsid w:val="003347B1"/>
    <w:rsid w:val="00334805"/>
    <w:rsid w:val="0033483D"/>
    <w:rsid w:val="00334841"/>
    <w:rsid w:val="00334924"/>
    <w:rsid w:val="0033498C"/>
    <w:rsid w:val="003349A3"/>
    <w:rsid w:val="003349A9"/>
    <w:rsid w:val="003349BF"/>
    <w:rsid w:val="00334A07"/>
    <w:rsid w:val="00334A3F"/>
    <w:rsid w:val="00334A55"/>
    <w:rsid w:val="00334C13"/>
    <w:rsid w:val="00334C28"/>
    <w:rsid w:val="00334C59"/>
    <w:rsid w:val="00334C9B"/>
    <w:rsid w:val="00334D05"/>
    <w:rsid w:val="00334D9F"/>
    <w:rsid w:val="00334E57"/>
    <w:rsid w:val="00334ED2"/>
    <w:rsid w:val="00334EF2"/>
    <w:rsid w:val="00334F04"/>
    <w:rsid w:val="00334F89"/>
    <w:rsid w:val="00334F90"/>
    <w:rsid w:val="00335010"/>
    <w:rsid w:val="003350C8"/>
    <w:rsid w:val="003350F3"/>
    <w:rsid w:val="003351BD"/>
    <w:rsid w:val="003351BF"/>
    <w:rsid w:val="003351DA"/>
    <w:rsid w:val="003352DB"/>
    <w:rsid w:val="003352EE"/>
    <w:rsid w:val="00335343"/>
    <w:rsid w:val="003353D2"/>
    <w:rsid w:val="003353E9"/>
    <w:rsid w:val="0033543A"/>
    <w:rsid w:val="00335487"/>
    <w:rsid w:val="003354A5"/>
    <w:rsid w:val="00335575"/>
    <w:rsid w:val="00335593"/>
    <w:rsid w:val="0033569C"/>
    <w:rsid w:val="00335707"/>
    <w:rsid w:val="003357E4"/>
    <w:rsid w:val="0033588B"/>
    <w:rsid w:val="0033588C"/>
    <w:rsid w:val="003358AB"/>
    <w:rsid w:val="00335949"/>
    <w:rsid w:val="00335957"/>
    <w:rsid w:val="00335963"/>
    <w:rsid w:val="0033598C"/>
    <w:rsid w:val="00335B00"/>
    <w:rsid w:val="00335B13"/>
    <w:rsid w:val="00335D93"/>
    <w:rsid w:val="00335DA7"/>
    <w:rsid w:val="00335DB3"/>
    <w:rsid w:val="00335DD6"/>
    <w:rsid w:val="00335E08"/>
    <w:rsid w:val="00335E2C"/>
    <w:rsid w:val="00335E2D"/>
    <w:rsid w:val="00335EE6"/>
    <w:rsid w:val="00335EF3"/>
    <w:rsid w:val="00335F6C"/>
    <w:rsid w:val="00335F7C"/>
    <w:rsid w:val="00335F8E"/>
    <w:rsid w:val="0033607B"/>
    <w:rsid w:val="003360BD"/>
    <w:rsid w:val="003360C3"/>
    <w:rsid w:val="003360EA"/>
    <w:rsid w:val="0033610E"/>
    <w:rsid w:val="00336129"/>
    <w:rsid w:val="003361B5"/>
    <w:rsid w:val="00336222"/>
    <w:rsid w:val="00336265"/>
    <w:rsid w:val="003362B6"/>
    <w:rsid w:val="003362DD"/>
    <w:rsid w:val="0033633B"/>
    <w:rsid w:val="0033633C"/>
    <w:rsid w:val="00336414"/>
    <w:rsid w:val="00336476"/>
    <w:rsid w:val="0033647E"/>
    <w:rsid w:val="003364BB"/>
    <w:rsid w:val="003364EC"/>
    <w:rsid w:val="003364F3"/>
    <w:rsid w:val="00336508"/>
    <w:rsid w:val="003365B4"/>
    <w:rsid w:val="003365DC"/>
    <w:rsid w:val="003366A3"/>
    <w:rsid w:val="003366CA"/>
    <w:rsid w:val="00336709"/>
    <w:rsid w:val="0033674A"/>
    <w:rsid w:val="003367FF"/>
    <w:rsid w:val="00336841"/>
    <w:rsid w:val="003368A1"/>
    <w:rsid w:val="00336906"/>
    <w:rsid w:val="003369D7"/>
    <w:rsid w:val="00336A16"/>
    <w:rsid w:val="00336A3F"/>
    <w:rsid w:val="00336A6F"/>
    <w:rsid w:val="00336A74"/>
    <w:rsid w:val="00336A90"/>
    <w:rsid w:val="00336AC6"/>
    <w:rsid w:val="00336AD2"/>
    <w:rsid w:val="00336B2B"/>
    <w:rsid w:val="00336BB6"/>
    <w:rsid w:val="00336BFA"/>
    <w:rsid w:val="00336BFE"/>
    <w:rsid w:val="00336CDA"/>
    <w:rsid w:val="00336D14"/>
    <w:rsid w:val="00336D99"/>
    <w:rsid w:val="00336F06"/>
    <w:rsid w:val="00336F2C"/>
    <w:rsid w:val="00336F32"/>
    <w:rsid w:val="00336F49"/>
    <w:rsid w:val="00336F72"/>
    <w:rsid w:val="00336FB5"/>
    <w:rsid w:val="00336FC3"/>
    <w:rsid w:val="0033706C"/>
    <w:rsid w:val="00337070"/>
    <w:rsid w:val="0033713F"/>
    <w:rsid w:val="003371AA"/>
    <w:rsid w:val="003371F4"/>
    <w:rsid w:val="003372BD"/>
    <w:rsid w:val="0033730E"/>
    <w:rsid w:val="00337348"/>
    <w:rsid w:val="003373C3"/>
    <w:rsid w:val="003373D4"/>
    <w:rsid w:val="003374FF"/>
    <w:rsid w:val="00337533"/>
    <w:rsid w:val="00337555"/>
    <w:rsid w:val="00337589"/>
    <w:rsid w:val="003375E3"/>
    <w:rsid w:val="00337721"/>
    <w:rsid w:val="003377D0"/>
    <w:rsid w:val="0033782B"/>
    <w:rsid w:val="00337847"/>
    <w:rsid w:val="003378DB"/>
    <w:rsid w:val="003378E8"/>
    <w:rsid w:val="0033791A"/>
    <w:rsid w:val="00337952"/>
    <w:rsid w:val="00337953"/>
    <w:rsid w:val="00337960"/>
    <w:rsid w:val="0033799C"/>
    <w:rsid w:val="00337A5F"/>
    <w:rsid w:val="00337A82"/>
    <w:rsid w:val="00337A99"/>
    <w:rsid w:val="00337B37"/>
    <w:rsid w:val="00337B39"/>
    <w:rsid w:val="00337BD5"/>
    <w:rsid w:val="00337C2F"/>
    <w:rsid w:val="00337CF3"/>
    <w:rsid w:val="00337D4C"/>
    <w:rsid w:val="00337E18"/>
    <w:rsid w:val="00337E1F"/>
    <w:rsid w:val="00337E2D"/>
    <w:rsid w:val="00337EAC"/>
    <w:rsid w:val="00337EE4"/>
    <w:rsid w:val="00337F8A"/>
    <w:rsid w:val="00337FC5"/>
    <w:rsid w:val="00340004"/>
    <w:rsid w:val="0034005B"/>
    <w:rsid w:val="0034006E"/>
    <w:rsid w:val="00340126"/>
    <w:rsid w:val="00340143"/>
    <w:rsid w:val="00340160"/>
    <w:rsid w:val="003401A6"/>
    <w:rsid w:val="00340261"/>
    <w:rsid w:val="0034027C"/>
    <w:rsid w:val="003402F4"/>
    <w:rsid w:val="0034035D"/>
    <w:rsid w:val="003403BB"/>
    <w:rsid w:val="00340410"/>
    <w:rsid w:val="003404F5"/>
    <w:rsid w:val="00340515"/>
    <w:rsid w:val="00340548"/>
    <w:rsid w:val="0034059C"/>
    <w:rsid w:val="003405A7"/>
    <w:rsid w:val="003405F8"/>
    <w:rsid w:val="0034060F"/>
    <w:rsid w:val="00340635"/>
    <w:rsid w:val="00340641"/>
    <w:rsid w:val="003406B5"/>
    <w:rsid w:val="003406C5"/>
    <w:rsid w:val="0034071E"/>
    <w:rsid w:val="0034076E"/>
    <w:rsid w:val="0034085B"/>
    <w:rsid w:val="00340907"/>
    <w:rsid w:val="0034091C"/>
    <w:rsid w:val="00340978"/>
    <w:rsid w:val="003409AB"/>
    <w:rsid w:val="003409F9"/>
    <w:rsid w:val="00340A1E"/>
    <w:rsid w:val="00340A61"/>
    <w:rsid w:val="00340AE4"/>
    <w:rsid w:val="00340B27"/>
    <w:rsid w:val="00340B45"/>
    <w:rsid w:val="00340B5B"/>
    <w:rsid w:val="00340BA5"/>
    <w:rsid w:val="00340BE3"/>
    <w:rsid w:val="00340C1D"/>
    <w:rsid w:val="00340CAB"/>
    <w:rsid w:val="00340CCE"/>
    <w:rsid w:val="00340D92"/>
    <w:rsid w:val="00340DD6"/>
    <w:rsid w:val="00340ED3"/>
    <w:rsid w:val="00340EDA"/>
    <w:rsid w:val="00340F1A"/>
    <w:rsid w:val="00340F4C"/>
    <w:rsid w:val="00340F6F"/>
    <w:rsid w:val="00340FAA"/>
    <w:rsid w:val="00341001"/>
    <w:rsid w:val="00341087"/>
    <w:rsid w:val="00341189"/>
    <w:rsid w:val="003411DA"/>
    <w:rsid w:val="003411F6"/>
    <w:rsid w:val="00341270"/>
    <w:rsid w:val="003412C9"/>
    <w:rsid w:val="003412DA"/>
    <w:rsid w:val="00341404"/>
    <w:rsid w:val="0034148E"/>
    <w:rsid w:val="00341491"/>
    <w:rsid w:val="003414BC"/>
    <w:rsid w:val="00341560"/>
    <w:rsid w:val="003415A3"/>
    <w:rsid w:val="003415BA"/>
    <w:rsid w:val="003415BF"/>
    <w:rsid w:val="0034167F"/>
    <w:rsid w:val="00341713"/>
    <w:rsid w:val="00341773"/>
    <w:rsid w:val="003417A2"/>
    <w:rsid w:val="003417AA"/>
    <w:rsid w:val="003417B4"/>
    <w:rsid w:val="003417D3"/>
    <w:rsid w:val="00341802"/>
    <w:rsid w:val="003418EB"/>
    <w:rsid w:val="00341A3B"/>
    <w:rsid w:val="00341B57"/>
    <w:rsid w:val="00341B76"/>
    <w:rsid w:val="00341B91"/>
    <w:rsid w:val="00341BD3"/>
    <w:rsid w:val="00341C08"/>
    <w:rsid w:val="00341C5B"/>
    <w:rsid w:val="00341C9F"/>
    <w:rsid w:val="00341CA5"/>
    <w:rsid w:val="00341D05"/>
    <w:rsid w:val="00341D7B"/>
    <w:rsid w:val="00341E09"/>
    <w:rsid w:val="00341E0B"/>
    <w:rsid w:val="00341E19"/>
    <w:rsid w:val="00341E62"/>
    <w:rsid w:val="00341E6F"/>
    <w:rsid w:val="00341E94"/>
    <w:rsid w:val="00341EE0"/>
    <w:rsid w:val="00341EF9"/>
    <w:rsid w:val="00341F01"/>
    <w:rsid w:val="00341FDF"/>
    <w:rsid w:val="00341FF1"/>
    <w:rsid w:val="0034213A"/>
    <w:rsid w:val="00342143"/>
    <w:rsid w:val="0034220C"/>
    <w:rsid w:val="00342214"/>
    <w:rsid w:val="0034221B"/>
    <w:rsid w:val="00342227"/>
    <w:rsid w:val="00342327"/>
    <w:rsid w:val="00342352"/>
    <w:rsid w:val="0034235E"/>
    <w:rsid w:val="003423C6"/>
    <w:rsid w:val="0034241E"/>
    <w:rsid w:val="0034246B"/>
    <w:rsid w:val="00342474"/>
    <w:rsid w:val="003424ED"/>
    <w:rsid w:val="003425C9"/>
    <w:rsid w:val="00342640"/>
    <w:rsid w:val="0034265B"/>
    <w:rsid w:val="00342682"/>
    <w:rsid w:val="003427F9"/>
    <w:rsid w:val="00342833"/>
    <w:rsid w:val="003428B3"/>
    <w:rsid w:val="00342949"/>
    <w:rsid w:val="00342955"/>
    <w:rsid w:val="00342962"/>
    <w:rsid w:val="00342974"/>
    <w:rsid w:val="00342982"/>
    <w:rsid w:val="0034298A"/>
    <w:rsid w:val="003429A0"/>
    <w:rsid w:val="003429E5"/>
    <w:rsid w:val="00342A08"/>
    <w:rsid w:val="00342A22"/>
    <w:rsid w:val="00342B54"/>
    <w:rsid w:val="00342B6A"/>
    <w:rsid w:val="00342BA5"/>
    <w:rsid w:val="00342BE3"/>
    <w:rsid w:val="00342C91"/>
    <w:rsid w:val="00342D05"/>
    <w:rsid w:val="00342D25"/>
    <w:rsid w:val="00342D28"/>
    <w:rsid w:val="00342E11"/>
    <w:rsid w:val="00342E54"/>
    <w:rsid w:val="00342E60"/>
    <w:rsid w:val="00342E8A"/>
    <w:rsid w:val="00342EE6"/>
    <w:rsid w:val="00342EED"/>
    <w:rsid w:val="00342EF1"/>
    <w:rsid w:val="00342F46"/>
    <w:rsid w:val="00342FF2"/>
    <w:rsid w:val="003430AC"/>
    <w:rsid w:val="003430E8"/>
    <w:rsid w:val="0034315E"/>
    <w:rsid w:val="00343191"/>
    <w:rsid w:val="0034325E"/>
    <w:rsid w:val="0034332A"/>
    <w:rsid w:val="00343352"/>
    <w:rsid w:val="003433DA"/>
    <w:rsid w:val="003433E7"/>
    <w:rsid w:val="0034342A"/>
    <w:rsid w:val="0034343C"/>
    <w:rsid w:val="00343484"/>
    <w:rsid w:val="003434ED"/>
    <w:rsid w:val="003435A3"/>
    <w:rsid w:val="003435DF"/>
    <w:rsid w:val="003435F9"/>
    <w:rsid w:val="00343628"/>
    <w:rsid w:val="00343643"/>
    <w:rsid w:val="0034365C"/>
    <w:rsid w:val="003436AA"/>
    <w:rsid w:val="00343758"/>
    <w:rsid w:val="0034376E"/>
    <w:rsid w:val="003437CD"/>
    <w:rsid w:val="00343814"/>
    <w:rsid w:val="003438C6"/>
    <w:rsid w:val="003438DC"/>
    <w:rsid w:val="00343910"/>
    <w:rsid w:val="00343944"/>
    <w:rsid w:val="00343963"/>
    <w:rsid w:val="00343970"/>
    <w:rsid w:val="0034398A"/>
    <w:rsid w:val="003439DC"/>
    <w:rsid w:val="00343A23"/>
    <w:rsid w:val="00343AB1"/>
    <w:rsid w:val="00343B62"/>
    <w:rsid w:val="00343B8D"/>
    <w:rsid w:val="00343BA4"/>
    <w:rsid w:val="00343BAC"/>
    <w:rsid w:val="00343BB0"/>
    <w:rsid w:val="00343BD6"/>
    <w:rsid w:val="00343C04"/>
    <w:rsid w:val="00343C07"/>
    <w:rsid w:val="00343C3F"/>
    <w:rsid w:val="00343C4F"/>
    <w:rsid w:val="00343CC3"/>
    <w:rsid w:val="00343D37"/>
    <w:rsid w:val="00343DCD"/>
    <w:rsid w:val="00343E1E"/>
    <w:rsid w:val="00343E22"/>
    <w:rsid w:val="00343E35"/>
    <w:rsid w:val="00343E57"/>
    <w:rsid w:val="00343E5D"/>
    <w:rsid w:val="00343EAB"/>
    <w:rsid w:val="00343F47"/>
    <w:rsid w:val="0034402C"/>
    <w:rsid w:val="0034403C"/>
    <w:rsid w:val="00344057"/>
    <w:rsid w:val="0034405E"/>
    <w:rsid w:val="003440A0"/>
    <w:rsid w:val="003440BB"/>
    <w:rsid w:val="003440DA"/>
    <w:rsid w:val="003440DD"/>
    <w:rsid w:val="00344124"/>
    <w:rsid w:val="003442B4"/>
    <w:rsid w:val="00344393"/>
    <w:rsid w:val="00344452"/>
    <w:rsid w:val="0034447B"/>
    <w:rsid w:val="003444CD"/>
    <w:rsid w:val="00344530"/>
    <w:rsid w:val="00344554"/>
    <w:rsid w:val="00344558"/>
    <w:rsid w:val="003445D4"/>
    <w:rsid w:val="003445EC"/>
    <w:rsid w:val="00344607"/>
    <w:rsid w:val="0034469B"/>
    <w:rsid w:val="003446DF"/>
    <w:rsid w:val="0034471F"/>
    <w:rsid w:val="003447B5"/>
    <w:rsid w:val="003447B8"/>
    <w:rsid w:val="003447F6"/>
    <w:rsid w:val="00344815"/>
    <w:rsid w:val="00344836"/>
    <w:rsid w:val="0034487A"/>
    <w:rsid w:val="00344884"/>
    <w:rsid w:val="003448A0"/>
    <w:rsid w:val="003448B1"/>
    <w:rsid w:val="003448D5"/>
    <w:rsid w:val="003448E3"/>
    <w:rsid w:val="003448FB"/>
    <w:rsid w:val="00344927"/>
    <w:rsid w:val="0034497A"/>
    <w:rsid w:val="003449EE"/>
    <w:rsid w:val="00344ABB"/>
    <w:rsid w:val="00344AD3"/>
    <w:rsid w:val="00344B2A"/>
    <w:rsid w:val="00344B99"/>
    <w:rsid w:val="00344C18"/>
    <w:rsid w:val="00344C5F"/>
    <w:rsid w:val="00344C98"/>
    <w:rsid w:val="00344CBE"/>
    <w:rsid w:val="00344D24"/>
    <w:rsid w:val="00344D52"/>
    <w:rsid w:val="00344D6F"/>
    <w:rsid w:val="00344DAB"/>
    <w:rsid w:val="00344DE6"/>
    <w:rsid w:val="00344E2F"/>
    <w:rsid w:val="00344F13"/>
    <w:rsid w:val="00344F6C"/>
    <w:rsid w:val="00344FC0"/>
    <w:rsid w:val="00345021"/>
    <w:rsid w:val="00345024"/>
    <w:rsid w:val="00345078"/>
    <w:rsid w:val="00345094"/>
    <w:rsid w:val="00345110"/>
    <w:rsid w:val="00345117"/>
    <w:rsid w:val="0034512E"/>
    <w:rsid w:val="0034520A"/>
    <w:rsid w:val="00345239"/>
    <w:rsid w:val="00345259"/>
    <w:rsid w:val="0034528B"/>
    <w:rsid w:val="00345307"/>
    <w:rsid w:val="00345327"/>
    <w:rsid w:val="00345342"/>
    <w:rsid w:val="0034536C"/>
    <w:rsid w:val="003453C2"/>
    <w:rsid w:val="00345440"/>
    <w:rsid w:val="00345510"/>
    <w:rsid w:val="0034552A"/>
    <w:rsid w:val="00345546"/>
    <w:rsid w:val="0034557C"/>
    <w:rsid w:val="003455C7"/>
    <w:rsid w:val="00345627"/>
    <w:rsid w:val="0034563A"/>
    <w:rsid w:val="00345677"/>
    <w:rsid w:val="003456E6"/>
    <w:rsid w:val="0034571D"/>
    <w:rsid w:val="00345720"/>
    <w:rsid w:val="003457C2"/>
    <w:rsid w:val="0034589F"/>
    <w:rsid w:val="003458DE"/>
    <w:rsid w:val="0034590F"/>
    <w:rsid w:val="00345922"/>
    <w:rsid w:val="0034592A"/>
    <w:rsid w:val="003459A9"/>
    <w:rsid w:val="00345AEE"/>
    <w:rsid w:val="00345BB5"/>
    <w:rsid w:val="00345BD6"/>
    <w:rsid w:val="00345C22"/>
    <w:rsid w:val="00345CC6"/>
    <w:rsid w:val="00345D7F"/>
    <w:rsid w:val="00345EA6"/>
    <w:rsid w:val="00345EFB"/>
    <w:rsid w:val="00345FA6"/>
    <w:rsid w:val="0034601A"/>
    <w:rsid w:val="0034604A"/>
    <w:rsid w:val="003460E1"/>
    <w:rsid w:val="0034619A"/>
    <w:rsid w:val="003462CF"/>
    <w:rsid w:val="003462E4"/>
    <w:rsid w:val="003462EE"/>
    <w:rsid w:val="00346335"/>
    <w:rsid w:val="00346358"/>
    <w:rsid w:val="003463EA"/>
    <w:rsid w:val="003463F4"/>
    <w:rsid w:val="00346472"/>
    <w:rsid w:val="003464CF"/>
    <w:rsid w:val="003464E3"/>
    <w:rsid w:val="003464EF"/>
    <w:rsid w:val="0034654A"/>
    <w:rsid w:val="003465C5"/>
    <w:rsid w:val="00346696"/>
    <w:rsid w:val="003466A9"/>
    <w:rsid w:val="003466F0"/>
    <w:rsid w:val="003466F7"/>
    <w:rsid w:val="00346767"/>
    <w:rsid w:val="003467AE"/>
    <w:rsid w:val="003467D0"/>
    <w:rsid w:val="003467E7"/>
    <w:rsid w:val="00346853"/>
    <w:rsid w:val="00346897"/>
    <w:rsid w:val="003468D0"/>
    <w:rsid w:val="00346918"/>
    <w:rsid w:val="0034693F"/>
    <w:rsid w:val="00346946"/>
    <w:rsid w:val="00346966"/>
    <w:rsid w:val="00346997"/>
    <w:rsid w:val="0034699C"/>
    <w:rsid w:val="003469BF"/>
    <w:rsid w:val="00346A46"/>
    <w:rsid w:val="00346B13"/>
    <w:rsid w:val="00346B94"/>
    <w:rsid w:val="00346BA5"/>
    <w:rsid w:val="00346BB5"/>
    <w:rsid w:val="00346BBD"/>
    <w:rsid w:val="00346BEC"/>
    <w:rsid w:val="00346D1F"/>
    <w:rsid w:val="00346D86"/>
    <w:rsid w:val="00346D98"/>
    <w:rsid w:val="00346DA2"/>
    <w:rsid w:val="00346DAD"/>
    <w:rsid w:val="00346DCB"/>
    <w:rsid w:val="00346E15"/>
    <w:rsid w:val="00346F18"/>
    <w:rsid w:val="00346F60"/>
    <w:rsid w:val="00346F66"/>
    <w:rsid w:val="00346F82"/>
    <w:rsid w:val="00346FD2"/>
    <w:rsid w:val="00346FE9"/>
    <w:rsid w:val="00346FEC"/>
    <w:rsid w:val="0034701A"/>
    <w:rsid w:val="0034714E"/>
    <w:rsid w:val="0034715C"/>
    <w:rsid w:val="00347189"/>
    <w:rsid w:val="003471A2"/>
    <w:rsid w:val="003471EF"/>
    <w:rsid w:val="00347378"/>
    <w:rsid w:val="00347380"/>
    <w:rsid w:val="00347406"/>
    <w:rsid w:val="003474C9"/>
    <w:rsid w:val="00347512"/>
    <w:rsid w:val="00347519"/>
    <w:rsid w:val="0034757D"/>
    <w:rsid w:val="00347590"/>
    <w:rsid w:val="003475CE"/>
    <w:rsid w:val="003475DF"/>
    <w:rsid w:val="0034769D"/>
    <w:rsid w:val="003476B7"/>
    <w:rsid w:val="00347737"/>
    <w:rsid w:val="003477C5"/>
    <w:rsid w:val="0034780B"/>
    <w:rsid w:val="00347841"/>
    <w:rsid w:val="0034786A"/>
    <w:rsid w:val="003478BC"/>
    <w:rsid w:val="003478D1"/>
    <w:rsid w:val="003478F8"/>
    <w:rsid w:val="003479C2"/>
    <w:rsid w:val="003479DA"/>
    <w:rsid w:val="00347A1C"/>
    <w:rsid w:val="00347A89"/>
    <w:rsid w:val="00347AC3"/>
    <w:rsid w:val="00347ACC"/>
    <w:rsid w:val="00347B2C"/>
    <w:rsid w:val="00347B57"/>
    <w:rsid w:val="00347BAD"/>
    <w:rsid w:val="00347C37"/>
    <w:rsid w:val="00347C59"/>
    <w:rsid w:val="00347D12"/>
    <w:rsid w:val="00347DA0"/>
    <w:rsid w:val="00347DB3"/>
    <w:rsid w:val="00347DD0"/>
    <w:rsid w:val="00347E7F"/>
    <w:rsid w:val="00347EAA"/>
    <w:rsid w:val="00347F7D"/>
    <w:rsid w:val="00347FC1"/>
    <w:rsid w:val="00350009"/>
    <w:rsid w:val="003500AB"/>
    <w:rsid w:val="00350122"/>
    <w:rsid w:val="00350189"/>
    <w:rsid w:val="003501A7"/>
    <w:rsid w:val="00350302"/>
    <w:rsid w:val="003503F2"/>
    <w:rsid w:val="00350456"/>
    <w:rsid w:val="0035045C"/>
    <w:rsid w:val="003504C0"/>
    <w:rsid w:val="003504D9"/>
    <w:rsid w:val="00350575"/>
    <w:rsid w:val="003505B7"/>
    <w:rsid w:val="003505BE"/>
    <w:rsid w:val="003505FD"/>
    <w:rsid w:val="0035060F"/>
    <w:rsid w:val="0035066C"/>
    <w:rsid w:val="00350678"/>
    <w:rsid w:val="003506A6"/>
    <w:rsid w:val="003506A8"/>
    <w:rsid w:val="003506CD"/>
    <w:rsid w:val="003507F2"/>
    <w:rsid w:val="00350853"/>
    <w:rsid w:val="00350865"/>
    <w:rsid w:val="0035089E"/>
    <w:rsid w:val="003508AD"/>
    <w:rsid w:val="003508C4"/>
    <w:rsid w:val="003508E3"/>
    <w:rsid w:val="00350901"/>
    <w:rsid w:val="0035095D"/>
    <w:rsid w:val="0035096E"/>
    <w:rsid w:val="00350987"/>
    <w:rsid w:val="0035099B"/>
    <w:rsid w:val="003509B6"/>
    <w:rsid w:val="003509BD"/>
    <w:rsid w:val="00350A0E"/>
    <w:rsid w:val="00350A37"/>
    <w:rsid w:val="00350A38"/>
    <w:rsid w:val="00350ACE"/>
    <w:rsid w:val="00350AED"/>
    <w:rsid w:val="00350B38"/>
    <w:rsid w:val="00350BB0"/>
    <w:rsid w:val="00350C23"/>
    <w:rsid w:val="00350C7B"/>
    <w:rsid w:val="00350CEE"/>
    <w:rsid w:val="00350D02"/>
    <w:rsid w:val="00350D57"/>
    <w:rsid w:val="00350DB3"/>
    <w:rsid w:val="00350E0A"/>
    <w:rsid w:val="00350E19"/>
    <w:rsid w:val="00350E77"/>
    <w:rsid w:val="00350FAD"/>
    <w:rsid w:val="0035101D"/>
    <w:rsid w:val="0035102C"/>
    <w:rsid w:val="00351103"/>
    <w:rsid w:val="0035110A"/>
    <w:rsid w:val="00351168"/>
    <w:rsid w:val="0035117E"/>
    <w:rsid w:val="003511F2"/>
    <w:rsid w:val="00351208"/>
    <w:rsid w:val="0035135F"/>
    <w:rsid w:val="00351370"/>
    <w:rsid w:val="00351383"/>
    <w:rsid w:val="0035138D"/>
    <w:rsid w:val="003513C4"/>
    <w:rsid w:val="00351441"/>
    <w:rsid w:val="003514C1"/>
    <w:rsid w:val="003514F5"/>
    <w:rsid w:val="003514F7"/>
    <w:rsid w:val="0035150D"/>
    <w:rsid w:val="003515CE"/>
    <w:rsid w:val="00351604"/>
    <w:rsid w:val="00351631"/>
    <w:rsid w:val="00351647"/>
    <w:rsid w:val="003516C4"/>
    <w:rsid w:val="003516DF"/>
    <w:rsid w:val="0035172A"/>
    <w:rsid w:val="00351793"/>
    <w:rsid w:val="00351818"/>
    <w:rsid w:val="0035186B"/>
    <w:rsid w:val="0035191F"/>
    <w:rsid w:val="0035199A"/>
    <w:rsid w:val="003519BF"/>
    <w:rsid w:val="003519E3"/>
    <w:rsid w:val="00351A50"/>
    <w:rsid w:val="00351ADE"/>
    <w:rsid w:val="00351B1E"/>
    <w:rsid w:val="00351B47"/>
    <w:rsid w:val="00351BE9"/>
    <w:rsid w:val="00351C0D"/>
    <w:rsid w:val="00351C5C"/>
    <w:rsid w:val="00351CC6"/>
    <w:rsid w:val="00351CF9"/>
    <w:rsid w:val="00351D48"/>
    <w:rsid w:val="00351DB8"/>
    <w:rsid w:val="00351E62"/>
    <w:rsid w:val="00351E64"/>
    <w:rsid w:val="00351E8F"/>
    <w:rsid w:val="00351EE2"/>
    <w:rsid w:val="00351EE8"/>
    <w:rsid w:val="00351F1E"/>
    <w:rsid w:val="00351F20"/>
    <w:rsid w:val="00351FA3"/>
    <w:rsid w:val="0035207D"/>
    <w:rsid w:val="0035207E"/>
    <w:rsid w:val="00352107"/>
    <w:rsid w:val="00352154"/>
    <w:rsid w:val="003521AF"/>
    <w:rsid w:val="003521DD"/>
    <w:rsid w:val="003521DE"/>
    <w:rsid w:val="00352211"/>
    <w:rsid w:val="0035228B"/>
    <w:rsid w:val="003522AA"/>
    <w:rsid w:val="003522C2"/>
    <w:rsid w:val="003522F8"/>
    <w:rsid w:val="003523CA"/>
    <w:rsid w:val="003523E1"/>
    <w:rsid w:val="003523FF"/>
    <w:rsid w:val="003524D2"/>
    <w:rsid w:val="0035255F"/>
    <w:rsid w:val="0035259A"/>
    <w:rsid w:val="003525E6"/>
    <w:rsid w:val="00352648"/>
    <w:rsid w:val="003526E2"/>
    <w:rsid w:val="003526E7"/>
    <w:rsid w:val="00352754"/>
    <w:rsid w:val="003527D3"/>
    <w:rsid w:val="00352863"/>
    <w:rsid w:val="0035289F"/>
    <w:rsid w:val="003528F0"/>
    <w:rsid w:val="003529BD"/>
    <w:rsid w:val="003529CA"/>
    <w:rsid w:val="003529DA"/>
    <w:rsid w:val="00352A1C"/>
    <w:rsid w:val="00352A35"/>
    <w:rsid w:val="00352AA9"/>
    <w:rsid w:val="00352AB8"/>
    <w:rsid w:val="00352B4D"/>
    <w:rsid w:val="00352BF8"/>
    <w:rsid w:val="00352C06"/>
    <w:rsid w:val="00352C5A"/>
    <w:rsid w:val="00352CAE"/>
    <w:rsid w:val="00352CC8"/>
    <w:rsid w:val="00352CF8"/>
    <w:rsid w:val="00352D29"/>
    <w:rsid w:val="00352D9B"/>
    <w:rsid w:val="00352E18"/>
    <w:rsid w:val="00352E8A"/>
    <w:rsid w:val="00352F06"/>
    <w:rsid w:val="00352F28"/>
    <w:rsid w:val="00352F73"/>
    <w:rsid w:val="00352F86"/>
    <w:rsid w:val="00352F8C"/>
    <w:rsid w:val="0035306F"/>
    <w:rsid w:val="003530BC"/>
    <w:rsid w:val="003530C6"/>
    <w:rsid w:val="00353111"/>
    <w:rsid w:val="00353117"/>
    <w:rsid w:val="00353138"/>
    <w:rsid w:val="0035314B"/>
    <w:rsid w:val="0035317A"/>
    <w:rsid w:val="0035318A"/>
    <w:rsid w:val="003531EA"/>
    <w:rsid w:val="003533DE"/>
    <w:rsid w:val="003533F0"/>
    <w:rsid w:val="00353493"/>
    <w:rsid w:val="003534BD"/>
    <w:rsid w:val="0035350F"/>
    <w:rsid w:val="0035351B"/>
    <w:rsid w:val="0035363B"/>
    <w:rsid w:val="00353664"/>
    <w:rsid w:val="00353672"/>
    <w:rsid w:val="003536BF"/>
    <w:rsid w:val="003536C2"/>
    <w:rsid w:val="003536FC"/>
    <w:rsid w:val="00353724"/>
    <w:rsid w:val="003537DF"/>
    <w:rsid w:val="00353879"/>
    <w:rsid w:val="003539CD"/>
    <w:rsid w:val="003539DE"/>
    <w:rsid w:val="003539E2"/>
    <w:rsid w:val="00353A34"/>
    <w:rsid w:val="00353A48"/>
    <w:rsid w:val="00353A8C"/>
    <w:rsid w:val="00353B19"/>
    <w:rsid w:val="00353B46"/>
    <w:rsid w:val="00353B85"/>
    <w:rsid w:val="00353B94"/>
    <w:rsid w:val="00353BB3"/>
    <w:rsid w:val="00353BE5"/>
    <w:rsid w:val="00353C3D"/>
    <w:rsid w:val="00353CDB"/>
    <w:rsid w:val="00353CE4"/>
    <w:rsid w:val="00353DBF"/>
    <w:rsid w:val="00353DC7"/>
    <w:rsid w:val="00353E1E"/>
    <w:rsid w:val="00353ED7"/>
    <w:rsid w:val="00353F6D"/>
    <w:rsid w:val="00353F83"/>
    <w:rsid w:val="00354018"/>
    <w:rsid w:val="0035401F"/>
    <w:rsid w:val="0035403A"/>
    <w:rsid w:val="0035403F"/>
    <w:rsid w:val="0035404E"/>
    <w:rsid w:val="00354060"/>
    <w:rsid w:val="00354072"/>
    <w:rsid w:val="003540B6"/>
    <w:rsid w:val="00354105"/>
    <w:rsid w:val="00354178"/>
    <w:rsid w:val="003541D2"/>
    <w:rsid w:val="003541D8"/>
    <w:rsid w:val="003541E1"/>
    <w:rsid w:val="0035424E"/>
    <w:rsid w:val="0035425B"/>
    <w:rsid w:val="0035425C"/>
    <w:rsid w:val="0035427A"/>
    <w:rsid w:val="003542BD"/>
    <w:rsid w:val="0035433A"/>
    <w:rsid w:val="003543EA"/>
    <w:rsid w:val="00354519"/>
    <w:rsid w:val="003546B6"/>
    <w:rsid w:val="00354718"/>
    <w:rsid w:val="0035478D"/>
    <w:rsid w:val="00354798"/>
    <w:rsid w:val="003547C0"/>
    <w:rsid w:val="003547F4"/>
    <w:rsid w:val="00354812"/>
    <w:rsid w:val="00354845"/>
    <w:rsid w:val="00354885"/>
    <w:rsid w:val="003548D3"/>
    <w:rsid w:val="0035499C"/>
    <w:rsid w:val="003549A0"/>
    <w:rsid w:val="00354A8F"/>
    <w:rsid w:val="00354B4C"/>
    <w:rsid w:val="00354BF4"/>
    <w:rsid w:val="00354C8A"/>
    <w:rsid w:val="00354CA0"/>
    <w:rsid w:val="00354D21"/>
    <w:rsid w:val="00354D5A"/>
    <w:rsid w:val="00354DC6"/>
    <w:rsid w:val="00354E09"/>
    <w:rsid w:val="00354E6C"/>
    <w:rsid w:val="00354E88"/>
    <w:rsid w:val="00354F48"/>
    <w:rsid w:val="00354F57"/>
    <w:rsid w:val="00354FB4"/>
    <w:rsid w:val="00354FC9"/>
    <w:rsid w:val="00354FDA"/>
    <w:rsid w:val="00355005"/>
    <w:rsid w:val="0035501D"/>
    <w:rsid w:val="00355047"/>
    <w:rsid w:val="003550A3"/>
    <w:rsid w:val="0035510A"/>
    <w:rsid w:val="00355395"/>
    <w:rsid w:val="003553B6"/>
    <w:rsid w:val="00355441"/>
    <w:rsid w:val="003554D6"/>
    <w:rsid w:val="003554E5"/>
    <w:rsid w:val="00355572"/>
    <w:rsid w:val="003555DA"/>
    <w:rsid w:val="003555E1"/>
    <w:rsid w:val="00355677"/>
    <w:rsid w:val="003556AA"/>
    <w:rsid w:val="003556AB"/>
    <w:rsid w:val="003556CE"/>
    <w:rsid w:val="003556D8"/>
    <w:rsid w:val="003556DF"/>
    <w:rsid w:val="00355777"/>
    <w:rsid w:val="00355797"/>
    <w:rsid w:val="003557DB"/>
    <w:rsid w:val="00355815"/>
    <w:rsid w:val="00355851"/>
    <w:rsid w:val="00355883"/>
    <w:rsid w:val="003558E3"/>
    <w:rsid w:val="003558FD"/>
    <w:rsid w:val="00355910"/>
    <w:rsid w:val="003559D3"/>
    <w:rsid w:val="00355A0E"/>
    <w:rsid w:val="00355A3F"/>
    <w:rsid w:val="00355B4D"/>
    <w:rsid w:val="00355B94"/>
    <w:rsid w:val="00355BC4"/>
    <w:rsid w:val="00355BD9"/>
    <w:rsid w:val="00355C83"/>
    <w:rsid w:val="00355C98"/>
    <w:rsid w:val="00355D37"/>
    <w:rsid w:val="00355E0F"/>
    <w:rsid w:val="00355E11"/>
    <w:rsid w:val="00355E13"/>
    <w:rsid w:val="00355E2B"/>
    <w:rsid w:val="00355E74"/>
    <w:rsid w:val="00355E77"/>
    <w:rsid w:val="00355EC6"/>
    <w:rsid w:val="00355F7C"/>
    <w:rsid w:val="00355F7D"/>
    <w:rsid w:val="00355FCA"/>
    <w:rsid w:val="00355FD5"/>
    <w:rsid w:val="0035600F"/>
    <w:rsid w:val="00356032"/>
    <w:rsid w:val="003560EE"/>
    <w:rsid w:val="0035610E"/>
    <w:rsid w:val="003561AA"/>
    <w:rsid w:val="003561B4"/>
    <w:rsid w:val="003561C0"/>
    <w:rsid w:val="00356218"/>
    <w:rsid w:val="003562E2"/>
    <w:rsid w:val="003562F3"/>
    <w:rsid w:val="003563E3"/>
    <w:rsid w:val="00356408"/>
    <w:rsid w:val="0035640D"/>
    <w:rsid w:val="0035643C"/>
    <w:rsid w:val="00356487"/>
    <w:rsid w:val="003564EA"/>
    <w:rsid w:val="00356510"/>
    <w:rsid w:val="00356526"/>
    <w:rsid w:val="00356532"/>
    <w:rsid w:val="0035659D"/>
    <w:rsid w:val="00356620"/>
    <w:rsid w:val="00356674"/>
    <w:rsid w:val="00356681"/>
    <w:rsid w:val="003566B1"/>
    <w:rsid w:val="00356715"/>
    <w:rsid w:val="0035676B"/>
    <w:rsid w:val="003567A3"/>
    <w:rsid w:val="00356809"/>
    <w:rsid w:val="0035690B"/>
    <w:rsid w:val="00356957"/>
    <w:rsid w:val="00356994"/>
    <w:rsid w:val="003569C9"/>
    <w:rsid w:val="003569D5"/>
    <w:rsid w:val="003569E2"/>
    <w:rsid w:val="003569FD"/>
    <w:rsid w:val="00356A06"/>
    <w:rsid w:val="00356A0A"/>
    <w:rsid w:val="00356A3B"/>
    <w:rsid w:val="00356A8B"/>
    <w:rsid w:val="00356B38"/>
    <w:rsid w:val="00356B3B"/>
    <w:rsid w:val="00356B53"/>
    <w:rsid w:val="00356BC2"/>
    <w:rsid w:val="00356C04"/>
    <w:rsid w:val="00356CBC"/>
    <w:rsid w:val="00356CC9"/>
    <w:rsid w:val="00356CCB"/>
    <w:rsid w:val="00356D28"/>
    <w:rsid w:val="00356D30"/>
    <w:rsid w:val="00356DEF"/>
    <w:rsid w:val="00356E91"/>
    <w:rsid w:val="00356EFD"/>
    <w:rsid w:val="00356F84"/>
    <w:rsid w:val="00357009"/>
    <w:rsid w:val="00357098"/>
    <w:rsid w:val="003570AE"/>
    <w:rsid w:val="003570B1"/>
    <w:rsid w:val="0035714E"/>
    <w:rsid w:val="0035716F"/>
    <w:rsid w:val="0035724F"/>
    <w:rsid w:val="0035726D"/>
    <w:rsid w:val="003572B0"/>
    <w:rsid w:val="0035732E"/>
    <w:rsid w:val="00357441"/>
    <w:rsid w:val="0035747A"/>
    <w:rsid w:val="0035747C"/>
    <w:rsid w:val="003574D3"/>
    <w:rsid w:val="0035753C"/>
    <w:rsid w:val="0035756F"/>
    <w:rsid w:val="0035757E"/>
    <w:rsid w:val="003575AB"/>
    <w:rsid w:val="00357611"/>
    <w:rsid w:val="0035761A"/>
    <w:rsid w:val="003576A0"/>
    <w:rsid w:val="003576AC"/>
    <w:rsid w:val="003576BE"/>
    <w:rsid w:val="00357733"/>
    <w:rsid w:val="00357767"/>
    <w:rsid w:val="00357782"/>
    <w:rsid w:val="0035782B"/>
    <w:rsid w:val="00357875"/>
    <w:rsid w:val="003578B8"/>
    <w:rsid w:val="003578BA"/>
    <w:rsid w:val="00357AC6"/>
    <w:rsid w:val="00357AD2"/>
    <w:rsid w:val="00357AE5"/>
    <w:rsid w:val="00357BA1"/>
    <w:rsid w:val="00357BC8"/>
    <w:rsid w:val="00357D3D"/>
    <w:rsid w:val="00357D62"/>
    <w:rsid w:val="00357D69"/>
    <w:rsid w:val="00357D70"/>
    <w:rsid w:val="00357D78"/>
    <w:rsid w:val="00357DE3"/>
    <w:rsid w:val="00357E30"/>
    <w:rsid w:val="00357E39"/>
    <w:rsid w:val="00357E7A"/>
    <w:rsid w:val="00357E8B"/>
    <w:rsid w:val="00357EA2"/>
    <w:rsid w:val="00357EE8"/>
    <w:rsid w:val="00357EF2"/>
    <w:rsid w:val="00357FDC"/>
    <w:rsid w:val="00357FE1"/>
    <w:rsid w:val="00360047"/>
    <w:rsid w:val="003600C5"/>
    <w:rsid w:val="00360120"/>
    <w:rsid w:val="00360126"/>
    <w:rsid w:val="00360144"/>
    <w:rsid w:val="00360146"/>
    <w:rsid w:val="00360201"/>
    <w:rsid w:val="0036020F"/>
    <w:rsid w:val="00360271"/>
    <w:rsid w:val="00360276"/>
    <w:rsid w:val="00360277"/>
    <w:rsid w:val="00360309"/>
    <w:rsid w:val="003603F7"/>
    <w:rsid w:val="00360433"/>
    <w:rsid w:val="0036047E"/>
    <w:rsid w:val="003604AB"/>
    <w:rsid w:val="003604B2"/>
    <w:rsid w:val="00360513"/>
    <w:rsid w:val="00360522"/>
    <w:rsid w:val="00360571"/>
    <w:rsid w:val="00360576"/>
    <w:rsid w:val="003606EB"/>
    <w:rsid w:val="003607B7"/>
    <w:rsid w:val="003608B8"/>
    <w:rsid w:val="003608CE"/>
    <w:rsid w:val="003608D9"/>
    <w:rsid w:val="003608FD"/>
    <w:rsid w:val="00360A1E"/>
    <w:rsid w:val="00360A79"/>
    <w:rsid w:val="00360A9C"/>
    <w:rsid w:val="00360AAD"/>
    <w:rsid w:val="00360AD2"/>
    <w:rsid w:val="00360AD8"/>
    <w:rsid w:val="00360B47"/>
    <w:rsid w:val="00360B78"/>
    <w:rsid w:val="00360BEE"/>
    <w:rsid w:val="00360BFF"/>
    <w:rsid w:val="00360C67"/>
    <w:rsid w:val="00360C8F"/>
    <w:rsid w:val="00360D6F"/>
    <w:rsid w:val="00360DB5"/>
    <w:rsid w:val="00360E08"/>
    <w:rsid w:val="00360E30"/>
    <w:rsid w:val="00360EF8"/>
    <w:rsid w:val="00360EFF"/>
    <w:rsid w:val="00360F0F"/>
    <w:rsid w:val="00360F33"/>
    <w:rsid w:val="00360F57"/>
    <w:rsid w:val="00360FB9"/>
    <w:rsid w:val="0036103E"/>
    <w:rsid w:val="003610B2"/>
    <w:rsid w:val="003610D0"/>
    <w:rsid w:val="003610EB"/>
    <w:rsid w:val="00361233"/>
    <w:rsid w:val="00361237"/>
    <w:rsid w:val="00361278"/>
    <w:rsid w:val="003612A0"/>
    <w:rsid w:val="003612BB"/>
    <w:rsid w:val="003612C9"/>
    <w:rsid w:val="003612CD"/>
    <w:rsid w:val="00361375"/>
    <w:rsid w:val="00361432"/>
    <w:rsid w:val="00361455"/>
    <w:rsid w:val="0036147C"/>
    <w:rsid w:val="003614E4"/>
    <w:rsid w:val="003614E8"/>
    <w:rsid w:val="0036156C"/>
    <w:rsid w:val="003615F0"/>
    <w:rsid w:val="00361680"/>
    <w:rsid w:val="003616BD"/>
    <w:rsid w:val="00361719"/>
    <w:rsid w:val="00361870"/>
    <w:rsid w:val="00361883"/>
    <w:rsid w:val="003618C2"/>
    <w:rsid w:val="003619D7"/>
    <w:rsid w:val="00361A01"/>
    <w:rsid w:val="00361A84"/>
    <w:rsid w:val="00361AA6"/>
    <w:rsid w:val="00361B3C"/>
    <w:rsid w:val="00361B55"/>
    <w:rsid w:val="00361B69"/>
    <w:rsid w:val="00361C55"/>
    <w:rsid w:val="00361C91"/>
    <w:rsid w:val="00361CE2"/>
    <w:rsid w:val="00361D73"/>
    <w:rsid w:val="00361D8C"/>
    <w:rsid w:val="00361DD4"/>
    <w:rsid w:val="00361DE1"/>
    <w:rsid w:val="00361E85"/>
    <w:rsid w:val="00361F74"/>
    <w:rsid w:val="00361F87"/>
    <w:rsid w:val="00361F96"/>
    <w:rsid w:val="00361FBA"/>
    <w:rsid w:val="00361FE1"/>
    <w:rsid w:val="0036201D"/>
    <w:rsid w:val="00362077"/>
    <w:rsid w:val="003620D0"/>
    <w:rsid w:val="003620F0"/>
    <w:rsid w:val="003621A0"/>
    <w:rsid w:val="003621C4"/>
    <w:rsid w:val="003621DC"/>
    <w:rsid w:val="003621F3"/>
    <w:rsid w:val="003622A6"/>
    <w:rsid w:val="003622BB"/>
    <w:rsid w:val="003623B7"/>
    <w:rsid w:val="003623D3"/>
    <w:rsid w:val="0036242D"/>
    <w:rsid w:val="00362535"/>
    <w:rsid w:val="00362586"/>
    <w:rsid w:val="00362645"/>
    <w:rsid w:val="00362658"/>
    <w:rsid w:val="003626B0"/>
    <w:rsid w:val="003626B9"/>
    <w:rsid w:val="003626F2"/>
    <w:rsid w:val="003626F9"/>
    <w:rsid w:val="00362705"/>
    <w:rsid w:val="0036276C"/>
    <w:rsid w:val="00362795"/>
    <w:rsid w:val="003627F7"/>
    <w:rsid w:val="003627F9"/>
    <w:rsid w:val="0036284E"/>
    <w:rsid w:val="0036284F"/>
    <w:rsid w:val="0036289A"/>
    <w:rsid w:val="003628CA"/>
    <w:rsid w:val="0036296A"/>
    <w:rsid w:val="003629D1"/>
    <w:rsid w:val="00362A29"/>
    <w:rsid w:val="00362AA7"/>
    <w:rsid w:val="00362AAD"/>
    <w:rsid w:val="00362AE2"/>
    <w:rsid w:val="00362AF5"/>
    <w:rsid w:val="00362B52"/>
    <w:rsid w:val="00362BEE"/>
    <w:rsid w:val="00362C15"/>
    <w:rsid w:val="00362C21"/>
    <w:rsid w:val="00362C2C"/>
    <w:rsid w:val="00362C5F"/>
    <w:rsid w:val="00362CB1"/>
    <w:rsid w:val="00362CD7"/>
    <w:rsid w:val="00362D20"/>
    <w:rsid w:val="00362D9C"/>
    <w:rsid w:val="00362DAB"/>
    <w:rsid w:val="00362E2D"/>
    <w:rsid w:val="00362F80"/>
    <w:rsid w:val="0036312C"/>
    <w:rsid w:val="00363155"/>
    <w:rsid w:val="00363164"/>
    <w:rsid w:val="0036319C"/>
    <w:rsid w:val="003631B8"/>
    <w:rsid w:val="0036320E"/>
    <w:rsid w:val="003632A3"/>
    <w:rsid w:val="003632AF"/>
    <w:rsid w:val="003632B8"/>
    <w:rsid w:val="003632D7"/>
    <w:rsid w:val="00363375"/>
    <w:rsid w:val="0036337A"/>
    <w:rsid w:val="0036338A"/>
    <w:rsid w:val="003633EA"/>
    <w:rsid w:val="00363465"/>
    <w:rsid w:val="0036350F"/>
    <w:rsid w:val="00363534"/>
    <w:rsid w:val="00363584"/>
    <w:rsid w:val="00363607"/>
    <w:rsid w:val="003636E1"/>
    <w:rsid w:val="0036371D"/>
    <w:rsid w:val="00363751"/>
    <w:rsid w:val="003637A6"/>
    <w:rsid w:val="003637D8"/>
    <w:rsid w:val="00363856"/>
    <w:rsid w:val="003638E0"/>
    <w:rsid w:val="00363935"/>
    <w:rsid w:val="003639AD"/>
    <w:rsid w:val="003639AF"/>
    <w:rsid w:val="003639D4"/>
    <w:rsid w:val="003639F9"/>
    <w:rsid w:val="00363A05"/>
    <w:rsid w:val="00363A2D"/>
    <w:rsid w:val="00363A43"/>
    <w:rsid w:val="00363A4F"/>
    <w:rsid w:val="00363ADB"/>
    <w:rsid w:val="00363AEA"/>
    <w:rsid w:val="00363B96"/>
    <w:rsid w:val="00363BC9"/>
    <w:rsid w:val="00363C7B"/>
    <w:rsid w:val="00363D97"/>
    <w:rsid w:val="00363DB5"/>
    <w:rsid w:val="00363DB7"/>
    <w:rsid w:val="00363DCE"/>
    <w:rsid w:val="00363E1E"/>
    <w:rsid w:val="00363F69"/>
    <w:rsid w:val="00363F92"/>
    <w:rsid w:val="00363FC5"/>
    <w:rsid w:val="00364005"/>
    <w:rsid w:val="00364007"/>
    <w:rsid w:val="00364029"/>
    <w:rsid w:val="0036409B"/>
    <w:rsid w:val="003640B9"/>
    <w:rsid w:val="00364117"/>
    <w:rsid w:val="0036418A"/>
    <w:rsid w:val="003641E6"/>
    <w:rsid w:val="003641F8"/>
    <w:rsid w:val="00364381"/>
    <w:rsid w:val="00364393"/>
    <w:rsid w:val="003643F0"/>
    <w:rsid w:val="0036443B"/>
    <w:rsid w:val="00364517"/>
    <w:rsid w:val="00364526"/>
    <w:rsid w:val="00364577"/>
    <w:rsid w:val="003646E6"/>
    <w:rsid w:val="003647C8"/>
    <w:rsid w:val="003648ED"/>
    <w:rsid w:val="00364900"/>
    <w:rsid w:val="00364927"/>
    <w:rsid w:val="0036496F"/>
    <w:rsid w:val="003649D8"/>
    <w:rsid w:val="00364A0D"/>
    <w:rsid w:val="00364A40"/>
    <w:rsid w:val="00364A51"/>
    <w:rsid w:val="00364B26"/>
    <w:rsid w:val="00364BD9"/>
    <w:rsid w:val="00364C1F"/>
    <w:rsid w:val="00364CD2"/>
    <w:rsid w:val="00364D32"/>
    <w:rsid w:val="00364D43"/>
    <w:rsid w:val="00364D54"/>
    <w:rsid w:val="00364DA0"/>
    <w:rsid w:val="00364E0D"/>
    <w:rsid w:val="00364E4C"/>
    <w:rsid w:val="00364E8D"/>
    <w:rsid w:val="00364F23"/>
    <w:rsid w:val="00364F2F"/>
    <w:rsid w:val="00364F32"/>
    <w:rsid w:val="00364F34"/>
    <w:rsid w:val="00364F39"/>
    <w:rsid w:val="00364F70"/>
    <w:rsid w:val="00364F8B"/>
    <w:rsid w:val="00364F9C"/>
    <w:rsid w:val="00365094"/>
    <w:rsid w:val="003650BD"/>
    <w:rsid w:val="003650F6"/>
    <w:rsid w:val="00365172"/>
    <w:rsid w:val="0036521D"/>
    <w:rsid w:val="003652A0"/>
    <w:rsid w:val="003652A8"/>
    <w:rsid w:val="0036534A"/>
    <w:rsid w:val="0036541D"/>
    <w:rsid w:val="0036544B"/>
    <w:rsid w:val="00365465"/>
    <w:rsid w:val="00365472"/>
    <w:rsid w:val="00365499"/>
    <w:rsid w:val="003654C8"/>
    <w:rsid w:val="00365516"/>
    <w:rsid w:val="00365519"/>
    <w:rsid w:val="00365522"/>
    <w:rsid w:val="0036554B"/>
    <w:rsid w:val="00365617"/>
    <w:rsid w:val="00365736"/>
    <w:rsid w:val="00365740"/>
    <w:rsid w:val="00365806"/>
    <w:rsid w:val="0036581C"/>
    <w:rsid w:val="0036584F"/>
    <w:rsid w:val="00365873"/>
    <w:rsid w:val="00365878"/>
    <w:rsid w:val="0036587A"/>
    <w:rsid w:val="00365887"/>
    <w:rsid w:val="003658ED"/>
    <w:rsid w:val="00365915"/>
    <w:rsid w:val="0036596D"/>
    <w:rsid w:val="003659AB"/>
    <w:rsid w:val="00365A01"/>
    <w:rsid w:val="00365A21"/>
    <w:rsid w:val="00365A4A"/>
    <w:rsid w:val="00365A59"/>
    <w:rsid w:val="00365A80"/>
    <w:rsid w:val="00365A9B"/>
    <w:rsid w:val="00365AA8"/>
    <w:rsid w:val="00365AB4"/>
    <w:rsid w:val="00365B8A"/>
    <w:rsid w:val="00365BF5"/>
    <w:rsid w:val="00365C40"/>
    <w:rsid w:val="00365C68"/>
    <w:rsid w:val="00365C90"/>
    <w:rsid w:val="00365C9F"/>
    <w:rsid w:val="00365D9A"/>
    <w:rsid w:val="00365DBA"/>
    <w:rsid w:val="00365DCE"/>
    <w:rsid w:val="00365DF2"/>
    <w:rsid w:val="00365F6B"/>
    <w:rsid w:val="00365F87"/>
    <w:rsid w:val="00365FA4"/>
    <w:rsid w:val="00366011"/>
    <w:rsid w:val="0036601F"/>
    <w:rsid w:val="0036603D"/>
    <w:rsid w:val="0036607E"/>
    <w:rsid w:val="003660E5"/>
    <w:rsid w:val="0036611B"/>
    <w:rsid w:val="003661A4"/>
    <w:rsid w:val="003661BD"/>
    <w:rsid w:val="003661CF"/>
    <w:rsid w:val="0036631C"/>
    <w:rsid w:val="0036635A"/>
    <w:rsid w:val="0036640A"/>
    <w:rsid w:val="003664B2"/>
    <w:rsid w:val="0036656C"/>
    <w:rsid w:val="00366576"/>
    <w:rsid w:val="003665FA"/>
    <w:rsid w:val="00366603"/>
    <w:rsid w:val="00366735"/>
    <w:rsid w:val="003667A3"/>
    <w:rsid w:val="0036685B"/>
    <w:rsid w:val="003668A0"/>
    <w:rsid w:val="003668FC"/>
    <w:rsid w:val="00366953"/>
    <w:rsid w:val="00366987"/>
    <w:rsid w:val="003669C3"/>
    <w:rsid w:val="003669C7"/>
    <w:rsid w:val="00366A1A"/>
    <w:rsid w:val="00366A36"/>
    <w:rsid w:val="00366A71"/>
    <w:rsid w:val="00366B50"/>
    <w:rsid w:val="00366B73"/>
    <w:rsid w:val="00366BC0"/>
    <w:rsid w:val="00366BF1"/>
    <w:rsid w:val="00366C95"/>
    <w:rsid w:val="00366CF3"/>
    <w:rsid w:val="00366D04"/>
    <w:rsid w:val="00366DA4"/>
    <w:rsid w:val="00366DA8"/>
    <w:rsid w:val="00366DD2"/>
    <w:rsid w:val="00366DF3"/>
    <w:rsid w:val="00366E2A"/>
    <w:rsid w:val="00366E41"/>
    <w:rsid w:val="00366EED"/>
    <w:rsid w:val="00366F55"/>
    <w:rsid w:val="00366F5A"/>
    <w:rsid w:val="00367082"/>
    <w:rsid w:val="0036708B"/>
    <w:rsid w:val="003670B3"/>
    <w:rsid w:val="003670BC"/>
    <w:rsid w:val="0036712D"/>
    <w:rsid w:val="00367165"/>
    <w:rsid w:val="003671A9"/>
    <w:rsid w:val="00367288"/>
    <w:rsid w:val="0036729E"/>
    <w:rsid w:val="003672C4"/>
    <w:rsid w:val="003672C9"/>
    <w:rsid w:val="003672EC"/>
    <w:rsid w:val="00367324"/>
    <w:rsid w:val="00367387"/>
    <w:rsid w:val="0036739F"/>
    <w:rsid w:val="0036741C"/>
    <w:rsid w:val="00367590"/>
    <w:rsid w:val="003675B8"/>
    <w:rsid w:val="003675DE"/>
    <w:rsid w:val="0036767D"/>
    <w:rsid w:val="003676A6"/>
    <w:rsid w:val="003676F0"/>
    <w:rsid w:val="0036775F"/>
    <w:rsid w:val="003677A8"/>
    <w:rsid w:val="003677BD"/>
    <w:rsid w:val="0036787B"/>
    <w:rsid w:val="003678AB"/>
    <w:rsid w:val="003678B3"/>
    <w:rsid w:val="003678C2"/>
    <w:rsid w:val="003678C7"/>
    <w:rsid w:val="003678DF"/>
    <w:rsid w:val="003679B7"/>
    <w:rsid w:val="00367A60"/>
    <w:rsid w:val="00367A79"/>
    <w:rsid w:val="00367ACD"/>
    <w:rsid w:val="00367ADE"/>
    <w:rsid w:val="00367AE5"/>
    <w:rsid w:val="00367B98"/>
    <w:rsid w:val="00367BCD"/>
    <w:rsid w:val="00367C27"/>
    <w:rsid w:val="00367C5B"/>
    <w:rsid w:val="00367C5D"/>
    <w:rsid w:val="00367C73"/>
    <w:rsid w:val="00367CE0"/>
    <w:rsid w:val="00367CEC"/>
    <w:rsid w:val="00367D09"/>
    <w:rsid w:val="00367D71"/>
    <w:rsid w:val="00367D8D"/>
    <w:rsid w:val="00367DA3"/>
    <w:rsid w:val="00367E0E"/>
    <w:rsid w:val="00367E14"/>
    <w:rsid w:val="00367E54"/>
    <w:rsid w:val="00367E76"/>
    <w:rsid w:val="00367EE4"/>
    <w:rsid w:val="00367EEC"/>
    <w:rsid w:val="00367F18"/>
    <w:rsid w:val="00367F2D"/>
    <w:rsid w:val="00367F52"/>
    <w:rsid w:val="00367F9F"/>
    <w:rsid w:val="00367FEF"/>
    <w:rsid w:val="00370072"/>
    <w:rsid w:val="003700CB"/>
    <w:rsid w:val="00370105"/>
    <w:rsid w:val="00370178"/>
    <w:rsid w:val="00370188"/>
    <w:rsid w:val="003701D9"/>
    <w:rsid w:val="003701E5"/>
    <w:rsid w:val="00370203"/>
    <w:rsid w:val="00370239"/>
    <w:rsid w:val="0037024B"/>
    <w:rsid w:val="00370271"/>
    <w:rsid w:val="0037027C"/>
    <w:rsid w:val="0037027E"/>
    <w:rsid w:val="00370285"/>
    <w:rsid w:val="00370382"/>
    <w:rsid w:val="003703B5"/>
    <w:rsid w:val="003703E2"/>
    <w:rsid w:val="003703FB"/>
    <w:rsid w:val="00370400"/>
    <w:rsid w:val="00370417"/>
    <w:rsid w:val="0037047C"/>
    <w:rsid w:val="003704B1"/>
    <w:rsid w:val="00370541"/>
    <w:rsid w:val="003705D8"/>
    <w:rsid w:val="003705D9"/>
    <w:rsid w:val="00370606"/>
    <w:rsid w:val="0037061A"/>
    <w:rsid w:val="00370654"/>
    <w:rsid w:val="003706B9"/>
    <w:rsid w:val="003706E0"/>
    <w:rsid w:val="00370723"/>
    <w:rsid w:val="0037074A"/>
    <w:rsid w:val="00370851"/>
    <w:rsid w:val="00370858"/>
    <w:rsid w:val="0037086F"/>
    <w:rsid w:val="003708A9"/>
    <w:rsid w:val="0037091A"/>
    <w:rsid w:val="0037098F"/>
    <w:rsid w:val="003709A1"/>
    <w:rsid w:val="003709FA"/>
    <w:rsid w:val="00370A07"/>
    <w:rsid w:val="00370A08"/>
    <w:rsid w:val="00370A42"/>
    <w:rsid w:val="00370B0D"/>
    <w:rsid w:val="00370B17"/>
    <w:rsid w:val="00370B43"/>
    <w:rsid w:val="00370C37"/>
    <w:rsid w:val="00370D2A"/>
    <w:rsid w:val="00370D3A"/>
    <w:rsid w:val="00370D70"/>
    <w:rsid w:val="00370DB1"/>
    <w:rsid w:val="00370E18"/>
    <w:rsid w:val="00370FB1"/>
    <w:rsid w:val="00371096"/>
    <w:rsid w:val="003710DB"/>
    <w:rsid w:val="00371137"/>
    <w:rsid w:val="0037119D"/>
    <w:rsid w:val="003711BF"/>
    <w:rsid w:val="003711DE"/>
    <w:rsid w:val="003711F1"/>
    <w:rsid w:val="003712D7"/>
    <w:rsid w:val="00371305"/>
    <w:rsid w:val="0037130F"/>
    <w:rsid w:val="0037134A"/>
    <w:rsid w:val="00371373"/>
    <w:rsid w:val="003713B4"/>
    <w:rsid w:val="0037143A"/>
    <w:rsid w:val="0037149E"/>
    <w:rsid w:val="003714C3"/>
    <w:rsid w:val="003714E4"/>
    <w:rsid w:val="0037150A"/>
    <w:rsid w:val="00371585"/>
    <w:rsid w:val="00371589"/>
    <w:rsid w:val="003715C0"/>
    <w:rsid w:val="003715D2"/>
    <w:rsid w:val="003715DE"/>
    <w:rsid w:val="00371612"/>
    <w:rsid w:val="0037166F"/>
    <w:rsid w:val="003716AF"/>
    <w:rsid w:val="003716D4"/>
    <w:rsid w:val="003716E6"/>
    <w:rsid w:val="003716F0"/>
    <w:rsid w:val="00371778"/>
    <w:rsid w:val="00371785"/>
    <w:rsid w:val="003717FB"/>
    <w:rsid w:val="0037183E"/>
    <w:rsid w:val="00371840"/>
    <w:rsid w:val="00371991"/>
    <w:rsid w:val="00371A7F"/>
    <w:rsid w:val="00371A87"/>
    <w:rsid w:val="00371BB3"/>
    <w:rsid w:val="00371BBC"/>
    <w:rsid w:val="00371BD9"/>
    <w:rsid w:val="00371C82"/>
    <w:rsid w:val="00371C8B"/>
    <w:rsid w:val="00371D0B"/>
    <w:rsid w:val="00371D0C"/>
    <w:rsid w:val="00371D71"/>
    <w:rsid w:val="00371D7E"/>
    <w:rsid w:val="00371D94"/>
    <w:rsid w:val="00371DCA"/>
    <w:rsid w:val="00371E84"/>
    <w:rsid w:val="00371EA6"/>
    <w:rsid w:val="00371EAA"/>
    <w:rsid w:val="00371F26"/>
    <w:rsid w:val="00371F86"/>
    <w:rsid w:val="00371FDC"/>
    <w:rsid w:val="00372023"/>
    <w:rsid w:val="00372051"/>
    <w:rsid w:val="0037205B"/>
    <w:rsid w:val="003720B7"/>
    <w:rsid w:val="003720BF"/>
    <w:rsid w:val="00372135"/>
    <w:rsid w:val="00372164"/>
    <w:rsid w:val="00372172"/>
    <w:rsid w:val="003721C6"/>
    <w:rsid w:val="003721E4"/>
    <w:rsid w:val="00372210"/>
    <w:rsid w:val="00372222"/>
    <w:rsid w:val="0037229F"/>
    <w:rsid w:val="003722FD"/>
    <w:rsid w:val="00372319"/>
    <w:rsid w:val="00372339"/>
    <w:rsid w:val="003723C9"/>
    <w:rsid w:val="0037242B"/>
    <w:rsid w:val="0037245B"/>
    <w:rsid w:val="0037250C"/>
    <w:rsid w:val="0037256F"/>
    <w:rsid w:val="003725EF"/>
    <w:rsid w:val="00372627"/>
    <w:rsid w:val="0037262C"/>
    <w:rsid w:val="0037263E"/>
    <w:rsid w:val="003726C5"/>
    <w:rsid w:val="003726EE"/>
    <w:rsid w:val="0037270C"/>
    <w:rsid w:val="00372756"/>
    <w:rsid w:val="00372769"/>
    <w:rsid w:val="003727DB"/>
    <w:rsid w:val="00372839"/>
    <w:rsid w:val="003728A0"/>
    <w:rsid w:val="00372938"/>
    <w:rsid w:val="0037297D"/>
    <w:rsid w:val="0037299C"/>
    <w:rsid w:val="00372A4D"/>
    <w:rsid w:val="00372AD3"/>
    <w:rsid w:val="00372AED"/>
    <w:rsid w:val="00372B34"/>
    <w:rsid w:val="00372D03"/>
    <w:rsid w:val="00372D2E"/>
    <w:rsid w:val="00372DB0"/>
    <w:rsid w:val="00372DD8"/>
    <w:rsid w:val="00372E65"/>
    <w:rsid w:val="00372EAD"/>
    <w:rsid w:val="00372EB9"/>
    <w:rsid w:val="00372EC8"/>
    <w:rsid w:val="00372ECD"/>
    <w:rsid w:val="00372F06"/>
    <w:rsid w:val="00372FEE"/>
    <w:rsid w:val="00373000"/>
    <w:rsid w:val="00373023"/>
    <w:rsid w:val="00373031"/>
    <w:rsid w:val="00373076"/>
    <w:rsid w:val="0037308A"/>
    <w:rsid w:val="003730E3"/>
    <w:rsid w:val="00373128"/>
    <w:rsid w:val="0037316B"/>
    <w:rsid w:val="003731F3"/>
    <w:rsid w:val="003731FC"/>
    <w:rsid w:val="003732FA"/>
    <w:rsid w:val="00373345"/>
    <w:rsid w:val="00373390"/>
    <w:rsid w:val="003733AD"/>
    <w:rsid w:val="0037348C"/>
    <w:rsid w:val="0037353C"/>
    <w:rsid w:val="00373550"/>
    <w:rsid w:val="0037355B"/>
    <w:rsid w:val="00373589"/>
    <w:rsid w:val="00373591"/>
    <w:rsid w:val="003736B8"/>
    <w:rsid w:val="0037373B"/>
    <w:rsid w:val="003737F0"/>
    <w:rsid w:val="0037381A"/>
    <w:rsid w:val="00373830"/>
    <w:rsid w:val="00373868"/>
    <w:rsid w:val="00373876"/>
    <w:rsid w:val="0037388D"/>
    <w:rsid w:val="003738E3"/>
    <w:rsid w:val="00373950"/>
    <w:rsid w:val="0037398F"/>
    <w:rsid w:val="003739C0"/>
    <w:rsid w:val="003739C5"/>
    <w:rsid w:val="00373A24"/>
    <w:rsid w:val="00373A27"/>
    <w:rsid w:val="00373A49"/>
    <w:rsid w:val="00373AFF"/>
    <w:rsid w:val="00373C34"/>
    <w:rsid w:val="00373C9F"/>
    <w:rsid w:val="00373CA9"/>
    <w:rsid w:val="00373CFC"/>
    <w:rsid w:val="00373D69"/>
    <w:rsid w:val="00373D79"/>
    <w:rsid w:val="00373ECE"/>
    <w:rsid w:val="00373F00"/>
    <w:rsid w:val="00373FF5"/>
    <w:rsid w:val="00374044"/>
    <w:rsid w:val="003740A1"/>
    <w:rsid w:val="00374110"/>
    <w:rsid w:val="0037418D"/>
    <w:rsid w:val="003741A0"/>
    <w:rsid w:val="003741B1"/>
    <w:rsid w:val="003741F0"/>
    <w:rsid w:val="00374276"/>
    <w:rsid w:val="0037430F"/>
    <w:rsid w:val="00374338"/>
    <w:rsid w:val="0037433F"/>
    <w:rsid w:val="00374352"/>
    <w:rsid w:val="003743BA"/>
    <w:rsid w:val="003743C0"/>
    <w:rsid w:val="003743D9"/>
    <w:rsid w:val="00374481"/>
    <w:rsid w:val="00374511"/>
    <w:rsid w:val="00374557"/>
    <w:rsid w:val="003745C0"/>
    <w:rsid w:val="0037461F"/>
    <w:rsid w:val="0037462A"/>
    <w:rsid w:val="00374678"/>
    <w:rsid w:val="00374691"/>
    <w:rsid w:val="003746B4"/>
    <w:rsid w:val="0037474F"/>
    <w:rsid w:val="003747A3"/>
    <w:rsid w:val="0037487E"/>
    <w:rsid w:val="003748AC"/>
    <w:rsid w:val="003748FD"/>
    <w:rsid w:val="00374906"/>
    <w:rsid w:val="00374950"/>
    <w:rsid w:val="0037497E"/>
    <w:rsid w:val="0037499E"/>
    <w:rsid w:val="003749F2"/>
    <w:rsid w:val="00374A36"/>
    <w:rsid w:val="00374A73"/>
    <w:rsid w:val="00374B54"/>
    <w:rsid w:val="00374BC0"/>
    <w:rsid w:val="00374C15"/>
    <w:rsid w:val="00374C56"/>
    <w:rsid w:val="00374C5A"/>
    <w:rsid w:val="00374CC6"/>
    <w:rsid w:val="00374CC7"/>
    <w:rsid w:val="00374CD7"/>
    <w:rsid w:val="00374D15"/>
    <w:rsid w:val="00374D3C"/>
    <w:rsid w:val="00374E09"/>
    <w:rsid w:val="00374E23"/>
    <w:rsid w:val="00374F31"/>
    <w:rsid w:val="00374FB9"/>
    <w:rsid w:val="00374FBB"/>
    <w:rsid w:val="0037504A"/>
    <w:rsid w:val="003750C8"/>
    <w:rsid w:val="00375155"/>
    <w:rsid w:val="0037521D"/>
    <w:rsid w:val="00375237"/>
    <w:rsid w:val="003752AE"/>
    <w:rsid w:val="003752C6"/>
    <w:rsid w:val="003752D6"/>
    <w:rsid w:val="003752E4"/>
    <w:rsid w:val="003752F8"/>
    <w:rsid w:val="00375339"/>
    <w:rsid w:val="003753EC"/>
    <w:rsid w:val="00375435"/>
    <w:rsid w:val="00375441"/>
    <w:rsid w:val="00375499"/>
    <w:rsid w:val="0037551A"/>
    <w:rsid w:val="0037558F"/>
    <w:rsid w:val="003755AC"/>
    <w:rsid w:val="0037562A"/>
    <w:rsid w:val="00375698"/>
    <w:rsid w:val="003756C6"/>
    <w:rsid w:val="00375732"/>
    <w:rsid w:val="0037582E"/>
    <w:rsid w:val="0037583A"/>
    <w:rsid w:val="00375887"/>
    <w:rsid w:val="00375995"/>
    <w:rsid w:val="00375AC8"/>
    <w:rsid w:val="00375BA6"/>
    <w:rsid w:val="00375BF0"/>
    <w:rsid w:val="00375C1D"/>
    <w:rsid w:val="00375C52"/>
    <w:rsid w:val="00375C66"/>
    <w:rsid w:val="00375C9F"/>
    <w:rsid w:val="00375CA5"/>
    <w:rsid w:val="00375CC3"/>
    <w:rsid w:val="00375D3C"/>
    <w:rsid w:val="00375D67"/>
    <w:rsid w:val="00375D68"/>
    <w:rsid w:val="00375D6A"/>
    <w:rsid w:val="00375D78"/>
    <w:rsid w:val="00375DAA"/>
    <w:rsid w:val="00375DAC"/>
    <w:rsid w:val="00375DF2"/>
    <w:rsid w:val="00375E74"/>
    <w:rsid w:val="00375FEA"/>
    <w:rsid w:val="00376022"/>
    <w:rsid w:val="00376070"/>
    <w:rsid w:val="003760AA"/>
    <w:rsid w:val="003760BB"/>
    <w:rsid w:val="003760E4"/>
    <w:rsid w:val="00376189"/>
    <w:rsid w:val="0037626B"/>
    <w:rsid w:val="003762AB"/>
    <w:rsid w:val="00376309"/>
    <w:rsid w:val="0037634C"/>
    <w:rsid w:val="00376390"/>
    <w:rsid w:val="003763C9"/>
    <w:rsid w:val="003763ED"/>
    <w:rsid w:val="00376431"/>
    <w:rsid w:val="0037664E"/>
    <w:rsid w:val="00376666"/>
    <w:rsid w:val="00376682"/>
    <w:rsid w:val="003766D4"/>
    <w:rsid w:val="0037672E"/>
    <w:rsid w:val="00376787"/>
    <w:rsid w:val="00376790"/>
    <w:rsid w:val="003767A9"/>
    <w:rsid w:val="00376803"/>
    <w:rsid w:val="00376835"/>
    <w:rsid w:val="00376876"/>
    <w:rsid w:val="00376879"/>
    <w:rsid w:val="003768C7"/>
    <w:rsid w:val="00376973"/>
    <w:rsid w:val="00376A12"/>
    <w:rsid w:val="00376A1D"/>
    <w:rsid w:val="00376B9F"/>
    <w:rsid w:val="00376BF6"/>
    <w:rsid w:val="00376C8F"/>
    <w:rsid w:val="00376D45"/>
    <w:rsid w:val="00376D51"/>
    <w:rsid w:val="00376D7D"/>
    <w:rsid w:val="00376D8C"/>
    <w:rsid w:val="00376DDD"/>
    <w:rsid w:val="00376E3D"/>
    <w:rsid w:val="00376E61"/>
    <w:rsid w:val="00376E76"/>
    <w:rsid w:val="00376F10"/>
    <w:rsid w:val="00376F6F"/>
    <w:rsid w:val="00376F89"/>
    <w:rsid w:val="00376FA2"/>
    <w:rsid w:val="0037701C"/>
    <w:rsid w:val="0037705E"/>
    <w:rsid w:val="00377090"/>
    <w:rsid w:val="003771C4"/>
    <w:rsid w:val="003771EF"/>
    <w:rsid w:val="00377201"/>
    <w:rsid w:val="003772AB"/>
    <w:rsid w:val="003772C0"/>
    <w:rsid w:val="003772E9"/>
    <w:rsid w:val="00377352"/>
    <w:rsid w:val="00377354"/>
    <w:rsid w:val="0037736E"/>
    <w:rsid w:val="003773D8"/>
    <w:rsid w:val="00377414"/>
    <w:rsid w:val="00377440"/>
    <w:rsid w:val="00377479"/>
    <w:rsid w:val="0037748B"/>
    <w:rsid w:val="0037748F"/>
    <w:rsid w:val="003774FE"/>
    <w:rsid w:val="00377504"/>
    <w:rsid w:val="00377602"/>
    <w:rsid w:val="0037762E"/>
    <w:rsid w:val="0037763A"/>
    <w:rsid w:val="00377656"/>
    <w:rsid w:val="003777FC"/>
    <w:rsid w:val="00377868"/>
    <w:rsid w:val="00377877"/>
    <w:rsid w:val="00377897"/>
    <w:rsid w:val="003778F6"/>
    <w:rsid w:val="00377938"/>
    <w:rsid w:val="0037797C"/>
    <w:rsid w:val="003779EB"/>
    <w:rsid w:val="003779F8"/>
    <w:rsid w:val="00377A2B"/>
    <w:rsid w:val="00377B96"/>
    <w:rsid w:val="00377C3C"/>
    <w:rsid w:val="00377C85"/>
    <w:rsid w:val="00377CAE"/>
    <w:rsid w:val="00377CE1"/>
    <w:rsid w:val="00377DB6"/>
    <w:rsid w:val="00377DEF"/>
    <w:rsid w:val="00377E6F"/>
    <w:rsid w:val="00377F12"/>
    <w:rsid w:val="00377F1F"/>
    <w:rsid w:val="00377F78"/>
    <w:rsid w:val="00377F9D"/>
    <w:rsid w:val="00377FFC"/>
    <w:rsid w:val="00380010"/>
    <w:rsid w:val="0038006B"/>
    <w:rsid w:val="003800BE"/>
    <w:rsid w:val="003800E0"/>
    <w:rsid w:val="003800ED"/>
    <w:rsid w:val="00380102"/>
    <w:rsid w:val="00380140"/>
    <w:rsid w:val="00380149"/>
    <w:rsid w:val="003801A5"/>
    <w:rsid w:val="0038021A"/>
    <w:rsid w:val="00380228"/>
    <w:rsid w:val="00380239"/>
    <w:rsid w:val="003802DD"/>
    <w:rsid w:val="00380351"/>
    <w:rsid w:val="0038037F"/>
    <w:rsid w:val="00380471"/>
    <w:rsid w:val="0038049A"/>
    <w:rsid w:val="0038052E"/>
    <w:rsid w:val="00380546"/>
    <w:rsid w:val="003805C8"/>
    <w:rsid w:val="003805EC"/>
    <w:rsid w:val="00380653"/>
    <w:rsid w:val="00380667"/>
    <w:rsid w:val="003806A2"/>
    <w:rsid w:val="00380753"/>
    <w:rsid w:val="00380762"/>
    <w:rsid w:val="00380772"/>
    <w:rsid w:val="00380786"/>
    <w:rsid w:val="00380867"/>
    <w:rsid w:val="0038092D"/>
    <w:rsid w:val="00380978"/>
    <w:rsid w:val="003809E8"/>
    <w:rsid w:val="00380A33"/>
    <w:rsid w:val="00380A4B"/>
    <w:rsid w:val="00380A5C"/>
    <w:rsid w:val="00380A8F"/>
    <w:rsid w:val="00380A9A"/>
    <w:rsid w:val="00380ABE"/>
    <w:rsid w:val="00380B2B"/>
    <w:rsid w:val="00380CC9"/>
    <w:rsid w:val="00380D58"/>
    <w:rsid w:val="00380DEE"/>
    <w:rsid w:val="00380E3A"/>
    <w:rsid w:val="00380E4E"/>
    <w:rsid w:val="00380F6B"/>
    <w:rsid w:val="00380FC2"/>
    <w:rsid w:val="00380FE9"/>
    <w:rsid w:val="00381005"/>
    <w:rsid w:val="0038107A"/>
    <w:rsid w:val="00381099"/>
    <w:rsid w:val="00381171"/>
    <w:rsid w:val="0038117D"/>
    <w:rsid w:val="00381218"/>
    <w:rsid w:val="003812B4"/>
    <w:rsid w:val="0038131F"/>
    <w:rsid w:val="00381399"/>
    <w:rsid w:val="00381405"/>
    <w:rsid w:val="00381417"/>
    <w:rsid w:val="0038143E"/>
    <w:rsid w:val="0038146B"/>
    <w:rsid w:val="00381487"/>
    <w:rsid w:val="0038149A"/>
    <w:rsid w:val="0038149B"/>
    <w:rsid w:val="003814AE"/>
    <w:rsid w:val="00381524"/>
    <w:rsid w:val="00381547"/>
    <w:rsid w:val="003815EB"/>
    <w:rsid w:val="00381600"/>
    <w:rsid w:val="00381647"/>
    <w:rsid w:val="0038165A"/>
    <w:rsid w:val="00381718"/>
    <w:rsid w:val="00381730"/>
    <w:rsid w:val="0038173E"/>
    <w:rsid w:val="00381886"/>
    <w:rsid w:val="0038197D"/>
    <w:rsid w:val="00381A14"/>
    <w:rsid w:val="00381A2D"/>
    <w:rsid w:val="00381A43"/>
    <w:rsid w:val="00381A75"/>
    <w:rsid w:val="00381ABB"/>
    <w:rsid w:val="00381ACA"/>
    <w:rsid w:val="00381B33"/>
    <w:rsid w:val="00381BD3"/>
    <w:rsid w:val="00381BEE"/>
    <w:rsid w:val="00381C23"/>
    <w:rsid w:val="00381D33"/>
    <w:rsid w:val="00381D3E"/>
    <w:rsid w:val="00381D87"/>
    <w:rsid w:val="00381E28"/>
    <w:rsid w:val="00381F11"/>
    <w:rsid w:val="00381F17"/>
    <w:rsid w:val="00381F27"/>
    <w:rsid w:val="00381F64"/>
    <w:rsid w:val="00381FEF"/>
    <w:rsid w:val="00382014"/>
    <w:rsid w:val="0038203B"/>
    <w:rsid w:val="0038211E"/>
    <w:rsid w:val="00382145"/>
    <w:rsid w:val="00382170"/>
    <w:rsid w:val="003821D5"/>
    <w:rsid w:val="0038226F"/>
    <w:rsid w:val="00382279"/>
    <w:rsid w:val="00382280"/>
    <w:rsid w:val="0038228B"/>
    <w:rsid w:val="0038230E"/>
    <w:rsid w:val="0038231E"/>
    <w:rsid w:val="00382360"/>
    <w:rsid w:val="003823B5"/>
    <w:rsid w:val="003823BE"/>
    <w:rsid w:val="003823F6"/>
    <w:rsid w:val="00382480"/>
    <w:rsid w:val="0038248D"/>
    <w:rsid w:val="003824CD"/>
    <w:rsid w:val="003824E6"/>
    <w:rsid w:val="00382505"/>
    <w:rsid w:val="003825A7"/>
    <w:rsid w:val="003825A8"/>
    <w:rsid w:val="003825C8"/>
    <w:rsid w:val="00382639"/>
    <w:rsid w:val="00382676"/>
    <w:rsid w:val="003826C5"/>
    <w:rsid w:val="00382721"/>
    <w:rsid w:val="0038275B"/>
    <w:rsid w:val="0038275E"/>
    <w:rsid w:val="00382816"/>
    <w:rsid w:val="003828AE"/>
    <w:rsid w:val="003828F1"/>
    <w:rsid w:val="00382954"/>
    <w:rsid w:val="003829DA"/>
    <w:rsid w:val="00382A0B"/>
    <w:rsid w:val="00382A13"/>
    <w:rsid w:val="00382A29"/>
    <w:rsid w:val="00382ACE"/>
    <w:rsid w:val="00382AD4"/>
    <w:rsid w:val="00382B3C"/>
    <w:rsid w:val="00382B7F"/>
    <w:rsid w:val="00382BA1"/>
    <w:rsid w:val="00382C1C"/>
    <w:rsid w:val="00382C5B"/>
    <w:rsid w:val="00382C7C"/>
    <w:rsid w:val="00382CA1"/>
    <w:rsid w:val="00382D6E"/>
    <w:rsid w:val="00382DBB"/>
    <w:rsid w:val="00382DD5"/>
    <w:rsid w:val="00382E6F"/>
    <w:rsid w:val="00382F24"/>
    <w:rsid w:val="00382FE7"/>
    <w:rsid w:val="00382FF6"/>
    <w:rsid w:val="0038301E"/>
    <w:rsid w:val="00383061"/>
    <w:rsid w:val="0038309A"/>
    <w:rsid w:val="003830ED"/>
    <w:rsid w:val="00383155"/>
    <w:rsid w:val="00383163"/>
    <w:rsid w:val="003831F5"/>
    <w:rsid w:val="003831F7"/>
    <w:rsid w:val="003832F1"/>
    <w:rsid w:val="00383355"/>
    <w:rsid w:val="00383363"/>
    <w:rsid w:val="003833A2"/>
    <w:rsid w:val="00383414"/>
    <w:rsid w:val="00383453"/>
    <w:rsid w:val="003834DA"/>
    <w:rsid w:val="003834F7"/>
    <w:rsid w:val="0038350B"/>
    <w:rsid w:val="00383520"/>
    <w:rsid w:val="00383529"/>
    <w:rsid w:val="00383546"/>
    <w:rsid w:val="0038354C"/>
    <w:rsid w:val="00383556"/>
    <w:rsid w:val="0038356B"/>
    <w:rsid w:val="00383576"/>
    <w:rsid w:val="0038358D"/>
    <w:rsid w:val="00383679"/>
    <w:rsid w:val="0038369D"/>
    <w:rsid w:val="003836C4"/>
    <w:rsid w:val="00383734"/>
    <w:rsid w:val="003837B9"/>
    <w:rsid w:val="0038394A"/>
    <w:rsid w:val="0038394B"/>
    <w:rsid w:val="00383960"/>
    <w:rsid w:val="00383985"/>
    <w:rsid w:val="00383989"/>
    <w:rsid w:val="00383A14"/>
    <w:rsid w:val="00383A1F"/>
    <w:rsid w:val="00383A98"/>
    <w:rsid w:val="00383BB0"/>
    <w:rsid w:val="00383BB6"/>
    <w:rsid w:val="00383BDB"/>
    <w:rsid w:val="00383C0E"/>
    <w:rsid w:val="00383C1C"/>
    <w:rsid w:val="00383C75"/>
    <w:rsid w:val="00383CFE"/>
    <w:rsid w:val="00383DA9"/>
    <w:rsid w:val="00383E23"/>
    <w:rsid w:val="00383E2B"/>
    <w:rsid w:val="00383E46"/>
    <w:rsid w:val="00383E4B"/>
    <w:rsid w:val="00383ED2"/>
    <w:rsid w:val="00383F1B"/>
    <w:rsid w:val="00383FEA"/>
    <w:rsid w:val="0038404D"/>
    <w:rsid w:val="00384119"/>
    <w:rsid w:val="00384135"/>
    <w:rsid w:val="0038413D"/>
    <w:rsid w:val="00384156"/>
    <w:rsid w:val="00384217"/>
    <w:rsid w:val="00384391"/>
    <w:rsid w:val="003843A5"/>
    <w:rsid w:val="003843EB"/>
    <w:rsid w:val="00384444"/>
    <w:rsid w:val="00384469"/>
    <w:rsid w:val="003844DC"/>
    <w:rsid w:val="003845E0"/>
    <w:rsid w:val="003845EB"/>
    <w:rsid w:val="003845FD"/>
    <w:rsid w:val="00384600"/>
    <w:rsid w:val="003846FB"/>
    <w:rsid w:val="00384721"/>
    <w:rsid w:val="0038473D"/>
    <w:rsid w:val="00384744"/>
    <w:rsid w:val="0038474D"/>
    <w:rsid w:val="0038477E"/>
    <w:rsid w:val="00384784"/>
    <w:rsid w:val="003847A6"/>
    <w:rsid w:val="003847FA"/>
    <w:rsid w:val="00384845"/>
    <w:rsid w:val="00384858"/>
    <w:rsid w:val="00384861"/>
    <w:rsid w:val="0038489A"/>
    <w:rsid w:val="003848FE"/>
    <w:rsid w:val="0038496A"/>
    <w:rsid w:val="00384994"/>
    <w:rsid w:val="003849A2"/>
    <w:rsid w:val="003849F7"/>
    <w:rsid w:val="00384A53"/>
    <w:rsid w:val="00384C2A"/>
    <w:rsid w:val="00384CE4"/>
    <w:rsid w:val="00384D18"/>
    <w:rsid w:val="00384D40"/>
    <w:rsid w:val="00384D7D"/>
    <w:rsid w:val="00384D98"/>
    <w:rsid w:val="00384E36"/>
    <w:rsid w:val="00384E9C"/>
    <w:rsid w:val="00384EE9"/>
    <w:rsid w:val="00384F03"/>
    <w:rsid w:val="00384F43"/>
    <w:rsid w:val="00384F76"/>
    <w:rsid w:val="00384FD7"/>
    <w:rsid w:val="003850BC"/>
    <w:rsid w:val="003850D0"/>
    <w:rsid w:val="00385115"/>
    <w:rsid w:val="00385119"/>
    <w:rsid w:val="0038511E"/>
    <w:rsid w:val="00385183"/>
    <w:rsid w:val="0038518F"/>
    <w:rsid w:val="003851D3"/>
    <w:rsid w:val="003851F5"/>
    <w:rsid w:val="00385209"/>
    <w:rsid w:val="0038520F"/>
    <w:rsid w:val="0038523E"/>
    <w:rsid w:val="00385258"/>
    <w:rsid w:val="00385269"/>
    <w:rsid w:val="00385281"/>
    <w:rsid w:val="003852A5"/>
    <w:rsid w:val="003852C5"/>
    <w:rsid w:val="003852EA"/>
    <w:rsid w:val="0038532B"/>
    <w:rsid w:val="0038536F"/>
    <w:rsid w:val="003854F8"/>
    <w:rsid w:val="00385518"/>
    <w:rsid w:val="0038551C"/>
    <w:rsid w:val="00385521"/>
    <w:rsid w:val="00385529"/>
    <w:rsid w:val="00385591"/>
    <w:rsid w:val="003855AB"/>
    <w:rsid w:val="003855EB"/>
    <w:rsid w:val="00385638"/>
    <w:rsid w:val="0038570B"/>
    <w:rsid w:val="00385733"/>
    <w:rsid w:val="003857F6"/>
    <w:rsid w:val="0038585E"/>
    <w:rsid w:val="003858E4"/>
    <w:rsid w:val="00385916"/>
    <w:rsid w:val="00385975"/>
    <w:rsid w:val="00385A05"/>
    <w:rsid w:val="00385A0F"/>
    <w:rsid w:val="00385A19"/>
    <w:rsid w:val="00385A3E"/>
    <w:rsid w:val="00385A5C"/>
    <w:rsid w:val="00385A97"/>
    <w:rsid w:val="00385AD0"/>
    <w:rsid w:val="00385B1C"/>
    <w:rsid w:val="00385B42"/>
    <w:rsid w:val="00385C98"/>
    <w:rsid w:val="00385CCE"/>
    <w:rsid w:val="00385D02"/>
    <w:rsid w:val="00385DC4"/>
    <w:rsid w:val="00385E06"/>
    <w:rsid w:val="00385F8C"/>
    <w:rsid w:val="00385F9E"/>
    <w:rsid w:val="00385FCD"/>
    <w:rsid w:val="00385FFD"/>
    <w:rsid w:val="0038601B"/>
    <w:rsid w:val="00386025"/>
    <w:rsid w:val="0038603D"/>
    <w:rsid w:val="003860B3"/>
    <w:rsid w:val="003860F4"/>
    <w:rsid w:val="00386111"/>
    <w:rsid w:val="00386171"/>
    <w:rsid w:val="00386282"/>
    <w:rsid w:val="003862D8"/>
    <w:rsid w:val="00386330"/>
    <w:rsid w:val="0038636C"/>
    <w:rsid w:val="0038638A"/>
    <w:rsid w:val="003863B8"/>
    <w:rsid w:val="003863D8"/>
    <w:rsid w:val="00386425"/>
    <w:rsid w:val="00386486"/>
    <w:rsid w:val="003864E9"/>
    <w:rsid w:val="00386535"/>
    <w:rsid w:val="0038656B"/>
    <w:rsid w:val="0038657F"/>
    <w:rsid w:val="00386680"/>
    <w:rsid w:val="003866D3"/>
    <w:rsid w:val="003866D8"/>
    <w:rsid w:val="0038670F"/>
    <w:rsid w:val="00386714"/>
    <w:rsid w:val="00386722"/>
    <w:rsid w:val="0038674A"/>
    <w:rsid w:val="0038675F"/>
    <w:rsid w:val="0038678A"/>
    <w:rsid w:val="003867E7"/>
    <w:rsid w:val="003868C7"/>
    <w:rsid w:val="003868F6"/>
    <w:rsid w:val="003869C3"/>
    <w:rsid w:val="00386A47"/>
    <w:rsid w:val="00386A7B"/>
    <w:rsid w:val="00386AE6"/>
    <w:rsid w:val="00386B08"/>
    <w:rsid w:val="00386B50"/>
    <w:rsid w:val="00386B61"/>
    <w:rsid w:val="00386C3C"/>
    <w:rsid w:val="00386C45"/>
    <w:rsid w:val="00386CBA"/>
    <w:rsid w:val="00386DB6"/>
    <w:rsid w:val="00386E66"/>
    <w:rsid w:val="00386EF0"/>
    <w:rsid w:val="00386F45"/>
    <w:rsid w:val="00386FCF"/>
    <w:rsid w:val="00387024"/>
    <w:rsid w:val="003870A6"/>
    <w:rsid w:val="003870FE"/>
    <w:rsid w:val="0038711D"/>
    <w:rsid w:val="00387131"/>
    <w:rsid w:val="003871E6"/>
    <w:rsid w:val="003871F2"/>
    <w:rsid w:val="00387292"/>
    <w:rsid w:val="003872B9"/>
    <w:rsid w:val="003872C5"/>
    <w:rsid w:val="0038736B"/>
    <w:rsid w:val="003873AE"/>
    <w:rsid w:val="0038742B"/>
    <w:rsid w:val="0038745A"/>
    <w:rsid w:val="003874F4"/>
    <w:rsid w:val="0038750D"/>
    <w:rsid w:val="0038759E"/>
    <w:rsid w:val="0038776F"/>
    <w:rsid w:val="00387827"/>
    <w:rsid w:val="00387879"/>
    <w:rsid w:val="00387969"/>
    <w:rsid w:val="00387998"/>
    <w:rsid w:val="00387A41"/>
    <w:rsid w:val="00387AC2"/>
    <w:rsid w:val="00387AF8"/>
    <w:rsid w:val="00387B18"/>
    <w:rsid w:val="00387B2F"/>
    <w:rsid w:val="00387C3E"/>
    <w:rsid w:val="00387D17"/>
    <w:rsid w:val="00387D5E"/>
    <w:rsid w:val="00387E27"/>
    <w:rsid w:val="00387ED1"/>
    <w:rsid w:val="00387FC9"/>
    <w:rsid w:val="00390029"/>
    <w:rsid w:val="00390031"/>
    <w:rsid w:val="00390046"/>
    <w:rsid w:val="0039014C"/>
    <w:rsid w:val="0039015F"/>
    <w:rsid w:val="0039017F"/>
    <w:rsid w:val="003901C7"/>
    <w:rsid w:val="00390331"/>
    <w:rsid w:val="0039034F"/>
    <w:rsid w:val="00390394"/>
    <w:rsid w:val="003903B9"/>
    <w:rsid w:val="00390430"/>
    <w:rsid w:val="003904DB"/>
    <w:rsid w:val="003905E4"/>
    <w:rsid w:val="003905F0"/>
    <w:rsid w:val="0039064F"/>
    <w:rsid w:val="00390683"/>
    <w:rsid w:val="0039072B"/>
    <w:rsid w:val="003907E4"/>
    <w:rsid w:val="00390804"/>
    <w:rsid w:val="00390808"/>
    <w:rsid w:val="0039080F"/>
    <w:rsid w:val="00390887"/>
    <w:rsid w:val="003908B7"/>
    <w:rsid w:val="003908C4"/>
    <w:rsid w:val="003908E9"/>
    <w:rsid w:val="003909A2"/>
    <w:rsid w:val="003909BE"/>
    <w:rsid w:val="00390A06"/>
    <w:rsid w:val="00390A48"/>
    <w:rsid w:val="00390A4B"/>
    <w:rsid w:val="00390A8C"/>
    <w:rsid w:val="00390AC3"/>
    <w:rsid w:val="00390B05"/>
    <w:rsid w:val="00390B5B"/>
    <w:rsid w:val="00390C35"/>
    <w:rsid w:val="00390C77"/>
    <w:rsid w:val="00390C9D"/>
    <w:rsid w:val="00390D06"/>
    <w:rsid w:val="00390D57"/>
    <w:rsid w:val="00390D93"/>
    <w:rsid w:val="00390DB3"/>
    <w:rsid w:val="00390DB4"/>
    <w:rsid w:val="00390DFD"/>
    <w:rsid w:val="00390E20"/>
    <w:rsid w:val="00390FA0"/>
    <w:rsid w:val="00390FA2"/>
    <w:rsid w:val="00390FC7"/>
    <w:rsid w:val="00391022"/>
    <w:rsid w:val="00391147"/>
    <w:rsid w:val="003911AA"/>
    <w:rsid w:val="003911B6"/>
    <w:rsid w:val="003911D8"/>
    <w:rsid w:val="003911DD"/>
    <w:rsid w:val="00391206"/>
    <w:rsid w:val="00391226"/>
    <w:rsid w:val="00391252"/>
    <w:rsid w:val="00391320"/>
    <w:rsid w:val="003913D1"/>
    <w:rsid w:val="003913EF"/>
    <w:rsid w:val="003913F3"/>
    <w:rsid w:val="0039141D"/>
    <w:rsid w:val="003914A2"/>
    <w:rsid w:val="003914DA"/>
    <w:rsid w:val="003915AD"/>
    <w:rsid w:val="00391603"/>
    <w:rsid w:val="00391661"/>
    <w:rsid w:val="003916AE"/>
    <w:rsid w:val="003917D5"/>
    <w:rsid w:val="003917DD"/>
    <w:rsid w:val="00391809"/>
    <w:rsid w:val="0039184A"/>
    <w:rsid w:val="003918D5"/>
    <w:rsid w:val="003918E0"/>
    <w:rsid w:val="00391925"/>
    <w:rsid w:val="00391949"/>
    <w:rsid w:val="0039194B"/>
    <w:rsid w:val="0039198B"/>
    <w:rsid w:val="003919DB"/>
    <w:rsid w:val="00391A8F"/>
    <w:rsid w:val="00391ADB"/>
    <w:rsid w:val="00391ADC"/>
    <w:rsid w:val="00391B31"/>
    <w:rsid w:val="00391B73"/>
    <w:rsid w:val="00391C1B"/>
    <w:rsid w:val="00391C74"/>
    <w:rsid w:val="00391C86"/>
    <w:rsid w:val="00391CB8"/>
    <w:rsid w:val="00391CDA"/>
    <w:rsid w:val="00391CF6"/>
    <w:rsid w:val="00391D74"/>
    <w:rsid w:val="00391DD3"/>
    <w:rsid w:val="00391E5D"/>
    <w:rsid w:val="00391E8A"/>
    <w:rsid w:val="00391EDF"/>
    <w:rsid w:val="00391F21"/>
    <w:rsid w:val="00391F3D"/>
    <w:rsid w:val="00391F74"/>
    <w:rsid w:val="00391FEA"/>
    <w:rsid w:val="00391FFF"/>
    <w:rsid w:val="00392060"/>
    <w:rsid w:val="00392190"/>
    <w:rsid w:val="003921C6"/>
    <w:rsid w:val="0039220C"/>
    <w:rsid w:val="0039225C"/>
    <w:rsid w:val="00392342"/>
    <w:rsid w:val="00392358"/>
    <w:rsid w:val="00392367"/>
    <w:rsid w:val="003923C9"/>
    <w:rsid w:val="00392452"/>
    <w:rsid w:val="00392479"/>
    <w:rsid w:val="00392489"/>
    <w:rsid w:val="003924AA"/>
    <w:rsid w:val="003924E2"/>
    <w:rsid w:val="0039258E"/>
    <w:rsid w:val="003925C8"/>
    <w:rsid w:val="0039263D"/>
    <w:rsid w:val="00392713"/>
    <w:rsid w:val="00392719"/>
    <w:rsid w:val="00392778"/>
    <w:rsid w:val="0039285A"/>
    <w:rsid w:val="0039287D"/>
    <w:rsid w:val="0039289A"/>
    <w:rsid w:val="003928BD"/>
    <w:rsid w:val="003928EE"/>
    <w:rsid w:val="00392950"/>
    <w:rsid w:val="0039297C"/>
    <w:rsid w:val="003929B6"/>
    <w:rsid w:val="003929BB"/>
    <w:rsid w:val="003929DF"/>
    <w:rsid w:val="00392A2C"/>
    <w:rsid w:val="00392A2D"/>
    <w:rsid w:val="00392A37"/>
    <w:rsid w:val="00392ABF"/>
    <w:rsid w:val="00392AFE"/>
    <w:rsid w:val="00392B31"/>
    <w:rsid w:val="00392C1F"/>
    <w:rsid w:val="00392C32"/>
    <w:rsid w:val="00392C38"/>
    <w:rsid w:val="00392C76"/>
    <w:rsid w:val="00392CDE"/>
    <w:rsid w:val="00392D08"/>
    <w:rsid w:val="00392D35"/>
    <w:rsid w:val="00392D67"/>
    <w:rsid w:val="00392D95"/>
    <w:rsid w:val="00392E01"/>
    <w:rsid w:val="00392E56"/>
    <w:rsid w:val="00392E81"/>
    <w:rsid w:val="00392E8D"/>
    <w:rsid w:val="00392EAC"/>
    <w:rsid w:val="00392ED7"/>
    <w:rsid w:val="00392F5B"/>
    <w:rsid w:val="00392F5E"/>
    <w:rsid w:val="00392F8A"/>
    <w:rsid w:val="00392FA5"/>
    <w:rsid w:val="00392FB8"/>
    <w:rsid w:val="00393007"/>
    <w:rsid w:val="003930A6"/>
    <w:rsid w:val="003930DE"/>
    <w:rsid w:val="003930F4"/>
    <w:rsid w:val="00393117"/>
    <w:rsid w:val="00393145"/>
    <w:rsid w:val="003931E4"/>
    <w:rsid w:val="003931EE"/>
    <w:rsid w:val="00393278"/>
    <w:rsid w:val="003932AA"/>
    <w:rsid w:val="003932B8"/>
    <w:rsid w:val="003932BB"/>
    <w:rsid w:val="00393367"/>
    <w:rsid w:val="00393403"/>
    <w:rsid w:val="00393433"/>
    <w:rsid w:val="0039347B"/>
    <w:rsid w:val="00393483"/>
    <w:rsid w:val="003934A3"/>
    <w:rsid w:val="003934B5"/>
    <w:rsid w:val="003934BE"/>
    <w:rsid w:val="00393601"/>
    <w:rsid w:val="00393635"/>
    <w:rsid w:val="0039367E"/>
    <w:rsid w:val="00393691"/>
    <w:rsid w:val="003936AB"/>
    <w:rsid w:val="0039374E"/>
    <w:rsid w:val="00393784"/>
    <w:rsid w:val="003937BE"/>
    <w:rsid w:val="003937FF"/>
    <w:rsid w:val="0039381B"/>
    <w:rsid w:val="003938BE"/>
    <w:rsid w:val="003938D1"/>
    <w:rsid w:val="003939E8"/>
    <w:rsid w:val="003939FD"/>
    <w:rsid w:val="00393A21"/>
    <w:rsid w:val="00393ADD"/>
    <w:rsid w:val="00393B0C"/>
    <w:rsid w:val="00393B53"/>
    <w:rsid w:val="00393BA3"/>
    <w:rsid w:val="00393BC6"/>
    <w:rsid w:val="00393BFE"/>
    <w:rsid w:val="00393C3C"/>
    <w:rsid w:val="00393D05"/>
    <w:rsid w:val="00393D29"/>
    <w:rsid w:val="00393D87"/>
    <w:rsid w:val="00393D9F"/>
    <w:rsid w:val="00393E21"/>
    <w:rsid w:val="00393E83"/>
    <w:rsid w:val="00393E8E"/>
    <w:rsid w:val="00393EA0"/>
    <w:rsid w:val="00393F31"/>
    <w:rsid w:val="00393F38"/>
    <w:rsid w:val="00393F71"/>
    <w:rsid w:val="00393F72"/>
    <w:rsid w:val="00393F87"/>
    <w:rsid w:val="00393FDB"/>
    <w:rsid w:val="00394016"/>
    <w:rsid w:val="00394018"/>
    <w:rsid w:val="00394062"/>
    <w:rsid w:val="00394068"/>
    <w:rsid w:val="0039411F"/>
    <w:rsid w:val="0039416F"/>
    <w:rsid w:val="003941D1"/>
    <w:rsid w:val="003941DF"/>
    <w:rsid w:val="00394258"/>
    <w:rsid w:val="00394267"/>
    <w:rsid w:val="00394295"/>
    <w:rsid w:val="003942AD"/>
    <w:rsid w:val="003942C3"/>
    <w:rsid w:val="00394387"/>
    <w:rsid w:val="003943A7"/>
    <w:rsid w:val="00394429"/>
    <w:rsid w:val="0039444E"/>
    <w:rsid w:val="0039449A"/>
    <w:rsid w:val="003944A9"/>
    <w:rsid w:val="003944D0"/>
    <w:rsid w:val="003944D6"/>
    <w:rsid w:val="00394583"/>
    <w:rsid w:val="003945A4"/>
    <w:rsid w:val="003945DA"/>
    <w:rsid w:val="0039464A"/>
    <w:rsid w:val="0039467A"/>
    <w:rsid w:val="003946D5"/>
    <w:rsid w:val="00394707"/>
    <w:rsid w:val="0039472C"/>
    <w:rsid w:val="00394752"/>
    <w:rsid w:val="0039476F"/>
    <w:rsid w:val="003947E6"/>
    <w:rsid w:val="003948C4"/>
    <w:rsid w:val="003948C6"/>
    <w:rsid w:val="00394935"/>
    <w:rsid w:val="00394977"/>
    <w:rsid w:val="003949D2"/>
    <w:rsid w:val="00394A35"/>
    <w:rsid w:val="00394B0C"/>
    <w:rsid w:val="00394B62"/>
    <w:rsid w:val="00394B8F"/>
    <w:rsid w:val="00394B94"/>
    <w:rsid w:val="00394BB4"/>
    <w:rsid w:val="00394BE6"/>
    <w:rsid w:val="00394BEB"/>
    <w:rsid w:val="00394C6F"/>
    <w:rsid w:val="00394D3B"/>
    <w:rsid w:val="00394D4A"/>
    <w:rsid w:val="00394EDF"/>
    <w:rsid w:val="00394FBF"/>
    <w:rsid w:val="003950A1"/>
    <w:rsid w:val="003950BB"/>
    <w:rsid w:val="003950F1"/>
    <w:rsid w:val="00395186"/>
    <w:rsid w:val="00395189"/>
    <w:rsid w:val="00395201"/>
    <w:rsid w:val="0039531B"/>
    <w:rsid w:val="003953A9"/>
    <w:rsid w:val="003953F1"/>
    <w:rsid w:val="0039540B"/>
    <w:rsid w:val="0039545D"/>
    <w:rsid w:val="003954FA"/>
    <w:rsid w:val="0039554B"/>
    <w:rsid w:val="00395591"/>
    <w:rsid w:val="0039563E"/>
    <w:rsid w:val="00395678"/>
    <w:rsid w:val="00395692"/>
    <w:rsid w:val="003956A1"/>
    <w:rsid w:val="003956C9"/>
    <w:rsid w:val="003957C4"/>
    <w:rsid w:val="003957EB"/>
    <w:rsid w:val="0039582F"/>
    <w:rsid w:val="00395882"/>
    <w:rsid w:val="003958EC"/>
    <w:rsid w:val="0039594D"/>
    <w:rsid w:val="003959CA"/>
    <w:rsid w:val="00395AC6"/>
    <w:rsid w:val="00395AED"/>
    <w:rsid w:val="00395B11"/>
    <w:rsid w:val="00395B29"/>
    <w:rsid w:val="00395B89"/>
    <w:rsid w:val="00395BDA"/>
    <w:rsid w:val="00395BDE"/>
    <w:rsid w:val="00395CEF"/>
    <w:rsid w:val="00395CFE"/>
    <w:rsid w:val="00395D29"/>
    <w:rsid w:val="00395D60"/>
    <w:rsid w:val="00395D99"/>
    <w:rsid w:val="00395DCD"/>
    <w:rsid w:val="00395FEF"/>
    <w:rsid w:val="00396037"/>
    <w:rsid w:val="00396057"/>
    <w:rsid w:val="003960D0"/>
    <w:rsid w:val="00396137"/>
    <w:rsid w:val="003961DF"/>
    <w:rsid w:val="0039621A"/>
    <w:rsid w:val="003962B2"/>
    <w:rsid w:val="003962B6"/>
    <w:rsid w:val="00396358"/>
    <w:rsid w:val="00396399"/>
    <w:rsid w:val="003963E0"/>
    <w:rsid w:val="0039642C"/>
    <w:rsid w:val="0039645F"/>
    <w:rsid w:val="0039646E"/>
    <w:rsid w:val="003964FF"/>
    <w:rsid w:val="00396510"/>
    <w:rsid w:val="00396527"/>
    <w:rsid w:val="0039658C"/>
    <w:rsid w:val="003965BA"/>
    <w:rsid w:val="00396636"/>
    <w:rsid w:val="0039668E"/>
    <w:rsid w:val="003966A2"/>
    <w:rsid w:val="003967AE"/>
    <w:rsid w:val="0039682F"/>
    <w:rsid w:val="0039688B"/>
    <w:rsid w:val="0039693C"/>
    <w:rsid w:val="0039694F"/>
    <w:rsid w:val="0039697F"/>
    <w:rsid w:val="00396A5A"/>
    <w:rsid w:val="00396A71"/>
    <w:rsid w:val="00396A79"/>
    <w:rsid w:val="00396AC6"/>
    <w:rsid w:val="00396ACA"/>
    <w:rsid w:val="00396AE3"/>
    <w:rsid w:val="00396AE7"/>
    <w:rsid w:val="00396B1C"/>
    <w:rsid w:val="00396B93"/>
    <w:rsid w:val="00396B99"/>
    <w:rsid w:val="00396C1F"/>
    <w:rsid w:val="00396C3A"/>
    <w:rsid w:val="00396C4F"/>
    <w:rsid w:val="00396C5F"/>
    <w:rsid w:val="00396C96"/>
    <w:rsid w:val="00396CB0"/>
    <w:rsid w:val="00396D16"/>
    <w:rsid w:val="00396D17"/>
    <w:rsid w:val="00396D1F"/>
    <w:rsid w:val="00396D26"/>
    <w:rsid w:val="00396D31"/>
    <w:rsid w:val="00396DBC"/>
    <w:rsid w:val="00396DC0"/>
    <w:rsid w:val="00396E19"/>
    <w:rsid w:val="00396E96"/>
    <w:rsid w:val="00396E98"/>
    <w:rsid w:val="00396EA8"/>
    <w:rsid w:val="00396F2E"/>
    <w:rsid w:val="00396F7A"/>
    <w:rsid w:val="00396FA7"/>
    <w:rsid w:val="0039705C"/>
    <w:rsid w:val="003970E3"/>
    <w:rsid w:val="0039710F"/>
    <w:rsid w:val="00397187"/>
    <w:rsid w:val="0039725F"/>
    <w:rsid w:val="00397375"/>
    <w:rsid w:val="0039739B"/>
    <w:rsid w:val="003973A4"/>
    <w:rsid w:val="003973B0"/>
    <w:rsid w:val="00397403"/>
    <w:rsid w:val="0039740B"/>
    <w:rsid w:val="00397410"/>
    <w:rsid w:val="00397422"/>
    <w:rsid w:val="00397536"/>
    <w:rsid w:val="0039757D"/>
    <w:rsid w:val="00397587"/>
    <w:rsid w:val="00397596"/>
    <w:rsid w:val="003975A6"/>
    <w:rsid w:val="003975B2"/>
    <w:rsid w:val="00397656"/>
    <w:rsid w:val="00397678"/>
    <w:rsid w:val="003976AC"/>
    <w:rsid w:val="0039787C"/>
    <w:rsid w:val="0039789F"/>
    <w:rsid w:val="0039791A"/>
    <w:rsid w:val="0039799D"/>
    <w:rsid w:val="003979B6"/>
    <w:rsid w:val="00397A42"/>
    <w:rsid w:val="00397AB0"/>
    <w:rsid w:val="00397ACE"/>
    <w:rsid w:val="00397B19"/>
    <w:rsid w:val="00397B1F"/>
    <w:rsid w:val="00397B9E"/>
    <w:rsid w:val="00397BFB"/>
    <w:rsid w:val="00397D19"/>
    <w:rsid w:val="00397D59"/>
    <w:rsid w:val="00397D72"/>
    <w:rsid w:val="00397E60"/>
    <w:rsid w:val="00397E61"/>
    <w:rsid w:val="00397EC9"/>
    <w:rsid w:val="00397F2C"/>
    <w:rsid w:val="00397F70"/>
    <w:rsid w:val="00397F88"/>
    <w:rsid w:val="00397FD2"/>
    <w:rsid w:val="00397FE1"/>
    <w:rsid w:val="003A005C"/>
    <w:rsid w:val="003A0099"/>
    <w:rsid w:val="003A00D4"/>
    <w:rsid w:val="003A0115"/>
    <w:rsid w:val="003A019E"/>
    <w:rsid w:val="003A0203"/>
    <w:rsid w:val="003A0335"/>
    <w:rsid w:val="003A036A"/>
    <w:rsid w:val="003A039C"/>
    <w:rsid w:val="003A048C"/>
    <w:rsid w:val="003A04C1"/>
    <w:rsid w:val="003A04CE"/>
    <w:rsid w:val="003A0521"/>
    <w:rsid w:val="003A055F"/>
    <w:rsid w:val="003A05B7"/>
    <w:rsid w:val="003A063F"/>
    <w:rsid w:val="003A065C"/>
    <w:rsid w:val="003A0676"/>
    <w:rsid w:val="003A068C"/>
    <w:rsid w:val="003A068D"/>
    <w:rsid w:val="003A069C"/>
    <w:rsid w:val="003A06A3"/>
    <w:rsid w:val="003A06AA"/>
    <w:rsid w:val="003A06BA"/>
    <w:rsid w:val="003A06ED"/>
    <w:rsid w:val="003A0726"/>
    <w:rsid w:val="003A0789"/>
    <w:rsid w:val="003A0791"/>
    <w:rsid w:val="003A07F5"/>
    <w:rsid w:val="003A083D"/>
    <w:rsid w:val="003A0907"/>
    <w:rsid w:val="003A0988"/>
    <w:rsid w:val="003A09EB"/>
    <w:rsid w:val="003A0A52"/>
    <w:rsid w:val="003A0A65"/>
    <w:rsid w:val="003A0A6B"/>
    <w:rsid w:val="003A0B0B"/>
    <w:rsid w:val="003A0B47"/>
    <w:rsid w:val="003A0BB4"/>
    <w:rsid w:val="003A0BC0"/>
    <w:rsid w:val="003A0BDA"/>
    <w:rsid w:val="003A0C49"/>
    <w:rsid w:val="003A0C73"/>
    <w:rsid w:val="003A0D22"/>
    <w:rsid w:val="003A0D39"/>
    <w:rsid w:val="003A0F32"/>
    <w:rsid w:val="003A0FDD"/>
    <w:rsid w:val="003A1038"/>
    <w:rsid w:val="003A1061"/>
    <w:rsid w:val="003A10DB"/>
    <w:rsid w:val="003A10F4"/>
    <w:rsid w:val="003A1195"/>
    <w:rsid w:val="003A11BA"/>
    <w:rsid w:val="003A1208"/>
    <w:rsid w:val="003A1223"/>
    <w:rsid w:val="003A1236"/>
    <w:rsid w:val="003A124F"/>
    <w:rsid w:val="003A129C"/>
    <w:rsid w:val="003A130C"/>
    <w:rsid w:val="003A1318"/>
    <w:rsid w:val="003A131B"/>
    <w:rsid w:val="003A136A"/>
    <w:rsid w:val="003A141F"/>
    <w:rsid w:val="003A1553"/>
    <w:rsid w:val="003A1555"/>
    <w:rsid w:val="003A158A"/>
    <w:rsid w:val="003A1596"/>
    <w:rsid w:val="003A15B0"/>
    <w:rsid w:val="003A15B8"/>
    <w:rsid w:val="003A15F2"/>
    <w:rsid w:val="003A1600"/>
    <w:rsid w:val="003A1681"/>
    <w:rsid w:val="003A1698"/>
    <w:rsid w:val="003A170F"/>
    <w:rsid w:val="003A1775"/>
    <w:rsid w:val="003A17C8"/>
    <w:rsid w:val="003A18AD"/>
    <w:rsid w:val="003A1919"/>
    <w:rsid w:val="003A1961"/>
    <w:rsid w:val="003A1A9D"/>
    <w:rsid w:val="003A1B41"/>
    <w:rsid w:val="003A1B63"/>
    <w:rsid w:val="003A1B9D"/>
    <w:rsid w:val="003A1BC7"/>
    <w:rsid w:val="003A1C00"/>
    <w:rsid w:val="003A1C74"/>
    <w:rsid w:val="003A1C7E"/>
    <w:rsid w:val="003A1D97"/>
    <w:rsid w:val="003A1DB3"/>
    <w:rsid w:val="003A1E26"/>
    <w:rsid w:val="003A1E2F"/>
    <w:rsid w:val="003A1E32"/>
    <w:rsid w:val="003A1F29"/>
    <w:rsid w:val="003A1F30"/>
    <w:rsid w:val="003A1F92"/>
    <w:rsid w:val="003A1FC8"/>
    <w:rsid w:val="003A20AF"/>
    <w:rsid w:val="003A20BB"/>
    <w:rsid w:val="003A20CA"/>
    <w:rsid w:val="003A20D4"/>
    <w:rsid w:val="003A20ED"/>
    <w:rsid w:val="003A20F2"/>
    <w:rsid w:val="003A20F3"/>
    <w:rsid w:val="003A214F"/>
    <w:rsid w:val="003A2251"/>
    <w:rsid w:val="003A22DC"/>
    <w:rsid w:val="003A23B1"/>
    <w:rsid w:val="003A248F"/>
    <w:rsid w:val="003A262F"/>
    <w:rsid w:val="003A2642"/>
    <w:rsid w:val="003A2654"/>
    <w:rsid w:val="003A2677"/>
    <w:rsid w:val="003A2692"/>
    <w:rsid w:val="003A2712"/>
    <w:rsid w:val="003A2728"/>
    <w:rsid w:val="003A2799"/>
    <w:rsid w:val="003A27CC"/>
    <w:rsid w:val="003A27D6"/>
    <w:rsid w:val="003A280A"/>
    <w:rsid w:val="003A2837"/>
    <w:rsid w:val="003A2859"/>
    <w:rsid w:val="003A28F7"/>
    <w:rsid w:val="003A2979"/>
    <w:rsid w:val="003A2985"/>
    <w:rsid w:val="003A2999"/>
    <w:rsid w:val="003A2A00"/>
    <w:rsid w:val="003A2AC8"/>
    <w:rsid w:val="003A2AEB"/>
    <w:rsid w:val="003A2B0E"/>
    <w:rsid w:val="003A2B49"/>
    <w:rsid w:val="003A2B79"/>
    <w:rsid w:val="003A2B80"/>
    <w:rsid w:val="003A2B8F"/>
    <w:rsid w:val="003A2BC8"/>
    <w:rsid w:val="003A2BDB"/>
    <w:rsid w:val="003A2D34"/>
    <w:rsid w:val="003A2D8D"/>
    <w:rsid w:val="003A2DC1"/>
    <w:rsid w:val="003A2DCA"/>
    <w:rsid w:val="003A2DE4"/>
    <w:rsid w:val="003A2E0C"/>
    <w:rsid w:val="003A2E2D"/>
    <w:rsid w:val="003A2FD4"/>
    <w:rsid w:val="003A3024"/>
    <w:rsid w:val="003A3034"/>
    <w:rsid w:val="003A3036"/>
    <w:rsid w:val="003A3073"/>
    <w:rsid w:val="003A30A9"/>
    <w:rsid w:val="003A30E1"/>
    <w:rsid w:val="003A31A7"/>
    <w:rsid w:val="003A31C5"/>
    <w:rsid w:val="003A31C7"/>
    <w:rsid w:val="003A31D0"/>
    <w:rsid w:val="003A3204"/>
    <w:rsid w:val="003A3207"/>
    <w:rsid w:val="003A3239"/>
    <w:rsid w:val="003A32DE"/>
    <w:rsid w:val="003A3331"/>
    <w:rsid w:val="003A336B"/>
    <w:rsid w:val="003A3397"/>
    <w:rsid w:val="003A339D"/>
    <w:rsid w:val="003A33AA"/>
    <w:rsid w:val="003A3460"/>
    <w:rsid w:val="003A3483"/>
    <w:rsid w:val="003A348C"/>
    <w:rsid w:val="003A35C0"/>
    <w:rsid w:val="003A3644"/>
    <w:rsid w:val="003A3678"/>
    <w:rsid w:val="003A36DF"/>
    <w:rsid w:val="003A375B"/>
    <w:rsid w:val="003A37C7"/>
    <w:rsid w:val="003A3801"/>
    <w:rsid w:val="003A3872"/>
    <w:rsid w:val="003A3885"/>
    <w:rsid w:val="003A38C9"/>
    <w:rsid w:val="003A397B"/>
    <w:rsid w:val="003A3A21"/>
    <w:rsid w:val="003A3A59"/>
    <w:rsid w:val="003A3B5E"/>
    <w:rsid w:val="003A3BD4"/>
    <w:rsid w:val="003A3BEE"/>
    <w:rsid w:val="003A3D13"/>
    <w:rsid w:val="003A3DAC"/>
    <w:rsid w:val="003A3DC9"/>
    <w:rsid w:val="003A3DE3"/>
    <w:rsid w:val="003A3E0F"/>
    <w:rsid w:val="003A3EDB"/>
    <w:rsid w:val="003A3EDF"/>
    <w:rsid w:val="003A3F95"/>
    <w:rsid w:val="003A3F96"/>
    <w:rsid w:val="003A3FB4"/>
    <w:rsid w:val="003A3FDA"/>
    <w:rsid w:val="003A4034"/>
    <w:rsid w:val="003A4038"/>
    <w:rsid w:val="003A40A6"/>
    <w:rsid w:val="003A40B4"/>
    <w:rsid w:val="003A41B3"/>
    <w:rsid w:val="003A41E9"/>
    <w:rsid w:val="003A42D1"/>
    <w:rsid w:val="003A4436"/>
    <w:rsid w:val="003A4449"/>
    <w:rsid w:val="003A446B"/>
    <w:rsid w:val="003A449C"/>
    <w:rsid w:val="003A44BD"/>
    <w:rsid w:val="003A4509"/>
    <w:rsid w:val="003A450E"/>
    <w:rsid w:val="003A4512"/>
    <w:rsid w:val="003A45A7"/>
    <w:rsid w:val="003A4655"/>
    <w:rsid w:val="003A46DD"/>
    <w:rsid w:val="003A477E"/>
    <w:rsid w:val="003A4807"/>
    <w:rsid w:val="003A4848"/>
    <w:rsid w:val="003A486B"/>
    <w:rsid w:val="003A4883"/>
    <w:rsid w:val="003A48F8"/>
    <w:rsid w:val="003A492F"/>
    <w:rsid w:val="003A496E"/>
    <w:rsid w:val="003A49E8"/>
    <w:rsid w:val="003A4AE3"/>
    <w:rsid w:val="003A4B51"/>
    <w:rsid w:val="003A4C06"/>
    <w:rsid w:val="003A4CC8"/>
    <w:rsid w:val="003A4CC9"/>
    <w:rsid w:val="003A4CCA"/>
    <w:rsid w:val="003A4DF2"/>
    <w:rsid w:val="003A4E7F"/>
    <w:rsid w:val="003A4E8B"/>
    <w:rsid w:val="003A4EBF"/>
    <w:rsid w:val="003A4EE0"/>
    <w:rsid w:val="003A4F38"/>
    <w:rsid w:val="003A4F5E"/>
    <w:rsid w:val="003A4FCE"/>
    <w:rsid w:val="003A5014"/>
    <w:rsid w:val="003A5073"/>
    <w:rsid w:val="003A509E"/>
    <w:rsid w:val="003A50BF"/>
    <w:rsid w:val="003A50E7"/>
    <w:rsid w:val="003A5150"/>
    <w:rsid w:val="003A535C"/>
    <w:rsid w:val="003A538D"/>
    <w:rsid w:val="003A5394"/>
    <w:rsid w:val="003A548C"/>
    <w:rsid w:val="003A54B1"/>
    <w:rsid w:val="003A54BB"/>
    <w:rsid w:val="003A5560"/>
    <w:rsid w:val="003A5567"/>
    <w:rsid w:val="003A5599"/>
    <w:rsid w:val="003A56D5"/>
    <w:rsid w:val="003A57AA"/>
    <w:rsid w:val="003A57DD"/>
    <w:rsid w:val="003A5840"/>
    <w:rsid w:val="003A584E"/>
    <w:rsid w:val="003A5872"/>
    <w:rsid w:val="003A597C"/>
    <w:rsid w:val="003A5988"/>
    <w:rsid w:val="003A59B3"/>
    <w:rsid w:val="003A59EA"/>
    <w:rsid w:val="003A59F2"/>
    <w:rsid w:val="003A5AA2"/>
    <w:rsid w:val="003A5B0C"/>
    <w:rsid w:val="003A5B21"/>
    <w:rsid w:val="003A5B2E"/>
    <w:rsid w:val="003A5B5A"/>
    <w:rsid w:val="003A5B94"/>
    <w:rsid w:val="003A5BB8"/>
    <w:rsid w:val="003A5BE0"/>
    <w:rsid w:val="003A5C1D"/>
    <w:rsid w:val="003A5C6F"/>
    <w:rsid w:val="003A5D60"/>
    <w:rsid w:val="003A5D73"/>
    <w:rsid w:val="003A5DD2"/>
    <w:rsid w:val="003A5DF5"/>
    <w:rsid w:val="003A5E19"/>
    <w:rsid w:val="003A5ED1"/>
    <w:rsid w:val="003A5F6F"/>
    <w:rsid w:val="003A5F7E"/>
    <w:rsid w:val="003A6010"/>
    <w:rsid w:val="003A6042"/>
    <w:rsid w:val="003A605E"/>
    <w:rsid w:val="003A606E"/>
    <w:rsid w:val="003A6076"/>
    <w:rsid w:val="003A607B"/>
    <w:rsid w:val="003A61EF"/>
    <w:rsid w:val="003A6234"/>
    <w:rsid w:val="003A6261"/>
    <w:rsid w:val="003A62C9"/>
    <w:rsid w:val="003A6337"/>
    <w:rsid w:val="003A633B"/>
    <w:rsid w:val="003A63A1"/>
    <w:rsid w:val="003A64FC"/>
    <w:rsid w:val="003A650B"/>
    <w:rsid w:val="003A653A"/>
    <w:rsid w:val="003A656C"/>
    <w:rsid w:val="003A65CC"/>
    <w:rsid w:val="003A65E4"/>
    <w:rsid w:val="003A6600"/>
    <w:rsid w:val="003A6670"/>
    <w:rsid w:val="003A66E5"/>
    <w:rsid w:val="003A66E7"/>
    <w:rsid w:val="003A67C1"/>
    <w:rsid w:val="003A67F3"/>
    <w:rsid w:val="003A6853"/>
    <w:rsid w:val="003A68A1"/>
    <w:rsid w:val="003A68B2"/>
    <w:rsid w:val="003A690D"/>
    <w:rsid w:val="003A69D0"/>
    <w:rsid w:val="003A69F9"/>
    <w:rsid w:val="003A6ABE"/>
    <w:rsid w:val="003A6AD5"/>
    <w:rsid w:val="003A6B14"/>
    <w:rsid w:val="003A6B36"/>
    <w:rsid w:val="003A6B3D"/>
    <w:rsid w:val="003A6B58"/>
    <w:rsid w:val="003A6B6A"/>
    <w:rsid w:val="003A6B75"/>
    <w:rsid w:val="003A6B8F"/>
    <w:rsid w:val="003A6BBF"/>
    <w:rsid w:val="003A6BE4"/>
    <w:rsid w:val="003A6C20"/>
    <w:rsid w:val="003A6C26"/>
    <w:rsid w:val="003A6CD9"/>
    <w:rsid w:val="003A6CE6"/>
    <w:rsid w:val="003A6CF0"/>
    <w:rsid w:val="003A6D2A"/>
    <w:rsid w:val="003A6D43"/>
    <w:rsid w:val="003A6D7F"/>
    <w:rsid w:val="003A6D94"/>
    <w:rsid w:val="003A6DAE"/>
    <w:rsid w:val="003A6F90"/>
    <w:rsid w:val="003A702F"/>
    <w:rsid w:val="003A705A"/>
    <w:rsid w:val="003A70CB"/>
    <w:rsid w:val="003A7179"/>
    <w:rsid w:val="003A71F8"/>
    <w:rsid w:val="003A722C"/>
    <w:rsid w:val="003A7286"/>
    <w:rsid w:val="003A7299"/>
    <w:rsid w:val="003A7352"/>
    <w:rsid w:val="003A7391"/>
    <w:rsid w:val="003A7392"/>
    <w:rsid w:val="003A740D"/>
    <w:rsid w:val="003A7584"/>
    <w:rsid w:val="003A7588"/>
    <w:rsid w:val="003A7673"/>
    <w:rsid w:val="003A76B1"/>
    <w:rsid w:val="003A76C1"/>
    <w:rsid w:val="003A7717"/>
    <w:rsid w:val="003A773A"/>
    <w:rsid w:val="003A773B"/>
    <w:rsid w:val="003A7841"/>
    <w:rsid w:val="003A7847"/>
    <w:rsid w:val="003A785D"/>
    <w:rsid w:val="003A78AE"/>
    <w:rsid w:val="003A78D6"/>
    <w:rsid w:val="003A794D"/>
    <w:rsid w:val="003A798C"/>
    <w:rsid w:val="003A7A25"/>
    <w:rsid w:val="003A7A7E"/>
    <w:rsid w:val="003A7AEA"/>
    <w:rsid w:val="003A7B78"/>
    <w:rsid w:val="003A7BF5"/>
    <w:rsid w:val="003A7CFF"/>
    <w:rsid w:val="003A7D62"/>
    <w:rsid w:val="003A7DCF"/>
    <w:rsid w:val="003A7DE6"/>
    <w:rsid w:val="003A7E6B"/>
    <w:rsid w:val="003A7E6F"/>
    <w:rsid w:val="003A7E94"/>
    <w:rsid w:val="003A7EA2"/>
    <w:rsid w:val="003A7EAD"/>
    <w:rsid w:val="003A7EDA"/>
    <w:rsid w:val="003A7F4B"/>
    <w:rsid w:val="003A7F7A"/>
    <w:rsid w:val="003A7FD9"/>
    <w:rsid w:val="003B0012"/>
    <w:rsid w:val="003B0024"/>
    <w:rsid w:val="003B00B5"/>
    <w:rsid w:val="003B0108"/>
    <w:rsid w:val="003B0189"/>
    <w:rsid w:val="003B01AD"/>
    <w:rsid w:val="003B01F9"/>
    <w:rsid w:val="003B0263"/>
    <w:rsid w:val="003B0291"/>
    <w:rsid w:val="003B0294"/>
    <w:rsid w:val="003B02A4"/>
    <w:rsid w:val="003B02A9"/>
    <w:rsid w:val="003B02AB"/>
    <w:rsid w:val="003B031F"/>
    <w:rsid w:val="003B032F"/>
    <w:rsid w:val="003B0382"/>
    <w:rsid w:val="003B0390"/>
    <w:rsid w:val="003B040B"/>
    <w:rsid w:val="003B042C"/>
    <w:rsid w:val="003B043B"/>
    <w:rsid w:val="003B048E"/>
    <w:rsid w:val="003B04B9"/>
    <w:rsid w:val="003B0542"/>
    <w:rsid w:val="003B0565"/>
    <w:rsid w:val="003B0572"/>
    <w:rsid w:val="003B0622"/>
    <w:rsid w:val="003B0641"/>
    <w:rsid w:val="003B0646"/>
    <w:rsid w:val="003B0666"/>
    <w:rsid w:val="003B0692"/>
    <w:rsid w:val="003B071A"/>
    <w:rsid w:val="003B0746"/>
    <w:rsid w:val="003B07A2"/>
    <w:rsid w:val="003B07BD"/>
    <w:rsid w:val="003B0841"/>
    <w:rsid w:val="003B0864"/>
    <w:rsid w:val="003B0874"/>
    <w:rsid w:val="003B092C"/>
    <w:rsid w:val="003B0947"/>
    <w:rsid w:val="003B09AC"/>
    <w:rsid w:val="003B09DD"/>
    <w:rsid w:val="003B09F1"/>
    <w:rsid w:val="003B0A3C"/>
    <w:rsid w:val="003B0A6F"/>
    <w:rsid w:val="003B0AC7"/>
    <w:rsid w:val="003B0B2F"/>
    <w:rsid w:val="003B0B5B"/>
    <w:rsid w:val="003B0B5E"/>
    <w:rsid w:val="003B0BB7"/>
    <w:rsid w:val="003B0BEE"/>
    <w:rsid w:val="003B0D37"/>
    <w:rsid w:val="003B0D7A"/>
    <w:rsid w:val="003B0D7C"/>
    <w:rsid w:val="003B0D8C"/>
    <w:rsid w:val="003B0DB4"/>
    <w:rsid w:val="003B0E4B"/>
    <w:rsid w:val="003B0E4E"/>
    <w:rsid w:val="003B0EA6"/>
    <w:rsid w:val="003B0EB0"/>
    <w:rsid w:val="003B0EC3"/>
    <w:rsid w:val="003B0EF4"/>
    <w:rsid w:val="003B0F0E"/>
    <w:rsid w:val="003B1052"/>
    <w:rsid w:val="003B10A3"/>
    <w:rsid w:val="003B10D2"/>
    <w:rsid w:val="003B1170"/>
    <w:rsid w:val="003B1218"/>
    <w:rsid w:val="003B1285"/>
    <w:rsid w:val="003B12BB"/>
    <w:rsid w:val="003B12D9"/>
    <w:rsid w:val="003B12E4"/>
    <w:rsid w:val="003B12F7"/>
    <w:rsid w:val="003B1306"/>
    <w:rsid w:val="003B133C"/>
    <w:rsid w:val="003B1350"/>
    <w:rsid w:val="003B137C"/>
    <w:rsid w:val="003B13E8"/>
    <w:rsid w:val="003B1433"/>
    <w:rsid w:val="003B1449"/>
    <w:rsid w:val="003B14AB"/>
    <w:rsid w:val="003B14CF"/>
    <w:rsid w:val="003B15AB"/>
    <w:rsid w:val="003B160C"/>
    <w:rsid w:val="003B1624"/>
    <w:rsid w:val="003B16D2"/>
    <w:rsid w:val="003B1718"/>
    <w:rsid w:val="003B171B"/>
    <w:rsid w:val="003B172D"/>
    <w:rsid w:val="003B1735"/>
    <w:rsid w:val="003B18A4"/>
    <w:rsid w:val="003B18E7"/>
    <w:rsid w:val="003B1922"/>
    <w:rsid w:val="003B193F"/>
    <w:rsid w:val="003B1967"/>
    <w:rsid w:val="003B19B8"/>
    <w:rsid w:val="003B1A02"/>
    <w:rsid w:val="003B1A98"/>
    <w:rsid w:val="003B1B09"/>
    <w:rsid w:val="003B1B98"/>
    <w:rsid w:val="003B1BAD"/>
    <w:rsid w:val="003B1C7F"/>
    <w:rsid w:val="003B1CB4"/>
    <w:rsid w:val="003B1D5D"/>
    <w:rsid w:val="003B1D76"/>
    <w:rsid w:val="003B1E53"/>
    <w:rsid w:val="003B1E99"/>
    <w:rsid w:val="003B1F15"/>
    <w:rsid w:val="003B1F2F"/>
    <w:rsid w:val="003B1F71"/>
    <w:rsid w:val="003B1FA1"/>
    <w:rsid w:val="003B1FE3"/>
    <w:rsid w:val="003B2048"/>
    <w:rsid w:val="003B2069"/>
    <w:rsid w:val="003B20E7"/>
    <w:rsid w:val="003B218E"/>
    <w:rsid w:val="003B21B2"/>
    <w:rsid w:val="003B21D7"/>
    <w:rsid w:val="003B21F7"/>
    <w:rsid w:val="003B222F"/>
    <w:rsid w:val="003B2297"/>
    <w:rsid w:val="003B2318"/>
    <w:rsid w:val="003B23CA"/>
    <w:rsid w:val="003B2406"/>
    <w:rsid w:val="003B24B5"/>
    <w:rsid w:val="003B257F"/>
    <w:rsid w:val="003B2595"/>
    <w:rsid w:val="003B2619"/>
    <w:rsid w:val="003B2665"/>
    <w:rsid w:val="003B2668"/>
    <w:rsid w:val="003B2672"/>
    <w:rsid w:val="003B2737"/>
    <w:rsid w:val="003B2762"/>
    <w:rsid w:val="003B27F2"/>
    <w:rsid w:val="003B2813"/>
    <w:rsid w:val="003B2847"/>
    <w:rsid w:val="003B2858"/>
    <w:rsid w:val="003B2882"/>
    <w:rsid w:val="003B28B7"/>
    <w:rsid w:val="003B28C0"/>
    <w:rsid w:val="003B28CB"/>
    <w:rsid w:val="003B29A8"/>
    <w:rsid w:val="003B2A37"/>
    <w:rsid w:val="003B2A95"/>
    <w:rsid w:val="003B2A9B"/>
    <w:rsid w:val="003B2AA7"/>
    <w:rsid w:val="003B2B5E"/>
    <w:rsid w:val="003B2B7C"/>
    <w:rsid w:val="003B2BFF"/>
    <w:rsid w:val="003B2C0D"/>
    <w:rsid w:val="003B2C40"/>
    <w:rsid w:val="003B2C79"/>
    <w:rsid w:val="003B2C8F"/>
    <w:rsid w:val="003B2C92"/>
    <w:rsid w:val="003B2D1E"/>
    <w:rsid w:val="003B2D91"/>
    <w:rsid w:val="003B2DB4"/>
    <w:rsid w:val="003B2E99"/>
    <w:rsid w:val="003B2F05"/>
    <w:rsid w:val="003B2F52"/>
    <w:rsid w:val="003B2FC1"/>
    <w:rsid w:val="003B2FD6"/>
    <w:rsid w:val="003B3063"/>
    <w:rsid w:val="003B309F"/>
    <w:rsid w:val="003B30E8"/>
    <w:rsid w:val="003B3156"/>
    <w:rsid w:val="003B31DF"/>
    <w:rsid w:val="003B32B8"/>
    <w:rsid w:val="003B3350"/>
    <w:rsid w:val="003B3377"/>
    <w:rsid w:val="003B337F"/>
    <w:rsid w:val="003B3399"/>
    <w:rsid w:val="003B340C"/>
    <w:rsid w:val="003B3410"/>
    <w:rsid w:val="003B3459"/>
    <w:rsid w:val="003B3465"/>
    <w:rsid w:val="003B346C"/>
    <w:rsid w:val="003B34E7"/>
    <w:rsid w:val="003B34FD"/>
    <w:rsid w:val="003B354A"/>
    <w:rsid w:val="003B36E0"/>
    <w:rsid w:val="003B370B"/>
    <w:rsid w:val="003B3712"/>
    <w:rsid w:val="003B3723"/>
    <w:rsid w:val="003B3789"/>
    <w:rsid w:val="003B3904"/>
    <w:rsid w:val="003B39D6"/>
    <w:rsid w:val="003B39E2"/>
    <w:rsid w:val="003B3A2D"/>
    <w:rsid w:val="003B3A3B"/>
    <w:rsid w:val="003B3B21"/>
    <w:rsid w:val="003B3B7A"/>
    <w:rsid w:val="003B3B88"/>
    <w:rsid w:val="003B3BF6"/>
    <w:rsid w:val="003B3DDA"/>
    <w:rsid w:val="003B3E48"/>
    <w:rsid w:val="003B3EA2"/>
    <w:rsid w:val="003B3EE3"/>
    <w:rsid w:val="003B3EE4"/>
    <w:rsid w:val="003B3F83"/>
    <w:rsid w:val="003B3F98"/>
    <w:rsid w:val="003B4038"/>
    <w:rsid w:val="003B4082"/>
    <w:rsid w:val="003B4086"/>
    <w:rsid w:val="003B40BA"/>
    <w:rsid w:val="003B40DC"/>
    <w:rsid w:val="003B4175"/>
    <w:rsid w:val="003B4199"/>
    <w:rsid w:val="003B41D0"/>
    <w:rsid w:val="003B423A"/>
    <w:rsid w:val="003B42AC"/>
    <w:rsid w:val="003B42CF"/>
    <w:rsid w:val="003B4308"/>
    <w:rsid w:val="003B4355"/>
    <w:rsid w:val="003B43BA"/>
    <w:rsid w:val="003B43CB"/>
    <w:rsid w:val="003B43F0"/>
    <w:rsid w:val="003B45EC"/>
    <w:rsid w:val="003B45F7"/>
    <w:rsid w:val="003B45FF"/>
    <w:rsid w:val="003B4605"/>
    <w:rsid w:val="003B4613"/>
    <w:rsid w:val="003B4630"/>
    <w:rsid w:val="003B4694"/>
    <w:rsid w:val="003B46AD"/>
    <w:rsid w:val="003B4719"/>
    <w:rsid w:val="003B4720"/>
    <w:rsid w:val="003B4752"/>
    <w:rsid w:val="003B47D7"/>
    <w:rsid w:val="003B4802"/>
    <w:rsid w:val="003B4806"/>
    <w:rsid w:val="003B483F"/>
    <w:rsid w:val="003B486B"/>
    <w:rsid w:val="003B48CF"/>
    <w:rsid w:val="003B48FE"/>
    <w:rsid w:val="003B495D"/>
    <w:rsid w:val="003B49AF"/>
    <w:rsid w:val="003B4A09"/>
    <w:rsid w:val="003B4A39"/>
    <w:rsid w:val="003B4ACA"/>
    <w:rsid w:val="003B4B82"/>
    <w:rsid w:val="003B4BA0"/>
    <w:rsid w:val="003B4BC1"/>
    <w:rsid w:val="003B4BF5"/>
    <w:rsid w:val="003B4C1E"/>
    <w:rsid w:val="003B4C73"/>
    <w:rsid w:val="003B4C76"/>
    <w:rsid w:val="003B4D84"/>
    <w:rsid w:val="003B4E7C"/>
    <w:rsid w:val="003B4EB9"/>
    <w:rsid w:val="003B4F21"/>
    <w:rsid w:val="003B4F43"/>
    <w:rsid w:val="003B4FD4"/>
    <w:rsid w:val="003B4FFC"/>
    <w:rsid w:val="003B500A"/>
    <w:rsid w:val="003B5063"/>
    <w:rsid w:val="003B508A"/>
    <w:rsid w:val="003B51DB"/>
    <w:rsid w:val="003B51F2"/>
    <w:rsid w:val="003B5280"/>
    <w:rsid w:val="003B52B0"/>
    <w:rsid w:val="003B52D6"/>
    <w:rsid w:val="003B52E3"/>
    <w:rsid w:val="003B5335"/>
    <w:rsid w:val="003B5402"/>
    <w:rsid w:val="003B5424"/>
    <w:rsid w:val="003B542C"/>
    <w:rsid w:val="003B5452"/>
    <w:rsid w:val="003B54E6"/>
    <w:rsid w:val="003B55DE"/>
    <w:rsid w:val="003B569B"/>
    <w:rsid w:val="003B56B6"/>
    <w:rsid w:val="003B56E7"/>
    <w:rsid w:val="003B56ED"/>
    <w:rsid w:val="003B570F"/>
    <w:rsid w:val="003B57DC"/>
    <w:rsid w:val="003B58CE"/>
    <w:rsid w:val="003B5918"/>
    <w:rsid w:val="003B591A"/>
    <w:rsid w:val="003B593F"/>
    <w:rsid w:val="003B5969"/>
    <w:rsid w:val="003B5A43"/>
    <w:rsid w:val="003B5A7D"/>
    <w:rsid w:val="003B5A98"/>
    <w:rsid w:val="003B5AE1"/>
    <w:rsid w:val="003B5AF8"/>
    <w:rsid w:val="003B5B36"/>
    <w:rsid w:val="003B5B7E"/>
    <w:rsid w:val="003B5B85"/>
    <w:rsid w:val="003B5C1E"/>
    <w:rsid w:val="003B5CAF"/>
    <w:rsid w:val="003B5D20"/>
    <w:rsid w:val="003B5D84"/>
    <w:rsid w:val="003B5D9F"/>
    <w:rsid w:val="003B5DF3"/>
    <w:rsid w:val="003B5E00"/>
    <w:rsid w:val="003B5E01"/>
    <w:rsid w:val="003B5EAC"/>
    <w:rsid w:val="003B5EDB"/>
    <w:rsid w:val="003B5F05"/>
    <w:rsid w:val="003B5F44"/>
    <w:rsid w:val="003B5F78"/>
    <w:rsid w:val="003B5F80"/>
    <w:rsid w:val="003B5F99"/>
    <w:rsid w:val="003B5FA8"/>
    <w:rsid w:val="003B5FF3"/>
    <w:rsid w:val="003B603B"/>
    <w:rsid w:val="003B6121"/>
    <w:rsid w:val="003B6148"/>
    <w:rsid w:val="003B6167"/>
    <w:rsid w:val="003B617C"/>
    <w:rsid w:val="003B6180"/>
    <w:rsid w:val="003B6186"/>
    <w:rsid w:val="003B6253"/>
    <w:rsid w:val="003B6260"/>
    <w:rsid w:val="003B62E5"/>
    <w:rsid w:val="003B631C"/>
    <w:rsid w:val="003B6361"/>
    <w:rsid w:val="003B63EE"/>
    <w:rsid w:val="003B63F5"/>
    <w:rsid w:val="003B63FD"/>
    <w:rsid w:val="003B64A3"/>
    <w:rsid w:val="003B64E0"/>
    <w:rsid w:val="003B6531"/>
    <w:rsid w:val="003B6578"/>
    <w:rsid w:val="003B657C"/>
    <w:rsid w:val="003B65AE"/>
    <w:rsid w:val="003B6623"/>
    <w:rsid w:val="003B664B"/>
    <w:rsid w:val="003B671B"/>
    <w:rsid w:val="003B672D"/>
    <w:rsid w:val="003B67BB"/>
    <w:rsid w:val="003B67BF"/>
    <w:rsid w:val="003B67DA"/>
    <w:rsid w:val="003B680E"/>
    <w:rsid w:val="003B6813"/>
    <w:rsid w:val="003B6814"/>
    <w:rsid w:val="003B6895"/>
    <w:rsid w:val="003B68D1"/>
    <w:rsid w:val="003B68DC"/>
    <w:rsid w:val="003B6908"/>
    <w:rsid w:val="003B6A06"/>
    <w:rsid w:val="003B6A56"/>
    <w:rsid w:val="003B6B1A"/>
    <w:rsid w:val="003B6B3B"/>
    <w:rsid w:val="003B6C28"/>
    <w:rsid w:val="003B6C3C"/>
    <w:rsid w:val="003B6CDD"/>
    <w:rsid w:val="003B6CF6"/>
    <w:rsid w:val="003B6D51"/>
    <w:rsid w:val="003B6D71"/>
    <w:rsid w:val="003B6D9A"/>
    <w:rsid w:val="003B6E54"/>
    <w:rsid w:val="003B6EAE"/>
    <w:rsid w:val="003B6F19"/>
    <w:rsid w:val="003B6F46"/>
    <w:rsid w:val="003B6F8C"/>
    <w:rsid w:val="003B6FBF"/>
    <w:rsid w:val="003B7067"/>
    <w:rsid w:val="003B70C2"/>
    <w:rsid w:val="003B7104"/>
    <w:rsid w:val="003B723F"/>
    <w:rsid w:val="003B7294"/>
    <w:rsid w:val="003B72AB"/>
    <w:rsid w:val="003B72C3"/>
    <w:rsid w:val="003B72C4"/>
    <w:rsid w:val="003B72FA"/>
    <w:rsid w:val="003B73C5"/>
    <w:rsid w:val="003B73F2"/>
    <w:rsid w:val="003B7432"/>
    <w:rsid w:val="003B7457"/>
    <w:rsid w:val="003B749F"/>
    <w:rsid w:val="003B74F6"/>
    <w:rsid w:val="003B7535"/>
    <w:rsid w:val="003B756F"/>
    <w:rsid w:val="003B759C"/>
    <w:rsid w:val="003B762A"/>
    <w:rsid w:val="003B76AE"/>
    <w:rsid w:val="003B76BD"/>
    <w:rsid w:val="003B76D8"/>
    <w:rsid w:val="003B76E0"/>
    <w:rsid w:val="003B76EC"/>
    <w:rsid w:val="003B773B"/>
    <w:rsid w:val="003B77F6"/>
    <w:rsid w:val="003B78E3"/>
    <w:rsid w:val="003B792F"/>
    <w:rsid w:val="003B7965"/>
    <w:rsid w:val="003B796A"/>
    <w:rsid w:val="003B7976"/>
    <w:rsid w:val="003B7A09"/>
    <w:rsid w:val="003B7A0C"/>
    <w:rsid w:val="003B7A59"/>
    <w:rsid w:val="003B7A9C"/>
    <w:rsid w:val="003B7AC7"/>
    <w:rsid w:val="003B7AFB"/>
    <w:rsid w:val="003B7B18"/>
    <w:rsid w:val="003B7B42"/>
    <w:rsid w:val="003B7BDD"/>
    <w:rsid w:val="003B7BE9"/>
    <w:rsid w:val="003B7C6C"/>
    <w:rsid w:val="003B7CC4"/>
    <w:rsid w:val="003B7CC5"/>
    <w:rsid w:val="003B7CD5"/>
    <w:rsid w:val="003B7CD8"/>
    <w:rsid w:val="003B7D6C"/>
    <w:rsid w:val="003B7D6F"/>
    <w:rsid w:val="003B7D89"/>
    <w:rsid w:val="003B7DD1"/>
    <w:rsid w:val="003B7E2F"/>
    <w:rsid w:val="003B7E5A"/>
    <w:rsid w:val="003B7EB1"/>
    <w:rsid w:val="003B7F84"/>
    <w:rsid w:val="003B7F9C"/>
    <w:rsid w:val="003B7FAF"/>
    <w:rsid w:val="003C0076"/>
    <w:rsid w:val="003C0122"/>
    <w:rsid w:val="003C0166"/>
    <w:rsid w:val="003C018A"/>
    <w:rsid w:val="003C01AF"/>
    <w:rsid w:val="003C01EC"/>
    <w:rsid w:val="003C0321"/>
    <w:rsid w:val="003C0376"/>
    <w:rsid w:val="003C039F"/>
    <w:rsid w:val="003C0425"/>
    <w:rsid w:val="003C044E"/>
    <w:rsid w:val="003C0468"/>
    <w:rsid w:val="003C04D0"/>
    <w:rsid w:val="003C052B"/>
    <w:rsid w:val="003C0553"/>
    <w:rsid w:val="003C0554"/>
    <w:rsid w:val="003C055B"/>
    <w:rsid w:val="003C0572"/>
    <w:rsid w:val="003C05E0"/>
    <w:rsid w:val="003C06A1"/>
    <w:rsid w:val="003C06A8"/>
    <w:rsid w:val="003C06C0"/>
    <w:rsid w:val="003C06E5"/>
    <w:rsid w:val="003C0705"/>
    <w:rsid w:val="003C072F"/>
    <w:rsid w:val="003C0815"/>
    <w:rsid w:val="003C081C"/>
    <w:rsid w:val="003C089F"/>
    <w:rsid w:val="003C08E2"/>
    <w:rsid w:val="003C08F3"/>
    <w:rsid w:val="003C0904"/>
    <w:rsid w:val="003C091E"/>
    <w:rsid w:val="003C091F"/>
    <w:rsid w:val="003C09FC"/>
    <w:rsid w:val="003C0A0B"/>
    <w:rsid w:val="003C0A35"/>
    <w:rsid w:val="003C0B52"/>
    <w:rsid w:val="003C0C54"/>
    <w:rsid w:val="003C0C59"/>
    <w:rsid w:val="003C0CD6"/>
    <w:rsid w:val="003C0D12"/>
    <w:rsid w:val="003C0D1D"/>
    <w:rsid w:val="003C0DA0"/>
    <w:rsid w:val="003C0DA2"/>
    <w:rsid w:val="003C0DD1"/>
    <w:rsid w:val="003C0DE5"/>
    <w:rsid w:val="003C0E77"/>
    <w:rsid w:val="003C0EAA"/>
    <w:rsid w:val="003C0F05"/>
    <w:rsid w:val="003C0F39"/>
    <w:rsid w:val="003C0FA8"/>
    <w:rsid w:val="003C0FAD"/>
    <w:rsid w:val="003C0FF6"/>
    <w:rsid w:val="003C100F"/>
    <w:rsid w:val="003C10AD"/>
    <w:rsid w:val="003C10D0"/>
    <w:rsid w:val="003C10FD"/>
    <w:rsid w:val="003C114B"/>
    <w:rsid w:val="003C116D"/>
    <w:rsid w:val="003C118B"/>
    <w:rsid w:val="003C11A3"/>
    <w:rsid w:val="003C1203"/>
    <w:rsid w:val="003C1237"/>
    <w:rsid w:val="003C129C"/>
    <w:rsid w:val="003C12B6"/>
    <w:rsid w:val="003C12C9"/>
    <w:rsid w:val="003C133C"/>
    <w:rsid w:val="003C1353"/>
    <w:rsid w:val="003C1366"/>
    <w:rsid w:val="003C144C"/>
    <w:rsid w:val="003C1466"/>
    <w:rsid w:val="003C1532"/>
    <w:rsid w:val="003C1657"/>
    <w:rsid w:val="003C1704"/>
    <w:rsid w:val="003C1741"/>
    <w:rsid w:val="003C176C"/>
    <w:rsid w:val="003C17CB"/>
    <w:rsid w:val="003C17F5"/>
    <w:rsid w:val="003C1974"/>
    <w:rsid w:val="003C199F"/>
    <w:rsid w:val="003C19FB"/>
    <w:rsid w:val="003C19FD"/>
    <w:rsid w:val="003C1A6A"/>
    <w:rsid w:val="003C1AAF"/>
    <w:rsid w:val="003C1ABC"/>
    <w:rsid w:val="003C1B1E"/>
    <w:rsid w:val="003C1B9F"/>
    <w:rsid w:val="003C1BC0"/>
    <w:rsid w:val="003C1C88"/>
    <w:rsid w:val="003C1C9A"/>
    <w:rsid w:val="003C1D14"/>
    <w:rsid w:val="003C1E04"/>
    <w:rsid w:val="003C1E36"/>
    <w:rsid w:val="003C1E7D"/>
    <w:rsid w:val="003C1E8E"/>
    <w:rsid w:val="003C1EB9"/>
    <w:rsid w:val="003C1EC2"/>
    <w:rsid w:val="003C1EEB"/>
    <w:rsid w:val="003C1F0A"/>
    <w:rsid w:val="003C1F16"/>
    <w:rsid w:val="003C1F45"/>
    <w:rsid w:val="003C1FCD"/>
    <w:rsid w:val="003C1FDA"/>
    <w:rsid w:val="003C1FF6"/>
    <w:rsid w:val="003C21AB"/>
    <w:rsid w:val="003C2219"/>
    <w:rsid w:val="003C2315"/>
    <w:rsid w:val="003C2337"/>
    <w:rsid w:val="003C248E"/>
    <w:rsid w:val="003C2525"/>
    <w:rsid w:val="003C259E"/>
    <w:rsid w:val="003C25C4"/>
    <w:rsid w:val="003C2614"/>
    <w:rsid w:val="003C2679"/>
    <w:rsid w:val="003C2697"/>
    <w:rsid w:val="003C26D3"/>
    <w:rsid w:val="003C2705"/>
    <w:rsid w:val="003C2718"/>
    <w:rsid w:val="003C273C"/>
    <w:rsid w:val="003C275D"/>
    <w:rsid w:val="003C27D5"/>
    <w:rsid w:val="003C281C"/>
    <w:rsid w:val="003C2855"/>
    <w:rsid w:val="003C2874"/>
    <w:rsid w:val="003C287F"/>
    <w:rsid w:val="003C28E1"/>
    <w:rsid w:val="003C291E"/>
    <w:rsid w:val="003C29BA"/>
    <w:rsid w:val="003C29BD"/>
    <w:rsid w:val="003C2A03"/>
    <w:rsid w:val="003C2A23"/>
    <w:rsid w:val="003C2A7A"/>
    <w:rsid w:val="003C2A8D"/>
    <w:rsid w:val="003C2B32"/>
    <w:rsid w:val="003C2B53"/>
    <w:rsid w:val="003C2BC3"/>
    <w:rsid w:val="003C2BFC"/>
    <w:rsid w:val="003C2C74"/>
    <w:rsid w:val="003C2C8D"/>
    <w:rsid w:val="003C2CA4"/>
    <w:rsid w:val="003C2D11"/>
    <w:rsid w:val="003C2D36"/>
    <w:rsid w:val="003C2D68"/>
    <w:rsid w:val="003C2D92"/>
    <w:rsid w:val="003C2DBF"/>
    <w:rsid w:val="003C2DCB"/>
    <w:rsid w:val="003C2DED"/>
    <w:rsid w:val="003C2E79"/>
    <w:rsid w:val="003C2E94"/>
    <w:rsid w:val="003C2F23"/>
    <w:rsid w:val="003C2F6E"/>
    <w:rsid w:val="003C2FFF"/>
    <w:rsid w:val="003C301E"/>
    <w:rsid w:val="003C3042"/>
    <w:rsid w:val="003C30A1"/>
    <w:rsid w:val="003C30DF"/>
    <w:rsid w:val="003C310A"/>
    <w:rsid w:val="003C3205"/>
    <w:rsid w:val="003C3244"/>
    <w:rsid w:val="003C329C"/>
    <w:rsid w:val="003C332A"/>
    <w:rsid w:val="003C333C"/>
    <w:rsid w:val="003C334E"/>
    <w:rsid w:val="003C3389"/>
    <w:rsid w:val="003C33B2"/>
    <w:rsid w:val="003C343F"/>
    <w:rsid w:val="003C3463"/>
    <w:rsid w:val="003C346E"/>
    <w:rsid w:val="003C350F"/>
    <w:rsid w:val="003C3564"/>
    <w:rsid w:val="003C3674"/>
    <w:rsid w:val="003C3749"/>
    <w:rsid w:val="003C375D"/>
    <w:rsid w:val="003C386F"/>
    <w:rsid w:val="003C38B7"/>
    <w:rsid w:val="003C38DA"/>
    <w:rsid w:val="003C3913"/>
    <w:rsid w:val="003C3941"/>
    <w:rsid w:val="003C395C"/>
    <w:rsid w:val="003C399F"/>
    <w:rsid w:val="003C39D1"/>
    <w:rsid w:val="003C3A15"/>
    <w:rsid w:val="003C3A47"/>
    <w:rsid w:val="003C3A69"/>
    <w:rsid w:val="003C3A7C"/>
    <w:rsid w:val="003C3AD5"/>
    <w:rsid w:val="003C3B26"/>
    <w:rsid w:val="003C3B50"/>
    <w:rsid w:val="003C3B94"/>
    <w:rsid w:val="003C3BAB"/>
    <w:rsid w:val="003C3BD7"/>
    <w:rsid w:val="003C3C50"/>
    <w:rsid w:val="003C3D5C"/>
    <w:rsid w:val="003C3D89"/>
    <w:rsid w:val="003C3E0B"/>
    <w:rsid w:val="003C3E19"/>
    <w:rsid w:val="003C3FBD"/>
    <w:rsid w:val="003C3FD7"/>
    <w:rsid w:val="003C4017"/>
    <w:rsid w:val="003C4042"/>
    <w:rsid w:val="003C4071"/>
    <w:rsid w:val="003C408C"/>
    <w:rsid w:val="003C409D"/>
    <w:rsid w:val="003C410F"/>
    <w:rsid w:val="003C415B"/>
    <w:rsid w:val="003C422B"/>
    <w:rsid w:val="003C430D"/>
    <w:rsid w:val="003C435E"/>
    <w:rsid w:val="003C4391"/>
    <w:rsid w:val="003C440D"/>
    <w:rsid w:val="003C442A"/>
    <w:rsid w:val="003C4469"/>
    <w:rsid w:val="003C44A7"/>
    <w:rsid w:val="003C44FF"/>
    <w:rsid w:val="003C4541"/>
    <w:rsid w:val="003C457B"/>
    <w:rsid w:val="003C45A2"/>
    <w:rsid w:val="003C45AE"/>
    <w:rsid w:val="003C45CB"/>
    <w:rsid w:val="003C4619"/>
    <w:rsid w:val="003C4653"/>
    <w:rsid w:val="003C4688"/>
    <w:rsid w:val="003C46FE"/>
    <w:rsid w:val="003C47A3"/>
    <w:rsid w:val="003C47AB"/>
    <w:rsid w:val="003C47E1"/>
    <w:rsid w:val="003C4880"/>
    <w:rsid w:val="003C48F3"/>
    <w:rsid w:val="003C4937"/>
    <w:rsid w:val="003C494D"/>
    <w:rsid w:val="003C49CE"/>
    <w:rsid w:val="003C4A0B"/>
    <w:rsid w:val="003C4A45"/>
    <w:rsid w:val="003C4AB6"/>
    <w:rsid w:val="003C4AE1"/>
    <w:rsid w:val="003C4AED"/>
    <w:rsid w:val="003C4AF6"/>
    <w:rsid w:val="003C4B29"/>
    <w:rsid w:val="003C4B34"/>
    <w:rsid w:val="003C4B56"/>
    <w:rsid w:val="003C4B66"/>
    <w:rsid w:val="003C4B71"/>
    <w:rsid w:val="003C4BBA"/>
    <w:rsid w:val="003C4C62"/>
    <w:rsid w:val="003C4C6E"/>
    <w:rsid w:val="003C4CB0"/>
    <w:rsid w:val="003C4D1A"/>
    <w:rsid w:val="003C4D6E"/>
    <w:rsid w:val="003C4E30"/>
    <w:rsid w:val="003C4E77"/>
    <w:rsid w:val="003C4EBE"/>
    <w:rsid w:val="003C4F19"/>
    <w:rsid w:val="003C4F30"/>
    <w:rsid w:val="003C4F63"/>
    <w:rsid w:val="003C4F91"/>
    <w:rsid w:val="003C4FA5"/>
    <w:rsid w:val="003C4FAD"/>
    <w:rsid w:val="003C4FF8"/>
    <w:rsid w:val="003C5078"/>
    <w:rsid w:val="003C508E"/>
    <w:rsid w:val="003C50B1"/>
    <w:rsid w:val="003C50E8"/>
    <w:rsid w:val="003C5100"/>
    <w:rsid w:val="003C5107"/>
    <w:rsid w:val="003C5159"/>
    <w:rsid w:val="003C51D7"/>
    <w:rsid w:val="003C526A"/>
    <w:rsid w:val="003C52EF"/>
    <w:rsid w:val="003C534C"/>
    <w:rsid w:val="003C53C7"/>
    <w:rsid w:val="003C5407"/>
    <w:rsid w:val="003C546E"/>
    <w:rsid w:val="003C54B5"/>
    <w:rsid w:val="003C5516"/>
    <w:rsid w:val="003C5552"/>
    <w:rsid w:val="003C55AA"/>
    <w:rsid w:val="003C55B8"/>
    <w:rsid w:val="003C5618"/>
    <w:rsid w:val="003C568C"/>
    <w:rsid w:val="003C5706"/>
    <w:rsid w:val="003C57D8"/>
    <w:rsid w:val="003C583B"/>
    <w:rsid w:val="003C5849"/>
    <w:rsid w:val="003C5897"/>
    <w:rsid w:val="003C58FD"/>
    <w:rsid w:val="003C5953"/>
    <w:rsid w:val="003C5995"/>
    <w:rsid w:val="003C5A90"/>
    <w:rsid w:val="003C5AFE"/>
    <w:rsid w:val="003C5B39"/>
    <w:rsid w:val="003C5B3D"/>
    <w:rsid w:val="003C5B5A"/>
    <w:rsid w:val="003C5B73"/>
    <w:rsid w:val="003C5BAC"/>
    <w:rsid w:val="003C5C5E"/>
    <w:rsid w:val="003C5C72"/>
    <w:rsid w:val="003C5C97"/>
    <w:rsid w:val="003C5CD0"/>
    <w:rsid w:val="003C5CE8"/>
    <w:rsid w:val="003C5D3C"/>
    <w:rsid w:val="003C5D9C"/>
    <w:rsid w:val="003C5DE4"/>
    <w:rsid w:val="003C5EEC"/>
    <w:rsid w:val="003C5F0A"/>
    <w:rsid w:val="003C5F8B"/>
    <w:rsid w:val="003C5FA8"/>
    <w:rsid w:val="003C5FC5"/>
    <w:rsid w:val="003C5FD8"/>
    <w:rsid w:val="003C6052"/>
    <w:rsid w:val="003C60BC"/>
    <w:rsid w:val="003C61DD"/>
    <w:rsid w:val="003C62CD"/>
    <w:rsid w:val="003C6348"/>
    <w:rsid w:val="003C63F0"/>
    <w:rsid w:val="003C6487"/>
    <w:rsid w:val="003C64F4"/>
    <w:rsid w:val="003C658C"/>
    <w:rsid w:val="003C66EC"/>
    <w:rsid w:val="003C679C"/>
    <w:rsid w:val="003C67D6"/>
    <w:rsid w:val="003C6812"/>
    <w:rsid w:val="003C684E"/>
    <w:rsid w:val="003C691B"/>
    <w:rsid w:val="003C6949"/>
    <w:rsid w:val="003C6990"/>
    <w:rsid w:val="003C6AA0"/>
    <w:rsid w:val="003C6AB8"/>
    <w:rsid w:val="003C6AE3"/>
    <w:rsid w:val="003C6B02"/>
    <w:rsid w:val="003C6B71"/>
    <w:rsid w:val="003C6B97"/>
    <w:rsid w:val="003C6C06"/>
    <w:rsid w:val="003C6C17"/>
    <w:rsid w:val="003C6C94"/>
    <w:rsid w:val="003C6CCC"/>
    <w:rsid w:val="003C6CDA"/>
    <w:rsid w:val="003C6D05"/>
    <w:rsid w:val="003C6D63"/>
    <w:rsid w:val="003C6D7C"/>
    <w:rsid w:val="003C6D8C"/>
    <w:rsid w:val="003C6E77"/>
    <w:rsid w:val="003C6E79"/>
    <w:rsid w:val="003C6E95"/>
    <w:rsid w:val="003C6EEF"/>
    <w:rsid w:val="003C6F50"/>
    <w:rsid w:val="003C6F70"/>
    <w:rsid w:val="003C6FB6"/>
    <w:rsid w:val="003C7000"/>
    <w:rsid w:val="003C7042"/>
    <w:rsid w:val="003C706E"/>
    <w:rsid w:val="003C70F0"/>
    <w:rsid w:val="003C7119"/>
    <w:rsid w:val="003C7145"/>
    <w:rsid w:val="003C7173"/>
    <w:rsid w:val="003C71A5"/>
    <w:rsid w:val="003C726B"/>
    <w:rsid w:val="003C729A"/>
    <w:rsid w:val="003C72B3"/>
    <w:rsid w:val="003C72FE"/>
    <w:rsid w:val="003C7332"/>
    <w:rsid w:val="003C740D"/>
    <w:rsid w:val="003C7514"/>
    <w:rsid w:val="003C7548"/>
    <w:rsid w:val="003C7566"/>
    <w:rsid w:val="003C7602"/>
    <w:rsid w:val="003C7633"/>
    <w:rsid w:val="003C773C"/>
    <w:rsid w:val="003C77B8"/>
    <w:rsid w:val="003C77C2"/>
    <w:rsid w:val="003C784A"/>
    <w:rsid w:val="003C786D"/>
    <w:rsid w:val="003C78E6"/>
    <w:rsid w:val="003C7990"/>
    <w:rsid w:val="003C7A5B"/>
    <w:rsid w:val="003C7A8D"/>
    <w:rsid w:val="003C7A96"/>
    <w:rsid w:val="003C7ABA"/>
    <w:rsid w:val="003C7AF1"/>
    <w:rsid w:val="003C7B36"/>
    <w:rsid w:val="003C7B4C"/>
    <w:rsid w:val="003C7BAF"/>
    <w:rsid w:val="003C7BFF"/>
    <w:rsid w:val="003C7C5E"/>
    <w:rsid w:val="003C7CCC"/>
    <w:rsid w:val="003C7CFE"/>
    <w:rsid w:val="003C7D11"/>
    <w:rsid w:val="003C7D49"/>
    <w:rsid w:val="003C7D9E"/>
    <w:rsid w:val="003C7DBC"/>
    <w:rsid w:val="003C7DE5"/>
    <w:rsid w:val="003C7DE9"/>
    <w:rsid w:val="003C7E5C"/>
    <w:rsid w:val="003C7E9E"/>
    <w:rsid w:val="003C7EB4"/>
    <w:rsid w:val="003C7F81"/>
    <w:rsid w:val="003D014D"/>
    <w:rsid w:val="003D018A"/>
    <w:rsid w:val="003D019A"/>
    <w:rsid w:val="003D01C2"/>
    <w:rsid w:val="003D02D5"/>
    <w:rsid w:val="003D0321"/>
    <w:rsid w:val="003D0440"/>
    <w:rsid w:val="003D0451"/>
    <w:rsid w:val="003D049F"/>
    <w:rsid w:val="003D04DE"/>
    <w:rsid w:val="003D04ED"/>
    <w:rsid w:val="003D050B"/>
    <w:rsid w:val="003D05A4"/>
    <w:rsid w:val="003D067F"/>
    <w:rsid w:val="003D06C6"/>
    <w:rsid w:val="003D06F0"/>
    <w:rsid w:val="003D06F4"/>
    <w:rsid w:val="003D0726"/>
    <w:rsid w:val="003D0819"/>
    <w:rsid w:val="003D08B7"/>
    <w:rsid w:val="003D08F6"/>
    <w:rsid w:val="003D0928"/>
    <w:rsid w:val="003D095B"/>
    <w:rsid w:val="003D0970"/>
    <w:rsid w:val="003D097E"/>
    <w:rsid w:val="003D09A7"/>
    <w:rsid w:val="003D09D3"/>
    <w:rsid w:val="003D09E4"/>
    <w:rsid w:val="003D09F2"/>
    <w:rsid w:val="003D0A27"/>
    <w:rsid w:val="003D0B6D"/>
    <w:rsid w:val="003D0C3D"/>
    <w:rsid w:val="003D0C9A"/>
    <w:rsid w:val="003D0CC5"/>
    <w:rsid w:val="003D0D4F"/>
    <w:rsid w:val="003D0DD8"/>
    <w:rsid w:val="003D0E66"/>
    <w:rsid w:val="003D0E72"/>
    <w:rsid w:val="003D0EF5"/>
    <w:rsid w:val="003D0F29"/>
    <w:rsid w:val="003D0FE1"/>
    <w:rsid w:val="003D10C7"/>
    <w:rsid w:val="003D10ED"/>
    <w:rsid w:val="003D118F"/>
    <w:rsid w:val="003D11F7"/>
    <w:rsid w:val="003D11FE"/>
    <w:rsid w:val="003D1246"/>
    <w:rsid w:val="003D1257"/>
    <w:rsid w:val="003D1271"/>
    <w:rsid w:val="003D127D"/>
    <w:rsid w:val="003D1323"/>
    <w:rsid w:val="003D13B4"/>
    <w:rsid w:val="003D13E3"/>
    <w:rsid w:val="003D1470"/>
    <w:rsid w:val="003D14CD"/>
    <w:rsid w:val="003D1504"/>
    <w:rsid w:val="003D1505"/>
    <w:rsid w:val="003D1517"/>
    <w:rsid w:val="003D1529"/>
    <w:rsid w:val="003D152C"/>
    <w:rsid w:val="003D1549"/>
    <w:rsid w:val="003D155C"/>
    <w:rsid w:val="003D15A8"/>
    <w:rsid w:val="003D16F6"/>
    <w:rsid w:val="003D170A"/>
    <w:rsid w:val="003D176D"/>
    <w:rsid w:val="003D1774"/>
    <w:rsid w:val="003D1830"/>
    <w:rsid w:val="003D189C"/>
    <w:rsid w:val="003D1936"/>
    <w:rsid w:val="003D19B7"/>
    <w:rsid w:val="003D1A66"/>
    <w:rsid w:val="003D1A9F"/>
    <w:rsid w:val="003D1B17"/>
    <w:rsid w:val="003D1BBC"/>
    <w:rsid w:val="003D1C48"/>
    <w:rsid w:val="003D1C69"/>
    <w:rsid w:val="003D1C6B"/>
    <w:rsid w:val="003D1CC1"/>
    <w:rsid w:val="003D1D4E"/>
    <w:rsid w:val="003D1D62"/>
    <w:rsid w:val="003D1DD3"/>
    <w:rsid w:val="003D1DE9"/>
    <w:rsid w:val="003D1DEE"/>
    <w:rsid w:val="003D1E4A"/>
    <w:rsid w:val="003D1F87"/>
    <w:rsid w:val="003D1F89"/>
    <w:rsid w:val="003D1F98"/>
    <w:rsid w:val="003D1FD5"/>
    <w:rsid w:val="003D1FE6"/>
    <w:rsid w:val="003D202F"/>
    <w:rsid w:val="003D203C"/>
    <w:rsid w:val="003D2043"/>
    <w:rsid w:val="003D206F"/>
    <w:rsid w:val="003D2117"/>
    <w:rsid w:val="003D2119"/>
    <w:rsid w:val="003D216D"/>
    <w:rsid w:val="003D2172"/>
    <w:rsid w:val="003D21D5"/>
    <w:rsid w:val="003D22B7"/>
    <w:rsid w:val="003D232E"/>
    <w:rsid w:val="003D2346"/>
    <w:rsid w:val="003D2432"/>
    <w:rsid w:val="003D2475"/>
    <w:rsid w:val="003D2572"/>
    <w:rsid w:val="003D2576"/>
    <w:rsid w:val="003D2641"/>
    <w:rsid w:val="003D2661"/>
    <w:rsid w:val="003D2663"/>
    <w:rsid w:val="003D275A"/>
    <w:rsid w:val="003D278C"/>
    <w:rsid w:val="003D279E"/>
    <w:rsid w:val="003D27B4"/>
    <w:rsid w:val="003D27C7"/>
    <w:rsid w:val="003D286D"/>
    <w:rsid w:val="003D2907"/>
    <w:rsid w:val="003D2972"/>
    <w:rsid w:val="003D2978"/>
    <w:rsid w:val="003D29C4"/>
    <w:rsid w:val="003D2A9F"/>
    <w:rsid w:val="003D2C17"/>
    <w:rsid w:val="003D2C64"/>
    <w:rsid w:val="003D2C6F"/>
    <w:rsid w:val="003D2D43"/>
    <w:rsid w:val="003D2D77"/>
    <w:rsid w:val="003D2DAC"/>
    <w:rsid w:val="003D2DD7"/>
    <w:rsid w:val="003D2DEB"/>
    <w:rsid w:val="003D2DF4"/>
    <w:rsid w:val="003D2E2B"/>
    <w:rsid w:val="003D2E31"/>
    <w:rsid w:val="003D2E74"/>
    <w:rsid w:val="003D2EBB"/>
    <w:rsid w:val="003D2F13"/>
    <w:rsid w:val="003D2F3D"/>
    <w:rsid w:val="003D3072"/>
    <w:rsid w:val="003D30A5"/>
    <w:rsid w:val="003D314E"/>
    <w:rsid w:val="003D3196"/>
    <w:rsid w:val="003D3197"/>
    <w:rsid w:val="003D3211"/>
    <w:rsid w:val="003D3255"/>
    <w:rsid w:val="003D32AA"/>
    <w:rsid w:val="003D32B3"/>
    <w:rsid w:val="003D32B7"/>
    <w:rsid w:val="003D32E0"/>
    <w:rsid w:val="003D3369"/>
    <w:rsid w:val="003D33A9"/>
    <w:rsid w:val="003D33F5"/>
    <w:rsid w:val="003D3450"/>
    <w:rsid w:val="003D346C"/>
    <w:rsid w:val="003D3479"/>
    <w:rsid w:val="003D34B7"/>
    <w:rsid w:val="003D34EA"/>
    <w:rsid w:val="003D3523"/>
    <w:rsid w:val="003D3593"/>
    <w:rsid w:val="003D35B5"/>
    <w:rsid w:val="003D35EC"/>
    <w:rsid w:val="003D3607"/>
    <w:rsid w:val="003D3849"/>
    <w:rsid w:val="003D384C"/>
    <w:rsid w:val="003D384D"/>
    <w:rsid w:val="003D385D"/>
    <w:rsid w:val="003D39DE"/>
    <w:rsid w:val="003D39EF"/>
    <w:rsid w:val="003D3AB5"/>
    <w:rsid w:val="003D3AFF"/>
    <w:rsid w:val="003D3B1D"/>
    <w:rsid w:val="003D3B54"/>
    <w:rsid w:val="003D3B76"/>
    <w:rsid w:val="003D3B7F"/>
    <w:rsid w:val="003D3C09"/>
    <w:rsid w:val="003D3C28"/>
    <w:rsid w:val="003D3C5D"/>
    <w:rsid w:val="003D3D58"/>
    <w:rsid w:val="003D3E1C"/>
    <w:rsid w:val="003D3E29"/>
    <w:rsid w:val="003D3F05"/>
    <w:rsid w:val="003D3F06"/>
    <w:rsid w:val="003D3F37"/>
    <w:rsid w:val="003D3F97"/>
    <w:rsid w:val="003D3FE9"/>
    <w:rsid w:val="003D4009"/>
    <w:rsid w:val="003D40B4"/>
    <w:rsid w:val="003D40B7"/>
    <w:rsid w:val="003D40F1"/>
    <w:rsid w:val="003D4120"/>
    <w:rsid w:val="003D4123"/>
    <w:rsid w:val="003D4133"/>
    <w:rsid w:val="003D4144"/>
    <w:rsid w:val="003D4161"/>
    <w:rsid w:val="003D41E5"/>
    <w:rsid w:val="003D429E"/>
    <w:rsid w:val="003D42B0"/>
    <w:rsid w:val="003D43BF"/>
    <w:rsid w:val="003D448A"/>
    <w:rsid w:val="003D4585"/>
    <w:rsid w:val="003D4644"/>
    <w:rsid w:val="003D471F"/>
    <w:rsid w:val="003D476C"/>
    <w:rsid w:val="003D4782"/>
    <w:rsid w:val="003D478F"/>
    <w:rsid w:val="003D47C5"/>
    <w:rsid w:val="003D4801"/>
    <w:rsid w:val="003D48A9"/>
    <w:rsid w:val="003D48AC"/>
    <w:rsid w:val="003D4B1D"/>
    <w:rsid w:val="003D4C09"/>
    <w:rsid w:val="003D4C37"/>
    <w:rsid w:val="003D4C49"/>
    <w:rsid w:val="003D4C53"/>
    <w:rsid w:val="003D4C54"/>
    <w:rsid w:val="003D4C84"/>
    <w:rsid w:val="003D4C86"/>
    <w:rsid w:val="003D4C8F"/>
    <w:rsid w:val="003D4CB0"/>
    <w:rsid w:val="003D4CDC"/>
    <w:rsid w:val="003D4D23"/>
    <w:rsid w:val="003D4E98"/>
    <w:rsid w:val="003D4E99"/>
    <w:rsid w:val="003D4EEB"/>
    <w:rsid w:val="003D4F01"/>
    <w:rsid w:val="003D4F13"/>
    <w:rsid w:val="003D4F26"/>
    <w:rsid w:val="003D4F2C"/>
    <w:rsid w:val="003D4F58"/>
    <w:rsid w:val="003D4F6C"/>
    <w:rsid w:val="003D500C"/>
    <w:rsid w:val="003D502C"/>
    <w:rsid w:val="003D50F2"/>
    <w:rsid w:val="003D5218"/>
    <w:rsid w:val="003D522B"/>
    <w:rsid w:val="003D5328"/>
    <w:rsid w:val="003D533E"/>
    <w:rsid w:val="003D5385"/>
    <w:rsid w:val="003D53A6"/>
    <w:rsid w:val="003D53D3"/>
    <w:rsid w:val="003D53DD"/>
    <w:rsid w:val="003D5473"/>
    <w:rsid w:val="003D54BE"/>
    <w:rsid w:val="003D5507"/>
    <w:rsid w:val="003D5562"/>
    <w:rsid w:val="003D55A3"/>
    <w:rsid w:val="003D5620"/>
    <w:rsid w:val="003D5648"/>
    <w:rsid w:val="003D5703"/>
    <w:rsid w:val="003D5795"/>
    <w:rsid w:val="003D581C"/>
    <w:rsid w:val="003D5820"/>
    <w:rsid w:val="003D5841"/>
    <w:rsid w:val="003D58A5"/>
    <w:rsid w:val="003D58AC"/>
    <w:rsid w:val="003D5917"/>
    <w:rsid w:val="003D593C"/>
    <w:rsid w:val="003D5946"/>
    <w:rsid w:val="003D596E"/>
    <w:rsid w:val="003D59B1"/>
    <w:rsid w:val="003D59D8"/>
    <w:rsid w:val="003D5A31"/>
    <w:rsid w:val="003D5A81"/>
    <w:rsid w:val="003D5AD8"/>
    <w:rsid w:val="003D5C19"/>
    <w:rsid w:val="003D5C36"/>
    <w:rsid w:val="003D5CBA"/>
    <w:rsid w:val="003D5CBD"/>
    <w:rsid w:val="003D5CF9"/>
    <w:rsid w:val="003D5D5C"/>
    <w:rsid w:val="003D5D5D"/>
    <w:rsid w:val="003D5D69"/>
    <w:rsid w:val="003D5D85"/>
    <w:rsid w:val="003D5E11"/>
    <w:rsid w:val="003D5ED1"/>
    <w:rsid w:val="003D5EF1"/>
    <w:rsid w:val="003D613F"/>
    <w:rsid w:val="003D6187"/>
    <w:rsid w:val="003D61C7"/>
    <w:rsid w:val="003D627A"/>
    <w:rsid w:val="003D62C7"/>
    <w:rsid w:val="003D62CF"/>
    <w:rsid w:val="003D63AE"/>
    <w:rsid w:val="003D6487"/>
    <w:rsid w:val="003D649D"/>
    <w:rsid w:val="003D6528"/>
    <w:rsid w:val="003D652C"/>
    <w:rsid w:val="003D65E9"/>
    <w:rsid w:val="003D662D"/>
    <w:rsid w:val="003D663D"/>
    <w:rsid w:val="003D6642"/>
    <w:rsid w:val="003D66FA"/>
    <w:rsid w:val="003D6794"/>
    <w:rsid w:val="003D67EA"/>
    <w:rsid w:val="003D6801"/>
    <w:rsid w:val="003D684C"/>
    <w:rsid w:val="003D6885"/>
    <w:rsid w:val="003D6983"/>
    <w:rsid w:val="003D6A20"/>
    <w:rsid w:val="003D6B3A"/>
    <w:rsid w:val="003D6BE2"/>
    <w:rsid w:val="003D6CA7"/>
    <w:rsid w:val="003D6CB3"/>
    <w:rsid w:val="003D6CEE"/>
    <w:rsid w:val="003D6D18"/>
    <w:rsid w:val="003D6D5A"/>
    <w:rsid w:val="003D6DFC"/>
    <w:rsid w:val="003D6E52"/>
    <w:rsid w:val="003D6EA5"/>
    <w:rsid w:val="003D6FA7"/>
    <w:rsid w:val="003D6FD7"/>
    <w:rsid w:val="003D6FDC"/>
    <w:rsid w:val="003D7066"/>
    <w:rsid w:val="003D7084"/>
    <w:rsid w:val="003D70BD"/>
    <w:rsid w:val="003D7158"/>
    <w:rsid w:val="003D715D"/>
    <w:rsid w:val="003D7193"/>
    <w:rsid w:val="003D71DC"/>
    <w:rsid w:val="003D7258"/>
    <w:rsid w:val="003D725E"/>
    <w:rsid w:val="003D7289"/>
    <w:rsid w:val="003D72CD"/>
    <w:rsid w:val="003D72D9"/>
    <w:rsid w:val="003D7326"/>
    <w:rsid w:val="003D7351"/>
    <w:rsid w:val="003D7386"/>
    <w:rsid w:val="003D7539"/>
    <w:rsid w:val="003D756B"/>
    <w:rsid w:val="003D7577"/>
    <w:rsid w:val="003D75A3"/>
    <w:rsid w:val="003D7669"/>
    <w:rsid w:val="003D76B1"/>
    <w:rsid w:val="003D76E1"/>
    <w:rsid w:val="003D76E5"/>
    <w:rsid w:val="003D7705"/>
    <w:rsid w:val="003D7770"/>
    <w:rsid w:val="003D7799"/>
    <w:rsid w:val="003D7858"/>
    <w:rsid w:val="003D7897"/>
    <w:rsid w:val="003D78D0"/>
    <w:rsid w:val="003D78D9"/>
    <w:rsid w:val="003D78F1"/>
    <w:rsid w:val="003D794C"/>
    <w:rsid w:val="003D79CA"/>
    <w:rsid w:val="003D7B5F"/>
    <w:rsid w:val="003D7B9A"/>
    <w:rsid w:val="003D7BF1"/>
    <w:rsid w:val="003D7C6F"/>
    <w:rsid w:val="003D7CD0"/>
    <w:rsid w:val="003D7CD2"/>
    <w:rsid w:val="003D7CE3"/>
    <w:rsid w:val="003D7D12"/>
    <w:rsid w:val="003D7D31"/>
    <w:rsid w:val="003D7EAB"/>
    <w:rsid w:val="003D7EDE"/>
    <w:rsid w:val="003D7F01"/>
    <w:rsid w:val="003D7F2D"/>
    <w:rsid w:val="003D7F7B"/>
    <w:rsid w:val="003DC78F"/>
    <w:rsid w:val="003E0019"/>
    <w:rsid w:val="003E0091"/>
    <w:rsid w:val="003E014A"/>
    <w:rsid w:val="003E0181"/>
    <w:rsid w:val="003E01A9"/>
    <w:rsid w:val="003E01BC"/>
    <w:rsid w:val="003E01C6"/>
    <w:rsid w:val="003E01D7"/>
    <w:rsid w:val="003E020F"/>
    <w:rsid w:val="003E0214"/>
    <w:rsid w:val="003E0216"/>
    <w:rsid w:val="003E0243"/>
    <w:rsid w:val="003E027E"/>
    <w:rsid w:val="003E0293"/>
    <w:rsid w:val="003E02B4"/>
    <w:rsid w:val="003E02C9"/>
    <w:rsid w:val="003E0305"/>
    <w:rsid w:val="003E030C"/>
    <w:rsid w:val="003E031A"/>
    <w:rsid w:val="003E034C"/>
    <w:rsid w:val="003E03A5"/>
    <w:rsid w:val="003E042D"/>
    <w:rsid w:val="003E047B"/>
    <w:rsid w:val="003E04A1"/>
    <w:rsid w:val="003E0547"/>
    <w:rsid w:val="003E0550"/>
    <w:rsid w:val="003E0608"/>
    <w:rsid w:val="003E0612"/>
    <w:rsid w:val="003E06F6"/>
    <w:rsid w:val="003E0728"/>
    <w:rsid w:val="003E079F"/>
    <w:rsid w:val="003E07CE"/>
    <w:rsid w:val="003E07F2"/>
    <w:rsid w:val="003E0896"/>
    <w:rsid w:val="003E091E"/>
    <w:rsid w:val="003E093A"/>
    <w:rsid w:val="003E09E0"/>
    <w:rsid w:val="003E0A0C"/>
    <w:rsid w:val="003E0A2B"/>
    <w:rsid w:val="003E0A8B"/>
    <w:rsid w:val="003E0A97"/>
    <w:rsid w:val="003E0AA4"/>
    <w:rsid w:val="003E0B39"/>
    <w:rsid w:val="003E0B7A"/>
    <w:rsid w:val="003E0BFD"/>
    <w:rsid w:val="003E0C02"/>
    <w:rsid w:val="003E0CDB"/>
    <w:rsid w:val="003E0CF9"/>
    <w:rsid w:val="003E0D5B"/>
    <w:rsid w:val="003E0DDF"/>
    <w:rsid w:val="003E0EAA"/>
    <w:rsid w:val="003E0ECD"/>
    <w:rsid w:val="003E0ED9"/>
    <w:rsid w:val="003E0F08"/>
    <w:rsid w:val="003E0F54"/>
    <w:rsid w:val="003E0F74"/>
    <w:rsid w:val="003E0FF4"/>
    <w:rsid w:val="003E1031"/>
    <w:rsid w:val="003E1052"/>
    <w:rsid w:val="003E105E"/>
    <w:rsid w:val="003E10FB"/>
    <w:rsid w:val="003E1103"/>
    <w:rsid w:val="003E111A"/>
    <w:rsid w:val="003E1165"/>
    <w:rsid w:val="003E11B4"/>
    <w:rsid w:val="003E11D9"/>
    <w:rsid w:val="003E1320"/>
    <w:rsid w:val="003E1433"/>
    <w:rsid w:val="003E1444"/>
    <w:rsid w:val="003E1472"/>
    <w:rsid w:val="003E14C5"/>
    <w:rsid w:val="003E14CE"/>
    <w:rsid w:val="003E14EB"/>
    <w:rsid w:val="003E1514"/>
    <w:rsid w:val="003E1633"/>
    <w:rsid w:val="003E1713"/>
    <w:rsid w:val="003E1740"/>
    <w:rsid w:val="003E17A5"/>
    <w:rsid w:val="003E17B2"/>
    <w:rsid w:val="003E183B"/>
    <w:rsid w:val="003E1861"/>
    <w:rsid w:val="003E187A"/>
    <w:rsid w:val="003E18BA"/>
    <w:rsid w:val="003E18E3"/>
    <w:rsid w:val="003E1922"/>
    <w:rsid w:val="003E19B4"/>
    <w:rsid w:val="003E19C7"/>
    <w:rsid w:val="003E19D0"/>
    <w:rsid w:val="003E1A16"/>
    <w:rsid w:val="003E1A25"/>
    <w:rsid w:val="003E1ABB"/>
    <w:rsid w:val="003E1B09"/>
    <w:rsid w:val="003E1BBB"/>
    <w:rsid w:val="003E1BF9"/>
    <w:rsid w:val="003E1C71"/>
    <w:rsid w:val="003E1CF5"/>
    <w:rsid w:val="003E1D52"/>
    <w:rsid w:val="003E1D63"/>
    <w:rsid w:val="003E1DFF"/>
    <w:rsid w:val="003E1E4C"/>
    <w:rsid w:val="003E1EBB"/>
    <w:rsid w:val="003E1F35"/>
    <w:rsid w:val="003E1FC7"/>
    <w:rsid w:val="003E20AA"/>
    <w:rsid w:val="003E20F1"/>
    <w:rsid w:val="003E213C"/>
    <w:rsid w:val="003E21C1"/>
    <w:rsid w:val="003E222C"/>
    <w:rsid w:val="003E2324"/>
    <w:rsid w:val="003E2362"/>
    <w:rsid w:val="003E236B"/>
    <w:rsid w:val="003E2406"/>
    <w:rsid w:val="003E2514"/>
    <w:rsid w:val="003E255D"/>
    <w:rsid w:val="003E25C4"/>
    <w:rsid w:val="003E2611"/>
    <w:rsid w:val="003E2630"/>
    <w:rsid w:val="003E2687"/>
    <w:rsid w:val="003E270B"/>
    <w:rsid w:val="003E2740"/>
    <w:rsid w:val="003E2742"/>
    <w:rsid w:val="003E276E"/>
    <w:rsid w:val="003E277B"/>
    <w:rsid w:val="003E27B2"/>
    <w:rsid w:val="003E2879"/>
    <w:rsid w:val="003E293B"/>
    <w:rsid w:val="003E29B3"/>
    <w:rsid w:val="003E29F9"/>
    <w:rsid w:val="003E2A66"/>
    <w:rsid w:val="003E2A67"/>
    <w:rsid w:val="003E2AD5"/>
    <w:rsid w:val="003E2B03"/>
    <w:rsid w:val="003E2B4B"/>
    <w:rsid w:val="003E2B76"/>
    <w:rsid w:val="003E2BAC"/>
    <w:rsid w:val="003E2BBF"/>
    <w:rsid w:val="003E2BF1"/>
    <w:rsid w:val="003E2C64"/>
    <w:rsid w:val="003E2C66"/>
    <w:rsid w:val="003E2CCE"/>
    <w:rsid w:val="003E2CFD"/>
    <w:rsid w:val="003E2DA6"/>
    <w:rsid w:val="003E2DA8"/>
    <w:rsid w:val="003E2DEA"/>
    <w:rsid w:val="003E2DED"/>
    <w:rsid w:val="003E2E00"/>
    <w:rsid w:val="003E2E1E"/>
    <w:rsid w:val="003E2E60"/>
    <w:rsid w:val="003E2E88"/>
    <w:rsid w:val="003E2EAE"/>
    <w:rsid w:val="003E2EFA"/>
    <w:rsid w:val="003E2F0A"/>
    <w:rsid w:val="003E2F2C"/>
    <w:rsid w:val="003E2FF1"/>
    <w:rsid w:val="003E30A2"/>
    <w:rsid w:val="003E30BD"/>
    <w:rsid w:val="003E30DF"/>
    <w:rsid w:val="003E318B"/>
    <w:rsid w:val="003E3241"/>
    <w:rsid w:val="003E325E"/>
    <w:rsid w:val="003E328E"/>
    <w:rsid w:val="003E32CB"/>
    <w:rsid w:val="003E32D5"/>
    <w:rsid w:val="003E32FC"/>
    <w:rsid w:val="003E3330"/>
    <w:rsid w:val="003E3387"/>
    <w:rsid w:val="003E340A"/>
    <w:rsid w:val="003E349B"/>
    <w:rsid w:val="003E34A2"/>
    <w:rsid w:val="003E3588"/>
    <w:rsid w:val="003E3640"/>
    <w:rsid w:val="003E3713"/>
    <w:rsid w:val="003E374D"/>
    <w:rsid w:val="003E3826"/>
    <w:rsid w:val="003E3845"/>
    <w:rsid w:val="003E38D3"/>
    <w:rsid w:val="003E38E5"/>
    <w:rsid w:val="003E3945"/>
    <w:rsid w:val="003E3A14"/>
    <w:rsid w:val="003E3A1D"/>
    <w:rsid w:val="003E3A29"/>
    <w:rsid w:val="003E3A81"/>
    <w:rsid w:val="003E3A89"/>
    <w:rsid w:val="003E3AA6"/>
    <w:rsid w:val="003E3ACF"/>
    <w:rsid w:val="003E3AF0"/>
    <w:rsid w:val="003E3AFD"/>
    <w:rsid w:val="003E3B7C"/>
    <w:rsid w:val="003E3C04"/>
    <w:rsid w:val="003E3C1A"/>
    <w:rsid w:val="003E3C72"/>
    <w:rsid w:val="003E3CB6"/>
    <w:rsid w:val="003E3D10"/>
    <w:rsid w:val="003E3E9F"/>
    <w:rsid w:val="003E3EAD"/>
    <w:rsid w:val="003E3F04"/>
    <w:rsid w:val="003E3F7D"/>
    <w:rsid w:val="003E4053"/>
    <w:rsid w:val="003E4121"/>
    <w:rsid w:val="003E4189"/>
    <w:rsid w:val="003E4202"/>
    <w:rsid w:val="003E4248"/>
    <w:rsid w:val="003E4252"/>
    <w:rsid w:val="003E430F"/>
    <w:rsid w:val="003E4312"/>
    <w:rsid w:val="003E4324"/>
    <w:rsid w:val="003E4342"/>
    <w:rsid w:val="003E43CD"/>
    <w:rsid w:val="003E442C"/>
    <w:rsid w:val="003E4474"/>
    <w:rsid w:val="003E4515"/>
    <w:rsid w:val="003E4547"/>
    <w:rsid w:val="003E456A"/>
    <w:rsid w:val="003E456C"/>
    <w:rsid w:val="003E4590"/>
    <w:rsid w:val="003E45C7"/>
    <w:rsid w:val="003E45E8"/>
    <w:rsid w:val="003E4625"/>
    <w:rsid w:val="003E4643"/>
    <w:rsid w:val="003E4664"/>
    <w:rsid w:val="003E4673"/>
    <w:rsid w:val="003E4674"/>
    <w:rsid w:val="003E47B2"/>
    <w:rsid w:val="003E48FC"/>
    <w:rsid w:val="003E491F"/>
    <w:rsid w:val="003E495E"/>
    <w:rsid w:val="003E499F"/>
    <w:rsid w:val="003E49F2"/>
    <w:rsid w:val="003E4A13"/>
    <w:rsid w:val="003E4A33"/>
    <w:rsid w:val="003E4BAA"/>
    <w:rsid w:val="003E4BE5"/>
    <w:rsid w:val="003E4CDE"/>
    <w:rsid w:val="003E4D35"/>
    <w:rsid w:val="003E4DB4"/>
    <w:rsid w:val="003E4E13"/>
    <w:rsid w:val="003E4E1F"/>
    <w:rsid w:val="003E4E5B"/>
    <w:rsid w:val="003E4E60"/>
    <w:rsid w:val="003E4ECD"/>
    <w:rsid w:val="003E4F83"/>
    <w:rsid w:val="003E4F89"/>
    <w:rsid w:val="003E4F9A"/>
    <w:rsid w:val="003E4FD6"/>
    <w:rsid w:val="003E503D"/>
    <w:rsid w:val="003E504D"/>
    <w:rsid w:val="003E5057"/>
    <w:rsid w:val="003E50B3"/>
    <w:rsid w:val="003E5113"/>
    <w:rsid w:val="003E5123"/>
    <w:rsid w:val="003E5141"/>
    <w:rsid w:val="003E51A8"/>
    <w:rsid w:val="003E51CD"/>
    <w:rsid w:val="003E51FC"/>
    <w:rsid w:val="003E5225"/>
    <w:rsid w:val="003E522B"/>
    <w:rsid w:val="003E52FC"/>
    <w:rsid w:val="003E533B"/>
    <w:rsid w:val="003E538A"/>
    <w:rsid w:val="003E53D3"/>
    <w:rsid w:val="003E5423"/>
    <w:rsid w:val="003E5447"/>
    <w:rsid w:val="003E545D"/>
    <w:rsid w:val="003E5477"/>
    <w:rsid w:val="003E547A"/>
    <w:rsid w:val="003E5491"/>
    <w:rsid w:val="003E5557"/>
    <w:rsid w:val="003E55B4"/>
    <w:rsid w:val="003E5608"/>
    <w:rsid w:val="003E562E"/>
    <w:rsid w:val="003E5635"/>
    <w:rsid w:val="003E578A"/>
    <w:rsid w:val="003E585C"/>
    <w:rsid w:val="003E585F"/>
    <w:rsid w:val="003E5877"/>
    <w:rsid w:val="003E588E"/>
    <w:rsid w:val="003E58B4"/>
    <w:rsid w:val="003E593D"/>
    <w:rsid w:val="003E595A"/>
    <w:rsid w:val="003E5A66"/>
    <w:rsid w:val="003E5A6B"/>
    <w:rsid w:val="003E5AE7"/>
    <w:rsid w:val="003E5C25"/>
    <w:rsid w:val="003E5CA8"/>
    <w:rsid w:val="003E5D2D"/>
    <w:rsid w:val="003E5D61"/>
    <w:rsid w:val="003E5E01"/>
    <w:rsid w:val="003E5E12"/>
    <w:rsid w:val="003E5E1E"/>
    <w:rsid w:val="003E5E2C"/>
    <w:rsid w:val="003E5E8B"/>
    <w:rsid w:val="003E5EBD"/>
    <w:rsid w:val="003E5EE9"/>
    <w:rsid w:val="003E5EF7"/>
    <w:rsid w:val="003E5F3C"/>
    <w:rsid w:val="003E5F66"/>
    <w:rsid w:val="003E5FD1"/>
    <w:rsid w:val="003E5FDD"/>
    <w:rsid w:val="003E600E"/>
    <w:rsid w:val="003E601D"/>
    <w:rsid w:val="003E60AA"/>
    <w:rsid w:val="003E60B5"/>
    <w:rsid w:val="003E60DC"/>
    <w:rsid w:val="003E6104"/>
    <w:rsid w:val="003E6110"/>
    <w:rsid w:val="003E6228"/>
    <w:rsid w:val="003E626F"/>
    <w:rsid w:val="003E62DD"/>
    <w:rsid w:val="003E637D"/>
    <w:rsid w:val="003E63FD"/>
    <w:rsid w:val="003E642B"/>
    <w:rsid w:val="003E6473"/>
    <w:rsid w:val="003E6599"/>
    <w:rsid w:val="003E66FF"/>
    <w:rsid w:val="003E671B"/>
    <w:rsid w:val="003E67EB"/>
    <w:rsid w:val="003E6826"/>
    <w:rsid w:val="003E6854"/>
    <w:rsid w:val="003E6892"/>
    <w:rsid w:val="003E68F8"/>
    <w:rsid w:val="003E68FA"/>
    <w:rsid w:val="003E6987"/>
    <w:rsid w:val="003E69AD"/>
    <w:rsid w:val="003E69B5"/>
    <w:rsid w:val="003E6A41"/>
    <w:rsid w:val="003E6A92"/>
    <w:rsid w:val="003E6AE3"/>
    <w:rsid w:val="003E6B8D"/>
    <w:rsid w:val="003E6BA2"/>
    <w:rsid w:val="003E6BBD"/>
    <w:rsid w:val="003E6BBF"/>
    <w:rsid w:val="003E6C13"/>
    <w:rsid w:val="003E6C15"/>
    <w:rsid w:val="003E6C31"/>
    <w:rsid w:val="003E6C61"/>
    <w:rsid w:val="003E6CC6"/>
    <w:rsid w:val="003E6CD5"/>
    <w:rsid w:val="003E6CF2"/>
    <w:rsid w:val="003E6CF9"/>
    <w:rsid w:val="003E6E0C"/>
    <w:rsid w:val="003E6E71"/>
    <w:rsid w:val="003E6E86"/>
    <w:rsid w:val="003E6F18"/>
    <w:rsid w:val="003E6F46"/>
    <w:rsid w:val="003E6F7A"/>
    <w:rsid w:val="003E7010"/>
    <w:rsid w:val="003E7099"/>
    <w:rsid w:val="003E70D7"/>
    <w:rsid w:val="003E7128"/>
    <w:rsid w:val="003E714A"/>
    <w:rsid w:val="003E71BF"/>
    <w:rsid w:val="003E71CA"/>
    <w:rsid w:val="003E71DE"/>
    <w:rsid w:val="003E71E8"/>
    <w:rsid w:val="003E721D"/>
    <w:rsid w:val="003E722B"/>
    <w:rsid w:val="003E72D6"/>
    <w:rsid w:val="003E72EC"/>
    <w:rsid w:val="003E7385"/>
    <w:rsid w:val="003E74C0"/>
    <w:rsid w:val="003E74C5"/>
    <w:rsid w:val="003E7567"/>
    <w:rsid w:val="003E759A"/>
    <w:rsid w:val="003E75B8"/>
    <w:rsid w:val="003E764D"/>
    <w:rsid w:val="003E76B2"/>
    <w:rsid w:val="003E76D3"/>
    <w:rsid w:val="003E76F1"/>
    <w:rsid w:val="003E76FC"/>
    <w:rsid w:val="003E7717"/>
    <w:rsid w:val="003E772D"/>
    <w:rsid w:val="003E776A"/>
    <w:rsid w:val="003E7827"/>
    <w:rsid w:val="003E7870"/>
    <w:rsid w:val="003E7881"/>
    <w:rsid w:val="003E7882"/>
    <w:rsid w:val="003E78CF"/>
    <w:rsid w:val="003E78F8"/>
    <w:rsid w:val="003E7960"/>
    <w:rsid w:val="003E7979"/>
    <w:rsid w:val="003E7980"/>
    <w:rsid w:val="003E79B7"/>
    <w:rsid w:val="003E79D9"/>
    <w:rsid w:val="003E7A34"/>
    <w:rsid w:val="003E7A98"/>
    <w:rsid w:val="003E7B4A"/>
    <w:rsid w:val="003E7CB5"/>
    <w:rsid w:val="003E7CE9"/>
    <w:rsid w:val="003E7D2E"/>
    <w:rsid w:val="003E7D4E"/>
    <w:rsid w:val="003E7D8A"/>
    <w:rsid w:val="003E7E09"/>
    <w:rsid w:val="003E7EB5"/>
    <w:rsid w:val="003E7F23"/>
    <w:rsid w:val="003E7F4F"/>
    <w:rsid w:val="003E7F63"/>
    <w:rsid w:val="003E7FA1"/>
    <w:rsid w:val="003E7FDC"/>
    <w:rsid w:val="003F0065"/>
    <w:rsid w:val="003F0074"/>
    <w:rsid w:val="003F00AB"/>
    <w:rsid w:val="003F00EC"/>
    <w:rsid w:val="003F0106"/>
    <w:rsid w:val="003F01A0"/>
    <w:rsid w:val="003F01AA"/>
    <w:rsid w:val="003F02C1"/>
    <w:rsid w:val="003F0316"/>
    <w:rsid w:val="003F031C"/>
    <w:rsid w:val="003F0362"/>
    <w:rsid w:val="003F037A"/>
    <w:rsid w:val="003F0396"/>
    <w:rsid w:val="003F03BD"/>
    <w:rsid w:val="003F046D"/>
    <w:rsid w:val="003F049A"/>
    <w:rsid w:val="003F0530"/>
    <w:rsid w:val="003F0549"/>
    <w:rsid w:val="003F054A"/>
    <w:rsid w:val="003F05EB"/>
    <w:rsid w:val="003F060D"/>
    <w:rsid w:val="003F0649"/>
    <w:rsid w:val="003F069C"/>
    <w:rsid w:val="003F06F2"/>
    <w:rsid w:val="003F0711"/>
    <w:rsid w:val="003F07B1"/>
    <w:rsid w:val="003F08E6"/>
    <w:rsid w:val="003F0962"/>
    <w:rsid w:val="003F0969"/>
    <w:rsid w:val="003F096F"/>
    <w:rsid w:val="003F0A03"/>
    <w:rsid w:val="003F0A3D"/>
    <w:rsid w:val="003F0AD7"/>
    <w:rsid w:val="003F0AE9"/>
    <w:rsid w:val="003F0B4C"/>
    <w:rsid w:val="003F0B91"/>
    <w:rsid w:val="003F0B94"/>
    <w:rsid w:val="003F0BC9"/>
    <w:rsid w:val="003F0C59"/>
    <w:rsid w:val="003F0C66"/>
    <w:rsid w:val="003F0D11"/>
    <w:rsid w:val="003F0D45"/>
    <w:rsid w:val="003F0D4C"/>
    <w:rsid w:val="003F0D73"/>
    <w:rsid w:val="003F0DEC"/>
    <w:rsid w:val="003F0E1B"/>
    <w:rsid w:val="003F0E39"/>
    <w:rsid w:val="003F0E7E"/>
    <w:rsid w:val="003F0E87"/>
    <w:rsid w:val="003F0F7B"/>
    <w:rsid w:val="003F0F90"/>
    <w:rsid w:val="003F0FC8"/>
    <w:rsid w:val="003F0FF8"/>
    <w:rsid w:val="003F10B2"/>
    <w:rsid w:val="003F10E8"/>
    <w:rsid w:val="003F10F7"/>
    <w:rsid w:val="003F1107"/>
    <w:rsid w:val="003F110A"/>
    <w:rsid w:val="003F1129"/>
    <w:rsid w:val="003F1235"/>
    <w:rsid w:val="003F12CB"/>
    <w:rsid w:val="003F12D7"/>
    <w:rsid w:val="003F1306"/>
    <w:rsid w:val="003F1329"/>
    <w:rsid w:val="003F138C"/>
    <w:rsid w:val="003F138D"/>
    <w:rsid w:val="003F13A0"/>
    <w:rsid w:val="003F149D"/>
    <w:rsid w:val="003F14EB"/>
    <w:rsid w:val="003F14FB"/>
    <w:rsid w:val="003F1573"/>
    <w:rsid w:val="003F15B5"/>
    <w:rsid w:val="003F15EE"/>
    <w:rsid w:val="003F1616"/>
    <w:rsid w:val="003F1618"/>
    <w:rsid w:val="003F1648"/>
    <w:rsid w:val="003F1687"/>
    <w:rsid w:val="003F169C"/>
    <w:rsid w:val="003F16AD"/>
    <w:rsid w:val="003F170E"/>
    <w:rsid w:val="003F171F"/>
    <w:rsid w:val="003F17C8"/>
    <w:rsid w:val="003F1995"/>
    <w:rsid w:val="003F19BD"/>
    <w:rsid w:val="003F1A0F"/>
    <w:rsid w:val="003F1A50"/>
    <w:rsid w:val="003F1A70"/>
    <w:rsid w:val="003F1AFD"/>
    <w:rsid w:val="003F1B79"/>
    <w:rsid w:val="003F1B8D"/>
    <w:rsid w:val="003F1C07"/>
    <w:rsid w:val="003F1C91"/>
    <w:rsid w:val="003F1CC9"/>
    <w:rsid w:val="003F1EDB"/>
    <w:rsid w:val="003F1F17"/>
    <w:rsid w:val="003F1F30"/>
    <w:rsid w:val="003F1F59"/>
    <w:rsid w:val="003F1F9D"/>
    <w:rsid w:val="003F200A"/>
    <w:rsid w:val="003F2017"/>
    <w:rsid w:val="003F2023"/>
    <w:rsid w:val="003F20B3"/>
    <w:rsid w:val="003F20C2"/>
    <w:rsid w:val="003F2230"/>
    <w:rsid w:val="003F224C"/>
    <w:rsid w:val="003F22F2"/>
    <w:rsid w:val="003F2354"/>
    <w:rsid w:val="003F2358"/>
    <w:rsid w:val="003F235E"/>
    <w:rsid w:val="003F23DD"/>
    <w:rsid w:val="003F23FB"/>
    <w:rsid w:val="003F2423"/>
    <w:rsid w:val="003F2439"/>
    <w:rsid w:val="003F2472"/>
    <w:rsid w:val="003F2486"/>
    <w:rsid w:val="003F250D"/>
    <w:rsid w:val="003F2533"/>
    <w:rsid w:val="003F25A9"/>
    <w:rsid w:val="003F2603"/>
    <w:rsid w:val="003F2610"/>
    <w:rsid w:val="003F26AB"/>
    <w:rsid w:val="003F26F4"/>
    <w:rsid w:val="003F2706"/>
    <w:rsid w:val="003F270B"/>
    <w:rsid w:val="003F2716"/>
    <w:rsid w:val="003F27F0"/>
    <w:rsid w:val="003F2808"/>
    <w:rsid w:val="003F2882"/>
    <w:rsid w:val="003F2889"/>
    <w:rsid w:val="003F2A0C"/>
    <w:rsid w:val="003F2A31"/>
    <w:rsid w:val="003F2B8D"/>
    <w:rsid w:val="003F2BA1"/>
    <w:rsid w:val="003F2BB5"/>
    <w:rsid w:val="003F2BBA"/>
    <w:rsid w:val="003F2BBE"/>
    <w:rsid w:val="003F2BCD"/>
    <w:rsid w:val="003F2C30"/>
    <w:rsid w:val="003F2CAF"/>
    <w:rsid w:val="003F2CC6"/>
    <w:rsid w:val="003F2CCF"/>
    <w:rsid w:val="003F2CEE"/>
    <w:rsid w:val="003F2D00"/>
    <w:rsid w:val="003F2D4C"/>
    <w:rsid w:val="003F2E16"/>
    <w:rsid w:val="003F2E1E"/>
    <w:rsid w:val="003F2E45"/>
    <w:rsid w:val="003F2E4E"/>
    <w:rsid w:val="003F2E83"/>
    <w:rsid w:val="003F2EBA"/>
    <w:rsid w:val="003F2EBE"/>
    <w:rsid w:val="003F2F2A"/>
    <w:rsid w:val="003F2FF9"/>
    <w:rsid w:val="003F3071"/>
    <w:rsid w:val="003F30C4"/>
    <w:rsid w:val="003F31A2"/>
    <w:rsid w:val="003F31AC"/>
    <w:rsid w:val="003F322B"/>
    <w:rsid w:val="003F324F"/>
    <w:rsid w:val="003F32AF"/>
    <w:rsid w:val="003F32D4"/>
    <w:rsid w:val="003F3344"/>
    <w:rsid w:val="003F335A"/>
    <w:rsid w:val="003F33A0"/>
    <w:rsid w:val="003F33BE"/>
    <w:rsid w:val="003F33EA"/>
    <w:rsid w:val="003F341E"/>
    <w:rsid w:val="003F3460"/>
    <w:rsid w:val="003F3484"/>
    <w:rsid w:val="003F34A4"/>
    <w:rsid w:val="003F34A7"/>
    <w:rsid w:val="003F34C5"/>
    <w:rsid w:val="003F3568"/>
    <w:rsid w:val="003F3593"/>
    <w:rsid w:val="003F35CE"/>
    <w:rsid w:val="003F35CF"/>
    <w:rsid w:val="003F364A"/>
    <w:rsid w:val="003F365D"/>
    <w:rsid w:val="003F36AC"/>
    <w:rsid w:val="003F36AE"/>
    <w:rsid w:val="003F36CC"/>
    <w:rsid w:val="003F373F"/>
    <w:rsid w:val="003F37B9"/>
    <w:rsid w:val="003F3891"/>
    <w:rsid w:val="003F3893"/>
    <w:rsid w:val="003F3958"/>
    <w:rsid w:val="003F39EA"/>
    <w:rsid w:val="003F39ED"/>
    <w:rsid w:val="003F39F6"/>
    <w:rsid w:val="003F3A20"/>
    <w:rsid w:val="003F3A3D"/>
    <w:rsid w:val="003F3AD5"/>
    <w:rsid w:val="003F3B67"/>
    <w:rsid w:val="003F3B99"/>
    <w:rsid w:val="003F3BBE"/>
    <w:rsid w:val="003F3C35"/>
    <w:rsid w:val="003F3C41"/>
    <w:rsid w:val="003F3C4D"/>
    <w:rsid w:val="003F3CAC"/>
    <w:rsid w:val="003F3CE4"/>
    <w:rsid w:val="003F3D7B"/>
    <w:rsid w:val="003F3D8D"/>
    <w:rsid w:val="003F3DB5"/>
    <w:rsid w:val="003F3DF8"/>
    <w:rsid w:val="003F3E3D"/>
    <w:rsid w:val="003F3E62"/>
    <w:rsid w:val="003F3EA4"/>
    <w:rsid w:val="003F3EA8"/>
    <w:rsid w:val="003F3EA9"/>
    <w:rsid w:val="003F3F4D"/>
    <w:rsid w:val="003F3F6B"/>
    <w:rsid w:val="003F3FA4"/>
    <w:rsid w:val="003F3FA8"/>
    <w:rsid w:val="003F3FCC"/>
    <w:rsid w:val="003F400B"/>
    <w:rsid w:val="003F40B8"/>
    <w:rsid w:val="003F40E1"/>
    <w:rsid w:val="003F4269"/>
    <w:rsid w:val="003F428F"/>
    <w:rsid w:val="003F4390"/>
    <w:rsid w:val="003F4414"/>
    <w:rsid w:val="003F4447"/>
    <w:rsid w:val="003F4478"/>
    <w:rsid w:val="003F44AF"/>
    <w:rsid w:val="003F44BD"/>
    <w:rsid w:val="003F44ED"/>
    <w:rsid w:val="003F4512"/>
    <w:rsid w:val="003F4517"/>
    <w:rsid w:val="003F452F"/>
    <w:rsid w:val="003F4586"/>
    <w:rsid w:val="003F45C1"/>
    <w:rsid w:val="003F45C7"/>
    <w:rsid w:val="003F4646"/>
    <w:rsid w:val="003F466E"/>
    <w:rsid w:val="003F46B2"/>
    <w:rsid w:val="003F4902"/>
    <w:rsid w:val="003F4942"/>
    <w:rsid w:val="003F4A06"/>
    <w:rsid w:val="003F4A14"/>
    <w:rsid w:val="003F4A25"/>
    <w:rsid w:val="003F4A26"/>
    <w:rsid w:val="003F4A73"/>
    <w:rsid w:val="003F4A9B"/>
    <w:rsid w:val="003F4AB1"/>
    <w:rsid w:val="003F4BA4"/>
    <w:rsid w:val="003F4BF3"/>
    <w:rsid w:val="003F4BF9"/>
    <w:rsid w:val="003F4BFE"/>
    <w:rsid w:val="003F4C2C"/>
    <w:rsid w:val="003F4C76"/>
    <w:rsid w:val="003F4C85"/>
    <w:rsid w:val="003F4D39"/>
    <w:rsid w:val="003F4DA4"/>
    <w:rsid w:val="003F4E10"/>
    <w:rsid w:val="003F4EDF"/>
    <w:rsid w:val="003F4F27"/>
    <w:rsid w:val="003F4FD3"/>
    <w:rsid w:val="003F4FEE"/>
    <w:rsid w:val="003F5091"/>
    <w:rsid w:val="003F50CB"/>
    <w:rsid w:val="003F50EE"/>
    <w:rsid w:val="003F5166"/>
    <w:rsid w:val="003F5178"/>
    <w:rsid w:val="003F5181"/>
    <w:rsid w:val="003F5185"/>
    <w:rsid w:val="003F51FD"/>
    <w:rsid w:val="003F5291"/>
    <w:rsid w:val="003F52BE"/>
    <w:rsid w:val="003F5357"/>
    <w:rsid w:val="003F53AA"/>
    <w:rsid w:val="003F53AB"/>
    <w:rsid w:val="003F53ED"/>
    <w:rsid w:val="003F54F9"/>
    <w:rsid w:val="003F550A"/>
    <w:rsid w:val="003F5510"/>
    <w:rsid w:val="003F5659"/>
    <w:rsid w:val="003F5672"/>
    <w:rsid w:val="003F5682"/>
    <w:rsid w:val="003F568A"/>
    <w:rsid w:val="003F569F"/>
    <w:rsid w:val="003F56A2"/>
    <w:rsid w:val="003F570F"/>
    <w:rsid w:val="003F573B"/>
    <w:rsid w:val="003F589A"/>
    <w:rsid w:val="003F58F4"/>
    <w:rsid w:val="003F5900"/>
    <w:rsid w:val="003F5977"/>
    <w:rsid w:val="003F59AA"/>
    <w:rsid w:val="003F5A33"/>
    <w:rsid w:val="003F5A54"/>
    <w:rsid w:val="003F5A58"/>
    <w:rsid w:val="003F5AC6"/>
    <w:rsid w:val="003F5B7F"/>
    <w:rsid w:val="003F5B9B"/>
    <w:rsid w:val="003F5BD1"/>
    <w:rsid w:val="003F5C5A"/>
    <w:rsid w:val="003F5C8E"/>
    <w:rsid w:val="003F5D0A"/>
    <w:rsid w:val="003F5DE7"/>
    <w:rsid w:val="003F5DEF"/>
    <w:rsid w:val="003F5E45"/>
    <w:rsid w:val="003F5E46"/>
    <w:rsid w:val="003F5EC5"/>
    <w:rsid w:val="003F5F13"/>
    <w:rsid w:val="003F6045"/>
    <w:rsid w:val="003F605F"/>
    <w:rsid w:val="003F60CA"/>
    <w:rsid w:val="003F60D0"/>
    <w:rsid w:val="003F60F7"/>
    <w:rsid w:val="003F61A4"/>
    <w:rsid w:val="003F61D0"/>
    <w:rsid w:val="003F61EB"/>
    <w:rsid w:val="003F6218"/>
    <w:rsid w:val="003F6251"/>
    <w:rsid w:val="003F6268"/>
    <w:rsid w:val="003F6281"/>
    <w:rsid w:val="003F6293"/>
    <w:rsid w:val="003F62A7"/>
    <w:rsid w:val="003F63C8"/>
    <w:rsid w:val="003F6467"/>
    <w:rsid w:val="003F647A"/>
    <w:rsid w:val="003F64EF"/>
    <w:rsid w:val="003F6533"/>
    <w:rsid w:val="003F663D"/>
    <w:rsid w:val="003F663E"/>
    <w:rsid w:val="003F6657"/>
    <w:rsid w:val="003F665C"/>
    <w:rsid w:val="003F66B0"/>
    <w:rsid w:val="003F678A"/>
    <w:rsid w:val="003F67CB"/>
    <w:rsid w:val="003F67E6"/>
    <w:rsid w:val="003F686C"/>
    <w:rsid w:val="003F6902"/>
    <w:rsid w:val="003F6930"/>
    <w:rsid w:val="003F6A0F"/>
    <w:rsid w:val="003F6B0D"/>
    <w:rsid w:val="003F6BB2"/>
    <w:rsid w:val="003F6BD5"/>
    <w:rsid w:val="003F6BFD"/>
    <w:rsid w:val="003F6C0C"/>
    <w:rsid w:val="003F6C84"/>
    <w:rsid w:val="003F6CCA"/>
    <w:rsid w:val="003F6CDD"/>
    <w:rsid w:val="003F6D6F"/>
    <w:rsid w:val="003F6D82"/>
    <w:rsid w:val="003F6D9D"/>
    <w:rsid w:val="003F6DBF"/>
    <w:rsid w:val="003F6E30"/>
    <w:rsid w:val="003F6E4C"/>
    <w:rsid w:val="003F6EFC"/>
    <w:rsid w:val="003F6F37"/>
    <w:rsid w:val="003F6F9A"/>
    <w:rsid w:val="003F7094"/>
    <w:rsid w:val="003F70E3"/>
    <w:rsid w:val="003F70EE"/>
    <w:rsid w:val="003F7100"/>
    <w:rsid w:val="003F712A"/>
    <w:rsid w:val="003F712E"/>
    <w:rsid w:val="003F712F"/>
    <w:rsid w:val="003F7183"/>
    <w:rsid w:val="003F71A6"/>
    <w:rsid w:val="003F71AA"/>
    <w:rsid w:val="003F71E8"/>
    <w:rsid w:val="003F722C"/>
    <w:rsid w:val="003F7299"/>
    <w:rsid w:val="003F72CF"/>
    <w:rsid w:val="003F7479"/>
    <w:rsid w:val="003F74EF"/>
    <w:rsid w:val="003F74FA"/>
    <w:rsid w:val="003F7501"/>
    <w:rsid w:val="003F750E"/>
    <w:rsid w:val="003F754F"/>
    <w:rsid w:val="003F7658"/>
    <w:rsid w:val="003F76CF"/>
    <w:rsid w:val="003F76D2"/>
    <w:rsid w:val="003F7744"/>
    <w:rsid w:val="003F7756"/>
    <w:rsid w:val="003F7765"/>
    <w:rsid w:val="003F77C9"/>
    <w:rsid w:val="003F77E4"/>
    <w:rsid w:val="003F782A"/>
    <w:rsid w:val="003F7896"/>
    <w:rsid w:val="003F78EA"/>
    <w:rsid w:val="003F7A14"/>
    <w:rsid w:val="003F7A79"/>
    <w:rsid w:val="003F7B37"/>
    <w:rsid w:val="003F7BC9"/>
    <w:rsid w:val="003F7BD9"/>
    <w:rsid w:val="003F7BFA"/>
    <w:rsid w:val="003F7C63"/>
    <w:rsid w:val="003F7C87"/>
    <w:rsid w:val="003F7CCC"/>
    <w:rsid w:val="003F7CD9"/>
    <w:rsid w:val="003F7D00"/>
    <w:rsid w:val="003F7DA0"/>
    <w:rsid w:val="003F7DB8"/>
    <w:rsid w:val="003F7DE5"/>
    <w:rsid w:val="003F7E36"/>
    <w:rsid w:val="003F7E43"/>
    <w:rsid w:val="003F7F74"/>
    <w:rsid w:val="003F7F83"/>
    <w:rsid w:val="003F7FC3"/>
    <w:rsid w:val="0040000B"/>
    <w:rsid w:val="0040001D"/>
    <w:rsid w:val="0040002D"/>
    <w:rsid w:val="00400055"/>
    <w:rsid w:val="004000AA"/>
    <w:rsid w:val="004000B6"/>
    <w:rsid w:val="0040013E"/>
    <w:rsid w:val="00400161"/>
    <w:rsid w:val="0040018A"/>
    <w:rsid w:val="004001BC"/>
    <w:rsid w:val="004001CF"/>
    <w:rsid w:val="0040022F"/>
    <w:rsid w:val="00400247"/>
    <w:rsid w:val="004002B5"/>
    <w:rsid w:val="004002E5"/>
    <w:rsid w:val="0040034E"/>
    <w:rsid w:val="00400372"/>
    <w:rsid w:val="0040040B"/>
    <w:rsid w:val="00400473"/>
    <w:rsid w:val="004004B1"/>
    <w:rsid w:val="0040053D"/>
    <w:rsid w:val="0040054D"/>
    <w:rsid w:val="004005CF"/>
    <w:rsid w:val="00400645"/>
    <w:rsid w:val="00400725"/>
    <w:rsid w:val="00400758"/>
    <w:rsid w:val="004007C6"/>
    <w:rsid w:val="004007C8"/>
    <w:rsid w:val="004007D9"/>
    <w:rsid w:val="00400810"/>
    <w:rsid w:val="00400902"/>
    <w:rsid w:val="00400928"/>
    <w:rsid w:val="0040095B"/>
    <w:rsid w:val="0040097B"/>
    <w:rsid w:val="004009A6"/>
    <w:rsid w:val="00400AA4"/>
    <w:rsid w:val="00400ACE"/>
    <w:rsid w:val="00400B31"/>
    <w:rsid w:val="00400BC4"/>
    <w:rsid w:val="00400C42"/>
    <w:rsid w:val="00400D0B"/>
    <w:rsid w:val="00400D0F"/>
    <w:rsid w:val="00400D40"/>
    <w:rsid w:val="00400D6A"/>
    <w:rsid w:val="00400DA7"/>
    <w:rsid w:val="00400DD1"/>
    <w:rsid w:val="00400E31"/>
    <w:rsid w:val="00400E4B"/>
    <w:rsid w:val="00400E55"/>
    <w:rsid w:val="00400E59"/>
    <w:rsid w:val="00400E7C"/>
    <w:rsid w:val="00400EF2"/>
    <w:rsid w:val="00401013"/>
    <w:rsid w:val="004010BE"/>
    <w:rsid w:val="004010DA"/>
    <w:rsid w:val="00401183"/>
    <w:rsid w:val="00401213"/>
    <w:rsid w:val="00401238"/>
    <w:rsid w:val="00401275"/>
    <w:rsid w:val="00401282"/>
    <w:rsid w:val="004012F4"/>
    <w:rsid w:val="004012FC"/>
    <w:rsid w:val="00401326"/>
    <w:rsid w:val="00401358"/>
    <w:rsid w:val="00401389"/>
    <w:rsid w:val="004013C0"/>
    <w:rsid w:val="004013C1"/>
    <w:rsid w:val="00401474"/>
    <w:rsid w:val="004015C0"/>
    <w:rsid w:val="004015F1"/>
    <w:rsid w:val="0040160D"/>
    <w:rsid w:val="00401612"/>
    <w:rsid w:val="0040167D"/>
    <w:rsid w:val="00401726"/>
    <w:rsid w:val="00401786"/>
    <w:rsid w:val="00401794"/>
    <w:rsid w:val="004017EF"/>
    <w:rsid w:val="0040183B"/>
    <w:rsid w:val="004018E3"/>
    <w:rsid w:val="00401941"/>
    <w:rsid w:val="00401973"/>
    <w:rsid w:val="00401A33"/>
    <w:rsid w:val="00401A40"/>
    <w:rsid w:val="00401A5B"/>
    <w:rsid w:val="00401AB2"/>
    <w:rsid w:val="00401B24"/>
    <w:rsid w:val="00401B60"/>
    <w:rsid w:val="00401C0C"/>
    <w:rsid w:val="00401C14"/>
    <w:rsid w:val="00401E73"/>
    <w:rsid w:val="00401E87"/>
    <w:rsid w:val="00401E91"/>
    <w:rsid w:val="00401EE6"/>
    <w:rsid w:val="00401F15"/>
    <w:rsid w:val="00401F9B"/>
    <w:rsid w:val="00401FD7"/>
    <w:rsid w:val="00402062"/>
    <w:rsid w:val="004020D3"/>
    <w:rsid w:val="004021DC"/>
    <w:rsid w:val="00402219"/>
    <w:rsid w:val="0040224A"/>
    <w:rsid w:val="004022CB"/>
    <w:rsid w:val="004022D5"/>
    <w:rsid w:val="004023B3"/>
    <w:rsid w:val="004023DC"/>
    <w:rsid w:val="00402499"/>
    <w:rsid w:val="0040259D"/>
    <w:rsid w:val="00402604"/>
    <w:rsid w:val="0040269D"/>
    <w:rsid w:val="004026D1"/>
    <w:rsid w:val="004026E9"/>
    <w:rsid w:val="0040273E"/>
    <w:rsid w:val="00402757"/>
    <w:rsid w:val="0040278E"/>
    <w:rsid w:val="004028EC"/>
    <w:rsid w:val="0040290D"/>
    <w:rsid w:val="0040294E"/>
    <w:rsid w:val="0040295D"/>
    <w:rsid w:val="0040299D"/>
    <w:rsid w:val="004029C7"/>
    <w:rsid w:val="004029DA"/>
    <w:rsid w:val="00402B37"/>
    <w:rsid w:val="00402C59"/>
    <w:rsid w:val="00402CC0"/>
    <w:rsid w:val="00402D8B"/>
    <w:rsid w:val="00402DC3"/>
    <w:rsid w:val="00402DD2"/>
    <w:rsid w:val="00402DE9"/>
    <w:rsid w:val="00402E5F"/>
    <w:rsid w:val="00402EC0"/>
    <w:rsid w:val="00402F9E"/>
    <w:rsid w:val="00402FBE"/>
    <w:rsid w:val="00402FD2"/>
    <w:rsid w:val="00403000"/>
    <w:rsid w:val="00403020"/>
    <w:rsid w:val="0040306D"/>
    <w:rsid w:val="004030C4"/>
    <w:rsid w:val="0040317D"/>
    <w:rsid w:val="00403180"/>
    <w:rsid w:val="00403189"/>
    <w:rsid w:val="0040319E"/>
    <w:rsid w:val="004031BB"/>
    <w:rsid w:val="004031CC"/>
    <w:rsid w:val="004031DD"/>
    <w:rsid w:val="00403208"/>
    <w:rsid w:val="0040323C"/>
    <w:rsid w:val="0040324D"/>
    <w:rsid w:val="00403308"/>
    <w:rsid w:val="004033D0"/>
    <w:rsid w:val="00403406"/>
    <w:rsid w:val="0040343B"/>
    <w:rsid w:val="0040344C"/>
    <w:rsid w:val="00403457"/>
    <w:rsid w:val="00403468"/>
    <w:rsid w:val="004034AB"/>
    <w:rsid w:val="00403500"/>
    <w:rsid w:val="0040356B"/>
    <w:rsid w:val="004035E4"/>
    <w:rsid w:val="00403621"/>
    <w:rsid w:val="00403622"/>
    <w:rsid w:val="00403667"/>
    <w:rsid w:val="0040368B"/>
    <w:rsid w:val="0040369A"/>
    <w:rsid w:val="004036A8"/>
    <w:rsid w:val="004036C0"/>
    <w:rsid w:val="004036DE"/>
    <w:rsid w:val="00403723"/>
    <w:rsid w:val="00403730"/>
    <w:rsid w:val="00403798"/>
    <w:rsid w:val="004037AD"/>
    <w:rsid w:val="00403846"/>
    <w:rsid w:val="00403878"/>
    <w:rsid w:val="0040388E"/>
    <w:rsid w:val="004038DC"/>
    <w:rsid w:val="004038DE"/>
    <w:rsid w:val="00403926"/>
    <w:rsid w:val="00403994"/>
    <w:rsid w:val="004039B6"/>
    <w:rsid w:val="00403A2F"/>
    <w:rsid w:val="00403A58"/>
    <w:rsid w:val="00403ADD"/>
    <w:rsid w:val="00403B22"/>
    <w:rsid w:val="00403B55"/>
    <w:rsid w:val="00403B61"/>
    <w:rsid w:val="00403B75"/>
    <w:rsid w:val="00403BCC"/>
    <w:rsid w:val="00403BCF"/>
    <w:rsid w:val="00403C57"/>
    <w:rsid w:val="00403CB1"/>
    <w:rsid w:val="00403CBC"/>
    <w:rsid w:val="00403EA6"/>
    <w:rsid w:val="00403EBE"/>
    <w:rsid w:val="00403F93"/>
    <w:rsid w:val="00404004"/>
    <w:rsid w:val="00404055"/>
    <w:rsid w:val="0040405F"/>
    <w:rsid w:val="0040407B"/>
    <w:rsid w:val="00404094"/>
    <w:rsid w:val="0040416C"/>
    <w:rsid w:val="004041A1"/>
    <w:rsid w:val="004042B3"/>
    <w:rsid w:val="004042D9"/>
    <w:rsid w:val="00404305"/>
    <w:rsid w:val="00404350"/>
    <w:rsid w:val="00404359"/>
    <w:rsid w:val="0040435E"/>
    <w:rsid w:val="00404367"/>
    <w:rsid w:val="0040441E"/>
    <w:rsid w:val="0040444C"/>
    <w:rsid w:val="0040445D"/>
    <w:rsid w:val="004044DF"/>
    <w:rsid w:val="00404524"/>
    <w:rsid w:val="004045BD"/>
    <w:rsid w:val="004045C1"/>
    <w:rsid w:val="00404604"/>
    <w:rsid w:val="00404702"/>
    <w:rsid w:val="0040474E"/>
    <w:rsid w:val="0040475B"/>
    <w:rsid w:val="0040480A"/>
    <w:rsid w:val="00404826"/>
    <w:rsid w:val="00404926"/>
    <w:rsid w:val="00404959"/>
    <w:rsid w:val="00404A28"/>
    <w:rsid w:val="00404A3A"/>
    <w:rsid w:val="00404A3E"/>
    <w:rsid w:val="00404A57"/>
    <w:rsid w:val="00404AD1"/>
    <w:rsid w:val="00404AFB"/>
    <w:rsid w:val="00404AFE"/>
    <w:rsid w:val="00404B33"/>
    <w:rsid w:val="00404B68"/>
    <w:rsid w:val="00404BD9"/>
    <w:rsid w:val="00404C8C"/>
    <w:rsid w:val="00404D8E"/>
    <w:rsid w:val="00404DC6"/>
    <w:rsid w:val="00404EA3"/>
    <w:rsid w:val="00404F0C"/>
    <w:rsid w:val="00404F14"/>
    <w:rsid w:val="00404F32"/>
    <w:rsid w:val="00404F40"/>
    <w:rsid w:val="00404F5F"/>
    <w:rsid w:val="00404FC4"/>
    <w:rsid w:val="00405041"/>
    <w:rsid w:val="00405097"/>
    <w:rsid w:val="004050E0"/>
    <w:rsid w:val="0040510F"/>
    <w:rsid w:val="00405187"/>
    <w:rsid w:val="0040518D"/>
    <w:rsid w:val="004051ED"/>
    <w:rsid w:val="0040527A"/>
    <w:rsid w:val="004053FB"/>
    <w:rsid w:val="00405419"/>
    <w:rsid w:val="00405463"/>
    <w:rsid w:val="00405480"/>
    <w:rsid w:val="004054BA"/>
    <w:rsid w:val="004054DB"/>
    <w:rsid w:val="00405503"/>
    <w:rsid w:val="0040551C"/>
    <w:rsid w:val="00405610"/>
    <w:rsid w:val="00405724"/>
    <w:rsid w:val="004057AC"/>
    <w:rsid w:val="00405829"/>
    <w:rsid w:val="00405877"/>
    <w:rsid w:val="004058D4"/>
    <w:rsid w:val="0040599A"/>
    <w:rsid w:val="004059B1"/>
    <w:rsid w:val="00405A26"/>
    <w:rsid w:val="00405A4B"/>
    <w:rsid w:val="00405A4D"/>
    <w:rsid w:val="00405A50"/>
    <w:rsid w:val="00405ACB"/>
    <w:rsid w:val="00405B0E"/>
    <w:rsid w:val="00405B16"/>
    <w:rsid w:val="00405B50"/>
    <w:rsid w:val="00405B75"/>
    <w:rsid w:val="00405C1D"/>
    <w:rsid w:val="00405C23"/>
    <w:rsid w:val="00405CE4"/>
    <w:rsid w:val="00405CE8"/>
    <w:rsid w:val="00405D06"/>
    <w:rsid w:val="00405E20"/>
    <w:rsid w:val="00405E8A"/>
    <w:rsid w:val="00405F26"/>
    <w:rsid w:val="00405F67"/>
    <w:rsid w:val="00405FBD"/>
    <w:rsid w:val="004060BA"/>
    <w:rsid w:val="0040612F"/>
    <w:rsid w:val="00406197"/>
    <w:rsid w:val="004061D6"/>
    <w:rsid w:val="0040622C"/>
    <w:rsid w:val="00406259"/>
    <w:rsid w:val="004063BB"/>
    <w:rsid w:val="0040641B"/>
    <w:rsid w:val="0040647E"/>
    <w:rsid w:val="004064DB"/>
    <w:rsid w:val="004064F8"/>
    <w:rsid w:val="0040654D"/>
    <w:rsid w:val="004065E3"/>
    <w:rsid w:val="0040661C"/>
    <w:rsid w:val="00406728"/>
    <w:rsid w:val="00406796"/>
    <w:rsid w:val="004067CC"/>
    <w:rsid w:val="00406896"/>
    <w:rsid w:val="004068B4"/>
    <w:rsid w:val="00406910"/>
    <w:rsid w:val="00406936"/>
    <w:rsid w:val="00406972"/>
    <w:rsid w:val="0040698B"/>
    <w:rsid w:val="004069B2"/>
    <w:rsid w:val="00406A47"/>
    <w:rsid w:val="00406A6C"/>
    <w:rsid w:val="00406A80"/>
    <w:rsid w:val="00406B49"/>
    <w:rsid w:val="00406B7B"/>
    <w:rsid w:val="00406B8D"/>
    <w:rsid w:val="00406BB5"/>
    <w:rsid w:val="00406BBA"/>
    <w:rsid w:val="00406BE5"/>
    <w:rsid w:val="00406C7B"/>
    <w:rsid w:val="00406C7E"/>
    <w:rsid w:val="00406CFC"/>
    <w:rsid w:val="00406D2C"/>
    <w:rsid w:val="00406DBB"/>
    <w:rsid w:val="00406DE4"/>
    <w:rsid w:val="00406E2F"/>
    <w:rsid w:val="00406E66"/>
    <w:rsid w:val="00406F11"/>
    <w:rsid w:val="00406F98"/>
    <w:rsid w:val="00407004"/>
    <w:rsid w:val="00407071"/>
    <w:rsid w:val="004070BE"/>
    <w:rsid w:val="00407161"/>
    <w:rsid w:val="004071F4"/>
    <w:rsid w:val="00407238"/>
    <w:rsid w:val="0040723B"/>
    <w:rsid w:val="00407241"/>
    <w:rsid w:val="00407284"/>
    <w:rsid w:val="004072A2"/>
    <w:rsid w:val="004072E7"/>
    <w:rsid w:val="00407323"/>
    <w:rsid w:val="00407369"/>
    <w:rsid w:val="00407399"/>
    <w:rsid w:val="00407430"/>
    <w:rsid w:val="0040744C"/>
    <w:rsid w:val="004074DD"/>
    <w:rsid w:val="00407533"/>
    <w:rsid w:val="00407598"/>
    <w:rsid w:val="004075B3"/>
    <w:rsid w:val="0040763B"/>
    <w:rsid w:val="0040767E"/>
    <w:rsid w:val="004076D6"/>
    <w:rsid w:val="00407713"/>
    <w:rsid w:val="004077F9"/>
    <w:rsid w:val="00407853"/>
    <w:rsid w:val="00407862"/>
    <w:rsid w:val="004078F4"/>
    <w:rsid w:val="00407A82"/>
    <w:rsid w:val="00407AE3"/>
    <w:rsid w:val="00407B03"/>
    <w:rsid w:val="00407B5D"/>
    <w:rsid w:val="00407BA4"/>
    <w:rsid w:val="00407BAE"/>
    <w:rsid w:val="00407BC5"/>
    <w:rsid w:val="00407C2E"/>
    <w:rsid w:val="00407C3F"/>
    <w:rsid w:val="00407C48"/>
    <w:rsid w:val="00407CA9"/>
    <w:rsid w:val="00407CCC"/>
    <w:rsid w:val="00407D34"/>
    <w:rsid w:val="00407D72"/>
    <w:rsid w:val="00407D7B"/>
    <w:rsid w:val="00407D7D"/>
    <w:rsid w:val="00407DA4"/>
    <w:rsid w:val="00407E1D"/>
    <w:rsid w:val="00407EC7"/>
    <w:rsid w:val="00407F79"/>
    <w:rsid w:val="00407FF1"/>
    <w:rsid w:val="00407FFC"/>
    <w:rsid w:val="00410010"/>
    <w:rsid w:val="00410033"/>
    <w:rsid w:val="0041012B"/>
    <w:rsid w:val="00410168"/>
    <w:rsid w:val="0041020C"/>
    <w:rsid w:val="004102B8"/>
    <w:rsid w:val="00410345"/>
    <w:rsid w:val="0041034B"/>
    <w:rsid w:val="0041037B"/>
    <w:rsid w:val="004103FD"/>
    <w:rsid w:val="00410493"/>
    <w:rsid w:val="004104E5"/>
    <w:rsid w:val="0041057A"/>
    <w:rsid w:val="0041057C"/>
    <w:rsid w:val="00410652"/>
    <w:rsid w:val="00410657"/>
    <w:rsid w:val="00410672"/>
    <w:rsid w:val="00410732"/>
    <w:rsid w:val="00410750"/>
    <w:rsid w:val="0041085D"/>
    <w:rsid w:val="0041086B"/>
    <w:rsid w:val="00410875"/>
    <w:rsid w:val="00410959"/>
    <w:rsid w:val="00410978"/>
    <w:rsid w:val="0041097F"/>
    <w:rsid w:val="004109BD"/>
    <w:rsid w:val="004109F2"/>
    <w:rsid w:val="00410A49"/>
    <w:rsid w:val="00410A9C"/>
    <w:rsid w:val="00410AE8"/>
    <w:rsid w:val="00410B43"/>
    <w:rsid w:val="00410C4C"/>
    <w:rsid w:val="00410C9D"/>
    <w:rsid w:val="00410D38"/>
    <w:rsid w:val="00410D4B"/>
    <w:rsid w:val="00410E12"/>
    <w:rsid w:val="00410E1F"/>
    <w:rsid w:val="00410E5D"/>
    <w:rsid w:val="00410EB0"/>
    <w:rsid w:val="00410EE1"/>
    <w:rsid w:val="00410EF4"/>
    <w:rsid w:val="00410F48"/>
    <w:rsid w:val="00410FBA"/>
    <w:rsid w:val="00411013"/>
    <w:rsid w:val="00411025"/>
    <w:rsid w:val="004110DA"/>
    <w:rsid w:val="004110DF"/>
    <w:rsid w:val="004111EA"/>
    <w:rsid w:val="00411263"/>
    <w:rsid w:val="004113BD"/>
    <w:rsid w:val="004113CC"/>
    <w:rsid w:val="00411481"/>
    <w:rsid w:val="00411532"/>
    <w:rsid w:val="00411551"/>
    <w:rsid w:val="00411558"/>
    <w:rsid w:val="0041156D"/>
    <w:rsid w:val="004115A5"/>
    <w:rsid w:val="004115FB"/>
    <w:rsid w:val="00411607"/>
    <w:rsid w:val="00411668"/>
    <w:rsid w:val="00411669"/>
    <w:rsid w:val="00411679"/>
    <w:rsid w:val="00411757"/>
    <w:rsid w:val="00411787"/>
    <w:rsid w:val="004117A4"/>
    <w:rsid w:val="004118EE"/>
    <w:rsid w:val="0041194E"/>
    <w:rsid w:val="00411A19"/>
    <w:rsid w:val="00411A93"/>
    <w:rsid w:val="00411AD3"/>
    <w:rsid w:val="00411AEA"/>
    <w:rsid w:val="00411B2C"/>
    <w:rsid w:val="00411B9F"/>
    <w:rsid w:val="00411BCE"/>
    <w:rsid w:val="00411BFD"/>
    <w:rsid w:val="00411C01"/>
    <w:rsid w:val="00411C9F"/>
    <w:rsid w:val="00411DC4"/>
    <w:rsid w:val="00411E3B"/>
    <w:rsid w:val="00411ED6"/>
    <w:rsid w:val="00411EED"/>
    <w:rsid w:val="00411F05"/>
    <w:rsid w:val="00411F3F"/>
    <w:rsid w:val="00411F8F"/>
    <w:rsid w:val="00412025"/>
    <w:rsid w:val="00412052"/>
    <w:rsid w:val="0041212A"/>
    <w:rsid w:val="004121BC"/>
    <w:rsid w:val="004121DC"/>
    <w:rsid w:val="00412216"/>
    <w:rsid w:val="00412257"/>
    <w:rsid w:val="004122E8"/>
    <w:rsid w:val="00412384"/>
    <w:rsid w:val="004123B3"/>
    <w:rsid w:val="00412403"/>
    <w:rsid w:val="0041242E"/>
    <w:rsid w:val="0041243A"/>
    <w:rsid w:val="004124EB"/>
    <w:rsid w:val="004125A2"/>
    <w:rsid w:val="004125C9"/>
    <w:rsid w:val="004126A7"/>
    <w:rsid w:val="004126BC"/>
    <w:rsid w:val="0041274D"/>
    <w:rsid w:val="00412751"/>
    <w:rsid w:val="00412775"/>
    <w:rsid w:val="004127B1"/>
    <w:rsid w:val="004127D9"/>
    <w:rsid w:val="00412816"/>
    <w:rsid w:val="0041288B"/>
    <w:rsid w:val="00412900"/>
    <w:rsid w:val="00412945"/>
    <w:rsid w:val="004129CB"/>
    <w:rsid w:val="004129DF"/>
    <w:rsid w:val="00412A61"/>
    <w:rsid w:val="00412AC7"/>
    <w:rsid w:val="00412B40"/>
    <w:rsid w:val="00412B46"/>
    <w:rsid w:val="00412B5A"/>
    <w:rsid w:val="00412B63"/>
    <w:rsid w:val="00412B95"/>
    <w:rsid w:val="00412BB4"/>
    <w:rsid w:val="00412C31"/>
    <w:rsid w:val="00412C38"/>
    <w:rsid w:val="00412D3D"/>
    <w:rsid w:val="00412D86"/>
    <w:rsid w:val="00412DF4"/>
    <w:rsid w:val="00412DF7"/>
    <w:rsid w:val="00412E3E"/>
    <w:rsid w:val="00412E45"/>
    <w:rsid w:val="00412E65"/>
    <w:rsid w:val="00412F2D"/>
    <w:rsid w:val="00412F50"/>
    <w:rsid w:val="00412FD8"/>
    <w:rsid w:val="00412FEB"/>
    <w:rsid w:val="0041300B"/>
    <w:rsid w:val="0041304F"/>
    <w:rsid w:val="0041307E"/>
    <w:rsid w:val="004130A1"/>
    <w:rsid w:val="004130C1"/>
    <w:rsid w:val="00413133"/>
    <w:rsid w:val="00413247"/>
    <w:rsid w:val="00413324"/>
    <w:rsid w:val="004133A3"/>
    <w:rsid w:val="00413409"/>
    <w:rsid w:val="00413435"/>
    <w:rsid w:val="00413485"/>
    <w:rsid w:val="004134BE"/>
    <w:rsid w:val="004134C4"/>
    <w:rsid w:val="00413572"/>
    <w:rsid w:val="004135AB"/>
    <w:rsid w:val="004135D9"/>
    <w:rsid w:val="004135FE"/>
    <w:rsid w:val="00413659"/>
    <w:rsid w:val="00413680"/>
    <w:rsid w:val="00413683"/>
    <w:rsid w:val="00413742"/>
    <w:rsid w:val="0041377A"/>
    <w:rsid w:val="0041378C"/>
    <w:rsid w:val="00413792"/>
    <w:rsid w:val="004137CA"/>
    <w:rsid w:val="00413810"/>
    <w:rsid w:val="00413866"/>
    <w:rsid w:val="00413890"/>
    <w:rsid w:val="0041395D"/>
    <w:rsid w:val="0041396E"/>
    <w:rsid w:val="00413985"/>
    <w:rsid w:val="00413A09"/>
    <w:rsid w:val="00413A0C"/>
    <w:rsid w:val="00413A31"/>
    <w:rsid w:val="00413A61"/>
    <w:rsid w:val="00413A80"/>
    <w:rsid w:val="00413B5C"/>
    <w:rsid w:val="00413B67"/>
    <w:rsid w:val="00413B9F"/>
    <w:rsid w:val="00413BB1"/>
    <w:rsid w:val="00413C0F"/>
    <w:rsid w:val="00413C32"/>
    <w:rsid w:val="00413C45"/>
    <w:rsid w:val="00413C49"/>
    <w:rsid w:val="00413C51"/>
    <w:rsid w:val="00413C69"/>
    <w:rsid w:val="00413C8E"/>
    <w:rsid w:val="00413CB0"/>
    <w:rsid w:val="00413E1E"/>
    <w:rsid w:val="00413E4B"/>
    <w:rsid w:val="00413E7A"/>
    <w:rsid w:val="00413E98"/>
    <w:rsid w:val="00413F38"/>
    <w:rsid w:val="00413F3E"/>
    <w:rsid w:val="00413F83"/>
    <w:rsid w:val="00413FC0"/>
    <w:rsid w:val="00413FFD"/>
    <w:rsid w:val="00414147"/>
    <w:rsid w:val="0041416F"/>
    <w:rsid w:val="00414184"/>
    <w:rsid w:val="00414198"/>
    <w:rsid w:val="004141A7"/>
    <w:rsid w:val="004141C3"/>
    <w:rsid w:val="00414309"/>
    <w:rsid w:val="0041436B"/>
    <w:rsid w:val="00414376"/>
    <w:rsid w:val="00414390"/>
    <w:rsid w:val="0041446D"/>
    <w:rsid w:val="00414540"/>
    <w:rsid w:val="00414553"/>
    <w:rsid w:val="0041456A"/>
    <w:rsid w:val="004145F4"/>
    <w:rsid w:val="0041461C"/>
    <w:rsid w:val="0041464E"/>
    <w:rsid w:val="00414668"/>
    <w:rsid w:val="0041469B"/>
    <w:rsid w:val="00414718"/>
    <w:rsid w:val="0041475B"/>
    <w:rsid w:val="00414764"/>
    <w:rsid w:val="00414783"/>
    <w:rsid w:val="004147C8"/>
    <w:rsid w:val="0041480D"/>
    <w:rsid w:val="0041486F"/>
    <w:rsid w:val="004148DF"/>
    <w:rsid w:val="0041492D"/>
    <w:rsid w:val="0041494F"/>
    <w:rsid w:val="004149C2"/>
    <w:rsid w:val="004149EB"/>
    <w:rsid w:val="00414A54"/>
    <w:rsid w:val="00414A5C"/>
    <w:rsid w:val="00414A7D"/>
    <w:rsid w:val="00414A90"/>
    <w:rsid w:val="00414AF5"/>
    <w:rsid w:val="00414AFB"/>
    <w:rsid w:val="00414B11"/>
    <w:rsid w:val="00414B90"/>
    <w:rsid w:val="00414B95"/>
    <w:rsid w:val="00414C35"/>
    <w:rsid w:val="00414C4B"/>
    <w:rsid w:val="00414C62"/>
    <w:rsid w:val="00414C89"/>
    <w:rsid w:val="00414C8C"/>
    <w:rsid w:val="00414CF2"/>
    <w:rsid w:val="00414CFE"/>
    <w:rsid w:val="00414D81"/>
    <w:rsid w:val="00414D87"/>
    <w:rsid w:val="00414E36"/>
    <w:rsid w:val="00414E46"/>
    <w:rsid w:val="00414E51"/>
    <w:rsid w:val="00414E92"/>
    <w:rsid w:val="00414EDE"/>
    <w:rsid w:val="00414F25"/>
    <w:rsid w:val="00414F4E"/>
    <w:rsid w:val="00414F68"/>
    <w:rsid w:val="0041506A"/>
    <w:rsid w:val="00415134"/>
    <w:rsid w:val="0041515C"/>
    <w:rsid w:val="00415240"/>
    <w:rsid w:val="0041528D"/>
    <w:rsid w:val="004152F1"/>
    <w:rsid w:val="004152FB"/>
    <w:rsid w:val="00415313"/>
    <w:rsid w:val="00415336"/>
    <w:rsid w:val="00415375"/>
    <w:rsid w:val="004153B1"/>
    <w:rsid w:val="004153B7"/>
    <w:rsid w:val="004153FF"/>
    <w:rsid w:val="0041541A"/>
    <w:rsid w:val="0041541B"/>
    <w:rsid w:val="00415610"/>
    <w:rsid w:val="00415686"/>
    <w:rsid w:val="00415690"/>
    <w:rsid w:val="004156C4"/>
    <w:rsid w:val="004156CB"/>
    <w:rsid w:val="004156DB"/>
    <w:rsid w:val="004156E8"/>
    <w:rsid w:val="0041571A"/>
    <w:rsid w:val="0041576C"/>
    <w:rsid w:val="004157F4"/>
    <w:rsid w:val="00415849"/>
    <w:rsid w:val="00415881"/>
    <w:rsid w:val="00415890"/>
    <w:rsid w:val="004158DB"/>
    <w:rsid w:val="00415909"/>
    <w:rsid w:val="0041590A"/>
    <w:rsid w:val="00415922"/>
    <w:rsid w:val="0041596C"/>
    <w:rsid w:val="00415974"/>
    <w:rsid w:val="00415A63"/>
    <w:rsid w:val="00415AB4"/>
    <w:rsid w:val="00415AE2"/>
    <w:rsid w:val="00415AEE"/>
    <w:rsid w:val="00415AFE"/>
    <w:rsid w:val="00415B05"/>
    <w:rsid w:val="00415B25"/>
    <w:rsid w:val="00415B4C"/>
    <w:rsid w:val="00415B88"/>
    <w:rsid w:val="00415BB7"/>
    <w:rsid w:val="00415C38"/>
    <w:rsid w:val="00415C64"/>
    <w:rsid w:val="00415C74"/>
    <w:rsid w:val="00415CC3"/>
    <w:rsid w:val="00415CFF"/>
    <w:rsid w:val="00415D0A"/>
    <w:rsid w:val="00415DC7"/>
    <w:rsid w:val="00415E6D"/>
    <w:rsid w:val="00415EA1"/>
    <w:rsid w:val="00415EC1"/>
    <w:rsid w:val="00415EE0"/>
    <w:rsid w:val="00415F31"/>
    <w:rsid w:val="00415F75"/>
    <w:rsid w:val="00415F78"/>
    <w:rsid w:val="00416048"/>
    <w:rsid w:val="004160B2"/>
    <w:rsid w:val="00416110"/>
    <w:rsid w:val="0041611C"/>
    <w:rsid w:val="004161B3"/>
    <w:rsid w:val="004161C8"/>
    <w:rsid w:val="00416208"/>
    <w:rsid w:val="004162C5"/>
    <w:rsid w:val="00416356"/>
    <w:rsid w:val="0041635D"/>
    <w:rsid w:val="00416374"/>
    <w:rsid w:val="0041639F"/>
    <w:rsid w:val="004163DF"/>
    <w:rsid w:val="00416423"/>
    <w:rsid w:val="0041646E"/>
    <w:rsid w:val="004164FD"/>
    <w:rsid w:val="004165A1"/>
    <w:rsid w:val="004165BE"/>
    <w:rsid w:val="004165C3"/>
    <w:rsid w:val="004165DB"/>
    <w:rsid w:val="004166BF"/>
    <w:rsid w:val="00416807"/>
    <w:rsid w:val="00416823"/>
    <w:rsid w:val="00416824"/>
    <w:rsid w:val="00416842"/>
    <w:rsid w:val="00416859"/>
    <w:rsid w:val="00416863"/>
    <w:rsid w:val="00416873"/>
    <w:rsid w:val="0041688F"/>
    <w:rsid w:val="004168B0"/>
    <w:rsid w:val="0041694F"/>
    <w:rsid w:val="00416A10"/>
    <w:rsid w:val="00416A26"/>
    <w:rsid w:val="00416A2A"/>
    <w:rsid w:val="00416A73"/>
    <w:rsid w:val="00416A75"/>
    <w:rsid w:val="00416B5F"/>
    <w:rsid w:val="00416B97"/>
    <w:rsid w:val="00416BDF"/>
    <w:rsid w:val="00416C07"/>
    <w:rsid w:val="00416C11"/>
    <w:rsid w:val="00416C63"/>
    <w:rsid w:val="00416CD5"/>
    <w:rsid w:val="00416CE1"/>
    <w:rsid w:val="00416D0B"/>
    <w:rsid w:val="00416D1F"/>
    <w:rsid w:val="00416D59"/>
    <w:rsid w:val="00416D5D"/>
    <w:rsid w:val="00416E15"/>
    <w:rsid w:val="00416E4B"/>
    <w:rsid w:val="00416ED5"/>
    <w:rsid w:val="00416F11"/>
    <w:rsid w:val="00416F29"/>
    <w:rsid w:val="00416F89"/>
    <w:rsid w:val="00416FE1"/>
    <w:rsid w:val="00417075"/>
    <w:rsid w:val="004170B8"/>
    <w:rsid w:val="0041713E"/>
    <w:rsid w:val="00417199"/>
    <w:rsid w:val="004171FE"/>
    <w:rsid w:val="0041725E"/>
    <w:rsid w:val="00417277"/>
    <w:rsid w:val="00417369"/>
    <w:rsid w:val="0041739A"/>
    <w:rsid w:val="004173BD"/>
    <w:rsid w:val="004173BE"/>
    <w:rsid w:val="004173CF"/>
    <w:rsid w:val="004173FD"/>
    <w:rsid w:val="00417410"/>
    <w:rsid w:val="0041744B"/>
    <w:rsid w:val="00417477"/>
    <w:rsid w:val="0041748A"/>
    <w:rsid w:val="0041749C"/>
    <w:rsid w:val="00417546"/>
    <w:rsid w:val="0041754F"/>
    <w:rsid w:val="004175A0"/>
    <w:rsid w:val="004175E2"/>
    <w:rsid w:val="0041765F"/>
    <w:rsid w:val="004176DC"/>
    <w:rsid w:val="0041772C"/>
    <w:rsid w:val="00417747"/>
    <w:rsid w:val="004177A2"/>
    <w:rsid w:val="004177AA"/>
    <w:rsid w:val="00417828"/>
    <w:rsid w:val="004178EB"/>
    <w:rsid w:val="0041795C"/>
    <w:rsid w:val="0041795F"/>
    <w:rsid w:val="00417973"/>
    <w:rsid w:val="004179A1"/>
    <w:rsid w:val="00417A69"/>
    <w:rsid w:val="00417AD5"/>
    <w:rsid w:val="00417AE1"/>
    <w:rsid w:val="00417B47"/>
    <w:rsid w:val="00417B50"/>
    <w:rsid w:val="00417BA3"/>
    <w:rsid w:val="00417BB9"/>
    <w:rsid w:val="00417C14"/>
    <w:rsid w:val="00417C51"/>
    <w:rsid w:val="00417C63"/>
    <w:rsid w:val="00417C7B"/>
    <w:rsid w:val="00417D18"/>
    <w:rsid w:val="00417D89"/>
    <w:rsid w:val="00417DB4"/>
    <w:rsid w:val="00417E18"/>
    <w:rsid w:val="00417E33"/>
    <w:rsid w:val="00417E77"/>
    <w:rsid w:val="00417E86"/>
    <w:rsid w:val="00417ED1"/>
    <w:rsid w:val="00417F40"/>
    <w:rsid w:val="00417FAD"/>
    <w:rsid w:val="00417FD1"/>
    <w:rsid w:val="00417FF2"/>
    <w:rsid w:val="00420028"/>
    <w:rsid w:val="00420042"/>
    <w:rsid w:val="00420050"/>
    <w:rsid w:val="004200F6"/>
    <w:rsid w:val="0042011C"/>
    <w:rsid w:val="0042026E"/>
    <w:rsid w:val="0042028B"/>
    <w:rsid w:val="004202CE"/>
    <w:rsid w:val="0042030D"/>
    <w:rsid w:val="004203BD"/>
    <w:rsid w:val="004203EE"/>
    <w:rsid w:val="00420400"/>
    <w:rsid w:val="00420458"/>
    <w:rsid w:val="004204EC"/>
    <w:rsid w:val="00420511"/>
    <w:rsid w:val="0042052A"/>
    <w:rsid w:val="00420535"/>
    <w:rsid w:val="004205F6"/>
    <w:rsid w:val="004205F7"/>
    <w:rsid w:val="00420610"/>
    <w:rsid w:val="00420613"/>
    <w:rsid w:val="004206E1"/>
    <w:rsid w:val="00420763"/>
    <w:rsid w:val="004207D4"/>
    <w:rsid w:val="00420B0C"/>
    <w:rsid w:val="00420B70"/>
    <w:rsid w:val="00420BCE"/>
    <w:rsid w:val="00420C18"/>
    <w:rsid w:val="00420D59"/>
    <w:rsid w:val="00420D75"/>
    <w:rsid w:val="00420EC7"/>
    <w:rsid w:val="00420EDA"/>
    <w:rsid w:val="00420EF2"/>
    <w:rsid w:val="00420F3A"/>
    <w:rsid w:val="00421007"/>
    <w:rsid w:val="00421018"/>
    <w:rsid w:val="004210C2"/>
    <w:rsid w:val="004210EC"/>
    <w:rsid w:val="00421148"/>
    <w:rsid w:val="0042121D"/>
    <w:rsid w:val="00421349"/>
    <w:rsid w:val="00421356"/>
    <w:rsid w:val="004214EA"/>
    <w:rsid w:val="00421529"/>
    <w:rsid w:val="00421613"/>
    <w:rsid w:val="00421614"/>
    <w:rsid w:val="0042162B"/>
    <w:rsid w:val="004216B5"/>
    <w:rsid w:val="004216C2"/>
    <w:rsid w:val="00421700"/>
    <w:rsid w:val="0042170A"/>
    <w:rsid w:val="004217A9"/>
    <w:rsid w:val="004217AB"/>
    <w:rsid w:val="00421817"/>
    <w:rsid w:val="0042182A"/>
    <w:rsid w:val="00421864"/>
    <w:rsid w:val="004218C2"/>
    <w:rsid w:val="00421922"/>
    <w:rsid w:val="00421986"/>
    <w:rsid w:val="004219A0"/>
    <w:rsid w:val="00421A4E"/>
    <w:rsid w:val="00421AF4"/>
    <w:rsid w:val="00421BC5"/>
    <w:rsid w:val="00421C4F"/>
    <w:rsid w:val="00421C51"/>
    <w:rsid w:val="00421CB7"/>
    <w:rsid w:val="00421CEF"/>
    <w:rsid w:val="00421DCA"/>
    <w:rsid w:val="00421DCC"/>
    <w:rsid w:val="00421DF4"/>
    <w:rsid w:val="00421E22"/>
    <w:rsid w:val="00421E7B"/>
    <w:rsid w:val="00421EDC"/>
    <w:rsid w:val="00421F23"/>
    <w:rsid w:val="00421F99"/>
    <w:rsid w:val="00422053"/>
    <w:rsid w:val="004220CE"/>
    <w:rsid w:val="004220EB"/>
    <w:rsid w:val="00422161"/>
    <w:rsid w:val="00422179"/>
    <w:rsid w:val="004221CF"/>
    <w:rsid w:val="00422240"/>
    <w:rsid w:val="0042230E"/>
    <w:rsid w:val="00422322"/>
    <w:rsid w:val="0042237D"/>
    <w:rsid w:val="004223A1"/>
    <w:rsid w:val="00422453"/>
    <w:rsid w:val="00422458"/>
    <w:rsid w:val="0042245B"/>
    <w:rsid w:val="00422470"/>
    <w:rsid w:val="004224C7"/>
    <w:rsid w:val="004224CD"/>
    <w:rsid w:val="0042252F"/>
    <w:rsid w:val="0042255D"/>
    <w:rsid w:val="004225E7"/>
    <w:rsid w:val="004225F5"/>
    <w:rsid w:val="00422605"/>
    <w:rsid w:val="0042261B"/>
    <w:rsid w:val="00422743"/>
    <w:rsid w:val="00422774"/>
    <w:rsid w:val="00422779"/>
    <w:rsid w:val="004227B5"/>
    <w:rsid w:val="004227D6"/>
    <w:rsid w:val="00422825"/>
    <w:rsid w:val="0042282C"/>
    <w:rsid w:val="00422932"/>
    <w:rsid w:val="004229B6"/>
    <w:rsid w:val="00422A6C"/>
    <w:rsid w:val="00422B18"/>
    <w:rsid w:val="00422BBC"/>
    <w:rsid w:val="00422C0B"/>
    <w:rsid w:val="00422CC0"/>
    <w:rsid w:val="00422D16"/>
    <w:rsid w:val="00422DC7"/>
    <w:rsid w:val="00422EC2"/>
    <w:rsid w:val="00422EE3"/>
    <w:rsid w:val="00422F01"/>
    <w:rsid w:val="00422F18"/>
    <w:rsid w:val="00422F94"/>
    <w:rsid w:val="00422FB8"/>
    <w:rsid w:val="0042304E"/>
    <w:rsid w:val="00423074"/>
    <w:rsid w:val="004230C4"/>
    <w:rsid w:val="004230CE"/>
    <w:rsid w:val="004230D6"/>
    <w:rsid w:val="0042313D"/>
    <w:rsid w:val="004231A6"/>
    <w:rsid w:val="004231F4"/>
    <w:rsid w:val="0042327E"/>
    <w:rsid w:val="00423330"/>
    <w:rsid w:val="004233C1"/>
    <w:rsid w:val="004233D1"/>
    <w:rsid w:val="004233EF"/>
    <w:rsid w:val="0042342B"/>
    <w:rsid w:val="00423444"/>
    <w:rsid w:val="00423475"/>
    <w:rsid w:val="004234C1"/>
    <w:rsid w:val="004234CE"/>
    <w:rsid w:val="004234DF"/>
    <w:rsid w:val="00423518"/>
    <w:rsid w:val="00423563"/>
    <w:rsid w:val="00423570"/>
    <w:rsid w:val="004235A5"/>
    <w:rsid w:val="004235C0"/>
    <w:rsid w:val="0042363B"/>
    <w:rsid w:val="00423648"/>
    <w:rsid w:val="0042369C"/>
    <w:rsid w:val="004236FB"/>
    <w:rsid w:val="0042373C"/>
    <w:rsid w:val="00423762"/>
    <w:rsid w:val="00423789"/>
    <w:rsid w:val="00423806"/>
    <w:rsid w:val="00423860"/>
    <w:rsid w:val="004238B8"/>
    <w:rsid w:val="004238BD"/>
    <w:rsid w:val="004238D3"/>
    <w:rsid w:val="004238EC"/>
    <w:rsid w:val="00423925"/>
    <w:rsid w:val="00423940"/>
    <w:rsid w:val="00423973"/>
    <w:rsid w:val="0042397C"/>
    <w:rsid w:val="004239C7"/>
    <w:rsid w:val="00423A19"/>
    <w:rsid w:val="00423AE0"/>
    <w:rsid w:val="00423AE2"/>
    <w:rsid w:val="00423B7B"/>
    <w:rsid w:val="00423BEC"/>
    <w:rsid w:val="00423C83"/>
    <w:rsid w:val="00423C93"/>
    <w:rsid w:val="00423D02"/>
    <w:rsid w:val="00423D13"/>
    <w:rsid w:val="00423D4F"/>
    <w:rsid w:val="00423D96"/>
    <w:rsid w:val="00423DFE"/>
    <w:rsid w:val="00423ED8"/>
    <w:rsid w:val="00423EE5"/>
    <w:rsid w:val="00423F18"/>
    <w:rsid w:val="00423FCB"/>
    <w:rsid w:val="00423FFD"/>
    <w:rsid w:val="0042406A"/>
    <w:rsid w:val="00424156"/>
    <w:rsid w:val="0042426D"/>
    <w:rsid w:val="004242DF"/>
    <w:rsid w:val="00424345"/>
    <w:rsid w:val="00424382"/>
    <w:rsid w:val="004243A0"/>
    <w:rsid w:val="004243C4"/>
    <w:rsid w:val="004243CB"/>
    <w:rsid w:val="00424406"/>
    <w:rsid w:val="00424440"/>
    <w:rsid w:val="004244E5"/>
    <w:rsid w:val="00424546"/>
    <w:rsid w:val="00424575"/>
    <w:rsid w:val="004245EA"/>
    <w:rsid w:val="00424605"/>
    <w:rsid w:val="0042464C"/>
    <w:rsid w:val="00424724"/>
    <w:rsid w:val="00424729"/>
    <w:rsid w:val="0042480C"/>
    <w:rsid w:val="00424827"/>
    <w:rsid w:val="00424839"/>
    <w:rsid w:val="0042488D"/>
    <w:rsid w:val="004248BE"/>
    <w:rsid w:val="00424907"/>
    <w:rsid w:val="00424985"/>
    <w:rsid w:val="0042498E"/>
    <w:rsid w:val="004249E7"/>
    <w:rsid w:val="00424A96"/>
    <w:rsid w:val="00424AFE"/>
    <w:rsid w:val="00424BF7"/>
    <w:rsid w:val="00424C5C"/>
    <w:rsid w:val="00424C65"/>
    <w:rsid w:val="00424CB2"/>
    <w:rsid w:val="00424CD3"/>
    <w:rsid w:val="00424CFD"/>
    <w:rsid w:val="00424D29"/>
    <w:rsid w:val="00424D51"/>
    <w:rsid w:val="00424DEA"/>
    <w:rsid w:val="00424E53"/>
    <w:rsid w:val="00424EA9"/>
    <w:rsid w:val="00424F06"/>
    <w:rsid w:val="00424F53"/>
    <w:rsid w:val="00424F8D"/>
    <w:rsid w:val="00424FB7"/>
    <w:rsid w:val="00425001"/>
    <w:rsid w:val="00425029"/>
    <w:rsid w:val="0042503A"/>
    <w:rsid w:val="00425046"/>
    <w:rsid w:val="00425097"/>
    <w:rsid w:val="004250A2"/>
    <w:rsid w:val="004250B7"/>
    <w:rsid w:val="004250CD"/>
    <w:rsid w:val="00425194"/>
    <w:rsid w:val="00425196"/>
    <w:rsid w:val="004251A0"/>
    <w:rsid w:val="004251C0"/>
    <w:rsid w:val="004251FF"/>
    <w:rsid w:val="0042524A"/>
    <w:rsid w:val="0042529D"/>
    <w:rsid w:val="004252C6"/>
    <w:rsid w:val="00425364"/>
    <w:rsid w:val="0042539A"/>
    <w:rsid w:val="0042541B"/>
    <w:rsid w:val="00425447"/>
    <w:rsid w:val="004254C9"/>
    <w:rsid w:val="0042554F"/>
    <w:rsid w:val="004255F7"/>
    <w:rsid w:val="00425611"/>
    <w:rsid w:val="0042564E"/>
    <w:rsid w:val="0042565E"/>
    <w:rsid w:val="004256DC"/>
    <w:rsid w:val="004256E3"/>
    <w:rsid w:val="004256FD"/>
    <w:rsid w:val="00425728"/>
    <w:rsid w:val="004257DA"/>
    <w:rsid w:val="0042584F"/>
    <w:rsid w:val="00425851"/>
    <w:rsid w:val="004258FC"/>
    <w:rsid w:val="0042592D"/>
    <w:rsid w:val="0042596C"/>
    <w:rsid w:val="00425997"/>
    <w:rsid w:val="004259E5"/>
    <w:rsid w:val="00425A12"/>
    <w:rsid w:val="00425A3A"/>
    <w:rsid w:val="00425A42"/>
    <w:rsid w:val="00425AB6"/>
    <w:rsid w:val="00425ACE"/>
    <w:rsid w:val="00425B06"/>
    <w:rsid w:val="00425B1E"/>
    <w:rsid w:val="00425C0D"/>
    <w:rsid w:val="00425C8E"/>
    <w:rsid w:val="00425CB5"/>
    <w:rsid w:val="00425CD6"/>
    <w:rsid w:val="00425D0F"/>
    <w:rsid w:val="00425D12"/>
    <w:rsid w:val="00425D6A"/>
    <w:rsid w:val="00425DBE"/>
    <w:rsid w:val="00425DC5"/>
    <w:rsid w:val="00425DC8"/>
    <w:rsid w:val="00425E65"/>
    <w:rsid w:val="00425E89"/>
    <w:rsid w:val="00425EDC"/>
    <w:rsid w:val="00425EF1"/>
    <w:rsid w:val="00425F58"/>
    <w:rsid w:val="00425F7C"/>
    <w:rsid w:val="00425FE5"/>
    <w:rsid w:val="0042601C"/>
    <w:rsid w:val="004260B9"/>
    <w:rsid w:val="00426139"/>
    <w:rsid w:val="0042616A"/>
    <w:rsid w:val="00426178"/>
    <w:rsid w:val="00426184"/>
    <w:rsid w:val="004261BC"/>
    <w:rsid w:val="004261CB"/>
    <w:rsid w:val="004261DB"/>
    <w:rsid w:val="00426247"/>
    <w:rsid w:val="0042624E"/>
    <w:rsid w:val="00426273"/>
    <w:rsid w:val="0042639F"/>
    <w:rsid w:val="004263F9"/>
    <w:rsid w:val="0042645F"/>
    <w:rsid w:val="0042647D"/>
    <w:rsid w:val="0042648F"/>
    <w:rsid w:val="004264E2"/>
    <w:rsid w:val="0042651D"/>
    <w:rsid w:val="00426546"/>
    <w:rsid w:val="0042659D"/>
    <w:rsid w:val="00426604"/>
    <w:rsid w:val="0042663A"/>
    <w:rsid w:val="00426689"/>
    <w:rsid w:val="00426789"/>
    <w:rsid w:val="00426845"/>
    <w:rsid w:val="0042686E"/>
    <w:rsid w:val="004268FC"/>
    <w:rsid w:val="0042691F"/>
    <w:rsid w:val="00426931"/>
    <w:rsid w:val="00426935"/>
    <w:rsid w:val="00426970"/>
    <w:rsid w:val="00426974"/>
    <w:rsid w:val="00426986"/>
    <w:rsid w:val="004269A7"/>
    <w:rsid w:val="004269ED"/>
    <w:rsid w:val="00426A65"/>
    <w:rsid w:val="00426A79"/>
    <w:rsid w:val="00426AC4"/>
    <w:rsid w:val="00426AC7"/>
    <w:rsid w:val="00426AF1"/>
    <w:rsid w:val="00426AF2"/>
    <w:rsid w:val="00426B21"/>
    <w:rsid w:val="00426B36"/>
    <w:rsid w:val="00426B64"/>
    <w:rsid w:val="00426BE7"/>
    <w:rsid w:val="00426C7F"/>
    <w:rsid w:val="00426CED"/>
    <w:rsid w:val="00426CF6"/>
    <w:rsid w:val="00426D0E"/>
    <w:rsid w:val="00426D31"/>
    <w:rsid w:val="00426E97"/>
    <w:rsid w:val="00426EDD"/>
    <w:rsid w:val="00427021"/>
    <w:rsid w:val="00427022"/>
    <w:rsid w:val="00427067"/>
    <w:rsid w:val="00427071"/>
    <w:rsid w:val="00427087"/>
    <w:rsid w:val="0042713F"/>
    <w:rsid w:val="00427159"/>
    <w:rsid w:val="004271F0"/>
    <w:rsid w:val="0042721B"/>
    <w:rsid w:val="004272C1"/>
    <w:rsid w:val="004272F9"/>
    <w:rsid w:val="00427354"/>
    <w:rsid w:val="00427358"/>
    <w:rsid w:val="00427376"/>
    <w:rsid w:val="00427398"/>
    <w:rsid w:val="004274B9"/>
    <w:rsid w:val="00427531"/>
    <w:rsid w:val="0042753C"/>
    <w:rsid w:val="00427660"/>
    <w:rsid w:val="00427690"/>
    <w:rsid w:val="004276A9"/>
    <w:rsid w:val="00427747"/>
    <w:rsid w:val="00427873"/>
    <w:rsid w:val="004278A3"/>
    <w:rsid w:val="004278D2"/>
    <w:rsid w:val="004278E5"/>
    <w:rsid w:val="0042796E"/>
    <w:rsid w:val="004279F2"/>
    <w:rsid w:val="00427A21"/>
    <w:rsid w:val="00427A26"/>
    <w:rsid w:val="00427A59"/>
    <w:rsid w:val="00427B1F"/>
    <w:rsid w:val="00427BA4"/>
    <w:rsid w:val="00427CC1"/>
    <w:rsid w:val="00427D1A"/>
    <w:rsid w:val="00427D27"/>
    <w:rsid w:val="00427D4A"/>
    <w:rsid w:val="00427DA9"/>
    <w:rsid w:val="00427E01"/>
    <w:rsid w:val="00427EDF"/>
    <w:rsid w:val="00427F13"/>
    <w:rsid w:val="00427F3E"/>
    <w:rsid w:val="00427F4F"/>
    <w:rsid w:val="00427FD2"/>
    <w:rsid w:val="00427FDC"/>
    <w:rsid w:val="004300F8"/>
    <w:rsid w:val="0043012A"/>
    <w:rsid w:val="0043016A"/>
    <w:rsid w:val="0043018E"/>
    <w:rsid w:val="004301B9"/>
    <w:rsid w:val="004301BF"/>
    <w:rsid w:val="004301D0"/>
    <w:rsid w:val="004301E8"/>
    <w:rsid w:val="004302D9"/>
    <w:rsid w:val="004302F0"/>
    <w:rsid w:val="004303C4"/>
    <w:rsid w:val="004303E1"/>
    <w:rsid w:val="004304B6"/>
    <w:rsid w:val="0043050D"/>
    <w:rsid w:val="00430579"/>
    <w:rsid w:val="004305DB"/>
    <w:rsid w:val="0043062D"/>
    <w:rsid w:val="004306D1"/>
    <w:rsid w:val="004307B6"/>
    <w:rsid w:val="0043081D"/>
    <w:rsid w:val="00430837"/>
    <w:rsid w:val="00430885"/>
    <w:rsid w:val="00430894"/>
    <w:rsid w:val="0043089D"/>
    <w:rsid w:val="004308C1"/>
    <w:rsid w:val="00430931"/>
    <w:rsid w:val="00430933"/>
    <w:rsid w:val="00430963"/>
    <w:rsid w:val="00430994"/>
    <w:rsid w:val="0043099B"/>
    <w:rsid w:val="00430A74"/>
    <w:rsid w:val="00430B27"/>
    <w:rsid w:val="00430B66"/>
    <w:rsid w:val="00430BB0"/>
    <w:rsid w:val="00430BD4"/>
    <w:rsid w:val="00430C9E"/>
    <w:rsid w:val="00430CF8"/>
    <w:rsid w:val="00430DE7"/>
    <w:rsid w:val="00430E83"/>
    <w:rsid w:val="00430F1D"/>
    <w:rsid w:val="00430F29"/>
    <w:rsid w:val="00430F2A"/>
    <w:rsid w:val="00430F5E"/>
    <w:rsid w:val="00430FD6"/>
    <w:rsid w:val="00430FFF"/>
    <w:rsid w:val="0043102A"/>
    <w:rsid w:val="0043104D"/>
    <w:rsid w:val="00431087"/>
    <w:rsid w:val="004310C5"/>
    <w:rsid w:val="004310F1"/>
    <w:rsid w:val="004311A0"/>
    <w:rsid w:val="004312A3"/>
    <w:rsid w:val="004312EE"/>
    <w:rsid w:val="004312FD"/>
    <w:rsid w:val="0043131D"/>
    <w:rsid w:val="0043133B"/>
    <w:rsid w:val="0043135E"/>
    <w:rsid w:val="004313A1"/>
    <w:rsid w:val="004313AC"/>
    <w:rsid w:val="004313FF"/>
    <w:rsid w:val="00431408"/>
    <w:rsid w:val="00431483"/>
    <w:rsid w:val="0043153A"/>
    <w:rsid w:val="00431541"/>
    <w:rsid w:val="00431583"/>
    <w:rsid w:val="004315AF"/>
    <w:rsid w:val="00431612"/>
    <w:rsid w:val="00431626"/>
    <w:rsid w:val="0043162B"/>
    <w:rsid w:val="004316A0"/>
    <w:rsid w:val="004316B5"/>
    <w:rsid w:val="00431743"/>
    <w:rsid w:val="004317BF"/>
    <w:rsid w:val="004317E4"/>
    <w:rsid w:val="0043182B"/>
    <w:rsid w:val="0043185B"/>
    <w:rsid w:val="00431964"/>
    <w:rsid w:val="0043198C"/>
    <w:rsid w:val="004319B4"/>
    <w:rsid w:val="004319D8"/>
    <w:rsid w:val="00431AAF"/>
    <w:rsid w:val="00431B5A"/>
    <w:rsid w:val="00431BFD"/>
    <w:rsid w:val="00431C2E"/>
    <w:rsid w:val="00431D0D"/>
    <w:rsid w:val="00431D40"/>
    <w:rsid w:val="00431D74"/>
    <w:rsid w:val="00431D84"/>
    <w:rsid w:val="00431DC2"/>
    <w:rsid w:val="00431DFC"/>
    <w:rsid w:val="00431E49"/>
    <w:rsid w:val="00431E84"/>
    <w:rsid w:val="00431EF9"/>
    <w:rsid w:val="00431F60"/>
    <w:rsid w:val="00431F96"/>
    <w:rsid w:val="00431FF7"/>
    <w:rsid w:val="00431FFF"/>
    <w:rsid w:val="00432020"/>
    <w:rsid w:val="00432083"/>
    <w:rsid w:val="004320EB"/>
    <w:rsid w:val="004320ED"/>
    <w:rsid w:val="0043214D"/>
    <w:rsid w:val="004321A6"/>
    <w:rsid w:val="004322C3"/>
    <w:rsid w:val="00432334"/>
    <w:rsid w:val="004323B5"/>
    <w:rsid w:val="004323D7"/>
    <w:rsid w:val="0043243A"/>
    <w:rsid w:val="0043245F"/>
    <w:rsid w:val="0043246B"/>
    <w:rsid w:val="00432495"/>
    <w:rsid w:val="004324ED"/>
    <w:rsid w:val="0043252E"/>
    <w:rsid w:val="00432536"/>
    <w:rsid w:val="00432539"/>
    <w:rsid w:val="004325F9"/>
    <w:rsid w:val="00432670"/>
    <w:rsid w:val="00432697"/>
    <w:rsid w:val="004326E2"/>
    <w:rsid w:val="00432710"/>
    <w:rsid w:val="0043277E"/>
    <w:rsid w:val="0043286D"/>
    <w:rsid w:val="0043289D"/>
    <w:rsid w:val="004328B5"/>
    <w:rsid w:val="004328CC"/>
    <w:rsid w:val="00432947"/>
    <w:rsid w:val="0043298B"/>
    <w:rsid w:val="0043299A"/>
    <w:rsid w:val="004329B2"/>
    <w:rsid w:val="004329C5"/>
    <w:rsid w:val="00432AC5"/>
    <w:rsid w:val="00432AF8"/>
    <w:rsid w:val="00432B34"/>
    <w:rsid w:val="00432BA3"/>
    <w:rsid w:val="00432C32"/>
    <w:rsid w:val="00432CAA"/>
    <w:rsid w:val="00432D08"/>
    <w:rsid w:val="00432D99"/>
    <w:rsid w:val="00432DA8"/>
    <w:rsid w:val="00432E49"/>
    <w:rsid w:val="00432F67"/>
    <w:rsid w:val="00432F79"/>
    <w:rsid w:val="00432F90"/>
    <w:rsid w:val="0043303E"/>
    <w:rsid w:val="00433052"/>
    <w:rsid w:val="004330D7"/>
    <w:rsid w:val="004331C6"/>
    <w:rsid w:val="0043320C"/>
    <w:rsid w:val="0043321A"/>
    <w:rsid w:val="0043328D"/>
    <w:rsid w:val="004332A7"/>
    <w:rsid w:val="00433350"/>
    <w:rsid w:val="00433369"/>
    <w:rsid w:val="004333BC"/>
    <w:rsid w:val="004333C2"/>
    <w:rsid w:val="00433468"/>
    <w:rsid w:val="004334AD"/>
    <w:rsid w:val="00433507"/>
    <w:rsid w:val="00433638"/>
    <w:rsid w:val="0043366B"/>
    <w:rsid w:val="00433768"/>
    <w:rsid w:val="0043376A"/>
    <w:rsid w:val="004337C8"/>
    <w:rsid w:val="004338B6"/>
    <w:rsid w:val="004338D2"/>
    <w:rsid w:val="0043390A"/>
    <w:rsid w:val="0043390D"/>
    <w:rsid w:val="00433999"/>
    <w:rsid w:val="004339F2"/>
    <w:rsid w:val="00433A1B"/>
    <w:rsid w:val="00433A2E"/>
    <w:rsid w:val="00433A6C"/>
    <w:rsid w:val="00433A77"/>
    <w:rsid w:val="00433B04"/>
    <w:rsid w:val="00433B14"/>
    <w:rsid w:val="00433B2D"/>
    <w:rsid w:val="00433B87"/>
    <w:rsid w:val="00433BFC"/>
    <w:rsid w:val="00433C31"/>
    <w:rsid w:val="00433C4D"/>
    <w:rsid w:val="00433C6B"/>
    <w:rsid w:val="00433D61"/>
    <w:rsid w:val="00433DBB"/>
    <w:rsid w:val="00433E34"/>
    <w:rsid w:val="00433E8C"/>
    <w:rsid w:val="00433EC0"/>
    <w:rsid w:val="00433F20"/>
    <w:rsid w:val="00433F97"/>
    <w:rsid w:val="00433FB2"/>
    <w:rsid w:val="00433FC4"/>
    <w:rsid w:val="00433FE4"/>
    <w:rsid w:val="004340BC"/>
    <w:rsid w:val="004340D7"/>
    <w:rsid w:val="0043417F"/>
    <w:rsid w:val="00434191"/>
    <w:rsid w:val="0043419D"/>
    <w:rsid w:val="00434213"/>
    <w:rsid w:val="0043421C"/>
    <w:rsid w:val="004343EE"/>
    <w:rsid w:val="00434463"/>
    <w:rsid w:val="004344D8"/>
    <w:rsid w:val="00434722"/>
    <w:rsid w:val="0043472F"/>
    <w:rsid w:val="00434736"/>
    <w:rsid w:val="00434742"/>
    <w:rsid w:val="0043474C"/>
    <w:rsid w:val="0043477B"/>
    <w:rsid w:val="00434784"/>
    <w:rsid w:val="004347E4"/>
    <w:rsid w:val="0043489E"/>
    <w:rsid w:val="0043489F"/>
    <w:rsid w:val="004348BF"/>
    <w:rsid w:val="004348D3"/>
    <w:rsid w:val="004348F7"/>
    <w:rsid w:val="00434936"/>
    <w:rsid w:val="00434948"/>
    <w:rsid w:val="00434955"/>
    <w:rsid w:val="00434977"/>
    <w:rsid w:val="00434996"/>
    <w:rsid w:val="00434A0D"/>
    <w:rsid w:val="00434A16"/>
    <w:rsid w:val="00434A2D"/>
    <w:rsid w:val="00434A32"/>
    <w:rsid w:val="00434A9A"/>
    <w:rsid w:val="00434B1D"/>
    <w:rsid w:val="00434B74"/>
    <w:rsid w:val="00434B9D"/>
    <w:rsid w:val="00434BB1"/>
    <w:rsid w:val="00434C0D"/>
    <w:rsid w:val="00434CCB"/>
    <w:rsid w:val="00434D11"/>
    <w:rsid w:val="00434D14"/>
    <w:rsid w:val="00434E23"/>
    <w:rsid w:val="00434E8B"/>
    <w:rsid w:val="00434F4B"/>
    <w:rsid w:val="00435037"/>
    <w:rsid w:val="00435128"/>
    <w:rsid w:val="0043513C"/>
    <w:rsid w:val="00435142"/>
    <w:rsid w:val="004351D2"/>
    <w:rsid w:val="0043522B"/>
    <w:rsid w:val="00435296"/>
    <w:rsid w:val="00435315"/>
    <w:rsid w:val="00435360"/>
    <w:rsid w:val="0043538D"/>
    <w:rsid w:val="004353E2"/>
    <w:rsid w:val="004353EB"/>
    <w:rsid w:val="004353F6"/>
    <w:rsid w:val="0043542E"/>
    <w:rsid w:val="00435516"/>
    <w:rsid w:val="0043553B"/>
    <w:rsid w:val="00435542"/>
    <w:rsid w:val="00435559"/>
    <w:rsid w:val="00435600"/>
    <w:rsid w:val="00435644"/>
    <w:rsid w:val="0043565C"/>
    <w:rsid w:val="004356E0"/>
    <w:rsid w:val="00435778"/>
    <w:rsid w:val="0043579E"/>
    <w:rsid w:val="00435827"/>
    <w:rsid w:val="0043589F"/>
    <w:rsid w:val="00435981"/>
    <w:rsid w:val="00435994"/>
    <w:rsid w:val="004359D3"/>
    <w:rsid w:val="004359EA"/>
    <w:rsid w:val="00435A60"/>
    <w:rsid w:val="00435AEB"/>
    <w:rsid w:val="00435B01"/>
    <w:rsid w:val="00435B4A"/>
    <w:rsid w:val="00435BCB"/>
    <w:rsid w:val="00435BFE"/>
    <w:rsid w:val="00435C23"/>
    <w:rsid w:val="00435CD9"/>
    <w:rsid w:val="00435CFC"/>
    <w:rsid w:val="00435D6F"/>
    <w:rsid w:val="00435E3C"/>
    <w:rsid w:val="00435E74"/>
    <w:rsid w:val="00435EFD"/>
    <w:rsid w:val="00435EFE"/>
    <w:rsid w:val="00435F07"/>
    <w:rsid w:val="00435F98"/>
    <w:rsid w:val="00436052"/>
    <w:rsid w:val="0043613D"/>
    <w:rsid w:val="00436209"/>
    <w:rsid w:val="00436211"/>
    <w:rsid w:val="00436237"/>
    <w:rsid w:val="0043624B"/>
    <w:rsid w:val="004362A1"/>
    <w:rsid w:val="00436308"/>
    <w:rsid w:val="00436334"/>
    <w:rsid w:val="004363A1"/>
    <w:rsid w:val="00436452"/>
    <w:rsid w:val="004364AF"/>
    <w:rsid w:val="004364B9"/>
    <w:rsid w:val="004364EB"/>
    <w:rsid w:val="00436576"/>
    <w:rsid w:val="004365C8"/>
    <w:rsid w:val="004365F1"/>
    <w:rsid w:val="00436656"/>
    <w:rsid w:val="00436684"/>
    <w:rsid w:val="00436692"/>
    <w:rsid w:val="0043680C"/>
    <w:rsid w:val="0043687E"/>
    <w:rsid w:val="0043689E"/>
    <w:rsid w:val="004368AC"/>
    <w:rsid w:val="00436A20"/>
    <w:rsid w:val="00436A49"/>
    <w:rsid w:val="00436AF4"/>
    <w:rsid w:val="00436B53"/>
    <w:rsid w:val="00436B8F"/>
    <w:rsid w:val="00436BCF"/>
    <w:rsid w:val="00436C15"/>
    <w:rsid w:val="00436C54"/>
    <w:rsid w:val="00436C59"/>
    <w:rsid w:val="00436C80"/>
    <w:rsid w:val="00436C9E"/>
    <w:rsid w:val="00436D23"/>
    <w:rsid w:val="00436D5B"/>
    <w:rsid w:val="00436DC5"/>
    <w:rsid w:val="00436DE8"/>
    <w:rsid w:val="00436EA6"/>
    <w:rsid w:val="00436EDE"/>
    <w:rsid w:val="00437146"/>
    <w:rsid w:val="0043715A"/>
    <w:rsid w:val="004371A8"/>
    <w:rsid w:val="004371BF"/>
    <w:rsid w:val="004371C7"/>
    <w:rsid w:val="004371F7"/>
    <w:rsid w:val="0043723E"/>
    <w:rsid w:val="004372C4"/>
    <w:rsid w:val="00437345"/>
    <w:rsid w:val="00437348"/>
    <w:rsid w:val="00437350"/>
    <w:rsid w:val="00437358"/>
    <w:rsid w:val="00437373"/>
    <w:rsid w:val="00437387"/>
    <w:rsid w:val="00437425"/>
    <w:rsid w:val="00437449"/>
    <w:rsid w:val="00437459"/>
    <w:rsid w:val="00437463"/>
    <w:rsid w:val="0043748C"/>
    <w:rsid w:val="004374A2"/>
    <w:rsid w:val="00437536"/>
    <w:rsid w:val="00437553"/>
    <w:rsid w:val="00437577"/>
    <w:rsid w:val="004375C2"/>
    <w:rsid w:val="004375E7"/>
    <w:rsid w:val="0043760A"/>
    <w:rsid w:val="0043766F"/>
    <w:rsid w:val="004376FC"/>
    <w:rsid w:val="0043774B"/>
    <w:rsid w:val="0043774D"/>
    <w:rsid w:val="004377B0"/>
    <w:rsid w:val="00437826"/>
    <w:rsid w:val="004378AC"/>
    <w:rsid w:val="004378B5"/>
    <w:rsid w:val="00437964"/>
    <w:rsid w:val="00437968"/>
    <w:rsid w:val="00437975"/>
    <w:rsid w:val="00437AC9"/>
    <w:rsid w:val="00437ACC"/>
    <w:rsid w:val="00437BA1"/>
    <w:rsid w:val="00437BAC"/>
    <w:rsid w:val="00437BBC"/>
    <w:rsid w:val="00437BDB"/>
    <w:rsid w:val="00437C07"/>
    <w:rsid w:val="00437C3D"/>
    <w:rsid w:val="00437C86"/>
    <w:rsid w:val="00437CFB"/>
    <w:rsid w:val="00437D51"/>
    <w:rsid w:val="00437E1E"/>
    <w:rsid w:val="00437E20"/>
    <w:rsid w:val="00437E90"/>
    <w:rsid w:val="00437F50"/>
    <w:rsid w:val="00437F95"/>
    <w:rsid w:val="00437F9B"/>
    <w:rsid w:val="00437FE5"/>
    <w:rsid w:val="00440032"/>
    <w:rsid w:val="00440033"/>
    <w:rsid w:val="0044004A"/>
    <w:rsid w:val="0044006B"/>
    <w:rsid w:val="00440081"/>
    <w:rsid w:val="0044008B"/>
    <w:rsid w:val="004400CB"/>
    <w:rsid w:val="004400D5"/>
    <w:rsid w:val="00440114"/>
    <w:rsid w:val="0044017A"/>
    <w:rsid w:val="004401C4"/>
    <w:rsid w:val="004402E4"/>
    <w:rsid w:val="004402FD"/>
    <w:rsid w:val="0044038F"/>
    <w:rsid w:val="004403A8"/>
    <w:rsid w:val="004403C2"/>
    <w:rsid w:val="00440423"/>
    <w:rsid w:val="00440463"/>
    <w:rsid w:val="0044050E"/>
    <w:rsid w:val="00440550"/>
    <w:rsid w:val="0044056B"/>
    <w:rsid w:val="004405B1"/>
    <w:rsid w:val="004405E5"/>
    <w:rsid w:val="00440682"/>
    <w:rsid w:val="004406CD"/>
    <w:rsid w:val="004406DC"/>
    <w:rsid w:val="00440722"/>
    <w:rsid w:val="00440766"/>
    <w:rsid w:val="004407FE"/>
    <w:rsid w:val="00440836"/>
    <w:rsid w:val="00440916"/>
    <w:rsid w:val="0044097E"/>
    <w:rsid w:val="004409D4"/>
    <w:rsid w:val="004409EC"/>
    <w:rsid w:val="00440A29"/>
    <w:rsid w:val="00440B22"/>
    <w:rsid w:val="00440B30"/>
    <w:rsid w:val="00440B55"/>
    <w:rsid w:val="00440B67"/>
    <w:rsid w:val="00440BB2"/>
    <w:rsid w:val="00440D4E"/>
    <w:rsid w:val="00440DC5"/>
    <w:rsid w:val="00440FEF"/>
    <w:rsid w:val="00441034"/>
    <w:rsid w:val="00441066"/>
    <w:rsid w:val="0044111D"/>
    <w:rsid w:val="004412F8"/>
    <w:rsid w:val="00441360"/>
    <w:rsid w:val="00441384"/>
    <w:rsid w:val="00441388"/>
    <w:rsid w:val="004413D0"/>
    <w:rsid w:val="0044141C"/>
    <w:rsid w:val="00441517"/>
    <w:rsid w:val="00441523"/>
    <w:rsid w:val="0044158C"/>
    <w:rsid w:val="004415FE"/>
    <w:rsid w:val="00441635"/>
    <w:rsid w:val="004416C2"/>
    <w:rsid w:val="0044171E"/>
    <w:rsid w:val="0044181B"/>
    <w:rsid w:val="00441853"/>
    <w:rsid w:val="0044195C"/>
    <w:rsid w:val="004419CF"/>
    <w:rsid w:val="00441A1C"/>
    <w:rsid w:val="00441BB7"/>
    <w:rsid w:val="00441D02"/>
    <w:rsid w:val="00441D48"/>
    <w:rsid w:val="00441D4C"/>
    <w:rsid w:val="00441D8E"/>
    <w:rsid w:val="00441DB5"/>
    <w:rsid w:val="00441DEB"/>
    <w:rsid w:val="00441E09"/>
    <w:rsid w:val="00441E43"/>
    <w:rsid w:val="00441E8C"/>
    <w:rsid w:val="00441F16"/>
    <w:rsid w:val="00441F5A"/>
    <w:rsid w:val="00441F94"/>
    <w:rsid w:val="00442005"/>
    <w:rsid w:val="00442014"/>
    <w:rsid w:val="0044203E"/>
    <w:rsid w:val="004420A3"/>
    <w:rsid w:val="004420A4"/>
    <w:rsid w:val="004420BA"/>
    <w:rsid w:val="004421FC"/>
    <w:rsid w:val="0044230A"/>
    <w:rsid w:val="00442358"/>
    <w:rsid w:val="00442392"/>
    <w:rsid w:val="004423E0"/>
    <w:rsid w:val="004423FF"/>
    <w:rsid w:val="004424C7"/>
    <w:rsid w:val="004424E9"/>
    <w:rsid w:val="004425BB"/>
    <w:rsid w:val="00442620"/>
    <w:rsid w:val="00442635"/>
    <w:rsid w:val="004426A6"/>
    <w:rsid w:val="00442716"/>
    <w:rsid w:val="00442724"/>
    <w:rsid w:val="00442725"/>
    <w:rsid w:val="00442737"/>
    <w:rsid w:val="0044273D"/>
    <w:rsid w:val="00442768"/>
    <w:rsid w:val="0044279E"/>
    <w:rsid w:val="004427E2"/>
    <w:rsid w:val="0044280D"/>
    <w:rsid w:val="0044282A"/>
    <w:rsid w:val="0044284B"/>
    <w:rsid w:val="00442890"/>
    <w:rsid w:val="004428AC"/>
    <w:rsid w:val="004428C8"/>
    <w:rsid w:val="004428D0"/>
    <w:rsid w:val="004428F8"/>
    <w:rsid w:val="00442914"/>
    <w:rsid w:val="0044296E"/>
    <w:rsid w:val="004429CA"/>
    <w:rsid w:val="00442A06"/>
    <w:rsid w:val="00442AB2"/>
    <w:rsid w:val="00442AB9"/>
    <w:rsid w:val="00442B1F"/>
    <w:rsid w:val="00442B5E"/>
    <w:rsid w:val="00442B83"/>
    <w:rsid w:val="00442B93"/>
    <w:rsid w:val="00442B9E"/>
    <w:rsid w:val="00442BA2"/>
    <w:rsid w:val="00442BB2"/>
    <w:rsid w:val="00442BC3"/>
    <w:rsid w:val="00442BC8"/>
    <w:rsid w:val="00442CC7"/>
    <w:rsid w:val="00442D12"/>
    <w:rsid w:val="00442E8A"/>
    <w:rsid w:val="00442F60"/>
    <w:rsid w:val="00443131"/>
    <w:rsid w:val="00443136"/>
    <w:rsid w:val="0044314A"/>
    <w:rsid w:val="004431D2"/>
    <w:rsid w:val="00443222"/>
    <w:rsid w:val="0044322D"/>
    <w:rsid w:val="004432D5"/>
    <w:rsid w:val="004433AA"/>
    <w:rsid w:val="00443426"/>
    <w:rsid w:val="00443448"/>
    <w:rsid w:val="004434A8"/>
    <w:rsid w:val="004434BC"/>
    <w:rsid w:val="0044350C"/>
    <w:rsid w:val="0044350E"/>
    <w:rsid w:val="00443539"/>
    <w:rsid w:val="00443553"/>
    <w:rsid w:val="00443586"/>
    <w:rsid w:val="004435F2"/>
    <w:rsid w:val="0044360A"/>
    <w:rsid w:val="00443799"/>
    <w:rsid w:val="004437D5"/>
    <w:rsid w:val="00443868"/>
    <w:rsid w:val="0044386A"/>
    <w:rsid w:val="004438B7"/>
    <w:rsid w:val="004438BD"/>
    <w:rsid w:val="004438C9"/>
    <w:rsid w:val="00443A09"/>
    <w:rsid w:val="00443A41"/>
    <w:rsid w:val="00443AC2"/>
    <w:rsid w:val="00443B1F"/>
    <w:rsid w:val="00443B47"/>
    <w:rsid w:val="00443B50"/>
    <w:rsid w:val="00443BDC"/>
    <w:rsid w:val="00443C82"/>
    <w:rsid w:val="00443C93"/>
    <w:rsid w:val="00443CB9"/>
    <w:rsid w:val="00443CBB"/>
    <w:rsid w:val="00443D4B"/>
    <w:rsid w:val="00443D5F"/>
    <w:rsid w:val="00443D71"/>
    <w:rsid w:val="00443D78"/>
    <w:rsid w:val="00443EDA"/>
    <w:rsid w:val="00443EF1"/>
    <w:rsid w:val="00443EF5"/>
    <w:rsid w:val="00443FAF"/>
    <w:rsid w:val="00443FFA"/>
    <w:rsid w:val="0044401B"/>
    <w:rsid w:val="00444048"/>
    <w:rsid w:val="00444066"/>
    <w:rsid w:val="004440A3"/>
    <w:rsid w:val="004440C6"/>
    <w:rsid w:val="0044411A"/>
    <w:rsid w:val="00444156"/>
    <w:rsid w:val="00444165"/>
    <w:rsid w:val="004441F7"/>
    <w:rsid w:val="0044425E"/>
    <w:rsid w:val="004442AB"/>
    <w:rsid w:val="00444320"/>
    <w:rsid w:val="00444343"/>
    <w:rsid w:val="00444449"/>
    <w:rsid w:val="0044445D"/>
    <w:rsid w:val="004444D7"/>
    <w:rsid w:val="0044451B"/>
    <w:rsid w:val="00444590"/>
    <w:rsid w:val="004445D0"/>
    <w:rsid w:val="00444653"/>
    <w:rsid w:val="00444661"/>
    <w:rsid w:val="004446B9"/>
    <w:rsid w:val="00444713"/>
    <w:rsid w:val="00444722"/>
    <w:rsid w:val="00444732"/>
    <w:rsid w:val="00444799"/>
    <w:rsid w:val="004447B1"/>
    <w:rsid w:val="00444847"/>
    <w:rsid w:val="004448AA"/>
    <w:rsid w:val="004448D9"/>
    <w:rsid w:val="004448F6"/>
    <w:rsid w:val="0044492F"/>
    <w:rsid w:val="00444959"/>
    <w:rsid w:val="00444A20"/>
    <w:rsid w:val="00444A92"/>
    <w:rsid w:val="00444AA1"/>
    <w:rsid w:val="00444AFA"/>
    <w:rsid w:val="00444B51"/>
    <w:rsid w:val="00444B7C"/>
    <w:rsid w:val="00444CA1"/>
    <w:rsid w:val="00444DA9"/>
    <w:rsid w:val="00444E20"/>
    <w:rsid w:val="00444EB6"/>
    <w:rsid w:val="00444F20"/>
    <w:rsid w:val="00444F53"/>
    <w:rsid w:val="00444FBD"/>
    <w:rsid w:val="00445038"/>
    <w:rsid w:val="004450A0"/>
    <w:rsid w:val="0044513D"/>
    <w:rsid w:val="00445154"/>
    <w:rsid w:val="004451B1"/>
    <w:rsid w:val="004452B9"/>
    <w:rsid w:val="004452C5"/>
    <w:rsid w:val="00445380"/>
    <w:rsid w:val="0044542D"/>
    <w:rsid w:val="0044547F"/>
    <w:rsid w:val="00445520"/>
    <w:rsid w:val="00445558"/>
    <w:rsid w:val="004455AF"/>
    <w:rsid w:val="00445602"/>
    <w:rsid w:val="00445624"/>
    <w:rsid w:val="00445644"/>
    <w:rsid w:val="004456A8"/>
    <w:rsid w:val="004456ED"/>
    <w:rsid w:val="00445727"/>
    <w:rsid w:val="00445732"/>
    <w:rsid w:val="004458BA"/>
    <w:rsid w:val="00445954"/>
    <w:rsid w:val="00445990"/>
    <w:rsid w:val="004459B1"/>
    <w:rsid w:val="004459FE"/>
    <w:rsid w:val="00445A4F"/>
    <w:rsid w:val="00445A70"/>
    <w:rsid w:val="00445AD5"/>
    <w:rsid w:val="00445AED"/>
    <w:rsid w:val="00445AF2"/>
    <w:rsid w:val="00445AFE"/>
    <w:rsid w:val="00445B3F"/>
    <w:rsid w:val="00445B95"/>
    <w:rsid w:val="00445BA0"/>
    <w:rsid w:val="00445C91"/>
    <w:rsid w:val="00445CAF"/>
    <w:rsid w:val="00445D1F"/>
    <w:rsid w:val="00445DDB"/>
    <w:rsid w:val="00445E30"/>
    <w:rsid w:val="00445E33"/>
    <w:rsid w:val="00445E8B"/>
    <w:rsid w:val="00445F95"/>
    <w:rsid w:val="00445FB2"/>
    <w:rsid w:val="00445FE0"/>
    <w:rsid w:val="00445FE5"/>
    <w:rsid w:val="004460B3"/>
    <w:rsid w:val="004460D9"/>
    <w:rsid w:val="004460DF"/>
    <w:rsid w:val="004460EE"/>
    <w:rsid w:val="004461C8"/>
    <w:rsid w:val="004461D3"/>
    <w:rsid w:val="004461E5"/>
    <w:rsid w:val="004462EA"/>
    <w:rsid w:val="004463E3"/>
    <w:rsid w:val="00446576"/>
    <w:rsid w:val="00446591"/>
    <w:rsid w:val="004465FE"/>
    <w:rsid w:val="0044665F"/>
    <w:rsid w:val="0044666E"/>
    <w:rsid w:val="004466A5"/>
    <w:rsid w:val="004466B6"/>
    <w:rsid w:val="00446704"/>
    <w:rsid w:val="00446748"/>
    <w:rsid w:val="004467EC"/>
    <w:rsid w:val="004467FE"/>
    <w:rsid w:val="0044680E"/>
    <w:rsid w:val="00446815"/>
    <w:rsid w:val="0044686F"/>
    <w:rsid w:val="0044698F"/>
    <w:rsid w:val="004469A5"/>
    <w:rsid w:val="004469BF"/>
    <w:rsid w:val="004469C0"/>
    <w:rsid w:val="00446A2A"/>
    <w:rsid w:val="00446ACC"/>
    <w:rsid w:val="00446B76"/>
    <w:rsid w:val="00446BC8"/>
    <w:rsid w:val="00446BD7"/>
    <w:rsid w:val="00446BE9"/>
    <w:rsid w:val="00446C2F"/>
    <w:rsid w:val="00446C32"/>
    <w:rsid w:val="00446C3A"/>
    <w:rsid w:val="00446CA9"/>
    <w:rsid w:val="00446D14"/>
    <w:rsid w:val="00446D16"/>
    <w:rsid w:val="00446D26"/>
    <w:rsid w:val="00446D34"/>
    <w:rsid w:val="00446DB4"/>
    <w:rsid w:val="00446E1B"/>
    <w:rsid w:val="00446E20"/>
    <w:rsid w:val="00446E69"/>
    <w:rsid w:val="00446ECE"/>
    <w:rsid w:val="00446F2B"/>
    <w:rsid w:val="00446F2E"/>
    <w:rsid w:val="00446FA9"/>
    <w:rsid w:val="00446FC5"/>
    <w:rsid w:val="00447084"/>
    <w:rsid w:val="004470E9"/>
    <w:rsid w:val="004470ED"/>
    <w:rsid w:val="004470F9"/>
    <w:rsid w:val="00447201"/>
    <w:rsid w:val="00447207"/>
    <w:rsid w:val="0044720F"/>
    <w:rsid w:val="0044731D"/>
    <w:rsid w:val="0044736A"/>
    <w:rsid w:val="00447372"/>
    <w:rsid w:val="00447446"/>
    <w:rsid w:val="004474AC"/>
    <w:rsid w:val="00447531"/>
    <w:rsid w:val="004475CA"/>
    <w:rsid w:val="0044767F"/>
    <w:rsid w:val="00447683"/>
    <w:rsid w:val="004476E2"/>
    <w:rsid w:val="004476FA"/>
    <w:rsid w:val="00447703"/>
    <w:rsid w:val="00447704"/>
    <w:rsid w:val="00447713"/>
    <w:rsid w:val="0044780F"/>
    <w:rsid w:val="00447842"/>
    <w:rsid w:val="0044786F"/>
    <w:rsid w:val="004478B8"/>
    <w:rsid w:val="004478CE"/>
    <w:rsid w:val="004478F0"/>
    <w:rsid w:val="00447925"/>
    <w:rsid w:val="00447AB3"/>
    <w:rsid w:val="00447AF0"/>
    <w:rsid w:val="00447B3E"/>
    <w:rsid w:val="00447B8C"/>
    <w:rsid w:val="00447BE8"/>
    <w:rsid w:val="00447C30"/>
    <w:rsid w:val="00447C36"/>
    <w:rsid w:val="00447CE1"/>
    <w:rsid w:val="00447CF9"/>
    <w:rsid w:val="00447D36"/>
    <w:rsid w:val="00447DA3"/>
    <w:rsid w:val="00447E00"/>
    <w:rsid w:val="00447E0D"/>
    <w:rsid w:val="00447E39"/>
    <w:rsid w:val="00447EA3"/>
    <w:rsid w:val="00447ED7"/>
    <w:rsid w:val="00447EF4"/>
    <w:rsid w:val="00447F12"/>
    <w:rsid w:val="00447F13"/>
    <w:rsid w:val="00447F23"/>
    <w:rsid w:val="00447F41"/>
    <w:rsid w:val="00447F88"/>
    <w:rsid w:val="00450005"/>
    <w:rsid w:val="00450057"/>
    <w:rsid w:val="004500C6"/>
    <w:rsid w:val="004501A1"/>
    <w:rsid w:val="0045026A"/>
    <w:rsid w:val="00450278"/>
    <w:rsid w:val="0045035D"/>
    <w:rsid w:val="0045038A"/>
    <w:rsid w:val="004503AE"/>
    <w:rsid w:val="004503F3"/>
    <w:rsid w:val="00450401"/>
    <w:rsid w:val="00450444"/>
    <w:rsid w:val="00450471"/>
    <w:rsid w:val="004505D8"/>
    <w:rsid w:val="00450600"/>
    <w:rsid w:val="0045064E"/>
    <w:rsid w:val="004506C3"/>
    <w:rsid w:val="00450705"/>
    <w:rsid w:val="00450774"/>
    <w:rsid w:val="00450782"/>
    <w:rsid w:val="0045087C"/>
    <w:rsid w:val="00450996"/>
    <w:rsid w:val="004509ED"/>
    <w:rsid w:val="00450A5A"/>
    <w:rsid w:val="00450AB0"/>
    <w:rsid w:val="00450B46"/>
    <w:rsid w:val="00450B58"/>
    <w:rsid w:val="00450C9F"/>
    <w:rsid w:val="00450CE3"/>
    <w:rsid w:val="00450DEC"/>
    <w:rsid w:val="00450E62"/>
    <w:rsid w:val="00450E7F"/>
    <w:rsid w:val="00450EC7"/>
    <w:rsid w:val="00450ED7"/>
    <w:rsid w:val="00450F16"/>
    <w:rsid w:val="00450F46"/>
    <w:rsid w:val="00450F50"/>
    <w:rsid w:val="00450F52"/>
    <w:rsid w:val="00450FF4"/>
    <w:rsid w:val="00451058"/>
    <w:rsid w:val="00451100"/>
    <w:rsid w:val="00451119"/>
    <w:rsid w:val="00451126"/>
    <w:rsid w:val="0045113F"/>
    <w:rsid w:val="004511C0"/>
    <w:rsid w:val="004511FA"/>
    <w:rsid w:val="004512A3"/>
    <w:rsid w:val="00451333"/>
    <w:rsid w:val="004513B8"/>
    <w:rsid w:val="0045143C"/>
    <w:rsid w:val="00451506"/>
    <w:rsid w:val="00451534"/>
    <w:rsid w:val="0045165C"/>
    <w:rsid w:val="0045169A"/>
    <w:rsid w:val="004516EB"/>
    <w:rsid w:val="004516EC"/>
    <w:rsid w:val="00451719"/>
    <w:rsid w:val="00451735"/>
    <w:rsid w:val="00451741"/>
    <w:rsid w:val="0045176E"/>
    <w:rsid w:val="004517A8"/>
    <w:rsid w:val="004517CA"/>
    <w:rsid w:val="004517D0"/>
    <w:rsid w:val="004517E4"/>
    <w:rsid w:val="00451814"/>
    <w:rsid w:val="0045186C"/>
    <w:rsid w:val="00451894"/>
    <w:rsid w:val="004518E7"/>
    <w:rsid w:val="00451974"/>
    <w:rsid w:val="0045198D"/>
    <w:rsid w:val="00451A30"/>
    <w:rsid w:val="00451A93"/>
    <w:rsid w:val="00451A98"/>
    <w:rsid w:val="00451B5B"/>
    <w:rsid w:val="00451B65"/>
    <w:rsid w:val="00451BA6"/>
    <w:rsid w:val="00451BB9"/>
    <w:rsid w:val="00451BD3"/>
    <w:rsid w:val="00451BFB"/>
    <w:rsid w:val="00451C2A"/>
    <w:rsid w:val="00451C41"/>
    <w:rsid w:val="00451CA8"/>
    <w:rsid w:val="00451CB2"/>
    <w:rsid w:val="00451CB6"/>
    <w:rsid w:val="00451D24"/>
    <w:rsid w:val="00451D3E"/>
    <w:rsid w:val="00451D53"/>
    <w:rsid w:val="00451D6E"/>
    <w:rsid w:val="00451D9F"/>
    <w:rsid w:val="00451DFF"/>
    <w:rsid w:val="00451E1D"/>
    <w:rsid w:val="00451E2B"/>
    <w:rsid w:val="00451E61"/>
    <w:rsid w:val="00452043"/>
    <w:rsid w:val="00452079"/>
    <w:rsid w:val="0045208E"/>
    <w:rsid w:val="004520F3"/>
    <w:rsid w:val="004520F6"/>
    <w:rsid w:val="00452121"/>
    <w:rsid w:val="0045213F"/>
    <w:rsid w:val="00452173"/>
    <w:rsid w:val="004521B6"/>
    <w:rsid w:val="004521C4"/>
    <w:rsid w:val="004521CE"/>
    <w:rsid w:val="00452289"/>
    <w:rsid w:val="004522D9"/>
    <w:rsid w:val="0045231F"/>
    <w:rsid w:val="0045233E"/>
    <w:rsid w:val="00452369"/>
    <w:rsid w:val="0045237A"/>
    <w:rsid w:val="00452409"/>
    <w:rsid w:val="00452460"/>
    <w:rsid w:val="00452474"/>
    <w:rsid w:val="004525A8"/>
    <w:rsid w:val="0045264E"/>
    <w:rsid w:val="00452658"/>
    <w:rsid w:val="004526CC"/>
    <w:rsid w:val="00452740"/>
    <w:rsid w:val="00452795"/>
    <w:rsid w:val="004527B8"/>
    <w:rsid w:val="0045283B"/>
    <w:rsid w:val="0045286E"/>
    <w:rsid w:val="00452880"/>
    <w:rsid w:val="004528B8"/>
    <w:rsid w:val="004528F6"/>
    <w:rsid w:val="00452908"/>
    <w:rsid w:val="00452946"/>
    <w:rsid w:val="00452A42"/>
    <w:rsid w:val="00452A9A"/>
    <w:rsid w:val="00452ABD"/>
    <w:rsid w:val="00452B12"/>
    <w:rsid w:val="00452B2D"/>
    <w:rsid w:val="00452B2F"/>
    <w:rsid w:val="00452B40"/>
    <w:rsid w:val="00452B57"/>
    <w:rsid w:val="00452BAA"/>
    <w:rsid w:val="00452BAB"/>
    <w:rsid w:val="00452BFD"/>
    <w:rsid w:val="00452C5F"/>
    <w:rsid w:val="00452D1C"/>
    <w:rsid w:val="00452D20"/>
    <w:rsid w:val="00452D74"/>
    <w:rsid w:val="00452D92"/>
    <w:rsid w:val="00452DB6"/>
    <w:rsid w:val="00452DCF"/>
    <w:rsid w:val="00452DEF"/>
    <w:rsid w:val="00452E09"/>
    <w:rsid w:val="00452E25"/>
    <w:rsid w:val="00452E4E"/>
    <w:rsid w:val="00452E7B"/>
    <w:rsid w:val="00452E81"/>
    <w:rsid w:val="00452ECA"/>
    <w:rsid w:val="00452F3E"/>
    <w:rsid w:val="00452F77"/>
    <w:rsid w:val="00452F7C"/>
    <w:rsid w:val="00452FE9"/>
    <w:rsid w:val="00453009"/>
    <w:rsid w:val="00453026"/>
    <w:rsid w:val="004530DE"/>
    <w:rsid w:val="004530E6"/>
    <w:rsid w:val="00453116"/>
    <w:rsid w:val="00453168"/>
    <w:rsid w:val="00453195"/>
    <w:rsid w:val="00453197"/>
    <w:rsid w:val="00453232"/>
    <w:rsid w:val="004532C2"/>
    <w:rsid w:val="004532ED"/>
    <w:rsid w:val="0045333B"/>
    <w:rsid w:val="00453383"/>
    <w:rsid w:val="00453612"/>
    <w:rsid w:val="00453678"/>
    <w:rsid w:val="004536E4"/>
    <w:rsid w:val="0045372C"/>
    <w:rsid w:val="004537DB"/>
    <w:rsid w:val="00453860"/>
    <w:rsid w:val="0045393B"/>
    <w:rsid w:val="00453954"/>
    <w:rsid w:val="0045398C"/>
    <w:rsid w:val="00453991"/>
    <w:rsid w:val="004539C5"/>
    <w:rsid w:val="00453A09"/>
    <w:rsid w:val="00453A9D"/>
    <w:rsid w:val="00453AA5"/>
    <w:rsid w:val="00453B29"/>
    <w:rsid w:val="00453B44"/>
    <w:rsid w:val="00453B6E"/>
    <w:rsid w:val="00453B81"/>
    <w:rsid w:val="00453C1D"/>
    <w:rsid w:val="00453C65"/>
    <w:rsid w:val="00453C67"/>
    <w:rsid w:val="00453C8D"/>
    <w:rsid w:val="00453CFE"/>
    <w:rsid w:val="00453D36"/>
    <w:rsid w:val="00453D6E"/>
    <w:rsid w:val="00453DD7"/>
    <w:rsid w:val="00453E48"/>
    <w:rsid w:val="00453E94"/>
    <w:rsid w:val="00453F16"/>
    <w:rsid w:val="00453F5B"/>
    <w:rsid w:val="00453FEB"/>
    <w:rsid w:val="0045402A"/>
    <w:rsid w:val="00454074"/>
    <w:rsid w:val="004540AC"/>
    <w:rsid w:val="004540FD"/>
    <w:rsid w:val="0045413C"/>
    <w:rsid w:val="00454219"/>
    <w:rsid w:val="0045427E"/>
    <w:rsid w:val="004542B9"/>
    <w:rsid w:val="004542D6"/>
    <w:rsid w:val="0045438F"/>
    <w:rsid w:val="0045440B"/>
    <w:rsid w:val="0045445D"/>
    <w:rsid w:val="00454489"/>
    <w:rsid w:val="0045449C"/>
    <w:rsid w:val="004544AB"/>
    <w:rsid w:val="004544C2"/>
    <w:rsid w:val="004544D0"/>
    <w:rsid w:val="00454544"/>
    <w:rsid w:val="0045456C"/>
    <w:rsid w:val="004545A1"/>
    <w:rsid w:val="00454629"/>
    <w:rsid w:val="004546B4"/>
    <w:rsid w:val="00454710"/>
    <w:rsid w:val="0045473E"/>
    <w:rsid w:val="00454780"/>
    <w:rsid w:val="004547D6"/>
    <w:rsid w:val="004547EC"/>
    <w:rsid w:val="0045492A"/>
    <w:rsid w:val="00454977"/>
    <w:rsid w:val="004549A5"/>
    <w:rsid w:val="00454A12"/>
    <w:rsid w:val="00454AE1"/>
    <w:rsid w:val="00454B57"/>
    <w:rsid w:val="00454C28"/>
    <w:rsid w:val="00454CBB"/>
    <w:rsid w:val="00454D47"/>
    <w:rsid w:val="00454E88"/>
    <w:rsid w:val="00454E8C"/>
    <w:rsid w:val="00454E99"/>
    <w:rsid w:val="00454EE4"/>
    <w:rsid w:val="00454F45"/>
    <w:rsid w:val="00454FD9"/>
    <w:rsid w:val="00454FF8"/>
    <w:rsid w:val="00455010"/>
    <w:rsid w:val="00455046"/>
    <w:rsid w:val="00455049"/>
    <w:rsid w:val="0045515D"/>
    <w:rsid w:val="004551D8"/>
    <w:rsid w:val="004551F7"/>
    <w:rsid w:val="004551F8"/>
    <w:rsid w:val="0045523F"/>
    <w:rsid w:val="0045526F"/>
    <w:rsid w:val="004552C0"/>
    <w:rsid w:val="004552EC"/>
    <w:rsid w:val="00455344"/>
    <w:rsid w:val="004554AA"/>
    <w:rsid w:val="004554DB"/>
    <w:rsid w:val="00455501"/>
    <w:rsid w:val="0045550D"/>
    <w:rsid w:val="00455547"/>
    <w:rsid w:val="00455560"/>
    <w:rsid w:val="004555C6"/>
    <w:rsid w:val="0045562D"/>
    <w:rsid w:val="004556A0"/>
    <w:rsid w:val="004556E9"/>
    <w:rsid w:val="004556FF"/>
    <w:rsid w:val="00455768"/>
    <w:rsid w:val="00455819"/>
    <w:rsid w:val="00455822"/>
    <w:rsid w:val="0045583C"/>
    <w:rsid w:val="004558AC"/>
    <w:rsid w:val="00455915"/>
    <w:rsid w:val="004559BB"/>
    <w:rsid w:val="004559EA"/>
    <w:rsid w:val="00455A28"/>
    <w:rsid w:val="00455A5E"/>
    <w:rsid w:val="00455A96"/>
    <w:rsid w:val="00455AB7"/>
    <w:rsid w:val="00455B9B"/>
    <w:rsid w:val="00455BD1"/>
    <w:rsid w:val="00455BED"/>
    <w:rsid w:val="00455BF4"/>
    <w:rsid w:val="00455C00"/>
    <w:rsid w:val="00455C0C"/>
    <w:rsid w:val="00455C8D"/>
    <w:rsid w:val="00455CC8"/>
    <w:rsid w:val="00455D20"/>
    <w:rsid w:val="00455D2C"/>
    <w:rsid w:val="00455D3E"/>
    <w:rsid w:val="00455D3F"/>
    <w:rsid w:val="00455D47"/>
    <w:rsid w:val="00455D9C"/>
    <w:rsid w:val="00455E66"/>
    <w:rsid w:val="00455E7D"/>
    <w:rsid w:val="00455ED3"/>
    <w:rsid w:val="00455F07"/>
    <w:rsid w:val="00455F30"/>
    <w:rsid w:val="00455F7F"/>
    <w:rsid w:val="0045606A"/>
    <w:rsid w:val="004560D6"/>
    <w:rsid w:val="004561A1"/>
    <w:rsid w:val="004561E6"/>
    <w:rsid w:val="0045626C"/>
    <w:rsid w:val="00456293"/>
    <w:rsid w:val="00456336"/>
    <w:rsid w:val="00456382"/>
    <w:rsid w:val="004563B5"/>
    <w:rsid w:val="0045644F"/>
    <w:rsid w:val="00456466"/>
    <w:rsid w:val="00456484"/>
    <w:rsid w:val="004564F4"/>
    <w:rsid w:val="00456530"/>
    <w:rsid w:val="00456567"/>
    <w:rsid w:val="004565F1"/>
    <w:rsid w:val="00456767"/>
    <w:rsid w:val="004567DC"/>
    <w:rsid w:val="0045680D"/>
    <w:rsid w:val="00456887"/>
    <w:rsid w:val="004568DF"/>
    <w:rsid w:val="004568F6"/>
    <w:rsid w:val="0045690D"/>
    <w:rsid w:val="00456918"/>
    <w:rsid w:val="004569A3"/>
    <w:rsid w:val="004569D9"/>
    <w:rsid w:val="00456A0E"/>
    <w:rsid w:val="00456A89"/>
    <w:rsid w:val="00456ACE"/>
    <w:rsid w:val="00456AE1"/>
    <w:rsid w:val="00456BAD"/>
    <w:rsid w:val="00456BC0"/>
    <w:rsid w:val="00456BD0"/>
    <w:rsid w:val="00456BF2"/>
    <w:rsid w:val="00456BFC"/>
    <w:rsid w:val="00456C49"/>
    <w:rsid w:val="00456CA5"/>
    <w:rsid w:val="00456D18"/>
    <w:rsid w:val="00456D31"/>
    <w:rsid w:val="00456D6E"/>
    <w:rsid w:val="00456D71"/>
    <w:rsid w:val="00456E63"/>
    <w:rsid w:val="00456EFD"/>
    <w:rsid w:val="00456EFF"/>
    <w:rsid w:val="00456FEE"/>
    <w:rsid w:val="00456FF9"/>
    <w:rsid w:val="0045700A"/>
    <w:rsid w:val="0045709F"/>
    <w:rsid w:val="00457101"/>
    <w:rsid w:val="00457124"/>
    <w:rsid w:val="0045716F"/>
    <w:rsid w:val="00457183"/>
    <w:rsid w:val="0045723A"/>
    <w:rsid w:val="004572EB"/>
    <w:rsid w:val="0045745A"/>
    <w:rsid w:val="004574DA"/>
    <w:rsid w:val="00457528"/>
    <w:rsid w:val="00457588"/>
    <w:rsid w:val="0045758D"/>
    <w:rsid w:val="0045759D"/>
    <w:rsid w:val="004575F1"/>
    <w:rsid w:val="00457667"/>
    <w:rsid w:val="0045766F"/>
    <w:rsid w:val="0045768D"/>
    <w:rsid w:val="0045775C"/>
    <w:rsid w:val="004577F9"/>
    <w:rsid w:val="00457860"/>
    <w:rsid w:val="0045786A"/>
    <w:rsid w:val="004578D1"/>
    <w:rsid w:val="00457911"/>
    <w:rsid w:val="0045792F"/>
    <w:rsid w:val="004579DE"/>
    <w:rsid w:val="004579E0"/>
    <w:rsid w:val="004579E8"/>
    <w:rsid w:val="00457A58"/>
    <w:rsid w:val="00457A6C"/>
    <w:rsid w:val="00457B27"/>
    <w:rsid w:val="00457BBD"/>
    <w:rsid w:val="00457C8F"/>
    <w:rsid w:val="00457CF5"/>
    <w:rsid w:val="00457DBD"/>
    <w:rsid w:val="00457E20"/>
    <w:rsid w:val="00457E39"/>
    <w:rsid w:val="00457E4D"/>
    <w:rsid w:val="00457E70"/>
    <w:rsid w:val="00457ECA"/>
    <w:rsid w:val="00457EDF"/>
    <w:rsid w:val="00457F55"/>
    <w:rsid w:val="00457FA9"/>
    <w:rsid w:val="0046007B"/>
    <w:rsid w:val="004600B6"/>
    <w:rsid w:val="004600F8"/>
    <w:rsid w:val="00460177"/>
    <w:rsid w:val="004601D2"/>
    <w:rsid w:val="004601D6"/>
    <w:rsid w:val="00460218"/>
    <w:rsid w:val="00460250"/>
    <w:rsid w:val="0046026D"/>
    <w:rsid w:val="0046044E"/>
    <w:rsid w:val="0046047C"/>
    <w:rsid w:val="004604ED"/>
    <w:rsid w:val="004605C7"/>
    <w:rsid w:val="0046061C"/>
    <w:rsid w:val="004606AF"/>
    <w:rsid w:val="004606B5"/>
    <w:rsid w:val="004606C4"/>
    <w:rsid w:val="004606D6"/>
    <w:rsid w:val="004606DD"/>
    <w:rsid w:val="0046072F"/>
    <w:rsid w:val="0046073E"/>
    <w:rsid w:val="0046076F"/>
    <w:rsid w:val="004607C9"/>
    <w:rsid w:val="0046082D"/>
    <w:rsid w:val="0046095B"/>
    <w:rsid w:val="00460991"/>
    <w:rsid w:val="00460A34"/>
    <w:rsid w:val="00460A4E"/>
    <w:rsid w:val="00460ACB"/>
    <w:rsid w:val="00460AD8"/>
    <w:rsid w:val="00460ADA"/>
    <w:rsid w:val="00460B7D"/>
    <w:rsid w:val="00460BD0"/>
    <w:rsid w:val="00460BEA"/>
    <w:rsid w:val="00460C2D"/>
    <w:rsid w:val="00460C4C"/>
    <w:rsid w:val="00460C94"/>
    <w:rsid w:val="00460CB6"/>
    <w:rsid w:val="00460CBD"/>
    <w:rsid w:val="00460DAE"/>
    <w:rsid w:val="00460DB7"/>
    <w:rsid w:val="00460E14"/>
    <w:rsid w:val="00460E2C"/>
    <w:rsid w:val="00460F38"/>
    <w:rsid w:val="00460F97"/>
    <w:rsid w:val="00460FD1"/>
    <w:rsid w:val="00460FF3"/>
    <w:rsid w:val="00461011"/>
    <w:rsid w:val="00461034"/>
    <w:rsid w:val="00461035"/>
    <w:rsid w:val="00461046"/>
    <w:rsid w:val="004610C4"/>
    <w:rsid w:val="004610DE"/>
    <w:rsid w:val="004610EF"/>
    <w:rsid w:val="00461109"/>
    <w:rsid w:val="0046112C"/>
    <w:rsid w:val="0046117D"/>
    <w:rsid w:val="00461180"/>
    <w:rsid w:val="0046127E"/>
    <w:rsid w:val="004612EE"/>
    <w:rsid w:val="00461347"/>
    <w:rsid w:val="00461353"/>
    <w:rsid w:val="00461390"/>
    <w:rsid w:val="004613EA"/>
    <w:rsid w:val="004613FF"/>
    <w:rsid w:val="00461409"/>
    <w:rsid w:val="00461412"/>
    <w:rsid w:val="004615B4"/>
    <w:rsid w:val="00461604"/>
    <w:rsid w:val="00461615"/>
    <w:rsid w:val="00461661"/>
    <w:rsid w:val="0046166C"/>
    <w:rsid w:val="004616CF"/>
    <w:rsid w:val="004617F7"/>
    <w:rsid w:val="004617FC"/>
    <w:rsid w:val="004618EF"/>
    <w:rsid w:val="004618F5"/>
    <w:rsid w:val="0046194B"/>
    <w:rsid w:val="004619E0"/>
    <w:rsid w:val="004619E4"/>
    <w:rsid w:val="00461A26"/>
    <w:rsid w:val="00461A2C"/>
    <w:rsid w:val="00461AE6"/>
    <w:rsid w:val="00461B33"/>
    <w:rsid w:val="00461B6A"/>
    <w:rsid w:val="00461B87"/>
    <w:rsid w:val="00461C64"/>
    <w:rsid w:val="00461CD3"/>
    <w:rsid w:val="00461D14"/>
    <w:rsid w:val="00461DAF"/>
    <w:rsid w:val="00461DD2"/>
    <w:rsid w:val="00461DFD"/>
    <w:rsid w:val="00461E5D"/>
    <w:rsid w:val="00461E68"/>
    <w:rsid w:val="00461EB1"/>
    <w:rsid w:val="00461F34"/>
    <w:rsid w:val="00462070"/>
    <w:rsid w:val="004620AA"/>
    <w:rsid w:val="0046213B"/>
    <w:rsid w:val="0046215F"/>
    <w:rsid w:val="00462183"/>
    <w:rsid w:val="0046219B"/>
    <w:rsid w:val="00462266"/>
    <w:rsid w:val="004622FB"/>
    <w:rsid w:val="004623C5"/>
    <w:rsid w:val="004623E5"/>
    <w:rsid w:val="0046246A"/>
    <w:rsid w:val="004624C2"/>
    <w:rsid w:val="00462549"/>
    <w:rsid w:val="00462560"/>
    <w:rsid w:val="00462587"/>
    <w:rsid w:val="004625B7"/>
    <w:rsid w:val="0046265E"/>
    <w:rsid w:val="00462675"/>
    <w:rsid w:val="00462679"/>
    <w:rsid w:val="00462778"/>
    <w:rsid w:val="00462836"/>
    <w:rsid w:val="00462846"/>
    <w:rsid w:val="004628DC"/>
    <w:rsid w:val="00462950"/>
    <w:rsid w:val="004629AD"/>
    <w:rsid w:val="00462A28"/>
    <w:rsid w:val="00462A64"/>
    <w:rsid w:val="00462A97"/>
    <w:rsid w:val="00462AA8"/>
    <w:rsid w:val="00462ACF"/>
    <w:rsid w:val="00462AFE"/>
    <w:rsid w:val="00462B1D"/>
    <w:rsid w:val="00462B5E"/>
    <w:rsid w:val="00462BA5"/>
    <w:rsid w:val="00462C6B"/>
    <w:rsid w:val="00462CEC"/>
    <w:rsid w:val="00462D1E"/>
    <w:rsid w:val="00462D4D"/>
    <w:rsid w:val="00462DA2"/>
    <w:rsid w:val="00462DDF"/>
    <w:rsid w:val="00462E83"/>
    <w:rsid w:val="00462ECC"/>
    <w:rsid w:val="00462EDB"/>
    <w:rsid w:val="00462F3A"/>
    <w:rsid w:val="00462FB7"/>
    <w:rsid w:val="00462FEB"/>
    <w:rsid w:val="00462FF3"/>
    <w:rsid w:val="0046300E"/>
    <w:rsid w:val="004630C6"/>
    <w:rsid w:val="004630E0"/>
    <w:rsid w:val="004630F5"/>
    <w:rsid w:val="00463107"/>
    <w:rsid w:val="00463121"/>
    <w:rsid w:val="00463230"/>
    <w:rsid w:val="004632A1"/>
    <w:rsid w:val="004632C1"/>
    <w:rsid w:val="004632F6"/>
    <w:rsid w:val="00463349"/>
    <w:rsid w:val="00463355"/>
    <w:rsid w:val="0046335E"/>
    <w:rsid w:val="00463406"/>
    <w:rsid w:val="0046342D"/>
    <w:rsid w:val="00463442"/>
    <w:rsid w:val="0046349E"/>
    <w:rsid w:val="004634B3"/>
    <w:rsid w:val="00463522"/>
    <w:rsid w:val="0046355F"/>
    <w:rsid w:val="0046358E"/>
    <w:rsid w:val="004635C8"/>
    <w:rsid w:val="004636CC"/>
    <w:rsid w:val="00463720"/>
    <w:rsid w:val="0046378B"/>
    <w:rsid w:val="004637B3"/>
    <w:rsid w:val="004637F3"/>
    <w:rsid w:val="004637F9"/>
    <w:rsid w:val="0046381C"/>
    <w:rsid w:val="004638FC"/>
    <w:rsid w:val="0046393D"/>
    <w:rsid w:val="0046394D"/>
    <w:rsid w:val="004639D4"/>
    <w:rsid w:val="00463A04"/>
    <w:rsid w:val="00463A41"/>
    <w:rsid w:val="00463BD2"/>
    <w:rsid w:val="00463C53"/>
    <w:rsid w:val="00463C62"/>
    <w:rsid w:val="00463E83"/>
    <w:rsid w:val="00463F03"/>
    <w:rsid w:val="00463F65"/>
    <w:rsid w:val="00463F75"/>
    <w:rsid w:val="00463FC3"/>
    <w:rsid w:val="00463FCC"/>
    <w:rsid w:val="00463FD3"/>
    <w:rsid w:val="00464031"/>
    <w:rsid w:val="00464051"/>
    <w:rsid w:val="004640F2"/>
    <w:rsid w:val="00464140"/>
    <w:rsid w:val="004641DF"/>
    <w:rsid w:val="004641F9"/>
    <w:rsid w:val="004642BB"/>
    <w:rsid w:val="004642F9"/>
    <w:rsid w:val="00464303"/>
    <w:rsid w:val="0046438A"/>
    <w:rsid w:val="004643DF"/>
    <w:rsid w:val="0046443D"/>
    <w:rsid w:val="00464481"/>
    <w:rsid w:val="004644A1"/>
    <w:rsid w:val="00464542"/>
    <w:rsid w:val="00464551"/>
    <w:rsid w:val="004645BE"/>
    <w:rsid w:val="004645CB"/>
    <w:rsid w:val="00464621"/>
    <w:rsid w:val="0046462D"/>
    <w:rsid w:val="00464665"/>
    <w:rsid w:val="004646CD"/>
    <w:rsid w:val="004646D9"/>
    <w:rsid w:val="00464763"/>
    <w:rsid w:val="00464801"/>
    <w:rsid w:val="00464866"/>
    <w:rsid w:val="0046486A"/>
    <w:rsid w:val="0046487C"/>
    <w:rsid w:val="004648C9"/>
    <w:rsid w:val="00464904"/>
    <w:rsid w:val="00464987"/>
    <w:rsid w:val="00464991"/>
    <w:rsid w:val="00464A4B"/>
    <w:rsid w:val="00464A7C"/>
    <w:rsid w:val="00464B0E"/>
    <w:rsid w:val="00464B3A"/>
    <w:rsid w:val="00464C1E"/>
    <w:rsid w:val="00464C26"/>
    <w:rsid w:val="00464C4C"/>
    <w:rsid w:val="00464D9B"/>
    <w:rsid w:val="00464DA4"/>
    <w:rsid w:val="00464DCD"/>
    <w:rsid w:val="00464E68"/>
    <w:rsid w:val="00464EAB"/>
    <w:rsid w:val="00464F24"/>
    <w:rsid w:val="00464F9C"/>
    <w:rsid w:val="00464FD3"/>
    <w:rsid w:val="00465022"/>
    <w:rsid w:val="00465027"/>
    <w:rsid w:val="00465095"/>
    <w:rsid w:val="004650A5"/>
    <w:rsid w:val="0046510A"/>
    <w:rsid w:val="00465179"/>
    <w:rsid w:val="004651B4"/>
    <w:rsid w:val="004651DB"/>
    <w:rsid w:val="004651E6"/>
    <w:rsid w:val="00465294"/>
    <w:rsid w:val="00465329"/>
    <w:rsid w:val="0046532C"/>
    <w:rsid w:val="0046534C"/>
    <w:rsid w:val="0046536B"/>
    <w:rsid w:val="0046539E"/>
    <w:rsid w:val="004653C3"/>
    <w:rsid w:val="0046541F"/>
    <w:rsid w:val="00465474"/>
    <w:rsid w:val="00465513"/>
    <w:rsid w:val="0046554A"/>
    <w:rsid w:val="004655F4"/>
    <w:rsid w:val="00465677"/>
    <w:rsid w:val="004656A0"/>
    <w:rsid w:val="004656A7"/>
    <w:rsid w:val="004656B4"/>
    <w:rsid w:val="004657A3"/>
    <w:rsid w:val="004657AE"/>
    <w:rsid w:val="004657D8"/>
    <w:rsid w:val="004657FC"/>
    <w:rsid w:val="00465826"/>
    <w:rsid w:val="0046586D"/>
    <w:rsid w:val="0046587F"/>
    <w:rsid w:val="004658B9"/>
    <w:rsid w:val="0046591F"/>
    <w:rsid w:val="00465A13"/>
    <w:rsid w:val="00465A74"/>
    <w:rsid w:val="00465A7B"/>
    <w:rsid w:val="00465A8D"/>
    <w:rsid w:val="00465B44"/>
    <w:rsid w:val="00465B6D"/>
    <w:rsid w:val="00465C24"/>
    <w:rsid w:val="00465CA7"/>
    <w:rsid w:val="00465CF7"/>
    <w:rsid w:val="00465D35"/>
    <w:rsid w:val="00465D66"/>
    <w:rsid w:val="00465D73"/>
    <w:rsid w:val="00465DC8"/>
    <w:rsid w:val="00465DCD"/>
    <w:rsid w:val="00465DDD"/>
    <w:rsid w:val="00465DEE"/>
    <w:rsid w:val="00465E90"/>
    <w:rsid w:val="00465F35"/>
    <w:rsid w:val="00465F38"/>
    <w:rsid w:val="00465F6C"/>
    <w:rsid w:val="00465F96"/>
    <w:rsid w:val="00465FD0"/>
    <w:rsid w:val="00466085"/>
    <w:rsid w:val="004660BB"/>
    <w:rsid w:val="00466114"/>
    <w:rsid w:val="00466257"/>
    <w:rsid w:val="004662B9"/>
    <w:rsid w:val="00466368"/>
    <w:rsid w:val="00466389"/>
    <w:rsid w:val="004663B4"/>
    <w:rsid w:val="0046646D"/>
    <w:rsid w:val="00466486"/>
    <w:rsid w:val="0046648B"/>
    <w:rsid w:val="004665DC"/>
    <w:rsid w:val="0046663A"/>
    <w:rsid w:val="004666C8"/>
    <w:rsid w:val="0046672C"/>
    <w:rsid w:val="00466790"/>
    <w:rsid w:val="004667C3"/>
    <w:rsid w:val="004667D1"/>
    <w:rsid w:val="004667F3"/>
    <w:rsid w:val="00466878"/>
    <w:rsid w:val="00466934"/>
    <w:rsid w:val="00466943"/>
    <w:rsid w:val="004669FC"/>
    <w:rsid w:val="00466A07"/>
    <w:rsid w:val="00466A17"/>
    <w:rsid w:val="00466A4E"/>
    <w:rsid w:val="00466A8D"/>
    <w:rsid w:val="00466AC1"/>
    <w:rsid w:val="00466AF6"/>
    <w:rsid w:val="00466B73"/>
    <w:rsid w:val="00466B78"/>
    <w:rsid w:val="00466BBB"/>
    <w:rsid w:val="00466BC8"/>
    <w:rsid w:val="00466BCA"/>
    <w:rsid w:val="00466C57"/>
    <w:rsid w:val="00466CEC"/>
    <w:rsid w:val="00466CF3"/>
    <w:rsid w:val="00466D15"/>
    <w:rsid w:val="00466DC9"/>
    <w:rsid w:val="00466E1C"/>
    <w:rsid w:val="00466E6C"/>
    <w:rsid w:val="00466EB5"/>
    <w:rsid w:val="00466EEB"/>
    <w:rsid w:val="00466F68"/>
    <w:rsid w:val="00466F6F"/>
    <w:rsid w:val="00466FB2"/>
    <w:rsid w:val="004670AC"/>
    <w:rsid w:val="0046711F"/>
    <w:rsid w:val="0046717E"/>
    <w:rsid w:val="004671CE"/>
    <w:rsid w:val="004671EF"/>
    <w:rsid w:val="0046720D"/>
    <w:rsid w:val="0046725C"/>
    <w:rsid w:val="00467357"/>
    <w:rsid w:val="0046736D"/>
    <w:rsid w:val="00467391"/>
    <w:rsid w:val="004673C7"/>
    <w:rsid w:val="00467439"/>
    <w:rsid w:val="00467452"/>
    <w:rsid w:val="00467495"/>
    <w:rsid w:val="00467496"/>
    <w:rsid w:val="004674F7"/>
    <w:rsid w:val="004674F9"/>
    <w:rsid w:val="00467588"/>
    <w:rsid w:val="004676EB"/>
    <w:rsid w:val="00467730"/>
    <w:rsid w:val="00467747"/>
    <w:rsid w:val="004677BD"/>
    <w:rsid w:val="004677BE"/>
    <w:rsid w:val="0046782D"/>
    <w:rsid w:val="004678BE"/>
    <w:rsid w:val="004678D0"/>
    <w:rsid w:val="004678E8"/>
    <w:rsid w:val="0046795B"/>
    <w:rsid w:val="004679B8"/>
    <w:rsid w:val="00467A34"/>
    <w:rsid w:val="00467B06"/>
    <w:rsid w:val="00467B69"/>
    <w:rsid w:val="00467BEE"/>
    <w:rsid w:val="00467C1E"/>
    <w:rsid w:val="00467C3B"/>
    <w:rsid w:val="00467C97"/>
    <w:rsid w:val="00467C9A"/>
    <w:rsid w:val="00467CAD"/>
    <w:rsid w:val="00467D4C"/>
    <w:rsid w:val="00467DF0"/>
    <w:rsid w:val="00467EAD"/>
    <w:rsid w:val="00467EFE"/>
    <w:rsid w:val="00467F10"/>
    <w:rsid w:val="00467F36"/>
    <w:rsid w:val="00467F39"/>
    <w:rsid w:val="00470005"/>
    <w:rsid w:val="0047000B"/>
    <w:rsid w:val="0047007F"/>
    <w:rsid w:val="004700C6"/>
    <w:rsid w:val="00470118"/>
    <w:rsid w:val="00470191"/>
    <w:rsid w:val="0047022D"/>
    <w:rsid w:val="00470256"/>
    <w:rsid w:val="0047026C"/>
    <w:rsid w:val="004702F2"/>
    <w:rsid w:val="0047032C"/>
    <w:rsid w:val="00470370"/>
    <w:rsid w:val="0047037F"/>
    <w:rsid w:val="0047065F"/>
    <w:rsid w:val="004706C1"/>
    <w:rsid w:val="00470840"/>
    <w:rsid w:val="004708C5"/>
    <w:rsid w:val="004708D3"/>
    <w:rsid w:val="0047097F"/>
    <w:rsid w:val="00470AC6"/>
    <w:rsid w:val="00470AFD"/>
    <w:rsid w:val="00470B33"/>
    <w:rsid w:val="00470B4C"/>
    <w:rsid w:val="00470B51"/>
    <w:rsid w:val="00470B87"/>
    <w:rsid w:val="00470BA3"/>
    <w:rsid w:val="00470C17"/>
    <w:rsid w:val="00470C79"/>
    <w:rsid w:val="00470CEA"/>
    <w:rsid w:val="00470CF1"/>
    <w:rsid w:val="00470D44"/>
    <w:rsid w:val="00470DA3"/>
    <w:rsid w:val="00470E5C"/>
    <w:rsid w:val="00470E66"/>
    <w:rsid w:val="00470E75"/>
    <w:rsid w:val="00470E8D"/>
    <w:rsid w:val="00470F01"/>
    <w:rsid w:val="00470F0B"/>
    <w:rsid w:val="00470F58"/>
    <w:rsid w:val="00470F7E"/>
    <w:rsid w:val="00470F95"/>
    <w:rsid w:val="00470FCF"/>
    <w:rsid w:val="00471132"/>
    <w:rsid w:val="0047114C"/>
    <w:rsid w:val="0047118F"/>
    <w:rsid w:val="004711BF"/>
    <w:rsid w:val="004711DB"/>
    <w:rsid w:val="00471211"/>
    <w:rsid w:val="004712A2"/>
    <w:rsid w:val="0047134F"/>
    <w:rsid w:val="004713FB"/>
    <w:rsid w:val="004714CB"/>
    <w:rsid w:val="0047153B"/>
    <w:rsid w:val="00471556"/>
    <w:rsid w:val="004715AB"/>
    <w:rsid w:val="004715B0"/>
    <w:rsid w:val="00471620"/>
    <w:rsid w:val="00471634"/>
    <w:rsid w:val="0047163F"/>
    <w:rsid w:val="0047167B"/>
    <w:rsid w:val="004716BE"/>
    <w:rsid w:val="004717BC"/>
    <w:rsid w:val="0047188A"/>
    <w:rsid w:val="004718A9"/>
    <w:rsid w:val="0047190D"/>
    <w:rsid w:val="00471910"/>
    <w:rsid w:val="0047192C"/>
    <w:rsid w:val="00471957"/>
    <w:rsid w:val="004719BB"/>
    <w:rsid w:val="00471A5E"/>
    <w:rsid w:val="00471A7B"/>
    <w:rsid w:val="00471A8F"/>
    <w:rsid w:val="00471A93"/>
    <w:rsid w:val="00471B25"/>
    <w:rsid w:val="00471B6B"/>
    <w:rsid w:val="00471B86"/>
    <w:rsid w:val="00471C04"/>
    <w:rsid w:val="00471C06"/>
    <w:rsid w:val="00471C5F"/>
    <w:rsid w:val="00471C64"/>
    <w:rsid w:val="00471C67"/>
    <w:rsid w:val="00471C8B"/>
    <w:rsid w:val="00471CC8"/>
    <w:rsid w:val="00471D7C"/>
    <w:rsid w:val="00471D98"/>
    <w:rsid w:val="00471DB1"/>
    <w:rsid w:val="00471DF0"/>
    <w:rsid w:val="00471E65"/>
    <w:rsid w:val="00471EDF"/>
    <w:rsid w:val="00471F4F"/>
    <w:rsid w:val="00471F80"/>
    <w:rsid w:val="00471F88"/>
    <w:rsid w:val="00471FA7"/>
    <w:rsid w:val="00471FB2"/>
    <w:rsid w:val="00471FEE"/>
    <w:rsid w:val="0047201D"/>
    <w:rsid w:val="0047207A"/>
    <w:rsid w:val="004720F6"/>
    <w:rsid w:val="00472142"/>
    <w:rsid w:val="004721AA"/>
    <w:rsid w:val="004721E3"/>
    <w:rsid w:val="00472230"/>
    <w:rsid w:val="0047223E"/>
    <w:rsid w:val="0047224F"/>
    <w:rsid w:val="00472260"/>
    <w:rsid w:val="004722B9"/>
    <w:rsid w:val="004722CC"/>
    <w:rsid w:val="0047231E"/>
    <w:rsid w:val="004723E4"/>
    <w:rsid w:val="004723FC"/>
    <w:rsid w:val="00472417"/>
    <w:rsid w:val="0047259C"/>
    <w:rsid w:val="00472640"/>
    <w:rsid w:val="004726A6"/>
    <w:rsid w:val="004726C0"/>
    <w:rsid w:val="00472706"/>
    <w:rsid w:val="0047271E"/>
    <w:rsid w:val="00472733"/>
    <w:rsid w:val="00472747"/>
    <w:rsid w:val="0047280F"/>
    <w:rsid w:val="00472831"/>
    <w:rsid w:val="0047285B"/>
    <w:rsid w:val="0047286D"/>
    <w:rsid w:val="00472896"/>
    <w:rsid w:val="00472963"/>
    <w:rsid w:val="00472997"/>
    <w:rsid w:val="00472ACC"/>
    <w:rsid w:val="00472ADA"/>
    <w:rsid w:val="00472B62"/>
    <w:rsid w:val="00472B9F"/>
    <w:rsid w:val="00472C5D"/>
    <w:rsid w:val="00472C89"/>
    <w:rsid w:val="00472D42"/>
    <w:rsid w:val="00472DEB"/>
    <w:rsid w:val="00472E44"/>
    <w:rsid w:val="00472E45"/>
    <w:rsid w:val="00472E5D"/>
    <w:rsid w:val="00472E95"/>
    <w:rsid w:val="00472EA9"/>
    <w:rsid w:val="00472ED5"/>
    <w:rsid w:val="00472F6E"/>
    <w:rsid w:val="00472FFF"/>
    <w:rsid w:val="00473015"/>
    <w:rsid w:val="00473094"/>
    <w:rsid w:val="004730B4"/>
    <w:rsid w:val="00473114"/>
    <w:rsid w:val="00473192"/>
    <w:rsid w:val="004731E9"/>
    <w:rsid w:val="0047321E"/>
    <w:rsid w:val="004732A9"/>
    <w:rsid w:val="00473346"/>
    <w:rsid w:val="004733DE"/>
    <w:rsid w:val="004735C8"/>
    <w:rsid w:val="004735F1"/>
    <w:rsid w:val="00473600"/>
    <w:rsid w:val="0047366D"/>
    <w:rsid w:val="0047378A"/>
    <w:rsid w:val="004737B4"/>
    <w:rsid w:val="00473844"/>
    <w:rsid w:val="00473879"/>
    <w:rsid w:val="00473881"/>
    <w:rsid w:val="004738F3"/>
    <w:rsid w:val="00473968"/>
    <w:rsid w:val="004739A6"/>
    <w:rsid w:val="00473A01"/>
    <w:rsid w:val="00473A2E"/>
    <w:rsid w:val="00473B34"/>
    <w:rsid w:val="00473B40"/>
    <w:rsid w:val="00473BA1"/>
    <w:rsid w:val="00473C6C"/>
    <w:rsid w:val="00473CEF"/>
    <w:rsid w:val="00473D07"/>
    <w:rsid w:val="00473DA4"/>
    <w:rsid w:val="00473DD9"/>
    <w:rsid w:val="00473E5B"/>
    <w:rsid w:val="00473E8E"/>
    <w:rsid w:val="00473E97"/>
    <w:rsid w:val="00473EF2"/>
    <w:rsid w:val="00473F94"/>
    <w:rsid w:val="00473FC1"/>
    <w:rsid w:val="00474016"/>
    <w:rsid w:val="0047403F"/>
    <w:rsid w:val="0047404C"/>
    <w:rsid w:val="00474130"/>
    <w:rsid w:val="0047423C"/>
    <w:rsid w:val="00474264"/>
    <w:rsid w:val="0047430D"/>
    <w:rsid w:val="0047439B"/>
    <w:rsid w:val="004743FA"/>
    <w:rsid w:val="00474447"/>
    <w:rsid w:val="00474496"/>
    <w:rsid w:val="004744BB"/>
    <w:rsid w:val="00474588"/>
    <w:rsid w:val="004745DE"/>
    <w:rsid w:val="00474633"/>
    <w:rsid w:val="0047463C"/>
    <w:rsid w:val="00474696"/>
    <w:rsid w:val="0047469F"/>
    <w:rsid w:val="004746DD"/>
    <w:rsid w:val="00474739"/>
    <w:rsid w:val="00474747"/>
    <w:rsid w:val="004747BE"/>
    <w:rsid w:val="0047480D"/>
    <w:rsid w:val="0047484F"/>
    <w:rsid w:val="00474854"/>
    <w:rsid w:val="004748AC"/>
    <w:rsid w:val="00474907"/>
    <w:rsid w:val="00474912"/>
    <w:rsid w:val="00474916"/>
    <w:rsid w:val="00474951"/>
    <w:rsid w:val="004749C7"/>
    <w:rsid w:val="004749CB"/>
    <w:rsid w:val="004749E8"/>
    <w:rsid w:val="00474A14"/>
    <w:rsid w:val="00474A25"/>
    <w:rsid w:val="00474A3D"/>
    <w:rsid w:val="00474A48"/>
    <w:rsid w:val="00474AAD"/>
    <w:rsid w:val="00474BCD"/>
    <w:rsid w:val="00474C70"/>
    <w:rsid w:val="00474CCC"/>
    <w:rsid w:val="00474D47"/>
    <w:rsid w:val="00474D88"/>
    <w:rsid w:val="00474E60"/>
    <w:rsid w:val="00474E7F"/>
    <w:rsid w:val="00474F3E"/>
    <w:rsid w:val="00474F4F"/>
    <w:rsid w:val="00474F5D"/>
    <w:rsid w:val="00474F77"/>
    <w:rsid w:val="00474F7C"/>
    <w:rsid w:val="0047500C"/>
    <w:rsid w:val="00475034"/>
    <w:rsid w:val="004750CA"/>
    <w:rsid w:val="004750EF"/>
    <w:rsid w:val="0047518D"/>
    <w:rsid w:val="00475212"/>
    <w:rsid w:val="00475218"/>
    <w:rsid w:val="00475256"/>
    <w:rsid w:val="004752CA"/>
    <w:rsid w:val="004753D5"/>
    <w:rsid w:val="00475487"/>
    <w:rsid w:val="0047550F"/>
    <w:rsid w:val="0047552E"/>
    <w:rsid w:val="0047555B"/>
    <w:rsid w:val="004755CD"/>
    <w:rsid w:val="00475613"/>
    <w:rsid w:val="00475681"/>
    <w:rsid w:val="004756BE"/>
    <w:rsid w:val="00475756"/>
    <w:rsid w:val="004757CC"/>
    <w:rsid w:val="004757FC"/>
    <w:rsid w:val="0047598A"/>
    <w:rsid w:val="00475997"/>
    <w:rsid w:val="004759FA"/>
    <w:rsid w:val="00475A21"/>
    <w:rsid w:val="00475A39"/>
    <w:rsid w:val="00475AB3"/>
    <w:rsid w:val="00475AC5"/>
    <w:rsid w:val="00475AD1"/>
    <w:rsid w:val="00475B11"/>
    <w:rsid w:val="00475B21"/>
    <w:rsid w:val="00475B49"/>
    <w:rsid w:val="00475B94"/>
    <w:rsid w:val="00475BA6"/>
    <w:rsid w:val="00475BB4"/>
    <w:rsid w:val="00475C19"/>
    <w:rsid w:val="00475D2B"/>
    <w:rsid w:val="00475FD9"/>
    <w:rsid w:val="00475FF2"/>
    <w:rsid w:val="00476027"/>
    <w:rsid w:val="00476123"/>
    <w:rsid w:val="00476124"/>
    <w:rsid w:val="0047619D"/>
    <w:rsid w:val="004761CF"/>
    <w:rsid w:val="004761D5"/>
    <w:rsid w:val="00476296"/>
    <w:rsid w:val="004762C5"/>
    <w:rsid w:val="0047634C"/>
    <w:rsid w:val="004763BC"/>
    <w:rsid w:val="0047647A"/>
    <w:rsid w:val="004764CF"/>
    <w:rsid w:val="004764E0"/>
    <w:rsid w:val="004764E8"/>
    <w:rsid w:val="0047650E"/>
    <w:rsid w:val="00476597"/>
    <w:rsid w:val="004765C0"/>
    <w:rsid w:val="004765D3"/>
    <w:rsid w:val="004765ED"/>
    <w:rsid w:val="00476649"/>
    <w:rsid w:val="004766C4"/>
    <w:rsid w:val="004766C5"/>
    <w:rsid w:val="004767CC"/>
    <w:rsid w:val="004767EC"/>
    <w:rsid w:val="004768C7"/>
    <w:rsid w:val="004768CA"/>
    <w:rsid w:val="004768D3"/>
    <w:rsid w:val="00476923"/>
    <w:rsid w:val="0047697E"/>
    <w:rsid w:val="004769A2"/>
    <w:rsid w:val="00476A03"/>
    <w:rsid w:val="00476A5D"/>
    <w:rsid w:val="00476A5F"/>
    <w:rsid w:val="00476AEA"/>
    <w:rsid w:val="00476B46"/>
    <w:rsid w:val="00476C6E"/>
    <w:rsid w:val="00476D0F"/>
    <w:rsid w:val="00476D11"/>
    <w:rsid w:val="00476D16"/>
    <w:rsid w:val="00476D1C"/>
    <w:rsid w:val="00476D23"/>
    <w:rsid w:val="00476D6B"/>
    <w:rsid w:val="00476DA1"/>
    <w:rsid w:val="00476DB5"/>
    <w:rsid w:val="00476E1F"/>
    <w:rsid w:val="00476ECE"/>
    <w:rsid w:val="00476F6C"/>
    <w:rsid w:val="00476FCD"/>
    <w:rsid w:val="0047702F"/>
    <w:rsid w:val="0047706A"/>
    <w:rsid w:val="0047713A"/>
    <w:rsid w:val="00477162"/>
    <w:rsid w:val="00477165"/>
    <w:rsid w:val="004771B3"/>
    <w:rsid w:val="00477265"/>
    <w:rsid w:val="00477283"/>
    <w:rsid w:val="0047729A"/>
    <w:rsid w:val="00477300"/>
    <w:rsid w:val="00477344"/>
    <w:rsid w:val="004773F6"/>
    <w:rsid w:val="00477479"/>
    <w:rsid w:val="004774BB"/>
    <w:rsid w:val="004774CC"/>
    <w:rsid w:val="004774CD"/>
    <w:rsid w:val="004776A8"/>
    <w:rsid w:val="004776B0"/>
    <w:rsid w:val="004776E9"/>
    <w:rsid w:val="0047770D"/>
    <w:rsid w:val="0047776E"/>
    <w:rsid w:val="004777AE"/>
    <w:rsid w:val="00477922"/>
    <w:rsid w:val="00477986"/>
    <w:rsid w:val="00477AAD"/>
    <w:rsid w:val="00477B5A"/>
    <w:rsid w:val="00477BEF"/>
    <w:rsid w:val="00477BFB"/>
    <w:rsid w:val="00477CA8"/>
    <w:rsid w:val="00477D0B"/>
    <w:rsid w:val="00477D52"/>
    <w:rsid w:val="00477D68"/>
    <w:rsid w:val="00477D8E"/>
    <w:rsid w:val="00477DCE"/>
    <w:rsid w:val="00477DE4"/>
    <w:rsid w:val="00477E18"/>
    <w:rsid w:val="00477E4D"/>
    <w:rsid w:val="00477EF1"/>
    <w:rsid w:val="00477F9F"/>
    <w:rsid w:val="00477FC6"/>
    <w:rsid w:val="00477FD8"/>
    <w:rsid w:val="0048000E"/>
    <w:rsid w:val="0048003B"/>
    <w:rsid w:val="0048005B"/>
    <w:rsid w:val="00480063"/>
    <w:rsid w:val="00480087"/>
    <w:rsid w:val="004800A0"/>
    <w:rsid w:val="004800A7"/>
    <w:rsid w:val="00480113"/>
    <w:rsid w:val="00480190"/>
    <w:rsid w:val="00480213"/>
    <w:rsid w:val="0048022D"/>
    <w:rsid w:val="0048027E"/>
    <w:rsid w:val="00480292"/>
    <w:rsid w:val="00480375"/>
    <w:rsid w:val="0048038A"/>
    <w:rsid w:val="0048038E"/>
    <w:rsid w:val="004803EE"/>
    <w:rsid w:val="0048042B"/>
    <w:rsid w:val="0048046B"/>
    <w:rsid w:val="00480488"/>
    <w:rsid w:val="004804D9"/>
    <w:rsid w:val="004804F3"/>
    <w:rsid w:val="00480544"/>
    <w:rsid w:val="004805CF"/>
    <w:rsid w:val="004805D6"/>
    <w:rsid w:val="0048068B"/>
    <w:rsid w:val="00480691"/>
    <w:rsid w:val="004806A7"/>
    <w:rsid w:val="004806F9"/>
    <w:rsid w:val="00480738"/>
    <w:rsid w:val="00480788"/>
    <w:rsid w:val="00480881"/>
    <w:rsid w:val="0048089E"/>
    <w:rsid w:val="004808D3"/>
    <w:rsid w:val="004809FD"/>
    <w:rsid w:val="00480A26"/>
    <w:rsid w:val="00480A55"/>
    <w:rsid w:val="00480A5E"/>
    <w:rsid w:val="00480AA9"/>
    <w:rsid w:val="00480AB6"/>
    <w:rsid w:val="00480B2B"/>
    <w:rsid w:val="00480B3B"/>
    <w:rsid w:val="00480B5A"/>
    <w:rsid w:val="00480C19"/>
    <w:rsid w:val="00480C6D"/>
    <w:rsid w:val="00480C82"/>
    <w:rsid w:val="00480C98"/>
    <w:rsid w:val="00480D4B"/>
    <w:rsid w:val="00480DB7"/>
    <w:rsid w:val="00480DF1"/>
    <w:rsid w:val="00480E25"/>
    <w:rsid w:val="00480EA9"/>
    <w:rsid w:val="00480F56"/>
    <w:rsid w:val="00480FA9"/>
    <w:rsid w:val="00480FF6"/>
    <w:rsid w:val="0048106A"/>
    <w:rsid w:val="004810AA"/>
    <w:rsid w:val="004810BE"/>
    <w:rsid w:val="004810EC"/>
    <w:rsid w:val="004810EE"/>
    <w:rsid w:val="004810FD"/>
    <w:rsid w:val="0048115B"/>
    <w:rsid w:val="00481177"/>
    <w:rsid w:val="00481254"/>
    <w:rsid w:val="00481318"/>
    <w:rsid w:val="0048132D"/>
    <w:rsid w:val="004813FE"/>
    <w:rsid w:val="00481446"/>
    <w:rsid w:val="00481466"/>
    <w:rsid w:val="004814AC"/>
    <w:rsid w:val="004814B8"/>
    <w:rsid w:val="00481555"/>
    <w:rsid w:val="0048158A"/>
    <w:rsid w:val="00481597"/>
    <w:rsid w:val="004815A2"/>
    <w:rsid w:val="004815D9"/>
    <w:rsid w:val="0048161F"/>
    <w:rsid w:val="00481683"/>
    <w:rsid w:val="004816BC"/>
    <w:rsid w:val="00481802"/>
    <w:rsid w:val="00481818"/>
    <w:rsid w:val="004818D9"/>
    <w:rsid w:val="004818F6"/>
    <w:rsid w:val="004819DA"/>
    <w:rsid w:val="00481A71"/>
    <w:rsid w:val="00481A76"/>
    <w:rsid w:val="00481ACC"/>
    <w:rsid w:val="00481AD7"/>
    <w:rsid w:val="00481B87"/>
    <w:rsid w:val="00481B8E"/>
    <w:rsid w:val="00481BDD"/>
    <w:rsid w:val="00481C1B"/>
    <w:rsid w:val="00481C35"/>
    <w:rsid w:val="00481C56"/>
    <w:rsid w:val="00481CC8"/>
    <w:rsid w:val="00481CD8"/>
    <w:rsid w:val="00481CF0"/>
    <w:rsid w:val="00481D11"/>
    <w:rsid w:val="00481D33"/>
    <w:rsid w:val="00481DA4"/>
    <w:rsid w:val="00481DA5"/>
    <w:rsid w:val="00481DA7"/>
    <w:rsid w:val="00481DED"/>
    <w:rsid w:val="00481E02"/>
    <w:rsid w:val="00481E87"/>
    <w:rsid w:val="00481EA0"/>
    <w:rsid w:val="00481F12"/>
    <w:rsid w:val="00481F50"/>
    <w:rsid w:val="00481F79"/>
    <w:rsid w:val="00481FEB"/>
    <w:rsid w:val="00482020"/>
    <w:rsid w:val="004820AD"/>
    <w:rsid w:val="004820E1"/>
    <w:rsid w:val="004820EF"/>
    <w:rsid w:val="0048210E"/>
    <w:rsid w:val="004821B0"/>
    <w:rsid w:val="004821B4"/>
    <w:rsid w:val="004821C7"/>
    <w:rsid w:val="004822A2"/>
    <w:rsid w:val="004822C5"/>
    <w:rsid w:val="0048236E"/>
    <w:rsid w:val="004823DC"/>
    <w:rsid w:val="004823DD"/>
    <w:rsid w:val="00482427"/>
    <w:rsid w:val="00482432"/>
    <w:rsid w:val="0048250F"/>
    <w:rsid w:val="0048256C"/>
    <w:rsid w:val="0048259C"/>
    <w:rsid w:val="0048259F"/>
    <w:rsid w:val="004825FF"/>
    <w:rsid w:val="0048262C"/>
    <w:rsid w:val="00482687"/>
    <w:rsid w:val="00482691"/>
    <w:rsid w:val="004826D7"/>
    <w:rsid w:val="004826E9"/>
    <w:rsid w:val="00482736"/>
    <w:rsid w:val="004827B8"/>
    <w:rsid w:val="004827DF"/>
    <w:rsid w:val="00482822"/>
    <w:rsid w:val="0048284B"/>
    <w:rsid w:val="00482892"/>
    <w:rsid w:val="0048293E"/>
    <w:rsid w:val="0048299A"/>
    <w:rsid w:val="00482A43"/>
    <w:rsid w:val="00482A4B"/>
    <w:rsid w:val="00482A67"/>
    <w:rsid w:val="00482B99"/>
    <w:rsid w:val="00482BE7"/>
    <w:rsid w:val="00482C9B"/>
    <w:rsid w:val="00482DA5"/>
    <w:rsid w:val="00482E16"/>
    <w:rsid w:val="00482E33"/>
    <w:rsid w:val="00482EA6"/>
    <w:rsid w:val="00482EC4"/>
    <w:rsid w:val="00482ECC"/>
    <w:rsid w:val="00482ED9"/>
    <w:rsid w:val="00482F64"/>
    <w:rsid w:val="00482FDC"/>
    <w:rsid w:val="0048301A"/>
    <w:rsid w:val="0048316D"/>
    <w:rsid w:val="00483197"/>
    <w:rsid w:val="00483215"/>
    <w:rsid w:val="00483291"/>
    <w:rsid w:val="0048329B"/>
    <w:rsid w:val="004832FB"/>
    <w:rsid w:val="00483324"/>
    <w:rsid w:val="0048335A"/>
    <w:rsid w:val="004833D4"/>
    <w:rsid w:val="0048342C"/>
    <w:rsid w:val="004834F5"/>
    <w:rsid w:val="00483502"/>
    <w:rsid w:val="0048350D"/>
    <w:rsid w:val="00483512"/>
    <w:rsid w:val="004835E6"/>
    <w:rsid w:val="00483715"/>
    <w:rsid w:val="00483752"/>
    <w:rsid w:val="00483763"/>
    <w:rsid w:val="004837AD"/>
    <w:rsid w:val="004837CF"/>
    <w:rsid w:val="004837DD"/>
    <w:rsid w:val="00483880"/>
    <w:rsid w:val="0048394E"/>
    <w:rsid w:val="00483956"/>
    <w:rsid w:val="00483970"/>
    <w:rsid w:val="00483986"/>
    <w:rsid w:val="00483A49"/>
    <w:rsid w:val="00483A6C"/>
    <w:rsid w:val="00483AF9"/>
    <w:rsid w:val="00483BA8"/>
    <w:rsid w:val="00483BFB"/>
    <w:rsid w:val="00483C60"/>
    <w:rsid w:val="00483CDD"/>
    <w:rsid w:val="00483DEE"/>
    <w:rsid w:val="00483DF1"/>
    <w:rsid w:val="00483F24"/>
    <w:rsid w:val="00483F28"/>
    <w:rsid w:val="00483FE2"/>
    <w:rsid w:val="00483FFE"/>
    <w:rsid w:val="0048403C"/>
    <w:rsid w:val="0048405D"/>
    <w:rsid w:val="00484090"/>
    <w:rsid w:val="00484193"/>
    <w:rsid w:val="004841BB"/>
    <w:rsid w:val="0048429E"/>
    <w:rsid w:val="004842ED"/>
    <w:rsid w:val="00484302"/>
    <w:rsid w:val="0048431E"/>
    <w:rsid w:val="004843AF"/>
    <w:rsid w:val="00484404"/>
    <w:rsid w:val="00484413"/>
    <w:rsid w:val="00484430"/>
    <w:rsid w:val="0048444F"/>
    <w:rsid w:val="004845B6"/>
    <w:rsid w:val="004845BF"/>
    <w:rsid w:val="004845D7"/>
    <w:rsid w:val="004845E1"/>
    <w:rsid w:val="0048465C"/>
    <w:rsid w:val="00484699"/>
    <w:rsid w:val="004846BE"/>
    <w:rsid w:val="004846FC"/>
    <w:rsid w:val="00484701"/>
    <w:rsid w:val="00484703"/>
    <w:rsid w:val="00484705"/>
    <w:rsid w:val="0048472C"/>
    <w:rsid w:val="0048473D"/>
    <w:rsid w:val="00484784"/>
    <w:rsid w:val="004847E6"/>
    <w:rsid w:val="0048482D"/>
    <w:rsid w:val="004848BD"/>
    <w:rsid w:val="00484934"/>
    <w:rsid w:val="0048493F"/>
    <w:rsid w:val="00484980"/>
    <w:rsid w:val="004849CC"/>
    <w:rsid w:val="00484A9F"/>
    <w:rsid w:val="00484B50"/>
    <w:rsid w:val="00484B75"/>
    <w:rsid w:val="00484B79"/>
    <w:rsid w:val="00484BE1"/>
    <w:rsid w:val="00484C2C"/>
    <w:rsid w:val="00484C88"/>
    <w:rsid w:val="00484D21"/>
    <w:rsid w:val="00484D78"/>
    <w:rsid w:val="00484D8F"/>
    <w:rsid w:val="00484EAF"/>
    <w:rsid w:val="00484EB6"/>
    <w:rsid w:val="00484F73"/>
    <w:rsid w:val="00484F99"/>
    <w:rsid w:val="00484FB4"/>
    <w:rsid w:val="004850BE"/>
    <w:rsid w:val="004850D2"/>
    <w:rsid w:val="004850EB"/>
    <w:rsid w:val="004850F9"/>
    <w:rsid w:val="00485108"/>
    <w:rsid w:val="00485172"/>
    <w:rsid w:val="00485355"/>
    <w:rsid w:val="004853C4"/>
    <w:rsid w:val="0048544B"/>
    <w:rsid w:val="0048544F"/>
    <w:rsid w:val="00485471"/>
    <w:rsid w:val="004854AA"/>
    <w:rsid w:val="00485523"/>
    <w:rsid w:val="0048554B"/>
    <w:rsid w:val="0048554D"/>
    <w:rsid w:val="00485625"/>
    <w:rsid w:val="004856C5"/>
    <w:rsid w:val="0048585C"/>
    <w:rsid w:val="0048587D"/>
    <w:rsid w:val="004858E6"/>
    <w:rsid w:val="00485911"/>
    <w:rsid w:val="00485922"/>
    <w:rsid w:val="00485986"/>
    <w:rsid w:val="0048598B"/>
    <w:rsid w:val="00485A04"/>
    <w:rsid w:val="00485A30"/>
    <w:rsid w:val="00485AA0"/>
    <w:rsid w:val="00485B67"/>
    <w:rsid w:val="00485C8F"/>
    <w:rsid w:val="00485CCD"/>
    <w:rsid w:val="00485CE2"/>
    <w:rsid w:val="00485CFB"/>
    <w:rsid w:val="00485D1B"/>
    <w:rsid w:val="00485D5C"/>
    <w:rsid w:val="00485DA9"/>
    <w:rsid w:val="00485DBF"/>
    <w:rsid w:val="00485E24"/>
    <w:rsid w:val="00485E40"/>
    <w:rsid w:val="00485EDC"/>
    <w:rsid w:val="00485F0E"/>
    <w:rsid w:val="00485F88"/>
    <w:rsid w:val="00485FC2"/>
    <w:rsid w:val="004860D1"/>
    <w:rsid w:val="00486157"/>
    <w:rsid w:val="0048615E"/>
    <w:rsid w:val="004861C8"/>
    <w:rsid w:val="004861EC"/>
    <w:rsid w:val="004861EE"/>
    <w:rsid w:val="00486229"/>
    <w:rsid w:val="0048629B"/>
    <w:rsid w:val="004862E4"/>
    <w:rsid w:val="0048636D"/>
    <w:rsid w:val="00486395"/>
    <w:rsid w:val="004863DF"/>
    <w:rsid w:val="00486415"/>
    <w:rsid w:val="0048642F"/>
    <w:rsid w:val="0048643A"/>
    <w:rsid w:val="004864B9"/>
    <w:rsid w:val="004864C7"/>
    <w:rsid w:val="004864ED"/>
    <w:rsid w:val="004865E5"/>
    <w:rsid w:val="004866BA"/>
    <w:rsid w:val="0048675B"/>
    <w:rsid w:val="00486768"/>
    <w:rsid w:val="004867F2"/>
    <w:rsid w:val="0048686A"/>
    <w:rsid w:val="00486872"/>
    <w:rsid w:val="00486921"/>
    <w:rsid w:val="0048695E"/>
    <w:rsid w:val="00486997"/>
    <w:rsid w:val="00486B20"/>
    <w:rsid w:val="00486B5D"/>
    <w:rsid w:val="00486B81"/>
    <w:rsid w:val="00486C17"/>
    <w:rsid w:val="00486C30"/>
    <w:rsid w:val="00486CA0"/>
    <w:rsid w:val="00486D1A"/>
    <w:rsid w:val="00486D3B"/>
    <w:rsid w:val="00486D53"/>
    <w:rsid w:val="00486D6D"/>
    <w:rsid w:val="00486DB3"/>
    <w:rsid w:val="00486DE1"/>
    <w:rsid w:val="00486E2A"/>
    <w:rsid w:val="00486E99"/>
    <w:rsid w:val="00486F03"/>
    <w:rsid w:val="00486F49"/>
    <w:rsid w:val="00486FAE"/>
    <w:rsid w:val="00486FCB"/>
    <w:rsid w:val="00486FCD"/>
    <w:rsid w:val="0048701F"/>
    <w:rsid w:val="004870B1"/>
    <w:rsid w:val="00487144"/>
    <w:rsid w:val="00487181"/>
    <w:rsid w:val="004871AF"/>
    <w:rsid w:val="00487230"/>
    <w:rsid w:val="00487240"/>
    <w:rsid w:val="0048725D"/>
    <w:rsid w:val="00487292"/>
    <w:rsid w:val="004872DF"/>
    <w:rsid w:val="00487358"/>
    <w:rsid w:val="0048738E"/>
    <w:rsid w:val="0048741A"/>
    <w:rsid w:val="0048746C"/>
    <w:rsid w:val="004874CB"/>
    <w:rsid w:val="004874D4"/>
    <w:rsid w:val="0048750B"/>
    <w:rsid w:val="00487566"/>
    <w:rsid w:val="00487584"/>
    <w:rsid w:val="0048759B"/>
    <w:rsid w:val="0048765C"/>
    <w:rsid w:val="00487683"/>
    <w:rsid w:val="004876B5"/>
    <w:rsid w:val="00487741"/>
    <w:rsid w:val="004877A5"/>
    <w:rsid w:val="004877AF"/>
    <w:rsid w:val="004877D2"/>
    <w:rsid w:val="004877E5"/>
    <w:rsid w:val="00487859"/>
    <w:rsid w:val="0048786B"/>
    <w:rsid w:val="00487872"/>
    <w:rsid w:val="004878C8"/>
    <w:rsid w:val="0048796B"/>
    <w:rsid w:val="00487A46"/>
    <w:rsid w:val="00487A83"/>
    <w:rsid w:val="00487A99"/>
    <w:rsid w:val="00487AA1"/>
    <w:rsid w:val="00487B28"/>
    <w:rsid w:val="00487B2D"/>
    <w:rsid w:val="00487C16"/>
    <w:rsid w:val="00487C99"/>
    <w:rsid w:val="00487CC2"/>
    <w:rsid w:val="00487D34"/>
    <w:rsid w:val="00487D9C"/>
    <w:rsid w:val="00487DCE"/>
    <w:rsid w:val="00487DD7"/>
    <w:rsid w:val="00487E24"/>
    <w:rsid w:val="00487E34"/>
    <w:rsid w:val="00487ED6"/>
    <w:rsid w:val="00487F72"/>
    <w:rsid w:val="00487FBC"/>
    <w:rsid w:val="00490014"/>
    <w:rsid w:val="00490111"/>
    <w:rsid w:val="00490123"/>
    <w:rsid w:val="0049016B"/>
    <w:rsid w:val="004901A4"/>
    <w:rsid w:val="00490215"/>
    <w:rsid w:val="0049023B"/>
    <w:rsid w:val="004902E0"/>
    <w:rsid w:val="0049038B"/>
    <w:rsid w:val="00490566"/>
    <w:rsid w:val="004905DC"/>
    <w:rsid w:val="00490641"/>
    <w:rsid w:val="00490644"/>
    <w:rsid w:val="0049066D"/>
    <w:rsid w:val="004906EC"/>
    <w:rsid w:val="004906F7"/>
    <w:rsid w:val="00490721"/>
    <w:rsid w:val="0049072E"/>
    <w:rsid w:val="00490759"/>
    <w:rsid w:val="004907AC"/>
    <w:rsid w:val="00490819"/>
    <w:rsid w:val="004908C8"/>
    <w:rsid w:val="00490902"/>
    <w:rsid w:val="00490904"/>
    <w:rsid w:val="00490945"/>
    <w:rsid w:val="0049094C"/>
    <w:rsid w:val="00490961"/>
    <w:rsid w:val="0049099B"/>
    <w:rsid w:val="004909C5"/>
    <w:rsid w:val="004909F4"/>
    <w:rsid w:val="00490A27"/>
    <w:rsid w:val="00490A6F"/>
    <w:rsid w:val="00490AEF"/>
    <w:rsid w:val="00490B04"/>
    <w:rsid w:val="00490B08"/>
    <w:rsid w:val="00490BD9"/>
    <w:rsid w:val="00490BF7"/>
    <w:rsid w:val="00490C57"/>
    <w:rsid w:val="00490CAD"/>
    <w:rsid w:val="00490D79"/>
    <w:rsid w:val="00490D7B"/>
    <w:rsid w:val="00490DCB"/>
    <w:rsid w:val="00490DFB"/>
    <w:rsid w:val="00490EDB"/>
    <w:rsid w:val="00490EEB"/>
    <w:rsid w:val="00490F00"/>
    <w:rsid w:val="00491138"/>
    <w:rsid w:val="0049118B"/>
    <w:rsid w:val="0049120D"/>
    <w:rsid w:val="00491265"/>
    <w:rsid w:val="0049127A"/>
    <w:rsid w:val="004912C0"/>
    <w:rsid w:val="004912D3"/>
    <w:rsid w:val="004912E8"/>
    <w:rsid w:val="004912FB"/>
    <w:rsid w:val="00491333"/>
    <w:rsid w:val="00491342"/>
    <w:rsid w:val="004913A6"/>
    <w:rsid w:val="004914ED"/>
    <w:rsid w:val="0049151B"/>
    <w:rsid w:val="00491527"/>
    <w:rsid w:val="0049156E"/>
    <w:rsid w:val="00491579"/>
    <w:rsid w:val="004915A0"/>
    <w:rsid w:val="004915A8"/>
    <w:rsid w:val="00491656"/>
    <w:rsid w:val="00491673"/>
    <w:rsid w:val="0049168C"/>
    <w:rsid w:val="0049169A"/>
    <w:rsid w:val="004916DE"/>
    <w:rsid w:val="004916F8"/>
    <w:rsid w:val="0049179D"/>
    <w:rsid w:val="004917DE"/>
    <w:rsid w:val="0049184C"/>
    <w:rsid w:val="00491865"/>
    <w:rsid w:val="0049186E"/>
    <w:rsid w:val="004918AB"/>
    <w:rsid w:val="00491989"/>
    <w:rsid w:val="0049199A"/>
    <w:rsid w:val="00491A1D"/>
    <w:rsid w:val="00491A83"/>
    <w:rsid w:val="00491B0E"/>
    <w:rsid w:val="00491B31"/>
    <w:rsid w:val="00491BA4"/>
    <w:rsid w:val="00491BDF"/>
    <w:rsid w:val="00491C0B"/>
    <w:rsid w:val="00491CC0"/>
    <w:rsid w:val="00491CC6"/>
    <w:rsid w:val="00491D6C"/>
    <w:rsid w:val="00491DAD"/>
    <w:rsid w:val="00491DEE"/>
    <w:rsid w:val="00491E48"/>
    <w:rsid w:val="00491F55"/>
    <w:rsid w:val="00491F83"/>
    <w:rsid w:val="00491FAC"/>
    <w:rsid w:val="00491FFA"/>
    <w:rsid w:val="0049201C"/>
    <w:rsid w:val="00492041"/>
    <w:rsid w:val="004920B6"/>
    <w:rsid w:val="00492106"/>
    <w:rsid w:val="00492169"/>
    <w:rsid w:val="0049228C"/>
    <w:rsid w:val="004922CF"/>
    <w:rsid w:val="0049231E"/>
    <w:rsid w:val="00492401"/>
    <w:rsid w:val="00492458"/>
    <w:rsid w:val="0049247A"/>
    <w:rsid w:val="0049249D"/>
    <w:rsid w:val="004924A8"/>
    <w:rsid w:val="004924E4"/>
    <w:rsid w:val="00492500"/>
    <w:rsid w:val="004925D0"/>
    <w:rsid w:val="00492625"/>
    <w:rsid w:val="004926AE"/>
    <w:rsid w:val="004927A6"/>
    <w:rsid w:val="0049282A"/>
    <w:rsid w:val="00492906"/>
    <w:rsid w:val="00492955"/>
    <w:rsid w:val="00492992"/>
    <w:rsid w:val="00492997"/>
    <w:rsid w:val="004929BB"/>
    <w:rsid w:val="004929FE"/>
    <w:rsid w:val="00492A39"/>
    <w:rsid w:val="00492A68"/>
    <w:rsid w:val="00492ABC"/>
    <w:rsid w:val="00492B31"/>
    <w:rsid w:val="00492B5E"/>
    <w:rsid w:val="00492BD9"/>
    <w:rsid w:val="00492C30"/>
    <w:rsid w:val="00492D39"/>
    <w:rsid w:val="00492DA8"/>
    <w:rsid w:val="00492F04"/>
    <w:rsid w:val="00492F4A"/>
    <w:rsid w:val="00492F77"/>
    <w:rsid w:val="00493039"/>
    <w:rsid w:val="00493062"/>
    <w:rsid w:val="0049309A"/>
    <w:rsid w:val="004930C5"/>
    <w:rsid w:val="0049316F"/>
    <w:rsid w:val="0049319F"/>
    <w:rsid w:val="004931BD"/>
    <w:rsid w:val="004932C1"/>
    <w:rsid w:val="004932E5"/>
    <w:rsid w:val="004932EA"/>
    <w:rsid w:val="00493462"/>
    <w:rsid w:val="00493482"/>
    <w:rsid w:val="004935BC"/>
    <w:rsid w:val="004935CD"/>
    <w:rsid w:val="00493645"/>
    <w:rsid w:val="004936EA"/>
    <w:rsid w:val="00493709"/>
    <w:rsid w:val="00493721"/>
    <w:rsid w:val="0049383B"/>
    <w:rsid w:val="00493891"/>
    <w:rsid w:val="004938A7"/>
    <w:rsid w:val="004938CC"/>
    <w:rsid w:val="0049395B"/>
    <w:rsid w:val="00493982"/>
    <w:rsid w:val="004939A9"/>
    <w:rsid w:val="004939DB"/>
    <w:rsid w:val="00493A8A"/>
    <w:rsid w:val="00493AA5"/>
    <w:rsid w:val="00493B0A"/>
    <w:rsid w:val="00493BBE"/>
    <w:rsid w:val="00493BC7"/>
    <w:rsid w:val="00493BD9"/>
    <w:rsid w:val="00493BFA"/>
    <w:rsid w:val="00493BFE"/>
    <w:rsid w:val="00493C47"/>
    <w:rsid w:val="00493C6C"/>
    <w:rsid w:val="00493C97"/>
    <w:rsid w:val="00493CC0"/>
    <w:rsid w:val="00493CD0"/>
    <w:rsid w:val="00493CEF"/>
    <w:rsid w:val="00493D54"/>
    <w:rsid w:val="00493DA3"/>
    <w:rsid w:val="00493DE6"/>
    <w:rsid w:val="00493E11"/>
    <w:rsid w:val="00493E9D"/>
    <w:rsid w:val="00493EC7"/>
    <w:rsid w:val="00493EE6"/>
    <w:rsid w:val="00493F09"/>
    <w:rsid w:val="00493F55"/>
    <w:rsid w:val="00493F6B"/>
    <w:rsid w:val="00493FB2"/>
    <w:rsid w:val="00493FC2"/>
    <w:rsid w:val="00493FC8"/>
    <w:rsid w:val="00493FF0"/>
    <w:rsid w:val="00494083"/>
    <w:rsid w:val="004941BA"/>
    <w:rsid w:val="004941C4"/>
    <w:rsid w:val="004941F4"/>
    <w:rsid w:val="00494201"/>
    <w:rsid w:val="0049426E"/>
    <w:rsid w:val="0049427A"/>
    <w:rsid w:val="00494286"/>
    <w:rsid w:val="00494364"/>
    <w:rsid w:val="00494449"/>
    <w:rsid w:val="004944C6"/>
    <w:rsid w:val="004944CB"/>
    <w:rsid w:val="00494612"/>
    <w:rsid w:val="0049462F"/>
    <w:rsid w:val="004946A8"/>
    <w:rsid w:val="004946BA"/>
    <w:rsid w:val="00494702"/>
    <w:rsid w:val="0049474C"/>
    <w:rsid w:val="00494756"/>
    <w:rsid w:val="0049476E"/>
    <w:rsid w:val="00494771"/>
    <w:rsid w:val="0049478C"/>
    <w:rsid w:val="004947FD"/>
    <w:rsid w:val="00494818"/>
    <w:rsid w:val="0049485E"/>
    <w:rsid w:val="0049485F"/>
    <w:rsid w:val="00494887"/>
    <w:rsid w:val="004948D0"/>
    <w:rsid w:val="004948F5"/>
    <w:rsid w:val="00494905"/>
    <w:rsid w:val="00494988"/>
    <w:rsid w:val="00494A58"/>
    <w:rsid w:val="00494AD3"/>
    <w:rsid w:val="00494B07"/>
    <w:rsid w:val="00494B16"/>
    <w:rsid w:val="00494B70"/>
    <w:rsid w:val="00494B79"/>
    <w:rsid w:val="00494BD1"/>
    <w:rsid w:val="00494C3D"/>
    <w:rsid w:val="00494C71"/>
    <w:rsid w:val="00494C86"/>
    <w:rsid w:val="00494CC4"/>
    <w:rsid w:val="00494D4E"/>
    <w:rsid w:val="00494E12"/>
    <w:rsid w:val="00494F59"/>
    <w:rsid w:val="00494F98"/>
    <w:rsid w:val="00495059"/>
    <w:rsid w:val="0049506E"/>
    <w:rsid w:val="00495082"/>
    <w:rsid w:val="00495087"/>
    <w:rsid w:val="004950BA"/>
    <w:rsid w:val="0049517B"/>
    <w:rsid w:val="004951AF"/>
    <w:rsid w:val="004951DE"/>
    <w:rsid w:val="0049524C"/>
    <w:rsid w:val="0049524D"/>
    <w:rsid w:val="00495313"/>
    <w:rsid w:val="0049543F"/>
    <w:rsid w:val="0049546C"/>
    <w:rsid w:val="004954F0"/>
    <w:rsid w:val="00495563"/>
    <w:rsid w:val="0049564A"/>
    <w:rsid w:val="004956A0"/>
    <w:rsid w:val="004956D9"/>
    <w:rsid w:val="00495731"/>
    <w:rsid w:val="0049581D"/>
    <w:rsid w:val="00495828"/>
    <w:rsid w:val="00495846"/>
    <w:rsid w:val="0049587B"/>
    <w:rsid w:val="004958D7"/>
    <w:rsid w:val="004958EB"/>
    <w:rsid w:val="00495930"/>
    <w:rsid w:val="0049593B"/>
    <w:rsid w:val="0049593E"/>
    <w:rsid w:val="00495986"/>
    <w:rsid w:val="004959CB"/>
    <w:rsid w:val="004959E1"/>
    <w:rsid w:val="00495B46"/>
    <w:rsid w:val="00495BA0"/>
    <w:rsid w:val="00495BDE"/>
    <w:rsid w:val="00495C0B"/>
    <w:rsid w:val="00495C5E"/>
    <w:rsid w:val="00495C61"/>
    <w:rsid w:val="00495C82"/>
    <w:rsid w:val="00495CEB"/>
    <w:rsid w:val="00495D58"/>
    <w:rsid w:val="00495D6A"/>
    <w:rsid w:val="00495DD2"/>
    <w:rsid w:val="00495DD5"/>
    <w:rsid w:val="00495E39"/>
    <w:rsid w:val="00495E51"/>
    <w:rsid w:val="00495EAA"/>
    <w:rsid w:val="0049600B"/>
    <w:rsid w:val="0049605D"/>
    <w:rsid w:val="00496100"/>
    <w:rsid w:val="00496142"/>
    <w:rsid w:val="00496361"/>
    <w:rsid w:val="0049639D"/>
    <w:rsid w:val="004963BF"/>
    <w:rsid w:val="0049642D"/>
    <w:rsid w:val="00496458"/>
    <w:rsid w:val="00496459"/>
    <w:rsid w:val="00496504"/>
    <w:rsid w:val="00496507"/>
    <w:rsid w:val="00496558"/>
    <w:rsid w:val="004965CF"/>
    <w:rsid w:val="00496653"/>
    <w:rsid w:val="004966EB"/>
    <w:rsid w:val="0049675F"/>
    <w:rsid w:val="004967E6"/>
    <w:rsid w:val="00496818"/>
    <w:rsid w:val="00496825"/>
    <w:rsid w:val="00496853"/>
    <w:rsid w:val="004968FA"/>
    <w:rsid w:val="00496901"/>
    <w:rsid w:val="00496991"/>
    <w:rsid w:val="004969CD"/>
    <w:rsid w:val="00496AD2"/>
    <w:rsid w:val="00496AEA"/>
    <w:rsid w:val="00496B4D"/>
    <w:rsid w:val="00496B62"/>
    <w:rsid w:val="00496B9D"/>
    <w:rsid w:val="00496BD7"/>
    <w:rsid w:val="00496BF8"/>
    <w:rsid w:val="00496C13"/>
    <w:rsid w:val="00496C5D"/>
    <w:rsid w:val="00496C8F"/>
    <w:rsid w:val="00496CEA"/>
    <w:rsid w:val="00496CFB"/>
    <w:rsid w:val="00496D2E"/>
    <w:rsid w:val="00496D7F"/>
    <w:rsid w:val="00496D9A"/>
    <w:rsid w:val="00496E18"/>
    <w:rsid w:val="00496E30"/>
    <w:rsid w:val="00496EC4"/>
    <w:rsid w:val="00496F65"/>
    <w:rsid w:val="00496FDB"/>
    <w:rsid w:val="00497009"/>
    <w:rsid w:val="004971D6"/>
    <w:rsid w:val="004971F3"/>
    <w:rsid w:val="0049721C"/>
    <w:rsid w:val="0049723D"/>
    <w:rsid w:val="00497322"/>
    <w:rsid w:val="0049732E"/>
    <w:rsid w:val="004973F8"/>
    <w:rsid w:val="00497404"/>
    <w:rsid w:val="0049744B"/>
    <w:rsid w:val="00497462"/>
    <w:rsid w:val="00497507"/>
    <w:rsid w:val="0049754E"/>
    <w:rsid w:val="004975A5"/>
    <w:rsid w:val="004975C6"/>
    <w:rsid w:val="004975CC"/>
    <w:rsid w:val="004976BE"/>
    <w:rsid w:val="004976FC"/>
    <w:rsid w:val="00497734"/>
    <w:rsid w:val="0049775A"/>
    <w:rsid w:val="004977AC"/>
    <w:rsid w:val="004977D3"/>
    <w:rsid w:val="004977E4"/>
    <w:rsid w:val="00497802"/>
    <w:rsid w:val="0049782C"/>
    <w:rsid w:val="00497842"/>
    <w:rsid w:val="00497892"/>
    <w:rsid w:val="0049789A"/>
    <w:rsid w:val="004978EC"/>
    <w:rsid w:val="00497900"/>
    <w:rsid w:val="0049792A"/>
    <w:rsid w:val="0049797A"/>
    <w:rsid w:val="00497A3D"/>
    <w:rsid w:val="00497A5D"/>
    <w:rsid w:val="00497A88"/>
    <w:rsid w:val="00497A92"/>
    <w:rsid w:val="00497ACE"/>
    <w:rsid w:val="00497AF6"/>
    <w:rsid w:val="00497B1B"/>
    <w:rsid w:val="00497B48"/>
    <w:rsid w:val="00497BAC"/>
    <w:rsid w:val="00497C1A"/>
    <w:rsid w:val="00497C4F"/>
    <w:rsid w:val="00497C57"/>
    <w:rsid w:val="00497D01"/>
    <w:rsid w:val="00497D50"/>
    <w:rsid w:val="00497DAB"/>
    <w:rsid w:val="00497DD6"/>
    <w:rsid w:val="00497DF9"/>
    <w:rsid w:val="00497E0D"/>
    <w:rsid w:val="00497E14"/>
    <w:rsid w:val="00497E42"/>
    <w:rsid w:val="00497E59"/>
    <w:rsid w:val="00497EBD"/>
    <w:rsid w:val="00497F04"/>
    <w:rsid w:val="00497F11"/>
    <w:rsid w:val="00497F16"/>
    <w:rsid w:val="00497F25"/>
    <w:rsid w:val="00497F99"/>
    <w:rsid w:val="00497FA8"/>
    <w:rsid w:val="00497FEF"/>
    <w:rsid w:val="004A0033"/>
    <w:rsid w:val="004A00BB"/>
    <w:rsid w:val="004A00C1"/>
    <w:rsid w:val="004A0175"/>
    <w:rsid w:val="004A0237"/>
    <w:rsid w:val="004A027C"/>
    <w:rsid w:val="004A02AC"/>
    <w:rsid w:val="004A02AE"/>
    <w:rsid w:val="004A02F8"/>
    <w:rsid w:val="004A03DF"/>
    <w:rsid w:val="004A03E4"/>
    <w:rsid w:val="004A0487"/>
    <w:rsid w:val="004A04AD"/>
    <w:rsid w:val="004A04F9"/>
    <w:rsid w:val="004A0507"/>
    <w:rsid w:val="004A050A"/>
    <w:rsid w:val="004A05CC"/>
    <w:rsid w:val="004A05DF"/>
    <w:rsid w:val="004A06E2"/>
    <w:rsid w:val="004A06F1"/>
    <w:rsid w:val="004A074F"/>
    <w:rsid w:val="004A0769"/>
    <w:rsid w:val="004A07DD"/>
    <w:rsid w:val="004A0823"/>
    <w:rsid w:val="004A0879"/>
    <w:rsid w:val="004A0934"/>
    <w:rsid w:val="004A09A1"/>
    <w:rsid w:val="004A09C9"/>
    <w:rsid w:val="004A09DD"/>
    <w:rsid w:val="004A0A03"/>
    <w:rsid w:val="004A0A20"/>
    <w:rsid w:val="004A0A28"/>
    <w:rsid w:val="004A0A71"/>
    <w:rsid w:val="004A0B98"/>
    <w:rsid w:val="004A0BB9"/>
    <w:rsid w:val="004A0BCD"/>
    <w:rsid w:val="004A0C1B"/>
    <w:rsid w:val="004A0C2E"/>
    <w:rsid w:val="004A0C86"/>
    <w:rsid w:val="004A0C90"/>
    <w:rsid w:val="004A0C98"/>
    <w:rsid w:val="004A0CAE"/>
    <w:rsid w:val="004A0CB0"/>
    <w:rsid w:val="004A0CF1"/>
    <w:rsid w:val="004A0D47"/>
    <w:rsid w:val="004A0E94"/>
    <w:rsid w:val="004A0F9A"/>
    <w:rsid w:val="004A0FBA"/>
    <w:rsid w:val="004A104C"/>
    <w:rsid w:val="004A107C"/>
    <w:rsid w:val="004A10B4"/>
    <w:rsid w:val="004A10CE"/>
    <w:rsid w:val="004A1133"/>
    <w:rsid w:val="004A1158"/>
    <w:rsid w:val="004A1159"/>
    <w:rsid w:val="004A1163"/>
    <w:rsid w:val="004A117D"/>
    <w:rsid w:val="004A1193"/>
    <w:rsid w:val="004A128B"/>
    <w:rsid w:val="004A144B"/>
    <w:rsid w:val="004A1450"/>
    <w:rsid w:val="004A145C"/>
    <w:rsid w:val="004A1486"/>
    <w:rsid w:val="004A1523"/>
    <w:rsid w:val="004A15D6"/>
    <w:rsid w:val="004A160C"/>
    <w:rsid w:val="004A1641"/>
    <w:rsid w:val="004A1661"/>
    <w:rsid w:val="004A1666"/>
    <w:rsid w:val="004A1698"/>
    <w:rsid w:val="004A16E9"/>
    <w:rsid w:val="004A1747"/>
    <w:rsid w:val="004A1752"/>
    <w:rsid w:val="004A176E"/>
    <w:rsid w:val="004A17B0"/>
    <w:rsid w:val="004A17B9"/>
    <w:rsid w:val="004A1810"/>
    <w:rsid w:val="004A189C"/>
    <w:rsid w:val="004A18B3"/>
    <w:rsid w:val="004A1913"/>
    <w:rsid w:val="004A1944"/>
    <w:rsid w:val="004A197B"/>
    <w:rsid w:val="004A1A25"/>
    <w:rsid w:val="004A1A4C"/>
    <w:rsid w:val="004A1A76"/>
    <w:rsid w:val="004A1ACE"/>
    <w:rsid w:val="004A1B1C"/>
    <w:rsid w:val="004A1B46"/>
    <w:rsid w:val="004A1B78"/>
    <w:rsid w:val="004A1B94"/>
    <w:rsid w:val="004A1C26"/>
    <w:rsid w:val="004A1C5F"/>
    <w:rsid w:val="004A1C74"/>
    <w:rsid w:val="004A1CA8"/>
    <w:rsid w:val="004A1DEE"/>
    <w:rsid w:val="004A1E46"/>
    <w:rsid w:val="004A1E47"/>
    <w:rsid w:val="004A1E6A"/>
    <w:rsid w:val="004A1E7F"/>
    <w:rsid w:val="004A1E98"/>
    <w:rsid w:val="004A1F14"/>
    <w:rsid w:val="004A1F2A"/>
    <w:rsid w:val="004A1FC0"/>
    <w:rsid w:val="004A1FFA"/>
    <w:rsid w:val="004A2003"/>
    <w:rsid w:val="004A2027"/>
    <w:rsid w:val="004A2094"/>
    <w:rsid w:val="004A20C8"/>
    <w:rsid w:val="004A211B"/>
    <w:rsid w:val="004A2388"/>
    <w:rsid w:val="004A23E9"/>
    <w:rsid w:val="004A2497"/>
    <w:rsid w:val="004A24A5"/>
    <w:rsid w:val="004A24AF"/>
    <w:rsid w:val="004A24C9"/>
    <w:rsid w:val="004A24D3"/>
    <w:rsid w:val="004A24DC"/>
    <w:rsid w:val="004A2507"/>
    <w:rsid w:val="004A2560"/>
    <w:rsid w:val="004A256C"/>
    <w:rsid w:val="004A2588"/>
    <w:rsid w:val="004A2597"/>
    <w:rsid w:val="004A25BB"/>
    <w:rsid w:val="004A268A"/>
    <w:rsid w:val="004A268F"/>
    <w:rsid w:val="004A269D"/>
    <w:rsid w:val="004A269F"/>
    <w:rsid w:val="004A26A5"/>
    <w:rsid w:val="004A26C5"/>
    <w:rsid w:val="004A2776"/>
    <w:rsid w:val="004A27CD"/>
    <w:rsid w:val="004A2800"/>
    <w:rsid w:val="004A2816"/>
    <w:rsid w:val="004A2824"/>
    <w:rsid w:val="004A282B"/>
    <w:rsid w:val="004A2882"/>
    <w:rsid w:val="004A2889"/>
    <w:rsid w:val="004A28B8"/>
    <w:rsid w:val="004A29A0"/>
    <w:rsid w:val="004A29F7"/>
    <w:rsid w:val="004A2A32"/>
    <w:rsid w:val="004A2A77"/>
    <w:rsid w:val="004A2A89"/>
    <w:rsid w:val="004A2B4D"/>
    <w:rsid w:val="004A2C39"/>
    <w:rsid w:val="004A2CCE"/>
    <w:rsid w:val="004A2D66"/>
    <w:rsid w:val="004A2D84"/>
    <w:rsid w:val="004A2D86"/>
    <w:rsid w:val="004A2DA4"/>
    <w:rsid w:val="004A2E4C"/>
    <w:rsid w:val="004A2E66"/>
    <w:rsid w:val="004A2EE8"/>
    <w:rsid w:val="004A2F69"/>
    <w:rsid w:val="004A2FA1"/>
    <w:rsid w:val="004A2FB2"/>
    <w:rsid w:val="004A30AA"/>
    <w:rsid w:val="004A310D"/>
    <w:rsid w:val="004A3127"/>
    <w:rsid w:val="004A3174"/>
    <w:rsid w:val="004A31ED"/>
    <w:rsid w:val="004A31F5"/>
    <w:rsid w:val="004A3211"/>
    <w:rsid w:val="004A327D"/>
    <w:rsid w:val="004A32F7"/>
    <w:rsid w:val="004A33BB"/>
    <w:rsid w:val="004A33D9"/>
    <w:rsid w:val="004A3454"/>
    <w:rsid w:val="004A34E5"/>
    <w:rsid w:val="004A3519"/>
    <w:rsid w:val="004A3522"/>
    <w:rsid w:val="004A3576"/>
    <w:rsid w:val="004A35BB"/>
    <w:rsid w:val="004A36C9"/>
    <w:rsid w:val="004A36E6"/>
    <w:rsid w:val="004A379F"/>
    <w:rsid w:val="004A389C"/>
    <w:rsid w:val="004A38A9"/>
    <w:rsid w:val="004A38AD"/>
    <w:rsid w:val="004A38C3"/>
    <w:rsid w:val="004A3913"/>
    <w:rsid w:val="004A397C"/>
    <w:rsid w:val="004A399D"/>
    <w:rsid w:val="004A39DE"/>
    <w:rsid w:val="004A39E2"/>
    <w:rsid w:val="004A3AA2"/>
    <w:rsid w:val="004A3B7C"/>
    <w:rsid w:val="004A3C0C"/>
    <w:rsid w:val="004A3C68"/>
    <w:rsid w:val="004A3C77"/>
    <w:rsid w:val="004A3D41"/>
    <w:rsid w:val="004A3DCA"/>
    <w:rsid w:val="004A3E0E"/>
    <w:rsid w:val="004A3E15"/>
    <w:rsid w:val="004A3E9E"/>
    <w:rsid w:val="004A3EB7"/>
    <w:rsid w:val="004A3F64"/>
    <w:rsid w:val="004A3F80"/>
    <w:rsid w:val="004A3FB6"/>
    <w:rsid w:val="004A4016"/>
    <w:rsid w:val="004A403B"/>
    <w:rsid w:val="004A4074"/>
    <w:rsid w:val="004A408A"/>
    <w:rsid w:val="004A40B5"/>
    <w:rsid w:val="004A40BD"/>
    <w:rsid w:val="004A40C5"/>
    <w:rsid w:val="004A4133"/>
    <w:rsid w:val="004A41B6"/>
    <w:rsid w:val="004A41B8"/>
    <w:rsid w:val="004A41D5"/>
    <w:rsid w:val="004A4201"/>
    <w:rsid w:val="004A4324"/>
    <w:rsid w:val="004A437E"/>
    <w:rsid w:val="004A43B9"/>
    <w:rsid w:val="004A4435"/>
    <w:rsid w:val="004A445D"/>
    <w:rsid w:val="004A44A7"/>
    <w:rsid w:val="004A4564"/>
    <w:rsid w:val="004A45D9"/>
    <w:rsid w:val="004A462C"/>
    <w:rsid w:val="004A4639"/>
    <w:rsid w:val="004A4643"/>
    <w:rsid w:val="004A4688"/>
    <w:rsid w:val="004A46DD"/>
    <w:rsid w:val="004A46EB"/>
    <w:rsid w:val="004A479C"/>
    <w:rsid w:val="004A47FD"/>
    <w:rsid w:val="004A4813"/>
    <w:rsid w:val="004A481E"/>
    <w:rsid w:val="004A4826"/>
    <w:rsid w:val="004A490F"/>
    <w:rsid w:val="004A4935"/>
    <w:rsid w:val="004A493D"/>
    <w:rsid w:val="004A4945"/>
    <w:rsid w:val="004A49EA"/>
    <w:rsid w:val="004A4A2F"/>
    <w:rsid w:val="004A4A6D"/>
    <w:rsid w:val="004A4BAC"/>
    <w:rsid w:val="004A4BF5"/>
    <w:rsid w:val="004A4BF9"/>
    <w:rsid w:val="004A4C27"/>
    <w:rsid w:val="004A4C2F"/>
    <w:rsid w:val="004A4C39"/>
    <w:rsid w:val="004A4C8B"/>
    <w:rsid w:val="004A4D35"/>
    <w:rsid w:val="004A4D69"/>
    <w:rsid w:val="004A4DA7"/>
    <w:rsid w:val="004A4DBF"/>
    <w:rsid w:val="004A4DD2"/>
    <w:rsid w:val="004A4DF4"/>
    <w:rsid w:val="004A4E37"/>
    <w:rsid w:val="004A4E47"/>
    <w:rsid w:val="004A4F10"/>
    <w:rsid w:val="004A4F7E"/>
    <w:rsid w:val="004A4F9E"/>
    <w:rsid w:val="004A4FCC"/>
    <w:rsid w:val="004A4FDD"/>
    <w:rsid w:val="004A5001"/>
    <w:rsid w:val="004A5008"/>
    <w:rsid w:val="004A501D"/>
    <w:rsid w:val="004A502F"/>
    <w:rsid w:val="004A5050"/>
    <w:rsid w:val="004A5144"/>
    <w:rsid w:val="004A5151"/>
    <w:rsid w:val="004A52A3"/>
    <w:rsid w:val="004A5327"/>
    <w:rsid w:val="004A534C"/>
    <w:rsid w:val="004A53AA"/>
    <w:rsid w:val="004A548C"/>
    <w:rsid w:val="004A549A"/>
    <w:rsid w:val="004A54B3"/>
    <w:rsid w:val="004A5591"/>
    <w:rsid w:val="004A5607"/>
    <w:rsid w:val="004A5636"/>
    <w:rsid w:val="004A565B"/>
    <w:rsid w:val="004A5745"/>
    <w:rsid w:val="004A57B1"/>
    <w:rsid w:val="004A5871"/>
    <w:rsid w:val="004A5879"/>
    <w:rsid w:val="004A58D5"/>
    <w:rsid w:val="004A598D"/>
    <w:rsid w:val="004A59DB"/>
    <w:rsid w:val="004A5A21"/>
    <w:rsid w:val="004A5B21"/>
    <w:rsid w:val="004A5B23"/>
    <w:rsid w:val="004A5B49"/>
    <w:rsid w:val="004A5BC3"/>
    <w:rsid w:val="004A5BEA"/>
    <w:rsid w:val="004A5C08"/>
    <w:rsid w:val="004A5CA8"/>
    <w:rsid w:val="004A5D98"/>
    <w:rsid w:val="004A5D9E"/>
    <w:rsid w:val="004A5DD4"/>
    <w:rsid w:val="004A5E16"/>
    <w:rsid w:val="004A5F99"/>
    <w:rsid w:val="004A6028"/>
    <w:rsid w:val="004A604A"/>
    <w:rsid w:val="004A605D"/>
    <w:rsid w:val="004A60B1"/>
    <w:rsid w:val="004A60EB"/>
    <w:rsid w:val="004A60F2"/>
    <w:rsid w:val="004A614F"/>
    <w:rsid w:val="004A6183"/>
    <w:rsid w:val="004A6202"/>
    <w:rsid w:val="004A62E6"/>
    <w:rsid w:val="004A62EC"/>
    <w:rsid w:val="004A634F"/>
    <w:rsid w:val="004A6385"/>
    <w:rsid w:val="004A6388"/>
    <w:rsid w:val="004A641E"/>
    <w:rsid w:val="004A64D6"/>
    <w:rsid w:val="004A64E2"/>
    <w:rsid w:val="004A65C0"/>
    <w:rsid w:val="004A660F"/>
    <w:rsid w:val="004A6710"/>
    <w:rsid w:val="004A6775"/>
    <w:rsid w:val="004A6792"/>
    <w:rsid w:val="004A682F"/>
    <w:rsid w:val="004A683B"/>
    <w:rsid w:val="004A68C8"/>
    <w:rsid w:val="004A68F1"/>
    <w:rsid w:val="004A6971"/>
    <w:rsid w:val="004A69A5"/>
    <w:rsid w:val="004A6A96"/>
    <w:rsid w:val="004A6AA3"/>
    <w:rsid w:val="004A6ACA"/>
    <w:rsid w:val="004A6AE1"/>
    <w:rsid w:val="004A6B02"/>
    <w:rsid w:val="004A6B55"/>
    <w:rsid w:val="004A6C1B"/>
    <w:rsid w:val="004A6CB0"/>
    <w:rsid w:val="004A6CF9"/>
    <w:rsid w:val="004A6D67"/>
    <w:rsid w:val="004A6D79"/>
    <w:rsid w:val="004A6DA3"/>
    <w:rsid w:val="004A6DBB"/>
    <w:rsid w:val="004A6DBF"/>
    <w:rsid w:val="004A6E10"/>
    <w:rsid w:val="004A6E95"/>
    <w:rsid w:val="004A6EA8"/>
    <w:rsid w:val="004A6F6E"/>
    <w:rsid w:val="004A705A"/>
    <w:rsid w:val="004A70B3"/>
    <w:rsid w:val="004A70E8"/>
    <w:rsid w:val="004A7104"/>
    <w:rsid w:val="004A7186"/>
    <w:rsid w:val="004A71BE"/>
    <w:rsid w:val="004A71E6"/>
    <w:rsid w:val="004A72AD"/>
    <w:rsid w:val="004A72DF"/>
    <w:rsid w:val="004A7316"/>
    <w:rsid w:val="004A734D"/>
    <w:rsid w:val="004A73FE"/>
    <w:rsid w:val="004A749B"/>
    <w:rsid w:val="004A74C5"/>
    <w:rsid w:val="004A74D6"/>
    <w:rsid w:val="004A7572"/>
    <w:rsid w:val="004A7596"/>
    <w:rsid w:val="004A75E4"/>
    <w:rsid w:val="004A7603"/>
    <w:rsid w:val="004A7664"/>
    <w:rsid w:val="004A7688"/>
    <w:rsid w:val="004A77C6"/>
    <w:rsid w:val="004A7873"/>
    <w:rsid w:val="004A78BF"/>
    <w:rsid w:val="004A7905"/>
    <w:rsid w:val="004A791E"/>
    <w:rsid w:val="004A792A"/>
    <w:rsid w:val="004A794E"/>
    <w:rsid w:val="004A7969"/>
    <w:rsid w:val="004A79D2"/>
    <w:rsid w:val="004A7ADF"/>
    <w:rsid w:val="004A7AE7"/>
    <w:rsid w:val="004A7AFE"/>
    <w:rsid w:val="004A7BA5"/>
    <w:rsid w:val="004A7BBF"/>
    <w:rsid w:val="004A7BE9"/>
    <w:rsid w:val="004A7C13"/>
    <w:rsid w:val="004A7C4A"/>
    <w:rsid w:val="004A7CC7"/>
    <w:rsid w:val="004A7CF6"/>
    <w:rsid w:val="004A7D21"/>
    <w:rsid w:val="004A7D30"/>
    <w:rsid w:val="004A7D7B"/>
    <w:rsid w:val="004A7E28"/>
    <w:rsid w:val="004A7E35"/>
    <w:rsid w:val="004A7E63"/>
    <w:rsid w:val="004A7EBF"/>
    <w:rsid w:val="004A7ECB"/>
    <w:rsid w:val="004A7F48"/>
    <w:rsid w:val="004A7F6B"/>
    <w:rsid w:val="004A7F94"/>
    <w:rsid w:val="004A7FFE"/>
    <w:rsid w:val="004B000A"/>
    <w:rsid w:val="004B0043"/>
    <w:rsid w:val="004B009B"/>
    <w:rsid w:val="004B00D6"/>
    <w:rsid w:val="004B00FC"/>
    <w:rsid w:val="004B01FD"/>
    <w:rsid w:val="004B0212"/>
    <w:rsid w:val="004B029F"/>
    <w:rsid w:val="004B0309"/>
    <w:rsid w:val="004B0352"/>
    <w:rsid w:val="004B03B8"/>
    <w:rsid w:val="004B03CB"/>
    <w:rsid w:val="004B0427"/>
    <w:rsid w:val="004B0444"/>
    <w:rsid w:val="004B0507"/>
    <w:rsid w:val="004B050E"/>
    <w:rsid w:val="004B0511"/>
    <w:rsid w:val="004B054F"/>
    <w:rsid w:val="004B05CE"/>
    <w:rsid w:val="004B0682"/>
    <w:rsid w:val="004B06E9"/>
    <w:rsid w:val="004B0762"/>
    <w:rsid w:val="004B0805"/>
    <w:rsid w:val="004B0866"/>
    <w:rsid w:val="004B086A"/>
    <w:rsid w:val="004B090A"/>
    <w:rsid w:val="004B09A6"/>
    <w:rsid w:val="004B0A4F"/>
    <w:rsid w:val="004B0A8F"/>
    <w:rsid w:val="004B0BBC"/>
    <w:rsid w:val="004B0BBE"/>
    <w:rsid w:val="004B0BDD"/>
    <w:rsid w:val="004B0C12"/>
    <w:rsid w:val="004B0CAA"/>
    <w:rsid w:val="004B0CAB"/>
    <w:rsid w:val="004B0CF9"/>
    <w:rsid w:val="004B0D04"/>
    <w:rsid w:val="004B0D54"/>
    <w:rsid w:val="004B0D8B"/>
    <w:rsid w:val="004B0D8D"/>
    <w:rsid w:val="004B0DA1"/>
    <w:rsid w:val="004B0DEB"/>
    <w:rsid w:val="004B0EF5"/>
    <w:rsid w:val="004B0F0A"/>
    <w:rsid w:val="004B0F1C"/>
    <w:rsid w:val="004B0F2A"/>
    <w:rsid w:val="004B0F49"/>
    <w:rsid w:val="004B0F9B"/>
    <w:rsid w:val="004B0FD3"/>
    <w:rsid w:val="004B102D"/>
    <w:rsid w:val="004B104E"/>
    <w:rsid w:val="004B108D"/>
    <w:rsid w:val="004B1136"/>
    <w:rsid w:val="004B11A2"/>
    <w:rsid w:val="004B11F1"/>
    <w:rsid w:val="004B145D"/>
    <w:rsid w:val="004B14E6"/>
    <w:rsid w:val="004B1520"/>
    <w:rsid w:val="004B1550"/>
    <w:rsid w:val="004B1562"/>
    <w:rsid w:val="004B1593"/>
    <w:rsid w:val="004B1664"/>
    <w:rsid w:val="004B1678"/>
    <w:rsid w:val="004B16C0"/>
    <w:rsid w:val="004B171E"/>
    <w:rsid w:val="004B1778"/>
    <w:rsid w:val="004B17D2"/>
    <w:rsid w:val="004B17DC"/>
    <w:rsid w:val="004B183F"/>
    <w:rsid w:val="004B197A"/>
    <w:rsid w:val="004B1983"/>
    <w:rsid w:val="004B198F"/>
    <w:rsid w:val="004B1A50"/>
    <w:rsid w:val="004B1A5E"/>
    <w:rsid w:val="004B1A72"/>
    <w:rsid w:val="004B1AC5"/>
    <w:rsid w:val="004B1B33"/>
    <w:rsid w:val="004B1C58"/>
    <w:rsid w:val="004B1C69"/>
    <w:rsid w:val="004B1DA4"/>
    <w:rsid w:val="004B1DDF"/>
    <w:rsid w:val="004B1E14"/>
    <w:rsid w:val="004B1EA4"/>
    <w:rsid w:val="004B1ED6"/>
    <w:rsid w:val="004B1F8E"/>
    <w:rsid w:val="004B1FEB"/>
    <w:rsid w:val="004B2109"/>
    <w:rsid w:val="004B2179"/>
    <w:rsid w:val="004B2185"/>
    <w:rsid w:val="004B21A8"/>
    <w:rsid w:val="004B21B1"/>
    <w:rsid w:val="004B21CF"/>
    <w:rsid w:val="004B21DA"/>
    <w:rsid w:val="004B227D"/>
    <w:rsid w:val="004B22FC"/>
    <w:rsid w:val="004B2346"/>
    <w:rsid w:val="004B2362"/>
    <w:rsid w:val="004B249D"/>
    <w:rsid w:val="004B252F"/>
    <w:rsid w:val="004B2604"/>
    <w:rsid w:val="004B2614"/>
    <w:rsid w:val="004B26A3"/>
    <w:rsid w:val="004B270B"/>
    <w:rsid w:val="004B2716"/>
    <w:rsid w:val="004B275C"/>
    <w:rsid w:val="004B2776"/>
    <w:rsid w:val="004B278D"/>
    <w:rsid w:val="004B279B"/>
    <w:rsid w:val="004B27F1"/>
    <w:rsid w:val="004B28F6"/>
    <w:rsid w:val="004B28F8"/>
    <w:rsid w:val="004B2932"/>
    <w:rsid w:val="004B294E"/>
    <w:rsid w:val="004B2974"/>
    <w:rsid w:val="004B2993"/>
    <w:rsid w:val="004B2999"/>
    <w:rsid w:val="004B29A8"/>
    <w:rsid w:val="004B29BA"/>
    <w:rsid w:val="004B2A2B"/>
    <w:rsid w:val="004B2AE4"/>
    <w:rsid w:val="004B2B48"/>
    <w:rsid w:val="004B2BC4"/>
    <w:rsid w:val="004B2C14"/>
    <w:rsid w:val="004B2C98"/>
    <w:rsid w:val="004B2D3B"/>
    <w:rsid w:val="004B2D57"/>
    <w:rsid w:val="004B2DDD"/>
    <w:rsid w:val="004B2DE0"/>
    <w:rsid w:val="004B2E22"/>
    <w:rsid w:val="004B2E6A"/>
    <w:rsid w:val="004B2E70"/>
    <w:rsid w:val="004B2EC4"/>
    <w:rsid w:val="004B2ED6"/>
    <w:rsid w:val="004B2EDA"/>
    <w:rsid w:val="004B2F5D"/>
    <w:rsid w:val="004B2F8D"/>
    <w:rsid w:val="004B300F"/>
    <w:rsid w:val="004B3066"/>
    <w:rsid w:val="004B3071"/>
    <w:rsid w:val="004B3139"/>
    <w:rsid w:val="004B313D"/>
    <w:rsid w:val="004B314C"/>
    <w:rsid w:val="004B31B4"/>
    <w:rsid w:val="004B3249"/>
    <w:rsid w:val="004B3269"/>
    <w:rsid w:val="004B329A"/>
    <w:rsid w:val="004B32BA"/>
    <w:rsid w:val="004B3321"/>
    <w:rsid w:val="004B3334"/>
    <w:rsid w:val="004B336A"/>
    <w:rsid w:val="004B337E"/>
    <w:rsid w:val="004B3467"/>
    <w:rsid w:val="004B34E5"/>
    <w:rsid w:val="004B3529"/>
    <w:rsid w:val="004B3700"/>
    <w:rsid w:val="004B3758"/>
    <w:rsid w:val="004B3854"/>
    <w:rsid w:val="004B3951"/>
    <w:rsid w:val="004B39B3"/>
    <w:rsid w:val="004B39DA"/>
    <w:rsid w:val="004B39F6"/>
    <w:rsid w:val="004B3AB2"/>
    <w:rsid w:val="004B3B08"/>
    <w:rsid w:val="004B3B14"/>
    <w:rsid w:val="004B3B63"/>
    <w:rsid w:val="004B3B68"/>
    <w:rsid w:val="004B3B80"/>
    <w:rsid w:val="004B3BAC"/>
    <w:rsid w:val="004B3C20"/>
    <w:rsid w:val="004B3CC0"/>
    <w:rsid w:val="004B3D21"/>
    <w:rsid w:val="004B3D50"/>
    <w:rsid w:val="004B3E7F"/>
    <w:rsid w:val="004B3EBA"/>
    <w:rsid w:val="004B3EC2"/>
    <w:rsid w:val="004B3F24"/>
    <w:rsid w:val="004B3F3D"/>
    <w:rsid w:val="004B3FDF"/>
    <w:rsid w:val="004B402E"/>
    <w:rsid w:val="004B404F"/>
    <w:rsid w:val="004B4087"/>
    <w:rsid w:val="004B40B6"/>
    <w:rsid w:val="004B40E8"/>
    <w:rsid w:val="004B4376"/>
    <w:rsid w:val="004B43CF"/>
    <w:rsid w:val="004B4509"/>
    <w:rsid w:val="004B450A"/>
    <w:rsid w:val="004B4525"/>
    <w:rsid w:val="004B45B1"/>
    <w:rsid w:val="004B45C5"/>
    <w:rsid w:val="004B45E3"/>
    <w:rsid w:val="004B465C"/>
    <w:rsid w:val="004B46A1"/>
    <w:rsid w:val="004B46AB"/>
    <w:rsid w:val="004B477D"/>
    <w:rsid w:val="004B47A1"/>
    <w:rsid w:val="004B47AA"/>
    <w:rsid w:val="004B481A"/>
    <w:rsid w:val="004B483A"/>
    <w:rsid w:val="004B4855"/>
    <w:rsid w:val="004B4869"/>
    <w:rsid w:val="004B4889"/>
    <w:rsid w:val="004B48C9"/>
    <w:rsid w:val="004B4903"/>
    <w:rsid w:val="004B4905"/>
    <w:rsid w:val="004B49B0"/>
    <w:rsid w:val="004B49D0"/>
    <w:rsid w:val="004B4A0A"/>
    <w:rsid w:val="004B4A3A"/>
    <w:rsid w:val="004B4A3E"/>
    <w:rsid w:val="004B4A58"/>
    <w:rsid w:val="004B4AC1"/>
    <w:rsid w:val="004B4AC6"/>
    <w:rsid w:val="004B4B35"/>
    <w:rsid w:val="004B4B76"/>
    <w:rsid w:val="004B4BBC"/>
    <w:rsid w:val="004B4BDD"/>
    <w:rsid w:val="004B4BF5"/>
    <w:rsid w:val="004B4C0D"/>
    <w:rsid w:val="004B4CAF"/>
    <w:rsid w:val="004B4CE9"/>
    <w:rsid w:val="004B4D23"/>
    <w:rsid w:val="004B4D51"/>
    <w:rsid w:val="004B4D6D"/>
    <w:rsid w:val="004B4DAA"/>
    <w:rsid w:val="004B4DD7"/>
    <w:rsid w:val="004B4EC9"/>
    <w:rsid w:val="004B4F30"/>
    <w:rsid w:val="004B4F4E"/>
    <w:rsid w:val="004B4F56"/>
    <w:rsid w:val="004B4F61"/>
    <w:rsid w:val="004B4F7A"/>
    <w:rsid w:val="004B4F98"/>
    <w:rsid w:val="004B4FC9"/>
    <w:rsid w:val="004B4FEB"/>
    <w:rsid w:val="004B4FF4"/>
    <w:rsid w:val="004B502E"/>
    <w:rsid w:val="004B506C"/>
    <w:rsid w:val="004B5088"/>
    <w:rsid w:val="004B50A9"/>
    <w:rsid w:val="004B50AE"/>
    <w:rsid w:val="004B50BC"/>
    <w:rsid w:val="004B5123"/>
    <w:rsid w:val="004B512D"/>
    <w:rsid w:val="004B5175"/>
    <w:rsid w:val="004B51AD"/>
    <w:rsid w:val="004B51EF"/>
    <w:rsid w:val="004B5253"/>
    <w:rsid w:val="004B5277"/>
    <w:rsid w:val="004B543F"/>
    <w:rsid w:val="004B5453"/>
    <w:rsid w:val="004B545B"/>
    <w:rsid w:val="004B5473"/>
    <w:rsid w:val="004B5514"/>
    <w:rsid w:val="004B561A"/>
    <w:rsid w:val="004B56C8"/>
    <w:rsid w:val="004B5773"/>
    <w:rsid w:val="004B57B3"/>
    <w:rsid w:val="004B5842"/>
    <w:rsid w:val="004B5979"/>
    <w:rsid w:val="004B5993"/>
    <w:rsid w:val="004B5A27"/>
    <w:rsid w:val="004B5A65"/>
    <w:rsid w:val="004B5B5E"/>
    <w:rsid w:val="004B5B76"/>
    <w:rsid w:val="004B5B90"/>
    <w:rsid w:val="004B5BCB"/>
    <w:rsid w:val="004B5C15"/>
    <w:rsid w:val="004B5C28"/>
    <w:rsid w:val="004B5C83"/>
    <w:rsid w:val="004B5CEC"/>
    <w:rsid w:val="004B5D18"/>
    <w:rsid w:val="004B5D34"/>
    <w:rsid w:val="004B5D67"/>
    <w:rsid w:val="004B5D9D"/>
    <w:rsid w:val="004B5DC7"/>
    <w:rsid w:val="004B5DE9"/>
    <w:rsid w:val="004B5E69"/>
    <w:rsid w:val="004B5F2E"/>
    <w:rsid w:val="004B6022"/>
    <w:rsid w:val="004B6076"/>
    <w:rsid w:val="004B6084"/>
    <w:rsid w:val="004B609E"/>
    <w:rsid w:val="004B6114"/>
    <w:rsid w:val="004B61A0"/>
    <w:rsid w:val="004B6206"/>
    <w:rsid w:val="004B6210"/>
    <w:rsid w:val="004B622E"/>
    <w:rsid w:val="004B623C"/>
    <w:rsid w:val="004B6274"/>
    <w:rsid w:val="004B6297"/>
    <w:rsid w:val="004B62C5"/>
    <w:rsid w:val="004B630B"/>
    <w:rsid w:val="004B638D"/>
    <w:rsid w:val="004B6472"/>
    <w:rsid w:val="004B64A3"/>
    <w:rsid w:val="004B64D6"/>
    <w:rsid w:val="004B653A"/>
    <w:rsid w:val="004B6540"/>
    <w:rsid w:val="004B65AF"/>
    <w:rsid w:val="004B6619"/>
    <w:rsid w:val="004B66B5"/>
    <w:rsid w:val="004B66CC"/>
    <w:rsid w:val="004B67D6"/>
    <w:rsid w:val="004B67E2"/>
    <w:rsid w:val="004B681F"/>
    <w:rsid w:val="004B6878"/>
    <w:rsid w:val="004B688D"/>
    <w:rsid w:val="004B692A"/>
    <w:rsid w:val="004B6932"/>
    <w:rsid w:val="004B6955"/>
    <w:rsid w:val="004B696A"/>
    <w:rsid w:val="004B69C8"/>
    <w:rsid w:val="004B69CB"/>
    <w:rsid w:val="004B69D4"/>
    <w:rsid w:val="004B69FA"/>
    <w:rsid w:val="004B6A01"/>
    <w:rsid w:val="004B6AA4"/>
    <w:rsid w:val="004B6ADB"/>
    <w:rsid w:val="004B6AF3"/>
    <w:rsid w:val="004B6B0C"/>
    <w:rsid w:val="004B6B4C"/>
    <w:rsid w:val="004B6C89"/>
    <w:rsid w:val="004B6CD4"/>
    <w:rsid w:val="004B6DDD"/>
    <w:rsid w:val="004B6E4E"/>
    <w:rsid w:val="004B6E67"/>
    <w:rsid w:val="004B6E99"/>
    <w:rsid w:val="004B6EE9"/>
    <w:rsid w:val="004B6F65"/>
    <w:rsid w:val="004B6FE9"/>
    <w:rsid w:val="004B7012"/>
    <w:rsid w:val="004B705A"/>
    <w:rsid w:val="004B7130"/>
    <w:rsid w:val="004B722F"/>
    <w:rsid w:val="004B7234"/>
    <w:rsid w:val="004B7236"/>
    <w:rsid w:val="004B7354"/>
    <w:rsid w:val="004B7371"/>
    <w:rsid w:val="004B738C"/>
    <w:rsid w:val="004B7393"/>
    <w:rsid w:val="004B7399"/>
    <w:rsid w:val="004B73A7"/>
    <w:rsid w:val="004B73C0"/>
    <w:rsid w:val="004B73DD"/>
    <w:rsid w:val="004B742A"/>
    <w:rsid w:val="004B744F"/>
    <w:rsid w:val="004B7470"/>
    <w:rsid w:val="004B7488"/>
    <w:rsid w:val="004B74C9"/>
    <w:rsid w:val="004B74E6"/>
    <w:rsid w:val="004B74F9"/>
    <w:rsid w:val="004B7556"/>
    <w:rsid w:val="004B75A6"/>
    <w:rsid w:val="004B7624"/>
    <w:rsid w:val="004B768E"/>
    <w:rsid w:val="004B76CC"/>
    <w:rsid w:val="004B77C9"/>
    <w:rsid w:val="004B783D"/>
    <w:rsid w:val="004B786E"/>
    <w:rsid w:val="004B7889"/>
    <w:rsid w:val="004B7966"/>
    <w:rsid w:val="004B79A7"/>
    <w:rsid w:val="004B79AF"/>
    <w:rsid w:val="004B79B5"/>
    <w:rsid w:val="004B79FD"/>
    <w:rsid w:val="004B7A59"/>
    <w:rsid w:val="004B7ABA"/>
    <w:rsid w:val="004B7AD2"/>
    <w:rsid w:val="004B7AD3"/>
    <w:rsid w:val="004B7B15"/>
    <w:rsid w:val="004B7B95"/>
    <w:rsid w:val="004B7B99"/>
    <w:rsid w:val="004B7C2D"/>
    <w:rsid w:val="004B7CC7"/>
    <w:rsid w:val="004B7D08"/>
    <w:rsid w:val="004B7D0C"/>
    <w:rsid w:val="004B7D39"/>
    <w:rsid w:val="004B7D3E"/>
    <w:rsid w:val="004B7E18"/>
    <w:rsid w:val="004B7E2F"/>
    <w:rsid w:val="004B7E5D"/>
    <w:rsid w:val="004B7EE3"/>
    <w:rsid w:val="004B7FA0"/>
    <w:rsid w:val="004B7FC5"/>
    <w:rsid w:val="004C0016"/>
    <w:rsid w:val="004C0032"/>
    <w:rsid w:val="004C0038"/>
    <w:rsid w:val="004C004C"/>
    <w:rsid w:val="004C006B"/>
    <w:rsid w:val="004C0076"/>
    <w:rsid w:val="004C0078"/>
    <w:rsid w:val="004C009C"/>
    <w:rsid w:val="004C012E"/>
    <w:rsid w:val="004C01E8"/>
    <w:rsid w:val="004C01EB"/>
    <w:rsid w:val="004C01F4"/>
    <w:rsid w:val="004C020E"/>
    <w:rsid w:val="004C0231"/>
    <w:rsid w:val="004C0259"/>
    <w:rsid w:val="004C0267"/>
    <w:rsid w:val="004C02D3"/>
    <w:rsid w:val="004C02E4"/>
    <w:rsid w:val="004C0403"/>
    <w:rsid w:val="004C047D"/>
    <w:rsid w:val="004C04E4"/>
    <w:rsid w:val="004C05CA"/>
    <w:rsid w:val="004C05CC"/>
    <w:rsid w:val="004C0616"/>
    <w:rsid w:val="004C062F"/>
    <w:rsid w:val="004C06F5"/>
    <w:rsid w:val="004C0755"/>
    <w:rsid w:val="004C0775"/>
    <w:rsid w:val="004C0777"/>
    <w:rsid w:val="004C07D4"/>
    <w:rsid w:val="004C07DF"/>
    <w:rsid w:val="004C0814"/>
    <w:rsid w:val="004C0844"/>
    <w:rsid w:val="004C0852"/>
    <w:rsid w:val="004C0854"/>
    <w:rsid w:val="004C08B0"/>
    <w:rsid w:val="004C0AB5"/>
    <w:rsid w:val="004C0C8E"/>
    <w:rsid w:val="004C0D37"/>
    <w:rsid w:val="004C0D86"/>
    <w:rsid w:val="004C0DE1"/>
    <w:rsid w:val="004C0E4E"/>
    <w:rsid w:val="004C0F13"/>
    <w:rsid w:val="004C0F4C"/>
    <w:rsid w:val="004C0F8F"/>
    <w:rsid w:val="004C0FFC"/>
    <w:rsid w:val="004C1014"/>
    <w:rsid w:val="004C1077"/>
    <w:rsid w:val="004C109E"/>
    <w:rsid w:val="004C11B4"/>
    <w:rsid w:val="004C11D9"/>
    <w:rsid w:val="004C1236"/>
    <w:rsid w:val="004C123F"/>
    <w:rsid w:val="004C12D4"/>
    <w:rsid w:val="004C130D"/>
    <w:rsid w:val="004C1360"/>
    <w:rsid w:val="004C1392"/>
    <w:rsid w:val="004C13D0"/>
    <w:rsid w:val="004C1439"/>
    <w:rsid w:val="004C1485"/>
    <w:rsid w:val="004C14C5"/>
    <w:rsid w:val="004C14CA"/>
    <w:rsid w:val="004C14E6"/>
    <w:rsid w:val="004C1525"/>
    <w:rsid w:val="004C1529"/>
    <w:rsid w:val="004C15D8"/>
    <w:rsid w:val="004C15DD"/>
    <w:rsid w:val="004C163A"/>
    <w:rsid w:val="004C1703"/>
    <w:rsid w:val="004C173C"/>
    <w:rsid w:val="004C1771"/>
    <w:rsid w:val="004C17DC"/>
    <w:rsid w:val="004C1835"/>
    <w:rsid w:val="004C183A"/>
    <w:rsid w:val="004C1892"/>
    <w:rsid w:val="004C189A"/>
    <w:rsid w:val="004C1938"/>
    <w:rsid w:val="004C1981"/>
    <w:rsid w:val="004C1A39"/>
    <w:rsid w:val="004C1A40"/>
    <w:rsid w:val="004C1A95"/>
    <w:rsid w:val="004C1AAF"/>
    <w:rsid w:val="004C1B6A"/>
    <w:rsid w:val="004C1BBC"/>
    <w:rsid w:val="004C1BE2"/>
    <w:rsid w:val="004C1C3B"/>
    <w:rsid w:val="004C1C53"/>
    <w:rsid w:val="004C1D41"/>
    <w:rsid w:val="004C1DB4"/>
    <w:rsid w:val="004C1E02"/>
    <w:rsid w:val="004C1E22"/>
    <w:rsid w:val="004C1E84"/>
    <w:rsid w:val="004C1EBF"/>
    <w:rsid w:val="004C1ED2"/>
    <w:rsid w:val="004C1F03"/>
    <w:rsid w:val="004C1F28"/>
    <w:rsid w:val="004C1FC2"/>
    <w:rsid w:val="004C1FD7"/>
    <w:rsid w:val="004C1FFD"/>
    <w:rsid w:val="004C2069"/>
    <w:rsid w:val="004C2072"/>
    <w:rsid w:val="004C2103"/>
    <w:rsid w:val="004C2136"/>
    <w:rsid w:val="004C222E"/>
    <w:rsid w:val="004C22AA"/>
    <w:rsid w:val="004C22C7"/>
    <w:rsid w:val="004C22FE"/>
    <w:rsid w:val="004C2371"/>
    <w:rsid w:val="004C2372"/>
    <w:rsid w:val="004C2376"/>
    <w:rsid w:val="004C23BA"/>
    <w:rsid w:val="004C256C"/>
    <w:rsid w:val="004C25DC"/>
    <w:rsid w:val="004C25F4"/>
    <w:rsid w:val="004C2610"/>
    <w:rsid w:val="004C266B"/>
    <w:rsid w:val="004C266C"/>
    <w:rsid w:val="004C2732"/>
    <w:rsid w:val="004C27B6"/>
    <w:rsid w:val="004C2841"/>
    <w:rsid w:val="004C28F1"/>
    <w:rsid w:val="004C28F7"/>
    <w:rsid w:val="004C2900"/>
    <w:rsid w:val="004C290C"/>
    <w:rsid w:val="004C2932"/>
    <w:rsid w:val="004C2959"/>
    <w:rsid w:val="004C297A"/>
    <w:rsid w:val="004C2998"/>
    <w:rsid w:val="004C2A0F"/>
    <w:rsid w:val="004C2A3D"/>
    <w:rsid w:val="004C2A98"/>
    <w:rsid w:val="004C2AA5"/>
    <w:rsid w:val="004C2AEA"/>
    <w:rsid w:val="004C2B11"/>
    <w:rsid w:val="004C2B12"/>
    <w:rsid w:val="004C2BCE"/>
    <w:rsid w:val="004C2BDA"/>
    <w:rsid w:val="004C2BEA"/>
    <w:rsid w:val="004C2C8B"/>
    <w:rsid w:val="004C2CD4"/>
    <w:rsid w:val="004C2D1D"/>
    <w:rsid w:val="004C2DEF"/>
    <w:rsid w:val="004C2E82"/>
    <w:rsid w:val="004C2EBD"/>
    <w:rsid w:val="004C2EEF"/>
    <w:rsid w:val="004C2F6A"/>
    <w:rsid w:val="004C2FA9"/>
    <w:rsid w:val="004C2FC2"/>
    <w:rsid w:val="004C306B"/>
    <w:rsid w:val="004C3098"/>
    <w:rsid w:val="004C30F0"/>
    <w:rsid w:val="004C3114"/>
    <w:rsid w:val="004C3145"/>
    <w:rsid w:val="004C315B"/>
    <w:rsid w:val="004C315D"/>
    <w:rsid w:val="004C3162"/>
    <w:rsid w:val="004C3163"/>
    <w:rsid w:val="004C31EA"/>
    <w:rsid w:val="004C3258"/>
    <w:rsid w:val="004C327B"/>
    <w:rsid w:val="004C32B4"/>
    <w:rsid w:val="004C330D"/>
    <w:rsid w:val="004C332B"/>
    <w:rsid w:val="004C3344"/>
    <w:rsid w:val="004C335F"/>
    <w:rsid w:val="004C3381"/>
    <w:rsid w:val="004C33B3"/>
    <w:rsid w:val="004C33F8"/>
    <w:rsid w:val="004C3417"/>
    <w:rsid w:val="004C353E"/>
    <w:rsid w:val="004C3580"/>
    <w:rsid w:val="004C358C"/>
    <w:rsid w:val="004C359F"/>
    <w:rsid w:val="004C35AA"/>
    <w:rsid w:val="004C380E"/>
    <w:rsid w:val="004C383E"/>
    <w:rsid w:val="004C3854"/>
    <w:rsid w:val="004C3863"/>
    <w:rsid w:val="004C38D2"/>
    <w:rsid w:val="004C38FF"/>
    <w:rsid w:val="004C3949"/>
    <w:rsid w:val="004C395B"/>
    <w:rsid w:val="004C3966"/>
    <w:rsid w:val="004C3974"/>
    <w:rsid w:val="004C398E"/>
    <w:rsid w:val="004C39BF"/>
    <w:rsid w:val="004C3A0A"/>
    <w:rsid w:val="004C3A38"/>
    <w:rsid w:val="004C3A62"/>
    <w:rsid w:val="004C3A8C"/>
    <w:rsid w:val="004C3AC3"/>
    <w:rsid w:val="004C3ADF"/>
    <w:rsid w:val="004C3AF4"/>
    <w:rsid w:val="004C3B1E"/>
    <w:rsid w:val="004C3B80"/>
    <w:rsid w:val="004C3BC2"/>
    <w:rsid w:val="004C3C0A"/>
    <w:rsid w:val="004C3C5B"/>
    <w:rsid w:val="004C3C7F"/>
    <w:rsid w:val="004C3C81"/>
    <w:rsid w:val="004C3D79"/>
    <w:rsid w:val="004C3D88"/>
    <w:rsid w:val="004C3DDF"/>
    <w:rsid w:val="004C3E23"/>
    <w:rsid w:val="004C3E66"/>
    <w:rsid w:val="004C3E7F"/>
    <w:rsid w:val="004C3E8C"/>
    <w:rsid w:val="004C3EE9"/>
    <w:rsid w:val="004C3F1B"/>
    <w:rsid w:val="004C3FC8"/>
    <w:rsid w:val="004C4040"/>
    <w:rsid w:val="004C408B"/>
    <w:rsid w:val="004C40B4"/>
    <w:rsid w:val="004C40E9"/>
    <w:rsid w:val="004C410F"/>
    <w:rsid w:val="004C4166"/>
    <w:rsid w:val="004C41BD"/>
    <w:rsid w:val="004C41EB"/>
    <w:rsid w:val="004C43D8"/>
    <w:rsid w:val="004C4405"/>
    <w:rsid w:val="004C4559"/>
    <w:rsid w:val="004C4561"/>
    <w:rsid w:val="004C4579"/>
    <w:rsid w:val="004C4596"/>
    <w:rsid w:val="004C45DD"/>
    <w:rsid w:val="004C45F1"/>
    <w:rsid w:val="004C4616"/>
    <w:rsid w:val="004C462F"/>
    <w:rsid w:val="004C463A"/>
    <w:rsid w:val="004C4689"/>
    <w:rsid w:val="004C46D3"/>
    <w:rsid w:val="004C4710"/>
    <w:rsid w:val="004C4722"/>
    <w:rsid w:val="004C474E"/>
    <w:rsid w:val="004C4816"/>
    <w:rsid w:val="004C4848"/>
    <w:rsid w:val="004C4879"/>
    <w:rsid w:val="004C487F"/>
    <w:rsid w:val="004C489B"/>
    <w:rsid w:val="004C49A4"/>
    <w:rsid w:val="004C4A16"/>
    <w:rsid w:val="004C4A6F"/>
    <w:rsid w:val="004C4A89"/>
    <w:rsid w:val="004C4AC1"/>
    <w:rsid w:val="004C4AE4"/>
    <w:rsid w:val="004C4B8C"/>
    <w:rsid w:val="004C4BA5"/>
    <w:rsid w:val="004C4C05"/>
    <w:rsid w:val="004C4C14"/>
    <w:rsid w:val="004C4CD9"/>
    <w:rsid w:val="004C4CE2"/>
    <w:rsid w:val="004C4D4A"/>
    <w:rsid w:val="004C4D73"/>
    <w:rsid w:val="004C4D7B"/>
    <w:rsid w:val="004C4DDC"/>
    <w:rsid w:val="004C4E05"/>
    <w:rsid w:val="004C4E42"/>
    <w:rsid w:val="004C4EAA"/>
    <w:rsid w:val="004C4EFC"/>
    <w:rsid w:val="004C4F4E"/>
    <w:rsid w:val="004C4F51"/>
    <w:rsid w:val="004C4FEF"/>
    <w:rsid w:val="004C504A"/>
    <w:rsid w:val="004C5069"/>
    <w:rsid w:val="004C506A"/>
    <w:rsid w:val="004C5072"/>
    <w:rsid w:val="004C5109"/>
    <w:rsid w:val="004C5172"/>
    <w:rsid w:val="004C5218"/>
    <w:rsid w:val="004C52DE"/>
    <w:rsid w:val="004C539E"/>
    <w:rsid w:val="004C53EE"/>
    <w:rsid w:val="004C5499"/>
    <w:rsid w:val="004C54B1"/>
    <w:rsid w:val="004C54B8"/>
    <w:rsid w:val="004C54E8"/>
    <w:rsid w:val="004C554D"/>
    <w:rsid w:val="004C5565"/>
    <w:rsid w:val="004C5621"/>
    <w:rsid w:val="004C56AD"/>
    <w:rsid w:val="004C56F9"/>
    <w:rsid w:val="004C56FA"/>
    <w:rsid w:val="004C5768"/>
    <w:rsid w:val="004C576F"/>
    <w:rsid w:val="004C58DC"/>
    <w:rsid w:val="004C5969"/>
    <w:rsid w:val="004C5991"/>
    <w:rsid w:val="004C59A7"/>
    <w:rsid w:val="004C5ADF"/>
    <w:rsid w:val="004C5B20"/>
    <w:rsid w:val="004C5BFB"/>
    <w:rsid w:val="004C5C29"/>
    <w:rsid w:val="004C5CBF"/>
    <w:rsid w:val="004C5CF6"/>
    <w:rsid w:val="004C5D16"/>
    <w:rsid w:val="004C5D98"/>
    <w:rsid w:val="004C5EAE"/>
    <w:rsid w:val="004C5EDF"/>
    <w:rsid w:val="004C5F2B"/>
    <w:rsid w:val="004C6042"/>
    <w:rsid w:val="004C6048"/>
    <w:rsid w:val="004C606E"/>
    <w:rsid w:val="004C6165"/>
    <w:rsid w:val="004C61B0"/>
    <w:rsid w:val="004C626B"/>
    <w:rsid w:val="004C62C5"/>
    <w:rsid w:val="004C6300"/>
    <w:rsid w:val="004C63C9"/>
    <w:rsid w:val="004C63F8"/>
    <w:rsid w:val="004C6401"/>
    <w:rsid w:val="004C647E"/>
    <w:rsid w:val="004C6492"/>
    <w:rsid w:val="004C64BB"/>
    <w:rsid w:val="004C6548"/>
    <w:rsid w:val="004C658A"/>
    <w:rsid w:val="004C65A2"/>
    <w:rsid w:val="004C65E5"/>
    <w:rsid w:val="004C6609"/>
    <w:rsid w:val="004C6663"/>
    <w:rsid w:val="004C6674"/>
    <w:rsid w:val="004C66E7"/>
    <w:rsid w:val="004C6704"/>
    <w:rsid w:val="004C6759"/>
    <w:rsid w:val="004C6773"/>
    <w:rsid w:val="004C6949"/>
    <w:rsid w:val="004C695F"/>
    <w:rsid w:val="004C6ACB"/>
    <w:rsid w:val="004C6AFB"/>
    <w:rsid w:val="004C6B2D"/>
    <w:rsid w:val="004C6B87"/>
    <w:rsid w:val="004C6BE2"/>
    <w:rsid w:val="004C6C37"/>
    <w:rsid w:val="004C6C39"/>
    <w:rsid w:val="004C6C3B"/>
    <w:rsid w:val="004C6C68"/>
    <w:rsid w:val="004C6C9A"/>
    <w:rsid w:val="004C6CC8"/>
    <w:rsid w:val="004C6CCC"/>
    <w:rsid w:val="004C6D2C"/>
    <w:rsid w:val="004C6E1B"/>
    <w:rsid w:val="004C6E3C"/>
    <w:rsid w:val="004C6E55"/>
    <w:rsid w:val="004C6E8B"/>
    <w:rsid w:val="004C6EFA"/>
    <w:rsid w:val="004C6F10"/>
    <w:rsid w:val="004C6F16"/>
    <w:rsid w:val="004C6F38"/>
    <w:rsid w:val="004C6F40"/>
    <w:rsid w:val="004C6F5C"/>
    <w:rsid w:val="004C6FEF"/>
    <w:rsid w:val="004C6FF4"/>
    <w:rsid w:val="004C7011"/>
    <w:rsid w:val="004C7041"/>
    <w:rsid w:val="004C70BE"/>
    <w:rsid w:val="004C70FA"/>
    <w:rsid w:val="004C726F"/>
    <w:rsid w:val="004C72BB"/>
    <w:rsid w:val="004C7306"/>
    <w:rsid w:val="004C730C"/>
    <w:rsid w:val="004C739E"/>
    <w:rsid w:val="004C73AF"/>
    <w:rsid w:val="004C7461"/>
    <w:rsid w:val="004C7482"/>
    <w:rsid w:val="004C74C5"/>
    <w:rsid w:val="004C74EF"/>
    <w:rsid w:val="004C754E"/>
    <w:rsid w:val="004C75C9"/>
    <w:rsid w:val="004C76DA"/>
    <w:rsid w:val="004C76E9"/>
    <w:rsid w:val="004C7725"/>
    <w:rsid w:val="004C7757"/>
    <w:rsid w:val="004C7759"/>
    <w:rsid w:val="004C7764"/>
    <w:rsid w:val="004C77F9"/>
    <w:rsid w:val="004C7852"/>
    <w:rsid w:val="004C7966"/>
    <w:rsid w:val="004C79A4"/>
    <w:rsid w:val="004C7A3D"/>
    <w:rsid w:val="004C7A60"/>
    <w:rsid w:val="004C7B88"/>
    <w:rsid w:val="004C7C26"/>
    <w:rsid w:val="004C7C45"/>
    <w:rsid w:val="004C7C4D"/>
    <w:rsid w:val="004C7C65"/>
    <w:rsid w:val="004C7C70"/>
    <w:rsid w:val="004C7C89"/>
    <w:rsid w:val="004C7CA5"/>
    <w:rsid w:val="004C7CD1"/>
    <w:rsid w:val="004C7CF4"/>
    <w:rsid w:val="004C7D08"/>
    <w:rsid w:val="004C7D7A"/>
    <w:rsid w:val="004C7D85"/>
    <w:rsid w:val="004C7DBD"/>
    <w:rsid w:val="004C7DEB"/>
    <w:rsid w:val="004C7E1B"/>
    <w:rsid w:val="004C7E47"/>
    <w:rsid w:val="004C7F28"/>
    <w:rsid w:val="004C7F53"/>
    <w:rsid w:val="004D0012"/>
    <w:rsid w:val="004D00CE"/>
    <w:rsid w:val="004D00DC"/>
    <w:rsid w:val="004D0143"/>
    <w:rsid w:val="004D0175"/>
    <w:rsid w:val="004D0247"/>
    <w:rsid w:val="004D02DB"/>
    <w:rsid w:val="004D0391"/>
    <w:rsid w:val="004D03A0"/>
    <w:rsid w:val="004D0472"/>
    <w:rsid w:val="004D055A"/>
    <w:rsid w:val="004D056F"/>
    <w:rsid w:val="004D05CD"/>
    <w:rsid w:val="004D06A5"/>
    <w:rsid w:val="004D06D8"/>
    <w:rsid w:val="004D079F"/>
    <w:rsid w:val="004D0801"/>
    <w:rsid w:val="004D080A"/>
    <w:rsid w:val="004D090B"/>
    <w:rsid w:val="004D091C"/>
    <w:rsid w:val="004D09EE"/>
    <w:rsid w:val="004D0A30"/>
    <w:rsid w:val="004D0A53"/>
    <w:rsid w:val="004D0B7A"/>
    <w:rsid w:val="004D0B83"/>
    <w:rsid w:val="004D0BB8"/>
    <w:rsid w:val="004D0C2A"/>
    <w:rsid w:val="004D0C2D"/>
    <w:rsid w:val="004D0C67"/>
    <w:rsid w:val="004D0CC4"/>
    <w:rsid w:val="004D0CD9"/>
    <w:rsid w:val="004D0CEA"/>
    <w:rsid w:val="004D0D95"/>
    <w:rsid w:val="004D0DCD"/>
    <w:rsid w:val="004D0E31"/>
    <w:rsid w:val="004D0EAB"/>
    <w:rsid w:val="004D0EB6"/>
    <w:rsid w:val="004D0EC8"/>
    <w:rsid w:val="004D0ED0"/>
    <w:rsid w:val="004D0F21"/>
    <w:rsid w:val="004D0F86"/>
    <w:rsid w:val="004D0F8D"/>
    <w:rsid w:val="004D0FB0"/>
    <w:rsid w:val="004D1011"/>
    <w:rsid w:val="004D10A8"/>
    <w:rsid w:val="004D10B9"/>
    <w:rsid w:val="004D10DF"/>
    <w:rsid w:val="004D114D"/>
    <w:rsid w:val="004D116F"/>
    <w:rsid w:val="004D1177"/>
    <w:rsid w:val="004D118B"/>
    <w:rsid w:val="004D11A3"/>
    <w:rsid w:val="004D122A"/>
    <w:rsid w:val="004D1236"/>
    <w:rsid w:val="004D1259"/>
    <w:rsid w:val="004D1276"/>
    <w:rsid w:val="004D1278"/>
    <w:rsid w:val="004D12A3"/>
    <w:rsid w:val="004D1377"/>
    <w:rsid w:val="004D138F"/>
    <w:rsid w:val="004D13AF"/>
    <w:rsid w:val="004D13C7"/>
    <w:rsid w:val="004D13E6"/>
    <w:rsid w:val="004D140A"/>
    <w:rsid w:val="004D143E"/>
    <w:rsid w:val="004D1443"/>
    <w:rsid w:val="004D1477"/>
    <w:rsid w:val="004D14B2"/>
    <w:rsid w:val="004D150A"/>
    <w:rsid w:val="004D152A"/>
    <w:rsid w:val="004D1586"/>
    <w:rsid w:val="004D15C5"/>
    <w:rsid w:val="004D15D7"/>
    <w:rsid w:val="004D1645"/>
    <w:rsid w:val="004D164B"/>
    <w:rsid w:val="004D1672"/>
    <w:rsid w:val="004D1678"/>
    <w:rsid w:val="004D168D"/>
    <w:rsid w:val="004D179D"/>
    <w:rsid w:val="004D181E"/>
    <w:rsid w:val="004D185F"/>
    <w:rsid w:val="004D18EB"/>
    <w:rsid w:val="004D18FC"/>
    <w:rsid w:val="004D1966"/>
    <w:rsid w:val="004D1970"/>
    <w:rsid w:val="004D197C"/>
    <w:rsid w:val="004D1A16"/>
    <w:rsid w:val="004D1A3F"/>
    <w:rsid w:val="004D1A51"/>
    <w:rsid w:val="004D1A85"/>
    <w:rsid w:val="004D1AE5"/>
    <w:rsid w:val="004D1B09"/>
    <w:rsid w:val="004D1B58"/>
    <w:rsid w:val="004D1B73"/>
    <w:rsid w:val="004D1BF0"/>
    <w:rsid w:val="004D1C05"/>
    <w:rsid w:val="004D1C7D"/>
    <w:rsid w:val="004D1CAE"/>
    <w:rsid w:val="004D1CCB"/>
    <w:rsid w:val="004D1D7F"/>
    <w:rsid w:val="004D1E0C"/>
    <w:rsid w:val="004D1E15"/>
    <w:rsid w:val="004D1E4C"/>
    <w:rsid w:val="004D1E87"/>
    <w:rsid w:val="004D1F58"/>
    <w:rsid w:val="004D209C"/>
    <w:rsid w:val="004D20A4"/>
    <w:rsid w:val="004D20DE"/>
    <w:rsid w:val="004D20EC"/>
    <w:rsid w:val="004D210A"/>
    <w:rsid w:val="004D2123"/>
    <w:rsid w:val="004D21BA"/>
    <w:rsid w:val="004D2202"/>
    <w:rsid w:val="004D22C2"/>
    <w:rsid w:val="004D22E3"/>
    <w:rsid w:val="004D234A"/>
    <w:rsid w:val="004D23A8"/>
    <w:rsid w:val="004D243F"/>
    <w:rsid w:val="004D2451"/>
    <w:rsid w:val="004D247C"/>
    <w:rsid w:val="004D25AE"/>
    <w:rsid w:val="004D25EF"/>
    <w:rsid w:val="004D2661"/>
    <w:rsid w:val="004D2682"/>
    <w:rsid w:val="004D26DF"/>
    <w:rsid w:val="004D2704"/>
    <w:rsid w:val="004D2789"/>
    <w:rsid w:val="004D279D"/>
    <w:rsid w:val="004D27E9"/>
    <w:rsid w:val="004D2859"/>
    <w:rsid w:val="004D288D"/>
    <w:rsid w:val="004D28DE"/>
    <w:rsid w:val="004D2902"/>
    <w:rsid w:val="004D2916"/>
    <w:rsid w:val="004D297E"/>
    <w:rsid w:val="004D29D9"/>
    <w:rsid w:val="004D2A7F"/>
    <w:rsid w:val="004D2ACA"/>
    <w:rsid w:val="004D2ADD"/>
    <w:rsid w:val="004D2B92"/>
    <w:rsid w:val="004D2BD4"/>
    <w:rsid w:val="004D2BD6"/>
    <w:rsid w:val="004D2C4E"/>
    <w:rsid w:val="004D2DB5"/>
    <w:rsid w:val="004D2E96"/>
    <w:rsid w:val="004D2EE6"/>
    <w:rsid w:val="004D2F8E"/>
    <w:rsid w:val="004D3049"/>
    <w:rsid w:val="004D3057"/>
    <w:rsid w:val="004D305D"/>
    <w:rsid w:val="004D30F9"/>
    <w:rsid w:val="004D3139"/>
    <w:rsid w:val="004D3141"/>
    <w:rsid w:val="004D3154"/>
    <w:rsid w:val="004D31C4"/>
    <w:rsid w:val="004D3229"/>
    <w:rsid w:val="004D3238"/>
    <w:rsid w:val="004D3268"/>
    <w:rsid w:val="004D32C2"/>
    <w:rsid w:val="004D3386"/>
    <w:rsid w:val="004D33D8"/>
    <w:rsid w:val="004D33E5"/>
    <w:rsid w:val="004D3403"/>
    <w:rsid w:val="004D3473"/>
    <w:rsid w:val="004D34B9"/>
    <w:rsid w:val="004D35A3"/>
    <w:rsid w:val="004D363E"/>
    <w:rsid w:val="004D36FA"/>
    <w:rsid w:val="004D3709"/>
    <w:rsid w:val="004D3728"/>
    <w:rsid w:val="004D373C"/>
    <w:rsid w:val="004D3769"/>
    <w:rsid w:val="004D3848"/>
    <w:rsid w:val="004D3895"/>
    <w:rsid w:val="004D38A5"/>
    <w:rsid w:val="004D38FC"/>
    <w:rsid w:val="004D3921"/>
    <w:rsid w:val="004D3943"/>
    <w:rsid w:val="004D3959"/>
    <w:rsid w:val="004D3A41"/>
    <w:rsid w:val="004D3A7F"/>
    <w:rsid w:val="004D3AF0"/>
    <w:rsid w:val="004D3B81"/>
    <w:rsid w:val="004D3BB6"/>
    <w:rsid w:val="004D3BBC"/>
    <w:rsid w:val="004D3BDB"/>
    <w:rsid w:val="004D3C1B"/>
    <w:rsid w:val="004D3C36"/>
    <w:rsid w:val="004D3C56"/>
    <w:rsid w:val="004D3C5C"/>
    <w:rsid w:val="004D3C6C"/>
    <w:rsid w:val="004D3CC4"/>
    <w:rsid w:val="004D3D00"/>
    <w:rsid w:val="004D3D21"/>
    <w:rsid w:val="004D3D3D"/>
    <w:rsid w:val="004D3DBB"/>
    <w:rsid w:val="004D3E30"/>
    <w:rsid w:val="004D3E3F"/>
    <w:rsid w:val="004D3ED4"/>
    <w:rsid w:val="004D3ED6"/>
    <w:rsid w:val="004D3F26"/>
    <w:rsid w:val="004D3F35"/>
    <w:rsid w:val="004D3F71"/>
    <w:rsid w:val="004D3F84"/>
    <w:rsid w:val="004D3FA4"/>
    <w:rsid w:val="004D3FE4"/>
    <w:rsid w:val="004D3FF2"/>
    <w:rsid w:val="004D403F"/>
    <w:rsid w:val="004D405F"/>
    <w:rsid w:val="004D4076"/>
    <w:rsid w:val="004D409C"/>
    <w:rsid w:val="004D40CF"/>
    <w:rsid w:val="004D4114"/>
    <w:rsid w:val="004D41EF"/>
    <w:rsid w:val="004D4237"/>
    <w:rsid w:val="004D4240"/>
    <w:rsid w:val="004D4249"/>
    <w:rsid w:val="004D42C2"/>
    <w:rsid w:val="004D42E5"/>
    <w:rsid w:val="004D43B1"/>
    <w:rsid w:val="004D43C8"/>
    <w:rsid w:val="004D43DB"/>
    <w:rsid w:val="004D43E2"/>
    <w:rsid w:val="004D4404"/>
    <w:rsid w:val="004D445C"/>
    <w:rsid w:val="004D4484"/>
    <w:rsid w:val="004D4495"/>
    <w:rsid w:val="004D453A"/>
    <w:rsid w:val="004D4558"/>
    <w:rsid w:val="004D4570"/>
    <w:rsid w:val="004D45DA"/>
    <w:rsid w:val="004D460F"/>
    <w:rsid w:val="004D4786"/>
    <w:rsid w:val="004D479F"/>
    <w:rsid w:val="004D47B7"/>
    <w:rsid w:val="004D47CF"/>
    <w:rsid w:val="004D4918"/>
    <w:rsid w:val="004D4945"/>
    <w:rsid w:val="004D4977"/>
    <w:rsid w:val="004D4A70"/>
    <w:rsid w:val="004D4A93"/>
    <w:rsid w:val="004D4B01"/>
    <w:rsid w:val="004D4B1E"/>
    <w:rsid w:val="004D4B20"/>
    <w:rsid w:val="004D4B65"/>
    <w:rsid w:val="004D4B73"/>
    <w:rsid w:val="004D4C11"/>
    <w:rsid w:val="004D4C3C"/>
    <w:rsid w:val="004D4C6F"/>
    <w:rsid w:val="004D4C85"/>
    <w:rsid w:val="004D4CBC"/>
    <w:rsid w:val="004D4CC9"/>
    <w:rsid w:val="004D4E63"/>
    <w:rsid w:val="004D4E6C"/>
    <w:rsid w:val="004D4E89"/>
    <w:rsid w:val="004D4E8B"/>
    <w:rsid w:val="004D4F0C"/>
    <w:rsid w:val="004D4F24"/>
    <w:rsid w:val="004D4F27"/>
    <w:rsid w:val="004D4F49"/>
    <w:rsid w:val="004D506B"/>
    <w:rsid w:val="004D508E"/>
    <w:rsid w:val="004D50A4"/>
    <w:rsid w:val="004D50CC"/>
    <w:rsid w:val="004D510F"/>
    <w:rsid w:val="004D516F"/>
    <w:rsid w:val="004D518A"/>
    <w:rsid w:val="004D5204"/>
    <w:rsid w:val="004D52DA"/>
    <w:rsid w:val="004D52FB"/>
    <w:rsid w:val="004D5308"/>
    <w:rsid w:val="004D53E1"/>
    <w:rsid w:val="004D5459"/>
    <w:rsid w:val="004D55DF"/>
    <w:rsid w:val="004D55F6"/>
    <w:rsid w:val="004D56B6"/>
    <w:rsid w:val="004D56C1"/>
    <w:rsid w:val="004D56C2"/>
    <w:rsid w:val="004D56F6"/>
    <w:rsid w:val="004D5785"/>
    <w:rsid w:val="004D578C"/>
    <w:rsid w:val="004D57E6"/>
    <w:rsid w:val="004D5833"/>
    <w:rsid w:val="004D5844"/>
    <w:rsid w:val="004D585D"/>
    <w:rsid w:val="004D597E"/>
    <w:rsid w:val="004D59B5"/>
    <w:rsid w:val="004D5A71"/>
    <w:rsid w:val="004D5A8D"/>
    <w:rsid w:val="004D5AAE"/>
    <w:rsid w:val="004D5B43"/>
    <w:rsid w:val="004D5B8F"/>
    <w:rsid w:val="004D5BCC"/>
    <w:rsid w:val="004D5BFE"/>
    <w:rsid w:val="004D5C21"/>
    <w:rsid w:val="004D5C6A"/>
    <w:rsid w:val="004D5CA5"/>
    <w:rsid w:val="004D5CE8"/>
    <w:rsid w:val="004D5CF6"/>
    <w:rsid w:val="004D5D2C"/>
    <w:rsid w:val="004D5DD1"/>
    <w:rsid w:val="004D5DD3"/>
    <w:rsid w:val="004D5DFC"/>
    <w:rsid w:val="004D5E3A"/>
    <w:rsid w:val="004D5EE1"/>
    <w:rsid w:val="004D5F56"/>
    <w:rsid w:val="004D5F9D"/>
    <w:rsid w:val="004D5FC9"/>
    <w:rsid w:val="004D602D"/>
    <w:rsid w:val="004D6044"/>
    <w:rsid w:val="004D6051"/>
    <w:rsid w:val="004D6063"/>
    <w:rsid w:val="004D6133"/>
    <w:rsid w:val="004D6196"/>
    <w:rsid w:val="004D61A7"/>
    <w:rsid w:val="004D61C4"/>
    <w:rsid w:val="004D61C8"/>
    <w:rsid w:val="004D6237"/>
    <w:rsid w:val="004D6256"/>
    <w:rsid w:val="004D629A"/>
    <w:rsid w:val="004D6331"/>
    <w:rsid w:val="004D6337"/>
    <w:rsid w:val="004D6370"/>
    <w:rsid w:val="004D6397"/>
    <w:rsid w:val="004D6441"/>
    <w:rsid w:val="004D6478"/>
    <w:rsid w:val="004D6486"/>
    <w:rsid w:val="004D64FA"/>
    <w:rsid w:val="004D6511"/>
    <w:rsid w:val="004D6566"/>
    <w:rsid w:val="004D65B5"/>
    <w:rsid w:val="004D65C4"/>
    <w:rsid w:val="004D663B"/>
    <w:rsid w:val="004D664A"/>
    <w:rsid w:val="004D669B"/>
    <w:rsid w:val="004D66CC"/>
    <w:rsid w:val="004D66DD"/>
    <w:rsid w:val="004D671D"/>
    <w:rsid w:val="004D6755"/>
    <w:rsid w:val="004D6783"/>
    <w:rsid w:val="004D6794"/>
    <w:rsid w:val="004D67A2"/>
    <w:rsid w:val="004D67C5"/>
    <w:rsid w:val="004D693D"/>
    <w:rsid w:val="004D69A4"/>
    <w:rsid w:val="004D69C6"/>
    <w:rsid w:val="004D6AA5"/>
    <w:rsid w:val="004D6B42"/>
    <w:rsid w:val="004D6B8B"/>
    <w:rsid w:val="004D6BDC"/>
    <w:rsid w:val="004D6C0E"/>
    <w:rsid w:val="004D6C26"/>
    <w:rsid w:val="004D6CE7"/>
    <w:rsid w:val="004D6D74"/>
    <w:rsid w:val="004D6DBB"/>
    <w:rsid w:val="004D6DE5"/>
    <w:rsid w:val="004D6DF1"/>
    <w:rsid w:val="004D6E17"/>
    <w:rsid w:val="004D6E5E"/>
    <w:rsid w:val="004D6E77"/>
    <w:rsid w:val="004D6EDB"/>
    <w:rsid w:val="004D6F5A"/>
    <w:rsid w:val="004D6F81"/>
    <w:rsid w:val="004D6FBE"/>
    <w:rsid w:val="004D704F"/>
    <w:rsid w:val="004D706F"/>
    <w:rsid w:val="004D70F3"/>
    <w:rsid w:val="004D7191"/>
    <w:rsid w:val="004D7232"/>
    <w:rsid w:val="004D72CE"/>
    <w:rsid w:val="004D733E"/>
    <w:rsid w:val="004D7391"/>
    <w:rsid w:val="004D73FF"/>
    <w:rsid w:val="004D746A"/>
    <w:rsid w:val="004D7484"/>
    <w:rsid w:val="004D7496"/>
    <w:rsid w:val="004D7505"/>
    <w:rsid w:val="004D755B"/>
    <w:rsid w:val="004D75EE"/>
    <w:rsid w:val="004D75FB"/>
    <w:rsid w:val="004D7625"/>
    <w:rsid w:val="004D762F"/>
    <w:rsid w:val="004D76CB"/>
    <w:rsid w:val="004D781A"/>
    <w:rsid w:val="004D7856"/>
    <w:rsid w:val="004D78D6"/>
    <w:rsid w:val="004D78F7"/>
    <w:rsid w:val="004D78F9"/>
    <w:rsid w:val="004D7924"/>
    <w:rsid w:val="004D7944"/>
    <w:rsid w:val="004D7A8C"/>
    <w:rsid w:val="004D7B2D"/>
    <w:rsid w:val="004D7B5F"/>
    <w:rsid w:val="004D7BDB"/>
    <w:rsid w:val="004D7BFA"/>
    <w:rsid w:val="004D7C08"/>
    <w:rsid w:val="004D7CAB"/>
    <w:rsid w:val="004D7CCB"/>
    <w:rsid w:val="004D7D5F"/>
    <w:rsid w:val="004D7DFD"/>
    <w:rsid w:val="004D7E44"/>
    <w:rsid w:val="004D7F07"/>
    <w:rsid w:val="004E0015"/>
    <w:rsid w:val="004E002D"/>
    <w:rsid w:val="004E00E1"/>
    <w:rsid w:val="004E0120"/>
    <w:rsid w:val="004E0125"/>
    <w:rsid w:val="004E0183"/>
    <w:rsid w:val="004E01AF"/>
    <w:rsid w:val="004E01BB"/>
    <w:rsid w:val="004E0214"/>
    <w:rsid w:val="004E022F"/>
    <w:rsid w:val="004E02A5"/>
    <w:rsid w:val="004E0337"/>
    <w:rsid w:val="004E03FA"/>
    <w:rsid w:val="004E04E9"/>
    <w:rsid w:val="004E0554"/>
    <w:rsid w:val="004E065E"/>
    <w:rsid w:val="004E06E2"/>
    <w:rsid w:val="004E06EF"/>
    <w:rsid w:val="004E0770"/>
    <w:rsid w:val="004E0837"/>
    <w:rsid w:val="004E083E"/>
    <w:rsid w:val="004E0850"/>
    <w:rsid w:val="004E08B4"/>
    <w:rsid w:val="004E091E"/>
    <w:rsid w:val="004E0981"/>
    <w:rsid w:val="004E099F"/>
    <w:rsid w:val="004E09A8"/>
    <w:rsid w:val="004E0A03"/>
    <w:rsid w:val="004E0A0E"/>
    <w:rsid w:val="004E0A62"/>
    <w:rsid w:val="004E0A78"/>
    <w:rsid w:val="004E0A92"/>
    <w:rsid w:val="004E0B50"/>
    <w:rsid w:val="004E0B71"/>
    <w:rsid w:val="004E0C6B"/>
    <w:rsid w:val="004E0C82"/>
    <w:rsid w:val="004E0C83"/>
    <w:rsid w:val="004E0D14"/>
    <w:rsid w:val="004E0D1B"/>
    <w:rsid w:val="004E0D8E"/>
    <w:rsid w:val="004E0DB0"/>
    <w:rsid w:val="004E0DCE"/>
    <w:rsid w:val="004E0DEB"/>
    <w:rsid w:val="004E0DFE"/>
    <w:rsid w:val="004E0F47"/>
    <w:rsid w:val="004E102C"/>
    <w:rsid w:val="004E105D"/>
    <w:rsid w:val="004E105F"/>
    <w:rsid w:val="004E1064"/>
    <w:rsid w:val="004E10A9"/>
    <w:rsid w:val="004E10D0"/>
    <w:rsid w:val="004E10DF"/>
    <w:rsid w:val="004E1110"/>
    <w:rsid w:val="004E1134"/>
    <w:rsid w:val="004E1152"/>
    <w:rsid w:val="004E115F"/>
    <w:rsid w:val="004E1209"/>
    <w:rsid w:val="004E1218"/>
    <w:rsid w:val="004E123E"/>
    <w:rsid w:val="004E125D"/>
    <w:rsid w:val="004E128E"/>
    <w:rsid w:val="004E12A5"/>
    <w:rsid w:val="004E12A7"/>
    <w:rsid w:val="004E1350"/>
    <w:rsid w:val="004E1358"/>
    <w:rsid w:val="004E1393"/>
    <w:rsid w:val="004E13BF"/>
    <w:rsid w:val="004E13CD"/>
    <w:rsid w:val="004E145E"/>
    <w:rsid w:val="004E14C0"/>
    <w:rsid w:val="004E1561"/>
    <w:rsid w:val="004E15AB"/>
    <w:rsid w:val="004E1624"/>
    <w:rsid w:val="004E176D"/>
    <w:rsid w:val="004E179D"/>
    <w:rsid w:val="004E17F2"/>
    <w:rsid w:val="004E181F"/>
    <w:rsid w:val="004E1830"/>
    <w:rsid w:val="004E192E"/>
    <w:rsid w:val="004E1ABC"/>
    <w:rsid w:val="004E1AE3"/>
    <w:rsid w:val="004E1AE8"/>
    <w:rsid w:val="004E1AFD"/>
    <w:rsid w:val="004E1B36"/>
    <w:rsid w:val="004E1B41"/>
    <w:rsid w:val="004E1B5A"/>
    <w:rsid w:val="004E1B7A"/>
    <w:rsid w:val="004E1BC5"/>
    <w:rsid w:val="004E1BD4"/>
    <w:rsid w:val="004E1BFA"/>
    <w:rsid w:val="004E1C06"/>
    <w:rsid w:val="004E1C13"/>
    <w:rsid w:val="004E1C21"/>
    <w:rsid w:val="004E1C25"/>
    <w:rsid w:val="004E1C30"/>
    <w:rsid w:val="004E1C65"/>
    <w:rsid w:val="004E1C75"/>
    <w:rsid w:val="004E1C9D"/>
    <w:rsid w:val="004E1CFE"/>
    <w:rsid w:val="004E1D01"/>
    <w:rsid w:val="004E1D1E"/>
    <w:rsid w:val="004E1D94"/>
    <w:rsid w:val="004E1DC1"/>
    <w:rsid w:val="004E1E52"/>
    <w:rsid w:val="004E1EE1"/>
    <w:rsid w:val="004E2070"/>
    <w:rsid w:val="004E2143"/>
    <w:rsid w:val="004E21EF"/>
    <w:rsid w:val="004E2227"/>
    <w:rsid w:val="004E2250"/>
    <w:rsid w:val="004E2274"/>
    <w:rsid w:val="004E2277"/>
    <w:rsid w:val="004E22B5"/>
    <w:rsid w:val="004E22D1"/>
    <w:rsid w:val="004E231E"/>
    <w:rsid w:val="004E234C"/>
    <w:rsid w:val="004E2476"/>
    <w:rsid w:val="004E24C1"/>
    <w:rsid w:val="004E2519"/>
    <w:rsid w:val="004E2649"/>
    <w:rsid w:val="004E26A8"/>
    <w:rsid w:val="004E2724"/>
    <w:rsid w:val="004E2864"/>
    <w:rsid w:val="004E286E"/>
    <w:rsid w:val="004E2877"/>
    <w:rsid w:val="004E298B"/>
    <w:rsid w:val="004E29B0"/>
    <w:rsid w:val="004E29B8"/>
    <w:rsid w:val="004E2A77"/>
    <w:rsid w:val="004E2AA3"/>
    <w:rsid w:val="004E2AE2"/>
    <w:rsid w:val="004E2B23"/>
    <w:rsid w:val="004E2B49"/>
    <w:rsid w:val="004E2B54"/>
    <w:rsid w:val="004E2BC1"/>
    <w:rsid w:val="004E2BC8"/>
    <w:rsid w:val="004E2BD1"/>
    <w:rsid w:val="004E2BDF"/>
    <w:rsid w:val="004E2C0E"/>
    <w:rsid w:val="004E2C71"/>
    <w:rsid w:val="004E2C83"/>
    <w:rsid w:val="004E2D3B"/>
    <w:rsid w:val="004E2D7F"/>
    <w:rsid w:val="004E2DB4"/>
    <w:rsid w:val="004E2E34"/>
    <w:rsid w:val="004E2E7C"/>
    <w:rsid w:val="004E2F35"/>
    <w:rsid w:val="004E2F3C"/>
    <w:rsid w:val="004E30A6"/>
    <w:rsid w:val="004E3105"/>
    <w:rsid w:val="004E3128"/>
    <w:rsid w:val="004E319C"/>
    <w:rsid w:val="004E323A"/>
    <w:rsid w:val="004E32C5"/>
    <w:rsid w:val="004E3397"/>
    <w:rsid w:val="004E3402"/>
    <w:rsid w:val="004E348C"/>
    <w:rsid w:val="004E34E1"/>
    <w:rsid w:val="004E3574"/>
    <w:rsid w:val="004E3592"/>
    <w:rsid w:val="004E35D8"/>
    <w:rsid w:val="004E35F5"/>
    <w:rsid w:val="004E361E"/>
    <w:rsid w:val="004E36CA"/>
    <w:rsid w:val="004E3757"/>
    <w:rsid w:val="004E377F"/>
    <w:rsid w:val="004E37AE"/>
    <w:rsid w:val="004E37C9"/>
    <w:rsid w:val="004E38C3"/>
    <w:rsid w:val="004E38CB"/>
    <w:rsid w:val="004E38E0"/>
    <w:rsid w:val="004E39CB"/>
    <w:rsid w:val="004E39FE"/>
    <w:rsid w:val="004E3A02"/>
    <w:rsid w:val="004E3A8D"/>
    <w:rsid w:val="004E3A99"/>
    <w:rsid w:val="004E3A9D"/>
    <w:rsid w:val="004E3B19"/>
    <w:rsid w:val="004E3B45"/>
    <w:rsid w:val="004E3BD6"/>
    <w:rsid w:val="004E3C60"/>
    <w:rsid w:val="004E3C64"/>
    <w:rsid w:val="004E3C70"/>
    <w:rsid w:val="004E3D0D"/>
    <w:rsid w:val="004E3DCB"/>
    <w:rsid w:val="004E3E2A"/>
    <w:rsid w:val="004E3E51"/>
    <w:rsid w:val="004E3EBA"/>
    <w:rsid w:val="004E3F02"/>
    <w:rsid w:val="004E3F20"/>
    <w:rsid w:val="004E3F54"/>
    <w:rsid w:val="004E3FC4"/>
    <w:rsid w:val="004E4016"/>
    <w:rsid w:val="004E41DB"/>
    <w:rsid w:val="004E41DE"/>
    <w:rsid w:val="004E4259"/>
    <w:rsid w:val="004E43C4"/>
    <w:rsid w:val="004E43DA"/>
    <w:rsid w:val="004E4476"/>
    <w:rsid w:val="004E4496"/>
    <w:rsid w:val="004E449F"/>
    <w:rsid w:val="004E4513"/>
    <w:rsid w:val="004E45B2"/>
    <w:rsid w:val="004E4649"/>
    <w:rsid w:val="004E4652"/>
    <w:rsid w:val="004E465C"/>
    <w:rsid w:val="004E4671"/>
    <w:rsid w:val="004E469D"/>
    <w:rsid w:val="004E46B4"/>
    <w:rsid w:val="004E46DC"/>
    <w:rsid w:val="004E46E3"/>
    <w:rsid w:val="004E47A6"/>
    <w:rsid w:val="004E47E3"/>
    <w:rsid w:val="004E4822"/>
    <w:rsid w:val="004E484C"/>
    <w:rsid w:val="004E485A"/>
    <w:rsid w:val="004E48C7"/>
    <w:rsid w:val="004E48EC"/>
    <w:rsid w:val="004E498F"/>
    <w:rsid w:val="004E49C2"/>
    <w:rsid w:val="004E49F9"/>
    <w:rsid w:val="004E4A75"/>
    <w:rsid w:val="004E4AAB"/>
    <w:rsid w:val="004E4B3C"/>
    <w:rsid w:val="004E4BCF"/>
    <w:rsid w:val="004E4C44"/>
    <w:rsid w:val="004E4CD5"/>
    <w:rsid w:val="004E4D1B"/>
    <w:rsid w:val="004E4D82"/>
    <w:rsid w:val="004E4D8F"/>
    <w:rsid w:val="004E4DDA"/>
    <w:rsid w:val="004E4E09"/>
    <w:rsid w:val="004E4E9F"/>
    <w:rsid w:val="004E4EF4"/>
    <w:rsid w:val="004E50C8"/>
    <w:rsid w:val="004E5103"/>
    <w:rsid w:val="004E512B"/>
    <w:rsid w:val="004E51C4"/>
    <w:rsid w:val="004E51F3"/>
    <w:rsid w:val="004E5212"/>
    <w:rsid w:val="004E5245"/>
    <w:rsid w:val="004E525A"/>
    <w:rsid w:val="004E53AE"/>
    <w:rsid w:val="004E5443"/>
    <w:rsid w:val="004E54D7"/>
    <w:rsid w:val="004E5556"/>
    <w:rsid w:val="004E556B"/>
    <w:rsid w:val="004E559C"/>
    <w:rsid w:val="004E55B5"/>
    <w:rsid w:val="004E5654"/>
    <w:rsid w:val="004E56E0"/>
    <w:rsid w:val="004E5714"/>
    <w:rsid w:val="004E576D"/>
    <w:rsid w:val="004E57DD"/>
    <w:rsid w:val="004E57FA"/>
    <w:rsid w:val="004E5821"/>
    <w:rsid w:val="004E58A9"/>
    <w:rsid w:val="004E58DE"/>
    <w:rsid w:val="004E58FB"/>
    <w:rsid w:val="004E594E"/>
    <w:rsid w:val="004E5AD4"/>
    <w:rsid w:val="004E5B04"/>
    <w:rsid w:val="004E5B38"/>
    <w:rsid w:val="004E5B4E"/>
    <w:rsid w:val="004E5BB6"/>
    <w:rsid w:val="004E5C51"/>
    <w:rsid w:val="004E5C54"/>
    <w:rsid w:val="004E5CAD"/>
    <w:rsid w:val="004E5CC3"/>
    <w:rsid w:val="004E5CD7"/>
    <w:rsid w:val="004E5D3A"/>
    <w:rsid w:val="004E5D5A"/>
    <w:rsid w:val="004E5E2D"/>
    <w:rsid w:val="004E5E81"/>
    <w:rsid w:val="004E5F1B"/>
    <w:rsid w:val="004E5F1D"/>
    <w:rsid w:val="004E5F52"/>
    <w:rsid w:val="004E600D"/>
    <w:rsid w:val="004E6031"/>
    <w:rsid w:val="004E60AB"/>
    <w:rsid w:val="004E6129"/>
    <w:rsid w:val="004E6189"/>
    <w:rsid w:val="004E61A8"/>
    <w:rsid w:val="004E61C9"/>
    <w:rsid w:val="004E6210"/>
    <w:rsid w:val="004E6281"/>
    <w:rsid w:val="004E62E0"/>
    <w:rsid w:val="004E634F"/>
    <w:rsid w:val="004E6390"/>
    <w:rsid w:val="004E6399"/>
    <w:rsid w:val="004E645F"/>
    <w:rsid w:val="004E6472"/>
    <w:rsid w:val="004E64F1"/>
    <w:rsid w:val="004E6571"/>
    <w:rsid w:val="004E6599"/>
    <w:rsid w:val="004E665D"/>
    <w:rsid w:val="004E6732"/>
    <w:rsid w:val="004E675F"/>
    <w:rsid w:val="004E6801"/>
    <w:rsid w:val="004E68F6"/>
    <w:rsid w:val="004E6A0E"/>
    <w:rsid w:val="004E6A32"/>
    <w:rsid w:val="004E6A7E"/>
    <w:rsid w:val="004E6AEC"/>
    <w:rsid w:val="004E6C36"/>
    <w:rsid w:val="004E6CB9"/>
    <w:rsid w:val="004E6D06"/>
    <w:rsid w:val="004E6D66"/>
    <w:rsid w:val="004E6DE8"/>
    <w:rsid w:val="004E6E29"/>
    <w:rsid w:val="004E6E2E"/>
    <w:rsid w:val="004E6F05"/>
    <w:rsid w:val="004E6F2E"/>
    <w:rsid w:val="004E6F96"/>
    <w:rsid w:val="004E6F9F"/>
    <w:rsid w:val="004E7009"/>
    <w:rsid w:val="004E702D"/>
    <w:rsid w:val="004E70A9"/>
    <w:rsid w:val="004E70B5"/>
    <w:rsid w:val="004E70D1"/>
    <w:rsid w:val="004E70E1"/>
    <w:rsid w:val="004E7135"/>
    <w:rsid w:val="004E715A"/>
    <w:rsid w:val="004E71FB"/>
    <w:rsid w:val="004E7249"/>
    <w:rsid w:val="004E725D"/>
    <w:rsid w:val="004E72CF"/>
    <w:rsid w:val="004E72E0"/>
    <w:rsid w:val="004E7361"/>
    <w:rsid w:val="004E739C"/>
    <w:rsid w:val="004E7423"/>
    <w:rsid w:val="004E7460"/>
    <w:rsid w:val="004E7486"/>
    <w:rsid w:val="004E7493"/>
    <w:rsid w:val="004E74AD"/>
    <w:rsid w:val="004E74D6"/>
    <w:rsid w:val="004E7508"/>
    <w:rsid w:val="004E7529"/>
    <w:rsid w:val="004E752B"/>
    <w:rsid w:val="004E7553"/>
    <w:rsid w:val="004E756C"/>
    <w:rsid w:val="004E756E"/>
    <w:rsid w:val="004E75AC"/>
    <w:rsid w:val="004E764A"/>
    <w:rsid w:val="004E765A"/>
    <w:rsid w:val="004E765F"/>
    <w:rsid w:val="004E7671"/>
    <w:rsid w:val="004E767D"/>
    <w:rsid w:val="004E7688"/>
    <w:rsid w:val="004E7730"/>
    <w:rsid w:val="004E7735"/>
    <w:rsid w:val="004E77AD"/>
    <w:rsid w:val="004E77BF"/>
    <w:rsid w:val="004E780D"/>
    <w:rsid w:val="004E7851"/>
    <w:rsid w:val="004E7898"/>
    <w:rsid w:val="004E78E9"/>
    <w:rsid w:val="004E7AC7"/>
    <w:rsid w:val="004E7ACA"/>
    <w:rsid w:val="004E7B05"/>
    <w:rsid w:val="004E7CA3"/>
    <w:rsid w:val="004E7CAB"/>
    <w:rsid w:val="004E7D82"/>
    <w:rsid w:val="004E7D9D"/>
    <w:rsid w:val="004E7DC8"/>
    <w:rsid w:val="004E7DE0"/>
    <w:rsid w:val="004E7ED9"/>
    <w:rsid w:val="004E7EE1"/>
    <w:rsid w:val="004E7F02"/>
    <w:rsid w:val="004E7F45"/>
    <w:rsid w:val="004E7F4E"/>
    <w:rsid w:val="004E7F68"/>
    <w:rsid w:val="004E7F7A"/>
    <w:rsid w:val="004F0008"/>
    <w:rsid w:val="004F000F"/>
    <w:rsid w:val="004F0025"/>
    <w:rsid w:val="004F0056"/>
    <w:rsid w:val="004F00A5"/>
    <w:rsid w:val="004F00F1"/>
    <w:rsid w:val="004F015D"/>
    <w:rsid w:val="004F017C"/>
    <w:rsid w:val="004F0198"/>
    <w:rsid w:val="004F022E"/>
    <w:rsid w:val="004F0294"/>
    <w:rsid w:val="004F0371"/>
    <w:rsid w:val="004F03FB"/>
    <w:rsid w:val="004F0446"/>
    <w:rsid w:val="004F04F5"/>
    <w:rsid w:val="004F04FE"/>
    <w:rsid w:val="004F0510"/>
    <w:rsid w:val="004F05DA"/>
    <w:rsid w:val="004F05EB"/>
    <w:rsid w:val="004F0609"/>
    <w:rsid w:val="004F066A"/>
    <w:rsid w:val="004F066C"/>
    <w:rsid w:val="004F0716"/>
    <w:rsid w:val="004F0749"/>
    <w:rsid w:val="004F07A5"/>
    <w:rsid w:val="004F07E9"/>
    <w:rsid w:val="004F082F"/>
    <w:rsid w:val="004F0869"/>
    <w:rsid w:val="004F08F5"/>
    <w:rsid w:val="004F095D"/>
    <w:rsid w:val="004F0963"/>
    <w:rsid w:val="004F0A0B"/>
    <w:rsid w:val="004F0A1F"/>
    <w:rsid w:val="004F0A7B"/>
    <w:rsid w:val="004F0A90"/>
    <w:rsid w:val="004F0AFD"/>
    <w:rsid w:val="004F0AFF"/>
    <w:rsid w:val="004F0BA0"/>
    <w:rsid w:val="004F0BC3"/>
    <w:rsid w:val="004F0BC9"/>
    <w:rsid w:val="004F0BCE"/>
    <w:rsid w:val="004F0BE3"/>
    <w:rsid w:val="004F0C00"/>
    <w:rsid w:val="004F0C27"/>
    <w:rsid w:val="004F0C36"/>
    <w:rsid w:val="004F0CBC"/>
    <w:rsid w:val="004F0D79"/>
    <w:rsid w:val="004F0DB4"/>
    <w:rsid w:val="004F0DC4"/>
    <w:rsid w:val="004F0DEE"/>
    <w:rsid w:val="004F0E39"/>
    <w:rsid w:val="004F0E4D"/>
    <w:rsid w:val="004F0E54"/>
    <w:rsid w:val="004F0ED3"/>
    <w:rsid w:val="004F0EFC"/>
    <w:rsid w:val="004F0F38"/>
    <w:rsid w:val="004F1031"/>
    <w:rsid w:val="004F105A"/>
    <w:rsid w:val="004F1099"/>
    <w:rsid w:val="004F10C4"/>
    <w:rsid w:val="004F1145"/>
    <w:rsid w:val="004F1224"/>
    <w:rsid w:val="004F127A"/>
    <w:rsid w:val="004F12FB"/>
    <w:rsid w:val="004F1308"/>
    <w:rsid w:val="004F13B6"/>
    <w:rsid w:val="004F13C5"/>
    <w:rsid w:val="004F13C8"/>
    <w:rsid w:val="004F141C"/>
    <w:rsid w:val="004F151F"/>
    <w:rsid w:val="004F1595"/>
    <w:rsid w:val="004F15C0"/>
    <w:rsid w:val="004F1651"/>
    <w:rsid w:val="004F1666"/>
    <w:rsid w:val="004F16CE"/>
    <w:rsid w:val="004F1716"/>
    <w:rsid w:val="004F177B"/>
    <w:rsid w:val="004F1856"/>
    <w:rsid w:val="004F18BD"/>
    <w:rsid w:val="004F195B"/>
    <w:rsid w:val="004F1964"/>
    <w:rsid w:val="004F1999"/>
    <w:rsid w:val="004F199C"/>
    <w:rsid w:val="004F19CE"/>
    <w:rsid w:val="004F19D5"/>
    <w:rsid w:val="004F19E1"/>
    <w:rsid w:val="004F1A0F"/>
    <w:rsid w:val="004F1AD4"/>
    <w:rsid w:val="004F1B70"/>
    <w:rsid w:val="004F1CC3"/>
    <w:rsid w:val="004F1CD9"/>
    <w:rsid w:val="004F1CE8"/>
    <w:rsid w:val="004F1D1B"/>
    <w:rsid w:val="004F1DFF"/>
    <w:rsid w:val="004F1E62"/>
    <w:rsid w:val="004F1E9B"/>
    <w:rsid w:val="004F201A"/>
    <w:rsid w:val="004F206A"/>
    <w:rsid w:val="004F206C"/>
    <w:rsid w:val="004F208A"/>
    <w:rsid w:val="004F20B1"/>
    <w:rsid w:val="004F20C8"/>
    <w:rsid w:val="004F212D"/>
    <w:rsid w:val="004F2183"/>
    <w:rsid w:val="004F2205"/>
    <w:rsid w:val="004F2242"/>
    <w:rsid w:val="004F228B"/>
    <w:rsid w:val="004F22B7"/>
    <w:rsid w:val="004F2378"/>
    <w:rsid w:val="004F251F"/>
    <w:rsid w:val="004F253C"/>
    <w:rsid w:val="004F25AD"/>
    <w:rsid w:val="004F25DD"/>
    <w:rsid w:val="004F2610"/>
    <w:rsid w:val="004F2678"/>
    <w:rsid w:val="004F26D9"/>
    <w:rsid w:val="004F2719"/>
    <w:rsid w:val="004F271E"/>
    <w:rsid w:val="004F2788"/>
    <w:rsid w:val="004F279B"/>
    <w:rsid w:val="004F27B8"/>
    <w:rsid w:val="004F27D4"/>
    <w:rsid w:val="004F286B"/>
    <w:rsid w:val="004F2898"/>
    <w:rsid w:val="004F28A2"/>
    <w:rsid w:val="004F28FE"/>
    <w:rsid w:val="004F2A95"/>
    <w:rsid w:val="004F2B29"/>
    <w:rsid w:val="004F2B69"/>
    <w:rsid w:val="004F2B7E"/>
    <w:rsid w:val="004F2BA5"/>
    <w:rsid w:val="004F2C24"/>
    <w:rsid w:val="004F2CEB"/>
    <w:rsid w:val="004F2D9A"/>
    <w:rsid w:val="004F2DB4"/>
    <w:rsid w:val="004F2DDE"/>
    <w:rsid w:val="004F2DE2"/>
    <w:rsid w:val="004F2DF5"/>
    <w:rsid w:val="004F2E66"/>
    <w:rsid w:val="004F2E9D"/>
    <w:rsid w:val="004F2EB0"/>
    <w:rsid w:val="004F2F19"/>
    <w:rsid w:val="004F2FAD"/>
    <w:rsid w:val="004F2FC4"/>
    <w:rsid w:val="004F3061"/>
    <w:rsid w:val="004F3079"/>
    <w:rsid w:val="004F308B"/>
    <w:rsid w:val="004F3131"/>
    <w:rsid w:val="004F31D8"/>
    <w:rsid w:val="004F32D8"/>
    <w:rsid w:val="004F32E8"/>
    <w:rsid w:val="004F33D1"/>
    <w:rsid w:val="004F346F"/>
    <w:rsid w:val="004F3495"/>
    <w:rsid w:val="004F354C"/>
    <w:rsid w:val="004F35C2"/>
    <w:rsid w:val="004F3720"/>
    <w:rsid w:val="004F3760"/>
    <w:rsid w:val="004F3797"/>
    <w:rsid w:val="004F37FB"/>
    <w:rsid w:val="004F39CD"/>
    <w:rsid w:val="004F39CE"/>
    <w:rsid w:val="004F39FE"/>
    <w:rsid w:val="004F3A6C"/>
    <w:rsid w:val="004F3A9C"/>
    <w:rsid w:val="004F3AFD"/>
    <w:rsid w:val="004F3B0A"/>
    <w:rsid w:val="004F3B0E"/>
    <w:rsid w:val="004F3B44"/>
    <w:rsid w:val="004F3B51"/>
    <w:rsid w:val="004F3B58"/>
    <w:rsid w:val="004F3B5F"/>
    <w:rsid w:val="004F3BEC"/>
    <w:rsid w:val="004F3BF7"/>
    <w:rsid w:val="004F3C6A"/>
    <w:rsid w:val="004F3CC7"/>
    <w:rsid w:val="004F3CD0"/>
    <w:rsid w:val="004F3CE8"/>
    <w:rsid w:val="004F3E00"/>
    <w:rsid w:val="004F3E95"/>
    <w:rsid w:val="004F3E97"/>
    <w:rsid w:val="004F3EE6"/>
    <w:rsid w:val="004F3EFE"/>
    <w:rsid w:val="004F3F51"/>
    <w:rsid w:val="004F3F5F"/>
    <w:rsid w:val="004F3FFE"/>
    <w:rsid w:val="004F406C"/>
    <w:rsid w:val="004F40D8"/>
    <w:rsid w:val="004F4147"/>
    <w:rsid w:val="004F42BD"/>
    <w:rsid w:val="004F42C1"/>
    <w:rsid w:val="004F42D4"/>
    <w:rsid w:val="004F43A1"/>
    <w:rsid w:val="004F43B1"/>
    <w:rsid w:val="004F440A"/>
    <w:rsid w:val="004F44C7"/>
    <w:rsid w:val="004F44EE"/>
    <w:rsid w:val="004F458C"/>
    <w:rsid w:val="004F4599"/>
    <w:rsid w:val="004F45C2"/>
    <w:rsid w:val="004F45ED"/>
    <w:rsid w:val="004F4618"/>
    <w:rsid w:val="004F464F"/>
    <w:rsid w:val="004F46AE"/>
    <w:rsid w:val="004F470B"/>
    <w:rsid w:val="004F4745"/>
    <w:rsid w:val="004F4776"/>
    <w:rsid w:val="004F47E9"/>
    <w:rsid w:val="004F47F1"/>
    <w:rsid w:val="004F47FD"/>
    <w:rsid w:val="004F48D3"/>
    <w:rsid w:val="004F48DF"/>
    <w:rsid w:val="004F4920"/>
    <w:rsid w:val="004F4984"/>
    <w:rsid w:val="004F4B04"/>
    <w:rsid w:val="004F4B30"/>
    <w:rsid w:val="004F4B34"/>
    <w:rsid w:val="004F4B74"/>
    <w:rsid w:val="004F4B93"/>
    <w:rsid w:val="004F4B99"/>
    <w:rsid w:val="004F4CCA"/>
    <w:rsid w:val="004F4D83"/>
    <w:rsid w:val="004F4D95"/>
    <w:rsid w:val="004F4E1F"/>
    <w:rsid w:val="004F4EB6"/>
    <w:rsid w:val="004F4ED7"/>
    <w:rsid w:val="004F4F2D"/>
    <w:rsid w:val="004F4F55"/>
    <w:rsid w:val="004F4F73"/>
    <w:rsid w:val="004F4F7B"/>
    <w:rsid w:val="004F5014"/>
    <w:rsid w:val="004F501A"/>
    <w:rsid w:val="004F5026"/>
    <w:rsid w:val="004F50E5"/>
    <w:rsid w:val="004F50E6"/>
    <w:rsid w:val="004F513D"/>
    <w:rsid w:val="004F514D"/>
    <w:rsid w:val="004F5181"/>
    <w:rsid w:val="004F5189"/>
    <w:rsid w:val="004F51D4"/>
    <w:rsid w:val="004F522B"/>
    <w:rsid w:val="004F5230"/>
    <w:rsid w:val="004F52A0"/>
    <w:rsid w:val="004F52D0"/>
    <w:rsid w:val="004F5300"/>
    <w:rsid w:val="004F5368"/>
    <w:rsid w:val="004F5384"/>
    <w:rsid w:val="004F5426"/>
    <w:rsid w:val="004F5442"/>
    <w:rsid w:val="004F544D"/>
    <w:rsid w:val="004F54B0"/>
    <w:rsid w:val="004F54DC"/>
    <w:rsid w:val="004F5515"/>
    <w:rsid w:val="004F5542"/>
    <w:rsid w:val="004F5555"/>
    <w:rsid w:val="004F56F6"/>
    <w:rsid w:val="004F56FB"/>
    <w:rsid w:val="004F5707"/>
    <w:rsid w:val="004F5787"/>
    <w:rsid w:val="004F579C"/>
    <w:rsid w:val="004F589E"/>
    <w:rsid w:val="004F58D3"/>
    <w:rsid w:val="004F58EA"/>
    <w:rsid w:val="004F592D"/>
    <w:rsid w:val="004F5978"/>
    <w:rsid w:val="004F5979"/>
    <w:rsid w:val="004F597D"/>
    <w:rsid w:val="004F5AD5"/>
    <w:rsid w:val="004F5AE5"/>
    <w:rsid w:val="004F5B65"/>
    <w:rsid w:val="004F5BC7"/>
    <w:rsid w:val="004F5BE0"/>
    <w:rsid w:val="004F5BF2"/>
    <w:rsid w:val="004F5C1A"/>
    <w:rsid w:val="004F5C91"/>
    <w:rsid w:val="004F5C97"/>
    <w:rsid w:val="004F5CDA"/>
    <w:rsid w:val="004F5D19"/>
    <w:rsid w:val="004F5EBF"/>
    <w:rsid w:val="004F5F8A"/>
    <w:rsid w:val="004F5FE2"/>
    <w:rsid w:val="004F600D"/>
    <w:rsid w:val="004F6010"/>
    <w:rsid w:val="004F6028"/>
    <w:rsid w:val="004F6062"/>
    <w:rsid w:val="004F6070"/>
    <w:rsid w:val="004F60DD"/>
    <w:rsid w:val="004F6112"/>
    <w:rsid w:val="004F614C"/>
    <w:rsid w:val="004F61B3"/>
    <w:rsid w:val="004F627D"/>
    <w:rsid w:val="004F6285"/>
    <w:rsid w:val="004F6301"/>
    <w:rsid w:val="004F6328"/>
    <w:rsid w:val="004F632F"/>
    <w:rsid w:val="004F6412"/>
    <w:rsid w:val="004F6444"/>
    <w:rsid w:val="004F6453"/>
    <w:rsid w:val="004F6524"/>
    <w:rsid w:val="004F6567"/>
    <w:rsid w:val="004F65B4"/>
    <w:rsid w:val="004F65EA"/>
    <w:rsid w:val="004F6616"/>
    <w:rsid w:val="004F664B"/>
    <w:rsid w:val="004F6666"/>
    <w:rsid w:val="004F6684"/>
    <w:rsid w:val="004F6709"/>
    <w:rsid w:val="004F6737"/>
    <w:rsid w:val="004F674D"/>
    <w:rsid w:val="004F677E"/>
    <w:rsid w:val="004F6796"/>
    <w:rsid w:val="004F67B1"/>
    <w:rsid w:val="004F6854"/>
    <w:rsid w:val="004F68CA"/>
    <w:rsid w:val="004F68CF"/>
    <w:rsid w:val="004F68D1"/>
    <w:rsid w:val="004F68E5"/>
    <w:rsid w:val="004F6941"/>
    <w:rsid w:val="004F695F"/>
    <w:rsid w:val="004F697C"/>
    <w:rsid w:val="004F6A0B"/>
    <w:rsid w:val="004F6A40"/>
    <w:rsid w:val="004F6AE4"/>
    <w:rsid w:val="004F6AF6"/>
    <w:rsid w:val="004F6B18"/>
    <w:rsid w:val="004F6B27"/>
    <w:rsid w:val="004F6C98"/>
    <w:rsid w:val="004F6CA7"/>
    <w:rsid w:val="004F6CAF"/>
    <w:rsid w:val="004F6CCC"/>
    <w:rsid w:val="004F6D3F"/>
    <w:rsid w:val="004F6DE6"/>
    <w:rsid w:val="004F6E64"/>
    <w:rsid w:val="004F6E6C"/>
    <w:rsid w:val="004F6EB2"/>
    <w:rsid w:val="004F7036"/>
    <w:rsid w:val="004F708F"/>
    <w:rsid w:val="004F710E"/>
    <w:rsid w:val="004F7117"/>
    <w:rsid w:val="004F7154"/>
    <w:rsid w:val="004F71AC"/>
    <w:rsid w:val="004F71E6"/>
    <w:rsid w:val="004F7213"/>
    <w:rsid w:val="004F727D"/>
    <w:rsid w:val="004F72DF"/>
    <w:rsid w:val="004F72FD"/>
    <w:rsid w:val="004F7346"/>
    <w:rsid w:val="004F736E"/>
    <w:rsid w:val="004F738C"/>
    <w:rsid w:val="004F73E5"/>
    <w:rsid w:val="004F7428"/>
    <w:rsid w:val="004F743F"/>
    <w:rsid w:val="004F74D1"/>
    <w:rsid w:val="004F757A"/>
    <w:rsid w:val="004F757D"/>
    <w:rsid w:val="004F759E"/>
    <w:rsid w:val="004F75D7"/>
    <w:rsid w:val="004F7659"/>
    <w:rsid w:val="004F76AE"/>
    <w:rsid w:val="004F76B2"/>
    <w:rsid w:val="004F76B8"/>
    <w:rsid w:val="004F76C9"/>
    <w:rsid w:val="004F76D6"/>
    <w:rsid w:val="004F778A"/>
    <w:rsid w:val="004F7819"/>
    <w:rsid w:val="004F7832"/>
    <w:rsid w:val="004F7870"/>
    <w:rsid w:val="004F7876"/>
    <w:rsid w:val="004F787A"/>
    <w:rsid w:val="004F787B"/>
    <w:rsid w:val="004F78F1"/>
    <w:rsid w:val="004F7936"/>
    <w:rsid w:val="004F7953"/>
    <w:rsid w:val="004F797B"/>
    <w:rsid w:val="004F7981"/>
    <w:rsid w:val="004F79DE"/>
    <w:rsid w:val="004F79F5"/>
    <w:rsid w:val="004F7A1C"/>
    <w:rsid w:val="004F7A24"/>
    <w:rsid w:val="004F7A55"/>
    <w:rsid w:val="004F7B34"/>
    <w:rsid w:val="004F7B42"/>
    <w:rsid w:val="004F7B86"/>
    <w:rsid w:val="004F7B91"/>
    <w:rsid w:val="004F7BB7"/>
    <w:rsid w:val="004F7BC9"/>
    <w:rsid w:val="004F7C0E"/>
    <w:rsid w:val="004F7C4B"/>
    <w:rsid w:val="004F7CEC"/>
    <w:rsid w:val="004F7DF4"/>
    <w:rsid w:val="004F7EA0"/>
    <w:rsid w:val="004F7ECD"/>
    <w:rsid w:val="004F7F67"/>
    <w:rsid w:val="004F7FF9"/>
    <w:rsid w:val="004FD458"/>
    <w:rsid w:val="005000A8"/>
    <w:rsid w:val="005000B9"/>
    <w:rsid w:val="00500141"/>
    <w:rsid w:val="00500164"/>
    <w:rsid w:val="00500245"/>
    <w:rsid w:val="00500297"/>
    <w:rsid w:val="00500360"/>
    <w:rsid w:val="00500374"/>
    <w:rsid w:val="005003F0"/>
    <w:rsid w:val="0050041A"/>
    <w:rsid w:val="00500421"/>
    <w:rsid w:val="00500494"/>
    <w:rsid w:val="005004B4"/>
    <w:rsid w:val="005004EE"/>
    <w:rsid w:val="00500514"/>
    <w:rsid w:val="0050051F"/>
    <w:rsid w:val="0050055A"/>
    <w:rsid w:val="00500570"/>
    <w:rsid w:val="00500631"/>
    <w:rsid w:val="0050063F"/>
    <w:rsid w:val="00500673"/>
    <w:rsid w:val="005006FC"/>
    <w:rsid w:val="00500741"/>
    <w:rsid w:val="005007DE"/>
    <w:rsid w:val="0050088E"/>
    <w:rsid w:val="005008AC"/>
    <w:rsid w:val="005008EB"/>
    <w:rsid w:val="00500933"/>
    <w:rsid w:val="0050095F"/>
    <w:rsid w:val="005009BE"/>
    <w:rsid w:val="005009DD"/>
    <w:rsid w:val="00500A65"/>
    <w:rsid w:val="00500AF1"/>
    <w:rsid w:val="00500B0D"/>
    <w:rsid w:val="00500B58"/>
    <w:rsid w:val="00500BFD"/>
    <w:rsid w:val="00500C5E"/>
    <w:rsid w:val="00500CAB"/>
    <w:rsid w:val="00500CC9"/>
    <w:rsid w:val="00500D01"/>
    <w:rsid w:val="00500D05"/>
    <w:rsid w:val="00500D34"/>
    <w:rsid w:val="00500DE5"/>
    <w:rsid w:val="00500DFE"/>
    <w:rsid w:val="00500F20"/>
    <w:rsid w:val="00500F61"/>
    <w:rsid w:val="00500FD2"/>
    <w:rsid w:val="0050116F"/>
    <w:rsid w:val="00501256"/>
    <w:rsid w:val="00501259"/>
    <w:rsid w:val="00501301"/>
    <w:rsid w:val="00501444"/>
    <w:rsid w:val="00501448"/>
    <w:rsid w:val="00501493"/>
    <w:rsid w:val="0050158E"/>
    <w:rsid w:val="005015D4"/>
    <w:rsid w:val="0050161A"/>
    <w:rsid w:val="00501666"/>
    <w:rsid w:val="00501697"/>
    <w:rsid w:val="0050169A"/>
    <w:rsid w:val="00501721"/>
    <w:rsid w:val="0050174E"/>
    <w:rsid w:val="0050183E"/>
    <w:rsid w:val="00501864"/>
    <w:rsid w:val="005018C7"/>
    <w:rsid w:val="005018E5"/>
    <w:rsid w:val="005019F4"/>
    <w:rsid w:val="00501A48"/>
    <w:rsid w:val="00501A4F"/>
    <w:rsid w:val="00501AA9"/>
    <w:rsid w:val="00501AEF"/>
    <w:rsid w:val="00501B2F"/>
    <w:rsid w:val="00501B43"/>
    <w:rsid w:val="00501B59"/>
    <w:rsid w:val="00501B82"/>
    <w:rsid w:val="00501CB1"/>
    <w:rsid w:val="00501CC7"/>
    <w:rsid w:val="00501CCE"/>
    <w:rsid w:val="00501D15"/>
    <w:rsid w:val="00501DBB"/>
    <w:rsid w:val="00501F2C"/>
    <w:rsid w:val="00501F6F"/>
    <w:rsid w:val="00501FCB"/>
    <w:rsid w:val="00501FCD"/>
    <w:rsid w:val="00502011"/>
    <w:rsid w:val="00502019"/>
    <w:rsid w:val="00502149"/>
    <w:rsid w:val="0050217D"/>
    <w:rsid w:val="005022A0"/>
    <w:rsid w:val="005022AB"/>
    <w:rsid w:val="005022E4"/>
    <w:rsid w:val="00502379"/>
    <w:rsid w:val="005023F7"/>
    <w:rsid w:val="0050242F"/>
    <w:rsid w:val="00502433"/>
    <w:rsid w:val="00502437"/>
    <w:rsid w:val="00502440"/>
    <w:rsid w:val="00502448"/>
    <w:rsid w:val="0050245F"/>
    <w:rsid w:val="005024C7"/>
    <w:rsid w:val="005024DE"/>
    <w:rsid w:val="005024ED"/>
    <w:rsid w:val="00502563"/>
    <w:rsid w:val="00502597"/>
    <w:rsid w:val="0050260F"/>
    <w:rsid w:val="0050262D"/>
    <w:rsid w:val="0050262F"/>
    <w:rsid w:val="00502649"/>
    <w:rsid w:val="0050271B"/>
    <w:rsid w:val="0050272B"/>
    <w:rsid w:val="005027DA"/>
    <w:rsid w:val="005027EE"/>
    <w:rsid w:val="00502809"/>
    <w:rsid w:val="0050281C"/>
    <w:rsid w:val="0050288C"/>
    <w:rsid w:val="0050293C"/>
    <w:rsid w:val="00502964"/>
    <w:rsid w:val="00502A82"/>
    <w:rsid w:val="00502A83"/>
    <w:rsid w:val="00502B10"/>
    <w:rsid w:val="00502BA8"/>
    <w:rsid w:val="00502BD5"/>
    <w:rsid w:val="00502C46"/>
    <w:rsid w:val="00502C71"/>
    <w:rsid w:val="00502CA7"/>
    <w:rsid w:val="00502D37"/>
    <w:rsid w:val="00502E29"/>
    <w:rsid w:val="00502E6C"/>
    <w:rsid w:val="00502EAF"/>
    <w:rsid w:val="00502F3D"/>
    <w:rsid w:val="00502F9F"/>
    <w:rsid w:val="00502FA3"/>
    <w:rsid w:val="00502FB9"/>
    <w:rsid w:val="0050303B"/>
    <w:rsid w:val="00503048"/>
    <w:rsid w:val="005030B9"/>
    <w:rsid w:val="005030CD"/>
    <w:rsid w:val="00503109"/>
    <w:rsid w:val="00503157"/>
    <w:rsid w:val="0050316E"/>
    <w:rsid w:val="00503269"/>
    <w:rsid w:val="005032B1"/>
    <w:rsid w:val="005032BE"/>
    <w:rsid w:val="0050337E"/>
    <w:rsid w:val="005033FA"/>
    <w:rsid w:val="00503400"/>
    <w:rsid w:val="0050345D"/>
    <w:rsid w:val="00503475"/>
    <w:rsid w:val="0050347A"/>
    <w:rsid w:val="0050349C"/>
    <w:rsid w:val="005034C5"/>
    <w:rsid w:val="005034E4"/>
    <w:rsid w:val="00503514"/>
    <w:rsid w:val="00503576"/>
    <w:rsid w:val="005035B4"/>
    <w:rsid w:val="005035B5"/>
    <w:rsid w:val="005035C5"/>
    <w:rsid w:val="0050364C"/>
    <w:rsid w:val="005036B4"/>
    <w:rsid w:val="005036BD"/>
    <w:rsid w:val="005036C0"/>
    <w:rsid w:val="005036D8"/>
    <w:rsid w:val="005037B8"/>
    <w:rsid w:val="005038FA"/>
    <w:rsid w:val="00503A31"/>
    <w:rsid w:val="00503ADC"/>
    <w:rsid w:val="00503B0C"/>
    <w:rsid w:val="00503B53"/>
    <w:rsid w:val="00503BB2"/>
    <w:rsid w:val="00503BB6"/>
    <w:rsid w:val="00503BD6"/>
    <w:rsid w:val="00503CFC"/>
    <w:rsid w:val="00503D3C"/>
    <w:rsid w:val="00503D40"/>
    <w:rsid w:val="00503D71"/>
    <w:rsid w:val="00503DD3"/>
    <w:rsid w:val="00503ED7"/>
    <w:rsid w:val="00503EE1"/>
    <w:rsid w:val="00503F64"/>
    <w:rsid w:val="00503FBA"/>
    <w:rsid w:val="0050408A"/>
    <w:rsid w:val="00504099"/>
    <w:rsid w:val="005040D0"/>
    <w:rsid w:val="00504116"/>
    <w:rsid w:val="00504258"/>
    <w:rsid w:val="00504290"/>
    <w:rsid w:val="0050429A"/>
    <w:rsid w:val="005042E4"/>
    <w:rsid w:val="00504370"/>
    <w:rsid w:val="0050439F"/>
    <w:rsid w:val="005043C7"/>
    <w:rsid w:val="0050448D"/>
    <w:rsid w:val="005044B2"/>
    <w:rsid w:val="005044BC"/>
    <w:rsid w:val="00504576"/>
    <w:rsid w:val="005045AA"/>
    <w:rsid w:val="005045EB"/>
    <w:rsid w:val="00504616"/>
    <w:rsid w:val="00504642"/>
    <w:rsid w:val="0050481E"/>
    <w:rsid w:val="00504877"/>
    <w:rsid w:val="00504995"/>
    <w:rsid w:val="00504A8F"/>
    <w:rsid w:val="00504A91"/>
    <w:rsid w:val="00504AB6"/>
    <w:rsid w:val="00504AC5"/>
    <w:rsid w:val="00504B8B"/>
    <w:rsid w:val="00504C5D"/>
    <w:rsid w:val="00504C71"/>
    <w:rsid w:val="00504C92"/>
    <w:rsid w:val="00504CCF"/>
    <w:rsid w:val="00504D15"/>
    <w:rsid w:val="00504D62"/>
    <w:rsid w:val="00504D84"/>
    <w:rsid w:val="00504DF7"/>
    <w:rsid w:val="00504EEF"/>
    <w:rsid w:val="00504F20"/>
    <w:rsid w:val="00504F2A"/>
    <w:rsid w:val="00504F9B"/>
    <w:rsid w:val="00504FBA"/>
    <w:rsid w:val="00505018"/>
    <w:rsid w:val="00505051"/>
    <w:rsid w:val="0050513B"/>
    <w:rsid w:val="0050513C"/>
    <w:rsid w:val="00505223"/>
    <w:rsid w:val="00505292"/>
    <w:rsid w:val="005052A0"/>
    <w:rsid w:val="005052BA"/>
    <w:rsid w:val="005052F6"/>
    <w:rsid w:val="00505331"/>
    <w:rsid w:val="00505349"/>
    <w:rsid w:val="0050539F"/>
    <w:rsid w:val="00505423"/>
    <w:rsid w:val="00505462"/>
    <w:rsid w:val="0050548F"/>
    <w:rsid w:val="005054D1"/>
    <w:rsid w:val="00505528"/>
    <w:rsid w:val="0050553F"/>
    <w:rsid w:val="00505547"/>
    <w:rsid w:val="005055F8"/>
    <w:rsid w:val="00505617"/>
    <w:rsid w:val="00505633"/>
    <w:rsid w:val="00505645"/>
    <w:rsid w:val="00505755"/>
    <w:rsid w:val="005057A3"/>
    <w:rsid w:val="005057C6"/>
    <w:rsid w:val="00505898"/>
    <w:rsid w:val="005058DA"/>
    <w:rsid w:val="005058E3"/>
    <w:rsid w:val="0050599D"/>
    <w:rsid w:val="005059DA"/>
    <w:rsid w:val="00505A0D"/>
    <w:rsid w:val="00505A16"/>
    <w:rsid w:val="00505A71"/>
    <w:rsid w:val="00505A97"/>
    <w:rsid w:val="00505BB2"/>
    <w:rsid w:val="00505BBB"/>
    <w:rsid w:val="00505BF4"/>
    <w:rsid w:val="00505CDD"/>
    <w:rsid w:val="00505D14"/>
    <w:rsid w:val="00505DAC"/>
    <w:rsid w:val="00505DDC"/>
    <w:rsid w:val="00505E28"/>
    <w:rsid w:val="00505E60"/>
    <w:rsid w:val="00505E64"/>
    <w:rsid w:val="00505F29"/>
    <w:rsid w:val="00505F89"/>
    <w:rsid w:val="00505FE2"/>
    <w:rsid w:val="00505FF2"/>
    <w:rsid w:val="0050602E"/>
    <w:rsid w:val="00506049"/>
    <w:rsid w:val="0050604D"/>
    <w:rsid w:val="00506072"/>
    <w:rsid w:val="00506125"/>
    <w:rsid w:val="005061E9"/>
    <w:rsid w:val="005062A3"/>
    <w:rsid w:val="00506322"/>
    <w:rsid w:val="005063D0"/>
    <w:rsid w:val="00506484"/>
    <w:rsid w:val="005064F0"/>
    <w:rsid w:val="005064FA"/>
    <w:rsid w:val="0050651E"/>
    <w:rsid w:val="00506534"/>
    <w:rsid w:val="0050658F"/>
    <w:rsid w:val="005065CA"/>
    <w:rsid w:val="0050661F"/>
    <w:rsid w:val="0050663E"/>
    <w:rsid w:val="005066CD"/>
    <w:rsid w:val="0050670C"/>
    <w:rsid w:val="00506728"/>
    <w:rsid w:val="00506798"/>
    <w:rsid w:val="005067FB"/>
    <w:rsid w:val="00506841"/>
    <w:rsid w:val="0050689D"/>
    <w:rsid w:val="005068FB"/>
    <w:rsid w:val="00506971"/>
    <w:rsid w:val="00506973"/>
    <w:rsid w:val="0050698A"/>
    <w:rsid w:val="005069E4"/>
    <w:rsid w:val="00506A19"/>
    <w:rsid w:val="00506AFE"/>
    <w:rsid w:val="00506B33"/>
    <w:rsid w:val="00506BDF"/>
    <w:rsid w:val="00506C28"/>
    <w:rsid w:val="00506C59"/>
    <w:rsid w:val="00506D0B"/>
    <w:rsid w:val="00506DF7"/>
    <w:rsid w:val="00506E4D"/>
    <w:rsid w:val="00506E72"/>
    <w:rsid w:val="00506EAD"/>
    <w:rsid w:val="00506F2D"/>
    <w:rsid w:val="00506F60"/>
    <w:rsid w:val="00506FAD"/>
    <w:rsid w:val="00506FF7"/>
    <w:rsid w:val="00506FFE"/>
    <w:rsid w:val="00507031"/>
    <w:rsid w:val="0050709E"/>
    <w:rsid w:val="00507120"/>
    <w:rsid w:val="0050717E"/>
    <w:rsid w:val="005071CD"/>
    <w:rsid w:val="0050724E"/>
    <w:rsid w:val="0050725F"/>
    <w:rsid w:val="005072C7"/>
    <w:rsid w:val="005072D3"/>
    <w:rsid w:val="00507340"/>
    <w:rsid w:val="00507381"/>
    <w:rsid w:val="005073FB"/>
    <w:rsid w:val="0050740D"/>
    <w:rsid w:val="00507424"/>
    <w:rsid w:val="0050745E"/>
    <w:rsid w:val="005074B5"/>
    <w:rsid w:val="00507504"/>
    <w:rsid w:val="0050761B"/>
    <w:rsid w:val="00507667"/>
    <w:rsid w:val="00507677"/>
    <w:rsid w:val="005076D0"/>
    <w:rsid w:val="005076F1"/>
    <w:rsid w:val="005077CD"/>
    <w:rsid w:val="005077E1"/>
    <w:rsid w:val="00507805"/>
    <w:rsid w:val="00507826"/>
    <w:rsid w:val="00507865"/>
    <w:rsid w:val="00507944"/>
    <w:rsid w:val="00507958"/>
    <w:rsid w:val="00507987"/>
    <w:rsid w:val="00507989"/>
    <w:rsid w:val="0050799C"/>
    <w:rsid w:val="005079B9"/>
    <w:rsid w:val="005079EB"/>
    <w:rsid w:val="00507A96"/>
    <w:rsid w:val="00507AA5"/>
    <w:rsid w:val="00507ABF"/>
    <w:rsid w:val="00507B7C"/>
    <w:rsid w:val="00507B8B"/>
    <w:rsid w:val="00507BA5"/>
    <w:rsid w:val="00507C2A"/>
    <w:rsid w:val="00507D05"/>
    <w:rsid w:val="00507E6B"/>
    <w:rsid w:val="00507E81"/>
    <w:rsid w:val="00507EAD"/>
    <w:rsid w:val="00507ED8"/>
    <w:rsid w:val="00507EDA"/>
    <w:rsid w:val="00507EED"/>
    <w:rsid w:val="00507EFF"/>
    <w:rsid w:val="00507F59"/>
    <w:rsid w:val="00507F6B"/>
    <w:rsid w:val="00507F79"/>
    <w:rsid w:val="00507F7E"/>
    <w:rsid w:val="00507FB8"/>
    <w:rsid w:val="00507FDF"/>
    <w:rsid w:val="0051002F"/>
    <w:rsid w:val="0051007C"/>
    <w:rsid w:val="005100D6"/>
    <w:rsid w:val="00510199"/>
    <w:rsid w:val="00510219"/>
    <w:rsid w:val="00510233"/>
    <w:rsid w:val="005102B0"/>
    <w:rsid w:val="005102B9"/>
    <w:rsid w:val="005102D4"/>
    <w:rsid w:val="005102F6"/>
    <w:rsid w:val="0051035C"/>
    <w:rsid w:val="0051038E"/>
    <w:rsid w:val="00510413"/>
    <w:rsid w:val="00510486"/>
    <w:rsid w:val="005104B1"/>
    <w:rsid w:val="005104B4"/>
    <w:rsid w:val="0051065F"/>
    <w:rsid w:val="0051066C"/>
    <w:rsid w:val="005106B0"/>
    <w:rsid w:val="00510741"/>
    <w:rsid w:val="00510868"/>
    <w:rsid w:val="005108C4"/>
    <w:rsid w:val="005108CD"/>
    <w:rsid w:val="005108D2"/>
    <w:rsid w:val="00510903"/>
    <w:rsid w:val="00510948"/>
    <w:rsid w:val="00510949"/>
    <w:rsid w:val="0051094A"/>
    <w:rsid w:val="00510979"/>
    <w:rsid w:val="005109EB"/>
    <w:rsid w:val="00510B3C"/>
    <w:rsid w:val="00510B45"/>
    <w:rsid w:val="00510B97"/>
    <w:rsid w:val="00510BD6"/>
    <w:rsid w:val="00510BEF"/>
    <w:rsid w:val="00510CDA"/>
    <w:rsid w:val="00510CDD"/>
    <w:rsid w:val="00510D0F"/>
    <w:rsid w:val="00510D4E"/>
    <w:rsid w:val="00510D9B"/>
    <w:rsid w:val="00510DCD"/>
    <w:rsid w:val="00510E37"/>
    <w:rsid w:val="00510E41"/>
    <w:rsid w:val="00510E51"/>
    <w:rsid w:val="00510E5C"/>
    <w:rsid w:val="00510E70"/>
    <w:rsid w:val="00510ED2"/>
    <w:rsid w:val="00510F66"/>
    <w:rsid w:val="00510FF2"/>
    <w:rsid w:val="00511026"/>
    <w:rsid w:val="005110B7"/>
    <w:rsid w:val="005110EF"/>
    <w:rsid w:val="00511139"/>
    <w:rsid w:val="00511168"/>
    <w:rsid w:val="0051118C"/>
    <w:rsid w:val="005111D5"/>
    <w:rsid w:val="005111EC"/>
    <w:rsid w:val="00511202"/>
    <w:rsid w:val="00511278"/>
    <w:rsid w:val="0051131A"/>
    <w:rsid w:val="005113F7"/>
    <w:rsid w:val="00511402"/>
    <w:rsid w:val="005114F3"/>
    <w:rsid w:val="005114FC"/>
    <w:rsid w:val="00511529"/>
    <w:rsid w:val="00511629"/>
    <w:rsid w:val="005116CB"/>
    <w:rsid w:val="005117E6"/>
    <w:rsid w:val="005118D2"/>
    <w:rsid w:val="00511929"/>
    <w:rsid w:val="0051193E"/>
    <w:rsid w:val="00511984"/>
    <w:rsid w:val="0051199B"/>
    <w:rsid w:val="00511A1B"/>
    <w:rsid w:val="00511A3C"/>
    <w:rsid w:val="00511A41"/>
    <w:rsid w:val="00511B78"/>
    <w:rsid w:val="00511B97"/>
    <w:rsid w:val="00511BC8"/>
    <w:rsid w:val="00511BE7"/>
    <w:rsid w:val="00511C56"/>
    <w:rsid w:val="00511C87"/>
    <w:rsid w:val="00511C92"/>
    <w:rsid w:val="00511CB3"/>
    <w:rsid w:val="00511CCD"/>
    <w:rsid w:val="00511CE0"/>
    <w:rsid w:val="00511CE4"/>
    <w:rsid w:val="00511CE5"/>
    <w:rsid w:val="00511CFD"/>
    <w:rsid w:val="00511CFE"/>
    <w:rsid w:val="00511D06"/>
    <w:rsid w:val="00511D45"/>
    <w:rsid w:val="00511D94"/>
    <w:rsid w:val="00511DDE"/>
    <w:rsid w:val="00511E21"/>
    <w:rsid w:val="00511E22"/>
    <w:rsid w:val="00511ED8"/>
    <w:rsid w:val="00511F5A"/>
    <w:rsid w:val="00511FA2"/>
    <w:rsid w:val="00511FAF"/>
    <w:rsid w:val="00512010"/>
    <w:rsid w:val="005120BB"/>
    <w:rsid w:val="005120D7"/>
    <w:rsid w:val="0051210E"/>
    <w:rsid w:val="00512125"/>
    <w:rsid w:val="005121A5"/>
    <w:rsid w:val="005121BC"/>
    <w:rsid w:val="005121DD"/>
    <w:rsid w:val="0051224F"/>
    <w:rsid w:val="005122B2"/>
    <w:rsid w:val="005122C0"/>
    <w:rsid w:val="00512308"/>
    <w:rsid w:val="005123CF"/>
    <w:rsid w:val="005123E2"/>
    <w:rsid w:val="0051240B"/>
    <w:rsid w:val="0051243C"/>
    <w:rsid w:val="0051245B"/>
    <w:rsid w:val="005124A8"/>
    <w:rsid w:val="005124D8"/>
    <w:rsid w:val="005124DA"/>
    <w:rsid w:val="00512500"/>
    <w:rsid w:val="0051253F"/>
    <w:rsid w:val="00512572"/>
    <w:rsid w:val="005125DF"/>
    <w:rsid w:val="00512625"/>
    <w:rsid w:val="0051265C"/>
    <w:rsid w:val="00512660"/>
    <w:rsid w:val="005126D4"/>
    <w:rsid w:val="005127E4"/>
    <w:rsid w:val="00512850"/>
    <w:rsid w:val="00512879"/>
    <w:rsid w:val="005128DD"/>
    <w:rsid w:val="00512907"/>
    <w:rsid w:val="005129D3"/>
    <w:rsid w:val="00512AC8"/>
    <w:rsid w:val="00512AD2"/>
    <w:rsid w:val="00512B7C"/>
    <w:rsid w:val="00512BDD"/>
    <w:rsid w:val="00512BFC"/>
    <w:rsid w:val="00512CFE"/>
    <w:rsid w:val="00512D40"/>
    <w:rsid w:val="00512DA6"/>
    <w:rsid w:val="00512DB5"/>
    <w:rsid w:val="00512E22"/>
    <w:rsid w:val="00512E39"/>
    <w:rsid w:val="00512E6A"/>
    <w:rsid w:val="00512F3B"/>
    <w:rsid w:val="00512F5A"/>
    <w:rsid w:val="00513025"/>
    <w:rsid w:val="005130D1"/>
    <w:rsid w:val="0051313C"/>
    <w:rsid w:val="00513171"/>
    <w:rsid w:val="00513182"/>
    <w:rsid w:val="00513188"/>
    <w:rsid w:val="00513194"/>
    <w:rsid w:val="005131BA"/>
    <w:rsid w:val="00513233"/>
    <w:rsid w:val="00513243"/>
    <w:rsid w:val="00513255"/>
    <w:rsid w:val="0051333F"/>
    <w:rsid w:val="005133AB"/>
    <w:rsid w:val="005133D1"/>
    <w:rsid w:val="005133EA"/>
    <w:rsid w:val="00513477"/>
    <w:rsid w:val="0051347A"/>
    <w:rsid w:val="005134FF"/>
    <w:rsid w:val="00513620"/>
    <w:rsid w:val="005136E1"/>
    <w:rsid w:val="00513705"/>
    <w:rsid w:val="00513751"/>
    <w:rsid w:val="00513756"/>
    <w:rsid w:val="005137A9"/>
    <w:rsid w:val="005137AC"/>
    <w:rsid w:val="005137D3"/>
    <w:rsid w:val="005137EA"/>
    <w:rsid w:val="00513800"/>
    <w:rsid w:val="00513827"/>
    <w:rsid w:val="00513879"/>
    <w:rsid w:val="00513911"/>
    <w:rsid w:val="00513916"/>
    <w:rsid w:val="0051398D"/>
    <w:rsid w:val="00513992"/>
    <w:rsid w:val="005139C6"/>
    <w:rsid w:val="005139E9"/>
    <w:rsid w:val="00513A68"/>
    <w:rsid w:val="00513AA4"/>
    <w:rsid w:val="00513AAC"/>
    <w:rsid w:val="00513B3C"/>
    <w:rsid w:val="00513BB0"/>
    <w:rsid w:val="00513BCA"/>
    <w:rsid w:val="00513C9B"/>
    <w:rsid w:val="00513CA2"/>
    <w:rsid w:val="00513CC4"/>
    <w:rsid w:val="00513D4D"/>
    <w:rsid w:val="00513E27"/>
    <w:rsid w:val="00513E2F"/>
    <w:rsid w:val="00513E3F"/>
    <w:rsid w:val="00513E47"/>
    <w:rsid w:val="00513ECB"/>
    <w:rsid w:val="00513EDE"/>
    <w:rsid w:val="00514009"/>
    <w:rsid w:val="0051402B"/>
    <w:rsid w:val="005140D3"/>
    <w:rsid w:val="0051413B"/>
    <w:rsid w:val="0051415C"/>
    <w:rsid w:val="0051428E"/>
    <w:rsid w:val="005142E0"/>
    <w:rsid w:val="0051437E"/>
    <w:rsid w:val="005143F3"/>
    <w:rsid w:val="0051446A"/>
    <w:rsid w:val="00514490"/>
    <w:rsid w:val="0051449B"/>
    <w:rsid w:val="005144BC"/>
    <w:rsid w:val="005144DD"/>
    <w:rsid w:val="0051451A"/>
    <w:rsid w:val="0051455A"/>
    <w:rsid w:val="0051458E"/>
    <w:rsid w:val="00514598"/>
    <w:rsid w:val="005145BC"/>
    <w:rsid w:val="00514641"/>
    <w:rsid w:val="00514692"/>
    <w:rsid w:val="005146DC"/>
    <w:rsid w:val="005146E1"/>
    <w:rsid w:val="0051479F"/>
    <w:rsid w:val="005147BC"/>
    <w:rsid w:val="00514854"/>
    <w:rsid w:val="00514875"/>
    <w:rsid w:val="0051492A"/>
    <w:rsid w:val="005149DB"/>
    <w:rsid w:val="00514AB3"/>
    <w:rsid w:val="00514AF9"/>
    <w:rsid w:val="00514B47"/>
    <w:rsid w:val="00514B8E"/>
    <w:rsid w:val="00514BF7"/>
    <w:rsid w:val="00514C65"/>
    <w:rsid w:val="00514C7D"/>
    <w:rsid w:val="00514C94"/>
    <w:rsid w:val="00514C98"/>
    <w:rsid w:val="00514DB0"/>
    <w:rsid w:val="00514DB7"/>
    <w:rsid w:val="00514E0E"/>
    <w:rsid w:val="00514E7C"/>
    <w:rsid w:val="00514E81"/>
    <w:rsid w:val="00514ED6"/>
    <w:rsid w:val="00514EF3"/>
    <w:rsid w:val="00514EF4"/>
    <w:rsid w:val="00514EF9"/>
    <w:rsid w:val="00514F18"/>
    <w:rsid w:val="00514F54"/>
    <w:rsid w:val="0051502A"/>
    <w:rsid w:val="00515041"/>
    <w:rsid w:val="005150C7"/>
    <w:rsid w:val="00515118"/>
    <w:rsid w:val="00515149"/>
    <w:rsid w:val="00515157"/>
    <w:rsid w:val="005151C4"/>
    <w:rsid w:val="005151F2"/>
    <w:rsid w:val="00515219"/>
    <w:rsid w:val="0051521A"/>
    <w:rsid w:val="005152E1"/>
    <w:rsid w:val="00515366"/>
    <w:rsid w:val="0051548E"/>
    <w:rsid w:val="005154B7"/>
    <w:rsid w:val="00515504"/>
    <w:rsid w:val="00515542"/>
    <w:rsid w:val="00515595"/>
    <w:rsid w:val="005155D4"/>
    <w:rsid w:val="005155E6"/>
    <w:rsid w:val="0051561F"/>
    <w:rsid w:val="0051562E"/>
    <w:rsid w:val="005156F4"/>
    <w:rsid w:val="0051577A"/>
    <w:rsid w:val="00515790"/>
    <w:rsid w:val="005157B9"/>
    <w:rsid w:val="00515838"/>
    <w:rsid w:val="00515854"/>
    <w:rsid w:val="0051586E"/>
    <w:rsid w:val="0051594E"/>
    <w:rsid w:val="00515975"/>
    <w:rsid w:val="00515989"/>
    <w:rsid w:val="0051599F"/>
    <w:rsid w:val="005159AE"/>
    <w:rsid w:val="005159DB"/>
    <w:rsid w:val="00515A83"/>
    <w:rsid w:val="00515AE6"/>
    <w:rsid w:val="00515B0D"/>
    <w:rsid w:val="00515BB0"/>
    <w:rsid w:val="00515BCE"/>
    <w:rsid w:val="00515C48"/>
    <w:rsid w:val="00515C92"/>
    <w:rsid w:val="00515CD8"/>
    <w:rsid w:val="00515CEA"/>
    <w:rsid w:val="00515D33"/>
    <w:rsid w:val="00515D93"/>
    <w:rsid w:val="00515E58"/>
    <w:rsid w:val="00515F80"/>
    <w:rsid w:val="00516023"/>
    <w:rsid w:val="005160B1"/>
    <w:rsid w:val="005160C0"/>
    <w:rsid w:val="0051613A"/>
    <w:rsid w:val="005161E6"/>
    <w:rsid w:val="00516315"/>
    <w:rsid w:val="00516340"/>
    <w:rsid w:val="0051637F"/>
    <w:rsid w:val="005163CF"/>
    <w:rsid w:val="00516412"/>
    <w:rsid w:val="0051652D"/>
    <w:rsid w:val="0051655A"/>
    <w:rsid w:val="0051658A"/>
    <w:rsid w:val="0051664D"/>
    <w:rsid w:val="00516650"/>
    <w:rsid w:val="0051668B"/>
    <w:rsid w:val="00516782"/>
    <w:rsid w:val="0051679F"/>
    <w:rsid w:val="005167BE"/>
    <w:rsid w:val="005167C6"/>
    <w:rsid w:val="005167E8"/>
    <w:rsid w:val="0051681D"/>
    <w:rsid w:val="0051684D"/>
    <w:rsid w:val="0051686E"/>
    <w:rsid w:val="005168EC"/>
    <w:rsid w:val="005169A0"/>
    <w:rsid w:val="005169A1"/>
    <w:rsid w:val="005169F3"/>
    <w:rsid w:val="00516A18"/>
    <w:rsid w:val="00516A49"/>
    <w:rsid w:val="00516A51"/>
    <w:rsid w:val="00516AD3"/>
    <w:rsid w:val="00516B26"/>
    <w:rsid w:val="00516B62"/>
    <w:rsid w:val="00516BF1"/>
    <w:rsid w:val="00516C0E"/>
    <w:rsid w:val="00516C0F"/>
    <w:rsid w:val="00516C1A"/>
    <w:rsid w:val="00516D02"/>
    <w:rsid w:val="00516D20"/>
    <w:rsid w:val="00516D50"/>
    <w:rsid w:val="00516FBD"/>
    <w:rsid w:val="00516FED"/>
    <w:rsid w:val="00517016"/>
    <w:rsid w:val="00517129"/>
    <w:rsid w:val="0051719F"/>
    <w:rsid w:val="005172DE"/>
    <w:rsid w:val="005172F6"/>
    <w:rsid w:val="005172FC"/>
    <w:rsid w:val="0051730E"/>
    <w:rsid w:val="00517317"/>
    <w:rsid w:val="00517319"/>
    <w:rsid w:val="0051736F"/>
    <w:rsid w:val="0051745D"/>
    <w:rsid w:val="005174C0"/>
    <w:rsid w:val="00517554"/>
    <w:rsid w:val="00517619"/>
    <w:rsid w:val="00517677"/>
    <w:rsid w:val="0051771D"/>
    <w:rsid w:val="005177C8"/>
    <w:rsid w:val="005178C7"/>
    <w:rsid w:val="005178F9"/>
    <w:rsid w:val="00517919"/>
    <w:rsid w:val="00517927"/>
    <w:rsid w:val="0051792A"/>
    <w:rsid w:val="00517948"/>
    <w:rsid w:val="0051795A"/>
    <w:rsid w:val="0051796D"/>
    <w:rsid w:val="0051798E"/>
    <w:rsid w:val="005179BC"/>
    <w:rsid w:val="00517A05"/>
    <w:rsid w:val="00517A3F"/>
    <w:rsid w:val="00517A43"/>
    <w:rsid w:val="00517A6A"/>
    <w:rsid w:val="00517B34"/>
    <w:rsid w:val="00517BC5"/>
    <w:rsid w:val="00517BFB"/>
    <w:rsid w:val="00517C3A"/>
    <w:rsid w:val="00517CEB"/>
    <w:rsid w:val="00517D35"/>
    <w:rsid w:val="00517D47"/>
    <w:rsid w:val="00517DCD"/>
    <w:rsid w:val="00517E49"/>
    <w:rsid w:val="00517E73"/>
    <w:rsid w:val="00517EA3"/>
    <w:rsid w:val="00517EB3"/>
    <w:rsid w:val="00517ED2"/>
    <w:rsid w:val="00517F48"/>
    <w:rsid w:val="00517FA1"/>
    <w:rsid w:val="0052003D"/>
    <w:rsid w:val="00520043"/>
    <w:rsid w:val="005201B2"/>
    <w:rsid w:val="005201B7"/>
    <w:rsid w:val="00520248"/>
    <w:rsid w:val="005202CE"/>
    <w:rsid w:val="00520302"/>
    <w:rsid w:val="00520365"/>
    <w:rsid w:val="005203C6"/>
    <w:rsid w:val="00520404"/>
    <w:rsid w:val="0052040E"/>
    <w:rsid w:val="00520416"/>
    <w:rsid w:val="00520440"/>
    <w:rsid w:val="00520490"/>
    <w:rsid w:val="005204BC"/>
    <w:rsid w:val="00520514"/>
    <w:rsid w:val="00520548"/>
    <w:rsid w:val="0052055A"/>
    <w:rsid w:val="005205A0"/>
    <w:rsid w:val="00520680"/>
    <w:rsid w:val="005206B3"/>
    <w:rsid w:val="00520742"/>
    <w:rsid w:val="0052079A"/>
    <w:rsid w:val="005207EA"/>
    <w:rsid w:val="00520824"/>
    <w:rsid w:val="0052087E"/>
    <w:rsid w:val="0052087F"/>
    <w:rsid w:val="005208DA"/>
    <w:rsid w:val="005208E6"/>
    <w:rsid w:val="00520920"/>
    <w:rsid w:val="0052096F"/>
    <w:rsid w:val="00520A2A"/>
    <w:rsid w:val="00520A50"/>
    <w:rsid w:val="00520A99"/>
    <w:rsid w:val="00520AAD"/>
    <w:rsid w:val="00520C33"/>
    <w:rsid w:val="00520C4A"/>
    <w:rsid w:val="00520CA7"/>
    <w:rsid w:val="00520CF1"/>
    <w:rsid w:val="00520DC1"/>
    <w:rsid w:val="00520E02"/>
    <w:rsid w:val="00520E20"/>
    <w:rsid w:val="00520E98"/>
    <w:rsid w:val="00520EB2"/>
    <w:rsid w:val="00520F42"/>
    <w:rsid w:val="00520F87"/>
    <w:rsid w:val="00520FE3"/>
    <w:rsid w:val="005210F3"/>
    <w:rsid w:val="00521137"/>
    <w:rsid w:val="00521171"/>
    <w:rsid w:val="005211D9"/>
    <w:rsid w:val="005211F3"/>
    <w:rsid w:val="00521212"/>
    <w:rsid w:val="0052126D"/>
    <w:rsid w:val="00521299"/>
    <w:rsid w:val="0052130B"/>
    <w:rsid w:val="0052134C"/>
    <w:rsid w:val="0052136B"/>
    <w:rsid w:val="0052138D"/>
    <w:rsid w:val="005213A1"/>
    <w:rsid w:val="00521408"/>
    <w:rsid w:val="0052146A"/>
    <w:rsid w:val="0052147B"/>
    <w:rsid w:val="0052149D"/>
    <w:rsid w:val="005216F3"/>
    <w:rsid w:val="005216FA"/>
    <w:rsid w:val="00521743"/>
    <w:rsid w:val="00521780"/>
    <w:rsid w:val="005217DA"/>
    <w:rsid w:val="005217DD"/>
    <w:rsid w:val="00521928"/>
    <w:rsid w:val="00521946"/>
    <w:rsid w:val="00521978"/>
    <w:rsid w:val="005219C3"/>
    <w:rsid w:val="005219E6"/>
    <w:rsid w:val="00521A60"/>
    <w:rsid w:val="00521B26"/>
    <w:rsid w:val="00521BE2"/>
    <w:rsid w:val="00521C3B"/>
    <w:rsid w:val="00521C54"/>
    <w:rsid w:val="00521CF1"/>
    <w:rsid w:val="00521D32"/>
    <w:rsid w:val="00521D7D"/>
    <w:rsid w:val="00521D82"/>
    <w:rsid w:val="00521E6C"/>
    <w:rsid w:val="00521E7F"/>
    <w:rsid w:val="00521EB5"/>
    <w:rsid w:val="00521EB8"/>
    <w:rsid w:val="00521ED7"/>
    <w:rsid w:val="00521EEC"/>
    <w:rsid w:val="00521F36"/>
    <w:rsid w:val="00521F48"/>
    <w:rsid w:val="0052201D"/>
    <w:rsid w:val="005220EF"/>
    <w:rsid w:val="005221D5"/>
    <w:rsid w:val="00522247"/>
    <w:rsid w:val="0052226B"/>
    <w:rsid w:val="00522381"/>
    <w:rsid w:val="00522476"/>
    <w:rsid w:val="005224AB"/>
    <w:rsid w:val="005224D8"/>
    <w:rsid w:val="0052253E"/>
    <w:rsid w:val="0052254A"/>
    <w:rsid w:val="00522595"/>
    <w:rsid w:val="005225A5"/>
    <w:rsid w:val="005226B9"/>
    <w:rsid w:val="0052271A"/>
    <w:rsid w:val="0052275C"/>
    <w:rsid w:val="0052281A"/>
    <w:rsid w:val="005228B5"/>
    <w:rsid w:val="00522A1E"/>
    <w:rsid w:val="00522ABC"/>
    <w:rsid w:val="00522AC9"/>
    <w:rsid w:val="00522B12"/>
    <w:rsid w:val="00522BCE"/>
    <w:rsid w:val="00522C39"/>
    <w:rsid w:val="00522CDD"/>
    <w:rsid w:val="00522CE1"/>
    <w:rsid w:val="00522CE8"/>
    <w:rsid w:val="00522D25"/>
    <w:rsid w:val="00522D81"/>
    <w:rsid w:val="00522D9F"/>
    <w:rsid w:val="00522DD3"/>
    <w:rsid w:val="00522E18"/>
    <w:rsid w:val="00522E2C"/>
    <w:rsid w:val="00522E38"/>
    <w:rsid w:val="00522E3C"/>
    <w:rsid w:val="00522E4E"/>
    <w:rsid w:val="00522EB2"/>
    <w:rsid w:val="00522F75"/>
    <w:rsid w:val="00522F83"/>
    <w:rsid w:val="00522FBD"/>
    <w:rsid w:val="00522FC3"/>
    <w:rsid w:val="00522FC6"/>
    <w:rsid w:val="005230C3"/>
    <w:rsid w:val="00523162"/>
    <w:rsid w:val="00523163"/>
    <w:rsid w:val="0052316A"/>
    <w:rsid w:val="00523196"/>
    <w:rsid w:val="005231D7"/>
    <w:rsid w:val="00523217"/>
    <w:rsid w:val="0052323D"/>
    <w:rsid w:val="005232CA"/>
    <w:rsid w:val="005232FD"/>
    <w:rsid w:val="00523353"/>
    <w:rsid w:val="0052341B"/>
    <w:rsid w:val="005234B0"/>
    <w:rsid w:val="005234B9"/>
    <w:rsid w:val="005234F3"/>
    <w:rsid w:val="00523518"/>
    <w:rsid w:val="00523635"/>
    <w:rsid w:val="00523650"/>
    <w:rsid w:val="00523724"/>
    <w:rsid w:val="0052385A"/>
    <w:rsid w:val="005238B5"/>
    <w:rsid w:val="00523924"/>
    <w:rsid w:val="0052392D"/>
    <w:rsid w:val="00523994"/>
    <w:rsid w:val="0052399F"/>
    <w:rsid w:val="005239B1"/>
    <w:rsid w:val="005239B7"/>
    <w:rsid w:val="005239C1"/>
    <w:rsid w:val="00523A05"/>
    <w:rsid w:val="00523A34"/>
    <w:rsid w:val="00523A85"/>
    <w:rsid w:val="00523A98"/>
    <w:rsid w:val="00523AF2"/>
    <w:rsid w:val="00523AF3"/>
    <w:rsid w:val="00523B17"/>
    <w:rsid w:val="00523B3A"/>
    <w:rsid w:val="00523BA4"/>
    <w:rsid w:val="00523BD5"/>
    <w:rsid w:val="00523C3A"/>
    <w:rsid w:val="00523C5D"/>
    <w:rsid w:val="00523C9E"/>
    <w:rsid w:val="00523CDD"/>
    <w:rsid w:val="00523D53"/>
    <w:rsid w:val="00523DE0"/>
    <w:rsid w:val="00523E69"/>
    <w:rsid w:val="00523E76"/>
    <w:rsid w:val="00523F30"/>
    <w:rsid w:val="00523F50"/>
    <w:rsid w:val="00523F54"/>
    <w:rsid w:val="00523F67"/>
    <w:rsid w:val="00523FB5"/>
    <w:rsid w:val="00524012"/>
    <w:rsid w:val="00524022"/>
    <w:rsid w:val="0052403F"/>
    <w:rsid w:val="0052404F"/>
    <w:rsid w:val="00524063"/>
    <w:rsid w:val="005240F7"/>
    <w:rsid w:val="00524129"/>
    <w:rsid w:val="005241AE"/>
    <w:rsid w:val="00524200"/>
    <w:rsid w:val="0052424E"/>
    <w:rsid w:val="005242BA"/>
    <w:rsid w:val="005242F2"/>
    <w:rsid w:val="00524344"/>
    <w:rsid w:val="00524373"/>
    <w:rsid w:val="0052438B"/>
    <w:rsid w:val="005243B4"/>
    <w:rsid w:val="005243D7"/>
    <w:rsid w:val="00524473"/>
    <w:rsid w:val="00524483"/>
    <w:rsid w:val="00524487"/>
    <w:rsid w:val="0052452C"/>
    <w:rsid w:val="0052456C"/>
    <w:rsid w:val="00524592"/>
    <w:rsid w:val="005245F2"/>
    <w:rsid w:val="00524601"/>
    <w:rsid w:val="00524678"/>
    <w:rsid w:val="00524700"/>
    <w:rsid w:val="00524735"/>
    <w:rsid w:val="00524823"/>
    <w:rsid w:val="00524862"/>
    <w:rsid w:val="00524905"/>
    <w:rsid w:val="00524935"/>
    <w:rsid w:val="00524981"/>
    <w:rsid w:val="005249BB"/>
    <w:rsid w:val="005249DC"/>
    <w:rsid w:val="00524A2B"/>
    <w:rsid w:val="00524A7B"/>
    <w:rsid w:val="00524A81"/>
    <w:rsid w:val="00524B51"/>
    <w:rsid w:val="00524B5C"/>
    <w:rsid w:val="00524B80"/>
    <w:rsid w:val="00524BA8"/>
    <w:rsid w:val="00524BD2"/>
    <w:rsid w:val="00524C28"/>
    <w:rsid w:val="00524C50"/>
    <w:rsid w:val="00524C57"/>
    <w:rsid w:val="00524C62"/>
    <w:rsid w:val="00524CEF"/>
    <w:rsid w:val="00524D4D"/>
    <w:rsid w:val="00524D7E"/>
    <w:rsid w:val="00524DF6"/>
    <w:rsid w:val="00524E0D"/>
    <w:rsid w:val="00524E54"/>
    <w:rsid w:val="00524E91"/>
    <w:rsid w:val="00524E98"/>
    <w:rsid w:val="00524EAD"/>
    <w:rsid w:val="00524F2C"/>
    <w:rsid w:val="00524F98"/>
    <w:rsid w:val="00524F9E"/>
    <w:rsid w:val="00524FA5"/>
    <w:rsid w:val="00524FCD"/>
    <w:rsid w:val="00525014"/>
    <w:rsid w:val="00525030"/>
    <w:rsid w:val="00525050"/>
    <w:rsid w:val="00525072"/>
    <w:rsid w:val="005250AE"/>
    <w:rsid w:val="005250D9"/>
    <w:rsid w:val="00525100"/>
    <w:rsid w:val="0052510C"/>
    <w:rsid w:val="00525157"/>
    <w:rsid w:val="00525178"/>
    <w:rsid w:val="005251ED"/>
    <w:rsid w:val="00525348"/>
    <w:rsid w:val="00525435"/>
    <w:rsid w:val="005254B1"/>
    <w:rsid w:val="005254D7"/>
    <w:rsid w:val="0052554F"/>
    <w:rsid w:val="0052559F"/>
    <w:rsid w:val="00525618"/>
    <w:rsid w:val="0052568B"/>
    <w:rsid w:val="005256AE"/>
    <w:rsid w:val="005256B3"/>
    <w:rsid w:val="00525715"/>
    <w:rsid w:val="00525731"/>
    <w:rsid w:val="00525795"/>
    <w:rsid w:val="005257D9"/>
    <w:rsid w:val="0052583D"/>
    <w:rsid w:val="005258B7"/>
    <w:rsid w:val="005258E4"/>
    <w:rsid w:val="00525A77"/>
    <w:rsid w:val="00525B34"/>
    <w:rsid w:val="00525BB0"/>
    <w:rsid w:val="00525C01"/>
    <w:rsid w:val="00525C6D"/>
    <w:rsid w:val="00525CDC"/>
    <w:rsid w:val="00525D16"/>
    <w:rsid w:val="00525D28"/>
    <w:rsid w:val="00525D7F"/>
    <w:rsid w:val="00525E8D"/>
    <w:rsid w:val="00525F21"/>
    <w:rsid w:val="00525F49"/>
    <w:rsid w:val="00525FD9"/>
    <w:rsid w:val="00525FE7"/>
    <w:rsid w:val="00526009"/>
    <w:rsid w:val="00526043"/>
    <w:rsid w:val="00526050"/>
    <w:rsid w:val="00526059"/>
    <w:rsid w:val="00526099"/>
    <w:rsid w:val="005260CE"/>
    <w:rsid w:val="0052617C"/>
    <w:rsid w:val="00526359"/>
    <w:rsid w:val="00526366"/>
    <w:rsid w:val="0052645B"/>
    <w:rsid w:val="0052646E"/>
    <w:rsid w:val="005264B3"/>
    <w:rsid w:val="005264CC"/>
    <w:rsid w:val="005264CE"/>
    <w:rsid w:val="005264D5"/>
    <w:rsid w:val="005264F1"/>
    <w:rsid w:val="0052650E"/>
    <w:rsid w:val="0052653D"/>
    <w:rsid w:val="00526595"/>
    <w:rsid w:val="005265C8"/>
    <w:rsid w:val="0052661E"/>
    <w:rsid w:val="0052662E"/>
    <w:rsid w:val="0052668F"/>
    <w:rsid w:val="005266D2"/>
    <w:rsid w:val="00526746"/>
    <w:rsid w:val="0052679F"/>
    <w:rsid w:val="005267C0"/>
    <w:rsid w:val="0052681E"/>
    <w:rsid w:val="00526822"/>
    <w:rsid w:val="0052698E"/>
    <w:rsid w:val="005269C6"/>
    <w:rsid w:val="005269E2"/>
    <w:rsid w:val="00526A4B"/>
    <w:rsid w:val="00526AA6"/>
    <w:rsid w:val="00526B33"/>
    <w:rsid w:val="00526B6A"/>
    <w:rsid w:val="00526B6C"/>
    <w:rsid w:val="00526B71"/>
    <w:rsid w:val="00526C32"/>
    <w:rsid w:val="00526C6C"/>
    <w:rsid w:val="00526D07"/>
    <w:rsid w:val="00526D48"/>
    <w:rsid w:val="00526D86"/>
    <w:rsid w:val="00526DD6"/>
    <w:rsid w:val="00526DFA"/>
    <w:rsid w:val="00526E6B"/>
    <w:rsid w:val="00526EBE"/>
    <w:rsid w:val="00526F63"/>
    <w:rsid w:val="00526FA0"/>
    <w:rsid w:val="00526FC9"/>
    <w:rsid w:val="00526FE5"/>
    <w:rsid w:val="00526FF5"/>
    <w:rsid w:val="0052706D"/>
    <w:rsid w:val="00527086"/>
    <w:rsid w:val="00527107"/>
    <w:rsid w:val="00527170"/>
    <w:rsid w:val="00527176"/>
    <w:rsid w:val="00527196"/>
    <w:rsid w:val="005271A4"/>
    <w:rsid w:val="005271AB"/>
    <w:rsid w:val="00527212"/>
    <w:rsid w:val="00527242"/>
    <w:rsid w:val="005272AC"/>
    <w:rsid w:val="005272E2"/>
    <w:rsid w:val="00527372"/>
    <w:rsid w:val="00527381"/>
    <w:rsid w:val="005273A3"/>
    <w:rsid w:val="005274BB"/>
    <w:rsid w:val="0052756D"/>
    <w:rsid w:val="00527577"/>
    <w:rsid w:val="00527579"/>
    <w:rsid w:val="005275AB"/>
    <w:rsid w:val="005275B4"/>
    <w:rsid w:val="005275C6"/>
    <w:rsid w:val="0052760D"/>
    <w:rsid w:val="0052761D"/>
    <w:rsid w:val="00527634"/>
    <w:rsid w:val="00527635"/>
    <w:rsid w:val="0052767A"/>
    <w:rsid w:val="0052769A"/>
    <w:rsid w:val="00527700"/>
    <w:rsid w:val="00527733"/>
    <w:rsid w:val="0052778E"/>
    <w:rsid w:val="005277C3"/>
    <w:rsid w:val="005277D8"/>
    <w:rsid w:val="005277FE"/>
    <w:rsid w:val="00527844"/>
    <w:rsid w:val="0052788F"/>
    <w:rsid w:val="005278AD"/>
    <w:rsid w:val="00527924"/>
    <w:rsid w:val="00527933"/>
    <w:rsid w:val="00527989"/>
    <w:rsid w:val="00527A5C"/>
    <w:rsid w:val="00527AA9"/>
    <w:rsid w:val="00527AB1"/>
    <w:rsid w:val="00527AD3"/>
    <w:rsid w:val="00527B73"/>
    <w:rsid w:val="00527BAB"/>
    <w:rsid w:val="00527BD0"/>
    <w:rsid w:val="00527C09"/>
    <w:rsid w:val="00527CA3"/>
    <w:rsid w:val="00527CCD"/>
    <w:rsid w:val="00527DD5"/>
    <w:rsid w:val="00527E73"/>
    <w:rsid w:val="00527ED1"/>
    <w:rsid w:val="00527EF5"/>
    <w:rsid w:val="00527EFE"/>
    <w:rsid w:val="005300A5"/>
    <w:rsid w:val="005300EF"/>
    <w:rsid w:val="00530120"/>
    <w:rsid w:val="005301E0"/>
    <w:rsid w:val="00530267"/>
    <w:rsid w:val="005302C2"/>
    <w:rsid w:val="005302F7"/>
    <w:rsid w:val="0053032A"/>
    <w:rsid w:val="0053037C"/>
    <w:rsid w:val="005303BC"/>
    <w:rsid w:val="005303C8"/>
    <w:rsid w:val="00530440"/>
    <w:rsid w:val="00530468"/>
    <w:rsid w:val="0053048D"/>
    <w:rsid w:val="005304CE"/>
    <w:rsid w:val="0053051F"/>
    <w:rsid w:val="0053052E"/>
    <w:rsid w:val="0053053F"/>
    <w:rsid w:val="0053055F"/>
    <w:rsid w:val="00530577"/>
    <w:rsid w:val="005305AC"/>
    <w:rsid w:val="005305D9"/>
    <w:rsid w:val="005305EF"/>
    <w:rsid w:val="00530684"/>
    <w:rsid w:val="005306FF"/>
    <w:rsid w:val="00530726"/>
    <w:rsid w:val="00530735"/>
    <w:rsid w:val="00530768"/>
    <w:rsid w:val="005307D9"/>
    <w:rsid w:val="0053080F"/>
    <w:rsid w:val="00530887"/>
    <w:rsid w:val="005308A7"/>
    <w:rsid w:val="00530907"/>
    <w:rsid w:val="005309D1"/>
    <w:rsid w:val="005309F1"/>
    <w:rsid w:val="00530A30"/>
    <w:rsid w:val="00530A85"/>
    <w:rsid w:val="00530A96"/>
    <w:rsid w:val="00530AAA"/>
    <w:rsid w:val="00530ADD"/>
    <w:rsid w:val="00530BB1"/>
    <w:rsid w:val="00530BCA"/>
    <w:rsid w:val="00530BEC"/>
    <w:rsid w:val="00530C03"/>
    <w:rsid w:val="00530C84"/>
    <w:rsid w:val="00530C88"/>
    <w:rsid w:val="00530C94"/>
    <w:rsid w:val="00530CB7"/>
    <w:rsid w:val="00530CD3"/>
    <w:rsid w:val="00530CEB"/>
    <w:rsid w:val="00530D02"/>
    <w:rsid w:val="00530D22"/>
    <w:rsid w:val="00530D73"/>
    <w:rsid w:val="00530DC9"/>
    <w:rsid w:val="00530E3C"/>
    <w:rsid w:val="00530E87"/>
    <w:rsid w:val="00530F04"/>
    <w:rsid w:val="00530FE6"/>
    <w:rsid w:val="0053100C"/>
    <w:rsid w:val="00531054"/>
    <w:rsid w:val="00531079"/>
    <w:rsid w:val="00531121"/>
    <w:rsid w:val="0053114B"/>
    <w:rsid w:val="0053116F"/>
    <w:rsid w:val="005311AB"/>
    <w:rsid w:val="005311DC"/>
    <w:rsid w:val="005311E0"/>
    <w:rsid w:val="00531277"/>
    <w:rsid w:val="005312BD"/>
    <w:rsid w:val="005312E9"/>
    <w:rsid w:val="0053135E"/>
    <w:rsid w:val="005313A1"/>
    <w:rsid w:val="005313F5"/>
    <w:rsid w:val="0053147F"/>
    <w:rsid w:val="005314F2"/>
    <w:rsid w:val="005314F6"/>
    <w:rsid w:val="00531513"/>
    <w:rsid w:val="00531518"/>
    <w:rsid w:val="00531550"/>
    <w:rsid w:val="005315F7"/>
    <w:rsid w:val="0053161E"/>
    <w:rsid w:val="00531683"/>
    <w:rsid w:val="005316ED"/>
    <w:rsid w:val="005316F7"/>
    <w:rsid w:val="00531707"/>
    <w:rsid w:val="00531765"/>
    <w:rsid w:val="00531795"/>
    <w:rsid w:val="005317A0"/>
    <w:rsid w:val="00531843"/>
    <w:rsid w:val="00531860"/>
    <w:rsid w:val="00531876"/>
    <w:rsid w:val="00531894"/>
    <w:rsid w:val="0053194D"/>
    <w:rsid w:val="005319D2"/>
    <w:rsid w:val="00531B09"/>
    <w:rsid w:val="00531B57"/>
    <w:rsid w:val="00531B9F"/>
    <w:rsid w:val="00531BE1"/>
    <w:rsid w:val="00531C11"/>
    <w:rsid w:val="00531CA3"/>
    <w:rsid w:val="00531D15"/>
    <w:rsid w:val="00531D22"/>
    <w:rsid w:val="00531D52"/>
    <w:rsid w:val="00531DDA"/>
    <w:rsid w:val="00531E03"/>
    <w:rsid w:val="00531E19"/>
    <w:rsid w:val="00531EA7"/>
    <w:rsid w:val="00531EDC"/>
    <w:rsid w:val="00531EF3"/>
    <w:rsid w:val="00531F64"/>
    <w:rsid w:val="00531F89"/>
    <w:rsid w:val="00532045"/>
    <w:rsid w:val="00532048"/>
    <w:rsid w:val="0053206F"/>
    <w:rsid w:val="0053212A"/>
    <w:rsid w:val="005321D5"/>
    <w:rsid w:val="005321F8"/>
    <w:rsid w:val="0053224E"/>
    <w:rsid w:val="0053228C"/>
    <w:rsid w:val="005322B9"/>
    <w:rsid w:val="005322E7"/>
    <w:rsid w:val="0053236C"/>
    <w:rsid w:val="005323AF"/>
    <w:rsid w:val="005323C3"/>
    <w:rsid w:val="005323FA"/>
    <w:rsid w:val="00532429"/>
    <w:rsid w:val="00532462"/>
    <w:rsid w:val="00532622"/>
    <w:rsid w:val="00532686"/>
    <w:rsid w:val="00532696"/>
    <w:rsid w:val="005326A2"/>
    <w:rsid w:val="00532719"/>
    <w:rsid w:val="005327A8"/>
    <w:rsid w:val="005327B2"/>
    <w:rsid w:val="005328F1"/>
    <w:rsid w:val="005328FB"/>
    <w:rsid w:val="00532913"/>
    <w:rsid w:val="0053291F"/>
    <w:rsid w:val="00532926"/>
    <w:rsid w:val="005329A1"/>
    <w:rsid w:val="00532BD4"/>
    <w:rsid w:val="00532BEF"/>
    <w:rsid w:val="00532BF5"/>
    <w:rsid w:val="00532C14"/>
    <w:rsid w:val="00532C19"/>
    <w:rsid w:val="00532C83"/>
    <w:rsid w:val="00532C8E"/>
    <w:rsid w:val="00532D43"/>
    <w:rsid w:val="00532D4B"/>
    <w:rsid w:val="00532E88"/>
    <w:rsid w:val="00532EA8"/>
    <w:rsid w:val="00532EB8"/>
    <w:rsid w:val="00532FA8"/>
    <w:rsid w:val="00532FB0"/>
    <w:rsid w:val="00533077"/>
    <w:rsid w:val="005330F2"/>
    <w:rsid w:val="005330F4"/>
    <w:rsid w:val="005331CF"/>
    <w:rsid w:val="00533232"/>
    <w:rsid w:val="0053324F"/>
    <w:rsid w:val="00533256"/>
    <w:rsid w:val="005332BD"/>
    <w:rsid w:val="005332F2"/>
    <w:rsid w:val="00533301"/>
    <w:rsid w:val="0053339E"/>
    <w:rsid w:val="00533424"/>
    <w:rsid w:val="0053345B"/>
    <w:rsid w:val="0053346E"/>
    <w:rsid w:val="005334D8"/>
    <w:rsid w:val="005334F6"/>
    <w:rsid w:val="00533555"/>
    <w:rsid w:val="0053355F"/>
    <w:rsid w:val="005335A8"/>
    <w:rsid w:val="005335B8"/>
    <w:rsid w:val="00533785"/>
    <w:rsid w:val="005337B0"/>
    <w:rsid w:val="005337F8"/>
    <w:rsid w:val="00533831"/>
    <w:rsid w:val="0053383C"/>
    <w:rsid w:val="0053385F"/>
    <w:rsid w:val="0053388C"/>
    <w:rsid w:val="005338C7"/>
    <w:rsid w:val="0053391B"/>
    <w:rsid w:val="005339F8"/>
    <w:rsid w:val="00533A53"/>
    <w:rsid w:val="00533ADE"/>
    <w:rsid w:val="00533B1A"/>
    <w:rsid w:val="00533B1F"/>
    <w:rsid w:val="00533B49"/>
    <w:rsid w:val="00533BB6"/>
    <w:rsid w:val="00533C15"/>
    <w:rsid w:val="00533C3E"/>
    <w:rsid w:val="00533CB9"/>
    <w:rsid w:val="00533CFD"/>
    <w:rsid w:val="00533E0B"/>
    <w:rsid w:val="00533E1E"/>
    <w:rsid w:val="00533EC4"/>
    <w:rsid w:val="00533F83"/>
    <w:rsid w:val="00534022"/>
    <w:rsid w:val="00534052"/>
    <w:rsid w:val="005340DA"/>
    <w:rsid w:val="00534130"/>
    <w:rsid w:val="00534151"/>
    <w:rsid w:val="0053428C"/>
    <w:rsid w:val="0053435A"/>
    <w:rsid w:val="0053435B"/>
    <w:rsid w:val="00534373"/>
    <w:rsid w:val="0053440B"/>
    <w:rsid w:val="00534459"/>
    <w:rsid w:val="00534466"/>
    <w:rsid w:val="005344AA"/>
    <w:rsid w:val="005344D7"/>
    <w:rsid w:val="00534511"/>
    <w:rsid w:val="00534548"/>
    <w:rsid w:val="0053457F"/>
    <w:rsid w:val="005345B1"/>
    <w:rsid w:val="00534601"/>
    <w:rsid w:val="005346E9"/>
    <w:rsid w:val="00534717"/>
    <w:rsid w:val="00534722"/>
    <w:rsid w:val="00534788"/>
    <w:rsid w:val="0053482C"/>
    <w:rsid w:val="0053488E"/>
    <w:rsid w:val="005348E2"/>
    <w:rsid w:val="005349F8"/>
    <w:rsid w:val="00534A0A"/>
    <w:rsid w:val="00534A1E"/>
    <w:rsid w:val="00534A57"/>
    <w:rsid w:val="00534A87"/>
    <w:rsid w:val="00534AC4"/>
    <w:rsid w:val="00534AC8"/>
    <w:rsid w:val="00534AE7"/>
    <w:rsid w:val="00534B7E"/>
    <w:rsid w:val="00534BB3"/>
    <w:rsid w:val="00534C0B"/>
    <w:rsid w:val="00534C3C"/>
    <w:rsid w:val="00534C41"/>
    <w:rsid w:val="00534C8E"/>
    <w:rsid w:val="00534C8F"/>
    <w:rsid w:val="00534CFE"/>
    <w:rsid w:val="00534D1B"/>
    <w:rsid w:val="00534D65"/>
    <w:rsid w:val="00534D70"/>
    <w:rsid w:val="00534DA1"/>
    <w:rsid w:val="00534DAE"/>
    <w:rsid w:val="00534DBC"/>
    <w:rsid w:val="00534DCE"/>
    <w:rsid w:val="00534E34"/>
    <w:rsid w:val="00534E74"/>
    <w:rsid w:val="00534ECA"/>
    <w:rsid w:val="00534EDD"/>
    <w:rsid w:val="00534F18"/>
    <w:rsid w:val="00534F31"/>
    <w:rsid w:val="00534F75"/>
    <w:rsid w:val="00534FAD"/>
    <w:rsid w:val="00535010"/>
    <w:rsid w:val="0053502E"/>
    <w:rsid w:val="00535049"/>
    <w:rsid w:val="00535086"/>
    <w:rsid w:val="0053508D"/>
    <w:rsid w:val="0053513A"/>
    <w:rsid w:val="0053516F"/>
    <w:rsid w:val="005351B3"/>
    <w:rsid w:val="005351CD"/>
    <w:rsid w:val="00535252"/>
    <w:rsid w:val="005352A4"/>
    <w:rsid w:val="005352DB"/>
    <w:rsid w:val="00535345"/>
    <w:rsid w:val="00535416"/>
    <w:rsid w:val="005354EA"/>
    <w:rsid w:val="00535562"/>
    <w:rsid w:val="0053556F"/>
    <w:rsid w:val="00535576"/>
    <w:rsid w:val="00535617"/>
    <w:rsid w:val="00535629"/>
    <w:rsid w:val="0053567B"/>
    <w:rsid w:val="005356E1"/>
    <w:rsid w:val="005356FC"/>
    <w:rsid w:val="005357BF"/>
    <w:rsid w:val="005357E7"/>
    <w:rsid w:val="005357F5"/>
    <w:rsid w:val="00535817"/>
    <w:rsid w:val="00535826"/>
    <w:rsid w:val="0053585D"/>
    <w:rsid w:val="00535872"/>
    <w:rsid w:val="005358B2"/>
    <w:rsid w:val="00535950"/>
    <w:rsid w:val="005359A4"/>
    <w:rsid w:val="005359E4"/>
    <w:rsid w:val="00535A6F"/>
    <w:rsid w:val="00535B6A"/>
    <w:rsid w:val="00535BAC"/>
    <w:rsid w:val="00535BCA"/>
    <w:rsid w:val="00535C1B"/>
    <w:rsid w:val="00535C2E"/>
    <w:rsid w:val="00535CF8"/>
    <w:rsid w:val="00535DA2"/>
    <w:rsid w:val="00535DCC"/>
    <w:rsid w:val="00535DD7"/>
    <w:rsid w:val="00535E21"/>
    <w:rsid w:val="00535E2C"/>
    <w:rsid w:val="00535E3D"/>
    <w:rsid w:val="00535E7A"/>
    <w:rsid w:val="00535EEA"/>
    <w:rsid w:val="00535F4A"/>
    <w:rsid w:val="00535F56"/>
    <w:rsid w:val="00535F5C"/>
    <w:rsid w:val="00535F90"/>
    <w:rsid w:val="00535FC0"/>
    <w:rsid w:val="00536002"/>
    <w:rsid w:val="0053601B"/>
    <w:rsid w:val="0053605A"/>
    <w:rsid w:val="00536075"/>
    <w:rsid w:val="00536127"/>
    <w:rsid w:val="00536134"/>
    <w:rsid w:val="005361FF"/>
    <w:rsid w:val="0053624A"/>
    <w:rsid w:val="0053632C"/>
    <w:rsid w:val="00536408"/>
    <w:rsid w:val="0053656C"/>
    <w:rsid w:val="005365CB"/>
    <w:rsid w:val="005365D1"/>
    <w:rsid w:val="005365DF"/>
    <w:rsid w:val="005365EA"/>
    <w:rsid w:val="0053663D"/>
    <w:rsid w:val="0053665D"/>
    <w:rsid w:val="005366BD"/>
    <w:rsid w:val="005366E1"/>
    <w:rsid w:val="0053675B"/>
    <w:rsid w:val="00536760"/>
    <w:rsid w:val="00536864"/>
    <w:rsid w:val="005368EB"/>
    <w:rsid w:val="005368F9"/>
    <w:rsid w:val="0053693E"/>
    <w:rsid w:val="00536940"/>
    <w:rsid w:val="005369EA"/>
    <w:rsid w:val="005369F4"/>
    <w:rsid w:val="00536A06"/>
    <w:rsid w:val="00536AEA"/>
    <w:rsid w:val="00536B06"/>
    <w:rsid w:val="00536B2D"/>
    <w:rsid w:val="00536B78"/>
    <w:rsid w:val="00536B9B"/>
    <w:rsid w:val="00536BE5"/>
    <w:rsid w:val="00536C83"/>
    <w:rsid w:val="00536C8C"/>
    <w:rsid w:val="00536C9A"/>
    <w:rsid w:val="00536CD1"/>
    <w:rsid w:val="00536CD9"/>
    <w:rsid w:val="00536D00"/>
    <w:rsid w:val="00536DE5"/>
    <w:rsid w:val="00536ECC"/>
    <w:rsid w:val="00536F1A"/>
    <w:rsid w:val="00536F62"/>
    <w:rsid w:val="00536FDD"/>
    <w:rsid w:val="00537013"/>
    <w:rsid w:val="00537023"/>
    <w:rsid w:val="00537073"/>
    <w:rsid w:val="00537088"/>
    <w:rsid w:val="00537163"/>
    <w:rsid w:val="00537186"/>
    <w:rsid w:val="00537192"/>
    <w:rsid w:val="005371CE"/>
    <w:rsid w:val="005371DF"/>
    <w:rsid w:val="0053724F"/>
    <w:rsid w:val="00537297"/>
    <w:rsid w:val="005372AC"/>
    <w:rsid w:val="00537308"/>
    <w:rsid w:val="0053734C"/>
    <w:rsid w:val="00537358"/>
    <w:rsid w:val="00537418"/>
    <w:rsid w:val="005374FB"/>
    <w:rsid w:val="00537553"/>
    <w:rsid w:val="00537584"/>
    <w:rsid w:val="0053758C"/>
    <w:rsid w:val="005375A1"/>
    <w:rsid w:val="005375D8"/>
    <w:rsid w:val="00537694"/>
    <w:rsid w:val="0053772B"/>
    <w:rsid w:val="0053774A"/>
    <w:rsid w:val="00537767"/>
    <w:rsid w:val="00537793"/>
    <w:rsid w:val="005377B9"/>
    <w:rsid w:val="00537805"/>
    <w:rsid w:val="0053785D"/>
    <w:rsid w:val="0053788E"/>
    <w:rsid w:val="005378DB"/>
    <w:rsid w:val="005378E5"/>
    <w:rsid w:val="005378FE"/>
    <w:rsid w:val="00537906"/>
    <w:rsid w:val="00537935"/>
    <w:rsid w:val="005379AD"/>
    <w:rsid w:val="005379CC"/>
    <w:rsid w:val="00537A58"/>
    <w:rsid w:val="00537A97"/>
    <w:rsid w:val="00537B72"/>
    <w:rsid w:val="00537B73"/>
    <w:rsid w:val="00537BCE"/>
    <w:rsid w:val="00537CBA"/>
    <w:rsid w:val="00537D82"/>
    <w:rsid w:val="00537DF2"/>
    <w:rsid w:val="00537ED2"/>
    <w:rsid w:val="00537FD8"/>
    <w:rsid w:val="0054009B"/>
    <w:rsid w:val="005400E2"/>
    <w:rsid w:val="005401A3"/>
    <w:rsid w:val="00540236"/>
    <w:rsid w:val="0054025D"/>
    <w:rsid w:val="005402D5"/>
    <w:rsid w:val="00540341"/>
    <w:rsid w:val="00540367"/>
    <w:rsid w:val="00540402"/>
    <w:rsid w:val="00540440"/>
    <w:rsid w:val="0054046B"/>
    <w:rsid w:val="00540492"/>
    <w:rsid w:val="005405B2"/>
    <w:rsid w:val="005405E8"/>
    <w:rsid w:val="005405ED"/>
    <w:rsid w:val="0054062B"/>
    <w:rsid w:val="005406BA"/>
    <w:rsid w:val="00540735"/>
    <w:rsid w:val="0054076F"/>
    <w:rsid w:val="00540785"/>
    <w:rsid w:val="00540789"/>
    <w:rsid w:val="0054079A"/>
    <w:rsid w:val="005407A4"/>
    <w:rsid w:val="005407EF"/>
    <w:rsid w:val="005407FE"/>
    <w:rsid w:val="0054080C"/>
    <w:rsid w:val="00540856"/>
    <w:rsid w:val="00540882"/>
    <w:rsid w:val="0054092F"/>
    <w:rsid w:val="00540A15"/>
    <w:rsid w:val="00540A30"/>
    <w:rsid w:val="00540A54"/>
    <w:rsid w:val="00540A60"/>
    <w:rsid w:val="00540ACA"/>
    <w:rsid w:val="00540B9D"/>
    <w:rsid w:val="00540BA4"/>
    <w:rsid w:val="00540BE9"/>
    <w:rsid w:val="00540C28"/>
    <w:rsid w:val="00540C56"/>
    <w:rsid w:val="00540CAE"/>
    <w:rsid w:val="00540CCB"/>
    <w:rsid w:val="00540D2A"/>
    <w:rsid w:val="00540E0E"/>
    <w:rsid w:val="00540E5D"/>
    <w:rsid w:val="00540E5E"/>
    <w:rsid w:val="00540F35"/>
    <w:rsid w:val="00540FC9"/>
    <w:rsid w:val="00541003"/>
    <w:rsid w:val="0054100C"/>
    <w:rsid w:val="0054100F"/>
    <w:rsid w:val="0054101D"/>
    <w:rsid w:val="005410EB"/>
    <w:rsid w:val="005410F5"/>
    <w:rsid w:val="00541101"/>
    <w:rsid w:val="00541319"/>
    <w:rsid w:val="0054136A"/>
    <w:rsid w:val="005413E0"/>
    <w:rsid w:val="005414AF"/>
    <w:rsid w:val="00541522"/>
    <w:rsid w:val="00541539"/>
    <w:rsid w:val="00541552"/>
    <w:rsid w:val="00541619"/>
    <w:rsid w:val="0054161E"/>
    <w:rsid w:val="005416AE"/>
    <w:rsid w:val="005416E3"/>
    <w:rsid w:val="005417D8"/>
    <w:rsid w:val="005417D9"/>
    <w:rsid w:val="005417FE"/>
    <w:rsid w:val="00541835"/>
    <w:rsid w:val="005418CF"/>
    <w:rsid w:val="005418DA"/>
    <w:rsid w:val="005418F9"/>
    <w:rsid w:val="00541919"/>
    <w:rsid w:val="00541957"/>
    <w:rsid w:val="005419B4"/>
    <w:rsid w:val="005419C1"/>
    <w:rsid w:val="005419C2"/>
    <w:rsid w:val="00541A05"/>
    <w:rsid w:val="00541A55"/>
    <w:rsid w:val="00541A57"/>
    <w:rsid w:val="00541A66"/>
    <w:rsid w:val="00541A6C"/>
    <w:rsid w:val="00541A7A"/>
    <w:rsid w:val="00541ACC"/>
    <w:rsid w:val="00541B11"/>
    <w:rsid w:val="00541C5B"/>
    <w:rsid w:val="00541C77"/>
    <w:rsid w:val="00541C86"/>
    <w:rsid w:val="00541D34"/>
    <w:rsid w:val="00541EDE"/>
    <w:rsid w:val="00541EE6"/>
    <w:rsid w:val="00541EEE"/>
    <w:rsid w:val="00541F3B"/>
    <w:rsid w:val="00541FE2"/>
    <w:rsid w:val="00541FF4"/>
    <w:rsid w:val="00542005"/>
    <w:rsid w:val="0054206B"/>
    <w:rsid w:val="00542070"/>
    <w:rsid w:val="005420D3"/>
    <w:rsid w:val="005421A3"/>
    <w:rsid w:val="005421A6"/>
    <w:rsid w:val="005421FE"/>
    <w:rsid w:val="00542208"/>
    <w:rsid w:val="005422A0"/>
    <w:rsid w:val="005422EC"/>
    <w:rsid w:val="005422FB"/>
    <w:rsid w:val="0054231B"/>
    <w:rsid w:val="00542386"/>
    <w:rsid w:val="005423EB"/>
    <w:rsid w:val="005424AB"/>
    <w:rsid w:val="005424C9"/>
    <w:rsid w:val="00542506"/>
    <w:rsid w:val="0054253A"/>
    <w:rsid w:val="005425A3"/>
    <w:rsid w:val="005425F4"/>
    <w:rsid w:val="00542601"/>
    <w:rsid w:val="00542777"/>
    <w:rsid w:val="005427F4"/>
    <w:rsid w:val="0054289F"/>
    <w:rsid w:val="005428E6"/>
    <w:rsid w:val="005428F0"/>
    <w:rsid w:val="005428F2"/>
    <w:rsid w:val="00542931"/>
    <w:rsid w:val="0054299B"/>
    <w:rsid w:val="005429B4"/>
    <w:rsid w:val="00542A2E"/>
    <w:rsid w:val="00542A6C"/>
    <w:rsid w:val="00542ACF"/>
    <w:rsid w:val="00542BA0"/>
    <w:rsid w:val="00542C52"/>
    <w:rsid w:val="00542C81"/>
    <w:rsid w:val="00542CEF"/>
    <w:rsid w:val="00542DED"/>
    <w:rsid w:val="00542E17"/>
    <w:rsid w:val="00542E20"/>
    <w:rsid w:val="00542E3E"/>
    <w:rsid w:val="00542E8A"/>
    <w:rsid w:val="00542E99"/>
    <w:rsid w:val="00542EA2"/>
    <w:rsid w:val="00542EB1"/>
    <w:rsid w:val="00542EDA"/>
    <w:rsid w:val="00542EEE"/>
    <w:rsid w:val="00542F47"/>
    <w:rsid w:val="0054300E"/>
    <w:rsid w:val="00543074"/>
    <w:rsid w:val="0054307A"/>
    <w:rsid w:val="005431EE"/>
    <w:rsid w:val="00543202"/>
    <w:rsid w:val="0054324E"/>
    <w:rsid w:val="00543273"/>
    <w:rsid w:val="0054337F"/>
    <w:rsid w:val="005433F0"/>
    <w:rsid w:val="005433FF"/>
    <w:rsid w:val="005434A6"/>
    <w:rsid w:val="005435D2"/>
    <w:rsid w:val="005435E1"/>
    <w:rsid w:val="00543672"/>
    <w:rsid w:val="00543683"/>
    <w:rsid w:val="0054371B"/>
    <w:rsid w:val="0054371C"/>
    <w:rsid w:val="0054386B"/>
    <w:rsid w:val="005438A8"/>
    <w:rsid w:val="005438AB"/>
    <w:rsid w:val="0054390B"/>
    <w:rsid w:val="00543ACE"/>
    <w:rsid w:val="00543B16"/>
    <w:rsid w:val="00543B33"/>
    <w:rsid w:val="00543B3D"/>
    <w:rsid w:val="00543BAF"/>
    <w:rsid w:val="00543C1B"/>
    <w:rsid w:val="00543C46"/>
    <w:rsid w:val="00543C5E"/>
    <w:rsid w:val="00543C94"/>
    <w:rsid w:val="00543CAD"/>
    <w:rsid w:val="00543D5E"/>
    <w:rsid w:val="00543DE6"/>
    <w:rsid w:val="00543E0D"/>
    <w:rsid w:val="00543E27"/>
    <w:rsid w:val="00543F90"/>
    <w:rsid w:val="00543F92"/>
    <w:rsid w:val="00543FF0"/>
    <w:rsid w:val="00544010"/>
    <w:rsid w:val="00544064"/>
    <w:rsid w:val="005440A6"/>
    <w:rsid w:val="005440BB"/>
    <w:rsid w:val="00544135"/>
    <w:rsid w:val="00544159"/>
    <w:rsid w:val="005441A5"/>
    <w:rsid w:val="005441EC"/>
    <w:rsid w:val="00544240"/>
    <w:rsid w:val="0054424E"/>
    <w:rsid w:val="005442EE"/>
    <w:rsid w:val="0054436B"/>
    <w:rsid w:val="00544375"/>
    <w:rsid w:val="005443E6"/>
    <w:rsid w:val="0054440C"/>
    <w:rsid w:val="00544473"/>
    <w:rsid w:val="005444CE"/>
    <w:rsid w:val="005444F2"/>
    <w:rsid w:val="00544511"/>
    <w:rsid w:val="0054455B"/>
    <w:rsid w:val="005445B1"/>
    <w:rsid w:val="005445B5"/>
    <w:rsid w:val="005445FF"/>
    <w:rsid w:val="00544676"/>
    <w:rsid w:val="00544731"/>
    <w:rsid w:val="0054473E"/>
    <w:rsid w:val="0054476E"/>
    <w:rsid w:val="00544786"/>
    <w:rsid w:val="00544826"/>
    <w:rsid w:val="005448AC"/>
    <w:rsid w:val="00544904"/>
    <w:rsid w:val="0054495B"/>
    <w:rsid w:val="005449AE"/>
    <w:rsid w:val="005449EF"/>
    <w:rsid w:val="00544A65"/>
    <w:rsid w:val="00544A90"/>
    <w:rsid w:val="00544ACC"/>
    <w:rsid w:val="00544B69"/>
    <w:rsid w:val="00544B94"/>
    <w:rsid w:val="00544B96"/>
    <w:rsid w:val="00544C24"/>
    <w:rsid w:val="00544C6B"/>
    <w:rsid w:val="00544C81"/>
    <w:rsid w:val="00544CAE"/>
    <w:rsid w:val="00544CD0"/>
    <w:rsid w:val="00544CD8"/>
    <w:rsid w:val="00544CE2"/>
    <w:rsid w:val="00544CEF"/>
    <w:rsid w:val="00544D47"/>
    <w:rsid w:val="00544D58"/>
    <w:rsid w:val="00544D67"/>
    <w:rsid w:val="00544D6E"/>
    <w:rsid w:val="00544D70"/>
    <w:rsid w:val="00544DAB"/>
    <w:rsid w:val="00544DCC"/>
    <w:rsid w:val="00544DD3"/>
    <w:rsid w:val="00544E0E"/>
    <w:rsid w:val="00544E30"/>
    <w:rsid w:val="00544EDF"/>
    <w:rsid w:val="00544EE4"/>
    <w:rsid w:val="00544EFA"/>
    <w:rsid w:val="00544F1B"/>
    <w:rsid w:val="00544F7C"/>
    <w:rsid w:val="00544F87"/>
    <w:rsid w:val="00544F91"/>
    <w:rsid w:val="00544FFD"/>
    <w:rsid w:val="0054500C"/>
    <w:rsid w:val="00545022"/>
    <w:rsid w:val="00545082"/>
    <w:rsid w:val="005450F7"/>
    <w:rsid w:val="005450FE"/>
    <w:rsid w:val="00545143"/>
    <w:rsid w:val="0054518A"/>
    <w:rsid w:val="005451FD"/>
    <w:rsid w:val="00545202"/>
    <w:rsid w:val="00545240"/>
    <w:rsid w:val="0054528F"/>
    <w:rsid w:val="005452AF"/>
    <w:rsid w:val="0054536C"/>
    <w:rsid w:val="0054538C"/>
    <w:rsid w:val="0054540E"/>
    <w:rsid w:val="0054541B"/>
    <w:rsid w:val="005455AF"/>
    <w:rsid w:val="0054569E"/>
    <w:rsid w:val="005456B3"/>
    <w:rsid w:val="005456E9"/>
    <w:rsid w:val="005456F5"/>
    <w:rsid w:val="005457B7"/>
    <w:rsid w:val="00545904"/>
    <w:rsid w:val="00545A33"/>
    <w:rsid w:val="00545A46"/>
    <w:rsid w:val="00545B3A"/>
    <w:rsid w:val="00545B54"/>
    <w:rsid w:val="00545B66"/>
    <w:rsid w:val="00545C2B"/>
    <w:rsid w:val="00545C56"/>
    <w:rsid w:val="00545C9E"/>
    <w:rsid w:val="00545CA7"/>
    <w:rsid w:val="00545CAC"/>
    <w:rsid w:val="00545CC4"/>
    <w:rsid w:val="00545D29"/>
    <w:rsid w:val="00545DC3"/>
    <w:rsid w:val="00545E11"/>
    <w:rsid w:val="00545E2C"/>
    <w:rsid w:val="00545E38"/>
    <w:rsid w:val="00545E4D"/>
    <w:rsid w:val="00545EA1"/>
    <w:rsid w:val="00545F76"/>
    <w:rsid w:val="00545FC0"/>
    <w:rsid w:val="00546012"/>
    <w:rsid w:val="00546078"/>
    <w:rsid w:val="005460A4"/>
    <w:rsid w:val="005460D9"/>
    <w:rsid w:val="005460EB"/>
    <w:rsid w:val="0054610E"/>
    <w:rsid w:val="00546155"/>
    <w:rsid w:val="00546192"/>
    <w:rsid w:val="005461B4"/>
    <w:rsid w:val="00546208"/>
    <w:rsid w:val="005462C9"/>
    <w:rsid w:val="00546346"/>
    <w:rsid w:val="005463C3"/>
    <w:rsid w:val="005463D4"/>
    <w:rsid w:val="00546458"/>
    <w:rsid w:val="0054645E"/>
    <w:rsid w:val="0054646F"/>
    <w:rsid w:val="00546508"/>
    <w:rsid w:val="00546548"/>
    <w:rsid w:val="0054656E"/>
    <w:rsid w:val="0054657C"/>
    <w:rsid w:val="005465C3"/>
    <w:rsid w:val="0054663C"/>
    <w:rsid w:val="005466B0"/>
    <w:rsid w:val="0054674E"/>
    <w:rsid w:val="0054683C"/>
    <w:rsid w:val="00546848"/>
    <w:rsid w:val="0054690A"/>
    <w:rsid w:val="00546946"/>
    <w:rsid w:val="00546950"/>
    <w:rsid w:val="0054695F"/>
    <w:rsid w:val="00546982"/>
    <w:rsid w:val="00546989"/>
    <w:rsid w:val="005469D6"/>
    <w:rsid w:val="00546A9D"/>
    <w:rsid w:val="00546ADC"/>
    <w:rsid w:val="00546AEA"/>
    <w:rsid w:val="00546B5E"/>
    <w:rsid w:val="00546B74"/>
    <w:rsid w:val="00546B9C"/>
    <w:rsid w:val="00546BAC"/>
    <w:rsid w:val="00546C07"/>
    <w:rsid w:val="00546C9E"/>
    <w:rsid w:val="00546D79"/>
    <w:rsid w:val="00546D88"/>
    <w:rsid w:val="00546E3F"/>
    <w:rsid w:val="00546E65"/>
    <w:rsid w:val="00546E84"/>
    <w:rsid w:val="00546E9C"/>
    <w:rsid w:val="00546EC7"/>
    <w:rsid w:val="00546EE5"/>
    <w:rsid w:val="00546F85"/>
    <w:rsid w:val="00547008"/>
    <w:rsid w:val="0054702A"/>
    <w:rsid w:val="00547042"/>
    <w:rsid w:val="00547071"/>
    <w:rsid w:val="0054707B"/>
    <w:rsid w:val="0054710A"/>
    <w:rsid w:val="005471A9"/>
    <w:rsid w:val="005471B7"/>
    <w:rsid w:val="00547278"/>
    <w:rsid w:val="005473B7"/>
    <w:rsid w:val="005473B9"/>
    <w:rsid w:val="00547412"/>
    <w:rsid w:val="00547499"/>
    <w:rsid w:val="0054749B"/>
    <w:rsid w:val="005474A9"/>
    <w:rsid w:val="00547546"/>
    <w:rsid w:val="00547627"/>
    <w:rsid w:val="0054773A"/>
    <w:rsid w:val="00547806"/>
    <w:rsid w:val="005478E3"/>
    <w:rsid w:val="00547934"/>
    <w:rsid w:val="005479C2"/>
    <w:rsid w:val="005479FC"/>
    <w:rsid w:val="005479FD"/>
    <w:rsid w:val="00547AF5"/>
    <w:rsid w:val="00547B3A"/>
    <w:rsid w:val="00547B3C"/>
    <w:rsid w:val="00547C24"/>
    <w:rsid w:val="00547CE9"/>
    <w:rsid w:val="00547D6F"/>
    <w:rsid w:val="00547D80"/>
    <w:rsid w:val="00547DAA"/>
    <w:rsid w:val="00547E16"/>
    <w:rsid w:val="00547E25"/>
    <w:rsid w:val="00547E48"/>
    <w:rsid w:val="00547E7D"/>
    <w:rsid w:val="00547EB1"/>
    <w:rsid w:val="00547EC0"/>
    <w:rsid w:val="00547EF2"/>
    <w:rsid w:val="00547F00"/>
    <w:rsid w:val="00547F0E"/>
    <w:rsid w:val="00547F53"/>
    <w:rsid w:val="00547F71"/>
    <w:rsid w:val="00547F7F"/>
    <w:rsid w:val="00547F86"/>
    <w:rsid w:val="00547F98"/>
    <w:rsid w:val="00547F9B"/>
    <w:rsid w:val="00547FA4"/>
    <w:rsid w:val="00547FD6"/>
    <w:rsid w:val="00550002"/>
    <w:rsid w:val="0055004D"/>
    <w:rsid w:val="0055007A"/>
    <w:rsid w:val="00550093"/>
    <w:rsid w:val="005500F1"/>
    <w:rsid w:val="005500F2"/>
    <w:rsid w:val="0055017E"/>
    <w:rsid w:val="00550242"/>
    <w:rsid w:val="0055026C"/>
    <w:rsid w:val="0055027F"/>
    <w:rsid w:val="00550313"/>
    <w:rsid w:val="005503D2"/>
    <w:rsid w:val="005503EF"/>
    <w:rsid w:val="0055044E"/>
    <w:rsid w:val="00550493"/>
    <w:rsid w:val="00550558"/>
    <w:rsid w:val="005505B2"/>
    <w:rsid w:val="00550600"/>
    <w:rsid w:val="00550713"/>
    <w:rsid w:val="0055072F"/>
    <w:rsid w:val="00550759"/>
    <w:rsid w:val="005507AB"/>
    <w:rsid w:val="005507C9"/>
    <w:rsid w:val="005508AF"/>
    <w:rsid w:val="005508CB"/>
    <w:rsid w:val="005508CD"/>
    <w:rsid w:val="005508E9"/>
    <w:rsid w:val="0055096B"/>
    <w:rsid w:val="005509A5"/>
    <w:rsid w:val="00550AE9"/>
    <w:rsid w:val="00550B70"/>
    <w:rsid w:val="00550B77"/>
    <w:rsid w:val="00550B94"/>
    <w:rsid w:val="00550BB9"/>
    <w:rsid w:val="00550C0F"/>
    <w:rsid w:val="00550C7A"/>
    <w:rsid w:val="00550CCD"/>
    <w:rsid w:val="00550D35"/>
    <w:rsid w:val="00550E68"/>
    <w:rsid w:val="00550FAE"/>
    <w:rsid w:val="00550FEB"/>
    <w:rsid w:val="00550FFD"/>
    <w:rsid w:val="0055100F"/>
    <w:rsid w:val="005510C9"/>
    <w:rsid w:val="005510D5"/>
    <w:rsid w:val="005510DF"/>
    <w:rsid w:val="005510E1"/>
    <w:rsid w:val="00551155"/>
    <w:rsid w:val="00551184"/>
    <w:rsid w:val="005511C4"/>
    <w:rsid w:val="00551243"/>
    <w:rsid w:val="00551259"/>
    <w:rsid w:val="0055126D"/>
    <w:rsid w:val="00551299"/>
    <w:rsid w:val="00551315"/>
    <w:rsid w:val="0055139C"/>
    <w:rsid w:val="005513CE"/>
    <w:rsid w:val="005513DA"/>
    <w:rsid w:val="005513EA"/>
    <w:rsid w:val="005513F8"/>
    <w:rsid w:val="00551408"/>
    <w:rsid w:val="00551420"/>
    <w:rsid w:val="0055149D"/>
    <w:rsid w:val="005514F6"/>
    <w:rsid w:val="00551532"/>
    <w:rsid w:val="00551552"/>
    <w:rsid w:val="0055155E"/>
    <w:rsid w:val="00551592"/>
    <w:rsid w:val="005515BE"/>
    <w:rsid w:val="00551611"/>
    <w:rsid w:val="005516A4"/>
    <w:rsid w:val="005516A9"/>
    <w:rsid w:val="005516D0"/>
    <w:rsid w:val="005517BD"/>
    <w:rsid w:val="0055184C"/>
    <w:rsid w:val="005518B0"/>
    <w:rsid w:val="005518E0"/>
    <w:rsid w:val="0055195C"/>
    <w:rsid w:val="00551A17"/>
    <w:rsid w:val="00551AA3"/>
    <w:rsid w:val="00551C6E"/>
    <w:rsid w:val="00551C8D"/>
    <w:rsid w:val="00551D4E"/>
    <w:rsid w:val="00551D62"/>
    <w:rsid w:val="00551D87"/>
    <w:rsid w:val="00551E9C"/>
    <w:rsid w:val="00551EC5"/>
    <w:rsid w:val="00551F3B"/>
    <w:rsid w:val="00551F59"/>
    <w:rsid w:val="00551FA5"/>
    <w:rsid w:val="00551FD3"/>
    <w:rsid w:val="00551FEC"/>
    <w:rsid w:val="00551FED"/>
    <w:rsid w:val="00552005"/>
    <w:rsid w:val="0055201C"/>
    <w:rsid w:val="0055204B"/>
    <w:rsid w:val="00552077"/>
    <w:rsid w:val="00552095"/>
    <w:rsid w:val="005520C3"/>
    <w:rsid w:val="005520E1"/>
    <w:rsid w:val="00552129"/>
    <w:rsid w:val="0055212A"/>
    <w:rsid w:val="00552153"/>
    <w:rsid w:val="0055217F"/>
    <w:rsid w:val="00552180"/>
    <w:rsid w:val="005521F3"/>
    <w:rsid w:val="005521FB"/>
    <w:rsid w:val="00552210"/>
    <w:rsid w:val="005523ED"/>
    <w:rsid w:val="0055246C"/>
    <w:rsid w:val="00552499"/>
    <w:rsid w:val="005524FA"/>
    <w:rsid w:val="00552553"/>
    <w:rsid w:val="0055259C"/>
    <w:rsid w:val="005525BB"/>
    <w:rsid w:val="005525C4"/>
    <w:rsid w:val="005525F0"/>
    <w:rsid w:val="005525F4"/>
    <w:rsid w:val="00552605"/>
    <w:rsid w:val="00552626"/>
    <w:rsid w:val="00552628"/>
    <w:rsid w:val="0055263E"/>
    <w:rsid w:val="0055266B"/>
    <w:rsid w:val="00552699"/>
    <w:rsid w:val="005526AD"/>
    <w:rsid w:val="005526DB"/>
    <w:rsid w:val="005526F7"/>
    <w:rsid w:val="00552748"/>
    <w:rsid w:val="00552761"/>
    <w:rsid w:val="00552798"/>
    <w:rsid w:val="00552899"/>
    <w:rsid w:val="005528A7"/>
    <w:rsid w:val="005528BE"/>
    <w:rsid w:val="005528E5"/>
    <w:rsid w:val="00552946"/>
    <w:rsid w:val="0055294D"/>
    <w:rsid w:val="00552954"/>
    <w:rsid w:val="0055295B"/>
    <w:rsid w:val="005529A9"/>
    <w:rsid w:val="00552A7E"/>
    <w:rsid w:val="00552AD3"/>
    <w:rsid w:val="00552B18"/>
    <w:rsid w:val="00552B32"/>
    <w:rsid w:val="00552BBE"/>
    <w:rsid w:val="00552C58"/>
    <w:rsid w:val="00552C60"/>
    <w:rsid w:val="00552CC2"/>
    <w:rsid w:val="00552CC8"/>
    <w:rsid w:val="00552CED"/>
    <w:rsid w:val="00552D51"/>
    <w:rsid w:val="00552DBF"/>
    <w:rsid w:val="00552E4F"/>
    <w:rsid w:val="00552E70"/>
    <w:rsid w:val="00552E71"/>
    <w:rsid w:val="00552E75"/>
    <w:rsid w:val="00552E78"/>
    <w:rsid w:val="00552E92"/>
    <w:rsid w:val="00552E9A"/>
    <w:rsid w:val="00552F88"/>
    <w:rsid w:val="00552FDD"/>
    <w:rsid w:val="00553013"/>
    <w:rsid w:val="00553041"/>
    <w:rsid w:val="00553099"/>
    <w:rsid w:val="00553116"/>
    <w:rsid w:val="00553138"/>
    <w:rsid w:val="00553147"/>
    <w:rsid w:val="00553169"/>
    <w:rsid w:val="0055318F"/>
    <w:rsid w:val="005531AA"/>
    <w:rsid w:val="005531C9"/>
    <w:rsid w:val="00553229"/>
    <w:rsid w:val="0055322F"/>
    <w:rsid w:val="0055324B"/>
    <w:rsid w:val="005532A2"/>
    <w:rsid w:val="005532EB"/>
    <w:rsid w:val="00553335"/>
    <w:rsid w:val="0055340D"/>
    <w:rsid w:val="00553472"/>
    <w:rsid w:val="0055350C"/>
    <w:rsid w:val="00553563"/>
    <w:rsid w:val="0055357E"/>
    <w:rsid w:val="00553693"/>
    <w:rsid w:val="005536DB"/>
    <w:rsid w:val="005537F0"/>
    <w:rsid w:val="00553866"/>
    <w:rsid w:val="00553886"/>
    <w:rsid w:val="005538BA"/>
    <w:rsid w:val="005538BF"/>
    <w:rsid w:val="005538D6"/>
    <w:rsid w:val="00553913"/>
    <w:rsid w:val="0055391B"/>
    <w:rsid w:val="00553965"/>
    <w:rsid w:val="005539D3"/>
    <w:rsid w:val="00553AB5"/>
    <w:rsid w:val="00553B14"/>
    <w:rsid w:val="00553B1B"/>
    <w:rsid w:val="00553B56"/>
    <w:rsid w:val="00553B5A"/>
    <w:rsid w:val="00553BBD"/>
    <w:rsid w:val="00553C69"/>
    <w:rsid w:val="00553C8E"/>
    <w:rsid w:val="00553C9B"/>
    <w:rsid w:val="00553CA8"/>
    <w:rsid w:val="00553CE6"/>
    <w:rsid w:val="00553D33"/>
    <w:rsid w:val="00553DD5"/>
    <w:rsid w:val="00553E3F"/>
    <w:rsid w:val="00553E42"/>
    <w:rsid w:val="00553E63"/>
    <w:rsid w:val="00553E72"/>
    <w:rsid w:val="00553EFF"/>
    <w:rsid w:val="00553F2C"/>
    <w:rsid w:val="00553FBA"/>
    <w:rsid w:val="00554024"/>
    <w:rsid w:val="0055409D"/>
    <w:rsid w:val="00554255"/>
    <w:rsid w:val="005542D5"/>
    <w:rsid w:val="00554327"/>
    <w:rsid w:val="00554361"/>
    <w:rsid w:val="005543A8"/>
    <w:rsid w:val="005543DC"/>
    <w:rsid w:val="0055442A"/>
    <w:rsid w:val="0055443D"/>
    <w:rsid w:val="0055448E"/>
    <w:rsid w:val="00554525"/>
    <w:rsid w:val="005545A9"/>
    <w:rsid w:val="005545C3"/>
    <w:rsid w:val="00554626"/>
    <w:rsid w:val="00554654"/>
    <w:rsid w:val="005546D9"/>
    <w:rsid w:val="005546F2"/>
    <w:rsid w:val="00554709"/>
    <w:rsid w:val="00554761"/>
    <w:rsid w:val="00554802"/>
    <w:rsid w:val="00554826"/>
    <w:rsid w:val="00554837"/>
    <w:rsid w:val="0055483E"/>
    <w:rsid w:val="0055485E"/>
    <w:rsid w:val="0055486A"/>
    <w:rsid w:val="0055489C"/>
    <w:rsid w:val="005548B4"/>
    <w:rsid w:val="005548DE"/>
    <w:rsid w:val="00554930"/>
    <w:rsid w:val="005549E4"/>
    <w:rsid w:val="005549F0"/>
    <w:rsid w:val="00554A05"/>
    <w:rsid w:val="00554AD3"/>
    <w:rsid w:val="00554CD4"/>
    <w:rsid w:val="00554D6D"/>
    <w:rsid w:val="00554D82"/>
    <w:rsid w:val="00554DAD"/>
    <w:rsid w:val="00554DC2"/>
    <w:rsid w:val="00554E14"/>
    <w:rsid w:val="00554E24"/>
    <w:rsid w:val="00554E3F"/>
    <w:rsid w:val="00554EA8"/>
    <w:rsid w:val="00554ED6"/>
    <w:rsid w:val="00554EDF"/>
    <w:rsid w:val="00554F22"/>
    <w:rsid w:val="00554F95"/>
    <w:rsid w:val="00554FD9"/>
    <w:rsid w:val="00555013"/>
    <w:rsid w:val="00555082"/>
    <w:rsid w:val="0055509F"/>
    <w:rsid w:val="005550A3"/>
    <w:rsid w:val="005550B2"/>
    <w:rsid w:val="00555135"/>
    <w:rsid w:val="005551C9"/>
    <w:rsid w:val="005551EF"/>
    <w:rsid w:val="005551FE"/>
    <w:rsid w:val="00555209"/>
    <w:rsid w:val="0055524F"/>
    <w:rsid w:val="005552A1"/>
    <w:rsid w:val="005552CD"/>
    <w:rsid w:val="00555412"/>
    <w:rsid w:val="00555425"/>
    <w:rsid w:val="00555547"/>
    <w:rsid w:val="00555564"/>
    <w:rsid w:val="00555584"/>
    <w:rsid w:val="00555588"/>
    <w:rsid w:val="0055559B"/>
    <w:rsid w:val="005555D0"/>
    <w:rsid w:val="00555670"/>
    <w:rsid w:val="00555710"/>
    <w:rsid w:val="0055573F"/>
    <w:rsid w:val="00555805"/>
    <w:rsid w:val="0055580E"/>
    <w:rsid w:val="00555846"/>
    <w:rsid w:val="005558B2"/>
    <w:rsid w:val="005559A0"/>
    <w:rsid w:val="005559A3"/>
    <w:rsid w:val="005559C4"/>
    <w:rsid w:val="005559E1"/>
    <w:rsid w:val="005559E9"/>
    <w:rsid w:val="005559FB"/>
    <w:rsid w:val="00555A50"/>
    <w:rsid w:val="00555A5B"/>
    <w:rsid w:val="00555AB4"/>
    <w:rsid w:val="00555B5D"/>
    <w:rsid w:val="00555B86"/>
    <w:rsid w:val="00555B9C"/>
    <w:rsid w:val="00555D85"/>
    <w:rsid w:val="00555DC7"/>
    <w:rsid w:val="00555E23"/>
    <w:rsid w:val="00555F1E"/>
    <w:rsid w:val="00555F7E"/>
    <w:rsid w:val="00555F82"/>
    <w:rsid w:val="00555FEC"/>
    <w:rsid w:val="00555FF9"/>
    <w:rsid w:val="0055600A"/>
    <w:rsid w:val="00556053"/>
    <w:rsid w:val="00556096"/>
    <w:rsid w:val="0055613D"/>
    <w:rsid w:val="00556170"/>
    <w:rsid w:val="005561E7"/>
    <w:rsid w:val="005561E8"/>
    <w:rsid w:val="0055628D"/>
    <w:rsid w:val="0055632C"/>
    <w:rsid w:val="005563A0"/>
    <w:rsid w:val="00556407"/>
    <w:rsid w:val="0055649A"/>
    <w:rsid w:val="005564F1"/>
    <w:rsid w:val="005564FD"/>
    <w:rsid w:val="00556540"/>
    <w:rsid w:val="00556572"/>
    <w:rsid w:val="005565D4"/>
    <w:rsid w:val="00556701"/>
    <w:rsid w:val="0055676A"/>
    <w:rsid w:val="005567D1"/>
    <w:rsid w:val="00556832"/>
    <w:rsid w:val="00556884"/>
    <w:rsid w:val="00556895"/>
    <w:rsid w:val="005568C2"/>
    <w:rsid w:val="005568D9"/>
    <w:rsid w:val="00556925"/>
    <w:rsid w:val="0055694F"/>
    <w:rsid w:val="005569D6"/>
    <w:rsid w:val="00556A31"/>
    <w:rsid w:val="00556A5A"/>
    <w:rsid w:val="00556A89"/>
    <w:rsid w:val="00556B97"/>
    <w:rsid w:val="00556C19"/>
    <w:rsid w:val="00556C23"/>
    <w:rsid w:val="00556C58"/>
    <w:rsid w:val="00556C86"/>
    <w:rsid w:val="00556C8E"/>
    <w:rsid w:val="00556C9C"/>
    <w:rsid w:val="00556D6D"/>
    <w:rsid w:val="00556D7E"/>
    <w:rsid w:val="00556E60"/>
    <w:rsid w:val="00556E81"/>
    <w:rsid w:val="00556EBB"/>
    <w:rsid w:val="00556F85"/>
    <w:rsid w:val="0055702F"/>
    <w:rsid w:val="0055709E"/>
    <w:rsid w:val="005570B0"/>
    <w:rsid w:val="005570B7"/>
    <w:rsid w:val="0055711D"/>
    <w:rsid w:val="00557121"/>
    <w:rsid w:val="005571AC"/>
    <w:rsid w:val="005571FA"/>
    <w:rsid w:val="00557224"/>
    <w:rsid w:val="0055722A"/>
    <w:rsid w:val="005572D0"/>
    <w:rsid w:val="00557331"/>
    <w:rsid w:val="0055733A"/>
    <w:rsid w:val="0055739D"/>
    <w:rsid w:val="005573D0"/>
    <w:rsid w:val="00557497"/>
    <w:rsid w:val="005574B4"/>
    <w:rsid w:val="005574D6"/>
    <w:rsid w:val="005574FC"/>
    <w:rsid w:val="00557592"/>
    <w:rsid w:val="005575B5"/>
    <w:rsid w:val="005575BD"/>
    <w:rsid w:val="005575C1"/>
    <w:rsid w:val="00557668"/>
    <w:rsid w:val="00557691"/>
    <w:rsid w:val="005576A3"/>
    <w:rsid w:val="0055772E"/>
    <w:rsid w:val="0055772F"/>
    <w:rsid w:val="00557772"/>
    <w:rsid w:val="005577EA"/>
    <w:rsid w:val="00557813"/>
    <w:rsid w:val="00557853"/>
    <w:rsid w:val="0055785E"/>
    <w:rsid w:val="0055787D"/>
    <w:rsid w:val="0055797A"/>
    <w:rsid w:val="005579AB"/>
    <w:rsid w:val="005579C0"/>
    <w:rsid w:val="00557A11"/>
    <w:rsid w:val="00557B08"/>
    <w:rsid w:val="00557B6B"/>
    <w:rsid w:val="00557BDC"/>
    <w:rsid w:val="00557D0E"/>
    <w:rsid w:val="00557D56"/>
    <w:rsid w:val="00557E60"/>
    <w:rsid w:val="00557EC5"/>
    <w:rsid w:val="00557F6D"/>
    <w:rsid w:val="00557FCE"/>
    <w:rsid w:val="00557FE8"/>
    <w:rsid w:val="005600E3"/>
    <w:rsid w:val="005600EB"/>
    <w:rsid w:val="005600EF"/>
    <w:rsid w:val="0056013F"/>
    <w:rsid w:val="00560225"/>
    <w:rsid w:val="0056023D"/>
    <w:rsid w:val="0056026D"/>
    <w:rsid w:val="005602E0"/>
    <w:rsid w:val="00560364"/>
    <w:rsid w:val="005603BD"/>
    <w:rsid w:val="00560452"/>
    <w:rsid w:val="00560516"/>
    <w:rsid w:val="00560559"/>
    <w:rsid w:val="00560568"/>
    <w:rsid w:val="0056056B"/>
    <w:rsid w:val="005605D0"/>
    <w:rsid w:val="005605E8"/>
    <w:rsid w:val="005605F7"/>
    <w:rsid w:val="005606B2"/>
    <w:rsid w:val="005606F1"/>
    <w:rsid w:val="00560744"/>
    <w:rsid w:val="005607A0"/>
    <w:rsid w:val="00560801"/>
    <w:rsid w:val="00560859"/>
    <w:rsid w:val="00560861"/>
    <w:rsid w:val="005608A3"/>
    <w:rsid w:val="005608C3"/>
    <w:rsid w:val="00560952"/>
    <w:rsid w:val="0056097C"/>
    <w:rsid w:val="0056097E"/>
    <w:rsid w:val="00560996"/>
    <w:rsid w:val="005609A7"/>
    <w:rsid w:val="005609BD"/>
    <w:rsid w:val="00560A4B"/>
    <w:rsid w:val="00560A73"/>
    <w:rsid w:val="00560A8B"/>
    <w:rsid w:val="00560ADB"/>
    <w:rsid w:val="00560C0C"/>
    <w:rsid w:val="00560C7F"/>
    <w:rsid w:val="00560CC5"/>
    <w:rsid w:val="00560CC7"/>
    <w:rsid w:val="00560D28"/>
    <w:rsid w:val="00560D35"/>
    <w:rsid w:val="00560D51"/>
    <w:rsid w:val="00560DA3"/>
    <w:rsid w:val="00560DEA"/>
    <w:rsid w:val="00560E0C"/>
    <w:rsid w:val="00560E4E"/>
    <w:rsid w:val="00560E5E"/>
    <w:rsid w:val="00560E71"/>
    <w:rsid w:val="00560EAE"/>
    <w:rsid w:val="00560F66"/>
    <w:rsid w:val="00560F6C"/>
    <w:rsid w:val="00560F7C"/>
    <w:rsid w:val="00560FA2"/>
    <w:rsid w:val="0056105A"/>
    <w:rsid w:val="005610B7"/>
    <w:rsid w:val="0056111E"/>
    <w:rsid w:val="0056114D"/>
    <w:rsid w:val="0056118D"/>
    <w:rsid w:val="00561192"/>
    <w:rsid w:val="005611EC"/>
    <w:rsid w:val="0056129A"/>
    <w:rsid w:val="00561398"/>
    <w:rsid w:val="005613AC"/>
    <w:rsid w:val="005613C3"/>
    <w:rsid w:val="005613CF"/>
    <w:rsid w:val="0056140D"/>
    <w:rsid w:val="005614A4"/>
    <w:rsid w:val="005614A6"/>
    <w:rsid w:val="005614D4"/>
    <w:rsid w:val="005614EC"/>
    <w:rsid w:val="00561589"/>
    <w:rsid w:val="005615DC"/>
    <w:rsid w:val="005616C8"/>
    <w:rsid w:val="005616EF"/>
    <w:rsid w:val="0056170E"/>
    <w:rsid w:val="00561777"/>
    <w:rsid w:val="0056178F"/>
    <w:rsid w:val="005617C0"/>
    <w:rsid w:val="00561817"/>
    <w:rsid w:val="00561821"/>
    <w:rsid w:val="005618BF"/>
    <w:rsid w:val="005618D9"/>
    <w:rsid w:val="005618EF"/>
    <w:rsid w:val="00561A08"/>
    <w:rsid w:val="00561B21"/>
    <w:rsid w:val="00561B69"/>
    <w:rsid w:val="00561BA1"/>
    <w:rsid w:val="00561C28"/>
    <w:rsid w:val="00561C65"/>
    <w:rsid w:val="00561CBB"/>
    <w:rsid w:val="00561CE7"/>
    <w:rsid w:val="00561D1A"/>
    <w:rsid w:val="00561D66"/>
    <w:rsid w:val="00561D8B"/>
    <w:rsid w:val="00561DC1"/>
    <w:rsid w:val="00561E17"/>
    <w:rsid w:val="00561E5D"/>
    <w:rsid w:val="00561EE4"/>
    <w:rsid w:val="00561FCB"/>
    <w:rsid w:val="0056207F"/>
    <w:rsid w:val="005620B6"/>
    <w:rsid w:val="005620C9"/>
    <w:rsid w:val="00562136"/>
    <w:rsid w:val="0056217D"/>
    <w:rsid w:val="005621E7"/>
    <w:rsid w:val="00562214"/>
    <w:rsid w:val="00562244"/>
    <w:rsid w:val="0056224D"/>
    <w:rsid w:val="005622D2"/>
    <w:rsid w:val="0056234B"/>
    <w:rsid w:val="005623C7"/>
    <w:rsid w:val="005623FB"/>
    <w:rsid w:val="00562431"/>
    <w:rsid w:val="005625DF"/>
    <w:rsid w:val="005626D2"/>
    <w:rsid w:val="005626F6"/>
    <w:rsid w:val="0056274F"/>
    <w:rsid w:val="00562766"/>
    <w:rsid w:val="0056276E"/>
    <w:rsid w:val="00562779"/>
    <w:rsid w:val="005627B7"/>
    <w:rsid w:val="00562839"/>
    <w:rsid w:val="0056284D"/>
    <w:rsid w:val="0056285C"/>
    <w:rsid w:val="00562880"/>
    <w:rsid w:val="005628AD"/>
    <w:rsid w:val="00562964"/>
    <w:rsid w:val="005629A0"/>
    <w:rsid w:val="00562A48"/>
    <w:rsid w:val="00562B0A"/>
    <w:rsid w:val="00562B8C"/>
    <w:rsid w:val="00562CDB"/>
    <w:rsid w:val="00562CE2"/>
    <w:rsid w:val="00562D12"/>
    <w:rsid w:val="00562DBA"/>
    <w:rsid w:val="00562DC8"/>
    <w:rsid w:val="00562DF1"/>
    <w:rsid w:val="00562E22"/>
    <w:rsid w:val="00562E3D"/>
    <w:rsid w:val="00562EBD"/>
    <w:rsid w:val="00562ED2"/>
    <w:rsid w:val="00562FFA"/>
    <w:rsid w:val="00562FFD"/>
    <w:rsid w:val="00563004"/>
    <w:rsid w:val="00563019"/>
    <w:rsid w:val="0056303B"/>
    <w:rsid w:val="0056305C"/>
    <w:rsid w:val="00563081"/>
    <w:rsid w:val="0056308B"/>
    <w:rsid w:val="005630AC"/>
    <w:rsid w:val="005630CC"/>
    <w:rsid w:val="005630F0"/>
    <w:rsid w:val="00563212"/>
    <w:rsid w:val="0056323B"/>
    <w:rsid w:val="005632A6"/>
    <w:rsid w:val="00563309"/>
    <w:rsid w:val="00563337"/>
    <w:rsid w:val="005633BD"/>
    <w:rsid w:val="005633EE"/>
    <w:rsid w:val="005633F4"/>
    <w:rsid w:val="005634C2"/>
    <w:rsid w:val="005634D5"/>
    <w:rsid w:val="005634ED"/>
    <w:rsid w:val="00563505"/>
    <w:rsid w:val="00563577"/>
    <w:rsid w:val="005635E6"/>
    <w:rsid w:val="00563639"/>
    <w:rsid w:val="005636D3"/>
    <w:rsid w:val="005636E7"/>
    <w:rsid w:val="005637AF"/>
    <w:rsid w:val="00563892"/>
    <w:rsid w:val="005638B1"/>
    <w:rsid w:val="00563913"/>
    <w:rsid w:val="0056392F"/>
    <w:rsid w:val="0056393F"/>
    <w:rsid w:val="00563946"/>
    <w:rsid w:val="00563979"/>
    <w:rsid w:val="00563A31"/>
    <w:rsid w:val="00563A3E"/>
    <w:rsid w:val="00563B12"/>
    <w:rsid w:val="00563B64"/>
    <w:rsid w:val="00563B6B"/>
    <w:rsid w:val="00563C20"/>
    <w:rsid w:val="00563C21"/>
    <w:rsid w:val="00563C80"/>
    <w:rsid w:val="00563D2D"/>
    <w:rsid w:val="00563D92"/>
    <w:rsid w:val="00563DCE"/>
    <w:rsid w:val="00563E69"/>
    <w:rsid w:val="00563EB8"/>
    <w:rsid w:val="00563FD3"/>
    <w:rsid w:val="00564020"/>
    <w:rsid w:val="00564045"/>
    <w:rsid w:val="005640C2"/>
    <w:rsid w:val="005641A3"/>
    <w:rsid w:val="005641B5"/>
    <w:rsid w:val="00564244"/>
    <w:rsid w:val="00564254"/>
    <w:rsid w:val="005642A8"/>
    <w:rsid w:val="0056430B"/>
    <w:rsid w:val="00564313"/>
    <w:rsid w:val="0056431D"/>
    <w:rsid w:val="0056439D"/>
    <w:rsid w:val="005643BB"/>
    <w:rsid w:val="005643D9"/>
    <w:rsid w:val="0056446A"/>
    <w:rsid w:val="00564486"/>
    <w:rsid w:val="005644B9"/>
    <w:rsid w:val="005644D7"/>
    <w:rsid w:val="005644F4"/>
    <w:rsid w:val="005644FF"/>
    <w:rsid w:val="00564535"/>
    <w:rsid w:val="005645A5"/>
    <w:rsid w:val="005645CF"/>
    <w:rsid w:val="00564632"/>
    <w:rsid w:val="00564639"/>
    <w:rsid w:val="0056464A"/>
    <w:rsid w:val="00564733"/>
    <w:rsid w:val="00564748"/>
    <w:rsid w:val="0056488A"/>
    <w:rsid w:val="0056489C"/>
    <w:rsid w:val="005648A4"/>
    <w:rsid w:val="005648DB"/>
    <w:rsid w:val="00564926"/>
    <w:rsid w:val="00564940"/>
    <w:rsid w:val="00564AB5"/>
    <w:rsid w:val="00564AEC"/>
    <w:rsid w:val="00564B1B"/>
    <w:rsid w:val="00564BC3"/>
    <w:rsid w:val="00564BCA"/>
    <w:rsid w:val="00564C2B"/>
    <w:rsid w:val="00564CAA"/>
    <w:rsid w:val="00564D67"/>
    <w:rsid w:val="00564DA4"/>
    <w:rsid w:val="00564DD0"/>
    <w:rsid w:val="00564DDD"/>
    <w:rsid w:val="00564E54"/>
    <w:rsid w:val="00564FCA"/>
    <w:rsid w:val="00564FDD"/>
    <w:rsid w:val="00564FFA"/>
    <w:rsid w:val="00565024"/>
    <w:rsid w:val="0056502B"/>
    <w:rsid w:val="00565030"/>
    <w:rsid w:val="00565073"/>
    <w:rsid w:val="00565082"/>
    <w:rsid w:val="0056508C"/>
    <w:rsid w:val="005650D7"/>
    <w:rsid w:val="0056512C"/>
    <w:rsid w:val="0056521A"/>
    <w:rsid w:val="0056528E"/>
    <w:rsid w:val="005652AD"/>
    <w:rsid w:val="005652AF"/>
    <w:rsid w:val="00565348"/>
    <w:rsid w:val="00565390"/>
    <w:rsid w:val="005653B9"/>
    <w:rsid w:val="00565448"/>
    <w:rsid w:val="00565481"/>
    <w:rsid w:val="00565482"/>
    <w:rsid w:val="005654B7"/>
    <w:rsid w:val="005654DE"/>
    <w:rsid w:val="00565504"/>
    <w:rsid w:val="0056551B"/>
    <w:rsid w:val="00565577"/>
    <w:rsid w:val="005655DC"/>
    <w:rsid w:val="00565611"/>
    <w:rsid w:val="0056563C"/>
    <w:rsid w:val="005656B6"/>
    <w:rsid w:val="005656DF"/>
    <w:rsid w:val="00565867"/>
    <w:rsid w:val="005658F8"/>
    <w:rsid w:val="00565976"/>
    <w:rsid w:val="00565A3B"/>
    <w:rsid w:val="00565A83"/>
    <w:rsid w:val="00565AE2"/>
    <w:rsid w:val="00565AE8"/>
    <w:rsid w:val="00565AF3"/>
    <w:rsid w:val="00565B37"/>
    <w:rsid w:val="00565BB8"/>
    <w:rsid w:val="00565BE0"/>
    <w:rsid w:val="00565BF1"/>
    <w:rsid w:val="00565BF8"/>
    <w:rsid w:val="00565CB7"/>
    <w:rsid w:val="00565D9D"/>
    <w:rsid w:val="00565DAA"/>
    <w:rsid w:val="00565DFF"/>
    <w:rsid w:val="00565E5F"/>
    <w:rsid w:val="00565E8B"/>
    <w:rsid w:val="00565EA5"/>
    <w:rsid w:val="00565F60"/>
    <w:rsid w:val="0056605E"/>
    <w:rsid w:val="00566064"/>
    <w:rsid w:val="00566072"/>
    <w:rsid w:val="00566076"/>
    <w:rsid w:val="005660A3"/>
    <w:rsid w:val="005660C8"/>
    <w:rsid w:val="005660DC"/>
    <w:rsid w:val="005660F4"/>
    <w:rsid w:val="005661B5"/>
    <w:rsid w:val="00566202"/>
    <w:rsid w:val="005662AE"/>
    <w:rsid w:val="00566326"/>
    <w:rsid w:val="0056645B"/>
    <w:rsid w:val="0056646D"/>
    <w:rsid w:val="005664DC"/>
    <w:rsid w:val="0056654F"/>
    <w:rsid w:val="0056655A"/>
    <w:rsid w:val="005665A0"/>
    <w:rsid w:val="005665DE"/>
    <w:rsid w:val="00566633"/>
    <w:rsid w:val="00566693"/>
    <w:rsid w:val="005666E2"/>
    <w:rsid w:val="00566727"/>
    <w:rsid w:val="00566743"/>
    <w:rsid w:val="00566765"/>
    <w:rsid w:val="0056676D"/>
    <w:rsid w:val="0056677C"/>
    <w:rsid w:val="00566879"/>
    <w:rsid w:val="0056688F"/>
    <w:rsid w:val="00566954"/>
    <w:rsid w:val="00566969"/>
    <w:rsid w:val="00566A19"/>
    <w:rsid w:val="00566A27"/>
    <w:rsid w:val="00566A4B"/>
    <w:rsid w:val="00566A9A"/>
    <w:rsid w:val="00566AB0"/>
    <w:rsid w:val="00566AC0"/>
    <w:rsid w:val="00566B28"/>
    <w:rsid w:val="00566B4D"/>
    <w:rsid w:val="00566B58"/>
    <w:rsid w:val="00566BB1"/>
    <w:rsid w:val="00566BD4"/>
    <w:rsid w:val="00566BE4"/>
    <w:rsid w:val="00566BEE"/>
    <w:rsid w:val="00566C44"/>
    <w:rsid w:val="00566C49"/>
    <w:rsid w:val="00566CC7"/>
    <w:rsid w:val="00566D38"/>
    <w:rsid w:val="00566D4B"/>
    <w:rsid w:val="00566D7A"/>
    <w:rsid w:val="00566DFF"/>
    <w:rsid w:val="00566EE6"/>
    <w:rsid w:val="00566EE8"/>
    <w:rsid w:val="00566F04"/>
    <w:rsid w:val="00566F88"/>
    <w:rsid w:val="00566F9B"/>
    <w:rsid w:val="00566FA6"/>
    <w:rsid w:val="00566FFE"/>
    <w:rsid w:val="00567004"/>
    <w:rsid w:val="0056700B"/>
    <w:rsid w:val="0056703E"/>
    <w:rsid w:val="0056704A"/>
    <w:rsid w:val="0056706E"/>
    <w:rsid w:val="00567092"/>
    <w:rsid w:val="0056709D"/>
    <w:rsid w:val="005671D7"/>
    <w:rsid w:val="0056724E"/>
    <w:rsid w:val="0056726A"/>
    <w:rsid w:val="005672CE"/>
    <w:rsid w:val="0056731E"/>
    <w:rsid w:val="00567323"/>
    <w:rsid w:val="005673CC"/>
    <w:rsid w:val="0056742A"/>
    <w:rsid w:val="005674BC"/>
    <w:rsid w:val="005674C5"/>
    <w:rsid w:val="005674F2"/>
    <w:rsid w:val="00567565"/>
    <w:rsid w:val="00567606"/>
    <w:rsid w:val="00567637"/>
    <w:rsid w:val="00567676"/>
    <w:rsid w:val="0056768B"/>
    <w:rsid w:val="005676C3"/>
    <w:rsid w:val="005676D4"/>
    <w:rsid w:val="00567702"/>
    <w:rsid w:val="00567782"/>
    <w:rsid w:val="005677BA"/>
    <w:rsid w:val="005677C4"/>
    <w:rsid w:val="005677CE"/>
    <w:rsid w:val="00567864"/>
    <w:rsid w:val="005678E7"/>
    <w:rsid w:val="005678F6"/>
    <w:rsid w:val="00567960"/>
    <w:rsid w:val="005679D6"/>
    <w:rsid w:val="00567A6A"/>
    <w:rsid w:val="00567A96"/>
    <w:rsid w:val="00567ACC"/>
    <w:rsid w:val="00567B3F"/>
    <w:rsid w:val="00567B6C"/>
    <w:rsid w:val="00567B8E"/>
    <w:rsid w:val="00567BC0"/>
    <w:rsid w:val="00567BDE"/>
    <w:rsid w:val="00567BEA"/>
    <w:rsid w:val="00567C10"/>
    <w:rsid w:val="00567CBA"/>
    <w:rsid w:val="00567D7A"/>
    <w:rsid w:val="00567D88"/>
    <w:rsid w:val="00567E78"/>
    <w:rsid w:val="00567E93"/>
    <w:rsid w:val="00567EB1"/>
    <w:rsid w:val="00567EF3"/>
    <w:rsid w:val="00567F8C"/>
    <w:rsid w:val="00567F92"/>
    <w:rsid w:val="00567F99"/>
    <w:rsid w:val="00570000"/>
    <w:rsid w:val="00570056"/>
    <w:rsid w:val="0057007B"/>
    <w:rsid w:val="005700C1"/>
    <w:rsid w:val="005700F2"/>
    <w:rsid w:val="00570102"/>
    <w:rsid w:val="0057015A"/>
    <w:rsid w:val="005701C2"/>
    <w:rsid w:val="00570286"/>
    <w:rsid w:val="0057029E"/>
    <w:rsid w:val="005702B0"/>
    <w:rsid w:val="005702B3"/>
    <w:rsid w:val="0057032B"/>
    <w:rsid w:val="0057039A"/>
    <w:rsid w:val="00570412"/>
    <w:rsid w:val="00570444"/>
    <w:rsid w:val="00570477"/>
    <w:rsid w:val="005704BC"/>
    <w:rsid w:val="005704EA"/>
    <w:rsid w:val="0057066F"/>
    <w:rsid w:val="005706DE"/>
    <w:rsid w:val="0057072C"/>
    <w:rsid w:val="00570747"/>
    <w:rsid w:val="00570794"/>
    <w:rsid w:val="005707AC"/>
    <w:rsid w:val="005707C1"/>
    <w:rsid w:val="00570880"/>
    <w:rsid w:val="00570913"/>
    <w:rsid w:val="00570938"/>
    <w:rsid w:val="00570973"/>
    <w:rsid w:val="00570A42"/>
    <w:rsid w:val="00570AB5"/>
    <w:rsid w:val="00570B21"/>
    <w:rsid w:val="00570B65"/>
    <w:rsid w:val="00570BE8"/>
    <w:rsid w:val="00570C15"/>
    <w:rsid w:val="00570C28"/>
    <w:rsid w:val="00570C2B"/>
    <w:rsid w:val="00570C37"/>
    <w:rsid w:val="00570C81"/>
    <w:rsid w:val="00570CCF"/>
    <w:rsid w:val="00570CE8"/>
    <w:rsid w:val="00570D6E"/>
    <w:rsid w:val="00570D9B"/>
    <w:rsid w:val="00570E52"/>
    <w:rsid w:val="00570E62"/>
    <w:rsid w:val="00570E6B"/>
    <w:rsid w:val="00570E7C"/>
    <w:rsid w:val="00570F1B"/>
    <w:rsid w:val="00570F79"/>
    <w:rsid w:val="00570FC8"/>
    <w:rsid w:val="0057102C"/>
    <w:rsid w:val="00571035"/>
    <w:rsid w:val="00571038"/>
    <w:rsid w:val="005710B8"/>
    <w:rsid w:val="005710F0"/>
    <w:rsid w:val="0057111F"/>
    <w:rsid w:val="0057118E"/>
    <w:rsid w:val="005713A3"/>
    <w:rsid w:val="00571403"/>
    <w:rsid w:val="005714A6"/>
    <w:rsid w:val="005714CF"/>
    <w:rsid w:val="005714DE"/>
    <w:rsid w:val="005715B2"/>
    <w:rsid w:val="005715F8"/>
    <w:rsid w:val="00571662"/>
    <w:rsid w:val="00571700"/>
    <w:rsid w:val="005717A8"/>
    <w:rsid w:val="0057187D"/>
    <w:rsid w:val="00571908"/>
    <w:rsid w:val="00571994"/>
    <w:rsid w:val="00571999"/>
    <w:rsid w:val="005719B9"/>
    <w:rsid w:val="00571A61"/>
    <w:rsid w:val="00571ADD"/>
    <w:rsid w:val="00571B7C"/>
    <w:rsid w:val="00571C05"/>
    <w:rsid w:val="00571C75"/>
    <w:rsid w:val="00571C88"/>
    <w:rsid w:val="00571CA4"/>
    <w:rsid w:val="00571D00"/>
    <w:rsid w:val="00571D19"/>
    <w:rsid w:val="00571D35"/>
    <w:rsid w:val="00571DA7"/>
    <w:rsid w:val="00571DF9"/>
    <w:rsid w:val="00571E8B"/>
    <w:rsid w:val="00571E8F"/>
    <w:rsid w:val="00571EE1"/>
    <w:rsid w:val="00571F4D"/>
    <w:rsid w:val="00571FEC"/>
    <w:rsid w:val="00572015"/>
    <w:rsid w:val="005720C4"/>
    <w:rsid w:val="00572215"/>
    <w:rsid w:val="00572300"/>
    <w:rsid w:val="00572436"/>
    <w:rsid w:val="0057244B"/>
    <w:rsid w:val="00572458"/>
    <w:rsid w:val="00572488"/>
    <w:rsid w:val="005724C8"/>
    <w:rsid w:val="0057250C"/>
    <w:rsid w:val="0057253F"/>
    <w:rsid w:val="0057255B"/>
    <w:rsid w:val="00572579"/>
    <w:rsid w:val="0057258A"/>
    <w:rsid w:val="0057258B"/>
    <w:rsid w:val="00572606"/>
    <w:rsid w:val="00572667"/>
    <w:rsid w:val="0057266C"/>
    <w:rsid w:val="00572695"/>
    <w:rsid w:val="005726CC"/>
    <w:rsid w:val="00572706"/>
    <w:rsid w:val="0057275F"/>
    <w:rsid w:val="00572792"/>
    <w:rsid w:val="005727CB"/>
    <w:rsid w:val="0057285E"/>
    <w:rsid w:val="00572888"/>
    <w:rsid w:val="005728C8"/>
    <w:rsid w:val="005728FB"/>
    <w:rsid w:val="0057290F"/>
    <w:rsid w:val="00572A16"/>
    <w:rsid w:val="00572BD4"/>
    <w:rsid w:val="00572C17"/>
    <w:rsid w:val="00572C20"/>
    <w:rsid w:val="00572C38"/>
    <w:rsid w:val="00572C5D"/>
    <w:rsid w:val="00572CD5"/>
    <w:rsid w:val="00572D28"/>
    <w:rsid w:val="00572DB5"/>
    <w:rsid w:val="00572E69"/>
    <w:rsid w:val="00572E86"/>
    <w:rsid w:val="00572E94"/>
    <w:rsid w:val="00572E9F"/>
    <w:rsid w:val="00572ECF"/>
    <w:rsid w:val="00572EF8"/>
    <w:rsid w:val="0057302D"/>
    <w:rsid w:val="0057304B"/>
    <w:rsid w:val="005730A6"/>
    <w:rsid w:val="005730D1"/>
    <w:rsid w:val="005730E9"/>
    <w:rsid w:val="005730FE"/>
    <w:rsid w:val="00573129"/>
    <w:rsid w:val="005731C9"/>
    <w:rsid w:val="0057322C"/>
    <w:rsid w:val="00573246"/>
    <w:rsid w:val="00573392"/>
    <w:rsid w:val="00573420"/>
    <w:rsid w:val="0057342D"/>
    <w:rsid w:val="0057344F"/>
    <w:rsid w:val="005734AA"/>
    <w:rsid w:val="005734D0"/>
    <w:rsid w:val="0057354C"/>
    <w:rsid w:val="00573552"/>
    <w:rsid w:val="0057360C"/>
    <w:rsid w:val="00573610"/>
    <w:rsid w:val="005736EF"/>
    <w:rsid w:val="005736F9"/>
    <w:rsid w:val="005737A0"/>
    <w:rsid w:val="005737AE"/>
    <w:rsid w:val="005737B6"/>
    <w:rsid w:val="0057380F"/>
    <w:rsid w:val="005738D2"/>
    <w:rsid w:val="0057397D"/>
    <w:rsid w:val="005739C2"/>
    <w:rsid w:val="005739D4"/>
    <w:rsid w:val="005739E1"/>
    <w:rsid w:val="00573A0C"/>
    <w:rsid w:val="00573B2F"/>
    <w:rsid w:val="00573BCC"/>
    <w:rsid w:val="00573C97"/>
    <w:rsid w:val="00573D1F"/>
    <w:rsid w:val="00573E23"/>
    <w:rsid w:val="00573E4C"/>
    <w:rsid w:val="00573EA1"/>
    <w:rsid w:val="00573EB9"/>
    <w:rsid w:val="00573ECF"/>
    <w:rsid w:val="00573F51"/>
    <w:rsid w:val="00573F71"/>
    <w:rsid w:val="00573FBF"/>
    <w:rsid w:val="00574053"/>
    <w:rsid w:val="00574065"/>
    <w:rsid w:val="00574086"/>
    <w:rsid w:val="00574107"/>
    <w:rsid w:val="00574146"/>
    <w:rsid w:val="00574184"/>
    <w:rsid w:val="0057421D"/>
    <w:rsid w:val="0057427D"/>
    <w:rsid w:val="005742EC"/>
    <w:rsid w:val="0057435E"/>
    <w:rsid w:val="00574362"/>
    <w:rsid w:val="00574368"/>
    <w:rsid w:val="00574394"/>
    <w:rsid w:val="005743EE"/>
    <w:rsid w:val="00574460"/>
    <w:rsid w:val="0057446C"/>
    <w:rsid w:val="005744B0"/>
    <w:rsid w:val="00574569"/>
    <w:rsid w:val="0057457B"/>
    <w:rsid w:val="0057458C"/>
    <w:rsid w:val="005745EF"/>
    <w:rsid w:val="00574634"/>
    <w:rsid w:val="0057463E"/>
    <w:rsid w:val="00574668"/>
    <w:rsid w:val="00574672"/>
    <w:rsid w:val="005746FA"/>
    <w:rsid w:val="00574755"/>
    <w:rsid w:val="0057478A"/>
    <w:rsid w:val="005747B8"/>
    <w:rsid w:val="005747E2"/>
    <w:rsid w:val="00574828"/>
    <w:rsid w:val="0057486B"/>
    <w:rsid w:val="0057488C"/>
    <w:rsid w:val="005748FE"/>
    <w:rsid w:val="00574912"/>
    <w:rsid w:val="00574A3F"/>
    <w:rsid w:val="00574A5B"/>
    <w:rsid w:val="00574A61"/>
    <w:rsid w:val="00574A70"/>
    <w:rsid w:val="00574AE6"/>
    <w:rsid w:val="00574BA6"/>
    <w:rsid w:val="00574C15"/>
    <w:rsid w:val="00574C1F"/>
    <w:rsid w:val="00574C5A"/>
    <w:rsid w:val="00574C78"/>
    <w:rsid w:val="00574CAF"/>
    <w:rsid w:val="00574D4D"/>
    <w:rsid w:val="00574D6E"/>
    <w:rsid w:val="00574DA4"/>
    <w:rsid w:val="00574EC5"/>
    <w:rsid w:val="00574ED7"/>
    <w:rsid w:val="00574F27"/>
    <w:rsid w:val="00574F41"/>
    <w:rsid w:val="00574F42"/>
    <w:rsid w:val="0057509D"/>
    <w:rsid w:val="005750A1"/>
    <w:rsid w:val="005750E0"/>
    <w:rsid w:val="005750EF"/>
    <w:rsid w:val="005750F8"/>
    <w:rsid w:val="00575159"/>
    <w:rsid w:val="00575187"/>
    <w:rsid w:val="0057521F"/>
    <w:rsid w:val="005752B4"/>
    <w:rsid w:val="005752BD"/>
    <w:rsid w:val="00575385"/>
    <w:rsid w:val="005753B7"/>
    <w:rsid w:val="00575431"/>
    <w:rsid w:val="0057543E"/>
    <w:rsid w:val="00575482"/>
    <w:rsid w:val="00575573"/>
    <w:rsid w:val="00575587"/>
    <w:rsid w:val="00575590"/>
    <w:rsid w:val="00575597"/>
    <w:rsid w:val="00575598"/>
    <w:rsid w:val="0057560F"/>
    <w:rsid w:val="00575659"/>
    <w:rsid w:val="00575661"/>
    <w:rsid w:val="00575682"/>
    <w:rsid w:val="005756A2"/>
    <w:rsid w:val="0057570A"/>
    <w:rsid w:val="00575730"/>
    <w:rsid w:val="00575750"/>
    <w:rsid w:val="00575784"/>
    <w:rsid w:val="0057588F"/>
    <w:rsid w:val="005758A3"/>
    <w:rsid w:val="00575947"/>
    <w:rsid w:val="00575959"/>
    <w:rsid w:val="0057597D"/>
    <w:rsid w:val="00575A13"/>
    <w:rsid w:val="00575A44"/>
    <w:rsid w:val="00575A80"/>
    <w:rsid w:val="00575AB2"/>
    <w:rsid w:val="00575B73"/>
    <w:rsid w:val="00575BBA"/>
    <w:rsid w:val="00575BBF"/>
    <w:rsid w:val="00575C83"/>
    <w:rsid w:val="00575CC7"/>
    <w:rsid w:val="00575CDC"/>
    <w:rsid w:val="00575CE7"/>
    <w:rsid w:val="00575D0E"/>
    <w:rsid w:val="00575D33"/>
    <w:rsid w:val="00575D79"/>
    <w:rsid w:val="00575E01"/>
    <w:rsid w:val="00575F0A"/>
    <w:rsid w:val="00575F0F"/>
    <w:rsid w:val="00575F16"/>
    <w:rsid w:val="00575F2B"/>
    <w:rsid w:val="00575F4B"/>
    <w:rsid w:val="00575F90"/>
    <w:rsid w:val="00576042"/>
    <w:rsid w:val="005760AA"/>
    <w:rsid w:val="00576119"/>
    <w:rsid w:val="00576179"/>
    <w:rsid w:val="005761B4"/>
    <w:rsid w:val="005761C9"/>
    <w:rsid w:val="00576202"/>
    <w:rsid w:val="0057621A"/>
    <w:rsid w:val="0057625F"/>
    <w:rsid w:val="005762AD"/>
    <w:rsid w:val="005762CB"/>
    <w:rsid w:val="00576346"/>
    <w:rsid w:val="0057640A"/>
    <w:rsid w:val="00576435"/>
    <w:rsid w:val="00576436"/>
    <w:rsid w:val="0057650E"/>
    <w:rsid w:val="0057652B"/>
    <w:rsid w:val="00576544"/>
    <w:rsid w:val="00576644"/>
    <w:rsid w:val="00576696"/>
    <w:rsid w:val="005766BD"/>
    <w:rsid w:val="005767B0"/>
    <w:rsid w:val="005768A4"/>
    <w:rsid w:val="005768C0"/>
    <w:rsid w:val="005768CF"/>
    <w:rsid w:val="00576903"/>
    <w:rsid w:val="00576921"/>
    <w:rsid w:val="00576942"/>
    <w:rsid w:val="00576964"/>
    <w:rsid w:val="00576978"/>
    <w:rsid w:val="00576983"/>
    <w:rsid w:val="00576987"/>
    <w:rsid w:val="0057698E"/>
    <w:rsid w:val="005769DA"/>
    <w:rsid w:val="00576A1B"/>
    <w:rsid w:val="00576A34"/>
    <w:rsid w:val="00576B16"/>
    <w:rsid w:val="00576B91"/>
    <w:rsid w:val="00576BD5"/>
    <w:rsid w:val="00576C68"/>
    <w:rsid w:val="00576CAE"/>
    <w:rsid w:val="00576CC5"/>
    <w:rsid w:val="00576E28"/>
    <w:rsid w:val="00576E65"/>
    <w:rsid w:val="00576E7E"/>
    <w:rsid w:val="00576ECC"/>
    <w:rsid w:val="00576F06"/>
    <w:rsid w:val="00576F68"/>
    <w:rsid w:val="00576FE0"/>
    <w:rsid w:val="00576FF4"/>
    <w:rsid w:val="0057701A"/>
    <w:rsid w:val="00577025"/>
    <w:rsid w:val="00577052"/>
    <w:rsid w:val="00577057"/>
    <w:rsid w:val="0057706E"/>
    <w:rsid w:val="005770BA"/>
    <w:rsid w:val="005771F7"/>
    <w:rsid w:val="00577343"/>
    <w:rsid w:val="005773AA"/>
    <w:rsid w:val="005773DA"/>
    <w:rsid w:val="0057741E"/>
    <w:rsid w:val="0057747C"/>
    <w:rsid w:val="0057748D"/>
    <w:rsid w:val="005775D5"/>
    <w:rsid w:val="00577662"/>
    <w:rsid w:val="00577670"/>
    <w:rsid w:val="005776A4"/>
    <w:rsid w:val="005776C1"/>
    <w:rsid w:val="005776CB"/>
    <w:rsid w:val="00577718"/>
    <w:rsid w:val="0057775E"/>
    <w:rsid w:val="00577783"/>
    <w:rsid w:val="005777AE"/>
    <w:rsid w:val="005777C5"/>
    <w:rsid w:val="00577843"/>
    <w:rsid w:val="00577896"/>
    <w:rsid w:val="00577971"/>
    <w:rsid w:val="005779BD"/>
    <w:rsid w:val="005779F6"/>
    <w:rsid w:val="00577A2E"/>
    <w:rsid w:val="00577A77"/>
    <w:rsid w:val="00577A9C"/>
    <w:rsid w:val="00577B0C"/>
    <w:rsid w:val="00577B9E"/>
    <w:rsid w:val="00577BCD"/>
    <w:rsid w:val="00577BD5"/>
    <w:rsid w:val="00577BFB"/>
    <w:rsid w:val="00577C0D"/>
    <w:rsid w:val="00577C12"/>
    <w:rsid w:val="00577C16"/>
    <w:rsid w:val="00577D6B"/>
    <w:rsid w:val="00577DA6"/>
    <w:rsid w:val="00577EE8"/>
    <w:rsid w:val="00577FDE"/>
    <w:rsid w:val="00580039"/>
    <w:rsid w:val="0058010A"/>
    <w:rsid w:val="0058011F"/>
    <w:rsid w:val="0058012F"/>
    <w:rsid w:val="005801D8"/>
    <w:rsid w:val="005801ED"/>
    <w:rsid w:val="005801F3"/>
    <w:rsid w:val="0058022C"/>
    <w:rsid w:val="00580234"/>
    <w:rsid w:val="0058023E"/>
    <w:rsid w:val="005802F9"/>
    <w:rsid w:val="005802FF"/>
    <w:rsid w:val="0058031C"/>
    <w:rsid w:val="00580358"/>
    <w:rsid w:val="00580374"/>
    <w:rsid w:val="0058038B"/>
    <w:rsid w:val="0058051F"/>
    <w:rsid w:val="00580598"/>
    <w:rsid w:val="00580602"/>
    <w:rsid w:val="0058061E"/>
    <w:rsid w:val="00580622"/>
    <w:rsid w:val="0058070B"/>
    <w:rsid w:val="00580742"/>
    <w:rsid w:val="0058077C"/>
    <w:rsid w:val="00580787"/>
    <w:rsid w:val="005809DD"/>
    <w:rsid w:val="00580A1C"/>
    <w:rsid w:val="00580A7E"/>
    <w:rsid w:val="00580A8B"/>
    <w:rsid w:val="00580B1D"/>
    <w:rsid w:val="00580B2A"/>
    <w:rsid w:val="00580B9A"/>
    <w:rsid w:val="00580C94"/>
    <w:rsid w:val="00580DF7"/>
    <w:rsid w:val="00580E3D"/>
    <w:rsid w:val="00580E3E"/>
    <w:rsid w:val="00580E98"/>
    <w:rsid w:val="00580EB3"/>
    <w:rsid w:val="00580EDF"/>
    <w:rsid w:val="00580F59"/>
    <w:rsid w:val="00581007"/>
    <w:rsid w:val="0058104E"/>
    <w:rsid w:val="00581075"/>
    <w:rsid w:val="0058110E"/>
    <w:rsid w:val="0058113F"/>
    <w:rsid w:val="00581187"/>
    <w:rsid w:val="00581230"/>
    <w:rsid w:val="00581284"/>
    <w:rsid w:val="005812CA"/>
    <w:rsid w:val="00581326"/>
    <w:rsid w:val="0058139C"/>
    <w:rsid w:val="005813A3"/>
    <w:rsid w:val="005813FD"/>
    <w:rsid w:val="00581414"/>
    <w:rsid w:val="00581424"/>
    <w:rsid w:val="00581452"/>
    <w:rsid w:val="0058145A"/>
    <w:rsid w:val="00581477"/>
    <w:rsid w:val="0058148F"/>
    <w:rsid w:val="005814B9"/>
    <w:rsid w:val="00581545"/>
    <w:rsid w:val="00581548"/>
    <w:rsid w:val="00581574"/>
    <w:rsid w:val="0058160E"/>
    <w:rsid w:val="00581636"/>
    <w:rsid w:val="00581801"/>
    <w:rsid w:val="0058189F"/>
    <w:rsid w:val="005818A5"/>
    <w:rsid w:val="0058192E"/>
    <w:rsid w:val="00581B00"/>
    <w:rsid w:val="00581B7C"/>
    <w:rsid w:val="00581C19"/>
    <w:rsid w:val="00581C30"/>
    <w:rsid w:val="00581C32"/>
    <w:rsid w:val="00581C3B"/>
    <w:rsid w:val="00581C6D"/>
    <w:rsid w:val="00581CBA"/>
    <w:rsid w:val="00581CF3"/>
    <w:rsid w:val="00581D45"/>
    <w:rsid w:val="00581E0D"/>
    <w:rsid w:val="00581E97"/>
    <w:rsid w:val="00581EB2"/>
    <w:rsid w:val="00581F19"/>
    <w:rsid w:val="0058206C"/>
    <w:rsid w:val="00582144"/>
    <w:rsid w:val="00582221"/>
    <w:rsid w:val="005822A0"/>
    <w:rsid w:val="00582316"/>
    <w:rsid w:val="00582343"/>
    <w:rsid w:val="0058234F"/>
    <w:rsid w:val="005823BA"/>
    <w:rsid w:val="005823BE"/>
    <w:rsid w:val="00582456"/>
    <w:rsid w:val="00582463"/>
    <w:rsid w:val="00582481"/>
    <w:rsid w:val="005824C9"/>
    <w:rsid w:val="00582529"/>
    <w:rsid w:val="00582550"/>
    <w:rsid w:val="00582559"/>
    <w:rsid w:val="00582575"/>
    <w:rsid w:val="00582664"/>
    <w:rsid w:val="005826AE"/>
    <w:rsid w:val="005827B2"/>
    <w:rsid w:val="005827EC"/>
    <w:rsid w:val="00582845"/>
    <w:rsid w:val="005828FC"/>
    <w:rsid w:val="0058294F"/>
    <w:rsid w:val="00582988"/>
    <w:rsid w:val="005829AE"/>
    <w:rsid w:val="00582A3B"/>
    <w:rsid w:val="00582B7A"/>
    <w:rsid w:val="00582B97"/>
    <w:rsid w:val="00582DCD"/>
    <w:rsid w:val="00582DD5"/>
    <w:rsid w:val="00582E2B"/>
    <w:rsid w:val="00582E46"/>
    <w:rsid w:val="00582E48"/>
    <w:rsid w:val="00582E5F"/>
    <w:rsid w:val="00582E72"/>
    <w:rsid w:val="00582E74"/>
    <w:rsid w:val="00582EB6"/>
    <w:rsid w:val="00582F1F"/>
    <w:rsid w:val="00583012"/>
    <w:rsid w:val="00583057"/>
    <w:rsid w:val="00583101"/>
    <w:rsid w:val="00583216"/>
    <w:rsid w:val="005832A1"/>
    <w:rsid w:val="005832F7"/>
    <w:rsid w:val="005833C7"/>
    <w:rsid w:val="005833DB"/>
    <w:rsid w:val="00583466"/>
    <w:rsid w:val="00583486"/>
    <w:rsid w:val="005834F8"/>
    <w:rsid w:val="00583500"/>
    <w:rsid w:val="005835C5"/>
    <w:rsid w:val="005835DD"/>
    <w:rsid w:val="005835FB"/>
    <w:rsid w:val="00583635"/>
    <w:rsid w:val="005836C8"/>
    <w:rsid w:val="005836E2"/>
    <w:rsid w:val="005836EC"/>
    <w:rsid w:val="005836F8"/>
    <w:rsid w:val="0058372D"/>
    <w:rsid w:val="00583756"/>
    <w:rsid w:val="0058381C"/>
    <w:rsid w:val="0058382D"/>
    <w:rsid w:val="00583856"/>
    <w:rsid w:val="005838E9"/>
    <w:rsid w:val="00583954"/>
    <w:rsid w:val="0058395A"/>
    <w:rsid w:val="00583A11"/>
    <w:rsid w:val="00583A7C"/>
    <w:rsid w:val="00583AB7"/>
    <w:rsid w:val="00583B65"/>
    <w:rsid w:val="00583BC7"/>
    <w:rsid w:val="00583BDB"/>
    <w:rsid w:val="00583BF8"/>
    <w:rsid w:val="00583C16"/>
    <w:rsid w:val="00583C39"/>
    <w:rsid w:val="00583C85"/>
    <w:rsid w:val="00583CC1"/>
    <w:rsid w:val="00583CFD"/>
    <w:rsid w:val="00583D26"/>
    <w:rsid w:val="00583D54"/>
    <w:rsid w:val="00583D71"/>
    <w:rsid w:val="00583DDD"/>
    <w:rsid w:val="00583E20"/>
    <w:rsid w:val="00583EB6"/>
    <w:rsid w:val="00583F4C"/>
    <w:rsid w:val="00583FB1"/>
    <w:rsid w:val="00584044"/>
    <w:rsid w:val="00584162"/>
    <w:rsid w:val="0058416D"/>
    <w:rsid w:val="005841FE"/>
    <w:rsid w:val="00584202"/>
    <w:rsid w:val="00584222"/>
    <w:rsid w:val="005842A0"/>
    <w:rsid w:val="005842A6"/>
    <w:rsid w:val="005842A8"/>
    <w:rsid w:val="0058433D"/>
    <w:rsid w:val="0058435F"/>
    <w:rsid w:val="005843AE"/>
    <w:rsid w:val="005843CF"/>
    <w:rsid w:val="00584427"/>
    <w:rsid w:val="00584486"/>
    <w:rsid w:val="005844B1"/>
    <w:rsid w:val="005844D2"/>
    <w:rsid w:val="00584583"/>
    <w:rsid w:val="00584598"/>
    <w:rsid w:val="005845C3"/>
    <w:rsid w:val="00584683"/>
    <w:rsid w:val="0058469E"/>
    <w:rsid w:val="0058470F"/>
    <w:rsid w:val="005847CE"/>
    <w:rsid w:val="005847E2"/>
    <w:rsid w:val="005847F4"/>
    <w:rsid w:val="00584857"/>
    <w:rsid w:val="005848A3"/>
    <w:rsid w:val="00584922"/>
    <w:rsid w:val="005849BE"/>
    <w:rsid w:val="00584A2A"/>
    <w:rsid w:val="00584A8C"/>
    <w:rsid w:val="00584AA0"/>
    <w:rsid w:val="00584ADF"/>
    <w:rsid w:val="00584B32"/>
    <w:rsid w:val="00584B6F"/>
    <w:rsid w:val="00584BEC"/>
    <w:rsid w:val="00584BFF"/>
    <w:rsid w:val="00584C06"/>
    <w:rsid w:val="00584CBD"/>
    <w:rsid w:val="00584CCA"/>
    <w:rsid w:val="00584D05"/>
    <w:rsid w:val="00584DA1"/>
    <w:rsid w:val="00584DA8"/>
    <w:rsid w:val="00584DC6"/>
    <w:rsid w:val="00584DC7"/>
    <w:rsid w:val="00584DD1"/>
    <w:rsid w:val="00584DFE"/>
    <w:rsid w:val="00584E59"/>
    <w:rsid w:val="00584E98"/>
    <w:rsid w:val="00584EB7"/>
    <w:rsid w:val="00584EE0"/>
    <w:rsid w:val="00584F2B"/>
    <w:rsid w:val="00584FE2"/>
    <w:rsid w:val="0058507D"/>
    <w:rsid w:val="00585155"/>
    <w:rsid w:val="0058518B"/>
    <w:rsid w:val="0058518D"/>
    <w:rsid w:val="0058520C"/>
    <w:rsid w:val="005852B5"/>
    <w:rsid w:val="005852DA"/>
    <w:rsid w:val="00585304"/>
    <w:rsid w:val="00585345"/>
    <w:rsid w:val="005853A3"/>
    <w:rsid w:val="005853C8"/>
    <w:rsid w:val="0058545D"/>
    <w:rsid w:val="0058547C"/>
    <w:rsid w:val="005854AF"/>
    <w:rsid w:val="005854C3"/>
    <w:rsid w:val="00585581"/>
    <w:rsid w:val="005855C0"/>
    <w:rsid w:val="005855F0"/>
    <w:rsid w:val="005855F2"/>
    <w:rsid w:val="00585606"/>
    <w:rsid w:val="00585674"/>
    <w:rsid w:val="00585696"/>
    <w:rsid w:val="005856AC"/>
    <w:rsid w:val="005856AE"/>
    <w:rsid w:val="005856F9"/>
    <w:rsid w:val="00585707"/>
    <w:rsid w:val="00585725"/>
    <w:rsid w:val="0058577A"/>
    <w:rsid w:val="005857BC"/>
    <w:rsid w:val="005857FB"/>
    <w:rsid w:val="00585818"/>
    <w:rsid w:val="005858BC"/>
    <w:rsid w:val="00585941"/>
    <w:rsid w:val="00585988"/>
    <w:rsid w:val="005859E0"/>
    <w:rsid w:val="00585A56"/>
    <w:rsid w:val="00585A82"/>
    <w:rsid w:val="00585A9C"/>
    <w:rsid w:val="00585AC3"/>
    <w:rsid w:val="00585B9A"/>
    <w:rsid w:val="00585BF3"/>
    <w:rsid w:val="00585C15"/>
    <w:rsid w:val="00585C56"/>
    <w:rsid w:val="00585CA9"/>
    <w:rsid w:val="00585CAF"/>
    <w:rsid w:val="00585CB8"/>
    <w:rsid w:val="00585CBA"/>
    <w:rsid w:val="00585CDE"/>
    <w:rsid w:val="00585CE7"/>
    <w:rsid w:val="00585D0B"/>
    <w:rsid w:val="00585D23"/>
    <w:rsid w:val="00585D86"/>
    <w:rsid w:val="00585EAD"/>
    <w:rsid w:val="00585ECB"/>
    <w:rsid w:val="00585F92"/>
    <w:rsid w:val="00585F9F"/>
    <w:rsid w:val="00585FA0"/>
    <w:rsid w:val="00585FCD"/>
    <w:rsid w:val="00586051"/>
    <w:rsid w:val="00586110"/>
    <w:rsid w:val="00586136"/>
    <w:rsid w:val="0058614F"/>
    <w:rsid w:val="005861C1"/>
    <w:rsid w:val="005861D8"/>
    <w:rsid w:val="0058624E"/>
    <w:rsid w:val="0058626E"/>
    <w:rsid w:val="00586280"/>
    <w:rsid w:val="005862F9"/>
    <w:rsid w:val="0058630D"/>
    <w:rsid w:val="00586381"/>
    <w:rsid w:val="005863C2"/>
    <w:rsid w:val="00586512"/>
    <w:rsid w:val="00586527"/>
    <w:rsid w:val="0058652A"/>
    <w:rsid w:val="005865E5"/>
    <w:rsid w:val="005865ED"/>
    <w:rsid w:val="0058673D"/>
    <w:rsid w:val="0058677E"/>
    <w:rsid w:val="00586780"/>
    <w:rsid w:val="0058678C"/>
    <w:rsid w:val="0058678E"/>
    <w:rsid w:val="005867FA"/>
    <w:rsid w:val="005868AD"/>
    <w:rsid w:val="005868F3"/>
    <w:rsid w:val="005869CA"/>
    <w:rsid w:val="00586A38"/>
    <w:rsid w:val="00586A69"/>
    <w:rsid w:val="00586AAD"/>
    <w:rsid w:val="00586AF7"/>
    <w:rsid w:val="00586B8D"/>
    <w:rsid w:val="00586C46"/>
    <w:rsid w:val="00586C7B"/>
    <w:rsid w:val="00586CBA"/>
    <w:rsid w:val="00586DAA"/>
    <w:rsid w:val="00586DFA"/>
    <w:rsid w:val="00586E2C"/>
    <w:rsid w:val="00586E30"/>
    <w:rsid w:val="00586E47"/>
    <w:rsid w:val="00586E67"/>
    <w:rsid w:val="00586E71"/>
    <w:rsid w:val="00586E88"/>
    <w:rsid w:val="00586EAA"/>
    <w:rsid w:val="00586F60"/>
    <w:rsid w:val="00586F8E"/>
    <w:rsid w:val="00586FA4"/>
    <w:rsid w:val="00586FBD"/>
    <w:rsid w:val="00586FDC"/>
    <w:rsid w:val="0058702C"/>
    <w:rsid w:val="00587076"/>
    <w:rsid w:val="005870B7"/>
    <w:rsid w:val="005870D4"/>
    <w:rsid w:val="005870DF"/>
    <w:rsid w:val="005870E3"/>
    <w:rsid w:val="00587141"/>
    <w:rsid w:val="0058719F"/>
    <w:rsid w:val="005872A1"/>
    <w:rsid w:val="005872DC"/>
    <w:rsid w:val="00587343"/>
    <w:rsid w:val="00587385"/>
    <w:rsid w:val="005873EB"/>
    <w:rsid w:val="00587423"/>
    <w:rsid w:val="0058747E"/>
    <w:rsid w:val="0058751B"/>
    <w:rsid w:val="00587706"/>
    <w:rsid w:val="00587727"/>
    <w:rsid w:val="00587762"/>
    <w:rsid w:val="0058777D"/>
    <w:rsid w:val="00587784"/>
    <w:rsid w:val="005878A6"/>
    <w:rsid w:val="0058793C"/>
    <w:rsid w:val="00587954"/>
    <w:rsid w:val="00587AFE"/>
    <w:rsid w:val="00587B08"/>
    <w:rsid w:val="00587B53"/>
    <w:rsid w:val="00587BB9"/>
    <w:rsid w:val="00587BED"/>
    <w:rsid w:val="00587BFF"/>
    <w:rsid w:val="00587C49"/>
    <w:rsid w:val="00587C7E"/>
    <w:rsid w:val="00587C90"/>
    <w:rsid w:val="00587CD0"/>
    <w:rsid w:val="00587D02"/>
    <w:rsid w:val="00587D15"/>
    <w:rsid w:val="00587D37"/>
    <w:rsid w:val="00587D38"/>
    <w:rsid w:val="00587D54"/>
    <w:rsid w:val="00587D57"/>
    <w:rsid w:val="00587DC8"/>
    <w:rsid w:val="00587DEB"/>
    <w:rsid w:val="00587E0E"/>
    <w:rsid w:val="00587E9C"/>
    <w:rsid w:val="00587F9F"/>
    <w:rsid w:val="00590020"/>
    <w:rsid w:val="005900D6"/>
    <w:rsid w:val="00590147"/>
    <w:rsid w:val="0059014B"/>
    <w:rsid w:val="0059019F"/>
    <w:rsid w:val="005901B8"/>
    <w:rsid w:val="00590203"/>
    <w:rsid w:val="00590219"/>
    <w:rsid w:val="00590258"/>
    <w:rsid w:val="00590298"/>
    <w:rsid w:val="005902BE"/>
    <w:rsid w:val="005902D4"/>
    <w:rsid w:val="00590325"/>
    <w:rsid w:val="00590336"/>
    <w:rsid w:val="00590395"/>
    <w:rsid w:val="005903F4"/>
    <w:rsid w:val="005903FA"/>
    <w:rsid w:val="0059047D"/>
    <w:rsid w:val="0059049A"/>
    <w:rsid w:val="0059049B"/>
    <w:rsid w:val="0059056D"/>
    <w:rsid w:val="0059057A"/>
    <w:rsid w:val="005905A1"/>
    <w:rsid w:val="005906C5"/>
    <w:rsid w:val="005906F8"/>
    <w:rsid w:val="005907B0"/>
    <w:rsid w:val="005907CB"/>
    <w:rsid w:val="005907F7"/>
    <w:rsid w:val="00590873"/>
    <w:rsid w:val="00590893"/>
    <w:rsid w:val="005908C7"/>
    <w:rsid w:val="00590917"/>
    <w:rsid w:val="005909AA"/>
    <w:rsid w:val="005909D4"/>
    <w:rsid w:val="005909D6"/>
    <w:rsid w:val="00590A2E"/>
    <w:rsid w:val="00590A95"/>
    <w:rsid w:val="00590B20"/>
    <w:rsid w:val="00590CAE"/>
    <w:rsid w:val="00590CB8"/>
    <w:rsid w:val="00590CC4"/>
    <w:rsid w:val="00590D24"/>
    <w:rsid w:val="00590D7F"/>
    <w:rsid w:val="00590D95"/>
    <w:rsid w:val="00590DC6"/>
    <w:rsid w:val="00590DCA"/>
    <w:rsid w:val="00590DDC"/>
    <w:rsid w:val="00590DFB"/>
    <w:rsid w:val="00590E5F"/>
    <w:rsid w:val="00590EA3"/>
    <w:rsid w:val="00590EDB"/>
    <w:rsid w:val="00590F34"/>
    <w:rsid w:val="00590FA3"/>
    <w:rsid w:val="00590FA5"/>
    <w:rsid w:val="00590FAC"/>
    <w:rsid w:val="00590FCA"/>
    <w:rsid w:val="00590FD5"/>
    <w:rsid w:val="00591080"/>
    <w:rsid w:val="00591093"/>
    <w:rsid w:val="00591216"/>
    <w:rsid w:val="00591320"/>
    <w:rsid w:val="005913B3"/>
    <w:rsid w:val="005913D8"/>
    <w:rsid w:val="0059143A"/>
    <w:rsid w:val="00591479"/>
    <w:rsid w:val="005914D4"/>
    <w:rsid w:val="005914F6"/>
    <w:rsid w:val="00591508"/>
    <w:rsid w:val="00591512"/>
    <w:rsid w:val="00591575"/>
    <w:rsid w:val="0059157F"/>
    <w:rsid w:val="0059158F"/>
    <w:rsid w:val="005915D0"/>
    <w:rsid w:val="0059160D"/>
    <w:rsid w:val="005916BF"/>
    <w:rsid w:val="005916CA"/>
    <w:rsid w:val="00591735"/>
    <w:rsid w:val="005917E5"/>
    <w:rsid w:val="005918AE"/>
    <w:rsid w:val="00591923"/>
    <w:rsid w:val="005919B3"/>
    <w:rsid w:val="00591A03"/>
    <w:rsid w:val="00591A06"/>
    <w:rsid w:val="00591A2B"/>
    <w:rsid w:val="00591A30"/>
    <w:rsid w:val="00591AC7"/>
    <w:rsid w:val="00591AEB"/>
    <w:rsid w:val="00591B35"/>
    <w:rsid w:val="00591BB9"/>
    <w:rsid w:val="00591BE6"/>
    <w:rsid w:val="00591BF5"/>
    <w:rsid w:val="00591BFF"/>
    <w:rsid w:val="00591C4D"/>
    <w:rsid w:val="00591C70"/>
    <w:rsid w:val="00591D18"/>
    <w:rsid w:val="00591D23"/>
    <w:rsid w:val="00591DBE"/>
    <w:rsid w:val="00591EC8"/>
    <w:rsid w:val="00591ED6"/>
    <w:rsid w:val="00591F7D"/>
    <w:rsid w:val="00591F81"/>
    <w:rsid w:val="0059212A"/>
    <w:rsid w:val="00592149"/>
    <w:rsid w:val="0059215B"/>
    <w:rsid w:val="005921A3"/>
    <w:rsid w:val="005921F3"/>
    <w:rsid w:val="00592208"/>
    <w:rsid w:val="005922BB"/>
    <w:rsid w:val="005922DC"/>
    <w:rsid w:val="005922EA"/>
    <w:rsid w:val="0059233F"/>
    <w:rsid w:val="00592345"/>
    <w:rsid w:val="005923C4"/>
    <w:rsid w:val="005923CB"/>
    <w:rsid w:val="005923D5"/>
    <w:rsid w:val="005923EE"/>
    <w:rsid w:val="0059241E"/>
    <w:rsid w:val="0059245D"/>
    <w:rsid w:val="005924D1"/>
    <w:rsid w:val="005925CF"/>
    <w:rsid w:val="005925E2"/>
    <w:rsid w:val="0059269C"/>
    <w:rsid w:val="005926C9"/>
    <w:rsid w:val="005926DD"/>
    <w:rsid w:val="00592745"/>
    <w:rsid w:val="00592796"/>
    <w:rsid w:val="0059279C"/>
    <w:rsid w:val="005927C5"/>
    <w:rsid w:val="00592802"/>
    <w:rsid w:val="0059282C"/>
    <w:rsid w:val="005928E0"/>
    <w:rsid w:val="005928EA"/>
    <w:rsid w:val="005928EE"/>
    <w:rsid w:val="005928FF"/>
    <w:rsid w:val="00592946"/>
    <w:rsid w:val="0059295F"/>
    <w:rsid w:val="005929C8"/>
    <w:rsid w:val="00592A7C"/>
    <w:rsid w:val="00592B15"/>
    <w:rsid w:val="00592B49"/>
    <w:rsid w:val="00592C3C"/>
    <w:rsid w:val="00592C55"/>
    <w:rsid w:val="00592CC0"/>
    <w:rsid w:val="00592CE7"/>
    <w:rsid w:val="00592D21"/>
    <w:rsid w:val="00592D23"/>
    <w:rsid w:val="00592D46"/>
    <w:rsid w:val="00592E70"/>
    <w:rsid w:val="00592E80"/>
    <w:rsid w:val="00592FAE"/>
    <w:rsid w:val="00592FF8"/>
    <w:rsid w:val="00593009"/>
    <w:rsid w:val="00593083"/>
    <w:rsid w:val="005930E2"/>
    <w:rsid w:val="005930FB"/>
    <w:rsid w:val="00593101"/>
    <w:rsid w:val="00593153"/>
    <w:rsid w:val="00593165"/>
    <w:rsid w:val="005931B5"/>
    <w:rsid w:val="0059326F"/>
    <w:rsid w:val="005932A5"/>
    <w:rsid w:val="005932F1"/>
    <w:rsid w:val="005932F4"/>
    <w:rsid w:val="00593310"/>
    <w:rsid w:val="0059337D"/>
    <w:rsid w:val="0059343A"/>
    <w:rsid w:val="005934F6"/>
    <w:rsid w:val="005934F9"/>
    <w:rsid w:val="0059356E"/>
    <w:rsid w:val="005935BD"/>
    <w:rsid w:val="005935C3"/>
    <w:rsid w:val="00593628"/>
    <w:rsid w:val="0059366D"/>
    <w:rsid w:val="005936BF"/>
    <w:rsid w:val="00593712"/>
    <w:rsid w:val="00593743"/>
    <w:rsid w:val="005937BE"/>
    <w:rsid w:val="00593849"/>
    <w:rsid w:val="0059387B"/>
    <w:rsid w:val="005938BC"/>
    <w:rsid w:val="0059397B"/>
    <w:rsid w:val="005939ED"/>
    <w:rsid w:val="00593A46"/>
    <w:rsid w:val="00593AB5"/>
    <w:rsid w:val="00593AC1"/>
    <w:rsid w:val="00593B43"/>
    <w:rsid w:val="00593B4A"/>
    <w:rsid w:val="00593BAF"/>
    <w:rsid w:val="00593BE6"/>
    <w:rsid w:val="00593C4C"/>
    <w:rsid w:val="00593C56"/>
    <w:rsid w:val="00593CA6"/>
    <w:rsid w:val="00593CD9"/>
    <w:rsid w:val="00593D3D"/>
    <w:rsid w:val="00593DAB"/>
    <w:rsid w:val="00593DCF"/>
    <w:rsid w:val="00593E22"/>
    <w:rsid w:val="00593F2A"/>
    <w:rsid w:val="00593F6F"/>
    <w:rsid w:val="00593FE6"/>
    <w:rsid w:val="0059400F"/>
    <w:rsid w:val="00594011"/>
    <w:rsid w:val="0059401A"/>
    <w:rsid w:val="00594091"/>
    <w:rsid w:val="005940CB"/>
    <w:rsid w:val="00594112"/>
    <w:rsid w:val="00594116"/>
    <w:rsid w:val="0059411A"/>
    <w:rsid w:val="0059413A"/>
    <w:rsid w:val="005941B9"/>
    <w:rsid w:val="005941E9"/>
    <w:rsid w:val="00594207"/>
    <w:rsid w:val="0059422F"/>
    <w:rsid w:val="005942A6"/>
    <w:rsid w:val="0059436B"/>
    <w:rsid w:val="00594379"/>
    <w:rsid w:val="0059438C"/>
    <w:rsid w:val="005943C2"/>
    <w:rsid w:val="005943E3"/>
    <w:rsid w:val="00594477"/>
    <w:rsid w:val="00594482"/>
    <w:rsid w:val="0059448A"/>
    <w:rsid w:val="00594493"/>
    <w:rsid w:val="0059452B"/>
    <w:rsid w:val="00594531"/>
    <w:rsid w:val="005945C8"/>
    <w:rsid w:val="005945D6"/>
    <w:rsid w:val="005945EB"/>
    <w:rsid w:val="00594600"/>
    <w:rsid w:val="005946A1"/>
    <w:rsid w:val="005946B2"/>
    <w:rsid w:val="005946C4"/>
    <w:rsid w:val="005946C5"/>
    <w:rsid w:val="005946FF"/>
    <w:rsid w:val="0059470B"/>
    <w:rsid w:val="00594734"/>
    <w:rsid w:val="0059478B"/>
    <w:rsid w:val="005947A2"/>
    <w:rsid w:val="00594837"/>
    <w:rsid w:val="005948DD"/>
    <w:rsid w:val="00594917"/>
    <w:rsid w:val="00594925"/>
    <w:rsid w:val="00594933"/>
    <w:rsid w:val="005949CA"/>
    <w:rsid w:val="005949DA"/>
    <w:rsid w:val="00594A78"/>
    <w:rsid w:val="00594ACD"/>
    <w:rsid w:val="00594B14"/>
    <w:rsid w:val="00594B9E"/>
    <w:rsid w:val="00594BE0"/>
    <w:rsid w:val="00594C35"/>
    <w:rsid w:val="00594C70"/>
    <w:rsid w:val="00594C7E"/>
    <w:rsid w:val="00594CBA"/>
    <w:rsid w:val="00594DCD"/>
    <w:rsid w:val="00594E56"/>
    <w:rsid w:val="00594EB1"/>
    <w:rsid w:val="00594EBB"/>
    <w:rsid w:val="00594F8C"/>
    <w:rsid w:val="00595006"/>
    <w:rsid w:val="00595008"/>
    <w:rsid w:val="00595010"/>
    <w:rsid w:val="00595083"/>
    <w:rsid w:val="005950C3"/>
    <w:rsid w:val="0059512A"/>
    <w:rsid w:val="00595153"/>
    <w:rsid w:val="00595232"/>
    <w:rsid w:val="005953C3"/>
    <w:rsid w:val="0059540F"/>
    <w:rsid w:val="00595437"/>
    <w:rsid w:val="0059547D"/>
    <w:rsid w:val="005954B7"/>
    <w:rsid w:val="0059557E"/>
    <w:rsid w:val="005955B2"/>
    <w:rsid w:val="005955CD"/>
    <w:rsid w:val="005955D4"/>
    <w:rsid w:val="005955FF"/>
    <w:rsid w:val="00595616"/>
    <w:rsid w:val="00595738"/>
    <w:rsid w:val="00595742"/>
    <w:rsid w:val="00595907"/>
    <w:rsid w:val="0059596F"/>
    <w:rsid w:val="00595A8F"/>
    <w:rsid w:val="00595B15"/>
    <w:rsid w:val="00595B61"/>
    <w:rsid w:val="00595BC9"/>
    <w:rsid w:val="00595BFF"/>
    <w:rsid w:val="00595C0D"/>
    <w:rsid w:val="00595C83"/>
    <w:rsid w:val="00595C92"/>
    <w:rsid w:val="00595CA9"/>
    <w:rsid w:val="00595CC2"/>
    <w:rsid w:val="00595D47"/>
    <w:rsid w:val="00595DA4"/>
    <w:rsid w:val="00595E98"/>
    <w:rsid w:val="00595F23"/>
    <w:rsid w:val="00595F50"/>
    <w:rsid w:val="00595F66"/>
    <w:rsid w:val="00595F6E"/>
    <w:rsid w:val="00595FE5"/>
    <w:rsid w:val="00595FF6"/>
    <w:rsid w:val="00596007"/>
    <w:rsid w:val="00596059"/>
    <w:rsid w:val="00596071"/>
    <w:rsid w:val="005961D9"/>
    <w:rsid w:val="005962B9"/>
    <w:rsid w:val="00596314"/>
    <w:rsid w:val="0059634C"/>
    <w:rsid w:val="005963F6"/>
    <w:rsid w:val="00596419"/>
    <w:rsid w:val="0059647F"/>
    <w:rsid w:val="005964B8"/>
    <w:rsid w:val="005964BD"/>
    <w:rsid w:val="00596560"/>
    <w:rsid w:val="0059657D"/>
    <w:rsid w:val="005965B0"/>
    <w:rsid w:val="00596635"/>
    <w:rsid w:val="005966A6"/>
    <w:rsid w:val="005967CD"/>
    <w:rsid w:val="0059682C"/>
    <w:rsid w:val="00596882"/>
    <w:rsid w:val="0059693B"/>
    <w:rsid w:val="0059694E"/>
    <w:rsid w:val="005969E9"/>
    <w:rsid w:val="00596AD7"/>
    <w:rsid w:val="00596B2A"/>
    <w:rsid w:val="00596B3B"/>
    <w:rsid w:val="00596B3E"/>
    <w:rsid w:val="00596B8F"/>
    <w:rsid w:val="00596C39"/>
    <w:rsid w:val="00596C47"/>
    <w:rsid w:val="00596C77"/>
    <w:rsid w:val="00596D29"/>
    <w:rsid w:val="00596D6C"/>
    <w:rsid w:val="00596EA9"/>
    <w:rsid w:val="00596EC5"/>
    <w:rsid w:val="00596EED"/>
    <w:rsid w:val="00596FBB"/>
    <w:rsid w:val="00597080"/>
    <w:rsid w:val="00597081"/>
    <w:rsid w:val="00597093"/>
    <w:rsid w:val="0059710B"/>
    <w:rsid w:val="0059712B"/>
    <w:rsid w:val="0059719D"/>
    <w:rsid w:val="005971F4"/>
    <w:rsid w:val="0059722E"/>
    <w:rsid w:val="005973E7"/>
    <w:rsid w:val="005973FA"/>
    <w:rsid w:val="00597409"/>
    <w:rsid w:val="00597477"/>
    <w:rsid w:val="0059747A"/>
    <w:rsid w:val="0059747C"/>
    <w:rsid w:val="005974C3"/>
    <w:rsid w:val="005974E0"/>
    <w:rsid w:val="00597556"/>
    <w:rsid w:val="00597586"/>
    <w:rsid w:val="005975BE"/>
    <w:rsid w:val="005975CD"/>
    <w:rsid w:val="005975CF"/>
    <w:rsid w:val="005975DD"/>
    <w:rsid w:val="0059764D"/>
    <w:rsid w:val="0059765A"/>
    <w:rsid w:val="0059769A"/>
    <w:rsid w:val="005976A1"/>
    <w:rsid w:val="00597711"/>
    <w:rsid w:val="0059786B"/>
    <w:rsid w:val="00597890"/>
    <w:rsid w:val="005978BF"/>
    <w:rsid w:val="005978F9"/>
    <w:rsid w:val="0059790E"/>
    <w:rsid w:val="0059793E"/>
    <w:rsid w:val="005979BA"/>
    <w:rsid w:val="005979EF"/>
    <w:rsid w:val="00597A24"/>
    <w:rsid w:val="00597A7B"/>
    <w:rsid w:val="00597BB0"/>
    <w:rsid w:val="00597C4A"/>
    <w:rsid w:val="00597C98"/>
    <w:rsid w:val="00597CCD"/>
    <w:rsid w:val="00597CDA"/>
    <w:rsid w:val="00597CFB"/>
    <w:rsid w:val="00597D56"/>
    <w:rsid w:val="00597E1B"/>
    <w:rsid w:val="00597E2A"/>
    <w:rsid w:val="00597ED3"/>
    <w:rsid w:val="00597F0E"/>
    <w:rsid w:val="00597F1A"/>
    <w:rsid w:val="00597FD4"/>
    <w:rsid w:val="00597FDA"/>
    <w:rsid w:val="00597FF6"/>
    <w:rsid w:val="005A0026"/>
    <w:rsid w:val="005A005F"/>
    <w:rsid w:val="005A007C"/>
    <w:rsid w:val="005A0097"/>
    <w:rsid w:val="005A00C7"/>
    <w:rsid w:val="005A00CF"/>
    <w:rsid w:val="005A0108"/>
    <w:rsid w:val="005A0112"/>
    <w:rsid w:val="005A0113"/>
    <w:rsid w:val="005A0122"/>
    <w:rsid w:val="005A021D"/>
    <w:rsid w:val="005A0288"/>
    <w:rsid w:val="005A031C"/>
    <w:rsid w:val="005A033E"/>
    <w:rsid w:val="005A038A"/>
    <w:rsid w:val="005A039E"/>
    <w:rsid w:val="005A03AC"/>
    <w:rsid w:val="005A03B7"/>
    <w:rsid w:val="005A03F6"/>
    <w:rsid w:val="005A0411"/>
    <w:rsid w:val="005A0449"/>
    <w:rsid w:val="005A0452"/>
    <w:rsid w:val="005A04A2"/>
    <w:rsid w:val="005A04C0"/>
    <w:rsid w:val="005A05BA"/>
    <w:rsid w:val="005A05EB"/>
    <w:rsid w:val="005A066B"/>
    <w:rsid w:val="005A06B0"/>
    <w:rsid w:val="005A0741"/>
    <w:rsid w:val="005A087C"/>
    <w:rsid w:val="005A0915"/>
    <w:rsid w:val="005A096A"/>
    <w:rsid w:val="005A0A74"/>
    <w:rsid w:val="005A0AA7"/>
    <w:rsid w:val="005A0B27"/>
    <w:rsid w:val="005A0B28"/>
    <w:rsid w:val="005A0B32"/>
    <w:rsid w:val="005A0B91"/>
    <w:rsid w:val="005A0BC4"/>
    <w:rsid w:val="005A0C6A"/>
    <w:rsid w:val="005A0C6E"/>
    <w:rsid w:val="005A0C7B"/>
    <w:rsid w:val="005A0D7B"/>
    <w:rsid w:val="005A0E7E"/>
    <w:rsid w:val="005A0F26"/>
    <w:rsid w:val="005A0F48"/>
    <w:rsid w:val="005A0F8A"/>
    <w:rsid w:val="005A0FC7"/>
    <w:rsid w:val="005A0FDD"/>
    <w:rsid w:val="005A0FE4"/>
    <w:rsid w:val="005A0FE8"/>
    <w:rsid w:val="005A1012"/>
    <w:rsid w:val="005A102C"/>
    <w:rsid w:val="005A1075"/>
    <w:rsid w:val="005A10D7"/>
    <w:rsid w:val="005A11CD"/>
    <w:rsid w:val="005A11DE"/>
    <w:rsid w:val="005A11E3"/>
    <w:rsid w:val="005A1233"/>
    <w:rsid w:val="005A124E"/>
    <w:rsid w:val="005A1281"/>
    <w:rsid w:val="005A12C6"/>
    <w:rsid w:val="005A12E5"/>
    <w:rsid w:val="005A1301"/>
    <w:rsid w:val="005A140E"/>
    <w:rsid w:val="005A1414"/>
    <w:rsid w:val="005A14DC"/>
    <w:rsid w:val="005A14FC"/>
    <w:rsid w:val="005A152C"/>
    <w:rsid w:val="005A1541"/>
    <w:rsid w:val="005A1581"/>
    <w:rsid w:val="005A1595"/>
    <w:rsid w:val="005A15BE"/>
    <w:rsid w:val="005A15C0"/>
    <w:rsid w:val="005A1620"/>
    <w:rsid w:val="005A1630"/>
    <w:rsid w:val="005A1662"/>
    <w:rsid w:val="005A1751"/>
    <w:rsid w:val="005A1752"/>
    <w:rsid w:val="005A1757"/>
    <w:rsid w:val="005A1857"/>
    <w:rsid w:val="005A18B0"/>
    <w:rsid w:val="005A18CA"/>
    <w:rsid w:val="005A1973"/>
    <w:rsid w:val="005A197A"/>
    <w:rsid w:val="005A198F"/>
    <w:rsid w:val="005A19C6"/>
    <w:rsid w:val="005A19E0"/>
    <w:rsid w:val="005A1A14"/>
    <w:rsid w:val="005A1A27"/>
    <w:rsid w:val="005A1AA5"/>
    <w:rsid w:val="005A1B04"/>
    <w:rsid w:val="005A1B0F"/>
    <w:rsid w:val="005A1BAC"/>
    <w:rsid w:val="005A1C94"/>
    <w:rsid w:val="005A1CAD"/>
    <w:rsid w:val="005A1CB2"/>
    <w:rsid w:val="005A1CE2"/>
    <w:rsid w:val="005A1DC2"/>
    <w:rsid w:val="005A1E07"/>
    <w:rsid w:val="005A1F01"/>
    <w:rsid w:val="005A1F7E"/>
    <w:rsid w:val="005A2085"/>
    <w:rsid w:val="005A21C0"/>
    <w:rsid w:val="005A21FF"/>
    <w:rsid w:val="005A222F"/>
    <w:rsid w:val="005A2257"/>
    <w:rsid w:val="005A226C"/>
    <w:rsid w:val="005A234C"/>
    <w:rsid w:val="005A23F8"/>
    <w:rsid w:val="005A24B2"/>
    <w:rsid w:val="005A24B4"/>
    <w:rsid w:val="005A24C7"/>
    <w:rsid w:val="005A24EF"/>
    <w:rsid w:val="005A251A"/>
    <w:rsid w:val="005A2568"/>
    <w:rsid w:val="005A2572"/>
    <w:rsid w:val="005A2623"/>
    <w:rsid w:val="005A2627"/>
    <w:rsid w:val="005A26A1"/>
    <w:rsid w:val="005A2742"/>
    <w:rsid w:val="005A274B"/>
    <w:rsid w:val="005A2777"/>
    <w:rsid w:val="005A27E2"/>
    <w:rsid w:val="005A2828"/>
    <w:rsid w:val="005A284E"/>
    <w:rsid w:val="005A289F"/>
    <w:rsid w:val="005A28B2"/>
    <w:rsid w:val="005A291B"/>
    <w:rsid w:val="005A297C"/>
    <w:rsid w:val="005A29AA"/>
    <w:rsid w:val="005A29C8"/>
    <w:rsid w:val="005A2A1A"/>
    <w:rsid w:val="005A2A24"/>
    <w:rsid w:val="005A2A2D"/>
    <w:rsid w:val="005A2A48"/>
    <w:rsid w:val="005A2B1A"/>
    <w:rsid w:val="005A2BAA"/>
    <w:rsid w:val="005A2D37"/>
    <w:rsid w:val="005A2D64"/>
    <w:rsid w:val="005A2DE1"/>
    <w:rsid w:val="005A2DF8"/>
    <w:rsid w:val="005A2E08"/>
    <w:rsid w:val="005A2E14"/>
    <w:rsid w:val="005A2E7C"/>
    <w:rsid w:val="005A2F1A"/>
    <w:rsid w:val="005A2F31"/>
    <w:rsid w:val="005A2FD7"/>
    <w:rsid w:val="005A3090"/>
    <w:rsid w:val="005A3196"/>
    <w:rsid w:val="005A3216"/>
    <w:rsid w:val="005A325F"/>
    <w:rsid w:val="005A32A5"/>
    <w:rsid w:val="005A3376"/>
    <w:rsid w:val="005A339A"/>
    <w:rsid w:val="005A33DF"/>
    <w:rsid w:val="005A3493"/>
    <w:rsid w:val="005A34DE"/>
    <w:rsid w:val="005A353C"/>
    <w:rsid w:val="005A3573"/>
    <w:rsid w:val="005A35E4"/>
    <w:rsid w:val="005A35E9"/>
    <w:rsid w:val="005A3602"/>
    <w:rsid w:val="005A3700"/>
    <w:rsid w:val="005A3735"/>
    <w:rsid w:val="005A3751"/>
    <w:rsid w:val="005A3795"/>
    <w:rsid w:val="005A37A5"/>
    <w:rsid w:val="005A3856"/>
    <w:rsid w:val="005A39E8"/>
    <w:rsid w:val="005A3A29"/>
    <w:rsid w:val="005A3AC9"/>
    <w:rsid w:val="005A3AD9"/>
    <w:rsid w:val="005A3B02"/>
    <w:rsid w:val="005A3B5C"/>
    <w:rsid w:val="005A3BCF"/>
    <w:rsid w:val="005A3BDD"/>
    <w:rsid w:val="005A3C68"/>
    <w:rsid w:val="005A3C93"/>
    <w:rsid w:val="005A3CF7"/>
    <w:rsid w:val="005A3D87"/>
    <w:rsid w:val="005A3DC5"/>
    <w:rsid w:val="005A3E1B"/>
    <w:rsid w:val="005A3E65"/>
    <w:rsid w:val="005A3EBD"/>
    <w:rsid w:val="005A3ED9"/>
    <w:rsid w:val="005A3EE1"/>
    <w:rsid w:val="005A3FB5"/>
    <w:rsid w:val="005A400A"/>
    <w:rsid w:val="005A4045"/>
    <w:rsid w:val="005A406C"/>
    <w:rsid w:val="005A4078"/>
    <w:rsid w:val="005A4188"/>
    <w:rsid w:val="005A41CA"/>
    <w:rsid w:val="005A41DA"/>
    <w:rsid w:val="005A42CF"/>
    <w:rsid w:val="005A4395"/>
    <w:rsid w:val="005A4424"/>
    <w:rsid w:val="005A4452"/>
    <w:rsid w:val="005A4472"/>
    <w:rsid w:val="005A44A9"/>
    <w:rsid w:val="005A451B"/>
    <w:rsid w:val="005A459D"/>
    <w:rsid w:val="005A4626"/>
    <w:rsid w:val="005A468F"/>
    <w:rsid w:val="005A46FD"/>
    <w:rsid w:val="005A4745"/>
    <w:rsid w:val="005A4775"/>
    <w:rsid w:val="005A48AA"/>
    <w:rsid w:val="005A4981"/>
    <w:rsid w:val="005A49BB"/>
    <w:rsid w:val="005A49DA"/>
    <w:rsid w:val="005A4A6E"/>
    <w:rsid w:val="005A4A76"/>
    <w:rsid w:val="005A4A90"/>
    <w:rsid w:val="005A4AA5"/>
    <w:rsid w:val="005A4AB3"/>
    <w:rsid w:val="005A4C50"/>
    <w:rsid w:val="005A4CB3"/>
    <w:rsid w:val="005A4CF5"/>
    <w:rsid w:val="005A4D02"/>
    <w:rsid w:val="005A4D5F"/>
    <w:rsid w:val="005A4E85"/>
    <w:rsid w:val="005A4E87"/>
    <w:rsid w:val="005A4F2F"/>
    <w:rsid w:val="005A4F38"/>
    <w:rsid w:val="005A4F7B"/>
    <w:rsid w:val="005A502E"/>
    <w:rsid w:val="005A5064"/>
    <w:rsid w:val="005A5206"/>
    <w:rsid w:val="005A5216"/>
    <w:rsid w:val="005A5313"/>
    <w:rsid w:val="005A5337"/>
    <w:rsid w:val="005A5368"/>
    <w:rsid w:val="005A54A8"/>
    <w:rsid w:val="005A54CD"/>
    <w:rsid w:val="005A552E"/>
    <w:rsid w:val="005A55C6"/>
    <w:rsid w:val="005A5657"/>
    <w:rsid w:val="005A5665"/>
    <w:rsid w:val="005A56A6"/>
    <w:rsid w:val="005A56ED"/>
    <w:rsid w:val="005A5733"/>
    <w:rsid w:val="005A5741"/>
    <w:rsid w:val="005A5778"/>
    <w:rsid w:val="005A57EC"/>
    <w:rsid w:val="005A5845"/>
    <w:rsid w:val="005A5853"/>
    <w:rsid w:val="005A5882"/>
    <w:rsid w:val="005A5931"/>
    <w:rsid w:val="005A5934"/>
    <w:rsid w:val="005A5982"/>
    <w:rsid w:val="005A598E"/>
    <w:rsid w:val="005A5A0B"/>
    <w:rsid w:val="005A5A20"/>
    <w:rsid w:val="005A5A77"/>
    <w:rsid w:val="005A5AE8"/>
    <w:rsid w:val="005A5AFE"/>
    <w:rsid w:val="005A5B03"/>
    <w:rsid w:val="005A5B18"/>
    <w:rsid w:val="005A5B60"/>
    <w:rsid w:val="005A5B70"/>
    <w:rsid w:val="005A5B89"/>
    <w:rsid w:val="005A5B8F"/>
    <w:rsid w:val="005A5BFC"/>
    <w:rsid w:val="005A5C28"/>
    <w:rsid w:val="005A5D5B"/>
    <w:rsid w:val="005A5E3C"/>
    <w:rsid w:val="005A5E6C"/>
    <w:rsid w:val="005A5EF5"/>
    <w:rsid w:val="005A5F85"/>
    <w:rsid w:val="005A5F99"/>
    <w:rsid w:val="005A603C"/>
    <w:rsid w:val="005A60C0"/>
    <w:rsid w:val="005A611B"/>
    <w:rsid w:val="005A61A9"/>
    <w:rsid w:val="005A61C7"/>
    <w:rsid w:val="005A624B"/>
    <w:rsid w:val="005A624F"/>
    <w:rsid w:val="005A6262"/>
    <w:rsid w:val="005A631C"/>
    <w:rsid w:val="005A633B"/>
    <w:rsid w:val="005A6348"/>
    <w:rsid w:val="005A635F"/>
    <w:rsid w:val="005A63AD"/>
    <w:rsid w:val="005A645F"/>
    <w:rsid w:val="005A64FE"/>
    <w:rsid w:val="005A6575"/>
    <w:rsid w:val="005A658C"/>
    <w:rsid w:val="005A65A0"/>
    <w:rsid w:val="005A65BA"/>
    <w:rsid w:val="005A6617"/>
    <w:rsid w:val="005A661C"/>
    <w:rsid w:val="005A66B3"/>
    <w:rsid w:val="005A66ED"/>
    <w:rsid w:val="005A6771"/>
    <w:rsid w:val="005A6772"/>
    <w:rsid w:val="005A67AA"/>
    <w:rsid w:val="005A67BF"/>
    <w:rsid w:val="005A6879"/>
    <w:rsid w:val="005A6918"/>
    <w:rsid w:val="005A693E"/>
    <w:rsid w:val="005A6965"/>
    <w:rsid w:val="005A69BE"/>
    <w:rsid w:val="005A69DA"/>
    <w:rsid w:val="005A6AA5"/>
    <w:rsid w:val="005A6ADA"/>
    <w:rsid w:val="005A6AE8"/>
    <w:rsid w:val="005A6B0E"/>
    <w:rsid w:val="005A6B7B"/>
    <w:rsid w:val="005A6B7C"/>
    <w:rsid w:val="005A6C4E"/>
    <w:rsid w:val="005A6CC3"/>
    <w:rsid w:val="005A6CC8"/>
    <w:rsid w:val="005A6CD0"/>
    <w:rsid w:val="005A6CDB"/>
    <w:rsid w:val="005A6D42"/>
    <w:rsid w:val="005A6D92"/>
    <w:rsid w:val="005A6D9E"/>
    <w:rsid w:val="005A6DA4"/>
    <w:rsid w:val="005A6E2F"/>
    <w:rsid w:val="005A6E9E"/>
    <w:rsid w:val="005A6EA3"/>
    <w:rsid w:val="005A6EB9"/>
    <w:rsid w:val="005A6EF4"/>
    <w:rsid w:val="005A6EFC"/>
    <w:rsid w:val="005A6EFF"/>
    <w:rsid w:val="005A6F52"/>
    <w:rsid w:val="005A6F6E"/>
    <w:rsid w:val="005A6F75"/>
    <w:rsid w:val="005A7061"/>
    <w:rsid w:val="005A70A5"/>
    <w:rsid w:val="005A70DB"/>
    <w:rsid w:val="005A711D"/>
    <w:rsid w:val="005A7126"/>
    <w:rsid w:val="005A713E"/>
    <w:rsid w:val="005A71D4"/>
    <w:rsid w:val="005A722D"/>
    <w:rsid w:val="005A725A"/>
    <w:rsid w:val="005A7392"/>
    <w:rsid w:val="005A73BA"/>
    <w:rsid w:val="005A7489"/>
    <w:rsid w:val="005A74A0"/>
    <w:rsid w:val="005A74AB"/>
    <w:rsid w:val="005A7502"/>
    <w:rsid w:val="005A75B1"/>
    <w:rsid w:val="005A75CB"/>
    <w:rsid w:val="005A763C"/>
    <w:rsid w:val="005A7645"/>
    <w:rsid w:val="005A766E"/>
    <w:rsid w:val="005A76DE"/>
    <w:rsid w:val="005A76EB"/>
    <w:rsid w:val="005A7767"/>
    <w:rsid w:val="005A779A"/>
    <w:rsid w:val="005A77A9"/>
    <w:rsid w:val="005A77BF"/>
    <w:rsid w:val="005A77D8"/>
    <w:rsid w:val="005A786F"/>
    <w:rsid w:val="005A7899"/>
    <w:rsid w:val="005A78B4"/>
    <w:rsid w:val="005A78DC"/>
    <w:rsid w:val="005A7903"/>
    <w:rsid w:val="005A790C"/>
    <w:rsid w:val="005A79E2"/>
    <w:rsid w:val="005A79EF"/>
    <w:rsid w:val="005A7A61"/>
    <w:rsid w:val="005A7B50"/>
    <w:rsid w:val="005A7B51"/>
    <w:rsid w:val="005A7B68"/>
    <w:rsid w:val="005A7CEE"/>
    <w:rsid w:val="005A7D4C"/>
    <w:rsid w:val="005A7D4D"/>
    <w:rsid w:val="005A7D7C"/>
    <w:rsid w:val="005A7DB0"/>
    <w:rsid w:val="005A7E78"/>
    <w:rsid w:val="005A7E7B"/>
    <w:rsid w:val="005A7F12"/>
    <w:rsid w:val="005A7F44"/>
    <w:rsid w:val="005A7F45"/>
    <w:rsid w:val="005A7F96"/>
    <w:rsid w:val="005A7FCA"/>
    <w:rsid w:val="005A7FCB"/>
    <w:rsid w:val="005A7FE4"/>
    <w:rsid w:val="005B007E"/>
    <w:rsid w:val="005B00F5"/>
    <w:rsid w:val="005B0106"/>
    <w:rsid w:val="005B018D"/>
    <w:rsid w:val="005B01B1"/>
    <w:rsid w:val="005B01B8"/>
    <w:rsid w:val="005B01BB"/>
    <w:rsid w:val="005B01D0"/>
    <w:rsid w:val="005B0265"/>
    <w:rsid w:val="005B027B"/>
    <w:rsid w:val="005B02E4"/>
    <w:rsid w:val="005B030A"/>
    <w:rsid w:val="005B033B"/>
    <w:rsid w:val="005B035E"/>
    <w:rsid w:val="005B0468"/>
    <w:rsid w:val="005B04A7"/>
    <w:rsid w:val="005B04F2"/>
    <w:rsid w:val="005B0553"/>
    <w:rsid w:val="005B0595"/>
    <w:rsid w:val="005B05EB"/>
    <w:rsid w:val="005B06FD"/>
    <w:rsid w:val="005B0718"/>
    <w:rsid w:val="005B072B"/>
    <w:rsid w:val="005B07F4"/>
    <w:rsid w:val="005B0800"/>
    <w:rsid w:val="005B08AE"/>
    <w:rsid w:val="005B08B2"/>
    <w:rsid w:val="005B08C9"/>
    <w:rsid w:val="005B08D3"/>
    <w:rsid w:val="005B08F3"/>
    <w:rsid w:val="005B096E"/>
    <w:rsid w:val="005B0975"/>
    <w:rsid w:val="005B0A0A"/>
    <w:rsid w:val="005B0A16"/>
    <w:rsid w:val="005B0AAE"/>
    <w:rsid w:val="005B0AC6"/>
    <w:rsid w:val="005B0AFC"/>
    <w:rsid w:val="005B0B0E"/>
    <w:rsid w:val="005B0B7F"/>
    <w:rsid w:val="005B0B9A"/>
    <w:rsid w:val="005B0C55"/>
    <w:rsid w:val="005B0D98"/>
    <w:rsid w:val="005B0E0D"/>
    <w:rsid w:val="005B0E49"/>
    <w:rsid w:val="005B0E4D"/>
    <w:rsid w:val="005B0E73"/>
    <w:rsid w:val="005B0E79"/>
    <w:rsid w:val="005B0EA0"/>
    <w:rsid w:val="005B0EEF"/>
    <w:rsid w:val="005B0F97"/>
    <w:rsid w:val="005B0FFA"/>
    <w:rsid w:val="005B1017"/>
    <w:rsid w:val="005B101B"/>
    <w:rsid w:val="005B10BD"/>
    <w:rsid w:val="005B10D3"/>
    <w:rsid w:val="005B119C"/>
    <w:rsid w:val="005B11B0"/>
    <w:rsid w:val="005B11CC"/>
    <w:rsid w:val="005B1238"/>
    <w:rsid w:val="005B123F"/>
    <w:rsid w:val="005B127E"/>
    <w:rsid w:val="005B128B"/>
    <w:rsid w:val="005B12A6"/>
    <w:rsid w:val="005B12C0"/>
    <w:rsid w:val="005B1419"/>
    <w:rsid w:val="005B149B"/>
    <w:rsid w:val="005B14D3"/>
    <w:rsid w:val="005B14E0"/>
    <w:rsid w:val="005B14E8"/>
    <w:rsid w:val="005B15AC"/>
    <w:rsid w:val="005B15C5"/>
    <w:rsid w:val="005B1609"/>
    <w:rsid w:val="005B175B"/>
    <w:rsid w:val="005B1779"/>
    <w:rsid w:val="005B1785"/>
    <w:rsid w:val="005B17C4"/>
    <w:rsid w:val="005B17CC"/>
    <w:rsid w:val="005B1813"/>
    <w:rsid w:val="005B181B"/>
    <w:rsid w:val="005B1831"/>
    <w:rsid w:val="005B185D"/>
    <w:rsid w:val="005B18A6"/>
    <w:rsid w:val="005B1913"/>
    <w:rsid w:val="005B192A"/>
    <w:rsid w:val="005B1944"/>
    <w:rsid w:val="005B1A2A"/>
    <w:rsid w:val="005B1A5E"/>
    <w:rsid w:val="005B1B77"/>
    <w:rsid w:val="005B1C4A"/>
    <w:rsid w:val="005B1D08"/>
    <w:rsid w:val="005B1D75"/>
    <w:rsid w:val="005B1D7B"/>
    <w:rsid w:val="005B1E2B"/>
    <w:rsid w:val="005B1E5E"/>
    <w:rsid w:val="005B1E62"/>
    <w:rsid w:val="005B1E76"/>
    <w:rsid w:val="005B1EDF"/>
    <w:rsid w:val="005B1F1A"/>
    <w:rsid w:val="005B1FC5"/>
    <w:rsid w:val="005B1FC7"/>
    <w:rsid w:val="005B204C"/>
    <w:rsid w:val="005B207E"/>
    <w:rsid w:val="005B20D9"/>
    <w:rsid w:val="005B20FF"/>
    <w:rsid w:val="005B2115"/>
    <w:rsid w:val="005B214B"/>
    <w:rsid w:val="005B2196"/>
    <w:rsid w:val="005B21A3"/>
    <w:rsid w:val="005B21FE"/>
    <w:rsid w:val="005B224B"/>
    <w:rsid w:val="005B2261"/>
    <w:rsid w:val="005B22C3"/>
    <w:rsid w:val="005B2389"/>
    <w:rsid w:val="005B23A7"/>
    <w:rsid w:val="005B23BA"/>
    <w:rsid w:val="005B23E2"/>
    <w:rsid w:val="005B2415"/>
    <w:rsid w:val="005B2467"/>
    <w:rsid w:val="005B2470"/>
    <w:rsid w:val="005B2497"/>
    <w:rsid w:val="005B2544"/>
    <w:rsid w:val="005B2590"/>
    <w:rsid w:val="005B25A5"/>
    <w:rsid w:val="005B25E9"/>
    <w:rsid w:val="005B263D"/>
    <w:rsid w:val="005B2672"/>
    <w:rsid w:val="005B268A"/>
    <w:rsid w:val="005B2699"/>
    <w:rsid w:val="005B26D9"/>
    <w:rsid w:val="005B26EA"/>
    <w:rsid w:val="005B2747"/>
    <w:rsid w:val="005B2795"/>
    <w:rsid w:val="005B27C7"/>
    <w:rsid w:val="005B28F4"/>
    <w:rsid w:val="005B293A"/>
    <w:rsid w:val="005B294A"/>
    <w:rsid w:val="005B297F"/>
    <w:rsid w:val="005B2999"/>
    <w:rsid w:val="005B29F4"/>
    <w:rsid w:val="005B2A09"/>
    <w:rsid w:val="005B2A28"/>
    <w:rsid w:val="005B2AEB"/>
    <w:rsid w:val="005B2AF9"/>
    <w:rsid w:val="005B2BB8"/>
    <w:rsid w:val="005B2BD3"/>
    <w:rsid w:val="005B2C0F"/>
    <w:rsid w:val="005B2C19"/>
    <w:rsid w:val="005B2C79"/>
    <w:rsid w:val="005B2D5D"/>
    <w:rsid w:val="005B2D92"/>
    <w:rsid w:val="005B2DEC"/>
    <w:rsid w:val="005B2E2E"/>
    <w:rsid w:val="005B2EA0"/>
    <w:rsid w:val="005B2EA4"/>
    <w:rsid w:val="005B2EF1"/>
    <w:rsid w:val="005B2F58"/>
    <w:rsid w:val="005B2F6D"/>
    <w:rsid w:val="005B2FBA"/>
    <w:rsid w:val="005B2FF4"/>
    <w:rsid w:val="005B3069"/>
    <w:rsid w:val="005B3091"/>
    <w:rsid w:val="005B30A4"/>
    <w:rsid w:val="005B30EE"/>
    <w:rsid w:val="005B316D"/>
    <w:rsid w:val="005B31AF"/>
    <w:rsid w:val="005B31CB"/>
    <w:rsid w:val="005B31D3"/>
    <w:rsid w:val="005B31D7"/>
    <w:rsid w:val="005B32AE"/>
    <w:rsid w:val="005B32DD"/>
    <w:rsid w:val="005B3383"/>
    <w:rsid w:val="005B3439"/>
    <w:rsid w:val="005B3538"/>
    <w:rsid w:val="005B358E"/>
    <w:rsid w:val="005B3607"/>
    <w:rsid w:val="005B3611"/>
    <w:rsid w:val="005B3630"/>
    <w:rsid w:val="005B367E"/>
    <w:rsid w:val="005B3683"/>
    <w:rsid w:val="005B368E"/>
    <w:rsid w:val="005B36A7"/>
    <w:rsid w:val="005B3739"/>
    <w:rsid w:val="005B3822"/>
    <w:rsid w:val="005B3828"/>
    <w:rsid w:val="005B39AF"/>
    <w:rsid w:val="005B39DF"/>
    <w:rsid w:val="005B3A58"/>
    <w:rsid w:val="005B3B69"/>
    <w:rsid w:val="005B3C03"/>
    <w:rsid w:val="005B3C14"/>
    <w:rsid w:val="005B3C43"/>
    <w:rsid w:val="005B3C7B"/>
    <w:rsid w:val="005B3CA8"/>
    <w:rsid w:val="005B3CC3"/>
    <w:rsid w:val="005B3D1C"/>
    <w:rsid w:val="005B3D23"/>
    <w:rsid w:val="005B3D33"/>
    <w:rsid w:val="005B3DE9"/>
    <w:rsid w:val="005B3E5C"/>
    <w:rsid w:val="005B3E7E"/>
    <w:rsid w:val="005B3EF7"/>
    <w:rsid w:val="005B3F63"/>
    <w:rsid w:val="005B3F81"/>
    <w:rsid w:val="005B3F9A"/>
    <w:rsid w:val="005B4088"/>
    <w:rsid w:val="005B408A"/>
    <w:rsid w:val="005B40F2"/>
    <w:rsid w:val="005B4126"/>
    <w:rsid w:val="005B414B"/>
    <w:rsid w:val="005B41B5"/>
    <w:rsid w:val="005B4227"/>
    <w:rsid w:val="005B4297"/>
    <w:rsid w:val="005B42A9"/>
    <w:rsid w:val="005B42C3"/>
    <w:rsid w:val="005B42C6"/>
    <w:rsid w:val="005B4307"/>
    <w:rsid w:val="005B436B"/>
    <w:rsid w:val="005B4395"/>
    <w:rsid w:val="005B444B"/>
    <w:rsid w:val="005B452D"/>
    <w:rsid w:val="005B4539"/>
    <w:rsid w:val="005B4571"/>
    <w:rsid w:val="005B4591"/>
    <w:rsid w:val="005B4673"/>
    <w:rsid w:val="005B46B6"/>
    <w:rsid w:val="005B46DF"/>
    <w:rsid w:val="005B473D"/>
    <w:rsid w:val="005B47B4"/>
    <w:rsid w:val="005B47BA"/>
    <w:rsid w:val="005B4818"/>
    <w:rsid w:val="005B4843"/>
    <w:rsid w:val="005B48B6"/>
    <w:rsid w:val="005B48F6"/>
    <w:rsid w:val="005B4995"/>
    <w:rsid w:val="005B49B5"/>
    <w:rsid w:val="005B4A3D"/>
    <w:rsid w:val="005B4A59"/>
    <w:rsid w:val="005B4A83"/>
    <w:rsid w:val="005B4A97"/>
    <w:rsid w:val="005B4B1B"/>
    <w:rsid w:val="005B4B40"/>
    <w:rsid w:val="005B4B47"/>
    <w:rsid w:val="005B4B8D"/>
    <w:rsid w:val="005B4B91"/>
    <w:rsid w:val="005B4BFF"/>
    <w:rsid w:val="005B4C06"/>
    <w:rsid w:val="005B4CFF"/>
    <w:rsid w:val="005B4D4D"/>
    <w:rsid w:val="005B4D68"/>
    <w:rsid w:val="005B4DE5"/>
    <w:rsid w:val="005B4DF8"/>
    <w:rsid w:val="005B4E67"/>
    <w:rsid w:val="005B4EDD"/>
    <w:rsid w:val="005B4F24"/>
    <w:rsid w:val="005B4F6A"/>
    <w:rsid w:val="005B4F7E"/>
    <w:rsid w:val="005B50A5"/>
    <w:rsid w:val="005B50BC"/>
    <w:rsid w:val="005B50CF"/>
    <w:rsid w:val="005B50FE"/>
    <w:rsid w:val="005B5155"/>
    <w:rsid w:val="005B523D"/>
    <w:rsid w:val="005B5276"/>
    <w:rsid w:val="005B52C5"/>
    <w:rsid w:val="005B5323"/>
    <w:rsid w:val="005B539A"/>
    <w:rsid w:val="005B53C8"/>
    <w:rsid w:val="005B5569"/>
    <w:rsid w:val="005B55FF"/>
    <w:rsid w:val="005B56A9"/>
    <w:rsid w:val="005B56C1"/>
    <w:rsid w:val="005B56C5"/>
    <w:rsid w:val="005B5740"/>
    <w:rsid w:val="005B578D"/>
    <w:rsid w:val="005B57B0"/>
    <w:rsid w:val="005B57C3"/>
    <w:rsid w:val="005B57C6"/>
    <w:rsid w:val="005B5816"/>
    <w:rsid w:val="005B5863"/>
    <w:rsid w:val="005B58BD"/>
    <w:rsid w:val="005B5904"/>
    <w:rsid w:val="005B5923"/>
    <w:rsid w:val="005B5974"/>
    <w:rsid w:val="005B5AA8"/>
    <w:rsid w:val="005B5B53"/>
    <w:rsid w:val="005B5BA4"/>
    <w:rsid w:val="005B5BD7"/>
    <w:rsid w:val="005B5CA6"/>
    <w:rsid w:val="005B5CA7"/>
    <w:rsid w:val="005B5D1F"/>
    <w:rsid w:val="005B5D39"/>
    <w:rsid w:val="005B5DEF"/>
    <w:rsid w:val="005B5E1A"/>
    <w:rsid w:val="005B5E5D"/>
    <w:rsid w:val="005B5ED3"/>
    <w:rsid w:val="005B5EF0"/>
    <w:rsid w:val="005B5EF6"/>
    <w:rsid w:val="005B5EF9"/>
    <w:rsid w:val="005B5F96"/>
    <w:rsid w:val="005B5F9C"/>
    <w:rsid w:val="005B5FDD"/>
    <w:rsid w:val="005B6048"/>
    <w:rsid w:val="005B6053"/>
    <w:rsid w:val="005B60AE"/>
    <w:rsid w:val="005B60E7"/>
    <w:rsid w:val="005B611D"/>
    <w:rsid w:val="005B6133"/>
    <w:rsid w:val="005B6135"/>
    <w:rsid w:val="005B614C"/>
    <w:rsid w:val="005B61A0"/>
    <w:rsid w:val="005B61C1"/>
    <w:rsid w:val="005B6347"/>
    <w:rsid w:val="005B6371"/>
    <w:rsid w:val="005B63CC"/>
    <w:rsid w:val="005B63D4"/>
    <w:rsid w:val="005B6420"/>
    <w:rsid w:val="005B64D6"/>
    <w:rsid w:val="005B6512"/>
    <w:rsid w:val="005B6575"/>
    <w:rsid w:val="005B657C"/>
    <w:rsid w:val="005B658E"/>
    <w:rsid w:val="005B65A1"/>
    <w:rsid w:val="005B6681"/>
    <w:rsid w:val="005B6731"/>
    <w:rsid w:val="005B6747"/>
    <w:rsid w:val="005B675E"/>
    <w:rsid w:val="005B6771"/>
    <w:rsid w:val="005B67D7"/>
    <w:rsid w:val="005B67DF"/>
    <w:rsid w:val="005B6819"/>
    <w:rsid w:val="005B682E"/>
    <w:rsid w:val="005B6837"/>
    <w:rsid w:val="005B6858"/>
    <w:rsid w:val="005B69C6"/>
    <w:rsid w:val="005B6B4E"/>
    <w:rsid w:val="005B6B50"/>
    <w:rsid w:val="005B6BC2"/>
    <w:rsid w:val="005B6BCD"/>
    <w:rsid w:val="005B6C0A"/>
    <w:rsid w:val="005B6C62"/>
    <w:rsid w:val="005B6CE7"/>
    <w:rsid w:val="005B6DB3"/>
    <w:rsid w:val="005B6DDC"/>
    <w:rsid w:val="005B6E01"/>
    <w:rsid w:val="005B6E3C"/>
    <w:rsid w:val="005B6EB2"/>
    <w:rsid w:val="005B6F38"/>
    <w:rsid w:val="005B6F61"/>
    <w:rsid w:val="005B6F6F"/>
    <w:rsid w:val="005B6FBD"/>
    <w:rsid w:val="005B6FCB"/>
    <w:rsid w:val="005B6FE2"/>
    <w:rsid w:val="005B7022"/>
    <w:rsid w:val="005B7045"/>
    <w:rsid w:val="005B714F"/>
    <w:rsid w:val="005B7157"/>
    <w:rsid w:val="005B7178"/>
    <w:rsid w:val="005B7266"/>
    <w:rsid w:val="005B729B"/>
    <w:rsid w:val="005B72AF"/>
    <w:rsid w:val="005B72FC"/>
    <w:rsid w:val="005B7363"/>
    <w:rsid w:val="005B736C"/>
    <w:rsid w:val="005B73A2"/>
    <w:rsid w:val="005B7415"/>
    <w:rsid w:val="005B7453"/>
    <w:rsid w:val="005B7485"/>
    <w:rsid w:val="005B74D8"/>
    <w:rsid w:val="005B753B"/>
    <w:rsid w:val="005B7561"/>
    <w:rsid w:val="005B7596"/>
    <w:rsid w:val="005B75C1"/>
    <w:rsid w:val="005B75C7"/>
    <w:rsid w:val="005B7628"/>
    <w:rsid w:val="005B762F"/>
    <w:rsid w:val="005B7677"/>
    <w:rsid w:val="005B769E"/>
    <w:rsid w:val="005B76A7"/>
    <w:rsid w:val="005B771D"/>
    <w:rsid w:val="005B7775"/>
    <w:rsid w:val="005B77DF"/>
    <w:rsid w:val="005B7808"/>
    <w:rsid w:val="005B781C"/>
    <w:rsid w:val="005B7830"/>
    <w:rsid w:val="005B799E"/>
    <w:rsid w:val="005B79B3"/>
    <w:rsid w:val="005B7A5D"/>
    <w:rsid w:val="005B7A7D"/>
    <w:rsid w:val="005B7AC0"/>
    <w:rsid w:val="005B7B41"/>
    <w:rsid w:val="005B7B52"/>
    <w:rsid w:val="005B7BC3"/>
    <w:rsid w:val="005B7C00"/>
    <w:rsid w:val="005B7C84"/>
    <w:rsid w:val="005B7CC0"/>
    <w:rsid w:val="005B7CF5"/>
    <w:rsid w:val="005B7D13"/>
    <w:rsid w:val="005B7D15"/>
    <w:rsid w:val="005B7D37"/>
    <w:rsid w:val="005B7DCF"/>
    <w:rsid w:val="005B7E01"/>
    <w:rsid w:val="005B7E0E"/>
    <w:rsid w:val="005B7E20"/>
    <w:rsid w:val="005B7E2F"/>
    <w:rsid w:val="005B7E38"/>
    <w:rsid w:val="005B7EE8"/>
    <w:rsid w:val="005B7EF9"/>
    <w:rsid w:val="005B7F7D"/>
    <w:rsid w:val="005B7FD6"/>
    <w:rsid w:val="005B7FF2"/>
    <w:rsid w:val="005B87E6"/>
    <w:rsid w:val="005BF908"/>
    <w:rsid w:val="005C003B"/>
    <w:rsid w:val="005C003D"/>
    <w:rsid w:val="005C004C"/>
    <w:rsid w:val="005C0178"/>
    <w:rsid w:val="005C0187"/>
    <w:rsid w:val="005C018C"/>
    <w:rsid w:val="005C01BE"/>
    <w:rsid w:val="005C01D0"/>
    <w:rsid w:val="005C02F7"/>
    <w:rsid w:val="005C0358"/>
    <w:rsid w:val="005C0374"/>
    <w:rsid w:val="005C0392"/>
    <w:rsid w:val="005C03A5"/>
    <w:rsid w:val="005C0502"/>
    <w:rsid w:val="005C0634"/>
    <w:rsid w:val="005C0682"/>
    <w:rsid w:val="005C06A6"/>
    <w:rsid w:val="005C06AE"/>
    <w:rsid w:val="005C06D8"/>
    <w:rsid w:val="005C06E7"/>
    <w:rsid w:val="005C0708"/>
    <w:rsid w:val="005C072A"/>
    <w:rsid w:val="005C0741"/>
    <w:rsid w:val="005C07FC"/>
    <w:rsid w:val="005C0811"/>
    <w:rsid w:val="005C0842"/>
    <w:rsid w:val="005C0850"/>
    <w:rsid w:val="005C0878"/>
    <w:rsid w:val="005C087F"/>
    <w:rsid w:val="005C08A2"/>
    <w:rsid w:val="005C08D8"/>
    <w:rsid w:val="005C08E3"/>
    <w:rsid w:val="005C08E6"/>
    <w:rsid w:val="005C0AC0"/>
    <w:rsid w:val="005C0ADA"/>
    <w:rsid w:val="005C0B37"/>
    <w:rsid w:val="005C0BB7"/>
    <w:rsid w:val="005C0BE0"/>
    <w:rsid w:val="005C0BFA"/>
    <w:rsid w:val="005C0C4B"/>
    <w:rsid w:val="005C0C5A"/>
    <w:rsid w:val="005C0D35"/>
    <w:rsid w:val="005C0D73"/>
    <w:rsid w:val="005C0D81"/>
    <w:rsid w:val="005C0E24"/>
    <w:rsid w:val="005C0E28"/>
    <w:rsid w:val="005C0E47"/>
    <w:rsid w:val="005C0E68"/>
    <w:rsid w:val="005C0E6B"/>
    <w:rsid w:val="005C0E7C"/>
    <w:rsid w:val="005C0EC9"/>
    <w:rsid w:val="005C0F24"/>
    <w:rsid w:val="005C0F3E"/>
    <w:rsid w:val="005C0F4C"/>
    <w:rsid w:val="005C0FD8"/>
    <w:rsid w:val="005C102D"/>
    <w:rsid w:val="005C1039"/>
    <w:rsid w:val="005C1059"/>
    <w:rsid w:val="005C10C3"/>
    <w:rsid w:val="005C110F"/>
    <w:rsid w:val="005C1171"/>
    <w:rsid w:val="005C1187"/>
    <w:rsid w:val="005C1193"/>
    <w:rsid w:val="005C11E0"/>
    <w:rsid w:val="005C11E2"/>
    <w:rsid w:val="005C1270"/>
    <w:rsid w:val="005C1272"/>
    <w:rsid w:val="005C12FC"/>
    <w:rsid w:val="005C1302"/>
    <w:rsid w:val="005C1366"/>
    <w:rsid w:val="005C140E"/>
    <w:rsid w:val="005C1479"/>
    <w:rsid w:val="005C14D1"/>
    <w:rsid w:val="005C152F"/>
    <w:rsid w:val="005C15D8"/>
    <w:rsid w:val="005C162B"/>
    <w:rsid w:val="005C1685"/>
    <w:rsid w:val="005C16FB"/>
    <w:rsid w:val="005C1709"/>
    <w:rsid w:val="005C1725"/>
    <w:rsid w:val="005C1774"/>
    <w:rsid w:val="005C1776"/>
    <w:rsid w:val="005C17F5"/>
    <w:rsid w:val="005C17FA"/>
    <w:rsid w:val="005C1852"/>
    <w:rsid w:val="005C18DC"/>
    <w:rsid w:val="005C197D"/>
    <w:rsid w:val="005C19AA"/>
    <w:rsid w:val="005C19E1"/>
    <w:rsid w:val="005C1A03"/>
    <w:rsid w:val="005C1A19"/>
    <w:rsid w:val="005C1A2E"/>
    <w:rsid w:val="005C1AE0"/>
    <w:rsid w:val="005C1B34"/>
    <w:rsid w:val="005C1B47"/>
    <w:rsid w:val="005C1BFC"/>
    <w:rsid w:val="005C1C4D"/>
    <w:rsid w:val="005C1C5C"/>
    <w:rsid w:val="005C1C64"/>
    <w:rsid w:val="005C1C79"/>
    <w:rsid w:val="005C1C84"/>
    <w:rsid w:val="005C1D13"/>
    <w:rsid w:val="005C1D40"/>
    <w:rsid w:val="005C1D9F"/>
    <w:rsid w:val="005C1DC0"/>
    <w:rsid w:val="005C1EA5"/>
    <w:rsid w:val="005C1ED4"/>
    <w:rsid w:val="005C1F44"/>
    <w:rsid w:val="005C1F46"/>
    <w:rsid w:val="005C1F55"/>
    <w:rsid w:val="005C21B9"/>
    <w:rsid w:val="005C21DB"/>
    <w:rsid w:val="005C21ED"/>
    <w:rsid w:val="005C21FF"/>
    <w:rsid w:val="005C222E"/>
    <w:rsid w:val="005C223B"/>
    <w:rsid w:val="005C227C"/>
    <w:rsid w:val="005C2318"/>
    <w:rsid w:val="005C231C"/>
    <w:rsid w:val="005C2399"/>
    <w:rsid w:val="005C23AF"/>
    <w:rsid w:val="005C23B2"/>
    <w:rsid w:val="005C23D4"/>
    <w:rsid w:val="005C246F"/>
    <w:rsid w:val="005C24A6"/>
    <w:rsid w:val="005C252B"/>
    <w:rsid w:val="005C256B"/>
    <w:rsid w:val="005C257A"/>
    <w:rsid w:val="005C2581"/>
    <w:rsid w:val="005C25AD"/>
    <w:rsid w:val="005C2625"/>
    <w:rsid w:val="005C26F8"/>
    <w:rsid w:val="005C273F"/>
    <w:rsid w:val="005C27E2"/>
    <w:rsid w:val="005C282B"/>
    <w:rsid w:val="005C28F7"/>
    <w:rsid w:val="005C2901"/>
    <w:rsid w:val="005C292C"/>
    <w:rsid w:val="005C293D"/>
    <w:rsid w:val="005C29AD"/>
    <w:rsid w:val="005C29E4"/>
    <w:rsid w:val="005C29EE"/>
    <w:rsid w:val="005C2A17"/>
    <w:rsid w:val="005C2A49"/>
    <w:rsid w:val="005C2A51"/>
    <w:rsid w:val="005C2A52"/>
    <w:rsid w:val="005C2AC7"/>
    <w:rsid w:val="005C2ACF"/>
    <w:rsid w:val="005C2B6F"/>
    <w:rsid w:val="005C2BA3"/>
    <w:rsid w:val="005C2C4C"/>
    <w:rsid w:val="005C2C80"/>
    <w:rsid w:val="005C2CCF"/>
    <w:rsid w:val="005C2D0F"/>
    <w:rsid w:val="005C2D20"/>
    <w:rsid w:val="005C2D2A"/>
    <w:rsid w:val="005C2D7B"/>
    <w:rsid w:val="005C2DA0"/>
    <w:rsid w:val="005C2DCA"/>
    <w:rsid w:val="005C2DFA"/>
    <w:rsid w:val="005C2E11"/>
    <w:rsid w:val="005C2E4E"/>
    <w:rsid w:val="005C2E6D"/>
    <w:rsid w:val="005C2EC5"/>
    <w:rsid w:val="005C2ECC"/>
    <w:rsid w:val="005C2EE0"/>
    <w:rsid w:val="005C2EE8"/>
    <w:rsid w:val="005C2F0F"/>
    <w:rsid w:val="005C2F35"/>
    <w:rsid w:val="005C2F46"/>
    <w:rsid w:val="005C2F93"/>
    <w:rsid w:val="005C2FBD"/>
    <w:rsid w:val="005C300A"/>
    <w:rsid w:val="005C3088"/>
    <w:rsid w:val="005C3200"/>
    <w:rsid w:val="005C3232"/>
    <w:rsid w:val="005C329D"/>
    <w:rsid w:val="005C330B"/>
    <w:rsid w:val="005C3335"/>
    <w:rsid w:val="005C33A6"/>
    <w:rsid w:val="005C34E8"/>
    <w:rsid w:val="005C362F"/>
    <w:rsid w:val="005C369E"/>
    <w:rsid w:val="005C3716"/>
    <w:rsid w:val="005C3723"/>
    <w:rsid w:val="005C388A"/>
    <w:rsid w:val="005C395D"/>
    <w:rsid w:val="005C3973"/>
    <w:rsid w:val="005C39C2"/>
    <w:rsid w:val="005C39E1"/>
    <w:rsid w:val="005C39FC"/>
    <w:rsid w:val="005C3A04"/>
    <w:rsid w:val="005C3A22"/>
    <w:rsid w:val="005C3A30"/>
    <w:rsid w:val="005C3A6A"/>
    <w:rsid w:val="005C3A79"/>
    <w:rsid w:val="005C3A80"/>
    <w:rsid w:val="005C3AAE"/>
    <w:rsid w:val="005C3ABA"/>
    <w:rsid w:val="005C3B1D"/>
    <w:rsid w:val="005C3B36"/>
    <w:rsid w:val="005C3BFB"/>
    <w:rsid w:val="005C3C2C"/>
    <w:rsid w:val="005C3C8B"/>
    <w:rsid w:val="005C3CEC"/>
    <w:rsid w:val="005C3D1B"/>
    <w:rsid w:val="005C3D87"/>
    <w:rsid w:val="005C3DD9"/>
    <w:rsid w:val="005C3E2C"/>
    <w:rsid w:val="005C3EBC"/>
    <w:rsid w:val="005C3EFE"/>
    <w:rsid w:val="005C3F66"/>
    <w:rsid w:val="005C3FAC"/>
    <w:rsid w:val="005C4010"/>
    <w:rsid w:val="005C403E"/>
    <w:rsid w:val="005C404A"/>
    <w:rsid w:val="005C406B"/>
    <w:rsid w:val="005C4085"/>
    <w:rsid w:val="005C411A"/>
    <w:rsid w:val="005C4140"/>
    <w:rsid w:val="005C4157"/>
    <w:rsid w:val="005C4226"/>
    <w:rsid w:val="005C4293"/>
    <w:rsid w:val="005C42AF"/>
    <w:rsid w:val="005C431E"/>
    <w:rsid w:val="005C4333"/>
    <w:rsid w:val="005C437C"/>
    <w:rsid w:val="005C4391"/>
    <w:rsid w:val="005C43CB"/>
    <w:rsid w:val="005C43E6"/>
    <w:rsid w:val="005C4473"/>
    <w:rsid w:val="005C44C1"/>
    <w:rsid w:val="005C4580"/>
    <w:rsid w:val="005C45CA"/>
    <w:rsid w:val="005C45E9"/>
    <w:rsid w:val="005C4643"/>
    <w:rsid w:val="005C4670"/>
    <w:rsid w:val="005C4707"/>
    <w:rsid w:val="005C473E"/>
    <w:rsid w:val="005C474C"/>
    <w:rsid w:val="005C47B6"/>
    <w:rsid w:val="005C47BD"/>
    <w:rsid w:val="005C47F3"/>
    <w:rsid w:val="005C4826"/>
    <w:rsid w:val="005C4861"/>
    <w:rsid w:val="005C48FD"/>
    <w:rsid w:val="005C492C"/>
    <w:rsid w:val="005C4962"/>
    <w:rsid w:val="005C49FA"/>
    <w:rsid w:val="005C4B28"/>
    <w:rsid w:val="005C4B53"/>
    <w:rsid w:val="005C4B55"/>
    <w:rsid w:val="005C4BBC"/>
    <w:rsid w:val="005C4BD1"/>
    <w:rsid w:val="005C4BE8"/>
    <w:rsid w:val="005C4C14"/>
    <w:rsid w:val="005C4C56"/>
    <w:rsid w:val="005C4C67"/>
    <w:rsid w:val="005C4C9F"/>
    <w:rsid w:val="005C4DA3"/>
    <w:rsid w:val="005C4DA6"/>
    <w:rsid w:val="005C4E11"/>
    <w:rsid w:val="005C4E63"/>
    <w:rsid w:val="005C4F7A"/>
    <w:rsid w:val="005C4FD5"/>
    <w:rsid w:val="005C4FF3"/>
    <w:rsid w:val="005C501F"/>
    <w:rsid w:val="005C5055"/>
    <w:rsid w:val="005C50B9"/>
    <w:rsid w:val="005C5137"/>
    <w:rsid w:val="005C517B"/>
    <w:rsid w:val="005C5218"/>
    <w:rsid w:val="005C521B"/>
    <w:rsid w:val="005C5244"/>
    <w:rsid w:val="005C52B7"/>
    <w:rsid w:val="005C5347"/>
    <w:rsid w:val="005C5362"/>
    <w:rsid w:val="005C5367"/>
    <w:rsid w:val="005C53C5"/>
    <w:rsid w:val="005C543F"/>
    <w:rsid w:val="005C544A"/>
    <w:rsid w:val="005C5457"/>
    <w:rsid w:val="005C550F"/>
    <w:rsid w:val="005C55DC"/>
    <w:rsid w:val="005C5640"/>
    <w:rsid w:val="005C5661"/>
    <w:rsid w:val="005C5665"/>
    <w:rsid w:val="005C566C"/>
    <w:rsid w:val="005C56C1"/>
    <w:rsid w:val="005C5707"/>
    <w:rsid w:val="005C5786"/>
    <w:rsid w:val="005C57EE"/>
    <w:rsid w:val="005C586B"/>
    <w:rsid w:val="005C5938"/>
    <w:rsid w:val="005C597D"/>
    <w:rsid w:val="005C59CF"/>
    <w:rsid w:val="005C5A09"/>
    <w:rsid w:val="005C5A84"/>
    <w:rsid w:val="005C5ABB"/>
    <w:rsid w:val="005C5B02"/>
    <w:rsid w:val="005C5B77"/>
    <w:rsid w:val="005C5B89"/>
    <w:rsid w:val="005C5C4B"/>
    <w:rsid w:val="005C5C89"/>
    <w:rsid w:val="005C5CAB"/>
    <w:rsid w:val="005C5CDC"/>
    <w:rsid w:val="005C5DB1"/>
    <w:rsid w:val="005C5DCD"/>
    <w:rsid w:val="005C5DD4"/>
    <w:rsid w:val="005C5E10"/>
    <w:rsid w:val="005C5E25"/>
    <w:rsid w:val="005C5E57"/>
    <w:rsid w:val="005C5E87"/>
    <w:rsid w:val="005C5EB1"/>
    <w:rsid w:val="005C5EC1"/>
    <w:rsid w:val="005C5EE5"/>
    <w:rsid w:val="005C5F37"/>
    <w:rsid w:val="005C5F45"/>
    <w:rsid w:val="005C5F49"/>
    <w:rsid w:val="005C5F6B"/>
    <w:rsid w:val="005C5FF1"/>
    <w:rsid w:val="005C6038"/>
    <w:rsid w:val="005C603D"/>
    <w:rsid w:val="005C6040"/>
    <w:rsid w:val="005C605D"/>
    <w:rsid w:val="005C60C4"/>
    <w:rsid w:val="005C60D0"/>
    <w:rsid w:val="005C6130"/>
    <w:rsid w:val="005C6139"/>
    <w:rsid w:val="005C6146"/>
    <w:rsid w:val="005C6162"/>
    <w:rsid w:val="005C61A6"/>
    <w:rsid w:val="005C61BF"/>
    <w:rsid w:val="005C61F3"/>
    <w:rsid w:val="005C6209"/>
    <w:rsid w:val="005C628A"/>
    <w:rsid w:val="005C62C7"/>
    <w:rsid w:val="005C62D8"/>
    <w:rsid w:val="005C63B6"/>
    <w:rsid w:val="005C63C2"/>
    <w:rsid w:val="005C63C5"/>
    <w:rsid w:val="005C6402"/>
    <w:rsid w:val="005C6440"/>
    <w:rsid w:val="005C6486"/>
    <w:rsid w:val="005C650F"/>
    <w:rsid w:val="005C653F"/>
    <w:rsid w:val="005C6596"/>
    <w:rsid w:val="005C65D5"/>
    <w:rsid w:val="005C6616"/>
    <w:rsid w:val="005C661B"/>
    <w:rsid w:val="005C662A"/>
    <w:rsid w:val="005C6677"/>
    <w:rsid w:val="005C66D2"/>
    <w:rsid w:val="005C66D5"/>
    <w:rsid w:val="005C6836"/>
    <w:rsid w:val="005C68A2"/>
    <w:rsid w:val="005C68A7"/>
    <w:rsid w:val="005C68CE"/>
    <w:rsid w:val="005C690E"/>
    <w:rsid w:val="005C6996"/>
    <w:rsid w:val="005C6A14"/>
    <w:rsid w:val="005C6A37"/>
    <w:rsid w:val="005C6A48"/>
    <w:rsid w:val="005C6A53"/>
    <w:rsid w:val="005C6AB0"/>
    <w:rsid w:val="005C6ACE"/>
    <w:rsid w:val="005C6B3A"/>
    <w:rsid w:val="005C6C0C"/>
    <w:rsid w:val="005C6C2C"/>
    <w:rsid w:val="005C6CE5"/>
    <w:rsid w:val="005C6D93"/>
    <w:rsid w:val="005C6DF4"/>
    <w:rsid w:val="005C6E32"/>
    <w:rsid w:val="005C6E6B"/>
    <w:rsid w:val="005C6F3E"/>
    <w:rsid w:val="005C6F9E"/>
    <w:rsid w:val="005C6FB6"/>
    <w:rsid w:val="005C6FF6"/>
    <w:rsid w:val="005C7018"/>
    <w:rsid w:val="005C7044"/>
    <w:rsid w:val="005C70C6"/>
    <w:rsid w:val="005C70D5"/>
    <w:rsid w:val="005C7165"/>
    <w:rsid w:val="005C716F"/>
    <w:rsid w:val="005C7199"/>
    <w:rsid w:val="005C719A"/>
    <w:rsid w:val="005C71B5"/>
    <w:rsid w:val="005C71C6"/>
    <w:rsid w:val="005C722C"/>
    <w:rsid w:val="005C7261"/>
    <w:rsid w:val="005C72BC"/>
    <w:rsid w:val="005C72C6"/>
    <w:rsid w:val="005C72DD"/>
    <w:rsid w:val="005C72FA"/>
    <w:rsid w:val="005C734B"/>
    <w:rsid w:val="005C7351"/>
    <w:rsid w:val="005C73D1"/>
    <w:rsid w:val="005C73DA"/>
    <w:rsid w:val="005C742A"/>
    <w:rsid w:val="005C7481"/>
    <w:rsid w:val="005C7492"/>
    <w:rsid w:val="005C74B6"/>
    <w:rsid w:val="005C755E"/>
    <w:rsid w:val="005C7663"/>
    <w:rsid w:val="005C766C"/>
    <w:rsid w:val="005C7685"/>
    <w:rsid w:val="005C76B9"/>
    <w:rsid w:val="005C76D8"/>
    <w:rsid w:val="005C772E"/>
    <w:rsid w:val="005C7764"/>
    <w:rsid w:val="005C77A6"/>
    <w:rsid w:val="005C77D8"/>
    <w:rsid w:val="005C7875"/>
    <w:rsid w:val="005C78A8"/>
    <w:rsid w:val="005C7919"/>
    <w:rsid w:val="005C7928"/>
    <w:rsid w:val="005C7957"/>
    <w:rsid w:val="005C795F"/>
    <w:rsid w:val="005C7A68"/>
    <w:rsid w:val="005C7AA4"/>
    <w:rsid w:val="005C7B11"/>
    <w:rsid w:val="005C7B13"/>
    <w:rsid w:val="005C7B3C"/>
    <w:rsid w:val="005C7B58"/>
    <w:rsid w:val="005C7BCE"/>
    <w:rsid w:val="005C7BDA"/>
    <w:rsid w:val="005C7CAC"/>
    <w:rsid w:val="005C7D05"/>
    <w:rsid w:val="005C7D06"/>
    <w:rsid w:val="005C7D70"/>
    <w:rsid w:val="005C7E2D"/>
    <w:rsid w:val="005C7EF4"/>
    <w:rsid w:val="005C7EF6"/>
    <w:rsid w:val="005C7F4B"/>
    <w:rsid w:val="005C7F5B"/>
    <w:rsid w:val="005C7FD9"/>
    <w:rsid w:val="005D002C"/>
    <w:rsid w:val="005D0130"/>
    <w:rsid w:val="005D015F"/>
    <w:rsid w:val="005D0186"/>
    <w:rsid w:val="005D01E0"/>
    <w:rsid w:val="005D01FB"/>
    <w:rsid w:val="005D0211"/>
    <w:rsid w:val="005D0276"/>
    <w:rsid w:val="005D03D4"/>
    <w:rsid w:val="005D04C5"/>
    <w:rsid w:val="005D04E2"/>
    <w:rsid w:val="005D0671"/>
    <w:rsid w:val="005D0689"/>
    <w:rsid w:val="005D0704"/>
    <w:rsid w:val="005D0797"/>
    <w:rsid w:val="005D07EF"/>
    <w:rsid w:val="005D0800"/>
    <w:rsid w:val="005D0802"/>
    <w:rsid w:val="005D08F1"/>
    <w:rsid w:val="005D094E"/>
    <w:rsid w:val="005D0964"/>
    <w:rsid w:val="005D09E2"/>
    <w:rsid w:val="005D0B13"/>
    <w:rsid w:val="005D0B23"/>
    <w:rsid w:val="005D0B90"/>
    <w:rsid w:val="005D0C5F"/>
    <w:rsid w:val="005D0CA1"/>
    <w:rsid w:val="005D0D46"/>
    <w:rsid w:val="005D0D50"/>
    <w:rsid w:val="005D0E17"/>
    <w:rsid w:val="005D0E22"/>
    <w:rsid w:val="005D0E31"/>
    <w:rsid w:val="005D0E40"/>
    <w:rsid w:val="005D0E6F"/>
    <w:rsid w:val="005D0E70"/>
    <w:rsid w:val="005D0E77"/>
    <w:rsid w:val="005D0E9F"/>
    <w:rsid w:val="005D0F14"/>
    <w:rsid w:val="005D0F2D"/>
    <w:rsid w:val="005D0F52"/>
    <w:rsid w:val="005D1058"/>
    <w:rsid w:val="005D108C"/>
    <w:rsid w:val="005D1197"/>
    <w:rsid w:val="005D11B0"/>
    <w:rsid w:val="005D11C3"/>
    <w:rsid w:val="005D123C"/>
    <w:rsid w:val="005D1257"/>
    <w:rsid w:val="005D1298"/>
    <w:rsid w:val="005D12E3"/>
    <w:rsid w:val="005D12FC"/>
    <w:rsid w:val="005D134D"/>
    <w:rsid w:val="005D13C6"/>
    <w:rsid w:val="005D13E7"/>
    <w:rsid w:val="005D1448"/>
    <w:rsid w:val="005D1477"/>
    <w:rsid w:val="005D1512"/>
    <w:rsid w:val="005D1528"/>
    <w:rsid w:val="005D1549"/>
    <w:rsid w:val="005D1550"/>
    <w:rsid w:val="005D155D"/>
    <w:rsid w:val="005D159A"/>
    <w:rsid w:val="005D159B"/>
    <w:rsid w:val="005D1749"/>
    <w:rsid w:val="005D1773"/>
    <w:rsid w:val="005D17B7"/>
    <w:rsid w:val="005D17C6"/>
    <w:rsid w:val="005D17C8"/>
    <w:rsid w:val="005D1845"/>
    <w:rsid w:val="005D1875"/>
    <w:rsid w:val="005D18BB"/>
    <w:rsid w:val="005D18FE"/>
    <w:rsid w:val="005D192E"/>
    <w:rsid w:val="005D1952"/>
    <w:rsid w:val="005D199B"/>
    <w:rsid w:val="005D19C0"/>
    <w:rsid w:val="005D19E8"/>
    <w:rsid w:val="005D1A11"/>
    <w:rsid w:val="005D1AC7"/>
    <w:rsid w:val="005D1B79"/>
    <w:rsid w:val="005D1BA8"/>
    <w:rsid w:val="005D1C12"/>
    <w:rsid w:val="005D1C35"/>
    <w:rsid w:val="005D1C71"/>
    <w:rsid w:val="005D1C72"/>
    <w:rsid w:val="005D1C8C"/>
    <w:rsid w:val="005D1CE2"/>
    <w:rsid w:val="005D1D53"/>
    <w:rsid w:val="005D1D8C"/>
    <w:rsid w:val="005D1D93"/>
    <w:rsid w:val="005D1E2B"/>
    <w:rsid w:val="005D1E7D"/>
    <w:rsid w:val="005D1EAA"/>
    <w:rsid w:val="005D1EB1"/>
    <w:rsid w:val="005D1F77"/>
    <w:rsid w:val="005D1F8D"/>
    <w:rsid w:val="005D203D"/>
    <w:rsid w:val="005D2096"/>
    <w:rsid w:val="005D2097"/>
    <w:rsid w:val="005D20B8"/>
    <w:rsid w:val="005D2140"/>
    <w:rsid w:val="005D218C"/>
    <w:rsid w:val="005D21BD"/>
    <w:rsid w:val="005D2245"/>
    <w:rsid w:val="005D22C2"/>
    <w:rsid w:val="005D22C3"/>
    <w:rsid w:val="005D22D8"/>
    <w:rsid w:val="005D2316"/>
    <w:rsid w:val="005D2383"/>
    <w:rsid w:val="005D2399"/>
    <w:rsid w:val="005D241B"/>
    <w:rsid w:val="005D243A"/>
    <w:rsid w:val="005D243B"/>
    <w:rsid w:val="005D2464"/>
    <w:rsid w:val="005D24CD"/>
    <w:rsid w:val="005D253A"/>
    <w:rsid w:val="005D25CC"/>
    <w:rsid w:val="005D261E"/>
    <w:rsid w:val="005D2688"/>
    <w:rsid w:val="005D26A7"/>
    <w:rsid w:val="005D2772"/>
    <w:rsid w:val="005D283D"/>
    <w:rsid w:val="005D2863"/>
    <w:rsid w:val="005D286A"/>
    <w:rsid w:val="005D289A"/>
    <w:rsid w:val="005D2921"/>
    <w:rsid w:val="005D295B"/>
    <w:rsid w:val="005D2985"/>
    <w:rsid w:val="005D29B8"/>
    <w:rsid w:val="005D2A0D"/>
    <w:rsid w:val="005D2A0E"/>
    <w:rsid w:val="005D2B30"/>
    <w:rsid w:val="005D2B95"/>
    <w:rsid w:val="005D2BD1"/>
    <w:rsid w:val="005D2BE9"/>
    <w:rsid w:val="005D2C00"/>
    <w:rsid w:val="005D2C0F"/>
    <w:rsid w:val="005D2C66"/>
    <w:rsid w:val="005D2CC3"/>
    <w:rsid w:val="005D2DA2"/>
    <w:rsid w:val="005D2E80"/>
    <w:rsid w:val="005D2F2A"/>
    <w:rsid w:val="005D2F80"/>
    <w:rsid w:val="005D2FC8"/>
    <w:rsid w:val="005D3014"/>
    <w:rsid w:val="005D3092"/>
    <w:rsid w:val="005D309F"/>
    <w:rsid w:val="005D30BB"/>
    <w:rsid w:val="005D30E4"/>
    <w:rsid w:val="005D31FF"/>
    <w:rsid w:val="005D3231"/>
    <w:rsid w:val="005D32F0"/>
    <w:rsid w:val="005D33C7"/>
    <w:rsid w:val="005D33D0"/>
    <w:rsid w:val="005D34C1"/>
    <w:rsid w:val="005D34FA"/>
    <w:rsid w:val="005D3508"/>
    <w:rsid w:val="005D3653"/>
    <w:rsid w:val="005D369F"/>
    <w:rsid w:val="005D36DE"/>
    <w:rsid w:val="005D36F1"/>
    <w:rsid w:val="005D374B"/>
    <w:rsid w:val="005D37BD"/>
    <w:rsid w:val="005D37DE"/>
    <w:rsid w:val="005D38E1"/>
    <w:rsid w:val="005D39A2"/>
    <w:rsid w:val="005D39DA"/>
    <w:rsid w:val="005D39F7"/>
    <w:rsid w:val="005D3A00"/>
    <w:rsid w:val="005D3A26"/>
    <w:rsid w:val="005D3A3F"/>
    <w:rsid w:val="005D3ADC"/>
    <w:rsid w:val="005D3B3E"/>
    <w:rsid w:val="005D3B9A"/>
    <w:rsid w:val="005D3BF1"/>
    <w:rsid w:val="005D3C85"/>
    <w:rsid w:val="005D3CA7"/>
    <w:rsid w:val="005D3D38"/>
    <w:rsid w:val="005D3D9A"/>
    <w:rsid w:val="005D3D9F"/>
    <w:rsid w:val="005D3DA1"/>
    <w:rsid w:val="005D3DE7"/>
    <w:rsid w:val="005D3E09"/>
    <w:rsid w:val="005D3E93"/>
    <w:rsid w:val="005D3EC7"/>
    <w:rsid w:val="005D3EC9"/>
    <w:rsid w:val="005D3F24"/>
    <w:rsid w:val="005D3F2C"/>
    <w:rsid w:val="005D402A"/>
    <w:rsid w:val="005D406A"/>
    <w:rsid w:val="005D408F"/>
    <w:rsid w:val="005D40B4"/>
    <w:rsid w:val="005D414C"/>
    <w:rsid w:val="005D4168"/>
    <w:rsid w:val="005D4172"/>
    <w:rsid w:val="005D4212"/>
    <w:rsid w:val="005D4261"/>
    <w:rsid w:val="005D431D"/>
    <w:rsid w:val="005D4355"/>
    <w:rsid w:val="005D435F"/>
    <w:rsid w:val="005D4391"/>
    <w:rsid w:val="005D43C4"/>
    <w:rsid w:val="005D43DD"/>
    <w:rsid w:val="005D4450"/>
    <w:rsid w:val="005D4498"/>
    <w:rsid w:val="005D44AB"/>
    <w:rsid w:val="005D44F9"/>
    <w:rsid w:val="005D4596"/>
    <w:rsid w:val="005D45CF"/>
    <w:rsid w:val="005D45EE"/>
    <w:rsid w:val="005D46B7"/>
    <w:rsid w:val="005D46BD"/>
    <w:rsid w:val="005D46F3"/>
    <w:rsid w:val="005D4745"/>
    <w:rsid w:val="005D4753"/>
    <w:rsid w:val="005D47DD"/>
    <w:rsid w:val="005D47EE"/>
    <w:rsid w:val="005D48F4"/>
    <w:rsid w:val="005D49E5"/>
    <w:rsid w:val="005D49E7"/>
    <w:rsid w:val="005D4A49"/>
    <w:rsid w:val="005D4B02"/>
    <w:rsid w:val="005D4C31"/>
    <w:rsid w:val="005D4C88"/>
    <w:rsid w:val="005D4D12"/>
    <w:rsid w:val="005D4D98"/>
    <w:rsid w:val="005D4DA0"/>
    <w:rsid w:val="005D4DDA"/>
    <w:rsid w:val="005D4E22"/>
    <w:rsid w:val="005D4E71"/>
    <w:rsid w:val="005D4EDF"/>
    <w:rsid w:val="005D4F03"/>
    <w:rsid w:val="005D4FA3"/>
    <w:rsid w:val="005D5116"/>
    <w:rsid w:val="005D5184"/>
    <w:rsid w:val="005D5216"/>
    <w:rsid w:val="005D52B9"/>
    <w:rsid w:val="005D538F"/>
    <w:rsid w:val="005D5391"/>
    <w:rsid w:val="005D53A6"/>
    <w:rsid w:val="005D544B"/>
    <w:rsid w:val="005D5471"/>
    <w:rsid w:val="005D54FD"/>
    <w:rsid w:val="005D551F"/>
    <w:rsid w:val="005D556A"/>
    <w:rsid w:val="005D557A"/>
    <w:rsid w:val="005D558D"/>
    <w:rsid w:val="005D5597"/>
    <w:rsid w:val="005D55C5"/>
    <w:rsid w:val="005D55E9"/>
    <w:rsid w:val="005D56F3"/>
    <w:rsid w:val="005D5723"/>
    <w:rsid w:val="005D575A"/>
    <w:rsid w:val="005D5763"/>
    <w:rsid w:val="005D5767"/>
    <w:rsid w:val="005D577F"/>
    <w:rsid w:val="005D5792"/>
    <w:rsid w:val="005D5796"/>
    <w:rsid w:val="005D57F3"/>
    <w:rsid w:val="005D581F"/>
    <w:rsid w:val="005D5993"/>
    <w:rsid w:val="005D59DA"/>
    <w:rsid w:val="005D5A2C"/>
    <w:rsid w:val="005D5A6A"/>
    <w:rsid w:val="005D5A9E"/>
    <w:rsid w:val="005D5AB7"/>
    <w:rsid w:val="005D5AFC"/>
    <w:rsid w:val="005D5B84"/>
    <w:rsid w:val="005D5BBD"/>
    <w:rsid w:val="005D5BDF"/>
    <w:rsid w:val="005D5BEC"/>
    <w:rsid w:val="005D5C0F"/>
    <w:rsid w:val="005D5C32"/>
    <w:rsid w:val="005D5CEB"/>
    <w:rsid w:val="005D5CF8"/>
    <w:rsid w:val="005D5D75"/>
    <w:rsid w:val="005D5D7D"/>
    <w:rsid w:val="005D5D92"/>
    <w:rsid w:val="005D5DC8"/>
    <w:rsid w:val="005D5E87"/>
    <w:rsid w:val="005D5E92"/>
    <w:rsid w:val="005D5EF3"/>
    <w:rsid w:val="005D5F8E"/>
    <w:rsid w:val="005D6018"/>
    <w:rsid w:val="005D6089"/>
    <w:rsid w:val="005D60B3"/>
    <w:rsid w:val="005D60B9"/>
    <w:rsid w:val="005D60BD"/>
    <w:rsid w:val="005D60D0"/>
    <w:rsid w:val="005D6187"/>
    <w:rsid w:val="005D61A0"/>
    <w:rsid w:val="005D6229"/>
    <w:rsid w:val="005D62A6"/>
    <w:rsid w:val="005D6339"/>
    <w:rsid w:val="005D6342"/>
    <w:rsid w:val="005D637E"/>
    <w:rsid w:val="005D6466"/>
    <w:rsid w:val="005D64A9"/>
    <w:rsid w:val="005D64C5"/>
    <w:rsid w:val="005D64CB"/>
    <w:rsid w:val="005D64E0"/>
    <w:rsid w:val="005D6511"/>
    <w:rsid w:val="005D6573"/>
    <w:rsid w:val="005D657B"/>
    <w:rsid w:val="005D668D"/>
    <w:rsid w:val="005D668F"/>
    <w:rsid w:val="005D669F"/>
    <w:rsid w:val="005D66B3"/>
    <w:rsid w:val="005D6724"/>
    <w:rsid w:val="005D672E"/>
    <w:rsid w:val="005D6822"/>
    <w:rsid w:val="005D682D"/>
    <w:rsid w:val="005D68C1"/>
    <w:rsid w:val="005D6948"/>
    <w:rsid w:val="005D6980"/>
    <w:rsid w:val="005D6982"/>
    <w:rsid w:val="005D69C6"/>
    <w:rsid w:val="005D6A23"/>
    <w:rsid w:val="005D6A3D"/>
    <w:rsid w:val="005D6A50"/>
    <w:rsid w:val="005D6ACB"/>
    <w:rsid w:val="005D6B4D"/>
    <w:rsid w:val="005D6B9C"/>
    <w:rsid w:val="005D6BB1"/>
    <w:rsid w:val="005D6BDB"/>
    <w:rsid w:val="005D6C8E"/>
    <w:rsid w:val="005D6C91"/>
    <w:rsid w:val="005D6D02"/>
    <w:rsid w:val="005D6D2C"/>
    <w:rsid w:val="005D6D4F"/>
    <w:rsid w:val="005D6D6F"/>
    <w:rsid w:val="005D6DA0"/>
    <w:rsid w:val="005D6DB3"/>
    <w:rsid w:val="005D6DDC"/>
    <w:rsid w:val="005D6E20"/>
    <w:rsid w:val="005D6FA4"/>
    <w:rsid w:val="005D6FC8"/>
    <w:rsid w:val="005D6FFC"/>
    <w:rsid w:val="005D7026"/>
    <w:rsid w:val="005D702E"/>
    <w:rsid w:val="005D7090"/>
    <w:rsid w:val="005D70BC"/>
    <w:rsid w:val="005D714A"/>
    <w:rsid w:val="005D71DE"/>
    <w:rsid w:val="005D7246"/>
    <w:rsid w:val="005D724B"/>
    <w:rsid w:val="005D725E"/>
    <w:rsid w:val="005D7281"/>
    <w:rsid w:val="005D7309"/>
    <w:rsid w:val="005D7387"/>
    <w:rsid w:val="005D741E"/>
    <w:rsid w:val="005D74B6"/>
    <w:rsid w:val="005D74D1"/>
    <w:rsid w:val="005D7557"/>
    <w:rsid w:val="005D768F"/>
    <w:rsid w:val="005D772D"/>
    <w:rsid w:val="005D7769"/>
    <w:rsid w:val="005D779D"/>
    <w:rsid w:val="005D77AA"/>
    <w:rsid w:val="005D782A"/>
    <w:rsid w:val="005D784C"/>
    <w:rsid w:val="005D7860"/>
    <w:rsid w:val="005D78B7"/>
    <w:rsid w:val="005D78C7"/>
    <w:rsid w:val="005D78DD"/>
    <w:rsid w:val="005D7987"/>
    <w:rsid w:val="005D79E7"/>
    <w:rsid w:val="005D7A3B"/>
    <w:rsid w:val="005D7B46"/>
    <w:rsid w:val="005D7B55"/>
    <w:rsid w:val="005D7B8F"/>
    <w:rsid w:val="005D7B97"/>
    <w:rsid w:val="005D7C9C"/>
    <w:rsid w:val="005D7C9E"/>
    <w:rsid w:val="005D7CC1"/>
    <w:rsid w:val="005D7CEE"/>
    <w:rsid w:val="005D7D1C"/>
    <w:rsid w:val="005D7D74"/>
    <w:rsid w:val="005D7F1C"/>
    <w:rsid w:val="005D7F32"/>
    <w:rsid w:val="005D7F41"/>
    <w:rsid w:val="005D7FFC"/>
    <w:rsid w:val="005E0017"/>
    <w:rsid w:val="005E0034"/>
    <w:rsid w:val="005E0056"/>
    <w:rsid w:val="005E00B9"/>
    <w:rsid w:val="005E014B"/>
    <w:rsid w:val="005E01FC"/>
    <w:rsid w:val="005E0296"/>
    <w:rsid w:val="005E02D3"/>
    <w:rsid w:val="005E02DC"/>
    <w:rsid w:val="005E033C"/>
    <w:rsid w:val="005E034E"/>
    <w:rsid w:val="005E039A"/>
    <w:rsid w:val="005E03A7"/>
    <w:rsid w:val="005E03BE"/>
    <w:rsid w:val="005E0474"/>
    <w:rsid w:val="005E0475"/>
    <w:rsid w:val="005E04A4"/>
    <w:rsid w:val="005E052D"/>
    <w:rsid w:val="005E0633"/>
    <w:rsid w:val="005E0648"/>
    <w:rsid w:val="005E06CA"/>
    <w:rsid w:val="005E06F8"/>
    <w:rsid w:val="005E0756"/>
    <w:rsid w:val="005E08D8"/>
    <w:rsid w:val="005E0B04"/>
    <w:rsid w:val="005E0B3F"/>
    <w:rsid w:val="005E0B92"/>
    <w:rsid w:val="005E0B9E"/>
    <w:rsid w:val="005E0C3C"/>
    <w:rsid w:val="005E0C76"/>
    <w:rsid w:val="005E0C89"/>
    <w:rsid w:val="005E0CAE"/>
    <w:rsid w:val="005E0CF6"/>
    <w:rsid w:val="005E0D3D"/>
    <w:rsid w:val="005E0D5B"/>
    <w:rsid w:val="005E0D60"/>
    <w:rsid w:val="005E0DC5"/>
    <w:rsid w:val="005E0DF5"/>
    <w:rsid w:val="005E0E34"/>
    <w:rsid w:val="005E0E89"/>
    <w:rsid w:val="005E0E8E"/>
    <w:rsid w:val="005E0EE1"/>
    <w:rsid w:val="005E0EEC"/>
    <w:rsid w:val="005E0F44"/>
    <w:rsid w:val="005E0F61"/>
    <w:rsid w:val="005E100F"/>
    <w:rsid w:val="005E1057"/>
    <w:rsid w:val="005E1087"/>
    <w:rsid w:val="005E1158"/>
    <w:rsid w:val="005E11E3"/>
    <w:rsid w:val="005E124A"/>
    <w:rsid w:val="005E12C1"/>
    <w:rsid w:val="005E1329"/>
    <w:rsid w:val="005E136E"/>
    <w:rsid w:val="005E13A9"/>
    <w:rsid w:val="005E13E2"/>
    <w:rsid w:val="005E1420"/>
    <w:rsid w:val="005E149A"/>
    <w:rsid w:val="005E149F"/>
    <w:rsid w:val="005E160E"/>
    <w:rsid w:val="005E1641"/>
    <w:rsid w:val="005E165E"/>
    <w:rsid w:val="005E1662"/>
    <w:rsid w:val="005E16B1"/>
    <w:rsid w:val="005E180E"/>
    <w:rsid w:val="005E1819"/>
    <w:rsid w:val="005E182E"/>
    <w:rsid w:val="005E1877"/>
    <w:rsid w:val="005E18BD"/>
    <w:rsid w:val="005E191B"/>
    <w:rsid w:val="005E1934"/>
    <w:rsid w:val="005E1988"/>
    <w:rsid w:val="005E1A29"/>
    <w:rsid w:val="005E1AE7"/>
    <w:rsid w:val="005E1B21"/>
    <w:rsid w:val="005E1B35"/>
    <w:rsid w:val="005E1B49"/>
    <w:rsid w:val="005E1B61"/>
    <w:rsid w:val="005E1BCF"/>
    <w:rsid w:val="005E1C93"/>
    <w:rsid w:val="005E1CB4"/>
    <w:rsid w:val="005E1CBB"/>
    <w:rsid w:val="005E1CE1"/>
    <w:rsid w:val="005E1CE7"/>
    <w:rsid w:val="005E1D20"/>
    <w:rsid w:val="005E1DBC"/>
    <w:rsid w:val="005E1DE0"/>
    <w:rsid w:val="005E1E57"/>
    <w:rsid w:val="005E1EBC"/>
    <w:rsid w:val="005E1F6E"/>
    <w:rsid w:val="005E1F90"/>
    <w:rsid w:val="005E1FA6"/>
    <w:rsid w:val="005E1FD4"/>
    <w:rsid w:val="005E2010"/>
    <w:rsid w:val="005E205F"/>
    <w:rsid w:val="005E2142"/>
    <w:rsid w:val="005E2149"/>
    <w:rsid w:val="005E2150"/>
    <w:rsid w:val="005E2162"/>
    <w:rsid w:val="005E21A7"/>
    <w:rsid w:val="005E2287"/>
    <w:rsid w:val="005E2356"/>
    <w:rsid w:val="005E2369"/>
    <w:rsid w:val="005E238D"/>
    <w:rsid w:val="005E239C"/>
    <w:rsid w:val="005E244F"/>
    <w:rsid w:val="005E246E"/>
    <w:rsid w:val="005E2484"/>
    <w:rsid w:val="005E24FB"/>
    <w:rsid w:val="005E2529"/>
    <w:rsid w:val="005E2554"/>
    <w:rsid w:val="005E2570"/>
    <w:rsid w:val="005E259C"/>
    <w:rsid w:val="005E25AE"/>
    <w:rsid w:val="005E265B"/>
    <w:rsid w:val="005E26EF"/>
    <w:rsid w:val="005E2704"/>
    <w:rsid w:val="005E270A"/>
    <w:rsid w:val="005E2774"/>
    <w:rsid w:val="005E2814"/>
    <w:rsid w:val="005E2849"/>
    <w:rsid w:val="005E286A"/>
    <w:rsid w:val="005E29B4"/>
    <w:rsid w:val="005E29E1"/>
    <w:rsid w:val="005E2A72"/>
    <w:rsid w:val="005E2B73"/>
    <w:rsid w:val="005E2B85"/>
    <w:rsid w:val="005E2C30"/>
    <w:rsid w:val="005E2CC1"/>
    <w:rsid w:val="005E2D5F"/>
    <w:rsid w:val="005E2E02"/>
    <w:rsid w:val="005E2E59"/>
    <w:rsid w:val="005E2E95"/>
    <w:rsid w:val="005E2E96"/>
    <w:rsid w:val="005E2EBB"/>
    <w:rsid w:val="005E2F15"/>
    <w:rsid w:val="005E2FA4"/>
    <w:rsid w:val="005E2FD3"/>
    <w:rsid w:val="005E3053"/>
    <w:rsid w:val="005E30D3"/>
    <w:rsid w:val="005E30E2"/>
    <w:rsid w:val="005E30F2"/>
    <w:rsid w:val="005E3119"/>
    <w:rsid w:val="005E3143"/>
    <w:rsid w:val="005E316A"/>
    <w:rsid w:val="005E3175"/>
    <w:rsid w:val="005E31DB"/>
    <w:rsid w:val="005E31EE"/>
    <w:rsid w:val="005E3220"/>
    <w:rsid w:val="005E32D5"/>
    <w:rsid w:val="005E334E"/>
    <w:rsid w:val="005E3378"/>
    <w:rsid w:val="005E345A"/>
    <w:rsid w:val="005E3465"/>
    <w:rsid w:val="005E3488"/>
    <w:rsid w:val="005E34DA"/>
    <w:rsid w:val="005E351E"/>
    <w:rsid w:val="005E3520"/>
    <w:rsid w:val="005E3536"/>
    <w:rsid w:val="005E3559"/>
    <w:rsid w:val="005E3635"/>
    <w:rsid w:val="005E3643"/>
    <w:rsid w:val="005E36CA"/>
    <w:rsid w:val="005E36F8"/>
    <w:rsid w:val="005E3845"/>
    <w:rsid w:val="005E3891"/>
    <w:rsid w:val="005E38C2"/>
    <w:rsid w:val="005E3952"/>
    <w:rsid w:val="005E3982"/>
    <w:rsid w:val="005E39B8"/>
    <w:rsid w:val="005E39D7"/>
    <w:rsid w:val="005E3A17"/>
    <w:rsid w:val="005E3A25"/>
    <w:rsid w:val="005E3A26"/>
    <w:rsid w:val="005E3A4A"/>
    <w:rsid w:val="005E3A58"/>
    <w:rsid w:val="005E3A89"/>
    <w:rsid w:val="005E3A98"/>
    <w:rsid w:val="005E3AB1"/>
    <w:rsid w:val="005E3AB9"/>
    <w:rsid w:val="005E3AE7"/>
    <w:rsid w:val="005E3B29"/>
    <w:rsid w:val="005E3B5D"/>
    <w:rsid w:val="005E3BCF"/>
    <w:rsid w:val="005E3BF8"/>
    <w:rsid w:val="005E3BFD"/>
    <w:rsid w:val="005E3C4C"/>
    <w:rsid w:val="005E3C54"/>
    <w:rsid w:val="005E3CAF"/>
    <w:rsid w:val="005E3CE2"/>
    <w:rsid w:val="005E3CFE"/>
    <w:rsid w:val="005E3D71"/>
    <w:rsid w:val="005E3E11"/>
    <w:rsid w:val="005E3E4E"/>
    <w:rsid w:val="005E3F86"/>
    <w:rsid w:val="005E3F9A"/>
    <w:rsid w:val="005E3FEB"/>
    <w:rsid w:val="005E4057"/>
    <w:rsid w:val="005E4088"/>
    <w:rsid w:val="005E408E"/>
    <w:rsid w:val="005E40A2"/>
    <w:rsid w:val="005E4106"/>
    <w:rsid w:val="005E4112"/>
    <w:rsid w:val="005E412A"/>
    <w:rsid w:val="005E415C"/>
    <w:rsid w:val="005E41B2"/>
    <w:rsid w:val="005E41BA"/>
    <w:rsid w:val="005E41D1"/>
    <w:rsid w:val="005E4227"/>
    <w:rsid w:val="005E424A"/>
    <w:rsid w:val="005E4383"/>
    <w:rsid w:val="005E4386"/>
    <w:rsid w:val="005E43BA"/>
    <w:rsid w:val="005E43D5"/>
    <w:rsid w:val="005E440A"/>
    <w:rsid w:val="005E441C"/>
    <w:rsid w:val="005E4421"/>
    <w:rsid w:val="005E4453"/>
    <w:rsid w:val="005E4580"/>
    <w:rsid w:val="005E45A4"/>
    <w:rsid w:val="005E45BC"/>
    <w:rsid w:val="005E45C6"/>
    <w:rsid w:val="005E45DB"/>
    <w:rsid w:val="005E45E6"/>
    <w:rsid w:val="005E45EA"/>
    <w:rsid w:val="005E45FF"/>
    <w:rsid w:val="005E4633"/>
    <w:rsid w:val="005E46E7"/>
    <w:rsid w:val="005E472C"/>
    <w:rsid w:val="005E4743"/>
    <w:rsid w:val="005E4767"/>
    <w:rsid w:val="005E476D"/>
    <w:rsid w:val="005E4789"/>
    <w:rsid w:val="005E4793"/>
    <w:rsid w:val="005E48EB"/>
    <w:rsid w:val="005E4923"/>
    <w:rsid w:val="005E4928"/>
    <w:rsid w:val="005E4A60"/>
    <w:rsid w:val="005E4ADE"/>
    <w:rsid w:val="005E4ADF"/>
    <w:rsid w:val="005E4B18"/>
    <w:rsid w:val="005E4BCE"/>
    <w:rsid w:val="005E4BE5"/>
    <w:rsid w:val="005E4C32"/>
    <w:rsid w:val="005E4CA6"/>
    <w:rsid w:val="005E4CB2"/>
    <w:rsid w:val="005E4CBD"/>
    <w:rsid w:val="005E4D14"/>
    <w:rsid w:val="005E4D3D"/>
    <w:rsid w:val="005E4D5F"/>
    <w:rsid w:val="005E4DE0"/>
    <w:rsid w:val="005E4EB7"/>
    <w:rsid w:val="005E4F12"/>
    <w:rsid w:val="005E4F1B"/>
    <w:rsid w:val="005E4F34"/>
    <w:rsid w:val="005E4F66"/>
    <w:rsid w:val="005E4F7E"/>
    <w:rsid w:val="005E4F89"/>
    <w:rsid w:val="005E4F98"/>
    <w:rsid w:val="005E5031"/>
    <w:rsid w:val="005E5129"/>
    <w:rsid w:val="005E5131"/>
    <w:rsid w:val="005E5189"/>
    <w:rsid w:val="005E518B"/>
    <w:rsid w:val="005E5254"/>
    <w:rsid w:val="005E525E"/>
    <w:rsid w:val="005E52DA"/>
    <w:rsid w:val="005E5303"/>
    <w:rsid w:val="005E5319"/>
    <w:rsid w:val="005E5385"/>
    <w:rsid w:val="005E53CB"/>
    <w:rsid w:val="005E53E0"/>
    <w:rsid w:val="005E5453"/>
    <w:rsid w:val="005E54A0"/>
    <w:rsid w:val="005E55D2"/>
    <w:rsid w:val="005E55E5"/>
    <w:rsid w:val="005E5637"/>
    <w:rsid w:val="005E567F"/>
    <w:rsid w:val="005E568D"/>
    <w:rsid w:val="005E5749"/>
    <w:rsid w:val="005E57D6"/>
    <w:rsid w:val="005E5802"/>
    <w:rsid w:val="005E5837"/>
    <w:rsid w:val="005E5871"/>
    <w:rsid w:val="005E58A8"/>
    <w:rsid w:val="005E58CD"/>
    <w:rsid w:val="005E58EC"/>
    <w:rsid w:val="005E5903"/>
    <w:rsid w:val="005E59AC"/>
    <w:rsid w:val="005E59F9"/>
    <w:rsid w:val="005E5AAA"/>
    <w:rsid w:val="005E5AC4"/>
    <w:rsid w:val="005E5B2E"/>
    <w:rsid w:val="005E5B37"/>
    <w:rsid w:val="005E5B79"/>
    <w:rsid w:val="005E5B7A"/>
    <w:rsid w:val="005E5C31"/>
    <w:rsid w:val="005E5C4B"/>
    <w:rsid w:val="005E5CF7"/>
    <w:rsid w:val="005E5D48"/>
    <w:rsid w:val="005E5E4C"/>
    <w:rsid w:val="005E5E50"/>
    <w:rsid w:val="005E5E69"/>
    <w:rsid w:val="005E5EF1"/>
    <w:rsid w:val="005E5EFE"/>
    <w:rsid w:val="005E5F10"/>
    <w:rsid w:val="005E5F49"/>
    <w:rsid w:val="005E5F58"/>
    <w:rsid w:val="005E5F5A"/>
    <w:rsid w:val="005E5F6E"/>
    <w:rsid w:val="005E5F74"/>
    <w:rsid w:val="005E5FDB"/>
    <w:rsid w:val="005E601D"/>
    <w:rsid w:val="005E6084"/>
    <w:rsid w:val="005E6095"/>
    <w:rsid w:val="005E609F"/>
    <w:rsid w:val="005E616B"/>
    <w:rsid w:val="005E61AD"/>
    <w:rsid w:val="005E61F3"/>
    <w:rsid w:val="005E6216"/>
    <w:rsid w:val="005E6257"/>
    <w:rsid w:val="005E62C7"/>
    <w:rsid w:val="005E62EC"/>
    <w:rsid w:val="005E62EE"/>
    <w:rsid w:val="005E6307"/>
    <w:rsid w:val="005E6366"/>
    <w:rsid w:val="005E63C0"/>
    <w:rsid w:val="005E6421"/>
    <w:rsid w:val="005E648E"/>
    <w:rsid w:val="005E65B1"/>
    <w:rsid w:val="005E65C8"/>
    <w:rsid w:val="005E6601"/>
    <w:rsid w:val="005E6602"/>
    <w:rsid w:val="005E660F"/>
    <w:rsid w:val="005E6637"/>
    <w:rsid w:val="005E663E"/>
    <w:rsid w:val="005E6642"/>
    <w:rsid w:val="005E667D"/>
    <w:rsid w:val="005E6713"/>
    <w:rsid w:val="005E6725"/>
    <w:rsid w:val="005E67E7"/>
    <w:rsid w:val="005E6813"/>
    <w:rsid w:val="005E6827"/>
    <w:rsid w:val="005E6879"/>
    <w:rsid w:val="005E68CF"/>
    <w:rsid w:val="005E6A04"/>
    <w:rsid w:val="005E6A36"/>
    <w:rsid w:val="005E6AAE"/>
    <w:rsid w:val="005E6AB3"/>
    <w:rsid w:val="005E6B3E"/>
    <w:rsid w:val="005E6B51"/>
    <w:rsid w:val="005E6B5A"/>
    <w:rsid w:val="005E6B64"/>
    <w:rsid w:val="005E6BEF"/>
    <w:rsid w:val="005E6D0D"/>
    <w:rsid w:val="005E6D12"/>
    <w:rsid w:val="005E6D3E"/>
    <w:rsid w:val="005E6D47"/>
    <w:rsid w:val="005E6D70"/>
    <w:rsid w:val="005E6D7D"/>
    <w:rsid w:val="005E6E08"/>
    <w:rsid w:val="005E6E41"/>
    <w:rsid w:val="005E6F29"/>
    <w:rsid w:val="005E6F5B"/>
    <w:rsid w:val="005E6F72"/>
    <w:rsid w:val="005E6F73"/>
    <w:rsid w:val="005E6F7D"/>
    <w:rsid w:val="005E70C6"/>
    <w:rsid w:val="005E70D3"/>
    <w:rsid w:val="005E70DF"/>
    <w:rsid w:val="005E7130"/>
    <w:rsid w:val="005E7146"/>
    <w:rsid w:val="005E7293"/>
    <w:rsid w:val="005E729B"/>
    <w:rsid w:val="005E7323"/>
    <w:rsid w:val="005E7347"/>
    <w:rsid w:val="005E734C"/>
    <w:rsid w:val="005E7360"/>
    <w:rsid w:val="005E737C"/>
    <w:rsid w:val="005E73AC"/>
    <w:rsid w:val="005E7452"/>
    <w:rsid w:val="005E74F0"/>
    <w:rsid w:val="005E750B"/>
    <w:rsid w:val="005E7527"/>
    <w:rsid w:val="005E7574"/>
    <w:rsid w:val="005E75AE"/>
    <w:rsid w:val="005E7601"/>
    <w:rsid w:val="005E776F"/>
    <w:rsid w:val="005E7792"/>
    <w:rsid w:val="005E77D3"/>
    <w:rsid w:val="005E77DB"/>
    <w:rsid w:val="005E78A6"/>
    <w:rsid w:val="005E792E"/>
    <w:rsid w:val="005E7947"/>
    <w:rsid w:val="005E795E"/>
    <w:rsid w:val="005E796C"/>
    <w:rsid w:val="005E798A"/>
    <w:rsid w:val="005E7993"/>
    <w:rsid w:val="005E7A3C"/>
    <w:rsid w:val="005E7A77"/>
    <w:rsid w:val="005E7AAB"/>
    <w:rsid w:val="005E7ACD"/>
    <w:rsid w:val="005E7B31"/>
    <w:rsid w:val="005E7B6B"/>
    <w:rsid w:val="005E7B6D"/>
    <w:rsid w:val="005E7B91"/>
    <w:rsid w:val="005E7C60"/>
    <w:rsid w:val="005E7C8C"/>
    <w:rsid w:val="005E7CFF"/>
    <w:rsid w:val="005E7DD4"/>
    <w:rsid w:val="005E7DE5"/>
    <w:rsid w:val="005E7DFE"/>
    <w:rsid w:val="005E7E06"/>
    <w:rsid w:val="005E7E77"/>
    <w:rsid w:val="005E7E99"/>
    <w:rsid w:val="005E7E9F"/>
    <w:rsid w:val="005E7EA7"/>
    <w:rsid w:val="005E7EE0"/>
    <w:rsid w:val="005E7F68"/>
    <w:rsid w:val="005E7FAD"/>
    <w:rsid w:val="005E7FCF"/>
    <w:rsid w:val="005E7FD4"/>
    <w:rsid w:val="005F0028"/>
    <w:rsid w:val="005F0056"/>
    <w:rsid w:val="005F00BC"/>
    <w:rsid w:val="005F00C5"/>
    <w:rsid w:val="005F00FE"/>
    <w:rsid w:val="005F016C"/>
    <w:rsid w:val="005F018D"/>
    <w:rsid w:val="005F0192"/>
    <w:rsid w:val="005F022D"/>
    <w:rsid w:val="005F02A2"/>
    <w:rsid w:val="005F031E"/>
    <w:rsid w:val="005F0335"/>
    <w:rsid w:val="005F0377"/>
    <w:rsid w:val="005F038F"/>
    <w:rsid w:val="005F048F"/>
    <w:rsid w:val="005F049C"/>
    <w:rsid w:val="005F0518"/>
    <w:rsid w:val="005F054D"/>
    <w:rsid w:val="005F05BA"/>
    <w:rsid w:val="005F05DE"/>
    <w:rsid w:val="005F05F9"/>
    <w:rsid w:val="005F0612"/>
    <w:rsid w:val="005F0691"/>
    <w:rsid w:val="005F06C7"/>
    <w:rsid w:val="005F06E3"/>
    <w:rsid w:val="005F0786"/>
    <w:rsid w:val="005F08AC"/>
    <w:rsid w:val="005F08C0"/>
    <w:rsid w:val="005F0908"/>
    <w:rsid w:val="005F090C"/>
    <w:rsid w:val="005F0A01"/>
    <w:rsid w:val="005F0A99"/>
    <w:rsid w:val="005F0B38"/>
    <w:rsid w:val="005F0BC2"/>
    <w:rsid w:val="005F0BC7"/>
    <w:rsid w:val="005F0BD7"/>
    <w:rsid w:val="005F0BF9"/>
    <w:rsid w:val="005F0C4A"/>
    <w:rsid w:val="005F0C55"/>
    <w:rsid w:val="005F0C72"/>
    <w:rsid w:val="005F0D36"/>
    <w:rsid w:val="005F0DDD"/>
    <w:rsid w:val="005F0EC6"/>
    <w:rsid w:val="005F0FDD"/>
    <w:rsid w:val="005F1019"/>
    <w:rsid w:val="005F102C"/>
    <w:rsid w:val="005F109E"/>
    <w:rsid w:val="005F10BC"/>
    <w:rsid w:val="005F11BE"/>
    <w:rsid w:val="005F11BF"/>
    <w:rsid w:val="005F126B"/>
    <w:rsid w:val="005F1284"/>
    <w:rsid w:val="005F1295"/>
    <w:rsid w:val="005F1355"/>
    <w:rsid w:val="005F1401"/>
    <w:rsid w:val="005F1457"/>
    <w:rsid w:val="005F1472"/>
    <w:rsid w:val="005F14B3"/>
    <w:rsid w:val="005F1524"/>
    <w:rsid w:val="005F15BE"/>
    <w:rsid w:val="005F15D7"/>
    <w:rsid w:val="005F169B"/>
    <w:rsid w:val="005F17B3"/>
    <w:rsid w:val="005F17F8"/>
    <w:rsid w:val="005F184F"/>
    <w:rsid w:val="005F18D2"/>
    <w:rsid w:val="005F1935"/>
    <w:rsid w:val="005F1971"/>
    <w:rsid w:val="005F198C"/>
    <w:rsid w:val="005F19B4"/>
    <w:rsid w:val="005F1A25"/>
    <w:rsid w:val="005F1B27"/>
    <w:rsid w:val="005F1B77"/>
    <w:rsid w:val="005F1B90"/>
    <w:rsid w:val="005F1CAD"/>
    <w:rsid w:val="005F1D10"/>
    <w:rsid w:val="005F1D5C"/>
    <w:rsid w:val="005F1E04"/>
    <w:rsid w:val="005F1E07"/>
    <w:rsid w:val="005F1F70"/>
    <w:rsid w:val="005F1F89"/>
    <w:rsid w:val="005F1FA9"/>
    <w:rsid w:val="005F1FD7"/>
    <w:rsid w:val="005F2074"/>
    <w:rsid w:val="005F207B"/>
    <w:rsid w:val="005F20B8"/>
    <w:rsid w:val="005F215B"/>
    <w:rsid w:val="005F216C"/>
    <w:rsid w:val="005F2177"/>
    <w:rsid w:val="005F21C9"/>
    <w:rsid w:val="005F21CE"/>
    <w:rsid w:val="005F21F5"/>
    <w:rsid w:val="005F2200"/>
    <w:rsid w:val="005F224C"/>
    <w:rsid w:val="005F225E"/>
    <w:rsid w:val="005F2347"/>
    <w:rsid w:val="005F234A"/>
    <w:rsid w:val="005F2373"/>
    <w:rsid w:val="005F2379"/>
    <w:rsid w:val="005F23B4"/>
    <w:rsid w:val="005F2401"/>
    <w:rsid w:val="005F2413"/>
    <w:rsid w:val="005F242D"/>
    <w:rsid w:val="005F2493"/>
    <w:rsid w:val="005F24C7"/>
    <w:rsid w:val="005F2511"/>
    <w:rsid w:val="005F2518"/>
    <w:rsid w:val="005F25AD"/>
    <w:rsid w:val="005F25CB"/>
    <w:rsid w:val="005F2704"/>
    <w:rsid w:val="005F271D"/>
    <w:rsid w:val="005F27A7"/>
    <w:rsid w:val="005F27B6"/>
    <w:rsid w:val="005F282C"/>
    <w:rsid w:val="005F282E"/>
    <w:rsid w:val="005F284B"/>
    <w:rsid w:val="005F28A0"/>
    <w:rsid w:val="005F28D3"/>
    <w:rsid w:val="005F292A"/>
    <w:rsid w:val="005F292B"/>
    <w:rsid w:val="005F2959"/>
    <w:rsid w:val="005F2977"/>
    <w:rsid w:val="005F29CE"/>
    <w:rsid w:val="005F29CF"/>
    <w:rsid w:val="005F29E9"/>
    <w:rsid w:val="005F29EC"/>
    <w:rsid w:val="005F2A25"/>
    <w:rsid w:val="005F2ADB"/>
    <w:rsid w:val="005F2AEB"/>
    <w:rsid w:val="005F2B1B"/>
    <w:rsid w:val="005F2B54"/>
    <w:rsid w:val="005F2BAA"/>
    <w:rsid w:val="005F2BF6"/>
    <w:rsid w:val="005F2BFB"/>
    <w:rsid w:val="005F2CEC"/>
    <w:rsid w:val="005F2D41"/>
    <w:rsid w:val="005F2DDE"/>
    <w:rsid w:val="005F2E14"/>
    <w:rsid w:val="005F2E8E"/>
    <w:rsid w:val="005F2EAB"/>
    <w:rsid w:val="005F2F03"/>
    <w:rsid w:val="005F2F76"/>
    <w:rsid w:val="005F2F7D"/>
    <w:rsid w:val="005F2FC7"/>
    <w:rsid w:val="005F304C"/>
    <w:rsid w:val="005F3072"/>
    <w:rsid w:val="005F3076"/>
    <w:rsid w:val="005F3082"/>
    <w:rsid w:val="005F30A1"/>
    <w:rsid w:val="005F314D"/>
    <w:rsid w:val="005F3167"/>
    <w:rsid w:val="005F3173"/>
    <w:rsid w:val="005F31F4"/>
    <w:rsid w:val="005F31FF"/>
    <w:rsid w:val="005F32BE"/>
    <w:rsid w:val="005F32D8"/>
    <w:rsid w:val="005F339C"/>
    <w:rsid w:val="005F34C5"/>
    <w:rsid w:val="005F34D3"/>
    <w:rsid w:val="005F3517"/>
    <w:rsid w:val="005F3653"/>
    <w:rsid w:val="005F3712"/>
    <w:rsid w:val="005F377B"/>
    <w:rsid w:val="005F37CF"/>
    <w:rsid w:val="005F37E3"/>
    <w:rsid w:val="005F37F3"/>
    <w:rsid w:val="005F38A5"/>
    <w:rsid w:val="005F39FA"/>
    <w:rsid w:val="005F39FE"/>
    <w:rsid w:val="005F3A36"/>
    <w:rsid w:val="005F3A38"/>
    <w:rsid w:val="005F3A55"/>
    <w:rsid w:val="005F3A6C"/>
    <w:rsid w:val="005F3ACE"/>
    <w:rsid w:val="005F3B0A"/>
    <w:rsid w:val="005F3B3D"/>
    <w:rsid w:val="005F3CB9"/>
    <w:rsid w:val="005F3D55"/>
    <w:rsid w:val="005F3D5D"/>
    <w:rsid w:val="005F3D87"/>
    <w:rsid w:val="005F3E20"/>
    <w:rsid w:val="005F3EF6"/>
    <w:rsid w:val="005F3F09"/>
    <w:rsid w:val="005F3F43"/>
    <w:rsid w:val="005F3FB0"/>
    <w:rsid w:val="005F3FE0"/>
    <w:rsid w:val="005F3FE3"/>
    <w:rsid w:val="005F4006"/>
    <w:rsid w:val="005F404F"/>
    <w:rsid w:val="005F40A3"/>
    <w:rsid w:val="005F40C2"/>
    <w:rsid w:val="005F40E1"/>
    <w:rsid w:val="005F40F6"/>
    <w:rsid w:val="005F414B"/>
    <w:rsid w:val="005F419C"/>
    <w:rsid w:val="005F424B"/>
    <w:rsid w:val="005F4263"/>
    <w:rsid w:val="005F434F"/>
    <w:rsid w:val="005F437A"/>
    <w:rsid w:val="005F4484"/>
    <w:rsid w:val="005F44EB"/>
    <w:rsid w:val="005F44F9"/>
    <w:rsid w:val="005F45A8"/>
    <w:rsid w:val="005F45CA"/>
    <w:rsid w:val="005F4628"/>
    <w:rsid w:val="005F4656"/>
    <w:rsid w:val="005F46CB"/>
    <w:rsid w:val="005F47D3"/>
    <w:rsid w:val="005F47DE"/>
    <w:rsid w:val="005F4892"/>
    <w:rsid w:val="005F48B1"/>
    <w:rsid w:val="005F48D1"/>
    <w:rsid w:val="005F48D2"/>
    <w:rsid w:val="005F48E0"/>
    <w:rsid w:val="005F4939"/>
    <w:rsid w:val="005F4999"/>
    <w:rsid w:val="005F49E4"/>
    <w:rsid w:val="005F4A77"/>
    <w:rsid w:val="005F4AB1"/>
    <w:rsid w:val="005F4ABA"/>
    <w:rsid w:val="005F4C74"/>
    <w:rsid w:val="005F4D21"/>
    <w:rsid w:val="005F4D3E"/>
    <w:rsid w:val="005F4D63"/>
    <w:rsid w:val="005F4D8F"/>
    <w:rsid w:val="005F4D9D"/>
    <w:rsid w:val="005F4DA3"/>
    <w:rsid w:val="005F4DCA"/>
    <w:rsid w:val="005F4DF7"/>
    <w:rsid w:val="005F4EDF"/>
    <w:rsid w:val="005F4EED"/>
    <w:rsid w:val="005F4EFE"/>
    <w:rsid w:val="005F4F6A"/>
    <w:rsid w:val="005F4FE2"/>
    <w:rsid w:val="005F4FF8"/>
    <w:rsid w:val="005F5018"/>
    <w:rsid w:val="005F5030"/>
    <w:rsid w:val="005F50C1"/>
    <w:rsid w:val="005F50E4"/>
    <w:rsid w:val="005F50FB"/>
    <w:rsid w:val="005F50FE"/>
    <w:rsid w:val="005F520A"/>
    <w:rsid w:val="005F5264"/>
    <w:rsid w:val="005F52A6"/>
    <w:rsid w:val="005F532E"/>
    <w:rsid w:val="005F540D"/>
    <w:rsid w:val="005F542A"/>
    <w:rsid w:val="005F5493"/>
    <w:rsid w:val="005F54CB"/>
    <w:rsid w:val="005F5529"/>
    <w:rsid w:val="005F5557"/>
    <w:rsid w:val="005F555C"/>
    <w:rsid w:val="005F5565"/>
    <w:rsid w:val="005F557C"/>
    <w:rsid w:val="005F55CA"/>
    <w:rsid w:val="005F55CD"/>
    <w:rsid w:val="005F55D8"/>
    <w:rsid w:val="005F55EC"/>
    <w:rsid w:val="005F5620"/>
    <w:rsid w:val="005F5621"/>
    <w:rsid w:val="005F56E3"/>
    <w:rsid w:val="005F56FD"/>
    <w:rsid w:val="005F571F"/>
    <w:rsid w:val="005F5770"/>
    <w:rsid w:val="005F57B1"/>
    <w:rsid w:val="005F57C7"/>
    <w:rsid w:val="005F5866"/>
    <w:rsid w:val="005F58D4"/>
    <w:rsid w:val="005F58F9"/>
    <w:rsid w:val="005F59FA"/>
    <w:rsid w:val="005F5A18"/>
    <w:rsid w:val="005F5A9A"/>
    <w:rsid w:val="005F5A9C"/>
    <w:rsid w:val="005F5AAC"/>
    <w:rsid w:val="005F5AF1"/>
    <w:rsid w:val="005F5B53"/>
    <w:rsid w:val="005F5B6F"/>
    <w:rsid w:val="005F5C40"/>
    <w:rsid w:val="005F5C82"/>
    <w:rsid w:val="005F5D01"/>
    <w:rsid w:val="005F5DEC"/>
    <w:rsid w:val="005F5E2B"/>
    <w:rsid w:val="005F5E41"/>
    <w:rsid w:val="005F5F10"/>
    <w:rsid w:val="005F5FDB"/>
    <w:rsid w:val="005F6042"/>
    <w:rsid w:val="005F6077"/>
    <w:rsid w:val="005F60BB"/>
    <w:rsid w:val="005F6130"/>
    <w:rsid w:val="005F6137"/>
    <w:rsid w:val="005F615A"/>
    <w:rsid w:val="005F6181"/>
    <w:rsid w:val="005F61D9"/>
    <w:rsid w:val="005F61DC"/>
    <w:rsid w:val="005F6225"/>
    <w:rsid w:val="005F62EC"/>
    <w:rsid w:val="005F6315"/>
    <w:rsid w:val="005F632B"/>
    <w:rsid w:val="005F633B"/>
    <w:rsid w:val="005F6343"/>
    <w:rsid w:val="005F634E"/>
    <w:rsid w:val="005F636A"/>
    <w:rsid w:val="005F63F9"/>
    <w:rsid w:val="005F6432"/>
    <w:rsid w:val="005F6476"/>
    <w:rsid w:val="005F64AF"/>
    <w:rsid w:val="005F6527"/>
    <w:rsid w:val="005F6531"/>
    <w:rsid w:val="005F6539"/>
    <w:rsid w:val="005F6573"/>
    <w:rsid w:val="005F6613"/>
    <w:rsid w:val="005F662C"/>
    <w:rsid w:val="005F6631"/>
    <w:rsid w:val="005F6741"/>
    <w:rsid w:val="005F67A4"/>
    <w:rsid w:val="005F67E0"/>
    <w:rsid w:val="005F680C"/>
    <w:rsid w:val="005F68C1"/>
    <w:rsid w:val="005F68F7"/>
    <w:rsid w:val="005F690C"/>
    <w:rsid w:val="005F691D"/>
    <w:rsid w:val="005F6960"/>
    <w:rsid w:val="005F6998"/>
    <w:rsid w:val="005F69BE"/>
    <w:rsid w:val="005F69DB"/>
    <w:rsid w:val="005F6A2A"/>
    <w:rsid w:val="005F6ABF"/>
    <w:rsid w:val="005F6B34"/>
    <w:rsid w:val="005F6B53"/>
    <w:rsid w:val="005F6C62"/>
    <w:rsid w:val="005F6CD4"/>
    <w:rsid w:val="005F6CF9"/>
    <w:rsid w:val="005F6D97"/>
    <w:rsid w:val="005F6DCE"/>
    <w:rsid w:val="005F6DF3"/>
    <w:rsid w:val="005F6EB0"/>
    <w:rsid w:val="005F6EEF"/>
    <w:rsid w:val="005F6EFE"/>
    <w:rsid w:val="005F6F0D"/>
    <w:rsid w:val="005F6F3D"/>
    <w:rsid w:val="005F6F5A"/>
    <w:rsid w:val="005F6F6C"/>
    <w:rsid w:val="005F6FA1"/>
    <w:rsid w:val="005F7080"/>
    <w:rsid w:val="005F710F"/>
    <w:rsid w:val="005F716C"/>
    <w:rsid w:val="005F7172"/>
    <w:rsid w:val="005F726A"/>
    <w:rsid w:val="005F72DC"/>
    <w:rsid w:val="005F730A"/>
    <w:rsid w:val="005F7337"/>
    <w:rsid w:val="005F746B"/>
    <w:rsid w:val="005F7475"/>
    <w:rsid w:val="005F747A"/>
    <w:rsid w:val="005F7487"/>
    <w:rsid w:val="005F74AD"/>
    <w:rsid w:val="005F74CA"/>
    <w:rsid w:val="005F74F5"/>
    <w:rsid w:val="005F74F7"/>
    <w:rsid w:val="005F7523"/>
    <w:rsid w:val="005F75BC"/>
    <w:rsid w:val="005F75BF"/>
    <w:rsid w:val="005F75D5"/>
    <w:rsid w:val="005F75DC"/>
    <w:rsid w:val="005F7672"/>
    <w:rsid w:val="005F7691"/>
    <w:rsid w:val="005F771B"/>
    <w:rsid w:val="005F77D6"/>
    <w:rsid w:val="005F7831"/>
    <w:rsid w:val="005F7870"/>
    <w:rsid w:val="005F78A1"/>
    <w:rsid w:val="005F78E5"/>
    <w:rsid w:val="005F7915"/>
    <w:rsid w:val="005F7932"/>
    <w:rsid w:val="005F79A0"/>
    <w:rsid w:val="005F7A1A"/>
    <w:rsid w:val="005F7AAE"/>
    <w:rsid w:val="005F7C40"/>
    <w:rsid w:val="005F7CB0"/>
    <w:rsid w:val="005F7CC7"/>
    <w:rsid w:val="005F7D67"/>
    <w:rsid w:val="005F7DE5"/>
    <w:rsid w:val="005F7E09"/>
    <w:rsid w:val="005F7E15"/>
    <w:rsid w:val="005F7E4F"/>
    <w:rsid w:val="005F7E79"/>
    <w:rsid w:val="005F7F24"/>
    <w:rsid w:val="005F7F7C"/>
    <w:rsid w:val="005F7FC4"/>
    <w:rsid w:val="005F7FF1"/>
    <w:rsid w:val="00600061"/>
    <w:rsid w:val="0060009B"/>
    <w:rsid w:val="006000D6"/>
    <w:rsid w:val="0060014E"/>
    <w:rsid w:val="00600160"/>
    <w:rsid w:val="006001E6"/>
    <w:rsid w:val="00600200"/>
    <w:rsid w:val="00600293"/>
    <w:rsid w:val="006002AD"/>
    <w:rsid w:val="0060032F"/>
    <w:rsid w:val="006003A0"/>
    <w:rsid w:val="0060048E"/>
    <w:rsid w:val="00600505"/>
    <w:rsid w:val="00600561"/>
    <w:rsid w:val="00600590"/>
    <w:rsid w:val="006005BC"/>
    <w:rsid w:val="00600663"/>
    <w:rsid w:val="00600695"/>
    <w:rsid w:val="006007BE"/>
    <w:rsid w:val="006007D5"/>
    <w:rsid w:val="006007EA"/>
    <w:rsid w:val="00600808"/>
    <w:rsid w:val="0060081E"/>
    <w:rsid w:val="00600915"/>
    <w:rsid w:val="00600972"/>
    <w:rsid w:val="006009C0"/>
    <w:rsid w:val="006009D2"/>
    <w:rsid w:val="00600A3B"/>
    <w:rsid w:val="00600B0B"/>
    <w:rsid w:val="00600B91"/>
    <w:rsid w:val="00600C42"/>
    <w:rsid w:val="00600C9C"/>
    <w:rsid w:val="00600CD2"/>
    <w:rsid w:val="00600EDF"/>
    <w:rsid w:val="00600EF0"/>
    <w:rsid w:val="00600F54"/>
    <w:rsid w:val="00600F91"/>
    <w:rsid w:val="00600F94"/>
    <w:rsid w:val="00600FA2"/>
    <w:rsid w:val="00600FC7"/>
    <w:rsid w:val="00601032"/>
    <w:rsid w:val="00601075"/>
    <w:rsid w:val="00601092"/>
    <w:rsid w:val="00601095"/>
    <w:rsid w:val="006010D7"/>
    <w:rsid w:val="006010FF"/>
    <w:rsid w:val="0060116F"/>
    <w:rsid w:val="006011DF"/>
    <w:rsid w:val="00601223"/>
    <w:rsid w:val="00601240"/>
    <w:rsid w:val="00601247"/>
    <w:rsid w:val="00601295"/>
    <w:rsid w:val="0060133D"/>
    <w:rsid w:val="00601340"/>
    <w:rsid w:val="0060135F"/>
    <w:rsid w:val="00601450"/>
    <w:rsid w:val="0060148D"/>
    <w:rsid w:val="006014A6"/>
    <w:rsid w:val="006014EC"/>
    <w:rsid w:val="00601554"/>
    <w:rsid w:val="00601567"/>
    <w:rsid w:val="0060158C"/>
    <w:rsid w:val="006015E2"/>
    <w:rsid w:val="006015F3"/>
    <w:rsid w:val="006015FC"/>
    <w:rsid w:val="00601691"/>
    <w:rsid w:val="006016C5"/>
    <w:rsid w:val="00601729"/>
    <w:rsid w:val="00601730"/>
    <w:rsid w:val="00601745"/>
    <w:rsid w:val="00601775"/>
    <w:rsid w:val="00601782"/>
    <w:rsid w:val="0060183D"/>
    <w:rsid w:val="0060184E"/>
    <w:rsid w:val="00601892"/>
    <w:rsid w:val="0060194D"/>
    <w:rsid w:val="00601952"/>
    <w:rsid w:val="0060199D"/>
    <w:rsid w:val="0060199E"/>
    <w:rsid w:val="006019EA"/>
    <w:rsid w:val="00601A69"/>
    <w:rsid w:val="00601ACD"/>
    <w:rsid w:val="00601BEB"/>
    <w:rsid w:val="00601C1B"/>
    <w:rsid w:val="00601C30"/>
    <w:rsid w:val="00601C31"/>
    <w:rsid w:val="00601C85"/>
    <w:rsid w:val="00601CEA"/>
    <w:rsid w:val="00601CEE"/>
    <w:rsid w:val="00601D07"/>
    <w:rsid w:val="00601D81"/>
    <w:rsid w:val="00601D94"/>
    <w:rsid w:val="00601DCB"/>
    <w:rsid w:val="00601E02"/>
    <w:rsid w:val="00601E7D"/>
    <w:rsid w:val="00602080"/>
    <w:rsid w:val="006020A2"/>
    <w:rsid w:val="00602123"/>
    <w:rsid w:val="00602175"/>
    <w:rsid w:val="00602181"/>
    <w:rsid w:val="0060218E"/>
    <w:rsid w:val="00602237"/>
    <w:rsid w:val="0060223E"/>
    <w:rsid w:val="0060231D"/>
    <w:rsid w:val="0060232F"/>
    <w:rsid w:val="0060234F"/>
    <w:rsid w:val="00602383"/>
    <w:rsid w:val="006023F3"/>
    <w:rsid w:val="00602419"/>
    <w:rsid w:val="0060242E"/>
    <w:rsid w:val="00602453"/>
    <w:rsid w:val="0060248A"/>
    <w:rsid w:val="00602496"/>
    <w:rsid w:val="006024CF"/>
    <w:rsid w:val="006024D6"/>
    <w:rsid w:val="006025BC"/>
    <w:rsid w:val="00602620"/>
    <w:rsid w:val="006026E9"/>
    <w:rsid w:val="006026FE"/>
    <w:rsid w:val="00602732"/>
    <w:rsid w:val="00602753"/>
    <w:rsid w:val="006027B0"/>
    <w:rsid w:val="006027E5"/>
    <w:rsid w:val="006028B8"/>
    <w:rsid w:val="006028BC"/>
    <w:rsid w:val="006028EA"/>
    <w:rsid w:val="00602911"/>
    <w:rsid w:val="00602943"/>
    <w:rsid w:val="00602A7D"/>
    <w:rsid w:val="00602AC9"/>
    <w:rsid w:val="00602B25"/>
    <w:rsid w:val="00602B84"/>
    <w:rsid w:val="00602BA4"/>
    <w:rsid w:val="00602BB5"/>
    <w:rsid w:val="00602BD4"/>
    <w:rsid w:val="00602C63"/>
    <w:rsid w:val="00602C78"/>
    <w:rsid w:val="00602C85"/>
    <w:rsid w:val="00602CEF"/>
    <w:rsid w:val="00602D7D"/>
    <w:rsid w:val="00602D88"/>
    <w:rsid w:val="00602D8B"/>
    <w:rsid w:val="00602DD7"/>
    <w:rsid w:val="00602DF6"/>
    <w:rsid w:val="00602E42"/>
    <w:rsid w:val="00602E4A"/>
    <w:rsid w:val="00602EBB"/>
    <w:rsid w:val="00602F23"/>
    <w:rsid w:val="00602F64"/>
    <w:rsid w:val="00602F74"/>
    <w:rsid w:val="00602F89"/>
    <w:rsid w:val="0060304F"/>
    <w:rsid w:val="00603098"/>
    <w:rsid w:val="00603123"/>
    <w:rsid w:val="00603189"/>
    <w:rsid w:val="006031A5"/>
    <w:rsid w:val="0060327D"/>
    <w:rsid w:val="006032A0"/>
    <w:rsid w:val="00603366"/>
    <w:rsid w:val="006033E7"/>
    <w:rsid w:val="006033FC"/>
    <w:rsid w:val="0060340B"/>
    <w:rsid w:val="00603419"/>
    <w:rsid w:val="00603673"/>
    <w:rsid w:val="00603727"/>
    <w:rsid w:val="0060372C"/>
    <w:rsid w:val="0060373A"/>
    <w:rsid w:val="006037C7"/>
    <w:rsid w:val="00603817"/>
    <w:rsid w:val="0060388F"/>
    <w:rsid w:val="0060389C"/>
    <w:rsid w:val="006039F2"/>
    <w:rsid w:val="00603A2C"/>
    <w:rsid w:val="00603A41"/>
    <w:rsid w:val="00603A75"/>
    <w:rsid w:val="00603B36"/>
    <w:rsid w:val="00603B61"/>
    <w:rsid w:val="00603BB4"/>
    <w:rsid w:val="00603C0E"/>
    <w:rsid w:val="00603C1E"/>
    <w:rsid w:val="00603C39"/>
    <w:rsid w:val="00603C3E"/>
    <w:rsid w:val="00603C53"/>
    <w:rsid w:val="00603C71"/>
    <w:rsid w:val="00603C8C"/>
    <w:rsid w:val="00603CCA"/>
    <w:rsid w:val="00603D2D"/>
    <w:rsid w:val="00603DDB"/>
    <w:rsid w:val="00603E11"/>
    <w:rsid w:val="00603E58"/>
    <w:rsid w:val="00603E77"/>
    <w:rsid w:val="00603ED8"/>
    <w:rsid w:val="00603F43"/>
    <w:rsid w:val="00603F44"/>
    <w:rsid w:val="00604002"/>
    <w:rsid w:val="0060401F"/>
    <w:rsid w:val="00604113"/>
    <w:rsid w:val="0060418B"/>
    <w:rsid w:val="0060424C"/>
    <w:rsid w:val="006042C7"/>
    <w:rsid w:val="0060434B"/>
    <w:rsid w:val="00604360"/>
    <w:rsid w:val="00604362"/>
    <w:rsid w:val="0060436E"/>
    <w:rsid w:val="0060437B"/>
    <w:rsid w:val="006044CE"/>
    <w:rsid w:val="006045BB"/>
    <w:rsid w:val="006045E7"/>
    <w:rsid w:val="006046EB"/>
    <w:rsid w:val="0060470C"/>
    <w:rsid w:val="0060473A"/>
    <w:rsid w:val="00604769"/>
    <w:rsid w:val="0060476B"/>
    <w:rsid w:val="00604780"/>
    <w:rsid w:val="00604831"/>
    <w:rsid w:val="00604887"/>
    <w:rsid w:val="0060489D"/>
    <w:rsid w:val="006048C6"/>
    <w:rsid w:val="006048EB"/>
    <w:rsid w:val="00604929"/>
    <w:rsid w:val="0060495F"/>
    <w:rsid w:val="00604993"/>
    <w:rsid w:val="00604A59"/>
    <w:rsid w:val="00604A6E"/>
    <w:rsid w:val="00604A9C"/>
    <w:rsid w:val="00604AB4"/>
    <w:rsid w:val="00604ACF"/>
    <w:rsid w:val="00604C3A"/>
    <w:rsid w:val="00604C88"/>
    <w:rsid w:val="00604CCE"/>
    <w:rsid w:val="00604D7E"/>
    <w:rsid w:val="00604DB1"/>
    <w:rsid w:val="00604F0E"/>
    <w:rsid w:val="00604FBD"/>
    <w:rsid w:val="006050A8"/>
    <w:rsid w:val="006050E8"/>
    <w:rsid w:val="006050FD"/>
    <w:rsid w:val="00605100"/>
    <w:rsid w:val="0060515C"/>
    <w:rsid w:val="0060515F"/>
    <w:rsid w:val="0060524D"/>
    <w:rsid w:val="006052F2"/>
    <w:rsid w:val="0060531D"/>
    <w:rsid w:val="006053A5"/>
    <w:rsid w:val="006053FD"/>
    <w:rsid w:val="006054C3"/>
    <w:rsid w:val="006054D4"/>
    <w:rsid w:val="006055A4"/>
    <w:rsid w:val="006055D0"/>
    <w:rsid w:val="006055F8"/>
    <w:rsid w:val="006056CF"/>
    <w:rsid w:val="00605737"/>
    <w:rsid w:val="006057DB"/>
    <w:rsid w:val="00605821"/>
    <w:rsid w:val="00605828"/>
    <w:rsid w:val="0060582D"/>
    <w:rsid w:val="006058D7"/>
    <w:rsid w:val="006058E0"/>
    <w:rsid w:val="00605A43"/>
    <w:rsid w:val="00605AC5"/>
    <w:rsid w:val="00605B97"/>
    <w:rsid w:val="00605BA9"/>
    <w:rsid w:val="00605BB8"/>
    <w:rsid w:val="00605C20"/>
    <w:rsid w:val="00605C96"/>
    <w:rsid w:val="00605CC1"/>
    <w:rsid w:val="00605D7C"/>
    <w:rsid w:val="00605DE0"/>
    <w:rsid w:val="00605DEB"/>
    <w:rsid w:val="00605DEC"/>
    <w:rsid w:val="00605EAD"/>
    <w:rsid w:val="00605ECF"/>
    <w:rsid w:val="00605F0B"/>
    <w:rsid w:val="0060611B"/>
    <w:rsid w:val="00606124"/>
    <w:rsid w:val="0060618D"/>
    <w:rsid w:val="0060625F"/>
    <w:rsid w:val="006062AC"/>
    <w:rsid w:val="006062EF"/>
    <w:rsid w:val="00606458"/>
    <w:rsid w:val="006064FC"/>
    <w:rsid w:val="0060650A"/>
    <w:rsid w:val="00606513"/>
    <w:rsid w:val="0060655E"/>
    <w:rsid w:val="0060657A"/>
    <w:rsid w:val="00606610"/>
    <w:rsid w:val="0060663D"/>
    <w:rsid w:val="006066E7"/>
    <w:rsid w:val="0060671F"/>
    <w:rsid w:val="0060674B"/>
    <w:rsid w:val="00606760"/>
    <w:rsid w:val="006067AD"/>
    <w:rsid w:val="006068A6"/>
    <w:rsid w:val="006068B2"/>
    <w:rsid w:val="0060699B"/>
    <w:rsid w:val="0060699F"/>
    <w:rsid w:val="006069D7"/>
    <w:rsid w:val="00606A3B"/>
    <w:rsid w:val="00606A5F"/>
    <w:rsid w:val="00606A87"/>
    <w:rsid w:val="00606AFB"/>
    <w:rsid w:val="00606B34"/>
    <w:rsid w:val="00606BAE"/>
    <w:rsid w:val="00606C45"/>
    <w:rsid w:val="00606C84"/>
    <w:rsid w:val="00606CBB"/>
    <w:rsid w:val="00606CF1"/>
    <w:rsid w:val="00606D15"/>
    <w:rsid w:val="00606D38"/>
    <w:rsid w:val="00606DF5"/>
    <w:rsid w:val="00606DFC"/>
    <w:rsid w:val="00606E99"/>
    <w:rsid w:val="00606EFA"/>
    <w:rsid w:val="00606F83"/>
    <w:rsid w:val="00606F9E"/>
    <w:rsid w:val="00607007"/>
    <w:rsid w:val="0060701F"/>
    <w:rsid w:val="00607056"/>
    <w:rsid w:val="006070C1"/>
    <w:rsid w:val="006070C4"/>
    <w:rsid w:val="00607192"/>
    <w:rsid w:val="006071C3"/>
    <w:rsid w:val="006071FB"/>
    <w:rsid w:val="00607263"/>
    <w:rsid w:val="00607280"/>
    <w:rsid w:val="006072B1"/>
    <w:rsid w:val="006072C2"/>
    <w:rsid w:val="006072EF"/>
    <w:rsid w:val="00607300"/>
    <w:rsid w:val="00607346"/>
    <w:rsid w:val="0060734E"/>
    <w:rsid w:val="006073BB"/>
    <w:rsid w:val="0060740F"/>
    <w:rsid w:val="00607475"/>
    <w:rsid w:val="00607533"/>
    <w:rsid w:val="0060753C"/>
    <w:rsid w:val="00607566"/>
    <w:rsid w:val="00607573"/>
    <w:rsid w:val="0060759F"/>
    <w:rsid w:val="00607607"/>
    <w:rsid w:val="00607620"/>
    <w:rsid w:val="00607641"/>
    <w:rsid w:val="0060764A"/>
    <w:rsid w:val="006076B7"/>
    <w:rsid w:val="006076E9"/>
    <w:rsid w:val="00607778"/>
    <w:rsid w:val="00607780"/>
    <w:rsid w:val="006078D4"/>
    <w:rsid w:val="006078DB"/>
    <w:rsid w:val="006078E6"/>
    <w:rsid w:val="00607939"/>
    <w:rsid w:val="0060797F"/>
    <w:rsid w:val="006079BC"/>
    <w:rsid w:val="00607A18"/>
    <w:rsid w:val="00607A44"/>
    <w:rsid w:val="00607A78"/>
    <w:rsid w:val="00607AD3"/>
    <w:rsid w:val="00607BBE"/>
    <w:rsid w:val="00607BCA"/>
    <w:rsid w:val="00607C6F"/>
    <w:rsid w:val="00607D3B"/>
    <w:rsid w:val="00607D66"/>
    <w:rsid w:val="00607DCD"/>
    <w:rsid w:val="00607DDF"/>
    <w:rsid w:val="00607DE1"/>
    <w:rsid w:val="00607E19"/>
    <w:rsid w:val="00607E67"/>
    <w:rsid w:val="00607E7E"/>
    <w:rsid w:val="00607EED"/>
    <w:rsid w:val="00607F2B"/>
    <w:rsid w:val="00607FD1"/>
    <w:rsid w:val="006100B4"/>
    <w:rsid w:val="006100B9"/>
    <w:rsid w:val="006100EC"/>
    <w:rsid w:val="00610128"/>
    <w:rsid w:val="006101E0"/>
    <w:rsid w:val="00610270"/>
    <w:rsid w:val="00610277"/>
    <w:rsid w:val="0061027B"/>
    <w:rsid w:val="00610287"/>
    <w:rsid w:val="0061030F"/>
    <w:rsid w:val="00610372"/>
    <w:rsid w:val="0061041C"/>
    <w:rsid w:val="00610451"/>
    <w:rsid w:val="006104F6"/>
    <w:rsid w:val="00610505"/>
    <w:rsid w:val="00610514"/>
    <w:rsid w:val="0061051A"/>
    <w:rsid w:val="0061059D"/>
    <w:rsid w:val="006105A0"/>
    <w:rsid w:val="00610610"/>
    <w:rsid w:val="00610632"/>
    <w:rsid w:val="00610643"/>
    <w:rsid w:val="00610652"/>
    <w:rsid w:val="00610675"/>
    <w:rsid w:val="006106BD"/>
    <w:rsid w:val="006106CC"/>
    <w:rsid w:val="006106EB"/>
    <w:rsid w:val="00610725"/>
    <w:rsid w:val="00610733"/>
    <w:rsid w:val="006107C2"/>
    <w:rsid w:val="006107F1"/>
    <w:rsid w:val="006108DA"/>
    <w:rsid w:val="006108DD"/>
    <w:rsid w:val="00610909"/>
    <w:rsid w:val="00610916"/>
    <w:rsid w:val="0061094F"/>
    <w:rsid w:val="00610965"/>
    <w:rsid w:val="00610993"/>
    <w:rsid w:val="006109DE"/>
    <w:rsid w:val="00610A5B"/>
    <w:rsid w:val="00610A6A"/>
    <w:rsid w:val="00610AA8"/>
    <w:rsid w:val="00610ACA"/>
    <w:rsid w:val="00610B28"/>
    <w:rsid w:val="00610BD8"/>
    <w:rsid w:val="00610C19"/>
    <w:rsid w:val="00610C7E"/>
    <w:rsid w:val="00610CA1"/>
    <w:rsid w:val="00610D19"/>
    <w:rsid w:val="00610D1B"/>
    <w:rsid w:val="00610DC0"/>
    <w:rsid w:val="00610EA8"/>
    <w:rsid w:val="00610EDD"/>
    <w:rsid w:val="00610EE6"/>
    <w:rsid w:val="00610FF3"/>
    <w:rsid w:val="00611070"/>
    <w:rsid w:val="006110BB"/>
    <w:rsid w:val="006110E1"/>
    <w:rsid w:val="0061111A"/>
    <w:rsid w:val="00611129"/>
    <w:rsid w:val="0061120C"/>
    <w:rsid w:val="00611387"/>
    <w:rsid w:val="00611394"/>
    <w:rsid w:val="006114CF"/>
    <w:rsid w:val="00611577"/>
    <w:rsid w:val="0061157E"/>
    <w:rsid w:val="0061158E"/>
    <w:rsid w:val="006115BE"/>
    <w:rsid w:val="006115C6"/>
    <w:rsid w:val="0061161C"/>
    <w:rsid w:val="00611624"/>
    <w:rsid w:val="00611675"/>
    <w:rsid w:val="0061169B"/>
    <w:rsid w:val="006116A1"/>
    <w:rsid w:val="0061171E"/>
    <w:rsid w:val="006117AB"/>
    <w:rsid w:val="006118FC"/>
    <w:rsid w:val="00611975"/>
    <w:rsid w:val="006119D8"/>
    <w:rsid w:val="006119EF"/>
    <w:rsid w:val="00611A7B"/>
    <w:rsid w:val="00611A9D"/>
    <w:rsid w:val="00611AC0"/>
    <w:rsid w:val="00611B39"/>
    <w:rsid w:val="00611B4B"/>
    <w:rsid w:val="00611B71"/>
    <w:rsid w:val="00611B76"/>
    <w:rsid w:val="00611BB3"/>
    <w:rsid w:val="00611C0A"/>
    <w:rsid w:val="00611C23"/>
    <w:rsid w:val="00611C80"/>
    <w:rsid w:val="00611CAF"/>
    <w:rsid w:val="00611D17"/>
    <w:rsid w:val="00611D2B"/>
    <w:rsid w:val="00611D68"/>
    <w:rsid w:val="00611D6C"/>
    <w:rsid w:val="00611D6D"/>
    <w:rsid w:val="00611DD8"/>
    <w:rsid w:val="00611E02"/>
    <w:rsid w:val="00611E3B"/>
    <w:rsid w:val="00611E5A"/>
    <w:rsid w:val="00611EE7"/>
    <w:rsid w:val="00611FE2"/>
    <w:rsid w:val="0061211A"/>
    <w:rsid w:val="00612159"/>
    <w:rsid w:val="0061224B"/>
    <w:rsid w:val="0061228D"/>
    <w:rsid w:val="006122F6"/>
    <w:rsid w:val="00612325"/>
    <w:rsid w:val="00612344"/>
    <w:rsid w:val="00612369"/>
    <w:rsid w:val="00612377"/>
    <w:rsid w:val="006123CD"/>
    <w:rsid w:val="00612479"/>
    <w:rsid w:val="006124BE"/>
    <w:rsid w:val="006124E0"/>
    <w:rsid w:val="00612501"/>
    <w:rsid w:val="006125DC"/>
    <w:rsid w:val="006125E8"/>
    <w:rsid w:val="00612623"/>
    <w:rsid w:val="00612628"/>
    <w:rsid w:val="006126CF"/>
    <w:rsid w:val="00612709"/>
    <w:rsid w:val="00612765"/>
    <w:rsid w:val="00612768"/>
    <w:rsid w:val="00612797"/>
    <w:rsid w:val="006127C4"/>
    <w:rsid w:val="006128E8"/>
    <w:rsid w:val="00612919"/>
    <w:rsid w:val="0061292C"/>
    <w:rsid w:val="00612934"/>
    <w:rsid w:val="00612A28"/>
    <w:rsid w:val="00612A50"/>
    <w:rsid w:val="00612BB5"/>
    <w:rsid w:val="00612BBB"/>
    <w:rsid w:val="00612BFB"/>
    <w:rsid w:val="00612C05"/>
    <w:rsid w:val="00612CBD"/>
    <w:rsid w:val="00612CFC"/>
    <w:rsid w:val="00612D7E"/>
    <w:rsid w:val="00612DB4"/>
    <w:rsid w:val="00612E41"/>
    <w:rsid w:val="00612F3E"/>
    <w:rsid w:val="00612FEB"/>
    <w:rsid w:val="0061301E"/>
    <w:rsid w:val="00613161"/>
    <w:rsid w:val="006131A7"/>
    <w:rsid w:val="006131D8"/>
    <w:rsid w:val="006132B3"/>
    <w:rsid w:val="006132C1"/>
    <w:rsid w:val="00613309"/>
    <w:rsid w:val="00613349"/>
    <w:rsid w:val="0061337F"/>
    <w:rsid w:val="006133A3"/>
    <w:rsid w:val="006133B2"/>
    <w:rsid w:val="006133F6"/>
    <w:rsid w:val="00613493"/>
    <w:rsid w:val="006134C6"/>
    <w:rsid w:val="00613553"/>
    <w:rsid w:val="00613601"/>
    <w:rsid w:val="00613627"/>
    <w:rsid w:val="0061370A"/>
    <w:rsid w:val="00613816"/>
    <w:rsid w:val="00613831"/>
    <w:rsid w:val="0061383C"/>
    <w:rsid w:val="00613871"/>
    <w:rsid w:val="00613891"/>
    <w:rsid w:val="00613906"/>
    <w:rsid w:val="00613909"/>
    <w:rsid w:val="0061396B"/>
    <w:rsid w:val="006139E7"/>
    <w:rsid w:val="00613A2E"/>
    <w:rsid w:val="00613A3B"/>
    <w:rsid w:val="00613AEE"/>
    <w:rsid w:val="00613AF0"/>
    <w:rsid w:val="00613B30"/>
    <w:rsid w:val="00613B35"/>
    <w:rsid w:val="00613C12"/>
    <w:rsid w:val="00613C4A"/>
    <w:rsid w:val="00613C79"/>
    <w:rsid w:val="00613CAE"/>
    <w:rsid w:val="00613CF5"/>
    <w:rsid w:val="00613CFA"/>
    <w:rsid w:val="00613D2B"/>
    <w:rsid w:val="00613D3A"/>
    <w:rsid w:val="00613D72"/>
    <w:rsid w:val="00613D7A"/>
    <w:rsid w:val="00613DCE"/>
    <w:rsid w:val="00613DF8"/>
    <w:rsid w:val="00613E66"/>
    <w:rsid w:val="00613EA5"/>
    <w:rsid w:val="00613EAE"/>
    <w:rsid w:val="00613F59"/>
    <w:rsid w:val="00614000"/>
    <w:rsid w:val="0061409D"/>
    <w:rsid w:val="0061409F"/>
    <w:rsid w:val="006140CA"/>
    <w:rsid w:val="006140DE"/>
    <w:rsid w:val="00614156"/>
    <w:rsid w:val="0061426A"/>
    <w:rsid w:val="006142CF"/>
    <w:rsid w:val="006142F7"/>
    <w:rsid w:val="00614306"/>
    <w:rsid w:val="00614331"/>
    <w:rsid w:val="00614354"/>
    <w:rsid w:val="00614371"/>
    <w:rsid w:val="00614375"/>
    <w:rsid w:val="006143BC"/>
    <w:rsid w:val="00614453"/>
    <w:rsid w:val="00614474"/>
    <w:rsid w:val="006144A0"/>
    <w:rsid w:val="006144BE"/>
    <w:rsid w:val="00614501"/>
    <w:rsid w:val="00614509"/>
    <w:rsid w:val="0061451B"/>
    <w:rsid w:val="00614549"/>
    <w:rsid w:val="00614599"/>
    <w:rsid w:val="0061463D"/>
    <w:rsid w:val="0061466E"/>
    <w:rsid w:val="006146EC"/>
    <w:rsid w:val="006146FB"/>
    <w:rsid w:val="0061474A"/>
    <w:rsid w:val="0061474F"/>
    <w:rsid w:val="00614778"/>
    <w:rsid w:val="0061484A"/>
    <w:rsid w:val="0061484C"/>
    <w:rsid w:val="00614859"/>
    <w:rsid w:val="00614876"/>
    <w:rsid w:val="0061487E"/>
    <w:rsid w:val="0061488E"/>
    <w:rsid w:val="006148A6"/>
    <w:rsid w:val="006148BD"/>
    <w:rsid w:val="006148CA"/>
    <w:rsid w:val="006148F8"/>
    <w:rsid w:val="006149C5"/>
    <w:rsid w:val="006149D1"/>
    <w:rsid w:val="00614A70"/>
    <w:rsid w:val="00614AA9"/>
    <w:rsid w:val="00614B96"/>
    <w:rsid w:val="00614BE5"/>
    <w:rsid w:val="00614C2A"/>
    <w:rsid w:val="00614CC2"/>
    <w:rsid w:val="00614D0C"/>
    <w:rsid w:val="00614D98"/>
    <w:rsid w:val="00614DDF"/>
    <w:rsid w:val="00614E9B"/>
    <w:rsid w:val="00614EE4"/>
    <w:rsid w:val="00614EF0"/>
    <w:rsid w:val="00614FB3"/>
    <w:rsid w:val="00615017"/>
    <w:rsid w:val="0061508A"/>
    <w:rsid w:val="00615095"/>
    <w:rsid w:val="006150F6"/>
    <w:rsid w:val="006150FD"/>
    <w:rsid w:val="0061516F"/>
    <w:rsid w:val="006151EC"/>
    <w:rsid w:val="00615259"/>
    <w:rsid w:val="0061529B"/>
    <w:rsid w:val="006152B0"/>
    <w:rsid w:val="006152D1"/>
    <w:rsid w:val="006152E7"/>
    <w:rsid w:val="00615311"/>
    <w:rsid w:val="006153A1"/>
    <w:rsid w:val="006153AB"/>
    <w:rsid w:val="00615499"/>
    <w:rsid w:val="006154A4"/>
    <w:rsid w:val="006154AB"/>
    <w:rsid w:val="006154D8"/>
    <w:rsid w:val="00615518"/>
    <w:rsid w:val="00615573"/>
    <w:rsid w:val="006155F2"/>
    <w:rsid w:val="0061562F"/>
    <w:rsid w:val="00615675"/>
    <w:rsid w:val="006156CD"/>
    <w:rsid w:val="00615700"/>
    <w:rsid w:val="00615728"/>
    <w:rsid w:val="00615757"/>
    <w:rsid w:val="006157A2"/>
    <w:rsid w:val="0061582C"/>
    <w:rsid w:val="0061583C"/>
    <w:rsid w:val="006158AC"/>
    <w:rsid w:val="006158D1"/>
    <w:rsid w:val="006158D9"/>
    <w:rsid w:val="00615917"/>
    <w:rsid w:val="00615927"/>
    <w:rsid w:val="00615948"/>
    <w:rsid w:val="0061595E"/>
    <w:rsid w:val="0061599D"/>
    <w:rsid w:val="00615A0B"/>
    <w:rsid w:val="00615A57"/>
    <w:rsid w:val="00615A98"/>
    <w:rsid w:val="00615AC0"/>
    <w:rsid w:val="00615B04"/>
    <w:rsid w:val="00615B26"/>
    <w:rsid w:val="00615BED"/>
    <w:rsid w:val="00615C60"/>
    <w:rsid w:val="00615CE2"/>
    <w:rsid w:val="00615D0A"/>
    <w:rsid w:val="00615D92"/>
    <w:rsid w:val="00615DD4"/>
    <w:rsid w:val="00615E0C"/>
    <w:rsid w:val="00615E11"/>
    <w:rsid w:val="00615E48"/>
    <w:rsid w:val="00615E4A"/>
    <w:rsid w:val="00615E6E"/>
    <w:rsid w:val="00615E70"/>
    <w:rsid w:val="00615F4C"/>
    <w:rsid w:val="00616008"/>
    <w:rsid w:val="00616026"/>
    <w:rsid w:val="0061604F"/>
    <w:rsid w:val="00616063"/>
    <w:rsid w:val="00616181"/>
    <w:rsid w:val="006161E8"/>
    <w:rsid w:val="00616217"/>
    <w:rsid w:val="00616222"/>
    <w:rsid w:val="00616254"/>
    <w:rsid w:val="00616684"/>
    <w:rsid w:val="006166AD"/>
    <w:rsid w:val="006166C1"/>
    <w:rsid w:val="006166D4"/>
    <w:rsid w:val="006167AB"/>
    <w:rsid w:val="00616821"/>
    <w:rsid w:val="006168E1"/>
    <w:rsid w:val="00616906"/>
    <w:rsid w:val="0061698D"/>
    <w:rsid w:val="0061699D"/>
    <w:rsid w:val="006169BA"/>
    <w:rsid w:val="00616A68"/>
    <w:rsid w:val="00616A94"/>
    <w:rsid w:val="00616B57"/>
    <w:rsid w:val="00616BEF"/>
    <w:rsid w:val="00616C0C"/>
    <w:rsid w:val="00616C22"/>
    <w:rsid w:val="00616C38"/>
    <w:rsid w:val="00616D5C"/>
    <w:rsid w:val="00616E8C"/>
    <w:rsid w:val="00616F22"/>
    <w:rsid w:val="00616F98"/>
    <w:rsid w:val="00617002"/>
    <w:rsid w:val="0061701D"/>
    <w:rsid w:val="00617094"/>
    <w:rsid w:val="006170C2"/>
    <w:rsid w:val="0061720C"/>
    <w:rsid w:val="00617228"/>
    <w:rsid w:val="00617252"/>
    <w:rsid w:val="00617281"/>
    <w:rsid w:val="006172CF"/>
    <w:rsid w:val="00617363"/>
    <w:rsid w:val="00617456"/>
    <w:rsid w:val="00617494"/>
    <w:rsid w:val="00617496"/>
    <w:rsid w:val="00617512"/>
    <w:rsid w:val="00617670"/>
    <w:rsid w:val="006176B6"/>
    <w:rsid w:val="0061777B"/>
    <w:rsid w:val="006177A1"/>
    <w:rsid w:val="006177B8"/>
    <w:rsid w:val="006177F3"/>
    <w:rsid w:val="00617803"/>
    <w:rsid w:val="00617845"/>
    <w:rsid w:val="00617983"/>
    <w:rsid w:val="0061798D"/>
    <w:rsid w:val="0061799B"/>
    <w:rsid w:val="006179AB"/>
    <w:rsid w:val="00617A47"/>
    <w:rsid w:val="00617A77"/>
    <w:rsid w:val="00617A86"/>
    <w:rsid w:val="00617B4B"/>
    <w:rsid w:val="00617B7D"/>
    <w:rsid w:val="00617C7B"/>
    <w:rsid w:val="00617C9A"/>
    <w:rsid w:val="00617CCE"/>
    <w:rsid w:val="00617D0E"/>
    <w:rsid w:val="00617D21"/>
    <w:rsid w:val="00617D87"/>
    <w:rsid w:val="00617E20"/>
    <w:rsid w:val="00617E5E"/>
    <w:rsid w:val="00617E90"/>
    <w:rsid w:val="00617EFC"/>
    <w:rsid w:val="00617F4D"/>
    <w:rsid w:val="00617F7B"/>
    <w:rsid w:val="00620004"/>
    <w:rsid w:val="0062000D"/>
    <w:rsid w:val="0062006F"/>
    <w:rsid w:val="006200D1"/>
    <w:rsid w:val="006200E1"/>
    <w:rsid w:val="00620109"/>
    <w:rsid w:val="00620137"/>
    <w:rsid w:val="00620168"/>
    <w:rsid w:val="00620205"/>
    <w:rsid w:val="00620294"/>
    <w:rsid w:val="006202FA"/>
    <w:rsid w:val="00620301"/>
    <w:rsid w:val="00620399"/>
    <w:rsid w:val="006203EE"/>
    <w:rsid w:val="00620415"/>
    <w:rsid w:val="0062048D"/>
    <w:rsid w:val="00620498"/>
    <w:rsid w:val="0062055F"/>
    <w:rsid w:val="0062060F"/>
    <w:rsid w:val="0062069B"/>
    <w:rsid w:val="00620846"/>
    <w:rsid w:val="00620900"/>
    <w:rsid w:val="00620A21"/>
    <w:rsid w:val="00620B56"/>
    <w:rsid w:val="00620B64"/>
    <w:rsid w:val="00620B95"/>
    <w:rsid w:val="00620BDC"/>
    <w:rsid w:val="00620C30"/>
    <w:rsid w:val="00620C70"/>
    <w:rsid w:val="00620CA3"/>
    <w:rsid w:val="00620D90"/>
    <w:rsid w:val="00620DDF"/>
    <w:rsid w:val="00620E28"/>
    <w:rsid w:val="00620EC8"/>
    <w:rsid w:val="00620EF3"/>
    <w:rsid w:val="00620F1E"/>
    <w:rsid w:val="00620F2D"/>
    <w:rsid w:val="00620F4C"/>
    <w:rsid w:val="00620F70"/>
    <w:rsid w:val="00620F8D"/>
    <w:rsid w:val="00620FAC"/>
    <w:rsid w:val="00621083"/>
    <w:rsid w:val="006210BB"/>
    <w:rsid w:val="006211A7"/>
    <w:rsid w:val="00621200"/>
    <w:rsid w:val="006212F4"/>
    <w:rsid w:val="006212F5"/>
    <w:rsid w:val="00621307"/>
    <w:rsid w:val="0062131A"/>
    <w:rsid w:val="00621395"/>
    <w:rsid w:val="006213A6"/>
    <w:rsid w:val="006213DA"/>
    <w:rsid w:val="00621405"/>
    <w:rsid w:val="00621414"/>
    <w:rsid w:val="0062141B"/>
    <w:rsid w:val="0062144B"/>
    <w:rsid w:val="0062147C"/>
    <w:rsid w:val="0062148F"/>
    <w:rsid w:val="006215C1"/>
    <w:rsid w:val="006216A3"/>
    <w:rsid w:val="006216B5"/>
    <w:rsid w:val="006216C3"/>
    <w:rsid w:val="00621724"/>
    <w:rsid w:val="006217CF"/>
    <w:rsid w:val="006217FF"/>
    <w:rsid w:val="00621824"/>
    <w:rsid w:val="00621826"/>
    <w:rsid w:val="0062182B"/>
    <w:rsid w:val="006218C2"/>
    <w:rsid w:val="00621921"/>
    <w:rsid w:val="00621942"/>
    <w:rsid w:val="00621944"/>
    <w:rsid w:val="006219CA"/>
    <w:rsid w:val="006219E2"/>
    <w:rsid w:val="00621A47"/>
    <w:rsid w:val="00621A69"/>
    <w:rsid w:val="00621AA7"/>
    <w:rsid w:val="00621AAF"/>
    <w:rsid w:val="00621ADB"/>
    <w:rsid w:val="00621BE7"/>
    <w:rsid w:val="00621C61"/>
    <w:rsid w:val="00621C7A"/>
    <w:rsid w:val="00621C7D"/>
    <w:rsid w:val="00621D2F"/>
    <w:rsid w:val="00621D59"/>
    <w:rsid w:val="00621D70"/>
    <w:rsid w:val="00621D76"/>
    <w:rsid w:val="00621DBB"/>
    <w:rsid w:val="00621DCA"/>
    <w:rsid w:val="00621E62"/>
    <w:rsid w:val="00621E9F"/>
    <w:rsid w:val="00621F32"/>
    <w:rsid w:val="00621F49"/>
    <w:rsid w:val="00621F7C"/>
    <w:rsid w:val="00621FA4"/>
    <w:rsid w:val="00622012"/>
    <w:rsid w:val="00622031"/>
    <w:rsid w:val="00622034"/>
    <w:rsid w:val="0062208B"/>
    <w:rsid w:val="0062208D"/>
    <w:rsid w:val="0062208E"/>
    <w:rsid w:val="0062210F"/>
    <w:rsid w:val="00622129"/>
    <w:rsid w:val="00622149"/>
    <w:rsid w:val="00622163"/>
    <w:rsid w:val="00622168"/>
    <w:rsid w:val="0062216E"/>
    <w:rsid w:val="006221E7"/>
    <w:rsid w:val="006221EB"/>
    <w:rsid w:val="0062220A"/>
    <w:rsid w:val="0062220B"/>
    <w:rsid w:val="0062237A"/>
    <w:rsid w:val="006224A5"/>
    <w:rsid w:val="006224D8"/>
    <w:rsid w:val="00622538"/>
    <w:rsid w:val="00622542"/>
    <w:rsid w:val="00622554"/>
    <w:rsid w:val="006225B5"/>
    <w:rsid w:val="0062278C"/>
    <w:rsid w:val="006227C2"/>
    <w:rsid w:val="006227E8"/>
    <w:rsid w:val="0062283C"/>
    <w:rsid w:val="00622875"/>
    <w:rsid w:val="006228B0"/>
    <w:rsid w:val="006228F9"/>
    <w:rsid w:val="00622956"/>
    <w:rsid w:val="006229AE"/>
    <w:rsid w:val="006229BD"/>
    <w:rsid w:val="006229C9"/>
    <w:rsid w:val="006229F8"/>
    <w:rsid w:val="00622A2B"/>
    <w:rsid w:val="00622A2C"/>
    <w:rsid w:val="00622A33"/>
    <w:rsid w:val="00622A56"/>
    <w:rsid w:val="00622A96"/>
    <w:rsid w:val="00622AC6"/>
    <w:rsid w:val="00622AE4"/>
    <w:rsid w:val="00622B7C"/>
    <w:rsid w:val="00622BA1"/>
    <w:rsid w:val="00622BE6"/>
    <w:rsid w:val="00622C4F"/>
    <w:rsid w:val="00622C54"/>
    <w:rsid w:val="00622CAD"/>
    <w:rsid w:val="00622CF8"/>
    <w:rsid w:val="00622D2F"/>
    <w:rsid w:val="00622D41"/>
    <w:rsid w:val="00622D56"/>
    <w:rsid w:val="00622D7A"/>
    <w:rsid w:val="00622DEE"/>
    <w:rsid w:val="00622E46"/>
    <w:rsid w:val="00622EF0"/>
    <w:rsid w:val="00622FAE"/>
    <w:rsid w:val="00622FC2"/>
    <w:rsid w:val="00622FF0"/>
    <w:rsid w:val="00623018"/>
    <w:rsid w:val="00623068"/>
    <w:rsid w:val="0062310D"/>
    <w:rsid w:val="0062314D"/>
    <w:rsid w:val="006231A4"/>
    <w:rsid w:val="006231A7"/>
    <w:rsid w:val="006231C0"/>
    <w:rsid w:val="006231F8"/>
    <w:rsid w:val="0062326F"/>
    <w:rsid w:val="00623280"/>
    <w:rsid w:val="006232C0"/>
    <w:rsid w:val="006232EC"/>
    <w:rsid w:val="00623313"/>
    <w:rsid w:val="0062334B"/>
    <w:rsid w:val="00623362"/>
    <w:rsid w:val="0062338E"/>
    <w:rsid w:val="0062339D"/>
    <w:rsid w:val="006233DE"/>
    <w:rsid w:val="00623432"/>
    <w:rsid w:val="00623473"/>
    <w:rsid w:val="00623474"/>
    <w:rsid w:val="0062349A"/>
    <w:rsid w:val="006234BD"/>
    <w:rsid w:val="006234DD"/>
    <w:rsid w:val="00623506"/>
    <w:rsid w:val="00623514"/>
    <w:rsid w:val="0062358F"/>
    <w:rsid w:val="006235C8"/>
    <w:rsid w:val="00623662"/>
    <w:rsid w:val="0062366F"/>
    <w:rsid w:val="006236F0"/>
    <w:rsid w:val="00623746"/>
    <w:rsid w:val="00623764"/>
    <w:rsid w:val="00623794"/>
    <w:rsid w:val="0062382D"/>
    <w:rsid w:val="006238B4"/>
    <w:rsid w:val="0062391A"/>
    <w:rsid w:val="0062394F"/>
    <w:rsid w:val="00623989"/>
    <w:rsid w:val="00623991"/>
    <w:rsid w:val="00623A85"/>
    <w:rsid w:val="00623A8F"/>
    <w:rsid w:val="00623AB5"/>
    <w:rsid w:val="00623AED"/>
    <w:rsid w:val="00623B21"/>
    <w:rsid w:val="00623B32"/>
    <w:rsid w:val="00623BB7"/>
    <w:rsid w:val="00623C9B"/>
    <w:rsid w:val="00623CF9"/>
    <w:rsid w:val="00623D1F"/>
    <w:rsid w:val="00623D23"/>
    <w:rsid w:val="00623D4F"/>
    <w:rsid w:val="00623D74"/>
    <w:rsid w:val="00623DA2"/>
    <w:rsid w:val="00623DA9"/>
    <w:rsid w:val="00623DB6"/>
    <w:rsid w:val="00623DFD"/>
    <w:rsid w:val="00623E0D"/>
    <w:rsid w:val="00623E63"/>
    <w:rsid w:val="00623E78"/>
    <w:rsid w:val="00623EF0"/>
    <w:rsid w:val="00623F94"/>
    <w:rsid w:val="006240C7"/>
    <w:rsid w:val="0062411B"/>
    <w:rsid w:val="0062416B"/>
    <w:rsid w:val="0062416D"/>
    <w:rsid w:val="00624175"/>
    <w:rsid w:val="0062422E"/>
    <w:rsid w:val="00624260"/>
    <w:rsid w:val="006242FF"/>
    <w:rsid w:val="00624300"/>
    <w:rsid w:val="0062433A"/>
    <w:rsid w:val="0062433D"/>
    <w:rsid w:val="00624419"/>
    <w:rsid w:val="00624497"/>
    <w:rsid w:val="006245CB"/>
    <w:rsid w:val="00624623"/>
    <w:rsid w:val="006246CF"/>
    <w:rsid w:val="006246E4"/>
    <w:rsid w:val="006246F1"/>
    <w:rsid w:val="00624727"/>
    <w:rsid w:val="00624771"/>
    <w:rsid w:val="006247AB"/>
    <w:rsid w:val="006247B2"/>
    <w:rsid w:val="00624844"/>
    <w:rsid w:val="006248CF"/>
    <w:rsid w:val="00624929"/>
    <w:rsid w:val="006249E4"/>
    <w:rsid w:val="00624AF6"/>
    <w:rsid w:val="00624B33"/>
    <w:rsid w:val="00624B55"/>
    <w:rsid w:val="00624B6B"/>
    <w:rsid w:val="00624B7A"/>
    <w:rsid w:val="00624C3C"/>
    <w:rsid w:val="00624C53"/>
    <w:rsid w:val="00624C55"/>
    <w:rsid w:val="00624C70"/>
    <w:rsid w:val="00624CC0"/>
    <w:rsid w:val="00624D4B"/>
    <w:rsid w:val="00624D7E"/>
    <w:rsid w:val="00624D96"/>
    <w:rsid w:val="00624D97"/>
    <w:rsid w:val="00624DA4"/>
    <w:rsid w:val="00624DAE"/>
    <w:rsid w:val="00624DCE"/>
    <w:rsid w:val="00624E17"/>
    <w:rsid w:val="00624E9D"/>
    <w:rsid w:val="00624F0B"/>
    <w:rsid w:val="00624F26"/>
    <w:rsid w:val="00624F3C"/>
    <w:rsid w:val="00624F44"/>
    <w:rsid w:val="00624F55"/>
    <w:rsid w:val="00624FC6"/>
    <w:rsid w:val="00625058"/>
    <w:rsid w:val="00625077"/>
    <w:rsid w:val="00625089"/>
    <w:rsid w:val="00625093"/>
    <w:rsid w:val="00625094"/>
    <w:rsid w:val="006250A8"/>
    <w:rsid w:val="006251EF"/>
    <w:rsid w:val="00625264"/>
    <w:rsid w:val="0062530A"/>
    <w:rsid w:val="00625368"/>
    <w:rsid w:val="0062537F"/>
    <w:rsid w:val="0062539A"/>
    <w:rsid w:val="006253C3"/>
    <w:rsid w:val="006254F5"/>
    <w:rsid w:val="00625524"/>
    <w:rsid w:val="00625535"/>
    <w:rsid w:val="00625540"/>
    <w:rsid w:val="00625560"/>
    <w:rsid w:val="0062559E"/>
    <w:rsid w:val="006255C3"/>
    <w:rsid w:val="006255CF"/>
    <w:rsid w:val="00625644"/>
    <w:rsid w:val="0062569E"/>
    <w:rsid w:val="006256A2"/>
    <w:rsid w:val="006256CC"/>
    <w:rsid w:val="006256D4"/>
    <w:rsid w:val="00625802"/>
    <w:rsid w:val="00625812"/>
    <w:rsid w:val="00625822"/>
    <w:rsid w:val="0062583B"/>
    <w:rsid w:val="00625868"/>
    <w:rsid w:val="00625872"/>
    <w:rsid w:val="0062589C"/>
    <w:rsid w:val="006258AE"/>
    <w:rsid w:val="006258F2"/>
    <w:rsid w:val="006258FC"/>
    <w:rsid w:val="00625954"/>
    <w:rsid w:val="00625955"/>
    <w:rsid w:val="00625A0B"/>
    <w:rsid w:val="00625A5A"/>
    <w:rsid w:val="00625A62"/>
    <w:rsid w:val="00625A68"/>
    <w:rsid w:val="00625AE8"/>
    <w:rsid w:val="00625AE9"/>
    <w:rsid w:val="00625AF4"/>
    <w:rsid w:val="00625BF3"/>
    <w:rsid w:val="00625C42"/>
    <w:rsid w:val="00625C51"/>
    <w:rsid w:val="00625CB9"/>
    <w:rsid w:val="00625CC6"/>
    <w:rsid w:val="00625D22"/>
    <w:rsid w:val="00625D36"/>
    <w:rsid w:val="00625DE7"/>
    <w:rsid w:val="00625E34"/>
    <w:rsid w:val="00625E4B"/>
    <w:rsid w:val="00625F00"/>
    <w:rsid w:val="00625FBE"/>
    <w:rsid w:val="00625FD6"/>
    <w:rsid w:val="00625FD9"/>
    <w:rsid w:val="00625FDA"/>
    <w:rsid w:val="00626053"/>
    <w:rsid w:val="006260AF"/>
    <w:rsid w:val="0062614E"/>
    <w:rsid w:val="006261B9"/>
    <w:rsid w:val="006261E6"/>
    <w:rsid w:val="0062622F"/>
    <w:rsid w:val="0062624E"/>
    <w:rsid w:val="006262A8"/>
    <w:rsid w:val="00626303"/>
    <w:rsid w:val="0062631F"/>
    <w:rsid w:val="00626330"/>
    <w:rsid w:val="00626337"/>
    <w:rsid w:val="00626342"/>
    <w:rsid w:val="006263A1"/>
    <w:rsid w:val="006263F0"/>
    <w:rsid w:val="006263FD"/>
    <w:rsid w:val="0062643D"/>
    <w:rsid w:val="0062644B"/>
    <w:rsid w:val="0062646D"/>
    <w:rsid w:val="00626489"/>
    <w:rsid w:val="0062648F"/>
    <w:rsid w:val="00626492"/>
    <w:rsid w:val="006264FE"/>
    <w:rsid w:val="00626528"/>
    <w:rsid w:val="00626550"/>
    <w:rsid w:val="00626589"/>
    <w:rsid w:val="0062662C"/>
    <w:rsid w:val="00626664"/>
    <w:rsid w:val="00626686"/>
    <w:rsid w:val="0062669F"/>
    <w:rsid w:val="006266E3"/>
    <w:rsid w:val="0062671C"/>
    <w:rsid w:val="00626756"/>
    <w:rsid w:val="00626764"/>
    <w:rsid w:val="0062683A"/>
    <w:rsid w:val="0062683D"/>
    <w:rsid w:val="00626889"/>
    <w:rsid w:val="006268D0"/>
    <w:rsid w:val="006269F2"/>
    <w:rsid w:val="00626A20"/>
    <w:rsid w:val="00626B19"/>
    <w:rsid w:val="00626B57"/>
    <w:rsid w:val="00626B60"/>
    <w:rsid w:val="00626BC0"/>
    <w:rsid w:val="00626C22"/>
    <w:rsid w:val="00626C2A"/>
    <w:rsid w:val="00626C3C"/>
    <w:rsid w:val="00626C76"/>
    <w:rsid w:val="00626C92"/>
    <w:rsid w:val="00626D58"/>
    <w:rsid w:val="00626D64"/>
    <w:rsid w:val="00626DB3"/>
    <w:rsid w:val="00626E51"/>
    <w:rsid w:val="00626E63"/>
    <w:rsid w:val="00626E8A"/>
    <w:rsid w:val="00626EF1"/>
    <w:rsid w:val="00626F53"/>
    <w:rsid w:val="00626F5E"/>
    <w:rsid w:val="00626F6A"/>
    <w:rsid w:val="00626FAE"/>
    <w:rsid w:val="00626FFE"/>
    <w:rsid w:val="00627076"/>
    <w:rsid w:val="0062714A"/>
    <w:rsid w:val="006271C0"/>
    <w:rsid w:val="006271F8"/>
    <w:rsid w:val="00627319"/>
    <w:rsid w:val="006273D0"/>
    <w:rsid w:val="00627445"/>
    <w:rsid w:val="006274B3"/>
    <w:rsid w:val="006274E4"/>
    <w:rsid w:val="00627650"/>
    <w:rsid w:val="0062765E"/>
    <w:rsid w:val="006276AB"/>
    <w:rsid w:val="006276B9"/>
    <w:rsid w:val="0062771B"/>
    <w:rsid w:val="00627775"/>
    <w:rsid w:val="0062788B"/>
    <w:rsid w:val="006278C7"/>
    <w:rsid w:val="006278E1"/>
    <w:rsid w:val="0062790D"/>
    <w:rsid w:val="00627A80"/>
    <w:rsid w:val="00627AC9"/>
    <w:rsid w:val="00627AF6"/>
    <w:rsid w:val="00627BF2"/>
    <w:rsid w:val="00627C6C"/>
    <w:rsid w:val="00627CAB"/>
    <w:rsid w:val="00627D35"/>
    <w:rsid w:val="00627D49"/>
    <w:rsid w:val="00627DE5"/>
    <w:rsid w:val="00627E5B"/>
    <w:rsid w:val="00627EAE"/>
    <w:rsid w:val="00627F73"/>
    <w:rsid w:val="00630044"/>
    <w:rsid w:val="00630052"/>
    <w:rsid w:val="00630065"/>
    <w:rsid w:val="0063008A"/>
    <w:rsid w:val="006300BF"/>
    <w:rsid w:val="006300DE"/>
    <w:rsid w:val="00630175"/>
    <w:rsid w:val="006301C3"/>
    <w:rsid w:val="006301DA"/>
    <w:rsid w:val="00630233"/>
    <w:rsid w:val="006302A6"/>
    <w:rsid w:val="006302CC"/>
    <w:rsid w:val="006302ED"/>
    <w:rsid w:val="00630350"/>
    <w:rsid w:val="006303C2"/>
    <w:rsid w:val="00630452"/>
    <w:rsid w:val="0063047D"/>
    <w:rsid w:val="006304AF"/>
    <w:rsid w:val="006304F4"/>
    <w:rsid w:val="00630508"/>
    <w:rsid w:val="00630530"/>
    <w:rsid w:val="00630551"/>
    <w:rsid w:val="00630582"/>
    <w:rsid w:val="006305F0"/>
    <w:rsid w:val="00630630"/>
    <w:rsid w:val="0063068B"/>
    <w:rsid w:val="0063068C"/>
    <w:rsid w:val="006306EB"/>
    <w:rsid w:val="00630748"/>
    <w:rsid w:val="006307AC"/>
    <w:rsid w:val="006307B5"/>
    <w:rsid w:val="006307D6"/>
    <w:rsid w:val="00630879"/>
    <w:rsid w:val="006308A8"/>
    <w:rsid w:val="006308B3"/>
    <w:rsid w:val="006308DE"/>
    <w:rsid w:val="00630997"/>
    <w:rsid w:val="006309D6"/>
    <w:rsid w:val="006309E1"/>
    <w:rsid w:val="00630AA8"/>
    <w:rsid w:val="00630B4D"/>
    <w:rsid w:val="00630B82"/>
    <w:rsid w:val="00630B83"/>
    <w:rsid w:val="00630BAC"/>
    <w:rsid w:val="00630C04"/>
    <w:rsid w:val="00630C06"/>
    <w:rsid w:val="00630C32"/>
    <w:rsid w:val="00630C5F"/>
    <w:rsid w:val="00630C83"/>
    <w:rsid w:val="00630CA8"/>
    <w:rsid w:val="00630CF6"/>
    <w:rsid w:val="00630CF8"/>
    <w:rsid w:val="00630D1F"/>
    <w:rsid w:val="00630D9F"/>
    <w:rsid w:val="00630DEB"/>
    <w:rsid w:val="00630DEC"/>
    <w:rsid w:val="00630F08"/>
    <w:rsid w:val="00630F25"/>
    <w:rsid w:val="00630FA8"/>
    <w:rsid w:val="00630FF9"/>
    <w:rsid w:val="0063104D"/>
    <w:rsid w:val="00631121"/>
    <w:rsid w:val="0063112E"/>
    <w:rsid w:val="0063115F"/>
    <w:rsid w:val="00631176"/>
    <w:rsid w:val="006311AB"/>
    <w:rsid w:val="00631237"/>
    <w:rsid w:val="00631245"/>
    <w:rsid w:val="0063130B"/>
    <w:rsid w:val="006313FD"/>
    <w:rsid w:val="0063145F"/>
    <w:rsid w:val="0063147B"/>
    <w:rsid w:val="00631489"/>
    <w:rsid w:val="006314D6"/>
    <w:rsid w:val="006314F4"/>
    <w:rsid w:val="00631513"/>
    <w:rsid w:val="00631569"/>
    <w:rsid w:val="0063165B"/>
    <w:rsid w:val="00631698"/>
    <w:rsid w:val="006316D2"/>
    <w:rsid w:val="00631715"/>
    <w:rsid w:val="00631742"/>
    <w:rsid w:val="006317E2"/>
    <w:rsid w:val="00631821"/>
    <w:rsid w:val="0063183D"/>
    <w:rsid w:val="00631858"/>
    <w:rsid w:val="00631905"/>
    <w:rsid w:val="00631920"/>
    <w:rsid w:val="00631957"/>
    <w:rsid w:val="006319FF"/>
    <w:rsid w:val="00631A00"/>
    <w:rsid w:val="00631A13"/>
    <w:rsid w:val="00631A27"/>
    <w:rsid w:val="00631A31"/>
    <w:rsid w:val="00631A38"/>
    <w:rsid w:val="00631A75"/>
    <w:rsid w:val="00631A95"/>
    <w:rsid w:val="00631ADD"/>
    <w:rsid w:val="00631B0B"/>
    <w:rsid w:val="00631B26"/>
    <w:rsid w:val="00631B84"/>
    <w:rsid w:val="00631C80"/>
    <w:rsid w:val="00631D19"/>
    <w:rsid w:val="00631DCD"/>
    <w:rsid w:val="00631E7C"/>
    <w:rsid w:val="00631E97"/>
    <w:rsid w:val="00631EFF"/>
    <w:rsid w:val="00631F4D"/>
    <w:rsid w:val="00631F4F"/>
    <w:rsid w:val="00631FB2"/>
    <w:rsid w:val="00631FCE"/>
    <w:rsid w:val="00632042"/>
    <w:rsid w:val="0063204D"/>
    <w:rsid w:val="006320CF"/>
    <w:rsid w:val="0063218B"/>
    <w:rsid w:val="006321B9"/>
    <w:rsid w:val="006321F2"/>
    <w:rsid w:val="00632219"/>
    <w:rsid w:val="00632271"/>
    <w:rsid w:val="00632288"/>
    <w:rsid w:val="00632319"/>
    <w:rsid w:val="00632329"/>
    <w:rsid w:val="006323AE"/>
    <w:rsid w:val="00632454"/>
    <w:rsid w:val="00632476"/>
    <w:rsid w:val="006324D7"/>
    <w:rsid w:val="00632545"/>
    <w:rsid w:val="0063256F"/>
    <w:rsid w:val="006325EE"/>
    <w:rsid w:val="0063263D"/>
    <w:rsid w:val="00632652"/>
    <w:rsid w:val="006326AF"/>
    <w:rsid w:val="0063272D"/>
    <w:rsid w:val="00632760"/>
    <w:rsid w:val="00632776"/>
    <w:rsid w:val="006327F5"/>
    <w:rsid w:val="0063281C"/>
    <w:rsid w:val="006328BD"/>
    <w:rsid w:val="0063293F"/>
    <w:rsid w:val="006329DB"/>
    <w:rsid w:val="00632AA7"/>
    <w:rsid w:val="00632B26"/>
    <w:rsid w:val="00632B2B"/>
    <w:rsid w:val="00632B89"/>
    <w:rsid w:val="00632C21"/>
    <w:rsid w:val="00632C57"/>
    <w:rsid w:val="00632C62"/>
    <w:rsid w:val="00632CD6"/>
    <w:rsid w:val="00632D1B"/>
    <w:rsid w:val="00632E50"/>
    <w:rsid w:val="00632FD8"/>
    <w:rsid w:val="00632FDA"/>
    <w:rsid w:val="00633002"/>
    <w:rsid w:val="00633031"/>
    <w:rsid w:val="0063303A"/>
    <w:rsid w:val="00633122"/>
    <w:rsid w:val="0063312C"/>
    <w:rsid w:val="0063312D"/>
    <w:rsid w:val="0063312E"/>
    <w:rsid w:val="00633174"/>
    <w:rsid w:val="006331AF"/>
    <w:rsid w:val="0063323E"/>
    <w:rsid w:val="00633292"/>
    <w:rsid w:val="006332D1"/>
    <w:rsid w:val="00633369"/>
    <w:rsid w:val="0063337F"/>
    <w:rsid w:val="006333B3"/>
    <w:rsid w:val="006333EF"/>
    <w:rsid w:val="0063345B"/>
    <w:rsid w:val="0063350E"/>
    <w:rsid w:val="00633568"/>
    <w:rsid w:val="0063356E"/>
    <w:rsid w:val="006335BD"/>
    <w:rsid w:val="006335EE"/>
    <w:rsid w:val="00633639"/>
    <w:rsid w:val="0063365A"/>
    <w:rsid w:val="0063366D"/>
    <w:rsid w:val="00633688"/>
    <w:rsid w:val="00633700"/>
    <w:rsid w:val="0063370D"/>
    <w:rsid w:val="0063376A"/>
    <w:rsid w:val="0063379B"/>
    <w:rsid w:val="006337EB"/>
    <w:rsid w:val="0063384B"/>
    <w:rsid w:val="006338AA"/>
    <w:rsid w:val="00633910"/>
    <w:rsid w:val="006339CE"/>
    <w:rsid w:val="006339DE"/>
    <w:rsid w:val="00633A12"/>
    <w:rsid w:val="00633A45"/>
    <w:rsid w:val="00633A66"/>
    <w:rsid w:val="00633A68"/>
    <w:rsid w:val="00633B37"/>
    <w:rsid w:val="00633C08"/>
    <w:rsid w:val="00633C5C"/>
    <w:rsid w:val="00633C65"/>
    <w:rsid w:val="00633C9D"/>
    <w:rsid w:val="00633CA4"/>
    <w:rsid w:val="00633CB9"/>
    <w:rsid w:val="00633CBA"/>
    <w:rsid w:val="00633CD1"/>
    <w:rsid w:val="00633D05"/>
    <w:rsid w:val="00633DBA"/>
    <w:rsid w:val="00633DDD"/>
    <w:rsid w:val="00633E06"/>
    <w:rsid w:val="00633E35"/>
    <w:rsid w:val="00633E5E"/>
    <w:rsid w:val="00633F32"/>
    <w:rsid w:val="00633F42"/>
    <w:rsid w:val="00633F69"/>
    <w:rsid w:val="00633FE6"/>
    <w:rsid w:val="00634007"/>
    <w:rsid w:val="006340B1"/>
    <w:rsid w:val="006340DD"/>
    <w:rsid w:val="006340E4"/>
    <w:rsid w:val="00634139"/>
    <w:rsid w:val="00634165"/>
    <w:rsid w:val="006341B3"/>
    <w:rsid w:val="006341DC"/>
    <w:rsid w:val="00634261"/>
    <w:rsid w:val="00634286"/>
    <w:rsid w:val="006342EF"/>
    <w:rsid w:val="00634353"/>
    <w:rsid w:val="0063437E"/>
    <w:rsid w:val="006343BD"/>
    <w:rsid w:val="006343DC"/>
    <w:rsid w:val="0063440A"/>
    <w:rsid w:val="006344A0"/>
    <w:rsid w:val="006344CA"/>
    <w:rsid w:val="006344DF"/>
    <w:rsid w:val="00634536"/>
    <w:rsid w:val="0063456B"/>
    <w:rsid w:val="006345BE"/>
    <w:rsid w:val="006345C1"/>
    <w:rsid w:val="006345E0"/>
    <w:rsid w:val="0063464D"/>
    <w:rsid w:val="00634698"/>
    <w:rsid w:val="006346BC"/>
    <w:rsid w:val="006346F8"/>
    <w:rsid w:val="00634788"/>
    <w:rsid w:val="006347D8"/>
    <w:rsid w:val="006347D9"/>
    <w:rsid w:val="006347E4"/>
    <w:rsid w:val="0063487D"/>
    <w:rsid w:val="00634905"/>
    <w:rsid w:val="00634974"/>
    <w:rsid w:val="006349B9"/>
    <w:rsid w:val="006349DD"/>
    <w:rsid w:val="006349E3"/>
    <w:rsid w:val="00634A3F"/>
    <w:rsid w:val="00634AD8"/>
    <w:rsid w:val="00634B03"/>
    <w:rsid w:val="00634B90"/>
    <w:rsid w:val="00634B9D"/>
    <w:rsid w:val="00634C29"/>
    <w:rsid w:val="00634C4B"/>
    <w:rsid w:val="00634C52"/>
    <w:rsid w:val="00634C82"/>
    <w:rsid w:val="00634CEF"/>
    <w:rsid w:val="00634DDD"/>
    <w:rsid w:val="00634EAB"/>
    <w:rsid w:val="00634EE8"/>
    <w:rsid w:val="00634F34"/>
    <w:rsid w:val="00634F3D"/>
    <w:rsid w:val="00635005"/>
    <w:rsid w:val="00635035"/>
    <w:rsid w:val="0063506A"/>
    <w:rsid w:val="0063507A"/>
    <w:rsid w:val="0063511F"/>
    <w:rsid w:val="0063514F"/>
    <w:rsid w:val="006351E7"/>
    <w:rsid w:val="006351FC"/>
    <w:rsid w:val="00635228"/>
    <w:rsid w:val="00635246"/>
    <w:rsid w:val="006352BF"/>
    <w:rsid w:val="006352CE"/>
    <w:rsid w:val="006352EC"/>
    <w:rsid w:val="00635416"/>
    <w:rsid w:val="00635492"/>
    <w:rsid w:val="0063552E"/>
    <w:rsid w:val="00635575"/>
    <w:rsid w:val="00635578"/>
    <w:rsid w:val="006355AA"/>
    <w:rsid w:val="00635622"/>
    <w:rsid w:val="006356C4"/>
    <w:rsid w:val="006356D2"/>
    <w:rsid w:val="006356F5"/>
    <w:rsid w:val="00635716"/>
    <w:rsid w:val="00635742"/>
    <w:rsid w:val="00635744"/>
    <w:rsid w:val="00635755"/>
    <w:rsid w:val="00635796"/>
    <w:rsid w:val="00635880"/>
    <w:rsid w:val="00635887"/>
    <w:rsid w:val="006358C1"/>
    <w:rsid w:val="006358E3"/>
    <w:rsid w:val="006358F2"/>
    <w:rsid w:val="00635913"/>
    <w:rsid w:val="0063594E"/>
    <w:rsid w:val="00635981"/>
    <w:rsid w:val="006359FC"/>
    <w:rsid w:val="00635A5B"/>
    <w:rsid w:val="00635A93"/>
    <w:rsid w:val="00635AB5"/>
    <w:rsid w:val="00635ACD"/>
    <w:rsid w:val="00635AD9"/>
    <w:rsid w:val="00635AE4"/>
    <w:rsid w:val="00635AEB"/>
    <w:rsid w:val="00635B6F"/>
    <w:rsid w:val="00635B8D"/>
    <w:rsid w:val="00635BF6"/>
    <w:rsid w:val="00635C63"/>
    <w:rsid w:val="00635C80"/>
    <w:rsid w:val="00635CC7"/>
    <w:rsid w:val="00635DB5"/>
    <w:rsid w:val="00635DCD"/>
    <w:rsid w:val="00635E14"/>
    <w:rsid w:val="00635E1A"/>
    <w:rsid w:val="00635E30"/>
    <w:rsid w:val="00635E54"/>
    <w:rsid w:val="00635EDB"/>
    <w:rsid w:val="00635F23"/>
    <w:rsid w:val="00635FEA"/>
    <w:rsid w:val="00636094"/>
    <w:rsid w:val="006360A5"/>
    <w:rsid w:val="006360EC"/>
    <w:rsid w:val="0063617F"/>
    <w:rsid w:val="00636196"/>
    <w:rsid w:val="006361A0"/>
    <w:rsid w:val="00636253"/>
    <w:rsid w:val="0063632D"/>
    <w:rsid w:val="0063635E"/>
    <w:rsid w:val="0063639A"/>
    <w:rsid w:val="006363A5"/>
    <w:rsid w:val="00636424"/>
    <w:rsid w:val="00636450"/>
    <w:rsid w:val="006365E6"/>
    <w:rsid w:val="006365F3"/>
    <w:rsid w:val="00636628"/>
    <w:rsid w:val="00636674"/>
    <w:rsid w:val="006366A6"/>
    <w:rsid w:val="00636743"/>
    <w:rsid w:val="00636799"/>
    <w:rsid w:val="006367C1"/>
    <w:rsid w:val="00636834"/>
    <w:rsid w:val="006368D6"/>
    <w:rsid w:val="006368DB"/>
    <w:rsid w:val="00636964"/>
    <w:rsid w:val="00636980"/>
    <w:rsid w:val="006369BA"/>
    <w:rsid w:val="006369EC"/>
    <w:rsid w:val="00636A63"/>
    <w:rsid w:val="00636A81"/>
    <w:rsid w:val="00636A8F"/>
    <w:rsid w:val="00636AE0"/>
    <w:rsid w:val="00636B73"/>
    <w:rsid w:val="00636C2E"/>
    <w:rsid w:val="00636C96"/>
    <w:rsid w:val="00636D10"/>
    <w:rsid w:val="00636D36"/>
    <w:rsid w:val="00636E01"/>
    <w:rsid w:val="00636E15"/>
    <w:rsid w:val="00636EA4"/>
    <w:rsid w:val="00636F47"/>
    <w:rsid w:val="00636F71"/>
    <w:rsid w:val="00636F8D"/>
    <w:rsid w:val="00636FE2"/>
    <w:rsid w:val="006370CF"/>
    <w:rsid w:val="006370F0"/>
    <w:rsid w:val="00637190"/>
    <w:rsid w:val="0063724A"/>
    <w:rsid w:val="006372A4"/>
    <w:rsid w:val="00637322"/>
    <w:rsid w:val="00637346"/>
    <w:rsid w:val="00637373"/>
    <w:rsid w:val="00637374"/>
    <w:rsid w:val="00637398"/>
    <w:rsid w:val="00637473"/>
    <w:rsid w:val="006374D1"/>
    <w:rsid w:val="00637541"/>
    <w:rsid w:val="006375EE"/>
    <w:rsid w:val="00637636"/>
    <w:rsid w:val="00637887"/>
    <w:rsid w:val="00637889"/>
    <w:rsid w:val="0063789D"/>
    <w:rsid w:val="006378B0"/>
    <w:rsid w:val="0063798B"/>
    <w:rsid w:val="00637A64"/>
    <w:rsid w:val="00637AB8"/>
    <w:rsid w:val="00637AE5"/>
    <w:rsid w:val="00637B15"/>
    <w:rsid w:val="00637B39"/>
    <w:rsid w:val="00637B48"/>
    <w:rsid w:val="00637B70"/>
    <w:rsid w:val="00637BC9"/>
    <w:rsid w:val="00637D2C"/>
    <w:rsid w:val="00637DAA"/>
    <w:rsid w:val="00637DAF"/>
    <w:rsid w:val="00637DC9"/>
    <w:rsid w:val="00637DE1"/>
    <w:rsid w:val="00637E63"/>
    <w:rsid w:val="00637E8E"/>
    <w:rsid w:val="00637E9C"/>
    <w:rsid w:val="00637F2B"/>
    <w:rsid w:val="00637F60"/>
    <w:rsid w:val="00637FA2"/>
    <w:rsid w:val="00637FED"/>
    <w:rsid w:val="00637FF1"/>
    <w:rsid w:val="00640022"/>
    <w:rsid w:val="00640122"/>
    <w:rsid w:val="0064016D"/>
    <w:rsid w:val="00640203"/>
    <w:rsid w:val="0064024D"/>
    <w:rsid w:val="006402F6"/>
    <w:rsid w:val="0064032A"/>
    <w:rsid w:val="0064035F"/>
    <w:rsid w:val="00640360"/>
    <w:rsid w:val="00640366"/>
    <w:rsid w:val="00640398"/>
    <w:rsid w:val="00640443"/>
    <w:rsid w:val="006404EA"/>
    <w:rsid w:val="0064053B"/>
    <w:rsid w:val="006405FB"/>
    <w:rsid w:val="00640642"/>
    <w:rsid w:val="00640685"/>
    <w:rsid w:val="006406BF"/>
    <w:rsid w:val="0064083E"/>
    <w:rsid w:val="0064084F"/>
    <w:rsid w:val="00640895"/>
    <w:rsid w:val="006409C1"/>
    <w:rsid w:val="006409C6"/>
    <w:rsid w:val="00640AE8"/>
    <w:rsid w:val="00640AFB"/>
    <w:rsid w:val="00640BF8"/>
    <w:rsid w:val="00640C22"/>
    <w:rsid w:val="00640C33"/>
    <w:rsid w:val="00640EB8"/>
    <w:rsid w:val="00640ED8"/>
    <w:rsid w:val="00640F0B"/>
    <w:rsid w:val="00640FA4"/>
    <w:rsid w:val="00641011"/>
    <w:rsid w:val="00641055"/>
    <w:rsid w:val="006410CC"/>
    <w:rsid w:val="00641134"/>
    <w:rsid w:val="00641174"/>
    <w:rsid w:val="006411AB"/>
    <w:rsid w:val="0064120E"/>
    <w:rsid w:val="0064123C"/>
    <w:rsid w:val="006412A7"/>
    <w:rsid w:val="006412BB"/>
    <w:rsid w:val="006412E9"/>
    <w:rsid w:val="006412FE"/>
    <w:rsid w:val="00641300"/>
    <w:rsid w:val="00641328"/>
    <w:rsid w:val="00641504"/>
    <w:rsid w:val="00641529"/>
    <w:rsid w:val="0064154A"/>
    <w:rsid w:val="00641573"/>
    <w:rsid w:val="0064159A"/>
    <w:rsid w:val="0064167E"/>
    <w:rsid w:val="006416EE"/>
    <w:rsid w:val="006417CF"/>
    <w:rsid w:val="006417E0"/>
    <w:rsid w:val="006418B1"/>
    <w:rsid w:val="006418BB"/>
    <w:rsid w:val="00641943"/>
    <w:rsid w:val="0064194A"/>
    <w:rsid w:val="00641A00"/>
    <w:rsid w:val="00641A3C"/>
    <w:rsid w:val="00641AE1"/>
    <w:rsid w:val="00641AED"/>
    <w:rsid w:val="00641AF7"/>
    <w:rsid w:val="00641AFF"/>
    <w:rsid w:val="00641B19"/>
    <w:rsid w:val="00641BA0"/>
    <w:rsid w:val="00641BA3"/>
    <w:rsid w:val="00641BCC"/>
    <w:rsid w:val="00641C1C"/>
    <w:rsid w:val="00641C3B"/>
    <w:rsid w:val="00641C5A"/>
    <w:rsid w:val="00641CE7"/>
    <w:rsid w:val="00641D11"/>
    <w:rsid w:val="00641D8F"/>
    <w:rsid w:val="00641E57"/>
    <w:rsid w:val="00641E68"/>
    <w:rsid w:val="00641E6F"/>
    <w:rsid w:val="00641E77"/>
    <w:rsid w:val="00641EE2"/>
    <w:rsid w:val="00641F0F"/>
    <w:rsid w:val="00641F35"/>
    <w:rsid w:val="00641FD5"/>
    <w:rsid w:val="0064203E"/>
    <w:rsid w:val="006420B3"/>
    <w:rsid w:val="006420C2"/>
    <w:rsid w:val="0064212C"/>
    <w:rsid w:val="00642193"/>
    <w:rsid w:val="006421EC"/>
    <w:rsid w:val="006422CF"/>
    <w:rsid w:val="00642312"/>
    <w:rsid w:val="0064233B"/>
    <w:rsid w:val="00642375"/>
    <w:rsid w:val="00642383"/>
    <w:rsid w:val="006423F1"/>
    <w:rsid w:val="00642402"/>
    <w:rsid w:val="0064247D"/>
    <w:rsid w:val="00642524"/>
    <w:rsid w:val="0064256C"/>
    <w:rsid w:val="006425AE"/>
    <w:rsid w:val="006425D8"/>
    <w:rsid w:val="00642626"/>
    <w:rsid w:val="00642628"/>
    <w:rsid w:val="0064265B"/>
    <w:rsid w:val="006426B3"/>
    <w:rsid w:val="006426CD"/>
    <w:rsid w:val="00642744"/>
    <w:rsid w:val="00642749"/>
    <w:rsid w:val="0064274D"/>
    <w:rsid w:val="00642771"/>
    <w:rsid w:val="0064279A"/>
    <w:rsid w:val="0064279B"/>
    <w:rsid w:val="006427A7"/>
    <w:rsid w:val="006427FA"/>
    <w:rsid w:val="00642841"/>
    <w:rsid w:val="00642892"/>
    <w:rsid w:val="00642897"/>
    <w:rsid w:val="006428C4"/>
    <w:rsid w:val="0064299B"/>
    <w:rsid w:val="006429AA"/>
    <w:rsid w:val="006429CA"/>
    <w:rsid w:val="00642B52"/>
    <w:rsid w:val="00642BBE"/>
    <w:rsid w:val="00642C74"/>
    <w:rsid w:val="00642CBA"/>
    <w:rsid w:val="00642CDD"/>
    <w:rsid w:val="00642CEF"/>
    <w:rsid w:val="00642D11"/>
    <w:rsid w:val="00642D1B"/>
    <w:rsid w:val="00642D48"/>
    <w:rsid w:val="00642D8F"/>
    <w:rsid w:val="00642DE9"/>
    <w:rsid w:val="00642DF4"/>
    <w:rsid w:val="00642E7E"/>
    <w:rsid w:val="00642EAE"/>
    <w:rsid w:val="00642F64"/>
    <w:rsid w:val="00642F77"/>
    <w:rsid w:val="00642FB3"/>
    <w:rsid w:val="00643005"/>
    <w:rsid w:val="00643031"/>
    <w:rsid w:val="00643091"/>
    <w:rsid w:val="006430FB"/>
    <w:rsid w:val="00643124"/>
    <w:rsid w:val="006431E6"/>
    <w:rsid w:val="0064322D"/>
    <w:rsid w:val="00643234"/>
    <w:rsid w:val="00643241"/>
    <w:rsid w:val="0064324A"/>
    <w:rsid w:val="00643306"/>
    <w:rsid w:val="00643348"/>
    <w:rsid w:val="0064334B"/>
    <w:rsid w:val="0064335A"/>
    <w:rsid w:val="006433BD"/>
    <w:rsid w:val="00643412"/>
    <w:rsid w:val="006434E1"/>
    <w:rsid w:val="006434F7"/>
    <w:rsid w:val="00643528"/>
    <w:rsid w:val="00643576"/>
    <w:rsid w:val="006435AD"/>
    <w:rsid w:val="006435C0"/>
    <w:rsid w:val="006435C6"/>
    <w:rsid w:val="006435C9"/>
    <w:rsid w:val="00643618"/>
    <w:rsid w:val="0064363E"/>
    <w:rsid w:val="00643640"/>
    <w:rsid w:val="00643641"/>
    <w:rsid w:val="006436B5"/>
    <w:rsid w:val="0064376B"/>
    <w:rsid w:val="00643794"/>
    <w:rsid w:val="0064383A"/>
    <w:rsid w:val="006438E1"/>
    <w:rsid w:val="0064391D"/>
    <w:rsid w:val="0064391E"/>
    <w:rsid w:val="00643928"/>
    <w:rsid w:val="00643932"/>
    <w:rsid w:val="00643946"/>
    <w:rsid w:val="006439C8"/>
    <w:rsid w:val="00643AED"/>
    <w:rsid w:val="00643B1F"/>
    <w:rsid w:val="00643B52"/>
    <w:rsid w:val="00643B67"/>
    <w:rsid w:val="00643BBF"/>
    <w:rsid w:val="00643BCC"/>
    <w:rsid w:val="00643BD2"/>
    <w:rsid w:val="00643BD6"/>
    <w:rsid w:val="00643C1A"/>
    <w:rsid w:val="00643D34"/>
    <w:rsid w:val="00643D3B"/>
    <w:rsid w:val="00643E3E"/>
    <w:rsid w:val="00643E47"/>
    <w:rsid w:val="00643E88"/>
    <w:rsid w:val="00643EE1"/>
    <w:rsid w:val="00643F18"/>
    <w:rsid w:val="0064406B"/>
    <w:rsid w:val="00644085"/>
    <w:rsid w:val="00644172"/>
    <w:rsid w:val="00644198"/>
    <w:rsid w:val="0064426A"/>
    <w:rsid w:val="006442C0"/>
    <w:rsid w:val="006442CD"/>
    <w:rsid w:val="00644316"/>
    <w:rsid w:val="00644319"/>
    <w:rsid w:val="00644336"/>
    <w:rsid w:val="0064437A"/>
    <w:rsid w:val="006443FA"/>
    <w:rsid w:val="0064442E"/>
    <w:rsid w:val="0064449D"/>
    <w:rsid w:val="0064449F"/>
    <w:rsid w:val="006444AB"/>
    <w:rsid w:val="006444AF"/>
    <w:rsid w:val="006444D8"/>
    <w:rsid w:val="00644559"/>
    <w:rsid w:val="00644583"/>
    <w:rsid w:val="006445F1"/>
    <w:rsid w:val="0064460D"/>
    <w:rsid w:val="0064462E"/>
    <w:rsid w:val="00644630"/>
    <w:rsid w:val="0064468F"/>
    <w:rsid w:val="0064475F"/>
    <w:rsid w:val="0064481B"/>
    <w:rsid w:val="00644882"/>
    <w:rsid w:val="006448FF"/>
    <w:rsid w:val="0064496A"/>
    <w:rsid w:val="00644998"/>
    <w:rsid w:val="00644A82"/>
    <w:rsid w:val="00644A89"/>
    <w:rsid w:val="00644AAB"/>
    <w:rsid w:val="00644AB5"/>
    <w:rsid w:val="00644B4F"/>
    <w:rsid w:val="00644B62"/>
    <w:rsid w:val="00644B8D"/>
    <w:rsid w:val="00644B9A"/>
    <w:rsid w:val="00644BA4"/>
    <w:rsid w:val="00644BB8"/>
    <w:rsid w:val="00644BC9"/>
    <w:rsid w:val="00644C36"/>
    <w:rsid w:val="00644C5A"/>
    <w:rsid w:val="00644CC6"/>
    <w:rsid w:val="00644CCD"/>
    <w:rsid w:val="00644CF7"/>
    <w:rsid w:val="00644D47"/>
    <w:rsid w:val="00644D66"/>
    <w:rsid w:val="00644DAE"/>
    <w:rsid w:val="00644E39"/>
    <w:rsid w:val="00644E4F"/>
    <w:rsid w:val="00644E52"/>
    <w:rsid w:val="00644F7D"/>
    <w:rsid w:val="00644FBF"/>
    <w:rsid w:val="00644FDC"/>
    <w:rsid w:val="00644FF9"/>
    <w:rsid w:val="0064504A"/>
    <w:rsid w:val="00645089"/>
    <w:rsid w:val="0064508D"/>
    <w:rsid w:val="006450CC"/>
    <w:rsid w:val="0064518C"/>
    <w:rsid w:val="006451A7"/>
    <w:rsid w:val="006451F9"/>
    <w:rsid w:val="006452AE"/>
    <w:rsid w:val="00645327"/>
    <w:rsid w:val="0064537D"/>
    <w:rsid w:val="006453D4"/>
    <w:rsid w:val="006454F7"/>
    <w:rsid w:val="00645509"/>
    <w:rsid w:val="00645556"/>
    <w:rsid w:val="0064557F"/>
    <w:rsid w:val="0064559F"/>
    <w:rsid w:val="006455B7"/>
    <w:rsid w:val="00645653"/>
    <w:rsid w:val="0064565A"/>
    <w:rsid w:val="00645762"/>
    <w:rsid w:val="006457F5"/>
    <w:rsid w:val="006458AA"/>
    <w:rsid w:val="006458F9"/>
    <w:rsid w:val="00645904"/>
    <w:rsid w:val="00645920"/>
    <w:rsid w:val="00645927"/>
    <w:rsid w:val="006459AC"/>
    <w:rsid w:val="006459FB"/>
    <w:rsid w:val="00645A08"/>
    <w:rsid w:val="00645A54"/>
    <w:rsid w:val="00645AC7"/>
    <w:rsid w:val="00645AF7"/>
    <w:rsid w:val="00645BC6"/>
    <w:rsid w:val="00645BF1"/>
    <w:rsid w:val="00645BF8"/>
    <w:rsid w:val="00645C0F"/>
    <w:rsid w:val="00645C1B"/>
    <w:rsid w:val="00645D34"/>
    <w:rsid w:val="00645D8B"/>
    <w:rsid w:val="00645ECF"/>
    <w:rsid w:val="00645FF8"/>
    <w:rsid w:val="00646000"/>
    <w:rsid w:val="0064600D"/>
    <w:rsid w:val="00646081"/>
    <w:rsid w:val="006461D4"/>
    <w:rsid w:val="006462B9"/>
    <w:rsid w:val="0064631F"/>
    <w:rsid w:val="00646385"/>
    <w:rsid w:val="006463D5"/>
    <w:rsid w:val="006463F1"/>
    <w:rsid w:val="0064644A"/>
    <w:rsid w:val="0064648D"/>
    <w:rsid w:val="006464A9"/>
    <w:rsid w:val="00646500"/>
    <w:rsid w:val="00646514"/>
    <w:rsid w:val="00646580"/>
    <w:rsid w:val="00646581"/>
    <w:rsid w:val="00646708"/>
    <w:rsid w:val="0064670C"/>
    <w:rsid w:val="00646723"/>
    <w:rsid w:val="00646851"/>
    <w:rsid w:val="00646863"/>
    <w:rsid w:val="00646928"/>
    <w:rsid w:val="0064693D"/>
    <w:rsid w:val="006469F6"/>
    <w:rsid w:val="00646A76"/>
    <w:rsid w:val="00646A7F"/>
    <w:rsid w:val="00646A88"/>
    <w:rsid w:val="00646AA9"/>
    <w:rsid w:val="00646ADD"/>
    <w:rsid w:val="00646AED"/>
    <w:rsid w:val="00646B4B"/>
    <w:rsid w:val="00646B7D"/>
    <w:rsid w:val="00646BA3"/>
    <w:rsid w:val="00646BF0"/>
    <w:rsid w:val="00646CCC"/>
    <w:rsid w:val="00646D5B"/>
    <w:rsid w:val="00646DD5"/>
    <w:rsid w:val="00646E0E"/>
    <w:rsid w:val="00646E11"/>
    <w:rsid w:val="00646E2A"/>
    <w:rsid w:val="00646E86"/>
    <w:rsid w:val="00646EE7"/>
    <w:rsid w:val="00646F71"/>
    <w:rsid w:val="00646F88"/>
    <w:rsid w:val="00646FA3"/>
    <w:rsid w:val="00646FD2"/>
    <w:rsid w:val="00646FEF"/>
    <w:rsid w:val="00647001"/>
    <w:rsid w:val="00647043"/>
    <w:rsid w:val="006472FB"/>
    <w:rsid w:val="00647347"/>
    <w:rsid w:val="0064735E"/>
    <w:rsid w:val="00647383"/>
    <w:rsid w:val="006473AB"/>
    <w:rsid w:val="00647445"/>
    <w:rsid w:val="006474DE"/>
    <w:rsid w:val="00647500"/>
    <w:rsid w:val="00647594"/>
    <w:rsid w:val="006475D8"/>
    <w:rsid w:val="0064760E"/>
    <w:rsid w:val="006476EF"/>
    <w:rsid w:val="0064772E"/>
    <w:rsid w:val="00647734"/>
    <w:rsid w:val="006477F8"/>
    <w:rsid w:val="00647879"/>
    <w:rsid w:val="00647952"/>
    <w:rsid w:val="0064795B"/>
    <w:rsid w:val="00647AEA"/>
    <w:rsid w:val="00647B2F"/>
    <w:rsid w:val="00647B44"/>
    <w:rsid w:val="00647B4F"/>
    <w:rsid w:val="00647B59"/>
    <w:rsid w:val="00647B77"/>
    <w:rsid w:val="00647BBF"/>
    <w:rsid w:val="00647C00"/>
    <w:rsid w:val="00647CD0"/>
    <w:rsid w:val="00647D1C"/>
    <w:rsid w:val="00647D28"/>
    <w:rsid w:val="00647D66"/>
    <w:rsid w:val="00647DC8"/>
    <w:rsid w:val="00647DCF"/>
    <w:rsid w:val="00647E6A"/>
    <w:rsid w:val="00647F64"/>
    <w:rsid w:val="00647F94"/>
    <w:rsid w:val="0065006F"/>
    <w:rsid w:val="0065007B"/>
    <w:rsid w:val="00650083"/>
    <w:rsid w:val="006500BE"/>
    <w:rsid w:val="006500C7"/>
    <w:rsid w:val="006500CF"/>
    <w:rsid w:val="006500D0"/>
    <w:rsid w:val="0065010B"/>
    <w:rsid w:val="006501B2"/>
    <w:rsid w:val="006501E7"/>
    <w:rsid w:val="00650219"/>
    <w:rsid w:val="0065023A"/>
    <w:rsid w:val="00650251"/>
    <w:rsid w:val="00650268"/>
    <w:rsid w:val="00650288"/>
    <w:rsid w:val="00650292"/>
    <w:rsid w:val="006503C6"/>
    <w:rsid w:val="006503FA"/>
    <w:rsid w:val="00650469"/>
    <w:rsid w:val="006504F5"/>
    <w:rsid w:val="006505C5"/>
    <w:rsid w:val="0065069C"/>
    <w:rsid w:val="006506A3"/>
    <w:rsid w:val="00650728"/>
    <w:rsid w:val="0065073F"/>
    <w:rsid w:val="00650756"/>
    <w:rsid w:val="0065076B"/>
    <w:rsid w:val="0065079F"/>
    <w:rsid w:val="006507DE"/>
    <w:rsid w:val="00650812"/>
    <w:rsid w:val="0065081B"/>
    <w:rsid w:val="0065093D"/>
    <w:rsid w:val="0065096F"/>
    <w:rsid w:val="006509BB"/>
    <w:rsid w:val="006509D6"/>
    <w:rsid w:val="00650AB6"/>
    <w:rsid w:val="00650B0C"/>
    <w:rsid w:val="00650B54"/>
    <w:rsid w:val="00650B71"/>
    <w:rsid w:val="00650B8C"/>
    <w:rsid w:val="00650C56"/>
    <w:rsid w:val="00650CDD"/>
    <w:rsid w:val="00650D21"/>
    <w:rsid w:val="00650D66"/>
    <w:rsid w:val="00650D71"/>
    <w:rsid w:val="00650E71"/>
    <w:rsid w:val="00650E90"/>
    <w:rsid w:val="00650ED2"/>
    <w:rsid w:val="00650FAE"/>
    <w:rsid w:val="006510F9"/>
    <w:rsid w:val="00651185"/>
    <w:rsid w:val="006511DE"/>
    <w:rsid w:val="0065121B"/>
    <w:rsid w:val="006512B2"/>
    <w:rsid w:val="006512E5"/>
    <w:rsid w:val="00651306"/>
    <w:rsid w:val="00651414"/>
    <w:rsid w:val="00651452"/>
    <w:rsid w:val="00651466"/>
    <w:rsid w:val="006514E6"/>
    <w:rsid w:val="006514F3"/>
    <w:rsid w:val="006514FA"/>
    <w:rsid w:val="00651537"/>
    <w:rsid w:val="00651603"/>
    <w:rsid w:val="0065164A"/>
    <w:rsid w:val="00651715"/>
    <w:rsid w:val="00651809"/>
    <w:rsid w:val="0065183F"/>
    <w:rsid w:val="0065186E"/>
    <w:rsid w:val="00651877"/>
    <w:rsid w:val="00651884"/>
    <w:rsid w:val="006518B0"/>
    <w:rsid w:val="006518C9"/>
    <w:rsid w:val="006518D3"/>
    <w:rsid w:val="00651943"/>
    <w:rsid w:val="00651947"/>
    <w:rsid w:val="006519B4"/>
    <w:rsid w:val="00651A05"/>
    <w:rsid w:val="00651A68"/>
    <w:rsid w:val="00651A78"/>
    <w:rsid w:val="00651A7B"/>
    <w:rsid w:val="00651B28"/>
    <w:rsid w:val="00651B81"/>
    <w:rsid w:val="00651BC3"/>
    <w:rsid w:val="00651BE9"/>
    <w:rsid w:val="00651C30"/>
    <w:rsid w:val="00651C4B"/>
    <w:rsid w:val="00651CBE"/>
    <w:rsid w:val="00651CF2"/>
    <w:rsid w:val="00651D09"/>
    <w:rsid w:val="00651D49"/>
    <w:rsid w:val="00651DB6"/>
    <w:rsid w:val="00651E5E"/>
    <w:rsid w:val="00651E9E"/>
    <w:rsid w:val="00651F52"/>
    <w:rsid w:val="006520B1"/>
    <w:rsid w:val="0065224E"/>
    <w:rsid w:val="00652255"/>
    <w:rsid w:val="0065226A"/>
    <w:rsid w:val="006522B0"/>
    <w:rsid w:val="00652306"/>
    <w:rsid w:val="006523F4"/>
    <w:rsid w:val="006523FD"/>
    <w:rsid w:val="0065243E"/>
    <w:rsid w:val="00652443"/>
    <w:rsid w:val="006524E2"/>
    <w:rsid w:val="00652508"/>
    <w:rsid w:val="006525D2"/>
    <w:rsid w:val="0065261A"/>
    <w:rsid w:val="0065264F"/>
    <w:rsid w:val="00652682"/>
    <w:rsid w:val="006526A0"/>
    <w:rsid w:val="006526C3"/>
    <w:rsid w:val="0065270F"/>
    <w:rsid w:val="00652710"/>
    <w:rsid w:val="00652736"/>
    <w:rsid w:val="00652738"/>
    <w:rsid w:val="006528C4"/>
    <w:rsid w:val="006528D5"/>
    <w:rsid w:val="00652909"/>
    <w:rsid w:val="0065292C"/>
    <w:rsid w:val="00652943"/>
    <w:rsid w:val="00652971"/>
    <w:rsid w:val="006529CC"/>
    <w:rsid w:val="00652AC3"/>
    <w:rsid w:val="00652AE7"/>
    <w:rsid w:val="00652B4E"/>
    <w:rsid w:val="00652B93"/>
    <w:rsid w:val="00652BB5"/>
    <w:rsid w:val="00652BC0"/>
    <w:rsid w:val="00652C26"/>
    <w:rsid w:val="00652C2F"/>
    <w:rsid w:val="00652C47"/>
    <w:rsid w:val="00652CB9"/>
    <w:rsid w:val="00652CBD"/>
    <w:rsid w:val="00652CEF"/>
    <w:rsid w:val="00652DBE"/>
    <w:rsid w:val="00652DC3"/>
    <w:rsid w:val="00652DF6"/>
    <w:rsid w:val="00652EBA"/>
    <w:rsid w:val="00652ED4"/>
    <w:rsid w:val="00652F72"/>
    <w:rsid w:val="00652F8B"/>
    <w:rsid w:val="00652FD5"/>
    <w:rsid w:val="00652FEF"/>
    <w:rsid w:val="00653008"/>
    <w:rsid w:val="0065306E"/>
    <w:rsid w:val="00653082"/>
    <w:rsid w:val="00653083"/>
    <w:rsid w:val="006530C2"/>
    <w:rsid w:val="006530CA"/>
    <w:rsid w:val="006530E3"/>
    <w:rsid w:val="00653123"/>
    <w:rsid w:val="0065326F"/>
    <w:rsid w:val="0065328F"/>
    <w:rsid w:val="00653299"/>
    <w:rsid w:val="006532D9"/>
    <w:rsid w:val="0065338C"/>
    <w:rsid w:val="00653393"/>
    <w:rsid w:val="006533AF"/>
    <w:rsid w:val="006533B0"/>
    <w:rsid w:val="006533C1"/>
    <w:rsid w:val="006533DA"/>
    <w:rsid w:val="00653450"/>
    <w:rsid w:val="00653474"/>
    <w:rsid w:val="00653487"/>
    <w:rsid w:val="006534CC"/>
    <w:rsid w:val="006535AA"/>
    <w:rsid w:val="00653641"/>
    <w:rsid w:val="00653683"/>
    <w:rsid w:val="006536A8"/>
    <w:rsid w:val="006536FE"/>
    <w:rsid w:val="006537EB"/>
    <w:rsid w:val="00653837"/>
    <w:rsid w:val="0065385C"/>
    <w:rsid w:val="00653969"/>
    <w:rsid w:val="006539A7"/>
    <w:rsid w:val="006539E3"/>
    <w:rsid w:val="00653A8B"/>
    <w:rsid w:val="00653AEC"/>
    <w:rsid w:val="00653B85"/>
    <w:rsid w:val="00653C26"/>
    <w:rsid w:val="00653C84"/>
    <w:rsid w:val="00653CA0"/>
    <w:rsid w:val="00653CA8"/>
    <w:rsid w:val="00653CB0"/>
    <w:rsid w:val="00653CEC"/>
    <w:rsid w:val="00653CEE"/>
    <w:rsid w:val="00653E3F"/>
    <w:rsid w:val="00653EA7"/>
    <w:rsid w:val="00653F54"/>
    <w:rsid w:val="00653F92"/>
    <w:rsid w:val="00653FE7"/>
    <w:rsid w:val="0065400F"/>
    <w:rsid w:val="0065404E"/>
    <w:rsid w:val="00654095"/>
    <w:rsid w:val="00654127"/>
    <w:rsid w:val="00654158"/>
    <w:rsid w:val="006541A4"/>
    <w:rsid w:val="00654220"/>
    <w:rsid w:val="0065423D"/>
    <w:rsid w:val="006542C1"/>
    <w:rsid w:val="006542DD"/>
    <w:rsid w:val="006542E5"/>
    <w:rsid w:val="006542F5"/>
    <w:rsid w:val="00654334"/>
    <w:rsid w:val="006543BC"/>
    <w:rsid w:val="006543E9"/>
    <w:rsid w:val="006544A9"/>
    <w:rsid w:val="006544B8"/>
    <w:rsid w:val="006545AD"/>
    <w:rsid w:val="006546B1"/>
    <w:rsid w:val="006546C1"/>
    <w:rsid w:val="0065472F"/>
    <w:rsid w:val="0065476E"/>
    <w:rsid w:val="0065477E"/>
    <w:rsid w:val="00654798"/>
    <w:rsid w:val="006547B1"/>
    <w:rsid w:val="006547B8"/>
    <w:rsid w:val="006547D2"/>
    <w:rsid w:val="0065480B"/>
    <w:rsid w:val="00654827"/>
    <w:rsid w:val="00654845"/>
    <w:rsid w:val="0065485F"/>
    <w:rsid w:val="006548F5"/>
    <w:rsid w:val="00654911"/>
    <w:rsid w:val="0065492E"/>
    <w:rsid w:val="00654967"/>
    <w:rsid w:val="006549CA"/>
    <w:rsid w:val="00654A26"/>
    <w:rsid w:val="00654A34"/>
    <w:rsid w:val="00654A7A"/>
    <w:rsid w:val="00654A81"/>
    <w:rsid w:val="00654ACB"/>
    <w:rsid w:val="00654BE2"/>
    <w:rsid w:val="00654BE8"/>
    <w:rsid w:val="00654CCF"/>
    <w:rsid w:val="00654D0F"/>
    <w:rsid w:val="00654DD1"/>
    <w:rsid w:val="00654E00"/>
    <w:rsid w:val="00654E1C"/>
    <w:rsid w:val="00654E56"/>
    <w:rsid w:val="00654F0B"/>
    <w:rsid w:val="00654F15"/>
    <w:rsid w:val="00654FAE"/>
    <w:rsid w:val="00654FE8"/>
    <w:rsid w:val="00655085"/>
    <w:rsid w:val="006550C7"/>
    <w:rsid w:val="00655103"/>
    <w:rsid w:val="0065511E"/>
    <w:rsid w:val="00655128"/>
    <w:rsid w:val="00655386"/>
    <w:rsid w:val="006553AD"/>
    <w:rsid w:val="006553EE"/>
    <w:rsid w:val="0065540E"/>
    <w:rsid w:val="0065545B"/>
    <w:rsid w:val="006554AA"/>
    <w:rsid w:val="006554BB"/>
    <w:rsid w:val="006554D5"/>
    <w:rsid w:val="006555AA"/>
    <w:rsid w:val="006555CD"/>
    <w:rsid w:val="006555D0"/>
    <w:rsid w:val="00655637"/>
    <w:rsid w:val="00655669"/>
    <w:rsid w:val="006556C4"/>
    <w:rsid w:val="006556D3"/>
    <w:rsid w:val="006557CB"/>
    <w:rsid w:val="006557E4"/>
    <w:rsid w:val="00655829"/>
    <w:rsid w:val="00655830"/>
    <w:rsid w:val="0065589A"/>
    <w:rsid w:val="006558AC"/>
    <w:rsid w:val="006558B1"/>
    <w:rsid w:val="006558B8"/>
    <w:rsid w:val="006558E0"/>
    <w:rsid w:val="0065591D"/>
    <w:rsid w:val="0065592F"/>
    <w:rsid w:val="00655990"/>
    <w:rsid w:val="006559DA"/>
    <w:rsid w:val="006559FE"/>
    <w:rsid w:val="00655A48"/>
    <w:rsid w:val="00655AE7"/>
    <w:rsid w:val="00655B57"/>
    <w:rsid w:val="00655B5A"/>
    <w:rsid w:val="00655B71"/>
    <w:rsid w:val="00655BA9"/>
    <w:rsid w:val="00655C1C"/>
    <w:rsid w:val="00655D2A"/>
    <w:rsid w:val="00655D9E"/>
    <w:rsid w:val="00655D9F"/>
    <w:rsid w:val="00655E36"/>
    <w:rsid w:val="00655F0D"/>
    <w:rsid w:val="00655F7D"/>
    <w:rsid w:val="00655FC7"/>
    <w:rsid w:val="00656036"/>
    <w:rsid w:val="00656063"/>
    <w:rsid w:val="00656097"/>
    <w:rsid w:val="00656182"/>
    <w:rsid w:val="0065618A"/>
    <w:rsid w:val="0065625A"/>
    <w:rsid w:val="006562BD"/>
    <w:rsid w:val="0065632A"/>
    <w:rsid w:val="00656380"/>
    <w:rsid w:val="006563A6"/>
    <w:rsid w:val="006563BD"/>
    <w:rsid w:val="0065641F"/>
    <w:rsid w:val="0065646E"/>
    <w:rsid w:val="006564C1"/>
    <w:rsid w:val="006564EF"/>
    <w:rsid w:val="0065652C"/>
    <w:rsid w:val="00656585"/>
    <w:rsid w:val="00656596"/>
    <w:rsid w:val="0065666C"/>
    <w:rsid w:val="006566C1"/>
    <w:rsid w:val="006566D8"/>
    <w:rsid w:val="006566E5"/>
    <w:rsid w:val="00656731"/>
    <w:rsid w:val="006567BC"/>
    <w:rsid w:val="006567EE"/>
    <w:rsid w:val="00656828"/>
    <w:rsid w:val="00656833"/>
    <w:rsid w:val="006568BD"/>
    <w:rsid w:val="00656971"/>
    <w:rsid w:val="006569B4"/>
    <w:rsid w:val="00656AB7"/>
    <w:rsid w:val="00656B28"/>
    <w:rsid w:val="00656B4A"/>
    <w:rsid w:val="00656B52"/>
    <w:rsid w:val="00656B5A"/>
    <w:rsid w:val="00656CFC"/>
    <w:rsid w:val="00656D38"/>
    <w:rsid w:val="00656DC6"/>
    <w:rsid w:val="00656E27"/>
    <w:rsid w:val="00656E61"/>
    <w:rsid w:val="00656E8E"/>
    <w:rsid w:val="00656EEF"/>
    <w:rsid w:val="00656EF4"/>
    <w:rsid w:val="00656F26"/>
    <w:rsid w:val="00656F2D"/>
    <w:rsid w:val="00656F91"/>
    <w:rsid w:val="00656FDC"/>
    <w:rsid w:val="00656FE7"/>
    <w:rsid w:val="00657039"/>
    <w:rsid w:val="00657056"/>
    <w:rsid w:val="006570EB"/>
    <w:rsid w:val="00657130"/>
    <w:rsid w:val="00657152"/>
    <w:rsid w:val="00657154"/>
    <w:rsid w:val="006571FF"/>
    <w:rsid w:val="0065720B"/>
    <w:rsid w:val="00657255"/>
    <w:rsid w:val="00657297"/>
    <w:rsid w:val="006572B8"/>
    <w:rsid w:val="0065730B"/>
    <w:rsid w:val="0065739C"/>
    <w:rsid w:val="006573AA"/>
    <w:rsid w:val="006573B0"/>
    <w:rsid w:val="0065741F"/>
    <w:rsid w:val="00657420"/>
    <w:rsid w:val="00657459"/>
    <w:rsid w:val="006574F0"/>
    <w:rsid w:val="00657516"/>
    <w:rsid w:val="00657547"/>
    <w:rsid w:val="006575DC"/>
    <w:rsid w:val="006575F3"/>
    <w:rsid w:val="0065763B"/>
    <w:rsid w:val="00657671"/>
    <w:rsid w:val="00657682"/>
    <w:rsid w:val="006577D9"/>
    <w:rsid w:val="00657859"/>
    <w:rsid w:val="00657905"/>
    <w:rsid w:val="0065794D"/>
    <w:rsid w:val="00657954"/>
    <w:rsid w:val="00657989"/>
    <w:rsid w:val="006579F9"/>
    <w:rsid w:val="00657A74"/>
    <w:rsid w:val="00657AB0"/>
    <w:rsid w:val="00657B1B"/>
    <w:rsid w:val="00657BAA"/>
    <w:rsid w:val="00657BC3"/>
    <w:rsid w:val="00657BEA"/>
    <w:rsid w:val="00657CA4"/>
    <w:rsid w:val="00657CEC"/>
    <w:rsid w:val="00657D0C"/>
    <w:rsid w:val="00657D3F"/>
    <w:rsid w:val="00657DAA"/>
    <w:rsid w:val="00657E2D"/>
    <w:rsid w:val="00657E82"/>
    <w:rsid w:val="00657E87"/>
    <w:rsid w:val="00657ED1"/>
    <w:rsid w:val="00657F0A"/>
    <w:rsid w:val="00657F21"/>
    <w:rsid w:val="00657F43"/>
    <w:rsid w:val="00657F9F"/>
    <w:rsid w:val="00657FA5"/>
    <w:rsid w:val="00657FC7"/>
    <w:rsid w:val="00657FC8"/>
    <w:rsid w:val="006600CD"/>
    <w:rsid w:val="00660188"/>
    <w:rsid w:val="006601A0"/>
    <w:rsid w:val="006601BB"/>
    <w:rsid w:val="006601E8"/>
    <w:rsid w:val="0066024C"/>
    <w:rsid w:val="00660253"/>
    <w:rsid w:val="0066036B"/>
    <w:rsid w:val="00660459"/>
    <w:rsid w:val="006604AE"/>
    <w:rsid w:val="00660566"/>
    <w:rsid w:val="006605F2"/>
    <w:rsid w:val="00660645"/>
    <w:rsid w:val="00660670"/>
    <w:rsid w:val="00660671"/>
    <w:rsid w:val="00660681"/>
    <w:rsid w:val="006606A1"/>
    <w:rsid w:val="006606EC"/>
    <w:rsid w:val="00660738"/>
    <w:rsid w:val="006607DB"/>
    <w:rsid w:val="006607EB"/>
    <w:rsid w:val="0066086A"/>
    <w:rsid w:val="006608B9"/>
    <w:rsid w:val="006608F2"/>
    <w:rsid w:val="0066095D"/>
    <w:rsid w:val="00660A23"/>
    <w:rsid w:val="00660A4A"/>
    <w:rsid w:val="00660A59"/>
    <w:rsid w:val="00660A89"/>
    <w:rsid w:val="00660AC6"/>
    <w:rsid w:val="00660B71"/>
    <w:rsid w:val="00660B97"/>
    <w:rsid w:val="00660BB3"/>
    <w:rsid w:val="00660C07"/>
    <w:rsid w:val="00660CC2"/>
    <w:rsid w:val="00660CFD"/>
    <w:rsid w:val="00660DC3"/>
    <w:rsid w:val="00660DF5"/>
    <w:rsid w:val="00660E48"/>
    <w:rsid w:val="00660EB6"/>
    <w:rsid w:val="00660EB9"/>
    <w:rsid w:val="00660EF3"/>
    <w:rsid w:val="00660F33"/>
    <w:rsid w:val="00660F39"/>
    <w:rsid w:val="00660F7F"/>
    <w:rsid w:val="00660FEC"/>
    <w:rsid w:val="0066101A"/>
    <w:rsid w:val="0066104F"/>
    <w:rsid w:val="006610E2"/>
    <w:rsid w:val="006610E5"/>
    <w:rsid w:val="00661149"/>
    <w:rsid w:val="006611D7"/>
    <w:rsid w:val="00661229"/>
    <w:rsid w:val="006613DB"/>
    <w:rsid w:val="00661490"/>
    <w:rsid w:val="00661496"/>
    <w:rsid w:val="006615BD"/>
    <w:rsid w:val="006615C0"/>
    <w:rsid w:val="00661691"/>
    <w:rsid w:val="0066170C"/>
    <w:rsid w:val="00661779"/>
    <w:rsid w:val="006617A8"/>
    <w:rsid w:val="0066180F"/>
    <w:rsid w:val="00661842"/>
    <w:rsid w:val="00661881"/>
    <w:rsid w:val="006618BE"/>
    <w:rsid w:val="006618EB"/>
    <w:rsid w:val="006619B9"/>
    <w:rsid w:val="00661AB7"/>
    <w:rsid w:val="00661B2A"/>
    <w:rsid w:val="00661B3C"/>
    <w:rsid w:val="00661BAD"/>
    <w:rsid w:val="00661BD5"/>
    <w:rsid w:val="00661D2D"/>
    <w:rsid w:val="00661D5A"/>
    <w:rsid w:val="00661D8D"/>
    <w:rsid w:val="00661DBF"/>
    <w:rsid w:val="00661E4D"/>
    <w:rsid w:val="00661E5B"/>
    <w:rsid w:val="00661ED3"/>
    <w:rsid w:val="00661EDE"/>
    <w:rsid w:val="00661F25"/>
    <w:rsid w:val="006620AC"/>
    <w:rsid w:val="00662127"/>
    <w:rsid w:val="00662199"/>
    <w:rsid w:val="0066219A"/>
    <w:rsid w:val="006621B4"/>
    <w:rsid w:val="006622DC"/>
    <w:rsid w:val="006623BB"/>
    <w:rsid w:val="00662441"/>
    <w:rsid w:val="0066244B"/>
    <w:rsid w:val="006624E9"/>
    <w:rsid w:val="006625AB"/>
    <w:rsid w:val="006625B6"/>
    <w:rsid w:val="00662659"/>
    <w:rsid w:val="00662677"/>
    <w:rsid w:val="006626A8"/>
    <w:rsid w:val="00662710"/>
    <w:rsid w:val="0066276C"/>
    <w:rsid w:val="006627B2"/>
    <w:rsid w:val="0066282F"/>
    <w:rsid w:val="00662847"/>
    <w:rsid w:val="00662891"/>
    <w:rsid w:val="006628BD"/>
    <w:rsid w:val="006628F5"/>
    <w:rsid w:val="0066291C"/>
    <w:rsid w:val="00662961"/>
    <w:rsid w:val="006629BB"/>
    <w:rsid w:val="006629DA"/>
    <w:rsid w:val="00662A08"/>
    <w:rsid w:val="00662AA5"/>
    <w:rsid w:val="00662B91"/>
    <w:rsid w:val="00662BC7"/>
    <w:rsid w:val="00662C1E"/>
    <w:rsid w:val="00662C22"/>
    <w:rsid w:val="00662C64"/>
    <w:rsid w:val="00662CAA"/>
    <w:rsid w:val="00662D85"/>
    <w:rsid w:val="00662D8B"/>
    <w:rsid w:val="00662DB7"/>
    <w:rsid w:val="00662E55"/>
    <w:rsid w:val="00662EB1"/>
    <w:rsid w:val="00662EE2"/>
    <w:rsid w:val="00662FC0"/>
    <w:rsid w:val="006630E2"/>
    <w:rsid w:val="0066324F"/>
    <w:rsid w:val="0066327B"/>
    <w:rsid w:val="00663312"/>
    <w:rsid w:val="0066336C"/>
    <w:rsid w:val="0066337C"/>
    <w:rsid w:val="00663395"/>
    <w:rsid w:val="00663396"/>
    <w:rsid w:val="0066342F"/>
    <w:rsid w:val="0066343E"/>
    <w:rsid w:val="00663470"/>
    <w:rsid w:val="00663506"/>
    <w:rsid w:val="00663507"/>
    <w:rsid w:val="00663536"/>
    <w:rsid w:val="00663549"/>
    <w:rsid w:val="0066354F"/>
    <w:rsid w:val="006635B7"/>
    <w:rsid w:val="006635C5"/>
    <w:rsid w:val="0066368A"/>
    <w:rsid w:val="006636F6"/>
    <w:rsid w:val="0066381A"/>
    <w:rsid w:val="00663842"/>
    <w:rsid w:val="006638CA"/>
    <w:rsid w:val="006638E5"/>
    <w:rsid w:val="006639DC"/>
    <w:rsid w:val="00663ABD"/>
    <w:rsid w:val="00663C05"/>
    <w:rsid w:val="00663C07"/>
    <w:rsid w:val="00663C6E"/>
    <w:rsid w:val="00663D28"/>
    <w:rsid w:val="00663D8F"/>
    <w:rsid w:val="00663DEA"/>
    <w:rsid w:val="00663E38"/>
    <w:rsid w:val="00663E3F"/>
    <w:rsid w:val="00663E87"/>
    <w:rsid w:val="00663EA6"/>
    <w:rsid w:val="00663F62"/>
    <w:rsid w:val="00664027"/>
    <w:rsid w:val="0066406A"/>
    <w:rsid w:val="006640A1"/>
    <w:rsid w:val="006640C5"/>
    <w:rsid w:val="006640EE"/>
    <w:rsid w:val="00664101"/>
    <w:rsid w:val="00664179"/>
    <w:rsid w:val="0066419B"/>
    <w:rsid w:val="0066419F"/>
    <w:rsid w:val="0066421A"/>
    <w:rsid w:val="0066421D"/>
    <w:rsid w:val="00664273"/>
    <w:rsid w:val="00664310"/>
    <w:rsid w:val="00664356"/>
    <w:rsid w:val="00664398"/>
    <w:rsid w:val="006643E6"/>
    <w:rsid w:val="00664429"/>
    <w:rsid w:val="00664467"/>
    <w:rsid w:val="0066446D"/>
    <w:rsid w:val="00664518"/>
    <w:rsid w:val="00664557"/>
    <w:rsid w:val="006645C2"/>
    <w:rsid w:val="006645C7"/>
    <w:rsid w:val="0066463D"/>
    <w:rsid w:val="006646B0"/>
    <w:rsid w:val="006646F1"/>
    <w:rsid w:val="006646F5"/>
    <w:rsid w:val="0066471B"/>
    <w:rsid w:val="00664766"/>
    <w:rsid w:val="00664795"/>
    <w:rsid w:val="006647CD"/>
    <w:rsid w:val="00664866"/>
    <w:rsid w:val="0066487B"/>
    <w:rsid w:val="00664880"/>
    <w:rsid w:val="0066488D"/>
    <w:rsid w:val="006648BD"/>
    <w:rsid w:val="00664942"/>
    <w:rsid w:val="006649A5"/>
    <w:rsid w:val="00664A39"/>
    <w:rsid w:val="00664A96"/>
    <w:rsid w:val="00664B9C"/>
    <w:rsid w:val="00664C1B"/>
    <w:rsid w:val="00664C6C"/>
    <w:rsid w:val="00664C89"/>
    <w:rsid w:val="00664CC3"/>
    <w:rsid w:val="00664CCB"/>
    <w:rsid w:val="00664D72"/>
    <w:rsid w:val="00664D80"/>
    <w:rsid w:val="00664DA0"/>
    <w:rsid w:val="00664E14"/>
    <w:rsid w:val="00664E2B"/>
    <w:rsid w:val="00664E4D"/>
    <w:rsid w:val="00664F15"/>
    <w:rsid w:val="00664F54"/>
    <w:rsid w:val="00664FB0"/>
    <w:rsid w:val="00665000"/>
    <w:rsid w:val="0066500C"/>
    <w:rsid w:val="00665011"/>
    <w:rsid w:val="006650DD"/>
    <w:rsid w:val="00665109"/>
    <w:rsid w:val="0066517B"/>
    <w:rsid w:val="00665201"/>
    <w:rsid w:val="00665295"/>
    <w:rsid w:val="006652BA"/>
    <w:rsid w:val="00665307"/>
    <w:rsid w:val="00665369"/>
    <w:rsid w:val="00665382"/>
    <w:rsid w:val="006653BA"/>
    <w:rsid w:val="006653D9"/>
    <w:rsid w:val="00665464"/>
    <w:rsid w:val="0066547E"/>
    <w:rsid w:val="00665481"/>
    <w:rsid w:val="00665490"/>
    <w:rsid w:val="006654D0"/>
    <w:rsid w:val="00665549"/>
    <w:rsid w:val="006655B1"/>
    <w:rsid w:val="00665606"/>
    <w:rsid w:val="00665686"/>
    <w:rsid w:val="006656AE"/>
    <w:rsid w:val="006656BB"/>
    <w:rsid w:val="00665703"/>
    <w:rsid w:val="00665720"/>
    <w:rsid w:val="0066578D"/>
    <w:rsid w:val="006657A2"/>
    <w:rsid w:val="00665839"/>
    <w:rsid w:val="00665857"/>
    <w:rsid w:val="00665898"/>
    <w:rsid w:val="0066589B"/>
    <w:rsid w:val="006658DA"/>
    <w:rsid w:val="00665951"/>
    <w:rsid w:val="0066595D"/>
    <w:rsid w:val="0066599A"/>
    <w:rsid w:val="006659DD"/>
    <w:rsid w:val="006659F3"/>
    <w:rsid w:val="00665AA8"/>
    <w:rsid w:val="00665AAE"/>
    <w:rsid w:val="00665AAF"/>
    <w:rsid w:val="00665ABA"/>
    <w:rsid w:val="00665AD5"/>
    <w:rsid w:val="00665AD8"/>
    <w:rsid w:val="00665AF4"/>
    <w:rsid w:val="00665B07"/>
    <w:rsid w:val="00665B2C"/>
    <w:rsid w:val="00665C2B"/>
    <w:rsid w:val="00665C96"/>
    <w:rsid w:val="00665CB4"/>
    <w:rsid w:val="00665D8E"/>
    <w:rsid w:val="00665E2B"/>
    <w:rsid w:val="00665E42"/>
    <w:rsid w:val="00665E55"/>
    <w:rsid w:val="00665E5A"/>
    <w:rsid w:val="00665E5E"/>
    <w:rsid w:val="00665EE6"/>
    <w:rsid w:val="00665EE9"/>
    <w:rsid w:val="00665EF6"/>
    <w:rsid w:val="00665F06"/>
    <w:rsid w:val="00665F8D"/>
    <w:rsid w:val="00666115"/>
    <w:rsid w:val="0066615F"/>
    <w:rsid w:val="00666190"/>
    <w:rsid w:val="006661A9"/>
    <w:rsid w:val="006661AC"/>
    <w:rsid w:val="006661AD"/>
    <w:rsid w:val="00666225"/>
    <w:rsid w:val="00666270"/>
    <w:rsid w:val="0066627E"/>
    <w:rsid w:val="006662A2"/>
    <w:rsid w:val="006662A9"/>
    <w:rsid w:val="0066630A"/>
    <w:rsid w:val="006663CB"/>
    <w:rsid w:val="0066649E"/>
    <w:rsid w:val="006664D1"/>
    <w:rsid w:val="006664FE"/>
    <w:rsid w:val="0066653D"/>
    <w:rsid w:val="0066656C"/>
    <w:rsid w:val="00666572"/>
    <w:rsid w:val="0066659F"/>
    <w:rsid w:val="006665BA"/>
    <w:rsid w:val="0066660C"/>
    <w:rsid w:val="00666637"/>
    <w:rsid w:val="0066664C"/>
    <w:rsid w:val="00666721"/>
    <w:rsid w:val="00666779"/>
    <w:rsid w:val="006667C6"/>
    <w:rsid w:val="006667CF"/>
    <w:rsid w:val="00666859"/>
    <w:rsid w:val="006668C7"/>
    <w:rsid w:val="006668D5"/>
    <w:rsid w:val="006668E8"/>
    <w:rsid w:val="00666906"/>
    <w:rsid w:val="0066691B"/>
    <w:rsid w:val="00666A69"/>
    <w:rsid w:val="00666A78"/>
    <w:rsid w:val="00666AB1"/>
    <w:rsid w:val="00666AB4"/>
    <w:rsid w:val="00666ACF"/>
    <w:rsid w:val="00666AD7"/>
    <w:rsid w:val="00666AFC"/>
    <w:rsid w:val="00666B8A"/>
    <w:rsid w:val="00666BA5"/>
    <w:rsid w:val="00666C8E"/>
    <w:rsid w:val="00666CA4"/>
    <w:rsid w:val="00666CB9"/>
    <w:rsid w:val="00666DA0"/>
    <w:rsid w:val="00666E03"/>
    <w:rsid w:val="00666E0C"/>
    <w:rsid w:val="00666E41"/>
    <w:rsid w:val="00666E45"/>
    <w:rsid w:val="00666E68"/>
    <w:rsid w:val="00666EA6"/>
    <w:rsid w:val="00666F24"/>
    <w:rsid w:val="00666F59"/>
    <w:rsid w:val="00666F9F"/>
    <w:rsid w:val="0066700D"/>
    <w:rsid w:val="00667027"/>
    <w:rsid w:val="006670BA"/>
    <w:rsid w:val="006670C5"/>
    <w:rsid w:val="006671B7"/>
    <w:rsid w:val="0066726E"/>
    <w:rsid w:val="006672ED"/>
    <w:rsid w:val="006672FE"/>
    <w:rsid w:val="0066733F"/>
    <w:rsid w:val="00667423"/>
    <w:rsid w:val="0066744A"/>
    <w:rsid w:val="0066744E"/>
    <w:rsid w:val="0066746D"/>
    <w:rsid w:val="0066748B"/>
    <w:rsid w:val="006674CA"/>
    <w:rsid w:val="00667546"/>
    <w:rsid w:val="006675DE"/>
    <w:rsid w:val="006675E3"/>
    <w:rsid w:val="0066760A"/>
    <w:rsid w:val="006676EB"/>
    <w:rsid w:val="0066771B"/>
    <w:rsid w:val="0066775A"/>
    <w:rsid w:val="006677E1"/>
    <w:rsid w:val="006677F5"/>
    <w:rsid w:val="0066781C"/>
    <w:rsid w:val="00667876"/>
    <w:rsid w:val="006678CB"/>
    <w:rsid w:val="006678EE"/>
    <w:rsid w:val="00667908"/>
    <w:rsid w:val="0066791F"/>
    <w:rsid w:val="00667A0B"/>
    <w:rsid w:val="00667A66"/>
    <w:rsid w:val="00667A76"/>
    <w:rsid w:val="00667AD6"/>
    <w:rsid w:val="00667AF9"/>
    <w:rsid w:val="00667B99"/>
    <w:rsid w:val="00667C16"/>
    <w:rsid w:val="00667DC6"/>
    <w:rsid w:val="00667DEC"/>
    <w:rsid w:val="00667DED"/>
    <w:rsid w:val="00667E97"/>
    <w:rsid w:val="00667EAA"/>
    <w:rsid w:val="00667EB0"/>
    <w:rsid w:val="00667EE1"/>
    <w:rsid w:val="00667F00"/>
    <w:rsid w:val="00667F1B"/>
    <w:rsid w:val="00667F1F"/>
    <w:rsid w:val="00667F49"/>
    <w:rsid w:val="00667F7B"/>
    <w:rsid w:val="00667F88"/>
    <w:rsid w:val="00667F98"/>
    <w:rsid w:val="00667FDE"/>
    <w:rsid w:val="00667FED"/>
    <w:rsid w:val="00670023"/>
    <w:rsid w:val="00670038"/>
    <w:rsid w:val="0067003B"/>
    <w:rsid w:val="00670068"/>
    <w:rsid w:val="00670082"/>
    <w:rsid w:val="006700B8"/>
    <w:rsid w:val="006700C5"/>
    <w:rsid w:val="00670110"/>
    <w:rsid w:val="00670154"/>
    <w:rsid w:val="00670170"/>
    <w:rsid w:val="00670196"/>
    <w:rsid w:val="006701B6"/>
    <w:rsid w:val="006701D6"/>
    <w:rsid w:val="00670217"/>
    <w:rsid w:val="00670222"/>
    <w:rsid w:val="00670261"/>
    <w:rsid w:val="006702BE"/>
    <w:rsid w:val="0067031B"/>
    <w:rsid w:val="00670331"/>
    <w:rsid w:val="00670347"/>
    <w:rsid w:val="0067036C"/>
    <w:rsid w:val="006703AA"/>
    <w:rsid w:val="00670484"/>
    <w:rsid w:val="00670542"/>
    <w:rsid w:val="00670560"/>
    <w:rsid w:val="00670591"/>
    <w:rsid w:val="006705A7"/>
    <w:rsid w:val="006705C3"/>
    <w:rsid w:val="006705C6"/>
    <w:rsid w:val="0067064F"/>
    <w:rsid w:val="0067073F"/>
    <w:rsid w:val="0067082D"/>
    <w:rsid w:val="006708CB"/>
    <w:rsid w:val="0067096D"/>
    <w:rsid w:val="006709BB"/>
    <w:rsid w:val="006709D7"/>
    <w:rsid w:val="006709EB"/>
    <w:rsid w:val="00670A03"/>
    <w:rsid w:val="00670A17"/>
    <w:rsid w:val="00670A56"/>
    <w:rsid w:val="00670A8F"/>
    <w:rsid w:val="00670AB2"/>
    <w:rsid w:val="00670AC3"/>
    <w:rsid w:val="00670BC7"/>
    <w:rsid w:val="00670BD7"/>
    <w:rsid w:val="00670BEE"/>
    <w:rsid w:val="00670BFA"/>
    <w:rsid w:val="00670C4F"/>
    <w:rsid w:val="00670C66"/>
    <w:rsid w:val="00670CD9"/>
    <w:rsid w:val="00670D0F"/>
    <w:rsid w:val="00670D4F"/>
    <w:rsid w:val="00670D56"/>
    <w:rsid w:val="00670D59"/>
    <w:rsid w:val="00670D87"/>
    <w:rsid w:val="00670E0E"/>
    <w:rsid w:val="00670E1E"/>
    <w:rsid w:val="00670E8A"/>
    <w:rsid w:val="00670E8F"/>
    <w:rsid w:val="00670EBD"/>
    <w:rsid w:val="00670FD6"/>
    <w:rsid w:val="00671006"/>
    <w:rsid w:val="00671012"/>
    <w:rsid w:val="00671050"/>
    <w:rsid w:val="006710B9"/>
    <w:rsid w:val="006710D6"/>
    <w:rsid w:val="00671104"/>
    <w:rsid w:val="00671143"/>
    <w:rsid w:val="00671190"/>
    <w:rsid w:val="006711AA"/>
    <w:rsid w:val="0067121D"/>
    <w:rsid w:val="00671236"/>
    <w:rsid w:val="006712AF"/>
    <w:rsid w:val="006712FD"/>
    <w:rsid w:val="006713C1"/>
    <w:rsid w:val="006713CF"/>
    <w:rsid w:val="0067141D"/>
    <w:rsid w:val="00671434"/>
    <w:rsid w:val="0067144B"/>
    <w:rsid w:val="00671538"/>
    <w:rsid w:val="00671652"/>
    <w:rsid w:val="006716AA"/>
    <w:rsid w:val="00671710"/>
    <w:rsid w:val="00671742"/>
    <w:rsid w:val="006717B1"/>
    <w:rsid w:val="006717FE"/>
    <w:rsid w:val="00671836"/>
    <w:rsid w:val="00671903"/>
    <w:rsid w:val="0067191C"/>
    <w:rsid w:val="006719EF"/>
    <w:rsid w:val="00671B23"/>
    <w:rsid w:val="00671B8E"/>
    <w:rsid w:val="00671BDF"/>
    <w:rsid w:val="00671BE0"/>
    <w:rsid w:val="00671CBA"/>
    <w:rsid w:val="00671DCB"/>
    <w:rsid w:val="00671DDC"/>
    <w:rsid w:val="00671E93"/>
    <w:rsid w:val="00671F06"/>
    <w:rsid w:val="00671F41"/>
    <w:rsid w:val="00671F57"/>
    <w:rsid w:val="00671FB5"/>
    <w:rsid w:val="00672014"/>
    <w:rsid w:val="00672095"/>
    <w:rsid w:val="006720D3"/>
    <w:rsid w:val="006721A0"/>
    <w:rsid w:val="00672212"/>
    <w:rsid w:val="00672297"/>
    <w:rsid w:val="00672323"/>
    <w:rsid w:val="00672346"/>
    <w:rsid w:val="00672364"/>
    <w:rsid w:val="00672376"/>
    <w:rsid w:val="00672383"/>
    <w:rsid w:val="00672404"/>
    <w:rsid w:val="00672428"/>
    <w:rsid w:val="006724BF"/>
    <w:rsid w:val="006724E9"/>
    <w:rsid w:val="00672538"/>
    <w:rsid w:val="0067255B"/>
    <w:rsid w:val="0067257C"/>
    <w:rsid w:val="0067257E"/>
    <w:rsid w:val="0067259E"/>
    <w:rsid w:val="006725F2"/>
    <w:rsid w:val="00672706"/>
    <w:rsid w:val="0067276D"/>
    <w:rsid w:val="00672770"/>
    <w:rsid w:val="006727BD"/>
    <w:rsid w:val="006727C1"/>
    <w:rsid w:val="006727F3"/>
    <w:rsid w:val="00672898"/>
    <w:rsid w:val="006728A3"/>
    <w:rsid w:val="006728C3"/>
    <w:rsid w:val="00672950"/>
    <w:rsid w:val="0067295B"/>
    <w:rsid w:val="0067298F"/>
    <w:rsid w:val="006729EA"/>
    <w:rsid w:val="00672A66"/>
    <w:rsid w:val="00672A89"/>
    <w:rsid w:val="00672B19"/>
    <w:rsid w:val="00672B37"/>
    <w:rsid w:val="00672B48"/>
    <w:rsid w:val="00672BD2"/>
    <w:rsid w:val="00672BF0"/>
    <w:rsid w:val="00672CDF"/>
    <w:rsid w:val="00672D1B"/>
    <w:rsid w:val="00672D51"/>
    <w:rsid w:val="00672D5C"/>
    <w:rsid w:val="00672E7D"/>
    <w:rsid w:val="00672E80"/>
    <w:rsid w:val="00672ECE"/>
    <w:rsid w:val="00672EFF"/>
    <w:rsid w:val="00672F13"/>
    <w:rsid w:val="00672F91"/>
    <w:rsid w:val="00672FC0"/>
    <w:rsid w:val="00672FC3"/>
    <w:rsid w:val="00673005"/>
    <w:rsid w:val="0067302F"/>
    <w:rsid w:val="00673085"/>
    <w:rsid w:val="006730C0"/>
    <w:rsid w:val="00673108"/>
    <w:rsid w:val="0067310A"/>
    <w:rsid w:val="0067311B"/>
    <w:rsid w:val="00673127"/>
    <w:rsid w:val="006732DA"/>
    <w:rsid w:val="006732E0"/>
    <w:rsid w:val="0067341F"/>
    <w:rsid w:val="00673429"/>
    <w:rsid w:val="00673440"/>
    <w:rsid w:val="00673448"/>
    <w:rsid w:val="00673470"/>
    <w:rsid w:val="006734E0"/>
    <w:rsid w:val="00673597"/>
    <w:rsid w:val="006735B9"/>
    <w:rsid w:val="006735DA"/>
    <w:rsid w:val="0067369C"/>
    <w:rsid w:val="006736AC"/>
    <w:rsid w:val="006736EA"/>
    <w:rsid w:val="00673792"/>
    <w:rsid w:val="006737D1"/>
    <w:rsid w:val="006737EA"/>
    <w:rsid w:val="006738C1"/>
    <w:rsid w:val="0067394F"/>
    <w:rsid w:val="00673973"/>
    <w:rsid w:val="00673A3B"/>
    <w:rsid w:val="00673A74"/>
    <w:rsid w:val="00673A9A"/>
    <w:rsid w:val="00673B2C"/>
    <w:rsid w:val="00673B44"/>
    <w:rsid w:val="00673B5B"/>
    <w:rsid w:val="00673B66"/>
    <w:rsid w:val="00673B7D"/>
    <w:rsid w:val="00673B97"/>
    <w:rsid w:val="00673BDF"/>
    <w:rsid w:val="00673D06"/>
    <w:rsid w:val="00673D5C"/>
    <w:rsid w:val="00673D69"/>
    <w:rsid w:val="00673D6B"/>
    <w:rsid w:val="00673D89"/>
    <w:rsid w:val="00673D90"/>
    <w:rsid w:val="00673D91"/>
    <w:rsid w:val="00673DEA"/>
    <w:rsid w:val="00673DEF"/>
    <w:rsid w:val="00673E6B"/>
    <w:rsid w:val="00673E7F"/>
    <w:rsid w:val="006740DD"/>
    <w:rsid w:val="00674167"/>
    <w:rsid w:val="006741D8"/>
    <w:rsid w:val="006741FE"/>
    <w:rsid w:val="00674234"/>
    <w:rsid w:val="00674348"/>
    <w:rsid w:val="0067434B"/>
    <w:rsid w:val="006743AB"/>
    <w:rsid w:val="0067443D"/>
    <w:rsid w:val="006744A1"/>
    <w:rsid w:val="006744FD"/>
    <w:rsid w:val="00674509"/>
    <w:rsid w:val="0067452A"/>
    <w:rsid w:val="00674558"/>
    <w:rsid w:val="006745DC"/>
    <w:rsid w:val="006746DE"/>
    <w:rsid w:val="00674789"/>
    <w:rsid w:val="0067480D"/>
    <w:rsid w:val="006748FA"/>
    <w:rsid w:val="00674974"/>
    <w:rsid w:val="006749AE"/>
    <w:rsid w:val="006749B4"/>
    <w:rsid w:val="006749D7"/>
    <w:rsid w:val="006749FC"/>
    <w:rsid w:val="00674AA3"/>
    <w:rsid w:val="00674BAD"/>
    <w:rsid w:val="00674BB3"/>
    <w:rsid w:val="00674BDC"/>
    <w:rsid w:val="00674C03"/>
    <w:rsid w:val="00674C2D"/>
    <w:rsid w:val="00674C4C"/>
    <w:rsid w:val="00674CE1"/>
    <w:rsid w:val="00674D27"/>
    <w:rsid w:val="00674D4F"/>
    <w:rsid w:val="00674DBD"/>
    <w:rsid w:val="00674DDB"/>
    <w:rsid w:val="00674F13"/>
    <w:rsid w:val="00674FDD"/>
    <w:rsid w:val="0067505D"/>
    <w:rsid w:val="006750F2"/>
    <w:rsid w:val="006751E0"/>
    <w:rsid w:val="006752CB"/>
    <w:rsid w:val="00675339"/>
    <w:rsid w:val="0067538D"/>
    <w:rsid w:val="00675439"/>
    <w:rsid w:val="0067545B"/>
    <w:rsid w:val="0067550B"/>
    <w:rsid w:val="0067553F"/>
    <w:rsid w:val="0067554C"/>
    <w:rsid w:val="006755A5"/>
    <w:rsid w:val="00675643"/>
    <w:rsid w:val="0067564D"/>
    <w:rsid w:val="00675692"/>
    <w:rsid w:val="006756E6"/>
    <w:rsid w:val="0067571E"/>
    <w:rsid w:val="00675745"/>
    <w:rsid w:val="006757E0"/>
    <w:rsid w:val="006757E1"/>
    <w:rsid w:val="006757F9"/>
    <w:rsid w:val="00675840"/>
    <w:rsid w:val="0067584D"/>
    <w:rsid w:val="006758EF"/>
    <w:rsid w:val="006758FF"/>
    <w:rsid w:val="00675901"/>
    <w:rsid w:val="00675933"/>
    <w:rsid w:val="00675939"/>
    <w:rsid w:val="0067596F"/>
    <w:rsid w:val="0067597F"/>
    <w:rsid w:val="006759CA"/>
    <w:rsid w:val="00675AA5"/>
    <w:rsid w:val="00675AC0"/>
    <w:rsid w:val="00675B31"/>
    <w:rsid w:val="00675B49"/>
    <w:rsid w:val="00675B54"/>
    <w:rsid w:val="00675BF4"/>
    <w:rsid w:val="00675C1E"/>
    <w:rsid w:val="00675C1F"/>
    <w:rsid w:val="00675C96"/>
    <w:rsid w:val="00675CC8"/>
    <w:rsid w:val="00675CFA"/>
    <w:rsid w:val="00675E11"/>
    <w:rsid w:val="00675E62"/>
    <w:rsid w:val="00675E9C"/>
    <w:rsid w:val="00675FC3"/>
    <w:rsid w:val="00675FD7"/>
    <w:rsid w:val="006761B7"/>
    <w:rsid w:val="00676201"/>
    <w:rsid w:val="0067621D"/>
    <w:rsid w:val="0067623C"/>
    <w:rsid w:val="0067625E"/>
    <w:rsid w:val="00676277"/>
    <w:rsid w:val="00676343"/>
    <w:rsid w:val="0067637E"/>
    <w:rsid w:val="006763A5"/>
    <w:rsid w:val="006763F7"/>
    <w:rsid w:val="0067647E"/>
    <w:rsid w:val="006764EE"/>
    <w:rsid w:val="00676522"/>
    <w:rsid w:val="0067652A"/>
    <w:rsid w:val="0067652E"/>
    <w:rsid w:val="0067652F"/>
    <w:rsid w:val="00676558"/>
    <w:rsid w:val="00676569"/>
    <w:rsid w:val="00676577"/>
    <w:rsid w:val="00676588"/>
    <w:rsid w:val="006766FF"/>
    <w:rsid w:val="00676770"/>
    <w:rsid w:val="00676795"/>
    <w:rsid w:val="0067683B"/>
    <w:rsid w:val="0067683F"/>
    <w:rsid w:val="0067687A"/>
    <w:rsid w:val="006768DB"/>
    <w:rsid w:val="00676989"/>
    <w:rsid w:val="006769E3"/>
    <w:rsid w:val="006769FA"/>
    <w:rsid w:val="00676A36"/>
    <w:rsid w:val="00676A97"/>
    <w:rsid w:val="00676AC4"/>
    <w:rsid w:val="00676B3F"/>
    <w:rsid w:val="00676C2A"/>
    <w:rsid w:val="00676CE5"/>
    <w:rsid w:val="00676CF9"/>
    <w:rsid w:val="00676CFF"/>
    <w:rsid w:val="00676D0E"/>
    <w:rsid w:val="00676D13"/>
    <w:rsid w:val="00676D32"/>
    <w:rsid w:val="00676D3B"/>
    <w:rsid w:val="00676E08"/>
    <w:rsid w:val="00676E5C"/>
    <w:rsid w:val="00676E87"/>
    <w:rsid w:val="00676EBA"/>
    <w:rsid w:val="00676F24"/>
    <w:rsid w:val="00676F25"/>
    <w:rsid w:val="00676F63"/>
    <w:rsid w:val="00676F95"/>
    <w:rsid w:val="00677102"/>
    <w:rsid w:val="0067711B"/>
    <w:rsid w:val="00677128"/>
    <w:rsid w:val="00677134"/>
    <w:rsid w:val="006771A0"/>
    <w:rsid w:val="006771C1"/>
    <w:rsid w:val="006771D5"/>
    <w:rsid w:val="006771ED"/>
    <w:rsid w:val="0067729B"/>
    <w:rsid w:val="006772BE"/>
    <w:rsid w:val="00677305"/>
    <w:rsid w:val="0067730F"/>
    <w:rsid w:val="0067734A"/>
    <w:rsid w:val="00677375"/>
    <w:rsid w:val="006773F0"/>
    <w:rsid w:val="006773F2"/>
    <w:rsid w:val="006773F5"/>
    <w:rsid w:val="0067749A"/>
    <w:rsid w:val="006774BB"/>
    <w:rsid w:val="006774E7"/>
    <w:rsid w:val="00677578"/>
    <w:rsid w:val="006775C2"/>
    <w:rsid w:val="006775CF"/>
    <w:rsid w:val="00677600"/>
    <w:rsid w:val="00677621"/>
    <w:rsid w:val="0067766B"/>
    <w:rsid w:val="0067771B"/>
    <w:rsid w:val="0067776E"/>
    <w:rsid w:val="00677782"/>
    <w:rsid w:val="00677868"/>
    <w:rsid w:val="0067787A"/>
    <w:rsid w:val="006778C0"/>
    <w:rsid w:val="00677922"/>
    <w:rsid w:val="00677955"/>
    <w:rsid w:val="006779B6"/>
    <w:rsid w:val="00677A1E"/>
    <w:rsid w:val="00677A33"/>
    <w:rsid w:val="00677A4C"/>
    <w:rsid w:val="00677A5B"/>
    <w:rsid w:val="00677A73"/>
    <w:rsid w:val="00677A92"/>
    <w:rsid w:val="00677B08"/>
    <w:rsid w:val="00677BB9"/>
    <w:rsid w:val="00677BCE"/>
    <w:rsid w:val="00677C0E"/>
    <w:rsid w:val="00677C11"/>
    <w:rsid w:val="00677C2C"/>
    <w:rsid w:val="00677DF1"/>
    <w:rsid w:val="00677E32"/>
    <w:rsid w:val="00677F15"/>
    <w:rsid w:val="00677F9F"/>
    <w:rsid w:val="00677FF0"/>
    <w:rsid w:val="00680050"/>
    <w:rsid w:val="0068005F"/>
    <w:rsid w:val="0068006E"/>
    <w:rsid w:val="00680094"/>
    <w:rsid w:val="006800C6"/>
    <w:rsid w:val="006800CC"/>
    <w:rsid w:val="00680174"/>
    <w:rsid w:val="006802A4"/>
    <w:rsid w:val="006802A8"/>
    <w:rsid w:val="006802B1"/>
    <w:rsid w:val="00680331"/>
    <w:rsid w:val="00680387"/>
    <w:rsid w:val="00680401"/>
    <w:rsid w:val="006804C3"/>
    <w:rsid w:val="006804FB"/>
    <w:rsid w:val="0068051B"/>
    <w:rsid w:val="006805A6"/>
    <w:rsid w:val="00680657"/>
    <w:rsid w:val="00680685"/>
    <w:rsid w:val="00680719"/>
    <w:rsid w:val="006808CA"/>
    <w:rsid w:val="006808D0"/>
    <w:rsid w:val="006808FD"/>
    <w:rsid w:val="0068098A"/>
    <w:rsid w:val="006809DC"/>
    <w:rsid w:val="006809FD"/>
    <w:rsid w:val="00680A4B"/>
    <w:rsid w:val="00680B04"/>
    <w:rsid w:val="00680BB6"/>
    <w:rsid w:val="00680C0F"/>
    <w:rsid w:val="00680C5D"/>
    <w:rsid w:val="00680CA2"/>
    <w:rsid w:val="00680CAD"/>
    <w:rsid w:val="00680CE6"/>
    <w:rsid w:val="00680DAA"/>
    <w:rsid w:val="00680DB8"/>
    <w:rsid w:val="00680DCB"/>
    <w:rsid w:val="00680DD6"/>
    <w:rsid w:val="00680E70"/>
    <w:rsid w:val="00680ECD"/>
    <w:rsid w:val="00680FFE"/>
    <w:rsid w:val="00681034"/>
    <w:rsid w:val="006810AD"/>
    <w:rsid w:val="006810F9"/>
    <w:rsid w:val="006811CF"/>
    <w:rsid w:val="0068128C"/>
    <w:rsid w:val="00681307"/>
    <w:rsid w:val="00681309"/>
    <w:rsid w:val="0068134F"/>
    <w:rsid w:val="006813C2"/>
    <w:rsid w:val="006813CF"/>
    <w:rsid w:val="006813D2"/>
    <w:rsid w:val="00681457"/>
    <w:rsid w:val="00681467"/>
    <w:rsid w:val="006814D2"/>
    <w:rsid w:val="00681580"/>
    <w:rsid w:val="006815BF"/>
    <w:rsid w:val="006815D8"/>
    <w:rsid w:val="00681603"/>
    <w:rsid w:val="00681643"/>
    <w:rsid w:val="00681673"/>
    <w:rsid w:val="00681675"/>
    <w:rsid w:val="00681686"/>
    <w:rsid w:val="00681725"/>
    <w:rsid w:val="00681784"/>
    <w:rsid w:val="006817B4"/>
    <w:rsid w:val="006817B6"/>
    <w:rsid w:val="00681823"/>
    <w:rsid w:val="00681972"/>
    <w:rsid w:val="00681A05"/>
    <w:rsid w:val="00681A94"/>
    <w:rsid w:val="00681B2B"/>
    <w:rsid w:val="00681B53"/>
    <w:rsid w:val="00681B74"/>
    <w:rsid w:val="00681C3A"/>
    <w:rsid w:val="00681C85"/>
    <w:rsid w:val="00681C8C"/>
    <w:rsid w:val="00681CFA"/>
    <w:rsid w:val="00681D27"/>
    <w:rsid w:val="00681D31"/>
    <w:rsid w:val="00681D9D"/>
    <w:rsid w:val="00681E31"/>
    <w:rsid w:val="00681E3B"/>
    <w:rsid w:val="00681E67"/>
    <w:rsid w:val="00681E9F"/>
    <w:rsid w:val="00681EE1"/>
    <w:rsid w:val="00681EF0"/>
    <w:rsid w:val="00681F63"/>
    <w:rsid w:val="00681FD6"/>
    <w:rsid w:val="00682095"/>
    <w:rsid w:val="006820C8"/>
    <w:rsid w:val="00682167"/>
    <w:rsid w:val="0068217D"/>
    <w:rsid w:val="00682251"/>
    <w:rsid w:val="006822B9"/>
    <w:rsid w:val="00682322"/>
    <w:rsid w:val="00682328"/>
    <w:rsid w:val="00682333"/>
    <w:rsid w:val="00682335"/>
    <w:rsid w:val="006823CA"/>
    <w:rsid w:val="00682403"/>
    <w:rsid w:val="00682406"/>
    <w:rsid w:val="00682423"/>
    <w:rsid w:val="00682481"/>
    <w:rsid w:val="00682569"/>
    <w:rsid w:val="00682592"/>
    <w:rsid w:val="006825C4"/>
    <w:rsid w:val="00682620"/>
    <w:rsid w:val="00682652"/>
    <w:rsid w:val="00682684"/>
    <w:rsid w:val="0068269B"/>
    <w:rsid w:val="0068278D"/>
    <w:rsid w:val="0068279B"/>
    <w:rsid w:val="006827E2"/>
    <w:rsid w:val="006828BF"/>
    <w:rsid w:val="006828C7"/>
    <w:rsid w:val="006828CE"/>
    <w:rsid w:val="006828D4"/>
    <w:rsid w:val="006828FB"/>
    <w:rsid w:val="00682901"/>
    <w:rsid w:val="0068292E"/>
    <w:rsid w:val="0068297F"/>
    <w:rsid w:val="00682994"/>
    <w:rsid w:val="00682A9F"/>
    <w:rsid w:val="00682AA6"/>
    <w:rsid w:val="00682AC6"/>
    <w:rsid w:val="00682AEA"/>
    <w:rsid w:val="00682B2B"/>
    <w:rsid w:val="00682B30"/>
    <w:rsid w:val="00682B40"/>
    <w:rsid w:val="00682BFA"/>
    <w:rsid w:val="00682C26"/>
    <w:rsid w:val="00682C4C"/>
    <w:rsid w:val="00682C61"/>
    <w:rsid w:val="00682D0B"/>
    <w:rsid w:val="00682DA5"/>
    <w:rsid w:val="00682E1F"/>
    <w:rsid w:val="00682E64"/>
    <w:rsid w:val="0068301B"/>
    <w:rsid w:val="00683089"/>
    <w:rsid w:val="00683103"/>
    <w:rsid w:val="00683132"/>
    <w:rsid w:val="00683156"/>
    <w:rsid w:val="00683199"/>
    <w:rsid w:val="006831A4"/>
    <w:rsid w:val="006831B6"/>
    <w:rsid w:val="0068320C"/>
    <w:rsid w:val="00683298"/>
    <w:rsid w:val="006832FF"/>
    <w:rsid w:val="00683303"/>
    <w:rsid w:val="00683308"/>
    <w:rsid w:val="00683324"/>
    <w:rsid w:val="0068336C"/>
    <w:rsid w:val="006834A3"/>
    <w:rsid w:val="006834EC"/>
    <w:rsid w:val="00683587"/>
    <w:rsid w:val="006835CA"/>
    <w:rsid w:val="006835E8"/>
    <w:rsid w:val="00683637"/>
    <w:rsid w:val="0068370F"/>
    <w:rsid w:val="0068380A"/>
    <w:rsid w:val="0068386A"/>
    <w:rsid w:val="0068389C"/>
    <w:rsid w:val="006838EC"/>
    <w:rsid w:val="0068397E"/>
    <w:rsid w:val="006839AC"/>
    <w:rsid w:val="00683A8C"/>
    <w:rsid w:val="00683A8E"/>
    <w:rsid w:val="00683AD0"/>
    <w:rsid w:val="00683AF4"/>
    <w:rsid w:val="00683B16"/>
    <w:rsid w:val="00683B34"/>
    <w:rsid w:val="00683BFB"/>
    <w:rsid w:val="00683C4A"/>
    <w:rsid w:val="00683D3F"/>
    <w:rsid w:val="00683D6F"/>
    <w:rsid w:val="00683DC4"/>
    <w:rsid w:val="00683DCC"/>
    <w:rsid w:val="00683DFB"/>
    <w:rsid w:val="00683E69"/>
    <w:rsid w:val="00683E87"/>
    <w:rsid w:val="00683E91"/>
    <w:rsid w:val="00683F8E"/>
    <w:rsid w:val="0068405F"/>
    <w:rsid w:val="006840AB"/>
    <w:rsid w:val="006840D4"/>
    <w:rsid w:val="006841A7"/>
    <w:rsid w:val="0068422A"/>
    <w:rsid w:val="0068424F"/>
    <w:rsid w:val="006843E1"/>
    <w:rsid w:val="00684424"/>
    <w:rsid w:val="00684449"/>
    <w:rsid w:val="00684460"/>
    <w:rsid w:val="00684474"/>
    <w:rsid w:val="006844E4"/>
    <w:rsid w:val="00684536"/>
    <w:rsid w:val="006845BA"/>
    <w:rsid w:val="006845F7"/>
    <w:rsid w:val="00684628"/>
    <w:rsid w:val="006846C7"/>
    <w:rsid w:val="006846C9"/>
    <w:rsid w:val="006846D9"/>
    <w:rsid w:val="006846F5"/>
    <w:rsid w:val="00684715"/>
    <w:rsid w:val="0068477C"/>
    <w:rsid w:val="006847D9"/>
    <w:rsid w:val="006848EE"/>
    <w:rsid w:val="00684980"/>
    <w:rsid w:val="00684A2E"/>
    <w:rsid w:val="00684A4A"/>
    <w:rsid w:val="00684A4D"/>
    <w:rsid w:val="00684AA2"/>
    <w:rsid w:val="00684B78"/>
    <w:rsid w:val="00684C40"/>
    <w:rsid w:val="00684C45"/>
    <w:rsid w:val="00684C5D"/>
    <w:rsid w:val="00684CB3"/>
    <w:rsid w:val="00684CBA"/>
    <w:rsid w:val="00684CDF"/>
    <w:rsid w:val="00684D2D"/>
    <w:rsid w:val="00684DA1"/>
    <w:rsid w:val="00684E52"/>
    <w:rsid w:val="00684E62"/>
    <w:rsid w:val="00684F37"/>
    <w:rsid w:val="00684F56"/>
    <w:rsid w:val="0068503A"/>
    <w:rsid w:val="00685084"/>
    <w:rsid w:val="00685085"/>
    <w:rsid w:val="006850BD"/>
    <w:rsid w:val="00685126"/>
    <w:rsid w:val="00685148"/>
    <w:rsid w:val="00685175"/>
    <w:rsid w:val="0068518E"/>
    <w:rsid w:val="006851BF"/>
    <w:rsid w:val="006851C4"/>
    <w:rsid w:val="00685217"/>
    <w:rsid w:val="00685271"/>
    <w:rsid w:val="006852B2"/>
    <w:rsid w:val="006852DD"/>
    <w:rsid w:val="00685330"/>
    <w:rsid w:val="00685336"/>
    <w:rsid w:val="00685337"/>
    <w:rsid w:val="00685397"/>
    <w:rsid w:val="00685471"/>
    <w:rsid w:val="0068548F"/>
    <w:rsid w:val="00685601"/>
    <w:rsid w:val="00685611"/>
    <w:rsid w:val="00685638"/>
    <w:rsid w:val="0068564F"/>
    <w:rsid w:val="006856BD"/>
    <w:rsid w:val="006856BF"/>
    <w:rsid w:val="0068578C"/>
    <w:rsid w:val="0068586D"/>
    <w:rsid w:val="0068590D"/>
    <w:rsid w:val="006859C1"/>
    <w:rsid w:val="006859D5"/>
    <w:rsid w:val="00685A19"/>
    <w:rsid w:val="00685A20"/>
    <w:rsid w:val="00685AA5"/>
    <w:rsid w:val="00685ACE"/>
    <w:rsid w:val="00685AE6"/>
    <w:rsid w:val="00685AEF"/>
    <w:rsid w:val="00685B4D"/>
    <w:rsid w:val="00685BB3"/>
    <w:rsid w:val="00685BE4"/>
    <w:rsid w:val="00685C22"/>
    <w:rsid w:val="00685CF1"/>
    <w:rsid w:val="00685D43"/>
    <w:rsid w:val="00685F0F"/>
    <w:rsid w:val="00685FBF"/>
    <w:rsid w:val="00685FD2"/>
    <w:rsid w:val="00685FFC"/>
    <w:rsid w:val="00686042"/>
    <w:rsid w:val="0068605C"/>
    <w:rsid w:val="006860E4"/>
    <w:rsid w:val="0068615F"/>
    <w:rsid w:val="00686177"/>
    <w:rsid w:val="006861A9"/>
    <w:rsid w:val="00686238"/>
    <w:rsid w:val="0068625F"/>
    <w:rsid w:val="00686274"/>
    <w:rsid w:val="006862CF"/>
    <w:rsid w:val="006863A1"/>
    <w:rsid w:val="006863EB"/>
    <w:rsid w:val="0068640D"/>
    <w:rsid w:val="00686436"/>
    <w:rsid w:val="0068643D"/>
    <w:rsid w:val="00686478"/>
    <w:rsid w:val="006864A8"/>
    <w:rsid w:val="006864CB"/>
    <w:rsid w:val="0068652E"/>
    <w:rsid w:val="00686562"/>
    <w:rsid w:val="00686572"/>
    <w:rsid w:val="006865CD"/>
    <w:rsid w:val="0068660D"/>
    <w:rsid w:val="006866A4"/>
    <w:rsid w:val="006866D7"/>
    <w:rsid w:val="006866DD"/>
    <w:rsid w:val="006867B3"/>
    <w:rsid w:val="006867EF"/>
    <w:rsid w:val="00686896"/>
    <w:rsid w:val="006868A8"/>
    <w:rsid w:val="006868BB"/>
    <w:rsid w:val="00686997"/>
    <w:rsid w:val="006869AF"/>
    <w:rsid w:val="00686A31"/>
    <w:rsid w:val="00686A6D"/>
    <w:rsid w:val="00686A8C"/>
    <w:rsid w:val="00686BE1"/>
    <w:rsid w:val="00686C12"/>
    <w:rsid w:val="00686C13"/>
    <w:rsid w:val="00686C45"/>
    <w:rsid w:val="00686D5D"/>
    <w:rsid w:val="00686DE0"/>
    <w:rsid w:val="00686E0E"/>
    <w:rsid w:val="00686EE4"/>
    <w:rsid w:val="00686F31"/>
    <w:rsid w:val="00686F33"/>
    <w:rsid w:val="00686F50"/>
    <w:rsid w:val="00686F92"/>
    <w:rsid w:val="00686FA8"/>
    <w:rsid w:val="0068701F"/>
    <w:rsid w:val="00687068"/>
    <w:rsid w:val="006870A3"/>
    <w:rsid w:val="006871E3"/>
    <w:rsid w:val="006871FF"/>
    <w:rsid w:val="0068722E"/>
    <w:rsid w:val="0068723A"/>
    <w:rsid w:val="00687305"/>
    <w:rsid w:val="0068730E"/>
    <w:rsid w:val="006873BF"/>
    <w:rsid w:val="00687446"/>
    <w:rsid w:val="006874F2"/>
    <w:rsid w:val="0068751E"/>
    <w:rsid w:val="00687547"/>
    <w:rsid w:val="0068757B"/>
    <w:rsid w:val="006875CC"/>
    <w:rsid w:val="006875D6"/>
    <w:rsid w:val="006875E6"/>
    <w:rsid w:val="00687616"/>
    <w:rsid w:val="00687644"/>
    <w:rsid w:val="00687681"/>
    <w:rsid w:val="0068768F"/>
    <w:rsid w:val="006876A2"/>
    <w:rsid w:val="006876C3"/>
    <w:rsid w:val="006876D7"/>
    <w:rsid w:val="00687762"/>
    <w:rsid w:val="00687784"/>
    <w:rsid w:val="00687788"/>
    <w:rsid w:val="00687806"/>
    <w:rsid w:val="0068780C"/>
    <w:rsid w:val="0068782A"/>
    <w:rsid w:val="006878C1"/>
    <w:rsid w:val="006878D6"/>
    <w:rsid w:val="006878ED"/>
    <w:rsid w:val="00687967"/>
    <w:rsid w:val="006879AD"/>
    <w:rsid w:val="006879BC"/>
    <w:rsid w:val="00687A36"/>
    <w:rsid w:val="00687A4D"/>
    <w:rsid w:val="00687ABD"/>
    <w:rsid w:val="00687B9E"/>
    <w:rsid w:val="00687BFD"/>
    <w:rsid w:val="00687C5A"/>
    <w:rsid w:val="00687C98"/>
    <w:rsid w:val="00687D55"/>
    <w:rsid w:val="00687D85"/>
    <w:rsid w:val="00687DA4"/>
    <w:rsid w:val="00687E70"/>
    <w:rsid w:val="00687ECA"/>
    <w:rsid w:val="00687FFA"/>
    <w:rsid w:val="00687FFC"/>
    <w:rsid w:val="006900B5"/>
    <w:rsid w:val="006900E3"/>
    <w:rsid w:val="00690124"/>
    <w:rsid w:val="006901A5"/>
    <w:rsid w:val="006901C4"/>
    <w:rsid w:val="00690218"/>
    <w:rsid w:val="00690221"/>
    <w:rsid w:val="006902AF"/>
    <w:rsid w:val="0069038A"/>
    <w:rsid w:val="006903C9"/>
    <w:rsid w:val="006903FB"/>
    <w:rsid w:val="00690400"/>
    <w:rsid w:val="0069043F"/>
    <w:rsid w:val="006904A1"/>
    <w:rsid w:val="006904A4"/>
    <w:rsid w:val="006904BB"/>
    <w:rsid w:val="006904C8"/>
    <w:rsid w:val="0069050F"/>
    <w:rsid w:val="0069051D"/>
    <w:rsid w:val="00690615"/>
    <w:rsid w:val="00690646"/>
    <w:rsid w:val="00690647"/>
    <w:rsid w:val="006906BF"/>
    <w:rsid w:val="0069071C"/>
    <w:rsid w:val="00690752"/>
    <w:rsid w:val="00690790"/>
    <w:rsid w:val="006907C9"/>
    <w:rsid w:val="006907DA"/>
    <w:rsid w:val="006907FA"/>
    <w:rsid w:val="0069080A"/>
    <w:rsid w:val="00690926"/>
    <w:rsid w:val="00690939"/>
    <w:rsid w:val="00690983"/>
    <w:rsid w:val="006909DF"/>
    <w:rsid w:val="006909F4"/>
    <w:rsid w:val="006909F9"/>
    <w:rsid w:val="00690A29"/>
    <w:rsid w:val="00690AAF"/>
    <w:rsid w:val="00690B0F"/>
    <w:rsid w:val="00690B57"/>
    <w:rsid w:val="00690B9D"/>
    <w:rsid w:val="00690BB3"/>
    <w:rsid w:val="00690BDD"/>
    <w:rsid w:val="00690BF5"/>
    <w:rsid w:val="00690BFF"/>
    <w:rsid w:val="00690C5A"/>
    <w:rsid w:val="00690CB7"/>
    <w:rsid w:val="00690CC4"/>
    <w:rsid w:val="00690D60"/>
    <w:rsid w:val="00690D8D"/>
    <w:rsid w:val="00690DF0"/>
    <w:rsid w:val="00690FAE"/>
    <w:rsid w:val="00690FC9"/>
    <w:rsid w:val="00691043"/>
    <w:rsid w:val="006910AB"/>
    <w:rsid w:val="0069113A"/>
    <w:rsid w:val="006911E1"/>
    <w:rsid w:val="00691216"/>
    <w:rsid w:val="00691219"/>
    <w:rsid w:val="0069122F"/>
    <w:rsid w:val="006913E9"/>
    <w:rsid w:val="00691418"/>
    <w:rsid w:val="0069143A"/>
    <w:rsid w:val="00691445"/>
    <w:rsid w:val="00691485"/>
    <w:rsid w:val="00691518"/>
    <w:rsid w:val="0069153A"/>
    <w:rsid w:val="00691587"/>
    <w:rsid w:val="006915AB"/>
    <w:rsid w:val="006915B5"/>
    <w:rsid w:val="0069161D"/>
    <w:rsid w:val="00691637"/>
    <w:rsid w:val="006916AB"/>
    <w:rsid w:val="006916C2"/>
    <w:rsid w:val="006916DB"/>
    <w:rsid w:val="0069174A"/>
    <w:rsid w:val="006917A6"/>
    <w:rsid w:val="00691862"/>
    <w:rsid w:val="00691890"/>
    <w:rsid w:val="006918AF"/>
    <w:rsid w:val="006918EA"/>
    <w:rsid w:val="0069199B"/>
    <w:rsid w:val="00691A27"/>
    <w:rsid w:val="00691A55"/>
    <w:rsid w:val="00691A88"/>
    <w:rsid w:val="00691BCC"/>
    <w:rsid w:val="00691C0A"/>
    <w:rsid w:val="00691C9E"/>
    <w:rsid w:val="00691CE0"/>
    <w:rsid w:val="00691CE1"/>
    <w:rsid w:val="00691E00"/>
    <w:rsid w:val="00691E0C"/>
    <w:rsid w:val="00691EFB"/>
    <w:rsid w:val="00691FF6"/>
    <w:rsid w:val="00692060"/>
    <w:rsid w:val="006920DE"/>
    <w:rsid w:val="006920F2"/>
    <w:rsid w:val="0069217D"/>
    <w:rsid w:val="0069217F"/>
    <w:rsid w:val="00692187"/>
    <w:rsid w:val="00692198"/>
    <w:rsid w:val="006922A3"/>
    <w:rsid w:val="006922FA"/>
    <w:rsid w:val="006923AE"/>
    <w:rsid w:val="00692437"/>
    <w:rsid w:val="00692496"/>
    <w:rsid w:val="006924ED"/>
    <w:rsid w:val="00692561"/>
    <w:rsid w:val="0069256F"/>
    <w:rsid w:val="0069257A"/>
    <w:rsid w:val="00692687"/>
    <w:rsid w:val="00692706"/>
    <w:rsid w:val="0069271B"/>
    <w:rsid w:val="00692735"/>
    <w:rsid w:val="00692766"/>
    <w:rsid w:val="00692796"/>
    <w:rsid w:val="006927E7"/>
    <w:rsid w:val="006927E8"/>
    <w:rsid w:val="00692828"/>
    <w:rsid w:val="0069286E"/>
    <w:rsid w:val="00692887"/>
    <w:rsid w:val="006928CA"/>
    <w:rsid w:val="006928E3"/>
    <w:rsid w:val="006928EE"/>
    <w:rsid w:val="00692991"/>
    <w:rsid w:val="00692AF2"/>
    <w:rsid w:val="00692B37"/>
    <w:rsid w:val="00692B6D"/>
    <w:rsid w:val="00692BD8"/>
    <w:rsid w:val="00692BD9"/>
    <w:rsid w:val="00692BDD"/>
    <w:rsid w:val="00692C1B"/>
    <w:rsid w:val="00692C44"/>
    <w:rsid w:val="00692C5B"/>
    <w:rsid w:val="00692CB3"/>
    <w:rsid w:val="00692D35"/>
    <w:rsid w:val="00692D3C"/>
    <w:rsid w:val="00692D73"/>
    <w:rsid w:val="00692DB3"/>
    <w:rsid w:val="00692DB6"/>
    <w:rsid w:val="00692DE3"/>
    <w:rsid w:val="00692E02"/>
    <w:rsid w:val="00692E04"/>
    <w:rsid w:val="00692F2A"/>
    <w:rsid w:val="00692F5B"/>
    <w:rsid w:val="00692F8C"/>
    <w:rsid w:val="00692FC4"/>
    <w:rsid w:val="00693065"/>
    <w:rsid w:val="0069308E"/>
    <w:rsid w:val="006930D4"/>
    <w:rsid w:val="006930E2"/>
    <w:rsid w:val="0069313C"/>
    <w:rsid w:val="00693188"/>
    <w:rsid w:val="006931C5"/>
    <w:rsid w:val="00693284"/>
    <w:rsid w:val="006932BD"/>
    <w:rsid w:val="00693350"/>
    <w:rsid w:val="0069336A"/>
    <w:rsid w:val="00693377"/>
    <w:rsid w:val="0069338D"/>
    <w:rsid w:val="006933A3"/>
    <w:rsid w:val="006933CA"/>
    <w:rsid w:val="0069348E"/>
    <w:rsid w:val="00693516"/>
    <w:rsid w:val="00693528"/>
    <w:rsid w:val="00693552"/>
    <w:rsid w:val="00693627"/>
    <w:rsid w:val="006936BF"/>
    <w:rsid w:val="00693702"/>
    <w:rsid w:val="00693708"/>
    <w:rsid w:val="00693732"/>
    <w:rsid w:val="00693739"/>
    <w:rsid w:val="006937CA"/>
    <w:rsid w:val="0069391D"/>
    <w:rsid w:val="00693A22"/>
    <w:rsid w:val="00693A6F"/>
    <w:rsid w:val="00693AA3"/>
    <w:rsid w:val="00693AAA"/>
    <w:rsid w:val="00693ADE"/>
    <w:rsid w:val="00693B2D"/>
    <w:rsid w:val="00693BA6"/>
    <w:rsid w:val="00693BB0"/>
    <w:rsid w:val="00693C39"/>
    <w:rsid w:val="00693C43"/>
    <w:rsid w:val="00693C6E"/>
    <w:rsid w:val="00693C73"/>
    <w:rsid w:val="00693DA7"/>
    <w:rsid w:val="00693DAF"/>
    <w:rsid w:val="00693E2B"/>
    <w:rsid w:val="00693E42"/>
    <w:rsid w:val="00693E4C"/>
    <w:rsid w:val="00693E6F"/>
    <w:rsid w:val="00693EA4"/>
    <w:rsid w:val="00693EDB"/>
    <w:rsid w:val="00694048"/>
    <w:rsid w:val="006940B5"/>
    <w:rsid w:val="006940F4"/>
    <w:rsid w:val="0069414B"/>
    <w:rsid w:val="0069417C"/>
    <w:rsid w:val="00694181"/>
    <w:rsid w:val="006941A5"/>
    <w:rsid w:val="006941CA"/>
    <w:rsid w:val="006941EF"/>
    <w:rsid w:val="006941F9"/>
    <w:rsid w:val="00694209"/>
    <w:rsid w:val="00694217"/>
    <w:rsid w:val="00694280"/>
    <w:rsid w:val="006942D1"/>
    <w:rsid w:val="006942F4"/>
    <w:rsid w:val="00694300"/>
    <w:rsid w:val="00694330"/>
    <w:rsid w:val="00694434"/>
    <w:rsid w:val="0069444D"/>
    <w:rsid w:val="00694467"/>
    <w:rsid w:val="006944B8"/>
    <w:rsid w:val="00694504"/>
    <w:rsid w:val="006945E2"/>
    <w:rsid w:val="00694635"/>
    <w:rsid w:val="006946D9"/>
    <w:rsid w:val="00694760"/>
    <w:rsid w:val="00694772"/>
    <w:rsid w:val="006947AF"/>
    <w:rsid w:val="006947CB"/>
    <w:rsid w:val="00694814"/>
    <w:rsid w:val="0069483A"/>
    <w:rsid w:val="00694985"/>
    <w:rsid w:val="00694986"/>
    <w:rsid w:val="006949E6"/>
    <w:rsid w:val="006949E7"/>
    <w:rsid w:val="00694A5F"/>
    <w:rsid w:val="00694ABB"/>
    <w:rsid w:val="00694B90"/>
    <w:rsid w:val="00694BCA"/>
    <w:rsid w:val="00694BD5"/>
    <w:rsid w:val="00694C02"/>
    <w:rsid w:val="00694C3B"/>
    <w:rsid w:val="00694CAE"/>
    <w:rsid w:val="00694D26"/>
    <w:rsid w:val="00694D6F"/>
    <w:rsid w:val="00694DD6"/>
    <w:rsid w:val="00694DF0"/>
    <w:rsid w:val="00694DF4"/>
    <w:rsid w:val="00694E13"/>
    <w:rsid w:val="00694E45"/>
    <w:rsid w:val="0069505F"/>
    <w:rsid w:val="00695097"/>
    <w:rsid w:val="00695115"/>
    <w:rsid w:val="006951A4"/>
    <w:rsid w:val="006951BE"/>
    <w:rsid w:val="00695229"/>
    <w:rsid w:val="00695231"/>
    <w:rsid w:val="00695233"/>
    <w:rsid w:val="006952E4"/>
    <w:rsid w:val="0069530D"/>
    <w:rsid w:val="00695314"/>
    <w:rsid w:val="00695367"/>
    <w:rsid w:val="00695375"/>
    <w:rsid w:val="006953DB"/>
    <w:rsid w:val="006953E9"/>
    <w:rsid w:val="00695466"/>
    <w:rsid w:val="006955E3"/>
    <w:rsid w:val="006955ED"/>
    <w:rsid w:val="0069561C"/>
    <w:rsid w:val="00695640"/>
    <w:rsid w:val="0069564F"/>
    <w:rsid w:val="00695695"/>
    <w:rsid w:val="006956C0"/>
    <w:rsid w:val="00695748"/>
    <w:rsid w:val="006957A3"/>
    <w:rsid w:val="00695856"/>
    <w:rsid w:val="0069586F"/>
    <w:rsid w:val="00695881"/>
    <w:rsid w:val="00695884"/>
    <w:rsid w:val="006958D6"/>
    <w:rsid w:val="00695961"/>
    <w:rsid w:val="0069599B"/>
    <w:rsid w:val="006959AB"/>
    <w:rsid w:val="006959EA"/>
    <w:rsid w:val="00695A87"/>
    <w:rsid w:val="00695A8D"/>
    <w:rsid w:val="00695ADD"/>
    <w:rsid w:val="00695B21"/>
    <w:rsid w:val="00695BA7"/>
    <w:rsid w:val="00695BF2"/>
    <w:rsid w:val="00695BFE"/>
    <w:rsid w:val="00695CE5"/>
    <w:rsid w:val="00695D84"/>
    <w:rsid w:val="00695DDC"/>
    <w:rsid w:val="00695E1B"/>
    <w:rsid w:val="00695E58"/>
    <w:rsid w:val="00695F17"/>
    <w:rsid w:val="00695F41"/>
    <w:rsid w:val="00695F46"/>
    <w:rsid w:val="00695F47"/>
    <w:rsid w:val="00695F5D"/>
    <w:rsid w:val="00695FA3"/>
    <w:rsid w:val="00695FDD"/>
    <w:rsid w:val="0069601F"/>
    <w:rsid w:val="00696031"/>
    <w:rsid w:val="00696062"/>
    <w:rsid w:val="006960F0"/>
    <w:rsid w:val="00696146"/>
    <w:rsid w:val="0069616B"/>
    <w:rsid w:val="006961AC"/>
    <w:rsid w:val="006961CE"/>
    <w:rsid w:val="00696302"/>
    <w:rsid w:val="006963D4"/>
    <w:rsid w:val="006963E6"/>
    <w:rsid w:val="00696425"/>
    <w:rsid w:val="00696432"/>
    <w:rsid w:val="0069647A"/>
    <w:rsid w:val="0069647F"/>
    <w:rsid w:val="00696523"/>
    <w:rsid w:val="00696559"/>
    <w:rsid w:val="00696573"/>
    <w:rsid w:val="006965A6"/>
    <w:rsid w:val="0069660B"/>
    <w:rsid w:val="00696627"/>
    <w:rsid w:val="0069664F"/>
    <w:rsid w:val="006967A7"/>
    <w:rsid w:val="006967DD"/>
    <w:rsid w:val="006967DE"/>
    <w:rsid w:val="00696863"/>
    <w:rsid w:val="006968D4"/>
    <w:rsid w:val="0069691C"/>
    <w:rsid w:val="00696965"/>
    <w:rsid w:val="0069696F"/>
    <w:rsid w:val="0069697B"/>
    <w:rsid w:val="00696A4D"/>
    <w:rsid w:val="00696B26"/>
    <w:rsid w:val="00696B87"/>
    <w:rsid w:val="00696C30"/>
    <w:rsid w:val="00696C9F"/>
    <w:rsid w:val="00696CEC"/>
    <w:rsid w:val="00696D56"/>
    <w:rsid w:val="00696D96"/>
    <w:rsid w:val="00696DD7"/>
    <w:rsid w:val="00696DF2"/>
    <w:rsid w:val="00696E06"/>
    <w:rsid w:val="00696E1D"/>
    <w:rsid w:val="00696E44"/>
    <w:rsid w:val="00696F4E"/>
    <w:rsid w:val="00696F6F"/>
    <w:rsid w:val="00696F93"/>
    <w:rsid w:val="00696FA4"/>
    <w:rsid w:val="00696FFC"/>
    <w:rsid w:val="0069702B"/>
    <w:rsid w:val="00697047"/>
    <w:rsid w:val="00697089"/>
    <w:rsid w:val="006970DB"/>
    <w:rsid w:val="006970E6"/>
    <w:rsid w:val="0069710E"/>
    <w:rsid w:val="006971E6"/>
    <w:rsid w:val="00697248"/>
    <w:rsid w:val="006972D8"/>
    <w:rsid w:val="00697454"/>
    <w:rsid w:val="0069745A"/>
    <w:rsid w:val="00697548"/>
    <w:rsid w:val="0069757E"/>
    <w:rsid w:val="006975E0"/>
    <w:rsid w:val="006975E5"/>
    <w:rsid w:val="0069760E"/>
    <w:rsid w:val="00697635"/>
    <w:rsid w:val="00697658"/>
    <w:rsid w:val="006976B1"/>
    <w:rsid w:val="006976EF"/>
    <w:rsid w:val="0069770C"/>
    <w:rsid w:val="00697759"/>
    <w:rsid w:val="0069778C"/>
    <w:rsid w:val="006977F3"/>
    <w:rsid w:val="0069783F"/>
    <w:rsid w:val="00697840"/>
    <w:rsid w:val="00697861"/>
    <w:rsid w:val="0069786C"/>
    <w:rsid w:val="0069788B"/>
    <w:rsid w:val="006978E6"/>
    <w:rsid w:val="00697957"/>
    <w:rsid w:val="0069796A"/>
    <w:rsid w:val="006979C3"/>
    <w:rsid w:val="006979F9"/>
    <w:rsid w:val="00697A7B"/>
    <w:rsid w:val="00697A9E"/>
    <w:rsid w:val="00697AA7"/>
    <w:rsid w:val="00697AC3"/>
    <w:rsid w:val="00697ACF"/>
    <w:rsid w:val="00697B03"/>
    <w:rsid w:val="00697B44"/>
    <w:rsid w:val="00697BA8"/>
    <w:rsid w:val="00697BC9"/>
    <w:rsid w:val="00697CBC"/>
    <w:rsid w:val="00697CE0"/>
    <w:rsid w:val="00697D06"/>
    <w:rsid w:val="00697E09"/>
    <w:rsid w:val="00697E10"/>
    <w:rsid w:val="00697E60"/>
    <w:rsid w:val="00697EB5"/>
    <w:rsid w:val="00697EE1"/>
    <w:rsid w:val="00697F37"/>
    <w:rsid w:val="00697FA4"/>
    <w:rsid w:val="0069D8D0"/>
    <w:rsid w:val="006A0092"/>
    <w:rsid w:val="006A014E"/>
    <w:rsid w:val="006A0193"/>
    <w:rsid w:val="006A026E"/>
    <w:rsid w:val="006A0290"/>
    <w:rsid w:val="006A029D"/>
    <w:rsid w:val="006A03EC"/>
    <w:rsid w:val="006A0470"/>
    <w:rsid w:val="006A049C"/>
    <w:rsid w:val="006A04E1"/>
    <w:rsid w:val="006A04F6"/>
    <w:rsid w:val="006A04F8"/>
    <w:rsid w:val="006A0579"/>
    <w:rsid w:val="006A057D"/>
    <w:rsid w:val="006A05A7"/>
    <w:rsid w:val="006A05C3"/>
    <w:rsid w:val="006A067D"/>
    <w:rsid w:val="006A0681"/>
    <w:rsid w:val="006A06F0"/>
    <w:rsid w:val="006A06F4"/>
    <w:rsid w:val="006A070F"/>
    <w:rsid w:val="006A07D0"/>
    <w:rsid w:val="006A0853"/>
    <w:rsid w:val="006A08B6"/>
    <w:rsid w:val="006A08D0"/>
    <w:rsid w:val="006A08D9"/>
    <w:rsid w:val="006A0949"/>
    <w:rsid w:val="006A0A7D"/>
    <w:rsid w:val="006A0A8F"/>
    <w:rsid w:val="006A0AE0"/>
    <w:rsid w:val="006A0B59"/>
    <w:rsid w:val="006A0BEF"/>
    <w:rsid w:val="006A0C52"/>
    <w:rsid w:val="006A0D23"/>
    <w:rsid w:val="006A0D40"/>
    <w:rsid w:val="006A0D9A"/>
    <w:rsid w:val="006A0DBF"/>
    <w:rsid w:val="006A0E3F"/>
    <w:rsid w:val="006A0F45"/>
    <w:rsid w:val="006A0F4F"/>
    <w:rsid w:val="006A0FB6"/>
    <w:rsid w:val="006A0FC4"/>
    <w:rsid w:val="006A0FD4"/>
    <w:rsid w:val="006A1087"/>
    <w:rsid w:val="006A10C7"/>
    <w:rsid w:val="006A1137"/>
    <w:rsid w:val="006A1146"/>
    <w:rsid w:val="006A1147"/>
    <w:rsid w:val="006A11DE"/>
    <w:rsid w:val="006A123B"/>
    <w:rsid w:val="006A1275"/>
    <w:rsid w:val="006A12E2"/>
    <w:rsid w:val="006A12FC"/>
    <w:rsid w:val="006A1323"/>
    <w:rsid w:val="006A138C"/>
    <w:rsid w:val="006A13DB"/>
    <w:rsid w:val="006A148B"/>
    <w:rsid w:val="006A1555"/>
    <w:rsid w:val="006A1624"/>
    <w:rsid w:val="006A16A4"/>
    <w:rsid w:val="006A16D2"/>
    <w:rsid w:val="006A1751"/>
    <w:rsid w:val="006A181C"/>
    <w:rsid w:val="006A1822"/>
    <w:rsid w:val="006A1867"/>
    <w:rsid w:val="006A1889"/>
    <w:rsid w:val="006A189E"/>
    <w:rsid w:val="006A18B0"/>
    <w:rsid w:val="006A18C9"/>
    <w:rsid w:val="006A18CE"/>
    <w:rsid w:val="006A1939"/>
    <w:rsid w:val="006A19B6"/>
    <w:rsid w:val="006A19DB"/>
    <w:rsid w:val="006A19E1"/>
    <w:rsid w:val="006A19E6"/>
    <w:rsid w:val="006A19F9"/>
    <w:rsid w:val="006A1A00"/>
    <w:rsid w:val="006A1A7E"/>
    <w:rsid w:val="006A1A95"/>
    <w:rsid w:val="006A1AD6"/>
    <w:rsid w:val="006A1AF6"/>
    <w:rsid w:val="006A1B4F"/>
    <w:rsid w:val="006A1B6D"/>
    <w:rsid w:val="006A1BAE"/>
    <w:rsid w:val="006A1C70"/>
    <w:rsid w:val="006A1C71"/>
    <w:rsid w:val="006A1CB5"/>
    <w:rsid w:val="006A1CC1"/>
    <w:rsid w:val="006A1D1C"/>
    <w:rsid w:val="006A1D22"/>
    <w:rsid w:val="006A1DB8"/>
    <w:rsid w:val="006A1DC6"/>
    <w:rsid w:val="006A1E08"/>
    <w:rsid w:val="006A1E4B"/>
    <w:rsid w:val="006A1E58"/>
    <w:rsid w:val="006A1E7D"/>
    <w:rsid w:val="006A1EEF"/>
    <w:rsid w:val="006A1F25"/>
    <w:rsid w:val="006A1FC3"/>
    <w:rsid w:val="006A1FD8"/>
    <w:rsid w:val="006A1FFF"/>
    <w:rsid w:val="006A2002"/>
    <w:rsid w:val="006A201B"/>
    <w:rsid w:val="006A20C9"/>
    <w:rsid w:val="006A2103"/>
    <w:rsid w:val="006A2143"/>
    <w:rsid w:val="006A216F"/>
    <w:rsid w:val="006A21DA"/>
    <w:rsid w:val="006A2275"/>
    <w:rsid w:val="006A2297"/>
    <w:rsid w:val="006A22A9"/>
    <w:rsid w:val="006A231A"/>
    <w:rsid w:val="006A233D"/>
    <w:rsid w:val="006A2374"/>
    <w:rsid w:val="006A2381"/>
    <w:rsid w:val="006A23C3"/>
    <w:rsid w:val="006A23CE"/>
    <w:rsid w:val="006A241F"/>
    <w:rsid w:val="006A2492"/>
    <w:rsid w:val="006A2522"/>
    <w:rsid w:val="006A2556"/>
    <w:rsid w:val="006A25A8"/>
    <w:rsid w:val="006A2600"/>
    <w:rsid w:val="006A2628"/>
    <w:rsid w:val="006A2882"/>
    <w:rsid w:val="006A28B0"/>
    <w:rsid w:val="006A28BB"/>
    <w:rsid w:val="006A291F"/>
    <w:rsid w:val="006A297D"/>
    <w:rsid w:val="006A29E1"/>
    <w:rsid w:val="006A29E7"/>
    <w:rsid w:val="006A2A25"/>
    <w:rsid w:val="006A2A36"/>
    <w:rsid w:val="006A2AB7"/>
    <w:rsid w:val="006A2ABA"/>
    <w:rsid w:val="006A2ACD"/>
    <w:rsid w:val="006A2ADD"/>
    <w:rsid w:val="006A2B04"/>
    <w:rsid w:val="006A2C00"/>
    <w:rsid w:val="006A2C57"/>
    <w:rsid w:val="006A2CAF"/>
    <w:rsid w:val="006A2CE0"/>
    <w:rsid w:val="006A2D5C"/>
    <w:rsid w:val="006A2D85"/>
    <w:rsid w:val="006A2DAC"/>
    <w:rsid w:val="006A2DBA"/>
    <w:rsid w:val="006A2DDD"/>
    <w:rsid w:val="006A2E4E"/>
    <w:rsid w:val="006A2EC9"/>
    <w:rsid w:val="006A2F0F"/>
    <w:rsid w:val="006A2F23"/>
    <w:rsid w:val="006A2F2B"/>
    <w:rsid w:val="006A2F76"/>
    <w:rsid w:val="006A2FAE"/>
    <w:rsid w:val="006A300F"/>
    <w:rsid w:val="006A301C"/>
    <w:rsid w:val="006A3069"/>
    <w:rsid w:val="006A30E2"/>
    <w:rsid w:val="006A3170"/>
    <w:rsid w:val="006A3272"/>
    <w:rsid w:val="006A3301"/>
    <w:rsid w:val="006A3328"/>
    <w:rsid w:val="006A3400"/>
    <w:rsid w:val="006A3423"/>
    <w:rsid w:val="006A346B"/>
    <w:rsid w:val="006A3478"/>
    <w:rsid w:val="006A3485"/>
    <w:rsid w:val="006A34EF"/>
    <w:rsid w:val="006A3530"/>
    <w:rsid w:val="006A3581"/>
    <w:rsid w:val="006A359A"/>
    <w:rsid w:val="006A35BA"/>
    <w:rsid w:val="006A363F"/>
    <w:rsid w:val="006A3688"/>
    <w:rsid w:val="006A36B1"/>
    <w:rsid w:val="006A36BA"/>
    <w:rsid w:val="006A376E"/>
    <w:rsid w:val="006A37B9"/>
    <w:rsid w:val="006A3819"/>
    <w:rsid w:val="006A3867"/>
    <w:rsid w:val="006A38AF"/>
    <w:rsid w:val="006A38BB"/>
    <w:rsid w:val="006A38C0"/>
    <w:rsid w:val="006A38CC"/>
    <w:rsid w:val="006A38E5"/>
    <w:rsid w:val="006A38ED"/>
    <w:rsid w:val="006A398C"/>
    <w:rsid w:val="006A39A1"/>
    <w:rsid w:val="006A3B71"/>
    <w:rsid w:val="006A3C24"/>
    <w:rsid w:val="006A3C7B"/>
    <w:rsid w:val="006A3C92"/>
    <w:rsid w:val="006A3CB1"/>
    <w:rsid w:val="006A3CCB"/>
    <w:rsid w:val="006A3CD8"/>
    <w:rsid w:val="006A3D71"/>
    <w:rsid w:val="006A3DEC"/>
    <w:rsid w:val="006A3DF6"/>
    <w:rsid w:val="006A3DF8"/>
    <w:rsid w:val="006A3E63"/>
    <w:rsid w:val="006A3E6C"/>
    <w:rsid w:val="006A3EF3"/>
    <w:rsid w:val="006A3F07"/>
    <w:rsid w:val="006A3F1C"/>
    <w:rsid w:val="006A3F33"/>
    <w:rsid w:val="006A3F72"/>
    <w:rsid w:val="006A400B"/>
    <w:rsid w:val="006A4029"/>
    <w:rsid w:val="006A40AD"/>
    <w:rsid w:val="006A40F9"/>
    <w:rsid w:val="006A4102"/>
    <w:rsid w:val="006A4105"/>
    <w:rsid w:val="006A4117"/>
    <w:rsid w:val="006A4164"/>
    <w:rsid w:val="006A422B"/>
    <w:rsid w:val="006A423F"/>
    <w:rsid w:val="006A4253"/>
    <w:rsid w:val="006A4267"/>
    <w:rsid w:val="006A42C9"/>
    <w:rsid w:val="006A42D8"/>
    <w:rsid w:val="006A430A"/>
    <w:rsid w:val="006A4320"/>
    <w:rsid w:val="006A4376"/>
    <w:rsid w:val="006A4397"/>
    <w:rsid w:val="006A4411"/>
    <w:rsid w:val="006A4424"/>
    <w:rsid w:val="006A44F0"/>
    <w:rsid w:val="006A454D"/>
    <w:rsid w:val="006A46BE"/>
    <w:rsid w:val="006A4757"/>
    <w:rsid w:val="006A4798"/>
    <w:rsid w:val="006A47EA"/>
    <w:rsid w:val="006A485A"/>
    <w:rsid w:val="006A4872"/>
    <w:rsid w:val="006A48A3"/>
    <w:rsid w:val="006A495A"/>
    <w:rsid w:val="006A496A"/>
    <w:rsid w:val="006A497F"/>
    <w:rsid w:val="006A4A92"/>
    <w:rsid w:val="006A4AA7"/>
    <w:rsid w:val="006A4B4F"/>
    <w:rsid w:val="006A4BE3"/>
    <w:rsid w:val="006A4BF0"/>
    <w:rsid w:val="006A4BF9"/>
    <w:rsid w:val="006A4C96"/>
    <w:rsid w:val="006A4D72"/>
    <w:rsid w:val="006A4DB1"/>
    <w:rsid w:val="006A4EC9"/>
    <w:rsid w:val="006A4F1A"/>
    <w:rsid w:val="006A4F2E"/>
    <w:rsid w:val="006A4F43"/>
    <w:rsid w:val="006A4F8B"/>
    <w:rsid w:val="006A4F93"/>
    <w:rsid w:val="006A4FA8"/>
    <w:rsid w:val="006A4FD1"/>
    <w:rsid w:val="006A5091"/>
    <w:rsid w:val="006A50E4"/>
    <w:rsid w:val="006A50E7"/>
    <w:rsid w:val="006A512A"/>
    <w:rsid w:val="006A512F"/>
    <w:rsid w:val="006A5132"/>
    <w:rsid w:val="006A5162"/>
    <w:rsid w:val="006A5189"/>
    <w:rsid w:val="006A51EE"/>
    <w:rsid w:val="006A528F"/>
    <w:rsid w:val="006A5297"/>
    <w:rsid w:val="006A5299"/>
    <w:rsid w:val="006A52A8"/>
    <w:rsid w:val="006A52D3"/>
    <w:rsid w:val="006A52F6"/>
    <w:rsid w:val="006A5358"/>
    <w:rsid w:val="006A53B2"/>
    <w:rsid w:val="006A54BD"/>
    <w:rsid w:val="006A5513"/>
    <w:rsid w:val="006A551A"/>
    <w:rsid w:val="006A5577"/>
    <w:rsid w:val="006A55C2"/>
    <w:rsid w:val="006A55E5"/>
    <w:rsid w:val="006A55E8"/>
    <w:rsid w:val="006A55ED"/>
    <w:rsid w:val="006A55EE"/>
    <w:rsid w:val="006A5605"/>
    <w:rsid w:val="006A5699"/>
    <w:rsid w:val="006A57A5"/>
    <w:rsid w:val="006A57CC"/>
    <w:rsid w:val="006A57DF"/>
    <w:rsid w:val="006A57F1"/>
    <w:rsid w:val="006A57F7"/>
    <w:rsid w:val="006A5803"/>
    <w:rsid w:val="006A5816"/>
    <w:rsid w:val="006A5844"/>
    <w:rsid w:val="006A58D0"/>
    <w:rsid w:val="006A59C6"/>
    <w:rsid w:val="006A5A14"/>
    <w:rsid w:val="006A5ADB"/>
    <w:rsid w:val="006A5B05"/>
    <w:rsid w:val="006A5B1C"/>
    <w:rsid w:val="006A5B5A"/>
    <w:rsid w:val="006A5B86"/>
    <w:rsid w:val="006A5BA2"/>
    <w:rsid w:val="006A5BEB"/>
    <w:rsid w:val="006A5BFF"/>
    <w:rsid w:val="006A5C10"/>
    <w:rsid w:val="006A5C1F"/>
    <w:rsid w:val="006A5D10"/>
    <w:rsid w:val="006A5D94"/>
    <w:rsid w:val="006A5EFE"/>
    <w:rsid w:val="006A6003"/>
    <w:rsid w:val="006A6032"/>
    <w:rsid w:val="006A6054"/>
    <w:rsid w:val="006A6112"/>
    <w:rsid w:val="006A61CC"/>
    <w:rsid w:val="006A62F2"/>
    <w:rsid w:val="006A6351"/>
    <w:rsid w:val="006A6377"/>
    <w:rsid w:val="006A6398"/>
    <w:rsid w:val="006A649F"/>
    <w:rsid w:val="006A64D8"/>
    <w:rsid w:val="006A64D9"/>
    <w:rsid w:val="006A6526"/>
    <w:rsid w:val="006A656F"/>
    <w:rsid w:val="006A6572"/>
    <w:rsid w:val="006A65EA"/>
    <w:rsid w:val="006A662A"/>
    <w:rsid w:val="006A664E"/>
    <w:rsid w:val="006A669B"/>
    <w:rsid w:val="006A66AC"/>
    <w:rsid w:val="006A66FC"/>
    <w:rsid w:val="006A6730"/>
    <w:rsid w:val="006A6735"/>
    <w:rsid w:val="006A6806"/>
    <w:rsid w:val="006A682A"/>
    <w:rsid w:val="006A6834"/>
    <w:rsid w:val="006A6841"/>
    <w:rsid w:val="006A684E"/>
    <w:rsid w:val="006A6864"/>
    <w:rsid w:val="006A68AC"/>
    <w:rsid w:val="006A6951"/>
    <w:rsid w:val="006A6960"/>
    <w:rsid w:val="006A6979"/>
    <w:rsid w:val="006A6AAA"/>
    <w:rsid w:val="006A6AF0"/>
    <w:rsid w:val="006A6AF4"/>
    <w:rsid w:val="006A6AF7"/>
    <w:rsid w:val="006A6B0C"/>
    <w:rsid w:val="006A6B12"/>
    <w:rsid w:val="006A6B2E"/>
    <w:rsid w:val="006A6B4C"/>
    <w:rsid w:val="006A6BF0"/>
    <w:rsid w:val="006A6BF6"/>
    <w:rsid w:val="006A6C17"/>
    <w:rsid w:val="006A6C52"/>
    <w:rsid w:val="006A6C68"/>
    <w:rsid w:val="006A6CB2"/>
    <w:rsid w:val="006A6D07"/>
    <w:rsid w:val="006A6D4F"/>
    <w:rsid w:val="006A6D57"/>
    <w:rsid w:val="006A6D9E"/>
    <w:rsid w:val="006A6E4E"/>
    <w:rsid w:val="006A6E70"/>
    <w:rsid w:val="006A6F4F"/>
    <w:rsid w:val="006A6F8E"/>
    <w:rsid w:val="006A6FA6"/>
    <w:rsid w:val="006A705C"/>
    <w:rsid w:val="006A7069"/>
    <w:rsid w:val="006A70C3"/>
    <w:rsid w:val="006A713B"/>
    <w:rsid w:val="006A715A"/>
    <w:rsid w:val="006A7161"/>
    <w:rsid w:val="006A72AE"/>
    <w:rsid w:val="006A72D2"/>
    <w:rsid w:val="006A731A"/>
    <w:rsid w:val="006A73D3"/>
    <w:rsid w:val="006A7429"/>
    <w:rsid w:val="006A749E"/>
    <w:rsid w:val="006A74D1"/>
    <w:rsid w:val="006A7533"/>
    <w:rsid w:val="006A759F"/>
    <w:rsid w:val="006A75E3"/>
    <w:rsid w:val="006A7648"/>
    <w:rsid w:val="006A766C"/>
    <w:rsid w:val="006A76B6"/>
    <w:rsid w:val="006A76EE"/>
    <w:rsid w:val="006A7794"/>
    <w:rsid w:val="006A779E"/>
    <w:rsid w:val="006A77BF"/>
    <w:rsid w:val="006A78BF"/>
    <w:rsid w:val="006A793F"/>
    <w:rsid w:val="006A7940"/>
    <w:rsid w:val="006A79F5"/>
    <w:rsid w:val="006A7A3D"/>
    <w:rsid w:val="006A7A6A"/>
    <w:rsid w:val="006A7A76"/>
    <w:rsid w:val="006A7AEE"/>
    <w:rsid w:val="006A7C76"/>
    <w:rsid w:val="006A7C9F"/>
    <w:rsid w:val="006A7CBD"/>
    <w:rsid w:val="006A7D00"/>
    <w:rsid w:val="006A7D0B"/>
    <w:rsid w:val="006A7D24"/>
    <w:rsid w:val="006A7D2A"/>
    <w:rsid w:val="006A7D3B"/>
    <w:rsid w:val="006A7D40"/>
    <w:rsid w:val="006A7D50"/>
    <w:rsid w:val="006A7DA1"/>
    <w:rsid w:val="006A7DFB"/>
    <w:rsid w:val="006A7E1E"/>
    <w:rsid w:val="006A7F08"/>
    <w:rsid w:val="006A7F28"/>
    <w:rsid w:val="006A7F4A"/>
    <w:rsid w:val="006A7F4B"/>
    <w:rsid w:val="006AFE62"/>
    <w:rsid w:val="006B002D"/>
    <w:rsid w:val="006B00B4"/>
    <w:rsid w:val="006B0105"/>
    <w:rsid w:val="006B0174"/>
    <w:rsid w:val="006B0200"/>
    <w:rsid w:val="006B024A"/>
    <w:rsid w:val="006B0298"/>
    <w:rsid w:val="006B02D2"/>
    <w:rsid w:val="006B0334"/>
    <w:rsid w:val="006B0385"/>
    <w:rsid w:val="006B045F"/>
    <w:rsid w:val="006B046E"/>
    <w:rsid w:val="006B04AF"/>
    <w:rsid w:val="006B0522"/>
    <w:rsid w:val="006B05A8"/>
    <w:rsid w:val="006B0606"/>
    <w:rsid w:val="006B060D"/>
    <w:rsid w:val="006B0694"/>
    <w:rsid w:val="006B06B5"/>
    <w:rsid w:val="006B06EF"/>
    <w:rsid w:val="006B06F3"/>
    <w:rsid w:val="006B0700"/>
    <w:rsid w:val="006B0708"/>
    <w:rsid w:val="006B075D"/>
    <w:rsid w:val="006B07A7"/>
    <w:rsid w:val="006B07E3"/>
    <w:rsid w:val="006B085F"/>
    <w:rsid w:val="006B0888"/>
    <w:rsid w:val="006B09C4"/>
    <w:rsid w:val="006B0A1B"/>
    <w:rsid w:val="006B0A44"/>
    <w:rsid w:val="006B0AC3"/>
    <w:rsid w:val="006B0ACA"/>
    <w:rsid w:val="006B0B1A"/>
    <w:rsid w:val="006B0BC8"/>
    <w:rsid w:val="006B0D2C"/>
    <w:rsid w:val="006B0DE0"/>
    <w:rsid w:val="006B0DEF"/>
    <w:rsid w:val="006B0E58"/>
    <w:rsid w:val="006B0FD3"/>
    <w:rsid w:val="006B0FF5"/>
    <w:rsid w:val="006B1078"/>
    <w:rsid w:val="006B10CE"/>
    <w:rsid w:val="006B1115"/>
    <w:rsid w:val="006B1153"/>
    <w:rsid w:val="006B1173"/>
    <w:rsid w:val="006B11B4"/>
    <w:rsid w:val="006B1239"/>
    <w:rsid w:val="006B125F"/>
    <w:rsid w:val="006B13E5"/>
    <w:rsid w:val="006B1414"/>
    <w:rsid w:val="006B1426"/>
    <w:rsid w:val="006B151D"/>
    <w:rsid w:val="006B1541"/>
    <w:rsid w:val="006B1552"/>
    <w:rsid w:val="006B160D"/>
    <w:rsid w:val="006B1670"/>
    <w:rsid w:val="006B16D4"/>
    <w:rsid w:val="006B1707"/>
    <w:rsid w:val="006B172B"/>
    <w:rsid w:val="006B174E"/>
    <w:rsid w:val="006B18C6"/>
    <w:rsid w:val="006B18F0"/>
    <w:rsid w:val="006B19BF"/>
    <w:rsid w:val="006B1A08"/>
    <w:rsid w:val="006B1ABF"/>
    <w:rsid w:val="006B1B01"/>
    <w:rsid w:val="006B1B84"/>
    <w:rsid w:val="006B1BC4"/>
    <w:rsid w:val="006B1C1E"/>
    <w:rsid w:val="006B1C29"/>
    <w:rsid w:val="006B1CF7"/>
    <w:rsid w:val="006B1D02"/>
    <w:rsid w:val="006B1D0E"/>
    <w:rsid w:val="006B1D2D"/>
    <w:rsid w:val="006B1D3A"/>
    <w:rsid w:val="006B1D7F"/>
    <w:rsid w:val="006B1D98"/>
    <w:rsid w:val="006B1DB9"/>
    <w:rsid w:val="006B1DE3"/>
    <w:rsid w:val="006B1E09"/>
    <w:rsid w:val="006B1E39"/>
    <w:rsid w:val="006B1E5A"/>
    <w:rsid w:val="006B1E6A"/>
    <w:rsid w:val="006B1E72"/>
    <w:rsid w:val="006B1E78"/>
    <w:rsid w:val="006B1E81"/>
    <w:rsid w:val="006B1E98"/>
    <w:rsid w:val="006B1EA4"/>
    <w:rsid w:val="006B1F58"/>
    <w:rsid w:val="006B1FA2"/>
    <w:rsid w:val="006B1FC7"/>
    <w:rsid w:val="006B1FCF"/>
    <w:rsid w:val="006B20EA"/>
    <w:rsid w:val="006B20FB"/>
    <w:rsid w:val="006B2186"/>
    <w:rsid w:val="006B21DC"/>
    <w:rsid w:val="006B22AB"/>
    <w:rsid w:val="006B22DE"/>
    <w:rsid w:val="006B22EF"/>
    <w:rsid w:val="006B2354"/>
    <w:rsid w:val="006B2359"/>
    <w:rsid w:val="006B2396"/>
    <w:rsid w:val="006B23B1"/>
    <w:rsid w:val="006B2419"/>
    <w:rsid w:val="006B24EE"/>
    <w:rsid w:val="006B2536"/>
    <w:rsid w:val="006B258F"/>
    <w:rsid w:val="006B25E7"/>
    <w:rsid w:val="006B25F9"/>
    <w:rsid w:val="006B2629"/>
    <w:rsid w:val="006B273F"/>
    <w:rsid w:val="006B275F"/>
    <w:rsid w:val="006B2783"/>
    <w:rsid w:val="006B27E9"/>
    <w:rsid w:val="006B283A"/>
    <w:rsid w:val="006B283D"/>
    <w:rsid w:val="006B2963"/>
    <w:rsid w:val="006B2A1B"/>
    <w:rsid w:val="006B2AC3"/>
    <w:rsid w:val="006B2BF3"/>
    <w:rsid w:val="006B2BF7"/>
    <w:rsid w:val="006B2C28"/>
    <w:rsid w:val="006B2C2C"/>
    <w:rsid w:val="006B2C46"/>
    <w:rsid w:val="006B2C6B"/>
    <w:rsid w:val="006B2C89"/>
    <w:rsid w:val="006B2CEE"/>
    <w:rsid w:val="006B2DAA"/>
    <w:rsid w:val="006B2DC9"/>
    <w:rsid w:val="006B2DEC"/>
    <w:rsid w:val="006B2E37"/>
    <w:rsid w:val="006B2E67"/>
    <w:rsid w:val="006B2EF0"/>
    <w:rsid w:val="006B2F92"/>
    <w:rsid w:val="006B2FD0"/>
    <w:rsid w:val="006B2FEE"/>
    <w:rsid w:val="006B301D"/>
    <w:rsid w:val="006B3163"/>
    <w:rsid w:val="006B31D3"/>
    <w:rsid w:val="006B334E"/>
    <w:rsid w:val="006B3423"/>
    <w:rsid w:val="006B3451"/>
    <w:rsid w:val="006B34BA"/>
    <w:rsid w:val="006B34DE"/>
    <w:rsid w:val="006B34F1"/>
    <w:rsid w:val="006B3547"/>
    <w:rsid w:val="006B3556"/>
    <w:rsid w:val="006B3582"/>
    <w:rsid w:val="006B35DC"/>
    <w:rsid w:val="006B36AD"/>
    <w:rsid w:val="006B36C0"/>
    <w:rsid w:val="006B38A4"/>
    <w:rsid w:val="006B38C6"/>
    <w:rsid w:val="006B3999"/>
    <w:rsid w:val="006B39D1"/>
    <w:rsid w:val="006B39D9"/>
    <w:rsid w:val="006B3A1A"/>
    <w:rsid w:val="006B3A4C"/>
    <w:rsid w:val="006B3A74"/>
    <w:rsid w:val="006B3AD9"/>
    <w:rsid w:val="006B3AE3"/>
    <w:rsid w:val="006B3AE5"/>
    <w:rsid w:val="006B3BEB"/>
    <w:rsid w:val="006B3DFE"/>
    <w:rsid w:val="006B3E18"/>
    <w:rsid w:val="006B3E50"/>
    <w:rsid w:val="006B3F13"/>
    <w:rsid w:val="006B3F36"/>
    <w:rsid w:val="006B3F46"/>
    <w:rsid w:val="006B3FE5"/>
    <w:rsid w:val="006B4007"/>
    <w:rsid w:val="006B4034"/>
    <w:rsid w:val="006B40A5"/>
    <w:rsid w:val="006B40B6"/>
    <w:rsid w:val="006B412C"/>
    <w:rsid w:val="006B4136"/>
    <w:rsid w:val="006B4294"/>
    <w:rsid w:val="006B4299"/>
    <w:rsid w:val="006B42EF"/>
    <w:rsid w:val="006B4370"/>
    <w:rsid w:val="006B43A2"/>
    <w:rsid w:val="006B441F"/>
    <w:rsid w:val="006B4457"/>
    <w:rsid w:val="006B4490"/>
    <w:rsid w:val="006B44B0"/>
    <w:rsid w:val="006B4526"/>
    <w:rsid w:val="006B453C"/>
    <w:rsid w:val="006B45B5"/>
    <w:rsid w:val="006B461B"/>
    <w:rsid w:val="006B47AD"/>
    <w:rsid w:val="006B47BF"/>
    <w:rsid w:val="006B47E7"/>
    <w:rsid w:val="006B4843"/>
    <w:rsid w:val="006B48BA"/>
    <w:rsid w:val="006B48DF"/>
    <w:rsid w:val="006B4913"/>
    <w:rsid w:val="006B4928"/>
    <w:rsid w:val="006B49BD"/>
    <w:rsid w:val="006B49C4"/>
    <w:rsid w:val="006B4A44"/>
    <w:rsid w:val="006B4A6F"/>
    <w:rsid w:val="006B4A82"/>
    <w:rsid w:val="006B4B9F"/>
    <w:rsid w:val="006B4BB0"/>
    <w:rsid w:val="006B4C28"/>
    <w:rsid w:val="006B4D0F"/>
    <w:rsid w:val="006B4E4A"/>
    <w:rsid w:val="006B4E5C"/>
    <w:rsid w:val="006B4E66"/>
    <w:rsid w:val="006B4EBF"/>
    <w:rsid w:val="006B4EDB"/>
    <w:rsid w:val="006B4F2A"/>
    <w:rsid w:val="006B4FB3"/>
    <w:rsid w:val="006B4FCC"/>
    <w:rsid w:val="006B4FE8"/>
    <w:rsid w:val="006B4FEA"/>
    <w:rsid w:val="006B4FF7"/>
    <w:rsid w:val="006B500E"/>
    <w:rsid w:val="006B5027"/>
    <w:rsid w:val="006B5031"/>
    <w:rsid w:val="006B507E"/>
    <w:rsid w:val="006B50A5"/>
    <w:rsid w:val="006B50D5"/>
    <w:rsid w:val="006B520E"/>
    <w:rsid w:val="006B521D"/>
    <w:rsid w:val="006B52C3"/>
    <w:rsid w:val="006B52DB"/>
    <w:rsid w:val="006B537C"/>
    <w:rsid w:val="006B53DB"/>
    <w:rsid w:val="006B53F1"/>
    <w:rsid w:val="006B53F7"/>
    <w:rsid w:val="006B5404"/>
    <w:rsid w:val="006B5480"/>
    <w:rsid w:val="006B553E"/>
    <w:rsid w:val="006B55A0"/>
    <w:rsid w:val="006B566D"/>
    <w:rsid w:val="006B5674"/>
    <w:rsid w:val="006B5680"/>
    <w:rsid w:val="006B56D5"/>
    <w:rsid w:val="006B573F"/>
    <w:rsid w:val="006B5746"/>
    <w:rsid w:val="006B5766"/>
    <w:rsid w:val="006B576E"/>
    <w:rsid w:val="006B5798"/>
    <w:rsid w:val="006B583E"/>
    <w:rsid w:val="006B586C"/>
    <w:rsid w:val="006B5883"/>
    <w:rsid w:val="006B5893"/>
    <w:rsid w:val="006B58F5"/>
    <w:rsid w:val="006B593F"/>
    <w:rsid w:val="006B5943"/>
    <w:rsid w:val="006B5970"/>
    <w:rsid w:val="006B59DB"/>
    <w:rsid w:val="006B59FE"/>
    <w:rsid w:val="006B5A13"/>
    <w:rsid w:val="006B5A21"/>
    <w:rsid w:val="006B5A26"/>
    <w:rsid w:val="006B5A9D"/>
    <w:rsid w:val="006B5AA0"/>
    <w:rsid w:val="006B5AEF"/>
    <w:rsid w:val="006B5C00"/>
    <w:rsid w:val="006B5C14"/>
    <w:rsid w:val="006B5C40"/>
    <w:rsid w:val="006B5CAC"/>
    <w:rsid w:val="006B5CED"/>
    <w:rsid w:val="006B5D37"/>
    <w:rsid w:val="006B5E06"/>
    <w:rsid w:val="006B5EDC"/>
    <w:rsid w:val="006B5EFF"/>
    <w:rsid w:val="006B5F09"/>
    <w:rsid w:val="006B5F3A"/>
    <w:rsid w:val="006B5F6D"/>
    <w:rsid w:val="006B5F94"/>
    <w:rsid w:val="006B5FA9"/>
    <w:rsid w:val="006B5FE9"/>
    <w:rsid w:val="006B605B"/>
    <w:rsid w:val="006B605E"/>
    <w:rsid w:val="006B6095"/>
    <w:rsid w:val="006B6180"/>
    <w:rsid w:val="006B61E9"/>
    <w:rsid w:val="006B61FA"/>
    <w:rsid w:val="006B62E7"/>
    <w:rsid w:val="006B62E8"/>
    <w:rsid w:val="006B62F5"/>
    <w:rsid w:val="006B6355"/>
    <w:rsid w:val="006B636C"/>
    <w:rsid w:val="006B63AE"/>
    <w:rsid w:val="006B6404"/>
    <w:rsid w:val="006B646F"/>
    <w:rsid w:val="006B64F6"/>
    <w:rsid w:val="006B64FB"/>
    <w:rsid w:val="006B64FF"/>
    <w:rsid w:val="006B6503"/>
    <w:rsid w:val="006B656E"/>
    <w:rsid w:val="006B65E3"/>
    <w:rsid w:val="006B65F4"/>
    <w:rsid w:val="006B6643"/>
    <w:rsid w:val="006B6677"/>
    <w:rsid w:val="006B667A"/>
    <w:rsid w:val="006B667D"/>
    <w:rsid w:val="006B66A3"/>
    <w:rsid w:val="006B66C1"/>
    <w:rsid w:val="006B6728"/>
    <w:rsid w:val="006B67FC"/>
    <w:rsid w:val="006B68B6"/>
    <w:rsid w:val="006B699C"/>
    <w:rsid w:val="006B69A1"/>
    <w:rsid w:val="006B69BC"/>
    <w:rsid w:val="006B69FD"/>
    <w:rsid w:val="006B6A8F"/>
    <w:rsid w:val="006B6B0B"/>
    <w:rsid w:val="006B6B6A"/>
    <w:rsid w:val="006B6C83"/>
    <w:rsid w:val="006B6C95"/>
    <w:rsid w:val="006B6CB8"/>
    <w:rsid w:val="006B6CBC"/>
    <w:rsid w:val="006B6CC3"/>
    <w:rsid w:val="006B6CFF"/>
    <w:rsid w:val="006B6D18"/>
    <w:rsid w:val="006B6D2C"/>
    <w:rsid w:val="006B6D7E"/>
    <w:rsid w:val="006B6DCC"/>
    <w:rsid w:val="006B6DE5"/>
    <w:rsid w:val="006B6E06"/>
    <w:rsid w:val="006B6E61"/>
    <w:rsid w:val="006B6E76"/>
    <w:rsid w:val="006B6EA2"/>
    <w:rsid w:val="006B6EB7"/>
    <w:rsid w:val="006B6ED3"/>
    <w:rsid w:val="006B6F43"/>
    <w:rsid w:val="006B6F53"/>
    <w:rsid w:val="006B6F72"/>
    <w:rsid w:val="006B70F1"/>
    <w:rsid w:val="006B716F"/>
    <w:rsid w:val="006B71F2"/>
    <w:rsid w:val="006B722E"/>
    <w:rsid w:val="006B726B"/>
    <w:rsid w:val="006B72F3"/>
    <w:rsid w:val="006B7362"/>
    <w:rsid w:val="006B736D"/>
    <w:rsid w:val="006B7376"/>
    <w:rsid w:val="006B7380"/>
    <w:rsid w:val="006B739F"/>
    <w:rsid w:val="006B74CB"/>
    <w:rsid w:val="006B7574"/>
    <w:rsid w:val="006B7596"/>
    <w:rsid w:val="006B759E"/>
    <w:rsid w:val="006B75AE"/>
    <w:rsid w:val="006B760A"/>
    <w:rsid w:val="006B768B"/>
    <w:rsid w:val="006B771D"/>
    <w:rsid w:val="006B7728"/>
    <w:rsid w:val="006B7765"/>
    <w:rsid w:val="006B7790"/>
    <w:rsid w:val="006B77A8"/>
    <w:rsid w:val="006B77B4"/>
    <w:rsid w:val="006B77BB"/>
    <w:rsid w:val="006B77CD"/>
    <w:rsid w:val="006B7800"/>
    <w:rsid w:val="006B781E"/>
    <w:rsid w:val="006B7834"/>
    <w:rsid w:val="006B7898"/>
    <w:rsid w:val="006B78EC"/>
    <w:rsid w:val="006B78EE"/>
    <w:rsid w:val="006B78FA"/>
    <w:rsid w:val="006B7902"/>
    <w:rsid w:val="006B7910"/>
    <w:rsid w:val="006B796F"/>
    <w:rsid w:val="006B79B9"/>
    <w:rsid w:val="006B79EB"/>
    <w:rsid w:val="006B7BB5"/>
    <w:rsid w:val="006B7BF1"/>
    <w:rsid w:val="006B7C32"/>
    <w:rsid w:val="006B7C6F"/>
    <w:rsid w:val="006B7C79"/>
    <w:rsid w:val="006B7D09"/>
    <w:rsid w:val="006B7D79"/>
    <w:rsid w:val="006B7DBA"/>
    <w:rsid w:val="006B7DF3"/>
    <w:rsid w:val="006B7E58"/>
    <w:rsid w:val="006B7E64"/>
    <w:rsid w:val="006B7E78"/>
    <w:rsid w:val="006B7F28"/>
    <w:rsid w:val="006B7F44"/>
    <w:rsid w:val="006B7F60"/>
    <w:rsid w:val="006B7F7F"/>
    <w:rsid w:val="006B7F89"/>
    <w:rsid w:val="006B7FA0"/>
    <w:rsid w:val="006B7FB1"/>
    <w:rsid w:val="006B7FFB"/>
    <w:rsid w:val="006C0007"/>
    <w:rsid w:val="006C0025"/>
    <w:rsid w:val="006C0099"/>
    <w:rsid w:val="006C00B8"/>
    <w:rsid w:val="006C00DC"/>
    <w:rsid w:val="006C0194"/>
    <w:rsid w:val="006C01CE"/>
    <w:rsid w:val="006C01DB"/>
    <w:rsid w:val="006C01F4"/>
    <w:rsid w:val="006C0212"/>
    <w:rsid w:val="006C02CD"/>
    <w:rsid w:val="006C033D"/>
    <w:rsid w:val="006C0441"/>
    <w:rsid w:val="006C050A"/>
    <w:rsid w:val="006C0519"/>
    <w:rsid w:val="006C05A0"/>
    <w:rsid w:val="006C05A5"/>
    <w:rsid w:val="006C05C6"/>
    <w:rsid w:val="006C05C8"/>
    <w:rsid w:val="006C05CF"/>
    <w:rsid w:val="006C061F"/>
    <w:rsid w:val="006C06A4"/>
    <w:rsid w:val="006C0732"/>
    <w:rsid w:val="006C0791"/>
    <w:rsid w:val="006C092D"/>
    <w:rsid w:val="006C0966"/>
    <w:rsid w:val="006C09A4"/>
    <w:rsid w:val="006C0A20"/>
    <w:rsid w:val="006C0A23"/>
    <w:rsid w:val="006C0A4E"/>
    <w:rsid w:val="006C0A55"/>
    <w:rsid w:val="006C0AAA"/>
    <w:rsid w:val="006C0AD6"/>
    <w:rsid w:val="006C0AE2"/>
    <w:rsid w:val="006C0AE8"/>
    <w:rsid w:val="006C0BA3"/>
    <w:rsid w:val="006C0CC1"/>
    <w:rsid w:val="006C0D71"/>
    <w:rsid w:val="006C0D8A"/>
    <w:rsid w:val="006C0E66"/>
    <w:rsid w:val="006C0EF5"/>
    <w:rsid w:val="006C0F34"/>
    <w:rsid w:val="006C10D6"/>
    <w:rsid w:val="006C1189"/>
    <w:rsid w:val="006C11A1"/>
    <w:rsid w:val="006C1209"/>
    <w:rsid w:val="006C121C"/>
    <w:rsid w:val="006C1273"/>
    <w:rsid w:val="006C12C2"/>
    <w:rsid w:val="006C138D"/>
    <w:rsid w:val="006C1398"/>
    <w:rsid w:val="006C13EF"/>
    <w:rsid w:val="006C1417"/>
    <w:rsid w:val="006C1467"/>
    <w:rsid w:val="006C14DB"/>
    <w:rsid w:val="006C1565"/>
    <w:rsid w:val="006C1594"/>
    <w:rsid w:val="006C15DA"/>
    <w:rsid w:val="006C16DB"/>
    <w:rsid w:val="006C16E1"/>
    <w:rsid w:val="006C16FE"/>
    <w:rsid w:val="006C176A"/>
    <w:rsid w:val="006C179D"/>
    <w:rsid w:val="006C17E7"/>
    <w:rsid w:val="006C1828"/>
    <w:rsid w:val="006C190E"/>
    <w:rsid w:val="006C19BD"/>
    <w:rsid w:val="006C1A15"/>
    <w:rsid w:val="006C1A1E"/>
    <w:rsid w:val="006C1A36"/>
    <w:rsid w:val="006C1B5B"/>
    <w:rsid w:val="006C1B77"/>
    <w:rsid w:val="006C1B91"/>
    <w:rsid w:val="006C1B97"/>
    <w:rsid w:val="006C1BCF"/>
    <w:rsid w:val="006C1BEB"/>
    <w:rsid w:val="006C1C21"/>
    <w:rsid w:val="006C1C35"/>
    <w:rsid w:val="006C1D6F"/>
    <w:rsid w:val="006C1DD9"/>
    <w:rsid w:val="006C1DDC"/>
    <w:rsid w:val="006C1DF4"/>
    <w:rsid w:val="006C1F37"/>
    <w:rsid w:val="006C1F95"/>
    <w:rsid w:val="006C20A5"/>
    <w:rsid w:val="006C20AA"/>
    <w:rsid w:val="006C210A"/>
    <w:rsid w:val="006C211D"/>
    <w:rsid w:val="006C2147"/>
    <w:rsid w:val="006C2176"/>
    <w:rsid w:val="006C2303"/>
    <w:rsid w:val="006C237E"/>
    <w:rsid w:val="006C23E1"/>
    <w:rsid w:val="006C2446"/>
    <w:rsid w:val="006C244B"/>
    <w:rsid w:val="006C24AB"/>
    <w:rsid w:val="006C250E"/>
    <w:rsid w:val="006C2643"/>
    <w:rsid w:val="006C2676"/>
    <w:rsid w:val="006C26C4"/>
    <w:rsid w:val="006C26D5"/>
    <w:rsid w:val="006C26D7"/>
    <w:rsid w:val="006C26F6"/>
    <w:rsid w:val="006C2731"/>
    <w:rsid w:val="006C2840"/>
    <w:rsid w:val="006C285F"/>
    <w:rsid w:val="006C2893"/>
    <w:rsid w:val="006C28A8"/>
    <w:rsid w:val="006C2ADD"/>
    <w:rsid w:val="006C2AF4"/>
    <w:rsid w:val="006C2AFF"/>
    <w:rsid w:val="006C2B4F"/>
    <w:rsid w:val="006C2B76"/>
    <w:rsid w:val="006C2B7F"/>
    <w:rsid w:val="006C2C1C"/>
    <w:rsid w:val="006C2CCC"/>
    <w:rsid w:val="006C2DD8"/>
    <w:rsid w:val="006C2E51"/>
    <w:rsid w:val="006C2EDF"/>
    <w:rsid w:val="006C2EE6"/>
    <w:rsid w:val="006C2FEB"/>
    <w:rsid w:val="006C2FEE"/>
    <w:rsid w:val="006C2FFF"/>
    <w:rsid w:val="006C3127"/>
    <w:rsid w:val="006C3150"/>
    <w:rsid w:val="006C31AA"/>
    <w:rsid w:val="006C31DC"/>
    <w:rsid w:val="006C3237"/>
    <w:rsid w:val="006C328F"/>
    <w:rsid w:val="006C32E8"/>
    <w:rsid w:val="006C330A"/>
    <w:rsid w:val="006C332A"/>
    <w:rsid w:val="006C3482"/>
    <w:rsid w:val="006C3490"/>
    <w:rsid w:val="006C34E4"/>
    <w:rsid w:val="006C34F3"/>
    <w:rsid w:val="006C3593"/>
    <w:rsid w:val="006C363B"/>
    <w:rsid w:val="006C3771"/>
    <w:rsid w:val="006C37AB"/>
    <w:rsid w:val="006C37B9"/>
    <w:rsid w:val="006C37D4"/>
    <w:rsid w:val="006C384E"/>
    <w:rsid w:val="006C38C5"/>
    <w:rsid w:val="006C390A"/>
    <w:rsid w:val="006C39E4"/>
    <w:rsid w:val="006C3A44"/>
    <w:rsid w:val="006C3A5C"/>
    <w:rsid w:val="006C3A8F"/>
    <w:rsid w:val="006C3A90"/>
    <w:rsid w:val="006C3AC6"/>
    <w:rsid w:val="006C3AFA"/>
    <w:rsid w:val="006C3B0E"/>
    <w:rsid w:val="006C3BB7"/>
    <w:rsid w:val="006C3BBF"/>
    <w:rsid w:val="006C3C27"/>
    <w:rsid w:val="006C3C8D"/>
    <w:rsid w:val="006C3D01"/>
    <w:rsid w:val="006C3D65"/>
    <w:rsid w:val="006C3D68"/>
    <w:rsid w:val="006C3DCE"/>
    <w:rsid w:val="006C3E1F"/>
    <w:rsid w:val="006C3E87"/>
    <w:rsid w:val="006C3EBB"/>
    <w:rsid w:val="006C3F2F"/>
    <w:rsid w:val="006C3F56"/>
    <w:rsid w:val="006C3FAA"/>
    <w:rsid w:val="006C3FE6"/>
    <w:rsid w:val="006C408D"/>
    <w:rsid w:val="006C40A5"/>
    <w:rsid w:val="006C40F0"/>
    <w:rsid w:val="006C4191"/>
    <w:rsid w:val="006C41A7"/>
    <w:rsid w:val="006C41B9"/>
    <w:rsid w:val="006C423D"/>
    <w:rsid w:val="006C4290"/>
    <w:rsid w:val="006C42CC"/>
    <w:rsid w:val="006C42D5"/>
    <w:rsid w:val="006C42E8"/>
    <w:rsid w:val="006C440D"/>
    <w:rsid w:val="006C454A"/>
    <w:rsid w:val="006C4687"/>
    <w:rsid w:val="006C46B0"/>
    <w:rsid w:val="006C46C4"/>
    <w:rsid w:val="006C4761"/>
    <w:rsid w:val="006C4797"/>
    <w:rsid w:val="006C4801"/>
    <w:rsid w:val="006C4806"/>
    <w:rsid w:val="006C4828"/>
    <w:rsid w:val="006C4853"/>
    <w:rsid w:val="006C488F"/>
    <w:rsid w:val="006C48D1"/>
    <w:rsid w:val="006C48D8"/>
    <w:rsid w:val="006C48F2"/>
    <w:rsid w:val="006C4900"/>
    <w:rsid w:val="006C492B"/>
    <w:rsid w:val="006C4933"/>
    <w:rsid w:val="006C4AA6"/>
    <w:rsid w:val="006C4AA7"/>
    <w:rsid w:val="006C4AD7"/>
    <w:rsid w:val="006C4B06"/>
    <w:rsid w:val="006C4BA6"/>
    <w:rsid w:val="006C4BE7"/>
    <w:rsid w:val="006C4C22"/>
    <w:rsid w:val="006C4C37"/>
    <w:rsid w:val="006C4C4D"/>
    <w:rsid w:val="006C4CD5"/>
    <w:rsid w:val="006C4CF5"/>
    <w:rsid w:val="006C4DD3"/>
    <w:rsid w:val="006C4DD9"/>
    <w:rsid w:val="006C4E19"/>
    <w:rsid w:val="006C4E2C"/>
    <w:rsid w:val="006C4F1C"/>
    <w:rsid w:val="006C4F2C"/>
    <w:rsid w:val="006C4F87"/>
    <w:rsid w:val="006C4F9D"/>
    <w:rsid w:val="006C4FBB"/>
    <w:rsid w:val="006C4FBE"/>
    <w:rsid w:val="006C5004"/>
    <w:rsid w:val="006C5013"/>
    <w:rsid w:val="006C507C"/>
    <w:rsid w:val="006C5081"/>
    <w:rsid w:val="006C50F8"/>
    <w:rsid w:val="006C5129"/>
    <w:rsid w:val="006C522A"/>
    <w:rsid w:val="006C52A0"/>
    <w:rsid w:val="006C5302"/>
    <w:rsid w:val="006C536F"/>
    <w:rsid w:val="006C5383"/>
    <w:rsid w:val="006C53C5"/>
    <w:rsid w:val="006C5438"/>
    <w:rsid w:val="006C5478"/>
    <w:rsid w:val="006C54CE"/>
    <w:rsid w:val="006C54DD"/>
    <w:rsid w:val="006C552B"/>
    <w:rsid w:val="006C5552"/>
    <w:rsid w:val="006C559F"/>
    <w:rsid w:val="006C55B9"/>
    <w:rsid w:val="006C55BC"/>
    <w:rsid w:val="006C55EC"/>
    <w:rsid w:val="006C56D9"/>
    <w:rsid w:val="006C5745"/>
    <w:rsid w:val="006C57D1"/>
    <w:rsid w:val="006C58CB"/>
    <w:rsid w:val="006C5940"/>
    <w:rsid w:val="006C595E"/>
    <w:rsid w:val="006C59C4"/>
    <w:rsid w:val="006C59C7"/>
    <w:rsid w:val="006C5AB2"/>
    <w:rsid w:val="006C5B0A"/>
    <w:rsid w:val="006C5B0F"/>
    <w:rsid w:val="006C5B96"/>
    <w:rsid w:val="006C5B9A"/>
    <w:rsid w:val="006C5BAC"/>
    <w:rsid w:val="006C5BD5"/>
    <w:rsid w:val="006C5C18"/>
    <w:rsid w:val="006C5C82"/>
    <w:rsid w:val="006C5D06"/>
    <w:rsid w:val="006C5D41"/>
    <w:rsid w:val="006C5E2D"/>
    <w:rsid w:val="006C5EC5"/>
    <w:rsid w:val="006C5F2C"/>
    <w:rsid w:val="006C5FD4"/>
    <w:rsid w:val="006C600E"/>
    <w:rsid w:val="006C6018"/>
    <w:rsid w:val="006C6051"/>
    <w:rsid w:val="006C60AA"/>
    <w:rsid w:val="006C61A0"/>
    <w:rsid w:val="006C6216"/>
    <w:rsid w:val="006C6283"/>
    <w:rsid w:val="006C62F9"/>
    <w:rsid w:val="006C6307"/>
    <w:rsid w:val="006C6460"/>
    <w:rsid w:val="006C64CC"/>
    <w:rsid w:val="006C653C"/>
    <w:rsid w:val="006C65FF"/>
    <w:rsid w:val="006C665D"/>
    <w:rsid w:val="006C6660"/>
    <w:rsid w:val="006C667F"/>
    <w:rsid w:val="006C67B5"/>
    <w:rsid w:val="006C6890"/>
    <w:rsid w:val="006C6897"/>
    <w:rsid w:val="006C68C9"/>
    <w:rsid w:val="006C68DC"/>
    <w:rsid w:val="006C692A"/>
    <w:rsid w:val="006C69BE"/>
    <w:rsid w:val="006C6A22"/>
    <w:rsid w:val="006C6A4C"/>
    <w:rsid w:val="006C6A90"/>
    <w:rsid w:val="006C6AC5"/>
    <w:rsid w:val="006C6B38"/>
    <w:rsid w:val="006C6B60"/>
    <w:rsid w:val="006C6BB9"/>
    <w:rsid w:val="006C6BBB"/>
    <w:rsid w:val="006C6BC8"/>
    <w:rsid w:val="006C6C04"/>
    <w:rsid w:val="006C6C45"/>
    <w:rsid w:val="006C6C6B"/>
    <w:rsid w:val="006C6C74"/>
    <w:rsid w:val="006C6C83"/>
    <w:rsid w:val="006C6CA8"/>
    <w:rsid w:val="006C6CD4"/>
    <w:rsid w:val="006C6CD8"/>
    <w:rsid w:val="006C6D0E"/>
    <w:rsid w:val="006C6DD0"/>
    <w:rsid w:val="006C6E02"/>
    <w:rsid w:val="006C6E0F"/>
    <w:rsid w:val="006C6E49"/>
    <w:rsid w:val="006C6E52"/>
    <w:rsid w:val="006C6E6A"/>
    <w:rsid w:val="006C6E9E"/>
    <w:rsid w:val="006C6F0F"/>
    <w:rsid w:val="006C702C"/>
    <w:rsid w:val="006C7077"/>
    <w:rsid w:val="006C708C"/>
    <w:rsid w:val="006C70E0"/>
    <w:rsid w:val="006C71B1"/>
    <w:rsid w:val="006C7211"/>
    <w:rsid w:val="006C724C"/>
    <w:rsid w:val="006C7273"/>
    <w:rsid w:val="006C7279"/>
    <w:rsid w:val="006C7353"/>
    <w:rsid w:val="006C7414"/>
    <w:rsid w:val="006C7484"/>
    <w:rsid w:val="006C74A5"/>
    <w:rsid w:val="006C74BE"/>
    <w:rsid w:val="006C75BD"/>
    <w:rsid w:val="006C761B"/>
    <w:rsid w:val="006C7624"/>
    <w:rsid w:val="006C764D"/>
    <w:rsid w:val="006C76C3"/>
    <w:rsid w:val="006C76D5"/>
    <w:rsid w:val="006C7731"/>
    <w:rsid w:val="006C775C"/>
    <w:rsid w:val="006C7767"/>
    <w:rsid w:val="006C7775"/>
    <w:rsid w:val="006C77A8"/>
    <w:rsid w:val="006C77D2"/>
    <w:rsid w:val="006C77DC"/>
    <w:rsid w:val="006C781C"/>
    <w:rsid w:val="006C78AD"/>
    <w:rsid w:val="006C7954"/>
    <w:rsid w:val="006C795B"/>
    <w:rsid w:val="006C7996"/>
    <w:rsid w:val="006C79B1"/>
    <w:rsid w:val="006C79FF"/>
    <w:rsid w:val="006C7A04"/>
    <w:rsid w:val="006C7A16"/>
    <w:rsid w:val="006C7A53"/>
    <w:rsid w:val="006C7A54"/>
    <w:rsid w:val="006C7AA0"/>
    <w:rsid w:val="006C7AFD"/>
    <w:rsid w:val="006C7B9A"/>
    <w:rsid w:val="006C7BC8"/>
    <w:rsid w:val="006C7CFA"/>
    <w:rsid w:val="006C7D19"/>
    <w:rsid w:val="006C7D7D"/>
    <w:rsid w:val="006C7D99"/>
    <w:rsid w:val="006C7DD1"/>
    <w:rsid w:val="006C7DDE"/>
    <w:rsid w:val="006C7DEF"/>
    <w:rsid w:val="006C7E8D"/>
    <w:rsid w:val="006C7EEE"/>
    <w:rsid w:val="006C7F15"/>
    <w:rsid w:val="006C7F8C"/>
    <w:rsid w:val="006C7FF4"/>
    <w:rsid w:val="006D0081"/>
    <w:rsid w:val="006D009E"/>
    <w:rsid w:val="006D00C2"/>
    <w:rsid w:val="006D00EB"/>
    <w:rsid w:val="006D0167"/>
    <w:rsid w:val="006D016C"/>
    <w:rsid w:val="006D01E0"/>
    <w:rsid w:val="006D0220"/>
    <w:rsid w:val="006D0308"/>
    <w:rsid w:val="006D032B"/>
    <w:rsid w:val="006D0389"/>
    <w:rsid w:val="006D03B6"/>
    <w:rsid w:val="006D0454"/>
    <w:rsid w:val="006D0568"/>
    <w:rsid w:val="006D0585"/>
    <w:rsid w:val="006D05AF"/>
    <w:rsid w:val="006D0616"/>
    <w:rsid w:val="006D0657"/>
    <w:rsid w:val="006D066B"/>
    <w:rsid w:val="006D067E"/>
    <w:rsid w:val="006D06F1"/>
    <w:rsid w:val="006D073A"/>
    <w:rsid w:val="006D082F"/>
    <w:rsid w:val="006D0883"/>
    <w:rsid w:val="006D08B3"/>
    <w:rsid w:val="006D08C0"/>
    <w:rsid w:val="006D08C8"/>
    <w:rsid w:val="006D08F6"/>
    <w:rsid w:val="006D097F"/>
    <w:rsid w:val="006D09F3"/>
    <w:rsid w:val="006D0A4E"/>
    <w:rsid w:val="006D0A74"/>
    <w:rsid w:val="006D0A8C"/>
    <w:rsid w:val="006D0AA0"/>
    <w:rsid w:val="006D0AB5"/>
    <w:rsid w:val="006D0B11"/>
    <w:rsid w:val="006D0B28"/>
    <w:rsid w:val="006D0B6E"/>
    <w:rsid w:val="006D0BA6"/>
    <w:rsid w:val="006D0BD6"/>
    <w:rsid w:val="006D0C3E"/>
    <w:rsid w:val="006D0CAB"/>
    <w:rsid w:val="006D0CEE"/>
    <w:rsid w:val="006D0D8C"/>
    <w:rsid w:val="006D0DFC"/>
    <w:rsid w:val="006D0E9D"/>
    <w:rsid w:val="006D0F3F"/>
    <w:rsid w:val="006D0FC6"/>
    <w:rsid w:val="006D1006"/>
    <w:rsid w:val="006D105A"/>
    <w:rsid w:val="006D10A6"/>
    <w:rsid w:val="006D1167"/>
    <w:rsid w:val="006D119C"/>
    <w:rsid w:val="006D122C"/>
    <w:rsid w:val="006D1249"/>
    <w:rsid w:val="006D129C"/>
    <w:rsid w:val="006D12B2"/>
    <w:rsid w:val="006D12E3"/>
    <w:rsid w:val="006D12FD"/>
    <w:rsid w:val="006D13AD"/>
    <w:rsid w:val="006D13CA"/>
    <w:rsid w:val="006D13D9"/>
    <w:rsid w:val="006D13FB"/>
    <w:rsid w:val="006D1400"/>
    <w:rsid w:val="006D1460"/>
    <w:rsid w:val="006D14A9"/>
    <w:rsid w:val="006D1515"/>
    <w:rsid w:val="006D151D"/>
    <w:rsid w:val="006D156C"/>
    <w:rsid w:val="006D158B"/>
    <w:rsid w:val="006D15AD"/>
    <w:rsid w:val="006D1620"/>
    <w:rsid w:val="006D1731"/>
    <w:rsid w:val="006D17B4"/>
    <w:rsid w:val="006D17FF"/>
    <w:rsid w:val="006D181A"/>
    <w:rsid w:val="006D1826"/>
    <w:rsid w:val="006D1845"/>
    <w:rsid w:val="006D18F0"/>
    <w:rsid w:val="006D1977"/>
    <w:rsid w:val="006D19BE"/>
    <w:rsid w:val="006D19CC"/>
    <w:rsid w:val="006D1A36"/>
    <w:rsid w:val="006D1B5C"/>
    <w:rsid w:val="006D1C8A"/>
    <w:rsid w:val="006D1D58"/>
    <w:rsid w:val="006D1DC8"/>
    <w:rsid w:val="006D1DE3"/>
    <w:rsid w:val="006D1E07"/>
    <w:rsid w:val="006D1EE0"/>
    <w:rsid w:val="006D20E9"/>
    <w:rsid w:val="006D20F1"/>
    <w:rsid w:val="006D2121"/>
    <w:rsid w:val="006D217D"/>
    <w:rsid w:val="006D2217"/>
    <w:rsid w:val="006D2267"/>
    <w:rsid w:val="006D22F1"/>
    <w:rsid w:val="006D2339"/>
    <w:rsid w:val="006D236C"/>
    <w:rsid w:val="006D23C6"/>
    <w:rsid w:val="006D23D6"/>
    <w:rsid w:val="006D2432"/>
    <w:rsid w:val="006D243B"/>
    <w:rsid w:val="006D24DC"/>
    <w:rsid w:val="006D2627"/>
    <w:rsid w:val="006D26C8"/>
    <w:rsid w:val="006D26D4"/>
    <w:rsid w:val="006D2787"/>
    <w:rsid w:val="006D27B2"/>
    <w:rsid w:val="006D27F7"/>
    <w:rsid w:val="006D2842"/>
    <w:rsid w:val="006D289E"/>
    <w:rsid w:val="006D28B0"/>
    <w:rsid w:val="006D296B"/>
    <w:rsid w:val="006D2975"/>
    <w:rsid w:val="006D29A5"/>
    <w:rsid w:val="006D29EE"/>
    <w:rsid w:val="006D2A6B"/>
    <w:rsid w:val="006D2AB3"/>
    <w:rsid w:val="006D2AE7"/>
    <w:rsid w:val="006D2AE9"/>
    <w:rsid w:val="006D2AFD"/>
    <w:rsid w:val="006D2B48"/>
    <w:rsid w:val="006D2B5E"/>
    <w:rsid w:val="006D2B61"/>
    <w:rsid w:val="006D2BEE"/>
    <w:rsid w:val="006D2C46"/>
    <w:rsid w:val="006D2C4D"/>
    <w:rsid w:val="006D2CEA"/>
    <w:rsid w:val="006D2CEC"/>
    <w:rsid w:val="006D2D62"/>
    <w:rsid w:val="006D2DF6"/>
    <w:rsid w:val="006D2E40"/>
    <w:rsid w:val="006D2E8C"/>
    <w:rsid w:val="006D2EE8"/>
    <w:rsid w:val="006D2F63"/>
    <w:rsid w:val="006D2F68"/>
    <w:rsid w:val="006D2FDB"/>
    <w:rsid w:val="006D3002"/>
    <w:rsid w:val="006D302C"/>
    <w:rsid w:val="006D3083"/>
    <w:rsid w:val="006D30C3"/>
    <w:rsid w:val="006D310B"/>
    <w:rsid w:val="006D32F0"/>
    <w:rsid w:val="006D3351"/>
    <w:rsid w:val="006D3357"/>
    <w:rsid w:val="006D33BC"/>
    <w:rsid w:val="006D33BD"/>
    <w:rsid w:val="006D349E"/>
    <w:rsid w:val="006D34D3"/>
    <w:rsid w:val="006D352C"/>
    <w:rsid w:val="006D354C"/>
    <w:rsid w:val="006D356A"/>
    <w:rsid w:val="006D3587"/>
    <w:rsid w:val="006D360B"/>
    <w:rsid w:val="006D363D"/>
    <w:rsid w:val="006D365D"/>
    <w:rsid w:val="006D3689"/>
    <w:rsid w:val="006D36B3"/>
    <w:rsid w:val="006D37DE"/>
    <w:rsid w:val="006D3849"/>
    <w:rsid w:val="006D38AF"/>
    <w:rsid w:val="006D38FC"/>
    <w:rsid w:val="006D393A"/>
    <w:rsid w:val="006D3975"/>
    <w:rsid w:val="006D397D"/>
    <w:rsid w:val="006D3A20"/>
    <w:rsid w:val="006D3B24"/>
    <w:rsid w:val="006D3B69"/>
    <w:rsid w:val="006D3BEE"/>
    <w:rsid w:val="006D3BF7"/>
    <w:rsid w:val="006D3CC4"/>
    <w:rsid w:val="006D3D6A"/>
    <w:rsid w:val="006D3DA3"/>
    <w:rsid w:val="006D3E1E"/>
    <w:rsid w:val="006D3EB7"/>
    <w:rsid w:val="006D3F87"/>
    <w:rsid w:val="006D4033"/>
    <w:rsid w:val="006D4036"/>
    <w:rsid w:val="006D403A"/>
    <w:rsid w:val="006D404B"/>
    <w:rsid w:val="006D4061"/>
    <w:rsid w:val="006D40E9"/>
    <w:rsid w:val="006D40EC"/>
    <w:rsid w:val="006D40F1"/>
    <w:rsid w:val="006D414B"/>
    <w:rsid w:val="006D415F"/>
    <w:rsid w:val="006D423B"/>
    <w:rsid w:val="006D4327"/>
    <w:rsid w:val="006D4333"/>
    <w:rsid w:val="006D4352"/>
    <w:rsid w:val="006D443A"/>
    <w:rsid w:val="006D4467"/>
    <w:rsid w:val="006D4537"/>
    <w:rsid w:val="006D4538"/>
    <w:rsid w:val="006D458E"/>
    <w:rsid w:val="006D468B"/>
    <w:rsid w:val="006D46AC"/>
    <w:rsid w:val="006D46FF"/>
    <w:rsid w:val="006D4714"/>
    <w:rsid w:val="006D4790"/>
    <w:rsid w:val="006D4863"/>
    <w:rsid w:val="006D4883"/>
    <w:rsid w:val="006D48C9"/>
    <w:rsid w:val="006D4901"/>
    <w:rsid w:val="006D491D"/>
    <w:rsid w:val="006D49D1"/>
    <w:rsid w:val="006D49DA"/>
    <w:rsid w:val="006D49E0"/>
    <w:rsid w:val="006D4A56"/>
    <w:rsid w:val="006D4A73"/>
    <w:rsid w:val="006D4AF1"/>
    <w:rsid w:val="006D4B0C"/>
    <w:rsid w:val="006D4B15"/>
    <w:rsid w:val="006D4B20"/>
    <w:rsid w:val="006D4B36"/>
    <w:rsid w:val="006D4B5F"/>
    <w:rsid w:val="006D4B74"/>
    <w:rsid w:val="006D4BBA"/>
    <w:rsid w:val="006D4CFA"/>
    <w:rsid w:val="006D4D8F"/>
    <w:rsid w:val="006D4DE5"/>
    <w:rsid w:val="006D4EA3"/>
    <w:rsid w:val="006D4ED2"/>
    <w:rsid w:val="006D4F09"/>
    <w:rsid w:val="006D4F3D"/>
    <w:rsid w:val="006D4FE1"/>
    <w:rsid w:val="006D4FFF"/>
    <w:rsid w:val="006D5054"/>
    <w:rsid w:val="006D50EB"/>
    <w:rsid w:val="006D5119"/>
    <w:rsid w:val="006D5142"/>
    <w:rsid w:val="006D51D4"/>
    <w:rsid w:val="006D5208"/>
    <w:rsid w:val="006D5210"/>
    <w:rsid w:val="006D5214"/>
    <w:rsid w:val="006D5220"/>
    <w:rsid w:val="006D52A6"/>
    <w:rsid w:val="006D52A8"/>
    <w:rsid w:val="006D52B4"/>
    <w:rsid w:val="006D5351"/>
    <w:rsid w:val="006D5357"/>
    <w:rsid w:val="006D5369"/>
    <w:rsid w:val="006D537F"/>
    <w:rsid w:val="006D54E7"/>
    <w:rsid w:val="006D558A"/>
    <w:rsid w:val="006D55F6"/>
    <w:rsid w:val="006D56A3"/>
    <w:rsid w:val="006D56AE"/>
    <w:rsid w:val="006D56FB"/>
    <w:rsid w:val="006D571A"/>
    <w:rsid w:val="006D5755"/>
    <w:rsid w:val="006D578E"/>
    <w:rsid w:val="006D57FA"/>
    <w:rsid w:val="006D584F"/>
    <w:rsid w:val="006D5886"/>
    <w:rsid w:val="006D594F"/>
    <w:rsid w:val="006D597D"/>
    <w:rsid w:val="006D59F8"/>
    <w:rsid w:val="006D5A1B"/>
    <w:rsid w:val="006D5A5F"/>
    <w:rsid w:val="006D5A60"/>
    <w:rsid w:val="006D5AF4"/>
    <w:rsid w:val="006D5B39"/>
    <w:rsid w:val="006D5B47"/>
    <w:rsid w:val="006D5B49"/>
    <w:rsid w:val="006D5B62"/>
    <w:rsid w:val="006D5B96"/>
    <w:rsid w:val="006D5BA2"/>
    <w:rsid w:val="006D5C23"/>
    <w:rsid w:val="006D5CA8"/>
    <w:rsid w:val="006D5CD2"/>
    <w:rsid w:val="006D5D15"/>
    <w:rsid w:val="006D5D74"/>
    <w:rsid w:val="006D5E4A"/>
    <w:rsid w:val="006D5E71"/>
    <w:rsid w:val="006D5E7F"/>
    <w:rsid w:val="006D5E83"/>
    <w:rsid w:val="006D5F5D"/>
    <w:rsid w:val="006D5F7A"/>
    <w:rsid w:val="006D5F82"/>
    <w:rsid w:val="006D5FDE"/>
    <w:rsid w:val="006D6022"/>
    <w:rsid w:val="006D6077"/>
    <w:rsid w:val="006D6089"/>
    <w:rsid w:val="006D60D9"/>
    <w:rsid w:val="006D60E9"/>
    <w:rsid w:val="006D60F8"/>
    <w:rsid w:val="006D61AB"/>
    <w:rsid w:val="006D61C3"/>
    <w:rsid w:val="006D61E6"/>
    <w:rsid w:val="006D61E7"/>
    <w:rsid w:val="006D6241"/>
    <w:rsid w:val="006D6272"/>
    <w:rsid w:val="006D62D9"/>
    <w:rsid w:val="006D63A4"/>
    <w:rsid w:val="006D64C0"/>
    <w:rsid w:val="006D64ED"/>
    <w:rsid w:val="006D650B"/>
    <w:rsid w:val="006D6534"/>
    <w:rsid w:val="006D6542"/>
    <w:rsid w:val="006D6553"/>
    <w:rsid w:val="006D6595"/>
    <w:rsid w:val="006D6599"/>
    <w:rsid w:val="006D65B2"/>
    <w:rsid w:val="006D65C3"/>
    <w:rsid w:val="006D66B0"/>
    <w:rsid w:val="006D66D8"/>
    <w:rsid w:val="006D6747"/>
    <w:rsid w:val="006D67C3"/>
    <w:rsid w:val="006D67D2"/>
    <w:rsid w:val="006D67FA"/>
    <w:rsid w:val="006D680A"/>
    <w:rsid w:val="006D6892"/>
    <w:rsid w:val="006D68D8"/>
    <w:rsid w:val="006D68FB"/>
    <w:rsid w:val="006D6920"/>
    <w:rsid w:val="006D692F"/>
    <w:rsid w:val="006D69CA"/>
    <w:rsid w:val="006D6A96"/>
    <w:rsid w:val="006D6B96"/>
    <w:rsid w:val="006D6BC2"/>
    <w:rsid w:val="006D6C07"/>
    <w:rsid w:val="006D6C4D"/>
    <w:rsid w:val="006D6D1A"/>
    <w:rsid w:val="006D6D38"/>
    <w:rsid w:val="006D6DC7"/>
    <w:rsid w:val="006D6E0F"/>
    <w:rsid w:val="006D6E29"/>
    <w:rsid w:val="006D6E35"/>
    <w:rsid w:val="006D6EB4"/>
    <w:rsid w:val="006D6F0C"/>
    <w:rsid w:val="006D6FC1"/>
    <w:rsid w:val="006D7076"/>
    <w:rsid w:val="006D7098"/>
    <w:rsid w:val="006D7148"/>
    <w:rsid w:val="006D7164"/>
    <w:rsid w:val="006D718A"/>
    <w:rsid w:val="006D7283"/>
    <w:rsid w:val="006D72D5"/>
    <w:rsid w:val="006D73A8"/>
    <w:rsid w:val="006D73EC"/>
    <w:rsid w:val="006D7415"/>
    <w:rsid w:val="006D7421"/>
    <w:rsid w:val="006D74C5"/>
    <w:rsid w:val="006D7548"/>
    <w:rsid w:val="006D764B"/>
    <w:rsid w:val="006D764E"/>
    <w:rsid w:val="006D76A4"/>
    <w:rsid w:val="006D76DB"/>
    <w:rsid w:val="006D7752"/>
    <w:rsid w:val="006D77B1"/>
    <w:rsid w:val="006D77F6"/>
    <w:rsid w:val="006D78A9"/>
    <w:rsid w:val="006D78F0"/>
    <w:rsid w:val="006D7914"/>
    <w:rsid w:val="006D7916"/>
    <w:rsid w:val="006D792E"/>
    <w:rsid w:val="006D794D"/>
    <w:rsid w:val="006D7AD0"/>
    <w:rsid w:val="006D7AEF"/>
    <w:rsid w:val="006D7AF9"/>
    <w:rsid w:val="006D7BA9"/>
    <w:rsid w:val="006D7BD0"/>
    <w:rsid w:val="006D7C4C"/>
    <w:rsid w:val="006D7D30"/>
    <w:rsid w:val="006D7D82"/>
    <w:rsid w:val="006D7D8D"/>
    <w:rsid w:val="006D7DA1"/>
    <w:rsid w:val="006D7DF9"/>
    <w:rsid w:val="006D7E34"/>
    <w:rsid w:val="006D7E67"/>
    <w:rsid w:val="006D7E6B"/>
    <w:rsid w:val="006D7E75"/>
    <w:rsid w:val="006D7F26"/>
    <w:rsid w:val="006D7F3C"/>
    <w:rsid w:val="006D7F77"/>
    <w:rsid w:val="006D7FC9"/>
    <w:rsid w:val="006E0009"/>
    <w:rsid w:val="006E007C"/>
    <w:rsid w:val="006E00A6"/>
    <w:rsid w:val="006E00C0"/>
    <w:rsid w:val="006E00C3"/>
    <w:rsid w:val="006E0240"/>
    <w:rsid w:val="006E0267"/>
    <w:rsid w:val="006E0325"/>
    <w:rsid w:val="006E0392"/>
    <w:rsid w:val="006E03B8"/>
    <w:rsid w:val="006E03C6"/>
    <w:rsid w:val="006E03DA"/>
    <w:rsid w:val="006E042F"/>
    <w:rsid w:val="006E043F"/>
    <w:rsid w:val="006E0443"/>
    <w:rsid w:val="006E046D"/>
    <w:rsid w:val="006E0526"/>
    <w:rsid w:val="006E057C"/>
    <w:rsid w:val="006E0600"/>
    <w:rsid w:val="006E0601"/>
    <w:rsid w:val="006E0607"/>
    <w:rsid w:val="006E0639"/>
    <w:rsid w:val="006E06A8"/>
    <w:rsid w:val="006E06B1"/>
    <w:rsid w:val="006E070F"/>
    <w:rsid w:val="006E073E"/>
    <w:rsid w:val="006E077D"/>
    <w:rsid w:val="006E081A"/>
    <w:rsid w:val="006E082D"/>
    <w:rsid w:val="006E08CA"/>
    <w:rsid w:val="006E0922"/>
    <w:rsid w:val="006E0947"/>
    <w:rsid w:val="006E0955"/>
    <w:rsid w:val="006E0A1D"/>
    <w:rsid w:val="006E0A3D"/>
    <w:rsid w:val="006E0A81"/>
    <w:rsid w:val="006E0AA1"/>
    <w:rsid w:val="006E0AEA"/>
    <w:rsid w:val="006E0AF9"/>
    <w:rsid w:val="006E0B02"/>
    <w:rsid w:val="006E0B2B"/>
    <w:rsid w:val="006E0B42"/>
    <w:rsid w:val="006E0B8B"/>
    <w:rsid w:val="006E0BB7"/>
    <w:rsid w:val="006E0C59"/>
    <w:rsid w:val="006E0C92"/>
    <w:rsid w:val="006E0CB2"/>
    <w:rsid w:val="006E0CB7"/>
    <w:rsid w:val="006E0D08"/>
    <w:rsid w:val="006E0D1A"/>
    <w:rsid w:val="006E0D6B"/>
    <w:rsid w:val="006E0D91"/>
    <w:rsid w:val="006E0DE9"/>
    <w:rsid w:val="006E0DFD"/>
    <w:rsid w:val="006E0E1B"/>
    <w:rsid w:val="006E0E54"/>
    <w:rsid w:val="006E0E64"/>
    <w:rsid w:val="006E0EEB"/>
    <w:rsid w:val="006E0F7A"/>
    <w:rsid w:val="006E0FA5"/>
    <w:rsid w:val="006E0FE7"/>
    <w:rsid w:val="006E1017"/>
    <w:rsid w:val="006E104B"/>
    <w:rsid w:val="006E10FE"/>
    <w:rsid w:val="006E1153"/>
    <w:rsid w:val="006E1155"/>
    <w:rsid w:val="006E1271"/>
    <w:rsid w:val="006E1288"/>
    <w:rsid w:val="006E131B"/>
    <w:rsid w:val="006E1385"/>
    <w:rsid w:val="006E13B0"/>
    <w:rsid w:val="006E13CF"/>
    <w:rsid w:val="006E13DA"/>
    <w:rsid w:val="006E1450"/>
    <w:rsid w:val="006E151A"/>
    <w:rsid w:val="006E1536"/>
    <w:rsid w:val="006E158D"/>
    <w:rsid w:val="006E15D2"/>
    <w:rsid w:val="006E15D6"/>
    <w:rsid w:val="006E15D9"/>
    <w:rsid w:val="006E15F9"/>
    <w:rsid w:val="006E1635"/>
    <w:rsid w:val="006E1674"/>
    <w:rsid w:val="006E168C"/>
    <w:rsid w:val="006E16E7"/>
    <w:rsid w:val="006E1712"/>
    <w:rsid w:val="006E1727"/>
    <w:rsid w:val="006E17BA"/>
    <w:rsid w:val="006E17BD"/>
    <w:rsid w:val="006E1806"/>
    <w:rsid w:val="006E1808"/>
    <w:rsid w:val="006E1846"/>
    <w:rsid w:val="006E1853"/>
    <w:rsid w:val="006E18C4"/>
    <w:rsid w:val="006E18F8"/>
    <w:rsid w:val="006E18FA"/>
    <w:rsid w:val="006E1900"/>
    <w:rsid w:val="006E190F"/>
    <w:rsid w:val="006E1916"/>
    <w:rsid w:val="006E191E"/>
    <w:rsid w:val="006E1945"/>
    <w:rsid w:val="006E1982"/>
    <w:rsid w:val="006E19FE"/>
    <w:rsid w:val="006E1BAC"/>
    <w:rsid w:val="006E1C9B"/>
    <w:rsid w:val="006E1D36"/>
    <w:rsid w:val="006E1D3A"/>
    <w:rsid w:val="006E1DCE"/>
    <w:rsid w:val="006E1DD2"/>
    <w:rsid w:val="006E1E22"/>
    <w:rsid w:val="006E1E44"/>
    <w:rsid w:val="006E1E5E"/>
    <w:rsid w:val="006E1ED6"/>
    <w:rsid w:val="006E1F2A"/>
    <w:rsid w:val="006E1FE4"/>
    <w:rsid w:val="006E2003"/>
    <w:rsid w:val="006E200B"/>
    <w:rsid w:val="006E20D0"/>
    <w:rsid w:val="006E20F3"/>
    <w:rsid w:val="006E2129"/>
    <w:rsid w:val="006E215B"/>
    <w:rsid w:val="006E2177"/>
    <w:rsid w:val="006E21A7"/>
    <w:rsid w:val="006E21AA"/>
    <w:rsid w:val="006E21BE"/>
    <w:rsid w:val="006E21C3"/>
    <w:rsid w:val="006E2297"/>
    <w:rsid w:val="006E229D"/>
    <w:rsid w:val="006E232A"/>
    <w:rsid w:val="006E2348"/>
    <w:rsid w:val="006E2381"/>
    <w:rsid w:val="006E2389"/>
    <w:rsid w:val="006E23B0"/>
    <w:rsid w:val="006E23EE"/>
    <w:rsid w:val="006E2432"/>
    <w:rsid w:val="006E24AB"/>
    <w:rsid w:val="006E24FE"/>
    <w:rsid w:val="006E24FF"/>
    <w:rsid w:val="006E2529"/>
    <w:rsid w:val="006E25BA"/>
    <w:rsid w:val="006E25BD"/>
    <w:rsid w:val="006E2624"/>
    <w:rsid w:val="006E263D"/>
    <w:rsid w:val="006E269E"/>
    <w:rsid w:val="006E272F"/>
    <w:rsid w:val="006E2766"/>
    <w:rsid w:val="006E2878"/>
    <w:rsid w:val="006E288A"/>
    <w:rsid w:val="006E28E3"/>
    <w:rsid w:val="006E2943"/>
    <w:rsid w:val="006E29A1"/>
    <w:rsid w:val="006E29AD"/>
    <w:rsid w:val="006E29CA"/>
    <w:rsid w:val="006E29F7"/>
    <w:rsid w:val="006E2A16"/>
    <w:rsid w:val="006E2A3D"/>
    <w:rsid w:val="006E2B19"/>
    <w:rsid w:val="006E2BA6"/>
    <w:rsid w:val="006E2BBC"/>
    <w:rsid w:val="006E2C0B"/>
    <w:rsid w:val="006E2C51"/>
    <w:rsid w:val="006E2CC0"/>
    <w:rsid w:val="006E2D5C"/>
    <w:rsid w:val="006E2E09"/>
    <w:rsid w:val="006E2E17"/>
    <w:rsid w:val="006E2E1C"/>
    <w:rsid w:val="006E2E96"/>
    <w:rsid w:val="006E2EEE"/>
    <w:rsid w:val="006E2F4C"/>
    <w:rsid w:val="006E3025"/>
    <w:rsid w:val="006E304B"/>
    <w:rsid w:val="006E305A"/>
    <w:rsid w:val="006E3079"/>
    <w:rsid w:val="006E30F2"/>
    <w:rsid w:val="006E312B"/>
    <w:rsid w:val="006E3245"/>
    <w:rsid w:val="006E3282"/>
    <w:rsid w:val="006E329F"/>
    <w:rsid w:val="006E32F6"/>
    <w:rsid w:val="006E3363"/>
    <w:rsid w:val="006E3468"/>
    <w:rsid w:val="006E34B7"/>
    <w:rsid w:val="006E34EC"/>
    <w:rsid w:val="006E355C"/>
    <w:rsid w:val="006E35D5"/>
    <w:rsid w:val="006E3675"/>
    <w:rsid w:val="006E3678"/>
    <w:rsid w:val="006E36EB"/>
    <w:rsid w:val="006E36EF"/>
    <w:rsid w:val="006E3726"/>
    <w:rsid w:val="006E37B1"/>
    <w:rsid w:val="006E381E"/>
    <w:rsid w:val="006E3852"/>
    <w:rsid w:val="006E3912"/>
    <w:rsid w:val="006E394F"/>
    <w:rsid w:val="006E3976"/>
    <w:rsid w:val="006E39A6"/>
    <w:rsid w:val="006E3A3D"/>
    <w:rsid w:val="006E3AB3"/>
    <w:rsid w:val="006E3AC4"/>
    <w:rsid w:val="006E3BBA"/>
    <w:rsid w:val="006E3BDA"/>
    <w:rsid w:val="006E3C7F"/>
    <w:rsid w:val="006E3D51"/>
    <w:rsid w:val="006E3E14"/>
    <w:rsid w:val="006E3E19"/>
    <w:rsid w:val="006E3E1D"/>
    <w:rsid w:val="006E3E55"/>
    <w:rsid w:val="006E3E67"/>
    <w:rsid w:val="006E3E73"/>
    <w:rsid w:val="006E3E9E"/>
    <w:rsid w:val="006E3F73"/>
    <w:rsid w:val="006E3FBA"/>
    <w:rsid w:val="006E4016"/>
    <w:rsid w:val="006E40A7"/>
    <w:rsid w:val="006E414D"/>
    <w:rsid w:val="006E4161"/>
    <w:rsid w:val="006E41A8"/>
    <w:rsid w:val="006E41BB"/>
    <w:rsid w:val="006E41E4"/>
    <w:rsid w:val="006E420C"/>
    <w:rsid w:val="006E421B"/>
    <w:rsid w:val="006E425B"/>
    <w:rsid w:val="006E427F"/>
    <w:rsid w:val="006E42D2"/>
    <w:rsid w:val="006E42E1"/>
    <w:rsid w:val="006E4301"/>
    <w:rsid w:val="006E430D"/>
    <w:rsid w:val="006E433E"/>
    <w:rsid w:val="006E4347"/>
    <w:rsid w:val="006E4348"/>
    <w:rsid w:val="006E438F"/>
    <w:rsid w:val="006E4397"/>
    <w:rsid w:val="006E4455"/>
    <w:rsid w:val="006E44EA"/>
    <w:rsid w:val="006E4539"/>
    <w:rsid w:val="006E4547"/>
    <w:rsid w:val="006E45EF"/>
    <w:rsid w:val="006E461B"/>
    <w:rsid w:val="006E461D"/>
    <w:rsid w:val="006E46E1"/>
    <w:rsid w:val="006E46FA"/>
    <w:rsid w:val="006E4755"/>
    <w:rsid w:val="006E47EB"/>
    <w:rsid w:val="006E4828"/>
    <w:rsid w:val="006E48E6"/>
    <w:rsid w:val="006E4935"/>
    <w:rsid w:val="006E4973"/>
    <w:rsid w:val="006E49A4"/>
    <w:rsid w:val="006E49E9"/>
    <w:rsid w:val="006E4A07"/>
    <w:rsid w:val="006E4ADD"/>
    <w:rsid w:val="006E4B08"/>
    <w:rsid w:val="006E4B4C"/>
    <w:rsid w:val="006E4B64"/>
    <w:rsid w:val="006E4BAE"/>
    <w:rsid w:val="006E4C01"/>
    <w:rsid w:val="006E4C48"/>
    <w:rsid w:val="006E4C53"/>
    <w:rsid w:val="006E4C5D"/>
    <w:rsid w:val="006E4CFE"/>
    <w:rsid w:val="006E4D34"/>
    <w:rsid w:val="006E4D81"/>
    <w:rsid w:val="006E4E64"/>
    <w:rsid w:val="006E4EDB"/>
    <w:rsid w:val="006E4EDD"/>
    <w:rsid w:val="006E4EFC"/>
    <w:rsid w:val="006E4F05"/>
    <w:rsid w:val="006E4F77"/>
    <w:rsid w:val="006E4F87"/>
    <w:rsid w:val="006E4F90"/>
    <w:rsid w:val="006E4FD1"/>
    <w:rsid w:val="006E5006"/>
    <w:rsid w:val="006E506D"/>
    <w:rsid w:val="006E5070"/>
    <w:rsid w:val="006E50DC"/>
    <w:rsid w:val="006E510F"/>
    <w:rsid w:val="006E5196"/>
    <w:rsid w:val="006E5289"/>
    <w:rsid w:val="006E52BF"/>
    <w:rsid w:val="006E52C8"/>
    <w:rsid w:val="006E52D6"/>
    <w:rsid w:val="006E53A6"/>
    <w:rsid w:val="006E53D3"/>
    <w:rsid w:val="006E541A"/>
    <w:rsid w:val="006E5423"/>
    <w:rsid w:val="006E5465"/>
    <w:rsid w:val="006E546B"/>
    <w:rsid w:val="006E54F1"/>
    <w:rsid w:val="006E555B"/>
    <w:rsid w:val="006E556B"/>
    <w:rsid w:val="006E557B"/>
    <w:rsid w:val="006E559D"/>
    <w:rsid w:val="006E560B"/>
    <w:rsid w:val="006E56C5"/>
    <w:rsid w:val="006E56CC"/>
    <w:rsid w:val="006E56D3"/>
    <w:rsid w:val="006E56F8"/>
    <w:rsid w:val="006E57DC"/>
    <w:rsid w:val="006E5824"/>
    <w:rsid w:val="006E58C8"/>
    <w:rsid w:val="006E58CF"/>
    <w:rsid w:val="006E58F4"/>
    <w:rsid w:val="006E58FA"/>
    <w:rsid w:val="006E598C"/>
    <w:rsid w:val="006E59A4"/>
    <w:rsid w:val="006E5B27"/>
    <w:rsid w:val="006E5B4E"/>
    <w:rsid w:val="006E5B52"/>
    <w:rsid w:val="006E5B76"/>
    <w:rsid w:val="006E5BA5"/>
    <w:rsid w:val="006E5BB7"/>
    <w:rsid w:val="006E5BCC"/>
    <w:rsid w:val="006E5C46"/>
    <w:rsid w:val="006E5C63"/>
    <w:rsid w:val="006E5C6F"/>
    <w:rsid w:val="006E5CD5"/>
    <w:rsid w:val="006E5CE6"/>
    <w:rsid w:val="006E5D2E"/>
    <w:rsid w:val="006E5D36"/>
    <w:rsid w:val="006E5D79"/>
    <w:rsid w:val="006E5E02"/>
    <w:rsid w:val="006E5E06"/>
    <w:rsid w:val="006E5E2F"/>
    <w:rsid w:val="006E5E6E"/>
    <w:rsid w:val="006E5E8D"/>
    <w:rsid w:val="006E5EB6"/>
    <w:rsid w:val="006E5EDE"/>
    <w:rsid w:val="006E5F6E"/>
    <w:rsid w:val="006E6035"/>
    <w:rsid w:val="006E605B"/>
    <w:rsid w:val="006E609F"/>
    <w:rsid w:val="006E6133"/>
    <w:rsid w:val="006E61AA"/>
    <w:rsid w:val="006E61B9"/>
    <w:rsid w:val="006E61E4"/>
    <w:rsid w:val="006E62DA"/>
    <w:rsid w:val="006E62E1"/>
    <w:rsid w:val="006E63C9"/>
    <w:rsid w:val="006E63F0"/>
    <w:rsid w:val="006E63FF"/>
    <w:rsid w:val="006E6411"/>
    <w:rsid w:val="006E6458"/>
    <w:rsid w:val="006E6501"/>
    <w:rsid w:val="006E6509"/>
    <w:rsid w:val="006E6528"/>
    <w:rsid w:val="006E6576"/>
    <w:rsid w:val="006E6586"/>
    <w:rsid w:val="006E65AA"/>
    <w:rsid w:val="006E664F"/>
    <w:rsid w:val="006E66E8"/>
    <w:rsid w:val="006E6729"/>
    <w:rsid w:val="006E6731"/>
    <w:rsid w:val="006E6746"/>
    <w:rsid w:val="006E6777"/>
    <w:rsid w:val="006E67BF"/>
    <w:rsid w:val="006E68E2"/>
    <w:rsid w:val="006E69B2"/>
    <w:rsid w:val="006E69FB"/>
    <w:rsid w:val="006E6A21"/>
    <w:rsid w:val="006E6A80"/>
    <w:rsid w:val="006E6A94"/>
    <w:rsid w:val="006E6A97"/>
    <w:rsid w:val="006E6AED"/>
    <w:rsid w:val="006E6B8E"/>
    <w:rsid w:val="006E6BF6"/>
    <w:rsid w:val="006E6C0C"/>
    <w:rsid w:val="006E6C14"/>
    <w:rsid w:val="006E6CD4"/>
    <w:rsid w:val="006E6D5F"/>
    <w:rsid w:val="006E6D76"/>
    <w:rsid w:val="006E6E00"/>
    <w:rsid w:val="006E6E81"/>
    <w:rsid w:val="006E6EBA"/>
    <w:rsid w:val="006E6EF2"/>
    <w:rsid w:val="006E6F39"/>
    <w:rsid w:val="006E6F6D"/>
    <w:rsid w:val="006E6F8D"/>
    <w:rsid w:val="006E6FA1"/>
    <w:rsid w:val="006E6FD8"/>
    <w:rsid w:val="006E7043"/>
    <w:rsid w:val="006E7046"/>
    <w:rsid w:val="006E7070"/>
    <w:rsid w:val="006E7088"/>
    <w:rsid w:val="006E713A"/>
    <w:rsid w:val="006E7147"/>
    <w:rsid w:val="006E7153"/>
    <w:rsid w:val="006E7160"/>
    <w:rsid w:val="006E71BA"/>
    <w:rsid w:val="006E7207"/>
    <w:rsid w:val="006E7228"/>
    <w:rsid w:val="006E7281"/>
    <w:rsid w:val="006E728E"/>
    <w:rsid w:val="006E7317"/>
    <w:rsid w:val="006E734B"/>
    <w:rsid w:val="006E7359"/>
    <w:rsid w:val="006E735D"/>
    <w:rsid w:val="006E739C"/>
    <w:rsid w:val="006E7435"/>
    <w:rsid w:val="006E759E"/>
    <w:rsid w:val="006E7687"/>
    <w:rsid w:val="006E76EF"/>
    <w:rsid w:val="006E777F"/>
    <w:rsid w:val="006E7783"/>
    <w:rsid w:val="006E789C"/>
    <w:rsid w:val="006E78EE"/>
    <w:rsid w:val="006E7982"/>
    <w:rsid w:val="006E79A2"/>
    <w:rsid w:val="006E79B3"/>
    <w:rsid w:val="006E7A6B"/>
    <w:rsid w:val="006E7AA9"/>
    <w:rsid w:val="006E7AC6"/>
    <w:rsid w:val="006E7AC8"/>
    <w:rsid w:val="006E7AE7"/>
    <w:rsid w:val="006E7AEA"/>
    <w:rsid w:val="006E7AFB"/>
    <w:rsid w:val="006E7AFD"/>
    <w:rsid w:val="006E7B03"/>
    <w:rsid w:val="006E7B15"/>
    <w:rsid w:val="006E7B78"/>
    <w:rsid w:val="006E7C0E"/>
    <w:rsid w:val="006E7C76"/>
    <w:rsid w:val="006E7CBB"/>
    <w:rsid w:val="006E7D10"/>
    <w:rsid w:val="006E7D18"/>
    <w:rsid w:val="006E7D20"/>
    <w:rsid w:val="006E7D49"/>
    <w:rsid w:val="006E7DE2"/>
    <w:rsid w:val="006E7DE6"/>
    <w:rsid w:val="006E7EAA"/>
    <w:rsid w:val="006E7ECE"/>
    <w:rsid w:val="006E7ED2"/>
    <w:rsid w:val="006F0000"/>
    <w:rsid w:val="006F006F"/>
    <w:rsid w:val="006F0085"/>
    <w:rsid w:val="006F0087"/>
    <w:rsid w:val="006F0139"/>
    <w:rsid w:val="006F017C"/>
    <w:rsid w:val="006F019D"/>
    <w:rsid w:val="006F02E0"/>
    <w:rsid w:val="006F02EF"/>
    <w:rsid w:val="006F0332"/>
    <w:rsid w:val="006F033C"/>
    <w:rsid w:val="006F037B"/>
    <w:rsid w:val="006F0388"/>
    <w:rsid w:val="006F0391"/>
    <w:rsid w:val="006F0417"/>
    <w:rsid w:val="006F043F"/>
    <w:rsid w:val="006F0451"/>
    <w:rsid w:val="006F04F5"/>
    <w:rsid w:val="006F0591"/>
    <w:rsid w:val="006F05CB"/>
    <w:rsid w:val="006F05ED"/>
    <w:rsid w:val="006F0603"/>
    <w:rsid w:val="006F0648"/>
    <w:rsid w:val="006F06C9"/>
    <w:rsid w:val="006F0715"/>
    <w:rsid w:val="006F0736"/>
    <w:rsid w:val="006F073F"/>
    <w:rsid w:val="006F075D"/>
    <w:rsid w:val="006F076C"/>
    <w:rsid w:val="006F07D8"/>
    <w:rsid w:val="006F0822"/>
    <w:rsid w:val="006F08D5"/>
    <w:rsid w:val="006F0942"/>
    <w:rsid w:val="006F0998"/>
    <w:rsid w:val="006F09A6"/>
    <w:rsid w:val="006F09FF"/>
    <w:rsid w:val="006F0A1C"/>
    <w:rsid w:val="006F0A1F"/>
    <w:rsid w:val="006F0A31"/>
    <w:rsid w:val="006F0A5D"/>
    <w:rsid w:val="006F0AD2"/>
    <w:rsid w:val="006F0AEF"/>
    <w:rsid w:val="006F0B18"/>
    <w:rsid w:val="006F0C12"/>
    <w:rsid w:val="006F0C3A"/>
    <w:rsid w:val="006F0C49"/>
    <w:rsid w:val="006F0CE7"/>
    <w:rsid w:val="006F0D2D"/>
    <w:rsid w:val="006F0DA8"/>
    <w:rsid w:val="006F0DAA"/>
    <w:rsid w:val="006F0DCA"/>
    <w:rsid w:val="006F0E7F"/>
    <w:rsid w:val="006F0EB1"/>
    <w:rsid w:val="006F0EDD"/>
    <w:rsid w:val="006F0F69"/>
    <w:rsid w:val="006F0F9C"/>
    <w:rsid w:val="006F1027"/>
    <w:rsid w:val="006F107E"/>
    <w:rsid w:val="006F1097"/>
    <w:rsid w:val="006F10C7"/>
    <w:rsid w:val="006F114F"/>
    <w:rsid w:val="006F11E8"/>
    <w:rsid w:val="006F1211"/>
    <w:rsid w:val="006F122B"/>
    <w:rsid w:val="006F124C"/>
    <w:rsid w:val="006F1268"/>
    <w:rsid w:val="006F1294"/>
    <w:rsid w:val="006F12A7"/>
    <w:rsid w:val="006F12B4"/>
    <w:rsid w:val="006F13C5"/>
    <w:rsid w:val="006F13FB"/>
    <w:rsid w:val="006F1423"/>
    <w:rsid w:val="006F145C"/>
    <w:rsid w:val="006F1530"/>
    <w:rsid w:val="006F1586"/>
    <w:rsid w:val="006F159C"/>
    <w:rsid w:val="006F1615"/>
    <w:rsid w:val="006F16AC"/>
    <w:rsid w:val="006F16B4"/>
    <w:rsid w:val="006F174C"/>
    <w:rsid w:val="006F1770"/>
    <w:rsid w:val="006F179B"/>
    <w:rsid w:val="006F17C0"/>
    <w:rsid w:val="006F17C5"/>
    <w:rsid w:val="006F17DE"/>
    <w:rsid w:val="006F17E5"/>
    <w:rsid w:val="006F184F"/>
    <w:rsid w:val="006F18B6"/>
    <w:rsid w:val="006F18DD"/>
    <w:rsid w:val="006F18E8"/>
    <w:rsid w:val="006F18EE"/>
    <w:rsid w:val="006F193A"/>
    <w:rsid w:val="006F194C"/>
    <w:rsid w:val="006F199F"/>
    <w:rsid w:val="006F19AF"/>
    <w:rsid w:val="006F19F8"/>
    <w:rsid w:val="006F1A33"/>
    <w:rsid w:val="006F1A70"/>
    <w:rsid w:val="006F1A83"/>
    <w:rsid w:val="006F1B3F"/>
    <w:rsid w:val="006F1B77"/>
    <w:rsid w:val="006F1B93"/>
    <w:rsid w:val="006F1C70"/>
    <w:rsid w:val="006F1C92"/>
    <w:rsid w:val="006F1CA7"/>
    <w:rsid w:val="006F1CCB"/>
    <w:rsid w:val="006F1CD7"/>
    <w:rsid w:val="006F1CF1"/>
    <w:rsid w:val="006F1D2D"/>
    <w:rsid w:val="006F1D46"/>
    <w:rsid w:val="006F1D7A"/>
    <w:rsid w:val="006F1DA6"/>
    <w:rsid w:val="006F1E0E"/>
    <w:rsid w:val="006F1ECB"/>
    <w:rsid w:val="006F1EE3"/>
    <w:rsid w:val="006F1F36"/>
    <w:rsid w:val="006F1F7E"/>
    <w:rsid w:val="006F1FFB"/>
    <w:rsid w:val="006F2026"/>
    <w:rsid w:val="006F2073"/>
    <w:rsid w:val="006F20FE"/>
    <w:rsid w:val="006F214D"/>
    <w:rsid w:val="006F21AB"/>
    <w:rsid w:val="006F21F9"/>
    <w:rsid w:val="006F2237"/>
    <w:rsid w:val="006F2245"/>
    <w:rsid w:val="006F2289"/>
    <w:rsid w:val="006F229F"/>
    <w:rsid w:val="006F22A7"/>
    <w:rsid w:val="006F2344"/>
    <w:rsid w:val="006F2351"/>
    <w:rsid w:val="006F2392"/>
    <w:rsid w:val="006F2409"/>
    <w:rsid w:val="006F2497"/>
    <w:rsid w:val="006F2557"/>
    <w:rsid w:val="006F258F"/>
    <w:rsid w:val="006F25D1"/>
    <w:rsid w:val="006F2626"/>
    <w:rsid w:val="006F264A"/>
    <w:rsid w:val="006F26BD"/>
    <w:rsid w:val="006F272D"/>
    <w:rsid w:val="006F2753"/>
    <w:rsid w:val="006F279F"/>
    <w:rsid w:val="006F2855"/>
    <w:rsid w:val="006F2878"/>
    <w:rsid w:val="006F2891"/>
    <w:rsid w:val="006F28FB"/>
    <w:rsid w:val="006F2924"/>
    <w:rsid w:val="006F2972"/>
    <w:rsid w:val="006F29A3"/>
    <w:rsid w:val="006F29CE"/>
    <w:rsid w:val="006F2A0F"/>
    <w:rsid w:val="006F2A75"/>
    <w:rsid w:val="006F2ABF"/>
    <w:rsid w:val="006F2B59"/>
    <w:rsid w:val="006F2C19"/>
    <w:rsid w:val="006F2C28"/>
    <w:rsid w:val="006F2C32"/>
    <w:rsid w:val="006F2C43"/>
    <w:rsid w:val="006F2C7C"/>
    <w:rsid w:val="006F2C8A"/>
    <w:rsid w:val="006F2CF2"/>
    <w:rsid w:val="006F2D0B"/>
    <w:rsid w:val="006F2D8D"/>
    <w:rsid w:val="006F2E53"/>
    <w:rsid w:val="006F2E73"/>
    <w:rsid w:val="006F2EA0"/>
    <w:rsid w:val="006F2EC1"/>
    <w:rsid w:val="006F2EE7"/>
    <w:rsid w:val="006F2F33"/>
    <w:rsid w:val="006F2F45"/>
    <w:rsid w:val="006F2F51"/>
    <w:rsid w:val="006F304C"/>
    <w:rsid w:val="006F30AF"/>
    <w:rsid w:val="006F30B2"/>
    <w:rsid w:val="006F31A2"/>
    <w:rsid w:val="006F31FA"/>
    <w:rsid w:val="006F3245"/>
    <w:rsid w:val="006F3458"/>
    <w:rsid w:val="006F3463"/>
    <w:rsid w:val="006F3469"/>
    <w:rsid w:val="006F347C"/>
    <w:rsid w:val="006F34CA"/>
    <w:rsid w:val="006F34D3"/>
    <w:rsid w:val="006F355A"/>
    <w:rsid w:val="006F3652"/>
    <w:rsid w:val="006F36E2"/>
    <w:rsid w:val="006F36F9"/>
    <w:rsid w:val="006F36FE"/>
    <w:rsid w:val="006F3779"/>
    <w:rsid w:val="006F3782"/>
    <w:rsid w:val="006F3798"/>
    <w:rsid w:val="006F37CB"/>
    <w:rsid w:val="006F37D7"/>
    <w:rsid w:val="006F380A"/>
    <w:rsid w:val="006F383B"/>
    <w:rsid w:val="006F3870"/>
    <w:rsid w:val="006F38B3"/>
    <w:rsid w:val="006F3901"/>
    <w:rsid w:val="006F3A82"/>
    <w:rsid w:val="006F3AA3"/>
    <w:rsid w:val="006F3ABD"/>
    <w:rsid w:val="006F3BF8"/>
    <w:rsid w:val="006F3C55"/>
    <w:rsid w:val="006F3C5E"/>
    <w:rsid w:val="006F3CDA"/>
    <w:rsid w:val="006F3D96"/>
    <w:rsid w:val="006F3DF8"/>
    <w:rsid w:val="006F3E72"/>
    <w:rsid w:val="006F3F44"/>
    <w:rsid w:val="006F3F49"/>
    <w:rsid w:val="006F3F70"/>
    <w:rsid w:val="006F3F85"/>
    <w:rsid w:val="006F3FDC"/>
    <w:rsid w:val="006F4067"/>
    <w:rsid w:val="006F415A"/>
    <w:rsid w:val="006F4171"/>
    <w:rsid w:val="006F4269"/>
    <w:rsid w:val="006F42BB"/>
    <w:rsid w:val="006F43D4"/>
    <w:rsid w:val="006F43D9"/>
    <w:rsid w:val="006F4563"/>
    <w:rsid w:val="006F45AA"/>
    <w:rsid w:val="006F4616"/>
    <w:rsid w:val="006F4650"/>
    <w:rsid w:val="006F4697"/>
    <w:rsid w:val="006F46DD"/>
    <w:rsid w:val="006F479C"/>
    <w:rsid w:val="006F4806"/>
    <w:rsid w:val="006F48F6"/>
    <w:rsid w:val="006F491D"/>
    <w:rsid w:val="006F492B"/>
    <w:rsid w:val="006F497F"/>
    <w:rsid w:val="006F4A54"/>
    <w:rsid w:val="006F4AB0"/>
    <w:rsid w:val="006F4ABC"/>
    <w:rsid w:val="006F4ADB"/>
    <w:rsid w:val="006F4B47"/>
    <w:rsid w:val="006F4C6D"/>
    <w:rsid w:val="006F4CE6"/>
    <w:rsid w:val="006F4D30"/>
    <w:rsid w:val="006F4D65"/>
    <w:rsid w:val="006F4DD9"/>
    <w:rsid w:val="006F4E49"/>
    <w:rsid w:val="006F4E71"/>
    <w:rsid w:val="006F4E9C"/>
    <w:rsid w:val="006F4F8F"/>
    <w:rsid w:val="006F4F9A"/>
    <w:rsid w:val="006F4F9C"/>
    <w:rsid w:val="006F5052"/>
    <w:rsid w:val="006F50D2"/>
    <w:rsid w:val="006F511F"/>
    <w:rsid w:val="006F5167"/>
    <w:rsid w:val="006F524A"/>
    <w:rsid w:val="006F5259"/>
    <w:rsid w:val="006F5296"/>
    <w:rsid w:val="006F52C5"/>
    <w:rsid w:val="006F52CD"/>
    <w:rsid w:val="006F5319"/>
    <w:rsid w:val="006F5344"/>
    <w:rsid w:val="006F53F5"/>
    <w:rsid w:val="006F53FA"/>
    <w:rsid w:val="006F54DF"/>
    <w:rsid w:val="006F5539"/>
    <w:rsid w:val="006F5543"/>
    <w:rsid w:val="006F554A"/>
    <w:rsid w:val="006F5571"/>
    <w:rsid w:val="006F5573"/>
    <w:rsid w:val="006F55B2"/>
    <w:rsid w:val="006F55B7"/>
    <w:rsid w:val="006F55D1"/>
    <w:rsid w:val="006F55EA"/>
    <w:rsid w:val="006F565F"/>
    <w:rsid w:val="006F5736"/>
    <w:rsid w:val="006F5749"/>
    <w:rsid w:val="006F581F"/>
    <w:rsid w:val="006F588E"/>
    <w:rsid w:val="006F596E"/>
    <w:rsid w:val="006F5AB5"/>
    <w:rsid w:val="006F5AC2"/>
    <w:rsid w:val="006F5AFA"/>
    <w:rsid w:val="006F5B64"/>
    <w:rsid w:val="006F5C11"/>
    <w:rsid w:val="006F5C1E"/>
    <w:rsid w:val="006F5CA7"/>
    <w:rsid w:val="006F5E24"/>
    <w:rsid w:val="006F5E59"/>
    <w:rsid w:val="006F5ED9"/>
    <w:rsid w:val="006F5EE1"/>
    <w:rsid w:val="006F5F0F"/>
    <w:rsid w:val="006F5F38"/>
    <w:rsid w:val="006F5F4E"/>
    <w:rsid w:val="006F5F55"/>
    <w:rsid w:val="006F5F91"/>
    <w:rsid w:val="006F5F96"/>
    <w:rsid w:val="006F5FBF"/>
    <w:rsid w:val="006F6025"/>
    <w:rsid w:val="006F603A"/>
    <w:rsid w:val="006F60D9"/>
    <w:rsid w:val="006F60DF"/>
    <w:rsid w:val="006F6125"/>
    <w:rsid w:val="006F6188"/>
    <w:rsid w:val="006F61C1"/>
    <w:rsid w:val="006F620B"/>
    <w:rsid w:val="006F6218"/>
    <w:rsid w:val="006F6261"/>
    <w:rsid w:val="006F628E"/>
    <w:rsid w:val="006F62A1"/>
    <w:rsid w:val="006F62A8"/>
    <w:rsid w:val="006F6383"/>
    <w:rsid w:val="006F6389"/>
    <w:rsid w:val="006F6419"/>
    <w:rsid w:val="006F6477"/>
    <w:rsid w:val="006F64C4"/>
    <w:rsid w:val="006F665F"/>
    <w:rsid w:val="006F6668"/>
    <w:rsid w:val="006F6682"/>
    <w:rsid w:val="006F6692"/>
    <w:rsid w:val="006F66B0"/>
    <w:rsid w:val="006F66F8"/>
    <w:rsid w:val="006F6714"/>
    <w:rsid w:val="006F6755"/>
    <w:rsid w:val="006F675F"/>
    <w:rsid w:val="006F6772"/>
    <w:rsid w:val="006F6783"/>
    <w:rsid w:val="006F6841"/>
    <w:rsid w:val="006F6984"/>
    <w:rsid w:val="006F699D"/>
    <w:rsid w:val="006F6A01"/>
    <w:rsid w:val="006F6A23"/>
    <w:rsid w:val="006F6A27"/>
    <w:rsid w:val="006F6A3D"/>
    <w:rsid w:val="006F6A45"/>
    <w:rsid w:val="006F6A78"/>
    <w:rsid w:val="006F6A8E"/>
    <w:rsid w:val="006F6AEB"/>
    <w:rsid w:val="006F6BA5"/>
    <w:rsid w:val="006F6BC1"/>
    <w:rsid w:val="006F6BC3"/>
    <w:rsid w:val="006F6C18"/>
    <w:rsid w:val="006F6C1B"/>
    <w:rsid w:val="006F6CA7"/>
    <w:rsid w:val="006F6D26"/>
    <w:rsid w:val="006F6DC2"/>
    <w:rsid w:val="006F6E62"/>
    <w:rsid w:val="006F6E92"/>
    <w:rsid w:val="006F6EE1"/>
    <w:rsid w:val="006F6EE8"/>
    <w:rsid w:val="006F6F00"/>
    <w:rsid w:val="006F6F42"/>
    <w:rsid w:val="006F6F60"/>
    <w:rsid w:val="006F6FA9"/>
    <w:rsid w:val="006F6FC6"/>
    <w:rsid w:val="006F6FFD"/>
    <w:rsid w:val="006F7090"/>
    <w:rsid w:val="006F70A4"/>
    <w:rsid w:val="006F70C9"/>
    <w:rsid w:val="006F717C"/>
    <w:rsid w:val="006F71F5"/>
    <w:rsid w:val="006F7284"/>
    <w:rsid w:val="006F72A1"/>
    <w:rsid w:val="006F72BD"/>
    <w:rsid w:val="006F7313"/>
    <w:rsid w:val="006F7322"/>
    <w:rsid w:val="006F73D6"/>
    <w:rsid w:val="006F7465"/>
    <w:rsid w:val="006F74C9"/>
    <w:rsid w:val="006F75E3"/>
    <w:rsid w:val="006F766E"/>
    <w:rsid w:val="006F76BE"/>
    <w:rsid w:val="006F76D3"/>
    <w:rsid w:val="006F76FC"/>
    <w:rsid w:val="006F7758"/>
    <w:rsid w:val="006F77B4"/>
    <w:rsid w:val="006F7873"/>
    <w:rsid w:val="006F78A5"/>
    <w:rsid w:val="006F78A8"/>
    <w:rsid w:val="006F793A"/>
    <w:rsid w:val="006F795F"/>
    <w:rsid w:val="006F7A2D"/>
    <w:rsid w:val="006F7AD0"/>
    <w:rsid w:val="006F7B88"/>
    <w:rsid w:val="006F7D47"/>
    <w:rsid w:val="006F7DCF"/>
    <w:rsid w:val="006F7E66"/>
    <w:rsid w:val="006F7EC6"/>
    <w:rsid w:val="006F7ED1"/>
    <w:rsid w:val="006F7EF5"/>
    <w:rsid w:val="006F7F05"/>
    <w:rsid w:val="007000E4"/>
    <w:rsid w:val="0070011B"/>
    <w:rsid w:val="007001B4"/>
    <w:rsid w:val="0070026A"/>
    <w:rsid w:val="00700375"/>
    <w:rsid w:val="007003B2"/>
    <w:rsid w:val="00700419"/>
    <w:rsid w:val="00700457"/>
    <w:rsid w:val="00700467"/>
    <w:rsid w:val="0070046D"/>
    <w:rsid w:val="00700516"/>
    <w:rsid w:val="00700524"/>
    <w:rsid w:val="007005F8"/>
    <w:rsid w:val="0070063A"/>
    <w:rsid w:val="0070066A"/>
    <w:rsid w:val="007006AE"/>
    <w:rsid w:val="007006D4"/>
    <w:rsid w:val="00700718"/>
    <w:rsid w:val="00700821"/>
    <w:rsid w:val="0070087B"/>
    <w:rsid w:val="007008D7"/>
    <w:rsid w:val="00700914"/>
    <w:rsid w:val="007009AB"/>
    <w:rsid w:val="007009CE"/>
    <w:rsid w:val="007009D6"/>
    <w:rsid w:val="007009EB"/>
    <w:rsid w:val="007009FF"/>
    <w:rsid w:val="00700A66"/>
    <w:rsid w:val="00700AB2"/>
    <w:rsid w:val="00700AF5"/>
    <w:rsid w:val="00700B2E"/>
    <w:rsid w:val="00700B67"/>
    <w:rsid w:val="00700D18"/>
    <w:rsid w:val="00700D42"/>
    <w:rsid w:val="00700D6C"/>
    <w:rsid w:val="00700D79"/>
    <w:rsid w:val="00700E50"/>
    <w:rsid w:val="00700E51"/>
    <w:rsid w:val="00700EAC"/>
    <w:rsid w:val="00700EB3"/>
    <w:rsid w:val="00700EDA"/>
    <w:rsid w:val="00700EE1"/>
    <w:rsid w:val="00700EED"/>
    <w:rsid w:val="00700F41"/>
    <w:rsid w:val="00700F92"/>
    <w:rsid w:val="00700F9D"/>
    <w:rsid w:val="00700FF5"/>
    <w:rsid w:val="00701025"/>
    <w:rsid w:val="0070117E"/>
    <w:rsid w:val="007011D8"/>
    <w:rsid w:val="00701222"/>
    <w:rsid w:val="00701263"/>
    <w:rsid w:val="007012C0"/>
    <w:rsid w:val="007012E2"/>
    <w:rsid w:val="0070131C"/>
    <w:rsid w:val="0070135E"/>
    <w:rsid w:val="00701378"/>
    <w:rsid w:val="0070144D"/>
    <w:rsid w:val="0070156A"/>
    <w:rsid w:val="0070162F"/>
    <w:rsid w:val="0070167B"/>
    <w:rsid w:val="00701695"/>
    <w:rsid w:val="007016E9"/>
    <w:rsid w:val="007017D8"/>
    <w:rsid w:val="007017F6"/>
    <w:rsid w:val="00701816"/>
    <w:rsid w:val="007018E0"/>
    <w:rsid w:val="007018ED"/>
    <w:rsid w:val="007019F6"/>
    <w:rsid w:val="00701A15"/>
    <w:rsid w:val="00701B51"/>
    <w:rsid w:val="00701B66"/>
    <w:rsid w:val="00701C66"/>
    <w:rsid w:val="00701CBF"/>
    <w:rsid w:val="00701CE5"/>
    <w:rsid w:val="00701D00"/>
    <w:rsid w:val="00701D0D"/>
    <w:rsid w:val="00701DC0"/>
    <w:rsid w:val="00701FD8"/>
    <w:rsid w:val="00702015"/>
    <w:rsid w:val="00702031"/>
    <w:rsid w:val="00702103"/>
    <w:rsid w:val="00702194"/>
    <w:rsid w:val="007021CC"/>
    <w:rsid w:val="00702244"/>
    <w:rsid w:val="00702272"/>
    <w:rsid w:val="00702295"/>
    <w:rsid w:val="00702367"/>
    <w:rsid w:val="00702399"/>
    <w:rsid w:val="007023B6"/>
    <w:rsid w:val="007023F4"/>
    <w:rsid w:val="00702405"/>
    <w:rsid w:val="0070241F"/>
    <w:rsid w:val="00702439"/>
    <w:rsid w:val="00702448"/>
    <w:rsid w:val="00702462"/>
    <w:rsid w:val="007024EF"/>
    <w:rsid w:val="00702540"/>
    <w:rsid w:val="00702582"/>
    <w:rsid w:val="007025A5"/>
    <w:rsid w:val="007026C8"/>
    <w:rsid w:val="0070270F"/>
    <w:rsid w:val="007028AA"/>
    <w:rsid w:val="007028E1"/>
    <w:rsid w:val="007028E3"/>
    <w:rsid w:val="007028F1"/>
    <w:rsid w:val="007028F3"/>
    <w:rsid w:val="0070290E"/>
    <w:rsid w:val="007029AA"/>
    <w:rsid w:val="00702A0A"/>
    <w:rsid w:val="00702A0E"/>
    <w:rsid w:val="00702A23"/>
    <w:rsid w:val="00702A74"/>
    <w:rsid w:val="00702A9C"/>
    <w:rsid w:val="00702AB6"/>
    <w:rsid w:val="00702B1D"/>
    <w:rsid w:val="00702B24"/>
    <w:rsid w:val="00702B56"/>
    <w:rsid w:val="00702BA8"/>
    <w:rsid w:val="00702BCA"/>
    <w:rsid w:val="00702C7B"/>
    <w:rsid w:val="00702D1B"/>
    <w:rsid w:val="00702E06"/>
    <w:rsid w:val="00702E4C"/>
    <w:rsid w:val="00702EC2"/>
    <w:rsid w:val="00702F16"/>
    <w:rsid w:val="00702F4C"/>
    <w:rsid w:val="007030E6"/>
    <w:rsid w:val="0070310F"/>
    <w:rsid w:val="00703145"/>
    <w:rsid w:val="007031B3"/>
    <w:rsid w:val="007031E5"/>
    <w:rsid w:val="00703222"/>
    <w:rsid w:val="0070326A"/>
    <w:rsid w:val="00703437"/>
    <w:rsid w:val="007034C9"/>
    <w:rsid w:val="00703535"/>
    <w:rsid w:val="00703582"/>
    <w:rsid w:val="00703598"/>
    <w:rsid w:val="007035C9"/>
    <w:rsid w:val="0070362A"/>
    <w:rsid w:val="00703701"/>
    <w:rsid w:val="00703722"/>
    <w:rsid w:val="0070372E"/>
    <w:rsid w:val="00703764"/>
    <w:rsid w:val="00703767"/>
    <w:rsid w:val="00703791"/>
    <w:rsid w:val="007037AE"/>
    <w:rsid w:val="00703811"/>
    <w:rsid w:val="00703847"/>
    <w:rsid w:val="00703865"/>
    <w:rsid w:val="0070389E"/>
    <w:rsid w:val="0070391C"/>
    <w:rsid w:val="00703949"/>
    <w:rsid w:val="00703993"/>
    <w:rsid w:val="0070399D"/>
    <w:rsid w:val="00703A41"/>
    <w:rsid w:val="00703A7E"/>
    <w:rsid w:val="00703B1B"/>
    <w:rsid w:val="00703BA7"/>
    <w:rsid w:val="00703D16"/>
    <w:rsid w:val="00703D66"/>
    <w:rsid w:val="00703E3E"/>
    <w:rsid w:val="00703E5F"/>
    <w:rsid w:val="00703F1F"/>
    <w:rsid w:val="00703F21"/>
    <w:rsid w:val="00703F44"/>
    <w:rsid w:val="00703F92"/>
    <w:rsid w:val="00704034"/>
    <w:rsid w:val="0070408B"/>
    <w:rsid w:val="00704092"/>
    <w:rsid w:val="00704098"/>
    <w:rsid w:val="007040CD"/>
    <w:rsid w:val="00704165"/>
    <w:rsid w:val="00704206"/>
    <w:rsid w:val="00704398"/>
    <w:rsid w:val="00704430"/>
    <w:rsid w:val="0070448F"/>
    <w:rsid w:val="00704585"/>
    <w:rsid w:val="00704618"/>
    <w:rsid w:val="00704770"/>
    <w:rsid w:val="007047AA"/>
    <w:rsid w:val="007047F4"/>
    <w:rsid w:val="0070484D"/>
    <w:rsid w:val="00704929"/>
    <w:rsid w:val="00704A4B"/>
    <w:rsid w:val="00704B47"/>
    <w:rsid w:val="00704B6D"/>
    <w:rsid w:val="00704BA0"/>
    <w:rsid w:val="00704BC5"/>
    <w:rsid w:val="00704BE4"/>
    <w:rsid w:val="00704C00"/>
    <w:rsid w:val="00704C0C"/>
    <w:rsid w:val="00704C9D"/>
    <w:rsid w:val="00704D0F"/>
    <w:rsid w:val="00704E7A"/>
    <w:rsid w:val="00704EBA"/>
    <w:rsid w:val="00704EF2"/>
    <w:rsid w:val="00704F4E"/>
    <w:rsid w:val="00705003"/>
    <w:rsid w:val="0070508A"/>
    <w:rsid w:val="00705098"/>
    <w:rsid w:val="0070509D"/>
    <w:rsid w:val="007050B4"/>
    <w:rsid w:val="0070511A"/>
    <w:rsid w:val="00705146"/>
    <w:rsid w:val="007051DB"/>
    <w:rsid w:val="0070521B"/>
    <w:rsid w:val="007052B8"/>
    <w:rsid w:val="00705306"/>
    <w:rsid w:val="0070532F"/>
    <w:rsid w:val="00705333"/>
    <w:rsid w:val="0070535A"/>
    <w:rsid w:val="007053D0"/>
    <w:rsid w:val="007053EB"/>
    <w:rsid w:val="0070540E"/>
    <w:rsid w:val="0070543E"/>
    <w:rsid w:val="0070547F"/>
    <w:rsid w:val="007054E2"/>
    <w:rsid w:val="00705566"/>
    <w:rsid w:val="007055BC"/>
    <w:rsid w:val="007055C1"/>
    <w:rsid w:val="007055DB"/>
    <w:rsid w:val="00705633"/>
    <w:rsid w:val="007057FB"/>
    <w:rsid w:val="00705829"/>
    <w:rsid w:val="007058D6"/>
    <w:rsid w:val="007058F2"/>
    <w:rsid w:val="0070599F"/>
    <w:rsid w:val="007059F3"/>
    <w:rsid w:val="00705A64"/>
    <w:rsid w:val="00705B22"/>
    <w:rsid w:val="00705BB4"/>
    <w:rsid w:val="00705BC7"/>
    <w:rsid w:val="00705C82"/>
    <w:rsid w:val="00705C9D"/>
    <w:rsid w:val="00705D34"/>
    <w:rsid w:val="00705D6C"/>
    <w:rsid w:val="00705DF0"/>
    <w:rsid w:val="00705E0C"/>
    <w:rsid w:val="00705E6F"/>
    <w:rsid w:val="00705EA8"/>
    <w:rsid w:val="00705EB0"/>
    <w:rsid w:val="00705EC6"/>
    <w:rsid w:val="00705F74"/>
    <w:rsid w:val="0070606B"/>
    <w:rsid w:val="0070607E"/>
    <w:rsid w:val="0070611C"/>
    <w:rsid w:val="007061A5"/>
    <w:rsid w:val="007061D7"/>
    <w:rsid w:val="00706289"/>
    <w:rsid w:val="007062BC"/>
    <w:rsid w:val="007062FE"/>
    <w:rsid w:val="007063A9"/>
    <w:rsid w:val="007063B3"/>
    <w:rsid w:val="00706466"/>
    <w:rsid w:val="007064BC"/>
    <w:rsid w:val="0070653C"/>
    <w:rsid w:val="007065F1"/>
    <w:rsid w:val="00706677"/>
    <w:rsid w:val="00706696"/>
    <w:rsid w:val="00706721"/>
    <w:rsid w:val="0070673F"/>
    <w:rsid w:val="00706881"/>
    <w:rsid w:val="0070688F"/>
    <w:rsid w:val="007068D0"/>
    <w:rsid w:val="00706912"/>
    <w:rsid w:val="007069B5"/>
    <w:rsid w:val="007069C5"/>
    <w:rsid w:val="007069E5"/>
    <w:rsid w:val="00706A08"/>
    <w:rsid w:val="00706A17"/>
    <w:rsid w:val="00706A28"/>
    <w:rsid w:val="00706A71"/>
    <w:rsid w:val="00706AE3"/>
    <w:rsid w:val="00706B80"/>
    <w:rsid w:val="00706BBA"/>
    <w:rsid w:val="00706C43"/>
    <w:rsid w:val="00706C6B"/>
    <w:rsid w:val="00706C6C"/>
    <w:rsid w:val="00706C6F"/>
    <w:rsid w:val="00706CA2"/>
    <w:rsid w:val="00706CDD"/>
    <w:rsid w:val="00706CE5"/>
    <w:rsid w:val="00706D6B"/>
    <w:rsid w:val="00706D6F"/>
    <w:rsid w:val="00706D86"/>
    <w:rsid w:val="00706E17"/>
    <w:rsid w:val="00706E68"/>
    <w:rsid w:val="00706E90"/>
    <w:rsid w:val="00706EBF"/>
    <w:rsid w:val="00706F3D"/>
    <w:rsid w:val="00706F40"/>
    <w:rsid w:val="00706F53"/>
    <w:rsid w:val="00706FCF"/>
    <w:rsid w:val="0070700B"/>
    <w:rsid w:val="0070709C"/>
    <w:rsid w:val="007070C2"/>
    <w:rsid w:val="0070710D"/>
    <w:rsid w:val="00707188"/>
    <w:rsid w:val="00707196"/>
    <w:rsid w:val="007071C5"/>
    <w:rsid w:val="00707259"/>
    <w:rsid w:val="0070725C"/>
    <w:rsid w:val="0070728A"/>
    <w:rsid w:val="007072AC"/>
    <w:rsid w:val="007072D6"/>
    <w:rsid w:val="00707344"/>
    <w:rsid w:val="00707370"/>
    <w:rsid w:val="00707376"/>
    <w:rsid w:val="007073B4"/>
    <w:rsid w:val="0070742D"/>
    <w:rsid w:val="007074EB"/>
    <w:rsid w:val="00707596"/>
    <w:rsid w:val="007075C8"/>
    <w:rsid w:val="007075CA"/>
    <w:rsid w:val="007075DF"/>
    <w:rsid w:val="007075E6"/>
    <w:rsid w:val="00707623"/>
    <w:rsid w:val="00707679"/>
    <w:rsid w:val="007076DE"/>
    <w:rsid w:val="007076E7"/>
    <w:rsid w:val="007076F2"/>
    <w:rsid w:val="007076FC"/>
    <w:rsid w:val="00707749"/>
    <w:rsid w:val="00707758"/>
    <w:rsid w:val="00707769"/>
    <w:rsid w:val="0070778A"/>
    <w:rsid w:val="0070779C"/>
    <w:rsid w:val="007077DF"/>
    <w:rsid w:val="00707853"/>
    <w:rsid w:val="0070786A"/>
    <w:rsid w:val="00707887"/>
    <w:rsid w:val="007078B8"/>
    <w:rsid w:val="00707973"/>
    <w:rsid w:val="00707A6E"/>
    <w:rsid w:val="00707B63"/>
    <w:rsid w:val="00707C01"/>
    <w:rsid w:val="00707C29"/>
    <w:rsid w:val="00707CBE"/>
    <w:rsid w:val="00707CF7"/>
    <w:rsid w:val="00707D0D"/>
    <w:rsid w:val="00707D98"/>
    <w:rsid w:val="00707E04"/>
    <w:rsid w:val="00707E14"/>
    <w:rsid w:val="00707E5A"/>
    <w:rsid w:val="00707E62"/>
    <w:rsid w:val="00707EEA"/>
    <w:rsid w:val="00707F2C"/>
    <w:rsid w:val="00707F3C"/>
    <w:rsid w:val="00707F69"/>
    <w:rsid w:val="00707F8F"/>
    <w:rsid w:val="00707FCA"/>
    <w:rsid w:val="007101F4"/>
    <w:rsid w:val="0071021D"/>
    <w:rsid w:val="00710286"/>
    <w:rsid w:val="007102C8"/>
    <w:rsid w:val="007102DC"/>
    <w:rsid w:val="0071031B"/>
    <w:rsid w:val="00710383"/>
    <w:rsid w:val="007103AC"/>
    <w:rsid w:val="007103FF"/>
    <w:rsid w:val="0071046D"/>
    <w:rsid w:val="00710471"/>
    <w:rsid w:val="00710475"/>
    <w:rsid w:val="007104DB"/>
    <w:rsid w:val="00710513"/>
    <w:rsid w:val="007105DB"/>
    <w:rsid w:val="007105FD"/>
    <w:rsid w:val="00710629"/>
    <w:rsid w:val="00710684"/>
    <w:rsid w:val="007106F6"/>
    <w:rsid w:val="007106FB"/>
    <w:rsid w:val="00710723"/>
    <w:rsid w:val="007107E9"/>
    <w:rsid w:val="00710821"/>
    <w:rsid w:val="007108CD"/>
    <w:rsid w:val="007108DE"/>
    <w:rsid w:val="00710A3D"/>
    <w:rsid w:val="00710AA9"/>
    <w:rsid w:val="00710B26"/>
    <w:rsid w:val="00710C1F"/>
    <w:rsid w:val="00710C6D"/>
    <w:rsid w:val="00710C6F"/>
    <w:rsid w:val="00710C8F"/>
    <w:rsid w:val="00710CC1"/>
    <w:rsid w:val="00710D13"/>
    <w:rsid w:val="00710D24"/>
    <w:rsid w:val="00710DBC"/>
    <w:rsid w:val="00710DC0"/>
    <w:rsid w:val="00710DFA"/>
    <w:rsid w:val="00710E1E"/>
    <w:rsid w:val="00710E65"/>
    <w:rsid w:val="00710F12"/>
    <w:rsid w:val="00710F23"/>
    <w:rsid w:val="00710F85"/>
    <w:rsid w:val="00710FA9"/>
    <w:rsid w:val="0071103B"/>
    <w:rsid w:val="0071118E"/>
    <w:rsid w:val="00711221"/>
    <w:rsid w:val="00711260"/>
    <w:rsid w:val="00711285"/>
    <w:rsid w:val="007112DB"/>
    <w:rsid w:val="007112E3"/>
    <w:rsid w:val="0071139D"/>
    <w:rsid w:val="007113C7"/>
    <w:rsid w:val="007113E4"/>
    <w:rsid w:val="007114BE"/>
    <w:rsid w:val="00711536"/>
    <w:rsid w:val="00711593"/>
    <w:rsid w:val="00711595"/>
    <w:rsid w:val="007115C1"/>
    <w:rsid w:val="00711603"/>
    <w:rsid w:val="00711612"/>
    <w:rsid w:val="007116B9"/>
    <w:rsid w:val="007116E3"/>
    <w:rsid w:val="00711717"/>
    <w:rsid w:val="00711785"/>
    <w:rsid w:val="00711846"/>
    <w:rsid w:val="007118BD"/>
    <w:rsid w:val="0071193A"/>
    <w:rsid w:val="00711942"/>
    <w:rsid w:val="007119C3"/>
    <w:rsid w:val="007119CA"/>
    <w:rsid w:val="007119CF"/>
    <w:rsid w:val="007119D7"/>
    <w:rsid w:val="007119EA"/>
    <w:rsid w:val="007119F7"/>
    <w:rsid w:val="00711A5A"/>
    <w:rsid w:val="00711A7A"/>
    <w:rsid w:val="00711AD8"/>
    <w:rsid w:val="00711B1D"/>
    <w:rsid w:val="00711B22"/>
    <w:rsid w:val="00711BAE"/>
    <w:rsid w:val="00711C1C"/>
    <w:rsid w:val="00711C2B"/>
    <w:rsid w:val="00711C78"/>
    <w:rsid w:val="00711CC5"/>
    <w:rsid w:val="00711D18"/>
    <w:rsid w:val="00711D69"/>
    <w:rsid w:val="00711D82"/>
    <w:rsid w:val="00711DC4"/>
    <w:rsid w:val="00711DE5"/>
    <w:rsid w:val="00711E1C"/>
    <w:rsid w:val="00711E32"/>
    <w:rsid w:val="00711E47"/>
    <w:rsid w:val="00711EB3"/>
    <w:rsid w:val="00711EDF"/>
    <w:rsid w:val="00711F07"/>
    <w:rsid w:val="00711F71"/>
    <w:rsid w:val="00711F94"/>
    <w:rsid w:val="00711FC1"/>
    <w:rsid w:val="00712006"/>
    <w:rsid w:val="00712068"/>
    <w:rsid w:val="00712073"/>
    <w:rsid w:val="00712074"/>
    <w:rsid w:val="007120BE"/>
    <w:rsid w:val="007120D4"/>
    <w:rsid w:val="00712115"/>
    <w:rsid w:val="0071212F"/>
    <w:rsid w:val="007121E3"/>
    <w:rsid w:val="0071223B"/>
    <w:rsid w:val="00712264"/>
    <w:rsid w:val="007122B6"/>
    <w:rsid w:val="00712376"/>
    <w:rsid w:val="007123AA"/>
    <w:rsid w:val="00712425"/>
    <w:rsid w:val="00712457"/>
    <w:rsid w:val="00712487"/>
    <w:rsid w:val="0071248E"/>
    <w:rsid w:val="00712490"/>
    <w:rsid w:val="00712496"/>
    <w:rsid w:val="007124C8"/>
    <w:rsid w:val="00712527"/>
    <w:rsid w:val="00712528"/>
    <w:rsid w:val="00712533"/>
    <w:rsid w:val="007125DC"/>
    <w:rsid w:val="00712607"/>
    <w:rsid w:val="00712699"/>
    <w:rsid w:val="007126B9"/>
    <w:rsid w:val="00712707"/>
    <w:rsid w:val="00712710"/>
    <w:rsid w:val="0071271F"/>
    <w:rsid w:val="00712773"/>
    <w:rsid w:val="007127CA"/>
    <w:rsid w:val="00712848"/>
    <w:rsid w:val="00712948"/>
    <w:rsid w:val="00712985"/>
    <w:rsid w:val="0071299E"/>
    <w:rsid w:val="007129F1"/>
    <w:rsid w:val="00712A27"/>
    <w:rsid w:val="00712A2C"/>
    <w:rsid w:val="00712A45"/>
    <w:rsid w:val="00712A94"/>
    <w:rsid w:val="00712AAA"/>
    <w:rsid w:val="00712AB0"/>
    <w:rsid w:val="00712B44"/>
    <w:rsid w:val="00712C13"/>
    <w:rsid w:val="00712CEF"/>
    <w:rsid w:val="00712D33"/>
    <w:rsid w:val="00712D87"/>
    <w:rsid w:val="00712E01"/>
    <w:rsid w:val="00712E07"/>
    <w:rsid w:val="00712E67"/>
    <w:rsid w:val="00712E6C"/>
    <w:rsid w:val="00712EA5"/>
    <w:rsid w:val="00712EE3"/>
    <w:rsid w:val="00712F32"/>
    <w:rsid w:val="00713001"/>
    <w:rsid w:val="0071302C"/>
    <w:rsid w:val="007130A1"/>
    <w:rsid w:val="007130F7"/>
    <w:rsid w:val="00713110"/>
    <w:rsid w:val="00713155"/>
    <w:rsid w:val="00713190"/>
    <w:rsid w:val="0071322B"/>
    <w:rsid w:val="00713242"/>
    <w:rsid w:val="00713266"/>
    <w:rsid w:val="007132EC"/>
    <w:rsid w:val="00713305"/>
    <w:rsid w:val="00713311"/>
    <w:rsid w:val="007133C8"/>
    <w:rsid w:val="007133D1"/>
    <w:rsid w:val="00713477"/>
    <w:rsid w:val="007134F1"/>
    <w:rsid w:val="007135B2"/>
    <w:rsid w:val="007135B7"/>
    <w:rsid w:val="00713641"/>
    <w:rsid w:val="0071366F"/>
    <w:rsid w:val="007136C1"/>
    <w:rsid w:val="007136FD"/>
    <w:rsid w:val="007137FE"/>
    <w:rsid w:val="0071392C"/>
    <w:rsid w:val="007139D1"/>
    <w:rsid w:val="00713A4B"/>
    <w:rsid w:val="00713AE9"/>
    <w:rsid w:val="00713C6D"/>
    <w:rsid w:val="00713CB7"/>
    <w:rsid w:val="00713CDD"/>
    <w:rsid w:val="00713CED"/>
    <w:rsid w:val="00713D1C"/>
    <w:rsid w:val="00713D2F"/>
    <w:rsid w:val="00713D5A"/>
    <w:rsid w:val="00713DB3"/>
    <w:rsid w:val="00713E14"/>
    <w:rsid w:val="00713E3B"/>
    <w:rsid w:val="00713E83"/>
    <w:rsid w:val="00713EB9"/>
    <w:rsid w:val="00713EBF"/>
    <w:rsid w:val="00713FD8"/>
    <w:rsid w:val="00714123"/>
    <w:rsid w:val="00714144"/>
    <w:rsid w:val="007141F5"/>
    <w:rsid w:val="00714251"/>
    <w:rsid w:val="007142FA"/>
    <w:rsid w:val="007142FD"/>
    <w:rsid w:val="00714326"/>
    <w:rsid w:val="0071432E"/>
    <w:rsid w:val="00714337"/>
    <w:rsid w:val="0071435E"/>
    <w:rsid w:val="00714392"/>
    <w:rsid w:val="007143D6"/>
    <w:rsid w:val="0071441A"/>
    <w:rsid w:val="007144B7"/>
    <w:rsid w:val="007144C7"/>
    <w:rsid w:val="007144CB"/>
    <w:rsid w:val="007144EF"/>
    <w:rsid w:val="00714502"/>
    <w:rsid w:val="0071454B"/>
    <w:rsid w:val="0071458A"/>
    <w:rsid w:val="00714594"/>
    <w:rsid w:val="007145CF"/>
    <w:rsid w:val="007145DF"/>
    <w:rsid w:val="00714613"/>
    <w:rsid w:val="00714620"/>
    <w:rsid w:val="007146A7"/>
    <w:rsid w:val="007146B3"/>
    <w:rsid w:val="00714773"/>
    <w:rsid w:val="00714799"/>
    <w:rsid w:val="007147EA"/>
    <w:rsid w:val="00714805"/>
    <w:rsid w:val="00714913"/>
    <w:rsid w:val="0071491D"/>
    <w:rsid w:val="00714974"/>
    <w:rsid w:val="007149F8"/>
    <w:rsid w:val="00714B84"/>
    <w:rsid w:val="00714BE3"/>
    <w:rsid w:val="00714C7B"/>
    <w:rsid w:val="00714CCA"/>
    <w:rsid w:val="00714CE0"/>
    <w:rsid w:val="00714D11"/>
    <w:rsid w:val="00714D3D"/>
    <w:rsid w:val="00714D3F"/>
    <w:rsid w:val="00714D60"/>
    <w:rsid w:val="00714D61"/>
    <w:rsid w:val="00714D6A"/>
    <w:rsid w:val="00714E3C"/>
    <w:rsid w:val="00714E4D"/>
    <w:rsid w:val="00714EE5"/>
    <w:rsid w:val="00714F37"/>
    <w:rsid w:val="00714F9F"/>
    <w:rsid w:val="00714FC2"/>
    <w:rsid w:val="00714FC8"/>
    <w:rsid w:val="00714FE7"/>
    <w:rsid w:val="00715050"/>
    <w:rsid w:val="00715098"/>
    <w:rsid w:val="007150DD"/>
    <w:rsid w:val="007150DE"/>
    <w:rsid w:val="0071512B"/>
    <w:rsid w:val="007151A1"/>
    <w:rsid w:val="007151D3"/>
    <w:rsid w:val="0071524D"/>
    <w:rsid w:val="00715286"/>
    <w:rsid w:val="007152BB"/>
    <w:rsid w:val="0071533E"/>
    <w:rsid w:val="00715379"/>
    <w:rsid w:val="007153FF"/>
    <w:rsid w:val="00715417"/>
    <w:rsid w:val="0071542D"/>
    <w:rsid w:val="007154EB"/>
    <w:rsid w:val="00715505"/>
    <w:rsid w:val="00715523"/>
    <w:rsid w:val="00715577"/>
    <w:rsid w:val="007155FD"/>
    <w:rsid w:val="00715602"/>
    <w:rsid w:val="0071560E"/>
    <w:rsid w:val="0071566E"/>
    <w:rsid w:val="00715695"/>
    <w:rsid w:val="007156D2"/>
    <w:rsid w:val="007156F2"/>
    <w:rsid w:val="007157A2"/>
    <w:rsid w:val="007157DF"/>
    <w:rsid w:val="00715878"/>
    <w:rsid w:val="007158B9"/>
    <w:rsid w:val="0071593E"/>
    <w:rsid w:val="0071596A"/>
    <w:rsid w:val="0071598D"/>
    <w:rsid w:val="00715996"/>
    <w:rsid w:val="00715A84"/>
    <w:rsid w:val="00715AB8"/>
    <w:rsid w:val="00715AEA"/>
    <w:rsid w:val="00715AF4"/>
    <w:rsid w:val="00715B6F"/>
    <w:rsid w:val="00715B92"/>
    <w:rsid w:val="00715BCB"/>
    <w:rsid w:val="00715BDE"/>
    <w:rsid w:val="00715C34"/>
    <w:rsid w:val="00715C8C"/>
    <w:rsid w:val="00715CDA"/>
    <w:rsid w:val="00715D3C"/>
    <w:rsid w:val="00715D97"/>
    <w:rsid w:val="00715DA4"/>
    <w:rsid w:val="00715E49"/>
    <w:rsid w:val="00715EB4"/>
    <w:rsid w:val="00715EB6"/>
    <w:rsid w:val="00715F7B"/>
    <w:rsid w:val="00715FAC"/>
    <w:rsid w:val="00716058"/>
    <w:rsid w:val="0071609F"/>
    <w:rsid w:val="007160BD"/>
    <w:rsid w:val="007160E1"/>
    <w:rsid w:val="007161D7"/>
    <w:rsid w:val="0071628B"/>
    <w:rsid w:val="007162AB"/>
    <w:rsid w:val="007162B0"/>
    <w:rsid w:val="007162E3"/>
    <w:rsid w:val="00716332"/>
    <w:rsid w:val="00716433"/>
    <w:rsid w:val="00716472"/>
    <w:rsid w:val="0071647F"/>
    <w:rsid w:val="0071649D"/>
    <w:rsid w:val="00716500"/>
    <w:rsid w:val="00716501"/>
    <w:rsid w:val="00716509"/>
    <w:rsid w:val="00716588"/>
    <w:rsid w:val="007165E1"/>
    <w:rsid w:val="0071660A"/>
    <w:rsid w:val="00716615"/>
    <w:rsid w:val="00716637"/>
    <w:rsid w:val="00716658"/>
    <w:rsid w:val="00716668"/>
    <w:rsid w:val="0071668E"/>
    <w:rsid w:val="007166E0"/>
    <w:rsid w:val="00716731"/>
    <w:rsid w:val="00716777"/>
    <w:rsid w:val="00716789"/>
    <w:rsid w:val="007167F4"/>
    <w:rsid w:val="007167FA"/>
    <w:rsid w:val="00716860"/>
    <w:rsid w:val="00716867"/>
    <w:rsid w:val="00716872"/>
    <w:rsid w:val="007168D9"/>
    <w:rsid w:val="007168F6"/>
    <w:rsid w:val="00716915"/>
    <w:rsid w:val="0071695D"/>
    <w:rsid w:val="00716993"/>
    <w:rsid w:val="007169A0"/>
    <w:rsid w:val="007169DB"/>
    <w:rsid w:val="00716A0B"/>
    <w:rsid w:val="00716A3B"/>
    <w:rsid w:val="00716ABD"/>
    <w:rsid w:val="00716AEE"/>
    <w:rsid w:val="00716B64"/>
    <w:rsid w:val="00716BE9"/>
    <w:rsid w:val="00716C69"/>
    <w:rsid w:val="00716CB0"/>
    <w:rsid w:val="00716CEE"/>
    <w:rsid w:val="00716D17"/>
    <w:rsid w:val="00716D2D"/>
    <w:rsid w:val="00716D5D"/>
    <w:rsid w:val="00716D96"/>
    <w:rsid w:val="00716DC9"/>
    <w:rsid w:val="00716E04"/>
    <w:rsid w:val="00716EC3"/>
    <w:rsid w:val="00716EC9"/>
    <w:rsid w:val="00716F1D"/>
    <w:rsid w:val="00716F80"/>
    <w:rsid w:val="00716F98"/>
    <w:rsid w:val="00716FB4"/>
    <w:rsid w:val="00716FFD"/>
    <w:rsid w:val="00717029"/>
    <w:rsid w:val="00717036"/>
    <w:rsid w:val="00717073"/>
    <w:rsid w:val="007170F1"/>
    <w:rsid w:val="00717163"/>
    <w:rsid w:val="00717176"/>
    <w:rsid w:val="0071717A"/>
    <w:rsid w:val="007171C8"/>
    <w:rsid w:val="007171F2"/>
    <w:rsid w:val="007172A0"/>
    <w:rsid w:val="00717367"/>
    <w:rsid w:val="007173DB"/>
    <w:rsid w:val="0071745F"/>
    <w:rsid w:val="00717464"/>
    <w:rsid w:val="0071746E"/>
    <w:rsid w:val="00717479"/>
    <w:rsid w:val="007174FF"/>
    <w:rsid w:val="00717580"/>
    <w:rsid w:val="0071759C"/>
    <w:rsid w:val="007175C2"/>
    <w:rsid w:val="007175DD"/>
    <w:rsid w:val="00717608"/>
    <w:rsid w:val="0071775C"/>
    <w:rsid w:val="007177C1"/>
    <w:rsid w:val="007177C5"/>
    <w:rsid w:val="007177F7"/>
    <w:rsid w:val="007178EB"/>
    <w:rsid w:val="00717915"/>
    <w:rsid w:val="00717920"/>
    <w:rsid w:val="0071795D"/>
    <w:rsid w:val="00717A55"/>
    <w:rsid w:val="00717AB7"/>
    <w:rsid w:val="00717B28"/>
    <w:rsid w:val="00717BAE"/>
    <w:rsid w:val="00717BEC"/>
    <w:rsid w:val="00717BF5"/>
    <w:rsid w:val="00717C41"/>
    <w:rsid w:val="00717D94"/>
    <w:rsid w:val="00717DA6"/>
    <w:rsid w:val="00717E31"/>
    <w:rsid w:val="00717E9A"/>
    <w:rsid w:val="00717EE2"/>
    <w:rsid w:val="00717EE9"/>
    <w:rsid w:val="00717FC7"/>
    <w:rsid w:val="00720052"/>
    <w:rsid w:val="007200A1"/>
    <w:rsid w:val="007200AA"/>
    <w:rsid w:val="007200B6"/>
    <w:rsid w:val="0072015D"/>
    <w:rsid w:val="007201A6"/>
    <w:rsid w:val="00720283"/>
    <w:rsid w:val="0072043C"/>
    <w:rsid w:val="007204BE"/>
    <w:rsid w:val="007204FE"/>
    <w:rsid w:val="00720583"/>
    <w:rsid w:val="0072059A"/>
    <w:rsid w:val="007205DF"/>
    <w:rsid w:val="007205FA"/>
    <w:rsid w:val="00720617"/>
    <w:rsid w:val="007206D2"/>
    <w:rsid w:val="007206D4"/>
    <w:rsid w:val="007206F3"/>
    <w:rsid w:val="0072079C"/>
    <w:rsid w:val="007207C9"/>
    <w:rsid w:val="007207D4"/>
    <w:rsid w:val="0072080C"/>
    <w:rsid w:val="00720823"/>
    <w:rsid w:val="00720862"/>
    <w:rsid w:val="007208F6"/>
    <w:rsid w:val="00720958"/>
    <w:rsid w:val="0072099C"/>
    <w:rsid w:val="007209F2"/>
    <w:rsid w:val="00720A25"/>
    <w:rsid w:val="00720A4C"/>
    <w:rsid w:val="00720A5C"/>
    <w:rsid w:val="00720AB4"/>
    <w:rsid w:val="00720ABE"/>
    <w:rsid w:val="00720C37"/>
    <w:rsid w:val="00720C9F"/>
    <w:rsid w:val="00720CEC"/>
    <w:rsid w:val="00720CF7"/>
    <w:rsid w:val="00720D12"/>
    <w:rsid w:val="00720D2B"/>
    <w:rsid w:val="00720DA2"/>
    <w:rsid w:val="00720E30"/>
    <w:rsid w:val="00720E66"/>
    <w:rsid w:val="00720E6D"/>
    <w:rsid w:val="00720E98"/>
    <w:rsid w:val="00720ED8"/>
    <w:rsid w:val="00720EE2"/>
    <w:rsid w:val="00720F0A"/>
    <w:rsid w:val="00720F17"/>
    <w:rsid w:val="00720F62"/>
    <w:rsid w:val="00720F7C"/>
    <w:rsid w:val="00721052"/>
    <w:rsid w:val="00721091"/>
    <w:rsid w:val="007210A7"/>
    <w:rsid w:val="007210E7"/>
    <w:rsid w:val="00721165"/>
    <w:rsid w:val="007211EE"/>
    <w:rsid w:val="0072128F"/>
    <w:rsid w:val="007212C3"/>
    <w:rsid w:val="00721326"/>
    <w:rsid w:val="00721351"/>
    <w:rsid w:val="007213BC"/>
    <w:rsid w:val="0072142C"/>
    <w:rsid w:val="007214EA"/>
    <w:rsid w:val="00721506"/>
    <w:rsid w:val="00721507"/>
    <w:rsid w:val="0072155E"/>
    <w:rsid w:val="00721692"/>
    <w:rsid w:val="007216F1"/>
    <w:rsid w:val="007216F7"/>
    <w:rsid w:val="00721717"/>
    <w:rsid w:val="00721732"/>
    <w:rsid w:val="007218B0"/>
    <w:rsid w:val="007218B8"/>
    <w:rsid w:val="007218D9"/>
    <w:rsid w:val="0072191C"/>
    <w:rsid w:val="007219A9"/>
    <w:rsid w:val="00721A20"/>
    <w:rsid w:val="00721AF6"/>
    <w:rsid w:val="00721B00"/>
    <w:rsid w:val="00721B11"/>
    <w:rsid w:val="00721B97"/>
    <w:rsid w:val="00721BC3"/>
    <w:rsid w:val="00721C32"/>
    <w:rsid w:val="00721CA6"/>
    <w:rsid w:val="00721CE2"/>
    <w:rsid w:val="00721CF4"/>
    <w:rsid w:val="00721D86"/>
    <w:rsid w:val="00721DEB"/>
    <w:rsid w:val="00721E75"/>
    <w:rsid w:val="00721F27"/>
    <w:rsid w:val="00721FA8"/>
    <w:rsid w:val="00721FAE"/>
    <w:rsid w:val="00721FDC"/>
    <w:rsid w:val="00722021"/>
    <w:rsid w:val="0072202E"/>
    <w:rsid w:val="0072204D"/>
    <w:rsid w:val="007220B5"/>
    <w:rsid w:val="007220D9"/>
    <w:rsid w:val="0072217D"/>
    <w:rsid w:val="00722194"/>
    <w:rsid w:val="0072219C"/>
    <w:rsid w:val="007221B1"/>
    <w:rsid w:val="007221CF"/>
    <w:rsid w:val="00722241"/>
    <w:rsid w:val="00722303"/>
    <w:rsid w:val="00722316"/>
    <w:rsid w:val="007223B1"/>
    <w:rsid w:val="007223BB"/>
    <w:rsid w:val="007223E2"/>
    <w:rsid w:val="00722449"/>
    <w:rsid w:val="00722462"/>
    <w:rsid w:val="0072247F"/>
    <w:rsid w:val="007224C2"/>
    <w:rsid w:val="0072254B"/>
    <w:rsid w:val="0072256D"/>
    <w:rsid w:val="007225AA"/>
    <w:rsid w:val="007225E6"/>
    <w:rsid w:val="00722605"/>
    <w:rsid w:val="00722681"/>
    <w:rsid w:val="00722693"/>
    <w:rsid w:val="007226F0"/>
    <w:rsid w:val="0072276D"/>
    <w:rsid w:val="00722864"/>
    <w:rsid w:val="00722931"/>
    <w:rsid w:val="00722978"/>
    <w:rsid w:val="007229C6"/>
    <w:rsid w:val="00722A6A"/>
    <w:rsid w:val="00722A91"/>
    <w:rsid w:val="00722AD9"/>
    <w:rsid w:val="00722AE4"/>
    <w:rsid w:val="00722B78"/>
    <w:rsid w:val="00722B92"/>
    <w:rsid w:val="00722C0D"/>
    <w:rsid w:val="00722C5C"/>
    <w:rsid w:val="00722C61"/>
    <w:rsid w:val="00722C69"/>
    <w:rsid w:val="00722CC9"/>
    <w:rsid w:val="00722CEF"/>
    <w:rsid w:val="00722D0B"/>
    <w:rsid w:val="00722D12"/>
    <w:rsid w:val="00722D46"/>
    <w:rsid w:val="00722D5E"/>
    <w:rsid w:val="00722D7F"/>
    <w:rsid w:val="00722DEA"/>
    <w:rsid w:val="00722E33"/>
    <w:rsid w:val="00722E39"/>
    <w:rsid w:val="00722E6D"/>
    <w:rsid w:val="00722E8D"/>
    <w:rsid w:val="00722E9C"/>
    <w:rsid w:val="007230A0"/>
    <w:rsid w:val="007231B7"/>
    <w:rsid w:val="00723211"/>
    <w:rsid w:val="00723236"/>
    <w:rsid w:val="00723241"/>
    <w:rsid w:val="0072327C"/>
    <w:rsid w:val="00723290"/>
    <w:rsid w:val="007232FE"/>
    <w:rsid w:val="0072337F"/>
    <w:rsid w:val="007233A3"/>
    <w:rsid w:val="00723415"/>
    <w:rsid w:val="00723417"/>
    <w:rsid w:val="0072349F"/>
    <w:rsid w:val="007234C8"/>
    <w:rsid w:val="007234CC"/>
    <w:rsid w:val="0072350B"/>
    <w:rsid w:val="00723571"/>
    <w:rsid w:val="00723597"/>
    <w:rsid w:val="00723641"/>
    <w:rsid w:val="0072365A"/>
    <w:rsid w:val="0072369C"/>
    <w:rsid w:val="007236C5"/>
    <w:rsid w:val="00723774"/>
    <w:rsid w:val="00723818"/>
    <w:rsid w:val="00723862"/>
    <w:rsid w:val="007238C8"/>
    <w:rsid w:val="00723967"/>
    <w:rsid w:val="007239A9"/>
    <w:rsid w:val="007239E1"/>
    <w:rsid w:val="00723A30"/>
    <w:rsid w:val="00723AD2"/>
    <w:rsid w:val="00723B55"/>
    <w:rsid w:val="00723C25"/>
    <w:rsid w:val="00723D14"/>
    <w:rsid w:val="00723DED"/>
    <w:rsid w:val="00723E9C"/>
    <w:rsid w:val="00723F57"/>
    <w:rsid w:val="0072400D"/>
    <w:rsid w:val="00724041"/>
    <w:rsid w:val="00724049"/>
    <w:rsid w:val="0072405A"/>
    <w:rsid w:val="007240CB"/>
    <w:rsid w:val="00724144"/>
    <w:rsid w:val="0072418D"/>
    <w:rsid w:val="00724200"/>
    <w:rsid w:val="00724232"/>
    <w:rsid w:val="007242BF"/>
    <w:rsid w:val="00724309"/>
    <w:rsid w:val="00724354"/>
    <w:rsid w:val="00724363"/>
    <w:rsid w:val="00724439"/>
    <w:rsid w:val="0072451A"/>
    <w:rsid w:val="00724539"/>
    <w:rsid w:val="00724552"/>
    <w:rsid w:val="007245C2"/>
    <w:rsid w:val="007245C7"/>
    <w:rsid w:val="007246FD"/>
    <w:rsid w:val="00724759"/>
    <w:rsid w:val="00724774"/>
    <w:rsid w:val="00724794"/>
    <w:rsid w:val="007247D7"/>
    <w:rsid w:val="00724820"/>
    <w:rsid w:val="0072483A"/>
    <w:rsid w:val="00724842"/>
    <w:rsid w:val="00724965"/>
    <w:rsid w:val="0072499F"/>
    <w:rsid w:val="007249C2"/>
    <w:rsid w:val="007249E8"/>
    <w:rsid w:val="00724A1A"/>
    <w:rsid w:val="00724A24"/>
    <w:rsid w:val="00724A69"/>
    <w:rsid w:val="00724B08"/>
    <w:rsid w:val="00724B2F"/>
    <w:rsid w:val="00724B58"/>
    <w:rsid w:val="00724B99"/>
    <w:rsid w:val="00724BB0"/>
    <w:rsid w:val="00724C01"/>
    <w:rsid w:val="00724C68"/>
    <w:rsid w:val="00724D89"/>
    <w:rsid w:val="00724D8D"/>
    <w:rsid w:val="00724DF4"/>
    <w:rsid w:val="00724F9C"/>
    <w:rsid w:val="00724FAF"/>
    <w:rsid w:val="0072505D"/>
    <w:rsid w:val="007250D1"/>
    <w:rsid w:val="00725199"/>
    <w:rsid w:val="00725208"/>
    <w:rsid w:val="0072524D"/>
    <w:rsid w:val="00725264"/>
    <w:rsid w:val="00725275"/>
    <w:rsid w:val="00725368"/>
    <w:rsid w:val="007253B7"/>
    <w:rsid w:val="0072540C"/>
    <w:rsid w:val="00725412"/>
    <w:rsid w:val="00725423"/>
    <w:rsid w:val="00725473"/>
    <w:rsid w:val="00725517"/>
    <w:rsid w:val="0072556D"/>
    <w:rsid w:val="007255AC"/>
    <w:rsid w:val="007255D1"/>
    <w:rsid w:val="00725628"/>
    <w:rsid w:val="00725639"/>
    <w:rsid w:val="0072567D"/>
    <w:rsid w:val="007256BE"/>
    <w:rsid w:val="007256CF"/>
    <w:rsid w:val="00725736"/>
    <w:rsid w:val="0072573E"/>
    <w:rsid w:val="007257D3"/>
    <w:rsid w:val="00725886"/>
    <w:rsid w:val="00725900"/>
    <w:rsid w:val="00725917"/>
    <w:rsid w:val="00725962"/>
    <w:rsid w:val="00725979"/>
    <w:rsid w:val="007259B0"/>
    <w:rsid w:val="00725A1B"/>
    <w:rsid w:val="00725AE7"/>
    <w:rsid w:val="00725B98"/>
    <w:rsid w:val="00725BCD"/>
    <w:rsid w:val="00725C1F"/>
    <w:rsid w:val="00725C70"/>
    <w:rsid w:val="00725CAB"/>
    <w:rsid w:val="00725D0D"/>
    <w:rsid w:val="00725D2E"/>
    <w:rsid w:val="00725D7A"/>
    <w:rsid w:val="00725D82"/>
    <w:rsid w:val="00725DC9"/>
    <w:rsid w:val="00725DDB"/>
    <w:rsid w:val="00725E29"/>
    <w:rsid w:val="00725EB5"/>
    <w:rsid w:val="00725F12"/>
    <w:rsid w:val="0072603F"/>
    <w:rsid w:val="0072609B"/>
    <w:rsid w:val="007260A0"/>
    <w:rsid w:val="007260B7"/>
    <w:rsid w:val="007260DF"/>
    <w:rsid w:val="007260E7"/>
    <w:rsid w:val="00726119"/>
    <w:rsid w:val="00726139"/>
    <w:rsid w:val="00726194"/>
    <w:rsid w:val="007261FA"/>
    <w:rsid w:val="0072621B"/>
    <w:rsid w:val="00726250"/>
    <w:rsid w:val="0072625E"/>
    <w:rsid w:val="007262D2"/>
    <w:rsid w:val="007262E9"/>
    <w:rsid w:val="00726329"/>
    <w:rsid w:val="0072634D"/>
    <w:rsid w:val="0072637A"/>
    <w:rsid w:val="007263BE"/>
    <w:rsid w:val="007263C9"/>
    <w:rsid w:val="007264C0"/>
    <w:rsid w:val="007264CA"/>
    <w:rsid w:val="00726518"/>
    <w:rsid w:val="007265B1"/>
    <w:rsid w:val="007266C8"/>
    <w:rsid w:val="007266F6"/>
    <w:rsid w:val="007266F9"/>
    <w:rsid w:val="00726749"/>
    <w:rsid w:val="0072674E"/>
    <w:rsid w:val="007267B4"/>
    <w:rsid w:val="00726849"/>
    <w:rsid w:val="0072686A"/>
    <w:rsid w:val="007268B5"/>
    <w:rsid w:val="007269CA"/>
    <w:rsid w:val="007269EF"/>
    <w:rsid w:val="00726A02"/>
    <w:rsid w:val="00726B2E"/>
    <w:rsid w:val="00726B4C"/>
    <w:rsid w:val="00726BA8"/>
    <w:rsid w:val="00726BE0"/>
    <w:rsid w:val="00726C3D"/>
    <w:rsid w:val="00726D80"/>
    <w:rsid w:val="00726DB5"/>
    <w:rsid w:val="00726DBA"/>
    <w:rsid w:val="00726E34"/>
    <w:rsid w:val="00726E4F"/>
    <w:rsid w:val="00726EC8"/>
    <w:rsid w:val="00726F13"/>
    <w:rsid w:val="00726F3E"/>
    <w:rsid w:val="00726F63"/>
    <w:rsid w:val="00726FC8"/>
    <w:rsid w:val="00727001"/>
    <w:rsid w:val="007270CE"/>
    <w:rsid w:val="00727115"/>
    <w:rsid w:val="0072711C"/>
    <w:rsid w:val="00727150"/>
    <w:rsid w:val="0072718C"/>
    <w:rsid w:val="007271B1"/>
    <w:rsid w:val="007271B8"/>
    <w:rsid w:val="00727255"/>
    <w:rsid w:val="00727258"/>
    <w:rsid w:val="007272B5"/>
    <w:rsid w:val="0072733A"/>
    <w:rsid w:val="00727342"/>
    <w:rsid w:val="00727433"/>
    <w:rsid w:val="00727446"/>
    <w:rsid w:val="00727486"/>
    <w:rsid w:val="00727499"/>
    <w:rsid w:val="0072749C"/>
    <w:rsid w:val="00727512"/>
    <w:rsid w:val="00727539"/>
    <w:rsid w:val="00727540"/>
    <w:rsid w:val="00727541"/>
    <w:rsid w:val="0072755A"/>
    <w:rsid w:val="0072756A"/>
    <w:rsid w:val="0072762F"/>
    <w:rsid w:val="00727653"/>
    <w:rsid w:val="0072768A"/>
    <w:rsid w:val="0072768E"/>
    <w:rsid w:val="007276C6"/>
    <w:rsid w:val="007276E2"/>
    <w:rsid w:val="007276ED"/>
    <w:rsid w:val="007276F2"/>
    <w:rsid w:val="00727708"/>
    <w:rsid w:val="0072770D"/>
    <w:rsid w:val="00727799"/>
    <w:rsid w:val="007277DD"/>
    <w:rsid w:val="0072780C"/>
    <w:rsid w:val="0072787F"/>
    <w:rsid w:val="00727884"/>
    <w:rsid w:val="007278D3"/>
    <w:rsid w:val="007278EF"/>
    <w:rsid w:val="00727929"/>
    <w:rsid w:val="007279DC"/>
    <w:rsid w:val="00727A16"/>
    <w:rsid w:val="00727A2E"/>
    <w:rsid w:val="00727A86"/>
    <w:rsid w:val="00727AB0"/>
    <w:rsid w:val="00727B43"/>
    <w:rsid w:val="00727B61"/>
    <w:rsid w:val="00727B92"/>
    <w:rsid w:val="00727B9C"/>
    <w:rsid w:val="00727BC7"/>
    <w:rsid w:val="00727CFD"/>
    <w:rsid w:val="00727D71"/>
    <w:rsid w:val="00727D9A"/>
    <w:rsid w:val="00727E3F"/>
    <w:rsid w:val="00727E64"/>
    <w:rsid w:val="00727EAC"/>
    <w:rsid w:val="00727ED9"/>
    <w:rsid w:val="00727EFF"/>
    <w:rsid w:val="00727F14"/>
    <w:rsid w:val="00727FC6"/>
    <w:rsid w:val="00727FE7"/>
    <w:rsid w:val="00730020"/>
    <w:rsid w:val="007300AA"/>
    <w:rsid w:val="00730118"/>
    <w:rsid w:val="00730171"/>
    <w:rsid w:val="007301C2"/>
    <w:rsid w:val="007301CE"/>
    <w:rsid w:val="007301F4"/>
    <w:rsid w:val="00730294"/>
    <w:rsid w:val="007302E6"/>
    <w:rsid w:val="00730351"/>
    <w:rsid w:val="007303BE"/>
    <w:rsid w:val="00730419"/>
    <w:rsid w:val="0073041F"/>
    <w:rsid w:val="0073042C"/>
    <w:rsid w:val="00730464"/>
    <w:rsid w:val="00730472"/>
    <w:rsid w:val="00730497"/>
    <w:rsid w:val="007304CF"/>
    <w:rsid w:val="00730526"/>
    <w:rsid w:val="007305EA"/>
    <w:rsid w:val="007306B4"/>
    <w:rsid w:val="007306D0"/>
    <w:rsid w:val="007306F5"/>
    <w:rsid w:val="00730730"/>
    <w:rsid w:val="0073074B"/>
    <w:rsid w:val="0073076C"/>
    <w:rsid w:val="00730789"/>
    <w:rsid w:val="00730791"/>
    <w:rsid w:val="007307B6"/>
    <w:rsid w:val="007307DC"/>
    <w:rsid w:val="00730802"/>
    <w:rsid w:val="00730812"/>
    <w:rsid w:val="00730880"/>
    <w:rsid w:val="007308A9"/>
    <w:rsid w:val="007308E6"/>
    <w:rsid w:val="00730944"/>
    <w:rsid w:val="00730A03"/>
    <w:rsid w:val="00730A5E"/>
    <w:rsid w:val="00730AFE"/>
    <w:rsid w:val="00730B62"/>
    <w:rsid w:val="00730BE3"/>
    <w:rsid w:val="00730C71"/>
    <w:rsid w:val="00730CBF"/>
    <w:rsid w:val="00730CFF"/>
    <w:rsid w:val="00730E56"/>
    <w:rsid w:val="00730E74"/>
    <w:rsid w:val="00730EF2"/>
    <w:rsid w:val="00730F59"/>
    <w:rsid w:val="00730F92"/>
    <w:rsid w:val="00730FE5"/>
    <w:rsid w:val="0073101B"/>
    <w:rsid w:val="00731085"/>
    <w:rsid w:val="00731089"/>
    <w:rsid w:val="007310B1"/>
    <w:rsid w:val="0073111F"/>
    <w:rsid w:val="00731158"/>
    <w:rsid w:val="0073116B"/>
    <w:rsid w:val="0073119B"/>
    <w:rsid w:val="007311A2"/>
    <w:rsid w:val="007311B9"/>
    <w:rsid w:val="007311C0"/>
    <w:rsid w:val="007311F3"/>
    <w:rsid w:val="00731275"/>
    <w:rsid w:val="0073128D"/>
    <w:rsid w:val="0073129C"/>
    <w:rsid w:val="0073139E"/>
    <w:rsid w:val="007313A6"/>
    <w:rsid w:val="007313C0"/>
    <w:rsid w:val="007313F9"/>
    <w:rsid w:val="0073147C"/>
    <w:rsid w:val="007314C5"/>
    <w:rsid w:val="00731507"/>
    <w:rsid w:val="00731526"/>
    <w:rsid w:val="00731592"/>
    <w:rsid w:val="00731622"/>
    <w:rsid w:val="00731628"/>
    <w:rsid w:val="007316C9"/>
    <w:rsid w:val="007316D6"/>
    <w:rsid w:val="00731756"/>
    <w:rsid w:val="00731767"/>
    <w:rsid w:val="007317A8"/>
    <w:rsid w:val="007317AD"/>
    <w:rsid w:val="007317B6"/>
    <w:rsid w:val="007318E7"/>
    <w:rsid w:val="0073194B"/>
    <w:rsid w:val="0073196D"/>
    <w:rsid w:val="007319D2"/>
    <w:rsid w:val="00731AC6"/>
    <w:rsid w:val="00731B43"/>
    <w:rsid w:val="00731BFF"/>
    <w:rsid w:val="00731C21"/>
    <w:rsid w:val="00731C99"/>
    <w:rsid w:val="00731CF0"/>
    <w:rsid w:val="00731D12"/>
    <w:rsid w:val="00731D9F"/>
    <w:rsid w:val="00731E6D"/>
    <w:rsid w:val="00731EB8"/>
    <w:rsid w:val="00731EE7"/>
    <w:rsid w:val="00731EF3"/>
    <w:rsid w:val="00731F03"/>
    <w:rsid w:val="00731F31"/>
    <w:rsid w:val="00732004"/>
    <w:rsid w:val="00732088"/>
    <w:rsid w:val="007320E0"/>
    <w:rsid w:val="007320E8"/>
    <w:rsid w:val="007321D3"/>
    <w:rsid w:val="00732214"/>
    <w:rsid w:val="0073226B"/>
    <w:rsid w:val="00732295"/>
    <w:rsid w:val="0073233D"/>
    <w:rsid w:val="00732389"/>
    <w:rsid w:val="0073251A"/>
    <w:rsid w:val="00732554"/>
    <w:rsid w:val="0073262B"/>
    <w:rsid w:val="0073266D"/>
    <w:rsid w:val="0073268D"/>
    <w:rsid w:val="007326C0"/>
    <w:rsid w:val="007326D0"/>
    <w:rsid w:val="007326F0"/>
    <w:rsid w:val="00732703"/>
    <w:rsid w:val="00732764"/>
    <w:rsid w:val="007327BE"/>
    <w:rsid w:val="007327D0"/>
    <w:rsid w:val="0073281C"/>
    <w:rsid w:val="0073293D"/>
    <w:rsid w:val="00732968"/>
    <w:rsid w:val="00732994"/>
    <w:rsid w:val="007329B7"/>
    <w:rsid w:val="007329C4"/>
    <w:rsid w:val="00732A04"/>
    <w:rsid w:val="00732B72"/>
    <w:rsid w:val="00732B88"/>
    <w:rsid w:val="00732C01"/>
    <w:rsid w:val="00732D44"/>
    <w:rsid w:val="00732D77"/>
    <w:rsid w:val="00732D98"/>
    <w:rsid w:val="00732DBC"/>
    <w:rsid w:val="00732DD2"/>
    <w:rsid w:val="00732DE4"/>
    <w:rsid w:val="00732E96"/>
    <w:rsid w:val="00732EA0"/>
    <w:rsid w:val="00732EB8"/>
    <w:rsid w:val="00732F3C"/>
    <w:rsid w:val="00732F4E"/>
    <w:rsid w:val="00732FC2"/>
    <w:rsid w:val="00733026"/>
    <w:rsid w:val="00733039"/>
    <w:rsid w:val="00733096"/>
    <w:rsid w:val="007330A4"/>
    <w:rsid w:val="007331AF"/>
    <w:rsid w:val="007331F0"/>
    <w:rsid w:val="0073322F"/>
    <w:rsid w:val="00733351"/>
    <w:rsid w:val="007334B6"/>
    <w:rsid w:val="007334FD"/>
    <w:rsid w:val="00733501"/>
    <w:rsid w:val="00733637"/>
    <w:rsid w:val="00733670"/>
    <w:rsid w:val="007336AB"/>
    <w:rsid w:val="007336F1"/>
    <w:rsid w:val="0073371D"/>
    <w:rsid w:val="00733797"/>
    <w:rsid w:val="0073382B"/>
    <w:rsid w:val="0073383D"/>
    <w:rsid w:val="0073387C"/>
    <w:rsid w:val="007338BD"/>
    <w:rsid w:val="00733918"/>
    <w:rsid w:val="0073394A"/>
    <w:rsid w:val="00733A5F"/>
    <w:rsid w:val="00733AD8"/>
    <w:rsid w:val="00733ADE"/>
    <w:rsid w:val="00733BB3"/>
    <w:rsid w:val="00733BEE"/>
    <w:rsid w:val="00733C1F"/>
    <w:rsid w:val="00733C90"/>
    <w:rsid w:val="00733DEB"/>
    <w:rsid w:val="00733E02"/>
    <w:rsid w:val="00733E30"/>
    <w:rsid w:val="00733E36"/>
    <w:rsid w:val="00733F61"/>
    <w:rsid w:val="00733FED"/>
    <w:rsid w:val="00733FFE"/>
    <w:rsid w:val="0073402C"/>
    <w:rsid w:val="0073402D"/>
    <w:rsid w:val="0073405D"/>
    <w:rsid w:val="00734111"/>
    <w:rsid w:val="00734119"/>
    <w:rsid w:val="00734170"/>
    <w:rsid w:val="00734176"/>
    <w:rsid w:val="007341DC"/>
    <w:rsid w:val="0073421B"/>
    <w:rsid w:val="0073426D"/>
    <w:rsid w:val="00734322"/>
    <w:rsid w:val="00734398"/>
    <w:rsid w:val="007343D2"/>
    <w:rsid w:val="007343D3"/>
    <w:rsid w:val="007343EE"/>
    <w:rsid w:val="00734403"/>
    <w:rsid w:val="0073443A"/>
    <w:rsid w:val="0073446F"/>
    <w:rsid w:val="0073447F"/>
    <w:rsid w:val="007344C2"/>
    <w:rsid w:val="007344E0"/>
    <w:rsid w:val="007344FC"/>
    <w:rsid w:val="00734542"/>
    <w:rsid w:val="00734580"/>
    <w:rsid w:val="007345AE"/>
    <w:rsid w:val="007345EC"/>
    <w:rsid w:val="007345FD"/>
    <w:rsid w:val="0073462E"/>
    <w:rsid w:val="00734659"/>
    <w:rsid w:val="00734696"/>
    <w:rsid w:val="00734774"/>
    <w:rsid w:val="007347D0"/>
    <w:rsid w:val="007347E3"/>
    <w:rsid w:val="0073481A"/>
    <w:rsid w:val="0073484E"/>
    <w:rsid w:val="007348C9"/>
    <w:rsid w:val="0073493B"/>
    <w:rsid w:val="00734948"/>
    <w:rsid w:val="00734957"/>
    <w:rsid w:val="00734968"/>
    <w:rsid w:val="00734A10"/>
    <w:rsid w:val="00734A3F"/>
    <w:rsid w:val="00734C3F"/>
    <w:rsid w:val="00734C6B"/>
    <w:rsid w:val="00734CC6"/>
    <w:rsid w:val="00734D00"/>
    <w:rsid w:val="00734D50"/>
    <w:rsid w:val="00734DB1"/>
    <w:rsid w:val="00734E92"/>
    <w:rsid w:val="00734E9A"/>
    <w:rsid w:val="00734ED3"/>
    <w:rsid w:val="00734F5D"/>
    <w:rsid w:val="00734F7D"/>
    <w:rsid w:val="0073502F"/>
    <w:rsid w:val="00735038"/>
    <w:rsid w:val="0073505E"/>
    <w:rsid w:val="00735071"/>
    <w:rsid w:val="007350C1"/>
    <w:rsid w:val="007350C6"/>
    <w:rsid w:val="007350CA"/>
    <w:rsid w:val="007350CF"/>
    <w:rsid w:val="00735160"/>
    <w:rsid w:val="00735189"/>
    <w:rsid w:val="0073522F"/>
    <w:rsid w:val="00735246"/>
    <w:rsid w:val="007352B4"/>
    <w:rsid w:val="00735329"/>
    <w:rsid w:val="0073534D"/>
    <w:rsid w:val="007353D1"/>
    <w:rsid w:val="007354A3"/>
    <w:rsid w:val="007354F5"/>
    <w:rsid w:val="007354F6"/>
    <w:rsid w:val="00735558"/>
    <w:rsid w:val="007355EE"/>
    <w:rsid w:val="00735685"/>
    <w:rsid w:val="007356A0"/>
    <w:rsid w:val="007356FA"/>
    <w:rsid w:val="0073575E"/>
    <w:rsid w:val="0073576D"/>
    <w:rsid w:val="007357A7"/>
    <w:rsid w:val="00735889"/>
    <w:rsid w:val="00735904"/>
    <w:rsid w:val="00735923"/>
    <w:rsid w:val="0073598D"/>
    <w:rsid w:val="007359C3"/>
    <w:rsid w:val="00735AA9"/>
    <w:rsid w:val="00735B02"/>
    <w:rsid w:val="00735B1C"/>
    <w:rsid w:val="00735B6B"/>
    <w:rsid w:val="00735B82"/>
    <w:rsid w:val="00735BEB"/>
    <w:rsid w:val="00735C2B"/>
    <w:rsid w:val="00735D31"/>
    <w:rsid w:val="00735D49"/>
    <w:rsid w:val="00735D4D"/>
    <w:rsid w:val="00735DE3"/>
    <w:rsid w:val="00735E7B"/>
    <w:rsid w:val="00735ED1"/>
    <w:rsid w:val="00735EF8"/>
    <w:rsid w:val="00735F38"/>
    <w:rsid w:val="00735F8C"/>
    <w:rsid w:val="00735FCE"/>
    <w:rsid w:val="00735FEA"/>
    <w:rsid w:val="00736051"/>
    <w:rsid w:val="0073606D"/>
    <w:rsid w:val="007360B1"/>
    <w:rsid w:val="00736156"/>
    <w:rsid w:val="00736305"/>
    <w:rsid w:val="007363B8"/>
    <w:rsid w:val="00736466"/>
    <w:rsid w:val="007364CC"/>
    <w:rsid w:val="007364EF"/>
    <w:rsid w:val="00736541"/>
    <w:rsid w:val="007365A4"/>
    <w:rsid w:val="00736702"/>
    <w:rsid w:val="0073673F"/>
    <w:rsid w:val="0073677B"/>
    <w:rsid w:val="007367C0"/>
    <w:rsid w:val="00736854"/>
    <w:rsid w:val="00736894"/>
    <w:rsid w:val="0073689B"/>
    <w:rsid w:val="007368B5"/>
    <w:rsid w:val="00736977"/>
    <w:rsid w:val="00736992"/>
    <w:rsid w:val="00736A08"/>
    <w:rsid w:val="00736A14"/>
    <w:rsid w:val="00736A56"/>
    <w:rsid w:val="00736AD0"/>
    <w:rsid w:val="00736AD3"/>
    <w:rsid w:val="00736ADC"/>
    <w:rsid w:val="00736B65"/>
    <w:rsid w:val="00736BA8"/>
    <w:rsid w:val="00736BAF"/>
    <w:rsid w:val="00736C1C"/>
    <w:rsid w:val="00736C9C"/>
    <w:rsid w:val="00736CBB"/>
    <w:rsid w:val="00736D47"/>
    <w:rsid w:val="00736D6C"/>
    <w:rsid w:val="00736D83"/>
    <w:rsid w:val="00736D85"/>
    <w:rsid w:val="00736D8A"/>
    <w:rsid w:val="00736DC5"/>
    <w:rsid w:val="00736DE0"/>
    <w:rsid w:val="00736E0F"/>
    <w:rsid w:val="00736E31"/>
    <w:rsid w:val="00736EEA"/>
    <w:rsid w:val="00736F90"/>
    <w:rsid w:val="00736FB2"/>
    <w:rsid w:val="00736FD7"/>
    <w:rsid w:val="00736FF9"/>
    <w:rsid w:val="0073709A"/>
    <w:rsid w:val="007370A1"/>
    <w:rsid w:val="007370BB"/>
    <w:rsid w:val="00737157"/>
    <w:rsid w:val="0073717F"/>
    <w:rsid w:val="007371B6"/>
    <w:rsid w:val="007371DD"/>
    <w:rsid w:val="007372DA"/>
    <w:rsid w:val="007372FE"/>
    <w:rsid w:val="00737481"/>
    <w:rsid w:val="007374B8"/>
    <w:rsid w:val="00737522"/>
    <w:rsid w:val="00737532"/>
    <w:rsid w:val="00737582"/>
    <w:rsid w:val="007375A7"/>
    <w:rsid w:val="00737664"/>
    <w:rsid w:val="00737725"/>
    <w:rsid w:val="00737774"/>
    <w:rsid w:val="0073778D"/>
    <w:rsid w:val="00737797"/>
    <w:rsid w:val="007377A2"/>
    <w:rsid w:val="007377DC"/>
    <w:rsid w:val="007377F6"/>
    <w:rsid w:val="00737872"/>
    <w:rsid w:val="0073789B"/>
    <w:rsid w:val="007378BB"/>
    <w:rsid w:val="007378BD"/>
    <w:rsid w:val="007378D1"/>
    <w:rsid w:val="007378D7"/>
    <w:rsid w:val="00737919"/>
    <w:rsid w:val="0073792B"/>
    <w:rsid w:val="0073797B"/>
    <w:rsid w:val="00737A1E"/>
    <w:rsid w:val="00737AB7"/>
    <w:rsid w:val="00737B29"/>
    <w:rsid w:val="00737D0F"/>
    <w:rsid w:val="00737D53"/>
    <w:rsid w:val="00737D9F"/>
    <w:rsid w:val="00737DBB"/>
    <w:rsid w:val="00737E09"/>
    <w:rsid w:val="00737E3C"/>
    <w:rsid w:val="00737EF0"/>
    <w:rsid w:val="00737F88"/>
    <w:rsid w:val="00737FA4"/>
    <w:rsid w:val="0074006D"/>
    <w:rsid w:val="0074007F"/>
    <w:rsid w:val="00740095"/>
    <w:rsid w:val="00740163"/>
    <w:rsid w:val="0074017A"/>
    <w:rsid w:val="00740195"/>
    <w:rsid w:val="007401DE"/>
    <w:rsid w:val="007401F5"/>
    <w:rsid w:val="007402B9"/>
    <w:rsid w:val="00740409"/>
    <w:rsid w:val="0074049E"/>
    <w:rsid w:val="0074052C"/>
    <w:rsid w:val="0074067A"/>
    <w:rsid w:val="007406D9"/>
    <w:rsid w:val="007406DB"/>
    <w:rsid w:val="00740704"/>
    <w:rsid w:val="00740777"/>
    <w:rsid w:val="007407E1"/>
    <w:rsid w:val="00740805"/>
    <w:rsid w:val="007408B9"/>
    <w:rsid w:val="007408ED"/>
    <w:rsid w:val="0074090F"/>
    <w:rsid w:val="00740920"/>
    <w:rsid w:val="00740923"/>
    <w:rsid w:val="00740924"/>
    <w:rsid w:val="007409A1"/>
    <w:rsid w:val="00740A11"/>
    <w:rsid w:val="00740A48"/>
    <w:rsid w:val="00740A82"/>
    <w:rsid w:val="00740A99"/>
    <w:rsid w:val="00740AA3"/>
    <w:rsid w:val="00740AAE"/>
    <w:rsid w:val="00740ABF"/>
    <w:rsid w:val="00740B14"/>
    <w:rsid w:val="00740B33"/>
    <w:rsid w:val="00740CCE"/>
    <w:rsid w:val="00740D31"/>
    <w:rsid w:val="00740D32"/>
    <w:rsid w:val="00740D40"/>
    <w:rsid w:val="00740D41"/>
    <w:rsid w:val="00740E55"/>
    <w:rsid w:val="00740E90"/>
    <w:rsid w:val="00740F1C"/>
    <w:rsid w:val="0074109E"/>
    <w:rsid w:val="007410BE"/>
    <w:rsid w:val="007410D6"/>
    <w:rsid w:val="007411A9"/>
    <w:rsid w:val="007411E2"/>
    <w:rsid w:val="00741265"/>
    <w:rsid w:val="007412B1"/>
    <w:rsid w:val="00741307"/>
    <w:rsid w:val="00741377"/>
    <w:rsid w:val="007413E6"/>
    <w:rsid w:val="00741406"/>
    <w:rsid w:val="007414CA"/>
    <w:rsid w:val="00741526"/>
    <w:rsid w:val="007415F0"/>
    <w:rsid w:val="00741609"/>
    <w:rsid w:val="00741670"/>
    <w:rsid w:val="007416A1"/>
    <w:rsid w:val="007416DE"/>
    <w:rsid w:val="007416EB"/>
    <w:rsid w:val="007416FE"/>
    <w:rsid w:val="0074179B"/>
    <w:rsid w:val="007417A4"/>
    <w:rsid w:val="007417E7"/>
    <w:rsid w:val="0074188B"/>
    <w:rsid w:val="007418EF"/>
    <w:rsid w:val="00741900"/>
    <w:rsid w:val="0074192D"/>
    <w:rsid w:val="00741932"/>
    <w:rsid w:val="00741A0E"/>
    <w:rsid w:val="00741AE9"/>
    <w:rsid w:val="00741AF0"/>
    <w:rsid w:val="00741AF3"/>
    <w:rsid w:val="00741BB7"/>
    <w:rsid w:val="00741BEE"/>
    <w:rsid w:val="00741BFD"/>
    <w:rsid w:val="00741C26"/>
    <w:rsid w:val="00741C48"/>
    <w:rsid w:val="00741C55"/>
    <w:rsid w:val="00741CDF"/>
    <w:rsid w:val="00741D69"/>
    <w:rsid w:val="00741E00"/>
    <w:rsid w:val="00741E5D"/>
    <w:rsid w:val="00741E88"/>
    <w:rsid w:val="00741EB2"/>
    <w:rsid w:val="00741EFF"/>
    <w:rsid w:val="00741F6C"/>
    <w:rsid w:val="00741FAD"/>
    <w:rsid w:val="00741FE8"/>
    <w:rsid w:val="0074203E"/>
    <w:rsid w:val="00742053"/>
    <w:rsid w:val="00742059"/>
    <w:rsid w:val="007420A2"/>
    <w:rsid w:val="007420A8"/>
    <w:rsid w:val="007420EE"/>
    <w:rsid w:val="0074210C"/>
    <w:rsid w:val="00742177"/>
    <w:rsid w:val="00742199"/>
    <w:rsid w:val="007421C0"/>
    <w:rsid w:val="007422E3"/>
    <w:rsid w:val="007422F3"/>
    <w:rsid w:val="007422F9"/>
    <w:rsid w:val="00742304"/>
    <w:rsid w:val="0074235E"/>
    <w:rsid w:val="007423EF"/>
    <w:rsid w:val="007423F5"/>
    <w:rsid w:val="00742426"/>
    <w:rsid w:val="00742483"/>
    <w:rsid w:val="007424B8"/>
    <w:rsid w:val="00742570"/>
    <w:rsid w:val="00742588"/>
    <w:rsid w:val="00742601"/>
    <w:rsid w:val="0074260B"/>
    <w:rsid w:val="0074261C"/>
    <w:rsid w:val="00742671"/>
    <w:rsid w:val="0074269B"/>
    <w:rsid w:val="007426CB"/>
    <w:rsid w:val="007426D0"/>
    <w:rsid w:val="007426FF"/>
    <w:rsid w:val="0074273B"/>
    <w:rsid w:val="0074279D"/>
    <w:rsid w:val="007427E6"/>
    <w:rsid w:val="0074291A"/>
    <w:rsid w:val="00742926"/>
    <w:rsid w:val="0074298D"/>
    <w:rsid w:val="007429C3"/>
    <w:rsid w:val="00742A21"/>
    <w:rsid w:val="00742ACF"/>
    <w:rsid w:val="00742AFB"/>
    <w:rsid w:val="00742BE4"/>
    <w:rsid w:val="00742BF2"/>
    <w:rsid w:val="00742C7B"/>
    <w:rsid w:val="00742D2D"/>
    <w:rsid w:val="00742D45"/>
    <w:rsid w:val="00742D4F"/>
    <w:rsid w:val="00742D9B"/>
    <w:rsid w:val="00742DA3"/>
    <w:rsid w:val="00742DA6"/>
    <w:rsid w:val="00742DD5"/>
    <w:rsid w:val="00742E58"/>
    <w:rsid w:val="00742F08"/>
    <w:rsid w:val="00742FBC"/>
    <w:rsid w:val="00742FF3"/>
    <w:rsid w:val="00743010"/>
    <w:rsid w:val="0074307A"/>
    <w:rsid w:val="0074308F"/>
    <w:rsid w:val="0074312F"/>
    <w:rsid w:val="0074314B"/>
    <w:rsid w:val="0074315E"/>
    <w:rsid w:val="00743180"/>
    <w:rsid w:val="007431A9"/>
    <w:rsid w:val="007431C1"/>
    <w:rsid w:val="007431EA"/>
    <w:rsid w:val="00743232"/>
    <w:rsid w:val="00743278"/>
    <w:rsid w:val="007432EC"/>
    <w:rsid w:val="007432F4"/>
    <w:rsid w:val="00743342"/>
    <w:rsid w:val="007433C1"/>
    <w:rsid w:val="007433D3"/>
    <w:rsid w:val="007433DA"/>
    <w:rsid w:val="00743435"/>
    <w:rsid w:val="00743444"/>
    <w:rsid w:val="00743486"/>
    <w:rsid w:val="007434A8"/>
    <w:rsid w:val="007434DF"/>
    <w:rsid w:val="007434E0"/>
    <w:rsid w:val="00743522"/>
    <w:rsid w:val="00743592"/>
    <w:rsid w:val="007435B7"/>
    <w:rsid w:val="007435D3"/>
    <w:rsid w:val="00743653"/>
    <w:rsid w:val="0074389C"/>
    <w:rsid w:val="007438FB"/>
    <w:rsid w:val="00743964"/>
    <w:rsid w:val="00743A1B"/>
    <w:rsid w:val="00743A1D"/>
    <w:rsid w:val="00743AF7"/>
    <w:rsid w:val="00743B33"/>
    <w:rsid w:val="00743B99"/>
    <w:rsid w:val="00743BA4"/>
    <w:rsid w:val="00743BF0"/>
    <w:rsid w:val="00743C5A"/>
    <w:rsid w:val="00743C79"/>
    <w:rsid w:val="00743C95"/>
    <w:rsid w:val="00743CF2"/>
    <w:rsid w:val="00743D1D"/>
    <w:rsid w:val="00743DF0"/>
    <w:rsid w:val="00743DFF"/>
    <w:rsid w:val="00743E7A"/>
    <w:rsid w:val="00743F75"/>
    <w:rsid w:val="00743FCD"/>
    <w:rsid w:val="00743FDB"/>
    <w:rsid w:val="0074404F"/>
    <w:rsid w:val="0074405B"/>
    <w:rsid w:val="007440E5"/>
    <w:rsid w:val="0074412C"/>
    <w:rsid w:val="00744145"/>
    <w:rsid w:val="007441B0"/>
    <w:rsid w:val="007441B8"/>
    <w:rsid w:val="00744308"/>
    <w:rsid w:val="0074434B"/>
    <w:rsid w:val="007443B6"/>
    <w:rsid w:val="007443D1"/>
    <w:rsid w:val="007443FC"/>
    <w:rsid w:val="0074444E"/>
    <w:rsid w:val="0074445F"/>
    <w:rsid w:val="007444A0"/>
    <w:rsid w:val="0074452A"/>
    <w:rsid w:val="00744585"/>
    <w:rsid w:val="007445EE"/>
    <w:rsid w:val="00744614"/>
    <w:rsid w:val="0074461E"/>
    <w:rsid w:val="007446DA"/>
    <w:rsid w:val="0074471A"/>
    <w:rsid w:val="00744757"/>
    <w:rsid w:val="00744787"/>
    <w:rsid w:val="007447D9"/>
    <w:rsid w:val="007447DE"/>
    <w:rsid w:val="007447F0"/>
    <w:rsid w:val="00744804"/>
    <w:rsid w:val="0074480F"/>
    <w:rsid w:val="00744879"/>
    <w:rsid w:val="0074494E"/>
    <w:rsid w:val="00744954"/>
    <w:rsid w:val="0074496C"/>
    <w:rsid w:val="00744977"/>
    <w:rsid w:val="00744986"/>
    <w:rsid w:val="007449C5"/>
    <w:rsid w:val="00744AA7"/>
    <w:rsid w:val="00744ABE"/>
    <w:rsid w:val="00744B24"/>
    <w:rsid w:val="00744B4F"/>
    <w:rsid w:val="00744BE1"/>
    <w:rsid w:val="00744C92"/>
    <w:rsid w:val="00744CB8"/>
    <w:rsid w:val="00744D0C"/>
    <w:rsid w:val="00744D53"/>
    <w:rsid w:val="00744D73"/>
    <w:rsid w:val="00744D86"/>
    <w:rsid w:val="00744DF7"/>
    <w:rsid w:val="00744E00"/>
    <w:rsid w:val="00744E86"/>
    <w:rsid w:val="00744F24"/>
    <w:rsid w:val="00744F27"/>
    <w:rsid w:val="00744FFF"/>
    <w:rsid w:val="0074501E"/>
    <w:rsid w:val="00745028"/>
    <w:rsid w:val="0074506B"/>
    <w:rsid w:val="0074511A"/>
    <w:rsid w:val="00745122"/>
    <w:rsid w:val="00745137"/>
    <w:rsid w:val="007451A0"/>
    <w:rsid w:val="007451B3"/>
    <w:rsid w:val="007451C8"/>
    <w:rsid w:val="007451C9"/>
    <w:rsid w:val="00745223"/>
    <w:rsid w:val="00745382"/>
    <w:rsid w:val="007453BE"/>
    <w:rsid w:val="00745489"/>
    <w:rsid w:val="007454A0"/>
    <w:rsid w:val="0074556F"/>
    <w:rsid w:val="00745588"/>
    <w:rsid w:val="007455DE"/>
    <w:rsid w:val="00745736"/>
    <w:rsid w:val="00745796"/>
    <w:rsid w:val="007457E3"/>
    <w:rsid w:val="007457EE"/>
    <w:rsid w:val="007457F7"/>
    <w:rsid w:val="007458DA"/>
    <w:rsid w:val="00745960"/>
    <w:rsid w:val="00745988"/>
    <w:rsid w:val="007459BB"/>
    <w:rsid w:val="007459E3"/>
    <w:rsid w:val="00745A32"/>
    <w:rsid w:val="00745A9E"/>
    <w:rsid w:val="00745ABB"/>
    <w:rsid w:val="00745C01"/>
    <w:rsid w:val="00745C23"/>
    <w:rsid w:val="00745C43"/>
    <w:rsid w:val="00745C82"/>
    <w:rsid w:val="00745D65"/>
    <w:rsid w:val="00745E2F"/>
    <w:rsid w:val="00745ED7"/>
    <w:rsid w:val="00745F07"/>
    <w:rsid w:val="00745F13"/>
    <w:rsid w:val="00745FE5"/>
    <w:rsid w:val="00746024"/>
    <w:rsid w:val="0074602A"/>
    <w:rsid w:val="0074605B"/>
    <w:rsid w:val="0074605F"/>
    <w:rsid w:val="0074606A"/>
    <w:rsid w:val="00746077"/>
    <w:rsid w:val="00746118"/>
    <w:rsid w:val="00746119"/>
    <w:rsid w:val="00746134"/>
    <w:rsid w:val="007461E6"/>
    <w:rsid w:val="0074627F"/>
    <w:rsid w:val="0074628B"/>
    <w:rsid w:val="0074639F"/>
    <w:rsid w:val="007463E3"/>
    <w:rsid w:val="00746457"/>
    <w:rsid w:val="00746468"/>
    <w:rsid w:val="0074648A"/>
    <w:rsid w:val="0074651C"/>
    <w:rsid w:val="00746562"/>
    <w:rsid w:val="0074659F"/>
    <w:rsid w:val="00746614"/>
    <w:rsid w:val="00746662"/>
    <w:rsid w:val="00746689"/>
    <w:rsid w:val="0074669C"/>
    <w:rsid w:val="0074675B"/>
    <w:rsid w:val="007467EE"/>
    <w:rsid w:val="007468B2"/>
    <w:rsid w:val="007468BF"/>
    <w:rsid w:val="0074695E"/>
    <w:rsid w:val="00746969"/>
    <w:rsid w:val="00746998"/>
    <w:rsid w:val="007469B4"/>
    <w:rsid w:val="007469DD"/>
    <w:rsid w:val="00746A64"/>
    <w:rsid w:val="00746A73"/>
    <w:rsid w:val="00746A78"/>
    <w:rsid w:val="00746A83"/>
    <w:rsid w:val="00746B22"/>
    <w:rsid w:val="00746B39"/>
    <w:rsid w:val="00746B93"/>
    <w:rsid w:val="00746B9C"/>
    <w:rsid w:val="00746BB7"/>
    <w:rsid w:val="00746C88"/>
    <w:rsid w:val="00746CB2"/>
    <w:rsid w:val="00746CF6"/>
    <w:rsid w:val="00746D04"/>
    <w:rsid w:val="00746D23"/>
    <w:rsid w:val="00746D6A"/>
    <w:rsid w:val="00746D9B"/>
    <w:rsid w:val="00746DB3"/>
    <w:rsid w:val="00746DD6"/>
    <w:rsid w:val="00746DF1"/>
    <w:rsid w:val="00746DF9"/>
    <w:rsid w:val="00746E3B"/>
    <w:rsid w:val="00746E3D"/>
    <w:rsid w:val="00746EEF"/>
    <w:rsid w:val="00746F8D"/>
    <w:rsid w:val="00746FEE"/>
    <w:rsid w:val="00747029"/>
    <w:rsid w:val="007470C4"/>
    <w:rsid w:val="0074720A"/>
    <w:rsid w:val="007472AA"/>
    <w:rsid w:val="00747311"/>
    <w:rsid w:val="00747331"/>
    <w:rsid w:val="007473DD"/>
    <w:rsid w:val="00747484"/>
    <w:rsid w:val="007474AD"/>
    <w:rsid w:val="007474CB"/>
    <w:rsid w:val="0074750E"/>
    <w:rsid w:val="00747511"/>
    <w:rsid w:val="0074754C"/>
    <w:rsid w:val="0074756F"/>
    <w:rsid w:val="007475DA"/>
    <w:rsid w:val="00747655"/>
    <w:rsid w:val="00747671"/>
    <w:rsid w:val="00747674"/>
    <w:rsid w:val="00747707"/>
    <w:rsid w:val="00747755"/>
    <w:rsid w:val="0074778C"/>
    <w:rsid w:val="007477AC"/>
    <w:rsid w:val="00747825"/>
    <w:rsid w:val="007478C1"/>
    <w:rsid w:val="007478EB"/>
    <w:rsid w:val="007479E6"/>
    <w:rsid w:val="00747ACD"/>
    <w:rsid w:val="00747B0B"/>
    <w:rsid w:val="00747B2D"/>
    <w:rsid w:val="00747B34"/>
    <w:rsid w:val="00747C04"/>
    <w:rsid w:val="00747C9A"/>
    <w:rsid w:val="00747CDA"/>
    <w:rsid w:val="00747D3B"/>
    <w:rsid w:val="00747E70"/>
    <w:rsid w:val="00747EA0"/>
    <w:rsid w:val="00747EAB"/>
    <w:rsid w:val="00747EDE"/>
    <w:rsid w:val="00747EF6"/>
    <w:rsid w:val="00747F0E"/>
    <w:rsid w:val="00747F3B"/>
    <w:rsid w:val="00747F5F"/>
    <w:rsid w:val="00747F87"/>
    <w:rsid w:val="00747FA4"/>
    <w:rsid w:val="00750050"/>
    <w:rsid w:val="00750091"/>
    <w:rsid w:val="00750208"/>
    <w:rsid w:val="0075024F"/>
    <w:rsid w:val="0075027D"/>
    <w:rsid w:val="0075028A"/>
    <w:rsid w:val="007502A2"/>
    <w:rsid w:val="007502AB"/>
    <w:rsid w:val="00750300"/>
    <w:rsid w:val="00750323"/>
    <w:rsid w:val="00750324"/>
    <w:rsid w:val="00750394"/>
    <w:rsid w:val="00750445"/>
    <w:rsid w:val="0075045E"/>
    <w:rsid w:val="007504D6"/>
    <w:rsid w:val="00750569"/>
    <w:rsid w:val="0075056C"/>
    <w:rsid w:val="0075060A"/>
    <w:rsid w:val="00750623"/>
    <w:rsid w:val="00750627"/>
    <w:rsid w:val="0075069F"/>
    <w:rsid w:val="007506E3"/>
    <w:rsid w:val="007506F8"/>
    <w:rsid w:val="00750712"/>
    <w:rsid w:val="00750763"/>
    <w:rsid w:val="00750765"/>
    <w:rsid w:val="00750774"/>
    <w:rsid w:val="007507CB"/>
    <w:rsid w:val="007508C1"/>
    <w:rsid w:val="007508F7"/>
    <w:rsid w:val="0075093A"/>
    <w:rsid w:val="007509E9"/>
    <w:rsid w:val="00750A43"/>
    <w:rsid w:val="00750A5D"/>
    <w:rsid w:val="00750A87"/>
    <w:rsid w:val="00750AEB"/>
    <w:rsid w:val="00750B20"/>
    <w:rsid w:val="00750B61"/>
    <w:rsid w:val="00750BC6"/>
    <w:rsid w:val="00750BFB"/>
    <w:rsid w:val="00750C4D"/>
    <w:rsid w:val="00750C7E"/>
    <w:rsid w:val="00750C8A"/>
    <w:rsid w:val="00750CA4"/>
    <w:rsid w:val="00750CAF"/>
    <w:rsid w:val="00750E7E"/>
    <w:rsid w:val="00750EBE"/>
    <w:rsid w:val="00750F3B"/>
    <w:rsid w:val="00751014"/>
    <w:rsid w:val="007511B5"/>
    <w:rsid w:val="007511B9"/>
    <w:rsid w:val="007511DB"/>
    <w:rsid w:val="007511E1"/>
    <w:rsid w:val="007511F8"/>
    <w:rsid w:val="00751271"/>
    <w:rsid w:val="0075127E"/>
    <w:rsid w:val="00751280"/>
    <w:rsid w:val="0075129B"/>
    <w:rsid w:val="007512C1"/>
    <w:rsid w:val="007512DD"/>
    <w:rsid w:val="00751308"/>
    <w:rsid w:val="00751339"/>
    <w:rsid w:val="007513A1"/>
    <w:rsid w:val="007513EC"/>
    <w:rsid w:val="00751407"/>
    <w:rsid w:val="0075141E"/>
    <w:rsid w:val="0075146F"/>
    <w:rsid w:val="007514BF"/>
    <w:rsid w:val="00751580"/>
    <w:rsid w:val="00751589"/>
    <w:rsid w:val="007515E5"/>
    <w:rsid w:val="00751628"/>
    <w:rsid w:val="007516C6"/>
    <w:rsid w:val="007517EA"/>
    <w:rsid w:val="007517F7"/>
    <w:rsid w:val="00751811"/>
    <w:rsid w:val="00751884"/>
    <w:rsid w:val="00751896"/>
    <w:rsid w:val="007518C5"/>
    <w:rsid w:val="00751906"/>
    <w:rsid w:val="0075190D"/>
    <w:rsid w:val="00751998"/>
    <w:rsid w:val="00751A14"/>
    <w:rsid w:val="00751A41"/>
    <w:rsid w:val="00751A48"/>
    <w:rsid w:val="00751AAB"/>
    <w:rsid w:val="00751AD0"/>
    <w:rsid w:val="00751B08"/>
    <w:rsid w:val="00751B98"/>
    <w:rsid w:val="00751BC8"/>
    <w:rsid w:val="00751C16"/>
    <w:rsid w:val="00751C71"/>
    <w:rsid w:val="00751C73"/>
    <w:rsid w:val="00751CE0"/>
    <w:rsid w:val="00751D18"/>
    <w:rsid w:val="00751D4E"/>
    <w:rsid w:val="00751D65"/>
    <w:rsid w:val="00751E0B"/>
    <w:rsid w:val="00751E54"/>
    <w:rsid w:val="00751E79"/>
    <w:rsid w:val="00751E81"/>
    <w:rsid w:val="00751FDA"/>
    <w:rsid w:val="00752050"/>
    <w:rsid w:val="0075212C"/>
    <w:rsid w:val="00752135"/>
    <w:rsid w:val="0075215C"/>
    <w:rsid w:val="00752164"/>
    <w:rsid w:val="007521A0"/>
    <w:rsid w:val="007522E0"/>
    <w:rsid w:val="00752334"/>
    <w:rsid w:val="00752351"/>
    <w:rsid w:val="007523AF"/>
    <w:rsid w:val="00752414"/>
    <w:rsid w:val="00752458"/>
    <w:rsid w:val="00752482"/>
    <w:rsid w:val="0075251B"/>
    <w:rsid w:val="00752536"/>
    <w:rsid w:val="0075254B"/>
    <w:rsid w:val="007525C1"/>
    <w:rsid w:val="00752604"/>
    <w:rsid w:val="00752658"/>
    <w:rsid w:val="00752678"/>
    <w:rsid w:val="007526D2"/>
    <w:rsid w:val="00752717"/>
    <w:rsid w:val="00752727"/>
    <w:rsid w:val="007527D5"/>
    <w:rsid w:val="00752820"/>
    <w:rsid w:val="007528A2"/>
    <w:rsid w:val="00752912"/>
    <w:rsid w:val="00752936"/>
    <w:rsid w:val="00752942"/>
    <w:rsid w:val="0075297D"/>
    <w:rsid w:val="007529F4"/>
    <w:rsid w:val="00752A98"/>
    <w:rsid w:val="00752AE2"/>
    <w:rsid w:val="00752AEF"/>
    <w:rsid w:val="00752B1E"/>
    <w:rsid w:val="00752B55"/>
    <w:rsid w:val="00752B6A"/>
    <w:rsid w:val="00752B87"/>
    <w:rsid w:val="00752BC8"/>
    <w:rsid w:val="00752BCE"/>
    <w:rsid w:val="00752C21"/>
    <w:rsid w:val="00752C86"/>
    <w:rsid w:val="00752CA0"/>
    <w:rsid w:val="00752CB1"/>
    <w:rsid w:val="00752D47"/>
    <w:rsid w:val="00752DDE"/>
    <w:rsid w:val="00752E14"/>
    <w:rsid w:val="00752E8C"/>
    <w:rsid w:val="00752F26"/>
    <w:rsid w:val="00752FA1"/>
    <w:rsid w:val="00753019"/>
    <w:rsid w:val="0075305F"/>
    <w:rsid w:val="00753072"/>
    <w:rsid w:val="0075307D"/>
    <w:rsid w:val="00753091"/>
    <w:rsid w:val="007530F3"/>
    <w:rsid w:val="0075310A"/>
    <w:rsid w:val="007531A2"/>
    <w:rsid w:val="0075320F"/>
    <w:rsid w:val="00753250"/>
    <w:rsid w:val="007533A3"/>
    <w:rsid w:val="007533D4"/>
    <w:rsid w:val="00753407"/>
    <w:rsid w:val="00753459"/>
    <w:rsid w:val="0075347D"/>
    <w:rsid w:val="007534BC"/>
    <w:rsid w:val="007535D5"/>
    <w:rsid w:val="007535DE"/>
    <w:rsid w:val="0075361F"/>
    <w:rsid w:val="0075364B"/>
    <w:rsid w:val="00753688"/>
    <w:rsid w:val="00753718"/>
    <w:rsid w:val="00753728"/>
    <w:rsid w:val="00753756"/>
    <w:rsid w:val="0075375B"/>
    <w:rsid w:val="0075375D"/>
    <w:rsid w:val="007537C2"/>
    <w:rsid w:val="00753852"/>
    <w:rsid w:val="00753913"/>
    <w:rsid w:val="007539C9"/>
    <w:rsid w:val="007539DC"/>
    <w:rsid w:val="00753A53"/>
    <w:rsid w:val="00753B43"/>
    <w:rsid w:val="00753B8D"/>
    <w:rsid w:val="00753BCC"/>
    <w:rsid w:val="00753C42"/>
    <w:rsid w:val="00753CBA"/>
    <w:rsid w:val="00753D13"/>
    <w:rsid w:val="00753D78"/>
    <w:rsid w:val="00753DB7"/>
    <w:rsid w:val="00753DF4"/>
    <w:rsid w:val="00753E32"/>
    <w:rsid w:val="00753E70"/>
    <w:rsid w:val="00753F10"/>
    <w:rsid w:val="00753F41"/>
    <w:rsid w:val="00753F9C"/>
    <w:rsid w:val="00753FBC"/>
    <w:rsid w:val="00753FEB"/>
    <w:rsid w:val="00753FEE"/>
    <w:rsid w:val="00754026"/>
    <w:rsid w:val="0075402A"/>
    <w:rsid w:val="00754081"/>
    <w:rsid w:val="0075419E"/>
    <w:rsid w:val="007541C0"/>
    <w:rsid w:val="007541DA"/>
    <w:rsid w:val="0075426A"/>
    <w:rsid w:val="007542CE"/>
    <w:rsid w:val="0075430F"/>
    <w:rsid w:val="007543BB"/>
    <w:rsid w:val="0075445E"/>
    <w:rsid w:val="00754462"/>
    <w:rsid w:val="0075447D"/>
    <w:rsid w:val="007544E8"/>
    <w:rsid w:val="00754502"/>
    <w:rsid w:val="00754567"/>
    <w:rsid w:val="00754577"/>
    <w:rsid w:val="00754579"/>
    <w:rsid w:val="007545E6"/>
    <w:rsid w:val="007545FB"/>
    <w:rsid w:val="00754640"/>
    <w:rsid w:val="00754644"/>
    <w:rsid w:val="00754677"/>
    <w:rsid w:val="0075467E"/>
    <w:rsid w:val="007546C2"/>
    <w:rsid w:val="007546D4"/>
    <w:rsid w:val="0075471F"/>
    <w:rsid w:val="00754787"/>
    <w:rsid w:val="007547B7"/>
    <w:rsid w:val="007547C4"/>
    <w:rsid w:val="00754874"/>
    <w:rsid w:val="007548DC"/>
    <w:rsid w:val="007549EB"/>
    <w:rsid w:val="007549EF"/>
    <w:rsid w:val="007549FA"/>
    <w:rsid w:val="00754A15"/>
    <w:rsid w:val="00754A31"/>
    <w:rsid w:val="00754AD1"/>
    <w:rsid w:val="00754B06"/>
    <w:rsid w:val="00754B2E"/>
    <w:rsid w:val="00754BB9"/>
    <w:rsid w:val="00754BC7"/>
    <w:rsid w:val="00754BED"/>
    <w:rsid w:val="00754C3A"/>
    <w:rsid w:val="00754C46"/>
    <w:rsid w:val="00754C74"/>
    <w:rsid w:val="00754CE9"/>
    <w:rsid w:val="00754E7C"/>
    <w:rsid w:val="00754EEA"/>
    <w:rsid w:val="00754F1C"/>
    <w:rsid w:val="00754F4B"/>
    <w:rsid w:val="00754F75"/>
    <w:rsid w:val="00754FD7"/>
    <w:rsid w:val="007550A4"/>
    <w:rsid w:val="007551C0"/>
    <w:rsid w:val="007551CF"/>
    <w:rsid w:val="0075521F"/>
    <w:rsid w:val="00755260"/>
    <w:rsid w:val="0075529D"/>
    <w:rsid w:val="007552BE"/>
    <w:rsid w:val="007552D1"/>
    <w:rsid w:val="00755330"/>
    <w:rsid w:val="00755393"/>
    <w:rsid w:val="00755395"/>
    <w:rsid w:val="00755434"/>
    <w:rsid w:val="0075544E"/>
    <w:rsid w:val="0075545C"/>
    <w:rsid w:val="007554C1"/>
    <w:rsid w:val="007554E9"/>
    <w:rsid w:val="007554F6"/>
    <w:rsid w:val="00755504"/>
    <w:rsid w:val="00755510"/>
    <w:rsid w:val="00755603"/>
    <w:rsid w:val="00755613"/>
    <w:rsid w:val="0075563B"/>
    <w:rsid w:val="00755749"/>
    <w:rsid w:val="0075574A"/>
    <w:rsid w:val="0075577E"/>
    <w:rsid w:val="007557D7"/>
    <w:rsid w:val="00755817"/>
    <w:rsid w:val="00755856"/>
    <w:rsid w:val="00755921"/>
    <w:rsid w:val="007559C5"/>
    <w:rsid w:val="007559DB"/>
    <w:rsid w:val="00755A26"/>
    <w:rsid w:val="00755A45"/>
    <w:rsid w:val="00755A9E"/>
    <w:rsid w:val="00755AB9"/>
    <w:rsid w:val="00755ABC"/>
    <w:rsid w:val="00755B54"/>
    <w:rsid w:val="00755B56"/>
    <w:rsid w:val="00755BEB"/>
    <w:rsid w:val="00755C81"/>
    <w:rsid w:val="00755C9E"/>
    <w:rsid w:val="00755CBE"/>
    <w:rsid w:val="00755CE7"/>
    <w:rsid w:val="00755CFC"/>
    <w:rsid w:val="00755D0F"/>
    <w:rsid w:val="00755D40"/>
    <w:rsid w:val="00755D5E"/>
    <w:rsid w:val="00755D6C"/>
    <w:rsid w:val="00755DDA"/>
    <w:rsid w:val="00755E53"/>
    <w:rsid w:val="00755F01"/>
    <w:rsid w:val="00755F2D"/>
    <w:rsid w:val="00755F32"/>
    <w:rsid w:val="00755F3B"/>
    <w:rsid w:val="00755F41"/>
    <w:rsid w:val="00755F5A"/>
    <w:rsid w:val="00755F7C"/>
    <w:rsid w:val="00755FCA"/>
    <w:rsid w:val="00756016"/>
    <w:rsid w:val="00756083"/>
    <w:rsid w:val="00756087"/>
    <w:rsid w:val="007560A2"/>
    <w:rsid w:val="007560C8"/>
    <w:rsid w:val="007560DF"/>
    <w:rsid w:val="007561AD"/>
    <w:rsid w:val="007561C5"/>
    <w:rsid w:val="007561EA"/>
    <w:rsid w:val="00756205"/>
    <w:rsid w:val="00756259"/>
    <w:rsid w:val="00756303"/>
    <w:rsid w:val="00756331"/>
    <w:rsid w:val="00756374"/>
    <w:rsid w:val="00756383"/>
    <w:rsid w:val="007563C7"/>
    <w:rsid w:val="007563EA"/>
    <w:rsid w:val="007563F5"/>
    <w:rsid w:val="00756574"/>
    <w:rsid w:val="0075659D"/>
    <w:rsid w:val="007565BB"/>
    <w:rsid w:val="0075668C"/>
    <w:rsid w:val="0075668E"/>
    <w:rsid w:val="007566BF"/>
    <w:rsid w:val="0075678C"/>
    <w:rsid w:val="007567BD"/>
    <w:rsid w:val="007567CF"/>
    <w:rsid w:val="007567E3"/>
    <w:rsid w:val="007567E6"/>
    <w:rsid w:val="007567E8"/>
    <w:rsid w:val="007567EC"/>
    <w:rsid w:val="0075680A"/>
    <w:rsid w:val="00756866"/>
    <w:rsid w:val="007568D5"/>
    <w:rsid w:val="007568E0"/>
    <w:rsid w:val="00756918"/>
    <w:rsid w:val="00756933"/>
    <w:rsid w:val="007569C6"/>
    <w:rsid w:val="00756B88"/>
    <w:rsid w:val="00756BAF"/>
    <w:rsid w:val="00756C04"/>
    <w:rsid w:val="00756CAA"/>
    <w:rsid w:val="00756CD6"/>
    <w:rsid w:val="00756D13"/>
    <w:rsid w:val="00756DBD"/>
    <w:rsid w:val="00756E0D"/>
    <w:rsid w:val="00756E0F"/>
    <w:rsid w:val="00756E5F"/>
    <w:rsid w:val="00756EEE"/>
    <w:rsid w:val="00756F75"/>
    <w:rsid w:val="00756FA9"/>
    <w:rsid w:val="00757009"/>
    <w:rsid w:val="00757042"/>
    <w:rsid w:val="00757045"/>
    <w:rsid w:val="00757057"/>
    <w:rsid w:val="00757088"/>
    <w:rsid w:val="0075709D"/>
    <w:rsid w:val="007570E8"/>
    <w:rsid w:val="00757155"/>
    <w:rsid w:val="00757166"/>
    <w:rsid w:val="00757180"/>
    <w:rsid w:val="007571B2"/>
    <w:rsid w:val="007571C5"/>
    <w:rsid w:val="007572A9"/>
    <w:rsid w:val="00757330"/>
    <w:rsid w:val="00757384"/>
    <w:rsid w:val="007573D6"/>
    <w:rsid w:val="00757421"/>
    <w:rsid w:val="00757456"/>
    <w:rsid w:val="00757477"/>
    <w:rsid w:val="00757606"/>
    <w:rsid w:val="00757623"/>
    <w:rsid w:val="00757795"/>
    <w:rsid w:val="007578A3"/>
    <w:rsid w:val="0075790C"/>
    <w:rsid w:val="00757983"/>
    <w:rsid w:val="007579B5"/>
    <w:rsid w:val="007579BB"/>
    <w:rsid w:val="00757A07"/>
    <w:rsid w:val="00757A42"/>
    <w:rsid w:val="00757AC0"/>
    <w:rsid w:val="00757B7B"/>
    <w:rsid w:val="00757BCA"/>
    <w:rsid w:val="00757BDA"/>
    <w:rsid w:val="00757CCF"/>
    <w:rsid w:val="00757CE8"/>
    <w:rsid w:val="00757CFA"/>
    <w:rsid w:val="00757D1E"/>
    <w:rsid w:val="00757D22"/>
    <w:rsid w:val="00757E18"/>
    <w:rsid w:val="00757EAA"/>
    <w:rsid w:val="00757F64"/>
    <w:rsid w:val="00757FA0"/>
    <w:rsid w:val="00757FB5"/>
    <w:rsid w:val="00760033"/>
    <w:rsid w:val="007600B5"/>
    <w:rsid w:val="0076016C"/>
    <w:rsid w:val="00760178"/>
    <w:rsid w:val="00760189"/>
    <w:rsid w:val="007601D9"/>
    <w:rsid w:val="007602A2"/>
    <w:rsid w:val="00760394"/>
    <w:rsid w:val="00760423"/>
    <w:rsid w:val="00760534"/>
    <w:rsid w:val="007605B8"/>
    <w:rsid w:val="007605CA"/>
    <w:rsid w:val="007605E4"/>
    <w:rsid w:val="0076069E"/>
    <w:rsid w:val="00760727"/>
    <w:rsid w:val="0076078B"/>
    <w:rsid w:val="0076078C"/>
    <w:rsid w:val="007607AA"/>
    <w:rsid w:val="007607F2"/>
    <w:rsid w:val="00760847"/>
    <w:rsid w:val="00760856"/>
    <w:rsid w:val="0076088D"/>
    <w:rsid w:val="007608B3"/>
    <w:rsid w:val="007608CB"/>
    <w:rsid w:val="0076091E"/>
    <w:rsid w:val="00760939"/>
    <w:rsid w:val="00760958"/>
    <w:rsid w:val="0076095C"/>
    <w:rsid w:val="00760980"/>
    <w:rsid w:val="007609B9"/>
    <w:rsid w:val="00760A14"/>
    <w:rsid w:val="00760A38"/>
    <w:rsid w:val="00760AAC"/>
    <w:rsid w:val="00760AD6"/>
    <w:rsid w:val="00760AFE"/>
    <w:rsid w:val="00760B3B"/>
    <w:rsid w:val="00760B63"/>
    <w:rsid w:val="00760BB1"/>
    <w:rsid w:val="00760BFC"/>
    <w:rsid w:val="00760C9F"/>
    <w:rsid w:val="00760CA2"/>
    <w:rsid w:val="00760CC2"/>
    <w:rsid w:val="00760D64"/>
    <w:rsid w:val="00760D85"/>
    <w:rsid w:val="00760D8D"/>
    <w:rsid w:val="00760E5C"/>
    <w:rsid w:val="00760F86"/>
    <w:rsid w:val="00760FDF"/>
    <w:rsid w:val="00760FFA"/>
    <w:rsid w:val="0076104E"/>
    <w:rsid w:val="0076111D"/>
    <w:rsid w:val="0076113F"/>
    <w:rsid w:val="007611EA"/>
    <w:rsid w:val="0076122C"/>
    <w:rsid w:val="00761265"/>
    <w:rsid w:val="007612A9"/>
    <w:rsid w:val="007612C3"/>
    <w:rsid w:val="007613CD"/>
    <w:rsid w:val="007613F0"/>
    <w:rsid w:val="00761419"/>
    <w:rsid w:val="00761423"/>
    <w:rsid w:val="007614E0"/>
    <w:rsid w:val="007614F9"/>
    <w:rsid w:val="00761526"/>
    <w:rsid w:val="007615CE"/>
    <w:rsid w:val="007615D8"/>
    <w:rsid w:val="00761632"/>
    <w:rsid w:val="0076163D"/>
    <w:rsid w:val="00761668"/>
    <w:rsid w:val="007616E1"/>
    <w:rsid w:val="00761713"/>
    <w:rsid w:val="00761721"/>
    <w:rsid w:val="00761745"/>
    <w:rsid w:val="00761839"/>
    <w:rsid w:val="0076185F"/>
    <w:rsid w:val="007618DA"/>
    <w:rsid w:val="00761903"/>
    <w:rsid w:val="0076194B"/>
    <w:rsid w:val="00761956"/>
    <w:rsid w:val="007619AD"/>
    <w:rsid w:val="007619C0"/>
    <w:rsid w:val="00761A2C"/>
    <w:rsid w:val="00761B67"/>
    <w:rsid w:val="00761B6F"/>
    <w:rsid w:val="00761BFE"/>
    <w:rsid w:val="00761D03"/>
    <w:rsid w:val="00761D25"/>
    <w:rsid w:val="00761D7B"/>
    <w:rsid w:val="00761DD9"/>
    <w:rsid w:val="00761E0D"/>
    <w:rsid w:val="00761E44"/>
    <w:rsid w:val="00761F3B"/>
    <w:rsid w:val="00761F75"/>
    <w:rsid w:val="00761F80"/>
    <w:rsid w:val="00762012"/>
    <w:rsid w:val="0076209B"/>
    <w:rsid w:val="007620F1"/>
    <w:rsid w:val="00762187"/>
    <w:rsid w:val="0076218B"/>
    <w:rsid w:val="007621CC"/>
    <w:rsid w:val="007622C3"/>
    <w:rsid w:val="007623BF"/>
    <w:rsid w:val="007623CE"/>
    <w:rsid w:val="0076258E"/>
    <w:rsid w:val="00762612"/>
    <w:rsid w:val="00762624"/>
    <w:rsid w:val="0076267E"/>
    <w:rsid w:val="0076269B"/>
    <w:rsid w:val="007626AD"/>
    <w:rsid w:val="00762702"/>
    <w:rsid w:val="00762770"/>
    <w:rsid w:val="007627F9"/>
    <w:rsid w:val="00762800"/>
    <w:rsid w:val="00762841"/>
    <w:rsid w:val="00762866"/>
    <w:rsid w:val="007628BC"/>
    <w:rsid w:val="007628D6"/>
    <w:rsid w:val="00762999"/>
    <w:rsid w:val="007629FF"/>
    <w:rsid w:val="00762A24"/>
    <w:rsid w:val="00762A76"/>
    <w:rsid w:val="00762B31"/>
    <w:rsid w:val="00762BC2"/>
    <w:rsid w:val="00762BDD"/>
    <w:rsid w:val="00762C15"/>
    <w:rsid w:val="00762CAA"/>
    <w:rsid w:val="00762D4B"/>
    <w:rsid w:val="00762D50"/>
    <w:rsid w:val="00762D9D"/>
    <w:rsid w:val="00762DD0"/>
    <w:rsid w:val="00762DE0"/>
    <w:rsid w:val="00762E0E"/>
    <w:rsid w:val="00762E1B"/>
    <w:rsid w:val="00762E68"/>
    <w:rsid w:val="00762E8C"/>
    <w:rsid w:val="00762EB9"/>
    <w:rsid w:val="00762F0D"/>
    <w:rsid w:val="00762F15"/>
    <w:rsid w:val="00762F54"/>
    <w:rsid w:val="00762F61"/>
    <w:rsid w:val="00762F6E"/>
    <w:rsid w:val="00762FDC"/>
    <w:rsid w:val="00762FE5"/>
    <w:rsid w:val="00762FEC"/>
    <w:rsid w:val="00763063"/>
    <w:rsid w:val="0076306A"/>
    <w:rsid w:val="007630D4"/>
    <w:rsid w:val="0076319D"/>
    <w:rsid w:val="007631C2"/>
    <w:rsid w:val="007631DC"/>
    <w:rsid w:val="00763204"/>
    <w:rsid w:val="0076321A"/>
    <w:rsid w:val="00763240"/>
    <w:rsid w:val="0076328A"/>
    <w:rsid w:val="00763352"/>
    <w:rsid w:val="0076336B"/>
    <w:rsid w:val="007633C5"/>
    <w:rsid w:val="007633FA"/>
    <w:rsid w:val="00763426"/>
    <w:rsid w:val="0076342E"/>
    <w:rsid w:val="0076347B"/>
    <w:rsid w:val="007634B1"/>
    <w:rsid w:val="007634BC"/>
    <w:rsid w:val="007634CF"/>
    <w:rsid w:val="007634EA"/>
    <w:rsid w:val="00763515"/>
    <w:rsid w:val="007635C7"/>
    <w:rsid w:val="00763622"/>
    <w:rsid w:val="00763630"/>
    <w:rsid w:val="00763699"/>
    <w:rsid w:val="0076369C"/>
    <w:rsid w:val="007636C0"/>
    <w:rsid w:val="007637C7"/>
    <w:rsid w:val="007637CB"/>
    <w:rsid w:val="00763860"/>
    <w:rsid w:val="00763874"/>
    <w:rsid w:val="007638F4"/>
    <w:rsid w:val="00763903"/>
    <w:rsid w:val="0076393B"/>
    <w:rsid w:val="0076395E"/>
    <w:rsid w:val="007639F8"/>
    <w:rsid w:val="00763A08"/>
    <w:rsid w:val="00763A0C"/>
    <w:rsid w:val="00763A9D"/>
    <w:rsid w:val="00763AEA"/>
    <w:rsid w:val="00763B00"/>
    <w:rsid w:val="00763B7F"/>
    <w:rsid w:val="00763BDC"/>
    <w:rsid w:val="00763C0D"/>
    <w:rsid w:val="00763C10"/>
    <w:rsid w:val="00763C66"/>
    <w:rsid w:val="00763C7D"/>
    <w:rsid w:val="00763D08"/>
    <w:rsid w:val="00763DFC"/>
    <w:rsid w:val="00763E53"/>
    <w:rsid w:val="00763E6D"/>
    <w:rsid w:val="00763E70"/>
    <w:rsid w:val="00763E89"/>
    <w:rsid w:val="00763E9D"/>
    <w:rsid w:val="00763EE5"/>
    <w:rsid w:val="00763F44"/>
    <w:rsid w:val="00763FDB"/>
    <w:rsid w:val="00763FF8"/>
    <w:rsid w:val="0076401C"/>
    <w:rsid w:val="00764037"/>
    <w:rsid w:val="00764097"/>
    <w:rsid w:val="0076409A"/>
    <w:rsid w:val="0076409E"/>
    <w:rsid w:val="007640CF"/>
    <w:rsid w:val="007641A4"/>
    <w:rsid w:val="007641C9"/>
    <w:rsid w:val="0076420B"/>
    <w:rsid w:val="00764258"/>
    <w:rsid w:val="0076428F"/>
    <w:rsid w:val="00764308"/>
    <w:rsid w:val="00764321"/>
    <w:rsid w:val="007643AC"/>
    <w:rsid w:val="00764408"/>
    <w:rsid w:val="00764443"/>
    <w:rsid w:val="00764454"/>
    <w:rsid w:val="007644BB"/>
    <w:rsid w:val="00764509"/>
    <w:rsid w:val="0076451B"/>
    <w:rsid w:val="00764547"/>
    <w:rsid w:val="0076456C"/>
    <w:rsid w:val="007645AA"/>
    <w:rsid w:val="00764647"/>
    <w:rsid w:val="00764731"/>
    <w:rsid w:val="00764774"/>
    <w:rsid w:val="0076478F"/>
    <w:rsid w:val="007647A3"/>
    <w:rsid w:val="007647BF"/>
    <w:rsid w:val="007647DF"/>
    <w:rsid w:val="00764832"/>
    <w:rsid w:val="00764857"/>
    <w:rsid w:val="00764866"/>
    <w:rsid w:val="007648CA"/>
    <w:rsid w:val="00764948"/>
    <w:rsid w:val="00764974"/>
    <w:rsid w:val="007649EF"/>
    <w:rsid w:val="007649F2"/>
    <w:rsid w:val="00764A20"/>
    <w:rsid w:val="00764A9C"/>
    <w:rsid w:val="00764A9F"/>
    <w:rsid w:val="00764B1F"/>
    <w:rsid w:val="00764B22"/>
    <w:rsid w:val="00764B8F"/>
    <w:rsid w:val="00764BB4"/>
    <w:rsid w:val="00764BBC"/>
    <w:rsid w:val="00764BC2"/>
    <w:rsid w:val="00764BDF"/>
    <w:rsid w:val="00764C2D"/>
    <w:rsid w:val="00764C2F"/>
    <w:rsid w:val="00764C6E"/>
    <w:rsid w:val="00764C91"/>
    <w:rsid w:val="00764CA9"/>
    <w:rsid w:val="00764CFA"/>
    <w:rsid w:val="00764CFB"/>
    <w:rsid w:val="00764D57"/>
    <w:rsid w:val="00764D6C"/>
    <w:rsid w:val="00764D80"/>
    <w:rsid w:val="00764E0A"/>
    <w:rsid w:val="00764EDA"/>
    <w:rsid w:val="00764EDF"/>
    <w:rsid w:val="00764F63"/>
    <w:rsid w:val="00764F6D"/>
    <w:rsid w:val="007650A8"/>
    <w:rsid w:val="007650F4"/>
    <w:rsid w:val="0076510A"/>
    <w:rsid w:val="007651D2"/>
    <w:rsid w:val="00765267"/>
    <w:rsid w:val="0076528E"/>
    <w:rsid w:val="00765291"/>
    <w:rsid w:val="007652F1"/>
    <w:rsid w:val="007653BC"/>
    <w:rsid w:val="007653DF"/>
    <w:rsid w:val="00765424"/>
    <w:rsid w:val="007654D3"/>
    <w:rsid w:val="00765515"/>
    <w:rsid w:val="0076551F"/>
    <w:rsid w:val="0076555A"/>
    <w:rsid w:val="007655B1"/>
    <w:rsid w:val="007655B5"/>
    <w:rsid w:val="007655F8"/>
    <w:rsid w:val="00765662"/>
    <w:rsid w:val="0076577B"/>
    <w:rsid w:val="007657AF"/>
    <w:rsid w:val="007657F3"/>
    <w:rsid w:val="0076584E"/>
    <w:rsid w:val="0076588E"/>
    <w:rsid w:val="0076589F"/>
    <w:rsid w:val="007658FD"/>
    <w:rsid w:val="00765A35"/>
    <w:rsid w:val="00765A79"/>
    <w:rsid w:val="00765A89"/>
    <w:rsid w:val="00765A9E"/>
    <w:rsid w:val="00765AA8"/>
    <w:rsid w:val="00765B3B"/>
    <w:rsid w:val="00765B7C"/>
    <w:rsid w:val="00765CE2"/>
    <w:rsid w:val="00765CEA"/>
    <w:rsid w:val="00765D1A"/>
    <w:rsid w:val="00765D63"/>
    <w:rsid w:val="00765D7B"/>
    <w:rsid w:val="00765E8F"/>
    <w:rsid w:val="00765ECC"/>
    <w:rsid w:val="00765ED2"/>
    <w:rsid w:val="00765F6E"/>
    <w:rsid w:val="00765FA4"/>
    <w:rsid w:val="00766022"/>
    <w:rsid w:val="00766026"/>
    <w:rsid w:val="00766098"/>
    <w:rsid w:val="0076612A"/>
    <w:rsid w:val="00766190"/>
    <w:rsid w:val="0076620E"/>
    <w:rsid w:val="00766244"/>
    <w:rsid w:val="00766296"/>
    <w:rsid w:val="007662C4"/>
    <w:rsid w:val="007662CE"/>
    <w:rsid w:val="007662D8"/>
    <w:rsid w:val="00766309"/>
    <w:rsid w:val="0076636B"/>
    <w:rsid w:val="00766404"/>
    <w:rsid w:val="00766452"/>
    <w:rsid w:val="00766472"/>
    <w:rsid w:val="007664A4"/>
    <w:rsid w:val="007664DA"/>
    <w:rsid w:val="0076655D"/>
    <w:rsid w:val="00766568"/>
    <w:rsid w:val="007665BF"/>
    <w:rsid w:val="007665C7"/>
    <w:rsid w:val="0076662E"/>
    <w:rsid w:val="00766656"/>
    <w:rsid w:val="0076665B"/>
    <w:rsid w:val="00766695"/>
    <w:rsid w:val="007666C2"/>
    <w:rsid w:val="007666E8"/>
    <w:rsid w:val="0076671A"/>
    <w:rsid w:val="00766756"/>
    <w:rsid w:val="0076678D"/>
    <w:rsid w:val="0076679C"/>
    <w:rsid w:val="0076687B"/>
    <w:rsid w:val="00766916"/>
    <w:rsid w:val="00766975"/>
    <w:rsid w:val="00766990"/>
    <w:rsid w:val="007669DB"/>
    <w:rsid w:val="00766A66"/>
    <w:rsid w:val="00766AD4"/>
    <w:rsid w:val="00766B63"/>
    <w:rsid w:val="00766B7A"/>
    <w:rsid w:val="00766C2E"/>
    <w:rsid w:val="00766C65"/>
    <w:rsid w:val="00766CDE"/>
    <w:rsid w:val="00766D96"/>
    <w:rsid w:val="00766DB2"/>
    <w:rsid w:val="00766DEA"/>
    <w:rsid w:val="00766DF0"/>
    <w:rsid w:val="00766E8B"/>
    <w:rsid w:val="00766E8F"/>
    <w:rsid w:val="00766EB2"/>
    <w:rsid w:val="00766EB8"/>
    <w:rsid w:val="00766ED5"/>
    <w:rsid w:val="00766F0D"/>
    <w:rsid w:val="00766F2E"/>
    <w:rsid w:val="00766F69"/>
    <w:rsid w:val="00766F97"/>
    <w:rsid w:val="00766FAA"/>
    <w:rsid w:val="00766FB6"/>
    <w:rsid w:val="00766FE0"/>
    <w:rsid w:val="00767002"/>
    <w:rsid w:val="00767004"/>
    <w:rsid w:val="00767030"/>
    <w:rsid w:val="00767102"/>
    <w:rsid w:val="00767113"/>
    <w:rsid w:val="00767180"/>
    <w:rsid w:val="0076725E"/>
    <w:rsid w:val="00767352"/>
    <w:rsid w:val="007673AF"/>
    <w:rsid w:val="0076740E"/>
    <w:rsid w:val="0076742D"/>
    <w:rsid w:val="0076744A"/>
    <w:rsid w:val="0076746B"/>
    <w:rsid w:val="007674B2"/>
    <w:rsid w:val="007674E9"/>
    <w:rsid w:val="0076752F"/>
    <w:rsid w:val="0076759A"/>
    <w:rsid w:val="007675B5"/>
    <w:rsid w:val="007675DD"/>
    <w:rsid w:val="00767607"/>
    <w:rsid w:val="00767650"/>
    <w:rsid w:val="00767679"/>
    <w:rsid w:val="007676AD"/>
    <w:rsid w:val="0076771A"/>
    <w:rsid w:val="00767756"/>
    <w:rsid w:val="007677F0"/>
    <w:rsid w:val="0076780C"/>
    <w:rsid w:val="0076783E"/>
    <w:rsid w:val="00767843"/>
    <w:rsid w:val="0076787D"/>
    <w:rsid w:val="007679BB"/>
    <w:rsid w:val="007679E6"/>
    <w:rsid w:val="00767A03"/>
    <w:rsid w:val="00767A8F"/>
    <w:rsid w:val="00767AD7"/>
    <w:rsid w:val="00767AF2"/>
    <w:rsid w:val="00767B38"/>
    <w:rsid w:val="00767B3A"/>
    <w:rsid w:val="00767B66"/>
    <w:rsid w:val="00767C43"/>
    <w:rsid w:val="00767C73"/>
    <w:rsid w:val="00767CD8"/>
    <w:rsid w:val="00767E6C"/>
    <w:rsid w:val="00767F5E"/>
    <w:rsid w:val="00767FAD"/>
    <w:rsid w:val="00767FB5"/>
    <w:rsid w:val="00767FE0"/>
    <w:rsid w:val="00767FFD"/>
    <w:rsid w:val="00770026"/>
    <w:rsid w:val="00770097"/>
    <w:rsid w:val="007700B2"/>
    <w:rsid w:val="007700B5"/>
    <w:rsid w:val="00770176"/>
    <w:rsid w:val="00770196"/>
    <w:rsid w:val="007701BD"/>
    <w:rsid w:val="007701E7"/>
    <w:rsid w:val="0077020B"/>
    <w:rsid w:val="00770229"/>
    <w:rsid w:val="00770230"/>
    <w:rsid w:val="00770237"/>
    <w:rsid w:val="00770299"/>
    <w:rsid w:val="007703B6"/>
    <w:rsid w:val="00770434"/>
    <w:rsid w:val="007704C5"/>
    <w:rsid w:val="0077052B"/>
    <w:rsid w:val="00770541"/>
    <w:rsid w:val="007705F7"/>
    <w:rsid w:val="0077060A"/>
    <w:rsid w:val="00770651"/>
    <w:rsid w:val="007706B2"/>
    <w:rsid w:val="00770716"/>
    <w:rsid w:val="00770727"/>
    <w:rsid w:val="007707B8"/>
    <w:rsid w:val="00770800"/>
    <w:rsid w:val="00770801"/>
    <w:rsid w:val="00770836"/>
    <w:rsid w:val="0077084D"/>
    <w:rsid w:val="0077092E"/>
    <w:rsid w:val="0077096D"/>
    <w:rsid w:val="007709BD"/>
    <w:rsid w:val="007709D8"/>
    <w:rsid w:val="00770A72"/>
    <w:rsid w:val="00770AE0"/>
    <w:rsid w:val="00770B18"/>
    <w:rsid w:val="00770B2B"/>
    <w:rsid w:val="00770B30"/>
    <w:rsid w:val="00770BE7"/>
    <w:rsid w:val="00770C2A"/>
    <w:rsid w:val="00770C54"/>
    <w:rsid w:val="00770CED"/>
    <w:rsid w:val="00770D01"/>
    <w:rsid w:val="00770D78"/>
    <w:rsid w:val="00770E33"/>
    <w:rsid w:val="00770F0F"/>
    <w:rsid w:val="00770F13"/>
    <w:rsid w:val="00771026"/>
    <w:rsid w:val="007710B2"/>
    <w:rsid w:val="0077110E"/>
    <w:rsid w:val="00771110"/>
    <w:rsid w:val="00771143"/>
    <w:rsid w:val="0077117F"/>
    <w:rsid w:val="0077118D"/>
    <w:rsid w:val="007711B1"/>
    <w:rsid w:val="007711C0"/>
    <w:rsid w:val="0077124D"/>
    <w:rsid w:val="00771257"/>
    <w:rsid w:val="0077125D"/>
    <w:rsid w:val="007712CC"/>
    <w:rsid w:val="00771322"/>
    <w:rsid w:val="00771366"/>
    <w:rsid w:val="007713AD"/>
    <w:rsid w:val="007713E4"/>
    <w:rsid w:val="007713FB"/>
    <w:rsid w:val="00771430"/>
    <w:rsid w:val="00771486"/>
    <w:rsid w:val="00771538"/>
    <w:rsid w:val="00771584"/>
    <w:rsid w:val="0077162B"/>
    <w:rsid w:val="00771698"/>
    <w:rsid w:val="0077170A"/>
    <w:rsid w:val="007717A4"/>
    <w:rsid w:val="00771896"/>
    <w:rsid w:val="007719CD"/>
    <w:rsid w:val="007719F9"/>
    <w:rsid w:val="007719FE"/>
    <w:rsid w:val="00771A29"/>
    <w:rsid w:val="00771A5D"/>
    <w:rsid w:val="00771A6E"/>
    <w:rsid w:val="00771A9E"/>
    <w:rsid w:val="00771BCF"/>
    <w:rsid w:val="00771C08"/>
    <w:rsid w:val="00771C79"/>
    <w:rsid w:val="00771CBD"/>
    <w:rsid w:val="00771E23"/>
    <w:rsid w:val="00771E52"/>
    <w:rsid w:val="00771EC5"/>
    <w:rsid w:val="00771EE1"/>
    <w:rsid w:val="00771F03"/>
    <w:rsid w:val="00771F39"/>
    <w:rsid w:val="00771F84"/>
    <w:rsid w:val="00772013"/>
    <w:rsid w:val="00772074"/>
    <w:rsid w:val="00772097"/>
    <w:rsid w:val="007720CC"/>
    <w:rsid w:val="007720D6"/>
    <w:rsid w:val="0077219D"/>
    <w:rsid w:val="007721A4"/>
    <w:rsid w:val="00772262"/>
    <w:rsid w:val="0077229E"/>
    <w:rsid w:val="00772311"/>
    <w:rsid w:val="00772319"/>
    <w:rsid w:val="00772376"/>
    <w:rsid w:val="00772421"/>
    <w:rsid w:val="00772495"/>
    <w:rsid w:val="007724AE"/>
    <w:rsid w:val="00772534"/>
    <w:rsid w:val="0077253F"/>
    <w:rsid w:val="00772567"/>
    <w:rsid w:val="0077259A"/>
    <w:rsid w:val="007725AE"/>
    <w:rsid w:val="007725BF"/>
    <w:rsid w:val="0077260C"/>
    <w:rsid w:val="00772611"/>
    <w:rsid w:val="007726E0"/>
    <w:rsid w:val="00772746"/>
    <w:rsid w:val="00772774"/>
    <w:rsid w:val="0077294C"/>
    <w:rsid w:val="00772980"/>
    <w:rsid w:val="007729A6"/>
    <w:rsid w:val="00772A29"/>
    <w:rsid w:val="00772A3F"/>
    <w:rsid w:val="00772A5C"/>
    <w:rsid w:val="00772A7E"/>
    <w:rsid w:val="00772B0D"/>
    <w:rsid w:val="00772BD4"/>
    <w:rsid w:val="00772CCE"/>
    <w:rsid w:val="00772CD8"/>
    <w:rsid w:val="00772D34"/>
    <w:rsid w:val="00772DC4"/>
    <w:rsid w:val="00772E2B"/>
    <w:rsid w:val="00772F3A"/>
    <w:rsid w:val="00772F56"/>
    <w:rsid w:val="00772F63"/>
    <w:rsid w:val="00772FC6"/>
    <w:rsid w:val="00772FD4"/>
    <w:rsid w:val="007730C1"/>
    <w:rsid w:val="007730F3"/>
    <w:rsid w:val="0077314D"/>
    <w:rsid w:val="00773239"/>
    <w:rsid w:val="007732D4"/>
    <w:rsid w:val="0077330A"/>
    <w:rsid w:val="0077333E"/>
    <w:rsid w:val="00773355"/>
    <w:rsid w:val="0077337F"/>
    <w:rsid w:val="007733B2"/>
    <w:rsid w:val="007733C7"/>
    <w:rsid w:val="007733E5"/>
    <w:rsid w:val="00773434"/>
    <w:rsid w:val="00773517"/>
    <w:rsid w:val="0077361F"/>
    <w:rsid w:val="00773678"/>
    <w:rsid w:val="00773682"/>
    <w:rsid w:val="0077375E"/>
    <w:rsid w:val="007737BA"/>
    <w:rsid w:val="007737CB"/>
    <w:rsid w:val="007737DC"/>
    <w:rsid w:val="0077381F"/>
    <w:rsid w:val="0077384B"/>
    <w:rsid w:val="0077386A"/>
    <w:rsid w:val="0077397E"/>
    <w:rsid w:val="0077399B"/>
    <w:rsid w:val="007739DC"/>
    <w:rsid w:val="00773A23"/>
    <w:rsid w:val="00773A24"/>
    <w:rsid w:val="00773A2D"/>
    <w:rsid w:val="00773A5C"/>
    <w:rsid w:val="00773A7F"/>
    <w:rsid w:val="00773B14"/>
    <w:rsid w:val="00773BF3"/>
    <w:rsid w:val="00773C34"/>
    <w:rsid w:val="00773CA3"/>
    <w:rsid w:val="00773CDA"/>
    <w:rsid w:val="00773CE1"/>
    <w:rsid w:val="00773CE3"/>
    <w:rsid w:val="00773D03"/>
    <w:rsid w:val="00773D64"/>
    <w:rsid w:val="00773DA6"/>
    <w:rsid w:val="00773DE8"/>
    <w:rsid w:val="00773E10"/>
    <w:rsid w:val="00773E2C"/>
    <w:rsid w:val="00773E6B"/>
    <w:rsid w:val="00773E84"/>
    <w:rsid w:val="00773E9E"/>
    <w:rsid w:val="00773EA4"/>
    <w:rsid w:val="00773EC7"/>
    <w:rsid w:val="00773FB6"/>
    <w:rsid w:val="00773FF4"/>
    <w:rsid w:val="00774067"/>
    <w:rsid w:val="007741E8"/>
    <w:rsid w:val="00774235"/>
    <w:rsid w:val="00774265"/>
    <w:rsid w:val="00774272"/>
    <w:rsid w:val="007743C9"/>
    <w:rsid w:val="007744B7"/>
    <w:rsid w:val="007744F0"/>
    <w:rsid w:val="00774596"/>
    <w:rsid w:val="00774646"/>
    <w:rsid w:val="00774668"/>
    <w:rsid w:val="0077467B"/>
    <w:rsid w:val="0077468B"/>
    <w:rsid w:val="007746A4"/>
    <w:rsid w:val="007746C2"/>
    <w:rsid w:val="00774791"/>
    <w:rsid w:val="007747A7"/>
    <w:rsid w:val="0077482B"/>
    <w:rsid w:val="007748BF"/>
    <w:rsid w:val="007748E2"/>
    <w:rsid w:val="00774909"/>
    <w:rsid w:val="0077491F"/>
    <w:rsid w:val="00774944"/>
    <w:rsid w:val="0077494A"/>
    <w:rsid w:val="00774A7E"/>
    <w:rsid w:val="00774A9F"/>
    <w:rsid w:val="00774AC5"/>
    <w:rsid w:val="00774AE7"/>
    <w:rsid w:val="00774B88"/>
    <w:rsid w:val="00774BFB"/>
    <w:rsid w:val="00774C28"/>
    <w:rsid w:val="00774C9E"/>
    <w:rsid w:val="00774CE6"/>
    <w:rsid w:val="00774D0F"/>
    <w:rsid w:val="00774D53"/>
    <w:rsid w:val="00774D83"/>
    <w:rsid w:val="00774D95"/>
    <w:rsid w:val="00774E16"/>
    <w:rsid w:val="00774E41"/>
    <w:rsid w:val="00774E5D"/>
    <w:rsid w:val="00774F6F"/>
    <w:rsid w:val="00774FDA"/>
    <w:rsid w:val="0077507D"/>
    <w:rsid w:val="00775105"/>
    <w:rsid w:val="00775175"/>
    <w:rsid w:val="00775181"/>
    <w:rsid w:val="007751F0"/>
    <w:rsid w:val="0077525F"/>
    <w:rsid w:val="0077526A"/>
    <w:rsid w:val="007752AC"/>
    <w:rsid w:val="0077532F"/>
    <w:rsid w:val="00775339"/>
    <w:rsid w:val="0077537E"/>
    <w:rsid w:val="007754D0"/>
    <w:rsid w:val="00775507"/>
    <w:rsid w:val="0077562F"/>
    <w:rsid w:val="007756CE"/>
    <w:rsid w:val="0077580F"/>
    <w:rsid w:val="00775826"/>
    <w:rsid w:val="00775839"/>
    <w:rsid w:val="0077585A"/>
    <w:rsid w:val="0077587B"/>
    <w:rsid w:val="007758D5"/>
    <w:rsid w:val="007758FA"/>
    <w:rsid w:val="00775920"/>
    <w:rsid w:val="00775923"/>
    <w:rsid w:val="007759CD"/>
    <w:rsid w:val="00775A1B"/>
    <w:rsid w:val="00775AEB"/>
    <w:rsid w:val="00775B4E"/>
    <w:rsid w:val="00775B6D"/>
    <w:rsid w:val="00775BB9"/>
    <w:rsid w:val="00775BED"/>
    <w:rsid w:val="00775C17"/>
    <w:rsid w:val="00775C2C"/>
    <w:rsid w:val="00775C5A"/>
    <w:rsid w:val="00775C6A"/>
    <w:rsid w:val="00775C85"/>
    <w:rsid w:val="00775CC7"/>
    <w:rsid w:val="00775CD4"/>
    <w:rsid w:val="00775D7B"/>
    <w:rsid w:val="00775E3D"/>
    <w:rsid w:val="00775E67"/>
    <w:rsid w:val="00775EAD"/>
    <w:rsid w:val="00775EDF"/>
    <w:rsid w:val="00775F23"/>
    <w:rsid w:val="00775F54"/>
    <w:rsid w:val="00775FD0"/>
    <w:rsid w:val="00775FE1"/>
    <w:rsid w:val="00775FF4"/>
    <w:rsid w:val="00776092"/>
    <w:rsid w:val="007760D6"/>
    <w:rsid w:val="007760EE"/>
    <w:rsid w:val="007760F3"/>
    <w:rsid w:val="007760F4"/>
    <w:rsid w:val="00776113"/>
    <w:rsid w:val="00776192"/>
    <w:rsid w:val="007761A8"/>
    <w:rsid w:val="0077621C"/>
    <w:rsid w:val="007762EE"/>
    <w:rsid w:val="00776337"/>
    <w:rsid w:val="007763A0"/>
    <w:rsid w:val="007763BA"/>
    <w:rsid w:val="007763DD"/>
    <w:rsid w:val="00776474"/>
    <w:rsid w:val="00776504"/>
    <w:rsid w:val="00776529"/>
    <w:rsid w:val="00776641"/>
    <w:rsid w:val="00776664"/>
    <w:rsid w:val="007766BA"/>
    <w:rsid w:val="00776724"/>
    <w:rsid w:val="00776788"/>
    <w:rsid w:val="00776790"/>
    <w:rsid w:val="007767ED"/>
    <w:rsid w:val="00776809"/>
    <w:rsid w:val="00776826"/>
    <w:rsid w:val="00776883"/>
    <w:rsid w:val="00776908"/>
    <w:rsid w:val="0077698B"/>
    <w:rsid w:val="007769AE"/>
    <w:rsid w:val="00776B80"/>
    <w:rsid w:val="00776BE4"/>
    <w:rsid w:val="00776CAB"/>
    <w:rsid w:val="00776CCA"/>
    <w:rsid w:val="00776CCB"/>
    <w:rsid w:val="00776CE1"/>
    <w:rsid w:val="00776D08"/>
    <w:rsid w:val="00776D35"/>
    <w:rsid w:val="00776D4D"/>
    <w:rsid w:val="00776DAA"/>
    <w:rsid w:val="00776E57"/>
    <w:rsid w:val="00776F20"/>
    <w:rsid w:val="00776F38"/>
    <w:rsid w:val="00777016"/>
    <w:rsid w:val="00777134"/>
    <w:rsid w:val="00777147"/>
    <w:rsid w:val="00777179"/>
    <w:rsid w:val="0077720C"/>
    <w:rsid w:val="0077727D"/>
    <w:rsid w:val="007772F8"/>
    <w:rsid w:val="0077733E"/>
    <w:rsid w:val="00777344"/>
    <w:rsid w:val="007773C3"/>
    <w:rsid w:val="00777406"/>
    <w:rsid w:val="0077745B"/>
    <w:rsid w:val="00777513"/>
    <w:rsid w:val="0077751B"/>
    <w:rsid w:val="0077752C"/>
    <w:rsid w:val="0077752D"/>
    <w:rsid w:val="00777562"/>
    <w:rsid w:val="00777567"/>
    <w:rsid w:val="007775D7"/>
    <w:rsid w:val="0077760D"/>
    <w:rsid w:val="00777620"/>
    <w:rsid w:val="007776B7"/>
    <w:rsid w:val="007776BB"/>
    <w:rsid w:val="007776BD"/>
    <w:rsid w:val="0077778C"/>
    <w:rsid w:val="007777B5"/>
    <w:rsid w:val="0077781B"/>
    <w:rsid w:val="0077783B"/>
    <w:rsid w:val="00777899"/>
    <w:rsid w:val="0077798D"/>
    <w:rsid w:val="007779E8"/>
    <w:rsid w:val="00777A5E"/>
    <w:rsid w:val="00777AE5"/>
    <w:rsid w:val="00777B44"/>
    <w:rsid w:val="00777BB4"/>
    <w:rsid w:val="00777BCB"/>
    <w:rsid w:val="00777BD4"/>
    <w:rsid w:val="00777C26"/>
    <w:rsid w:val="00777CCA"/>
    <w:rsid w:val="00777D11"/>
    <w:rsid w:val="00777D24"/>
    <w:rsid w:val="00777D3B"/>
    <w:rsid w:val="00777D4C"/>
    <w:rsid w:val="00777D5F"/>
    <w:rsid w:val="00777E8B"/>
    <w:rsid w:val="00777EBA"/>
    <w:rsid w:val="00777EEC"/>
    <w:rsid w:val="00777F1F"/>
    <w:rsid w:val="00777F98"/>
    <w:rsid w:val="00777FFE"/>
    <w:rsid w:val="00780010"/>
    <w:rsid w:val="00780015"/>
    <w:rsid w:val="007800E6"/>
    <w:rsid w:val="00780157"/>
    <w:rsid w:val="00780174"/>
    <w:rsid w:val="007801AF"/>
    <w:rsid w:val="007801D4"/>
    <w:rsid w:val="007801E2"/>
    <w:rsid w:val="0078020A"/>
    <w:rsid w:val="0078030C"/>
    <w:rsid w:val="0078030E"/>
    <w:rsid w:val="00780420"/>
    <w:rsid w:val="00780422"/>
    <w:rsid w:val="007804B5"/>
    <w:rsid w:val="007804EF"/>
    <w:rsid w:val="0078052B"/>
    <w:rsid w:val="007805B5"/>
    <w:rsid w:val="007805D7"/>
    <w:rsid w:val="00780627"/>
    <w:rsid w:val="00780644"/>
    <w:rsid w:val="0078083C"/>
    <w:rsid w:val="00780867"/>
    <w:rsid w:val="00780869"/>
    <w:rsid w:val="00780916"/>
    <w:rsid w:val="007809DE"/>
    <w:rsid w:val="00780A75"/>
    <w:rsid w:val="00780A86"/>
    <w:rsid w:val="00780ACE"/>
    <w:rsid w:val="00780AEA"/>
    <w:rsid w:val="00780B9D"/>
    <w:rsid w:val="00780BD0"/>
    <w:rsid w:val="00780CF3"/>
    <w:rsid w:val="00780D0E"/>
    <w:rsid w:val="00780D5C"/>
    <w:rsid w:val="00780D76"/>
    <w:rsid w:val="00780D82"/>
    <w:rsid w:val="00780D90"/>
    <w:rsid w:val="00780E82"/>
    <w:rsid w:val="00780F8D"/>
    <w:rsid w:val="00780F99"/>
    <w:rsid w:val="00781024"/>
    <w:rsid w:val="0078105F"/>
    <w:rsid w:val="0078107C"/>
    <w:rsid w:val="007810EA"/>
    <w:rsid w:val="00781301"/>
    <w:rsid w:val="00781314"/>
    <w:rsid w:val="00781316"/>
    <w:rsid w:val="0078139A"/>
    <w:rsid w:val="007813B6"/>
    <w:rsid w:val="00781523"/>
    <w:rsid w:val="0078154C"/>
    <w:rsid w:val="0078158A"/>
    <w:rsid w:val="007815EC"/>
    <w:rsid w:val="007815FE"/>
    <w:rsid w:val="0078163A"/>
    <w:rsid w:val="0078168A"/>
    <w:rsid w:val="0078168C"/>
    <w:rsid w:val="0078169C"/>
    <w:rsid w:val="00781768"/>
    <w:rsid w:val="0078179F"/>
    <w:rsid w:val="007817A3"/>
    <w:rsid w:val="007817E4"/>
    <w:rsid w:val="00781810"/>
    <w:rsid w:val="00781884"/>
    <w:rsid w:val="007818D7"/>
    <w:rsid w:val="007818E8"/>
    <w:rsid w:val="0078192A"/>
    <w:rsid w:val="0078197D"/>
    <w:rsid w:val="00781A61"/>
    <w:rsid w:val="00781A6A"/>
    <w:rsid w:val="00781A6F"/>
    <w:rsid w:val="00781B13"/>
    <w:rsid w:val="00781B21"/>
    <w:rsid w:val="00781BB4"/>
    <w:rsid w:val="00781CB7"/>
    <w:rsid w:val="00781D44"/>
    <w:rsid w:val="00781D4F"/>
    <w:rsid w:val="00781E00"/>
    <w:rsid w:val="00781E7E"/>
    <w:rsid w:val="00781E8C"/>
    <w:rsid w:val="00781F17"/>
    <w:rsid w:val="00781F6B"/>
    <w:rsid w:val="00781F85"/>
    <w:rsid w:val="00781F97"/>
    <w:rsid w:val="00781F9F"/>
    <w:rsid w:val="00781FF3"/>
    <w:rsid w:val="00782050"/>
    <w:rsid w:val="00782181"/>
    <w:rsid w:val="007821D3"/>
    <w:rsid w:val="007821F9"/>
    <w:rsid w:val="00782269"/>
    <w:rsid w:val="00782272"/>
    <w:rsid w:val="00782280"/>
    <w:rsid w:val="007822CA"/>
    <w:rsid w:val="00782351"/>
    <w:rsid w:val="00782362"/>
    <w:rsid w:val="0078239D"/>
    <w:rsid w:val="007823BD"/>
    <w:rsid w:val="007823C5"/>
    <w:rsid w:val="007823CB"/>
    <w:rsid w:val="00782444"/>
    <w:rsid w:val="0078245C"/>
    <w:rsid w:val="0078246D"/>
    <w:rsid w:val="007824A1"/>
    <w:rsid w:val="007825BD"/>
    <w:rsid w:val="007825C3"/>
    <w:rsid w:val="007825E3"/>
    <w:rsid w:val="0078260E"/>
    <w:rsid w:val="0078261E"/>
    <w:rsid w:val="0078265E"/>
    <w:rsid w:val="007826BA"/>
    <w:rsid w:val="007826E7"/>
    <w:rsid w:val="0078272D"/>
    <w:rsid w:val="0078275B"/>
    <w:rsid w:val="007827C0"/>
    <w:rsid w:val="007827C6"/>
    <w:rsid w:val="00782842"/>
    <w:rsid w:val="00782849"/>
    <w:rsid w:val="0078287C"/>
    <w:rsid w:val="007828BF"/>
    <w:rsid w:val="007828F0"/>
    <w:rsid w:val="00782924"/>
    <w:rsid w:val="00782926"/>
    <w:rsid w:val="00782A0D"/>
    <w:rsid w:val="00782A30"/>
    <w:rsid w:val="00782A87"/>
    <w:rsid w:val="00782AAC"/>
    <w:rsid w:val="00782AAD"/>
    <w:rsid w:val="00782AC6"/>
    <w:rsid w:val="00782D75"/>
    <w:rsid w:val="00782D9D"/>
    <w:rsid w:val="00782DFA"/>
    <w:rsid w:val="00782EB8"/>
    <w:rsid w:val="00782F05"/>
    <w:rsid w:val="00782F0B"/>
    <w:rsid w:val="00782F0E"/>
    <w:rsid w:val="00782F2D"/>
    <w:rsid w:val="00782F49"/>
    <w:rsid w:val="007830E0"/>
    <w:rsid w:val="00783146"/>
    <w:rsid w:val="00783175"/>
    <w:rsid w:val="0078319B"/>
    <w:rsid w:val="007832FF"/>
    <w:rsid w:val="00783423"/>
    <w:rsid w:val="0078346D"/>
    <w:rsid w:val="00783475"/>
    <w:rsid w:val="00783511"/>
    <w:rsid w:val="00783619"/>
    <w:rsid w:val="007836AB"/>
    <w:rsid w:val="00783794"/>
    <w:rsid w:val="00783883"/>
    <w:rsid w:val="007838A3"/>
    <w:rsid w:val="007838CF"/>
    <w:rsid w:val="0078392D"/>
    <w:rsid w:val="00783953"/>
    <w:rsid w:val="0078398E"/>
    <w:rsid w:val="00783A1E"/>
    <w:rsid w:val="00783B1C"/>
    <w:rsid w:val="00783B45"/>
    <w:rsid w:val="00783B8D"/>
    <w:rsid w:val="00783BC1"/>
    <w:rsid w:val="00783C05"/>
    <w:rsid w:val="00783C06"/>
    <w:rsid w:val="00783C2E"/>
    <w:rsid w:val="00783C6A"/>
    <w:rsid w:val="00783CAC"/>
    <w:rsid w:val="00783CCB"/>
    <w:rsid w:val="00783CE1"/>
    <w:rsid w:val="00783CE4"/>
    <w:rsid w:val="00783D11"/>
    <w:rsid w:val="00783D89"/>
    <w:rsid w:val="00783DC5"/>
    <w:rsid w:val="00783E20"/>
    <w:rsid w:val="00783E6B"/>
    <w:rsid w:val="00783E74"/>
    <w:rsid w:val="00783E7E"/>
    <w:rsid w:val="00783ECE"/>
    <w:rsid w:val="00783F06"/>
    <w:rsid w:val="00783F0A"/>
    <w:rsid w:val="00783F87"/>
    <w:rsid w:val="00783FB6"/>
    <w:rsid w:val="00784052"/>
    <w:rsid w:val="00784095"/>
    <w:rsid w:val="007840C5"/>
    <w:rsid w:val="00784140"/>
    <w:rsid w:val="00784177"/>
    <w:rsid w:val="00784190"/>
    <w:rsid w:val="007841EA"/>
    <w:rsid w:val="0078427A"/>
    <w:rsid w:val="00784346"/>
    <w:rsid w:val="007843E8"/>
    <w:rsid w:val="00784498"/>
    <w:rsid w:val="007844F4"/>
    <w:rsid w:val="00784543"/>
    <w:rsid w:val="007845B8"/>
    <w:rsid w:val="00784629"/>
    <w:rsid w:val="0078468A"/>
    <w:rsid w:val="007846FC"/>
    <w:rsid w:val="007847E3"/>
    <w:rsid w:val="0078489A"/>
    <w:rsid w:val="0078490B"/>
    <w:rsid w:val="007849AC"/>
    <w:rsid w:val="007849FD"/>
    <w:rsid w:val="00784A3A"/>
    <w:rsid w:val="00784A79"/>
    <w:rsid w:val="00784ABC"/>
    <w:rsid w:val="00784AE3"/>
    <w:rsid w:val="00784BF0"/>
    <w:rsid w:val="00784C26"/>
    <w:rsid w:val="00784C58"/>
    <w:rsid w:val="00784C67"/>
    <w:rsid w:val="00784C78"/>
    <w:rsid w:val="00784D64"/>
    <w:rsid w:val="00784DBB"/>
    <w:rsid w:val="00784E48"/>
    <w:rsid w:val="00784F7D"/>
    <w:rsid w:val="00784FE6"/>
    <w:rsid w:val="00785029"/>
    <w:rsid w:val="00785032"/>
    <w:rsid w:val="00785036"/>
    <w:rsid w:val="007850A9"/>
    <w:rsid w:val="007850D0"/>
    <w:rsid w:val="007850D7"/>
    <w:rsid w:val="007850EF"/>
    <w:rsid w:val="00785143"/>
    <w:rsid w:val="00785218"/>
    <w:rsid w:val="0078526F"/>
    <w:rsid w:val="007852AE"/>
    <w:rsid w:val="007852F6"/>
    <w:rsid w:val="00785343"/>
    <w:rsid w:val="00785376"/>
    <w:rsid w:val="00785428"/>
    <w:rsid w:val="00785552"/>
    <w:rsid w:val="007855E8"/>
    <w:rsid w:val="0078561D"/>
    <w:rsid w:val="007856D1"/>
    <w:rsid w:val="00785747"/>
    <w:rsid w:val="0078580C"/>
    <w:rsid w:val="00785818"/>
    <w:rsid w:val="0078581C"/>
    <w:rsid w:val="00785898"/>
    <w:rsid w:val="00785964"/>
    <w:rsid w:val="007859BA"/>
    <w:rsid w:val="007859EC"/>
    <w:rsid w:val="007859ED"/>
    <w:rsid w:val="00785A0F"/>
    <w:rsid w:val="00785A22"/>
    <w:rsid w:val="00785A44"/>
    <w:rsid w:val="00785A7D"/>
    <w:rsid w:val="00785A9B"/>
    <w:rsid w:val="00785B05"/>
    <w:rsid w:val="00785B3F"/>
    <w:rsid w:val="00785B5B"/>
    <w:rsid w:val="00785BD2"/>
    <w:rsid w:val="00785C0B"/>
    <w:rsid w:val="00785CA2"/>
    <w:rsid w:val="00785D00"/>
    <w:rsid w:val="00785D4B"/>
    <w:rsid w:val="00785D71"/>
    <w:rsid w:val="00785DA5"/>
    <w:rsid w:val="00785DA8"/>
    <w:rsid w:val="00785E6D"/>
    <w:rsid w:val="00785F2B"/>
    <w:rsid w:val="00785F2D"/>
    <w:rsid w:val="00785F49"/>
    <w:rsid w:val="00785FDB"/>
    <w:rsid w:val="007860F6"/>
    <w:rsid w:val="00786113"/>
    <w:rsid w:val="00786178"/>
    <w:rsid w:val="0078617C"/>
    <w:rsid w:val="00786181"/>
    <w:rsid w:val="007861C2"/>
    <w:rsid w:val="0078626E"/>
    <w:rsid w:val="00786309"/>
    <w:rsid w:val="00786317"/>
    <w:rsid w:val="0078646D"/>
    <w:rsid w:val="0078647B"/>
    <w:rsid w:val="007864AB"/>
    <w:rsid w:val="007864F8"/>
    <w:rsid w:val="00786576"/>
    <w:rsid w:val="007865B4"/>
    <w:rsid w:val="007865B5"/>
    <w:rsid w:val="007865EC"/>
    <w:rsid w:val="007865F1"/>
    <w:rsid w:val="00786620"/>
    <w:rsid w:val="00786696"/>
    <w:rsid w:val="007866A2"/>
    <w:rsid w:val="007866E7"/>
    <w:rsid w:val="007867C7"/>
    <w:rsid w:val="007867D0"/>
    <w:rsid w:val="007867ED"/>
    <w:rsid w:val="00786928"/>
    <w:rsid w:val="00786957"/>
    <w:rsid w:val="00786998"/>
    <w:rsid w:val="007869D8"/>
    <w:rsid w:val="007869F5"/>
    <w:rsid w:val="00786A30"/>
    <w:rsid w:val="00786AAF"/>
    <w:rsid w:val="00786AB9"/>
    <w:rsid w:val="00786AD5"/>
    <w:rsid w:val="00786B9F"/>
    <w:rsid w:val="00786BB5"/>
    <w:rsid w:val="00786BC8"/>
    <w:rsid w:val="00786C12"/>
    <w:rsid w:val="00786C15"/>
    <w:rsid w:val="00786C8E"/>
    <w:rsid w:val="00786CE5"/>
    <w:rsid w:val="00786D12"/>
    <w:rsid w:val="00786D75"/>
    <w:rsid w:val="00786DB8"/>
    <w:rsid w:val="00786DF9"/>
    <w:rsid w:val="00786E43"/>
    <w:rsid w:val="00786E82"/>
    <w:rsid w:val="00786EDE"/>
    <w:rsid w:val="00786F1E"/>
    <w:rsid w:val="00786F31"/>
    <w:rsid w:val="00786F72"/>
    <w:rsid w:val="00786F97"/>
    <w:rsid w:val="00787027"/>
    <w:rsid w:val="00787068"/>
    <w:rsid w:val="00787090"/>
    <w:rsid w:val="007871DA"/>
    <w:rsid w:val="00787202"/>
    <w:rsid w:val="00787207"/>
    <w:rsid w:val="00787298"/>
    <w:rsid w:val="007872B0"/>
    <w:rsid w:val="00787321"/>
    <w:rsid w:val="00787359"/>
    <w:rsid w:val="00787476"/>
    <w:rsid w:val="007874D9"/>
    <w:rsid w:val="00787587"/>
    <w:rsid w:val="007875DF"/>
    <w:rsid w:val="0078764D"/>
    <w:rsid w:val="00787773"/>
    <w:rsid w:val="007877D1"/>
    <w:rsid w:val="007877D3"/>
    <w:rsid w:val="007877E5"/>
    <w:rsid w:val="0078780E"/>
    <w:rsid w:val="0078786C"/>
    <w:rsid w:val="007878A6"/>
    <w:rsid w:val="00787902"/>
    <w:rsid w:val="007879B2"/>
    <w:rsid w:val="007879E0"/>
    <w:rsid w:val="00787A8C"/>
    <w:rsid w:val="00787B4D"/>
    <w:rsid w:val="00787B9F"/>
    <w:rsid w:val="00787BC0"/>
    <w:rsid w:val="00787C68"/>
    <w:rsid w:val="00787C77"/>
    <w:rsid w:val="00787C85"/>
    <w:rsid w:val="00787CA0"/>
    <w:rsid w:val="00787D2A"/>
    <w:rsid w:val="00787D2C"/>
    <w:rsid w:val="00787D38"/>
    <w:rsid w:val="00787D3B"/>
    <w:rsid w:val="00787D71"/>
    <w:rsid w:val="00787D73"/>
    <w:rsid w:val="00787E3D"/>
    <w:rsid w:val="00787E50"/>
    <w:rsid w:val="00787ED0"/>
    <w:rsid w:val="00787EF0"/>
    <w:rsid w:val="00787F2F"/>
    <w:rsid w:val="00787F3D"/>
    <w:rsid w:val="0078C892"/>
    <w:rsid w:val="0079005D"/>
    <w:rsid w:val="0079009F"/>
    <w:rsid w:val="007900E3"/>
    <w:rsid w:val="0079010C"/>
    <w:rsid w:val="0079010E"/>
    <w:rsid w:val="0079023C"/>
    <w:rsid w:val="007902BE"/>
    <w:rsid w:val="0079033A"/>
    <w:rsid w:val="00790364"/>
    <w:rsid w:val="00790442"/>
    <w:rsid w:val="00790474"/>
    <w:rsid w:val="0079047B"/>
    <w:rsid w:val="007904C8"/>
    <w:rsid w:val="00790530"/>
    <w:rsid w:val="00790665"/>
    <w:rsid w:val="0079066E"/>
    <w:rsid w:val="00790673"/>
    <w:rsid w:val="00790712"/>
    <w:rsid w:val="00790771"/>
    <w:rsid w:val="007907DA"/>
    <w:rsid w:val="00790822"/>
    <w:rsid w:val="0079082A"/>
    <w:rsid w:val="007908DB"/>
    <w:rsid w:val="00790911"/>
    <w:rsid w:val="0079093E"/>
    <w:rsid w:val="007909B4"/>
    <w:rsid w:val="007909C5"/>
    <w:rsid w:val="00790A02"/>
    <w:rsid w:val="00790A4B"/>
    <w:rsid w:val="00790A7B"/>
    <w:rsid w:val="00790AC0"/>
    <w:rsid w:val="00790B08"/>
    <w:rsid w:val="00790B72"/>
    <w:rsid w:val="00790BB3"/>
    <w:rsid w:val="00790C15"/>
    <w:rsid w:val="00790C5C"/>
    <w:rsid w:val="00790C7C"/>
    <w:rsid w:val="00790C83"/>
    <w:rsid w:val="00790CAA"/>
    <w:rsid w:val="00790D03"/>
    <w:rsid w:val="00790D3A"/>
    <w:rsid w:val="00790D99"/>
    <w:rsid w:val="00790DD8"/>
    <w:rsid w:val="00790DEC"/>
    <w:rsid w:val="00790DF8"/>
    <w:rsid w:val="00790E37"/>
    <w:rsid w:val="00790EE2"/>
    <w:rsid w:val="00790EED"/>
    <w:rsid w:val="00790F02"/>
    <w:rsid w:val="00790F6C"/>
    <w:rsid w:val="00790FE9"/>
    <w:rsid w:val="0079105B"/>
    <w:rsid w:val="0079106F"/>
    <w:rsid w:val="00791083"/>
    <w:rsid w:val="007910C3"/>
    <w:rsid w:val="007910E1"/>
    <w:rsid w:val="007911DF"/>
    <w:rsid w:val="007911E9"/>
    <w:rsid w:val="007912CB"/>
    <w:rsid w:val="007912D0"/>
    <w:rsid w:val="00791307"/>
    <w:rsid w:val="0079130E"/>
    <w:rsid w:val="0079132A"/>
    <w:rsid w:val="00791356"/>
    <w:rsid w:val="00791362"/>
    <w:rsid w:val="007913ED"/>
    <w:rsid w:val="00791402"/>
    <w:rsid w:val="00791413"/>
    <w:rsid w:val="00791430"/>
    <w:rsid w:val="007914CE"/>
    <w:rsid w:val="0079151F"/>
    <w:rsid w:val="007915CB"/>
    <w:rsid w:val="00791602"/>
    <w:rsid w:val="00791626"/>
    <w:rsid w:val="007916EF"/>
    <w:rsid w:val="007916F2"/>
    <w:rsid w:val="00791717"/>
    <w:rsid w:val="00791729"/>
    <w:rsid w:val="00791733"/>
    <w:rsid w:val="00791834"/>
    <w:rsid w:val="0079183C"/>
    <w:rsid w:val="00791855"/>
    <w:rsid w:val="007918FD"/>
    <w:rsid w:val="0079195E"/>
    <w:rsid w:val="0079198B"/>
    <w:rsid w:val="007919CB"/>
    <w:rsid w:val="007919D4"/>
    <w:rsid w:val="00791A53"/>
    <w:rsid w:val="00791A87"/>
    <w:rsid w:val="00791ABC"/>
    <w:rsid w:val="00791AC4"/>
    <w:rsid w:val="00791B40"/>
    <w:rsid w:val="00791B57"/>
    <w:rsid w:val="00791B9E"/>
    <w:rsid w:val="00791BF6"/>
    <w:rsid w:val="00791C5D"/>
    <w:rsid w:val="00791D3D"/>
    <w:rsid w:val="00791D42"/>
    <w:rsid w:val="00791DB6"/>
    <w:rsid w:val="00791DBB"/>
    <w:rsid w:val="00791E1F"/>
    <w:rsid w:val="00791E75"/>
    <w:rsid w:val="00791F86"/>
    <w:rsid w:val="00791FC5"/>
    <w:rsid w:val="00792007"/>
    <w:rsid w:val="0079200E"/>
    <w:rsid w:val="0079203D"/>
    <w:rsid w:val="00792046"/>
    <w:rsid w:val="0079210B"/>
    <w:rsid w:val="00792192"/>
    <w:rsid w:val="00792224"/>
    <w:rsid w:val="0079224A"/>
    <w:rsid w:val="007922C3"/>
    <w:rsid w:val="007922F6"/>
    <w:rsid w:val="00792311"/>
    <w:rsid w:val="00792378"/>
    <w:rsid w:val="007923DB"/>
    <w:rsid w:val="00792412"/>
    <w:rsid w:val="00792437"/>
    <w:rsid w:val="00792452"/>
    <w:rsid w:val="00792466"/>
    <w:rsid w:val="0079247A"/>
    <w:rsid w:val="007924AD"/>
    <w:rsid w:val="007924B7"/>
    <w:rsid w:val="007924EC"/>
    <w:rsid w:val="007924FC"/>
    <w:rsid w:val="00792543"/>
    <w:rsid w:val="00792568"/>
    <w:rsid w:val="007925F7"/>
    <w:rsid w:val="0079265A"/>
    <w:rsid w:val="0079269A"/>
    <w:rsid w:val="0079269D"/>
    <w:rsid w:val="0079276B"/>
    <w:rsid w:val="007927AD"/>
    <w:rsid w:val="0079281B"/>
    <w:rsid w:val="0079281E"/>
    <w:rsid w:val="00792821"/>
    <w:rsid w:val="00792842"/>
    <w:rsid w:val="00792973"/>
    <w:rsid w:val="00792982"/>
    <w:rsid w:val="007929B4"/>
    <w:rsid w:val="00792A31"/>
    <w:rsid w:val="00792A44"/>
    <w:rsid w:val="00792A6D"/>
    <w:rsid w:val="00792A8C"/>
    <w:rsid w:val="00792A94"/>
    <w:rsid w:val="00792A98"/>
    <w:rsid w:val="00792AE2"/>
    <w:rsid w:val="00792B88"/>
    <w:rsid w:val="00792BE1"/>
    <w:rsid w:val="00792BE2"/>
    <w:rsid w:val="00792BF5"/>
    <w:rsid w:val="00792C86"/>
    <w:rsid w:val="00792C8A"/>
    <w:rsid w:val="00792CAE"/>
    <w:rsid w:val="00792CB6"/>
    <w:rsid w:val="00792D32"/>
    <w:rsid w:val="00792D77"/>
    <w:rsid w:val="00792EAC"/>
    <w:rsid w:val="00792ECB"/>
    <w:rsid w:val="00792ED4"/>
    <w:rsid w:val="00792EE0"/>
    <w:rsid w:val="00792F47"/>
    <w:rsid w:val="0079305E"/>
    <w:rsid w:val="0079307B"/>
    <w:rsid w:val="00793084"/>
    <w:rsid w:val="007930C1"/>
    <w:rsid w:val="00793150"/>
    <w:rsid w:val="007931C7"/>
    <w:rsid w:val="00793208"/>
    <w:rsid w:val="00793277"/>
    <w:rsid w:val="00793289"/>
    <w:rsid w:val="007932D8"/>
    <w:rsid w:val="007932D9"/>
    <w:rsid w:val="00793345"/>
    <w:rsid w:val="0079335B"/>
    <w:rsid w:val="0079336D"/>
    <w:rsid w:val="0079337F"/>
    <w:rsid w:val="0079349D"/>
    <w:rsid w:val="007934C8"/>
    <w:rsid w:val="00793502"/>
    <w:rsid w:val="00793536"/>
    <w:rsid w:val="00793537"/>
    <w:rsid w:val="0079359D"/>
    <w:rsid w:val="0079360A"/>
    <w:rsid w:val="0079361D"/>
    <w:rsid w:val="00793633"/>
    <w:rsid w:val="00793634"/>
    <w:rsid w:val="00793698"/>
    <w:rsid w:val="007937A5"/>
    <w:rsid w:val="00793839"/>
    <w:rsid w:val="00793898"/>
    <w:rsid w:val="007938EC"/>
    <w:rsid w:val="00793936"/>
    <w:rsid w:val="00793954"/>
    <w:rsid w:val="007939B4"/>
    <w:rsid w:val="007939C9"/>
    <w:rsid w:val="007939CC"/>
    <w:rsid w:val="00793A3F"/>
    <w:rsid w:val="00793B55"/>
    <w:rsid w:val="00793B85"/>
    <w:rsid w:val="00793B87"/>
    <w:rsid w:val="00793B93"/>
    <w:rsid w:val="00793BDA"/>
    <w:rsid w:val="00793C39"/>
    <w:rsid w:val="00793C54"/>
    <w:rsid w:val="00793CE5"/>
    <w:rsid w:val="00793D27"/>
    <w:rsid w:val="00793DD2"/>
    <w:rsid w:val="00793DD6"/>
    <w:rsid w:val="00793E1C"/>
    <w:rsid w:val="00793E3A"/>
    <w:rsid w:val="00793E45"/>
    <w:rsid w:val="00793EB9"/>
    <w:rsid w:val="00793F04"/>
    <w:rsid w:val="00793F0C"/>
    <w:rsid w:val="00793F92"/>
    <w:rsid w:val="00793FB6"/>
    <w:rsid w:val="00794076"/>
    <w:rsid w:val="007940B8"/>
    <w:rsid w:val="007940EB"/>
    <w:rsid w:val="007940FB"/>
    <w:rsid w:val="0079413B"/>
    <w:rsid w:val="0079418F"/>
    <w:rsid w:val="00794190"/>
    <w:rsid w:val="00794223"/>
    <w:rsid w:val="00794287"/>
    <w:rsid w:val="0079428D"/>
    <w:rsid w:val="007942BF"/>
    <w:rsid w:val="00794309"/>
    <w:rsid w:val="0079431D"/>
    <w:rsid w:val="00794345"/>
    <w:rsid w:val="007943A5"/>
    <w:rsid w:val="007943F3"/>
    <w:rsid w:val="007943FA"/>
    <w:rsid w:val="00794496"/>
    <w:rsid w:val="007944D2"/>
    <w:rsid w:val="00794552"/>
    <w:rsid w:val="0079458E"/>
    <w:rsid w:val="007945DA"/>
    <w:rsid w:val="00794605"/>
    <w:rsid w:val="00794653"/>
    <w:rsid w:val="007946BA"/>
    <w:rsid w:val="007946E7"/>
    <w:rsid w:val="007946FC"/>
    <w:rsid w:val="0079471F"/>
    <w:rsid w:val="00794735"/>
    <w:rsid w:val="0079473E"/>
    <w:rsid w:val="00794753"/>
    <w:rsid w:val="00794785"/>
    <w:rsid w:val="00794794"/>
    <w:rsid w:val="007947C1"/>
    <w:rsid w:val="007947C3"/>
    <w:rsid w:val="00794813"/>
    <w:rsid w:val="00794875"/>
    <w:rsid w:val="00794891"/>
    <w:rsid w:val="007948B2"/>
    <w:rsid w:val="007948C3"/>
    <w:rsid w:val="007948CF"/>
    <w:rsid w:val="007948DA"/>
    <w:rsid w:val="007948E7"/>
    <w:rsid w:val="00794959"/>
    <w:rsid w:val="00794A5F"/>
    <w:rsid w:val="00794A69"/>
    <w:rsid w:val="00794A76"/>
    <w:rsid w:val="00794A89"/>
    <w:rsid w:val="00794AFE"/>
    <w:rsid w:val="00794B0B"/>
    <w:rsid w:val="00794B0F"/>
    <w:rsid w:val="00794B29"/>
    <w:rsid w:val="00794B43"/>
    <w:rsid w:val="00794B75"/>
    <w:rsid w:val="00794BCF"/>
    <w:rsid w:val="00794C27"/>
    <w:rsid w:val="00794CB4"/>
    <w:rsid w:val="00794CE5"/>
    <w:rsid w:val="00794CF4"/>
    <w:rsid w:val="00794D22"/>
    <w:rsid w:val="00794D8F"/>
    <w:rsid w:val="00794DCA"/>
    <w:rsid w:val="00794DDE"/>
    <w:rsid w:val="00794EE7"/>
    <w:rsid w:val="00794EFE"/>
    <w:rsid w:val="00794F47"/>
    <w:rsid w:val="00794F59"/>
    <w:rsid w:val="00794FB7"/>
    <w:rsid w:val="00794FC9"/>
    <w:rsid w:val="00794FDB"/>
    <w:rsid w:val="00795038"/>
    <w:rsid w:val="00795051"/>
    <w:rsid w:val="00795055"/>
    <w:rsid w:val="0079506B"/>
    <w:rsid w:val="007950C1"/>
    <w:rsid w:val="00795143"/>
    <w:rsid w:val="00795171"/>
    <w:rsid w:val="00795188"/>
    <w:rsid w:val="00795195"/>
    <w:rsid w:val="00795197"/>
    <w:rsid w:val="007952C1"/>
    <w:rsid w:val="007952E6"/>
    <w:rsid w:val="007953B7"/>
    <w:rsid w:val="007953F3"/>
    <w:rsid w:val="00795406"/>
    <w:rsid w:val="00795458"/>
    <w:rsid w:val="0079549F"/>
    <w:rsid w:val="007954F2"/>
    <w:rsid w:val="00795501"/>
    <w:rsid w:val="007955DB"/>
    <w:rsid w:val="00795602"/>
    <w:rsid w:val="00795612"/>
    <w:rsid w:val="0079571C"/>
    <w:rsid w:val="0079572E"/>
    <w:rsid w:val="00795751"/>
    <w:rsid w:val="0079579F"/>
    <w:rsid w:val="0079586A"/>
    <w:rsid w:val="007958D1"/>
    <w:rsid w:val="007958EE"/>
    <w:rsid w:val="007958FF"/>
    <w:rsid w:val="00795971"/>
    <w:rsid w:val="00795A05"/>
    <w:rsid w:val="00795A78"/>
    <w:rsid w:val="00795B8B"/>
    <w:rsid w:val="00795BAE"/>
    <w:rsid w:val="00795C35"/>
    <w:rsid w:val="00795C53"/>
    <w:rsid w:val="00795C83"/>
    <w:rsid w:val="00795CC6"/>
    <w:rsid w:val="00795D60"/>
    <w:rsid w:val="00795D79"/>
    <w:rsid w:val="00795D99"/>
    <w:rsid w:val="00795DD1"/>
    <w:rsid w:val="00795E02"/>
    <w:rsid w:val="00795E0B"/>
    <w:rsid w:val="00795E55"/>
    <w:rsid w:val="00795ECD"/>
    <w:rsid w:val="00795F27"/>
    <w:rsid w:val="00795F28"/>
    <w:rsid w:val="00796056"/>
    <w:rsid w:val="0079608D"/>
    <w:rsid w:val="007960E3"/>
    <w:rsid w:val="007960EF"/>
    <w:rsid w:val="0079619B"/>
    <w:rsid w:val="007961A1"/>
    <w:rsid w:val="0079628B"/>
    <w:rsid w:val="007962D0"/>
    <w:rsid w:val="00796326"/>
    <w:rsid w:val="0079633D"/>
    <w:rsid w:val="00796359"/>
    <w:rsid w:val="0079647D"/>
    <w:rsid w:val="00796491"/>
    <w:rsid w:val="007964D9"/>
    <w:rsid w:val="00796556"/>
    <w:rsid w:val="0079655F"/>
    <w:rsid w:val="00796579"/>
    <w:rsid w:val="007965B2"/>
    <w:rsid w:val="007965E6"/>
    <w:rsid w:val="007965F8"/>
    <w:rsid w:val="00796626"/>
    <w:rsid w:val="00796637"/>
    <w:rsid w:val="00796673"/>
    <w:rsid w:val="00796710"/>
    <w:rsid w:val="007967C1"/>
    <w:rsid w:val="00796804"/>
    <w:rsid w:val="007968BB"/>
    <w:rsid w:val="0079693E"/>
    <w:rsid w:val="00796978"/>
    <w:rsid w:val="00796A29"/>
    <w:rsid w:val="00796A86"/>
    <w:rsid w:val="00796AF4"/>
    <w:rsid w:val="00796B36"/>
    <w:rsid w:val="00796B45"/>
    <w:rsid w:val="00796B81"/>
    <w:rsid w:val="00796CD5"/>
    <w:rsid w:val="00796D16"/>
    <w:rsid w:val="00796D1B"/>
    <w:rsid w:val="00796D7A"/>
    <w:rsid w:val="00796DE1"/>
    <w:rsid w:val="00796DEC"/>
    <w:rsid w:val="00796E70"/>
    <w:rsid w:val="00796EA9"/>
    <w:rsid w:val="00796EB4"/>
    <w:rsid w:val="00796F4B"/>
    <w:rsid w:val="00796F4D"/>
    <w:rsid w:val="00796FB1"/>
    <w:rsid w:val="00796FED"/>
    <w:rsid w:val="00796FFB"/>
    <w:rsid w:val="0079700A"/>
    <w:rsid w:val="00797136"/>
    <w:rsid w:val="00797138"/>
    <w:rsid w:val="007971AA"/>
    <w:rsid w:val="00797220"/>
    <w:rsid w:val="00797359"/>
    <w:rsid w:val="007973AF"/>
    <w:rsid w:val="007973BA"/>
    <w:rsid w:val="007973D8"/>
    <w:rsid w:val="007973F9"/>
    <w:rsid w:val="00797417"/>
    <w:rsid w:val="00797457"/>
    <w:rsid w:val="00797493"/>
    <w:rsid w:val="00797609"/>
    <w:rsid w:val="00797671"/>
    <w:rsid w:val="007976C9"/>
    <w:rsid w:val="007976CC"/>
    <w:rsid w:val="007976F4"/>
    <w:rsid w:val="0079773C"/>
    <w:rsid w:val="00797746"/>
    <w:rsid w:val="00797799"/>
    <w:rsid w:val="007977B6"/>
    <w:rsid w:val="007977C2"/>
    <w:rsid w:val="007977DB"/>
    <w:rsid w:val="007977F4"/>
    <w:rsid w:val="007977F6"/>
    <w:rsid w:val="00797836"/>
    <w:rsid w:val="00797838"/>
    <w:rsid w:val="007978E4"/>
    <w:rsid w:val="007978F0"/>
    <w:rsid w:val="0079793C"/>
    <w:rsid w:val="0079797F"/>
    <w:rsid w:val="0079798A"/>
    <w:rsid w:val="007979FE"/>
    <w:rsid w:val="00797A2D"/>
    <w:rsid w:val="00797AFE"/>
    <w:rsid w:val="00797B7E"/>
    <w:rsid w:val="00797BD9"/>
    <w:rsid w:val="00797C8A"/>
    <w:rsid w:val="00797C93"/>
    <w:rsid w:val="00797CF0"/>
    <w:rsid w:val="00797D24"/>
    <w:rsid w:val="00797D44"/>
    <w:rsid w:val="00797D7D"/>
    <w:rsid w:val="00797E3F"/>
    <w:rsid w:val="00797ECA"/>
    <w:rsid w:val="00797F1D"/>
    <w:rsid w:val="00797F30"/>
    <w:rsid w:val="00797F61"/>
    <w:rsid w:val="00797F83"/>
    <w:rsid w:val="007A0043"/>
    <w:rsid w:val="007A00DE"/>
    <w:rsid w:val="007A01AA"/>
    <w:rsid w:val="007A0217"/>
    <w:rsid w:val="007A0294"/>
    <w:rsid w:val="007A02A3"/>
    <w:rsid w:val="007A02AA"/>
    <w:rsid w:val="007A02D3"/>
    <w:rsid w:val="007A02FB"/>
    <w:rsid w:val="007A0370"/>
    <w:rsid w:val="007A044E"/>
    <w:rsid w:val="007A048A"/>
    <w:rsid w:val="007A049F"/>
    <w:rsid w:val="007A04D6"/>
    <w:rsid w:val="007A04DD"/>
    <w:rsid w:val="007A0575"/>
    <w:rsid w:val="007A067E"/>
    <w:rsid w:val="007A079B"/>
    <w:rsid w:val="007A07BE"/>
    <w:rsid w:val="007A07CF"/>
    <w:rsid w:val="007A0812"/>
    <w:rsid w:val="007A082F"/>
    <w:rsid w:val="007A086E"/>
    <w:rsid w:val="007A0878"/>
    <w:rsid w:val="007A0882"/>
    <w:rsid w:val="007A0950"/>
    <w:rsid w:val="007A0979"/>
    <w:rsid w:val="007A0996"/>
    <w:rsid w:val="007A0A0E"/>
    <w:rsid w:val="007A0A58"/>
    <w:rsid w:val="007A0A77"/>
    <w:rsid w:val="007A0A8A"/>
    <w:rsid w:val="007A0ACC"/>
    <w:rsid w:val="007A0AD0"/>
    <w:rsid w:val="007A0ADC"/>
    <w:rsid w:val="007A0ADD"/>
    <w:rsid w:val="007A0B5C"/>
    <w:rsid w:val="007A0B67"/>
    <w:rsid w:val="007A0C8B"/>
    <w:rsid w:val="007A0CAD"/>
    <w:rsid w:val="007A0CC3"/>
    <w:rsid w:val="007A0CE6"/>
    <w:rsid w:val="007A0CF3"/>
    <w:rsid w:val="007A0D87"/>
    <w:rsid w:val="007A0E13"/>
    <w:rsid w:val="007A0E1D"/>
    <w:rsid w:val="007A0E6A"/>
    <w:rsid w:val="007A0E6F"/>
    <w:rsid w:val="007A0E9B"/>
    <w:rsid w:val="007A0EAA"/>
    <w:rsid w:val="007A0EC2"/>
    <w:rsid w:val="007A0F65"/>
    <w:rsid w:val="007A0FCE"/>
    <w:rsid w:val="007A1007"/>
    <w:rsid w:val="007A1011"/>
    <w:rsid w:val="007A1036"/>
    <w:rsid w:val="007A10C0"/>
    <w:rsid w:val="007A10DC"/>
    <w:rsid w:val="007A11B9"/>
    <w:rsid w:val="007A12AE"/>
    <w:rsid w:val="007A12F8"/>
    <w:rsid w:val="007A134F"/>
    <w:rsid w:val="007A1360"/>
    <w:rsid w:val="007A13CE"/>
    <w:rsid w:val="007A1422"/>
    <w:rsid w:val="007A1424"/>
    <w:rsid w:val="007A1497"/>
    <w:rsid w:val="007A1557"/>
    <w:rsid w:val="007A15F3"/>
    <w:rsid w:val="007A166E"/>
    <w:rsid w:val="007A1791"/>
    <w:rsid w:val="007A1872"/>
    <w:rsid w:val="007A18C5"/>
    <w:rsid w:val="007A1915"/>
    <w:rsid w:val="007A192F"/>
    <w:rsid w:val="007A1975"/>
    <w:rsid w:val="007A19D1"/>
    <w:rsid w:val="007A19E9"/>
    <w:rsid w:val="007A1A37"/>
    <w:rsid w:val="007A1A3F"/>
    <w:rsid w:val="007A1A4F"/>
    <w:rsid w:val="007A1A85"/>
    <w:rsid w:val="007A1AAC"/>
    <w:rsid w:val="007A1AD8"/>
    <w:rsid w:val="007A1AE2"/>
    <w:rsid w:val="007A1B10"/>
    <w:rsid w:val="007A1B20"/>
    <w:rsid w:val="007A1B62"/>
    <w:rsid w:val="007A1BB7"/>
    <w:rsid w:val="007A1BBB"/>
    <w:rsid w:val="007A1BE9"/>
    <w:rsid w:val="007A1C7C"/>
    <w:rsid w:val="007A1CAD"/>
    <w:rsid w:val="007A1D3F"/>
    <w:rsid w:val="007A1D47"/>
    <w:rsid w:val="007A1D70"/>
    <w:rsid w:val="007A1DD8"/>
    <w:rsid w:val="007A1E44"/>
    <w:rsid w:val="007A1E84"/>
    <w:rsid w:val="007A1EAB"/>
    <w:rsid w:val="007A1EB4"/>
    <w:rsid w:val="007A1EED"/>
    <w:rsid w:val="007A2079"/>
    <w:rsid w:val="007A21C9"/>
    <w:rsid w:val="007A2238"/>
    <w:rsid w:val="007A22D9"/>
    <w:rsid w:val="007A22E7"/>
    <w:rsid w:val="007A2335"/>
    <w:rsid w:val="007A2357"/>
    <w:rsid w:val="007A238E"/>
    <w:rsid w:val="007A2402"/>
    <w:rsid w:val="007A2484"/>
    <w:rsid w:val="007A2518"/>
    <w:rsid w:val="007A2549"/>
    <w:rsid w:val="007A255B"/>
    <w:rsid w:val="007A2571"/>
    <w:rsid w:val="007A2683"/>
    <w:rsid w:val="007A26F0"/>
    <w:rsid w:val="007A27B8"/>
    <w:rsid w:val="007A2809"/>
    <w:rsid w:val="007A283A"/>
    <w:rsid w:val="007A283F"/>
    <w:rsid w:val="007A2851"/>
    <w:rsid w:val="007A28D5"/>
    <w:rsid w:val="007A28F5"/>
    <w:rsid w:val="007A2A3D"/>
    <w:rsid w:val="007A2A65"/>
    <w:rsid w:val="007A2ABE"/>
    <w:rsid w:val="007A2B0C"/>
    <w:rsid w:val="007A2B29"/>
    <w:rsid w:val="007A2B2A"/>
    <w:rsid w:val="007A2B84"/>
    <w:rsid w:val="007A2BFA"/>
    <w:rsid w:val="007A2C00"/>
    <w:rsid w:val="007A2C87"/>
    <w:rsid w:val="007A2CD5"/>
    <w:rsid w:val="007A2D4D"/>
    <w:rsid w:val="007A2D88"/>
    <w:rsid w:val="007A2E02"/>
    <w:rsid w:val="007A2E39"/>
    <w:rsid w:val="007A2EA4"/>
    <w:rsid w:val="007A2F3A"/>
    <w:rsid w:val="007A2F85"/>
    <w:rsid w:val="007A2F8D"/>
    <w:rsid w:val="007A30D6"/>
    <w:rsid w:val="007A30DC"/>
    <w:rsid w:val="007A30FF"/>
    <w:rsid w:val="007A31FF"/>
    <w:rsid w:val="007A322C"/>
    <w:rsid w:val="007A3292"/>
    <w:rsid w:val="007A334F"/>
    <w:rsid w:val="007A33BF"/>
    <w:rsid w:val="007A33E2"/>
    <w:rsid w:val="007A33E8"/>
    <w:rsid w:val="007A3437"/>
    <w:rsid w:val="007A3489"/>
    <w:rsid w:val="007A34C8"/>
    <w:rsid w:val="007A34CD"/>
    <w:rsid w:val="007A3543"/>
    <w:rsid w:val="007A3599"/>
    <w:rsid w:val="007A35AF"/>
    <w:rsid w:val="007A3629"/>
    <w:rsid w:val="007A3652"/>
    <w:rsid w:val="007A36A0"/>
    <w:rsid w:val="007A36F9"/>
    <w:rsid w:val="007A371C"/>
    <w:rsid w:val="007A3768"/>
    <w:rsid w:val="007A37A6"/>
    <w:rsid w:val="007A3870"/>
    <w:rsid w:val="007A3884"/>
    <w:rsid w:val="007A3894"/>
    <w:rsid w:val="007A3895"/>
    <w:rsid w:val="007A38B5"/>
    <w:rsid w:val="007A38BD"/>
    <w:rsid w:val="007A38C8"/>
    <w:rsid w:val="007A38DE"/>
    <w:rsid w:val="007A3908"/>
    <w:rsid w:val="007A3954"/>
    <w:rsid w:val="007A3BD7"/>
    <w:rsid w:val="007A3BE3"/>
    <w:rsid w:val="007A3BEE"/>
    <w:rsid w:val="007A3C20"/>
    <w:rsid w:val="007A3C39"/>
    <w:rsid w:val="007A3D00"/>
    <w:rsid w:val="007A3D57"/>
    <w:rsid w:val="007A3E1F"/>
    <w:rsid w:val="007A3E30"/>
    <w:rsid w:val="007A3EC3"/>
    <w:rsid w:val="007A3F6A"/>
    <w:rsid w:val="007A4058"/>
    <w:rsid w:val="007A405A"/>
    <w:rsid w:val="007A4066"/>
    <w:rsid w:val="007A40F8"/>
    <w:rsid w:val="007A40FB"/>
    <w:rsid w:val="007A4107"/>
    <w:rsid w:val="007A413E"/>
    <w:rsid w:val="007A4144"/>
    <w:rsid w:val="007A41F8"/>
    <w:rsid w:val="007A425B"/>
    <w:rsid w:val="007A4260"/>
    <w:rsid w:val="007A428C"/>
    <w:rsid w:val="007A42D1"/>
    <w:rsid w:val="007A42E8"/>
    <w:rsid w:val="007A43D6"/>
    <w:rsid w:val="007A451B"/>
    <w:rsid w:val="007A4541"/>
    <w:rsid w:val="007A4546"/>
    <w:rsid w:val="007A456A"/>
    <w:rsid w:val="007A4660"/>
    <w:rsid w:val="007A4667"/>
    <w:rsid w:val="007A46C0"/>
    <w:rsid w:val="007A4710"/>
    <w:rsid w:val="007A47E9"/>
    <w:rsid w:val="007A4806"/>
    <w:rsid w:val="007A48CB"/>
    <w:rsid w:val="007A48D6"/>
    <w:rsid w:val="007A4902"/>
    <w:rsid w:val="007A4908"/>
    <w:rsid w:val="007A4989"/>
    <w:rsid w:val="007A49FC"/>
    <w:rsid w:val="007A4A65"/>
    <w:rsid w:val="007A4AB0"/>
    <w:rsid w:val="007A4B9B"/>
    <w:rsid w:val="007A4BCD"/>
    <w:rsid w:val="007A4C53"/>
    <w:rsid w:val="007A4C72"/>
    <w:rsid w:val="007A4D67"/>
    <w:rsid w:val="007A4DA5"/>
    <w:rsid w:val="007A4EE7"/>
    <w:rsid w:val="007A4EEF"/>
    <w:rsid w:val="007A4F10"/>
    <w:rsid w:val="007A4F5F"/>
    <w:rsid w:val="007A5110"/>
    <w:rsid w:val="007A515B"/>
    <w:rsid w:val="007A5177"/>
    <w:rsid w:val="007A5234"/>
    <w:rsid w:val="007A524B"/>
    <w:rsid w:val="007A5343"/>
    <w:rsid w:val="007A536B"/>
    <w:rsid w:val="007A538D"/>
    <w:rsid w:val="007A538E"/>
    <w:rsid w:val="007A5398"/>
    <w:rsid w:val="007A543F"/>
    <w:rsid w:val="007A547A"/>
    <w:rsid w:val="007A5491"/>
    <w:rsid w:val="007A5547"/>
    <w:rsid w:val="007A556C"/>
    <w:rsid w:val="007A55F0"/>
    <w:rsid w:val="007A5602"/>
    <w:rsid w:val="007A564C"/>
    <w:rsid w:val="007A56AC"/>
    <w:rsid w:val="007A56EB"/>
    <w:rsid w:val="007A57C3"/>
    <w:rsid w:val="007A580A"/>
    <w:rsid w:val="007A582A"/>
    <w:rsid w:val="007A585A"/>
    <w:rsid w:val="007A5878"/>
    <w:rsid w:val="007A58A3"/>
    <w:rsid w:val="007A5970"/>
    <w:rsid w:val="007A59B2"/>
    <w:rsid w:val="007A59D8"/>
    <w:rsid w:val="007A59FC"/>
    <w:rsid w:val="007A5A91"/>
    <w:rsid w:val="007A5B13"/>
    <w:rsid w:val="007A5B27"/>
    <w:rsid w:val="007A5B73"/>
    <w:rsid w:val="007A5C9C"/>
    <w:rsid w:val="007A5C9F"/>
    <w:rsid w:val="007A5CA1"/>
    <w:rsid w:val="007A5D40"/>
    <w:rsid w:val="007A5D6C"/>
    <w:rsid w:val="007A5D6D"/>
    <w:rsid w:val="007A5D77"/>
    <w:rsid w:val="007A5DF1"/>
    <w:rsid w:val="007A5E18"/>
    <w:rsid w:val="007A5E36"/>
    <w:rsid w:val="007A5E51"/>
    <w:rsid w:val="007A5E96"/>
    <w:rsid w:val="007A5F06"/>
    <w:rsid w:val="007A5F31"/>
    <w:rsid w:val="007A6023"/>
    <w:rsid w:val="007A6061"/>
    <w:rsid w:val="007A6075"/>
    <w:rsid w:val="007A607B"/>
    <w:rsid w:val="007A60B1"/>
    <w:rsid w:val="007A61B9"/>
    <w:rsid w:val="007A61C5"/>
    <w:rsid w:val="007A6261"/>
    <w:rsid w:val="007A6281"/>
    <w:rsid w:val="007A6291"/>
    <w:rsid w:val="007A6337"/>
    <w:rsid w:val="007A6341"/>
    <w:rsid w:val="007A634F"/>
    <w:rsid w:val="007A644F"/>
    <w:rsid w:val="007A6456"/>
    <w:rsid w:val="007A6495"/>
    <w:rsid w:val="007A657A"/>
    <w:rsid w:val="007A6594"/>
    <w:rsid w:val="007A6646"/>
    <w:rsid w:val="007A668B"/>
    <w:rsid w:val="007A66DC"/>
    <w:rsid w:val="007A6731"/>
    <w:rsid w:val="007A67E2"/>
    <w:rsid w:val="007A68B5"/>
    <w:rsid w:val="007A68CE"/>
    <w:rsid w:val="007A68D2"/>
    <w:rsid w:val="007A6953"/>
    <w:rsid w:val="007A6986"/>
    <w:rsid w:val="007A6A41"/>
    <w:rsid w:val="007A6AAB"/>
    <w:rsid w:val="007A6AAD"/>
    <w:rsid w:val="007A6ACC"/>
    <w:rsid w:val="007A6C08"/>
    <w:rsid w:val="007A6C30"/>
    <w:rsid w:val="007A6C33"/>
    <w:rsid w:val="007A6C7C"/>
    <w:rsid w:val="007A6CA8"/>
    <w:rsid w:val="007A6CD2"/>
    <w:rsid w:val="007A6CEB"/>
    <w:rsid w:val="007A6D50"/>
    <w:rsid w:val="007A6F7A"/>
    <w:rsid w:val="007A6F7D"/>
    <w:rsid w:val="007A6F83"/>
    <w:rsid w:val="007A6FC4"/>
    <w:rsid w:val="007A70AB"/>
    <w:rsid w:val="007A7240"/>
    <w:rsid w:val="007A729D"/>
    <w:rsid w:val="007A72FC"/>
    <w:rsid w:val="007A735A"/>
    <w:rsid w:val="007A739D"/>
    <w:rsid w:val="007A73CB"/>
    <w:rsid w:val="007A7423"/>
    <w:rsid w:val="007A749C"/>
    <w:rsid w:val="007A756B"/>
    <w:rsid w:val="007A75B2"/>
    <w:rsid w:val="007A75D8"/>
    <w:rsid w:val="007A75EE"/>
    <w:rsid w:val="007A76C7"/>
    <w:rsid w:val="007A7721"/>
    <w:rsid w:val="007A7821"/>
    <w:rsid w:val="007A7867"/>
    <w:rsid w:val="007A789C"/>
    <w:rsid w:val="007A78BC"/>
    <w:rsid w:val="007A7956"/>
    <w:rsid w:val="007A7968"/>
    <w:rsid w:val="007A7977"/>
    <w:rsid w:val="007A79DD"/>
    <w:rsid w:val="007A7A0D"/>
    <w:rsid w:val="007A7ABB"/>
    <w:rsid w:val="007A7AED"/>
    <w:rsid w:val="007A7B17"/>
    <w:rsid w:val="007A7B83"/>
    <w:rsid w:val="007A7C55"/>
    <w:rsid w:val="007A7C64"/>
    <w:rsid w:val="007A7CAE"/>
    <w:rsid w:val="007A7D0D"/>
    <w:rsid w:val="007A7D40"/>
    <w:rsid w:val="007A7E28"/>
    <w:rsid w:val="007A7E2F"/>
    <w:rsid w:val="007A7E50"/>
    <w:rsid w:val="007A7EB6"/>
    <w:rsid w:val="007A7F10"/>
    <w:rsid w:val="007B0025"/>
    <w:rsid w:val="007B0033"/>
    <w:rsid w:val="007B006D"/>
    <w:rsid w:val="007B0089"/>
    <w:rsid w:val="007B00E0"/>
    <w:rsid w:val="007B010A"/>
    <w:rsid w:val="007B018F"/>
    <w:rsid w:val="007B0296"/>
    <w:rsid w:val="007B0320"/>
    <w:rsid w:val="007B03E2"/>
    <w:rsid w:val="007B0482"/>
    <w:rsid w:val="007B04A7"/>
    <w:rsid w:val="007B04AC"/>
    <w:rsid w:val="007B04CF"/>
    <w:rsid w:val="007B052B"/>
    <w:rsid w:val="007B0538"/>
    <w:rsid w:val="007B0561"/>
    <w:rsid w:val="007B0611"/>
    <w:rsid w:val="007B066F"/>
    <w:rsid w:val="007B07A1"/>
    <w:rsid w:val="007B0833"/>
    <w:rsid w:val="007B087A"/>
    <w:rsid w:val="007B0894"/>
    <w:rsid w:val="007B08D3"/>
    <w:rsid w:val="007B0994"/>
    <w:rsid w:val="007B099E"/>
    <w:rsid w:val="007B0A62"/>
    <w:rsid w:val="007B0AC2"/>
    <w:rsid w:val="007B0AF3"/>
    <w:rsid w:val="007B0B01"/>
    <w:rsid w:val="007B0B39"/>
    <w:rsid w:val="007B0B99"/>
    <w:rsid w:val="007B0C54"/>
    <w:rsid w:val="007B0C58"/>
    <w:rsid w:val="007B0CA6"/>
    <w:rsid w:val="007B0CA9"/>
    <w:rsid w:val="007B0CD0"/>
    <w:rsid w:val="007B0CF9"/>
    <w:rsid w:val="007B0D22"/>
    <w:rsid w:val="007B0D58"/>
    <w:rsid w:val="007B0D75"/>
    <w:rsid w:val="007B0E96"/>
    <w:rsid w:val="007B0F94"/>
    <w:rsid w:val="007B102F"/>
    <w:rsid w:val="007B10A7"/>
    <w:rsid w:val="007B118A"/>
    <w:rsid w:val="007B11EF"/>
    <w:rsid w:val="007B11F0"/>
    <w:rsid w:val="007B123F"/>
    <w:rsid w:val="007B12CA"/>
    <w:rsid w:val="007B12EF"/>
    <w:rsid w:val="007B12FF"/>
    <w:rsid w:val="007B134B"/>
    <w:rsid w:val="007B1414"/>
    <w:rsid w:val="007B142E"/>
    <w:rsid w:val="007B14D5"/>
    <w:rsid w:val="007B1507"/>
    <w:rsid w:val="007B1562"/>
    <w:rsid w:val="007B15B3"/>
    <w:rsid w:val="007B1665"/>
    <w:rsid w:val="007B16C2"/>
    <w:rsid w:val="007B16D3"/>
    <w:rsid w:val="007B170D"/>
    <w:rsid w:val="007B17F5"/>
    <w:rsid w:val="007B17FD"/>
    <w:rsid w:val="007B1812"/>
    <w:rsid w:val="007B1828"/>
    <w:rsid w:val="007B1874"/>
    <w:rsid w:val="007B1882"/>
    <w:rsid w:val="007B18D7"/>
    <w:rsid w:val="007B18EC"/>
    <w:rsid w:val="007B1908"/>
    <w:rsid w:val="007B196B"/>
    <w:rsid w:val="007B198F"/>
    <w:rsid w:val="007B1A20"/>
    <w:rsid w:val="007B1A2E"/>
    <w:rsid w:val="007B1A45"/>
    <w:rsid w:val="007B1A4A"/>
    <w:rsid w:val="007B1AA5"/>
    <w:rsid w:val="007B1B04"/>
    <w:rsid w:val="007B1BB4"/>
    <w:rsid w:val="007B1BD5"/>
    <w:rsid w:val="007B1BF5"/>
    <w:rsid w:val="007B1C29"/>
    <w:rsid w:val="007B1C4F"/>
    <w:rsid w:val="007B1C63"/>
    <w:rsid w:val="007B1C68"/>
    <w:rsid w:val="007B1C77"/>
    <w:rsid w:val="007B1CA6"/>
    <w:rsid w:val="007B1CD2"/>
    <w:rsid w:val="007B1CE8"/>
    <w:rsid w:val="007B1D32"/>
    <w:rsid w:val="007B1D74"/>
    <w:rsid w:val="007B1DA7"/>
    <w:rsid w:val="007B1E85"/>
    <w:rsid w:val="007B1EC8"/>
    <w:rsid w:val="007B1F42"/>
    <w:rsid w:val="007B1F64"/>
    <w:rsid w:val="007B1FA0"/>
    <w:rsid w:val="007B200F"/>
    <w:rsid w:val="007B206F"/>
    <w:rsid w:val="007B2080"/>
    <w:rsid w:val="007B20DC"/>
    <w:rsid w:val="007B211B"/>
    <w:rsid w:val="007B213E"/>
    <w:rsid w:val="007B216A"/>
    <w:rsid w:val="007B21B1"/>
    <w:rsid w:val="007B21C2"/>
    <w:rsid w:val="007B2344"/>
    <w:rsid w:val="007B238C"/>
    <w:rsid w:val="007B23D9"/>
    <w:rsid w:val="007B2413"/>
    <w:rsid w:val="007B2495"/>
    <w:rsid w:val="007B24B5"/>
    <w:rsid w:val="007B24FC"/>
    <w:rsid w:val="007B253F"/>
    <w:rsid w:val="007B2593"/>
    <w:rsid w:val="007B2611"/>
    <w:rsid w:val="007B2658"/>
    <w:rsid w:val="007B26D5"/>
    <w:rsid w:val="007B2712"/>
    <w:rsid w:val="007B27C5"/>
    <w:rsid w:val="007B2850"/>
    <w:rsid w:val="007B28B2"/>
    <w:rsid w:val="007B28CB"/>
    <w:rsid w:val="007B2A25"/>
    <w:rsid w:val="007B2ABE"/>
    <w:rsid w:val="007B2ADA"/>
    <w:rsid w:val="007B2AE3"/>
    <w:rsid w:val="007B2B48"/>
    <w:rsid w:val="007B2BAE"/>
    <w:rsid w:val="007B2BDD"/>
    <w:rsid w:val="007B2BF5"/>
    <w:rsid w:val="007B2CA5"/>
    <w:rsid w:val="007B2CB6"/>
    <w:rsid w:val="007B2CF5"/>
    <w:rsid w:val="007B2D0D"/>
    <w:rsid w:val="007B2D2A"/>
    <w:rsid w:val="007B2D47"/>
    <w:rsid w:val="007B2E56"/>
    <w:rsid w:val="007B2F11"/>
    <w:rsid w:val="007B2FFB"/>
    <w:rsid w:val="007B302C"/>
    <w:rsid w:val="007B302E"/>
    <w:rsid w:val="007B3085"/>
    <w:rsid w:val="007B3128"/>
    <w:rsid w:val="007B31E1"/>
    <w:rsid w:val="007B32EC"/>
    <w:rsid w:val="007B3311"/>
    <w:rsid w:val="007B3334"/>
    <w:rsid w:val="007B334F"/>
    <w:rsid w:val="007B335E"/>
    <w:rsid w:val="007B3384"/>
    <w:rsid w:val="007B33A3"/>
    <w:rsid w:val="007B3454"/>
    <w:rsid w:val="007B34BC"/>
    <w:rsid w:val="007B354E"/>
    <w:rsid w:val="007B3556"/>
    <w:rsid w:val="007B3564"/>
    <w:rsid w:val="007B35BB"/>
    <w:rsid w:val="007B35E5"/>
    <w:rsid w:val="007B360E"/>
    <w:rsid w:val="007B363F"/>
    <w:rsid w:val="007B3648"/>
    <w:rsid w:val="007B3731"/>
    <w:rsid w:val="007B379B"/>
    <w:rsid w:val="007B37F2"/>
    <w:rsid w:val="007B3914"/>
    <w:rsid w:val="007B3923"/>
    <w:rsid w:val="007B3972"/>
    <w:rsid w:val="007B39A8"/>
    <w:rsid w:val="007B39DE"/>
    <w:rsid w:val="007B3A41"/>
    <w:rsid w:val="007B3AE5"/>
    <w:rsid w:val="007B3B5A"/>
    <w:rsid w:val="007B3B81"/>
    <w:rsid w:val="007B3B9F"/>
    <w:rsid w:val="007B3BAD"/>
    <w:rsid w:val="007B3BB9"/>
    <w:rsid w:val="007B3C99"/>
    <w:rsid w:val="007B3D3B"/>
    <w:rsid w:val="007B3D49"/>
    <w:rsid w:val="007B3D83"/>
    <w:rsid w:val="007B3E72"/>
    <w:rsid w:val="007B3EFF"/>
    <w:rsid w:val="007B3F25"/>
    <w:rsid w:val="007B4055"/>
    <w:rsid w:val="007B406F"/>
    <w:rsid w:val="007B40E9"/>
    <w:rsid w:val="007B40FA"/>
    <w:rsid w:val="007B4164"/>
    <w:rsid w:val="007B41BC"/>
    <w:rsid w:val="007B41E5"/>
    <w:rsid w:val="007B41F0"/>
    <w:rsid w:val="007B41FC"/>
    <w:rsid w:val="007B4244"/>
    <w:rsid w:val="007B4267"/>
    <w:rsid w:val="007B432D"/>
    <w:rsid w:val="007B4339"/>
    <w:rsid w:val="007B43BD"/>
    <w:rsid w:val="007B442F"/>
    <w:rsid w:val="007B4462"/>
    <w:rsid w:val="007B44A2"/>
    <w:rsid w:val="007B44BA"/>
    <w:rsid w:val="007B44BF"/>
    <w:rsid w:val="007B44DD"/>
    <w:rsid w:val="007B44F6"/>
    <w:rsid w:val="007B4540"/>
    <w:rsid w:val="007B45B7"/>
    <w:rsid w:val="007B45C0"/>
    <w:rsid w:val="007B4618"/>
    <w:rsid w:val="007B46BF"/>
    <w:rsid w:val="007B46D1"/>
    <w:rsid w:val="007B47A5"/>
    <w:rsid w:val="007B47B6"/>
    <w:rsid w:val="007B47F3"/>
    <w:rsid w:val="007B480D"/>
    <w:rsid w:val="007B4874"/>
    <w:rsid w:val="007B4967"/>
    <w:rsid w:val="007B49F1"/>
    <w:rsid w:val="007B4B0C"/>
    <w:rsid w:val="007B4B51"/>
    <w:rsid w:val="007B4B97"/>
    <w:rsid w:val="007B4BD3"/>
    <w:rsid w:val="007B4C0E"/>
    <w:rsid w:val="007B4C6B"/>
    <w:rsid w:val="007B4D39"/>
    <w:rsid w:val="007B4DC7"/>
    <w:rsid w:val="007B4E47"/>
    <w:rsid w:val="007B4E61"/>
    <w:rsid w:val="007B4EB7"/>
    <w:rsid w:val="007B4F47"/>
    <w:rsid w:val="007B4F89"/>
    <w:rsid w:val="007B4FB4"/>
    <w:rsid w:val="007B5012"/>
    <w:rsid w:val="007B503F"/>
    <w:rsid w:val="007B504D"/>
    <w:rsid w:val="007B513A"/>
    <w:rsid w:val="007B518F"/>
    <w:rsid w:val="007B51D1"/>
    <w:rsid w:val="007B5276"/>
    <w:rsid w:val="007B5282"/>
    <w:rsid w:val="007B5290"/>
    <w:rsid w:val="007B5294"/>
    <w:rsid w:val="007B52CC"/>
    <w:rsid w:val="007B52D5"/>
    <w:rsid w:val="007B533E"/>
    <w:rsid w:val="007B5369"/>
    <w:rsid w:val="007B5385"/>
    <w:rsid w:val="007B5388"/>
    <w:rsid w:val="007B5394"/>
    <w:rsid w:val="007B53E8"/>
    <w:rsid w:val="007B5407"/>
    <w:rsid w:val="007B547E"/>
    <w:rsid w:val="007B5505"/>
    <w:rsid w:val="007B556E"/>
    <w:rsid w:val="007B5581"/>
    <w:rsid w:val="007B55BE"/>
    <w:rsid w:val="007B567E"/>
    <w:rsid w:val="007B5689"/>
    <w:rsid w:val="007B56C6"/>
    <w:rsid w:val="007B56F4"/>
    <w:rsid w:val="007B5769"/>
    <w:rsid w:val="007B577C"/>
    <w:rsid w:val="007B5826"/>
    <w:rsid w:val="007B5840"/>
    <w:rsid w:val="007B5877"/>
    <w:rsid w:val="007B5905"/>
    <w:rsid w:val="007B5997"/>
    <w:rsid w:val="007B59AD"/>
    <w:rsid w:val="007B5A50"/>
    <w:rsid w:val="007B5B42"/>
    <w:rsid w:val="007B5BAD"/>
    <w:rsid w:val="007B5C42"/>
    <w:rsid w:val="007B5CBE"/>
    <w:rsid w:val="007B5D18"/>
    <w:rsid w:val="007B5D6A"/>
    <w:rsid w:val="007B5DB5"/>
    <w:rsid w:val="007B5DB9"/>
    <w:rsid w:val="007B5DE5"/>
    <w:rsid w:val="007B5DF6"/>
    <w:rsid w:val="007B5E75"/>
    <w:rsid w:val="007B603C"/>
    <w:rsid w:val="007B6059"/>
    <w:rsid w:val="007B61CD"/>
    <w:rsid w:val="007B620A"/>
    <w:rsid w:val="007B620C"/>
    <w:rsid w:val="007B6294"/>
    <w:rsid w:val="007B62C4"/>
    <w:rsid w:val="007B6349"/>
    <w:rsid w:val="007B637B"/>
    <w:rsid w:val="007B6415"/>
    <w:rsid w:val="007B6418"/>
    <w:rsid w:val="007B6482"/>
    <w:rsid w:val="007B64C7"/>
    <w:rsid w:val="007B654C"/>
    <w:rsid w:val="007B6570"/>
    <w:rsid w:val="007B65BD"/>
    <w:rsid w:val="007B6620"/>
    <w:rsid w:val="007B662F"/>
    <w:rsid w:val="007B6695"/>
    <w:rsid w:val="007B6697"/>
    <w:rsid w:val="007B66A7"/>
    <w:rsid w:val="007B677C"/>
    <w:rsid w:val="007B67C3"/>
    <w:rsid w:val="007B67C8"/>
    <w:rsid w:val="007B6808"/>
    <w:rsid w:val="007B681A"/>
    <w:rsid w:val="007B6831"/>
    <w:rsid w:val="007B683B"/>
    <w:rsid w:val="007B6866"/>
    <w:rsid w:val="007B6872"/>
    <w:rsid w:val="007B6905"/>
    <w:rsid w:val="007B6971"/>
    <w:rsid w:val="007B69A9"/>
    <w:rsid w:val="007B6A41"/>
    <w:rsid w:val="007B6AD6"/>
    <w:rsid w:val="007B6B05"/>
    <w:rsid w:val="007B6B17"/>
    <w:rsid w:val="007B6CD1"/>
    <w:rsid w:val="007B6CF1"/>
    <w:rsid w:val="007B6D51"/>
    <w:rsid w:val="007B6D74"/>
    <w:rsid w:val="007B6D81"/>
    <w:rsid w:val="007B6D97"/>
    <w:rsid w:val="007B6D9D"/>
    <w:rsid w:val="007B6E3B"/>
    <w:rsid w:val="007B6F1A"/>
    <w:rsid w:val="007B6FAF"/>
    <w:rsid w:val="007B7025"/>
    <w:rsid w:val="007B709C"/>
    <w:rsid w:val="007B70A5"/>
    <w:rsid w:val="007B70BE"/>
    <w:rsid w:val="007B70DF"/>
    <w:rsid w:val="007B71CB"/>
    <w:rsid w:val="007B7224"/>
    <w:rsid w:val="007B724E"/>
    <w:rsid w:val="007B7426"/>
    <w:rsid w:val="007B7485"/>
    <w:rsid w:val="007B74E6"/>
    <w:rsid w:val="007B754A"/>
    <w:rsid w:val="007B75C3"/>
    <w:rsid w:val="007B75F1"/>
    <w:rsid w:val="007B760D"/>
    <w:rsid w:val="007B7627"/>
    <w:rsid w:val="007B7707"/>
    <w:rsid w:val="007B77EB"/>
    <w:rsid w:val="007B77ED"/>
    <w:rsid w:val="007B783C"/>
    <w:rsid w:val="007B7866"/>
    <w:rsid w:val="007B7869"/>
    <w:rsid w:val="007B7884"/>
    <w:rsid w:val="007B78BA"/>
    <w:rsid w:val="007B791A"/>
    <w:rsid w:val="007B7975"/>
    <w:rsid w:val="007B79E0"/>
    <w:rsid w:val="007B7A2C"/>
    <w:rsid w:val="007B7A94"/>
    <w:rsid w:val="007B7AD3"/>
    <w:rsid w:val="007B7AEE"/>
    <w:rsid w:val="007B7B0E"/>
    <w:rsid w:val="007B7B7C"/>
    <w:rsid w:val="007B7C49"/>
    <w:rsid w:val="007B7C53"/>
    <w:rsid w:val="007B7CB1"/>
    <w:rsid w:val="007B7CCD"/>
    <w:rsid w:val="007B7CEB"/>
    <w:rsid w:val="007B7D07"/>
    <w:rsid w:val="007B7DBE"/>
    <w:rsid w:val="007B7DF1"/>
    <w:rsid w:val="007B7E22"/>
    <w:rsid w:val="007B7E72"/>
    <w:rsid w:val="007B7EF4"/>
    <w:rsid w:val="007B7F31"/>
    <w:rsid w:val="007B7F7F"/>
    <w:rsid w:val="007B7FAA"/>
    <w:rsid w:val="007C0017"/>
    <w:rsid w:val="007C00B4"/>
    <w:rsid w:val="007C00B5"/>
    <w:rsid w:val="007C01D2"/>
    <w:rsid w:val="007C01E0"/>
    <w:rsid w:val="007C028B"/>
    <w:rsid w:val="007C02BB"/>
    <w:rsid w:val="007C02D3"/>
    <w:rsid w:val="007C02DF"/>
    <w:rsid w:val="007C031C"/>
    <w:rsid w:val="007C0371"/>
    <w:rsid w:val="007C038A"/>
    <w:rsid w:val="007C03A0"/>
    <w:rsid w:val="007C03CB"/>
    <w:rsid w:val="007C04FA"/>
    <w:rsid w:val="007C04FE"/>
    <w:rsid w:val="007C0599"/>
    <w:rsid w:val="007C05C3"/>
    <w:rsid w:val="007C060C"/>
    <w:rsid w:val="007C06E8"/>
    <w:rsid w:val="007C0790"/>
    <w:rsid w:val="007C0795"/>
    <w:rsid w:val="007C081E"/>
    <w:rsid w:val="007C0820"/>
    <w:rsid w:val="007C0825"/>
    <w:rsid w:val="007C0826"/>
    <w:rsid w:val="007C084A"/>
    <w:rsid w:val="007C0899"/>
    <w:rsid w:val="007C08A5"/>
    <w:rsid w:val="007C08D8"/>
    <w:rsid w:val="007C08DC"/>
    <w:rsid w:val="007C0936"/>
    <w:rsid w:val="007C095F"/>
    <w:rsid w:val="007C0A37"/>
    <w:rsid w:val="007C0A9D"/>
    <w:rsid w:val="007C0AAF"/>
    <w:rsid w:val="007C0B29"/>
    <w:rsid w:val="007C0C2A"/>
    <w:rsid w:val="007C0C2E"/>
    <w:rsid w:val="007C0CCD"/>
    <w:rsid w:val="007C0DBB"/>
    <w:rsid w:val="007C0DD8"/>
    <w:rsid w:val="007C0DE0"/>
    <w:rsid w:val="007C0E34"/>
    <w:rsid w:val="007C0E5D"/>
    <w:rsid w:val="007C0E67"/>
    <w:rsid w:val="007C0EC5"/>
    <w:rsid w:val="007C0EFE"/>
    <w:rsid w:val="007C0F0C"/>
    <w:rsid w:val="007C0F91"/>
    <w:rsid w:val="007C1027"/>
    <w:rsid w:val="007C1084"/>
    <w:rsid w:val="007C10AD"/>
    <w:rsid w:val="007C1112"/>
    <w:rsid w:val="007C117E"/>
    <w:rsid w:val="007C11BA"/>
    <w:rsid w:val="007C11C7"/>
    <w:rsid w:val="007C11DA"/>
    <w:rsid w:val="007C11E4"/>
    <w:rsid w:val="007C1205"/>
    <w:rsid w:val="007C1226"/>
    <w:rsid w:val="007C1232"/>
    <w:rsid w:val="007C12AF"/>
    <w:rsid w:val="007C12B1"/>
    <w:rsid w:val="007C12EC"/>
    <w:rsid w:val="007C12F1"/>
    <w:rsid w:val="007C134A"/>
    <w:rsid w:val="007C134C"/>
    <w:rsid w:val="007C139F"/>
    <w:rsid w:val="007C13F3"/>
    <w:rsid w:val="007C140B"/>
    <w:rsid w:val="007C1416"/>
    <w:rsid w:val="007C142E"/>
    <w:rsid w:val="007C146E"/>
    <w:rsid w:val="007C1499"/>
    <w:rsid w:val="007C14AD"/>
    <w:rsid w:val="007C14CF"/>
    <w:rsid w:val="007C1648"/>
    <w:rsid w:val="007C1661"/>
    <w:rsid w:val="007C16E4"/>
    <w:rsid w:val="007C1758"/>
    <w:rsid w:val="007C1827"/>
    <w:rsid w:val="007C18FD"/>
    <w:rsid w:val="007C1947"/>
    <w:rsid w:val="007C194F"/>
    <w:rsid w:val="007C1956"/>
    <w:rsid w:val="007C1AA2"/>
    <w:rsid w:val="007C1ABA"/>
    <w:rsid w:val="007C1C61"/>
    <w:rsid w:val="007C1CD4"/>
    <w:rsid w:val="007C1D0F"/>
    <w:rsid w:val="007C1D72"/>
    <w:rsid w:val="007C1DA1"/>
    <w:rsid w:val="007C1DBB"/>
    <w:rsid w:val="007C1FA7"/>
    <w:rsid w:val="007C2011"/>
    <w:rsid w:val="007C207F"/>
    <w:rsid w:val="007C20B7"/>
    <w:rsid w:val="007C213D"/>
    <w:rsid w:val="007C220A"/>
    <w:rsid w:val="007C2210"/>
    <w:rsid w:val="007C222E"/>
    <w:rsid w:val="007C2234"/>
    <w:rsid w:val="007C2266"/>
    <w:rsid w:val="007C22B9"/>
    <w:rsid w:val="007C2369"/>
    <w:rsid w:val="007C23CF"/>
    <w:rsid w:val="007C246B"/>
    <w:rsid w:val="007C2588"/>
    <w:rsid w:val="007C2589"/>
    <w:rsid w:val="007C258D"/>
    <w:rsid w:val="007C259F"/>
    <w:rsid w:val="007C25B0"/>
    <w:rsid w:val="007C2648"/>
    <w:rsid w:val="007C2680"/>
    <w:rsid w:val="007C26CD"/>
    <w:rsid w:val="007C273A"/>
    <w:rsid w:val="007C2748"/>
    <w:rsid w:val="007C2756"/>
    <w:rsid w:val="007C2787"/>
    <w:rsid w:val="007C27E4"/>
    <w:rsid w:val="007C27EE"/>
    <w:rsid w:val="007C288F"/>
    <w:rsid w:val="007C28F0"/>
    <w:rsid w:val="007C294E"/>
    <w:rsid w:val="007C295D"/>
    <w:rsid w:val="007C2966"/>
    <w:rsid w:val="007C296B"/>
    <w:rsid w:val="007C29BA"/>
    <w:rsid w:val="007C29CC"/>
    <w:rsid w:val="007C2A37"/>
    <w:rsid w:val="007C2AC8"/>
    <w:rsid w:val="007C2AD9"/>
    <w:rsid w:val="007C2B28"/>
    <w:rsid w:val="007C2B4A"/>
    <w:rsid w:val="007C2BEA"/>
    <w:rsid w:val="007C2C27"/>
    <w:rsid w:val="007C2C75"/>
    <w:rsid w:val="007C2D05"/>
    <w:rsid w:val="007C2D46"/>
    <w:rsid w:val="007C2D5C"/>
    <w:rsid w:val="007C2DAC"/>
    <w:rsid w:val="007C2DE3"/>
    <w:rsid w:val="007C2DF5"/>
    <w:rsid w:val="007C2EB8"/>
    <w:rsid w:val="007C2F17"/>
    <w:rsid w:val="007C2F81"/>
    <w:rsid w:val="007C2FB9"/>
    <w:rsid w:val="007C2FBC"/>
    <w:rsid w:val="007C2FDA"/>
    <w:rsid w:val="007C30D9"/>
    <w:rsid w:val="007C3134"/>
    <w:rsid w:val="007C3149"/>
    <w:rsid w:val="007C3153"/>
    <w:rsid w:val="007C32C2"/>
    <w:rsid w:val="007C32DA"/>
    <w:rsid w:val="007C32FC"/>
    <w:rsid w:val="007C3364"/>
    <w:rsid w:val="007C336A"/>
    <w:rsid w:val="007C338E"/>
    <w:rsid w:val="007C3395"/>
    <w:rsid w:val="007C340D"/>
    <w:rsid w:val="007C342C"/>
    <w:rsid w:val="007C345A"/>
    <w:rsid w:val="007C34F8"/>
    <w:rsid w:val="007C34FA"/>
    <w:rsid w:val="007C3508"/>
    <w:rsid w:val="007C355A"/>
    <w:rsid w:val="007C357E"/>
    <w:rsid w:val="007C35A7"/>
    <w:rsid w:val="007C35AD"/>
    <w:rsid w:val="007C35F5"/>
    <w:rsid w:val="007C3674"/>
    <w:rsid w:val="007C36AB"/>
    <w:rsid w:val="007C3777"/>
    <w:rsid w:val="007C378B"/>
    <w:rsid w:val="007C37F4"/>
    <w:rsid w:val="007C3820"/>
    <w:rsid w:val="007C383F"/>
    <w:rsid w:val="007C388F"/>
    <w:rsid w:val="007C38CF"/>
    <w:rsid w:val="007C38E2"/>
    <w:rsid w:val="007C38E8"/>
    <w:rsid w:val="007C3921"/>
    <w:rsid w:val="007C39CB"/>
    <w:rsid w:val="007C39F0"/>
    <w:rsid w:val="007C3A37"/>
    <w:rsid w:val="007C3AC8"/>
    <w:rsid w:val="007C3B15"/>
    <w:rsid w:val="007C3BA5"/>
    <w:rsid w:val="007C3C03"/>
    <w:rsid w:val="007C3C0B"/>
    <w:rsid w:val="007C3C7B"/>
    <w:rsid w:val="007C3C82"/>
    <w:rsid w:val="007C3CF9"/>
    <w:rsid w:val="007C3D94"/>
    <w:rsid w:val="007C3E46"/>
    <w:rsid w:val="007C3E4D"/>
    <w:rsid w:val="007C3E5C"/>
    <w:rsid w:val="007C3EB6"/>
    <w:rsid w:val="007C3ED0"/>
    <w:rsid w:val="007C3F19"/>
    <w:rsid w:val="007C3FC1"/>
    <w:rsid w:val="007C3FDF"/>
    <w:rsid w:val="007C4029"/>
    <w:rsid w:val="007C402A"/>
    <w:rsid w:val="007C4051"/>
    <w:rsid w:val="007C40A4"/>
    <w:rsid w:val="007C4118"/>
    <w:rsid w:val="007C419D"/>
    <w:rsid w:val="007C4233"/>
    <w:rsid w:val="007C4265"/>
    <w:rsid w:val="007C429B"/>
    <w:rsid w:val="007C42C1"/>
    <w:rsid w:val="007C4331"/>
    <w:rsid w:val="007C43D6"/>
    <w:rsid w:val="007C4417"/>
    <w:rsid w:val="007C4444"/>
    <w:rsid w:val="007C456A"/>
    <w:rsid w:val="007C457F"/>
    <w:rsid w:val="007C45AF"/>
    <w:rsid w:val="007C45BD"/>
    <w:rsid w:val="007C45E9"/>
    <w:rsid w:val="007C45F1"/>
    <w:rsid w:val="007C46C1"/>
    <w:rsid w:val="007C47ED"/>
    <w:rsid w:val="007C47F6"/>
    <w:rsid w:val="007C4810"/>
    <w:rsid w:val="007C484D"/>
    <w:rsid w:val="007C4897"/>
    <w:rsid w:val="007C48C0"/>
    <w:rsid w:val="007C4900"/>
    <w:rsid w:val="007C4964"/>
    <w:rsid w:val="007C4A6D"/>
    <w:rsid w:val="007C4AF4"/>
    <w:rsid w:val="007C4B1D"/>
    <w:rsid w:val="007C4B76"/>
    <w:rsid w:val="007C4B94"/>
    <w:rsid w:val="007C4BA0"/>
    <w:rsid w:val="007C4BBD"/>
    <w:rsid w:val="007C4C83"/>
    <w:rsid w:val="007C4D58"/>
    <w:rsid w:val="007C4E12"/>
    <w:rsid w:val="007C4E14"/>
    <w:rsid w:val="007C4F7D"/>
    <w:rsid w:val="007C4F88"/>
    <w:rsid w:val="007C500A"/>
    <w:rsid w:val="007C500C"/>
    <w:rsid w:val="007C5093"/>
    <w:rsid w:val="007C50A2"/>
    <w:rsid w:val="007C50F6"/>
    <w:rsid w:val="007C5127"/>
    <w:rsid w:val="007C5142"/>
    <w:rsid w:val="007C51AB"/>
    <w:rsid w:val="007C5249"/>
    <w:rsid w:val="007C52CC"/>
    <w:rsid w:val="007C538E"/>
    <w:rsid w:val="007C53D9"/>
    <w:rsid w:val="007C53E7"/>
    <w:rsid w:val="007C53FB"/>
    <w:rsid w:val="007C541F"/>
    <w:rsid w:val="007C5423"/>
    <w:rsid w:val="007C5429"/>
    <w:rsid w:val="007C5436"/>
    <w:rsid w:val="007C54F6"/>
    <w:rsid w:val="007C54FE"/>
    <w:rsid w:val="007C550C"/>
    <w:rsid w:val="007C554F"/>
    <w:rsid w:val="007C55E3"/>
    <w:rsid w:val="007C567E"/>
    <w:rsid w:val="007C56A4"/>
    <w:rsid w:val="007C575A"/>
    <w:rsid w:val="007C5773"/>
    <w:rsid w:val="007C578B"/>
    <w:rsid w:val="007C57FD"/>
    <w:rsid w:val="007C5801"/>
    <w:rsid w:val="007C5832"/>
    <w:rsid w:val="007C58FF"/>
    <w:rsid w:val="007C596B"/>
    <w:rsid w:val="007C5970"/>
    <w:rsid w:val="007C59A6"/>
    <w:rsid w:val="007C59F8"/>
    <w:rsid w:val="007C5A1A"/>
    <w:rsid w:val="007C5B39"/>
    <w:rsid w:val="007C5B8D"/>
    <w:rsid w:val="007C5D53"/>
    <w:rsid w:val="007C5DA3"/>
    <w:rsid w:val="007C5E02"/>
    <w:rsid w:val="007C5E53"/>
    <w:rsid w:val="007C5F73"/>
    <w:rsid w:val="007C5FE8"/>
    <w:rsid w:val="007C6061"/>
    <w:rsid w:val="007C60E4"/>
    <w:rsid w:val="007C60EB"/>
    <w:rsid w:val="007C6182"/>
    <w:rsid w:val="007C61D8"/>
    <w:rsid w:val="007C628B"/>
    <w:rsid w:val="007C63BB"/>
    <w:rsid w:val="007C6476"/>
    <w:rsid w:val="007C6548"/>
    <w:rsid w:val="007C655E"/>
    <w:rsid w:val="007C65F6"/>
    <w:rsid w:val="007C6634"/>
    <w:rsid w:val="007C6637"/>
    <w:rsid w:val="007C6708"/>
    <w:rsid w:val="007C6741"/>
    <w:rsid w:val="007C67DA"/>
    <w:rsid w:val="007C6828"/>
    <w:rsid w:val="007C68DF"/>
    <w:rsid w:val="007C68FE"/>
    <w:rsid w:val="007C6958"/>
    <w:rsid w:val="007C695E"/>
    <w:rsid w:val="007C6A10"/>
    <w:rsid w:val="007C6A1A"/>
    <w:rsid w:val="007C6AA6"/>
    <w:rsid w:val="007C6AF3"/>
    <w:rsid w:val="007C6B25"/>
    <w:rsid w:val="007C6B56"/>
    <w:rsid w:val="007C6B95"/>
    <w:rsid w:val="007C6BA5"/>
    <w:rsid w:val="007C6BB3"/>
    <w:rsid w:val="007C6D09"/>
    <w:rsid w:val="007C6D29"/>
    <w:rsid w:val="007C6D56"/>
    <w:rsid w:val="007C6D59"/>
    <w:rsid w:val="007C6DC8"/>
    <w:rsid w:val="007C6E0A"/>
    <w:rsid w:val="007C6E2D"/>
    <w:rsid w:val="007C6EB4"/>
    <w:rsid w:val="007C6F06"/>
    <w:rsid w:val="007C6F9B"/>
    <w:rsid w:val="007C707F"/>
    <w:rsid w:val="007C7082"/>
    <w:rsid w:val="007C7102"/>
    <w:rsid w:val="007C7112"/>
    <w:rsid w:val="007C712D"/>
    <w:rsid w:val="007C71B0"/>
    <w:rsid w:val="007C7254"/>
    <w:rsid w:val="007C7273"/>
    <w:rsid w:val="007C7311"/>
    <w:rsid w:val="007C73AA"/>
    <w:rsid w:val="007C7402"/>
    <w:rsid w:val="007C740B"/>
    <w:rsid w:val="007C741D"/>
    <w:rsid w:val="007C74B2"/>
    <w:rsid w:val="007C74E8"/>
    <w:rsid w:val="007C752B"/>
    <w:rsid w:val="007C752F"/>
    <w:rsid w:val="007C75A7"/>
    <w:rsid w:val="007C7610"/>
    <w:rsid w:val="007C7625"/>
    <w:rsid w:val="007C7693"/>
    <w:rsid w:val="007C76D9"/>
    <w:rsid w:val="007C775F"/>
    <w:rsid w:val="007C77E3"/>
    <w:rsid w:val="007C781B"/>
    <w:rsid w:val="007C78B0"/>
    <w:rsid w:val="007C7A03"/>
    <w:rsid w:val="007C7A19"/>
    <w:rsid w:val="007C7A3B"/>
    <w:rsid w:val="007C7A6E"/>
    <w:rsid w:val="007C7AA6"/>
    <w:rsid w:val="007C7B16"/>
    <w:rsid w:val="007C7B40"/>
    <w:rsid w:val="007C7C60"/>
    <w:rsid w:val="007C7C74"/>
    <w:rsid w:val="007C7C90"/>
    <w:rsid w:val="007C7D25"/>
    <w:rsid w:val="007C7DF1"/>
    <w:rsid w:val="007C7E14"/>
    <w:rsid w:val="007C7E20"/>
    <w:rsid w:val="007C7E4A"/>
    <w:rsid w:val="007C7E8A"/>
    <w:rsid w:val="007C7EA4"/>
    <w:rsid w:val="007C7EDB"/>
    <w:rsid w:val="007C7F29"/>
    <w:rsid w:val="007C7F61"/>
    <w:rsid w:val="007D001E"/>
    <w:rsid w:val="007D003F"/>
    <w:rsid w:val="007D007D"/>
    <w:rsid w:val="007D00F7"/>
    <w:rsid w:val="007D018D"/>
    <w:rsid w:val="007D0198"/>
    <w:rsid w:val="007D01B9"/>
    <w:rsid w:val="007D01CB"/>
    <w:rsid w:val="007D01E9"/>
    <w:rsid w:val="007D0231"/>
    <w:rsid w:val="007D0292"/>
    <w:rsid w:val="007D02BE"/>
    <w:rsid w:val="007D033C"/>
    <w:rsid w:val="007D0376"/>
    <w:rsid w:val="007D0399"/>
    <w:rsid w:val="007D03E6"/>
    <w:rsid w:val="007D041D"/>
    <w:rsid w:val="007D044B"/>
    <w:rsid w:val="007D0477"/>
    <w:rsid w:val="007D04B8"/>
    <w:rsid w:val="007D04C3"/>
    <w:rsid w:val="007D04D3"/>
    <w:rsid w:val="007D057C"/>
    <w:rsid w:val="007D0592"/>
    <w:rsid w:val="007D0633"/>
    <w:rsid w:val="007D077E"/>
    <w:rsid w:val="007D0798"/>
    <w:rsid w:val="007D07A5"/>
    <w:rsid w:val="007D07CB"/>
    <w:rsid w:val="007D07F6"/>
    <w:rsid w:val="007D0824"/>
    <w:rsid w:val="007D0936"/>
    <w:rsid w:val="007D0939"/>
    <w:rsid w:val="007D097C"/>
    <w:rsid w:val="007D098D"/>
    <w:rsid w:val="007D0AA0"/>
    <w:rsid w:val="007D0B29"/>
    <w:rsid w:val="007D0C29"/>
    <w:rsid w:val="007D0C6E"/>
    <w:rsid w:val="007D0C93"/>
    <w:rsid w:val="007D0D5F"/>
    <w:rsid w:val="007D0DD5"/>
    <w:rsid w:val="007D0DEA"/>
    <w:rsid w:val="007D0DF2"/>
    <w:rsid w:val="007D0F04"/>
    <w:rsid w:val="007D0F15"/>
    <w:rsid w:val="007D0F46"/>
    <w:rsid w:val="007D102E"/>
    <w:rsid w:val="007D1182"/>
    <w:rsid w:val="007D1187"/>
    <w:rsid w:val="007D11DB"/>
    <w:rsid w:val="007D11EA"/>
    <w:rsid w:val="007D1226"/>
    <w:rsid w:val="007D1239"/>
    <w:rsid w:val="007D124F"/>
    <w:rsid w:val="007D1278"/>
    <w:rsid w:val="007D12B2"/>
    <w:rsid w:val="007D12CE"/>
    <w:rsid w:val="007D12EE"/>
    <w:rsid w:val="007D1322"/>
    <w:rsid w:val="007D1394"/>
    <w:rsid w:val="007D143E"/>
    <w:rsid w:val="007D148F"/>
    <w:rsid w:val="007D1490"/>
    <w:rsid w:val="007D14F1"/>
    <w:rsid w:val="007D1511"/>
    <w:rsid w:val="007D1561"/>
    <w:rsid w:val="007D1595"/>
    <w:rsid w:val="007D165C"/>
    <w:rsid w:val="007D166A"/>
    <w:rsid w:val="007D16D8"/>
    <w:rsid w:val="007D1753"/>
    <w:rsid w:val="007D195F"/>
    <w:rsid w:val="007D199F"/>
    <w:rsid w:val="007D19CB"/>
    <w:rsid w:val="007D1A12"/>
    <w:rsid w:val="007D1A6A"/>
    <w:rsid w:val="007D1A75"/>
    <w:rsid w:val="007D1A8B"/>
    <w:rsid w:val="007D1BB7"/>
    <w:rsid w:val="007D1C06"/>
    <w:rsid w:val="007D1C3B"/>
    <w:rsid w:val="007D1DF0"/>
    <w:rsid w:val="007D1E12"/>
    <w:rsid w:val="007D1EFD"/>
    <w:rsid w:val="007D1F68"/>
    <w:rsid w:val="007D1F6B"/>
    <w:rsid w:val="007D1FAF"/>
    <w:rsid w:val="007D202F"/>
    <w:rsid w:val="007D207C"/>
    <w:rsid w:val="007D20AD"/>
    <w:rsid w:val="007D20BC"/>
    <w:rsid w:val="007D21B0"/>
    <w:rsid w:val="007D21D5"/>
    <w:rsid w:val="007D2218"/>
    <w:rsid w:val="007D237B"/>
    <w:rsid w:val="007D23D3"/>
    <w:rsid w:val="007D23E3"/>
    <w:rsid w:val="007D23F7"/>
    <w:rsid w:val="007D23FB"/>
    <w:rsid w:val="007D241A"/>
    <w:rsid w:val="007D241D"/>
    <w:rsid w:val="007D24C6"/>
    <w:rsid w:val="007D2539"/>
    <w:rsid w:val="007D253E"/>
    <w:rsid w:val="007D258C"/>
    <w:rsid w:val="007D25E5"/>
    <w:rsid w:val="007D26C0"/>
    <w:rsid w:val="007D26D2"/>
    <w:rsid w:val="007D26F0"/>
    <w:rsid w:val="007D2703"/>
    <w:rsid w:val="007D277B"/>
    <w:rsid w:val="007D27DF"/>
    <w:rsid w:val="007D2802"/>
    <w:rsid w:val="007D2840"/>
    <w:rsid w:val="007D2844"/>
    <w:rsid w:val="007D287D"/>
    <w:rsid w:val="007D288F"/>
    <w:rsid w:val="007D28DB"/>
    <w:rsid w:val="007D28F2"/>
    <w:rsid w:val="007D28FF"/>
    <w:rsid w:val="007D291D"/>
    <w:rsid w:val="007D2950"/>
    <w:rsid w:val="007D299E"/>
    <w:rsid w:val="007D29D4"/>
    <w:rsid w:val="007D2A4E"/>
    <w:rsid w:val="007D2A4F"/>
    <w:rsid w:val="007D2A92"/>
    <w:rsid w:val="007D2AC8"/>
    <w:rsid w:val="007D2BD2"/>
    <w:rsid w:val="007D2E75"/>
    <w:rsid w:val="007D2EBF"/>
    <w:rsid w:val="007D2EE2"/>
    <w:rsid w:val="007D2EF2"/>
    <w:rsid w:val="007D2F5D"/>
    <w:rsid w:val="007D2F72"/>
    <w:rsid w:val="007D2F78"/>
    <w:rsid w:val="007D2FC6"/>
    <w:rsid w:val="007D2FCC"/>
    <w:rsid w:val="007D2FE3"/>
    <w:rsid w:val="007D2FFA"/>
    <w:rsid w:val="007D3029"/>
    <w:rsid w:val="007D308A"/>
    <w:rsid w:val="007D30A4"/>
    <w:rsid w:val="007D30C5"/>
    <w:rsid w:val="007D3103"/>
    <w:rsid w:val="007D312A"/>
    <w:rsid w:val="007D313A"/>
    <w:rsid w:val="007D314E"/>
    <w:rsid w:val="007D318B"/>
    <w:rsid w:val="007D326A"/>
    <w:rsid w:val="007D332C"/>
    <w:rsid w:val="007D334B"/>
    <w:rsid w:val="007D334D"/>
    <w:rsid w:val="007D33BC"/>
    <w:rsid w:val="007D33E6"/>
    <w:rsid w:val="007D3403"/>
    <w:rsid w:val="007D3463"/>
    <w:rsid w:val="007D34D3"/>
    <w:rsid w:val="007D350D"/>
    <w:rsid w:val="007D3530"/>
    <w:rsid w:val="007D3536"/>
    <w:rsid w:val="007D35B7"/>
    <w:rsid w:val="007D35CB"/>
    <w:rsid w:val="007D35D9"/>
    <w:rsid w:val="007D35F7"/>
    <w:rsid w:val="007D3668"/>
    <w:rsid w:val="007D3672"/>
    <w:rsid w:val="007D3680"/>
    <w:rsid w:val="007D36D9"/>
    <w:rsid w:val="007D3711"/>
    <w:rsid w:val="007D3736"/>
    <w:rsid w:val="007D373D"/>
    <w:rsid w:val="007D37BF"/>
    <w:rsid w:val="007D3801"/>
    <w:rsid w:val="007D38C4"/>
    <w:rsid w:val="007D38D0"/>
    <w:rsid w:val="007D38E1"/>
    <w:rsid w:val="007D3940"/>
    <w:rsid w:val="007D3AC1"/>
    <w:rsid w:val="007D3B2E"/>
    <w:rsid w:val="007D3BC5"/>
    <w:rsid w:val="007D3BFE"/>
    <w:rsid w:val="007D3C65"/>
    <w:rsid w:val="007D3CC6"/>
    <w:rsid w:val="007D3CC7"/>
    <w:rsid w:val="007D3CCA"/>
    <w:rsid w:val="007D3CF5"/>
    <w:rsid w:val="007D3DD1"/>
    <w:rsid w:val="007D3DEC"/>
    <w:rsid w:val="007D3E62"/>
    <w:rsid w:val="007D3E76"/>
    <w:rsid w:val="007D3E89"/>
    <w:rsid w:val="007D3E8E"/>
    <w:rsid w:val="007D3EC2"/>
    <w:rsid w:val="007D3EFD"/>
    <w:rsid w:val="007D3F82"/>
    <w:rsid w:val="007D3FAF"/>
    <w:rsid w:val="007D4007"/>
    <w:rsid w:val="007D4096"/>
    <w:rsid w:val="007D40AD"/>
    <w:rsid w:val="007D410C"/>
    <w:rsid w:val="007D416B"/>
    <w:rsid w:val="007D4180"/>
    <w:rsid w:val="007D41BC"/>
    <w:rsid w:val="007D41E5"/>
    <w:rsid w:val="007D4361"/>
    <w:rsid w:val="007D439D"/>
    <w:rsid w:val="007D43AF"/>
    <w:rsid w:val="007D43C2"/>
    <w:rsid w:val="007D43CF"/>
    <w:rsid w:val="007D448D"/>
    <w:rsid w:val="007D44B4"/>
    <w:rsid w:val="007D44EA"/>
    <w:rsid w:val="007D4557"/>
    <w:rsid w:val="007D460D"/>
    <w:rsid w:val="007D4665"/>
    <w:rsid w:val="007D4780"/>
    <w:rsid w:val="007D47DD"/>
    <w:rsid w:val="007D4913"/>
    <w:rsid w:val="007D4AA8"/>
    <w:rsid w:val="007D4AD2"/>
    <w:rsid w:val="007D4B32"/>
    <w:rsid w:val="007D4BCA"/>
    <w:rsid w:val="007D4C19"/>
    <w:rsid w:val="007D4C87"/>
    <w:rsid w:val="007D4CCB"/>
    <w:rsid w:val="007D4CEA"/>
    <w:rsid w:val="007D4D48"/>
    <w:rsid w:val="007D4DEF"/>
    <w:rsid w:val="007D4DF7"/>
    <w:rsid w:val="007D4E07"/>
    <w:rsid w:val="007D4E81"/>
    <w:rsid w:val="007D4E8A"/>
    <w:rsid w:val="007D4EDA"/>
    <w:rsid w:val="007D4F27"/>
    <w:rsid w:val="007D4F80"/>
    <w:rsid w:val="007D4F93"/>
    <w:rsid w:val="007D50BC"/>
    <w:rsid w:val="007D5185"/>
    <w:rsid w:val="007D51B6"/>
    <w:rsid w:val="007D524E"/>
    <w:rsid w:val="007D52B1"/>
    <w:rsid w:val="007D52B9"/>
    <w:rsid w:val="007D52DF"/>
    <w:rsid w:val="007D52FA"/>
    <w:rsid w:val="007D5321"/>
    <w:rsid w:val="007D5361"/>
    <w:rsid w:val="007D539C"/>
    <w:rsid w:val="007D53BE"/>
    <w:rsid w:val="007D53E2"/>
    <w:rsid w:val="007D5411"/>
    <w:rsid w:val="007D5416"/>
    <w:rsid w:val="007D5420"/>
    <w:rsid w:val="007D543D"/>
    <w:rsid w:val="007D54E2"/>
    <w:rsid w:val="007D54F1"/>
    <w:rsid w:val="007D5506"/>
    <w:rsid w:val="007D559D"/>
    <w:rsid w:val="007D55A7"/>
    <w:rsid w:val="007D55CA"/>
    <w:rsid w:val="007D55D3"/>
    <w:rsid w:val="007D55FE"/>
    <w:rsid w:val="007D560F"/>
    <w:rsid w:val="007D5625"/>
    <w:rsid w:val="007D56E8"/>
    <w:rsid w:val="007D578D"/>
    <w:rsid w:val="007D57F4"/>
    <w:rsid w:val="007D5802"/>
    <w:rsid w:val="007D5838"/>
    <w:rsid w:val="007D5907"/>
    <w:rsid w:val="007D5931"/>
    <w:rsid w:val="007D594B"/>
    <w:rsid w:val="007D59BF"/>
    <w:rsid w:val="007D59C0"/>
    <w:rsid w:val="007D5AFC"/>
    <w:rsid w:val="007D5C24"/>
    <w:rsid w:val="007D5C94"/>
    <w:rsid w:val="007D5C9F"/>
    <w:rsid w:val="007D5CF5"/>
    <w:rsid w:val="007D5D8A"/>
    <w:rsid w:val="007D5D93"/>
    <w:rsid w:val="007D5F40"/>
    <w:rsid w:val="007D5F82"/>
    <w:rsid w:val="007D5F93"/>
    <w:rsid w:val="007D5FEB"/>
    <w:rsid w:val="007D6199"/>
    <w:rsid w:val="007D62CB"/>
    <w:rsid w:val="007D62EC"/>
    <w:rsid w:val="007D630C"/>
    <w:rsid w:val="007D6381"/>
    <w:rsid w:val="007D63A0"/>
    <w:rsid w:val="007D63D8"/>
    <w:rsid w:val="007D6420"/>
    <w:rsid w:val="007D6486"/>
    <w:rsid w:val="007D6490"/>
    <w:rsid w:val="007D649E"/>
    <w:rsid w:val="007D64A6"/>
    <w:rsid w:val="007D650B"/>
    <w:rsid w:val="007D65E8"/>
    <w:rsid w:val="007D6654"/>
    <w:rsid w:val="007D6773"/>
    <w:rsid w:val="007D67A4"/>
    <w:rsid w:val="007D67D3"/>
    <w:rsid w:val="007D6801"/>
    <w:rsid w:val="007D680C"/>
    <w:rsid w:val="007D686B"/>
    <w:rsid w:val="007D690C"/>
    <w:rsid w:val="007D692A"/>
    <w:rsid w:val="007D693C"/>
    <w:rsid w:val="007D69B1"/>
    <w:rsid w:val="007D69D2"/>
    <w:rsid w:val="007D69D9"/>
    <w:rsid w:val="007D69F0"/>
    <w:rsid w:val="007D69F9"/>
    <w:rsid w:val="007D6A7A"/>
    <w:rsid w:val="007D6AEC"/>
    <w:rsid w:val="007D6AEE"/>
    <w:rsid w:val="007D6AF4"/>
    <w:rsid w:val="007D6BA3"/>
    <w:rsid w:val="007D6D70"/>
    <w:rsid w:val="007D6D7C"/>
    <w:rsid w:val="007D6DAE"/>
    <w:rsid w:val="007D6DFE"/>
    <w:rsid w:val="007D6E34"/>
    <w:rsid w:val="007D6E7B"/>
    <w:rsid w:val="007D6EE0"/>
    <w:rsid w:val="007D6F26"/>
    <w:rsid w:val="007D7028"/>
    <w:rsid w:val="007D70D4"/>
    <w:rsid w:val="007D7111"/>
    <w:rsid w:val="007D717D"/>
    <w:rsid w:val="007D7234"/>
    <w:rsid w:val="007D7269"/>
    <w:rsid w:val="007D7290"/>
    <w:rsid w:val="007D72AA"/>
    <w:rsid w:val="007D72D0"/>
    <w:rsid w:val="007D72E2"/>
    <w:rsid w:val="007D7377"/>
    <w:rsid w:val="007D73E7"/>
    <w:rsid w:val="007D7511"/>
    <w:rsid w:val="007D7597"/>
    <w:rsid w:val="007D75B6"/>
    <w:rsid w:val="007D75CB"/>
    <w:rsid w:val="007D75DE"/>
    <w:rsid w:val="007D7652"/>
    <w:rsid w:val="007D7677"/>
    <w:rsid w:val="007D7680"/>
    <w:rsid w:val="007D76A5"/>
    <w:rsid w:val="007D76B3"/>
    <w:rsid w:val="007D7758"/>
    <w:rsid w:val="007D777C"/>
    <w:rsid w:val="007D7878"/>
    <w:rsid w:val="007D78DE"/>
    <w:rsid w:val="007D792E"/>
    <w:rsid w:val="007D794D"/>
    <w:rsid w:val="007D79A6"/>
    <w:rsid w:val="007D79E5"/>
    <w:rsid w:val="007D7A60"/>
    <w:rsid w:val="007D7BB2"/>
    <w:rsid w:val="007D7BC1"/>
    <w:rsid w:val="007D7BD1"/>
    <w:rsid w:val="007D7C13"/>
    <w:rsid w:val="007D7D13"/>
    <w:rsid w:val="007D7D5A"/>
    <w:rsid w:val="007D7F4F"/>
    <w:rsid w:val="007D7F98"/>
    <w:rsid w:val="007D7FBC"/>
    <w:rsid w:val="007E0015"/>
    <w:rsid w:val="007E002F"/>
    <w:rsid w:val="007E0059"/>
    <w:rsid w:val="007E00DB"/>
    <w:rsid w:val="007E00DC"/>
    <w:rsid w:val="007E0151"/>
    <w:rsid w:val="007E01FA"/>
    <w:rsid w:val="007E0251"/>
    <w:rsid w:val="007E02BF"/>
    <w:rsid w:val="007E0340"/>
    <w:rsid w:val="007E0481"/>
    <w:rsid w:val="007E0486"/>
    <w:rsid w:val="007E05D7"/>
    <w:rsid w:val="007E0655"/>
    <w:rsid w:val="007E0677"/>
    <w:rsid w:val="007E0707"/>
    <w:rsid w:val="007E070F"/>
    <w:rsid w:val="007E0754"/>
    <w:rsid w:val="007E07CC"/>
    <w:rsid w:val="007E0801"/>
    <w:rsid w:val="007E0837"/>
    <w:rsid w:val="007E0898"/>
    <w:rsid w:val="007E0998"/>
    <w:rsid w:val="007E0999"/>
    <w:rsid w:val="007E09F7"/>
    <w:rsid w:val="007E09FC"/>
    <w:rsid w:val="007E0ACC"/>
    <w:rsid w:val="007E0AF5"/>
    <w:rsid w:val="007E0AF7"/>
    <w:rsid w:val="007E0B78"/>
    <w:rsid w:val="007E0C16"/>
    <w:rsid w:val="007E0C32"/>
    <w:rsid w:val="007E0CBD"/>
    <w:rsid w:val="007E0CEC"/>
    <w:rsid w:val="007E0CFD"/>
    <w:rsid w:val="007E0D15"/>
    <w:rsid w:val="007E0D20"/>
    <w:rsid w:val="007E0D30"/>
    <w:rsid w:val="007E0D54"/>
    <w:rsid w:val="007E0D8A"/>
    <w:rsid w:val="007E0DB2"/>
    <w:rsid w:val="007E0E21"/>
    <w:rsid w:val="007E0E31"/>
    <w:rsid w:val="007E0EB8"/>
    <w:rsid w:val="007E0ECD"/>
    <w:rsid w:val="007E0F29"/>
    <w:rsid w:val="007E0F57"/>
    <w:rsid w:val="007E0F59"/>
    <w:rsid w:val="007E121C"/>
    <w:rsid w:val="007E123F"/>
    <w:rsid w:val="007E124A"/>
    <w:rsid w:val="007E124E"/>
    <w:rsid w:val="007E1312"/>
    <w:rsid w:val="007E1352"/>
    <w:rsid w:val="007E1354"/>
    <w:rsid w:val="007E1376"/>
    <w:rsid w:val="007E13F5"/>
    <w:rsid w:val="007E1525"/>
    <w:rsid w:val="007E1535"/>
    <w:rsid w:val="007E1550"/>
    <w:rsid w:val="007E1553"/>
    <w:rsid w:val="007E1590"/>
    <w:rsid w:val="007E159D"/>
    <w:rsid w:val="007E15C2"/>
    <w:rsid w:val="007E160B"/>
    <w:rsid w:val="007E1638"/>
    <w:rsid w:val="007E1666"/>
    <w:rsid w:val="007E16A9"/>
    <w:rsid w:val="007E16BE"/>
    <w:rsid w:val="007E16E4"/>
    <w:rsid w:val="007E1704"/>
    <w:rsid w:val="007E1713"/>
    <w:rsid w:val="007E1788"/>
    <w:rsid w:val="007E182B"/>
    <w:rsid w:val="007E1867"/>
    <w:rsid w:val="007E18C8"/>
    <w:rsid w:val="007E1A5F"/>
    <w:rsid w:val="007E1AAE"/>
    <w:rsid w:val="007E1B7B"/>
    <w:rsid w:val="007E1BC5"/>
    <w:rsid w:val="007E1BF7"/>
    <w:rsid w:val="007E1C7B"/>
    <w:rsid w:val="007E1C8D"/>
    <w:rsid w:val="007E1CA6"/>
    <w:rsid w:val="007E1CDA"/>
    <w:rsid w:val="007E1CF8"/>
    <w:rsid w:val="007E1D30"/>
    <w:rsid w:val="007E1DE7"/>
    <w:rsid w:val="007E1E0C"/>
    <w:rsid w:val="007E1F02"/>
    <w:rsid w:val="007E1F54"/>
    <w:rsid w:val="007E1F8D"/>
    <w:rsid w:val="007E1FC3"/>
    <w:rsid w:val="007E1FD6"/>
    <w:rsid w:val="007E1FE3"/>
    <w:rsid w:val="007E206B"/>
    <w:rsid w:val="007E208C"/>
    <w:rsid w:val="007E2090"/>
    <w:rsid w:val="007E21AA"/>
    <w:rsid w:val="007E2231"/>
    <w:rsid w:val="007E2262"/>
    <w:rsid w:val="007E228F"/>
    <w:rsid w:val="007E22C9"/>
    <w:rsid w:val="007E22D5"/>
    <w:rsid w:val="007E239C"/>
    <w:rsid w:val="007E23C3"/>
    <w:rsid w:val="007E242F"/>
    <w:rsid w:val="007E24F1"/>
    <w:rsid w:val="007E2518"/>
    <w:rsid w:val="007E259E"/>
    <w:rsid w:val="007E263E"/>
    <w:rsid w:val="007E26A6"/>
    <w:rsid w:val="007E26B3"/>
    <w:rsid w:val="007E26BC"/>
    <w:rsid w:val="007E273D"/>
    <w:rsid w:val="007E27EA"/>
    <w:rsid w:val="007E27F4"/>
    <w:rsid w:val="007E2873"/>
    <w:rsid w:val="007E28B8"/>
    <w:rsid w:val="007E2A54"/>
    <w:rsid w:val="007E2ACF"/>
    <w:rsid w:val="007E2AFC"/>
    <w:rsid w:val="007E2B25"/>
    <w:rsid w:val="007E2B36"/>
    <w:rsid w:val="007E2B3E"/>
    <w:rsid w:val="007E2B4D"/>
    <w:rsid w:val="007E2B7B"/>
    <w:rsid w:val="007E2BB8"/>
    <w:rsid w:val="007E2BC2"/>
    <w:rsid w:val="007E2BD3"/>
    <w:rsid w:val="007E2BD9"/>
    <w:rsid w:val="007E2BDA"/>
    <w:rsid w:val="007E2C0C"/>
    <w:rsid w:val="007E2D1B"/>
    <w:rsid w:val="007E2D1D"/>
    <w:rsid w:val="007E2D2C"/>
    <w:rsid w:val="007E2D47"/>
    <w:rsid w:val="007E2D6E"/>
    <w:rsid w:val="007E2D8A"/>
    <w:rsid w:val="007E2DB9"/>
    <w:rsid w:val="007E2E05"/>
    <w:rsid w:val="007E2E4A"/>
    <w:rsid w:val="007E2EBE"/>
    <w:rsid w:val="007E2F5D"/>
    <w:rsid w:val="007E302B"/>
    <w:rsid w:val="007E3038"/>
    <w:rsid w:val="007E30AB"/>
    <w:rsid w:val="007E30CC"/>
    <w:rsid w:val="007E30E7"/>
    <w:rsid w:val="007E3242"/>
    <w:rsid w:val="007E327C"/>
    <w:rsid w:val="007E328B"/>
    <w:rsid w:val="007E32B4"/>
    <w:rsid w:val="007E3317"/>
    <w:rsid w:val="007E335E"/>
    <w:rsid w:val="007E33A1"/>
    <w:rsid w:val="007E33D5"/>
    <w:rsid w:val="007E349F"/>
    <w:rsid w:val="007E3522"/>
    <w:rsid w:val="007E3563"/>
    <w:rsid w:val="007E35F9"/>
    <w:rsid w:val="007E363E"/>
    <w:rsid w:val="007E3662"/>
    <w:rsid w:val="007E36D4"/>
    <w:rsid w:val="007E36E2"/>
    <w:rsid w:val="007E371E"/>
    <w:rsid w:val="007E3774"/>
    <w:rsid w:val="007E394E"/>
    <w:rsid w:val="007E398C"/>
    <w:rsid w:val="007E39D4"/>
    <w:rsid w:val="007E3A7F"/>
    <w:rsid w:val="007E3B2B"/>
    <w:rsid w:val="007E3BE2"/>
    <w:rsid w:val="007E3BFA"/>
    <w:rsid w:val="007E3C77"/>
    <w:rsid w:val="007E3CA7"/>
    <w:rsid w:val="007E3CB2"/>
    <w:rsid w:val="007E3CDF"/>
    <w:rsid w:val="007E3CE4"/>
    <w:rsid w:val="007E3E6F"/>
    <w:rsid w:val="007E3ECF"/>
    <w:rsid w:val="007E3F2D"/>
    <w:rsid w:val="007E3F2E"/>
    <w:rsid w:val="007E3FA2"/>
    <w:rsid w:val="007E404B"/>
    <w:rsid w:val="007E40D4"/>
    <w:rsid w:val="007E412E"/>
    <w:rsid w:val="007E4153"/>
    <w:rsid w:val="007E4204"/>
    <w:rsid w:val="007E427E"/>
    <w:rsid w:val="007E4295"/>
    <w:rsid w:val="007E42A5"/>
    <w:rsid w:val="007E4341"/>
    <w:rsid w:val="007E4363"/>
    <w:rsid w:val="007E4393"/>
    <w:rsid w:val="007E43B0"/>
    <w:rsid w:val="007E445E"/>
    <w:rsid w:val="007E4521"/>
    <w:rsid w:val="007E4533"/>
    <w:rsid w:val="007E4551"/>
    <w:rsid w:val="007E458B"/>
    <w:rsid w:val="007E45C7"/>
    <w:rsid w:val="007E4634"/>
    <w:rsid w:val="007E46EE"/>
    <w:rsid w:val="007E4771"/>
    <w:rsid w:val="007E4772"/>
    <w:rsid w:val="007E47BA"/>
    <w:rsid w:val="007E47D7"/>
    <w:rsid w:val="007E48B9"/>
    <w:rsid w:val="007E49F2"/>
    <w:rsid w:val="007E4A25"/>
    <w:rsid w:val="007E4A37"/>
    <w:rsid w:val="007E4A57"/>
    <w:rsid w:val="007E4A91"/>
    <w:rsid w:val="007E4B62"/>
    <w:rsid w:val="007E4B7E"/>
    <w:rsid w:val="007E4B9B"/>
    <w:rsid w:val="007E4BE8"/>
    <w:rsid w:val="007E4C7C"/>
    <w:rsid w:val="007E4CDD"/>
    <w:rsid w:val="007E4D3B"/>
    <w:rsid w:val="007E4DB6"/>
    <w:rsid w:val="007E4DD3"/>
    <w:rsid w:val="007E4DEC"/>
    <w:rsid w:val="007E4E26"/>
    <w:rsid w:val="007E4EC7"/>
    <w:rsid w:val="007E4F2E"/>
    <w:rsid w:val="007E4F54"/>
    <w:rsid w:val="007E4F9A"/>
    <w:rsid w:val="007E4FDE"/>
    <w:rsid w:val="007E50EC"/>
    <w:rsid w:val="007E5131"/>
    <w:rsid w:val="007E5158"/>
    <w:rsid w:val="007E5164"/>
    <w:rsid w:val="007E518D"/>
    <w:rsid w:val="007E51FA"/>
    <w:rsid w:val="007E5248"/>
    <w:rsid w:val="007E5263"/>
    <w:rsid w:val="007E52C2"/>
    <w:rsid w:val="007E52C3"/>
    <w:rsid w:val="007E52D2"/>
    <w:rsid w:val="007E53EE"/>
    <w:rsid w:val="007E53FC"/>
    <w:rsid w:val="007E541B"/>
    <w:rsid w:val="007E5466"/>
    <w:rsid w:val="007E54A3"/>
    <w:rsid w:val="007E5531"/>
    <w:rsid w:val="007E55E9"/>
    <w:rsid w:val="007E563B"/>
    <w:rsid w:val="007E5680"/>
    <w:rsid w:val="007E56C3"/>
    <w:rsid w:val="007E56EF"/>
    <w:rsid w:val="007E5741"/>
    <w:rsid w:val="007E5786"/>
    <w:rsid w:val="007E579E"/>
    <w:rsid w:val="007E57C2"/>
    <w:rsid w:val="007E5831"/>
    <w:rsid w:val="007E585C"/>
    <w:rsid w:val="007E5865"/>
    <w:rsid w:val="007E58B6"/>
    <w:rsid w:val="007E58EE"/>
    <w:rsid w:val="007E59CD"/>
    <w:rsid w:val="007E5A0C"/>
    <w:rsid w:val="007E5A1E"/>
    <w:rsid w:val="007E5A31"/>
    <w:rsid w:val="007E5A90"/>
    <w:rsid w:val="007E5B41"/>
    <w:rsid w:val="007E5B47"/>
    <w:rsid w:val="007E5BAA"/>
    <w:rsid w:val="007E5BBF"/>
    <w:rsid w:val="007E5BE2"/>
    <w:rsid w:val="007E5C47"/>
    <w:rsid w:val="007E5CB1"/>
    <w:rsid w:val="007E5CC3"/>
    <w:rsid w:val="007E5CE4"/>
    <w:rsid w:val="007E5D70"/>
    <w:rsid w:val="007E5D93"/>
    <w:rsid w:val="007E5DB0"/>
    <w:rsid w:val="007E5DC0"/>
    <w:rsid w:val="007E5E14"/>
    <w:rsid w:val="007E5E43"/>
    <w:rsid w:val="007E5E58"/>
    <w:rsid w:val="007E5EB9"/>
    <w:rsid w:val="007E5F06"/>
    <w:rsid w:val="007E5F25"/>
    <w:rsid w:val="007E5F66"/>
    <w:rsid w:val="007E5F7D"/>
    <w:rsid w:val="007E6082"/>
    <w:rsid w:val="007E60CD"/>
    <w:rsid w:val="007E60D1"/>
    <w:rsid w:val="007E610F"/>
    <w:rsid w:val="007E613D"/>
    <w:rsid w:val="007E615A"/>
    <w:rsid w:val="007E619C"/>
    <w:rsid w:val="007E6249"/>
    <w:rsid w:val="007E628C"/>
    <w:rsid w:val="007E62BC"/>
    <w:rsid w:val="007E6358"/>
    <w:rsid w:val="007E635A"/>
    <w:rsid w:val="007E6370"/>
    <w:rsid w:val="007E639F"/>
    <w:rsid w:val="007E63AB"/>
    <w:rsid w:val="007E63B0"/>
    <w:rsid w:val="007E641E"/>
    <w:rsid w:val="007E642C"/>
    <w:rsid w:val="007E6457"/>
    <w:rsid w:val="007E6594"/>
    <w:rsid w:val="007E663D"/>
    <w:rsid w:val="007E66E9"/>
    <w:rsid w:val="007E6708"/>
    <w:rsid w:val="007E672A"/>
    <w:rsid w:val="007E679F"/>
    <w:rsid w:val="007E67F9"/>
    <w:rsid w:val="007E67FE"/>
    <w:rsid w:val="007E6837"/>
    <w:rsid w:val="007E6868"/>
    <w:rsid w:val="007E6910"/>
    <w:rsid w:val="007E694F"/>
    <w:rsid w:val="007E6955"/>
    <w:rsid w:val="007E6993"/>
    <w:rsid w:val="007E69CA"/>
    <w:rsid w:val="007E6A28"/>
    <w:rsid w:val="007E6A35"/>
    <w:rsid w:val="007E6A40"/>
    <w:rsid w:val="007E6B14"/>
    <w:rsid w:val="007E6B1B"/>
    <w:rsid w:val="007E6BB0"/>
    <w:rsid w:val="007E6C16"/>
    <w:rsid w:val="007E6C58"/>
    <w:rsid w:val="007E6CA9"/>
    <w:rsid w:val="007E6D1D"/>
    <w:rsid w:val="007E6D54"/>
    <w:rsid w:val="007E6D7E"/>
    <w:rsid w:val="007E6E1E"/>
    <w:rsid w:val="007E6E53"/>
    <w:rsid w:val="007E6E8D"/>
    <w:rsid w:val="007E6E95"/>
    <w:rsid w:val="007E6EF8"/>
    <w:rsid w:val="007E6F3E"/>
    <w:rsid w:val="007E6F78"/>
    <w:rsid w:val="007E6F79"/>
    <w:rsid w:val="007E700A"/>
    <w:rsid w:val="007E7013"/>
    <w:rsid w:val="007E7073"/>
    <w:rsid w:val="007E707D"/>
    <w:rsid w:val="007E709C"/>
    <w:rsid w:val="007E7136"/>
    <w:rsid w:val="007E713C"/>
    <w:rsid w:val="007E717C"/>
    <w:rsid w:val="007E7198"/>
    <w:rsid w:val="007E71B7"/>
    <w:rsid w:val="007E71BE"/>
    <w:rsid w:val="007E71E8"/>
    <w:rsid w:val="007E7239"/>
    <w:rsid w:val="007E7267"/>
    <w:rsid w:val="007E72B8"/>
    <w:rsid w:val="007E7369"/>
    <w:rsid w:val="007E73E7"/>
    <w:rsid w:val="007E7418"/>
    <w:rsid w:val="007E7442"/>
    <w:rsid w:val="007E745F"/>
    <w:rsid w:val="007E74AF"/>
    <w:rsid w:val="007E74B1"/>
    <w:rsid w:val="007E751A"/>
    <w:rsid w:val="007E75CE"/>
    <w:rsid w:val="007E760A"/>
    <w:rsid w:val="007E769E"/>
    <w:rsid w:val="007E76C1"/>
    <w:rsid w:val="007E76CE"/>
    <w:rsid w:val="007E7789"/>
    <w:rsid w:val="007E7809"/>
    <w:rsid w:val="007E7840"/>
    <w:rsid w:val="007E789E"/>
    <w:rsid w:val="007E78BD"/>
    <w:rsid w:val="007E7950"/>
    <w:rsid w:val="007E795C"/>
    <w:rsid w:val="007E79B9"/>
    <w:rsid w:val="007E79C5"/>
    <w:rsid w:val="007E79D9"/>
    <w:rsid w:val="007E79E5"/>
    <w:rsid w:val="007E79F7"/>
    <w:rsid w:val="007E7A48"/>
    <w:rsid w:val="007E7A63"/>
    <w:rsid w:val="007E7BD2"/>
    <w:rsid w:val="007E7C05"/>
    <w:rsid w:val="007E7C7C"/>
    <w:rsid w:val="007E7C84"/>
    <w:rsid w:val="007E7CB2"/>
    <w:rsid w:val="007E7CDB"/>
    <w:rsid w:val="007E7D1C"/>
    <w:rsid w:val="007E7D37"/>
    <w:rsid w:val="007E7D6A"/>
    <w:rsid w:val="007E7D86"/>
    <w:rsid w:val="007E7DD1"/>
    <w:rsid w:val="007E7EAA"/>
    <w:rsid w:val="007E7ECB"/>
    <w:rsid w:val="007E7F97"/>
    <w:rsid w:val="007E7FBF"/>
    <w:rsid w:val="007F0028"/>
    <w:rsid w:val="007F0036"/>
    <w:rsid w:val="007F006C"/>
    <w:rsid w:val="007F00B5"/>
    <w:rsid w:val="007F00CB"/>
    <w:rsid w:val="007F0120"/>
    <w:rsid w:val="007F012F"/>
    <w:rsid w:val="007F014A"/>
    <w:rsid w:val="007F01BD"/>
    <w:rsid w:val="007F01C6"/>
    <w:rsid w:val="007F0257"/>
    <w:rsid w:val="007F028C"/>
    <w:rsid w:val="007F0342"/>
    <w:rsid w:val="007F0362"/>
    <w:rsid w:val="007F037D"/>
    <w:rsid w:val="007F0384"/>
    <w:rsid w:val="007F038A"/>
    <w:rsid w:val="007F038E"/>
    <w:rsid w:val="007F03AE"/>
    <w:rsid w:val="007F03C3"/>
    <w:rsid w:val="007F03E9"/>
    <w:rsid w:val="007F0477"/>
    <w:rsid w:val="007F04CC"/>
    <w:rsid w:val="007F04FE"/>
    <w:rsid w:val="007F053C"/>
    <w:rsid w:val="007F0544"/>
    <w:rsid w:val="007F054E"/>
    <w:rsid w:val="007F0597"/>
    <w:rsid w:val="007F0616"/>
    <w:rsid w:val="007F0647"/>
    <w:rsid w:val="007F0676"/>
    <w:rsid w:val="007F0759"/>
    <w:rsid w:val="007F0788"/>
    <w:rsid w:val="007F082A"/>
    <w:rsid w:val="007F082C"/>
    <w:rsid w:val="007F0862"/>
    <w:rsid w:val="007F0A26"/>
    <w:rsid w:val="007F0B2F"/>
    <w:rsid w:val="007F0B4D"/>
    <w:rsid w:val="007F0B5D"/>
    <w:rsid w:val="007F0B85"/>
    <w:rsid w:val="007F0BC5"/>
    <w:rsid w:val="007F0C22"/>
    <w:rsid w:val="007F0C47"/>
    <w:rsid w:val="007F0C68"/>
    <w:rsid w:val="007F0CF5"/>
    <w:rsid w:val="007F0DB2"/>
    <w:rsid w:val="007F0DCE"/>
    <w:rsid w:val="007F0DE2"/>
    <w:rsid w:val="007F0E10"/>
    <w:rsid w:val="007F0E1D"/>
    <w:rsid w:val="007F0E28"/>
    <w:rsid w:val="007F0F2E"/>
    <w:rsid w:val="007F0F8D"/>
    <w:rsid w:val="007F0F99"/>
    <w:rsid w:val="007F1054"/>
    <w:rsid w:val="007F11AA"/>
    <w:rsid w:val="007F11EE"/>
    <w:rsid w:val="007F1261"/>
    <w:rsid w:val="007F127B"/>
    <w:rsid w:val="007F1309"/>
    <w:rsid w:val="007F1355"/>
    <w:rsid w:val="007F13FB"/>
    <w:rsid w:val="007F1401"/>
    <w:rsid w:val="007F143D"/>
    <w:rsid w:val="007F14FA"/>
    <w:rsid w:val="007F1587"/>
    <w:rsid w:val="007F15B4"/>
    <w:rsid w:val="007F1611"/>
    <w:rsid w:val="007F1648"/>
    <w:rsid w:val="007F1715"/>
    <w:rsid w:val="007F17AF"/>
    <w:rsid w:val="007F186C"/>
    <w:rsid w:val="007F1908"/>
    <w:rsid w:val="007F194C"/>
    <w:rsid w:val="007F19AF"/>
    <w:rsid w:val="007F1A30"/>
    <w:rsid w:val="007F1AE6"/>
    <w:rsid w:val="007F1B03"/>
    <w:rsid w:val="007F1B68"/>
    <w:rsid w:val="007F1BAE"/>
    <w:rsid w:val="007F1BEC"/>
    <w:rsid w:val="007F1C80"/>
    <w:rsid w:val="007F1CA0"/>
    <w:rsid w:val="007F1CCF"/>
    <w:rsid w:val="007F1D30"/>
    <w:rsid w:val="007F1DC8"/>
    <w:rsid w:val="007F1E06"/>
    <w:rsid w:val="007F1E5D"/>
    <w:rsid w:val="007F1E72"/>
    <w:rsid w:val="007F1E73"/>
    <w:rsid w:val="007F1EC0"/>
    <w:rsid w:val="007F1ECF"/>
    <w:rsid w:val="007F1F78"/>
    <w:rsid w:val="007F1FA5"/>
    <w:rsid w:val="007F2029"/>
    <w:rsid w:val="007F2081"/>
    <w:rsid w:val="007F20AC"/>
    <w:rsid w:val="007F20C7"/>
    <w:rsid w:val="007F20E9"/>
    <w:rsid w:val="007F2114"/>
    <w:rsid w:val="007F211F"/>
    <w:rsid w:val="007F2152"/>
    <w:rsid w:val="007F215F"/>
    <w:rsid w:val="007F216C"/>
    <w:rsid w:val="007F217E"/>
    <w:rsid w:val="007F21E0"/>
    <w:rsid w:val="007F2258"/>
    <w:rsid w:val="007F226D"/>
    <w:rsid w:val="007F230C"/>
    <w:rsid w:val="007F241E"/>
    <w:rsid w:val="007F243D"/>
    <w:rsid w:val="007F24B8"/>
    <w:rsid w:val="007F24F2"/>
    <w:rsid w:val="007F250C"/>
    <w:rsid w:val="007F259A"/>
    <w:rsid w:val="007F25A7"/>
    <w:rsid w:val="007F2647"/>
    <w:rsid w:val="007F264F"/>
    <w:rsid w:val="007F271D"/>
    <w:rsid w:val="007F27B0"/>
    <w:rsid w:val="007F27ED"/>
    <w:rsid w:val="007F27FA"/>
    <w:rsid w:val="007F2801"/>
    <w:rsid w:val="007F28A9"/>
    <w:rsid w:val="007F28F3"/>
    <w:rsid w:val="007F29BE"/>
    <w:rsid w:val="007F29F6"/>
    <w:rsid w:val="007F2A26"/>
    <w:rsid w:val="007F2A6C"/>
    <w:rsid w:val="007F2AEA"/>
    <w:rsid w:val="007F2B03"/>
    <w:rsid w:val="007F2B72"/>
    <w:rsid w:val="007F2B74"/>
    <w:rsid w:val="007F2B84"/>
    <w:rsid w:val="007F2BB1"/>
    <w:rsid w:val="007F2C60"/>
    <w:rsid w:val="007F2C6A"/>
    <w:rsid w:val="007F2CC1"/>
    <w:rsid w:val="007F2CD9"/>
    <w:rsid w:val="007F2CDF"/>
    <w:rsid w:val="007F2D1F"/>
    <w:rsid w:val="007F2D4F"/>
    <w:rsid w:val="007F2DF9"/>
    <w:rsid w:val="007F2E00"/>
    <w:rsid w:val="007F2E8D"/>
    <w:rsid w:val="007F2EEF"/>
    <w:rsid w:val="007F2F31"/>
    <w:rsid w:val="007F2FB6"/>
    <w:rsid w:val="007F300D"/>
    <w:rsid w:val="007F3022"/>
    <w:rsid w:val="007F30E1"/>
    <w:rsid w:val="007F314B"/>
    <w:rsid w:val="007F3160"/>
    <w:rsid w:val="007F3178"/>
    <w:rsid w:val="007F31C1"/>
    <w:rsid w:val="007F32BD"/>
    <w:rsid w:val="007F32C9"/>
    <w:rsid w:val="007F3349"/>
    <w:rsid w:val="007F3421"/>
    <w:rsid w:val="007F349B"/>
    <w:rsid w:val="007F358C"/>
    <w:rsid w:val="007F360B"/>
    <w:rsid w:val="007F361D"/>
    <w:rsid w:val="007F364A"/>
    <w:rsid w:val="007F3676"/>
    <w:rsid w:val="007F3762"/>
    <w:rsid w:val="007F376B"/>
    <w:rsid w:val="007F3787"/>
    <w:rsid w:val="007F37A1"/>
    <w:rsid w:val="007F37DE"/>
    <w:rsid w:val="007F3810"/>
    <w:rsid w:val="007F3811"/>
    <w:rsid w:val="007F389E"/>
    <w:rsid w:val="007F397F"/>
    <w:rsid w:val="007F3A16"/>
    <w:rsid w:val="007F3AB3"/>
    <w:rsid w:val="007F3AB9"/>
    <w:rsid w:val="007F3ABA"/>
    <w:rsid w:val="007F3AC6"/>
    <w:rsid w:val="007F3BFF"/>
    <w:rsid w:val="007F3C27"/>
    <w:rsid w:val="007F3C29"/>
    <w:rsid w:val="007F3C50"/>
    <w:rsid w:val="007F3C6A"/>
    <w:rsid w:val="007F3C7C"/>
    <w:rsid w:val="007F3C7E"/>
    <w:rsid w:val="007F3C86"/>
    <w:rsid w:val="007F3CA7"/>
    <w:rsid w:val="007F3CD0"/>
    <w:rsid w:val="007F3D24"/>
    <w:rsid w:val="007F3D45"/>
    <w:rsid w:val="007F3DCA"/>
    <w:rsid w:val="007F3DD4"/>
    <w:rsid w:val="007F3E92"/>
    <w:rsid w:val="007F3EA1"/>
    <w:rsid w:val="007F3EE0"/>
    <w:rsid w:val="007F3EF5"/>
    <w:rsid w:val="007F3F09"/>
    <w:rsid w:val="007F3FAE"/>
    <w:rsid w:val="007F3FDC"/>
    <w:rsid w:val="007F4077"/>
    <w:rsid w:val="007F410A"/>
    <w:rsid w:val="007F4114"/>
    <w:rsid w:val="007F4178"/>
    <w:rsid w:val="007F41C6"/>
    <w:rsid w:val="007F4203"/>
    <w:rsid w:val="007F422D"/>
    <w:rsid w:val="007F4238"/>
    <w:rsid w:val="007F42E8"/>
    <w:rsid w:val="007F43FC"/>
    <w:rsid w:val="007F4403"/>
    <w:rsid w:val="007F4411"/>
    <w:rsid w:val="007F442D"/>
    <w:rsid w:val="007F4431"/>
    <w:rsid w:val="007F445E"/>
    <w:rsid w:val="007F446E"/>
    <w:rsid w:val="007F44CB"/>
    <w:rsid w:val="007F4528"/>
    <w:rsid w:val="007F458A"/>
    <w:rsid w:val="007F463C"/>
    <w:rsid w:val="007F465A"/>
    <w:rsid w:val="007F4756"/>
    <w:rsid w:val="007F4758"/>
    <w:rsid w:val="007F4765"/>
    <w:rsid w:val="007F485F"/>
    <w:rsid w:val="007F4864"/>
    <w:rsid w:val="007F48B6"/>
    <w:rsid w:val="007F48E9"/>
    <w:rsid w:val="007F4902"/>
    <w:rsid w:val="007F4934"/>
    <w:rsid w:val="007F4984"/>
    <w:rsid w:val="007F49A5"/>
    <w:rsid w:val="007F49D1"/>
    <w:rsid w:val="007F49EB"/>
    <w:rsid w:val="007F4A8F"/>
    <w:rsid w:val="007F4B3B"/>
    <w:rsid w:val="007F4B92"/>
    <w:rsid w:val="007F4BC4"/>
    <w:rsid w:val="007F4C1E"/>
    <w:rsid w:val="007F4D15"/>
    <w:rsid w:val="007F4D23"/>
    <w:rsid w:val="007F4D88"/>
    <w:rsid w:val="007F4F45"/>
    <w:rsid w:val="007F4F72"/>
    <w:rsid w:val="007F4F73"/>
    <w:rsid w:val="007F50B5"/>
    <w:rsid w:val="007F50F1"/>
    <w:rsid w:val="007F5113"/>
    <w:rsid w:val="007F5130"/>
    <w:rsid w:val="007F518B"/>
    <w:rsid w:val="007F5226"/>
    <w:rsid w:val="007F52A6"/>
    <w:rsid w:val="007F52BE"/>
    <w:rsid w:val="007F52E8"/>
    <w:rsid w:val="007F533D"/>
    <w:rsid w:val="007F5379"/>
    <w:rsid w:val="007F542B"/>
    <w:rsid w:val="007F5494"/>
    <w:rsid w:val="007F54D4"/>
    <w:rsid w:val="007F54EF"/>
    <w:rsid w:val="007F5572"/>
    <w:rsid w:val="007F55D8"/>
    <w:rsid w:val="007F562B"/>
    <w:rsid w:val="007F5637"/>
    <w:rsid w:val="007F56AB"/>
    <w:rsid w:val="007F56BA"/>
    <w:rsid w:val="007F56FF"/>
    <w:rsid w:val="007F5768"/>
    <w:rsid w:val="007F57AB"/>
    <w:rsid w:val="007F581C"/>
    <w:rsid w:val="007F5821"/>
    <w:rsid w:val="007F5842"/>
    <w:rsid w:val="007F587E"/>
    <w:rsid w:val="007F5889"/>
    <w:rsid w:val="007F58E3"/>
    <w:rsid w:val="007F591B"/>
    <w:rsid w:val="007F591C"/>
    <w:rsid w:val="007F5938"/>
    <w:rsid w:val="007F59C3"/>
    <w:rsid w:val="007F59E6"/>
    <w:rsid w:val="007F5A92"/>
    <w:rsid w:val="007F5AC9"/>
    <w:rsid w:val="007F5ADB"/>
    <w:rsid w:val="007F5ADC"/>
    <w:rsid w:val="007F5B12"/>
    <w:rsid w:val="007F5B59"/>
    <w:rsid w:val="007F5C10"/>
    <w:rsid w:val="007F5CAC"/>
    <w:rsid w:val="007F5CB7"/>
    <w:rsid w:val="007F5CB9"/>
    <w:rsid w:val="007F5CD8"/>
    <w:rsid w:val="007F5DDA"/>
    <w:rsid w:val="007F5EAE"/>
    <w:rsid w:val="007F5F0B"/>
    <w:rsid w:val="007F5F24"/>
    <w:rsid w:val="007F5FB9"/>
    <w:rsid w:val="007F5FF6"/>
    <w:rsid w:val="007F6004"/>
    <w:rsid w:val="007F604F"/>
    <w:rsid w:val="007F60DE"/>
    <w:rsid w:val="007F617E"/>
    <w:rsid w:val="007F6223"/>
    <w:rsid w:val="007F62D2"/>
    <w:rsid w:val="007F62EC"/>
    <w:rsid w:val="007F6326"/>
    <w:rsid w:val="007F639B"/>
    <w:rsid w:val="007F641D"/>
    <w:rsid w:val="007F6428"/>
    <w:rsid w:val="007F6476"/>
    <w:rsid w:val="007F647E"/>
    <w:rsid w:val="007F6486"/>
    <w:rsid w:val="007F64C0"/>
    <w:rsid w:val="007F64C3"/>
    <w:rsid w:val="007F64C9"/>
    <w:rsid w:val="007F6582"/>
    <w:rsid w:val="007F660F"/>
    <w:rsid w:val="007F665F"/>
    <w:rsid w:val="007F66E3"/>
    <w:rsid w:val="007F6709"/>
    <w:rsid w:val="007F675F"/>
    <w:rsid w:val="007F6763"/>
    <w:rsid w:val="007F67ED"/>
    <w:rsid w:val="007F67FF"/>
    <w:rsid w:val="007F6858"/>
    <w:rsid w:val="007F6911"/>
    <w:rsid w:val="007F6924"/>
    <w:rsid w:val="007F6928"/>
    <w:rsid w:val="007F6950"/>
    <w:rsid w:val="007F69DB"/>
    <w:rsid w:val="007F6A43"/>
    <w:rsid w:val="007F6A87"/>
    <w:rsid w:val="007F6C5C"/>
    <w:rsid w:val="007F6C81"/>
    <w:rsid w:val="007F6DE0"/>
    <w:rsid w:val="007F6E54"/>
    <w:rsid w:val="007F6E58"/>
    <w:rsid w:val="007F6E86"/>
    <w:rsid w:val="007F6E97"/>
    <w:rsid w:val="007F6F1A"/>
    <w:rsid w:val="007F6F2F"/>
    <w:rsid w:val="007F6F47"/>
    <w:rsid w:val="007F6F67"/>
    <w:rsid w:val="007F6FD4"/>
    <w:rsid w:val="007F702C"/>
    <w:rsid w:val="007F7041"/>
    <w:rsid w:val="007F7066"/>
    <w:rsid w:val="007F706D"/>
    <w:rsid w:val="007F70CE"/>
    <w:rsid w:val="007F7126"/>
    <w:rsid w:val="007F7193"/>
    <w:rsid w:val="007F719F"/>
    <w:rsid w:val="007F721C"/>
    <w:rsid w:val="007F730F"/>
    <w:rsid w:val="007F7313"/>
    <w:rsid w:val="007F73AA"/>
    <w:rsid w:val="007F7447"/>
    <w:rsid w:val="007F745D"/>
    <w:rsid w:val="007F745E"/>
    <w:rsid w:val="007F7484"/>
    <w:rsid w:val="007F749B"/>
    <w:rsid w:val="007F74CB"/>
    <w:rsid w:val="007F74F9"/>
    <w:rsid w:val="007F7517"/>
    <w:rsid w:val="007F7560"/>
    <w:rsid w:val="007F7572"/>
    <w:rsid w:val="007F75A1"/>
    <w:rsid w:val="007F76AD"/>
    <w:rsid w:val="007F76E4"/>
    <w:rsid w:val="007F7740"/>
    <w:rsid w:val="007F77FF"/>
    <w:rsid w:val="007F7801"/>
    <w:rsid w:val="007F788F"/>
    <w:rsid w:val="007F78C8"/>
    <w:rsid w:val="007F78DA"/>
    <w:rsid w:val="007F7914"/>
    <w:rsid w:val="007F7924"/>
    <w:rsid w:val="007F7929"/>
    <w:rsid w:val="007F7A2B"/>
    <w:rsid w:val="007F7AB9"/>
    <w:rsid w:val="007F7ADF"/>
    <w:rsid w:val="007F7C69"/>
    <w:rsid w:val="007F7C6B"/>
    <w:rsid w:val="007F7C84"/>
    <w:rsid w:val="007F7DD3"/>
    <w:rsid w:val="007F7DD4"/>
    <w:rsid w:val="007F7E0C"/>
    <w:rsid w:val="007F7E57"/>
    <w:rsid w:val="007F7F43"/>
    <w:rsid w:val="007F7F67"/>
    <w:rsid w:val="007F7F69"/>
    <w:rsid w:val="007F7F85"/>
    <w:rsid w:val="007F7FEB"/>
    <w:rsid w:val="007F7FFA"/>
    <w:rsid w:val="0080001A"/>
    <w:rsid w:val="008000DF"/>
    <w:rsid w:val="008000E4"/>
    <w:rsid w:val="0080012F"/>
    <w:rsid w:val="0080014E"/>
    <w:rsid w:val="00800165"/>
    <w:rsid w:val="008001B7"/>
    <w:rsid w:val="008001BD"/>
    <w:rsid w:val="00800212"/>
    <w:rsid w:val="00800216"/>
    <w:rsid w:val="0080025D"/>
    <w:rsid w:val="0080028D"/>
    <w:rsid w:val="008002AB"/>
    <w:rsid w:val="008002B1"/>
    <w:rsid w:val="008002BA"/>
    <w:rsid w:val="008002C4"/>
    <w:rsid w:val="00800379"/>
    <w:rsid w:val="008003CC"/>
    <w:rsid w:val="00800457"/>
    <w:rsid w:val="0080046D"/>
    <w:rsid w:val="008004B1"/>
    <w:rsid w:val="00800521"/>
    <w:rsid w:val="008005A5"/>
    <w:rsid w:val="00800661"/>
    <w:rsid w:val="00800714"/>
    <w:rsid w:val="00800760"/>
    <w:rsid w:val="008007CC"/>
    <w:rsid w:val="00800831"/>
    <w:rsid w:val="00800839"/>
    <w:rsid w:val="00800875"/>
    <w:rsid w:val="008008FF"/>
    <w:rsid w:val="0080093B"/>
    <w:rsid w:val="0080096F"/>
    <w:rsid w:val="008009E0"/>
    <w:rsid w:val="00800A1B"/>
    <w:rsid w:val="00800AC0"/>
    <w:rsid w:val="00800B3B"/>
    <w:rsid w:val="00800B85"/>
    <w:rsid w:val="00800B86"/>
    <w:rsid w:val="00800B8D"/>
    <w:rsid w:val="00800D1D"/>
    <w:rsid w:val="00800D39"/>
    <w:rsid w:val="00800D64"/>
    <w:rsid w:val="00800F61"/>
    <w:rsid w:val="00800F6A"/>
    <w:rsid w:val="00800F78"/>
    <w:rsid w:val="00801009"/>
    <w:rsid w:val="0080100B"/>
    <w:rsid w:val="0080105C"/>
    <w:rsid w:val="008010CD"/>
    <w:rsid w:val="00801209"/>
    <w:rsid w:val="00801251"/>
    <w:rsid w:val="00801275"/>
    <w:rsid w:val="00801297"/>
    <w:rsid w:val="0080139B"/>
    <w:rsid w:val="008013D5"/>
    <w:rsid w:val="0080144D"/>
    <w:rsid w:val="008014E7"/>
    <w:rsid w:val="00801574"/>
    <w:rsid w:val="0080162B"/>
    <w:rsid w:val="00801668"/>
    <w:rsid w:val="008016BA"/>
    <w:rsid w:val="0080172D"/>
    <w:rsid w:val="00801743"/>
    <w:rsid w:val="00801751"/>
    <w:rsid w:val="008017F8"/>
    <w:rsid w:val="00801809"/>
    <w:rsid w:val="00801869"/>
    <w:rsid w:val="0080197C"/>
    <w:rsid w:val="008019C6"/>
    <w:rsid w:val="008019D9"/>
    <w:rsid w:val="00801A0A"/>
    <w:rsid w:val="00801A9E"/>
    <w:rsid w:val="00801AF4"/>
    <w:rsid w:val="00801B68"/>
    <w:rsid w:val="00801B6B"/>
    <w:rsid w:val="00801B87"/>
    <w:rsid w:val="00801BA5"/>
    <w:rsid w:val="00801BA8"/>
    <w:rsid w:val="00801BD6"/>
    <w:rsid w:val="00801C47"/>
    <w:rsid w:val="00801CFE"/>
    <w:rsid w:val="00801D3C"/>
    <w:rsid w:val="00801D7D"/>
    <w:rsid w:val="00801D94"/>
    <w:rsid w:val="00801DB0"/>
    <w:rsid w:val="00801DF0"/>
    <w:rsid w:val="00801E79"/>
    <w:rsid w:val="00801E85"/>
    <w:rsid w:val="00801E89"/>
    <w:rsid w:val="00801EC5"/>
    <w:rsid w:val="00801F03"/>
    <w:rsid w:val="00801F06"/>
    <w:rsid w:val="00801F1F"/>
    <w:rsid w:val="00801FE4"/>
    <w:rsid w:val="0080202A"/>
    <w:rsid w:val="008020B2"/>
    <w:rsid w:val="008020D2"/>
    <w:rsid w:val="0080216A"/>
    <w:rsid w:val="00802191"/>
    <w:rsid w:val="008021B0"/>
    <w:rsid w:val="0080226E"/>
    <w:rsid w:val="00802286"/>
    <w:rsid w:val="008022AF"/>
    <w:rsid w:val="008022B2"/>
    <w:rsid w:val="008022C8"/>
    <w:rsid w:val="00802315"/>
    <w:rsid w:val="00802347"/>
    <w:rsid w:val="0080235B"/>
    <w:rsid w:val="00802367"/>
    <w:rsid w:val="0080241C"/>
    <w:rsid w:val="008024AE"/>
    <w:rsid w:val="008024CD"/>
    <w:rsid w:val="008024F8"/>
    <w:rsid w:val="008024FC"/>
    <w:rsid w:val="0080262E"/>
    <w:rsid w:val="00802651"/>
    <w:rsid w:val="00802673"/>
    <w:rsid w:val="00802674"/>
    <w:rsid w:val="0080267F"/>
    <w:rsid w:val="0080268F"/>
    <w:rsid w:val="008026A0"/>
    <w:rsid w:val="008026E6"/>
    <w:rsid w:val="008026EA"/>
    <w:rsid w:val="0080272C"/>
    <w:rsid w:val="00802732"/>
    <w:rsid w:val="00802774"/>
    <w:rsid w:val="008027CA"/>
    <w:rsid w:val="008027FD"/>
    <w:rsid w:val="00802874"/>
    <w:rsid w:val="00802965"/>
    <w:rsid w:val="008029BA"/>
    <w:rsid w:val="008029D3"/>
    <w:rsid w:val="008029DC"/>
    <w:rsid w:val="008029E0"/>
    <w:rsid w:val="00802A1A"/>
    <w:rsid w:val="00802A4E"/>
    <w:rsid w:val="00802AC9"/>
    <w:rsid w:val="00802ACB"/>
    <w:rsid w:val="00802B18"/>
    <w:rsid w:val="00802B2A"/>
    <w:rsid w:val="00802B4E"/>
    <w:rsid w:val="00802BAC"/>
    <w:rsid w:val="00802C24"/>
    <w:rsid w:val="00802C44"/>
    <w:rsid w:val="00802C52"/>
    <w:rsid w:val="00802CAB"/>
    <w:rsid w:val="00802D66"/>
    <w:rsid w:val="00802D6D"/>
    <w:rsid w:val="00802D73"/>
    <w:rsid w:val="00802D8E"/>
    <w:rsid w:val="00802DB4"/>
    <w:rsid w:val="00802E8A"/>
    <w:rsid w:val="00802EC4"/>
    <w:rsid w:val="00802ED1"/>
    <w:rsid w:val="00802F00"/>
    <w:rsid w:val="00802FF0"/>
    <w:rsid w:val="00802FFE"/>
    <w:rsid w:val="0080301B"/>
    <w:rsid w:val="00803041"/>
    <w:rsid w:val="00803136"/>
    <w:rsid w:val="0080321C"/>
    <w:rsid w:val="008032BE"/>
    <w:rsid w:val="00803311"/>
    <w:rsid w:val="008033E0"/>
    <w:rsid w:val="008033E6"/>
    <w:rsid w:val="00803466"/>
    <w:rsid w:val="008034A1"/>
    <w:rsid w:val="00803561"/>
    <w:rsid w:val="00803571"/>
    <w:rsid w:val="00803594"/>
    <w:rsid w:val="008035FF"/>
    <w:rsid w:val="00803621"/>
    <w:rsid w:val="0080362E"/>
    <w:rsid w:val="008036BD"/>
    <w:rsid w:val="008037BE"/>
    <w:rsid w:val="008037F0"/>
    <w:rsid w:val="00803825"/>
    <w:rsid w:val="008038AA"/>
    <w:rsid w:val="00803914"/>
    <w:rsid w:val="0080392B"/>
    <w:rsid w:val="00803A2E"/>
    <w:rsid w:val="00803A6A"/>
    <w:rsid w:val="00803A97"/>
    <w:rsid w:val="00803B15"/>
    <w:rsid w:val="00803B67"/>
    <w:rsid w:val="00803BEB"/>
    <w:rsid w:val="00803C23"/>
    <w:rsid w:val="00803CA5"/>
    <w:rsid w:val="00803CF5"/>
    <w:rsid w:val="00803D2D"/>
    <w:rsid w:val="00803D31"/>
    <w:rsid w:val="00803D79"/>
    <w:rsid w:val="00803D94"/>
    <w:rsid w:val="00803DC1"/>
    <w:rsid w:val="00803E01"/>
    <w:rsid w:val="00803E54"/>
    <w:rsid w:val="00803E59"/>
    <w:rsid w:val="00803E8C"/>
    <w:rsid w:val="00803F24"/>
    <w:rsid w:val="00803F81"/>
    <w:rsid w:val="00803FBF"/>
    <w:rsid w:val="00803FD4"/>
    <w:rsid w:val="00803FF9"/>
    <w:rsid w:val="00804027"/>
    <w:rsid w:val="008040A3"/>
    <w:rsid w:val="00804135"/>
    <w:rsid w:val="0080414A"/>
    <w:rsid w:val="00804195"/>
    <w:rsid w:val="00804248"/>
    <w:rsid w:val="00804256"/>
    <w:rsid w:val="008042DB"/>
    <w:rsid w:val="008042EB"/>
    <w:rsid w:val="00804370"/>
    <w:rsid w:val="008043B7"/>
    <w:rsid w:val="00804467"/>
    <w:rsid w:val="00804587"/>
    <w:rsid w:val="008045BA"/>
    <w:rsid w:val="008045CA"/>
    <w:rsid w:val="008045D2"/>
    <w:rsid w:val="008046BA"/>
    <w:rsid w:val="00804733"/>
    <w:rsid w:val="0080479B"/>
    <w:rsid w:val="008047CD"/>
    <w:rsid w:val="00804809"/>
    <w:rsid w:val="0080486B"/>
    <w:rsid w:val="0080489D"/>
    <w:rsid w:val="0080492C"/>
    <w:rsid w:val="0080493B"/>
    <w:rsid w:val="00804940"/>
    <w:rsid w:val="0080497E"/>
    <w:rsid w:val="008049BB"/>
    <w:rsid w:val="008049D8"/>
    <w:rsid w:val="00804A66"/>
    <w:rsid w:val="00804C1B"/>
    <w:rsid w:val="00804C30"/>
    <w:rsid w:val="00804C6E"/>
    <w:rsid w:val="00804C7D"/>
    <w:rsid w:val="00804C89"/>
    <w:rsid w:val="00804C94"/>
    <w:rsid w:val="00804C9D"/>
    <w:rsid w:val="00804CDD"/>
    <w:rsid w:val="00804CE2"/>
    <w:rsid w:val="00804CEA"/>
    <w:rsid w:val="00804D62"/>
    <w:rsid w:val="00804D65"/>
    <w:rsid w:val="00804D7A"/>
    <w:rsid w:val="00804D8E"/>
    <w:rsid w:val="00804DB7"/>
    <w:rsid w:val="00804DD1"/>
    <w:rsid w:val="00804E77"/>
    <w:rsid w:val="00804F3E"/>
    <w:rsid w:val="00804F85"/>
    <w:rsid w:val="00804FD4"/>
    <w:rsid w:val="00804FF1"/>
    <w:rsid w:val="0080505C"/>
    <w:rsid w:val="008050DF"/>
    <w:rsid w:val="008050F6"/>
    <w:rsid w:val="008051AC"/>
    <w:rsid w:val="00805246"/>
    <w:rsid w:val="00805270"/>
    <w:rsid w:val="00805286"/>
    <w:rsid w:val="008052C4"/>
    <w:rsid w:val="008052C5"/>
    <w:rsid w:val="00805340"/>
    <w:rsid w:val="00805346"/>
    <w:rsid w:val="00805389"/>
    <w:rsid w:val="008053C4"/>
    <w:rsid w:val="00805401"/>
    <w:rsid w:val="00805435"/>
    <w:rsid w:val="0080544A"/>
    <w:rsid w:val="008054F3"/>
    <w:rsid w:val="00805549"/>
    <w:rsid w:val="00805551"/>
    <w:rsid w:val="008055CD"/>
    <w:rsid w:val="0080562C"/>
    <w:rsid w:val="00805650"/>
    <w:rsid w:val="0080566E"/>
    <w:rsid w:val="0080567A"/>
    <w:rsid w:val="008056F3"/>
    <w:rsid w:val="00805741"/>
    <w:rsid w:val="0080576B"/>
    <w:rsid w:val="008057A9"/>
    <w:rsid w:val="008057F9"/>
    <w:rsid w:val="00805800"/>
    <w:rsid w:val="0080583C"/>
    <w:rsid w:val="008058A2"/>
    <w:rsid w:val="00805961"/>
    <w:rsid w:val="008059DE"/>
    <w:rsid w:val="00805A14"/>
    <w:rsid w:val="00805A5C"/>
    <w:rsid w:val="00805A5E"/>
    <w:rsid w:val="00805AE0"/>
    <w:rsid w:val="00805B10"/>
    <w:rsid w:val="00805B43"/>
    <w:rsid w:val="00805B54"/>
    <w:rsid w:val="00805B5F"/>
    <w:rsid w:val="00805BBA"/>
    <w:rsid w:val="00805CAE"/>
    <w:rsid w:val="00805D0A"/>
    <w:rsid w:val="00805D3C"/>
    <w:rsid w:val="00805D96"/>
    <w:rsid w:val="00805E72"/>
    <w:rsid w:val="00805E87"/>
    <w:rsid w:val="00805EFA"/>
    <w:rsid w:val="00805F26"/>
    <w:rsid w:val="00805F50"/>
    <w:rsid w:val="00805F7C"/>
    <w:rsid w:val="00805FB6"/>
    <w:rsid w:val="00805FE1"/>
    <w:rsid w:val="00806019"/>
    <w:rsid w:val="0080603A"/>
    <w:rsid w:val="0080604C"/>
    <w:rsid w:val="00806080"/>
    <w:rsid w:val="008060FB"/>
    <w:rsid w:val="0080610E"/>
    <w:rsid w:val="00806118"/>
    <w:rsid w:val="0080612C"/>
    <w:rsid w:val="00806179"/>
    <w:rsid w:val="0080621B"/>
    <w:rsid w:val="00806298"/>
    <w:rsid w:val="0080631E"/>
    <w:rsid w:val="00806333"/>
    <w:rsid w:val="0080638A"/>
    <w:rsid w:val="00806397"/>
    <w:rsid w:val="0080649A"/>
    <w:rsid w:val="008065A6"/>
    <w:rsid w:val="008065BF"/>
    <w:rsid w:val="008065CF"/>
    <w:rsid w:val="008065E5"/>
    <w:rsid w:val="0080663D"/>
    <w:rsid w:val="0080666F"/>
    <w:rsid w:val="0080668A"/>
    <w:rsid w:val="008066A0"/>
    <w:rsid w:val="008066A2"/>
    <w:rsid w:val="00806704"/>
    <w:rsid w:val="0080676A"/>
    <w:rsid w:val="008067CC"/>
    <w:rsid w:val="008067D2"/>
    <w:rsid w:val="008067EA"/>
    <w:rsid w:val="00806811"/>
    <w:rsid w:val="00806813"/>
    <w:rsid w:val="00806864"/>
    <w:rsid w:val="0080689A"/>
    <w:rsid w:val="00806971"/>
    <w:rsid w:val="00806A50"/>
    <w:rsid w:val="00806A60"/>
    <w:rsid w:val="00806AC4"/>
    <w:rsid w:val="00806AD5"/>
    <w:rsid w:val="00806B69"/>
    <w:rsid w:val="00806C36"/>
    <w:rsid w:val="00806CB9"/>
    <w:rsid w:val="00806D02"/>
    <w:rsid w:val="00806D34"/>
    <w:rsid w:val="00806DDF"/>
    <w:rsid w:val="00806DE2"/>
    <w:rsid w:val="00806DFC"/>
    <w:rsid w:val="00806E24"/>
    <w:rsid w:val="00806F25"/>
    <w:rsid w:val="00806F4E"/>
    <w:rsid w:val="00806F7E"/>
    <w:rsid w:val="00806FD7"/>
    <w:rsid w:val="0080704B"/>
    <w:rsid w:val="0080705F"/>
    <w:rsid w:val="00807072"/>
    <w:rsid w:val="008070B4"/>
    <w:rsid w:val="008070EB"/>
    <w:rsid w:val="00807106"/>
    <w:rsid w:val="0080710D"/>
    <w:rsid w:val="00807141"/>
    <w:rsid w:val="008071B5"/>
    <w:rsid w:val="00807239"/>
    <w:rsid w:val="008072C7"/>
    <w:rsid w:val="008072ED"/>
    <w:rsid w:val="0080738D"/>
    <w:rsid w:val="00807397"/>
    <w:rsid w:val="008073E1"/>
    <w:rsid w:val="00807401"/>
    <w:rsid w:val="0080743E"/>
    <w:rsid w:val="0080747D"/>
    <w:rsid w:val="008074E1"/>
    <w:rsid w:val="0080755F"/>
    <w:rsid w:val="008075F3"/>
    <w:rsid w:val="00807623"/>
    <w:rsid w:val="00807657"/>
    <w:rsid w:val="00807675"/>
    <w:rsid w:val="0080769D"/>
    <w:rsid w:val="008076AC"/>
    <w:rsid w:val="00807735"/>
    <w:rsid w:val="008077B4"/>
    <w:rsid w:val="00807870"/>
    <w:rsid w:val="00807970"/>
    <w:rsid w:val="008079AA"/>
    <w:rsid w:val="008079B5"/>
    <w:rsid w:val="008079B8"/>
    <w:rsid w:val="008079C5"/>
    <w:rsid w:val="008079CF"/>
    <w:rsid w:val="00807A04"/>
    <w:rsid w:val="00807A22"/>
    <w:rsid w:val="00807A34"/>
    <w:rsid w:val="00807A3F"/>
    <w:rsid w:val="00807A74"/>
    <w:rsid w:val="00807AD7"/>
    <w:rsid w:val="00807B2A"/>
    <w:rsid w:val="00807B97"/>
    <w:rsid w:val="00807B99"/>
    <w:rsid w:val="00807BD5"/>
    <w:rsid w:val="00807BDD"/>
    <w:rsid w:val="00807C00"/>
    <w:rsid w:val="00807C71"/>
    <w:rsid w:val="00807C87"/>
    <w:rsid w:val="00807C8B"/>
    <w:rsid w:val="00807CAF"/>
    <w:rsid w:val="00807CB5"/>
    <w:rsid w:val="00807D29"/>
    <w:rsid w:val="00807D34"/>
    <w:rsid w:val="00807D5D"/>
    <w:rsid w:val="00807E11"/>
    <w:rsid w:val="00807E3B"/>
    <w:rsid w:val="00807E8F"/>
    <w:rsid w:val="00807E97"/>
    <w:rsid w:val="00807EBD"/>
    <w:rsid w:val="00807F0B"/>
    <w:rsid w:val="00807F3E"/>
    <w:rsid w:val="00807F41"/>
    <w:rsid w:val="00807FDE"/>
    <w:rsid w:val="00810000"/>
    <w:rsid w:val="0081000B"/>
    <w:rsid w:val="00810039"/>
    <w:rsid w:val="00810041"/>
    <w:rsid w:val="00810050"/>
    <w:rsid w:val="00810073"/>
    <w:rsid w:val="0081009A"/>
    <w:rsid w:val="008100DA"/>
    <w:rsid w:val="00810113"/>
    <w:rsid w:val="00810172"/>
    <w:rsid w:val="008101F5"/>
    <w:rsid w:val="00810242"/>
    <w:rsid w:val="00810282"/>
    <w:rsid w:val="008102A9"/>
    <w:rsid w:val="008102EC"/>
    <w:rsid w:val="00810380"/>
    <w:rsid w:val="008103B6"/>
    <w:rsid w:val="008103CA"/>
    <w:rsid w:val="0081042E"/>
    <w:rsid w:val="0081047C"/>
    <w:rsid w:val="008104A9"/>
    <w:rsid w:val="008104FE"/>
    <w:rsid w:val="008105D3"/>
    <w:rsid w:val="00810604"/>
    <w:rsid w:val="0081067B"/>
    <w:rsid w:val="00810738"/>
    <w:rsid w:val="0081073E"/>
    <w:rsid w:val="00810752"/>
    <w:rsid w:val="0081075C"/>
    <w:rsid w:val="00810762"/>
    <w:rsid w:val="00810798"/>
    <w:rsid w:val="008107BE"/>
    <w:rsid w:val="008107E9"/>
    <w:rsid w:val="00810994"/>
    <w:rsid w:val="008109C5"/>
    <w:rsid w:val="008109D7"/>
    <w:rsid w:val="008109F4"/>
    <w:rsid w:val="00810A00"/>
    <w:rsid w:val="00810A29"/>
    <w:rsid w:val="00810A3C"/>
    <w:rsid w:val="00810A69"/>
    <w:rsid w:val="00810B3B"/>
    <w:rsid w:val="00810C14"/>
    <w:rsid w:val="00810C22"/>
    <w:rsid w:val="00810C54"/>
    <w:rsid w:val="00810C71"/>
    <w:rsid w:val="00810D2D"/>
    <w:rsid w:val="00810D56"/>
    <w:rsid w:val="00810D6E"/>
    <w:rsid w:val="00810DCD"/>
    <w:rsid w:val="00810EB3"/>
    <w:rsid w:val="00810F6B"/>
    <w:rsid w:val="00810FD2"/>
    <w:rsid w:val="00810FD9"/>
    <w:rsid w:val="00811017"/>
    <w:rsid w:val="00811019"/>
    <w:rsid w:val="00811023"/>
    <w:rsid w:val="0081108D"/>
    <w:rsid w:val="00811105"/>
    <w:rsid w:val="00811133"/>
    <w:rsid w:val="00811158"/>
    <w:rsid w:val="0081115B"/>
    <w:rsid w:val="008112AA"/>
    <w:rsid w:val="00811311"/>
    <w:rsid w:val="0081138A"/>
    <w:rsid w:val="00811391"/>
    <w:rsid w:val="008113B8"/>
    <w:rsid w:val="008113DE"/>
    <w:rsid w:val="008113F4"/>
    <w:rsid w:val="0081145C"/>
    <w:rsid w:val="0081146B"/>
    <w:rsid w:val="008114E0"/>
    <w:rsid w:val="008114F5"/>
    <w:rsid w:val="00811518"/>
    <w:rsid w:val="00811547"/>
    <w:rsid w:val="00811565"/>
    <w:rsid w:val="00811601"/>
    <w:rsid w:val="008116EB"/>
    <w:rsid w:val="00811731"/>
    <w:rsid w:val="0081178E"/>
    <w:rsid w:val="00811796"/>
    <w:rsid w:val="008117AE"/>
    <w:rsid w:val="008117F7"/>
    <w:rsid w:val="0081196B"/>
    <w:rsid w:val="0081196F"/>
    <w:rsid w:val="008119BE"/>
    <w:rsid w:val="008119C5"/>
    <w:rsid w:val="008119F4"/>
    <w:rsid w:val="00811A54"/>
    <w:rsid w:val="00811A8B"/>
    <w:rsid w:val="00811AA3"/>
    <w:rsid w:val="00811B7A"/>
    <w:rsid w:val="00811C3C"/>
    <w:rsid w:val="00811C92"/>
    <w:rsid w:val="00811D31"/>
    <w:rsid w:val="00811DA4"/>
    <w:rsid w:val="00811E41"/>
    <w:rsid w:val="00811E53"/>
    <w:rsid w:val="00811EFE"/>
    <w:rsid w:val="00811F4E"/>
    <w:rsid w:val="00811F7F"/>
    <w:rsid w:val="00811FAE"/>
    <w:rsid w:val="00812038"/>
    <w:rsid w:val="00812118"/>
    <w:rsid w:val="008121AA"/>
    <w:rsid w:val="00812319"/>
    <w:rsid w:val="00812348"/>
    <w:rsid w:val="008123D9"/>
    <w:rsid w:val="0081245B"/>
    <w:rsid w:val="00812484"/>
    <w:rsid w:val="00812491"/>
    <w:rsid w:val="008124A7"/>
    <w:rsid w:val="008124EC"/>
    <w:rsid w:val="008124FD"/>
    <w:rsid w:val="00812546"/>
    <w:rsid w:val="008125B3"/>
    <w:rsid w:val="00812628"/>
    <w:rsid w:val="00812658"/>
    <w:rsid w:val="00812688"/>
    <w:rsid w:val="008126A4"/>
    <w:rsid w:val="008126D4"/>
    <w:rsid w:val="008126DB"/>
    <w:rsid w:val="008126E7"/>
    <w:rsid w:val="00812746"/>
    <w:rsid w:val="00812768"/>
    <w:rsid w:val="00812846"/>
    <w:rsid w:val="008128B1"/>
    <w:rsid w:val="008128B4"/>
    <w:rsid w:val="008128F6"/>
    <w:rsid w:val="008128FD"/>
    <w:rsid w:val="00812940"/>
    <w:rsid w:val="0081296A"/>
    <w:rsid w:val="00812A07"/>
    <w:rsid w:val="00812A89"/>
    <w:rsid w:val="00812AD1"/>
    <w:rsid w:val="00812B49"/>
    <w:rsid w:val="00812C06"/>
    <w:rsid w:val="00812C16"/>
    <w:rsid w:val="00812C25"/>
    <w:rsid w:val="00812C69"/>
    <w:rsid w:val="00812CBB"/>
    <w:rsid w:val="00812D91"/>
    <w:rsid w:val="00812DEF"/>
    <w:rsid w:val="00812E01"/>
    <w:rsid w:val="00812E35"/>
    <w:rsid w:val="00812ECB"/>
    <w:rsid w:val="00812EE4"/>
    <w:rsid w:val="00812FAD"/>
    <w:rsid w:val="00813021"/>
    <w:rsid w:val="0081305D"/>
    <w:rsid w:val="00813114"/>
    <w:rsid w:val="0081311F"/>
    <w:rsid w:val="0081313A"/>
    <w:rsid w:val="0081319E"/>
    <w:rsid w:val="008131DA"/>
    <w:rsid w:val="008131ED"/>
    <w:rsid w:val="00813215"/>
    <w:rsid w:val="0081321F"/>
    <w:rsid w:val="00813230"/>
    <w:rsid w:val="00813346"/>
    <w:rsid w:val="00813350"/>
    <w:rsid w:val="008133C2"/>
    <w:rsid w:val="00813418"/>
    <w:rsid w:val="00813571"/>
    <w:rsid w:val="0081358A"/>
    <w:rsid w:val="0081358D"/>
    <w:rsid w:val="00813646"/>
    <w:rsid w:val="0081365A"/>
    <w:rsid w:val="00813669"/>
    <w:rsid w:val="0081367E"/>
    <w:rsid w:val="0081369B"/>
    <w:rsid w:val="008136A7"/>
    <w:rsid w:val="00813769"/>
    <w:rsid w:val="008137A8"/>
    <w:rsid w:val="008137FB"/>
    <w:rsid w:val="00813820"/>
    <w:rsid w:val="00813842"/>
    <w:rsid w:val="00813867"/>
    <w:rsid w:val="008138FA"/>
    <w:rsid w:val="00813A1D"/>
    <w:rsid w:val="00813A33"/>
    <w:rsid w:val="00813AE2"/>
    <w:rsid w:val="00813B1B"/>
    <w:rsid w:val="00813B2B"/>
    <w:rsid w:val="00813BF7"/>
    <w:rsid w:val="00813C17"/>
    <w:rsid w:val="00813C91"/>
    <w:rsid w:val="00813DAA"/>
    <w:rsid w:val="00813DF3"/>
    <w:rsid w:val="00813E7A"/>
    <w:rsid w:val="00813ED5"/>
    <w:rsid w:val="00813FE4"/>
    <w:rsid w:val="0081403F"/>
    <w:rsid w:val="0081406B"/>
    <w:rsid w:val="008140AC"/>
    <w:rsid w:val="00814112"/>
    <w:rsid w:val="0081417E"/>
    <w:rsid w:val="0081418A"/>
    <w:rsid w:val="008141D1"/>
    <w:rsid w:val="008141F1"/>
    <w:rsid w:val="00814269"/>
    <w:rsid w:val="00814294"/>
    <w:rsid w:val="008142DE"/>
    <w:rsid w:val="00814355"/>
    <w:rsid w:val="00814378"/>
    <w:rsid w:val="00814381"/>
    <w:rsid w:val="0081447F"/>
    <w:rsid w:val="00814565"/>
    <w:rsid w:val="008145C9"/>
    <w:rsid w:val="00814628"/>
    <w:rsid w:val="0081467E"/>
    <w:rsid w:val="008146AC"/>
    <w:rsid w:val="008146DE"/>
    <w:rsid w:val="00814704"/>
    <w:rsid w:val="0081477A"/>
    <w:rsid w:val="008147D7"/>
    <w:rsid w:val="0081480F"/>
    <w:rsid w:val="0081487D"/>
    <w:rsid w:val="00814880"/>
    <w:rsid w:val="008148FC"/>
    <w:rsid w:val="008149DD"/>
    <w:rsid w:val="008149E4"/>
    <w:rsid w:val="00814A82"/>
    <w:rsid w:val="00814AE2"/>
    <w:rsid w:val="00814B5E"/>
    <w:rsid w:val="00814BE2"/>
    <w:rsid w:val="00814C66"/>
    <w:rsid w:val="00814C9B"/>
    <w:rsid w:val="00814D8B"/>
    <w:rsid w:val="00814DB1"/>
    <w:rsid w:val="00814E0E"/>
    <w:rsid w:val="00814E3C"/>
    <w:rsid w:val="00814E87"/>
    <w:rsid w:val="00814ECA"/>
    <w:rsid w:val="00814ECB"/>
    <w:rsid w:val="00814F0D"/>
    <w:rsid w:val="00814F95"/>
    <w:rsid w:val="00815049"/>
    <w:rsid w:val="00815073"/>
    <w:rsid w:val="0081507B"/>
    <w:rsid w:val="008150DC"/>
    <w:rsid w:val="008150EC"/>
    <w:rsid w:val="00815115"/>
    <w:rsid w:val="00815118"/>
    <w:rsid w:val="00815124"/>
    <w:rsid w:val="00815146"/>
    <w:rsid w:val="0081521C"/>
    <w:rsid w:val="00815295"/>
    <w:rsid w:val="008153F0"/>
    <w:rsid w:val="00815400"/>
    <w:rsid w:val="00815436"/>
    <w:rsid w:val="0081546B"/>
    <w:rsid w:val="008154C2"/>
    <w:rsid w:val="0081552C"/>
    <w:rsid w:val="008155CE"/>
    <w:rsid w:val="008156B9"/>
    <w:rsid w:val="008156D5"/>
    <w:rsid w:val="008156DB"/>
    <w:rsid w:val="008156E7"/>
    <w:rsid w:val="008156F4"/>
    <w:rsid w:val="00815743"/>
    <w:rsid w:val="0081574D"/>
    <w:rsid w:val="00815807"/>
    <w:rsid w:val="00815842"/>
    <w:rsid w:val="00815891"/>
    <w:rsid w:val="0081599F"/>
    <w:rsid w:val="008159C2"/>
    <w:rsid w:val="008159DF"/>
    <w:rsid w:val="00815A02"/>
    <w:rsid w:val="00815A21"/>
    <w:rsid w:val="00815ADE"/>
    <w:rsid w:val="00815AEB"/>
    <w:rsid w:val="00815B29"/>
    <w:rsid w:val="00815BD4"/>
    <w:rsid w:val="00815BD5"/>
    <w:rsid w:val="00815BE1"/>
    <w:rsid w:val="00815C0C"/>
    <w:rsid w:val="00815C26"/>
    <w:rsid w:val="00815CB9"/>
    <w:rsid w:val="00815CE1"/>
    <w:rsid w:val="00815D40"/>
    <w:rsid w:val="00815D70"/>
    <w:rsid w:val="00815D99"/>
    <w:rsid w:val="00815E2D"/>
    <w:rsid w:val="00815E4A"/>
    <w:rsid w:val="00815E87"/>
    <w:rsid w:val="00815ECD"/>
    <w:rsid w:val="00815EFC"/>
    <w:rsid w:val="00815F5C"/>
    <w:rsid w:val="00815F91"/>
    <w:rsid w:val="00815FAB"/>
    <w:rsid w:val="00815FBB"/>
    <w:rsid w:val="008160A7"/>
    <w:rsid w:val="008160EB"/>
    <w:rsid w:val="0081621D"/>
    <w:rsid w:val="00816265"/>
    <w:rsid w:val="0081627C"/>
    <w:rsid w:val="008163DF"/>
    <w:rsid w:val="008163F1"/>
    <w:rsid w:val="00816563"/>
    <w:rsid w:val="00816581"/>
    <w:rsid w:val="008165A1"/>
    <w:rsid w:val="008165C7"/>
    <w:rsid w:val="008165E3"/>
    <w:rsid w:val="008165F9"/>
    <w:rsid w:val="00816710"/>
    <w:rsid w:val="00816749"/>
    <w:rsid w:val="0081675C"/>
    <w:rsid w:val="00816786"/>
    <w:rsid w:val="008167B2"/>
    <w:rsid w:val="008167BF"/>
    <w:rsid w:val="008167D0"/>
    <w:rsid w:val="00816900"/>
    <w:rsid w:val="0081690F"/>
    <w:rsid w:val="00816936"/>
    <w:rsid w:val="00816950"/>
    <w:rsid w:val="0081695C"/>
    <w:rsid w:val="0081698A"/>
    <w:rsid w:val="00816990"/>
    <w:rsid w:val="008169E3"/>
    <w:rsid w:val="008169ED"/>
    <w:rsid w:val="00816A4A"/>
    <w:rsid w:val="00816A7A"/>
    <w:rsid w:val="00816B14"/>
    <w:rsid w:val="00816B2F"/>
    <w:rsid w:val="00816BB9"/>
    <w:rsid w:val="00816BED"/>
    <w:rsid w:val="00816C51"/>
    <w:rsid w:val="00816C54"/>
    <w:rsid w:val="00816CEC"/>
    <w:rsid w:val="00816D1D"/>
    <w:rsid w:val="00816D1F"/>
    <w:rsid w:val="00816D47"/>
    <w:rsid w:val="00816DBF"/>
    <w:rsid w:val="00816DC8"/>
    <w:rsid w:val="00816E6E"/>
    <w:rsid w:val="00816F34"/>
    <w:rsid w:val="00816FC4"/>
    <w:rsid w:val="00817005"/>
    <w:rsid w:val="00817057"/>
    <w:rsid w:val="008170DC"/>
    <w:rsid w:val="0081710E"/>
    <w:rsid w:val="00817142"/>
    <w:rsid w:val="008171FD"/>
    <w:rsid w:val="0081722A"/>
    <w:rsid w:val="008172B2"/>
    <w:rsid w:val="00817354"/>
    <w:rsid w:val="008173F3"/>
    <w:rsid w:val="00817431"/>
    <w:rsid w:val="00817465"/>
    <w:rsid w:val="008174A9"/>
    <w:rsid w:val="00817507"/>
    <w:rsid w:val="00817546"/>
    <w:rsid w:val="00817558"/>
    <w:rsid w:val="008175CA"/>
    <w:rsid w:val="008175FB"/>
    <w:rsid w:val="00817642"/>
    <w:rsid w:val="00817664"/>
    <w:rsid w:val="00817667"/>
    <w:rsid w:val="008176C8"/>
    <w:rsid w:val="008176D5"/>
    <w:rsid w:val="008176F5"/>
    <w:rsid w:val="00817790"/>
    <w:rsid w:val="00817826"/>
    <w:rsid w:val="008178F1"/>
    <w:rsid w:val="008179EB"/>
    <w:rsid w:val="00817A09"/>
    <w:rsid w:val="00817A46"/>
    <w:rsid w:val="00817A7B"/>
    <w:rsid w:val="00817B43"/>
    <w:rsid w:val="00817B44"/>
    <w:rsid w:val="00817B61"/>
    <w:rsid w:val="00817B68"/>
    <w:rsid w:val="00817B8E"/>
    <w:rsid w:val="00817B9F"/>
    <w:rsid w:val="00817BE2"/>
    <w:rsid w:val="00817BE8"/>
    <w:rsid w:val="00817BF0"/>
    <w:rsid w:val="00817C21"/>
    <w:rsid w:val="00817C37"/>
    <w:rsid w:val="00817C3E"/>
    <w:rsid w:val="00817C9A"/>
    <w:rsid w:val="00817D07"/>
    <w:rsid w:val="00817D92"/>
    <w:rsid w:val="00817DA9"/>
    <w:rsid w:val="00817DE2"/>
    <w:rsid w:val="00817E35"/>
    <w:rsid w:val="00817E92"/>
    <w:rsid w:val="00817F94"/>
    <w:rsid w:val="00820020"/>
    <w:rsid w:val="00820034"/>
    <w:rsid w:val="0082004B"/>
    <w:rsid w:val="0082008F"/>
    <w:rsid w:val="008200B1"/>
    <w:rsid w:val="008200E6"/>
    <w:rsid w:val="00820261"/>
    <w:rsid w:val="00820277"/>
    <w:rsid w:val="00820286"/>
    <w:rsid w:val="0082029A"/>
    <w:rsid w:val="0082032B"/>
    <w:rsid w:val="0082035A"/>
    <w:rsid w:val="00820370"/>
    <w:rsid w:val="00820374"/>
    <w:rsid w:val="0082043E"/>
    <w:rsid w:val="00820468"/>
    <w:rsid w:val="00820499"/>
    <w:rsid w:val="008204C1"/>
    <w:rsid w:val="008204E0"/>
    <w:rsid w:val="00820569"/>
    <w:rsid w:val="00820570"/>
    <w:rsid w:val="0082057A"/>
    <w:rsid w:val="0082062B"/>
    <w:rsid w:val="00820637"/>
    <w:rsid w:val="0082064C"/>
    <w:rsid w:val="008206AA"/>
    <w:rsid w:val="00820751"/>
    <w:rsid w:val="00820798"/>
    <w:rsid w:val="0082084D"/>
    <w:rsid w:val="00820950"/>
    <w:rsid w:val="008209CE"/>
    <w:rsid w:val="00820A6B"/>
    <w:rsid w:val="00820A8D"/>
    <w:rsid w:val="00820A92"/>
    <w:rsid w:val="00820AD1"/>
    <w:rsid w:val="00820AE8"/>
    <w:rsid w:val="00820AE9"/>
    <w:rsid w:val="00820B69"/>
    <w:rsid w:val="00820B76"/>
    <w:rsid w:val="00820B78"/>
    <w:rsid w:val="00820BA3"/>
    <w:rsid w:val="00820BC8"/>
    <w:rsid w:val="00820BF3"/>
    <w:rsid w:val="00820CCC"/>
    <w:rsid w:val="00820D4E"/>
    <w:rsid w:val="00820D93"/>
    <w:rsid w:val="00820DC1"/>
    <w:rsid w:val="00820DE3"/>
    <w:rsid w:val="00820DE5"/>
    <w:rsid w:val="00820E15"/>
    <w:rsid w:val="00820E4B"/>
    <w:rsid w:val="00820E78"/>
    <w:rsid w:val="00820EC3"/>
    <w:rsid w:val="00820EEE"/>
    <w:rsid w:val="00820F3F"/>
    <w:rsid w:val="00820F80"/>
    <w:rsid w:val="00820FA3"/>
    <w:rsid w:val="00820FD4"/>
    <w:rsid w:val="0082108B"/>
    <w:rsid w:val="00821093"/>
    <w:rsid w:val="008210CF"/>
    <w:rsid w:val="0082110A"/>
    <w:rsid w:val="0082110F"/>
    <w:rsid w:val="00821183"/>
    <w:rsid w:val="008211A1"/>
    <w:rsid w:val="008211A5"/>
    <w:rsid w:val="00821237"/>
    <w:rsid w:val="00821242"/>
    <w:rsid w:val="008213B6"/>
    <w:rsid w:val="008213C9"/>
    <w:rsid w:val="008213F7"/>
    <w:rsid w:val="00821477"/>
    <w:rsid w:val="00821484"/>
    <w:rsid w:val="0082151F"/>
    <w:rsid w:val="00821592"/>
    <w:rsid w:val="008215AA"/>
    <w:rsid w:val="0082164E"/>
    <w:rsid w:val="008217AB"/>
    <w:rsid w:val="0082180F"/>
    <w:rsid w:val="00821832"/>
    <w:rsid w:val="00821853"/>
    <w:rsid w:val="00821934"/>
    <w:rsid w:val="008219E5"/>
    <w:rsid w:val="008219F8"/>
    <w:rsid w:val="00821A22"/>
    <w:rsid w:val="00821A26"/>
    <w:rsid w:val="00821A5A"/>
    <w:rsid w:val="00821A9C"/>
    <w:rsid w:val="00821B09"/>
    <w:rsid w:val="00821B21"/>
    <w:rsid w:val="00821B39"/>
    <w:rsid w:val="00821B75"/>
    <w:rsid w:val="00821BCD"/>
    <w:rsid w:val="00821BDA"/>
    <w:rsid w:val="00821C33"/>
    <w:rsid w:val="00821CA2"/>
    <w:rsid w:val="00821CDA"/>
    <w:rsid w:val="00821D56"/>
    <w:rsid w:val="00821E02"/>
    <w:rsid w:val="00821E23"/>
    <w:rsid w:val="00821E54"/>
    <w:rsid w:val="00821FE6"/>
    <w:rsid w:val="0082202F"/>
    <w:rsid w:val="008220EB"/>
    <w:rsid w:val="00822106"/>
    <w:rsid w:val="00822149"/>
    <w:rsid w:val="008221D8"/>
    <w:rsid w:val="008222B8"/>
    <w:rsid w:val="008222C1"/>
    <w:rsid w:val="00822319"/>
    <w:rsid w:val="0082234A"/>
    <w:rsid w:val="00822392"/>
    <w:rsid w:val="008223C9"/>
    <w:rsid w:val="0082247E"/>
    <w:rsid w:val="008224A5"/>
    <w:rsid w:val="008224C3"/>
    <w:rsid w:val="00822537"/>
    <w:rsid w:val="00822541"/>
    <w:rsid w:val="00822608"/>
    <w:rsid w:val="00822618"/>
    <w:rsid w:val="008226DC"/>
    <w:rsid w:val="0082275B"/>
    <w:rsid w:val="008227BF"/>
    <w:rsid w:val="00822847"/>
    <w:rsid w:val="0082284E"/>
    <w:rsid w:val="0082286E"/>
    <w:rsid w:val="008228ED"/>
    <w:rsid w:val="00822954"/>
    <w:rsid w:val="00822A45"/>
    <w:rsid w:val="00822A50"/>
    <w:rsid w:val="00822A65"/>
    <w:rsid w:val="00822A82"/>
    <w:rsid w:val="00822ACB"/>
    <w:rsid w:val="00822B8D"/>
    <w:rsid w:val="00822B95"/>
    <w:rsid w:val="00822C1B"/>
    <w:rsid w:val="00822CDD"/>
    <w:rsid w:val="00822D74"/>
    <w:rsid w:val="00822DD1"/>
    <w:rsid w:val="00822F18"/>
    <w:rsid w:val="00822F57"/>
    <w:rsid w:val="00822F9F"/>
    <w:rsid w:val="00823064"/>
    <w:rsid w:val="008230D5"/>
    <w:rsid w:val="00823100"/>
    <w:rsid w:val="0082313C"/>
    <w:rsid w:val="00823159"/>
    <w:rsid w:val="008231A7"/>
    <w:rsid w:val="008231AA"/>
    <w:rsid w:val="0082321E"/>
    <w:rsid w:val="00823261"/>
    <w:rsid w:val="00823279"/>
    <w:rsid w:val="0082328A"/>
    <w:rsid w:val="008232AF"/>
    <w:rsid w:val="008232E0"/>
    <w:rsid w:val="0082332F"/>
    <w:rsid w:val="00823380"/>
    <w:rsid w:val="0082341B"/>
    <w:rsid w:val="00823429"/>
    <w:rsid w:val="0082358B"/>
    <w:rsid w:val="0082358F"/>
    <w:rsid w:val="008235C9"/>
    <w:rsid w:val="00823618"/>
    <w:rsid w:val="0082363C"/>
    <w:rsid w:val="0082373E"/>
    <w:rsid w:val="00823779"/>
    <w:rsid w:val="0082377D"/>
    <w:rsid w:val="0082395C"/>
    <w:rsid w:val="008239B5"/>
    <w:rsid w:val="008239B6"/>
    <w:rsid w:val="008239B8"/>
    <w:rsid w:val="008239DB"/>
    <w:rsid w:val="00823A47"/>
    <w:rsid w:val="00823A88"/>
    <w:rsid w:val="00823AF2"/>
    <w:rsid w:val="00823B73"/>
    <w:rsid w:val="00823BBC"/>
    <w:rsid w:val="00823C0C"/>
    <w:rsid w:val="00823C44"/>
    <w:rsid w:val="00823CDB"/>
    <w:rsid w:val="00823D03"/>
    <w:rsid w:val="00823DAA"/>
    <w:rsid w:val="00823E36"/>
    <w:rsid w:val="00823E40"/>
    <w:rsid w:val="00823F4E"/>
    <w:rsid w:val="00823FFD"/>
    <w:rsid w:val="008240AE"/>
    <w:rsid w:val="00824125"/>
    <w:rsid w:val="008241D3"/>
    <w:rsid w:val="0082426C"/>
    <w:rsid w:val="00824280"/>
    <w:rsid w:val="008242AC"/>
    <w:rsid w:val="00824302"/>
    <w:rsid w:val="0082430F"/>
    <w:rsid w:val="00824346"/>
    <w:rsid w:val="008243BC"/>
    <w:rsid w:val="008243C9"/>
    <w:rsid w:val="008243E6"/>
    <w:rsid w:val="00824408"/>
    <w:rsid w:val="0082441B"/>
    <w:rsid w:val="0082442A"/>
    <w:rsid w:val="0082445C"/>
    <w:rsid w:val="00824464"/>
    <w:rsid w:val="008244ED"/>
    <w:rsid w:val="0082452D"/>
    <w:rsid w:val="0082469F"/>
    <w:rsid w:val="008246D0"/>
    <w:rsid w:val="00824834"/>
    <w:rsid w:val="008248DB"/>
    <w:rsid w:val="0082495D"/>
    <w:rsid w:val="00824A20"/>
    <w:rsid w:val="00824AA1"/>
    <w:rsid w:val="00824B15"/>
    <w:rsid w:val="00824B4A"/>
    <w:rsid w:val="00824B8C"/>
    <w:rsid w:val="00824BA2"/>
    <w:rsid w:val="00824BA3"/>
    <w:rsid w:val="00824C11"/>
    <w:rsid w:val="00824C1E"/>
    <w:rsid w:val="00824C48"/>
    <w:rsid w:val="00824C9B"/>
    <w:rsid w:val="00824CED"/>
    <w:rsid w:val="00824D3B"/>
    <w:rsid w:val="00824D61"/>
    <w:rsid w:val="00824DAF"/>
    <w:rsid w:val="00824DC8"/>
    <w:rsid w:val="00824DDF"/>
    <w:rsid w:val="00824E07"/>
    <w:rsid w:val="00824E77"/>
    <w:rsid w:val="00824EAE"/>
    <w:rsid w:val="00824EDF"/>
    <w:rsid w:val="00824EEE"/>
    <w:rsid w:val="00824F17"/>
    <w:rsid w:val="00824F34"/>
    <w:rsid w:val="00824F9E"/>
    <w:rsid w:val="00825019"/>
    <w:rsid w:val="00825069"/>
    <w:rsid w:val="008250E0"/>
    <w:rsid w:val="00825147"/>
    <w:rsid w:val="0082517A"/>
    <w:rsid w:val="00825182"/>
    <w:rsid w:val="008251BC"/>
    <w:rsid w:val="008252CE"/>
    <w:rsid w:val="008252F6"/>
    <w:rsid w:val="00825308"/>
    <w:rsid w:val="00825382"/>
    <w:rsid w:val="008253CB"/>
    <w:rsid w:val="008253EF"/>
    <w:rsid w:val="00825415"/>
    <w:rsid w:val="00825449"/>
    <w:rsid w:val="0082546F"/>
    <w:rsid w:val="0082548A"/>
    <w:rsid w:val="008254A9"/>
    <w:rsid w:val="00825574"/>
    <w:rsid w:val="008255A6"/>
    <w:rsid w:val="008255D0"/>
    <w:rsid w:val="00825741"/>
    <w:rsid w:val="0082574F"/>
    <w:rsid w:val="008257F4"/>
    <w:rsid w:val="00825869"/>
    <w:rsid w:val="0082588D"/>
    <w:rsid w:val="008258CF"/>
    <w:rsid w:val="008258D0"/>
    <w:rsid w:val="008258D6"/>
    <w:rsid w:val="0082598B"/>
    <w:rsid w:val="00825992"/>
    <w:rsid w:val="008259C1"/>
    <w:rsid w:val="00825A25"/>
    <w:rsid w:val="00825BE6"/>
    <w:rsid w:val="00825CE5"/>
    <w:rsid w:val="00825CEB"/>
    <w:rsid w:val="00825CEC"/>
    <w:rsid w:val="00825D9B"/>
    <w:rsid w:val="00825E04"/>
    <w:rsid w:val="00825E44"/>
    <w:rsid w:val="00825EAC"/>
    <w:rsid w:val="00825F69"/>
    <w:rsid w:val="00825F71"/>
    <w:rsid w:val="00825FF1"/>
    <w:rsid w:val="00825FFF"/>
    <w:rsid w:val="00826011"/>
    <w:rsid w:val="0082602A"/>
    <w:rsid w:val="0082603D"/>
    <w:rsid w:val="0082610D"/>
    <w:rsid w:val="00826118"/>
    <w:rsid w:val="00826172"/>
    <w:rsid w:val="00826263"/>
    <w:rsid w:val="0082627A"/>
    <w:rsid w:val="0082631F"/>
    <w:rsid w:val="0082632B"/>
    <w:rsid w:val="008263F8"/>
    <w:rsid w:val="00826483"/>
    <w:rsid w:val="00826486"/>
    <w:rsid w:val="008264A0"/>
    <w:rsid w:val="0082652B"/>
    <w:rsid w:val="00826531"/>
    <w:rsid w:val="0082653B"/>
    <w:rsid w:val="00826540"/>
    <w:rsid w:val="00826560"/>
    <w:rsid w:val="00826564"/>
    <w:rsid w:val="008265A0"/>
    <w:rsid w:val="00826633"/>
    <w:rsid w:val="00826773"/>
    <w:rsid w:val="0082678A"/>
    <w:rsid w:val="0082678C"/>
    <w:rsid w:val="0082678E"/>
    <w:rsid w:val="008267B5"/>
    <w:rsid w:val="0082685C"/>
    <w:rsid w:val="0082686E"/>
    <w:rsid w:val="008268A3"/>
    <w:rsid w:val="0082690F"/>
    <w:rsid w:val="0082692B"/>
    <w:rsid w:val="0082699F"/>
    <w:rsid w:val="008269AE"/>
    <w:rsid w:val="008269CF"/>
    <w:rsid w:val="008269DB"/>
    <w:rsid w:val="00826A31"/>
    <w:rsid w:val="00826A5C"/>
    <w:rsid w:val="00826A6D"/>
    <w:rsid w:val="00826A9A"/>
    <w:rsid w:val="00826B77"/>
    <w:rsid w:val="00826BBA"/>
    <w:rsid w:val="00826BCE"/>
    <w:rsid w:val="00826BF8"/>
    <w:rsid w:val="00826C04"/>
    <w:rsid w:val="00826CAB"/>
    <w:rsid w:val="00826D0F"/>
    <w:rsid w:val="00826D57"/>
    <w:rsid w:val="00826D65"/>
    <w:rsid w:val="00826D93"/>
    <w:rsid w:val="00826DC3"/>
    <w:rsid w:val="00826DEC"/>
    <w:rsid w:val="00826DF5"/>
    <w:rsid w:val="00826E02"/>
    <w:rsid w:val="00826E54"/>
    <w:rsid w:val="00826F57"/>
    <w:rsid w:val="00826FAF"/>
    <w:rsid w:val="00826FB9"/>
    <w:rsid w:val="00826FCC"/>
    <w:rsid w:val="0082716E"/>
    <w:rsid w:val="0082718D"/>
    <w:rsid w:val="0082719A"/>
    <w:rsid w:val="008271AF"/>
    <w:rsid w:val="008271CF"/>
    <w:rsid w:val="008271FF"/>
    <w:rsid w:val="0082723E"/>
    <w:rsid w:val="008272C2"/>
    <w:rsid w:val="008272C8"/>
    <w:rsid w:val="008272CD"/>
    <w:rsid w:val="008272F3"/>
    <w:rsid w:val="008272FB"/>
    <w:rsid w:val="0082735B"/>
    <w:rsid w:val="008273C5"/>
    <w:rsid w:val="00827448"/>
    <w:rsid w:val="008274EF"/>
    <w:rsid w:val="00827575"/>
    <w:rsid w:val="00827585"/>
    <w:rsid w:val="00827627"/>
    <w:rsid w:val="00827662"/>
    <w:rsid w:val="0082766F"/>
    <w:rsid w:val="008276AD"/>
    <w:rsid w:val="008276DC"/>
    <w:rsid w:val="00827717"/>
    <w:rsid w:val="00827719"/>
    <w:rsid w:val="0082774F"/>
    <w:rsid w:val="008277B3"/>
    <w:rsid w:val="0082785D"/>
    <w:rsid w:val="00827A11"/>
    <w:rsid w:val="00827A44"/>
    <w:rsid w:val="00827A6D"/>
    <w:rsid w:val="00827A6E"/>
    <w:rsid w:val="00827A7A"/>
    <w:rsid w:val="00827A83"/>
    <w:rsid w:val="00827AB0"/>
    <w:rsid w:val="00827AB4"/>
    <w:rsid w:val="00827AF5"/>
    <w:rsid w:val="00827B57"/>
    <w:rsid w:val="00827B5C"/>
    <w:rsid w:val="00827B63"/>
    <w:rsid w:val="00827B71"/>
    <w:rsid w:val="00827B7E"/>
    <w:rsid w:val="00827B84"/>
    <w:rsid w:val="00827BFA"/>
    <w:rsid w:val="00827C3D"/>
    <w:rsid w:val="00827C7F"/>
    <w:rsid w:val="00827C96"/>
    <w:rsid w:val="00827D29"/>
    <w:rsid w:val="00827D50"/>
    <w:rsid w:val="00827D8D"/>
    <w:rsid w:val="00827E7B"/>
    <w:rsid w:val="00827F64"/>
    <w:rsid w:val="00827FFE"/>
    <w:rsid w:val="0083000D"/>
    <w:rsid w:val="0083003D"/>
    <w:rsid w:val="0083006A"/>
    <w:rsid w:val="008300F1"/>
    <w:rsid w:val="00830120"/>
    <w:rsid w:val="00830181"/>
    <w:rsid w:val="008301AB"/>
    <w:rsid w:val="0083027E"/>
    <w:rsid w:val="00830280"/>
    <w:rsid w:val="00830344"/>
    <w:rsid w:val="00830493"/>
    <w:rsid w:val="008304BB"/>
    <w:rsid w:val="0083053F"/>
    <w:rsid w:val="008305F2"/>
    <w:rsid w:val="00830646"/>
    <w:rsid w:val="0083069F"/>
    <w:rsid w:val="00830779"/>
    <w:rsid w:val="00830847"/>
    <w:rsid w:val="0083087F"/>
    <w:rsid w:val="00830897"/>
    <w:rsid w:val="00830923"/>
    <w:rsid w:val="00830925"/>
    <w:rsid w:val="00830968"/>
    <w:rsid w:val="00830996"/>
    <w:rsid w:val="008309B2"/>
    <w:rsid w:val="00830A22"/>
    <w:rsid w:val="00830A23"/>
    <w:rsid w:val="00830A75"/>
    <w:rsid w:val="00830B86"/>
    <w:rsid w:val="00830B8E"/>
    <w:rsid w:val="00830BCE"/>
    <w:rsid w:val="00830BFD"/>
    <w:rsid w:val="00830C36"/>
    <w:rsid w:val="00830C6F"/>
    <w:rsid w:val="00830C97"/>
    <w:rsid w:val="00830D05"/>
    <w:rsid w:val="00830D1C"/>
    <w:rsid w:val="00830D96"/>
    <w:rsid w:val="00830DAA"/>
    <w:rsid w:val="00830DDF"/>
    <w:rsid w:val="00830E5A"/>
    <w:rsid w:val="00830E6E"/>
    <w:rsid w:val="00830F7D"/>
    <w:rsid w:val="00831015"/>
    <w:rsid w:val="00831062"/>
    <w:rsid w:val="008310B7"/>
    <w:rsid w:val="00831118"/>
    <w:rsid w:val="00831147"/>
    <w:rsid w:val="00831188"/>
    <w:rsid w:val="0083118D"/>
    <w:rsid w:val="008311B8"/>
    <w:rsid w:val="00831226"/>
    <w:rsid w:val="0083122B"/>
    <w:rsid w:val="0083124C"/>
    <w:rsid w:val="0083127D"/>
    <w:rsid w:val="00831282"/>
    <w:rsid w:val="008312F8"/>
    <w:rsid w:val="0083132A"/>
    <w:rsid w:val="0083135D"/>
    <w:rsid w:val="00831369"/>
    <w:rsid w:val="008313C1"/>
    <w:rsid w:val="008313E4"/>
    <w:rsid w:val="008313E6"/>
    <w:rsid w:val="008314E1"/>
    <w:rsid w:val="0083155E"/>
    <w:rsid w:val="00831571"/>
    <w:rsid w:val="00831587"/>
    <w:rsid w:val="0083165D"/>
    <w:rsid w:val="00831692"/>
    <w:rsid w:val="008317E8"/>
    <w:rsid w:val="008317F8"/>
    <w:rsid w:val="00831818"/>
    <w:rsid w:val="008318A1"/>
    <w:rsid w:val="008318E1"/>
    <w:rsid w:val="00831956"/>
    <w:rsid w:val="0083195E"/>
    <w:rsid w:val="00831984"/>
    <w:rsid w:val="0083199B"/>
    <w:rsid w:val="008319AC"/>
    <w:rsid w:val="008319F1"/>
    <w:rsid w:val="00831AA6"/>
    <w:rsid w:val="00831AC7"/>
    <w:rsid w:val="00831C0A"/>
    <w:rsid w:val="00831C23"/>
    <w:rsid w:val="00831C33"/>
    <w:rsid w:val="00831C58"/>
    <w:rsid w:val="00831CA3"/>
    <w:rsid w:val="00831DDC"/>
    <w:rsid w:val="00831EE0"/>
    <w:rsid w:val="00831F55"/>
    <w:rsid w:val="00831F6D"/>
    <w:rsid w:val="00831F96"/>
    <w:rsid w:val="00831FC7"/>
    <w:rsid w:val="0083205B"/>
    <w:rsid w:val="00832084"/>
    <w:rsid w:val="008320B6"/>
    <w:rsid w:val="008321BA"/>
    <w:rsid w:val="008321EA"/>
    <w:rsid w:val="00832232"/>
    <w:rsid w:val="00832234"/>
    <w:rsid w:val="008322B9"/>
    <w:rsid w:val="008322C1"/>
    <w:rsid w:val="0083238E"/>
    <w:rsid w:val="008323F2"/>
    <w:rsid w:val="00832426"/>
    <w:rsid w:val="0083242B"/>
    <w:rsid w:val="008324E9"/>
    <w:rsid w:val="008324FC"/>
    <w:rsid w:val="008325BB"/>
    <w:rsid w:val="008325D8"/>
    <w:rsid w:val="008325F9"/>
    <w:rsid w:val="00832622"/>
    <w:rsid w:val="00832696"/>
    <w:rsid w:val="008326B7"/>
    <w:rsid w:val="0083272F"/>
    <w:rsid w:val="00832744"/>
    <w:rsid w:val="008327B0"/>
    <w:rsid w:val="008327B2"/>
    <w:rsid w:val="008327E1"/>
    <w:rsid w:val="0083285A"/>
    <w:rsid w:val="0083285D"/>
    <w:rsid w:val="00832876"/>
    <w:rsid w:val="00832882"/>
    <w:rsid w:val="0083288F"/>
    <w:rsid w:val="00832921"/>
    <w:rsid w:val="0083295A"/>
    <w:rsid w:val="008329A4"/>
    <w:rsid w:val="008329E0"/>
    <w:rsid w:val="008329F3"/>
    <w:rsid w:val="008329FC"/>
    <w:rsid w:val="00832A03"/>
    <w:rsid w:val="00832A5C"/>
    <w:rsid w:val="00832AF5"/>
    <w:rsid w:val="00832C23"/>
    <w:rsid w:val="00832C81"/>
    <w:rsid w:val="00832C9E"/>
    <w:rsid w:val="00832CA8"/>
    <w:rsid w:val="00832D62"/>
    <w:rsid w:val="00832DBA"/>
    <w:rsid w:val="00832DC8"/>
    <w:rsid w:val="00832E2C"/>
    <w:rsid w:val="00832E3C"/>
    <w:rsid w:val="00832EA1"/>
    <w:rsid w:val="00832ED6"/>
    <w:rsid w:val="00832EF5"/>
    <w:rsid w:val="00832F91"/>
    <w:rsid w:val="0083300C"/>
    <w:rsid w:val="00833028"/>
    <w:rsid w:val="008330AB"/>
    <w:rsid w:val="008330AF"/>
    <w:rsid w:val="00833103"/>
    <w:rsid w:val="00833161"/>
    <w:rsid w:val="00833167"/>
    <w:rsid w:val="008331C4"/>
    <w:rsid w:val="008331DC"/>
    <w:rsid w:val="0083325A"/>
    <w:rsid w:val="0083326C"/>
    <w:rsid w:val="008332BF"/>
    <w:rsid w:val="0083330B"/>
    <w:rsid w:val="0083333F"/>
    <w:rsid w:val="00833346"/>
    <w:rsid w:val="00833380"/>
    <w:rsid w:val="00833390"/>
    <w:rsid w:val="008333F5"/>
    <w:rsid w:val="00833404"/>
    <w:rsid w:val="00833411"/>
    <w:rsid w:val="008334C8"/>
    <w:rsid w:val="00833551"/>
    <w:rsid w:val="00833580"/>
    <w:rsid w:val="008335A8"/>
    <w:rsid w:val="00833638"/>
    <w:rsid w:val="008336E3"/>
    <w:rsid w:val="0083375B"/>
    <w:rsid w:val="00833765"/>
    <w:rsid w:val="008337F4"/>
    <w:rsid w:val="008339D1"/>
    <w:rsid w:val="00833A3B"/>
    <w:rsid w:val="00833A4A"/>
    <w:rsid w:val="00833B0E"/>
    <w:rsid w:val="00833B7F"/>
    <w:rsid w:val="00833C25"/>
    <w:rsid w:val="00833D16"/>
    <w:rsid w:val="00833D2F"/>
    <w:rsid w:val="00833D51"/>
    <w:rsid w:val="00833DC2"/>
    <w:rsid w:val="00833DE4"/>
    <w:rsid w:val="00833E3A"/>
    <w:rsid w:val="00833E3D"/>
    <w:rsid w:val="00833E51"/>
    <w:rsid w:val="00833EB3"/>
    <w:rsid w:val="00833EC0"/>
    <w:rsid w:val="00833EF2"/>
    <w:rsid w:val="00833F0C"/>
    <w:rsid w:val="00833F96"/>
    <w:rsid w:val="00833F9C"/>
    <w:rsid w:val="00834025"/>
    <w:rsid w:val="008340AB"/>
    <w:rsid w:val="00834164"/>
    <w:rsid w:val="00834182"/>
    <w:rsid w:val="00834183"/>
    <w:rsid w:val="00834215"/>
    <w:rsid w:val="008342A5"/>
    <w:rsid w:val="008342CC"/>
    <w:rsid w:val="0083430F"/>
    <w:rsid w:val="0083431F"/>
    <w:rsid w:val="00834363"/>
    <w:rsid w:val="00834382"/>
    <w:rsid w:val="00834394"/>
    <w:rsid w:val="008343E5"/>
    <w:rsid w:val="008344B2"/>
    <w:rsid w:val="008345DA"/>
    <w:rsid w:val="008345DE"/>
    <w:rsid w:val="008346EA"/>
    <w:rsid w:val="008347A8"/>
    <w:rsid w:val="008347B8"/>
    <w:rsid w:val="0083484C"/>
    <w:rsid w:val="00834936"/>
    <w:rsid w:val="00834953"/>
    <w:rsid w:val="008349DC"/>
    <w:rsid w:val="00834A01"/>
    <w:rsid w:val="00834A10"/>
    <w:rsid w:val="00834A17"/>
    <w:rsid w:val="00834A1C"/>
    <w:rsid w:val="00834A66"/>
    <w:rsid w:val="00834A89"/>
    <w:rsid w:val="00834AFD"/>
    <w:rsid w:val="00834B05"/>
    <w:rsid w:val="00834BDA"/>
    <w:rsid w:val="00834C68"/>
    <w:rsid w:val="00834D01"/>
    <w:rsid w:val="00834D05"/>
    <w:rsid w:val="00834D24"/>
    <w:rsid w:val="00834D44"/>
    <w:rsid w:val="00834D88"/>
    <w:rsid w:val="00834D92"/>
    <w:rsid w:val="00834D97"/>
    <w:rsid w:val="00834DD2"/>
    <w:rsid w:val="00834DE8"/>
    <w:rsid w:val="00834E43"/>
    <w:rsid w:val="00834E57"/>
    <w:rsid w:val="00834E6D"/>
    <w:rsid w:val="00834E79"/>
    <w:rsid w:val="00834EF8"/>
    <w:rsid w:val="00834F95"/>
    <w:rsid w:val="00835007"/>
    <w:rsid w:val="00835044"/>
    <w:rsid w:val="0083507A"/>
    <w:rsid w:val="008350BD"/>
    <w:rsid w:val="008350C0"/>
    <w:rsid w:val="008350D7"/>
    <w:rsid w:val="0083510D"/>
    <w:rsid w:val="0083514E"/>
    <w:rsid w:val="008351B3"/>
    <w:rsid w:val="00835228"/>
    <w:rsid w:val="00835257"/>
    <w:rsid w:val="0083545A"/>
    <w:rsid w:val="0083548C"/>
    <w:rsid w:val="008354B6"/>
    <w:rsid w:val="0083556C"/>
    <w:rsid w:val="00835602"/>
    <w:rsid w:val="00835633"/>
    <w:rsid w:val="0083563E"/>
    <w:rsid w:val="00835767"/>
    <w:rsid w:val="008357A7"/>
    <w:rsid w:val="00835810"/>
    <w:rsid w:val="0083581A"/>
    <w:rsid w:val="00835839"/>
    <w:rsid w:val="008358FB"/>
    <w:rsid w:val="00835927"/>
    <w:rsid w:val="00835958"/>
    <w:rsid w:val="00835993"/>
    <w:rsid w:val="008359DB"/>
    <w:rsid w:val="00835A0D"/>
    <w:rsid w:val="00835A51"/>
    <w:rsid w:val="00835A67"/>
    <w:rsid w:val="00835A9B"/>
    <w:rsid w:val="00835AF1"/>
    <w:rsid w:val="00835BCF"/>
    <w:rsid w:val="00835BDE"/>
    <w:rsid w:val="00835C0B"/>
    <w:rsid w:val="00835C47"/>
    <w:rsid w:val="00835D25"/>
    <w:rsid w:val="00835E5C"/>
    <w:rsid w:val="00835E69"/>
    <w:rsid w:val="00835ECE"/>
    <w:rsid w:val="00835F95"/>
    <w:rsid w:val="00835FAA"/>
    <w:rsid w:val="00836111"/>
    <w:rsid w:val="0083615C"/>
    <w:rsid w:val="008361EA"/>
    <w:rsid w:val="008361FD"/>
    <w:rsid w:val="0083629E"/>
    <w:rsid w:val="008362AE"/>
    <w:rsid w:val="00836326"/>
    <w:rsid w:val="00836339"/>
    <w:rsid w:val="00836369"/>
    <w:rsid w:val="00836378"/>
    <w:rsid w:val="0083637A"/>
    <w:rsid w:val="008363C9"/>
    <w:rsid w:val="008363CE"/>
    <w:rsid w:val="008363E8"/>
    <w:rsid w:val="0083651C"/>
    <w:rsid w:val="00836539"/>
    <w:rsid w:val="0083658E"/>
    <w:rsid w:val="008365CC"/>
    <w:rsid w:val="0083668C"/>
    <w:rsid w:val="00836695"/>
    <w:rsid w:val="008366CF"/>
    <w:rsid w:val="008366F4"/>
    <w:rsid w:val="008366F5"/>
    <w:rsid w:val="00836704"/>
    <w:rsid w:val="0083676E"/>
    <w:rsid w:val="008367A8"/>
    <w:rsid w:val="008367E5"/>
    <w:rsid w:val="008368D6"/>
    <w:rsid w:val="008369A1"/>
    <w:rsid w:val="008369DC"/>
    <w:rsid w:val="00836A41"/>
    <w:rsid w:val="00836A91"/>
    <w:rsid w:val="00836AAF"/>
    <w:rsid w:val="00836ADC"/>
    <w:rsid w:val="00836AE7"/>
    <w:rsid w:val="00836B41"/>
    <w:rsid w:val="00836C1C"/>
    <w:rsid w:val="00836C2F"/>
    <w:rsid w:val="00836C54"/>
    <w:rsid w:val="00836C73"/>
    <w:rsid w:val="00836CDE"/>
    <w:rsid w:val="00836CFE"/>
    <w:rsid w:val="00836D0B"/>
    <w:rsid w:val="00836D19"/>
    <w:rsid w:val="00836D9B"/>
    <w:rsid w:val="00836D9C"/>
    <w:rsid w:val="00836E01"/>
    <w:rsid w:val="00836E13"/>
    <w:rsid w:val="00836E24"/>
    <w:rsid w:val="00836E2C"/>
    <w:rsid w:val="00836E57"/>
    <w:rsid w:val="00836F08"/>
    <w:rsid w:val="00836F70"/>
    <w:rsid w:val="00836FAC"/>
    <w:rsid w:val="008370AF"/>
    <w:rsid w:val="008370EF"/>
    <w:rsid w:val="008370F3"/>
    <w:rsid w:val="0083710E"/>
    <w:rsid w:val="008371EB"/>
    <w:rsid w:val="00837258"/>
    <w:rsid w:val="008372A3"/>
    <w:rsid w:val="00837310"/>
    <w:rsid w:val="00837347"/>
    <w:rsid w:val="00837384"/>
    <w:rsid w:val="0083744F"/>
    <w:rsid w:val="008374E2"/>
    <w:rsid w:val="008375BF"/>
    <w:rsid w:val="008375DD"/>
    <w:rsid w:val="00837674"/>
    <w:rsid w:val="00837680"/>
    <w:rsid w:val="008376EE"/>
    <w:rsid w:val="00837722"/>
    <w:rsid w:val="00837763"/>
    <w:rsid w:val="00837767"/>
    <w:rsid w:val="0083777A"/>
    <w:rsid w:val="00837780"/>
    <w:rsid w:val="008377D6"/>
    <w:rsid w:val="008377F2"/>
    <w:rsid w:val="0083781B"/>
    <w:rsid w:val="008378B4"/>
    <w:rsid w:val="008379C8"/>
    <w:rsid w:val="00837A0F"/>
    <w:rsid w:val="00837AB9"/>
    <w:rsid w:val="00837AE8"/>
    <w:rsid w:val="00837B9E"/>
    <w:rsid w:val="00837BD3"/>
    <w:rsid w:val="00837C63"/>
    <w:rsid w:val="00837D27"/>
    <w:rsid w:val="00837D37"/>
    <w:rsid w:val="00837D9C"/>
    <w:rsid w:val="00837F57"/>
    <w:rsid w:val="00837FC0"/>
    <w:rsid w:val="00837FF9"/>
    <w:rsid w:val="0084002E"/>
    <w:rsid w:val="00840088"/>
    <w:rsid w:val="008400D3"/>
    <w:rsid w:val="0084015B"/>
    <w:rsid w:val="008401EE"/>
    <w:rsid w:val="0084021C"/>
    <w:rsid w:val="00840226"/>
    <w:rsid w:val="0084038B"/>
    <w:rsid w:val="0084040F"/>
    <w:rsid w:val="00840417"/>
    <w:rsid w:val="00840422"/>
    <w:rsid w:val="0084046C"/>
    <w:rsid w:val="00840470"/>
    <w:rsid w:val="00840487"/>
    <w:rsid w:val="008404DC"/>
    <w:rsid w:val="00840520"/>
    <w:rsid w:val="00840531"/>
    <w:rsid w:val="008405D3"/>
    <w:rsid w:val="00840629"/>
    <w:rsid w:val="00840699"/>
    <w:rsid w:val="008407C4"/>
    <w:rsid w:val="00840843"/>
    <w:rsid w:val="00840893"/>
    <w:rsid w:val="008408F6"/>
    <w:rsid w:val="00840922"/>
    <w:rsid w:val="00840967"/>
    <w:rsid w:val="0084096C"/>
    <w:rsid w:val="008409C8"/>
    <w:rsid w:val="008409E1"/>
    <w:rsid w:val="00840A74"/>
    <w:rsid w:val="00840A7C"/>
    <w:rsid w:val="00840A8F"/>
    <w:rsid w:val="00840AB6"/>
    <w:rsid w:val="00840B89"/>
    <w:rsid w:val="00840B9A"/>
    <w:rsid w:val="00840BB4"/>
    <w:rsid w:val="00840C71"/>
    <w:rsid w:val="00840C81"/>
    <w:rsid w:val="00840CC9"/>
    <w:rsid w:val="00840D44"/>
    <w:rsid w:val="00840DE2"/>
    <w:rsid w:val="00840E36"/>
    <w:rsid w:val="00840E3B"/>
    <w:rsid w:val="00840E4F"/>
    <w:rsid w:val="00840EDA"/>
    <w:rsid w:val="00840F7C"/>
    <w:rsid w:val="008410F1"/>
    <w:rsid w:val="00841174"/>
    <w:rsid w:val="008411F4"/>
    <w:rsid w:val="0084120B"/>
    <w:rsid w:val="00841288"/>
    <w:rsid w:val="008412A1"/>
    <w:rsid w:val="008412AF"/>
    <w:rsid w:val="00841333"/>
    <w:rsid w:val="0084133A"/>
    <w:rsid w:val="00841460"/>
    <w:rsid w:val="00841465"/>
    <w:rsid w:val="008414A5"/>
    <w:rsid w:val="008414BD"/>
    <w:rsid w:val="008414F9"/>
    <w:rsid w:val="0084156F"/>
    <w:rsid w:val="00841615"/>
    <w:rsid w:val="0084165A"/>
    <w:rsid w:val="008416DA"/>
    <w:rsid w:val="00841793"/>
    <w:rsid w:val="008417CB"/>
    <w:rsid w:val="008417DC"/>
    <w:rsid w:val="00841809"/>
    <w:rsid w:val="0084188A"/>
    <w:rsid w:val="00841987"/>
    <w:rsid w:val="008419EE"/>
    <w:rsid w:val="00841A0E"/>
    <w:rsid w:val="00841ACA"/>
    <w:rsid w:val="00841ACC"/>
    <w:rsid w:val="00841AFB"/>
    <w:rsid w:val="00841B1E"/>
    <w:rsid w:val="00841B9B"/>
    <w:rsid w:val="00841BB5"/>
    <w:rsid w:val="00841D13"/>
    <w:rsid w:val="00841D3F"/>
    <w:rsid w:val="00841D76"/>
    <w:rsid w:val="00841D87"/>
    <w:rsid w:val="00841DB3"/>
    <w:rsid w:val="00841DD9"/>
    <w:rsid w:val="00841DF9"/>
    <w:rsid w:val="00841E06"/>
    <w:rsid w:val="00841E1E"/>
    <w:rsid w:val="00841E3E"/>
    <w:rsid w:val="00841E3F"/>
    <w:rsid w:val="00841EFF"/>
    <w:rsid w:val="00841F04"/>
    <w:rsid w:val="00841F16"/>
    <w:rsid w:val="00841F17"/>
    <w:rsid w:val="00841F3B"/>
    <w:rsid w:val="00841F81"/>
    <w:rsid w:val="00841FCE"/>
    <w:rsid w:val="00841FDA"/>
    <w:rsid w:val="00841FE5"/>
    <w:rsid w:val="00841FFA"/>
    <w:rsid w:val="00842027"/>
    <w:rsid w:val="008420D4"/>
    <w:rsid w:val="00842106"/>
    <w:rsid w:val="00842142"/>
    <w:rsid w:val="008421BF"/>
    <w:rsid w:val="008421D9"/>
    <w:rsid w:val="008421E8"/>
    <w:rsid w:val="00842201"/>
    <w:rsid w:val="0084224A"/>
    <w:rsid w:val="008422F5"/>
    <w:rsid w:val="008422F7"/>
    <w:rsid w:val="00842476"/>
    <w:rsid w:val="008425AD"/>
    <w:rsid w:val="00842658"/>
    <w:rsid w:val="008426D8"/>
    <w:rsid w:val="00842732"/>
    <w:rsid w:val="008427A3"/>
    <w:rsid w:val="008428A3"/>
    <w:rsid w:val="00842934"/>
    <w:rsid w:val="008429A4"/>
    <w:rsid w:val="008429A7"/>
    <w:rsid w:val="008429F2"/>
    <w:rsid w:val="00842A45"/>
    <w:rsid w:val="00842B3D"/>
    <w:rsid w:val="00842BE2"/>
    <w:rsid w:val="00842CBC"/>
    <w:rsid w:val="00842CEA"/>
    <w:rsid w:val="00842CF2"/>
    <w:rsid w:val="00842D1A"/>
    <w:rsid w:val="00842D59"/>
    <w:rsid w:val="00842DE6"/>
    <w:rsid w:val="00842DF6"/>
    <w:rsid w:val="00842F17"/>
    <w:rsid w:val="00842FA1"/>
    <w:rsid w:val="00842FA4"/>
    <w:rsid w:val="00842FA8"/>
    <w:rsid w:val="0084304D"/>
    <w:rsid w:val="00843086"/>
    <w:rsid w:val="00843126"/>
    <w:rsid w:val="00843137"/>
    <w:rsid w:val="008431C8"/>
    <w:rsid w:val="00843254"/>
    <w:rsid w:val="0084330D"/>
    <w:rsid w:val="00843327"/>
    <w:rsid w:val="00843335"/>
    <w:rsid w:val="008433E1"/>
    <w:rsid w:val="00843465"/>
    <w:rsid w:val="0084352A"/>
    <w:rsid w:val="0084354E"/>
    <w:rsid w:val="00843553"/>
    <w:rsid w:val="0084358F"/>
    <w:rsid w:val="008435D2"/>
    <w:rsid w:val="00843646"/>
    <w:rsid w:val="00843662"/>
    <w:rsid w:val="008436AB"/>
    <w:rsid w:val="0084372E"/>
    <w:rsid w:val="008437C3"/>
    <w:rsid w:val="00843865"/>
    <w:rsid w:val="00843870"/>
    <w:rsid w:val="008438B4"/>
    <w:rsid w:val="00843958"/>
    <w:rsid w:val="00843A04"/>
    <w:rsid w:val="00843AF8"/>
    <w:rsid w:val="00843BBB"/>
    <w:rsid w:val="00843BBE"/>
    <w:rsid w:val="00843BFA"/>
    <w:rsid w:val="00843C2E"/>
    <w:rsid w:val="00843C36"/>
    <w:rsid w:val="00843C43"/>
    <w:rsid w:val="00843D61"/>
    <w:rsid w:val="00843D6E"/>
    <w:rsid w:val="00843D73"/>
    <w:rsid w:val="00843DA6"/>
    <w:rsid w:val="00843DB7"/>
    <w:rsid w:val="00843DD4"/>
    <w:rsid w:val="00843F0A"/>
    <w:rsid w:val="00843F34"/>
    <w:rsid w:val="00843F9F"/>
    <w:rsid w:val="0084401F"/>
    <w:rsid w:val="0084408F"/>
    <w:rsid w:val="008440E9"/>
    <w:rsid w:val="0084412A"/>
    <w:rsid w:val="0084416D"/>
    <w:rsid w:val="008441A1"/>
    <w:rsid w:val="008441D1"/>
    <w:rsid w:val="008441E4"/>
    <w:rsid w:val="0084425D"/>
    <w:rsid w:val="008442C7"/>
    <w:rsid w:val="008442DB"/>
    <w:rsid w:val="00844380"/>
    <w:rsid w:val="008443B6"/>
    <w:rsid w:val="00844410"/>
    <w:rsid w:val="00844411"/>
    <w:rsid w:val="008444C7"/>
    <w:rsid w:val="008444DC"/>
    <w:rsid w:val="008445B1"/>
    <w:rsid w:val="0084460F"/>
    <w:rsid w:val="0084463A"/>
    <w:rsid w:val="0084470E"/>
    <w:rsid w:val="008447B3"/>
    <w:rsid w:val="00844818"/>
    <w:rsid w:val="0084489E"/>
    <w:rsid w:val="008449E3"/>
    <w:rsid w:val="00844A1D"/>
    <w:rsid w:val="00844A23"/>
    <w:rsid w:val="00844A37"/>
    <w:rsid w:val="00844ABB"/>
    <w:rsid w:val="00844B24"/>
    <w:rsid w:val="00844B2A"/>
    <w:rsid w:val="00844B56"/>
    <w:rsid w:val="00844B88"/>
    <w:rsid w:val="00844C4A"/>
    <w:rsid w:val="00844C7E"/>
    <w:rsid w:val="00844D1D"/>
    <w:rsid w:val="00844D36"/>
    <w:rsid w:val="00844D49"/>
    <w:rsid w:val="00844DF3"/>
    <w:rsid w:val="00844E08"/>
    <w:rsid w:val="00844E64"/>
    <w:rsid w:val="00844E77"/>
    <w:rsid w:val="00844F27"/>
    <w:rsid w:val="00844F9E"/>
    <w:rsid w:val="00844FAD"/>
    <w:rsid w:val="00844FB6"/>
    <w:rsid w:val="00844FB9"/>
    <w:rsid w:val="00844FFC"/>
    <w:rsid w:val="008450DA"/>
    <w:rsid w:val="00845197"/>
    <w:rsid w:val="00845221"/>
    <w:rsid w:val="00845308"/>
    <w:rsid w:val="00845348"/>
    <w:rsid w:val="00845474"/>
    <w:rsid w:val="00845480"/>
    <w:rsid w:val="008454C2"/>
    <w:rsid w:val="0084550A"/>
    <w:rsid w:val="0084558B"/>
    <w:rsid w:val="00845597"/>
    <w:rsid w:val="00845654"/>
    <w:rsid w:val="008456E3"/>
    <w:rsid w:val="008456ED"/>
    <w:rsid w:val="00845814"/>
    <w:rsid w:val="0084587F"/>
    <w:rsid w:val="008458FE"/>
    <w:rsid w:val="0084591E"/>
    <w:rsid w:val="008459EF"/>
    <w:rsid w:val="00845A35"/>
    <w:rsid w:val="00845A89"/>
    <w:rsid w:val="00845B41"/>
    <w:rsid w:val="00845BBF"/>
    <w:rsid w:val="00845C39"/>
    <w:rsid w:val="00845C6E"/>
    <w:rsid w:val="00845CAE"/>
    <w:rsid w:val="00845CFB"/>
    <w:rsid w:val="00845D27"/>
    <w:rsid w:val="00845D91"/>
    <w:rsid w:val="00845DD3"/>
    <w:rsid w:val="00845DD6"/>
    <w:rsid w:val="00845E2A"/>
    <w:rsid w:val="00845E5A"/>
    <w:rsid w:val="00845EBF"/>
    <w:rsid w:val="00845ECE"/>
    <w:rsid w:val="00845EDA"/>
    <w:rsid w:val="00845F93"/>
    <w:rsid w:val="00845FBE"/>
    <w:rsid w:val="00845FC3"/>
    <w:rsid w:val="00845FC5"/>
    <w:rsid w:val="0084601D"/>
    <w:rsid w:val="008460A2"/>
    <w:rsid w:val="0084614E"/>
    <w:rsid w:val="0084625A"/>
    <w:rsid w:val="008462B2"/>
    <w:rsid w:val="008462F5"/>
    <w:rsid w:val="00846461"/>
    <w:rsid w:val="0084646A"/>
    <w:rsid w:val="008464CB"/>
    <w:rsid w:val="008464E7"/>
    <w:rsid w:val="00846622"/>
    <w:rsid w:val="00846642"/>
    <w:rsid w:val="00846688"/>
    <w:rsid w:val="008466C8"/>
    <w:rsid w:val="008466E6"/>
    <w:rsid w:val="00846733"/>
    <w:rsid w:val="008467A2"/>
    <w:rsid w:val="008467D3"/>
    <w:rsid w:val="008467DB"/>
    <w:rsid w:val="008467FE"/>
    <w:rsid w:val="00846847"/>
    <w:rsid w:val="0084687C"/>
    <w:rsid w:val="008468D5"/>
    <w:rsid w:val="008468E0"/>
    <w:rsid w:val="00846973"/>
    <w:rsid w:val="00846978"/>
    <w:rsid w:val="00846993"/>
    <w:rsid w:val="008469B6"/>
    <w:rsid w:val="00846B6E"/>
    <w:rsid w:val="00846C00"/>
    <w:rsid w:val="00846C62"/>
    <w:rsid w:val="00846CA0"/>
    <w:rsid w:val="00846D03"/>
    <w:rsid w:val="00846D5D"/>
    <w:rsid w:val="00846D92"/>
    <w:rsid w:val="00846E10"/>
    <w:rsid w:val="00846E57"/>
    <w:rsid w:val="00846E96"/>
    <w:rsid w:val="00846EC7"/>
    <w:rsid w:val="00846EC8"/>
    <w:rsid w:val="00846F0F"/>
    <w:rsid w:val="00846F2A"/>
    <w:rsid w:val="00846FDE"/>
    <w:rsid w:val="00847017"/>
    <w:rsid w:val="0084708B"/>
    <w:rsid w:val="0084709A"/>
    <w:rsid w:val="008470DF"/>
    <w:rsid w:val="008470E5"/>
    <w:rsid w:val="0084713E"/>
    <w:rsid w:val="0084718F"/>
    <w:rsid w:val="008471F9"/>
    <w:rsid w:val="00847278"/>
    <w:rsid w:val="0084727C"/>
    <w:rsid w:val="0084728A"/>
    <w:rsid w:val="00847295"/>
    <w:rsid w:val="00847354"/>
    <w:rsid w:val="008473C2"/>
    <w:rsid w:val="008473F2"/>
    <w:rsid w:val="0084749E"/>
    <w:rsid w:val="008474E8"/>
    <w:rsid w:val="0084756B"/>
    <w:rsid w:val="0084758A"/>
    <w:rsid w:val="0084762D"/>
    <w:rsid w:val="0084769C"/>
    <w:rsid w:val="008476B3"/>
    <w:rsid w:val="008476BD"/>
    <w:rsid w:val="008476C8"/>
    <w:rsid w:val="0084777E"/>
    <w:rsid w:val="008477BD"/>
    <w:rsid w:val="00847819"/>
    <w:rsid w:val="00847905"/>
    <w:rsid w:val="00847926"/>
    <w:rsid w:val="0084798C"/>
    <w:rsid w:val="008479A2"/>
    <w:rsid w:val="008479E9"/>
    <w:rsid w:val="00847A15"/>
    <w:rsid w:val="00847A53"/>
    <w:rsid w:val="00847A80"/>
    <w:rsid w:val="00847AA1"/>
    <w:rsid w:val="00847B11"/>
    <w:rsid w:val="00847B6E"/>
    <w:rsid w:val="00847BC9"/>
    <w:rsid w:val="00847BE8"/>
    <w:rsid w:val="00847C2D"/>
    <w:rsid w:val="00847C2F"/>
    <w:rsid w:val="00847CA2"/>
    <w:rsid w:val="00847CAF"/>
    <w:rsid w:val="00847CCF"/>
    <w:rsid w:val="00847CD2"/>
    <w:rsid w:val="00847D24"/>
    <w:rsid w:val="00847D54"/>
    <w:rsid w:val="00847D8D"/>
    <w:rsid w:val="00847DFA"/>
    <w:rsid w:val="00847E4C"/>
    <w:rsid w:val="00847E51"/>
    <w:rsid w:val="00847EE4"/>
    <w:rsid w:val="00847F3E"/>
    <w:rsid w:val="00847FAC"/>
    <w:rsid w:val="00847FD2"/>
    <w:rsid w:val="00847FD9"/>
    <w:rsid w:val="00850018"/>
    <w:rsid w:val="00850047"/>
    <w:rsid w:val="0085005F"/>
    <w:rsid w:val="00850082"/>
    <w:rsid w:val="00850188"/>
    <w:rsid w:val="00850190"/>
    <w:rsid w:val="008501A2"/>
    <w:rsid w:val="008501CC"/>
    <w:rsid w:val="0085022B"/>
    <w:rsid w:val="00850238"/>
    <w:rsid w:val="00850254"/>
    <w:rsid w:val="00850273"/>
    <w:rsid w:val="0085041E"/>
    <w:rsid w:val="00850433"/>
    <w:rsid w:val="0085044C"/>
    <w:rsid w:val="0085046C"/>
    <w:rsid w:val="00850473"/>
    <w:rsid w:val="008504F3"/>
    <w:rsid w:val="00850514"/>
    <w:rsid w:val="0085054B"/>
    <w:rsid w:val="008505A9"/>
    <w:rsid w:val="008505F5"/>
    <w:rsid w:val="00850617"/>
    <w:rsid w:val="008506EC"/>
    <w:rsid w:val="00850770"/>
    <w:rsid w:val="008507A0"/>
    <w:rsid w:val="0085087C"/>
    <w:rsid w:val="0085087D"/>
    <w:rsid w:val="008508A9"/>
    <w:rsid w:val="008508B1"/>
    <w:rsid w:val="008508EE"/>
    <w:rsid w:val="0085098A"/>
    <w:rsid w:val="008509C7"/>
    <w:rsid w:val="00850A19"/>
    <w:rsid w:val="00850A48"/>
    <w:rsid w:val="00850A54"/>
    <w:rsid w:val="00850A5E"/>
    <w:rsid w:val="00850AA6"/>
    <w:rsid w:val="00850AD1"/>
    <w:rsid w:val="00850AEE"/>
    <w:rsid w:val="00850B21"/>
    <w:rsid w:val="00850B60"/>
    <w:rsid w:val="00850BA1"/>
    <w:rsid w:val="00850BCF"/>
    <w:rsid w:val="00850BDF"/>
    <w:rsid w:val="00850BE0"/>
    <w:rsid w:val="00850C00"/>
    <w:rsid w:val="00850C0C"/>
    <w:rsid w:val="00850C12"/>
    <w:rsid w:val="00850C87"/>
    <w:rsid w:val="00850CF2"/>
    <w:rsid w:val="00850D4F"/>
    <w:rsid w:val="00850D83"/>
    <w:rsid w:val="00850DB4"/>
    <w:rsid w:val="00850E3F"/>
    <w:rsid w:val="00850E44"/>
    <w:rsid w:val="00850E59"/>
    <w:rsid w:val="00850F65"/>
    <w:rsid w:val="00850FC6"/>
    <w:rsid w:val="00851029"/>
    <w:rsid w:val="0085104B"/>
    <w:rsid w:val="0085105A"/>
    <w:rsid w:val="0085105D"/>
    <w:rsid w:val="00851076"/>
    <w:rsid w:val="008510AE"/>
    <w:rsid w:val="008510FE"/>
    <w:rsid w:val="00851197"/>
    <w:rsid w:val="00851249"/>
    <w:rsid w:val="008512FD"/>
    <w:rsid w:val="00851355"/>
    <w:rsid w:val="00851441"/>
    <w:rsid w:val="00851445"/>
    <w:rsid w:val="00851466"/>
    <w:rsid w:val="008514D2"/>
    <w:rsid w:val="008514F7"/>
    <w:rsid w:val="00851504"/>
    <w:rsid w:val="00851515"/>
    <w:rsid w:val="00851547"/>
    <w:rsid w:val="008515FB"/>
    <w:rsid w:val="0085160F"/>
    <w:rsid w:val="0085166D"/>
    <w:rsid w:val="008517A1"/>
    <w:rsid w:val="008517D2"/>
    <w:rsid w:val="008517FB"/>
    <w:rsid w:val="00851847"/>
    <w:rsid w:val="0085187D"/>
    <w:rsid w:val="008518DA"/>
    <w:rsid w:val="008518E4"/>
    <w:rsid w:val="00851912"/>
    <w:rsid w:val="0085193C"/>
    <w:rsid w:val="0085195A"/>
    <w:rsid w:val="00851A22"/>
    <w:rsid w:val="00851A40"/>
    <w:rsid w:val="00851A48"/>
    <w:rsid w:val="00851A5A"/>
    <w:rsid w:val="00851AC8"/>
    <w:rsid w:val="00851B12"/>
    <w:rsid w:val="00851B21"/>
    <w:rsid w:val="00851B6B"/>
    <w:rsid w:val="00851B92"/>
    <w:rsid w:val="00851C24"/>
    <w:rsid w:val="00851C28"/>
    <w:rsid w:val="00851CC5"/>
    <w:rsid w:val="00851D22"/>
    <w:rsid w:val="00851D8B"/>
    <w:rsid w:val="00851DE0"/>
    <w:rsid w:val="00851E2A"/>
    <w:rsid w:val="00851E4B"/>
    <w:rsid w:val="00851EA7"/>
    <w:rsid w:val="00851EC0"/>
    <w:rsid w:val="00851EFD"/>
    <w:rsid w:val="00851F0B"/>
    <w:rsid w:val="00851F3C"/>
    <w:rsid w:val="00851F52"/>
    <w:rsid w:val="00851F81"/>
    <w:rsid w:val="00851F93"/>
    <w:rsid w:val="00851FA6"/>
    <w:rsid w:val="008521B7"/>
    <w:rsid w:val="008521EF"/>
    <w:rsid w:val="008522EC"/>
    <w:rsid w:val="0085230B"/>
    <w:rsid w:val="00852321"/>
    <w:rsid w:val="008523D4"/>
    <w:rsid w:val="00852410"/>
    <w:rsid w:val="00852425"/>
    <w:rsid w:val="00852453"/>
    <w:rsid w:val="008524E5"/>
    <w:rsid w:val="00852504"/>
    <w:rsid w:val="0085250E"/>
    <w:rsid w:val="0085256A"/>
    <w:rsid w:val="00852590"/>
    <w:rsid w:val="008525DA"/>
    <w:rsid w:val="008525E1"/>
    <w:rsid w:val="0085260C"/>
    <w:rsid w:val="00852616"/>
    <w:rsid w:val="0085265E"/>
    <w:rsid w:val="008526FE"/>
    <w:rsid w:val="00852704"/>
    <w:rsid w:val="0085275E"/>
    <w:rsid w:val="008527F6"/>
    <w:rsid w:val="00852832"/>
    <w:rsid w:val="00852867"/>
    <w:rsid w:val="0085286D"/>
    <w:rsid w:val="0085288A"/>
    <w:rsid w:val="008528C4"/>
    <w:rsid w:val="00852957"/>
    <w:rsid w:val="008529A3"/>
    <w:rsid w:val="008529F5"/>
    <w:rsid w:val="00852AA9"/>
    <w:rsid w:val="00852AF1"/>
    <w:rsid w:val="00852AF4"/>
    <w:rsid w:val="00852B03"/>
    <w:rsid w:val="00852B1A"/>
    <w:rsid w:val="00852B4E"/>
    <w:rsid w:val="00852BAD"/>
    <w:rsid w:val="00852C27"/>
    <w:rsid w:val="00852C48"/>
    <w:rsid w:val="00852C5A"/>
    <w:rsid w:val="00852C79"/>
    <w:rsid w:val="00852CC3"/>
    <w:rsid w:val="00852DCB"/>
    <w:rsid w:val="00852E64"/>
    <w:rsid w:val="00852E84"/>
    <w:rsid w:val="00852EC4"/>
    <w:rsid w:val="00852F2C"/>
    <w:rsid w:val="00852F43"/>
    <w:rsid w:val="00852F99"/>
    <w:rsid w:val="00852FF3"/>
    <w:rsid w:val="00853068"/>
    <w:rsid w:val="008530AB"/>
    <w:rsid w:val="0085313F"/>
    <w:rsid w:val="00853238"/>
    <w:rsid w:val="008532A9"/>
    <w:rsid w:val="00853304"/>
    <w:rsid w:val="0085334F"/>
    <w:rsid w:val="00853357"/>
    <w:rsid w:val="0085336F"/>
    <w:rsid w:val="008533D1"/>
    <w:rsid w:val="0085358B"/>
    <w:rsid w:val="008535CC"/>
    <w:rsid w:val="008535F8"/>
    <w:rsid w:val="0085366F"/>
    <w:rsid w:val="00853677"/>
    <w:rsid w:val="0085369B"/>
    <w:rsid w:val="0085369D"/>
    <w:rsid w:val="008536C0"/>
    <w:rsid w:val="008536DE"/>
    <w:rsid w:val="00853741"/>
    <w:rsid w:val="0085385A"/>
    <w:rsid w:val="00853907"/>
    <w:rsid w:val="00853912"/>
    <w:rsid w:val="00853923"/>
    <w:rsid w:val="008539AB"/>
    <w:rsid w:val="008539F4"/>
    <w:rsid w:val="00853A2B"/>
    <w:rsid w:val="00853B62"/>
    <w:rsid w:val="00853C68"/>
    <w:rsid w:val="00853C9F"/>
    <w:rsid w:val="00853CD8"/>
    <w:rsid w:val="00853CE5"/>
    <w:rsid w:val="00853D3B"/>
    <w:rsid w:val="00853DCC"/>
    <w:rsid w:val="00853DDB"/>
    <w:rsid w:val="00853DDE"/>
    <w:rsid w:val="00853DE0"/>
    <w:rsid w:val="00853E02"/>
    <w:rsid w:val="00853E9A"/>
    <w:rsid w:val="00853F0D"/>
    <w:rsid w:val="00853FA8"/>
    <w:rsid w:val="0085403E"/>
    <w:rsid w:val="0085411E"/>
    <w:rsid w:val="0085415A"/>
    <w:rsid w:val="008541E3"/>
    <w:rsid w:val="00854263"/>
    <w:rsid w:val="008542CD"/>
    <w:rsid w:val="00854314"/>
    <w:rsid w:val="00854323"/>
    <w:rsid w:val="00854489"/>
    <w:rsid w:val="008544A2"/>
    <w:rsid w:val="00854515"/>
    <w:rsid w:val="00854541"/>
    <w:rsid w:val="00854585"/>
    <w:rsid w:val="008545AD"/>
    <w:rsid w:val="008545C6"/>
    <w:rsid w:val="00854601"/>
    <w:rsid w:val="0085460A"/>
    <w:rsid w:val="0085462A"/>
    <w:rsid w:val="00854692"/>
    <w:rsid w:val="008546B3"/>
    <w:rsid w:val="008546B6"/>
    <w:rsid w:val="0085475A"/>
    <w:rsid w:val="00854780"/>
    <w:rsid w:val="00854889"/>
    <w:rsid w:val="00854978"/>
    <w:rsid w:val="00854A01"/>
    <w:rsid w:val="00854A50"/>
    <w:rsid w:val="00854A51"/>
    <w:rsid w:val="00854AA2"/>
    <w:rsid w:val="00854AAD"/>
    <w:rsid w:val="00854B7A"/>
    <w:rsid w:val="00854BA5"/>
    <w:rsid w:val="00854C39"/>
    <w:rsid w:val="00854CA2"/>
    <w:rsid w:val="00854D82"/>
    <w:rsid w:val="00854DC3"/>
    <w:rsid w:val="00854E99"/>
    <w:rsid w:val="00854EAB"/>
    <w:rsid w:val="00854F51"/>
    <w:rsid w:val="00854FC5"/>
    <w:rsid w:val="00855094"/>
    <w:rsid w:val="00855106"/>
    <w:rsid w:val="0085529E"/>
    <w:rsid w:val="00855398"/>
    <w:rsid w:val="008553EB"/>
    <w:rsid w:val="00855407"/>
    <w:rsid w:val="00855422"/>
    <w:rsid w:val="00855431"/>
    <w:rsid w:val="00855466"/>
    <w:rsid w:val="0085554E"/>
    <w:rsid w:val="00855661"/>
    <w:rsid w:val="008556B9"/>
    <w:rsid w:val="0085571F"/>
    <w:rsid w:val="0085572E"/>
    <w:rsid w:val="00855784"/>
    <w:rsid w:val="00855791"/>
    <w:rsid w:val="008557B9"/>
    <w:rsid w:val="008557DC"/>
    <w:rsid w:val="008557FC"/>
    <w:rsid w:val="00855856"/>
    <w:rsid w:val="00855867"/>
    <w:rsid w:val="008558F2"/>
    <w:rsid w:val="008558F6"/>
    <w:rsid w:val="00855911"/>
    <w:rsid w:val="0085593D"/>
    <w:rsid w:val="008559F3"/>
    <w:rsid w:val="00855A1D"/>
    <w:rsid w:val="00855A2E"/>
    <w:rsid w:val="00855A4F"/>
    <w:rsid w:val="00855AF0"/>
    <w:rsid w:val="00855C87"/>
    <w:rsid w:val="00855CCD"/>
    <w:rsid w:val="00855CD7"/>
    <w:rsid w:val="00855E7E"/>
    <w:rsid w:val="00855F76"/>
    <w:rsid w:val="00855F83"/>
    <w:rsid w:val="00855FC7"/>
    <w:rsid w:val="00855FFF"/>
    <w:rsid w:val="00856005"/>
    <w:rsid w:val="00856035"/>
    <w:rsid w:val="0085603A"/>
    <w:rsid w:val="00856098"/>
    <w:rsid w:val="008560AF"/>
    <w:rsid w:val="008560C1"/>
    <w:rsid w:val="008560D0"/>
    <w:rsid w:val="008560E5"/>
    <w:rsid w:val="00856134"/>
    <w:rsid w:val="008561E7"/>
    <w:rsid w:val="00856244"/>
    <w:rsid w:val="0085626D"/>
    <w:rsid w:val="0085630C"/>
    <w:rsid w:val="00856310"/>
    <w:rsid w:val="00856385"/>
    <w:rsid w:val="008563D1"/>
    <w:rsid w:val="00856433"/>
    <w:rsid w:val="0085644E"/>
    <w:rsid w:val="008564E5"/>
    <w:rsid w:val="00856516"/>
    <w:rsid w:val="00856539"/>
    <w:rsid w:val="008565A8"/>
    <w:rsid w:val="008566A9"/>
    <w:rsid w:val="008566F2"/>
    <w:rsid w:val="0085671F"/>
    <w:rsid w:val="00856749"/>
    <w:rsid w:val="008567C0"/>
    <w:rsid w:val="00856800"/>
    <w:rsid w:val="0085681B"/>
    <w:rsid w:val="00856859"/>
    <w:rsid w:val="00856873"/>
    <w:rsid w:val="0085689B"/>
    <w:rsid w:val="008568B5"/>
    <w:rsid w:val="008569DB"/>
    <w:rsid w:val="008569EF"/>
    <w:rsid w:val="00856A72"/>
    <w:rsid w:val="00856A91"/>
    <w:rsid w:val="00856AAC"/>
    <w:rsid w:val="00856B0D"/>
    <w:rsid w:val="00856B17"/>
    <w:rsid w:val="00856B3E"/>
    <w:rsid w:val="00856C3A"/>
    <w:rsid w:val="00856C68"/>
    <w:rsid w:val="00856C6C"/>
    <w:rsid w:val="00856CD8"/>
    <w:rsid w:val="00856DA9"/>
    <w:rsid w:val="00856DE4"/>
    <w:rsid w:val="00856E3A"/>
    <w:rsid w:val="00856E3E"/>
    <w:rsid w:val="00856E8A"/>
    <w:rsid w:val="00856E8C"/>
    <w:rsid w:val="00856EAD"/>
    <w:rsid w:val="00856ED8"/>
    <w:rsid w:val="00856F05"/>
    <w:rsid w:val="00857017"/>
    <w:rsid w:val="00857046"/>
    <w:rsid w:val="00857072"/>
    <w:rsid w:val="00857077"/>
    <w:rsid w:val="0085709D"/>
    <w:rsid w:val="00857124"/>
    <w:rsid w:val="00857173"/>
    <w:rsid w:val="00857267"/>
    <w:rsid w:val="00857272"/>
    <w:rsid w:val="008572D4"/>
    <w:rsid w:val="008572FF"/>
    <w:rsid w:val="00857381"/>
    <w:rsid w:val="008573B8"/>
    <w:rsid w:val="0085744E"/>
    <w:rsid w:val="0085751D"/>
    <w:rsid w:val="0085751F"/>
    <w:rsid w:val="0085755F"/>
    <w:rsid w:val="00857564"/>
    <w:rsid w:val="0085757D"/>
    <w:rsid w:val="008575A6"/>
    <w:rsid w:val="008575AE"/>
    <w:rsid w:val="00857607"/>
    <w:rsid w:val="0085761A"/>
    <w:rsid w:val="008576E7"/>
    <w:rsid w:val="0085775F"/>
    <w:rsid w:val="008577A3"/>
    <w:rsid w:val="00857954"/>
    <w:rsid w:val="00857962"/>
    <w:rsid w:val="00857968"/>
    <w:rsid w:val="0085796A"/>
    <w:rsid w:val="00857985"/>
    <w:rsid w:val="008579DA"/>
    <w:rsid w:val="00857AAB"/>
    <w:rsid w:val="00857ABF"/>
    <w:rsid w:val="00857AF2"/>
    <w:rsid w:val="00857BA1"/>
    <w:rsid w:val="00857BC6"/>
    <w:rsid w:val="00857BCF"/>
    <w:rsid w:val="00857BF4"/>
    <w:rsid w:val="00857C7B"/>
    <w:rsid w:val="00857D15"/>
    <w:rsid w:val="00857D1E"/>
    <w:rsid w:val="00857D69"/>
    <w:rsid w:val="00857DFF"/>
    <w:rsid w:val="00857E2B"/>
    <w:rsid w:val="00857E61"/>
    <w:rsid w:val="00857E6C"/>
    <w:rsid w:val="00857E76"/>
    <w:rsid w:val="00857E78"/>
    <w:rsid w:val="00857ED8"/>
    <w:rsid w:val="00857FA0"/>
    <w:rsid w:val="00857FEA"/>
    <w:rsid w:val="00860046"/>
    <w:rsid w:val="0086007D"/>
    <w:rsid w:val="0086009D"/>
    <w:rsid w:val="00860169"/>
    <w:rsid w:val="008601BA"/>
    <w:rsid w:val="0086028D"/>
    <w:rsid w:val="00860292"/>
    <w:rsid w:val="008602A7"/>
    <w:rsid w:val="00860359"/>
    <w:rsid w:val="00860384"/>
    <w:rsid w:val="008603B4"/>
    <w:rsid w:val="008603CE"/>
    <w:rsid w:val="008603E7"/>
    <w:rsid w:val="008604FA"/>
    <w:rsid w:val="008604FF"/>
    <w:rsid w:val="0086053E"/>
    <w:rsid w:val="0086064B"/>
    <w:rsid w:val="00860745"/>
    <w:rsid w:val="0086079E"/>
    <w:rsid w:val="008607B4"/>
    <w:rsid w:val="0086080D"/>
    <w:rsid w:val="008608A6"/>
    <w:rsid w:val="008608BA"/>
    <w:rsid w:val="008608DA"/>
    <w:rsid w:val="00860902"/>
    <w:rsid w:val="00860937"/>
    <w:rsid w:val="00860950"/>
    <w:rsid w:val="0086095F"/>
    <w:rsid w:val="008609A1"/>
    <w:rsid w:val="00860A45"/>
    <w:rsid w:val="00860A5A"/>
    <w:rsid w:val="00860AC4"/>
    <w:rsid w:val="00860B44"/>
    <w:rsid w:val="00860B4F"/>
    <w:rsid w:val="00860C25"/>
    <w:rsid w:val="00860C70"/>
    <w:rsid w:val="00860D56"/>
    <w:rsid w:val="00860DC4"/>
    <w:rsid w:val="00860E53"/>
    <w:rsid w:val="00860F33"/>
    <w:rsid w:val="00860F4B"/>
    <w:rsid w:val="0086106C"/>
    <w:rsid w:val="008610BC"/>
    <w:rsid w:val="008610F3"/>
    <w:rsid w:val="008611E6"/>
    <w:rsid w:val="00861220"/>
    <w:rsid w:val="0086126E"/>
    <w:rsid w:val="00861284"/>
    <w:rsid w:val="0086128E"/>
    <w:rsid w:val="008612AA"/>
    <w:rsid w:val="008612E5"/>
    <w:rsid w:val="0086133D"/>
    <w:rsid w:val="0086136D"/>
    <w:rsid w:val="008613AB"/>
    <w:rsid w:val="0086148A"/>
    <w:rsid w:val="008614AC"/>
    <w:rsid w:val="00861527"/>
    <w:rsid w:val="00861543"/>
    <w:rsid w:val="008615EA"/>
    <w:rsid w:val="00861697"/>
    <w:rsid w:val="008616B1"/>
    <w:rsid w:val="008616D8"/>
    <w:rsid w:val="00861702"/>
    <w:rsid w:val="00861776"/>
    <w:rsid w:val="00861797"/>
    <w:rsid w:val="008617BC"/>
    <w:rsid w:val="00861867"/>
    <w:rsid w:val="0086189E"/>
    <w:rsid w:val="008618B1"/>
    <w:rsid w:val="00861933"/>
    <w:rsid w:val="00861946"/>
    <w:rsid w:val="00861987"/>
    <w:rsid w:val="008619A4"/>
    <w:rsid w:val="008619CB"/>
    <w:rsid w:val="00861A06"/>
    <w:rsid w:val="00861A07"/>
    <w:rsid w:val="00861A32"/>
    <w:rsid w:val="00861AE9"/>
    <w:rsid w:val="00861B03"/>
    <w:rsid w:val="00861B1F"/>
    <w:rsid w:val="00861B28"/>
    <w:rsid w:val="00861B30"/>
    <w:rsid w:val="00861B53"/>
    <w:rsid w:val="00861B78"/>
    <w:rsid w:val="00861BC0"/>
    <w:rsid w:val="00861BFA"/>
    <w:rsid w:val="00861C1E"/>
    <w:rsid w:val="00861D57"/>
    <w:rsid w:val="00861DA7"/>
    <w:rsid w:val="00861DB2"/>
    <w:rsid w:val="00861DD5"/>
    <w:rsid w:val="00861DF4"/>
    <w:rsid w:val="00861E0E"/>
    <w:rsid w:val="00861E70"/>
    <w:rsid w:val="00861ECA"/>
    <w:rsid w:val="00861F2A"/>
    <w:rsid w:val="00861F9F"/>
    <w:rsid w:val="0086202B"/>
    <w:rsid w:val="008620AD"/>
    <w:rsid w:val="008620FE"/>
    <w:rsid w:val="00862256"/>
    <w:rsid w:val="008623EF"/>
    <w:rsid w:val="0086243A"/>
    <w:rsid w:val="00862496"/>
    <w:rsid w:val="008624B7"/>
    <w:rsid w:val="00862513"/>
    <w:rsid w:val="008625E7"/>
    <w:rsid w:val="00862647"/>
    <w:rsid w:val="00862787"/>
    <w:rsid w:val="008628A1"/>
    <w:rsid w:val="008628D8"/>
    <w:rsid w:val="00862954"/>
    <w:rsid w:val="008629C4"/>
    <w:rsid w:val="008629C5"/>
    <w:rsid w:val="00862A28"/>
    <w:rsid w:val="00862A6A"/>
    <w:rsid w:val="00862B61"/>
    <w:rsid w:val="00862B66"/>
    <w:rsid w:val="00862BB3"/>
    <w:rsid w:val="00862BC6"/>
    <w:rsid w:val="00862BFC"/>
    <w:rsid w:val="00862C2E"/>
    <w:rsid w:val="00862D0B"/>
    <w:rsid w:val="00862D33"/>
    <w:rsid w:val="00862D45"/>
    <w:rsid w:val="00862DE0"/>
    <w:rsid w:val="00862E85"/>
    <w:rsid w:val="00862E9C"/>
    <w:rsid w:val="00862EC5"/>
    <w:rsid w:val="00862F06"/>
    <w:rsid w:val="00862F0B"/>
    <w:rsid w:val="00862F62"/>
    <w:rsid w:val="00862F6B"/>
    <w:rsid w:val="00862F9C"/>
    <w:rsid w:val="00863021"/>
    <w:rsid w:val="0086303E"/>
    <w:rsid w:val="00863176"/>
    <w:rsid w:val="0086318F"/>
    <w:rsid w:val="00863208"/>
    <w:rsid w:val="00863220"/>
    <w:rsid w:val="008632C7"/>
    <w:rsid w:val="008632C8"/>
    <w:rsid w:val="0086332D"/>
    <w:rsid w:val="0086332E"/>
    <w:rsid w:val="0086333C"/>
    <w:rsid w:val="008633AE"/>
    <w:rsid w:val="008633F1"/>
    <w:rsid w:val="008633F2"/>
    <w:rsid w:val="008633F9"/>
    <w:rsid w:val="008634DE"/>
    <w:rsid w:val="008634EB"/>
    <w:rsid w:val="008634EE"/>
    <w:rsid w:val="008634FC"/>
    <w:rsid w:val="0086353F"/>
    <w:rsid w:val="00863558"/>
    <w:rsid w:val="00863646"/>
    <w:rsid w:val="00863657"/>
    <w:rsid w:val="008636FB"/>
    <w:rsid w:val="00863713"/>
    <w:rsid w:val="0086377D"/>
    <w:rsid w:val="0086378C"/>
    <w:rsid w:val="008637A9"/>
    <w:rsid w:val="008637E4"/>
    <w:rsid w:val="008638A8"/>
    <w:rsid w:val="00863921"/>
    <w:rsid w:val="0086393F"/>
    <w:rsid w:val="00863959"/>
    <w:rsid w:val="00863985"/>
    <w:rsid w:val="0086399F"/>
    <w:rsid w:val="008639E4"/>
    <w:rsid w:val="00863A33"/>
    <w:rsid w:val="00863B8E"/>
    <w:rsid w:val="00863BBB"/>
    <w:rsid w:val="00863BBD"/>
    <w:rsid w:val="00863CE8"/>
    <w:rsid w:val="00863DCD"/>
    <w:rsid w:val="00863ECD"/>
    <w:rsid w:val="00863F2B"/>
    <w:rsid w:val="00863F64"/>
    <w:rsid w:val="00863F93"/>
    <w:rsid w:val="00863FE2"/>
    <w:rsid w:val="00864110"/>
    <w:rsid w:val="00864118"/>
    <w:rsid w:val="0086411A"/>
    <w:rsid w:val="00864128"/>
    <w:rsid w:val="008641D3"/>
    <w:rsid w:val="008641DF"/>
    <w:rsid w:val="00864200"/>
    <w:rsid w:val="00864251"/>
    <w:rsid w:val="008642A7"/>
    <w:rsid w:val="008642A8"/>
    <w:rsid w:val="008642BA"/>
    <w:rsid w:val="008642C2"/>
    <w:rsid w:val="00864313"/>
    <w:rsid w:val="008643BE"/>
    <w:rsid w:val="008643C5"/>
    <w:rsid w:val="0086446D"/>
    <w:rsid w:val="008644F9"/>
    <w:rsid w:val="00864525"/>
    <w:rsid w:val="00864571"/>
    <w:rsid w:val="0086461B"/>
    <w:rsid w:val="00864647"/>
    <w:rsid w:val="0086465D"/>
    <w:rsid w:val="008646C7"/>
    <w:rsid w:val="00864710"/>
    <w:rsid w:val="00864751"/>
    <w:rsid w:val="008647E5"/>
    <w:rsid w:val="0086485B"/>
    <w:rsid w:val="008648CB"/>
    <w:rsid w:val="008648DD"/>
    <w:rsid w:val="00864922"/>
    <w:rsid w:val="00864956"/>
    <w:rsid w:val="00864966"/>
    <w:rsid w:val="0086499E"/>
    <w:rsid w:val="0086499F"/>
    <w:rsid w:val="008649A3"/>
    <w:rsid w:val="00864A06"/>
    <w:rsid w:val="00864A11"/>
    <w:rsid w:val="00864A65"/>
    <w:rsid w:val="00864A8F"/>
    <w:rsid w:val="00864AE4"/>
    <w:rsid w:val="00864B05"/>
    <w:rsid w:val="00864B43"/>
    <w:rsid w:val="00864B6B"/>
    <w:rsid w:val="00864BD3"/>
    <w:rsid w:val="00864BE4"/>
    <w:rsid w:val="00864BF4"/>
    <w:rsid w:val="00864C3B"/>
    <w:rsid w:val="00864C3D"/>
    <w:rsid w:val="00864DB9"/>
    <w:rsid w:val="00864DDC"/>
    <w:rsid w:val="00864E35"/>
    <w:rsid w:val="00864F83"/>
    <w:rsid w:val="00864FD5"/>
    <w:rsid w:val="00864FEE"/>
    <w:rsid w:val="00865033"/>
    <w:rsid w:val="0086505B"/>
    <w:rsid w:val="00865086"/>
    <w:rsid w:val="0086517C"/>
    <w:rsid w:val="008651B7"/>
    <w:rsid w:val="00865266"/>
    <w:rsid w:val="00865312"/>
    <w:rsid w:val="00865318"/>
    <w:rsid w:val="008653C6"/>
    <w:rsid w:val="0086548F"/>
    <w:rsid w:val="008654F6"/>
    <w:rsid w:val="0086550A"/>
    <w:rsid w:val="0086552E"/>
    <w:rsid w:val="00865571"/>
    <w:rsid w:val="0086557A"/>
    <w:rsid w:val="008655A8"/>
    <w:rsid w:val="008655F6"/>
    <w:rsid w:val="00865612"/>
    <w:rsid w:val="00865622"/>
    <w:rsid w:val="00865640"/>
    <w:rsid w:val="008656D0"/>
    <w:rsid w:val="008656E9"/>
    <w:rsid w:val="0086571C"/>
    <w:rsid w:val="008657B4"/>
    <w:rsid w:val="00865887"/>
    <w:rsid w:val="00865899"/>
    <w:rsid w:val="0086594C"/>
    <w:rsid w:val="00865957"/>
    <w:rsid w:val="0086599F"/>
    <w:rsid w:val="008659E2"/>
    <w:rsid w:val="008659FD"/>
    <w:rsid w:val="00865A09"/>
    <w:rsid w:val="00865AA4"/>
    <w:rsid w:val="00865B1A"/>
    <w:rsid w:val="00865B5D"/>
    <w:rsid w:val="00865BBB"/>
    <w:rsid w:val="00865BFD"/>
    <w:rsid w:val="00865C06"/>
    <w:rsid w:val="00865C27"/>
    <w:rsid w:val="00865C9A"/>
    <w:rsid w:val="00865CA3"/>
    <w:rsid w:val="00865CF6"/>
    <w:rsid w:val="00865D2F"/>
    <w:rsid w:val="00865D30"/>
    <w:rsid w:val="00865DEE"/>
    <w:rsid w:val="00865E19"/>
    <w:rsid w:val="00865F5D"/>
    <w:rsid w:val="00865F64"/>
    <w:rsid w:val="00865F76"/>
    <w:rsid w:val="00866007"/>
    <w:rsid w:val="0086600A"/>
    <w:rsid w:val="0086606F"/>
    <w:rsid w:val="008660FA"/>
    <w:rsid w:val="00866117"/>
    <w:rsid w:val="0086615B"/>
    <w:rsid w:val="00866196"/>
    <w:rsid w:val="008661D8"/>
    <w:rsid w:val="00866214"/>
    <w:rsid w:val="00866234"/>
    <w:rsid w:val="00866239"/>
    <w:rsid w:val="008662E1"/>
    <w:rsid w:val="00866318"/>
    <w:rsid w:val="008664B3"/>
    <w:rsid w:val="008664B5"/>
    <w:rsid w:val="008664C5"/>
    <w:rsid w:val="008664F3"/>
    <w:rsid w:val="00866563"/>
    <w:rsid w:val="00866635"/>
    <w:rsid w:val="00866637"/>
    <w:rsid w:val="00866665"/>
    <w:rsid w:val="0086666D"/>
    <w:rsid w:val="00866678"/>
    <w:rsid w:val="0086669E"/>
    <w:rsid w:val="00866770"/>
    <w:rsid w:val="008667B9"/>
    <w:rsid w:val="008668B2"/>
    <w:rsid w:val="008668C2"/>
    <w:rsid w:val="008668DD"/>
    <w:rsid w:val="0086694F"/>
    <w:rsid w:val="00866A26"/>
    <w:rsid w:val="00866A2F"/>
    <w:rsid w:val="00866A56"/>
    <w:rsid w:val="00866A7A"/>
    <w:rsid w:val="00866B2E"/>
    <w:rsid w:val="00866B5C"/>
    <w:rsid w:val="00866BC6"/>
    <w:rsid w:val="00866C75"/>
    <w:rsid w:val="00866D69"/>
    <w:rsid w:val="00866D9A"/>
    <w:rsid w:val="00866E49"/>
    <w:rsid w:val="00866EB2"/>
    <w:rsid w:val="00866F05"/>
    <w:rsid w:val="00866F3B"/>
    <w:rsid w:val="00866F51"/>
    <w:rsid w:val="00866F93"/>
    <w:rsid w:val="00866FE4"/>
    <w:rsid w:val="00866FF5"/>
    <w:rsid w:val="008670D0"/>
    <w:rsid w:val="008670EC"/>
    <w:rsid w:val="00867121"/>
    <w:rsid w:val="0086714F"/>
    <w:rsid w:val="008671AB"/>
    <w:rsid w:val="008671B9"/>
    <w:rsid w:val="00867302"/>
    <w:rsid w:val="0086731B"/>
    <w:rsid w:val="00867365"/>
    <w:rsid w:val="008673A8"/>
    <w:rsid w:val="00867416"/>
    <w:rsid w:val="0086746A"/>
    <w:rsid w:val="008674DC"/>
    <w:rsid w:val="008674DD"/>
    <w:rsid w:val="0086750A"/>
    <w:rsid w:val="00867539"/>
    <w:rsid w:val="00867545"/>
    <w:rsid w:val="00867549"/>
    <w:rsid w:val="00867550"/>
    <w:rsid w:val="0086755D"/>
    <w:rsid w:val="00867582"/>
    <w:rsid w:val="00867615"/>
    <w:rsid w:val="0086763E"/>
    <w:rsid w:val="008676AD"/>
    <w:rsid w:val="008676D2"/>
    <w:rsid w:val="00867742"/>
    <w:rsid w:val="008677D8"/>
    <w:rsid w:val="00867824"/>
    <w:rsid w:val="0086783F"/>
    <w:rsid w:val="0086784B"/>
    <w:rsid w:val="008678AA"/>
    <w:rsid w:val="0086798C"/>
    <w:rsid w:val="008679B3"/>
    <w:rsid w:val="00867A59"/>
    <w:rsid w:val="00867B6B"/>
    <w:rsid w:val="00867C86"/>
    <w:rsid w:val="00867CB4"/>
    <w:rsid w:val="00867D4C"/>
    <w:rsid w:val="00867D80"/>
    <w:rsid w:val="00867D90"/>
    <w:rsid w:val="00867E0A"/>
    <w:rsid w:val="00867EA5"/>
    <w:rsid w:val="00867EB4"/>
    <w:rsid w:val="00867EEF"/>
    <w:rsid w:val="00867F3A"/>
    <w:rsid w:val="00867FCF"/>
    <w:rsid w:val="00870013"/>
    <w:rsid w:val="00870067"/>
    <w:rsid w:val="00870095"/>
    <w:rsid w:val="00870164"/>
    <w:rsid w:val="008701AB"/>
    <w:rsid w:val="008701B6"/>
    <w:rsid w:val="008701DD"/>
    <w:rsid w:val="008701E6"/>
    <w:rsid w:val="00870256"/>
    <w:rsid w:val="0087026C"/>
    <w:rsid w:val="008702B9"/>
    <w:rsid w:val="008702F6"/>
    <w:rsid w:val="00870318"/>
    <w:rsid w:val="0087036A"/>
    <w:rsid w:val="00870435"/>
    <w:rsid w:val="00870494"/>
    <w:rsid w:val="0087049B"/>
    <w:rsid w:val="008704AF"/>
    <w:rsid w:val="008704F8"/>
    <w:rsid w:val="0087054F"/>
    <w:rsid w:val="008705A1"/>
    <w:rsid w:val="008706AA"/>
    <w:rsid w:val="0087071C"/>
    <w:rsid w:val="0087071F"/>
    <w:rsid w:val="00870730"/>
    <w:rsid w:val="0087073B"/>
    <w:rsid w:val="0087073C"/>
    <w:rsid w:val="0087077E"/>
    <w:rsid w:val="008707B5"/>
    <w:rsid w:val="008707C3"/>
    <w:rsid w:val="008707F6"/>
    <w:rsid w:val="0087094F"/>
    <w:rsid w:val="00870969"/>
    <w:rsid w:val="00870998"/>
    <w:rsid w:val="00870A6D"/>
    <w:rsid w:val="00870B4A"/>
    <w:rsid w:val="00870BCE"/>
    <w:rsid w:val="00870BFF"/>
    <w:rsid w:val="00870C17"/>
    <w:rsid w:val="00870C9C"/>
    <w:rsid w:val="00870CB5"/>
    <w:rsid w:val="00870CBA"/>
    <w:rsid w:val="00870CCB"/>
    <w:rsid w:val="00870CF9"/>
    <w:rsid w:val="00870D65"/>
    <w:rsid w:val="00870D99"/>
    <w:rsid w:val="00870E10"/>
    <w:rsid w:val="00870EC2"/>
    <w:rsid w:val="00870EED"/>
    <w:rsid w:val="00870EF3"/>
    <w:rsid w:val="00870F2E"/>
    <w:rsid w:val="00870F44"/>
    <w:rsid w:val="00870FA8"/>
    <w:rsid w:val="00870FF6"/>
    <w:rsid w:val="00871067"/>
    <w:rsid w:val="008710D3"/>
    <w:rsid w:val="008710D7"/>
    <w:rsid w:val="008710F1"/>
    <w:rsid w:val="0087111A"/>
    <w:rsid w:val="00871129"/>
    <w:rsid w:val="0087112A"/>
    <w:rsid w:val="0087117E"/>
    <w:rsid w:val="008711AD"/>
    <w:rsid w:val="00871202"/>
    <w:rsid w:val="00871247"/>
    <w:rsid w:val="008712A5"/>
    <w:rsid w:val="0087139C"/>
    <w:rsid w:val="00871464"/>
    <w:rsid w:val="008714B4"/>
    <w:rsid w:val="008714CB"/>
    <w:rsid w:val="0087152D"/>
    <w:rsid w:val="00871570"/>
    <w:rsid w:val="008715A5"/>
    <w:rsid w:val="00871611"/>
    <w:rsid w:val="008716C8"/>
    <w:rsid w:val="008717CF"/>
    <w:rsid w:val="008717EE"/>
    <w:rsid w:val="00871833"/>
    <w:rsid w:val="00871844"/>
    <w:rsid w:val="00871883"/>
    <w:rsid w:val="00871896"/>
    <w:rsid w:val="0087191F"/>
    <w:rsid w:val="00871950"/>
    <w:rsid w:val="00871997"/>
    <w:rsid w:val="008719AA"/>
    <w:rsid w:val="008719B3"/>
    <w:rsid w:val="008719D2"/>
    <w:rsid w:val="00871A46"/>
    <w:rsid w:val="00871A5B"/>
    <w:rsid w:val="00871B45"/>
    <w:rsid w:val="00871B48"/>
    <w:rsid w:val="00871BB7"/>
    <w:rsid w:val="00871C41"/>
    <w:rsid w:val="00871C8B"/>
    <w:rsid w:val="00871C9A"/>
    <w:rsid w:val="00871CC9"/>
    <w:rsid w:val="00871CD3"/>
    <w:rsid w:val="00871CF9"/>
    <w:rsid w:val="00871D07"/>
    <w:rsid w:val="00871D18"/>
    <w:rsid w:val="00871D3F"/>
    <w:rsid w:val="00871DD2"/>
    <w:rsid w:val="00871E94"/>
    <w:rsid w:val="00871EB0"/>
    <w:rsid w:val="00871EEB"/>
    <w:rsid w:val="00871FA4"/>
    <w:rsid w:val="00871FBA"/>
    <w:rsid w:val="00872088"/>
    <w:rsid w:val="008720DC"/>
    <w:rsid w:val="008720E1"/>
    <w:rsid w:val="008720EB"/>
    <w:rsid w:val="00872186"/>
    <w:rsid w:val="008721B5"/>
    <w:rsid w:val="008721EE"/>
    <w:rsid w:val="008721F3"/>
    <w:rsid w:val="008722D5"/>
    <w:rsid w:val="008722DA"/>
    <w:rsid w:val="008722DB"/>
    <w:rsid w:val="00872398"/>
    <w:rsid w:val="008724CA"/>
    <w:rsid w:val="0087257E"/>
    <w:rsid w:val="0087258B"/>
    <w:rsid w:val="008725B7"/>
    <w:rsid w:val="0087262F"/>
    <w:rsid w:val="0087265F"/>
    <w:rsid w:val="008726B5"/>
    <w:rsid w:val="008726B6"/>
    <w:rsid w:val="00872703"/>
    <w:rsid w:val="0087270D"/>
    <w:rsid w:val="00872895"/>
    <w:rsid w:val="008728C5"/>
    <w:rsid w:val="0087290D"/>
    <w:rsid w:val="00872A17"/>
    <w:rsid w:val="00872A58"/>
    <w:rsid w:val="00872AF4"/>
    <w:rsid w:val="00872AF5"/>
    <w:rsid w:val="00872B05"/>
    <w:rsid w:val="00872BD0"/>
    <w:rsid w:val="00872BF7"/>
    <w:rsid w:val="00872C6A"/>
    <w:rsid w:val="00872CF3"/>
    <w:rsid w:val="00872D41"/>
    <w:rsid w:val="00872D89"/>
    <w:rsid w:val="00872DB5"/>
    <w:rsid w:val="00872DF4"/>
    <w:rsid w:val="00872DFA"/>
    <w:rsid w:val="00872E2C"/>
    <w:rsid w:val="00872EE2"/>
    <w:rsid w:val="00872F36"/>
    <w:rsid w:val="00872F7C"/>
    <w:rsid w:val="00872FB4"/>
    <w:rsid w:val="00872FD7"/>
    <w:rsid w:val="008730BB"/>
    <w:rsid w:val="008730BE"/>
    <w:rsid w:val="008730CF"/>
    <w:rsid w:val="008730E4"/>
    <w:rsid w:val="0087318A"/>
    <w:rsid w:val="008731D4"/>
    <w:rsid w:val="0087327D"/>
    <w:rsid w:val="00873319"/>
    <w:rsid w:val="00873432"/>
    <w:rsid w:val="00873451"/>
    <w:rsid w:val="008734C5"/>
    <w:rsid w:val="00873562"/>
    <w:rsid w:val="00873589"/>
    <w:rsid w:val="008735F1"/>
    <w:rsid w:val="00873779"/>
    <w:rsid w:val="00873789"/>
    <w:rsid w:val="0087379F"/>
    <w:rsid w:val="0087381D"/>
    <w:rsid w:val="00873859"/>
    <w:rsid w:val="00873868"/>
    <w:rsid w:val="00873888"/>
    <w:rsid w:val="00873963"/>
    <w:rsid w:val="008739BA"/>
    <w:rsid w:val="008739D2"/>
    <w:rsid w:val="008739D6"/>
    <w:rsid w:val="00873A4B"/>
    <w:rsid w:val="00873A7D"/>
    <w:rsid w:val="00873ACA"/>
    <w:rsid w:val="00873B28"/>
    <w:rsid w:val="00873B52"/>
    <w:rsid w:val="00873C13"/>
    <w:rsid w:val="00873C17"/>
    <w:rsid w:val="00873D54"/>
    <w:rsid w:val="00873D72"/>
    <w:rsid w:val="00873D9F"/>
    <w:rsid w:val="00873E17"/>
    <w:rsid w:val="00873EDE"/>
    <w:rsid w:val="00873F01"/>
    <w:rsid w:val="00873FF3"/>
    <w:rsid w:val="00874024"/>
    <w:rsid w:val="008740B2"/>
    <w:rsid w:val="00874108"/>
    <w:rsid w:val="00874118"/>
    <w:rsid w:val="00874149"/>
    <w:rsid w:val="00874163"/>
    <w:rsid w:val="00874169"/>
    <w:rsid w:val="008741DB"/>
    <w:rsid w:val="008741E1"/>
    <w:rsid w:val="008742EE"/>
    <w:rsid w:val="00874442"/>
    <w:rsid w:val="0087446D"/>
    <w:rsid w:val="0087452B"/>
    <w:rsid w:val="0087454D"/>
    <w:rsid w:val="008745AB"/>
    <w:rsid w:val="008745DA"/>
    <w:rsid w:val="008745DC"/>
    <w:rsid w:val="0087461F"/>
    <w:rsid w:val="0087464F"/>
    <w:rsid w:val="0087465E"/>
    <w:rsid w:val="0087469C"/>
    <w:rsid w:val="008746C6"/>
    <w:rsid w:val="008746FF"/>
    <w:rsid w:val="008747E3"/>
    <w:rsid w:val="008747EA"/>
    <w:rsid w:val="0087493D"/>
    <w:rsid w:val="00874A3D"/>
    <w:rsid w:val="00874A58"/>
    <w:rsid w:val="00874A63"/>
    <w:rsid w:val="00874A9F"/>
    <w:rsid w:val="00874B74"/>
    <w:rsid w:val="00874BFA"/>
    <w:rsid w:val="00874C10"/>
    <w:rsid w:val="00874CA4"/>
    <w:rsid w:val="00874CE1"/>
    <w:rsid w:val="00874CFD"/>
    <w:rsid w:val="00874CFF"/>
    <w:rsid w:val="00874D20"/>
    <w:rsid w:val="00874DA2"/>
    <w:rsid w:val="00874DA4"/>
    <w:rsid w:val="00874E88"/>
    <w:rsid w:val="00874EC3"/>
    <w:rsid w:val="00874ED4"/>
    <w:rsid w:val="00874EE8"/>
    <w:rsid w:val="00874F37"/>
    <w:rsid w:val="00874FED"/>
    <w:rsid w:val="00874FF6"/>
    <w:rsid w:val="0087508F"/>
    <w:rsid w:val="00875121"/>
    <w:rsid w:val="0087516A"/>
    <w:rsid w:val="008751AA"/>
    <w:rsid w:val="008751C5"/>
    <w:rsid w:val="008751D3"/>
    <w:rsid w:val="0087529B"/>
    <w:rsid w:val="008752CF"/>
    <w:rsid w:val="0087539F"/>
    <w:rsid w:val="008753A3"/>
    <w:rsid w:val="008753AB"/>
    <w:rsid w:val="008753F9"/>
    <w:rsid w:val="008753FB"/>
    <w:rsid w:val="0087542F"/>
    <w:rsid w:val="00875495"/>
    <w:rsid w:val="0087549B"/>
    <w:rsid w:val="008754C6"/>
    <w:rsid w:val="00875541"/>
    <w:rsid w:val="00875542"/>
    <w:rsid w:val="008755C5"/>
    <w:rsid w:val="0087562F"/>
    <w:rsid w:val="008756A2"/>
    <w:rsid w:val="008756CE"/>
    <w:rsid w:val="008756DA"/>
    <w:rsid w:val="00875729"/>
    <w:rsid w:val="00875732"/>
    <w:rsid w:val="008757AF"/>
    <w:rsid w:val="008757B9"/>
    <w:rsid w:val="0087580D"/>
    <w:rsid w:val="00875811"/>
    <w:rsid w:val="0087585B"/>
    <w:rsid w:val="008758F7"/>
    <w:rsid w:val="008758FE"/>
    <w:rsid w:val="008759C2"/>
    <w:rsid w:val="00875A07"/>
    <w:rsid w:val="00875A93"/>
    <w:rsid w:val="00875AA9"/>
    <w:rsid w:val="00875B41"/>
    <w:rsid w:val="00875B9D"/>
    <w:rsid w:val="00875BF6"/>
    <w:rsid w:val="00875C1E"/>
    <w:rsid w:val="00875C68"/>
    <w:rsid w:val="00875C9D"/>
    <w:rsid w:val="00875CD9"/>
    <w:rsid w:val="00875CEA"/>
    <w:rsid w:val="00875DBD"/>
    <w:rsid w:val="00875E01"/>
    <w:rsid w:val="00875E06"/>
    <w:rsid w:val="00875E59"/>
    <w:rsid w:val="00875E71"/>
    <w:rsid w:val="00875F36"/>
    <w:rsid w:val="0087603B"/>
    <w:rsid w:val="0087603D"/>
    <w:rsid w:val="00876150"/>
    <w:rsid w:val="0087618F"/>
    <w:rsid w:val="008761AD"/>
    <w:rsid w:val="008761CF"/>
    <w:rsid w:val="00876213"/>
    <w:rsid w:val="008763E0"/>
    <w:rsid w:val="00876485"/>
    <w:rsid w:val="008764FB"/>
    <w:rsid w:val="0087653A"/>
    <w:rsid w:val="00876548"/>
    <w:rsid w:val="008765CB"/>
    <w:rsid w:val="008766CE"/>
    <w:rsid w:val="008766F3"/>
    <w:rsid w:val="00876791"/>
    <w:rsid w:val="008767C9"/>
    <w:rsid w:val="008767EB"/>
    <w:rsid w:val="00876887"/>
    <w:rsid w:val="00876891"/>
    <w:rsid w:val="00876912"/>
    <w:rsid w:val="00876931"/>
    <w:rsid w:val="008769C5"/>
    <w:rsid w:val="008769E8"/>
    <w:rsid w:val="008769F9"/>
    <w:rsid w:val="008769FA"/>
    <w:rsid w:val="00876A08"/>
    <w:rsid w:val="00876A33"/>
    <w:rsid w:val="00876A75"/>
    <w:rsid w:val="00876A91"/>
    <w:rsid w:val="00876B1B"/>
    <w:rsid w:val="00876BB0"/>
    <w:rsid w:val="00876C4A"/>
    <w:rsid w:val="00876C79"/>
    <w:rsid w:val="00876C96"/>
    <w:rsid w:val="00876CBB"/>
    <w:rsid w:val="00876D76"/>
    <w:rsid w:val="00876DEE"/>
    <w:rsid w:val="00876E49"/>
    <w:rsid w:val="00876F25"/>
    <w:rsid w:val="00876FD7"/>
    <w:rsid w:val="00877049"/>
    <w:rsid w:val="0087705A"/>
    <w:rsid w:val="00877070"/>
    <w:rsid w:val="008770A8"/>
    <w:rsid w:val="008770AD"/>
    <w:rsid w:val="008770C7"/>
    <w:rsid w:val="008770F0"/>
    <w:rsid w:val="0087728E"/>
    <w:rsid w:val="0087732E"/>
    <w:rsid w:val="008773BB"/>
    <w:rsid w:val="008773ED"/>
    <w:rsid w:val="008774DE"/>
    <w:rsid w:val="00877505"/>
    <w:rsid w:val="0087753A"/>
    <w:rsid w:val="0087756E"/>
    <w:rsid w:val="008775D0"/>
    <w:rsid w:val="00877603"/>
    <w:rsid w:val="00877616"/>
    <w:rsid w:val="0087770E"/>
    <w:rsid w:val="0087775A"/>
    <w:rsid w:val="0087776C"/>
    <w:rsid w:val="0087776E"/>
    <w:rsid w:val="00877784"/>
    <w:rsid w:val="00877798"/>
    <w:rsid w:val="008777A5"/>
    <w:rsid w:val="008777A6"/>
    <w:rsid w:val="008777C1"/>
    <w:rsid w:val="00877820"/>
    <w:rsid w:val="00877830"/>
    <w:rsid w:val="00877875"/>
    <w:rsid w:val="0087787F"/>
    <w:rsid w:val="008778E7"/>
    <w:rsid w:val="0087791A"/>
    <w:rsid w:val="008779F5"/>
    <w:rsid w:val="00877A29"/>
    <w:rsid w:val="00877A4D"/>
    <w:rsid w:val="00877AA8"/>
    <w:rsid w:val="00877B16"/>
    <w:rsid w:val="00877C4E"/>
    <w:rsid w:val="00877C51"/>
    <w:rsid w:val="00877CAD"/>
    <w:rsid w:val="00877DAA"/>
    <w:rsid w:val="00877E0A"/>
    <w:rsid w:val="00877E33"/>
    <w:rsid w:val="00877E69"/>
    <w:rsid w:val="00877EB4"/>
    <w:rsid w:val="00877EC6"/>
    <w:rsid w:val="00877EC8"/>
    <w:rsid w:val="00877F23"/>
    <w:rsid w:val="00877F46"/>
    <w:rsid w:val="00877FB2"/>
    <w:rsid w:val="00880051"/>
    <w:rsid w:val="008800AE"/>
    <w:rsid w:val="008800B1"/>
    <w:rsid w:val="0088013A"/>
    <w:rsid w:val="0088015F"/>
    <w:rsid w:val="0088019A"/>
    <w:rsid w:val="0088021C"/>
    <w:rsid w:val="0088022F"/>
    <w:rsid w:val="00880231"/>
    <w:rsid w:val="00880260"/>
    <w:rsid w:val="0088026F"/>
    <w:rsid w:val="0088028D"/>
    <w:rsid w:val="00880336"/>
    <w:rsid w:val="0088036D"/>
    <w:rsid w:val="0088040D"/>
    <w:rsid w:val="00880483"/>
    <w:rsid w:val="008804E0"/>
    <w:rsid w:val="008804FB"/>
    <w:rsid w:val="00880554"/>
    <w:rsid w:val="00880586"/>
    <w:rsid w:val="0088064F"/>
    <w:rsid w:val="0088065A"/>
    <w:rsid w:val="00880721"/>
    <w:rsid w:val="0088072C"/>
    <w:rsid w:val="00880766"/>
    <w:rsid w:val="00880767"/>
    <w:rsid w:val="008807F6"/>
    <w:rsid w:val="00880870"/>
    <w:rsid w:val="008808F5"/>
    <w:rsid w:val="00880922"/>
    <w:rsid w:val="00880A25"/>
    <w:rsid w:val="00880B0B"/>
    <w:rsid w:val="00880B34"/>
    <w:rsid w:val="00880BEE"/>
    <w:rsid w:val="00880C18"/>
    <w:rsid w:val="00880C51"/>
    <w:rsid w:val="00880C61"/>
    <w:rsid w:val="00880CFD"/>
    <w:rsid w:val="00880D75"/>
    <w:rsid w:val="00880D89"/>
    <w:rsid w:val="00880DF4"/>
    <w:rsid w:val="00880E03"/>
    <w:rsid w:val="00880E0C"/>
    <w:rsid w:val="00880E0F"/>
    <w:rsid w:val="00880E88"/>
    <w:rsid w:val="00880E98"/>
    <w:rsid w:val="00880F02"/>
    <w:rsid w:val="00880FE6"/>
    <w:rsid w:val="00881171"/>
    <w:rsid w:val="0088122C"/>
    <w:rsid w:val="0088123C"/>
    <w:rsid w:val="0088124D"/>
    <w:rsid w:val="00881262"/>
    <w:rsid w:val="0088127F"/>
    <w:rsid w:val="0088129A"/>
    <w:rsid w:val="0088133C"/>
    <w:rsid w:val="00881382"/>
    <w:rsid w:val="008813A6"/>
    <w:rsid w:val="00881471"/>
    <w:rsid w:val="008814C3"/>
    <w:rsid w:val="00881589"/>
    <w:rsid w:val="0088159C"/>
    <w:rsid w:val="008815BF"/>
    <w:rsid w:val="008815F8"/>
    <w:rsid w:val="00881666"/>
    <w:rsid w:val="00881687"/>
    <w:rsid w:val="008816E4"/>
    <w:rsid w:val="0088177E"/>
    <w:rsid w:val="00881796"/>
    <w:rsid w:val="008817E1"/>
    <w:rsid w:val="008817ED"/>
    <w:rsid w:val="008817F9"/>
    <w:rsid w:val="00881877"/>
    <w:rsid w:val="008818A9"/>
    <w:rsid w:val="008818D7"/>
    <w:rsid w:val="0088191D"/>
    <w:rsid w:val="00881998"/>
    <w:rsid w:val="008819A2"/>
    <w:rsid w:val="008819AB"/>
    <w:rsid w:val="00881A07"/>
    <w:rsid w:val="00881A64"/>
    <w:rsid w:val="00881A7A"/>
    <w:rsid w:val="00881BCA"/>
    <w:rsid w:val="00881BCF"/>
    <w:rsid w:val="00881BD6"/>
    <w:rsid w:val="00881C2F"/>
    <w:rsid w:val="00881C4E"/>
    <w:rsid w:val="00881C6F"/>
    <w:rsid w:val="00881D2F"/>
    <w:rsid w:val="00881D32"/>
    <w:rsid w:val="00881D3F"/>
    <w:rsid w:val="00881D88"/>
    <w:rsid w:val="00881E01"/>
    <w:rsid w:val="00881E13"/>
    <w:rsid w:val="00881E2D"/>
    <w:rsid w:val="00881F8F"/>
    <w:rsid w:val="00882015"/>
    <w:rsid w:val="0088201C"/>
    <w:rsid w:val="008820AC"/>
    <w:rsid w:val="008820F5"/>
    <w:rsid w:val="0088211D"/>
    <w:rsid w:val="008821E1"/>
    <w:rsid w:val="00882210"/>
    <w:rsid w:val="0088225F"/>
    <w:rsid w:val="00882286"/>
    <w:rsid w:val="008822C7"/>
    <w:rsid w:val="0088238F"/>
    <w:rsid w:val="008823CB"/>
    <w:rsid w:val="008823F2"/>
    <w:rsid w:val="0088240E"/>
    <w:rsid w:val="0088247F"/>
    <w:rsid w:val="00882488"/>
    <w:rsid w:val="008824EB"/>
    <w:rsid w:val="008825E9"/>
    <w:rsid w:val="008825F2"/>
    <w:rsid w:val="00882645"/>
    <w:rsid w:val="00882727"/>
    <w:rsid w:val="0088274B"/>
    <w:rsid w:val="008827D0"/>
    <w:rsid w:val="0088283C"/>
    <w:rsid w:val="008828FE"/>
    <w:rsid w:val="0088291C"/>
    <w:rsid w:val="00882930"/>
    <w:rsid w:val="00882938"/>
    <w:rsid w:val="00882954"/>
    <w:rsid w:val="0088296E"/>
    <w:rsid w:val="0088297D"/>
    <w:rsid w:val="00882A20"/>
    <w:rsid w:val="00882A29"/>
    <w:rsid w:val="00882A2C"/>
    <w:rsid w:val="00882A8B"/>
    <w:rsid w:val="00882AB1"/>
    <w:rsid w:val="00882AED"/>
    <w:rsid w:val="00882B45"/>
    <w:rsid w:val="00882B70"/>
    <w:rsid w:val="00882BF7"/>
    <w:rsid w:val="00882C89"/>
    <w:rsid w:val="00882CDB"/>
    <w:rsid w:val="00882DCD"/>
    <w:rsid w:val="00882DDA"/>
    <w:rsid w:val="00882DF1"/>
    <w:rsid w:val="00882DF7"/>
    <w:rsid w:val="00882E38"/>
    <w:rsid w:val="00882E62"/>
    <w:rsid w:val="00882F1F"/>
    <w:rsid w:val="00883017"/>
    <w:rsid w:val="0088304A"/>
    <w:rsid w:val="00883091"/>
    <w:rsid w:val="00883098"/>
    <w:rsid w:val="008830A6"/>
    <w:rsid w:val="00883116"/>
    <w:rsid w:val="008831A2"/>
    <w:rsid w:val="008831FB"/>
    <w:rsid w:val="00883229"/>
    <w:rsid w:val="0088325C"/>
    <w:rsid w:val="0088326D"/>
    <w:rsid w:val="0088330B"/>
    <w:rsid w:val="0088335D"/>
    <w:rsid w:val="008833AB"/>
    <w:rsid w:val="00883400"/>
    <w:rsid w:val="008834D1"/>
    <w:rsid w:val="00883517"/>
    <w:rsid w:val="00883546"/>
    <w:rsid w:val="0088364B"/>
    <w:rsid w:val="0088365E"/>
    <w:rsid w:val="008836F6"/>
    <w:rsid w:val="00883748"/>
    <w:rsid w:val="00883785"/>
    <w:rsid w:val="008837DA"/>
    <w:rsid w:val="00883833"/>
    <w:rsid w:val="008838E4"/>
    <w:rsid w:val="008838F9"/>
    <w:rsid w:val="00883935"/>
    <w:rsid w:val="0088398B"/>
    <w:rsid w:val="008839F2"/>
    <w:rsid w:val="00883A5B"/>
    <w:rsid w:val="00883A5D"/>
    <w:rsid w:val="00883B09"/>
    <w:rsid w:val="00883B0A"/>
    <w:rsid w:val="00883B10"/>
    <w:rsid w:val="00883B39"/>
    <w:rsid w:val="00883B81"/>
    <w:rsid w:val="00883BD7"/>
    <w:rsid w:val="00883C0E"/>
    <w:rsid w:val="00883C3F"/>
    <w:rsid w:val="00883C43"/>
    <w:rsid w:val="00883CBF"/>
    <w:rsid w:val="00883CEA"/>
    <w:rsid w:val="00883D9D"/>
    <w:rsid w:val="00883DAE"/>
    <w:rsid w:val="00883DB0"/>
    <w:rsid w:val="00883DCE"/>
    <w:rsid w:val="00883E7F"/>
    <w:rsid w:val="00883E9E"/>
    <w:rsid w:val="008840E4"/>
    <w:rsid w:val="008840FA"/>
    <w:rsid w:val="00884120"/>
    <w:rsid w:val="0088412E"/>
    <w:rsid w:val="0088414F"/>
    <w:rsid w:val="008841DA"/>
    <w:rsid w:val="008841F6"/>
    <w:rsid w:val="0088420F"/>
    <w:rsid w:val="0088422F"/>
    <w:rsid w:val="00884252"/>
    <w:rsid w:val="00884270"/>
    <w:rsid w:val="008842E1"/>
    <w:rsid w:val="00884305"/>
    <w:rsid w:val="00884325"/>
    <w:rsid w:val="00884394"/>
    <w:rsid w:val="008843A5"/>
    <w:rsid w:val="008843B8"/>
    <w:rsid w:val="00884404"/>
    <w:rsid w:val="00884443"/>
    <w:rsid w:val="0088444B"/>
    <w:rsid w:val="008844AC"/>
    <w:rsid w:val="008844C5"/>
    <w:rsid w:val="00884654"/>
    <w:rsid w:val="008846BF"/>
    <w:rsid w:val="00884783"/>
    <w:rsid w:val="008847ED"/>
    <w:rsid w:val="0088482D"/>
    <w:rsid w:val="008848F9"/>
    <w:rsid w:val="00884915"/>
    <w:rsid w:val="00884963"/>
    <w:rsid w:val="008849A7"/>
    <w:rsid w:val="008849B7"/>
    <w:rsid w:val="008849B8"/>
    <w:rsid w:val="008849C4"/>
    <w:rsid w:val="008849E2"/>
    <w:rsid w:val="00884ABD"/>
    <w:rsid w:val="00884B1B"/>
    <w:rsid w:val="00884BFE"/>
    <w:rsid w:val="00884C32"/>
    <w:rsid w:val="00884C4E"/>
    <w:rsid w:val="00884C5C"/>
    <w:rsid w:val="00884CB8"/>
    <w:rsid w:val="00884CD9"/>
    <w:rsid w:val="00884D26"/>
    <w:rsid w:val="00884D6C"/>
    <w:rsid w:val="00884DC9"/>
    <w:rsid w:val="00884E56"/>
    <w:rsid w:val="00884E8F"/>
    <w:rsid w:val="00884EB5"/>
    <w:rsid w:val="00884F9F"/>
    <w:rsid w:val="00884FDB"/>
    <w:rsid w:val="00884FE6"/>
    <w:rsid w:val="00884FEB"/>
    <w:rsid w:val="008850C7"/>
    <w:rsid w:val="00885129"/>
    <w:rsid w:val="00885157"/>
    <w:rsid w:val="00885214"/>
    <w:rsid w:val="00885315"/>
    <w:rsid w:val="0088532E"/>
    <w:rsid w:val="008853C5"/>
    <w:rsid w:val="008853E2"/>
    <w:rsid w:val="008853FA"/>
    <w:rsid w:val="0088541E"/>
    <w:rsid w:val="00885429"/>
    <w:rsid w:val="00885471"/>
    <w:rsid w:val="00885478"/>
    <w:rsid w:val="008854D1"/>
    <w:rsid w:val="008854D4"/>
    <w:rsid w:val="0088553E"/>
    <w:rsid w:val="0088558F"/>
    <w:rsid w:val="00885619"/>
    <w:rsid w:val="00885724"/>
    <w:rsid w:val="00885730"/>
    <w:rsid w:val="00885871"/>
    <w:rsid w:val="00885879"/>
    <w:rsid w:val="00885899"/>
    <w:rsid w:val="00885982"/>
    <w:rsid w:val="008859A7"/>
    <w:rsid w:val="008859D5"/>
    <w:rsid w:val="008859DC"/>
    <w:rsid w:val="00885A3B"/>
    <w:rsid w:val="00885AB3"/>
    <w:rsid w:val="00885B07"/>
    <w:rsid w:val="00885B1B"/>
    <w:rsid w:val="00885B3B"/>
    <w:rsid w:val="00885B5F"/>
    <w:rsid w:val="00885B68"/>
    <w:rsid w:val="00885C11"/>
    <w:rsid w:val="00885C12"/>
    <w:rsid w:val="00885C1F"/>
    <w:rsid w:val="00885C8B"/>
    <w:rsid w:val="00885CC8"/>
    <w:rsid w:val="00885CF3"/>
    <w:rsid w:val="00885D30"/>
    <w:rsid w:val="00885D4E"/>
    <w:rsid w:val="00885DA0"/>
    <w:rsid w:val="00885DAF"/>
    <w:rsid w:val="00885DC0"/>
    <w:rsid w:val="00885E1E"/>
    <w:rsid w:val="00885E5B"/>
    <w:rsid w:val="00885E5E"/>
    <w:rsid w:val="00885E6C"/>
    <w:rsid w:val="00885ECB"/>
    <w:rsid w:val="00885EE7"/>
    <w:rsid w:val="00885F3C"/>
    <w:rsid w:val="00886001"/>
    <w:rsid w:val="00886024"/>
    <w:rsid w:val="0088607B"/>
    <w:rsid w:val="00886118"/>
    <w:rsid w:val="00886150"/>
    <w:rsid w:val="00886152"/>
    <w:rsid w:val="0088615A"/>
    <w:rsid w:val="008861EF"/>
    <w:rsid w:val="00886205"/>
    <w:rsid w:val="00886231"/>
    <w:rsid w:val="008862A2"/>
    <w:rsid w:val="008862D8"/>
    <w:rsid w:val="00886310"/>
    <w:rsid w:val="00886325"/>
    <w:rsid w:val="00886331"/>
    <w:rsid w:val="00886344"/>
    <w:rsid w:val="00886421"/>
    <w:rsid w:val="00886430"/>
    <w:rsid w:val="0088646D"/>
    <w:rsid w:val="008864BE"/>
    <w:rsid w:val="008865B4"/>
    <w:rsid w:val="008865CD"/>
    <w:rsid w:val="008865D1"/>
    <w:rsid w:val="008865D6"/>
    <w:rsid w:val="00886640"/>
    <w:rsid w:val="008866EE"/>
    <w:rsid w:val="008866F5"/>
    <w:rsid w:val="0088675D"/>
    <w:rsid w:val="0088678C"/>
    <w:rsid w:val="008867D6"/>
    <w:rsid w:val="008867FE"/>
    <w:rsid w:val="0088682E"/>
    <w:rsid w:val="00886862"/>
    <w:rsid w:val="00886903"/>
    <w:rsid w:val="0088696B"/>
    <w:rsid w:val="00886996"/>
    <w:rsid w:val="00886A06"/>
    <w:rsid w:val="00886A5B"/>
    <w:rsid w:val="00886A67"/>
    <w:rsid w:val="00886A7B"/>
    <w:rsid w:val="00886AD8"/>
    <w:rsid w:val="00886AEF"/>
    <w:rsid w:val="00886B21"/>
    <w:rsid w:val="00886B78"/>
    <w:rsid w:val="00886BB1"/>
    <w:rsid w:val="00886C33"/>
    <w:rsid w:val="00886C6B"/>
    <w:rsid w:val="00886CF5"/>
    <w:rsid w:val="00886D19"/>
    <w:rsid w:val="00886D3D"/>
    <w:rsid w:val="00886D52"/>
    <w:rsid w:val="00886D7F"/>
    <w:rsid w:val="00886D8A"/>
    <w:rsid w:val="00886DA1"/>
    <w:rsid w:val="00886DF3"/>
    <w:rsid w:val="00886E38"/>
    <w:rsid w:val="00886E8C"/>
    <w:rsid w:val="00886ECD"/>
    <w:rsid w:val="00887099"/>
    <w:rsid w:val="008870C7"/>
    <w:rsid w:val="008870CD"/>
    <w:rsid w:val="008870EA"/>
    <w:rsid w:val="00887141"/>
    <w:rsid w:val="0088714D"/>
    <w:rsid w:val="0088716A"/>
    <w:rsid w:val="00887191"/>
    <w:rsid w:val="008871B0"/>
    <w:rsid w:val="008871E0"/>
    <w:rsid w:val="008872A8"/>
    <w:rsid w:val="008872B1"/>
    <w:rsid w:val="00887369"/>
    <w:rsid w:val="00887393"/>
    <w:rsid w:val="008873BF"/>
    <w:rsid w:val="008873D1"/>
    <w:rsid w:val="008873EF"/>
    <w:rsid w:val="00887413"/>
    <w:rsid w:val="0088749E"/>
    <w:rsid w:val="008874C2"/>
    <w:rsid w:val="008874E0"/>
    <w:rsid w:val="0088754D"/>
    <w:rsid w:val="00887558"/>
    <w:rsid w:val="00887589"/>
    <w:rsid w:val="00887594"/>
    <w:rsid w:val="008875DB"/>
    <w:rsid w:val="00887677"/>
    <w:rsid w:val="008876DB"/>
    <w:rsid w:val="0088778A"/>
    <w:rsid w:val="0088778C"/>
    <w:rsid w:val="00887798"/>
    <w:rsid w:val="008877A4"/>
    <w:rsid w:val="00887829"/>
    <w:rsid w:val="0088787B"/>
    <w:rsid w:val="008878F6"/>
    <w:rsid w:val="00887949"/>
    <w:rsid w:val="008879DA"/>
    <w:rsid w:val="008879E6"/>
    <w:rsid w:val="00887A52"/>
    <w:rsid w:val="00887A7C"/>
    <w:rsid w:val="00887A91"/>
    <w:rsid w:val="00887AA1"/>
    <w:rsid w:val="00887B06"/>
    <w:rsid w:val="00887B94"/>
    <w:rsid w:val="00887BD3"/>
    <w:rsid w:val="00887C4E"/>
    <w:rsid w:val="00887C74"/>
    <w:rsid w:val="00887CDA"/>
    <w:rsid w:val="00887D0B"/>
    <w:rsid w:val="00887E58"/>
    <w:rsid w:val="00887F2D"/>
    <w:rsid w:val="00887F58"/>
    <w:rsid w:val="00887F7B"/>
    <w:rsid w:val="00887FAD"/>
    <w:rsid w:val="00890035"/>
    <w:rsid w:val="00890080"/>
    <w:rsid w:val="008900BE"/>
    <w:rsid w:val="008900D6"/>
    <w:rsid w:val="00890141"/>
    <w:rsid w:val="00890150"/>
    <w:rsid w:val="00890155"/>
    <w:rsid w:val="008901C0"/>
    <w:rsid w:val="008901C3"/>
    <w:rsid w:val="008901F8"/>
    <w:rsid w:val="00890294"/>
    <w:rsid w:val="00890329"/>
    <w:rsid w:val="00890366"/>
    <w:rsid w:val="0089037C"/>
    <w:rsid w:val="00890382"/>
    <w:rsid w:val="00890386"/>
    <w:rsid w:val="00890393"/>
    <w:rsid w:val="00890414"/>
    <w:rsid w:val="00890446"/>
    <w:rsid w:val="0089048E"/>
    <w:rsid w:val="008904E7"/>
    <w:rsid w:val="0089051F"/>
    <w:rsid w:val="008905C2"/>
    <w:rsid w:val="008905CC"/>
    <w:rsid w:val="0089062C"/>
    <w:rsid w:val="008906C7"/>
    <w:rsid w:val="00890729"/>
    <w:rsid w:val="008907F2"/>
    <w:rsid w:val="008907FC"/>
    <w:rsid w:val="00890804"/>
    <w:rsid w:val="0089084B"/>
    <w:rsid w:val="008908D1"/>
    <w:rsid w:val="008908EE"/>
    <w:rsid w:val="00890905"/>
    <w:rsid w:val="00890912"/>
    <w:rsid w:val="00890915"/>
    <w:rsid w:val="008909C4"/>
    <w:rsid w:val="00890A3D"/>
    <w:rsid w:val="00890ABD"/>
    <w:rsid w:val="00890AD3"/>
    <w:rsid w:val="00890AF6"/>
    <w:rsid w:val="00890B01"/>
    <w:rsid w:val="00890B60"/>
    <w:rsid w:val="00890B9E"/>
    <w:rsid w:val="00890BAC"/>
    <w:rsid w:val="00890C4E"/>
    <w:rsid w:val="00890D33"/>
    <w:rsid w:val="00890D80"/>
    <w:rsid w:val="00890DAB"/>
    <w:rsid w:val="00890E75"/>
    <w:rsid w:val="00890E7C"/>
    <w:rsid w:val="00890F6A"/>
    <w:rsid w:val="00890FC4"/>
    <w:rsid w:val="0089105C"/>
    <w:rsid w:val="008910C3"/>
    <w:rsid w:val="008910E1"/>
    <w:rsid w:val="008910E9"/>
    <w:rsid w:val="00891163"/>
    <w:rsid w:val="00891181"/>
    <w:rsid w:val="008911CF"/>
    <w:rsid w:val="008911FE"/>
    <w:rsid w:val="00891204"/>
    <w:rsid w:val="0089122A"/>
    <w:rsid w:val="0089133F"/>
    <w:rsid w:val="008913C8"/>
    <w:rsid w:val="00891418"/>
    <w:rsid w:val="00891421"/>
    <w:rsid w:val="00891477"/>
    <w:rsid w:val="0089148A"/>
    <w:rsid w:val="00891506"/>
    <w:rsid w:val="00891507"/>
    <w:rsid w:val="00891522"/>
    <w:rsid w:val="00891605"/>
    <w:rsid w:val="008916CF"/>
    <w:rsid w:val="00891781"/>
    <w:rsid w:val="008917C7"/>
    <w:rsid w:val="008917DC"/>
    <w:rsid w:val="00891827"/>
    <w:rsid w:val="00891879"/>
    <w:rsid w:val="008918BC"/>
    <w:rsid w:val="008918FA"/>
    <w:rsid w:val="00891955"/>
    <w:rsid w:val="0089197B"/>
    <w:rsid w:val="0089199A"/>
    <w:rsid w:val="008919E6"/>
    <w:rsid w:val="00891AD7"/>
    <w:rsid w:val="00891AF9"/>
    <w:rsid w:val="00891B45"/>
    <w:rsid w:val="00891C42"/>
    <w:rsid w:val="00891C48"/>
    <w:rsid w:val="00891C4A"/>
    <w:rsid w:val="00891CA6"/>
    <w:rsid w:val="00891D26"/>
    <w:rsid w:val="00891D29"/>
    <w:rsid w:val="00891D57"/>
    <w:rsid w:val="00891D88"/>
    <w:rsid w:val="00891DB1"/>
    <w:rsid w:val="00891F09"/>
    <w:rsid w:val="00891F21"/>
    <w:rsid w:val="00891F37"/>
    <w:rsid w:val="00892047"/>
    <w:rsid w:val="0089209C"/>
    <w:rsid w:val="008920BE"/>
    <w:rsid w:val="008920F0"/>
    <w:rsid w:val="00892196"/>
    <w:rsid w:val="0089219D"/>
    <w:rsid w:val="00892208"/>
    <w:rsid w:val="00892223"/>
    <w:rsid w:val="00892237"/>
    <w:rsid w:val="00892262"/>
    <w:rsid w:val="00892394"/>
    <w:rsid w:val="008923DF"/>
    <w:rsid w:val="008923EC"/>
    <w:rsid w:val="008924BA"/>
    <w:rsid w:val="008924DE"/>
    <w:rsid w:val="008924E8"/>
    <w:rsid w:val="00892530"/>
    <w:rsid w:val="00892573"/>
    <w:rsid w:val="00892627"/>
    <w:rsid w:val="00892655"/>
    <w:rsid w:val="00892665"/>
    <w:rsid w:val="0089270B"/>
    <w:rsid w:val="008928E2"/>
    <w:rsid w:val="0089292D"/>
    <w:rsid w:val="008929A4"/>
    <w:rsid w:val="008929B4"/>
    <w:rsid w:val="008929CE"/>
    <w:rsid w:val="00892A2C"/>
    <w:rsid w:val="00892B1C"/>
    <w:rsid w:val="00892B1E"/>
    <w:rsid w:val="00892B48"/>
    <w:rsid w:val="00892BBE"/>
    <w:rsid w:val="00892BD8"/>
    <w:rsid w:val="00892BE1"/>
    <w:rsid w:val="00892C0B"/>
    <w:rsid w:val="00892C25"/>
    <w:rsid w:val="00892C69"/>
    <w:rsid w:val="00892DBF"/>
    <w:rsid w:val="00892DFF"/>
    <w:rsid w:val="00892E22"/>
    <w:rsid w:val="00892E56"/>
    <w:rsid w:val="00892EF0"/>
    <w:rsid w:val="00892F1C"/>
    <w:rsid w:val="00892F65"/>
    <w:rsid w:val="00892F80"/>
    <w:rsid w:val="0089305B"/>
    <w:rsid w:val="00893062"/>
    <w:rsid w:val="00893068"/>
    <w:rsid w:val="00893098"/>
    <w:rsid w:val="008930CB"/>
    <w:rsid w:val="008930E3"/>
    <w:rsid w:val="00893184"/>
    <w:rsid w:val="008931B7"/>
    <w:rsid w:val="008931C0"/>
    <w:rsid w:val="008931DF"/>
    <w:rsid w:val="00893255"/>
    <w:rsid w:val="00893270"/>
    <w:rsid w:val="00893272"/>
    <w:rsid w:val="008932EA"/>
    <w:rsid w:val="0089333A"/>
    <w:rsid w:val="0089338D"/>
    <w:rsid w:val="008933B9"/>
    <w:rsid w:val="00893459"/>
    <w:rsid w:val="0089349E"/>
    <w:rsid w:val="008935D1"/>
    <w:rsid w:val="008935DA"/>
    <w:rsid w:val="00893635"/>
    <w:rsid w:val="00893642"/>
    <w:rsid w:val="00893660"/>
    <w:rsid w:val="0089368D"/>
    <w:rsid w:val="008936A7"/>
    <w:rsid w:val="008936BA"/>
    <w:rsid w:val="008937B7"/>
    <w:rsid w:val="008937CC"/>
    <w:rsid w:val="008938B0"/>
    <w:rsid w:val="008938F0"/>
    <w:rsid w:val="00893952"/>
    <w:rsid w:val="00893977"/>
    <w:rsid w:val="008939E5"/>
    <w:rsid w:val="008939E8"/>
    <w:rsid w:val="00893A1B"/>
    <w:rsid w:val="00893A37"/>
    <w:rsid w:val="00893AC7"/>
    <w:rsid w:val="00893BBD"/>
    <w:rsid w:val="00893C4D"/>
    <w:rsid w:val="00893C5E"/>
    <w:rsid w:val="00893CB2"/>
    <w:rsid w:val="00893CF9"/>
    <w:rsid w:val="00893D85"/>
    <w:rsid w:val="00893D8C"/>
    <w:rsid w:val="00893E2B"/>
    <w:rsid w:val="00893F1C"/>
    <w:rsid w:val="00893F68"/>
    <w:rsid w:val="00894055"/>
    <w:rsid w:val="008940D5"/>
    <w:rsid w:val="00894140"/>
    <w:rsid w:val="008941B4"/>
    <w:rsid w:val="0089425A"/>
    <w:rsid w:val="008942BF"/>
    <w:rsid w:val="008942D1"/>
    <w:rsid w:val="00894357"/>
    <w:rsid w:val="00894366"/>
    <w:rsid w:val="0089437E"/>
    <w:rsid w:val="00894382"/>
    <w:rsid w:val="0089439C"/>
    <w:rsid w:val="008943BD"/>
    <w:rsid w:val="00894468"/>
    <w:rsid w:val="008944D8"/>
    <w:rsid w:val="0089459F"/>
    <w:rsid w:val="008945A9"/>
    <w:rsid w:val="008945B7"/>
    <w:rsid w:val="0089460A"/>
    <w:rsid w:val="00894646"/>
    <w:rsid w:val="008946F1"/>
    <w:rsid w:val="0089471E"/>
    <w:rsid w:val="00894725"/>
    <w:rsid w:val="00894756"/>
    <w:rsid w:val="0089476B"/>
    <w:rsid w:val="008947DE"/>
    <w:rsid w:val="00894812"/>
    <w:rsid w:val="0089481D"/>
    <w:rsid w:val="008948A6"/>
    <w:rsid w:val="008948F8"/>
    <w:rsid w:val="00894939"/>
    <w:rsid w:val="0089493C"/>
    <w:rsid w:val="0089494F"/>
    <w:rsid w:val="00894959"/>
    <w:rsid w:val="00894986"/>
    <w:rsid w:val="00894994"/>
    <w:rsid w:val="008949BA"/>
    <w:rsid w:val="008949EC"/>
    <w:rsid w:val="00894A0F"/>
    <w:rsid w:val="00894A18"/>
    <w:rsid w:val="00894A5F"/>
    <w:rsid w:val="00894AAF"/>
    <w:rsid w:val="00894BB0"/>
    <w:rsid w:val="00894BDA"/>
    <w:rsid w:val="00894C20"/>
    <w:rsid w:val="00894D8D"/>
    <w:rsid w:val="00894D96"/>
    <w:rsid w:val="00894DCB"/>
    <w:rsid w:val="00894DDE"/>
    <w:rsid w:val="00894E1A"/>
    <w:rsid w:val="00894E2D"/>
    <w:rsid w:val="00894F1F"/>
    <w:rsid w:val="00894F82"/>
    <w:rsid w:val="00894F8E"/>
    <w:rsid w:val="00894FAC"/>
    <w:rsid w:val="0089500D"/>
    <w:rsid w:val="0089501F"/>
    <w:rsid w:val="0089509C"/>
    <w:rsid w:val="0089509D"/>
    <w:rsid w:val="008950C4"/>
    <w:rsid w:val="008950D6"/>
    <w:rsid w:val="00895137"/>
    <w:rsid w:val="0089514F"/>
    <w:rsid w:val="008951E0"/>
    <w:rsid w:val="00895253"/>
    <w:rsid w:val="00895262"/>
    <w:rsid w:val="0089526F"/>
    <w:rsid w:val="0089542E"/>
    <w:rsid w:val="0089545D"/>
    <w:rsid w:val="00895469"/>
    <w:rsid w:val="008954F6"/>
    <w:rsid w:val="0089550C"/>
    <w:rsid w:val="0089553E"/>
    <w:rsid w:val="00895569"/>
    <w:rsid w:val="008955D9"/>
    <w:rsid w:val="0089560E"/>
    <w:rsid w:val="00895632"/>
    <w:rsid w:val="00895633"/>
    <w:rsid w:val="0089564B"/>
    <w:rsid w:val="00895672"/>
    <w:rsid w:val="0089569E"/>
    <w:rsid w:val="00895749"/>
    <w:rsid w:val="008957A3"/>
    <w:rsid w:val="008957BB"/>
    <w:rsid w:val="008957F2"/>
    <w:rsid w:val="0089589D"/>
    <w:rsid w:val="008958C8"/>
    <w:rsid w:val="00895942"/>
    <w:rsid w:val="00895949"/>
    <w:rsid w:val="008959BF"/>
    <w:rsid w:val="00895A0C"/>
    <w:rsid w:val="00895A37"/>
    <w:rsid w:val="00895AB3"/>
    <w:rsid w:val="00895B25"/>
    <w:rsid w:val="00895B27"/>
    <w:rsid w:val="00895BAA"/>
    <w:rsid w:val="00895BB5"/>
    <w:rsid w:val="00895BB9"/>
    <w:rsid w:val="00895BFD"/>
    <w:rsid w:val="00895C41"/>
    <w:rsid w:val="00895C8B"/>
    <w:rsid w:val="00895E10"/>
    <w:rsid w:val="00895E51"/>
    <w:rsid w:val="00895ECE"/>
    <w:rsid w:val="00895F0E"/>
    <w:rsid w:val="00896011"/>
    <w:rsid w:val="00896099"/>
    <w:rsid w:val="008960FC"/>
    <w:rsid w:val="00896105"/>
    <w:rsid w:val="008961F1"/>
    <w:rsid w:val="008961FD"/>
    <w:rsid w:val="0089620C"/>
    <w:rsid w:val="00896237"/>
    <w:rsid w:val="0089628F"/>
    <w:rsid w:val="0089631F"/>
    <w:rsid w:val="00896346"/>
    <w:rsid w:val="00896354"/>
    <w:rsid w:val="00896357"/>
    <w:rsid w:val="00896366"/>
    <w:rsid w:val="0089637D"/>
    <w:rsid w:val="00896381"/>
    <w:rsid w:val="00896399"/>
    <w:rsid w:val="008963F2"/>
    <w:rsid w:val="0089642E"/>
    <w:rsid w:val="00896470"/>
    <w:rsid w:val="008964A7"/>
    <w:rsid w:val="008964C7"/>
    <w:rsid w:val="008965AA"/>
    <w:rsid w:val="008967AA"/>
    <w:rsid w:val="0089682B"/>
    <w:rsid w:val="008968D4"/>
    <w:rsid w:val="008968D5"/>
    <w:rsid w:val="0089690A"/>
    <w:rsid w:val="0089699B"/>
    <w:rsid w:val="008969FE"/>
    <w:rsid w:val="00896AEF"/>
    <w:rsid w:val="00896B02"/>
    <w:rsid w:val="00896BEA"/>
    <w:rsid w:val="00896BEE"/>
    <w:rsid w:val="00896CDA"/>
    <w:rsid w:val="00896D63"/>
    <w:rsid w:val="00896D67"/>
    <w:rsid w:val="00896D73"/>
    <w:rsid w:val="00896DED"/>
    <w:rsid w:val="00896E13"/>
    <w:rsid w:val="00896E60"/>
    <w:rsid w:val="00896EC1"/>
    <w:rsid w:val="00896FD9"/>
    <w:rsid w:val="00896FE3"/>
    <w:rsid w:val="00897007"/>
    <w:rsid w:val="0089703F"/>
    <w:rsid w:val="00897127"/>
    <w:rsid w:val="008971BF"/>
    <w:rsid w:val="008971CE"/>
    <w:rsid w:val="008971CF"/>
    <w:rsid w:val="00897277"/>
    <w:rsid w:val="008972BD"/>
    <w:rsid w:val="008972CE"/>
    <w:rsid w:val="008973D3"/>
    <w:rsid w:val="0089743F"/>
    <w:rsid w:val="008974A2"/>
    <w:rsid w:val="008974BC"/>
    <w:rsid w:val="008974D1"/>
    <w:rsid w:val="00897548"/>
    <w:rsid w:val="008975FB"/>
    <w:rsid w:val="0089760C"/>
    <w:rsid w:val="00897644"/>
    <w:rsid w:val="0089767B"/>
    <w:rsid w:val="00897727"/>
    <w:rsid w:val="00897752"/>
    <w:rsid w:val="00897808"/>
    <w:rsid w:val="00897829"/>
    <w:rsid w:val="008978DA"/>
    <w:rsid w:val="008978E5"/>
    <w:rsid w:val="00897980"/>
    <w:rsid w:val="00897999"/>
    <w:rsid w:val="008979A4"/>
    <w:rsid w:val="00897A6B"/>
    <w:rsid w:val="00897A7C"/>
    <w:rsid w:val="00897B40"/>
    <w:rsid w:val="00897B9F"/>
    <w:rsid w:val="00897BA8"/>
    <w:rsid w:val="00897D17"/>
    <w:rsid w:val="00897D5F"/>
    <w:rsid w:val="00897D71"/>
    <w:rsid w:val="00897DD4"/>
    <w:rsid w:val="00897E06"/>
    <w:rsid w:val="00897E81"/>
    <w:rsid w:val="00897F3C"/>
    <w:rsid w:val="00897F7B"/>
    <w:rsid w:val="008A0034"/>
    <w:rsid w:val="008A0092"/>
    <w:rsid w:val="008A0178"/>
    <w:rsid w:val="008A0186"/>
    <w:rsid w:val="008A01BD"/>
    <w:rsid w:val="008A01C6"/>
    <w:rsid w:val="008A021F"/>
    <w:rsid w:val="008A0285"/>
    <w:rsid w:val="008A0367"/>
    <w:rsid w:val="008A0376"/>
    <w:rsid w:val="008A040E"/>
    <w:rsid w:val="008A0431"/>
    <w:rsid w:val="008A0450"/>
    <w:rsid w:val="008A047A"/>
    <w:rsid w:val="008A04D9"/>
    <w:rsid w:val="008A051F"/>
    <w:rsid w:val="008A058F"/>
    <w:rsid w:val="008A05A4"/>
    <w:rsid w:val="008A05F7"/>
    <w:rsid w:val="008A062E"/>
    <w:rsid w:val="008A06A3"/>
    <w:rsid w:val="008A06DE"/>
    <w:rsid w:val="008A079B"/>
    <w:rsid w:val="008A0812"/>
    <w:rsid w:val="008A0839"/>
    <w:rsid w:val="008A08D2"/>
    <w:rsid w:val="008A0908"/>
    <w:rsid w:val="008A0914"/>
    <w:rsid w:val="008A0946"/>
    <w:rsid w:val="008A0964"/>
    <w:rsid w:val="008A09F5"/>
    <w:rsid w:val="008A0A7D"/>
    <w:rsid w:val="008A0ACA"/>
    <w:rsid w:val="008A0AE2"/>
    <w:rsid w:val="008A0B3F"/>
    <w:rsid w:val="008A0B9E"/>
    <w:rsid w:val="008A0BB6"/>
    <w:rsid w:val="008A0CA8"/>
    <w:rsid w:val="008A0CD3"/>
    <w:rsid w:val="008A0CDB"/>
    <w:rsid w:val="008A0D2A"/>
    <w:rsid w:val="008A0DC4"/>
    <w:rsid w:val="008A0E41"/>
    <w:rsid w:val="008A0E4A"/>
    <w:rsid w:val="008A0E81"/>
    <w:rsid w:val="008A0E87"/>
    <w:rsid w:val="008A0E91"/>
    <w:rsid w:val="008A0E98"/>
    <w:rsid w:val="008A0F1D"/>
    <w:rsid w:val="008A0F1F"/>
    <w:rsid w:val="008A0F20"/>
    <w:rsid w:val="008A0FCE"/>
    <w:rsid w:val="008A0FD2"/>
    <w:rsid w:val="008A101F"/>
    <w:rsid w:val="008A10F6"/>
    <w:rsid w:val="008A1121"/>
    <w:rsid w:val="008A11B7"/>
    <w:rsid w:val="008A1293"/>
    <w:rsid w:val="008A12C7"/>
    <w:rsid w:val="008A1350"/>
    <w:rsid w:val="008A138B"/>
    <w:rsid w:val="008A13DD"/>
    <w:rsid w:val="008A1434"/>
    <w:rsid w:val="008A1498"/>
    <w:rsid w:val="008A149B"/>
    <w:rsid w:val="008A14AF"/>
    <w:rsid w:val="008A152F"/>
    <w:rsid w:val="008A1545"/>
    <w:rsid w:val="008A1557"/>
    <w:rsid w:val="008A1616"/>
    <w:rsid w:val="008A179D"/>
    <w:rsid w:val="008A1842"/>
    <w:rsid w:val="008A18AA"/>
    <w:rsid w:val="008A1971"/>
    <w:rsid w:val="008A1975"/>
    <w:rsid w:val="008A1980"/>
    <w:rsid w:val="008A19D1"/>
    <w:rsid w:val="008A1A4F"/>
    <w:rsid w:val="008A1A79"/>
    <w:rsid w:val="008A1AEF"/>
    <w:rsid w:val="008A1B3E"/>
    <w:rsid w:val="008A1B43"/>
    <w:rsid w:val="008A1C4F"/>
    <w:rsid w:val="008A1C58"/>
    <w:rsid w:val="008A1CB6"/>
    <w:rsid w:val="008A1D6F"/>
    <w:rsid w:val="008A1DC7"/>
    <w:rsid w:val="008A1DC9"/>
    <w:rsid w:val="008A1EAF"/>
    <w:rsid w:val="008A1FEB"/>
    <w:rsid w:val="008A2012"/>
    <w:rsid w:val="008A2049"/>
    <w:rsid w:val="008A20EE"/>
    <w:rsid w:val="008A2137"/>
    <w:rsid w:val="008A2184"/>
    <w:rsid w:val="008A2220"/>
    <w:rsid w:val="008A2252"/>
    <w:rsid w:val="008A226D"/>
    <w:rsid w:val="008A229C"/>
    <w:rsid w:val="008A233C"/>
    <w:rsid w:val="008A2354"/>
    <w:rsid w:val="008A23DE"/>
    <w:rsid w:val="008A245B"/>
    <w:rsid w:val="008A24C7"/>
    <w:rsid w:val="008A24F3"/>
    <w:rsid w:val="008A256B"/>
    <w:rsid w:val="008A2572"/>
    <w:rsid w:val="008A2586"/>
    <w:rsid w:val="008A259C"/>
    <w:rsid w:val="008A25A6"/>
    <w:rsid w:val="008A25CA"/>
    <w:rsid w:val="008A25F6"/>
    <w:rsid w:val="008A2647"/>
    <w:rsid w:val="008A26FF"/>
    <w:rsid w:val="008A2788"/>
    <w:rsid w:val="008A27DD"/>
    <w:rsid w:val="008A284E"/>
    <w:rsid w:val="008A2861"/>
    <w:rsid w:val="008A2893"/>
    <w:rsid w:val="008A28F0"/>
    <w:rsid w:val="008A28FF"/>
    <w:rsid w:val="008A2938"/>
    <w:rsid w:val="008A293C"/>
    <w:rsid w:val="008A29E4"/>
    <w:rsid w:val="008A29FF"/>
    <w:rsid w:val="008A2A64"/>
    <w:rsid w:val="008A2AA5"/>
    <w:rsid w:val="008A2AB6"/>
    <w:rsid w:val="008A2B01"/>
    <w:rsid w:val="008A2B28"/>
    <w:rsid w:val="008A2B85"/>
    <w:rsid w:val="008A2BCF"/>
    <w:rsid w:val="008A2BDD"/>
    <w:rsid w:val="008A2C06"/>
    <w:rsid w:val="008A2C53"/>
    <w:rsid w:val="008A2C59"/>
    <w:rsid w:val="008A2CC4"/>
    <w:rsid w:val="008A2D23"/>
    <w:rsid w:val="008A2DE9"/>
    <w:rsid w:val="008A2E65"/>
    <w:rsid w:val="008A2E69"/>
    <w:rsid w:val="008A2E90"/>
    <w:rsid w:val="008A2EB1"/>
    <w:rsid w:val="008A2F42"/>
    <w:rsid w:val="008A2FB3"/>
    <w:rsid w:val="008A2FD8"/>
    <w:rsid w:val="008A300B"/>
    <w:rsid w:val="008A3040"/>
    <w:rsid w:val="008A309E"/>
    <w:rsid w:val="008A30B8"/>
    <w:rsid w:val="008A3140"/>
    <w:rsid w:val="008A3201"/>
    <w:rsid w:val="008A3207"/>
    <w:rsid w:val="008A320C"/>
    <w:rsid w:val="008A3225"/>
    <w:rsid w:val="008A325F"/>
    <w:rsid w:val="008A32B1"/>
    <w:rsid w:val="008A32C5"/>
    <w:rsid w:val="008A3310"/>
    <w:rsid w:val="008A3313"/>
    <w:rsid w:val="008A331B"/>
    <w:rsid w:val="008A335D"/>
    <w:rsid w:val="008A339A"/>
    <w:rsid w:val="008A3408"/>
    <w:rsid w:val="008A3412"/>
    <w:rsid w:val="008A3420"/>
    <w:rsid w:val="008A3441"/>
    <w:rsid w:val="008A347F"/>
    <w:rsid w:val="008A34A1"/>
    <w:rsid w:val="008A35D4"/>
    <w:rsid w:val="008A363E"/>
    <w:rsid w:val="008A3651"/>
    <w:rsid w:val="008A36C0"/>
    <w:rsid w:val="008A372B"/>
    <w:rsid w:val="008A374B"/>
    <w:rsid w:val="008A3790"/>
    <w:rsid w:val="008A37A8"/>
    <w:rsid w:val="008A37EA"/>
    <w:rsid w:val="008A382E"/>
    <w:rsid w:val="008A3830"/>
    <w:rsid w:val="008A3841"/>
    <w:rsid w:val="008A388B"/>
    <w:rsid w:val="008A38EE"/>
    <w:rsid w:val="008A3909"/>
    <w:rsid w:val="008A3A02"/>
    <w:rsid w:val="008A3A05"/>
    <w:rsid w:val="008A3A87"/>
    <w:rsid w:val="008A3AF4"/>
    <w:rsid w:val="008A3BA5"/>
    <w:rsid w:val="008A3BE9"/>
    <w:rsid w:val="008A3CC0"/>
    <w:rsid w:val="008A3D1A"/>
    <w:rsid w:val="008A3D9D"/>
    <w:rsid w:val="008A3E50"/>
    <w:rsid w:val="008A3E63"/>
    <w:rsid w:val="008A3FC7"/>
    <w:rsid w:val="008A4064"/>
    <w:rsid w:val="008A416D"/>
    <w:rsid w:val="008A41A9"/>
    <w:rsid w:val="008A423A"/>
    <w:rsid w:val="008A4245"/>
    <w:rsid w:val="008A427E"/>
    <w:rsid w:val="008A42BE"/>
    <w:rsid w:val="008A43B3"/>
    <w:rsid w:val="008A43ED"/>
    <w:rsid w:val="008A43FF"/>
    <w:rsid w:val="008A441E"/>
    <w:rsid w:val="008A4426"/>
    <w:rsid w:val="008A449C"/>
    <w:rsid w:val="008A449D"/>
    <w:rsid w:val="008A44C9"/>
    <w:rsid w:val="008A44DF"/>
    <w:rsid w:val="008A4539"/>
    <w:rsid w:val="008A4546"/>
    <w:rsid w:val="008A456B"/>
    <w:rsid w:val="008A45E3"/>
    <w:rsid w:val="008A45EE"/>
    <w:rsid w:val="008A467C"/>
    <w:rsid w:val="008A46C7"/>
    <w:rsid w:val="008A46DB"/>
    <w:rsid w:val="008A473E"/>
    <w:rsid w:val="008A4795"/>
    <w:rsid w:val="008A47AA"/>
    <w:rsid w:val="008A48D9"/>
    <w:rsid w:val="008A4912"/>
    <w:rsid w:val="008A4A18"/>
    <w:rsid w:val="008A4AC3"/>
    <w:rsid w:val="008A4B74"/>
    <w:rsid w:val="008A4C25"/>
    <w:rsid w:val="008A4C4D"/>
    <w:rsid w:val="008A4C4F"/>
    <w:rsid w:val="008A4C85"/>
    <w:rsid w:val="008A4D18"/>
    <w:rsid w:val="008A4D54"/>
    <w:rsid w:val="008A4D80"/>
    <w:rsid w:val="008A4D84"/>
    <w:rsid w:val="008A4D9B"/>
    <w:rsid w:val="008A4DB1"/>
    <w:rsid w:val="008A4DC3"/>
    <w:rsid w:val="008A4DDF"/>
    <w:rsid w:val="008A4DEC"/>
    <w:rsid w:val="008A4EA6"/>
    <w:rsid w:val="008A4EF2"/>
    <w:rsid w:val="008A4F58"/>
    <w:rsid w:val="008A4F5F"/>
    <w:rsid w:val="008A4F8C"/>
    <w:rsid w:val="008A4FC2"/>
    <w:rsid w:val="008A500A"/>
    <w:rsid w:val="008A507A"/>
    <w:rsid w:val="008A509C"/>
    <w:rsid w:val="008A50AF"/>
    <w:rsid w:val="008A50DD"/>
    <w:rsid w:val="008A512F"/>
    <w:rsid w:val="008A5171"/>
    <w:rsid w:val="008A51BE"/>
    <w:rsid w:val="008A51D8"/>
    <w:rsid w:val="008A5331"/>
    <w:rsid w:val="008A534D"/>
    <w:rsid w:val="008A5376"/>
    <w:rsid w:val="008A537C"/>
    <w:rsid w:val="008A5438"/>
    <w:rsid w:val="008A5480"/>
    <w:rsid w:val="008A5554"/>
    <w:rsid w:val="008A5566"/>
    <w:rsid w:val="008A55AF"/>
    <w:rsid w:val="008A5636"/>
    <w:rsid w:val="008A5651"/>
    <w:rsid w:val="008A571B"/>
    <w:rsid w:val="008A57DB"/>
    <w:rsid w:val="008A5839"/>
    <w:rsid w:val="008A58E2"/>
    <w:rsid w:val="008A5926"/>
    <w:rsid w:val="008A5A42"/>
    <w:rsid w:val="008A5A52"/>
    <w:rsid w:val="008A5A6C"/>
    <w:rsid w:val="008A5AA9"/>
    <w:rsid w:val="008A5AF8"/>
    <w:rsid w:val="008A5B2C"/>
    <w:rsid w:val="008A5BCF"/>
    <w:rsid w:val="008A5C19"/>
    <w:rsid w:val="008A5C21"/>
    <w:rsid w:val="008A5C76"/>
    <w:rsid w:val="008A5C78"/>
    <w:rsid w:val="008A5CB1"/>
    <w:rsid w:val="008A5CB9"/>
    <w:rsid w:val="008A5D0D"/>
    <w:rsid w:val="008A5DC3"/>
    <w:rsid w:val="008A5DEB"/>
    <w:rsid w:val="008A5DF8"/>
    <w:rsid w:val="008A5E09"/>
    <w:rsid w:val="008A5E44"/>
    <w:rsid w:val="008A5EB2"/>
    <w:rsid w:val="008A5F43"/>
    <w:rsid w:val="008A5F7F"/>
    <w:rsid w:val="008A5FC7"/>
    <w:rsid w:val="008A6028"/>
    <w:rsid w:val="008A60A5"/>
    <w:rsid w:val="008A60E1"/>
    <w:rsid w:val="008A60E9"/>
    <w:rsid w:val="008A612B"/>
    <w:rsid w:val="008A61A9"/>
    <w:rsid w:val="008A626E"/>
    <w:rsid w:val="008A62CD"/>
    <w:rsid w:val="008A637B"/>
    <w:rsid w:val="008A63C7"/>
    <w:rsid w:val="008A63E9"/>
    <w:rsid w:val="008A6428"/>
    <w:rsid w:val="008A642C"/>
    <w:rsid w:val="008A6486"/>
    <w:rsid w:val="008A64ED"/>
    <w:rsid w:val="008A6561"/>
    <w:rsid w:val="008A657E"/>
    <w:rsid w:val="008A65E9"/>
    <w:rsid w:val="008A668B"/>
    <w:rsid w:val="008A66CA"/>
    <w:rsid w:val="008A6758"/>
    <w:rsid w:val="008A678F"/>
    <w:rsid w:val="008A6927"/>
    <w:rsid w:val="008A69ED"/>
    <w:rsid w:val="008A6B17"/>
    <w:rsid w:val="008A6B7A"/>
    <w:rsid w:val="008A6BF9"/>
    <w:rsid w:val="008A6BFF"/>
    <w:rsid w:val="008A6C88"/>
    <w:rsid w:val="008A6CB4"/>
    <w:rsid w:val="008A6CE4"/>
    <w:rsid w:val="008A6D7A"/>
    <w:rsid w:val="008A6DFC"/>
    <w:rsid w:val="008A6E1B"/>
    <w:rsid w:val="008A6E22"/>
    <w:rsid w:val="008A6E9D"/>
    <w:rsid w:val="008A6F25"/>
    <w:rsid w:val="008A6F2E"/>
    <w:rsid w:val="008A6FD5"/>
    <w:rsid w:val="008A701C"/>
    <w:rsid w:val="008A706A"/>
    <w:rsid w:val="008A7074"/>
    <w:rsid w:val="008A70CB"/>
    <w:rsid w:val="008A7104"/>
    <w:rsid w:val="008A7162"/>
    <w:rsid w:val="008A71B7"/>
    <w:rsid w:val="008A71BF"/>
    <w:rsid w:val="008A71F0"/>
    <w:rsid w:val="008A7242"/>
    <w:rsid w:val="008A728F"/>
    <w:rsid w:val="008A7294"/>
    <w:rsid w:val="008A7342"/>
    <w:rsid w:val="008A7484"/>
    <w:rsid w:val="008A74CF"/>
    <w:rsid w:val="008A755C"/>
    <w:rsid w:val="008A7633"/>
    <w:rsid w:val="008A763E"/>
    <w:rsid w:val="008A765F"/>
    <w:rsid w:val="008A76ED"/>
    <w:rsid w:val="008A7787"/>
    <w:rsid w:val="008A7795"/>
    <w:rsid w:val="008A77CD"/>
    <w:rsid w:val="008A7898"/>
    <w:rsid w:val="008A78C5"/>
    <w:rsid w:val="008A78E3"/>
    <w:rsid w:val="008A7993"/>
    <w:rsid w:val="008A7B4A"/>
    <w:rsid w:val="008A7C36"/>
    <w:rsid w:val="008A7D27"/>
    <w:rsid w:val="008A7D59"/>
    <w:rsid w:val="008A7D5A"/>
    <w:rsid w:val="008A7DBA"/>
    <w:rsid w:val="008A7DCF"/>
    <w:rsid w:val="008A7E37"/>
    <w:rsid w:val="008A7E47"/>
    <w:rsid w:val="008A7E58"/>
    <w:rsid w:val="008A7E87"/>
    <w:rsid w:val="008A7EE4"/>
    <w:rsid w:val="008A7F3A"/>
    <w:rsid w:val="008AEB30"/>
    <w:rsid w:val="008B0004"/>
    <w:rsid w:val="008B0024"/>
    <w:rsid w:val="008B003A"/>
    <w:rsid w:val="008B004B"/>
    <w:rsid w:val="008B00EB"/>
    <w:rsid w:val="008B0121"/>
    <w:rsid w:val="008B0176"/>
    <w:rsid w:val="008B0197"/>
    <w:rsid w:val="008B01BC"/>
    <w:rsid w:val="008B022E"/>
    <w:rsid w:val="008B03A9"/>
    <w:rsid w:val="008B03B7"/>
    <w:rsid w:val="008B03D8"/>
    <w:rsid w:val="008B041F"/>
    <w:rsid w:val="008B0479"/>
    <w:rsid w:val="008B0547"/>
    <w:rsid w:val="008B0604"/>
    <w:rsid w:val="008B0616"/>
    <w:rsid w:val="008B067D"/>
    <w:rsid w:val="008B06C0"/>
    <w:rsid w:val="008B06CB"/>
    <w:rsid w:val="008B06CC"/>
    <w:rsid w:val="008B06D9"/>
    <w:rsid w:val="008B071E"/>
    <w:rsid w:val="008B0724"/>
    <w:rsid w:val="008B07AD"/>
    <w:rsid w:val="008B07D7"/>
    <w:rsid w:val="008B07F1"/>
    <w:rsid w:val="008B07FE"/>
    <w:rsid w:val="008B0827"/>
    <w:rsid w:val="008B082B"/>
    <w:rsid w:val="008B08F9"/>
    <w:rsid w:val="008B0917"/>
    <w:rsid w:val="008B0A3B"/>
    <w:rsid w:val="008B0A52"/>
    <w:rsid w:val="008B0A98"/>
    <w:rsid w:val="008B0A9E"/>
    <w:rsid w:val="008B0ACE"/>
    <w:rsid w:val="008B0AE4"/>
    <w:rsid w:val="008B0B33"/>
    <w:rsid w:val="008B0BDA"/>
    <w:rsid w:val="008B0C02"/>
    <w:rsid w:val="008B0C22"/>
    <w:rsid w:val="008B0C26"/>
    <w:rsid w:val="008B0C99"/>
    <w:rsid w:val="008B0CF0"/>
    <w:rsid w:val="008B0D0E"/>
    <w:rsid w:val="008B0D42"/>
    <w:rsid w:val="008B0D8A"/>
    <w:rsid w:val="008B0D8C"/>
    <w:rsid w:val="008B0D8D"/>
    <w:rsid w:val="008B0D95"/>
    <w:rsid w:val="008B0D9A"/>
    <w:rsid w:val="008B0D9E"/>
    <w:rsid w:val="008B0DC5"/>
    <w:rsid w:val="008B0E4E"/>
    <w:rsid w:val="008B0E5D"/>
    <w:rsid w:val="008B0EED"/>
    <w:rsid w:val="008B1020"/>
    <w:rsid w:val="008B102C"/>
    <w:rsid w:val="008B1071"/>
    <w:rsid w:val="008B10E1"/>
    <w:rsid w:val="008B111F"/>
    <w:rsid w:val="008B112D"/>
    <w:rsid w:val="008B1151"/>
    <w:rsid w:val="008B1189"/>
    <w:rsid w:val="008B1313"/>
    <w:rsid w:val="008B1383"/>
    <w:rsid w:val="008B13C7"/>
    <w:rsid w:val="008B1406"/>
    <w:rsid w:val="008B1410"/>
    <w:rsid w:val="008B1422"/>
    <w:rsid w:val="008B1424"/>
    <w:rsid w:val="008B1433"/>
    <w:rsid w:val="008B14CD"/>
    <w:rsid w:val="008B1512"/>
    <w:rsid w:val="008B1542"/>
    <w:rsid w:val="008B1588"/>
    <w:rsid w:val="008B160D"/>
    <w:rsid w:val="008B16D4"/>
    <w:rsid w:val="008B1707"/>
    <w:rsid w:val="008B1730"/>
    <w:rsid w:val="008B1794"/>
    <w:rsid w:val="008B17C8"/>
    <w:rsid w:val="008B180A"/>
    <w:rsid w:val="008B180B"/>
    <w:rsid w:val="008B1814"/>
    <w:rsid w:val="008B1887"/>
    <w:rsid w:val="008B18B3"/>
    <w:rsid w:val="008B18E9"/>
    <w:rsid w:val="008B1978"/>
    <w:rsid w:val="008B1991"/>
    <w:rsid w:val="008B19C4"/>
    <w:rsid w:val="008B1A28"/>
    <w:rsid w:val="008B1A98"/>
    <w:rsid w:val="008B1ADD"/>
    <w:rsid w:val="008B1B85"/>
    <w:rsid w:val="008B1BE8"/>
    <w:rsid w:val="008B1DEE"/>
    <w:rsid w:val="008B1DFF"/>
    <w:rsid w:val="008B1EC1"/>
    <w:rsid w:val="008B1F1B"/>
    <w:rsid w:val="008B1F95"/>
    <w:rsid w:val="008B200D"/>
    <w:rsid w:val="008B20E0"/>
    <w:rsid w:val="008B20FD"/>
    <w:rsid w:val="008B2201"/>
    <w:rsid w:val="008B2225"/>
    <w:rsid w:val="008B2241"/>
    <w:rsid w:val="008B22C2"/>
    <w:rsid w:val="008B22D9"/>
    <w:rsid w:val="008B22E7"/>
    <w:rsid w:val="008B2311"/>
    <w:rsid w:val="008B232B"/>
    <w:rsid w:val="008B23AB"/>
    <w:rsid w:val="008B2451"/>
    <w:rsid w:val="008B246E"/>
    <w:rsid w:val="008B24B9"/>
    <w:rsid w:val="008B2546"/>
    <w:rsid w:val="008B2643"/>
    <w:rsid w:val="008B269B"/>
    <w:rsid w:val="008B2709"/>
    <w:rsid w:val="008B2733"/>
    <w:rsid w:val="008B273E"/>
    <w:rsid w:val="008B2746"/>
    <w:rsid w:val="008B27B1"/>
    <w:rsid w:val="008B27E1"/>
    <w:rsid w:val="008B28F4"/>
    <w:rsid w:val="008B28F9"/>
    <w:rsid w:val="008B2911"/>
    <w:rsid w:val="008B2940"/>
    <w:rsid w:val="008B2995"/>
    <w:rsid w:val="008B29CB"/>
    <w:rsid w:val="008B29D5"/>
    <w:rsid w:val="008B29EE"/>
    <w:rsid w:val="008B2A48"/>
    <w:rsid w:val="008B2A60"/>
    <w:rsid w:val="008B2A70"/>
    <w:rsid w:val="008B2B77"/>
    <w:rsid w:val="008B2B9F"/>
    <w:rsid w:val="008B2C2E"/>
    <w:rsid w:val="008B2C37"/>
    <w:rsid w:val="008B2C73"/>
    <w:rsid w:val="008B2C9A"/>
    <w:rsid w:val="008B2CD7"/>
    <w:rsid w:val="008B2CEB"/>
    <w:rsid w:val="008B2DA5"/>
    <w:rsid w:val="008B2DE7"/>
    <w:rsid w:val="008B2DEE"/>
    <w:rsid w:val="008B2EA0"/>
    <w:rsid w:val="008B2ECD"/>
    <w:rsid w:val="008B3081"/>
    <w:rsid w:val="008B30C9"/>
    <w:rsid w:val="008B30D4"/>
    <w:rsid w:val="008B30DF"/>
    <w:rsid w:val="008B3190"/>
    <w:rsid w:val="008B324C"/>
    <w:rsid w:val="008B328A"/>
    <w:rsid w:val="008B3302"/>
    <w:rsid w:val="008B3354"/>
    <w:rsid w:val="008B339C"/>
    <w:rsid w:val="008B33D1"/>
    <w:rsid w:val="008B3449"/>
    <w:rsid w:val="008B349D"/>
    <w:rsid w:val="008B34F5"/>
    <w:rsid w:val="008B3515"/>
    <w:rsid w:val="008B3526"/>
    <w:rsid w:val="008B3549"/>
    <w:rsid w:val="008B3561"/>
    <w:rsid w:val="008B3582"/>
    <w:rsid w:val="008B35D3"/>
    <w:rsid w:val="008B3672"/>
    <w:rsid w:val="008B36CF"/>
    <w:rsid w:val="008B36F4"/>
    <w:rsid w:val="008B370B"/>
    <w:rsid w:val="008B3745"/>
    <w:rsid w:val="008B3813"/>
    <w:rsid w:val="008B3A65"/>
    <w:rsid w:val="008B3AE7"/>
    <w:rsid w:val="008B3AF3"/>
    <w:rsid w:val="008B3B23"/>
    <w:rsid w:val="008B3B99"/>
    <w:rsid w:val="008B3BCA"/>
    <w:rsid w:val="008B3BE5"/>
    <w:rsid w:val="008B3CA4"/>
    <w:rsid w:val="008B3CDA"/>
    <w:rsid w:val="008B3D47"/>
    <w:rsid w:val="008B3D4C"/>
    <w:rsid w:val="008B3DBA"/>
    <w:rsid w:val="008B3DFF"/>
    <w:rsid w:val="008B3E2B"/>
    <w:rsid w:val="008B3E37"/>
    <w:rsid w:val="008B3E88"/>
    <w:rsid w:val="008B3F74"/>
    <w:rsid w:val="008B3F8F"/>
    <w:rsid w:val="008B3FA8"/>
    <w:rsid w:val="008B3FB2"/>
    <w:rsid w:val="008B3FBE"/>
    <w:rsid w:val="008B3FD8"/>
    <w:rsid w:val="008B3FD9"/>
    <w:rsid w:val="008B4055"/>
    <w:rsid w:val="008B4136"/>
    <w:rsid w:val="008B419E"/>
    <w:rsid w:val="008B41FA"/>
    <w:rsid w:val="008B427A"/>
    <w:rsid w:val="008B4379"/>
    <w:rsid w:val="008B437D"/>
    <w:rsid w:val="008B443F"/>
    <w:rsid w:val="008B444B"/>
    <w:rsid w:val="008B44BE"/>
    <w:rsid w:val="008B4582"/>
    <w:rsid w:val="008B45D4"/>
    <w:rsid w:val="008B45F9"/>
    <w:rsid w:val="008B467F"/>
    <w:rsid w:val="008B4709"/>
    <w:rsid w:val="008B4776"/>
    <w:rsid w:val="008B47AF"/>
    <w:rsid w:val="008B47D0"/>
    <w:rsid w:val="008B47D4"/>
    <w:rsid w:val="008B4963"/>
    <w:rsid w:val="008B4A84"/>
    <w:rsid w:val="008B4AEF"/>
    <w:rsid w:val="008B4B2C"/>
    <w:rsid w:val="008B4B46"/>
    <w:rsid w:val="008B4BC1"/>
    <w:rsid w:val="008B4CA6"/>
    <w:rsid w:val="008B4CF4"/>
    <w:rsid w:val="008B4D85"/>
    <w:rsid w:val="008B4DAB"/>
    <w:rsid w:val="008B4DBE"/>
    <w:rsid w:val="008B4DC0"/>
    <w:rsid w:val="008B4DDF"/>
    <w:rsid w:val="008B4E76"/>
    <w:rsid w:val="008B4EF0"/>
    <w:rsid w:val="008B4F8E"/>
    <w:rsid w:val="008B4F9A"/>
    <w:rsid w:val="008B4FC9"/>
    <w:rsid w:val="008B5032"/>
    <w:rsid w:val="008B5046"/>
    <w:rsid w:val="008B505F"/>
    <w:rsid w:val="008B50BB"/>
    <w:rsid w:val="008B50C5"/>
    <w:rsid w:val="008B510A"/>
    <w:rsid w:val="008B51B2"/>
    <w:rsid w:val="008B51ED"/>
    <w:rsid w:val="008B5282"/>
    <w:rsid w:val="008B5290"/>
    <w:rsid w:val="008B52F1"/>
    <w:rsid w:val="008B52FE"/>
    <w:rsid w:val="008B5397"/>
    <w:rsid w:val="008B539D"/>
    <w:rsid w:val="008B53BD"/>
    <w:rsid w:val="008B54F0"/>
    <w:rsid w:val="008B55F3"/>
    <w:rsid w:val="008B5683"/>
    <w:rsid w:val="008B56E3"/>
    <w:rsid w:val="008B56E7"/>
    <w:rsid w:val="008B5735"/>
    <w:rsid w:val="008B57B6"/>
    <w:rsid w:val="008B57B7"/>
    <w:rsid w:val="008B57CB"/>
    <w:rsid w:val="008B580E"/>
    <w:rsid w:val="008B5893"/>
    <w:rsid w:val="008B5926"/>
    <w:rsid w:val="008B5932"/>
    <w:rsid w:val="008B596D"/>
    <w:rsid w:val="008B5988"/>
    <w:rsid w:val="008B59CA"/>
    <w:rsid w:val="008B59D7"/>
    <w:rsid w:val="008B59F8"/>
    <w:rsid w:val="008B5A2F"/>
    <w:rsid w:val="008B5AD2"/>
    <w:rsid w:val="008B5B50"/>
    <w:rsid w:val="008B5C08"/>
    <w:rsid w:val="008B5C46"/>
    <w:rsid w:val="008B5CCC"/>
    <w:rsid w:val="008B5CCD"/>
    <w:rsid w:val="008B5DDE"/>
    <w:rsid w:val="008B5DE6"/>
    <w:rsid w:val="008B5E28"/>
    <w:rsid w:val="008B5E36"/>
    <w:rsid w:val="008B5EBB"/>
    <w:rsid w:val="008B5ED2"/>
    <w:rsid w:val="008B5F32"/>
    <w:rsid w:val="008B5F80"/>
    <w:rsid w:val="008B5F8C"/>
    <w:rsid w:val="008B5F9E"/>
    <w:rsid w:val="008B5FA8"/>
    <w:rsid w:val="008B6053"/>
    <w:rsid w:val="008B609D"/>
    <w:rsid w:val="008B60B5"/>
    <w:rsid w:val="008B60D2"/>
    <w:rsid w:val="008B60D9"/>
    <w:rsid w:val="008B6184"/>
    <w:rsid w:val="008B6189"/>
    <w:rsid w:val="008B6223"/>
    <w:rsid w:val="008B62DB"/>
    <w:rsid w:val="008B62F2"/>
    <w:rsid w:val="008B642B"/>
    <w:rsid w:val="008B6435"/>
    <w:rsid w:val="008B6476"/>
    <w:rsid w:val="008B64D2"/>
    <w:rsid w:val="008B6597"/>
    <w:rsid w:val="008B65AB"/>
    <w:rsid w:val="008B65B7"/>
    <w:rsid w:val="008B6616"/>
    <w:rsid w:val="008B6654"/>
    <w:rsid w:val="008B66BE"/>
    <w:rsid w:val="008B66F0"/>
    <w:rsid w:val="008B66FF"/>
    <w:rsid w:val="008B672A"/>
    <w:rsid w:val="008B67BB"/>
    <w:rsid w:val="008B685F"/>
    <w:rsid w:val="008B694B"/>
    <w:rsid w:val="008B6970"/>
    <w:rsid w:val="008B698B"/>
    <w:rsid w:val="008B69A9"/>
    <w:rsid w:val="008B69EA"/>
    <w:rsid w:val="008B6A4A"/>
    <w:rsid w:val="008B6A5C"/>
    <w:rsid w:val="008B6A8F"/>
    <w:rsid w:val="008B6ABA"/>
    <w:rsid w:val="008B6ACD"/>
    <w:rsid w:val="008B6B22"/>
    <w:rsid w:val="008B6B73"/>
    <w:rsid w:val="008B6BF6"/>
    <w:rsid w:val="008B6C2A"/>
    <w:rsid w:val="008B6CE3"/>
    <w:rsid w:val="008B6D7C"/>
    <w:rsid w:val="008B6E98"/>
    <w:rsid w:val="008B6E9B"/>
    <w:rsid w:val="008B6F8E"/>
    <w:rsid w:val="008B702C"/>
    <w:rsid w:val="008B703B"/>
    <w:rsid w:val="008B70F1"/>
    <w:rsid w:val="008B7166"/>
    <w:rsid w:val="008B7187"/>
    <w:rsid w:val="008B719B"/>
    <w:rsid w:val="008B71CC"/>
    <w:rsid w:val="008B7216"/>
    <w:rsid w:val="008B725B"/>
    <w:rsid w:val="008B72A1"/>
    <w:rsid w:val="008B7307"/>
    <w:rsid w:val="008B736B"/>
    <w:rsid w:val="008B7410"/>
    <w:rsid w:val="008B7411"/>
    <w:rsid w:val="008B7416"/>
    <w:rsid w:val="008B74DA"/>
    <w:rsid w:val="008B74F1"/>
    <w:rsid w:val="008B7601"/>
    <w:rsid w:val="008B7667"/>
    <w:rsid w:val="008B76F8"/>
    <w:rsid w:val="008B7728"/>
    <w:rsid w:val="008B77C1"/>
    <w:rsid w:val="008B77D5"/>
    <w:rsid w:val="008B77FF"/>
    <w:rsid w:val="008B780F"/>
    <w:rsid w:val="008B7814"/>
    <w:rsid w:val="008B7836"/>
    <w:rsid w:val="008B785B"/>
    <w:rsid w:val="008B7919"/>
    <w:rsid w:val="008B793E"/>
    <w:rsid w:val="008B79DA"/>
    <w:rsid w:val="008B79DD"/>
    <w:rsid w:val="008B7A64"/>
    <w:rsid w:val="008B7ADD"/>
    <w:rsid w:val="008B7AFB"/>
    <w:rsid w:val="008B7B58"/>
    <w:rsid w:val="008B7B84"/>
    <w:rsid w:val="008B7BC4"/>
    <w:rsid w:val="008B7BF6"/>
    <w:rsid w:val="008B7CE4"/>
    <w:rsid w:val="008B7D23"/>
    <w:rsid w:val="008B7D32"/>
    <w:rsid w:val="008B7D4D"/>
    <w:rsid w:val="008B7D55"/>
    <w:rsid w:val="008B7E23"/>
    <w:rsid w:val="008B7E35"/>
    <w:rsid w:val="008B7E63"/>
    <w:rsid w:val="008B7ED9"/>
    <w:rsid w:val="008B7EEE"/>
    <w:rsid w:val="008B7F14"/>
    <w:rsid w:val="008B7F3F"/>
    <w:rsid w:val="008B7F52"/>
    <w:rsid w:val="008B7F83"/>
    <w:rsid w:val="008C0038"/>
    <w:rsid w:val="008C004E"/>
    <w:rsid w:val="008C0067"/>
    <w:rsid w:val="008C010D"/>
    <w:rsid w:val="008C013A"/>
    <w:rsid w:val="008C018E"/>
    <w:rsid w:val="008C024F"/>
    <w:rsid w:val="008C0279"/>
    <w:rsid w:val="008C02BE"/>
    <w:rsid w:val="008C02E1"/>
    <w:rsid w:val="008C03E9"/>
    <w:rsid w:val="008C048D"/>
    <w:rsid w:val="008C0530"/>
    <w:rsid w:val="008C053A"/>
    <w:rsid w:val="008C0541"/>
    <w:rsid w:val="008C059C"/>
    <w:rsid w:val="008C0606"/>
    <w:rsid w:val="008C061D"/>
    <w:rsid w:val="008C068B"/>
    <w:rsid w:val="008C074F"/>
    <w:rsid w:val="008C0750"/>
    <w:rsid w:val="008C075A"/>
    <w:rsid w:val="008C0780"/>
    <w:rsid w:val="008C07C8"/>
    <w:rsid w:val="008C0888"/>
    <w:rsid w:val="008C0962"/>
    <w:rsid w:val="008C097C"/>
    <w:rsid w:val="008C0998"/>
    <w:rsid w:val="008C09B8"/>
    <w:rsid w:val="008C0A4E"/>
    <w:rsid w:val="008C0ACD"/>
    <w:rsid w:val="008C0B54"/>
    <w:rsid w:val="008C0BB3"/>
    <w:rsid w:val="008C0BC2"/>
    <w:rsid w:val="008C0BCA"/>
    <w:rsid w:val="008C0C38"/>
    <w:rsid w:val="008C0C80"/>
    <w:rsid w:val="008C0CA9"/>
    <w:rsid w:val="008C0D5F"/>
    <w:rsid w:val="008C0D73"/>
    <w:rsid w:val="008C0DB4"/>
    <w:rsid w:val="008C0DBA"/>
    <w:rsid w:val="008C0DDE"/>
    <w:rsid w:val="008C0DE8"/>
    <w:rsid w:val="008C0E39"/>
    <w:rsid w:val="008C0E9F"/>
    <w:rsid w:val="008C0EF7"/>
    <w:rsid w:val="008C0F33"/>
    <w:rsid w:val="008C0FD1"/>
    <w:rsid w:val="008C0FF7"/>
    <w:rsid w:val="008C1012"/>
    <w:rsid w:val="008C1040"/>
    <w:rsid w:val="008C11A4"/>
    <w:rsid w:val="008C11CE"/>
    <w:rsid w:val="008C1271"/>
    <w:rsid w:val="008C12CE"/>
    <w:rsid w:val="008C132C"/>
    <w:rsid w:val="008C1370"/>
    <w:rsid w:val="008C1391"/>
    <w:rsid w:val="008C149D"/>
    <w:rsid w:val="008C14CE"/>
    <w:rsid w:val="008C14D8"/>
    <w:rsid w:val="008C162B"/>
    <w:rsid w:val="008C1632"/>
    <w:rsid w:val="008C165F"/>
    <w:rsid w:val="008C16AF"/>
    <w:rsid w:val="008C1803"/>
    <w:rsid w:val="008C1817"/>
    <w:rsid w:val="008C182B"/>
    <w:rsid w:val="008C1835"/>
    <w:rsid w:val="008C186E"/>
    <w:rsid w:val="008C1887"/>
    <w:rsid w:val="008C18A9"/>
    <w:rsid w:val="008C18D2"/>
    <w:rsid w:val="008C1951"/>
    <w:rsid w:val="008C1ACD"/>
    <w:rsid w:val="008C1B22"/>
    <w:rsid w:val="008C1B61"/>
    <w:rsid w:val="008C1B93"/>
    <w:rsid w:val="008C1C05"/>
    <w:rsid w:val="008C1CB0"/>
    <w:rsid w:val="008C1D18"/>
    <w:rsid w:val="008C1EB2"/>
    <w:rsid w:val="008C1ECE"/>
    <w:rsid w:val="008C1EDB"/>
    <w:rsid w:val="008C1EED"/>
    <w:rsid w:val="008C1F17"/>
    <w:rsid w:val="008C1F87"/>
    <w:rsid w:val="008C1FC2"/>
    <w:rsid w:val="008C2020"/>
    <w:rsid w:val="008C2081"/>
    <w:rsid w:val="008C2088"/>
    <w:rsid w:val="008C20A8"/>
    <w:rsid w:val="008C210A"/>
    <w:rsid w:val="008C2129"/>
    <w:rsid w:val="008C215F"/>
    <w:rsid w:val="008C2207"/>
    <w:rsid w:val="008C220F"/>
    <w:rsid w:val="008C2380"/>
    <w:rsid w:val="008C239E"/>
    <w:rsid w:val="008C23A2"/>
    <w:rsid w:val="008C2416"/>
    <w:rsid w:val="008C24D4"/>
    <w:rsid w:val="008C250C"/>
    <w:rsid w:val="008C2524"/>
    <w:rsid w:val="008C2553"/>
    <w:rsid w:val="008C25C4"/>
    <w:rsid w:val="008C2737"/>
    <w:rsid w:val="008C27B7"/>
    <w:rsid w:val="008C2822"/>
    <w:rsid w:val="008C2867"/>
    <w:rsid w:val="008C28A7"/>
    <w:rsid w:val="008C28A8"/>
    <w:rsid w:val="008C28B0"/>
    <w:rsid w:val="008C28F3"/>
    <w:rsid w:val="008C29CD"/>
    <w:rsid w:val="008C2AA9"/>
    <w:rsid w:val="008C2B18"/>
    <w:rsid w:val="008C2B33"/>
    <w:rsid w:val="008C2B35"/>
    <w:rsid w:val="008C2B63"/>
    <w:rsid w:val="008C2B68"/>
    <w:rsid w:val="008C2B94"/>
    <w:rsid w:val="008C2BB2"/>
    <w:rsid w:val="008C2DAD"/>
    <w:rsid w:val="008C2E3D"/>
    <w:rsid w:val="008C2EE0"/>
    <w:rsid w:val="008C2F82"/>
    <w:rsid w:val="008C2F8C"/>
    <w:rsid w:val="008C2FB9"/>
    <w:rsid w:val="008C3010"/>
    <w:rsid w:val="008C3035"/>
    <w:rsid w:val="008C30A3"/>
    <w:rsid w:val="008C30BB"/>
    <w:rsid w:val="008C30D2"/>
    <w:rsid w:val="008C30D5"/>
    <w:rsid w:val="008C3178"/>
    <w:rsid w:val="008C320E"/>
    <w:rsid w:val="008C32A9"/>
    <w:rsid w:val="008C339D"/>
    <w:rsid w:val="008C33AE"/>
    <w:rsid w:val="008C33B2"/>
    <w:rsid w:val="008C33F2"/>
    <w:rsid w:val="008C3426"/>
    <w:rsid w:val="008C3468"/>
    <w:rsid w:val="008C34B8"/>
    <w:rsid w:val="008C34D9"/>
    <w:rsid w:val="008C34E2"/>
    <w:rsid w:val="008C351A"/>
    <w:rsid w:val="008C35A6"/>
    <w:rsid w:val="008C35C5"/>
    <w:rsid w:val="008C364E"/>
    <w:rsid w:val="008C3651"/>
    <w:rsid w:val="008C366C"/>
    <w:rsid w:val="008C3676"/>
    <w:rsid w:val="008C36FB"/>
    <w:rsid w:val="008C37B0"/>
    <w:rsid w:val="008C37D3"/>
    <w:rsid w:val="008C37DD"/>
    <w:rsid w:val="008C3823"/>
    <w:rsid w:val="008C38B0"/>
    <w:rsid w:val="008C38FC"/>
    <w:rsid w:val="008C3914"/>
    <w:rsid w:val="008C393A"/>
    <w:rsid w:val="008C394C"/>
    <w:rsid w:val="008C39E0"/>
    <w:rsid w:val="008C39FE"/>
    <w:rsid w:val="008C3B06"/>
    <w:rsid w:val="008C3B19"/>
    <w:rsid w:val="008C3B7A"/>
    <w:rsid w:val="008C3BB1"/>
    <w:rsid w:val="008C3C3C"/>
    <w:rsid w:val="008C3C6D"/>
    <w:rsid w:val="008C3C73"/>
    <w:rsid w:val="008C3C94"/>
    <w:rsid w:val="008C3D5D"/>
    <w:rsid w:val="008C3E5B"/>
    <w:rsid w:val="008C3E66"/>
    <w:rsid w:val="008C3E77"/>
    <w:rsid w:val="008C3F86"/>
    <w:rsid w:val="008C3F88"/>
    <w:rsid w:val="008C3FC9"/>
    <w:rsid w:val="008C3FCE"/>
    <w:rsid w:val="008C4014"/>
    <w:rsid w:val="008C402D"/>
    <w:rsid w:val="008C404E"/>
    <w:rsid w:val="008C4082"/>
    <w:rsid w:val="008C408F"/>
    <w:rsid w:val="008C41BC"/>
    <w:rsid w:val="008C421A"/>
    <w:rsid w:val="008C424F"/>
    <w:rsid w:val="008C4299"/>
    <w:rsid w:val="008C42B3"/>
    <w:rsid w:val="008C42DB"/>
    <w:rsid w:val="008C42F1"/>
    <w:rsid w:val="008C42FC"/>
    <w:rsid w:val="008C438F"/>
    <w:rsid w:val="008C43B7"/>
    <w:rsid w:val="008C4441"/>
    <w:rsid w:val="008C44BE"/>
    <w:rsid w:val="008C44CC"/>
    <w:rsid w:val="008C4599"/>
    <w:rsid w:val="008C45AA"/>
    <w:rsid w:val="008C460E"/>
    <w:rsid w:val="008C4613"/>
    <w:rsid w:val="008C4630"/>
    <w:rsid w:val="008C4638"/>
    <w:rsid w:val="008C46FF"/>
    <w:rsid w:val="008C471F"/>
    <w:rsid w:val="008C479D"/>
    <w:rsid w:val="008C479E"/>
    <w:rsid w:val="008C4892"/>
    <w:rsid w:val="008C497A"/>
    <w:rsid w:val="008C4986"/>
    <w:rsid w:val="008C4A22"/>
    <w:rsid w:val="008C4AF9"/>
    <w:rsid w:val="008C4B40"/>
    <w:rsid w:val="008C4B5C"/>
    <w:rsid w:val="008C4BB8"/>
    <w:rsid w:val="008C4BC7"/>
    <w:rsid w:val="008C4C42"/>
    <w:rsid w:val="008C4C53"/>
    <w:rsid w:val="008C4C8C"/>
    <w:rsid w:val="008C4CB8"/>
    <w:rsid w:val="008C4D03"/>
    <w:rsid w:val="008C4D13"/>
    <w:rsid w:val="008C4D2C"/>
    <w:rsid w:val="008C4D41"/>
    <w:rsid w:val="008C4D4A"/>
    <w:rsid w:val="008C4D4C"/>
    <w:rsid w:val="008C4D5B"/>
    <w:rsid w:val="008C4E23"/>
    <w:rsid w:val="008C4E3B"/>
    <w:rsid w:val="008C4E4B"/>
    <w:rsid w:val="008C4E71"/>
    <w:rsid w:val="008C4E73"/>
    <w:rsid w:val="008C4E91"/>
    <w:rsid w:val="008C4ECC"/>
    <w:rsid w:val="008C4F84"/>
    <w:rsid w:val="008C5057"/>
    <w:rsid w:val="008C50A6"/>
    <w:rsid w:val="008C50AA"/>
    <w:rsid w:val="008C519A"/>
    <w:rsid w:val="008C51D6"/>
    <w:rsid w:val="008C5234"/>
    <w:rsid w:val="008C524C"/>
    <w:rsid w:val="008C5278"/>
    <w:rsid w:val="008C52BA"/>
    <w:rsid w:val="008C546F"/>
    <w:rsid w:val="008C54B6"/>
    <w:rsid w:val="008C5515"/>
    <w:rsid w:val="008C5523"/>
    <w:rsid w:val="008C5548"/>
    <w:rsid w:val="008C5559"/>
    <w:rsid w:val="008C55EE"/>
    <w:rsid w:val="008C5643"/>
    <w:rsid w:val="008C568F"/>
    <w:rsid w:val="008C5749"/>
    <w:rsid w:val="008C5785"/>
    <w:rsid w:val="008C5816"/>
    <w:rsid w:val="008C588C"/>
    <w:rsid w:val="008C5A45"/>
    <w:rsid w:val="008C5A76"/>
    <w:rsid w:val="008C5B0A"/>
    <w:rsid w:val="008C5BB2"/>
    <w:rsid w:val="008C5CDB"/>
    <w:rsid w:val="008C5CF0"/>
    <w:rsid w:val="008C5DA8"/>
    <w:rsid w:val="008C5E00"/>
    <w:rsid w:val="008C5E20"/>
    <w:rsid w:val="008C5E7E"/>
    <w:rsid w:val="008C5F1E"/>
    <w:rsid w:val="008C5F47"/>
    <w:rsid w:val="008C5FAF"/>
    <w:rsid w:val="008C603F"/>
    <w:rsid w:val="008C6080"/>
    <w:rsid w:val="008C60A4"/>
    <w:rsid w:val="008C60D5"/>
    <w:rsid w:val="008C60DA"/>
    <w:rsid w:val="008C6107"/>
    <w:rsid w:val="008C619F"/>
    <w:rsid w:val="008C6242"/>
    <w:rsid w:val="008C6294"/>
    <w:rsid w:val="008C629B"/>
    <w:rsid w:val="008C62B5"/>
    <w:rsid w:val="008C62BC"/>
    <w:rsid w:val="008C62DA"/>
    <w:rsid w:val="008C6309"/>
    <w:rsid w:val="008C631C"/>
    <w:rsid w:val="008C631F"/>
    <w:rsid w:val="008C634A"/>
    <w:rsid w:val="008C6376"/>
    <w:rsid w:val="008C63FA"/>
    <w:rsid w:val="008C643B"/>
    <w:rsid w:val="008C645E"/>
    <w:rsid w:val="008C64BC"/>
    <w:rsid w:val="008C6505"/>
    <w:rsid w:val="008C6528"/>
    <w:rsid w:val="008C6595"/>
    <w:rsid w:val="008C65CD"/>
    <w:rsid w:val="008C6685"/>
    <w:rsid w:val="008C6691"/>
    <w:rsid w:val="008C66D1"/>
    <w:rsid w:val="008C66D5"/>
    <w:rsid w:val="008C6744"/>
    <w:rsid w:val="008C676E"/>
    <w:rsid w:val="008C67A6"/>
    <w:rsid w:val="008C67E5"/>
    <w:rsid w:val="008C680E"/>
    <w:rsid w:val="008C6820"/>
    <w:rsid w:val="008C687C"/>
    <w:rsid w:val="008C68CF"/>
    <w:rsid w:val="008C696B"/>
    <w:rsid w:val="008C6987"/>
    <w:rsid w:val="008C69B9"/>
    <w:rsid w:val="008C69F2"/>
    <w:rsid w:val="008C6A5C"/>
    <w:rsid w:val="008C6AC9"/>
    <w:rsid w:val="008C6ADC"/>
    <w:rsid w:val="008C6AED"/>
    <w:rsid w:val="008C6B05"/>
    <w:rsid w:val="008C6B4D"/>
    <w:rsid w:val="008C6DCF"/>
    <w:rsid w:val="008C6DD5"/>
    <w:rsid w:val="008C6E30"/>
    <w:rsid w:val="008C6E32"/>
    <w:rsid w:val="008C6F2C"/>
    <w:rsid w:val="008C6F51"/>
    <w:rsid w:val="008C6F71"/>
    <w:rsid w:val="008C6F72"/>
    <w:rsid w:val="008C6FC0"/>
    <w:rsid w:val="008C6FDE"/>
    <w:rsid w:val="008C7014"/>
    <w:rsid w:val="008C7044"/>
    <w:rsid w:val="008C70EC"/>
    <w:rsid w:val="008C713E"/>
    <w:rsid w:val="008C7189"/>
    <w:rsid w:val="008C71A2"/>
    <w:rsid w:val="008C7254"/>
    <w:rsid w:val="008C7269"/>
    <w:rsid w:val="008C726B"/>
    <w:rsid w:val="008C726D"/>
    <w:rsid w:val="008C734F"/>
    <w:rsid w:val="008C7373"/>
    <w:rsid w:val="008C73C2"/>
    <w:rsid w:val="008C73E1"/>
    <w:rsid w:val="008C73FC"/>
    <w:rsid w:val="008C745F"/>
    <w:rsid w:val="008C746B"/>
    <w:rsid w:val="008C7485"/>
    <w:rsid w:val="008C74AA"/>
    <w:rsid w:val="008C74F4"/>
    <w:rsid w:val="008C74F9"/>
    <w:rsid w:val="008C7520"/>
    <w:rsid w:val="008C752A"/>
    <w:rsid w:val="008C755A"/>
    <w:rsid w:val="008C7566"/>
    <w:rsid w:val="008C75AC"/>
    <w:rsid w:val="008C7600"/>
    <w:rsid w:val="008C7672"/>
    <w:rsid w:val="008C7687"/>
    <w:rsid w:val="008C76AA"/>
    <w:rsid w:val="008C76E8"/>
    <w:rsid w:val="008C7716"/>
    <w:rsid w:val="008C779F"/>
    <w:rsid w:val="008C77A0"/>
    <w:rsid w:val="008C77AD"/>
    <w:rsid w:val="008C77EC"/>
    <w:rsid w:val="008C7810"/>
    <w:rsid w:val="008C787E"/>
    <w:rsid w:val="008C79BC"/>
    <w:rsid w:val="008C7A2A"/>
    <w:rsid w:val="008C7A74"/>
    <w:rsid w:val="008C7AC5"/>
    <w:rsid w:val="008C7AC9"/>
    <w:rsid w:val="008C7AE4"/>
    <w:rsid w:val="008C7B18"/>
    <w:rsid w:val="008C7BB9"/>
    <w:rsid w:val="008C7C28"/>
    <w:rsid w:val="008C7D11"/>
    <w:rsid w:val="008C7D38"/>
    <w:rsid w:val="008C7D3F"/>
    <w:rsid w:val="008C7D5D"/>
    <w:rsid w:val="008C7E2F"/>
    <w:rsid w:val="008C7E6A"/>
    <w:rsid w:val="008C7ED6"/>
    <w:rsid w:val="008C7F4C"/>
    <w:rsid w:val="008C7F59"/>
    <w:rsid w:val="008C7FB6"/>
    <w:rsid w:val="008D00B5"/>
    <w:rsid w:val="008D00C7"/>
    <w:rsid w:val="008D0123"/>
    <w:rsid w:val="008D0216"/>
    <w:rsid w:val="008D028F"/>
    <w:rsid w:val="008D037F"/>
    <w:rsid w:val="008D0511"/>
    <w:rsid w:val="008D0623"/>
    <w:rsid w:val="008D0628"/>
    <w:rsid w:val="008D065B"/>
    <w:rsid w:val="008D0681"/>
    <w:rsid w:val="008D068F"/>
    <w:rsid w:val="008D06E9"/>
    <w:rsid w:val="008D07A7"/>
    <w:rsid w:val="008D07AC"/>
    <w:rsid w:val="008D07C6"/>
    <w:rsid w:val="008D07E2"/>
    <w:rsid w:val="008D0807"/>
    <w:rsid w:val="008D081E"/>
    <w:rsid w:val="008D0895"/>
    <w:rsid w:val="008D08E1"/>
    <w:rsid w:val="008D094E"/>
    <w:rsid w:val="008D094F"/>
    <w:rsid w:val="008D0971"/>
    <w:rsid w:val="008D098C"/>
    <w:rsid w:val="008D09E7"/>
    <w:rsid w:val="008D09F4"/>
    <w:rsid w:val="008D0A65"/>
    <w:rsid w:val="008D0AAD"/>
    <w:rsid w:val="008D0B72"/>
    <w:rsid w:val="008D0B95"/>
    <w:rsid w:val="008D0BCF"/>
    <w:rsid w:val="008D0BEF"/>
    <w:rsid w:val="008D0C4F"/>
    <w:rsid w:val="008D0CF1"/>
    <w:rsid w:val="008D0CF5"/>
    <w:rsid w:val="008D0D72"/>
    <w:rsid w:val="008D0DA6"/>
    <w:rsid w:val="008D0DDE"/>
    <w:rsid w:val="008D0E21"/>
    <w:rsid w:val="008D0E25"/>
    <w:rsid w:val="008D0E46"/>
    <w:rsid w:val="008D0E4C"/>
    <w:rsid w:val="008D0ECE"/>
    <w:rsid w:val="008D0F19"/>
    <w:rsid w:val="008D0F65"/>
    <w:rsid w:val="008D0F9D"/>
    <w:rsid w:val="008D0FC8"/>
    <w:rsid w:val="008D0FCC"/>
    <w:rsid w:val="008D0FD2"/>
    <w:rsid w:val="008D1130"/>
    <w:rsid w:val="008D1174"/>
    <w:rsid w:val="008D1205"/>
    <w:rsid w:val="008D1208"/>
    <w:rsid w:val="008D128C"/>
    <w:rsid w:val="008D12A6"/>
    <w:rsid w:val="008D12D3"/>
    <w:rsid w:val="008D12D7"/>
    <w:rsid w:val="008D12EF"/>
    <w:rsid w:val="008D1336"/>
    <w:rsid w:val="008D138D"/>
    <w:rsid w:val="008D13AD"/>
    <w:rsid w:val="008D13B8"/>
    <w:rsid w:val="008D13C4"/>
    <w:rsid w:val="008D1466"/>
    <w:rsid w:val="008D1485"/>
    <w:rsid w:val="008D148A"/>
    <w:rsid w:val="008D1496"/>
    <w:rsid w:val="008D14EE"/>
    <w:rsid w:val="008D1576"/>
    <w:rsid w:val="008D1591"/>
    <w:rsid w:val="008D15AF"/>
    <w:rsid w:val="008D15B1"/>
    <w:rsid w:val="008D15B4"/>
    <w:rsid w:val="008D174A"/>
    <w:rsid w:val="008D174F"/>
    <w:rsid w:val="008D177E"/>
    <w:rsid w:val="008D17B4"/>
    <w:rsid w:val="008D17CF"/>
    <w:rsid w:val="008D1809"/>
    <w:rsid w:val="008D181F"/>
    <w:rsid w:val="008D1836"/>
    <w:rsid w:val="008D1837"/>
    <w:rsid w:val="008D1856"/>
    <w:rsid w:val="008D1987"/>
    <w:rsid w:val="008D19E2"/>
    <w:rsid w:val="008D1A0F"/>
    <w:rsid w:val="008D1A7F"/>
    <w:rsid w:val="008D1A9E"/>
    <w:rsid w:val="008D1AD0"/>
    <w:rsid w:val="008D1B2B"/>
    <w:rsid w:val="008D1BE3"/>
    <w:rsid w:val="008D1C31"/>
    <w:rsid w:val="008D1C9A"/>
    <w:rsid w:val="008D1CF3"/>
    <w:rsid w:val="008D1D43"/>
    <w:rsid w:val="008D1E10"/>
    <w:rsid w:val="008D1E42"/>
    <w:rsid w:val="008D1E7D"/>
    <w:rsid w:val="008D1EA9"/>
    <w:rsid w:val="008D1EE6"/>
    <w:rsid w:val="008D1F78"/>
    <w:rsid w:val="008D1F80"/>
    <w:rsid w:val="008D1F9D"/>
    <w:rsid w:val="008D1FA4"/>
    <w:rsid w:val="008D1FA8"/>
    <w:rsid w:val="008D1FC5"/>
    <w:rsid w:val="008D1FDD"/>
    <w:rsid w:val="008D1FFB"/>
    <w:rsid w:val="008D204C"/>
    <w:rsid w:val="008D206B"/>
    <w:rsid w:val="008D207C"/>
    <w:rsid w:val="008D2092"/>
    <w:rsid w:val="008D20BD"/>
    <w:rsid w:val="008D210A"/>
    <w:rsid w:val="008D210C"/>
    <w:rsid w:val="008D21F3"/>
    <w:rsid w:val="008D223C"/>
    <w:rsid w:val="008D2262"/>
    <w:rsid w:val="008D2386"/>
    <w:rsid w:val="008D23B8"/>
    <w:rsid w:val="008D23E7"/>
    <w:rsid w:val="008D242F"/>
    <w:rsid w:val="008D2442"/>
    <w:rsid w:val="008D2474"/>
    <w:rsid w:val="008D249D"/>
    <w:rsid w:val="008D24FB"/>
    <w:rsid w:val="008D2542"/>
    <w:rsid w:val="008D254A"/>
    <w:rsid w:val="008D2574"/>
    <w:rsid w:val="008D2607"/>
    <w:rsid w:val="008D260D"/>
    <w:rsid w:val="008D2610"/>
    <w:rsid w:val="008D2612"/>
    <w:rsid w:val="008D263C"/>
    <w:rsid w:val="008D2659"/>
    <w:rsid w:val="008D2674"/>
    <w:rsid w:val="008D2723"/>
    <w:rsid w:val="008D2738"/>
    <w:rsid w:val="008D27DC"/>
    <w:rsid w:val="008D298C"/>
    <w:rsid w:val="008D2A13"/>
    <w:rsid w:val="008D2A6A"/>
    <w:rsid w:val="008D2A6D"/>
    <w:rsid w:val="008D2A77"/>
    <w:rsid w:val="008D2AFE"/>
    <w:rsid w:val="008D2B25"/>
    <w:rsid w:val="008D2B6B"/>
    <w:rsid w:val="008D2BFF"/>
    <w:rsid w:val="008D2C10"/>
    <w:rsid w:val="008D2C6F"/>
    <w:rsid w:val="008D2C79"/>
    <w:rsid w:val="008D2C89"/>
    <w:rsid w:val="008D2CCC"/>
    <w:rsid w:val="008D2E41"/>
    <w:rsid w:val="008D2E63"/>
    <w:rsid w:val="008D2E9C"/>
    <w:rsid w:val="008D2EE9"/>
    <w:rsid w:val="008D2F68"/>
    <w:rsid w:val="008D2F93"/>
    <w:rsid w:val="008D3091"/>
    <w:rsid w:val="008D30B4"/>
    <w:rsid w:val="008D315E"/>
    <w:rsid w:val="008D316B"/>
    <w:rsid w:val="008D31E6"/>
    <w:rsid w:val="008D320D"/>
    <w:rsid w:val="008D3221"/>
    <w:rsid w:val="008D3274"/>
    <w:rsid w:val="008D32AA"/>
    <w:rsid w:val="008D336E"/>
    <w:rsid w:val="008D3390"/>
    <w:rsid w:val="008D3392"/>
    <w:rsid w:val="008D33A1"/>
    <w:rsid w:val="008D33D8"/>
    <w:rsid w:val="008D34C7"/>
    <w:rsid w:val="008D35A9"/>
    <w:rsid w:val="008D3641"/>
    <w:rsid w:val="008D365F"/>
    <w:rsid w:val="008D3696"/>
    <w:rsid w:val="008D3723"/>
    <w:rsid w:val="008D3729"/>
    <w:rsid w:val="008D37D9"/>
    <w:rsid w:val="008D3814"/>
    <w:rsid w:val="008D3851"/>
    <w:rsid w:val="008D38CC"/>
    <w:rsid w:val="008D38FC"/>
    <w:rsid w:val="008D3945"/>
    <w:rsid w:val="008D399C"/>
    <w:rsid w:val="008D39A2"/>
    <w:rsid w:val="008D39EE"/>
    <w:rsid w:val="008D3A25"/>
    <w:rsid w:val="008D3AC3"/>
    <w:rsid w:val="008D3AC9"/>
    <w:rsid w:val="008D3B30"/>
    <w:rsid w:val="008D3B5C"/>
    <w:rsid w:val="008D3B63"/>
    <w:rsid w:val="008D3B6D"/>
    <w:rsid w:val="008D3B7E"/>
    <w:rsid w:val="008D3BF4"/>
    <w:rsid w:val="008D3C7F"/>
    <w:rsid w:val="008D3C88"/>
    <w:rsid w:val="008D3D0B"/>
    <w:rsid w:val="008D3D9E"/>
    <w:rsid w:val="008D3DA7"/>
    <w:rsid w:val="008D3DB7"/>
    <w:rsid w:val="008D3F1C"/>
    <w:rsid w:val="008D3F4D"/>
    <w:rsid w:val="008D3FD4"/>
    <w:rsid w:val="008D3FE8"/>
    <w:rsid w:val="008D3FED"/>
    <w:rsid w:val="008D401E"/>
    <w:rsid w:val="008D40A6"/>
    <w:rsid w:val="008D427B"/>
    <w:rsid w:val="008D427E"/>
    <w:rsid w:val="008D42CA"/>
    <w:rsid w:val="008D42E7"/>
    <w:rsid w:val="008D430D"/>
    <w:rsid w:val="008D4325"/>
    <w:rsid w:val="008D4387"/>
    <w:rsid w:val="008D438D"/>
    <w:rsid w:val="008D4485"/>
    <w:rsid w:val="008D44B7"/>
    <w:rsid w:val="008D4526"/>
    <w:rsid w:val="008D4569"/>
    <w:rsid w:val="008D456C"/>
    <w:rsid w:val="008D4636"/>
    <w:rsid w:val="008D4646"/>
    <w:rsid w:val="008D464D"/>
    <w:rsid w:val="008D465D"/>
    <w:rsid w:val="008D4696"/>
    <w:rsid w:val="008D46CA"/>
    <w:rsid w:val="008D46E8"/>
    <w:rsid w:val="008D47A5"/>
    <w:rsid w:val="008D47B2"/>
    <w:rsid w:val="008D486A"/>
    <w:rsid w:val="008D4879"/>
    <w:rsid w:val="008D48AA"/>
    <w:rsid w:val="008D48C3"/>
    <w:rsid w:val="008D48ED"/>
    <w:rsid w:val="008D4933"/>
    <w:rsid w:val="008D4A15"/>
    <w:rsid w:val="008D4A22"/>
    <w:rsid w:val="008D4A4F"/>
    <w:rsid w:val="008D4A91"/>
    <w:rsid w:val="008D4B7F"/>
    <w:rsid w:val="008D4BB0"/>
    <w:rsid w:val="008D4BCD"/>
    <w:rsid w:val="008D4BF9"/>
    <w:rsid w:val="008D4C63"/>
    <w:rsid w:val="008D4CE0"/>
    <w:rsid w:val="008D4D19"/>
    <w:rsid w:val="008D4D2E"/>
    <w:rsid w:val="008D4D6B"/>
    <w:rsid w:val="008D4DCE"/>
    <w:rsid w:val="008D4DE8"/>
    <w:rsid w:val="008D4DFF"/>
    <w:rsid w:val="008D4E3B"/>
    <w:rsid w:val="008D4E65"/>
    <w:rsid w:val="008D4F1F"/>
    <w:rsid w:val="008D4F89"/>
    <w:rsid w:val="008D4FCF"/>
    <w:rsid w:val="008D4FDC"/>
    <w:rsid w:val="008D5051"/>
    <w:rsid w:val="008D5071"/>
    <w:rsid w:val="008D5087"/>
    <w:rsid w:val="008D50D6"/>
    <w:rsid w:val="008D513F"/>
    <w:rsid w:val="008D5143"/>
    <w:rsid w:val="008D5244"/>
    <w:rsid w:val="008D5299"/>
    <w:rsid w:val="008D52F4"/>
    <w:rsid w:val="008D541E"/>
    <w:rsid w:val="008D54E7"/>
    <w:rsid w:val="008D5527"/>
    <w:rsid w:val="008D5596"/>
    <w:rsid w:val="008D55D0"/>
    <w:rsid w:val="008D5631"/>
    <w:rsid w:val="008D563C"/>
    <w:rsid w:val="008D566C"/>
    <w:rsid w:val="008D5691"/>
    <w:rsid w:val="008D5709"/>
    <w:rsid w:val="008D573E"/>
    <w:rsid w:val="008D5829"/>
    <w:rsid w:val="008D5833"/>
    <w:rsid w:val="008D5864"/>
    <w:rsid w:val="008D587A"/>
    <w:rsid w:val="008D587B"/>
    <w:rsid w:val="008D5895"/>
    <w:rsid w:val="008D58A5"/>
    <w:rsid w:val="008D5920"/>
    <w:rsid w:val="008D5A77"/>
    <w:rsid w:val="008D5ACD"/>
    <w:rsid w:val="008D5B1F"/>
    <w:rsid w:val="008D5B22"/>
    <w:rsid w:val="008D5B87"/>
    <w:rsid w:val="008D5BAF"/>
    <w:rsid w:val="008D5BB2"/>
    <w:rsid w:val="008D5C0E"/>
    <w:rsid w:val="008D5C15"/>
    <w:rsid w:val="008D5C2C"/>
    <w:rsid w:val="008D5C2D"/>
    <w:rsid w:val="008D5CB2"/>
    <w:rsid w:val="008D5D07"/>
    <w:rsid w:val="008D5D2A"/>
    <w:rsid w:val="008D5E0E"/>
    <w:rsid w:val="008D5E7A"/>
    <w:rsid w:val="008D5E82"/>
    <w:rsid w:val="008D5EAF"/>
    <w:rsid w:val="008D5EBF"/>
    <w:rsid w:val="008D5EEB"/>
    <w:rsid w:val="008D5F62"/>
    <w:rsid w:val="008D5FA5"/>
    <w:rsid w:val="008D6064"/>
    <w:rsid w:val="008D60E6"/>
    <w:rsid w:val="008D617D"/>
    <w:rsid w:val="008D61D1"/>
    <w:rsid w:val="008D61D3"/>
    <w:rsid w:val="008D61F0"/>
    <w:rsid w:val="008D627D"/>
    <w:rsid w:val="008D628D"/>
    <w:rsid w:val="008D62E6"/>
    <w:rsid w:val="008D6300"/>
    <w:rsid w:val="008D6311"/>
    <w:rsid w:val="008D631E"/>
    <w:rsid w:val="008D632B"/>
    <w:rsid w:val="008D6360"/>
    <w:rsid w:val="008D6392"/>
    <w:rsid w:val="008D63C3"/>
    <w:rsid w:val="008D63CC"/>
    <w:rsid w:val="008D63FF"/>
    <w:rsid w:val="008D6469"/>
    <w:rsid w:val="008D648A"/>
    <w:rsid w:val="008D65A5"/>
    <w:rsid w:val="008D65AC"/>
    <w:rsid w:val="008D65D3"/>
    <w:rsid w:val="008D6629"/>
    <w:rsid w:val="008D6665"/>
    <w:rsid w:val="008D6714"/>
    <w:rsid w:val="008D6722"/>
    <w:rsid w:val="008D67A6"/>
    <w:rsid w:val="008D684D"/>
    <w:rsid w:val="008D6858"/>
    <w:rsid w:val="008D68A2"/>
    <w:rsid w:val="008D68CA"/>
    <w:rsid w:val="008D6943"/>
    <w:rsid w:val="008D6952"/>
    <w:rsid w:val="008D69A7"/>
    <w:rsid w:val="008D6A0B"/>
    <w:rsid w:val="008D6A91"/>
    <w:rsid w:val="008D6AF8"/>
    <w:rsid w:val="008D6B1C"/>
    <w:rsid w:val="008D6C30"/>
    <w:rsid w:val="008D6C7C"/>
    <w:rsid w:val="008D6C8F"/>
    <w:rsid w:val="008D6CFE"/>
    <w:rsid w:val="008D6E34"/>
    <w:rsid w:val="008D6F22"/>
    <w:rsid w:val="008D6F70"/>
    <w:rsid w:val="008D6F9F"/>
    <w:rsid w:val="008D6FA3"/>
    <w:rsid w:val="008D6FBF"/>
    <w:rsid w:val="008D6FE8"/>
    <w:rsid w:val="008D7006"/>
    <w:rsid w:val="008D70E5"/>
    <w:rsid w:val="008D7138"/>
    <w:rsid w:val="008D7144"/>
    <w:rsid w:val="008D714A"/>
    <w:rsid w:val="008D7171"/>
    <w:rsid w:val="008D71C4"/>
    <w:rsid w:val="008D71DE"/>
    <w:rsid w:val="008D7204"/>
    <w:rsid w:val="008D727E"/>
    <w:rsid w:val="008D72B3"/>
    <w:rsid w:val="008D72B5"/>
    <w:rsid w:val="008D7534"/>
    <w:rsid w:val="008D75B2"/>
    <w:rsid w:val="008D76AE"/>
    <w:rsid w:val="008D771A"/>
    <w:rsid w:val="008D7737"/>
    <w:rsid w:val="008D77A9"/>
    <w:rsid w:val="008D77E1"/>
    <w:rsid w:val="008D77E5"/>
    <w:rsid w:val="008D78CD"/>
    <w:rsid w:val="008D7943"/>
    <w:rsid w:val="008D794F"/>
    <w:rsid w:val="008D7B55"/>
    <w:rsid w:val="008D7C84"/>
    <w:rsid w:val="008D7C88"/>
    <w:rsid w:val="008D7C94"/>
    <w:rsid w:val="008D7CB2"/>
    <w:rsid w:val="008D7D0E"/>
    <w:rsid w:val="008D7D4E"/>
    <w:rsid w:val="008D7D5E"/>
    <w:rsid w:val="008D7E3C"/>
    <w:rsid w:val="008D7E98"/>
    <w:rsid w:val="008D7F92"/>
    <w:rsid w:val="008D7FE3"/>
    <w:rsid w:val="008E0010"/>
    <w:rsid w:val="008E005F"/>
    <w:rsid w:val="008E00A7"/>
    <w:rsid w:val="008E00F4"/>
    <w:rsid w:val="008E01E0"/>
    <w:rsid w:val="008E0234"/>
    <w:rsid w:val="008E023D"/>
    <w:rsid w:val="008E024C"/>
    <w:rsid w:val="008E0273"/>
    <w:rsid w:val="008E027E"/>
    <w:rsid w:val="008E02BC"/>
    <w:rsid w:val="008E034B"/>
    <w:rsid w:val="008E034C"/>
    <w:rsid w:val="008E0356"/>
    <w:rsid w:val="008E03D3"/>
    <w:rsid w:val="008E0432"/>
    <w:rsid w:val="008E045B"/>
    <w:rsid w:val="008E04B4"/>
    <w:rsid w:val="008E04CC"/>
    <w:rsid w:val="008E04DC"/>
    <w:rsid w:val="008E053E"/>
    <w:rsid w:val="008E055F"/>
    <w:rsid w:val="008E0593"/>
    <w:rsid w:val="008E05E0"/>
    <w:rsid w:val="008E0671"/>
    <w:rsid w:val="008E06B1"/>
    <w:rsid w:val="008E06F8"/>
    <w:rsid w:val="008E07AE"/>
    <w:rsid w:val="008E07D6"/>
    <w:rsid w:val="008E07FE"/>
    <w:rsid w:val="008E0836"/>
    <w:rsid w:val="008E087F"/>
    <w:rsid w:val="008E0897"/>
    <w:rsid w:val="008E08F1"/>
    <w:rsid w:val="008E08FA"/>
    <w:rsid w:val="008E0993"/>
    <w:rsid w:val="008E0A38"/>
    <w:rsid w:val="008E0A7A"/>
    <w:rsid w:val="008E0AB6"/>
    <w:rsid w:val="008E0AEB"/>
    <w:rsid w:val="008E0B4D"/>
    <w:rsid w:val="008E0B6A"/>
    <w:rsid w:val="008E0CA9"/>
    <w:rsid w:val="008E0CAE"/>
    <w:rsid w:val="008E0CC5"/>
    <w:rsid w:val="008E0D18"/>
    <w:rsid w:val="008E0DC5"/>
    <w:rsid w:val="008E0DDF"/>
    <w:rsid w:val="008E0DF3"/>
    <w:rsid w:val="008E0DF5"/>
    <w:rsid w:val="008E0E1E"/>
    <w:rsid w:val="008E0E2B"/>
    <w:rsid w:val="008E102D"/>
    <w:rsid w:val="008E1041"/>
    <w:rsid w:val="008E107E"/>
    <w:rsid w:val="008E10A0"/>
    <w:rsid w:val="008E10CD"/>
    <w:rsid w:val="008E10DB"/>
    <w:rsid w:val="008E1141"/>
    <w:rsid w:val="008E114F"/>
    <w:rsid w:val="008E11DF"/>
    <w:rsid w:val="008E11E4"/>
    <w:rsid w:val="008E13E8"/>
    <w:rsid w:val="008E13FE"/>
    <w:rsid w:val="008E1443"/>
    <w:rsid w:val="008E151A"/>
    <w:rsid w:val="008E152C"/>
    <w:rsid w:val="008E1539"/>
    <w:rsid w:val="008E1598"/>
    <w:rsid w:val="008E15BC"/>
    <w:rsid w:val="008E1663"/>
    <w:rsid w:val="008E16BC"/>
    <w:rsid w:val="008E16C0"/>
    <w:rsid w:val="008E1791"/>
    <w:rsid w:val="008E18D2"/>
    <w:rsid w:val="008E18E7"/>
    <w:rsid w:val="008E190E"/>
    <w:rsid w:val="008E19D8"/>
    <w:rsid w:val="008E1A0E"/>
    <w:rsid w:val="008E1AAC"/>
    <w:rsid w:val="008E1B3B"/>
    <w:rsid w:val="008E1B8A"/>
    <w:rsid w:val="008E1BA7"/>
    <w:rsid w:val="008E1C19"/>
    <w:rsid w:val="008E1D62"/>
    <w:rsid w:val="008E1D78"/>
    <w:rsid w:val="008E1D96"/>
    <w:rsid w:val="008E1E2F"/>
    <w:rsid w:val="008E1E4A"/>
    <w:rsid w:val="008E1E9E"/>
    <w:rsid w:val="008E1EC3"/>
    <w:rsid w:val="008E1F0F"/>
    <w:rsid w:val="008E1F20"/>
    <w:rsid w:val="008E1F3A"/>
    <w:rsid w:val="008E1FB0"/>
    <w:rsid w:val="008E1FC9"/>
    <w:rsid w:val="008E20A6"/>
    <w:rsid w:val="008E20EB"/>
    <w:rsid w:val="008E2157"/>
    <w:rsid w:val="008E2231"/>
    <w:rsid w:val="008E2298"/>
    <w:rsid w:val="008E22AA"/>
    <w:rsid w:val="008E22E9"/>
    <w:rsid w:val="008E235A"/>
    <w:rsid w:val="008E236B"/>
    <w:rsid w:val="008E236F"/>
    <w:rsid w:val="008E23E3"/>
    <w:rsid w:val="008E2437"/>
    <w:rsid w:val="008E2452"/>
    <w:rsid w:val="008E2471"/>
    <w:rsid w:val="008E24D7"/>
    <w:rsid w:val="008E2543"/>
    <w:rsid w:val="008E25B3"/>
    <w:rsid w:val="008E25B4"/>
    <w:rsid w:val="008E2620"/>
    <w:rsid w:val="008E2639"/>
    <w:rsid w:val="008E266A"/>
    <w:rsid w:val="008E2682"/>
    <w:rsid w:val="008E26B6"/>
    <w:rsid w:val="008E270D"/>
    <w:rsid w:val="008E2779"/>
    <w:rsid w:val="008E2780"/>
    <w:rsid w:val="008E27A9"/>
    <w:rsid w:val="008E27D2"/>
    <w:rsid w:val="008E27DD"/>
    <w:rsid w:val="008E2820"/>
    <w:rsid w:val="008E2829"/>
    <w:rsid w:val="008E282A"/>
    <w:rsid w:val="008E283A"/>
    <w:rsid w:val="008E288E"/>
    <w:rsid w:val="008E288F"/>
    <w:rsid w:val="008E2893"/>
    <w:rsid w:val="008E28B1"/>
    <w:rsid w:val="008E28EC"/>
    <w:rsid w:val="008E29A8"/>
    <w:rsid w:val="008E29DA"/>
    <w:rsid w:val="008E2A51"/>
    <w:rsid w:val="008E2A68"/>
    <w:rsid w:val="008E2AA7"/>
    <w:rsid w:val="008E2AF8"/>
    <w:rsid w:val="008E2B51"/>
    <w:rsid w:val="008E2CF0"/>
    <w:rsid w:val="008E2D40"/>
    <w:rsid w:val="008E2D47"/>
    <w:rsid w:val="008E2D69"/>
    <w:rsid w:val="008E2D8F"/>
    <w:rsid w:val="008E2DEF"/>
    <w:rsid w:val="008E2E44"/>
    <w:rsid w:val="008E2F13"/>
    <w:rsid w:val="008E2FEC"/>
    <w:rsid w:val="008E3033"/>
    <w:rsid w:val="008E306F"/>
    <w:rsid w:val="008E3086"/>
    <w:rsid w:val="008E3091"/>
    <w:rsid w:val="008E3095"/>
    <w:rsid w:val="008E30EE"/>
    <w:rsid w:val="008E317C"/>
    <w:rsid w:val="008E31E3"/>
    <w:rsid w:val="008E32AC"/>
    <w:rsid w:val="008E32DD"/>
    <w:rsid w:val="008E32FA"/>
    <w:rsid w:val="008E33F2"/>
    <w:rsid w:val="008E341C"/>
    <w:rsid w:val="008E343E"/>
    <w:rsid w:val="008E3448"/>
    <w:rsid w:val="008E3452"/>
    <w:rsid w:val="008E3483"/>
    <w:rsid w:val="008E34D5"/>
    <w:rsid w:val="008E352C"/>
    <w:rsid w:val="008E3554"/>
    <w:rsid w:val="008E3577"/>
    <w:rsid w:val="008E3593"/>
    <w:rsid w:val="008E359C"/>
    <w:rsid w:val="008E35BD"/>
    <w:rsid w:val="008E35DF"/>
    <w:rsid w:val="008E3709"/>
    <w:rsid w:val="008E378F"/>
    <w:rsid w:val="008E38F3"/>
    <w:rsid w:val="008E3904"/>
    <w:rsid w:val="008E39A3"/>
    <w:rsid w:val="008E39F3"/>
    <w:rsid w:val="008E3A03"/>
    <w:rsid w:val="008E3A09"/>
    <w:rsid w:val="008E3AB1"/>
    <w:rsid w:val="008E3B87"/>
    <w:rsid w:val="008E3BFD"/>
    <w:rsid w:val="008E3C25"/>
    <w:rsid w:val="008E3D00"/>
    <w:rsid w:val="008E3D06"/>
    <w:rsid w:val="008E3DCB"/>
    <w:rsid w:val="008E3E2F"/>
    <w:rsid w:val="008E3E6F"/>
    <w:rsid w:val="008E3F18"/>
    <w:rsid w:val="008E3F61"/>
    <w:rsid w:val="008E3F93"/>
    <w:rsid w:val="008E4025"/>
    <w:rsid w:val="008E407A"/>
    <w:rsid w:val="008E41AC"/>
    <w:rsid w:val="008E41C8"/>
    <w:rsid w:val="008E41DE"/>
    <w:rsid w:val="008E4238"/>
    <w:rsid w:val="008E4280"/>
    <w:rsid w:val="008E4284"/>
    <w:rsid w:val="008E42BB"/>
    <w:rsid w:val="008E42E4"/>
    <w:rsid w:val="008E4346"/>
    <w:rsid w:val="008E434A"/>
    <w:rsid w:val="008E4395"/>
    <w:rsid w:val="008E43D5"/>
    <w:rsid w:val="008E4449"/>
    <w:rsid w:val="008E444B"/>
    <w:rsid w:val="008E4610"/>
    <w:rsid w:val="008E463D"/>
    <w:rsid w:val="008E470D"/>
    <w:rsid w:val="008E479C"/>
    <w:rsid w:val="008E47F7"/>
    <w:rsid w:val="008E4808"/>
    <w:rsid w:val="008E484C"/>
    <w:rsid w:val="008E484F"/>
    <w:rsid w:val="008E4852"/>
    <w:rsid w:val="008E48EC"/>
    <w:rsid w:val="008E4903"/>
    <w:rsid w:val="008E4919"/>
    <w:rsid w:val="008E4993"/>
    <w:rsid w:val="008E4995"/>
    <w:rsid w:val="008E499E"/>
    <w:rsid w:val="008E49DF"/>
    <w:rsid w:val="008E49FD"/>
    <w:rsid w:val="008E4A15"/>
    <w:rsid w:val="008E4A1C"/>
    <w:rsid w:val="008E4A23"/>
    <w:rsid w:val="008E4A33"/>
    <w:rsid w:val="008E4AB6"/>
    <w:rsid w:val="008E4AF1"/>
    <w:rsid w:val="008E4B0E"/>
    <w:rsid w:val="008E4B33"/>
    <w:rsid w:val="008E4B99"/>
    <w:rsid w:val="008E4BE5"/>
    <w:rsid w:val="008E4C55"/>
    <w:rsid w:val="008E4C94"/>
    <w:rsid w:val="008E4D69"/>
    <w:rsid w:val="008E4E4B"/>
    <w:rsid w:val="008E4E82"/>
    <w:rsid w:val="008E4E93"/>
    <w:rsid w:val="008E4E9D"/>
    <w:rsid w:val="008E4ED0"/>
    <w:rsid w:val="008E4EE2"/>
    <w:rsid w:val="008E4F44"/>
    <w:rsid w:val="008E4FC7"/>
    <w:rsid w:val="008E504D"/>
    <w:rsid w:val="008E505F"/>
    <w:rsid w:val="008E5176"/>
    <w:rsid w:val="008E517A"/>
    <w:rsid w:val="008E51C7"/>
    <w:rsid w:val="008E51CF"/>
    <w:rsid w:val="008E5234"/>
    <w:rsid w:val="008E5253"/>
    <w:rsid w:val="008E5285"/>
    <w:rsid w:val="008E52C5"/>
    <w:rsid w:val="008E52CA"/>
    <w:rsid w:val="008E5439"/>
    <w:rsid w:val="008E544D"/>
    <w:rsid w:val="008E5457"/>
    <w:rsid w:val="008E5509"/>
    <w:rsid w:val="008E5535"/>
    <w:rsid w:val="008E557F"/>
    <w:rsid w:val="008E558E"/>
    <w:rsid w:val="008E55B6"/>
    <w:rsid w:val="008E5600"/>
    <w:rsid w:val="008E568C"/>
    <w:rsid w:val="008E56AF"/>
    <w:rsid w:val="008E5754"/>
    <w:rsid w:val="008E5785"/>
    <w:rsid w:val="008E5799"/>
    <w:rsid w:val="008E57BF"/>
    <w:rsid w:val="008E5820"/>
    <w:rsid w:val="008E5821"/>
    <w:rsid w:val="008E5A00"/>
    <w:rsid w:val="008E5A45"/>
    <w:rsid w:val="008E5A7E"/>
    <w:rsid w:val="008E5A8D"/>
    <w:rsid w:val="008E5B15"/>
    <w:rsid w:val="008E5B46"/>
    <w:rsid w:val="008E5B5E"/>
    <w:rsid w:val="008E5B7F"/>
    <w:rsid w:val="008E5B91"/>
    <w:rsid w:val="008E5BC0"/>
    <w:rsid w:val="008E5BC4"/>
    <w:rsid w:val="008E5C13"/>
    <w:rsid w:val="008E5CDC"/>
    <w:rsid w:val="008E5CEC"/>
    <w:rsid w:val="008E5D8A"/>
    <w:rsid w:val="008E5DD2"/>
    <w:rsid w:val="008E5DF2"/>
    <w:rsid w:val="008E5E62"/>
    <w:rsid w:val="008E5E7D"/>
    <w:rsid w:val="008E5EB4"/>
    <w:rsid w:val="008E5F1E"/>
    <w:rsid w:val="008E5FB3"/>
    <w:rsid w:val="008E5FDA"/>
    <w:rsid w:val="008E5FF6"/>
    <w:rsid w:val="008E5FFC"/>
    <w:rsid w:val="008E6033"/>
    <w:rsid w:val="008E6076"/>
    <w:rsid w:val="008E6084"/>
    <w:rsid w:val="008E610C"/>
    <w:rsid w:val="008E6158"/>
    <w:rsid w:val="008E6208"/>
    <w:rsid w:val="008E6282"/>
    <w:rsid w:val="008E63E2"/>
    <w:rsid w:val="008E6457"/>
    <w:rsid w:val="008E64B2"/>
    <w:rsid w:val="008E64C4"/>
    <w:rsid w:val="008E650F"/>
    <w:rsid w:val="008E651B"/>
    <w:rsid w:val="008E6552"/>
    <w:rsid w:val="008E6602"/>
    <w:rsid w:val="008E6629"/>
    <w:rsid w:val="008E666D"/>
    <w:rsid w:val="008E66F8"/>
    <w:rsid w:val="008E6705"/>
    <w:rsid w:val="008E6717"/>
    <w:rsid w:val="008E671A"/>
    <w:rsid w:val="008E6725"/>
    <w:rsid w:val="008E673F"/>
    <w:rsid w:val="008E6787"/>
    <w:rsid w:val="008E682A"/>
    <w:rsid w:val="008E68C2"/>
    <w:rsid w:val="008E68EE"/>
    <w:rsid w:val="008E697C"/>
    <w:rsid w:val="008E69A0"/>
    <w:rsid w:val="008E6A04"/>
    <w:rsid w:val="008E6A6C"/>
    <w:rsid w:val="008E6A8F"/>
    <w:rsid w:val="008E6B3D"/>
    <w:rsid w:val="008E6C4E"/>
    <w:rsid w:val="008E6C56"/>
    <w:rsid w:val="008E6C6F"/>
    <w:rsid w:val="008E6C81"/>
    <w:rsid w:val="008E6CD6"/>
    <w:rsid w:val="008E6D54"/>
    <w:rsid w:val="008E6D62"/>
    <w:rsid w:val="008E6D84"/>
    <w:rsid w:val="008E6DC1"/>
    <w:rsid w:val="008E6DC7"/>
    <w:rsid w:val="008E6DE6"/>
    <w:rsid w:val="008E6E2E"/>
    <w:rsid w:val="008E6E32"/>
    <w:rsid w:val="008E6E4E"/>
    <w:rsid w:val="008E6EA3"/>
    <w:rsid w:val="008E6ED6"/>
    <w:rsid w:val="008E6F6F"/>
    <w:rsid w:val="008E6FF9"/>
    <w:rsid w:val="008E7002"/>
    <w:rsid w:val="008E705E"/>
    <w:rsid w:val="008E706F"/>
    <w:rsid w:val="008E70F6"/>
    <w:rsid w:val="008E7160"/>
    <w:rsid w:val="008E71CE"/>
    <w:rsid w:val="008E71E3"/>
    <w:rsid w:val="008E7211"/>
    <w:rsid w:val="008E72A9"/>
    <w:rsid w:val="008E73D1"/>
    <w:rsid w:val="008E7467"/>
    <w:rsid w:val="008E764C"/>
    <w:rsid w:val="008E76D9"/>
    <w:rsid w:val="008E77C0"/>
    <w:rsid w:val="008E77CA"/>
    <w:rsid w:val="008E77F9"/>
    <w:rsid w:val="008E7864"/>
    <w:rsid w:val="008E795E"/>
    <w:rsid w:val="008E7AA6"/>
    <w:rsid w:val="008E7BD1"/>
    <w:rsid w:val="008E7BE3"/>
    <w:rsid w:val="008E7C60"/>
    <w:rsid w:val="008E7C7E"/>
    <w:rsid w:val="008E7C7F"/>
    <w:rsid w:val="008E7C91"/>
    <w:rsid w:val="008E7D21"/>
    <w:rsid w:val="008E7D81"/>
    <w:rsid w:val="008E7E59"/>
    <w:rsid w:val="008E7E5E"/>
    <w:rsid w:val="008E7E9D"/>
    <w:rsid w:val="008E7F05"/>
    <w:rsid w:val="008E7F15"/>
    <w:rsid w:val="008E7F46"/>
    <w:rsid w:val="008E7F88"/>
    <w:rsid w:val="008F0023"/>
    <w:rsid w:val="008F006F"/>
    <w:rsid w:val="008F00DC"/>
    <w:rsid w:val="008F0173"/>
    <w:rsid w:val="008F01C3"/>
    <w:rsid w:val="008F01CA"/>
    <w:rsid w:val="008F02FE"/>
    <w:rsid w:val="008F0328"/>
    <w:rsid w:val="008F03A3"/>
    <w:rsid w:val="008F03CA"/>
    <w:rsid w:val="008F0440"/>
    <w:rsid w:val="008F0445"/>
    <w:rsid w:val="008F0449"/>
    <w:rsid w:val="008F04A4"/>
    <w:rsid w:val="008F04C2"/>
    <w:rsid w:val="008F0581"/>
    <w:rsid w:val="008F05EC"/>
    <w:rsid w:val="008F0670"/>
    <w:rsid w:val="008F067B"/>
    <w:rsid w:val="008F0691"/>
    <w:rsid w:val="008F06B1"/>
    <w:rsid w:val="008F0732"/>
    <w:rsid w:val="008F07B1"/>
    <w:rsid w:val="008F07B6"/>
    <w:rsid w:val="008F0867"/>
    <w:rsid w:val="008F0918"/>
    <w:rsid w:val="008F091B"/>
    <w:rsid w:val="008F092A"/>
    <w:rsid w:val="008F0A6E"/>
    <w:rsid w:val="008F0AAA"/>
    <w:rsid w:val="008F0C04"/>
    <w:rsid w:val="008F0C1B"/>
    <w:rsid w:val="008F0D16"/>
    <w:rsid w:val="008F0D98"/>
    <w:rsid w:val="008F0DAC"/>
    <w:rsid w:val="008F0DAE"/>
    <w:rsid w:val="008F0E01"/>
    <w:rsid w:val="008F0E03"/>
    <w:rsid w:val="008F0E21"/>
    <w:rsid w:val="008F0E49"/>
    <w:rsid w:val="008F0E5F"/>
    <w:rsid w:val="008F0EEC"/>
    <w:rsid w:val="008F0F57"/>
    <w:rsid w:val="008F0FAF"/>
    <w:rsid w:val="008F1209"/>
    <w:rsid w:val="008F132A"/>
    <w:rsid w:val="008F135F"/>
    <w:rsid w:val="008F13D3"/>
    <w:rsid w:val="008F140A"/>
    <w:rsid w:val="008F14C0"/>
    <w:rsid w:val="008F15C6"/>
    <w:rsid w:val="008F16AB"/>
    <w:rsid w:val="008F170F"/>
    <w:rsid w:val="008F173B"/>
    <w:rsid w:val="008F17ED"/>
    <w:rsid w:val="008F17FF"/>
    <w:rsid w:val="008F1844"/>
    <w:rsid w:val="008F1885"/>
    <w:rsid w:val="008F18B8"/>
    <w:rsid w:val="008F1917"/>
    <w:rsid w:val="008F193A"/>
    <w:rsid w:val="008F1968"/>
    <w:rsid w:val="008F19EA"/>
    <w:rsid w:val="008F1AD3"/>
    <w:rsid w:val="008F1AEB"/>
    <w:rsid w:val="008F1B4B"/>
    <w:rsid w:val="008F1C19"/>
    <w:rsid w:val="008F1CDE"/>
    <w:rsid w:val="008F1D21"/>
    <w:rsid w:val="008F1D4E"/>
    <w:rsid w:val="008F1D5B"/>
    <w:rsid w:val="008F1D6D"/>
    <w:rsid w:val="008F1D74"/>
    <w:rsid w:val="008F1D87"/>
    <w:rsid w:val="008F1DA0"/>
    <w:rsid w:val="008F1DB9"/>
    <w:rsid w:val="008F1DDD"/>
    <w:rsid w:val="008F1DEA"/>
    <w:rsid w:val="008F1DF5"/>
    <w:rsid w:val="008F1E2B"/>
    <w:rsid w:val="008F1E79"/>
    <w:rsid w:val="008F1EA1"/>
    <w:rsid w:val="008F1F3C"/>
    <w:rsid w:val="008F1FB9"/>
    <w:rsid w:val="008F1FDD"/>
    <w:rsid w:val="008F206B"/>
    <w:rsid w:val="008F218E"/>
    <w:rsid w:val="008F2273"/>
    <w:rsid w:val="008F22B7"/>
    <w:rsid w:val="008F22CD"/>
    <w:rsid w:val="008F234C"/>
    <w:rsid w:val="008F23E0"/>
    <w:rsid w:val="008F23FA"/>
    <w:rsid w:val="008F2478"/>
    <w:rsid w:val="008F2487"/>
    <w:rsid w:val="008F24AD"/>
    <w:rsid w:val="008F24B3"/>
    <w:rsid w:val="008F24B9"/>
    <w:rsid w:val="008F24C8"/>
    <w:rsid w:val="008F24E8"/>
    <w:rsid w:val="008F24FF"/>
    <w:rsid w:val="008F2521"/>
    <w:rsid w:val="008F253D"/>
    <w:rsid w:val="008F253F"/>
    <w:rsid w:val="008F25B7"/>
    <w:rsid w:val="008F260F"/>
    <w:rsid w:val="008F2664"/>
    <w:rsid w:val="008F2671"/>
    <w:rsid w:val="008F2680"/>
    <w:rsid w:val="008F2753"/>
    <w:rsid w:val="008F27A8"/>
    <w:rsid w:val="008F281A"/>
    <w:rsid w:val="008F2834"/>
    <w:rsid w:val="008F2839"/>
    <w:rsid w:val="008F285A"/>
    <w:rsid w:val="008F287F"/>
    <w:rsid w:val="008F28E7"/>
    <w:rsid w:val="008F2924"/>
    <w:rsid w:val="008F29AB"/>
    <w:rsid w:val="008F29AE"/>
    <w:rsid w:val="008F29C6"/>
    <w:rsid w:val="008F29C7"/>
    <w:rsid w:val="008F2A10"/>
    <w:rsid w:val="008F2A75"/>
    <w:rsid w:val="008F2AC2"/>
    <w:rsid w:val="008F2AD9"/>
    <w:rsid w:val="008F2B0F"/>
    <w:rsid w:val="008F2B11"/>
    <w:rsid w:val="008F2B4A"/>
    <w:rsid w:val="008F2C0D"/>
    <w:rsid w:val="008F2C2D"/>
    <w:rsid w:val="008F2D6F"/>
    <w:rsid w:val="008F2D7E"/>
    <w:rsid w:val="008F2D87"/>
    <w:rsid w:val="008F2E39"/>
    <w:rsid w:val="008F2E72"/>
    <w:rsid w:val="008F2EFF"/>
    <w:rsid w:val="008F2FBA"/>
    <w:rsid w:val="008F302C"/>
    <w:rsid w:val="008F306E"/>
    <w:rsid w:val="008F307F"/>
    <w:rsid w:val="008F309C"/>
    <w:rsid w:val="008F309F"/>
    <w:rsid w:val="008F30C3"/>
    <w:rsid w:val="008F3113"/>
    <w:rsid w:val="008F3136"/>
    <w:rsid w:val="008F319A"/>
    <w:rsid w:val="008F31E6"/>
    <w:rsid w:val="008F32FB"/>
    <w:rsid w:val="008F34BC"/>
    <w:rsid w:val="008F34D2"/>
    <w:rsid w:val="008F3573"/>
    <w:rsid w:val="008F35A1"/>
    <w:rsid w:val="008F35E9"/>
    <w:rsid w:val="008F360E"/>
    <w:rsid w:val="008F3661"/>
    <w:rsid w:val="008F3690"/>
    <w:rsid w:val="008F3694"/>
    <w:rsid w:val="008F378E"/>
    <w:rsid w:val="008F3792"/>
    <w:rsid w:val="008F37FB"/>
    <w:rsid w:val="008F3808"/>
    <w:rsid w:val="008F38A7"/>
    <w:rsid w:val="008F38E6"/>
    <w:rsid w:val="008F3941"/>
    <w:rsid w:val="008F398A"/>
    <w:rsid w:val="008F39C8"/>
    <w:rsid w:val="008F3BE9"/>
    <w:rsid w:val="008F3C07"/>
    <w:rsid w:val="008F3C97"/>
    <w:rsid w:val="008F3CF5"/>
    <w:rsid w:val="008F3D76"/>
    <w:rsid w:val="008F3E19"/>
    <w:rsid w:val="008F3E78"/>
    <w:rsid w:val="008F3EBB"/>
    <w:rsid w:val="008F3EC0"/>
    <w:rsid w:val="008F3EDE"/>
    <w:rsid w:val="008F3EFB"/>
    <w:rsid w:val="008F3F41"/>
    <w:rsid w:val="008F3F54"/>
    <w:rsid w:val="008F3F90"/>
    <w:rsid w:val="008F3FD3"/>
    <w:rsid w:val="008F3FED"/>
    <w:rsid w:val="008F401A"/>
    <w:rsid w:val="008F401E"/>
    <w:rsid w:val="008F40B1"/>
    <w:rsid w:val="008F4107"/>
    <w:rsid w:val="008F4179"/>
    <w:rsid w:val="008F41C3"/>
    <w:rsid w:val="008F448E"/>
    <w:rsid w:val="008F44F7"/>
    <w:rsid w:val="008F4567"/>
    <w:rsid w:val="008F45D4"/>
    <w:rsid w:val="008F4729"/>
    <w:rsid w:val="008F4790"/>
    <w:rsid w:val="008F4794"/>
    <w:rsid w:val="008F47AD"/>
    <w:rsid w:val="008F47B5"/>
    <w:rsid w:val="008F482B"/>
    <w:rsid w:val="008F4938"/>
    <w:rsid w:val="008F4977"/>
    <w:rsid w:val="008F49BA"/>
    <w:rsid w:val="008F49F5"/>
    <w:rsid w:val="008F4A07"/>
    <w:rsid w:val="008F4A18"/>
    <w:rsid w:val="008F4A33"/>
    <w:rsid w:val="008F4B4A"/>
    <w:rsid w:val="008F4D2D"/>
    <w:rsid w:val="008F4D50"/>
    <w:rsid w:val="008F4DAB"/>
    <w:rsid w:val="008F4DC6"/>
    <w:rsid w:val="008F4DEC"/>
    <w:rsid w:val="008F4E36"/>
    <w:rsid w:val="008F4E59"/>
    <w:rsid w:val="008F4EB6"/>
    <w:rsid w:val="008F4EBE"/>
    <w:rsid w:val="008F4EF3"/>
    <w:rsid w:val="008F4F32"/>
    <w:rsid w:val="008F5092"/>
    <w:rsid w:val="008F514C"/>
    <w:rsid w:val="008F51D9"/>
    <w:rsid w:val="008F51EC"/>
    <w:rsid w:val="008F524C"/>
    <w:rsid w:val="008F5298"/>
    <w:rsid w:val="008F52EB"/>
    <w:rsid w:val="008F5377"/>
    <w:rsid w:val="008F537C"/>
    <w:rsid w:val="008F5388"/>
    <w:rsid w:val="008F5442"/>
    <w:rsid w:val="008F5448"/>
    <w:rsid w:val="008F5484"/>
    <w:rsid w:val="008F54AD"/>
    <w:rsid w:val="008F5552"/>
    <w:rsid w:val="008F558D"/>
    <w:rsid w:val="008F564F"/>
    <w:rsid w:val="008F5651"/>
    <w:rsid w:val="008F5653"/>
    <w:rsid w:val="008F566A"/>
    <w:rsid w:val="008F5680"/>
    <w:rsid w:val="008F569F"/>
    <w:rsid w:val="008F56A8"/>
    <w:rsid w:val="008F56BD"/>
    <w:rsid w:val="008F56C7"/>
    <w:rsid w:val="008F5711"/>
    <w:rsid w:val="008F57AE"/>
    <w:rsid w:val="008F57CA"/>
    <w:rsid w:val="008F57EB"/>
    <w:rsid w:val="008F5876"/>
    <w:rsid w:val="008F58A0"/>
    <w:rsid w:val="008F5901"/>
    <w:rsid w:val="008F598E"/>
    <w:rsid w:val="008F599D"/>
    <w:rsid w:val="008F5ACB"/>
    <w:rsid w:val="008F5B47"/>
    <w:rsid w:val="008F5B4F"/>
    <w:rsid w:val="008F5B92"/>
    <w:rsid w:val="008F5BAB"/>
    <w:rsid w:val="008F5BE1"/>
    <w:rsid w:val="008F5BF3"/>
    <w:rsid w:val="008F5C2B"/>
    <w:rsid w:val="008F5C53"/>
    <w:rsid w:val="008F5CD8"/>
    <w:rsid w:val="008F5D3B"/>
    <w:rsid w:val="008F5D6A"/>
    <w:rsid w:val="008F5E5A"/>
    <w:rsid w:val="008F5E67"/>
    <w:rsid w:val="008F5F27"/>
    <w:rsid w:val="008F5F4B"/>
    <w:rsid w:val="008F5FF3"/>
    <w:rsid w:val="008F6010"/>
    <w:rsid w:val="008F603E"/>
    <w:rsid w:val="008F6043"/>
    <w:rsid w:val="008F60D5"/>
    <w:rsid w:val="008F612D"/>
    <w:rsid w:val="008F6152"/>
    <w:rsid w:val="008F6259"/>
    <w:rsid w:val="008F625E"/>
    <w:rsid w:val="008F62C0"/>
    <w:rsid w:val="008F62D4"/>
    <w:rsid w:val="008F62EF"/>
    <w:rsid w:val="008F62FF"/>
    <w:rsid w:val="008F632D"/>
    <w:rsid w:val="008F634E"/>
    <w:rsid w:val="008F6464"/>
    <w:rsid w:val="008F648E"/>
    <w:rsid w:val="008F6512"/>
    <w:rsid w:val="008F65C2"/>
    <w:rsid w:val="008F660F"/>
    <w:rsid w:val="008F661D"/>
    <w:rsid w:val="008F6743"/>
    <w:rsid w:val="008F67BE"/>
    <w:rsid w:val="008F67CB"/>
    <w:rsid w:val="008F6800"/>
    <w:rsid w:val="008F680A"/>
    <w:rsid w:val="008F6859"/>
    <w:rsid w:val="008F6879"/>
    <w:rsid w:val="008F68DC"/>
    <w:rsid w:val="008F68DE"/>
    <w:rsid w:val="008F6912"/>
    <w:rsid w:val="008F692E"/>
    <w:rsid w:val="008F695B"/>
    <w:rsid w:val="008F6972"/>
    <w:rsid w:val="008F69E5"/>
    <w:rsid w:val="008F69E6"/>
    <w:rsid w:val="008F6A9A"/>
    <w:rsid w:val="008F6AE1"/>
    <w:rsid w:val="008F6B40"/>
    <w:rsid w:val="008F6B7E"/>
    <w:rsid w:val="008F6BC5"/>
    <w:rsid w:val="008F6BDC"/>
    <w:rsid w:val="008F6C0B"/>
    <w:rsid w:val="008F6C1B"/>
    <w:rsid w:val="008F6C1C"/>
    <w:rsid w:val="008F6C83"/>
    <w:rsid w:val="008F6CCE"/>
    <w:rsid w:val="008F6D41"/>
    <w:rsid w:val="008F6DBC"/>
    <w:rsid w:val="008F6DBF"/>
    <w:rsid w:val="008F6E2B"/>
    <w:rsid w:val="008F6EAE"/>
    <w:rsid w:val="008F6FD9"/>
    <w:rsid w:val="008F6FE0"/>
    <w:rsid w:val="008F6FE8"/>
    <w:rsid w:val="008F6FF6"/>
    <w:rsid w:val="008F7077"/>
    <w:rsid w:val="008F7091"/>
    <w:rsid w:val="008F70D5"/>
    <w:rsid w:val="008F7105"/>
    <w:rsid w:val="008F7122"/>
    <w:rsid w:val="008F712A"/>
    <w:rsid w:val="008F7137"/>
    <w:rsid w:val="008F714D"/>
    <w:rsid w:val="008F7170"/>
    <w:rsid w:val="008F71D7"/>
    <w:rsid w:val="008F7277"/>
    <w:rsid w:val="008F72A6"/>
    <w:rsid w:val="008F734F"/>
    <w:rsid w:val="008F738E"/>
    <w:rsid w:val="008F73C4"/>
    <w:rsid w:val="008F7424"/>
    <w:rsid w:val="008F7430"/>
    <w:rsid w:val="008F744B"/>
    <w:rsid w:val="008F745A"/>
    <w:rsid w:val="008F7479"/>
    <w:rsid w:val="008F74E4"/>
    <w:rsid w:val="008F75A9"/>
    <w:rsid w:val="008F75C1"/>
    <w:rsid w:val="008F769E"/>
    <w:rsid w:val="008F76A1"/>
    <w:rsid w:val="008F76C8"/>
    <w:rsid w:val="008F779F"/>
    <w:rsid w:val="008F77B1"/>
    <w:rsid w:val="008F787C"/>
    <w:rsid w:val="008F78EC"/>
    <w:rsid w:val="008F791E"/>
    <w:rsid w:val="008F7937"/>
    <w:rsid w:val="008F796D"/>
    <w:rsid w:val="008F7ADA"/>
    <w:rsid w:val="008F7B49"/>
    <w:rsid w:val="008F7B4E"/>
    <w:rsid w:val="008F7C34"/>
    <w:rsid w:val="008F7D53"/>
    <w:rsid w:val="008F7D61"/>
    <w:rsid w:val="008F7D6C"/>
    <w:rsid w:val="008F7EBB"/>
    <w:rsid w:val="008F7EF6"/>
    <w:rsid w:val="008F7F2A"/>
    <w:rsid w:val="00900070"/>
    <w:rsid w:val="009000A5"/>
    <w:rsid w:val="009000C8"/>
    <w:rsid w:val="009000D3"/>
    <w:rsid w:val="00900122"/>
    <w:rsid w:val="00900125"/>
    <w:rsid w:val="00900184"/>
    <w:rsid w:val="009001CB"/>
    <w:rsid w:val="009001ED"/>
    <w:rsid w:val="00900201"/>
    <w:rsid w:val="00900255"/>
    <w:rsid w:val="00900267"/>
    <w:rsid w:val="00900287"/>
    <w:rsid w:val="009002A9"/>
    <w:rsid w:val="0090034B"/>
    <w:rsid w:val="00900381"/>
    <w:rsid w:val="009003D8"/>
    <w:rsid w:val="00900408"/>
    <w:rsid w:val="00900444"/>
    <w:rsid w:val="00900476"/>
    <w:rsid w:val="0090049A"/>
    <w:rsid w:val="009004B2"/>
    <w:rsid w:val="009004B4"/>
    <w:rsid w:val="009005F4"/>
    <w:rsid w:val="00900619"/>
    <w:rsid w:val="0090061B"/>
    <w:rsid w:val="00900633"/>
    <w:rsid w:val="009006EE"/>
    <w:rsid w:val="00900785"/>
    <w:rsid w:val="00900796"/>
    <w:rsid w:val="009007D5"/>
    <w:rsid w:val="0090084D"/>
    <w:rsid w:val="0090086D"/>
    <w:rsid w:val="00900890"/>
    <w:rsid w:val="009008D5"/>
    <w:rsid w:val="00900928"/>
    <w:rsid w:val="00900A44"/>
    <w:rsid w:val="00900AA7"/>
    <w:rsid w:val="00900AB9"/>
    <w:rsid w:val="00900B19"/>
    <w:rsid w:val="00900BA9"/>
    <w:rsid w:val="00900BE6"/>
    <w:rsid w:val="00900C52"/>
    <w:rsid w:val="00900C88"/>
    <w:rsid w:val="00900D73"/>
    <w:rsid w:val="00900DA5"/>
    <w:rsid w:val="00900E66"/>
    <w:rsid w:val="00900E9A"/>
    <w:rsid w:val="00900EAA"/>
    <w:rsid w:val="00900F35"/>
    <w:rsid w:val="00900F4A"/>
    <w:rsid w:val="00900F72"/>
    <w:rsid w:val="00900FE2"/>
    <w:rsid w:val="00900FE8"/>
    <w:rsid w:val="00901005"/>
    <w:rsid w:val="00901016"/>
    <w:rsid w:val="00901021"/>
    <w:rsid w:val="00901034"/>
    <w:rsid w:val="009010FC"/>
    <w:rsid w:val="009012B3"/>
    <w:rsid w:val="009012EE"/>
    <w:rsid w:val="0090136B"/>
    <w:rsid w:val="0090137B"/>
    <w:rsid w:val="00901398"/>
    <w:rsid w:val="009013BC"/>
    <w:rsid w:val="009013C9"/>
    <w:rsid w:val="009013DA"/>
    <w:rsid w:val="009013DE"/>
    <w:rsid w:val="009013F8"/>
    <w:rsid w:val="009014DD"/>
    <w:rsid w:val="00901542"/>
    <w:rsid w:val="00901555"/>
    <w:rsid w:val="009015A8"/>
    <w:rsid w:val="009015F1"/>
    <w:rsid w:val="0090168E"/>
    <w:rsid w:val="009016C6"/>
    <w:rsid w:val="00901704"/>
    <w:rsid w:val="0090177F"/>
    <w:rsid w:val="0090180C"/>
    <w:rsid w:val="00901817"/>
    <w:rsid w:val="00901838"/>
    <w:rsid w:val="00901893"/>
    <w:rsid w:val="0090199D"/>
    <w:rsid w:val="009019F0"/>
    <w:rsid w:val="00901A37"/>
    <w:rsid w:val="00901A5D"/>
    <w:rsid w:val="00901A66"/>
    <w:rsid w:val="00901AFF"/>
    <w:rsid w:val="00901B0D"/>
    <w:rsid w:val="00901B8D"/>
    <w:rsid w:val="00901C2A"/>
    <w:rsid w:val="00901C85"/>
    <w:rsid w:val="00901C8F"/>
    <w:rsid w:val="00901CAA"/>
    <w:rsid w:val="00901CC9"/>
    <w:rsid w:val="00901CD4"/>
    <w:rsid w:val="00901D30"/>
    <w:rsid w:val="00901DA7"/>
    <w:rsid w:val="00901DB4"/>
    <w:rsid w:val="00901E9B"/>
    <w:rsid w:val="00901ECB"/>
    <w:rsid w:val="00901F5A"/>
    <w:rsid w:val="00901FAB"/>
    <w:rsid w:val="00901FC9"/>
    <w:rsid w:val="00902141"/>
    <w:rsid w:val="0090214B"/>
    <w:rsid w:val="00902150"/>
    <w:rsid w:val="00902206"/>
    <w:rsid w:val="0090224E"/>
    <w:rsid w:val="0090229D"/>
    <w:rsid w:val="009022BA"/>
    <w:rsid w:val="009022CF"/>
    <w:rsid w:val="009022E4"/>
    <w:rsid w:val="0090231E"/>
    <w:rsid w:val="00902323"/>
    <w:rsid w:val="0090235E"/>
    <w:rsid w:val="00902360"/>
    <w:rsid w:val="009023C6"/>
    <w:rsid w:val="009023C8"/>
    <w:rsid w:val="00902489"/>
    <w:rsid w:val="009024D7"/>
    <w:rsid w:val="00902517"/>
    <w:rsid w:val="0090251F"/>
    <w:rsid w:val="00902599"/>
    <w:rsid w:val="009025BF"/>
    <w:rsid w:val="009025D2"/>
    <w:rsid w:val="00902609"/>
    <w:rsid w:val="0090260C"/>
    <w:rsid w:val="00902625"/>
    <w:rsid w:val="00902645"/>
    <w:rsid w:val="0090266D"/>
    <w:rsid w:val="00902729"/>
    <w:rsid w:val="00902788"/>
    <w:rsid w:val="009027D0"/>
    <w:rsid w:val="009027DD"/>
    <w:rsid w:val="0090297B"/>
    <w:rsid w:val="009029E7"/>
    <w:rsid w:val="00902A0E"/>
    <w:rsid w:val="00902A5E"/>
    <w:rsid w:val="00902A5F"/>
    <w:rsid w:val="00902A76"/>
    <w:rsid w:val="00902AB4"/>
    <w:rsid w:val="00902AB6"/>
    <w:rsid w:val="00902BF2"/>
    <w:rsid w:val="00902BF5"/>
    <w:rsid w:val="00902C03"/>
    <w:rsid w:val="00902CC6"/>
    <w:rsid w:val="00902CFB"/>
    <w:rsid w:val="00902CFE"/>
    <w:rsid w:val="00902D26"/>
    <w:rsid w:val="00902D2F"/>
    <w:rsid w:val="00902D75"/>
    <w:rsid w:val="00902D8B"/>
    <w:rsid w:val="00902E73"/>
    <w:rsid w:val="00902E9B"/>
    <w:rsid w:val="00902F79"/>
    <w:rsid w:val="00902F87"/>
    <w:rsid w:val="00902FC0"/>
    <w:rsid w:val="00903065"/>
    <w:rsid w:val="009030AD"/>
    <w:rsid w:val="009032C8"/>
    <w:rsid w:val="00903417"/>
    <w:rsid w:val="00903488"/>
    <w:rsid w:val="009034A0"/>
    <w:rsid w:val="009034B7"/>
    <w:rsid w:val="009034D5"/>
    <w:rsid w:val="0090350E"/>
    <w:rsid w:val="0090358A"/>
    <w:rsid w:val="0090358B"/>
    <w:rsid w:val="0090359D"/>
    <w:rsid w:val="009035B8"/>
    <w:rsid w:val="0090364E"/>
    <w:rsid w:val="00903655"/>
    <w:rsid w:val="0090369D"/>
    <w:rsid w:val="00903737"/>
    <w:rsid w:val="009037D0"/>
    <w:rsid w:val="0090380C"/>
    <w:rsid w:val="0090385B"/>
    <w:rsid w:val="00903884"/>
    <w:rsid w:val="009038CA"/>
    <w:rsid w:val="009038F9"/>
    <w:rsid w:val="0090393C"/>
    <w:rsid w:val="00903944"/>
    <w:rsid w:val="00903A7D"/>
    <w:rsid w:val="00903AAB"/>
    <w:rsid w:val="00903B21"/>
    <w:rsid w:val="00903B24"/>
    <w:rsid w:val="00903B6D"/>
    <w:rsid w:val="00903B78"/>
    <w:rsid w:val="00903B99"/>
    <w:rsid w:val="00903C3D"/>
    <w:rsid w:val="00903C60"/>
    <w:rsid w:val="00903C88"/>
    <w:rsid w:val="00903CE2"/>
    <w:rsid w:val="00903CE8"/>
    <w:rsid w:val="00903CEB"/>
    <w:rsid w:val="00903D22"/>
    <w:rsid w:val="00903D91"/>
    <w:rsid w:val="00903D9B"/>
    <w:rsid w:val="00903E7B"/>
    <w:rsid w:val="00903EC4"/>
    <w:rsid w:val="00903ED8"/>
    <w:rsid w:val="00903EFE"/>
    <w:rsid w:val="00903F34"/>
    <w:rsid w:val="00903FA9"/>
    <w:rsid w:val="00903FD9"/>
    <w:rsid w:val="00903FE9"/>
    <w:rsid w:val="00904015"/>
    <w:rsid w:val="0090403F"/>
    <w:rsid w:val="00904084"/>
    <w:rsid w:val="009040FD"/>
    <w:rsid w:val="0090416B"/>
    <w:rsid w:val="009041AC"/>
    <w:rsid w:val="00904229"/>
    <w:rsid w:val="009042F1"/>
    <w:rsid w:val="009042FB"/>
    <w:rsid w:val="00904326"/>
    <w:rsid w:val="00904473"/>
    <w:rsid w:val="0090448C"/>
    <w:rsid w:val="009044EC"/>
    <w:rsid w:val="009044FF"/>
    <w:rsid w:val="00904549"/>
    <w:rsid w:val="009045B8"/>
    <w:rsid w:val="009045D7"/>
    <w:rsid w:val="009045FC"/>
    <w:rsid w:val="009046C4"/>
    <w:rsid w:val="009046DE"/>
    <w:rsid w:val="009047D0"/>
    <w:rsid w:val="0090480E"/>
    <w:rsid w:val="00904843"/>
    <w:rsid w:val="0090484F"/>
    <w:rsid w:val="00904986"/>
    <w:rsid w:val="00904A15"/>
    <w:rsid w:val="00904A35"/>
    <w:rsid w:val="00904A9F"/>
    <w:rsid w:val="00904AB6"/>
    <w:rsid w:val="00904B1B"/>
    <w:rsid w:val="00904B94"/>
    <w:rsid w:val="00904C8B"/>
    <w:rsid w:val="00904DBE"/>
    <w:rsid w:val="00904DC8"/>
    <w:rsid w:val="00904E1F"/>
    <w:rsid w:val="00904E54"/>
    <w:rsid w:val="00904E8C"/>
    <w:rsid w:val="00904F5D"/>
    <w:rsid w:val="00904FC1"/>
    <w:rsid w:val="00905012"/>
    <w:rsid w:val="00905101"/>
    <w:rsid w:val="0090511F"/>
    <w:rsid w:val="009052D0"/>
    <w:rsid w:val="00905388"/>
    <w:rsid w:val="009053E3"/>
    <w:rsid w:val="00905425"/>
    <w:rsid w:val="0090545A"/>
    <w:rsid w:val="00905467"/>
    <w:rsid w:val="009054A7"/>
    <w:rsid w:val="009054E6"/>
    <w:rsid w:val="00905500"/>
    <w:rsid w:val="00905605"/>
    <w:rsid w:val="009056F6"/>
    <w:rsid w:val="00905709"/>
    <w:rsid w:val="00905739"/>
    <w:rsid w:val="009057E3"/>
    <w:rsid w:val="00905814"/>
    <w:rsid w:val="0090588B"/>
    <w:rsid w:val="009058BC"/>
    <w:rsid w:val="00905921"/>
    <w:rsid w:val="009059EC"/>
    <w:rsid w:val="00905A7E"/>
    <w:rsid w:val="00905AAD"/>
    <w:rsid w:val="00905B9B"/>
    <w:rsid w:val="00905C32"/>
    <w:rsid w:val="00905C3B"/>
    <w:rsid w:val="00905CA5"/>
    <w:rsid w:val="00905D4C"/>
    <w:rsid w:val="00905D9D"/>
    <w:rsid w:val="00905EA6"/>
    <w:rsid w:val="00905F0B"/>
    <w:rsid w:val="00905F69"/>
    <w:rsid w:val="00905F95"/>
    <w:rsid w:val="00905FF1"/>
    <w:rsid w:val="00906027"/>
    <w:rsid w:val="0090602C"/>
    <w:rsid w:val="009060B0"/>
    <w:rsid w:val="0090610A"/>
    <w:rsid w:val="00906125"/>
    <w:rsid w:val="0090613F"/>
    <w:rsid w:val="00906155"/>
    <w:rsid w:val="00906189"/>
    <w:rsid w:val="009061AE"/>
    <w:rsid w:val="00906216"/>
    <w:rsid w:val="00906238"/>
    <w:rsid w:val="00906244"/>
    <w:rsid w:val="00906298"/>
    <w:rsid w:val="009062B4"/>
    <w:rsid w:val="0090637C"/>
    <w:rsid w:val="009063A3"/>
    <w:rsid w:val="009063DA"/>
    <w:rsid w:val="009063FB"/>
    <w:rsid w:val="00906404"/>
    <w:rsid w:val="0090649E"/>
    <w:rsid w:val="009064C5"/>
    <w:rsid w:val="009064F1"/>
    <w:rsid w:val="009065E9"/>
    <w:rsid w:val="0090662F"/>
    <w:rsid w:val="009066A4"/>
    <w:rsid w:val="009066B2"/>
    <w:rsid w:val="009066B5"/>
    <w:rsid w:val="009066C0"/>
    <w:rsid w:val="00906785"/>
    <w:rsid w:val="009067B0"/>
    <w:rsid w:val="009067BB"/>
    <w:rsid w:val="00906847"/>
    <w:rsid w:val="00906850"/>
    <w:rsid w:val="00906887"/>
    <w:rsid w:val="009068A3"/>
    <w:rsid w:val="009068ED"/>
    <w:rsid w:val="00906954"/>
    <w:rsid w:val="00906959"/>
    <w:rsid w:val="0090695D"/>
    <w:rsid w:val="0090699F"/>
    <w:rsid w:val="00906A6F"/>
    <w:rsid w:val="00906AA3"/>
    <w:rsid w:val="00906AC4"/>
    <w:rsid w:val="00906B20"/>
    <w:rsid w:val="00906B77"/>
    <w:rsid w:val="00906B9C"/>
    <w:rsid w:val="00906BAA"/>
    <w:rsid w:val="00906C0E"/>
    <w:rsid w:val="00906C55"/>
    <w:rsid w:val="00906CB0"/>
    <w:rsid w:val="00906D1E"/>
    <w:rsid w:val="00906D3B"/>
    <w:rsid w:val="00906E2E"/>
    <w:rsid w:val="00906E7B"/>
    <w:rsid w:val="00906FB2"/>
    <w:rsid w:val="0090707F"/>
    <w:rsid w:val="00907185"/>
    <w:rsid w:val="009071C4"/>
    <w:rsid w:val="009071D2"/>
    <w:rsid w:val="009071DC"/>
    <w:rsid w:val="009071F2"/>
    <w:rsid w:val="00907216"/>
    <w:rsid w:val="00907237"/>
    <w:rsid w:val="0090729F"/>
    <w:rsid w:val="00907324"/>
    <w:rsid w:val="0090738A"/>
    <w:rsid w:val="009073B2"/>
    <w:rsid w:val="009073BD"/>
    <w:rsid w:val="00907435"/>
    <w:rsid w:val="009074CB"/>
    <w:rsid w:val="009074D6"/>
    <w:rsid w:val="009074DD"/>
    <w:rsid w:val="00907505"/>
    <w:rsid w:val="00907510"/>
    <w:rsid w:val="00907634"/>
    <w:rsid w:val="0090764E"/>
    <w:rsid w:val="00907652"/>
    <w:rsid w:val="00907677"/>
    <w:rsid w:val="0090768E"/>
    <w:rsid w:val="009076E3"/>
    <w:rsid w:val="009076FC"/>
    <w:rsid w:val="00907709"/>
    <w:rsid w:val="009077A9"/>
    <w:rsid w:val="00907812"/>
    <w:rsid w:val="00907832"/>
    <w:rsid w:val="0090784B"/>
    <w:rsid w:val="00907877"/>
    <w:rsid w:val="009078A0"/>
    <w:rsid w:val="009078AD"/>
    <w:rsid w:val="009078B3"/>
    <w:rsid w:val="009078F9"/>
    <w:rsid w:val="00907900"/>
    <w:rsid w:val="00907914"/>
    <w:rsid w:val="00907A03"/>
    <w:rsid w:val="00907A78"/>
    <w:rsid w:val="00907BA0"/>
    <w:rsid w:val="00907CE0"/>
    <w:rsid w:val="00907DAC"/>
    <w:rsid w:val="00907E46"/>
    <w:rsid w:val="00907EC1"/>
    <w:rsid w:val="00907FFA"/>
    <w:rsid w:val="0091004C"/>
    <w:rsid w:val="0091007D"/>
    <w:rsid w:val="00910191"/>
    <w:rsid w:val="00910193"/>
    <w:rsid w:val="009101A7"/>
    <w:rsid w:val="009101CA"/>
    <w:rsid w:val="009101CF"/>
    <w:rsid w:val="009101D3"/>
    <w:rsid w:val="00910215"/>
    <w:rsid w:val="00910277"/>
    <w:rsid w:val="009102BA"/>
    <w:rsid w:val="009102D5"/>
    <w:rsid w:val="0091039A"/>
    <w:rsid w:val="009103B2"/>
    <w:rsid w:val="009103B7"/>
    <w:rsid w:val="009103C7"/>
    <w:rsid w:val="009104D2"/>
    <w:rsid w:val="009104D7"/>
    <w:rsid w:val="00910537"/>
    <w:rsid w:val="0091055A"/>
    <w:rsid w:val="00910582"/>
    <w:rsid w:val="00910598"/>
    <w:rsid w:val="009105D4"/>
    <w:rsid w:val="009105EC"/>
    <w:rsid w:val="00910649"/>
    <w:rsid w:val="00910681"/>
    <w:rsid w:val="009106A9"/>
    <w:rsid w:val="009106AF"/>
    <w:rsid w:val="009107C7"/>
    <w:rsid w:val="00910827"/>
    <w:rsid w:val="00910829"/>
    <w:rsid w:val="0091087D"/>
    <w:rsid w:val="009108A9"/>
    <w:rsid w:val="009108AF"/>
    <w:rsid w:val="009108D3"/>
    <w:rsid w:val="0091092D"/>
    <w:rsid w:val="00910970"/>
    <w:rsid w:val="00910992"/>
    <w:rsid w:val="009109EA"/>
    <w:rsid w:val="00910A81"/>
    <w:rsid w:val="00910A96"/>
    <w:rsid w:val="00910ABC"/>
    <w:rsid w:val="00910BA7"/>
    <w:rsid w:val="00910BBE"/>
    <w:rsid w:val="00910BCB"/>
    <w:rsid w:val="00910BE0"/>
    <w:rsid w:val="00910C22"/>
    <w:rsid w:val="00910C96"/>
    <w:rsid w:val="00910CB5"/>
    <w:rsid w:val="00910CC5"/>
    <w:rsid w:val="00910D05"/>
    <w:rsid w:val="00910D3C"/>
    <w:rsid w:val="00910DC3"/>
    <w:rsid w:val="00910DD6"/>
    <w:rsid w:val="00910DDA"/>
    <w:rsid w:val="00910DF3"/>
    <w:rsid w:val="00910E10"/>
    <w:rsid w:val="00910E7C"/>
    <w:rsid w:val="00910F00"/>
    <w:rsid w:val="00910FB7"/>
    <w:rsid w:val="00910FBA"/>
    <w:rsid w:val="00911028"/>
    <w:rsid w:val="009110B6"/>
    <w:rsid w:val="009111B5"/>
    <w:rsid w:val="009111E5"/>
    <w:rsid w:val="00911203"/>
    <w:rsid w:val="0091121B"/>
    <w:rsid w:val="0091124B"/>
    <w:rsid w:val="00911269"/>
    <w:rsid w:val="009112E6"/>
    <w:rsid w:val="00911326"/>
    <w:rsid w:val="009113BA"/>
    <w:rsid w:val="00911443"/>
    <w:rsid w:val="009114A2"/>
    <w:rsid w:val="009114E7"/>
    <w:rsid w:val="009114F1"/>
    <w:rsid w:val="00911501"/>
    <w:rsid w:val="00911586"/>
    <w:rsid w:val="00911605"/>
    <w:rsid w:val="00911641"/>
    <w:rsid w:val="00911654"/>
    <w:rsid w:val="0091167D"/>
    <w:rsid w:val="009116F1"/>
    <w:rsid w:val="009117EC"/>
    <w:rsid w:val="009118CE"/>
    <w:rsid w:val="0091192F"/>
    <w:rsid w:val="00911977"/>
    <w:rsid w:val="009119D1"/>
    <w:rsid w:val="009119D4"/>
    <w:rsid w:val="00911A40"/>
    <w:rsid w:val="00911A48"/>
    <w:rsid w:val="00911B15"/>
    <w:rsid w:val="00911BF9"/>
    <w:rsid w:val="00911C0D"/>
    <w:rsid w:val="00911D0C"/>
    <w:rsid w:val="00911D11"/>
    <w:rsid w:val="00911D4F"/>
    <w:rsid w:val="00911D74"/>
    <w:rsid w:val="00911DC5"/>
    <w:rsid w:val="00911E17"/>
    <w:rsid w:val="00911E2E"/>
    <w:rsid w:val="00911E47"/>
    <w:rsid w:val="00911E50"/>
    <w:rsid w:val="00911EA7"/>
    <w:rsid w:val="00911F1A"/>
    <w:rsid w:val="00911FE0"/>
    <w:rsid w:val="00912021"/>
    <w:rsid w:val="00912043"/>
    <w:rsid w:val="0091208F"/>
    <w:rsid w:val="00912105"/>
    <w:rsid w:val="009121F4"/>
    <w:rsid w:val="00912314"/>
    <w:rsid w:val="00912318"/>
    <w:rsid w:val="00912358"/>
    <w:rsid w:val="0091236D"/>
    <w:rsid w:val="009123FC"/>
    <w:rsid w:val="009123FD"/>
    <w:rsid w:val="00912475"/>
    <w:rsid w:val="00912481"/>
    <w:rsid w:val="00912499"/>
    <w:rsid w:val="009124AD"/>
    <w:rsid w:val="009124C0"/>
    <w:rsid w:val="009125C8"/>
    <w:rsid w:val="0091260D"/>
    <w:rsid w:val="00912670"/>
    <w:rsid w:val="00912745"/>
    <w:rsid w:val="0091276D"/>
    <w:rsid w:val="009127CE"/>
    <w:rsid w:val="009127E8"/>
    <w:rsid w:val="0091281C"/>
    <w:rsid w:val="009128C5"/>
    <w:rsid w:val="0091293F"/>
    <w:rsid w:val="0091298B"/>
    <w:rsid w:val="00912A17"/>
    <w:rsid w:val="00912AA4"/>
    <w:rsid w:val="00912AC4"/>
    <w:rsid w:val="00912B33"/>
    <w:rsid w:val="00912B3E"/>
    <w:rsid w:val="00912B82"/>
    <w:rsid w:val="00912BFB"/>
    <w:rsid w:val="00912C31"/>
    <w:rsid w:val="00912CC2"/>
    <w:rsid w:val="00912CC5"/>
    <w:rsid w:val="00912CE6"/>
    <w:rsid w:val="00912CFC"/>
    <w:rsid w:val="00912D6C"/>
    <w:rsid w:val="00912E29"/>
    <w:rsid w:val="00912E56"/>
    <w:rsid w:val="00912F85"/>
    <w:rsid w:val="009130AE"/>
    <w:rsid w:val="009130B8"/>
    <w:rsid w:val="009130C4"/>
    <w:rsid w:val="009130C6"/>
    <w:rsid w:val="00913107"/>
    <w:rsid w:val="0091310C"/>
    <w:rsid w:val="00913168"/>
    <w:rsid w:val="00913216"/>
    <w:rsid w:val="0091322C"/>
    <w:rsid w:val="00913277"/>
    <w:rsid w:val="00913394"/>
    <w:rsid w:val="009133A2"/>
    <w:rsid w:val="00913404"/>
    <w:rsid w:val="00913409"/>
    <w:rsid w:val="00913442"/>
    <w:rsid w:val="009134A7"/>
    <w:rsid w:val="009134CC"/>
    <w:rsid w:val="00913559"/>
    <w:rsid w:val="00913566"/>
    <w:rsid w:val="009135E9"/>
    <w:rsid w:val="00913628"/>
    <w:rsid w:val="009136A0"/>
    <w:rsid w:val="009136D8"/>
    <w:rsid w:val="009136E9"/>
    <w:rsid w:val="009137AE"/>
    <w:rsid w:val="00913804"/>
    <w:rsid w:val="0091380C"/>
    <w:rsid w:val="00913896"/>
    <w:rsid w:val="009138E7"/>
    <w:rsid w:val="0091397A"/>
    <w:rsid w:val="00913991"/>
    <w:rsid w:val="009139CE"/>
    <w:rsid w:val="009139CF"/>
    <w:rsid w:val="009139E0"/>
    <w:rsid w:val="009139E7"/>
    <w:rsid w:val="00913A3E"/>
    <w:rsid w:val="00913A8B"/>
    <w:rsid w:val="00913AA0"/>
    <w:rsid w:val="00913ABB"/>
    <w:rsid w:val="00913B6B"/>
    <w:rsid w:val="00913B8C"/>
    <w:rsid w:val="00913D1C"/>
    <w:rsid w:val="00913D90"/>
    <w:rsid w:val="00913E9D"/>
    <w:rsid w:val="00913EE8"/>
    <w:rsid w:val="00913F01"/>
    <w:rsid w:val="00913F44"/>
    <w:rsid w:val="00913F74"/>
    <w:rsid w:val="0091409E"/>
    <w:rsid w:val="009140BF"/>
    <w:rsid w:val="009140DB"/>
    <w:rsid w:val="00914112"/>
    <w:rsid w:val="0091423A"/>
    <w:rsid w:val="0091429D"/>
    <w:rsid w:val="00914319"/>
    <w:rsid w:val="009143EB"/>
    <w:rsid w:val="00914420"/>
    <w:rsid w:val="009144A8"/>
    <w:rsid w:val="009144C6"/>
    <w:rsid w:val="009145DD"/>
    <w:rsid w:val="00914615"/>
    <w:rsid w:val="0091466D"/>
    <w:rsid w:val="009146AE"/>
    <w:rsid w:val="00914702"/>
    <w:rsid w:val="00914736"/>
    <w:rsid w:val="00914769"/>
    <w:rsid w:val="009147A1"/>
    <w:rsid w:val="009147F1"/>
    <w:rsid w:val="00914838"/>
    <w:rsid w:val="009148DF"/>
    <w:rsid w:val="009149A7"/>
    <w:rsid w:val="009149B9"/>
    <w:rsid w:val="009149FA"/>
    <w:rsid w:val="00914A09"/>
    <w:rsid w:val="00914A30"/>
    <w:rsid w:val="00914A64"/>
    <w:rsid w:val="00914AA6"/>
    <w:rsid w:val="00914B00"/>
    <w:rsid w:val="00914BAA"/>
    <w:rsid w:val="00914C6B"/>
    <w:rsid w:val="00914C7C"/>
    <w:rsid w:val="00914C9D"/>
    <w:rsid w:val="00914CA8"/>
    <w:rsid w:val="00914CEB"/>
    <w:rsid w:val="00914DB1"/>
    <w:rsid w:val="00914DB8"/>
    <w:rsid w:val="00914E6C"/>
    <w:rsid w:val="00914EA4"/>
    <w:rsid w:val="00914EC9"/>
    <w:rsid w:val="00914ED4"/>
    <w:rsid w:val="00914ED9"/>
    <w:rsid w:val="00914EDC"/>
    <w:rsid w:val="00914EFF"/>
    <w:rsid w:val="00914FBA"/>
    <w:rsid w:val="00914FF3"/>
    <w:rsid w:val="0091502E"/>
    <w:rsid w:val="009150CD"/>
    <w:rsid w:val="009150FF"/>
    <w:rsid w:val="00915116"/>
    <w:rsid w:val="0091512D"/>
    <w:rsid w:val="0091513D"/>
    <w:rsid w:val="00915178"/>
    <w:rsid w:val="009151A7"/>
    <w:rsid w:val="009151F6"/>
    <w:rsid w:val="009151FA"/>
    <w:rsid w:val="00915214"/>
    <w:rsid w:val="0091522C"/>
    <w:rsid w:val="00915294"/>
    <w:rsid w:val="00915299"/>
    <w:rsid w:val="00915322"/>
    <w:rsid w:val="00915324"/>
    <w:rsid w:val="009153F6"/>
    <w:rsid w:val="0091545B"/>
    <w:rsid w:val="00915492"/>
    <w:rsid w:val="009154D9"/>
    <w:rsid w:val="009154E6"/>
    <w:rsid w:val="009154F7"/>
    <w:rsid w:val="00915679"/>
    <w:rsid w:val="009156AC"/>
    <w:rsid w:val="009156B7"/>
    <w:rsid w:val="009156EC"/>
    <w:rsid w:val="009156FC"/>
    <w:rsid w:val="009156FE"/>
    <w:rsid w:val="00915792"/>
    <w:rsid w:val="009157D6"/>
    <w:rsid w:val="009157E6"/>
    <w:rsid w:val="009157FA"/>
    <w:rsid w:val="009158C7"/>
    <w:rsid w:val="009158FC"/>
    <w:rsid w:val="0091595D"/>
    <w:rsid w:val="00915981"/>
    <w:rsid w:val="009159A0"/>
    <w:rsid w:val="00915AAC"/>
    <w:rsid w:val="00915BBA"/>
    <w:rsid w:val="00915BF1"/>
    <w:rsid w:val="00915C06"/>
    <w:rsid w:val="00915C19"/>
    <w:rsid w:val="00915C26"/>
    <w:rsid w:val="00915C40"/>
    <w:rsid w:val="00915C4B"/>
    <w:rsid w:val="00915C71"/>
    <w:rsid w:val="00915C81"/>
    <w:rsid w:val="00915CBF"/>
    <w:rsid w:val="00915CC1"/>
    <w:rsid w:val="00915D48"/>
    <w:rsid w:val="00915D70"/>
    <w:rsid w:val="00915DAB"/>
    <w:rsid w:val="00915DC7"/>
    <w:rsid w:val="00915EAD"/>
    <w:rsid w:val="00915EF4"/>
    <w:rsid w:val="00915F6B"/>
    <w:rsid w:val="00915FB9"/>
    <w:rsid w:val="00915FEF"/>
    <w:rsid w:val="0091605B"/>
    <w:rsid w:val="0091605F"/>
    <w:rsid w:val="00916074"/>
    <w:rsid w:val="0091607F"/>
    <w:rsid w:val="009160E9"/>
    <w:rsid w:val="009161DE"/>
    <w:rsid w:val="0091620A"/>
    <w:rsid w:val="00916249"/>
    <w:rsid w:val="00916266"/>
    <w:rsid w:val="00916269"/>
    <w:rsid w:val="009162A1"/>
    <w:rsid w:val="00916314"/>
    <w:rsid w:val="00916337"/>
    <w:rsid w:val="00916397"/>
    <w:rsid w:val="009163A6"/>
    <w:rsid w:val="009163FB"/>
    <w:rsid w:val="0091642B"/>
    <w:rsid w:val="0091644E"/>
    <w:rsid w:val="00916456"/>
    <w:rsid w:val="009164AF"/>
    <w:rsid w:val="009164FA"/>
    <w:rsid w:val="009165B0"/>
    <w:rsid w:val="009165C3"/>
    <w:rsid w:val="009165D0"/>
    <w:rsid w:val="009165DB"/>
    <w:rsid w:val="009165FE"/>
    <w:rsid w:val="00916627"/>
    <w:rsid w:val="00916650"/>
    <w:rsid w:val="009166C8"/>
    <w:rsid w:val="009166E2"/>
    <w:rsid w:val="009166F5"/>
    <w:rsid w:val="009167A7"/>
    <w:rsid w:val="009167B7"/>
    <w:rsid w:val="009167C8"/>
    <w:rsid w:val="009167CD"/>
    <w:rsid w:val="009167D0"/>
    <w:rsid w:val="009167E7"/>
    <w:rsid w:val="009167ED"/>
    <w:rsid w:val="00916811"/>
    <w:rsid w:val="00916819"/>
    <w:rsid w:val="00916871"/>
    <w:rsid w:val="0091689D"/>
    <w:rsid w:val="009168B9"/>
    <w:rsid w:val="00916982"/>
    <w:rsid w:val="009169A6"/>
    <w:rsid w:val="00916A14"/>
    <w:rsid w:val="00916A4C"/>
    <w:rsid w:val="00916A83"/>
    <w:rsid w:val="00916AC4"/>
    <w:rsid w:val="00916B25"/>
    <w:rsid w:val="00916B26"/>
    <w:rsid w:val="00916B5F"/>
    <w:rsid w:val="00916BBE"/>
    <w:rsid w:val="00916BD8"/>
    <w:rsid w:val="00916C1B"/>
    <w:rsid w:val="00916C67"/>
    <w:rsid w:val="00916E69"/>
    <w:rsid w:val="00916E76"/>
    <w:rsid w:val="00916F3D"/>
    <w:rsid w:val="00916F4C"/>
    <w:rsid w:val="00916FE6"/>
    <w:rsid w:val="009170AF"/>
    <w:rsid w:val="009171B9"/>
    <w:rsid w:val="009171F6"/>
    <w:rsid w:val="00917263"/>
    <w:rsid w:val="00917282"/>
    <w:rsid w:val="009172B1"/>
    <w:rsid w:val="009172E5"/>
    <w:rsid w:val="0091735F"/>
    <w:rsid w:val="009173B4"/>
    <w:rsid w:val="009173E9"/>
    <w:rsid w:val="009174A3"/>
    <w:rsid w:val="0091755F"/>
    <w:rsid w:val="009175C5"/>
    <w:rsid w:val="00917608"/>
    <w:rsid w:val="00917643"/>
    <w:rsid w:val="0091767E"/>
    <w:rsid w:val="00917683"/>
    <w:rsid w:val="00917694"/>
    <w:rsid w:val="00917699"/>
    <w:rsid w:val="009176BF"/>
    <w:rsid w:val="009176CC"/>
    <w:rsid w:val="009176FF"/>
    <w:rsid w:val="009177AA"/>
    <w:rsid w:val="00917839"/>
    <w:rsid w:val="0091785B"/>
    <w:rsid w:val="0091785F"/>
    <w:rsid w:val="00917877"/>
    <w:rsid w:val="009178D9"/>
    <w:rsid w:val="00917951"/>
    <w:rsid w:val="00917963"/>
    <w:rsid w:val="009179C4"/>
    <w:rsid w:val="00917A2B"/>
    <w:rsid w:val="00917A69"/>
    <w:rsid w:val="00917A7D"/>
    <w:rsid w:val="00917ACE"/>
    <w:rsid w:val="00917B43"/>
    <w:rsid w:val="00917B4E"/>
    <w:rsid w:val="00917B7F"/>
    <w:rsid w:val="00917C1B"/>
    <w:rsid w:val="00917C2E"/>
    <w:rsid w:val="00917C75"/>
    <w:rsid w:val="00917D05"/>
    <w:rsid w:val="00917DD3"/>
    <w:rsid w:val="00917DD6"/>
    <w:rsid w:val="00917DE4"/>
    <w:rsid w:val="00917E40"/>
    <w:rsid w:val="00917E8B"/>
    <w:rsid w:val="00917E8C"/>
    <w:rsid w:val="00917F9B"/>
    <w:rsid w:val="00917FB7"/>
    <w:rsid w:val="00920090"/>
    <w:rsid w:val="00920098"/>
    <w:rsid w:val="00920128"/>
    <w:rsid w:val="009201E9"/>
    <w:rsid w:val="0092023B"/>
    <w:rsid w:val="00920291"/>
    <w:rsid w:val="009202E9"/>
    <w:rsid w:val="00920320"/>
    <w:rsid w:val="009203F4"/>
    <w:rsid w:val="00920407"/>
    <w:rsid w:val="00920444"/>
    <w:rsid w:val="009204BA"/>
    <w:rsid w:val="009204EE"/>
    <w:rsid w:val="00920547"/>
    <w:rsid w:val="00920634"/>
    <w:rsid w:val="009206AA"/>
    <w:rsid w:val="009206B7"/>
    <w:rsid w:val="00920730"/>
    <w:rsid w:val="00920747"/>
    <w:rsid w:val="00920755"/>
    <w:rsid w:val="0092079B"/>
    <w:rsid w:val="0092079F"/>
    <w:rsid w:val="009207B4"/>
    <w:rsid w:val="009207B6"/>
    <w:rsid w:val="00920800"/>
    <w:rsid w:val="0092085E"/>
    <w:rsid w:val="00920888"/>
    <w:rsid w:val="009208CF"/>
    <w:rsid w:val="009208F4"/>
    <w:rsid w:val="0092098A"/>
    <w:rsid w:val="009209AE"/>
    <w:rsid w:val="009209AF"/>
    <w:rsid w:val="009209BD"/>
    <w:rsid w:val="00920A2B"/>
    <w:rsid w:val="00920A74"/>
    <w:rsid w:val="00920ABB"/>
    <w:rsid w:val="00920B3B"/>
    <w:rsid w:val="00920B7F"/>
    <w:rsid w:val="00920C5B"/>
    <w:rsid w:val="00920C77"/>
    <w:rsid w:val="00920CFE"/>
    <w:rsid w:val="00920D66"/>
    <w:rsid w:val="00920D98"/>
    <w:rsid w:val="00920DA6"/>
    <w:rsid w:val="00920E15"/>
    <w:rsid w:val="00920E61"/>
    <w:rsid w:val="00920F71"/>
    <w:rsid w:val="00920F74"/>
    <w:rsid w:val="00920F9D"/>
    <w:rsid w:val="00921113"/>
    <w:rsid w:val="00921128"/>
    <w:rsid w:val="00921158"/>
    <w:rsid w:val="00921175"/>
    <w:rsid w:val="00921190"/>
    <w:rsid w:val="00921208"/>
    <w:rsid w:val="00921218"/>
    <w:rsid w:val="00921251"/>
    <w:rsid w:val="00921275"/>
    <w:rsid w:val="00921279"/>
    <w:rsid w:val="00921293"/>
    <w:rsid w:val="009212A5"/>
    <w:rsid w:val="009212E6"/>
    <w:rsid w:val="009212FB"/>
    <w:rsid w:val="0092138C"/>
    <w:rsid w:val="0092139F"/>
    <w:rsid w:val="0092140F"/>
    <w:rsid w:val="00921422"/>
    <w:rsid w:val="00921433"/>
    <w:rsid w:val="0092148C"/>
    <w:rsid w:val="009214C0"/>
    <w:rsid w:val="0092151A"/>
    <w:rsid w:val="0092159D"/>
    <w:rsid w:val="009215A5"/>
    <w:rsid w:val="009215E0"/>
    <w:rsid w:val="0092168B"/>
    <w:rsid w:val="009216AE"/>
    <w:rsid w:val="009216B6"/>
    <w:rsid w:val="009216D0"/>
    <w:rsid w:val="00921709"/>
    <w:rsid w:val="00921758"/>
    <w:rsid w:val="009217FE"/>
    <w:rsid w:val="00921856"/>
    <w:rsid w:val="00921873"/>
    <w:rsid w:val="009218EB"/>
    <w:rsid w:val="00921938"/>
    <w:rsid w:val="009219B4"/>
    <w:rsid w:val="009219E3"/>
    <w:rsid w:val="00921A7C"/>
    <w:rsid w:val="00921A8A"/>
    <w:rsid w:val="00921B1D"/>
    <w:rsid w:val="00921BA4"/>
    <w:rsid w:val="00921C45"/>
    <w:rsid w:val="00921C91"/>
    <w:rsid w:val="00921CDB"/>
    <w:rsid w:val="00921CF7"/>
    <w:rsid w:val="00921D5F"/>
    <w:rsid w:val="00921D86"/>
    <w:rsid w:val="00921D9C"/>
    <w:rsid w:val="00921DD6"/>
    <w:rsid w:val="00921E0B"/>
    <w:rsid w:val="00921E42"/>
    <w:rsid w:val="00921E54"/>
    <w:rsid w:val="00921E5E"/>
    <w:rsid w:val="00921EC3"/>
    <w:rsid w:val="00921F58"/>
    <w:rsid w:val="00921F87"/>
    <w:rsid w:val="00921FE4"/>
    <w:rsid w:val="00922112"/>
    <w:rsid w:val="0092213E"/>
    <w:rsid w:val="0092215B"/>
    <w:rsid w:val="009221F1"/>
    <w:rsid w:val="009221FA"/>
    <w:rsid w:val="00922210"/>
    <w:rsid w:val="00922231"/>
    <w:rsid w:val="00922271"/>
    <w:rsid w:val="0092228F"/>
    <w:rsid w:val="0092229A"/>
    <w:rsid w:val="00922486"/>
    <w:rsid w:val="0092260B"/>
    <w:rsid w:val="0092260E"/>
    <w:rsid w:val="00922622"/>
    <w:rsid w:val="00922647"/>
    <w:rsid w:val="009226C0"/>
    <w:rsid w:val="00922860"/>
    <w:rsid w:val="00922863"/>
    <w:rsid w:val="009228B3"/>
    <w:rsid w:val="009228EE"/>
    <w:rsid w:val="009228F8"/>
    <w:rsid w:val="00922955"/>
    <w:rsid w:val="00922993"/>
    <w:rsid w:val="00922994"/>
    <w:rsid w:val="009229FB"/>
    <w:rsid w:val="00922A17"/>
    <w:rsid w:val="00922A4C"/>
    <w:rsid w:val="00922A70"/>
    <w:rsid w:val="00922A94"/>
    <w:rsid w:val="00922B24"/>
    <w:rsid w:val="00922B2B"/>
    <w:rsid w:val="00922C17"/>
    <w:rsid w:val="00922C40"/>
    <w:rsid w:val="00922C53"/>
    <w:rsid w:val="00922D42"/>
    <w:rsid w:val="00922DE4"/>
    <w:rsid w:val="00922EB4"/>
    <w:rsid w:val="00922EC6"/>
    <w:rsid w:val="00922F0A"/>
    <w:rsid w:val="00922F49"/>
    <w:rsid w:val="00922F61"/>
    <w:rsid w:val="0092300A"/>
    <w:rsid w:val="00923015"/>
    <w:rsid w:val="00923026"/>
    <w:rsid w:val="009231F5"/>
    <w:rsid w:val="00923221"/>
    <w:rsid w:val="00923258"/>
    <w:rsid w:val="009232F8"/>
    <w:rsid w:val="00923305"/>
    <w:rsid w:val="0092333D"/>
    <w:rsid w:val="0092335E"/>
    <w:rsid w:val="0092338D"/>
    <w:rsid w:val="009233C4"/>
    <w:rsid w:val="00923400"/>
    <w:rsid w:val="00923405"/>
    <w:rsid w:val="0092344B"/>
    <w:rsid w:val="00923466"/>
    <w:rsid w:val="0092352D"/>
    <w:rsid w:val="00923532"/>
    <w:rsid w:val="009235CB"/>
    <w:rsid w:val="00923604"/>
    <w:rsid w:val="0092363A"/>
    <w:rsid w:val="0092364A"/>
    <w:rsid w:val="0092366B"/>
    <w:rsid w:val="0092370C"/>
    <w:rsid w:val="00923749"/>
    <w:rsid w:val="00923829"/>
    <w:rsid w:val="0092382D"/>
    <w:rsid w:val="0092389A"/>
    <w:rsid w:val="009238FD"/>
    <w:rsid w:val="00923952"/>
    <w:rsid w:val="009239BF"/>
    <w:rsid w:val="00923A0C"/>
    <w:rsid w:val="00923A2C"/>
    <w:rsid w:val="00923AA7"/>
    <w:rsid w:val="00923ADF"/>
    <w:rsid w:val="00923AF8"/>
    <w:rsid w:val="00923B13"/>
    <w:rsid w:val="00923B28"/>
    <w:rsid w:val="00923BF3"/>
    <w:rsid w:val="00923D1F"/>
    <w:rsid w:val="00923D49"/>
    <w:rsid w:val="00923D56"/>
    <w:rsid w:val="00923DCB"/>
    <w:rsid w:val="00923E02"/>
    <w:rsid w:val="00923E8B"/>
    <w:rsid w:val="00923EDB"/>
    <w:rsid w:val="00923FA1"/>
    <w:rsid w:val="009240E4"/>
    <w:rsid w:val="00924116"/>
    <w:rsid w:val="00924124"/>
    <w:rsid w:val="00924136"/>
    <w:rsid w:val="009241AA"/>
    <w:rsid w:val="009241E3"/>
    <w:rsid w:val="0092425B"/>
    <w:rsid w:val="00924269"/>
    <w:rsid w:val="009243BE"/>
    <w:rsid w:val="009243F8"/>
    <w:rsid w:val="00924437"/>
    <w:rsid w:val="009244D9"/>
    <w:rsid w:val="00924512"/>
    <w:rsid w:val="0092452B"/>
    <w:rsid w:val="0092454C"/>
    <w:rsid w:val="00924596"/>
    <w:rsid w:val="00924674"/>
    <w:rsid w:val="0092468C"/>
    <w:rsid w:val="009246ED"/>
    <w:rsid w:val="009247BA"/>
    <w:rsid w:val="009247C4"/>
    <w:rsid w:val="009247DD"/>
    <w:rsid w:val="009247FB"/>
    <w:rsid w:val="00924812"/>
    <w:rsid w:val="00924821"/>
    <w:rsid w:val="009248F4"/>
    <w:rsid w:val="009248FC"/>
    <w:rsid w:val="00924983"/>
    <w:rsid w:val="009249B5"/>
    <w:rsid w:val="00924A10"/>
    <w:rsid w:val="00924ACC"/>
    <w:rsid w:val="00924AFA"/>
    <w:rsid w:val="00924B98"/>
    <w:rsid w:val="00924BAB"/>
    <w:rsid w:val="00924BFA"/>
    <w:rsid w:val="00924C4F"/>
    <w:rsid w:val="00924C99"/>
    <w:rsid w:val="00924CE6"/>
    <w:rsid w:val="00924D62"/>
    <w:rsid w:val="00924DD4"/>
    <w:rsid w:val="00924E48"/>
    <w:rsid w:val="00924EB2"/>
    <w:rsid w:val="00924EDC"/>
    <w:rsid w:val="00924FC7"/>
    <w:rsid w:val="00924FF2"/>
    <w:rsid w:val="00925000"/>
    <w:rsid w:val="00925038"/>
    <w:rsid w:val="00925101"/>
    <w:rsid w:val="00925149"/>
    <w:rsid w:val="00925176"/>
    <w:rsid w:val="00925227"/>
    <w:rsid w:val="0092528A"/>
    <w:rsid w:val="009252D0"/>
    <w:rsid w:val="009252D7"/>
    <w:rsid w:val="00925305"/>
    <w:rsid w:val="00925383"/>
    <w:rsid w:val="009253A9"/>
    <w:rsid w:val="009253B6"/>
    <w:rsid w:val="0092540F"/>
    <w:rsid w:val="00925421"/>
    <w:rsid w:val="0092545E"/>
    <w:rsid w:val="0092548E"/>
    <w:rsid w:val="00925545"/>
    <w:rsid w:val="0092555B"/>
    <w:rsid w:val="0092557C"/>
    <w:rsid w:val="0092561D"/>
    <w:rsid w:val="00925668"/>
    <w:rsid w:val="0092567F"/>
    <w:rsid w:val="0092569E"/>
    <w:rsid w:val="009256BE"/>
    <w:rsid w:val="0092573A"/>
    <w:rsid w:val="009257C5"/>
    <w:rsid w:val="009257DD"/>
    <w:rsid w:val="00925853"/>
    <w:rsid w:val="009258B0"/>
    <w:rsid w:val="009258C8"/>
    <w:rsid w:val="009258D2"/>
    <w:rsid w:val="009258E4"/>
    <w:rsid w:val="009258FC"/>
    <w:rsid w:val="00925927"/>
    <w:rsid w:val="0092594B"/>
    <w:rsid w:val="009259BD"/>
    <w:rsid w:val="009259C3"/>
    <w:rsid w:val="009259F2"/>
    <w:rsid w:val="00925A2D"/>
    <w:rsid w:val="00925A33"/>
    <w:rsid w:val="00925A6A"/>
    <w:rsid w:val="00925AA8"/>
    <w:rsid w:val="00925B27"/>
    <w:rsid w:val="00925C01"/>
    <w:rsid w:val="00925C40"/>
    <w:rsid w:val="00925D5F"/>
    <w:rsid w:val="00925DCE"/>
    <w:rsid w:val="00925DF9"/>
    <w:rsid w:val="00925E31"/>
    <w:rsid w:val="00925E43"/>
    <w:rsid w:val="00925E74"/>
    <w:rsid w:val="00925E97"/>
    <w:rsid w:val="00925EF4"/>
    <w:rsid w:val="00925F0B"/>
    <w:rsid w:val="00925F27"/>
    <w:rsid w:val="00925F3A"/>
    <w:rsid w:val="00925F3F"/>
    <w:rsid w:val="00925F9F"/>
    <w:rsid w:val="00925FB4"/>
    <w:rsid w:val="0092601E"/>
    <w:rsid w:val="00926056"/>
    <w:rsid w:val="0092608A"/>
    <w:rsid w:val="009260C0"/>
    <w:rsid w:val="00926119"/>
    <w:rsid w:val="0092611B"/>
    <w:rsid w:val="0092614C"/>
    <w:rsid w:val="00926175"/>
    <w:rsid w:val="0092617E"/>
    <w:rsid w:val="009261FC"/>
    <w:rsid w:val="00926257"/>
    <w:rsid w:val="0092625F"/>
    <w:rsid w:val="0092627C"/>
    <w:rsid w:val="00926293"/>
    <w:rsid w:val="009262CC"/>
    <w:rsid w:val="00926305"/>
    <w:rsid w:val="0092632B"/>
    <w:rsid w:val="009263BD"/>
    <w:rsid w:val="009263C9"/>
    <w:rsid w:val="009263D3"/>
    <w:rsid w:val="009263D6"/>
    <w:rsid w:val="0092641C"/>
    <w:rsid w:val="009264B4"/>
    <w:rsid w:val="00926500"/>
    <w:rsid w:val="00926565"/>
    <w:rsid w:val="00926597"/>
    <w:rsid w:val="00926628"/>
    <w:rsid w:val="0092662E"/>
    <w:rsid w:val="00926639"/>
    <w:rsid w:val="0092663B"/>
    <w:rsid w:val="009267D5"/>
    <w:rsid w:val="0092680D"/>
    <w:rsid w:val="00926831"/>
    <w:rsid w:val="00926886"/>
    <w:rsid w:val="009268A1"/>
    <w:rsid w:val="009268AA"/>
    <w:rsid w:val="009268BC"/>
    <w:rsid w:val="00926934"/>
    <w:rsid w:val="00926A3E"/>
    <w:rsid w:val="00926A70"/>
    <w:rsid w:val="00926BAE"/>
    <w:rsid w:val="00926C27"/>
    <w:rsid w:val="00926C7D"/>
    <w:rsid w:val="00926C7F"/>
    <w:rsid w:val="00926C92"/>
    <w:rsid w:val="00926D82"/>
    <w:rsid w:val="00926D99"/>
    <w:rsid w:val="00926DCC"/>
    <w:rsid w:val="00926DD0"/>
    <w:rsid w:val="00926DE9"/>
    <w:rsid w:val="00926E0E"/>
    <w:rsid w:val="00926E18"/>
    <w:rsid w:val="00926E36"/>
    <w:rsid w:val="00926F13"/>
    <w:rsid w:val="00926F59"/>
    <w:rsid w:val="00926F5D"/>
    <w:rsid w:val="00926F65"/>
    <w:rsid w:val="00926F9A"/>
    <w:rsid w:val="00926FDA"/>
    <w:rsid w:val="0092700C"/>
    <w:rsid w:val="00927014"/>
    <w:rsid w:val="009270DC"/>
    <w:rsid w:val="009270E2"/>
    <w:rsid w:val="009271DD"/>
    <w:rsid w:val="009271F8"/>
    <w:rsid w:val="00927272"/>
    <w:rsid w:val="00927287"/>
    <w:rsid w:val="00927338"/>
    <w:rsid w:val="00927418"/>
    <w:rsid w:val="009274DF"/>
    <w:rsid w:val="009274EC"/>
    <w:rsid w:val="0092759F"/>
    <w:rsid w:val="009275E0"/>
    <w:rsid w:val="0092760B"/>
    <w:rsid w:val="00927677"/>
    <w:rsid w:val="009276C5"/>
    <w:rsid w:val="00927779"/>
    <w:rsid w:val="009277B3"/>
    <w:rsid w:val="009277E2"/>
    <w:rsid w:val="0092789D"/>
    <w:rsid w:val="009278B6"/>
    <w:rsid w:val="0092799C"/>
    <w:rsid w:val="009279A6"/>
    <w:rsid w:val="00927B32"/>
    <w:rsid w:val="00927B48"/>
    <w:rsid w:val="00927B5C"/>
    <w:rsid w:val="00927B83"/>
    <w:rsid w:val="00927B8E"/>
    <w:rsid w:val="00927BAC"/>
    <w:rsid w:val="00927C6D"/>
    <w:rsid w:val="00927CB7"/>
    <w:rsid w:val="00927CF8"/>
    <w:rsid w:val="00927D0E"/>
    <w:rsid w:val="00927D64"/>
    <w:rsid w:val="00927D71"/>
    <w:rsid w:val="00927D93"/>
    <w:rsid w:val="00927DCE"/>
    <w:rsid w:val="00927DD5"/>
    <w:rsid w:val="00927DE2"/>
    <w:rsid w:val="00927E37"/>
    <w:rsid w:val="00927E58"/>
    <w:rsid w:val="00927EAA"/>
    <w:rsid w:val="00927F34"/>
    <w:rsid w:val="00927FCC"/>
    <w:rsid w:val="0093001E"/>
    <w:rsid w:val="0093005B"/>
    <w:rsid w:val="00930078"/>
    <w:rsid w:val="009300C2"/>
    <w:rsid w:val="009301C8"/>
    <w:rsid w:val="00930204"/>
    <w:rsid w:val="009302A3"/>
    <w:rsid w:val="009302AE"/>
    <w:rsid w:val="009302F8"/>
    <w:rsid w:val="00930329"/>
    <w:rsid w:val="00930395"/>
    <w:rsid w:val="009303FA"/>
    <w:rsid w:val="009304A7"/>
    <w:rsid w:val="009304DC"/>
    <w:rsid w:val="009304EC"/>
    <w:rsid w:val="0093063C"/>
    <w:rsid w:val="0093063D"/>
    <w:rsid w:val="00930824"/>
    <w:rsid w:val="0093083B"/>
    <w:rsid w:val="0093092F"/>
    <w:rsid w:val="00930996"/>
    <w:rsid w:val="009309BE"/>
    <w:rsid w:val="00930A8A"/>
    <w:rsid w:val="00930ADB"/>
    <w:rsid w:val="00930B7D"/>
    <w:rsid w:val="00930B93"/>
    <w:rsid w:val="00930B95"/>
    <w:rsid w:val="00930BB0"/>
    <w:rsid w:val="00930C0A"/>
    <w:rsid w:val="00930CA1"/>
    <w:rsid w:val="00930D03"/>
    <w:rsid w:val="00930D1D"/>
    <w:rsid w:val="00930D38"/>
    <w:rsid w:val="00930D9C"/>
    <w:rsid w:val="00930DA5"/>
    <w:rsid w:val="00930DB3"/>
    <w:rsid w:val="00930E37"/>
    <w:rsid w:val="00930E97"/>
    <w:rsid w:val="00930F60"/>
    <w:rsid w:val="00930FC2"/>
    <w:rsid w:val="0093100B"/>
    <w:rsid w:val="0093100D"/>
    <w:rsid w:val="00931017"/>
    <w:rsid w:val="00931031"/>
    <w:rsid w:val="00931040"/>
    <w:rsid w:val="00931068"/>
    <w:rsid w:val="00931081"/>
    <w:rsid w:val="009310D2"/>
    <w:rsid w:val="009310E6"/>
    <w:rsid w:val="009310FD"/>
    <w:rsid w:val="00931108"/>
    <w:rsid w:val="00931119"/>
    <w:rsid w:val="0093112C"/>
    <w:rsid w:val="00931151"/>
    <w:rsid w:val="00931167"/>
    <w:rsid w:val="009311B0"/>
    <w:rsid w:val="00931270"/>
    <w:rsid w:val="00931278"/>
    <w:rsid w:val="0093127F"/>
    <w:rsid w:val="0093128E"/>
    <w:rsid w:val="00931294"/>
    <w:rsid w:val="00931323"/>
    <w:rsid w:val="009313A9"/>
    <w:rsid w:val="009313EC"/>
    <w:rsid w:val="0093149F"/>
    <w:rsid w:val="00931515"/>
    <w:rsid w:val="00931617"/>
    <w:rsid w:val="0093164E"/>
    <w:rsid w:val="009316C8"/>
    <w:rsid w:val="009317D5"/>
    <w:rsid w:val="00931812"/>
    <w:rsid w:val="00931820"/>
    <w:rsid w:val="0093184F"/>
    <w:rsid w:val="00931873"/>
    <w:rsid w:val="00931876"/>
    <w:rsid w:val="0093189E"/>
    <w:rsid w:val="009318B5"/>
    <w:rsid w:val="009319FD"/>
    <w:rsid w:val="00931A21"/>
    <w:rsid w:val="00931A29"/>
    <w:rsid w:val="00931A59"/>
    <w:rsid w:val="00931A6A"/>
    <w:rsid w:val="00931ABE"/>
    <w:rsid w:val="00931AE2"/>
    <w:rsid w:val="00931B5E"/>
    <w:rsid w:val="00931BAB"/>
    <w:rsid w:val="00931C56"/>
    <w:rsid w:val="00931C70"/>
    <w:rsid w:val="00931C76"/>
    <w:rsid w:val="00931C7D"/>
    <w:rsid w:val="00931CC1"/>
    <w:rsid w:val="00931CF8"/>
    <w:rsid w:val="00931D05"/>
    <w:rsid w:val="00931D49"/>
    <w:rsid w:val="00931DD3"/>
    <w:rsid w:val="00931E82"/>
    <w:rsid w:val="00931E9F"/>
    <w:rsid w:val="00931F7F"/>
    <w:rsid w:val="00931FA7"/>
    <w:rsid w:val="00932055"/>
    <w:rsid w:val="009320DC"/>
    <w:rsid w:val="009320E2"/>
    <w:rsid w:val="00932102"/>
    <w:rsid w:val="0093210E"/>
    <w:rsid w:val="00932160"/>
    <w:rsid w:val="0093222B"/>
    <w:rsid w:val="0093222E"/>
    <w:rsid w:val="009322AB"/>
    <w:rsid w:val="0093236F"/>
    <w:rsid w:val="0093243E"/>
    <w:rsid w:val="0093245F"/>
    <w:rsid w:val="00932461"/>
    <w:rsid w:val="009324BD"/>
    <w:rsid w:val="00932551"/>
    <w:rsid w:val="00932561"/>
    <w:rsid w:val="009325AC"/>
    <w:rsid w:val="009325E1"/>
    <w:rsid w:val="009325FD"/>
    <w:rsid w:val="0093265E"/>
    <w:rsid w:val="009326A9"/>
    <w:rsid w:val="0093278A"/>
    <w:rsid w:val="009328E4"/>
    <w:rsid w:val="009328FF"/>
    <w:rsid w:val="00932990"/>
    <w:rsid w:val="0093299A"/>
    <w:rsid w:val="00932A1F"/>
    <w:rsid w:val="00932B8F"/>
    <w:rsid w:val="00932BB2"/>
    <w:rsid w:val="00932C05"/>
    <w:rsid w:val="00932C6A"/>
    <w:rsid w:val="00932C6F"/>
    <w:rsid w:val="00932C83"/>
    <w:rsid w:val="00932CF0"/>
    <w:rsid w:val="00932CFF"/>
    <w:rsid w:val="00932D0C"/>
    <w:rsid w:val="00932D56"/>
    <w:rsid w:val="00932DA6"/>
    <w:rsid w:val="00932EA9"/>
    <w:rsid w:val="00932EB1"/>
    <w:rsid w:val="00932ED1"/>
    <w:rsid w:val="00932F09"/>
    <w:rsid w:val="00932F71"/>
    <w:rsid w:val="00932FBD"/>
    <w:rsid w:val="00933065"/>
    <w:rsid w:val="00933093"/>
    <w:rsid w:val="009330E7"/>
    <w:rsid w:val="009331E1"/>
    <w:rsid w:val="009331EE"/>
    <w:rsid w:val="00933272"/>
    <w:rsid w:val="009332D3"/>
    <w:rsid w:val="0093332E"/>
    <w:rsid w:val="00933346"/>
    <w:rsid w:val="00933366"/>
    <w:rsid w:val="0093337D"/>
    <w:rsid w:val="0093339C"/>
    <w:rsid w:val="009333AD"/>
    <w:rsid w:val="009333AF"/>
    <w:rsid w:val="009333E7"/>
    <w:rsid w:val="0093342F"/>
    <w:rsid w:val="00933444"/>
    <w:rsid w:val="00933488"/>
    <w:rsid w:val="009334A6"/>
    <w:rsid w:val="009334C5"/>
    <w:rsid w:val="0093350D"/>
    <w:rsid w:val="00933522"/>
    <w:rsid w:val="009335D9"/>
    <w:rsid w:val="00933611"/>
    <w:rsid w:val="00933616"/>
    <w:rsid w:val="00933653"/>
    <w:rsid w:val="009336B6"/>
    <w:rsid w:val="009336C8"/>
    <w:rsid w:val="009337A5"/>
    <w:rsid w:val="009338CA"/>
    <w:rsid w:val="00933933"/>
    <w:rsid w:val="0093395A"/>
    <w:rsid w:val="00933961"/>
    <w:rsid w:val="00933A31"/>
    <w:rsid w:val="00933A5F"/>
    <w:rsid w:val="00933B1D"/>
    <w:rsid w:val="00933B7E"/>
    <w:rsid w:val="00933BA4"/>
    <w:rsid w:val="00933BA6"/>
    <w:rsid w:val="00933BD3"/>
    <w:rsid w:val="00933CA3"/>
    <w:rsid w:val="00933D56"/>
    <w:rsid w:val="00933DD1"/>
    <w:rsid w:val="00933DF4"/>
    <w:rsid w:val="00933DF6"/>
    <w:rsid w:val="00933E34"/>
    <w:rsid w:val="00933E4E"/>
    <w:rsid w:val="00933E53"/>
    <w:rsid w:val="00933F2D"/>
    <w:rsid w:val="00933F5B"/>
    <w:rsid w:val="00933F68"/>
    <w:rsid w:val="00933FE6"/>
    <w:rsid w:val="00934011"/>
    <w:rsid w:val="00934015"/>
    <w:rsid w:val="00934057"/>
    <w:rsid w:val="00934092"/>
    <w:rsid w:val="009340A3"/>
    <w:rsid w:val="009340A4"/>
    <w:rsid w:val="0093415B"/>
    <w:rsid w:val="009341E1"/>
    <w:rsid w:val="009342E8"/>
    <w:rsid w:val="0093435E"/>
    <w:rsid w:val="009343C5"/>
    <w:rsid w:val="009343D0"/>
    <w:rsid w:val="009343D6"/>
    <w:rsid w:val="00934448"/>
    <w:rsid w:val="00934516"/>
    <w:rsid w:val="00934570"/>
    <w:rsid w:val="00934582"/>
    <w:rsid w:val="009346B6"/>
    <w:rsid w:val="00934707"/>
    <w:rsid w:val="00934784"/>
    <w:rsid w:val="009347D0"/>
    <w:rsid w:val="0093496C"/>
    <w:rsid w:val="0093499F"/>
    <w:rsid w:val="00934A2A"/>
    <w:rsid w:val="00934A70"/>
    <w:rsid w:val="00934AA8"/>
    <w:rsid w:val="00934BA5"/>
    <w:rsid w:val="00934BBA"/>
    <w:rsid w:val="00934BCE"/>
    <w:rsid w:val="00934C0B"/>
    <w:rsid w:val="00934C2F"/>
    <w:rsid w:val="00934C68"/>
    <w:rsid w:val="00934C93"/>
    <w:rsid w:val="00934CBD"/>
    <w:rsid w:val="00934D6C"/>
    <w:rsid w:val="00934DAB"/>
    <w:rsid w:val="00934DC1"/>
    <w:rsid w:val="00934DD2"/>
    <w:rsid w:val="00934E1A"/>
    <w:rsid w:val="00934F25"/>
    <w:rsid w:val="00934F4E"/>
    <w:rsid w:val="009350FC"/>
    <w:rsid w:val="00935104"/>
    <w:rsid w:val="0093512B"/>
    <w:rsid w:val="009351C7"/>
    <w:rsid w:val="009351CF"/>
    <w:rsid w:val="009351F9"/>
    <w:rsid w:val="00935252"/>
    <w:rsid w:val="0093537F"/>
    <w:rsid w:val="00935387"/>
    <w:rsid w:val="009353B7"/>
    <w:rsid w:val="009353D8"/>
    <w:rsid w:val="00935439"/>
    <w:rsid w:val="009354EF"/>
    <w:rsid w:val="0093552A"/>
    <w:rsid w:val="009355F8"/>
    <w:rsid w:val="00935626"/>
    <w:rsid w:val="0093565E"/>
    <w:rsid w:val="0093567B"/>
    <w:rsid w:val="009356CC"/>
    <w:rsid w:val="00935745"/>
    <w:rsid w:val="009357C9"/>
    <w:rsid w:val="009357E7"/>
    <w:rsid w:val="00935831"/>
    <w:rsid w:val="00935862"/>
    <w:rsid w:val="0093587F"/>
    <w:rsid w:val="009359E2"/>
    <w:rsid w:val="009359E6"/>
    <w:rsid w:val="009359E7"/>
    <w:rsid w:val="00935AA7"/>
    <w:rsid w:val="00935B45"/>
    <w:rsid w:val="00935BA9"/>
    <w:rsid w:val="00935BC5"/>
    <w:rsid w:val="00935CE7"/>
    <w:rsid w:val="00935CF0"/>
    <w:rsid w:val="00935D58"/>
    <w:rsid w:val="00935DC0"/>
    <w:rsid w:val="00935DC3"/>
    <w:rsid w:val="00935E9C"/>
    <w:rsid w:val="00935ED7"/>
    <w:rsid w:val="00935FD3"/>
    <w:rsid w:val="00935FF1"/>
    <w:rsid w:val="0093601C"/>
    <w:rsid w:val="00936108"/>
    <w:rsid w:val="00936109"/>
    <w:rsid w:val="0093612D"/>
    <w:rsid w:val="009361A6"/>
    <w:rsid w:val="009361B3"/>
    <w:rsid w:val="0093620A"/>
    <w:rsid w:val="00936210"/>
    <w:rsid w:val="00936279"/>
    <w:rsid w:val="0093629C"/>
    <w:rsid w:val="009362C0"/>
    <w:rsid w:val="009362E6"/>
    <w:rsid w:val="00936309"/>
    <w:rsid w:val="00936320"/>
    <w:rsid w:val="00936323"/>
    <w:rsid w:val="00936378"/>
    <w:rsid w:val="0093638C"/>
    <w:rsid w:val="009363BE"/>
    <w:rsid w:val="0093643D"/>
    <w:rsid w:val="0093644F"/>
    <w:rsid w:val="00936484"/>
    <w:rsid w:val="009364A2"/>
    <w:rsid w:val="009364B2"/>
    <w:rsid w:val="009364CB"/>
    <w:rsid w:val="0093654B"/>
    <w:rsid w:val="0093663F"/>
    <w:rsid w:val="0093668D"/>
    <w:rsid w:val="00936698"/>
    <w:rsid w:val="0093669F"/>
    <w:rsid w:val="009366B6"/>
    <w:rsid w:val="009366BB"/>
    <w:rsid w:val="009366DE"/>
    <w:rsid w:val="00936743"/>
    <w:rsid w:val="00936747"/>
    <w:rsid w:val="00936778"/>
    <w:rsid w:val="009367CF"/>
    <w:rsid w:val="0093681C"/>
    <w:rsid w:val="00936840"/>
    <w:rsid w:val="00936872"/>
    <w:rsid w:val="00936893"/>
    <w:rsid w:val="009369DD"/>
    <w:rsid w:val="00936ADD"/>
    <w:rsid w:val="00936B12"/>
    <w:rsid w:val="00936C24"/>
    <w:rsid w:val="00936C43"/>
    <w:rsid w:val="00936CFE"/>
    <w:rsid w:val="00936D41"/>
    <w:rsid w:val="00936D5C"/>
    <w:rsid w:val="00936D63"/>
    <w:rsid w:val="00936D7A"/>
    <w:rsid w:val="00936E1F"/>
    <w:rsid w:val="00936EDB"/>
    <w:rsid w:val="00936F07"/>
    <w:rsid w:val="00936FB1"/>
    <w:rsid w:val="00936FDA"/>
    <w:rsid w:val="00936FFA"/>
    <w:rsid w:val="00937049"/>
    <w:rsid w:val="0093706A"/>
    <w:rsid w:val="00937086"/>
    <w:rsid w:val="0093711F"/>
    <w:rsid w:val="00937137"/>
    <w:rsid w:val="00937171"/>
    <w:rsid w:val="009371C4"/>
    <w:rsid w:val="0093722A"/>
    <w:rsid w:val="00937264"/>
    <w:rsid w:val="009373BC"/>
    <w:rsid w:val="00937574"/>
    <w:rsid w:val="00937680"/>
    <w:rsid w:val="009376CA"/>
    <w:rsid w:val="00937717"/>
    <w:rsid w:val="00937739"/>
    <w:rsid w:val="00937797"/>
    <w:rsid w:val="009377EE"/>
    <w:rsid w:val="00937834"/>
    <w:rsid w:val="00937877"/>
    <w:rsid w:val="00937885"/>
    <w:rsid w:val="009378A6"/>
    <w:rsid w:val="0093791A"/>
    <w:rsid w:val="0093796D"/>
    <w:rsid w:val="00937984"/>
    <w:rsid w:val="009379CD"/>
    <w:rsid w:val="009379E7"/>
    <w:rsid w:val="009379F9"/>
    <w:rsid w:val="00937A5A"/>
    <w:rsid w:val="00937AD9"/>
    <w:rsid w:val="00937B23"/>
    <w:rsid w:val="00937B64"/>
    <w:rsid w:val="00937B75"/>
    <w:rsid w:val="00937BA0"/>
    <w:rsid w:val="00937BA8"/>
    <w:rsid w:val="00937BAC"/>
    <w:rsid w:val="00937C16"/>
    <w:rsid w:val="00937C92"/>
    <w:rsid w:val="00937C9E"/>
    <w:rsid w:val="00937CAD"/>
    <w:rsid w:val="00937CCB"/>
    <w:rsid w:val="00937D23"/>
    <w:rsid w:val="00937DB8"/>
    <w:rsid w:val="00937DDC"/>
    <w:rsid w:val="00937E34"/>
    <w:rsid w:val="00937E55"/>
    <w:rsid w:val="00937E64"/>
    <w:rsid w:val="00937E7D"/>
    <w:rsid w:val="00937F3B"/>
    <w:rsid w:val="00937FAA"/>
    <w:rsid w:val="00937FAF"/>
    <w:rsid w:val="00937FCD"/>
    <w:rsid w:val="0094002C"/>
    <w:rsid w:val="00940054"/>
    <w:rsid w:val="009400FC"/>
    <w:rsid w:val="00940145"/>
    <w:rsid w:val="00940160"/>
    <w:rsid w:val="00940186"/>
    <w:rsid w:val="00940191"/>
    <w:rsid w:val="0094029F"/>
    <w:rsid w:val="009402C4"/>
    <w:rsid w:val="0094031E"/>
    <w:rsid w:val="00940360"/>
    <w:rsid w:val="00940361"/>
    <w:rsid w:val="00940393"/>
    <w:rsid w:val="009403A5"/>
    <w:rsid w:val="009403E3"/>
    <w:rsid w:val="009403F8"/>
    <w:rsid w:val="00940485"/>
    <w:rsid w:val="009404C7"/>
    <w:rsid w:val="0094052E"/>
    <w:rsid w:val="00940601"/>
    <w:rsid w:val="00940605"/>
    <w:rsid w:val="009406A9"/>
    <w:rsid w:val="009406F4"/>
    <w:rsid w:val="0094078C"/>
    <w:rsid w:val="0094078D"/>
    <w:rsid w:val="009407CA"/>
    <w:rsid w:val="009407EE"/>
    <w:rsid w:val="0094087F"/>
    <w:rsid w:val="009408B2"/>
    <w:rsid w:val="009408DE"/>
    <w:rsid w:val="00940A10"/>
    <w:rsid w:val="00940A59"/>
    <w:rsid w:val="00940A5F"/>
    <w:rsid w:val="00940A74"/>
    <w:rsid w:val="00940B64"/>
    <w:rsid w:val="00940DED"/>
    <w:rsid w:val="00940E52"/>
    <w:rsid w:val="00940F13"/>
    <w:rsid w:val="00940F47"/>
    <w:rsid w:val="00940F9F"/>
    <w:rsid w:val="00940FAF"/>
    <w:rsid w:val="0094102E"/>
    <w:rsid w:val="0094103E"/>
    <w:rsid w:val="00941097"/>
    <w:rsid w:val="009410BA"/>
    <w:rsid w:val="00941118"/>
    <w:rsid w:val="00941122"/>
    <w:rsid w:val="00941159"/>
    <w:rsid w:val="0094116D"/>
    <w:rsid w:val="009411CD"/>
    <w:rsid w:val="009412CA"/>
    <w:rsid w:val="0094131D"/>
    <w:rsid w:val="0094132A"/>
    <w:rsid w:val="00941356"/>
    <w:rsid w:val="0094135F"/>
    <w:rsid w:val="00941370"/>
    <w:rsid w:val="009413A2"/>
    <w:rsid w:val="009413FE"/>
    <w:rsid w:val="0094145F"/>
    <w:rsid w:val="0094146C"/>
    <w:rsid w:val="00941552"/>
    <w:rsid w:val="009415AC"/>
    <w:rsid w:val="0094167E"/>
    <w:rsid w:val="00941761"/>
    <w:rsid w:val="0094179D"/>
    <w:rsid w:val="009417D0"/>
    <w:rsid w:val="00941802"/>
    <w:rsid w:val="00941835"/>
    <w:rsid w:val="009418AF"/>
    <w:rsid w:val="009418BB"/>
    <w:rsid w:val="0094194B"/>
    <w:rsid w:val="0094197F"/>
    <w:rsid w:val="009419A5"/>
    <w:rsid w:val="00941A40"/>
    <w:rsid w:val="00941B72"/>
    <w:rsid w:val="00941CB5"/>
    <w:rsid w:val="00941CE2"/>
    <w:rsid w:val="00941D2E"/>
    <w:rsid w:val="00941D5D"/>
    <w:rsid w:val="00941DE5"/>
    <w:rsid w:val="00941DE7"/>
    <w:rsid w:val="00941E0C"/>
    <w:rsid w:val="00941F17"/>
    <w:rsid w:val="009420BA"/>
    <w:rsid w:val="00942114"/>
    <w:rsid w:val="00942188"/>
    <w:rsid w:val="009421B0"/>
    <w:rsid w:val="009421B1"/>
    <w:rsid w:val="0094225D"/>
    <w:rsid w:val="00942277"/>
    <w:rsid w:val="00942328"/>
    <w:rsid w:val="0094232A"/>
    <w:rsid w:val="009423A4"/>
    <w:rsid w:val="009423E5"/>
    <w:rsid w:val="00942472"/>
    <w:rsid w:val="00942497"/>
    <w:rsid w:val="00942581"/>
    <w:rsid w:val="0094258D"/>
    <w:rsid w:val="0094258F"/>
    <w:rsid w:val="00942630"/>
    <w:rsid w:val="00942646"/>
    <w:rsid w:val="00942680"/>
    <w:rsid w:val="009426B1"/>
    <w:rsid w:val="0094271A"/>
    <w:rsid w:val="00942730"/>
    <w:rsid w:val="009427A7"/>
    <w:rsid w:val="009427BD"/>
    <w:rsid w:val="00942886"/>
    <w:rsid w:val="009428B4"/>
    <w:rsid w:val="00942945"/>
    <w:rsid w:val="0094297A"/>
    <w:rsid w:val="009429E4"/>
    <w:rsid w:val="00942A12"/>
    <w:rsid w:val="00942A40"/>
    <w:rsid w:val="00942B16"/>
    <w:rsid w:val="00942B22"/>
    <w:rsid w:val="00942BAA"/>
    <w:rsid w:val="00942BBB"/>
    <w:rsid w:val="00942C39"/>
    <w:rsid w:val="00942C50"/>
    <w:rsid w:val="00942D82"/>
    <w:rsid w:val="00942DB0"/>
    <w:rsid w:val="00942DD6"/>
    <w:rsid w:val="00942DEA"/>
    <w:rsid w:val="00942E25"/>
    <w:rsid w:val="00942E6D"/>
    <w:rsid w:val="00942F18"/>
    <w:rsid w:val="00942F61"/>
    <w:rsid w:val="00942FD4"/>
    <w:rsid w:val="0094306B"/>
    <w:rsid w:val="009430C7"/>
    <w:rsid w:val="009430D6"/>
    <w:rsid w:val="009430EE"/>
    <w:rsid w:val="00943142"/>
    <w:rsid w:val="0094319B"/>
    <w:rsid w:val="009431A5"/>
    <w:rsid w:val="009431AE"/>
    <w:rsid w:val="009431EC"/>
    <w:rsid w:val="0094320C"/>
    <w:rsid w:val="0094321A"/>
    <w:rsid w:val="00943254"/>
    <w:rsid w:val="009432B0"/>
    <w:rsid w:val="009432EE"/>
    <w:rsid w:val="0094332C"/>
    <w:rsid w:val="009433FA"/>
    <w:rsid w:val="009433FB"/>
    <w:rsid w:val="0094341E"/>
    <w:rsid w:val="00943425"/>
    <w:rsid w:val="00943470"/>
    <w:rsid w:val="0094347D"/>
    <w:rsid w:val="009434B4"/>
    <w:rsid w:val="009434F2"/>
    <w:rsid w:val="00943504"/>
    <w:rsid w:val="0094350F"/>
    <w:rsid w:val="00943590"/>
    <w:rsid w:val="009435DC"/>
    <w:rsid w:val="009436BB"/>
    <w:rsid w:val="0094374C"/>
    <w:rsid w:val="00943765"/>
    <w:rsid w:val="009437A7"/>
    <w:rsid w:val="009437D6"/>
    <w:rsid w:val="0094390C"/>
    <w:rsid w:val="00943923"/>
    <w:rsid w:val="009439EB"/>
    <w:rsid w:val="00943A14"/>
    <w:rsid w:val="00943B02"/>
    <w:rsid w:val="00943B3C"/>
    <w:rsid w:val="00943B69"/>
    <w:rsid w:val="00943B6D"/>
    <w:rsid w:val="00943BB0"/>
    <w:rsid w:val="00943BD8"/>
    <w:rsid w:val="00943C08"/>
    <w:rsid w:val="00943C48"/>
    <w:rsid w:val="00943C74"/>
    <w:rsid w:val="00943CF5"/>
    <w:rsid w:val="00943DFA"/>
    <w:rsid w:val="00943E1D"/>
    <w:rsid w:val="00943E4A"/>
    <w:rsid w:val="00943E54"/>
    <w:rsid w:val="00943F80"/>
    <w:rsid w:val="00943F92"/>
    <w:rsid w:val="00943FAE"/>
    <w:rsid w:val="00943FBB"/>
    <w:rsid w:val="0094403A"/>
    <w:rsid w:val="0094406C"/>
    <w:rsid w:val="00944095"/>
    <w:rsid w:val="009440C4"/>
    <w:rsid w:val="009440E2"/>
    <w:rsid w:val="00944123"/>
    <w:rsid w:val="00944157"/>
    <w:rsid w:val="009441E0"/>
    <w:rsid w:val="00944210"/>
    <w:rsid w:val="009442D4"/>
    <w:rsid w:val="009442F3"/>
    <w:rsid w:val="00944371"/>
    <w:rsid w:val="009443A5"/>
    <w:rsid w:val="009443EA"/>
    <w:rsid w:val="00944457"/>
    <w:rsid w:val="00944496"/>
    <w:rsid w:val="009444C3"/>
    <w:rsid w:val="009444C6"/>
    <w:rsid w:val="009444D5"/>
    <w:rsid w:val="009444F9"/>
    <w:rsid w:val="0094454E"/>
    <w:rsid w:val="00944552"/>
    <w:rsid w:val="009445CF"/>
    <w:rsid w:val="00944601"/>
    <w:rsid w:val="0094460E"/>
    <w:rsid w:val="0094461F"/>
    <w:rsid w:val="00944627"/>
    <w:rsid w:val="0094463E"/>
    <w:rsid w:val="00944657"/>
    <w:rsid w:val="0094465D"/>
    <w:rsid w:val="00944687"/>
    <w:rsid w:val="009446C6"/>
    <w:rsid w:val="0094472B"/>
    <w:rsid w:val="00944743"/>
    <w:rsid w:val="00944764"/>
    <w:rsid w:val="00944785"/>
    <w:rsid w:val="009447B3"/>
    <w:rsid w:val="009447B7"/>
    <w:rsid w:val="009447C8"/>
    <w:rsid w:val="009447DE"/>
    <w:rsid w:val="00944877"/>
    <w:rsid w:val="009448A9"/>
    <w:rsid w:val="00944902"/>
    <w:rsid w:val="009449BA"/>
    <w:rsid w:val="009449CB"/>
    <w:rsid w:val="00944A25"/>
    <w:rsid w:val="00944A2E"/>
    <w:rsid w:val="00944A4F"/>
    <w:rsid w:val="00944AAC"/>
    <w:rsid w:val="00944B1D"/>
    <w:rsid w:val="00944B1F"/>
    <w:rsid w:val="00944B52"/>
    <w:rsid w:val="00944C34"/>
    <w:rsid w:val="00944CD1"/>
    <w:rsid w:val="00944D38"/>
    <w:rsid w:val="00944D8E"/>
    <w:rsid w:val="00944DA9"/>
    <w:rsid w:val="00944DD8"/>
    <w:rsid w:val="00944DEE"/>
    <w:rsid w:val="00944E2C"/>
    <w:rsid w:val="00944EE5"/>
    <w:rsid w:val="00944F09"/>
    <w:rsid w:val="00944F60"/>
    <w:rsid w:val="00944F6D"/>
    <w:rsid w:val="00944F8E"/>
    <w:rsid w:val="00944FA2"/>
    <w:rsid w:val="0094501E"/>
    <w:rsid w:val="0094502F"/>
    <w:rsid w:val="009450E2"/>
    <w:rsid w:val="00945105"/>
    <w:rsid w:val="00945173"/>
    <w:rsid w:val="0094519F"/>
    <w:rsid w:val="009451CC"/>
    <w:rsid w:val="00945217"/>
    <w:rsid w:val="00945290"/>
    <w:rsid w:val="009452E9"/>
    <w:rsid w:val="00945363"/>
    <w:rsid w:val="00945435"/>
    <w:rsid w:val="0094549D"/>
    <w:rsid w:val="009455B5"/>
    <w:rsid w:val="009455DF"/>
    <w:rsid w:val="0094561A"/>
    <w:rsid w:val="009456BB"/>
    <w:rsid w:val="009457F6"/>
    <w:rsid w:val="0094588B"/>
    <w:rsid w:val="009458A6"/>
    <w:rsid w:val="009458CF"/>
    <w:rsid w:val="0094598C"/>
    <w:rsid w:val="0094599C"/>
    <w:rsid w:val="009459E4"/>
    <w:rsid w:val="009459E5"/>
    <w:rsid w:val="00945A03"/>
    <w:rsid w:val="00945A1A"/>
    <w:rsid w:val="00945A32"/>
    <w:rsid w:val="00945A70"/>
    <w:rsid w:val="00945A76"/>
    <w:rsid w:val="00945B2D"/>
    <w:rsid w:val="00945B81"/>
    <w:rsid w:val="00945BB0"/>
    <w:rsid w:val="00945BE7"/>
    <w:rsid w:val="00945C09"/>
    <w:rsid w:val="00945C0E"/>
    <w:rsid w:val="00945C32"/>
    <w:rsid w:val="00945C65"/>
    <w:rsid w:val="00945C7A"/>
    <w:rsid w:val="00945D24"/>
    <w:rsid w:val="00945DED"/>
    <w:rsid w:val="00945E01"/>
    <w:rsid w:val="00945E59"/>
    <w:rsid w:val="00945E67"/>
    <w:rsid w:val="00945E6F"/>
    <w:rsid w:val="00945E79"/>
    <w:rsid w:val="00945E7B"/>
    <w:rsid w:val="00945EA3"/>
    <w:rsid w:val="00945F5E"/>
    <w:rsid w:val="00945FFE"/>
    <w:rsid w:val="00946034"/>
    <w:rsid w:val="009460BB"/>
    <w:rsid w:val="009460D9"/>
    <w:rsid w:val="00946119"/>
    <w:rsid w:val="00946137"/>
    <w:rsid w:val="00946173"/>
    <w:rsid w:val="00946176"/>
    <w:rsid w:val="009461BD"/>
    <w:rsid w:val="009461C4"/>
    <w:rsid w:val="009461E2"/>
    <w:rsid w:val="009462B1"/>
    <w:rsid w:val="009462BF"/>
    <w:rsid w:val="00946362"/>
    <w:rsid w:val="0094637A"/>
    <w:rsid w:val="009464A3"/>
    <w:rsid w:val="009465BA"/>
    <w:rsid w:val="009465C6"/>
    <w:rsid w:val="009465DB"/>
    <w:rsid w:val="009465E9"/>
    <w:rsid w:val="00946644"/>
    <w:rsid w:val="00946655"/>
    <w:rsid w:val="00946673"/>
    <w:rsid w:val="00946690"/>
    <w:rsid w:val="009466A3"/>
    <w:rsid w:val="00946752"/>
    <w:rsid w:val="0094675C"/>
    <w:rsid w:val="00946791"/>
    <w:rsid w:val="009467BE"/>
    <w:rsid w:val="009467E2"/>
    <w:rsid w:val="009467F9"/>
    <w:rsid w:val="00946823"/>
    <w:rsid w:val="0094683F"/>
    <w:rsid w:val="0094684E"/>
    <w:rsid w:val="009468E7"/>
    <w:rsid w:val="0094697A"/>
    <w:rsid w:val="009469CB"/>
    <w:rsid w:val="00946A0A"/>
    <w:rsid w:val="00946A18"/>
    <w:rsid w:val="00946A52"/>
    <w:rsid w:val="00946B5A"/>
    <w:rsid w:val="00946B8C"/>
    <w:rsid w:val="00946BAA"/>
    <w:rsid w:val="00946BC3"/>
    <w:rsid w:val="00946C33"/>
    <w:rsid w:val="00946C55"/>
    <w:rsid w:val="00946CCE"/>
    <w:rsid w:val="00946CF2"/>
    <w:rsid w:val="00946D0A"/>
    <w:rsid w:val="00946D5C"/>
    <w:rsid w:val="00946D64"/>
    <w:rsid w:val="00946D81"/>
    <w:rsid w:val="00946DBA"/>
    <w:rsid w:val="00946E76"/>
    <w:rsid w:val="00946EA1"/>
    <w:rsid w:val="00946EBB"/>
    <w:rsid w:val="00946EBE"/>
    <w:rsid w:val="00946EC8"/>
    <w:rsid w:val="00946EEB"/>
    <w:rsid w:val="00946F23"/>
    <w:rsid w:val="00946F91"/>
    <w:rsid w:val="00946F96"/>
    <w:rsid w:val="00946FFF"/>
    <w:rsid w:val="00947040"/>
    <w:rsid w:val="0094710E"/>
    <w:rsid w:val="00947142"/>
    <w:rsid w:val="0094719F"/>
    <w:rsid w:val="009472AE"/>
    <w:rsid w:val="009472EF"/>
    <w:rsid w:val="00947423"/>
    <w:rsid w:val="00947469"/>
    <w:rsid w:val="0094746E"/>
    <w:rsid w:val="00947476"/>
    <w:rsid w:val="00947526"/>
    <w:rsid w:val="0094755B"/>
    <w:rsid w:val="009475E8"/>
    <w:rsid w:val="009476E1"/>
    <w:rsid w:val="00947702"/>
    <w:rsid w:val="00947789"/>
    <w:rsid w:val="0094778E"/>
    <w:rsid w:val="009477AE"/>
    <w:rsid w:val="0094780E"/>
    <w:rsid w:val="0094783F"/>
    <w:rsid w:val="009478D5"/>
    <w:rsid w:val="00947994"/>
    <w:rsid w:val="0094799F"/>
    <w:rsid w:val="009479AB"/>
    <w:rsid w:val="00947A88"/>
    <w:rsid w:val="00947A8E"/>
    <w:rsid w:val="00947AC8"/>
    <w:rsid w:val="00947BCB"/>
    <w:rsid w:val="00947BFD"/>
    <w:rsid w:val="00947CBC"/>
    <w:rsid w:val="00947CEF"/>
    <w:rsid w:val="00947D1D"/>
    <w:rsid w:val="00947D78"/>
    <w:rsid w:val="00947DEF"/>
    <w:rsid w:val="00947E21"/>
    <w:rsid w:val="00947E6C"/>
    <w:rsid w:val="00947E77"/>
    <w:rsid w:val="00947EC7"/>
    <w:rsid w:val="00947ED0"/>
    <w:rsid w:val="00947F08"/>
    <w:rsid w:val="00947F8A"/>
    <w:rsid w:val="00950028"/>
    <w:rsid w:val="0095003E"/>
    <w:rsid w:val="00950069"/>
    <w:rsid w:val="00950072"/>
    <w:rsid w:val="00950084"/>
    <w:rsid w:val="009500F0"/>
    <w:rsid w:val="00950115"/>
    <w:rsid w:val="0095011D"/>
    <w:rsid w:val="00950183"/>
    <w:rsid w:val="00950272"/>
    <w:rsid w:val="00950363"/>
    <w:rsid w:val="00950367"/>
    <w:rsid w:val="00950401"/>
    <w:rsid w:val="00950411"/>
    <w:rsid w:val="00950475"/>
    <w:rsid w:val="009504DD"/>
    <w:rsid w:val="009504FB"/>
    <w:rsid w:val="0095051A"/>
    <w:rsid w:val="00950554"/>
    <w:rsid w:val="00950562"/>
    <w:rsid w:val="00950627"/>
    <w:rsid w:val="00950669"/>
    <w:rsid w:val="0095074A"/>
    <w:rsid w:val="00950786"/>
    <w:rsid w:val="00950797"/>
    <w:rsid w:val="00950808"/>
    <w:rsid w:val="00950838"/>
    <w:rsid w:val="0095092A"/>
    <w:rsid w:val="0095096E"/>
    <w:rsid w:val="00950986"/>
    <w:rsid w:val="0095098D"/>
    <w:rsid w:val="00950A6E"/>
    <w:rsid w:val="00950B3B"/>
    <w:rsid w:val="00950B55"/>
    <w:rsid w:val="00950B6E"/>
    <w:rsid w:val="00950BD1"/>
    <w:rsid w:val="00950C0D"/>
    <w:rsid w:val="00950C58"/>
    <w:rsid w:val="00950C66"/>
    <w:rsid w:val="00950C8A"/>
    <w:rsid w:val="00950CA4"/>
    <w:rsid w:val="00950CCD"/>
    <w:rsid w:val="00950E1C"/>
    <w:rsid w:val="00950E91"/>
    <w:rsid w:val="00950EA1"/>
    <w:rsid w:val="00950FB0"/>
    <w:rsid w:val="00951089"/>
    <w:rsid w:val="0095112D"/>
    <w:rsid w:val="00951161"/>
    <w:rsid w:val="0095129B"/>
    <w:rsid w:val="009513CF"/>
    <w:rsid w:val="009513E0"/>
    <w:rsid w:val="00951420"/>
    <w:rsid w:val="00951573"/>
    <w:rsid w:val="009515DB"/>
    <w:rsid w:val="009515F6"/>
    <w:rsid w:val="00951652"/>
    <w:rsid w:val="00951779"/>
    <w:rsid w:val="009517C4"/>
    <w:rsid w:val="00951860"/>
    <w:rsid w:val="00951873"/>
    <w:rsid w:val="0095187E"/>
    <w:rsid w:val="009518A5"/>
    <w:rsid w:val="009518BC"/>
    <w:rsid w:val="009518BD"/>
    <w:rsid w:val="009518DF"/>
    <w:rsid w:val="0095195C"/>
    <w:rsid w:val="00951967"/>
    <w:rsid w:val="0095196C"/>
    <w:rsid w:val="00951A3B"/>
    <w:rsid w:val="00951A8B"/>
    <w:rsid w:val="00951B2D"/>
    <w:rsid w:val="00951BD0"/>
    <w:rsid w:val="00951BD4"/>
    <w:rsid w:val="00951C03"/>
    <w:rsid w:val="00951C43"/>
    <w:rsid w:val="00951CC1"/>
    <w:rsid w:val="00951CE3"/>
    <w:rsid w:val="00951D58"/>
    <w:rsid w:val="00951D97"/>
    <w:rsid w:val="00951DE3"/>
    <w:rsid w:val="00951DE6"/>
    <w:rsid w:val="00951DF9"/>
    <w:rsid w:val="00951E0B"/>
    <w:rsid w:val="00951EDE"/>
    <w:rsid w:val="00951EF1"/>
    <w:rsid w:val="00951EFB"/>
    <w:rsid w:val="00951F05"/>
    <w:rsid w:val="00951F5A"/>
    <w:rsid w:val="00951FB3"/>
    <w:rsid w:val="00951FE5"/>
    <w:rsid w:val="00951FFB"/>
    <w:rsid w:val="00952017"/>
    <w:rsid w:val="00952053"/>
    <w:rsid w:val="0095206F"/>
    <w:rsid w:val="00952193"/>
    <w:rsid w:val="009521B1"/>
    <w:rsid w:val="0095223A"/>
    <w:rsid w:val="0095227B"/>
    <w:rsid w:val="0095229C"/>
    <w:rsid w:val="009522B8"/>
    <w:rsid w:val="0095240C"/>
    <w:rsid w:val="00952415"/>
    <w:rsid w:val="00952478"/>
    <w:rsid w:val="00952486"/>
    <w:rsid w:val="00952566"/>
    <w:rsid w:val="00952597"/>
    <w:rsid w:val="009525CC"/>
    <w:rsid w:val="00952659"/>
    <w:rsid w:val="009526A8"/>
    <w:rsid w:val="009526BA"/>
    <w:rsid w:val="009526ED"/>
    <w:rsid w:val="009526F4"/>
    <w:rsid w:val="0095270B"/>
    <w:rsid w:val="00952785"/>
    <w:rsid w:val="009527A2"/>
    <w:rsid w:val="009527CC"/>
    <w:rsid w:val="0095282A"/>
    <w:rsid w:val="00952845"/>
    <w:rsid w:val="009528D0"/>
    <w:rsid w:val="009528DD"/>
    <w:rsid w:val="0095292F"/>
    <w:rsid w:val="00952944"/>
    <w:rsid w:val="00952946"/>
    <w:rsid w:val="00952949"/>
    <w:rsid w:val="009529A0"/>
    <w:rsid w:val="00952A17"/>
    <w:rsid w:val="00952A69"/>
    <w:rsid w:val="00952AB1"/>
    <w:rsid w:val="00952AD2"/>
    <w:rsid w:val="00952AF3"/>
    <w:rsid w:val="00952B12"/>
    <w:rsid w:val="00952BF7"/>
    <w:rsid w:val="00952C88"/>
    <w:rsid w:val="00952CFD"/>
    <w:rsid w:val="00952D31"/>
    <w:rsid w:val="00952D39"/>
    <w:rsid w:val="00952DB1"/>
    <w:rsid w:val="00952E69"/>
    <w:rsid w:val="00952E6B"/>
    <w:rsid w:val="00952ECF"/>
    <w:rsid w:val="00952EE5"/>
    <w:rsid w:val="00952F08"/>
    <w:rsid w:val="00952F50"/>
    <w:rsid w:val="00952F5F"/>
    <w:rsid w:val="00952F8E"/>
    <w:rsid w:val="0095301A"/>
    <w:rsid w:val="009530BA"/>
    <w:rsid w:val="009530DB"/>
    <w:rsid w:val="00953252"/>
    <w:rsid w:val="0095326C"/>
    <w:rsid w:val="00953296"/>
    <w:rsid w:val="0095332C"/>
    <w:rsid w:val="00953335"/>
    <w:rsid w:val="009533E0"/>
    <w:rsid w:val="00953411"/>
    <w:rsid w:val="00953413"/>
    <w:rsid w:val="00953425"/>
    <w:rsid w:val="00953441"/>
    <w:rsid w:val="009534FD"/>
    <w:rsid w:val="0095350B"/>
    <w:rsid w:val="00953595"/>
    <w:rsid w:val="009536EC"/>
    <w:rsid w:val="00953726"/>
    <w:rsid w:val="00953729"/>
    <w:rsid w:val="009537C4"/>
    <w:rsid w:val="009537FA"/>
    <w:rsid w:val="0095384E"/>
    <w:rsid w:val="0095395A"/>
    <w:rsid w:val="00953975"/>
    <w:rsid w:val="0095398E"/>
    <w:rsid w:val="00953996"/>
    <w:rsid w:val="00953A19"/>
    <w:rsid w:val="00953A53"/>
    <w:rsid w:val="00953B6F"/>
    <w:rsid w:val="00953BED"/>
    <w:rsid w:val="00953BFF"/>
    <w:rsid w:val="00953CAD"/>
    <w:rsid w:val="00953CFE"/>
    <w:rsid w:val="00953D0B"/>
    <w:rsid w:val="00953D0C"/>
    <w:rsid w:val="00953D26"/>
    <w:rsid w:val="00953DD0"/>
    <w:rsid w:val="00953E20"/>
    <w:rsid w:val="00953E92"/>
    <w:rsid w:val="00953EE2"/>
    <w:rsid w:val="00953EF5"/>
    <w:rsid w:val="00953F34"/>
    <w:rsid w:val="00953FBF"/>
    <w:rsid w:val="0095402D"/>
    <w:rsid w:val="00954141"/>
    <w:rsid w:val="00954152"/>
    <w:rsid w:val="00954169"/>
    <w:rsid w:val="009541BD"/>
    <w:rsid w:val="009541D0"/>
    <w:rsid w:val="00954212"/>
    <w:rsid w:val="00954248"/>
    <w:rsid w:val="009542B2"/>
    <w:rsid w:val="0095430A"/>
    <w:rsid w:val="00954345"/>
    <w:rsid w:val="00954368"/>
    <w:rsid w:val="009543D4"/>
    <w:rsid w:val="00954402"/>
    <w:rsid w:val="00954433"/>
    <w:rsid w:val="009544C8"/>
    <w:rsid w:val="00954524"/>
    <w:rsid w:val="0095467A"/>
    <w:rsid w:val="009546D7"/>
    <w:rsid w:val="009546DC"/>
    <w:rsid w:val="00954708"/>
    <w:rsid w:val="0095473B"/>
    <w:rsid w:val="00954883"/>
    <w:rsid w:val="0095488A"/>
    <w:rsid w:val="0095491F"/>
    <w:rsid w:val="0095494C"/>
    <w:rsid w:val="00954956"/>
    <w:rsid w:val="0095495F"/>
    <w:rsid w:val="00954960"/>
    <w:rsid w:val="00954990"/>
    <w:rsid w:val="009549B0"/>
    <w:rsid w:val="00954A3E"/>
    <w:rsid w:val="00954A42"/>
    <w:rsid w:val="00954AD0"/>
    <w:rsid w:val="00954B3F"/>
    <w:rsid w:val="00954BB0"/>
    <w:rsid w:val="00954C09"/>
    <w:rsid w:val="00954C4A"/>
    <w:rsid w:val="00954C66"/>
    <w:rsid w:val="00954D25"/>
    <w:rsid w:val="00954D78"/>
    <w:rsid w:val="00954DD9"/>
    <w:rsid w:val="00954DF6"/>
    <w:rsid w:val="00954E72"/>
    <w:rsid w:val="00954E7F"/>
    <w:rsid w:val="00954E88"/>
    <w:rsid w:val="00954EBB"/>
    <w:rsid w:val="00954FB5"/>
    <w:rsid w:val="00954FEB"/>
    <w:rsid w:val="009550A7"/>
    <w:rsid w:val="00955117"/>
    <w:rsid w:val="009551C1"/>
    <w:rsid w:val="009551C3"/>
    <w:rsid w:val="009551E7"/>
    <w:rsid w:val="00955210"/>
    <w:rsid w:val="00955266"/>
    <w:rsid w:val="00955286"/>
    <w:rsid w:val="0095528B"/>
    <w:rsid w:val="00955396"/>
    <w:rsid w:val="0095541B"/>
    <w:rsid w:val="0095542F"/>
    <w:rsid w:val="00955449"/>
    <w:rsid w:val="00955464"/>
    <w:rsid w:val="0095546A"/>
    <w:rsid w:val="00955489"/>
    <w:rsid w:val="009554A6"/>
    <w:rsid w:val="009554F6"/>
    <w:rsid w:val="00955547"/>
    <w:rsid w:val="009555C3"/>
    <w:rsid w:val="009555E2"/>
    <w:rsid w:val="009555E8"/>
    <w:rsid w:val="00955612"/>
    <w:rsid w:val="00955681"/>
    <w:rsid w:val="009556CE"/>
    <w:rsid w:val="0095570C"/>
    <w:rsid w:val="0095571B"/>
    <w:rsid w:val="009557B4"/>
    <w:rsid w:val="00955812"/>
    <w:rsid w:val="009558A2"/>
    <w:rsid w:val="00955901"/>
    <w:rsid w:val="00955905"/>
    <w:rsid w:val="00955909"/>
    <w:rsid w:val="009559D2"/>
    <w:rsid w:val="00955A30"/>
    <w:rsid w:val="00955A37"/>
    <w:rsid w:val="00955A4B"/>
    <w:rsid w:val="00955A76"/>
    <w:rsid w:val="00955AC1"/>
    <w:rsid w:val="00955ADF"/>
    <w:rsid w:val="00955B17"/>
    <w:rsid w:val="00955B64"/>
    <w:rsid w:val="00955BAA"/>
    <w:rsid w:val="00955BC7"/>
    <w:rsid w:val="00955BFF"/>
    <w:rsid w:val="00955C3F"/>
    <w:rsid w:val="00955C74"/>
    <w:rsid w:val="00955CD0"/>
    <w:rsid w:val="00955D37"/>
    <w:rsid w:val="00955D80"/>
    <w:rsid w:val="00955DF2"/>
    <w:rsid w:val="00955F08"/>
    <w:rsid w:val="00955F4D"/>
    <w:rsid w:val="00956024"/>
    <w:rsid w:val="00956027"/>
    <w:rsid w:val="00956114"/>
    <w:rsid w:val="0095616E"/>
    <w:rsid w:val="009561AB"/>
    <w:rsid w:val="009561C8"/>
    <w:rsid w:val="009561E8"/>
    <w:rsid w:val="009561F5"/>
    <w:rsid w:val="0095622B"/>
    <w:rsid w:val="009562E6"/>
    <w:rsid w:val="00956392"/>
    <w:rsid w:val="00956402"/>
    <w:rsid w:val="0095643D"/>
    <w:rsid w:val="00956485"/>
    <w:rsid w:val="0095650E"/>
    <w:rsid w:val="0095651C"/>
    <w:rsid w:val="00956556"/>
    <w:rsid w:val="00956562"/>
    <w:rsid w:val="00956563"/>
    <w:rsid w:val="009565A5"/>
    <w:rsid w:val="0095660E"/>
    <w:rsid w:val="00956638"/>
    <w:rsid w:val="009566FB"/>
    <w:rsid w:val="00956748"/>
    <w:rsid w:val="009567DC"/>
    <w:rsid w:val="0095682E"/>
    <w:rsid w:val="00956890"/>
    <w:rsid w:val="00956987"/>
    <w:rsid w:val="009569BE"/>
    <w:rsid w:val="009569EB"/>
    <w:rsid w:val="00956A48"/>
    <w:rsid w:val="00956A5C"/>
    <w:rsid w:val="00956A5F"/>
    <w:rsid w:val="00956AD0"/>
    <w:rsid w:val="00956BA4"/>
    <w:rsid w:val="00956CB4"/>
    <w:rsid w:val="00956D12"/>
    <w:rsid w:val="00956D44"/>
    <w:rsid w:val="00956D6F"/>
    <w:rsid w:val="00956D8A"/>
    <w:rsid w:val="00956E42"/>
    <w:rsid w:val="00956E85"/>
    <w:rsid w:val="00956F61"/>
    <w:rsid w:val="009570A9"/>
    <w:rsid w:val="009570D7"/>
    <w:rsid w:val="0095712B"/>
    <w:rsid w:val="00957144"/>
    <w:rsid w:val="0095725C"/>
    <w:rsid w:val="00957286"/>
    <w:rsid w:val="009572BB"/>
    <w:rsid w:val="009573BB"/>
    <w:rsid w:val="009573F7"/>
    <w:rsid w:val="00957424"/>
    <w:rsid w:val="0095745A"/>
    <w:rsid w:val="00957463"/>
    <w:rsid w:val="00957483"/>
    <w:rsid w:val="00957486"/>
    <w:rsid w:val="009574B7"/>
    <w:rsid w:val="009574DF"/>
    <w:rsid w:val="00957531"/>
    <w:rsid w:val="009575BD"/>
    <w:rsid w:val="0095760C"/>
    <w:rsid w:val="00957647"/>
    <w:rsid w:val="00957669"/>
    <w:rsid w:val="0095769C"/>
    <w:rsid w:val="0095770D"/>
    <w:rsid w:val="00957730"/>
    <w:rsid w:val="00957734"/>
    <w:rsid w:val="00957753"/>
    <w:rsid w:val="00957775"/>
    <w:rsid w:val="00957788"/>
    <w:rsid w:val="009577A1"/>
    <w:rsid w:val="009577B2"/>
    <w:rsid w:val="00957815"/>
    <w:rsid w:val="009578C5"/>
    <w:rsid w:val="009578E8"/>
    <w:rsid w:val="00957932"/>
    <w:rsid w:val="009579DA"/>
    <w:rsid w:val="009579E5"/>
    <w:rsid w:val="00957B14"/>
    <w:rsid w:val="00957B59"/>
    <w:rsid w:val="00957BDF"/>
    <w:rsid w:val="00957C2C"/>
    <w:rsid w:val="00957C71"/>
    <w:rsid w:val="00957C78"/>
    <w:rsid w:val="00957D3A"/>
    <w:rsid w:val="00957DCE"/>
    <w:rsid w:val="00957E24"/>
    <w:rsid w:val="00957E8E"/>
    <w:rsid w:val="00957F01"/>
    <w:rsid w:val="00957F95"/>
    <w:rsid w:val="00957FB7"/>
    <w:rsid w:val="00957FC8"/>
    <w:rsid w:val="00957FD0"/>
    <w:rsid w:val="00957FEB"/>
    <w:rsid w:val="00960032"/>
    <w:rsid w:val="00960122"/>
    <w:rsid w:val="00960150"/>
    <w:rsid w:val="00960171"/>
    <w:rsid w:val="009601BB"/>
    <w:rsid w:val="009601E0"/>
    <w:rsid w:val="00960213"/>
    <w:rsid w:val="009602FC"/>
    <w:rsid w:val="00960360"/>
    <w:rsid w:val="00960361"/>
    <w:rsid w:val="009603D6"/>
    <w:rsid w:val="009603EB"/>
    <w:rsid w:val="0096040C"/>
    <w:rsid w:val="0096042E"/>
    <w:rsid w:val="00960435"/>
    <w:rsid w:val="00960462"/>
    <w:rsid w:val="00960479"/>
    <w:rsid w:val="009604C1"/>
    <w:rsid w:val="0096050A"/>
    <w:rsid w:val="00960624"/>
    <w:rsid w:val="00960641"/>
    <w:rsid w:val="00960657"/>
    <w:rsid w:val="00960706"/>
    <w:rsid w:val="0096075D"/>
    <w:rsid w:val="009607FA"/>
    <w:rsid w:val="009607FD"/>
    <w:rsid w:val="00960898"/>
    <w:rsid w:val="00960971"/>
    <w:rsid w:val="009609D0"/>
    <w:rsid w:val="009609E7"/>
    <w:rsid w:val="00960A4B"/>
    <w:rsid w:val="00960AD9"/>
    <w:rsid w:val="00960BBF"/>
    <w:rsid w:val="00960BC7"/>
    <w:rsid w:val="00960BCE"/>
    <w:rsid w:val="00960BD4"/>
    <w:rsid w:val="00960BE6"/>
    <w:rsid w:val="00960BE9"/>
    <w:rsid w:val="00960C2C"/>
    <w:rsid w:val="00960CC8"/>
    <w:rsid w:val="00960D23"/>
    <w:rsid w:val="00960DCF"/>
    <w:rsid w:val="00960E22"/>
    <w:rsid w:val="00960E2F"/>
    <w:rsid w:val="00960EA5"/>
    <w:rsid w:val="00960F53"/>
    <w:rsid w:val="00960F58"/>
    <w:rsid w:val="00960FBE"/>
    <w:rsid w:val="00960FC0"/>
    <w:rsid w:val="00960FE1"/>
    <w:rsid w:val="0096106D"/>
    <w:rsid w:val="0096109F"/>
    <w:rsid w:val="009610E4"/>
    <w:rsid w:val="009611A0"/>
    <w:rsid w:val="009611B7"/>
    <w:rsid w:val="009611BC"/>
    <w:rsid w:val="009611CA"/>
    <w:rsid w:val="00961251"/>
    <w:rsid w:val="009612F5"/>
    <w:rsid w:val="00961345"/>
    <w:rsid w:val="00961354"/>
    <w:rsid w:val="0096146C"/>
    <w:rsid w:val="009616B2"/>
    <w:rsid w:val="00961872"/>
    <w:rsid w:val="00961906"/>
    <w:rsid w:val="009619BD"/>
    <w:rsid w:val="009619D1"/>
    <w:rsid w:val="009619D5"/>
    <w:rsid w:val="00961A54"/>
    <w:rsid w:val="00961AFE"/>
    <w:rsid w:val="00961B2F"/>
    <w:rsid w:val="00961BAB"/>
    <w:rsid w:val="00961C08"/>
    <w:rsid w:val="00961CB8"/>
    <w:rsid w:val="00961CD0"/>
    <w:rsid w:val="00961D57"/>
    <w:rsid w:val="00961D87"/>
    <w:rsid w:val="00961D88"/>
    <w:rsid w:val="00961DB8"/>
    <w:rsid w:val="00961E2A"/>
    <w:rsid w:val="00961E46"/>
    <w:rsid w:val="00961F60"/>
    <w:rsid w:val="00962046"/>
    <w:rsid w:val="00962084"/>
    <w:rsid w:val="00962196"/>
    <w:rsid w:val="00962234"/>
    <w:rsid w:val="00962388"/>
    <w:rsid w:val="009623E1"/>
    <w:rsid w:val="009623F9"/>
    <w:rsid w:val="00962431"/>
    <w:rsid w:val="00962482"/>
    <w:rsid w:val="009624B3"/>
    <w:rsid w:val="00962575"/>
    <w:rsid w:val="0096271C"/>
    <w:rsid w:val="0096277A"/>
    <w:rsid w:val="00962839"/>
    <w:rsid w:val="00962850"/>
    <w:rsid w:val="00962877"/>
    <w:rsid w:val="009628E0"/>
    <w:rsid w:val="009628E5"/>
    <w:rsid w:val="009628F0"/>
    <w:rsid w:val="00962913"/>
    <w:rsid w:val="0096292C"/>
    <w:rsid w:val="009629DE"/>
    <w:rsid w:val="009629EB"/>
    <w:rsid w:val="00962A22"/>
    <w:rsid w:val="00962A24"/>
    <w:rsid w:val="00962B4C"/>
    <w:rsid w:val="00962BBD"/>
    <w:rsid w:val="00962C19"/>
    <w:rsid w:val="00962CA2"/>
    <w:rsid w:val="00962DD4"/>
    <w:rsid w:val="00962F96"/>
    <w:rsid w:val="00962FB6"/>
    <w:rsid w:val="00963082"/>
    <w:rsid w:val="009630DF"/>
    <w:rsid w:val="0096313A"/>
    <w:rsid w:val="00963185"/>
    <w:rsid w:val="0096319C"/>
    <w:rsid w:val="009631D8"/>
    <w:rsid w:val="00963239"/>
    <w:rsid w:val="009633D0"/>
    <w:rsid w:val="00963488"/>
    <w:rsid w:val="009634E4"/>
    <w:rsid w:val="009634EC"/>
    <w:rsid w:val="009635BF"/>
    <w:rsid w:val="009635F1"/>
    <w:rsid w:val="009635F7"/>
    <w:rsid w:val="0096370B"/>
    <w:rsid w:val="009637A4"/>
    <w:rsid w:val="009637D3"/>
    <w:rsid w:val="00963820"/>
    <w:rsid w:val="00963A02"/>
    <w:rsid w:val="00963A83"/>
    <w:rsid w:val="00963AA5"/>
    <w:rsid w:val="00963B0C"/>
    <w:rsid w:val="00963B4A"/>
    <w:rsid w:val="00963C47"/>
    <w:rsid w:val="00963D0E"/>
    <w:rsid w:val="00963D37"/>
    <w:rsid w:val="00963D6A"/>
    <w:rsid w:val="00963DB5"/>
    <w:rsid w:val="00963DE7"/>
    <w:rsid w:val="00963E8C"/>
    <w:rsid w:val="00963ED0"/>
    <w:rsid w:val="00963ED2"/>
    <w:rsid w:val="00963EDD"/>
    <w:rsid w:val="00963FBB"/>
    <w:rsid w:val="00963FEB"/>
    <w:rsid w:val="0096403B"/>
    <w:rsid w:val="009640EC"/>
    <w:rsid w:val="0096410E"/>
    <w:rsid w:val="00964180"/>
    <w:rsid w:val="00964184"/>
    <w:rsid w:val="00964280"/>
    <w:rsid w:val="0096441F"/>
    <w:rsid w:val="00964464"/>
    <w:rsid w:val="009644BE"/>
    <w:rsid w:val="0096452B"/>
    <w:rsid w:val="0096455A"/>
    <w:rsid w:val="009645A7"/>
    <w:rsid w:val="00964725"/>
    <w:rsid w:val="0096472F"/>
    <w:rsid w:val="00964868"/>
    <w:rsid w:val="00964896"/>
    <w:rsid w:val="009648C5"/>
    <w:rsid w:val="00964920"/>
    <w:rsid w:val="0096492C"/>
    <w:rsid w:val="00964A33"/>
    <w:rsid w:val="00964AA3"/>
    <w:rsid w:val="00964AAF"/>
    <w:rsid w:val="00964B30"/>
    <w:rsid w:val="00964B5F"/>
    <w:rsid w:val="00964BAB"/>
    <w:rsid w:val="00964BAE"/>
    <w:rsid w:val="00964BF8"/>
    <w:rsid w:val="00964C4D"/>
    <w:rsid w:val="00964C84"/>
    <w:rsid w:val="00964CF0"/>
    <w:rsid w:val="00964D4E"/>
    <w:rsid w:val="00964DA2"/>
    <w:rsid w:val="00964DD2"/>
    <w:rsid w:val="00964E1B"/>
    <w:rsid w:val="00964E1E"/>
    <w:rsid w:val="00964E5C"/>
    <w:rsid w:val="00964E83"/>
    <w:rsid w:val="00964E95"/>
    <w:rsid w:val="00964EAD"/>
    <w:rsid w:val="00964F14"/>
    <w:rsid w:val="0096516B"/>
    <w:rsid w:val="009651CC"/>
    <w:rsid w:val="00965344"/>
    <w:rsid w:val="0096534D"/>
    <w:rsid w:val="0096536D"/>
    <w:rsid w:val="0096536F"/>
    <w:rsid w:val="00965371"/>
    <w:rsid w:val="009653EE"/>
    <w:rsid w:val="0096542B"/>
    <w:rsid w:val="00965454"/>
    <w:rsid w:val="009654A1"/>
    <w:rsid w:val="009654C6"/>
    <w:rsid w:val="009654E2"/>
    <w:rsid w:val="009654EE"/>
    <w:rsid w:val="0096551B"/>
    <w:rsid w:val="00965583"/>
    <w:rsid w:val="00965602"/>
    <w:rsid w:val="0096561B"/>
    <w:rsid w:val="00965706"/>
    <w:rsid w:val="0096571D"/>
    <w:rsid w:val="0096572B"/>
    <w:rsid w:val="00965748"/>
    <w:rsid w:val="0096579E"/>
    <w:rsid w:val="00965810"/>
    <w:rsid w:val="00965836"/>
    <w:rsid w:val="0096586D"/>
    <w:rsid w:val="009658D8"/>
    <w:rsid w:val="00965911"/>
    <w:rsid w:val="00965919"/>
    <w:rsid w:val="00965964"/>
    <w:rsid w:val="00965991"/>
    <w:rsid w:val="009659F0"/>
    <w:rsid w:val="00965AA3"/>
    <w:rsid w:val="00965ADE"/>
    <w:rsid w:val="00965B23"/>
    <w:rsid w:val="00965B3A"/>
    <w:rsid w:val="00965B61"/>
    <w:rsid w:val="00965C12"/>
    <w:rsid w:val="00965CF1"/>
    <w:rsid w:val="00965D5E"/>
    <w:rsid w:val="00965E10"/>
    <w:rsid w:val="00965E14"/>
    <w:rsid w:val="00965E88"/>
    <w:rsid w:val="00965EDE"/>
    <w:rsid w:val="00965F74"/>
    <w:rsid w:val="00966006"/>
    <w:rsid w:val="0096602F"/>
    <w:rsid w:val="00966046"/>
    <w:rsid w:val="0096604C"/>
    <w:rsid w:val="00966074"/>
    <w:rsid w:val="00966093"/>
    <w:rsid w:val="009660BA"/>
    <w:rsid w:val="00966159"/>
    <w:rsid w:val="00966278"/>
    <w:rsid w:val="0096629A"/>
    <w:rsid w:val="009662D5"/>
    <w:rsid w:val="009662E2"/>
    <w:rsid w:val="009662F7"/>
    <w:rsid w:val="0096640F"/>
    <w:rsid w:val="00966415"/>
    <w:rsid w:val="00966466"/>
    <w:rsid w:val="009664DC"/>
    <w:rsid w:val="00966539"/>
    <w:rsid w:val="009665DD"/>
    <w:rsid w:val="009665FA"/>
    <w:rsid w:val="00966743"/>
    <w:rsid w:val="0096674D"/>
    <w:rsid w:val="00966764"/>
    <w:rsid w:val="00966790"/>
    <w:rsid w:val="00966797"/>
    <w:rsid w:val="00966808"/>
    <w:rsid w:val="0096683F"/>
    <w:rsid w:val="00966890"/>
    <w:rsid w:val="0096692E"/>
    <w:rsid w:val="009669D7"/>
    <w:rsid w:val="009669E0"/>
    <w:rsid w:val="00966BA5"/>
    <w:rsid w:val="00966C15"/>
    <w:rsid w:val="00966C5A"/>
    <w:rsid w:val="00966C66"/>
    <w:rsid w:val="00966D14"/>
    <w:rsid w:val="00966D29"/>
    <w:rsid w:val="00966D4A"/>
    <w:rsid w:val="00966DB1"/>
    <w:rsid w:val="00966F63"/>
    <w:rsid w:val="00966F74"/>
    <w:rsid w:val="0096703D"/>
    <w:rsid w:val="00967074"/>
    <w:rsid w:val="009670B3"/>
    <w:rsid w:val="009670E8"/>
    <w:rsid w:val="0096716C"/>
    <w:rsid w:val="009671B0"/>
    <w:rsid w:val="009671BA"/>
    <w:rsid w:val="0096720A"/>
    <w:rsid w:val="0096721F"/>
    <w:rsid w:val="0096725C"/>
    <w:rsid w:val="00967314"/>
    <w:rsid w:val="00967389"/>
    <w:rsid w:val="009673C8"/>
    <w:rsid w:val="009673E6"/>
    <w:rsid w:val="009673F1"/>
    <w:rsid w:val="0096741C"/>
    <w:rsid w:val="009674BE"/>
    <w:rsid w:val="0096750D"/>
    <w:rsid w:val="00967558"/>
    <w:rsid w:val="0096755E"/>
    <w:rsid w:val="00967659"/>
    <w:rsid w:val="00967702"/>
    <w:rsid w:val="00967769"/>
    <w:rsid w:val="009677F0"/>
    <w:rsid w:val="00967832"/>
    <w:rsid w:val="00967889"/>
    <w:rsid w:val="0096788C"/>
    <w:rsid w:val="009678BF"/>
    <w:rsid w:val="009678CC"/>
    <w:rsid w:val="009678E5"/>
    <w:rsid w:val="0096796D"/>
    <w:rsid w:val="0096797B"/>
    <w:rsid w:val="00967A65"/>
    <w:rsid w:val="00967AB0"/>
    <w:rsid w:val="00967AD1"/>
    <w:rsid w:val="00967B3E"/>
    <w:rsid w:val="00967B47"/>
    <w:rsid w:val="00967C2B"/>
    <w:rsid w:val="00967C4C"/>
    <w:rsid w:val="00967D51"/>
    <w:rsid w:val="00967DA8"/>
    <w:rsid w:val="00967DEC"/>
    <w:rsid w:val="00967E35"/>
    <w:rsid w:val="00967E49"/>
    <w:rsid w:val="00967EDA"/>
    <w:rsid w:val="00967F81"/>
    <w:rsid w:val="0096B9CA"/>
    <w:rsid w:val="00970019"/>
    <w:rsid w:val="009700C0"/>
    <w:rsid w:val="009700C3"/>
    <w:rsid w:val="009700F3"/>
    <w:rsid w:val="00970109"/>
    <w:rsid w:val="00970164"/>
    <w:rsid w:val="00970171"/>
    <w:rsid w:val="00970193"/>
    <w:rsid w:val="00970203"/>
    <w:rsid w:val="00970284"/>
    <w:rsid w:val="0097035B"/>
    <w:rsid w:val="009703C8"/>
    <w:rsid w:val="009704FF"/>
    <w:rsid w:val="0097052D"/>
    <w:rsid w:val="00970609"/>
    <w:rsid w:val="00970640"/>
    <w:rsid w:val="00970659"/>
    <w:rsid w:val="009706AA"/>
    <w:rsid w:val="009706D5"/>
    <w:rsid w:val="009706DF"/>
    <w:rsid w:val="00970727"/>
    <w:rsid w:val="00970743"/>
    <w:rsid w:val="009707CF"/>
    <w:rsid w:val="009707E3"/>
    <w:rsid w:val="00970834"/>
    <w:rsid w:val="00970845"/>
    <w:rsid w:val="009708C2"/>
    <w:rsid w:val="00970950"/>
    <w:rsid w:val="009709A5"/>
    <w:rsid w:val="009709DE"/>
    <w:rsid w:val="00970A06"/>
    <w:rsid w:val="00970A09"/>
    <w:rsid w:val="00970A66"/>
    <w:rsid w:val="00970A80"/>
    <w:rsid w:val="00970B06"/>
    <w:rsid w:val="00970B8F"/>
    <w:rsid w:val="00970C79"/>
    <w:rsid w:val="00970CB6"/>
    <w:rsid w:val="00970D0C"/>
    <w:rsid w:val="00970D53"/>
    <w:rsid w:val="00970D98"/>
    <w:rsid w:val="00970DB8"/>
    <w:rsid w:val="00970E7F"/>
    <w:rsid w:val="00970EDF"/>
    <w:rsid w:val="00970F08"/>
    <w:rsid w:val="00970F76"/>
    <w:rsid w:val="00970F7D"/>
    <w:rsid w:val="00970FB1"/>
    <w:rsid w:val="00970FF3"/>
    <w:rsid w:val="0097101B"/>
    <w:rsid w:val="00971091"/>
    <w:rsid w:val="009711CD"/>
    <w:rsid w:val="0097122E"/>
    <w:rsid w:val="00971282"/>
    <w:rsid w:val="0097128D"/>
    <w:rsid w:val="0097130F"/>
    <w:rsid w:val="00971338"/>
    <w:rsid w:val="00971352"/>
    <w:rsid w:val="009713A5"/>
    <w:rsid w:val="009713C2"/>
    <w:rsid w:val="009713DC"/>
    <w:rsid w:val="009714B8"/>
    <w:rsid w:val="009714DD"/>
    <w:rsid w:val="0097150E"/>
    <w:rsid w:val="00971578"/>
    <w:rsid w:val="0097159A"/>
    <w:rsid w:val="00971698"/>
    <w:rsid w:val="009716BC"/>
    <w:rsid w:val="009716D5"/>
    <w:rsid w:val="00971724"/>
    <w:rsid w:val="00971895"/>
    <w:rsid w:val="009718D3"/>
    <w:rsid w:val="009718FE"/>
    <w:rsid w:val="00971971"/>
    <w:rsid w:val="00971996"/>
    <w:rsid w:val="009719CB"/>
    <w:rsid w:val="009719E3"/>
    <w:rsid w:val="00971A1A"/>
    <w:rsid w:val="00971A3B"/>
    <w:rsid w:val="00971AA5"/>
    <w:rsid w:val="00971AAE"/>
    <w:rsid w:val="00971AD2"/>
    <w:rsid w:val="00971B0B"/>
    <w:rsid w:val="00971BA0"/>
    <w:rsid w:val="00971BBC"/>
    <w:rsid w:val="00971BF5"/>
    <w:rsid w:val="00971BFB"/>
    <w:rsid w:val="00971CA9"/>
    <w:rsid w:val="00971CAF"/>
    <w:rsid w:val="00971D0A"/>
    <w:rsid w:val="00971D36"/>
    <w:rsid w:val="00971D5B"/>
    <w:rsid w:val="00971DEA"/>
    <w:rsid w:val="00971E76"/>
    <w:rsid w:val="00971F99"/>
    <w:rsid w:val="00971FAF"/>
    <w:rsid w:val="00971FC9"/>
    <w:rsid w:val="00971FE3"/>
    <w:rsid w:val="00972032"/>
    <w:rsid w:val="0097206F"/>
    <w:rsid w:val="0097207C"/>
    <w:rsid w:val="00972183"/>
    <w:rsid w:val="009721AB"/>
    <w:rsid w:val="0097221D"/>
    <w:rsid w:val="0097224F"/>
    <w:rsid w:val="0097226A"/>
    <w:rsid w:val="0097234D"/>
    <w:rsid w:val="00972355"/>
    <w:rsid w:val="0097239A"/>
    <w:rsid w:val="009723A0"/>
    <w:rsid w:val="009723E1"/>
    <w:rsid w:val="00972433"/>
    <w:rsid w:val="00972466"/>
    <w:rsid w:val="00972469"/>
    <w:rsid w:val="00972478"/>
    <w:rsid w:val="0097248F"/>
    <w:rsid w:val="009724FB"/>
    <w:rsid w:val="00972517"/>
    <w:rsid w:val="009725DC"/>
    <w:rsid w:val="00972627"/>
    <w:rsid w:val="00972664"/>
    <w:rsid w:val="00972665"/>
    <w:rsid w:val="0097266B"/>
    <w:rsid w:val="009726B6"/>
    <w:rsid w:val="009726F4"/>
    <w:rsid w:val="00972731"/>
    <w:rsid w:val="009727B0"/>
    <w:rsid w:val="009727DD"/>
    <w:rsid w:val="00972829"/>
    <w:rsid w:val="00972840"/>
    <w:rsid w:val="0097289C"/>
    <w:rsid w:val="00972910"/>
    <w:rsid w:val="00972930"/>
    <w:rsid w:val="00972939"/>
    <w:rsid w:val="0097293E"/>
    <w:rsid w:val="0097294B"/>
    <w:rsid w:val="0097294D"/>
    <w:rsid w:val="00972955"/>
    <w:rsid w:val="00972978"/>
    <w:rsid w:val="009729E2"/>
    <w:rsid w:val="00972A2F"/>
    <w:rsid w:val="00972A3A"/>
    <w:rsid w:val="00972A47"/>
    <w:rsid w:val="00972A5E"/>
    <w:rsid w:val="00972C23"/>
    <w:rsid w:val="00972C25"/>
    <w:rsid w:val="00972C40"/>
    <w:rsid w:val="00972C9E"/>
    <w:rsid w:val="00972CB6"/>
    <w:rsid w:val="00972CC0"/>
    <w:rsid w:val="00972CE5"/>
    <w:rsid w:val="00972D70"/>
    <w:rsid w:val="00972D7F"/>
    <w:rsid w:val="00972DD6"/>
    <w:rsid w:val="00972E3B"/>
    <w:rsid w:val="00972E4C"/>
    <w:rsid w:val="00972E92"/>
    <w:rsid w:val="00972EFD"/>
    <w:rsid w:val="00972F2F"/>
    <w:rsid w:val="00972FA4"/>
    <w:rsid w:val="00972FAA"/>
    <w:rsid w:val="00972FCA"/>
    <w:rsid w:val="00972FF5"/>
    <w:rsid w:val="00973055"/>
    <w:rsid w:val="0097306C"/>
    <w:rsid w:val="00973115"/>
    <w:rsid w:val="0097313E"/>
    <w:rsid w:val="00973145"/>
    <w:rsid w:val="00973158"/>
    <w:rsid w:val="0097315A"/>
    <w:rsid w:val="009731D0"/>
    <w:rsid w:val="0097321D"/>
    <w:rsid w:val="00973243"/>
    <w:rsid w:val="00973264"/>
    <w:rsid w:val="00973287"/>
    <w:rsid w:val="009732AD"/>
    <w:rsid w:val="009733AE"/>
    <w:rsid w:val="00973439"/>
    <w:rsid w:val="009734CA"/>
    <w:rsid w:val="0097352D"/>
    <w:rsid w:val="00973532"/>
    <w:rsid w:val="00973582"/>
    <w:rsid w:val="009735AE"/>
    <w:rsid w:val="009735FC"/>
    <w:rsid w:val="009736A9"/>
    <w:rsid w:val="009736E3"/>
    <w:rsid w:val="009736E8"/>
    <w:rsid w:val="009736F7"/>
    <w:rsid w:val="00973791"/>
    <w:rsid w:val="009737B4"/>
    <w:rsid w:val="00973867"/>
    <w:rsid w:val="009738AF"/>
    <w:rsid w:val="009738F9"/>
    <w:rsid w:val="00973961"/>
    <w:rsid w:val="009739A4"/>
    <w:rsid w:val="009739F6"/>
    <w:rsid w:val="00973A2B"/>
    <w:rsid w:val="00973A32"/>
    <w:rsid w:val="00973AFA"/>
    <w:rsid w:val="00973B11"/>
    <w:rsid w:val="00973B40"/>
    <w:rsid w:val="00973BA3"/>
    <w:rsid w:val="00973BEB"/>
    <w:rsid w:val="00973BFB"/>
    <w:rsid w:val="00973C3A"/>
    <w:rsid w:val="00973C81"/>
    <w:rsid w:val="00973CCE"/>
    <w:rsid w:val="00973D55"/>
    <w:rsid w:val="00973DE6"/>
    <w:rsid w:val="00973E29"/>
    <w:rsid w:val="00973E53"/>
    <w:rsid w:val="00973F24"/>
    <w:rsid w:val="00973F7C"/>
    <w:rsid w:val="00973F8E"/>
    <w:rsid w:val="0097403F"/>
    <w:rsid w:val="0097408C"/>
    <w:rsid w:val="00974107"/>
    <w:rsid w:val="00974243"/>
    <w:rsid w:val="0097426B"/>
    <w:rsid w:val="009742AD"/>
    <w:rsid w:val="009742FC"/>
    <w:rsid w:val="00974304"/>
    <w:rsid w:val="00974478"/>
    <w:rsid w:val="009744C3"/>
    <w:rsid w:val="009744F7"/>
    <w:rsid w:val="009745AF"/>
    <w:rsid w:val="009745D0"/>
    <w:rsid w:val="009745D6"/>
    <w:rsid w:val="00974684"/>
    <w:rsid w:val="009746BA"/>
    <w:rsid w:val="00974729"/>
    <w:rsid w:val="0097474F"/>
    <w:rsid w:val="0097478C"/>
    <w:rsid w:val="009748BF"/>
    <w:rsid w:val="00974927"/>
    <w:rsid w:val="0097494F"/>
    <w:rsid w:val="0097495C"/>
    <w:rsid w:val="009749A1"/>
    <w:rsid w:val="00974A92"/>
    <w:rsid w:val="00974AA9"/>
    <w:rsid w:val="00974AAF"/>
    <w:rsid w:val="00974ADB"/>
    <w:rsid w:val="00974ADF"/>
    <w:rsid w:val="00974B2D"/>
    <w:rsid w:val="00974B32"/>
    <w:rsid w:val="00974B7D"/>
    <w:rsid w:val="00974BA3"/>
    <w:rsid w:val="00974BA6"/>
    <w:rsid w:val="00974BB0"/>
    <w:rsid w:val="00974C27"/>
    <w:rsid w:val="00974C74"/>
    <w:rsid w:val="00974C88"/>
    <w:rsid w:val="00974C8B"/>
    <w:rsid w:val="00974CA0"/>
    <w:rsid w:val="00974D28"/>
    <w:rsid w:val="00974E4A"/>
    <w:rsid w:val="00974E8C"/>
    <w:rsid w:val="00974EBA"/>
    <w:rsid w:val="00974F2F"/>
    <w:rsid w:val="00974F30"/>
    <w:rsid w:val="00974F61"/>
    <w:rsid w:val="00974F89"/>
    <w:rsid w:val="00974FA4"/>
    <w:rsid w:val="00975009"/>
    <w:rsid w:val="0097509C"/>
    <w:rsid w:val="009750C9"/>
    <w:rsid w:val="00975109"/>
    <w:rsid w:val="0097517B"/>
    <w:rsid w:val="00975180"/>
    <w:rsid w:val="009751E8"/>
    <w:rsid w:val="009751EB"/>
    <w:rsid w:val="009751F0"/>
    <w:rsid w:val="00975203"/>
    <w:rsid w:val="0097520C"/>
    <w:rsid w:val="0097522F"/>
    <w:rsid w:val="00975333"/>
    <w:rsid w:val="0097535D"/>
    <w:rsid w:val="009753A4"/>
    <w:rsid w:val="009753E0"/>
    <w:rsid w:val="00975419"/>
    <w:rsid w:val="00975472"/>
    <w:rsid w:val="00975475"/>
    <w:rsid w:val="0097550A"/>
    <w:rsid w:val="00975580"/>
    <w:rsid w:val="009755E1"/>
    <w:rsid w:val="0097560F"/>
    <w:rsid w:val="00975616"/>
    <w:rsid w:val="0097563A"/>
    <w:rsid w:val="00975640"/>
    <w:rsid w:val="00975715"/>
    <w:rsid w:val="0097572E"/>
    <w:rsid w:val="009757BB"/>
    <w:rsid w:val="0097586E"/>
    <w:rsid w:val="009758CB"/>
    <w:rsid w:val="009758DC"/>
    <w:rsid w:val="00975988"/>
    <w:rsid w:val="00975A22"/>
    <w:rsid w:val="00975A82"/>
    <w:rsid w:val="00975A86"/>
    <w:rsid w:val="00975AAE"/>
    <w:rsid w:val="00975AE9"/>
    <w:rsid w:val="00975AFF"/>
    <w:rsid w:val="00975B21"/>
    <w:rsid w:val="00975C1F"/>
    <w:rsid w:val="00975D3F"/>
    <w:rsid w:val="00975E2E"/>
    <w:rsid w:val="00975EEA"/>
    <w:rsid w:val="00975EEF"/>
    <w:rsid w:val="00975F23"/>
    <w:rsid w:val="00975FCB"/>
    <w:rsid w:val="00975FDA"/>
    <w:rsid w:val="00975FEC"/>
    <w:rsid w:val="00976030"/>
    <w:rsid w:val="00976063"/>
    <w:rsid w:val="0097617D"/>
    <w:rsid w:val="0097622B"/>
    <w:rsid w:val="00976242"/>
    <w:rsid w:val="009762A2"/>
    <w:rsid w:val="009762B8"/>
    <w:rsid w:val="00976366"/>
    <w:rsid w:val="00976390"/>
    <w:rsid w:val="009763B2"/>
    <w:rsid w:val="009763D5"/>
    <w:rsid w:val="009763E0"/>
    <w:rsid w:val="009763EF"/>
    <w:rsid w:val="009763F4"/>
    <w:rsid w:val="0097647A"/>
    <w:rsid w:val="00976488"/>
    <w:rsid w:val="009764DF"/>
    <w:rsid w:val="00976549"/>
    <w:rsid w:val="009765E0"/>
    <w:rsid w:val="0097668A"/>
    <w:rsid w:val="009767E4"/>
    <w:rsid w:val="00976849"/>
    <w:rsid w:val="00976856"/>
    <w:rsid w:val="00976950"/>
    <w:rsid w:val="0097697C"/>
    <w:rsid w:val="00976A49"/>
    <w:rsid w:val="00976A96"/>
    <w:rsid w:val="00976AEB"/>
    <w:rsid w:val="00976BF6"/>
    <w:rsid w:val="00976C5C"/>
    <w:rsid w:val="00976CCD"/>
    <w:rsid w:val="00976CF1"/>
    <w:rsid w:val="00976D16"/>
    <w:rsid w:val="00976D1D"/>
    <w:rsid w:val="00976D21"/>
    <w:rsid w:val="00976D27"/>
    <w:rsid w:val="00976DB7"/>
    <w:rsid w:val="00976E3C"/>
    <w:rsid w:val="00976E92"/>
    <w:rsid w:val="00976EBC"/>
    <w:rsid w:val="00976EDF"/>
    <w:rsid w:val="00976F21"/>
    <w:rsid w:val="00976F75"/>
    <w:rsid w:val="00976FB6"/>
    <w:rsid w:val="00977019"/>
    <w:rsid w:val="0097711C"/>
    <w:rsid w:val="00977151"/>
    <w:rsid w:val="00977172"/>
    <w:rsid w:val="009771B2"/>
    <w:rsid w:val="009771E3"/>
    <w:rsid w:val="00977286"/>
    <w:rsid w:val="009772A2"/>
    <w:rsid w:val="009772F9"/>
    <w:rsid w:val="0097731B"/>
    <w:rsid w:val="0097733B"/>
    <w:rsid w:val="0097736B"/>
    <w:rsid w:val="00977384"/>
    <w:rsid w:val="009773A5"/>
    <w:rsid w:val="0097747B"/>
    <w:rsid w:val="009774AE"/>
    <w:rsid w:val="009774B1"/>
    <w:rsid w:val="009774D6"/>
    <w:rsid w:val="0097750C"/>
    <w:rsid w:val="009775AD"/>
    <w:rsid w:val="009775CC"/>
    <w:rsid w:val="009775D1"/>
    <w:rsid w:val="009775DC"/>
    <w:rsid w:val="00977604"/>
    <w:rsid w:val="00977682"/>
    <w:rsid w:val="009776CE"/>
    <w:rsid w:val="009776DC"/>
    <w:rsid w:val="009776E5"/>
    <w:rsid w:val="0097775C"/>
    <w:rsid w:val="0097779B"/>
    <w:rsid w:val="009777C8"/>
    <w:rsid w:val="0097789A"/>
    <w:rsid w:val="00977997"/>
    <w:rsid w:val="00977A73"/>
    <w:rsid w:val="00977A98"/>
    <w:rsid w:val="00977AF6"/>
    <w:rsid w:val="00977B06"/>
    <w:rsid w:val="00977B20"/>
    <w:rsid w:val="00977B25"/>
    <w:rsid w:val="00977B44"/>
    <w:rsid w:val="00977B4C"/>
    <w:rsid w:val="00977BCB"/>
    <w:rsid w:val="00977C00"/>
    <w:rsid w:val="00977C50"/>
    <w:rsid w:val="00977CCC"/>
    <w:rsid w:val="00977D06"/>
    <w:rsid w:val="00977D0F"/>
    <w:rsid w:val="00977D62"/>
    <w:rsid w:val="00977D93"/>
    <w:rsid w:val="00977E36"/>
    <w:rsid w:val="00977E3D"/>
    <w:rsid w:val="00977E72"/>
    <w:rsid w:val="00977F6A"/>
    <w:rsid w:val="00977FE6"/>
    <w:rsid w:val="00977FE7"/>
    <w:rsid w:val="0098005A"/>
    <w:rsid w:val="00980072"/>
    <w:rsid w:val="00980097"/>
    <w:rsid w:val="009800A1"/>
    <w:rsid w:val="009800AF"/>
    <w:rsid w:val="009800B7"/>
    <w:rsid w:val="009800E6"/>
    <w:rsid w:val="00980106"/>
    <w:rsid w:val="009801D1"/>
    <w:rsid w:val="009801F8"/>
    <w:rsid w:val="0098029F"/>
    <w:rsid w:val="009802D6"/>
    <w:rsid w:val="009802E9"/>
    <w:rsid w:val="009803DC"/>
    <w:rsid w:val="00980400"/>
    <w:rsid w:val="00980437"/>
    <w:rsid w:val="00980447"/>
    <w:rsid w:val="009804E8"/>
    <w:rsid w:val="00980536"/>
    <w:rsid w:val="0098055F"/>
    <w:rsid w:val="00980565"/>
    <w:rsid w:val="009805BA"/>
    <w:rsid w:val="0098060B"/>
    <w:rsid w:val="00980635"/>
    <w:rsid w:val="00980638"/>
    <w:rsid w:val="0098064F"/>
    <w:rsid w:val="00980659"/>
    <w:rsid w:val="0098066E"/>
    <w:rsid w:val="00980671"/>
    <w:rsid w:val="009806AD"/>
    <w:rsid w:val="00980738"/>
    <w:rsid w:val="009807B9"/>
    <w:rsid w:val="00980805"/>
    <w:rsid w:val="00980823"/>
    <w:rsid w:val="00980829"/>
    <w:rsid w:val="009808F8"/>
    <w:rsid w:val="0098094B"/>
    <w:rsid w:val="009809CC"/>
    <w:rsid w:val="00980A39"/>
    <w:rsid w:val="00980A55"/>
    <w:rsid w:val="00980B6E"/>
    <w:rsid w:val="00980C12"/>
    <w:rsid w:val="00980C47"/>
    <w:rsid w:val="00980D05"/>
    <w:rsid w:val="00980D1D"/>
    <w:rsid w:val="00980D99"/>
    <w:rsid w:val="00980DDA"/>
    <w:rsid w:val="00980ECA"/>
    <w:rsid w:val="00980EE6"/>
    <w:rsid w:val="00980FE3"/>
    <w:rsid w:val="00981007"/>
    <w:rsid w:val="009810FF"/>
    <w:rsid w:val="009811BB"/>
    <w:rsid w:val="009811D5"/>
    <w:rsid w:val="00981224"/>
    <w:rsid w:val="0098122A"/>
    <w:rsid w:val="0098124C"/>
    <w:rsid w:val="00981265"/>
    <w:rsid w:val="0098128D"/>
    <w:rsid w:val="009812DE"/>
    <w:rsid w:val="0098133B"/>
    <w:rsid w:val="0098134E"/>
    <w:rsid w:val="0098139D"/>
    <w:rsid w:val="009813FA"/>
    <w:rsid w:val="009814A4"/>
    <w:rsid w:val="009814DF"/>
    <w:rsid w:val="0098152C"/>
    <w:rsid w:val="00981565"/>
    <w:rsid w:val="00981569"/>
    <w:rsid w:val="0098156E"/>
    <w:rsid w:val="009815C8"/>
    <w:rsid w:val="0098163C"/>
    <w:rsid w:val="00981643"/>
    <w:rsid w:val="00981674"/>
    <w:rsid w:val="009816A3"/>
    <w:rsid w:val="00981776"/>
    <w:rsid w:val="0098178E"/>
    <w:rsid w:val="009817DB"/>
    <w:rsid w:val="0098186B"/>
    <w:rsid w:val="009818AF"/>
    <w:rsid w:val="009818D9"/>
    <w:rsid w:val="00981AD7"/>
    <w:rsid w:val="00981BCA"/>
    <w:rsid w:val="00981BCF"/>
    <w:rsid w:val="00981BF9"/>
    <w:rsid w:val="00981C14"/>
    <w:rsid w:val="00981C22"/>
    <w:rsid w:val="00981C72"/>
    <w:rsid w:val="00981C7E"/>
    <w:rsid w:val="00981E05"/>
    <w:rsid w:val="00981E1C"/>
    <w:rsid w:val="00981E37"/>
    <w:rsid w:val="00981EEC"/>
    <w:rsid w:val="00981F8A"/>
    <w:rsid w:val="00982045"/>
    <w:rsid w:val="00982080"/>
    <w:rsid w:val="0098208E"/>
    <w:rsid w:val="00982118"/>
    <w:rsid w:val="0098217C"/>
    <w:rsid w:val="00982207"/>
    <w:rsid w:val="009822B2"/>
    <w:rsid w:val="009822D3"/>
    <w:rsid w:val="0098231B"/>
    <w:rsid w:val="00982334"/>
    <w:rsid w:val="009823D9"/>
    <w:rsid w:val="0098245F"/>
    <w:rsid w:val="009824D4"/>
    <w:rsid w:val="009825ED"/>
    <w:rsid w:val="00982645"/>
    <w:rsid w:val="009826BF"/>
    <w:rsid w:val="009826EF"/>
    <w:rsid w:val="00982763"/>
    <w:rsid w:val="009827FA"/>
    <w:rsid w:val="00982828"/>
    <w:rsid w:val="0098288D"/>
    <w:rsid w:val="00982899"/>
    <w:rsid w:val="0098289E"/>
    <w:rsid w:val="009828B3"/>
    <w:rsid w:val="00982924"/>
    <w:rsid w:val="00982953"/>
    <w:rsid w:val="0098298C"/>
    <w:rsid w:val="009829DA"/>
    <w:rsid w:val="009829DD"/>
    <w:rsid w:val="00982A9F"/>
    <w:rsid w:val="00982B12"/>
    <w:rsid w:val="00982B7E"/>
    <w:rsid w:val="00982B8E"/>
    <w:rsid w:val="00982BB1"/>
    <w:rsid w:val="00982BB7"/>
    <w:rsid w:val="00982BE4"/>
    <w:rsid w:val="00982C4A"/>
    <w:rsid w:val="00982CF0"/>
    <w:rsid w:val="00982CF1"/>
    <w:rsid w:val="00982D9A"/>
    <w:rsid w:val="00982DD5"/>
    <w:rsid w:val="00982DD8"/>
    <w:rsid w:val="00982DE5"/>
    <w:rsid w:val="00982DF0"/>
    <w:rsid w:val="00982E1B"/>
    <w:rsid w:val="00982E26"/>
    <w:rsid w:val="00982E2E"/>
    <w:rsid w:val="00982E81"/>
    <w:rsid w:val="00982EEC"/>
    <w:rsid w:val="00982F0C"/>
    <w:rsid w:val="00982F59"/>
    <w:rsid w:val="00983057"/>
    <w:rsid w:val="0098308F"/>
    <w:rsid w:val="009830B5"/>
    <w:rsid w:val="009830D4"/>
    <w:rsid w:val="00983136"/>
    <w:rsid w:val="009831D1"/>
    <w:rsid w:val="0098323C"/>
    <w:rsid w:val="009832BE"/>
    <w:rsid w:val="009832C5"/>
    <w:rsid w:val="009833DC"/>
    <w:rsid w:val="00983417"/>
    <w:rsid w:val="00983429"/>
    <w:rsid w:val="009834B1"/>
    <w:rsid w:val="009834E1"/>
    <w:rsid w:val="00983566"/>
    <w:rsid w:val="009835D2"/>
    <w:rsid w:val="0098365F"/>
    <w:rsid w:val="00983715"/>
    <w:rsid w:val="00983737"/>
    <w:rsid w:val="00983743"/>
    <w:rsid w:val="00983748"/>
    <w:rsid w:val="009837F1"/>
    <w:rsid w:val="00983893"/>
    <w:rsid w:val="009838F9"/>
    <w:rsid w:val="0098392A"/>
    <w:rsid w:val="009839B2"/>
    <w:rsid w:val="009839FF"/>
    <w:rsid w:val="00983A41"/>
    <w:rsid w:val="00983AF4"/>
    <w:rsid w:val="00983B5E"/>
    <w:rsid w:val="00983B68"/>
    <w:rsid w:val="00983BA1"/>
    <w:rsid w:val="00983BCC"/>
    <w:rsid w:val="00983C64"/>
    <w:rsid w:val="00983C6E"/>
    <w:rsid w:val="00983DA4"/>
    <w:rsid w:val="00983DED"/>
    <w:rsid w:val="00983F9C"/>
    <w:rsid w:val="0098400F"/>
    <w:rsid w:val="00984167"/>
    <w:rsid w:val="009841DA"/>
    <w:rsid w:val="009841FB"/>
    <w:rsid w:val="00984260"/>
    <w:rsid w:val="0098428C"/>
    <w:rsid w:val="009842C9"/>
    <w:rsid w:val="0098430A"/>
    <w:rsid w:val="00984317"/>
    <w:rsid w:val="0098433D"/>
    <w:rsid w:val="0098435D"/>
    <w:rsid w:val="009843BF"/>
    <w:rsid w:val="00984416"/>
    <w:rsid w:val="00984436"/>
    <w:rsid w:val="0098443D"/>
    <w:rsid w:val="0098445D"/>
    <w:rsid w:val="00984499"/>
    <w:rsid w:val="009844B7"/>
    <w:rsid w:val="009844F8"/>
    <w:rsid w:val="00984625"/>
    <w:rsid w:val="0098464D"/>
    <w:rsid w:val="009846CE"/>
    <w:rsid w:val="009846E2"/>
    <w:rsid w:val="009846E8"/>
    <w:rsid w:val="00984712"/>
    <w:rsid w:val="0098472A"/>
    <w:rsid w:val="00984737"/>
    <w:rsid w:val="00984781"/>
    <w:rsid w:val="009847A4"/>
    <w:rsid w:val="009847F7"/>
    <w:rsid w:val="0098481A"/>
    <w:rsid w:val="00984870"/>
    <w:rsid w:val="009848CA"/>
    <w:rsid w:val="009848EA"/>
    <w:rsid w:val="00984BA8"/>
    <w:rsid w:val="00984C56"/>
    <w:rsid w:val="00984C79"/>
    <w:rsid w:val="00984CB3"/>
    <w:rsid w:val="00984CD4"/>
    <w:rsid w:val="00984D89"/>
    <w:rsid w:val="00984D8C"/>
    <w:rsid w:val="00984D91"/>
    <w:rsid w:val="00984D9D"/>
    <w:rsid w:val="00984DA2"/>
    <w:rsid w:val="00984E56"/>
    <w:rsid w:val="00984EBF"/>
    <w:rsid w:val="00984EE4"/>
    <w:rsid w:val="00984EEA"/>
    <w:rsid w:val="00984EEB"/>
    <w:rsid w:val="00984F49"/>
    <w:rsid w:val="00984FC7"/>
    <w:rsid w:val="00984FDF"/>
    <w:rsid w:val="00984FFD"/>
    <w:rsid w:val="00985004"/>
    <w:rsid w:val="00985009"/>
    <w:rsid w:val="00985017"/>
    <w:rsid w:val="009850A4"/>
    <w:rsid w:val="009851FE"/>
    <w:rsid w:val="00985231"/>
    <w:rsid w:val="00985252"/>
    <w:rsid w:val="009852D7"/>
    <w:rsid w:val="009852FB"/>
    <w:rsid w:val="00985308"/>
    <w:rsid w:val="0098537F"/>
    <w:rsid w:val="009853D8"/>
    <w:rsid w:val="009853F0"/>
    <w:rsid w:val="00985409"/>
    <w:rsid w:val="00985452"/>
    <w:rsid w:val="00985455"/>
    <w:rsid w:val="00985534"/>
    <w:rsid w:val="00985589"/>
    <w:rsid w:val="009855A0"/>
    <w:rsid w:val="00985610"/>
    <w:rsid w:val="0098564A"/>
    <w:rsid w:val="00985679"/>
    <w:rsid w:val="009856A5"/>
    <w:rsid w:val="0098577C"/>
    <w:rsid w:val="009857F2"/>
    <w:rsid w:val="00985813"/>
    <w:rsid w:val="00985832"/>
    <w:rsid w:val="00985879"/>
    <w:rsid w:val="009858A0"/>
    <w:rsid w:val="009858B6"/>
    <w:rsid w:val="009858C6"/>
    <w:rsid w:val="009858EE"/>
    <w:rsid w:val="00985929"/>
    <w:rsid w:val="0098598A"/>
    <w:rsid w:val="00985A15"/>
    <w:rsid w:val="00985A5B"/>
    <w:rsid w:val="00985A90"/>
    <w:rsid w:val="00985ADC"/>
    <w:rsid w:val="00985AEE"/>
    <w:rsid w:val="00985B6E"/>
    <w:rsid w:val="00985B70"/>
    <w:rsid w:val="00985BD7"/>
    <w:rsid w:val="00985C0C"/>
    <w:rsid w:val="00985C40"/>
    <w:rsid w:val="00985CD0"/>
    <w:rsid w:val="00985D23"/>
    <w:rsid w:val="00985E38"/>
    <w:rsid w:val="00985EE8"/>
    <w:rsid w:val="00985F16"/>
    <w:rsid w:val="00985F7B"/>
    <w:rsid w:val="00985F97"/>
    <w:rsid w:val="00985FEF"/>
    <w:rsid w:val="00986005"/>
    <w:rsid w:val="00986145"/>
    <w:rsid w:val="0098615A"/>
    <w:rsid w:val="00986185"/>
    <w:rsid w:val="0098628D"/>
    <w:rsid w:val="00986293"/>
    <w:rsid w:val="009862C5"/>
    <w:rsid w:val="0098630C"/>
    <w:rsid w:val="00986376"/>
    <w:rsid w:val="009863EE"/>
    <w:rsid w:val="00986432"/>
    <w:rsid w:val="00986448"/>
    <w:rsid w:val="00986485"/>
    <w:rsid w:val="009864D4"/>
    <w:rsid w:val="009864F5"/>
    <w:rsid w:val="00986506"/>
    <w:rsid w:val="0098652A"/>
    <w:rsid w:val="009865EF"/>
    <w:rsid w:val="009865F1"/>
    <w:rsid w:val="009866DC"/>
    <w:rsid w:val="00986740"/>
    <w:rsid w:val="0098675B"/>
    <w:rsid w:val="00986773"/>
    <w:rsid w:val="009867A4"/>
    <w:rsid w:val="009867D7"/>
    <w:rsid w:val="009867E6"/>
    <w:rsid w:val="009867E7"/>
    <w:rsid w:val="009868C8"/>
    <w:rsid w:val="00986933"/>
    <w:rsid w:val="0098696A"/>
    <w:rsid w:val="00986985"/>
    <w:rsid w:val="009869F9"/>
    <w:rsid w:val="00986A1D"/>
    <w:rsid w:val="00986A4C"/>
    <w:rsid w:val="00986A9F"/>
    <w:rsid w:val="00986ACF"/>
    <w:rsid w:val="00986B1D"/>
    <w:rsid w:val="00986BDA"/>
    <w:rsid w:val="00986CC2"/>
    <w:rsid w:val="00986CD1"/>
    <w:rsid w:val="00986D32"/>
    <w:rsid w:val="00986D86"/>
    <w:rsid w:val="00986DA6"/>
    <w:rsid w:val="00986E24"/>
    <w:rsid w:val="00986E62"/>
    <w:rsid w:val="00986E65"/>
    <w:rsid w:val="00986EDE"/>
    <w:rsid w:val="00986F75"/>
    <w:rsid w:val="00986F87"/>
    <w:rsid w:val="00986FAD"/>
    <w:rsid w:val="00986FB2"/>
    <w:rsid w:val="00986FE4"/>
    <w:rsid w:val="00986FF1"/>
    <w:rsid w:val="00987040"/>
    <w:rsid w:val="00987139"/>
    <w:rsid w:val="00987173"/>
    <w:rsid w:val="00987181"/>
    <w:rsid w:val="0098721F"/>
    <w:rsid w:val="009872E5"/>
    <w:rsid w:val="0098736B"/>
    <w:rsid w:val="009873A4"/>
    <w:rsid w:val="009873E2"/>
    <w:rsid w:val="00987426"/>
    <w:rsid w:val="00987481"/>
    <w:rsid w:val="00987484"/>
    <w:rsid w:val="009874F9"/>
    <w:rsid w:val="0098752F"/>
    <w:rsid w:val="00987560"/>
    <w:rsid w:val="00987570"/>
    <w:rsid w:val="009875B2"/>
    <w:rsid w:val="0098774D"/>
    <w:rsid w:val="00987866"/>
    <w:rsid w:val="0098789A"/>
    <w:rsid w:val="00987911"/>
    <w:rsid w:val="009879A2"/>
    <w:rsid w:val="009879AB"/>
    <w:rsid w:val="009879BF"/>
    <w:rsid w:val="009879C9"/>
    <w:rsid w:val="00987AD6"/>
    <w:rsid w:val="00987B0E"/>
    <w:rsid w:val="00987B99"/>
    <w:rsid w:val="00987BF7"/>
    <w:rsid w:val="00987C2D"/>
    <w:rsid w:val="00987C3C"/>
    <w:rsid w:val="00987C66"/>
    <w:rsid w:val="00987C74"/>
    <w:rsid w:val="00987C86"/>
    <w:rsid w:val="00987CD4"/>
    <w:rsid w:val="00987D8B"/>
    <w:rsid w:val="00987DEF"/>
    <w:rsid w:val="00987E0E"/>
    <w:rsid w:val="00987E27"/>
    <w:rsid w:val="00987E51"/>
    <w:rsid w:val="00987E72"/>
    <w:rsid w:val="00987EB5"/>
    <w:rsid w:val="00987EDC"/>
    <w:rsid w:val="00987EEA"/>
    <w:rsid w:val="00987F06"/>
    <w:rsid w:val="00987F0A"/>
    <w:rsid w:val="00987F6A"/>
    <w:rsid w:val="00987F8B"/>
    <w:rsid w:val="00987FF8"/>
    <w:rsid w:val="00987FFA"/>
    <w:rsid w:val="0099005F"/>
    <w:rsid w:val="0099009F"/>
    <w:rsid w:val="009900CC"/>
    <w:rsid w:val="009900F3"/>
    <w:rsid w:val="009901B2"/>
    <w:rsid w:val="00990208"/>
    <w:rsid w:val="0099027B"/>
    <w:rsid w:val="009902FA"/>
    <w:rsid w:val="009903ED"/>
    <w:rsid w:val="009903FC"/>
    <w:rsid w:val="00990403"/>
    <w:rsid w:val="00990453"/>
    <w:rsid w:val="009904A3"/>
    <w:rsid w:val="009904AD"/>
    <w:rsid w:val="009904C0"/>
    <w:rsid w:val="009904CF"/>
    <w:rsid w:val="009904EA"/>
    <w:rsid w:val="0099053C"/>
    <w:rsid w:val="009905D9"/>
    <w:rsid w:val="00990675"/>
    <w:rsid w:val="00990686"/>
    <w:rsid w:val="009906E4"/>
    <w:rsid w:val="00990761"/>
    <w:rsid w:val="00990795"/>
    <w:rsid w:val="00990796"/>
    <w:rsid w:val="0099079D"/>
    <w:rsid w:val="009907E7"/>
    <w:rsid w:val="00990822"/>
    <w:rsid w:val="009908EE"/>
    <w:rsid w:val="009908FF"/>
    <w:rsid w:val="0099098E"/>
    <w:rsid w:val="00990A01"/>
    <w:rsid w:val="00990A5B"/>
    <w:rsid w:val="00990A66"/>
    <w:rsid w:val="00990AAD"/>
    <w:rsid w:val="00990AF3"/>
    <w:rsid w:val="00990B56"/>
    <w:rsid w:val="00990B86"/>
    <w:rsid w:val="00990BD4"/>
    <w:rsid w:val="00990C22"/>
    <w:rsid w:val="00990C33"/>
    <w:rsid w:val="00990C66"/>
    <w:rsid w:val="00990C74"/>
    <w:rsid w:val="00990C85"/>
    <w:rsid w:val="00990CA4"/>
    <w:rsid w:val="00990CE7"/>
    <w:rsid w:val="00990CF4"/>
    <w:rsid w:val="00990D7C"/>
    <w:rsid w:val="00990DA1"/>
    <w:rsid w:val="00990DB9"/>
    <w:rsid w:val="00990DC5"/>
    <w:rsid w:val="00990DE4"/>
    <w:rsid w:val="00990DF8"/>
    <w:rsid w:val="00990DFE"/>
    <w:rsid w:val="00990EFE"/>
    <w:rsid w:val="00990F3F"/>
    <w:rsid w:val="00990F77"/>
    <w:rsid w:val="00990FB8"/>
    <w:rsid w:val="00991065"/>
    <w:rsid w:val="00991098"/>
    <w:rsid w:val="009910B8"/>
    <w:rsid w:val="0099110B"/>
    <w:rsid w:val="009911B8"/>
    <w:rsid w:val="00991269"/>
    <w:rsid w:val="00991282"/>
    <w:rsid w:val="009913B2"/>
    <w:rsid w:val="0099145B"/>
    <w:rsid w:val="00991469"/>
    <w:rsid w:val="00991480"/>
    <w:rsid w:val="009914E6"/>
    <w:rsid w:val="00991502"/>
    <w:rsid w:val="00991544"/>
    <w:rsid w:val="00991597"/>
    <w:rsid w:val="009915A2"/>
    <w:rsid w:val="009915C1"/>
    <w:rsid w:val="009915E2"/>
    <w:rsid w:val="00991613"/>
    <w:rsid w:val="009916A7"/>
    <w:rsid w:val="009916AD"/>
    <w:rsid w:val="009916E6"/>
    <w:rsid w:val="00991740"/>
    <w:rsid w:val="00991753"/>
    <w:rsid w:val="0099176A"/>
    <w:rsid w:val="00991858"/>
    <w:rsid w:val="009918C6"/>
    <w:rsid w:val="0099191A"/>
    <w:rsid w:val="00991A29"/>
    <w:rsid w:val="00991A55"/>
    <w:rsid w:val="00991A75"/>
    <w:rsid w:val="00991A9F"/>
    <w:rsid w:val="00991AB3"/>
    <w:rsid w:val="00991AC8"/>
    <w:rsid w:val="00991B4E"/>
    <w:rsid w:val="00991B70"/>
    <w:rsid w:val="00991BB0"/>
    <w:rsid w:val="00991C15"/>
    <w:rsid w:val="00991C89"/>
    <w:rsid w:val="00991CE7"/>
    <w:rsid w:val="00991CFB"/>
    <w:rsid w:val="00991D6F"/>
    <w:rsid w:val="00991D95"/>
    <w:rsid w:val="00991DA9"/>
    <w:rsid w:val="00991DBC"/>
    <w:rsid w:val="00991DC4"/>
    <w:rsid w:val="00991E38"/>
    <w:rsid w:val="00991E77"/>
    <w:rsid w:val="00991E7F"/>
    <w:rsid w:val="00991EC9"/>
    <w:rsid w:val="00991F1B"/>
    <w:rsid w:val="00991F7D"/>
    <w:rsid w:val="00991FE7"/>
    <w:rsid w:val="009920C6"/>
    <w:rsid w:val="009920CC"/>
    <w:rsid w:val="009920D5"/>
    <w:rsid w:val="009920E0"/>
    <w:rsid w:val="00992185"/>
    <w:rsid w:val="0099219D"/>
    <w:rsid w:val="009921F9"/>
    <w:rsid w:val="00992219"/>
    <w:rsid w:val="009922BA"/>
    <w:rsid w:val="009922CB"/>
    <w:rsid w:val="0099234C"/>
    <w:rsid w:val="009923C1"/>
    <w:rsid w:val="009924E3"/>
    <w:rsid w:val="00992517"/>
    <w:rsid w:val="00992583"/>
    <w:rsid w:val="009925AC"/>
    <w:rsid w:val="00992626"/>
    <w:rsid w:val="009926B1"/>
    <w:rsid w:val="009926C6"/>
    <w:rsid w:val="0099271B"/>
    <w:rsid w:val="00992759"/>
    <w:rsid w:val="00992792"/>
    <w:rsid w:val="009927C4"/>
    <w:rsid w:val="009928FE"/>
    <w:rsid w:val="0099296F"/>
    <w:rsid w:val="00992A3B"/>
    <w:rsid w:val="00992A48"/>
    <w:rsid w:val="00992A4E"/>
    <w:rsid w:val="00992A62"/>
    <w:rsid w:val="00992A6E"/>
    <w:rsid w:val="00992A99"/>
    <w:rsid w:val="00992AB9"/>
    <w:rsid w:val="00992BCA"/>
    <w:rsid w:val="00992C13"/>
    <w:rsid w:val="00992D3F"/>
    <w:rsid w:val="00992E0E"/>
    <w:rsid w:val="00992E2E"/>
    <w:rsid w:val="00992E46"/>
    <w:rsid w:val="00992EE2"/>
    <w:rsid w:val="00992F30"/>
    <w:rsid w:val="00992F81"/>
    <w:rsid w:val="00992FC2"/>
    <w:rsid w:val="0099305B"/>
    <w:rsid w:val="009930A7"/>
    <w:rsid w:val="009930A9"/>
    <w:rsid w:val="00993140"/>
    <w:rsid w:val="0099317B"/>
    <w:rsid w:val="009931EB"/>
    <w:rsid w:val="0099326B"/>
    <w:rsid w:val="0099327B"/>
    <w:rsid w:val="00993370"/>
    <w:rsid w:val="00993397"/>
    <w:rsid w:val="009934AF"/>
    <w:rsid w:val="00993518"/>
    <w:rsid w:val="00993562"/>
    <w:rsid w:val="00993646"/>
    <w:rsid w:val="0099365B"/>
    <w:rsid w:val="009936B1"/>
    <w:rsid w:val="009936B6"/>
    <w:rsid w:val="009936CF"/>
    <w:rsid w:val="009936F2"/>
    <w:rsid w:val="0099372F"/>
    <w:rsid w:val="00993764"/>
    <w:rsid w:val="009937A2"/>
    <w:rsid w:val="009937B0"/>
    <w:rsid w:val="009937C9"/>
    <w:rsid w:val="00993838"/>
    <w:rsid w:val="00993882"/>
    <w:rsid w:val="009938E9"/>
    <w:rsid w:val="00993918"/>
    <w:rsid w:val="00993972"/>
    <w:rsid w:val="0099397A"/>
    <w:rsid w:val="009939DB"/>
    <w:rsid w:val="00993A1A"/>
    <w:rsid w:val="00993ABF"/>
    <w:rsid w:val="00993CC1"/>
    <w:rsid w:val="00993CE2"/>
    <w:rsid w:val="00993D32"/>
    <w:rsid w:val="00993DEC"/>
    <w:rsid w:val="00993E05"/>
    <w:rsid w:val="00993E6F"/>
    <w:rsid w:val="00993F1D"/>
    <w:rsid w:val="00994017"/>
    <w:rsid w:val="0099401A"/>
    <w:rsid w:val="0099404C"/>
    <w:rsid w:val="00994091"/>
    <w:rsid w:val="009940D5"/>
    <w:rsid w:val="0099413A"/>
    <w:rsid w:val="009941B2"/>
    <w:rsid w:val="009941B9"/>
    <w:rsid w:val="009941C0"/>
    <w:rsid w:val="009941E1"/>
    <w:rsid w:val="009942DB"/>
    <w:rsid w:val="00994364"/>
    <w:rsid w:val="0099436E"/>
    <w:rsid w:val="00994393"/>
    <w:rsid w:val="009943A1"/>
    <w:rsid w:val="009943B5"/>
    <w:rsid w:val="009943ED"/>
    <w:rsid w:val="0099441F"/>
    <w:rsid w:val="00994421"/>
    <w:rsid w:val="0099442D"/>
    <w:rsid w:val="00994435"/>
    <w:rsid w:val="00994500"/>
    <w:rsid w:val="00994505"/>
    <w:rsid w:val="00994556"/>
    <w:rsid w:val="009945B2"/>
    <w:rsid w:val="00994630"/>
    <w:rsid w:val="00994664"/>
    <w:rsid w:val="009946BE"/>
    <w:rsid w:val="009947DC"/>
    <w:rsid w:val="00994851"/>
    <w:rsid w:val="0099498D"/>
    <w:rsid w:val="00994A0C"/>
    <w:rsid w:val="00994AC9"/>
    <w:rsid w:val="00994B4F"/>
    <w:rsid w:val="00994C0C"/>
    <w:rsid w:val="00994C40"/>
    <w:rsid w:val="00994CE0"/>
    <w:rsid w:val="00994DE8"/>
    <w:rsid w:val="00994DF7"/>
    <w:rsid w:val="00994EA5"/>
    <w:rsid w:val="00994F12"/>
    <w:rsid w:val="00994F15"/>
    <w:rsid w:val="00994F1F"/>
    <w:rsid w:val="00994F5B"/>
    <w:rsid w:val="00995008"/>
    <w:rsid w:val="0099503C"/>
    <w:rsid w:val="0099503E"/>
    <w:rsid w:val="00995083"/>
    <w:rsid w:val="009950BF"/>
    <w:rsid w:val="009950D2"/>
    <w:rsid w:val="0099512D"/>
    <w:rsid w:val="009951BB"/>
    <w:rsid w:val="00995218"/>
    <w:rsid w:val="0099524B"/>
    <w:rsid w:val="009952A0"/>
    <w:rsid w:val="009952CA"/>
    <w:rsid w:val="00995452"/>
    <w:rsid w:val="009954A4"/>
    <w:rsid w:val="0099550A"/>
    <w:rsid w:val="00995524"/>
    <w:rsid w:val="00995653"/>
    <w:rsid w:val="0099568B"/>
    <w:rsid w:val="009956EF"/>
    <w:rsid w:val="00995720"/>
    <w:rsid w:val="009957CF"/>
    <w:rsid w:val="009957DE"/>
    <w:rsid w:val="009957F9"/>
    <w:rsid w:val="0099586C"/>
    <w:rsid w:val="0099589A"/>
    <w:rsid w:val="009958C7"/>
    <w:rsid w:val="00995978"/>
    <w:rsid w:val="00995992"/>
    <w:rsid w:val="00995999"/>
    <w:rsid w:val="009959E3"/>
    <w:rsid w:val="00995A0C"/>
    <w:rsid w:val="00995A55"/>
    <w:rsid w:val="00995BA9"/>
    <w:rsid w:val="00995C6C"/>
    <w:rsid w:val="00995D9F"/>
    <w:rsid w:val="00995DC5"/>
    <w:rsid w:val="00995DDB"/>
    <w:rsid w:val="00995E1B"/>
    <w:rsid w:val="00995E6A"/>
    <w:rsid w:val="00995E9E"/>
    <w:rsid w:val="00995F0E"/>
    <w:rsid w:val="00995F2C"/>
    <w:rsid w:val="00995F5F"/>
    <w:rsid w:val="00996001"/>
    <w:rsid w:val="00996013"/>
    <w:rsid w:val="0099607C"/>
    <w:rsid w:val="00996087"/>
    <w:rsid w:val="009960D1"/>
    <w:rsid w:val="009960E4"/>
    <w:rsid w:val="00996205"/>
    <w:rsid w:val="00996212"/>
    <w:rsid w:val="00996314"/>
    <w:rsid w:val="00996378"/>
    <w:rsid w:val="009963E6"/>
    <w:rsid w:val="0099642D"/>
    <w:rsid w:val="00996463"/>
    <w:rsid w:val="0099648F"/>
    <w:rsid w:val="009964DE"/>
    <w:rsid w:val="009964F5"/>
    <w:rsid w:val="00996583"/>
    <w:rsid w:val="009966CE"/>
    <w:rsid w:val="009966E9"/>
    <w:rsid w:val="00996713"/>
    <w:rsid w:val="00996741"/>
    <w:rsid w:val="00996788"/>
    <w:rsid w:val="009967A0"/>
    <w:rsid w:val="009967D3"/>
    <w:rsid w:val="00996809"/>
    <w:rsid w:val="0099680F"/>
    <w:rsid w:val="00996823"/>
    <w:rsid w:val="00996877"/>
    <w:rsid w:val="00996880"/>
    <w:rsid w:val="009968A2"/>
    <w:rsid w:val="009968A9"/>
    <w:rsid w:val="009968F0"/>
    <w:rsid w:val="0099690D"/>
    <w:rsid w:val="0099691B"/>
    <w:rsid w:val="009969AD"/>
    <w:rsid w:val="00996A08"/>
    <w:rsid w:val="00996A0D"/>
    <w:rsid w:val="00996A45"/>
    <w:rsid w:val="00996A46"/>
    <w:rsid w:val="00996A9B"/>
    <w:rsid w:val="00996B83"/>
    <w:rsid w:val="00996B8B"/>
    <w:rsid w:val="00996C00"/>
    <w:rsid w:val="00996C44"/>
    <w:rsid w:val="00996C61"/>
    <w:rsid w:val="00996C8C"/>
    <w:rsid w:val="00996D81"/>
    <w:rsid w:val="00996E16"/>
    <w:rsid w:val="00996F24"/>
    <w:rsid w:val="00996F2F"/>
    <w:rsid w:val="00996F83"/>
    <w:rsid w:val="00996F8E"/>
    <w:rsid w:val="00996F95"/>
    <w:rsid w:val="00997051"/>
    <w:rsid w:val="009970E1"/>
    <w:rsid w:val="0099710B"/>
    <w:rsid w:val="00997116"/>
    <w:rsid w:val="0099721C"/>
    <w:rsid w:val="00997288"/>
    <w:rsid w:val="00997289"/>
    <w:rsid w:val="009972F2"/>
    <w:rsid w:val="009973A6"/>
    <w:rsid w:val="0099749F"/>
    <w:rsid w:val="009974B0"/>
    <w:rsid w:val="009974E1"/>
    <w:rsid w:val="009974FA"/>
    <w:rsid w:val="00997542"/>
    <w:rsid w:val="00997576"/>
    <w:rsid w:val="0099763F"/>
    <w:rsid w:val="0099765A"/>
    <w:rsid w:val="0099765E"/>
    <w:rsid w:val="00997666"/>
    <w:rsid w:val="00997684"/>
    <w:rsid w:val="00997724"/>
    <w:rsid w:val="00997889"/>
    <w:rsid w:val="0099788D"/>
    <w:rsid w:val="009978EE"/>
    <w:rsid w:val="009978F0"/>
    <w:rsid w:val="0099791E"/>
    <w:rsid w:val="00997940"/>
    <w:rsid w:val="009979F9"/>
    <w:rsid w:val="00997A09"/>
    <w:rsid w:val="00997A0C"/>
    <w:rsid w:val="00997A33"/>
    <w:rsid w:val="00997ADD"/>
    <w:rsid w:val="00997AF2"/>
    <w:rsid w:val="00997B37"/>
    <w:rsid w:val="00997BDF"/>
    <w:rsid w:val="00997BF9"/>
    <w:rsid w:val="00997C39"/>
    <w:rsid w:val="00997C46"/>
    <w:rsid w:val="00997C65"/>
    <w:rsid w:val="00997CBE"/>
    <w:rsid w:val="00997CE8"/>
    <w:rsid w:val="00997E3E"/>
    <w:rsid w:val="00997EDA"/>
    <w:rsid w:val="00997F4F"/>
    <w:rsid w:val="00997F5F"/>
    <w:rsid w:val="00997F6B"/>
    <w:rsid w:val="00997F8A"/>
    <w:rsid w:val="00997FA8"/>
    <w:rsid w:val="009A001D"/>
    <w:rsid w:val="009A0020"/>
    <w:rsid w:val="009A0029"/>
    <w:rsid w:val="009A003D"/>
    <w:rsid w:val="009A0055"/>
    <w:rsid w:val="009A00A7"/>
    <w:rsid w:val="009A0102"/>
    <w:rsid w:val="009A0169"/>
    <w:rsid w:val="009A017F"/>
    <w:rsid w:val="009A0194"/>
    <w:rsid w:val="009A0199"/>
    <w:rsid w:val="009A01A0"/>
    <w:rsid w:val="009A01A7"/>
    <w:rsid w:val="009A01E5"/>
    <w:rsid w:val="009A026E"/>
    <w:rsid w:val="009A02EB"/>
    <w:rsid w:val="009A0360"/>
    <w:rsid w:val="009A0379"/>
    <w:rsid w:val="009A0491"/>
    <w:rsid w:val="009A04AC"/>
    <w:rsid w:val="009A04B3"/>
    <w:rsid w:val="009A04FD"/>
    <w:rsid w:val="009A055E"/>
    <w:rsid w:val="009A05AF"/>
    <w:rsid w:val="009A05EE"/>
    <w:rsid w:val="009A05FC"/>
    <w:rsid w:val="009A061D"/>
    <w:rsid w:val="009A0637"/>
    <w:rsid w:val="009A066F"/>
    <w:rsid w:val="009A073C"/>
    <w:rsid w:val="009A07EA"/>
    <w:rsid w:val="009A0872"/>
    <w:rsid w:val="009A08D4"/>
    <w:rsid w:val="009A098E"/>
    <w:rsid w:val="009A0A0B"/>
    <w:rsid w:val="009A0A3F"/>
    <w:rsid w:val="009A0A49"/>
    <w:rsid w:val="009A0A5C"/>
    <w:rsid w:val="009A0A7A"/>
    <w:rsid w:val="009A0A7D"/>
    <w:rsid w:val="009A0A8C"/>
    <w:rsid w:val="009A0AB4"/>
    <w:rsid w:val="009A0B07"/>
    <w:rsid w:val="009A0B0B"/>
    <w:rsid w:val="009A0B8F"/>
    <w:rsid w:val="009A0BF2"/>
    <w:rsid w:val="009A0C45"/>
    <w:rsid w:val="009A0CBE"/>
    <w:rsid w:val="009A0D6C"/>
    <w:rsid w:val="009A0E62"/>
    <w:rsid w:val="009A0E8B"/>
    <w:rsid w:val="009A0E99"/>
    <w:rsid w:val="009A0ECA"/>
    <w:rsid w:val="009A0EDF"/>
    <w:rsid w:val="009A0F41"/>
    <w:rsid w:val="009A100D"/>
    <w:rsid w:val="009A11CA"/>
    <w:rsid w:val="009A12E4"/>
    <w:rsid w:val="009A131E"/>
    <w:rsid w:val="009A135C"/>
    <w:rsid w:val="009A144C"/>
    <w:rsid w:val="009A1594"/>
    <w:rsid w:val="009A1611"/>
    <w:rsid w:val="009A162D"/>
    <w:rsid w:val="009A1757"/>
    <w:rsid w:val="009A1858"/>
    <w:rsid w:val="009A1887"/>
    <w:rsid w:val="009A188C"/>
    <w:rsid w:val="009A18CD"/>
    <w:rsid w:val="009A1953"/>
    <w:rsid w:val="009A1A2D"/>
    <w:rsid w:val="009A1B85"/>
    <w:rsid w:val="009A1B8F"/>
    <w:rsid w:val="009A1C03"/>
    <w:rsid w:val="009A1C83"/>
    <w:rsid w:val="009A1CB3"/>
    <w:rsid w:val="009A1CDA"/>
    <w:rsid w:val="009A1CEF"/>
    <w:rsid w:val="009A1DFA"/>
    <w:rsid w:val="009A1EA7"/>
    <w:rsid w:val="009A1EB9"/>
    <w:rsid w:val="009A1EEF"/>
    <w:rsid w:val="009A1EF9"/>
    <w:rsid w:val="009A1F3B"/>
    <w:rsid w:val="009A1F42"/>
    <w:rsid w:val="009A1F5D"/>
    <w:rsid w:val="009A20B1"/>
    <w:rsid w:val="009A2144"/>
    <w:rsid w:val="009A2165"/>
    <w:rsid w:val="009A2192"/>
    <w:rsid w:val="009A2198"/>
    <w:rsid w:val="009A21A3"/>
    <w:rsid w:val="009A21A5"/>
    <w:rsid w:val="009A22DE"/>
    <w:rsid w:val="009A237D"/>
    <w:rsid w:val="009A243D"/>
    <w:rsid w:val="009A2504"/>
    <w:rsid w:val="009A2541"/>
    <w:rsid w:val="009A2560"/>
    <w:rsid w:val="009A25AA"/>
    <w:rsid w:val="009A2756"/>
    <w:rsid w:val="009A286E"/>
    <w:rsid w:val="009A28AA"/>
    <w:rsid w:val="009A28E5"/>
    <w:rsid w:val="009A2947"/>
    <w:rsid w:val="009A2964"/>
    <w:rsid w:val="009A29B7"/>
    <w:rsid w:val="009A29DC"/>
    <w:rsid w:val="009A29F1"/>
    <w:rsid w:val="009A2A2C"/>
    <w:rsid w:val="009A2A4C"/>
    <w:rsid w:val="009A2A96"/>
    <w:rsid w:val="009A2B22"/>
    <w:rsid w:val="009A2B60"/>
    <w:rsid w:val="009A2B7A"/>
    <w:rsid w:val="009A2BF2"/>
    <w:rsid w:val="009A2C22"/>
    <w:rsid w:val="009A2C53"/>
    <w:rsid w:val="009A2C71"/>
    <w:rsid w:val="009A2C83"/>
    <w:rsid w:val="009A2D28"/>
    <w:rsid w:val="009A2DFD"/>
    <w:rsid w:val="009A2E32"/>
    <w:rsid w:val="009A2E35"/>
    <w:rsid w:val="009A2F2A"/>
    <w:rsid w:val="009A2FB3"/>
    <w:rsid w:val="009A301B"/>
    <w:rsid w:val="009A3048"/>
    <w:rsid w:val="009A3096"/>
    <w:rsid w:val="009A30C7"/>
    <w:rsid w:val="009A3195"/>
    <w:rsid w:val="009A31B6"/>
    <w:rsid w:val="009A31D9"/>
    <w:rsid w:val="009A31EA"/>
    <w:rsid w:val="009A3242"/>
    <w:rsid w:val="009A327C"/>
    <w:rsid w:val="009A329F"/>
    <w:rsid w:val="009A32CA"/>
    <w:rsid w:val="009A32D1"/>
    <w:rsid w:val="009A32E0"/>
    <w:rsid w:val="009A32E3"/>
    <w:rsid w:val="009A32F9"/>
    <w:rsid w:val="009A335F"/>
    <w:rsid w:val="009A33DD"/>
    <w:rsid w:val="009A33E2"/>
    <w:rsid w:val="009A33EB"/>
    <w:rsid w:val="009A3452"/>
    <w:rsid w:val="009A3470"/>
    <w:rsid w:val="009A34A4"/>
    <w:rsid w:val="009A34C0"/>
    <w:rsid w:val="009A34DC"/>
    <w:rsid w:val="009A356B"/>
    <w:rsid w:val="009A3619"/>
    <w:rsid w:val="009A3738"/>
    <w:rsid w:val="009A3798"/>
    <w:rsid w:val="009A37FB"/>
    <w:rsid w:val="009A3847"/>
    <w:rsid w:val="009A386B"/>
    <w:rsid w:val="009A39EC"/>
    <w:rsid w:val="009A3A04"/>
    <w:rsid w:val="009A3A5D"/>
    <w:rsid w:val="009A3A62"/>
    <w:rsid w:val="009A3A73"/>
    <w:rsid w:val="009A3A7B"/>
    <w:rsid w:val="009A3B1A"/>
    <w:rsid w:val="009A3B83"/>
    <w:rsid w:val="009A3C39"/>
    <w:rsid w:val="009A3C7C"/>
    <w:rsid w:val="009A3CB4"/>
    <w:rsid w:val="009A3CD4"/>
    <w:rsid w:val="009A3D2B"/>
    <w:rsid w:val="009A3DEB"/>
    <w:rsid w:val="009A3EA7"/>
    <w:rsid w:val="009A3EB6"/>
    <w:rsid w:val="009A3EDB"/>
    <w:rsid w:val="009A3F38"/>
    <w:rsid w:val="009A3F3A"/>
    <w:rsid w:val="009A3F48"/>
    <w:rsid w:val="009A3F9C"/>
    <w:rsid w:val="009A3FA3"/>
    <w:rsid w:val="009A4039"/>
    <w:rsid w:val="009A409C"/>
    <w:rsid w:val="009A40AA"/>
    <w:rsid w:val="009A4104"/>
    <w:rsid w:val="009A411E"/>
    <w:rsid w:val="009A4133"/>
    <w:rsid w:val="009A4141"/>
    <w:rsid w:val="009A41C2"/>
    <w:rsid w:val="009A41FF"/>
    <w:rsid w:val="009A427B"/>
    <w:rsid w:val="009A42C1"/>
    <w:rsid w:val="009A42CA"/>
    <w:rsid w:val="009A430D"/>
    <w:rsid w:val="009A430E"/>
    <w:rsid w:val="009A4355"/>
    <w:rsid w:val="009A4390"/>
    <w:rsid w:val="009A43B6"/>
    <w:rsid w:val="009A43C9"/>
    <w:rsid w:val="009A4461"/>
    <w:rsid w:val="009A4471"/>
    <w:rsid w:val="009A459D"/>
    <w:rsid w:val="009A45BE"/>
    <w:rsid w:val="009A4640"/>
    <w:rsid w:val="009A47D2"/>
    <w:rsid w:val="009A47FF"/>
    <w:rsid w:val="009A485C"/>
    <w:rsid w:val="009A48D1"/>
    <w:rsid w:val="009A4949"/>
    <w:rsid w:val="009A499E"/>
    <w:rsid w:val="009A49B0"/>
    <w:rsid w:val="009A49C4"/>
    <w:rsid w:val="009A49EE"/>
    <w:rsid w:val="009A4A72"/>
    <w:rsid w:val="009A4AB0"/>
    <w:rsid w:val="009A4CEE"/>
    <w:rsid w:val="009A4D53"/>
    <w:rsid w:val="009A4DF0"/>
    <w:rsid w:val="009A4F2F"/>
    <w:rsid w:val="009A4F5C"/>
    <w:rsid w:val="009A4F71"/>
    <w:rsid w:val="009A4F7D"/>
    <w:rsid w:val="009A4F90"/>
    <w:rsid w:val="009A4FA1"/>
    <w:rsid w:val="009A4FA6"/>
    <w:rsid w:val="009A513D"/>
    <w:rsid w:val="009A5273"/>
    <w:rsid w:val="009A5306"/>
    <w:rsid w:val="009A5330"/>
    <w:rsid w:val="009A5388"/>
    <w:rsid w:val="009A53E4"/>
    <w:rsid w:val="009A53E7"/>
    <w:rsid w:val="009A53F9"/>
    <w:rsid w:val="009A53FA"/>
    <w:rsid w:val="009A5429"/>
    <w:rsid w:val="009A5434"/>
    <w:rsid w:val="009A5436"/>
    <w:rsid w:val="009A5537"/>
    <w:rsid w:val="009A5568"/>
    <w:rsid w:val="009A5595"/>
    <w:rsid w:val="009A55D4"/>
    <w:rsid w:val="009A5618"/>
    <w:rsid w:val="009A5652"/>
    <w:rsid w:val="009A5680"/>
    <w:rsid w:val="009A56D2"/>
    <w:rsid w:val="009A56E6"/>
    <w:rsid w:val="009A5816"/>
    <w:rsid w:val="009A5881"/>
    <w:rsid w:val="009A5882"/>
    <w:rsid w:val="009A58CC"/>
    <w:rsid w:val="009A5BC4"/>
    <w:rsid w:val="009A5BEB"/>
    <w:rsid w:val="009A5C3B"/>
    <w:rsid w:val="009A5C4E"/>
    <w:rsid w:val="009A5C8B"/>
    <w:rsid w:val="009A5D41"/>
    <w:rsid w:val="009A5D4D"/>
    <w:rsid w:val="009A5D7E"/>
    <w:rsid w:val="009A5D82"/>
    <w:rsid w:val="009A5DD2"/>
    <w:rsid w:val="009A5E23"/>
    <w:rsid w:val="009A5E93"/>
    <w:rsid w:val="009A5EA0"/>
    <w:rsid w:val="009A5F02"/>
    <w:rsid w:val="009A5F2D"/>
    <w:rsid w:val="009A5F3C"/>
    <w:rsid w:val="009A5F43"/>
    <w:rsid w:val="009A5F52"/>
    <w:rsid w:val="009A5F7B"/>
    <w:rsid w:val="009A6059"/>
    <w:rsid w:val="009A60AC"/>
    <w:rsid w:val="009A6110"/>
    <w:rsid w:val="009A6147"/>
    <w:rsid w:val="009A615D"/>
    <w:rsid w:val="009A6195"/>
    <w:rsid w:val="009A61C7"/>
    <w:rsid w:val="009A6213"/>
    <w:rsid w:val="009A6257"/>
    <w:rsid w:val="009A62C9"/>
    <w:rsid w:val="009A62D3"/>
    <w:rsid w:val="009A637C"/>
    <w:rsid w:val="009A6399"/>
    <w:rsid w:val="009A63B4"/>
    <w:rsid w:val="009A63F7"/>
    <w:rsid w:val="009A63FD"/>
    <w:rsid w:val="009A64DF"/>
    <w:rsid w:val="009A6543"/>
    <w:rsid w:val="009A6553"/>
    <w:rsid w:val="009A6564"/>
    <w:rsid w:val="009A6565"/>
    <w:rsid w:val="009A660D"/>
    <w:rsid w:val="009A6679"/>
    <w:rsid w:val="009A6769"/>
    <w:rsid w:val="009A67E1"/>
    <w:rsid w:val="009A6827"/>
    <w:rsid w:val="009A682C"/>
    <w:rsid w:val="009A68A0"/>
    <w:rsid w:val="009A6984"/>
    <w:rsid w:val="009A69C3"/>
    <w:rsid w:val="009A69CA"/>
    <w:rsid w:val="009A69D3"/>
    <w:rsid w:val="009A69FF"/>
    <w:rsid w:val="009A6A51"/>
    <w:rsid w:val="009A6AB5"/>
    <w:rsid w:val="009A6AF5"/>
    <w:rsid w:val="009A6B84"/>
    <w:rsid w:val="009A6BDE"/>
    <w:rsid w:val="009A6D0D"/>
    <w:rsid w:val="009A6E1C"/>
    <w:rsid w:val="009A6E22"/>
    <w:rsid w:val="009A6E5A"/>
    <w:rsid w:val="009A6E75"/>
    <w:rsid w:val="009A6EA0"/>
    <w:rsid w:val="009A6EB8"/>
    <w:rsid w:val="009A6EE2"/>
    <w:rsid w:val="009A6EF5"/>
    <w:rsid w:val="009A6F5B"/>
    <w:rsid w:val="009A7028"/>
    <w:rsid w:val="009A7039"/>
    <w:rsid w:val="009A70C4"/>
    <w:rsid w:val="009A712C"/>
    <w:rsid w:val="009A713C"/>
    <w:rsid w:val="009A714B"/>
    <w:rsid w:val="009A716F"/>
    <w:rsid w:val="009A71E5"/>
    <w:rsid w:val="009A71EC"/>
    <w:rsid w:val="009A71F3"/>
    <w:rsid w:val="009A727B"/>
    <w:rsid w:val="009A7297"/>
    <w:rsid w:val="009A72C1"/>
    <w:rsid w:val="009A72F9"/>
    <w:rsid w:val="009A7328"/>
    <w:rsid w:val="009A7471"/>
    <w:rsid w:val="009A7499"/>
    <w:rsid w:val="009A74A4"/>
    <w:rsid w:val="009A74BB"/>
    <w:rsid w:val="009A74DD"/>
    <w:rsid w:val="009A7508"/>
    <w:rsid w:val="009A75C5"/>
    <w:rsid w:val="009A7727"/>
    <w:rsid w:val="009A7756"/>
    <w:rsid w:val="009A77E7"/>
    <w:rsid w:val="009A7855"/>
    <w:rsid w:val="009A78A5"/>
    <w:rsid w:val="009A78C4"/>
    <w:rsid w:val="009A78E3"/>
    <w:rsid w:val="009A78F3"/>
    <w:rsid w:val="009A78F4"/>
    <w:rsid w:val="009A794B"/>
    <w:rsid w:val="009A7A06"/>
    <w:rsid w:val="009A7AA7"/>
    <w:rsid w:val="009A7B3B"/>
    <w:rsid w:val="009A7B5D"/>
    <w:rsid w:val="009A7C55"/>
    <w:rsid w:val="009A7C61"/>
    <w:rsid w:val="009A7C8B"/>
    <w:rsid w:val="009A7D62"/>
    <w:rsid w:val="009A7E2D"/>
    <w:rsid w:val="009A7E84"/>
    <w:rsid w:val="009A7EDB"/>
    <w:rsid w:val="009A7F0E"/>
    <w:rsid w:val="009A7F19"/>
    <w:rsid w:val="009A7F36"/>
    <w:rsid w:val="009A7F44"/>
    <w:rsid w:val="009A7F59"/>
    <w:rsid w:val="009A7FDC"/>
    <w:rsid w:val="009B0070"/>
    <w:rsid w:val="009B0080"/>
    <w:rsid w:val="009B008A"/>
    <w:rsid w:val="009B0099"/>
    <w:rsid w:val="009B00DA"/>
    <w:rsid w:val="009B0174"/>
    <w:rsid w:val="009B0286"/>
    <w:rsid w:val="009B02B0"/>
    <w:rsid w:val="009B0347"/>
    <w:rsid w:val="009B03A1"/>
    <w:rsid w:val="009B043E"/>
    <w:rsid w:val="009B0459"/>
    <w:rsid w:val="009B0487"/>
    <w:rsid w:val="009B04B6"/>
    <w:rsid w:val="009B04E4"/>
    <w:rsid w:val="009B051F"/>
    <w:rsid w:val="009B0567"/>
    <w:rsid w:val="009B05B2"/>
    <w:rsid w:val="009B05DF"/>
    <w:rsid w:val="009B06E5"/>
    <w:rsid w:val="009B072E"/>
    <w:rsid w:val="009B07A1"/>
    <w:rsid w:val="009B07D4"/>
    <w:rsid w:val="009B07F8"/>
    <w:rsid w:val="009B0905"/>
    <w:rsid w:val="009B0944"/>
    <w:rsid w:val="009B096F"/>
    <w:rsid w:val="009B0983"/>
    <w:rsid w:val="009B09AC"/>
    <w:rsid w:val="009B09B6"/>
    <w:rsid w:val="009B0A24"/>
    <w:rsid w:val="009B0A5F"/>
    <w:rsid w:val="009B0A77"/>
    <w:rsid w:val="009B0A7A"/>
    <w:rsid w:val="009B0AB2"/>
    <w:rsid w:val="009B0B39"/>
    <w:rsid w:val="009B0BC6"/>
    <w:rsid w:val="009B0BEA"/>
    <w:rsid w:val="009B0D81"/>
    <w:rsid w:val="009B0D94"/>
    <w:rsid w:val="009B0DE0"/>
    <w:rsid w:val="009B0E40"/>
    <w:rsid w:val="009B0F26"/>
    <w:rsid w:val="009B0FA0"/>
    <w:rsid w:val="009B1001"/>
    <w:rsid w:val="009B1004"/>
    <w:rsid w:val="009B101C"/>
    <w:rsid w:val="009B10F4"/>
    <w:rsid w:val="009B1150"/>
    <w:rsid w:val="009B117D"/>
    <w:rsid w:val="009B11CE"/>
    <w:rsid w:val="009B12BD"/>
    <w:rsid w:val="009B1340"/>
    <w:rsid w:val="009B13A9"/>
    <w:rsid w:val="009B1452"/>
    <w:rsid w:val="009B149B"/>
    <w:rsid w:val="009B14CF"/>
    <w:rsid w:val="009B14EB"/>
    <w:rsid w:val="009B14EE"/>
    <w:rsid w:val="009B1507"/>
    <w:rsid w:val="009B1539"/>
    <w:rsid w:val="009B156D"/>
    <w:rsid w:val="009B1588"/>
    <w:rsid w:val="009B1630"/>
    <w:rsid w:val="009B16C3"/>
    <w:rsid w:val="009B16D7"/>
    <w:rsid w:val="009B1701"/>
    <w:rsid w:val="009B176E"/>
    <w:rsid w:val="009B17F5"/>
    <w:rsid w:val="009B18D9"/>
    <w:rsid w:val="009B1966"/>
    <w:rsid w:val="009B1989"/>
    <w:rsid w:val="009B199A"/>
    <w:rsid w:val="009B19CE"/>
    <w:rsid w:val="009B19D7"/>
    <w:rsid w:val="009B19E7"/>
    <w:rsid w:val="009B1A1A"/>
    <w:rsid w:val="009B1B0F"/>
    <w:rsid w:val="009B1B9C"/>
    <w:rsid w:val="009B1BBD"/>
    <w:rsid w:val="009B1BD2"/>
    <w:rsid w:val="009B1D7C"/>
    <w:rsid w:val="009B1DAB"/>
    <w:rsid w:val="009B1E74"/>
    <w:rsid w:val="009B1E80"/>
    <w:rsid w:val="009B1EAE"/>
    <w:rsid w:val="009B1F8A"/>
    <w:rsid w:val="009B200C"/>
    <w:rsid w:val="009B202A"/>
    <w:rsid w:val="009B2043"/>
    <w:rsid w:val="009B2067"/>
    <w:rsid w:val="009B20AC"/>
    <w:rsid w:val="009B20B6"/>
    <w:rsid w:val="009B20C3"/>
    <w:rsid w:val="009B20DB"/>
    <w:rsid w:val="009B2154"/>
    <w:rsid w:val="009B21D8"/>
    <w:rsid w:val="009B2228"/>
    <w:rsid w:val="009B2231"/>
    <w:rsid w:val="009B2292"/>
    <w:rsid w:val="009B22C0"/>
    <w:rsid w:val="009B22E1"/>
    <w:rsid w:val="009B2345"/>
    <w:rsid w:val="009B23B3"/>
    <w:rsid w:val="009B23F8"/>
    <w:rsid w:val="009B24A8"/>
    <w:rsid w:val="009B24EA"/>
    <w:rsid w:val="009B2503"/>
    <w:rsid w:val="009B25D9"/>
    <w:rsid w:val="009B25F2"/>
    <w:rsid w:val="009B25FF"/>
    <w:rsid w:val="009B2656"/>
    <w:rsid w:val="009B26DA"/>
    <w:rsid w:val="009B26ED"/>
    <w:rsid w:val="009B26FB"/>
    <w:rsid w:val="009B26FC"/>
    <w:rsid w:val="009B2737"/>
    <w:rsid w:val="009B2794"/>
    <w:rsid w:val="009B2798"/>
    <w:rsid w:val="009B27B2"/>
    <w:rsid w:val="009B27E0"/>
    <w:rsid w:val="009B27FC"/>
    <w:rsid w:val="009B2802"/>
    <w:rsid w:val="009B2808"/>
    <w:rsid w:val="009B2813"/>
    <w:rsid w:val="009B2880"/>
    <w:rsid w:val="009B28BF"/>
    <w:rsid w:val="009B29BB"/>
    <w:rsid w:val="009B2A29"/>
    <w:rsid w:val="009B2A35"/>
    <w:rsid w:val="009B2AC9"/>
    <w:rsid w:val="009B2AD0"/>
    <w:rsid w:val="009B2B9A"/>
    <w:rsid w:val="009B2BFC"/>
    <w:rsid w:val="009B2C6A"/>
    <w:rsid w:val="009B2CDF"/>
    <w:rsid w:val="009B2D07"/>
    <w:rsid w:val="009B2D60"/>
    <w:rsid w:val="009B2D82"/>
    <w:rsid w:val="009B2D88"/>
    <w:rsid w:val="009B2DE5"/>
    <w:rsid w:val="009B2E8D"/>
    <w:rsid w:val="009B2E9A"/>
    <w:rsid w:val="009B2EE8"/>
    <w:rsid w:val="009B2F07"/>
    <w:rsid w:val="009B2F3E"/>
    <w:rsid w:val="009B2FE6"/>
    <w:rsid w:val="009B3001"/>
    <w:rsid w:val="009B3053"/>
    <w:rsid w:val="009B3073"/>
    <w:rsid w:val="009B30B9"/>
    <w:rsid w:val="009B30DF"/>
    <w:rsid w:val="009B30F4"/>
    <w:rsid w:val="009B3172"/>
    <w:rsid w:val="009B3203"/>
    <w:rsid w:val="009B320D"/>
    <w:rsid w:val="009B3266"/>
    <w:rsid w:val="009B3279"/>
    <w:rsid w:val="009B32A8"/>
    <w:rsid w:val="009B32FC"/>
    <w:rsid w:val="009B3310"/>
    <w:rsid w:val="009B3320"/>
    <w:rsid w:val="009B332A"/>
    <w:rsid w:val="009B337A"/>
    <w:rsid w:val="009B337B"/>
    <w:rsid w:val="009B337F"/>
    <w:rsid w:val="009B33DB"/>
    <w:rsid w:val="009B33FE"/>
    <w:rsid w:val="009B3402"/>
    <w:rsid w:val="009B3404"/>
    <w:rsid w:val="009B344A"/>
    <w:rsid w:val="009B3495"/>
    <w:rsid w:val="009B34D9"/>
    <w:rsid w:val="009B34DF"/>
    <w:rsid w:val="009B34FA"/>
    <w:rsid w:val="009B3585"/>
    <w:rsid w:val="009B3721"/>
    <w:rsid w:val="009B376D"/>
    <w:rsid w:val="009B376E"/>
    <w:rsid w:val="009B37B4"/>
    <w:rsid w:val="009B3810"/>
    <w:rsid w:val="009B389C"/>
    <w:rsid w:val="009B395C"/>
    <w:rsid w:val="009B3992"/>
    <w:rsid w:val="009B39CF"/>
    <w:rsid w:val="009B3A9D"/>
    <w:rsid w:val="009B3AB9"/>
    <w:rsid w:val="009B3ABA"/>
    <w:rsid w:val="009B3AC2"/>
    <w:rsid w:val="009B3B2A"/>
    <w:rsid w:val="009B3B46"/>
    <w:rsid w:val="009B3B49"/>
    <w:rsid w:val="009B3B9C"/>
    <w:rsid w:val="009B3C48"/>
    <w:rsid w:val="009B3C7F"/>
    <w:rsid w:val="009B3CD8"/>
    <w:rsid w:val="009B3D70"/>
    <w:rsid w:val="009B3DD4"/>
    <w:rsid w:val="009B3E38"/>
    <w:rsid w:val="009B3E9B"/>
    <w:rsid w:val="009B3F9D"/>
    <w:rsid w:val="009B3FED"/>
    <w:rsid w:val="009B400A"/>
    <w:rsid w:val="009B4019"/>
    <w:rsid w:val="009B4040"/>
    <w:rsid w:val="009B4094"/>
    <w:rsid w:val="009B40B2"/>
    <w:rsid w:val="009B4158"/>
    <w:rsid w:val="009B41A6"/>
    <w:rsid w:val="009B41FB"/>
    <w:rsid w:val="009B4244"/>
    <w:rsid w:val="009B424E"/>
    <w:rsid w:val="009B425B"/>
    <w:rsid w:val="009B429A"/>
    <w:rsid w:val="009B4315"/>
    <w:rsid w:val="009B4319"/>
    <w:rsid w:val="009B432C"/>
    <w:rsid w:val="009B4375"/>
    <w:rsid w:val="009B43D6"/>
    <w:rsid w:val="009B4585"/>
    <w:rsid w:val="009B4650"/>
    <w:rsid w:val="009B466A"/>
    <w:rsid w:val="009B46A1"/>
    <w:rsid w:val="009B46EB"/>
    <w:rsid w:val="009B47A6"/>
    <w:rsid w:val="009B481E"/>
    <w:rsid w:val="009B48BF"/>
    <w:rsid w:val="009B48E6"/>
    <w:rsid w:val="009B4969"/>
    <w:rsid w:val="009B49A7"/>
    <w:rsid w:val="009B4A3B"/>
    <w:rsid w:val="009B4B25"/>
    <w:rsid w:val="009B4B80"/>
    <w:rsid w:val="009B4B8E"/>
    <w:rsid w:val="009B4B9E"/>
    <w:rsid w:val="009B4C0D"/>
    <w:rsid w:val="009B4C29"/>
    <w:rsid w:val="009B4C7B"/>
    <w:rsid w:val="009B4C9B"/>
    <w:rsid w:val="009B4CC3"/>
    <w:rsid w:val="009B4D14"/>
    <w:rsid w:val="009B4DA8"/>
    <w:rsid w:val="009B4DF7"/>
    <w:rsid w:val="009B4F1C"/>
    <w:rsid w:val="009B4F21"/>
    <w:rsid w:val="009B4F2D"/>
    <w:rsid w:val="009B4F58"/>
    <w:rsid w:val="009B4F70"/>
    <w:rsid w:val="009B4F88"/>
    <w:rsid w:val="009B4FE5"/>
    <w:rsid w:val="009B5037"/>
    <w:rsid w:val="009B5145"/>
    <w:rsid w:val="009B5155"/>
    <w:rsid w:val="009B515A"/>
    <w:rsid w:val="009B5193"/>
    <w:rsid w:val="009B51B8"/>
    <w:rsid w:val="009B5243"/>
    <w:rsid w:val="009B5257"/>
    <w:rsid w:val="009B5260"/>
    <w:rsid w:val="009B5284"/>
    <w:rsid w:val="009B52DD"/>
    <w:rsid w:val="009B52E1"/>
    <w:rsid w:val="009B535D"/>
    <w:rsid w:val="009B53E2"/>
    <w:rsid w:val="009B541F"/>
    <w:rsid w:val="009B5484"/>
    <w:rsid w:val="009B548E"/>
    <w:rsid w:val="009B5508"/>
    <w:rsid w:val="009B551A"/>
    <w:rsid w:val="009B5571"/>
    <w:rsid w:val="009B5578"/>
    <w:rsid w:val="009B5648"/>
    <w:rsid w:val="009B56E5"/>
    <w:rsid w:val="009B572D"/>
    <w:rsid w:val="009B573C"/>
    <w:rsid w:val="009B57E1"/>
    <w:rsid w:val="009B580B"/>
    <w:rsid w:val="009B5832"/>
    <w:rsid w:val="009B5837"/>
    <w:rsid w:val="009B589C"/>
    <w:rsid w:val="009B58B7"/>
    <w:rsid w:val="009B5945"/>
    <w:rsid w:val="009B5946"/>
    <w:rsid w:val="009B594F"/>
    <w:rsid w:val="009B596D"/>
    <w:rsid w:val="009B59C7"/>
    <w:rsid w:val="009B5A6C"/>
    <w:rsid w:val="009B5B5D"/>
    <w:rsid w:val="009B5B5F"/>
    <w:rsid w:val="009B5C2A"/>
    <w:rsid w:val="009B5C44"/>
    <w:rsid w:val="009B5D6E"/>
    <w:rsid w:val="009B5D9C"/>
    <w:rsid w:val="009B5DDB"/>
    <w:rsid w:val="009B5E24"/>
    <w:rsid w:val="009B5E3A"/>
    <w:rsid w:val="009B5E55"/>
    <w:rsid w:val="009B5E94"/>
    <w:rsid w:val="009B5EAD"/>
    <w:rsid w:val="009B6018"/>
    <w:rsid w:val="009B601E"/>
    <w:rsid w:val="009B604A"/>
    <w:rsid w:val="009B6151"/>
    <w:rsid w:val="009B61BE"/>
    <w:rsid w:val="009B61C9"/>
    <w:rsid w:val="009B61F0"/>
    <w:rsid w:val="009B62A9"/>
    <w:rsid w:val="009B6357"/>
    <w:rsid w:val="009B639B"/>
    <w:rsid w:val="009B63CC"/>
    <w:rsid w:val="009B63CF"/>
    <w:rsid w:val="009B63E8"/>
    <w:rsid w:val="009B6448"/>
    <w:rsid w:val="009B6475"/>
    <w:rsid w:val="009B6486"/>
    <w:rsid w:val="009B64BA"/>
    <w:rsid w:val="009B64C8"/>
    <w:rsid w:val="009B6509"/>
    <w:rsid w:val="009B6563"/>
    <w:rsid w:val="009B65E9"/>
    <w:rsid w:val="009B6631"/>
    <w:rsid w:val="009B665A"/>
    <w:rsid w:val="009B66EF"/>
    <w:rsid w:val="009B6715"/>
    <w:rsid w:val="009B674D"/>
    <w:rsid w:val="009B6783"/>
    <w:rsid w:val="009B67E3"/>
    <w:rsid w:val="009B6842"/>
    <w:rsid w:val="009B6895"/>
    <w:rsid w:val="009B693D"/>
    <w:rsid w:val="009B69FE"/>
    <w:rsid w:val="009B6A99"/>
    <w:rsid w:val="009B6AA6"/>
    <w:rsid w:val="009B6AB3"/>
    <w:rsid w:val="009B6AB9"/>
    <w:rsid w:val="009B6AEA"/>
    <w:rsid w:val="009B6AEB"/>
    <w:rsid w:val="009B6C6B"/>
    <w:rsid w:val="009B6D18"/>
    <w:rsid w:val="009B6D80"/>
    <w:rsid w:val="009B6D85"/>
    <w:rsid w:val="009B6DC5"/>
    <w:rsid w:val="009B6ED0"/>
    <w:rsid w:val="009B6ED5"/>
    <w:rsid w:val="009B6F45"/>
    <w:rsid w:val="009B6F58"/>
    <w:rsid w:val="009B6FE6"/>
    <w:rsid w:val="009B7137"/>
    <w:rsid w:val="009B714C"/>
    <w:rsid w:val="009B71C9"/>
    <w:rsid w:val="009B71CB"/>
    <w:rsid w:val="009B7211"/>
    <w:rsid w:val="009B728C"/>
    <w:rsid w:val="009B7290"/>
    <w:rsid w:val="009B72EA"/>
    <w:rsid w:val="009B734D"/>
    <w:rsid w:val="009B73D3"/>
    <w:rsid w:val="009B73E4"/>
    <w:rsid w:val="009B7447"/>
    <w:rsid w:val="009B7451"/>
    <w:rsid w:val="009B7539"/>
    <w:rsid w:val="009B754B"/>
    <w:rsid w:val="009B7556"/>
    <w:rsid w:val="009B75CE"/>
    <w:rsid w:val="009B75DB"/>
    <w:rsid w:val="009B75F9"/>
    <w:rsid w:val="009B75FB"/>
    <w:rsid w:val="009B7658"/>
    <w:rsid w:val="009B76B9"/>
    <w:rsid w:val="009B76C3"/>
    <w:rsid w:val="009B7711"/>
    <w:rsid w:val="009B7801"/>
    <w:rsid w:val="009B7886"/>
    <w:rsid w:val="009B78C9"/>
    <w:rsid w:val="009B78CE"/>
    <w:rsid w:val="009B78D9"/>
    <w:rsid w:val="009B79E2"/>
    <w:rsid w:val="009B7A61"/>
    <w:rsid w:val="009B7A7E"/>
    <w:rsid w:val="009B7A81"/>
    <w:rsid w:val="009B7B3F"/>
    <w:rsid w:val="009B7B97"/>
    <w:rsid w:val="009B7B9E"/>
    <w:rsid w:val="009B7BBE"/>
    <w:rsid w:val="009B7BD2"/>
    <w:rsid w:val="009B7C7D"/>
    <w:rsid w:val="009B7CD8"/>
    <w:rsid w:val="009B7E39"/>
    <w:rsid w:val="009B7E6D"/>
    <w:rsid w:val="009B7EE8"/>
    <w:rsid w:val="009B7F0A"/>
    <w:rsid w:val="009B7F83"/>
    <w:rsid w:val="009C0025"/>
    <w:rsid w:val="009C00B6"/>
    <w:rsid w:val="009C00E4"/>
    <w:rsid w:val="009C0127"/>
    <w:rsid w:val="009C014F"/>
    <w:rsid w:val="009C01F0"/>
    <w:rsid w:val="009C01F7"/>
    <w:rsid w:val="009C022F"/>
    <w:rsid w:val="009C024A"/>
    <w:rsid w:val="009C02AB"/>
    <w:rsid w:val="009C02B3"/>
    <w:rsid w:val="009C02F3"/>
    <w:rsid w:val="009C0307"/>
    <w:rsid w:val="009C0395"/>
    <w:rsid w:val="009C0396"/>
    <w:rsid w:val="009C03DD"/>
    <w:rsid w:val="009C0427"/>
    <w:rsid w:val="009C04BE"/>
    <w:rsid w:val="009C04C4"/>
    <w:rsid w:val="009C04C6"/>
    <w:rsid w:val="009C04F9"/>
    <w:rsid w:val="009C0668"/>
    <w:rsid w:val="009C06A9"/>
    <w:rsid w:val="009C0724"/>
    <w:rsid w:val="009C07A2"/>
    <w:rsid w:val="009C07A5"/>
    <w:rsid w:val="009C07EF"/>
    <w:rsid w:val="009C081A"/>
    <w:rsid w:val="009C08DA"/>
    <w:rsid w:val="009C0937"/>
    <w:rsid w:val="009C0967"/>
    <w:rsid w:val="009C0A27"/>
    <w:rsid w:val="009C0A94"/>
    <w:rsid w:val="009C0ABF"/>
    <w:rsid w:val="009C0B99"/>
    <w:rsid w:val="009C0BC0"/>
    <w:rsid w:val="009C0C11"/>
    <w:rsid w:val="009C0CA7"/>
    <w:rsid w:val="009C0D83"/>
    <w:rsid w:val="009C0D8B"/>
    <w:rsid w:val="009C0E0A"/>
    <w:rsid w:val="009C0E41"/>
    <w:rsid w:val="009C0E81"/>
    <w:rsid w:val="009C0FB6"/>
    <w:rsid w:val="009C102D"/>
    <w:rsid w:val="009C102E"/>
    <w:rsid w:val="009C10A9"/>
    <w:rsid w:val="009C10BE"/>
    <w:rsid w:val="009C10C2"/>
    <w:rsid w:val="009C10D7"/>
    <w:rsid w:val="009C11E0"/>
    <w:rsid w:val="009C1250"/>
    <w:rsid w:val="009C126C"/>
    <w:rsid w:val="009C12B5"/>
    <w:rsid w:val="009C12DE"/>
    <w:rsid w:val="009C12EE"/>
    <w:rsid w:val="009C1301"/>
    <w:rsid w:val="009C13C3"/>
    <w:rsid w:val="009C13F9"/>
    <w:rsid w:val="009C141A"/>
    <w:rsid w:val="009C145B"/>
    <w:rsid w:val="009C1466"/>
    <w:rsid w:val="009C150F"/>
    <w:rsid w:val="009C1518"/>
    <w:rsid w:val="009C1621"/>
    <w:rsid w:val="009C1650"/>
    <w:rsid w:val="009C16A7"/>
    <w:rsid w:val="009C16FA"/>
    <w:rsid w:val="009C1709"/>
    <w:rsid w:val="009C170F"/>
    <w:rsid w:val="009C17AB"/>
    <w:rsid w:val="009C17B3"/>
    <w:rsid w:val="009C1813"/>
    <w:rsid w:val="009C1846"/>
    <w:rsid w:val="009C1891"/>
    <w:rsid w:val="009C18A7"/>
    <w:rsid w:val="009C18B2"/>
    <w:rsid w:val="009C19DA"/>
    <w:rsid w:val="009C1A68"/>
    <w:rsid w:val="009C1A6D"/>
    <w:rsid w:val="009C1A8C"/>
    <w:rsid w:val="009C1BAA"/>
    <w:rsid w:val="009C1BE0"/>
    <w:rsid w:val="009C1C31"/>
    <w:rsid w:val="009C1C46"/>
    <w:rsid w:val="009C1C57"/>
    <w:rsid w:val="009C1C68"/>
    <w:rsid w:val="009C1CED"/>
    <w:rsid w:val="009C1D31"/>
    <w:rsid w:val="009C1DA6"/>
    <w:rsid w:val="009C1ECF"/>
    <w:rsid w:val="009C1ED9"/>
    <w:rsid w:val="009C1EDF"/>
    <w:rsid w:val="009C1FAD"/>
    <w:rsid w:val="009C1FC2"/>
    <w:rsid w:val="009C1FE0"/>
    <w:rsid w:val="009C203A"/>
    <w:rsid w:val="009C2065"/>
    <w:rsid w:val="009C2073"/>
    <w:rsid w:val="009C207E"/>
    <w:rsid w:val="009C210C"/>
    <w:rsid w:val="009C2114"/>
    <w:rsid w:val="009C2120"/>
    <w:rsid w:val="009C2175"/>
    <w:rsid w:val="009C21D9"/>
    <w:rsid w:val="009C2217"/>
    <w:rsid w:val="009C2270"/>
    <w:rsid w:val="009C22A3"/>
    <w:rsid w:val="009C22C1"/>
    <w:rsid w:val="009C22EF"/>
    <w:rsid w:val="009C231C"/>
    <w:rsid w:val="009C234E"/>
    <w:rsid w:val="009C23B0"/>
    <w:rsid w:val="009C23C6"/>
    <w:rsid w:val="009C23DD"/>
    <w:rsid w:val="009C23E2"/>
    <w:rsid w:val="009C23F7"/>
    <w:rsid w:val="009C2510"/>
    <w:rsid w:val="009C255B"/>
    <w:rsid w:val="009C264F"/>
    <w:rsid w:val="009C265A"/>
    <w:rsid w:val="009C2682"/>
    <w:rsid w:val="009C26AF"/>
    <w:rsid w:val="009C271B"/>
    <w:rsid w:val="009C2762"/>
    <w:rsid w:val="009C282A"/>
    <w:rsid w:val="009C286F"/>
    <w:rsid w:val="009C2878"/>
    <w:rsid w:val="009C298F"/>
    <w:rsid w:val="009C2A7F"/>
    <w:rsid w:val="009C2A80"/>
    <w:rsid w:val="009C2AD4"/>
    <w:rsid w:val="009C2B02"/>
    <w:rsid w:val="009C2B75"/>
    <w:rsid w:val="009C2B84"/>
    <w:rsid w:val="009C2BC6"/>
    <w:rsid w:val="009C2BCB"/>
    <w:rsid w:val="009C2C22"/>
    <w:rsid w:val="009C2C46"/>
    <w:rsid w:val="009C2D47"/>
    <w:rsid w:val="009C2D6E"/>
    <w:rsid w:val="009C2D70"/>
    <w:rsid w:val="009C2D96"/>
    <w:rsid w:val="009C2DF7"/>
    <w:rsid w:val="009C2DFD"/>
    <w:rsid w:val="009C2EB3"/>
    <w:rsid w:val="009C2F08"/>
    <w:rsid w:val="009C2F21"/>
    <w:rsid w:val="009C2F62"/>
    <w:rsid w:val="009C2F65"/>
    <w:rsid w:val="009C2FE1"/>
    <w:rsid w:val="009C2FF7"/>
    <w:rsid w:val="009C3078"/>
    <w:rsid w:val="009C3092"/>
    <w:rsid w:val="009C309D"/>
    <w:rsid w:val="009C3109"/>
    <w:rsid w:val="009C32B9"/>
    <w:rsid w:val="009C3372"/>
    <w:rsid w:val="009C33CD"/>
    <w:rsid w:val="009C33D5"/>
    <w:rsid w:val="009C33DC"/>
    <w:rsid w:val="009C3405"/>
    <w:rsid w:val="009C34A0"/>
    <w:rsid w:val="009C34C3"/>
    <w:rsid w:val="009C34C6"/>
    <w:rsid w:val="009C35A7"/>
    <w:rsid w:val="009C3646"/>
    <w:rsid w:val="009C3732"/>
    <w:rsid w:val="009C374A"/>
    <w:rsid w:val="009C3821"/>
    <w:rsid w:val="009C3866"/>
    <w:rsid w:val="009C38D1"/>
    <w:rsid w:val="009C3912"/>
    <w:rsid w:val="009C3939"/>
    <w:rsid w:val="009C3950"/>
    <w:rsid w:val="009C3AC4"/>
    <w:rsid w:val="009C3AE2"/>
    <w:rsid w:val="009C3B2F"/>
    <w:rsid w:val="009C3B72"/>
    <w:rsid w:val="009C3B75"/>
    <w:rsid w:val="009C3B76"/>
    <w:rsid w:val="009C3BB0"/>
    <w:rsid w:val="009C3C88"/>
    <w:rsid w:val="009C3CA9"/>
    <w:rsid w:val="009C3CDD"/>
    <w:rsid w:val="009C3CF2"/>
    <w:rsid w:val="009C3D0A"/>
    <w:rsid w:val="009C3D61"/>
    <w:rsid w:val="009C3D78"/>
    <w:rsid w:val="009C3DD5"/>
    <w:rsid w:val="009C3DE5"/>
    <w:rsid w:val="009C3E49"/>
    <w:rsid w:val="009C3E73"/>
    <w:rsid w:val="009C3EDA"/>
    <w:rsid w:val="009C3F66"/>
    <w:rsid w:val="009C3FEF"/>
    <w:rsid w:val="009C4104"/>
    <w:rsid w:val="009C4189"/>
    <w:rsid w:val="009C4243"/>
    <w:rsid w:val="009C42FB"/>
    <w:rsid w:val="009C4336"/>
    <w:rsid w:val="009C4351"/>
    <w:rsid w:val="009C4354"/>
    <w:rsid w:val="009C43A9"/>
    <w:rsid w:val="009C43B2"/>
    <w:rsid w:val="009C43D0"/>
    <w:rsid w:val="009C43D1"/>
    <w:rsid w:val="009C4450"/>
    <w:rsid w:val="009C447A"/>
    <w:rsid w:val="009C449B"/>
    <w:rsid w:val="009C44A5"/>
    <w:rsid w:val="009C44A7"/>
    <w:rsid w:val="009C44B6"/>
    <w:rsid w:val="009C450D"/>
    <w:rsid w:val="009C459E"/>
    <w:rsid w:val="009C45AB"/>
    <w:rsid w:val="009C463D"/>
    <w:rsid w:val="009C46A2"/>
    <w:rsid w:val="009C46C2"/>
    <w:rsid w:val="009C4737"/>
    <w:rsid w:val="009C4739"/>
    <w:rsid w:val="009C4777"/>
    <w:rsid w:val="009C4814"/>
    <w:rsid w:val="009C4830"/>
    <w:rsid w:val="009C48B0"/>
    <w:rsid w:val="009C48CA"/>
    <w:rsid w:val="009C4940"/>
    <w:rsid w:val="009C49AC"/>
    <w:rsid w:val="009C49D1"/>
    <w:rsid w:val="009C4A6E"/>
    <w:rsid w:val="009C4A8F"/>
    <w:rsid w:val="009C4AF8"/>
    <w:rsid w:val="009C4B2C"/>
    <w:rsid w:val="009C4C62"/>
    <w:rsid w:val="009C4C6F"/>
    <w:rsid w:val="009C4CD3"/>
    <w:rsid w:val="009C4CEA"/>
    <w:rsid w:val="009C4D18"/>
    <w:rsid w:val="009C4D2E"/>
    <w:rsid w:val="009C4D8F"/>
    <w:rsid w:val="009C4E89"/>
    <w:rsid w:val="009C4E95"/>
    <w:rsid w:val="009C4E96"/>
    <w:rsid w:val="009C4F01"/>
    <w:rsid w:val="009C4F05"/>
    <w:rsid w:val="009C4F0C"/>
    <w:rsid w:val="009C4F20"/>
    <w:rsid w:val="009C4F35"/>
    <w:rsid w:val="009C4F5F"/>
    <w:rsid w:val="009C4FF5"/>
    <w:rsid w:val="009C4FFB"/>
    <w:rsid w:val="009C5018"/>
    <w:rsid w:val="009C5036"/>
    <w:rsid w:val="009C50CE"/>
    <w:rsid w:val="009C50FA"/>
    <w:rsid w:val="009C5110"/>
    <w:rsid w:val="009C5168"/>
    <w:rsid w:val="009C518B"/>
    <w:rsid w:val="009C5205"/>
    <w:rsid w:val="009C52EF"/>
    <w:rsid w:val="009C5379"/>
    <w:rsid w:val="009C539F"/>
    <w:rsid w:val="009C53DE"/>
    <w:rsid w:val="009C54D4"/>
    <w:rsid w:val="009C5502"/>
    <w:rsid w:val="009C5548"/>
    <w:rsid w:val="009C554E"/>
    <w:rsid w:val="009C556C"/>
    <w:rsid w:val="009C55E5"/>
    <w:rsid w:val="009C55FD"/>
    <w:rsid w:val="009C566A"/>
    <w:rsid w:val="009C566E"/>
    <w:rsid w:val="009C5686"/>
    <w:rsid w:val="009C570F"/>
    <w:rsid w:val="009C580E"/>
    <w:rsid w:val="009C585A"/>
    <w:rsid w:val="009C5884"/>
    <w:rsid w:val="009C590B"/>
    <w:rsid w:val="009C59C1"/>
    <w:rsid w:val="009C59FF"/>
    <w:rsid w:val="009C5A52"/>
    <w:rsid w:val="009C5A68"/>
    <w:rsid w:val="009C5A76"/>
    <w:rsid w:val="009C5A84"/>
    <w:rsid w:val="009C5A99"/>
    <w:rsid w:val="009C5A9A"/>
    <w:rsid w:val="009C5AD2"/>
    <w:rsid w:val="009C5B76"/>
    <w:rsid w:val="009C5B7D"/>
    <w:rsid w:val="009C5C02"/>
    <w:rsid w:val="009C5C3E"/>
    <w:rsid w:val="009C5C60"/>
    <w:rsid w:val="009C5C88"/>
    <w:rsid w:val="009C5CC0"/>
    <w:rsid w:val="009C5CCE"/>
    <w:rsid w:val="009C5D03"/>
    <w:rsid w:val="009C5D05"/>
    <w:rsid w:val="009C5D4D"/>
    <w:rsid w:val="009C5D8A"/>
    <w:rsid w:val="009C5E49"/>
    <w:rsid w:val="009C5E5F"/>
    <w:rsid w:val="009C5EF1"/>
    <w:rsid w:val="009C5F64"/>
    <w:rsid w:val="009C5FC0"/>
    <w:rsid w:val="009C5FE0"/>
    <w:rsid w:val="009C5FFC"/>
    <w:rsid w:val="009C6026"/>
    <w:rsid w:val="009C602F"/>
    <w:rsid w:val="009C6073"/>
    <w:rsid w:val="009C607D"/>
    <w:rsid w:val="009C60E6"/>
    <w:rsid w:val="009C614F"/>
    <w:rsid w:val="009C6167"/>
    <w:rsid w:val="009C6168"/>
    <w:rsid w:val="009C6171"/>
    <w:rsid w:val="009C61CD"/>
    <w:rsid w:val="009C61EB"/>
    <w:rsid w:val="009C621D"/>
    <w:rsid w:val="009C6243"/>
    <w:rsid w:val="009C624B"/>
    <w:rsid w:val="009C625E"/>
    <w:rsid w:val="009C62AA"/>
    <w:rsid w:val="009C6303"/>
    <w:rsid w:val="009C6309"/>
    <w:rsid w:val="009C630F"/>
    <w:rsid w:val="009C631D"/>
    <w:rsid w:val="009C6320"/>
    <w:rsid w:val="009C6338"/>
    <w:rsid w:val="009C6363"/>
    <w:rsid w:val="009C63E4"/>
    <w:rsid w:val="009C64EB"/>
    <w:rsid w:val="009C6515"/>
    <w:rsid w:val="009C6519"/>
    <w:rsid w:val="009C659E"/>
    <w:rsid w:val="009C65B8"/>
    <w:rsid w:val="009C65D8"/>
    <w:rsid w:val="009C65E6"/>
    <w:rsid w:val="009C65FA"/>
    <w:rsid w:val="009C6632"/>
    <w:rsid w:val="009C6694"/>
    <w:rsid w:val="009C66AA"/>
    <w:rsid w:val="009C6828"/>
    <w:rsid w:val="009C684F"/>
    <w:rsid w:val="009C68E8"/>
    <w:rsid w:val="009C6972"/>
    <w:rsid w:val="009C6989"/>
    <w:rsid w:val="009C69AF"/>
    <w:rsid w:val="009C69CD"/>
    <w:rsid w:val="009C6A82"/>
    <w:rsid w:val="009C6ACE"/>
    <w:rsid w:val="009C6B0E"/>
    <w:rsid w:val="009C6BB1"/>
    <w:rsid w:val="009C6BC7"/>
    <w:rsid w:val="009C6C94"/>
    <w:rsid w:val="009C6C9C"/>
    <w:rsid w:val="009C6C9E"/>
    <w:rsid w:val="009C6D03"/>
    <w:rsid w:val="009C6DAC"/>
    <w:rsid w:val="009C6DC2"/>
    <w:rsid w:val="009C6DEF"/>
    <w:rsid w:val="009C6E3C"/>
    <w:rsid w:val="009C6E96"/>
    <w:rsid w:val="009C6EF0"/>
    <w:rsid w:val="009C6EF7"/>
    <w:rsid w:val="009C6F27"/>
    <w:rsid w:val="009C6F44"/>
    <w:rsid w:val="009C6F74"/>
    <w:rsid w:val="009C6FD2"/>
    <w:rsid w:val="009C7002"/>
    <w:rsid w:val="009C701D"/>
    <w:rsid w:val="009C7046"/>
    <w:rsid w:val="009C70D9"/>
    <w:rsid w:val="009C711B"/>
    <w:rsid w:val="009C7172"/>
    <w:rsid w:val="009C71B1"/>
    <w:rsid w:val="009C72FB"/>
    <w:rsid w:val="009C736C"/>
    <w:rsid w:val="009C73CB"/>
    <w:rsid w:val="009C7408"/>
    <w:rsid w:val="009C743C"/>
    <w:rsid w:val="009C7454"/>
    <w:rsid w:val="009C75AE"/>
    <w:rsid w:val="009C75C5"/>
    <w:rsid w:val="009C766D"/>
    <w:rsid w:val="009C766F"/>
    <w:rsid w:val="009C76A9"/>
    <w:rsid w:val="009C76EA"/>
    <w:rsid w:val="009C7717"/>
    <w:rsid w:val="009C771B"/>
    <w:rsid w:val="009C775F"/>
    <w:rsid w:val="009C77B5"/>
    <w:rsid w:val="009C77E3"/>
    <w:rsid w:val="009C7870"/>
    <w:rsid w:val="009C794D"/>
    <w:rsid w:val="009C794F"/>
    <w:rsid w:val="009C7A20"/>
    <w:rsid w:val="009C7BBC"/>
    <w:rsid w:val="009C7C70"/>
    <w:rsid w:val="009C7CF7"/>
    <w:rsid w:val="009C7DFB"/>
    <w:rsid w:val="009C7E8C"/>
    <w:rsid w:val="009C7E92"/>
    <w:rsid w:val="009C7F59"/>
    <w:rsid w:val="009C7F5C"/>
    <w:rsid w:val="009C7F73"/>
    <w:rsid w:val="009C7F89"/>
    <w:rsid w:val="009C7F9C"/>
    <w:rsid w:val="009C7FA4"/>
    <w:rsid w:val="009C7FB9"/>
    <w:rsid w:val="009C7FE6"/>
    <w:rsid w:val="009C7FF0"/>
    <w:rsid w:val="009CFCF0"/>
    <w:rsid w:val="009D0026"/>
    <w:rsid w:val="009D005B"/>
    <w:rsid w:val="009D005E"/>
    <w:rsid w:val="009D01BF"/>
    <w:rsid w:val="009D022A"/>
    <w:rsid w:val="009D0249"/>
    <w:rsid w:val="009D0258"/>
    <w:rsid w:val="009D02A2"/>
    <w:rsid w:val="009D033F"/>
    <w:rsid w:val="009D040C"/>
    <w:rsid w:val="009D041A"/>
    <w:rsid w:val="009D0484"/>
    <w:rsid w:val="009D05F9"/>
    <w:rsid w:val="009D0608"/>
    <w:rsid w:val="009D066B"/>
    <w:rsid w:val="009D0731"/>
    <w:rsid w:val="009D074B"/>
    <w:rsid w:val="009D07D0"/>
    <w:rsid w:val="009D0829"/>
    <w:rsid w:val="009D08CB"/>
    <w:rsid w:val="009D08DA"/>
    <w:rsid w:val="009D0967"/>
    <w:rsid w:val="009D0991"/>
    <w:rsid w:val="009D09B6"/>
    <w:rsid w:val="009D09D9"/>
    <w:rsid w:val="009D0A7C"/>
    <w:rsid w:val="009D0B6A"/>
    <w:rsid w:val="009D0B82"/>
    <w:rsid w:val="009D0C9A"/>
    <w:rsid w:val="009D0CC7"/>
    <w:rsid w:val="009D0CCC"/>
    <w:rsid w:val="009D0D28"/>
    <w:rsid w:val="009D0D31"/>
    <w:rsid w:val="009D0DBE"/>
    <w:rsid w:val="009D0DEA"/>
    <w:rsid w:val="009D0DFE"/>
    <w:rsid w:val="009D0E1C"/>
    <w:rsid w:val="009D0E24"/>
    <w:rsid w:val="009D0EDA"/>
    <w:rsid w:val="009D0F76"/>
    <w:rsid w:val="009D0F98"/>
    <w:rsid w:val="009D0FAA"/>
    <w:rsid w:val="009D0FD4"/>
    <w:rsid w:val="009D0FE9"/>
    <w:rsid w:val="009D1029"/>
    <w:rsid w:val="009D105D"/>
    <w:rsid w:val="009D10BB"/>
    <w:rsid w:val="009D1128"/>
    <w:rsid w:val="009D1135"/>
    <w:rsid w:val="009D126C"/>
    <w:rsid w:val="009D12B6"/>
    <w:rsid w:val="009D12CC"/>
    <w:rsid w:val="009D12D6"/>
    <w:rsid w:val="009D137F"/>
    <w:rsid w:val="009D13C1"/>
    <w:rsid w:val="009D1406"/>
    <w:rsid w:val="009D1441"/>
    <w:rsid w:val="009D1443"/>
    <w:rsid w:val="009D1455"/>
    <w:rsid w:val="009D145E"/>
    <w:rsid w:val="009D14FD"/>
    <w:rsid w:val="009D152B"/>
    <w:rsid w:val="009D15CA"/>
    <w:rsid w:val="009D1608"/>
    <w:rsid w:val="009D1694"/>
    <w:rsid w:val="009D16A7"/>
    <w:rsid w:val="009D16AE"/>
    <w:rsid w:val="009D16D0"/>
    <w:rsid w:val="009D17CF"/>
    <w:rsid w:val="009D1811"/>
    <w:rsid w:val="009D1879"/>
    <w:rsid w:val="009D188C"/>
    <w:rsid w:val="009D18A3"/>
    <w:rsid w:val="009D18B2"/>
    <w:rsid w:val="009D18C0"/>
    <w:rsid w:val="009D1907"/>
    <w:rsid w:val="009D1916"/>
    <w:rsid w:val="009D1978"/>
    <w:rsid w:val="009D1A2A"/>
    <w:rsid w:val="009D1A58"/>
    <w:rsid w:val="009D1B11"/>
    <w:rsid w:val="009D1B8E"/>
    <w:rsid w:val="009D1BF5"/>
    <w:rsid w:val="009D1C27"/>
    <w:rsid w:val="009D1C3F"/>
    <w:rsid w:val="009D1C47"/>
    <w:rsid w:val="009D1C52"/>
    <w:rsid w:val="009D1C53"/>
    <w:rsid w:val="009D1C7B"/>
    <w:rsid w:val="009D1C81"/>
    <w:rsid w:val="009D1CAD"/>
    <w:rsid w:val="009D1D2F"/>
    <w:rsid w:val="009D1D30"/>
    <w:rsid w:val="009D1D49"/>
    <w:rsid w:val="009D1D5C"/>
    <w:rsid w:val="009D1D66"/>
    <w:rsid w:val="009D1D68"/>
    <w:rsid w:val="009D1EB8"/>
    <w:rsid w:val="009D1FDD"/>
    <w:rsid w:val="009D2095"/>
    <w:rsid w:val="009D20F0"/>
    <w:rsid w:val="009D21A1"/>
    <w:rsid w:val="009D21D2"/>
    <w:rsid w:val="009D21F0"/>
    <w:rsid w:val="009D2277"/>
    <w:rsid w:val="009D2282"/>
    <w:rsid w:val="009D22AA"/>
    <w:rsid w:val="009D22B7"/>
    <w:rsid w:val="009D22E1"/>
    <w:rsid w:val="009D232E"/>
    <w:rsid w:val="009D2335"/>
    <w:rsid w:val="009D235A"/>
    <w:rsid w:val="009D2363"/>
    <w:rsid w:val="009D23CE"/>
    <w:rsid w:val="009D23DF"/>
    <w:rsid w:val="009D241C"/>
    <w:rsid w:val="009D2463"/>
    <w:rsid w:val="009D2481"/>
    <w:rsid w:val="009D24CC"/>
    <w:rsid w:val="009D24F7"/>
    <w:rsid w:val="009D2568"/>
    <w:rsid w:val="009D25B5"/>
    <w:rsid w:val="009D261A"/>
    <w:rsid w:val="009D2627"/>
    <w:rsid w:val="009D26DB"/>
    <w:rsid w:val="009D26E9"/>
    <w:rsid w:val="009D273B"/>
    <w:rsid w:val="009D2777"/>
    <w:rsid w:val="009D277B"/>
    <w:rsid w:val="009D2793"/>
    <w:rsid w:val="009D27DC"/>
    <w:rsid w:val="009D2854"/>
    <w:rsid w:val="009D2866"/>
    <w:rsid w:val="009D28D7"/>
    <w:rsid w:val="009D2967"/>
    <w:rsid w:val="009D2979"/>
    <w:rsid w:val="009D29E6"/>
    <w:rsid w:val="009D2A01"/>
    <w:rsid w:val="009D2B5C"/>
    <w:rsid w:val="009D2C1F"/>
    <w:rsid w:val="009D2C3D"/>
    <w:rsid w:val="009D2CB1"/>
    <w:rsid w:val="009D2DEB"/>
    <w:rsid w:val="009D2EA3"/>
    <w:rsid w:val="009D2ED6"/>
    <w:rsid w:val="009D2F6C"/>
    <w:rsid w:val="009D3001"/>
    <w:rsid w:val="009D303F"/>
    <w:rsid w:val="009D30A0"/>
    <w:rsid w:val="009D30EF"/>
    <w:rsid w:val="009D30FC"/>
    <w:rsid w:val="009D3189"/>
    <w:rsid w:val="009D31F3"/>
    <w:rsid w:val="009D3201"/>
    <w:rsid w:val="009D3229"/>
    <w:rsid w:val="009D32AB"/>
    <w:rsid w:val="009D32BE"/>
    <w:rsid w:val="009D331F"/>
    <w:rsid w:val="009D339D"/>
    <w:rsid w:val="009D33A8"/>
    <w:rsid w:val="009D34F2"/>
    <w:rsid w:val="009D3503"/>
    <w:rsid w:val="009D35B6"/>
    <w:rsid w:val="009D35C6"/>
    <w:rsid w:val="009D35D1"/>
    <w:rsid w:val="009D35E6"/>
    <w:rsid w:val="009D364B"/>
    <w:rsid w:val="009D369E"/>
    <w:rsid w:val="009D37D2"/>
    <w:rsid w:val="009D37DC"/>
    <w:rsid w:val="009D3837"/>
    <w:rsid w:val="009D3856"/>
    <w:rsid w:val="009D3919"/>
    <w:rsid w:val="009D3945"/>
    <w:rsid w:val="009D3993"/>
    <w:rsid w:val="009D39CC"/>
    <w:rsid w:val="009D39F0"/>
    <w:rsid w:val="009D3A24"/>
    <w:rsid w:val="009D3A8C"/>
    <w:rsid w:val="009D3AC7"/>
    <w:rsid w:val="009D3ACF"/>
    <w:rsid w:val="009D3AEE"/>
    <w:rsid w:val="009D3AF5"/>
    <w:rsid w:val="009D3B1C"/>
    <w:rsid w:val="009D3BE9"/>
    <w:rsid w:val="009D3C7D"/>
    <w:rsid w:val="009D3D26"/>
    <w:rsid w:val="009D3D7A"/>
    <w:rsid w:val="009D3D7E"/>
    <w:rsid w:val="009D3D84"/>
    <w:rsid w:val="009D3D90"/>
    <w:rsid w:val="009D3E09"/>
    <w:rsid w:val="009D3E3A"/>
    <w:rsid w:val="009D3E80"/>
    <w:rsid w:val="009D3F2B"/>
    <w:rsid w:val="009D3F47"/>
    <w:rsid w:val="009D3F48"/>
    <w:rsid w:val="009D3F4C"/>
    <w:rsid w:val="009D3F71"/>
    <w:rsid w:val="009D3F7F"/>
    <w:rsid w:val="009D3FF2"/>
    <w:rsid w:val="009D4061"/>
    <w:rsid w:val="009D40EA"/>
    <w:rsid w:val="009D4109"/>
    <w:rsid w:val="009D4187"/>
    <w:rsid w:val="009D41A3"/>
    <w:rsid w:val="009D41BD"/>
    <w:rsid w:val="009D4226"/>
    <w:rsid w:val="009D423A"/>
    <w:rsid w:val="009D426E"/>
    <w:rsid w:val="009D4277"/>
    <w:rsid w:val="009D42E0"/>
    <w:rsid w:val="009D42F9"/>
    <w:rsid w:val="009D4300"/>
    <w:rsid w:val="009D4311"/>
    <w:rsid w:val="009D4401"/>
    <w:rsid w:val="009D4452"/>
    <w:rsid w:val="009D4502"/>
    <w:rsid w:val="009D45A9"/>
    <w:rsid w:val="009D45B3"/>
    <w:rsid w:val="009D45E6"/>
    <w:rsid w:val="009D462C"/>
    <w:rsid w:val="009D4644"/>
    <w:rsid w:val="009D4675"/>
    <w:rsid w:val="009D46AA"/>
    <w:rsid w:val="009D4754"/>
    <w:rsid w:val="009D47B3"/>
    <w:rsid w:val="009D47D3"/>
    <w:rsid w:val="009D47E2"/>
    <w:rsid w:val="009D47F5"/>
    <w:rsid w:val="009D4809"/>
    <w:rsid w:val="009D4833"/>
    <w:rsid w:val="009D48A2"/>
    <w:rsid w:val="009D48CA"/>
    <w:rsid w:val="009D493A"/>
    <w:rsid w:val="009D493E"/>
    <w:rsid w:val="009D4988"/>
    <w:rsid w:val="009D4996"/>
    <w:rsid w:val="009D4998"/>
    <w:rsid w:val="009D49AB"/>
    <w:rsid w:val="009D4AAB"/>
    <w:rsid w:val="009D4AD4"/>
    <w:rsid w:val="009D4B0F"/>
    <w:rsid w:val="009D4B1C"/>
    <w:rsid w:val="009D4B36"/>
    <w:rsid w:val="009D4B3E"/>
    <w:rsid w:val="009D4B83"/>
    <w:rsid w:val="009D4B91"/>
    <w:rsid w:val="009D4BFE"/>
    <w:rsid w:val="009D4C35"/>
    <w:rsid w:val="009D4C7C"/>
    <w:rsid w:val="009D4D21"/>
    <w:rsid w:val="009D4D4C"/>
    <w:rsid w:val="009D4D70"/>
    <w:rsid w:val="009D4D95"/>
    <w:rsid w:val="009D4DAA"/>
    <w:rsid w:val="009D4E50"/>
    <w:rsid w:val="009D4F6F"/>
    <w:rsid w:val="009D4F99"/>
    <w:rsid w:val="009D4FC1"/>
    <w:rsid w:val="009D4FEC"/>
    <w:rsid w:val="009D50ED"/>
    <w:rsid w:val="009D510A"/>
    <w:rsid w:val="009D51DD"/>
    <w:rsid w:val="009D5245"/>
    <w:rsid w:val="009D5274"/>
    <w:rsid w:val="009D5331"/>
    <w:rsid w:val="009D5358"/>
    <w:rsid w:val="009D53A2"/>
    <w:rsid w:val="009D5470"/>
    <w:rsid w:val="009D548E"/>
    <w:rsid w:val="009D5496"/>
    <w:rsid w:val="009D54F6"/>
    <w:rsid w:val="009D551D"/>
    <w:rsid w:val="009D5546"/>
    <w:rsid w:val="009D554D"/>
    <w:rsid w:val="009D55ED"/>
    <w:rsid w:val="009D5663"/>
    <w:rsid w:val="009D567D"/>
    <w:rsid w:val="009D5753"/>
    <w:rsid w:val="009D57AD"/>
    <w:rsid w:val="009D58A2"/>
    <w:rsid w:val="009D5935"/>
    <w:rsid w:val="009D5943"/>
    <w:rsid w:val="009D597B"/>
    <w:rsid w:val="009D5995"/>
    <w:rsid w:val="009D59F5"/>
    <w:rsid w:val="009D5A3F"/>
    <w:rsid w:val="009D5A55"/>
    <w:rsid w:val="009D5A78"/>
    <w:rsid w:val="009D5ABC"/>
    <w:rsid w:val="009D5AFF"/>
    <w:rsid w:val="009D5B15"/>
    <w:rsid w:val="009D5BBB"/>
    <w:rsid w:val="009D5BD5"/>
    <w:rsid w:val="009D5BD9"/>
    <w:rsid w:val="009D5C14"/>
    <w:rsid w:val="009D5C1A"/>
    <w:rsid w:val="009D5C43"/>
    <w:rsid w:val="009D5C53"/>
    <w:rsid w:val="009D5D4E"/>
    <w:rsid w:val="009D5DD7"/>
    <w:rsid w:val="009D5DE3"/>
    <w:rsid w:val="009D5E15"/>
    <w:rsid w:val="009D5EC6"/>
    <w:rsid w:val="009D5F9C"/>
    <w:rsid w:val="009D60C4"/>
    <w:rsid w:val="009D60D7"/>
    <w:rsid w:val="009D61BE"/>
    <w:rsid w:val="009D620C"/>
    <w:rsid w:val="009D6210"/>
    <w:rsid w:val="009D62A8"/>
    <w:rsid w:val="009D62FC"/>
    <w:rsid w:val="009D63FA"/>
    <w:rsid w:val="009D6408"/>
    <w:rsid w:val="009D6461"/>
    <w:rsid w:val="009D64A1"/>
    <w:rsid w:val="009D64F8"/>
    <w:rsid w:val="009D65A6"/>
    <w:rsid w:val="009D6651"/>
    <w:rsid w:val="009D66D6"/>
    <w:rsid w:val="009D66D8"/>
    <w:rsid w:val="009D6799"/>
    <w:rsid w:val="009D67EE"/>
    <w:rsid w:val="009D691E"/>
    <w:rsid w:val="009D693E"/>
    <w:rsid w:val="009D6978"/>
    <w:rsid w:val="009D69B1"/>
    <w:rsid w:val="009D6A13"/>
    <w:rsid w:val="009D6AD7"/>
    <w:rsid w:val="009D6AE3"/>
    <w:rsid w:val="009D6AE5"/>
    <w:rsid w:val="009D6B44"/>
    <w:rsid w:val="009D6B96"/>
    <w:rsid w:val="009D6BAA"/>
    <w:rsid w:val="009D6C55"/>
    <w:rsid w:val="009D6C6B"/>
    <w:rsid w:val="009D6CED"/>
    <w:rsid w:val="009D6D15"/>
    <w:rsid w:val="009D6DC0"/>
    <w:rsid w:val="009D6DC5"/>
    <w:rsid w:val="009D6DFF"/>
    <w:rsid w:val="009D6E1E"/>
    <w:rsid w:val="009D6F9A"/>
    <w:rsid w:val="009D6FCE"/>
    <w:rsid w:val="009D6FE9"/>
    <w:rsid w:val="009D7010"/>
    <w:rsid w:val="009D7011"/>
    <w:rsid w:val="009D7025"/>
    <w:rsid w:val="009D7052"/>
    <w:rsid w:val="009D7098"/>
    <w:rsid w:val="009D70D0"/>
    <w:rsid w:val="009D7127"/>
    <w:rsid w:val="009D716A"/>
    <w:rsid w:val="009D717D"/>
    <w:rsid w:val="009D717F"/>
    <w:rsid w:val="009D719F"/>
    <w:rsid w:val="009D71C1"/>
    <w:rsid w:val="009D7217"/>
    <w:rsid w:val="009D7227"/>
    <w:rsid w:val="009D728E"/>
    <w:rsid w:val="009D7296"/>
    <w:rsid w:val="009D729F"/>
    <w:rsid w:val="009D72CA"/>
    <w:rsid w:val="009D72EB"/>
    <w:rsid w:val="009D730F"/>
    <w:rsid w:val="009D732E"/>
    <w:rsid w:val="009D737B"/>
    <w:rsid w:val="009D7419"/>
    <w:rsid w:val="009D743A"/>
    <w:rsid w:val="009D7498"/>
    <w:rsid w:val="009D751E"/>
    <w:rsid w:val="009D753E"/>
    <w:rsid w:val="009D761A"/>
    <w:rsid w:val="009D7671"/>
    <w:rsid w:val="009D768F"/>
    <w:rsid w:val="009D7730"/>
    <w:rsid w:val="009D77C8"/>
    <w:rsid w:val="009D77DD"/>
    <w:rsid w:val="009D7863"/>
    <w:rsid w:val="009D7875"/>
    <w:rsid w:val="009D78EC"/>
    <w:rsid w:val="009D7966"/>
    <w:rsid w:val="009D7A1A"/>
    <w:rsid w:val="009D7AA2"/>
    <w:rsid w:val="009D7AE2"/>
    <w:rsid w:val="009D7AEB"/>
    <w:rsid w:val="009D7AF1"/>
    <w:rsid w:val="009D7B75"/>
    <w:rsid w:val="009D7BDD"/>
    <w:rsid w:val="009D7D5C"/>
    <w:rsid w:val="009D7DBA"/>
    <w:rsid w:val="009D7DBB"/>
    <w:rsid w:val="009D7E20"/>
    <w:rsid w:val="009D7ED8"/>
    <w:rsid w:val="009D7EEC"/>
    <w:rsid w:val="009D7FE6"/>
    <w:rsid w:val="009E0123"/>
    <w:rsid w:val="009E0155"/>
    <w:rsid w:val="009E019E"/>
    <w:rsid w:val="009E0240"/>
    <w:rsid w:val="009E026B"/>
    <w:rsid w:val="009E02DE"/>
    <w:rsid w:val="009E030B"/>
    <w:rsid w:val="009E0331"/>
    <w:rsid w:val="009E0351"/>
    <w:rsid w:val="009E03A1"/>
    <w:rsid w:val="009E03C7"/>
    <w:rsid w:val="009E043A"/>
    <w:rsid w:val="009E0475"/>
    <w:rsid w:val="009E04A2"/>
    <w:rsid w:val="009E04C7"/>
    <w:rsid w:val="009E04DB"/>
    <w:rsid w:val="009E0508"/>
    <w:rsid w:val="009E0532"/>
    <w:rsid w:val="009E0573"/>
    <w:rsid w:val="009E05A9"/>
    <w:rsid w:val="009E060E"/>
    <w:rsid w:val="009E077D"/>
    <w:rsid w:val="009E0808"/>
    <w:rsid w:val="009E0862"/>
    <w:rsid w:val="009E0871"/>
    <w:rsid w:val="009E0893"/>
    <w:rsid w:val="009E0897"/>
    <w:rsid w:val="009E0A6D"/>
    <w:rsid w:val="009E0AC5"/>
    <w:rsid w:val="009E0AE4"/>
    <w:rsid w:val="009E0B18"/>
    <w:rsid w:val="009E0B1F"/>
    <w:rsid w:val="009E0B32"/>
    <w:rsid w:val="009E0C52"/>
    <w:rsid w:val="009E0C76"/>
    <w:rsid w:val="009E0CB3"/>
    <w:rsid w:val="009E0D09"/>
    <w:rsid w:val="009E0D55"/>
    <w:rsid w:val="009E0D79"/>
    <w:rsid w:val="009E0E8E"/>
    <w:rsid w:val="009E0E92"/>
    <w:rsid w:val="009E0EF2"/>
    <w:rsid w:val="009E0F2B"/>
    <w:rsid w:val="009E0F46"/>
    <w:rsid w:val="009E0F7F"/>
    <w:rsid w:val="009E0F98"/>
    <w:rsid w:val="009E0FB5"/>
    <w:rsid w:val="009E1009"/>
    <w:rsid w:val="009E1023"/>
    <w:rsid w:val="009E1068"/>
    <w:rsid w:val="009E1069"/>
    <w:rsid w:val="009E1093"/>
    <w:rsid w:val="009E10B2"/>
    <w:rsid w:val="009E1169"/>
    <w:rsid w:val="009E118B"/>
    <w:rsid w:val="009E11AB"/>
    <w:rsid w:val="009E1243"/>
    <w:rsid w:val="009E126B"/>
    <w:rsid w:val="009E1277"/>
    <w:rsid w:val="009E1291"/>
    <w:rsid w:val="009E12F9"/>
    <w:rsid w:val="009E1300"/>
    <w:rsid w:val="009E1334"/>
    <w:rsid w:val="009E13AA"/>
    <w:rsid w:val="009E13E7"/>
    <w:rsid w:val="009E148F"/>
    <w:rsid w:val="009E14E4"/>
    <w:rsid w:val="009E14E8"/>
    <w:rsid w:val="009E155F"/>
    <w:rsid w:val="009E1575"/>
    <w:rsid w:val="009E15C9"/>
    <w:rsid w:val="009E1616"/>
    <w:rsid w:val="009E16D0"/>
    <w:rsid w:val="009E16E6"/>
    <w:rsid w:val="009E1742"/>
    <w:rsid w:val="009E178C"/>
    <w:rsid w:val="009E17B0"/>
    <w:rsid w:val="009E186A"/>
    <w:rsid w:val="009E1876"/>
    <w:rsid w:val="009E18D0"/>
    <w:rsid w:val="009E1958"/>
    <w:rsid w:val="009E1961"/>
    <w:rsid w:val="009E197C"/>
    <w:rsid w:val="009E1999"/>
    <w:rsid w:val="009E19B5"/>
    <w:rsid w:val="009E19B7"/>
    <w:rsid w:val="009E19D8"/>
    <w:rsid w:val="009E19DB"/>
    <w:rsid w:val="009E1A8F"/>
    <w:rsid w:val="009E1B91"/>
    <w:rsid w:val="009E1BB7"/>
    <w:rsid w:val="009E1BF2"/>
    <w:rsid w:val="009E1C44"/>
    <w:rsid w:val="009E1C4F"/>
    <w:rsid w:val="009E1C63"/>
    <w:rsid w:val="009E1C91"/>
    <w:rsid w:val="009E1CE3"/>
    <w:rsid w:val="009E1D6B"/>
    <w:rsid w:val="009E1D9A"/>
    <w:rsid w:val="009E1E59"/>
    <w:rsid w:val="009E1E8E"/>
    <w:rsid w:val="009E1EAA"/>
    <w:rsid w:val="009E1EAC"/>
    <w:rsid w:val="009E1F1F"/>
    <w:rsid w:val="009E1F2E"/>
    <w:rsid w:val="009E1FBF"/>
    <w:rsid w:val="009E1FD0"/>
    <w:rsid w:val="009E204F"/>
    <w:rsid w:val="009E2069"/>
    <w:rsid w:val="009E2090"/>
    <w:rsid w:val="009E2093"/>
    <w:rsid w:val="009E2105"/>
    <w:rsid w:val="009E216F"/>
    <w:rsid w:val="009E21B8"/>
    <w:rsid w:val="009E21CB"/>
    <w:rsid w:val="009E21F7"/>
    <w:rsid w:val="009E240F"/>
    <w:rsid w:val="009E2410"/>
    <w:rsid w:val="009E2423"/>
    <w:rsid w:val="009E245C"/>
    <w:rsid w:val="009E24CA"/>
    <w:rsid w:val="009E250A"/>
    <w:rsid w:val="009E25EB"/>
    <w:rsid w:val="009E25EF"/>
    <w:rsid w:val="009E25FE"/>
    <w:rsid w:val="009E260A"/>
    <w:rsid w:val="009E260C"/>
    <w:rsid w:val="009E2678"/>
    <w:rsid w:val="009E269E"/>
    <w:rsid w:val="009E272C"/>
    <w:rsid w:val="009E275F"/>
    <w:rsid w:val="009E2855"/>
    <w:rsid w:val="009E28A0"/>
    <w:rsid w:val="009E28B0"/>
    <w:rsid w:val="009E29BC"/>
    <w:rsid w:val="009E29BD"/>
    <w:rsid w:val="009E29F6"/>
    <w:rsid w:val="009E2A2F"/>
    <w:rsid w:val="009E2A67"/>
    <w:rsid w:val="009E2C50"/>
    <w:rsid w:val="009E2C94"/>
    <w:rsid w:val="009E2CA7"/>
    <w:rsid w:val="009E2CE7"/>
    <w:rsid w:val="009E2DE7"/>
    <w:rsid w:val="009E2E35"/>
    <w:rsid w:val="009E2E52"/>
    <w:rsid w:val="009E2E97"/>
    <w:rsid w:val="009E2F4D"/>
    <w:rsid w:val="009E2F50"/>
    <w:rsid w:val="009E2FD7"/>
    <w:rsid w:val="009E2FDF"/>
    <w:rsid w:val="009E3111"/>
    <w:rsid w:val="009E3129"/>
    <w:rsid w:val="009E313F"/>
    <w:rsid w:val="009E3150"/>
    <w:rsid w:val="009E3157"/>
    <w:rsid w:val="009E31E4"/>
    <w:rsid w:val="009E324D"/>
    <w:rsid w:val="009E3265"/>
    <w:rsid w:val="009E32BF"/>
    <w:rsid w:val="009E32EF"/>
    <w:rsid w:val="009E3358"/>
    <w:rsid w:val="009E33F4"/>
    <w:rsid w:val="009E33F6"/>
    <w:rsid w:val="009E3402"/>
    <w:rsid w:val="009E340C"/>
    <w:rsid w:val="009E340D"/>
    <w:rsid w:val="009E3420"/>
    <w:rsid w:val="009E347F"/>
    <w:rsid w:val="009E34B4"/>
    <w:rsid w:val="009E34DA"/>
    <w:rsid w:val="009E34DF"/>
    <w:rsid w:val="009E34E3"/>
    <w:rsid w:val="009E350A"/>
    <w:rsid w:val="009E354C"/>
    <w:rsid w:val="009E362D"/>
    <w:rsid w:val="009E3653"/>
    <w:rsid w:val="009E3655"/>
    <w:rsid w:val="009E36AA"/>
    <w:rsid w:val="009E3721"/>
    <w:rsid w:val="009E3738"/>
    <w:rsid w:val="009E3833"/>
    <w:rsid w:val="009E3862"/>
    <w:rsid w:val="009E3898"/>
    <w:rsid w:val="009E396E"/>
    <w:rsid w:val="009E39C6"/>
    <w:rsid w:val="009E39DA"/>
    <w:rsid w:val="009E3A68"/>
    <w:rsid w:val="009E3B1C"/>
    <w:rsid w:val="009E3B32"/>
    <w:rsid w:val="009E3B99"/>
    <w:rsid w:val="009E3C6F"/>
    <w:rsid w:val="009E3CA1"/>
    <w:rsid w:val="009E3CE7"/>
    <w:rsid w:val="009E3D2E"/>
    <w:rsid w:val="009E3D3D"/>
    <w:rsid w:val="009E3D40"/>
    <w:rsid w:val="009E3D54"/>
    <w:rsid w:val="009E3DF0"/>
    <w:rsid w:val="009E3E73"/>
    <w:rsid w:val="009E3E97"/>
    <w:rsid w:val="009E3ECB"/>
    <w:rsid w:val="009E3ED0"/>
    <w:rsid w:val="009E3F3A"/>
    <w:rsid w:val="009E3F71"/>
    <w:rsid w:val="009E3F9A"/>
    <w:rsid w:val="009E402B"/>
    <w:rsid w:val="009E4032"/>
    <w:rsid w:val="009E40C2"/>
    <w:rsid w:val="009E4148"/>
    <w:rsid w:val="009E4334"/>
    <w:rsid w:val="009E437B"/>
    <w:rsid w:val="009E4447"/>
    <w:rsid w:val="009E444A"/>
    <w:rsid w:val="009E4461"/>
    <w:rsid w:val="009E44D3"/>
    <w:rsid w:val="009E44ED"/>
    <w:rsid w:val="009E459F"/>
    <w:rsid w:val="009E45C2"/>
    <w:rsid w:val="009E45E4"/>
    <w:rsid w:val="009E461D"/>
    <w:rsid w:val="009E4658"/>
    <w:rsid w:val="009E468C"/>
    <w:rsid w:val="009E46AD"/>
    <w:rsid w:val="009E46B3"/>
    <w:rsid w:val="009E46ED"/>
    <w:rsid w:val="009E46FA"/>
    <w:rsid w:val="009E4711"/>
    <w:rsid w:val="009E4765"/>
    <w:rsid w:val="009E477D"/>
    <w:rsid w:val="009E4793"/>
    <w:rsid w:val="009E479E"/>
    <w:rsid w:val="009E4953"/>
    <w:rsid w:val="009E4992"/>
    <w:rsid w:val="009E499E"/>
    <w:rsid w:val="009E49AA"/>
    <w:rsid w:val="009E49AE"/>
    <w:rsid w:val="009E49F9"/>
    <w:rsid w:val="009E4A03"/>
    <w:rsid w:val="009E4AE3"/>
    <w:rsid w:val="009E4AEE"/>
    <w:rsid w:val="009E4B8B"/>
    <w:rsid w:val="009E4BAC"/>
    <w:rsid w:val="009E4BBF"/>
    <w:rsid w:val="009E4C08"/>
    <w:rsid w:val="009E4C4D"/>
    <w:rsid w:val="009E4C60"/>
    <w:rsid w:val="009E4D22"/>
    <w:rsid w:val="009E4D2C"/>
    <w:rsid w:val="009E4D6C"/>
    <w:rsid w:val="009E4DCE"/>
    <w:rsid w:val="009E4E1F"/>
    <w:rsid w:val="009E4E28"/>
    <w:rsid w:val="009E4E2E"/>
    <w:rsid w:val="009E4E44"/>
    <w:rsid w:val="009E4E95"/>
    <w:rsid w:val="009E4E96"/>
    <w:rsid w:val="009E4EA8"/>
    <w:rsid w:val="009E4ECE"/>
    <w:rsid w:val="009E4EE7"/>
    <w:rsid w:val="009E4EF3"/>
    <w:rsid w:val="009E4F3D"/>
    <w:rsid w:val="009E4F63"/>
    <w:rsid w:val="009E4F79"/>
    <w:rsid w:val="009E4F95"/>
    <w:rsid w:val="009E4F96"/>
    <w:rsid w:val="009E4FDB"/>
    <w:rsid w:val="009E5015"/>
    <w:rsid w:val="009E5028"/>
    <w:rsid w:val="009E5110"/>
    <w:rsid w:val="009E513E"/>
    <w:rsid w:val="009E51C0"/>
    <w:rsid w:val="009E51EE"/>
    <w:rsid w:val="009E523D"/>
    <w:rsid w:val="009E5279"/>
    <w:rsid w:val="009E52BF"/>
    <w:rsid w:val="009E530B"/>
    <w:rsid w:val="009E5397"/>
    <w:rsid w:val="009E53A9"/>
    <w:rsid w:val="009E53F5"/>
    <w:rsid w:val="009E5438"/>
    <w:rsid w:val="009E543C"/>
    <w:rsid w:val="009E54A6"/>
    <w:rsid w:val="009E559C"/>
    <w:rsid w:val="009E5667"/>
    <w:rsid w:val="009E56FA"/>
    <w:rsid w:val="009E5714"/>
    <w:rsid w:val="009E5734"/>
    <w:rsid w:val="009E5739"/>
    <w:rsid w:val="009E57BE"/>
    <w:rsid w:val="009E57F0"/>
    <w:rsid w:val="009E57FC"/>
    <w:rsid w:val="009E58A7"/>
    <w:rsid w:val="009E58AD"/>
    <w:rsid w:val="009E58BE"/>
    <w:rsid w:val="009E58DD"/>
    <w:rsid w:val="009E58ED"/>
    <w:rsid w:val="009E59AB"/>
    <w:rsid w:val="009E5A48"/>
    <w:rsid w:val="009E5A9E"/>
    <w:rsid w:val="009E5AC7"/>
    <w:rsid w:val="009E5B3C"/>
    <w:rsid w:val="009E5B5D"/>
    <w:rsid w:val="009E5BAF"/>
    <w:rsid w:val="009E5C0E"/>
    <w:rsid w:val="009E5C6F"/>
    <w:rsid w:val="009E5C90"/>
    <w:rsid w:val="009E5CA6"/>
    <w:rsid w:val="009E5D34"/>
    <w:rsid w:val="009E5E29"/>
    <w:rsid w:val="009E5E46"/>
    <w:rsid w:val="009E5F1F"/>
    <w:rsid w:val="009E5F39"/>
    <w:rsid w:val="009E5FC6"/>
    <w:rsid w:val="009E607E"/>
    <w:rsid w:val="009E60C7"/>
    <w:rsid w:val="009E60D2"/>
    <w:rsid w:val="009E619A"/>
    <w:rsid w:val="009E61C1"/>
    <w:rsid w:val="009E621E"/>
    <w:rsid w:val="009E62E6"/>
    <w:rsid w:val="009E635F"/>
    <w:rsid w:val="009E637A"/>
    <w:rsid w:val="009E63D9"/>
    <w:rsid w:val="009E63F9"/>
    <w:rsid w:val="009E642E"/>
    <w:rsid w:val="009E6458"/>
    <w:rsid w:val="009E6468"/>
    <w:rsid w:val="009E649E"/>
    <w:rsid w:val="009E64BB"/>
    <w:rsid w:val="009E652F"/>
    <w:rsid w:val="009E6581"/>
    <w:rsid w:val="009E6713"/>
    <w:rsid w:val="009E6726"/>
    <w:rsid w:val="009E6799"/>
    <w:rsid w:val="009E67AF"/>
    <w:rsid w:val="009E67D8"/>
    <w:rsid w:val="009E682C"/>
    <w:rsid w:val="009E68B6"/>
    <w:rsid w:val="009E68CF"/>
    <w:rsid w:val="009E693B"/>
    <w:rsid w:val="009E694F"/>
    <w:rsid w:val="009E69C5"/>
    <w:rsid w:val="009E6B06"/>
    <w:rsid w:val="009E6BCC"/>
    <w:rsid w:val="009E6C3D"/>
    <w:rsid w:val="009E6C72"/>
    <w:rsid w:val="009E6CE8"/>
    <w:rsid w:val="009E6CF5"/>
    <w:rsid w:val="009E6E12"/>
    <w:rsid w:val="009E6E91"/>
    <w:rsid w:val="009E6EAB"/>
    <w:rsid w:val="009E6EC3"/>
    <w:rsid w:val="009E6EFA"/>
    <w:rsid w:val="009E6F0D"/>
    <w:rsid w:val="009E6F93"/>
    <w:rsid w:val="009E6FF9"/>
    <w:rsid w:val="009E701D"/>
    <w:rsid w:val="009E7122"/>
    <w:rsid w:val="009E7180"/>
    <w:rsid w:val="009E7187"/>
    <w:rsid w:val="009E71A1"/>
    <w:rsid w:val="009E7260"/>
    <w:rsid w:val="009E72AC"/>
    <w:rsid w:val="009E7343"/>
    <w:rsid w:val="009E7350"/>
    <w:rsid w:val="009E736A"/>
    <w:rsid w:val="009E738C"/>
    <w:rsid w:val="009E740A"/>
    <w:rsid w:val="009E741B"/>
    <w:rsid w:val="009E7428"/>
    <w:rsid w:val="009E747A"/>
    <w:rsid w:val="009E747B"/>
    <w:rsid w:val="009E74A5"/>
    <w:rsid w:val="009E74CA"/>
    <w:rsid w:val="009E7506"/>
    <w:rsid w:val="009E7588"/>
    <w:rsid w:val="009E75AC"/>
    <w:rsid w:val="009E75DF"/>
    <w:rsid w:val="009E75E7"/>
    <w:rsid w:val="009E7646"/>
    <w:rsid w:val="009E7667"/>
    <w:rsid w:val="009E7707"/>
    <w:rsid w:val="009E772D"/>
    <w:rsid w:val="009E775E"/>
    <w:rsid w:val="009E77EB"/>
    <w:rsid w:val="009E7815"/>
    <w:rsid w:val="009E783C"/>
    <w:rsid w:val="009E7847"/>
    <w:rsid w:val="009E78C8"/>
    <w:rsid w:val="009E78DF"/>
    <w:rsid w:val="009E790B"/>
    <w:rsid w:val="009E7916"/>
    <w:rsid w:val="009E7925"/>
    <w:rsid w:val="009E79DD"/>
    <w:rsid w:val="009E7A22"/>
    <w:rsid w:val="009E7A66"/>
    <w:rsid w:val="009E7A83"/>
    <w:rsid w:val="009E7B62"/>
    <w:rsid w:val="009E7B69"/>
    <w:rsid w:val="009E7B7D"/>
    <w:rsid w:val="009E7BA5"/>
    <w:rsid w:val="009E7BAD"/>
    <w:rsid w:val="009E7BD7"/>
    <w:rsid w:val="009E7C27"/>
    <w:rsid w:val="009E7C33"/>
    <w:rsid w:val="009E7C63"/>
    <w:rsid w:val="009E7C78"/>
    <w:rsid w:val="009E7C9B"/>
    <w:rsid w:val="009E7CCE"/>
    <w:rsid w:val="009E7D09"/>
    <w:rsid w:val="009E7D21"/>
    <w:rsid w:val="009E7DAF"/>
    <w:rsid w:val="009E7E34"/>
    <w:rsid w:val="009E7E67"/>
    <w:rsid w:val="009E7F06"/>
    <w:rsid w:val="009E7F27"/>
    <w:rsid w:val="009F006B"/>
    <w:rsid w:val="009F00C0"/>
    <w:rsid w:val="009F0107"/>
    <w:rsid w:val="009F014C"/>
    <w:rsid w:val="009F01B4"/>
    <w:rsid w:val="009F01C9"/>
    <w:rsid w:val="009F01DF"/>
    <w:rsid w:val="009F01FC"/>
    <w:rsid w:val="009F0332"/>
    <w:rsid w:val="009F0353"/>
    <w:rsid w:val="009F03CC"/>
    <w:rsid w:val="009F03DC"/>
    <w:rsid w:val="009F0466"/>
    <w:rsid w:val="009F0472"/>
    <w:rsid w:val="009F0484"/>
    <w:rsid w:val="009F0491"/>
    <w:rsid w:val="009F051B"/>
    <w:rsid w:val="009F05C5"/>
    <w:rsid w:val="009F0658"/>
    <w:rsid w:val="009F0764"/>
    <w:rsid w:val="009F07AC"/>
    <w:rsid w:val="009F07DA"/>
    <w:rsid w:val="009F07FC"/>
    <w:rsid w:val="009F080F"/>
    <w:rsid w:val="009F082C"/>
    <w:rsid w:val="009F08A8"/>
    <w:rsid w:val="009F08E0"/>
    <w:rsid w:val="009F0945"/>
    <w:rsid w:val="009F0965"/>
    <w:rsid w:val="009F097B"/>
    <w:rsid w:val="009F0991"/>
    <w:rsid w:val="009F09A6"/>
    <w:rsid w:val="009F09FD"/>
    <w:rsid w:val="009F0AFF"/>
    <w:rsid w:val="009F0B31"/>
    <w:rsid w:val="009F0B93"/>
    <w:rsid w:val="009F0C05"/>
    <w:rsid w:val="009F0C16"/>
    <w:rsid w:val="009F0CD5"/>
    <w:rsid w:val="009F0D32"/>
    <w:rsid w:val="009F0D4C"/>
    <w:rsid w:val="009F0D67"/>
    <w:rsid w:val="009F0D76"/>
    <w:rsid w:val="009F0DAB"/>
    <w:rsid w:val="009F0DC8"/>
    <w:rsid w:val="009F0E49"/>
    <w:rsid w:val="009F0E74"/>
    <w:rsid w:val="009F0E83"/>
    <w:rsid w:val="009F0E89"/>
    <w:rsid w:val="009F0EB2"/>
    <w:rsid w:val="009F0EB7"/>
    <w:rsid w:val="009F0EDF"/>
    <w:rsid w:val="009F0EEB"/>
    <w:rsid w:val="009F0FF6"/>
    <w:rsid w:val="009F10E6"/>
    <w:rsid w:val="009F10F1"/>
    <w:rsid w:val="009F1163"/>
    <w:rsid w:val="009F116C"/>
    <w:rsid w:val="009F1185"/>
    <w:rsid w:val="009F11C4"/>
    <w:rsid w:val="009F122D"/>
    <w:rsid w:val="009F13B8"/>
    <w:rsid w:val="009F143B"/>
    <w:rsid w:val="009F1450"/>
    <w:rsid w:val="009F1460"/>
    <w:rsid w:val="009F15C5"/>
    <w:rsid w:val="009F163B"/>
    <w:rsid w:val="009F1662"/>
    <w:rsid w:val="009F16AB"/>
    <w:rsid w:val="009F1738"/>
    <w:rsid w:val="009F174A"/>
    <w:rsid w:val="009F17F0"/>
    <w:rsid w:val="009F1835"/>
    <w:rsid w:val="009F1856"/>
    <w:rsid w:val="009F1880"/>
    <w:rsid w:val="009F188B"/>
    <w:rsid w:val="009F18D1"/>
    <w:rsid w:val="009F19D7"/>
    <w:rsid w:val="009F19E0"/>
    <w:rsid w:val="009F19F6"/>
    <w:rsid w:val="009F1A3A"/>
    <w:rsid w:val="009F1AC6"/>
    <w:rsid w:val="009F1B19"/>
    <w:rsid w:val="009F1B25"/>
    <w:rsid w:val="009F1C1B"/>
    <w:rsid w:val="009F1C2C"/>
    <w:rsid w:val="009F1C98"/>
    <w:rsid w:val="009F1CED"/>
    <w:rsid w:val="009F1D47"/>
    <w:rsid w:val="009F1DA9"/>
    <w:rsid w:val="009F1E13"/>
    <w:rsid w:val="009F1E2E"/>
    <w:rsid w:val="009F1E52"/>
    <w:rsid w:val="009F1E7E"/>
    <w:rsid w:val="009F1ED8"/>
    <w:rsid w:val="009F1F60"/>
    <w:rsid w:val="009F1F9B"/>
    <w:rsid w:val="009F207E"/>
    <w:rsid w:val="009F20FF"/>
    <w:rsid w:val="009F2153"/>
    <w:rsid w:val="009F2158"/>
    <w:rsid w:val="009F2167"/>
    <w:rsid w:val="009F21A7"/>
    <w:rsid w:val="009F21FD"/>
    <w:rsid w:val="009F2263"/>
    <w:rsid w:val="009F2271"/>
    <w:rsid w:val="009F2301"/>
    <w:rsid w:val="009F237E"/>
    <w:rsid w:val="009F23A8"/>
    <w:rsid w:val="009F2403"/>
    <w:rsid w:val="009F2458"/>
    <w:rsid w:val="009F248A"/>
    <w:rsid w:val="009F24C9"/>
    <w:rsid w:val="009F2555"/>
    <w:rsid w:val="009F258E"/>
    <w:rsid w:val="009F25E7"/>
    <w:rsid w:val="009F2659"/>
    <w:rsid w:val="009F2755"/>
    <w:rsid w:val="009F285F"/>
    <w:rsid w:val="009F286D"/>
    <w:rsid w:val="009F28CB"/>
    <w:rsid w:val="009F28E2"/>
    <w:rsid w:val="009F29E7"/>
    <w:rsid w:val="009F29EB"/>
    <w:rsid w:val="009F2A42"/>
    <w:rsid w:val="009F2AD0"/>
    <w:rsid w:val="009F2B3E"/>
    <w:rsid w:val="009F2B54"/>
    <w:rsid w:val="009F2C35"/>
    <w:rsid w:val="009F2C41"/>
    <w:rsid w:val="009F2D37"/>
    <w:rsid w:val="009F2D7C"/>
    <w:rsid w:val="009F2DE3"/>
    <w:rsid w:val="009F2F77"/>
    <w:rsid w:val="009F2FF1"/>
    <w:rsid w:val="009F30AD"/>
    <w:rsid w:val="009F30BE"/>
    <w:rsid w:val="009F30FA"/>
    <w:rsid w:val="009F3112"/>
    <w:rsid w:val="009F33D5"/>
    <w:rsid w:val="009F33F8"/>
    <w:rsid w:val="009F3571"/>
    <w:rsid w:val="009F358B"/>
    <w:rsid w:val="009F35E5"/>
    <w:rsid w:val="009F3622"/>
    <w:rsid w:val="009F3646"/>
    <w:rsid w:val="009F369F"/>
    <w:rsid w:val="009F374C"/>
    <w:rsid w:val="009F3797"/>
    <w:rsid w:val="009F37DF"/>
    <w:rsid w:val="009F37FB"/>
    <w:rsid w:val="009F382A"/>
    <w:rsid w:val="009F38D2"/>
    <w:rsid w:val="009F390B"/>
    <w:rsid w:val="009F3940"/>
    <w:rsid w:val="009F39F2"/>
    <w:rsid w:val="009F3AFD"/>
    <w:rsid w:val="009F3B4A"/>
    <w:rsid w:val="009F3BEB"/>
    <w:rsid w:val="009F3BF1"/>
    <w:rsid w:val="009F3C77"/>
    <w:rsid w:val="009F3D55"/>
    <w:rsid w:val="009F3D6E"/>
    <w:rsid w:val="009F3D95"/>
    <w:rsid w:val="009F3D98"/>
    <w:rsid w:val="009F3DB6"/>
    <w:rsid w:val="009F3DBE"/>
    <w:rsid w:val="009F3DFB"/>
    <w:rsid w:val="009F3E14"/>
    <w:rsid w:val="009F3F41"/>
    <w:rsid w:val="009F3FA0"/>
    <w:rsid w:val="009F3FA4"/>
    <w:rsid w:val="009F410C"/>
    <w:rsid w:val="009F4121"/>
    <w:rsid w:val="009F412B"/>
    <w:rsid w:val="009F4157"/>
    <w:rsid w:val="009F4170"/>
    <w:rsid w:val="009F41FC"/>
    <w:rsid w:val="009F420E"/>
    <w:rsid w:val="009F423A"/>
    <w:rsid w:val="009F4309"/>
    <w:rsid w:val="009F437E"/>
    <w:rsid w:val="009F4383"/>
    <w:rsid w:val="009F43B2"/>
    <w:rsid w:val="009F452E"/>
    <w:rsid w:val="009F45CA"/>
    <w:rsid w:val="009F45DB"/>
    <w:rsid w:val="009F4637"/>
    <w:rsid w:val="009F46B2"/>
    <w:rsid w:val="009F4735"/>
    <w:rsid w:val="009F4785"/>
    <w:rsid w:val="009F47C7"/>
    <w:rsid w:val="009F47FA"/>
    <w:rsid w:val="009F481C"/>
    <w:rsid w:val="009F481E"/>
    <w:rsid w:val="009F48D2"/>
    <w:rsid w:val="009F49A6"/>
    <w:rsid w:val="009F49C0"/>
    <w:rsid w:val="009F49E0"/>
    <w:rsid w:val="009F4A15"/>
    <w:rsid w:val="009F4A2B"/>
    <w:rsid w:val="009F4A43"/>
    <w:rsid w:val="009F4C6F"/>
    <w:rsid w:val="009F4C90"/>
    <w:rsid w:val="009F4D02"/>
    <w:rsid w:val="009F4D48"/>
    <w:rsid w:val="009F4D53"/>
    <w:rsid w:val="009F4D99"/>
    <w:rsid w:val="009F4DB4"/>
    <w:rsid w:val="009F4DE1"/>
    <w:rsid w:val="009F4EBB"/>
    <w:rsid w:val="009F4EDC"/>
    <w:rsid w:val="009F4EEF"/>
    <w:rsid w:val="009F4F34"/>
    <w:rsid w:val="009F4F7D"/>
    <w:rsid w:val="009F4FD1"/>
    <w:rsid w:val="009F5085"/>
    <w:rsid w:val="009F50C9"/>
    <w:rsid w:val="009F50CC"/>
    <w:rsid w:val="009F512D"/>
    <w:rsid w:val="009F51AD"/>
    <w:rsid w:val="009F521E"/>
    <w:rsid w:val="009F5235"/>
    <w:rsid w:val="009F52DA"/>
    <w:rsid w:val="009F530E"/>
    <w:rsid w:val="009F5353"/>
    <w:rsid w:val="009F53D1"/>
    <w:rsid w:val="009F5426"/>
    <w:rsid w:val="009F5469"/>
    <w:rsid w:val="009F546E"/>
    <w:rsid w:val="009F54A2"/>
    <w:rsid w:val="009F54D4"/>
    <w:rsid w:val="009F5579"/>
    <w:rsid w:val="009F5601"/>
    <w:rsid w:val="009F560D"/>
    <w:rsid w:val="009F566B"/>
    <w:rsid w:val="009F56AA"/>
    <w:rsid w:val="009F56BC"/>
    <w:rsid w:val="009F56E5"/>
    <w:rsid w:val="009F56E9"/>
    <w:rsid w:val="009F572E"/>
    <w:rsid w:val="009F574B"/>
    <w:rsid w:val="009F5846"/>
    <w:rsid w:val="009F586A"/>
    <w:rsid w:val="009F5871"/>
    <w:rsid w:val="009F5995"/>
    <w:rsid w:val="009F59E8"/>
    <w:rsid w:val="009F5AA2"/>
    <w:rsid w:val="009F5AC4"/>
    <w:rsid w:val="009F5B51"/>
    <w:rsid w:val="009F5CEF"/>
    <w:rsid w:val="009F5D54"/>
    <w:rsid w:val="009F5D7D"/>
    <w:rsid w:val="009F5D9B"/>
    <w:rsid w:val="009F5DB0"/>
    <w:rsid w:val="009F5DB9"/>
    <w:rsid w:val="009F5DC5"/>
    <w:rsid w:val="009F5DD3"/>
    <w:rsid w:val="009F5DF5"/>
    <w:rsid w:val="009F5DFB"/>
    <w:rsid w:val="009F5E6F"/>
    <w:rsid w:val="009F5E88"/>
    <w:rsid w:val="009F5F17"/>
    <w:rsid w:val="009F5F60"/>
    <w:rsid w:val="009F5F79"/>
    <w:rsid w:val="009F6024"/>
    <w:rsid w:val="009F6047"/>
    <w:rsid w:val="009F6128"/>
    <w:rsid w:val="009F613D"/>
    <w:rsid w:val="009F61EA"/>
    <w:rsid w:val="009F6253"/>
    <w:rsid w:val="009F62D3"/>
    <w:rsid w:val="009F62FD"/>
    <w:rsid w:val="009F6382"/>
    <w:rsid w:val="009F6423"/>
    <w:rsid w:val="009F6428"/>
    <w:rsid w:val="009F643A"/>
    <w:rsid w:val="009F644B"/>
    <w:rsid w:val="009F6470"/>
    <w:rsid w:val="009F6490"/>
    <w:rsid w:val="009F649B"/>
    <w:rsid w:val="009F649E"/>
    <w:rsid w:val="009F649F"/>
    <w:rsid w:val="009F64AB"/>
    <w:rsid w:val="009F64BE"/>
    <w:rsid w:val="009F64C5"/>
    <w:rsid w:val="009F64D3"/>
    <w:rsid w:val="009F64F6"/>
    <w:rsid w:val="009F653A"/>
    <w:rsid w:val="009F654A"/>
    <w:rsid w:val="009F656A"/>
    <w:rsid w:val="009F6599"/>
    <w:rsid w:val="009F66C8"/>
    <w:rsid w:val="009F670F"/>
    <w:rsid w:val="009F6776"/>
    <w:rsid w:val="009F6798"/>
    <w:rsid w:val="009F6799"/>
    <w:rsid w:val="009F680F"/>
    <w:rsid w:val="009F686C"/>
    <w:rsid w:val="009F6876"/>
    <w:rsid w:val="009F68B3"/>
    <w:rsid w:val="009F68C0"/>
    <w:rsid w:val="009F6951"/>
    <w:rsid w:val="009F699A"/>
    <w:rsid w:val="009F69E6"/>
    <w:rsid w:val="009F6A27"/>
    <w:rsid w:val="009F6AEA"/>
    <w:rsid w:val="009F6AF7"/>
    <w:rsid w:val="009F6B04"/>
    <w:rsid w:val="009F6C39"/>
    <w:rsid w:val="009F6CD9"/>
    <w:rsid w:val="009F6CEE"/>
    <w:rsid w:val="009F6D14"/>
    <w:rsid w:val="009F6D5A"/>
    <w:rsid w:val="009F6D5B"/>
    <w:rsid w:val="009F6D92"/>
    <w:rsid w:val="009F6DB0"/>
    <w:rsid w:val="009F6DD5"/>
    <w:rsid w:val="009F6DEE"/>
    <w:rsid w:val="009F6E52"/>
    <w:rsid w:val="009F6F06"/>
    <w:rsid w:val="009F6F0E"/>
    <w:rsid w:val="009F6F99"/>
    <w:rsid w:val="009F7036"/>
    <w:rsid w:val="009F7038"/>
    <w:rsid w:val="009F7080"/>
    <w:rsid w:val="009F70A3"/>
    <w:rsid w:val="009F70DA"/>
    <w:rsid w:val="009F70FB"/>
    <w:rsid w:val="009F7102"/>
    <w:rsid w:val="009F7108"/>
    <w:rsid w:val="009F71B9"/>
    <w:rsid w:val="009F71F7"/>
    <w:rsid w:val="009F71FE"/>
    <w:rsid w:val="009F727A"/>
    <w:rsid w:val="009F72D2"/>
    <w:rsid w:val="009F7327"/>
    <w:rsid w:val="009F743D"/>
    <w:rsid w:val="009F744F"/>
    <w:rsid w:val="009F7458"/>
    <w:rsid w:val="009F7518"/>
    <w:rsid w:val="009F7519"/>
    <w:rsid w:val="009F756B"/>
    <w:rsid w:val="009F7574"/>
    <w:rsid w:val="009F75AE"/>
    <w:rsid w:val="009F75B0"/>
    <w:rsid w:val="009F75B4"/>
    <w:rsid w:val="009F75C8"/>
    <w:rsid w:val="009F7600"/>
    <w:rsid w:val="009F7652"/>
    <w:rsid w:val="009F7668"/>
    <w:rsid w:val="009F76D6"/>
    <w:rsid w:val="009F7793"/>
    <w:rsid w:val="009F77F9"/>
    <w:rsid w:val="009F786A"/>
    <w:rsid w:val="009F7879"/>
    <w:rsid w:val="009F788D"/>
    <w:rsid w:val="009F78BC"/>
    <w:rsid w:val="009F793A"/>
    <w:rsid w:val="009F793F"/>
    <w:rsid w:val="009F79B6"/>
    <w:rsid w:val="009F79CB"/>
    <w:rsid w:val="009F79CE"/>
    <w:rsid w:val="009F7A8F"/>
    <w:rsid w:val="009F7AA8"/>
    <w:rsid w:val="009F7ACF"/>
    <w:rsid w:val="009F7AD2"/>
    <w:rsid w:val="009F7AD9"/>
    <w:rsid w:val="009F7ADA"/>
    <w:rsid w:val="009F7B63"/>
    <w:rsid w:val="009F7B76"/>
    <w:rsid w:val="009F7BDE"/>
    <w:rsid w:val="009F7BF4"/>
    <w:rsid w:val="009F7C91"/>
    <w:rsid w:val="009F7E19"/>
    <w:rsid w:val="009F7E2C"/>
    <w:rsid w:val="009F7E3A"/>
    <w:rsid w:val="009F7E50"/>
    <w:rsid w:val="009F7EC2"/>
    <w:rsid w:val="009F7EC8"/>
    <w:rsid w:val="009F7ED7"/>
    <w:rsid w:val="009F7F3C"/>
    <w:rsid w:val="009F7F97"/>
    <w:rsid w:val="00A00009"/>
    <w:rsid w:val="00A000AA"/>
    <w:rsid w:val="00A000C8"/>
    <w:rsid w:val="00A000C9"/>
    <w:rsid w:val="00A001C3"/>
    <w:rsid w:val="00A001C7"/>
    <w:rsid w:val="00A001E2"/>
    <w:rsid w:val="00A0020A"/>
    <w:rsid w:val="00A00240"/>
    <w:rsid w:val="00A00281"/>
    <w:rsid w:val="00A002F7"/>
    <w:rsid w:val="00A0034C"/>
    <w:rsid w:val="00A00360"/>
    <w:rsid w:val="00A00389"/>
    <w:rsid w:val="00A00430"/>
    <w:rsid w:val="00A0049B"/>
    <w:rsid w:val="00A00522"/>
    <w:rsid w:val="00A00596"/>
    <w:rsid w:val="00A005B7"/>
    <w:rsid w:val="00A005B8"/>
    <w:rsid w:val="00A005D0"/>
    <w:rsid w:val="00A00624"/>
    <w:rsid w:val="00A0065C"/>
    <w:rsid w:val="00A00669"/>
    <w:rsid w:val="00A00694"/>
    <w:rsid w:val="00A006A3"/>
    <w:rsid w:val="00A006A8"/>
    <w:rsid w:val="00A006E4"/>
    <w:rsid w:val="00A0074A"/>
    <w:rsid w:val="00A00790"/>
    <w:rsid w:val="00A0080D"/>
    <w:rsid w:val="00A008E6"/>
    <w:rsid w:val="00A0096B"/>
    <w:rsid w:val="00A009CE"/>
    <w:rsid w:val="00A00A1C"/>
    <w:rsid w:val="00A00A41"/>
    <w:rsid w:val="00A00A52"/>
    <w:rsid w:val="00A00C87"/>
    <w:rsid w:val="00A00D42"/>
    <w:rsid w:val="00A00E12"/>
    <w:rsid w:val="00A00E4C"/>
    <w:rsid w:val="00A00E74"/>
    <w:rsid w:val="00A00E88"/>
    <w:rsid w:val="00A00EB3"/>
    <w:rsid w:val="00A00F0B"/>
    <w:rsid w:val="00A00F3F"/>
    <w:rsid w:val="00A00FC4"/>
    <w:rsid w:val="00A0100C"/>
    <w:rsid w:val="00A01011"/>
    <w:rsid w:val="00A01058"/>
    <w:rsid w:val="00A01090"/>
    <w:rsid w:val="00A0109D"/>
    <w:rsid w:val="00A010CE"/>
    <w:rsid w:val="00A010EB"/>
    <w:rsid w:val="00A01131"/>
    <w:rsid w:val="00A01246"/>
    <w:rsid w:val="00A01259"/>
    <w:rsid w:val="00A0126A"/>
    <w:rsid w:val="00A0127B"/>
    <w:rsid w:val="00A012CA"/>
    <w:rsid w:val="00A012DC"/>
    <w:rsid w:val="00A013BA"/>
    <w:rsid w:val="00A0143B"/>
    <w:rsid w:val="00A01443"/>
    <w:rsid w:val="00A0145A"/>
    <w:rsid w:val="00A01481"/>
    <w:rsid w:val="00A014CF"/>
    <w:rsid w:val="00A014D3"/>
    <w:rsid w:val="00A014EF"/>
    <w:rsid w:val="00A01551"/>
    <w:rsid w:val="00A015F6"/>
    <w:rsid w:val="00A01653"/>
    <w:rsid w:val="00A016DB"/>
    <w:rsid w:val="00A0173E"/>
    <w:rsid w:val="00A017E6"/>
    <w:rsid w:val="00A01801"/>
    <w:rsid w:val="00A0186D"/>
    <w:rsid w:val="00A01888"/>
    <w:rsid w:val="00A018C4"/>
    <w:rsid w:val="00A019B7"/>
    <w:rsid w:val="00A01AB2"/>
    <w:rsid w:val="00A01ACD"/>
    <w:rsid w:val="00A01B0A"/>
    <w:rsid w:val="00A01CDE"/>
    <w:rsid w:val="00A01DF4"/>
    <w:rsid w:val="00A01E44"/>
    <w:rsid w:val="00A01F97"/>
    <w:rsid w:val="00A01FA4"/>
    <w:rsid w:val="00A01FEB"/>
    <w:rsid w:val="00A02071"/>
    <w:rsid w:val="00A020F7"/>
    <w:rsid w:val="00A02117"/>
    <w:rsid w:val="00A0212A"/>
    <w:rsid w:val="00A02140"/>
    <w:rsid w:val="00A021BC"/>
    <w:rsid w:val="00A02262"/>
    <w:rsid w:val="00A022FF"/>
    <w:rsid w:val="00A02316"/>
    <w:rsid w:val="00A02364"/>
    <w:rsid w:val="00A023AF"/>
    <w:rsid w:val="00A023F3"/>
    <w:rsid w:val="00A02403"/>
    <w:rsid w:val="00A0244F"/>
    <w:rsid w:val="00A0245D"/>
    <w:rsid w:val="00A024AF"/>
    <w:rsid w:val="00A024CC"/>
    <w:rsid w:val="00A0252E"/>
    <w:rsid w:val="00A0255E"/>
    <w:rsid w:val="00A02574"/>
    <w:rsid w:val="00A025B2"/>
    <w:rsid w:val="00A026B7"/>
    <w:rsid w:val="00A02796"/>
    <w:rsid w:val="00A027B4"/>
    <w:rsid w:val="00A02864"/>
    <w:rsid w:val="00A028F4"/>
    <w:rsid w:val="00A02995"/>
    <w:rsid w:val="00A029A7"/>
    <w:rsid w:val="00A02AD9"/>
    <w:rsid w:val="00A02B10"/>
    <w:rsid w:val="00A02B37"/>
    <w:rsid w:val="00A02B45"/>
    <w:rsid w:val="00A02B4D"/>
    <w:rsid w:val="00A02BE7"/>
    <w:rsid w:val="00A02C1D"/>
    <w:rsid w:val="00A02C83"/>
    <w:rsid w:val="00A02D26"/>
    <w:rsid w:val="00A02D3F"/>
    <w:rsid w:val="00A02D42"/>
    <w:rsid w:val="00A02D8D"/>
    <w:rsid w:val="00A02E4A"/>
    <w:rsid w:val="00A02E6B"/>
    <w:rsid w:val="00A02F16"/>
    <w:rsid w:val="00A02F2D"/>
    <w:rsid w:val="00A02F76"/>
    <w:rsid w:val="00A02F98"/>
    <w:rsid w:val="00A03048"/>
    <w:rsid w:val="00A0305A"/>
    <w:rsid w:val="00A03128"/>
    <w:rsid w:val="00A03146"/>
    <w:rsid w:val="00A03183"/>
    <w:rsid w:val="00A031A7"/>
    <w:rsid w:val="00A031C3"/>
    <w:rsid w:val="00A031C4"/>
    <w:rsid w:val="00A0321C"/>
    <w:rsid w:val="00A032B8"/>
    <w:rsid w:val="00A0332C"/>
    <w:rsid w:val="00A03352"/>
    <w:rsid w:val="00A03374"/>
    <w:rsid w:val="00A0343E"/>
    <w:rsid w:val="00A034E8"/>
    <w:rsid w:val="00A03540"/>
    <w:rsid w:val="00A03549"/>
    <w:rsid w:val="00A0354F"/>
    <w:rsid w:val="00A03553"/>
    <w:rsid w:val="00A035AE"/>
    <w:rsid w:val="00A0363A"/>
    <w:rsid w:val="00A03679"/>
    <w:rsid w:val="00A0373F"/>
    <w:rsid w:val="00A0374E"/>
    <w:rsid w:val="00A03897"/>
    <w:rsid w:val="00A03929"/>
    <w:rsid w:val="00A0394D"/>
    <w:rsid w:val="00A039A0"/>
    <w:rsid w:val="00A039B1"/>
    <w:rsid w:val="00A03A77"/>
    <w:rsid w:val="00A03AC7"/>
    <w:rsid w:val="00A03B44"/>
    <w:rsid w:val="00A03B52"/>
    <w:rsid w:val="00A03B54"/>
    <w:rsid w:val="00A03B58"/>
    <w:rsid w:val="00A03B6D"/>
    <w:rsid w:val="00A03BD5"/>
    <w:rsid w:val="00A03C21"/>
    <w:rsid w:val="00A03C6D"/>
    <w:rsid w:val="00A03C85"/>
    <w:rsid w:val="00A03D14"/>
    <w:rsid w:val="00A03D62"/>
    <w:rsid w:val="00A03D67"/>
    <w:rsid w:val="00A03DCF"/>
    <w:rsid w:val="00A03EBC"/>
    <w:rsid w:val="00A03EDB"/>
    <w:rsid w:val="00A03EF3"/>
    <w:rsid w:val="00A03F0C"/>
    <w:rsid w:val="00A03F91"/>
    <w:rsid w:val="00A03FAD"/>
    <w:rsid w:val="00A03FE3"/>
    <w:rsid w:val="00A0404F"/>
    <w:rsid w:val="00A040E3"/>
    <w:rsid w:val="00A0415D"/>
    <w:rsid w:val="00A0423B"/>
    <w:rsid w:val="00A0424F"/>
    <w:rsid w:val="00A04253"/>
    <w:rsid w:val="00A04300"/>
    <w:rsid w:val="00A0430F"/>
    <w:rsid w:val="00A04379"/>
    <w:rsid w:val="00A043A2"/>
    <w:rsid w:val="00A043AD"/>
    <w:rsid w:val="00A04421"/>
    <w:rsid w:val="00A04460"/>
    <w:rsid w:val="00A04471"/>
    <w:rsid w:val="00A04569"/>
    <w:rsid w:val="00A0456A"/>
    <w:rsid w:val="00A045BC"/>
    <w:rsid w:val="00A04687"/>
    <w:rsid w:val="00A0468B"/>
    <w:rsid w:val="00A046AB"/>
    <w:rsid w:val="00A0481D"/>
    <w:rsid w:val="00A04834"/>
    <w:rsid w:val="00A048F3"/>
    <w:rsid w:val="00A049B9"/>
    <w:rsid w:val="00A049CA"/>
    <w:rsid w:val="00A04A0C"/>
    <w:rsid w:val="00A04A82"/>
    <w:rsid w:val="00A04A99"/>
    <w:rsid w:val="00A04AE4"/>
    <w:rsid w:val="00A04BB2"/>
    <w:rsid w:val="00A04BCC"/>
    <w:rsid w:val="00A04C3F"/>
    <w:rsid w:val="00A04C59"/>
    <w:rsid w:val="00A04C73"/>
    <w:rsid w:val="00A04D06"/>
    <w:rsid w:val="00A04D9E"/>
    <w:rsid w:val="00A04E19"/>
    <w:rsid w:val="00A04EC2"/>
    <w:rsid w:val="00A04EF4"/>
    <w:rsid w:val="00A05057"/>
    <w:rsid w:val="00A050B7"/>
    <w:rsid w:val="00A05100"/>
    <w:rsid w:val="00A051A0"/>
    <w:rsid w:val="00A051B3"/>
    <w:rsid w:val="00A051F2"/>
    <w:rsid w:val="00A05205"/>
    <w:rsid w:val="00A052C5"/>
    <w:rsid w:val="00A052FA"/>
    <w:rsid w:val="00A05329"/>
    <w:rsid w:val="00A0535D"/>
    <w:rsid w:val="00A0535F"/>
    <w:rsid w:val="00A053CF"/>
    <w:rsid w:val="00A05447"/>
    <w:rsid w:val="00A054B9"/>
    <w:rsid w:val="00A054C6"/>
    <w:rsid w:val="00A05530"/>
    <w:rsid w:val="00A05531"/>
    <w:rsid w:val="00A05546"/>
    <w:rsid w:val="00A0558B"/>
    <w:rsid w:val="00A055C3"/>
    <w:rsid w:val="00A055E4"/>
    <w:rsid w:val="00A0562A"/>
    <w:rsid w:val="00A056A1"/>
    <w:rsid w:val="00A05748"/>
    <w:rsid w:val="00A05866"/>
    <w:rsid w:val="00A058A1"/>
    <w:rsid w:val="00A058C2"/>
    <w:rsid w:val="00A058CE"/>
    <w:rsid w:val="00A05A83"/>
    <w:rsid w:val="00A05A87"/>
    <w:rsid w:val="00A05A92"/>
    <w:rsid w:val="00A05B39"/>
    <w:rsid w:val="00A05B40"/>
    <w:rsid w:val="00A05B4F"/>
    <w:rsid w:val="00A05BDB"/>
    <w:rsid w:val="00A05C70"/>
    <w:rsid w:val="00A05C98"/>
    <w:rsid w:val="00A05CE1"/>
    <w:rsid w:val="00A05D10"/>
    <w:rsid w:val="00A05DEC"/>
    <w:rsid w:val="00A05E15"/>
    <w:rsid w:val="00A05E3C"/>
    <w:rsid w:val="00A05E49"/>
    <w:rsid w:val="00A05EF7"/>
    <w:rsid w:val="00A05EFD"/>
    <w:rsid w:val="00A05F84"/>
    <w:rsid w:val="00A05F8D"/>
    <w:rsid w:val="00A06013"/>
    <w:rsid w:val="00A06015"/>
    <w:rsid w:val="00A06031"/>
    <w:rsid w:val="00A06033"/>
    <w:rsid w:val="00A0606F"/>
    <w:rsid w:val="00A06070"/>
    <w:rsid w:val="00A060D8"/>
    <w:rsid w:val="00A06113"/>
    <w:rsid w:val="00A0616E"/>
    <w:rsid w:val="00A06216"/>
    <w:rsid w:val="00A06222"/>
    <w:rsid w:val="00A06235"/>
    <w:rsid w:val="00A0627C"/>
    <w:rsid w:val="00A06343"/>
    <w:rsid w:val="00A06353"/>
    <w:rsid w:val="00A06381"/>
    <w:rsid w:val="00A0639C"/>
    <w:rsid w:val="00A063D7"/>
    <w:rsid w:val="00A0641F"/>
    <w:rsid w:val="00A064B6"/>
    <w:rsid w:val="00A06524"/>
    <w:rsid w:val="00A0652D"/>
    <w:rsid w:val="00A06555"/>
    <w:rsid w:val="00A06570"/>
    <w:rsid w:val="00A06594"/>
    <w:rsid w:val="00A065F2"/>
    <w:rsid w:val="00A065FB"/>
    <w:rsid w:val="00A066A0"/>
    <w:rsid w:val="00A066B8"/>
    <w:rsid w:val="00A066E9"/>
    <w:rsid w:val="00A06796"/>
    <w:rsid w:val="00A06833"/>
    <w:rsid w:val="00A0684C"/>
    <w:rsid w:val="00A06887"/>
    <w:rsid w:val="00A068B1"/>
    <w:rsid w:val="00A068BE"/>
    <w:rsid w:val="00A06902"/>
    <w:rsid w:val="00A0699C"/>
    <w:rsid w:val="00A069AC"/>
    <w:rsid w:val="00A06AE4"/>
    <w:rsid w:val="00A06AFC"/>
    <w:rsid w:val="00A06B35"/>
    <w:rsid w:val="00A06B37"/>
    <w:rsid w:val="00A06B85"/>
    <w:rsid w:val="00A06CA1"/>
    <w:rsid w:val="00A06CD8"/>
    <w:rsid w:val="00A06CE8"/>
    <w:rsid w:val="00A06D02"/>
    <w:rsid w:val="00A06D45"/>
    <w:rsid w:val="00A06E39"/>
    <w:rsid w:val="00A06E7F"/>
    <w:rsid w:val="00A06EDD"/>
    <w:rsid w:val="00A06F28"/>
    <w:rsid w:val="00A06F84"/>
    <w:rsid w:val="00A06F8F"/>
    <w:rsid w:val="00A06F96"/>
    <w:rsid w:val="00A07035"/>
    <w:rsid w:val="00A0703E"/>
    <w:rsid w:val="00A07120"/>
    <w:rsid w:val="00A07160"/>
    <w:rsid w:val="00A071B9"/>
    <w:rsid w:val="00A071EB"/>
    <w:rsid w:val="00A07224"/>
    <w:rsid w:val="00A072BC"/>
    <w:rsid w:val="00A072F4"/>
    <w:rsid w:val="00A07380"/>
    <w:rsid w:val="00A0739C"/>
    <w:rsid w:val="00A073A6"/>
    <w:rsid w:val="00A073C4"/>
    <w:rsid w:val="00A07437"/>
    <w:rsid w:val="00A07475"/>
    <w:rsid w:val="00A074C3"/>
    <w:rsid w:val="00A074D7"/>
    <w:rsid w:val="00A074E0"/>
    <w:rsid w:val="00A075B7"/>
    <w:rsid w:val="00A075CE"/>
    <w:rsid w:val="00A075CF"/>
    <w:rsid w:val="00A075EA"/>
    <w:rsid w:val="00A0768B"/>
    <w:rsid w:val="00A0769D"/>
    <w:rsid w:val="00A076BF"/>
    <w:rsid w:val="00A07794"/>
    <w:rsid w:val="00A077A7"/>
    <w:rsid w:val="00A0780D"/>
    <w:rsid w:val="00A0795B"/>
    <w:rsid w:val="00A07972"/>
    <w:rsid w:val="00A079B2"/>
    <w:rsid w:val="00A07A29"/>
    <w:rsid w:val="00A07A6A"/>
    <w:rsid w:val="00A07A7E"/>
    <w:rsid w:val="00A07A83"/>
    <w:rsid w:val="00A07AE3"/>
    <w:rsid w:val="00A07BF8"/>
    <w:rsid w:val="00A07C93"/>
    <w:rsid w:val="00A07CBC"/>
    <w:rsid w:val="00A07CC9"/>
    <w:rsid w:val="00A07CCC"/>
    <w:rsid w:val="00A07CF6"/>
    <w:rsid w:val="00A07D04"/>
    <w:rsid w:val="00A07D69"/>
    <w:rsid w:val="00A07D7C"/>
    <w:rsid w:val="00A07D89"/>
    <w:rsid w:val="00A07DBE"/>
    <w:rsid w:val="00A07DC3"/>
    <w:rsid w:val="00A07E32"/>
    <w:rsid w:val="00A07E7E"/>
    <w:rsid w:val="00A07EF0"/>
    <w:rsid w:val="00A07F6B"/>
    <w:rsid w:val="00A07FC8"/>
    <w:rsid w:val="00A07FCC"/>
    <w:rsid w:val="00A07FD7"/>
    <w:rsid w:val="00A07FE0"/>
    <w:rsid w:val="00A07FE5"/>
    <w:rsid w:val="00A10041"/>
    <w:rsid w:val="00A1007D"/>
    <w:rsid w:val="00A10087"/>
    <w:rsid w:val="00A10121"/>
    <w:rsid w:val="00A10146"/>
    <w:rsid w:val="00A1024A"/>
    <w:rsid w:val="00A1028A"/>
    <w:rsid w:val="00A102A9"/>
    <w:rsid w:val="00A102C1"/>
    <w:rsid w:val="00A10305"/>
    <w:rsid w:val="00A10307"/>
    <w:rsid w:val="00A1033E"/>
    <w:rsid w:val="00A10362"/>
    <w:rsid w:val="00A103B5"/>
    <w:rsid w:val="00A10429"/>
    <w:rsid w:val="00A104FD"/>
    <w:rsid w:val="00A1050A"/>
    <w:rsid w:val="00A1057E"/>
    <w:rsid w:val="00A10598"/>
    <w:rsid w:val="00A105C7"/>
    <w:rsid w:val="00A10722"/>
    <w:rsid w:val="00A10732"/>
    <w:rsid w:val="00A10736"/>
    <w:rsid w:val="00A107C3"/>
    <w:rsid w:val="00A1087E"/>
    <w:rsid w:val="00A10893"/>
    <w:rsid w:val="00A108C2"/>
    <w:rsid w:val="00A108EC"/>
    <w:rsid w:val="00A1091F"/>
    <w:rsid w:val="00A10A53"/>
    <w:rsid w:val="00A10A7E"/>
    <w:rsid w:val="00A10AD9"/>
    <w:rsid w:val="00A10AE7"/>
    <w:rsid w:val="00A10B45"/>
    <w:rsid w:val="00A10BB1"/>
    <w:rsid w:val="00A10C69"/>
    <w:rsid w:val="00A10E12"/>
    <w:rsid w:val="00A10E47"/>
    <w:rsid w:val="00A10E76"/>
    <w:rsid w:val="00A10E8C"/>
    <w:rsid w:val="00A10EDA"/>
    <w:rsid w:val="00A10FE3"/>
    <w:rsid w:val="00A10FEB"/>
    <w:rsid w:val="00A11067"/>
    <w:rsid w:val="00A110A5"/>
    <w:rsid w:val="00A110BC"/>
    <w:rsid w:val="00A110C0"/>
    <w:rsid w:val="00A110DF"/>
    <w:rsid w:val="00A11184"/>
    <w:rsid w:val="00A111B0"/>
    <w:rsid w:val="00A111C7"/>
    <w:rsid w:val="00A11233"/>
    <w:rsid w:val="00A11263"/>
    <w:rsid w:val="00A11264"/>
    <w:rsid w:val="00A112C6"/>
    <w:rsid w:val="00A1135A"/>
    <w:rsid w:val="00A1139F"/>
    <w:rsid w:val="00A11448"/>
    <w:rsid w:val="00A1144B"/>
    <w:rsid w:val="00A1146B"/>
    <w:rsid w:val="00A11532"/>
    <w:rsid w:val="00A11582"/>
    <w:rsid w:val="00A115E4"/>
    <w:rsid w:val="00A115F0"/>
    <w:rsid w:val="00A11620"/>
    <w:rsid w:val="00A1168D"/>
    <w:rsid w:val="00A11757"/>
    <w:rsid w:val="00A117A3"/>
    <w:rsid w:val="00A117BA"/>
    <w:rsid w:val="00A117D8"/>
    <w:rsid w:val="00A117EC"/>
    <w:rsid w:val="00A1180E"/>
    <w:rsid w:val="00A1183A"/>
    <w:rsid w:val="00A11865"/>
    <w:rsid w:val="00A11874"/>
    <w:rsid w:val="00A11896"/>
    <w:rsid w:val="00A118B7"/>
    <w:rsid w:val="00A118C8"/>
    <w:rsid w:val="00A118CC"/>
    <w:rsid w:val="00A118F9"/>
    <w:rsid w:val="00A11A7F"/>
    <w:rsid w:val="00A11ACB"/>
    <w:rsid w:val="00A11B12"/>
    <w:rsid w:val="00A11B76"/>
    <w:rsid w:val="00A11B8F"/>
    <w:rsid w:val="00A11BA1"/>
    <w:rsid w:val="00A11BA3"/>
    <w:rsid w:val="00A11BD7"/>
    <w:rsid w:val="00A11C90"/>
    <w:rsid w:val="00A11CD0"/>
    <w:rsid w:val="00A11CF0"/>
    <w:rsid w:val="00A11DA7"/>
    <w:rsid w:val="00A11E17"/>
    <w:rsid w:val="00A11EA5"/>
    <w:rsid w:val="00A11EB9"/>
    <w:rsid w:val="00A11EC7"/>
    <w:rsid w:val="00A11F31"/>
    <w:rsid w:val="00A11F6D"/>
    <w:rsid w:val="00A11FAC"/>
    <w:rsid w:val="00A120FD"/>
    <w:rsid w:val="00A121AA"/>
    <w:rsid w:val="00A121C5"/>
    <w:rsid w:val="00A121CD"/>
    <w:rsid w:val="00A1227A"/>
    <w:rsid w:val="00A1228F"/>
    <w:rsid w:val="00A12293"/>
    <w:rsid w:val="00A122BB"/>
    <w:rsid w:val="00A122D2"/>
    <w:rsid w:val="00A122E1"/>
    <w:rsid w:val="00A122ED"/>
    <w:rsid w:val="00A1241E"/>
    <w:rsid w:val="00A12504"/>
    <w:rsid w:val="00A12522"/>
    <w:rsid w:val="00A12526"/>
    <w:rsid w:val="00A12646"/>
    <w:rsid w:val="00A1266C"/>
    <w:rsid w:val="00A126C0"/>
    <w:rsid w:val="00A126EC"/>
    <w:rsid w:val="00A12712"/>
    <w:rsid w:val="00A1271A"/>
    <w:rsid w:val="00A127B7"/>
    <w:rsid w:val="00A127F6"/>
    <w:rsid w:val="00A128B6"/>
    <w:rsid w:val="00A128D0"/>
    <w:rsid w:val="00A12A69"/>
    <w:rsid w:val="00A12A88"/>
    <w:rsid w:val="00A12ACF"/>
    <w:rsid w:val="00A12C03"/>
    <w:rsid w:val="00A12CBC"/>
    <w:rsid w:val="00A12CFE"/>
    <w:rsid w:val="00A12D56"/>
    <w:rsid w:val="00A12D80"/>
    <w:rsid w:val="00A12DA9"/>
    <w:rsid w:val="00A12E33"/>
    <w:rsid w:val="00A12E45"/>
    <w:rsid w:val="00A12E6C"/>
    <w:rsid w:val="00A12F5D"/>
    <w:rsid w:val="00A13002"/>
    <w:rsid w:val="00A1306C"/>
    <w:rsid w:val="00A13096"/>
    <w:rsid w:val="00A13104"/>
    <w:rsid w:val="00A1311E"/>
    <w:rsid w:val="00A13189"/>
    <w:rsid w:val="00A131B4"/>
    <w:rsid w:val="00A1322E"/>
    <w:rsid w:val="00A13274"/>
    <w:rsid w:val="00A13279"/>
    <w:rsid w:val="00A13288"/>
    <w:rsid w:val="00A132A0"/>
    <w:rsid w:val="00A1333C"/>
    <w:rsid w:val="00A1334C"/>
    <w:rsid w:val="00A1335B"/>
    <w:rsid w:val="00A13371"/>
    <w:rsid w:val="00A133BC"/>
    <w:rsid w:val="00A133D1"/>
    <w:rsid w:val="00A133EF"/>
    <w:rsid w:val="00A1345A"/>
    <w:rsid w:val="00A134AF"/>
    <w:rsid w:val="00A13570"/>
    <w:rsid w:val="00A135B8"/>
    <w:rsid w:val="00A1361E"/>
    <w:rsid w:val="00A13627"/>
    <w:rsid w:val="00A13665"/>
    <w:rsid w:val="00A136FB"/>
    <w:rsid w:val="00A136FF"/>
    <w:rsid w:val="00A13734"/>
    <w:rsid w:val="00A13753"/>
    <w:rsid w:val="00A1379A"/>
    <w:rsid w:val="00A137D9"/>
    <w:rsid w:val="00A137DB"/>
    <w:rsid w:val="00A137F5"/>
    <w:rsid w:val="00A13832"/>
    <w:rsid w:val="00A1385E"/>
    <w:rsid w:val="00A138C9"/>
    <w:rsid w:val="00A13915"/>
    <w:rsid w:val="00A13985"/>
    <w:rsid w:val="00A139B9"/>
    <w:rsid w:val="00A139D0"/>
    <w:rsid w:val="00A13A50"/>
    <w:rsid w:val="00A13AC7"/>
    <w:rsid w:val="00A13ACD"/>
    <w:rsid w:val="00A13B9B"/>
    <w:rsid w:val="00A13B9F"/>
    <w:rsid w:val="00A13C2F"/>
    <w:rsid w:val="00A13D03"/>
    <w:rsid w:val="00A13D69"/>
    <w:rsid w:val="00A13DC7"/>
    <w:rsid w:val="00A13E6A"/>
    <w:rsid w:val="00A13FC9"/>
    <w:rsid w:val="00A1405E"/>
    <w:rsid w:val="00A1407E"/>
    <w:rsid w:val="00A14098"/>
    <w:rsid w:val="00A14149"/>
    <w:rsid w:val="00A141B0"/>
    <w:rsid w:val="00A141C5"/>
    <w:rsid w:val="00A141D5"/>
    <w:rsid w:val="00A1427D"/>
    <w:rsid w:val="00A14280"/>
    <w:rsid w:val="00A1429F"/>
    <w:rsid w:val="00A142B0"/>
    <w:rsid w:val="00A142FA"/>
    <w:rsid w:val="00A14357"/>
    <w:rsid w:val="00A14366"/>
    <w:rsid w:val="00A143CC"/>
    <w:rsid w:val="00A143E5"/>
    <w:rsid w:val="00A1447C"/>
    <w:rsid w:val="00A144AB"/>
    <w:rsid w:val="00A144AE"/>
    <w:rsid w:val="00A14541"/>
    <w:rsid w:val="00A145C4"/>
    <w:rsid w:val="00A145D9"/>
    <w:rsid w:val="00A145EE"/>
    <w:rsid w:val="00A14618"/>
    <w:rsid w:val="00A14638"/>
    <w:rsid w:val="00A1468D"/>
    <w:rsid w:val="00A146F0"/>
    <w:rsid w:val="00A147C9"/>
    <w:rsid w:val="00A14868"/>
    <w:rsid w:val="00A14909"/>
    <w:rsid w:val="00A149E5"/>
    <w:rsid w:val="00A149EE"/>
    <w:rsid w:val="00A14A45"/>
    <w:rsid w:val="00A14AC0"/>
    <w:rsid w:val="00A14AF7"/>
    <w:rsid w:val="00A14B0F"/>
    <w:rsid w:val="00A14B20"/>
    <w:rsid w:val="00A14B64"/>
    <w:rsid w:val="00A14BA7"/>
    <w:rsid w:val="00A14BA8"/>
    <w:rsid w:val="00A14C0B"/>
    <w:rsid w:val="00A14C44"/>
    <w:rsid w:val="00A14C6F"/>
    <w:rsid w:val="00A14CA0"/>
    <w:rsid w:val="00A14CBD"/>
    <w:rsid w:val="00A14D04"/>
    <w:rsid w:val="00A14D11"/>
    <w:rsid w:val="00A14D45"/>
    <w:rsid w:val="00A14D7C"/>
    <w:rsid w:val="00A14E0C"/>
    <w:rsid w:val="00A14E0E"/>
    <w:rsid w:val="00A14EB7"/>
    <w:rsid w:val="00A14EB9"/>
    <w:rsid w:val="00A14F6F"/>
    <w:rsid w:val="00A14FBC"/>
    <w:rsid w:val="00A15029"/>
    <w:rsid w:val="00A1511A"/>
    <w:rsid w:val="00A1512F"/>
    <w:rsid w:val="00A1514F"/>
    <w:rsid w:val="00A15155"/>
    <w:rsid w:val="00A152B8"/>
    <w:rsid w:val="00A152C4"/>
    <w:rsid w:val="00A152EC"/>
    <w:rsid w:val="00A1533B"/>
    <w:rsid w:val="00A15378"/>
    <w:rsid w:val="00A15379"/>
    <w:rsid w:val="00A153D8"/>
    <w:rsid w:val="00A15441"/>
    <w:rsid w:val="00A15508"/>
    <w:rsid w:val="00A1557A"/>
    <w:rsid w:val="00A1558A"/>
    <w:rsid w:val="00A155C6"/>
    <w:rsid w:val="00A1567F"/>
    <w:rsid w:val="00A156C1"/>
    <w:rsid w:val="00A156D5"/>
    <w:rsid w:val="00A15765"/>
    <w:rsid w:val="00A157B7"/>
    <w:rsid w:val="00A157F0"/>
    <w:rsid w:val="00A15982"/>
    <w:rsid w:val="00A15983"/>
    <w:rsid w:val="00A15A53"/>
    <w:rsid w:val="00A15A90"/>
    <w:rsid w:val="00A15AF9"/>
    <w:rsid w:val="00A15B7B"/>
    <w:rsid w:val="00A15CF7"/>
    <w:rsid w:val="00A15D26"/>
    <w:rsid w:val="00A15D2A"/>
    <w:rsid w:val="00A15D70"/>
    <w:rsid w:val="00A15E0D"/>
    <w:rsid w:val="00A15E87"/>
    <w:rsid w:val="00A15EDF"/>
    <w:rsid w:val="00A15EF5"/>
    <w:rsid w:val="00A15F38"/>
    <w:rsid w:val="00A15F7A"/>
    <w:rsid w:val="00A15FB5"/>
    <w:rsid w:val="00A15FC8"/>
    <w:rsid w:val="00A1604F"/>
    <w:rsid w:val="00A1607E"/>
    <w:rsid w:val="00A160C7"/>
    <w:rsid w:val="00A161EC"/>
    <w:rsid w:val="00A1621A"/>
    <w:rsid w:val="00A16223"/>
    <w:rsid w:val="00A16245"/>
    <w:rsid w:val="00A162C8"/>
    <w:rsid w:val="00A16305"/>
    <w:rsid w:val="00A16356"/>
    <w:rsid w:val="00A16403"/>
    <w:rsid w:val="00A1647B"/>
    <w:rsid w:val="00A1650E"/>
    <w:rsid w:val="00A16545"/>
    <w:rsid w:val="00A1656F"/>
    <w:rsid w:val="00A165EC"/>
    <w:rsid w:val="00A1661D"/>
    <w:rsid w:val="00A1663D"/>
    <w:rsid w:val="00A16667"/>
    <w:rsid w:val="00A1668F"/>
    <w:rsid w:val="00A16748"/>
    <w:rsid w:val="00A1676A"/>
    <w:rsid w:val="00A16783"/>
    <w:rsid w:val="00A1678B"/>
    <w:rsid w:val="00A16909"/>
    <w:rsid w:val="00A16935"/>
    <w:rsid w:val="00A1693A"/>
    <w:rsid w:val="00A16953"/>
    <w:rsid w:val="00A16960"/>
    <w:rsid w:val="00A1697F"/>
    <w:rsid w:val="00A16A97"/>
    <w:rsid w:val="00A16B01"/>
    <w:rsid w:val="00A16B36"/>
    <w:rsid w:val="00A16B7A"/>
    <w:rsid w:val="00A16B9F"/>
    <w:rsid w:val="00A16BCE"/>
    <w:rsid w:val="00A16C13"/>
    <w:rsid w:val="00A16C1D"/>
    <w:rsid w:val="00A16C43"/>
    <w:rsid w:val="00A16C7F"/>
    <w:rsid w:val="00A16D52"/>
    <w:rsid w:val="00A16D6F"/>
    <w:rsid w:val="00A16D94"/>
    <w:rsid w:val="00A16DCB"/>
    <w:rsid w:val="00A16DF1"/>
    <w:rsid w:val="00A16DFB"/>
    <w:rsid w:val="00A16E3A"/>
    <w:rsid w:val="00A16ECA"/>
    <w:rsid w:val="00A16FBB"/>
    <w:rsid w:val="00A16FC1"/>
    <w:rsid w:val="00A16FD9"/>
    <w:rsid w:val="00A16FE2"/>
    <w:rsid w:val="00A16FF8"/>
    <w:rsid w:val="00A17025"/>
    <w:rsid w:val="00A17041"/>
    <w:rsid w:val="00A170BB"/>
    <w:rsid w:val="00A170F4"/>
    <w:rsid w:val="00A1711D"/>
    <w:rsid w:val="00A17136"/>
    <w:rsid w:val="00A17144"/>
    <w:rsid w:val="00A17188"/>
    <w:rsid w:val="00A1718E"/>
    <w:rsid w:val="00A171AD"/>
    <w:rsid w:val="00A172B0"/>
    <w:rsid w:val="00A1732B"/>
    <w:rsid w:val="00A1739A"/>
    <w:rsid w:val="00A173C1"/>
    <w:rsid w:val="00A173DC"/>
    <w:rsid w:val="00A1741B"/>
    <w:rsid w:val="00A1743E"/>
    <w:rsid w:val="00A17458"/>
    <w:rsid w:val="00A17514"/>
    <w:rsid w:val="00A175EF"/>
    <w:rsid w:val="00A17695"/>
    <w:rsid w:val="00A176D4"/>
    <w:rsid w:val="00A176E0"/>
    <w:rsid w:val="00A17762"/>
    <w:rsid w:val="00A17769"/>
    <w:rsid w:val="00A17787"/>
    <w:rsid w:val="00A177D1"/>
    <w:rsid w:val="00A1781D"/>
    <w:rsid w:val="00A178B2"/>
    <w:rsid w:val="00A17903"/>
    <w:rsid w:val="00A1794B"/>
    <w:rsid w:val="00A17984"/>
    <w:rsid w:val="00A1798D"/>
    <w:rsid w:val="00A179BF"/>
    <w:rsid w:val="00A179DC"/>
    <w:rsid w:val="00A17A8F"/>
    <w:rsid w:val="00A17A95"/>
    <w:rsid w:val="00A17B97"/>
    <w:rsid w:val="00A17BBD"/>
    <w:rsid w:val="00A17BE5"/>
    <w:rsid w:val="00A17C3E"/>
    <w:rsid w:val="00A17C4C"/>
    <w:rsid w:val="00A17D13"/>
    <w:rsid w:val="00A17D18"/>
    <w:rsid w:val="00A17D59"/>
    <w:rsid w:val="00A17E01"/>
    <w:rsid w:val="00A17E60"/>
    <w:rsid w:val="00A17F0B"/>
    <w:rsid w:val="00A17F4D"/>
    <w:rsid w:val="00A17F97"/>
    <w:rsid w:val="00A20093"/>
    <w:rsid w:val="00A200A7"/>
    <w:rsid w:val="00A200EF"/>
    <w:rsid w:val="00A20178"/>
    <w:rsid w:val="00A2023F"/>
    <w:rsid w:val="00A202B1"/>
    <w:rsid w:val="00A20389"/>
    <w:rsid w:val="00A203EC"/>
    <w:rsid w:val="00A20439"/>
    <w:rsid w:val="00A20526"/>
    <w:rsid w:val="00A2054B"/>
    <w:rsid w:val="00A20572"/>
    <w:rsid w:val="00A205A9"/>
    <w:rsid w:val="00A205E3"/>
    <w:rsid w:val="00A206F5"/>
    <w:rsid w:val="00A2070E"/>
    <w:rsid w:val="00A2073D"/>
    <w:rsid w:val="00A20792"/>
    <w:rsid w:val="00A207AD"/>
    <w:rsid w:val="00A2081C"/>
    <w:rsid w:val="00A20829"/>
    <w:rsid w:val="00A20872"/>
    <w:rsid w:val="00A20954"/>
    <w:rsid w:val="00A209D4"/>
    <w:rsid w:val="00A209FE"/>
    <w:rsid w:val="00A20A22"/>
    <w:rsid w:val="00A20A53"/>
    <w:rsid w:val="00A20A77"/>
    <w:rsid w:val="00A20B04"/>
    <w:rsid w:val="00A20B0E"/>
    <w:rsid w:val="00A20B74"/>
    <w:rsid w:val="00A20BB7"/>
    <w:rsid w:val="00A20BDC"/>
    <w:rsid w:val="00A20C35"/>
    <w:rsid w:val="00A20C3B"/>
    <w:rsid w:val="00A20C5B"/>
    <w:rsid w:val="00A20CBD"/>
    <w:rsid w:val="00A20CE7"/>
    <w:rsid w:val="00A20D2F"/>
    <w:rsid w:val="00A20E53"/>
    <w:rsid w:val="00A20E70"/>
    <w:rsid w:val="00A20EDC"/>
    <w:rsid w:val="00A20EEE"/>
    <w:rsid w:val="00A20F05"/>
    <w:rsid w:val="00A20F85"/>
    <w:rsid w:val="00A20FF8"/>
    <w:rsid w:val="00A2101F"/>
    <w:rsid w:val="00A210A1"/>
    <w:rsid w:val="00A210B5"/>
    <w:rsid w:val="00A210D8"/>
    <w:rsid w:val="00A210DF"/>
    <w:rsid w:val="00A2114F"/>
    <w:rsid w:val="00A21201"/>
    <w:rsid w:val="00A2124B"/>
    <w:rsid w:val="00A21259"/>
    <w:rsid w:val="00A212D1"/>
    <w:rsid w:val="00A2136A"/>
    <w:rsid w:val="00A2139B"/>
    <w:rsid w:val="00A213AA"/>
    <w:rsid w:val="00A2140C"/>
    <w:rsid w:val="00A2140F"/>
    <w:rsid w:val="00A2155D"/>
    <w:rsid w:val="00A21726"/>
    <w:rsid w:val="00A2177F"/>
    <w:rsid w:val="00A217AC"/>
    <w:rsid w:val="00A217E2"/>
    <w:rsid w:val="00A2184D"/>
    <w:rsid w:val="00A21879"/>
    <w:rsid w:val="00A2189D"/>
    <w:rsid w:val="00A218F7"/>
    <w:rsid w:val="00A21963"/>
    <w:rsid w:val="00A219D8"/>
    <w:rsid w:val="00A21AC6"/>
    <w:rsid w:val="00A21ACA"/>
    <w:rsid w:val="00A21AEA"/>
    <w:rsid w:val="00A21AF2"/>
    <w:rsid w:val="00A21B2B"/>
    <w:rsid w:val="00A21B59"/>
    <w:rsid w:val="00A21B6F"/>
    <w:rsid w:val="00A21BF8"/>
    <w:rsid w:val="00A21C2A"/>
    <w:rsid w:val="00A21C3B"/>
    <w:rsid w:val="00A21C89"/>
    <w:rsid w:val="00A21CC5"/>
    <w:rsid w:val="00A21CF2"/>
    <w:rsid w:val="00A21D3B"/>
    <w:rsid w:val="00A21D81"/>
    <w:rsid w:val="00A21DEA"/>
    <w:rsid w:val="00A21E2B"/>
    <w:rsid w:val="00A21E5A"/>
    <w:rsid w:val="00A21E95"/>
    <w:rsid w:val="00A21EB2"/>
    <w:rsid w:val="00A21F08"/>
    <w:rsid w:val="00A21FA4"/>
    <w:rsid w:val="00A22027"/>
    <w:rsid w:val="00A22095"/>
    <w:rsid w:val="00A220EE"/>
    <w:rsid w:val="00A221CA"/>
    <w:rsid w:val="00A221E4"/>
    <w:rsid w:val="00A221E9"/>
    <w:rsid w:val="00A2221D"/>
    <w:rsid w:val="00A22268"/>
    <w:rsid w:val="00A2226F"/>
    <w:rsid w:val="00A222D4"/>
    <w:rsid w:val="00A222D7"/>
    <w:rsid w:val="00A223C4"/>
    <w:rsid w:val="00A22524"/>
    <w:rsid w:val="00A22525"/>
    <w:rsid w:val="00A22562"/>
    <w:rsid w:val="00A2259A"/>
    <w:rsid w:val="00A22645"/>
    <w:rsid w:val="00A22659"/>
    <w:rsid w:val="00A226A8"/>
    <w:rsid w:val="00A226AA"/>
    <w:rsid w:val="00A226E1"/>
    <w:rsid w:val="00A227AA"/>
    <w:rsid w:val="00A2292E"/>
    <w:rsid w:val="00A2299A"/>
    <w:rsid w:val="00A229AA"/>
    <w:rsid w:val="00A229FE"/>
    <w:rsid w:val="00A22AAB"/>
    <w:rsid w:val="00A22AB3"/>
    <w:rsid w:val="00A22AE4"/>
    <w:rsid w:val="00A22AE5"/>
    <w:rsid w:val="00A22B50"/>
    <w:rsid w:val="00A22B62"/>
    <w:rsid w:val="00A22B64"/>
    <w:rsid w:val="00A22C22"/>
    <w:rsid w:val="00A22C90"/>
    <w:rsid w:val="00A22CCE"/>
    <w:rsid w:val="00A22D72"/>
    <w:rsid w:val="00A22DA7"/>
    <w:rsid w:val="00A22E83"/>
    <w:rsid w:val="00A22E8C"/>
    <w:rsid w:val="00A22F6B"/>
    <w:rsid w:val="00A22FD5"/>
    <w:rsid w:val="00A23002"/>
    <w:rsid w:val="00A230EA"/>
    <w:rsid w:val="00A230FF"/>
    <w:rsid w:val="00A2310F"/>
    <w:rsid w:val="00A231CD"/>
    <w:rsid w:val="00A231EA"/>
    <w:rsid w:val="00A23259"/>
    <w:rsid w:val="00A2326B"/>
    <w:rsid w:val="00A232AB"/>
    <w:rsid w:val="00A23313"/>
    <w:rsid w:val="00A2331B"/>
    <w:rsid w:val="00A23355"/>
    <w:rsid w:val="00A23363"/>
    <w:rsid w:val="00A2336B"/>
    <w:rsid w:val="00A233A9"/>
    <w:rsid w:val="00A233C4"/>
    <w:rsid w:val="00A23433"/>
    <w:rsid w:val="00A23491"/>
    <w:rsid w:val="00A2351F"/>
    <w:rsid w:val="00A23546"/>
    <w:rsid w:val="00A23561"/>
    <w:rsid w:val="00A23585"/>
    <w:rsid w:val="00A2365E"/>
    <w:rsid w:val="00A23679"/>
    <w:rsid w:val="00A236D2"/>
    <w:rsid w:val="00A2374B"/>
    <w:rsid w:val="00A2375E"/>
    <w:rsid w:val="00A237BE"/>
    <w:rsid w:val="00A238A9"/>
    <w:rsid w:val="00A23947"/>
    <w:rsid w:val="00A23993"/>
    <w:rsid w:val="00A2399D"/>
    <w:rsid w:val="00A23AA3"/>
    <w:rsid w:val="00A23AE7"/>
    <w:rsid w:val="00A23B38"/>
    <w:rsid w:val="00A23B86"/>
    <w:rsid w:val="00A23B93"/>
    <w:rsid w:val="00A23BB1"/>
    <w:rsid w:val="00A23BBD"/>
    <w:rsid w:val="00A23C21"/>
    <w:rsid w:val="00A23C64"/>
    <w:rsid w:val="00A23CFB"/>
    <w:rsid w:val="00A23D14"/>
    <w:rsid w:val="00A23D34"/>
    <w:rsid w:val="00A23D37"/>
    <w:rsid w:val="00A23E63"/>
    <w:rsid w:val="00A23E8D"/>
    <w:rsid w:val="00A23EB5"/>
    <w:rsid w:val="00A23ED7"/>
    <w:rsid w:val="00A23F20"/>
    <w:rsid w:val="00A23F25"/>
    <w:rsid w:val="00A2404A"/>
    <w:rsid w:val="00A24070"/>
    <w:rsid w:val="00A24078"/>
    <w:rsid w:val="00A24085"/>
    <w:rsid w:val="00A240DC"/>
    <w:rsid w:val="00A24117"/>
    <w:rsid w:val="00A2412A"/>
    <w:rsid w:val="00A24130"/>
    <w:rsid w:val="00A2413A"/>
    <w:rsid w:val="00A24145"/>
    <w:rsid w:val="00A241B2"/>
    <w:rsid w:val="00A241D2"/>
    <w:rsid w:val="00A241FB"/>
    <w:rsid w:val="00A2424E"/>
    <w:rsid w:val="00A24251"/>
    <w:rsid w:val="00A24293"/>
    <w:rsid w:val="00A2431F"/>
    <w:rsid w:val="00A243CF"/>
    <w:rsid w:val="00A243D9"/>
    <w:rsid w:val="00A24452"/>
    <w:rsid w:val="00A244D4"/>
    <w:rsid w:val="00A244E9"/>
    <w:rsid w:val="00A24514"/>
    <w:rsid w:val="00A24516"/>
    <w:rsid w:val="00A24536"/>
    <w:rsid w:val="00A2458F"/>
    <w:rsid w:val="00A245B6"/>
    <w:rsid w:val="00A245E4"/>
    <w:rsid w:val="00A246A3"/>
    <w:rsid w:val="00A246A9"/>
    <w:rsid w:val="00A246F8"/>
    <w:rsid w:val="00A24719"/>
    <w:rsid w:val="00A24724"/>
    <w:rsid w:val="00A24756"/>
    <w:rsid w:val="00A24773"/>
    <w:rsid w:val="00A247FE"/>
    <w:rsid w:val="00A248C1"/>
    <w:rsid w:val="00A248F4"/>
    <w:rsid w:val="00A2496F"/>
    <w:rsid w:val="00A249C6"/>
    <w:rsid w:val="00A24A68"/>
    <w:rsid w:val="00A24ACF"/>
    <w:rsid w:val="00A24CCA"/>
    <w:rsid w:val="00A24D61"/>
    <w:rsid w:val="00A24D7B"/>
    <w:rsid w:val="00A24D80"/>
    <w:rsid w:val="00A24DBA"/>
    <w:rsid w:val="00A24E2A"/>
    <w:rsid w:val="00A24E49"/>
    <w:rsid w:val="00A24E61"/>
    <w:rsid w:val="00A24E82"/>
    <w:rsid w:val="00A24F2D"/>
    <w:rsid w:val="00A24F52"/>
    <w:rsid w:val="00A24FDA"/>
    <w:rsid w:val="00A2503E"/>
    <w:rsid w:val="00A25052"/>
    <w:rsid w:val="00A250BE"/>
    <w:rsid w:val="00A2521D"/>
    <w:rsid w:val="00A25271"/>
    <w:rsid w:val="00A252B2"/>
    <w:rsid w:val="00A252BE"/>
    <w:rsid w:val="00A253BD"/>
    <w:rsid w:val="00A2543C"/>
    <w:rsid w:val="00A25458"/>
    <w:rsid w:val="00A2548A"/>
    <w:rsid w:val="00A2549E"/>
    <w:rsid w:val="00A254D9"/>
    <w:rsid w:val="00A25602"/>
    <w:rsid w:val="00A25623"/>
    <w:rsid w:val="00A25638"/>
    <w:rsid w:val="00A2566F"/>
    <w:rsid w:val="00A25777"/>
    <w:rsid w:val="00A257AF"/>
    <w:rsid w:val="00A257EA"/>
    <w:rsid w:val="00A257EF"/>
    <w:rsid w:val="00A25852"/>
    <w:rsid w:val="00A258A1"/>
    <w:rsid w:val="00A25956"/>
    <w:rsid w:val="00A2597C"/>
    <w:rsid w:val="00A259A7"/>
    <w:rsid w:val="00A25A49"/>
    <w:rsid w:val="00A25B1D"/>
    <w:rsid w:val="00A25B41"/>
    <w:rsid w:val="00A25B61"/>
    <w:rsid w:val="00A25C91"/>
    <w:rsid w:val="00A25CDA"/>
    <w:rsid w:val="00A25D25"/>
    <w:rsid w:val="00A25D3F"/>
    <w:rsid w:val="00A25D4B"/>
    <w:rsid w:val="00A25D66"/>
    <w:rsid w:val="00A25DA5"/>
    <w:rsid w:val="00A25E07"/>
    <w:rsid w:val="00A25E3D"/>
    <w:rsid w:val="00A25E5D"/>
    <w:rsid w:val="00A25E76"/>
    <w:rsid w:val="00A25E7F"/>
    <w:rsid w:val="00A25F03"/>
    <w:rsid w:val="00A25FBF"/>
    <w:rsid w:val="00A25FDB"/>
    <w:rsid w:val="00A26020"/>
    <w:rsid w:val="00A2603C"/>
    <w:rsid w:val="00A26040"/>
    <w:rsid w:val="00A260F6"/>
    <w:rsid w:val="00A26152"/>
    <w:rsid w:val="00A26159"/>
    <w:rsid w:val="00A2618A"/>
    <w:rsid w:val="00A26209"/>
    <w:rsid w:val="00A2625E"/>
    <w:rsid w:val="00A2627F"/>
    <w:rsid w:val="00A26439"/>
    <w:rsid w:val="00A26503"/>
    <w:rsid w:val="00A2659F"/>
    <w:rsid w:val="00A265DD"/>
    <w:rsid w:val="00A265E6"/>
    <w:rsid w:val="00A265EE"/>
    <w:rsid w:val="00A265F6"/>
    <w:rsid w:val="00A26615"/>
    <w:rsid w:val="00A26691"/>
    <w:rsid w:val="00A266CE"/>
    <w:rsid w:val="00A2671C"/>
    <w:rsid w:val="00A2677A"/>
    <w:rsid w:val="00A2677D"/>
    <w:rsid w:val="00A267E0"/>
    <w:rsid w:val="00A267F8"/>
    <w:rsid w:val="00A26949"/>
    <w:rsid w:val="00A26969"/>
    <w:rsid w:val="00A269BD"/>
    <w:rsid w:val="00A269C8"/>
    <w:rsid w:val="00A26A4C"/>
    <w:rsid w:val="00A26AF6"/>
    <w:rsid w:val="00A26B28"/>
    <w:rsid w:val="00A26B9B"/>
    <w:rsid w:val="00A26BD2"/>
    <w:rsid w:val="00A26BE4"/>
    <w:rsid w:val="00A26CBA"/>
    <w:rsid w:val="00A26DCF"/>
    <w:rsid w:val="00A26E36"/>
    <w:rsid w:val="00A26E4A"/>
    <w:rsid w:val="00A26EED"/>
    <w:rsid w:val="00A26F2A"/>
    <w:rsid w:val="00A26F5E"/>
    <w:rsid w:val="00A26F62"/>
    <w:rsid w:val="00A26F6A"/>
    <w:rsid w:val="00A26F73"/>
    <w:rsid w:val="00A2703E"/>
    <w:rsid w:val="00A2704D"/>
    <w:rsid w:val="00A270BF"/>
    <w:rsid w:val="00A2713A"/>
    <w:rsid w:val="00A27153"/>
    <w:rsid w:val="00A2719E"/>
    <w:rsid w:val="00A271A2"/>
    <w:rsid w:val="00A271A8"/>
    <w:rsid w:val="00A271B2"/>
    <w:rsid w:val="00A271C3"/>
    <w:rsid w:val="00A271FF"/>
    <w:rsid w:val="00A27243"/>
    <w:rsid w:val="00A27248"/>
    <w:rsid w:val="00A27297"/>
    <w:rsid w:val="00A272F0"/>
    <w:rsid w:val="00A2733D"/>
    <w:rsid w:val="00A27431"/>
    <w:rsid w:val="00A2747A"/>
    <w:rsid w:val="00A274A9"/>
    <w:rsid w:val="00A274AD"/>
    <w:rsid w:val="00A275B7"/>
    <w:rsid w:val="00A275C1"/>
    <w:rsid w:val="00A275E6"/>
    <w:rsid w:val="00A27600"/>
    <w:rsid w:val="00A2762B"/>
    <w:rsid w:val="00A27646"/>
    <w:rsid w:val="00A27657"/>
    <w:rsid w:val="00A276DF"/>
    <w:rsid w:val="00A27806"/>
    <w:rsid w:val="00A278C2"/>
    <w:rsid w:val="00A278C5"/>
    <w:rsid w:val="00A278EB"/>
    <w:rsid w:val="00A279F0"/>
    <w:rsid w:val="00A27A65"/>
    <w:rsid w:val="00A27AB4"/>
    <w:rsid w:val="00A27AB7"/>
    <w:rsid w:val="00A27B8F"/>
    <w:rsid w:val="00A27C48"/>
    <w:rsid w:val="00A27C77"/>
    <w:rsid w:val="00A27D1C"/>
    <w:rsid w:val="00A27D20"/>
    <w:rsid w:val="00A27D88"/>
    <w:rsid w:val="00A27D90"/>
    <w:rsid w:val="00A27DB0"/>
    <w:rsid w:val="00A27DD8"/>
    <w:rsid w:val="00A27E0C"/>
    <w:rsid w:val="00A27F30"/>
    <w:rsid w:val="00A27F89"/>
    <w:rsid w:val="00A27FAD"/>
    <w:rsid w:val="00A27FCA"/>
    <w:rsid w:val="00A27FDA"/>
    <w:rsid w:val="00A27FF2"/>
    <w:rsid w:val="00A2867F"/>
    <w:rsid w:val="00A30008"/>
    <w:rsid w:val="00A30082"/>
    <w:rsid w:val="00A30090"/>
    <w:rsid w:val="00A300EF"/>
    <w:rsid w:val="00A301A4"/>
    <w:rsid w:val="00A30227"/>
    <w:rsid w:val="00A3029E"/>
    <w:rsid w:val="00A302C9"/>
    <w:rsid w:val="00A30300"/>
    <w:rsid w:val="00A304AD"/>
    <w:rsid w:val="00A30501"/>
    <w:rsid w:val="00A30519"/>
    <w:rsid w:val="00A3053C"/>
    <w:rsid w:val="00A305E2"/>
    <w:rsid w:val="00A3072E"/>
    <w:rsid w:val="00A307B0"/>
    <w:rsid w:val="00A307C3"/>
    <w:rsid w:val="00A307D5"/>
    <w:rsid w:val="00A307F6"/>
    <w:rsid w:val="00A3086E"/>
    <w:rsid w:val="00A30870"/>
    <w:rsid w:val="00A30876"/>
    <w:rsid w:val="00A3088D"/>
    <w:rsid w:val="00A3089E"/>
    <w:rsid w:val="00A308D3"/>
    <w:rsid w:val="00A308DF"/>
    <w:rsid w:val="00A30901"/>
    <w:rsid w:val="00A30922"/>
    <w:rsid w:val="00A309E5"/>
    <w:rsid w:val="00A30AB1"/>
    <w:rsid w:val="00A30AF1"/>
    <w:rsid w:val="00A30B16"/>
    <w:rsid w:val="00A30B2A"/>
    <w:rsid w:val="00A30BB3"/>
    <w:rsid w:val="00A30BE8"/>
    <w:rsid w:val="00A30C7B"/>
    <w:rsid w:val="00A30C8F"/>
    <w:rsid w:val="00A30CDB"/>
    <w:rsid w:val="00A30DCD"/>
    <w:rsid w:val="00A30E14"/>
    <w:rsid w:val="00A30E46"/>
    <w:rsid w:val="00A30E91"/>
    <w:rsid w:val="00A30EA4"/>
    <w:rsid w:val="00A30ED9"/>
    <w:rsid w:val="00A30F0E"/>
    <w:rsid w:val="00A30F20"/>
    <w:rsid w:val="00A30F48"/>
    <w:rsid w:val="00A30F7E"/>
    <w:rsid w:val="00A30F8C"/>
    <w:rsid w:val="00A30FA2"/>
    <w:rsid w:val="00A30FB5"/>
    <w:rsid w:val="00A30FE8"/>
    <w:rsid w:val="00A31012"/>
    <w:rsid w:val="00A31084"/>
    <w:rsid w:val="00A31093"/>
    <w:rsid w:val="00A310E1"/>
    <w:rsid w:val="00A31163"/>
    <w:rsid w:val="00A311B8"/>
    <w:rsid w:val="00A311BD"/>
    <w:rsid w:val="00A311CE"/>
    <w:rsid w:val="00A311F1"/>
    <w:rsid w:val="00A31234"/>
    <w:rsid w:val="00A31269"/>
    <w:rsid w:val="00A312D3"/>
    <w:rsid w:val="00A312F3"/>
    <w:rsid w:val="00A31358"/>
    <w:rsid w:val="00A313BE"/>
    <w:rsid w:val="00A31473"/>
    <w:rsid w:val="00A31491"/>
    <w:rsid w:val="00A314D7"/>
    <w:rsid w:val="00A314DD"/>
    <w:rsid w:val="00A3158A"/>
    <w:rsid w:val="00A315F3"/>
    <w:rsid w:val="00A3168B"/>
    <w:rsid w:val="00A316A8"/>
    <w:rsid w:val="00A31712"/>
    <w:rsid w:val="00A31718"/>
    <w:rsid w:val="00A31769"/>
    <w:rsid w:val="00A3176A"/>
    <w:rsid w:val="00A31793"/>
    <w:rsid w:val="00A317A7"/>
    <w:rsid w:val="00A3189A"/>
    <w:rsid w:val="00A31924"/>
    <w:rsid w:val="00A3194D"/>
    <w:rsid w:val="00A31980"/>
    <w:rsid w:val="00A31997"/>
    <w:rsid w:val="00A31AE1"/>
    <w:rsid w:val="00A31B17"/>
    <w:rsid w:val="00A31B27"/>
    <w:rsid w:val="00A31B4F"/>
    <w:rsid w:val="00A31B7D"/>
    <w:rsid w:val="00A31C11"/>
    <w:rsid w:val="00A31C28"/>
    <w:rsid w:val="00A31C3A"/>
    <w:rsid w:val="00A31C42"/>
    <w:rsid w:val="00A31C8E"/>
    <w:rsid w:val="00A31C95"/>
    <w:rsid w:val="00A31CCA"/>
    <w:rsid w:val="00A31D7A"/>
    <w:rsid w:val="00A31DC5"/>
    <w:rsid w:val="00A31DEE"/>
    <w:rsid w:val="00A31E6B"/>
    <w:rsid w:val="00A31EB7"/>
    <w:rsid w:val="00A31EC4"/>
    <w:rsid w:val="00A31F03"/>
    <w:rsid w:val="00A31F32"/>
    <w:rsid w:val="00A31F4D"/>
    <w:rsid w:val="00A31F67"/>
    <w:rsid w:val="00A31FC0"/>
    <w:rsid w:val="00A3207B"/>
    <w:rsid w:val="00A3208C"/>
    <w:rsid w:val="00A320DE"/>
    <w:rsid w:val="00A32162"/>
    <w:rsid w:val="00A3218A"/>
    <w:rsid w:val="00A321A2"/>
    <w:rsid w:val="00A3226B"/>
    <w:rsid w:val="00A32331"/>
    <w:rsid w:val="00A32350"/>
    <w:rsid w:val="00A3235C"/>
    <w:rsid w:val="00A323A2"/>
    <w:rsid w:val="00A323AF"/>
    <w:rsid w:val="00A323DE"/>
    <w:rsid w:val="00A32400"/>
    <w:rsid w:val="00A3246C"/>
    <w:rsid w:val="00A32478"/>
    <w:rsid w:val="00A324CD"/>
    <w:rsid w:val="00A324CF"/>
    <w:rsid w:val="00A32517"/>
    <w:rsid w:val="00A32520"/>
    <w:rsid w:val="00A32577"/>
    <w:rsid w:val="00A3257F"/>
    <w:rsid w:val="00A325CB"/>
    <w:rsid w:val="00A325EB"/>
    <w:rsid w:val="00A326A5"/>
    <w:rsid w:val="00A326CC"/>
    <w:rsid w:val="00A32824"/>
    <w:rsid w:val="00A32860"/>
    <w:rsid w:val="00A3286B"/>
    <w:rsid w:val="00A3290F"/>
    <w:rsid w:val="00A32918"/>
    <w:rsid w:val="00A32A3D"/>
    <w:rsid w:val="00A32A4D"/>
    <w:rsid w:val="00A32AF5"/>
    <w:rsid w:val="00A32B94"/>
    <w:rsid w:val="00A32BB9"/>
    <w:rsid w:val="00A32BCC"/>
    <w:rsid w:val="00A32BD5"/>
    <w:rsid w:val="00A32BEA"/>
    <w:rsid w:val="00A32BFE"/>
    <w:rsid w:val="00A32C40"/>
    <w:rsid w:val="00A32C51"/>
    <w:rsid w:val="00A32CB6"/>
    <w:rsid w:val="00A32D0E"/>
    <w:rsid w:val="00A32D3A"/>
    <w:rsid w:val="00A32D5D"/>
    <w:rsid w:val="00A32D73"/>
    <w:rsid w:val="00A32D7B"/>
    <w:rsid w:val="00A32D87"/>
    <w:rsid w:val="00A32D8D"/>
    <w:rsid w:val="00A32D9D"/>
    <w:rsid w:val="00A32DBC"/>
    <w:rsid w:val="00A32DBF"/>
    <w:rsid w:val="00A32DF5"/>
    <w:rsid w:val="00A32DF6"/>
    <w:rsid w:val="00A32E30"/>
    <w:rsid w:val="00A32E94"/>
    <w:rsid w:val="00A32EB6"/>
    <w:rsid w:val="00A32F83"/>
    <w:rsid w:val="00A32FA7"/>
    <w:rsid w:val="00A32FFB"/>
    <w:rsid w:val="00A33065"/>
    <w:rsid w:val="00A330EE"/>
    <w:rsid w:val="00A330F3"/>
    <w:rsid w:val="00A3314D"/>
    <w:rsid w:val="00A33153"/>
    <w:rsid w:val="00A33218"/>
    <w:rsid w:val="00A33234"/>
    <w:rsid w:val="00A33247"/>
    <w:rsid w:val="00A3332F"/>
    <w:rsid w:val="00A333A8"/>
    <w:rsid w:val="00A333BD"/>
    <w:rsid w:val="00A33455"/>
    <w:rsid w:val="00A33478"/>
    <w:rsid w:val="00A33488"/>
    <w:rsid w:val="00A3348D"/>
    <w:rsid w:val="00A3352E"/>
    <w:rsid w:val="00A335AD"/>
    <w:rsid w:val="00A33675"/>
    <w:rsid w:val="00A336D4"/>
    <w:rsid w:val="00A33754"/>
    <w:rsid w:val="00A3379C"/>
    <w:rsid w:val="00A337E1"/>
    <w:rsid w:val="00A33849"/>
    <w:rsid w:val="00A33853"/>
    <w:rsid w:val="00A33864"/>
    <w:rsid w:val="00A33928"/>
    <w:rsid w:val="00A3397E"/>
    <w:rsid w:val="00A3398C"/>
    <w:rsid w:val="00A339A1"/>
    <w:rsid w:val="00A33A84"/>
    <w:rsid w:val="00A33AE8"/>
    <w:rsid w:val="00A33BA8"/>
    <w:rsid w:val="00A33BF5"/>
    <w:rsid w:val="00A33C40"/>
    <w:rsid w:val="00A33CA4"/>
    <w:rsid w:val="00A33CA7"/>
    <w:rsid w:val="00A33CBA"/>
    <w:rsid w:val="00A33CFD"/>
    <w:rsid w:val="00A33D2E"/>
    <w:rsid w:val="00A33D6D"/>
    <w:rsid w:val="00A33D9F"/>
    <w:rsid w:val="00A33DBE"/>
    <w:rsid w:val="00A33E3F"/>
    <w:rsid w:val="00A33E60"/>
    <w:rsid w:val="00A33E88"/>
    <w:rsid w:val="00A33E97"/>
    <w:rsid w:val="00A33EFD"/>
    <w:rsid w:val="00A33FD9"/>
    <w:rsid w:val="00A340BF"/>
    <w:rsid w:val="00A34197"/>
    <w:rsid w:val="00A341FA"/>
    <w:rsid w:val="00A34274"/>
    <w:rsid w:val="00A342E9"/>
    <w:rsid w:val="00A34305"/>
    <w:rsid w:val="00A3432B"/>
    <w:rsid w:val="00A3435F"/>
    <w:rsid w:val="00A3439F"/>
    <w:rsid w:val="00A3449E"/>
    <w:rsid w:val="00A344B6"/>
    <w:rsid w:val="00A344B9"/>
    <w:rsid w:val="00A344D7"/>
    <w:rsid w:val="00A3455D"/>
    <w:rsid w:val="00A345A3"/>
    <w:rsid w:val="00A345BD"/>
    <w:rsid w:val="00A3465B"/>
    <w:rsid w:val="00A3466E"/>
    <w:rsid w:val="00A346A2"/>
    <w:rsid w:val="00A3477D"/>
    <w:rsid w:val="00A3483B"/>
    <w:rsid w:val="00A34884"/>
    <w:rsid w:val="00A348BE"/>
    <w:rsid w:val="00A349C8"/>
    <w:rsid w:val="00A34AF8"/>
    <w:rsid w:val="00A34B0A"/>
    <w:rsid w:val="00A34B1E"/>
    <w:rsid w:val="00A34BD0"/>
    <w:rsid w:val="00A34BF3"/>
    <w:rsid w:val="00A34C13"/>
    <w:rsid w:val="00A34C16"/>
    <w:rsid w:val="00A34D99"/>
    <w:rsid w:val="00A34E14"/>
    <w:rsid w:val="00A34EA2"/>
    <w:rsid w:val="00A34EE6"/>
    <w:rsid w:val="00A34EFF"/>
    <w:rsid w:val="00A34F12"/>
    <w:rsid w:val="00A34FE9"/>
    <w:rsid w:val="00A3501F"/>
    <w:rsid w:val="00A35024"/>
    <w:rsid w:val="00A35037"/>
    <w:rsid w:val="00A3507F"/>
    <w:rsid w:val="00A35089"/>
    <w:rsid w:val="00A350C6"/>
    <w:rsid w:val="00A35311"/>
    <w:rsid w:val="00A35330"/>
    <w:rsid w:val="00A35360"/>
    <w:rsid w:val="00A35423"/>
    <w:rsid w:val="00A3544A"/>
    <w:rsid w:val="00A3546E"/>
    <w:rsid w:val="00A354E7"/>
    <w:rsid w:val="00A35560"/>
    <w:rsid w:val="00A35565"/>
    <w:rsid w:val="00A356E9"/>
    <w:rsid w:val="00A35738"/>
    <w:rsid w:val="00A35779"/>
    <w:rsid w:val="00A35822"/>
    <w:rsid w:val="00A3582F"/>
    <w:rsid w:val="00A3583D"/>
    <w:rsid w:val="00A35893"/>
    <w:rsid w:val="00A358F1"/>
    <w:rsid w:val="00A35902"/>
    <w:rsid w:val="00A35921"/>
    <w:rsid w:val="00A35923"/>
    <w:rsid w:val="00A35B3C"/>
    <w:rsid w:val="00A35BDD"/>
    <w:rsid w:val="00A35BDF"/>
    <w:rsid w:val="00A35BEE"/>
    <w:rsid w:val="00A35BF8"/>
    <w:rsid w:val="00A35C23"/>
    <w:rsid w:val="00A35C56"/>
    <w:rsid w:val="00A35CC4"/>
    <w:rsid w:val="00A35CD7"/>
    <w:rsid w:val="00A35E40"/>
    <w:rsid w:val="00A35E7B"/>
    <w:rsid w:val="00A35EAB"/>
    <w:rsid w:val="00A35F21"/>
    <w:rsid w:val="00A35F2B"/>
    <w:rsid w:val="00A35FB0"/>
    <w:rsid w:val="00A35FFA"/>
    <w:rsid w:val="00A36003"/>
    <w:rsid w:val="00A36038"/>
    <w:rsid w:val="00A361BC"/>
    <w:rsid w:val="00A3623B"/>
    <w:rsid w:val="00A362F9"/>
    <w:rsid w:val="00A362FB"/>
    <w:rsid w:val="00A363E8"/>
    <w:rsid w:val="00A36449"/>
    <w:rsid w:val="00A364D5"/>
    <w:rsid w:val="00A364FD"/>
    <w:rsid w:val="00A365D3"/>
    <w:rsid w:val="00A366E1"/>
    <w:rsid w:val="00A3688F"/>
    <w:rsid w:val="00A368D8"/>
    <w:rsid w:val="00A3694B"/>
    <w:rsid w:val="00A3695A"/>
    <w:rsid w:val="00A36964"/>
    <w:rsid w:val="00A36976"/>
    <w:rsid w:val="00A36992"/>
    <w:rsid w:val="00A369E5"/>
    <w:rsid w:val="00A36A4A"/>
    <w:rsid w:val="00A36A61"/>
    <w:rsid w:val="00A36B25"/>
    <w:rsid w:val="00A36B73"/>
    <w:rsid w:val="00A36B78"/>
    <w:rsid w:val="00A36BE0"/>
    <w:rsid w:val="00A36BF3"/>
    <w:rsid w:val="00A36C20"/>
    <w:rsid w:val="00A36C50"/>
    <w:rsid w:val="00A36C7A"/>
    <w:rsid w:val="00A36CFF"/>
    <w:rsid w:val="00A36DB5"/>
    <w:rsid w:val="00A36E21"/>
    <w:rsid w:val="00A36E66"/>
    <w:rsid w:val="00A36E79"/>
    <w:rsid w:val="00A36E86"/>
    <w:rsid w:val="00A36EBC"/>
    <w:rsid w:val="00A36EBD"/>
    <w:rsid w:val="00A36F8E"/>
    <w:rsid w:val="00A36FE9"/>
    <w:rsid w:val="00A36FF6"/>
    <w:rsid w:val="00A37032"/>
    <w:rsid w:val="00A3707D"/>
    <w:rsid w:val="00A3717A"/>
    <w:rsid w:val="00A371C1"/>
    <w:rsid w:val="00A37343"/>
    <w:rsid w:val="00A373B8"/>
    <w:rsid w:val="00A373BF"/>
    <w:rsid w:val="00A37424"/>
    <w:rsid w:val="00A37475"/>
    <w:rsid w:val="00A374EE"/>
    <w:rsid w:val="00A374F3"/>
    <w:rsid w:val="00A3756E"/>
    <w:rsid w:val="00A37589"/>
    <w:rsid w:val="00A375AC"/>
    <w:rsid w:val="00A3764E"/>
    <w:rsid w:val="00A37652"/>
    <w:rsid w:val="00A376B5"/>
    <w:rsid w:val="00A376B7"/>
    <w:rsid w:val="00A376E7"/>
    <w:rsid w:val="00A37727"/>
    <w:rsid w:val="00A37893"/>
    <w:rsid w:val="00A378C0"/>
    <w:rsid w:val="00A3790C"/>
    <w:rsid w:val="00A37932"/>
    <w:rsid w:val="00A37967"/>
    <w:rsid w:val="00A379DE"/>
    <w:rsid w:val="00A379E7"/>
    <w:rsid w:val="00A37A59"/>
    <w:rsid w:val="00A37AC4"/>
    <w:rsid w:val="00A37B47"/>
    <w:rsid w:val="00A37B6A"/>
    <w:rsid w:val="00A37B8A"/>
    <w:rsid w:val="00A37BF8"/>
    <w:rsid w:val="00A37CAF"/>
    <w:rsid w:val="00A37CDD"/>
    <w:rsid w:val="00A37D4F"/>
    <w:rsid w:val="00A37D97"/>
    <w:rsid w:val="00A37E25"/>
    <w:rsid w:val="00A37E4E"/>
    <w:rsid w:val="00A37E5A"/>
    <w:rsid w:val="00A37E9D"/>
    <w:rsid w:val="00A37EE3"/>
    <w:rsid w:val="00A37EEE"/>
    <w:rsid w:val="00A37EF1"/>
    <w:rsid w:val="00A37EFA"/>
    <w:rsid w:val="00A37F0C"/>
    <w:rsid w:val="00A37F2F"/>
    <w:rsid w:val="00A37F32"/>
    <w:rsid w:val="00A37F92"/>
    <w:rsid w:val="00A37FE7"/>
    <w:rsid w:val="00A400E0"/>
    <w:rsid w:val="00A4013A"/>
    <w:rsid w:val="00A40199"/>
    <w:rsid w:val="00A4022A"/>
    <w:rsid w:val="00A402BA"/>
    <w:rsid w:val="00A402CB"/>
    <w:rsid w:val="00A402D5"/>
    <w:rsid w:val="00A402E0"/>
    <w:rsid w:val="00A40312"/>
    <w:rsid w:val="00A403D6"/>
    <w:rsid w:val="00A4040F"/>
    <w:rsid w:val="00A40435"/>
    <w:rsid w:val="00A40487"/>
    <w:rsid w:val="00A40507"/>
    <w:rsid w:val="00A40516"/>
    <w:rsid w:val="00A40552"/>
    <w:rsid w:val="00A40563"/>
    <w:rsid w:val="00A40596"/>
    <w:rsid w:val="00A405A1"/>
    <w:rsid w:val="00A405CB"/>
    <w:rsid w:val="00A405D4"/>
    <w:rsid w:val="00A405E4"/>
    <w:rsid w:val="00A405EB"/>
    <w:rsid w:val="00A40616"/>
    <w:rsid w:val="00A4064E"/>
    <w:rsid w:val="00A40663"/>
    <w:rsid w:val="00A4066E"/>
    <w:rsid w:val="00A406AB"/>
    <w:rsid w:val="00A406B6"/>
    <w:rsid w:val="00A4073E"/>
    <w:rsid w:val="00A40790"/>
    <w:rsid w:val="00A40871"/>
    <w:rsid w:val="00A408A3"/>
    <w:rsid w:val="00A408BB"/>
    <w:rsid w:val="00A408FA"/>
    <w:rsid w:val="00A4091F"/>
    <w:rsid w:val="00A40945"/>
    <w:rsid w:val="00A4097A"/>
    <w:rsid w:val="00A409E2"/>
    <w:rsid w:val="00A40A13"/>
    <w:rsid w:val="00A40AB0"/>
    <w:rsid w:val="00A40B45"/>
    <w:rsid w:val="00A40B4A"/>
    <w:rsid w:val="00A40B8A"/>
    <w:rsid w:val="00A40BA8"/>
    <w:rsid w:val="00A40BFF"/>
    <w:rsid w:val="00A40C7B"/>
    <w:rsid w:val="00A40C94"/>
    <w:rsid w:val="00A40CD1"/>
    <w:rsid w:val="00A40D1E"/>
    <w:rsid w:val="00A40D6A"/>
    <w:rsid w:val="00A40D99"/>
    <w:rsid w:val="00A40DEF"/>
    <w:rsid w:val="00A40F09"/>
    <w:rsid w:val="00A40F33"/>
    <w:rsid w:val="00A40F56"/>
    <w:rsid w:val="00A410C6"/>
    <w:rsid w:val="00A41155"/>
    <w:rsid w:val="00A4115A"/>
    <w:rsid w:val="00A4118D"/>
    <w:rsid w:val="00A411A1"/>
    <w:rsid w:val="00A41230"/>
    <w:rsid w:val="00A41239"/>
    <w:rsid w:val="00A41295"/>
    <w:rsid w:val="00A41301"/>
    <w:rsid w:val="00A4133A"/>
    <w:rsid w:val="00A4133B"/>
    <w:rsid w:val="00A4136F"/>
    <w:rsid w:val="00A413F1"/>
    <w:rsid w:val="00A41431"/>
    <w:rsid w:val="00A41442"/>
    <w:rsid w:val="00A41463"/>
    <w:rsid w:val="00A41478"/>
    <w:rsid w:val="00A41486"/>
    <w:rsid w:val="00A41494"/>
    <w:rsid w:val="00A41519"/>
    <w:rsid w:val="00A41564"/>
    <w:rsid w:val="00A41573"/>
    <w:rsid w:val="00A415E5"/>
    <w:rsid w:val="00A4164C"/>
    <w:rsid w:val="00A41677"/>
    <w:rsid w:val="00A4169C"/>
    <w:rsid w:val="00A416A5"/>
    <w:rsid w:val="00A416A7"/>
    <w:rsid w:val="00A416E5"/>
    <w:rsid w:val="00A41754"/>
    <w:rsid w:val="00A417FF"/>
    <w:rsid w:val="00A41854"/>
    <w:rsid w:val="00A418A3"/>
    <w:rsid w:val="00A41939"/>
    <w:rsid w:val="00A4196B"/>
    <w:rsid w:val="00A41A05"/>
    <w:rsid w:val="00A41A11"/>
    <w:rsid w:val="00A41B83"/>
    <w:rsid w:val="00A41B89"/>
    <w:rsid w:val="00A41BA5"/>
    <w:rsid w:val="00A41BC9"/>
    <w:rsid w:val="00A41C5C"/>
    <w:rsid w:val="00A41CC2"/>
    <w:rsid w:val="00A41CFC"/>
    <w:rsid w:val="00A41E36"/>
    <w:rsid w:val="00A41E44"/>
    <w:rsid w:val="00A41E5F"/>
    <w:rsid w:val="00A41E77"/>
    <w:rsid w:val="00A41EC3"/>
    <w:rsid w:val="00A41F2C"/>
    <w:rsid w:val="00A41F74"/>
    <w:rsid w:val="00A41FA5"/>
    <w:rsid w:val="00A41FFD"/>
    <w:rsid w:val="00A4203C"/>
    <w:rsid w:val="00A420B0"/>
    <w:rsid w:val="00A420DC"/>
    <w:rsid w:val="00A420E9"/>
    <w:rsid w:val="00A420FB"/>
    <w:rsid w:val="00A4211A"/>
    <w:rsid w:val="00A421DF"/>
    <w:rsid w:val="00A421F8"/>
    <w:rsid w:val="00A42214"/>
    <w:rsid w:val="00A42220"/>
    <w:rsid w:val="00A42241"/>
    <w:rsid w:val="00A4225C"/>
    <w:rsid w:val="00A42288"/>
    <w:rsid w:val="00A422C9"/>
    <w:rsid w:val="00A423BF"/>
    <w:rsid w:val="00A4240B"/>
    <w:rsid w:val="00A4243A"/>
    <w:rsid w:val="00A42451"/>
    <w:rsid w:val="00A4266E"/>
    <w:rsid w:val="00A426A8"/>
    <w:rsid w:val="00A426F8"/>
    <w:rsid w:val="00A42781"/>
    <w:rsid w:val="00A427BD"/>
    <w:rsid w:val="00A42822"/>
    <w:rsid w:val="00A428DC"/>
    <w:rsid w:val="00A42AAF"/>
    <w:rsid w:val="00A42B38"/>
    <w:rsid w:val="00A42B77"/>
    <w:rsid w:val="00A42BA7"/>
    <w:rsid w:val="00A42BAB"/>
    <w:rsid w:val="00A42C56"/>
    <w:rsid w:val="00A42CCF"/>
    <w:rsid w:val="00A42E06"/>
    <w:rsid w:val="00A42E58"/>
    <w:rsid w:val="00A42E75"/>
    <w:rsid w:val="00A42E91"/>
    <w:rsid w:val="00A42EB4"/>
    <w:rsid w:val="00A42F5D"/>
    <w:rsid w:val="00A42F6C"/>
    <w:rsid w:val="00A42F78"/>
    <w:rsid w:val="00A42F8D"/>
    <w:rsid w:val="00A42FCB"/>
    <w:rsid w:val="00A4306D"/>
    <w:rsid w:val="00A430E8"/>
    <w:rsid w:val="00A430EE"/>
    <w:rsid w:val="00A43151"/>
    <w:rsid w:val="00A4318F"/>
    <w:rsid w:val="00A4320C"/>
    <w:rsid w:val="00A43260"/>
    <w:rsid w:val="00A4329C"/>
    <w:rsid w:val="00A432F4"/>
    <w:rsid w:val="00A432F6"/>
    <w:rsid w:val="00A43330"/>
    <w:rsid w:val="00A43332"/>
    <w:rsid w:val="00A43338"/>
    <w:rsid w:val="00A4342D"/>
    <w:rsid w:val="00A43466"/>
    <w:rsid w:val="00A434CF"/>
    <w:rsid w:val="00A434E1"/>
    <w:rsid w:val="00A43525"/>
    <w:rsid w:val="00A43531"/>
    <w:rsid w:val="00A4355B"/>
    <w:rsid w:val="00A43609"/>
    <w:rsid w:val="00A4363A"/>
    <w:rsid w:val="00A436C2"/>
    <w:rsid w:val="00A436C6"/>
    <w:rsid w:val="00A43707"/>
    <w:rsid w:val="00A43749"/>
    <w:rsid w:val="00A43754"/>
    <w:rsid w:val="00A437D2"/>
    <w:rsid w:val="00A43805"/>
    <w:rsid w:val="00A4381B"/>
    <w:rsid w:val="00A43854"/>
    <w:rsid w:val="00A438DE"/>
    <w:rsid w:val="00A4390A"/>
    <w:rsid w:val="00A43918"/>
    <w:rsid w:val="00A43951"/>
    <w:rsid w:val="00A43965"/>
    <w:rsid w:val="00A439CE"/>
    <w:rsid w:val="00A43A05"/>
    <w:rsid w:val="00A43A15"/>
    <w:rsid w:val="00A43AFC"/>
    <w:rsid w:val="00A43CF1"/>
    <w:rsid w:val="00A43D03"/>
    <w:rsid w:val="00A43DE3"/>
    <w:rsid w:val="00A43E0A"/>
    <w:rsid w:val="00A43E14"/>
    <w:rsid w:val="00A43EF5"/>
    <w:rsid w:val="00A43F9E"/>
    <w:rsid w:val="00A43FD3"/>
    <w:rsid w:val="00A44067"/>
    <w:rsid w:val="00A440AA"/>
    <w:rsid w:val="00A44146"/>
    <w:rsid w:val="00A44198"/>
    <w:rsid w:val="00A44287"/>
    <w:rsid w:val="00A44325"/>
    <w:rsid w:val="00A4433F"/>
    <w:rsid w:val="00A4438B"/>
    <w:rsid w:val="00A4452A"/>
    <w:rsid w:val="00A4457A"/>
    <w:rsid w:val="00A4464C"/>
    <w:rsid w:val="00A446B8"/>
    <w:rsid w:val="00A446FE"/>
    <w:rsid w:val="00A44773"/>
    <w:rsid w:val="00A447A0"/>
    <w:rsid w:val="00A447AE"/>
    <w:rsid w:val="00A447F6"/>
    <w:rsid w:val="00A44838"/>
    <w:rsid w:val="00A4487E"/>
    <w:rsid w:val="00A448C1"/>
    <w:rsid w:val="00A44954"/>
    <w:rsid w:val="00A4495B"/>
    <w:rsid w:val="00A44988"/>
    <w:rsid w:val="00A449A2"/>
    <w:rsid w:val="00A449CD"/>
    <w:rsid w:val="00A44A69"/>
    <w:rsid w:val="00A44A74"/>
    <w:rsid w:val="00A44B77"/>
    <w:rsid w:val="00A44BB3"/>
    <w:rsid w:val="00A44BBA"/>
    <w:rsid w:val="00A44C77"/>
    <w:rsid w:val="00A44C7E"/>
    <w:rsid w:val="00A44CAA"/>
    <w:rsid w:val="00A44DEA"/>
    <w:rsid w:val="00A44E73"/>
    <w:rsid w:val="00A44EFD"/>
    <w:rsid w:val="00A44F06"/>
    <w:rsid w:val="00A44F23"/>
    <w:rsid w:val="00A44F2A"/>
    <w:rsid w:val="00A44F2E"/>
    <w:rsid w:val="00A44F80"/>
    <w:rsid w:val="00A44FF9"/>
    <w:rsid w:val="00A45003"/>
    <w:rsid w:val="00A45096"/>
    <w:rsid w:val="00A450A5"/>
    <w:rsid w:val="00A4518A"/>
    <w:rsid w:val="00A451A3"/>
    <w:rsid w:val="00A451A8"/>
    <w:rsid w:val="00A451A9"/>
    <w:rsid w:val="00A45286"/>
    <w:rsid w:val="00A452D8"/>
    <w:rsid w:val="00A4539D"/>
    <w:rsid w:val="00A453EF"/>
    <w:rsid w:val="00A45416"/>
    <w:rsid w:val="00A45467"/>
    <w:rsid w:val="00A4549A"/>
    <w:rsid w:val="00A45503"/>
    <w:rsid w:val="00A4555D"/>
    <w:rsid w:val="00A455C0"/>
    <w:rsid w:val="00A45635"/>
    <w:rsid w:val="00A456D6"/>
    <w:rsid w:val="00A45723"/>
    <w:rsid w:val="00A45764"/>
    <w:rsid w:val="00A45768"/>
    <w:rsid w:val="00A4577C"/>
    <w:rsid w:val="00A4579C"/>
    <w:rsid w:val="00A457B9"/>
    <w:rsid w:val="00A45813"/>
    <w:rsid w:val="00A4584F"/>
    <w:rsid w:val="00A45861"/>
    <w:rsid w:val="00A458B7"/>
    <w:rsid w:val="00A4590D"/>
    <w:rsid w:val="00A4591E"/>
    <w:rsid w:val="00A4595A"/>
    <w:rsid w:val="00A4598C"/>
    <w:rsid w:val="00A459B1"/>
    <w:rsid w:val="00A459D9"/>
    <w:rsid w:val="00A45A14"/>
    <w:rsid w:val="00A45A2D"/>
    <w:rsid w:val="00A45A73"/>
    <w:rsid w:val="00A45AFA"/>
    <w:rsid w:val="00A45AFC"/>
    <w:rsid w:val="00A45B8F"/>
    <w:rsid w:val="00A45BE1"/>
    <w:rsid w:val="00A45BF3"/>
    <w:rsid w:val="00A45C21"/>
    <w:rsid w:val="00A45C5E"/>
    <w:rsid w:val="00A45D6E"/>
    <w:rsid w:val="00A45E01"/>
    <w:rsid w:val="00A45E1B"/>
    <w:rsid w:val="00A45E1D"/>
    <w:rsid w:val="00A45E70"/>
    <w:rsid w:val="00A45E74"/>
    <w:rsid w:val="00A45EA0"/>
    <w:rsid w:val="00A46033"/>
    <w:rsid w:val="00A46090"/>
    <w:rsid w:val="00A46097"/>
    <w:rsid w:val="00A46146"/>
    <w:rsid w:val="00A4622D"/>
    <w:rsid w:val="00A46265"/>
    <w:rsid w:val="00A462D1"/>
    <w:rsid w:val="00A462EF"/>
    <w:rsid w:val="00A4635D"/>
    <w:rsid w:val="00A463E1"/>
    <w:rsid w:val="00A46451"/>
    <w:rsid w:val="00A4645D"/>
    <w:rsid w:val="00A4649F"/>
    <w:rsid w:val="00A46563"/>
    <w:rsid w:val="00A465F8"/>
    <w:rsid w:val="00A46654"/>
    <w:rsid w:val="00A46662"/>
    <w:rsid w:val="00A46674"/>
    <w:rsid w:val="00A466C7"/>
    <w:rsid w:val="00A46700"/>
    <w:rsid w:val="00A46721"/>
    <w:rsid w:val="00A468F1"/>
    <w:rsid w:val="00A46911"/>
    <w:rsid w:val="00A4695F"/>
    <w:rsid w:val="00A4696C"/>
    <w:rsid w:val="00A4699F"/>
    <w:rsid w:val="00A469B8"/>
    <w:rsid w:val="00A469BB"/>
    <w:rsid w:val="00A469E4"/>
    <w:rsid w:val="00A46A96"/>
    <w:rsid w:val="00A46AC5"/>
    <w:rsid w:val="00A46B16"/>
    <w:rsid w:val="00A46B5C"/>
    <w:rsid w:val="00A46B96"/>
    <w:rsid w:val="00A46BA6"/>
    <w:rsid w:val="00A46BAE"/>
    <w:rsid w:val="00A46BD8"/>
    <w:rsid w:val="00A46BFB"/>
    <w:rsid w:val="00A46C3A"/>
    <w:rsid w:val="00A46CD3"/>
    <w:rsid w:val="00A46D5B"/>
    <w:rsid w:val="00A46DC4"/>
    <w:rsid w:val="00A46DF3"/>
    <w:rsid w:val="00A46E09"/>
    <w:rsid w:val="00A46E38"/>
    <w:rsid w:val="00A46E5B"/>
    <w:rsid w:val="00A46E70"/>
    <w:rsid w:val="00A46E8D"/>
    <w:rsid w:val="00A46EC8"/>
    <w:rsid w:val="00A46F5B"/>
    <w:rsid w:val="00A46F8E"/>
    <w:rsid w:val="00A46FF5"/>
    <w:rsid w:val="00A47024"/>
    <w:rsid w:val="00A4702E"/>
    <w:rsid w:val="00A470F9"/>
    <w:rsid w:val="00A47140"/>
    <w:rsid w:val="00A47159"/>
    <w:rsid w:val="00A471B9"/>
    <w:rsid w:val="00A471BB"/>
    <w:rsid w:val="00A4720A"/>
    <w:rsid w:val="00A4724F"/>
    <w:rsid w:val="00A472FA"/>
    <w:rsid w:val="00A4735D"/>
    <w:rsid w:val="00A47380"/>
    <w:rsid w:val="00A47398"/>
    <w:rsid w:val="00A473E1"/>
    <w:rsid w:val="00A473FF"/>
    <w:rsid w:val="00A47428"/>
    <w:rsid w:val="00A47440"/>
    <w:rsid w:val="00A474C8"/>
    <w:rsid w:val="00A474D2"/>
    <w:rsid w:val="00A47522"/>
    <w:rsid w:val="00A475AE"/>
    <w:rsid w:val="00A475BE"/>
    <w:rsid w:val="00A475F2"/>
    <w:rsid w:val="00A47624"/>
    <w:rsid w:val="00A476FD"/>
    <w:rsid w:val="00A4774D"/>
    <w:rsid w:val="00A47779"/>
    <w:rsid w:val="00A47784"/>
    <w:rsid w:val="00A477A8"/>
    <w:rsid w:val="00A477D8"/>
    <w:rsid w:val="00A4782C"/>
    <w:rsid w:val="00A47838"/>
    <w:rsid w:val="00A4784C"/>
    <w:rsid w:val="00A478F8"/>
    <w:rsid w:val="00A479A5"/>
    <w:rsid w:val="00A479C7"/>
    <w:rsid w:val="00A479E1"/>
    <w:rsid w:val="00A47AF5"/>
    <w:rsid w:val="00A47AF6"/>
    <w:rsid w:val="00A47B6D"/>
    <w:rsid w:val="00A47BBA"/>
    <w:rsid w:val="00A47BF8"/>
    <w:rsid w:val="00A47C13"/>
    <w:rsid w:val="00A47C15"/>
    <w:rsid w:val="00A47C79"/>
    <w:rsid w:val="00A47D32"/>
    <w:rsid w:val="00A47DE7"/>
    <w:rsid w:val="00A47DF5"/>
    <w:rsid w:val="00A47E7D"/>
    <w:rsid w:val="00A47EC5"/>
    <w:rsid w:val="00A47ED0"/>
    <w:rsid w:val="00A47F27"/>
    <w:rsid w:val="00A47F40"/>
    <w:rsid w:val="00A47F6F"/>
    <w:rsid w:val="00A47F86"/>
    <w:rsid w:val="00A47F87"/>
    <w:rsid w:val="00A47FD0"/>
    <w:rsid w:val="00A5002F"/>
    <w:rsid w:val="00A5006E"/>
    <w:rsid w:val="00A50078"/>
    <w:rsid w:val="00A500B1"/>
    <w:rsid w:val="00A500B8"/>
    <w:rsid w:val="00A50161"/>
    <w:rsid w:val="00A501F5"/>
    <w:rsid w:val="00A50249"/>
    <w:rsid w:val="00A5024C"/>
    <w:rsid w:val="00A50278"/>
    <w:rsid w:val="00A502D2"/>
    <w:rsid w:val="00A5030A"/>
    <w:rsid w:val="00A50406"/>
    <w:rsid w:val="00A50463"/>
    <w:rsid w:val="00A504D9"/>
    <w:rsid w:val="00A504DD"/>
    <w:rsid w:val="00A504F6"/>
    <w:rsid w:val="00A50591"/>
    <w:rsid w:val="00A505DD"/>
    <w:rsid w:val="00A505E8"/>
    <w:rsid w:val="00A50643"/>
    <w:rsid w:val="00A50685"/>
    <w:rsid w:val="00A506B6"/>
    <w:rsid w:val="00A50749"/>
    <w:rsid w:val="00A50772"/>
    <w:rsid w:val="00A5081B"/>
    <w:rsid w:val="00A50881"/>
    <w:rsid w:val="00A508A5"/>
    <w:rsid w:val="00A508ED"/>
    <w:rsid w:val="00A50974"/>
    <w:rsid w:val="00A5099F"/>
    <w:rsid w:val="00A509A5"/>
    <w:rsid w:val="00A50AA1"/>
    <w:rsid w:val="00A50ADB"/>
    <w:rsid w:val="00A50ADE"/>
    <w:rsid w:val="00A50AF0"/>
    <w:rsid w:val="00A50B04"/>
    <w:rsid w:val="00A50B15"/>
    <w:rsid w:val="00A50B1E"/>
    <w:rsid w:val="00A50B24"/>
    <w:rsid w:val="00A50B33"/>
    <w:rsid w:val="00A50B70"/>
    <w:rsid w:val="00A50BBF"/>
    <w:rsid w:val="00A50BDF"/>
    <w:rsid w:val="00A50D05"/>
    <w:rsid w:val="00A50D33"/>
    <w:rsid w:val="00A50DDB"/>
    <w:rsid w:val="00A50E5A"/>
    <w:rsid w:val="00A50E61"/>
    <w:rsid w:val="00A50EBC"/>
    <w:rsid w:val="00A50FBE"/>
    <w:rsid w:val="00A50FCB"/>
    <w:rsid w:val="00A5104A"/>
    <w:rsid w:val="00A51062"/>
    <w:rsid w:val="00A51083"/>
    <w:rsid w:val="00A5109F"/>
    <w:rsid w:val="00A51107"/>
    <w:rsid w:val="00A51120"/>
    <w:rsid w:val="00A51122"/>
    <w:rsid w:val="00A51194"/>
    <w:rsid w:val="00A51242"/>
    <w:rsid w:val="00A5124E"/>
    <w:rsid w:val="00A512E2"/>
    <w:rsid w:val="00A5138F"/>
    <w:rsid w:val="00A513D6"/>
    <w:rsid w:val="00A514B0"/>
    <w:rsid w:val="00A514C7"/>
    <w:rsid w:val="00A5155A"/>
    <w:rsid w:val="00A51584"/>
    <w:rsid w:val="00A515F1"/>
    <w:rsid w:val="00A51614"/>
    <w:rsid w:val="00A5174C"/>
    <w:rsid w:val="00A517D2"/>
    <w:rsid w:val="00A517E7"/>
    <w:rsid w:val="00A517EF"/>
    <w:rsid w:val="00A518B4"/>
    <w:rsid w:val="00A518E9"/>
    <w:rsid w:val="00A5194B"/>
    <w:rsid w:val="00A519EF"/>
    <w:rsid w:val="00A519FC"/>
    <w:rsid w:val="00A51A1F"/>
    <w:rsid w:val="00A51A56"/>
    <w:rsid w:val="00A51B06"/>
    <w:rsid w:val="00A51CD1"/>
    <w:rsid w:val="00A51CEF"/>
    <w:rsid w:val="00A51D2E"/>
    <w:rsid w:val="00A51D3E"/>
    <w:rsid w:val="00A51D70"/>
    <w:rsid w:val="00A51D7C"/>
    <w:rsid w:val="00A51E05"/>
    <w:rsid w:val="00A51E18"/>
    <w:rsid w:val="00A51E6C"/>
    <w:rsid w:val="00A51E7D"/>
    <w:rsid w:val="00A51E9B"/>
    <w:rsid w:val="00A51EBC"/>
    <w:rsid w:val="00A51EBF"/>
    <w:rsid w:val="00A51F76"/>
    <w:rsid w:val="00A51F80"/>
    <w:rsid w:val="00A51FD0"/>
    <w:rsid w:val="00A51FE6"/>
    <w:rsid w:val="00A52044"/>
    <w:rsid w:val="00A520A7"/>
    <w:rsid w:val="00A520B4"/>
    <w:rsid w:val="00A5214E"/>
    <w:rsid w:val="00A521AF"/>
    <w:rsid w:val="00A521E0"/>
    <w:rsid w:val="00A52230"/>
    <w:rsid w:val="00A52270"/>
    <w:rsid w:val="00A52288"/>
    <w:rsid w:val="00A5228A"/>
    <w:rsid w:val="00A522A7"/>
    <w:rsid w:val="00A522C8"/>
    <w:rsid w:val="00A5231C"/>
    <w:rsid w:val="00A52346"/>
    <w:rsid w:val="00A52425"/>
    <w:rsid w:val="00A52463"/>
    <w:rsid w:val="00A52498"/>
    <w:rsid w:val="00A524FB"/>
    <w:rsid w:val="00A5251B"/>
    <w:rsid w:val="00A52620"/>
    <w:rsid w:val="00A5268D"/>
    <w:rsid w:val="00A526B0"/>
    <w:rsid w:val="00A526E4"/>
    <w:rsid w:val="00A5270E"/>
    <w:rsid w:val="00A52710"/>
    <w:rsid w:val="00A52772"/>
    <w:rsid w:val="00A52876"/>
    <w:rsid w:val="00A52884"/>
    <w:rsid w:val="00A528BE"/>
    <w:rsid w:val="00A528C3"/>
    <w:rsid w:val="00A52973"/>
    <w:rsid w:val="00A529A6"/>
    <w:rsid w:val="00A529DA"/>
    <w:rsid w:val="00A529F6"/>
    <w:rsid w:val="00A52A21"/>
    <w:rsid w:val="00A52A7F"/>
    <w:rsid w:val="00A52AAF"/>
    <w:rsid w:val="00A52AE5"/>
    <w:rsid w:val="00A52AF6"/>
    <w:rsid w:val="00A52AFF"/>
    <w:rsid w:val="00A52B53"/>
    <w:rsid w:val="00A52B9A"/>
    <w:rsid w:val="00A52BE4"/>
    <w:rsid w:val="00A52BE5"/>
    <w:rsid w:val="00A52CED"/>
    <w:rsid w:val="00A52D59"/>
    <w:rsid w:val="00A52D75"/>
    <w:rsid w:val="00A52DFA"/>
    <w:rsid w:val="00A52EF4"/>
    <w:rsid w:val="00A52F09"/>
    <w:rsid w:val="00A52F68"/>
    <w:rsid w:val="00A52F72"/>
    <w:rsid w:val="00A52F83"/>
    <w:rsid w:val="00A52F8C"/>
    <w:rsid w:val="00A52FE8"/>
    <w:rsid w:val="00A53050"/>
    <w:rsid w:val="00A53058"/>
    <w:rsid w:val="00A53075"/>
    <w:rsid w:val="00A530DA"/>
    <w:rsid w:val="00A530FA"/>
    <w:rsid w:val="00A53124"/>
    <w:rsid w:val="00A5313C"/>
    <w:rsid w:val="00A5314A"/>
    <w:rsid w:val="00A53176"/>
    <w:rsid w:val="00A531CC"/>
    <w:rsid w:val="00A531FA"/>
    <w:rsid w:val="00A53266"/>
    <w:rsid w:val="00A532EC"/>
    <w:rsid w:val="00A5335E"/>
    <w:rsid w:val="00A5335F"/>
    <w:rsid w:val="00A53432"/>
    <w:rsid w:val="00A5346B"/>
    <w:rsid w:val="00A53516"/>
    <w:rsid w:val="00A53535"/>
    <w:rsid w:val="00A5353F"/>
    <w:rsid w:val="00A5366C"/>
    <w:rsid w:val="00A536B4"/>
    <w:rsid w:val="00A536D1"/>
    <w:rsid w:val="00A53753"/>
    <w:rsid w:val="00A5375D"/>
    <w:rsid w:val="00A53784"/>
    <w:rsid w:val="00A53799"/>
    <w:rsid w:val="00A537F6"/>
    <w:rsid w:val="00A537F7"/>
    <w:rsid w:val="00A53809"/>
    <w:rsid w:val="00A53885"/>
    <w:rsid w:val="00A538BA"/>
    <w:rsid w:val="00A539D3"/>
    <w:rsid w:val="00A53B22"/>
    <w:rsid w:val="00A53B67"/>
    <w:rsid w:val="00A53BA2"/>
    <w:rsid w:val="00A53BE7"/>
    <w:rsid w:val="00A53DAC"/>
    <w:rsid w:val="00A53DDB"/>
    <w:rsid w:val="00A53E6F"/>
    <w:rsid w:val="00A53EE8"/>
    <w:rsid w:val="00A53EFF"/>
    <w:rsid w:val="00A53F41"/>
    <w:rsid w:val="00A54023"/>
    <w:rsid w:val="00A54069"/>
    <w:rsid w:val="00A5416A"/>
    <w:rsid w:val="00A54183"/>
    <w:rsid w:val="00A54194"/>
    <w:rsid w:val="00A541A4"/>
    <w:rsid w:val="00A541CC"/>
    <w:rsid w:val="00A542A9"/>
    <w:rsid w:val="00A542CC"/>
    <w:rsid w:val="00A542CE"/>
    <w:rsid w:val="00A5438A"/>
    <w:rsid w:val="00A54393"/>
    <w:rsid w:val="00A543B7"/>
    <w:rsid w:val="00A544C8"/>
    <w:rsid w:val="00A54524"/>
    <w:rsid w:val="00A54566"/>
    <w:rsid w:val="00A545C4"/>
    <w:rsid w:val="00A54691"/>
    <w:rsid w:val="00A546BD"/>
    <w:rsid w:val="00A54797"/>
    <w:rsid w:val="00A547D7"/>
    <w:rsid w:val="00A54839"/>
    <w:rsid w:val="00A5486D"/>
    <w:rsid w:val="00A548C4"/>
    <w:rsid w:val="00A548E9"/>
    <w:rsid w:val="00A54984"/>
    <w:rsid w:val="00A54A41"/>
    <w:rsid w:val="00A54A94"/>
    <w:rsid w:val="00A54AC1"/>
    <w:rsid w:val="00A54ADE"/>
    <w:rsid w:val="00A54B1E"/>
    <w:rsid w:val="00A54B6A"/>
    <w:rsid w:val="00A54B91"/>
    <w:rsid w:val="00A54B95"/>
    <w:rsid w:val="00A54C1C"/>
    <w:rsid w:val="00A54C42"/>
    <w:rsid w:val="00A54C68"/>
    <w:rsid w:val="00A54C70"/>
    <w:rsid w:val="00A54CDF"/>
    <w:rsid w:val="00A54CF1"/>
    <w:rsid w:val="00A54CFD"/>
    <w:rsid w:val="00A54CFF"/>
    <w:rsid w:val="00A54DC5"/>
    <w:rsid w:val="00A54DEC"/>
    <w:rsid w:val="00A54E7F"/>
    <w:rsid w:val="00A54EED"/>
    <w:rsid w:val="00A55069"/>
    <w:rsid w:val="00A550CB"/>
    <w:rsid w:val="00A550E3"/>
    <w:rsid w:val="00A55101"/>
    <w:rsid w:val="00A551AA"/>
    <w:rsid w:val="00A551C9"/>
    <w:rsid w:val="00A551DB"/>
    <w:rsid w:val="00A551EB"/>
    <w:rsid w:val="00A5522E"/>
    <w:rsid w:val="00A552F2"/>
    <w:rsid w:val="00A55307"/>
    <w:rsid w:val="00A5530B"/>
    <w:rsid w:val="00A553C7"/>
    <w:rsid w:val="00A553DE"/>
    <w:rsid w:val="00A55418"/>
    <w:rsid w:val="00A5542D"/>
    <w:rsid w:val="00A55430"/>
    <w:rsid w:val="00A554E4"/>
    <w:rsid w:val="00A554F9"/>
    <w:rsid w:val="00A55549"/>
    <w:rsid w:val="00A556AA"/>
    <w:rsid w:val="00A556B7"/>
    <w:rsid w:val="00A556BA"/>
    <w:rsid w:val="00A556C3"/>
    <w:rsid w:val="00A55711"/>
    <w:rsid w:val="00A557F6"/>
    <w:rsid w:val="00A557FD"/>
    <w:rsid w:val="00A55819"/>
    <w:rsid w:val="00A55835"/>
    <w:rsid w:val="00A55880"/>
    <w:rsid w:val="00A55926"/>
    <w:rsid w:val="00A55986"/>
    <w:rsid w:val="00A559C8"/>
    <w:rsid w:val="00A559D2"/>
    <w:rsid w:val="00A559DD"/>
    <w:rsid w:val="00A55AAA"/>
    <w:rsid w:val="00A55AE6"/>
    <w:rsid w:val="00A55B1C"/>
    <w:rsid w:val="00A55BC3"/>
    <w:rsid w:val="00A55C05"/>
    <w:rsid w:val="00A55C21"/>
    <w:rsid w:val="00A55C61"/>
    <w:rsid w:val="00A55C70"/>
    <w:rsid w:val="00A55CBA"/>
    <w:rsid w:val="00A55CCE"/>
    <w:rsid w:val="00A55D02"/>
    <w:rsid w:val="00A55D22"/>
    <w:rsid w:val="00A55EE6"/>
    <w:rsid w:val="00A55EF0"/>
    <w:rsid w:val="00A55F16"/>
    <w:rsid w:val="00A55FA7"/>
    <w:rsid w:val="00A56034"/>
    <w:rsid w:val="00A5604E"/>
    <w:rsid w:val="00A561B3"/>
    <w:rsid w:val="00A561E1"/>
    <w:rsid w:val="00A5622D"/>
    <w:rsid w:val="00A5641F"/>
    <w:rsid w:val="00A56507"/>
    <w:rsid w:val="00A56518"/>
    <w:rsid w:val="00A5654D"/>
    <w:rsid w:val="00A56556"/>
    <w:rsid w:val="00A565A2"/>
    <w:rsid w:val="00A566D0"/>
    <w:rsid w:val="00A567F4"/>
    <w:rsid w:val="00A56806"/>
    <w:rsid w:val="00A56961"/>
    <w:rsid w:val="00A56964"/>
    <w:rsid w:val="00A56972"/>
    <w:rsid w:val="00A569EB"/>
    <w:rsid w:val="00A56A21"/>
    <w:rsid w:val="00A56A69"/>
    <w:rsid w:val="00A56B3F"/>
    <w:rsid w:val="00A56B72"/>
    <w:rsid w:val="00A56BAF"/>
    <w:rsid w:val="00A56C38"/>
    <w:rsid w:val="00A56C45"/>
    <w:rsid w:val="00A56C6E"/>
    <w:rsid w:val="00A56CC1"/>
    <w:rsid w:val="00A56EDB"/>
    <w:rsid w:val="00A56F40"/>
    <w:rsid w:val="00A56F45"/>
    <w:rsid w:val="00A56FA4"/>
    <w:rsid w:val="00A56FB5"/>
    <w:rsid w:val="00A56FF3"/>
    <w:rsid w:val="00A5701E"/>
    <w:rsid w:val="00A57085"/>
    <w:rsid w:val="00A570CE"/>
    <w:rsid w:val="00A57166"/>
    <w:rsid w:val="00A572A6"/>
    <w:rsid w:val="00A57398"/>
    <w:rsid w:val="00A57439"/>
    <w:rsid w:val="00A57507"/>
    <w:rsid w:val="00A5751D"/>
    <w:rsid w:val="00A5754C"/>
    <w:rsid w:val="00A57586"/>
    <w:rsid w:val="00A5758F"/>
    <w:rsid w:val="00A57591"/>
    <w:rsid w:val="00A57610"/>
    <w:rsid w:val="00A57650"/>
    <w:rsid w:val="00A57672"/>
    <w:rsid w:val="00A576A7"/>
    <w:rsid w:val="00A576C0"/>
    <w:rsid w:val="00A576ED"/>
    <w:rsid w:val="00A57746"/>
    <w:rsid w:val="00A57796"/>
    <w:rsid w:val="00A577AF"/>
    <w:rsid w:val="00A577C5"/>
    <w:rsid w:val="00A5785D"/>
    <w:rsid w:val="00A57A49"/>
    <w:rsid w:val="00A57A62"/>
    <w:rsid w:val="00A57AD4"/>
    <w:rsid w:val="00A57C39"/>
    <w:rsid w:val="00A57C51"/>
    <w:rsid w:val="00A57C8A"/>
    <w:rsid w:val="00A57CAC"/>
    <w:rsid w:val="00A57D7B"/>
    <w:rsid w:val="00A57DE3"/>
    <w:rsid w:val="00A57DF1"/>
    <w:rsid w:val="00A57E96"/>
    <w:rsid w:val="00A57EFD"/>
    <w:rsid w:val="00A57FEB"/>
    <w:rsid w:val="00A600CF"/>
    <w:rsid w:val="00A60175"/>
    <w:rsid w:val="00A601A8"/>
    <w:rsid w:val="00A601FE"/>
    <w:rsid w:val="00A60210"/>
    <w:rsid w:val="00A60228"/>
    <w:rsid w:val="00A6022C"/>
    <w:rsid w:val="00A602CD"/>
    <w:rsid w:val="00A60397"/>
    <w:rsid w:val="00A60424"/>
    <w:rsid w:val="00A60499"/>
    <w:rsid w:val="00A605BE"/>
    <w:rsid w:val="00A6062F"/>
    <w:rsid w:val="00A606CA"/>
    <w:rsid w:val="00A606DA"/>
    <w:rsid w:val="00A6073A"/>
    <w:rsid w:val="00A60748"/>
    <w:rsid w:val="00A607C4"/>
    <w:rsid w:val="00A607DF"/>
    <w:rsid w:val="00A6080D"/>
    <w:rsid w:val="00A6083C"/>
    <w:rsid w:val="00A608A1"/>
    <w:rsid w:val="00A609C9"/>
    <w:rsid w:val="00A60A0B"/>
    <w:rsid w:val="00A60A13"/>
    <w:rsid w:val="00A60A60"/>
    <w:rsid w:val="00A60A6F"/>
    <w:rsid w:val="00A60AB3"/>
    <w:rsid w:val="00A60AC2"/>
    <w:rsid w:val="00A60AC6"/>
    <w:rsid w:val="00A60B08"/>
    <w:rsid w:val="00A60B86"/>
    <w:rsid w:val="00A60B8A"/>
    <w:rsid w:val="00A60BB0"/>
    <w:rsid w:val="00A60BB1"/>
    <w:rsid w:val="00A60BC7"/>
    <w:rsid w:val="00A60BE2"/>
    <w:rsid w:val="00A60C0E"/>
    <w:rsid w:val="00A60C1A"/>
    <w:rsid w:val="00A60C46"/>
    <w:rsid w:val="00A60C57"/>
    <w:rsid w:val="00A60CB5"/>
    <w:rsid w:val="00A60CD8"/>
    <w:rsid w:val="00A60CFF"/>
    <w:rsid w:val="00A60D06"/>
    <w:rsid w:val="00A60D0B"/>
    <w:rsid w:val="00A60D4A"/>
    <w:rsid w:val="00A60D4E"/>
    <w:rsid w:val="00A60D9C"/>
    <w:rsid w:val="00A60DAF"/>
    <w:rsid w:val="00A60DDC"/>
    <w:rsid w:val="00A60E5E"/>
    <w:rsid w:val="00A60F3C"/>
    <w:rsid w:val="00A60FC5"/>
    <w:rsid w:val="00A60FC9"/>
    <w:rsid w:val="00A60FF7"/>
    <w:rsid w:val="00A61030"/>
    <w:rsid w:val="00A610B2"/>
    <w:rsid w:val="00A610E7"/>
    <w:rsid w:val="00A6110C"/>
    <w:rsid w:val="00A61126"/>
    <w:rsid w:val="00A612B9"/>
    <w:rsid w:val="00A612BB"/>
    <w:rsid w:val="00A612F5"/>
    <w:rsid w:val="00A6133E"/>
    <w:rsid w:val="00A6145C"/>
    <w:rsid w:val="00A61460"/>
    <w:rsid w:val="00A614F9"/>
    <w:rsid w:val="00A61527"/>
    <w:rsid w:val="00A61558"/>
    <w:rsid w:val="00A61571"/>
    <w:rsid w:val="00A6158B"/>
    <w:rsid w:val="00A615DC"/>
    <w:rsid w:val="00A61675"/>
    <w:rsid w:val="00A61687"/>
    <w:rsid w:val="00A616BF"/>
    <w:rsid w:val="00A616C7"/>
    <w:rsid w:val="00A616DC"/>
    <w:rsid w:val="00A6176E"/>
    <w:rsid w:val="00A619D3"/>
    <w:rsid w:val="00A61A30"/>
    <w:rsid w:val="00A61A66"/>
    <w:rsid w:val="00A61AD3"/>
    <w:rsid w:val="00A61AF5"/>
    <w:rsid w:val="00A61B4E"/>
    <w:rsid w:val="00A61BBE"/>
    <w:rsid w:val="00A61C09"/>
    <w:rsid w:val="00A61C26"/>
    <w:rsid w:val="00A61C47"/>
    <w:rsid w:val="00A61C5F"/>
    <w:rsid w:val="00A61C6E"/>
    <w:rsid w:val="00A61C83"/>
    <w:rsid w:val="00A61CA7"/>
    <w:rsid w:val="00A61CEA"/>
    <w:rsid w:val="00A61D0D"/>
    <w:rsid w:val="00A61D24"/>
    <w:rsid w:val="00A61D6C"/>
    <w:rsid w:val="00A61D6D"/>
    <w:rsid w:val="00A61DA7"/>
    <w:rsid w:val="00A61E25"/>
    <w:rsid w:val="00A61E58"/>
    <w:rsid w:val="00A61E96"/>
    <w:rsid w:val="00A61EC1"/>
    <w:rsid w:val="00A62029"/>
    <w:rsid w:val="00A62061"/>
    <w:rsid w:val="00A6207A"/>
    <w:rsid w:val="00A620F3"/>
    <w:rsid w:val="00A620FA"/>
    <w:rsid w:val="00A62182"/>
    <w:rsid w:val="00A621AC"/>
    <w:rsid w:val="00A62219"/>
    <w:rsid w:val="00A622C6"/>
    <w:rsid w:val="00A62347"/>
    <w:rsid w:val="00A62468"/>
    <w:rsid w:val="00A62517"/>
    <w:rsid w:val="00A62572"/>
    <w:rsid w:val="00A625CB"/>
    <w:rsid w:val="00A625FB"/>
    <w:rsid w:val="00A62682"/>
    <w:rsid w:val="00A6269D"/>
    <w:rsid w:val="00A62753"/>
    <w:rsid w:val="00A6279B"/>
    <w:rsid w:val="00A627EC"/>
    <w:rsid w:val="00A6281B"/>
    <w:rsid w:val="00A62897"/>
    <w:rsid w:val="00A628B9"/>
    <w:rsid w:val="00A6291A"/>
    <w:rsid w:val="00A6291C"/>
    <w:rsid w:val="00A62946"/>
    <w:rsid w:val="00A6294C"/>
    <w:rsid w:val="00A62954"/>
    <w:rsid w:val="00A62964"/>
    <w:rsid w:val="00A62995"/>
    <w:rsid w:val="00A62998"/>
    <w:rsid w:val="00A6299A"/>
    <w:rsid w:val="00A629AC"/>
    <w:rsid w:val="00A629D4"/>
    <w:rsid w:val="00A629ED"/>
    <w:rsid w:val="00A62A69"/>
    <w:rsid w:val="00A62B16"/>
    <w:rsid w:val="00A62B26"/>
    <w:rsid w:val="00A62D46"/>
    <w:rsid w:val="00A62D82"/>
    <w:rsid w:val="00A62E1E"/>
    <w:rsid w:val="00A62E39"/>
    <w:rsid w:val="00A62E6F"/>
    <w:rsid w:val="00A62E71"/>
    <w:rsid w:val="00A62E98"/>
    <w:rsid w:val="00A62F36"/>
    <w:rsid w:val="00A62FEC"/>
    <w:rsid w:val="00A63017"/>
    <w:rsid w:val="00A6306D"/>
    <w:rsid w:val="00A631DA"/>
    <w:rsid w:val="00A631DB"/>
    <w:rsid w:val="00A631EB"/>
    <w:rsid w:val="00A63201"/>
    <w:rsid w:val="00A63275"/>
    <w:rsid w:val="00A63299"/>
    <w:rsid w:val="00A63308"/>
    <w:rsid w:val="00A63317"/>
    <w:rsid w:val="00A6334C"/>
    <w:rsid w:val="00A63373"/>
    <w:rsid w:val="00A63393"/>
    <w:rsid w:val="00A63396"/>
    <w:rsid w:val="00A633D7"/>
    <w:rsid w:val="00A6341C"/>
    <w:rsid w:val="00A63422"/>
    <w:rsid w:val="00A634EF"/>
    <w:rsid w:val="00A63596"/>
    <w:rsid w:val="00A635C7"/>
    <w:rsid w:val="00A63633"/>
    <w:rsid w:val="00A6365B"/>
    <w:rsid w:val="00A63697"/>
    <w:rsid w:val="00A637C1"/>
    <w:rsid w:val="00A6382A"/>
    <w:rsid w:val="00A6383C"/>
    <w:rsid w:val="00A63909"/>
    <w:rsid w:val="00A63917"/>
    <w:rsid w:val="00A63921"/>
    <w:rsid w:val="00A63932"/>
    <w:rsid w:val="00A63950"/>
    <w:rsid w:val="00A63976"/>
    <w:rsid w:val="00A639AB"/>
    <w:rsid w:val="00A639EF"/>
    <w:rsid w:val="00A639FF"/>
    <w:rsid w:val="00A63A2F"/>
    <w:rsid w:val="00A63AB3"/>
    <w:rsid w:val="00A63B43"/>
    <w:rsid w:val="00A63B5F"/>
    <w:rsid w:val="00A63CD9"/>
    <w:rsid w:val="00A63DF0"/>
    <w:rsid w:val="00A63E7E"/>
    <w:rsid w:val="00A63EB0"/>
    <w:rsid w:val="00A63EC9"/>
    <w:rsid w:val="00A64026"/>
    <w:rsid w:val="00A640BE"/>
    <w:rsid w:val="00A64100"/>
    <w:rsid w:val="00A6411A"/>
    <w:rsid w:val="00A641DE"/>
    <w:rsid w:val="00A641E6"/>
    <w:rsid w:val="00A641F7"/>
    <w:rsid w:val="00A64221"/>
    <w:rsid w:val="00A6422C"/>
    <w:rsid w:val="00A64253"/>
    <w:rsid w:val="00A6432F"/>
    <w:rsid w:val="00A643E6"/>
    <w:rsid w:val="00A64415"/>
    <w:rsid w:val="00A644A4"/>
    <w:rsid w:val="00A64505"/>
    <w:rsid w:val="00A6451D"/>
    <w:rsid w:val="00A64572"/>
    <w:rsid w:val="00A64582"/>
    <w:rsid w:val="00A645B2"/>
    <w:rsid w:val="00A645B5"/>
    <w:rsid w:val="00A6461F"/>
    <w:rsid w:val="00A64640"/>
    <w:rsid w:val="00A64657"/>
    <w:rsid w:val="00A647E2"/>
    <w:rsid w:val="00A64827"/>
    <w:rsid w:val="00A64937"/>
    <w:rsid w:val="00A6494D"/>
    <w:rsid w:val="00A649E8"/>
    <w:rsid w:val="00A64A9B"/>
    <w:rsid w:val="00A64B26"/>
    <w:rsid w:val="00A64B54"/>
    <w:rsid w:val="00A64B59"/>
    <w:rsid w:val="00A64B6D"/>
    <w:rsid w:val="00A64BAB"/>
    <w:rsid w:val="00A64C0C"/>
    <w:rsid w:val="00A64CA9"/>
    <w:rsid w:val="00A64CC6"/>
    <w:rsid w:val="00A64CFA"/>
    <w:rsid w:val="00A64D16"/>
    <w:rsid w:val="00A64E01"/>
    <w:rsid w:val="00A64E58"/>
    <w:rsid w:val="00A64E65"/>
    <w:rsid w:val="00A64E78"/>
    <w:rsid w:val="00A64EE5"/>
    <w:rsid w:val="00A64F05"/>
    <w:rsid w:val="00A64F24"/>
    <w:rsid w:val="00A64F40"/>
    <w:rsid w:val="00A64F98"/>
    <w:rsid w:val="00A65024"/>
    <w:rsid w:val="00A65060"/>
    <w:rsid w:val="00A650CE"/>
    <w:rsid w:val="00A65128"/>
    <w:rsid w:val="00A6514B"/>
    <w:rsid w:val="00A651A2"/>
    <w:rsid w:val="00A651AB"/>
    <w:rsid w:val="00A65205"/>
    <w:rsid w:val="00A65213"/>
    <w:rsid w:val="00A65257"/>
    <w:rsid w:val="00A65262"/>
    <w:rsid w:val="00A652B8"/>
    <w:rsid w:val="00A652D7"/>
    <w:rsid w:val="00A652EE"/>
    <w:rsid w:val="00A65300"/>
    <w:rsid w:val="00A65329"/>
    <w:rsid w:val="00A6538D"/>
    <w:rsid w:val="00A65426"/>
    <w:rsid w:val="00A654A7"/>
    <w:rsid w:val="00A654B3"/>
    <w:rsid w:val="00A654CD"/>
    <w:rsid w:val="00A654D8"/>
    <w:rsid w:val="00A65541"/>
    <w:rsid w:val="00A65596"/>
    <w:rsid w:val="00A655A8"/>
    <w:rsid w:val="00A65626"/>
    <w:rsid w:val="00A65670"/>
    <w:rsid w:val="00A6568D"/>
    <w:rsid w:val="00A6568F"/>
    <w:rsid w:val="00A656B3"/>
    <w:rsid w:val="00A6572D"/>
    <w:rsid w:val="00A65746"/>
    <w:rsid w:val="00A65818"/>
    <w:rsid w:val="00A658A5"/>
    <w:rsid w:val="00A6598E"/>
    <w:rsid w:val="00A65AA4"/>
    <w:rsid w:val="00A65B4B"/>
    <w:rsid w:val="00A65BF3"/>
    <w:rsid w:val="00A65C25"/>
    <w:rsid w:val="00A65C57"/>
    <w:rsid w:val="00A65CD7"/>
    <w:rsid w:val="00A65CED"/>
    <w:rsid w:val="00A65D02"/>
    <w:rsid w:val="00A65D2B"/>
    <w:rsid w:val="00A65DA2"/>
    <w:rsid w:val="00A65E22"/>
    <w:rsid w:val="00A65E30"/>
    <w:rsid w:val="00A65E49"/>
    <w:rsid w:val="00A65EAA"/>
    <w:rsid w:val="00A65EF1"/>
    <w:rsid w:val="00A65F30"/>
    <w:rsid w:val="00A65F6F"/>
    <w:rsid w:val="00A65F71"/>
    <w:rsid w:val="00A66035"/>
    <w:rsid w:val="00A660B2"/>
    <w:rsid w:val="00A660E8"/>
    <w:rsid w:val="00A66101"/>
    <w:rsid w:val="00A6611F"/>
    <w:rsid w:val="00A66125"/>
    <w:rsid w:val="00A6615F"/>
    <w:rsid w:val="00A661ED"/>
    <w:rsid w:val="00A66289"/>
    <w:rsid w:val="00A662D8"/>
    <w:rsid w:val="00A66302"/>
    <w:rsid w:val="00A663FC"/>
    <w:rsid w:val="00A6642D"/>
    <w:rsid w:val="00A66488"/>
    <w:rsid w:val="00A664FE"/>
    <w:rsid w:val="00A6650B"/>
    <w:rsid w:val="00A6653F"/>
    <w:rsid w:val="00A665CC"/>
    <w:rsid w:val="00A6663B"/>
    <w:rsid w:val="00A666BA"/>
    <w:rsid w:val="00A66767"/>
    <w:rsid w:val="00A667AB"/>
    <w:rsid w:val="00A667C3"/>
    <w:rsid w:val="00A667D0"/>
    <w:rsid w:val="00A66853"/>
    <w:rsid w:val="00A6686B"/>
    <w:rsid w:val="00A6694C"/>
    <w:rsid w:val="00A66998"/>
    <w:rsid w:val="00A66A4F"/>
    <w:rsid w:val="00A66AD0"/>
    <w:rsid w:val="00A66B27"/>
    <w:rsid w:val="00A66CEB"/>
    <w:rsid w:val="00A66D59"/>
    <w:rsid w:val="00A66E0C"/>
    <w:rsid w:val="00A66E28"/>
    <w:rsid w:val="00A66E5E"/>
    <w:rsid w:val="00A66E6D"/>
    <w:rsid w:val="00A66E96"/>
    <w:rsid w:val="00A66F3F"/>
    <w:rsid w:val="00A66F93"/>
    <w:rsid w:val="00A6701C"/>
    <w:rsid w:val="00A6704D"/>
    <w:rsid w:val="00A6707A"/>
    <w:rsid w:val="00A67180"/>
    <w:rsid w:val="00A6719C"/>
    <w:rsid w:val="00A671BC"/>
    <w:rsid w:val="00A671C5"/>
    <w:rsid w:val="00A67256"/>
    <w:rsid w:val="00A67274"/>
    <w:rsid w:val="00A6729F"/>
    <w:rsid w:val="00A672B6"/>
    <w:rsid w:val="00A672EA"/>
    <w:rsid w:val="00A67309"/>
    <w:rsid w:val="00A67313"/>
    <w:rsid w:val="00A67330"/>
    <w:rsid w:val="00A6739F"/>
    <w:rsid w:val="00A673AB"/>
    <w:rsid w:val="00A673E6"/>
    <w:rsid w:val="00A67446"/>
    <w:rsid w:val="00A674FB"/>
    <w:rsid w:val="00A67523"/>
    <w:rsid w:val="00A675A5"/>
    <w:rsid w:val="00A675C2"/>
    <w:rsid w:val="00A67604"/>
    <w:rsid w:val="00A67620"/>
    <w:rsid w:val="00A67699"/>
    <w:rsid w:val="00A676DC"/>
    <w:rsid w:val="00A6776D"/>
    <w:rsid w:val="00A67805"/>
    <w:rsid w:val="00A678AF"/>
    <w:rsid w:val="00A678D3"/>
    <w:rsid w:val="00A6798F"/>
    <w:rsid w:val="00A679A4"/>
    <w:rsid w:val="00A679AC"/>
    <w:rsid w:val="00A679B2"/>
    <w:rsid w:val="00A679B7"/>
    <w:rsid w:val="00A679D1"/>
    <w:rsid w:val="00A679FA"/>
    <w:rsid w:val="00A67A22"/>
    <w:rsid w:val="00A67A77"/>
    <w:rsid w:val="00A67A78"/>
    <w:rsid w:val="00A67B92"/>
    <w:rsid w:val="00A67BCF"/>
    <w:rsid w:val="00A67C00"/>
    <w:rsid w:val="00A67C05"/>
    <w:rsid w:val="00A67CB9"/>
    <w:rsid w:val="00A67D45"/>
    <w:rsid w:val="00A67DD1"/>
    <w:rsid w:val="00A67E28"/>
    <w:rsid w:val="00A67E74"/>
    <w:rsid w:val="00A67ECD"/>
    <w:rsid w:val="00A67F16"/>
    <w:rsid w:val="00A67F34"/>
    <w:rsid w:val="00A67FAA"/>
    <w:rsid w:val="00A67FAD"/>
    <w:rsid w:val="00A70150"/>
    <w:rsid w:val="00A701A1"/>
    <w:rsid w:val="00A701A6"/>
    <w:rsid w:val="00A701C5"/>
    <w:rsid w:val="00A701D7"/>
    <w:rsid w:val="00A70286"/>
    <w:rsid w:val="00A7030D"/>
    <w:rsid w:val="00A70331"/>
    <w:rsid w:val="00A70357"/>
    <w:rsid w:val="00A70379"/>
    <w:rsid w:val="00A7038B"/>
    <w:rsid w:val="00A703AA"/>
    <w:rsid w:val="00A704B6"/>
    <w:rsid w:val="00A7062E"/>
    <w:rsid w:val="00A70654"/>
    <w:rsid w:val="00A70661"/>
    <w:rsid w:val="00A7067F"/>
    <w:rsid w:val="00A70681"/>
    <w:rsid w:val="00A70699"/>
    <w:rsid w:val="00A70772"/>
    <w:rsid w:val="00A707D6"/>
    <w:rsid w:val="00A70938"/>
    <w:rsid w:val="00A70955"/>
    <w:rsid w:val="00A70985"/>
    <w:rsid w:val="00A7098A"/>
    <w:rsid w:val="00A709CA"/>
    <w:rsid w:val="00A709F5"/>
    <w:rsid w:val="00A70A08"/>
    <w:rsid w:val="00A70AC9"/>
    <w:rsid w:val="00A70B02"/>
    <w:rsid w:val="00A70B57"/>
    <w:rsid w:val="00A70BEB"/>
    <w:rsid w:val="00A70C21"/>
    <w:rsid w:val="00A70C6E"/>
    <w:rsid w:val="00A70C87"/>
    <w:rsid w:val="00A70C9C"/>
    <w:rsid w:val="00A70D15"/>
    <w:rsid w:val="00A70D85"/>
    <w:rsid w:val="00A70DBC"/>
    <w:rsid w:val="00A70DCE"/>
    <w:rsid w:val="00A70E0B"/>
    <w:rsid w:val="00A70E68"/>
    <w:rsid w:val="00A70E75"/>
    <w:rsid w:val="00A70EB5"/>
    <w:rsid w:val="00A70EBA"/>
    <w:rsid w:val="00A70F23"/>
    <w:rsid w:val="00A70FB3"/>
    <w:rsid w:val="00A70FF7"/>
    <w:rsid w:val="00A70FFD"/>
    <w:rsid w:val="00A710E8"/>
    <w:rsid w:val="00A71109"/>
    <w:rsid w:val="00A711DC"/>
    <w:rsid w:val="00A7122E"/>
    <w:rsid w:val="00A7123C"/>
    <w:rsid w:val="00A7128C"/>
    <w:rsid w:val="00A7128D"/>
    <w:rsid w:val="00A712E1"/>
    <w:rsid w:val="00A71304"/>
    <w:rsid w:val="00A71313"/>
    <w:rsid w:val="00A713BE"/>
    <w:rsid w:val="00A714AA"/>
    <w:rsid w:val="00A714FA"/>
    <w:rsid w:val="00A714FB"/>
    <w:rsid w:val="00A715F8"/>
    <w:rsid w:val="00A715F9"/>
    <w:rsid w:val="00A7168A"/>
    <w:rsid w:val="00A716A3"/>
    <w:rsid w:val="00A716F1"/>
    <w:rsid w:val="00A71759"/>
    <w:rsid w:val="00A7177A"/>
    <w:rsid w:val="00A71782"/>
    <w:rsid w:val="00A7180A"/>
    <w:rsid w:val="00A718B8"/>
    <w:rsid w:val="00A719CE"/>
    <w:rsid w:val="00A71A86"/>
    <w:rsid w:val="00A71A9B"/>
    <w:rsid w:val="00A71B34"/>
    <w:rsid w:val="00A71B4B"/>
    <w:rsid w:val="00A71B69"/>
    <w:rsid w:val="00A71BB5"/>
    <w:rsid w:val="00A71BCE"/>
    <w:rsid w:val="00A71BCF"/>
    <w:rsid w:val="00A71C11"/>
    <w:rsid w:val="00A71D60"/>
    <w:rsid w:val="00A71D86"/>
    <w:rsid w:val="00A71DB1"/>
    <w:rsid w:val="00A71E56"/>
    <w:rsid w:val="00A71E5E"/>
    <w:rsid w:val="00A71F40"/>
    <w:rsid w:val="00A71F9B"/>
    <w:rsid w:val="00A71FD2"/>
    <w:rsid w:val="00A72023"/>
    <w:rsid w:val="00A72051"/>
    <w:rsid w:val="00A7205C"/>
    <w:rsid w:val="00A72087"/>
    <w:rsid w:val="00A7208B"/>
    <w:rsid w:val="00A7210B"/>
    <w:rsid w:val="00A7217C"/>
    <w:rsid w:val="00A72181"/>
    <w:rsid w:val="00A721AE"/>
    <w:rsid w:val="00A721D1"/>
    <w:rsid w:val="00A7225E"/>
    <w:rsid w:val="00A722B5"/>
    <w:rsid w:val="00A722B7"/>
    <w:rsid w:val="00A722E5"/>
    <w:rsid w:val="00A722F2"/>
    <w:rsid w:val="00A72342"/>
    <w:rsid w:val="00A7237A"/>
    <w:rsid w:val="00A723B3"/>
    <w:rsid w:val="00A7242F"/>
    <w:rsid w:val="00A72463"/>
    <w:rsid w:val="00A7246F"/>
    <w:rsid w:val="00A72528"/>
    <w:rsid w:val="00A72579"/>
    <w:rsid w:val="00A725AF"/>
    <w:rsid w:val="00A725E5"/>
    <w:rsid w:val="00A72693"/>
    <w:rsid w:val="00A726CD"/>
    <w:rsid w:val="00A72703"/>
    <w:rsid w:val="00A7274B"/>
    <w:rsid w:val="00A7275B"/>
    <w:rsid w:val="00A7277D"/>
    <w:rsid w:val="00A7277E"/>
    <w:rsid w:val="00A7280D"/>
    <w:rsid w:val="00A72836"/>
    <w:rsid w:val="00A72986"/>
    <w:rsid w:val="00A72990"/>
    <w:rsid w:val="00A72AD0"/>
    <w:rsid w:val="00A72AE0"/>
    <w:rsid w:val="00A72B66"/>
    <w:rsid w:val="00A72BD9"/>
    <w:rsid w:val="00A72BE9"/>
    <w:rsid w:val="00A72C08"/>
    <w:rsid w:val="00A72C09"/>
    <w:rsid w:val="00A72C29"/>
    <w:rsid w:val="00A72C38"/>
    <w:rsid w:val="00A72C6D"/>
    <w:rsid w:val="00A72C8D"/>
    <w:rsid w:val="00A72CCC"/>
    <w:rsid w:val="00A72D84"/>
    <w:rsid w:val="00A72D96"/>
    <w:rsid w:val="00A72E63"/>
    <w:rsid w:val="00A72FAE"/>
    <w:rsid w:val="00A73032"/>
    <w:rsid w:val="00A730E2"/>
    <w:rsid w:val="00A73167"/>
    <w:rsid w:val="00A731A3"/>
    <w:rsid w:val="00A7321A"/>
    <w:rsid w:val="00A7323C"/>
    <w:rsid w:val="00A73255"/>
    <w:rsid w:val="00A73306"/>
    <w:rsid w:val="00A7332D"/>
    <w:rsid w:val="00A73340"/>
    <w:rsid w:val="00A73361"/>
    <w:rsid w:val="00A7338E"/>
    <w:rsid w:val="00A734A3"/>
    <w:rsid w:val="00A73515"/>
    <w:rsid w:val="00A73544"/>
    <w:rsid w:val="00A73568"/>
    <w:rsid w:val="00A736A6"/>
    <w:rsid w:val="00A73724"/>
    <w:rsid w:val="00A73777"/>
    <w:rsid w:val="00A737E5"/>
    <w:rsid w:val="00A737EC"/>
    <w:rsid w:val="00A738F5"/>
    <w:rsid w:val="00A739F2"/>
    <w:rsid w:val="00A73A27"/>
    <w:rsid w:val="00A73A4E"/>
    <w:rsid w:val="00A73A51"/>
    <w:rsid w:val="00A73A7A"/>
    <w:rsid w:val="00A73BDD"/>
    <w:rsid w:val="00A73BFE"/>
    <w:rsid w:val="00A73C29"/>
    <w:rsid w:val="00A73CA0"/>
    <w:rsid w:val="00A73CBE"/>
    <w:rsid w:val="00A73CE5"/>
    <w:rsid w:val="00A73D09"/>
    <w:rsid w:val="00A73D39"/>
    <w:rsid w:val="00A73D4F"/>
    <w:rsid w:val="00A73D78"/>
    <w:rsid w:val="00A73D82"/>
    <w:rsid w:val="00A73EAC"/>
    <w:rsid w:val="00A73F37"/>
    <w:rsid w:val="00A73F74"/>
    <w:rsid w:val="00A73FF1"/>
    <w:rsid w:val="00A74071"/>
    <w:rsid w:val="00A74085"/>
    <w:rsid w:val="00A740A2"/>
    <w:rsid w:val="00A740A9"/>
    <w:rsid w:val="00A740AD"/>
    <w:rsid w:val="00A740F4"/>
    <w:rsid w:val="00A741C1"/>
    <w:rsid w:val="00A741C3"/>
    <w:rsid w:val="00A741F2"/>
    <w:rsid w:val="00A742EA"/>
    <w:rsid w:val="00A742EC"/>
    <w:rsid w:val="00A743A2"/>
    <w:rsid w:val="00A743F3"/>
    <w:rsid w:val="00A7449D"/>
    <w:rsid w:val="00A744B5"/>
    <w:rsid w:val="00A74557"/>
    <w:rsid w:val="00A74588"/>
    <w:rsid w:val="00A7462C"/>
    <w:rsid w:val="00A74654"/>
    <w:rsid w:val="00A746C7"/>
    <w:rsid w:val="00A746E2"/>
    <w:rsid w:val="00A74703"/>
    <w:rsid w:val="00A7477F"/>
    <w:rsid w:val="00A747E5"/>
    <w:rsid w:val="00A74843"/>
    <w:rsid w:val="00A74857"/>
    <w:rsid w:val="00A7486B"/>
    <w:rsid w:val="00A74873"/>
    <w:rsid w:val="00A748ED"/>
    <w:rsid w:val="00A74911"/>
    <w:rsid w:val="00A7491B"/>
    <w:rsid w:val="00A74962"/>
    <w:rsid w:val="00A7498E"/>
    <w:rsid w:val="00A7499D"/>
    <w:rsid w:val="00A749F0"/>
    <w:rsid w:val="00A74A27"/>
    <w:rsid w:val="00A74A57"/>
    <w:rsid w:val="00A74B13"/>
    <w:rsid w:val="00A74B19"/>
    <w:rsid w:val="00A74C6F"/>
    <w:rsid w:val="00A74C85"/>
    <w:rsid w:val="00A74CDB"/>
    <w:rsid w:val="00A74D10"/>
    <w:rsid w:val="00A74DD0"/>
    <w:rsid w:val="00A74E06"/>
    <w:rsid w:val="00A74E07"/>
    <w:rsid w:val="00A74E54"/>
    <w:rsid w:val="00A74EB7"/>
    <w:rsid w:val="00A74EC2"/>
    <w:rsid w:val="00A74ED4"/>
    <w:rsid w:val="00A74F0C"/>
    <w:rsid w:val="00A74F4D"/>
    <w:rsid w:val="00A74FD7"/>
    <w:rsid w:val="00A74FF9"/>
    <w:rsid w:val="00A7501A"/>
    <w:rsid w:val="00A7505E"/>
    <w:rsid w:val="00A75064"/>
    <w:rsid w:val="00A750F1"/>
    <w:rsid w:val="00A75157"/>
    <w:rsid w:val="00A75188"/>
    <w:rsid w:val="00A751E2"/>
    <w:rsid w:val="00A75246"/>
    <w:rsid w:val="00A75255"/>
    <w:rsid w:val="00A75271"/>
    <w:rsid w:val="00A75299"/>
    <w:rsid w:val="00A75309"/>
    <w:rsid w:val="00A7532F"/>
    <w:rsid w:val="00A75422"/>
    <w:rsid w:val="00A75427"/>
    <w:rsid w:val="00A75479"/>
    <w:rsid w:val="00A75481"/>
    <w:rsid w:val="00A75483"/>
    <w:rsid w:val="00A75496"/>
    <w:rsid w:val="00A754A2"/>
    <w:rsid w:val="00A754DE"/>
    <w:rsid w:val="00A75649"/>
    <w:rsid w:val="00A75728"/>
    <w:rsid w:val="00A7573B"/>
    <w:rsid w:val="00A75771"/>
    <w:rsid w:val="00A757FB"/>
    <w:rsid w:val="00A7581D"/>
    <w:rsid w:val="00A75845"/>
    <w:rsid w:val="00A7587B"/>
    <w:rsid w:val="00A7589E"/>
    <w:rsid w:val="00A758E0"/>
    <w:rsid w:val="00A759BF"/>
    <w:rsid w:val="00A75A1B"/>
    <w:rsid w:val="00A75A20"/>
    <w:rsid w:val="00A75A21"/>
    <w:rsid w:val="00A75ACB"/>
    <w:rsid w:val="00A75AF1"/>
    <w:rsid w:val="00A75B63"/>
    <w:rsid w:val="00A75B7C"/>
    <w:rsid w:val="00A75BD7"/>
    <w:rsid w:val="00A75BF3"/>
    <w:rsid w:val="00A75C1C"/>
    <w:rsid w:val="00A75C3F"/>
    <w:rsid w:val="00A75C78"/>
    <w:rsid w:val="00A75C80"/>
    <w:rsid w:val="00A75C89"/>
    <w:rsid w:val="00A75D04"/>
    <w:rsid w:val="00A75D7F"/>
    <w:rsid w:val="00A75D88"/>
    <w:rsid w:val="00A75D99"/>
    <w:rsid w:val="00A75D9D"/>
    <w:rsid w:val="00A75DCF"/>
    <w:rsid w:val="00A75EC0"/>
    <w:rsid w:val="00A75ED7"/>
    <w:rsid w:val="00A75F83"/>
    <w:rsid w:val="00A75FBC"/>
    <w:rsid w:val="00A75FD5"/>
    <w:rsid w:val="00A7600A"/>
    <w:rsid w:val="00A7603E"/>
    <w:rsid w:val="00A760A6"/>
    <w:rsid w:val="00A76123"/>
    <w:rsid w:val="00A76202"/>
    <w:rsid w:val="00A76255"/>
    <w:rsid w:val="00A76279"/>
    <w:rsid w:val="00A762FF"/>
    <w:rsid w:val="00A76328"/>
    <w:rsid w:val="00A76352"/>
    <w:rsid w:val="00A7639D"/>
    <w:rsid w:val="00A7641F"/>
    <w:rsid w:val="00A764CE"/>
    <w:rsid w:val="00A765BF"/>
    <w:rsid w:val="00A765CC"/>
    <w:rsid w:val="00A765F2"/>
    <w:rsid w:val="00A765FE"/>
    <w:rsid w:val="00A7668A"/>
    <w:rsid w:val="00A766B1"/>
    <w:rsid w:val="00A767C9"/>
    <w:rsid w:val="00A76849"/>
    <w:rsid w:val="00A76876"/>
    <w:rsid w:val="00A768B8"/>
    <w:rsid w:val="00A76973"/>
    <w:rsid w:val="00A769C4"/>
    <w:rsid w:val="00A769E4"/>
    <w:rsid w:val="00A76A13"/>
    <w:rsid w:val="00A76A62"/>
    <w:rsid w:val="00A76AA9"/>
    <w:rsid w:val="00A76AAE"/>
    <w:rsid w:val="00A76AFF"/>
    <w:rsid w:val="00A76B01"/>
    <w:rsid w:val="00A76B2B"/>
    <w:rsid w:val="00A76B3E"/>
    <w:rsid w:val="00A76B52"/>
    <w:rsid w:val="00A76BD5"/>
    <w:rsid w:val="00A76CFB"/>
    <w:rsid w:val="00A76D0D"/>
    <w:rsid w:val="00A76DE2"/>
    <w:rsid w:val="00A76E03"/>
    <w:rsid w:val="00A76E17"/>
    <w:rsid w:val="00A76F3D"/>
    <w:rsid w:val="00A76FED"/>
    <w:rsid w:val="00A77001"/>
    <w:rsid w:val="00A7705B"/>
    <w:rsid w:val="00A77079"/>
    <w:rsid w:val="00A770C9"/>
    <w:rsid w:val="00A770D5"/>
    <w:rsid w:val="00A770E9"/>
    <w:rsid w:val="00A7710C"/>
    <w:rsid w:val="00A77126"/>
    <w:rsid w:val="00A771BD"/>
    <w:rsid w:val="00A771F8"/>
    <w:rsid w:val="00A77223"/>
    <w:rsid w:val="00A77244"/>
    <w:rsid w:val="00A77258"/>
    <w:rsid w:val="00A7728B"/>
    <w:rsid w:val="00A77298"/>
    <w:rsid w:val="00A772BC"/>
    <w:rsid w:val="00A77323"/>
    <w:rsid w:val="00A77385"/>
    <w:rsid w:val="00A773F7"/>
    <w:rsid w:val="00A77409"/>
    <w:rsid w:val="00A77463"/>
    <w:rsid w:val="00A77470"/>
    <w:rsid w:val="00A774F3"/>
    <w:rsid w:val="00A775D9"/>
    <w:rsid w:val="00A775DC"/>
    <w:rsid w:val="00A7763A"/>
    <w:rsid w:val="00A7777C"/>
    <w:rsid w:val="00A777A0"/>
    <w:rsid w:val="00A777A1"/>
    <w:rsid w:val="00A777A6"/>
    <w:rsid w:val="00A777EC"/>
    <w:rsid w:val="00A777EE"/>
    <w:rsid w:val="00A777F7"/>
    <w:rsid w:val="00A77802"/>
    <w:rsid w:val="00A7781B"/>
    <w:rsid w:val="00A7783F"/>
    <w:rsid w:val="00A778FA"/>
    <w:rsid w:val="00A778FB"/>
    <w:rsid w:val="00A77906"/>
    <w:rsid w:val="00A779BC"/>
    <w:rsid w:val="00A779C7"/>
    <w:rsid w:val="00A779ED"/>
    <w:rsid w:val="00A77A22"/>
    <w:rsid w:val="00A77AAF"/>
    <w:rsid w:val="00A77B09"/>
    <w:rsid w:val="00A77B9C"/>
    <w:rsid w:val="00A77BA3"/>
    <w:rsid w:val="00A77BE6"/>
    <w:rsid w:val="00A77C14"/>
    <w:rsid w:val="00A77CC6"/>
    <w:rsid w:val="00A77D49"/>
    <w:rsid w:val="00A77E40"/>
    <w:rsid w:val="00A77E47"/>
    <w:rsid w:val="00A77E5F"/>
    <w:rsid w:val="00A77E69"/>
    <w:rsid w:val="00A77ECC"/>
    <w:rsid w:val="00A77FAD"/>
    <w:rsid w:val="00A77FCD"/>
    <w:rsid w:val="00A77FD7"/>
    <w:rsid w:val="00A77FEE"/>
    <w:rsid w:val="00A8003F"/>
    <w:rsid w:val="00A8005E"/>
    <w:rsid w:val="00A800C4"/>
    <w:rsid w:val="00A80137"/>
    <w:rsid w:val="00A801A8"/>
    <w:rsid w:val="00A801AB"/>
    <w:rsid w:val="00A8026A"/>
    <w:rsid w:val="00A802EE"/>
    <w:rsid w:val="00A803EE"/>
    <w:rsid w:val="00A8043E"/>
    <w:rsid w:val="00A80454"/>
    <w:rsid w:val="00A804B5"/>
    <w:rsid w:val="00A80510"/>
    <w:rsid w:val="00A8057F"/>
    <w:rsid w:val="00A805F6"/>
    <w:rsid w:val="00A80605"/>
    <w:rsid w:val="00A8067B"/>
    <w:rsid w:val="00A806F7"/>
    <w:rsid w:val="00A807F8"/>
    <w:rsid w:val="00A80861"/>
    <w:rsid w:val="00A8086F"/>
    <w:rsid w:val="00A80947"/>
    <w:rsid w:val="00A809CA"/>
    <w:rsid w:val="00A80A13"/>
    <w:rsid w:val="00A80ADF"/>
    <w:rsid w:val="00A80B04"/>
    <w:rsid w:val="00A80BA2"/>
    <w:rsid w:val="00A80BAE"/>
    <w:rsid w:val="00A80CAA"/>
    <w:rsid w:val="00A80CDF"/>
    <w:rsid w:val="00A80D6D"/>
    <w:rsid w:val="00A80DF2"/>
    <w:rsid w:val="00A80F85"/>
    <w:rsid w:val="00A80FD3"/>
    <w:rsid w:val="00A81042"/>
    <w:rsid w:val="00A81102"/>
    <w:rsid w:val="00A8115B"/>
    <w:rsid w:val="00A81169"/>
    <w:rsid w:val="00A8116E"/>
    <w:rsid w:val="00A8117E"/>
    <w:rsid w:val="00A81199"/>
    <w:rsid w:val="00A811D7"/>
    <w:rsid w:val="00A812B5"/>
    <w:rsid w:val="00A8130F"/>
    <w:rsid w:val="00A81320"/>
    <w:rsid w:val="00A8132D"/>
    <w:rsid w:val="00A81370"/>
    <w:rsid w:val="00A813AF"/>
    <w:rsid w:val="00A81436"/>
    <w:rsid w:val="00A81447"/>
    <w:rsid w:val="00A8152C"/>
    <w:rsid w:val="00A8158A"/>
    <w:rsid w:val="00A815AC"/>
    <w:rsid w:val="00A815C4"/>
    <w:rsid w:val="00A81652"/>
    <w:rsid w:val="00A81664"/>
    <w:rsid w:val="00A81687"/>
    <w:rsid w:val="00A816ED"/>
    <w:rsid w:val="00A816F6"/>
    <w:rsid w:val="00A8171A"/>
    <w:rsid w:val="00A817BC"/>
    <w:rsid w:val="00A817F8"/>
    <w:rsid w:val="00A818D5"/>
    <w:rsid w:val="00A81912"/>
    <w:rsid w:val="00A81923"/>
    <w:rsid w:val="00A81932"/>
    <w:rsid w:val="00A81975"/>
    <w:rsid w:val="00A819A2"/>
    <w:rsid w:val="00A819A5"/>
    <w:rsid w:val="00A819AD"/>
    <w:rsid w:val="00A819CE"/>
    <w:rsid w:val="00A819DC"/>
    <w:rsid w:val="00A819F8"/>
    <w:rsid w:val="00A81AA3"/>
    <w:rsid w:val="00A81AA7"/>
    <w:rsid w:val="00A81AB7"/>
    <w:rsid w:val="00A81AEC"/>
    <w:rsid w:val="00A81B6D"/>
    <w:rsid w:val="00A81BA1"/>
    <w:rsid w:val="00A81BBE"/>
    <w:rsid w:val="00A81C0C"/>
    <w:rsid w:val="00A81C16"/>
    <w:rsid w:val="00A81C24"/>
    <w:rsid w:val="00A81C51"/>
    <w:rsid w:val="00A81C57"/>
    <w:rsid w:val="00A81C63"/>
    <w:rsid w:val="00A81C64"/>
    <w:rsid w:val="00A81CB7"/>
    <w:rsid w:val="00A81DD1"/>
    <w:rsid w:val="00A81DED"/>
    <w:rsid w:val="00A81DFA"/>
    <w:rsid w:val="00A81E1A"/>
    <w:rsid w:val="00A81E74"/>
    <w:rsid w:val="00A81E96"/>
    <w:rsid w:val="00A81EA2"/>
    <w:rsid w:val="00A81EFC"/>
    <w:rsid w:val="00A81F0B"/>
    <w:rsid w:val="00A81F10"/>
    <w:rsid w:val="00A81F28"/>
    <w:rsid w:val="00A81F43"/>
    <w:rsid w:val="00A81FBA"/>
    <w:rsid w:val="00A81FDC"/>
    <w:rsid w:val="00A8208C"/>
    <w:rsid w:val="00A82131"/>
    <w:rsid w:val="00A821F9"/>
    <w:rsid w:val="00A82258"/>
    <w:rsid w:val="00A822A2"/>
    <w:rsid w:val="00A822DB"/>
    <w:rsid w:val="00A823B8"/>
    <w:rsid w:val="00A823E1"/>
    <w:rsid w:val="00A82420"/>
    <w:rsid w:val="00A82439"/>
    <w:rsid w:val="00A8244F"/>
    <w:rsid w:val="00A82482"/>
    <w:rsid w:val="00A824AD"/>
    <w:rsid w:val="00A824AE"/>
    <w:rsid w:val="00A82598"/>
    <w:rsid w:val="00A825AA"/>
    <w:rsid w:val="00A82617"/>
    <w:rsid w:val="00A82698"/>
    <w:rsid w:val="00A82704"/>
    <w:rsid w:val="00A8273D"/>
    <w:rsid w:val="00A827EA"/>
    <w:rsid w:val="00A8289F"/>
    <w:rsid w:val="00A8294B"/>
    <w:rsid w:val="00A82974"/>
    <w:rsid w:val="00A829A4"/>
    <w:rsid w:val="00A829A9"/>
    <w:rsid w:val="00A829B6"/>
    <w:rsid w:val="00A82A38"/>
    <w:rsid w:val="00A82B9F"/>
    <w:rsid w:val="00A82C51"/>
    <w:rsid w:val="00A82C9A"/>
    <w:rsid w:val="00A82D4A"/>
    <w:rsid w:val="00A82D8E"/>
    <w:rsid w:val="00A82DDC"/>
    <w:rsid w:val="00A82DFA"/>
    <w:rsid w:val="00A82EBA"/>
    <w:rsid w:val="00A82ED2"/>
    <w:rsid w:val="00A82F84"/>
    <w:rsid w:val="00A831D0"/>
    <w:rsid w:val="00A8323A"/>
    <w:rsid w:val="00A8324E"/>
    <w:rsid w:val="00A83263"/>
    <w:rsid w:val="00A83286"/>
    <w:rsid w:val="00A83417"/>
    <w:rsid w:val="00A834A4"/>
    <w:rsid w:val="00A8351D"/>
    <w:rsid w:val="00A8352C"/>
    <w:rsid w:val="00A83595"/>
    <w:rsid w:val="00A835E6"/>
    <w:rsid w:val="00A83606"/>
    <w:rsid w:val="00A8364B"/>
    <w:rsid w:val="00A8367C"/>
    <w:rsid w:val="00A836BB"/>
    <w:rsid w:val="00A836E5"/>
    <w:rsid w:val="00A83795"/>
    <w:rsid w:val="00A837F9"/>
    <w:rsid w:val="00A83836"/>
    <w:rsid w:val="00A83864"/>
    <w:rsid w:val="00A83891"/>
    <w:rsid w:val="00A838C9"/>
    <w:rsid w:val="00A83917"/>
    <w:rsid w:val="00A83920"/>
    <w:rsid w:val="00A8392A"/>
    <w:rsid w:val="00A83963"/>
    <w:rsid w:val="00A83A02"/>
    <w:rsid w:val="00A83A65"/>
    <w:rsid w:val="00A83A9D"/>
    <w:rsid w:val="00A83B14"/>
    <w:rsid w:val="00A83B34"/>
    <w:rsid w:val="00A83B88"/>
    <w:rsid w:val="00A83BE2"/>
    <w:rsid w:val="00A83C0A"/>
    <w:rsid w:val="00A83C47"/>
    <w:rsid w:val="00A83C6E"/>
    <w:rsid w:val="00A83CA4"/>
    <w:rsid w:val="00A83CAA"/>
    <w:rsid w:val="00A83CB7"/>
    <w:rsid w:val="00A83CE8"/>
    <w:rsid w:val="00A83D07"/>
    <w:rsid w:val="00A83D51"/>
    <w:rsid w:val="00A83E06"/>
    <w:rsid w:val="00A83E60"/>
    <w:rsid w:val="00A83EF7"/>
    <w:rsid w:val="00A83EFD"/>
    <w:rsid w:val="00A83F7D"/>
    <w:rsid w:val="00A83F95"/>
    <w:rsid w:val="00A83FBA"/>
    <w:rsid w:val="00A84035"/>
    <w:rsid w:val="00A84051"/>
    <w:rsid w:val="00A8405E"/>
    <w:rsid w:val="00A8405F"/>
    <w:rsid w:val="00A8409C"/>
    <w:rsid w:val="00A840B2"/>
    <w:rsid w:val="00A840F2"/>
    <w:rsid w:val="00A84154"/>
    <w:rsid w:val="00A8415E"/>
    <w:rsid w:val="00A84165"/>
    <w:rsid w:val="00A8416E"/>
    <w:rsid w:val="00A84172"/>
    <w:rsid w:val="00A841E5"/>
    <w:rsid w:val="00A84203"/>
    <w:rsid w:val="00A8423A"/>
    <w:rsid w:val="00A84241"/>
    <w:rsid w:val="00A84276"/>
    <w:rsid w:val="00A842BB"/>
    <w:rsid w:val="00A8433C"/>
    <w:rsid w:val="00A84364"/>
    <w:rsid w:val="00A84423"/>
    <w:rsid w:val="00A844B8"/>
    <w:rsid w:val="00A844BE"/>
    <w:rsid w:val="00A844EF"/>
    <w:rsid w:val="00A8450F"/>
    <w:rsid w:val="00A84554"/>
    <w:rsid w:val="00A84609"/>
    <w:rsid w:val="00A84640"/>
    <w:rsid w:val="00A84706"/>
    <w:rsid w:val="00A8470A"/>
    <w:rsid w:val="00A8477B"/>
    <w:rsid w:val="00A847AD"/>
    <w:rsid w:val="00A8483B"/>
    <w:rsid w:val="00A8483C"/>
    <w:rsid w:val="00A84853"/>
    <w:rsid w:val="00A848B4"/>
    <w:rsid w:val="00A848BC"/>
    <w:rsid w:val="00A849B9"/>
    <w:rsid w:val="00A84A2B"/>
    <w:rsid w:val="00A84A63"/>
    <w:rsid w:val="00A84A78"/>
    <w:rsid w:val="00A84A97"/>
    <w:rsid w:val="00A84ACB"/>
    <w:rsid w:val="00A84AFC"/>
    <w:rsid w:val="00A84B0C"/>
    <w:rsid w:val="00A84B19"/>
    <w:rsid w:val="00A84B5C"/>
    <w:rsid w:val="00A84C1F"/>
    <w:rsid w:val="00A84C40"/>
    <w:rsid w:val="00A84C4C"/>
    <w:rsid w:val="00A84CDB"/>
    <w:rsid w:val="00A84D05"/>
    <w:rsid w:val="00A84D4D"/>
    <w:rsid w:val="00A84DE0"/>
    <w:rsid w:val="00A84E5E"/>
    <w:rsid w:val="00A84E67"/>
    <w:rsid w:val="00A84EA8"/>
    <w:rsid w:val="00A84F14"/>
    <w:rsid w:val="00A84F30"/>
    <w:rsid w:val="00A84F42"/>
    <w:rsid w:val="00A84F5A"/>
    <w:rsid w:val="00A84F73"/>
    <w:rsid w:val="00A84FD8"/>
    <w:rsid w:val="00A84FEC"/>
    <w:rsid w:val="00A850FC"/>
    <w:rsid w:val="00A85170"/>
    <w:rsid w:val="00A851AF"/>
    <w:rsid w:val="00A85238"/>
    <w:rsid w:val="00A85254"/>
    <w:rsid w:val="00A852E8"/>
    <w:rsid w:val="00A85324"/>
    <w:rsid w:val="00A8543F"/>
    <w:rsid w:val="00A85526"/>
    <w:rsid w:val="00A8558F"/>
    <w:rsid w:val="00A855B6"/>
    <w:rsid w:val="00A85698"/>
    <w:rsid w:val="00A856EE"/>
    <w:rsid w:val="00A8573C"/>
    <w:rsid w:val="00A85769"/>
    <w:rsid w:val="00A857C8"/>
    <w:rsid w:val="00A857FF"/>
    <w:rsid w:val="00A8581B"/>
    <w:rsid w:val="00A8582D"/>
    <w:rsid w:val="00A85849"/>
    <w:rsid w:val="00A858E0"/>
    <w:rsid w:val="00A85901"/>
    <w:rsid w:val="00A85980"/>
    <w:rsid w:val="00A85A96"/>
    <w:rsid w:val="00A85ADC"/>
    <w:rsid w:val="00A85B29"/>
    <w:rsid w:val="00A85B53"/>
    <w:rsid w:val="00A85B6B"/>
    <w:rsid w:val="00A85CE5"/>
    <w:rsid w:val="00A85D10"/>
    <w:rsid w:val="00A85D36"/>
    <w:rsid w:val="00A85D43"/>
    <w:rsid w:val="00A85D99"/>
    <w:rsid w:val="00A85DAF"/>
    <w:rsid w:val="00A85DC1"/>
    <w:rsid w:val="00A85E07"/>
    <w:rsid w:val="00A85E35"/>
    <w:rsid w:val="00A85E3E"/>
    <w:rsid w:val="00A85E62"/>
    <w:rsid w:val="00A85E72"/>
    <w:rsid w:val="00A85EA1"/>
    <w:rsid w:val="00A86027"/>
    <w:rsid w:val="00A86087"/>
    <w:rsid w:val="00A860B1"/>
    <w:rsid w:val="00A8610B"/>
    <w:rsid w:val="00A861E3"/>
    <w:rsid w:val="00A8623A"/>
    <w:rsid w:val="00A86274"/>
    <w:rsid w:val="00A862E9"/>
    <w:rsid w:val="00A862F0"/>
    <w:rsid w:val="00A86380"/>
    <w:rsid w:val="00A864BD"/>
    <w:rsid w:val="00A864FA"/>
    <w:rsid w:val="00A86500"/>
    <w:rsid w:val="00A86532"/>
    <w:rsid w:val="00A865E1"/>
    <w:rsid w:val="00A865E8"/>
    <w:rsid w:val="00A865EE"/>
    <w:rsid w:val="00A86641"/>
    <w:rsid w:val="00A86691"/>
    <w:rsid w:val="00A866A8"/>
    <w:rsid w:val="00A86797"/>
    <w:rsid w:val="00A867C8"/>
    <w:rsid w:val="00A867D1"/>
    <w:rsid w:val="00A867DF"/>
    <w:rsid w:val="00A86834"/>
    <w:rsid w:val="00A8683E"/>
    <w:rsid w:val="00A8686A"/>
    <w:rsid w:val="00A86892"/>
    <w:rsid w:val="00A868E5"/>
    <w:rsid w:val="00A869CB"/>
    <w:rsid w:val="00A869DC"/>
    <w:rsid w:val="00A869F2"/>
    <w:rsid w:val="00A86A4D"/>
    <w:rsid w:val="00A86A8A"/>
    <w:rsid w:val="00A86B44"/>
    <w:rsid w:val="00A86B48"/>
    <w:rsid w:val="00A86B90"/>
    <w:rsid w:val="00A86BA3"/>
    <w:rsid w:val="00A86BB8"/>
    <w:rsid w:val="00A86BC2"/>
    <w:rsid w:val="00A86C55"/>
    <w:rsid w:val="00A86C65"/>
    <w:rsid w:val="00A86C80"/>
    <w:rsid w:val="00A86D52"/>
    <w:rsid w:val="00A86D6A"/>
    <w:rsid w:val="00A86DC7"/>
    <w:rsid w:val="00A86DDA"/>
    <w:rsid w:val="00A86DF7"/>
    <w:rsid w:val="00A86F36"/>
    <w:rsid w:val="00A86FEA"/>
    <w:rsid w:val="00A8702E"/>
    <w:rsid w:val="00A8707F"/>
    <w:rsid w:val="00A870B8"/>
    <w:rsid w:val="00A870C6"/>
    <w:rsid w:val="00A870D9"/>
    <w:rsid w:val="00A870F5"/>
    <w:rsid w:val="00A8712B"/>
    <w:rsid w:val="00A87188"/>
    <w:rsid w:val="00A871B4"/>
    <w:rsid w:val="00A871DA"/>
    <w:rsid w:val="00A872ED"/>
    <w:rsid w:val="00A872F7"/>
    <w:rsid w:val="00A8733F"/>
    <w:rsid w:val="00A87405"/>
    <w:rsid w:val="00A87476"/>
    <w:rsid w:val="00A87483"/>
    <w:rsid w:val="00A874A5"/>
    <w:rsid w:val="00A874E7"/>
    <w:rsid w:val="00A87524"/>
    <w:rsid w:val="00A8752A"/>
    <w:rsid w:val="00A87582"/>
    <w:rsid w:val="00A875B4"/>
    <w:rsid w:val="00A875CE"/>
    <w:rsid w:val="00A875D6"/>
    <w:rsid w:val="00A8760A"/>
    <w:rsid w:val="00A87698"/>
    <w:rsid w:val="00A87790"/>
    <w:rsid w:val="00A87796"/>
    <w:rsid w:val="00A877DC"/>
    <w:rsid w:val="00A8786B"/>
    <w:rsid w:val="00A878C6"/>
    <w:rsid w:val="00A879CB"/>
    <w:rsid w:val="00A87A14"/>
    <w:rsid w:val="00A87A45"/>
    <w:rsid w:val="00A87B3F"/>
    <w:rsid w:val="00A87B6E"/>
    <w:rsid w:val="00A87BD6"/>
    <w:rsid w:val="00A87C86"/>
    <w:rsid w:val="00A87CC4"/>
    <w:rsid w:val="00A87D05"/>
    <w:rsid w:val="00A87D62"/>
    <w:rsid w:val="00A87D78"/>
    <w:rsid w:val="00A87DA2"/>
    <w:rsid w:val="00A87DFD"/>
    <w:rsid w:val="00A87E26"/>
    <w:rsid w:val="00A87E37"/>
    <w:rsid w:val="00A87E3B"/>
    <w:rsid w:val="00A87EA3"/>
    <w:rsid w:val="00A87EE7"/>
    <w:rsid w:val="00A87F28"/>
    <w:rsid w:val="00A87F45"/>
    <w:rsid w:val="00A87F4B"/>
    <w:rsid w:val="00A9000D"/>
    <w:rsid w:val="00A9002D"/>
    <w:rsid w:val="00A90068"/>
    <w:rsid w:val="00A90160"/>
    <w:rsid w:val="00A9016F"/>
    <w:rsid w:val="00A9017E"/>
    <w:rsid w:val="00A901B8"/>
    <w:rsid w:val="00A90315"/>
    <w:rsid w:val="00A9033B"/>
    <w:rsid w:val="00A90382"/>
    <w:rsid w:val="00A90399"/>
    <w:rsid w:val="00A903D7"/>
    <w:rsid w:val="00A90523"/>
    <w:rsid w:val="00A9052A"/>
    <w:rsid w:val="00A905B7"/>
    <w:rsid w:val="00A905C3"/>
    <w:rsid w:val="00A905EC"/>
    <w:rsid w:val="00A90603"/>
    <w:rsid w:val="00A9060C"/>
    <w:rsid w:val="00A90613"/>
    <w:rsid w:val="00A90650"/>
    <w:rsid w:val="00A90668"/>
    <w:rsid w:val="00A9067A"/>
    <w:rsid w:val="00A90775"/>
    <w:rsid w:val="00A907DA"/>
    <w:rsid w:val="00A907F6"/>
    <w:rsid w:val="00A90801"/>
    <w:rsid w:val="00A908E6"/>
    <w:rsid w:val="00A908FA"/>
    <w:rsid w:val="00A90A1E"/>
    <w:rsid w:val="00A90A22"/>
    <w:rsid w:val="00A90A6A"/>
    <w:rsid w:val="00A90A78"/>
    <w:rsid w:val="00A90A82"/>
    <w:rsid w:val="00A90A86"/>
    <w:rsid w:val="00A90AA2"/>
    <w:rsid w:val="00A90AB8"/>
    <w:rsid w:val="00A90ACA"/>
    <w:rsid w:val="00A90B03"/>
    <w:rsid w:val="00A90B20"/>
    <w:rsid w:val="00A90B3A"/>
    <w:rsid w:val="00A90BBB"/>
    <w:rsid w:val="00A90C8C"/>
    <w:rsid w:val="00A90C93"/>
    <w:rsid w:val="00A90CDF"/>
    <w:rsid w:val="00A90CEF"/>
    <w:rsid w:val="00A90E69"/>
    <w:rsid w:val="00A90E97"/>
    <w:rsid w:val="00A90EEC"/>
    <w:rsid w:val="00A90F52"/>
    <w:rsid w:val="00A90F5A"/>
    <w:rsid w:val="00A90F98"/>
    <w:rsid w:val="00A90F9C"/>
    <w:rsid w:val="00A90FB1"/>
    <w:rsid w:val="00A90FC3"/>
    <w:rsid w:val="00A90FEA"/>
    <w:rsid w:val="00A9106F"/>
    <w:rsid w:val="00A91079"/>
    <w:rsid w:val="00A910C8"/>
    <w:rsid w:val="00A9115E"/>
    <w:rsid w:val="00A911C3"/>
    <w:rsid w:val="00A91307"/>
    <w:rsid w:val="00A91368"/>
    <w:rsid w:val="00A91388"/>
    <w:rsid w:val="00A913E9"/>
    <w:rsid w:val="00A91414"/>
    <w:rsid w:val="00A914BD"/>
    <w:rsid w:val="00A91518"/>
    <w:rsid w:val="00A915BC"/>
    <w:rsid w:val="00A915C8"/>
    <w:rsid w:val="00A91631"/>
    <w:rsid w:val="00A916BA"/>
    <w:rsid w:val="00A91701"/>
    <w:rsid w:val="00A91717"/>
    <w:rsid w:val="00A9174B"/>
    <w:rsid w:val="00A91756"/>
    <w:rsid w:val="00A91761"/>
    <w:rsid w:val="00A9176D"/>
    <w:rsid w:val="00A9181C"/>
    <w:rsid w:val="00A91842"/>
    <w:rsid w:val="00A919EC"/>
    <w:rsid w:val="00A91A11"/>
    <w:rsid w:val="00A91A22"/>
    <w:rsid w:val="00A91A78"/>
    <w:rsid w:val="00A91AC7"/>
    <w:rsid w:val="00A91AD6"/>
    <w:rsid w:val="00A91B39"/>
    <w:rsid w:val="00A91B7B"/>
    <w:rsid w:val="00A91B7C"/>
    <w:rsid w:val="00A91BEC"/>
    <w:rsid w:val="00A91CAD"/>
    <w:rsid w:val="00A91D3A"/>
    <w:rsid w:val="00A91DD8"/>
    <w:rsid w:val="00A91DF5"/>
    <w:rsid w:val="00A91E44"/>
    <w:rsid w:val="00A91EA3"/>
    <w:rsid w:val="00A91F65"/>
    <w:rsid w:val="00A91FAC"/>
    <w:rsid w:val="00A91FAF"/>
    <w:rsid w:val="00A91FB4"/>
    <w:rsid w:val="00A91FCF"/>
    <w:rsid w:val="00A91FFC"/>
    <w:rsid w:val="00A92075"/>
    <w:rsid w:val="00A920D7"/>
    <w:rsid w:val="00A92110"/>
    <w:rsid w:val="00A92113"/>
    <w:rsid w:val="00A9211F"/>
    <w:rsid w:val="00A922A9"/>
    <w:rsid w:val="00A922BC"/>
    <w:rsid w:val="00A922CC"/>
    <w:rsid w:val="00A92367"/>
    <w:rsid w:val="00A923A3"/>
    <w:rsid w:val="00A923A4"/>
    <w:rsid w:val="00A923FD"/>
    <w:rsid w:val="00A92486"/>
    <w:rsid w:val="00A924B7"/>
    <w:rsid w:val="00A925A4"/>
    <w:rsid w:val="00A925BA"/>
    <w:rsid w:val="00A92634"/>
    <w:rsid w:val="00A926A4"/>
    <w:rsid w:val="00A92736"/>
    <w:rsid w:val="00A92762"/>
    <w:rsid w:val="00A92770"/>
    <w:rsid w:val="00A927AA"/>
    <w:rsid w:val="00A927EC"/>
    <w:rsid w:val="00A92878"/>
    <w:rsid w:val="00A928A4"/>
    <w:rsid w:val="00A928F9"/>
    <w:rsid w:val="00A92948"/>
    <w:rsid w:val="00A92966"/>
    <w:rsid w:val="00A929A3"/>
    <w:rsid w:val="00A929EA"/>
    <w:rsid w:val="00A92A43"/>
    <w:rsid w:val="00A92B05"/>
    <w:rsid w:val="00A92B75"/>
    <w:rsid w:val="00A92B9C"/>
    <w:rsid w:val="00A92BC1"/>
    <w:rsid w:val="00A92C71"/>
    <w:rsid w:val="00A92C90"/>
    <w:rsid w:val="00A92CF1"/>
    <w:rsid w:val="00A92D45"/>
    <w:rsid w:val="00A92F37"/>
    <w:rsid w:val="00A92FD7"/>
    <w:rsid w:val="00A92FF5"/>
    <w:rsid w:val="00A930D0"/>
    <w:rsid w:val="00A93124"/>
    <w:rsid w:val="00A9314F"/>
    <w:rsid w:val="00A93187"/>
    <w:rsid w:val="00A933A8"/>
    <w:rsid w:val="00A933A9"/>
    <w:rsid w:val="00A933BA"/>
    <w:rsid w:val="00A93400"/>
    <w:rsid w:val="00A9343C"/>
    <w:rsid w:val="00A9346F"/>
    <w:rsid w:val="00A934E9"/>
    <w:rsid w:val="00A934FC"/>
    <w:rsid w:val="00A935E0"/>
    <w:rsid w:val="00A935EF"/>
    <w:rsid w:val="00A9360E"/>
    <w:rsid w:val="00A936A7"/>
    <w:rsid w:val="00A93733"/>
    <w:rsid w:val="00A93787"/>
    <w:rsid w:val="00A937CA"/>
    <w:rsid w:val="00A937D1"/>
    <w:rsid w:val="00A937DE"/>
    <w:rsid w:val="00A93808"/>
    <w:rsid w:val="00A938B0"/>
    <w:rsid w:val="00A9393B"/>
    <w:rsid w:val="00A939A8"/>
    <w:rsid w:val="00A939CD"/>
    <w:rsid w:val="00A939E7"/>
    <w:rsid w:val="00A93A3A"/>
    <w:rsid w:val="00A93A6B"/>
    <w:rsid w:val="00A93A85"/>
    <w:rsid w:val="00A93AE1"/>
    <w:rsid w:val="00A93B44"/>
    <w:rsid w:val="00A93C11"/>
    <w:rsid w:val="00A93CA2"/>
    <w:rsid w:val="00A93CD9"/>
    <w:rsid w:val="00A93D2C"/>
    <w:rsid w:val="00A93D86"/>
    <w:rsid w:val="00A93DE5"/>
    <w:rsid w:val="00A93E24"/>
    <w:rsid w:val="00A93E2E"/>
    <w:rsid w:val="00A93E34"/>
    <w:rsid w:val="00A93E81"/>
    <w:rsid w:val="00A93EB0"/>
    <w:rsid w:val="00A93EBE"/>
    <w:rsid w:val="00A93ECB"/>
    <w:rsid w:val="00A93F4E"/>
    <w:rsid w:val="00A93F7F"/>
    <w:rsid w:val="00A93FAF"/>
    <w:rsid w:val="00A93FE7"/>
    <w:rsid w:val="00A9402D"/>
    <w:rsid w:val="00A940A8"/>
    <w:rsid w:val="00A940D8"/>
    <w:rsid w:val="00A94111"/>
    <w:rsid w:val="00A941FF"/>
    <w:rsid w:val="00A94252"/>
    <w:rsid w:val="00A94267"/>
    <w:rsid w:val="00A942E3"/>
    <w:rsid w:val="00A9437E"/>
    <w:rsid w:val="00A94383"/>
    <w:rsid w:val="00A9441B"/>
    <w:rsid w:val="00A94428"/>
    <w:rsid w:val="00A94449"/>
    <w:rsid w:val="00A9449C"/>
    <w:rsid w:val="00A944CF"/>
    <w:rsid w:val="00A9457B"/>
    <w:rsid w:val="00A94596"/>
    <w:rsid w:val="00A945D7"/>
    <w:rsid w:val="00A9460A"/>
    <w:rsid w:val="00A94615"/>
    <w:rsid w:val="00A94670"/>
    <w:rsid w:val="00A946A6"/>
    <w:rsid w:val="00A94718"/>
    <w:rsid w:val="00A94736"/>
    <w:rsid w:val="00A9473E"/>
    <w:rsid w:val="00A947F5"/>
    <w:rsid w:val="00A94861"/>
    <w:rsid w:val="00A94912"/>
    <w:rsid w:val="00A94917"/>
    <w:rsid w:val="00A94937"/>
    <w:rsid w:val="00A94964"/>
    <w:rsid w:val="00A949A8"/>
    <w:rsid w:val="00A949E3"/>
    <w:rsid w:val="00A94A1A"/>
    <w:rsid w:val="00A94A21"/>
    <w:rsid w:val="00A94A2F"/>
    <w:rsid w:val="00A94A6D"/>
    <w:rsid w:val="00A94A83"/>
    <w:rsid w:val="00A94AAF"/>
    <w:rsid w:val="00A94AEA"/>
    <w:rsid w:val="00A94B30"/>
    <w:rsid w:val="00A94C4A"/>
    <w:rsid w:val="00A94D18"/>
    <w:rsid w:val="00A94D22"/>
    <w:rsid w:val="00A94D26"/>
    <w:rsid w:val="00A94D5D"/>
    <w:rsid w:val="00A94D85"/>
    <w:rsid w:val="00A94DF6"/>
    <w:rsid w:val="00A94E8C"/>
    <w:rsid w:val="00A94EBE"/>
    <w:rsid w:val="00A94EDF"/>
    <w:rsid w:val="00A94EE2"/>
    <w:rsid w:val="00A94F7E"/>
    <w:rsid w:val="00A94FF6"/>
    <w:rsid w:val="00A9502C"/>
    <w:rsid w:val="00A950AB"/>
    <w:rsid w:val="00A950DC"/>
    <w:rsid w:val="00A9514D"/>
    <w:rsid w:val="00A9521B"/>
    <w:rsid w:val="00A95258"/>
    <w:rsid w:val="00A95295"/>
    <w:rsid w:val="00A95354"/>
    <w:rsid w:val="00A953EF"/>
    <w:rsid w:val="00A954AD"/>
    <w:rsid w:val="00A954CB"/>
    <w:rsid w:val="00A95672"/>
    <w:rsid w:val="00A956BA"/>
    <w:rsid w:val="00A956EE"/>
    <w:rsid w:val="00A956FD"/>
    <w:rsid w:val="00A95738"/>
    <w:rsid w:val="00A958D5"/>
    <w:rsid w:val="00A958E2"/>
    <w:rsid w:val="00A958EC"/>
    <w:rsid w:val="00A958FE"/>
    <w:rsid w:val="00A9590C"/>
    <w:rsid w:val="00A9592E"/>
    <w:rsid w:val="00A959E8"/>
    <w:rsid w:val="00A959F3"/>
    <w:rsid w:val="00A95A0E"/>
    <w:rsid w:val="00A95A9C"/>
    <w:rsid w:val="00A95AEB"/>
    <w:rsid w:val="00A95BB3"/>
    <w:rsid w:val="00A95C4C"/>
    <w:rsid w:val="00A95C52"/>
    <w:rsid w:val="00A95CF0"/>
    <w:rsid w:val="00A95CF7"/>
    <w:rsid w:val="00A95CFD"/>
    <w:rsid w:val="00A95D51"/>
    <w:rsid w:val="00A95DB0"/>
    <w:rsid w:val="00A95DCB"/>
    <w:rsid w:val="00A95DF7"/>
    <w:rsid w:val="00A95E0C"/>
    <w:rsid w:val="00A95E8D"/>
    <w:rsid w:val="00A95E98"/>
    <w:rsid w:val="00A95EB2"/>
    <w:rsid w:val="00A95F3A"/>
    <w:rsid w:val="00A95F95"/>
    <w:rsid w:val="00A96024"/>
    <w:rsid w:val="00A9609B"/>
    <w:rsid w:val="00A960A4"/>
    <w:rsid w:val="00A96284"/>
    <w:rsid w:val="00A962DB"/>
    <w:rsid w:val="00A962E5"/>
    <w:rsid w:val="00A96315"/>
    <w:rsid w:val="00A96342"/>
    <w:rsid w:val="00A96371"/>
    <w:rsid w:val="00A963AC"/>
    <w:rsid w:val="00A964BE"/>
    <w:rsid w:val="00A964E6"/>
    <w:rsid w:val="00A965BD"/>
    <w:rsid w:val="00A965C3"/>
    <w:rsid w:val="00A965D1"/>
    <w:rsid w:val="00A96602"/>
    <w:rsid w:val="00A9668F"/>
    <w:rsid w:val="00A966AE"/>
    <w:rsid w:val="00A966B0"/>
    <w:rsid w:val="00A966F9"/>
    <w:rsid w:val="00A96725"/>
    <w:rsid w:val="00A96790"/>
    <w:rsid w:val="00A96803"/>
    <w:rsid w:val="00A96867"/>
    <w:rsid w:val="00A9687F"/>
    <w:rsid w:val="00A9688C"/>
    <w:rsid w:val="00A968C7"/>
    <w:rsid w:val="00A968ED"/>
    <w:rsid w:val="00A96940"/>
    <w:rsid w:val="00A9697D"/>
    <w:rsid w:val="00A969AE"/>
    <w:rsid w:val="00A969CF"/>
    <w:rsid w:val="00A969E4"/>
    <w:rsid w:val="00A96A07"/>
    <w:rsid w:val="00A96A8B"/>
    <w:rsid w:val="00A96AB8"/>
    <w:rsid w:val="00A96AC5"/>
    <w:rsid w:val="00A96AD2"/>
    <w:rsid w:val="00A96B1C"/>
    <w:rsid w:val="00A96B1D"/>
    <w:rsid w:val="00A96B27"/>
    <w:rsid w:val="00A96B2B"/>
    <w:rsid w:val="00A96B39"/>
    <w:rsid w:val="00A96B9D"/>
    <w:rsid w:val="00A96BB7"/>
    <w:rsid w:val="00A96BC7"/>
    <w:rsid w:val="00A96BCB"/>
    <w:rsid w:val="00A96BE6"/>
    <w:rsid w:val="00A96D11"/>
    <w:rsid w:val="00A96D9D"/>
    <w:rsid w:val="00A96DBA"/>
    <w:rsid w:val="00A96DCC"/>
    <w:rsid w:val="00A96F33"/>
    <w:rsid w:val="00A9700E"/>
    <w:rsid w:val="00A97012"/>
    <w:rsid w:val="00A9708C"/>
    <w:rsid w:val="00A9711A"/>
    <w:rsid w:val="00A9712B"/>
    <w:rsid w:val="00A971EE"/>
    <w:rsid w:val="00A97323"/>
    <w:rsid w:val="00A973CD"/>
    <w:rsid w:val="00A9744C"/>
    <w:rsid w:val="00A9748B"/>
    <w:rsid w:val="00A9753D"/>
    <w:rsid w:val="00A9755F"/>
    <w:rsid w:val="00A9759F"/>
    <w:rsid w:val="00A975BC"/>
    <w:rsid w:val="00A9760A"/>
    <w:rsid w:val="00A9761D"/>
    <w:rsid w:val="00A977CA"/>
    <w:rsid w:val="00A97861"/>
    <w:rsid w:val="00A97890"/>
    <w:rsid w:val="00A97893"/>
    <w:rsid w:val="00A978B9"/>
    <w:rsid w:val="00A978F9"/>
    <w:rsid w:val="00A97929"/>
    <w:rsid w:val="00A97992"/>
    <w:rsid w:val="00A979B9"/>
    <w:rsid w:val="00A97A01"/>
    <w:rsid w:val="00A97A0A"/>
    <w:rsid w:val="00A97A85"/>
    <w:rsid w:val="00A97AE7"/>
    <w:rsid w:val="00A97B0A"/>
    <w:rsid w:val="00A97B40"/>
    <w:rsid w:val="00A97BDE"/>
    <w:rsid w:val="00A97CC9"/>
    <w:rsid w:val="00A97DC5"/>
    <w:rsid w:val="00A97DF0"/>
    <w:rsid w:val="00A97DF6"/>
    <w:rsid w:val="00A97E0C"/>
    <w:rsid w:val="00A97EAA"/>
    <w:rsid w:val="00A97F47"/>
    <w:rsid w:val="00A97F59"/>
    <w:rsid w:val="00A97FBB"/>
    <w:rsid w:val="00AA000F"/>
    <w:rsid w:val="00AA0097"/>
    <w:rsid w:val="00AA012E"/>
    <w:rsid w:val="00AA01DD"/>
    <w:rsid w:val="00AA022D"/>
    <w:rsid w:val="00AA02F9"/>
    <w:rsid w:val="00AA031C"/>
    <w:rsid w:val="00AA0324"/>
    <w:rsid w:val="00AA0362"/>
    <w:rsid w:val="00AA03AA"/>
    <w:rsid w:val="00AA03FA"/>
    <w:rsid w:val="00AA04C6"/>
    <w:rsid w:val="00AA0512"/>
    <w:rsid w:val="00AA0546"/>
    <w:rsid w:val="00AA0557"/>
    <w:rsid w:val="00AA0572"/>
    <w:rsid w:val="00AA0579"/>
    <w:rsid w:val="00AA0598"/>
    <w:rsid w:val="00AA05BA"/>
    <w:rsid w:val="00AA05BB"/>
    <w:rsid w:val="00AA05F7"/>
    <w:rsid w:val="00AA079A"/>
    <w:rsid w:val="00AA07C9"/>
    <w:rsid w:val="00AA0887"/>
    <w:rsid w:val="00AA08A1"/>
    <w:rsid w:val="00AA08E7"/>
    <w:rsid w:val="00AA08EF"/>
    <w:rsid w:val="00AA093A"/>
    <w:rsid w:val="00AA096A"/>
    <w:rsid w:val="00AA0995"/>
    <w:rsid w:val="00AA09A2"/>
    <w:rsid w:val="00AA09D7"/>
    <w:rsid w:val="00AA09EE"/>
    <w:rsid w:val="00AA0A04"/>
    <w:rsid w:val="00AA0A42"/>
    <w:rsid w:val="00AA0A5F"/>
    <w:rsid w:val="00AA0A67"/>
    <w:rsid w:val="00AA0AC2"/>
    <w:rsid w:val="00AA0ACC"/>
    <w:rsid w:val="00AA0AED"/>
    <w:rsid w:val="00AA0B59"/>
    <w:rsid w:val="00AA0BDA"/>
    <w:rsid w:val="00AA0BE4"/>
    <w:rsid w:val="00AA0BEA"/>
    <w:rsid w:val="00AA0BF6"/>
    <w:rsid w:val="00AA0C67"/>
    <w:rsid w:val="00AA0C87"/>
    <w:rsid w:val="00AA0D3A"/>
    <w:rsid w:val="00AA0D3C"/>
    <w:rsid w:val="00AA0D67"/>
    <w:rsid w:val="00AA0D9C"/>
    <w:rsid w:val="00AA0DAD"/>
    <w:rsid w:val="00AA0DB3"/>
    <w:rsid w:val="00AA0DC5"/>
    <w:rsid w:val="00AA0DDD"/>
    <w:rsid w:val="00AA0DE7"/>
    <w:rsid w:val="00AA0E2E"/>
    <w:rsid w:val="00AA0E95"/>
    <w:rsid w:val="00AA0F71"/>
    <w:rsid w:val="00AA0F95"/>
    <w:rsid w:val="00AA0FB3"/>
    <w:rsid w:val="00AA0FE5"/>
    <w:rsid w:val="00AA108B"/>
    <w:rsid w:val="00AA1126"/>
    <w:rsid w:val="00AA1189"/>
    <w:rsid w:val="00AA11BE"/>
    <w:rsid w:val="00AA1255"/>
    <w:rsid w:val="00AA1273"/>
    <w:rsid w:val="00AA1367"/>
    <w:rsid w:val="00AA1373"/>
    <w:rsid w:val="00AA13A1"/>
    <w:rsid w:val="00AA142E"/>
    <w:rsid w:val="00AA14DC"/>
    <w:rsid w:val="00AA14EB"/>
    <w:rsid w:val="00AA1530"/>
    <w:rsid w:val="00AA1565"/>
    <w:rsid w:val="00AA156B"/>
    <w:rsid w:val="00AA1668"/>
    <w:rsid w:val="00AA167B"/>
    <w:rsid w:val="00AA16F8"/>
    <w:rsid w:val="00AA1720"/>
    <w:rsid w:val="00AA1752"/>
    <w:rsid w:val="00AA178C"/>
    <w:rsid w:val="00AA17A1"/>
    <w:rsid w:val="00AA1824"/>
    <w:rsid w:val="00AA18BB"/>
    <w:rsid w:val="00AA18D6"/>
    <w:rsid w:val="00AA19C5"/>
    <w:rsid w:val="00AA1B94"/>
    <w:rsid w:val="00AA1BA5"/>
    <w:rsid w:val="00AA1C35"/>
    <w:rsid w:val="00AA1CBC"/>
    <w:rsid w:val="00AA1D08"/>
    <w:rsid w:val="00AA1E12"/>
    <w:rsid w:val="00AA1E36"/>
    <w:rsid w:val="00AA1E3D"/>
    <w:rsid w:val="00AA1EAA"/>
    <w:rsid w:val="00AA1EEF"/>
    <w:rsid w:val="00AA1F47"/>
    <w:rsid w:val="00AA1F79"/>
    <w:rsid w:val="00AA2049"/>
    <w:rsid w:val="00AA20C7"/>
    <w:rsid w:val="00AA2128"/>
    <w:rsid w:val="00AA21A1"/>
    <w:rsid w:val="00AA21A4"/>
    <w:rsid w:val="00AA21AA"/>
    <w:rsid w:val="00AA21D8"/>
    <w:rsid w:val="00AA21F4"/>
    <w:rsid w:val="00AA2212"/>
    <w:rsid w:val="00AA2213"/>
    <w:rsid w:val="00AA224E"/>
    <w:rsid w:val="00AA22C3"/>
    <w:rsid w:val="00AA22E3"/>
    <w:rsid w:val="00AA2379"/>
    <w:rsid w:val="00AA23B1"/>
    <w:rsid w:val="00AA2412"/>
    <w:rsid w:val="00AA245C"/>
    <w:rsid w:val="00AA2483"/>
    <w:rsid w:val="00AA2495"/>
    <w:rsid w:val="00AA2522"/>
    <w:rsid w:val="00AA2531"/>
    <w:rsid w:val="00AA2547"/>
    <w:rsid w:val="00AA2560"/>
    <w:rsid w:val="00AA258E"/>
    <w:rsid w:val="00AA25D3"/>
    <w:rsid w:val="00AA25E8"/>
    <w:rsid w:val="00AA25F2"/>
    <w:rsid w:val="00AA2636"/>
    <w:rsid w:val="00AA26AA"/>
    <w:rsid w:val="00AA2707"/>
    <w:rsid w:val="00AA273D"/>
    <w:rsid w:val="00AA27CD"/>
    <w:rsid w:val="00AA27E3"/>
    <w:rsid w:val="00AA2800"/>
    <w:rsid w:val="00AA2892"/>
    <w:rsid w:val="00AA2908"/>
    <w:rsid w:val="00AA295A"/>
    <w:rsid w:val="00AA2995"/>
    <w:rsid w:val="00AA2A71"/>
    <w:rsid w:val="00AA2A91"/>
    <w:rsid w:val="00AA2B13"/>
    <w:rsid w:val="00AA2B1F"/>
    <w:rsid w:val="00AA2BFE"/>
    <w:rsid w:val="00AA2C0D"/>
    <w:rsid w:val="00AA2C48"/>
    <w:rsid w:val="00AA2C8F"/>
    <w:rsid w:val="00AA2CB6"/>
    <w:rsid w:val="00AA2CC1"/>
    <w:rsid w:val="00AA2CCB"/>
    <w:rsid w:val="00AA2D13"/>
    <w:rsid w:val="00AA2D39"/>
    <w:rsid w:val="00AA2DA2"/>
    <w:rsid w:val="00AA2DB3"/>
    <w:rsid w:val="00AA2DDC"/>
    <w:rsid w:val="00AA2F23"/>
    <w:rsid w:val="00AA2F79"/>
    <w:rsid w:val="00AA2FDF"/>
    <w:rsid w:val="00AA2FF7"/>
    <w:rsid w:val="00AA3008"/>
    <w:rsid w:val="00AA300E"/>
    <w:rsid w:val="00AA3034"/>
    <w:rsid w:val="00AA3079"/>
    <w:rsid w:val="00AA309B"/>
    <w:rsid w:val="00AA30AA"/>
    <w:rsid w:val="00AA3179"/>
    <w:rsid w:val="00AA31BF"/>
    <w:rsid w:val="00AA3240"/>
    <w:rsid w:val="00AA327F"/>
    <w:rsid w:val="00AA3284"/>
    <w:rsid w:val="00AA33FC"/>
    <w:rsid w:val="00AA3446"/>
    <w:rsid w:val="00AA3485"/>
    <w:rsid w:val="00AA34AA"/>
    <w:rsid w:val="00AA34D3"/>
    <w:rsid w:val="00AA350E"/>
    <w:rsid w:val="00AA3512"/>
    <w:rsid w:val="00AA3555"/>
    <w:rsid w:val="00AA363F"/>
    <w:rsid w:val="00AA36DC"/>
    <w:rsid w:val="00AA36FE"/>
    <w:rsid w:val="00AA3720"/>
    <w:rsid w:val="00AA3726"/>
    <w:rsid w:val="00AA3752"/>
    <w:rsid w:val="00AA377D"/>
    <w:rsid w:val="00AA37AC"/>
    <w:rsid w:val="00AA37FB"/>
    <w:rsid w:val="00AA389C"/>
    <w:rsid w:val="00AA38D1"/>
    <w:rsid w:val="00AA3909"/>
    <w:rsid w:val="00AA3945"/>
    <w:rsid w:val="00AA3955"/>
    <w:rsid w:val="00AA397D"/>
    <w:rsid w:val="00AA3981"/>
    <w:rsid w:val="00AA39A3"/>
    <w:rsid w:val="00AA39BB"/>
    <w:rsid w:val="00AA39D2"/>
    <w:rsid w:val="00AA3A1A"/>
    <w:rsid w:val="00AA3A5B"/>
    <w:rsid w:val="00AA3A9E"/>
    <w:rsid w:val="00AA3AF1"/>
    <w:rsid w:val="00AA3B8F"/>
    <w:rsid w:val="00AA3B9E"/>
    <w:rsid w:val="00AA3BA4"/>
    <w:rsid w:val="00AA3BA8"/>
    <w:rsid w:val="00AA3CE9"/>
    <w:rsid w:val="00AA3D80"/>
    <w:rsid w:val="00AA3DD2"/>
    <w:rsid w:val="00AA3E15"/>
    <w:rsid w:val="00AA3E26"/>
    <w:rsid w:val="00AA3E44"/>
    <w:rsid w:val="00AA3EFB"/>
    <w:rsid w:val="00AA3F61"/>
    <w:rsid w:val="00AA3FDB"/>
    <w:rsid w:val="00AA4022"/>
    <w:rsid w:val="00AA4036"/>
    <w:rsid w:val="00AA4038"/>
    <w:rsid w:val="00AA4083"/>
    <w:rsid w:val="00AA4090"/>
    <w:rsid w:val="00AA40A4"/>
    <w:rsid w:val="00AA40E7"/>
    <w:rsid w:val="00AA40F0"/>
    <w:rsid w:val="00AA4112"/>
    <w:rsid w:val="00AA4118"/>
    <w:rsid w:val="00AA4165"/>
    <w:rsid w:val="00AA4189"/>
    <w:rsid w:val="00AA41A1"/>
    <w:rsid w:val="00AA423F"/>
    <w:rsid w:val="00AA4250"/>
    <w:rsid w:val="00AA4284"/>
    <w:rsid w:val="00AA42CB"/>
    <w:rsid w:val="00AA4408"/>
    <w:rsid w:val="00AA44D4"/>
    <w:rsid w:val="00AA44EF"/>
    <w:rsid w:val="00AA44FE"/>
    <w:rsid w:val="00AA4503"/>
    <w:rsid w:val="00AA452C"/>
    <w:rsid w:val="00AA4606"/>
    <w:rsid w:val="00AA4619"/>
    <w:rsid w:val="00AA4630"/>
    <w:rsid w:val="00AA467D"/>
    <w:rsid w:val="00AA46B1"/>
    <w:rsid w:val="00AA4783"/>
    <w:rsid w:val="00AA47F6"/>
    <w:rsid w:val="00AA47FB"/>
    <w:rsid w:val="00AA4800"/>
    <w:rsid w:val="00AA4822"/>
    <w:rsid w:val="00AA48D1"/>
    <w:rsid w:val="00AA4941"/>
    <w:rsid w:val="00AA494A"/>
    <w:rsid w:val="00AA4958"/>
    <w:rsid w:val="00AA4A12"/>
    <w:rsid w:val="00AA4B0C"/>
    <w:rsid w:val="00AA4B17"/>
    <w:rsid w:val="00AA4B48"/>
    <w:rsid w:val="00AA4B6B"/>
    <w:rsid w:val="00AA4B90"/>
    <w:rsid w:val="00AA4BA0"/>
    <w:rsid w:val="00AA4C57"/>
    <w:rsid w:val="00AA4CF8"/>
    <w:rsid w:val="00AA4CFA"/>
    <w:rsid w:val="00AA4D99"/>
    <w:rsid w:val="00AA4E63"/>
    <w:rsid w:val="00AA4E6A"/>
    <w:rsid w:val="00AA4EC3"/>
    <w:rsid w:val="00AA4F08"/>
    <w:rsid w:val="00AA4F80"/>
    <w:rsid w:val="00AA4FB5"/>
    <w:rsid w:val="00AA4FDB"/>
    <w:rsid w:val="00AA4FDD"/>
    <w:rsid w:val="00AA500F"/>
    <w:rsid w:val="00AA502D"/>
    <w:rsid w:val="00AA5085"/>
    <w:rsid w:val="00AA511B"/>
    <w:rsid w:val="00AA5154"/>
    <w:rsid w:val="00AA51F4"/>
    <w:rsid w:val="00AA5205"/>
    <w:rsid w:val="00AA5241"/>
    <w:rsid w:val="00AA52E5"/>
    <w:rsid w:val="00AA5335"/>
    <w:rsid w:val="00AA534B"/>
    <w:rsid w:val="00AA5425"/>
    <w:rsid w:val="00AA542E"/>
    <w:rsid w:val="00AA5498"/>
    <w:rsid w:val="00AA54A0"/>
    <w:rsid w:val="00AA5540"/>
    <w:rsid w:val="00AA557B"/>
    <w:rsid w:val="00AA55B0"/>
    <w:rsid w:val="00AA5698"/>
    <w:rsid w:val="00AA56F4"/>
    <w:rsid w:val="00AA56F8"/>
    <w:rsid w:val="00AA5715"/>
    <w:rsid w:val="00AA57D0"/>
    <w:rsid w:val="00AA57E9"/>
    <w:rsid w:val="00AA5906"/>
    <w:rsid w:val="00AA5945"/>
    <w:rsid w:val="00AA5A15"/>
    <w:rsid w:val="00AA5A36"/>
    <w:rsid w:val="00AA5A3D"/>
    <w:rsid w:val="00AA5A5C"/>
    <w:rsid w:val="00AA5A73"/>
    <w:rsid w:val="00AA5A91"/>
    <w:rsid w:val="00AA5AB8"/>
    <w:rsid w:val="00AA5AFF"/>
    <w:rsid w:val="00AA5B1A"/>
    <w:rsid w:val="00AA5B42"/>
    <w:rsid w:val="00AA5BEA"/>
    <w:rsid w:val="00AA5BEB"/>
    <w:rsid w:val="00AA5BF5"/>
    <w:rsid w:val="00AA5BFA"/>
    <w:rsid w:val="00AA5C04"/>
    <w:rsid w:val="00AA5C05"/>
    <w:rsid w:val="00AA5C34"/>
    <w:rsid w:val="00AA5D3E"/>
    <w:rsid w:val="00AA5D5D"/>
    <w:rsid w:val="00AA5D9D"/>
    <w:rsid w:val="00AA5E20"/>
    <w:rsid w:val="00AA5E87"/>
    <w:rsid w:val="00AA5E8A"/>
    <w:rsid w:val="00AA5F06"/>
    <w:rsid w:val="00AA5FA6"/>
    <w:rsid w:val="00AA613D"/>
    <w:rsid w:val="00AA61E5"/>
    <w:rsid w:val="00AA6223"/>
    <w:rsid w:val="00AA6279"/>
    <w:rsid w:val="00AA629F"/>
    <w:rsid w:val="00AA6424"/>
    <w:rsid w:val="00AA6458"/>
    <w:rsid w:val="00AA6476"/>
    <w:rsid w:val="00AA64E4"/>
    <w:rsid w:val="00AA6549"/>
    <w:rsid w:val="00AA65F0"/>
    <w:rsid w:val="00AA65FE"/>
    <w:rsid w:val="00AA661C"/>
    <w:rsid w:val="00AA6686"/>
    <w:rsid w:val="00AA66BD"/>
    <w:rsid w:val="00AA66C4"/>
    <w:rsid w:val="00AA66EB"/>
    <w:rsid w:val="00AA682A"/>
    <w:rsid w:val="00AA685E"/>
    <w:rsid w:val="00AA6880"/>
    <w:rsid w:val="00AA68B1"/>
    <w:rsid w:val="00AA68BC"/>
    <w:rsid w:val="00AA68FD"/>
    <w:rsid w:val="00AA690C"/>
    <w:rsid w:val="00AA6923"/>
    <w:rsid w:val="00AA6924"/>
    <w:rsid w:val="00AA69EF"/>
    <w:rsid w:val="00AA6A5A"/>
    <w:rsid w:val="00AA6A7A"/>
    <w:rsid w:val="00AA6B30"/>
    <w:rsid w:val="00AA6B46"/>
    <w:rsid w:val="00AA6B6C"/>
    <w:rsid w:val="00AA6C56"/>
    <w:rsid w:val="00AA6CE6"/>
    <w:rsid w:val="00AA6DE7"/>
    <w:rsid w:val="00AA6E36"/>
    <w:rsid w:val="00AA6E96"/>
    <w:rsid w:val="00AA6F58"/>
    <w:rsid w:val="00AA6FBB"/>
    <w:rsid w:val="00AA709E"/>
    <w:rsid w:val="00AA7269"/>
    <w:rsid w:val="00AA737D"/>
    <w:rsid w:val="00AA739A"/>
    <w:rsid w:val="00AA73A3"/>
    <w:rsid w:val="00AA73BB"/>
    <w:rsid w:val="00AA7449"/>
    <w:rsid w:val="00AA748B"/>
    <w:rsid w:val="00AA74BD"/>
    <w:rsid w:val="00AA7521"/>
    <w:rsid w:val="00AA75C2"/>
    <w:rsid w:val="00AA761C"/>
    <w:rsid w:val="00AA76B6"/>
    <w:rsid w:val="00AA777E"/>
    <w:rsid w:val="00AA780A"/>
    <w:rsid w:val="00AA78C6"/>
    <w:rsid w:val="00AA78C7"/>
    <w:rsid w:val="00AA78F6"/>
    <w:rsid w:val="00AA7921"/>
    <w:rsid w:val="00AA794F"/>
    <w:rsid w:val="00AA7960"/>
    <w:rsid w:val="00AA7995"/>
    <w:rsid w:val="00AA7A46"/>
    <w:rsid w:val="00AA7AA3"/>
    <w:rsid w:val="00AA7B14"/>
    <w:rsid w:val="00AA7B3B"/>
    <w:rsid w:val="00AA7B77"/>
    <w:rsid w:val="00AA7BC6"/>
    <w:rsid w:val="00AA7BD9"/>
    <w:rsid w:val="00AA7C0D"/>
    <w:rsid w:val="00AA7C43"/>
    <w:rsid w:val="00AA7C78"/>
    <w:rsid w:val="00AA7CBE"/>
    <w:rsid w:val="00AA7CDA"/>
    <w:rsid w:val="00AA7D13"/>
    <w:rsid w:val="00AA7D45"/>
    <w:rsid w:val="00AA7DA6"/>
    <w:rsid w:val="00AA7DAC"/>
    <w:rsid w:val="00AA7E0A"/>
    <w:rsid w:val="00AA7E61"/>
    <w:rsid w:val="00AA7EE1"/>
    <w:rsid w:val="00AA7EE5"/>
    <w:rsid w:val="00AA7F35"/>
    <w:rsid w:val="00AA7FCB"/>
    <w:rsid w:val="00AB0125"/>
    <w:rsid w:val="00AB0182"/>
    <w:rsid w:val="00AB01B1"/>
    <w:rsid w:val="00AB0237"/>
    <w:rsid w:val="00AB026F"/>
    <w:rsid w:val="00AB0284"/>
    <w:rsid w:val="00AB02A7"/>
    <w:rsid w:val="00AB02BE"/>
    <w:rsid w:val="00AB0335"/>
    <w:rsid w:val="00AB04AA"/>
    <w:rsid w:val="00AB0508"/>
    <w:rsid w:val="00AB0599"/>
    <w:rsid w:val="00AB0657"/>
    <w:rsid w:val="00AB0723"/>
    <w:rsid w:val="00AB0728"/>
    <w:rsid w:val="00AB080C"/>
    <w:rsid w:val="00AB082F"/>
    <w:rsid w:val="00AB0856"/>
    <w:rsid w:val="00AB0898"/>
    <w:rsid w:val="00AB090B"/>
    <w:rsid w:val="00AB0921"/>
    <w:rsid w:val="00AB0942"/>
    <w:rsid w:val="00AB0980"/>
    <w:rsid w:val="00AB09BB"/>
    <w:rsid w:val="00AB09D2"/>
    <w:rsid w:val="00AB0A8F"/>
    <w:rsid w:val="00AB0AD1"/>
    <w:rsid w:val="00AB0B8E"/>
    <w:rsid w:val="00AB0B9F"/>
    <w:rsid w:val="00AB0C6A"/>
    <w:rsid w:val="00AB0CA7"/>
    <w:rsid w:val="00AB0D3C"/>
    <w:rsid w:val="00AB0D59"/>
    <w:rsid w:val="00AB0D82"/>
    <w:rsid w:val="00AB0DFF"/>
    <w:rsid w:val="00AB0E81"/>
    <w:rsid w:val="00AB0EAC"/>
    <w:rsid w:val="00AB0F55"/>
    <w:rsid w:val="00AB0F90"/>
    <w:rsid w:val="00AB0F91"/>
    <w:rsid w:val="00AB0FAE"/>
    <w:rsid w:val="00AB0FBB"/>
    <w:rsid w:val="00AB1010"/>
    <w:rsid w:val="00AB1056"/>
    <w:rsid w:val="00AB1057"/>
    <w:rsid w:val="00AB10E1"/>
    <w:rsid w:val="00AB1148"/>
    <w:rsid w:val="00AB114B"/>
    <w:rsid w:val="00AB11AC"/>
    <w:rsid w:val="00AB11CE"/>
    <w:rsid w:val="00AB11D3"/>
    <w:rsid w:val="00AB1202"/>
    <w:rsid w:val="00AB1206"/>
    <w:rsid w:val="00AB1275"/>
    <w:rsid w:val="00AB12B3"/>
    <w:rsid w:val="00AB12C5"/>
    <w:rsid w:val="00AB1362"/>
    <w:rsid w:val="00AB1366"/>
    <w:rsid w:val="00AB1396"/>
    <w:rsid w:val="00AB143C"/>
    <w:rsid w:val="00AB1464"/>
    <w:rsid w:val="00AB1472"/>
    <w:rsid w:val="00AB14AA"/>
    <w:rsid w:val="00AB14C3"/>
    <w:rsid w:val="00AB151B"/>
    <w:rsid w:val="00AB1532"/>
    <w:rsid w:val="00AB1559"/>
    <w:rsid w:val="00AB15B1"/>
    <w:rsid w:val="00AB15C4"/>
    <w:rsid w:val="00AB1626"/>
    <w:rsid w:val="00AB1669"/>
    <w:rsid w:val="00AB1671"/>
    <w:rsid w:val="00AB16F2"/>
    <w:rsid w:val="00AB1714"/>
    <w:rsid w:val="00AB1770"/>
    <w:rsid w:val="00AB1779"/>
    <w:rsid w:val="00AB17B3"/>
    <w:rsid w:val="00AB17C4"/>
    <w:rsid w:val="00AB17E5"/>
    <w:rsid w:val="00AB1890"/>
    <w:rsid w:val="00AB18C3"/>
    <w:rsid w:val="00AB18EE"/>
    <w:rsid w:val="00AB190D"/>
    <w:rsid w:val="00AB193E"/>
    <w:rsid w:val="00AB1951"/>
    <w:rsid w:val="00AB19DB"/>
    <w:rsid w:val="00AB1A08"/>
    <w:rsid w:val="00AB1A17"/>
    <w:rsid w:val="00AB1A99"/>
    <w:rsid w:val="00AB1BC2"/>
    <w:rsid w:val="00AB1C07"/>
    <w:rsid w:val="00AB1C75"/>
    <w:rsid w:val="00AB1D36"/>
    <w:rsid w:val="00AB1D66"/>
    <w:rsid w:val="00AB1DCD"/>
    <w:rsid w:val="00AB1E87"/>
    <w:rsid w:val="00AB1EB3"/>
    <w:rsid w:val="00AB1F16"/>
    <w:rsid w:val="00AB1F20"/>
    <w:rsid w:val="00AB1F52"/>
    <w:rsid w:val="00AB1FB2"/>
    <w:rsid w:val="00AB1FB3"/>
    <w:rsid w:val="00AB2142"/>
    <w:rsid w:val="00AB2193"/>
    <w:rsid w:val="00AB21D4"/>
    <w:rsid w:val="00AB21D5"/>
    <w:rsid w:val="00AB225C"/>
    <w:rsid w:val="00AB2322"/>
    <w:rsid w:val="00AB232E"/>
    <w:rsid w:val="00AB2336"/>
    <w:rsid w:val="00AB2378"/>
    <w:rsid w:val="00AB23A6"/>
    <w:rsid w:val="00AB23B1"/>
    <w:rsid w:val="00AB2418"/>
    <w:rsid w:val="00AB2480"/>
    <w:rsid w:val="00AB24A8"/>
    <w:rsid w:val="00AB24B1"/>
    <w:rsid w:val="00AB24DB"/>
    <w:rsid w:val="00AB2502"/>
    <w:rsid w:val="00AB2536"/>
    <w:rsid w:val="00AB25BB"/>
    <w:rsid w:val="00AB2620"/>
    <w:rsid w:val="00AB2653"/>
    <w:rsid w:val="00AB2685"/>
    <w:rsid w:val="00AB2704"/>
    <w:rsid w:val="00AB2773"/>
    <w:rsid w:val="00AB278B"/>
    <w:rsid w:val="00AB27C8"/>
    <w:rsid w:val="00AB28C8"/>
    <w:rsid w:val="00AB297A"/>
    <w:rsid w:val="00AB2A69"/>
    <w:rsid w:val="00AB2BA8"/>
    <w:rsid w:val="00AB2BF7"/>
    <w:rsid w:val="00AB2C0F"/>
    <w:rsid w:val="00AB2CAE"/>
    <w:rsid w:val="00AB2CC1"/>
    <w:rsid w:val="00AB2D19"/>
    <w:rsid w:val="00AB2E5F"/>
    <w:rsid w:val="00AB2E8A"/>
    <w:rsid w:val="00AB2ECB"/>
    <w:rsid w:val="00AB2F2A"/>
    <w:rsid w:val="00AB2F4F"/>
    <w:rsid w:val="00AB2F6B"/>
    <w:rsid w:val="00AB2F7C"/>
    <w:rsid w:val="00AB2FCD"/>
    <w:rsid w:val="00AB30A4"/>
    <w:rsid w:val="00AB3113"/>
    <w:rsid w:val="00AB3148"/>
    <w:rsid w:val="00AB3186"/>
    <w:rsid w:val="00AB3207"/>
    <w:rsid w:val="00AB3214"/>
    <w:rsid w:val="00AB3220"/>
    <w:rsid w:val="00AB327C"/>
    <w:rsid w:val="00AB3293"/>
    <w:rsid w:val="00AB32AE"/>
    <w:rsid w:val="00AB3359"/>
    <w:rsid w:val="00AB339E"/>
    <w:rsid w:val="00AB33B8"/>
    <w:rsid w:val="00AB3407"/>
    <w:rsid w:val="00AB340C"/>
    <w:rsid w:val="00AB3469"/>
    <w:rsid w:val="00AB347F"/>
    <w:rsid w:val="00AB3486"/>
    <w:rsid w:val="00AB349E"/>
    <w:rsid w:val="00AB34C5"/>
    <w:rsid w:val="00AB34FB"/>
    <w:rsid w:val="00AB3526"/>
    <w:rsid w:val="00AB3560"/>
    <w:rsid w:val="00AB358C"/>
    <w:rsid w:val="00AB35CC"/>
    <w:rsid w:val="00AB362A"/>
    <w:rsid w:val="00AB36B7"/>
    <w:rsid w:val="00AB374A"/>
    <w:rsid w:val="00AB3751"/>
    <w:rsid w:val="00AB37BA"/>
    <w:rsid w:val="00AB3802"/>
    <w:rsid w:val="00AB38F2"/>
    <w:rsid w:val="00AB390A"/>
    <w:rsid w:val="00AB392F"/>
    <w:rsid w:val="00AB3943"/>
    <w:rsid w:val="00AB39E9"/>
    <w:rsid w:val="00AB3A17"/>
    <w:rsid w:val="00AB3A33"/>
    <w:rsid w:val="00AB3AF5"/>
    <w:rsid w:val="00AB3B14"/>
    <w:rsid w:val="00AB3B3C"/>
    <w:rsid w:val="00AB3B73"/>
    <w:rsid w:val="00AB3B84"/>
    <w:rsid w:val="00AB3BE9"/>
    <w:rsid w:val="00AB3C3F"/>
    <w:rsid w:val="00AB3C77"/>
    <w:rsid w:val="00AB3CFF"/>
    <w:rsid w:val="00AB3D3E"/>
    <w:rsid w:val="00AB3D7E"/>
    <w:rsid w:val="00AB3D9F"/>
    <w:rsid w:val="00AB3DA2"/>
    <w:rsid w:val="00AB3ED4"/>
    <w:rsid w:val="00AB3EF1"/>
    <w:rsid w:val="00AB3F20"/>
    <w:rsid w:val="00AB3F4B"/>
    <w:rsid w:val="00AB3F52"/>
    <w:rsid w:val="00AB3FB5"/>
    <w:rsid w:val="00AB404E"/>
    <w:rsid w:val="00AB404F"/>
    <w:rsid w:val="00AB4152"/>
    <w:rsid w:val="00AB41F4"/>
    <w:rsid w:val="00AB4224"/>
    <w:rsid w:val="00AB42B6"/>
    <w:rsid w:val="00AB42E2"/>
    <w:rsid w:val="00AB42E3"/>
    <w:rsid w:val="00AB4345"/>
    <w:rsid w:val="00AB43A7"/>
    <w:rsid w:val="00AB43FE"/>
    <w:rsid w:val="00AB4427"/>
    <w:rsid w:val="00AB4440"/>
    <w:rsid w:val="00AB450E"/>
    <w:rsid w:val="00AB45A1"/>
    <w:rsid w:val="00AB4637"/>
    <w:rsid w:val="00AB4657"/>
    <w:rsid w:val="00AB46E3"/>
    <w:rsid w:val="00AB4735"/>
    <w:rsid w:val="00AB47E2"/>
    <w:rsid w:val="00AB47E5"/>
    <w:rsid w:val="00AB482F"/>
    <w:rsid w:val="00AB4838"/>
    <w:rsid w:val="00AB4851"/>
    <w:rsid w:val="00AB485C"/>
    <w:rsid w:val="00AB48E7"/>
    <w:rsid w:val="00AB48F7"/>
    <w:rsid w:val="00AB4955"/>
    <w:rsid w:val="00AB4957"/>
    <w:rsid w:val="00AB49F7"/>
    <w:rsid w:val="00AB4A55"/>
    <w:rsid w:val="00AB4A7F"/>
    <w:rsid w:val="00AB4A90"/>
    <w:rsid w:val="00AB4B1F"/>
    <w:rsid w:val="00AB4B82"/>
    <w:rsid w:val="00AB4BE1"/>
    <w:rsid w:val="00AB4C02"/>
    <w:rsid w:val="00AB4C06"/>
    <w:rsid w:val="00AB4CB2"/>
    <w:rsid w:val="00AB4D0B"/>
    <w:rsid w:val="00AB4DFE"/>
    <w:rsid w:val="00AB4E03"/>
    <w:rsid w:val="00AB4E36"/>
    <w:rsid w:val="00AB4E38"/>
    <w:rsid w:val="00AB4E56"/>
    <w:rsid w:val="00AB4EAD"/>
    <w:rsid w:val="00AB4F45"/>
    <w:rsid w:val="00AB4F5E"/>
    <w:rsid w:val="00AB4FAA"/>
    <w:rsid w:val="00AB50C1"/>
    <w:rsid w:val="00AB5149"/>
    <w:rsid w:val="00AB5157"/>
    <w:rsid w:val="00AB5159"/>
    <w:rsid w:val="00AB51C2"/>
    <w:rsid w:val="00AB51DC"/>
    <w:rsid w:val="00AB521B"/>
    <w:rsid w:val="00AB522E"/>
    <w:rsid w:val="00AB5236"/>
    <w:rsid w:val="00AB52A1"/>
    <w:rsid w:val="00AB52EF"/>
    <w:rsid w:val="00AB52F5"/>
    <w:rsid w:val="00AB534D"/>
    <w:rsid w:val="00AB5352"/>
    <w:rsid w:val="00AB5369"/>
    <w:rsid w:val="00AB538E"/>
    <w:rsid w:val="00AB5413"/>
    <w:rsid w:val="00AB54A4"/>
    <w:rsid w:val="00AB54C7"/>
    <w:rsid w:val="00AB54CC"/>
    <w:rsid w:val="00AB5516"/>
    <w:rsid w:val="00AB55AE"/>
    <w:rsid w:val="00AB566B"/>
    <w:rsid w:val="00AB56BE"/>
    <w:rsid w:val="00AB5780"/>
    <w:rsid w:val="00AB57BF"/>
    <w:rsid w:val="00AB57E3"/>
    <w:rsid w:val="00AB5863"/>
    <w:rsid w:val="00AB591A"/>
    <w:rsid w:val="00AB59BE"/>
    <w:rsid w:val="00AB5A8B"/>
    <w:rsid w:val="00AB5BB6"/>
    <w:rsid w:val="00AB5C22"/>
    <w:rsid w:val="00AB5C55"/>
    <w:rsid w:val="00AB5DBA"/>
    <w:rsid w:val="00AB5E4F"/>
    <w:rsid w:val="00AB5E50"/>
    <w:rsid w:val="00AB5EA9"/>
    <w:rsid w:val="00AB5F11"/>
    <w:rsid w:val="00AB5F17"/>
    <w:rsid w:val="00AB5FB5"/>
    <w:rsid w:val="00AB600E"/>
    <w:rsid w:val="00AB6035"/>
    <w:rsid w:val="00AB6036"/>
    <w:rsid w:val="00AB6075"/>
    <w:rsid w:val="00AB60D1"/>
    <w:rsid w:val="00AB6102"/>
    <w:rsid w:val="00AB61CE"/>
    <w:rsid w:val="00AB62B8"/>
    <w:rsid w:val="00AB62E6"/>
    <w:rsid w:val="00AB636A"/>
    <w:rsid w:val="00AB6372"/>
    <w:rsid w:val="00AB6374"/>
    <w:rsid w:val="00AB63BC"/>
    <w:rsid w:val="00AB63C9"/>
    <w:rsid w:val="00AB6505"/>
    <w:rsid w:val="00AB6514"/>
    <w:rsid w:val="00AB66DF"/>
    <w:rsid w:val="00AB6761"/>
    <w:rsid w:val="00AB677D"/>
    <w:rsid w:val="00AB67FF"/>
    <w:rsid w:val="00AB6825"/>
    <w:rsid w:val="00AB68BB"/>
    <w:rsid w:val="00AB6975"/>
    <w:rsid w:val="00AB69AB"/>
    <w:rsid w:val="00AB69C1"/>
    <w:rsid w:val="00AB6ADE"/>
    <w:rsid w:val="00AB6B25"/>
    <w:rsid w:val="00AB6B35"/>
    <w:rsid w:val="00AB6BE9"/>
    <w:rsid w:val="00AB6C18"/>
    <w:rsid w:val="00AB6C46"/>
    <w:rsid w:val="00AB6C72"/>
    <w:rsid w:val="00AB6CA6"/>
    <w:rsid w:val="00AB6D26"/>
    <w:rsid w:val="00AB6D54"/>
    <w:rsid w:val="00AB6E7B"/>
    <w:rsid w:val="00AB6EBC"/>
    <w:rsid w:val="00AB6ED4"/>
    <w:rsid w:val="00AB6EFC"/>
    <w:rsid w:val="00AB6F20"/>
    <w:rsid w:val="00AB70B1"/>
    <w:rsid w:val="00AB70BE"/>
    <w:rsid w:val="00AB7132"/>
    <w:rsid w:val="00AB7169"/>
    <w:rsid w:val="00AB7179"/>
    <w:rsid w:val="00AB717D"/>
    <w:rsid w:val="00AB7184"/>
    <w:rsid w:val="00AB71C4"/>
    <w:rsid w:val="00AB7202"/>
    <w:rsid w:val="00AB725C"/>
    <w:rsid w:val="00AB72D0"/>
    <w:rsid w:val="00AB72D2"/>
    <w:rsid w:val="00AB7333"/>
    <w:rsid w:val="00AB735E"/>
    <w:rsid w:val="00AB7362"/>
    <w:rsid w:val="00AB736E"/>
    <w:rsid w:val="00AB73C4"/>
    <w:rsid w:val="00AB73DE"/>
    <w:rsid w:val="00AB747F"/>
    <w:rsid w:val="00AB7564"/>
    <w:rsid w:val="00AB75E3"/>
    <w:rsid w:val="00AB764E"/>
    <w:rsid w:val="00AB7675"/>
    <w:rsid w:val="00AB76C2"/>
    <w:rsid w:val="00AB76F9"/>
    <w:rsid w:val="00AB7742"/>
    <w:rsid w:val="00AB7785"/>
    <w:rsid w:val="00AB77E5"/>
    <w:rsid w:val="00AB7840"/>
    <w:rsid w:val="00AB7885"/>
    <w:rsid w:val="00AB7890"/>
    <w:rsid w:val="00AB7896"/>
    <w:rsid w:val="00AB7950"/>
    <w:rsid w:val="00AB7A17"/>
    <w:rsid w:val="00AB7AA3"/>
    <w:rsid w:val="00AB7B9D"/>
    <w:rsid w:val="00AB7C35"/>
    <w:rsid w:val="00AB7CEE"/>
    <w:rsid w:val="00AB7CF8"/>
    <w:rsid w:val="00AB7DFB"/>
    <w:rsid w:val="00AB7EEE"/>
    <w:rsid w:val="00AB7F2E"/>
    <w:rsid w:val="00AB7F8D"/>
    <w:rsid w:val="00AC000D"/>
    <w:rsid w:val="00AC0069"/>
    <w:rsid w:val="00AC00B1"/>
    <w:rsid w:val="00AC00E2"/>
    <w:rsid w:val="00AC00FA"/>
    <w:rsid w:val="00AC017B"/>
    <w:rsid w:val="00AC023B"/>
    <w:rsid w:val="00AC0250"/>
    <w:rsid w:val="00AC026D"/>
    <w:rsid w:val="00AC028D"/>
    <w:rsid w:val="00AC02F3"/>
    <w:rsid w:val="00AC039C"/>
    <w:rsid w:val="00AC03FE"/>
    <w:rsid w:val="00AC041C"/>
    <w:rsid w:val="00AC0447"/>
    <w:rsid w:val="00AC048B"/>
    <w:rsid w:val="00AC04F4"/>
    <w:rsid w:val="00AC051E"/>
    <w:rsid w:val="00AC056F"/>
    <w:rsid w:val="00AC0574"/>
    <w:rsid w:val="00AC0590"/>
    <w:rsid w:val="00AC05B5"/>
    <w:rsid w:val="00AC05D5"/>
    <w:rsid w:val="00AC05FB"/>
    <w:rsid w:val="00AC0604"/>
    <w:rsid w:val="00AC0621"/>
    <w:rsid w:val="00AC0644"/>
    <w:rsid w:val="00AC0794"/>
    <w:rsid w:val="00AC0802"/>
    <w:rsid w:val="00AC0820"/>
    <w:rsid w:val="00AC087F"/>
    <w:rsid w:val="00AC089B"/>
    <w:rsid w:val="00AC08A9"/>
    <w:rsid w:val="00AC0900"/>
    <w:rsid w:val="00AC09F2"/>
    <w:rsid w:val="00AC09FF"/>
    <w:rsid w:val="00AC0B6F"/>
    <w:rsid w:val="00AC0CF3"/>
    <w:rsid w:val="00AC0D09"/>
    <w:rsid w:val="00AC0D25"/>
    <w:rsid w:val="00AC0DAB"/>
    <w:rsid w:val="00AC0DB3"/>
    <w:rsid w:val="00AC0E8B"/>
    <w:rsid w:val="00AC0EC6"/>
    <w:rsid w:val="00AC0FFA"/>
    <w:rsid w:val="00AC1049"/>
    <w:rsid w:val="00AC1053"/>
    <w:rsid w:val="00AC10C5"/>
    <w:rsid w:val="00AC1131"/>
    <w:rsid w:val="00AC11B2"/>
    <w:rsid w:val="00AC1281"/>
    <w:rsid w:val="00AC12C3"/>
    <w:rsid w:val="00AC12C6"/>
    <w:rsid w:val="00AC12F0"/>
    <w:rsid w:val="00AC130C"/>
    <w:rsid w:val="00AC1321"/>
    <w:rsid w:val="00AC1323"/>
    <w:rsid w:val="00AC13E9"/>
    <w:rsid w:val="00AC143D"/>
    <w:rsid w:val="00AC145A"/>
    <w:rsid w:val="00AC14EA"/>
    <w:rsid w:val="00AC14FA"/>
    <w:rsid w:val="00AC156D"/>
    <w:rsid w:val="00AC157C"/>
    <w:rsid w:val="00AC1663"/>
    <w:rsid w:val="00AC1705"/>
    <w:rsid w:val="00AC17E0"/>
    <w:rsid w:val="00AC17FE"/>
    <w:rsid w:val="00AC18B3"/>
    <w:rsid w:val="00AC18CE"/>
    <w:rsid w:val="00AC19B0"/>
    <w:rsid w:val="00AC1A1C"/>
    <w:rsid w:val="00AC1A90"/>
    <w:rsid w:val="00AC1AA4"/>
    <w:rsid w:val="00AC1AC1"/>
    <w:rsid w:val="00AC1B45"/>
    <w:rsid w:val="00AC1B4A"/>
    <w:rsid w:val="00AC1BF9"/>
    <w:rsid w:val="00AC1CAF"/>
    <w:rsid w:val="00AC1DCF"/>
    <w:rsid w:val="00AC1E36"/>
    <w:rsid w:val="00AC1E61"/>
    <w:rsid w:val="00AC1EC6"/>
    <w:rsid w:val="00AC1F3C"/>
    <w:rsid w:val="00AC1F48"/>
    <w:rsid w:val="00AC1FE0"/>
    <w:rsid w:val="00AC1FFE"/>
    <w:rsid w:val="00AC201D"/>
    <w:rsid w:val="00AC204A"/>
    <w:rsid w:val="00AC2073"/>
    <w:rsid w:val="00AC20BD"/>
    <w:rsid w:val="00AC2101"/>
    <w:rsid w:val="00AC21A6"/>
    <w:rsid w:val="00AC21EE"/>
    <w:rsid w:val="00AC2223"/>
    <w:rsid w:val="00AC224E"/>
    <w:rsid w:val="00AC22B4"/>
    <w:rsid w:val="00AC233A"/>
    <w:rsid w:val="00AC2345"/>
    <w:rsid w:val="00AC2367"/>
    <w:rsid w:val="00AC24ED"/>
    <w:rsid w:val="00AC2556"/>
    <w:rsid w:val="00AC2586"/>
    <w:rsid w:val="00AC25B2"/>
    <w:rsid w:val="00AC2656"/>
    <w:rsid w:val="00AC267F"/>
    <w:rsid w:val="00AC26DC"/>
    <w:rsid w:val="00AC27BB"/>
    <w:rsid w:val="00AC2804"/>
    <w:rsid w:val="00AC2859"/>
    <w:rsid w:val="00AC285D"/>
    <w:rsid w:val="00AC295E"/>
    <w:rsid w:val="00AC29BD"/>
    <w:rsid w:val="00AC29ED"/>
    <w:rsid w:val="00AC2A18"/>
    <w:rsid w:val="00AC2AF2"/>
    <w:rsid w:val="00AC2B66"/>
    <w:rsid w:val="00AC2B77"/>
    <w:rsid w:val="00AC2B8C"/>
    <w:rsid w:val="00AC2B9A"/>
    <w:rsid w:val="00AC2C44"/>
    <w:rsid w:val="00AC2C5A"/>
    <w:rsid w:val="00AC2CC2"/>
    <w:rsid w:val="00AC2E10"/>
    <w:rsid w:val="00AC2E2B"/>
    <w:rsid w:val="00AC2E84"/>
    <w:rsid w:val="00AC2E9C"/>
    <w:rsid w:val="00AC2ECD"/>
    <w:rsid w:val="00AC2EEA"/>
    <w:rsid w:val="00AC2F10"/>
    <w:rsid w:val="00AC2F12"/>
    <w:rsid w:val="00AC2F32"/>
    <w:rsid w:val="00AC2F5E"/>
    <w:rsid w:val="00AC2F70"/>
    <w:rsid w:val="00AC3045"/>
    <w:rsid w:val="00AC3073"/>
    <w:rsid w:val="00AC3136"/>
    <w:rsid w:val="00AC3137"/>
    <w:rsid w:val="00AC3142"/>
    <w:rsid w:val="00AC3143"/>
    <w:rsid w:val="00AC317D"/>
    <w:rsid w:val="00AC319A"/>
    <w:rsid w:val="00AC31D2"/>
    <w:rsid w:val="00AC31FC"/>
    <w:rsid w:val="00AC3242"/>
    <w:rsid w:val="00AC3251"/>
    <w:rsid w:val="00AC3279"/>
    <w:rsid w:val="00AC333A"/>
    <w:rsid w:val="00AC337A"/>
    <w:rsid w:val="00AC3386"/>
    <w:rsid w:val="00AC33A5"/>
    <w:rsid w:val="00AC33AA"/>
    <w:rsid w:val="00AC346D"/>
    <w:rsid w:val="00AC347D"/>
    <w:rsid w:val="00AC34FD"/>
    <w:rsid w:val="00AC3503"/>
    <w:rsid w:val="00AC3525"/>
    <w:rsid w:val="00AC3553"/>
    <w:rsid w:val="00AC35B2"/>
    <w:rsid w:val="00AC35CB"/>
    <w:rsid w:val="00AC3614"/>
    <w:rsid w:val="00AC36E4"/>
    <w:rsid w:val="00AC3722"/>
    <w:rsid w:val="00AC37CC"/>
    <w:rsid w:val="00AC3845"/>
    <w:rsid w:val="00AC388B"/>
    <w:rsid w:val="00AC393E"/>
    <w:rsid w:val="00AC394C"/>
    <w:rsid w:val="00AC39AB"/>
    <w:rsid w:val="00AC3BB0"/>
    <w:rsid w:val="00AC3C89"/>
    <w:rsid w:val="00AC3D98"/>
    <w:rsid w:val="00AC3DAC"/>
    <w:rsid w:val="00AC3DB5"/>
    <w:rsid w:val="00AC3DFF"/>
    <w:rsid w:val="00AC3E19"/>
    <w:rsid w:val="00AC3EF9"/>
    <w:rsid w:val="00AC3F25"/>
    <w:rsid w:val="00AC3FFB"/>
    <w:rsid w:val="00AC40E8"/>
    <w:rsid w:val="00AC4182"/>
    <w:rsid w:val="00AC4279"/>
    <w:rsid w:val="00AC42C8"/>
    <w:rsid w:val="00AC4343"/>
    <w:rsid w:val="00AC4344"/>
    <w:rsid w:val="00AC4365"/>
    <w:rsid w:val="00AC439B"/>
    <w:rsid w:val="00AC43B5"/>
    <w:rsid w:val="00AC43CD"/>
    <w:rsid w:val="00AC44BA"/>
    <w:rsid w:val="00AC44BC"/>
    <w:rsid w:val="00AC454D"/>
    <w:rsid w:val="00AC469D"/>
    <w:rsid w:val="00AC46AA"/>
    <w:rsid w:val="00AC46E4"/>
    <w:rsid w:val="00AC4742"/>
    <w:rsid w:val="00AC475F"/>
    <w:rsid w:val="00AC4783"/>
    <w:rsid w:val="00AC4824"/>
    <w:rsid w:val="00AC482A"/>
    <w:rsid w:val="00AC486C"/>
    <w:rsid w:val="00AC48BD"/>
    <w:rsid w:val="00AC48D8"/>
    <w:rsid w:val="00AC49EA"/>
    <w:rsid w:val="00AC4A0E"/>
    <w:rsid w:val="00AC4A43"/>
    <w:rsid w:val="00AC4AA6"/>
    <w:rsid w:val="00AC4AC8"/>
    <w:rsid w:val="00AC4B0A"/>
    <w:rsid w:val="00AC4B11"/>
    <w:rsid w:val="00AC4B5F"/>
    <w:rsid w:val="00AC4B79"/>
    <w:rsid w:val="00AC4BF2"/>
    <w:rsid w:val="00AC4C3F"/>
    <w:rsid w:val="00AC4C7C"/>
    <w:rsid w:val="00AC4CDC"/>
    <w:rsid w:val="00AC4E8E"/>
    <w:rsid w:val="00AC4F1F"/>
    <w:rsid w:val="00AC4F23"/>
    <w:rsid w:val="00AC4F54"/>
    <w:rsid w:val="00AC4F69"/>
    <w:rsid w:val="00AC4F8E"/>
    <w:rsid w:val="00AC4F95"/>
    <w:rsid w:val="00AC4FA2"/>
    <w:rsid w:val="00AC4FC7"/>
    <w:rsid w:val="00AC4FDC"/>
    <w:rsid w:val="00AC502F"/>
    <w:rsid w:val="00AC5049"/>
    <w:rsid w:val="00AC5060"/>
    <w:rsid w:val="00AC508E"/>
    <w:rsid w:val="00AC5118"/>
    <w:rsid w:val="00AC519F"/>
    <w:rsid w:val="00AC529C"/>
    <w:rsid w:val="00AC52D0"/>
    <w:rsid w:val="00AC52FC"/>
    <w:rsid w:val="00AC5329"/>
    <w:rsid w:val="00AC5364"/>
    <w:rsid w:val="00AC5437"/>
    <w:rsid w:val="00AC551A"/>
    <w:rsid w:val="00AC555F"/>
    <w:rsid w:val="00AC55E8"/>
    <w:rsid w:val="00AC569F"/>
    <w:rsid w:val="00AC56C0"/>
    <w:rsid w:val="00AC56D5"/>
    <w:rsid w:val="00AC570B"/>
    <w:rsid w:val="00AC5784"/>
    <w:rsid w:val="00AC57DE"/>
    <w:rsid w:val="00AC58B6"/>
    <w:rsid w:val="00AC59F0"/>
    <w:rsid w:val="00AC5A46"/>
    <w:rsid w:val="00AC5AE6"/>
    <w:rsid w:val="00AC5B0C"/>
    <w:rsid w:val="00AC5B48"/>
    <w:rsid w:val="00AC5B75"/>
    <w:rsid w:val="00AC5B91"/>
    <w:rsid w:val="00AC5BA7"/>
    <w:rsid w:val="00AC5C58"/>
    <w:rsid w:val="00AC5C99"/>
    <w:rsid w:val="00AC5C9A"/>
    <w:rsid w:val="00AC5CA7"/>
    <w:rsid w:val="00AC5CDE"/>
    <w:rsid w:val="00AC5CEB"/>
    <w:rsid w:val="00AC5D4C"/>
    <w:rsid w:val="00AC5D63"/>
    <w:rsid w:val="00AC5DC8"/>
    <w:rsid w:val="00AC5EF3"/>
    <w:rsid w:val="00AC5F08"/>
    <w:rsid w:val="00AC5F42"/>
    <w:rsid w:val="00AC5F5E"/>
    <w:rsid w:val="00AC5F65"/>
    <w:rsid w:val="00AC5FAE"/>
    <w:rsid w:val="00AC5FD2"/>
    <w:rsid w:val="00AC6037"/>
    <w:rsid w:val="00AC610D"/>
    <w:rsid w:val="00AC6140"/>
    <w:rsid w:val="00AC6173"/>
    <w:rsid w:val="00AC6194"/>
    <w:rsid w:val="00AC620D"/>
    <w:rsid w:val="00AC627F"/>
    <w:rsid w:val="00AC62B1"/>
    <w:rsid w:val="00AC62B7"/>
    <w:rsid w:val="00AC62CE"/>
    <w:rsid w:val="00AC631C"/>
    <w:rsid w:val="00AC6376"/>
    <w:rsid w:val="00AC649C"/>
    <w:rsid w:val="00AC64BF"/>
    <w:rsid w:val="00AC6589"/>
    <w:rsid w:val="00AC659D"/>
    <w:rsid w:val="00AC65BD"/>
    <w:rsid w:val="00AC65F2"/>
    <w:rsid w:val="00AC663A"/>
    <w:rsid w:val="00AC66F0"/>
    <w:rsid w:val="00AC66FA"/>
    <w:rsid w:val="00AC6716"/>
    <w:rsid w:val="00AC676F"/>
    <w:rsid w:val="00AC6788"/>
    <w:rsid w:val="00AC6798"/>
    <w:rsid w:val="00AC67D0"/>
    <w:rsid w:val="00AC67FE"/>
    <w:rsid w:val="00AC680A"/>
    <w:rsid w:val="00AC688E"/>
    <w:rsid w:val="00AC68BA"/>
    <w:rsid w:val="00AC68F4"/>
    <w:rsid w:val="00AC69B0"/>
    <w:rsid w:val="00AC69BF"/>
    <w:rsid w:val="00AC6A1F"/>
    <w:rsid w:val="00AC6A2B"/>
    <w:rsid w:val="00AC6A77"/>
    <w:rsid w:val="00AC6AC2"/>
    <w:rsid w:val="00AC6B53"/>
    <w:rsid w:val="00AC6B64"/>
    <w:rsid w:val="00AC6BED"/>
    <w:rsid w:val="00AC6C68"/>
    <w:rsid w:val="00AC6C6B"/>
    <w:rsid w:val="00AC6C75"/>
    <w:rsid w:val="00AC6CFA"/>
    <w:rsid w:val="00AC6CFC"/>
    <w:rsid w:val="00AC6D47"/>
    <w:rsid w:val="00AC6DA4"/>
    <w:rsid w:val="00AC6DCC"/>
    <w:rsid w:val="00AC6DCF"/>
    <w:rsid w:val="00AC6DD5"/>
    <w:rsid w:val="00AC6DEE"/>
    <w:rsid w:val="00AC6E96"/>
    <w:rsid w:val="00AC6EC3"/>
    <w:rsid w:val="00AC6F03"/>
    <w:rsid w:val="00AC70C4"/>
    <w:rsid w:val="00AC70CB"/>
    <w:rsid w:val="00AC7113"/>
    <w:rsid w:val="00AC7154"/>
    <w:rsid w:val="00AC717E"/>
    <w:rsid w:val="00AC71D7"/>
    <w:rsid w:val="00AC720C"/>
    <w:rsid w:val="00AC731D"/>
    <w:rsid w:val="00AC7361"/>
    <w:rsid w:val="00AC73F7"/>
    <w:rsid w:val="00AC7404"/>
    <w:rsid w:val="00AC740E"/>
    <w:rsid w:val="00AC74BF"/>
    <w:rsid w:val="00AC74F9"/>
    <w:rsid w:val="00AC7514"/>
    <w:rsid w:val="00AC7522"/>
    <w:rsid w:val="00AC7526"/>
    <w:rsid w:val="00AC759E"/>
    <w:rsid w:val="00AC765E"/>
    <w:rsid w:val="00AC76C8"/>
    <w:rsid w:val="00AC7798"/>
    <w:rsid w:val="00AC77FF"/>
    <w:rsid w:val="00AC7846"/>
    <w:rsid w:val="00AC78A2"/>
    <w:rsid w:val="00AC78C3"/>
    <w:rsid w:val="00AC7930"/>
    <w:rsid w:val="00AC79B4"/>
    <w:rsid w:val="00AC79C7"/>
    <w:rsid w:val="00AC79DA"/>
    <w:rsid w:val="00AC7AE2"/>
    <w:rsid w:val="00AC7B86"/>
    <w:rsid w:val="00AC7BCB"/>
    <w:rsid w:val="00AC7DDB"/>
    <w:rsid w:val="00AC7E16"/>
    <w:rsid w:val="00AC7F3C"/>
    <w:rsid w:val="00AC7F44"/>
    <w:rsid w:val="00AC7F6A"/>
    <w:rsid w:val="00AD004B"/>
    <w:rsid w:val="00AD004E"/>
    <w:rsid w:val="00AD0064"/>
    <w:rsid w:val="00AD0130"/>
    <w:rsid w:val="00AD013C"/>
    <w:rsid w:val="00AD018E"/>
    <w:rsid w:val="00AD01B0"/>
    <w:rsid w:val="00AD0220"/>
    <w:rsid w:val="00AD032A"/>
    <w:rsid w:val="00AD03A5"/>
    <w:rsid w:val="00AD03B4"/>
    <w:rsid w:val="00AD03B9"/>
    <w:rsid w:val="00AD03E0"/>
    <w:rsid w:val="00AD0407"/>
    <w:rsid w:val="00AD046C"/>
    <w:rsid w:val="00AD046D"/>
    <w:rsid w:val="00AD0471"/>
    <w:rsid w:val="00AD048D"/>
    <w:rsid w:val="00AD04A9"/>
    <w:rsid w:val="00AD04D4"/>
    <w:rsid w:val="00AD0527"/>
    <w:rsid w:val="00AD0533"/>
    <w:rsid w:val="00AD0534"/>
    <w:rsid w:val="00AD0630"/>
    <w:rsid w:val="00AD064D"/>
    <w:rsid w:val="00AD0697"/>
    <w:rsid w:val="00AD06C3"/>
    <w:rsid w:val="00AD06E9"/>
    <w:rsid w:val="00AD06F5"/>
    <w:rsid w:val="00AD07A3"/>
    <w:rsid w:val="00AD0859"/>
    <w:rsid w:val="00AD085B"/>
    <w:rsid w:val="00AD0877"/>
    <w:rsid w:val="00AD08BD"/>
    <w:rsid w:val="00AD08D5"/>
    <w:rsid w:val="00AD08D9"/>
    <w:rsid w:val="00AD08DE"/>
    <w:rsid w:val="00AD0A31"/>
    <w:rsid w:val="00AD0A38"/>
    <w:rsid w:val="00AD0A3B"/>
    <w:rsid w:val="00AD0A41"/>
    <w:rsid w:val="00AD0B1E"/>
    <w:rsid w:val="00AD0B20"/>
    <w:rsid w:val="00AD0B32"/>
    <w:rsid w:val="00AD0B8A"/>
    <w:rsid w:val="00AD0B91"/>
    <w:rsid w:val="00AD0B9F"/>
    <w:rsid w:val="00AD0BA0"/>
    <w:rsid w:val="00AD0CFE"/>
    <w:rsid w:val="00AD0D3D"/>
    <w:rsid w:val="00AD0D57"/>
    <w:rsid w:val="00AD0EB9"/>
    <w:rsid w:val="00AD0EBC"/>
    <w:rsid w:val="00AD0EE1"/>
    <w:rsid w:val="00AD0EF8"/>
    <w:rsid w:val="00AD0F00"/>
    <w:rsid w:val="00AD0F02"/>
    <w:rsid w:val="00AD1021"/>
    <w:rsid w:val="00AD1030"/>
    <w:rsid w:val="00AD1047"/>
    <w:rsid w:val="00AD1097"/>
    <w:rsid w:val="00AD111E"/>
    <w:rsid w:val="00AD11C2"/>
    <w:rsid w:val="00AD122E"/>
    <w:rsid w:val="00AD127A"/>
    <w:rsid w:val="00AD12DE"/>
    <w:rsid w:val="00AD12E8"/>
    <w:rsid w:val="00AD1321"/>
    <w:rsid w:val="00AD13C8"/>
    <w:rsid w:val="00AD13DF"/>
    <w:rsid w:val="00AD13F0"/>
    <w:rsid w:val="00AD14A1"/>
    <w:rsid w:val="00AD14C0"/>
    <w:rsid w:val="00AD14DA"/>
    <w:rsid w:val="00AD1536"/>
    <w:rsid w:val="00AD15C0"/>
    <w:rsid w:val="00AD15C4"/>
    <w:rsid w:val="00AD1641"/>
    <w:rsid w:val="00AD167E"/>
    <w:rsid w:val="00AD16A0"/>
    <w:rsid w:val="00AD16C7"/>
    <w:rsid w:val="00AD16D3"/>
    <w:rsid w:val="00AD17A9"/>
    <w:rsid w:val="00AD182E"/>
    <w:rsid w:val="00AD185F"/>
    <w:rsid w:val="00AD18AB"/>
    <w:rsid w:val="00AD195A"/>
    <w:rsid w:val="00AD19BF"/>
    <w:rsid w:val="00AD1A43"/>
    <w:rsid w:val="00AD1A55"/>
    <w:rsid w:val="00AD1A6C"/>
    <w:rsid w:val="00AD1AC4"/>
    <w:rsid w:val="00AD1B2C"/>
    <w:rsid w:val="00AD1B4C"/>
    <w:rsid w:val="00AD1BAD"/>
    <w:rsid w:val="00AD1CDA"/>
    <w:rsid w:val="00AD1DAE"/>
    <w:rsid w:val="00AD1EA6"/>
    <w:rsid w:val="00AD1EE9"/>
    <w:rsid w:val="00AD1EF2"/>
    <w:rsid w:val="00AD1F6D"/>
    <w:rsid w:val="00AD2087"/>
    <w:rsid w:val="00AD20A8"/>
    <w:rsid w:val="00AD20B0"/>
    <w:rsid w:val="00AD20C9"/>
    <w:rsid w:val="00AD2166"/>
    <w:rsid w:val="00AD2181"/>
    <w:rsid w:val="00AD218A"/>
    <w:rsid w:val="00AD2236"/>
    <w:rsid w:val="00AD2252"/>
    <w:rsid w:val="00AD2288"/>
    <w:rsid w:val="00AD22D7"/>
    <w:rsid w:val="00AD2332"/>
    <w:rsid w:val="00AD237A"/>
    <w:rsid w:val="00AD23F2"/>
    <w:rsid w:val="00AD2430"/>
    <w:rsid w:val="00AD2433"/>
    <w:rsid w:val="00AD2457"/>
    <w:rsid w:val="00AD24E9"/>
    <w:rsid w:val="00AD254F"/>
    <w:rsid w:val="00AD25B0"/>
    <w:rsid w:val="00AD25F9"/>
    <w:rsid w:val="00AD260D"/>
    <w:rsid w:val="00AD2635"/>
    <w:rsid w:val="00AD2646"/>
    <w:rsid w:val="00AD26C1"/>
    <w:rsid w:val="00AD26D9"/>
    <w:rsid w:val="00AD273D"/>
    <w:rsid w:val="00AD2764"/>
    <w:rsid w:val="00AD2769"/>
    <w:rsid w:val="00AD2787"/>
    <w:rsid w:val="00AD2800"/>
    <w:rsid w:val="00AD2866"/>
    <w:rsid w:val="00AD2884"/>
    <w:rsid w:val="00AD28E4"/>
    <w:rsid w:val="00AD28F8"/>
    <w:rsid w:val="00AD293B"/>
    <w:rsid w:val="00AD2953"/>
    <w:rsid w:val="00AD29D6"/>
    <w:rsid w:val="00AD2A5B"/>
    <w:rsid w:val="00AD2A6B"/>
    <w:rsid w:val="00AD2ACB"/>
    <w:rsid w:val="00AD2B0C"/>
    <w:rsid w:val="00AD2B4C"/>
    <w:rsid w:val="00AD2B6D"/>
    <w:rsid w:val="00AD2B85"/>
    <w:rsid w:val="00AD2B8E"/>
    <w:rsid w:val="00AD2BF0"/>
    <w:rsid w:val="00AD2C65"/>
    <w:rsid w:val="00AD2CB2"/>
    <w:rsid w:val="00AD2CD1"/>
    <w:rsid w:val="00AD2CDD"/>
    <w:rsid w:val="00AD2CE8"/>
    <w:rsid w:val="00AD2DDF"/>
    <w:rsid w:val="00AD2E1B"/>
    <w:rsid w:val="00AD2E52"/>
    <w:rsid w:val="00AD2E57"/>
    <w:rsid w:val="00AD2EB0"/>
    <w:rsid w:val="00AD2F26"/>
    <w:rsid w:val="00AD2F7E"/>
    <w:rsid w:val="00AD2FF4"/>
    <w:rsid w:val="00AD301E"/>
    <w:rsid w:val="00AD3029"/>
    <w:rsid w:val="00AD3038"/>
    <w:rsid w:val="00AD303E"/>
    <w:rsid w:val="00AD3074"/>
    <w:rsid w:val="00AD311B"/>
    <w:rsid w:val="00AD3135"/>
    <w:rsid w:val="00AD313B"/>
    <w:rsid w:val="00AD31B8"/>
    <w:rsid w:val="00AD32EE"/>
    <w:rsid w:val="00AD3326"/>
    <w:rsid w:val="00AD335B"/>
    <w:rsid w:val="00AD3387"/>
    <w:rsid w:val="00AD33E1"/>
    <w:rsid w:val="00AD34D2"/>
    <w:rsid w:val="00AD3658"/>
    <w:rsid w:val="00AD36C3"/>
    <w:rsid w:val="00AD36D2"/>
    <w:rsid w:val="00AD372E"/>
    <w:rsid w:val="00AD3746"/>
    <w:rsid w:val="00AD374D"/>
    <w:rsid w:val="00AD3785"/>
    <w:rsid w:val="00AD37B1"/>
    <w:rsid w:val="00AD38A2"/>
    <w:rsid w:val="00AD38C5"/>
    <w:rsid w:val="00AD38CD"/>
    <w:rsid w:val="00AD38E2"/>
    <w:rsid w:val="00AD391A"/>
    <w:rsid w:val="00AD3957"/>
    <w:rsid w:val="00AD3966"/>
    <w:rsid w:val="00AD39A7"/>
    <w:rsid w:val="00AD39BA"/>
    <w:rsid w:val="00AD39C9"/>
    <w:rsid w:val="00AD3A5F"/>
    <w:rsid w:val="00AD3B67"/>
    <w:rsid w:val="00AD3C48"/>
    <w:rsid w:val="00AD3CCF"/>
    <w:rsid w:val="00AD3D0C"/>
    <w:rsid w:val="00AD3D36"/>
    <w:rsid w:val="00AD3D47"/>
    <w:rsid w:val="00AD3D4B"/>
    <w:rsid w:val="00AD3D50"/>
    <w:rsid w:val="00AD3D5E"/>
    <w:rsid w:val="00AD3D5F"/>
    <w:rsid w:val="00AD3DA4"/>
    <w:rsid w:val="00AD3E37"/>
    <w:rsid w:val="00AD3ED5"/>
    <w:rsid w:val="00AD3F1D"/>
    <w:rsid w:val="00AD3F43"/>
    <w:rsid w:val="00AD3F44"/>
    <w:rsid w:val="00AD3F76"/>
    <w:rsid w:val="00AD3F79"/>
    <w:rsid w:val="00AD3FB0"/>
    <w:rsid w:val="00AD409F"/>
    <w:rsid w:val="00AD4103"/>
    <w:rsid w:val="00AD4139"/>
    <w:rsid w:val="00AD4148"/>
    <w:rsid w:val="00AD4158"/>
    <w:rsid w:val="00AD4173"/>
    <w:rsid w:val="00AD41A3"/>
    <w:rsid w:val="00AD41DA"/>
    <w:rsid w:val="00AD41E4"/>
    <w:rsid w:val="00AD421C"/>
    <w:rsid w:val="00AD424B"/>
    <w:rsid w:val="00AD4287"/>
    <w:rsid w:val="00AD42D6"/>
    <w:rsid w:val="00AD4357"/>
    <w:rsid w:val="00AD4471"/>
    <w:rsid w:val="00AD448A"/>
    <w:rsid w:val="00AD449E"/>
    <w:rsid w:val="00AD44BB"/>
    <w:rsid w:val="00AD44E8"/>
    <w:rsid w:val="00AD45C2"/>
    <w:rsid w:val="00AD45C9"/>
    <w:rsid w:val="00AD4652"/>
    <w:rsid w:val="00AD469F"/>
    <w:rsid w:val="00AD4724"/>
    <w:rsid w:val="00AD4754"/>
    <w:rsid w:val="00AD4757"/>
    <w:rsid w:val="00AD47A8"/>
    <w:rsid w:val="00AD47D7"/>
    <w:rsid w:val="00AD47EF"/>
    <w:rsid w:val="00AD4848"/>
    <w:rsid w:val="00AD4856"/>
    <w:rsid w:val="00AD489C"/>
    <w:rsid w:val="00AD48BB"/>
    <w:rsid w:val="00AD4924"/>
    <w:rsid w:val="00AD49D1"/>
    <w:rsid w:val="00AD49F2"/>
    <w:rsid w:val="00AD4A51"/>
    <w:rsid w:val="00AD4A78"/>
    <w:rsid w:val="00AD4A9D"/>
    <w:rsid w:val="00AD4B0E"/>
    <w:rsid w:val="00AD4B49"/>
    <w:rsid w:val="00AD4B8F"/>
    <w:rsid w:val="00AD4B92"/>
    <w:rsid w:val="00AD4CAA"/>
    <w:rsid w:val="00AD4D10"/>
    <w:rsid w:val="00AD4D1D"/>
    <w:rsid w:val="00AD4D2B"/>
    <w:rsid w:val="00AD4DD6"/>
    <w:rsid w:val="00AD4DDB"/>
    <w:rsid w:val="00AD4E6C"/>
    <w:rsid w:val="00AD4E80"/>
    <w:rsid w:val="00AD4EAE"/>
    <w:rsid w:val="00AD4EB9"/>
    <w:rsid w:val="00AD4F8A"/>
    <w:rsid w:val="00AD4FD1"/>
    <w:rsid w:val="00AD5092"/>
    <w:rsid w:val="00AD51A3"/>
    <w:rsid w:val="00AD523C"/>
    <w:rsid w:val="00AD526F"/>
    <w:rsid w:val="00AD5290"/>
    <w:rsid w:val="00AD52AE"/>
    <w:rsid w:val="00AD52C0"/>
    <w:rsid w:val="00AD531E"/>
    <w:rsid w:val="00AD53D9"/>
    <w:rsid w:val="00AD5458"/>
    <w:rsid w:val="00AD54CB"/>
    <w:rsid w:val="00AD54D8"/>
    <w:rsid w:val="00AD552B"/>
    <w:rsid w:val="00AD5653"/>
    <w:rsid w:val="00AD5686"/>
    <w:rsid w:val="00AD568B"/>
    <w:rsid w:val="00AD5752"/>
    <w:rsid w:val="00AD576F"/>
    <w:rsid w:val="00AD5798"/>
    <w:rsid w:val="00AD57C6"/>
    <w:rsid w:val="00AD582F"/>
    <w:rsid w:val="00AD5862"/>
    <w:rsid w:val="00AD5972"/>
    <w:rsid w:val="00AD5A4B"/>
    <w:rsid w:val="00AD5A5F"/>
    <w:rsid w:val="00AD5A82"/>
    <w:rsid w:val="00AD5AFE"/>
    <w:rsid w:val="00AD5B1A"/>
    <w:rsid w:val="00AD5B39"/>
    <w:rsid w:val="00AD5C31"/>
    <w:rsid w:val="00AD5C39"/>
    <w:rsid w:val="00AD5C43"/>
    <w:rsid w:val="00AD5C48"/>
    <w:rsid w:val="00AD5C66"/>
    <w:rsid w:val="00AD5D09"/>
    <w:rsid w:val="00AD5D6C"/>
    <w:rsid w:val="00AD5DBD"/>
    <w:rsid w:val="00AD5DBF"/>
    <w:rsid w:val="00AD5E30"/>
    <w:rsid w:val="00AD5F00"/>
    <w:rsid w:val="00AD5F03"/>
    <w:rsid w:val="00AD5F18"/>
    <w:rsid w:val="00AD5F31"/>
    <w:rsid w:val="00AD5F35"/>
    <w:rsid w:val="00AD5F59"/>
    <w:rsid w:val="00AD5F8C"/>
    <w:rsid w:val="00AD5FC5"/>
    <w:rsid w:val="00AD5FCF"/>
    <w:rsid w:val="00AD5FE7"/>
    <w:rsid w:val="00AD5FEA"/>
    <w:rsid w:val="00AD610C"/>
    <w:rsid w:val="00AD610D"/>
    <w:rsid w:val="00AD61A1"/>
    <w:rsid w:val="00AD61A3"/>
    <w:rsid w:val="00AD61E4"/>
    <w:rsid w:val="00AD6250"/>
    <w:rsid w:val="00AD6276"/>
    <w:rsid w:val="00AD6379"/>
    <w:rsid w:val="00AD64B6"/>
    <w:rsid w:val="00AD6536"/>
    <w:rsid w:val="00AD653D"/>
    <w:rsid w:val="00AD6560"/>
    <w:rsid w:val="00AD6620"/>
    <w:rsid w:val="00AD6647"/>
    <w:rsid w:val="00AD6674"/>
    <w:rsid w:val="00AD6698"/>
    <w:rsid w:val="00AD669D"/>
    <w:rsid w:val="00AD66E1"/>
    <w:rsid w:val="00AD6776"/>
    <w:rsid w:val="00AD6790"/>
    <w:rsid w:val="00AD67BC"/>
    <w:rsid w:val="00AD6860"/>
    <w:rsid w:val="00AD68C9"/>
    <w:rsid w:val="00AD68D3"/>
    <w:rsid w:val="00AD68E2"/>
    <w:rsid w:val="00AD6949"/>
    <w:rsid w:val="00AD697D"/>
    <w:rsid w:val="00AD69E5"/>
    <w:rsid w:val="00AD6ACD"/>
    <w:rsid w:val="00AD6AE1"/>
    <w:rsid w:val="00AD6AE6"/>
    <w:rsid w:val="00AD6B00"/>
    <w:rsid w:val="00AD6B15"/>
    <w:rsid w:val="00AD6B2F"/>
    <w:rsid w:val="00AD6B66"/>
    <w:rsid w:val="00AD6B8C"/>
    <w:rsid w:val="00AD6BB6"/>
    <w:rsid w:val="00AD6C1F"/>
    <w:rsid w:val="00AD6D72"/>
    <w:rsid w:val="00AD6DC0"/>
    <w:rsid w:val="00AD6DFE"/>
    <w:rsid w:val="00AD6E0D"/>
    <w:rsid w:val="00AD6ECB"/>
    <w:rsid w:val="00AD6F65"/>
    <w:rsid w:val="00AD6FCF"/>
    <w:rsid w:val="00AD6FDA"/>
    <w:rsid w:val="00AD702B"/>
    <w:rsid w:val="00AD702C"/>
    <w:rsid w:val="00AD70A1"/>
    <w:rsid w:val="00AD7144"/>
    <w:rsid w:val="00AD71B3"/>
    <w:rsid w:val="00AD71DE"/>
    <w:rsid w:val="00AD7203"/>
    <w:rsid w:val="00AD723E"/>
    <w:rsid w:val="00AD7243"/>
    <w:rsid w:val="00AD72DE"/>
    <w:rsid w:val="00AD7331"/>
    <w:rsid w:val="00AD7356"/>
    <w:rsid w:val="00AD73CC"/>
    <w:rsid w:val="00AD7489"/>
    <w:rsid w:val="00AD74FE"/>
    <w:rsid w:val="00AD7545"/>
    <w:rsid w:val="00AD75DB"/>
    <w:rsid w:val="00AD75F4"/>
    <w:rsid w:val="00AD76A2"/>
    <w:rsid w:val="00AD770F"/>
    <w:rsid w:val="00AD7745"/>
    <w:rsid w:val="00AD77D7"/>
    <w:rsid w:val="00AD791F"/>
    <w:rsid w:val="00AD7979"/>
    <w:rsid w:val="00AD7AA2"/>
    <w:rsid w:val="00AD7B19"/>
    <w:rsid w:val="00AD7B29"/>
    <w:rsid w:val="00AD7B78"/>
    <w:rsid w:val="00AD7C8C"/>
    <w:rsid w:val="00AD7CAF"/>
    <w:rsid w:val="00AD7D7A"/>
    <w:rsid w:val="00AD7DB6"/>
    <w:rsid w:val="00AD7DE9"/>
    <w:rsid w:val="00AD7E50"/>
    <w:rsid w:val="00AD7E6E"/>
    <w:rsid w:val="00AD7F00"/>
    <w:rsid w:val="00AD7F01"/>
    <w:rsid w:val="00AD7FA5"/>
    <w:rsid w:val="00AD7FB5"/>
    <w:rsid w:val="00AE00A3"/>
    <w:rsid w:val="00AE00BC"/>
    <w:rsid w:val="00AE00CF"/>
    <w:rsid w:val="00AE00D6"/>
    <w:rsid w:val="00AE011C"/>
    <w:rsid w:val="00AE0233"/>
    <w:rsid w:val="00AE0238"/>
    <w:rsid w:val="00AE026C"/>
    <w:rsid w:val="00AE028E"/>
    <w:rsid w:val="00AE046D"/>
    <w:rsid w:val="00AE0486"/>
    <w:rsid w:val="00AE048F"/>
    <w:rsid w:val="00AE04AC"/>
    <w:rsid w:val="00AE04AE"/>
    <w:rsid w:val="00AE04BC"/>
    <w:rsid w:val="00AE0553"/>
    <w:rsid w:val="00AE05BD"/>
    <w:rsid w:val="00AE05E7"/>
    <w:rsid w:val="00AE05F9"/>
    <w:rsid w:val="00AE060F"/>
    <w:rsid w:val="00AE0658"/>
    <w:rsid w:val="00AE0677"/>
    <w:rsid w:val="00AE06AB"/>
    <w:rsid w:val="00AE0760"/>
    <w:rsid w:val="00AE07B3"/>
    <w:rsid w:val="00AE0815"/>
    <w:rsid w:val="00AE09FB"/>
    <w:rsid w:val="00AE0A94"/>
    <w:rsid w:val="00AE0AA3"/>
    <w:rsid w:val="00AE0B01"/>
    <w:rsid w:val="00AE0B62"/>
    <w:rsid w:val="00AE0BD5"/>
    <w:rsid w:val="00AE0C30"/>
    <w:rsid w:val="00AE0D07"/>
    <w:rsid w:val="00AE0D28"/>
    <w:rsid w:val="00AE0D44"/>
    <w:rsid w:val="00AE0E57"/>
    <w:rsid w:val="00AE0EF0"/>
    <w:rsid w:val="00AE0EF1"/>
    <w:rsid w:val="00AE0F0C"/>
    <w:rsid w:val="00AE0F3E"/>
    <w:rsid w:val="00AE0FBF"/>
    <w:rsid w:val="00AE0FDF"/>
    <w:rsid w:val="00AE0FF0"/>
    <w:rsid w:val="00AE102A"/>
    <w:rsid w:val="00AE1069"/>
    <w:rsid w:val="00AE1072"/>
    <w:rsid w:val="00AE10EC"/>
    <w:rsid w:val="00AE1165"/>
    <w:rsid w:val="00AE117B"/>
    <w:rsid w:val="00AE1184"/>
    <w:rsid w:val="00AE120E"/>
    <w:rsid w:val="00AE1239"/>
    <w:rsid w:val="00AE135F"/>
    <w:rsid w:val="00AE13A1"/>
    <w:rsid w:val="00AE141A"/>
    <w:rsid w:val="00AE14A6"/>
    <w:rsid w:val="00AE1512"/>
    <w:rsid w:val="00AE1566"/>
    <w:rsid w:val="00AE1597"/>
    <w:rsid w:val="00AE15B1"/>
    <w:rsid w:val="00AE1623"/>
    <w:rsid w:val="00AE1697"/>
    <w:rsid w:val="00AE16BC"/>
    <w:rsid w:val="00AE1792"/>
    <w:rsid w:val="00AE1794"/>
    <w:rsid w:val="00AE17A3"/>
    <w:rsid w:val="00AE17E2"/>
    <w:rsid w:val="00AE17F0"/>
    <w:rsid w:val="00AE1812"/>
    <w:rsid w:val="00AE182A"/>
    <w:rsid w:val="00AE186C"/>
    <w:rsid w:val="00AE188E"/>
    <w:rsid w:val="00AE18C7"/>
    <w:rsid w:val="00AE18DA"/>
    <w:rsid w:val="00AE192E"/>
    <w:rsid w:val="00AE194E"/>
    <w:rsid w:val="00AE199B"/>
    <w:rsid w:val="00AE19AD"/>
    <w:rsid w:val="00AE19B1"/>
    <w:rsid w:val="00AE1B94"/>
    <w:rsid w:val="00AE1BDF"/>
    <w:rsid w:val="00AE1BEB"/>
    <w:rsid w:val="00AE1C36"/>
    <w:rsid w:val="00AE1C4F"/>
    <w:rsid w:val="00AE1C76"/>
    <w:rsid w:val="00AE1C78"/>
    <w:rsid w:val="00AE1CD5"/>
    <w:rsid w:val="00AE1CDD"/>
    <w:rsid w:val="00AE1D08"/>
    <w:rsid w:val="00AE1DA2"/>
    <w:rsid w:val="00AE1E76"/>
    <w:rsid w:val="00AE1EE9"/>
    <w:rsid w:val="00AE1F17"/>
    <w:rsid w:val="00AE1F4D"/>
    <w:rsid w:val="00AE1F9F"/>
    <w:rsid w:val="00AE2047"/>
    <w:rsid w:val="00AE20CC"/>
    <w:rsid w:val="00AE211A"/>
    <w:rsid w:val="00AE2125"/>
    <w:rsid w:val="00AE21E5"/>
    <w:rsid w:val="00AE2204"/>
    <w:rsid w:val="00AE2217"/>
    <w:rsid w:val="00AE2250"/>
    <w:rsid w:val="00AE2337"/>
    <w:rsid w:val="00AE233B"/>
    <w:rsid w:val="00AE23D3"/>
    <w:rsid w:val="00AE23EB"/>
    <w:rsid w:val="00AE23EC"/>
    <w:rsid w:val="00AE2423"/>
    <w:rsid w:val="00AE244E"/>
    <w:rsid w:val="00AE2461"/>
    <w:rsid w:val="00AE24D0"/>
    <w:rsid w:val="00AE24DF"/>
    <w:rsid w:val="00AE2501"/>
    <w:rsid w:val="00AE2528"/>
    <w:rsid w:val="00AE2570"/>
    <w:rsid w:val="00AE2597"/>
    <w:rsid w:val="00AE2599"/>
    <w:rsid w:val="00AE25B4"/>
    <w:rsid w:val="00AE25CD"/>
    <w:rsid w:val="00AE25FC"/>
    <w:rsid w:val="00AE287C"/>
    <w:rsid w:val="00AE296E"/>
    <w:rsid w:val="00AE2972"/>
    <w:rsid w:val="00AE299B"/>
    <w:rsid w:val="00AE2ABF"/>
    <w:rsid w:val="00AE2BAE"/>
    <w:rsid w:val="00AE2BBC"/>
    <w:rsid w:val="00AE2BC5"/>
    <w:rsid w:val="00AE2C1A"/>
    <w:rsid w:val="00AE2C57"/>
    <w:rsid w:val="00AE2D42"/>
    <w:rsid w:val="00AE2E94"/>
    <w:rsid w:val="00AE2ED8"/>
    <w:rsid w:val="00AE2F32"/>
    <w:rsid w:val="00AE2F36"/>
    <w:rsid w:val="00AE2F5C"/>
    <w:rsid w:val="00AE2F90"/>
    <w:rsid w:val="00AE2FDD"/>
    <w:rsid w:val="00AE30A9"/>
    <w:rsid w:val="00AE31F1"/>
    <w:rsid w:val="00AE327F"/>
    <w:rsid w:val="00AE3300"/>
    <w:rsid w:val="00AE33A8"/>
    <w:rsid w:val="00AE34A2"/>
    <w:rsid w:val="00AE3717"/>
    <w:rsid w:val="00AE375E"/>
    <w:rsid w:val="00AE37DF"/>
    <w:rsid w:val="00AE37FC"/>
    <w:rsid w:val="00AE3813"/>
    <w:rsid w:val="00AE3866"/>
    <w:rsid w:val="00AE3869"/>
    <w:rsid w:val="00AE388D"/>
    <w:rsid w:val="00AE389F"/>
    <w:rsid w:val="00AE38DC"/>
    <w:rsid w:val="00AE3957"/>
    <w:rsid w:val="00AE39D2"/>
    <w:rsid w:val="00AE3A1D"/>
    <w:rsid w:val="00AE3A55"/>
    <w:rsid w:val="00AE3A94"/>
    <w:rsid w:val="00AE3ACB"/>
    <w:rsid w:val="00AE3BCE"/>
    <w:rsid w:val="00AE3C4A"/>
    <w:rsid w:val="00AE3CC3"/>
    <w:rsid w:val="00AE3D4F"/>
    <w:rsid w:val="00AE3D9A"/>
    <w:rsid w:val="00AE3DD5"/>
    <w:rsid w:val="00AE3E33"/>
    <w:rsid w:val="00AE4028"/>
    <w:rsid w:val="00AE4037"/>
    <w:rsid w:val="00AE409B"/>
    <w:rsid w:val="00AE40E8"/>
    <w:rsid w:val="00AE4151"/>
    <w:rsid w:val="00AE416F"/>
    <w:rsid w:val="00AE4223"/>
    <w:rsid w:val="00AE4276"/>
    <w:rsid w:val="00AE42CD"/>
    <w:rsid w:val="00AE4328"/>
    <w:rsid w:val="00AE4359"/>
    <w:rsid w:val="00AE43D1"/>
    <w:rsid w:val="00AE43DE"/>
    <w:rsid w:val="00AE43F4"/>
    <w:rsid w:val="00AE4470"/>
    <w:rsid w:val="00AE44FA"/>
    <w:rsid w:val="00AE450B"/>
    <w:rsid w:val="00AE457B"/>
    <w:rsid w:val="00AE4589"/>
    <w:rsid w:val="00AE45A0"/>
    <w:rsid w:val="00AE45AE"/>
    <w:rsid w:val="00AE45BD"/>
    <w:rsid w:val="00AE45CD"/>
    <w:rsid w:val="00AE4656"/>
    <w:rsid w:val="00AE46A7"/>
    <w:rsid w:val="00AE46DA"/>
    <w:rsid w:val="00AE4700"/>
    <w:rsid w:val="00AE4740"/>
    <w:rsid w:val="00AE4753"/>
    <w:rsid w:val="00AE475F"/>
    <w:rsid w:val="00AE47F2"/>
    <w:rsid w:val="00AE4895"/>
    <w:rsid w:val="00AE48C1"/>
    <w:rsid w:val="00AE48CD"/>
    <w:rsid w:val="00AE4931"/>
    <w:rsid w:val="00AE4955"/>
    <w:rsid w:val="00AE495B"/>
    <w:rsid w:val="00AE49D3"/>
    <w:rsid w:val="00AE4A56"/>
    <w:rsid w:val="00AE4AB3"/>
    <w:rsid w:val="00AE4AB6"/>
    <w:rsid w:val="00AE4ABF"/>
    <w:rsid w:val="00AE4B0C"/>
    <w:rsid w:val="00AE4B11"/>
    <w:rsid w:val="00AE4C16"/>
    <w:rsid w:val="00AE4C30"/>
    <w:rsid w:val="00AE4C42"/>
    <w:rsid w:val="00AE4D08"/>
    <w:rsid w:val="00AE4D71"/>
    <w:rsid w:val="00AE4DA7"/>
    <w:rsid w:val="00AE4DD9"/>
    <w:rsid w:val="00AE4DE3"/>
    <w:rsid w:val="00AE4DE4"/>
    <w:rsid w:val="00AE4EFB"/>
    <w:rsid w:val="00AE4F17"/>
    <w:rsid w:val="00AE5040"/>
    <w:rsid w:val="00AE50E9"/>
    <w:rsid w:val="00AE518D"/>
    <w:rsid w:val="00AE51F2"/>
    <w:rsid w:val="00AE5427"/>
    <w:rsid w:val="00AE5475"/>
    <w:rsid w:val="00AE547D"/>
    <w:rsid w:val="00AE547E"/>
    <w:rsid w:val="00AE54B5"/>
    <w:rsid w:val="00AE5552"/>
    <w:rsid w:val="00AE5567"/>
    <w:rsid w:val="00AE5676"/>
    <w:rsid w:val="00AE5723"/>
    <w:rsid w:val="00AE5725"/>
    <w:rsid w:val="00AE579A"/>
    <w:rsid w:val="00AE57F7"/>
    <w:rsid w:val="00AE58D9"/>
    <w:rsid w:val="00AE5973"/>
    <w:rsid w:val="00AE597A"/>
    <w:rsid w:val="00AE59BA"/>
    <w:rsid w:val="00AE5A68"/>
    <w:rsid w:val="00AE5AAE"/>
    <w:rsid w:val="00AE5AE9"/>
    <w:rsid w:val="00AE5B82"/>
    <w:rsid w:val="00AE5C71"/>
    <w:rsid w:val="00AE5CB6"/>
    <w:rsid w:val="00AE5CBD"/>
    <w:rsid w:val="00AE5CE9"/>
    <w:rsid w:val="00AE5D36"/>
    <w:rsid w:val="00AE5D78"/>
    <w:rsid w:val="00AE5DC0"/>
    <w:rsid w:val="00AE5DDB"/>
    <w:rsid w:val="00AE5DEF"/>
    <w:rsid w:val="00AE5E47"/>
    <w:rsid w:val="00AE5E80"/>
    <w:rsid w:val="00AE5EBB"/>
    <w:rsid w:val="00AE5F8D"/>
    <w:rsid w:val="00AE5F94"/>
    <w:rsid w:val="00AE6079"/>
    <w:rsid w:val="00AE60BB"/>
    <w:rsid w:val="00AE6148"/>
    <w:rsid w:val="00AE61CE"/>
    <w:rsid w:val="00AE6258"/>
    <w:rsid w:val="00AE62B2"/>
    <w:rsid w:val="00AE62EC"/>
    <w:rsid w:val="00AE634D"/>
    <w:rsid w:val="00AE6358"/>
    <w:rsid w:val="00AE63EF"/>
    <w:rsid w:val="00AE6408"/>
    <w:rsid w:val="00AE644B"/>
    <w:rsid w:val="00AE6451"/>
    <w:rsid w:val="00AE646D"/>
    <w:rsid w:val="00AE6543"/>
    <w:rsid w:val="00AE6570"/>
    <w:rsid w:val="00AE659D"/>
    <w:rsid w:val="00AE65A5"/>
    <w:rsid w:val="00AE65AF"/>
    <w:rsid w:val="00AE660F"/>
    <w:rsid w:val="00AE6667"/>
    <w:rsid w:val="00AE6768"/>
    <w:rsid w:val="00AE677A"/>
    <w:rsid w:val="00AE678E"/>
    <w:rsid w:val="00AE6818"/>
    <w:rsid w:val="00AE6852"/>
    <w:rsid w:val="00AE68D4"/>
    <w:rsid w:val="00AE6916"/>
    <w:rsid w:val="00AE6926"/>
    <w:rsid w:val="00AE6995"/>
    <w:rsid w:val="00AE69BF"/>
    <w:rsid w:val="00AE6A70"/>
    <w:rsid w:val="00AE6A9F"/>
    <w:rsid w:val="00AE6B2C"/>
    <w:rsid w:val="00AE6B6A"/>
    <w:rsid w:val="00AE6C2F"/>
    <w:rsid w:val="00AE6CD9"/>
    <w:rsid w:val="00AE6D0D"/>
    <w:rsid w:val="00AE6D2F"/>
    <w:rsid w:val="00AE6D32"/>
    <w:rsid w:val="00AE6D5F"/>
    <w:rsid w:val="00AE6E01"/>
    <w:rsid w:val="00AE6E02"/>
    <w:rsid w:val="00AE6E0D"/>
    <w:rsid w:val="00AE6E0F"/>
    <w:rsid w:val="00AE6E80"/>
    <w:rsid w:val="00AE6E99"/>
    <w:rsid w:val="00AE6EB5"/>
    <w:rsid w:val="00AE6ED7"/>
    <w:rsid w:val="00AE6F75"/>
    <w:rsid w:val="00AE6FAD"/>
    <w:rsid w:val="00AE7005"/>
    <w:rsid w:val="00AE7025"/>
    <w:rsid w:val="00AE7051"/>
    <w:rsid w:val="00AE70B4"/>
    <w:rsid w:val="00AE7110"/>
    <w:rsid w:val="00AE711E"/>
    <w:rsid w:val="00AE7176"/>
    <w:rsid w:val="00AE7240"/>
    <w:rsid w:val="00AE72E6"/>
    <w:rsid w:val="00AE733D"/>
    <w:rsid w:val="00AE7371"/>
    <w:rsid w:val="00AE73BC"/>
    <w:rsid w:val="00AE7498"/>
    <w:rsid w:val="00AE74DD"/>
    <w:rsid w:val="00AE7574"/>
    <w:rsid w:val="00AE75B6"/>
    <w:rsid w:val="00AE7603"/>
    <w:rsid w:val="00AE7607"/>
    <w:rsid w:val="00AE7626"/>
    <w:rsid w:val="00AE768F"/>
    <w:rsid w:val="00AE76E2"/>
    <w:rsid w:val="00AE76E4"/>
    <w:rsid w:val="00AE777E"/>
    <w:rsid w:val="00AE77B6"/>
    <w:rsid w:val="00AE7846"/>
    <w:rsid w:val="00AE7892"/>
    <w:rsid w:val="00AE7907"/>
    <w:rsid w:val="00AE797F"/>
    <w:rsid w:val="00AE79A2"/>
    <w:rsid w:val="00AE79B6"/>
    <w:rsid w:val="00AE7A16"/>
    <w:rsid w:val="00AE7A70"/>
    <w:rsid w:val="00AE7AD3"/>
    <w:rsid w:val="00AE7B01"/>
    <w:rsid w:val="00AE7C82"/>
    <w:rsid w:val="00AE7C8C"/>
    <w:rsid w:val="00AE7CA6"/>
    <w:rsid w:val="00AE7CE2"/>
    <w:rsid w:val="00AE7CE9"/>
    <w:rsid w:val="00AE7CFF"/>
    <w:rsid w:val="00AE7E7E"/>
    <w:rsid w:val="00AE7F0C"/>
    <w:rsid w:val="00AE7F6C"/>
    <w:rsid w:val="00AE7F99"/>
    <w:rsid w:val="00AF0006"/>
    <w:rsid w:val="00AF0024"/>
    <w:rsid w:val="00AF0034"/>
    <w:rsid w:val="00AF007E"/>
    <w:rsid w:val="00AF00F4"/>
    <w:rsid w:val="00AF0151"/>
    <w:rsid w:val="00AF016B"/>
    <w:rsid w:val="00AF016F"/>
    <w:rsid w:val="00AF0214"/>
    <w:rsid w:val="00AF03E2"/>
    <w:rsid w:val="00AF0426"/>
    <w:rsid w:val="00AF059C"/>
    <w:rsid w:val="00AF05E2"/>
    <w:rsid w:val="00AF05FB"/>
    <w:rsid w:val="00AF062B"/>
    <w:rsid w:val="00AF0704"/>
    <w:rsid w:val="00AF0777"/>
    <w:rsid w:val="00AF078E"/>
    <w:rsid w:val="00AF07D8"/>
    <w:rsid w:val="00AF07F5"/>
    <w:rsid w:val="00AF086E"/>
    <w:rsid w:val="00AF08A1"/>
    <w:rsid w:val="00AF08D1"/>
    <w:rsid w:val="00AF0918"/>
    <w:rsid w:val="00AF092B"/>
    <w:rsid w:val="00AF0A4B"/>
    <w:rsid w:val="00AF0A82"/>
    <w:rsid w:val="00AF0B7E"/>
    <w:rsid w:val="00AF0B88"/>
    <w:rsid w:val="00AF0BB3"/>
    <w:rsid w:val="00AF0BD1"/>
    <w:rsid w:val="00AF0BD3"/>
    <w:rsid w:val="00AF0C04"/>
    <w:rsid w:val="00AF0CA0"/>
    <w:rsid w:val="00AF0D0E"/>
    <w:rsid w:val="00AF0D39"/>
    <w:rsid w:val="00AF0D5B"/>
    <w:rsid w:val="00AF0D66"/>
    <w:rsid w:val="00AF0E19"/>
    <w:rsid w:val="00AF0E4A"/>
    <w:rsid w:val="00AF0F0C"/>
    <w:rsid w:val="00AF0FAD"/>
    <w:rsid w:val="00AF101D"/>
    <w:rsid w:val="00AF1084"/>
    <w:rsid w:val="00AF10CA"/>
    <w:rsid w:val="00AF10D0"/>
    <w:rsid w:val="00AF10D7"/>
    <w:rsid w:val="00AF1193"/>
    <w:rsid w:val="00AF11D7"/>
    <w:rsid w:val="00AF11FE"/>
    <w:rsid w:val="00AF1288"/>
    <w:rsid w:val="00AF12CE"/>
    <w:rsid w:val="00AF140C"/>
    <w:rsid w:val="00AF1410"/>
    <w:rsid w:val="00AF1421"/>
    <w:rsid w:val="00AF146C"/>
    <w:rsid w:val="00AF14D9"/>
    <w:rsid w:val="00AF14FE"/>
    <w:rsid w:val="00AF1512"/>
    <w:rsid w:val="00AF15E3"/>
    <w:rsid w:val="00AF162A"/>
    <w:rsid w:val="00AF1645"/>
    <w:rsid w:val="00AF170F"/>
    <w:rsid w:val="00AF17AE"/>
    <w:rsid w:val="00AF17B1"/>
    <w:rsid w:val="00AF1804"/>
    <w:rsid w:val="00AF180C"/>
    <w:rsid w:val="00AF189B"/>
    <w:rsid w:val="00AF18AD"/>
    <w:rsid w:val="00AF1911"/>
    <w:rsid w:val="00AF1967"/>
    <w:rsid w:val="00AF19A0"/>
    <w:rsid w:val="00AF19D7"/>
    <w:rsid w:val="00AF19FC"/>
    <w:rsid w:val="00AF1A07"/>
    <w:rsid w:val="00AF1C84"/>
    <w:rsid w:val="00AF1C89"/>
    <w:rsid w:val="00AF1D0E"/>
    <w:rsid w:val="00AF1D10"/>
    <w:rsid w:val="00AF1D3D"/>
    <w:rsid w:val="00AF1DDB"/>
    <w:rsid w:val="00AF1EC4"/>
    <w:rsid w:val="00AF1EDE"/>
    <w:rsid w:val="00AF1EE7"/>
    <w:rsid w:val="00AF1F07"/>
    <w:rsid w:val="00AF1F36"/>
    <w:rsid w:val="00AF1F66"/>
    <w:rsid w:val="00AF1F96"/>
    <w:rsid w:val="00AF1F9A"/>
    <w:rsid w:val="00AF1FB1"/>
    <w:rsid w:val="00AF209B"/>
    <w:rsid w:val="00AF2115"/>
    <w:rsid w:val="00AF2155"/>
    <w:rsid w:val="00AF216C"/>
    <w:rsid w:val="00AF21C1"/>
    <w:rsid w:val="00AF2207"/>
    <w:rsid w:val="00AF2215"/>
    <w:rsid w:val="00AF2240"/>
    <w:rsid w:val="00AF2299"/>
    <w:rsid w:val="00AF22AD"/>
    <w:rsid w:val="00AF2314"/>
    <w:rsid w:val="00AF232E"/>
    <w:rsid w:val="00AF23FE"/>
    <w:rsid w:val="00AF243C"/>
    <w:rsid w:val="00AF2487"/>
    <w:rsid w:val="00AF255C"/>
    <w:rsid w:val="00AF25A5"/>
    <w:rsid w:val="00AF2607"/>
    <w:rsid w:val="00AF260D"/>
    <w:rsid w:val="00AF2674"/>
    <w:rsid w:val="00AF2725"/>
    <w:rsid w:val="00AF278A"/>
    <w:rsid w:val="00AF27D5"/>
    <w:rsid w:val="00AF27EA"/>
    <w:rsid w:val="00AF27F5"/>
    <w:rsid w:val="00AF27F8"/>
    <w:rsid w:val="00AF285A"/>
    <w:rsid w:val="00AF28C6"/>
    <w:rsid w:val="00AF28E7"/>
    <w:rsid w:val="00AF2925"/>
    <w:rsid w:val="00AF2935"/>
    <w:rsid w:val="00AF293F"/>
    <w:rsid w:val="00AF2981"/>
    <w:rsid w:val="00AF298E"/>
    <w:rsid w:val="00AF29A6"/>
    <w:rsid w:val="00AF2A90"/>
    <w:rsid w:val="00AF2B12"/>
    <w:rsid w:val="00AF2B1F"/>
    <w:rsid w:val="00AF2B37"/>
    <w:rsid w:val="00AF2B6E"/>
    <w:rsid w:val="00AF2B88"/>
    <w:rsid w:val="00AF2BBB"/>
    <w:rsid w:val="00AF2BFB"/>
    <w:rsid w:val="00AF2C03"/>
    <w:rsid w:val="00AF2C04"/>
    <w:rsid w:val="00AF2C9B"/>
    <w:rsid w:val="00AF2CA5"/>
    <w:rsid w:val="00AF2CC5"/>
    <w:rsid w:val="00AF2D7B"/>
    <w:rsid w:val="00AF2EF0"/>
    <w:rsid w:val="00AF2F5D"/>
    <w:rsid w:val="00AF2F7C"/>
    <w:rsid w:val="00AF2F9E"/>
    <w:rsid w:val="00AF2FC4"/>
    <w:rsid w:val="00AF3089"/>
    <w:rsid w:val="00AF3102"/>
    <w:rsid w:val="00AF3136"/>
    <w:rsid w:val="00AF3192"/>
    <w:rsid w:val="00AF31A3"/>
    <w:rsid w:val="00AF3256"/>
    <w:rsid w:val="00AF3275"/>
    <w:rsid w:val="00AF32D7"/>
    <w:rsid w:val="00AF3331"/>
    <w:rsid w:val="00AF3358"/>
    <w:rsid w:val="00AF335E"/>
    <w:rsid w:val="00AF3372"/>
    <w:rsid w:val="00AF33C5"/>
    <w:rsid w:val="00AF33E2"/>
    <w:rsid w:val="00AF3431"/>
    <w:rsid w:val="00AF34B3"/>
    <w:rsid w:val="00AF34CC"/>
    <w:rsid w:val="00AF34EB"/>
    <w:rsid w:val="00AF34F1"/>
    <w:rsid w:val="00AF3511"/>
    <w:rsid w:val="00AF356F"/>
    <w:rsid w:val="00AF3588"/>
    <w:rsid w:val="00AF358E"/>
    <w:rsid w:val="00AF35C9"/>
    <w:rsid w:val="00AF35ED"/>
    <w:rsid w:val="00AF368C"/>
    <w:rsid w:val="00AF3695"/>
    <w:rsid w:val="00AF3697"/>
    <w:rsid w:val="00AF3704"/>
    <w:rsid w:val="00AF370D"/>
    <w:rsid w:val="00AF371E"/>
    <w:rsid w:val="00AF372C"/>
    <w:rsid w:val="00AF3732"/>
    <w:rsid w:val="00AF375B"/>
    <w:rsid w:val="00AF3761"/>
    <w:rsid w:val="00AF3786"/>
    <w:rsid w:val="00AF37A2"/>
    <w:rsid w:val="00AF37BD"/>
    <w:rsid w:val="00AF37EB"/>
    <w:rsid w:val="00AF389C"/>
    <w:rsid w:val="00AF3957"/>
    <w:rsid w:val="00AF3A3C"/>
    <w:rsid w:val="00AF3A93"/>
    <w:rsid w:val="00AF3AF8"/>
    <w:rsid w:val="00AF3BEB"/>
    <w:rsid w:val="00AF3BEF"/>
    <w:rsid w:val="00AF3BF0"/>
    <w:rsid w:val="00AF3C52"/>
    <w:rsid w:val="00AF3C5A"/>
    <w:rsid w:val="00AF3C8D"/>
    <w:rsid w:val="00AF3CC5"/>
    <w:rsid w:val="00AF3D1F"/>
    <w:rsid w:val="00AF3DA7"/>
    <w:rsid w:val="00AF3E1A"/>
    <w:rsid w:val="00AF3EC8"/>
    <w:rsid w:val="00AF3EF0"/>
    <w:rsid w:val="00AF3EF4"/>
    <w:rsid w:val="00AF3EFA"/>
    <w:rsid w:val="00AF3F09"/>
    <w:rsid w:val="00AF4002"/>
    <w:rsid w:val="00AF4068"/>
    <w:rsid w:val="00AF40C5"/>
    <w:rsid w:val="00AF4120"/>
    <w:rsid w:val="00AF414B"/>
    <w:rsid w:val="00AF417F"/>
    <w:rsid w:val="00AF41AB"/>
    <w:rsid w:val="00AF420E"/>
    <w:rsid w:val="00AF425B"/>
    <w:rsid w:val="00AF4283"/>
    <w:rsid w:val="00AF42C1"/>
    <w:rsid w:val="00AF4379"/>
    <w:rsid w:val="00AF440C"/>
    <w:rsid w:val="00AF445E"/>
    <w:rsid w:val="00AF44D7"/>
    <w:rsid w:val="00AF44E2"/>
    <w:rsid w:val="00AF44ED"/>
    <w:rsid w:val="00AF44F3"/>
    <w:rsid w:val="00AF4529"/>
    <w:rsid w:val="00AF45D2"/>
    <w:rsid w:val="00AF4649"/>
    <w:rsid w:val="00AF4659"/>
    <w:rsid w:val="00AF4688"/>
    <w:rsid w:val="00AF46C2"/>
    <w:rsid w:val="00AF4766"/>
    <w:rsid w:val="00AF4774"/>
    <w:rsid w:val="00AF4775"/>
    <w:rsid w:val="00AF482D"/>
    <w:rsid w:val="00AF4902"/>
    <w:rsid w:val="00AF4911"/>
    <w:rsid w:val="00AF4AA0"/>
    <w:rsid w:val="00AF4AD9"/>
    <w:rsid w:val="00AF4B04"/>
    <w:rsid w:val="00AF4B1D"/>
    <w:rsid w:val="00AF4B91"/>
    <w:rsid w:val="00AF4BBC"/>
    <w:rsid w:val="00AF4C2F"/>
    <w:rsid w:val="00AF4C60"/>
    <w:rsid w:val="00AF4C9F"/>
    <w:rsid w:val="00AF4CB2"/>
    <w:rsid w:val="00AF4CB4"/>
    <w:rsid w:val="00AF4D08"/>
    <w:rsid w:val="00AF4D6D"/>
    <w:rsid w:val="00AF4DB4"/>
    <w:rsid w:val="00AF4DC7"/>
    <w:rsid w:val="00AF4E2A"/>
    <w:rsid w:val="00AF4E6D"/>
    <w:rsid w:val="00AF4E84"/>
    <w:rsid w:val="00AF4F04"/>
    <w:rsid w:val="00AF4F63"/>
    <w:rsid w:val="00AF4F72"/>
    <w:rsid w:val="00AF4F7A"/>
    <w:rsid w:val="00AF4F9B"/>
    <w:rsid w:val="00AF5069"/>
    <w:rsid w:val="00AF5097"/>
    <w:rsid w:val="00AF50C3"/>
    <w:rsid w:val="00AF50E5"/>
    <w:rsid w:val="00AF5195"/>
    <w:rsid w:val="00AF51A3"/>
    <w:rsid w:val="00AF51FB"/>
    <w:rsid w:val="00AF5296"/>
    <w:rsid w:val="00AF52B7"/>
    <w:rsid w:val="00AF5305"/>
    <w:rsid w:val="00AF5307"/>
    <w:rsid w:val="00AF5384"/>
    <w:rsid w:val="00AF53AB"/>
    <w:rsid w:val="00AF5433"/>
    <w:rsid w:val="00AF5471"/>
    <w:rsid w:val="00AF547D"/>
    <w:rsid w:val="00AF54CA"/>
    <w:rsid w:val="00AF54F9"/>
    <w:rsid w:val="00AF54FF"/>
    <w:rsid w:val="00AF551F"/>
    <w:rsid w:val="00AF555C"/>
    <w:rsid w:val="00AF55C2"/>
    <w:rsid w:val="00AF560C"/>
    <w:rsid w:val="00AF562D"/>
    <w:rsid w:val="00AF56C0"/>
    <w:rsid w:val="00AF56EA"/>
    <w:rsid w:val="00AF5785"/>
    <w:rsid w:val="00AF57C3"/>
    <w:rsid w:val="00AF5861"/>
    <w:rsid w:val="00AF5905"/>
    <w:rsid w:val="00AF59BF"/>
    <w:rsid w:val="00AF5A0F"/>
    <w:rsid w:val="00AF5AB2"/>
    <w:rsid w:val="00AF5AB3"/>
    <w:rsid w:val="00AF5AC1"/>
    <w:rsid w:val="00AF5B55"/>
    <w:rsid w:val="00AF5B65"/>
    <w:rsid w:val="00AF5BF3"/>
    <w:rsid w:val="00AF5BF9"/>
    <w:rsid w:val="00AF5C5E"/>
    <w:rsid w:val="00AF5C7E"/>
    <w:rsid w:val="00AF5CBF"/>
    <w:rsid w:val="00AF5D1D"/>
    <w:rsid w:val="00AF5DDD"/>
    <w:rsid w:val="00AF5E13"/>
    <w:rsid w:val="00AF5E53"/>
    <w:rsid w:val="00AF5E9E"/>
    <w:rsid w:val="00AF5E9F"/>
    <w:rsid w:val="00AF5ECA"/>
    <w:rsid w:val="00AF5ECB"/>
    <w:rsid w:val="00AF5EF7"/>
    <w:rsid w:val="00AF5EF9"/>
    <w:rsid w:val="00AF5F61"/>
    <w:rsid w:val="00AF5FC5"/>
    <w:rsid w:val="00AF6042"/>
    <w:rsid w:val="00AF60E5"/>
    <w:rsid w:val="00AF60EB"/>
    <w:rsid w:val="00AF611E"/>
    <w:rsid w:val="00AF6198"/>
    <w:rsid w:val="00AF6235"/>
    <w:rsid w:val="00AF6258"/>
    <w:rsid w:val="00AF625B"/>
    <w:rsid w:val="00AF6269"/>
    <w:rsid w:val="00AF62AA"/>
    <w:rsid w:val="00AF62DC"/>
    <w:rsid w:val="00AF6309"/>
    <w:rsid w:val="00AF6311"/>
    <w:rsid w:val="00AF632B"/>
    <w:rsid w:val="00AF6376"/>
    <w:rsid w:val="00AF641F"/>
    <w:rsid w:val="00AF642A"/>
    <w:rsid w:val="00AF64B7"/>
    <w:rsid w:val="00AF6528"/>
    <w:rsid w:val="00AF6605"/>
    <w:rsid w:val="00AF661E"/>
    <w:rsid w:val="00AF664D"/>
    <w:rsid w:val="00AF6665"/>
    <w:rsid w:val="00AF6666"/>
    <w:rsid w:val="00AF66BE"/>
    <w:rsid w:val="00AF687F"/>
    <w:rsid w:val="00AF68A9"/>
    <w:rsid w:val="00AF68F1"/>
    <w:rsid w:val="00AF6957"/>
    <w:rsid w:val="00AF6977"/>
    <w:rsid w:val="00AF69B0"/>
    <w:rsid w:val="00AF69B1"/>
    <w:rsid w:val="00AF69C5"/>
    <w:rsid w:val="00AF6A8E"/>
    <w:rsid w:val="00AF6AA4"/>
    <w:rsid w:val="00AF6AD5"/>
    <w:rsid w:val="00AF6B30"/>
    <w:rsid w:val="00AF6B6A"/>
    <w:rsid w:val="00AF6BFD"/>
    <w:rsid w:val="00AF6C03"/>
    <w:rsid w:val="00AF6C7C"/>
    <w:rsid w:val="00AF6CE8"/>
    <w:rsid w:val="00AF6D5E"/>
    <w:rsid w:val="00AF6D70"/>
    <w:rsid w:val="00AF6D8A"/>
    <w:rsid w:val="00AF6DC1"/>
    <w:rsid w:val="00AF6E2F"/>
    <w:rsid w:val="00AF6E37"/>
    <w:rsid w:val="00AF6F66"/>
    <w:rsid w:val="00AF6FDB"/>
    <w:rsid w:val="00AF7017"/>
    <w:rsid w:val="00AF7083"/>
    <w:rsid w:val="00AF7084"/>
    <w:rsid w:val="00AF7094"/>
    <w:rsid w:val="00AF711A"/>
    <w:rsid w:val="00AF715E"/>
    <w:rsid w:val="00AF7289"/>
    <w:rsid w:val="00AF72B4"/>
    <w:rsid w:val="00AF72ED"/>
    <w:rsid w:val="00AF7336"/>
    <w:rsid w:val="00AF73EA"/>
    <w:rsid w:val="00AF7500"/>
    <w:rsid w:val="00AF7525"/>
    <w:rsid w:val="00AF759E"/>
    <w:rsid w:val="00AF75A3"/>
    <w:rsid w:val="00AF75B6"/>
    <w:rsid w:val="00AF75E5"/>
    <w:rsid w:val="00AF7668"/>
    <w:rsid w:val="00AF76DB"/>
    <w:rsid w:val="00AF776E"/>
    <w:rsid w:val="00AF77F5"/>
    <w:rsid w:val="00AF77F6"/>
    <w:rsid w:val="00AF780E"/>
    <w:rsid w:val="00AF783B"/>
    <w:rsid w:val="00AF7840"/>
    <w:rsid w:val="00AF786F"/>
    <w:rsid w:val="00AF78F2"/>
    <w:rsid w:val="00AF7916"/>
    <w:rsid w:val="00AF7930"/>
    <w:rsid w:val="00AF7952"/>
    <w:rsid w:val="00AF79FB"/>
    <w:rsid w:val="00AF7A20"/>
    <w:rsid w:val="00AF7A49"/>
    <w:rsid w:val="00AF7B80"/>
    <w:rsid w:val="00AF7B82"/>
    <w:rsid w:val="00AF7B99"/>
    <w:rsid w:val="00AF7BFC"/>
    <w:rsid w:val="00AF7C4F"/>
    <w:rsid w:val="00AF7DAA"/>
    <w:rsid w:val="00AF7E26"/>
    <w:rsid w:val="00AF7E47"/>
    <w:rsid w:val="00AF7EA6"/>
    <w:rsid w:val="00AF7F63"/>
    <w:rsid w:val="00AF7FD8"/>
    <w:rsid w:val="00AFC216"/>
    <w:rsid w:val="00B00036"/>
    <w:rsid w:val="00B0008C"/>
    <w:rsid w:val="00B00094"/>
    <w:rsid w:val="00B000AA"/>
    <w:rsid w:val="00B00130"/>
    <w:rsid w:val="00B00145"/>
    <w:rsid w:val="00B0021C"/>
    <w:rsid w:val="00B00281"/>
    <w:rsid w:val="00B002EA"/>
    <w:rsid w:val="00B00363"/>
    <w:rsid w:val="00B00367"/>
    <w:rsid w:val="00B00376"/>
    <w:rsid w:val="00B00385"/>
    <w:rsid w:val="00B003A3"/>
    <w:rsid w:val="00B003C3"/>
    <w:rsid w:val="00B0040C"/>
    <w:rsid w:val="00B0044B"/>
    <w:rsid w:val="00B00500"/>
    <w:rsid w:val="00B00517"/>
    <w:rsid w:val="00B005D4"/>
    <w:rsid w:val="00B00669"/>
    <w:rsid w:val="00B00687"/>
    <w:rsid w:val="00B006A6"/>
    <w:rsid w:val="00B006A9"/>
    <w:rsid w:val="00B007E5"/>
    <w:rsid w:val="00B0080A"/>
    <w:rsid w:val="00B008A5"/>
    <w:rsid w:val="00B008E3"/>
    <w:rsid w:val="00B00927"/>
    <w:rsid w:val="00B0096E"/>
    <w:rsid w:val="00B009CA"/>
    <w:rsid w:val="00B00B71"/>
    <w:rsid w:val="00B00BAC"/>
    <w:rsid w:val="00B00BBB"/>
    <w:rsid w:val="00B00CEE"/>
    <w:rsid w:val="00B00D0F"/>
    <w:rsid w:val="00B00DB8"/>
    <w:rsid w:val="00B00E2D"/>
    <w:rsid w:val="00B00E4B"/>
    <w:rsid w:val="00B00E57"/>
    <w:rsid w:val="00B00F2B"/>
    <w:rsid w:val="00B00F78"/>
    <w:rsid w:val="00B0108C"/>
    <w:rsid w:val="00B0125C"/>
    <w:rsid w:val="00B012C0"/>
    <w:rsid w:val="00B0132F"/>
    <w:rsid w:val="00B0146D"/>
    <w:rsid w:val="00B014A0"/>
    <w:rsid w:val="00B014D9"/>
    <w:rsid w:val="00B0150A"/>
    <w:rsid w:val="00B015EC"/>
    <w:rsid w:val="00B015FE"/>
    <w:rsid w:val="00B01642"/>
    <w:rsid w:val="00B01721"/>
    <w:rsid w:val="00B017EE"/>
    <w:rsid w:val="00B01811"/>
    <w:rsid w:val="00B01816"/>
    <w:rsid w:val="00B0186A"/>
    <w:rsid w:val="00B0186C"/>
    <w:rsid w:val="00B01962"/>
    <w:rsid w:val="00B019A0"/>
    <w:rsid w:val="00B019F0"/>
    <w:rsid w:val="00B01A3C"/>
    <w:rsid w:val="00B01A9D"/>
    <w:rsid w:val="00B01B48"/>
    <w:rsid w:val="00B01B4D"/>
    <w:rsid w:val="00B01B76"/>
    <w:rsid w:val="00B01B80"/>
    <w:rsid w:val="00B01C8A"/>
    <w:rsid w:val="00B01C9F"/>
    <w:rsid w:val="00B01CDA"/>
    <w:rsid w:val="00B01DC3"/>
    <w:rsid w:val="00B01E54"/>
    <w:rsid w:val="00B01EC9"/>
    <w:rsid w:val="00B01EF9"/>
    <w:rsid w:val="00B01EFF"/>
    <w:rsid w:val="00B01F0D"/>
    <w:rsid w:val="00B01F7D"/>
    <w:rsid w:val="00B01F89"/>
    <w:rsid w:val="00B01FB3"/>
    <w:rsid w:val="00B0209F"/>
    <w:rsid w:val="00B020AC"/>
    <w:rsid w:val="00B0211C"/>
    <w:rsid w:val="00B02125"/>
    <w:rsid w:val="00B0213A"/>
    <w:rsid w:val="00B0224B"/>
    <w:rsid w:val="00B0227D"/>
    <w:rsid w:val="00B022F0"/>
    <w:rsid w:val="00B02418"/>
    <w:rsid w:val="00B02461"/>
    <w:rsid w:val="00B02469"/>
    <w:rsid w:val="00B024AE"/>
    <w:rsid w:val="00B024B3"/>
    <w:rsid w:val="00B024DD"/>
    <w:rsid w:val="00B0255D"/>
    <w:rsid w:val="00B025DC"/>
    <w:rsid w:val="00B025F1"/>
    <w:rsid w:val="00B02631"/>
    <w:rsid w:val="00B0263B"/>
    <w:rsid w:val="00B02663"/>
    <w:rsid w:val="00B026ED"/>
    <w:rsid w:val="00B027BF"/>
    <w:rsid w:val="00B027EA"/>
    <w:rsid w:val="00B02840"/>
    <w:rsid w:val="00B0286F"/>
    <w:rsid w:val="00B028FC"/>
    <w:rsid w:val="00B029C5"/>
    <w:rsid w:val="00B029FD"/>
    <w:rsid w:val="00B02A26"/>
    <w:rsid w:val="00B02A61"/>
    <w:rsid w:val="00B02ABA"/>
    <w:rsid w:val="00B02BCC"/>
    <w:rsid w:val="00B02BD9"/>
    <w:rsid w:val="00B02BDA"/>
    <w:rsid w:val="00B02C24"/>
    <w:rsid w:val="00B02C5F"/>
    <w:rsid w:val="00B02CB9"/>
    <w:rsid w:val="00B02D03"/>
    <w:rsid w:val="00B02D88"/>
    <w:rsid w:val="00B02DD3"/>
    <w:rsid w:val="00B02E18"/>
    <w:rsid w:val="00B02E56"/>
    <w:rsid w:val="00B02EAD"/>
    <w:rsid w:val="00B02F3D"/>
    <w:rsid w:val="00B02F5F"/>
    <w:rsid w:val="00B02F7B"/>
    <w:rsid w:val="00B02FCD"/>
    <w:rsid w:val="00B03083"/>
    <w:rsid w:val="00B030F5"/>
    <w:rsid w:val="00B0314A"/>
    <w:rsid w:val="00B0316D"/>
    <w:rsid w:val="00B0321C"/>
    <w:rsid w:val="00B03269"/>
    <w:rsid w:val="00B0327A"/>
    <w:rsid w:val="00B03299"/>
    <w:rsid w:val="00B032AE"/>
    <w:rsid w:val="00B032F9"/>
    <w:rsid w:val="00B032FE"/>
    <w:rsid w:val="00B0330E"/>
    <w:rsid w:val="00B0346D"/>
    <w:rsid w:val="00B03471"/>
    <w:rsid w:val="00B034A8"/>
    <w:rsid w:val="00B034C8"/>
    <w:rsid w:val="00B03568"/>
    <w:rsid w:val="00B03573"/>
    <w:rsid w:val="00B0358B"/>
    <w:rsid w:val="00B03633"/>
    <w:rsid w:val="00B03648"/>
    <w:rsid w:val="00B03690"/>
    <w:rsid w:val="00B036AF"/>
    <w:rsid w:val="00B0374E"/>
    <w:rsid w:val="00B0375A"/>
    <w:rsid w:val="00B0377E"/>
    <w:rsid w:val="00B037BA"/>
    <w:rsid w:val="00B03809"/>
    <w:rsid w:val="00B03941"/>
    <w:rsid w:val="00B039C8"/>
    <w:rsid w:val="00B039D7"/>
    <w:rsid w:val="00B039EC"/>
    <w:rsid w:val="00B03A14"/>
    <w:rsid w:val="00B03A4C"/>
    <w:rsid w:val="00B03A67"/>
    <w:rsid w:val="00B03AAE"/>
    <w:rsid w:val="00B03AEE"/>
    <w:rsid w:val="00B03B2D"/>
    <w:rsid w:val="00B03CBC"/>
    <w:rsid w:val="00B03CD7"/>
    <w:rsid w:val="00B03D02"/>
    <w:rsid w:val="00B03DDD"/>
    <w:rsid w:val="00B03DEF"/>
    <w:rsid w:val="00B03E26"/>
    <w:rsid w:val="00B03E9E"/>
    <w:rsid w:val="00B03EBE"/>
    <w:rsid w:val="00B03EC9"/>
    <w:rsid w:val="00B03F68"/>
    <w:rsid w:val="00B03F9E"/>
    <w:rsid w:val="00B0410F"/>
    <w:rsid w:val="00B04166"/>
    <w:rsid w:val="00B04197"/>
    <w:rsid w:val="00B041BA"/>
    <w:rsid w:val="00B041FE"/>
    <w:rsid w:val="00B04215"/>
    <w:rsid w:val="00B0429C"/>
    <w:rsid w:val="00B042FC"/>
    <w:rsid w:val="00B04316"/>
    <w:rsid w:val="00B043B4"/>
    <w:rsid w:val="00B043DC"/>
    <w:rsid w:val="00B04439"/>
    <w:rsid w:val="00B0446B"/>
    <w:rsid w:val="00B044AB"/>
    <w:rsid w:val="00B04508"/>
    <w:rsid w:val="00B0457B"/>
    <w:rsid w:val="00B04588"/>
    <w:rsid w:val="00B045F5"/>
    <w:rsid w:val="00B04662"/>
    <w:rsid w:val="00B04681"/>
    <w:rsid w:val="00B04767"/>
    <w:rsid w:val="00B04779"/>
    <w:rsid w:val="00B0479A"/>
    <w:rsid w:val="00B047C5"/>
    <w:rsid w:val="00B0486E"/>
    <w:rsid w:val="00B048F7"/>
    <w:rsid w:val="00B04905"/>
    <w:rsid w:val="00B049B3"/>
    <w:rsid w:val="00B049C4"/>
    <w:rsid w:val="00B049C8"/>
    <w:rsid w:val="00B04A09"/>
    <w:rsid w:val="00B04A58"/>
    <w:rsid w:val="00B04A66"/>
    <w:rsid w:val="00B04ABF"/>
    <w:rsid w:val="00B04B3C"/>
    <w:rsid w:val="00B04C38"/>
    <w:rsid w:val="00B04C4B"/>
    <w:rsid w:val="00B04C8D"/>
    <w:rsid w:val="00B04C90"/>
    <w:rsid w:val="00B04CD2"/>
    <w:rsid w:val="00B04CD3"/>
    <w:rsid w:val="00B04D50"/>
    <w:rsid w:val="00B04DA3"/>
    <w:rsid w:val="00B04DBD"/>
    <w:rsid w:val="00B04E27"/>
    <w:rsid w:val="00B04E4D"/>
    <w:rsid w:val="00B04E7E"/>
    <w:rsid w:val="00B04F24"/>
    <w:rsid w:val="00B04F32"/>
    <w:rsid w:val="00B04FD8"/>
    <w:rsid w:val="00B05069"/>
    <w:rsid w:val="00B05075"/>
    <w:rsid w:val="00B050AB"/>
    <w:rsid w:val="00B0514A"/>
    <w:rsid w:val="00B0515C"/>
    <w:rsid w:val="00B051BF"/>
    <w:rsid w:val="00B05217"/>
    <w:rsid w:val="00B0521F"/>
    <w:rsid w:val="00B05242"/>
    <w:rsid w:val="00B0534E"/>
    <w:rsid w:val="00B05377"/>
    <w:rsid w:val="00B05398"/>
    <w:rsid w:val="00B0544F"/>
    <w:rsid w:val="00B05483"/>
    <w:rsid w:val="00B05506"/>
    <w:rsid w:val="00B0553A"/>
    <w:rsid w:val="00B05565"/>
    <w:rsid w:val="00B05576"/>
    <w:rsid w:val="00B05655"/>
    <w:rsid w:val="00B05673"/>
    <w:rsid w:val="00B056DE"/>
    <w:rsid w:val="00B05722"/>
    <w:rsid w:val="00B05733"/>
    <w:rsid w:val="00B05960"/>
    <w:rsid w:val="00B05A04"/>
    <w:rsid w:val="00B05A2E"/>
    <w:rsid w:val="00B05A81"/>
    <w:rsid w:val="00B05A82"/>
    <w:rsid w:val="00B05AAA"/>
    <w:rsid w:val="00B05ACB"/>
    <w:rsid w:val="00B05AD4"/>
    <w:rsid w:val="00B05AF3"/>
    <w:rsid w:val="00B05AF4"/>
    <w:rsid w:val="00B05B48"/>
    <w:rsid w:val="00B05B58"/>
    <w:rsid w:val="00B05BC6"/>
    <w:rsid w:val="00B05BEF"/>
    <w:rsid w:val="00B05C11"/>
    <w:rsid w:val="00B05C16"/>
    <w:rsid w:val="00B05C2D"/>
    <w:rsid w:val="00B05C90"/>
    <w:rsid w:val="00B05CFA"/>
    <w:rsid w:val="00B05D08"/>
    <w:rsid w:val="00B05D3E"/>
    <w:rsid w:val="00B05D52"/>
    <w:rsid w:val="00B05D5B"/>
    <w:rsid w:val="00B05DF0"/>
    <w:rsid w:val="00B05E74"/>
    <w:rsid w:val="00B05EE0"/>
    <w:rsid w:val="00B05F02"/>
    <w:rsid w:val="00B05FA2"/>
    <w:rsid w:val="00B05FD2"/>
    <w:rsid w:val="00B05FD6"/>
    <w:rsid w:val="00B0605B"/>
    <w:rsid w:val="00B06082"/>
    <w:rsid w:val="00B060CA"/>
    <w:rsid w:val="00B060EF"/>
    <w:rsid w:val="00B06104"/>
    <w:rsid w:val="00B06114"/>
    <w:rsid w:val="00B0624C"/>
    <w:rsid w:val="00B062B8"/>
    <w:rsid w:val="00B062C7"/>
    <w:rsid w:val="00B062F0"/>
    <w:rsid w:val="00B0638A"/>
    <w:rsid w:val="00B0646D"/>
    <w:rsid w:val="00B0647E"/>
    <w:rsid w:val="00B0648A"/>
    <w:rsid w:val="00B064CC"/>
    <w:rsid w:val="00B0652B"/>
    <w:rsid w:val="00B0656E"/>
    <w:rsid w:val="00B065A1"/>
    <w:rsid w:val="00B06691"/>
    <w:rsid w:val="00B066DE"/>
    <w:rsid w:val="00B0671C"/>
    <w:rsid w:val="00B06745"/>
    <w:rsid w:val="00B06799"/>
    <w:rsid w:val="00B067E7"/>
    <w:rsid w:val="00B0684B"/>
    <w:rsid w:val="00B0688D"/>
    <w:rsid w:val="00B068A5"/>
    <w:rsid w:val="00B068C9"/>
    <w:rsid w:val="00B068DF"/>
    <w:rsid w:val="00B068E8"/>
    <w:rsid w:val="00B068EE"/>
    <w:rsid w:val="00B06901"/>
    <w:rsid w:val="00B06928"/>
    <w:rsid w:val="00B0692C"/>
    <w:rsid w:val="00B0692D"/>
    <w:rsid w:val="00B0695D"/>
    <w:rsid w:val="00B06973"/>
    <w:rsid w:val="00B0697E"/>
    <w:rsid w:val="00B069DF"/>
    <w:rsid w:val="00B06A13"/>
    <w:rsid w:val="00B06A9B"/>
    <w:rsid w:val="00B06B5C"/>
    <w:rsid w:val="00B06BC2"/>
    <w:rsid w:val="00B06CCB"/>
    <w:rsid w:val="00B06D2A"/>
    <w:rsid w:val="00B06D41"/>
    <w:rsid w:val="00B06D9E"/>
    <w:rsid w:val="00B06EBC"/>
    <w:rsid w:val="00B06EF2"/>
    <w:rsid w:val="00B06F08"/>
    <w:rsid w:val="00B06FA3"/>
    <w:rsid w:val="00B06FE6"/>
    <w:rsid w:val="00B0709B"/>
    <w:rsid w:val="00B07149"/>
    <w:rsid w:val="00B07172"/>
    <w:rsid w:val="00B07193"/>
    <w:rsid w:val="00B0719B"/>
    <w:rsid w:val="00B071E4"/>
    <w:rsid w:val="00B072C4"/>
    <w:rsid w:val="00B0731F"/>
    <w:rsid w:val="00B0735F"/>
    <w:rsid w:val="00B073CB"/>
    <w:rsid w:val="00B07411"/>
    <w:rsid w:val="00B0749F"/>
    <w:rsid w:val="00B0752B"/>
    <w:rsid w:val="00B07534"/>
    <w:rsid w:val="00B07555"/>
    <w:rsid w:val="00B075C8"/>
    <w:rsid w:val="00B07618"/>
    <w:rsid w:val="00B07714"/>
    <w:rsid w:val="00B078E5"/>
    <w:rsid w:val="00B079C4"/>
    <w:rsid w:val="00B079E3"/>
    <w:rsid w:val="00B07A5B"/>
    <w:rsid w:val="00B07A6E"/>
    <w:rsid w:val="00B07AC8"/>
    <w:rsid w:val="00B07B20"/>
    <w:rsid w:val="00B07B41"/>
    <w:rsid w:val="00B07BA9"/>
    <w:rsid w:val="00B07C4D"/>
    <w:rsid w:val="00B07C6F"/>
    <w:rsid w:val="00B07CC4"/>
    <w:rsid w:val="00B07D35"/>
    <w:rsid w:val="00B07D74"/>
    <w:rsid w:val="00B07DC1"/>
    <w:rsid w:val="00B07DFB"/>
    <w:rsid w:val="00B07F4A"/>
    <w:rsid w:val="00B07FD2"/>
    <w:rsid w:val="00B1003E"/>
    <w:rsid w:val="00B100C0"/>
    <w:rsid w:val="00B100FE"/>
    <w:rsid w:val="00B1010E"/>
    <w:rsid w:val="00B1012E"/>
    <w:rsid w:val="00B10161"/>
    <w:rsid w:val="00B10170"/>
    <w:rsid w:val="00B1019F"/>
    <w:rsid w:val="00B101BB"/>
    <w:rsid w:val="00B1027B"/>
    <w:rsid w:val="00B1028E"/>
    <w:rsid w:val="00B102CB"/>
    <w:rsid w:val="00B10354"/>
    <w:rsid w:val="00B10371"/>
    <w:rsid w:val="00B10395"/>
    <w:rsid w:val="00B1040C"/>
    <w:rsid w:val="00B10412"/>
    <w:rsid w:val="00B1041D"/>
    <w:rsid w:val="00B104F8"/>
    <w:rsid w:val="00B104FC"/>
    <w:rsid w:val="00B10511"/>
    <w:rsid w:val="00B10595"/>
    <w:rsid w:val="00B1059F"/>
    <w:rsid w:val="00B105CE"/>
    <w:rsid w:val="00B105F1"/>
    <w:rsid w:val="00B10648"/>
    <w:rsid w:val="00B106CB"/>
    <w:rsid w:val="00B106D3"/>
    <w:rsid w:val="00B106E2"/>
    <w:rsid w:val="00B106ED"/>
    <w:rsid w:val="00B10713"/>
    <w:rsid w:val="00B10731"/>
    <w:rsid w:val="00B10749"/>
    <w:rsid w:val="00B10796"/>
    <w:rsid w:val="00B107DA"/>
    <w:rsid w:val="00B10813"/>
    <w:rsid w:val="00B108A6"/>
    <w:rsid w:val="00B109F7"/>
    <w:rsid w:val="00B109FF"/>
    <w:rsid w:val="00B10A0B"/>
    <w:rsid w:val="00B10A21"/>
    <w:rsid w:val="00B10A39"/>
    <w:rsid w:val="00B10AA0"/>
    <w:rsid w:val="00B10B19"/>
    <w:rsid w:val="00B10B2E"/>
    <w:rsid w:val="00B10B7E"/>
    <w:rsid w:val="00B10BEB"/>
    <w:rsid w:val="00B10BF4"/>
    <w:rsid w:val="00B10C25"/>
    <w:rsid w:val="00B10CD9"/>
    <w:rsid w:val="00B10CE4"/>
    <w:rsid w:val="00B10D3A"/>
    <w:rsid w:val="00B10D96"/>
    <w:rsid w:val="00B10DAB"/>
    <w:rsid w:val="00B10DBB"/>
    <w:rsid w:val="00B10E9D"/>
    <w:rsid w:val="00B10EA2"/>
    <w:rsid w:val="00B10EDE"/>
    <w:rsid w:val="00B10EFA"/>
    <w:rsid w:val="00B10EFF"/>
    <w:rsid w:val="00B10FF1"/>
    <w:rsid w:val="00B11044"/>
    <w:rsid w:val="00B11051"/>
    <w:rsid w:val="00B110A4"/>
    <w:rsid w:val="00B110B5"/>
    <w:rsid w:val="00B11316"/>
    <w:rsid w:val="00B11389"/>
    <w:rsid w:val="00B113EC"/>
    <w:rsid w:val="00B11465"/>
    <w:rsid w:val="00B114AA"/>
    <w:rsid w:val="00B114C8"/>
    <w:rsid w:val="00B11503"/>
    <w:rsid w:val="00B11534"/>
    <w:rsid w:val="00B11573"/>
    <w:rsid w:val="00B115C7"/>
    <w:rsid w:val="00B115DE"/>
    <w:rsid w:val="00B11669"/>
    <w:rsid w:val="00B1169C"/>
    <w:rsid w:val="00B11784"/>
    <w:rsid w:val="00B117BB"/>
    <w:rsid w:val="00B117E6"/>
    <w:rsid w:val="00B117F6"/>
    <w:rsid w:val="00B118D7"/>
    <w:rsid w:val="00B118FE"/>
    <w:rsid w:val="00B119EF"/>
    <w:rsid w:val="00B11AB1"/>
    <w:rsid w:val="00B11AB3"/>
    <w:rsid w:val="00B11BC8"/>
    <w:rsid w:val="00B11BD8"/>
    <w:rsid w:val="00B11BEA"/>
    <w:rsid w:val="00B11C14"/>
    <w:rsid w:val="00B11C4C"/>
    <w:rsid w:val="00B11C52"/>
    <w:rsid w:val="00B11C6F"/>
    <w:rsid w:val="00B11CA1"/>
    <w:rsid w:val="00B11CCB"/>
    <w:rsid w:val="00B11CE6"/>
    <w:rsid w:val="00B11CE9"/>
    <w:rsid w:val="00B11D38"/>
    <w:rsid w:val="00B11DD3"/>
    <w:rsid w:val="00B11DE0"/>
    <w:rsid w:val="00B11E8F"/>
    <w:rsid w:val="00B11EDE"/>
    <w:rsid w:val="00B11EE1"/>
    <w:rsid w:val="00B11F04"/>
    <w:rsid w:val="00B11F63"/>
    <w:rsid w:val="00B11F80"/>
    <w:rsid w:val="00B11F9E"/>
    <w:rsid w:val="00B11FBD"/>
    <w:rsid w:val="00B11FD2"/>
    <w:rsid w:val="00B12006"/>
    <w:rsid w:val="00B12019"/>
    <w:rsid w:val="00B12036"/>
    <w:rsid w:val="00B12071"/>
    <w:rsid w:val="00B120E0"/>
    <w:rsid w:val="00B1212D"/>
    <w:rsid w:val="00B12138"/>
    <w:rsid w:val="00B1216A"/>
    <w:rsid w:val="00B12182"/>
    <w:rsid w:val="00B121BE"/>
    <w:rsid w:val="00B12289"/>
    <w:rsid w:val="00B1228B"/>
    <w:rsid w:val="00B122D9"/>
    <w:rsid w:val="00B12309"/>
    <w:rsid w:val="00B1234C"/>
    <w:rsid w:val="00B12369"/>
    <w:rsid w:val="00B1239B"/>
    <w:rsid w:val="00B123D3"/>
    <w:rsid w:val="00B12425"/>
    <w:rsid w:val="00B12444"/>
    <w:rsid w:val="00B12527"/>
    <w:rsid w:val="00B1258A"/>
    <w:rsid w:val="00B125A6"/>
    <w:rsid w:val="00B12610"/>
    <w:rsid w:val="00B12623"/>
    <w:rsid w:val="00B12630"/>
    <w:rsid w:val="00B12645"/>
    <w:rsid w:val="00B12667"/>
    <w:rsid w:val="00B126B1"/>
    <w:rsid w:val="00B126D3"/>
    <w:rsid w:val="00B12760"/>
    <w:rsid w:val="00B127AF"/>
    <w:rsid w:val="00B127C9"/>
    <w:rsid w:val="00B12828"/>
    <w:rsid w:val="00B12911"/>
    <w:rsid w:val="00B1295F"/>
    <w:rsid w:val="00B12960"/>
    <w:rsid w:val="00B12984"/>
    <w:rsid w:val="00B129AD"/>
    <w:rsid w:val="00B12A48"/>
    <w:rsid w:val="00B12AA1"/>
    <w:rsid w:val="00B12AC2"/>
    <w:rsid w:val="00B12B0F"/>
    <w:rsid w:val="00B12B3E"/>
    <w:rsid w:val="00B12B45"/>
    <w:rsid w:val="00B12B87"/>
    <w:rsid w:val="00B12B89"/>
    <w:rsid w:val="00B12BB3"/>
    <w:rsid w:val="00B12C15"/>
    <w:rsid w:val="00B12C72"/>
    <w:rsid w:val="00B12CA8"/>
    <w:rsid w:val="00B12CB9"/>
    <w:rsid w:val="00B12D25"/>
    <w:rsid w:val="00B12D30"/>
    <w:rsid w:val="00B12D5B"/>
    <w:rsid w:val="00B12D97"/>
    <w:rsid w:val="00B12DB6"/>
    <w:rsid w:val="00B12DF1"/>
    <w:rsid w:val="00B12E50"/>
    <w:rsid w:val="00B12E52"/>
    <w:rsid w:val="00B12F24"/>
    <w:rsid w:val="00B12F35"/>
    <w:rsid w:val="00B12F85"/>
    <w:rsid w:val="00B12FF7"/>
    <w:rsid w:val="00B13024"/>
    <w:rsid w:val="00B1303C"/>
    <w:rsid w:val="00B130FB"/>
    <w:rsid w:val="00B1311C"/>
    <w:rsid w:val="00B13176"/>
    <w:rsid w:val="00B1317A"/>
    <w:rsid w:val="00B131CC"/>
    <w:rsid w:val="00B131E7"/>
    <w:rsid w:val="00B131F5"/>
    <w:rsid w:val="00B1328A"/>
    <w:rsid w:val="00B132B6"/>
    <w:rsid w:val="00B1342D"/>
    <w:rsid w:val="00B134C7"/>
    <w:rsid w:val="00B134CE"/>
    <w:rsid w:val="00B13576"/>
    <w:rsid w:val="00B135BD"/>
    <w:rsid w:val="00B1360A"/>
    <w:rsid w:val="00B1374E"/>
    <w:rsid w:val="00B137BB"/>
    <w:rsid w:val="00B137C0"/>
    <w:rsid w:val="00B13835"/>
    <w:rsid w:val="00B1384C"/>
    <w:rsid w:val="00B13931"/>
    <w:rsid w:val="00B1395B"/>
    <w:rsid w:val="00B13964"/>
    <w:rsid w:val="00B13970"/>
    <w:rsid w:val="00B139BE"/>
    <w:rsid w:val="00B139C9"/>
    <w:rsid w:val="00B13ADF"/>
    <w:rsid w:val="00B13AE2"/>
    <w:rsid w:val="00B13AF9"/>
    <w:rsid w:val="00B13B1E"/>
    <w:rsid w:val="00B13B66"/>
    <w:rsid w:val="00B13B76"/>
    <w:rsid w:val="00B13BF8"/>
    <w:rsid w:val="00B13BFD"/>
    <w:rsid w:val="00B13C54"/>
    <w:rsid w:val="00B13C70"/>
    <w:rsid w:val="00B13CDC"/>
    <w:rsid w:val="00B13D45"/>
    <w:rsid w:val="00B13D4F"/>
    <w:rsid w:val="00B13E16"/>
    <w:rsid w:val="00B13E38"/>
    <w:rsid w:val="00B13E85"/>
    <w:rsid w:val="00B13E9A"/>
    <w:rsid w:val="00B13F2D"/>
    <w:rsid w:val="00B14002"/>
    <w:rsid w:val="00B1401D"/>
    <w:rsid w:val="00B14102"/>
    <w:rsid w:val="00B141B6"/>
    <w:rsid w:val="00B141C3"/>
    <w:rsid w:val="00B141E0"/>
    <w:rsid w:val="00B141E7"/>
    <w:rsid w:val="00B14267"/>
    <w:rsid w:val="00B142DB"/>
    <w:rsid w:val="00B1434A"/>
    <w:rsid w:val="00B1448B"/>
    <w:rsid w:val="00B144B5"/>
    <w:rsid w:val="00B1454C"/>
    <w:rsid w:val="00B1459B"/>
    <w:rsid w:val="00B14622"/>
    <w:rsid w:val="00B1464D"/>
    <w:rsid w:val="00B1477F"/>
    <w:rsid w:val="00B1485E"/>
    <w:rsid w:val="00B14872"/>
    <w:rsid w:val="00B148C0"/>
    <w:rsid w:val="00B14926"/>
    <w:rsid w:val="00B1498D"/>
    <w:rsid w:val="00B14997"/>
    <w:rsid w:val="00B149A9"/>
    <w:rsid w:val="00B149B2"/>
    <w:rsid w:val="00B14A02"/>
    <w:rsid w:val="00B14AD7"/>
    <w:rsid w:val="00B14AE6"/>
    <w:rsid w:val="00B14B56"/>
    <w:rsid w:val="00B14BA2"/>
    <w:rsid w:val="00B14C9A"/>
    <w:rsid w:val="00B14CF4"/>
    <w:rsid w:val="00B14D65"/>
    <w:rsid w:val="00B14D9C"/>
    <w:rsid w:val="00B14DCE"/>
    <w:rsid w:val="00B14DD0"/>
    <w:rsid w:val="00B14DEE"/>
    <w:rsid w:val="00B14DFF"/>
    <w:rsid w:val="00B14EB2"/>
    <w:rsid w:val="00B14EBD"/>
    <w:rsid w:val="00B14F0B"/>
    <w:rsid w:val="00B14F6B"/>
    <w:rsid w:val="00B14F7F"/>
    <w:rsid w:val="00B14F8C"/>
    <w:rsid w:val="00B14FB4"/>
    <w:rsid w:val="00B1502B"/>
    <w:rsid w:val="00B150BD"/>
    <w:rsid w:val="00B150F9"/>
    <w:rsid w:val="00B15112"/>
    <w:rsid w:val="00B15212"/>
    <w:rsid w:val="00B15288"/>
    <w:rsid w:val="00B152AC"/>
    <w:rsid w:val="00B152FB"/>
    <w:rsid w:val="00B1538C"/>
    <w:rsid w:val="00B15441"/>
    <w:rsid w:val="00B1547A"/>
    <w:rsid w:val="00B15483"/>
    <w:rsid w:val="00B15494"/>
    <w:rsid w:val="00B154CD"/>
    <w:rsid w:val="00B154DC"/>
    <w:rsid w:val="00B154F8"/>
    <w:rsid w:val="00B15582"/>
    <w:rsid w:val="00B155A6"/>
    <w:rsid w:val="00B15621"/>
    <w:rsid w:val="00B15628"/>
    <w:rsid w:val="00B15643"/>
    <w:rsid w:val="00B15644"/>
    <w:rsid w:val="00B156B4"/>
    <w:rsid w:val="00B156CA"/>
    <w:rsid w:val="00B15758"/>
    <w:rsid w:val="00B157B3"/>
    <w:rsid w:val="00B1581D"/>
    <w:rsid w:val="00B1581E"/>
    <w:rsid w:val="00B15948"/>
    <w:rsid w:val="00B15958"/>
    <w:rsid w:val="00B159F4"/>
    <w:rsid w:val="00B15A27"/>
    <w:rsid w:val="00B15A89"/>
    <w:rsid w:val="00B15B7F"/>
    <w:rsid w:val="00B15BC4"/>
    <w:rsid w:val="00B15BD5"/>
    <w:rsid w:val="00B15C26"/>
    <w:rsid w:val="00B15C73"/>
    <w:rsid w:val="00B15C98"/>
    <w:rsid w:val="00B15CC0"/>
    <w:rsid w:val="00B15D5D"/>
    <w:rsid w:val="00B15D5F"/>
    <w:rsid w:val="00B15D8E"/>
    <w:rsid w:val="00B15DC7"/>
    <w:rsid w:val="00B15DD2"/>
    <w:rsid w:val="00B15DE8"/>
    <w:rsid w:val="00B15E54"/>
    <w:rsid w:val="00B15E70"/>
    <w:rsid w:val="00B15EBA"/>
    <w:rsid w:val="00B15F8D"/>
    <w:rsid w:val="00B15FCE"/>
    <w:rsid w:val="00B15FF2"/>
    <w:rsid w:val="00B15FFC"/>
    <w:rsid w:val="00B15FFF"/>
    <w:rsid w:val="00B16006"/>
    <w:rsid w:val="00B1607A"/>
    <w:rsid w:val="00B160AA"/>
    <w:rsid w:val="00B160BF"/>
    <w:rsid w:val="00B160E9"/>
    <w:rsid w:val="00B16106"/>
    <w:rsid w:val="00B16160"/>
    <w:rsid w:val="00B16183"/>
    <w:rsid w:val="00B16189"/>
    <w:rsid w:val="00B161AE"/>
    <w:rsid w:val="00B161C0"/>
    <w:rsid w:val="00B1623D"/>
    <w:rsid w:val="00B16320"/>
    <w:rsid w:val="00B16406"/>
    <w:rsid w:val="00B1642F"/>
    <w:rsid w:val="00B16444"/>
    <w:rsid w:val="00B164A2"/>
    <w:rsid w:val="00B164A9"/>
    <w:rsid w:val="00B164CC"/>
    <w:rsid w:val="00B16500"/>
    <w:rsid w:val="00B1656F"/>
    <w:rsid w:val="00B165CD"/>
    <w:rsid w:val="00B16722"/>
    <w:rsid w:val="00B16731"/>
    <w:rsid w:val="00B16768"/>
    <w:rsid w:val="00B1676B"/>
    <w:rsid w:val="00B1679B"/>
    <w:rsid w:val="00B167EE"/>
    <w:rsid w:val="00B1685C"/>
    <w:rsid w:val="00B1690B"/>
    <w:rsid w:val="00B16916"/>
    <w:rsid w:val="00B1692B"/>
    <w:rsid w:val="00B16962"/>
    <w:rsid w:val="00B169CB"/>
    <w:rsid w:val="00B169D2"/>
    <w:rsid w:val="00B169FA"/>
    <w:rsid w:val="00B16A7B"/>
    <w:rsid w:val="00B16C4F"/>
    <w:rsid w:val="00B16CC1"/>
    <w:rsid w:val="00B16D14"/>
    <w:rsid w:val="00B16DAA"/>
    <w:rsid w:val="00B16DF8"/>
    <w:rsid w:val="00B16E92"/>
    <w:rsid w:val="00B16EC5"/>
    <w:rsid w:val="00B16ECE"/>
    <w:rsid w:val="00B16F0A"/>
    <w:rsid w:val="00B16F46"/>
    <w:rsid w:val="00B16FDD"/>
    <w:rsid w:val="00B17113"/>
    <w:rsid w:val="00B1711F"/>
    <w:rsid w:val="00B17133"/>
    <w:rsid w:val="00B1716E"/>
    <w:rsid w:val="00B171DC"/>
    <w:rsid w:val="00B17252"/>
    <w:rsid w:val="00B17319"/>
    <w:rsid w:val="00B173AB"/>
    <w:rsid w:val="00B17448"/>
    <w:rsid w:val="00B1748E"/>
    <w:rsid w:val="00B17496"/>
    <w:rsid w:val="00B1751F"/>
    <w:rsid w:val="00B17537"/>
    <w:rsid w:val="00B17538"/>
    <w:rsid w:val="00B1757C"/>
    <w:rsid w:val="00B175FB"/>
    <w:rsid w:val="00B1760F"/>
    <w:rsid w:val="00B1763F"/>
    <w:rsid w:val="00B17643"/>
    <w:rsid w:val="00B1768A"/>
    <w:rsid w:val="00B176A4"/>
    <w:rsid w:val="00B176A7"/>
    <w:rsid w:val="00B176DB"/>
    <w:rsid w:val="00B176E3"/>
    <w:rsid w:val="00B17742"/>
    <w:rsid w:val="00B17796"/>
    <w:rsid w:val="00B177C4"/>
    <w:rsid w:val="00B177E2"/>
    <w:rsid w:val="00B1780C"/>
    <w:rsid w:val="00B1783F"/>
    <w:rsid w:val="00B17856"/>
    <w:rsid w:val="00B178E7"/>
    <w:rsid w:val="00B17924"/>
    <w:rsid w:val="00B1793E"/>
    <w:rsid w:val="00B1794C"/>
    <w:rsid w:val="00B179B3"/>
    <w:rsid w:val="00B179D2"/>
    <w:rsid w:val="00B17A25"/>
    <w:rsid w:val="00B17A36"/>
    <w:rsid w:val="00B17AEE"/>
    <w:rsid w:val="00B17B74"/>
    <w:rsid w:val="00B17BB5"/>
    <w:rsid w:val="00B17C38"/>
    <w:rsid w:val="00B17C50"/>
    <w:rsid w:val="00B17CE0"/>
    <w:rsid w:val="00B17CFB"/>
    <w:rsid w:val="00B17D4B"/>
    <w:rsid w:val="00B17D88"/>
    <w:rsid w:val="00B17DA1"/>
    <w:rsid w:val="00B17E08"/>
    <w:rsid w:val="00B17E28"/>
    <w:rsid w:val="00B17E34"/>
    <w:rsid w:val="00B17ECC"/>
    <w:rsid w:val="00B17F5D"/>
    <w:rsid w:val="00B17F9D"/>
    <w:rsid w:val="00B20031"/>
    <w:rsid w:val="00B20063"/>
    <w:rsid w:val="00B2011D"/>
    <w:rsid w:val="00B2014A"/>
    <w:rsid w:val="00B20159"/>
    <w:rsid w:val="00B20160"/>
    <w:rsid w:val="00B2016B"/>
    <w:rsid w:val="00B2019F"/>
    <w:rsid w:val="00B201BC"/>
    <w:rsid w:val="00B20285"/>
    <w:rsid w:val="00B202AD"/>
    <w:rsid w:val="00B202C0"/>
    <w:rsid w:val="00B202D5"/>
    <w:rsid w:val="00B20381"/>
    <w:rsid w:val="00B20431"/>
    <w:rsid w:val="00B2050D"/>
    <w:rsid w:val="00B20540"/>
    <w:rsid w:val="00B2056B"/>
    <w:rsid w:val="00B20572"/>
    <w:rsid w:val="00B20593"/>
    <w:rsid w:val="00B205C6"/>
    <w:rsid w:val="00B205DF"/>
    <w:rsid w:val="00B205FE"/>
    <w:rsid w:val="00B20615"/>
    <w:rsid w:val="00B20694"/>
    <w:rsid w:val="00B206B1"/>
    <w:rsid w:val="00B206BF"/>
    <w:rsid w:val="00B20761"/>
    <w:rsid w:val="00B2080E"/>
    <w:rsid w:val="00B20826"/>
    <w:rsid w:val="00B208C4"/>
    <w:rsid w:val="00B208D6"/>
    <w:rsid w:val="00B2092E"/>
    <w:rsid w:val="00B20975"/>
    <w:rsid w:val="00B20A4B"/>
    <w:rsid w:val="00B20A97"/>
    <w:rsid w:val="00B20AD7"/>
    <w:rsid w:val="00B20B73"/>
    <w:rsid w:val="00B20BA5"/>
    <w:rsid w:val="00B20BE8"/>
    <w:rsid w:val="00B20C10"/>
    <w:rsid w:val="00B20C15"/>
    <w:rsid w:val="00B20C3D"/>
    <w:rsid w:val="00B20C64"/>
    <w:rsid w:val="00B20C91"/>
    <w:rsid w:val="00B20C99"/>
    <w:rsid w:val="00B20CA9"/>
    <w:rsid w:val="00B20CFA"/>
    <w:rsid w:val="00B20E02"/>
    <w:rsid w:val="00B20EAE"/>
    <w:rsid w:val="00B20EE0"/>
    <w:rsid w:val="00B20EE4"/>
    <w:rsid w:val="00B20F02"/>
    <w:rsid w:val="00B20F5D"/>
    <w:rsid w:val="00B20F7A"/>
    <w:rsid w:val="00B20FBD"/>
    <w:rsid w:val="00B20FD8"/>
    <w:rsid w:val="00B21110"/>
    <w:rsid w:val="00B2111E"/>
    <w:rsid w:val="00B2113B"/>
    <w:rsid w:val="00B21143"/>
    <w:rsid w:val="00B211F5"/>
    <w:rsid w:val="00B21216"/>
    <w:rsid w:val="00B21219"/>
    <w:rsid w:val="00B2123A"/>
    <w:rsid w:val="00B21280"/>
    <w:rsid w:val="00B2129D"/>
    <w:rsid w:val="00B212A8"/>
    <w:rsid w:val="00B21317"/>
    <w:rsid w:val="00B21455"/>
    <w:rsid w:val="00B21468"/>
    <w:rsid w:val="00B214E8"/>
    <w:rsid w:val="00B214F7"/>
    <w:rsid w:val="00B215DE"/>
    <w:rsid w:val="00B2176F"/>
    <w:rsid w:val="00B217A5"/>
    <w:rsid w:val="00B2186B"/>
    <w:rsid w:val="00B218BA"/>
    <w:rsid w:val="00B219AB"/>
    <w:rsid w:val="00B21A12"/>
    <w:rsid w:val="00B21A4F"/>
    <w:rsid w:val="00B21ACF"/>
    <w:rsid w:val="00B21B2A"/>
    <w:rsid w:val="00B21C64"/>
    <w:rsid w:val="00B21CC4"/>
    <w:rsid w:val="00B21CF0"/>
    <w:rsid w:val="00B21CF6"/>
    <w:rsid w:val="00B21D07"/>
    <w:rsid w:val="00B21D99"/>
    <w:rsid w:val="00B21DD1"/>
    <w:rsid w:val="00B21E11"/>
    <w:rsid w:val="00B21E4E"/>
    <w:rsid w:val="00B21EDD"/>
    <w:rsid w:val="00B21F62"/>
    <w:rsid w:val="00B22048"/>
    <w:rsid w:val="00B22067"/>
    <w:rsid w:val="00B22102"/>
    <w:rsid w:val="00B22148"/>
    <w:rsid w:val="00B22154"/>
    <w:rsid w:val="00B22168"/>
    <w:rsid w:val="00B221FB"/>
    <w:rsid w:val="00B22206"/>
    <w:rsid w:val="00B223BB"/>
    <w:rsid w:val="00B22488"/>
    <w:rsid w:val="00B22489"/>
    <w:rsid w:val="00B224C8"/>
    <w:rsid w:val="00B2252E"/>
    <w:rsid w:val="00B225BD"/>
    <w:rsid w:val="00B225D2"/>
    <w:rsid w:val="00B225D5"/>
    <w:rsid w:val="00B22613"/>
    <w:rsid w:val="00B22617"/>
    <w:rsid w:val="00B22685"/>
    <w:rsid w:val="00B226B5"/>
    <w:rsid w:val="00B226E1"/>
    <w:rsid w:val="00B2276B"/>
    <w:rsid w:val="00B22791"/>
    <w:rsid w:val="00B227E2"/>
    <w:rsid w:val="00B227E8"/>
    <w:rsid w:val="00B227EC"/>
    <w:rsid w:val="00B2280D"/>
    <w:rsid w:val="00B2285A"/>
    <w:rsid w:val="00B2285D"/>
    <w:rsid w:val="00B228B1"/>
    <w:rsid w:val="00B228C5"/>
    <w:rsid w:val="00B22971"/>
    <w:rsid w:val="00B22992"/>
    <w:rsid w:val="00B229CA"/>
    <w:rsid w:val="00B22A91"/>
    <w:rsid w:val="00B22B2B"/>
    <w:rsid w:val="00B22BA8"/>
    <w:rsid w:val="00B22C27"/>
    <w:rsid w:val="00B22CBC"/>
    <w:rsid w:val="00B22CFA"/>
    <w:rsid w:val="00B22D81"/>
    <w:rsid w:val="00B22EA9"/>
    <w:rsid w:val="00B22EE7"/>
    <w:rsid w:val="00B22EF6"/>
    <w:rsid w:val="00B22F26"/>
    <w:rsid w:val="00B22F57"/>
    <w:rsid w:val="00B22F9F"/>
    <w:rsid w:val="00B22FAC"/>
    <w:rsid w:val="00B23019"/>
    <w:rsid w:val="00B2306E"/>
    <w:rsid w:val="00B230C2"/>
    <w:rsid w:val="00B23108"/>
    <w:rsid w:val="00B2315E"/>
    <w:rsid w:val="00B23223"/>
    <w:rsid w:val="00B2324C"/>
    <w:rsid w:val="00B23270"/>
    <w:rsid w:val="00B23315"/>
    <w:rsid w:val="00B23390"/>
    <w:rsid w:val="00B23411"/>
    <w:rsid w:val="00B2346B"/>
    <w:rsid w:val="00B234B8"/>
    <w:rsid w:val="00B234ED"/>
    <w:rsid w:val="00B23506"/>
    <w:rsid w:val="00B2355D"/>
    <w:rsid w:val="00B2358D"/>
    <w:rsid w:val="00B235ED"/>
    <w:rsid w:val="00B236C1"/>
    <w:rsid w:val="00B23728"/>
    <w:rsid w:val="00B237A3"/>
    <w:rsid w:val="00B237A6"/>
    <w:rsid w:val="00B23804"/>
    <w:rsid w:val="00B23840"/>
    <w:rsid w:val="00B23871"/>
    <w:rsid w:val="00B2387D"/>
    <w:rsid w:val="00B238BD"/>
    <w:rsid w:val="00B23911"/>
    <w:rsid w:val="00B2391C"/>
    <w:rsid w:val="00B2391D"/>
    <w:rsid w:val="00B23A06"/>
    <w:rsid w:val="00B23AF2"/>
    <w:rsid w:val="00B23B18"/>
    <w:rsid w:val="00B23B6C"/>
    <w:rsid w:val="00B23BAB"/>
    <w:rsid w:val="00B23BD5"/>
    <w:rsid w:val="00B23BD8"/>
    <w:rsid w:val="00B23BE1"/>
    <w:rsid w:val="00B23C11"/>
    <w:rsid w:val="00B23D2A"/>
    <w:rsid w:val="00B23DC3"/>
    <w:rsid w:val="00B23DCA"/>
    <w:rsid w:val="00B23E56"/>
    <w:rsid w:val="00B23E88"/>
    <w:rsid w:val="00B23EC7"/>
    <w:rsid w:val="00B23F64"/>
    <w:rsid w:val="00B2400F"/>
    <w:rsid w:val="00B2404E"/>
    <w:rsid w:val="00B2409D"/>
    <w:rsid w:val="00B240DD"/>
    <w:rsid w:val="00B2414F"/>
    <w:rsid w:val="00B2424A"/>
    <w:rsid w:val="00B242D3"/>
    <w:rsid w:val="00B242D8"/>
    <w:rsid w:val="00B242F9"/>
    <w:rsid w:val="00B24372"/>
    <w:rsid w:val="00B24445"/>
    <w:rsid w:val="00B24464"/>
    <w:rsid w:val="00B24549"/>
    <w:rsid w:val="00B24568"/>
    <w:rsid w:val="00B24578"/>
    <w:rsid w:val="00B2457C"/>
    <w:rsid w:val="00B24584"/>
    <w:rsid w:val="00B245BF"/>
    <w:rsid w:val="00B2464F"/>
    <w:rsid w:val="00B2465C"/>
    <w:rsid w:val="00B24677"/>
    <w:rsid w:val="00B24743"/>
    <w:rsid w:val="00B247AA"/>
    <w:rsid w:val="00B24841"/>
    <w:rsid w:val="00B248A4"/>
    <w:rsid w:val="00B248AF"/>
    <w:rsid w:val="00B248CD"/>
    <w:rsid w:val="00B249A9"/>
    <w:rsid w:val="00B249FC"/>
    <w:rsid w:val="00B24A21"/>
    <w:rsid w:val="00B24A28"/>
    <w:rsid w:val="00B24A48"/>
    <w:rsid w:val="00B24AEF"/>
    <w:rsid w:val="00B24B0E"/>
    <w:rsid w:val="00B24B9B"/>
    <w:rsid w:val="00B24BAF"/>
    <w:rsid w:val="00B24BB7"/>
    <w:rsid w:val="00B24C1C"/>
    <w:rsid w:val="00B24CC2"/>
    <w:rsid w:val="00B24D46"/>
    <w:rsid w:val="00B24D6A"/>
    <w:rsid w:val="00B24ECD"/>
    <w:rsid w:val="00B24EFA"/>
    <w:rsid w:val="00B24F90"/>
    <w:rsid w:val="00B25080"/>
    <w:rsid w:val="00B25123"/>
    <w:rsid w:val="00B25198"/>
    <w:rsid w:val="00B251A1"/>
    <w:rsid w:val="00B251EA"/>
    <w:rsid w:val="00B251F3"/>
    <w:rsid w:val="00B25200"/>
    <w:rsid w:val="00B25256"/>
    <w:rsid w:val="00B25290"/>
    <w:rsid w:val="00B25350"/>
    <w:rsid w:val="00B253B2"/>
    <w:rsid w:val="00B253C5"/>
    <w:rsid w:val="00B253ED"/>
    <w:rsid w:val="00B253F0"/>
    <w:rsid w:val="00B25418"/>
    <w:rsid w:val="00B254AF"/>
    <w:rsid w:val="00B25510"/>
    <w:rsid w:val="00B255AB"/>
    <w:rsid w:val="00B25606"/>
    <w:rsid w:val="00B2566A"/>
    <w:rsid w:val="00B25673"/>
    <w:rsid w:val="00B25736"/>
    <w:rsid w:val="00B25750"/>
    <w:rsid w:val="00B2575C"/>
    <w:rsid w:val="00B258A1"/>
    <w:rsid w:val="00B258E2"/>
    <w:rsid w:val="00B25902"/>
    <w:rsid w:val="00B25914"/>
    <w:rsid w:val="00B25A08"/>
    <w:rsid w:val="00B25AC2"/>
    <w:rsid w:val="00B25B5A"/>
    <w:rsid w:val="00B25BB5"/>
    <w:rsid w:val="00B25BD1"/>
    <w:rsid w:val="00B25BFE"/>
    <w:rsid w:val="00B25C37"/>
    <w:rsid w:val="00B25C7E"/>
    <w:rsid w:val="00B25C7F"/>
    <w:rsid w:val="00B25C83"/>
    <w:rsid w:val="00B25CFF"/>
    <w:rsid w:val="00B25D3C"/>
    <w:rsid w:val="00B25D43"/>
    <w:rsid w:val="00B25D58"/>
    <w:rsid w:val="00B25DA8"/>
    <w:rsid w:val="00B25DBA"/>
    <w:rsid w:val="00B25E30"/>
    <w:rsid w:val="00B25E6D"/>
    <w:rsid w:val="00B25E84"/>
    <w:rsid w:val="00B25F1A"/>
    <w:rsid w:val="00B25F23"/>
    <w:rsid w:val="00B25F28"/>
    <w:rsid w:val="00B25F65"/>
    <w:rsid w:val="00B25FCC"/>
    <w:rsid w:val="00B25FF8"/>
    <w:rsid w:val="00B26023"/>
    <w:rsid w:val="00B26032"/>
    <w:rsid w:val="00B26100"/>
    <w:rsid w:val="00B261B2"/>
    <w:rsid w:val="00B2620B"/>
    <w:rsid w:val="00B26217"/>
    <w:rsid w:val="00B2623B"/>
    <w:rsid w:val="00B2623E"/>
    <w:rsid w:val="00B2623F"/>
    <w:rsid w:val="00B262A2"/>
    <w:rsid w:val="00B262A7"/>
    <w:rsid w:val="00B262BE"/>
    <w:rsid w:val="00B2638B"/>
    <w:rsid w:val="00B26396"/>
    <w:rsid w:val="00B26425"/>
    <w:rsid w:val="00B264CB"/>
    <w:rsid w:val="00B26541"/>
    <w:rsid w:val="00B26553"/>
    <w:rsid w:val="00B265BD"/>
    <w:rsid w:val="00B26629"/>
    <w:rsid w:val="00B26664"/>
    <w:rsid w:val="00B266FB"/>
    <w:rsid w:val="00B26746"/>
    <w:rsid w:val="00B2682E"/>
    <w:rsid w:val="00B26832"/>
    <w:rsid w:val="00B26889"/>
    <w:rsid w:val="00B2688B"/>
    <w:rsid w:val="00B26895"/>
    <w:rsid w:val="00B26899"/>
    <w:rsid w:val="00B26966"/>
    <w:rsid w:val="00B2696B"/>
    <w:rsid w:val="00B2697D"/>
    <w:rsid w:val="00B26986"/>
    <w:rsid w:val="00B26A40"/>
    <w:rsid w:val="00B26A4F"/>
    <w:rsid w:val="00B26A57"/>
    <w:rsid w:val="00B26B21"/>
    <w:rsid w:val="00B26B43"/>
    <w:rsid w:val="00B26B5C"/>
    <w:rsid w:val="00B26B7F"/>
    <w:rsid w:val="00B26BFA"/>
    <w:rsid w:val="00B26C58"/>
    <w:rsid w:val="00B26C65"/>
    <w:rsid w:val="00B26CD7"/>
    <w:rsid w:val="00B26CDE"/>
    <w:rsid w:val="00B26CE3"/>
    <w:rsid w:val="00B26D02"/>
    <w:rsid w:val="00B26DD9"/>
    <w:rsid w:val="00B26E17"/>
    <w:rsid w:val="00B26E37"/>
    <w:rsid w:val="00B26F23"/>
    <w:rsid w:val="00B26F3D"/>
    <w:rsid w:val="00B26FC0"/>
    <w:rsid w:val="00B270A2"/>
    <w:rsid w:val="00B270E0"/>
    <w:rsid w:val="00B27135"/>
    <w:rsid w:val="00B27142"/>
    <w:rsid w:val="00B273E1"/>
    <w:rsid w:val="00B27405"/>
    <w:rsid w:val="00B27451"/>
    <w:rsid w:val="00B27461"/>
    <w:rsid w:val="00B274EE"/>
    <w:rsid w:val="00B27516"/>
    <w:rsid w:val="00B27520"/>
    <w:rsid w:val="00B275B3"/>
    <w:rsid w:val="00B27748"/>
    <w:rsid w:val="00B277A1"/>
    <w:rsid w:val="00B277C5"/>
    <w:rsid w:val="00B27837"/>
    <w:rsid w:val="00B27840"/>
    <w:rsid w:val="00B2785D"/>
    <w:rsid w:val="00B27873"/>
    <w:rsid w:val="00B27875"/>
    <w:rsid w:val="00B278AB"/>
    <w:rsid w:val="00B27947"/>
    <w:rsid w:val="00B27A34"/>
    <w:rsid w:val="00B27AD7"/>
    <w:rsid w:val="00B27AFA"/>
    <w:rsid w:val="00B27B36"/>
    <w:rsid w:val="00B27BAB"/>
    <w:rsid w:val="00B27C24"/>
    <w:rsid w:val="00B27C3D"/>
    <w:rsid w:val="00B27C9E"/>
    <w:rsid w:val="00B27CEC"/>
    <w:rsid w:val="00B27D34"/>
    <w:rsid w:val="00B27D3C"/>
    <w:rsid w:val="00B27D66"/>
    <w:rsid w:val="00B27D84"/>
    <w:rsid w:val="00B27DDF"/>
    <w:rsid w:val="00B27E06"/>
    <w:rsid w:val="00B27F06"/>
    <w:rsid w:val="00B27F45"/>
    <w:rsid w:val="00B27FE6"/>
    <w:rsid w:val="00B27FF7"/>
    <w:rsid w:val="00B30114"/>
    <w:rsid w:val="00B30222"/>
    <w:rsid w:val="00B30229"/>
    <w:rsid w:val="00B302A7"/>
    <w:rsid w:val="00B3033C"/>
    <w:rsid w:val="00B3033D"/>
    <w:rsid w:val="00B30366"/>
    <w:rsid w:val="00B30370"/>
    <w:rsid w:val="00B3037A"/>
    <w:rsid w:val="00B303E4"/>
    <w:rsid w:val="00B30448"/>
    <w:rsid w:val="00B304AE"/>
    <w:rsid w:val="00B30549"/>
    <w:rsid w:val="00B30553"/>
    <w:rsid w:val="00B305B3"/>
    <w:rsid w:val="00B305F7"/>
    <w:rsid w:val="00B3070A"/>
    <w:rsid w:val="00B30715"/>
    <w:rsid w:val="00B30734"/>
    <w:rsid w:val="00B30754"/>
    <w:rsid w:val="00B307DE"/>
    <w:rsid w:val="00B30820"/>
    <w:rsid w:val="00B30844"/>
    <w:rsid w:val="00B30890"/>
    <w:rsid w:val="00B30899"/>
    <w:rsid w:val="00B308DF"/>
    <w:rsid w:val="00B3098E"/>
    <w:rsid w:val="00B309A9"/>
    <w:rsid w:val="00B309DC"/>
    <w:rsid w:val="00B30AB8"/>
    <w:rsid w:val="00B30AC5"/>
    <w:rsid w:val="00B30AE4"/>
    <w:rsid w:val="00B30B5E"/>
    <w:rsid w:val="00B30BD0"/>
    <w:rsid w:val="00B30BEC"/>
    <w:rsid w:val="00B30C02"/>
    <w:rsid w:val="00B30C07"/>
    <w:rsid w:val="00B30C66"/>
    <w:rsid w:val="00B30D0A"/>
    <w:rsid w:val="00B30D4B"/>
    <w:rsid w:val="00B30D7E"/>
    <w:rsid w:val="00B30D8D"/>
    <w:rsid w:val="00B30DDB"/>
    <w:rsid w:val="00B30DE4"/>
    <w:rsid w:val="00B30E40"/>
    <w:rsid w:val="00B30E7C"/>
    <w:rsid w:val="00B30E81"/>
    <w:rsid w:val="00B30EA7"/>
    <w:rsid w:val="00B30F08"/>
    <w:rsid w:val="00B30F1A"/>
    <w:rsid w:val="00B310AF"/>
    <w:rsid w:val="00B310EF"/>
    <w:rsid w:val="00B31130"/>
    <w:rsid w:val="00B31131"/>
    <w:rsid w:val="00B311C1"/>
    <w:rsid w:val="00B3123F"/>
    <w:rsid w:val="00B3126A"/>
    <w:rsid w:val="00B312B1"/>
    <w:rsid w:val="00B312B9"/>
    <w:rsid w:val="00B312F0"/>
    <w:rsid w:val="00B31363"/>
    <w:rsid w:val="00B313F3"/>
    <w:rsid w:val="00B313FC"/>
    <w:rsid w:val="00B31467"/>
    <w:rsid w:val="00B31486"/>
    <w:rsid w:val="00B314A4"/>
    <w:rsid w:val="00B314C1"/>
    <w:rsid w:val="00B315ED"/>
    <w:rsid w:val="00B3164D"/>
    <w:rsid w:val="00B3167D"/>
    <w:rsid w:val="00B316B2"/>
    <w:rsid w:val="00B31756"/>
    <w:rsid w:val="00B3176F"/>
    <w:rsid w:val="00B3180C"/>
    <w:rsid w:val="00B31850"/>
    <w:rsid w:val="00B31856"/>
    <w:rsid w:val="00B31886"/>
    <w:rsid w:val="00B318B4"/>
    <w:rsid w:val="00B318DE"/>
    <w:rsid w:val="00B31915"/>
    <w:rsid w:val="00B319EC"/>
    <w:rsid w:val="00B319FF"/>
    <w:rsid w:val="00B31A41"/>
    <w:rsid w:val="00B31A60"/>
    <w:rsid w:val="00B31A6E"/>
    <w:rsid w:val="00B31A7A"/>
    <w:rsid w:val="00B31AD9"/>
    <w:rsid w:val="00B31AEA"/>
    <w:rsid w:val="00B31B83"/>
    <w:rsid w:val="00B31C10"/>
    <w:rsid w:val="00B31C78"/>
    <w:rsid w:val="00B31CA5"/>
    <w:rsid w:val="00B31CCB"/>
    <w:rsid w:val="00B31D2D"/>
    <w:rsid w:val="00B31D32"/>
    <w:rsid w:val="00B31D6B"/>
    <w:rsid w:val="00B31D7F"/>
    <w:rsid w:val="00B31D83"/>
    <w:rsid w:val="00B31DC7"/>
    <w:rsid w:val="00B31E9F"/>
    <w:rsid w:val="00B31F72"/>
    <w:rsid w:val="00B31F9F"/>
    <w:rsid w:val="00B31FCC"/>
    <w:rsid w:val="00B32071"/>
    <w:rsid w:val="00B32089"/>
    <w:rsid w:val="00B320E0"/>
    <w:rsid w:val="00B32123"/>
    <w:rsid w:val="00B321AB"/>
    <w:rsid w:val="00B321D1"/>
    <w:rsid w:val="00B32237"/>
    <w:rsid w:val="00B3223A"/>
    <w:rsid w:val="00B32243"/>
    <w:rsid w:val="00B3227E"/>
    <w:rsid w:val="00B32285"/>
    <w:rsid w:val="00B3231F"/>
    <w:rsid w:val="00B3233E"/>
    <w:rsid w:val="00B32350"/>
    <w:rsid w:val="00B3235E"/>
    <w:rsid w:val="00B3238D"/>
    <w:rsid w:val="00B323A9"/>
    <w:rsid w:val="00B324F1"/>
    <w:rsid w:val="00B324F8"/>
    <w:rsid w:val="00B3251F"/>
    <w:rsid w:val="00B326DD"/>
    <w:rsid w:val="00B326F4"/>
    <w:rsid w:val="00B3275A"/>
    <w:rsid w:val="00B32780"/>
    <w:rsid w:val="00B327AA"/>
    <w:rsid w:val="00B32829"/>
    <w:rsid w:val="00B3287F"/>
    <w:rsid w:val="00B32894"/>
    <w:rsid w:val="00B328C8"/>
    <w:rsid w:val="00B329B5"/>
    <w:rsid w:val="00B329D5"/>
    <w:rsid w:val="00B32A2D"/>
    <w:rsid w:val="00B32A3A"/>
    <w:rsid w:val="00B32A99"/>
    <w:rsid w:val="00B32B2D"/>
    <w:rsid w:val="00B32B6D"/>
    <w:rsid w:val="00B32B82"/>
    <w:rsid w:val="00B32BBA"/>
    <w:rsid w:val="00B32C18"/>
    <w:rsid w:val="00B32C35"/>
    <w:rsid w:val="00B32C9F"/>
    <w:rsid w:val="00B32CDA"/>
    <w:rsid w:val="00B32D0E"/>
    <w:rsid w:val="00B32D25"/>
    <w:rsid w:val="00B32D47"/>
    <w:rsid w:val="00B32DBE"/>
    <w:rsid w:val="00B32DF8"/>
    <w:rsid w:val="00B32DFB"/>
    <w:rsid w:val="00B32E0E"/>
    <w:rsid w:val="00B32E45"/>
    <w:rsid w:val="00B32E58"/>
    <w:rsid w:val="00B32E6D"/>
    <w:rsid w:val="00B32ECA"/>
    <w:rsid w:val="00B32EE8"/>
    <w:rsid w:val="00B32F0F"/>
    <w:rsid w:val="00B32F95"/>
    <w:rsid w:val="00B32F99"/>
    <w:rsid w:val="00B33063"/>
    <w:rsid w:val="00B33081"/>
    <w:rsid w:val="00B330AA"/>
    <w:rsid w:val="00B330D6"/>
    <w:rsid w:val="00B330D8"/>
    <w:rsid w:val="00B330F1"/>
    <w:rsid w:val="00B330F2"/>
    <w:rsid w:val="00B33105"/>
    <w:rsid w:val="00B3310D"/>
    <w:rsid w:val="00B33126"/>
    <w:rsid w:val="00B331BF"/>
    <w:rsid w:val="00B331E4"/>
    <w:rsid w:val="00B332D1"/>
    <w:rsid w:val="00B3336F"/>
    <w:rsid w:val="00B333D0"/>
    <w:rsid w:val="00B3340E"/>
    <w:rsid w:val="00B33537"/>
    <w:rsid w:val="00B335A4"/>
    <w:rsid w:val="00B33620"/>
    <w:rsid w:val="00B33658"/>
    <w:rsid w:val="00B33667"/>
    <w:rsid w:val="00B33751"/>
    <w:rsid w:val="00B3376F"/>
    <w:rsid w:val="00B337D0"/>
    <w:rsid w:val="00B337FB"/>
    <w:rsid w:val="00B33807"/>
    <w:rsid w:val="00B33815"/>
    <w:rsid w:val="00B338C9"/>
    <w:rsid w:val="00B33977"/>
    <w:rsid w:val="00B3397F"/>
    <w:rsid w:val="00B339A9"/>
    <w:rsid w:val="00B339BE"/>
    <w:rsid w:val="00B33ADC"/>
    <w:rsid w:val="00B33AF5"/>
    <w:rsid w:val="00B33BA2"/>
    <w:rsid w:val="00B33BBC"/>
    <w:rsid w:val="00B33BBD"/>
    <w:rsid w:val="00B33C4F"/>
    <w:rsid w:val="00B33D11"/>
    <w:rsid w:val="00B33D12"/>
    <w:rsid w:val="00B33D85"/>
    <w:rsid w:val="00B33E0F"/>
    <w:rsid w:val="00B33E2C"/>
    <w:rsid w:val="00B33E52"/>
    <w:rsid w:val="00B33EA3"/>
    <w:rsid w:val="00B33EA7"/>
    <w:rsid w:val="00B33EC2"/>
    <w:rsid w:val="00B33F0B"/>
    <w:rsid w:val="00B33F2D"/>
    <w:rsid w:val="00B34077"/>
    <w:rsid w:val="00B340DE"/>
    <w:rsid w:val="00B3418F"/>
    <w:rsid w:val="00B34192"/>
    <w:rsid w:val="00B341A0"/>
    <w:rsid w:val="00B341AF"/>
    <w:rsid w:val="00B341D2"/>
    <w:rsid w:val="00B341EF"/>
    <w:rsid w:val="00B3420C"/>
    <w:rsid w:val="00B34290"/>
    <w:rsid w:val="00B342A7"/>
    <w:rsid w:val="00B342DE"/>
    <w:rsid w:val="00B34320"/>
    <w:rsid w:val="00B3434D"/>
    <w:rsid w:val="00B343E5"/>
    <w:rsid w:val="00B343F3"/>
    <w:rsid w:val="00B34465"/>
    <w:rsid w:val="00B34526"/>
    <w:rsid w:val="00B34698"/>
    <w:rsid w:val="00B346B2"/>
    <w:rsid w:val="00B346EC"/>
    <w:rsid w:val="00B3472E"/>
    <w:rsid w:val="00B34778"/>
    <w:rsid w:val="00B3479B"/>
    <w:rsid w:val="00B3480B"/>
    <w:rsid w:val="00B348A1"/>
    <w:rsid w:val="00B34949"/>
    <w:rsid w:val="00B34970"/>
    <w:rsid w:val="00B3497F"/>
    <w:rsid w:val="00B34997"/>
    <w:rsid w:val="00B34A1D"/>
    <w:rsid w:val="00B34A6F"/>
    <w:rsid w:val="00B34A8A"/>
    <w:rsid w:val="00B34AB5"/>
    <w:rsid w:val="00B34ACF"/>
    <w:rsid w:val="00B34B57"/>
    <w:rsid w:val="00B34B9F"/>
    <w:rsid w:val="00B34BAA"/>
    <w:rsid w:val="00B34C1D"/>
    <w:rsid w:val="00B34C83"/>
    <w:rsid w:val="00B34D1F"/>
    <w:rsid w:val="00B34DEB"/>
    <w:rsid w:val="00B34E0A"/>
    <w:rsid w:val="00B34E34"/>
    <w:rsid w:val="00B34E89"/>
    <w:rsid w:val="00B34EC7"/>
    <w:rsid w:val="00B34ED8"/>
    <w:rsid w:val="00B34F9C"/>
    <w:rsid w:val="00B34FCA"/>
    <w:rsid w:val="00B35082"/>
    <w:rsid w:val="00B350CA"/>
    <w:rsid w:val="00B350CE"/>
    <w:rsid w:val="00B350F9"/>
    <w:rsid w:val="00B35152"/>
    <w:rsid w:val="00B35235"/>
    <w:rsid w:val="00B35284"/>
    <w:rsid w:val="00B3531C"/>
    <w:rsid w:val="00B35405"/>
    <w:rsid w:val="00B35461"/>
    <w:rsid w:val="00B3546E"/>
    <w:rsid w:val="00B35494"/>
    <w:rsid w:val="00B35686"/>
    <w:rsid w:val="00B356BE"/>
    <w:rsid w:val="00B35757"/>
    <w:rsid w:val="00B35AA3"/>
    <w:rsid w:val="00B35AA6"/>
    <w:rsid w:val="00B35ACF"/>
    <w:rsid w:val="00B35B45"/>
    <w:rsid w:val="00B35B48"/>
    <w:rsid w:val="00B35BA3"/>
    <w:rsid w:val="00B35BED"/>
    <w:rsid w:val="00B35C27"/>
    <w:rsid w:val="00B35C2F"/>
    <w:rsid w:val="00B35C33"/>
    <w:rsid w:val="00B35C85"/>
    <w:rsid w:val="00B35CC5"/>
    <w:rsid w:val="00B35D25"/>
    <w:rsid w:val="00B35D28"/>
    <w:rsid w:val="00B35D95"/>
    <w:rsid w:val="00B35DA3"/>
    <w:rsid w:val="00B35E09"/>
    <w:rsid w:val="00B35E0C"/>
    <w:rsid w:val="00B35EF5"/>
    <w:rsid w:val="00B35F4E"/>
    <w:rsid w:val="00B35F73"/>
    <w:rsid w:val="00B36025"/>
    <w:rsid w:val="00B3610A"/>
    <w:rsid w:val="00B36171"/>
    <w:rsid w:val="00B361BF"/>
    <w:rsid w:val="00B36207"/>
    <w:rsid w:val="00B3620C"/>
    <w:rsid w:val="00B36227"/>
    <w:rsid w:val="00B36279"/>
    <w:rsid w:val="00B362C0"/>
    <w:rsid w:val="00B362EF"/>
    <w:rsid w:val="00B362F6"/>
    <w:rsid w:val="00B36433"/>
    <w:rsid w:val="00B36453"/>
    <w:rsid w:val="00B365E2"/>
    <w:rsid w:val="00B36607"/>
    <w:rsid w:val="00B36702"/>
    <w:rsid w:val="00B3672B"/>
    <w:rsid w:val="00B367E4"/>
    <w:rsid w:val="00B36831"/>
    <w:rsid w:val="00B36843"/>
    <w:rsid w:val="00B368F8"/>
    <w:rsid w:val="00B3691F"/>
    <w:rsid w:val="00B369CD"/>
    <w:rsid w:val="00B36A09"/>
    <w:rsid w:val="00B36A53"/>
    <w:rsid w:val="00B36A73"/>
    <w:rsid w:val="00B36A89"/>
    <w:rsid w:val="00B36A91"/>
    <w:rsid w:val="00B36B23"/>
    <w:rsid w:val="00B36B5B"/>
    <w:rsid w:val="00B36B96"/>
    <w:rsid w:val="00B36BA5"/>
    <w:rsid w:val="00B36BAA"/>
    <w:rsid w:val="00B36BB6"/>
    <w:rsid w:val="00B36C08"/>
    <w:rsid w:val="00B36C2F"/>
    <w:rsid w:val="00B36C41"/>
    <w:rsid w:val="00B36C4C"/>
    <w:rsid w:val="00B36C53"/>
    <w:rsid w:val="00B36C54"/>
    <w:rsid w:val="00B36C9F"/>
    <w:rsid w:val="00B36CAA"/>
    <w:rsid w:val="00B36D4F"/>
    <w:rsid w:val="00B36D55"/>
    <w:rsid w:val="00B36DE7"/>
    <w:rsid w:val="00B36DF0"/>
    <w:rsid w:val="00B36E05"/>
    <w:rsid w:val="00B36E09"/>
    <w:rsid w:val="00B36E9E"/>
    <w:rsid w:val="00B36FA4"/>
    <w:rsid w:val="00B36FD6"/>
    <w:rsid w:val="00B3701F"/>
    <w:rsid w:val="00B3702B"/>
    <w:rsid w:val="00B37085"/>
    <w:rsid w:val="00B37086"/>
    <w:rsid w:val="00B3710D"/>
    <w:rsid w:val="00B3714C"/>
    <w:rsid w:val="00B37171"/>
    <w:rsid w:val="00B371A4"/>
    <w:rsid w:val="00B371C6"/>
    <w:rsid w:val="00B371EF"/>
    <w:rsid w:val="00B37221"/>
    <w:rsid w:val="00B37255"/>
    <w:rsid w:val="00B37266"/>
    <w:rsid w:val="00B3729A"/>
    <w:rsid w:val="00B3730B"/>
    <w:rsid w:val="00B3733F"/>
    <w:rsid w:val="00B3743E"/>
    <w:rsid w:val="00B3747B"/>
    <w:rsid w:val="00B374FF"/>
    <w:rsid w:val="00B37525"/>
    <w:rsid w:val="00B3757C"/>
    <w:rsid w:val="00B375D7"/>
    <w:rsid w:val="00B3761E"/>
    <w:rsid w:val="00B37651"/>
    <w:rsid w:val="00B3767D"/>
    <w:rsid w:val="00B37694"/>
    <w:rsid w:val="00B3771E"/>
    <w:rsid w:val="00B37756"/>
    <w:rsid w:val="00B3775F"/>
    <w:rsid w:val="00B377BF"/>
    <w:rsid w:val="00B37801"/>
    <w:rsid w:val="00B3780A"/>
    <w:rsid w:val="00B3783C"/>
    <w:rsid w:val="00B378AC"/>
    <w:rsid w:val="00B37945"/>
    <w:rsid w:val="00B3794F"/>
    <w:rsid w:val="00B37973"/>
    <w:rsid w:val="00B37A1E"/>
    <w:rsid w:val="00B37A6F"/>
    <w:rsid w:val="00B37A73"/>
    <w:rsid w:val="00B37AB9"/>
    <w:rsid w:val="00B37B00"/>
    <w:rsid w:val="00B37B33"/>
    <w:rsid w:val="00B37B97"/>
    <w:rsid w:val="00B37BB4"/>
    <w:rsid w:val="00B37C0F"/>
    <w:rsid w:val="00B37C14"/>
    <w:rsid w:val="00B37C33"/>
    <w:rsid w:val="00B37C57"/>
    <w:rsid w:val="00B37C82"/>
    <w:rsid w:val="00B37CBC"/>
    <w:rsid w:val="00B37CD2"/>
    <w:rsid w:val="00B37CDC"/>
    <w:rsid w:val="00B37D50"/>
    <w:rsid w:val="00B37E1E"/>
    <w:rsid w:val="00B37E26"/>
    <w:rsid w:val="00B37E7A"/>
    <w:rsid w:val="00B37E9F"/>
    <w:rsid w:val="00B37EA7"/>
    <w:rsid w:val="00B37EDB"/>
    <w:rsid w:val="00B37EEE"/>
    <w:rsid w:val="00B37F06"/>
    <w:rsid w:val="00B40007"/>
    <w:rsid w:val="00B4006C"/>
    <w:rsid w:val="00B40071"/>
    <w:rsid w:val="00B401FA"/>
    <w:rsid w:val="00B401FD"/>
    <w:rsid w:val="00B40252"/>
    <w:rsid w:val="00B4029E"/>
    <w:rsid w:val="00B402DF"/>
    <w:rsid w:val="00B402E4"/>
    <w:rsid w:val="00B402E8"/>
    <w:rsid w:val="00B403C3"/>
    <w:rsid w:val="00B40461"/>
    <w:rsid w:val="00B404BC"/>
    <w:rsid w:val="00B404C6"/>
    <w:rsid w:val="00B40504"/>
    <w:rsid w:val="00B40591"/>
    <w:rsid w:val="00B40594"/>
    <w:rsid w:val="00B4060F"/>
    <w:rsid w:val="00B4064F"/>
    <w:rsid w:val="00B4065C"/>
    <w:rsid w:val="00B40675"/>
    <w:rsid w:val="00B406AB"/>
    <w:rsid w:val="00B406DA"/>
    <w:rsid w:val="00B4079E"/>
    <w:rsid w:val="00B407DC"/>
    <w:rsid w:val="00B40824"/>
    <w:rsid w:val="00B40872"/>
    <w:rsid w:val="00B408D2"/>
    <w:rsid w:val="00B408D9"/>
    <w:rsid w:val="00B40900"/>
    <w:rsid w:val="00B40961"/>
    <w:rsid w:val="00B40987"/>
    <w:rsid w:val="00B40A49"/>
    <w:rsid w:val="00B40A51"/>
    <w:rsid w:val="00B40B2D"/>
    <w:rsid w:val="00B40B32"/>
    <w:rsid w:val="00B40C4F"/>
    <w:rsid w:val="00B40CDD"/>
    <w:rsid w:val="00B40CE9"/>
    <w:rsid w:val="00B40D2E"/>
    <w:rsid w:val="00B40DCE"/>
    <w:rsid w:val="00B40DEC"/>
    <w:rsid w:val="00B40DFD"/>
    <w:rsid w:val="00B40EA4"/>
    <w:rsid w:val="00B40F46"/>
    <w:rsid w:val="00B40F5F"/>
    <w:rsid w:val="00B40F68"/>
    <w:rsid w:val="00B40F92"/>
    <w:rsid w:val="00B4100A"/>
    <w:rsid w:val="00B4103E"/>
    <w:rsid w:val="00B410D4"/>
    <w:rsid w:val="00B410FF"/>
    <w:rsid w:val="00B4112D"/>
    <w:rsid w:val="00B411BF"/>
    <w:rsid w:val="00B41212"/>
    <w:rsid w:val="00B41265"/>
    <w:rsid w:val="00B4126E"/>
    <w:rsid w:val="00B41385"/>
    <w:rsid w:val="00B413D7"/>
    <w:rsid w:val="00B4140B"/>
    <w:rsid w:val="00B4140C"/>
    <w:rsid w:val="00B4144B"/>
    <w:rsid w:val="00B4146F"/>
    <w:rsid w:val="00B4147B"/>
    <w:rsid w:val="00B414BF"/>
    <w:rsid w:val="00B414F2"/>
    <w:rsid w:val="00B414F8"/>
    <w:rsid w:val="00B41565"/>
    <w:rsid w:val="00B4157B"/>
    <w:rsid w:val="00B41694"/>
    <w:rsid w:val="00B41711"/>
    <w:rsid w:val="00B417D1"/>
    <w:rsid w:val="00B41824"/>
    <w:rsid w:val="00B41828"/>
    <w:rsid w:val="00B4187F"/>
    <w:rsid w:val="00B4188D"/>
    <w:rsid w:val="00B418BB"/>
    <w:rsid w:val="00B4191D"/>
    <w:rsid w:val="00B4193B"/>
    <w:rsid w:val="00B41957"/>
    <w:rsid w:val="00B419FC"/>
    <w:rsid w:val="00B41A0B"/>
    <w:rsid w:val="00B41B05"/>
    <w:rsid w:val="00B41B0A"/>
    <w:rsid w:val="00B41BFA"/>
    <w:rsid w:val="00B41C02"/>
    <w:rsid w:val="00B41C29"/>
    <w:rsid w:val="00B41C2E"/>
    <w:rsid w:val="00B41C70"/>
    <w:rsid w:val="00B41C9C"/>
    <w:rsid w:val="00B41CAE"/>
    <w:rsid w:val="00B41D0E"/>
    <w:rsid w:val="00B41D36"/>
    <w:rsid w:val="00B41D50"/>
    <w:rsid w:val="00B41DA8"/>
    <w:rsid w:val="00B41E11"/>
    <w:rsid w:val="00B41E17"/>
    <w:rsid w:val="00B41E2D"/>
    <w:rsid w:val="00B41EBA"/>
    <w:rsid w:val="00B41EC4"/>
    <w:rsid w:val="00B41EE9"/>
    <w:rsid w:val="00B41F36"/>
    <w:rsid w:val="00B42028"/>
    <w:rsid w:val="00B4202B"/>
    <w:rsid w:val="00B420EC"/>
    <w:rsid w:val="00B4227B"/>
    <w:rsid w:val="00B4227F"/>
    <w:rsid w:val="00B4228C"/>
    <w:rsid w:val="00B422AB"/>
    <w:rsid w:val="00B422C3"/>
    <w:rsid w:val="00B42345"/>
    <w:rsid w:val="00B42353"/>
    <w:rsid w:val="00B423CF"/>
    <w:rsid w:val="00B42492"/>
    <w:rsid w:val="00B424EC"/>
    <w:rsid w:val="00B42513"/>
    <w:rsid w:val="00B4259B"/>
    <w:rsid w:val="00B4259D"/>
    <w:rsid w:val="00B425F1"/>
    <w:rsid w:val="00B42652"/>
    <w:rsid w:val="00B426BB"/>
    <w:rsid w:val="00B426DA"/>
    <w:rsid w:val="00B426F2"/>
    <w:rsid w:val="00B426FD"/>
    <w:rsid w:val="00B427AC"/>
    <w:rsid w:val="00B427D3"/>
    <w:rsid w:val="00B4285A"/>
    <w:rsid w:val="00B428BD"/>
    <w:rsid w:val="00B42998"/>
    <w:rsid w:val="00B429A7"/>
    <w:rsid w:val="00B429B2"/>
    <w:rsid w:val="00B42ACE"/>
    <w:rsid w:val="00B42AF0"/>
    <w:rsid w:val="00B42AF1"/>
    <w:rsid w:val="00B42B82"/>
    <w:rsid w:val="00B42C87"/>
    <w:rsid w:val="00B42D0E"/>
    <w:rsid w:val="00B42D22"/>
    <w:rsid w:val="00B42D27"/>
    <w:rsid w:val="00B42DB0"/>
    <w:rsid w:val="00B42E0A"/>
    <w:rsid w:val="00B42E51"/>
    <w:rsid w:val="00B42E63"/>
    <w:rsid w:val="00B42E6F"/>
    <w:rsid w:val="00B42E7A"/>
    <w:rsid w:val="00B42E8F"/>
    <w:rsid w:val="00B42ECB"/>
    <w:rsid w:val="00B42FCD"/>
    <w:rsid w:val="00B42FFF"/>
    <w:rsid w:val="00B43073"/>
    <w:rsid w:val="00B43095"/>
    <w:rsid w:val="00B430C9"/>
    <w:rsid w:val="00B431EA"/>
    <w:rsid w:val="00B4320A"/>
    <w:rsid w:val="00B4323B"/>
    <w:rsid w:val="00B43276"/>
    <w:rsid w:val="00B432A7"/>
    <w:rsid w:val="00B43301"/>
    <w:rsid w:val="00B433B5"/>
    <w:rsid w:val="00B433FC"/>
    <w:rsid w:val="00B4341A"/>
    <w:rsid w:val="00B43442"/>
    <w:rsid w:val="00B43531"/>
    <w:rsid w:val="00B4356C"/>
    <w:rsid w:val="00B43574"/>
    <w:rsid w:val="00B435DB"/>
    <w:rsid w:val="00B435F9"/>
    <w:rsid w:val="00B43695"/>
    <w:rsid w:val="00B437B6"/>
    <w:rsid w:val="00B437E5"/>
    <w:rsid w:val="00B438C4"/>
    <w:rsid w:val="00B438D1"/>
    <w:rsid w:val="00B4392D"/>
    <w:rsid w:val="00B43987"/>
    <w:rsid w:val="00B4399D"/>
    <w:rsid w:val="00B43A0D"/>
    <w:rsid w:val="00B43AD5"/>
    <w:rsid w:val="00B43B45"/>
    <w:rsid w:val="00B43B61"/>
    <w:rsid w:val="00B43B77"/>
    <w:rsid w:val="00B43C38"/>
    <w:rsid w:val="00B43C5A"/>
    <w:rsid w:val="00B43C74"/>
    <w:rsid w:val="00B43CCE"/>
    <w:rsid w:val="00B43D04"/>
    <w:rsid w:val="00B43D93"/>
    <w:rsid w:val="00B43DCC"/>
    <w:rsid w:val="00B43DFD"/>
    <w:rsid w:val="00B43E88"/>
    <w:rsid w:val="00B43EA7"/>
    <w:rsid w:val="00B43F2E"/>
    <w:rsid w:val="00B43FD8"/>
    <w:rsid w:val="00B44008"/>
    <w:rsid w:val="00B44076"/>
    <w:rsid w:val="00B440A7"/>
    <w:rsid w:val="00B44105"/>
    <w:rsid w:val="00B44119"/>
    <w:rsid w:val="00B44222"/>
    <w:rsid w:val="00B44293"/>
    <w:rsid w:val="00B44314"/>
    <w:rsid w:val="00B44319"/>
    <w:rsid w:val="00B44389"/>
    <w:rsid w:val="00B443BC"/>
    <w:rsid w:val="00B443FC"/>
    <w:rsid w:val="00B44443"/>
    <w:rsid w:val="00B44474"/>
    <w:rsid w:val="00B44494"/>
    <w:rsid w:val="00B4449A"/>
    <w:rsid w:val="00B444F3"/>
    <w:rsid w:val="00B444F9"/>
    <w:rsid w:val="00B4453D"/>
    <w:rsid w:val="00B44575"/>
    <w:rsid w:val="00B4457F"/>
    <w:rsid w:val="00B445A5"/>
    <w:rsid w:val="00B445D9"/>
    <w:rsid w:val="00B445E8"/>
    <w:rsid w:val="00B44682"/>
    <w:rsid w:val="00B446A6"/>
    <w:rsid w:val="00B44716"/>
    <w:rsid w:val="00B44724"/>
    <w:rsid w:val="00B44729"/>
    <w:rsid w:val="00B447DA"/>
    <w:rsid w:val="00B447F2"/>
    <w:rsid w:val="00B44867"/>
    <w:rsid w:val="00B448D1"/>
    <w:rsid w:val="00B44934"/>
    <w:rsid w:val="00B44956"/>
    <w:rsid w:val="00B44978"/>
    <w:rsid w:val="00B449A6"/>
    <w:rsid w:val="00B449DF"/>
    <w:rsid w:val="00B44A51"/>
    <w:rsid w:val="00B44A85"/>
    <w:rsid w:val="00B44A98"/>
    <w:rsid w:val="00B44A9F"/>
    <w:rsid w:val="00B44AEF"/>
    <w:rsid w:val="00B44B6A"/>
    <w:rsid w:val="00B44B73"/>
    <w:rsid w:val="00B44B86"/>
    <w:rsid w:val="00B44BD7"/>
    <w:rsid w:val="00B44C36"/>
    <w:rsid w:val="00B44C92"/>
    <w:rsid w:val="00B44D0E"/>
    <w:rsid w:val="00B44DDA"/>
    <w:rsid w:val="00B44DE2"/>
    <w:rsid w:val="00B44E8C"/>
    <w:rsid w:val="00B44EE5"/>
    <w:rsid w:val="00B44FC9"/>
    <w:rsid w:val="00B4509A"/>
    <w:rsid w:val="00B4511C"/>
    <w:rsid w:val="00B45129"/>
    <w:rsid w:val="00B45177"/>
    <w:rsid w:val="00B451B7"/>
    <w:rsid w:val="00B451F6"/>
    <w:rsid w:val="00B4528D"/>
    <w:rsid w:val="00B452CC"/>
    <w:rsid w:val="00B45344"/>
    <w:rsid w:val="00B45360"/>
    <w:rsid w:val="00B453AF"/>
    <w:rsid w:val="00B453B1"/>
    <w:rsid w:val="00B45484"/>
    <w:rsid w:val="00B45549"/>
    <w:rsid w:val="00B45672"/>
    <w:rsid w:val="00B456C8"/>
    <w:rsid w:val="00B457AF"/>
    <w:rsid w:val="00B4582B"/>
    <w:rsid w:val="00B45831"/>
    <w:rsid w:val="00B458BF"/>
    <w:rsid w:val="00B45980"/>
    <w:rsid w:val="00B45A0A"/>
    <w:rsid w:val="00B45A60"/>
    <w:rsid w:val="00B45A84"/>
    <w:rsid w:val="00B45AC1"/>
    <w:rsid w:val="00B45AD2"/>
    <w:rsid w:val="00B45B19"/>
    <w:rsid w:val="00B45B52"/>
    <w:rsid w:val="00B45BA2"/>
    <w:rsid w:val="00B45BA6"/>
    <w:rsid w:val="00B45C13"/>
    <w:rsid w:val="00B45C7E"/>
    <w:rsid w:val="00B45CC5"/>
    <w:rsid w:val="00B45D00"/>
    <w:rsid w:val="00B45D37"/>
    <w:rsid w:val="00B45E69"/>
    <w:rsid w:val="00B45ECE"/>
    <w:rsid w:val="00B45F10"/>
    <w:rsid w:val="00B45FBB"/>
    <w:rsid w:val="00B45FCE"/>
    <w:rsid w:val="00B4606F"/>
    <w:rsid w:val="00B460FA"/>
    <w:rsid w:val="00B46143"/>
    <w:rsid w:val="00B46149"/>
    <w:rsid w:val="00B461E6"/>
    <w:rsid w:val="00B461F0"/>
    <w:rsid w:val="00B461FC"/>
    <w:rsid w:val="00B4622A"/>
    <w:rsid w:val="00B4634B"/>
    <w:rsid w:val="00B46373"/>
    <w:rsid w:val="00B4637F"/>
    <w:rsid w:val="00B463C2"/>
    <w:rsid w:val="00B463C8"/>
    <w:rsid w:val="00B464EF"/>
    <w:rsid w:val="00B46506"/>
    <w:rsid w:val="00B4651E"/>
    <w:rsid w:val="00B46552"/>
    <w:rsid w:val="00B46654"/>
    <w:rsid w:val="00B466DA"/>
    <w:rsid w:val="00B4675B"/>
    <w:rsid w:val="00B467EE"/>
    <w:rsid w:val="00B467FD"/>
    <w:rsid w:val="00B46841"/>
    <w:rsid w:val="00B468A0"/>
    <w:rsid w:val="00B468D4"/>
    <w:rsid w:val="00B46900"/>
    <w:rsid w:val="00B46943"/>
    <w:rsid w:val="00B4698E"/>
    <w:rsid w:val="00B46A09"/>
    <w:rsid w:val="00B46A2A"/>
    <w:rsid w:val="00B46A3F"/>
    <w:rsid w:val="00B46A71"/>
    <w:rsid w:val="00B46A7F"/>
    <w:rsid w:val="00B46ADC"/>
    <w:rsid w:val="00B46C33"/>
    <w:rsid w:val="00B46DF3"/>
    <w:rsid w:val="00B46E1C"/>
    <w:rsid w:val="00B46E60"/>
    <w:rsid w:val="00B46EAA"/>
    <w:rsid w:val="00B46F10"/>
    <w:rsid w:val="00B46F3E"/>
    <w:rsid w:val="00B46F59"/>
    <w:rsid w:val="00B46F95"/>
    <w:rsid w:val="00B46FDE"/>
    <w:rsid w:val="00B47031"/>
    <w:rsid w:val="00B47039"/>
    <w:rsid w:val="00B4707B"/>
    <w:rsid w:val="00B47098"/>
    <w:rsid w:val="00B4709A"/>
    <w:rsid w:val="00B470CC"/>
    <w:rsid w:val="00B47215"/>
    <w:rsid w:val="00B4722D"/>
    <w:rsid w:val="00B47239"/>
    <w:rsid w:val="00B472EA"/>
    <w:rsid w:val="00B47336"/>
    <w:rsid w:val="00B4734D"/>
    <w:rsid w:val="00B47371"/>
    <w:rsid w:val="00B4743D"/>
    <w:rsid w:val="00B47515"/>
    <w:rsid w:val="00B47529"/>
    <w:rsid w:val="00B47578"/>
    <w:rsid w:val="00B47593"/>
    <w:rsid w:val="00B475BA"/>
    <w:rsid w:val="00B47627"/>
    <w:rsid w:val="00B4768E"/>
    <w:rsid w:val="00B476E6"/>
    <w:rsid w:val="00B477D6"/>
    <w:rsid w:val="00B4785C"/>
    <w:rsid w:val="00B4786E"/>
    <w:rsid w:val="00B478F1"/>
    <w:rsid w:val="00B47910"/>
    <w:rsid w:val="00B4792D"/>
    <w:rsid w:val="00B4793A"/>
    <w:rsid w:val="00B47941"/>
    <w:rsid w:val="00B479F6"/>
    <w:rsid w:val="00B47A40"/>
    <w:rsid w:val="00B47A84"/>
    <w:rsid w:val="00B47AB2"/>
    <w:rsid w:val="00B47B13"/>
    <w:rsid w:val="00B47B38"/>
    <w:rsid w:val="00B47B3F"/>
    <w:rsid w:val="00B47B41"/>
    <w:rsid w:val="00B47B62"/>
    <w:rsid w:val="00B47B95"/>
    <w:rsid w:val="00B47C71"/>
    <w:rsid w:val="00B47C72"/>
    <w:rsid w:val="00B47C80"/>
    <w:rsid w:val="00B47CC9"/>
    <w:rsid w:val="00B47D4B"/>
    <w:rsid w:val="00B47DA1"/>
    <w:rsid w:val="00B47E08"/>
    <w:rsid w:val="00B47E0C"/>
    <w:rsid w:val="00B47EB0"/>
    <w:rsid w:val="00B47EB4"/>
    <w:rsid w:val="00B47F28"/>
    <w:rsid w:val="00B47F6E"/>
    <w:rsid w:val="00B47F6F"/>
    <w:rsid w:val="00B47F73"/>
    <w:rsid w:val="00B5008F"/>
    <w:rsid w:val="00B500B8"/>
    <w:rsid w:val="00B500FC"/>
    <w:rsid w:val="00B5011C"/>
    <w:rsid w:val="00B50135"/>
    <w:rsid w:val="00B5013A"/>
    <w:rsid w:val="00B50177"/>
    <w:rsid w:val="00B501B6"/>
    <w:rsid w:val="00B501F8"/>
    <w:rsid w:val="00B50201"/>
    <w:rsid w:val="00B50209"/>
    <w:rsid w:val="00B50215"/>
    <w:rsid w:val="00B50253"/>
    <w:rsid w:val="00B50266"/>
    <w:rsid w:val="00B502FE"/>
    <w:rsid w:val="00B50384"/>
    <w:rsid w:val="00B50449"/>
    <w:rsid w:val="00B504ED"/>
    <w:rsid w:val="00B50501"/>
    <w:rsid w:val="00B50554"/>
    <w:rsid w:val="00B5064D"/>
    <w:rsid w:val="00B507A2"/>
    <w:rsid w:val="00B50833"/>
    <w:rsid w:val="00B5085D"/>
    <w:rsid w:val="00B50869"/>
    <w:rsid w:val="00B508CB"/>
    <w:rsid w:val="00B5094D"/>
    <w:rsid w:val="00B50994"/>
    <w:rsid w:val="00B509A7"/>
    <w:rsid w:val="00B509B4"/>
    <w:rsid w:val="00B509C8"/>
    <w:rsid w:val="00B509D6"/>
    <w:rsid w:val="00B509F4"/>
    <w:rsid w:val="00B50AC2"/>
    <w:rsid w:val="00B50AE7"/>
    <w:rsid w:val="00B50AFA"/>
    <w:rsid w:val="00B50B3B"/>
    <w:rsid w:val="00B50B4B"/>
    <w:rsid w:val="00B50B4C"/>
    <w:rsid w:val="00B50BE4"/>
    <w:rsid w:val="00B50C60"/>
    <w:rsid w:val="00B50CC3"/>
    <w:rsid w:val="00B50D1A"/>
    <w:rsid w:val="00B50D4D"/>
    <w:rsid w:val="00B50D60"/>
    <w:rsid w:val="00B50D6A"/>
    <w:rsid w:val="00B50D6C"/>
    <w:rsid w:val="00B50D73"/>
    <w:rsid w:val="00B50D80"/>
    <w:rsid w:val="00B50D96"/>
    <w:rsid w:val="00B50DC1"/>
    <w:rsid w:val="00B50E16"/>
    <w:rsid w:val="00B50E27"/>
    <w:rsid w:val="00B50E46"/>
    <w:rsid w:val="00B50E74"/>
    <w:rsid w:val="00B50EE9"/>
    <w:rsid w:val="00B50F2D"/>
    <w:rsid w:val="00B50FA6"/>
    <w:rsid w:val="00B5104C"/>
    <w:rsid w:val="00B510AD"/>
    <w:rsid w:val="00B510F0"/>
    <w:rsid w:val="00B510F4"/>
    <w:rsid w:val="00B51127"/>
    <w:rsid w:val="00B51167"/>
    <w:rsid w:val="00B51189"/>
    <w:rsid w:val="00B511B5"/>
    <w:rsid w:val="00B511D3"/>
    <w:rsid w:val="00B5120C"/>
    <w:rsid w:val="00B51268"/>
    <w:rsid w:val="00B51286"/>
    <w:rsid w:val="00B5128B"/>
    <w:rsid w:val="00B5129F"/>
    <w:rsid w:val="00B512D5"/>
    <w:rsid w:val="00B51310"/>
    <w:rsid w:val="00B51312"/>
    <w:rsid w:val="00B51346"/>
    <w:rsid w:val="00B51359"/>
    <w:rsid w:val="00B51379"/>
    <w:rsid w:val="00B513A3"/>
    <w:rsid w:val="00B513EA"/>
    <w:rsid w:val="00B51417"/>
    <w:rsid w:val="00B51450"/>
    <w:rsid w:val="00B51489"/>
    <w:rsid w:val="00B5149B"/>
    <w:rsid w:val="00B514AF"/>
    <w:rsid w:val="00B5157D"/>
    <w:rsid w:val="00B5159B"/>
    <w:rsid w:val="00B515AE"/>
    <w:rsid w:val="00B515D8"/>
    <w:rsid w:val="00B515FE"/>
    <w:rsid w:val="00B516CF"/>
    <w:rsid w:val="00B51847"/>
    <w:rsid w:val="00B5184B"/>
    <w:rsid w:val="00B51883"/>
    <w:rsid w:val="00B518D3"/>
    <w:rsid w:val="00B518E6"/>
    <w:rsid w:val="00B518F9"/>
    <w:rsid w:val="00B5192E"/>
    <w:rsid w:val="00B5197F"/>
    <w:rsid w:val="00B51A2C"/>
    <w:rsid w:val="00B51A89"/>
    <w:rsid w:val="00B51A95"/>
    <w:rsid w:val="00B51ABD"/>
    <w:rsid w:val="00B51ACE"/>
    <w:rsid w:val="00B51B05"/>
    <w:rsid w:val="00B51B19"/>
    <w:rsid w:val="00B51B52"/>
    <w:rsid w:val="00B51B87"/>
    <w:rsid w:val="00B51BE4"/>
    <w:rsid w:val="00B51C47"/>
    <w:rsid w:val="00B51C49"/>
    <w:rsid w:val="00B51CE1"/>
    <w:rsid w:val="00B51D3A"/>
    <w:rsid w:val="00B51D47"/>
    <w:rsid w:val="00B51D63"/>
    <w:rsid w:val="00B51DA5"/>
    <w:rsid w:val="00B51E3C"/>
    <w:rsid w:val="00B51EC7"/>
    <w:rsid w:val="00B51F40"/>
    <w:rsid w:val="00B51F5B"/>
    <w:rsid w:val="00B52067"/>
    <w:rsid w:val="00B52069"/>
    <w:rsid w:val="00B52076"/>
    <w:rsid w:val="00B52160"/>
    <w:rsid w:val="00B521F1"/>
    <w:rsid w:val="00B52253"/>
    <w:rsid w:val="00B52259"/>
    <w:rsid w:val="00B522D9"/>
    <w:rsid w:val="00B522E0"/>
    <w:rsid w:val="00B52351"/>
    <w:rsid w:val="00B523C7"/>
    <w:rsid w:val="00B5242A"/>
    <w:rsid w:val="00B52472"/>
    <w:rsid w:val="00B5248C"/>
    <w:rsid w:val="00B52503"/>
    <w:rsid w:val="00B5251E"/>
    <w:rsid w:val="00B52571"/>
    <w:rsid w:val="00B525FD"/>
    <w:rsid w:val="00B52628"/>
    <w:rsid w:val="00B5262E"/>
    <w:rsid w:val="00B5265E"/>
    <w:rsid w:val="00B526A5"/>
    <w:rsid w:val="00B52706"/>
    <w:rsid w:val="00B527F1"/>
    <w:rsid w:val="00B527F7"/>
    <w:rsid w:val="00B527F9"/>
    <w:rsid w:val="00B52898"/>
    <w:rsid w:val="00B528E6"/>
    <w:rsid w:val="00B528F5"/>
    <w:rsid w:val="00B5290A"/>
    <w:rsid w:val="00B52911"/>
    <w:rsid w:val="00B529B8"/>
    <w:rsid w:val="00B529F6"/>
    <w:rsid w:val="00B529FC"/>
    <w:rsid w:val="00B52A32"/>
    <w:rsid w:val="00B52A7F"/>
    <w:rsid w:val="00B52A9C"/>
    <w:rsid w:val="00B52AA1"/>
    <w:rsid w:val="00B52AF9"/>
    <w:rsid w:val="00B52B8F"/>
    <w:rsid w:val="00B52C07"/>
    <w:rsid w:val="00B52C2D"/>
    <w:rsid w:val="00B52C4B"/>
    <w:rsid w:val="00B52CA6"/>
    <w:rsid w:val="00B52CCC"/>
    <w:rsid w:val="00B52CD1"/>
    <w:rsid w:val="00B52D11"/>
    <w:rsid w:val="00B52D19"/>
    <w:rsid w:val="00B52D51"/>
    <w:rsid w:val="00B52E11"/>
    <w:rsid w:val="00B52E61"/>
    <w:rsid w:val="00B52E6C"/>
    <w:rsid w:val="00B52F0F"/>
    <w:rsid w:val="00B52FD5"/>
    <w:rsid w:val="00B53053"/>
    <w:rsid w:val="00B53074"/>
    <w:rsid w:val="00B530C6"/>
    <w:rsid w:val="00B53128"/>
    <w:rsid w:val="00B53182"/>
    <w:rsid w:val="00B531C2"/>
    <w:rsid w:val="00B53200"/>
    <w:rsid w:val="00B532A9"/>
    <w:rsid w:val="00B532C3"/>
    <w:rsid w:val="00B533E4"/>
    <w:rsid w:val="00B53421"/>
    <w:rsid w:val="00B5345D"/>
    <w:rsid w:val="00B53461"/>
    <w:rsid w:val="00B5346C"/>
    <w:rsid w:val="00B53497"/>
    <w:rsid w:val="00B534EB"/>
    <w:rsid w:val="00B5358D"/>
    <w:rsid w:val="00B5362A"/>
    <w:rsid w:val="00B5363A"/>
    <w:rsid w:val="00B53702"/>
    <w:rsid w:val="00B53703"/>
    <w:rsid w:val="00B53714"/>
    <w:rsid w:val="00B537DF"/>
    <w:rsid w:val="00B53855"/>
    <w:rsid w:val="00B53879"/>
    <w:rsid w:val="00B53A51"/>
    <w:rsid w:val="00B53A67"/>
    <w:rsid w:val="00B53ADC"/>
    <w:rsid w:val="00B53B27"/>
    <w:rsid w:val="00B53B40"/>
    <w:rsid w:val="00B53C0C"/>
    <w:rsid w:val="00B53C49"/>
    <w:rsid w:val="00B53D91"/>
    <w:rsid w:val="00B53DD8"/>
    <w:rsid w:val="00B53F5B"/>
    <w:rsid w:val="00B53F5F"/>
    <w:rsid w:val="00B53FEC"/>
    <w:rsid w:val="00B54004"/>
    <w:rsid w:val="00B54097"/>
    <w:rsid w:val="00B54099"/>
    <w:rsid w:val="00B54105"/>
    <w:rsid w:val="00B54150"/>
    <w:rsid w:val="00B5419F"/>
    <w:rsid w:val="00B542D3"/>
    <w:rsid w:val="00B54363"/>
    <w:rsid w:val="00B54371"/>
    <w:rsid w:val="00B543D4"/>
    <w:rsid w:val="00B543F8"/>
    <w:rsid w:val="00B54473"/>
    <w:rsid w:val="00B54488"/>
    <w:rsid w:val="00B5451A"/>
    <w:rsid w:val="00B5453F"/>
    <w:rsid w:val="00B54544"/>
    <w:rsid w:val="00B5454C"/>
    <w:rsid w:val="00B54568"/>
    <w:rsid w:val="00B5460A"/>
    <w:rsid w:val="00B5469C"/>
    <w:rsid w:val="00B54778"/>
    <w:rsid w:val="00B547C5"/>
    <w:rsid w:val="00B547DC"/>
    <w:rsid w:val="00B54840"/>
    <w:rsid w:val="00B54873"/>
    <w:rsid w:val="00B5488D"/>
    <w:rsid w:val="00B54A82"/>
    <w:rsid w:val="00B54A99"/>
    <w:rsid w:val="00B54A9A"/>
    <w:rsid w:val="00B54ACB"/>
    <w:rsid w:val="00B54B32"/>
    <w:rsid w:val="00B54B3F"/>
    <w:rsid w:val="00B54BDF"/>
    <w:rsid w:val="00B54C22"/>
    <w:rsid w:val="00B54D22"/>
    <w:rsid w:val="00B54D5A"/>
    <w:rsid w:val="00B54D81"/>
    <w:rsid w:val="00B54D94"/>
    <w:rsid w:val="00B54E58"/>
    <w:rsid w:val="00B54E78"/>
    <w:rsid w:val="00B54EE6"/>
    <w:rsid w:val="00B54F10"/>
    <w:rsid w:val="00B54F3D"/>
    <w:rsid w:val="00B54F42"/>
    <w:rsid w:val="00B54F76"/>
    <w:rsid w:val="00B54FCF"/>
    <w:rsid w:val="00B54FD2"/>
    <w:rsid w:val="00B54FFD"/>
    <w:rsid w:val="00B55091"/>
    <w:rsid w:val="00B550A6"/>
    <w:rsid w:val="00B550D1"/>
    <w:rsid w:val="00B550EA"/>
    <w:rsid w:val="00B55106"/>
    <w:rsid w:val="00B55189"/>
    <w:rsid w:val="00B55217"/>
    <w:rsid w:val="00B552D0"/>
    <w:rsid w:val="00B55386"/>
    <w:rsid w:val="00B5538A"/>
    <w:rsid w:val="00B553E3"/>
    <w:rsid w:val="00B553F5"/>
    <w:rsid w:val="00B55401"/>
    <w:rsid w:val="00B55444"/>
    <w:rsid w:val="00B5545D"/>
    <w:rsid w:val="00B55484"/>
    <w:rsid w:val="00B555E6"/>
    <w:rsid w:val="00B555EE"/>
    <w:rsid w:val="00B5564E"/>
    <w:rsid w:val="00B5565D"/>
    <w:rsid w:val="00B5566A"/>
    <w:rsid w:val="00B55696"/>
    <w:rsid w:val="00B556D0"/>
    <w:rsid w:val="00B556DF"/>
    <w:rsid w:val="00B55755"/>
    <w:rsid w:val="00B55790"/>
    <w:rsid w:val="00B557A7"/>
    <w:rsid w:val="00B557CC"/>
    <w:rsid w:val="00B557E2"/>
    <w:rsid w:val="00B55863"/>
    <w:rsid w:val="00B55879"/>
    <w:rsid w:val="00B558ED"/>
    <w:rsid w:val="00B5596A"/>
    <w:rsid w:val="00B55993"/>
    <w:rsid w:val="00B55994"/>
    <w:rsid w:val="00B5599C"/>
    <w:rsid w:val="00B559AD"/>
    <w:rsid w:val="00B55A00"/>
    <w:rsid w:val="00B55A20"/>
    <w:rsid w:val="00B55A27"/>
    <w:rsid w:val="00B55A3F"/>
    <w:rsid w:val="00B55A40"/>
    <w:rsid w:val="00B55AE3"/>
    <w:rsid w:val="00B55AEB"/>
    <w:rsid w:val="00B55BA9"/>
    <w:rsid w:val="00B55D91"/>
    <w:rsid w:val="00B55DBE"/>
    <w:rsid w:val="00B55DF0"/>
    <w:rsid w:val="00B55E01"/>
    <w:rsid w:val="00B55E3B"/>
    <w:rsid w:val="00B55E79"/>
    <w:rsid w:val="00B55EB5"/>
    <w:rsid w:val="00B55F13"/>
    <w:rsid w:val="00B55F9F"/>
    <w:rsid w:val="00B55FB6"/>
    <w:rsid w:val="00B5609F"/>
    <w:rsid w:val="00B560A9"/>
    <w:rsid w:val="00B560B7"/>
    <w:rsid w:val="00B56139"/>
    <w:rsid w:val="00B56193"/>
    <w:rsid w:val="00B561A5"/>
    <w:rsid w:val="00B5627A"/>
    <w:rsid w:val="00B562A8"/>
    <w:rsid w:val="00B562E8"/>
    <w:rsid w:val="00B56353"/>
    <w:rsid w:val="00B56356"/>
    <w:rsid w:val="00B56357"/>
    <w:rsid w:val="00B56505"/>
    <w:rsid w:val="00B56509"/>
    <w:rsid w:val="00B56528"/>
    <w:rsid w:val="00B56571"/>
    <w:rsid w:val="00B565DB"/>
    <w:rsid w:val="00B56600"/>
    <w:rsid w:val="00B56685"/>
    <w:rsid w:val="00B56731"/>
    <w:rsid w:val="00B5673F"/>
    <w:rsid w:val="00B56775"/>
    <w:rsid w:val="00B5688F"/>
    <w:rsid w:val="00B568A9"/>
    <w:rsid w:val="00B5691F"/>
    <w:rsid w:val="00B56A38"/>
    <w:rsid w:val="00B56AB2"/>
    <w:rsid w:val="00B56BDC"/>
    <w:rsid w:val="00B56CF1"/>
    <w:rsid w:val="00B56D81"/>
    <w:rsid w:val="00B56D92"/>
    <w:rsid w:val="00B56DAA"/>
    <w:rsid w:val="00B56DF7"/>
    <w:rsid w:val="00B56E01"/>
    <w:rsid w:val="00B56E25"/>
    <w:rsid w:val="00B56E3B"/>
    <w:rsid w:val="00B56E4E"/>
    <w:rsid w:val="00B56E94"/>
    <w:rsid w:val="00B56EE3"/>
    <w:rsid w:val="00B56F6E"/>
    <w:rsid w:val="00B56FAC"/>
    <w:rsid w:val="00B56FE1"/>
    <w:rsid w:val="00B56FF7"/>
    <w:rsid w:val="00B570C5"/>
    <w:rsid w:val="00B5710D"/>
    <w:rsid w:val="00B57116"/>
    <w:rsid w:val="00B57137"/>
    <w:rsid w:val="00B571A5"/>
    <w:rsid w:val="00B5721D"/>
    <w:rsid w:val="00B57297"/>
    <w:rsid w:val="00B572D7"/>
    <w:rsid w:val="00B57317"/>
    <w:rsid w:val="00B5733C"/>
    <w:rsid w:val="00B57408"/>
    <w:rsid w:val="00B5742F"/>
    <w:rsid w:val="00B5743D"/>
    <w:rsid w:val="00B57471"/>
    <w:rsid w:val="00B57650"/>
    <w:rsid w:val="00B57667"/>
    <w:rsid w:val="00B5769F"/>
    <w:rsid w:val="00B576A3"/>
    <w:rsid w:val="00B577E4"/>
    <w:rsid w:val="00B577E8"/>
    <w:rsid w:val="00B577FE"/>
    <w:rsid w:val="00B5783B"/>
    <w:rsid w:val="00B57877"/>
    <w:rsid w:val="00B57881"/>
    <w:rsid w:val="00B57943"/>
    <w:rsid w:val="00B5794A"/>
    <w:rsid w:val="00B579B5"/>
    <w:rsid w:val="00B579BB"/>
    <w:rsid w:val="00B57A4B"/>
    <w:rsid w:val="00B57B89"/>
    <w:rsid w:val="00B57BC8"/>
    <w:rsid w:val="00B57BE3"/>
    <w:rsid w:val="00B57C34"/>
    <w:rsid w:val="00B57C98"/>
    <w:rsid w:val="00B57D46"/>
    <w:rsid w:val="00B57D6C"/>
    <w:rsid w:val="00B57DA9"/>
    <w:rsid w:val="00B57DEC"/>
    <w:rsid w:val="00B57E04"/>
    <w:rsid w:val="00B57E70"/>
    <w:rsid w:val="00B57F22"/>
    <w:rsid w:val="00B57F79"/>
    <w:rsid w:val="00B57FAC"/>
    <w:rsid w:val="00B6002E"/>
    <w:rsid w:val="00B60053"/>
    <w:rsid w:val="00B6005C"/>
    <w:rsid w:val="00B60087"/>
    <w:rsid w:val="00B60131"/>
    <w:rsid w:val="00B601B7"/>
    <w:rsid w:val="00B601B8"/>
    <w:rsid w:val="00B60265"/>
    <w:rsid w:val="00B602A6"/>
    <w:rsid w:val="00B602AA"/>
    <w:rsid w:val="00B602E2"/>
    <w:rsid w:val="00B60312"/>
    <w:rsid w:val="00B6033E"/>
    <w:rsid w:val="00B60374"/>
    <w:rsid w:val="00B6038E"/>
    <w:rsid w:val="00B60407"/>
    <w:rsid w:val="00B60410"/>
    <w:rsid w:val="00B6046A"/>
    <w:rsid w:val="00B60509"/>
    <w:rsid w:val="00B6053C"/>
    <w:rsid w:val="00B60586"/>
    <w:rsid w:val="00B605A9"/>
    <w:rsid w:val="00B605CE"/>
    <w:rsid w:val="00B605F8"/>
    <w:rsid w:val="00B60609"/>
    <w:rsid w:val="00B60672"/>
    <w:rsid w:val="00B60701"/>
    <w:rsid w:val="00B6070C"/>
    <w:rsid w:val="00B6073E"/>
    <w:rsid w:val="00B60758"/>
    <w:rsid w:val="00B60784"/>
    <w:rsid w:val="00B60810"/>
    <w:rsid w:val="00B60916"/>
    <w:rsid w:val="00B6096B"/>
    <w:rsid w:val="00B6099E"/>
    <w:rsid w:val="00B609CC"/>
    <w:rsid w:val="00B60A3C"/>
    <w:rsid w:val="00B60A93"/>
    <w:rsid w:val="00B60A99"/>
    <w:rsid w:val="00B60B3A"/>
    <w:rsid w:val="00B60B83"/>
    <w:rsid w:val="00B60B92"/>
    <w:rsid w:val="00B60C9A"/>
    <w:rsid w:val="00B60CBB"/>
    <w:rsid w:val="00B60D5C"/>
    <w:rsid w:val="00B60DBA"/>
    <w:rsid w:val="00B60DFF"/>
    <w:rsid w:val="00B60E1D"/>
    <w:rsid w:val="00B60E4B"/>
    <w:rsid w:val="00B60F6E"/>
    <w:rsid w:val="00B60FA6"/>
    <w:rsid w:val="00B60FE2"/>
    <w:rsid w:val="00B60FFF"/>
    <w:rsid w:val="00B6100B"/>
    <w:rsid w:val="00B61102"/>
    <w:rsid w:val="00B611EF"/>
    <w:rsid w:val="00B611F3"/>
    <w:rsid w:val="00B6120C"/>
    <w:rsid w:val="00B6123F"/>
    <w:rsid w:val="00B6127E"/>
    <w:rsid w:val="00B612FD"/>
    <w:rsid w:val="00B6133C"/>
    <w:rsid w:val="00B61351"/>
    <w:rsid w:val="00B613E3"/>
    <w:rsid w:val="00B6145D"/>
    <w:rsid w:val="00B61470"/>
    <w:rsid w:val="00B614BE"/>
    <w:rsid w:val="00B61513"/>
    <w:rsid w:val="00B6151C"/>
    <w:rsid w:val="00B6154E"/>
    <w:rsid w:val="00B61579"/>
    <w:rsid w:val="00B6161C"/>
    <w:rsid w:val="00B6166E"/>
    <w:rsid w:val="00B617D9"/>
    <w:rsid w:val="00B61816"/>
    <w:rsid w:val="00B6184C"/>
    <w:rsid w:val="00B618E9"/>
    <w:rsid w:val="00B61918"/>
    <w:rsid w:val="00B61A01"/>
    <w:rsid w:val="00B61A1B"/>
    <w:rsid w:val="00B61A20"/>
    <w:rsid w:val="00B61A90"/>
    <w:rsid w:val="00B61ACE"/>
    <w:rsid w:val="00B61AE1"/>
    <w:rsid w:val="00B61B4F"/>
    <w:rsid w:val="00B61CBA"/>
    <w:rsid w:val="00B61CD3"/>
    <w:rsid w:val="00B61CF6"/>
    <w:rsid w:val="00B61D65"/>
    <w:rsid w:val="00B61DD2"/>
    <w:rsid w:val="00B61DF8"/>
    <w:rsid w:val="00B61E9B"/>
    <w:rsid w:val="00B61F05"/>
    <w:rsid w:val="00B61F6C"/>
    <w:rsid w:val="00B61FA3"/>
    <w:rsid w:val="00B61FA5"/>
    <w:rsid w:val="00B61FDD"/>
    <w:rsid w:val="00B62001"/>
    <w:rsid w:val="00B620CD"/>
    <w:rsid w:val="00B62122"/>
    <w:rsid w:val="00B6213C"/>
    <w:rsid w:val="00B62257"/>
    <w:rsid w:val="00B623AE"/>
    <w:rsid w:val="00B623F7"/>
    <w:rsid w:val="00B62511"/>
    <w:rsid w:val="00B62552"/>
    <w:rsid w:val="00B62567"/>
    <w:rsid w:val="00B6265E"/>
    <w:rsid w:val="00B62671"/>
    <w:rsid w:val="00B626A5"/>
    <w:rsid w:val="00B6271C"/>
    <w:rsid w:val="00B62795"/>
    <w:rsid w:val="00B627EF"/>
    <w:rsid w:val="00B62870"/>
    <w:rsid w:val="00B6288D"/>
    <w:rsid w:val="00B628C8"/>
    <w:rsid w:val="00B628E6"/>
    <w:rsid w:val="00B629A0"/>
    <w:rsid w:val="00B62A0D"/>
    <w:rsid w:val="00B62A65"/>
    <w:rsid w:val="00B62A70"/>
    <w:rsid w:val="00B62AC1"/>
    <w:rsid w:val="00B62AD2"/>
    <w:rsid w:val="00B62AE8"/>
    <w:rsid w:val="00B62B87"/>
    <w:rsid w:val="00B62B88"/>
    <w:rsid w:val="00B62BBA"/>
    <w:rsid w:val="00B62BC7"/>
    <w:rsid w:val="00B62C86"/>
    <w:rsid w:val="00B62CD6"/>
    <w:rsid w:val="00B62D89"/>
    <w:rsid w:val="00B62DF3"/>
    <w:rsid w:val="00B62E1D"/>
    <w:rsid w:val="00B62F29"/>
    <w:rsid w:val="00B62F53"/>
    <w:rsid w:val="00B6309D"/>
    <w:rsid w:val="00B63190"/>
    <w:rsid w:val="00B631A0"/>
    <w:rsid w:val="00B631CF"/>
    <w:rsid w:val="00B6320E"/>
    <w:rsid w:val="00B63219"/>
    <w:rsid w:val="00B63254"/>
    <w:rsid w:val="00B6328F"/>
    <w:rsid w:val="00B63357"/>
    <w:rsid w:val="00B63393"/>
    <w:rsid w:val="00B633E3"/>
    <w:rsid w:val="00B633F1"/>
    <w:rsid w:val="00B63461"/>
    <w:rsid w:val="00B634BF"/>
    <w:rsid w:val="00B63502"/>
    <w:rsid w:val="00B6352D"/>
    <w:rsid w:val="00B63599"/>
    <w:rsid w:val="00B635E0"/>
    <w:rsid w:val="00B63601"/>
    <w:rsid w:val="00B6363C"/>
    <w:rsid w:val="00B6364D"/>
    <w:rsid w:val="00B63695"/>
    <w:rsid w:val="00B6369B"/>
    <w:rsid w:val="00B63701"/>
    <w:rsid w:val="00B637EC"/>
    <w:rsid w:val="00B6382E"/>
    <w:rsid w:val="00B638A3"/>
    <w:rsid w:val="00B63939"/>
    <w:rsid w:val="00B639FC"/>
    <w:rsid w:val="00B63A71"/>
    <w:rsid w:val="00B63AAD"/>
    <w:rsid w:val="00B63AF1"/>
    <w:rsid w:val="00B63BBE"/>
    <w:rsid w:val="00B63BFC"/>
    <w:rsid w:val="00B63C37"/>
    <w:rsid w:val="00B63C4E"/>
    <w:rsid w:val="00B63DA4"/>
    <w:rsid w:val="00B63E0E"/>
    <w:rsid w:val="00B63E8E"/>
    <w:rsid w:val="00B63E95"/>
    <w:rsid w:val="00B63F5B"/>
    <w:rsid w:val="00B63F5C"/>
    <w:rsid w:val="00B63F98"/>
    <w:rsid w:val="00B63FDB"/>
    <w:rsid w:val="00B64053"/>
    <w:rsid w:val="00B6409B"/>
    <w:rsid w:val="00B640B1"/>
    <w:rsid w:val="00B640EC"/>
    <w:rsid w:val="00B64138"/>
    <w:rsid w:val="00B641BF"/>
    <w:rsid w:val="00B641D5"/>
    <w:rsid w:val="00B64207"/>
    <w:rsid w:val="00B64318"/>
    <w:rsid w:val="00B64326"/>
    <w:rsid w:val="00B643A0"/>
    <w:rsid w:val="00B643AD"/>
    <w:rsid w:val="00B643B8"/>
    <w:rsid w:val="00B6440F"/>
    <w:rsid w:val="00B64461"/>
    <w:rsid w:val="00B644F5"/>
    <w:rsid w:val="00B6450A"/>
    <w:rsid w:val="00B6468F"/>
    <w:rsid w:val="00B64690"/>
    <w:rsid w:val="00B6469E"/>
    <w:rsid w:val="00B6470A"/>
    <w:rsid w:val="00B64793"/>
    <w:rsid w:val="00B647C2"/>
    <w:rsid w:val="00B649CB"/>
    <w:rsid w:val="00B649ED"/>
    <w:rsid w:val="00B64A4D"/>
    <w:rsid w:val="00B64A53"/>
    <w:rsid w:val="00B64AA8"/>
    <w:rsid w:val="00B64AAA"/>
    <w:rsid w:val="00B64ADD"/>
    <w:rsid w:val="00B64B3B"/>
    <w:rsid w:val="00B64B59"/>
    <w:rsid w:val="00B64BB2"/>
    <w:rsid w:val="00B64BE6"/>
    <w:rsid w:val="00B64BE9"/>
    <w:rsid w:val="00B64C06"/>
    <w:rsid w:val="00B64C77"/>
    <w:rsid w:val="00B64D0A"/>
    <w:rsid w:val="00B64D42"/>
    <w:rsid w:val="00B64D68"/>
    <w:rsid w:val="00B64DCB"/>
    <w:rsid w:val="00B64E98"/>
    <w:rsid w:val="00B64EA7"/>
    <w:rsid w:val="00B64EB5"/>
    <w:rsid w:val="00B64EE0"/>
    <w:rsid w:val="00B64EF2"/>
    <w:rsid w:val="00B64F0C"/>
    <w:rsid w:val="00B6500B"/>
    <w:rsid w:val="00B6506B"/>
    <w:rsid w:val="00B6508C"/>
    <w:rsid w:val="00B650A9"/>
    <w:rsid w:val="00B65101"/>
    <w:rsid w:val="00B65125"/>
    <w:rsid w:val="00B6513C"/>
    <w:rsid w:val="00B651A3"/>
    <w:rsid w:val="00B651EB"/>
    <w:rsid w:val="00B651EE"/>
    <w:rsid w:val="00B651F4"/>
    <w:rsid w:val="00B6527B"/>
    <w:rsid w:val="00B6530E"/>
    <w:rsid w:val="00B65336"/>
    <w:rsid w:val="00B6539A"/>
    <w:rsid w:val="00B6539E"/>
    <w:rsid w:val="00B653A2"/>
    <w:rsid w:val="00B653E8"/>
    <w:rsid w:val="00B65422"/>
    <w:rsid w:val="00B654B9"/>
    <w:rsid w:val="00B654FF"/>
    <w:rsid w:val="00B65517"/>
    <w:rsid w:val="00B655E0"/>
    <w:rsid w:val="00B65661"/>
    <w:rsid w:val="00B656E2"/>
    <w:rsid w:val="00B6572D"/>
    <w:rsid w:val="00B65730"/>
    <w:rsid w:val="00B657A0"/>
    <w:rsid w:val="00B657D8"/>
    <w:rsid w:val="00B657E8"/>
    <w:rsid w:val="00B6583B"/>
    <w:rsid w:val="00B6587A"/>
    <w:rsid w:val="00B6588C"/>
    <w:rsid w:val="00B6592B"/>
    <w:rsid w:val="00B65943"/>
    <w:rsid w:val="00B6595C"/>
    <w:rsid w:val="00B6598E"/>
    <w:rsid w:val="00B65A2E"/>
    <w:rsid w:val="00B65A7D"/>
    <w:rsid w:val="00B65AD8"/>
    <w:rsid w:val="00B65B4C"/>
    <w:rsid w:val="00B65C7E"/>
    <w:rsid w:val="00B65C82"/>
    <w:rsid w:val="00B65CF7"/>
    <w:rsid w:val="00B65E14"/>
    <w:rsid w:val="00B65E57"/>
    <w:rsid w:val="00B65EB3"/>
    <w:rsid w:val="00B65EF8"/>
    <w:rsid w:val="00B65F29"/>
    <w:rsid w:val="00B65F7A"/>
    <w:rsid w:val="00B65FB9"/>
    <w:rsid w:val="00B660A2"/>
    <w:rsid w:val="00B660C7"/>
    <w:rsid w:val="00B66130"/>
    <w:rsid w:val="00B661B4"/>
    <w:rsid w:val="00B661C9"/>
    <w:rsid w:val="00B661E2"/>
    <w:rsid w:val="00B66270"/>
    <w:rsid w:val="00B66323"/>
    <w:rsid w:val="00B66368"/>
    <w:rsid w:val="00B663AC"/>
    <w:rsid w:val="00B663B5"/>
    <w:rsid w:val="00B66474"/>
    <w:rsid w:val="00B66487"/>
    <w:rsid w:val="00B664EA"/>
    <w:rsid w:val="00B664ED"/>
    <w:rsid w:val="00B665D6"/>
    <w:rsid w:val="00B665E8"/>
    <w:rsid w:val="00B66614"/>
    <w:rsid w:val="00B66625"/>
    <w:rsid w:val="00B6664B"/>
    <w:rsid w:val="00B666CE"/>
    <w:rsid w:val="00B666E0"/>
    <w:rsid w:val="00B66726"/>
    <w:rsid w:val="00B667BE"/>
    <w:rsid w:val="00B667C5"/>
    <w:rsid w:val="00B66850"/>
    <w:rsid w:val="00B66856"/>
    <w:rsid w:val="00B668E3"/>
    <w:rsid w:val="00B66944"/>
    <w:rsid w:val="00B66967"/>
    <w:rsid w:val="00B669BF"/>
    <w:rsid w:val="00B66A21"/>
    <w:rsid w:val="00B66A64"/>
    <w:rsid w:val="00B66A70"/>
    <w:rsid w:val="00B66B2F"/>
    <w:rsid w:val="00B66B74"/>
    <w:rsid w:val="00B66BA8"/>
    <w:rsid w:val="00B66BBD"/>
    <w:rsid w:val="00B66C2E"/>
    <w:rsid w:val="00B66C85"/>
    <w:rsid w:val="00B66CAD"/>
    <w:rsid w:val="00B66CF7"/>
    <w:rsid w:val="00B66D0B"/>
    <w:rsid w:val="00B66D1F"/>
    <w:rsid w:val="00B66D2D"/>
    <w:rsid w:val="00B66D3B"/>
    <w:rsid w:val="00B66D6E"/>
    <w:rsid w:val="00B66DDE"/>
    <w:rsid w:val="00B66E37"/>
    <w:rsid w:val="00B66E4A"/>
    <w:rsid w:val="00B66E5B"/>
    <w:rsid w:val="00B66E82"/>
    <w:rsid w:val="00B66F81"/>
    <w:rsid w:val="00B66FC6"/>
    <w:rsid w:val="00B66FCB"/>
    <w:rsid w:val="00B6704F"/>
    <w:rsid w:val="00B67055"/>
    <w:rsid w:val="00B670D0"/>
    <w:rsid w:val="00B6715D"/>
    <w:rsid w:val="00B67181"/>
    <w:rsid w:val="00B671B8"/>
    <w:rsid w:val="00B671C1"/>
    <w:rsid w:val="00B671C5"/>
    <w:rsid w:val="00B67278"/>
    <w:rsid w:val="00B6732C"/>
    <w:rsid w:val="00B6736C"/>
    <w:rsid w:val="00B673D5"/>
    <w:rsid w:val="00B67460"/>
    <w:rsid w:val="00B6751F"/>
    <w:rsid w:val="00B675AE"/>
    <w:rsid w:val="00B675E3"/>
    <w:rsid w:val="00B675E9"/>
    <w:rsid w:val="00B6768D"/>
    <w:rsid w:val="00B67757"/>
    <w:rsid w:val="00B677BC"/>
    <w:rsid w:val="00B677F7"/>
    <w:rsid w:val="00B6784E"/>
    <w:rsid w:val="00B678CC"/>
    <w:rsid w:val="00B678D6"/>
    <w:rsid w:val="00B678E8"/>
    <w:rsid w:val="00B67914"/>
    <w:rsid w:val="00B67945"/>
    <w:rsid w:val="00B67949"/>
    <w:rsid w:val="00B6798B"/>
    <w:rsid w:val="00B679D2"/>
    <w:rsid w:val="00B67A22"/>
    <w:rsid w:val="00B67A3F"/>
    <w:rsid w:val="00B67B22"/>
    <w:rsid w:val="00B67B38"/>
    <w:rsid w:val="00B67B3F"/>
    <w:rsid w:val="00B67C66"/>
    <w:rsid w:val="00B67D5F"/>
    <w:rsid w:val="00B67DC8"/>
    <w:rsid w:val="00B67E01"/>
    <w:rsid w:val="00B67E12"/>
    <w:rsid w:val="00B67FE9"/>
    <w:rsid w:val="00B7001C"/>
    <w:rsid w:val="00B70048"/>
    <w:rsid w:val="00B70055"/>
    <w:rsid w:val="00B70059"/>
    <w:rsid w:val="00B700B0"/>
    <w:rsid w:val="00B70120"/>
    <w:rsid w:val="00B70189"/>
    <w:rsid w:val="00B701E0"/>
    <w:rsid w:val="00B70244"/>
    <w:rsid w:val="00B702F9"/>
    <w:rsid w:val="00B7034D"/>
    <w:rsid w:val="00B7036F"/>
    <w:rsid w:val="00B70521"/>
    <w:rsid w:val="00B70550"/>
    <w:rsid w:val="00B70570"/>
    <w:rsid w:val="00B7057E"/>
    <w:rsid w:val="00B70695"/>
    <w:rsid w:val="00B706A9"/>
    <w:rsid w:val="00B706AB"/>
    <w:rsid w:val="00B706D9"/>
    <w:rsid w:val="00B706F8"/>
    <w:rsid w:val="00B7084D"/>
    <w:rsid w:val="00B70890"/>
    <w:rsid w:val="00B708FD"/>
    <w:rsid w:val="00B7090F"/>
    <w:rsid w:val="00B709E1"/>
    <w:rsid w:val="00B709E2"/>
    <w:rsid w:val="00B709E7"/>
    <w:rsid w:val="00B70A06"/>
    <w:rsid w:val="00B70A18"/>
    <w:rsid w:val="00B70A39"/>
    <w:rsid w:val="00B70A87"/>
    <w:rsid w:val="00B70A89"/>
    <w:rsid w:val="00B70A90"/>
    <w:rsid w:val="00B70AB1"/>
    <w:rsid w:val="00B70B00"/>
    <w:rsid w:val="00B70BA6"/>
    <w:rsid w:val="00B70BF5"/>
    <w:rsid w:val="00B70C01"/>
    <w:rsid w:val="00B70C5C"/>
    <w:rsid w:val="00B70C87"/>
    <w:rsid w:val="00B70C91"/>
    <w:rsid w:val="00B70CE4"/>
    <w:rsid w:val="00B70DCC"/>
    <w:rsid w:val="00B70E15"/>
    <w:rsid w:val="00B70E4E"/>
    <w:rsid w:val="00B70F60"/>
    <w:rsid w:val="00B70F6A"/>
    <w:rsid w:val="00B70FD3"/>
    <w:rsid w:val="00B7104E"/>
    <w:rsid w:val="00B71058"/>
    <w:rsid w:val="00B710DE"/>
    <w:rsid w:val="00B7112A"/>
    <w:rsid w:val="00B71220"/>
    <w:rsid w:val="00B7132A"/>
    <w:rsid w:val="00B7133C"/>
    <w:rsid w:val="00B71383"/>
    <w:rsid w:val="00B714F1"/>
    <w:rsid w:val="00B71679"/>
    <w:rsid w:val="00B7167B"/>
    <w:rsid w:val="00B71692"/>
    <w:rsid w:val="00B716D0"/>
    <w:rsid w:val="00B716F3"/>
    <w:rsid w:val="00B7172D"/>
    <w:rsid w:val="00B717AB"/>
    <w:rsid w:val="00B7180F"/>
    <w:rsid w:val="00B71845"/>
    <w:rsid w:val="00B718AC"/>
    <w:rsid w:val="00B718DF"/>
    <w:rsid w:val="00B718E7"/>
    <w:rsid w:val="00B71939"/>
    <w:rsid w:val="00B719A1"/>
    <w:rsid w:val="00B719A7"/>
    <w:rsid w:val="00B71AAE"/>
    <w:rsid w:val="00B71B13"/>
    <w:rsid w:val="00B71B48"/>
    <w:rsid w:val="00B71B49"/>
    <w:rsid w:val="00B71B62"/>
    <w:rsid w:val="00B71B7C"/>
    <w:rsid w:val="00B71BE3"/>
    <w:rsid w:val="00B71C29"/>
    <w:rsid w:val="00B71C48"/>
    <w:rsid w:val="00B71CA0"/>
    <w:rsid w:val="00B71CD5"/>
    <w:rsid w:val="00B71D05"/>
    <w:rsid w:val="00B71D32"/>
    <w:rsid w:val="00B71D41"/>
    <w:rsid w:val="00B71D7E"/>
    <w:rsid w:val="00B71E00"/>
    <w:rsid w:val="00B71E02"/>
    <w:rsid w:val="00B71E1F"/>
    <w:rsid w:val="00B71E31"/>
    <w:rsid w:val="00B71E7E"/>
    <w:rsid w:val="00B71EAF"/>
    <w:rsid w:val="00B71ECD"/>
    <w:rsid w:val="00B71FAF"/>
    <w:rsid w:val="00B71FB5"/>
    <w:rsid w:val="00B7203F"/>
    <w:rsid w:val="00B72083"/>
    <w:rsid w:val="00B720AA"/>
    <w:rsid w:val="00B720F9"/>
    <w:rsid w:val="00B72141"/>
    <w:rsid w:val="00B721F1"/>
    <w:rsid w:val="00B72259"/>
    <w:rsid w:val="00B722C0"/>
    <w:rsid w:val="00B7239D"/>
    <w:rsid w:val="00B72415"/>
    <w:rsid w:val="00B72446"/>
    <w:rsid w:val="00B72487"/>
    <w:rsid w:val="00B72497"/>
    <w:rsid w:val="00B724A6"/>
    <w:rsid w:val="00B724BF"/>
    <w:rsid w:val="00B72560"/>
    <w:rsid w:val="00B7256B"/>
    <w:rsid w:val="00B725E4"/>
    <w:rsid w:val="00B726FA"/>
    <w:rsid w:val="00B7275B"/>
    <w:rsid w:val="00B7276C"/>
    <w:rsid w:val="00B727E1"/>
    <w:rsid w:val="00B729F9"/>
    <w:rsid w:val="00B729FA"/>
    <w:rsid w:val="00B72A20"/>
    <w:rsid w:val="00B72AFE"/>
    <w:rsid w:val="00B72B2B"/>
    <w:rsid w:val="00B72C70"/>
    <w:rsid w:val="00B72CA4"/>
    <w:rsid w:val="00B72CEE"/>
    <w:rsid w:val="00B72D57"/>
    <w:rsid w:val="00B72D6A"/>
    <w:rsid w:val="00B72D9C"/>
    <w:rsid w:val="00B72DB0"/>
    <w:rsid w:val="00B72E2E"/>
    <w:rsid w:val="00B72E37"/>
    <w:rsid w:val="00B72E5A"/>
    <w:rsid w:val="00B72E66"/>
    <w:rsid w:val="00B72EB4"/>
    <w:rsid w:val="00B72ECA"/>
    <w:rsid w:val="00B72EED"/>
    <w:rsid w:val="00B72EF4"/>
    <w:rsid w:val="00B72EFB"/>
    <w:rsid w:val="00B72FC2"/>
    <w:rsid w:val="00B72FC4"/>
    <w:rsid w:val="00B73041"/>
    <w:rsid w:val="00B7305F"/>
    <w:rsid w:val="00B73075"/>
    <w:rsid w:val="00B7312B"/>
    <w:rsid w:val="00B731A2"/>
    <w:rsid w:val="00B731AC"/>
    <w:rsid w:val="00B731FA"/>
    <w:rsid w:val="00B73215"/>
    <w:rsid w:val="00B73229"/>
    <w:rsid w:val="00B7322D"/>
    <w:rsid w:val="00B7322F"/>
    <w:rsid w:val="00B73254"/>
    <w:rsid w:val="00B732E2"/>
    <w:rsid w:val="00B73300"/>
    <w:rsid w:val="00B73343"/>
    <w:rsid w:val="00B73397"/>
    <w:rsid w:val="00B73421"/>
    <w:rsid w:val="00B7345C"/>
    <w:rsid w:val="00B73474"/>
    <w:rsid w:val="00B734B5"/>
    <w:rsid w:val="00B734C1"/>
    <w:rsid w:val="00B73553"/>
    <w:rsid w:val="00B735BB"/>
    <w:rsid w:val="00B735C6"/>
    <w:rsid w:val="00B735EF"/>
    <w:rsid w:val="00B736A4"/>
    <w:rsid w:val="00B73848"/>
    <w:rsid w:val="00B73884"/>
    <w:rsid w:val="00B7388B"/>
    <w:rsid w:val="00B7391F"/>
    <w:rsid w:val="00B739C5"/>
    <w:rsid w:val="00B739CB"/>
    <w:rsid w:val="00B739D9"/>
    <w:rsid w:val="00B739F3"/>
    <w:rsid w:val="00B73A21"/>
    <w:rsid w:val="00B73A25"/>
    <w:rsid w:val="00B73A27"/>
    <w:rsid w:val="00B73A64"/>
    <w:rsid w:val="00B73A8D"/>
    <w:rsid w:val="00B73AB3"/>
    <w:rsid w:val="00B73B32"/>
    <w:rsid w:val="00B73B99"/>
    <w:rsid w:val="00B73C3F"/>
    <w:rsid w:val="00B73C47"/>
    <w:rsid w:val="00B73D15"/>
    <w:rsid w:val="00B73D24"/>
    <w:rsid w:val="00B73DFD"/>
    <w:rsid w:val="00B73E29"/>
    <w:rsid w:val="00B73E37"/>
    <w:rsid w:val="00B73EF7"/>
    <w:rsid w:val="00B73FFA"/>
    <w:rsid w:val="00B74007"/>
    <w:rsid w:val="00B7403D"/>
    <w:rsid w:val="00B740A0"/>
    <w:rsid w:val="00B74118"/>
    <w:rsid w:val="00B7412D"/>
    <w:rsid w:val="00B74149"/>
    <w:rsid w:val="00B7417E"/>
    <w:rsid w:val="00B741CA"/>
    <w:rsid w:val="00B742A1"/>
    <w:rsid w:val="00B742AB"/>
    <w:rsid w:val="00B7434F"/>
    <w:rsid w:val="00B7439B"/>
    <w:rsid w:val="00B74452"/>
    <w:rsid w:val="00B7445E"/>
    <w:rsid w:val="00B74500"/>
    <w:rsid w:val="00B7454F"/>
    <w:rsid w:val="00B74597"/>
    <w:rsid w:val="00B745E5"/>
    <w:rsid w:val="00B74653"/>
    <w:rsid w:val="00B746B4"/>
    <w:rsid w:val="00B74761"/>
    <w:rsid w:val="00B747DF"/>
    <w:rsid w:val="00B74811"/>
    <w:rsid w:val="00B74861"/>
    <w:rsid w:val="00B74937"/>
    <w:rsid w:val="00B7493B"/>
    <w:rsid w:val="00B74954"/>
    <w:rsid w:val="00B74985"/>
    <w:rsid w:val="00B74987"/>
    <w:rsid w:val="00B7499C"/>
    <w:rsid w:val="00B749D8"/>
    <w:rsid w:val="00B749F4"/>
    <w:rsid w:val="00B74A69"/>
    <w:rsid w:val="00B74A90"/>
    <w:rsid w:val="00B74B1B"/>
    <w:rsid w:val="00B74B7F"/>
    <w:rsid w:val="00B74BC8"/>
    <w:rsid w:val="00B74C30"/>
    <w:rsid w:val="00B74CA5"/>
    <w:rsid w:val="00B74D48"/>
    <w:rsid w:val="00B74D6C"/>
    <w:rsid w:val="00B74E3E"/>
    <w:rsid w:val="00B74E55"/>
    <w:rsid w:val="00B74E86"/>
    <w:rsid w:val="00B74EAC"/>
    <w:rsid w:val="00B74FD5"/>
    <w:rsid w:val="00B74FDF"/>
    <w:rsid w:val="00B75052"/>
    <w:rsid w:val="00B75088"/>
    <w:rsid w:val="00B750A6"/>
    <w:rsid w:val="00B750CE"/>
    <w:rsid w:val="00B750FD"/>
    <w:rsid w:val="00B75106"/>
    <w:rsid w:val="00B7511C"/>
    <w:rsid w:val="00B75218"/>
    <w:rsid w:val="00B752C6"/>
    <w:rsid w:val="00B752D5"/>
    <w:rsid w:val="00B7532B"/>
    <w:rsid w:val="00B75371"/>
    <w:rsid w:val="00B75373"/>
    <w:rsid w:val="00B7543E"/>
    <w:rsid w:val="00B75493"/>
    <w:rsid w:val="00B754DB"/>
    <w:rsid w:val="00B7556C"/>
    <w:rsid w:val="00B7558F"/>
    <w:rsid w:val="00B755D1"/>
    <w:rsid w:val="00B7568A"/>
    <w:rsid w:val="00B75762"/>
    <w:rsid w:val="00B75799"/>
    <w:rsid w:val="00B757A5"/>
    <w:rsid w:val="00B757DC"/>
    <w:rsid w:val="00B757EA"/>
    <w:rsid w:val="00B7581C"/>
    <w:rsid w:val="00B758BF"/>
    <w:rsid w:val="00B758DF"/>
    <w:rsid w:val="00B75902"/>
    <w:rsid w:val="00B75932"/>
    <w:rsid w:val="00B75942"/>
    <w:rsid w:val="00B7594E"/>
    <w:rsid w:val="00B759D3"/>
    <w:rsid w:val="00B75AB1"/>
    <w:rsid w:val="00B75AB6"/>
    <w:rsid w:val="00B75AE5"/>
    <w:rsid w:val="00B75AE8"/>
    <w:rsid w:val="00B75B6F"/>
    <w:rsid w:val="00B75DA9"/>
    <w:rsid w:val="00B75E63"/>
    <w:rsid w:val="00B75E68"/>
    <w:rsid w:val="00B75F0A"/>
    <w:rsid w:val="00B75FA3"/>
    <w:rsid w:val="00B75FA4"/>
    <w:rsid w:val="00B75FAA"/>
    <w:rsid w:val="00B75FAE"/>
    <w:rsid w:val="00B75FAF"/>
    <w:rsid w:val="00B76101"/>
    <w:rsid w:val="00B76120"/>
    <w:rsid w:val="00B761C9"/>
    <w:rsid w:val="00B761CB"/>
    <w:rsid w:val="00B761E0"/>
    <w:rsid w:val="00B761E7"/>
    <w:rsid w:val="00B761EE"/>
    <w:rsid w:val="00B76201"/>
    <w:rsid w:val="00B7621F"/>
    <w:rsid w:val="00B762E1"/>
    <w:rsid w:val="00B76396"/>
    <w:rsid w:val="00B76398"/>
    <w:rsid w:val="00B763B2"/>
    <w:rsid w:val="00B763F0"/>
    <w:rsid w:val="00B7640E"/>
    <w:rsid w:val="00B7649C"/>
    <w:rsid w:val="00B764C3"/>
    <w:rsid w:val="00B7653C"/>
    <w:rsid w:val="00B7653F"/>
    <w:rsid w:val="00B7657A"/>
    <w:rsid w:val="00B765BB"/>
    <w:rsid w:val="00B765CA"/>
    <w:rsid w:val="00B76665"/>
    <w:rsid w:val="00B7669C"/>
    <w:rsid w:val="00B76752"/>
    <w:rsid w:val="00B76765"/>
    <w:rsid w:val="00B76773"/>
    <w:rsid w:val="00B76824"/>
    <w:rsid w:val="00B76853"/>
    <w:rsid w:val="00B76881"/>
    <w:rsid w:val="00B76893"/>
    <w:rsid w:val="00B768C7"/>
    <w:rsid w:val="00B7693E"/>
    <w:rsid w:val="00B76996"/>
    <w:rsid w:val="00B76B2E"/>
    <w:rsid w:val="00B76B9C"/>
    <w:rsid w:val="00B76C6B"/>
    <w:rsid w:val="00B76D39"/>
    <w:rsid w:val="00B76D55"/>
    <w:rsid w:val="00B76D69"/>
    <w:rsid w:val="00B76DC4"/>
    <w:rsid w:val="00B76E87"/>
    <w:rsid w:val="00B76F14"/>
    <w:rsid w:val="00B76F96"/>
    <w:rsid w:val="00B76FD0"/>
    <w:rsid w:val="00B770C3"/>
    <w:rsid w:val="00B77136"/>
    <w:rsid w:val="00B77151"/>
    <w:rsid w:val="00B771DE"/>
    <w:rsid w:val="00B77255"/>
    <w:rsid w:val="00B77267"/>
    <w:rsid w:val="00B77293"/>
    <w:rsid w:val="00B77326"/>
    <w:rsid w:val="00B7732B"/>
    <w:rsid w:val="00B77349"/>
    <w:rsid w:val="00B77388"/>
    <w:rsid w:val="00B773CD"/>
    <w:rsid w:val="00B773D6"/>
    <w:rsid w:val="00B7744B"/>
    <w:rsid w:val="00B7749E"/>
    <w:rsid w:val="00B77512"/>
    <w:rsid w:val="00B77567"/>
    <w:rsid w:val="00B77568"/>
    <w:rsid w:val="00B775A3"/>
    <w:rsid w:val="00B77601"/>
    <w:rsid w:val="00B776D1"/>
    <w:rsid w:val="00B776DA"/>
    <w:rsid w:val="00B77791"/>
    <w:rsid w:val="00B777AC"/>
    <w:rsid w:val="00B777BD"/>
    <w:rsid w:val="00B777D3"/>
    <w:rsid w:val="00B77855"/>
    <w:rsid w:val="00B77A78"/>
    <w:rsid w:val="00B77AAB"/>
    <w:rsid w:val="00B77AB3"/>
    <w:rsid w:val="00B77B6B"/>
    <w:rsid w:val="00B77CF1"/>
    <w:rsid w:val="00B77D31"/>
    <w:rsid w:val="00B77D90"/>
    <w:rsid w:val="00B77DAD"/>
    <w:rsid w:val="00B77DC4"/>
    <w:rsid w:val="00B77DE7"/>
    <w:rsid w:val="00B77EB7"/>
    <w:rsid w:val="00B77F05"/>
    <w:rsid w:val="00B77F58"/>
    <w:rsid w:val="00B77F59"/>
    <w:rsid w:val="00B77F74"/>
    <w:rsid w:val="00B77FB6"/>
    <w:rsid w:val="00B77FE6"/>
    <w:rsid w:val="00B80023"/>
    <w:rsid w:val="00B8006C"/>
    <w:rsid w:val="00B8009A"/>
    <w:rsid w:val="00B800F0"/>
    <w:rsid w:val="00B801B0"/>
    <w:rsid w:val="00B80229"/>
    <w:rsid w:val="00B8025E"/>
    <w:rsid w:val="00B80275"/>
    <w:rsid w:val="00B802B6"/>
    <w:rsid w:val="00B803D0"/>
    <w:rsid w:val="00B804B7"/>
    <w:rsid w:val="00B8053A"/>
    <w:rsid w:val="00B80586"/>
    <w:rsid w:val="00B80596"/>
    <w:rsid w:val="00B8068C"/>
    <w:rsid w:val="00B80698"/>
    <w:rsid w:val="00B80700"/>
    <w:rsid w:val="00B80747"/>
    <w:rsid w:val="00B807ED"/>
    <w:rsid w:val="00B807F2"/>
    <w:rsid w:val="00B808E7"/>
    <w:rsid w:val="00B808F8"/>
    <w:rsid w:val="00B80916"/>
    <w:rsid w:val="00B8092B"/>
    <w:rsid w:val="00B8095D"/>
    <w:rsid w:val="00B80A35"/>
    <w:rsid w:val="00B80ABB"/>
    <w:rsid w:val="00B80AE8"/>
    <w:rsid w:val="00B80B0A"/>
    <w:rsid w:val="00B80B1A"/>
    <w:rsid w:val="00B80B68"/>
    <w:rsid w:val="00B80B6E"/>
    <w:rsid w:val="00B80B99"/>
    <w:rsid w:val="00B80C04"/>
    <w:rsid w:val="00B80C17"/>
    <w:rsid w:val="00B80C4F"/>
    <w:rsid w:val="00B80C68"/>
    <w:rsid w:val="00B80C7B"/>
    <w:rsid w:val="00B80C98"/>
    <w:rsid w:val="00B80CE8"/>
    <w:rsid w:val="00B80DA9"/>
    <w:rsid w:val="00B80DAA"/>
    <w:rsid w:val="00B80DB1"/>
    <w:rsid w:val="00B80E02"/>
    <w:rsid w:val="00B80E5B"/>
    <w:rsid w:val="00B80E60"/>
    <w:rsid w:val="00B80E65"/>
    <w:rsid w:val="00B80E8C"/>
    <w:rsid w:val="00B80E9B"/>
    <w:rsid w:val="00B80EB8"/>
    <w:rsid w:val="00B80EF8"/>
    <w:rsid w:val="00B80F2C"/>
    <w:rsid w:val="00B80F58"/>
    <w:rsid w:val="00B80F5D"/>
    <w:rsid w:val="00B80FB1"/>
    <w:rsid w:val="00B81007"/>
    <w:rsid w:val="00B8103C"/>
    <w:rsid w:val="00B8104E"/>
    <w:rsid w:val="00B8105E"/>
    <w:rsid w:val="00B81088"/>
    <w:rsid w:val="00B810DA"/>
    <w:rsid w:val="00B810EF"/>
    <w:rsid w:val="00B81126"/>
    <w:rsid w:val="00B81157"/>
    <w:rsid w:val="00B8118D"/>
    <w:rsid w:val="00B811E0"/>
    <w:rsid w:val="00B81208"/>
    <w:rsid w:val="00B8124A"/>
    <w:rsid w:val="00B812FB"/>
    <w:rsid w:val="00B8132F"/>
    <w:rsid w:val="00B813DB"/>
    <w:rsid w:val="00B813EF"/>
    <w:rsid w:val="00B81416"/>
    <w:rsid w:val="00B81472"/>
    <w:rsid w:val="00B8158E"/>
    <w:rsid w:val="00B815AF"/>
    <w:rsid w:val="00B81669"/>
    <w:rsid w:val="00B816C2"/>
    <w:rsid w:val="00B816E6"/>
    <w:rsid w:val="00B81702"/>
    <w:rsid w:val="00B81742"/>
    <w:rsid w:val="00B817AF"/>
    <w:rsid w:val="00B817B6"/>
    <w:rsid w:val="00B81803"/>
    <w:rsid w:val="00B818BD"/>
    <w:rsid w:val="00B818F5"/>
    <w:rsid w:val="00B8190B"/>
    <w:rsid w:val="00B81935"/>
    <w:rsid w:val="00B81937"/>
    <w:rsid w:val="00B8196E"/>
    <w:rsid w:val="00B819CC"/>
    <w:rsid w:val="00B81A6C"/>
    <w:rsid w:val="00B81AB2"/>
    <w:rsid w:val="00B81AC6"/>
    <w:rsid w:val="00B81ADB"/>
    <w:rsid w:val="00B81AE2"/>
    <w:rsid w:val="00B81AEE"/>
    <w:rsid w:val="00B81B70"/>
    <w:rsid w:val="00B81BC1"/>
    <w:rsid w:val="00B81BD7"/>
    <w:rsid w:val="00B81C43"/>
    <w:rsid w:val="00B81D16"/>
    <w:rsid w:val="00B81D6D"/>
    <w:rsid w:val="00B81DFF"/>
    <w:rsid w:val="00B81E1E"/>
    <w:rsid w:val="00B81E41"/>
    <w:rsid w:val="00B81E4A"/>
    <w:rsid w:val="00B81E5B"/>
    <w:rsid w:val="00B81E7F"/>
    <w:rsid w:val="00B81EA3"/>
    <w:rsid w:val="00B81EB1"/>
    <w:rsid w:val="00B81EC3"/>
    <w:rsid w:val="00B81EEB"/>
    <w:rsid w:val="00B81FF0"/>
    <w:rsid w:val="00B82017"/>
    <w:rsid w:val="00B8201F"/>
    <w:rsid w:val="00B8207E"/>
    <w:rsid w:val="00B82084"/>
    <w:rsid w:val="00B820F8"/>
    <w:rsid w:val="00B82130"/>
    <w:rsid w:val="00B8213C"/>
    <w:rsid w:val="00B8217D"/>
    <w:rsid w:val="00B821B6"/>
    <w:rsid w:val="00B821E7"/>
    <w:rsid w:val="00B821EF"/>
    <w:rsid w:val="00B821F0"/>
    <w:rsid w:val="00B82259"/>
    <w:rsid w:val="00B822DA"/>
    <w:rsid w:val="00B8230F"/>
    <w:rsid w:val="00B82316"/>
    <w:rsid w:val="00B8231F"/>
    <w:rsid w:val="00B8233D"/>
    <w:rsid w:val="00B8248F"/>
    <w:rsid w:val="00B824EC"/>
    <w:rsid w:val="00B824F1"/>
    <w:rsid w:val="00B8256A"/>
    <w:rsid w:val="00B82591"/>
    <w:rsid w:val="00B825B4"/>
    <w:rsid w:val="00B82610"/>
    <w:rsid w:val="00B8264C"/>
    <w:rsid w:val="00B8265B"/>
    <w:rsid w:val="00B8270A"/>
    <w:rsid w:val="00B82793"/>
    <w:rsid w:val="00B827BB"/>
    <w:rsid w:val="00B827BD"/>
    <w:rsid w:val="00B82909"/>
    <w:rsid w:val="00B8296B"/>
    <w:rsid w:val="00B82A52"/>
    <w:rsid w:val="00B82B02"/>
    <w:rsid w:val="00B82B92"/>
    <w:rsid w:val="00B82C4D"/>
    <w:rsid w:val="00B82CCF"/>
    <w:rsid w:val="00B82D1E"/>
    <w:rsid w:val="00B82D22"/>
    <w:rsid w:val="00B82D58"/>
    <w:rsid w:val="00B82DA5"/>
    <w:rsid w:val="00B82EBC"/>
    <w:rsid w:val="00B82F38"/>
    <w:rsid w:val="00B82F74"/>
    <w:rsid w:val="00B82FC3"/>
    <w:rsid w:val="00B8301F"/>
    <w:rsid w:val="00B8302A"/>
    <w:rsid w:val="00B8303B"/>
    <w:rsid w:val="00B83068"/>
    <w:rsid w:val="00B8317C"/>
    <w:rsid w:val="00B831EB"/>
    <w:rsid w:val="00B8328E"/>
    <w:rsid w:val="00B832CC"/>
    <w:rsid w:val="00B832D0"/>
    <w:rsid w:val="00B832D7"/>
    <w:rsid w:val="00B832F4"/>
    <w:rsid w:val="00B83301"/>
    <w:rsid w:val="00B83321"/>
    <w:rsid w:val="00B83326"/>
    <w:rsid w:val="00B83341"/>
    <w:rsid w:val="00B8338D"/>
    <w:rsid w:val="00B833D4"/>
    <w:rsid w:val="00B83449"/>
    <w:rsid w:val="00B8350C"/>
    <w:rsid w:val="00B8350D"/>
    <w:rsid w:val="00B83579"/>
    <w:rsid w:val="00B83614"/>
    <w:rsid w:val="00B8362B"/>
    <w:rsid w:val="00B8363E"/>
    <w:rsid w:val="00B836BA"/>
    <w:rsid w:val="00B8370E"/>
    <w:rsid w:val="00B83762"/>
    <w:rsid w:val="00B8376A"/>
    <w:rsid w:val="00B837A1"/>
    <w:rsid w:val="00B837C3"/>
    <w:rsid w:val="00B83852"/>
    <w:rsid w:val="00B83892"/>
    <w:rsid w:val="00B839A8"/>
    <w:rsid w:val="00B839F1"/>
    <w:rsid w:val="00B839F8"/>
    <w:rsid w:val="00B83A10"/>
    <w:rsid w:val="00B83A60"/>
    <w:rsid w:val="00B83A8D"/>
    <w:rsid w:val="00B83ABE"/>
    <w:rsid w:val="00B83B33"/>
    <w:rsid w:val="00B83B42"/>
    <w:rsid w:val="00B83B5F"/>
    <w:rsid w:val="00B83B9F"/>
    <w:rsid w:val="00B83BFC"/>
    <w:rsid w:val="00B83D4F"/>
    <w:rsid w:val="00B83D8C"/>
    <w:rsid w:val="00B83D9C"/>
    <w:rsid w:val="00B83D9D"/>
    <w:rsid w:val="00B83DB5"/>
    <w:rsid w:val="00B83DD9"/>
    <w:rsid w:val="00B83DE3"/>
    <w:rsid w:val="00B83E3A"/>
    <w:rsid w:val="00B83E42"/>
    <w:rsid w:val="00B83EAF"/>
    <w:rsid w:val="00B83EDE"/>
    <w:rsid w:val="00B83EF1"/>
    <w:rsid w:val="00B83F05"/>
    <w:rsid w:val="00B83F1D"/>
    <w:rsid w:val="00B83F53"/>
    <w:rsid w:val="00B83F84"/>
    <w:rsid w:val="00B83FC3"/>
    <w:rsid w:val="00B83FD8"/>
    <w:rsid w:val="00B84030"/>
    <w:rsid w:val="00B8410E"/>
    <w:rsid w:val="00B8411A"/>
    <w:rsid w:val="00B841E5"/>
    <w:rsid w:val="00B8433F"/>
    <w:rsid w:val="00B84342"/>
    <w:rsid w:val="00B8438C"/>
    <w:rsid w:val="00B843F5"/>
    <w:rsid w:val="00B843F6"/>
    <w:rsid w:val="00B8440D"/>
    <w:rsid w:val="00B84431"/>
    <w:rsid w:val="00B84456"/>
    <w:rsid w:val="00B8446A"/>
    <w:rsid w:val="00B84492"/>
    <w:rsid w:val="00B844BA"/>
    <w:rsid w:val="00B84530"/>
    <w:rsid w:val="00B8457B"/>
    <w:rsid w:val="00B845C8"/>
    <w:rsid w:val="00B845F6"/>
    <w:rsid w:val="00B845FD"/>
    <w:rsid w:val="00B8467B"/>
    <w:rsid w:val="00B84689"/>
    <w:rsid w:val="00B846C1"/>
    <w:rsid w:val="00B84836"/>
    <w:rsid w:val="00B8486D"/>
    <w:rsid w:val="00B84888"/>
    <w:rsid w:val="00B84929"/>
    <w:rsid w:val="00B84931"/>
    <w:rsid w:val="00B84952"/>
    <w:rsid w:val="00B84962"/>
    <w:rsid w:val="00B84B9D"/>
    <w:rsid w:val="00B84C0C"/>
    <w:rsid w:val="00B84C2F"/>
    <w:rsid w:val="00B84C42"/>
    <w:rsid w:val="00B84C80"/>
    <w:rsid w:val="00B84C9F"/>
    <w:rsid w:val="00B84CEF"/>
    <w:rsid w:val="00B84D46"/>
    <w:rsid w:val="00B84D66"/>
    <w:rsid w:val="00B84D7C"/>
    <w:rsid w:val="00B84D9D"/>
    <w:rsid w:val="00B84DB9"/>
    <w:rsid w:val="00B84DD8"/>
    <w:rsid w:val="00B84E23"/>
    <w:rsid w:val="00B84E86"/>
    <w:rsid w:val="00B84F9E"/>
    <w:rsid w:val="00B84FB2"/>
    <w:rsid w:val="00B84FB5"/>
    <w:rsid w:val="00B84FBC"/>
    <w:rsid w:val="00B8505B"/>
    <w:rsid w:val="00B851A3"/>
    <w:rsid w:val="00B851A4"/>
    <w:rsid w:val="00B8528E"/>
    <w:rsid w:val="00B85318"/>
    <w:rsid w:val="00B85364"/>
    <w:rsid w:val="00B853AB"/>
    <w:rsid w:val="00B853BD"/>
    <w:rsid w:val="00B853DC"/>
    <w:rsid w:val="00B85406"/>
    <w:rsid w:val="00B8540C"/>
    <w:rsid w:val="00B85425"/>
    <w:rsid w:val="00B85453"/>
    <w:rsid w:val="00B854A2"/>
    <w:rsid w:val="00B85564"/>
    <w:rsid w:val="00B855E2"/>
    <w:rsid w:val="00B85643"/>
    <w:rsid w:val="00B856FE"/>
    <w:rsid w:val="00B85755"/>
    <w:rsid w:val="00B8576C"/>
    <w:rsid w:val="00B8576D"/>
    <w:rsid w:val="00B857CF"/>
    <w:rsid w:val="00B85802"/>
    <w:rsid w:val="00B8581F"/>
    <w:rsid w:val="00B85858"/>
    <w:rsid w:val="00B85885"/>
    <w:rsid w:val="00B858B0"/>
    <w:rsid w:val="00B858C4"/>
    <w:rsid w:val="00B8590E"/>
    <w:rsid w:val="00B85927"/>
    <w:rsid w:val="00B8594E"/>
    <w:rsid w:val="00B85997"/>
    <w:rsid w:val="00B859E2"/>
    <w:rsid w:val="00B85A20"/>
    <w:rsid w:val="00B85A39"/>
    <w:rsid w:val="00B85ABF"/>
    <w:rsid w:val="00B85AE6"/>
    <w:rsid w:val="00B85B28"/>
    <w:rsid w:val="00B85B43"/>
    <w:rsid w:val="00B85BB3"/>
    <w:rsid w:val="00B85C0C"/>
    <w:rsid w:val="00B85D34"/>
    <w:rsid w:val="00B85D66"/>
    <w:rsid w:val="00B85D71"/>
    <w:rsid w:val="00B85DAA"/>
    <w:rsid w:val="00B85E89"/>
    <w:rsid w:val="00B85EF5"/>
    <w:rsid w:val="00B85F2B"/>
    <w:rsid w:val="00B86036"/>
    <w:rsid w:val="00B860BE"/>
    <w:rsid w:val="00B861A6"/>
    <w:rsid w:val="00B861AE"/>
    <w:rsid w:val="00B861F1"/>
    <w:rsid w:val="00B86203"/>
    <w:rsid w:val="00B86205"/>
    <w:rsid w:val="00B86247"/>
    <w:rsid w:val="00B862CC"/>
    <w:rsid w:val="00B862D9"/>
    <w:rsid w:val="00B8631B"/>
    <w:rsid w:val="00B86329"/>
    <w:rsid w:val="00B864C5"/>
    <w:rsid w:val="00B86516"/>
    <w:rsid w:val="00B86570"/>
    <w:rsid w:val="00B8661E"/>
    <w:rsid w:val="00B866EB"/>
    <w:rsid w:val="00B86710"/>
    <w:rsid w:val="00B867CB"/>
    <w:rsid w:val="00B867D2"/>
    <w:rsid w:val="00B867DC"/>
    <w:rsid w:val="00B8689B"/>
    <w:rsid w:val="00B868AB"/>
    <w:rsid w:val="00B86934"/>
    <w:rsid w:val="00B86952"/>
    <w:rsid w:val="00B86965"/>
    <w:rsid w:val="00B869DE"/>
    <w:rsid w:val="00B86A14"/>
    <w:rsid w:val="00B86B71"/>
    <w:rsid w:val="00B86B7F"/>
    <w:rsid w:val="00B86B8D"/>
    <w:rsid w:val="00B86BBA"/>
    <w:rsid w:val="00B86BCD"/>
    <w:rsid w:val="00B86C14"/>
    <w:rsid w:val="00B86C16"/>
    <w:rsid w:val="00B86C3F"/>
    <w:rsid w:val="00B86CFF"/>
    <w:rsid w:val="00B86D45"/>
    <w:rsid w:val="00B86D4A"/>
    <w:rsid w:val="00B86D56"/>
    <w:rsid w:val="00B86D64"/>
    <w:rsid w:val="00B86D6F"/>
    <w:rsid w:val="00B86DE2"/>
    <w:rsid w:val="00B86DED"/>
    <w:rsid w:val="00B86E39"/>
    <w:rsid w:val="00B86EBC"/>
    <w:rsid w:val="00B86F34"/>
    <w:rsid w:val="00B86F94"/>
    <w:rsid w:val="00B86FDC"/>
    <w:rsid w:val="00B870E7"/>
    <w:rsid w:val="00B8711D"/>
    <w:rsid w:val="00B8713D"/>
    <w:rsid w:val="00B8719E"/>
    <w:rsid w:val="00B87265"/>
    <w:rsid w:val="00B87325"/>
    <w:rsid w:val="00B87368"/>
    <w:rsid w:val="00B8758D"/>
    <w:rsid w:val="00B8759A"/>
    <w:rsid w:val="00B875FC"/>
    <w:rsid w:val="00B8763D"/>
    <w:rsid w:val="00B8763F"/>
    <w:rsid w:val="00B87695"/>
    <w:rsid w:val="00B876E3"/>
    <w:rsid w:val="00B87735"/>
    <w:rsid w:val="00B8773E"/>
    <w:rsid w:val="00B87752"/>
    <w:rsid w:val="00B87783"/>
    <w:rsid w:val="00B877BF"/>
    <w:rsid w:val="00B877E6"/>
    <w:rsid w:val="00B877F9"/>
    <w:rsid w:val="00B8783C"/>
    <w:rsid w:val="00B878BD"/>
    <w:rsid w:val="00B878C7"/>
    <w:rsid w:val="00B87904"/>
    <w:rsid w:val="00B87913"/>
    <w:rsid w:val="00B87934"/>
    <w:rsid w:val="00B879B8"/>
    <w:rsid w:val="00B87B4A"/>
    <w:rsid w:val="00B87B8F"/>
    <w:rsid w:val="00B87C4A"/>
    <w:rsid w:val="00B87C7E"/>
    <w:rsid w:val="00B87C8D"/>
    <w:rsid w:val="00B87CA1"/>
    <w:rsid w:val="00B87CB7"/>
    <w:rsid w:val="00B87CCA"/>
    <w:rsid w:val="00B87CD8"/>
    <w:rsid w:val="00B87D4E"/>
    <w:rsid w:val="00B87DB1"/>
    <w:rsid w:val="00B87E0E"/>
    <w:rsid w:val="00B87E2D"/>
    <w:rsid w:val="00B87F5D"/>
    <w:rsid w:val="00B87F8C"/>
    <w:rsid w:val="00B87F97"/>
    <w:rsid w:val="00B87FBA"/>
    <w:rsid w:val="00B90039"/>
    <w:rsid w:val="00B90055"/>
    <w:rsid w:val="00B900F1"/>
    <w:rsid w:val="00B90147"/>
    <w:rsid w:val="00B90157"/>
    <w:rsid w:val="00B90181"/>
    <w:rsid w:val="00B9019E"/>
    <w:rsid w:val="00B901B6"/>
    <w:rsid w:val="00B901F5"/>
    <w:rsid w:val="00B90205"/>
    <w:rsid w:val="00B9031F"/>
    <w:rsid w:val="00B903E9"/>
    <w:rsid w:val="00B90441"/>
    <w:rsid w:val="00B9044E"/>
    <w:rsid w:val="00B90517"/>
    <w:rsid w:val="00B90533"/>
    <w:rsid w:val="00B90543"/>
    <w:rsid w:val="00B905BF"/>
    <w:rsid w:val="00B905C4"/>
    <w:rsid w:val="00B905CF"/>
    <w:rsid w:val="00B9062B"/>
    <w:rsid w:val="00B90721"/>
    <w:rsid w:val="00B90759"/>
    <w:rsid w:val="00B90774"/>
    <w:rsid w:val="00B9081A"/>
    <w:rsid w:val="00B90844"/>
    <w:rsid w:val="00B9084A"/>
    <w:rsid w:val="00B90851"/>
    <w:rsid w:val="00B90875"/>
    <w:rsid w:val="00B90908"/>
    <w:rsid w:val="00B90925"/>
    <w:rsid w:val="00B909DA"/>
    <w:rsid w:val="00B90A92"/>
    <w:rsid w:val="00B90B03"/>
    <w:rsid w:val="00B90C5B"/>
    <w:rsid w:val="00B90C88"/>
    <w:rsid w:val="00B90CC7"/>
    <w:rsid w:val="00B90CD6"/>
    <w:rsid w:val="00B90CF9"/>
    <w:rsid w:val="00B90D5C"/>
    <w:rsid w:val="00B90D67"/>
    <w:rsid w:val="00B90D71"/>
    <w:rsid w:val="00B90E73"/>
    <w:rsid w:val="00B90ECA"/>
    <w:rsid w:val="00B90F62"/>
    <w:rsid w:val="00B90F70"/>
    <w:rsid w:val="00B9104D"/>
    <w:rsid w:val="00B91069"/>
    <w:rsid w:val="00B9107D"/>
    <w:rsid w:val="00B9112F"/>
    <w:rsid w:val="00B91131"/>
    <w:rsid w:val="00B911E6"/>
    <w:rsid w:val="00B911F3"/>
    <w:rsid w:val="00B91205"/>
    <w:rsid w:val="00B91251"/>
    <w:rsid w:val="00B912B1"/>
    <w:rsid w:val="00B912C2"/>
    <w:rsid w:val="00B912D3"/>
    <w:rsid w:val="00B912DC"/>
    <w:rsid w:val="00B9133C"/>
    <w:rsid w:val="00B91377"/>
    <w:rsid w:val="00B9138A"/>
    <w:rsid w:val="00B913B1"/>
    <w:rsid w:val="00B913BE"/>
    <w:rsid w:val="00B91400"/>
    <w:rsid w:val="00B91401"/>
    <w:rsid w:val="00B91481"/>
    <w:rsid w:val="00B91586"/>
    <w:rsid w:val="00B915C6"/>
    <w:rsid w:val="00B9166D"/>
    <w:rsid w:val="00B91671"/>
    <w:rsid w:val="00B9168B"/>
    <w:rsid w:val="00B916BC"/>
    <w:rsid w:val="00B916D2"/>
    <w:rsid w:val="00B916DE"/>
    <w:rsid w:val="00B917E6"/>
    <w:rsid w:val="00B917FF"/>
    <w:rsid w:val="00B91931"/>
    <w:rsid w:val="00B91965"/>
    <w:rsid w:val="00B9196C"/>
    <w:rsid w:val="00B9198B"/>
    <w:rsid w:val="00B919D8"/>
    <w:rsid w:val="00B91ACD"/>
    <w:rsid w:val="00B91B93"/>
    <w:rsid w:val="00B91BB2"/>
    <w:rsid w:val="00B91BDE"/>
    <w:rsid w:val="00B91C01"/>
    <w:rsid w:val="00B91C0A"/>
    <w:rsid w:val="00B91C9D"/>
    <w:rsid w:val="00B91CC1"/>
    <w:rsid w:val="00B91D3D"/>
    <w:rsid w:val="00B91D7D"/>
    <w:rsid w:val="00B91D98"/>
    <w:rsid w:val="00B91E48"/>
    <w:rsid w:val="00B91E59"/>
    <w:rsid w:val="00B91E69"/>
    <w:rsid w:val="00B91EB9"/>
    <w:rsid w:val="00B91F56"/>
    <w:rsid w:val="00B91F95"/>
    <w:rsid w:val="00B91FA0"/>
    <w:rsid w:val="00B92038"/>
    <w:rsid w:val="00B92108"/>
    <w:rsid w:val="00B9212A"/>
    <w:rsid w:val="00B921E3"/>
    <w:rsid w:val="00B92214"/>
    <w:rsid w:val="00B92242"/>
    <w:rsid w:val="00B922DE"/>
    <w:rsid w:val="00B922E4"/>
    <w:rsid w:val="00B9236E"/>
    <w:rsid w:val="00B92374"/>
    <w:rsid w:val="00B92568"/>
    <w:rsid w:val="00B92581"/>
    <w:rsid w:val="00B92667"/>
    <w:rsid w:val="00B926A4"/>
    <w:rsid w:val="00B92700"/>
    <w:rsid w:val="00B9271E"/>
    <w:rsid w:val="00B9272A"/>
    <w:rsid w:val="00B9272E"/>
    <w:rsid w:val="00B9274D"/>
    <w:rsid w:val="00B92764"/>
    <w:rsid w:val="00B927B5"/>
    <w:rsid w:val="00B92801"/>
    <w:rsid w:val="00B92912"/>
    <w:rsid w:val="00B92956"/>
    <w:rsid w:val="00B929F4"/>
    <w:rsid w:val="00B92A2A"/>
    <w:rsid w:val="00B92A35"/>
    <w:rsid w:val="00B92A96"/>
    <w:rsid w:val="00B92AD7"/>
    <w:rsid w:val="00B92AFA"/>
    <w:rsid w:val="00B92B82"/>
    <w:rsid w:val="00B92B93"/>
    <w:rsid w:val="00B92B9C"/>
    <w:rsid w:val="00B92C22"/>
    <w:rsid w:val="00B92C43"/>
    <w:rsid w:val="00B92D24"/>
    <w:rsid w:val="00B92D41"/>
    <w:rsid w:val="00B92D6C"/>
    <w:rsid w:val="00B92DB2"/>
    <w:rsid w:val="00B92DDA"/>
    <w:rsid w:val="00B92E2F"/>
    <w:rsid w:val="00B92E5F"/>
    <w:rsid w:val="00B92F18"/>
    <w:rsid w:val="00B92F3D"/>
    <w:rsid w:val="00B92F79"/>
    <w:rsid w:val="00B92FB7"/>
    <w:rsid w:val="00B93028"/>
    <w:rsid w:val="00B9302B"/>
    <w:rsid w:val="00B93031"/>
    <w:rsid w:val="00B93037"/>
    <w:rsid w:val="00B93058"/>
    <w:rsid w:val="00B9308C"/>
    <w:rsid w:val="00B930B7"/>
    <w:rsid w:val="00B93163"/>
    <w:rsid w:val="00B9317D"/>
    <w:rsid w:val="00B932D8"/>
    <w:rsid w:val="00B932E8"/>
    <w:rsid w:val="00B93306"/>
    <w:rsid w:val="00B93378"/>
    <w:rsid w:val="00B93398"/>
    <w:rsid w:val="00B933AB"/>
    <w:rsid w:val="00B93426"/>
    <w:rsid w:val="00B93465"/>
    <w:rsid w:val="00B93493"/>
    <w:rsid w:val="00B93499"/>
    <w:rsid w:val="00B9355D"/>
    <w:rsid w:val="00B93581"/>
    <w:rsid w:val="00B935B2"/>
    <w:rsid w:val="00B9371D"/>
    <w:rsid w:val="00B93738"/>
    <w:rsid w:val="00B937DE"/>
    <w:rsid w:val="00B937FD"/>
    <w:rsid w:val="00B9381A"/>
    <w:rsid w:val="00B93866"/>
    <w:rsid w:val="00B938D4"/>
    <w:rsid w:val="00B938DC"/>
    <w:rsid w:val="00B93903"/>
    <w:rsid w:val="00B93924"/>
    <w:rsid w:val="00B93983"/>
    <w:rsid w:val="00B939D5"/>
    <w:rsid w:val="00B939DE"/>
    <w:rsid w:val="00B93A0B"/>
    <w:rsid w:val="00B93A1D"/>
    <w:rsid w:val="00B93A3F"/>
    <w:rsid w:val="00B93A68"/>
    <w:rsid w:val="00B93A80"/>
    <w:rsid w:val="00B93AAB"/>
    <w:rsid w:val="00B93AE8"/>
    <w:rsid w:val="00B93B75"/>
    <w:rsid w:val="00B93B94"/>
    <w:rsid w:val="00B93BB6"/>
    <w:rsid w:val="00B93BF8"/>
    <w:rsid w:val="00B93C2D"/>
    <w:rsid w:val="00B93C2F"/>
    <w:rsid w:val="00B93C96"/>
    <w:rsid w:val="00B93CB4"/>
    <w:rsid w:val="00B93D12"/>
    <w:rsid w:val="00B93D3A"/>
    <w:rsid w:val="00B93D3F"/>
    <w:rsid w:val="00B93D8A"/>
    <w:rsid w:val="00B93DC0"/>
    <w:rsid w:val="00B93DD1"/>
    <w:rsid w:val="00B93DFD"/>
    <w:rsid w:val="00B93DFF"/>
    <w:rsid w:val="00B93E0A"/>
    <w:rsid w:val="00B93E12"/>
    <w:rsid w:val="00B93E19"/>
    <w:rsid w:val="00B93E88"/>
    <w:rsid w:val="00B93F1A"/>
    <w:rsid w:val="00B93F2C"/>
    <w:rsid w:val="00B93F55"/>
    <w:rsid w:val="00B93F92"/>
    <w:rsid w:val="00B93FC3"/>
    <w:rsid w:val="00B93FE1"/>
    <w:rsid w:val="00B94090"/>
    <w:rsid w:val="00B940F5"/>
    <w:rsid w:val="00B94176"/>
    <w:rsid w:val="00B941AF"/>
    <w:rsid w:val="00B94248"/>
    <w:rsid w:val="00B9426D"/>
    <w:rsid w:val="00B942F6"/>
    <w:rsid w:val="00B94301"/>
    <w:rsid w:val="00B94388"/>
    <w:rsid w:val="00B943B2"/>
    <w:rsid w:val="00B94403"/>
    <w:rsid w:val="00B94490"/>
    <w:rsid w:val="00B944BE"/>
    <w:rsid w:val="00B944C7"/>
    <w:rsid w:val="00B9455D"/>
    <w:rsid w:val="00B945CD"/>
    <w:rsid w:val="00B945EA"/>
    <w:rsid w:val="00B9461F"/>
    <w:rsid w:val="00B94669"/>
    <w:rsid w:val="00B94679"/>
    <w:rsid w:val="00B94803"/>
    <w:rsid w:val="00B9487C"/>
    <w:rsid w:val="00B949BD"/>
    <w:rsid w:val="00B949E1"/>
    <w:rsid w:val="00B94ACA"/>
    <w:rsid w:val="00B94ADE"/>
    <w:rsid w:val="00B94AE2"/>
    <w:rsid w:val="00B94BB6"/>
    <w:rsid w:val="00B94C4F"/>
    <w:rsid w:val="00B94D18"/>
    <w:rsid w:val="00B94DB9"/>
    <w:rsid w:val="00B94DC4"/>
    <w:rsid w:val="00B94DD2"/>
    <w:rsid w:val="00B94DE3"/>
    <w:rsid w:val="00B94E39"/>
    <w:rsid w:val="00B94E49"/>
    <w:rsid w:val="00B94E54"/>
    <w:rsid w:val="00B94EA1"/>
    <w:rsid w:val="00B94F72"/>
    <w:rsid w:val="00B94F8B"/>
    <w:rsid w:val="00B94FBD"/>
    <w:rsid w:val="00B94FDF"/>
    <w:rsid w:val="00B94FEE"/>
    <w:rsid w:val="00B950D7"/>
    <w:rsid w:val="00B950EB"/>
    <w:rsid w:val="00B95120"/>
    <w:rsid w:val="00B951D0"/>
    <w:rsid w:val="00B95208"/>
    <w:rsid w:val="00B95217"/>
    <w:rsid w:val="00B95222"/>
    <w:rsid w:val="00B95298"/>
    <w:rsid w:val="00B952E5"/>
    <w:rsid w:val="00B95343"/>
    <w:rsid w:val="00B953BF"/>
    <w:rsid w:val="00B953E4"/>
    <w:rsid w:val="00B95490"/>
    <w:rsid w:val="00B954FC"/>
    <w:rsid w:val="00B95597"/>
    <w:rsid w:val="00B955AB"/>
    <w:rsid w:val="00B955B7"/>
    <w:rsid w:val="00B955D6"/>
    <w:rsid w:val="00B955E1"/>
    <w:rsid w:val="00B95694"/>
    <w:rsid w:val="00B9572E"/>
    <w:rsid w:val="00B95738"/>
    <w:rsid w:val="00B9575F"/>
    <w:rsid w:val="00B9594A"/>
    <w:rsid w:val="00B9595B"/>
    <w:rsid w:val="00B95980"/>
    <w:rsid w:val="00B959CE"/>
    <w:rsid w:val="00B95B2B"/>
    <w:rsid w:val="00B95B3C"/>
    <w:rsid w:val="00B95B69"/>
    <w:rsid w:val="00B95B98"/>
    <w:rsid w:val="00B95BCC"/>
    <w:rsid w:val="00B95BCE"/>
    <w:rsid w:val="00B95C49"/>
    <w:rsid w:val="00B95D4C"/>
    <w:rsid w:val="00B95D62"/>
    <w:rsid w:val="00B95D6F"/>
    <w:rsid w:val="00B95DB3"/>
    <w:rsid w:val="00B95ECE"/>
    <w:rsid w:val="00B95EF8"/>
    <w:rsid w:val="00B95F14"/>
    <w:rsid w:val="00B95F50"/>
    <w:rsid w:val="00B96033"/>
    <w:rsid w:val="00B96071"/>
    <w:rsid w:val="00B96078"/>
    <w:rsid w:val="00B960CB"/>
    <w:rsid w:val="00B9611A"/>
    <w:rsid w:val="00B9613B"/>
    <w:rsid w:val="00B961EB"/>
    <w:rsid w:val="00B9623C"/>
    <w:rsid w:val="00B96244"/>
    <w:rsid w:val="00B9625C"/>
    <w:rsid w:val="00B962A2"/>
    <w:rsid w:val="00B962C5"/>
    <w:rsid w:val="00B9632D"/>
    <w:rsid w:val="00B963B0"/>
    <w:rsid w:val="00B964AA"/>
    <w:rsid w:val="00B964B7"/>
    <w:rsid w:val="00B9652E"/>
    <w:rsid w:val="00B965E1"/>
    <w:rsid w:val="00B965E7"/>
    <w:rsid w:val="00B965F0"/>
    <w:rsid w:val="00B966A0"/>
    <w:rsid w:val="00B966EF"/>
    <w:rsid w:val="00B967F6"/>
    <w:rsid w:val="00B96837"/>
    <w:rsid w:val="00B96972"/>
    <w:rsid w:val="00B969B2"/>
    <w:rsid w:val="00B969E4"/>
    <w:rsid w:val="00B96A12"/>
    <w:rsid w:val="00B96A4B"/>
    <w:rsid w:val="00B96A71"/>
    <w:rsid w:val="00B96A95"/>
    <w:rsid w:val="00B96B27"/>
    <w:rsid w:val="00B96BC0"/>
    <w:rsid w:val="00B96C30"/>
    <w:rsid w:val="00B96C4F"/>
    <w:rsid w:val="00B96CC9"/>
    <w:rsid w:val="00B96CDB"/>
    <w:rsid w:val="00B96D99"/>
    <w:rsid w:val="00B96DCB"/>
    <w:rsid w:val="00B96E61"/>
    <w:rsid w:val="00B96EDE"/>
    <w:rsid w:val="00B96EF4"/>
    <w:rsid w:val="00B96F1C"/>
    <w:rsid w:val="00B96FDC"/>
    <w:rsid w:val="00B96FF2"/>
    <w:rsid w:val="00B97059"/>
    <w:rsid w:val="00B970A7"/>
    <w:rsid w:val="00B970B9"/>
    <w:rsid w:val="00B970BB"/>
    <w:rsid w:val="00B97110"/>
    <w:rsid w:val="00B97191"/>
    <w:rsid w:val="00B97238"/>
    <w:rsid w:val="00B9725B"/>
    <w:rsid w:val="00B9726C"/>
    <w:rsid w:val="00B972A4"/>
    <w:rsid w:val="00B972B2"/>
    <w:rsid w:val="00B97356"/>
    <w:rsid w:val="00B973AA"/>
    <w:rsid w:val="00B973D5"/>
    <w:rsid w:val="00B9740D"/>
    <w:rsid w:val="00B97473"/>
    <w:rsid w:val="00B9748D"/>
    <w:rsid w:val="00B974B8"/>
    <w:rsid w:val="00B97574"/>
    <w:rsid w:val="00B975EC"/>
    <w:rsid w:val="00B97650"/>
    <w:rsid w:val="00B9768B"/>
    <w:rsid w:val="00B976F3"/>
    <w:rsid w:val="00B977E1"/>
    <w:rsid w:val="00B97816"/>
    <w:rsid w:val="00B97831"/>
    <w:rsid w:val="00B97859"/>
    <w:rsid w:val="00B978B9"/>
    <w:rsid w:val="00B97904"/>
    <w:rsid w:val="00B9791B"/>
    <w:rsid w:val="00B97976"/>
    <w:rsid w:val="00B979B6"/>
    <w:rsid w:val="00B979BC"/>
    <w:rsid w:val="00B97A3C"/>
    <w:rsid w:val="00B97AB4"/>
    <w:rsid w:val="00B97B51"/>
    <w:rsid w:val="00B97B5F"/>
    <w:rsid w:val="00B97CBA"/>
    <w:rsid w:val="00B97CF9"/>
    <w:rsid w:val="00B97D08"/>
    <w:rsid w:val="00B97D50"/>
    <w:rsid w:val="00B97D99"/>
    <w:rsid w:val="00B97DBB"/>
    <w:rsid w:val="00B97DF6"/>
    <w:rsid w:val="00B97FE9"/>
    <w:rsid w:val="00B97FF6"/>
    <w:rsid w:val="00BA0082"/>
    <w:rsid w:val="00BA00CB"/>
    <w:rsid w:val="00BA00D6"/>
    <w:rsid w:val="00BA00ED"/>
    <w:rsid w:val="00BA0170"/>
    <w:rsid w:val="00BA0197"/>
    <w:rsid w:val="00BA01C2"/>
    <w:rsid w:val="00BA01FC"/>
    <w:rsid w:val="00BA020F"/>
    <w:rsid w:val="00BA0228"/>
    <w:rsid w:val="00BA023F"/>
    <w:rsid w:val="00BA0276"/>
    <w:rsid w:val="00BA0374"/>
    <w:rsid w:val="00BA044D"/>
    <w:rsid w:val="00BA0479"/>
    <w:rsid w:val="00BA0493"/>
    <w:rsid w:val="00BA04BD"/>
    <w:rsid w:val="00BA04EA"/>
    <w:rsid w:val="00BA0605"/>
    <w:rsid w:val="00BA060C"/>
    <w:rsid w:val="00BA0647"/>
    <w:rsid w:val="00BA0690"/>
    <w:rsid w:val="00BA06BB"/>
    <w:rsid w:val="00BA06CA"/>
    <w:rsid w:val="00BA0913"/>
    <w:rsid w:val="00BA0918"/>
    <w:rsid w:val="00BA091C"/>
    <w:rsid w:val="00BA096D"/>
    <w:rsid w:val="00BA09A6"/>
    <w:rsid w:val="00BA0A18"/>
    <w:rsid w:val="00BA0AAD"/>
    <w:rsid w:val="00BA0BC2"/>
    <w:rsid w:val="00BA0C0C"/>
    <w:rsid w:val="00BA0C34"/>
    <w:rsid w:val="00BA0CD5"/>
    <w:rsid w:val="00BA0CED"/>
    <w:rsid w:val="00BA0D42"/>
    <w:rsid w:val="00BA0DC1"/>
    <w:rsid w:val="00BA0DCB"/>
    <w:rsid w:val="00BA0EAD"/>
    <w:rsid w:val="00BA0ED7"/>
    <w:rsid w:val="00BA0F2B"/>
    <w:rsid w:val="00BA102A"/>
    <w:rsid w:val="00BA102C"/>
    <w:rsid w:val="00BA104E"/>
    <w:rsid w:val="00BA10E2"/>
    <w:rsid w:val="00BA1112"/>
    <w:rsid w:val="00BA1181"/>
    <w:rsid w:val="00BA11EE"/>
    <w:rsid w:val="00BA1217"/>
    <w:rsid w:val="00BA12A3"/>
    <w:rsid w:val="00BA12D0"/>
    <w:rsid w:val="00BA130F"/>
    <w:rsid w:val="00BA131E"/>
    <w:rsid w:val="00BA1392"/>
    <w:rsid w:val="00BA13A1"/>
    <w:rsid w:val="00BA13BA"/>
    <w:rsid w:val="00BA13D6"/>
    <w:rsid w:val="00BA140E"/>
    <w:rsid w:val="00BA146B"/>
    <w:rsid w:val="00BA1480"/>
    <w:rsid w:val="00BA1536"/>
    <w:rsid w:val="00BA1595"/>
    <w:rsid w:val="00BA15B3"/>
    <w:rsid w:val="00BA16BB"/>
    <w:rsid w:val="00BA16F0"/>
    <w:rsid w:val="00BA1703"/>
    <w:rsid w:val="00BA172A"/>
    <w:rsid w:val="00BA1737"/>
    <w:rsid w:val="00BA174D"/>
    <w:rsid w:val="00BA177A"/>
    <w:rsid w:val="00BA17AB"/>
    <w:rsid w:val="00BA18BE"/>
    <w:rsid w:val="00BA198F"/>
    <w:rsid w:val="00BA1AE7"/>
    <w:rsid w:val="00BA1B13"/>
    <w:rsid w:val="00BA1B48"/>
    <w:rsid w:val="00BA1B8D"/>
    <w:rsid w:val="00BA1C38"/>
    <w:rsid w:val="00BA1C8D"/>
    <w:rsid w:val="00BA1CDA"/>
    <w:rsid w:val="00BA1CFB"/>
    <w:rsid w:val="00BA1D1B"/>
    <w:rsid w:val="00BA1D21"/>
    <w:rsid w:val="00BA1D43"/>
    <w:rsid w:val="00BA1D5D"/>
    <w:rsid w:val="00BA1D9F"/>
    <w:rsid w:val="00BA1E74"/>
    <w:rsid w:val="00BA1EE4"/>
    <w:rsid w:val="00BA1EFC"/>
    <w:rsid w:val="00BA1F26"/>
    <w:rsid w:val="00BA1F4E"/>
    <w:rsid w:val="00BA1F5B"/>
    <w:rsid w:val="00BA1F86"/>
    <w:rsid w:val="00BA1FB7"/>
    <w:rsid w:val="00BA206E"/>
    <w:rsid w:val="00BA20C5"/>
    <w:rsid w:val="00BA20D4"/>
    <w:rsid w:val="00BA2106"/>
    <w:rsid w:val="00BA2140"/>
    <w:rsid w:val="00BA2169"/>
    <w:rsid w:val="00BA2223"/>
    <w:rsid w:val="00BA228C"/>
    <w:rsid w:val="00BA22E6"/>
    <w:rsid w:val="00BA22FB"/>
    <w:rsid w:val="00BA23C7"/>
    <w:rsid w:val="00BA2463"/>
    <w:rsid w:val="00BA24EB"/>
    <w:rsid w:val="00BA24FC"/>
    <w:rsid w:val="00BA255B"/>
    <w:rsid w:val="00BA2586"/>
    <w:rsid w:val="00BA2597"/>
    <w:rsid w:val="00BA2608"/>
    <w:rsid w:val="00BA262A"/>
    <w:rsid w:val="00BA2651"/>
    <w:rsid w:val="00BA266A"/>
    <w:rsid w:val="00BA26AB"/>
    <w:rsid w:val="00BA26AD"/>
    <w:rsid w:val="00BA26EC"/>
    <w:rsid w:val="00BA26EF"/>
    <w:rsid w:val="00BA27BD"/>
    <w:rsid w:val="00BA27EE"/>
    <w:rsid w:val="00BA27FF"/>
    <w:rsid w:val="00BA2915"/>
    <w:rsid w:val="00BA2957"/>
    <w:rsid w:val="00BA299B"/>
    <w:rsid w:val="00BA29D1"/>
    <w:rsid w:val="00BA2A0E"/>
    <w:rsid w:val="00BA2A16"/>
    <w:rsid w:val="00BA2A3C"/>
    <w:rsid w:val="00BA2A74"/>
    <w:rsid w:val="00BA2A76"/>
    <w:rsid w:val="00BA2AB9"/>
    <w:rsid w:val="00BA2B89"/>
    <w:rsid w:val="00BA2C13"/>
    <w:rsid w:val="00BA2C24"/>
    <w:rsid w:val="00BA2C71"/>
    <w:rsid w:val="00BA2CED"/>
    <w:rsid w:val="00BA2D55"/>
    <w:rsid w:val="00BA2DE5"/>
    <w:rsid w:val="00BA2DEA"/>
    <w:rsid w:val="00BA2E0E"/>
    <w:rsid w:val="00BA2E13"/>
    <w:rsid w:val="00BA2E83"/>
    <w:rsid w:val="00BA2EFD"/>
    <w:rsid w:val="00BA2F48"/>
    <w:rsid w:val="00BA2FB8"/>
    <w:rsid w:val="00BA3095"/>
    <w:rsid w:val="00BA30A0"/>
    <w:rsid w:val="00BA30AC"/>
    <w:rsid w:val="00BA310A"/>
    <w:rsid w:val="00BA320C"/>
    <w:rsid w:val="00BA322E"/>
    <w:rsid w:val="00BA323C"/>
    <w:rsid w:val="00BA326D"/>
    <w:rsid w:val="00BA3297"/>
    <w:rsid w:val="00BA335F"/>
    <w:rsid w:val="00BA33E5"/>
    <w:rsid w:val="00BA3486"/>
    <w:rsid w:val="00BA34C9"/>
    <w:rsid w:val="00BA355B"/>
    <w:rsid w:val="00BA39A5"/>
    <w:rsid w:val="00BA39B0"/>
    <w:rsid w:val="00BA39F6"/>
    <w:rsid w:val="00BA3A25"/>
    <w:rsid w:val="00BA3A31"/>
    <w:rsid w:val="00BA3AA3"/>
    <w:rsid w:val="00BA3AB3"/>
    <w:rsid w:val="00BA3AC1"/>
    <w:rsid w:val="00BA3ACF"/>
    <w:rsid w:val="00BA3ADA"/>
    <w:rsid w:val="00BA3AFB"/>
    <w:rsid w:val="00BA3B0B"/>
    <w:rsid w:val="00BA3B5D"/>
    <w:rsid w:val="00BA3B9A"/>
    <w:rsid w:val="00BA3BB8"/>
    <w:rsid w:val="00BA3C33"/>
    <w:rsid w:val="00BA3C44"/>
    <w:rsid w:val="00BA3D27"/>
    <w:rsid w:val="00BA3D44"/>
    <w:rsid w:val="00BA3D4D"/>
    <w:rsid w:val="00BA3DE6"/>
    <w:rsid w:val="00BA3DEB"/>
    <w:rsid w:val="00BA3EBE"/>
    <w:rsid w:val="00BA3EED"/>
    <w:rsid w:val="00BA3F0A"/>
    <w:rsid w:val="00BA3F97"/>
    <w:rsid w:val="00BA3FB8"/>
    <w:rsid w:val="00BA4023"/>
    <w:rsid w:val="00BA4046"/>
    <w:rsid w:val="00BA40B0"/>
    <w:rsid w:val="00BA40B7"/>
    <w:rsid w:val="00BA4118"/>
    <w:rsid w:val="00BA412A"/>
    <w:rsid w:val="00BA4153"/>
    <w:rsid w:val="00BA4159"/>
    <w:rsid w:val="00BA4172"/>
    <w:rsid w:val="00BA42DC"/>
    <w:rsid w:val="00BA430F"/>
    <w:rsid w:val="00BA4335"/>
    <w:rsid w:val="00BA443F"/>
    <w:rsid w:val="00BA4465"/>
    <w:rsid w:val="00BA4486"/>
    <w:rsid w:val="00BA4505"/>
    <w:rsid w:val="00BA4525"/>
    <w:rsid w:val="00BA453B"/>
    <w:rsid w:val="00BA4545"/>
    <w:rsid w:val="00BA4556"/>
    <w:rsid w:val="00BA460D"/>
    <w:rsid w:val="00BA46E1"/>
    <w:rsid w:val="00BA4725"/>
    <w:rsid w:val="00BA47AE"/>
    <w:rsid w:val="00BA482F"/>
    <w:rsid w:val="00BA4931"/>
    <w:rsid w:val="00BA49B2"/>
    <w:rsid w:val="00BA49B6"/>
    <w:rsid w:val="00BA4A26"/>
    <w:rsid w:val="00BA4A53"/>
    <w:rsid w:val="00BA4A85"/>
    <w:rsid w:val="00BA4AE2"/>
    <w:rsid w:val="00BA4B46"/>
    <w:rsid w:val="00BA4B52"/>
    <w:rsid w:val="00BA4C25"/>
    <w:rsid w:val="00BA4C9A"/>
    <w:rsid w:val="00BA4CBB"/>
    <w:rsid w:val="00BA4D14"/>
    <w:rsid w:val="00BA4D2C"/>
    <w:rsid w:val="00BA4DB1"/>
    <w:rsid w:val="00BA4E20"/>
    <w:rsid w:val="00BA4EEE"/>
    <w:rsid w:val="00BA4F38"/>
    <w:rsid w:val="00BA4F8D"/>
    <w:rsid w:val="00BA504C"/>
    <w:rsid w:val="00BA505E"/>
    <w:rsid w:val="00BA50C6"/>
    <w:rsid w:val="00BA5157"/>
    <w:rsid w:val="00BA5166"/>
    <w:rsid w:val="00BA51E9"/>
    <w:rsid w:val="00BA534C"/>
    <w:rsid w:val="00BA535C"/>
    <w:rsid w:val="00BA535E"/>
    <w:rsid w:val="00BA538D"/>
    <w:rsid w:val="00BA539F"/>
    <w:rsid w:val="00BA53A9"/>
    <w:rsid w:val="00BA5454"/>
    <w:rsid w:val="00BA548F"/>
    <w:rsid w:val="00BA54EF"/>
    <w:rsid w:val="00BA5529"/>
    <w:rsid w:val="00BA5558"/>
    <w:rsid w:val="00BA557A"/>
    <w:rsid w:val="00BA557D"/>
    <w:rsid w:val="00BA55E2"/>
    <w:rsid w:val="00BA567E"/>
    <w:rsid w:val="00BA56D5"/>
    <w:rsid w:val="00BA574C"/>
    <w:rsid w:val="00BA577B"/>
    <w:rsid w:val="00BA5785"/>
    <w:rsid w:val="00BA57D2"/>
    <w:rsid w:val="00BA57D4"/>
    <w:rsid w:val="00BA5910"/>
    <w:rsid w:val="00BA59DC"/>
    <w:rsid w:val="00BA5A36"/>
    <w:rsid w:val="00BA5A5E"/>
    <w:rsid w:val="00BA5A81"/>
    <w:rsid w:val="00BA5AD1"/>
    <w:rsid w:val="00BA5B97"/>
    <w:rsid w:val="00BA5B9A"/>
    <w:rsid w:val="00BA5BE7"/>
    <w:rsid w:val="00BA5BFA"/>
    <w:rsid w:val="00BA5BFC"/>
    <w:rsid w:val="00BA5CF4"/>
    <w:rsid w:val="00BA5CFD"/>
    <w:rsid w:val="00BA5D0B"/>
    <w:rsid w:val="00BA5D3E"/>
    <w:rsid w:val="00BA5D6B"/>
    <w:rsid w:val="00BA5D78"/>
    <w:rsid w:val="00BA5E05"/>
    <w:rsid w:val="00BA5E6F"/>
    <w:rsid w:val="00BA5EDF"/>
    <w:rsid w:val="00BA5F5C"/>
    <w:rsid w:val="00BA5F9B"/>
    <w:rsid w:val="00BA6055"/>
    <w:rsid w:val="00BA61B6"/>
    <w:rsid w:val="00BA6205"/>
    <w:rsid w:val="00BA621B"/>
    <w:rsid w:val="00BA6247"/>
    <w:rsid w:val="00BA624E"/>
    <w:rsid w:val="00BA62ED"/>
    <w:rsid w:val="00BA631E"/>
    <w:rsid w:val="00BA6372"/>
    <w:rsid w:val="00BA6380"/>
    <w:rsid w:val="00BA6398"/>
    <w:rsid w:val="00BA6472"/>
    <w:rsid w:val="00BA6480"/>
    <w:rsid w:val="00BA650D"/>
    <w:rsid w:val="00BA6534"/>
    <w:rsid w:val="00BA6595"/>
    <w:rsid w:val="00BA65C7"/>
    <w:rsid w:val="00BA65E0"/>
    <w:rsid w:val="00BA662B"/>
    <w:rsid w:val="00BA66D9"/>
    <w:rsid w:val="00BA6727"/>
    <w:rsid w:val="00BA67AC"/>
    <w:rsid w:val="00BA67D8"/>
    <w:rsid w:val="00BA68B4"/>
    <w:rsid w:val="00BA68C1"/>
    <w:rsid w:val="00BA6934"/>
    <w:rsid w:val="00BA69CB"/>
    <w:rsid w:val="00BA6A11"/>
    <w:rsid w:val="00BA6A1F"/>
    <w:rsid w:val="00BA6A5D"/>
    <w:rsid w:val="00BA6ABE"/>
    <w:rsid w:val="00BA6B05"/>
    <w:rsid w:val="00BA6B37"/>
    <w:rsid w:val="00BA6BBB"/>
    <w:rsid w:val="00BA6C81"/>
    <w:rsid w:val="00BA6C8E"/>
    <w:rsid w:val="00BA6CA9"/>
    <w:rsid w:val="00BA6CDA"/>
    <w:rsid w:val="00BA6CE5"/>
    <w:rsid w:val="00BA6D08"/>
    <w:rsid w:val="00BA6D8D"/>
    <w:rsid w:val="00BA6D93"/>
    <w:rsid w:val="00BA6DFB"/>
    <w:rsid w:val="00BA6EE3"/>
    <w:rsid w:val="00BA6F0D"/>
    <w:rsid w:val="00BA6F3C"/>
    <w:rsid w:val="00BA6FEA"/>
    <w:rsid w:val="00BA7018"/>
    <w:rsid w:val="00BA7070"/>
    <w:rsid w:val="00BA710D"/>
    <w:rsid w:val="00BA712F"/>
    <w:rsid w:val="00BA7138"/>
    <w:rsid w:val="00BA7153"/>
    <w:rsid w:val="00BA7198"/>
    <w:rsid w:val="00BA71CE"/>
    <w:rsid w:val="00BA71F1"/>
    <w:rsid w:val="00BA7251"/>
    <w:rsid w:val="00BA7270"/>
    <w:rsid w:val="00BA72AD"/>
    <w:rsid w:val="00BA731E"/>
    <w:rsid w:val="00BA737C"/>
    <w:rsid w:val="00BA73E6"/>
    <w:rsid w:val="00BA743A"/>
    <w:rsid w:val="00BA7490"/>
    <w:rsid w:val="00BA7494"/>
    <w:rsid w:val="00BA74A7"/>
    <w:rsid w:val="00BA74BB"/>
    <w:rsid w:val="00BA74F4"/>
    <w:rsid w:val="00BA751F"/>
    <w:rsid w:val="00BA756A"/>
    <w:rsid w:val="00BA75A7"/>
    <w:rsid w:val="00BA75B5"/>
    <w:rsid w:val="00BA75BE"/>
    <w:rsid w:val="00BA75C8"/>
    <w:rsid w:val="00BA75FE"/>
    <w:rsid w:val="00BA7602"/>
    <w:rsid w:val="00BA76B8"/>
    <w:rsid w:val="00BA76BA"/>
    <w:rsid w:val="00BA76BF"/>
    <w:rsid w:val="00BA76E8"/>
    <w:rsid w:val="00BA7712"/>
    <w:rsid w:val="00BA7765"/>
    <w:rsid w:val="00BA77BF"/>
    <w:rsid w:val="00BA77DD"/>
    <w:rsid w:val="00BA78B1"/>
    <w:rsid w:val="00BA78F3"/>
    <w:rsid w:val="00BA7921"/>
    <w:rsid w:val="00BA792B"/>
    <w:rsid w:val="00BA7959"/>
    <w:rsid w:val="00BA798E"/>
    <w:rsid w:val="00BA798F"/>
    <w:rsid w:val="00BA799D"/>
    <w:rsid w:val="00BA799F"/>
    <w:rsid w:val="00BA7A16"/>
    <w:rsid w:val="00BA7A60"/>
    <w:rsid w:val="00BA7B24"/>
    <w:rsid w:val="00BA7B97"/>
    <w:rsid w:val="00BA7C47"/>
    <w:rsid w:val="00BA7CF1"/>
    <w:rsid w:val="00BA7D16"/>
    <w:rsid w:val="00BA7D6C"/>
    <w:rsid w:val="00BA7D8C"/>
    <w:rsid w:val="00BA7DFC"/>
    <w:rsid w:val="00BA7E26"/>
    <w:rsid w:val="00BB0052"/>
    <w:rsid w:val="00BB006E"/>
    <w:rsid w:val="00BB008F"/>
    <w:rsid w:val="00BB00B9"/>
    <w:rsid w:val="00BB0155"/>
    <w:rsid w:val="00BB018D"/>
    <w:rsid w:val="00BB019D"/>
    <w:rsid w:val="00BB025E"/>
    <w:rsid w:val="00BB02AF"/>
    <w:rsid w:val="00BB02FF"/>
    <w:rsid w:val="00BB0305"/>
    <w:rsid w:val="00BB0335"/>
    <w:rsid w:val="00BB035B"/>
    <w:rsid w:val="00BB04DF"/>
    <w:rsid w:val="00BB059C"/>
    <w:rsid w:val="00BB05E6"/>
    <w:rsid w:val="00BB05F1"/>
    <w:rsid w:val="00BB0612"/>
    <w:rsid w:val="00BB0694"/>
    <w:rsid w:val="00BB0739"/>
    <w:rsid w:val="00BB0747"/>
    <w:rsid w:val="00BB075E"/>
    <w:rsid w:val="00BB08F9"/>
    <w:rsid w:val="00BB092C"/>
    <w:rsid w:val="00BB0A1E"/>
    <w:rsid w:val="00BB0A37"/>
    <w:rsid w:val="00BB0A77"/>
    <w:rsid w:val="00BB0AB2"/>
    <w:rsid w:val="00BB0C04"/>
    <w:rsid w:val="00BB0C15"/>
    <w:rsid w:val="00BB0C69"/>
    <w:rsid w:val="00BB0C82"/>
    <w:rsid w:val="00BB0D0F"/>
    <w:rsid w:val="00BB0E43"/>
    <w:rsid w:val="00BB0EB7"/>
    <w:rsid w:val="00BB0F0B"/>
    <w:rsid w:val="00BB0F56"/>
    <w:rsid w:val="00BB0F76"/>
    <w:rsid w:val="00BB0F8B"/>
    <w:rsid w:val="00BB0FAC"/>
    <w:rsid w:val="00BB0FD4"/>
    <w:rsid w:val="00BB0FE1"/>
    <w:rsid w:val="00BB0FF5"/>
    <w:rsid w:val="00BB1100"/>
    <w:rsid w:val="00BB1142"/>
    <w:rsid w:val="00BB128D"/>
    <w:rsid w:val="00BB12BF"/>
    <w:rsid w:val="00BB12FC"/>
    <w:rsid w:val="00BB1315"/>
    <w:rsid w:val="00BB136F"/>
    <w:rsid w:val="00BB1373"/>
    <w:rsid w:val="00BB139C"/>
    <w:rsid w:val="00BB1480"/>
    <w:rsid w:val="00BB14F8"/>
    <w:rsid w:val="00BB1507"/>
    <w:rsid w:val="00BB15B6"/>
    <w:rsid w:val="00BB1673"/>
    <w:rsid w:val="00BB16A4"/>
    <w:rsid w:val="00BB1791"/>
    <w:rsid w:val="00BB17A3"/>
    <w:rsid w:val="00BB17B6"/>
    <w:rsid w:val="00BB1805"/>
    <w:rsid w:val="00BB18E0"/>
    <w:rsid w:val="00BB1904"/>
    <w:rsid w:val="00BB193A"/>
    <w:rsid w:val="00BB1966"/>
    <w:rsid w:val="00BB199A"/>
    <w:rsid w:val="00BB19BA"/>
    <w:rsid w:val="00BB19BF"/>
    <w:rsid w:val="00BB19C0"/>
    <w:rsid w:val="00BB1A44"/>
    <w:rsid w:val="00BB1AEA"/>
    <w:rsid w:val="00BB1AF1"/>
    <w:rsid w:val="00BB1B24"/>
    <w:rsid w:val="00BB1B7B"/>
    <w:rsid w:val="00BB1C0A"/>
    <w:rsid w:val="00BB1C1B"/>
    <w:rsid w:val="00BB1C67"/>
    <w:rsid w:val="00BB1D12"/>
    <w:rsid w:val="00BB1D69"/>
    <w:rsid w:val="00BB1E20"/>
    <w:rsid w:val="00BB1FB9"/>
    <w:rsid w:val="00BB1FCD"/>
    <w:rsid w:val="00BB200A"/>
    <w:rsid w:val="00BB2041"/>
    <w:rsid w:val="00BB215E"/>
    <w:rsid w:val="00BB2169"/>
    <w:rsid w:val="00BB21AB"/>
    <w:rsid w:val="00BB2346"/>
    <w:rsid w:val="00BB2357"/>
    <w:rsid w:val="00BB236A"/>
    <w:rsid w:val="00BB24FA"/>
    <w:rsid w:val="00BB254A"/>
    <w:rsid w:val="00BB254B"/>
    <w:rsid w:val="00BB2635"/>
    <w:rsid w:val="00BB263C"/>
    <w:rsid w:val="00BB267A"/>
    <w:rsid w:val="00BB269E"/>
    <w:rsid w:val="00BB26B7"/>
    <w:rsid w:val="00BB2716"/>
    <w:rsid w:val="00BB2791"/>
    <w:rsid w:val="00BB27E0"/>
    <w:rsid w:val="00BB27EB"/>
    <w:rsid w:val="00BB296A"/>
    <w:rsid w:val="00BB298E"/>
    <w:rsid w:val="00BB29B9"/>
    <w:rsid w:val="00BB29D2"/>
    <w:rsid w:val="00BB29FB"/>
    <w:rsid w:val="00BB2A6B"/>
    <w:rsid w:val="00BB2AC4"/>
    <w:rsid w:val="00BB2AFA"/>
    <w:rsid w:val="00BB2C9A"/>
    <w:rsid w:val="00BB2CAB"/>
    <w:rsid w:val="00BB2E1C"/>
    <w:rsid w:val="00BB2E2D"/>
    <w:rsid w:val="00BB2E4B"/>
    <w:rsid w:val="00BB2EAD"/>
    <w:rsid w:val="00BB2EBD"/>
    <w:rsid w:val="00BB2EFD"/>
    <w:rsid w:val="00BB3013"/>
    <w:rsid w:val="00BB301A"/>
    <w:rsid w:val="00BB3026"/>
    <w:rsid w:val="00BB3034"/>
    <w:rsid w:val="00BB3089"/>
    <w:rsid w:val="00BB30B3"/>
    <w:rsid w:val="00BB30BA"/>
    <w:rsid w:val="00BB316E"/>
    <w:rsid w:val="00BB31B0"/>
    <w:rsid w:val="00BB31C3"/>
    <w:rsid w:val="00BB3290"/>
    <w:rsid w:val="00BB329E"/>
    <w:rsid w:val="00BB3323"/>
    <w:rsid w:val="00BB333A"/>
    <w:rsid w:val="00BB338E"/>
    <w:rsid w:val="00BB33A8"/>
    <w:rsid w:val="00BB33AE"/>
    <w:rsid w:val="00BB33D9"/>
    <w:rsid w:val="00BB342B"/>
    <w:rsid w:val="00BB356B"/>
    <w:rsid w:val="00BB35A5"/>
    <w:rsid w:val="00BB35A8"/>
    <w:rsid w:val="00BB35E0"/>
    <w:rsid w:val="00BB3680"/>
    <w:rsid w:val="00BB3733"/>
    <w:rsid w:val="00BB37C3"/>
    <w:rsid w:val="00BB37D8"/>
    <w:rsid w:val="00BB3814"/>
    <w:rsid w:val="00BB3870"/>
    <w:rsid w:val="00BB38F1"/>
    <w:rsid w:val="00BB392F"/>
    <w:rsid w:val="00BB3969"/>
    <w:rsid w:val="00BB3AAE"/>
    <w:rsid w:val="00BB3ABC"/>
    <w:rsid w:val="00BB3BB5"/>
    <w:rsid w:val="00BB3C03"/>
    <w:rsid w:val="00BB3C5B"/>
    <w:rsid w:val="00BB3C67"/>
    <w:rsid w:val="00BB3C9D"/>
    <w:rsid w:val="00BB3CA6"/>
    <w:rsid w:val="00BB3CAD"/>
    <w:rsid w:val="00BB3D30"/>
    <w:rsid w:val="00BB3D58"/>
    <w:rsid w:val="00BB3DD7"/>
    <w:rsid w:val="00BB3DEC"/>
    <w:rsid w:val="00BB3E44"/>
    <w:rsid w:val="00BB3E81"/>
    <w:rsid w:val="00BB3EBE"/>
    <w:rsid w:val="00BB3F04"/>
    <w:rsid w:val="00BB3FD6"/>
    <w:rsid w:val="00BB3FF7"/>
    <w:rsid w:val="00BB4078"/>
    <w:rsid w:val="00BB4094"/>
    <w:rsid w:val="00BB409A"/>
    <w:rsid w:val="00BB41C7"/>
    <w:rsid w:val="00BB426B"/>
    <w:rsid w:val="00BB429F"/>
    <w:rsid w:val="00BB42C6"/>
    <w:rsid w:val="00BB4305"/>
    <w:rsid w:val="00BB43DC"/>
    <w:rsid w:val="00BB4409"/>
    <w:rsid w:val="00BB4429"/>
    <w:rsid w:val="00BB443E"/>
    <w:rsid w:val="00BB446B"/>
    <w:rsid w:val="00BB446E"/>
    <w:rsid w:val="00BB456D"/>
    <w:rsid w:val="00BB4587"/>
    <w:rsid w:val="00BB465A"/>
    <w:rsid w:val="00BB4718"/>
    <w:rsid w:val="00BB4738"/>
    <w:rsid w:val="00BB47A6"/>
    <w:rsid w:val="00BB4847"/>
    <w:rsid w:val="00BB48E6"/>
    <w:rsid w:val="00BB4930"/>
    <w:rsid w:val="00BB4970"/>
    <w:rsid w:val="00BB497E"/>
    <w:rsid w:val="00BB499B"/>
    <w:rsid w:val="00BB49B7"/>
    <w:rsid w:val="00BB49DB"/>
    <w:rsid w:val="00BB4A1C"/>
    <w:rsid w:val="00BB4A21"/>
    <w:rsid w:val="00BB4AE9"/>
    <w:rsid w:val="00BB4B6A"/>
    <w:rsid w:val="00BB4C2D"/>
    <w:rsid w:val="00BB4C4C"/>
    <w:rsid w:val="00BB4C60"/>
    <w:rsid w:val="00BB4CFF"/>
    <w:rsid w:val="00BB4DAA"/>
    <w:rsid w:val="00BB4DC5"/>
    <w:rsid w:val="00BB4E30"/>
    <w:rsid w:val="00BB4E34"/>
    <w:rsid w:val="00BB4E4D"/>
    <w:rsid w:val="00BB4E53"/>
    <w:rsid w:val="00BB4E59"/>
    <w:rsid w:val="00BB4E87"/>
    <w:rsid w:val="00BB4F97"/>
    <w:rsid w:val="00BB5001"/>
    <w:rsid w:val="00BB5057"/>
    <w:rsid w:val="00BB505B"/>
    <w:rsid w:val="00BB50A0"/>
    <w:rsid w:val="00BB50D1"/>
    <w:rsid w:val="00BB50E6"/>
    <w:rsid w:val="00BB50F1"/>
    <w:rsid w:val="00BB511D"/>
    <w:rsid w:val="00BB5141"/>
    <w:rsid w:val="00BB52F9"/>
    <w:rsid w:val="00BB5303"/>
    <w:rsid w:val="00BB5376"/>
    <w:rsid w:val="00BB5408"/>
    <w:rsid w:val="00BB5446"/>
    <w:rsid w:val="00BB54F1"/>
    <w:rsid w:val="00BB555B"/>
    <w:rsid w:val="00BB5651"/>
    <w:rsid w:val="00BB5741"/>
    <w:rsid w:val="00BB5781"/>
    <w:rsid w:val="00BB5998"/>
    <w:rsid w:val="00BB59C4"/>
    <w:rsid w:val="00BB59F3"/>
    <w:rsid w:val="00BB5A2A"/>
    <w:rsid w:val="00BB5A93"/>
    <w:rsid w:val="00BB5B0E"/>
    <w:rsid w:val="00BB5BD9"/>
    <w:rsid w:val="00BB5BF7"/>
    <w:rsid w:val="00BB5C01"/>
    <w:rsid w:val="00BB5C62"/>
    <w:rsid w:val="00BB5C97"/>
    <w:rsid w:val="00BB5D37"/>
    <w:rsid w:val="00BB5D4C"/>
    <w:rsid w:val="00BB5DB5"/>
    <w:rsid w:val="00BB5E4B"/>
    <w:rsid w:val="00BB5E6B"/>
    <w:rsid w:val="00BB5E85"/>
    <w:rsid w:val="00BB5E94"/>
    <w:rsid w:val="00BB5F15"/>
    <w:rsid w:val="00BB5F28"/>
    <w:rsid w:val="00BB5F83"/>
    <w:rsid w:val="00BB6087"/>
    <w:rsid w:val="00BB60F2"/>
    <w:rsid w:val="00BB6190"/>
    <w:rsid w:val="00BB61B2"/>
    <w:rsid w:val="00BB6202"/>
    <w:rsid w:val="00BB623E"/>
    <w:rsid w:val="00BB62D9"/>
    <w:rsid w:val="00BB62E7"/>
    <w:rsid w:val="00BB62F3"/>
    <w:rsid w:val="00BB635F"/>
    <w:rsid w:val="00BB6394"/>
    <w:rsid w:val="00BB64CD"/>
    <w:rsid w:val="00BB64D6"/>
    <w:rsid w:val="00BB6517"/>
    <w:rsid w:val="00BB655F"/>
    <w:rsid w:val="00BB65F4"/>
    <w:rsid w:val="00BB6635"/>
    <w:rsid w:val="00BB665B"/>
    <w:rsid w:val="00BB6776"/>
    <w:rsid w:val="00BB6786"/>
    <w:rsid w:val="00BB67CD"/>
    <w:rsid w:val="00BB6801"/>
    <w:rsid w:val="00BB6802"/>
    <w:rsid w:val="00BB6807"/>
    <w:rsid w:val="00BB683D"/>
    <w:rsid w:val="00BB6863"/>
    <w:rsid w:val="00BB68B4"/>
    <w:rsid w:val="00BB68F3"/>
    <w:rsid w:val="00BB6912"/>
    <w:rsid w:val="00BB69EA"/>
    <w:rsid w:val="00BB69F5"/>
    <w:rsid w:val="00BB6A29"/>
    <w:rsid w:val="00BB6AB5"/>
    <w:rsid w:val="00BB6B32"/>
    <w:rsid w:val="00BB6B51"/>
    <w:rsid w:val="00BB6BB8"/>
    <w:rsid w:val="00BB6C40"/>
    <w:rsid w:val="00BB6C88"/>
    <w:rsid w:val="00BB6CED"/>
    <w:rsid w:val="00BB6D1F"/>
    <w:rsid w:val="00BB6D6D"/>
    <w:rsid w:val="00BB6DB8"/>
    <w:rsid w:val="00BB6E81"/>
    <w:rsid w:val="00BB6E90"/>
    <w:rsid w:val="00BB6F31"/>
    <w:rsid w:val="00BB6F5B"/>
    <w:rsid w:val="00BB6FB0"/>
    <w:rsid w:val="00BB6FF7"/>
    <w:rsid w:val="00BB7018"/>
    <w:rsid w:val="00BB7022"/>
    <w:rsid w:val="00BB7071"/>
    <w:rsid w:val="00BB70BE"/>
    <w:rsid w:val="00BB7132"/>
    <w:rsid w:val="00BB7228"/>
    <w:rsid w:val="00BB722E"/>
    <w:rsid w:val="00BB72DA"/>
    <w:rsid w:val="00BB73C6"/>
    <w:rsid w:val="00BB740D"/>
    <w:rsid w:val="00BB756B"/>
    <w:rsid w:val="00BB761A"/>
    <w:rsid w:val="00BB765E"/>
    <w:rsid w:val="00BB7676"/>
    <w:rsid w:val="00BB7689"/>
    <w:rsid w:val="00BB76CC"/>
    <w:rsid w:val="00BB76E2"/>
    <w:rsid w:val="00BB76F0"/>
    <w:rsid w:val="00BB77DF"/>
    <w:rsid w:val="00BB78CA"/>
    <w:rsid w:val="00BB7956"/>
    <w:rsid w:val="00BB7978"/>
    <w:rsid w:val="00BB79C6"/>
    <w:rsid w:val="00BB79EC"/>
    <w:rsid w:val="00BB7A02"/>
    <w:rsid w:val="00BB7A8C"/>
    <w:rsid w:val="00BB7AD1"/>
    <w:rsid w:val="00BB7C00"/>
    <w:rsid w:val="00BB7C74"/>
    <w:rsid w:val="00BB7CA5"/>
    <w:rsid w:val="00BB7CA8"/>
    <w:rsid w:val="00BB7CF3"/>
    <w:rsid w:val="00BB7D98"/>
    <w:rsid w:val="00BB7DCB"/>
    <w:rsid w:val="00BB7DE5"/>
    <w:rsid w:val="00BB7DED"/>
    <w:rsid w:val="00BB7DF2"/>
    <w:rsid w:val="00BB7E0F"/>
    <w:rsid w:val="00BB7ED1"/>
    <w:rsid w:val="00BB7F04"/>
    <w:rsid w:val="00BB7F9B"/>
    <w:rsid w:val="00BB7FA5"/>
    <w:rsid w:val="00BB7FD8"/>
    <w:rsid w:val="00BB7FF0"/>
    <w:rsid w:val="00BC00B1"/>
    <w:rsid w:val="00BC00BB"/>
    <w:rsid w:val="00BC00E0"/>
    <w:rsid w:val="00BC0151"/>
    <w:rsid w:val="00BC0229"/>
    <w:rsid w:val="00BC022A"/>
    <w:rsid w:val="00BC02D8"/>
    <w:rsid w:val="00BC0334"/>
    <w:rsid w:val="00BC0346"/>
    <w:rsid w:val="00BC04F1"/>
    <w:rsid w:val="00BC0573"/>
    <w:rsid w:val="00BC05AC"/>
    <w:rsid w:val="00BC0661"/>
    <w:rsid w:val="00BC0687"/>
    <w:rsid w:val="00BC07EF"/>
    <w:rsid w:val="00BC0811"/>
    <w:rsid w:val="00BC0819"/>
    <w:rsid w:val="00BC081B"/>
    <w:rsid w:val="00BC08D6"/>
    <w:rsid w:val="00BC0950"/>
    <w:rsid w:val="00BC096B"/>
    <w:rsid w:val="00BC0995"/>
    <w:rsid w:val="00BC09C1"/>
    <w:rsid w:val="00BC0A00"/>
    <w:rsid w:val="00BC0A3A"/>
    <w:rsid w:val="00BC0A5D"/>
    <w:rsid w:val="00BC0A74"/>
    <w:rsid w:val="00BC0AD9"/>
    <w:rsid w:val="00BC0B12"/>
    <w:rsid w:val="00BC0B93"/>
    <w:rsid w:val="00BC0BBB"/>
    <w:rsid w:val="00BC0C8B"/>
    <w:rsid w:val="00BC0C9D"/>
    <w:rsid w:val="00BC0DAA"/>
    <w:rsid w:val="00BC0EB1"/>
    <w:rsid w:val="00BC0EC6"/>
    <w:rsid w:val="00BC0EC7"/>
    <w:rsid w:val="00BC0FE6"/>
    <w:rsid w:val="00BC0FE9"/>
    <w:rsid w:val="00BC100B"/>
    <w:rsid w:val="00BC1026"/>
    <w:rsid w:val="00BC1038"/>
    <w:rsid w:val="00BC1061"/>
    <w:rsid w:val="00BC10C1"/>
    <w:rsid w:val="00BC10CD"/>
    <w:rsid w:val="00BC10FF"/>
    <w:rsid w:val="00BC1101"/>
    <w:rsid w:val="00BC1103"/>
    <w:rsid w:val="00BC119D"/>
    <w:rsid w:val="00BC11B0"/>
    <w:rsid w:val="00BC11F5"/>
    <w:rsid w:val="00BC1205"/>
    <w:rsid w:val="00BC1220"/>
    <w:rsid w:val="00BC1278"/>
    <w:rsid w:val="00BC127E"/>
    <w:rsid w:val="00BC1282"/>
    <w:rsid w:val="00BC131C"/>
    <w:rsid w:val="00BC13B4"/>
    <w:rsid w:val="00BC13E0"/>
    <w:rsid w:val="00BC1424"/>
    <w:rsid w:val="00BC1495"/>
    <w:rsid w:val="00BC14D3"/>
    <w:rsid w:val="00BC14EF"/>
    <w:rsid w:val="00BC1546"/>
    <w:rsid w:val="00BC1578"/>
    <w:rsid w:val="00BC158E"/>
    <w:rsid w:val="00BC1617"/>
    <w:rsid w:val="00BC16C9"/>
    <w:rsid w:val="00BC172B"/>
    <w:rsid w:val="00BC17D1"/>
    <w:rsid w:val="00BC17E1"/>
    <w:rsid w:val="00BC180A"/>
    <w:rsid w:val="00BC18F7"/>
    <w:rsid w:val="00BC19E8"/>
    <w:rsid w:val="00BC1A00"/>
    <w:rsid w:val="00BC1A24"/>
    <w:rsid w:val="00BC1A41"/>
    <w:rsid w:val="00BC1AA6"/>
    <w:rsid w:val="00BC1B87"/>
    <w:rsid w:val="00BC1BE6"/>
    <w:rsid w:val="00BC1C42"/>
    <w:rsid w:val="00BC1D5B"/>
    <w:rsid w:val="00BC1D67"/>
    <w:rsid w:val="00BC1EB9"/>
    <w:rsid w:val="00BC1ECA"/>
    <w:rsid w:val="00BC1EF8"/>
    <w:rsid w:val="00BC1F25"/>
    <w:rsid w:val="00BC1F38"/>
    <w:rsid w:val="00BC1F4B"/>
    <w:rsid w:val="00BC1F71"/>
    <w:rsid w:val="00BC1F86"/>
    <w:rsid w:val="00BC1FC5"/>
    <w:rsid w:val="00BC1FFD"/>
    <w:rsid w:val="00BC2171"/>
    <w:rsid w:val="00BC2192"/>
    <w:rsid w:val="00BC21A1"/>
    <w:rsid w:val="00BC220F"/>
    <w:rsid w:val="00BC2231"/>
    <w:rsid w:val="00BC2244"/>
    <w:rsid w:val="00BC22E6"/>
    <w:rsid w:val="00BC22F2"/>
    <w:rsid w:val="00BC237D"/>
    <w:rsid w:val="00BC2432"/>
    <w:rsid w:val="00BC244E"/>
    <w:rsid w:val="00BC245D"/>
    <w:rsid w:val="00BC2478"/>
    <w:rsid w:val="00BC2541"/>
    <w:rsid w:val="00BC264A"/>
    <w:rsid w:val="00BC2674"/>
    <w:rsid w:val="00BC2700"/>
    <w:rsid w:val="00BC275E"/>
    <w:rsid w:val="00BC27C7"/>
    <w:rsid w:val="00BC29B9"/>
    <w:rsid w:val="00BC2BA3"/>
    <w:rsid w:val="00BC2BF7"/>
    <w:rsid w:val="00BC2C18"/>
    <w:rsid w:val="00BC2CC4"/>
    <w:rsid w:val="00BC2D43"/>
    <w:rsid w:val="00BC2D58"/>
    <w:rsid w:val="00BC2D7E"/>
    <w:rsid w:val="00BC2D97"/>
    <w:rsid w:val="00BC2E7C"/>
    <w:rsid w:val="00BC2EC1"/>
    <w:rsid w:val="00BC2EE6"/>
    <w:rsid w:val="00BC2F0C"/>
    <w:rsid w:val="00BC2FC0"/>
    <w:rsid w:val="00BC305E"/>
    <w:rsid w:val="00BC30AB"/>
    <w:rsid w:val="00BC3115"/>
    <w:rsid w:val="00BC3165"/>
    <w:rsid w:val="00BC3187"/>
    <w:rsid w:val="00BC31B9"/>
    <w:rsid w:val="00BC31D4"/>
    <w:rsid w:val="00BC3351"/>
    <w:rsid w:val="00BC33C3"/>
    <w:rsid w:val="00BC34C0"/>
    <w:rsid w:val="00BC34DF"/>
    <w:rsid w:val="00BC34F2"/>
    <w:rsid w:val="00BC353C"/>
    <w:rsid w:val="00BC3569"/>
    <w:rsid w:val="00BC3593"/>
    <w:rsid w:val="00BC35A4"/>
    <w:rsid w:val="00BC35FB"/>
    <w:rsid w:val="00BC3669"/>
    <w:rsid w:val="00BC3698"/>
    <w:rsid w:val="00BC36F3"/>
    <w:rsid w:val="00BC3763"/>
    <w:rsid w:val="00BC37C1"/>
    <w:rsid w:val="00BC3834"/>
    <w:rsid w:val="00BC3931"/>
    <w:rsid w:val="00BC394D"/>
    <w:rsid w:val="00BC39DF"/>
    <w:rsid w:val="00BC3A55"/>
    <w:rsid w:val="00BC3A5B"/>
    <w:rsid w:val="00BC3B23"/>
    <w:rsid w:val="00BC3B35"/>
    <w:rsid w:val="00BC3B61"/>
    <w:rsid w:val="00BC3BC6"/>
    <w:rsid w:val="00BC3C46"/>
    <w:rsid w:val="00BC3CB9"/>
    <w:rsid w:val="00BC3CD7"/>
    <w:rsid w:val="00BC3D18"/>
    <w:rsid w:val="00BC3D35"/>
    <w:rsid w:val="00BC3D87"/>
    <w:rsid w:val="00BC3DCF"/>
    <w:rsid w:val="00BC3DE3"/>
    <w:rsid w:val="00BC3DEA"/>
    <w:rsid w:val="00BC3E9C"/>
    <w:rsid w:val="00BC3EDB"/>
    <w:rsid w:val="00BC3F29"/>
    <w:rsid w:val="00BC3F35"/>
    <w:rsid w:val="00BC3F6C"/>
    <w:rsid w:val="00BC3FA3"/>
    <w:rsid w:val="00BC3FEC"/>
    <w:rsid w:val="00BC4062"/>
    <w:rsid w:val="00BC408F"/>
    <w:rsid w:val="00BC4110"/>
    <w:rsid w:val="00BC412D"/>
    <w:rsid w:val="00BC4164"/>
    <w:rsid w:val="00BC4175"/>
    <w:rsid w:val="00BC4178"/>
    <w:rsid w:val="00BC4184"/>
    <w:rsid w:val="00BC426A"/>
    <w:rsid w:val="00BC4271"/>
    <w:rsid w:val="00BC428A"/>
    <w:rsid w:val="00BC42C5"/>
    <w:rsid w:val="00BC433F"/>
    <w:rsid w:val="00BC4347"/>
    <w:rsid w:val="00BC4354"/>
    <w:rsid w:val="00BC4452"/>
    <w:rsid w:val="00BC4487"/>
    <w:rsid w:val="00BC4490"/>
    <w:rsid w:val="00BC449C"/>
    <w:rsid w:val="00BC45C9"/>
    <w:rsid w:val="00BC45F4"/>
    <w:rsid w:val="00BC46CA"/>
    <w:rsid w:val="00BC46CC"/>
    <w:rsid w:val="00BC482A"/>
    <w:rsid w:val="00BC4960"/>
    <w:rsid w:val="00BC4A0F"/>
    <w:rsid w:val="00BC4A21"/>
    <w:rsid w:val="00BC4A96"/>
    <w:rsid w:val="00BC4A97"/>
    <w:rsid w:val="00BC4AFD"/>
    <w:rsid w:val="00BC4B45"/>
    <w:rsid w:val="00BC4B62"/>
    <w:rsid w:val="00BC4B9C"/>
    <w:rsid w:val="00BC4BBD"/>
    <w:rsid w:val="00BC4BD8"/>
    <w:rsid w:val="00BC4C2A"/>
    <w:rsid w:val="00BC4CF0"/>
    <w:rsid w:val="00BC4D2B"/>
    <w:rsid w:val="00BC4E1F"/>
    <w:rsid w:val="00BC4E90"/>
    <w:rsid w:val="00BC4EC1"/>
    <w:rsid w:val="00BC4F16"/>
    <w:rsid w:val="00BC4F77"/>
    <w:rsid w:val="00BC4F7A"/>
    <w:rsid w:val="00BC4F98"/>
    <w:rsid w:val="00BC500E"/>
    <w:rsid w:val="00BC5028"/>
    <w:rsid w:val="00BC5080"/>
    <w:rsid w:val="00BC50AB"/>
    <w:rsid w:val="00BC50B5"/>
    <w:rsid w:val="00BC50B8"/>
    <w:rsid w:val="00BC511A"/>
    <w:rsid w:val="00BC5217"/>
    <w:rsid w:val="00BC5272"/>
    <w:rsid w:val="00BC527F"/>
    <w:rsid w:val="00BC533D"/>
    <w:rsid w:val="00BC544B"/>
    <w:rsid w:val="00BC5487"/>
    <w:rsid w:val="00BC5506"/>
    <w:rsid w:val="00BC5514"/>
    <w:rsid w:val="00BC5580"/>
    <w:rsid w:val="00BC558F"/>
    <w:rsid w:val="00BC55AF"/>
    <w:rsid w:val="00BC5615"/>
    <w:rsid w:val="00BC566C"/>
    <w:rsid w:val="00BC568A"/>
    <w:rsid w:val="00BC568F"/>
    <w:rsid w:val="00BC56A8"/>
    <w:rsid w:val="00BC5769"/>
    <w:rsid w:val="00BC5773"/>
    <w:rsid w:val="00BC584C"/>
    <w:rsid w:val="00BC588D"/>
    <w:rsid w:val="00BC58EB"/>
    <w:rsid w:val="00BC5932"/>
    <w:rsid w:val="00BC593A"/>
    <w:rsid w:val="00BC5A25"/>
    <w:rsid w:val="00BC5A49"/>
    <w:rsid w:val="00BC5A5E"/>
    <w:rsid w:val="00BC5A63"/>
    <w:rsid w:val="00BC5A6F"/>
    <w:rsid w:val="00BC5A86"/>
    <w:rsid w:val="00BC5AD4"/>
    <w:rsid w:val="00BC5AFD"/>
    <w:rsid w:val="00BC5B9B"/>
    <w:rsid w:val="00BC5BE6"/>
    <w:rsid w:val="00BC5C50"/>
    <w:rsid w:val="00BC5D0D"/>
    <w:rsid w:val="00BC5D1E"/>
    <w:rsid w:val="00BC5DE5"/>
    <w:rsid w:val="00BC5DE9"/>
    <w:rsid w:val="00BC5DFE"/>
    <w:rsid w:val="00BC5E13"/>
    <w:rsid w:val="00BC5E68"/>
    <w:rsid w:val="00BC5EBF"/>
    <w:rsid w:val="00BC5F1F"/>
    <w:rsid w:val="00BC6087"/>
    <w:rsid w:val="00BC60C0"/>
    <w:rsid w:val="00BC60C6"/>
    <w:rsid w:val="00BC60D4"/>
    <w:rsid w:val="00BC60D9"/>
    <w:rsid w:val="00BC6105"/>
    <w:rsid w:val="00BC618F"/>
    <w:rsid w:val="00BC61AB"/>
    <w:rsid w:val="00BC61B4"/>
    <w:rsid w:val="00BC61F7"/>
    <w:rsid w:val="00BC6205"/>
    <w:rsid w:val="00BC6279"/>
    <w:rsid w:val="00BC629E"/>
    <w:rsid w:val="00BC62C8"/>
    <w:rsid w:val="00BC6304"/>
    <w:rsid w:val="00BC63B6"/>
    <w:rsid w:val="00BC63CD"/>
    <w:rsid w:val="00BC63EB"/>
    <w:rsid w:val="00BC6413"/>
    <w:rsid w:val="00BC6461"/>
    <w:rsid w:val="00BC64BA"/>
    <w:rsid w:val="00BC64D5"/>
    <w:rsid w:val="00BC64D9"/>
    <w:rsid w:val="00BC64DB"/>
    <w:rsid w:val="00BC64E2"/>
    <w:rsid w:val="00BC64E6"/>
    <w:rsid w:val="00BC6594"/>
    <w:rsid w:val="00BC661A"/>
    <w:rsid w:val="00BC6678"/>
    <w:rsid w:val="00BC6681"/>
    <w:rsid w:val="00BC6695"/>
    <w:rsid w:val="00BC6740"/>
    <w:rsid w:val="00BC6782"/>
    <w:rsid w:val="00BC67F3"/>
    <w:rsid w:val="00BC6813"/>
    <w:rsid w:val="00BC681A"/>
    <w:rsid w:val="00BC684C"/>
    <w:rsid w:val="00BC6875"/>
    <w:rsid w:val="00BC68CF"/>
    <w:rsid w:val="00BC68E0"/>
    <w:rsid w:val="00BC691D"/>
    <w:rsid w:val="00BC6975"/>
    <w:rsid w:val="00BC69E9"/>
    <w:rsid w:val="00BC6A92"/>
    <w:rsid w:val="00BC6A9C"/>
    <w:rsid w:val="00BC6ABE"/>
    <w:rsid w:val="00BC6AD9"/>
    <w:rsid w:val="00BC6AFD"/>
    <w:rsid w:val="00BC6B7E"/>
    <w:rsid w:val="00BC6BAA"/>
    <w:rsid w:val="00BC6BB8"/>
    <w:rsid w:val="00BC6BDF"/>
    <w:rsid w:val="00BC6BF7"/>
    <w:rsid w:val="00BC6CAC"/>
    <w:rsid w:val="00BC6CFC"/>
    <w:rsid w:val="00BC6CFE"/>
    <w:rsid w:val="00BC6D08"/>
    <w:rsid w:val="00BC6D2B"/>
    <w:rsid w:val="00BC6D55"/>
    <w:rsid w:val="00BC6DB0"/>
    <w:rsid w:val="00BC6DFB"/>
    <w:rsid w:val="00BC6E13"/>
    <w:rsid w:val="00BC6E25"/>
    <w:rsid w:val="00BC6E75"/>
    <w:rsid w:val="00BC6F52"/>
    <w:rsid w:val="00BC6FBC"/>
    <w:rsid w:val="00BC7039"/>
    <w:rsid w:val="00BC70B5"/>
    <w:rsid w:val="00BC70D8"/>
    <w:rsid w:val="00BC713F"/>
    <w:rsid w:val="00BC7177"/>
    <w:rsid w:val="00BC722C"/>
    <w:rsid w:val="00BC7299"/>
    <w:rsid w:val="00BC72B5"/>
    <w:rsid w:val="00BC72C7"/>
    <w:rsid w:val="00BC7378"/>
    <w:rsid w:val="00BC73DF"/>
    <w:rsid w:val="00BC7400"/>
    <w:rsid w:val="00BC740A"/>
    <w:rsid w:val="00BC743A"/>
    <w:rsid w:val="00BC7449"/>
    <w:rsid w:val="00BC748C"/>
    <w:rsid w:val="00BC74B7"/>
    <w:rsid w:val="00BC74BF"/>
    <w:rsid w:val="00BC75D0"/>
    <w:rsid w:val="00BC7649"/>
    <w:rsid w:val="00BC7753"/>
    <w:rsid w:val="00BC777E"/>
    <w:rsid w:val="00BC77DE"/>
    <w:rsid w:val="00BC77E1"/>
    <w:rsid w:val="00BC78DB"/>
    <w:rsid w:val="00BC7904"/>
    <w:rsid w:val="00BC793E"/>
    <w:rsid w:val="00BC794E"/>
    <w:rsid w:val="00BC7953"/>
    <w:rsid w:val="00BC79C6"/>
    <w:rsid w:val="00BC79FF"/>
    <w:rsid w:val="00BC7A31"/>
    <w:rsid w:val="00BC7A4A"/>
    <w:rsid w:val="00BC7AE1"/>
    <w:rsid w:val="00BC7B16"/>
    <w:rsid w:val="00BC7B63"/>
    <w:rsid w:val="00BC7C45"/>
    <w:rsid w:val="00BC7C4D"/>
    <w:rsid w:val="00BC7CED"/>
    <w:rsid w:val="00BC7D2E"/>
    <w:rsid w:val="00BC7DA0"/>
    <w:rsid w:val="00BC7DA3"/>
    <w:rsid w:val="00BC7DD1"/>
    <w:rsid w:val="00BC7DE2"/>
    <w:rsid w:val="00BC7E1C"/>
    <w:rsid w:val="00BC7E66"/>
    <w:rsid w:val="00BC7E6E"/>
    <w:rsid w:val="00BC7E86"/>
    <w:rsid w:val="00BC7EF0"/>
    <w:rsid w:val="00BC7F58"/>
    <w:rsid w:val="00BD000B"/>
    <w:rsid w:val="00BD00EA"/>
    <w:rsid w:val="00BD00FB"/>
    <w:rsid w:val="00BD010C"/>
    <w:rsid w:val="00BD012B"/>
    <w:rsid w:val="00BD015D"/>
    <w:rsid w:val="00BD0208"/>
    <w:rsid w:val="00BD0213"/>
    <w:rsid w:val="00BD02AC"/>
    <w:rsid w:val="00BD0308"/>
    <w:rsid w:val="00BD0342"/>
    <w:rsid w:val="00BD03EF"/>
    <w:rsid w:val="00BD0441"/>
    <w:rsid w:val="00BD0493"/>
    <w:rsid w:val="00BD04FD"/>
    <w:rsid w:val="00BD05BA"/>
    <w:rsid w:val="00BD05E3"/>
    <w:rsid w:val="00BD068E"/>
    <w:rsid w:val="00BD069A"/>
    <w:rsid w:val="00BD06AE"/>
    <w:rsid w:val="00BD06C7"/>
    <w:rsid w:val="00BD06D5"/>
    <w:rsid w:val="00BD06ED"/>
    <w:rsid w:val="00BD0709"/>
    <w:rsid w:val="00BD078D"/>
    <w:rsid w:val="00BD0847"/>
    <w:rsid w:val="00BD084F"/>
    <w:rsid w:val="00BD0870"/>
    <w:rsid w:val="00BD0896"/>
    <w:rsid w:val="00BD08F5"/>
    <w:rsid w:val="00BD09F0"/>
    <w:rsid w:val="00BD0A1E"/>
    <w:rsid w:val="00BD0A4D"/>
    <w:rsid w:val="00BD0AA5"/>
    <w:rsid w:val="00BD0AAE"/>
    <w:rsid w:val="00BD0AAF"/>
    <w:rsid w:val="00BD0B58"/>
    <w:rsid w:val="00BD0B6B"/>
    <w:rsid w:val="00BD0BAB"/>
    <w:rsid w:val="00BD0D15"/>
    <w:rsid w:val="00BD0D4E"/>
    <w:rsid w:val="00BD0D58"/>
    <w:rsid w:val="00BD0D72"/>
    <w:rsid w:val="00BD0D7A"/>
    <w:rsid w:val="00BD0D85"/>
    <w:rsid w:val="00BD0E06"/>
    <w:rsid w:val="00BD0E48"/>
    <w:rsid w:val="00BD0E7D"/>
    <w:rsid w:val="00BD0EA2"/>
    <w:rsid w:val="00BD0EAB"/>
    <w:rsid w:val="00BD0EC4"/>
    <w:rsid w:val="00BD0F35"/>
    <w:rsid w:val="00BD0F76"/>
    <w:rsid w:val="00BD0FDF"/>
    <w:rsid w:val="00BD107B"/>
    <w:rsid w:val="00BD1157"/>
    <w:rsid w:val="00BD116B"/>
    <w:rsid w:val="00BD1192"/>
    <w:rsid w:val="00BD1225"/>
    <w:rsid w:val="00BD1226"/>
    <w:rsid w:val="00BD124E"/>
    <w:rsid w:val="00BD128F"/>
    <w:rsid w:val="00BD1392"/>
    <w:rsid w:val="00BD13A2"/>
    <w:rsid w:val="00BD1455"/>
    <w:rsid w:val="00BD1478"/>
    <w:rsid w:val="00BD1531"/>
    <w:rsid w:val="00BD1595"/>
    <w:rsid w:val="00BD15C1"/>
    <w:rsid w:val="00BD1642"/>
    <w:rsid w:val="00BD168D"/>
    <w:rsid w:val="00BD16BF"/>
    <w:rsid w:val="00BD16CC"/>
    <w:rsid w:val="00BD1716"/>
    <w:rsid w:val="00BD1866"/>
    <w:rsid w:val="00BD18D6"/>
    <w:rsid w:val="00BD1936"/>
    <w:rsid w:val="00BD1962"/>
    <w:rsid w:val="00BD19D5"/>
    <w:rsid w:val="00BD1A13"/>
    <w:rsid w:val="00BD1A67"/>
    <w:rsid w:val="00BD1AAD"/>
    <w:rsid w:val="00BD1BBE"/>
    <w:rsid w:val="00BD1BF5"/>
    <w:rsid w:val="00BD1C16"/>
    <w:rsid w:val="00BD1CA0"/>
    <w:rsid w:val="00BD1CDD"/>
    <w:rsid w:val="00BD1CF9"/>
    <w:rsid w:val="00BD1DB3"/>
    <w:rsid w:val="00BD1DCA"/>
    <w:rsid w:val="00BD1DF2"/>
    <w:rsid w:val="00BD1E2E"/>
    <w:rsid w:val="00BD1E39"/>
    <w:rsid w:val="00BD1F18"/>
    <w:rsid w:val="00BD1F7A"/>
    <w:rsid w:val="00BD1FBF"/>
    <w:rsid w:val="00BD1FEB"/>
    <w:rsid w:val="00BD1FED"/>
    <w:rsid w:val="00BD1FF2"/>
    <w:rsid w:val="00BD1FFF"/>
    <w:rsid w:val="00BD201E"/>
    <w:rsid w:val="00BD202E"/>
    <w:rsid w:val="00BD20D2"/>
    <w:rsid w:val="00BD20EC"/>
    <w:rsid w:val="00BD21F3"/>
    <w:rsid w:val="00BD2221"/>
    <w:rsid w:val="00BD22B9"/>
    <w:rsid w:val="00BD22E0"/>
    <w:rsid w:val="00BD2372"/>
    <w:rsid w:val="00BD2399"/>
    <w:rsid w:val="00BD23BB"/>
    <w:rsid w:val="00BD2421"/>
    <w:rsid w:val="00BD2465"/>
    <w:rsid w:val="00BD24BF"/>
    <w:rsid w:val="00BD25B6"/>
    <w:rsid w:val="00BD25BA"/>
    <w:rsid w:val="00BD2727"/>
    <w:rsid w:val="00BD278A"/>
    <w:rsid w:val="00BD279A"/>
    <w:rsid w:val="00BD2813"/>
    <w:rsid w:val="00BD28B2"/>
    <w:rsid w:val="00BD28E5"/>
    <w:rsid w:val="00BD28F2"/>
    <w:rsid w:val="00BD291E"/>
    <w:rsid w:val="00BD299E"/>
    <w:rsid w:val="00BD2A79"/>
    <w:rsid w:val="00BD2AA1"/>
    <w:rsid w:val="00BD2AD7"/>
    <w:rsid w:val="00BD2B92"/>
    <w:rsid w:val="00BD2C1E"/>
    <w:rsid w:val="00BD2C33"/>
    <w:rsid w:val="00BD2CE3"/>
    <w:rsid w:val="00BD2DAB"/>
    <w:rsid w:val="00BD2DB6"/>
    <w:rsid w:val="00BD2DDD"/>
    <w:rsid w:val="00BD2DF2"/>
    <w:rsid w:val="00BD2E11"/>
    <w:rsid w:val="00BD2E54"/>
    <w:rsid w:val="00BD2F2E"/>
    <w:rsid w:val="00BD2F35"/>
    <w:rsid w:val="00BD2F64"/>
    <w:rsid w:val="00BD2FCE"/>
    <w:rsid w:val="00BD2FE1"/>
    <w:rsid w:val="00BD3020"/>
    <w:rsid w:val="00BD30E1"/>
    <w:rsid w:val="00BD30F3"/>
    <w:rsid w:val="00BD3129"/>
    <w:rsid w:val="00BD3190"/>
    <w:rsid w:val="00BD31BD"/>
    <w:rsid w:val="00BD31DB"/>
    <w:rsid w:val="00BD31FF"/>
    <w:rsid w:val="00BD3254"/>
    <w:rsid w:val="00BD3287"/>
    <w:rsid w:val="00BD32A5"/>
    <w:rsid w:val="00BD32AF"/>
    <w:rsid w:val="00BD32C9"/>
    <w:rsid w:val="00BD32CD"/>
    <w:rsid w:val="00BD32D4"/>
    <w:rsid w:val="00BD32DB"/>
    <w:rsid w:val="00BD32F6"/>
    <w:rsid w:val="00BD32FC"/>
    <w:rsid w:val="00BD3304"/>
    <w:rsid w:val="00BD3352"/>
    <w:rsid w:val="00BD3368"/>
    <w:rsid w:val="00BD341B"/>
    <w:rsid w:val="00BD344D"/>
    <w:rsid w:val="00BD34D9"/>
    <w:rsid w:val="00BD34E7"/>
    <w:rsid w:val="00BD34FD"/>
    <w:rsid w:val="00BD35AB"/>
    <w:rsid w:val="00BD361B"/>
    <w:rsid w:val="00BD3684"/>
    <w:rsid w:val="00BD36ED"/>
    <w:rsid w:val="00BD37AA"/>
    <w:rsid w:val="00BD37EC"/>
    <w:rsid w:val="00BD3800"/>
    <w:rsid w:val="00BD380D"/>
    <w:rsid w:val="00BD38D0"/>
    <w:rsid w:val="00BD3923"/>
    <w:rsid w:val="00BD394D"/>
    <w:rsid w:val="00BD397C"/>
    <w:rsid w:val="00BD39AD"/>
    <w:rsid w:val="00BD39C7"/>
    <w:rsid w:val="00BD39D9"/>
    <w:rsid w:val="00BD3A00"/>
    <w:rsid w:val="00BD3ACA"/>
    <w:rsid w:val="00BD3AE1"/>
    <w:rsid w:val="00BD3AE9"/>
    <w:rsid w:val="00BD3B41"/>
    <w:rsid w:val="00BD3BE4"/>
    <w:rsid w:val="00BD3C20"/>
    <w:rsid w:val="00BD3C68"/>
    <w:rsid w:val="00BD3C69"/>
    <w:rsid w:val="00BD3C8F"/>
    <w:rsid w:val="00BD3CA6"/>
    <w:rsid w:val="00BD3CAE"/>
    <w:rsid w:val="00BD3CDF"/>
    <w:rsid w:val="00BD3D5E"/>
    <w:rsid w:val="00BD3D6F"/>
    <w:rsid w:val="00BD3D74"/>
    <w:rsid w:val="00BD3D9F"/>
    <w:rsid w:val="00BD3E3C"/>
    <w:rsid w:val="00BD3E85"/>
    <w:rsid w:val="00BD3E90"/>
    <w:rsid w:val="00BD3EC5"/>
    <w:rsid w:val="00BD3ECB"/>
    <w:rsid w:val="00BD3ECE"/>
    <w:rsid w:val="00BD3ED1"/>
    <w:rsid w:val="00BD3EDA"/>
    <w:rsid w:val="00BD3EF3"/>
    <w:rsid w:val="00BD3F18"/>
    <w:rsid w:val="00BD3F38"/>
    <w:rsid w:val="00BD3F47"/>
    <w:rsid w:val="00BD3FA4"/>
    <w:rsid w:val="00BD4045"/>
    <w:rsid w:val="00BD4079"/>
    <w:rsid w:val="00BD4182"/>
    <w:rsid w:val="00BD426C"/>
    <w:rsid w:val="00BD42A5"/>
    <w:rsid w:val="00BD430E"/>
    <w:rsid w:val="00BD435D"/>
    <w:rsid w:val="00BD4368"/>
    <w:rsid w:val="00BD437C"/>
    <w:rsid w:val="00BD447D"/>
    <w:rsid w:val="00BD44BE"/>
    <w:rsid w:val="00BD4553"/>
    <w:rsid w:val="00BD4575"/>
    <w:rsid w:val="00BD45A3"/>
    <w:rsid w:val="00BD45A4"/>
    <w:rsid w:val="00BD45CE"/>
    <w:rsid w:val="00BD45DB"/>
    <w:rsid w:val="00BD45EE"/>
    <w:rsid w:val="00BD4644"/>
    <w:rsid w:val="00BD4653"/>
    <w:rsid w:val="00BD4674"/>
    <w:rsid w:val="00BD46A2"/>
    <w:rsid w:val="00BD4712"/>
    <w:rsid w:val="00BD473C"/>
    <w:rsid w:val="00BD476A"/>
    <w:rsid w:val="00BD4836"/>
    <w:rsid w:val="00BD4878"/>
    <w:rsid w:val="00BD487B"/>
    <w:rsid w:val="00BD49B9"/>
    <w:rsid w:val="00BD49EE"/>
    <w:rsid w:val="00BD4A5B"/>
    <w:rsid w:val="00BD4AE2"/>
    <w:rsid w:val="00BD4AF8"/>
    <w:rsid w:val="00BD4B01"/>
    <w:rsid w:val="00BD4B89"/>
    <w:rsid w:val="00BD4BC7"/>
    <w:rsid w:val="00BD4C0C"/>
    <w:rsid w:val="00BD4C16"/>
    <w:rsid w:val="00BD4C1F"/>
    <w:rsid w:val="00BD4C60"/>
    <w:rsid w:val="00BD4CB0"/>
    <w:rsid w:val="00BD4CCB"/>
    <w:rsid w:val="00BD4E4B"/>
    <w:rsid w:val="00BD4F0D"/>
    <w:rsid w:val="00BD4F20"/>
    <w:rsid w:val="00BD4F3D"/>
    <w:rsid w:val="00BD4F69"/>
    <w:rsid w:val="00BD5014"/>
    <w:rsid w:val="00BD5019"/>
    <w:rsid w:val="00BD505B"/>
    <w:rsid w:val="00BD50BF"/>
    <w:rsid w:val="00BD50E7"/>
    <w:rsid w:val="00BD50F5"/>
    <w:rsid w:val="00BD5115"/>
    <w:rsid w:val="00BD5125"/>
    <w:rsid w:val="00BD512F"/>
    <w:rsid w:val="00BD5159"/>
    <w:rsid w:val="00BD51F8"/>
    <w:rsid w:val="00BD522A"/>
    <w:rsid w:val="00BD5276"/>
    <w:rsid w:val="00BD52E5"/>
    <w:rsid w:val="00BD531B"/>
    <w:rsid w:val="00BD5370"/>
    <w:rsid w:val="00BD53A4"/>
    <w:rsid w:val="00BD53E7"/>
    <w:rsid w:val="00BD5451"/>
    <w:rsid w:val="00BD5452"/>
    <w:rsid w:val="00BD548E"/>
    <w:rsid w:val="00BD54CA"/>
    <w:rsid w:val="00BD5528"/>
    <w:rsid w:val="00BD554F"/>
    <w:rsid w:val="00BD5560"/>
    <w:rsid w:val="00BD55DB"/>
    <w:rsid w:val="00BD55E0"/>
    <w:rsid w:val="00BD5618"/>
    <w:rsid w:val="00BD5646"/>
    <w:rsid w:val="00BD56AF"/>
    <w:rsid w:val="00BD56B6"/>
    <w:rsid w:val="00BD56C2"/>
    <w:rsid w:val="00BD56D1"/>
    <w:rsid w:val="00BD573D"/>
    <w:rsid w:val="00BD588D"/>
    <w:rsid w:val="00BD589A"/>
    <w:rsid w:val="00BD58FC"/>
    <w:rsid w:val="00BD591A"/>
    <w:rsid w:val="00BD5955"/>
    <w:rsid w:val="00BD595D"/>
    <w:rsid w:val="00BD599A"/>
    <w:rsid w:val="00BD5A9E"/>
    <w:rsid w:val="00BD5B05"/>
    <w:rsid w:val="00BD5BB2"/>
    <w:rsid w:val="00BD5C8B"/>
    <w:rsid w:val="00BD5CD4"/>
    <w:rsid w:val="00BD5D3A"/>
    <w:rsid w:val="00BD5D54"/>
    <w:rsid w:val="00BD5DF9"/>
    <w:rsid w:val="00BD5DFA"/>
    <w:rsid w:val="00BD5E86"/>
    <w:rsid w:val="00BD5EAC"/>
    <w:rsid w:val="00BD5F91"/>
    <w:rsid w:val="00BD5FA5"/>
    <w:rsid w:val="00BD5FE9"/>
    <w:rsid w:val="00BD600B"/>
    <w:rsid w:val="00BD609D"/>
    <w:rsid w:val="00BD6102"/>
    <w:rsid w:val="00BD618C"/>
    <w:rsid w:val="00BD627E"/>
    <w:rsid w:val="00BD6348"/>
    <w:rsid w:val="00BD63AB"/>
    <w:rsid w:val="00BD63DB"/>
    <w:rsid w:val="00BD6402"/>
    <w:rsid w:val="00BD64BB"/>
    <w:rsid w:val="00BD6695"/>
    <w:rsid w:val="00BD66EF"/>
    <w:rsid w:val="00BD6711"/>
    <w:rsid w:val="00BD672B"/>
    <w:rsid w:val="00BD6734"/>
    <w:rsid w:val="00BD67DC"/>
    <w:rsid w:val="00BD6802"/>
    <w:rsid w:val="00BD687A"/>
    <w:rsid w:val="00BD6896"/>
    <w:rsid w:val="00BD693F"/>
    <w:rsid w:val="00BD69EB"/>
    <w:rsid w:val="00BD69F7"/>
    <w:rsid w:val="00BD6A92"/>
    <w:rsid w:val="00BD6B37"/>
    <w:rsid w:val="00BD6B59"/>
    <w:rsid w:val="00BD6B6B"/>
    <w:rsid w:val="00BD6B90"/>
    <w:rsid w:val="00BD6B95"/>
    <w:rsid w:val="00BD6BB5"/>
    <w:rsid w:val="00BD6BFC"/>
    <w:rsid w:val="00BD6C35"/>
    <w:rsid w:val="00BD6C56"/>
    <w:rsid w:val="00BD6D25"/>
    <w:rsid w:val="00BD6DC5"/>
    <w:rsid w:val="00BD6DCB"/>
    <w:rsid w:val="00BD6DEB"/>
    <w:rsid w:val="00BD6E08"/>
    <w:rsid w:val="00BD6E17"/>
    <w:rsid w:val="00BD6E5B"/>
    <w:rsid w:val="00BD6EDE"/>
    <w:rsid w:val="00BD6EFF"/>
    <w:rsid w:val="00BD6F09"/>
    <w:rsid w:val="00BD6F1D"/>
    <w:rsid w:val="00BD6F33"/>
    <w:rsid w:val="00BD6F84"/>
    <w:rsid w:val="00BD7024"/>
    <w:rsid w:val="00BD702C"/>
    <w:rsid w:val="00BD7034"/>
    <w:rsid w:val="00BD7035"/>
    <w:rsid w:val="00BD70EE"/>
    <w:rsid w:val="00BD7148"/>
    <w:rsid w:val="00BD715A"/>
    <w:rsid w:val="00BD71CC"/>
    <w:rsid w:val="00BD726A"/>
    <w:rsid w:val="00BD7316"/>
    <w:rsid w:val="00BD731D"/>
    <w:rsid w:val="00BD731E"/>
    <w:rsid w:val="00BD7344"/>
    <w:rsid w:val="00BD73E9"/>
    <w:rsid w:val="00BD7462"/>
    <w:rsid w:val="00BD7466"/>
    <w:rsid w:val="00BD74B7"/>
    <w:rsid w:val="00BD74FA"/>
    <w:rsid w:val="00BD7591"/>
    <w:rsid w:val="00BD75EE"/>
    <w:rsid w:val="00BD7640"/>
    <w:rsid w:val="00BD764D"/>
    <w:rsid w:val="00BD7754"/>
    <w:rsid w:val="00BD7786"/>
    <w:rsid w:val="00BD77B2"/>
    <w:rsid w:val="00BD7822"/>
    <w:rsid w:val="00BD78D1"/>
    <w:rsid w:val="00BD78D3"/>
    <w:rsid w:val="00BD78FF"/>
    <w:rsid w:val="00BD7935"/>
    <w:rsid w:val="00BD7986"/>
    <w:rsid w:val="00BD79F3"/>
    <w:rsid w:val="00BD7A00"/>
    <w:rsid w:val="00BD7A9F"/>
    <w:rsid w:val="00BD7B7A"/>
    <w:rsid w:val="00BD7C1B"/>
    <w:rsid w:val="00BD7C1D"/>
    <w:rsid w:val="00BD7D42"/>
    <w:rsid w:val="00BD7D9D"/>
    <w:rsid w:val="00BD7DB2"/>
    <w:rsid w:val="00BD7E5B"/>
    <w:rsid w:val="00BD7E86"/>
    <w:rsid w:val="00BD7EA4"/>
    <w:rsid w:val="00BD7EB7"/>
    <w:rsid w:val="00BD7F44"/>
    <w:rsid w:val="00BD7FE1"/>
    <w:rsid w:val="00BE0020"/>
    <w:rsid w:val="00BE00E1"/>
    <w:rsid w:val="00BE010E"/>
    <w:rsid w:val="00BE013A"/>
    <w:rsid w:val="00BE01E0"/>
    <w:rsid w:val="00BE01E5"/>
    <w:rsid w:val="00BE01EE"/>
    <w:rsid w:val="00BE01F4"/>
    <w:rsid w:val="00BE01F9"/>
    <w:rsid w:val="00BE022E"/>
    <w:rsid w:val="00BE026D"/>
    <w:rsid w:val="00BE0381"/>
    <w:rsid w:val="00BE03B3"/>
    <w:rsid w:val="00BE041B"/>
    <w:rsid w:val="00BE0454"/>
    <w:rsid w:val="00BE0484"/>
    <w:rsid w:val="00BE0499"/>
    <w:rsid w:val="00BE04A7"/>
    <w:rsid w:val="00BE0500"/>
    <w:rsid w:val="00BE05B2"/>
    <w:rsid w:val="00BE05F8"/>
    <w:rsid w:val="00BE0614"/>
    <w:rsid w:val="00BE065D"/>
    <w:rsid w:val="00BE0741"/>
    <w:rsid w:val="00BE07C9"/>
    <w:rsid w:val="00BE07E1"/>
    <w:rsid w:val="00BE082D"/>
    <w:rsid w:val="00BE0854"/>
    <w:rsid w:val="00BE0876"/>
    <w:rsid w:val="00BE08D3"/>
    <w:rsid w:val="00BE08FC"/>
    <w:rsid w:val="00BE0957"/>
    <w:rsid w:val="00BE0989"/>
    <w:rsid w:val="00BE0B56"/>
    <w:rsid w:val="00BE0BA7"/>
    <w:rsid w:val="00BE0BDA"/>
    <w:rsid w:val="00BE0BFE"/>
    <w:rsid w:val="00BE0C04"/>
    <w:rsid w:val="00BE0C34"/>
    <w:rsid w:val="00BE0C5A"/>
    <w:rsid w:val="00BE0CBB"/>
    <w:rsid w:val="00BE0CBC"/>
    <w:rsid w:val="00BE0D0A"/>
    <w:rsid w:val="00BE0D3F"/>
    <w:rsid w:val="00BE0D9A"/>
    <w:rsid w:val="00BE0DC1"/>
    <w:rsid w:val="00BE0DFC"/>
    <w:rsid w:val="00BE0E00"/>
    <w:rsid w:val="00BE0E37"/>
    <w:rsid w:val="00BE0E72"/>
    <w:rsid w:val="00BE0F1C"/>
    <w:rsid w:val="00BE0F41"/>
    <w:rsid w:val="00BE0F52"/>
    <w:rsid w:val="00BE0FB0"/>
    <w:rsid w:val="00BE10A7"/>
    <w:rsid w:val="00BE1111"/>
    <w:rsid w:val="00BE12B6"/>
    <w:rsid w:val="00BE12F7"/>
    <w:rsid w:val="00BE1339"/>
    <w:rsid w:val="00BE134E"/>
    <w:rsid w:val="00BE1368"/>
    <w:rsid w:val="00BE13A4"/>
    <w:rsid w:val="00BE141D"/>
    <w:rsid w:val="00BE15C1"/>
    <w:rsid w:val="00BE169D"/>
    <w:rsid w:val="00BE16A1"/>
    <w:rsid w:val="00BE174A"/>
    <w:rsid w:val="00BE18C4"/>
    <w:rsid w:val="00BE194D"/>
    <w:rsid w:val="00BE1A05"/>
    <w:rsid w:val="00BE1A09"/>
    <w:rsid w:val="00BE1A5E"/>
    <w:rsid w:val="00BE1A76"/>
    <w:rsid w:val="00BE1A7F"/>
    <w:rsid w:val="00BE1B34"/>
    <w:rsid w:val="00BE1B38"/>
    <w:rsid w:val="00BE1C41"/>
    <w:rsid w:val="00BE1CF8"/>
    <w:rsid w:val="00BE1CFF"/>
    <w:rsid w:val="00BE1DAC"/>
    <w:rsid w:val="00BE1DE8"/>
    <w:rsid w:val="00BE1ED4"/>
    <w:rsid w:val="00BE1FA7"/>
    <w:rsid w:val="00BE2002"/>
    <w:rsid w:val="00BE201A"/>
    <w:rsid w:val="00BE203D"/>
    <w:rsid w:val="00BE207F"/>
    <w:rsid w:val="00BE20C7"/>
    <w:rsid w:val="00BE20C9"/>
    <w:rsid w:val="00BE212B"/>
    <w:rsid w:val="00BE2175"/>
    <w:rsid w:val="00BE21B7"/>
    <w:rsid w:val="00BE228D"/>
    <w:rsid w:val="00BE2405"/>
    <w:rsid w:val="00BE245E"/>
    <w:rsid w:val="00BE2460"/>
    <w:rsid w:val="00BE2466"/>
    <w:rsid w:val="00BE24C4"/>
    <w:rsid w:val="00BE2509"/>
    <w:rsid w:val="00BE2529"/>
    <w:rsid w:val="00BE2552"/>
    <w:rsid w:val="00BE25FB"/>
    <w:rsid w:val="00BE262A"/>
    <w:rsid w:val="00BE2633"/>
    <w:rsid w:val="00BE26AA"/>
    <w:rsid w:val="00BE271C"/>
    <w:rsid w:val="00BE27B6"/>
    <w:rsid w:val="00BE2819"/>
    <w:rsid w:val="00BE2825"/>
    <w:rsid w:val="00BE282F"/>
    <w:rsid w:val="00BE2862"/>
    <w:rsid w:val="00BE28DD"/>
    <w:rsid w:val="00BE28EA"/>
    <w:rsid w:val="00BE290B"/>
    <w:rsid w:val="00BE291B"/>
    <w:rsid w:val="00BE29A4"/>
    <w:rsid w:val="00BE2A1E"/>
    <w:rsid w:val="00BE2A69"/>
    <w:rsid w:val="00BE2ADE"/>
    <w:rsid w:val="00BE2B05"/>
    <w:rsid w:val="00BE2B72"/>
    <w:rsid w:val="00BE2BCA"/>
    <w:rsid w:val="00BE2BFD"/>
    <w:rsid w:val="00BE2C02"/>
    <w:rsid w:val="00BE2C05"/>
    <w:rsid w:val="00BE2C10"/>
    <w:rsid w:val="00BE2C40"/>
    <w:rsid w:val="00BE2D2A"/>
    <w:rsid w:val="00BE2D39"/>
    <w:rsid w:val="00BE2D3D"/>
    <w:rsid w:val="00BE2D63"/>
    <w:rsid w:val="00BE2DCC"/>
    <w:rsid w:val="00BE2DD6"/>
    <w:rsid w:val="00BE2E51"/>
    <w:rsid w:val="00BE2E6D"/>
    <w:rsid w:val="00BE2F22"/>
    <w:rsid w:val="00BE2F46"/>
    <w:rsid w:val="00BE2FC5"/>
    <w:rsid w:val="00BE2FDC"/>
    <w:rsid w:val="00BE301C"/>
    <w:rsid w:val="00BE3088"/>
    <w:rsid w:val="00BE30A1"/>
    <w:rsid w:val="00BE30D1"/>
    <w:rsid w:val="00BE30E6"/>
    <w:rsid w:val="00BE3126"/>
    <w:rsid w:val="00BE3140"/>
    <w:rsid w:val="00BE314E"/>
    <w:rsid w:val="00BE317B"/>
    <w:rsid w:val="00BE318E"/>
    <w:rsid w:val="00BE31A0"/>
    <w:rsid w:val="00BE322B"/>
    <w:rsid w:val="00BE322C"/>
    <w:rsid w:val="00BE324C"/>
    <w:rsid w:val="00BE3298"/>
    <w:rsid w:val="00BE3397"/>
    <w:rsid w:val="00BE33DD"/>
    <w:rsid w:val="00BE33EA"/>
    <w:rsid w:val="00BE3412"/>
    <w:rsid w:val="00BE34C0"/>
    <w:rsid w:val="00BE34F6"/>
    <w:rsid w:val="00BE3502"/>
    <w:rsid w:val="00BE3679"/>
    <w:rsid w:val="00BE3775"/>
    <w:rsid w:val="00BE3779"/>
    <w:rsid w:val="00BE37D7"/>
    <w:rsid w:val="00BE37F4"/>
    <w:rsid w:val="00BE3813"/>
    <w:rsid w:val="00BE381E"/>
    <w:rsid w:val="00BE38AB"/>
    <w:rsid w:val="00BE38AD"/>
    <w:rsid w:val="00BE38DC"/>
    <w:rsid w:val="00BE38E8"/>
    <w:rsid w:val="00BE3921"/>
    <w:rsid w:val="00BE3956"/>
    <w:rsid w:val="00BE3969"/>
    <w:rsid w:val="00BE39B7"/>
    <w:rsid w:val="00BE3A20"/>
    <w:rsid w:val="00BE3A5D"/>
    <w:rsid w:val="00BE3AB4"/>
    <w:rsid w:val="00BE3AFB"/>
    <w:rsid w:val="00BE3B03"/>
    <w:rsid w:val="00BE3B14"/>
    <w:rsid w:val="00BE3B34"/>
    <w:rsid w:val="00BE3B6E"/>
    <w:rsid w:val="00BE3BB4"/>
    <w:rsid w:val="00BE3BE9"/>
    <w:rsid w:val="00BE3C70"/>
    <w:rsid w:val="00BE3C75"/>
    <w:rsid w:val="00BE3C91"/>
    <w:rsid w:val="00BE3CA0"/>
    <w:rsid w:val="00BE3CF7"/>
    <w:rsid w:val="00BE3CFE"/>
    <w:rsid w:val="00BE3D22"/>
    <w:rsid w:val="00BE3D94"/>
    <w:rsid w:val="00BE3E00"/>
    <w:rsid w:val="00BE3E08"/>
    <w:rsid w:val="00BE3E4C"/>
    <w:rsid w:val="00BE3E70"/>
    <w:rsid w:val="00BE3E7C"/>
    <w:rsid w:val="00BE3EE4"/>
    <w:rsid w:val="00BE3F1F"/>
    <w:rsid w:val="00BE3F8B"/>
    <w:rsid w:val="00BE3FA2"/>
    <w:rsid w:val="00BE3FA3"/>
    <w:rsid w:val="00BE401E"/>
    <w:rsid w:val="00BE415C"/>
    <w:rsid w:val="00BE4170"/>
    <w:rsid w:val="00BE41FB"/>
    <w:rsid w:val="00BE4241"/>
    <w:rsid w:val="00BE4253"/>
    <w:rsid w:val="00BE42D4"/>
    <w:rsid w:val="00BE42DD"/>
    <w:rsid w:val="00BE42E1"/>
    <w:rsid w:val="00BE434A"/>
    <w:rsid w:val="00BE4363"/>
    <w:rsid w:val="00BE4366"/>
    <w:rsid w:val="00BE4383"/>
    <w:rsid w:val="00BE43C6"/>
    <w:rsid w:val="00BE43E1"/>
    <w:rsid w:val="00BE441A"/>
    <w:rsid w:val="00BE449D"/>
    <w:rsid w:val="00BE449F"/>
    <w:rsid w:val="00BE4554"/>
    <w:rsid w:val="00BE45D4"/>
    <w:rsid w:val="00BE4641"/>
    <w:rsid w:val="00BE4643"/>
    <w:rsid w:val="00BE468E"/>
    <w:rsid w:val="00BE4719"/>
    <w:rsid w:val="00BE476D"/>
    <w:rsid w:val="00BE4800"/>
    <w:rsid w:val="00BE481E"/>
    <w:rsid w:val="00BE48BE"/>
    <w:rsid w:val="00BE48D6"/>
    <w:rsid w:val="00BE48E0"/>
    <w:rsid w:val="00BE48F7"/>
    <w:rsid w:val="00BE4957"/>
    <w:rsid w:val="00BE4977"/>
    <w:rsid w:val="00BE497F"/>
    <w:rsid w:val="00BE49F0"/>
    <w:rsid w:val="00BE49F1"/>
    <w:rsid w:val="00BE4A10"/>
    <w:rsid w:val="00BE4A15"/>
    <w:rsid w:val="00BE4A6A"/>
    <w:rsid w:val="00BE4AAA"/>
    <w:rsid w:val="00BE4ACE"/>
    <w:rsid w:val="00BE4AD3"/>
    <w:rsid w:val="00BE4B0C"/>
    <w:rsid w:val="00BE4B63"/>
    <w:rsid w:val="00BE4BC6"/>
    <w:rsid w:val="00BE4BFB"/>
    <w:rsid w:val="00BE4C3B"/>
    <w:rsid w:val="00BE4CE0"/>
    <w:rsid w:val="00BE4D37"/>
    <w:rsid w:val="00BE4D7F"/>
    <w:rsid w:val="00BE4D91"/>
    <w:rsid w:val="00BE4E64"/>
    <w:rsid w:val="00BE4E8B"/>
    <w:rsid w:val="00BE4E8C"/>
    <w:rsid w:val="00BE4EC6"/>
    <w:rsid w:val="00BE4F09"/>
    <w:rsid w:val="00BE4F1A"/>
    <w:rsid w:val="00BE4F96"/>
    <w:rsid w:val="00BE4FDE"/>
    <w:rsid w:val="00BE4FFE"/>
    <w:rsid w:val="00BE5035"/>
    <w:rsid w:val="00BE510D"/>
    <w:rsid w:val="00BE5126"/>
    <w:rsid w:val="00BE51B0"/>
    <w:rsid w:val="00BE52B5"/>
    <w:rsid w:val="00BE52F8"/>
    <w:rsid w:val="00BE532A"/>
    <w:rsid w:val="00BE5377"/>
    <w:rsid w:val="00BE542A"/>
    <w:rsid w:val="00BE5445"/>
    <w:rsid w:val="00BE5450"/>
    <w:rsid w:val="00BE5522"/>
    <w:rsid w:val="00BE5543"/>
    <w:rsid w:val="00BE558B"/>
    <w:rsid w:val="00BE5610"/>
    <w:rsid w:val="00BE5660"/>
    <w:rsid w:val="00BE567A"/>
    <w:rsid w:val="00BE5762"/>
    <w:rsid w:val="00BE57A5"/>
    <w:rsid w:val="00BE581D"/>
    <w:rsid w:val="00BE581E"/>
    <w:rsid w:val="00BE581F"/>
    <w:rsid w:val="00BE5838"/>
    <w:rsid w:val="00BE589B"/>
    <w:rsid w:val="00BE5912"/>
    <w:rsid w:val="00BE591C"/>
    <w:rsid w:val="00BE5936"/>
    <w:rsid w:val="00BE596A"/>
    <w:rsid w:val="00BE597D"/>
    <w:rsid w:val="00BE5989"/>
    <w:rsid w:val="00BE5A35"/>
    <w:rsid w:val="00BE5A3E"/>
    <w:rsid w:val="00BE5A6C"/>
    <w:rsid w:val="00BE5A71"/>
    <w:rsid w:val="00BE5AB6"/>
    <w:rsid w:val="00BE5B09"/>
    <w:rsid w:val="00BE5B96"/>
    <w:rsid w:val="00BE5BDC"/>
    <w:rsid w:val="00BE5BE8"/>
    <w:rsid w:val="00BE5C66"/>
    <w:rsid w:val="00BE5CEA"/>
    <w:rsid w:val="00BE5D42"/>
    <w:rsid w:val="00BE5D7D"/>
    <w:rsid w:val="00BE5D7F"/>
    <w:rsid w:val="00BE5E7E"/>
    <w:rsid w:val="00BE5F73"/>
    <w:rsid w:val="00BE5F97"/>
    <w:rsid w:val="00BE5F9B"/>
    <w:rsid w:val="00BE5FBA"/>
    <w:rsid w:val="00BE5FFE"/>
    <w:rsid w:val="00BE6025"/>
    <w:rsid w:val="00BE6072"/>
    <w:rsid w:val="00BE60E3"/>
    <w:rsid w:val="00BE615A"/>
    <w:rsid w:val="00BE6178"/>
    <w:rsid w:val="00BE62A9"/>
    <w:rsid w:val="00BE62E1"/>
    <w:rsid w:val="00BE6320"/>
    <w:rsid w:val="00BE632F"/>
    <w:rsid w:val="00BE637A"/>
    <w:rsid w:val="00BE6467"/>
    <w:rsid w:val="00BE650E"/>
    <w:rsid w:val="00BE6584"/>
    <w:rsid w:val="00BE6594"/>
    <w:rsid w:val="00BE6616"/>
    <w:rsid w:val="00BE66FF"/>
    <w:rsid w:val="00BE674C"/>
    <w:rsid w:val="00BE6773"/>
    <w:rsid w:val="00BE6809"/>
    <w:rsid w:val="00BE696E"/>
    <w:rsid w:val="00BE6995"/>
    <w:rsid w:val="00BE6A09"/>
    <w:rsid w:val="00BE6A40"/>
    <w:rsid w:val="00BE6A72"/>
    <w:rsid w:val="00BE6A8F"/>
    <w:rsid w:val="00BE6AD5"/>
    <w:rsid w:val="00BE6B48"/>
    <w:rsid w:val="00BE6B76"/>
    <w:rsid w:val="00BE6BAB"/>
    <w:rsid w:val="00BE6BAD"/>
    <w:rsid w:val="00BE6BF3"/>
    <w:rsid w:val="00BE6C64"/>
    <w:rsid w:val="00BE6C9C"/>
    <w:rsid w:val="00BE6CEF"/>
    <w:rsid w:val="00BE6D3B"/>
    <w:rsid w:val="00BE6DB4"/>
    <w:rsid w:val="00BE6DED"/>
    <w:rsid w:val="00BE6E63"/>
    <w:rsid w:val="00BE6E9A"/>
    <w:rsid w:val="00BE6EAB"/>
    <w:rsid w:val="00BE6ED6"/>
    <w:rsid w:val="00BE6EEE"/>
    <w:rsid w:val="00BE6EF0"/>
    <w:rsid w:val="00BE6F3C"/>
    <w:rsid w:val="00BE6F9F"/>
    <w:rsid w:val="00BE7006"/>
    <w:rsid w:val="00BE702B"/>
    <w:rsid w:val="00BE704B"/>
    <w:rsid w:val="00BE70B6"/>
    <w:rsid w:val="00BE711A"/>
    <w:rsid w:val="00BE713F"/>
    <w:rsid w:val="00BE71B5"/>
    <w:rsid w:val="00BE71D6"/>
    <w:rsid w:val="00BE722A"/>
    <w:rsid w:val="00BE7242"/>
    <w:rsid w:val="00BE7250"/>
    <w:rsid w:val="00BE7333"/>
    <w:rsid w:val="00BE7447"/>
    <w:rsid w:val="00BE7454"/>
    <w:rsid w:val="00BE74A4"/>
    <w:rsid w:val="00BE74BD"/>
    <w:rsid w:val="00BE756A"/>
    <w:rsid w:val="00BE75A2"/>
    <w:rsid w:val="00BE75CF"/>
    <w:rsid w:val="00BE7629"/>
    <w:rsid w:val="00BE7663"/>
    <w:rsid w:val="00BE7703"/>
    <w:rsid w:val="00BE774D"/>
    <w:rsid w:val="00BE7832"/>
    <w:rsid w:val="00BE78CF"/>
    <w:rsid w:val="00BE78FA"/>
    <w:rsid w:val="00BE7917"/>
    <w:rsid w:val="00BE79B3"/>
    <w:rsid w:val="00BE79D9"/>
    <w:rsid w:val="00BE79EC"/>
    <w:rsid w:val="00BE7A0E"/>
    <w:rsid w:val="00BE7A4F"/>
    <w:rsid w:val="00BE7ACB"/>
    <w:rsid w:val="00BE7BB3"/>
    <w:rsid w:val="00BE7C2D"/>
    <w:rsid w:val="00BE7C31"/>
    <w:rsid w:val="00BE7CF0"/>
    <w:rsid w:val="00BE7D8E"/>
    <w:rsid w:val="00BE7DAD"/>
    <w:rsid w:val="00BE7E33"/>
    <w:rsid w:val="00BE7E71"/>
    <w:rsid w:val="00BE7EA1"/>
    <w:rsid w:val="00BE7EA5"/>
    <w:rsid w:val="00BE7EC0"/>
    <w:rsid w:val="00BE7F00"/>
    <w:rsid w:val="00BE7F1B"/>
    <w:rsid w:val="00BE7F7E"/>
    <w:rsid w:val="00BE7FA0"/>
    <w:rsid w:val="00BE7FAB"/>
    <w:rsid w:val="00BF007F"/>
    <w:rsid w:val="00BF0098"/>
    <w:rsid w:val="00BF014E"/>
    <w:rsid w:val="00BF022A"/>
    <w:rsid w:val="00BF031E"/>
    <w:rsid w:val="00BF03F5"/>
    <w:rsid w:val="00BF040E"/>
    <w:rsid w:val="00BF0438"/>
    <w:rsid w:val="00BF045B"/>
    <w:rsid w:val="00BF049C"/>
    <w:rsid w:val="00BF050D"/>
    <w:rsid w:val="00BF052D"/>
    <w:rsid w:val="00BF056B"/>
    <w:rsid w:val="00BF0643"/>
    <w:rsid w:val="00BF075A"/>
    <w:rsid w:val="00BF0774"/>
    <w:rsid w:val="00BF07EE"/>
    <w:rsid w:val="00BF07F7"/>
    <w:rsid w:val="00BF07FA"/>
    <w:rsid w:val="00BF08BA"/>
    <w:rsid w:val="00BF08D7"/>
    <w:rsid w:val="00BF08E9"/>
    <w:rsid w:val="00BF0903"/>
    <w:rsid w:val="00BF0951"/>
    <w:rsid w:val="00BF0985"/>
    <w:rsid w:val="00BF09A8"/>
    <w:rsid w:val="00BF09EA"/>
    <w:rsid w:val="00BF0A44"/>
    <w:rsid w:val="00BF0A72"/>
    <w:rsid w:val="00BF0AB9"/>
    <w:rsid w:val="00BF0B27"/>
    <w:rsid w:val="00BF0B81"/>
    <w:rsid w:val="00BF0B8F"/>
    <w:rsid w:val="00BF0C19"/>
    <w:rsid w:val="00BF0C5F"/>
    <w:rsid w:val="00BF0CBE"/>
    <w:rsid w:val="00BF0CE1"/>
    <w:rsid w:val="00BF0DA8"/>
    <w:rsid w:val="00BF0EC8"/>
    <w:rsid w:val="00BF0F10"/>
    <w:rsid w:val="00BF0FDD"/>
    <w:rsid w:val="00BF105C"/>
    <w:rsid w:val="00BF10CC"/>
    <w:rsid w:val="00BF1206"/>
    <w:rsid w:val="00BF127E"/>
    <w:rsid w:val="00BF128A"/>
    <w:rsid w:val="00BF12C7"/>
    <w:rsid w:val="00BF1395"/>
    <w:rsid w:val="00BF13C3"/>
    <w:rsid w:val="00BF141D"/>
    <w:rsid w:val="00BF147E"/>
    <w:rsid w:val="00BF14BE"/>
    <w:rsid w:val="00BF151F"/>
    <w:rsid w:val="00BF154E"/>
    <w:rsid w:val="00BF1553"/>
    <w:rsid w:val="00BF155A"/>
    <w:rsid w:val="00BF1572"/>
    <w:rsid w:val="00BF1622"/>
    <w:rsid w:val="00BF17CE"/>
    <w:rsid w:val="00BF17D4"/>
    <w:rsid w:val="00BF17FA"/>
    <w:rsid w:val="00BF184A"/>
    <w:rsid w:val="00BF189E"/>
    <w:rsid w:val="00BF18A7"/>
    <w:rsid w:val="00BF18B0"/>
    <w:rsid w:val="00BF190A"/>
    <w:rsid w:val="00BF194F"/>
    <w:rsid w:val="00BF19D6"/>
    <w:rsid w:val="00BF19F5"/>
    <w:rsid w:val="00BF1A22"/>
    <w:rsid w:val="00BF1A7F"/>
    <w:rsid w:val="00BF1A9C"/>
    <w:rsid w:val="00BF1AE5"/>
    <w:rsid w:val="00BF1AEC"/>
    <w:rsid w:val="00BF1B42"/>
    <w:rsid w:val="00BF1B5E"/>
    <w:rsid w:val="00BF1C50"/>
    <w:rsid w:val="00BF1DF7"/>
    <w:rsid w:val="00BF1E08"/>
    <w:rsid w:val="00BF1E6F"/>
    <w:rsid w:val="00BF1E82"/>
    <w:rsid w:val="00BF1E9C"/>
    <w:rsid w:val="00BF1F0F"/>
    <w:rsid w:val="00BF1F2C"/>
    <w:rsid w:val="00BF1F59"/>
    <w:rsid w:val="00BF2008"/>
    <w:rsid w:val="00BF2031"/>
    <w:rsid w:val="00BF2036"/>
    <w:rsid w:val="00BF205A"/>
    <w:rsid w:val="00BF20B3"/>
    <w:rsid w:val="00BF20CD"/>
    <w:rsid w:val="00BF20D7"/>
    <w:rsid w:val="00BF2130"/>
    <w:rsid w:val="00BF21F9"/>
    <w:rsid w:val="00BF224C"/>
    <w:rsid w:val="00BF2250"/>
    <w:rsid w:val="00BF22BC"/>
    <w:rsid w:val="00BF2304"/>
    <w:rsid w:val="00BF2369"/>
    <w:rsid w:val="00BF23C2"/>
    <w:rsid w:val="00BF23C3"/>
    <w:rsid w:val="00BF23F3"/>
    <w:rsid w:val="00BF24A2"/>
    <w:rsid w:val="00BF24B4"/>
    <w:rsid w:val="00BF24BA"/>
    <w:rsid w:val="00BF24BF"/>
    <w:rsid w:val="00BF2513"/>
    <w:rsid w:val="00BF254C"/>
    <w:rsid w:val="00BF257F"/>
    <w:rsid w:val="00BF25C0"/>
    <w:rsid w:val="00BF2615"/>
    <w:rsid w:val="00BF26A0"/>
    <w:rsid w:val="00BF2757"/>
    <w:rsid w:val="00BF275D"/>
    <w:rsid w:val="00BF2771"/>
    <w:rsid w:val="00BF291D"/>
    <w:rsid w:val="00BF2931"/>
    <w:rsid w:val="00BF2972"/>
    <w:rsid w:val="00BF2974"/>
    <w:rsid w:val="00BF29F4"/>
    <w:rsid w:val="00BF29FA"/>
    <w:rsid w:val="00BF2A18"/>
    <w:rsid w:val="00BF2A2B"/>
    <w:rsid w:val="00BF2A7D"/>
    <w:rsid w:val="00BF2AA6"/>
    <w:rsid w:val="00BF2B80"/>
    <w:rsid w:val="00BF2B96"/>
    <w:rsid w:val="00BF2BB6"/>
    <w:rsid w:val="00BF2C24"/>
    <w:rsid w:val="00BF2CC0"/>
    <w:rsid w:val="00BF2CF5"/>
    <w:rsid w:val="00BF2D21"/>
    <w:rsid w:val="00BF2D5B"/>
    <w:rsid w:val="00BF2D7A"/>
    <w:rsid w:val="00BF2E9E"/>
    <w:rsid w:val="00BF2EBA"/>
    <w:rsid w:val="00BF2F1A"/>
    <w:rsid w:val="00BF2F21"/>
    <w:rsid w:val="00BF2F27"/>
    <w:rsid w:val="00BF2F49"/>
    <w:rsid w:val="00BF2FA4"/>
    <w:rsid w:val="00BF3055"/>
    <w:rsid w:val="00BF3100"/>
    <w:rsid w:val="00BF319A"/>
    <w:rsid w:val="00BF31F9"/>
    <w:rsid w:val="00BF332E"/>
    <w:rsid w:val="00BF33DF"/>
    <w:rsid w:val="00BF3452"/>
    <w:rsid w:val="00BF34AF"/>
    <w:rsid w:val="00BF34FC"/>
    <w:rsid w:val="00BF35A2"/>
    <w:rsid w:val="00BF36B5"/>
    <w:rsid w:val="00BF36E4"/>
    <w:rsid w:val="00BF3800"/>
    <w:rsid w:val="00BF388D"/>
    <w:rsid w:val="00BF38A6"/>
    <w:rsid w:val="00BF395D"/>
    <w:rsid w:val="00BF3969"/>
    <w:rsid w:val="00BF396E"/>
    <w:rsid w:val="00BF3994"/>
    <w:rsid w:val="00BF39DC"/>
    <w:rsid w:val="00BF3A00"/>
    <w:rsid w:val="00BF3AB4"/>
    <w:rsid w:val="00BF3AC7"/>
    <w:rsid w:val="00BF3C4A"/>
    <w:rsid w:val="00BF3CBB"/>
    <w:rsid w:val="00BF3CC9"/>
    <w:rsid w:val="00BF3CE2"/>
    <w:rsid w:val="00BF3D02"/>
    <w:rsid w:val="00BF3D15"/>
    <w:rsid w:val="00BF3D36"/>
    <w:rsid w:val="00BF3D74"/>
    <w:rsid w:val="00BF3D82"/>
    <w:rsid w:val="00BF3E02"/>
    <w:rsid w:val="00BF3E3A"/>
    <w:rsid w:val="00BF3EAE"/>
    <w:rsid w:val="00BF3F53"/>
    <w:rsid w:val="00BF4012"/>
    <w:rsid w:val="00BF4045"/>
    <w:rsid w:val="00BF40C7"/>
    <w:rsid w:val="00BF412B"/>
    <w:rsid w:val="00BF41E4"/>
    <w:rsid w:val="00BF4267"/>
    <w:rsid w:val="00BF426A"/>
    <w:rsid w:val="00BF428C"/>
    <w:rsid w:val="00BF42BA"/>
    <w:rsid w:val="00BF42C6"/>
    <w:rsid w:val="00BF42D8"/>
    <w:rsid w:val="00BF43E0"/>
    <w:rsid w:val="00BF43F4"/>
    <w:rsid w:val="00BF4455"/>
    <w:rsid w:val="00BF4516"/>
    <w:rsid w:val="00BF4541"/>
    <w:rsid w:val="00BF4542"/>
    <w:rsid w:val="00BF458C"/>
    <w:rsid w:val="00BF459A"/>
    <w:rsid w:val="00BF46C5"/>
    <w:rsid w:val="00BF46F8"/>
    <w:rsid w:val="00BF4712"/>
    <w:rsid w:val="00BF4718"/>
    <w:rsid w:val="00BF4758"/>
    <w:rsid w:val="00BF4766"/>
    <w:rsid w:val="00BF4769"/>
    <w:rsid w:val="00BF4857"/>
    <w:rsid w:val="00BF488B"/>
    <w:rsid w:val="00BF4949"/>
    <w:rsid w:val="00BF49BD"/>
    <w:rsid w:val="00BF49CA"/>
    <w:rsid w:val="00BF49E5"/>
    <w:rsid w:val="00BF4A2F"/>
    <w:rsid w:val="00BF4AD5"/>
    <w:rsid w:val="00BF4ADE"/>
    <w:rsid w:val="00BF4C38"/>
    <w:rsid w:val="00BF4C9D"/>
    <w:rsid w:val="00BF4CAD"/>
    <w:rsid w:val="00BF4D0C"/>
    <w:rsid w:val="00BF4D79"/>
    <w:rsid w:val="00BF4DC6"/>
    <w:rsid w:val="00BF4DE6"/>
    <w:rsid w:val="00BF4E51"/>
    <w:rsid w:val="00BF4EE6"/>
    <w:rsid w:val="00BF4F13"/>
    <w:rsid w:val="00BF4F72"/>
    <w:rsid w:val="00BF50CD"/>
    <w:rsid w:val="00BF50DC"/>
    <w:rsid w:val="00BF511E"/>
    <w:rsid w:val="00BF5156"/>
    <w:rsid w:val="00BF51C3"/>
    <w:rsid w:val="00BF526C"/>
    <w:rsid w:val="00BF5362"/>
    <w:rsid w:val="00BF537A"/>
    <w:rsid w:val="00BF53AE"/>
    <w:rsid w:val="00BF53C7"/>
    <w:rsid w:val="00BF53F6"/>
    <w:rsid w:val="00BF5412"/>
    <w:rsid w:val="00BF5414"/>
    <w:rsid w:val="00BF541E"/>
    <w:rsid w:val="00BF54A5"/>
    <w:rsid w:val="00BF54D0"/>
    <w:rsid w:val="00BF54D6"/>
    <w:rsid w:val="00BF5557"/>
    <w:rsid w:val="00BF55C8"/>
    <w:rsid w:val="00BF560A"/>
    <w:rsid w:val="00BF56B6"/>
    <w:rsid w:val="00BF56C3"/>
    <w:rsid w:val="00BF576E"/>
    <w:rsid w:val="00BF5811"/>
    <w:rsid w:val="00BF582A"/>
    <w:rsid w:val="00BF58CF"/>
    <w:rsid w:val="00BF58FA"/>
    <w:rsid w:val="00BF5A59"/>
    <w:rsid w:val="00BF5A7F"/>
    <w:rsid w:val="00BF5ACD"/>
    <w:rsid w:val="00BF5B39"/>
    <w:rsid w:val="00BF5B84"/>
    <w:rsid w:val="00BF5BA7"/>
    <w:rsid w:val="00BF5BB7"/>
    <w:rsid w:val="00BF5C20"/>
    <w:rsid w:val="00BF5CA4"/>
    <w:rsid w:val="00BF5CFD"/>
    <w:rsid w:val="00BF5D51"/>
    <w:rsid w:val="00BF5D5F"/>
    <w:rsid w:val="00BF5D85"/>
    <w:rsid w:val="00BF5E53"/>
    <w:rsid w:val="00BF5F08"/>
    <w:rsid w:val="00BF5F1D"/>
    <w:rsid w:val="00BF5F50"/>
    <w:rsid w:val="00BF5FD5"/>
    <w:rsid w:val="00BF5FFE"/>
    <w:rsid w:val="00BF6035"/>
    <w:rsid w:val="00BF6047"/>
    <w:rsid w:val="00BF6063"/>
    <w:rsid w:val="00BF60F6"/>
    <w:rsid w:val="00BF6118"/>
    <w:rsid w:val="00BF628B"/>
    <w:rsid w:val="00BF6297"/>
    <w:rsid w:val="00BF62FB"/>
    <w:rsid w:val="00BF6320"/>
    <w:rsid w:val="00BF637E"/>
    <w:rsid w:val="00BF63D2"/>
    <w:rsid w:val="00BF64F4"/>
    <w:rsid w:val="00BF64FA"/>
    <w:rsid w:val="00BF64FC"/>
    <w:rsid w:val="00BF6559"/>
    <w:rsid w:val="00BF656F"/>
    <w:rsid w:val="00BF65E0"/>
    <w:rsid w:val="00BF65FF"/>
    <w:rsid w:val="00BF6638"/>
    <w:rsid w:val="00BF664C"/>
    <w:rsid w:val="00BF66BD"/>
    <w:rsid w:val="00BF674E"/>
    <w:rsid w:val="00BF6751"/>
    <w:rsid w:val="00BF677E"/>
    <w:rsid w:val="00BF6910"/>
    <w:rsid w:val="00BF6969"/>
    <w:rsid w:val="00BF697B"/>
    <w:rsid w:val="00BF697C"/>
    <w:rsid w:val="00BF6981"/>
    <w:rsid w:val="00BF6990"/>
    <w:rsid w:val="00BF699D"/>
    <w:rsid w:val="00BF6A47"/>
    <w:rsid w:val="00BF6A5B"/>
    <w:rsid w:val="00BF6ACA"/>
    <w:rsid w:val="00BF6ACB"/>
    <w:rsid w:val="00BF6B6A"/>
    <w:rsid w:val="00BF6BCC"/>
    <w:rsid w:val="00BF6CFC"/>
    <w:rsid w:val="00BF6D56"/>
    <w:rsid w:val="00BF6D62"/>
    <w:rsid w:val="00BF6DD1"/>
    <w:rsid w:val="00BF6DF0"/>
    <w:rsid w:val="00BF6E66"/>
    <w:rsid w:val="00BF6F1E"/>
    <w:rsid w:val="00BF6F50"/>
    <w:rsid w:val="00BF6F7A"/>
    <w:rsid w:val="00BF709A"/>
    <w:rsid w:val="00BF70D8"/>
    <w:rsid w:val="00BF70FB"/>
    <w:rsid w:val="00BF7126"/>
    <w:rsid w:val="00BF71B7"/>
    <w:rsid w:val="00BF71E4"/>
    <w:rsid w:val="00BF7219"/>
    <w:rsid w:val="00BF7250"/>
    <w:rsid w:val="00BF7277"/>
    <w:rsid w:val="00BF72BC"/>
    <w:rsid w:val="00BF72E3"/>
    <w:rsid w:val="00BF734D"/>
    <w:rsid w:val="00BF73AB"/>
    <w:rsid w:val="00BF740D"/>
    <w:rsid w:val="00BF7481"/>
    <w:rsid w:val="00BF74FE"/>
    <w:rsid w:val="00BF7530"/>
    <w:rsid w:val="00BF762F"/>
    <w:rsid w:val="00BF76BE"/>
    <w:rsid w:val="00BF76CF"/>
    <w:rsid w:val="00BF7739"/>
    <w:rsid w:val="00BF7750"/>
    <w:rsid w:val="00BF778D"/>
    <w:rsid w:val="00BF77BE"/>
    <w:rsid w:val="00BF784B"/>
    <w:rsid w:val="00BF788B"/>
    <w:rsid w:val="00BF78B6"/>
    <w:rsid w:val="00BF78C0"/>
    <w:rsid w:val="00BF78F9"/>
    <w:rsid w:val="00BF790B"/>
    <w:rsid w:val="00BF798D"/>
    <w:rsid w:val="00BF799D"/>
    <w:rsid w:val="00BF79A1"/>
    <w:rsid w:val="00BF79AE"/>
    <w:rsid w:val="00BF79B3"/>
    <w:rsid w:val="00BF7A1F"/>
    <w:rsid w:val="00BF7A7D"/>
    <w:rsid w:val="00BF7A96"/>
    <w:rsid w:val="00BF7A9D"/>
    <w:rsid w:val="00BF7B06"/>
    <w:rsid w:val="00BF7B14"/>
    <w:rsid w:val="00BF7B53"/>
    <w:rsid w:val="00BF7BFD"/>
    <w:rsid w:val="00BF7CC4"/>
    <w:rsid w:val="00BF7CF9"/>
    <w:rsid w:val="00BF7D36"/>
    <w:rsid w:val="00BF7DD0"/>
    <w:rsid w:val="00BF7E31"/>
    <w:rsid w:val="00BF7E81"/>
    <w:rsid w:val="00BF7F9A"/>
    <w:rsid w:val="00BF7FB0"/>
    <w:rsid w:val="00BF7FD2"/>
    <w:rsid w:val="00BF7FEB"/>
    <w:rsid w:val="00BF7FEC"/>
    <w:rsid w:val="00C00021"/>
    <w:rsid w:val="00C00063"/>
    <w:rsid w:val="00C00081"/>
    <w:rsid w:val="00C000B3"/>
    <w:rsid w:val="00C00190"/>
    <w:rsid w:val="00C001A4"/>
    <w:rsid w:val="00C002C4"/>
    <w:rsid w:val="00C002E6"/>
    <w:rsid w:val="00C0032E"/>
    <w:rsid w:val="00C003B8"/>
    <w:rsid w:val="00C003C3"/>
    <w:rsid w:val="00C0045D"/>
    <w:rsid w:val="00C004BB"/>
    <w:rsid w:val="00C0069B"/>
    <w:rsid w:val="00C00713"/>
    <w:rsid w:val="00C0071A"/>
    <w:rsid w:val="00C0072A"/>
    <w:rsid w:val="00C00792"/>
    <w:rsid w:val="00C007AB"/>
    <w:rsid w:val="00C007B4"/>
    <w:rsid w:val="00C007BD"/>
    <w:rsid w:val="00C007D6"/>
    <w:rsid w:val="00C007E3"/>
    <w:rsid w:val="00C00861"/>
    <w:rsid w:val="00C00937"/>
    <w:rsid w:val="00C00A3C"/>
    <w:rsid w:val="00C00AD2"/>
    <w:rsid w:val="00C00B02"/>
    <w:rsid w:val="00C00B90"/>
    <w:rsid w:val="00C00BCA"/>
    <w:rsid w:val="00C00D28"/>
    <w:rsid w:val="00C00E0A"/>
    <w:rsid w:val="00C00ED7"/>
    <w:rsid w:val="00C00F0D"/>
    <w:rsid w:val="00C00F5A"/>
    <w:rsid w:val="00C00F79"/>
    <w:rsid w:val="00C00FBC"/>
    <w:rsid w:val="00C00FC6"/>
    <w:rsid w:val="00C0100C"/>
    <w:rsid w:val="00C01029"/>
    <w:rsid w:val="00C0111A"/>
    <w:rsid w:val="00C0112C"/>
    <w:rsid w:val="00C01247"/>
    <w:rsid w:val="00C012EB"/>
    <w:rsid w:val="00C012FF"/>
    <w:rsid w:val="00C013FE"/>
    <w:rsid w:val="00C01406"/>
    <w:rsid w:val="00C0140F"/>
    <w:rsid w:val="00C0141B"/>
    <w:rsid w:val="00C01491"/>
    <w:rsid w:val="00C0149F"/>
    <w:rsid w:val="00C014BE"/>
    <w:rsid w:val="00C01502"/>
    <w:rsid w:val="00C0152B"/>
    <w:rsid w:val="00C01557"/>
    <w:rsid w:val="00C01591"/>
    <w:rsid w:val="00C015E4"/>
    <w:rsid w:val="00C0164A"/>
    <w:rsid w:val="00C01792"/>
    <w:rsid w:val="00C01796"/>
    <w:rsid w:val="00C01815"/>
    <w:rsid w:val="00C01884"/>
    <w:rsid w:val="00C0193B"/>
    <w:rsid w:val="00C01A0A"/>
    <w:rsid w:val="00C01A76"/>
    <w:rsid w:val="00C01AD1"/>
    <w:rsid w:val="00C01B25"/>
    <w:rsid w:val="00C01B95"/>
    <w:rsid w:val="00C01C22"/>
    <w:rsid w:val="00C01D70"/>
    <w:rsid w:val="00C01DA0"/>
    <w:rsid w:val="00C01DD0"/>
    <w:rsid w:val="00C01E11"/>
    <w:rsid w:val="00C01E19"/>
    <w:rsid w:val="00C01E29"/>
    <w:rsid w:val="00C01E49"/>
    <w:rsid w:val="00C01F14"/>
    <w:rsid w:val="00C01F6C"/>
    <w:rsid w:val="00C01FBE"/>
    <w:rsid w:val="00C02095"/>
    <w:rsid w:val="00C020A2"/>
    <w:rsid w:val="00C020C7"/>
    <w:rsid w:val="00C0213B"/>
    <w:rsid w:val="00C02192"/>
    <w:rsid w:val="00C02212"/>
    <w:rsid w:val="00C02238"/>
    <w:rsid w:val="00C02252"/>
    <w:rsid w:val="00C0225A"/>
    <w:rsid w:val="00C022B4"/>
    <w:rsid w:val="00C022CA"/>
    <w:rsid w:val="00C022E1"/>
    <w:rsid w:val="00C0230C"/>
    <w:rsid w:val="00C023A1"/>
    <w:rsid w:val="00C023A6"/>
    <w:rsid w:val="00C02439"/>
    <w:rsid w:val="00C02507"/>
    <w:rsid w:val="00C02513"/>
    <w:rsid w:val="00C025B1"/>
    <w:rsid w:val="00C026CD"/>
    <w:rsid w:val="00C0276C"/>
    <w:rsid w:val="00C027A2"/>
    <w:rsid w:val="00C02829"/>
    <w:rsid w:val="00C028C9"/>
    <w:rsid w:val="00C029B2"/>
    <w:rsid w:val="00C029BF"/>
    <w:rsid w:val="00C029C3"/>
    <w:rsid w:val="00C029F0"/>
    <w:rsid w:val="00C02A63"/>
    <w:rsid w:val="00C02ADF"/>
    <w:rsid w:val="00C02BFB"/>
    <w:rsid w:val="00C02C20"/>
    <w:rsid w:val="00C02CA6"/>
    <w:rsid w:val="00C02D0D"/>
    <w:rsid w:val="00C02D21"/>
    <w:rsid w:val="00C02D6D"/>
    <w:rsid w:val="00C02D75"/>
    <w:rsid w:val="00C02DA7"/>
    <w:rsid w:val="00C02DAE"/>
    <w:rsid w:val="00C02DE0"/>
    <w:rsid w:val="00C02DFE"/>
    <w:rsid w:val="00C02E2C"/>
    <w:rsid w:val="00C02E53"/>
    <w:rsid w:val="00C02E7B"/>
    <w:rsid w:val="00C02E9C"/>
    <w:rsid w:val="00C02EC7"/>
    <w:rsid w:val="00C02FC5"/>
    <w:rsid w:val="00C030AC"/>
    <w:rsid w:val="00C030D3"/>
    <w:rsid w:val="00C030D5"/>
    <w:rsid w:val="00C03134"/>
    <w:rsid w:val="00C0318E"/>
    <w:rsid w:val="00C031C7"/>
    <w:rsid w:val="00C031CC"/>
    <w:rsid w:val="00C031D1"/>
    <w:rsid w:val="00C031D7"/>
    <w:rsid w:val="00C0323B"/>
    <w:rsid w:val="00C032AB"/>
    <w:rsid w:val="00C032B7"/>
    <w:rsid w:val="00C032C7"/>
    <w:rsid w:val="00C032C8"/>
    <w:rsid w:val="00C03322"/>
    <w:rsid w:val="00C033AF"/>
    <w:rsid w:val="00C03441"/>
    <w:rsid w:val="00C03489"/>
    <w:rsid w:val="00C0349D"/>
    <w:rsid w:val="00C034DB"/>
    <w:rsid w:val="00C03619"/>
    <w:rsid w:val="00C03626"/>
    <w:rsid w:val="00C0363C"/>
    <w:rsid w:val="00C0363E"/>
    <w:rsid w:val="00C0364C"/>
    <w:rsid w:val="00C03658"/>
    <w:rsid w:val="00C03685"/>
    <w:rsid w:val="00C036EE"/>
    <w:rsid w:val="00C037DB"/>
    <w:rsid w:val="00C03812"/>
    <w:rsid w:val="00C038A3"/>
    <w:rsid w:val="00C038E2"/>
    <w:rsid w:val="00C038FC"/>
    <w:rsid w:val="00C038FE"/>
    <w:rsid w:val="00C03937"/>
    <w:rsid w:val="00C03945"/>
    <w:rsid w:val="00C039C0"/>
    <w:rsid w:val="00C03A27"/>
    <w:rsid w:val="00C03A33"/>
    <w:rsid w:val="00C03A96"/>
    <w:rsid w:val="00C03A9A"/>
    <w:rsid w:val="00C03ABB"/>
    <w:rsid w:val="00C03AD0"/>
    <w:rsid w:val="00C03B44"/>
    <w:rsid w:val="00C03B59"/>
    <w:rsid w:val="00C03BB8"/>
    <w:rsid w:val="00C03C0A"/>
    <w:rsid w:val="00C03C15"/>
    <w:rsid w:val="00C03C55"/>
    <w:rsid w:val="00C03C86"/>
    <w:rsid w:val="00C03D2F"/>
    <w:rsid w:val="00C03DAA"/>
    <w:rsid w:val="00C03E4B"/>
    <w:rsid w:val="00C03E53"/>
    <w:rsid w:val="00C03EC0"/>
    <w:rsid w:val="00C03F0F"/>
    <w:rsid w:val="00C04019"/>
    <w:rsid w:val="00C04022"/>
    <w:rsid w:val="00C04040"/>
    <w:rsid w:val="00C040D7"/>
    <w:rsid w:val="00C04185"/>
    <w:rsid w:val="00C04215"/>
    <w:rsid w:val="00C0422C"/>
    <w:rsid w:val="00C0427B"/>
    <w:rsid w:val="00C0427C"/>
    <w:rsid w:val="00C04298"/>
    <w:rsid w:val="00C042AC"/>
    <w:rsid w:val="00C042BC"/>
    <w:rsid w:val="00C042C5"/>
    <w:rsid w:val="00C04339"/>
    <w:rsid w:val="00C04377"/>
    <w:rsid w:val="00C044EA"/>
    <w:rsid w:val="00C0461F"/>
    <w:rsid w:val="00C04636"/>
    <w:rsid w:val="00C04637"/>
    <w:rsid w:val="00C04692"/>
    <w:rsid w:val="00C04758"/>
    <w:rsid w:val="00C047F3"/>
    <w:rsid w:val="00C048A6"/>
    <w:rsid w:val="00C048DA"/>
    <w:rsid w:val="00C048ED"/>
    <w:rsid w:val="00C0492A"/>
    <w:rsid w:val="00C0493B"/>
    <w:rsid w:val="00C0497B"/>
    <w:rsid w:val="00C04982"/>
    <w:rsid w:val="00C049A3"/>
    <w:rsid w:val="00C04AAE"/>
    <w:rsid w:val="00C04AB7"/>
    <w:rsid w:val="00C04AD0"/>
    <w:rsid w:val="00C04AD9"/>
    <w:rsid w:val="00C04B35"/>
    <w:rsid w:val="00C04BD4"/>
    <w:rsid w:val="00C04C73"/>
    <w:rsid w:val="00C04CD4"/>
    <w:rsid w:val="00C04D89"/>
    <w:rsid w:val="00C04DD2"/>
    <w:rsid w:val="00C04E0E"/>
    <w:rsid w:val="00C04E2B"/>
    <w:rsid w:val="00C04E30"/>
    <w:rsid w:val="00C04E3B"/>
    <w:rsid w:val="00C04EAD"/>
    <w:rsid w:val="00C04EF5"/>
    <w:rsid w:val="00C04F2D"/>
    <w:rsid w:val="00C04F59"/>
    <w:rsid w:val="00C04FEB"/>
    <w:rsid w:val="00C05053"/>
    <w:rsid w:val="00C05114"/>
    <w:rsid w:val="00C05115"/>
    <w:rsid w:val="00C05117"/>
    <w:rsid w:val="00C05153"/>
    <w:rsid w:val="00C052ED"/>
    <w:rsid w:val="00C053A1"/>
    <w:rsid w:val="00C053B4"/>
    <w:rsid w:val="00C053BD"/>
    <w:rsid w:val="00C05442"/>
    <w:rsid w:val="00C0545D"/>
    <w:rsid w:val="00C054BB"/>
    <w:rsid w:val="00C05504"/>
    <w:rsid w:val="00C05516"/>
    <w:rsid w:val="00C05557"/>
    <w:rsid w:val="00C0556B"/>
    <w:rsid w:val="00C055C5"/>
    <w:rsid w:val="00C055D5"/>
    <w:rsid w:val="00C055EF"/>
    <w:rsid w:val="00C0560B"/>
    <w:rsid w:val="00C05642"/>
    <w:rsid w:val="00C056B7"/>
    <w:rsid w:val="00C0572A"/>
    <w:rsid w:val="00C0574C"/>
    <w:rsid w:val="00C05784"/>
    <w:rsid w:val="00C057A3"/>
    <w:rsid w:val="00C057AE"/>
    <w:rsid w:val="00C057F9"/>
    <w:rsid w:val="00C0588C"/>
    <w:rsid w:val="00C05899"/>
    <w:rsid w:val="00C0590E"/>
    <w:rsid w:val="00C05916"/>
    <w:rsid w:val="00C059DC"/>
    <w:rsid w:val="00C05A88"/>
    <w:rsid w:val="00C05A89"/>
    <w:rsid w:val="00C05ACC"/>
    <w:rsid w:val="00C05AE8"/>
    <w:rsid w:val="00C05B8B"/>
    <w:rsid w:val="00C05BDA"/>
    <w:rsid w:val="00C05C15"/>
    <w:rsid w:val="00C05C21"/>
    <w:rsid w:val="00C05C88"/>
    <w:rsid w:val="00C05C99"/>
    <w:rsid w:val="00C05CC6"/>
    <w:rsid w:val="00C05D9C"/>
    <w:rsid w:val="00C05E46"/>
    <w:rsid w:val="00C05E5C"/>
    <w:rsid w:val="00C05E5F"/>
    <w:rsid w:val="00C05E97"/>
    <w:rsid w:val="00C05EDC"/>
    <w:rsid w:val="00C05F2D"/>
    <w:rsid w:val="00C05FCB"/>
    <w:rsid w:val="00C06042"/>
    <w:rsid w:val="00C06048"/>
    <w:rsid w:val="00C06129"/>
    <w:rsid w:val="00C06262"/>
    <w:rsid w:val="00C06301"/>
    <w:rsid w:val="00C06309"/>
    <w:rsid w:val="00C06350"/>
    <w:rsid w:val="00C06432"/>
    <w:rsid w:val="00C06462"/>
    <w:rsid w:val="00C064D6"/>
    <w:rsid w:val="00C064DE"/>
    <w:rsid w:val="00C06578"/>
    <w:rsid w:val="00C06594"/>
    <w:rsid w:val="00C06623"/>
    <w:rsid w:val="00C067FE"/>
    <w:rsid w:val="00C06827"/>
    <w:rsid w:val="00C06837"/>
    <w:rsid w:val="00C06867"/>
    <w:rsid w:val="00C0688C"/>
    <w:rsid w:val="00C06897"/>
    <w:rsid w:val="00C068A6"/>
    <w:rsid w:val="00C068B9"/>
    <w:rsid w:val="00C068BD"/>
    <w:rsid w:val="00C068E6"/>
    <w:rsid w:val="00C06900"/>
    <w:rsid w:val="00C06909"/>
    <w:rsid w:val="00C06989"/>
    <w:rsid w:val="00C0698B"/>
    <w:rsid w:val="00C069F7"/>
    <w:rsid w:val="00C06A43"/>
    <w:rsid w:val="00C06A74"/>
    <w:rsid w:val="00C06AB7"/>
    <w:rsid w:val="00C06ABA"/>
    <w:rsid w:val="00C06ADB"/>
    <w:rsid w:val="00C06BC2"/>
    <w:rsid w:val="00C06BDE"/>
    <w:rsid w:val="00C06CA0"/>
    <w:rsid w:val="00C06CEC"/>
    <w:rsid w:val="00C06D19"/>
    <w:rsid w:val="00C06DAA"/>
    <w:rsid w:val="00C06E6F"/>
    <w:rsid w:val="00C06EA3"/>
    <w:rsid w:val="00C06EAB"/>
    <w:rsid w:val="00C06F42"/>
    <w:rsid w:val="00C06FAA"/>
    <w:rsid w:val="00C06FCD"/>
    <w:rsid w:val="00C070F8"/>
    <w:rsid w:val="00C07114"/>
    <w:rsid w:val="00C07188"/>
    <w:rsid w:val="00C071BD"/>
    <w:rsid w:val="00C07237"/>
    <w:rsid w:val="00C07249"/>
    <w:rsid w:val="00C07252"/>
    <w:rsid w:val="00C07267"/>
    <w:rsid w:val="00C072D5"/>
    <w:rsid w:val="00C073F9"/>
    <w:rsid w:val="00C0742D"/>
    <w:rsid w:val="00C07433"/>
    <w:rsid w:val="00C07441"/>
    <w:rsid w:val="00C07467"/>
    <w:rsid w:val="00C074C5"/>
    <w:rsid w:val="00C075D6"/>
    <w:rsid w:val="00C0765B"/>
    <w:rsid w:val="00C07721"/>
    <w:rsid w:val="00C07724"/>
    <w:rsid w:val="00C0772B"/>
    <w:rsid w:val="00C0776A"/>
    <w:rsid w:val="00C0777A"/>
    <w:rsid w:val="00C077EF"/>
    <w:rsid w:val="00C0781D"/>
    <w:rsid w:val="00C078A1"/>
    <w:rsid w:val="00C07913"/>
    <w:rsid w:val="00C07997"/>
    <w:rsid w:val="00C07A02"/>
    <w:rsid w:val="00C07BAD"/>
    <w:rsid w:val="00C07BCE"/>
    <w:rsid w:val="00C07C8F"/>
    <w:rsid w:val="00C07CC0"/>
    <w:rsid w:val="00C07E0F"/>
    <w:rsid w:val="00C07E73"/>
    <w:rsid w:val="00C07E81"/>
    <w:rsid w:val="00C07F27"/>
    <w:rsid w:val="00C07F31"/>
    <w:rsid w:val="00C07F7A"/>
    <w:rsid w:val="00C10016"/>
    <w:rsid w:val="00C10047"/>
    <w:rsid w:val="00C1006A"/>
    <w:rsid w:val="00C100B0"/>
    <w:rsid w:val="00C100F6"/>
    <w:rsid w:val="00C1018D"/>
    <w:rsid w:val="00C101B4"/>
    <w:rsid w:val="00C1021B"/>
    <w:rsid w:val="00C10267"/>
    <w:rsid w:val="00C10299"/>
    <w:rsid w:val="00C102BB"/>
    <w:rsid w:val="00C1032F"/>
    <w:rsid w:val="00C103AB"/>
    <w:rsid w:val="00C103F5"/>
    <w:rsid w:val="00C1041F"/>
    <w:rsid w:val="00C10442"/>
    <w:rsid w:val="00C104B3"/>
    <w:rsid w:val="00C104C0"/>
    <w:rsid w:val="00C10525"/>
    <w:rsid w:val="00C10585"/>
    <w:rsid w:val="00C10587"/>
    <w:rsid w:val="00C105C5"/>
    <w:rsid w:val="00C10655"/>
    <w:rsid w:val="00C1067F"/>
    <w:rsid w:val="00C10698"/>
    <w:rsid w:val="00C106CF"/>
    <w:rsid w:val="00C106FC"/>
    <w:rsid w:val="00C10742"/>
    <w:rsid w:val="00C1077D"/>
    <w:rsid w:val="00C1078C"/>
    <w:rsid w:val="00C107A1"/>
    <w:rsid w:val="00C107FB"/>
    <w:rsid w:val="00C10860"/>
    <w:rsid w:val="00C10879"/>
    <w:rsid w:val="00C1089A"/>
    <w:rsid w:val="00C108B3"/>
    <w:rsid w:val="00C10964"/>
    <w:rsid w:val="00C1098E"/>
    <w:rsid w:val="00C10A83"/>
    <w:rsid w:val="00C10AEF"/>
    <w:rsid w:val="00C10B3B"/>
    <w:rsid w:val="00C10B62"/>
    <w:rsid w:val="00C10BC8"/>
    <w:rsid w:val="00C10C3C"/>
    <w:rsid w:val="00C10C79"/>
    <w:rsid w:val="00C10D15"/>
    <w:rsid w:val="00C10DF3"/>
    <w:rsid w:val="00C10E99"/>
    <w:rsid w:val="00C10EA1"/>
    <w:rsid w:val="00C10EA4"/>
    <w:rsid w:val="00C10ED3"/>
    <w:rsid w:val="00C10F6A"/>
    <w:rsid w:val="00C10FA8"/>
    <w:rsid w:val="00C11037"/>
    <w:rsid w:val="00C110AD"/>
    <w:rsid w:val="00C1115F"/>
    <w:rsid w:val="00C11185"/>
    <w:rsid w:val="00C111B1"/>
    <w:rsid w:val="00C11200"/>
    <w:rsid w:val="00C1120F"/>
    <w:rsid w:val="00C11271"/>
    <w:rsid w:val="00C112EF"/>
    <w:rsid w:val="00C1131F"/>
    <w:rsid w:val="00C1138A"/>
    <w:rsid w:val="00C113A4"/>
    <w:rsid w:val="00C113FE"/>
    <w:rsid w:val="00C114E4"/>
    <w:rsid w:val="00C11516"/>
    <w:rsid w:val="00C1151E"/>
    <w:rsid w:val="00C115B1"/>
    <w:rsid w:val="00C11619"/>
    <w:rsid w:val="00C1169D"/>
    <w:rsid w:val="00C116A0"/>
    <w:rsid w:val="00C116DD"/>
    <w:rsid w:val="00C11701"/>
    <w:rsid w:val="00C11727"/>
    <w:rsid w:val="00C1175D"/>
    <w:rsid w:val="00C11765"/>
    <w:rsid w:val="00C1176A"/>
    <w:rsid w:val="00C11781"/>
    <w:rsid w:val="00C11836"/>
    <w:rsid w:val="00C11840"/>
    <w:rsid w:val="00C11867"/>
    <w:rsid w:val="00C118CE"/>
    <w:rsid w:val="00C11929"/>
    <w:rsid w:val="00C1194C"/>
    <w:rsid w:val="00C119B0"/>
    <w:rsid w:val="00C11A0C"/>
    <w:rsid w:val="00C11A66"/>
    <w:rsid w:val="00C11A81"/>
    <w:rsid w:val="00C11ADE"/>
    <w:rsid w:val="00C11AF7"/>
    <w:rsid w:val="00C11AF8"/>
    <w:rsid w:val="00C11B68"/>
    <w:rsid w:val="00C11BD7"/>
    <w:rsid w:val="00C11CC6"/>
    <w:rsid w:val="00C11DA2"/>
    <w:rsid w:val="00C11EBB"/>
    <w:rsid w:val="00C11F32"/>
    <w:rsid w:val="00C11F60"/>
    <w:rsid w:val="00C11F6C"/>
    <w:rsid w:val="00C11F92"/>
    <w:rsid w:val="00C11FAD"/>
    <w:rsid w:val="00C11FC8"/>
    <w:rsid w:val="00C11FD7"/>
    <w:rsid w:val="00C12022"/>
    <w:rsid w:val="00C12080"/>
    <w:rsid w:val="00C120C2"/>
    <w:rsid w:val="00C120C6"/>
    <w:rsid w:val="00C120D4"/>
    <w:rsid w:val="00C121C0"/>
    <w:rsid w:val="00C121E0"/>
    <w:rsid w:val="00C12208"/>
    <w:rsid w:val="00C12222"/>
    <w:rsid w:val="00C12245"/>
    <w:rsid w:val="00C12261"/>
    <w:rsid w:val="00C1227A"/>
    <w:rsid w:val="00C122A9"/>
    <w:rsid w:val="00C122B2"/>
    <w:rsid w:val="00C122CA"/>
    <w:rsid w:val="00C122F0"/>
    <w:rsid w:val="00C1230A"/>
    <w:rsid w:val="00C12374"/>
    <w:rsid w:val="00C12448"/>
    <w:rsid w:val="00C124CF"/>
    <w:rsid w:val="00C1256C"/>
    <w:rsid w:val="00C1259A"/>
    <w:rsid w:val="00C125C3"/>
    <w:rsid w:val="00C1260F"/>
    <w:rsid w:val="00C1274B"/>
    <w:rsid w:val="00C1275A"/>
    <w:rsid w:val="00C1276C"/>
    <w:rsid w:val="00C127AA"/>
    <w:rsid w:val="00C127B7"/>
    <w:rsid w:val="00C127DC"/>
    <w:rsid w:val="00C127F3"/>
    <w:rsid w:val="00C1284F"/>
    <w:rsid w:val="00C12863"/>
    <w:rsid w:val="00C1296C"/>
    <w:rsid w:val="00C12979"/>
    <w:rsid w:val="00C129BE"/>
    <w:rsid w:val="00C129DB"/>
    <w:rsid w:val="00C129F4"/>
    <w:rsid w:val="00C129F8"/>
    <w:rsid w:val="00C12A5F"/>
    <w:rsid w:val="00C12AB7"/>
    <w:rsid w:val="00C12C5C"/>
    <w:rsid w:val="00C12C5D"/>
    <w:rsid w:val="00C12C87"/>
    <w:rsid w:val="00C12C96"/>
    <w:rsid w:val="00C12CCE"/>
    <w:rsid w:val="00C12CD9"/>
    <w:rsid w:val="00C12D04"/>
    <w:rsid w:val="00C12DC9"/>
    <w:rsid w:val="00C12DF5"/>
    <w:rsid w:val="00C12E0A"/>
    <w:rsid w:val="00C12E89"/>
    <w:rsid w:val="00C12EC4"/>
    <w:rsid w:val="00C12ED2"/>
    <w:rsid w:val="00C12F20"/>
    <w:rsid w:val="00C12F64"/>
    <w:rsid w:val="00C12FAE"/>
    <w:rsid w:val="00C12FBF"/>
    <w:rsid w:val="00C1304A"/>
    <w:rsid w:val="00C13058"/>
    <w:rsid w:val="00C1305B"/>
    <w:rsid w:val="00C13065"/>
    <w:rsid w:val="00C131CD"/>
    <w:rsid w:val="00C131E7"/>
    <w:rsid w:val="00C1320F"/>
    <w:rsid w:val="00C1324A"/>
    <w:rsid w:val="00C13288"/>
    <w:rsid w:val="00C132B4"/>
    <w:rsid w:val="00C132CE"/>
    <w:rsid w:val="00C13305"/>
    <w:rsid w:val="00C13374"/>
    <w:rsid w:val="00C13391"/>
    <w:rsid w:val="00C133C7"/>
    <w:rsid w:val="00C1343F"/>
    <w:rsid w:val="00C134CA"/>
    <w:rsid w:val="00C13500"/>
    <w:rsid w:val="00C1350B"/>
    <w:rsid w:val="00C13510"/>
    <w:rsid w:val="00C1352E"/>
    <w:rsid w:val="00C13534"/>
    <w:rsid w:val="00C135DD"/>
    <w:rsid w:val="00C13614"/>
    <w:rsid w:val="00C13695"/>
    <w:rsid w:val="00C136C0"/>
    <w:rsid w:val="00C136F3"/>
    <w:rsid w:val="00C1370D"/>
    <w:rsid w:val="00C1374A"/>
    <w:rsid w:val="00C13865"/>
    <w:rsid w:val="00C13897"/>
    <w:rsid w:val="00C13905"/>
    <w:rsid w:val="00C1397F"/>
    <w:rsid w:val="00C13985"/>
    <w:rsid w:val="00C13993"/>
    <w:rsid w:val="00C139F7"/>
    <w:rsid w:val="00C13A2E"/>
    <w:rsid w:val="00C13AA8"/>
    <w:rsid w:val="00C13AED"/>
    <w:rsid w:val="00C13B33"/>
    <w:rsid w:val="00C13C66"/>
    <w:rsid w:val="00C13CA4"/>
    <w:rsid w:val="00C13CCD"/>
    <w:rsid w:val="00C13D1E"/>
    <w:rsid w:val="00C13D82"/>
    <w:rsid w:val="00C13DE0"/>
    <w:rsid w:val="00C13E99"/>
    <w:rsid w:val="00C13E9F"/>
    <w:rsid w:val="00C13EA3"/>
    <w:rsid w:val="00C13EB5"/>
    <w:rsid w:val="00C13F89"/>
    <w:rsid w:val="00C13FB5"/>
    <w:rsid w:val="00C13FB7"/>
    <w:rsid w:val="00C1405C"/>
    <w:rsid w:val="00C140E0"/>
    <w:rsid w:val="00C1418B"/>
    <w:rsid w:val="00C141E9"/>
    <w:rsid w:val="00C14212"/>
    <w:rsid w:val="00C1421E"/>
    <w:rsid w:val="00C1428F"/>
    <w:rsid w:val="00C14315"/>
    <w:rsid w:val="00C14360"/>
    <w:rsid w:val="00C1438B"/>
    <w:rsid w:val="00C14401"/>
    <w:rsid w:val="00C1440C"/>
    <w:rsid w:val="00C144E2"/>
    <w:rsid w:val="00C14508"/>
    <w:rsid w:val="00C14527"/>
    <w:rsid w:val="00C14535"/>
    <w:rsid w:val="00C1457F"/>
    <w:rsid w:val="00C145C2"/>
    <w:rsid w:val="00C145DE"/>
    <w:rsid w:val="00C145FE"/>
    <w:rsid w:val="00C14616"/>
    <w:rsid w:val="00C14685"/>
    <w:rsid w:val="00C146B2"/>
    <w:rsid w:val="00C1475D"/>
    <w:rsid w:val="00C14801"/>
    <w:rsid w:val="00C148DD"/>
    <w:rsid w:val="00C148F2"/>
    <w:rsid w:val="00C149CD"/>
    <w:rsid w:val="00C14A64"/>
    <w:rsid w:val="00C14AB3"/>
    <w:rsid w:val="00C14B63"/>
    <w:rsid w:val="00C14B9D"/>
    <w:rsid w:val="00C14BA7"/>
    <w:rsid w:val="00C14BCD"/>
    <w:rsid w:val="00C14C69"/>
    <w:rsid w:val="00C14CC4"/>
    <w:rsid w:val="00C14CD1"/>
    <w:rsid w:val="00C14E12"/>
    <w:rsid w:val="00C14E1F"/>
    <w:rsid w:val="00C14E89"/>
    <w:rsid w:val="00C14E8E"/>
    <w:rsid w:val="00C14E9E"/>
    <w:rsid w:val="00C14EA2"/>
    <w:rsid w:val="00C14EB3"/>
    <w:rsid w:val="00C14ECC"/>
    <w:rsid w:val="00C14F1D"/>
    <w:rsid w:val="00C14F52"/>
    <w:rsid w:val="00C14F78"/>
    <w:rsid w:val="00C15042"/>
    <w:rsid w:val="00C15043"/>
    <w:rsid w:val="00C150C8"/>
    <w:rsid w:val="00C150CB"/>
    <w:rsid w:val="00C150CF"/>
    <w:rsid w:val="00C150E0"/>
    <w:rsid w:val="00C1517B"/>
    <w:rsid w:val="00C151A6"/>
    <w:rsid w:val="00C151D0"/>
    <w:rsid w:val="00C15238"/>
    <w:rsid w:val="00C15286"/>
    <w:rsid w:val="00C15298"/>
    <w:rsid w:val="00C15318"/>
    <w:rsid w:val="00C1537C"/>
    <w:rsid w:val="00C153D7"/>
    <w:rsid w:val="00C15417"/>
    <w:rsid w:val="00C1544A"/>
    <w:rsid w:val="00C1550D"/>
    <w:rsid w:val="00C155A3"/>
    <w:rsid w:val="00C155F4"/>
    <w:rsid w:val="00C15639"/>
    <w:rsid w:val="00C1565E"/>
    <w:rsid w:val="00C156D6"/>
    <w:rsid w:val="00C156FA"/>
    <w:rsid w:val="00C15772"/>
    <w:rsid w:val="00C15817"/>
    <w:rsid w:val="00C158BE"/>
    <w:rsid w:val="00C158FE"/>
    <w:rsid w:val="00C159AB"/>
    <w:rsid w:val="00C159D3"/>
    <w:rsid w:val="00C15A2C"/>
    <w:rsid w:val="00C15A34"/>
    <w:rsid w:val="00C15AC6"/>
    <w:rsid w:val="00C15AD1"/>
    <w:rsid w:val="00C15AD7"/>
    <w:rsid w:val="00C15B3C"/>
    <w:rsid w:val="00C15BB9"/>
    <w:rsid w:val="00C15BD6"/>
    <w:rsid w:val="00C15C28"/>
    <w:rsid w:val="00C15C4C"/>
    <w:rsid w:val="00C15C67"/>
    <w:rsid w:val="00C15C72"/>
    <w:rsid w:val="00C15CE1"/>
    <w:rsid w:val="00C15DA8"/>
    <w:rsid w:val="00C15DC1"/>
    <w:rsid w:val="00C15E75"/>
    <w:rsid w:val="00C15EEE"/>
    <w:rsid w:val="00C15F71"/>
    <w:rsid w:val="00C15F92"/>
    <w:rsid w:val="00C15FA5"/>
    <w:rsid w:val="00C16029"/>
    <w:rsid w:val="00C16032"/>
    <w:rsid w:val="00C16033"/>
    <w:rsid w:val="00C1605B"/>
    <w:rsid w:val="00C16061"/>
    <w:rsid w:val="00C16063"/>
    <w:rsid w:val="00C160C4"/>
    <w:rsid w:val="00C160D4"/>
    <w:rsid w:val="00C160EB"/>
    <w:rsid w:val="00C161B5"/>
    <w:rsid w:val="00C1624C"/>
    <w:rsid w:val="00C162EA"/>
    <w:rsid w:val="00C16330"/>
    <w:rsid w:val="00C16393"/>
    <w:rsid w:val="00C163DD"/>
    <w:rsid w:val="00C16413"/>
    <w:rsid w:val="00C16418"/>
    <w:rsid w:val="00C16469"/>
    <w:rsid w:val="00C164C0"/>
    <w:rsid w:val="00C164DC"/>
    <w:rsid w:val="00C1650D"/>
    <w:rsid w:val="00C1650E"/>
    <w:rsid w:val="00C16538"/>
    <w:rsid w:val="00C166A5"/>
    <w:rsid w:val="00C166E4"/>
    <w:rsid w:val="00C1672D"/>
    <w:rsid w:val="00C167B6"/>
    <w:rsid w:val="00C16881"/>
    <w:rsid w:val="00C168B7"/>
    <w:rsid w:val="00C168D6"/>
    <w:rsid w:val="00C169B2"/>
    <w:rsid w:val="00C16A27"/>
    <w:rsid w:val="00C16A2A"/>
    <w:rsid w:val="00C16AF8"/>
    <w:rsid w:val="00C16B0C"/>
    <w:rsid w:val="00C16B21"/>
    <w:rsid w:val="00C16B91"/>
    <w:rsid w:val="00C16BA3"/>
    <w:rsid w:val="00C16C85"/>
    <w:rsid w:val="00C16C91"/>
    <w:rsid w:val="00C16C96"/>
    <w:rsid w:val="00C16CB3"/>
    <w:rsid w:val="00C16D1A"/>
    <w:rsid w:val="00C16D46"/>
    <w:rsid w:val="00C16D88"/>
    <w:rsid w:val="00C16EA9"/>
    <w:rsid w:val="00C16EB4"/>
    <w:rsid w:val="00C16ED2"/>
    <w:rsid w:val="00C16F42"/>
    <w:rsid w:val="00C16F4E"/>
    <w:rsid w:val="00C17007"/>
    <w:rsid w:val="00C17017"/>
    <w:rsid w:val="00C17033"/>
    <w:rsid w:val="00C170FE"/>
    <w:rsid w:val="00C1713A"/>
    <w:rsid w:val="00C17144"/>
    <w:rsid w:val="00C17165"/>
    <w:rsid w:val="00C1717B"/>
    <w:rsid w:val="00C17185"/>
    <w:rsid w:val="00C171FF"/>
    <w:rsid w:val="00C172A3"/>
    <w:rsid w:val="00C172C8"/>
    <w:rsid w:val="00C1732E"/>
    <w:rsid w:val="00C1735B"/>
    <w:rsid w:val="00C17370"/>
    <w:rsid w:val="00C17397"/>
    <w:rsid w:val="00C173E1"/>
    <w:rsid w:val="00C173F2"/>
    <w:rsid w:val="00C173F3"/>
    <w:rsid w:val="00C173FC"/>
    <w:rsid w:val="00C1741A"/>
    <w:rsid w:val="00C17449"/>
    <w:rsid w:val="00C17474"/>
    <w:rsid w:val="00C174D2"/>
    <w:rsid w:val="00C174D5"/>
    <w:rsid w:val="00C174ED"/>
    <w:rsid w:val="00C1756F"/>
    <w:rsid w:val="00C17580"/>
    <w:rsid w:val="00C175B7"/>
    <w:rsid w:val="00C17614"/>
    <w:rsid w:val="00C17641"/>
    <w:rsid w:val="00C17691"/>
    <w:rsid w:val="00C1774E"/>
    <w:rsid w:val="00C17798"/>
    <w:rsid w:val="00C1779C"/>
    <w:rsid w:val="00C17841"/>
    <w:rsid w:val="00C17887"/>
    <w:rsid w:val="00C178B1"/>
    <w:rsid w:val="00C1791E"/>
    <w:rsid w:val="00C1799C"/>
    <w:rsid w:val="00C17A59"/>
    <w:rsid w:val="00C17A8C"/>
    <w:rsid w:val="00C17A9B"/>
    <w:rsid w:val="00C17ADE"/>
    <w:rsid w:val="00C17AF0"/>
    <w:rsid w:val="00C17B37"/>
    <w:rsid w:val="00C17BA9"/>
    <w:rsid w:val="00C17CA3"/>
    <w:rsid w:val="00C17CCC"/>
    <w:rsid w:val="00C17CDB"/>
    <w:rsid w:val="00C17D22"/>
    <w:rsid w:val="00C17EF0"/>
    <w:rsid w:val="00C17F8A"/>
    <w:rsid w:val="00C2000C"/>
    <w:rsid w:val="00C2002C"/>
    <w:rsid w:val="00C2004A"/>
    <w:rsid w:val="00C2004B"/>
    <w:rsid w:val="00C20065"/>
    <w:rsid w:val="00C20097"/>
    <w:rsid w:val="00C20120"/>
    <w:rsid w:val="00C20196"/>
    <w:rsid w:val="00C202AE"/>
    <w:rsid w:val="00C202F5"/>
    <w:rsid w:val="00C20375"/>
    <w:rsid w:val="00C203A7"/>
    <w:rsid w:val="00C203AC"/>
    <w:rsid w:val="00C203F9"/>
    <w:rsid w:val="00C2050D"/>
    <w:rsid w:val="00C2055F"/>
    <w:rsid w:val="00C20570"/>
    <w:rsid w:val="00C206EA"/>
    <w:rsid w:val="00C2070A"/>
    <w:rsid w:val="00C207B4"/>
    <w:rsid w:val="00C207D3"/>
    <w:rsid w:val="00C2081E"/>
    <w:rsid w:val="00C2087A"/>
    <w:rsid w:val="00C208BB"/>
    <w:rsid w:val="00C208D6"/>
    <w:rsid w:val="00C208DC"/>
    <w:rsid w:val="00C2097E"/>
    <w:rsid w:val="00C20A3D"/>
    <w:rsid w:val="00C20A4C"/>
    <w:rsid w:val="00C20A6B"/>
    <w:rsid w:val="00C20A97"/>
    <w:rsid w:val="00C20AA1"/>
    <w:rsid w:val="00C20AE0"/>
    <w:rsid w:val="00C20AEC"/>
    <w:rsid w:val="00C20B0D"/>
    <w:rsid w:val="00C20B14"/>
    <w:rsid w:val="00C20BA3"/>
    <w:rsid w:val="00C20BF5"/>
    <w:rsid w:val="00C20C89"/>
    <w:rsid w:val="00C20CB0"/>
    <w:rsid w:val="00C20D69"/>
    <w:rsid w:val="00C20DCE"/>
    <w:rsid w:val="00C20DD2"/>
    <w:rsid w:val="00C20E47"/>
    <w:rsid w:val="00C20E58"/>
    <w:rsid w:val="00C20E7F"/>
    <w:rsid w:val="00C20EEC"/>
    <w:rsid w:val="00C20F38"/>
    <w:rsid w:val="00C20F78"/>
    <w:rsid w:val="00C20F7B"/>
    <w:rsid w:val="00C20F96"/>
    <w:rsid w:val="00C20FB2"/>
    <w:rsid w:val="00C21025"/>
    <w:rsid w:val="00C210D6"/>
    <w:rsid w:val="00C210DA"/>
    <w:rsid w:val="00C21114"/>
    <w:rsid w:val="00C21123"/>
    <w:rsid w:val="00C21136"/>
    <w:rsid w:val="00C2114B"/>
    <w:rsid w:val="00C211BB"/>
    <w:rsid w:val="00C212BC"/>
    <w:rsid w:val="00C212E3"/>
    <w:rsid w:val="00C21301"/>
    <w:rsid w:val="00C21333"/>
    <w:rsid w:val="00C2136F"/>
    <w:rsid w:val="00C21392"/>
    <w:rsid w:val="00C213BE"/>
    <w:rsid w:val="00C213CF"/>
    <w:rsid w:val="00C2151E"/>
    <w:rsid w:val="00C21569"/>
    <w:rsid w:val="00C2157E"/>
    <w:rsid w:val="00C215B2"/>
    <w:rsid w:val="00C21701"/>
    <w:rsid w:val="00C2176D"/>
    <w:rsid w:val="00C217AB"/>
    <w:rsid w:val="00C217CC"/>
    <w:rsid w:val="00C218B3"/>
    <w:rsid w:val="00C218B8"/>
    <w:rsid w:val="00C218EC"/>
    <w:rsid w:val="00C21943"/>
    <w:rsid w:val="00C21981"/>
    <w:rsid w:val="00C2199A"/>
    <w:rsid w:val="00C219C9"/>
    <w:rsid w:val="00C21A13"/>
    <w:rsid w:val="00C21A96"/>
    <w:rsid w:val="00C21AD7"/>
    <w:rsid w:val="00C21B2C"/>
    <w:rsid w:val="00C21B82"/>
    <w:rsid w:val="00C21B93"/>
    <w:rsid w:val="00C21BBB"/>
    <w:rsid w:val="00C21BF1"/>
    <w:rsid w:val="00C21BFA"/>
    <w:rsid w:val="00C21C43"/>
    <w:rsid w:val="00C21C99"/>
    <w:rsid w:val="00C21CB0"/>
    <w:rsid w:val="00C21D51"/>
    <w:rsid w:val="00C21D88"/>
    <w:rsid w:val="00C21D8B"/>
    <w:rsid w:val="00C21DE3"/>
    <w:rsid w:val="00C21E89"/>
    <w:rsid w:val="00C21EB2"/>
    <w:rsid w:val="00C21ECF"/>
    <w:rsid w:val="00C21F5E"/>
    <w:rsid w:val="00C21F6B"/>
    <w:rsid w:val="00C21F76"/>
    <w:rsid w:val="00C21F9A"/>
    <w:rsid w:val="00C21FDD"/>
    <w:rsid w:val="00C220AF"/>
    <w:rsid w:val="00C220D9"/>
    <w:rsid w:val="00C2210A"/>
    <w:rsid w:val="00C2214A"/>
    <w:rsid w:val="00C221A6"/>
    <w:rsid w:val="00C221E3"/>
    <w:rsid w:val="00C2228F"/>
    <w:rsid w:val="00C2232E"/>
    <w:rsid w:val="00C223C9"/>
    <w:rsid w:val="00C22454"/>
    <w:rsid w:val="00C224CC"/>
    <w:rsid w:val="00C224E0"/>
    <w:rsid w:val="00C22508"/>
    <w:rsid w:val="00C2253D"/>
    <w:rsid w:val="00C22541"/>
    <w:rsid w:val="00C225A3"/>
    <w:rsid w:val="00C2268C"/>
    <w:rsid w:val="00C226E5"/>
    <w:rsid w:val="00C22738"/>
    <w:rsid w:val="00C22781"/>
    <w:rsid w:val="00C22846"/>
    <w:rsid w:val="00C2290F"/>
    <w:rsid w:val="00C22967"/>
    <w:rsid w:val="00C22A09"/>
    <w:rsid w:val="00C22A24"/>
    <w:rsid w:val="00C22A63"/>
    <w:rsid w:val="00C22A6F"/>
    <w:rsid w:val="00C22AD9"/>
    <w:rsid w:val="00C22B15"/>
    <w:rsid w:val="00C22BD9"/>
    <w:rsid w:val="00C22BFC"/>
    <w:rsid w:val="00C22C2B"/>
    <w:rsid w:val="00C22CDA"/>
    <w:rsid w:val="00C22D35"/>
    <w:rsid w:val="00C22D3A"/>
    <w:rsid w:val="00C22DB1"/>
    <w:rsid w:val="00C22DB4"/>
    <w:rsid w:val="00C22DF2"/>
    <w:rsid w:val="00C22E1A"/>
    <w:rsid w:val="00C22EB5"/>
    <w:rsid w:val="00C22F09"/>
    <w:rsid w:val="00C22F8C"/>
    <w:rsid w:val="00C22FA4"/>
    <w:rsid w:val="00C23042"/>
    <w:rsid w:val="00C230A8"/>
    <w:rsid w:val="00C230C5"/>
    <w:rsid w:val="00C231D3"/>
    <w:rsid w:val="00C231DA"/>
    <w:rsid w:val="00C232ED"/>
    <w:rsid w:val="00C23349"/>
    <w:rsid w:val="00C23367"/>
    <w:rsid w:val="00C2339C"/>
    <w:rsid w:val="00C23430"/>
    <w:rsid w:val="00C23471"/>
    <w:rsid w:val="00C234EB"/>
    <w:rsid w:val="00C23581"/>
    <w:rsid w:val="00C235FE"/>
    <w:rsid w:val="00C2360C"/>
    <w:rsid w:val="00C2360D"/>
    <w:rsid w:val="00C236E2"/>
    <w:rsid w:val="00C2370E"/>
    <w:rsid w:val="00C2379D"/>
    <w:rsid w:val="00C23803"/>
    <w:rsid w:val="00C2384D"/>
    <w:rsid w:val="00C2392C"/>
    <w:rsid w:val="00C23A12"/>
    <w:rsid w:val="00C23A40"/>
    <w:rsid w:val="00C23A57"/>
    <w:rsid w:val="00C23A88"/>
    <w:rsid w:val="00C23ADB"/>
    <w:rsid w:val="00C23B71"/>
    <w:rsid w:val="00C23BE1"/>
    <w:rsid w:val="00C23BE8"/>
    <w:rsid w:val="00C23C70"/>
    <w:rsid w:val="00C23C9C"/>
    <w:rsid w:val="00C23DB2"/>
    <w:rsid w:val="00C23E08"/>
    <w:rsid w:val="00C23E0D"/>
    <w:rsid w:val="00C23E42"/>
    <w:rsid w:val="00C23F02"/>
    <w:rsid w:val="00C23F79"/>
    <w:rsid w:val="00C23F7D"/>
    <w:rsid w:val="00C23FA5"/>
    <w:rsid w:val="00C23FFD"/>
    <w:rsid w:val="00C240A3"/>
    <w:rsid w:val="00C240C3"/>
    <w:rsid w:val="00C240D5"/>
    <w:rsid w:val="00C24137"/>
    <w:rsid w:val="00C24146"/>
    <w:rsid w:val="00C24177"/>
    <w:rsid w:val="00C24193"/>
    <w:rsid w:val="00C241A1"/>
    <w:rsid w:val="00C2424C"/>
    <w:rsid w:val="00C24293"/>
    <w:rsid w:val="00C242F0"/>
    <w:rsid w:val="00C2430A"/>
    <w:rsid w:val="00C2432C"/>
    <w:rsid w:val="00C24391"/>
    <w:rsid w:val="00C243B9"/>
    <w:rsid w:val="00C243C6"/>
    <w:rsid w:val="00C2447D"/>
    <w:rsid w:val="00C244C9"/>
    <w:rsid w:val="00C24522"/>
    <w:rsid w:val="00C24559"/>
    <w:rsid w:val="00C24562"/>
    <w:rsid w:val="00C2459E"/>
    <w:rsid w:val="00C2460E"/>
    <w:rsid w:val="00C246EA"/>
    <w:rsid w:val="00C24753"/>
    <w:rsid w:val="00C247B3"/>
    <w:rsid w:val="00C247EF"/>
    <w:rsid w:val="00C24830"/>
    <w:rsid w:val="00C24845"/>
    <w:rsid w:val="00C24918"/>
    <w:rsid w:val="00C24951"/>
    <w:rsid w:val="00C24955"/>
    <w:rsid w:val="00C2496D"/>
    <w:rsid w:val="00C249CA"/>
    <w:rsid w:val="00C24A02"/>
    <w:rsid w:val="00C24A22"/>
    <w:rsid w:val="00C24AE6"/>
    <w:rsid w:val="00C24B3E"/>
    <w:rsid w:val="00C24B82"/>
    <w:rsid w:val="00C24BF4"/>
    <w:rsid w:val="00C24C1E"/>
    <w:rsid w:val="00C24C46"/>
    <w:rsid w:val="00C24CBA"/>
    <w:rsid w:val="00C24D03"/>
    <w:rsid w:val="00C24DD1"/>
    <w:rsid w:val="00C24E0C"/>
    <w:rsid w:val="00C24EA1"/>
    <w:rsid w:val="00C24EBA"/>
    <w:rsid w:val="00C24F40"/>
    <w:rsid w:val="00C24F68"/>
    <w:rsid w:val="00C24F95"/>
    <w:rsid w:val="00C24F98"/>
    <w:rsid w:val="00C24FAB"/>
    <w:rsid w:val="00C25030"/>
    <w:rsid w:val="00C250E9"/>
    <w:rsid w:val="00C25125"/>
    <w:rsid w:val="00C25148"/>
    <w:rsid w:val="00C25188"/>
    <w:rsid w:val="00C25191"/>
    <w:rsid w:val="00C25218"/>
    <w:rsid w:val="00C2522B"/>
    <w:rsid w:val="00C25458"/>
    <w:rsid w:val="00C2546B"/>
    <w:rsid w:val="00C254C8"/>
    <w:rsid w:val="00C25520"/>
    <w:rsid w:val="00C25529"/>
    <w:rsid w:val="00C2553A"/>
    <w:rsid w:val="00C25542"/>
    <w:rsid w:val="00C25593"/>
    <w:rsid w:val="00C25632"/>
    <w:rsid w:val="00C2569A"/>
    <w:rsid w:val="00C256BF"/>
    <w:rsid w:val="00C25740"/>
    <w:rsid w:val="00C257D6"/>
    <w:rsid w:val="00C257F4"/>
    <w:rsid w:val="00C2583D"/>
    <w:rsid w:val="00C25850"/>
    <w:rsid w:val="00C2585A"/>
    <w:rsid w:val="00C25886"/>
    <w:rsid w:val="00C2591E"/>
    <w:rsid w:val="00C2592A"/>
    <w:rsid w:val="00C259B1"/>
    <w:rsid w:val="00C259FB"/>
    <w:rsid w:val="00C25A0E"/>
    <w:rsid w:val="00C25AAB"/>
    <w:rsid w:val="00C25B37"/>
    <w:rsid w:val="00C25CFB"/>
    <w:rsid w:val="00C25DF7"/>
    <w:rsid w:val="00C25E25"/>
    <w:rsid w:val="00C25E3A"/>
    <w:rsid w:val="00C25E3E"/>
    <w:rsid w:val="00C25E53"/>
    <w:rsid w:val="00C25E71"/>
    <w:rsid w:val="00C25E76"/>
    <w:rsid w:val="00C25F40"/>
    <w:rsid w:val="00C25F4D"/>
    <w:rsid w:val="00C25FC0"/>
    <w:rsid w:val="00C2607D"/>
    <w:rsid w:val="00C260C5"/>
    <w:rsid w:val="00C260E5"/>
    <w:rsid w:val="00C261C0"/>
    <w:rsid w:val="00C261C1"/>
    <w:rsid w:val="00C261DF"/>
    <w:rsid w:val="00C2624B"/>
    <w:rsid w:val="00C2625E"/>
    <w:rsid w:val="00C262C2"/>
    <w:rsid w:val="00C262EE"/>
    <w:rsid w:val="00C26362"/>
    <w:rsid w:val="00C2636A"/>
    <w:rsid w:val="00C263EC"/>
    <w:rsid w:val="00C263F3"/>
    <w:rsid w:val="00C2643E"/>
    <w:rsid w:val="00C26456"/>
    <w:rsid w:val="00C26504"/>
    <w:rsid w:val="00C26530"/>
    <w:rsid w:val="00C2656A"/>
    <w:rsid w:val="00C26578"/>
    <w:rsid w:val="00C26580"/>
    <w:rsid w:val="00C26591"/>
    <w:rsid w:val="00C265BB"/>
    <w:rsid w:val="00C2667B"/>
    <w:rsid w:val="00C26681"/>
    <w:rsid w:val="00C266DB"/>
    <w:rsid w:val="00C26798"/>
    <w:rsid w:val="00C2687F"/>
    <w:rsid w:val="00C26891"/>
    <w:rsid w:val="00C268BE"/>
    <w:rsid w:val="00C268D5"/>
    <w:rsid w:val="00C26A27"/>
    <w:rsid w:val="00C26AF4"/>
    <w:rsid w:val="00C26B00"/>
    <w:rsid w:val="00C26B30"/>
    <w:rsid w:val="00C26B8F"/>
    <w:rsid w:val="00C26BA7"/>
    <w:rsid w:val="00C26BE7"/>
    <w:rsid w:val="00C26C24"/>
    <w:rsid w:val="00C26C3A"/>
    <w:rsid w:val="00C26C89"/>
    <w:rsid w:val="00C26CC1"/>
    <w:rsid w:val="00C26D63"/>
    <w:rsid w:val="00C26DA6"/>
    <w:rsid w:val="00C26DA9"/>
    <w:rsid w:val="00C26DD4"/>
    <w:rsid w:val="00C26ED3"/>
    <w:rsid w:val="00C26EF6"/>
    <w:rsid w:val="00C2705F"/>
    <w:rsid w:val="00C270D5"/>
    <w:rsid w:val="00C270E0"/>
    <w:rsid w:val="00C271A5"/>
    <w:rsid w:val="00C271F5"/>
    <w:rsid w:val="00C27230"/>
    <w:rsid w:val="00C27270"/>
    <w:rsid w:val="00C2728A"/>
    <w:rsid w:val="00C272B1"/>
    <w:rsid w:val="00C272BB"/>
    <w:rsid w:val="00C27377"/>
    <w:rsid w:val="00C273C1"/>
    <w:rsid w:val="00C27443"/>
    <w:rsid w:val="00C274EC"/>
    <w:rsid w:val="00C2766E"/>
    <w:rsid w:val="00C27681"/>
    <w:rsid w:val="00C27779"/>
    <w:rsid w:val="00C27870"/>
    <w:rsid w:val="00C278C5"/>
    <w:rsid w:val="00C278D1"/>
    <w:rsid w:val="00C27930"/>
    <w:rsid w:val="00C27975"/>
    <w:rsid w:val="00C27A27"/>
    <w:rsid w:val="00C27A3E"/>
    <w:rsid w:val="00C27A6D"/>
    <w:rsid w:val="00C27A93"/>
    <w:rsid w:val="00C27A9B"/>
    <w:rsid w:val="00C27AA6"/>
    <w:rsid w:val="00C27AB0"/>
    <w:rsid w:val="00C27ACC"/>
    <w:rsid w:val="00C27AD1"/>
    <w:rsid w:val="00C27ADD"/>
    <w:rsid w:val="00C27B52"/>
    <w:rsid w:val="00C27BD1"/>
    <w:rsid w:val="00C27C76"/>
    <w:rsid w:val="00C27C86"/>
    <w:rsid w:val="00C27CE9"/>
    <w:rsid w:val="00C27CF7"/>
    <w:rsid w:val="00C27D6E"/>
    <w:rsid w:val="00C27E0D"/>
    <w:rsid w:val="00C27E16"/>
    <w:rsid w:val="00C27E44"/>
    <w:rsid w:val="00C27EDE"/>
    <w:rsid w:val="00C27EDF"/>
    <w:rsid w:val="00C27F5C"/>
    <w:rsid w:val="00C27F6A"/>
    <w:rsid w:val="00C27F77"/>
    <w:rsid w:val="00C27FDF"/>
    <w:rsid w:val="00C27FF9"/>
    <w:rsid w:val="00C3002C"/>
    <w:rsid w:val="00C30068"/>
    <w:rsid w:val="00C30081"/>
    <w:rsid w:val="00C30087"/>
    <w:rsid w:val="00C300C3"/>
    <w:rsid w:val="00C30118"/>
    <w:rsid w:val="00C30127"/>
    <w:rsid w:val="00C301CE"/>
    <w:rsid w:val="00C301EB"/>
    <w:rsid w:val="00C30211"/>
    <w:rsid w:val="00C3023D"/>
    <w:rsid w:val="00C3024C"/>
    <w:rsid w:val="00C3027F"/>
    <w:rsid w:val="00C302D8"/>
    <w:rsid w:val="00C302DF"/>
    <w:rsid w:val="00C3031A"/>
    <w:rsid w:val="00C3031E"/>
    <w:rsid w:val="00C303F1"/>
    <w:rsid w:val="00C30415"/>
    <w:rsid w:val="00C3047A"/>
    <w:rsid w:val="00C30488"/>
    <w:rsid w:val="00C30494"/>
    <w:rsid w:val="00C3049E"/>
    <w:rsid w:val="00C304E6"/>
    <w:rsid w:val="00C30510"/>
    <w:rsid w:val="00C3057D"/>
    <w:rsid w:val="00C305C8"/>
    <w:rsid w:val="00C30650"/>
    <w:rsid w:val="00C30742"/>
    <w:rsid w:val="00C30747"/>
    <w:rsid w:val="00C3075D"/>
    <w:rsid w:val="00C307D2"/>
    <w:rsid w:val="00C307D3"/>
    <w:rsid w:val="00C30869"/>
    <w:rsid w:val="00C308B4"/>
    <w:rsid w:val="00C30905"/>
    <w:rsid w:val="00C3095D"/>
    <w:rsid w:val="00C30976"/>
    <w:rsid w:val="00C309E1"/>
    <w:rsid w:val="00C30A31"/>
    <w:rsid w:val="00C30A6E"/>
    <w:rsid w:val="00C30C9D"/>
    <w:rsid w:val="00C30D0F"/>
    <w:rsid w:val="00C30D59"/>
    <w:rsid w:val="00C30D97"/>
    <w:rsid w:val="00C30DD3"/>
    <w:rsid w:val="00C30DE2"/>
    <w:rsid w:val="00C30DEC"/>
    <w:rsid w:val="00C30F8B"/>
    <w:rsid w:val="00C30F95"/>
    <w:rsid w:val="00C30FBD"/>
    <w:rsid w:val="00C3103A"/>
    <w:rsid w:val="00C3103D"/>
    <w:rsid w:val="00C31040"/>
    <w:rsid w:val="00C31052"/>
    <w:rsid w:val="00C31072"/>
    <w:rsid w:val="00C31074"/>
    <w:rsid w:val="00C310A4"/>
    <w:rsid w:val="00C310C0"/>
    <w:rsid w:val="00C311C3"/>
    <w:rsid w:val="00C312DB"/>
    <w:rsid w:val="00C31344"/>
    <w:rsid w:val="00C31361"/>
    <w:rsid w:val="00C31477"/>
    <w:rsid w:val="00C314E3"/>
    <w:rsid w:val="00C314E6"/>
    <w:rsid w:val="00C3152B"/>
    <w:rsid w:val="00C3157B"/>
    <w:rsid w:val="00C315AB"/>
    <w:rsid w:val="00C3165C"/>
    <w:rsid w:val="00C31751"/>
    <w:rsid w:val="00C3179E"/>
    <w:rsid w:val="00C317BD"/>
    <w:rsid w:val="00C317C4"/>
    <w:rsid w:val="00C31800"/>
    <w:rsid w:val="00C3183B"/>
    <w:rsid w:val="00C3186E"/>
    <w:rsid w:val="00C318B4"/>
    <w:rsid w:val="00C318D3"/>
    <w:rsid w:val="00C31991"/>
    <w:rsid w:val="00C319B5"/>
    <w:rsid w:val="00C319F1"/>
    <w:rsid w:val="00C31A0A"/>
    <w:rsid w:val="00C31A21"/>
    <w:rsid w:val="00C31A6C"/>
    <w:rsid w:val="00C31A8C"/>
    <w:rsid w:val="00C31AC8"/>
    <w:rsid w:val="00C31B03"/>
    <w:rsid w:val="00C31B7D"/>
    <w:rsid w:val="00C31B8B"/>
    <w:rsid w:val="00C31BB9"/>
    <w:rsid w:val="00C31BDA"/>
    <w:rsid w:val="00C31C0C"/>
    <w:rsid w:val="00C31CCD"/>
    <w:rsid w:val="00C31CD4"/>
    <w:rsid w:val="00C31CDB"/>
    <w:rsid w:val="00C31DC2"/>
    <w:rsid w:val="00C31E74"/>
    <w:rsid w:val="00C31F15"/>
    <w:rsid w:val="00C31FAB"/>
    <w:rsid w:val="00C31FC3"/>
    <w:rsid w:val="00C31FDD"/>
    <w:rsid w:val="00C31FF1"/>
    <w:rsid w:val="00C32015"/>
    <w:rsid w:val="00C320C2"/>
    <w:rsid w:val="00C32174"/>
    <w:rsid w:val="00C321B8"/>
    <w:rsid w:val="00C321D6"/>
    <w:rsid w:val="00C321D8"/>
    <w:rsid w:val="00C321DB"/>
    <w:rsid w:val="00C3225E"/>
    <w:rsid w:val="00C3229B"/>
    <w:rsid w:val="00C322B9"/>
    <w:rsid w:val="00C3231C"/>
    <w:rsid w:val="00C32398"/>
    <w:rsid w:val="00C324AD"/>
    <w:rsid w:val="00C32558"/>
    <w:rsid w:val="00C32588"/>
    <w:rsid w:val="00C325C8"/>
    <w:rsid w:val="00C32613"/>
    <w:rsid w:val="00C3261D"/>
    <w:rsid w:val="00C3263B"/>
    <w:rsid w:val="00C3263F"/>
    <w:rsid w:val="00C326BC"/>
    <w:rsid w:val="00C32766"/>
    <w:rsid w:val="00C32875"/>
    <w:rsid w:val="00C32882"/>
    <w:rsid w:val="00C3288C"/>
    <w:rsid w:val="00C3292E"/>
    <w:rsid w:val="00C32936"/>
    <w:rsid w:val="00C32946"/>
    <w:rsid w:val="00C32950"/>
    <w:rsid w:val="00C32A57"/>
    <w:rsid w:val="00C32AA6"/>
    <w:rsid w:val="00C32ADC"/>
    <w:rsid w:val="00C32AF3"/>
    <w:rsid w:val="00C32B0A"/>
    <w:rsid w:val="00C32C16"/>
    <w:rsid w:val="00C32C51"/>
    <w:rsid w:val="00C32CC9"/>
    <w:rsid w:val="00C32CF1"/>
    <w:rsid w:val="00C32D18"/>
    <w:rsid w:val="00C32D33"/>
    <w:rsid w:val="00C32D77"/>
    <w:rsid w:val="00C32D8F"/>
    <w:rsid w:val="00C32DB0"/>
    <w:rsid w:val="00C32E1A"/>
    <w:rsid w:val="00C32F92"/>
    <w:rsid w:val="00C32FCD"/>
    <w:rsid w:val="00C3301D"/>
    <w:rsid w:val="00C33038"/>
    <w:rsid w:val="00C33084"/>
    <w:rsid w:val="00C3308C"/>
    <w:rsid w:val="00C330A5"/>
    <w:rsid w:val="00C330B4"/>
    <w:rsid w:val="00C330DF"/>
    <w:rsid w:val="00C33122"/>
    <w:rsid w:val="00C33131"/>
    <w:rsid w:val="00C3314B"/>
    <w:rsid w:val="00C331B1"/>
    <w:rsid w:val="00C3321A"/>
    <w:rsid w:val="00C33247"/>
    <w:rsid w:val="00C33265"/>
    <w:rsid w:val="00C3341B"/>
    <w:rsid w:val="00C33456"/>
    <w:rsid w:val="00C334FE"/>
    <w:rsid w:val="00C33534"/>
    <w:rsid w:val="00C33561"/>
    <w:rsid w:val="00C33564"/>
    <w:rsid w:val="00C33569"/>
    <w:rsid w:val="00C33599"/>
    <w:rsid w:val="00C335A2"/>
    <w:rsid w:val="00C335C2"/>
    <w:rsid w:val="00C335D7"/>
    <w:rsid w:val="00C33642"/>
    <w:rsid w:val="00C33684"/>
    <w:rsid w:val="00C336E8"/>
    <w:rsid w:val="00C337BC"/>
    <w:rsid w:val="00C33800"/>
    <w:rsid w:val="00C3391A"/>
    <w:rsid w:val="00C339BE"/>
    <w:rsid w:val="00C339BF"/>
    <w:rsid w:val="00C33A1D"/>
    <w:rsid w:val="00C33A7B"/>
    <w:rsid w:val="00C33AB3"/>
    <w:rsid w:val="00C33B42"/>
    <w:rsid w:val="00C33C5C"/>
    <w:rsid w:val="00C33CBB"/>
    <w:rsid w:val="00C33CC8"/>
    <w:rsid w:val="00C33CDD"/>
    <w:rsid w:val="00C33D3A"/>
    <w:rsid w:val="00C33D5C"/>
    <w:rsid w:val="00C33E11"/>
    <w:rsid w:val="00C33F57"/>
    <w:rsid w:val="00C33F5B"/>
    <w:rsid w:val="00C33F5C"/>
    <w:rsid w:val="00C33F9E"/>
    <w:rsid w:val="00C33FF2"/>
    <w:rsid w:val="00C33FFB"/>
    <w:rsid w:val="00C3400A"/>
    <w:rsid w:val="00C34080"/>
    <w:rsid w:val="00C3410E"/>
    <w:rsid w:val="00C34164"/>
    <w:rsid w:val="00C341A3"/>
    <w:rsid w:val="00C341D0"/>
    <w:rsid w:val="00C341EA"/>
    <w:rsid w:val="00C3420B"/>
    <w:rsid w:val="00C342FB"/>
    <w:rsid w:val="00C343A2"/>
    <w:rsid w:val="00C34436"/>
    <w:rsid w:val="00C34515"/>
    <w:rsid w:val="00C34582"/>
    <w:rsid w:val="00C345B8"/>
    <w:rsid w:val="00C3462E"/>
    <w:rsid w:val="00C346AD"/>
    <w:rsid w:val="00C34717"/>
    <w:rsid w:val="00C3472A"/>
    <w:rsid w:val="00C34736"/>
    <w:rsid w:val="00C34839"/>
    <w:rsid w:val="00C348EA"/>
    <w:rsid w:val="00C349B0"/>
    <w:rsid w:val="00C349D3"/>
    <w:rsid w:val="00C34A2B"/>
    <w:rsid w:val="00C34A45"/>
    <w:rsid w:val="00C34A5D"/>
    <w:rsid w:val="00C34AA4"/>
    <w:rsid w:val="00C34ABD"/>
    <w:rsid w:val="00C34C2F"/>
    <w:rsid w:val="00C34CDE"/>
    <w:rsid w:val="00C34CF2"/>
    <w:rsid w:val="00C34D61"/>
    <w:rsid w:val="00C34EFB"/>
    <w:rsid w:val="00C34F9F"/>
    <w:rsid w:val="00C34FCF"/>
    <w:rsid w:val="00C350CA"/>
    <w:rsid w:val="00C350CF"/>
    <w:rsid w:val="00C350E6"/>
    <w:rsid w:val="00C350E9"/>
    <w:rsid w:val="00C350F9"/>
    <w:rsid w:val="00C35157"/>
    <w:rsid w:val="00C35199"/>
    <w:rsid w:val="00C351A4"/>
    <w:rsid w:val="00C351AE"/>
    <w:rsid w:val="00C35222"/>
    <w:rsid w:val="00C3527F"/>
    <w:rsid w:val="00C35381"/>
    <w:rsid w:val="00C3538B"/>
    <w:rsid w:val="00C353B4"/>
    <w:rsid w:val="00C353BD"/>
    <w:rsid w:val="00C353CF"/>
    <w:rsid w:val="00C353D0"/>
    <w:rsid w:val="00C353F9"/>
    <w:rsid w:val="00C35443"/>
    <w:rsid w:val="00C35462"/>
    <w:rsid w:val="00C3547A"/>
    <w:rsid w:val="00C3547B"/>
    <w:rsid w:val="00C35495"/>
    <w:rsid w:val="00C3558A"/>
    <w:rsid w:val="00C355A8"/>
    <w:rsid w:val="00C3563E"/>
    <w:rsid w:val="00C356A2"/>
    <w:rsid w:val="00C356CB"/>
    <w:rsid w:val="00C356D8"/>
    <w:rsid w:val="00C356E4"/>
    <w:rsid w:val="00C356EE"/>
    <w:rsid w:val="00C35721"/>
    <w:rsid w:val="00C35752"/>
    <w:rsid w:val="00C3578E"/>
    <w:rsid w:val="00C357C1"/>
    <w:rsid w:val="00C35828"/>
    <w:rsid w:val="00C35830"/>
    <w:rsid w:val="00C35882"/>
    <w:rsid w:val="00C358D5"/>
    <w:rsid w:val="00C35907"/>
    <w:rsid w:val="00C35919"/>
    <w:rsid w:val="00C35935"/>
    <w:rsid w:val="00C3594C"/>
    <w:rsid w:val="00C359C7"/>
    <w:rsid w:val="00C359D9"/>
    <w:rsid w:val="00C35ACB"/>
    <w:rsid w:val="00C35AFD"/>
    <w:rsid w:val="00C35BE1"/>
    <w:rsid w:val="00C35C03"/>
    <w:rsid w:val="00C35C52"/>
    <w:rsid w:val="00C35C76"/>
    <w:rsid w:val="00C35D6F"/>
    <w:rsid w:val="00C35D77"/>
    <w:rsid w:val="00C35DDC"/>
    <w:rsid w:val="00C35E2E"/>
    <w:rsid w:val="00C35E3E"/>
    <w:rsid w:val="00C35E6D"/>
    <w:rsid w:val="00C35E91"/>
    <w:rsid w:val="00C35F58"/>
    <w:rsid w:val="00C35F8E"/>
    <w:rsid w:val="00C36031"/>
    <w:rsid w:val="00C360B8"/>
    <w:rsid w:val="00C3621D"/>
    <w:rsid w:val="00C36225"/>
    <w:rsid w:val="00C362D8"/>
    <w:rsid w:val="00C362E0"/>
    <w:rsid w:val="00C362FE"/>
    <w:rsid w:val="00C363C5"/>
    <w:rsid w:val="00C36528"/>
    <w:rsid w:val="00C3655E"/>
    <w:rsid w:val="00C36615"/>
    <w:rsid w:val="00C36627"/>
    <w:rsid w:val="00C3669E"/>
    <w:rsid w:val="00C366BF"/>
    <w:rsid w:val="00C367C4"/>
    <w:rsid w:val="00C368E2"/>
    <w:rsid w:val="00C36973"/>
    <w:rsid w:val="00C369DF"/>
    <w:rsid w:val="00C36A09"/>
    <w:rsid w:val="00C36A46"/>
    <w:rsid w:val="00C36ABB"/>
    <w:rsid w:val="00C36BA1"/>
    <w:rsid w:val="00C36C84"/>
    <w:rsid w:val="00C36C87"/>
    <w:rsid w:val="00C36D65"/>
    <w:rsid w:val="00C36D82"/>
    <w:rsid w:val="00C36DE6"/>
    <w:rsid w:val="00C36E29"/>
    <w:rsid w:val="00C36E94"/>
    <w:rsid w:val="00C36F02"/>
    <w:rsid w:val="00C36F59"/>
    <w:rsid w:val="00C36FAC"/>
    <w:rsid w:val="00C37008"/>
    <w:rsid w:val="00C37056"/>
    <w:rsid w:val="00C37068"/>
    <w:rsid w:val="00C370D6"/>
    <w:rsid w:val="00C370E6"/>
    <w:rsid w:val="00C370F6"/>
    <w:rsid w:val="00C371DB"/>
    <w:rsid w:val="00C371ED"/>
    <w:rsid w:val="00C371F6"/>
    <w:rsid w:val="00C3723C"/>
    <w:rsid w:val="00C3725E"/>
    <w:rsid w:val="00C37275"/>
    <w:rsid w:val="00C372C1"/>
    <w:rsid w:val="00C37316"/>
    <w:rsid w:val="00C373AD"/>
    <w:rsid w:val="00C3757A"/>
    <w:rsid w:val="00C375A2"/>
    <w:rsid w:val="00C37630"/>
    <w:rsid w:val="00C3763B"/>
    <w:rsid w:val="00C37680"/>
    <w:rsid w:val="00C3769C"/>
    <w:rsid w:val="00C376F4"/>
    <w:rsid w:val="00C3770C"/>
    <w:rsid w:val="00C37715"/>
    <w:rsid w:val="00C37751"/>
    <w:rsid w:val="00C377B0"/>
    <w:rsid w:val="00C37800"/>
    <w:rsid w:val="00C37824"/>
    <w:rsid w:val="00C378BD"/>
    <w:rsid w:val="00C378E7"/>
    <w:rsid w:val="00C378F6"/>
    <w:rsid w:val="00C37A4B"/>
    <w:rsid w:val="00C37A79"/>
    <w:rsid w:val="00C37B07"/>
    <w:rsid w:val="00C37B60"/>
    <w:rsid w:val="00C37BE2"/>
    <w:rsid w:val="00C37BF4"/>
    <w:rsid w:val="00C37C1C"/>
    <w:rsid w:val="00C37CBA"/>
    <w:rsid w:val="00C37D05"/>
    <w:rsid w:val="00C37D15"/>
    <w:rsid w:val="00C37D48"/>
    <w:rsid w:val="00C37D7E"/>
    <w:rsid w:val="00C37DD5"/>
    <w:rsid w:val="00C37E42"/>
    <w:rsid w:val="00C37E9A"/>
    <w:rsid w:val="00C37EB4"/>
    <w:rsid w:val="00C37FD0"/>
    <w:rsid w:val="00C40040"/>
    <w:rsid w:val="00C4009F"/>
    <w:rsid w:val="00C400C8"/>
    <w:rsid w:val="00C401C4"/>
    <w:rsid w:val="00C4020F"/>
    <w:rsid w:val="00C402BA"/>
    <w:rsid w:val="00C4034C"/>
    <w:rsid w:val="00C40378"/>
    <w:rsid w:val="00C403A2"/>
    <w:rsid w:val="00C40412"/>
    <w:rsid w:val="00C404C7"/>
    <w:rsid w:val="00C404D3"/>
    <w:rsid w:val="00C40591"/>
    <w:rsid w:val="00C40592"/>
    <w:rsid w:val="00C405D7"/>
    <w:rsid w:val="00C405D8"/>
    <w:rsid w:val="00C40649"/>
    <w:rsid w:val="00C406B7"/>
    <w:rsid w:val="00C406E0"/>
    <w:rsid w:val="00C406E6"/>
    <w:rsid w:val="00C406FF"/>
    <w:rsid w:val="00C40758"/>
    <w:rsid w:val="00C4084F"/>
    <w:rsid w:val="00C40887"/>
    <w:rsid w:val="00C408D1"/>
    <w:rsid w:val="00C408DB"/>
    <w:rsid w:val="00C40903"/>
    <w:rsid w:val="00C409AF"/>
    <w:rsid w:val="00C40AC7"/>
    <w:rsid w:val="00C40AE7"/>
    <w:rsid w:val="00C40B0A"/>
    <w:rsid w:val="00C40B37"/>
    <w:rsid w:val="00C40B67"/>
    <w:rsid w:val="00C40B8B"/>
    <w:rsid w:val="00C40B91"/>
    <w:rsid w:val="00C40BAB"/>
    <w:rsid w:val="00C40CB5"/>
    <w:rsid w:val="00C40D2F"/>
    <w:rsid w:val="00C40D8C"/>
    <w:rsid w:val="00C40DD7"/>
    <w:rsid w:val="00C40EB9"/>
    <w:rsid w:val="00C40FA6"/>
    <w:rsid w:val="00C40FE2"/>
    <w:rsid w:val="00C41021"/>
    <w:rsid w:val="00C41124"/>
    <w:rsid w:val="00C411E8"/>
    <w:rsid w:val="00C41206"/>
    <w:rsid w:val="00C41256"/>
    <w:rsid w:val="00C41258"/>
    <w:rsid w:val="00C412D9"/>
    <w:rsid w:val="00C413AA"/>
    <w:rsid w:val="00C41418"/>
    <w:rsid w:val="00C41420"/>
    <w:rsid w:val="00C41433"/>
    <w:rsid w:val="00C41457"/>
    <w:rsid w:val="00C41464"/>
    <w:rsid w:val="00C41566"/>
    <w:rsid w:val="00C41595"/>
    <w:rsid w:val="00C41646"/>
    <w:rsid w:val="00C416BB"/>
    <w:rsid w:val="00C4172B"/>
    <w:rsid w:val="00C4190B"/>
    <w:rsid w:val="00C41950"/>
    <w:rsid w:val="00C4198A"/>
    <w:rsid w:val="00C41A97"/>
    <w:rsid w:val="00C41B77"/>
    <w:rsid w:val="00C41CA5"/>
    <w:rsid w:val="00C41CD5"/>
    <w:rsid w:val="00C41CD6"/>
    <w:rsid w:val="00C41CD7"/>
    <w:rsid w:val="00C41CFB"/>
    <w:rsid w:val="00C41D21"/>
    <w:rsid w:val="00C41D56"/>
    <w:rsid w:val="00C41D9B"/>
    <w:rsid w:val="00C41DC1"/>
    <w:rsid w:val="00C41E6C"/>
    <w:rsid w:val="00C41E7C"/>
    <w:rsid w:val="00C41E98"/>
    <w:rsid w:val="00C41F46"/>
    <w:rsid w:val="00C420B0"/>
    <w:rsid w:val="00C420DA"/>
    <w:rsid w:val="00C42128"/>
    <w:rsid w:val="00C4227C"/>
    <w:rsid w:val="00C422CD"/>
    <w:rsid w:val="00C42323"/>
    <w:rsid w:val="00C423C9"/>
    <w:rsid w:val="00C423CC"/>
    <w:rsid w:val="00C42424"/>
    <w:rsid w:val="00C4242D"/>
    <w:rsid w:val="00C4248B"/>
    <w:rsid w:val="00C4264A"/>
    <w:rsid w:val="00C42698"/>
    <w:rsid w:val="00C42840"/>
    <w:rsid w:val="00C428F0"/>
    <w:rsid w:val="00C42950"/>
    <w:rsid w:val="00C42963"/>
    <w:rsid w:val="00C4297E"/>
    <w:rsid w:val="00C42996"/>
    <w:rsid w:val="00C42AEA"/>
    <w:rsid w:val="00C42AED"/>
    <w:rsid w:val="00C42B04"/>
    <w:rsid w:val="00C42B90"/>
    <w:rsid w:val="00C42BDA"/>
    <w:rsid w:val="00C42C06"/>
    <w:rsid w:val="00C42C17"/>
    <w:rsid w:val="00C42C54"/>
    <w:rsid w:val="00C42C56"/>
    <w:rsid w:val="00C42D16"/>
    <w:rsid w:val="00C42D26"/>
    <w:rsid w:val="00C42D6D"/>
    <w:rsid w:val="00C42D8D"/>
    <w:rsid w:val="00C42E16"/>
    <w:rsid w:val="00C42E34"/>
    <w:rsid w:val="00C42EB6"/>
    <w:rsid w:val="00C42FD7"/>
    <w:rsid w:val="00C43150"/>
    <w:rsid w:val="00C4322D"/>
    <w:rsid w:val="00C43258"/>
    <w:rsid w:val="00C43280"/>
    <w:rsid w:val="00C4332C"/>
    <w:rsid w:val="00C43331"/>
    <w:rsid w:val="00C433A0"/>
    <w:rsid w:val="00C434DE"/>
    <w:rsid w:val="00C436C8"/>
    <w:rsid w:val="00C436CD"/>
    <w:rsid w:val="00C436DE"/>
    <w:rsid w:val="00C43726"/>
    <w:rsid w:val="00C43748"/>
    <w:rsid w:val="00C43787"/>
    <w:rsid w:val="00C43858"/>
    <w:rsid w:val="00C438A7"/>
    <w:rsid w:val="00C438B4"/>
    <w:rsid w:val="00C43947"/>
    <w:rsid w:val="00C439A9"/>
    <w:rsid w:val="00C439C0"/>
    <w:rsid w:val="00C439CB"/>
    <w:rsid w:val="00C439CF"/>
    <w:rsid w:val="00C43A23"/>
    <w:rsid w:val="00C43A83"/>
    <w:rsid w:val="00C43AAC"/>
    <w:rsid w:val="00C43AC1"/>
    <w:rsid w:val="00C43AEC"/>
    <w:rsid w:val="00C43B47"/>
    <w:rsid w:val="00C43BC0"/>
    <w:rsid w:val="00C43BF9"/>
    <w:rsid w:val="00C43C23"/>
    <w:rsid w:val="00C43C2D"/>
    <w:rsid w:val="00C43C2E"/>
    <w:rsid w:val="00C43C5A"/>
    <w:rsid w:val="00C43D0E"/>
    <w:rsid w:val="00C43D33"/>
    <w:rsid w:val="00C43E04"/>
    <w:rsid w:val="00C43E23"/>
    <w:rsid w:val="00C43EEA"/>
    <w:rsid w:val="00C43F0D"/>
    <w:rsid w:val="00C43F4D"/>
    <w:rsid w:val="00C43F99"/>
    <w:rsid w:val="00C43F9B"/>
    <w:rsid w:val="00C43FFD"/>
    <w:rsid w:val="00C44018"/>
    <w:rsid w:val="00C44050"/>
    <w:rsid w:val="00C44060"/>
    <w:rsid w:val="00C441EC"/>
    <w:rsid w:val="00C4420D"/>
    <w:rsid w:val="00C4422A"/>
    <w:rsid w:val="00C442E2"/>
    <w:rsid w:val="00C44334"/>
    <w:rsid w:val="00C4435E"/>
    <w:rsid w:val="00C44387"/>
    <w:rsid w:val="00C444A0"/>
    <w:rsid w:val="00C444AA"/>
    <w:rsid w:val="00C444F9"/>
    <w:rsid w:val="00C44557"/>
    <w:rsid w:val="00C445F7"/>
    <w:rsid w:val="00C44605"/>
    <w:rsid w:val="00C44618"/>
    <w:rsid w:val="00C44648"/>
    <w:rsid w:val="00C4466C"/>
    <w:rsid w:val="00C446CA"/>
    <w:rsid w:val="00C446D8"/>
    <w:rsid w:val="00C446F0"/>
    <w:rsid w:val="00C447EC"/>
    <w:rsid w:val="00C4488F"/>
    <w:rsid w:val="00C448D0"/>
    <w:rsid w:val="00C44A2A"/>
    <w:rsid w:val="00C44B28"/>
    <w:rsid w:val="00C44BF8"/>
    <w:rsid w:val="00C44C61"/>
    <w:rsid w:val="00C44CA3"/>
    <w:rsid w:val="00C44CA6"/>
    <w:rsid w:val="00C44CD3"/>
    <w:rsid w:val="00C44D40"/>
    <w:rsid w:val="00C44D6A"/>
    <w:rsid w:val="00C44E25"/>
    <w:rsid w:val="00C44E4C"/>
    <w:rsid w:val="00C44EB0"/>
    <w:rsid w:val="00C44EBF"/>
    <w:rsid w:val="00C44EEC"/>
    <w:rsid w:val="00C44F03"/>
    <w:rsid w:val="00C44F4C"/>
    <w:rsid w:val="00C44FB8"/>
    <w:rsid w:val="00C44FDC"/>
    <w:rsid w:val="00C44FE5"/>
    <w:rsid w:val="00C44FEC"/>
    <w:rsid w:val="00C4502A"/>
    <w:rsid w:val="00C4502F"/>
    <w:rsid w:val="00C4503A"/>
    <w:rsid w:val="00C45046"/>
    <w:rsid w:val="00C4504E"/>
    <w:rsid w:val="00C45062"/>
    <w:rsid w:val="00C450B1"/>
    <w:rsid w:val="00C450E8"/>
    <w:rsid w:val="00C45139"/>
    <w:rsid w:val="00C45183"/>
    <w:rsid w:val="00C45194"/>
    <w:rsid w:val="00C451B1"/>
    <w:rsid w:val="00C451D1"/>
    <w:rsid w:val="00C4526D"/>
    <w:rsid w:val="00C4531B"/>
    <w:rsid w:val="00C45325"/>
    <w:rsid w:val="00C4535D"/>
    <w:rsid w:val="00C45379"/>
    <w:rsid w:val="00C453A1"/>
    <w:rsid w:val="00C454CC"/>
    <w:rsid w:val="00C454E9"/>
    <w:rsid w:val="00C454EA"/>
    <w:rsid w:val="00C45503"/>
    <w:rsid w:val="00C45510"/>
    <w:rsid w:val="00C4558B"/>
    <w:rsid w:val="00C455C1"/>
    <w:rsid w:val="00C45619"/>
    <w:rsid w:val="00C45659"/>
    <w:rsid w:val="00C45688"/>
    <w:rsid w:val="00C456D0"/>
    <w:rsid w:val="00C456F0"/>
    <w:rsid w:val="00C45727"/>
    <w:rsid w:val="00C45750"/>
    <w:rsid w:val="00C457BA"/>
    <w:rsid w:val="00C457BE"/>
    <w:rsid w:val="00C457F5"/>
    <w:rsid w:val="00C45840"/>
    <w:rsid w:val="00C459D6"/>
    <w:rsid w:val="00C45A5E"/>
    <w:rsid w:val="00C45A7F"/>
    <w:rsid w:val="00C45A81"/>
    <w:rsid w:val="00C45A9F"/>
    <w:rsid w:val="00C45AE6"/>
    <w:rsid w:val="00C45B7A"/>
    <w:rsid w:val="00C45BB0"/>
    <w:rsid w:val="00C45BF0"/>
    <w:rsid w:val="00C45C15"/>
    <w:rsid w:val="00C45C17"/>
    <w:rsid w:val="00C45C77"/>
    <w:rsid w:val="00C45C8D"/>
    <w:rsid w:val="00C45C93"/>
    <w:rsid w:val="00C45DFC"/>
    <w:rsid w:val="00C45E2C"/>
    <w:rsid w:val="00C45E75"/>
    <w:rsid w:val="00C45F4E"/>
    <w:rsid w:val="00C45F7F"/>
    <w:rsid w:val="00C45FD0"/>
    <w:rsid w:val="00C460E4"/>
    <w:rsid w:val="00C461C3"/>
    <w:rsid w:val="00C4622D"/>
    <w:rsid w:val="00C46356"/>
    <w:rsid w:val="00C4636A"/>
    <w:rsid w:val="00C46433"/>
    <w:rsid w:val="00C46477"/>
    <w:rsid w:val="00C46483"/>
    <w:rsid w:val="00C465BB"/>
    <w:rsid w:val="00C465DC"/>
    <w:rsid w:val="00C465E3"/>
    <w:rsid w:val="00C46644"/>
    <w:rsid w:val="00C46667"/>
    <w:rsid w:val="00C4670D"/>
    <w:rsid w:val="00C46720"/>
    <w:rsid w:val="00C46728"/>
    <w:rsid w:val="00C4677D"/>
    <w:rsid w:val="00C467A1"/>
    <w:rsid w:val="00C467E8"/>
    <w:rsid w:val="00C46895"/>
    <w:rsid w:val="00C468B7"/>
    <w:rsid w:val="00C468EA"/>
    <w:rsid w:val="00C46907"/>
    <w:rsid w:val="00C4692C"/>
    <w:rsid w:val="00C46994"/>
    <w:rsid w:val="00C469D8"/>
    <w:rsid w:val="00C469E2"/>
    <w:rsid w:val="00C46A51"/>
    <w:rsid w:val="00C46AF9"/>
    <w:rsid w:val="00C46B49"/>
    <w:rsid w:val="00C46B98"/>
    <w:rsid w:val="00C46BD1"/>
    <w:rsid w:val="00C46D24"/>
    <w:rsid w:val="00C46D29"/>
    <w:rsid w:val="00C46D61"/>
    <w:rsid w:val="00C46D91"/>
    <w:rsid w:val="00C46DF8"/>
    <w:rsid w:val="00C46E1F"/>
    <w:rsid w:val="00C46E36"/>
    <w:rsid w:val="00C46EEB"/>
    <w:rsid w:val="00C46F92"/>
    <w:rsid w:val="00C46FA3"/>
    <w:rsid w:val="00C47033"/>
    <w:rsid w:val="00C47034"/>
    <w:rsid w:val="00C47048"/>
    <w:rsid w:val="00C4708A"/>
    <w:rsid w:val="00C470E0"/>
    <w:rsid w:val="00C470ED"/>
    <w:rsid w:val="00C470EE"/>
    <w:rsid w:val="00C471DF"/>
    <w:rsid w:val="00C47290"/>
    <w:rsid w:val="00C472FD"/>
    <w:rsid w:val="00C47307"/>
    <w:rsid w:val="00C4731B"/>
    <w:rsid w:val="00C47361"/>
    <w:rsid w:val="00C473C2"/>
    <w:rsid w:val="00C47427"/>
    <w:rsid w:val="00C47465"/>
    <w:rsid w:val="00C474A7"/>
    <w:rsid w:val="00C474D5"/>
    <w:rsid w:val="00C47512"/>
    <w:rsid w:val="00C47532"/>
    <w:rsid w:val="00C4753A"/>
    <w:rsid w:val="00C47542"/>
    <w:rsid w:val="00C47554"/>
    <w:rsid w:val="00C47574"/>
    <w:rsid w:val="00C4757B"/>
    <w:rsid w:val="00C475D9"/>
    <w:rsid w:val="00C476DE"/>
    <w:rsid w:val="00C47758"/>
    <w:rsid w:val="00C478EB"/>
    <w:rsid w:val="00C4793E"/>
    <w:rsid w:val="00C4794B"/>
    <w:rsid w:val="00C47959"/>
    <w:rsid w:val="00C47A1D"/>
    <w:rsid w:val="00C47A3C"/>
    <w:rsid w:val="00C47A95"/>
    <w:rsid w:val="00C47A9A"/>
    <w:rsid w:val="00C47AAA"/>
    <w:rsid w:val="00C47ABE"/>
    <w:rsid w:val="00C47B36"/>
    <w:rsid w:val="00C47B5B"/>
    <w:rsid w:val="00C47B9E"/>
    <w:rsid w:val="00C47BC1"/>
    <w:rsid w:val="00C47C07"/>
    <w:rsid w:val="00C47C59"/>
    <w:rsid w:val="00C47CA0"/>
    <w:rsid w:val="00C47CB0"/>
    <w:rsid w:val="00C47CFC"/>
    <w:rsid w:val="00C47D98"/>
    <w:rsid w:val="00C47D99"/>
    <w:rsid w:val="00C47DBD"/>
    <w:rsid w:val="00C47DC3"/>
    <w:rsid w:val="00C47E95"/>
    <w:rsid w:val="00C47EC4"/>
    <w:rsid w:val="00C47F44"/>
    <w:rsid w:val="00C47F47"/>
    <w:rsid w:val="00C47FA9"/>
    <w:rsid w:val="00C50018"/>
    <w:rsid w:val="00C500CA"/>
    <w:rsid w:val="00C500DD"/>
    <w:rsid w:val="00C50120"/>
    <w:rsid w:val="00C501EC"/>
    <w:rsid w:val="00C501F5"/>
    <w:rsid w:val="00C5021E"/>
    <w:rsid w:val="00C50283"/>
    <w:rsid w:val="00C50284"/>
    <w:rsid w:val="00C502C5"/>
    <w:rsid w:val="00C5031C"/>
    <w:rsid w:val="00C5037A"/>
    <w:rsid w:val="00C50398"/>
    <w:rsid w:val="00C50410"/>
    <w:rsid w:val="00C50412"/>
    <w:rsid w:val="00C5045C"/>
    <w:rsid w:val="00C50475"/>
    <w:rsid w:val="00C504AD"/>
    <w:rsid w:val="00C505C7"/>
    <w:rsid w:val="00C50619"/>
    <w:rsid w:val="00C50651"/>
    <w:rsid w:val="00C506EC"/>
    <w:rsid w:val="00C5071E"/>
    <w:rsid w:val="00C507B0"/>
    <w:rsid w:val="00C507D3"/>
    <w:rsid w:val="00C507F2"/>
    <w:rsid w:val="00C50835"/>
    <w:rsid w:val="00C50846"/>
    <w:rsid w:val="00C5087B"/>
    <w:rsid w:val="00C508A4"/>
    <w:rsid w:val="00C508D2"/>
    <w:rsid w:val="00C50926"/>
    <w:rsid w:val="00C50933"/>
    <w:rsid w:val="00C50960"/>
    <w:rsid w:val="00C5096B"/>
    <w:rsid w:val="00C50A2B"/>
    <w:rsid w:val="00C50A5C"/>
    <w:rsid w:val="00C50A77"/>
    <w:rsid w:val="00C50ADE"/>
    <w:rsid w:val="00C50AF6"/>
    <w:rsid w:val="00C50B61"/>
    <w:rsid w:val="00C50C32"/>
    <w:rsid w:val="00C50C6C"/>
    <w:rsid w:val="00C50CD9"/>
    <w:rsid w:val="00C50D10"/>
    <w:rsid w:val="00C50D20"/>
    <w:rsid w:val="00C50DB8"/>
    <w:rsid w:val="00C50DC5"/>
    <w:rsid w:val="00C50DD7"/>
    <w:rsid w:val="00C50DF9"/>
    <w:rsid w:val="00C50E10"/>
    <w:rsid w:val="00C50E2D"/>
    <w:rsid w:val="00C50E4F"/>
    <w:rsid w:val="00C50E61"/>
    <w:rsid w:val="00C50E78"/>
    <w:rsid w:val="00C50EC2"/>
    <w:rsid w:val="00C50F96"/>
    <w:rsid w:val="00C50FBB"/>
    <w:rsid w:val="00C50FC0"/>
    <w:rsid w:val="00C51067"/>
    <w:rsid w:val="00C51116"/>
    <w:rsid w:val="00C5114A"/>
    <w:rsid w:val="00C5117E"/>
    <w:rsid w:val="00C51184"/>
    <w:rsid w:val="00C5126F"/>
    <w:rsid w:val="00C512FC"/>
    <w:rsid w:val="00C51365"/>
    <w:rsid w:val="00C51366"/>
    <w:rsid w:val="00C51377"/>
    <w:rsid w:val="00C51386"/>
    <w:rsid w:val="00C513B2"/>
    <w:rsid w:val="00C513FF"/>
    <w:rsid w:val="00C5143F"/>
    <w:rsid w:val="00C514B2"/>
    <w:rsid w:val="00C51504"/>
    <w:rsid w:val="00C51560"/>
    <w:rsid w:val="00C51631"/>
    <w:rsid w:val="00C51699"/>
    <w:rsid w:val="00C516AE"/>
    <w:rsid w:val="00C5170B"/>
    <w:rsid w:val="00C51751"/>
    <w:rsid w:val="00C51757"/>
    <w:rsid w:val="00C51768"/>
    <w:rsid w:val="00C51785"/>
    <w:rsid w:val="00C518F5"/>
    <w:rsid w:val="00C51958"/>
    <w:rsid w:val="00C519DE"/>
    <w:rsid w:val="00C519E4"/>
    <w:rsid w:val="00C519EF"/>
    <w:rsid w:val="00C51A0F"/>
    <w:rsid w:val="00C51A9F"/>
    <w:rsid w:val="00C51AB6"/>
    <w:rsid w:val="00C51B4E"/>
    <w:rsid w:val="00C51B72"/>
    <w:rsid w:val="00C51BDF"/>
    <w:rsid w:val="00C51BF7"/>
    <w:rsid w:val="00C51C15"/>
    <w:rsid w:val="00C51C9D"/>
    <w:rsid w:val="00C51CD8"/>
    <w:rsid w:val="00C51D5D"/>
    <w:rsid w:val="00C51DB2"/>
    <w:rsid w:val="00C51DF1"/>
    <w:rsid w:val="00C51E25"/>
    <w:rsid w:val="00C51E4B"/>
    <w:rsid w:val="00C51E65"/>
    <w:rsid w:val="00C51F05"/>
    <w:rsid w:val="00C51F06"/>
    <w:rsid w:val="00C5204D"/>
    <w:rsid w:val="00C52097"/>
    <w:rsid w:val="00C52099"/>
    <w:rsid w:val="00C5212B"/>
    <w:rsid w:val="00C5213F"/>
    <w:rsid w:val="00C5219F"/>
    <w:rsid w:val="00C521F5"/>
    <w:rsid w:val="00C521FA"/>
    <w:rsid w:val="00C521FB"/>
    <w:rsid w:val="00C5221A"/>
    <w:rsid w:val="00C5232A"/>
    <w:rsid w:val="00C52352"/>
    <w:rsid w:val="00C523B6"/>
    <w:rsid w:val="00C523BD"/>
    <w:rsid w:val="00C5241D"/>
    <w:rsid w:val="00C5244E"/>
    <w:rsid w:val="00C5257B"/>
    <w:rsid w:val="00C5259A"/>
    <w:rsid w:val="00C525AB"/>
    <w:rsid w:val="00C525F3"/>
    <w:rsid w:val="00C5264C"/>
    <w:rsid w:val="00C5269A"/>
    <w:rsid w:val="00C526A4"/>
    <w:rsid w:val="00C526B4"/>
    <w:rsid w:val="00C526B6"/>
    <w:rsid w:val="00C526DA"/>
    <w:rsid w:val="00C526DC"/>
    <w:rsid w:val="00C5276A"/>
    <w:rsid w:val="00C527B2"/>
    <w:rsid w:val="00C527EE"/>
    <w:rsid w:val="00C52850"/>
    <w:rsid w:val="00C5285D"/>
    <w:rsid w:val="00C52929"/>
    <w:rsid w:val="00C529FD"/>
    <w:rsid w:val="00C52A3E"/>
    <w:rsid w:val="00C52AB3"/>
    <w:rsid w:val="00C52BE5"/>
    <w:rsid w:val="00C52C2D"/>
    <w:rsid w:val="00C52C4C"/>
    <w:rsid w:val="00C52CBF"/>
    <w:rsid w:val="00C52D27"/>
    <w:rsid w:val="00C52D2F"/>
    <w:rsid w:val="00C52DB1"/>
    <w:rsid w:val="00C52DB8"/>
    <w:rsid w:val="00C52E2F"/>
    <w:rsid w:val="00C52E4A"/>
    <w:rsid w:val="00C52F1E"/>
    <w:rsid w:val="00C52F33"/>
    <w:rsid w:val="00C52F58"/>
    <w:rsid w:val="00C52FC4"/>
    <w:rsid w:val="00C52FF9"/>
    <w:rsid w:val="00C53038"/>
    <w:rsid w:val="00C530F1"/>
    <w:rsid w:val="00C53107"/>
    <w:rsid w:val="00C53108"/>
    <w:rsid w:val="00C5310C"/>
    <w:rsid w:val="00C5313E"/>
    <w:rsid w:val="00C5318A"/>
    <w:rsid w:val="00C531A1"/>
    <w:rsid w:val="00C5322A"/>
    <w:rsid w:val="00C53248"/>
    <w:rsid w:val="00C532D8"/>
    <w:rsid w:val="00C533A1"/>
    <w:rsid w:val="00C533C5"/>
    <w:rsid w:val="00C53427"/>
    <w:rsid w:val="00C5344F"/>
    <w:rsid w:val="00C534BB"/>
    <w:rsid w:val="00C534C4"/>
    <w:rsid w:val="00C534F9"/>
    <w:rsid w:val="00C53501"/>
    <w:rsid w:val="00C5351F"/>
    <w:rsid w:val="00C53558"/>
    <w:rsid w:val="00C53564"/>
    <w:rsid w:val="00C53597"/>
    <w:rsid w:val="00C5359B"/>
    <w:rsid w:val="00C535A5"/>
    <w:rsid w:val="00C535A7"/>
    <w:rsid w:val="00C535D2"/>
    <w:rsid w:val="00C535DF"/>
    <w:rsid w:val="00C535E5"/>
    <w:rsid w:val="00C535E7"/>
    <w:rsid w:val="00C535F5"/>
    <w:rsid w:val="00C536D6"/>
    <w:rsid w:val="00C53770"/>
    <w:rsid w:val="00C53784"/>
    <w:rsid w:val="00C53786"/>
    <w:rsid w:val="00C537B7"/>
    <w:rsid w:val="00C537F6"/>
    <w:rsid w:val="00C5383D"/>
    <w:rsid w:val="00C53843"/>
    <w:rsid w:val="00C5387D"/>
    <w:rsid w:val="00C538BA"/>
    <w:rsid w:val="00C5392A"/>
    <w:rsid w:val="00C5393A"/>
    <w:rsid w:val="00C5396E"/>
    <w:rsid w:val="00C53A05"/>
    <w:rsid w:val="00C53A4F"/>
    <w:rsid w:val="00C53AB2"/>
    <w:rsid w:val="00C53AEC"/>
    <w:rsid w:val="00C53AF7"/>
    <w:rsid w:val="00C53B3C"/>
    <w:rsid w:val="00C53B85"/>
    <w:rsid w:val="00C53BFA"/>
    <w:rsid w:val="00C53C0B"/>
    <w:rsid w:val="00C53C27"/>
    <w:rsid w:val="00C53C3F"/>
    <w:rsid w:val="00C53CE0"/>
    <w:rsid w:val="00C53DD6"/>
    <w:rsid w:val="00C53E61"/>
    <w:rsid w:val="00C53EF6"/>
    <w:rsid w:val="00C53F6C"/>
    <w:rsid w:val="00C53FA5"/>
    <w:rsid w:val="00C53FF4"/>
    <w:rsid w:val="00C540CE"/>
    <w:rsid w:val="00C54125"/>
    <w:rsid w:val="00C54157"/>
    <w:rsid w:val="00C5417E"/>
    <w:rsid w:val="00C541CA"/>
    <w:rsid w:val="00C54210"/>
    <w:rsid w:val="00C5425B"/>
    <w:rsid w:val="00C543A4"/>
    <w:rsid w:val="00C5440A"/>
    <w:rsid w:val="00C544C4"/>
    <w:rsid w:val="00C545AB"/>
    <w:rsid w:val="00C545EC"/>
    <w:rsid w:val="00C54612"/>
    <w:rsid w:val="00C54637"/>
    <w:rsid w:val="00C5463D"/>
    <w:rsid w:val="00C54673"/>
    <w:rsid w:val="00C546C2"/>
    <w:rsid w:val="00C546E7"/>
    <w:rsid w:val="00C54740"/>
    <w:rsid w:val="00C54779"/>
    <w:rsid w:val="00C5479B"/>
    <w:rsid w:val="00C547B1"/>
    <w:rsid w:val="00C547F4"/>
    <w:rsid w:val="00C5482A"/>
    <w:rsid w:val="00C54900"/>
    <w:rsid w:val="00C54937"/>
    <w:rsid w:val="00C5497B"/>
    <w:rsid w:val="00C5499E"/>
    <w:rsid w:val="00C549EE"/>
    <w:rsid w:val="00C54A09"/>
    <w:rsid w:val="00C54A1F"/>
    <w:rsid w:val="00C54A65"/>
    <w:rsid w:val="00C54A74"/>
    <w:rsid w:val="00C54AFC"/>
    <w:rsid w:val="00C54B6E"/>
    <w:rsid w:val="00C54B85"/>
    <w:rsid w:val="00C54BE9"/>
    <w:rsid w:val="00C54BEB"/>
    <w:rsid w:val="00C54C08"/>
    <w:rsid w:val="00C54D50"/>
    <w:rsid w:val="00C54D68"/>
    <w:rsid w:val="00C54E01"/>
    <w:rsid w:val="00C54E12"/>
    <w:rsid w:val="00C54E93"/>
    <w:rsid w:val="00C54E9F"/>
    <w:rsid w:val="00C54EA6"/>
    <w:rsid w:val="00C54F94"/>
    <w:rsid w:val="00C54FCB"/>
    <w:rsid w:val="00C55022"/>
    <w:rsid w:val="00C5516C"/>
    <w:rsid w:val="00C5531B"/>
    <w:rsid w:val="00C55348"/>
    <w:rsid w:val="00C5538B"/>
    <w:rsid w:val="00C553B2"/>
    <w:rsid w:val="00C553DD"/>
    <w:rsid w:val="00C553EA"/>
    <w:rsid w:val="00C553F2"/>
    <w:rsid w:val="00C55449"/>
    <w:rsid w:val="00C554D5"/>
    <w:rsid w:val="00C55515"/>
    <w:rsid w:val="00C55534"/>
    <w:rsid w:val="00C55670"/>
    <w:rsid w:val="00C5569A"/>
    <w:rsid w:val="00C556C6"/>
    <w:rsid w:val="00C556F3"/>
    <w:rsid w:val="00C55708"/>
    <w:rsid w:val="00C5572F"/>
    <w:rsid w:val="00C55737"/>
    <w:rsid w:val="00C5576E"/>
    <w:rsid w:val="00C55826"/>
    <w:rsid w:val="00C558C3"/>
    <w:rsid w:val="00C558F8"/>
    <w:rsid w:val="00C5595E"/>
    <w:rsid w:val="00C559CA"/>
    <w:rsid w:val="00C559D1"/>
    <w:rsid w:val="00C55A5E"/>
    <w:rsid w:val="00C55A7B"/>
    <w:rsid w:val="00C55AA9"/>
    <w:rsid w:val="00C55AD1"/>
    <w:rsid w:val="00C55AEE"/>
    <w:rsid w:val="00C55B26"/>
    <w:rsid w:val="00C55B3D"/>
    <w:rsid w:val="00C55B71"/>
    <w:rsid w:val="00C55BC2"/>
    <w:rsid w:val="00C55BFC"/>
    <w:rsid w:val="00C55C57"/>
    <w:rsid w:val="00C55C61"/>
    <w:rsid w:val="00C55C7D"/>
    <w:rsid w:val="00C55CDF"/>
    <w:rsid w:val="00C55D74"/>
    <w:rsid w:val="00C55DA4"/>
    <w:rsid w:val="00C55DCC"/>
    <w:rsid w:val="00C55DF3"/>
    <w:rsid w:val="00C55E33"/>
    <w:rsid w:val="00C55F44"/>
    <w:rsid w:val="00C55F6B"/>
    <w:rsid w:val="00C55F8D"/>
    <w:rsid w:val="00C55FF5"/>
    <w:rsid w:val="00C56052"/>
    <w:rsid w:val="00C56078"/>
    <w:rsid w:val="00C56087"/>
    <w:rsid w:val="00C5608C"/>
    <w:rsid w:val="00C560D7"/>
    <w:rsid w:val="00C560F2"/>
    <w:rsid w:val="00C5616C"/>
    <w:rsid w:val="00C561D0"/>
    <w:rsid w:val="00C561D8"/>
    <w:rsid w:val="00C561E4"/>
    <w:rsid w:val="00C561FF"/>
    <w:rsid w:val="00C5620F"/>
    <w:rsid w:val="00C56289"/>
    <w:rsid w:val="00C562A3"/>
    <w:rsid w:val="00C562B7"/>
    <w:rsid w:val="00C56320"/>
    <w:rsid w:val="00C56367"/>
    <w:rsid w:val="00C5638F"/>
    <w:rsid w:val="00C563B6"/>
    <w:rsid w:val="00C563B7"/>
    <w:rsid w:val="00C5645B"/>
    <w:rsid w:val="00C56474"/>
    <w:rsid w:val="00C5653E"/>
    <w:rsid w:val="00C5654E"/>
    <w:rsid w:val="00C5659B"/>
    <w:rsid w:val="00C565BF"/>
    <w:rsid w:val="00C565C5"/>
    <w:rsid w:val="00C565F4"/>
    <w:rsid w:val="00C56603"/>
    <w:rsid w:val="00C566C8"/>
    <w:rsid w:val="00C5673B"/>
    <w:rsid w:val="00C56757"/>
    <w:rsid w:val="00C567B3"/>
    <w:rsid w:val="00C567DF"/>
    <w:rsid w:val="00C5681C"/>
    <w:rsid w:val="00C56859"/>
    <w:rsid w:val="00C568E8"/>
    <w:rsid w:val="00C56926"/>
    <w:rsid w:val="00C569CF"/>
    <w:rsid w:val="00C56A05"/>
    <w:rsid w:val="00C56A17"/>
    <w:rsid w:val="00C56A3F"/>
    <w:rsid w:val="00C56A99"/>
    <w:rsid w:val="00C56BA8"/>
    <w:rsid w:val="00C56C65"/>
    <w:rsid w:val="00C56CC1"/>
    <w:rsid w:val="00C56E42"/>
    <w:rsid w:val="00C56E8F"/>
    <w:rsid w:val="00C56F2A"/>
    <w:rsid w:val="00C56F5C"/>
    <w:rsid w:val="00C56F63"/>
    <w:rsid w:val="00C56FCB"/>
    <w:rsid w:val="00C57079"/>
    <w:rsid w:val="00C570E2"/>
    <w:rsid w:val="00C57135"/>
    <w:rsid w:val="00C57272"/>
    <w:rsid w:val="00C572F0"/>
    <w:rsid w:val="00C57389"/>
    <w:rsid w:val="00C5738E"/>
    <w:rsid w:val="00C573BE"/>
    <w:rsid w:val="00C57435"/>
    <w:rsid w:val="00C57456"/>
    <w:rsid w:val="00C57483"/>
    <w:rsid w:val="00C574CA"/>
    <w:rsid w:val="00C574D0"/>
    <w:rsid w:val="00C574FD"/>
    <w:rsid w:val="00C57530"/>
    <w:rsid w:val="00C5754A"/>
    <w:rsid w:val="00C5755B"/>
    <w:rsid w:val="00C57560"/>
    <w:rsid w:val="00C57565"/>
    <w:rsid w:val="00C5757F"/>
    <w:rsid w:val="00C575D0"/>
    <w:rsid w:val="00C5784D"/>
    <w:rsid w:val="00C578AC"/>
    <w:rsid w:val="00C57932"/>
    <w:rsid w:val="00C579D6"/>
    <w:rsid w:val="00C57A18"/>
    <w:rsid w:val="00C57B34"/>
    <w:rsid w:val="00C57B36"/>
    <w:rsid w:val="00C57B44"/>
    <w:rsid w:val="00C57B9B"/>
    <w:rsid w:val="00C57C69"/>
    <w:rsid w:val="00C57CA7"/>
    <w:rsid w:val="00C57CC3"/>
    <w:rsid w:val="00C57CC6"/>
    <w:rsid w:val="00C57CC7"/>
    <w:rsid w:val="00C57CF9"/>
    <w:rsid w:val="00C57D39"/>
    <w:rsid w:val="00C57D72"/>
    <w:rsid w:val="00C57D84"/>
    <w:rsid w:val="00C57DC2"/>
    <w:rsid w:val="00C57E59"/>
    <w:rsid w:val="00C57E69"/>
    <w:rsid w:val="00C57F0E"/>
    <w:rsid w:val="00C57F6F"/>
    <w:rsid w:val="00C60074"/>
    <w:rsid w:val="00C6010E"/>
    <w:rsid w:val="00C601D2"/>
    <w:rsid w:val="00C60224"/>
    <w:rsid w:val="00C602AA"/>
    <w:rsid w:val="00C602BF"/>
    <w:rsid w:val="00C602D1"/>
    <w:rsid w:val="00C602E6"/>
    <w:rsid w:val="00C602FE"/>
    <w:rsid w:val="00C603AC"/>
    <w:rsid w:val="00C603D4"/>
    <w:rsid w:val="00C60431"/>
    <w:rsid w:val="00C60471"/>
    <w:rsid w:val="00C6061E"/>
    <w:rsid w:val="00C6063B"/>
    <w:rsid w:val="00C606CB"/>
    <w:rsid w:val="00C606EC"/>
    <w:rsid w:val="00C60772"/>
    <w:rsid w:val="00C60898"/>
    <w:rsid w:val="00C609A2"/>
    <w:rsid w:val="00C609D5"/>
    <w:rsid w:val="00C609DA"/>
    <w:rsid w:val="00C60A2C"/>
    <w:rsid w:val="00C60A2F"/>
    <w:rsid w:val="00C60A3C"/>
    <w:rsid w:val="00C60A43"/>
    <w:rsid w:val="00C60AA7"/>
    <w:rsid w:val="00C60AD4"/>
    <w:rsid w:val="00C60AFB"/>
    <w:rsid w:val="00C60B18"/>
    <w:rsid w:val="00C60B80"/>
    <w:rsid w:val="00C60C0A"/>
    <w:rsid w:val="00C60C15"/>
    <w:rsid w:val="00C60C9F"/>
    <w:rsid w:val="00C60CBA"/>
    <w:rsid w:val="00C60D06"/>
    <w:rsid w:val="00C60D1A"/>
    <w:rsid w:val="00C60D65"/>
    <w:rsid w:val="00C60DB4"/>
    <w:rsid w:val="00C60E7D"/>
    <w:rsid w:val="00C60E89"/>
    <w:rsid w:val="00C60F22"/>
    <w:rsid w:val="00C60F58"/>
    <w:rsid w:val="00C6101E"/>
    <w:rsid w:val="00C61086"/>
    <w:rsid w:val="00C6109E"/>
    <w:rsid w:val="00C610D3"/>
    <w:rsid w:val="00C6111B"/>
    <w:rsid w:val="00C6111C"/>
    <w:rsid w:val="00C61146"/>
    <w:rsid w:val="00C6115F"/>
    <w:rsid w:val="00C611BE"/>
    <w:rsid w:val="00C611D0"/>
    <w:rsid w:val="00C611D2"/>
    <w:rsid w:val="00C611D7"/>
    <w:rsid w:val="00C61211"/>
    <w:rsid w:val="00C61213"/>
    <w:rsid w:val="00C61318"/>
    <w:rsid w:val="00C6132F"/>
    <w:rsid w:val="00C6135F"/>
    <w:rsid w:val="00C613B6"/>
    <w:rsid w:val="00C613E3"/>
    <w:rsid w:val="00C61413"/>
    <w:rsid w:val="00C6147E"/>
    <w:rsid w:val="00C614B9"/>
    <w:rsid w:val="00C614EA"/>
    <w:rsid w:val="00C61501"/>
    <w:rsid w:val="00C6152E"/>
    <w:rsid w:val="00C6152F"/>
    <w:rsid w:val="00C6162A"/>
    <w:rsid w:val="00C6165A"/>
    <w:rsid w:val="00C61693"/>
    <w:rsid w:val="00C616F2"/>
    <w:rsid w:val="00C61746"/>
    <w:rsid w:val="00C61761"/>
    <w:rsid w:val="00C617DB"/>
    <w:rsid w:val="00C61842"/>
    <w:rsid w:val="00C61901"/>
    <w:rsid w:val="00C6191C"/>
    <w:rsid w:val="00C61A13"/>
    <w:rsid w:val="00C61A3F"/>
    <w:rsid w:val="00C61ABF"/>
    <w:rsid w:val="00C61ADE"/>
    <w:rsid w:val="00C61BB4"/>
    <w:rsid w:val="00C61C19"/>
    <w:rsid w:val="00C61CE5"/>
    <w:rsid w:val="00C61D16"/>
    <w:rsid w:val="00C61D6E"/>
    <w:rsid w:val="00C61DD1"/>
    <w:rsid w:val="00C61DF6"/>
    <w:rsid w:val="00C61E04"/>
    <w:rsid w:val="00C61E06"/>
    <w:rsid w:val="00C61E0E"/>
    <w:rsid w:val="00C61E48"/>
    <w:rsid w:val="00C61E5B"/>
    <w:rsid w:val="00C61FE9"/>
    <w:rsid w:val="00C6203E"/>
    <w:rsid w:val="00C620B3"/>
    <w:rsid w:val="00C62117"/>
    <w:rsid w:val="00C62129"/>
    <w:rsid w:val="00C6217C"/>
    <w:rsid w:val="00C621E9"/>
    <w:rsid w:val="00C6228E"/>
    <w:rsid w:val="00C62318"/>
    <w:rsid w:val="00C6232F"/>
    <w:rsid w:val="00C6235C"/>
    <w:rsid w:val="00C6236F"/>
    <w:rsid w:val="00C623F4"/>
    <w:rsid w:val="00C623FB"/>
    <w:rsid w:val="00C6244F"/>
    <w:rsid w:val="00C62479"/>
    <w:rsid w:val="00C62493"/>
    <w:rsid w:val="00C624D2"/>
    <w:rsid w:val="00C624D6"/>
    <w:rsid w:val="00C624EC"/>
    <w:rsid w:val="00C625B2"/>
    <w:rsid w:val="00C625E7"/>
    <w:rsid w:val="00C625EB"/>
    <w:rsid w:val="00C6262E"/>
    <w:rsid w:val="00C6263B"/>
    <w:rsid w:val="00C62748"/>
    <w:rsid w:val="00C6285A"/>
    <w:rsid w:val="00C628F6"/>
    <w:rsid w:val="00C62AC1"/>
    <w:rsid w:val="00C62B34"/>
    <w:rsid w:val="00C62B38"/>
    <w:rsid w:val="00C62B3D"/>
    <w:rsid w:val="00C62BD6"/>
    <w:rsid w:val="00C62BED"/>
    <w:rsid w:val="00C62C73"/>
    <w:rsid w:val="00C62CF1"/>
    <w:rsid w:val="00C62DD4"/>
    <w:rsid w:val="00C62DDD"/>
    <w:rsid w:val="00C62E22"/>
    <w:rsid w:val="00C62E69"/>
    <w:rsid w:val="00C62EFB"/>
    <w:rsid w:val="00C62F21"/>
    <w:rsid w:val="00C62F99"/>
    <w:rsid w:val="00C62FA6"/>
    <w:rsid w:val="00C62FAA"/>
    <w:rsid w:val="00C62FB0"/>
    <w:rsid w:val="00C62FE5"/>
    <w:rsid w:val="00C63056"/>
    <w:rsid w:val="00C6307E"/>
    <w:rsid w:val="00C6311E"/>
    <w:rsid w:val="00C63178"/>
    <w:rsid w:val="00C63234"/>
    <w:rsid w:val="00C63262"/>
    <w:rsid w:val="00C63274"/>
    <w:rsid w:val="00C6335E"/>
    <w:rsid w:val="00C6336C"/>
    <w:rsid w:val="00C633AA"/>
    <w:rsid w:val="00C63433"/>
    <w:rsid w:val="00C634CA"/>
    <w:rsid w:val="00C6350F"/>
    <w:rsid w:val="00C63523"/>
    <w:rsid w:val="00C63531"/>
    <w:rsid w:val="00C63532"/>
    <w:rsid w:val="00C63571"/>
    <w:rsid w:val="00C635FD"/>
    <w:rsid w:val="00C6361E"/>
    <w:rsid w:val="00C6364E"/>
    <w:rsid w:val="00C636A5"/>
    <w:rsid w:val="00C636DD"/>
    <w:rsid w:val="00C6384D"/>
    <w:rsid w:val="00C638EF"/>
    <w:rsid w:val="00C63926"/>
    <w:rsid w:val="00C63975"/>
    <w:rsid w:val="00C639A9"/>
    <w:rsid w:val="00C63A88"/>
    <w:rsid w:val="00C63AC4"/>
    <w:rsid w:val="00C63AE0"/>
    <w:rsid w:val="00C63B19"/>
    <w:rsid w:val="00C63BA2"/>
    <w:rsid w:val="00C63BB0"/>
    <w:rsid w:val="00C63BC1"/>
    <w:rsid w:val="00C63BDF"/>
    <w:rsid w:val="00C63BEC"/>
    <w:rsid w:val="00C63C12"/>
    <w:rsid w:val="00C63C2C"/>
    <w:rsid w:val="00C63C4B"/>
    <w:rsid w:val="00C63C53"/>
    <w:rsid w:val="00C63C7C"/>
    <w:rsid w:val="00C63CEA"/>
    <w:rsid w:val="00C63D51"/>
    <w:rsid w:val="00C63D54"/>
    <w:rsid w:val="00C63D8F"/>
    <w:rsid w:val="00C63DF4"/>
    <w:rsid w:val="00C63DFB"/>
    <w:rsid w:val="00C63E2B"/>
    <w:rsid w:val="00C63E82"/>
    <w:rsid w:val="00C63EB4"/>
    <w:rsid w:val="00C63ED0"/>
    <w:rsid w:val="00C63EEE"/>
    <w:rsid w:val="00C63F1E"/>
    <w:rsid w:val="00C63F5E"/>
    <w:rsid w:val="00C63F9C"/>
    <w:rsid w:val="00C63FD2"/>
    <w:rsid w:val="00C63FE2"/>
    <w:rsid w:val="00C63FF5"/>
    <w:rsid w:val="00C6403E"/>
    <w:rsid w:val="00C64052"/>
    <w:rsid w:val="00C64064"/>
    <w:rsid w:val="00C64096"/>
    <w:rsid w:val="00C6416E"/>
    <w:rsid w:val="00C64198"/>
    <w:rsid w:val="00C641BD"/>
    <w:rsid w:val="00C64204"/>
    <w:rsid w:val="00C64226"/>
    <w:rsid w:val="00C64230"/>
    <w:rsid w:val="00C64275"/>
    <w:rsid w:val="00C642B0"/>
    <w:rsid w:val="00C6439B"/>
    <w:rsid w:val="00C643F3"/>
    <w:rsid w:val="00C64430"/>
    <w:rsid w:val="00C64490"/>
    <w:rsid w:val="00C644DB"/>
    <w:rsid w:val="00C6457B"/>
    <w:rsid w:val="00C645D4"/>
    <w:rsid w:val="00C645DB"/>
    <w:rsid w:val="00C646B5"/>
    <w:rsid w:val="00C646B6"/>
    <w:rsid w:val="00C646D5"/>
    <w:rsid w:val="00C646EB"/>
    <w:rsid w:val="00C6472C"/>
    <w:rsid w:val="00C64735"/>
    <w:rsid w:val="00C64749"/>
    <w:rsid w:val="00C647AE"/>
    <w:rsid w:val="00C647D2"/>
    <w:rsid w:val="00C6482E"/>
    <w:rsid w:val="00C6489E"/>
    <w:rsid w:val="00C648A7"/>
    <w:rsid w:val="00C648E6"/>
    <w:rsid w:val="00C64948"/>
    <w:rsid w:val="00C649B2"/>
    <w:rsid w:val="00C649B9"/>
    <w:rsid w:val="00C649CB"/>
    <w:rsid w:val="00C64A27"/>
    <w:rsid w:val="00C64A34"/>
    <w:rsid w:val="00C64A3C"/>
    <w:rsid w:val="00C64A5D"/>
    <w:rsid w:val="00C64A80"/>
    <w:rsid w:val="00C64BB1"/>
    <w:rsid w:val="00C64BD0"/>
    <w:rsid w:val="00C64C31"/>
    <w:rsid w:val="00C64CA6"/>
    <w:rsid w:val="00C64CAE"/>
    <w:rsid w:val="00C64DF6"/>
    <w:rsid w:val="00C65103"/>
    <w:rsid w:val="00C651AB"/>
    <w:rsid w:val="00C6521E"/>
    <w:rsid w:val="00C6526E"/>
    <w:rsid w:val="00C652A2"/>
    <w:rsid w:val="00C652E6"/>
    <w:rsid w:val="00C65355"/>
    <w:rsid w:val="00C65366"/>
    <w:rsid w:val="00C653F8"/>
    <w:rsid w:val="00C6543F"/>
    <w:rsid w:val="00C65502"/>
    <w:rsid w:val="00C65523"/>
    <w:rsid w:val="00C65538"/>
    <w:rsid w:val="00C65545"/>
    <w:rsid w:val="00C6555A"/>
    <w:rsid w:val="00C65565"/>
    <w:rsid w:val="00C65579"/>
    <w:rsid w:val="00C65587"/>
    <w:rsid w:val="00C655E5"/>
    <w:rsid w:val="00C65684"/>
    <w:rsid w:val="00C656C1"/>
    <w:rsid w:val="00C656E4"/>
    <w:rsid w:val="00C6571F"/>
    <w:rsid w:val="00C6579F"/>
    <w:rsid w:val="00C657FC"/>
    <w:rsid w:val="00C65845"/>
    <w:rsid w:val="00C658A7"/>
    <w:rsid w:val="00C658DF"/>
    <w:rsid w:val="00C658E8"/>
    <w:rsid w:val="00C65927"/>
    <w:rsid w:val="00C659AB"/>
    <w:rsid w:val="00C65A21"/>
    <w:rsid w:val="00C65A96"/>
    <w:rsid w:val="00C65B10"/>
    <w:rsid w:val="00C65B16"/>
    <w:rsid w:val="00C65B94"/>
    <w:rsid w:val="00C65BE3"/>
    <w:rsid w:val="00C65BF9"/>
    <w:rsid w:val="00C65C0C"/>
    <w:rsid w:val="00C65C56"/>
    <w:rsid w:val="00C65C7C"/>
    <w:rsid w:val="00C65CA8"/>
    <w:rsid w:val="00C65CB3"/>
    <w:rsid w:val="00C65D0A"/>
    <w:rsid w:val="00C65D20"/>
    <w:rsid w:val="00C65D6A"/>
    <w:rsid w:val="00C65D83"/>
    <w:rsid w:val="00C65E29"/>
    <w:rsid w:val="00C65E8B"/>
    <w:rsid w:val="00C65ED8"/>
    <w:rsid w:val="00C65EE5"/>
    <w:rsid w:val="00C65F11"/>
    <w:rsid w:val="00C65F19"/>
    <w:rsid w:val="00C65F51"/>
    <w:rsid w:val="00C65F7E"/>
    <w:rsid w:val="00C6602C"/>
    <w:rsid w:val="00C660E7"/>
    <w:rsid w:val="00C66139"/>
    <w:rsid w:val="00C66141"/>
    <w:rsid w:val="00C6615A"/>
    <w:rsid w:val="00C6617A"/>
    <w:rsid w:val="00C661C4"/>
    <w:rsid w:val="00C662BF"/>
    <w:rsid w:val="00C662CA"/>
    <w:rsid w:val="00C66396"/>
    <w:rsid w:val="00C663DC"/>
    <w:rsid w:val="00C66437"/>
    <w:rsid w:val="00C66444"/>
    <w:rsid w:val="00C66458"/>
    <w:rsid w:val="00C664A7"/>
    <w:rsid w:val="00C66551"/>
    <w:rsid w:val="00C66568"/>
    <w:rsid w:val="00C66577"/>
    <w:rsid w:val="00C66611"/>
    <w:rsid w:val="00C6663D"/>
    <w:rsid w:val="00C6667E"/>
    <w:rsid w:val="00C6667F"/>
    <w:rsid w:val="00C666BE"/>
    <w:rsid w:val="00C66703"/>
    <w:rsid w:val="00C66744"/>
    <w:rsid w:val="00C66759"/>
    <w:rsid w:val="00C6675C"/>
    <w:rsid w:val="00C66767"/>
    <w:rsid w:val="00C6677F"/>
    <w:rsid w:val="00C667C3"/>
    <w:rsid w:val="00C66840"/>
    <w:rsid w:val="00C66850"/>
    <w:rsid w:val="00C669F0"/>
    <w:rsid w:val="00C66A80"/>
    <w:rsid w:val="00C66A99"/>
    <w:rsid w:val="00C66BC1"/>
    <w:rsid w:val="00C66BDF"/>
    <w:rsid w:val="00C66C6A"/>
    <w:rsid w:val="00C66D2B"/>
    <w:rsid w:val="00C66D4C"/>
    <w:rsid w:val="00C66D6B"/>
    <w:rsid w:val="00C66D78"/>
    <w:rsid w:val="00C66E1D"/>
    <w:rsid w:val="00C66E79"/>
    <w:rsid w:val="00C66EA3"/>
    <w:rsid w:val="00C66EB8"/>
    <w:rsid w:val="00C66EFE"/>
    <w:rsid w:val="00C66F7D"/>
    <w:rsid w:val="00C66FF8"/>
    <w:rsid w:val="00C67046"/>
    <w:rsid w:val="00C6708C"/>
    <w:rsid w:val="00C6708E"/>
    <w:rsid w:val="00C670A4"/>
    <w:rsid w:val="00C670B4"/>
    <w:rsid w:val="00C67119"/>
    <w:rsid w:val="00C67123"/>
    <w:rsid w:val="00C67163"/>
    <w:rsid w:val="00C671AB"/>
    <w:rsid w:val="00C671BD"/>
    <w:rsid w:val="00C671DE"/>
    <w:rsid w:val="00C671F1"/>
    <w:rsid w:val="00C671FB"/>
    <w:rsid w:val="00C67200"/>
    <w:rsid w:val="00C67203"/>
    <w:rsid w:val="00C67233"/>
    <w:rsid w:val="00C67256"/>
    <w:rsid w:val="00C6728B"/>
    <w:rsid w:val="00C673B7"/>
    <w:rsid w:val="00C67469"/>
    <w:rsid w:val="00C674BD"/>
    <w:rsid w:val="00C674BE"/>
    <w:rsid w:val="00C6753A"/>
    <w:rsid w:val="00C6757B"/>
    <w:rsid w:val="00C675F0"/>
    <w:rsid w:val="00C67670"/>
    <w:rsid w:val="00C6767D"/>
    <w:rsid w:val="00C67685"/>
    <w:rsid w:val="00C6771A"/>
    <w:rsid w:val="00C67731"/>
    <w:rsid w:val="00C67787"/>
    <w:rsid w:val="00C677A2"/>
    <w:rsid w:val="00C677CB"/>
    <w:rsid w:val="00C6781E"/>
    <w:rsid w:val="00C67833"/>
    <w:rsid w:val="00C67918"/>
    <w:rsid w:val="00C67941"/>
    <w:rsid w:val="00C679ED"/>
    <w:rsid w:val="00C67A29"/>
    <w:rsid w:val="00C67A3B"/>
    <w:rsid w:val="00C67A53"/>
    <w:rsid w:val="00C67A56"/>
    <w:rsid w:val="00C67B3F"/>
    <w:rsid w:val="00C67B89"/>
    <w:rsid w:val="00C67BE0"/>
    <w:rsid w:val="00C67CC0"/>
    <w:rsid w:val="00C67D30"/>
    <w:rsid w:val="00C67D62"/>
    <w:rsid w:val="00C67D99"/>
    <w:rsid w:val="00C67D9F"/>
    <w:rsid w:val="00C67DC8"/>
    <w:rsid w:val="00C67EC9"/>
    <w:rsid w:val="00C67F5B"/>
    <w:rsid w:val="00C67F73"/>
    <w:rsid w:val="00C67F92"/>
    <w:rsid w:val="00C67FC3"/>
    <w:rsid w:val="00C70032"/>
    <w:rsid w:val="00C70093"/>
    <w:rsid w:val="00C700B4"/>
    <w:rsid w:val="00C70115"/>
    <w:rsid w:val="00C701BB"/>
    <w:rsid w:val="00C70230"/>
    <w:rsid w:val="00C70272"/>
    <w:rsid w:val="00C702A1"/>
    <w:rsid w:val="00C702DA"/>
    <w:rsid w:val="00C702E4"/>
    <w:rsid w:val="00C7036A"/>
    <w:rsid w:val="00C703A6"/>
    <w:rsid w:val="00C703D5"/>
    <w:rsid w:val="00C70417"/>
    <w:rsid w:val="00C7041B"/>
    <w:rsid w:val="00C70436"/>
    <w:rsid w:val="00C7043B"/>
    <w:rsid w:val="00C70444"/>
    <w:rsid w:val="00C70495"/>
    <w:rsid w:val="00C704D4"/>
    <w:rsid w:val="00C705A4"/>
    <w:rsid w:val="00C70661"/>
    <w:rsid w:val="00C70699"/>
    <w:rsid w:val="00C706F4"/>
    <w:rsid w:val="00C7072E"/>
    <w:rsid w:val="00C70746"/>
    <w:rsid w:val="00C7075E"/>
    <w:rsid w:val="00C70808"/>
    <w:rsid w:val="00C708A3"/>
    <w:rsid w:val="00C7091C"/>
    <w:rsid w:val="00C70950"/>
    <w:rsid w:val="00C7098A"/>
    <w:rsid w:val="00C70B2E"/>
    <w:rsid w:val="00C70B56"/>
    <w:rsid w:val="00C70B8F"/>
    <w:rsid w:val="00C70C2C"/>
    <w:rsid w:val="00C70DCF"/>
    <w:rsid w:val="00C70E07"/>
    <w:rsid w:val="00C70E3E"/>
    <w:rsid w:val="00C70EC0"/>
    <w:rsid w:val="00C70F53"/>
    <w:rsid w:val="00C70FDE"/>
    <w:rsid w:val="00C71023"/>
    <w:rsid w:val="00C71065"/>
    <w:rsid w:val="00C71074"/>
    <w:rsid w:val="00C71093"/>
    <w:rsid w:val="00C710D2"/>
    <w:rsid w:val="00C710D7"/>
    <w:rsid w:val="00C71161"/>
    <w:rsid w:val="00C7119F"/>
    <w:rsid w:val="00C7120F"/>
    <w:rsid w:val="00C7128E"/>
    <w:rsid w:val="00C712CA"/>
    <w:rsid w:val="00C712D0"/>
    <w:rsid w:val="00C712EB"/>
    <w:rsid w:val="00C7130E"/>
    <w:rsid w:val="00C71321"/>
    <w:rsid w:val="00C71346"/>
    <w:rsid w:val="00C7134A"/>
    <w:rsid w:val="00C713D4"/>
    <w:rsid w:val="00C7141E"/>
    <w:rsid w:val="00C71426"/>
    <w:rsid w:val="00C7145B"/>
    <w:rsid w:val="00C71496"/>
    <w:rsid w:val="00C7150F"/>
    <w:rsid w:val="00C71541"/>
    <w:rsid w:val="00C7154C"/>
    <w:rsid w:val="00C71551"/>
    <w:rsid w:val="00C71566"/>
    <w:rsid w:val="00C71591"/>
    <w:rsid w:val="00C71656"/>
    <w:rsid w:val="00C7166F"/>
    <w:rsid w:val="00C716C1"/>
    <w:rsid w:val="00C71702"/>
    <w:rsid w:val="00C7173C"/>
    <w:rsid w:val="00C7174A"/>
    <w:rsid w:val="00C71778"/>
    <w:rsid w:val="00C71812"/>
    <w:rsid w:val="00C71820"/>
    <w:rsid w:val="00C71830"/>
    <w:rsid w:val="00C71923"/>
    <w:rsid w:val="00C719B9"/>
    <w:rsid w:val="00C719EC"/>
    <w:rsid w:val="00C719EE"/>
    <w:rsid w:val="00C71A4E"/>
    <w:rsid w:val="00C71AD1"/>
    <w:rsid w:val="00C71B57"/>
    <w:rsid w:val="00C71B76"/>
    <w:rsid w:val="00C71BDD"/>
    <w:rsid w:val="00C71C40"/>
    <w:rsid w:val="00C71D60"/>
    <w:rsid w:val="00C71D8D"/>
    <w:rsid w:val="00C71DBC"/>
    <w:rsid w:val="00C71F0A"/>
    <w:rsid w:val="00C71F4F"/>
    <w:rsid w:val="00C71F7F"/>
    <w:rsid w:val="00C71F9E"/>
    <w:rsid w:val="00C71FF5"/>
    <w:rsid w:val="00C7201F"/>
    <w:rsid w:val="00C72032"/>
    <w:rsid w:val="00C72043"/>
    <w:rsid w:val="00C7205C"/>
    <w:rsid w:val="00C720BC"/>
    <w:rsid w:val="00C720F4"/>
    <w:rsid w:val="00C7210C"/>
    <w:rsid w:val="00C72193"/>
    <w:rsid w:val="00C721B3"/>
    <w:rsid w:val="00C7224C"/>
    <w:rsid w:val="00C72288"/>
    <w:rsid w:val="00C722E1"/>
    <w:rsid w:val="00C722FD"/>
    <w:rsid w:val="00C72361"/>
    <w:rsid w:val="00C723D5"/>
    <w:rsid w:val="00C723F3"/>
    <w:rsid w:val="00C72461"/>
    <w:rsid w:val="00C72492"/>
    <w:rsid w:val="00C724CC"/>
    <w:rsid w:val="00C724E0"/>
    <w:rsid w:val="00C724EC"/>
    <w:rsid w:val="00C72515"/>
    <w:rsid w:val="00C72520"/>
    <w:rsid w:val="00C72554"/>
    <w:rsid w:val="00C725D4"/>
    <w:rsid w:val="00C7260A"/>
    <w:rsid w:val="00C72641"/>
    <w:rsid w:val="00C726FA"/>
    <w:rsid w:val="00C72763"/>
    <w:rsid w:val="00C72778"/>
    <w:rsid w:val="00C72790"/>
    <w:rsid w:val="00C72795"/>
    <w:rsid w:val="00C727BC"/>
    <w:rsid w:val="00C727FF"/>
    <w:rsid w:val="00C72815"/>
    <w:rsid w:val="00C728BE"/>
    <w:rsid w:val="00C728F9"/>
    <w:rsid w:val="00C7291C"/>
    <w:rsid w:val="00C7296C"/>
    <w:rsid w:val="00C72997"/>
    <w:rsid w:val="00C72AAB"/>
    <w:rsid w:val="00C72B5E"/>
    <w:rsid w:val="00C72BD6"/>
    <w:rsid w:val="00C72BE1"/>
    <w:rsid w:val="00C72C1B"/>
    <w:rsid w:val="00C72CCF"/>
    <w:rsid w:val="00C72CE4"/>
    <w:rsid w:val="00C72D17"/>
    <w:rsid w:val="00C72DD0"/>
    <w:rsid w:val="00C72FC7"/>
    <w:rsid w:val="00C73039"/>
    <w:rsid w:val="00C73077"/>
    <w:rsid w:val="00C730F8"/>
    <w:rsid w:val="00C7312C"/>
    <w:rsid w:val="00C73162"/>
    <w:rsid w:val="00C732A8"/>
    <w:rsid w:val="00C73331"/>
    <w:rsid w:val="00C733BB"/>
    <w:rsid w:val="00C733ED"/>
    <w:rsid w:val="00C734BC"/>
    <w:rsid w:val="00C735BD"/>
    <w:rsid w:val="00C73600"/>
    <w:rsid w:val="00C7361D"/>
    <w:rsid w:val="00C73674"/>
    <w:rsid w:val="00C736A1"/>
    <w:rsid w:val="00C736CA"/>
    <w:rsid w:val="00C736EF"/>
    <w:rsid w:val="00C73719"/>
    <w:rsid w:val="00C73782"/>
    <w:rsid w:val="00C737BF"/>
    <w:rsid w:val="00C737EC"/>
    <w:rsid w:val="00C7385C"/>
    <w:rsid w:val="00C73861"/>
    <w:rsid w:val="00C738B7"/>
    <w:rsid w:val="00C7395F"/>
    <w:rsid w:val="00C7396C"/>
    <w:rsid w:val="00C7398B"/>
    <w:rsid w:val="00C73990"/>
    <w:rsid w:val="00C739C2"/>
    <w:rsid w:val="00C73A74"/>
    <w:rsid w:val="00C73A94"/>
    <w:rsid w:val="00C73ACD"/>
    <w:rsid w:val="00C73AD6"/>
    <w:rsid w:val="00C73B54"/>
    <w:rsid w:val="00C73C1D"/>
    <w:rsid w:val="00C73C5F"/>
    <w:rsid w:val="00C73CC2"/>
    <w:rsid w:val="00C73DFB"/>
    <w:rsid w:val="00C73E8A"/>
    <w:rsid w:val="00C73E9A"/>
    <w:rsid w:val="00C73F79"/>
    <w:rsid w:val="00C73FC2"/>
    <w:rsid w:val="00C7404D"/>
    <w:rsid w:val="00C740E2"/>
    <w:rsid w:val="00C74119"/>
    <w:rsid w:val="00C74127"/>
    <w:rsid w:val="00C74153"/>
    <w:rsid w:val="00C74217"/>
    <w:rsid w:val="00C74241"/>
    <w:rsid w:val="00C74350"/>
    <w:rsid w:val="00C74352"/>
    <w:rsid w:val="00C74388"/>
    <w:rsid w:val="00C743DA"/>
    <w:rsid w:val="00C74449"/>
    <w:rsid w:val="00C7446B"/>
    <w:rsid w:val="00C744A6"/>
    <w:rsid w:val="00C744B9"/>
    <w:rsid w:val="00C7450B"/>
    <w:rsid w:val="00C74545"/>
    <w:rsid w:val="00C745EC"/>
    <w:rsid w:val="00C746D7"/>
    <w:rsid w:val="00C7476D"/>
    <w:rsid w:val="00C74784"/>
    <w:rsid w:val="00C7480D"/>
    <w:rsid w:val="00C74818"/>
    <w:rsid w:val="00C74843"/>
    <w:rsid w:val="00C74866"/>
    <w:rsid w:val="00C7487C"/>
    <w:rsid w:val="00C7488B"/>
    <w:rsid w:val="00C748E4"/>
    <w:rsid w:val="00C74A06"/>
    <w:rsid w:val="00C74A92"/>
    <w:rsid w:val="00C74A9C"/>
    <w:rsid w:val="00C74B07"/>
    <w:rsid w:val="00C74B4E"/>
    <w:rsid w:val="00C74BB1"/>
    <w:rsid w:val="00C74BB6"/>
    <w:rsid w:val="00C74BDB"/>
    <w:rsid w:val="00C74C6C"/>
    <w:rsid w:val="00C74C7A"/>
    <w:rsid w:val="00C74CE9"/>
    <w:rsid w:val="00C74D41"/>
    <w:rsid w:val="00C74D53"/>
    <w:rsid w:val="00C74D7F"/>
    <w:rsid w:val="00C74E72"/>
    <w:rsid w:val="00C74E96"/>
    <w:rsid w:val="00C74EB6"/>
    <w:rsid w:val="00C74EE1"/>
    <w:rsid w:val="00C74EEB"/>
    <w:rsid w:val="00C74F66"/>
    <w:rsid w:val="00C75090"/>
    <w:rsid w:val="00C75103"/>
    <w:rsid w:val="00C7525F"/>
    <w:rsid w:val="00C75269"/>
    <w:rsid w:val="00C752A3"/>
    <w:rsid w:val="00C752AC"/>
    <w:rsid w:val="00C752E1"/>
    <w:rsid w:val="00C75303"/>
    <w:rsid w:val="00C75404"/>
    <w:rsid w:val="00C7544B"/>
    <w:rsid w:val="00C75451"/>
    <w:rsid w:val="00C7546A"/>
    <w:rsid w:val="00C7548C"/>
    <w:rsid w:val="00C754A6"/>
    <w:rsid w:val="00C7552F"/>
    <w:rsid w:val="00C75550"/>
    <w:rsid w:val="00C755C5"/>
    <w:rsid w:val="00C7566C"/>
    <w:rsid w:val="00C75693"/>
    <w:rsid w:val="00C7569A"/>
    <w:rsid w:val="00C756CA"/>
    <w:rsid w:val="00C75739"/>
    <w:rsid w:val="00C75785"/>
    <w:rsid w:val="00C758A2"/>
    <w:rsid w:val="00C75902"/>
    <w:rsid w:val="00C7592A"/>
    <w:rsid w:val="00C759D5"/>
    <w:rsid w:val="00C759F7"/>
    <w:rsid w:val="00C75A53"/>
    <w:rsid w:val="00C75AF4"/>
    <w:rsid w:val="00C75AFA"/>
    <w:rsid w:val="00C75B26"/>
    <w:rsid w:val="00C75B7D"/>
    <w:rsid w:val="00C75BD7"/>
    <w:rsid w:val="00C75BDF"/>
    <w:rsid w:val="00C75BE5"/>
    <w:rsid w:val="00C75C3B"/>
    <w:rsid w:val="00C75C8F"/>
    <w:rsid w:val="00C75CE8"/>
    <w:rsid w:val="00C75D0B"/>
    <w:rsid w:val="00C75D17"/>
    <w:rsid w:val="00C75E71"/>
    <w:rsid w:val="00C75F58"/>
    <w:rsid w:val="00C75FAF"/>
    <w:rsid w:val="00C7604A"/>
    <w:rsid w:val="00C76066"/>
    <w:rsid w:val="00C760B2"/>
    <w:rsid w:val="00C760D9"/>
    <w:rsid w:val="00C7613A"/>
    <w:rsid w:val="00C7613C"/>
    <w:rsid w:val="00C761A0"/>
    <w:rsid w:val="00C76232"/>
    <w:rsid w:val="00C76272"/>
    <w:rsid w:val="00C762B9"/>
    <w:rsid w:val="00C76391"/>
    <w:rsid w:val="00C763D1"/>
    <w:rsid w:val="00C763D6"/>
    <w:rsid w:val="00C7642F"/>
    <w:rsid w:val="00C7643F"/>
    <w:rsid w:val="00C7647E"/>
    <w:rsid w:val="00C76482"/>
    <w:rsid w:val="00C764F6"/>
    <w:rsid w:val="00C765D7"/>
    <w:rsid w:val="00C766B4"/>
    <w:rsid w:val="00C76725"/>
    <w:rsid w:val="00C76771"/>
    <w:rsid w:val="00C767A8"/>
    <w:rsid w:val="00C767BE"/>
    <w:rsid w:val="00C768EE"/>
    <w:rsid w:val="00C76973"/>
    <w:rsid w:val="00C76A9F"/>
    <w:rsid w:val="00C76B86"/>
    <w:rsid w:val="00C76B9A"/>
    <w:rsid w:val="00C76C1F"/>
    <w:rsid w:val="00C76CAF"/>
    <w:rsid w:val="00C76D13"/>
    <w:rsid w:val="00C76DC7"/>
    <w:rsid w:val="00C76DD7"/>
    <w:rsid w:val="00C76E11"/>
    <w:rsid w:val="00C76E56"/>
    <w:rsid w:val="00C76E5A"/>
    <w:rsid w:val="00C76F5A"/>
    <w:rsid w:val="00C76F63"/>
    <w:rsid w:val="00C76FCF"/>
    <w:rsid w:val="00C7702E"/>
    <w:rsid w:val="00C7703E"/>
    <w:rsid w:val="00C77095"/>
    <w:rsid w:val="00C770D8"/>
    <w:rsid w:val="00C77177"/>
    <w:rsid w:val="00C7717A"/>
    <w:rsid w:val="00C77203"/>
    <w:rsid w:val="00C77280"/>
    <w:rsid w:val="00C77322"/>
    <w:rsid w:val="00C7733D"/>
    <w:rsid w:val="00C77371"/>
    <w:rsid w:val="00C77375"/>
    <w:rsid w:val="00C773E4"/>
    <w:rsid w:val="00C77410"/>
    <w:rsid w:val="00C7751A"/>
    <w:rsid w:val="00C77562"/>
    <w:rsid w:val="00C7756F"/>
    <w:rsid w:val="00C775E3"/>
    <w:rsid w:val="00C775E8"/>
    <w:rsid w:val="00C775E9"/>
    <w:rsid w:val="00C77635"/>
    <w:rsid w:val="00C77652"/>
    <w:rsid w:val="00C776B9"/>
    <w:rsid w:val="00C776C9"/>
    <w:rsid w:val="00C7770A"/>
    <w:rsid w:val="00C77713"/>
    <w:rsid w:val="00C77750"/>
    <w:rsid w:val="00C777AC"/>
    <w:rsid w:val="00C777E3"/>
    <w:rsid w:val="00C778B2"/>
    <w:rsid w:val="00C778E6"/>
    <w:rsid w:val="00C778FE"/>
    <w:rsid w:val="00C77A10"/>
    <w:rsid w:val="00C77A29"/>
    <w:rsid w:val="00C77A48"/>
    <w:rsid w:val="00C77AD8"/>
    <w:rsid w:val="00C77B0D"/>
    <w:rsid w:val="00C77B72"/>
    <w:rsid w:val="00C77C74"/>
    <w:rsid w:val="00C77C7A"/>
    <w:rsid w:val="00C77C81"/>
    <w:rsid w:val="00C77CB5"/>
    <w:rsid w:val="00C77D2B"/>
    <w:rsid w:val="00C77D34"/>
    <w:rsid w:val="00C77D50"/>
    <w:rsid w:val="00C77D88"/>
    <w:rsid w:val="00C77D93"/>
    <w:rsid w:val="00C77E05"/>
    <w:rsid w:val="00C77EB6"/>
    <w:rsid w:val="00C77F28"/>
    <w:rsid w:val="00C77F64"/>
    <w:rsid w:val="00C77F8A"/>
    <w:rsid w:val="00C77F93"/>
    <w:rsid w:val="00C7DFCF"/>
    <w:rsid w:val="00C8012F"/>
    <w:rsid w:val="00C8028F"/>
    <w:rsid w:val="00C802C6"/>
    <w:rsid w:val="00C80313"/>
    <w:rsid w:val="00C80387"/>
    <w:rsid w:val="00C803CC"/>
    <w:rsid w:val="00C803E4"/>
    <w:rsid w:val="00C803F1"/>
    <w:rsid w:val="00C80523"/>
    <w:rsid w:val="00C80562"/>
    <w:rsid w:val="00C8060F"/>
    <w:rsid w:val="00C8062B"/>
    <w:rsid w:val="00C806D2"/>
    <w:rsid w:val="00C80793"/>
    <w:rsid w:val="00C80872"/>
    <w:rsid w:val="00C808A5"/>
    <w:rsid w:val="00C808DC"/>
    <w:rsid w:val="00C808E3"/>
    <w:rsid w:val="00C80913"/>
    <w:rsid w:val="00C80954"/>
    <w:rsid w:val="00C80A94"/>
    <w:rsid w:val="00C80B12"/>
    <w:rsid w:val="00C80B1E"/>
    <w:rsid w:val="00C80B63"/>
    <w:rsid w:val="00C80B75"/>
    <w:rsid w:val="00C80B82"/>
    <w:rsid w:val="00C80BB1"/>
    <w:rsid w:val="00C80BBA"/>
    <w:rsid w:val="00C80BCC"/>
    <w:rsid w:val="00C80BF4"/>
    <w:rsid w:val="00C80C10"/>
    <w:rsid w:val="00C80C28"/>
    <w:rsid w:val="00C80D4C"/>
    <w:rsid w:val="00C80DDA"/>
    <w:rsid w:val="00C80DE9"/>
    <w:rsid w:val="00C80F60"/>
    <w:rsid w:val="00C80F73"/>
    <w:rsid w:val="00C80F7A"/>
    <w:rsid w:val="00C80F91"/>
    <w:rsid w:val="00C80F9E"/>
    <w:rsid w:val="00C80FAB"/>
    <w:rsid w:val="00C81054"/>
    <w:rsid w:val="00C810EE"/>
    <w:rsid w:val="00C81101"/>
    <w:rsid w:val="00C8113E"/>
    <w:rsid w:val="00C811A0"/>
    <w:rsid w:val="00C811BE"/>
    <w:rsid w:val="00C811EC"/>
    <w:rsid w:val="00C812B8"/>
    <w:rsid w:val="00C81335"/>
    <w:rsid w:val="00C8135F"/>
    <w:rsid w:val="00C81362"/>
    <w:rsid w:val="00C813D9"/>
    <w:rsid w:val="00C813E4"/>
    <w:rsid w:val="00C813F8"/>
    <w:rsid w:val="00C8147A"/>
    <w:rsid w:val="00C814B9"/>
    <w:rsid w:val="00C814CD"/>
    <w:rsid w:val="00C814D5"/>
    <w:rsid w:val="00C814EA"/>
    <w:rsid w:val="00C81546"/>
    <w:rsid w:val="00C81555"/>
    <w:rsid w:val="00C815C4"/>
    <w:rsid w:val="00C815F5"/>
    <w:rsid w:val="00C815F7"/>
    <w:rsid w:val="00C816C5"/>
    <w:rsid w:val="00C816CC"/>
    <w:rsid w:val="00C816F9"/>
    <w:rsid w:val="00C8173A"/>
    <w:rsid w:val="00C8175B"/>
    <w:rsid w:val="00C81781"/>
    <w:rsid w:val="00C817A5"/>
    <w:rsid w:val="00C817BC"/>
    <w:rsid w:val="00C817CD"/>
    <w:rsid w:val="00C817F6"/>
    <w:rsid w:val="00C81838"/>
    <w:rsid w:val="00C81857"/>
    <w:rsid w:val="00C81881"/>
    <w:rsid w:val="00C819B9"/>
    <w:rsid w:val="00C819E7"/>
    <w:rsid w:val="00C81A86"/>
    <w:rsid w:val="00C81B85"/>
    <w:rsid w:val="00C81C0D"/>
    <w:rsid w:val="00C81C33"/>
    <w:rsid w:val="00C81CA2"/>
    <w:rsid w:val="00C81CD1"/>
    <w:rsid w:val="00C81CE1"/>
    <w:rsid w:val="00C81D0D"/>
    <w:rsid w:val="00C81DF3"/>
    <w:rsid w:val="00C81E09"/>
    <w:rsid w:val="00C81E19"/>
    <w:rsid w:val="00C81E9A"/>
    <w:rsid w:val="00C82046"/>
    <w:rsid w:val="00C82128"/>
    <w:rsid w:val="00C82189"/>
    <w:rsid w:val="00C82243"/>
    <w:rsid w:val="00C82289"/>
    <w:rsid w:val="00C822D7"/>
    <w:rsid w:val="00C82373"/>
    <w:rsid w:val="00C823B6"/>
    <w:rsid w:val="00C8241F"/>
    <w:rsid w:val="00C8243E"/>
    <w:rsid w:val="00C8245A"/>
    <w:rsid w:val="00C8245C"/>
    <w:rsid w:val="00C824A2"/>
    <w:rsid w:val="00C824A4"/>
    <w:rsid w:val="00C824CB"/>
    <w:rsid w:val="00C824F6"/>
    <w:rsid w:val="00C825F9"/>
    <w:rsid w:val="00C825FA"/>
    <w:rsid w:val="00C82651"/>
    <w:rsid w:val="00C82654"/>
    <w:rsid w:val="00C826C8"/>
    <w:rsid w:val="00C8275A"/>
    <w:rsid w:val="00C8276E"/>
    <w:rsid w:val="00C8279B"/>
    <w:rsid w:val="00C827C7"/>
    <w:rsid w:val="00C8287D"/>
    <w:rsid w:val="00C828CD"/>
    <w:rsid w:val="00C8290A"/>
    <w:rsid w:val="00C8299A"/>
    <w:rsid w:val="00C829DC"/>
    <w:rsid w:val="00C82A0F"/>
    <w:rsid w:val="00C82B10"/>
    <w:rsid w:val="00C82C5E"/>
    <w:rsid w:val="00C82C61"/>
    <w:rsid w:val="00C82D0A"/>
    <w:rsid w:val="00C82D69"/>
    <w:rsid w:val="00C82D78"/>
    <w:rsid w:val="00C82DA1"/>
    <w:rsid w:val="00C82DF0"/>
    <w:rsid w:val="00C82E2B"/>
    <w:rsid w:val="00C82ECA"/>
    <w:rsid w:val="00C82F1E"/>
    <w:rsid w:val="00C82FAA"/>
    <w:rsid w:val="00C82FDC"/>
    <w:rsid w:val="00C8301B"/>
    <w:rsid w:val="00C830BF"/>
    <w:rsid w:val="00C83117"/>
    <w:rsid w:val="00C8320B"/>
    <w:rsid w:val="00C8322A"/>
    <w:rsid w:val="00C83322"/>
    <w:rsid w:val="00C83373"/>
    <w:rsid w:val="00C83395"/>
    <w:rsid w:val="00C8341A"/>
    <w:rsid w:val="00C83456"/>
    <w:rsid w:val="00C83484"/>
    <w:rsid w:val="00C834FA"/>
    <w:rsid w:val="00C8351F"/>
    <w:rsid w:val="00C835C7"/>
    <w:rsid w:val="00C8360B"/>
    <w:rsid w:val="00C8361B"/>
    <w:rsid w:val="00C83692"/>
    <w:rsid w:val="00C836BD"/>
    <w:rsid w:val="00C836C1"/>
    <w:rsid w:val="00C836E7"/>
    <w:rsid w:val="00C83796"/>
    <w:rsid w:val="00C83798"/>
    <w:rsid w:val="00C837DF"/>
    <w:rsid w:val="00C837F2"/>
    <w:rsid w:val="00C8381E"/>
    <w:rsid w:val="00C83875"/>
    <w:rsid w:val="00C83899"/>
    <w:rsid w:val="00C83906"/>
    <w:rsid w:val="00C83909"/>
    <w:rsid w:val="00C8391D"/>
    <w:rsid w:val="00C8392B"/>
    <w:rsid w:val="00C83931"/>
    <w:rsid w:val="00C8393C"/>
    <w:rsid w:val="00C8396B"/>
    <w:rsid w:val="00C83A18"/>
    <w:rsid w:val="00C83A19"/>
    <w:rsid w:val="00C83AD1"/>
    <w:rsid w:val="00C83AE1"/>
    <w:rsid w:val="00C83B0E"/>
    <w:rsid w:val="00C83B95"/>
    <w:rsid w:val="00C83C58"/>
    <w:rsid w:val="00C83C68"/>
    <w:rsid w:val="00C83DF7"/>
    <w:rsid w:val="00C83EBF"/>
    <w:rsid w:val="00C83ECF"/>
    <w:rsid w:val="00C83EF3"/>
    <w:rsid w:val="00C83F47"/>
    <w:rsid w:val="00C8408E"/>
    <w:rsid w:val="00C840DC"/>
    <w:rsid w:val="00C840F8"/>
    <w:rsid w:val="00C841A6"/>
    <w:rsid w:val="00C84277"/>
    <w:rsid w:val="00C8439A"/>
    <w:rsid w:val="00C843AD"/>
    <w:rsid w:val="00C843D2"/>
    <w:rsid w:val="00C84447"/>
    <w:rsid w:val="00C8454A"/>
    <w:rsid w:val="00C84550"/>
    <w:rsid w:val="00C8457F"/>
    <w:rsid w:val="00C845A0"/>
    <w:rsid w:val="00C84620"/>
    <w:rsid w:val="00C84627"/>
    <w:rsid w:val="00C8463F"/>
    <w:rsid w:val="00C84699"/>
    <w:rsid w:val="00C846B8"/>
    <w:rsid w:val="00C846BB"/>
    <w:rsid w:val="00C846E6"/>
    <w:rsid w:val="00C8471C"/>
    <w:rsid w:val="00C8471F"/>
    <w:rsid w:val="00C847B0"/>
    <w:rsid w:val="00C84801"/>
    <w:rsid w:val="00C8489D"/>
    <w:rsid w:val="00C848E8"/>
    <w:rsid w:val="00C849BE"/>
    <w:rsid w:val="00C84A15"/>
    <w:rsid w:val="00C84A3B"/>
    <w:rsid w:val="00C84B1D"/>
    <w:rsid w:val="00C84B6C"/>
    <w:rsid w:val="00C84BB7"/>
    <w:rsid w:val="00C84BC7"/>
    <w:rsid w:val="00C84BE7"/>
    <w:rsid w:val="00C84BFC"/>
    <w:rsid w:val="00C84C06"/>
    <w:rsid w:val="00C84C66"/>
    <w:rsid w:val="00C84CEB"/>
    <w:rsid w:val="00C84E02"/>
    <w:rsid w:val="00C84E16"/>
    <w:rsid w:val="00C84E1F"/>
    <w:rsid w:val="00C84E72"/>
    <w:rsid w:val="00C84E82"/>
    <w:rsid w:val="00C84E9F"/>
    <w:rsid w:val="00C84F6E"/>
    <w:rsid w:val="00C84F73"/>
    <w:rsid w:val="00C84F83"/>
    <w:rsid w:val="00C84FC3"/>
    <w:rsid w:val="00C84FE4"/>
    <w:rsid w:val="00C8505C"/>
    <w:rsid w:val="00C85101"/>
    <w:rsid w:val="00C85163"/>
    <w:rsid w:val="00C851A6"/>
    <w:rsid w:val="00C851D2"/>
    <w:rsid w:val="00C85206"/>
    <w:rsid w:val="00C852A1"/>
    <w:rsid w:val="00C852DD"/>
    <w:rsid w:val="00C8531C"/>
    <w:rsid w:val="00C8535F"/>
    <w:rsid w:val="00C85371"/>
    <w:rsid w:val="00C8539E"/>
    <w:rsid w:val="00C85408"/>
    <w:rsid w:val="00C854A8"/>
    <w:rsid w:val="00C854C2"/>
    <w:rsid w:val="00C854C8"/>
    <w:rsid w:val="00C85571"/>
    <w:rsid w:val="00C8558C"/>
    <w:rsid w:val="00C85600"/>
    <w:rsid w:val="00C8560F"/>
    <w:rsid w:val="00C85646"/>
    <w:rsid w:val="00C8564A"/>
    <w:rsid w:val="00C85670"/>
    <w:rsid w:val="00C85687"/>
    <w:rsid w:val="00C857D9"/>
    <w:rsid w:val="00C8581A"/>
    <w:rsid w:val="00C858FF"/>
    <w:rsid w:val="00C85921"/>
    <w:rsid w:val="00C85937"/>
    <w:rsid w:val="00C8595C"/>
    <w:rsid w:val="00C859A7"/>
    <w:rsid w:val="00C859E1"/>
    <w:rsid w:val="00C85A26"/>
    <w:rsid w:val="00C85B04"/>
    <w:rsid w:val="00C85B2D"/>
    <w:rsid w:val="00C85C92"/>
    <w:rsid w:val="00C85CDC"/>
    <w:rsid w:val="00C85CDF"/>
    <w:rsid w:val="00C85DA7"/>
    <w:rsid w:val="00C85DB3"/>
    <w:rsid w:val="00C85E13"/>
    <w:rsid w:val="00C85E53"/>
    <w:rsid w:val="00C85E58"/>
    <w:rsid w:val="00C85F2E"/>
    <w:rsid w:val="00C86002"/>
    <w:rsid w:val="00C86048"/>
    <w:rsid w:val="00C860C7"/>
    <w:rsid w:val="00C8615F"/>
    <w:rsid w:val="00C86173"/>
    <w:rsid w:val="00C86176"/>
    <w:rsid w:val="00C8617B"/>
    <w:rsid w:val="00C8619F"/>
    <w:rsid w:val="00C8626B"/>
    <w:rsid w:val="00C86308"/>
    <w:rsid w:val="00C8631A"/>
    <w:rsid w:val="00C86321"/>
    <w:rsid w:val="00C86328"/>
    <w:rsid w:val="00C86376"/>
    <w:rsid w:val="00C863C0"/>
    <w:rsid w:val="00C8640C"/>
    <w:rsid w:val="00C86424"/>
    <w:rsid w:val="00C8646A"/>
    <w:rsid w:val="00C86484"/>
    <w:rsid w:val="00C8654C"/>
    <w:rsid w:val="00C865DF"/>
    <w:rsid w:val="00C86653"/>
    <w:rsid w:val="00C866C1"/>
    <w:rsid w:val="00C86718"/>
    <w:rsid w:val="00C86761"/>
    <w:rsid w:val="00C867B4"/>
    <w:rsid w:val="00C867F2"/>
    <w:rsid w:val="00C86818"/>
    <w:rsid w:val="00C8681D"/>
    <w:rsid w:val="00C86822"/>
    <w:rsid w:val="00C8684C"/>
    <w:rsid w:val="00C86864"/>
    <w:rsid w:val="00C868A4"/>
    <w:rsid w:val="00C86909"/>
    <w:rsid w:val="00C86961"/>
    <w:rsid w:val="00C869CA"/>
    <w:rsid w:val="00C869DF"/>
    <w:rsid w:val="00C86ABE"/>
    <w:rsid w:val="00C86AE8"/>
    <w:rsid w:val="00C86B04"/>
    <w:rsid w:val="00C86B2A"/>
    <w:rsid w:val="00C86B44"/>
    <w:rsid w:val="00C86B49"/>
    <w:rsid w:val="00C86B92"/>
    <w:rsid w:val="00C86BA0"/>
    <w:rsid w:val="00C86C41"/>
    <w:rsid w:val="00C86C49"/>
    <w:rsid w:val="00C86C8A"/>
    <w:rsid w:val="00C86CA6"/>
    <w:rsid w:val="00C86CE2"/>
    <w:rsid w:val="00C86E10"/>
    <w:rsid w:val="00C86F3D"/>
    <w:rsid w:val="00C86FC3"/>
    <w:rsid w:val="00C87026"/>
    <w:rsid w:val="00C87073"/>
    <w:rsid w:val="00C870F1"/>
    <w:rsid w:val="00C870FD"/>
    <w:rsid w:val="00C87110"/>
    <w:rsid w:val="00C87148"/>
    <w:rsid w:val="00C871F7"/>
    <w:rsid w:val="00C87259"/>
    <w:rsid w:val="00C87271"/>
    <w:rsid w:val="00C87327"/>
    <w:rsid w:val="00C87458"/>
    <w:rsid w:val="00C87498"/>
    <w:rsid w:val="00C874BC"/>
    <w:rsid w:val="00C8757C"/>
    <w:rsid w:val="00C875D9"/>
    <w:rsid w:val="00C87634"/>
    <w:rsid w:val="00C87721"/>
    <w:rsid w:val="00C877D0"/>
    <w:rsid w:val="00C877F6"/>
    <w:rsid w:val="00C8786F"/>
    <w:rsid w:val="00C878EA"/>
    <w:rsid w:val="00C878F1"/>
    <w:rsid w:val="00C8794C"/>
    <w:rsid w:val="00C8797F"/>
    <w:rsid w:val="00C879BD"/>
    <w:rsid w:val="00C87A26"/>
    <w:rsid w:val="00C87A29"/>
    <w:rsid w:val="00C87A41"/>
    <w:rsid w:val="00C87A69"/>
    <w:rsid w:val="00C87AAD"/>
    <w:rsid w:val="00C87BED"/>
    <w:rsid w:val="00C87BF4"/>
    <w:rsid w:val="00C87CF2"/>
    <w:rsid w:val="00C87D38"/>
    <w:rsid w:val="00C87DB8"/>
    <w:rsid w:val="00C87DC0"/>
    <w:rsid w:val="00C87E53"/>
    <w:rsid w:val="00C87E9E"/>
    <w:rsid w:val="00C87EE2"/>
    <w:rsid w:val="00C87F09"/>
    <w:rsid w:val="00C87F77"/>
    <w:rsid w:val="00C90024"/>
    <w:rsid w:val="00C900E6"/>
    <w:rsid w:val="00C90112"/>
    <w:rsid w:val="00C90127"/>
    <w:rsid w:val="00C90137"/>
    <w:rsid w:val="00C901FC"/>
    <w:rsid w:val="00C902EC"/>
    <w:rsid w:val="00C90304"/>
    <w:rsid w:val="00C90308"/>
    <w:rsid w:val="00C9036D"/>
    <w:rsid w:val="00C903B5"/>
    <w:rsid w:val="00C9044C"/>
    <w:rsid w:val="00C90459"/>
    <w:rsid w:val="00C9047E"/>
    <w:rsid w:val="00C90487"/>
    <w:rsid w:val="00C90494"/>
    <w:rsid w:val="00C90580"/>
    <w:rsid w:val="00C905AB"/>
    <w:rsid w:val="00C9063A"/>
    <w:rsid w:val="00C90682"/>
    <w:rsid w:val="00C90693"/>
    <w:rsid w:val="00C906EE"/>
    <w:rsid w:val="00C9077E"/>
    <w:rsid w:val="00C908DE"/>
    <w:rsid w:val="00C90916"/>
    <w:rsid w:val="00C90997"/>
    <w:rsid w:val="00C909ED"/>
    <w:rsid w:val="00C909F9"/>
    <w:rsid w:val="00C90A09"/>
    <w:rsid w:val="00C90A4E"/>
    <w:rsid w:val="00C90BB7"/>
    <w:rsid w:val="00C90BBF"/>
    <w:rsid w:val="00C90BEE"/>
    <w:rsid w:val="00C90C21"/>
    <w:rsid w:val="00C90C23"/>
    <w:rsid w:val="00C90C62"/>
    <w:rsid w:val="00C90C6B"/>
    <w:rsid w:val="00C90CEA"/>
    <w:rsid w:val="00C90DC5"/>
    <w:rsid w:val="00C90E67"/>
    <w:rsid w:val="00C90E7F"/>
    <w:rsid w:val="00C90EE5"/>
    <w:rsid w:val="00C90F1E"/>
    <w:rsid w:val="00C90F28"/>
    <w:rsid w:val="00C90FCF"/>
    <w:rsid w:val="00C9101F"/>
    <w:rsid w:val="00C91046"/>
    <w:rsid w:val="00C91099"/>
    <w:rsid w:val="00C910D3"/>
    <w:rsid w:val="00C9112A"/>
    <w:rsid w:val="00C9115F"/>
    <w:rsid w:val="00C91168"/>
    <w:rsid w:val="00C9117D"/>
    <w:rsid w:val="00C911FE"/>
    <w:rsid w:val="00C91233"/>
    <w:rsid w:val="00C9124B"/>
    <w:rsid w:val="00C912CE"/>
    <w:rsid w:val="00C912EE"/>
    <w:rsid w:val="00C913DA"/>
    <w:rsid w:val="00C913F9"/>
    <w:rsid w:val="00C91408"/>
    <w:rsid w:val="00C91494"/>
    <w:rsid w:val="00C914AD"/>
    <w:rsid w:val="00C914B1"/>
    <w:rsid w:val="00C914D4"/>
    <w:rsid w:val="00C9156A"/>
    <w:rsid w:val="00C91601"/>
    <w:rsid w:val="00C91659"/>
    <w:rsid w:val="00C91691"/>
    <w:rsid w:val="00C91752"/>
    <w:rsid w:val="00C91838"/>
    <w:rsid w:val="00C9185D"/>
    <w:rsid w:val="00C9186B"/>
    <w:rsid w:val="00C9188B"/>
    <w:rsid w:val="00C918AC"/>
    <w:rsid w:val="00C91952"/>
    <w:rsid w:val="00C9198F"/>
    <w:rsid w:val="00C919E6"/>
    <w:rsid w:val="00C91A75"/>
    <w:rsid w:val="00C91AAE"/>
    <w:rsid w:val="00C91AC4"/>
    <w:rsid w:val="00C91C55"/>
    <w:rsid w:val="00C91D21"/>
    <w:rsid w:val="00C91D6F"/>
    <w:rsid w:val="00C91DB9"/>
    <w:rsid w:val="00C91E29"/>
    <w:rsid w:val="00C91FC0"/>
    <w:rsid w:val="00C92023"/>
    <w:rsid w:val="00C92037"/>
    <w:rsid w:val="00C9203C"/>
    <w:rsid w:val="00C920E6"/>
    <w:rsid w:val="00C9212E"/>
    <w:rsid w:val="00C92136"/>
    <w:rsid w:val="00C9226F"/>
    <w:rsid w:val="00C92282"/>
    <w:rsid w:val="00C92330"/>
    <w:rsid w:val="00C92336"/>
    <w:rsid w:val="00C923CB"/>
    <w:rsid w:val="00C923DE"/>
    <w:rsid w:val="00C923F5"/>
    <w:rsid w:val="00C92414"/>
    <w:rsid w:val="00C92442"/>
    <w:rsid w:val="00C924E6"/>
    <w:rsid w:val="00C92515"/>
    <w:rsid w:val="00C9259F"/>
    <w:rsid w:val="00C92611"/>
    <w:rsid w:val="00C9263B"/>
    <w:rsid w:val="00C92649"/>
    <w:rsid w:val="00C926D9"/>
    <w:rsid w:val="00C926DD"/>
    <w:rsid w:val="00C926E8"/>
    <w:rsid w:val="00C92797"/>
    <w:rsid w:val="00C92816"/>
    <w:rsid w:val="00C92840"/>
    <w:rsid w:val="00C92884"/>
    <w:rsid w:val="00C92897"/>
    <w:rsid w:val="00C928D9"/>
    <w:rsid w:val="00C92988"/>
    <w:rsid w:val="00C9299B"/>
    <w:rsid w:val="00C92A3F"/>
    <w:rsid w:val="00C92A48"/>
    <w:rsid w:val="00C92AC6"/>
    <w:rsid w:val="00C92B23"/>
    <w:rsid w:val="00C92B26"/>
    <w:rsid w:val="00C92B4C"/>
    <w:rsid w:val="00C92B6A"/>
    <w:rsid w:val="00C92BDD"/>
    <w:rsid w:val="00C92C2F"/>
    <w:rsid w:val="00C92C41"/>
    <w:rsid w:val="00C92C8A"/>
    <w:rsid w:val="00C92CA4"/>
    <w:rsid w:val="00C92CEE"/>
    <w:rsid w:val="00C92D42"/>
    <w:rsid w:val="00C92D9C"/>
    <w:rsid w:val="00C92DF6"/>
    <w:rsid w:val="00C92ED1"/>
    <w:rsid w:val="00C92FDF"/>
    <w:rsid w:val="00C92FF3"/>
    <w:rsid w:val="00C92FFA"/>
    <w:rsid w:val="00C93114"/>
    <w:rsid w:val="00C931B5"/>
    <w:rsid w:val="00C93237"/>
    <w:rsid w:val="00C93314"/>
    <w:rsid w:val="00C93322"/>
    <w:rsid w:val="00C933C9"/>
    <w:rsid w:val="00C93422"/>
    <w:rsid w:val="00C93456"/>
    <w:rsid w:val="00C934D0"/>
    <w:rsid w:val="00C93577"/>
    <w:rsid w:val="00C935A0"/>
    <w:rsid w:val="00C935A9"/>
    <w:rsid w:val="00C935BC"/>
    <w:rsid w:val="00C935DA"/>
    <w:rsid w:val="00C93668"/>
    <w:rsid w:val="00C93731"/>
    <w:rsid w:val="00C93765"/>
    <w:rsid w:val="00C93772"/>
    <w:rsid w:val="00C9378E"/>
    <w:rsid w:val="00C93854"/>
    <w:rsid w:val="00C93872"/>
    <w:rsid w:val="00C93891"/>
    <w:rsid w:val="00C93892"/>
    <w:rsid w:val="00C9389E"/>
    <w:rsid w:val="00C938B6"/>
    <w:rsid w:val="00C938C7"/>
    <w:rsid w:val="00C938E6"/>
    <w:rsid w:val="00C93900"/>
    <w:rsid w:val="00C93905"/>
    <w:rsid w:val="00C939DF"/>
    <w:rsid w:val="00C939E6"/>
    <w:rsid w:val="00C939ED"/>
    <w:rsid w:val="00C93A28"/>
    <w:rsid w:val="00C93B05"/>
    <w:rsid w:val="00C93B88"/>
    <w:rsid w:val="00C93B8A"/>
    <w:rsid w:val="00C93BA2"/>
    <w:rsid w:val="00C93BC8"/>
    <w:rsid w:val="00C93C61"/>
    <w:rsid w:val="00C93E5B"/>
    <w:rsid w:val="00C93E5E"/>
    <w:rsid w:val="00C93EFC"/>
    <w:rsid w:val="00C93F28"/>
    <w:rsid w:val="00C93F61"/>
    <w:rsid w:val="00C93FBE"/>
    <w:rsid w:val="00C93FC0"/>
    <w:rsid w:val="00C93FEB"/>
    <w:rsid w:val="00C94043"/>
    <w:rsid w:val="00C940CD"/>
    <w:rsid w:val="00C940CF"/>
    <w:rsid w:val="00C94136"/>
    <w:rsid w:val="00C94176"/>
    <w:rsid w:val="00C941D7"/>
    <w:rsid w:val="00C941EB"/>
    <w:rsid w:val="00C94205"/>
    <w:rsid w:val="00C94209"/>
    <w:rsid w:val="00C942EE"/>
    <w:rsid w:val="00C9439A"/>
    <w:rsid w:val="00C943A8"/>
    <w:rsid w:val="00C943A9"/>
    <w:rsid w:val="00C943DF"/>
    <w:rsid w:val="00C94408"/>
    <w:rsid w:val="00C94431"/>
    <w:rsid w:val="00C94488"/>
    <w:rsid w:val="00C944A8"/>
    <w:rsid w:val="00C944E3"/>
    <w:rsid w:val="00C94596"/>
    <w:rsid w:val="00C945C3"/>
    <w:rsid w:val="00C945C9"/>
    <w:rsid w:val="00C945D7"/>
    <w:rsid w:val="00C945D8"/>
    <w:rsid w:val="00C94673"/>
    <w:rsid w:val="00C94707"/>
    <w:rsid w:val="00C9471D"/>
    <w:rsid w:val="00C947C0"/>
    <w:rsid w:val="00C947E6"/>
    <w:rsid w:val="00C94876"/>
    <w:rsid w:val="00C9494F"/>
    <w:rsid w:val="00C94994"/>
    <w:rsid w:val="00C949D7"/>
    <w:rsid w:val="00C94A30"/>
    <w:rsid w:val="00C94A58"/>
    <w:rsid w:val="00C94AED"/>
    <w:rsid w:val="00C94BC0"/>
    <w:rsid w:val="00C94BF4"/>
    <w:rsid w:val="00C94DC6"/>
    <w:rsid w:val="00C94E22"/>
    <w:rsid w:val="00C94E42"/>
    <w:rsid w:val="00C94EA8"/>
    <w:rsid w:val="00C94ED6"/>
    <w:rsid w:val="00C94F0A"/>
    <w:rsid w:val="00C94F19"/>
    <w:rsid w:val="00C94F41"/>
    <w:rsid w:val="00C94F74"/>
    <w:rsid w:val="00C94FF1"/>
    <w:rsid w:val="00C95023"/>
    <w:rsid w:val="00C9502D"/>
    <w:rsid w:val="00C9504E"/>
    <w:rsid w:val="00C9506F"/>
    <w:rsid w:val="00C950B8"/>
    <w:rsid w:val="00C950E8"/>
    <w:rsid w:val="00C95146"/>
    <w:rsid w:val="00C951DC"/>
    <w:rsid w:val="00C951F3"/>
    <w:rsid w:val="00C951FD"/>
    <w:rsid w:val="00C9522B"/>
    <w:rsid w:val="00C9523F"/>
    <w:rsid w:val="00C95240"/>
    <w:rsid w:val="00C952DE"/>
    <w:rsid w:val="00C9530F"/>
    <w:rsid w:val="00C95335"/>
    <w:rsid w:val="00C953C0"/>
    <w:rsid w:val="00C953D5"/>
    <w:rsid w:val="00C953F1"/>
    <w:rsid w:val="00C953FB"/>
    <w:rsid w:val="00C9540A"/>
    <w:rsid w:val="00C9543D"/>
    <w:rsid w:val="00C9548F"/>
    <w:rsid w:val="00C95529"/>
    <w:rsid w:val="00C9557B"/>
    <w:rsid w:val="00C95618"/>
    <w:rsid w:val="00C95748"/>
    <w:rsid w:val="00C9574E"/>
    <w:rsid w:val="00C95835"/>
    <w:rsid w:val="00C95897"/>
    <w:rsid w:val="00C958BD"/>
    <w:rsid w:val="00C95A01"/>
    <w:rsid w:val="00C95A32"/>
    <w:rsid w:val="00C95A78"/>
    <w:rsid w:val="00C95A7C"/>
    <w:rsid w:val="00C95B8F"/>
    <w:rsid w:val="00C95B91"/>
    <w:rsid w:val="00C95D37"/>
    <w:rsid w:val="00C95DBD"/>
    <w:rsid w:val="00C95E4E"/>
    <w:rsid w:val="00C95E9C"/>
    <w:rsid w:val="00C95EE3"/>
    <w:rsid w:val="00C95F5A"/>
    <w:rsid w:val="00C95F5B"/>
    <w:rsid w:val="00C9604A"/>
    <w:rsid w:val="00C96063"/>
    <w:rsid w:val="00C960B6"/>
    <w:rsid w:val="00C96186"/>
    <w:rsid w:val="00C961EC"/>
    <w:rsid w:val="00C96382"/>
    <w:rsid w:val="00C963D6"/>
    <w:rsid w:val="00C965B5"/>
    <w:rsid w:val="00C965C5"/>
    <w:rsid w:val="00C965DA"/>
    <w:rsid w:val="00C96638"/>
    <w:rsid w:val="00C96657"/>
    <w:rsid w:val="00C96687"/>
    <w:rsid w:val="00C96695"/>
    <w:rsid w:val="00C966EB"/>
    <w:rsid w:val="00C96778"/>
    <w:rsid w:val="00C967D8"/>
    <w:rsid w:val="00C9686D"/>
    <w:rsid w:val="00C96872"/>
    <w:rsid w:val="00C968D1"/>
    <w:rsid w:val="00C96911"/>
    <w:rsid w:val="00C96988"/>
    <w:rsid w:val="00C9699F"/>
    <w:rsid w:val="00C969A9"/>
    <w:rsid w:val="00C969FB"/>
    <w:rsid w:val="00C96A59"/>
    <w:rsid w:val="00C96B60"/>
    <w:rsid w:val="00C96B77"/>
    <w:rsid w:val="00C96C09"/>
    <w:rsid w:val="00C96C0E"/>
    <w:rsid w:val="00C96CD9"/>
    <w:rsid w:val="00C96CF1"/>
    <w:rsid w:val="00C96DF6"/>
    <w:rsid w:val="00C96E33"/>
    <w:rsid w:val="00C96E73"/>
    <w:rsid w:val="00C96EA4"/>
    <w:rsid w:val="00C96EA6"/>
    <w:rsid w:val="00C96ED6"/>
    <w:rsid w:val="00C96EF2"/>
    <w:rsid w:val="00C96F81"/>
    <w:rsid w:val="00C96F8C"/>
    <w:rsid w:val="00C97043"/>
    <w:rsid w:val="00C9705E"/>
    <w:rsid w:val="00C97065"/>
    <w:rsid w:val="00C97116"/>
    <w:rsid w:val="00C971F0"/>
    <w:rsid w:val="00C97254"/>
    <w:rsid w:val="00C97267"/>
    <w:rsid w:val="00C972EC"/>
    <w:rsid w:val="00C97332"/>
    <w:rsid w:val="00C97340"/>
    <w:rsid w:val="00C973FD"/>
    <w:rsid w:val="00C97430"/>
    <w:rsid w:val="00C97444"/>
    <w:rsid w:val="00C97496"/>
    <w:rsid w:val="00C9749E"/>
    <w:rsid w:val="00C974DC"/>
    <w:rsid w:val="00C97534"/>
    <w:rsid w:val="00C9758B"/>
    <w:rsid w:val="00C9758E"/>
    <w:rsid w:val="00C975C1"/>
    <w:rsid w:val="00C975ED"/>
    <w:rsid w:val="00C9760C"/>
    <w:rsid w:val="00C97636"/>
    <w:rsid w:val="00C976B0"/>
    <w:rsid w:val="00C976DB"/>
    <w:rsid w:val="00C97702"/>
    <w:rsid w:val="00C97790"/>
    <w:rsid w:val="00C977CF"/>
    <w:rsid w:val="00C977F4"/>
    <w:rsid w:val="00C97821"/>
    <w:rsid w:val="00C97842"/>
    <w:rsid w:val="00C97996"/>
    <w:rsid w:val="00C97A5E"/>
    <w:rsid w:val="00C97A6D"/>
    <w:rsid w:val="00C97A83"/>
    <w:rsid w:val="00C97A97"/>
    <w:rsid w:val="00C97AA4"/>
    <w:rsid w:val="00C97ADC"/>
    <w:rsid w:val="00C97AEB"/>
    <w:rsid w:val="00C97B36"/>
    <w:rsid w:val="00C97B79"/>
    <w:rsid w:val="00C97B9D"/>
    <w:rsid w:val="00C97C26"/>
    <w:rsid w:val="00C97C96"/>
    <w:rsid w:val="00C97D02"/>
    <w:rsid w:val="00C97E3D"/>
    <w:rsid w:val="00C97E3F"/>
    <w:rsid w:val="00C97E6C"/>
    <w:rsid w:val="00C97E7F"/>
    <w:rsid w:val="00C97EA6"/>
    <w:rsid w:val="00C97ECA"/>
    <w:rsid w:val="00C97ECF"/>
    <w:rsid w:val="00C97FF5"/>
    <w:rsid w:val="00CA0113"/>
    <w:rsid w:val="00CA01C7"/>
    <w:rsid w:val="00CA036C"/>
    <w:rsid w:val="00CA03B5"/>
    <w:rsid w:val="00CA03DF"/>
    <w:rsid w:val="00CA042A"/>
    <w:rsid w:val="00CA0439"/>
    <w:rsid w:val="00CA0441"/>
    <w:rsid w:val="00CA044B"/>
    <w:rsid w:val="00CA049D"/>
    <w:rsid w:val="00CA04DB"/>
    <w:rsid w:val="00CA0538"/>
    <w:rsid w:val="00CA0545"/>
    <w:rsid w:val="00CA0568"/>
    <w:rsid w:val="00CA05C7"/>
    <w:rsid w:val="00CA0608"/>
    <w:rsid w:val="00CA06F3"/>
    <w:rsid w:val="00CA0734"/>
    <w:rsid w:val="00CA073A"/>
    <w:rsid w:val="00CA086D"/>
    <w:rsid w:val="00CA096B"/>
    <w:rsid w:val="00CA097F"/>
    <w:rsid w:val="00CA09CB"/>
    <w:rsid w:val="00CA09F2"/>
    <w:rsid w:val="00CA0A0F"/>
    <w:rsid w:val="00CA0A84"/>
    <w:rsid w:val="00CA0AA7"/>
    <w:rsid w:val="00CA0AF7"/>
    <w:rsid w:val="00CA0B18"/>
    <w:rsid w:val="00CA0B1D"/>
    <w:rsid w:val="00CA0B38"/>
    <w:rsid w:val="00CA0B43"/>
    <w:rsid w:val="00CA0B62"/>
    <w:rsid w:val="00CA0B92"/>
    <w:rsid w:val="00CA0C53"/>
    <w:rsid w:val="00CA0CB3"/>
    <w:rsid w:val="00CA0D7B"/>
    <w:rsid w:val="00CA0DB7"/>
    <w:rsid w:val="00CA0DB8"/>
    <w:rsid w:val="00CA0E7C"/>
    <w:rsid w:val="00CA0F49"/>
    <w:rsid w:val="00CA0F91"/>
    <w:rsid w:val="00CA101B"/>
    <w:rsid w:val="00CA10C0"/>
    <w:rsid w:val="00CA10E2"/>
    <w:rsid w:val="00CA1119"/>
    <w:rsid w:val="00CA11AF"/>
    <w:rsid w:val="00CA11ED"/>
    <w:rsid w:val="00CA11F2"/>
    <w:rsid w:val="00CA1213"/>
    <w:rsid w:val="00CA122B"/>
    <w:rsid w:val="00CA1329"/>
    <w:rsid w:val="00CA132A"/>
    <w:rsid w:val="00CA1453"/>
    <w:rsid w:val="00CA1467"/>
    <w:rsid w:val="00CA1484"/>
    <w:rsid w:val="00CA14AF"/>
    <w:rsid w:val="00CA14CC"/>
    <w:rsid w:val="00CA153F"/>
    <w:rsid w:val="00CA1551"/>
    <w:rsid w:val="00CA15AC"/>
    <w:rsid w:val="00CA161B"/>
    <w:rsid w:val="00CA1681"/>
    <w:rsid w:val="00CA171C"/>
    <w:rsid w:val="00CA1749"/>
    <w:rsid w:val="00CA17A1"/>
    <w:rsid w:val="00CA17BA"/>
    <w:rsid w:val="00CA17CD"/>
    <w:rsid w:val="00CA1819"/>
    <w:rsid w:val="00CA18F4"/>
    <w:rsid w:val="00CA1948"/>
    <w:rsid w:val="00CA1993"/>
    <w:rsid w:val="00CA19FC"/>
    <w:rsid w:val="00CA1A5D"/>
    <w:rsid w:val="00CA1AED"/>
    <w:rsid w:val="00CA1B4A"/>
    <w:rsid w:val="00CA1B61"/>
    <w:rsid w:val="00CA1BAD"/>
    <w:rsid w:val="00CA1BF6"/>
    <w:rsid w:val="00CA1C81"/>
    <w:rsid w:val="00CA1CC3"/>
    <w:rsid w:val="00CA1D7B"/>
    <w:rsid w:val="00CA1DCA"/>
    <w:rsid w:val="00CA1F1C"/>
    <w:rsid w:val="00CA1F25"/>
    <w:rsid w:val="00CA1F45"/>
    <w:rsid w:val="00CA1FE0"/>
    <w:rsid w:val="00CA1FEC"/>
    <w:rsid w:val="00CA205A"/>
    <w:rsid w:val="00CA20E2"/>
    <w:rsid w:val="00CA2165"/>
    <w:rsid w:val="00CA2203"/>
    <w:rsid w:val="00CA220F"/>
    <w:rsid w:val="00CA223A"/>
    <w:rsid w:val="00CA22F9"/>
    <w:rsid w:val="00CA2305"/>
    <w:rsid w:val="00CA233F"/>
    <w:rsid w:val="00CA2354"/>
    <w:rsid w:val="00CA23DD"/>
    <w:rsid w:val="00CA241E"/>
    <w:rsid w:val="00CA2576"/>
    <w:rsid w:val="00CA2609"/>
    <w:rsid w:val="00CA2680"/>
    <w:rsid w:val="00CA26DF"/>
    <w:rsid w:val="00CA2796"/>
    <w:rsid w:val="00CA27AD"/>
    <w:rsid w:val="00CA2893"/>
    <w:rsid w:val="00CA28F6"/>
    <w:rsid w:val="00CA292C"/>
    <w:rsid w:val="00CA295B"/>
    <w:rsid w:val="00CA2977"/>
    <w:rsid w:val="00CA29A7"/>
    <w:rsid w:val="00CA29ED"/>
    <w:rsid w:val="00CA2B45"/>
    <w:rsid w:val="00CA2BFE"/>
    <w:rsid w:val="00CA2C07"/>
    <w:rsid w:val="00CA2CE2"/>
    <w:rsid w:val="00CA2F1C"/>
    <w:rsid w:val="00CA2F28"/>
    <w:rsid w:val="00CA2F2C"/>
    <w:rsid w:val="00CA2F85"/>
    <w:rsid w:val="00CA2FB0"/>
    <w:rsid w:val="00CA2FBD"/>
    <w:rsid w:val="00CA2FC5"/>
    <w:rsid w:val="00CA2FE7"/>
    <w:rsid w:val="00CA2FFA"/>
    <w:rsid w:val="00CA2FFC"/>
    <w:rsid w:val="00CA3042"/>
    <w:rsid w:val="00CA3087"/>
    <w:rsid w:val="00CA3089"/>
    <w:rsid w:val="00CA308C"/>
    <w:rsid w:val="00CA30F7"/>
    <w:rsid w:val="00CA3151"/>
    <w:rsid w:val="00CA3188"/>
    <w:rsid w:val="00CA318B"/>
    <w:rsid w:val="00CA3199"/>
    <w:rsid w:val="00CA31C9"/>
    <w:rsid w:val="00CA328B"/>
    <w:rsid w:val="00CA335E"/>
    <w:rsid w:val="00CA3395"/>
    <w:rsid w:val="00CA33AC"/>
    <w:rsid w:val="00CA33B5"/>
    <w:rsid w:val="00CA33F8"/>
    <w:rsid w:val="00CA3457"/>
    <w:rsid w:val="00CA345D"/>
    <w:rsid w:val="00CA349C"/>
    <w:rsid w:val="00CA3599"/>
    <w:rsid w:val="00CA35BE"/>
    <w:rsid w:val="00CA35FB"/>
    <w:rsid w:val="00CA363E"/>
    <w:rsid w:val="00CA3677"/>
    <w:rsid w:val="00CA3741"/>
    <w:rsid w:val="00CA3802"/>
    <w:rsid w:val="00CA386D"/>
    <w:rsid w:val="00CA3898"/>
    <w:rsid w:val="00CA39CE"/>
    <w:rsid w:val="00CA39DE"/>
    <w:rsid w:val="00CA3AA0"/>
    <w:rsid w:val="00CA3ADA"/>
    <w:rsid w:val="00CA3B08"/>
    <w:rsid w:val="00CA3BEC"/>
    <w:rsid w:val="00CA3C0F"/>
    <w:rsid w:val="00CA3C5B"/>
    <w:rsid w:val="00CA3CCB"/>
    <w:rsid w:val="00CA3CD9"/>
    <w:rsid w:val="00CA3D57"/>
    <w:rsid w:val="00CA3DC6"/>
    <w:rsid w:val="00CA3E01"/>
    <w:rsid w:val="00CA3E82"/>
    <w:rsid w:val="00CA3E9B"/>
    <w:rsid w:val="00CA3EA4"/>
    <w:rsid w:val="00CA40AB"/>
    <w:rsid w:val="00CA413C"/>
    <w:rsid w:val="00CA414E"/>
    <w:rsid w:val="00CA4196"/>
    <w:rsid w:val="00CA41B9"/>
    <w:rsid w:val="00CA41CF"/>
    <w:rsid w:val="00CA4204"/>
    <w:rsid w:val="00CA42CA"/>
    <w:rsid w:val="00CA431A"/>
    <w:rsid w:val="00CA4337"/>
    <w:rsid w:val="00CA4405"/>
    <w:rsid w:val="00CA441B"/>
    <w:rsid w:val="00CA4455"/>
    <w:rsid w:val="00CA4495"/>
    <w:rsid w:val="00CA44B3"/>
    <w:rsid w:val="00CA44DE"/>
    <w:rsid w:val="00CA4508"/>
    <w:rsid w:val="00CA4527"/>
    <w:rsid w:val="00CA453A"/>
    <w:rsid w:val="00CA4582"/>
    <w:rsid w:val="00CA45A0"/>
    <w:rsid w:val="00CA45A5"/>
    <w:rsid w:val="00CA4697"/>
    <w:rsid w:val="00CA46DC"/>
    <w:rsid w:val="00CA47FF"/>
    <w:rsid w:val="00CA482A"/>
    <w:rsid w:val="00CA486A"/>
    <w:rsid w:val="00CA488B"/>
    <w:rsid w:val="00CA4892"/>
    <w:rsid w:val="00CA48E1"/>
    <w:rsid w:val="00CA49E9"/>
    <w:rsid w:val="00CA4A44"/>
    <w:rsid w:val="00CA4A7E"/>
    <w:rsid w:val="00CA4AEE"/>
    <w:rsid w:val="00CA4AF5"/>
    <w:rsid w:val="00CA4B33"/>
    <w:rsid w:val="00CA4B3E"/>
    <w:rsid w:val="00CA4B66"/>
    <w:rsid w:val="00CA4B73"/>
    <w:rsid w:val="00CA4B8B"/>
    <w:rsid w:val="00CA4C17"/>
    <w:rsid w:val="00CA4C38"/>
    <w:rsid w:val="00CA4C3E"/>
    <w:rsid w:val="00CA4CFB"/>
    <w:rsid w:val="00CA4D57"/>
    <w:rsid w:val="00CA4DB6"/>
    <w:rsid w:val="00CA4E31"/>
    <w:rsid w:val="00CA4E38"/>
    <w:rsid w:val="00CA4E69"/>
    <w:rsid w:val="00CA4F7B"/>
    <w:rsid w:val="00CA4FD3"/>
    <w:rsid w:val="00CA5082"/>
    <w:rsid w:val="00CA5089"/>
    <w:rsid w:val="00CA514D"/>
    <w:rsid w:val="00CA516C"/>
    <w:rsid w:val="00CA517A"/>
    <w:rsid w:val="00CA5216"/>
    <w:rsid w:val="00CA5277"/>
    <w:rsid w:val="00CA52C5"/>
    <w:rsid w:val="00CA52DB"/>
    <w:rsid w:val="00CA52F7"/>
    <w:rsid w:val="00CA5408"/>
    <w:rsid w:val="00CA5488"/>
    <w:rsid w:val="00CA54D5"/>
    <w:rsid w:val="00CA5521"/>
    <w:rsid w:val="00CA560A"/>
    <w:rsid w:val="00CA563F"/>
    <w:rsid w:val="00CA566C"/>
    <w:rsid w:val="00CA570A"/>
    <w:rsid w:val="00CA5736"/>
    <w:rsid w:val="00CA573D"/>
    <w:rsid w:val="00CA5797"/>
    <w:rsid w:val="00CA5819"/>
    <w:rsid w:val="00CA591C"/>
    <w:rsid w:val="00CA592C"/>
    <w:rsid w:val="00CA5945"/>
    <w:rsid w:val="00CA5958"/>
    <w:rsid w:val="00CA5988"/>
    <w:rsid w:val="00CA598C"/>
    <w:rsid w:val="00CA598E"/>
    <w:rsid w:val="00CA59AF"/>
    <w:rsid w:val="00CA5B03"/>
    <w:rsid w:val="00CA5B19"/>
    <w:rsid w:val="00CA5B4E"/>
    <w:rsid w:val="00CA5BE6"/>
    <w:rsid w:val="00CA5C00"/>
    <w:rsid w:val="00CA5C04"/>
    <w:rsid w:val="00CA5C1F"/>
    <w:rsid w:val="00CA5C53"/>
    <w:rsid w:val="00CA5C66"/>
    <w:rsid w:val="00CA5CC9"/>
    <w:rsid w:val="00CA5D88"/>
    <w:rsid w:val="00CA5DAA"/>
    <w:rsid w:val="00CA5EDF"/>
    <w:rsid w:val="00CA5F0B"/>
    <w:rsid w:val="00CA5F20"/>
    <w:rsid w:val="00CA5F51"/>
    <w:rsid w:val="00CA5F6F"/>
    <w:rsid w:val="00CA5F93"/>
    <w:rsid w:val="00CA5FE3"/>
    <w:rsid w:val="00CA6027"/>
    <w:rsid w:val="00CA603B"/>
    <w:rsid w:val="00CA6075"/>
    <w:rsid w:val="00CA60BD"/>
    <w:rsid w:val="00CA60DC"/>
    <w:rsid w:val="00CA6108"/>
    <w:rsid w:val="00CA6132"/>
    <w:rsid w:val="00CA613D"/>
    <w:rsid w:val="00CA6193"/>
    <w:rsid w:val="00CA61A2"/>
    <w:rsid w:val="00CA61F4"/>
    <w:rsid w:val="00CA61FB"/>
    <w:rsid w:val="00CA6211"/>
    <w:rsid w:val="00CA6212"/>
    <w:rsid w:val="00CA6223"/>
    <w:rsid w:val="00CA624A"/>
    <w:rsid w:val="00CA62B1"/>
    <w:rsid w:val="00CA62B4"/>
    <w:rsid w:val="00CA62EE"/>
    <w:rsid w:val="00CA6309"/>
    <w:rsid w:val="00CA6345"/>
    <w:rsid w:val="00CA63A9"/>
    <w:rsid w:val="00CA63EE"/>
    <w:rsid w:val="00CA647F"/>
    <w:rsid w:val="00CA6483"/>
    <w:rsid w:val="00CA6490"/>
    <w:rsid w:val="00CA64EF"/>
    <w:rsid w:val="00CA6515"/>
    <w:rsid w:val="00CA6524"/>
    <w:rsid w:val="00CA6536"/>
    <w:rsid w:val="00CA653D"/>
    <w:rsid w:val="00CA6545"/>
    <w:rsid w:val="00CA6560"/>
    <w:rsid w:val="00CA65A6"/>
    <w:rsid w:val="00CA66D2"/>
    <w:rsid w:val="00CA66D8"/>
    <w:rsid w:val="00CA6759"/>
    <w:rsid w:val="00CA6762"/>
    <w:rsid w:val="00CA6853"/>
    <w:rsid w:val="00CA6906"/>
    <w:rsid w:val="00CA692E"/>
    <w:rsid w:val="00CA693C"/>
    <w:rsid w:val="00CA698E"/>
    <w:rsid w:val="00CA69E3"/>
    <w:rsid w:val="00CA6AD1"/>
    <w:rsid w:val="00CA6C59"/>
    <w:rsid w:val="00CA6D3B"/>
    <w:rsid w:val="00CA6DA6"/>
    <w:rsid w:val="00CA6DB5"/>
    <w:rsid w:val="00CA6E3E"/>
    <w:rsid w:val="00CA6E58"/>
    <w:rsid w:val="00CA6E65"/>
    <w:rsid w:val="00CA6E6F"/>
    <w:rsid w:val="00CA6E8B"/>
    <w:rsid w:val="00CA6EAB"/>
    <w:rsid w:val="00CA6EE5"/>
    <w:rsid w:val="00CA6F9A"/>
    <w:rsid w:val="00CA709F"/>
    <w:rsid w:val="00CA70AD"/>
    <w:rsid w:val="00CA7156"/>
    <w:rsid w:val="00CA715E"/>
    <w:rsid w:val="00CA7288"/>
    <w:rsid w:val="00CA73A2"/>
    <w:rsid w:val="00CA7415"/>
    <w:rsid w:val="00CA745A"/>
    <w:rsid w:val="00CA7560"/>
    <w:rsid w:val="00CA75BC"/>
    <w:rsid w:val="00CA75E3"/>
    <w:rsid w:val="00CA7633"/>
    <w:rsid w:val="00CA7714"/>
    <w:rsid w:val="00CA7744"/>
    <w:rsid w:val="00CA7767"/>
    <w:rsid w:val="00CA7777"/>
    <w:rsid w:val="00CA77A8"/>
    <w:rsid w:val="00CA7802"/>
    <w:rsid w:val="00CA787C"/>
    <w:rsid w:val="00CA78B6"/>
    <w:rsid w:val="00CA7912"/>
    <w:rsid w:val="00CA791D"/>
    <w:rsid w:val="00CA7999"/>
    <w:rsid w:val="00CA7A17"/>
    <w:rsid w:val="00CA7A5C"/>
    <w:rsid w:val="00CA7A65"/>
    <w:rsid w:val="00CA7A69"/>
    <w:rsid w:val="00CA7A90"/>
    <w:rsid w:val="00CA7ADA"/>
    <w:rsid w:val="00CA7B5D"/>
    <w:rsid w:val="00CA7B9B"/>
    <w:rsid w:val="00CA7BC8"/>
    <w:rsid w:val="00CA7BD9"/>
    <w:rsid w:val="00CA7C41"/>
    <w:rsid w:val="00CA7C43"/>
    <w:rsid w:val="00CA7C79"/>
    <w:rsid w:val="00CA7D1E"/>
    <w:rsid w:val="00CA7D82"/>
    <w:rsid w:val="00CA7FAE"/>
    <w:rsid w:val="00CA7FDE"/>
    <w:rsid w:val="00CA7FE3"/>
    <w:rsid w:val="00CA7FFC"/>
    <w:rsid w:val="00CB001F"/>
    <w:rsid w:val="00CB00F0"/>
    <w:rsid w:val="00CB0114"/>
    <w:rsid w:val="00CB0138"/>
    <w:rsid w:val="00CB014D"/>
    <w:rsid w:val="00CB01A3"/>
    <w:rsid w:val="00CB0238"/>
    <w:rsid w:val="00CB02A8"/>
    <w:rsid w:val="00CB0322"/>
    <w:rsid w:val="00CB0360"/>
    <w:rsid w:val="00CB0476"/>
    <w:rsid w:val="00CB0490"/>
    <w:rsid w:val="00CB05FD"/>
    <w:rsid w:val="00CB0606"/>
    <w:rsid w:val="00CB0634"/>
    <w:rsid w:val="00CB0640"/>
    <w:rsid w:val="00CB065D"/>
    <w:rsid w:val="00CB06A5"/>
    <w:rsid w:val="00CB06E2"/>
    <w:rsid w:val="00CB071C"/>
    <w:rsid w:val="00CB071E"/>
    <w:rsid w:val="00CB076D"/>
    <w:rsid w:val="00CB0855"/>
    <w:rsid w:val="00CB088D"/>
    <w:rsid w:val="00CB08F9"/>
    <w:rsid w:val="00CB0913"/>
    <w:rsid w:val="00CB0958"/>
    <w:rsid w:val="00CB0960"/>
    <w:rsid w:val="00CB0963"/>
    <w:rsid w:val="00CB0999"/>
    <w:rsid w:val="00CB09E4"/>
    <w:rsid w:val="00CB09E9"/>
    <w:rsid w:val="00CB0A0F"/>
    <w:rsid w:val="00CB0A49"/>
    <w:rsid w:val="00CB0A60"/>
    <w:rsid w:val="00CB0A8D"/>
    <w:rsid w:val="00CB0AAC"/>
    <w:rsid w:val="00CB0AEE"/>
    <w:rsid w:val="00CB0B00"/>
    <w:rsid w:val="00CB0B85"/>
    <w:rsid w:val="00CB0BA6"/>
    <w:rsid w:val="00CB0BD4"/>
    <w:rsid w:val="00CB0BF0"/>
    <w:rsid w:val="00CB0BFC"/>
    <w:rsid w:val="00CB0C13"/>
    <w:rsid w:val="00CB0C5E"/>
    <w:rsid w:val="00CB0C7D"/>
    <w:rsid w:val="00CB0D26"/>
    <w:rsid w:val="00CB0D8A"/>
    <w:rsid w:val="00CB0D96"/>
    <w:rsid w:val="00CB0DAA"/>
    <w:rsid w:val="00CB0DB5"/>
    <w:rsid w:val="00CB0DB9"/>
    <w:rsid w:val="00CB0DF9"/>
    <w:rsid w:val="00CB0EC4"/>
    <w:rsid w:val="00CB0F73"/>
    <w:rsid w:val="00CB0FB9"/>
    <w:rsid w:val="00CB0FCC"/>
    <w:rsid w:val="00CB104B"/>
    <w:rsid w:val="00CB10A0"/>
    <w:rsid w:val="00CB10AB"/>
    <w:rsid w:val="00CB10F0"/>
    <w:rsid w:val="00CB1146"/>
    <w:rsid w:val="00CB1189"/>
    <w:rsid w:val="00CB11A5"/>
    <w:rsid w:val="00CB11AD"/>
    <w:rsid w:val="00CB1231"/>
    <w:rsid w:val="00CB133F"/>
    <w:rsid w:val="00CB13A3"/>
    <w:rsid w:val="00CB13B4"/>
    <w:rsid w:val="00CB13B9"/>
    <w:rsid w:val="00CB1457"/>
    <w:rsid w:val="00CB1528"/>
    <w:rsid w:val="00CB1538"/>
    <w:rsid w:val="00CB1583"/>
    <w:rsid w:val="00CB15C8"/>
    <w:rsid w:val="00CB15EC"/>
    <w:rsid w:val="00CB15F0"/>
    <w:rsid w:val="00CB1647"/>
    <w:rsid w:val="00CB1654"/>
    <w:rsid w:val="00CB16A9"/>
    <w:rsid w:val="00CB178F"/>
    <w:rsid w:val="00CB1800"/>
    <w:rsid w:val="00CB182D"/>
    <w:rsid w:val="00CB18A8"/>
    <w:rsid w:val="00CB18CC"/>
    <w:rsid w:val="00CB18E6"/>
    <w:rsid w:val="00CB1925"/>
    <w:rsid w:val="00CB192C"/>
    <w:rsid w:val="00CB1930"/>
    <w:rsid w:val="00CB1937"/>
    <w:rsid w:val="00CB1978"/>
    <w:rsid w:val="00CB199A"/>
    <w:rsid w:val="00CB19BB"/>
    <w:rsid w:val="00CB19CE"/>
    <w:rsid w:val="00CB1B18"/>
    <w:rsid w:val="00CB1B27"/>
    <w:rsid w:val="00CB1B3A"/>
    <w:rsid w:val="00CB1B64"/>
    <w:rsid w:val="00CB1BBE"/>
    <w:rsid w:val="00CB1BC4"/>
    <w:rsid w:val="00CB1C2E"/>
    <w:rsid w:val="00CB1C41"/>
    <w:rsid w:val="00CB1C50"/>
    <w:rsid w:val="00CB1CAB"/>
    <w:rsid w:val="00CB1CE5"/>
    <w:rsid w:val="00CB1D0B"/>
    <w:rsid w:val="00CB1D11"/>
    <w:rsid w:val="00CB1D57"/>
    <w:rsid w:val="00CB1D7D"/>
    <w:rsid w:val="00CB1E21"/>
    <w:rsid w:val="00CB1E36"/>
    <w:rsid w:val="00CB1E6D"/>
    <w:rsid w:val="00CB1F20"/>
    <w:rsid w:val="00CB1F56"/>
    <w:rsid w:val="00CB1F68"/>
    <w:rsid w:val="00CB1F71"/>
    <w:rsid w:val="00CB1F97"/>
    <w:rsid w:val="00CB1FC0"/>
    <w:rsid w:val="00CB1FDA"/>
    <w:rsid w:val="00CB206E"/>
    <w:rsid w:val="00CB212B"/>
    <w:rsid w:val="00CB2130"/>
    <w:rsid w:val="00CB21F2"/>
    <w:rsid w:val="00CB2202"/>
    <w:rsid w:val="00CB2295"/>
    <w:rsid w:val="00CB22CC"/>
    <w:rsid w:val="00CB232C"/>
    <w:rsid w:val="00CB2355"/>
    <w:rsid w:val="00CB23C6"/>
    <w:rsid w:val="00CB23F6"/>
    <w:rsid w:val="00CB23FD"/>
    <w:rsid w:val="00CB2471"/>
    <w:rsid w:val="00CB24E6"/>
    <w:rsid w:val="00CB2532"/>
    <w:rsid w:val="00CB254E"/>
    <w:rsid w:val="00CB25D7"/>
    <w:rsid w:val="00CB25EF"/>
    <w:rsid w:val="00CB2640"/>
    <w:rsid w:val="00CB269B"/>
    <w:rsid w:val="00CB26DD"/>
    <w:rsid w:val="00CB2712"/>
    <w:rsid w:val="00CB2713"/>
    <w:rsid w:val="00CB2720"/>
    <w:rsid w:val="00CB278F"/>
    <w:rsid w:val="00CB27B2"/>
    <w:rsid w:val="00CB27FF"/>
    <w:rsid w:val="00CB281B"/>
    <w:rsid w:val="00CB28B5"/>
    <w:rsid w:val="00CB28D4"/>
    <w:rsid w:val="00CB2943"/>
    <w:rsid w:val="00CB295E"/>
    <w:rsid w:val="00CB298F"/>
    <w:rsid w:val="00CB2ADC"/>
    <w:rsid w:val="00CB2AEA"/>
    <w:rsid w:val="00CB2AFF"/>
    <w:rsid w:val="00CB2B0D"/>
    <w:rsid w:val="00CB2BCD"/>
    <w:rsid w:val="00CB2CF4"/>
    <w:rsid w:val="00CB2D0B"/>
    <w:rsid w:val="00CB2D3B"/>
    <w:rsid w:val="00CB2DAE"/>
    <w:rsid w:val="00CB2DEC"/>
    <w:rsid w:val="00CB2E34"/>
    <w:rsid w:val="00CB2E70"/>
    <w:rsid w:val="00CB2EDE"/>
    <w:rsid w:val="00CB2F4B"/>
    <w:rsid w:val="00CB2F60"/>
    <w:rsid w:val="00CB2FBC"/>
    <w:rsid w:val="00CB2FE7"/>
    <w:rsid w:val="00CB302C"/>
    <w:rsid w:val="00CB30B4"/>
    <w:rsid w:val="00CB30BE"/>
    <w:rsid w:val="00CB30CB"/>
    <w:rsid w:val="00CB30D6"/>
    <w:rsid w:val="00CB30D8"/>
    <w:rsid w:val="00CB3138"/>
    <w:rsid w:val="00CB3214"/>
    <w:rsid w:val="00CB321D"/>
    <w:rsid w:val="00CB32FC"/>
    <w:rsid w:val="00CB32FF"/>
    <w:rsid w:val="00CB33C9"/>
    <w:rsid w:val="00CB353C"/>
    <w:rsid w:val="00CB354A"/>
    <w:rsid w:val="00CB356B"/>
    <w:rsid w:val="00CB3603"/>
    <w:rsid w:val="00CB3621"/>
    <w:rsid w:val="00CB363E"/>
    <w:rsid w:val="00CB3651"/>
    <w:rsid w:val="00CB3653"/>
    <w:rsid w:val="00CB3776"/>
    <w:rsid w:val="00CB37C8"/>
    <w:rsid w:val="00CB3879"/>
    <w:rsid w:val="00CB388B"/>
    <w:rsid w:val="00CB38C2"/>
    <w:rsid w:val="00CB3902"/>
    <w:rsid w:val="00CB390D"/>
    <w:rsid w:val="00CB3929"/>
    <w:rsid w:val="00CB3A49"/>
    <w:rsid w:val="00CB3B13"/>
    <w:rsid w:val="00CB3B86"/>
    <w:rsid w:val="00CB3C3F"/>
    <w:rsid w:val="00CB3C48"/>
    <w:rsid w:val="00CB3C51"/>
    <w:rsid w:val="00CB3C7F"/>
    <w:rsid w:val="00CB3C87"/>
    <w:rsid w:val="00CB3CC1"/>
    <w:rsid w:val="00CB3CD1"/>
    <w:rsid w:val="00CB3CEF"/>
    <w:rsid w:val="00CB3D80"/>
    <w:rsid w:val="00CB3E33"/>
    <w:rsid w:val="00CB3EF3"/>
    <w:rsid w:val="00CB3FA9"/>
    <w:rsid w:val="00CB3FD1"/>
    <w:rsid w:val="00CB3FEA"/>
    <w:rsid w:val="00CB403D"/>
    <w:rsid w:val="00CB4101"/>
    <w:rsid w:val="00CB4163"/>
    <w:rsid w:val="00CB41EB"/>
    <w:rsid w:val="00CB4206"/>
    <w:rsid w:val="00CB4273"/>
    <w:rsid w:val="00CB42B5"/>
    <w:rsid w:val="00CB438D"/>
    <w:rsid w:val="00CB4405"/>
    <w:rsid w:val="00CB44A6"/>
    <w:rsid w:val="00CB44BB"/>
    <w:rsid w:val="00CB4510"/>
    <w:rsid w:val="00CB45A1"/>
    <w:rsid w:val="00CB45F6"/>
    <w:rsid w:val="00CB4650"/>
    <w:rsid w:val="00CB465D"/>
    <w:rsid w:val="00CB469C"/>
    <w:rsid w:val="00CB46FD"/>
    <w:rsid w:val="00CB46FF"/>
    <w:rsid w:val="00CB479E"/>
    <w:rsid w:val="00CB47E3"/>
    <w:rsid w:val="00CB4811"/>
    <w:rsid w:val="00CB4820"/>
    <w:rsid w:val="00CB483C"/>
    <w:rsid w:val="00CB4843"/>
    <w:rsid w:val="00CB4854"/>
    <w:rsid w:val="00CB49BD"/>
    <w:rsid w:val="00CB49CD"/>
    <w:rsid w:val="00CB4AC7"/>
    <w:rsid w:val="00CB4B06"/>
    <w:rsid w:val="00CB4B6D"/>
    <w:rsid w:val="00CB4B88"/>
    <w:rsid w:val="00CB4BC2"/>
    <w:rsid w:val="00CB4C7A"/>
    <w:rsid w:val="00CB4C88"/>
    <w:rsid w:val="00CB4C99"/>
    <w:rsid w:val="00CB4CB5"/>
    <w:rsid w:val="00CB4CE5"/>
    <w:rsid w:val="00CB4D08"/>
    <w:rsid w:val="00CB4D6D"/>
    <w:rsid w:val="00CB4E7C"/>
    <w:rsid w:val="00CB4E81"/>
    <w:rsid w:val="00CB4EAC"/>
    <w:rsid w:val="00CB4ED7"/>
    <w:rsid w:val="00CB4EEE"/>
    <w:rsid w:val="00CB4EFB"/>
    <w:rsid w:val="00CB4EFC"/>
    <w:rsid w:val="00CB4F03"/>
    <w:rsid w:val="00CB4FD0"/>
    <w:rsid w:val="00CB501E"/>
    <w:rsid w:val="00CB504C"/>
    <w:rsid w:val="00CB5085"/>
    <w:rsid w:val="00CB5091"/>
    <w:rsid w:val="00CB5129"/>
    <w:rsid w:val="00CB5184"/>
    <w:rsid w:val="00CB5197"/>
    <w:rsid w:val="00CB51CB"/>
    <w:rsid w:val="00CB524C"/>
    <w:rsid w:val="00CB5285"/>
    <w:rsid w:val="00CB528D"/>
    <w:rsid w:val="00CB52B3"/>
    <w:rsid w:val="00CB52C6"/>
    <w:rsid w:val="00CB52FE"/>
    <w:rsid w:val="00CB5302"/>
    <w:rsid w:val="00CB5367"/>
    <w:rsid w:val="00CB5408"/>
    <w:rsid w:val="00CB54F4"/>
    <w:rsid w:val="00CB552E"/>
    <w:rsid w:val="00CB5591"/>
    <w:rsid w:val="00CB55A5"/>
    <w:rsid w:val="00CB5615"/>
    <w:rsid w:val="00CB5648"/>
    <w:rsid w:val="00CB5665"/>
    <w:rsid w:val="00CB5671"/>
    <w:rsid w:val="00CB56A3"/>
    <w:rsid w:val="00CB56BB"/>
    <w:rsid w:val="00CB56CF"/>
    <w:rsid w:val="00CB5748"/>
    <w:rsid w:val="00CB5782"/>
    <w:rsid w:val="00CB57D6"/>
    <w:rsid w:val="00CB5872"/>
    <w:rsid w:val="00CB58A8"/>
    <w:rsid w:val="00CB5904"/>
    <w:rsid w:val="00CB59C4"/>
    <w:rsid w:val="00CB5AC5"/>
    <w:rsid w:val="00CB5AE4"/>
    <w:rsid w:val="00CB5AF2"/>
    <w:rsid w:val="00CB5B20"/>
    <w:rsid w:val="00CB5B52"/>
    <w:rsid w:val="00CB5BD1"/>
    <w:rsid w:val="00CB5BF7"/>
    <w:rsid w:val="00CB5C05"/>
    <w:rsid w:val="00CB5C38"/>
    <w:rsid w:val="00CB5CDF"/>
    <w:rsid w:val="00CB5D2A"/>
    <w:rsid w:val="00CB5DB2"/>
    <w:rsid w:val="00CB5DC6"/>
    <w:rsid w:val="00CB5E33"/>
    <w:rsid w:val="00CB5E51"/>
    <w:rsid w:val="00CB5E82"/>
    <w:rsid w:val="00CB5ED2"/>
    <w:rsid w:val="00CB5F04"/>
    <w:rsid w:val="00CB5F62"/>
    <w:rsid w:val="00CB5FCE"/>
    <w:rsid w:val="00CB6026"/>
    <w:rsid w:val="00CB6109"/>
    <w:rsid w:val="00CB615D"/>
    <w:rsid w:val="00CB61B8"/>
    <w:rsid w:val="00CB6212"/>
    <w:rsid w:val="00CB6294"/>
    <w:rsid w:val="00CB6307"/>
    <w:rsid w:val="00CB6342"/>
    <w:rsid w:val="00CB636E"/>
    <w:rsid w:val="00CB6379"/>
    <w:rsid w:val="00CB6422"/>
    <w:rsid w:val="00CB647A"/>
    <w:rsid w:val="00CB6504"/>
    <w:rsid w:val="00CB6513"/>
    <w:rsid w:val="00CB651E"/>
    <w:rsid w:val="00CB652D"/>
    <w:rsid w:val="00CB653C"/>
    <w:rsid w:val="00CB6571"/>
    <w:rsid w:val="00CB65B6"/>
    <w:rsid w:val="00CB6628"/>
    <w:rsid w:val="00CB6635"/>
    <w:rsid w:val="00CB668D"/>
    <w:rsid w:val="00CB66B5"/>
    <w:rsid w:val="00CB66CB"/>
    <w:rsid w:val="00CB6852"/>
    <w:rsid w:val="00CB6878"/>
    <w:rsid w:val="00CB687E"/>
    <w:rsid w:val="00CB6923"/>
    <w:rsid w:val="00CB6A17"/>
    <w:rsid w:val="00CB6A5A"/>
    <w:rsid w:val="00CB6AC9"/>
    <w:rsid w:val="00CB6AD1"/>
    <w:rsid w:val="00CB6B08"/>
    <w:rsid w:val="00CB6BAC"/>
    <w:rsid w:val="00CB6C86"/>
    <w:rsid w:val="00CB6CD0"/>
    <w:rsid w:val="00CB6CDB"/>
    <w:rsid w:val="00CB6D02"/>
    <w:rsid w:val="00CB6D65"/>
    <w:rsid w:val="00CB6D91"/>
    <w:rsid w:val="00CB6E0A"/>
    <w:rsid w:val="00CB6E17"/>
    <w:rsid w:val="00CB6E4A"/>
    <w:rsid w:val="00CB6EB2"/>
    <w:rsid w:val="00CB6EF5"/>
    <w:rsid w:val="00CB6F2A"/>
    <w:rsid w:val="00CB6F42"/>
    <w:rsid w:val="00CB6FEA"/>
    <w:rsid w:val="00CB7023"/>
    <w:rsid w:val="00CB704B"/>
    <w:rsid w:val="00CB70AF"/>
    <w:rsid w:val="00CB70BD"/>
    <w:rsid w:val="00CB70C6"/>
    <w:rsid w:val="00CB712F"/>
    <w:rsid w:val="00CB718F"/>
    <w:rsid w:val="00CB720D"/>
    <w:rsid w:val="00CB7262"/>
    <w:rsid w:val="00CB72AE"/>
    <w:rsid w:val="00CB72C1"/>
    <w:rsid w:val="00CB730B"/>
    <w:rsid w:val="00CB7314"/>
    <w:rsid w:val="00CB73DD"/>
    <w:rsid w:val="00CB73F1"/>
    <w:rsid w:val="00CB7403"/>
    <w:rsid w:val="00CB74D4"/>
    <w:rsid w:val="00CB74FB"/>
    <w:rsid w:val="00CB7560"/>
    <w:rsid w:val="00CB758C"/>
    <w:rsid w:val="00CB7645"/>
    <w:rsid w:val="00CB7757"/>
    <w:rsid w:val="00CB7933"/>
    <w:rsid w:val="00CB7942"/>
    <w:rsid w:val="00CB7970"/>
    <w:rsid w:val="00CB79FF"/>
    <w:rsid w:val="00CB7A36"/>
    <w:rsid w:val="00CB7A60"/>
    <w:rsid w:val="00CB7A7E"/>
    <w:rsid w:val="00CB7A9C"/>
    <w:rsid w:val="00CB7ADE"/>
    <w:rsid w:val="00CB7AFE"/>
    <w:rsid w:val="00CB7B65"/>
    <w:rsid w:val="00CB7B6F"/>
    <w:rsid w:val="00CB7BA5"/>
    <w:rsid w:val="00CB7BA9"/>
    <w:rsid w:val="00CB7BE3"/>
    <w:rsid w:val="00CB7C84"/>
    <w:rsid w:val="00CB7CF5"/>
    <w:rsid w:val="00CB7D05"/>
    <w:rsid w:val="00CB7D3A"/>
    <w:rsid w:val="00CB7D46"/>
    <w:rsid w:val="00CB7D5A"/>
    <w:rsid w:val="00CB7DEA"/>
    <w:rsid w:val="00CB7DF2"/>
    <w:rsid w:val="00CB7E07"/>
    <w:rsid w:val="00CC0002"/>
    <w:rsid w:val="00CC0057"/>
    <w:rsid w:val="00CC0103"/>
    <w:rsid w:val="00CC017F"/>
    <w:rsid w:val="00CC01F2"/>
    <w:rsid w:val="00CC025F"/>
    <w:rsid w:val="00CC0345"/>
    <w:rsid w:val="00CC0352"/>
    <w:rsid w:val="00CC0376"/>
    <w:rsid w:val="00CC0475"/>
    <w:rsid w:val="00CC04C3"/>
    <w:rsid w:val="00CC04C6"/>
    <w:rsid w:val="00CC0569"/>
    <w:rsid w:val="00CC0591"/>
    <w:rsid w:val="00CC05BC"/>
    <w:rsid w:val="00CC05CA"/>
    <w:rsid w:val="00CC0603"/>
    <w:rsid w:val="00CC0683"/>
    <w:rsid w:val="00CC0688"/>
    <w:rsid w:val="00CC0755"/>
    <w:rsid w:val="00CC07B7"/>
    <w:rsid w:val="00CC07D5"/>
    <w:rsid w:val="00CC07EB"/>
    <w:rsid w:val="00CC0856"/>
    <w:rsid w:val="00CC0880"/>
    <w:rsid w:val="00CC0883"/>
    <w:rsid w:val="00CC0885"/>
    <w:rsid w:val="00CC0894"/>
    <w:rsid w:val="00CC08BE"/>
    <w:rsid w:val="00CC08FB"/>
    <w:rsid w:val="00CC0977"/>
    <w:rsid w:val="00CC098D"/>
    <w:rsid w:val="00CC09BF"/>
    <w:rsid w:val="00CC09D1"/>
    <w:rsid w:val="00CC0A69"/>
    <w:rsid w:val="00CC0AB4"/>
    <w:rsid w:val="00CC0ADC"/>
    <w:rsid w:val="00CC0B31"/>
    <w:rsid w:val="00CC0BA2"/>
    <w:rsid w:val="00CC0BC3"/>
    <w:rsid w:val="00CC0BF1"/>
    <w:rsid w:val="00CC0C2A"/>
    <w:rsid w:val="00CC0D16"/>
    <w:rsid w:val="00CC0D2B"/>
    <w:rsid w:val="00CC0D79"/>
    <w:rsid w:val="00CC0DA7"/>
    <w:rsid w:val="00CC0DB6"/>
    <w:rsid w:val="00CC0DCB"/>
    <w:rsid w:val="00CC0F5B"/>
    <w:rsid w:val="00CC1065"/>
    <w:rsid w:val="00CC108D"/>
    <w:rsid w:val="00CC10B7"/>
    <w:rsid w:val="00CC10E5"/>
    <w:rsid w:val="00CC10FA"/>
    <w:rsid w:val="00CC110D"/>
    <w:rsid w:val="00CC1119"/>
    <w:rsid w:val="00CC111E"/>
    <w:rsid w:val="00CC11AA"/>
    <w:rsid w:val="00CC1232"/>
    <w:rsid w:val="00CC132F"/>
    <w:rsid w:val="00CC1397"/>
    <w:rsid w:val="00CC13BA"/>
    <w:rsid w:val="00CC1569"/>
    <w:rsid w:val="00CC15CB"/>
    <w:rsid w:val="00CC15F2"/>
    <w:rsid w:val="00CC161B"/>
    <w:rsid w:val="00CC1632"/>
    <w:rsid w:val="00CC167E"/>
    <w:rsid w:val="00CC16BC"/>
    <w:rsid w:val="00CC1722"/>
    <w:rsid w:val="00CC1727"/>
    <w:rsid w:val="00CC172B"/>
    <w:rsid w:val="00CC175E"/>
    <w:rsid w:val="00CC186A"/>
    <w:rsid w:val="00CC18B8"/>
    <w:rsid w:val="00CC18E0"/>
    <w:rsid w:val="00CC18EB"/>
    <w:rsid w:val="00CC1939"/>
    <w:rsid w:val="00CC199B"/>
    <w:rsid w:val="00CC19DF"/>
    <w:rsid w:val="00CC19E0"/>
    <w:rsid w:val="00CC1A2D"/>
    <w:rsid w:val="00CC1B01"/>
    <w:rsid w:val="00CC1B1F"/>
    <w:rsid w:val="00CC1BDE"/>
    <w:rsid w:val="00CC1C67"/>
    <w:rsid w:val="00CC1D45"/>
    <w:rsid w:val="00CC1D4E"/>
    <w:rsid w:val="00CC1E17"/>
    <w:rsid w:val="00CC1E8D"/>
    <w:rsid w:val="00CC1E9B"/>
    <w:rsid w:val="00CC1ED6"/>
    <w:rsid w:val="00CC1EDB"/>
    <w:rsid w:val="00CC1FB2"/>
    <w:rsid w:val="00CC1FE5"/>
    <w:rsid w:val="00CC1FE8"/>
    <w:rsid w:val="00CC2038"/>
    <w:rsid w:val="00CC2039"/>
    <w:rsid w:val="00CC20D0"/>
    <w:rsid w:val="00CC2125"/>
    <w:rsid w:val="00CC2149"/>
    <w:rsid w:val="00CC2176"/>
    <w:rsid w:val="00CC219C"/>
    <w:rsid w:val="00CC21A0"/>
    <w:rsid w:val="00CC2220"/>
    <w:rsid w:val="00CC23D7"/>
    <w:rsid w:val="00CC248D"/>
    <w:rsid w:val="00CC249C"/>
    <w:rsid w:val="00CC24DE"/>
    <w:rsid w:val="00CC2507"/>
    <w:rsid w:val="00CC250C"/>
    <w:rsid w:val="00CC2573"/>
    <w:rsid w:val="00CC25D9"/>
    <w:rsid w:val="00CC25EF"/>
    <w:rsid w:val="00CC25F3"/>
    <w:rsid w:val="00CC2670"/>
    <w:rsid w:val="00CC2733"/>
    <w:rsid w:val="00CC2761"/>
    <w:rsid w:val="00CC2763"/>
    <w:rsid w:val="00CC27B6"/>
    <w:rsid w:val="00CC27E7"/>
    <w:rsid w:val="00CC27F3"/>
    <w:rsid w:val="00CC2821"/>
    <w:rsid w:val="00CC283A"/>
    <w:rsid w:val="00CC2840"/>
    <w:rsid w:val="00CC28C5"/>
    <w:rsid w:val="00CC2945"/>
    <w:rsid w:val="00CC294D"/>
    <w:rsid w:val="00CC2A7C"/>
    <w:rsid w:val="00CC2A8D"/>
    <w:rsid w:val="00CC2AA1"/>
    <w:rsid w:val="00CC2AC3"/>
    <w:rsid w:val="00CC2ADE"/>
    <w:rsid w:val="00CC2B32"/>
    <w:rsid w:val="00CC2BC3"/>
    <w:rsid w:val="00CC2CAB"/>
    <w:rsid w:val="00CC2CC2"/>
    <w:rsid w:val="00CC2CE8"/>
    <w:rsid w:val="00CC2E5C"/>
    <w:rsid w:val="00CC2E6F"/>
    <w:rsid w:val="00CC2FB6"/>
    <w:rsid w:val="00CC2FEE"/>
    <w:rsid w:val="00CC30B9"/>
    <w:rsid w:val="00CC30E9"/>
    <w:rsid w:val="00CC30F5"/>
    <w:rsid w:val="00CC312B"/>
    <w:rsid w:val="00CC31D0"/>
    <w:rsid w:val="00CC31EE"/>
    <w:rsid w:val="00CC3286"/>
    <w:rsid w:val="00CC33B1"/>
    <w:rsid w:val="00CC33E1"/>
    <w:rsid w:val="00CC3405"/>
    <w:rsid w:val="00CC3441"/>
    <w:rsid w:val="00CC34F7"/>
    <w:rsid w:val="00CC352C"/>
    <w:rsid w:val="00CC3598"/>
    <w:rsid w:val="00CC364D"/>
    <w:rsid w:val="00CC3653"/>
    <w:rsid w:val="00CC3668"/>
    <w:rsid w:val="00CC366B"/>
    <w:rsid w:val="00CC3680"/>
    <w:rsid w:val="00CC369F"/>
    <w:rsid w:val="00CC36AA"/>
    <w:rsid w:val="00CC36FE"/>
    <w:rsid w:val="00CC370B"/>
    <w:rsid w:val="00CC374F"/>
    <w:rsid w:val="00CC3785"/>
    <w:rsid w:val="00CC37D1"/>
    <w:rsid w:val="00CC38C1"/>
    <w:rsid w:val="00CC3976"/>
    <w:rsid w:val="00CC39C9"/>
    <w:rsid w:val="00CC3A0E"/>
    <w:rsid w:val="00CC3A4A"/>
    <w:rsid w:val="00CC3AC2"/>
    <w:rsid w:val="00CC3ADA"/>
    <w:rsid w:val="00CC3B1B"/>
    <w:rsid w:val="00CC3B43"/>
    <w:rsid w:val="00CC3BCF"/>
    <w:rsid w:val="00CC3BEF"/>
    <w:rsid w:val="00CC3C52"/>
    <w:rsid w:val="00CC3C8A"/>
    <w:rsid w:val="00CC3DAE"/>
    <w:rsid w:val="00CC3DE0"/>
    <w:rsid w:val="00CC3DE1"/>
    <w:rsid w:val="00CC3DED"/>
    <w:rsid w:val="00CC3E0A"/>
    <w:rsid w:val="00CC3E1E"/>
    <w:rsid w:val="00CC3E63"/>
    <w:rsid w:val="00CC3EC4"/>
    <w:rsid w:val="00CC3F67"/>
    <w:rsid w:val="00CC3FA0"/>
    <w:rsid w:val="00CC3FA3"/>
    <w:rsid w:val="00CC405B"/>
    <w:rsid w:val="00CC40F6"/>
    <w:rsid w:val="00CC41E0"/>
    <w:rsid w:val="00CC41E6"/>
    <w:rsid w:val="00CC41ED"/>
    <w:rsid w:val="00CC4219"/>
    <w:rsid w:val="00CC4271"/>
    <w:rsid w:val="00CC428C"/>
    <w:rsid w:val="00CC42E0"/>
    <w:rsid w:val="00CC432C"/>
    <w:rsid w:val="00CC4386"/>
    <w:rsid w:val="00CC43C5"/>
    <w:rsid w:val="00CC4409"/>
    <w:rsid w:val="00CC44F4"/>
    <w:rsid w:val="00CC450F"/>
    <w:rsid w:val="00CC4563"/>
    <w:rsid w:val="00CC4571"/>
    <w:rsid w:val="00CC45C1"/>
    <w:rsid w:val="00CC45C2"/>
    <w:rsid w:val="00CC4601"/>
    <w:rsid w:val="00CC4678"/>
    <w:rsid w:val="00CC46D6"/>
    <w:rsid w:val="00CC4701"/>
    <w:rsid w:val="00CC4721"/>
    <w:rsid w:val="00CC472A"/>
    <w:rsid w:val="00CC4779"/>
    <w:rsid w:val="00CC4876"/>
    <w:rsid w:val="00CC48A1"/>
    <w:rsid w:val="00CC491F"/>
    <w:rsid w:val="00CC4949"/>
    <w:rsid w:val="00CC4990"/>
    <w:rsid w:val="00CC4A10"/>
    <w:rsid w:val="00CC4A24"/>
    <w:rsid w:val="00CC4A49"/>
    <w:rsid w:val="00CC4A90"/>
    <w:rsid w:val="00CC4A9A"/>
    <w:rsid w:val="00CC4B16"/>
    <w:rsid w:val="00CC4B6F"/>
    <w:rsid w:val="00CC4BF3"/>
    <w:rsid w:val="00CC4C40"/>
    <w:rsid w:val="00CC4C82"/>
    <w:rsid w:val="00CC4C8D"/>
    <w:rsid w:val="00CC4CC2"/>
    <w:rsid w:val="00CC4D5C"/>
    <w:rsid w:val="00CC4D80"/>
    <w:rsid w:val="00CC4DEB"/>
    <w:rsid w:val="00CC4E87"/>
    <w:rsid w:val="00CC4EB2"/>
    <w:rsid w:val="00CC4F2A"/>
    <w:rsid w:val="00CC4F31"/>
    <w:rsid w:val="00CC4F7D"/>
    <w:rsid w:val="00CC4FA9"/>
    <w:rsid w:val="00CC4FDD"/>
    <w:rsid w:val="00CC5013"/>
    <w:rsid w:val="00CC5030"/>
    <w:rsid w:val="00CC513F"/>
    <w:rsid w:val="00CC5158"/>
    <w:rsid w:val="00CC516D"/>
    <w:rsid w:val="00CC51D7"/>
    <w:rsid w:val="00CC5251"/>
    <w:rsid w:val="00CC52C4"/>
    <w:rsid w:val="00CC5328"/>
    <w:rsid w:val="00CC5372"/>
    <w:rsid w:val="00CC538D"/>
    <w:rsid w:val="00CC53CE"/>
    <w:rsid w:val="00CC53ED"/>
    <w:rsid w:val="00CC542C"/>
    <w:rsid w:val="00CC54BA"/>
    <w:rsid w:val="00CC557C"/>
    <w:rsid w:val="00CC559F"/>
    <w:rsid w:val="00CC563D"/>
    <w:rsid w:val="00CC563E"/>
    <w:rsid w:val="00CC5640"/>
    <w:rsid w:val="00CC5646"/>
    <w:rsid w:val="00CC565B"/>
    <w:rsid w:val="00CC566D"/>
    <w:rsid w:val="00CC56BC"/>
    <w:rsid w:val="00CC56E2"/>
    <w:rsid w:val="00CC57A9"/>
    <w:rsid w:val="00CC5804"/>
    <w:rsid w:val="00CC58D1"/>
    <w:rsid w:val="00CC58D9"/>
    <w:rsid w:val="00CC58E9"/>
    <w:rsid w:val="00CC5995"/>
    <w:rsid w:val="00CC5A43"/>
    <w:rsid w:val="00CC5AF3"/>
    <w:rsid w:val="00CC5B08"/>
    <w:rsid w:val="00CC5BAA"/>
    <w:rsid w:val="00CC5BB8"/>
    <w:rsid w:val="00CC5C9F"/>
    <w:rsid w:val="00CC5CA7"/>
    <w:rsid w:val="00CC5D7B"/>
    <w:rsid w:val="00CC5E3D"/>
    <w:rsid w:val="00CC5EAF"/>
    <w:rsid w:val="00CC5EE3"/>
    <w:rsid w:val="00CC5F0A"/>
    <w:rsid w:val="00CC5F6C"/>
    <w:rsid w:val="00CC5F9C"/>
    <w:rsid w:val="00CC5FE2"/>
    <w:rsid w:val="00CC5FFE"/>
    <w:rsid w:val="00CC6088"/>
    <w:rsid w:val="00CC60A4"/>
    <w:rsid w:val="00CC60FC"/>
    <w:rsid w:val="00CC612C"/>
    <w:rsid w:val="00CC6168"/>
    <w:rsid w:val="00CC61AF"/>
    <w:rsid w:val="00CC6294"/>
    <w:rsid w:val="00CC62F0"/>
    <w:rsid w:val="00CC633D"/>
    <w:rsid w:val="00CC6354"/>
    <w:rsid w:val="00CC639C"/>
    <w:rsid w:val="00CC6409"/>
    <w:rsid w:val="00CC6417"/>
    <w:rsid w:val="00CC644F"/>
    <w:rsid w:val="00CC6493"/>
    <w:rsid w:val="00CC64ED"/>
    <w:rsid w:val="00CC654F"/>
    <w:rsid w:val="00CC6596"/>
    <w:rsid w:val="00CC659C"/>
    <w:rsid w:val="00CC6635"/>
    <w:rsid w:val="00CC668A"/>
    <w:rsid w:val="00CC6694"/>
    <w:rsid w:val="00CC66D3"/>
    <w:rsid w:val="00CC66E1"/>
    <w:rsid w:val="00CC6784"/>
    <w:rsid w:val="00CC6792"/>
    <w:rsid w:val="00CC67E7"/>
    <w:rsid w:val="00CC6801"/>
    <w:rsid w:val="00CC680C"/>
    <w:rsid w:val="00CC680D"/>
    <w:rsid w:val="00CC682E"/>
    <w:rsid w:val="00CC68D7"/>
    <w:rsid w:val="00CC68ED"/>
    <w:rsid w:val="00CC6A10"/>
    <w:rsid w:val="00CC6A5F"/>
    <w:rsid w:val="00CC6B1C"/>
    <w:rsid w:val="00CC6BA6"/>
    <w:rsid w:val="00CC6BAA"/>
    <w:rsid w:val="00CC6BF0"/>
    <w:rsid w:val="00CC6C22"/>
    <w:rsid w:val="00CC6C2E"/>
    <w:rsid w:val="00CC6C3D"/>
    <w:rsid w:val="00CC6D3A"/>
    <w:rsid w:val="00CC6E02"/>
    <w:rsid w:val="00CC6E1E"/>
    <w:rsid w:val="00CC6E4F"/>
    <w:rsid w:val="00CC6F06"/>
    <w:rsid w:val="00CC6F1C"/>
    <w:rsid w:val="00CC6FAD"/>
    <w:rsid w:val="00CC7035"/>
    <w:rsid w:val="00CC7086"/>
    <w:rsid w:val="00CC709F"/>
    <w:rsid w:val="00CC70A1"/>
    <w:rsid w:val="00CC70BC"/>
    <w:rsid w:val="00CC70C6"/>
    <w:rsid w:val="00CC70C7"/>
    <w:rsid w:val="00CC711E"/>
    <w:rsid w:val="00CC7121"/>
    <w:rsid w:val="00CC7134"/>
    <w:rsid w:val="00CC714C"/>
    <w:rsid w:val="00CC71AA"/>
    <w:rsid w:val="00CC722A"/>
    <w:rsid w:val="00CC723C"/>
    <w:rsid w:val="00CC7261"/>
    <w:rsid w:val="00CC7343"/>
    <w:rsid w:val="00CC73C5"/>
    <w:rsid w:val="00CC73D3"/>
    <w:rsid w:val="00CC748A"/>
    <w:rsid w:val="00CC7521"/>
    <w:rsid w:val="00CC75B0"/>
    <w:rsid w:val="00CC75F2"/>
    <w:rsid w:val="00CC76E4"/>
    <w:rsid w:val="00CC76EC"/>
    <w:rsid w:val="00CC77B3"/>
    <w:rsid w:val="00CC77DF"/>
    <w:rsid w:val="00CC780A"/>
    <w:rsid w:val="00CC789F"/>
    <w:rsid w:val="00CC792C"/>
    <w:rsid w:val="00CC792E"/>
    <w:rsid w:val="00CC79D6"/>
    <w:rsid w:val="00CC79EE"/>
    <w:rsid w:val="00CC7A0C"/>
    <w:rsid w:val="00CC7A7D"/>
    <w:rsid w:val="00CC7A82"/>
    <w:rsid w:val="00CC7A99"/>
    <w:rsid w:val="00CC7BF4"/>
    <w:rsid w:val="00CC7C0F"/>
    <w:rsid w:val="00CC7C6F"/>
    <w:rsid w:val="00CC7E4B"/>
    <w:rsid w:val="00CC7EBB"/>
    <w:rsid w:val="00CC7EC3"/>
    <w:rsid w:val="00CC7EF9"/>
    <w:rsid w:val="00CC7F5A"/>
    <w:rsid w:val="00CC7F73"/>
    <w:rsid w:val="00CC7F7E"/>
    <w:rsid w:val="00CC7FBB"/>
    <w:rsid w:val="00CC7FFD"/>
    <w:rsid w:val="00CD0076"/>
    <w:rsid w:val="00CD0102"/>
    <w:rsid w:val="00CD01D0"/>
    <w:rsid w:val="00CD025C"/>
    <w:rsid w:val="00CD027F"/>
    <w:rsid w:val="00CD02CF"/>
    <w:rsid w:val="00CD0360"/>
    <w:rsid w:val="00CD0363"/>
    <w:rsid w:val="00CD03B8"/>
    <w:rsid w:val="00CD0597"/>
    <w:rsid w:val="00CD05E2"/>
    <w:rsid w:val="00CD0636"/>
    <w:rsid w:val="00CD0656"/>
    <w:rsid w:val="00CD0671"/>
    <w:rsid w:val="00CD0759"/>
    <w:rsid w:val="00CD07A5"/>
    <w:rsid w:val="00CD08E9"/>
    <w:rsid w:val="00CD090E"/>
    <w:rsid w:val="00CD09C3"/>
    <w:rsid w:val="00CD09C8"/>
    <w:rsid w:val="00CD0A01"/>
    <w:rsid w:val="00CD0A47"/>
    <w:rsid w:val="00CD0A7A"/>
    <w:rsid w:val="00CD0AC7"/>
    <w:rsid w:val="00CD0B04"/>
    <w:rsid w:val="00CD0B25"/>
    <w:rsid w:val="00CD0B36"/>
    <w:rsid w:val="00CD0B3C"/>
    <w:rsid w:val="00CD0B59"/>
    <w:rsid w:val="00CD0B89"/>
    <w:rsid w:val="00CD0C83"/>
    <w:rsid w:val="00CD0C87"/>
    <w:rsid w:val="00CD0E28"/>
    <w:rsid w:val="00CD0E34"/>
    <w:rsid w:val="00CD0E4D"/>
    <w:rsid w:val="00CD0EAB"/>
    <w:rsid w:val="00CD0F66"/>
    <w:rsid w:val="00CD0FA2"/>
    <w:rsid w:val="00CD109B"/>
    <w:rsid w:val="00CD10C5"/>
    <w:rsid w:val="00CD1101"/>
    <w:rsid w:val="00CD115C"/>
    <w:rsid w:val="00CD1169"/>
    <w:rsid w:val="00CD11FF"/>
    <w:rsid w:val="00CD1241"/>
    <w:rsid w:val="00CD124A"/>
    <w:rsid w:val="00CD12DB"/>
    <w:rsid w:val="00CD12E9"/>
    <w:rsid w:val="00CD133F"/>
    <w:rsid w:val="00CD1366"/>
    <w:rsid w:val="00CD13F0"/>
    <w:rsid w:val="00CD1432"/>
    <w:rsid w:val="00CD143C"/>
    <w:rsid w:val="00CD1607"/>
    <w:rsid w:val="00CD160A"/>
    <w:rsid w:val="00CD160B"/>
    <w:rsid w:val="00CD163D"/>
    <w:rsid w:val="00CD1711"/>
    <w:rsid w:val="00CD17A9"/>
    <w:rsid w:val="00CD1820"/>
    <w:rsid w:val="00CD1837"/>
    <w:rsid w:val="00CD183A"/>
    <w:rsid w:val="00CD1841"/>
    <w:rsid w:val="00CD1847"/>
    <w:rsid w:val="00CD189C"/>
    <w:rsid w:val="00CD190D"/>
    <w:rsid w:val="00CD1925"/>
    <w:rsid w:val="00CD1979"/>
    <w:rsid w:val="00CD1A22"/>
    <w:rsid w:val="00CD1A37"/>
    <w:rsid w:val="00CD1A55"/>
    <w:rsid w:val="00CD1A8A"/>
    <w:rsid w:val="00CD1AA4"/>
    <w:rsid w:val="00CD1AB2"/>
    <w:rsid w:val="00CD1AED"/>
    <w:rsid w:val="00CD1B13"/>
    <w:rsid w:val="00CD1B42"/>
    <w:rsid w:val="00CD1B7F"/>
    <w:rsid w:val="00CD1B81"/>
    <w:rsid w:val="00CD1BD0"/>
    <w:rsid w:val="00CD1BDA"/>
    <w:rsid w:val="00CD1C5D"/>
    <w:rsid w:val="00CD1C8E"/>
    <w:rsid w:val="00CD1D7E"/>
    <w:rsid w:val="00CD1D86"/>
    <w:rsid w:val="00CD1DC9"/>
    <w:rsid w:val="00CD1DD5"/>
    <w:rsid w:val="00CD1E81"/>
    <w:rsid w:val="00CD1EAB"/>
    <w:rsid w:val="00CD1EC1"/>
    <w:rsid w:val="00CD1EFC"/>
    <w:rsid w:val="00CD1F47"/>
    <w:rsid w:val="00CD1F52"/>
    <w:rsid w:val="00CD1F56"/>
    <w:rsid w:val="00CD2085"/>
    <w:rsid w:val="00CD20D2"/>
    <w:rsid w:val="00CD20EA"/>
    <w:rsid w:val="00CD2108"/>
    <w:rsid w:val="00CD213A"/>
    <w:rsid w:val="00CD22A5"/>
    <w:rsid w:val="00CD22C3"/>
    <w:rsid w:val="00CD23C1"/>
    <w:rsid w:val="00CD23CD"/>
    <w:rsid w:val="00CD2415"/>
    <w:rsid w:val="00CD242B"/>
    <w:rsid w:val="00CD2451"/>
    <w:rsid w:val="00CD2554"/>
    <w:rsid w:val="00CD257E"/>
    <w:rsid w:val="00CD25B9"/>
    <w:rsid w:val="00CD25BE"/>
    <w:rsid w:val="00CD2608"/>
    <w:rsid w:val="00CD2645"/>
    <w:rsid w:val="00CD2667"/>
    <w:rsid w:val="00CD26B0"/>
    <w:rsid w:val="00CD26C3"/>
    <w:rsid w:val="00CD26CC"/>
    <w:rsid w:val="00CD26CF"/>
    <w:rsid w:val="00CD2700"/>
    <w:rsid w:val="00CD272B"/>
    <w:rsid w:val="00CD2738"/>
    <w:rsid w:val="00CD274A"/>
    <w:rsid w:val="00CD2776"/>
    <w:rsid w:val="00CD27E7"/>
    <w:rsid w:val="00CD282A"/>
    <w:rsid w:val="00CD28BB"/>
    <w:rsid w:val="00CD2907"/>
    <w:rsid w:val="00CD292E"/>
    <w:rsid w:val="00CD2B12"/>
    <w:rsid w:val="00CD2B76"/>
    <w:rsid w:val="00CD2B9F"/>
    <w:rsid w:val="00CD2C1C"/>
    <w:rsid w:val="00CD2CA4"/>
    <w:rsid w:val="00CD2D09"/>
    <w:rsid w:val="00CD2D25"/>
    <w:rsid w:val="00CD2DCA"/>
    <w:rsid w:val="00CD2DDB"/>
    <w:rsid w:val="00CD2DE9"/>
    <w:rsid w:val="00CD2DF7"/>
    <w:rsid w:val="00CD2EB8"/>
    <w:rsid w:val="00CD2F22"/>
    <w:rsid w:val="00CD2FF8"/>
    <w:rsid w:val="00CD3038"/>
    <w:rsid w:val="00CD30B1"/>
    <w:rsid w:val="00CD30C7"/>
    <w:rsid w:val="00CD30DE"/>
    <w:rsid w:val="00CD30E7"/>
    <w:rsid w:val="00CD30ED"/>
    <w:rsid w:val="00CD30FD"/>
    <w:rsid w:val="00CD315D"/>
    <w:rsid w:val="00CD318A"/>
    <w:rsid w:val="00CD31B7"/>
    <w:rsid w:val="00CD3213"/>
    <w:rsid w:val="00CD3281"/>
    <w:rsid w:val="00CD3322"/>
    <w:rsid w:val="00CD334D"/>
    <w:rsid w:val="00CD3366"/>
    <w:rsid w:val="00CD33C4"/>
    <w:rsid w:val="00CD3405"/>
    <w:rsid w:val="00CD345B"/>
    <w:rsid w:val="00CD34C5"/>
    <w:rsid w:val="00CD357F"/>
    <w:rsid w:val="00CD35C7"/>
    <w:rsid w:val="00CD35FE"/>
    <w:rsid w:val="00CD36A2"/>
    <w:rsid w:val="00CD36E3"/>
    <w:rsid w:val="00CD36E4"/>
    <w:rsid w:val="00CD36FC"/>
    <w:rsid w:val="00CD3785"/>
    <w:rsid w:val="00CD37A0"/>
    <w:rsid w:val="00CD37CD"/>
    <w:rsid w:val="00CD38A4"/>
    <w:rsid w:val="00CD38BF"/>
    <w:rsid w:val="00CD3951"/>
    <w:rsid w:val="00CD3998"/>
    <w:rsid w:val="00CD39B4"/>
    <w:rsid w:val="00CD39D4"/>
    <w:rsid w:val="00CD3A21"/>
    <w:rsid w:val="00CD3A7E"/>
    <w:rsid w:val="00CD3B3A"/>
    <w:rsid w:val="00CD3B48"/>
    <w:rsid w:val="00CD3B7A"/>
    <w:rsid w:val="00CD3B7D"/>
    <w:rsid w:val="00CD3BA6"/>
    <w:rsid w:val="00CD3BCD"/>
    <w:rsid w:val="00CD3BD5"/>
    <w:rsid w:val="00CD3BDD"/>
    <w:rsid w:val="00CD3C9A"/>
    <w:rsid w:val="00CD3CFD"/>
    <w:rsid w:val="00CD3D02"/>
    <w:rsid w:val="00CD3D14"/>
    <w:rsid w:val="00CD3D19"/>
    <w:rsid w:val="00CD3D5F"/>
    <w:rsid w:val="00CD3DA5"/>
    <w:rsid w:val="00CD3DCC"/>
    <w:rsid w:val="00CD3DDA"/>
    <w:rsid w:val="00CD3DEB"/>
    <w:rsid w:val="00CD3E5F"/>
    <w:rsid w:val="00CD3E68"/>
    <w:rsid w:val="00CD3EEA"/>
    <w:rsid w:val="00CD3F03"/>
    <w:rsid w:val="00CD3FF4"/>
    <w:rsid w:val="00CD402F"/>
    <w:rsid w:val="00CD404A"/>
    <w:rsid w:val="00CD4084"/>
    <w:rsid w:val="00CD4186"/>
    <w:rsid w:val="00CD41C1"/>
    <w:rsid w:val="00CD41D0"/>
    <w:rsid w:val="00CD41FC"/>
    <w:rsid w:val="00CD426B"/>
    <w:rsid w:val="00CD4281"/>
    <w:rsid w:val="00CD4298"/>
    <w:rsid w:val="00CD42AA"/>
    <w:rsid w:val="00CD432F"/>
    <w:rsid w:val="00CD4473"/>
    <w:rsid w:val="00CD44DF"/>
    <w:rsid w:val="00CD44FC"/>
    <w:rsid w:val="00CD455B"/>
    <w:rsid w:val="00CD4590"/>
    <w:rsid w:val="00CD4592"/>
    <w:rsid w:val="00CD45A8"/>
    <w:rsid w:val="00CD45B3"/>
    <w:rsid w:val="00CD4633"/>
    <w:rsid w:val="00CD4657"/>
    <w:rsid w:val="00CD472B"/>
    <w:rsid w:val="00CD4736"/>
    <w:rsid w:val="00CD47DD"/>
    <w:rsid w:val="00CD4876"/>
    <w:rsid w:val="00CD488E"/>
    <w:rsid w:val="00CD4896"/>
    <w:rsid w:val="00CD4924"/>
    <w:rsid w:val="00CD49E8"/>
    <w:rsid w:val="00CD4A22"/>
    <w:rsid w:val="00CD4A79"/>
    <w:rsid w:val="00CD4AB5"/>
    <w:rsid w:val="00CD4B25"/>
    <w:rsid w:val="00CD4B79"/>
    <w:rsid w:val="00CD4BDD"/>
    <w:rsid w:val="00CD4C1B"/>
    <w:rsid w:val="00CD4C25"/>
    <w:rsid w:val="00CD4C4E"/>
    <w:rsid w:val="00CD4C6A"/>
    <w:rsid w:val="00CD4CCE"/>
    <w:rsid w:val="00CD4CE8"/>
    <w:rsid w:val="00CD4D50"/>
    <w:rsid w:val="00CD4D7B"/>
    <w:rsid w:val="00CD4DCE"/>
    <w:rsid w:val="00CD4E66"/>
    <w:rsid w:val="00CD4F34"/>
    <w:rsid w:val="00CD4F7E"/>
    <w:rsid w:val="00CD4F85"/>
    <w:rsid w:val="00CD5012"/>
    <w:rsid w:val="00CD5046"/>
    <w:rsid w:val="00CD5064"/>
    <w:rsid w:val="00CD5209"/>
    <w:rsid w:val="00CD521B"/>
    <w:rsid w:val="00CD52E2"/>
    <w:rsid w:val="00CD52EA"/>
    <w:rsid w:val="00CD53A3"/>
    <w:rsid w:val="00CD53A4"/>
    <w:rsid w:val="00CD553A"/>
    <w:rsid w:val="00CD5540"/>
    <w:rsid w:val="00CD558C"/>
    <w:rsid w:val="00CD55F0"/>
    <w:rsid w:val="00CD56B1"/>
    <w:rsid w:val="00CD56DF"/>
    <w:rsid w:val="00CD5777"/>
    <w:rsid w:val="00CD585A"/>
    <w:rsid w:val="00CD58C1"/>
    <w:rsid w:val="00CD58EE"/>
    <w:rsid w:val="00CD5959"/>
    <w:rsid w:val="00CD596B"/>
    <w:rsid w:val="00CD59FA"/>
    <w:rsid w:val="00CD5A07"/>
    <w:rsid w:val="00CD5A25"/>
    <w:rsid w:val="00CD5A3C"/>
    <w:rsid w:val="00CD5A4E"/>
    <w:rsid w:val="00CD5A62"/>
    <w:rsid w:val="00CD5A66"/>
    <w:rsid w:val="00CD5AC9"/>
    <w:rsid w:val="00CD5C22"/>
    <w:rsid w:val="00CD5C38"/>
    <w:rsid w:val="00CD5C3A"/>
    <w:rsid w:val="00CD5C46"/>
    <w:rsid w:val="00CD5CBF"/>
    <w:rsid w:val="00CD5CE4"/>
    <w:rsid w:val="00CD5D08"/>
    <w:rsid w:val="00CD5D90"/>
    <w:rsid w:val="00CD5E57"/>
    <w:rsid w:val="00CD5E6E"/>
    <w:rsid w:val="00CD5F34"/>
    <w:rsid w:val="00CD5F3D"/>
    <w:rsid w:val="00CD5F6B"/>
    <w:rsid w:val="00CD6023"/>
    <w:rsid w:val="00CD6030"/>
    <w:rsid w:val="00CD6052"/>
    <w:rsid w:val="00CD608C"/>
    <w:rsid w:val="00CD60D5"/>
    <w:rsid w:val="00CD615A"/>
    <w:rsid w:val="00CD618E"/>
    <w:rsid w:val="00CD620F"/>
    <w:rsid w:val="00CD6275"/>
    <w:rsid w:val="00CD628A"/>
    <w:rsid w:val="00CD629B"/>
    <w:rsid w:val="00CD62F5"/>
    <w:rsid w:val="00CD633E"/>
    <w:rsid w:val="00CD6438"/>
    <w:rsid w:val="00CD643C"/>
    <w:rsid w:val="00CD64DA"/>
    <w:rsid w:val="00CD6594"/>
    <w:rsid w:val="00CD65A6"/>
    <w:rsid w:val="00CD6686"/>
    <w:rsid w:val="00CD6698"/>
    <w:rsid w:val="00CD669B"/>
    <w:rsid w:val="00CD6767"/>
    <w:rsid w:val="00CD676C"/>
    <w:rsid w:val="00CD6848"/>
    <w:rsid w:val="00CD6879"/>
    <w:rsid w:val="00CD68E5"/>
    <w:rsid w:val="00CD68F2"/>
    <w:rsid w:val="00CD692D"/>
    <w:rsid w:val="00CD692F"/>
    <w:rsid w:val="00CD693D"/>
    <w:rsid w:val="00CD696F"/>
    <w:rsid w:val="00CD698D"/>
    <w:rsid w:val="00CD6A2E"/>
    <w:rsid w:val="00CD6A7E"/>
    <w:rsid w:val="00CD6AEA"/>
    <w:rsid w:val="00CD6B19"/>
    <w:rsid w:val="00CD6B38"/>
    <w:rsid w:val="00CD6B7F"/>
    <w:rsid w:val="00CD6BA3"/>
    <w:rsid w:val="00CD6C0D"/>
    <w:rsid w:val="00CD6C2A"/>
    <w:rsid w:val="00CD6C48"/>
    <w:rsid w:val="00CD6D0E"/>
    <w:rsid w:val="00CD6D60"/>
    <w:rsid w:val="00CD6DAF"/>
    <w:rsid w:val="00CD6E4B"/>
    <w:rsid w:val="00CD6E59"/>
    <w:rsid w:val="00CD6E86"/>
    <w:rsid w:val="00CD6E95"/>
    <w:rsid w:val="00CD6EE0"/>
    <w:rsid w:val="00CD6EF3"/>
    <w:rsid w:val="00CD6F70"/>
    <w:rsid w:val="00CD704C"/>
    <w:rsid w:val="00CD70A8"/>
    <w:rsid w:val="00CD711A"/>
    <w:rsid w:val="00CD71F5"/>
    <w:rsid w:val="00CD7281"/>
    <w:rsid w:val="00CD735E"/>
    <w:rsid w:val="00CD738B"/>
    <w:rsid w:val="00CD7401"/>
    <w:rsid w:val="00CD7402"/>
    <w:rsid w:val="00CD7449"/>
    <w:rsid w:val="00CD745F"/>
    <w:rsid w:val="00CD74DD"/>
    <w:rsid w:val="00CD7537"/>
    <w:rsid w:val="00CD75C2"/>
    <w:rsid w:val="00CD765B"/>
    <w:rsid w:val="00CD76FA"/>
    <w:rsid w:val="00CD774D"/>
    <w:rsid w:val="00CD7871"/>
    <w:rsid w:val="00CD78FE"/>
    <w:rsid w:val="00CD7945"/>
    <w:rsid w:val="00CD7951"/>
    <w:rsid w:val="00CD7960"/>
    <w:rsid w:val="00CD7972"/>
    <w:rsid w:val="00CD79C1"/>
    <w:rsid w:val="00CD79E5"/>
    <w:rsid w:val="00CD7A00"/>
    <w:rsid w:val="00CD7AFA"/>
    <w:rsid w:val="00CD7C64"/>
    <w:rsid w:val="00CD7C8B"/>
    <w:rsid w:val="00CD7CC1"/>
    <w:rsid w:val="00CD7D4B"/>
    <w:rsid w:val="00CD7D4D"/>
    <w:rsid w:val="00CD7D6D"/>
    <w:rsid w:val="00CD7D76"/>
    <w:rsid w:val="00CD7DD8"/>
    <w:rsid w:val="00CD7EC4"/>
    <w:rsid w:val="00CD7F31"/>
    <w:rsid w:val="00CD7F4B"/>
    <w:rsid w:val="00CD7F7E"/>
    <w:rsid w:val="00CE0039"/>
    <w:rsid w:val="00CE003C"/>
    <w:rsid w:val="00CE009D"/>
    <w:rsid w:val="00CE00DE"/>
    <w:rsid w:val="00CE0144"/>
    <w:rsid w:val="00CE017D"/>
    <w:rsid w:val="00CE019C"/>
    <w:rsid w:val="00CE01C3"/>
    <w:rsid w:val="00CE01F2"/>
    <w:rsid w:val="00CE024B"/>
    <w:rsid w:val="00CE025E"/>
    <w:rsid w:val="00CE0288"/>
    <w:rsid w:val="00CE0348"/>
    <w:rsid w:val="00CE039D"/>
    <w:rsid w:val="00CE03F3"/>
    <w:rsid w:val="00CE0404"/>
    <w:rsid w:val="00CE040A"/>
    <w:rsid w:val="00CE044A"/>
    <w:rsid w:val="00CE0462"/>
    <w:rsid w:val="00CE046F"/>
    <w:rsid w:val="00CE04E6"/>
    <w:rsid w:val="00CE050E"/>
    <w:rsid w:val="00CE0519"/>
    <w:rsid w:val="00CE051B"/>
    <w:rsid w:val="00CE0546"/>
    <w:rsid w:val="00CE0559"/>
    <w:rsid w:val="00CE063A"/>
    <w:rsid w:val="00CE06ED"/>
    <w:rsid w:val="00CE0706"/>
    <w:rsid w:val="00CE0748"/>
    <w:rsid w:val="00CE07AB"/>
    <w:rsid w:val="00CE0814"/>
    <w:rsid w:val="00CE0822"/>
    <w:rsid w:val="00CE0835"/>
    <w:rsid w:val="00CE08D5"/>
    <w:rsid w:val="00CE0917"/>
    <w:rsid w:val="00CE0989"/>
    <w:rsid w:val="00CE09E8"/>
    <w:rsid w:val="00CE0A17"/>
    <w:rsid w:val="00CE0A30"/>
    <w:rsid w:val="00CE0A8E"/>
    <w:rsid w:val="00CE0AB9"/>
    <w:rsid w:val="00CE0AC3"/>
    <w:rsid w:val="00CE0ACB"/>
    <w:rsid w:val="00CE0B12"/>
    <w:rsid w:val="00CE0B19"/>
    <w:rsid w:val="00CE0B53"/>
    <w:rsid w:val="00CE0B58"/>
    <w:rsid w:val="00CE0B93"/>
    <w:rsid w:val="00CE0BDD"/>
    <w:rsid w:val="00CE0BE7"/>
    <w:rsid w:val="00CE0CB0"/>
    <w:rsid w:val="00CE0CCD"/>
    <w:rsid w:val="00CE0CFC"/>
    <w:rsid w:val="00CE0D0B"/>
    <w:rsid w:val="00CE0D55"/>
    <w:rsid w:val="00CE0D6D"/>
    <w:rsid w:val="00CE0DDF"/>
    <w:rsid w:val="00CE0DEB"/>
    <w:rsid w:val="00CE0E7D"/>
    <w:rsid w:val="00CE0E94"/>
    <w:rsid w:val="00CE0ECF"/>
    <w:rsid w:val="00CE0F12"/>
    <w:rsid w:val="00CE0F4C"/>
    <w:rsid w:val="00CE0F56"/>
    <w:rsid w:val="00CE101E"/>
    <w:rsid w:val="00CE1026"/>
    <w:rsid w:val="00CE102E"/>
    <w:rsid w:val="00CE106B"/>
    <w:rsid w:val="00CE10AA"/>
    <w:rsid w:val="00CE1168"/>
    <w:rsid w:val="00CE1177"/>
    <w:rsid w:val="00CE1204"/>
    <w:rsid w:val="00CE1249"/>
    <w:rsid w:val="00CE1320"/>
    <w:rsid w:val="00CE1325"/>
    <w:rsid w:val="00CE1336"/>
    <w:rsid w:val="00CE139A"/>
    <w:rsid w:val="00CE13A0"/>
    <w:rsid w:val="00CE140E"/>
    <w:rsid w:val="00CE1446"/>
    <w:rsid w:val="00CE1454"/>
    <w:rsid w:val="00CE147A"/>
    <w:rsid w:val="00CE14A4"/>
    <w:rsid w:val="00CE14C6"/>
    <w:rsid w:val="00CE14D7"/>
    <w:rsid w:val="00CE1585"/>
    <w:rsid w:val="00CE1621"/>
    <w:rsid w:val="00CE1636"/>
    <w:rsid w:val="00CE1644"/>
    <w:rsid w:val="00CE16DE"/>
    <w:rsid w:val="00CE16FD"/>
    <w:rsid w:val="00CE1723"/>
    <w:rsid w:val="00CE17C8"/>
    <w:rsid w:val="00CE190D"/>
    <w:rsid w:val="00CE1915"/>
    <w:rsid w:val="00CE193C"/>
    <w:rsid w:val="00CE1A6A"/>
    <w:rsid w:val="00CE1A9C"/>
    <w:rsid w:val="00CE1ABE"/>
    <w:rsid w:val="00CE1B1C"/>
    <w:rsid w:val="00CE1B3D"/>
    <w:rsid w:val="00CE1B66"/>
    <w:rsid w:val="00CE1D4D"/>
    <w:rsid w:val="00CE1DBD"/>
    <w:rsid w:val="00CE1DC8"/>
    <w:rsid w:val="00CE1E10"/>
    <w:rsid w:val="00CE1E11"/>
    <w:rsid w:val="00CE1E5F"/>
    <w:rsid w:val="00CE1F5A"/>
    <w:rsid w:val="00CE1F7F"/>
    <w:rsid w:val="00CE1F89"/>
    <w:rsid w:val="00CE2196"/>
    <w:rsid w:val="00CE21E7"/>
    <w:rsid w:val="00CE21EB"/>
    <w:rsid w:val="00CE2225"/>
    <w:rsid w:val="00CE222F"/>
    <w:rsid w:val="00CE2296"/>
    <w:rsid w:val="00CE22C5"/>
    <w:rsid w:val="00CE22DA"/>
    <w:rsid w:val="00CE2320"/>
    <w:rsid w:val="00CE23D9"/>
    <w:rsid w:val="00CE245F"/>
    <w:rsid w:val="00CE246B"/>
    <w:rsid w:val="00CE24E8"/>
    <w:rsid w:val="00CE2549"/>
    <w:rsid w:val="00CE259E"/>
    <w:rsid w:val="00CE25A4"/>
    <w:rsid w:val="00CE25AB"/>
    <w:rsid w:val="00CE25E1"/>
    <w:rsid w:val="00CE2779"/>
    <w:rsid w:val="00CE2795"/>
    <w:rsid w:val="00CE2884"/>
    <w:rsid w:val="00CE28EC"/>
    <w:rsid w:val="00CE2912"/>
    <w:rsid w:val="00CE297A"/>
    <w:rsid w:val="00CE29A5"/>
    <w:rsid w:val="00CE29BE"/>
    <w:rsid w:val="00CE29C9"/>
    <w:rsid w:val="00CE2A35"/>
    <w:rsid w:val="00CE2A57"/>
    <w:rsid w:val="00CE2AA4"/>
    <w:rsid w:val="00CE2AC1"/>
    <w:rsid w:val="00CE2B05"/>
    <w:rsid w:val="00CE2BA5"/>
    <w:rsid w:val="00CE2BD7"/>
    <w:rsid w:val="00CE2C03"/>
    <w:rsid w:val="00CE2C4A"/>
    <w:rsid w:val="00CE2C8C"/>
    <w:rsid w:val="00CE2CBB"/>
    <w:rsid w:val="00CE2D05"/>
    <w:rsid w:val="00CE2D07"/>
    <w:rsid w:val="00CE2F6B"/>
    <w:rsid w:val="00CE2FEF"/>
    <w:rsid w:val="00CE3051"/>
    <w:rsid w:val="00CE3118"/>
    <w:rsid w:val="00CE311F"/>
    <w:rsid w:val="00CE3157"/>
    <w:rsid w:val="00CE3218"/>
    <w:rsid w:val="00CE3241"/>
    <w:rsid w:val="00CE325D"/>
    <w:rsid w:val="00CE3265"/>
    <w:rsid w:val="00CE336F"/>
    <w:rsid w:val="00CE351E"/>
    <w:rsid w:val="00CE3559"/>
    <w:rsid w:val="00CE3596"/>
    <w:rsid w:val="00CE35BC"/>
    <w:rsid w:val="00CE35CE"/>
    <w:rsid w:val="00CE35DF"/>
    <w:rsid w:val="00CE361B"/>
    <w:rsid w:val="00CE3708"/>
    <w:rsid w:val="00CE3753"/>
    <w:rsid w:val="00CE3833"/>
    <w:rsid w:val="00CE38F9"/>
    <w:rsid w:val="00CE39D9"/>
    <w:rsid w:val="00CE39F0"/>
    <w:rsid w:val="00CE39F9"/>
    <w:rsid w:val="00CE3A4D"/>
    <w:rsid w:val="00CE3A75"/>
    <w:rsid w:val="00CE3A87"/>
    <w:rsid w:val="00CE3ABD"/>
    <w:rsid w:val="00CE3B06"/>
    <w:rsid w:val="00CE3C0D"/>
    <w:rsid w:val="00CE3C70"/>
    <w:rsid w:val="00CE3CEE"/>
    <w:rsid w:val="00CE3F69"/>
    <w:rsid w:val="00CE3F7E"/>
    <w:rsid w:val="00CE3F87"/>
    <w:rsid w:val="00CE3FB7"/>
    <w:rsid w:val="00CE401B"/>
    <w:rsid w:val="00CE4070"/>
    <w:rsid w:val="00CE410D"/>
    <w:rsid w:val="00CE41A7"/>
    <w:rsid w:val="00CE41AA"/>
    <w:rsid w:val="00CE41C8"/>
    <w:rsid w:val="00CE42AF"/>
    <w:rsid w:val="00CE4347"/>
    <w:rsid w:val="00CE4385"/>
    <w:rsid w:val="00CE43A2"/>
    <w:rsid w:val="00CE43A5"/>
    <w:rsid w:val="00CE43C1"/>
    <w:rsid w:val="00CE44A8"/>
    <w:rsid w:val="00CE44B2"/>
    <w:rsid w:val="00CE4579"/>
    <w:rsid w:val="00CE4590"/>
    <w:rsid w:val="00CE45BF"/>
    <w:rsid w:val="00CE4603"/>
    <w:rsid w:val="00CE46A1"/>
    <w:rsid w:val="00CE4742"/>
    <w:rsid w:val="00CE47A1"/>
    <w:rsid w:val="00CE4867"/>
    <w:rsid w:val="00CE48E9"/>
    <w:rsid w:val="00CE4927"/>
    <w:rsid w:val="00CE4956"/>
    <w:rsid w:val="00CE495F"/>
    <w:rsid w:val="00CE49BF"/>
    <w:rsid w:val="00CE4A55"/>
    <w:rsid w:val="00CE4A5A"/>
    <w:rsid w:val="00CE4A81"/>
    <w:rsid w:val="00CE4AFA"/>
    <w:rsid w:val="00CE4BAE"/>
    <w:rsid w:val="00CE4BD2"/>
    <w:rsid w:val="00CE4BFD"/>
    <w:rsid w:val="00CE4C0E"/>
    <w:rsid w:val="00CE4CDB"/>
    <w:rsid w:val="00CE4CDC"/>
    <w:rsid w:val="00CE4D19"/>
    <w:rsid w:val="00CE4D3B"/>
    <w:rsid w:val="00CE4D81"/>
    <w:rsid w:val="00CE4D94"/>
    <w:rsid w:val="00CE4E27"/>
    <w:rsid w:val="00CE4F52"/>
    <w:rsid w:val="00CE4FAD"/>
    <w:rsid w:val="00CE4FF2"/>
    <w:rsid w:val="00CE4FF9"/>
    <w:rsid w:val="00CE5030"/>
    <w:rsid w:val="00CE506B"/>
    <w:rsid w:val="00CE5109"/>
    <w:rsid w:val="00CE5140"/>
    <w:rsid w:val="00CE5144"/>
    <w:rsid w:val="00CE518C"/>
    <w:rsid w:val="00CE5234"/>
    <w:rsid w:val="00CE52BA"/>
    <w:rsid w:val="00CE52EA"/>
    <w:rsid w:val="00CE52FD"/>
    <w:rsid w:val="00CE5383"/>
    <w:rsid w:val="00CE5385"/>
    <w:rsid w:val="00CE53C3"/>
    <w:rsid w:val="00CE5409"/>
    <w:rsid w:val="00CE545F"/>
    <w:rsid w:val="00CE5486"/>
    <w:rsid w:val="00CE5491"/>
    <w:rsid w:val="00CE549E"/>
    <w:rsid w:val="00CE5511"/>
    <w:rsid w:val="00CE5532"/>
    <w:rsid w:val="00CE553B"/>
    <w:rsid w:val="00CE555F"/>
    <w:rsid w:val="00CE5699"/>
    <w:rsid w:val="00CE572E"/>
    <w:rsid w:val="00CE57AC"/>
    <w:rsid w:val="00CE591F"/>
    <w:rsid w:val="00CE596A"/>
    <w:rsid w:val="00CE5B43"/>
    <w:rsid w:val="00CE5C44"/>
    <w:rsid w:val="00CE5CB1"/>
    <w:rsid w:val="00CE5D1A"/>
    <w:rsid w:val="00CE5D5E"/>
    <w:rsid w:val="00CE5D7F"/>
    <w:rsid w:val="00CE5D9B"/>
    <w:rsid w:val="00CE5DCB"/>
    <w:rsid w:val="00CE5DF2"/>
    <w:rsid w:val="00CE5EA7"/>
    <w:rsid w:val="00CE5EBD"/>
    <w:rsid w:val="00CE5F75"/>
    <w:rsid w:val="00CE5F98"/>
    <w:rsid w:val="00CE5FEE"/>
    <w:rsid w:val="00CE6009"/>
    <w:rsid w:val="00CE600E"/>
    <w:rsid w:val="00CE602D"/>
    <w:rsid w:val="00CE6053"/>
    <w:rsid w:val="00CE61ED"/>
    <w:rsid w:val="00CE62CD"/>
    <w:rsid w:val="00CE6316"/>
    <w:rsid w:val="00CE63A1"/>
    <w:rsid w:val="00CE63D8"/>
    <w:rsid w:val="00CE63DC"/>
    <w:rsid w:val="00CE63E5"/>
    <w:rsid w:val="00CE6506"/>
    <w:rsid w:val="00CE652D"/>
    <w:rsid w:val="00CE6551"/>
    <w:rsid w:val="00CE65AD"/>
    <w:rsid w:val="00CE6619"/>
    <w:rsid w:val="00CE66C5"/>
    <w:rsid w:val="00CE6738"/>
    <w:rsid w:val="00CE6742"/>
    <w:rsid w:val="00CE678C"/>
    <w:rsid w:val="00CE680E"/>
    <w:rsid w:val="00CE683B"/>
    <w:rsid w:val="00CE684E"/>
    <w:rsid w:val="00CE6867"/>
    <w:rsid w:val="00CE6888"/>
    <w:rsid w:val="00CE694C"/>
    <w:rsid w:val="00CE6995"/>
    <w:rsid w:val="00CE69A0"/>
    <w:rsid w:val="00CE6A12"/>
    <w:rsid w:val="00CE6A5A"/>
    <w:rsid w:val="00CE6A9F"/>
    <w:rsid w:val="00CE6AE7"/>
    <w:rsid w:val="00CE6AEE"/>
    <w:rsid w:val="00CE6B64"/>
    <w:rsid w:val="00CE6CB3"/>
    <w:rsid w:val="00CE6CFC"/>
    <w:rsid w:val="00CE6D4E"/>
    <w:rsid w:val="00CE6D5E"/>
    <w:rsid w:val="00CE6E96"/>
    <w:rsid w:val="00CE6EDC"/>
    <w:rsid w:val="00CE6EF3"/>
    <w:rsid w:val="00CE6F27"/>
    <w:rsid w:val="00CE6F92"/>
    <w:rsid w:val="00CE700A"/>
    <w:rsid w:val="00CE702C"/>
    <w:rsid w:val="00CE706B"/>
    <w:rsid w:val="00CE7095"/>
    <w:rsid w:val="00CE70B6"/>
    <w:rsid w:val="00CE71A7"/>
    <w:rsid w:val="00CE71EF"/>
    <w:rsid w:val="00CE7229"/>
    <w:rsid w:val="00CE724E"/>
    <w:rsid w:val="00CE725B"/>
    <w:rsid w:val="00CE729B"/>
    <w:rsid w:val="00CE72F1"/>
    <w:rsid w:val="00CE73D6"/>
    <w:rsid w:val="00CE746D"/>
    <w:rsid w:val="00CE74DB"/>
    <w:rsid w:val="00CE7546"/>
    <w:rsid w:val="00CE7548"/>
    <w:rsid w:val="00CE7575"/>
    <w:rsid w:val="00CE75B2"/>
    <w:rsid w:val="00CE75E9"/>
    <w:rsid w:val="00CE75FE"/>
    <w:rsid w:val="00CE7772"/>
    <w:rsid w:val="00CE7779"/>
    <w:rsid w:val="00CE77BF"/>
    <w:rsid w:val="00CE77ED"/>
    <w:rsid w:val="00CE7807"/>
    <w:rsid w:val="00CE78A9"/>
    <w:rsid w:val="00CE78F6"/>
    <w:rsid w:val="00CE7913"/>
    <w:rsid w:val="00CE7946"/>
    <w:rsid w:val="00CE798B"/>
    <w:rsid w:val="00CE7A12"/>
    <w:rsid w:val="00CE7A81"/>
    <w:rsid w:val="00CE7BD5"/>
    <w:rsid w:val="00CE7C0E"/>
    <w:rsid w:val="00CE7C3D"/>
    <w:rsid w:val="00CE7C49"/>
    <w:rsid w:val="00CE7C88"/>
    <w:rsid w:val="00CE7CDC"/>
    <w:rsid w:val="00CE7CDF"/>
    <w:rsid w:val="00CE7D8E"/>
    <w:rsid w:val="00CE7E11"/>
    <w:rsid w:val="00CE7E40"/>
    <w:rsid w:val="00CE7E5C"/>
    <w:rsid w:val="00CE7E77"/>
    <w:rsid w:val="00CE7E81"/>
    <w:rsid w:val="00CE7EBB"/>
    <w:rsid w:val="00CE7FA2"/>
    <w:rsid w:val="00CF0022"/>
    <w:rsid w:val="00CF0067"/>
    <w:rsid w:val="00CF0072"/>
    <w:rsid w:val="00CF0112"/>
    <w:rsid w:val="00CF0192"/>
    <w:rsid w:val="00CF01FB"/>
    <w:rsid w:val="00CF0201"/>
    <w:rsid w:val="00CF0274"/>
    <w:rsid w:val="00CF0317"/>
    <w:rsid w:val="00CF0328"/>
    <w:rsid w:val="00CF0485"/>
    <w:rsid w:val="00CF0498"/>
    <w:rsid w:val="00CF04D8"/>
    <w:rsid w:val="00CF04F1"/>
    <w:rsid w:val="00CF051A"/>
    <w:rsid w:val="00CF059E"/>
    <w:rsid w:val="00CF05EC"/>
    <w:rsid w:val="00CF065D"/>
    <w:rsid w:val="00CF0954"/>
    <w:rsid w:val="00CF09DC"/>
    <w:rsid w:val="00CF0A2E"/>
    <w:rsid w:val="00CF0AA1"/>
    <w:rsid w:val="00CF0AA8"/>
    <w:rsid w:val="00CF0ACE"/>
    <w:rsid w:val="00CF0B9F"/>
    <w:rsid w:val="00CF0C33"/>
    <w:rsid w:val="00CF0C62"/>
    <w:rsid w:val="00CF0CBA"/>
    <w:rsid w:val="00CF0D99"/>
    <w:rsid w:val="00CF0D9B"/>
    <w:rsid w:val="00CF0DCB"/>
    <w:rsid w:val="00CF0DD3"/>
    <w:rsid w:val="00CF0E1D"/>
    <w:rsid w:val="00CF0E26"/>
    <w:rsid w:val="00CF0E43"/>
    <w:rsid w:val="00CF0E7A"/>
    <w:rsid w:val="00CF0F12"/>
    <w:rsid w:val="00CF0F55"/>
    <w:rsid w:val="00CF0F76"/>
    <w:rsid w:val="00CF0F9A"/>
    <w:rsid w:val="00CF100F"/>
    <w:rsid w:val="00CF1055"/>
    <w:rsid w:val="00CF10CC"/>
    <w:rsid w:val="00CF1148"/>
    <w:rsid w:val="00CF11A2"/>
    <w:rsid w:val="00CF11A3"/>
    <w:rsid w:val="00CF11D5"/>
    <w:rsid w:val="00CF11E2"/>
    <w:rsid w:val="00CF11EC"/>
    <w:rsid w:val="00CF12B4"/>
    <w:rsid w:val="00CF12FF"/>
    <w:rsid w:val="00CF133C"/>
    <w:rsid w:val="00CF13E0"/>
    <w:rsid w:val="00CF1466"/>
    <w:rsid w:val="00CF14A4"/>
    <w:rsid w:val="00CF14A7"/>
    <w:rsid w:val="00CF151D"/>
    <w:rsid w:val="00CF158D"/>
    <w:rsid w:val="00CF15B7"/>
    <w:rsid w:val="00CF165E"/>
    <w:rsid w:val="00CF1676"/>
    <w:rsid w:val="00CF1679"/>
    <w:rsid w:val="00CF1789"/>
    <w:rsid w:val="00CF1799"/>
    <w:rsid w:val="00CF17C5"/>
    <w:rsid w:val="00CF17E8"/>
    <w:rsid w:val="00CF1819"/>
    <w:rsid w:val="00CF1867"/>
    <w:rsid w:val="00CF186B"/>
    <w:rsid w:val="00CF18C2"/>
    <w:rsid w:val="00CF18CD"/>
    <w:rsid w:val="00CF18DA"/>
    <w:rsid w:val="00CF194A"/>
    <w:rsid w:val="00CF194B"/>
    <w:rsid w:val="00CF1955"/>
    <w:rsid w:val="00CF1AC7"/>
    <w:rsid w:val="00CF1AD0"/>
    <w:rsid w:val="00CF1AF0"/>
    <w:rsid w:val="00CF1AF1"/>
    <w:rsid w:val="00CF1B04"/>
    <w:rsid w:val="00CF1B51"/>
    <w:rsid w:val="00CF1BDD"/>
    <w:rsid w:val="00CF1C07"/>
    <w:rsid w:val="00CF1C1C"/>
    <w:rsid w:val="00CF1C44"/>
    <w:rsid w:val="00CF1C6E"/>
    <w:rsid w:val="00CF1CBD"/>
    <w:rsid w:val="00CF1D1B"/>
    <w:rsid w:val="00CF1D5C"/>
    <w:rsid w:val="00CF1D9E"/>
    <w:rsid w:val="00CF1DE2"/>
    <w:rsid w:val="00CF1E82"/>
    <w:rsid w:val="00CF1E8D"/>
    <w:rsid w:val="00CF1FC0"/>
    <w:rsid w:val="00CF201E"/>
    <w:rsid w:val="00CF20AF"/>
    <w:rsid w:val="00CF20D5"/>
    <w:rsid w:val="00CF20F4"/>
    <w:rsid w:val="00CF214B"/>
    <w:rsid w:val="00CF21BF"/>
    <w:rsid w:val="00CF2217"/>
    <w:rsid w:val="00CF225A"/>
    <w:rsid w:val="00CF227C"/>
    <w:rsid w:val="00CF23CA"/>
    <w:rsid w:val="00CF241B"/>
    <w:rsid w:val="00CF24EB"/>
    <w:rsid w:val="00CF250C"/>
    <w:rsid w:val="00CF254B"/>
    <w:rsid w:val="00CF25FA"/>
    <w:rsid w:val="00CF266B"/>
    <w:rsid w:val="00CF2693"/>
    <w:rsid w:val="00CF2721"/>
    <w:rsid w:val="00CF2769"/>
    <w:rsid w:val="00CF2846"/>
    <w:rsid w:val="00CF2924"/>
    <w:rsid w:val="00CF29FD"/>
    <w:rsid w:val="00CF2A11"/>
    <w:rsid w:val="00CF2A1B"/>
    <w:rsid w:val="00CF2A1F"/>
    <w:rsid w:val="00CF2A38"/>
    <w:rsid w:val="00CF2ACE"/>
    <w:rsid w:val="00CF2AF0"/>
    <w:rsid w:val="00CF2B3B"/>
    <w:rsid w:val="00CF2B3D"/>
    <w:rsid w:val="00CF2B53"/>
    <w:rsid w:val="00CF2BC2"/>
    <w:rsid w:val="00CF2BCB"/>
    <w:rsid w:val="00CF2BCD"/>
    <w:rsid w:val="00CF2BD9"/>
    <w:rsid w:val="00CF2C04"/>
    <w:rsid w:val="00CF2C0F"/>
    <w:rsid w:val="00CF2C20"/>
    <w:rsid w:val="00CF2C5A"/>
    <w:rsid w:val="00CF2CED"/>
    <w:rsid w:val="00CF2D0D"/>
    <w:rsid w:val="00CF2DE8"/>
    <w:rsid w:val="00CF2DF4"/>
    <w:rsid w:val="00CF2E07"/>
    <w:rsid w:val="00CF2E5E"/>
    <w:rsid w:val="00CF2E8E"/>
    <w:rsid w:val="00CF2F53"/>
    <w:rsid w:val="00CF2F61"/>
    <w:rsid w:val="00CF3040"/>
    <w:rsid w:val="00CF306C"/>
    <w:rsid w:val="00CF307A"/>
    <w:rsid w:val="00CF311C"/>
    <w:rsid w:val="00CF311D"/>
    <w:rsid w:val="00CF3141"/>
    <w:rsid w:val="00CF31BC"/>
    <w:rsid w:val="00CF31E6"/>
    <w:rsid w:val="00CF3218"/>
    <w:rsid w:val="00CF3250"/>
    <w:rsid w:val="00CF3289"/>
    <w:rsid w:val="00CF32D0"/>
    <w:rsid w:val="00CF32F4"/>
    <w:rsid w:val="00CF337F"/>
    <w:rsid w:val="00CF3391"/>
    <w:rsid w:val="00CF348C"/>
    <w:rsid w:val="00CF3529"/>
    <w:rsid w:val="00CF3609"/>
    <w:rsid w:val="00CF361F"/>
    <w:rsid w:val="00CF3677"/>
    <w:rsid w:val="00CF367D"/>
    <w:rsid w:val="00CF3689"/>
    <w:rsid w:val="00CF36D0"/>
    <w:rsid w:val="00CF372E"/>
    <w:rsid w:val="00CF37DE"/>
    <w:rsid w:val="00CF383A"/>
    <w:rsid w:val="00CF3875"/>
    <w:rsid w:val="00CF38E1"/>
    <w:rsid w:val="00CF3921"/>
    <w:rsid w:val="00CF3933"/>
    <w:rsid w:val="00CF3943"/>
    <w:rsid w:val="00CF39D2"/>
    <w:rsid w:val="00CF3A32"/>
    <w:rsid w:val="00CF3A4C"/>
    <w:rsid w:val="00CF3A84"/>
    <w:rsid w:val="00CF3AAE"/>
    <w:rsid w:val="00CF3ACF"/>
    <w:rsid w:val="00CF3C13"/>
    <w:rsid w:val="00CF3C3B"/>
    <w:rsid w:val="00CF3C53"/>
    <w:rsid w:val="00CF3C85"/>
    <w:rsid w:val="00CF3CE8"/>
    <w:rsid w:val="00CF3DDA"/>
    <w:rsid w:val="00CF3E05"/>
    <w:rsid w:val="00CF3E31"/>
    <w:rsid w:val="00CF3E32"/>
    <w:rsid w:val="00CF3E58"/>
    <w:rsid w:val="00CF3E7B"/>
    <w:rsid w:val="00CF3E7F"/>
    <w:rsid w:val="00CF3EAE"/>
    <w:rsid w:val="00CF3EAF"/>
    <w:rsid w:val="00CF3EB0"/>
    <w:rsid w:val="00CF3ED0"/>
    <w:rsid w:val="00CF3F4F"/>
    <w:rsid w:val="00CF3FB2"/>
    <w:rsid w:val="00CF3FB7"/>
    <w:rsid w:val="00CF3FC9"/>
    <w:rsid w:val="00CF3FCB"/>
    <w:rsid w:val="00CF3FED"/>
    <w:rsid w:val="00CF3FEF"/>
    <w:rsid w:val="00CF4078"/>
    <w:rsid w:val="00CF4240"/>
    <w:rsid w:val="00CF425E"/>
    <w:rsid w:val="00CF428D"/>
    <w:rsid w:val="00CF42B4"/>
    <w:rsid w:val="00CF42F5"/>
    <w:rsid w:val="00CF4309"/>
    <w:rsid w:val="00CF4325"/>
    <w:rsid w:val="00CF4388"/>
    <w:rsid w:val="00CF4393"/>
    <w:rsid w:val="00CF43A7"/>
    <w:rsid w:val="00CF4409"/>
    <w:rsid w:val="00CF44AC"/>
    <w:rsid w:val="00CF453A"/>
    <w:rsid w:val="00CF454A"/>
    <w:rsid w:val="00CF45D4"/>
    <w:rsid w:val="00CF4610"/>
    <w:rsid w:val="00CF4614"/>
    <w:rsid w:val="00CF475E"/>
    <w:rsid w:val="00CF4821"/>
    <w:rsid w:val="00CF48FB"/>
    <w:rsid w:val="00CF491C"/>
    <w:rsid w:val="00CF4926"/>
    <w:rsid w:val="00CF493B"/>
    <w:rsid w:val="00CF4AFA"/>
    <w:rsid w:val="00CF4B3C"/>
    <w:rsid w:val="00CF4B7F"/>
    <w:rsid w:val="00CF4BF7"/>
    <w:rsid w:val="00CF4C1C"/>
    <w:rsid w:val="00CF4CFF"/>
    <w:rsid w:val="00CF4D5C"/>
    <w:rsid w:val="00CF4DB7"/>
    <w:rsid w:val="00CF4DC8"/>
    <w:rsid w:val="00CF4DE0"/>
    <w:rsid w:val="00CF4E69"/>
    <w:rsid w:val="00CF4EE7"/>
    <w:rsid w:val="00CF4F44"/>
    <w:rsid w:val="00CF4F45"/>
    <w:rsid w:val="00CF4F7C"/>
    <w:rsid w:val="00CF4F80"/>
    <w:rsid w:val="00CF4F9D"/>
    <w:rsid w:val="00CF4FA3"/>
    <w:rsid w:val="00CF4FCE"/>
    <w:rsid w:val="00CF505B"/>
    <w:rsid w:val="00CF50D7"/>
    <w:rsid w:val="00CF50EB"/>
    <w:rsid w:val="00CF5128"/>
    <w:rsid w:val="00CF518F"/>
    <w:rsid w:val="00CF519E"/>
    <w:rsid w:val="00CF51C4"/>
    <w:rsid w:val="00CF5222"/>
    <w:rsid w:val="00CF524A"/>
    <w:rsid w:val="00CF529C"/>
    <w:rsid w:val="00CF529F"/>
    <w:rsid w:val="00CF52A5"/>
    <w:rsid w:val="00CF5322"/>
    <w:rsid w:val="00CF532F"/>
    <w:rsid w:val="00CF533D"/>
    <w:rsid w:val="00CF53B3"/>
    <w:rsid w:val="00CF53D6"/>
    <w:rsid w:val="00CF53E6"/>
    <w:rsid w:val="00CF5455"/>
    <w:rsid w:val="00CF54EF"/>
    <w:rsid w:val="00CF55E6"/>
    <w:rsid w:val="00CF561A"/>
    <w:rsid w:val="00CF5838"/>
    <w:rsid w:val="00CF58E0"/>
    <w:rsid w:val="00CF58EA"/>
    <w:rsid w:val="00CF591C"/>
    <w:rsid w:val="00CF594E"/>
    <w:rsid w:val="00CF596A"/>
    <w:rsid w:val="00CF5AEF"/>
    <w:rsid w:val="00CF5B27"/>
    <w:rsid w:val="00CF5B51"/>
    <w:rsid w:val="00CF5B87"/>
    <w:rsid w:val="00CF5BDF"/>
    <w:rsid w:val="00CF5C03"/>
    <w:rsid w:val="00CF5C62"/>
    <w:rsid w:val="00CF5C7C"/>
    <w:rsid w:val="00CF5D1D"/>
    <w:rsid w:val="00CF5D8F"/>
    <w:rsid w:val="00CF5D92"/>
    <w:rsid w:val="00CF5DC8"/>
    <w:rsid w:val="00CF5DFA"/>
    <w:rsid w:val="00CF5E16"/>
    <w:rsid w:val="00CF5E39"/>
    <w:rsid w:val="00CF5E96"/>
    <w:rsid w:val="00CF5F51"/>
    <w:rsid w:val="00CF5F65"/>
    <w:rsid w:val="00CF5FA2"/>
    <w:rsid w:val="00CF5FF5"/>
    <w:rsid w:val="00CF60A2"/>
    <w:rsid w:val="00CF60F3"/>
    <w:rsid w:val="00CF612A"/>
    <w:rsid w:val="00CF62C0"/>
    <w:rsid w:val="00CF62C4"/>
    <w:rsid w:val="00CF6348"/>
    <w:rsid w:val="00CF6378"/>
    <w:rsid w:val="00CF63F9"/>
    <w:rsid w:val="00CF6400"/>
    <w:rsid w:val="00CF6424"/>
    <w:rsid w:val="00CF6497"/>
    <w:rsid w:val="00CF6502"/>
    <w:rsid w:val="00CF658F"/>
    <w:rsid w:val="00CF65EC"/>
    <w:rsid w:val="00CF6603"/>
    <w:rsid w:val="00CF6618"/>
    <w:rsid w:val="00CF666E"/>
    <w:rsid w:val="00CF66C2"/>
    <w:rsid w:val="00CF66E8"/>
    <w:rsid w:val="00CF66F9"/>
    <w:rsid w:val="00CF6707"/>
    <w:rsid w:val="00CF67CC"/>
    <w:rsid w:val="00CF67E8"/>
    <w:rsid w:val="00CF6855"/>
    <w:rsid w:val="00CF68A6"/>
    <w:rsid w:val="00CF6949"/>
    <w:rsid w:val="00CF698A"/>
    <w:rsid w:val="00CF69C8"/>
    <w:rsid w:val="00CF6AA0"/>
    <w:rsid w:val="00CF6AC8"/>
    <w:rsid w:val="00CF6AD9"/>
    <w:rsid w:val="00CF6ADD"/>
    <w:rsid w:val="00CF6B08"/>
    <w:rsid w:val="00CF6B4F"/>
    <w:rsid w:val="00CF6B84"/>
    <w:rsid w:val="00CF6B88"/>
    <w:rsid w:val="00CF6BEA"/>
    <w:rsid w:val="00CF6D79"/>
    <w:rsid w:val="00CF6E07"/>
    <w:rsid w:val="00CF6E46"/>
    <w:rsid w:val="00CF6EC1"/>
    <w:rsid w:val="00CF6ECE"/>
    <w:rsid w:val="00CF6EE1"/>
    <w:rsid w:val="00CF6F09"/>
    <w:rsid w:val="00CF6FB6"/>
    <w:rsid w:val="00CF6FDE"/>
    <w:rsid w:val="00CF70D7"/>
    <w:rsid w:val="00CF7115"/>
    <w:rsid w:val="00CF7152"/>
    <w:rsid w:val="00CF7190"/>
    <w:rsid w:val="00CF7242"/>
    <w:rsid w:val="00CF7257"/>
    <w:rsid w:val="00CF7321"/>
    <w:rsid w:val="00CF73E1"/>
    <w:rsid w:val="00CF748D"/>
    <w:rsid w:val="00CF7499"/>
    <w:rsid w:val="00CF749A"/>
    <w:rsid w:val="00CF74D1"/>
    <w:rsid w:val="00CF74DA"/>
    <w:rsid w:val="00CF755F"/>
    <w:rsid w:val="00CF7593"/>
    <w:rsid w:val="00CF7649"/>
    <w:rsid w:val="00CF7688"/>
    <w:rsid w:val="00CF76F1"/>
    <w:rsid w:val="00CF772C"/>
    <w:rsid w:val="00CF772F"/>
    <w:rsid w:val="00CF77A8"/>
    <w:rsid w:val="00CF781C"/>
    <w:rsid w:val="00CF789F"/>
    <w:rsid w:val="00CF7911"/>
    <w:rsid w:val="00CF792A"/>
    <w:rsid w:val="00CF7958"/>
    <w:rsid w:val="00CF79E4"/>
    <w:rsid w:val="00CF7A6E"/>
    <w:rsid w:val="00CF7B9D"/>
    <w:rsid w:val="00CF7BF0"/>
    <w:rsid w:val="00CF7C5A"/>
    <w:rsid w:val="00CF7CF3"/>
    <w:rsid w:val="00CF7CF7"/>
    <w:rsid w:val="00CF7E2F"/>
    <w:rsid w:val="00CF7E36"/>
    <w:rsid w:val="00CF7EA0"/>
    <w:rsid w:val="00CF7F1B"/>
    <w:rsid w:val="00D0001C"/>
    <w:rsid w:val="00D00071"/>
    <w:rsid w:val="00D00089"/>
    <w:rsid w:val="00D0008B"/>
    <w:rsid w:val="00D00158"/>
    <w:rsid w:val="00D001D1"/>
    <w:rsid w:val="00D00218"/>
    <w:rsid w:val="00D002CF"/>
    <w:rsid w:val="00D00329"/>
    <w:rsid w:val="00D0039E"/>
    <w:rsid w:val="00D003FA"/>
    <w:rsid w:val="00D003FB"/>
    <w:rsid w:val="00D0046D"/>
    <w:rsid w:val="00D0049E"/>
    <w:rsid w:val="00D004F8"/>
    <w:rsid w:val="00D0052B"/>
    <w:rsid w:val="00D0052E"/>
    <w:rsid w:val="00D00538"/>
    <w:rsid w:val="00D0056A"/>
    <w:rsid w:val="00D0059D"/>
    <w:rsid w:val="00D005F7"/>
    <w:rsid w:val="00D0065A"/>
    <w:rsid w:val="00D0069E"/>
    <w:rsid w:val="00D0069F"/>
    <w:rsid w:val="00D006B1"/>
    <w:rsid w:val="00D006B4"/>
    <w:rsid w:val="00D006DE"/>
    <w:rsid w:val="00D006FB"/>
    <w:rsid w:val="00D00748"/>
    <w:rsid w:val="00D00761"/>
    <w:rsid w:val="00D0078E"/>
    <w:rsid w:val="00D007FD"/>
    <w:rsid w:val="00D00879"/>
    <w:rsid w:val="00D008C2"/>
    <w:rsid w:val="00D0091C"/>
    <w:rsid w:val="00D0095C"/>
    <w:rsid w:val="00D009F1"/>
    <w:rsid w:val="00D009F2"/>
    <w:rsid w:val="00D00A63"/>
    <w:rsid w:val="00D00A74"/>
    <w:rsid w:val="00D00A84"/>
    <w:rsid w:val="00D00AE0"/>
    <w:rsid w:val="00D00B58"/>
    <w:rsid w:val="00D00B75"/>
    <w:rsid w:val="00D00B78"/>
    <w:rsid w:val="00D00B8E"/>
    <w:rsid w:val="00D00BA1"/>
    <w:rsid w:val="00D00C14"/>
    <w:rsid w:val="00D00C76"/>
    <w:rsid w:val="00D00C79"/>
    <w:rsid w:val="00D00CD5"/>
    <w:rsid w:val="00D00D0A"/>
    <w:rsid w:val="00D00D68"/>
    <w:rsid w:val="00D00E1B"/>
    <w:rsid w:val="00D00E69"/>
    <w:rsid w:val="00D00EB6"/>
    <w:rsid w:val="00D00EB8"/>
    <w:rsid w:val="00D00ED2"/>
    <w:rsid w:val="00D00EDB"/>
    <w:rsid w:val="00D00EF7"/>
    <w:rsid w:val="00D00F15"/>
    <w:rsid w:val="00D00F86"/>
    <w:rsid w:val="00D00FA8"/>
    <w:rsid w:val="00D00FDF"/>
    <w:rsid w:val="00D0104F"/>
    <w:rsid w:val="00D01134"/>
    <w:rsid w:val="00D011F2"/>
    <w:rsid w:val="00D0124A"/>
    <w:rsid w:val="00D0127B"/>
    <w:rsid w:val="00D01293"/>
    <w:rsid w:val="00D01294"/>
    <w:rsid w:val="00D01323"/>
    <w:rsid w:val="00D01388"/>
    <w:rsid w:val="00D013A3"/>
    <w:rsid w:val="00D013E4"/>
    <w:rsid w:val="00D0142F"/>
    <w:rsid w:val="00D0144D"/>
    <w:rsid w:val="00D01479"/>
    <w:rsid w:val="00D0151A"/>
    <w:rsid w:val="00D015C9"/>
    <w:rsid w:val="00D015E2"/>
    <w:rsid w:val="00D0162D"/>
    <w:rsid w:val="00D017ED"/>
    <w:rsid w:val="00D017F2"/>
    <w:rsid w:val="00D01831"/>
    <w:rsid w:val="00D0185F"/>
    <w:rsid w:val="00D0186F"/>
    <w:rsid w:val="00D0193B"/>
    <w:rsid w:val="00D01950"/>
    <w:rsid w:val="00D019F5"/>
    <w:rsid w:val="00D01A04"/>
    <w:rsid w:val="00D01A28"/>
    <w:rsid w:val="00D01A53"/>
    <w:rsid w:val="00D01A9E"/>
    <w:rsid w:val="00D01ADA"/>
    <w:rsid w:val="00D01AE8"/>
    <w:rsid w:val="00D01B2C"/>
    <w:rsid w:val="00D01B5D"/>
    <w:rsid w:val="00D01B6B"/>
    <w:rsid w:val="00D01BA8"/>
    <w:rsid w:val="00D01BBF"/>
    <w:rsid w:val="00D01BE1"/>
    <w:rsid w:val="00D01BF2"/>
    <w:rsid w:val="00D01C2B"/>
    <w:rsid w:val="00D01CB1"/>
    <w:rsid w:val="00D01CCC"/>
    <w:rsid w:val="00D01D2D"/>
    <w:rsid w:val="00D01E1B"/>
    <w:rsid w:val="00D01E44"/>
    <w:rsid w:val="00D01E80"/>
    <w:rsid w:val="00D01E9A"/>
    <w:rsid w:val="00D01ECA"/>
    <w:rsid w:val="00D01EDA"/>
    <w:rsid w:val="00D01F0F"/>
    <w:rsid w:val="00D01F78"/>
    <w:rsid w:val="00D01F86"/>
    <w:rsid w:val="00D01FAB"/>
    <w:rsid w:val="00D02004"/>
    <w:rsid w:val="00D0209A"/>
    <w:rsid w:val="00D020D5"/>
    <w:rsid w:val="00D02182"/>
    <w:rsid w:val="00D02220"/>
    <w:rsid w:val="00D0225C"/>
    <w:rsid w:val="00D02291"/>
    <w:rsid w:val="00D02512"/>
    <w:rsid w:val="00D02573"/>
    <w:rsid w:val="00D025A8"/>
    <w:rsid w:val="00D025AB"/>
    <w:rsid w:val="00D025B8"/>
    <w:rsid w:val="00D025ED"/>
    <w:rsid w:val="00D02634"/>
    <w:rsid w:val="00D0263E"/>
    <w:rsid w:val="00D026C5"/>
    <w:rsid w:val="00D02805"/>
    <w:rsid w:val="00D02810"/>
    <w:rsid w:val="00D02945"/>
    <w:rsid w:val="00D02963"/>
    <w:rsid w:val="00D0299E"/>
    <w:rsid w:val="00D02A1D"/>
    <w:rsid w:val="00D02A46"/>
    <w:rsid w:val="00D02AEA"/>
    <w:rsid w:val="00D02B08"/>
    <w:rsid w:val="00D02DAB"/>
    <w:rsid w:val="00D02DB9"/>
    <w:rsid w:val="00D02DCE"/>
    <w:rsid w:val="00D02DF4"/>
    <w:rsid w:val="00D02EB9"/>
    <w:rsid w:val="00D02EBF"/>
    <w:rsid w:val="00D02EFC"/>
    <w:rsid w:val="00D02F46"/>
    <w:rsid w:val="00D02F57"/>
    <w:rsid w:val="00D02F5E"/>
    <w:rsid w:val="00D02FAA"/>
    <w:rsid w:val="00D03003"/>
    <w:rsid w:val="00D0305E"/>
    <w:rsid w:val="00D03070"/>
    <w:rsid w:val="00D03084"/>
    <w:rsid w:val="00D0314A"/>
    <w:rsid w:val="00D031DF"/>
    <w:rsid w:val="00D03233"/>
    <w:rsid w:val="00D0327D"/>
    <w:rsid w:val="00D032D6"/>
    <w:rsid w:val="00D03312"/>
    <w:rsid w:val="00D03313"/>
    <w:rsid w:val="00D03357"/>
    <w:rsid w:val="00D033A2"/>
    <w:rsid w:val="00D033A3"/>
    <w:rsid w:val="00D033DF"/>
    <w:rsid w:val="00D03439"/>
    <w:rsid w:val="00D03464"/>
    <w:rsid w:val="00D0350D"/>
    <w:rsid w:val="00D03516"/>
    <w:rsid w:val="00D03522"/>
    <w:rsid w:val="00D03557"/>
    <w:rsid w:val="00D0355C"/>
    <w:rsid w:val="00D03594"/>
    <w:rsid w:val="00D035E4"/>
    <w:rsid w:val="00D03628"/>
    <w:rsid w:val="00D0366F"/>
    <w:rsid w:val="00D036BC"/>
    <w:rsid w:val="00D03725"/>
    <w:rsid w:val="00D03834"/>
    <w:rsid w:val="00D038B8"/>
    <w:rsid w:val="00D03939"/>
    <w:rsid w:val="00D0395B"/>
    <w:rsid w:val="00D03978"/>
    <w:rsid w:val="00D03AC7"/>
    <w:rsid w:val="00D03B0F"/>
    <w:rsid w:val="00D03B29"/>
    <w:rsid w:val="00D03C55"/>
    <w:rsid w:val="00D03CE8"/>
    <w:rsid w:val="00D03D6D"/>
    <w:rsid w:val="00D03D76"/>
    <w:rsid w:val="00D03E2B"/>
    <w:rsid w:val="00D03E85"/>
    <w:rsid w:val="00D03EFB"/>
    <w:rsid w:val="00D0405B"/>
    <w:rsid w:val="00D0405E"/>
    <w:rsid w:val="00D040B1"/>
    <w:rsid w:val="00D040CF"/>
    <w:rsid w:val="00D0410A"/>
    <w:rsid w:val="00D04119"/>
    <w:rsid w:val="00D04172"/>
    <w:rsid w:val="00D04191"/>
    <w:rsid w:val="00D04226"/>
    <w:rsid w:val="00D0438E"/>
    <w:rsid w:val="00D0438F"/>
    <w:rsid w:val="00D0439A"/>
    <w:rsid w:val="00D043A6"/>
    <w:rsid w:val="00D043A7"/>
    <w:rsid w:val="00D043AE"/>
    <w:rsid w:val="00D043C7"/>
    <w:rsid w:val="00D044C7"/>
    <w:rsid w:val="00D044F7"/>
    <w:rsid w:val="00D04506"/>
    <w:rsid w:val="00D0455B"/>
    <w:rsid w:val="00D04574"/>
    <w:rsid w:val="00D045AC"/>
    <w:rsid w:val="00D045AF"/>
    <w:rsid w:val="00D045D0"/>
    <w:rsid w:val="00D045D5"/>
    <w:rsid w:val="00D04637"/>
    <w:rsid w:val="00D04688"/>
    <w:rsid w:val="00D046DF"/>
    <w:rsid w:val="00D047B2"/>
    <w:rsid w:val="00D0487E"/>
    <w:rsid w:val="00D048CD"/>
    <w:rsid w:val="00D048D5"/>
    <w:rsid w:val="00D04913"/>
    <w:rsid w:val="00D0493C"/>
    <w:rsid w:val="00D04941"/>
    <w:rsid w:val="00D04966"/>
    <w:rsid w:val="00D0499A"/>
    <w:rsid w:val="00D04A58"/>
    <w:rsid w:val="00D04A7A"/>
    <w:rsid w:val="00D04B42"/>
    <w:rsid w:val="00D04C16"/>
    <w:rsid w:val="00D04C53"/>
    <w:rsid w:val="00D04C54"/>
    <w:rsid w:val="00D04C60"/>
    <w:rsid w:val="00D04C62"/>
    <w:rsid w:val="00D04C8E"/>
    <w:rsid w:val="00D04D38"/>
    <w:rsid w:val="00D04E08"/>
    <w:rsid w:val="00D04E0D"/>
    <w:rsid w:val="00D04E36"/>
    <w:rsid w:val="00D04E7B"/>
    <w:rsid w:val="00D04E8A"/>
    <w:rsid w:val="00D04EA5"/>
    <w:rsid w:val="00D04F61"/>
    <w:rsid w:val="00D04FAD"/>
    <w:rsid w:val="00D04FE2"/>
    <w:rsid w:val="00D0507A"/>
    <w:rsid w:val="00D050FC"/>
    <w:rsid w:val="00D05122"/>
    <w:rsid w:val="00D05198"/>
    <w:rsid w:val="00D05210"/>
    <w:rsid w:val="00D05252"/>
    <w:rsid w:val="00D05264"/>
    <w:rsid w:val="00D052B9"/>
    <w:rsid w:val="00D0538B"/>
    <w:rsid w:val="00D053D8"/>
    <w:rsid w:val="00D054EA"/>
    <w:rsid w:val="00D0554B"/>
    <w:rsid w:val="00D055AC"/>
    <w:rsid w:val="00D055C4"/>
    <w:rsid w:val="00D055EB"/>
    <w:rsid w:val="00D0562A"/>
    <w:rsid w:val="00D0563E"/>
    <w:rsid w:val="00D05682"/>
    <w:rsid w:val="00D056A1"/>
    <w:rsid w:val="00D056CD"/>
    <w:rsid w:val="00D056E0"/>
    <w:rsid w:val="00D05728"/>
    <w:rsid w:val="00D0578A"/>
    <w:rsid w:val="00D057BE"/>
    <w:rsid w:val="00D05869"/>
    <w:rsid w:val="00D058C3"/>
    <w:rsid w:val="00D059A3"/>
    <w:rsid w:val="00D059B9"/>
    <w:rsid w:val="00D059EC"/>
    <w:rsid w:val="00D05AA5"/>
    <w:rsid w:val="00D05AB6"/>
    <w:rsid w:val="00D05AC3"/>
    <w:rsid w:val="00D05BB2"/>
    <w:rsid w:val="00D05BED"/>
    <w:rsid w:val="00D05C37"/>
    <w:rsid w:val="00D05C4E"/>
    <w:rsid w:val="00D05C73"/>
    <w:rsid w:val="00D05C9C"/>
    <w:rsid w:val="00D05CA2"/>
    <w:rsid w:val="00D05CC1"/>
    <w:rsid w:val="00D05CCA"/>
    <w:rsid w:val="00D05CD6"/>
    <w:rsid w:val="00D05CEB"/>
    <w:rsid w:val="00D05DA4"/>
    <w:rsid w:val="00D05DB4"/>
    <w:rsid w:val="00D05FCE"/>
    <w:rsid w:val="00D05FD5"/>
    <w:rsid w:val="00D06041"/>
    <w:rsid w:val="00D061BE"/>
    <w:rsid w:val="00D06304"/>
    <w:rsid w:val="00D06369"/>
    <w:rsid w:val="00D06395"/>
    <w:rsid w:val="00D063A4"/>
    <w:rsid w:val="00D063C3"/>
    <w:rsid w:val="00D06402"/>
    <w:rsid w:val="00D06403"/>
    <w:rsid w:val="00D06419"/>
    <w:rsid w:val="00D0642D"/>
    <w:rsid w:val="00D0643B"/>
    <w:rsid w:val="00D064A1"/>
    <w:rsid w:val="00D064BA"/>
    <w:rsid w:val="00D06529"/>
    <w:rsid w:val="00D06534"/>
    <w:rsid w:val="00D06615"/>
    <w:rsid w:val="00D0661B"/>
    <w:rsid w:val="00D06621"/>
    <w:rsid w:val="00D066F5"/>
    <w:rsid w:val="00D067AF"/>
    <w:rsid w:val="00D0681F"/>
    <w:rsid w:val="00D06866"/>
    <w:rsid w:val="00D06870"/>
    <w:rsid w:val="00D0688C"/>
    <w:rsid w:val="00D068E8"/>
    <w:rsid w:val="00D069FE"/>
    <w:rsid w:val="00D06B33"/>
    <w:rsid w:val="00D06B37"/>
    <w:rsid w:val="00D06B4D"/>
    <w:rsid w:val="00D06B8E"/>
    <w:rsid w:val="00D06B93"/>
    <w:rsid w:val="00D06C46"/>
    <w:rsid w:val="00D06C60"/>
    <w:rsid w:val="00D06C8A"/>
    <w:rsid w:val="00D06D06"/>
    <w:rsid w:val="00D06D41"/>
    <w:rsid w:val="00D06D5E"/>
    <w:rsid w:val="00D06ECE"/>
    <w:rsid w:val="00D06F00"/>
    <w:rsid w:val="00D06F01"/>
    <w:rsid w:val="00D06F0B"/>
    <w:rsid w:val="00D06FC3"/>
    <w:rsid w:val="00D06FC4"/>
    <w:rsid w:val="00D06FD7"/>
    <w:rsid w:val="00D06FDA"/>
    <w:rsid w:val="00D07011"/>
    <w:rsid w:val="00D070AD"/>
    <w:rsid w:val="00D070DE"/>
    <w:rsid w:val="00D070E5"/>
    <w:rsid w:val="00D07138"/>
    <w:rsid w:val="00D071BE"/>
    <w:rsid w:val="00D07241"/>
    <w:rsid w:val="00D07257"/>
    <w:rsid w:val="00D07280"/>
    <w:rsid w:val="00D07296"/>
    <w:rsid w:val="00D072F1"/>
    <w:rsid w:val="00D07301"/>
    <w:rsid w:val="00D07345"/>
    <w:rsid w:val="00D0736C"/>
    <w:rsid w:val="00D07374"/>
    <w:rsid w:val="00D0737E"/>
    <w:rsid w:val="00D07384"/>
    <w:rsid w:val="00D073E9"/>
    <w:rsid w:val="00D07428"/>
    <w:rsid w:val="00D074C9"/>
    <w:rsid w:val="00D07596"/>
    <w:rsid w:val="00D075A6"/>
    <w:rsid w:val="00D075B1"/>
    <w:rsid w:val="00D075F9"/>
    <w:rsid w:val="00D076EB"/>
    <w:rsid w:val="00D076F3"/>
    <w:rsid w:val="00D07739"/>
    <w:rsid w:val="00D0782F"/>
    <w:rsid w:val="00D07861"/>
    <w:rsid w:val="00D07875"/>
    <w:rsid w:val="00D07879"/>
    <w:rsid w:val="00D0787A"/>
    <w:rsid w:val="00D07881"/>
    <w:rsid w:val="00D078E2"/>
    <w:rsid w:val="00D07941"/>
    <w:rsid w:val="00D0798D"/>
    <w:rsid w:val="00D079A2"/>
    <w:rsid w:val="00D079B3"/>
    <w:rsid w:val="00D07A10"/>
    <w:rsid w:val="00D07B6E"/>
    <w:rsid w:val="00D07C42"/>
    <w:rsid w:val="00D07C4A"/>
    <w:rsid w:val="00D07C53"/>
    <w:rsid w:val="00D07CB4"/>
    <w:rsid w:val="00D07D80"/>
    <w:rsid w:val="00D07E30"/>
    <w:rsid w:val="00D07E5B"/>
    <w:rsid w:val="00D07E7C"/>
    <w:rsid w:val="00D07E8D"/>
    <w:rsid w:val="00D07E99"/>
    <w:rsid w:val="00D07EB4"/>
    <w:rsid w:val="00D07EE2"/>
    <w:rsid w:val="00D07F1B"/>
    <w:rsid w:val="00D07F31"/>
    <w:rsid w:val="00D07F34"/>
    <w:rsid w:val="00D07F8C"/>
    <w:rsid w:val="00D10008"/>
    <w:rsid w:val="00D100A7"/>
    <w:rsid w:val="00D100D0"/>
    <w:rsid w:val="00D10104"/>
    <w:rsid w:val="00D101B5"/>
    <w:rsid w:val="00D101F7"/>
    <w:rsid w:val="00D10259"/>
    <w:rsid w:val="00D1035D"/>
    <w:rsid w:val="00D103A9"/>
    <w:rsid w:val="00D10439"/>
    <w:rsid w:val="00D1044A"/>
    <w:rsid w:val="00D10495"/>
    <w:rsid w:val="00D104A3"/>
    <w:rsid w:val="00D10519"/>
    <w:rsid w:val="00D105E8"/>
    <w:rsid w:val="00D10647"/>
    <w:rsid w:val="00D10669"/>
    <w:rsid w:val="00D10683"/>
    <w:rsid w:val="00D106A0"/>
    <w:rsid w:val="00D10718"/>
    <w:rsid w:val="00D107B2"/>
    <w:rsid w:val="00D10844"/>
    <w:rsid w:val="00D108E6"/>
    <w:rsid w:val="00D108FD"/>
    <w:rsid w:val="00D1096D"/>
    <w:rsid w:val="00D1098D"/>
    <w:rsid w:val="00D109BA"/>
    <w:rsid w:val="00D10A0A"/>
    <w:rsid w:val="00D10A3B"/>
    <w:rsid w:val="00D10A55"/>
    <w:rsid w:val="00D10A67"/>
    <w:rsid w:val="00D10A79"/>
    <w:rsid w:val="00D10ACB"/>
    <w:rsid w:val="00D10AFF"/>
    <w:rsid w:val="00D10B2D"/>
    <w:rsid w:val="00D10B90"/>
    <w:rsid w:val="00D10C86"/>
    <w:rsid w:val="00D10CCC"/>
    <w:rsid w:val="00D10CE6"/>
    <w:rsid w:val="00D10CED"/>
    <w:rsid w:val="00D10D21"/>
    <w:rsid w:val="00D10D43"/>
    <w:rsid w:val="00D10D47"/>
    <w:rsid w:val="00D10D5B"/>
    <w:rsid w:val="00D10D9A"/>
    <w:rsid w:val="00D10E08"/>
    <w:rsid w:val="00D10E09"/>
    <w:rsid w:val="00D10E22"/>
    <w:rsid w:val="00D10E84"/>
    <w:rsid w:val="00D10ED2"/>
    <w:rsid w:val="00D10F7B"/>
    <w:rsid w:val="00D11033"/>
    <w:rsid w:val="00D110B1"/>
    <w:rsid w:val="00D11110"/>
    <w:rsid w:val="00D111D6"/>
    <w:rsid w:val="00D11246"/>
    <w:rsid w:val="00D112AE"/>
    <w:rsid w:val="00D112E5"/>
    <w:rsid w:val="00D112EA"/>
    <w:rsid w:val="00D11380"/>
    <w:rsid w:val="00D11381"/>
    <w:rsid w:val="00D113A1"/>
    <w:rsid w:val="00D113CE"/>
    <w:rsid w:val="00D1143D"/>
    <w:rsid w:val="00D114F4"/>
    <w:rsid w:val="00D11545"/>
    <w:rsid w:val="00D1158A"/>
    <w:rsid w:val="00D115D8"/>
    <w:rsid w:val="00D115E0"/>
    <w:rsid w:val="00D1160F"/>
    <w:rsid w:val="00D11730"/>
    <w:rsid w:val="00D11754"/>
    <w:rsid w:val="00D117C6"/>
    <w:rsid w:val="00D117D8"/>
    <w:rsid w:val="00D1181D"/>
    <w:rsid w:val="00D118B1"/>
    <w:rsid w:val="00D118C3"/>
    <w:rsid w:val="00D118ED"/>
    <w:rsid w:val="00D118F0"/>
    <w:rsid w:val="00D1190F"/>
    <w:rsid w:val="00D11A1F"/>
    <w:rsid w:val="00D11A39"/>
    <w:rsid w:val="00D11A5C"/>
    <w:rsid w:val="00D11A80"/>
    <w:rsid w:val="00D11A96"/>
    <w:rsid w:val="00D11CC7"/>
    <w:rsid w:val="00D11D0E"/>
    <w:rsid w:val="00D11D28"/>
    <w:rsid w:val="00D11D31"/>
    <w:rsid w:val="00D11D63"/>
    <w:rsid w:val="00D11D84"/>
    <w:rsid w:val="00D11D92"/>
    <w:rsid w:val="00D11DCF"/>
    <w:rsid w:val="00D11DD5"/>
    <w:rsid w:val="00D11E6B"/>
    <w:rsid w:val="00D11ED8"/>
    <w:rsid w:val="00D11EDF"/>
    <w:rsid w:val="00D11FE2"/>
    <w:rsid w:val="00D120D8"/>
    <w:rsid w:val="00D120DD"/>
    <w:rsid w:val="00D120F2"/>
    <w:rsid w:val="00D120FE"/>
    <w:rsid w:val="00D1211D"/>
    <w:rsid w:val="00D12194"/>
    <w:rsid w:val="00D12197"/>
    <w:rsid w:val="00D121BA"/>
    <w:rsid w:val="00D12357"/>
    <w:rsid w:val="00D12359"/>
    <w:rsid w:val="00D1236A"/>
    <w:rsid w:val="00D123A4"/>
    <w:rsid w:val="00D123C2"/>
    <w:rsid w:val="00D12422"/>
    <w:rsid w:val="00D1246D"/>
    <w:rsid w:val="00D12471"/>
    <w:rsid w:val="00D12474"/>
    <w:rsid w:val="00D12478"/>
    <w:rsid w:val="00D12499"/>
    <w:rsid w:val="00D124C9"/>
    <w:rsid w:val="00D12546"/>
    <w:rsid w:val="00D125EB"/>
    <w:rsid w:val="00D12610"/>
    <w:rsid w:val="00D12656"/>
    <w:rsid w:val="00D126A3"/>
    <w:rsid w:val="00D126B8"/>
    <w:rsid w:val="00D12748"/>
    <w:rsid w:val="00D12756"/>
    <w:rsid w:val="00D12772"/>
    <w:rsid w:val="00D12833"/>
    <w:rsid w:val="00D12856"/>
    <w:rsid w:val="00D128AA"/>
    <w:rsid w:val="00D128EF"/>
    <w:rsid w:val="00D128FB"/>
    <w:rsid w:val="00D12937"/>
    <w:rsid w:val="00D12A32"/>
    <w:rsid w:val="00D12ACD"/>
    <w:rsid w:val="00D12B38"/>
    <w:rsid w:val="00D12B98"/>
    <w:rsid w:val="00D12BA5"/>
    <w:rsid w:val="00D12CD7"/>
    <w:rsid w:val="00D12CF3"/>
    <w:rsid w:val="00D12D16"/>
    <w:rsid w:val="00D12D64"/>
    <w:rsid w:val="00D12D76"/>
    <w:rsid w:val="00D12D8B"/>
    <w:rsid w:val="00D12DA3"/>
    <w:rsid w:val="00D12DA7"/>
    <w:rsid w:val="00D12E0A"/>
    <w:rsid w:val="00D12E90"/>
    <w:rsid w:val="00D12EA8"/>
    <w:rsid w:val="00D12EAD"/>
    <w:rsid w:val="00D12EC6"/>
    <w:rsid w:val="00D12ECD"/>
    <w:rsid w:val="00D12EE8"/>
    <w:rsid w:val="00D12F41"/>
    <w:rsid w:val="00D12F67"/>
    <w:rsid w:val="00D1303B"/>
    <w:rsid w:val="00D130A8"/>
    <w:rsid w:val="00D130AB"/>
    <w:rsid w:val="00D13115"/>
    <w:rsid w:val="00D1320A"/>
    <w:rsid w:val="00D1321C"/>
    <w:rsid w:val="00D13242"/>
    <w:rsid w:val="00D132E3"/>
    <w:rsid w:val="00D13335"/>
    <w:rsid w:val="00D1336C"/>
    <w:rsid w:val="00D1336D"/>
    <w:rsid w:val="00D133B7"/>
    <w:rsid w:val="00D133B8"/>
    <w:rsid w:val="00D13465"/>
    <w:rsid w:val="00D13469"/>
    <w:rsid w:val="00D13490"/>
    <w:rsid w:val="00D13570"/>
    <w:rsid w:val="00D135EB"/>
    <w:rsid w:val="00D13652"/>
    <w:rsid w:val="00D1367A"/>
    <w:rsid w:val="00D13708"/>
    <w:rsid w:val="00D13747"/>
    <w:rsid w:val="00D137FA"/>
    <w:rsid w:val="00D1393C"/>
    <w:rsid w:val="00D1398C"/>
    <w:rsid w:val="00D13997"/>
    <w:rsid w:val="00D139C9"/>
    <w:rsid w:val="00D13A1B"/>
    <w:rsid w:val="00D13A44"/>
    <w:rsid w:val="00D13ACB"/>
    <w:rsid w:val="00D13B03"/>
    <w:rsid w:val="00D13B15"/>
    <w:rsid w:val="00D13BBF"/>
    <w:rsid w:val="00D13CB1"/>
    <w:rsid w:val="00D13CD3"/>
    <w:rsid w:val="00D13CD6"/>
    <w:rsid w:val="00D13D23"/>
    <w:rsid w:val="00D13D7C"/>
    <w:rsid w:val="00D13DE2"/>
    <w:rsid w:val="00D13E3C"/>
    <w:rsid w:val="00D13E4D"/>
    <w:rsid w:val="00D13E9C"/>
    <w:rsid w:val="00D13F41"/>
    <w:rsid w:val="00D14025"/>
    <w:rsid w:val="00D1414C"/>
    <w:rsid w:val="00D14263"/>
    <w:rsid w:val="00D14273"/>
    <w:rsid w:val="00D142CF"/>
    <w:rsid w:val="00D142E9"/>
    <w:rsid w:val="00D1431B"/>
    <w:rsid w:val="00D1433C"/>
    <w:rsid w:val="00D1437C"/>
    <w:rsid w:val="00D143BB"/>
    <w:rsid w:val="00D1443D"/>
    <w:rsid w:val="00D14442"/>
    <w:rsid w:val="00D14466"/>
    <w:rsid w:val="00D14541"/>
    <w:rsid w:val="00D1454F"/>
    <w:rsid w:val="00D14604"/>
    <w:rsid w:val="00D14633"/>
    <w:rsid w:val="00D14639"/>
    <w:rsid w:val="00D146B0"/>
    <w:rsid w:val="00D147A7"/>
    <w:rsid w:val="00D14822"/>
    <w:rsid w:val="00D1486D"/>
    <w:rsid w:val="00D14888"/>
    <w:rsid w:val="00D1496D"/>
    <w:rsid w:val="00D149AF"/>
    <w:rsid w:val="00D149C0"/>
    <w:rsid w:val="00D14A91"/>
    <w:rsid w:val="00D14BD5"/>
    <w:rsid w:val="00D14BE2"/>
    <w:rsid w:val="00D14BE8"/>
    <w:rsid w:val="00D14BF4"/>
    <w:rsid w:val="00D14C29"/>
    <w:rsid w:val="00D14C2A"/>
    <w:rsid w:val="00D14C37"/>
    <w:rsid w:val="00D14C56"/>
    <w:rsid w:val="00D14C7B"/>
    <w:rsid w:val="00D14CC0"/>
    <w:rsid w:val="00D14CD7"/>
    <w:rsid w:val="00D14CE5"/>
    <w:rsid w:val="00D14CE9"/>
    <w:rsid w:val="00D14D12"/>
    <w:rsid w:val="00D14DAB"/>
    <w:rsid w:val="00D14DC9"/>
    <w:rsid w:val="00D14E20"/>
    <w:rsid w:val="00D14E80"/>
    <w:rsid w:val="00D14E90"/>
    <w:rsid w:val="00D14EF3"/>
    <w:rsid w:val="00D14F26"/>
    <w:rsid w:val="00D14F34"/>
    <w:rsid w:val="00D14F93"/>
    <w:rsid w:val="00D14FD9"/>
    <w:rsid w:val="00D150BD"/>
    <w:rsid w:val="00D15118"/>
    <w:rsid w:val="00D1524A"/>
    <w:rsid w:val="00D1527D"/>
    <w:rsid w:val="00D152CA"/>
    <w:rsid w:val="00D152DE"/>
    <w:rsid w:val="00D15325"/>
    <w:rsid w:val="00D15372"/>
    <w:rsid w:val="00D15418"/>
    <w:rsid w:val="00D15492"/>
    <w:rsid w:val="00D154F7"/>
    <w:rsid w:val="00D15599"/>
    <w:rsid w:val="00D155D9"/>
    <w:rsid w:val="00D1579D"/>
    <w:rsid w:val="00D1586D"/>
    <w:rsid w:val="00D1589B"/>
    <w:rsid w:val="00D158BD"/>
    <w:rsid w:val="00D15989"/>
    <w:rsid w:val="00D15A11"/>
    <w:rsid w:val="00D15A51"/>
    <w:rsid w:val="00D15A84"/>
    <w:rsid w:val="00D15ADD"/>
    <w:rsid w:val="00D15AFB"/>
    <w:rsid w:val="00D15B49"/>
    <w:rsid w:val="00D15BE4"/>
    <w:rsid w:val="00D15C31"/>
    <w:rsid w:val="00D15C96"/>
    <w:rsid w:val="00D15CD7"/>
    <w:rsid w:val="00D15D02"/>
    <w:rsid w:val="00D15E05"/>
    <w:rsid w:val="00D15EC0"/>
    <w:rsid w:val="00D15FEB"/>
    <w:rsid w:val="00D16024"/>
    <w:rsid w:val="00D1602F"/>
    <w:rsid w:val="00D16049"/>
    <w:rsid w:val="00D16094"/>
    <w:rsid w:val="00D1610F"/>
    <w:rsid w:val="00D161EC"/>
    <w:rsid w:val="00D1623B"/>
    <w:rsid w:val="00D162AC"/>
    <w:rsid w:val="00D162CC"/>
    <w:rsid w:val="00D162CD"/>
    <w:rsid w:val="00D162E0"/>
    <w:rsid w:val="00D163D5"/>
    <w:rsid w:val="00D1640E"/>
    <w:rsid w:val="00D16442"/>
    <w:rsid w:val="00D16482"/>
    <w:rsid w:val="00D1648B"/>
    <w:rsid w:val="00D16491"/>
    <w:rsid w:val="00D16498"/>
    <w:rsid w:val="00D164B0"/>
    <w:rsid w:val="00D16545"/>
    <w:rsid w:val="00D165B0"/>
    <w:rsid w:val="00D16660"/>
    <w:rsid w:val="00D166D7"/>
    <w:rsid w:val="00D16718"/>
    <w:rsid w:val="00D1673B"/>
    <w:rsid w:val="00D16843"/>
    <w:rsid w:val="00D16895"/>
    <w:rsid w:val="00D168CE"/>
    <w:rsid w:val="00D168D7"/>
    <w:rsid w:val="00D16991"/>
    <w:rsid w:val="00D169AF"/>
    <w:rsid w:val="00D169F2"/>
    <w:rsid w:val="00D169F4"/>
    <w:rsid w:val="00D16A3E"/>
    <w:rsid w:val="00D16A9D"/>
    <w:rsid w:val="00D16ADA"/>
    <w:rsid w:val="00D16ADC"/>
    <w:rsid w:val="00D16AE6"/>
    <w:rsid w:val="00D16B0E"/>
    <w:rsid w:val="00D16BF2"/>
    <w:rsid w:val="00D16C95"/>
    <w:rsid w:val="00D16CA4"/>
    <w:rsid w:val="00D16CAE"/>
    <w:rsid w:val="00D16CB4"/>
    <w:rsid w:val="00D16CD2"/>
    <w:rsid w:val="00D16D38"/>
    <w:rsid w:val="00D16D3A"/>
    <w:rsid w:val="00D16D79"/>
    <w:rsid w:val="00D16D7E"/>
    <w:rsid w:val="00D16D96"/>
    <w:rsid w:val="00D16EC2"/>
    <w:rsid w:val="00D16EE9"/>
    <w:rsid w:val="00D16F1E"/>
    <w:rsid w:val="00D16F56"/>
    <w:rsid w:val="00D16FA2"/>
    <w:rsid w:val="00D170DE"/>
    <w:rsid w:val="00D17104"/>
    <w:rsid w:val="00D1712B"/>
    <w:rsid w:val="00D17196"/>
    <w:rsid w:val="00D171C5"/>
    <w:rsid w:val="00D17206"/>
    <w:rsid w:val="00D17241"/>
    <w:rsid w:val="00D17299"/>
    <w:rsid w:val="00D17310"/>
    <w:rsid w:val="00D17324"/>
    <w:rsid w:val="00D17347"/>
    <w:rsid w:val="00D17381"/>
    <w:rsid w:val="00D17383"/>
    <w:rsid w:val="00D17406"/>
    <w:rsid w:val="00D17447"/>
    <w:rsid w:val="00D1747C"/>
    <w:rsid w:val="00D174C3"/>
    <w:rsid w:val="00D175BA"/>
    <w:rsid w:val="00D176EA"/>
    <w:rsid w:val="00D17706"/>
    <w:rsid w:val="00D17759"/>
    <w:rsid w:val="00D177AF"/>
    <w:rsid w:val="00D178C8"/>
    <w:rsid w:val="00D178EF"/>
    <w:rsid w:val="00D17A41"/>
    <w:rsid w:val="00D17A8F"/>
    <w:rsid w:val="00D17AAA"/>
    <w:rsid w:val="00D17AAF"/>
    <w:rsid w:val="00D17AB9"/>
    <w:rsid w:val="00D17AC5"/>
    <w:rsid w:val="00D17AF0"/>
    <w:rsid w:val="00D17B0D"/>
    <w:rsid w:val="00D17B29"/>
    <w:rsid w:val="00D17B79"/>
    <w:rsid w:val="00D17CA5"/>
    <w:rsid w:val="00D17CC1"/>
    <w:rsid w:val="00D17CD1"/>
    <w:rsid w:val="00D17DAA"/>
    <w:rsid w:val="00D17DD1"/>
    <w:rsid w:val="00D17E4C"/>
    <w:rsid w:val="00D17E65"/>
    <w:rsid w:val="00D17F75"/>
    <w:rsid w:val="00D17F7A"/>
    <w:rsid w:val="00D2001C"/>
    <w:rsid w:val="00D20053"/>
    <w:rsid w:val="00D20089"/>
    <w:rsid w:val="00D2008E"/>
    <w:rsid w:val="00D2008F"/>
    <w:rsid w:val="00D202B1"/>
    <w:rsid w:val="00D202E9"/>
    <w:rsid w:val="00D20353"/>
    <w:rsid w:val="00D2043F"/>
    <w:rsid w:val="00D20453"/>
    <w:rsid w:val="00D2045D"/>
    <w:rsid w:val="00D205AF"/>
    <w:rsid w:val="00D205ED"/>
    <w:rsid w:val="00D2064F"/>
    <w:rsid w:val="00D20676"/>
    <w:rsid w:val="00D20686"/>
    <w:rsid w:val="00D20729"/>
    <w:rsid w:val="00D207E7"/>
    <w:rsid w:val="00D207EE"/>
    <w:rsid w:val="00D20840"/>
    <w:rsid w:val="00D20890"/>
    <w:rsid w:val="00D208C5"/>
    <w:rsid w:val="00D208CD"/>
    <w:rsid w:val="00D2090A"/>
    <w:rsid w:val="00D20949"/>
    <w:rsid w:val="00D20A7D"/>
    <w:rsid w:val="00D20A9A"/>
    <w:rsid w:val="00D20AE8"/>
    <w:rsid w:val="00D20B0A"/>
    <w:rsid w:val="00D20BAE"/>
    <w:rsid w:val="00D20BD3"/>
    <w:rsid w:val="00D20BD5"/>
    <w:rsid w:val="00D20C47"/>
    <w:rsid w:val="00D20D03"/>
    <w:rsid w:val="00D20D11"/>
    <w:rsid w:val="00D20E47"/>
    <w:rsid w:val="00D20E66"/>
    <w:rsid w:val="00D20F1B"/>
    <w:rsid w:val="00D20F92"/>
    <w:rsid w:val="00D20FB1"/>
    <w:rsid w:val="00D20FBB"/>
    <w:rsid w:val="00D20FF4"/>
    <w:rsid w:val="00D2105A"/>
    <w:rsid w:val="00D21076"/>
    <w:rsid w:val="00D21099"/>
    <w:rsid w:val="00D210D6"/>
    <w:rsid w:val="00D21145"/>
    <w:rsid w:val="00D21155"/>
    <w:rsid w:val="00D2118C"/>
    <w:rsid w:val="00D211BA"/>
    <w:rsid w:val="00D211F5"/>
    <w:rsid w:val="00D2129C"/>
    <w:rsid w:val="00D212C4"/>
    <w:rsid w:val="00D212E2"/>
    <w:rsid w:val="00D212E8"/>
    <w:rsid w:val="00D213A5"/>
    <w:rsid w:val="00D21458"/>
    <w:rsid w:val="00D21463"/>
    <w:rsid w:val="00D214DC"/>
    <w:rsid w:val="00D21587"/>
    <w:rsid w:val="00D215A3"/>
    <w:rsid w:val="00D215D8"/>
    <w:rsid w:val="00D215DA"/>
    <w:rsid w:val="00D215F3"/>
    <w:rsid w:val="00D2163F"/>
    <w:rsid w:val="00D21645"/>
    <w:rsid w:val="00D21713"/>
    <w:rsid w:val="00D217FC"/>
    <w:rsid w:val="00D2187D"/>
    <w:rsid w:val="00D218F4"/>
    <w:rsid w:val="00D21947"/>
    <w:rsid w:val="00D21951"/>
    <w:rsid w:val="00D21958"/>
    <w:rsid w:val="00D219EC"/>
    <w:rsid w:val="00D21AA1"/>
    <w:rsid w:val="00D21AA2"/>
    <w:rsid w:val="00D21AC2"/>
    <w:rsid w:val="00D21AD9"/>
    <w:rsid w:val="00D21AEA"/>
    <w:rsid w:val="00D21B0D"/>
    <w:rsid w:val="00D21B6E"/>
    <w:rsid w:val="00D21C12"/>
    <w:rsid w:val="00D21C24"/>
    <w:rsid w:val="00D21C58"/>
    <w:rsid w:val="00D21C74"/>
    <w:rsid w:val="00D21D80"/>
    <w:rsid w:val="00D21E1E"/>
    <w:rsid w:val="00D21E6D"/>
    <w:rsid w:val="00D21EBB"/>
    <w:rsid w:val="00D21F23"/>
    <w:rsid w:val="00D21F32"/>
    <w:rsid w:val="00D21FA8"/>
    <w:rsid w:val="00D2213C"/>
    <w:rsid w:val="00D22164"/>
    <w:rsid w:val="00D221D9"/>
    <w:rsid w:val="00D22327"/>
    <w:rsid w:val="00D22478"/>
    <w:rsid w:val="00D224B7"/>
    <w:rsid w:val="00D224FE"/>
    <w:rsid w:val="00D22506"/>
    <w:rsid w:val="00D22531"/>
    <w:rsid w:val="00D22541"/>
    <w:rsid w:val="00D225B5"/>
    <w:rsid w:val="00D22669"/>
    <w:rsid w:val="00D226B0"/>
    <w:rsid w:val="00D22705"/>
    <w:rsid w:val="00D2270A"/>
    <w:rsid w:val="00D2272A"/>
    <w:rsid w:val="00D228A1"/>
    <w:rsid w:val="00D228BB"/>
    <w:rsid w:val="00D228F5"/>
    <w:rsid w:val="00D2295F"/>
    <w:rsid w:val="00D22966"/>
    <w:rsid w:val="00D22983"/>
    <w:rsid w:val="00D22998"/>
    <w:rsid w:val="00D229A9"/>
    <w:rsid w:val="00D229C5"/>
    <w:rsid w:val="00D22A34"/>
    <w:rsid w:val="00D22AA9"/>
    <w:rsid w:val="00D22B42"/>
    <w:rsid w:val="00D22BE1"/>
    <w:rsid w:val="00D22C13"/>
    <w:rsid w:val="00D22C19"/>
    <w:rsid w:val="00D22C5F"/>
    <w:rsid w:val="00D22C65"/>
    <w:rsid w:val="00D22CBC"/>
    <w:rsid w:val="00D22D5A"/>
    <w:rsid w:val="00D22D74"/>
    <w:rsid w:val="00D22E26"/>
    <w:rsid w:val="00D22E61"/>
    <w:rsid w:val="00D22E89"/>
    <w:rsid w:val="00D22E98"/>
    <w:rsid w:val="00D22ED4"/>
    <w:rsid w:val="00D22EF0"/>
    <w:rsid w:val="00D22F3C"/>
    <w:rsid w:val="00D2304B"/>
    <w:rsid w:val="00D2310C"/>
    <w:rsid w:val="00D23150"/>
    <w:rsid w:val="00D23191"/>
    <w:rsid w:val="00D232DD"/>
    <w:rsid w:val="00D232EE"/>
    <w:rsid w:val="00D2331B"/>
    <w:rsid w:val="00D23352"/>
    <w:rsid w:val="00D23372"/>
    <w:rsid w:val="00D233FB"/>
    <w:rsid w:val="00D23411"/>
    <w:rsid w:val="00D23463"/>
    <w:rsid w:val="00D2348A"/>
    <w:rsid w:val="00D234AB"/>
    <w:rsid w:val="00D234E5"/>
    <w:rsid w:val="00D2355F"/>
    <w:rsid w:val="00D235A7"/>
    <w:rsid w:val="00D2360C"/>
    <w:rsid w:val="00D23621"/>
    <w:rsid w:val="00D23630"/>
    <w:rsid w:val="00D23663"/>
    <w:rsid w:val="00D23750"/>
    <w:rsid w:val="00D237DB"/>
    <w:rsid w:val="00D23825"/>
    <w:rsid w:val="00D23838"/>
    <w:rsid w:val="00D23856"/>
    <w:rsid w:val="00D238D8"/>
    <w:rsid w:val="00D238F4"/>
    <w:rsid w:val="00D2391E"/>
    <w:rsid w:val="00D23982"/>
    <w:rsid w:val="00D23A24"/>
    <w:rsid w:val="00D23AC3"/>
    <w:rsid w:val="00D23B5A"/>
    <w:rsid w:val="00D23B98"/>
    <w:rsid w:val="00D23BD2"/>
    <w:rsid w:val="00D23BEC"/>
    <w:rsid w:val="00D23BED"/>
    <w:rsid w:val="00D23CAA"/>
    <w:rsid w:val="00D23D0C"/>
    <w:rsid w:val="00D23D31"/>
    <w:rsid w:val="00D23DAF"/>
    <w:rsid w:val="00D23DD3"/>
    <w:rsid w:val="00D23DD9"/>
    <w:rsid w:val="00D23E5F"/>
    <w:rsid w:val="00D23E78"/>
    <w:rsid w:val="00D23E92"/>
    <w:rsid w:val="00D23EEB"/>
    <w:rsid w:val="00D23FC9"/>
    <w:rsid w:val="00D23FD9"/>
    <w:rsid w:val="00D23FDC"/>
    <w:rsid w:val="00D2401A"/>
    <w:rsid w:val="00D24040"/>
    <w:rsid w:val="00D24073"/>
    <w:rsid w:val="00D240E4"/>
    <w:rsid w:val="00D24176"/>
    <w:rsid w:val="00D2418D"/>
    <w:rsid w:val="00D2419B"/>
    <w:rsid w:val="00D24210"/>
    <w:rsid w:val="00D2422D"/>
    <w:rsid w:val="00D24275"/>
    <w:rsid w:val="00D2427A"/>
    <w:rsid w:val="00D2428D"/>
    <w:rsid w:val="00D242C5"/>
    <w:rsid w:val="00D242D0"/>
    <w:rsid w:val="00D242F1"/>
    <w:rsid w:val="00D243CB"/>
    <w:rsid w:val="00D243DE"/>
    <w:rsid w:val="00D24472"/>
    <w:rsid w:val="00D24550"/>
    <w:rsid w:val="00D245BA"/>
    <w:rsid w:val="00D245E0"/>
    <w:rsid w:val="00D2460D"/>
    <w:rsid w:val="00D24686"/>
    <w:rsid w:val="00D246B2"/>
    <w:rsid w:val="00D24751"/>
    <w:rsid w:val="00D247A4"/>
    <w:rsid w:val="00D24845"/>
    <w:rsid w:val="00D2488F"/>
    <w:rsid w:val="00D2489E"/>
    <w:rsid w:val="00D248D2"/>
    <w:rsid w:val="00D24928"/>
    <w:rsid w:val="00D24930"/>
    <w:rsid w:val="00D2494A"/>
    <w:rsid w:val="00D24A66"/>
    <w:rsid w:val="00D24A6E"/>
    <w:rsid w:val="00D24A95"/>
    <w:rsid w:val="00D24AEF"/>
    <w:rsid w:val="00D24BAB"/>
    <w:rsid w:val="00D24C00"/>
    <w:rsid w:val="00D24C11"/>
    <w:rsid w:val="00D24C90"/>
    <w:rsid w:val="00D24C9E"/>
    <w:rsid w:val="00D24CD5"/>
    <w:rsid w:val="00D24CE4"/>
    <w:rsid w:val="00D24D75"/>
    <w:rsid w:val="00D24DE1"/>
    <w:rsid w:val="00D24E10"/>
    <w:rsid w:val="00D25014"/>
    <w:rsid w:val="00D2502B"/>
    <w:rsid w:val="00D25079"/>
    <w:rsid w:val="00D250A9"/>
    <w:rsid w:val="00D25110"/>
    <w:rsid w:val="00D251B7"/>
    <w:rsid w:val="00D251D3"/>
    <w:rsid w:val="00D2522F"/>
    <w:rsid w:val="00D2526A"/>
    <w:rsid w:val="00D252AF"/>
    <w:rsid w:val="00D252F7"/>
    <w:rsid w:val="00D2537B"/>
    <w:rsid w:val="00D253C1"/>
    <w:rsid w:val="00D253E1"/>
    <w:rsid w:val="00D25419"/>
    <w:rsid w:val="00D2558E"/>
    <w:rsid w:val="00D255EB"/>
    <w:rsid w:val="00D255FC"/>
    <w:rsid w:val="00D25618"/>
    <w:rsid w:val="00D25710"/>
    <w:rsid w:val="00D2574E"/>
    <w:rsid w:val="00D2579A"/>
    <w:rsid w:val="00D257B6"/>
    <w:rsid w:val="00D257C0"/>
    <w:rsid w:val="00D25855"/>
    <w:rsid w:val="00D258CF"/>
    <w:rsid w:val="00D258EE"/>
    <w:rsid w:val="00D25944"/>
    <w:rsid w:val="00D2595E"/>
    <w:rsid w:val="00D25990"/>
    <w:rsid w:val="00D259F8"/>
    <w:rsid w:val="00D25A39"/>
    <w:rsid w:val="00D25A41"/>
    <w:rsid w:val="00D25B04"/>
    <w:rsid w:val="00D25B06"/>
    <w:rsid w:val="00D25B1F"/>
    <w:rsid w:val="00D25B99"/>
    <w:rsid w:val="00D25C86"/>
    <w:rsid w:val="00D25C87"/>
    <w:rsid w:val="00D25CCD"/>
    <w:rsid w:val="00D25D70"/>
    <w:rsid w:val="00D25D84"/>
    <w:rsid w:val="00D25D8B"/>
    <w:rsid w:val="00D25D95"/>
    <w:rsid w:val="00D25D98"/>
    <w:rsid w:val="00D25DAF"/>
    <w:rsid w:val="00D25DB6"/>
    <w:rsid w:val="00D25E14"/>
    <w:rsid w:val="00D25E8B"/>
    <w:rsid w:val="00D25E94"/>
    <w:rsid w:val="00D25EC7"/>
    <w:rsid w:val="00D25FC4"/>
    <w:rsid w:val="00D25FE4"/>
    <w:rsid w:val="00D2602F"/>
    <w:rsid w:val="00D26157"/>
    <w:rsid w:val="00D2615C"/>
    <w:rsid w:val="00D2615D"/>
    <w:rsid w:val="00D261BB"/>
    <w:rsid w:val="00D261DA"/>
    <w:rsid w:val="00D26223"/>
    <w:rsid w:val="00D2628A"/>
    <w:rsid w:val="00D26334"/>
    <w:rsid w:val="00D26344"/>
    <w:rsid w:val="00D26385"/>
    <w:rsid w:val="00D263C8"/>
    <w:rsid w:val="00D263E0"/>
    <w:rsid w:val="00D263FC"/>
    <w:rsid w:val="00D264C9"/>
    <w:rsid w:val="00D265E7"/>
    <w:rsid w:val="00D2660D"/>
    <w:rsid w:val="00D2661C"/>
    <w:rsid w:val="00D2665A"/>
    <w:rsid w:val="00D2669C"/>
    <w:rsid w:val="00D266E6"/>
    <w:rsid w:val="00D26717"/>
    <w:rsid w:val="00D26799"/>
    <w:rsid w:val="00D267A8"/>
    <w:rsid w:val="00D267BA"/>
    <w:rsid w:val="00D2685E"/>
    <w:rsid w:val="00D26879"/>
    <w:rsid w:val="00D2688C"/>
    <w:rsid w:val="00D268F4"/>
    <w:rsid w:val="00D26A12"/>
    <w:rsid w:val="00D26A1B"/>
    <w:rsid w:val="00D26B01"/>
    <w:rsid w:val="00D26B0D"/>
    <w:rsid w:val="00D26BF3"/>
    <w:rsid w:val="00D26C05"/>
    <w:rsid w:val="00D26C64"/>
    <w:rsid w:val="00D26C80"/>
    <w:rsid w:val="00D26CD4"/>
    <w:rsid w:val="00D26D04"/>
    <w:rsid w:val="00D26D94"/>
    <w:rsid w:val="00D26E48"/>
    <w:rsid w:val="00D26E59"/>
    <w:rsid w:val="00D26E74"/>
    <w:rsid w:val="00D26EB3"/>
    <w:rsid w:val="00D26ECB"/>
    <w:rsid w:val="00D26F73"/>
    <w:rsid w:val="00D26F74"/>
    <w:rsid w:val="00D26F9A"/>
    <w:rsid w:val="00D26FA5"/>
    <w:rsid w:val="00D2708A"/>
    <w:rsid w:val="00D2709F"/>
    <w:rsid w:val="00D270A8"/>
    <w:rsid w:val="00D270A9"/>
    <w:rsid w:val="00D27139"/>
    <w:rsid w:val="00D2714D"/>
    <w:rsid w:val="00D271B0"/>
    <w:rsid w:val="00D27281"/>
    <w:rsid w:val="00D27348"/>
    <w:rsid w:val="00D27357"/>
    <w:rsid w:val="00D27385"/>
    <w:rsid w:val="00D273DA"/>
    <w:rsid w:val="00D273E3"/>
    <w:rsid w:val="00D27450"/>
    <w:rsid w:val="00D27488"/>
    <w:rsid w:val="00D274B6"/>
    <w:rsid w:val="00D27572"/>
    <w:rsid w:val="00D275C6"/>
    <w:rsid w:val="00D275DB"/>
    <w:rsid w:val="00D275F1"/>
    <w:rsid w:val="00D27626"/>
    <w:rsid w:val="00D2775B"/>
    <w:rsid w:val="00D27766"/>
    <w:rsid w:val="00D27773"/>
    <w:rsid w:val="00D278FD"/>
    <w:rsid w:val="00D2795D"/>
    <w:rsid w:val="00D27962"/>
    <w:rsid w:val="00D27978"/>
    <w:rsid w:val="00D279B6"/>
    <w:rsid w:val="00D279C2"/>
    <w:rsid w:val="00D279F6"/>
    <w:rsid w:val="00D27A3C"/>
    <w:rsid w:val="00D27A68"/>
    <w:rsid w:val="00D27AAB"/>
    <w:rsid w:val="00D27AF7"/>
    <w:rsid w:val="00D27B7A"/>
    <w:rsid w:val="00D27BCC"/>
    <w:rsid w:val="00D27BEF"/>
    <w:rsid w:val="00D27C20"/>
    <w:rsid w:val="00D27C60"/>
    <w:rsid w:val="00D27C63"/>
    <w:rsid w:val="00D27CA4"/>
    <w:rsid w:val="00D27D69"/>
    <w:rsid w:val="00D27DF2"/>
    <w:rsid w:val="00D27DF9"/>
    <w:rsid w:val="00D27E45"/>
    <w:rsid w:val="00D27EAA"/>
    <w:rsid w:val="00D27EBD"/>
    <w:rsid w:val="00D27EC6"/>
    <w:rsid w:val="00D27F83"/>
    <w:rsid w:val="00D27F89"/>
    <w:rsid w:val="00D3008B"/>
    <w:rsid w:val="00D301AE"/>
    <w:rsid w:val="00D30208"/>
    <w:rsid w:val="00D302C9"/>
    <w:rsid w:val="00D302F5"/>
    <w:rsid w:val="00D30322"/>
    <w:rsid w:val="00D30471"/>
    <w:rsid w:val="00D304C7"/>
    <w:rsid w:val="00D3053A"/>
    <w:rsid w:val="00D3059E"/>
    <w:rsid w:val="00D305E8"/>
    <w:rsid w:val="00D305EE"/>
    <w:rsid w:val="00D30610"/>
    <w:rsid w:val="00D30631"/>
    <w:rsid w:val="00D30688"/>
    <w:rsid w:val="00D30730"/>
    <w:rsid w:val="00D3075A"/>
    <w:rsid w:val="00D307DF"/>
    <w:rsid w:val="00D30817"/>
    <w:rsid w:val="00D30823"/>
    <w:rsid w:val="00D30869"/>
    <w:rsid w:val="00D308B3"/>
    <w:rsid w:val="00D309C7"/>
    <w:rsid w:val="00D30A1A"/>
    <w:rsid w:val="00D30B12"/>
    <w:rsid w:val="00D30C01"/>
    <w:rsid w:val="00D30C19"/>
    <w:rsid w:val="00D30C27"/>
    <w:rsid w:val="00D30C78"/>
    <w:rsid w:val="00D30CA1"/>
    <w:rsid w:val="00D30CD5"/>
    <w:rsid w:val="00D30CEA"/>
    <w:rsid w:val="00D30D0F"/>
    <w:rsid w:val="00D30D44"/>
    <w:rsid w:val="00D30DB3"/>
    <w:rsid w:val="00D30DC6"/>
    <w:rsid w:val="00D30E3A"/>
    <w:rsid w:val="00D30EAD"/>
    <w:rsid w:val="00D30ECC"/>
    <w:rsid w:val="00D30EF9"/>
    <w:rsid w:val="00D30F24"/>
    <w:rsid w:val="00D30F26"/>
    <w:rsid w:val="00D30FD2"/>
    <w:rsid w:val="00D30FD7"/>
    <w:rsid w:val="00D30FE7"/>
    <w:rsid w:val="00D31037"/>
    <w:rsid w:val="00D310A0"/>
    <w:rsid w:val="00D31183"/>
    <w:rsid w:val="00D311BC"/>
    <w:rsid w:val="00D31249"/>
    <w:rsid w:val="00D3125E"/>
    <w:rsid w:val="00D3127B"/>
    <w:rsid w:val="00D31287"/>
    <w:rsid w:val="00D3131D"/>
    <w:rsid w:val="00D31329"/>
    <w:rsid w:val="00D3135A"/>
    <w:rsid w:val="00D3138B"/>
    <w:rsid w:val="00D313A0"/>
    <w:rsid w:val="00D313CC"/>
    <w:rsid w:val="00D31419"/>
    <w:rsid w:val="00D3146E"/>
    <w:rsid w:val="00D31546"/>
    <w:rsid w:val="00D31548"/>
    <w:rsid w:val="00D3154E"/>
    <w:rsid w:val="00D3155B"/>
    <w:rsid w:val="00D31592"/>
    <w:rsid w:val="00D315CE"/>
    <w:rsid w:val="00D315F5"/>
    <w:rsid w:val="00D3160D"/>
    <w:rsid w:val="00D31616"/>
    <w:rsid w:val="00D3166E"/>
    <w:rsid w:val="00D316A3"/>
    <w:rsid w:val="00D316CB"/>
    <w:rsid w:val="00D316E1"/>
    <w:rsid w:val="00D31700"/>
    <w:rsid w:val="00D31755"/>
    <w:rsid w:val="00D31760"/>
    <w:rsid w:val="00D3176A"/>
    <w:rsid w:val="00D31790"/>
    <w:rsid w:val="00D31799"/>
    <w:rsid w:val="00D317D8"/>
    <w:rsid w:val="00D317DB"/>
    <w:rsid w:val="00D31825"/>
    <w:rsid w:val="00D31829"/>
    <w:rsid w:val="00D318C8"/>
    <w:rsid w:val="00D31902"/>
    <w:rsid w:val="00D31A34"/>
    <w:rsid w:val="00D31A44"/>
    <w:rsid w:val="00D31B09"/>
    <w:rsid w:val="00D31B64"/>
    <w:rsid w:val="00D31B7B"/>
    <w:rsid w:val="00D31B9C"/>
    <w:rsid w:val="00D31BD2"/>
    <w:rsid w:val="00D31BFD"/>
    <w:rsid w:val="00D31C36"/>
    <w:rsid w:val="00D31CAF"/>
    <w:rsid w:val="00D31D29"/>
    <w:rsid w:val="00D31D67"/>
    <w:rsid w:val="00D31E5A"/>
    <w:rsid w:val="00D31EBC"/>
    <w:rsid w:val="00D31EC6"/>
    <w:rsid w:val="00D31EDB"/>
    <w:rsid w:val="00D31F2D"/>
    <w:rsid w:val="00D32020"/>
    <w:rsid w:val="00D320D4"/>
    <w:rsid w:val="00D320EE"/>
    <w:rsid w:val="00D3215E"/>
    <w:rsid w:val="00D321EB"/>
    <w:rsid w:val="00D32200"/>
    <w:rsid w:val="00D3226E"/>
    <w:rsid w:val="00D32325"/>
    <w:rsid w:val="00D323D8"/>
    <w:rsid w:val="00D323F9"/>
    <w:rsid w:val="00D32451"/>
    <w:rsid w:val="00D324CA"/>
    <w:rsid w:val="00D3251D"/>
    <w:rsid w:val="00D3253D"/>
    <w:rsid w:val="00D3257D"/>
    <w:rsid w:val="00D325E1"/>
    <w:rsid w:val="00D326D2"/>
    <w:rsid w:val="00D327D4"/>
    <w:rsid w:val="00D327F0"/>
    <w:rsid w:val="00D3282D"/>
    <w:rsid w:val="00D32844"/>
    <w:rsid w:val="00D32858"/>
    <w:rsid w:val="00D32869"/>
    <w:rsid w:val="00D328A6"/>
    <w:rsid w:val="00D328FD"/>
    <w:rsid w:val="00D32901"/>
    <w:rsid w:val="00D3296D"/>
    <w:rsid w:val="00D32989"/>
    <w:rsid w:val="00D3299A"/>
    <w:rsid w:val="00D329D1"/>
    <w:rsid w:val="00D329D7"/>
    <w:rsid w:val="00D329E8"/>
    <w:rsid w:val="00D32A92"/>
    <w:rsid w:val="00D32AC0"/>
    <w:rsid w:val="00D32AC5"/>
    <w:rsid w:val="00D32ACB"/>
    <w:rsid w:val="00D32B1D"/>
    <w:rsid w:val="00D32B3E"/>
    <w:rsid w:val="00D32B43"/>
    <w:rsid w:val="00D32B63"/>
    <w:rsid w:val="00D32B9D"/>
    <w:rsid w:val="00D32C12"/>
    <w:rsid w:val="00D32C2D"/>
    <w:rsid w:val="00D32C7B"/>
    <w:rsid w:val="00D32CE1"/>
    <w:rsid w:val="00D32CFD"/>
    <w:rsid w:val="00D32D21"/>
    <w:rsid w:val="00D32D89"/>
    <w:rsid w:val="00D32EC1"/>
    <w:rsid w:val="00D32F0B"/>
    <w:rsid w:val="00D32F53"/>
    <w:rsid w:val="00D32FAA"/>
    <w:rsid w:val="00D32FC5"/>
    <w:rsid w:val="00D330DB"/>
    <w:rsid w:val="00D330F5"/>
    <w:rsid w:val="00D33140"/>
    <w:rsid w:val="00D33168"/>
    <w:rsid w:val="00D33195"/>
    <w:rsid w:val="00D3327C"/>
    <w:rsid w:val="00D33289"/>
    <w:rsid w:val="00D33304"/>
    <w:rsid w:val="00D33326"/>
    <w:rsid w:val="00D33339"/>
    <w:rsid w:val="00D33348"/>
    <w:rsid w:val="00D3334E"/>
    <w:rsid w:val="00D333A5"/>
    <w:rsid w:val="00D333CB"/>
    <w:rsid w:val="00D333DE"/>
    <w:rsid w:val="00D33429"/>
    <w:rsid w:val="00D3346C"/>
    <w:rsid w:val="00D33479"/>
    <w:rsid w:val="00D33526"/>
    <w:rsid w:val="00D336AF"/>
    <w:rsid w:val="00D336EB"/>
    <w:rsid w:val="00D336FF"/>
    <w:rsid w:val="00D33730"/>
    <w:rsid w:val="00D337AB"/>
    <w:rsid w:val="00D337D4"/>
    <w:rsid w:val="00D338BA"/>
    <w:rsid w:val="00D3398C"/>
    <w:rsid w:val="00D33997"/>
    <w:rsid w:val="00D33A31"/>
    <w:rsid w:val="00D33A51"/>
    <w:rsid w:val="00D33A77"/>
    <w:rsid w:val="00D33A84"/>
    <w:rsid w:val="00D33AE0"/>
    <w:rsid w:val="00D33B4E"/>
    <w:rsid w:val="00D33B5B"/>
    <w:rsid w:val="00D33B94"/>
    <w:rsid w:val="00D33C50"/>
    <w:rsid w:val="00D33C69"/>
    <w:rsid w:val="00D33C86"/>
    <w:rsid w:val="00D33CDF"/>
    <w:rsid w:val="00D33CE1"/>
    <w:rsid w:val="00D33CFC"/>
    <w:rsid w:val="00D33DF1"/>
    <w:rsid w:val="00D33E1E"/>
    <w:rsid w:val="00D33E4D"/>
    <w:rsid w:val="00D33E71"/>
    <w:rsid w:val="00D33EC6"/>
    <w:rsid w:val="00D33F44"/>
    <w:rsid w:val="00D33F88"/>
    <w:rsid w:val="00D34025"/>
    <w:rsid w:val="00D34032"/>
    <w:rsid w:val="00D3403E"/>
    <w:rsid w:val="00D3413D"/>
    <w:rsid w:val="00D34250"/>
    <w:rsid w:val="00D34349"/>
    <w:rsid w:val="00D3434C"/>
    <w:rsid w:val="00D34354"/>
    <w:rsid w:val="00D3435F"/>
    <w:rsid w:val="00D3438C"/>
    <w:rsid w:val="00D343D3"/>
    <w:rsid w:val="00D34474"/>
    <w:rsid w:val="00D3448B"/>
    <w:rsid w:val="00D344B7"/>
    <w:rsid w:val="00D344E4"/>
    <w:rsid w:val="00D3451E"/>
    <w:rsid w:val="00D34595"/>
    <w:rsid w:val="00D345B7"/>
    <w:rsid w:val="00D345E8"/>
    <w:rsid w:val="00D345FD"/>
    <w:rsid w:val="00D34620"/>
    <w:rsid w:val="00D34633"/>
    <w:rsid w:val="00D34677"/>
    <w:rsid w:val="00D34690"/>
    <w:rsid w:val="00D34694"/>
    <w:rsid w:val="00D34708"/>
    <w:rsid w:val="00D3473E"/>
    <w:rsid w:val="00D34740"/>
    <w:rsid w:val="00D34766"/>
    <w:rsid w:val="00D3482F"/>
    <w:rsid w:val="00D34859"/>
    <w:rsid w:val="00D34878"/>
    <w:rsid w:val="00D34896"/>
    <w:rsid w:val="00D348CC"/>
    <w:rsid w:val="00D348DC"/>
    <w:rsid w:val="00D348F7"/>
    <w:rsid w:val="00D34917"/>
    <w:rsid w:val="00D34966"/>
    <w:rsid w:val="00D34997"/>
    <w:rsid w:val="00D349D5"/>
    <w:rsid w:val="00D349D7"/>
    <w:rsid w:val="00D349DF"/>
    <w:rsid w:val="00D349E8"/>
    <w:rsid w:val="00D34A9F"/>
    <w:rsid w:val="00D34BE4"/>
    <w:rsid w:val="00D34C11"/>
    <w:rsid w:val="00D34C12"/>
    <w:rsid w:val="00D34C60"/>
    <w:rsid w:val="00D34C83"/>
    <w:rsid w:val="00D34CE3"/>
    <w:rsid w:val="00D34D4E"/>
    <w:rsid w:val="00D34DFC"/>
    <w:rsid w:val="00D34E7B"/>
    <w:rsid w:val="00D34EC9"/>
    <w:rsid w:val="00D34F45"/>
    <w:rsid w:val="00D34F63"/>
    <w:rsid w:val="00D34FD4"/>
    <w:rsid w:val="00D34FF2"/>
    <w:rsid w:val="00D35030"/>
    <w:rsid w:val="00D350A4"/>
    <w:rsid w:val="00D350DD"/>
    <w:rsid w:val="00D35132"/>
    <w:rsid w:val="00D35235"/>
    <w:rsid w:val="00D352B7"/>
    <w:rsid w:val="00D352F7"/>
    <w:rsid w:val="00D35331"/>
    <w:rsid w:val="00D35337"/>
    <w:rsid w:val="00D353D5"/>
    <w:rsid w:val="00D353DF"/>
    <w:rsid w:val="00D3544C"/>
    <w:rsid w:val="00D3544D"/>
    <w:rsid w:val="00D354AA"/>
    <w:rsid w:val="00D354C0"/>
    <w:rsid w:val="00D3552A"/>
    <w:rsid w:val="00D3553D"/>
    <w:rsid w:val="00D35554"/>
    <w:rsid w:val="00D35579"/>
    <w:rsid w:val="00D3559D"/>
    <w:rsid w:val="00D35612"/>
    <w:rsid w:val="00D35644"/>
    <w:rsid w:val="00D3566C"/>
    <w:rsid w:val="00D35696"/>
    <w:rsid w:val="00D356AC"/>
    <w:rsid w:val="00D3572B"/>
    <w:rsid w:val="00D35735"/>
    <w:rsid w:val="00D357AC"/>
    <w:rsid w:val="00D357B5"/>
    <w:rsid w:val="00D357B9"/>
    <w:rsid w:val="00D357BB"/>
    <w:rsid w:val="00D35810"/>
    <w:rsid w:val="00D35A4B"/>
    <w:rsid w:val="00D35ADE"/>
    <w:rsid w:val="00D35AF3"/>
    <w:rsid w:val="00D35B3D"/>
    <w:rsid w:val="00D35B6B"/>
    <w:rsid w:val="00D35B76"/>
    <w:rsid w:val="00D35C0A"/>
    <w:rsid w:val="00D35C43"/>
    <w:rsid w:val="00D35D31"/>
    <w:rsid w:val="00D35DC0"/>
    <w:rsid w:val="00D35DE1"/>
    <w:rsid w:val="00D35E85"/>
    <w:rsid w:val="00D35F18"/>
    <w:rsid w:val="00D35F31"/>
    <w:rsid w:val="00D35F52"/>
    <w:rsid w:val="00D35F69"/>
    <w:rsid w:val="00D35FA0"/>
    <w:rsid w:val="00D35FA8"/>
    <w:rsid w:val="00D35FE8"/>
    <w:rsid w:val="00D3602B"/>
    <w:rsid w:val="00D36223"/>
    <w:rsid w:val="00D36230"/>
    <w:rsid w:val="00D362B7"/>
    <w:rsid w:val="00D36331"/>
    <w:rsid w:val="00D36337"/>
    <w:rsid w:val="00D36389"/>
    <w:rsid w:val="00D363C2"/>
    <w:rsid w:val="00D363E6"/>
    <w:rsid w:val="00D36402"/>
    <w:rsid w:val="00D36417"/>
    <w:rsid w:val="00D364FB"/>
    <w:rsid w:val="00D36510"/>
    <w:rsid w:val="00D365F5"/>
    <w:rsid w:val="00D36755"/>
    <w:rsid w:val="00D36764"/>
    <w:rsid w:val="00D367FA"/>
    <w:rsid w:val="00D368BB"/>
    <w:rsid w:val="00D369E0"/>
    <w:rsid w:val="00D369E8"/>
    <w:rsid w:val="00D36A01"/>
    <w:rsid w:val="00D36A1C"/>
    <w:rsid w:val="00D36A5C"/>
    <w:rsid w:val="00D36AD3"/>
    <w:rsid w:val="00D36ADB"/>
    <w:rsid w:val="00D36BC9"/>
    <w:rsid w:val="00D36C27"/>
    <w:rsid w:val="00D36C44"/>
    <w:rsid w:val="00D36D00"/>
    <w:rsid w:val="00D36D1B"/>
    <w:rsid w:val="00D36D25"/>
    <w:rsid w:val="00D36D67"/>
    <w:rsid w:val="00D36DB6"/>
    <w:rsid w:val="00D36DBB"/>
    <w:rsid w:val="00D36DDC"/>
    <w:rsid w:val="00D36E17"/>
    <w:rsid w:val="00D36F30"/>
    <w:rsid w:val="00D36F50"/>
    <w:rsid w:val="00D36FB4"/>
    <w:rsid w:val="00D36FC3"/>
    <w:rsid w:val="00D36FC5"/>
    <w:rsid w:val="00D37150"/>
    <w:rsid w:val="00D371FF"/>
    <w:rsid w:val="00D3721B"/>
    <w:rsid w:val="00D3722F"/>
    <w:rsid w:val="00D37248"/>
    <w:rsid w:val="00D37258"/>
    <w:rsid w:val="00D37393"/>
    <w:rsid w:val="00D373AC"/>
    <w:rsid w:val="00D373D7"/>
    <w:rsid w:val="00D37401"/>
    <w:rsid w:val="00D37500"/>
    <w:rsid w:val="00D3756A"/>
    <w:rsid w:val="00D3763A"/>
    <w:rsid w:val="00D37816"/>
    <w:rsid w:val="00D37836"/>
    <w:rsid w:val="00D37841"/>
    <w:rsid w:val="00D37866"/>
    <w:rsid w:val="00D378D9"/>
    <w:rsid w:val="00D3792B"/>
    <w:rsid w:val="00D37948"/>
    <w:rsid w:val="00D379C3"/>
    <w:rsid w:val="00D379DC"/>
    <w:rsid w:val="00D379E5"/>
    <w:rsid w:val="00D37A04"/>
    <w:rsid w:val="00D37A1A"/>
    <w:rsid w:val="00D37AF1"/>
    <w:rsid w:val="00D37B15"/>
    <w:rsid w:val="00D37B2A"/>
    <w:rsid w:val="00D37B2D"/>
    <w:rsid w:val="00D37B82"/>
    <w:rsid w:val="00D37B98"/>
    <w:rsid w:val="00D37BCD"/>
    <w:rsid w:val="00D37BDE"/>
    <w:rsid w:val="00D37C41"/>
    <w:rsid w:val="00D37C66"/>
    <w:rsid w:val="00D37CA4"/>
    <w:rsid w:val="00D37CE9"/>
    <w:rsid w:val="00D37CEA"/>
    <w:rsid w:val="00D37D49"/>
    <w:rsid w:val="00D37D89"/>
    <w:rsid w:val="00D37E3D"/>
    <w:rsid w:val="00D37E88"/>
    <w:rsid w:val="00D37EBF"/>
    <w:rsid w:val="00D37F45"/>
    <w:rsid w:val="00D37F5A"/>
    <w:rsid w:val="00D37F6D"/>
    <w:rsid w:val="00D37F83"/>
    <w:rsid w:val="00D37FAA"/>
    <w:rsid w:val="00D4000D"/>
    <w:rsid w:val="00D4002B"/>
    <w:rsid w:val="00D40063"/>
    <w:rsid w:val="00D4008F"/>
    <w:rsid w:val="00D400D9"/>
    <w:rsid w:val="00D4016F"/>
    <w:rsid w:val="00D4018B"/>
    <w:rsid w:val="00D401AC"/>
    <w:rsid w:val="00D401C3"/>
    <w:rsid w:val="00D401F2"/>
    <w:rsid w:val="00D40230"/>
    <w:rsid w:val="00D40297"/>
    <w:rsid w:val="00D402A3"/>
    <w:rsid w:val="00D402BC"/>
    <w:rsid w:val="00D40334"/>
    <w:rsid w:val="00D4033F"/>
    <w:rsid w:val="00D4034A"/>
    <w:rsid w:val="00D403AD"/>
    <w:rsid w:val="00D404A2"/>
    <w:rsid w:val="00D404DA"/>
    <w:rsid w:val="00D40511"/>
    <w:rsid w:val="00D4051E"/>
    <w:rsid w:val="00D40543"/>
    <w:rsid w:val="00D4059F"/>
    <w:rsid w:val="00D405D1"/>
    <w:rsid w:val="00D406BB"/>
    <w:rsid w:val="00D406F8"/>
    <w:rsid w:val="00D4072F"/>
    <w:rsid w:val="00D40744"/>
    <w:rsid w:val="00D407DA"/>
    <w:rsid w:val="00D40822"/>
    <w:rsid w:val="00D4083A"/>
    <w:rsid w:val="00D4084D"/>
    <w:rsid w:val="00D40988"/>
    <w:rsid w:val="00D409AE"/>
    <w:rsid w:val="00D40A61"/>
    <w:rsid w:val="00D40A77"/>
    <w:rsid w:val="00D40AF7"/>
    <w:rsid w:val="00D40B00"/>
    <w:rsid w:val="00D40B08"/>
    <w:rsid w:val="00D40B76"/>
    <w:rsid w:val="00D40BF1"/>
    <w:rsid w:val="00D40C3E"/>
    <w:rsid w:val="00D40C45"/>
    <w:rsid w:val="00D40C64"/>
    <w:rsid w:val="00D40C76"/>
    <w:rsid w:val="00D40C90"/>
    <w:rsid w:val="00D40C9E"/>
    <w:rsid w:val="00D40CF7"/>
    <w:rsid w:val="00D40D2E"/>
    <w:rsid w:val="00D40D45"/>
    <w:rsid w:val="00D40D50"/>
    <w:rsid w:val="00D40D91"/>
    <w:rsid w:val="00D40E78"/>
    <w:rsid w:val="00D40E7E"/>
    <w:rsid w:val="00D40E98"/>
    <w:rsid w:val="00D40EAB"/>
    <w:rsid w:val="00D40F1B"/>
    <w:rsid w:val="00D40F38"/>
    <w:rsid w:val="00D40F5F"/>
    <w:rsid w:val="00D41098"/>
    <w:rsid w:val="00D410D0"/>
    <w:rsid w:val="00D41185"/>
    <w:rsid w:val="00D411BF"/>
    <w:rsid w:val="00D4124B"/>
    <w:rsid w:val="00D41281"/>
    <w:rsid w:val="00D412CE"/>
    <w:rsid w:val="00D412EA"/>
    <w:rsid w:val="00D41341"/>
    <w:rsid w:val="00D41390"/>
    <w:rsid w:val="00D413AB"/>
    <w:rsid w:val="00D413AF"/>
    <w:rsid w:val="00D413B5"/>
    <w:rsid w:val="00D413DF"/>
    <w:rsid w:val="00D413EC"/>
    <w:rsid w:val="00D4141C"/>
    <w:rsid w:val="00D41516"/>
    <w:rsid w:val="00D4156D"/>
    <w:rsid w:val="00D415CD"/>
    <w:rsid w:val="00D415DD"/>
    <w:rsid w:val="00D4160A"/>
    <w:rsid w:val="00D4162C"/>
    <w:rsid w:val="00D41638"/>
    <w:rsid w:val="00D416CB"/>
    <w:rsid w:val="00D416D2"/>
    <w:rsid w:val="00D416F8"/>
    <w:rsid w:val="00D4172F"/>
    <w:rsid w:val="00D41734"/>
    <w:rsid w:val="00D41792"/>
    <w:rsid w:val="00D41826"/>
    <w:rsid w:val="00D418FD"/>
    <w:rsid w:val="00D41901"/>
    <w:rsid w:val="00D41954"/>
    <w:rsid w:val="00D4199A"/>
    <w:rsid w:val="00D419A2"/>
    <w:rsid w:val="00D419DE"/>
    <w:rsid w:val="00D41A44"/>
    <w:rsid w:val="00D41B2E"/>
    <w:rsid w:val="00D41B7B"/>
    <w:rsid w:val="00D41BCF"/>
    <w:rsid w:val="00D41BE4"/>
    <w:rsid w:val="00D41BF1"/>
    <w:rsid w:val="00D41D4B"/>
    <w:rsid w:val="00D41DB5"/>
    <w:rsid w:val="00D41DDD"/>
    <w:rsid w:val="00D41E0F"/>
    <w:rsid w:val="00D41E4F"/>
    <w:rsid w:val="00D41E8D"/>
    <w:rsid w:val="00D41E90"/>
    <w:rsid w:val="00D41E98"/>
    <w:rsid w:val="00D41F0A"/>
    <w:rsid w:val="00D41F2C"/>
    <w:rsid w:val="00D41F74"/>
    <w:rsid w:val="00D41FA5"/>
    <w:rsid w:val="00D41FC2"/>
    <w:rsid w:val="00D41FD4"/>
    <w:rsid w:val="00D42058"/>
    <w:rsid w:val="00D42062"/>
    <w:rsid w:val="00D42087"/>
    <w:rsid w:val="00D420B3"/>
    <w:rsid w:val="00D420FB"/>
    <w:rsid w:val="00D42107"/>
    <w:rsid w:val="00D42120"/>
    <w:rsid w:val="00D42121"/>
    <w:rsid w:val="00D42126"/>
    <w:rsid w:val="00D4215D"/>
    <w:rsid w:val="00D42172"/>
    <w:rsid w:val="00D42193"/>
    <w:rsid w:val="00D421D9"/>
    <w:rsid w:val="00D42222"/>
    <w:rsid w:val="00D42293"/>
    <w:rsid w:val="00D42346"/>
    <w:rsid w:val="00D42373"/>
    <w:rsid w:val="00D42376"/>
    <w:rsid w:val="00D4237A"/>
    <w:rsid w:val="00D423F2"/>
    <w:rsid w:val="00D42419"/>
    <w:rsid w:val="00D42426"/>
    <w:rsid w:val="00D42449"/>
    <w:rsid w:val="00D4247D"/>
    <w:rsid w:val="00D42494"/>
    <w:rsid w:val="00D424E6"/>
    <w:rsid w:val="00D424EC"/>
    <w:rsid w:val="00D424FB"/>
    <w:rsid w:val="00D42581"/>
    <w:rsid w:val="00D4259D"/>
    <w:rsid w:val="00D425B6"/>
    <w:rsid w:val="00D425D5"/>
    <w:rsid w:val="00D42687"/>
    <w:rsid w:val="00D4268A"/>
    <w:rsid w:val="00D42692"/>
    <w:rsid w:val="00D42783"/>
    <w:rsid w:val="00D427B7"/>
    <w:rsid w:val="00D42838"/>
    <w:rsid w:val="00D4298B"/>
    <w:rsid w:val="00D42A4B"/>
    <w:rsid w:val="00D42B59"/>
    <w:rsid w:val="00D42BF6"/>
    <w:rsid w:val="00D42CF4"/>
    <w:rsid w:val="00D42D5D"/>
    <w:rsid w:val="00D42D74"/>
    <w:rsid w:val="00D42D8F"/>
    <w:rsid w:val="00D42E4F"/>
    <w:rsid w:val="00D42E51"/>
    <w:rsid w:val="00D42ED9"/>
    <w:rsid w:val="00D42F0E"/>
    <w:rsid w:val="00D42F18"/>
    <w:rsid w:val="00D42F1F"/>
    <w:rsid w:val="00D42F2E"/>
    <w:rsid w:val="00D42F69"/>
    <w:rsid w:val="00D42F82"/>
    <w:rsid w:val="00D42FBF"/>
    <w:rsid w:val="00D4310F"/>
    <w:rsid w:val="00D4317B"/>
    <w:rsid w:val="00D431B0"/>
    <w:rsid w:val="00D43241"/>
    <w:rsid w:val="00D432F7"/>
    <w:rsid w:val="00D433D4"/>
    <w:rsid w:val="00D4341D"/>
    <w:rsid w:val="00D43444"/>
    <w:rsid w:val="00D43485"/>
    <w:rsid w:val="00D434E0"/>
    <w:rsid w:val="00D434E7"/>
    <w:rsid w:val="00D434F7"/>
    <w:rsid w:val="00D43510"/>
    <w:rsid w:val="00D4356C"/>
    <w:rsid w:val="00D435BA"/>
    <w:rsid w:val="00D43640"/>
    <w:rsid w:val="00D43661"/>
    <w:rsid w:val="00D43688"/>
    <w:rsid w:val="00D436E8"/>
    <w:rsid w:val="00D436F8"/>
    <w:rsid w:val="00D43702"/>
    <w:rsid w:val="00D43703"/>
    <w:rsid w:val="00D4376B"/>
    <w:rsid w:val="00D4378E"/>
    <w:rsid w:val="00D437B6"/>
    <w:rsid w:val="00D43994"/>
    <w:rsid w:val="00D43A5C"/>
    <w:rsid w:val="00D43A5F"/>
    <w:rsid w:val="00D43A71"/>
    <w:rsid w:val="00D43B67"/>
    <w:rsid w:val="00D43B90"/>
    <w:rsid w:val="00D43C38"/>
    <w:rsid w:val="00D43D0A"/>
    <w:rsid w:val="00D43DAC"/>
    <w:rsid w:val="00D43DC5"/>
    <w:rsid w:val="00D43E1B"/>
    <w:rsid w:val="00D43E34"/>
    <w:rsid w:val="00D43E6C"/>
    <w:rsid w:val="00D43E8E"/>
    <w:rsid w:val="00D43EBF"/>
    <w:rsid w:val="00D43EF9"/>
    <w:rsid w:val="00D43F59"/>
    <w:rsid w:val="00D43F97"/>
    <w:rsid w:val="00D43FAA"/>
    <w:rsid w:val="00D44004"/>
    <w:rsid w:val="00D44037"/>
    <w:rsid w:val="00D440E8"/>
    <w:rsid w:val="00D44130"/>
    <w:rsid w:val="00D44136"/>
    <w:rsid w:val="00D44159"/>
    <w:rsid w:val="00D441B3"/>
    <w:rsid w:val="00D4420A"/>
    <w:rsid w:val="00D44216"/>
    <w:rsid w:val="00D4427F"/>
    <w:rsid w:val="00D4429D"/>
    <w:rsid w:val="00D44389"/>
    <w:rsid w:val="00D4438E"/>
    <w:rsid w:val="00D44397"/>
    <w:rsid w:val="00D44420"/>
    <w:rsid w:val="00D44479"/>
    <w:rsid w:val="00D445B1"/>
    <w:rsid w:val="00D445FA"/>
    <w:rsid w:val="00D445FB"/>
    <w:rsid w:val="00D44618"/>
    <w:rsid w:val="00D44627"/>
    <w:rsid w:val="00D44718"/>
    <w:rsid w:val="00D4471F"/>
    <w:rsid w:val="00D4483B"/>
    <w:rsid w:val="00D44875"/>
    <w:rsid w:val="00D448C8"/>
    <w:rsid w:val="00D448E2"/>
    <w:rsid w:val="00D4493A"/>
    <w:rsid w:val="00D4497F"/>
    <w:rsid w:val="00D4498E"/>
    <w:rsid w:val="00D449A1"/>
    <w:rsid w:val="00D449B9"/>
    <w:rsid w:val="00D44A70"/>
    <w:rsid w:val="00D44AD0"/>
    <w:rsid w:val="00D44BE3"/>
    <w:rsid w:val="00D44BF8"/>
    <w:rsid w:val="00D44CC8"/>
    <w:rsid w:val="00D44CF9"/>
    <w:rsid w:val="00D44D30"/>
    <w:rsid w:val="00D44D3C"/>
    <w:rsid w:val="00D44D65"/>
    <w:rsid w:val="00D44DA1"/>
    <w:rsid w:val="00D44DC2"/>
    <w:rsid w:val="00D44DC5"/>
    <w:rsid w:val="00D44DDB"/>
    <w:rsid w:val="00D44E0C"/>
    <w:rsid w:val="00D44E30"/>
    <w:rsid w:val="00D44E8D"/>
    <w:rsid w:val="00D44E9D"/>
    <w:rsid w:val="00D44EEF"/>
    <w:rsid w:val="00D44F14"/>
    <w:rsid w:val="00D44F26"/>
    <w:rsid w:val="00D44F46"/>
    <w:rsid w:val="00D44F69"/>
    <w:rsid w:val="00D44FCB"/>
    <w:rsid w:val="00D44FD2"/>
    <w:rsid w:val="00D44FEF"/>
    <w:rsid w:val="00D45005"/>
    <w:rsid w:val="00D45030"/>
    <w:rsid w:val="00D4503B"/>
    <w:rsid w:val="00D450C0"/>
    <w:rsid w:val="00D450C7"/>
    <w:rsid w:val="00D450FF"/>
    <w:rsid w:val="00D4516A"/>
    <w:rsid w:val="00D4519E"/>
    <w:rsid w:val="00D452AF"/>
    <w:rsid w:val="00D452B0"/>
    <w:rsid w:val="00D45353"/>
    <w:rsid w:val="00D45418"/>
    <w:rsid w:val="00D4544B"/>
    <w:rsid w:val="00D4545F"/>
    <w:rsid w:val="00D454D3"/>
    <w:rsid w:val="00D454E3"/>
    <w:rsid w:val="00D4558D"/>
    <w:rsid w:val="00D455A2"/>
    <w:rsid w:val="00D455BF"/>
    <w:rsid w:val="00D45621"/>
    <w:rsid w:val="00D456FC"/>
    <w:rsid w:val="00D45708"/>
    <w:rsid w:val="00D4571E"/>
    <w:rsid w:val="00D45758"/>
    <w:rsid w:val="00D4578D"/>
    <w:rsid w:val="00D45817"/>
    <w:rsid w:val="00D45829"/>
    <w:rsid w:val="00D4583C"/>
    <w:rsid w:val="00D45870"/>
    <w:rsid w:val="00D45876"/>
    <w:rsid w:val="00D458A0"/>
    <w:rsid w:val="00D458AB"/>
    <w:rsid w:val="00D458B0"/>
    <w:rsid w:val="00D45973"/>
    <w:rsid w:val="00D45979"/>
    <w:rsid w:val="00D45986"/>
    <w:rsid w:val="00D459C7"/>
    <w:rsid w:val="00D45AFD"/>
    <w:rsid w:val="00D45C49"/>
    <w:rsid w:val="00D45D0B"/>
    <w:rsid w:val="00D45D82"/>
    <w:rsid w:val="00D45E6B"/>
    <w:rsid w:val="00D45E8B"/>
    <w:rsid w:val="00D45E91"/>
    <w:rsid w:val="00D45ED5"/>
    <w:rsid w:val="00D45ED9"/>
    <w:rsid w:val="00D45EF8"/>
    <w:rsid w:val="00D4600C"/>
    <w:rsid w:val="00D46067"/>
    <w:rsid w:val="00D4609C"/>
    <w:rsid w:val="00D460DB"/>
    <w:rsid w:val="00D46151"/>
    <w:rsid w:val="00D4617F"/>
    <w:rsid w:val="00D462D2"/>
    <w:rsid w:val="00D462DD"/>
    <w:rsid w:val="00D462F0"/>
    <w:rsid w:val="00D46339"/>
    <w:rsid w:val="00D463A1"/>
    <w:rsid w:val="00D463A8"/>
    <w:rsid w:val="00D463FB"/>
    <w:rsid w:val="00D4642D"/>
    <w:rsid w:val="00D46444"/>
    <w:rsid w:val="00D4645C"/>
    <w:rsid w:val="00D4647A"/>
    <w:rsid w:val="00D46504"/>
    <w:rsid w:val="00D46636"/>
    <w:rsid w:val="00D46672"/>
    <w:rsid w:val="00D466D2"/>
    <w:rsid w:val="00D46704"/>
    <w:rsid w:val="00D46865"/>
    <w:rsid w:val="00D4687C"/>
    <w:rsid w:val="00D46932"/>
    <w:rsid w:val="00D46949"/>
    <w:rsid w:val="00D46975"/>
    <w:rsid w:val="00D469A4"/>
    <w:rsid w:val="00D46A62"/>
    <w:rsid w:val="00D46AB5"/>
    <w:rsid w:val="00D46AD3"/>
    <w:rsid w:val="00D46AD5"/>
    <w:rsid w:val="00D46B66"/>
    <w:rsid w:val="00D46B6F"/>
    <w:rsid w:val="00D46B80"/>
    <w:rsid w:val="00D46BCD"/>
    <w:rsid w:val="00D46C2A"/>
    <w:rsid w:val="00D46C53"/>
    <w:rsid w:val="00D46C5C"/>
    <w:rsid w:val="00D46CA7"/>
    <w:rsid w:val="00D46DB5"/>
    <w:rsid w:val="00D46DCA"/>
    <w:rsid w:val="00D46E11"/>
    <w:rsid w:val="00D46E19"/>
    <w:rsid w:val="00D46E84"/>
    <w:rsid w:val="00D46EA1"/>
    <w:rsid w:val="00D46EE4"/>
    <w:rsid w:val="00D46F5E"/>
    <w:rsid w:val="00D46F5F"/>
    <w:rsid w:val="00D46FA9"/>
    <w:rsid w:val="00D46FBD"/>
    <w:rsid w:val="00D46FE4"/>
    <w:rsid w:val="00D46FFB"/>
    <w:rsid w:val="00D4700B"/>
    <w:rsid w:val="00D4705C"/>
    <w:rsid w:val="00D47092"/>
    <w:rsid w:val="00D470A2"/>
    <w:rsid w:val="00D470B1"/>
    <w:rsid w:val="00D470D8"/>
    <w:rsid w:val="00D470E2"/>
    <w:rsid w:val="00D47137"/>
    <w:rsid w:val="00D47243"/>
    <w:rsid w:val="00D47378"/>
    <w:rsid w:val="00D473A3"/>
    <w:rsid w:val="00D47446"/>
    <w:rsid w:val="00D474ED"/>
    <w:rsid w:val="00D47528"/>
    <w:rsid w:val="00D47543"/>
    <w:rsid w:val="00D47568"/>
    <w:rsid w:val="00D475A0"/>
    <w:rsid w:val="00D475E0"/>
    <w:rsid w:val="00D475F9"/>
    <w:rsid w:val="00D475FD"/>
    <w:rsid w:val="00D47610"/>
    <w:rsid w:val="00D47668"/>
    <w:rsid w:val="00D476D4"/>
    <w:rsid w:val="00D4770D"/>
    <w:rsid w:val="00D477D3"/>
    <w:rsid w:val="00D477F1"/>
    <w:rsid w:val="00D4780D"/>
    <w:rsid w:val="00D47838"/>
    <w:rsid w:val="00D47860"/>
    <w:rsid w:val="00D478AC"/>
    <w:rsid w:val="00D47907"/>
    <w:rsid w:val="00D47911"/>
    <w:rsid w:val="00D4794D"/>
    <w:rsid w:val="00D4797A"/>
    <w:rsid w:val="00D47991"/>
    <w:rsid w:val="00D479B8"/>
    <w:rsid w:val="00D47A21"/>
    <w:rsid w:val="00D47A39"/>
    <w:rsid w:val="00D47A40"/>
    <w:rsid w:val="00D47A5E"/>
    <w:rsid w:val="00D47A9A"/>
    <w:rsid w:val="00D47ABD"/>
    <w:rsid w:val="00D47B30"/>
    <w:rsid w:val="00D47B33"/>
    <w:rsid w:val="00D47B5E"/>
    <w:rsid w:val="00D47B8E"/>
    <w:rsid w:val="00D47BAB"/>
    <w:rsid w:val="00D47C11"/>
    <w:rsid w:val="00D47C98"/>
    <w:rsid w:val="00D47D0F"/>
    <w:rsid w:val="00D47D40"/>
    <w:rsid w:val="00D47DC0"/>
    <w:rsid w:val="00D47EA9"/>
    <w:rsid w:val="00D47EC7"/>
    <w:rsid w:val="00D47F5F"/>
    <w:rsid w:val="00D47F66"/>
    <w:rsid w:val="00D47F7B"/>
    <w:rsid w:val="00D47F9C"/>
    <w:rsid w:val="00D47FC6"/>
    <w:rsid w:val="00D47FDF"/>
    <w:rsid w:val="00D47FE5"/>
    <w:rsid w:val="00D50039"/>
    <w:rsid w:val="00D50059"/>
    <w:rsid w:val="00D500AA"/>
    <w:rsid w:val="00D500DF"/>
    <w:rsid w:val="00D50133"/>
    <w:rsid w:val="00D50228"/>
    <w:rsid w:val="00D5023B"/>
    <w:rsid w:val="00D5026F"/>
    <w:rsid w:val="00D50270"/>
    <w:rsid w:val="00D5031F"/>
    <w:rsid w:val="00D50322"/>
    <w:rsid w:val="00D5032F"/>
    <w:rsid w:val="00D50332"/>
    <w:rsid w:val="00D50381"/>
    <w:rsid w:val="00D5038D"/>
    <w:rsid w:val="00D503B0"/>
    <w:rsid w:val="00D503F0"/>
    <w:rsid w:val="00D5041B"/>
    <w:rsid w:val="00D50465"/>
    <w:rsid w:val="00D50583"/>
    <w:rsid w:val="00D505B2"/>
    <w:rsid w:val="00D505F1"/>
    <w:rsid w:val="00D50613"/>
    <w:rsid w:val="00D50631"/>
    <w:rsid w:val="00D50647"/>
    <w:rsid w:val="00D50713"/>
    <w:rsid w:val="00D50721"/>
    <w:rsid w:val="00D507BD"/>
    <w:rsid w:val="00D507CF"/>
    <w:rsid w:val="00D507E3"/>
    <w:rsid w:val="00D507E8"/>
    <w:rsid w:val="00D507F7"/>
    <w:rsid w:val="00D507F8"/>
    <w:rsid w:val="00D50818"/>
    <w:rsid w:val="00D50819"/>
    <w:rsid w:val="00D5084C"/>
    <w:rsid w:val="00D5086D"/>
    <w:rsid w:val="00D50871"/>
    <w:rsid w:val="00D50874"/>
    <w:rsid w:val="00D50886"/>
    <w:rsid w:val="00D5090C"/>
    <w:rsid w:val="00D5096D"/>
    <w:rsid w:val="00D509A3"/>
    <w:rsid w:val="00D509FD"/>
    <w:rsid w:val="00D50A03"/>
    <w:rsid w:val="00D50A4C"/>
    <w:rsid w:val="00D50A56"/>
    <w:rsid w:val="00D50A72"/>
    <w:rsid w:val="00D50AB8"/>
    <w:rsid w:val="00D50AE8"/>
    <w:rsid w:val="00D50B4B"/>
    <w:rsid w:val="00D50B92"/>
    <w:rsid w:val="00D50BE8"/>
    <w:rsid w:val="00D50CFA"/>
    <w:rsid w:val="00D50D41"/>
    <w:rsid w:val="00D50DD2"/>
    <w:rsid w:val="00D50E26"/>
    <w:rsid w:val="00D50E9C"/>
    <w:rsid w:val="00D50EB1"/>
    <w:rsid w:val="00D50F36"/>
    <w:rsid w:val="00D50F61"/>
    <w:rsid w:val="00D50FA6"/>
    <w:rsid w:val="00D50FFB"/>
    <w:rsid w:val="00D510B6"/>
    <w:rsid w:val="00D5117B"/>
    <w:rsid w:val="00D511A6"/>
    <w:rsid w:val="00D511CB"/>
    <w:rsid w:val="00D5126E"/>
    <w:rsid w:val="00D512D8"/>
    <w:rsid w:val="00D51335"/>
    <w:rsid w:val="00D513BF"/>
    <w:rsid w:val="00D513FA"/>
    <w:rsid w:val="00D51406"/>
    <w:rsid w:val="00D51420"/>
    <w:rsid w:val="00D51460"/>
    <w:rsid w:val="00D51466"/>
    <w:rsid w:val="00D51473"/>
    <w:rsid w:val="00D5156B"/>
    <w:rsid w:val="00D5157E"/>
    <w:rsid w:val="00D515C4"/>
    <w:rsid w:val="00D515C5"/>
    <w:rsid w:val="00D515CC"/>
    <w:rsid w:val="00D515FA"/>
    <w:rsid w:val="00D51609"/>
    <w:rsid w:val="00D5161D"/>
    <w:rsid w:val="00D5163D"/>
    <w:rsid w:val="00D51693"/>
    <w:rsid w:val="00D516ED"/>
    <w:rsid w:val="00D51724"/>
    <w:rsid w:val="00D5173C"/>
    <w:rsid w:val="00D51781"/>
    <w:rsid w:val="00D517A6"/>
    <w:rsid w:val="00D517D3"/>
    <w:rsid w:val="00D517F5"/>
    <w:rsid w:val="00D51839"/>
    <w:rsid w:val="00D51853"/>
    <w:rsid w:val="00D5187B"/>
    <w:rsid w:val="00D51928"/>
    <w:rsid w:val="00D5196C"/>
    <w:rsid w:val="00D51A4D"/>
    <w:rsid w:val="00D51A51"/>
    <w:rsid w:val="00D51A83"/>
    <w:rsid w:val="00D51ABB"/>
    <w:rsid w:val="00D51AD0"/>
    <w:rsid w:val="00D51ADD"/>
    <w:rsid w:val="00D51B23"/>
    <w:rsid w:val="00D51B56"/>
    <w:rsid w:val="00D51B73"/>
    <w:rsid w:val="00D51B9D"/>
    <w:rsid w:val="00D51C21"/>
    <w:rsid w:val="00D51C81"/>
    <w:rsid w:val="00D51D1B"/>
    <w:rsid w:val="00D51D34"/>
    <w:rsid w:val="00D51D7A"/>
    <w:rsid w:val="00D51DD7"/>
    <w:rsid w:val="00D51F19"/>
    <w:rsid w:val="00D51F1F"/>
    <w:rsid w:val="00D51F5B"/>
    <w:rsid w:val="00D5206D"/>
    <w:rsid w:val="00D520BC"/>
    <w:rsid w:val="00D520CB"/>
    <w:rsid w:val="00D52144"/>
    <w:rsid w:val="00D52153"/>
    <w:rsid w:val="00D5217F"/>
    <w:rsid w:val="00D521A6"/>
    <w:rsid w:val="00D52230"/>
    <w:rsid w:val="00D52236"/>
    <w:rsid w:val="00D52237"/>
    <w:rsid w:val="00D52245"/>
    <w:rsid w:val="00D5224F"/>
    <w:rsid w:val="00D522DC"/>
    <w:rsid w:val="00D52326"/>
    <w:rsid w:val="00D5235E"/>
    <w:rsid w:val="00D52392"/>
    <w:rsid w:val="00D523E6"/>
    <w:rsid w:val="00D52421"/>
    <w:rsid w:val="00D524C2"/>
    <w:rsid w:val="00D52503"/>
    <w:rsid w:val="00D52513"/>
    <w:rsid w:val="00D52518"/>
    <w:rsid w:val="00D52588"/>
    <w:rsid w:val="00D5265F"/>
    <w:rsid w:val="00D52673"/>
    <w:rsid w:val="00D52693"/>
    <w:rsid w:val="00D526F6"/>
    <w:rsid w:val="00D52711"/>
    <w:rsid w:val="00D52739"/>
    <w:rsid w:val="00D527D1"/>
    <w:rsid w:val="00D52993"/>
    <w:rsid w:val="00D52AA9"/>
    <w:rsid w:val="00D52ADF"/>
    <w:rsid w:val="00D52AED"/>
    <w:rsid w:val="00D52C09"/>
    <w:rsid w:val="00D52D0E"/>
    <w:rsid w:val="00D52D25"/>
    <w:rsid w:val="00D52DC5"/>
    <w:rsid w:val="00D52F37"/>
    <w:rsid w:val="00D52F4A"/>
    <w:rsid w:val="00D52F5C"/>
    <w:rsid w:val="00D52F9D"/>
    <w:rsid w:val="00D52FEF"/>
    <w:rsid w:val="00D53072"/>
    <w:rsid w:val="00D5309E"/>
    <w:rsid w:val="00D531CA"/>
    <w:rsid w:val="00D531DD"/>
    <w:rsid w:val="00D53339"/>
    <w:rsid w:val="00D53340"/>
    <w:rsid w:val="00D53352"/>
    <w:rsid w:val="00D53394"/>
    <w:rsid w:val="00D533C0"/>
    <w:rsid w:val="00D533D0"/>
    <w:rsid w:val="00D533F2"/>
    <w:rsid w:val="00D533F6"/>
    <w:rsid w:val="00D5348F"/>
    <w:rsid w:val="00D534AE"/>
    <w:rsid w:val="00D534D6"/>
    <w:rsid w:val="00D53511"/>
    <w:rsid w:val="00D5357A"/>
    <w:rsid w:val="00D535BE"/>
    <w:rsid w:val="00D53661"/>
    <w:rsid w:val="00D5372B"/>
    <w:rsid w:val="00D53789"/>
    <w:rsid w:val="00D5379C"/>
    <w:rsid w:val="00D537BD"/>
    <w:rsid w:val="00D5384A"/>
    <w:rsid w:val="00D538AB"/>
    <w:rsid w:val="00D538C1"/>
    <w:rsid w:val="00D538CA"/>
    <w:rsid w:val="00D53907"/>
    <w:rsid w:val="00D5392D"/>
    <w:rsid w:val="00D53966"/>
    <w:rsid w:val="00D539BC"/>
    <w:rsid w:val="00D539BE"/>
    <w:rsid w:val="00D53A4C"/>
    <w:rsid w:val="00D53A53"/>
    <w:rsid w:val="00D53A65"/>
    <w:rsid w:val="00D53A92"/>
    <w:rsid w:val="00D53AA0"/>
    <w:rsid w:val="00D53ADB"/>
    <w:rsid w:val="00D53AF0"/>
    <w:rsid w:val="00D53AF5"/>
    <w:rsid w:val="00D53B25"/>
    <w:rsid w:val="00D53B59"/>
    <w:rsid w:val="00D53B93"/>
    <w:rsid w:val="00D53BA2"/>
    <w:rsid w:val="00D53BDD"/>
    <w:rsid w:val="00D53C36"/>
    <w:rsid w:val="00D53C38"/>
    <w:rsid w:val="00D53C39"/>
    <w:rsid w:val="00D53C44"/>
    <w:rsid w:val="00D53C45"/>
    <w:rsid w:val="00D53C71"/>
    <w:rsid w:val="00D53CD0"/>
    <w:rsid w:val="00D53D78"/>
    <w:rsid w:val="00D53E0C"/>
    <w:rsid w:val="00D53E29"/>
    <w:rsid w:val="00D53E37"/>
    <w:rsid w:val="00D53E4D"/>
    <w:rsid w:val="00D53FB4"/>
    <w:rsid w:val="00D54013"/>
    <w:rsid w:val="00D54032"/>
    <w:rsid w:val="00D54095"/>
    <w:rsid w:val="00D5409D"/>
    <w:rsid w:val="00D540DF"/>
    <w:rsid w:val="00D5418A"/>
    <w:rsid w:val="00D54202"/>
    <w:rsid w:val="00D5420B"/>
    <w:rsid w:val="00D54292"/>
    <w:rsid w:val="00D542B3"/>
    <w:rsid w:val="00D5431C"/>
    <w:rsid w:val="00D5437F"/>
    <w:rsid w:val="00D5439A"/>
    <w:rsid w:val="00D543A3"/>
    <w:rsid w:val="00D543AB"/>
    <w:rsid w:val="00D5444E"/>
    <w:rsid w:val="00D5445B"/>
    <w:rsid w:val="00D54476"/>
    <w:rsid w:val="00D544EE"/>
    <w:rsid w:val="00D5450B"/>
    <w:rsid w:val="00D54516"/>
    <w:rsid w:val="00D54524"/>
    <w:rsid w:val="00D545D2"/>
    <w:rsid w:val="00D54688"/>
    <w:rsid w:val="00D546C8"/>
    <w:rsid w:val="00D546FE"/>
    <w:rsid w:val="00D54761"/>
    <w:rsid w:val="00D5478D"/>
    <w:rsid w:val="00D54807"/>
    <w:rsid w:val="00D54813"/>
    <w:rsid w:val="00D5487D"/>
    <w:rsid w:val="00D549A5"/>
    <w:rsid w:val="00D54A34"/>
    <w:rsid w:val="00D54A42"/>
    <w:rsid w:val="00D54A62"/>
    <w:rsid w:val="00D54A82"/>
    <w:rsid w:val="00D54B14"/>
    <w:rsid w:val="00D54B41"/>
    <w:rsid w:val="00D54B79"/>
    <w:rsid w:val="00D54B89"/>
    <w:rsid w:val="00D54B9D"/>
    <w:rsid w:val="00D54BEB"/>
    <w:rsid w:val="00D54C4D"/>
    <w:rsid w:val="00D54C87"/>
    <w:rsid w:val="00D54CA9"/>
    <w:rsid w:val="00D54CB1"/>
    <w:rsid w:val="00D54D95"/>
    <w:rsid w:val="00D54DCC"/>
    <w:rsid w:val="00D54E16"/>
    <w:rsid w:val="00D54E67"/>
    <w:rsid w:val="00D54EDD"/>
    <w:rsid w:val="00D54EDF"/>
    <w:rsid w:val="00D54F2F"/>
    <w:rsid w:val="00D54F38"/>
    <w:rsid w:val="00D54FBD"/>
    <w:rsid w:val="00D55016"/>
    <w:rsid w:val="00D550F9"/>
    <w:rsid w:val="00D55112"/>
    <w:rsid w:val="00D5517E"/>
    <w:rsid w:val="00D5518E"/>
    <w:rsid w:val="00D551D0"/>
    <w:rsid w:val="00D551D5"/>
    <w:rsid w:val="00D55344"/>
    <w:rsid w:val="00D55398"/>
    <w:rsid w:val="00D553A8"/>
    <w:rsid w:val="00D553F6"/>
    <w:rsid w:val="00D55447"/>
    <w:rsid w:val="00D55448"/>
    <w:rsid w:val="00D55456"/>
    <w:rsid w:val="00D5548D"/>
    <w:rsid w:val="00D55490"/>
    <w:rsid w:val="00D5554D"/>
    <w:rsid w:val="00D555A0"/>
    <w:rsid w:val="00D555A3"/>
    <w:rsid w:val="00D557BB"/>
    <w:rsid w:val="00D557C0"/>
    <w:rsid w:val="00D55810"/>
    <w:rsid w:val="00D55823"/>
    <w:rsid w:val="00D5583C"/>
    <w:rsid w:val="00D55890"/>
    <w:rsid w:val="00D558A6"/>
    <w:rsid w:val="00D558BE"/>
    <w:rsid w:val="00D558D6"/>
    <w:rsid w:val="00D5594C"/>
    <w:rsid w:val="00D559CB"/>
    <w:rsid w:val="00D559D6"/>
    <w:rsid w:val="00D55A01"/>
    <w:rsid w:val="00D55A08"/>
    <w:rsid w:val="00D55A48"/>
    <w:rsid w:val="00D55A7B"/>
    <w:rsid w:val="00D55A85"/>
    <w:rsid w:val="00D55A9B"/>
    <w:rsid w:val="00D55AE8"/>
    <w:rsid w:val="00D55B0F"/>
    <w:rsid w:val="00D55B62"/>
    <w:rsid w:val="00D55B70"/>
    <w:rsid w:val="00D55B75"/>
    <w:rsid w:val="00D55B9C"/>
    <w:rsid w:val="00D55BA1"/>
    <w:rsid w:val="00D55C0B"/>
    <w:rsid w:val="00D55C0D"/>
    <w:rsid w:val="00D55C25"/>
    <w:rsid w:val="00D55C29"/>
    <w:rsid w:val="00D55C2E"/>
    <w:rsid w:val="00D55C53"/>
    <w:rsid w:val="00D55D53"/>
    <w:rsid w:val="00D55DCC"/>
    <w:rsid w:val="00D55E15"/>
    <w:rsid w:val="00D55E29"/>
    <w:rsid w:val="00D55EDA"/>
    <w:rsid w:val="00D55FC1"/>
    <w:rsid w:val="00D560A1"/>
    <w:rsid w:val="00D560A4"/>
    <w:rsid w:val="00D56115"/>
    <w:rsid w:val="00D56135"/>
    <w:rsid w:val="00D56170"/>
    <w:rsid w:val="00D56195"/>
    <w:rsid w:val="00D561F7"/>
    <w:rsid w:val="00D5633C"/>
    <w:rsid w:val="00D56341"/>
    <w:rsid w:val="00D56480"/>
    <w:rsid w:val="00D5648D"/>
    <w:rsid w:val="00D56516"/>
    <w:rsid w:val="00D56676"/>
    <w:rsid w:val="00D56680"/>
    <w:rsid w:val="00D56696"/>
    <w:rsid w:val="00D56714"/>
    <w:rsid w:val="00D5676C"/>
    <w:rsid w:val="00D56809"/>
    <w:rsid w:val="00D5681C"/>
    <w:rsid w:val="00D5689E"/>
    <w:rsid w:val="00D568C1"/>
    <w:rsid w:val="00D56A42"/>
    <w:rsid w:val="00D56A65"/>
    <w:rsid w:val="00D56A67"/>
    <w:rsid w:val="00D56A68"/>
    <w:rsid w:val="00D56B6C"/>
    <w:rsid w:val="00D56BC5"/>
    <w:rsid w:val="00D56C45"/>
    <w:rsid w:val="00D56C4B"/>
    <w:rsid w:val="00D56CD5"/>
    <w:rsid w:val="00D56D8A"/>
    <w:rsid w:val="00D56D8B"/>
    <w:rsid w:val="00D56E88"/>
    <w:rsid w:val="00D56F2D"/>
    <w:rsid w:val="00D56F9B"/>
    <w:rsid w:val="00D56FA3"/>
    <w:rsid w:val="00D570B5"/>
    <w:rsid w:val="00D57109"/>
    <w:rsid w:val="00D5714A"/>
    <w:rsid w:val="00D57206"/>
    <w:rsid w:val="00D5726C"/>
    <w:rsid w:val="00D57287"/>
    <w:rsid w:val="00D5729F"/>
    <w:rsid w:val="00D572B0"/>
    <w:rsid w:val="00D572D7"/>
    <w:rsid w:val="00D57303"/>
    <w:rsid w:val="00D57339"/>
    <w:rsid w:val="00D5734A"/>
    <w:rsid w:val="00D5739B"/>
    <w:rsid w:val="00D573AE"/>
    <w:rsid w:val="00D573C7"/>
    <w:rsid w:val="00D5741F"/>
    <w:rsid w:val="00D57479"/>
    <w:rsid w:val="00D574C4"/>
    <w:rsid w:val="00D574E4"/>
    <w:rsid w:val="00D57514"/>
    <w:rsid w:val="00D57516"/>
    <w:rsid w:val="00D57570"/>
    <w:rsid w:val="00D57578"/>
    <w:rsid w:val="00D575B0"/>
    <w:rsid w:val="00D575CF"/>
    <w:rsid w:val="00D57661"/>
    <w:rsid w:val="00D57697"/>
    <w:rsid w:val="00D576F2"/>
    <w:rsid w:val="00D57760"/>
    <w:rsid w:val="00D577C2"/>
    <w:rsid w:val="00D57851"/>
    <w:rsid w:val="00D578FE"/>
    <w:rsid w:val="00D579A8"/>
    <w:rsid w:val="00D57A11"/>
    <w:rsid w:val="00D57A95"/>
    <w:rsid w:val="00D57AD6"/>
    <w:rsid w:val="00D57ADA"/>
    <w:rsid w:val="00D57B84"/>
    <w:rsid w:val="00D57BAD"/>
    <w:rsid w:val="00D57D1E"/>
    <w:rsid w:val="00D57D69"/>
    <w:rsid w:val="00D57D70"/>
    <w:rsid w:val="00D57D79"/>
    <w:rsid w:val="00D57DD8"/>
    <w:rsid w:val="00D57DF2"/>
    <w:rsid w:val="00D57E08"/>
    <w:rsid w:val="00D57E1F"/>
    <w:rsid w:val="00D57EA7"/>
    <w:rsid w:val="00D57F94"/>
    <w:rsid w:val="00D57FDA"/>
    <w:rsid w:val="00D60044"/>
    <w:rsid w:val="00D60069"/>
    <w:rsid w:val="00D6009B"/>
    <w:rsid w:val="00D600CD"/>
    <w:rsid w:val="00D60114"/>
    <w:rsid w:val="00D60201"/>
    <w:rsid w:val="00D60224"/>
    <w:rsid w:val="00D6027D"/>
    <w:rsid w:val="00D602B6"/>
    <w:rsid w:val="00D602FD"/>
    <w:rsid w:val="00D6030F"/>
    <w:rsid w:val="00D60384"/>
    <w:rsid w:val="00D60422"/>
    <w:rsid w:val="00D60563"/>
    <w:rsid w:val="00D605FB"/>
    <w:rsid w:val="00D60666"/>
    <w:rsid w:val="00D60791"/>
    <w:rsid w:val="00D60861"/>
    <w:rsid w:val="00D60867"/>
    <w:rsid w:val="00D608A4"/>
    <w:rsid w:val="00D608AB"/>
    <w:rsid w:val="00D60929"/>
    <w:rsid w:val="00D609C0"/>
    <w:rsid w:val="00D609DF"/>
    <w:rsid w:val="00D60A1D"/>
    <w:rsid w:val="00D60A4D"/>
    <w:rsid w:val="00D60A86"/>
    <w:rsid w:val="00D60AD6"/>
    <w:rsid w:val="00D60B38"/>
    <w:rsid w:val="00D60B59"/>
    <w:rsid w:val="00D60B8A"/>
    <w:rsid w:val="00D60BC5"/>
    <w:rsid w:val="00D60CDF"/>
    <w:rsid w:val="00D60CFD"/>
    <w:rsid w:val="00D60D09"/>
    <w:rsid w:val="00D60D47"/>
    <w:rsid w:val="00D60E29"/>
    <w:rsid w:val="00D60E33"/>
    <w:rsid w:val="00D60E44"/>
    <w:rsid w:val="00D60E4E"/>
    <w:rsid w:val="00D60EE6"/>
    <w:rsid w:val="00D60FE9"/>
    <w:rsid w:val="00D6102A"/>
    <w:rsid w:val="00D6102F"/>
    <w:rsid w:val="00D6105A"/>
    <w:rsid w:val="00D610BB"/>
    <w:rsid w:val="00D61177"/>
    <w:rsid w:val="00D61196"/>
    <w:rsid w:val="00D61201"/>
    <w:rsid w:val="00D61225"/>
    <w:rsid w:val="00D61247"/>
    <w:rsid w:val="00D612FE"/>
    <w:rsid w:val="00D6144F"/>
    <w:rsid w:val="00D6152A"/>
    <w:rsid w:val="00D6156E"/>
    <w:rsid w:val="00D61582"/>
    <w:rsid w:val="00D6160E"/>
    <w:rsid w:val="00D6161D"/>
    <w:rsid w:val="00D61624"/>
    <w:rsid w:val="00D616AE"/>
    <w:rsid w:val="00D616BB"/>
    <w:rsid w:val="00D61876"/>
    <w:rsid w:val="00D6195D"/>
    <w:rsid w:val="00D61974"/>
    <w:rsid w:val="00D61A84"/>
    <w:rsid w:val="00D61A9F"/>
    <w:rsid w:val="00D61ABA"/>
    <w:rsid w:val="00D61AC3"/>
    <w:rsid w:val="00D61AF7"/>
    <w:rsid w:val="00D61BB0"/>
    <w:rsid w:val="00D61BE5"/>
    <w:rsid w:val="00D61C89"/>
    <w:rsid w:val="00D61D98"/>
    <w:rsid w:val="00D61DB9"/>
    <w:rsid w:val="00D61DF1"/>
    <w:rsid w:val="00D61F38"/>
    <w:rsid w:val="00D61F50"/>
    <w:rsid w:val="00D61F88"/>
    <w:rsid w:val="00D62088"/>
    <w:rsid w:val="00D62107"/>
    <w:rsid w:val="00D62110"/>
    <w:rsid w:val="00D6215F"/>
    <w:rsid w:val="00D62165"/>
    <w:rsid w:val="00D62175"/>
    <w:rsid w:val="00D62237"/>
    <w:rsid w:val="00D62248"/>
    <w:rsid w:val="00D62284"/>
    <w:rsid w:val="00D6229D"/>
    <w:rsid w:val="00D622BB"/>
    <w:rsid w:val="00D62332"/>
    <w:rsid w:val="00D6243A"/>
    <w:rsid w:val="00D624BC"/>
    <w:rsid w:val="00D6255D"/>
    <w:rsid w:val="00D6256D"/>
    <w:rsid w:val="00D62593"/>
    <w:rsid w:val="00D62609"/>
    <w:rsid w:val="00D6266D"/>
    <w:rsid w:val="00D626A1"/>
    <w:rsid w:val="00D626A3"/>
    <w:rsid w:val="00D626B1"/>
    <w:rsid w:val="00D626C2"/>
    <w:rsid w:val="00D6270A"/>
    <w:rsid w:val="00D6274E"/>
    <w:rsid w:val="00D62858"/>
    <w:rsid w:val="00D62859"/>
    <w:rsid w:val="00D62884"/>
    <w:rsid w:val="00D62896"/>
    <w:rsid w:val="00D628DE"/>
    <w:rsid w:val="00D62906"/>
    <w:rsid w:val="00D62909"/>
    <w:rsid w:val="00D6297F"/>
    <w:rsid w:val="00D629EB"/>
    <w:rsid w:val="00D62A25"/>
    <w:rsid w:val="00D62A59"/>
    <w:rsid w:val="00D62A6D"/>
    <w:rsid w:val="00D62A70"/>
    <w:rsid w:val="00D62AB5"/>
    <w:rsid w:val="00D62B0B"/>
    <w:rsid w:val="00D62B41"/>
    <w:rsid w:val="00D62B5E"/>
    <w:rsid w:val="00D62B9D"/>
    <w:rsid w:val="00D62C48"/>
    <w:rsid w:val="00D62CFE"/>
    <w:rsid w:val="00D62D50"/>
    <w:rsid w:val="00D62EBD"/>
    <w:rsid w:val="00D62ECB"/>
    <w:rsid w:val="00D62EEF"/>
    <w:rsid w:val="00D62FA4"/>
    <w:rsid w:val="00D62FBE"/>
    <w:rsid w:val="00D62FD6"/>
    <w:rsid w:val="00D63030"/>
    <w:rsid w:val="00D63134"/>
    <w:rsid w:val="00D6318A"/>
    <w:rsid w:val="00D631DC"/>
    <w:rsid w:val="00D6320D"/>
    <w:rsid w:val="00D632A6"/>
    <w:rsid w:val="00D632EC"/>
    <w:rsid w:val="00D633C8"/>
    <w:rsid w:val="00D633CA"/>
    <w:rsid w:val="00D633F0"/>
    <w:rsid w:val="00D63450"/>
    <w:rsid w:val="00D63463"/>
    <w:rsid w:val="00D63505"/>
    <w:rsid w:val="00D63507"/>
    <w:rsid w:val="00D6350A"/>
    <w:rsid w:val="00D6359E"/>
    <w:rsid w:val="00D63636"/>
    <w:rsid w:val="00D636C2"/>
    <w:rsid w:val="00D636CD"/>
    <w:rsid w:val="00D63730"/>
    <w:rsid w:val="00D637C0"/>
    <w:rsid w:val="00D637D2"/>
    <w:rsid w:val="00D637D4"/>
    <w:rsid w:val="00D6387F"/>
    <w:rsid w:val="00D638C5"/>
    <w:rsid w:val="00D6395C"/>
    <w:rsid w:val="00D63961"/>
    <w:rsid w:val="00D63965"/>
    <w:rsid w:val="00D63979"/>
    <w:rsid w:val="00D639BE"/>
    <w:rsid w:val="00D63ACC"/>
    <w:rsid w:val="00D63B4A"/>
    <w:rsid w:val="00D63C05"/>
    <w:rsid w:val="00D63C22"/>
    <w:rsid w:val="00D63CBA"/>
    <w:rsid w:val="00D63DF5"/>
    <w:rsid w:val="00D63DFC"/>
    <w:rsid w:val="00D63E14"/>
    <w:rsid w:val="00D63E3E"/>
    <w:rsid w:val="00D63EBE"/>
    <w:rsid w:val="00D63EE0"/>
    <w:rsid w:val="00D63EE4"/>
    <w:rsid w:val="00D63F04"/>
    <w:rsid w:val="00D63F23"/>
    <w:rsid w:val="00D63F5C"/>
    <w:rsid w:val="00D63F82"/>
    <w:rsid w:val="00D63FAB"/>
    <w:rsid w:val="00D63FB9"/>
    <w:rsid w:val="00D64009"/>
    <w:rsid w:val="00D64082"/>
    <w:rsid w:val="00D64187"/>
    <w:rsid w:val="00D6426C"/>
    <w:rsid w:val="00D642B1"/>
    <w:rsid w:val="00D6435A"/>
    <w:rsid w:val="00D643A0"/>
    <w:rsid w:val="00D643A1"/>
    <w:rsid w:val="00D643B1"/>
    <w:rsid w:val="00D64403"/>
    <w:rsid w:val="00D64418"/>
    <w:rsid w:val="00D64445"/>
    <w:rsid w:val="00D6458F"/>
    <w:rsid w:val="00D64596"/>
    <w:rsid w:val="00D64597"/>
    <w:rsid w:val="00D646C9"/>
    <w:rsid w:val="00D6481F"/>
    <w:rsid w:val="00D6488B"/>
    <w:rsid w:val="00D64927"/>
    <w:rsid w:val="00D64939"/>
    <w:rsid w:val="00D64958"/>
    <w:rsid w:val="00D64966"/>
    <w:rsid w:val="00D649BA"/>
    <w:rsid w:val="00D649F2"/>
    <w:rsid w:val="00D64AAB"/>
    <w:rsid w:val="00D64AEB"/>
    <w:rsid w:val="00D64AFE"/>
    <w:rsid w:val="00D64BA8"/>
    <w:rsid w:val="00D64C64"/>
    <w:rsid w:val="00D64CC4"/>
    <w:rsid w:val="00D64E2F"/>
    <w:rsid w:val="00D64E6D"/>
    <w:rsid w:val="00D64E80"/>
    <w:rsid w:val="00D64EB0"/>
    <w:rsid w:val="00D64F00"/>
    <w:rsid w:val="00D64F44"/>
    <w:rsid w:val="00D64F8F"/>
    <w:rsid w:val="00D64F97"/>
    <w:rsid w:val="00D64FD2"/>
    <w:rsid w:val="00D65011"/>
    <w:rsid w:val="00D65098"/>
    <w:rsid w:val="00D650A4"/>
    <w:rsid w:val="00D650A5"/>
    <w:rsid w:val="00D650EC"/>
    <w:rsid w:val="00D6513C"/>
    <w:rsid w:val="00D65189"/>
    <w:rsid w:val="00D65193"/>
    <w:rsid w:val="00D651CA"/>
    <w:rsid w:val="00D652C1"/>
    <w:rsid w:val="00D65388"/>
    <w:rsid w:val="00D653B1"/>
    <w:rsid w:val="00D6541B"/>
    <w:rsid w:val="00D65428"/>
    <w:rsid w:val="00D6545C"/>
    <w:rsid w:val="00D654D4"/>
    <w:rsid w:val="00D654DB"/>
    <w:rsid w:val="00D65548"/>
    <w:rsid w:val="00D65592"/>
    <w:rsid w:val="00D655C5"/>
    <w:rsid w:val="00D655F7"/>
    <w:rsid w:val="00D65716"/>
    <w:rsid w:val="00D6571A"/>
    <w:rsid w:val="00D65732"/>
    <w:rsid w:val="00D657AA"/>
    <w:rsid w:val="00D657D8"/>
    <w:rsid w:val="00D658B2"/>
    <w:rsid w:val="00D658F0"/>
    <w:rsid w:val="00D6599B"/>
    <w:rsid w:val="00D65A07"/>
    <w:rsid w:val="00D65A1B"/>
    <w:rsid w:val="00D65A5A"/>
    <w:rsid w:val="00D65A68"/>
    <w:rsid w:val="00D65A8A"/>
    <w:rsid w:val="00D65B4B"/>
    <w:rsid w:val="00D65B5B"/>
    <w:rsid w:val="00D65BA9"/>
    <w:rsid w:val="00D65BE2"/>
    <w:rsid w:val="00D65BED"/>
    <w:rsid w:val="00D65C33"/>
    <w:rsid w:val="00D65C59"/>
    <w:rsid w:val="00D65D59"/>
    <w:rsid w:val="00D65D9C"/>
    <w:rsid w:val="00D65DC6"/>
    <w:rsid w:val="00D65DCC"/>
    <w:rsid w:val="00D65E4C"/>
    <w:rsid w:val="00D65E53"/>
    <w:rsid w:val="00D65E56"/>
    <w:rsid w:val="00D65F1F"/>
    <w:rsid w:val="00D65F50"/>
    <w:rsid w:val="00D660B0"/>
    <w:rsid w:val="00D6619C"/>
    <w:rsid w:val="00D661C2"/>
    <w:rsid w:val="00D66279"/>
    <w:rsid w:val="00D66294"/>
    <w:rsid w:val="00D662BB"/>
    <w:rsid w:val="00D66361"/>
    <w:rsid w:val="00D66393"/>
    <w:rsid w:val="00D663CB"/>
    <w:rsid w:val="00D66435"/>
    <w:rsid w:val="00D6644A"/>
    <w:rsid w:val="00D6648C"/>
    <w:rsid w:val="00D664A0"/>
    <w:rsid w:val="00D664CE"/>
    <w:rsid w:val="00D66677"/>
    <w:rsid w:val="00D666EF"/>
    <w:rsid w:val="00D66711"/>
    <w:rsid w:val="00D668FA"/>
    <w:rsid w:val="00D66909"/>
    <w:rsid w:val="00D66A13"/>
    <w:rsid w:val="00D66A7E"/>
    <w:rsid w:val="00D66AB6"/>
    <w:rsid w:val="00D66AB9"/>
    <w:rsid w:val="00D66AD5"/>
    <w:rsid w:val="00D66AE4"/>
    <w:rsid w:val="00D66B15"/>
    <w:rsid w:val="00D66B24"/>
    <w:rsid w:val="00D66B44"/>
    <w:rsid w:val="00D66BA2"/>
    <w:rsid w:val="00D66C12"/>
    <w:rsid w:val="00D66C23"/>
    <w:rsid w:val="00D66C6D"/>
    <w:rsid w:val="00D66CFA"/>
    <w:rsid w:val="00D66CFE"/>
    <w:rsid w:val="00D66D24"/>
    <w:rsid w:val="00D66D4D"/>
    <w:rsid w:val="00D66D7D"/>
    <w:rsid w:val="00D66DDE"/>
    <w:rsid w:val="00D66ED0"/>
    <w:rsid w:val="00D66EDF"/>
    <w:rsid w:val="00D66EEA"/>
    <w:rsid w:val="00D66F0D"/>
    <w:rsid w:val="00D66F51"/>
    <w:rsid w:val="00D66FA7"/>
    <w:rsid w:val="00D670F5"/>
    <w:rsid w:val="00D6715B"/>
    <w:rsid w:val="00D67178"/>
    <w:rsid w:val="00D67196"/>
    <w:rsid w:val="00D671FB"/>
    <w:rsid w:val="00D671FF"/>
    <w:rsid w:val="00D6720B"/>
    <w:rsid w:val="00D67245"/>
    <w:rsid w:val="00D67308"/>
    <w:rsid w:val="00D6731D"/>
    <w:rsid w:val="00D67342"/>
    <w:rsid w:val="00D673B7"/>
    <w:rsid w:val="00D673E6"/>
    <w:rsid w:val="00D6741A"/>
    <w:rsid w:val="00D674CA"/>
    <w:rsid w:val="00D6754B"/>
    <w:rsid w:val="00D6757B"/>
    <w:rsid w:val="00D675E5"/>
    <w:rsid w:val="00D67648"/>
    <w:rsid w:val="00D676CF"/>
    <w:rsid w:val="00D676E2"/>
    <w:rsid w:val="00D67714"/>
    <w:rsid w:val="00D6772F"/>
    <w:rsid w:val="00D67734"/>
    <w:rsid w:val="00D67883"/>
    <w:rsid w:val="00D67884"/>
    <w:rsid w:val="00D678CA"/>
    <w:rsid w:val="00D67912"/>
    <w:rsid w:val="00D6791D"/>
    <w:rsid w:val="00D67969"/>
    <w:rsid w:val="00D67990"/>
    <w:rsid w:val="00D67B3C"/>
    <w:rsid w:val="00D67B6E"/>
    <w:rsid w:val="00D67BA5"/>
    <w:rsid w:val="00D67C1F"/>
    <w:rsid w:val="00D67D14"/>
    <w:rsid w:val="00D67D23"/>
    <w:rsid w:val="00D67D32"/>
    <w:rsid w:val="00D67DDD"/>
    <w:rsid w:val="00D67DDE"/>
    <w:rsid w:val="00D67DE8"/>
    <w:rsid w:val="00D67E1E"/>
    <w:rsid w:val="00D67F09"/>
    <w:rsid w:val="00D70030"/>
    <w:rsid w:val="00D7009F"/>
    <w:rsid w:val="00D700B2"/>
    <w:rsid w:val="00D700E2"/>
    <w:rsid w:val="00D700F1"/>
    <w:rsid w:val="00D700FE"/>
    <w:rsid w:val="00D7015E"/>
    <w:rsid w:val="00D701FE"/>
    <w:rsid w:val="00D70241"/>
    <w:rsid w:val="00D703C6"/>
    <w:rsid w:val="00D7045F"/>
    <w:rsid w:val="00D70488"/>
    <w:rsid w:val="00D70509"/>
    <w:rsid w:val="00D7057D"/>
    <w:rsid w:val="00D705BE"/>
    <w:rsid w:val="00D705C3"/>
    <w:rsid w:val="00D705F0"/>
    <w:rsid w:val="00D706B5"/>
    <w:rsid w:val="00D706B8"/>
    <w:rsid w:val="00D707DB"/>
    <w:rsid w:val="00D707FA"/>
    <w:rsid w:val="00D70823"/>
    <w:rsid w:val="00D70850"/>
    <w:rsid w:val="00D708AC"/>
    <w:rsid w:val="00D708CE"/>
    <w:rsid w:val="00D708FC"/>
    <w:rsid w:val="00D7091A"/>
    <w:rsid w:val="00D7092C"/>
    <w:rsid w:val="00D709DC"/>
    <w:rsid w:val="00D70B9A"/>
    <w:rsid w:val="00D70C3D"/>
    <w:rsid w:val="00D70CE8"/>
    <w:rsid w:val="00D70CE9"/>
    <w:rsid w:val="00D70D3F"/>
    <w:rsid w:val="00D70D59"/>
    <w:rsid w:val="00D70DD3"/>
    <w:rsid w:val="00D70DD8"/>
    <w:rsid w:val="00D70E1D"/>
    <w:rsid w:val="00D70E64"/>
    <w:rsid w:val="00D70E6D"/>
    <w:rsid w:val="00D70E80"/>
    <w:rsid w:val="00D70E8E"/>
    <w:rsid w:val="00D70EC4"/>
    <w:rsid w:val="00D70F39"/>
    <w:rsid w:val="00D70F6F"/>
    <w:rsid w:val="00D70F84"/>
    <w:rsid w:val="00D70FAC"/>
    <w:rsid w:val="00D71058"/>
    <w:rsid w:val="00D71060"/>
    <w:rsid w:val="00D710FB"/>
    <w:rsid w:val="00D7112A"/>
    <w:rsid w:val="00D71142"/>
    <w:rsid w:val="00D71250"/>
    <w:rsid w:val="00D71333"/>
    <w:rsid w:val="00D7139D"/>
    <w:rsid w:val="00D71421"/>
    <w:rsid w:val="00D7147F"/>
    <w:rsid w:val="00D714E3"/>
    <w:rsid w:val="00D714EC"/>
    <w:rsid w:val="00D71544"/>
    <w:rsid w:val="00D7159A"/>
    <w:rsid w:val="00D715DC"/>
    <w:rsid w:val="00D715F1"/>
    <w:rsid w:val="00D7162B"/>
    <w:rsid w:val="00D71733"/>
    <w:rsid w:val="00D717EF"/>
    <w:rsid w:val="00D7184F"/>
    <w:rsid w:val="00D718B2"/>
    <w:rsid w:val="00D71901"/>
    <w:rsid w:val="00D719E7"/>
    <w:rsid w:val="00D71A00"/>
    <w:rsid w:val="00D71A0B"/>
    <w:rsid w:val="00D71A2D"/>
    <w:rsid w:val="00D71A35"/>
    <w:rsid w:val="00D71A44"/>
    <w:rsid w:val="00D71B2C"/>
    <w:rsid w:val="00D71C0C"/>
    <w:rsid w:val="00D71C14"/>
    <w:rsid w:val="00D71C4B"/>
    <w:rsid w:val="00D71C60"/>
    <w:rsid w:val="00D71C89"/>
    <w:rsid w:val="00D71CD3"/>
    <w:rsid w:val="00D71D97"/>
    <w:rsid w:val="00D71E15"/>
    <w:rsid w:val="00D71E36"/>
    <w:rsid w:val="00D71E53"/>
    <w:rsid w:val="00D71E65"/>
    <w:rsid w:val="00D71EF6"/>
    <w:rsid w:val="00D71FF9"/>
    <w:rsid w:val="00D72001"/>
    <w:rsid w:val="00D72013"/>
    <w:rsid w:val="00D7203B"/>
    <w:rsid w:val="00D72053"/>
    <w:rsid w:val="00D7208B"/>
    <w:rsid w:val="00D7216E"/>
    <w:rsid w:val="00D721EC"/>
    <w:rsid w:val="00D72355"/>
    <w:rsid w:val="00D723A1"/>
    <w:rsid w:val="00D723FF"/>
    <w:rsid w:val="00D7242E"/>
    <w:rsid w:val="00D72458"/>
    <w:rsid w:val="00D724A3"/>
    <w:rsid w:val="00D7253D"/>
    <w:rsid w:val="00D72544"/>
    <w:rsid w:val="00D7255E"/>
    <w:rsid w:val="00D72588"/>
    <w:rsid w:val="00D725C5"/>
    <w:rsid w:val="00D725F8"/>
    <w:rsid w:val="00D72609"/>
    <w:rsid w:val="00D72681"/>
    <w:rsid w:val="00D726B0"/>
    <w:rsid w:val="00D72707"/>
    <w:rsid w:val="00D7271B"/>
    <w:rsid w:val="00D72723"/>
    <w:rsid w:val="00D727C4"/>
    <w:rsid w:val="00D727F6"/>
    <w:rsid w:val="00D728B1"/>
    <w:rsid w:val="00D728CB"/>
    <w:rsid w:val="00D72960"/>
    <w:rsid w:val="00D729EC"/>
    <w:rsid w:val="00D72A0D"/>
    <w:rsid w:val="00D72A92"/>
    <w:rsid w:val="00D72B88"/>
    <w:rsid w:val="00D72C6B"/>
    <w:rsid w:val="00D72D3D"/>
    <w:rsid w:val="00D72D67"/>
    <w:rsid w:val="00D72D76"/>
    <w:rsid w:val="00D72D90"/>
    <w:rsid w:val="00D72DA5"/>
    <w:rsid w:val="00D72DD1"/>
    <w:rsid w:val="00D72E17"/>
    <w:rsid w:val="00D72EDF"/>
    <w:rsid w:val="00D72F27"/>
    <w:rsid w:val="00D7303E"/>
    <w:rsid w:val="00D73059"/>
    <w:rsid w:val="00D73064"/>
    <w:rsid w:val="00D73167"/>
    <w:rsid w:val="00D731BE"/>
    <w:rsid w:val="00D7324D"/>
    <w:rsid w:val="00D7327D"/>
    <w:rsid w:val="00D73295"/>
    <w:rsid w:val="00D732C8"/>
    <w:rsid w:val="00D7339D"/>
    <w:rsid w:val="00D733E8"/>
    <w:rsid w:val="00D73465"/>
    <w:rsid w:val="00D73481"/>
    <w:rsid w:val="00D734F9"/>
    <w:rsid w:val="00D7350A"/>
    <w:rsid w:val="00D73512"/>
    <w:rsid w:val="00D7351A"/>
    <w:rsid w:val="00D73585"/>
    <w:rsid w:val="00D7362A"/>
    <w:rsid w:val="00D736D5"/>
    <w:rsid w:val="00D7370B"/>
    <w:rsid w:val="00D7370D"/>
    <w:rsid w:val="00D737B4"/>
    <w:rsid w:val="00D73917"/>
    <w:rsid w:val="00D7399C"/>
    <w:rsid w:val="00D739DF"/>
    <w:rsid w:val="00D73A4D"/>
    <w:rsid w:val="00D73AD1"/>
    <w:rsid w:val="00D73AD8"/>
    <w:rsid w:val="00D73B9A"/>
    <w:rsid w:val="00D73BAD"/>
    <w:rsid w:val="00D73C05"/>
    <w:rsid w:val="00D73C3C"/>
    <w:rsid w:val="00D73C81"/>
    <w:rsid w:val="00D73CCE"/>
    <w:rsid w:val="00D73D1E"/>
    <w:rsid w:val="00D73D22"/>
    <w:rsid w:val="00D73DBC"/>
    <w:rsid w:val="00D73E20"/>
    <w:rsid w:val="00D73E37"/>
    <w:rsid w:val="00D73E9C"/>
    <w:rsid w:val="00D73F5E"/>
    <w:rsid w:val="00D73FAA"/>
    <w:rsid w:val="00D73FB3"/>
    <w:rsid w:val="00D73FD3"/>
    <w:rsid w:val="00D74023"/>
    <w:rsid w:val="00D7402F"/>
    <w:rsid w:val="00D7403A"/>
    <w:rsid w:val="00D74058"/>
    <w:rsid w:val="00D74132"/>
    <w:rsid w:val="00D74153"/>
    <w:rsid w:val="00D74189"/>
    <w:rsid w:val="00D741EE"/>
    <w:rsid w:val="00D7421A"/>
    <w:rsid w:val="00D7422D"/>
    <w:rsid w:val="00D742AE"/>
    <w:rsid w:val="00D74357"/>
    <w:rsid w:val="00D74369"/>
    <w:rsid w:val="00D74386"/>
    <w:rsid w:val="00D743C0"/>
    <w:rsid w:val="00D74417"/>
    <w:rsid w:val="00D74467"/>
    <w:rsid w:val="00D744B4"/>
    <w:rsid w:val="00D74502"/>
    <w:rsid w:val="00D74513"/>
    <w:rsid w:val="00D74514"/>
    <w:rsid w:val="00D74565"/>
    <w:rsid w:val="00D74567"/>
    <w:rsid w:val="00D745C6"/>
    <w:rsid w:val="00D745DA"/>
    <w:rsid w:val="00D74614"/>
    <w:rsid w:val="00D7462B"/>
    <w:rsid w:val="00D7467A"/>
    <w:rsid w:val="00D746EC"/>
    <w:rsid w:val="00D747EB"/>
    <w:rsid w:val="00D74857"/>
    <w:rsid w:val="00D74887"/>
    <w:rsid w:val="00D748A2"/>
    <w:rsid w:val="00D748BF"/>
    <w:rsid w:val="00D7490C"/>
    <w:rsid w:val="00D74992"/>
    <w:rsid w:val="00D74A0D"/>
    <w:rsid w:val="00D74A35"/>
    <w:rsid w:val="00D74A62"/>
    <w:rsid w:val="00D74ADA"/>
    <w:rsid w:val="00D74AF3"/>
    <w:rsid w:val="00D74B07"/>
    <w:rsid w:val="00D74B34"/>
    <w:rsid w:val="00D74B66"/>
    <w:rsid w:val="00D74B6B"/>
    <w:rsid w:val="00D74B8F"/>
    <w:rsid w:val="00D74B95"/>
    <w:rsid w:val="00D74B99"/>
    <w:rsid w:val="00D74BA8"/>
    <w:rsid w:val="00D74BEA"/>
    <w:rsid w:val="00D74C1B"/>
    <w:rsid w:val="00D74C53"/>
    <w:rsid w:val="00D74C64"/>
    <w:rsid w:val="00D74CBF"/>
    <w:rsid w:val="00D74D6D"/>
    <w:rsid w:val="00D74F66"/>
    <w:rsid w:val="00D74FCD"/>
    <w:rsid w:val="00D74FE8"/>
    <w:rsid w:val="00D75042"/>
    <w:rsid w:val="00D75056"/>
    <w:rsid w:val="00D75077"/>
    <w:rsid w:val="00D75084"/>
    <w:rsid w:val="00D75089"/>
    <w:rsid w:val="00D750AE"/>
    <w:rsid w:val="00D75175"/>
    <w:rsid w:val="00D75211"/>
    <w:rsid w:val="00D75227"/>
    <w:rsid w:val="00D7529D"/>
    <w:rsid w:val="00D752C2"/>
    <w:rsid w:val="00D75315"/>
    <w:rsid w:val="00D75340"/>
    <w:rsid w:val="00D75381"/>
    <w:rsid w:val="00D75419"/>
    <w:rsid w:val="00D75458"/>
    <w:rsid w:val="00D7547F"/>
    <w:rsid w:val="00D75516"/>
    <w:rsid w:val="00D75556"/>
    <w:rsid w:val="00D75609"/>
    <w:rsid w:val="00D756FC"/>
    <w:rsid w:val="00D75702"/>
    <w:rsid w:val="00D75746"/>
    <w:rsid w:val="00D7579F"/>
    <w:rsid w:val="00D7584C"/>
    <w:rsid w:val="00D7589F"/>
    <w:rsid w:val="00D75912"/>
    <w:rsid w:val="00D75934"/>
    <w:rsid w:val="00D75945"/>
    <w:rsid w:val="00D759F6"/>
    <w:rsid w:val="00D75AE8"/>
    <w:rsid w:val="00D75AF9"/>
    <w:rsid w:val="00D75B1C"/>
    <w:rsid w:val="00D75BFE"/>
    <w:rsid w:val="00D75C74"/>
    <w:rsid w:val="00D75CFB"/>
    <w:rsid w:val="00D75D56"/>
    <w:rsid w:val="00D75D6B"/>
    <w:rsid w:val="00D75D8D"/>
    <w:rsid w:val="00D75D96"/>
    <w:rsid w:val="00D75E08"/>
    <w:rsid w:val="00D75E0C"/>
    <w:rsid w:val="00D75E1E"/>
    <w:rsid w:val="00D75E2B"/>
    <w:rsid w:val="00D75E40"/>
    <w:rsid w:val="00D75E49"/>
    <w:rsid w:val="00D75EB7"/>
    <w:rsid w:val="00D76004"/>
    <w:rsid w:val="00D7600C"/>
    <w:rsid w:val="00D7603D"/>
    <w:rsid w:val="00D760D2"/>
    <w:rsid w:val="00D760D8"/>
    <w:rsid w:val="00D7610E"/>
    <w:rsid w:val="00D7616D"/>
    <w:rsid w:val="00D761B4"/>
    <w:rsid w:val="00D761CC"/>
    <w:rsid w:val="00D76225"/>
    <w:rsid w:val="00D76253"/>
    <w:rsid w:val="00D7628B"/>
    <w:rsid w:val="00D762D1"/>
    <w:rsid w:val="00D762DD"/>
    <w:rsid w:val="00D762F1"/>
    <w:rsid w:val="00D76301"/>
    <w:rsid w:val="00D76308"/>
    <w:rsid w:val="00D7630E"/>
    <w:rsid w:val="00D76354"/>
    <w:rsid w:val="00D76367"/>
    <w:rsid w:val="00D7639D"/>
    <w:rsid w:val="00D763F2"/>
    <w:rsid w:val="00D76456"/>
    <w:rsid w:val="00D764F9"/>
    <w:rsid w:val="00D765D1"/>
    <w:rsid w:val="00D7662A"/>
    <w:rsid w:val="00D76675"/>
    <w:rsid w:val="00D766AE"/>
    <w:rsid w:val="00D76753"/>
    <w:rsid w:val="00D76A35"/>
    <w:rsid w:val="00D76A8B"/>
    <w:rsid w:val="00D76AAE"/>
    <w:rsid w:val="00D76B8B"/>
    <w:rsid w:val="00D76BBA"/>
    <w:rsid w:val="00D76C5A"/>
    <w:rsid w:val="00D76CBC"/>
    <w:rsid w:val="00D76D12"/>
    <w:rsid w:val="00D76D41"/>
    <w:rsid w:val="00D76D59"/>
    <w:rsid w:val="00D76D77"/>
    <w:rsid w:val="00D76D9F"/>
    <w:rsid w:val="00D76DC9"/>
    <w:rsid w:val="00D76E24"/>
    <w:rsid w:val="00D76E33"/>
    <w:rsid w:val="00D76E42"/>
    <w:rsid w:val="00D76F28"/>
    <w:rsid w:val="00D76F3A"/>
    <w:rsid w:val="00D76F42"/>
    <w:rsid w:val="00D76F69"/>
    <w:rsid w:val="00D76FA7"/>
    <w:rsid w:val="00D76FA9"/>
    <w:rsid w:val="00D76FC2"/>
    <w:rsid w:val="00D7701B"/>
    <w:rsid w:val="00D77031"/>
    <w:rsid w:val="00D7705C"/>
    <w:rsid w:val="00D770BD"/>
    <w:rsid w:val="00D77161"/>
    <w:rsid w:val="00D77203"/>
    <w:rsid w:val="00D7720F"/>
    <w:rsid w:val="00D7728D"/>
    <w:rsid w:val="00D772A4"/>
    <w:rsid w:val="00D772C7"/>
    <w:rsid w:val="00D772C8"/>
    <w:rsid w:val="00D773C3"/>
    <w:rsid w:val="00D773CE"/>
    <w:rsid w:val="00D77466"/>
    <w:rsid w:val="00D7747E"/>
    <w:rsid w:val="00D7749E"/>
    <w:rsid w:val="00D774D9"/>
    <w:rsid w:val="00D775EB"/>
    <w:rsid w:val="00D77671"/>
    <w:rsid w:val="00D776B9"/>
    <w:rsid w:val="00D776E4"/>
    <w:rsid w:val="00D77702"/>
    <w:rsid w:val="00D77713"/>
    <w:rsid w:val="00D7771D"/>
    <w:rsid w:val="00D7788F"/>
    <w:rsid w:val="00D7795B"/>
    <w:rsid w:val="00D7797E"/>
    <w:rsid w:val="00D77994"/>
    <w:rsid w:val="00D77996"/>
    <w:rsid w:val="00D7799C"/>
    <w:rsid w:val="00D779B1"/>
    <w:rsid w:val="00D77AD0"/>
    <w:rsid w:val="00D77B29"/>
    <w:rsid w:val="00D77BE6"/>
    <w:rsid w:val="00D77BFC"/>
    <w:rsid w:val="00D77C31"/>
    <w:rsid w:val="00D77D0F"/>
    <w:rsid w:val="00D77D88"/>
    <w:rsid w:val="00D77DDC"/>
    <w:rsid w:val="00D77E0F"/>
    <w:rsid w:val="00D77E40"/>
    <w:rsid w:val="00D77E62"/>
    <w:rsid w:val="00D77E65"/>
    <w:rsid w:val="00D77E77"/>
    <w:rsid w:val="00D77ED8"/>
    <w:rsid w:val="00D77EEC"/>
    <w:rsid w:val="00D77F19"/>
    <w:rsid w:val="00D80022"/>
    <w:rsid w:val="00D8003A"/>
    <w:rsid w:val="00D80093"/>
    <w:rsid w:val="00D800A6"/>
    <w:rsid w:val="00D8018B"/>
    <w:rsid w:val="00D801BE"/>
    <w:rsid w:val="00D8029F"/>
    <w:rsid w:val="00D802CB"/>
    <w:rsid w:val="00D8034D"/>
    <w:rsid w:val="00D80374"/>
    <w:rsid w:val="00D80495"/>
    <w:rsid w:val="00D80512"/>
    <w:rsid w:val="00D80582"/>
    <w:rsid w:val="00D805C0"/>
    <w:rsid w:val="00D80669"/>
    <w:rsid w:val="00D8068D"/>
    <w:rsid w:val="00D80714"/>
    <w:rsid w:val="00D8071D"/>
    <w:rsid w:val="00D8078D"/>
    <w:rsid w:val="00D807C6"/>
    <w:rsid w:val="00D807CB"/>
    <w:rsid w:val="00D80931"/>
    <w:rsid w:val="00D809D5"/>
    <w:rsid w:val="00D809E6"/>
    <w:rsid w:val="00D80AF6"/>
    <w:rsid w:val="00D80B28"/>
    <w:rsid w:val="00D80BFD"/>
    <w:rsid w:val="00D80C0A"/>
    <w:rsid w:val="00D80C71"/>
    <w:rsid w:val="00D80C9E"/>
    <w:rsid w:val="00D80D95"/>
    <w:rsid w:val="00D80D96"/>
    <w:rsid w:val="00D80DB0"/>
    <w:rsid w:val="00D80E11"/>
    <w:rsid w:val="00D80E6A"/>
    <w:rsid w:val="00D80E7F"/>
    <w:rsid w:val="00D80F33"/>
    <w:rsid w:val="00D80F6F"/>
    <w:rsid w:val="00D81060"/>
    <w:rsid w:val="00D810E3"/>
    <w:rsid w:val="00D81229"/>
    <w:rsid w:val="00D8123B"/>
    <w:rsid w:val="00D812F4"/>
    <w:rsid w:val="00D813A0"/>
    <w:rsid w:val="00D81417"/>
    <w:rsid w:val="00D8143E"/>
    <w:rsid w:val="00D8147C"/>
    <w:rsid w:val="00D81484"/>
    <w:rsid w:val="00D8149F"/>
    <w:rsid w:val="00D814BA"/>
    <w:rsid w:val="00D814C4"/>
    <w:rsid w:val="00D814E1"/>
    <w:rsid w:val="00D8151D"/>
    <w:rsid w:val="00D81597"/>
    <w:rsid w:val="00D8166D"/>
    <w:rsid w:val="00D81709"/>
    <w:rsid w:val="00D8172B"/>
    <w:rsid w:val="00D81746"/>
    <w:rsid w:val="00D8174D"/>
    <w:rsid w:val="00D81766"/>
    <w:rsid w:val="00D81786"/>
    <w:rsid w:val="00D8179A"/>
    <w:rsid w:val="00D817A4"/>
    <w:rsid w:val="00D817EE"/>
    <w:rsid w:val="00D81838"/>
    <w:rsid w:val="00D81861"/>
    <w:rsid w:val="00D818A4"/>
    <w:rsid w:val="00D8194A"/>
    <w:rsid w:val="00D81950"/>
    <w:rsid w:val="00D81951"/>
    <w:rsid w:val="00D8195D"/>
    <w:rsid w:val="00D81A1A"/>
    <w:rsid w:val="00D81A22"/>
    <w:rsid w:val="00D81A27"/>
    <w:rsid w:val="00D81A8B"/>
    <w:rsid w:val="00D81A99"/>
    <w:rsid w:val="00D81AB3"/>
    <w:rsid w:val="00D81B25"/>
    <w:rsid w:val="00D81BCD"/>
    <w:rsid w:val="00D81BD4"/>
    <w:rsid w:val="00D81C07"/>
    <w:rsid w:val="00D81C6A"/>
    <w:rsid w:val="00D81C70"/>
    <w:rsid w:val="00D81CCD"/>
    <w:rsid w:val="00D81DC5"/>
    <w:rsid w:val="00D81DED"/>
    <w:rsid w:val="00D81DF9"/>
    <w:rsid w:val="00D81E83"/>
    <w:rsid w:val="00D81F4D"/>
    <w:rsid w:val="00D81F7A"/>
    <w:rsid w:val="00D82171"/>
    <w:rsid w:val="00D8222B"/>
    <w:rsid w:val="00D82305"/>
    <w:rsid w:val="00D8240F"/>
    <w:rsid w:val="00D824CE"/>
    <w:rsid w:val="00D8254B"/>
    <w:rsid w:val="00D825DB"/>
    <w:rsid w:val="00D82689"/>
    <w:rsid w:val="00D8269A"/>
    <w:rsid w:val="00D82732"/>
    <w:rsid w:val="00D82774"/>
    <w:rsid w:val="00D82791"/>
    <w:rsid w:val="00D827B8"/>
    <w:rsid w:val="00D8288D"/>
    <w:rsid w:val="00D82892"/>
    <w:rsid w:val="00D828DD"/>
    <w:rsid w:val="00D828E8"/>
    <w:rsid w:val="00D8292E"/>
    <w:rsid w:val="00D82A01"/>
    <w:rsid w:val="00D82A11"/>
    <w:rsid w:val="00D82C24"/>
    <w:rsid w:val="00D82C41"/>
    <w:rsid w:val="00D82C92"/>
    <w:rsid w:val="00D82D75"/>
    <w:rsid w:val="00D82DCA"/>
    <w:rsid w:val="00D82DD8"/>
    <w:rsid w:val="00D82DE2"/>
    <w:rsid w:val="00D82E29"/>
    <w:rsid w:val="00D82E5D"/>
    <w:rsid w:val="00D82E8E"/>
    <w:rsid w:val="00D82EA2"/>
    <w:rsid w:val="00D82EC4"/>
    <w:rsid w:val="00D82F93"/>
    <w:rsid w:val="00D83019"/>
    <w:rsid w:val="00D83096"/>
    <w:rsid w:val="00D830AC"/>
    <w:rsid w:val="00D83125"/>
    <w:rsid w:val="00D83175"/>
    <w:rsid w:val="00D831A5"/>
    <w:rsid w:val="00D831C5"/>
    <w:rsid w:val="00D831D2"/>
    <w:rsid w:val="00D831EC"/>
    <w:rsid w:val="00D8326D"/>
    <w:rsid w:val="00D83307"/>
    <w:rsid w:val="00D8332A"/>
    <w:rsid w:val="00D83345"/>
    <w:rsid w:val="00D8334F"/>
    <w:rsid w:val="00D83377"/>
    <w:rsid w:val="00D83391"/>
    <w:rsid w:val="00D8340E"/>
    <w:rsid w:val="00D83419"/>
    <w:rsid w:val="00D8348A"/>
    <w:rsid w:val="00D834A1"/>
    <w:rsid w:val="00D83603"/>
    <w:rsid w:val="00D83615"/>
    <w:rsid w:val="00D83671"/>
    <w:rsid w:val="00D836EC"/>
    <w:rsid w:val="00D8377C"/>
    <w:rsid w:val="00D837B4"/>
    <w:rsid w:val="00D83849"/>
    <w:rsid w:val="00D83851"/>
    <w:rsid w:val="00D8390A"/>
    <w:rsid w:val="00D83A0A"/>
    <w:rsid w:val="00D83A33"/>
    <w:rsid w:val="00D83A6A"/>
    <w:rsid w:val="00D83A96"/>
    <w:rsid w:val="00D83B39"/>
    <w:rsid w:val="00D83B73"/>
    <w:rsid w:val="00D83BBA"/>
    <w:rsid w:val="00D83BE6"/>
    <w:rsid w:val="00D83C53"/>
    <w:rsid w:val="00D83C85"/>
    <w:rsid w:val="00D83CE5"/>
    <w:rsid w:val="00D83D15"/>
    <w:rsid w:val="00D83DAD"/>
    <w:rsid w:val="00D83DE8"/>
    <w:rsid w:val="00D83DEC"/>
    <w:rsid w:val="00D83E89"/>
    <w:rsid w:val="00D83EA4"/>
    <w:rsid w:val="00D83EAD"/>
    <w:rsid w:val="00D83ED6"/>
    <w:rsid w:val="00D83FC1"/>
    <w:rsid w:val="00D83FD5"/>
    <w:rsid w:val="00D84023"/>
    <w:rsid w:val="00D84093"/>
    <w:rsid w:val="00D840E3"/>
    <w:rsid w:val="00D84161"/>
    <w:rsid w:val="00D84185"/>
    <w:rsid w:val="00D841E2"/>
    <w:rsid w:val="00D84200"/>
    <w:rsid w:val="00D8444B"/>
    <w:rsid w:val="00D8444F"/>
    <w:rsid w:val="00D84458"/>
    <w:rsid w:val="00D8447B"/>
    <w:rsid w:val="00D845DE"/>
    <w:rsid w:val="00D845E8"/>
    <w:rsid w:val="00D845EA"/>
    <w:rsid w:val="00D84610"/>
    <w:rsid w:val="00D8462A"/>
    <w:rsid w:val="00D846B7"/>
    <w:rsid w:val="00D846C8"/>
    <w:rsid w:val="00D846F8"/>
    <w:rsid w:val="00D84701"/>
    <w:rsid w:val="00D8474D"/>
    <w:rsid w:val="00D847E4"/>
    <w:rsid w:val="00D84956"/>
    <w:rsid w:val="00D849B5"/>
    <w:rsid w:val="00D849C8"/>
    <w:rsid w:val="00D84A5A"/>
    <w:rsid w:val="00D84A84"/>
    <w:rsid w:val="00D84AD4"/>
    <w:rsid w:val="00D84B35"/>
    <w:rsid w:val="00D84BA2"/>
    <w:rsid w:val="00D84BB0"/>
    <w:rsid w:val="00D84BF9"/>
    <w:rsid w:val="00D84C20"/>
    <w:rsid w:val="00D84C26"/>
    <w:rsid w:val="00D84C79"/>
    <w:rsid w:val="00D84CB9"/>
    <w:rsid w:val="00D84CFB"/>
    <w:rsid w:val="00D84D75"/>
    <w:rsid w:val="00D84D87"/>
    <w:rsid w:val="00D84DDC"/>
    <w:rsid w:val="00D84E1B"/>
    <w:rsid w:val="00D84E87"/>
    <w:rsid w:val="00D84F0C"/>
    <w:rsid w:val="00D84F1C"/>
    <w:rsid w:val="00D84F71"/>
    <w:rsid w:val="00D84FDB"/>
    <w:rsid w:val="00D84FEB"/>
    <w:rsid w:val="00D8502F"/>
    <w:rsid w:val="00D85036"/>
    <w:rsid w:val="00D85044"/>
    <w:rsid w:val="00D8506A"/>
    <w:rsid w:val="00D850D1"/>
    <w:rsid w:val="00D8512A"/>
    <w:rsid w:val="00D85139"/>
    <w:rsid w:val="00D85165"/>
    <w:rsid w:val="00D8521E"/>
    <w:rsid w:val="00D85251"/>
    <w:rsid w:val="00D852CD"/>
    <w:rsid w:val="00D852E9"/>
    <w:rsid w:val="00D8532C"/>
    <w:rsid w:val="00D85386"/>
    <w:rsid w:val="00D8539E"/>
    <w:rsid w:val="00D85404"/>
    <w:rsid w:val="00D85499"/>
    <w:rsid w:val="00D85502"/>
    <w:rsid w:val="00D85508"/>
    <w:rsid w:val="00D8557C"/>
    <w:rsid w:val="00D85592"/>
    <w:rsid w:val="00D855A6"/>
    <w:rsid w:val="00D855F8"/>
    <w:rsid w:val="00D8563B"/>
    <w:rsid w:val="00D8573A"/>
    <w:rsid w:val="00D857A9"/>
    <w:rsid w:val="00D8582B"/>
    <w:rsid w:val="00D8589B"/>
    <w:rsid w:val="00D858D3"/>
    <w:rsid w:val="00D85A64"/>
    <w:rsid w:val="00D85AA4"/>
    <w:rsid w:val="00D85B07"/>
    <w:rsid w:val="00D85B53"/>
    <w:rsid w:val="00D85B86"/>
    <w:rsid w:val="00D85D29"/>
    <w:rsid w:val="00D85E08"/>
    <w:rsid w:val="00D85E31"/>
    <w:rsid w:val="00D85EA6"/>
    <w:rsid w:val="00D85FA9"/>
    <w:rsid w:val="00D85FC5"/>
    <w:rsid w:val="00D85FDA"/>
    <w:rsid w:val="00D85FF3"/>
    <w:rsid w:val="00D86009"/>
    <w:rsid w:val="00D8605A"/>
    <w:rsid w:val="00D860CD"/>
    <w:rsid w:val="00D860DD"/>
    <w:rsid w:val="00D860EB"/>
    <w:rsid w:val="00D8619F"/>
    <w:rsid w:val="00D8623A"/>
    <w:rsid w:val="00D86290"/>
    <w:rsid w:val="00D862BA"/>
    <w:rsid w:val="00D863A9"/>
    <w:rsid w:val="00D863F5"/>
    <w:rsid w:val="00D864BD"/>
    <w:rsid w:val="00D864F8"/>
    <w:rsid w:val="00D864FA"/>
    <w:rsid w:val="00D86513"/>
    <w:rsid w:val="00D86555"/>
    <w:rsid w:val="00D86645"/>
    <w:rsid w:val="00D86673"/>
    <w:rsid w:val="00D866A8"/>
    <w:rsid w:val="00D866C1"/>
    <w:rsid w:val="00D86732"/>
    <w:rsid w:val="00D8675B"/>
    <w:rsid w:val="00D867A2"/>
    <w:rsid w:val="00D867F5"/>
    <w:rsid w:val="00D86835"/>
    <w:rsid w:val="00D868B7"/>
    <w:rsid w:val="00D86906"/>
    <w:rsid w:val="00D8690D"/>
    <w:rsid w:val="00D86911"/>
    <w:rsid w:val="00D86A37"/>
    <w:rsid w:val="00D86AE1"/>
    <w:rsid w:val="00D86B8B"/>
    <w:rsid w:val="00D86C1F"/>
    <w:rsid w:val="00D86C49"/>
    <w:rsid w:val="00D86C8A"/>
    <w:rsid w:val="00D86CD2"/>
    <w:rsid w:val="00D86D36"/>
    <w:rsid w:val="00D86D3C"/>
    <w:rsid w:val="00D86D64"/>
    <w:rsid w:val="00D86DF4"/>
    <w:rsid w:val="00D86E0F"/>
    <w:rsid w:val="00D86EFA"/>
    <w:rsid w:val="00D86F33"/>
    <w:rsid w:val="00D86FB2"/>
    <w:rsid w:val="00D87084"/>
    <w:rsid w:val="00D87165"/>
    <w:rsid w:val="00D87173"/>
    <w:rsid w:val="00D871E5"/>
    <w:rsid w:val="00D871EE"/>
    <w:rsid w:val="00D871F5"/>
    <w:rsid w:val="00D8720A"/>
    <w:rsid w:val="00D87218"/>
    <w:rsid w:val="00D87241"/>
    <w:rsid w:val="00D8725D"/>
    <w:rsid w:val="00D87263"/>
    <w:rsid w:val="00D872AB"/>
    <w:rsid w:val="00D872F3"/>
    <w:rsid w:val="00D87315"/>
    <w:rsid w:val="00D8736E"/>
    <w:rsid w:val="00D87404"/>
    <w:rsid w:val="00D874A2"/>
    <w:rsid w:val="00D874A9"/>
    <w:rsid w:val="00D874C4"/>
    <w:rsid w:val="00D87533"/>
    <w:rsid w:val="00D87535"/>
    <w:rsid w:val="00D87568"/>
    <w:rsid w:val="00D8767B"/>
    <w:rsid w:val="00D876F2"/>
    <w:rsid w:val="00D8772F"/>
    <w:rsid w:val="00D87748"/>
    <w:rsid w:val="00D87769"/>
    <w:rsid w:val="00D87795"/>
    <w:rsid w:val="00D877D8"/>
    <w:rsid w:val="00D8790A"/>
    <w:rsid w:val="00D87965"/>
    <w:rsid w:val="00D879A2"/>
    <w:rsid w:val="00D87A16"/>
    <w:rsid w:val="00D87A28"/>
    <w:rsid w:val="00D87A78"/>
    <w:rsid w:val="00D87B44"/>
    <w:rsid w:val="00D87BDD"/>
    <w:rsid w:val="00D87C43"/>
    <w:rsid w:val="00D87C6D"/>
    <w:rsid w:val="00D87CB1"/>
    <w:rsid w:val="00D87CD2"/>
    <w:rsid w:val="00D87D7B"/>
    <w:rsid w:val="00D87D91"/>
    <w:rsid w:val="00D87DA0"/>
    <w:rsid w:val="00D87DA9"/>
    <w:rsid w:val="00D87E7C"/>
    <w:rsid w:val="00D87EA5"/>
    <w:rsid w:val="00D87F20"/>
    <w:rsid w:val="00D87F32"/>
    <w:rsid w:val="00D87F3B"/>
    <w:rsid w:val="00D87F4E"/>
    <w:rsid w:val="00D87F65"/>
    <w:rsid w:val="00D90082"/>
    <w:rsid w:val="00D90085"/>
    <w:rsid w:val="00D900C2"/>
    <w:rsid w:val="00D900DF"/>
    <w:rsid w:val="00D90160"/>
    <w:rsid w:val="00D901E3"/>
    <w:rsid w:val="00D901EC"/>
    <w:rsid w:val="00D9020F"/>
    <w:rsid w:val="00D90274"/>
    <w:rsid w:val="00D90386"/>
    <w:rsid w:val="00D90443"/>
    <w:rsid w:val="00D9048E"/>
    <w:rsid w:val="00D90599"/>
    <w:rsid w:val="00D90660"/>
    <w:rsid w:val="00D906CB"/>
    <w:rsid w:val="00D906D2"/>
    <w:rsid w:val="00D9078B"/>
    <w:rsid w:val="00D907B4"/>
    <w:rsid w:val="00D909CE"/>
    <w:rsid w:val="00D909E4"/>
    <w:rsid w:val="00D90A5E"/>
    <w:rsid w:val="00D90B66"/>
    <w:rsid w:val="00D90B70"/>
    <w:rsid w:val="00D90BEA"/>
    <w:rsid w:val="00D90C17"/>
    <w:rsid w:val="00D90C4A"/>
    <w:rsid w:val="00D90C5D"/>
    <w:rsid w:val="00D90C7D"/>
    <w:rsid w:val="00D90C8C"/>
    <w:rsid w:val="00D90E7D"/>
    <w:rsid w:val="00D90E7E"/>
    <w:rsid w:val="00D90F15"/>
    <w:rsid w:val="00D90F4C"/>
    <w:rsid w:val="00D90FEB"/>
    <w:rsid w:val="00D9100F"/>
    <w:rsid w:val="00D91020"/>
    <w:rsid w:val="00D9108C"/>
    <w:rsid w:val="00D91098"/>
    <w:rsid w:val="00D910C9"/>
    <w:rsid w:val="00D910EE"/>
    <w:rsid w:val="00D91100"/>
    <w:rsid w:val="00D91136"/>
    <w:rsid w:val="00D91166"/>
    <w:rsid w:val="00D9117D"/>
    <w:rsid w:val="00D911ED"/>
    <w:rsid w:val="00D91200"/>
    <w:rsid w:val="00D91277"/>
    <w:rsid w:val="00D912C7"/>
    <w:rsid w:val="00D912DB"/>
    <w:rsid w:val="00D91390"/>
    <w:rsid w:val="00D9143D"/>
    <w:rsid w:val="00D91483"/>
    <w:rsid w:val="00D91559"/>
    <w:rsid w:val="00D9155E"/>
    <w:rsid w:val="00D91665"/>
    <w:rsid w:val="00D9168B"/>
    <w:rsid w:val="00D91695"/>
    <w:rsid w:val="00D916CE"/>
    <w:rsid w:val="00D91762"/>
    <w:rsid w:val="00D9178B"/>
    <w:rsid w:val="00D9182F"/>
    <w:rsid w:val="00D9185F"/>
    <w:rsid w:val="00D918BE"/>
    <w:rsid w:val="00D918CF"/>
    <w:rsid w:val="00D91998"/>
    <w:rsid w:val="00D9199F"/>
    <w:rsid w:val="00D919AD"/>
    <w:rsid w:val="00D919BB"/>
    <w:rsid w:val="00D919FC"/>
    <w:rsid w:val="00D91AF1"/>
    <w:rsid w:val="00D91AF8"/>
    <w:rsid w:val="00D91B40"/>
    <w:rsid w:val="00D91C85"/>
    <w:rsid w:val="00D91CC2"/>
    <w:rsid w:val="00D91CD3"/>
    <w:rsid w:val="00D91D47"/>
    <w:rsid w:val="00D91D74"/>
    <w:rsid w:val="00D91DC9"/>
    <w:rsid w:val="00D91E49"/>
    <w:rsid w:val="00D91EBA"/>
    <w:rsid w:val="00D91ED2"/>
    <w:rsid w:val="00D91F1A"/>
    <w:rsid w:val="00D91FD1"/>
    <w:rsid w:val="00D92031"/>
    <w:rsid w:val="00D92063"/>
    <w:rsid w:val="00D920C1"/>
    <w:rsid w:val="00D920D7"/>
    <w:rsid w:val="00D9211F"/>
    <w:rsid w:val="00D92175"/>
    <w:rsid w:val="00D921F7"/>
    <w:rsid w:val="00D92200"/>
    <w:rsid w:val="00D92209"/>
    <w:rsid w:val="00D92234"/>
    <w:rsid w:val="00D92245"/>
    <w:rsid w:val="00D9230F"/>
    <w:rsid w:val="00D92311"/>
    <w:rsid w:val="00D92424"/>
    <w:rsid w:val="00D92456"/>
    <w:rsid w:val="00D9245C"/>
    <w:rsid w:val="00D924C3"/>
    <w:rsid w:val="00D924EE"/>
    <w:rsid w:val="00D92537"/>
    <w:rsid w:val="00D9254E"/>
    <w:rsid w:val="00D9255E"/>
    <w:rsid w:val="00D92673"/>
    <w:rsid w:val="00D9267A"/>
    <w:rsid w:val="00D9267F"/>
    <w:rsid w:val="00D92692"/>
    <w:rsid w:val="00D926BB"/>
    <w:rsid w:val="00D926D9"/>
    <w:rsid w:val="00D92731"/>
    <w:rsid w:val="00D927CE"/>
    <w:rsid w:val="00D9282E"/>
    <w:rsid w:val="00D92862"/>
    <w:rsid w:val="00D9288E"/>
    <w:rsid w:val="00D9291A"/>
    <w:rsid w:val="00D9293E"/>
    <w:rsid w:val="00D929C7"/>
    <w:rsid w:val="00D92A04"/>
    <w:rsid w:val="00D92A5D"/>
    <w:rsid w:val="00D92A6E"/>
    <w:rsid w:val="00D92BE9"/>
    <w:rsid w:val="00D92C66"/>
    <w:rsid w:val="00D92C6F"/>
    <w:rsid w:val="00D92D41"/>
    <w:rsid w:val="00D92DA4"/>
    <w:rsid w:val="00D92E02"/>
    <w:rsid w:val="00D92F66"/>
    <w:rsid w:val="00D92F95"/>
    <w:rsid w:val="00D93007"/>
    <w:rsid w:val="00D930C6"/>
    <w:rsid w:val="00D93111"/>
    <w:rsid w:val="00D93114"/>
    <w:rsid w:val="00D9312D"/>
    <w:rsid w:val="00D93166"/>
    <w:rsid w:val="00D931B5"/>
    <w:rsid w:val="00D931D9"/>
    <w:rsid w:val="00D931F2"/>
    <w:rsid w:val="00D93212"/>
    <w:rsid w:val="00D93256"/>
    <w:rsid w:val="00D93468"/>
    <w:rsid w:val="00D934E7"/>
    <w:rsid w:val="00D93588"/>
    <w:rsid w:val="00D936B4"/>
    <w:rsid w:val="00D93747"/>
    <w:rsid w:val="00D93766"/>
    <w:rsid w:val="00D93772"/>
    <w:rsid w:val="00D93845"/>
    <w:rsid w:val="00D9386D"/>
    <w:rsid w:val="00D9387B"/>
    <w:rsid w:val="00D938C2"/>
    <w:rsid w:val="00D938E3"/>
    <w:rsid w:val="00D938F9"/>
    <w:rsid w:val="00D9392C"/>
    <w:rsid w:val="00D9398E"/>
    <w:rsid w:val="00D939CB"/>
    <w:rsid w:val="00D939D7"/>
    <w:rsid w:val="00D93A32"/>
    <w:rsid w:val="00D93B23"/>
    <w:rsid w:val="00D93B3D"/>
    <w:rsid w:val="00D93B74"/>
    <w:rsid w:val="00D93B80"/>
    <w:rsid w:val="00D93B9D"/>
    <w:rsid w:val="00D93BA8"/>
    <w:rsid w:val="00D93C75"/>
    <w:rsid w:val="00D93D43"/>
    <w:rsid w:val="00D93D70"/>
    <w:rsid w:val="00D93DA4"/>
    <w:rsid w:val="00D93DBE"/>
    <w:rsid w:val="00D93DC9"/>
    <w:rsid w:val="00D93E01"/>
    <w:rsid w:val="00D93E70"/>
    <w:rsid w:val="00D93EA0"/>
    <w:rsid w:val="00D93ED8"/>
    <w:rsid w:val="00D93F02"/>
    <w:rsid w:val="00D93F66"/>
    <w:rsid w:val="00D9403B"/>
    <w:rsid w:val="00D94058"/>
    <w:rsid w:val="00D94253"/>
    <w:rsid w:val="00D94283"/>
    <w:rsid w:val="00D942DD"/>
    <w:rsid w:val="00D94354"/>
    <w:rsid w:val="00D94393"/>
    <w:rsid w:val="00D943E1"/>
    <w:rsid w:val="00D944B4"/>
    <w:rsid w:val="00D9450F"/>
    <w:rsid w:val="00D9451C"/>
    <w:rsid w:val="00D94520"/>
    <w:rsid w:val="00D94564"/>
    <w:rsid w:val="00D945DB"/>
    <w:rsid w:val="00D945F3"/>
    <w:rsid w:val="00D945F9"/>
    <w:rsid w:val="00D9461F"/>
    <w:rsid w:val="00D94656"/>
    <w:rsid w:val="00D946A0"/>
    <w:rsid w:val="00D946CF"/>
    <w:rsid w:val="00D946EE"/>
    <w:rsid w:val="00D9475D"/>
    <w:rsid w:val="00D94764"/>
    <w:rsid w:val="00D947D0"/>
    <w:rsid w:val="00D94843"/>
    <w:rsid w:val="00D948AA"/>
    <w:rsid w:val="00D948AD"/>
    <w:rsid w:val="00D9499A"/>
    <w:rsid w:val="00D949E5"/>
    <w:rsid w:val="00D94A4C"/>
    <w:rsid w:val="00D94B32"/>
    <w:rsid w:val="00D94B51"/>
    <w:rsid w:val="00D94B6B"/>
    <w:rsid w:val="00D94B74"/>
    <w:rsid w:val="00D94BE7"/>
    <w:rsid w:val="00D94BF6"/>
    <w:rsid w:val="00D94C9D"/>
    <w:rsid w:val="00D94CD6"/>
    <w:rsid w:val="00D94D48"/>
    <w:rsid w:val="00D94D64"/>
    <w:rsid w:val="00D94D78"/>
    <w:rsid w:val="00D94D88"/>
    <w:rsid w:val="00D94E04"/>
    <w:rsid w:val="00D94E1C"/>
    <w:rsid w:val="00D94E30"/>
    <w:rsid w:val="00D94E35"/>
    <w:rsid w:val="00D94ED6"/>
    <w:rsid w:val="00D94F27"/>
    <w:rsid w:val="00D94F57"/>
    <w:rsid w:val="00D94FA2"/>
    <w:rsid w:val="00D94FEF"/>
    <w:rsid w:val="00D95028"/>
    <w:rsid w:val="00D95072"/>
    <w:rsid w:val="00D95105"/>
    <w:rsid w:val="00D95116"/>
    <w:rsid w:val="00D95172"/>
    <w:rsid w:val="00D95245"/>
    <w:rsid w:val="00D95286"/>
    <w:rsid w:val="00D95509"/>
    <w:rsid w:val="00D95526"/>
    <w:rsid w:val="00D95574"/>
    <w:rsid w:val="00D9561B"/>
    <w:rsid w:val="00D95789"/>
    <w:rsid w:val="00D957B7"/>
    <w:rsid w:val="00D957C5"/>
    <w:rsid w:val="00D95803"/>
    <w:rsid w:val="00D95833"/>
    <w:rsid w:val="00D958F7"/>
    <w:rsid w:val="00D95919"/>
    <w:rsid w:val="00D95946"/>
    <w:rsid w:val="00D95968"/>
    <w:rsid w:val="00D95970"/>
    <w:rsid w:val="00D959CE"/>
    <w:rsid w:val="00D95A02"/>
    <w:rsid w:val="00D95A47"/>
    <w:rsid w:val="00D95B6D"/>
    <w:rsid w:val="00D95C07"/>
    <w:rsid w:val="00D95C0C"/>
    <w:rsid w:val="00D95CE1"/>
    <w:rsid w:val="00D95D8D"/>
    <w:rsid w:val="00D95DB2"/>
    <w:rsid w:val="00D95DF4"/>
    <w:rsid w:val="00D95E14"/>
    <w:rsid w:val="00D95E4B"/>
    <w:rsid w:val="00D95E8A"/>
    <w:rsid w:val="00D95EAA"/>
    <w:rsid w:val="00D95EB9"/>
    <w:rsid w:val="00D95F35"/>
    <w:rsid w:val="00D95F3B"/>
    <w:rsid w:val="00D95F46"/>
    <w:rsid w:val="00D96001"/>
    <w:rsid w:val="00D96063"/>
    <w:rsid w:val="00D960AC"/>
    <w:rsid w:val="00D960C6"/>
    <w:rsid w:val="00D960F6"/>
    <w:rsid w:val="00D96138"/>
    <w:rsid w:val="00D96185"/>
    <w:rsid w:val="00D961B4"/>
    <w:rsid w:val="00D961C6"/>
    <w:rsid w:val="00D961F8"/>
    <w:rsid w:val="00D96207"/>
    <w:rsid w:val="00D96265"/>
    <w:rsid w:val="00D962FA"/>
    <w:rsid w:val="00D96305"/>
    <w:rsid w:val="00D96315"/>
    <w:rsid w:val="00D9634C"/>
    <w:rsid w:val="00D96387"/>
    <w:rsid w:val="00D9639E"/>
    <w:rsid w:val="00D963E0"/>
    <w:rsid w:val="00D964C7"/>
    <w:rsid w:val="00D964D4"/>
    <w:rsid w:val="00D964E7"/>
    <w:rsid w:val="00D9652B"/>
    <w:rsid w:val="00D965AD"/>
    <w:rsid w:val="00D965D2"/>
    <w:rsid w:val="00D966AD"/>
    <w:rsid w:val="00D966C0"/>
    <w:rsid w:val="00D967A2"/>
    <w:rsid w:val="00D967AD"/>
    <w:rsid w:val="00D96814"/>
    <w:rsid w:val="00D96875"/>
    <w:rsid w:val="00D968B4"/>
    <w:rsid w:val="00D9694E"/>
    <w:rsid w:val="00D9698C"/>
    <w:rsid w:val="00D9699E"/>
    <w:rsid w:val="00D969AA"/>
    <w:rsid w:val="00D969EA"/>
    <w:rsid w:val="00D96A53"/>
    <w:rsid w:val="00D96ABB"/>
    <w:rsid w:val="00D96AC7"/>
    <w:rsid w:val="00D96B0E"/>
    <w:rsid w:val="00D96B31"/>
    <w:rsid w:val="00D96B79"/>
    <w:rsid w:val="00D96B89"/>
    <w:rsid w:val="00D96B98"/>
    <w:rsid w:val="00D96BD1"/>
    <w:rsid w:val="00D96CE0"/>
    <w:rsid w:val="00D96CF9"/>
    <w:rsid w:val="00D96D34"/>
    <w:rsid w:val="00D96D83"/>
    <w:rsid w:val="00D96E4B"/>
    <w:rsid w:val="00D96E76"/>
    <w:rsid w:val="00D96E93"/>
    <w:rsid w:val="00D96EC8"/>
    <w:rsid w:val="00D96F36"/>
    <w:rsid w:val="00D96F84"/>
    <w:rsid w:val="00D96FA4"/>
    <w:rsid w:val="00D96FB0"/>
    <w:rsid w:val="00D96FF8"/>
    <w:rsid w:val="00D97086"/>
    <w:rsid w:val="00D970B6"/>
    <w:rsid w:val="00D97126"/>
    <w:rsid w:val="00D971E0"/>
    <w:rsid w:val="00D97200"/>
    <w:rsid w:val="00D97235"/>
    <w:rsid w:val="00D9726F"/>
    <w:rsid w:val="00D972F7"/>
    <w:rsid w:val="00D97369"/>
    <w:rsid w:val="00D974B4"/>
    <w:rsid w:val="00D974FA"/>
    <w:rsid w:val="00D97515"/>
    <w:rsid w:val="00D975DE"/>
    <w:rsid w:val="00D97624"/>
    <w:rsid w:val="00D9764B"/>
    <w:rsid w:val="00D976B5"/>
    <w:rsid w:val="00D976BB"/>
    <w:rsid w:val="00D9775C"/>
    <w:rsid w:val="00D97890"/>
    <w:rsid w:val="00D978B0"/>
    <w:rsid w:val="00D978F0"/>
    <w:rsid w:val="00D97966"/>
    <w:rsid w:val="00D979A9"/>
    <w:rsid w:val="00D97A85"/>
    <w:rsid w:val="00D97B69"/>
    <w:rsid w:val="00D97BE8"/>
    <w:rsid w:val="00D97BFB"/>
    <w:rsid w:val="00D97C6E"/>
    <w:rsid w:val="00D97C70"/>
    <w:rsid w:val="00D97D19"/>
    <w:rsid w:val="00D97DE8"/>
    <w:rsid w:val="00D97E5D"/>
    <w:rsid w:val="00D97EC6"/>
    <w:rsid w:val="00D97F07"/>
    <w:rsid w:val="00D97F37"/>
    <w:rsid w:val="00D97F56"/>
    <w:rsid w:val="00DA0036"/>
    <w:rsid w:val="00DA0040"/>
    <w:rsid w:val="00DA004E"/>
    <w:rsid w:val="00DA0063"/>
    <w:rsid w:val="00DA0087"/>
    <w:rsid w:val="00DA00CB"/>
    <w:rsid w:val="00DA01AD"/>
    <w:rsid w:val="00DA01CF"/>
    <w:rsid w:val="00DA01F4"/>
    <w:rsid w:val="00DA020B"/>
    <w:rsid w:val="00DA022B"/>
    <w:rsid w:val="00DA0248"/>
    <w:rsid w:val="00DA025F"/>
    <w:rsid w:val="00DA0276"/>
    <w:rsid w:val="00DA030C"/>
    <w:rsid w:val="00DA0321"/>
    <w:rsid w:val="00DA0334"/>
    <w:rsid w:val="00DA03A3"/>
    <w:rsid w:val="00DA04BD"/>
    <w:rsid w:val="00DA056D"/>
    <w:rsid w:val="00DA063B"/>
    <w:rsid w:val="00DA06B5"/>
    <w:rsid w:val="00DA070A"/>
    <w:rsid w:val="00DA072D"/>
    <w:rsid w:val="00DA074A"/>
    <w:rsid w:val="00DA0799"/>
    <w:rsid w:val="00DA0828"/>
    <w:rsid w:val="00DA0887"/>
    <w:rsid w:val="00DA08D8"/>
    <w:rsid w:val="00DA0900"/>
    <w:rsid w:val="00DA096A"/>
    <w:rsid w:val="00DA0971"/>
    <w:rsid w:val="00DA09C0"/>
    <w:rsid w:val="00DA0A30"/>
    <w:rsid w:val="00DA0A5D"/>
    <w:rsid w:val="00DA0AE3"/>
    <w:rsid w:val="00DA0B0C"/>
    <w:rsid w:val="00DA0C0B"/>
    <w:rsid w:val="00DA0D25"/>
    <w:rsid w:val="00DA0DE9"/>
    <w:rsid w:val="00DA0E0D"/>
    <w:rsid w:val="00DA0E12"/>
    <w:rsid w:val="00DA0F0A"/>
    <w:rsid w:val="00DA0F35"/>
    <w:rsid w:val="00DA0F6D"/>
    <w:rsid w:val="00DA0FBD"/>
    <w:rsid w:val="00DA0FBE"/>
    <w:rsid w:val="00DA10A7"/>
    <w:rsid w:val="00DA1210"/>
    <w:rsid w:val="00DA1214"/>
    <w:rsid w:val="00DA1265"/>
    <w:rsid w:val="00DA128C"/>
    <w:rsid w:val="00DA12A9"/>
    <w:rsid w:val="00DA131B"/>
    <w:rsid w:val="00DA1405"/>
    <w:rsid w:val="00DA1406"/>
    <w:rsid w:val="00DA141C"/>
    <w:rsid w:val="00DA1443"/>
    <w:rsid w:val="00DA1465"/>
    <w:rsid w:val="00DA14C5"/>
    <w:rsid w:val="00DA1547"/>
    <w:rsid w:val="00DA1568"/>
    <w:rsid w:val="00DA156C"/>
    <w:rsid w:val="00DA1572"/>
    <w:rsid w:val="00DA15A2"/>
    <w:rsid w:val="00DA15EE"/>
    <w:rsid w:val="00DA1649"/>
    <w:rsid w:val="00DA1699"/>
    <w:rsid w:val="00DA1712"/>
    <w:rsid w:val="00DA1721"/>
    <w:rsid w:val="00DA175F"/>
    <w:rsid w:val="00DA184C"/>
    <w:rsid w:val="00DA186F"/>
    <w:rsid w:val="00DA1880"/>
    <w:rsid w:val="00DA1884"/>
    <w:rsid w:val="00DA18AD"/>
    <w:rsid w:val="00DA19C3"/>
    <w:rsid w:val="00DA19C6"/>
    <w:rsid w:val="00DA1A77"/>
    <w:rsid w:val="00DA1AB6"/>
    <w:rsid w:val="00DA1B28"/>
    <w:rsid w:val="00DA1B5F"/>
    <w:rsid w:val="00DA1C21"/>
    <w:rsid w:val="00DA1C67"/>
    <w:rsid w:val="00DA1C80"/>
    <w:rsid w:val="00DA1CBE"/>
    <w:rsid w:val="00DA1CE2"/>
    <w:rsid w:val="00DA1D54"/>
    <w:rsid w:val="00DA1D6D"/>
    <w:rsid w:val="00DA1E3F"/>
    <w:rsid w:val="00DA1F16"/>
    <w:rsid w:val="00DA1F7B"/>
    <w:rsid w:val="00DA1F9E"/>
    <w:rsid w:val="00DA1FCC"/>
    <w:rsid w:val="00DA20A6"/>
    <w:rsid w:val="00DA2109"/>
    <w:rsid w:val="00DA213E"/>
    <w:rsid w:val="00DA21BC"/>
    <w:rsid w:val="00DA21BE"/>
    <w:rsid w:val="00DA21FB"/>
    <w:rsid w:val="00DA2226"/>
    <w:rsid w:val="00DA223F"/>
    <w:rsid w:val="00DA2330"/>
    <w:rsid w:val="00DA237E"/>
    <w:rsid w:val="00DA239B"/>
    <w:rsid w:val="00DA23AA"/>
    <w:rsid w:val="00DA242A"/>
    <w:rsid w:val="00DA2441"/>
    <w:rsid w:val="00DA2472"/>
    <w:rsid w:val="00DA2492"/>
    <w:rsid w:val="00DA24B6"/>
    <w:rsid w:val="00DA24E0"/>
    <w:rsid w:val="00DA2526"/>
    <w:rsid w:val="00DA259A"/>
    <w:rsid w:val="00DA25D7"/>
    <w:rsid w:val="00DA2688"/>
    <w:rsid w:val="00DA2696"/>
    <w:rsid w:val="00DA26F1"/>
    <w:rsid w:val="00DA26F6"/>
    <w:rsid w:val="00DA2729"/>
    <w:rsid w:val="00DA27C3"/>
    <w:rsid w:val="00DA27C8"/>
    <w:rsid w:val="00DA2817"/>
    <w:rsid w:val="00DA2836"/>
    <w:rsid w:val="00DA2872"/>
    <w:rsid w:val="00DA292E"/>
    <w:rsid w:val="00DA29B3"/>
    <w:rsid w:val="00DA29B8"/>
    <w:rsid w:val="00DA2A0F"/>
    <w:rsid w:val="00DA2AD3"/>
    <w:rsid w:val="00DA2C7E"/>
    <w:rsid w:val="00DA2CA8"/>
    <w:rsid w:val="00DA2CAE"/>
    <w:rsid w:val="00DA2CBA"/>
    <w:rsid w:val="00DA2CD7"/>
    <w:rsid w:val="00DA2CFB"/>
    <w:rsid w:val="00DA2D87"/>
    <w:rsid w:val="00DA2D8C"/>
    <w:rsid w:val="00DA2DAD"/>
    <w:rsid w:val="00DA2E0C"/>
    <w:rsid w:val="00DA2EEF"/>
    <w:rsid w:val="00DA2F43"/>
    <w:rsid w:val="00DA2F7E"/>
    <w:rsid w:val="00DA3028"/>
    <w:rsid w:val="00DA307A"/>
    <w:rsid w:val="00DA30C6"/>
    <w:rsid w:val="00DA3129"/>
    <w:rsid w:val="00DA3139"/>
    <w:rsid w:val="00DA317B"/>
    <w:rsid w:val="00DA31B7"/>
    <w:rsid w:val="00DA31D0"/>
    <w:rsid w:val="00DA324D"/>
    <w:rsid w:val="00DA3268"/>
    <w:rsid w:val="00DA33C1"/>
    <w:rsid w:val="00DA33CE"/>
    <w:rsid w:val="00DA33F6"/>
    <w:rsid w:val="00DA3436"/>
    <w:rsid w:val="00DA343C"/>
    <w:rsid w:val="00DA3462"/>
    <w:rsid w:val="00DA3490"/>
    <w:rsid w:val="00DA34E5"/>
    <w:rsid w:val="00DA3525"/>
    <w:rsid w:val="00DA3571"/>
    <w:rsid w:val="00DA3653"/>
    <w:rsid w:val="00DA36C2"/>
    <w:rsid w:val="00DA371C"/>
    <w:rsid w:val="00DA376D"/>
    <w:rsid w:val="00DA377B"/>
    <w:rsid w:val="00DA3790"/>
    <w:rsid w:val="00DA37BD"/>
    <w:rsid w:val="00DA384C"/>
    <w:rsid w:val="00DA38A0"/>
    <w:rsid w:val="00DA38EB"/>
    <w:rsid w:val="00DA39AC"/>
    <w:rsid w:val="00DA39EC"/>
    <w:rsid w:val="00DA3A34"/>
    <w:rsid w:val="00DA3AF7"/>
    <w:rsid w:val="00DA3B3C"/>
    <w:rsid w:val="00DA3C1F"/>
    <w:rsid w:val="00DA3C60"/>
    <w:rsid w:val="00DA3C76"/>
    <w:rsid w:val="00DA3D12"/>
    <w:rsid w:val="00DA3DF1"/>
    <w:rsid w:val="00DA3E10"/>
    <w:rsid w:val="00DA3E6A"/>
    <w:rsid w:val="00DA3EEB"/>
    <w:rsid w:val="00DA4044"/>
    <w:rsid w:val="00DA405F"/>
    <w:rsid w:val="00DA4069"/>
    <w:rsid w:val="00DA40EE"/>
    <w:rsid w:val="00DA4153"/>
    <w:rsid w:val="00DA4276"/>
    <w:rsid w:val="00DA42C0"/>
    <w:rsid w:val="00DA4303"/>
    <w:rsid w:val="00DA4390"/>
    <w:rsid w:val="00DA43B9"/>
    <w:rsid w:val="00DA4414"/>
    <w:rsid w:val="00DA4419"/>
    <w:rsid w:val="00DA443D"/>
    <w:rsid w:val="00DA4468"/>
    <w:rsid w:val="00DA44E4"/>
    <w:rsid w:val="00DA44F2"/>
    <w:rsid w:val="00DA44FB"/>
    <w:rsid w:val="00DA45B3"/>
    <w:rsid w:val="00DA45D4"/>
    <w:rsid w:val="00DA45E0"/>
    <w:rsid w:val="00DA45EC"/>
    <w:rsid w:val="00DA4600"/>
    <w:rsid w:val="00DA464A"/>
    <w:rsid w:val="00DA482A"/>
    <w:rsid w:val="00DA4850"/>
    <w:rsid w:val="00DA4909"/>
    <w:rsid w:val="00DA490B"/>
    <w:rsid w:val="00DA495E"/>
    <w:rsid w:val="00DA4964"/>
    <w:rsid w:val="00DA4974"/>
    <w:rsid w:val="00DA49AC"/>
    <w:rsid w:val="00DA49FB"/>
    <w:rsid w:val="00DA4AA4"/>
    <w:rsid w:val="00DA4AB3"/>
    <w:rsid w:val="00DA4AE6"/>
    <w:rsid w:val="00DA4B71"/>
    <w:rsid w:val="00DA4C5D"/>
    <w:rsid w:val="00DA4C75"/>
    <w:rsid w:val="00DA4CFC"/>
    <w:rsid w:val="00DA4D71"/>
    <w:rsid w:val="00DA4DEF"/>
    <w:rsid w:val="00DA4DF2"/>
    <w:rsid w:val="00DA4E93"/>
    <w:rsid w:val="00DA4E9D"/>
    <w:rsid w:val="00DA4F63"/>
    <w:rsid w:val="00DA4FC7"/>
    <w:rsid w:val="00DA5081"/>
    <w:rsid w:val="00DA50C2"/>
    <w:rsid w:val="00DA511C"/>
    <w:rsid w:val="00DA511D"/>
    <w:rsid w:val="00DA517A"/>
    <w:rsid w:val="00DA51D4"/>
    <w:rsid w:val="00DA5205"/>
    <w:rsid w:val="00DA5232"/>
    <w:rsid w:val="00DA528E"/>
    <w:rsid w:val="00DA52AC"/>
    <w:rsid w:val="00DA52E6"/>
    <w:rsid w:val="00DA5390"/>
    <w:rsid w:val="00DA53A2"/>
    <w:rsid w:val="00DA550B"/>
    <w:rsid w:val="00DA5544"/>
    <w:rsid w:val="00DA5576"/>
    <w:rsid w:val="00DA559B"/>
    <w:rsid w:val="00DA561E"/>
    <w:rsid w:val="00DA56A5"/>
    <w:rsid w:val="00DA56C2"/>
    <w:rsid w:val="00DA56D9"/>
    <w:rsid w:val="00DA56F2"/>
    <w:rsid w:val="00DA56FC"/>
    <w:rsid w:val="00DA5735"/>
    <w:rsid w:val="00DA5784"/>
    <w:rsid w:val="00DA5860"/>
    <w:rsid w:val="00DA58FD"/>
    <w:rsid w:val="00DA591E"/>
    <w:rsid w:val="00DA5974"/>
    <w:rsid w:val="00DA59C0"/>
    <w:rsid w:val="00DA5ACB"/>
    <w:rsid w:val="00DA5B03"/>
    <w:rsid w:val="00DA5B1E"/>
    <w:rsid w:val="00DA5B30"/>
    <w:rsid w:val="00DA5B31"/>
    <w:rsid w:val="00DA5BA1"/>
    <w:rsid w:val="00DA5BB7"/>
    <w:rsid w:val="00DA5BDF"/>
    <w:rsid w:val="00DA5C70"/>
    <w:rsid w:val="00DA5D7E"/>
    <w:rsid w:val="00DA5D88"/>
    <w:rsid w:val="00DA5DE6"/>
    <w:rsid w:val="00DA5F7F"/>
    <w:rsid w:val="00DA5F9A"/>
    <w:rsid w:val="00DA6066"/>
    <w:rsid w:val="00DA6091"/>
    <w:rsid w:val="00DA60BE"/>
    <w:rsid w:val="00DA61CA"/>
    <w:rsid w:val="00DA61EA"/>
    <w:rsid w:val="00DA6242"/>
    <w:rsid w:val="00DA628A"/>
    <w:rsid w:val="00DA6345"/>
    <w:rsid w:val="00DA636B"/>
    <w:rsid w:val="00DA638F"/>
    <w:rsid w:val="00DA63EE"/>
    <w:rsid w:val="00DA6486"/>
    <w:rsid w:val="00DA64B2"/>
    <w:rsid w:val="00DA64DF"/>
    <w:rsid w:val="00DA6541"/>
    <w:rsid w:val="00DA6558"/>
    <w:rsid w:val="00DA656E"/>
    <w:rsid w:val="00DA65C8"/>
    <w:rsid w:val="00DA65DE"/>
    <w:rsid w:val="00DA6695"/>
    <w:rsid w:val="00DA6706"/>
    <w:rsid w:val="00DA671B"/>
    <w:rsid w:val="00DA673A"/>
    <w:rsid w:val="00DA674A"/>
    <w:rsid w:val="00DA6753"/>
    <w:rsid w:val="00DA67AB"/>
    <w:rsid w:val="00DA67FC"/>
    <w:rsid w:val="00DA68F5"/>
    <w:rsid w:val="00DA6958"/>
    <w:rsid w:val="00DA6A1C"/>
    <w:rsid w:val="00DA6AD7"/>
    <w:rsid w:val="00DA6B3E"/>
    <w:rsid w:val="00DA6B3F"/>
    <w:rsid w:val="00DA6C01"/>
    <w:rsid w:val="00DA6C33"/>
    <w:rsid w:val="00DA6CD3"/>
    <w:rsid w:val="00DA6CEF"/>
    <w:rsid w:val="00DA6D6D"/>
    <w:rsid w:val="00DA6DA6"/>
    <w:rsid w:val="00DA6DCD"/>
    <w:rsid w:val="00DA6E51"/>
    <w:rsid w:val="00DA6ED2"/>
    <w:rsid w:val="00DA6F8F"/>
    <w:rsid w:val="00DA6F94"/>
    <w:rsid w:val="00DA7052"/>
    <w:rsid w:val="00DA7073"/>
    <w:rsid w:val="00DA7091"/>
    <w:rsid w:val="00DA70D3"/>
    <w:rsid w:val="00DA7110"/>
    <w:rsid w:val="00DA7113"/>
    <w:rsid w:val="00DA7115"/>
    <w:rsid w:val="00DA716B"/>
    <w:rsid w:val="00DA71C2"/>
    <w:rsid w:val="00DA7217"/>
    <w:rsid w:val="00DA728F"/>
    <w:rsid w:val="00DA72CB"/>
    <w:rsid w:val="00DA72EF"/>
    <w:rsid w:val="00DA735A"/>
    <w:rsid w:val="00DA73A8"/>
    <w:rsid w:val="00DA73DF"/>
    <w:rsid w:val="00DA74B4"/>
    <w:rsid w:val="00DA7564"/>
    <w:rsid w:val="00DA75C9"/>
    <w:rsid w:val="00DA75D8"/>
    <w:rsid w:val="00DA7623"/>
    <w:rsid w:val="00DA76D6"/>
    <w:rsid w:val="00DA76FA"/>
    <w:rsid w:val="00DA773D"/>
    <w:rsid w:val="00DA7740"/>
    <w:rsid w:val="00DA7778"/>
    <w:rsid w:val="00DA779A"/>
    <w:rsid w:val="00DA782C"/>
    <w:rsid w:val="00DA7857"/>
    <w:rsid w:val="00DA7866"/>
    <w:rsid w:val="00DA788F"/>
    <w:rsid w:val="00DA78B7"/>
    <w:rsid w:val="00DA7AFC"/>
    <w:rsid w:val="00DA7B98"/>
    <w:rsid w:val="00DA7BFF"/>
    <w:rsid w:val="00DA7D0D"/>
    <w:rsid w:val="00DA7D2E"/>
    <w:rsid w:val="00DA7D7E"/>
    <w:rsid w:val="00DA7DCD"/>
    <w:rsid w:val="00DA7DF0"/>
    <w:rsid w:val="00DA7E33"/>
    <w:rsid w:val="00DA7E79"/>
    <w:rsid w:val="00DA7E9D"/>
    <w:rsid w:val="00DA7E9F"/>
    <w:rsid w:val="00DA7EE7"/>
    <w:rsid w:val="00DA7F3D"/>
    <w:rsid w:val="00DA7FCF"/>
    <w:rsid w:val="00DA7FD4"/>
    <w:rsid w:val="00DB0079"/>
    <w:rsid w:val="00DB00AD"/>
    <w:rsid w:val="00DB00E3"/>
    <w:rsid w:val="00DB014E"/>
    <w:rsid w:val="00DB016B"/>
    <w:rsid w:val="00DB0174"/>
    <w:rsid w:val="00DB01D4"/>
    <w:rsid w:val="00DB01FD"/>
    <w:rsid w:val="00DB020E"/>
    <w:rsid w:val="00DB0213"/>
    <w:rsid w:val="00DB0276"/>
    <w:rsid w:val="00DB028D"/>
    <w:rsid w:val="00DB028E"/>
    <w:rsid w:val="00DB0294"/>
    <w:rsid w:val="00DB02D1"/>
    <w:rsid w:val="00DB031E"/>
    <w:rsid w:val="00DB0392"/>
    <w:rsid w:val="00DB03F2"/>
    <w:rsid w:val="00DB04F7"/>
    <w:rsid w:val="00DB0517"/>
    <w:rsid w:val="00DB05D1"/>
    <w:rsid w:val="00DB06E3"/>
    <w:rsid w:val="00DB0732"/>
    <w:rsid w:val="00DB07C1"/>
    <w:rsid w:val="00DB085B"/>
    <w:rsid w:val="00DB0899"/>
    <w:rsid w:val="00DB0956"/>
    <w:rsid w:val="00DB0A99"/>
    <w:rsid w:val="00DB0A9E"/>
    <w:rsid w:val="00DB0B39"/>
    <w:rsid w:val="00DB0BE0"/>
    <w:rsid w:val="00DB0E5B"/>
    <w:rsid w:val="00DB0EB7"/>
    <w:rsid w:val="00DB0EE1"/>
    <w:rsid w:val="00DB10F2"/>
    <w:rsid w:val="00DB111C"/>
    <w:rsid w:val="00DB1163"/>
    <w:rsid w:val="00DB1165"/>
    <w:rsid w:val="00DB12DC"/>
    <w:rsid w:val="00DB12E4"/>
    <w:rsid w:val="00DB12F2"/>
    <w:rsid w:val="00DB13A2"/>
    <w:rsid w:val="00DB1409"/>
    <w:rsid w:val="00DB140B"/>
    <w:rsid w:val="00DB1431"/>
    <w:rsid w:val="00DB14F5"/>
    <w:rsid w:val="00DB1528"/>
    <w:rsid w:val="00DB156E"/>
    <w:rsid w:val="00DB15EC"/>
    <w:rsid w:val="00DB160D"/>
    <w:rsid w:val="00DB1684"/>
    <w:rsid w:val="00DB1694"/>
    <w:rsid w:val="00DB1748"/>
    <w:rsid w:val="00DB177F"/>
    <w:rsid w:val="00DB1831"/>
    <w:rsid w:val="00DB1844"/>
    <w:rsid w:val="00DB184E"/>
    <w:rsid w:val="00DB1895"/>
    <w:rsid w:val="00DB18AE"/>
    <w:rsid w:val="00DB18B5"/>
    <w:rsid w:val="00DB18DC"/>
    <w:rsid w:val="00DB1904"/>
    <w:rsid w:val="00DB1936"/>
    <w:rsid w:val="00DB193A"/>
    <w:rsid w:val="00DB19C4"/>
    <w:rsid w:val="00DB19E0"/>
    <w:rsid w:val="00DB1ADA"/>
    <w:rsid w:val="00DB1C12"/>
    <w:rsid w:val="00DB1C51"/>
    <w:rsid w:val="00DB1CB0"/>
    <w:rsid w:val="00DB1D97"/>
    <w:rsid w:val="00DB1E85"/>
    <w:rsid w:val="00DB1E8E"/>
    <w:rsid w:val="00DB1EB2"/>
    <w:rsid w:val="00DB1EB3"/>
    <w:rsid w:val="00DB1EFE"/>
    <w:rsid w:val="00DB1F9B"/>
    <w:rsid w:val="00DB1FB5"/>
    <w:rsid w:val="00DB1FE7"/>
    <w:rsid w:val="00DB2001"/>
    <w:rsid w:val="00DB203F"/>
    <w:rsid w:val="00DB205C"/>
    <w:rsid w:val="00DB207E"/>
    <w:rsid w:val="00DB2089"/>
    <w:rsid w:val="00DB2090"/>
    <w:rsid w:val="00DB2092"/>
    <w:rsid w:val="00DB20FD"/>
    <w:rsid w:val="00DB211B"/>
    <w:rsid w:val="00DB217B"/>
    <w:rsid w:val="00DB21ED"/>
    <w:rsid w:val="00DB226E"/>
    <w:rsid w:val="00DB226F"/>
    <w:rsid w:val="00DB22B9"/>
    <w:rsid w:val="00DB22BD"/>
    <w:rsid w:val="00DB22CF"/>
    <w:rsid w:val="00DB23B0"/>
    <w:rsid w:val="00DB248E"/>
    <w:rsid w:val="00DB2498"/>
    <w:rsid w:val="00DB24CB"/>
    <w:rsid w:val="00DB24F5"/>
    <w:rsid w:val="00DB2515"/>
    <w:rsid w:val="00DB2583"/>
    <w:rsid w:val="00DB25DD"/>
    <w:rsid w:val="00DB25E6"/>
    <w:rsid w:val="00DB2730"/>
    <w:rsid w:val="00DB2800"/>
    <w:rsid w:val="00DB2829"/>
    <w:rsid w:val="00DB282E"/>
    <w:rsid w:val="00DB2983"/>
    <w:rsid w:val="00DB2996"/>
    <w:rsid w:val="00DB29EE"/>
    <w:rsid w:val="00DB2A45"/>
    <w:rsid w:val="00DB2AD5"/>
    <w:rsid w:val="00DB2AF4"/>
    <w:rsid w:val="00DB2B47"/>
    <w:rsid w:val="00DB2BCE"/>
    <w:rsid w:val="00DB2C2F"/>
    <w:rsid w:val="00DB2C72"/>
    <w:rsid w:val="00DB2C85"/>
    <w:rsid w:val="00DB2D5E"/>
    <w:rsid w:val="00DB2D8B"/>
    <w:rsid w:val="00DB2E02"/>
    <w:rsid w:val="00DB2E18"/>
    <w:rsid w:val="00DB2E91"/>
    <w:rsid w:val="00DB2ED5"/>
    <w:rsid w:val="00DB2FE9"/>
    <w:rsid w:val="00DB3001"/>
    <w:rsid w:val="00DB3022"/>
    <w:rsid w:val="00DB305F"/>
    <w:rsid w:val="00DB30D8"/>
    <w:rsid w:val="00DB3127"/>
    <w:rsid w:val="00DB3256"/>
    <w:rsid w:val="00DB3262"/>
    <w:rsid w:val="00DB3287"/>
    <w:rsid w:val="00DB332D"/>
    <w:rsid w:val="00DB341A"/>
    <w:rsid w:val="00DB34A9"/>
    <w:rsid w:val="00DB34F7"/>
    <w:rsid w:val="00DB35E3"/>
    <w:rsid w:val="00DB3623"/>
    <w:rsid w:val="00DB3642"/>
    <w:rsid w:val="00DB369D"/>
    <w:rsid w:val="00DB36CC"/>
    <w:rsid w:val="00DB3758"/>
    <w:rsid w:val="00DB378C"/>
    <w:rsid w:val="00DB37B1"/>
    <w:rsid w:val="00DB37F3"/>
    <w:rsid w:val="00DB3823"/>
    <w:rsid w:val="00DB383E"/>
    <w:rsid w:val="00DB3893"/>
    <w:rsid w:val="00DB38F6"/>
    <w:rsid w:val="00DB390E"/>
    <w:rsid w:val="00DB3984"/>
    <w:rsid w:val="00DB3A77"/>
    <w:rsid w:val="00DB3AD7"/>
    <w:rsid w:val="00DB3ADD"/>
    <w:rsid w:val="00DB3B5A"/>
    <w:rsid w:val="00DB3B9F"/>
    <w:rsid w:val="00DB3C50"/>
    <w:rsid w:val="00DB3C79"/>
    <w:rsid w:val="00DB3CB8"/>
    <w:rsid w:val="00DB3CE3"/>
    <w:rsid w:val="00DB3D54"/>
    <w:rsid w:val="00DB3D9A"/>
    <w:rsid w:val="00DB3DC6"/>
    <w:rsid w:val="00DB3DC8"/>
    <w:rsid w:val="00DB3E48"/>
    <w:rsid w:val="00DB3E8A"/>
    <w:rsid w:val="00DB3EA0"/>
    <w:rsid w:val="00DB3EBB"/>
    <w:rsid w:val="00DB3EC4"/>
    <w:rsid w:val="00DB3F1B"/>
    <w:rsid w:val="00DB3F45"/>
    <w:rsid w:val="00DB3F5D"/>
    <w:rsid w:val="00DB3F97"/>
    <w:rsid w:val="00DB3FA2"/>
    <w:rsid w:val="00DB3FBA"/>
    <w:rsid w:val="00DB3FF0"/>
    <w:rsid w:val="00DB4033"/>
    <w:rsid w:val="00DB406D"/>
    <w:rsid w:val="00DB414F"/>
    <w:rsid w:val="00DB422D"/>
    <w:rsid w:val="00DB4286"/>
    <w:rsid w:val="00DB42A5"/>
    <w:rsid w:val="00DB42BF"/>
    <w:rsid w:val="00DB42E2"/>
    <w:rsid w:val="00DB4323"/>
    <w:rsid w:val="00DB4325"/>
    <w:rsid w:val="00DB4340"/>
    <w:rsid w:val="00DB4525"/>
    <w:rsid w:val="00DB45BA"/>
    <w:rsid w:val="00DB464F"/>
    <w:rsid w:val="00DB467A"/>
    <w:rsid w:val="00DB4750"/>
    <w:rsid w:val="00DB4815"/>
    <w:rsid w:val="00DB483D"/>
    <w:rsid w:val="00DB4849"/>
    <w:rsid w:val="00DB487F"/>
    <w:rsid w:val="00DB4894"/>
    <w:rsid w:val="00DB4907"/>
    <w:rsid w:val="00DB49A2"/>
    <w:rsid w:val="00DB49AD"/>
    <w:rsid w:val="00DB4A3B"/>
    <w:rsid w:val="00DB4A5F"/>
    <w:rsid w:val="00DB4B6D"/>
    <w:rsid w:val="00DB4BBE"/>
    <w:rsid w:val="00DB4BCC"/>
    <w:rsid w:val="00DB4BEF"/>
    <w:rsid w:val="00DB4C14"/>
    <w:rsid w:val="00DB4C3A"/>
    <w:rsid w:val="00DB4C43"/>
    <w:rsid w:val="00DB4C47"/>
    <w:rsid w:val="00DB4C9E"/>
    <w:rsid w:val="00DB4D15"/>
    <w:rsid w:val="00DB4D3E"/>
    <w:rsid w:val="00DB4D46"/>
    <w:rsid w:val="00DB4D89"/>
    <w:rsid w:val="00DB4E49"/>
    <w:rsid w:val="00DB4E64"/>
    <w:rsid w:val="00DB4EAF"/>
    <w:rsid w:val="00DB4F24"/>
    <w:rsid w:val="00DB5007"/>
    <w:rsid w:val="00DB5046"/>
    <w:rsid w:val="00DB50F0"/>
    <w:rsid w:val="00DB50FF"/>
    <w:rsid w:val="00DB5140"/>
    <w:rsid w:val="00DB5171"/>
    <w:rsid w:val="00DB51F7"/>
    <w:rsid w:val="00DB520F"/>
    <w:rsid w:val="00DB530A"/>
    <w:rsid w:val="00DB5313"/>
    <w:rsid w:val="00DB532D"/>
    <w:rsid w:val="00DB534A"/>
    <w:rsid w:val="00DB5490"/>
    <w:rsid w:val="00DB5503"/>
    <w:rsid w:val="00DB553A"/>
    <w:rsid w:val="00DB554E"/>
    <w:rsid w:val="00DB5556"/>
    <w:rsid w:val="00DB556E"/>
    <w:rsid w:val="00DB5571"/>
    <w:rsid w:val="00DB5577"/>
    <w:rsid w:val="00DB557D"/>
    <w:rsid w:val="00DB55D3"/>
    <w:rsid w:val="00DB5633"/>
    <w:rsid w:val="00DB56F6"/>
    <w:rsid w:val="00DB5768"/>
    <w:rsid w:val="00DB579C"/>
    <w:rsid w:val="00DB57E9"/>
    <w:rsid w:val="00DB57F6"/>
    <w:rsid w:val="00DB5831"/>
    <w:rsid w:val="00DB5845"/>
    <w:rsid w:val="00DB5853"/>
    <w:rsid w:val="00DB5877"/>
    <w:rsid w:val="00DB588F"/>
    <w:rsid w:val="00DB599A"/>
    <w:rsid w:val="00DB5A05"/>
    <w:rsid w:val="00DB5A18"/>
    <w:rsid w:val="00DB5A42"/>
    <w:rsid w:val="00DB5B06"/>
    <w:rsid w:val="00DB5BCB"/>
    <w:rsid w:val="00DB5CF2"/>
    <w:rsid w:val="00DB5CFB"/>
    <w:rsid w:val="00DB5D46"/>
    <w:rsid w:val="00DB5DCD"/>
    <w:rsid w:val="00DB5DF4"/>
    <w:rsid w:val="00DB5F37"/>
    <w:rsid w:val="00DB6009"/>
    <w:rsid w:val="00DB606B"/>
    <w:rsid w:val="00DB607F"/>
    <w:rsid w:val="00DB60B4"/>
    <w:rsid w:val="00DB6118"/>
    <w:rsid w:val="00DB61F2"/>
    <w:rsid w:val="00DB621D"/>
    <w:rsid w:val="00DB6246"/>
    <w:rsid w:val="00DB6267"/>
    <w:rsid w:val="00DB626B"/>
    <w:rsid w:val="00DB6272"/>
    <w:rsid w:val="00DB64C9"/>
    <w:rsid w:val="00DB64CB"/>
    <w:rsid w:val="00DB6667"/>
    <w:rsid w:val="00DB6686"/>
    <w:rsid w:val="00DB6695"/>
    <w:rsid w:val="00DB66DE"/>
    <w:rsid w:val="00DB675E"/>
    <w:rsid w:val="00DB67A6"/>
    <w:rsid w:val="00DB67AF"/>
    <w:rsid w:val="00DB67EE"/>
    <w:rsid w:val="00DB69AD"/>
    <w:rsid w:val="00DB69BD"/>
    <w:rsid w:val="00DB69C8"/>
    <w:rsid w:val="00DB69DC"/>
    <w:rsid w:val="00DB6B0E"/>
    <w:rsid w:val="00DB6B5A"/>
    <w:rsid w:val="00DB6B96"/>
    <w:rsid w:val="00DB6BD8"/>
    <w:rsid w:val="00DB6C0B"/>
    <w:rsid w:val="00DB6C78"/>
    <w:rsid w:val="00DB6C8D"/>
    <w:rsid w:val="00DB6D07"/>
    <w:rsid w:val="00DB6D0A"/>
    <w:rsid w:val="00DB6D1A"/>
    <w:rsid w:val="00DB6E17"/>
    <w:rsid w:val="00DB6E63"/>
    <w:rsid w:val="00DB6ED3"/>
    <w:rsid w:val="00DB6EF5"/>
    <w:rsid w:val="00DB6FBA"/>
    <w:rsid w:val="00DB6FEE"/>
    <w:rsid w:val="00DB7003"/>
    <w:rsid w:val="00DB70D4"/>
    <w:rsid w:val="00DB70EC"/>
    <w:rsid w:val="00DB71BA"/>
    <w:rsid w:val="00DB71F0"/>
    <w:rsid w:val="00DB7210"/>
    <w:rsid w:val="00DB7252"/>
    <w:rsid w:val="00DB7267"/>
    <w:rsid w:val="00DB7284"/>
    <w:rsid w:val="00DB7290"/>
    <w:rsid w:val="00DB7330"/>
    <w:rsid w:val="00DB737E"/>
    <w:rsid w:val="00DB73AC"/>
    <w:rsid w:val="00DB73B8"/>
    <w:rsid w:val="00DB73D0"/>
    <w:rsid w:val="00DB743E"/>
    <w:rsid w:val="00DB74AE"/>
    <w:rsid w:val="00DB7525"/>
    <w:rsid w:val="00DB7551"/>
    <w:rsid w:val="00DB755C"/>
    <w:rsid w:val="00DB759D"/>
    <w:rsid w:val="00DB75ED"/>
    <w:rsid w:val="00DB760B"/>
    <w:rsid w:val="00DB765B"/>
    <w:rsid w:val="00DB76C5"/>
    <w:rsid w:val="00DB7720"/>
    <w:rsid w:val="00DB7728"/>
    <w:rsid w:val="00DB773B"/>
    <w:rsid w:val="00DB7792"/>
    <w:rsid w:val="00DB77BF"/>
    <w:rsid w:val="00DB785C"/>
    <w:rsid w:val="00DB7871"/>
    <w:rsid w:val="00DB78E4"/>
    <w:rsid w:val="00DB7915"/>
    <w:rsid w:val="00DB792C"/>
    <w:rsid w:val="00DB795A"/>
    <w:rsid w:val="00DB79CD"/>
    <w:rsid w:val="00DB7A3C"/>
    <w:rsid w:val="00DB7A51"/>
    <w:rsid w:val="00DB7A67"/>
    <w:rsid w:val="00DB7A85"/>
    <w:rsid w:val="00DB7A94"/>
    <w:rsid w:val="00DB7AB7"/>
    <w:rsid w:val="00DB7B0D"/>
    <w:rsid w:val="00DB7BCB"/>
    <w:rsid w:val="00DB7BF8"/>
    <w:rsid w:val="00DB7C62"/>
    <w:rsid w:val="00DB7C86"/>
    <w:rsid w:val="00DB7D14"/>
    <w:rsid w:val="00DB7D15"/>
    <w:rsid w:val="00DB7D48"/>
    <w:rsid w:val="00DB7DC7"/>
    <w:rsid w:val="00DB7DD6"/>
    <w:rsid w:val="00DB7E23"/>
    <w:rsid w:val="00DB7EBC"/>
    <w:rsid w:val="00DB7EFE"/>
    <w:rsid w:val="00DB7F19"/>
    <w:rsid w:val="00DB7F66"/>
    <w:rsid w:val="00DB7F80"/>
    <w:rsid w:val="00DB7FA9"/>
    <w:rsid w:val="00DB7FD2"/>
    <w:rsid w:val="00DC00A4"/>
    <w:rsid w:val="00DC01AC"/>
    <w:rsid w:val="00DC01D2"/>
    <w:rsid w:val="00DC01F6"/>
    <w:rsid w:val="00DC01FD"/>
    <w:rsid w:val="00DC0201"/>
    <w:rsid w:val="00DC0214"/>
    <w:rsid w:val="00DC0247"/>
    <w:rsid w:val="00DC0283"/>
    <w:rsid w:val="00DC0313"/>
    <w:rsid w:val="00DC031B"/>
    <w:rsid w:val="00DC034A"/>
    <w:rsid w:val="00DC039F"/>
    <w:rsid w:val="00DC03AA"/>
    <w:rsid w:val="00DC03E3"/>
    <w:rsid w:val="00DC045C"/>
    <w:rsid w:val="00DC0466"/>
    <w:rsid w:val="00DC046B"/>
    <w:rsid w:val="00DC0531"/>
    <w:rsid w:val="00DC0599"/>
    <w:rsid w:val="00DC05DB"/>
    <w:rsid w:val="00DC0745"/>
    <w:rsid w:val="00DC0748"/>
    <w:rsid w:val="00DC07BD"/>
    <w:rsid w:val="00DC07D9"/>
    <w:rsid w:val="00DC07EA"/>
    <w:rsid w:val="00DC0828"/>
    <w:rsid w:val="00DC088D"/>
    <w:rsid w:val="00DC08C0"/>
    <w:rsid w:val="00DC0954"/>
    <w:rsid w:val="00DC09C2"/>
    <w:rsid w:val="00DC09F0"/>
    <w:rsid w:val="00DC0A9E"/>
    <w:rsid w:val="00DC0BE3"/>
    <w:rsid w:val="00DC0C8F"/>
    <w:rsid w:val="00DC0C93"/>
    <w:rsid w:val="00DC0D2C"/>
    <w:rsid w:val="00DC0DE6"/>
    <w:rsid w:val="00DC0E4B"/>
    <w:rsid w:val="00DC0E53"/>
    <w:rsid w:val="00DC0ECD"/>
    <w:rsid w:val="00DC0F18"/>
    <w:rsid w:val="00DC0FD6"/>
    <w:rsid w:val="00DC1002"/>
    <w:rsid w:val="00DC100D"/>
    <w:rsid w:val="00DC1012"/>
    <w:rsid w:val="00DC103C"/>
    <w:rsid w:val="00DC105A"/>
    <w:rsid w:val="00DC10AA"/>
    <w:rsid w:val="00DC115E"/>
    <w:rsid w:val="00DC1199"/>
    <w:rsid w:val="00DC11B1"/>
    <w:rsid w:val="00DC1280"/>
    <w:rsid w:val="00DC12C4"/>
    <w:rsid w:val="00DC12DA"/>
    <w:rsid w:val="00DC13CE"/>
    <w:rsid w:val="00DC13D3"/>
    <w:rsid w:val="00DC1443"/>
    <w:rsid w:val="00DC14C7"/>
    <w:rsid w:val="00DC163B"/>
    <w:rsid w:val="00DC163D"/>
    <w:rsid w:val="00DC16EA"/>
    <w:rsid w:val="00DC1735"/>
    <w:rsid w:val="00DC178A"/>
    <w:rsid w:val="00DC17E4"/>
    <w:rsid w:val="00DC1889"/>
    <w:rsid w:val="00DC18D3"/>
    <w:rsid w:val="00DC18DB"/>
    <w:rsid w:val="00DC18EE"/>
    <w:rsid w:val="00DC1967"/>
    <w:rsid w:val="00DC19EE"/>
    <w:rsid w:val="00DC1A4F"/>
    <w:rsid w:val="00DC1AB0"/>
    <w:rsid w:val="00DC1B46"/>
    <w:rsid w:val="00DC1BB6"/>
    <w:rsid w:val="00DC1BB7"/>
    <w:rsid w:val="00DC1BD4"/>
    <w:rsid w:val="00DC1BDD"/>
    <w:rsid w:val="00DC1BEC"/>
    <w:rsid w:val="00DC1C0E"/>
    <w:rsid w:val="00DC1C77"/>
    <w:rsid w:val="00DC1CE6"/>
    <w:rsid w:val="00DC1CF8"/>
    <w:rsid w:val="00DC1EC0"/>
    <w:rsid w:val="00DC1F21"/>
    <w:rsid w:val="00DC2008"/>
    <w:rsid w:val="00DC2063"/>
    <w:rsid w:val="00DC206A"/>
    <w:rsid w:val="00DC20B4"/>
    <w:rsid w:val="00DC2102"/>
    <w:rsid w:val="00DC21A4"/>
    <w:rsid w:val="00DC21EC"/>
    <w:rsid w:val="00DC2233"/>
    <w:rsid w:val="00DC22C1"/>
    <w:rsid w:val="00DC22FE"/>
    <w:rsid w:val="00DC234A"/>
    <w:rsid w:val="00DC235B"/>
    <w:rsid w:val="00DC23DA"/>
    <w:rsid w:val="00DC23FD"/>
    <w:rsid w:val="00DC243F"/>
    <w:rsid w:val="00DC2457"/>
    <w:rsid w:val="00DC2480"/>
    <w:rsid w:val="00DC2489"/>
    <w:rsid w:val="00DC248A"/>
    <w:rsid w:val="00DC2580"/>
    <w:rsid w:val="00DC269E"/>
    <w:rsid w:val="00DC27D8"/>
    <w:rsid w:val="00DC2858"/>
    <w:rsid w:val="00DC2A06"/>
    <w:rsid w:val="00DC2A3A"/>
    <w:rsid w:val="00DC2AA4"/>
    <w:rsid w:val="00DC2B3F"/>
    <w:rsid w:val="00DC2BE9"/>
    <w:rsid w:val="00DC2C99"/>
    <w:rsid w:val="00DC2CDD"/>
    <w:rsid w:val="00DC2D10"/>
    <w:rsid w:val="00DC2D43"/>
    <w:rsid w:val="00DC2DFD"/>
    <w:rsid w:val="00DC2E6C"/>
    <w:rsid w:val="00DC2E7F"/>
    <w:rsid w:val="00DC2E83"/>
    <w:rsid w:val="00DC2E8C"/>
    <w:rsid w:val="00DC2F40"/>
    <w:rsid w:val="00DC2F83"/>
    <w:rsid w:val="00DC2F9E"/>
    <w:rsid w:val="00DC2FDB"/>
    <w:rsid w:val="00DC3012"/>
    <w:rsid w:val="00DC3015"/>
    <w:rsid w:val="00DC306C"/>
    <w:rsid w:val="00DC3078"/>
    <w:rsid w:val="00DC3107"/>
    <w:rsid w:val="00DC31A2"/>
    <w:rsid w:val="00DC322E"/>
    <w:rsid w:val="00DC323C"/>
    <w:rsid w:val="00DC32C2"/>
    <w:rsid w:val="00DC32CF"/>
    <w:rsid w:val="00DC32D0"/>
    <w:rsid w:val="00DC3339"/>
    <w:rsid w:val="00DC3391"/>
    <w:rsid w:val="00DC33F3"/>
    <w:rsid w:val="00DC343B"/>
    <w:rsid w:val="00DC3491"/>
    <w:rsid w:val="00DC34A4"/>
    <w:rsid w:val="00DC34F5"/>
    <w:rsid w:val="00DC3528"/>
    <w:rsid w:val="00DC3598"/>
    <w:rsid w:val="00DC3618"/>
    <w:rsid w:val="00DC3730"/>
    <w:rsid w:val="00DC37E7"/>
    <w:rsid w:val="00DC37F4"/>
    <w:rsid w:val="00DC380A"/>
    <w:rsid w:val="00DC381B"/>
    <w:rsid w:val="00DC385E"/>
    <w:rsid w:val="00DC3889"/>
    <w:rsid w:val="00DC38A3"/>
    <w:rsid w:val="00DC3A20"/>
    <w:rsid w:val="00DC3A24"/>
    <w:rsid w:val="00DC3A4F"/>
    <w:rsid w:val="00DC3A98"/>
    <w:rsid w:val="00DC3BE4"/>
    <w:rsid w:val="00DC3BED"/>
    <w:rsid w:val="00DC3BF8"/>
    <w:rsid w:val="00DC3C15"/>
    <w:rsid w:val="00DC3C17"/>
    <w:rsid w:val="00DC3C40"/>
    <w:rsid w:val="00DC3C8F"/>
    <w:rsid w:val="00DC3CFC"/>
    <w:rsid w:val="00DC3D11"/>
    <w:rsid w:val="00DC3D50"/>
    <w:rsid w:val="00DC3D7B"/>
    <w:rsid w:val="00DC3DAB"/>
    <w:rsid w:val="00DC3E8C"/>
    <w:rsid w:val="00DC3E9D"/>
    <w:rsid w:val="00DC3F71"/>
    <w:rsid w:val="00DC3F79"/>
    <w:rsid w:val="00DC3F7D"/>
    <w:rsid w:val="00DC3FE7"/>
    <w:rsid w:val="00DC3FF8"/>
    <w:rsid w:val="00DC402A"/>
    <w:rsid w:val="00DC4065"/>
    <w:rsid w:val="00DC407C"/>
    <w:rsid w:val="00DC40AE"/>
    <w:rsid w:val="00DC414E"/>
    <w:rsid w:val="00DC423C"/>
    <w:rsid w:val="00DC4241"/>
    <w:rsid w:val="00DC4272"/>
    <w:rsid w:val="00DC42AE"/>
    <w:rsid w:val="00DC42C1"/>
    <w:rsid w:val="00DC42DC"/>
    <w:rsid w:val="00DC43B8"/>
    <w:rsid w:val="00DC43C7"/>
    <w:rsid w:val="00DC43DC"/>
    <w:rsid w:val="00DC449C"/>
    <w:rsid w:val="00DC4503"/>
    <w:rsid w:val="00DC4526"/>
    <w:rsid w:val="00DC4554"/>
    <w:rsid w:val="00DC45A7"/>
    <w:rsid w:val="00DC45BF"/>
    <w:rsid w:val="00DC45C0"/>
    <w:rsid w:val="00DC45D3"/>
    <w:rsid w:val="00DC467C"/>
    <w:rsid w:val="00DC4689"/>
    <w:rsid w:val="00DC473F"/>
    <w:rsid w:val="00DC4746"/>
    <w:rsid w:val="00DC475C"/>
    <w:rsid w:val="00DC475E"/>
    <w:rsid w:val="00DC47A4"/>
    <w:rsid w:val="00DC47D3"/>
    <w:rsid w:val="00DC4804"/>
    <w:rsid w:val="00DC4849"/>
    <w:rsid w:val="00DC48B4"/>
    <w:rsid w:val="00DC4905"/>
    <w:rsid w:val="00DC4969"/>
    <w:rsid w:val="00DC4985"/>
    <w:rsid w:val="00DC49B4"/>
    <w:rsid w:val="00DC4A46"/>
    <w:rsid w:val="00DC4AFF"/>
    <w:rsid w:val="00DC4BCD"/>
    <w:rsid w:val="00DC4BD4"/>
    <w:rsid w:val="00DC4C2D"/>
    <w:rsid w:val="00DC4C30"/>
    <w:rsid w:val="00DC4C58"/>
    <w:rsid w:val="00DC4CBC"/>
    <w:rsid w:val="00DC4CD2"/>
    <w:rsid w:val="00DC4D20"/>
    <w:rsid w:val="00DC4D3C"/>
    <w:rsid w:val="00DC4D80"/>
    <w:rsid w:val="00DC4E2D"/>
    <w:rsid w:val="00DC4E8C"/>
    <w:rsid w:val="00DC4EC5"/>
    <w:rsid w:val="00DC4F33"/>
    <w:rsid w:val="00DC4F5C"/>
    <w:rsid w:val="00DC4F96"/>
    <w:rsid w:val="00DC4FA0"/>
    <w:rsid w:val="00DC502E"/>
    <w:rsid w:val="00DC50A4"/>
    <w:rsid w:val="00DC50A7"/>
    <w:rsid w:val="00DC51A0"/>
    <w:rsid w:val="00DC51F8"/>
    <w:rsid w:val="00DC51FC"/>
    <w:rsid w:val="00DC5227"/>
    <w:rsid w:val="00DC5229"/>
    <w:rsid w:val="00DC524C"/>
    <w:rsid w:val="00DC52A9"/>
    <w:rsid w:val="00DC52F5"/>
    <w:rsid w:val="00DC531D"/>
    <w:rsid w:val="00DC53B1"/>
    <w:rsid w:val="00DC5444"/>
    <w:rsid w:val="00DC544B"/>
    <w:rsid w:val="00DC548B"/>
    <w:rsid w:val="00DC5507"/>
    <w:rsid w:val="00DC5554"/>
    <w:rsid w:val="00DC5557"/>
    <w:rsid w:val="00DC569C"/>
    <w:rsid w:val="00DC56BD"/>
    <w:rsid w:val="00DC571E"/>
    <w:rsid w:val="00DC57AA"/>
    <w:rsid w:val="00DC5916"/>
    <w:rsid w:val="00DC593D"/>
    <w:rsid w:val="00DC5976"/>
    <w:rsid w:val="00DC59C4"/>
    <w:rsid w:val="00DC59D8"/>
    <w:rsid w:val="00DC5A02"/>
    <w:rsid w:val="00DC5ACB"/>
    <w:rsid w:val="00DC5B07"/>
    <w:rsid w:val="00DC5BFC"/>
    <w:rsid w:val="00DC5C38"/>
    <w:rsid w:val="00DC5CD6"/>
    <w:rsid w:val="00DC5D1B"/>
    <w:rsid w:val="00DC5D76"/>
    <w:rsid w:val="00DC5DA8"/>
    <w:rsid w:val="00DC5DAE"/>
    <w:rsid w:val="00DC5E0A"/>
    <w:rsid w:val="00DC5E45"/>
    <w:rsid w:val="00DC5E63"/>
    <w:rsid w:val="00DC5EC9"/>
    <w:rsid w:val="00DC5F72"/>
    <w:rsid w:val="00DC5FBC"/>
    <w:rsid w:val="00DC6030"/>
    <w:rsid w:val="00DC607C"/>
    <w:rsid w:val="00DC608A"/>
    <w:rsid w:val="00DC60CE"/>
    <w:rsid w:val="00DC616E"/>
    <w:rsid w:val="00DC617D"/>
    <w:rsid w:val="00DC61CF"/>
    <w:rsid w:val="00DC61E4"/>
    <w:rsid w:val="00DC62A8"/>
    <w:rsid w:val="00DC631B"/>
    <w:rsid w:val="00DC631E"/>
    <w:rsid w:val="00DC632E"/>
    <w:rsid w:val="00DC6331"/>
    <w:rsid w:val="00DC6352"/>
    <w:rsid w:val="00DC63C1"/>
    <w:rsid w:val="00DC63DA"/>
    <w:rsid w:val="00DC63E9"/>
    <w:rsid w:val="00DC63F8"/>
    <w:rsid w:val="00DC6421"/>
    <w:rsid w:val="00DC644D"/>
    <w:rsid w:val="00DC6506"/>
    <w:rsid w:val="00DC6590"/>
    <w:rsid w:val="00DC659B"/>
    <w:rsid w:val="00DC65A2"/>
    <w:rsid w:val="00DC65DA"/>
    <w:rsid w:val="00DC6611"/>
    <w:rsid w:val="00DC6654"/>
    <w:rsid w:val="00DC6721"/>
    <w:rsid w:val="00DC6723"/>
    <w:rsid w:val="00DC6791"/>
    <w:rsid w:val="00DC6891"/>
    <w:rsid w:val="00DC6893"/>
    <w:rsid w:val="00DC68B4"/>
    <w:rsid w:val="00DC6931"/>
    <w:rsid w:val="00DC699E"/>
    <w:rsid w:val="00DC69C3"/>
    <w:rsid w:val="00DC6BBC"/>
    <w:rsid w:val="00DC6C24"/>
    <w:rsid w:val="00DC6C64"/>
    <w:rsid w:val="00DC6CD1"/>
    <w:rsid w:val="00DC6CF3"/>
    <w:rsid w:val="00DC6D0C"/>
    <w:rsid w:val="00DC6D16"/>
    <w:rsid w:val="00DC6D3F"/>
    <w:rsid w:val="00DC6D91"/>
    <w:rsid w:val="00DC6DCA"/>
    <w:rsid w:val="00DC6E9D"/>
    <w:rsid w:val="00DC6EDF"/>
    <w:rsid w:val="00DC6F8A"/>
    <w:rsid w:val="00DC6FC0"/>
    <w:rsid w:val="00DC7001"/>
    <w:rsid w:val="00DC710A"/>
    <w:rsid w:val="00DC7125"/>
    <w:rsid w:val="00DC7131"/>
    <w:rsid w:val="00DC716D"/>
    <w:rsid w:val="00DC71C0"/>
    <w:rsid w:val="00DC722A"/>
    <w:rsid w:val="00DC7265"/>
    <w:rsid w:val="00DC7279"/>
    <w:rsid w:val="00DC7285"/>
    <w:rsid w:val="00DC72C8"/>
    <w:rsid w:val="00DC7392"/>
    <w:rsid w:val="00DC73BF"/>
    <w:rsid w:val="00DC73C5"/>
    <w:rsid w:val="00DC73D5"/>
    <w:rsid w:val="00DC7474"/>
    <w:rsid w:val="00DC74AE"/>
    <w:rsid w:val="00DC74D8"/>
    <w:rsid w:val="00DC7506"/>
    <w:rsid w:val="00DC7524"/>
    <w:rsid w:val="00DC75E5"/>
    <w:rsid w:val="00DC75E7"/>
    <w:rsid w:val="00DC768C"/>
    <w:rsid w:val="00DC76DC"/>
    <w:rsid w:val="00DC76FB"/>
    <w:rsid w:val="00DC7783"/>
    <w:rsid w:val="00DC7798"/>
    <w:rsid w:val="00DC77CF"/>
    <w:rsid w:val="00DC7806"/>
    <w:rsid w:val="00DC7822"/>
    <w:rsid w:val="00DC7887"/>
    <w:rsid w:val="00DC78A5"/>
    <w:rsid w:val="00DC7913"/>
    <w:rsid w:val="00DC79A3"/>
    <w:rsid w:val="00DC79B0"/>
    <w:rsid w:val="00DC79F1"/>
    <w:rsid w:val="00DC7A3D"/>
    <w:rsid w:val="00DC7A42"/>
    <w:rsid w:val="00DC7A4E"/>
    <w:rsid w:val="00DC7B26"/>
    <w:rsid w:val="00DC7B5E"/>
    <w:rsid w:val="00DC7BAE"/>
    <w:rsid w:val="00DC7BF2"/>
    <w:rsid w:val="00DC7C7A"/>
    <w:rsid w:val="00DC7CAE"/>
    <w:rsid w:val="00DC7CBD"/>
    <w:rsid w:val="00DC7CDE"/>
    <w:rsid w:val="00DC7CF6"/>
    <w:rsid w:val="00DC7D75"/>
    <w:rsid w:val="00DC7F3F"/>
    <w:rsid w:val="00DC7F62"/>
    <w:rsid w:val="00DD0030"/>
    <w:rsid w:val="00DD00AA"/>
    <w:rsid w:val="00DD0168"/>
    <w:rsid w:val="00DD0180"/>
    <w:rsid w:val="00DD0190"/>
    <w:rsid w:val="00DD0212"/>
    <w:rsid w:val="00DD0234"/>
    <w:rsid w:val="00DD028D"/>
    <w:rsid w:val="00DD02BD"/>
    <w:rsid w:val="00DD0416"/>
    <w:rsid w:val="00DD055C"/>
    <w:rsid w:val="00DD0577"/>
    <w:rsid w:val="00DD0689"/>
    <w:rsid w:val="00DD06AF"/>
    <w:rsid w:val="00DD06EB"/>
    <w:rsid w:val="00DD07FB"/>
    <w:rsid w:val="00DD088D"/>
    <w:rsid w:val="00DD08F8"/>
    <w:rsid w:val="00DD0996"/>
    <w:rsid w:val="00DD09D9"/>
    <w:rsid w:val="00DD09DE"/>
    <w:rsid w:val="00DD0A5F"/>
    <w:rsid w:val="00DD0AF9"/>
    <w:rsid w:val="00DD0B21"/>
    <w:rsid w:val="00DD0BD1"/>
    <w:rsid w:val="00DD0BD5"/>
    <w:rsid w:val="00DD0CBF"/>
    <w:rsid w:val="00DD0DA5"/>
    <w:rsid w:val="00DD0E58"/>
    <w:rsid w:val="00DD0E90"/>
    <w:rsid w:val="00DD0EE3"/>
    <w:rsid w:val="00DD0F40"/>
    <w:rsid w:val="00DD0F44"/>
    <w:rsid w:val="00DD0F4E"/>
    <w:rsid w:val="00DD0F5A"/>
    <w:rsid w:val="00DD0F97"/>
    <w:rsid w:val="00DD0FDD"/>
    <w:rsid w:val="00DD0FDE"/>
    <w:rsid w:val="00DD1002"/>
    <w:rsid w:val="00DD1031"/>
    <w:rsid w:val="00DD1033"/>
    <w:rsid w:val="00DD10A6"/>
    <w:rsid w:val="00DD10DE"/>
    <w:rsid w:val="00DD10F4"/>
    <w:rsid w:val="00DD10F5"/>
    <w:rsid w:val="00DD111C"/>
    <w:rsid w:val="00DD115D"/>
    <w:rsid w:val="00DD1165"/>
    <w:rsid w:val="00DD1172"/>
    <w:rsid w:val="00DD11AE"/>
    <w:rsid w:val="00DD11CE"/>
    <w:rsid w:val="00DD1224"/>
    <w:rsid w:val="00DD1245"/>
    <w:rsid w:val="00DD12DF"/>
    <w:rsid w:val="00DD1325"/>
    <w:rsid w:val="00DD132C"/>
    <w:rsid w:val="00DD138C"/>
    <w:rsid w:val="00DD13CB"/>
    <w:rsid w:val="00DD1477"/>
    <w:rsid w:val="00DD149E"/>
    <w:rsid w:val="00DD14B6"/>
    <w:rsid w:val="00DD1512"/>
    <w:rsid w:val="00DD1593"/>
    <w:rsid w:val="00DD15A2"/>
    <w:rsid w:val="00DD15A5"/>
    <w:rsid w:val="00DD15E8"/>
    <w:rsid w:val="00DD163F"/>
    <w:rsid w:val="00DD168B"/>
    <w:rsid w:val="00DD1729"/>
    <w:rsid w:val="00DD1743"/>
    <w:rsid w:val="00DD1753"/>
    <w:rsid w:val="00DD17EA"/>
    <w:rsid w:val="00DD1801"/>
    <w:rsid w:val="00DD1828"/>
    <w:rsid w:val="00DD1857"/>
    <w:rsid w:val="00DD185F"/>
    <w:rsid w:val="00DD18F9"/>
    <w:rsid w:val="00DD191B"/>
    <w:rsid w:val="00DD192A"/>
    <w:rsid w:val="00DD1937"/>
    <w:rsid w:val="00DD1973"/>
    <w:rsid w:val="00DD1997"/>
    <w:rsid w:val="00DD19A2"/>
    <w:rsid w:val="00DD19D2"/>
    <w:rsid w:val="00DD19EE"/>
    <w:rsid w:val="00DD19F2"/>
    <w:rsid w:val="00DD1A09"/>
    <w:rsid w:val="00DD1A3A"/>
    <w:rsid w:val="00DD1A58"/>
    <w:rsid w:val="00DD1AAE"/>
    <w:rsid w:val="00DD1ADC"/>
    <w:rsid w:val="00DD1AF1"/>
    <w:rsid w:val="00DD1B32"/>
    <w:rsid w:val="00DD1B91"/>
    <w:rsid w:val="00DD1CCF"/>
    <w:rsid w:val="00DD1D13"/>
    <w:rsid w:val="00DD1D29"/>
    <w:rsid w:val="00DD1D60"/>
    <w:rsid w:val="00DD1DFB"/>
    <w:rsid w:val="00DD1E1E"/>
    <w:rsid w:val="00DD1E2D"/>
    <w:rsid w:val="00DD1E8F"/>
    <w:rsid w:val="00DD1EAF"/>
    <w:rsid w:val="00DD1EBF"/>
    <w:rsid w:val="00DD1F42"/>
    <w:rsid w:val="00DD1F50"/>
    <w:rsid w:val="00DD1F8B"/>
    <w:rsid w:val="00DD1F95"/>
    <w:rsid w:val="00DD1FB3"/>
    <w:rsid w:val="00DD1FBF"/>
    <w:rsid w:val="00DD2029"/>
    <w:rsid w:val="00DD2056"/>
    <w:rsid w:val="00DD206B"/>
    <w:rsid w:val="00DD207D"/>
    <w:rsid w:val="00DD20B2"/>
    <w:rsid w:val="00DD20F3"/>
    <w:rsid w:val="00DD2114"/>
    <w:rsid w:val="00DD2156"/>
    <w:rsid w:val="00DD216C"/>
    <w:rsid w:val="00DD21B3"/>
    <w:rsid w:val="00DD21D6"/>
    <w:rsid w:val="00DD223A"/>
    <w:rsid w:val="00DD223C"/>
    <w:rsid w:val="00DD2370"/>
    <w:rsid w:val="00DD2392"/>
    <w:rsid w:val="00DD23C8"/>
    <w:rsid w:val="00DD23C9"/>
    <w:rsid w:val="00DD2470"/>
    <w:rsid w:val="00DD256F"/>
    <w:rsid w:val="00DD263B"/>
    <w:rsid w:val="00DD2642"/>
    <w:rsid w:val="00DD26A5"/>
    <w:rsid w:val="00DD26A7"/>
    <w:rsid w:val="00DD26CD"/>
    <w:rsid w:val="00DD2718"/>
    <w:rsid w:val="00DD28B3"/>
    <w:rsid w:val="00DD2924"/>
    <w:rsid w:val="00DD2932"/>
    <w:rsid w:val="00DD2951"/>
    <w:rsid w:val="00DD296A"/>
    <w:rsid w:val="00DD29A5"/>
    <w:rsid w:val="00DD29F3"/>
    <w:rsid w:val="00DD2A1D"/>
    <w:rsid w:val="00DD2A3D"/>
    <w:rsid w:val="00DD2A87"/>
    <w:rsid w:val="00DD2B55"/>
    <w:rsid w:val="00DD2BF3"/>
    <w:rsid w:val="00DD2C75"/>
    <w:rsid w:val="00DD2D4B"/>
    <w:rsid w:val="00DD2D84"/>
    <w:rsid w:val="00DD2DC1"/>
    <w:rsid w:val="00DD2E6D"/>
    <w:rsid w:val="00DD2F03"/>
    <w:rsid w:val="00DD2F0E"/>
    <w:rsid w:val="00DD2F30"/>
    <w:rsid w:val="00DD2F35"/>
    <w:rsid w:val="00DD2F4D"/>
    <w:rsid w:val="00DD2F6D"/>
    <w:rsid w:val="00DD3086"/>
    <w:rsid w:val="00DD30F8"/>
    <w:rsid w:val="00DD3124"/>
    <w:rsid w:val="00DD317D"/>
    <w:rsid w:val="00DD319B"/>
    <w:rsid w:val="00DD31E3"/>
    <w:rsid w:val="00DD322C"/>
    <w:rsid w:val="00DD32BD"/>
    <w:rsid w:val="00DD3325"/>
    <w:rsid w:val="00DD3338"/>
    <w:rsid w:val="00DD33B0"/>
    <w:rsid w:val="00DD33BB"/>
    <w:rsid w:val="00DD33D1"/>
    <w:rsid w:val="00DD3417"/>
    <w:rsid w:val="00DD3425"/>
    <w:rsid w:val="00DD3437"/>
    <w:rsid w:val="00DD350E"/>
    <w:rsid w:val="00DD35BD"/>
    <w:rsid w:val="00DD35C9"/>
    <w:rsid w:val="00DD3632"/>
    <w:rsid w:val="00DD367A"/>
    <w:rsid w:val="00DD37DB"/>
    <w:rsid w:val="00DD3849"/>
    <w:rsid w:val="00DD3897"/>
    <w:rsid w:val="00DD3948"/>
    <w:rsid w:val="00DD39ED"/>
    <w:rsid w:val="00DD3A19"/>
    <w:rsid w:val="00DD3A76"/>
    <w:rsid w:val="00DD3A93"/>
    <w:rsid w:val="00DD3B1A"/>
    <w:rsid w:val="00DD3B3C"/>
    <w:rsid w:val="00DD3B6B"/>
    <w:rsid w:val="00DD3BA1"/>
    <w:rsid w:val="00DD3BD1"/>
    <w:rsid w:val="00DD3BF1"/>
    <w:rsid w:val="00DD3C3D"/>
    <w:rsid w:val="00DD3C43"/>
    <w:rsid w:val="00DD3C58"/>
    <w:rsid w:val="00DD3C72"/>
    <w:rsid w:val="00DD3CDA"/>
    <w:rsid w:val="00DD3D02"/>
    <w:rsid w:val="00DD3D0A"/>
    <w:rsid w:val="00DD3D1E"/>
    <w:rsid w:val="00DD3D6F"/>
    <w:rsid w:val="00DD3DF5"/>
    <w:rsid w:val="00DD3E7E"/>
    <w:rsid w:val="00DD3EED"/>
    <w:rsid w:val="00DD3F7D"/>
    <w:rsid w:val="00DD401A"/>
    <w:rsid w:val="00DD412F"/>
    <w:rsid w:val="00DD4215"/>
    <w:rsid w:val="00DD4227"/>
    <w:rsid w:val="00DD4265"/>
    <w:rsid w:val="00DD426C"/>
    <w:rsid w:val="00DD430B"/>
    <w:rsid w:val="00DD4315"/>
    <w:rsid w:val="00DD43EE"/>
    <w:rsid w:val="00DD4487"/>
    <w:rsid w:val="00DD44D9"/>
    <w:rsid w:val="00DD44EE"/>
    <w:rsid w:val="00DD44F0"/>
    <w:rsid w:val="00DD4507"/>
    <w:rsid w:val="00DD4544"/>
    <w:rsid w:val="00DD4588"/>
    <w:rsid w:val="00DD46B3"/>
    <w:rsid w:val="00DD46BE"/>
    <w:rsid w:val="00DD47FE"/>
    <w:rsid w:val="00DD4866"/>
    <w:rsid w:val="00DD487B"/>
    <w:rsid w:val="00DD48C2"/>
    <w:rsid w:val="00DD4908"/>
    <w:rsid w:val="00DD490D"/>
    <w:rsid w:val="00DD49A2"/>
    <w:rsid w:val="00DD49AA"/>
    <w:rsid w:val="00DD49E1"/>
    <w:rsid w:val="00DD4A16"/>
    <w:rsid w:val="00DD4A2B"/>
    <w:rsid w:val="00DD4A61"/>
    <w:rsid w:val="00DD4A79"/>
    <w:rsid w:val="00DD4B0B"/>
    <w:rsid w:val="00DD4B19"/>
    <w:rsid w:val="00DD4B30"/>
    <w:rsid w:val="00DD4B74"/>
    <w:rsid w:val="00DD4B9D"/>
    <w:rsid w:val="00DD4BAE"/>
    <w:rsid w:val="00DD4BDD"/>
    <w:rsid w:val="00DD4C02"/>
    <w:rsid w:val="00DD4CC8"/>
    <w:rsid w:val="00DD4DA6"/>
    <w:rsid w:val="00DD4DB0"/>
    <w:rsid w:val="00DD4E2B"/>
    <w:rsid w:val="00DD4E4F"/>
    <w:rsid w:val="00DD4F7A"/>
    <w:rsid w:val="00DD4FA1"/>
    <w:rsid w:val="00DD4FF3"/>
    <w:rsid w:val="00DD503F"/>
    <w:rsid w:val="00DD5050"/>
    <w:rsid w:val="00DD511A"/>
    <w:rsid w:val="00DD5122"/>
    <w:rsid w:val="00DD517F"/>
    <w:rsid w:val="00DD5243"/>
    <w:rsid w:val="00DD5278"/>
    <w:rsid w:val="00DD52A7"/>
    <w:rsid w:val="00DD5381"/>
    <w:rsid w:val="00DD53B4"/>
    <w:rsid w:val="00DD54DD"/>
    <w:rsid w:val="00DD5555"/>
    <w:rsid w:val="00DD5579"/>
    <w:rsid w:val="00DD5581"/>
    <w:rsid w:val="00DD558D"/>
    <w:rsid w:val="00DD5598"/>
    <w:rsid w:val="00DD5638"/>
    <w:rsid w:val="00DD5701"/>
    <w:rsid w:val="00DD5745"/>
    <w:rsid w:val="00DD5789"/>
    <w:rsid w:val="00DD57EF"/>
    <w:rsid w:val="00DD57FA"/>
    <w:rsid w:val="00DD58B6"/>
    <w:rsid w:val="00DD5917"/>
    <w:rsid w:val="00DD5929"/>
    <w:rsid w:val="00DD59A3"/>
    <w:rsid w:val="00DD59BC"/>
    <w:rsid w:val="00DD59C9"/>
    <w:rsid w:val="00DD59FF"/>
    <w:rsid w:val="00DD5A78"/>
    <w:rsid w:val="00DD5B06"/>
    <w:rsid w:val="00DD5B49"/>
    <w:rsid w:val="00DD5B4B"/>
    <w:rsid w:val="00DD5BB5"/>
    <w:rsid w:val="00DD5C03"/>
    <w:rsid w:val="00DD5CB2"/>
    <w:rsid w:val="00DD5CFB"/>
    <w:rsid w:val="00DD5D1E"/>
    <w:rsid w:val="00DD5D46"/>
    <w:rsid w:val="00DD5D9F"/>
    <w:rsid w:val="00DD5E43"/>
    <w:rsid w:val="00DD5E7B"/>
    <w:rsid w:val="00DD5E83"/>
    <w:rsid w:val="00DD5F3C"/>
    <w:rsid w:val="00DD5F74"/>
    <w:rsid w:val="00DD5F78"/>
    <w:rsid w:val="00DD5F7F"/>
    <w:rsid w:val="00DD5F9C"/>
    <w:rsid w:val="00DD5FEA"/>
    <w:rsid w:val="00DD600B"/>
    <w:rsid w:val="00DD600E"/>
    <w:rsid w:val="00DD61B3"/>
    <w:rsid w:val="00DD6239"/>
    <w:rsid w:val="00DD6270"/>
    <w:rsid w:val="00DD6282"/>
    <w:rsid w:val="00DD62B4"/>
    <w:rsid w:val="00DD6330"/>
    <w:rsid w:val="00DD639E"/>
    <w:rsid w:val="00DD6424"/>
    <w:rsid w:val="00DD643B"/>
    <w:rsid w:val="00DD645F"/>
    <w:rsid w:val="00DD6477"/>
    <w:rsid w:val="00DD648F"/>
    <w:rsid w:val="00DD649C"/>
    <w:rsid w:val="00DD64F5"/>
    <w:rsid w:val="00DD657E"/>
    <w:rsid w:val="00DD6590"/>
    <w:rsid w:val="00DD65A2"/>
    <w:rsid w:val="00DD65DD"/>
    <w:rsid w:val="00DD660F"/>
    <w:rsid w:val="00DD671C"/>
    <w:rsid w:val="00DD6830"/>
    <w:rsid w:val="00DD6850"/>
    <w:rsid w:val="00DD68BF"/>
    <w:rsid w:val="00DD68D1"/>
    <w:rsid w:val="00DD68E6"/>
    <w:rsid w:val="00DD6933"/>
    <w:rsid w:val="00DD697E"/>
    <w:rsid w:val="00DD69CE"/>
    <w:rsid w:val="00DD69E3"/>
    <w:rsid w:val="00DD6A58"/>
    <w:rsid w:val="00DD6AFE"/>
    <w:rsid w:val="00DD6BB2"/>
    <w:rsid w:val="00DD6BBE"/>
    <w:rsid w:val="00DD6BE6"/>
    <w:rsid w:val="00DD6CB1"/>
    <w:rsid w:val="00DD6CC7"/>
    <w:rsid w:val="00DD6D3F"/>
    <w:rsid w:val="00DD6D95"/>
    <w:rsid w:val="00DD6DCB"/>
    <w:rsid w:val="00DD6DEF"/>
    <w:rsid w:val="00DD6DF5"/>
    <w:rsid w:val="00DD6EFB"/>
    <w:rsid w:val="00DD6F2A"/>
    <w:rsid w:val="00DD6F96"/>
    <w:rsid w:val="00DD6FA7"/>
    <w:rsid w:val="00DD6FAC"/>
    <w:rsid w:val="00DD6FAE"/>
    <w:rsid w:val="00DD7050"/>
    <w:rsid w:val="00DD7081"/>
    <w:rsid w:val="00DD70A5"/>
    <w:rsid w:val="00DD7169"/>
    <w:rsid w:val="00DD718F"/>
    <w:rsid w:val="00DD7215"/>
    <w:rsid w:val="00DD7288"/>
    <w:rsid w:val="00DD7398"/>
    <w:rsid w:val="00DD73A9"/>
    <w:rsid w:val="00DD742F"/>
    <w:rsid w:val="00DD74B8"/>
    <w:rsid w:val="00DD74BE"/>
    <w:rsid w:val="00DD750E"/>
    <w:rsid w:val="00DD7547"/>
    <w:rsid w:val="00DD756F"/>
    <w:rsid w:val="00DD769F"/>
    <w:rsid w:val="00DD7701"/>
    <w:rsid w:val="00DD78F6"/>
    <w:rsid w:val="00DD7974"/>
    <w:rsid w:val="00DD7A37"/>
    <w:rsid w:val="00DD7B1A"/>
    <w:rsid w:val="00DD7B34"/>
    <w:rsid w:val="00DD7B60"/>
    <w:rsid w:val="00DD7C6F"/>
    <w:rsid w:val="00DD7C74"/>
    <w:rsid w:val="00DD7CB6"/>
    <w:rsid w:val="00DD7D05"/>
    <w:rsid w:val="00DD7D0E"/>
    <w:rsid w:val="00DD7D31"/>
    <w:rsid w:val="00DD7D36"/>
    <w:rsid w:val="00DD7D99"/>
    <w:rsid w:val="00DD7DB0"/>
    <w:rsid w:val="00DD7DD3"/>
    <w:rsid w:val="00DD7E4A"/>
    <w:rsid w:val="00DD7F1D"/>
    <w:rsid w:val="00DD7F27"/>
    <w:rsid w:val="00DD7F50"/>
    <w:rsid w:val="00DE0016"/>
    <w:rsid w:val="00DE0044"/>
    <w:rsid w:val="00DE0091"/>
    <w:rsid w:val="00DE00D7"/>
    <w:rsid w:val="00DE013D"/>
    <w:rsid w:val="00DE0165"/>
    <w:rsid w:val="00DE01DF"/>
    <w:rsid w:val="00DE01F3"/>
    <w:rsid w:val="00DE021E"/>
    <w:rsid w:val="00DE0224"/>
    <w:rsid w:val="00DE0266"/>
    <w:rsid w:val="00DE027F"/>
    <w:rsid w:val="00DE02B2"/>
    <w:rsid w:val="00DE02B9"/>
    <w:rsid w:val="00DE030E"/>
    <w:rsid w:val="00DE0320"/>
    <w:rsid w:val="00DE0372"/>
    <w:rsid w:val="00DE040D"/>
    <w:rsid w:val="00DE04AA"/>
    <w:rsid w:val="00DE04FB"/>
    <w:rsid w:val="00DE0583"/>
    <w:rsid w:val="00DE0593"/>
    <w:rsid w:val="00DE05B0"/>
    <w:rsid w:val="00DE0668"/>
    <w:rsid w:val="00DE072D"/>
    <w:rsid w:val="00DE073E"/>
    <w:rsid w:val="00DE0757"/>
    <w:rsid w:val="00DE07A2"/>
    <w:rsid w:val="00DE080E"/>
    <w:rsid w:val="00DE08BB"/>
    <w:rsid w:val="00DE08BE"/>
    <w:rsid w:val="00DE0901"/>
    <w:rsid w:val="00DE0985"/>
    <w:rsid w:val="00DE09DF"/>
    <w:rsid w:val="00DE0A4B"/>
    <w:rsid w:val="00DE0A74"/>
    <w:rsid w:val="00DE0BD8"/>
    <w:rsid w:val="00DE0C0A"/>
    <w:rsid w:val="00DE0C60"/>
    <w:rsid w:val="00DE0D91"/>
    <w:rsid w:val="00DE0E1F"/>
    <w:rsid w:val="00DE0F12"/>
    <w:rsid w:val="00DE0F21"/>
    <w:rsid w:val="00DE0F4C"/>
    <w:rsid w:val="00DE0F84"/>
    <w:rsid w:val="00DE0FA4"/>
    <w:rsid w:val="00DE0FF8"/>
    <w:rsid w:val="00DE1006"/>
    <w:rsid w:val="00DE1009"/>
    <w:rsid w:val="00DE1034"/>
    <w:rsid w:val="00DE10B0"/>
    <w:rsid w:val="00DE10BB"/>
    <w:rsid w:val="00DE1142"/>
    <w:rsid w:val="00DE1158"/>
    <w:rsid w:val="00DE1175"/>
    <w:rsid w:val="00DE11A9"/>
    <w:rsid w:val="00DE11D9"/>
    <w:rsid w:val="00DE11DD"/>
    <w:rsid w:val="00DE12A7"/>
    <w:rsid w:val="00DE12C4"/>
    <w:rsid w:val="00DE12E2"/>
    <w:rsid w:val="00DE1335"/>
    <w:rsid w:val="00DE13E4"/>
    <w:rsid w:val="00DE145B"/>
    <w:rsid w:val="00DE1480"/>
    <w:rsid w:val="00DE149B"/>
    <w:rsid w:val="00DE14B5"/>
    <w:rsid w:val="00DE14CB"/>
    <w:rsid w:val="00DE1513"/>
    <w:rsid w:val="00DE15E2"/>
    <w:rsid w:val="00DE1649"/>
    <w:rsid w:val="00DE1697"/>
    <w:rsid w:val="00DE16B4"/>
    <w:rsid w:val="00DE16C6"/>
    <w:rsid w:val="00DE175E"/>
    <w:rsid w:val="00DE17C9"/>
    <w:rsid w:val="00DE17EB"/>
    <w:rsid w:val="00DE180C"/>
    <w:rsid w:val="00DE1814"/>
    <w:rsid w:val="00DE1837"/>
    <w:rsid w:val="00DE183F"/>
    <w:rsid w:val="00DE1883"/>
    <w:rsid w:val="00DE189F"/>
    <w:rsid w:val="00DE18B9"/>
    <w:rsid w:val="00DE18CC"/>
    <w:rsid w:val="00DE1A08"/>
    <w:rsid w:val="00DE1A22"/>
    <w:rsid w:val="00DE1A2F"/>
    <w:rsid w:val="00DE1A36"/>
    <w:rsid w:val="00DE1A9C"/>
    <w:rsid w:val="00DE1ACA"/>
    <w:rsid w:val="00DE1ACF"/>
    <w:rsid w:val="00DE1B0A"/>
    <w:rsid w:val="00DE1BB9"/>
    <w:rsid w:val="00DE1C04"/>
    <w:rsid w:val="00DE1C4D"/>
    <w:rsid w:val="00DE1C52"/>
    <w:rsid w:val="00DE1C74"/>
    <w:rsid w:val="00DE1CA1"/>
    <w:rsid w:val="00DE1DE9"/>
    <w:rsid w:val="00DE1E04"/>
    <w:rsid w:val="00DE1E07"/>
    <w:rsid w:val="00DE1ED0"/>
    <w:rsid w:val="00DE1EFC"/>
    <w:rsid w:val="00DE1F86"/>
    <w:rsid w:val="00DE1FB4"/>
    <w:rsid w:val="00DE2004"/>
    <w:rsid w:val="00DE20B3"/>
    <w:rsid w:val="00DE2111"/>
    <w:rsid w:val="00DE2223"/>
    <w:rsid w:val="00DE2240"/>
    <w:rsid w:val="00DE2250"/>
    <w:rsid w:val="00DE2289"/>
    <w:rsid w:val="00DE22F0"/>
    <w:rsid w:val="00DE232D"/>
    <w:rsid w:val="00DE235D"/>
    <w:rsid w:val="00DE2360"/>
    <w:rsid w:val="00DE23FE"/>
    <w:rsid w:val="00DE2437"/>
    <w:rsid w:val="00DE2572"/>
    <w:rsid w:val="00DE25B2"/>
    <w:rsid w:val="00DE25C4"/>
    <w:rsid w:val="00DE25FA"/>
    <w:rsid w:val="00DE265F"/>
    <w:rsid w:val="00DE26B2"/>
    <w:rsid w:val="00DE26B6"/>
    <w:rsid w:val="00DE274C"/>
    <w:rsid w:val="00DE27B6"/>
    <w:rsid w:val="00DE27DF"/>
    <w:rsid w:val="00DE28AA"/>
    <w:rsid w:val="00DE28BB"/>
    <w:rsid w:val="00DE2950"/>
    <w:rsid w:val="00DE2960"/>
    <w:rsid w:val="00DE299A"/>
    <w:rsid w:val="00DE2A2C"/>
    <w:rsid w:val="00DE2A7D"/>
    <w:rsid w:val="00DE2B12"/>
    <w:rsid w:val="00DE2B66"/>
    <w:rsid w:val="00DE2B6C"/>
    <w:rsid w:val="00DE2B7A"/>
    <w:rsid w:val="00DE2BD1"/>
    <w:rsid w:val="00DE2BDB"/>
    <w:rsid w:val="00DE2C3D"/>
    <w:rsid w:val="00DE2CD4"/>
    <w:rsid w:val="00DE2CDD"/>
    <w:rsid w:val="00DE2D0E"/>
    <w:rsid w:val="00DE2D68"/>
    <w:rsid w:val="00DE2DA7"/>
    <w:rsid w:val="00DE2DBF"/>
    <w:rsid w:val="00DE2DDA"/>
    <w:rsid w:val="00DE2E61"/>
    <w:rsid w:val="00DE3012"/>
    <w:rsid w:val="00DE302A"/>
    <w:rsid w:val="00DE3043"/>
    <w:rsid w:val="00DE3073"/>
    <w:rsid w:val="00DE3095"/>
    <w:rsid w:val="00DE30DD"/>
    <w:rsid w:val="00DE30E9"/>
    <w:rsid w:val="00DE313C"/>
    <w:rsid w:val="00DE3166"/>
    <w:rsid w:val="00DE31B3"/>
    <w:rsid w:val="00DE31D3"/>
    <w:rsid w:val="00DE32B6"/>
    <w:rsid w:val="00DE32B8"/>
    <w:rsid w:val="00DE32E2"/>
    <w:rsid w:val="00DE3317"/>
    <w:rsid w:val="00DE33E2"/>
    <w:rsid w:val="00DE33EF"/>
    <w:rsid w:val="00DE352A"/>
    <w:rsid w:val="00DE354F"/>
    <w:rsid w:val="00DE35F5"/>
    <w:rsid w:val="00DE3607"/>
    <w:rsid w:val="00DE361E"/>
    <w:rsid w:val="00DE363A"/>
    <w:rsid w:val="00DE3649"/>
    <w:rsid w:val="00DE3660"/>
    <w:rsid w:val="00DE369F"/>
    <w:rsid w:val="00DE36F6"/>
    <w:rsid w:val="00DE3747"/>
    <w:rsid w:val="00DE379E"/>
    <w:rsid w:val="00DE37A7"/>
    <w:rsid w:val="00DE37BA"/>
    <w:rsid w:val="00DE3825"/>
    <w:rsid w:val="00DE396C"/>
    <w:rsid w:val="00DE3A3F"/>
    <w:rsid w:val="00DE3A81"/>
    <w:rsid w:val="00DE3A8E"/>
    <w:rsid w:val="00DE3AB8"/>
    <w:rsid w:val="00DE3ABF"/>
    <w:rsid w:val="00DE3AC5"/>
    <w:rsid w:val="00DE3B09"/>
    <w:rsid w:val="00DE3B58"/>
    <w:rsid w:val="00DE3C7D"/>
    <w:rsid w:val="00DE3CAA"/>
    <w:rsid w:val="00DE3D30"/>
    <w:rsid w:val="00DE3DB8"/>
    <w:rsid w:val="00DE3E1F"/>
    <w:rsid w:val="00DE3E28"/>
    <w:rsid w:val="00DE3E54"/>
    <w:rsid w:val="00DE3EE8"/>
    <w:rsid w:val="00DE3F1B"/>
    <w:rsid w:val="00DE3FBC"/>
    <w:rsid w:val="00DE4010"/>
    <w:rsid w:val="00DE4142"/>
    <w:rsid w:val="00DE414B"/>
    <w:rsid w:val="00DE418A"/>
    <w:rsid w:val="00DE41AB"/>
    <w:rsid w:val="00DE41BD"/>
    <w:rsid w:val="00DE4214"/>
    <w:rsid w:val="00DE425D"/>
    <w:rsid w:val="00DE4261"/>
    <w:rsid w:val="00DE42A3"/>
    <w:rsid w:val="00DE4348"/>
    <w:rsid w:val="00DE4397"/>
    <w:rsid w:val="00DE4434"/>
    <w:rsid w:val="00DE44CB"/>
    <w:rsid w:val="00DE4578"/>
    <w:rsid w:val="00DE458B"/>
    <w:rsid w:val="00DE458E"/>
    <w:rsid w:val="00DE4611"/>
    <w:rsid w:val="00DE4640"/>
    <w:rsid w:val="00DE4643"/>
    <w:rsid w:val="00DE4672"/>
    <w:rsid w:val="00DE46E6"/>
    <w:rsid w:val="00DE4742"/>
    <w:rsid w:val="00DE47CE"/>
    <w:rsid w:val="00DE47EC"/>
    <w:rsid w:val="00DE4848"/>
    <w:rsid w:val="00DE4875"/>
    <w:rsid w:val="00DE489B"/>
    <w:rsid w:val="00DE48EF"/>
    <w:rsid w:val="00DE490C"/>
    <w:rsid w:val="00DE4922"/>
    <w:rsid w:val="00DE4971"/>
    <w:rsid w:val="00DE49C7"/>
    <w:rsid w:val="00DE49C9"/>
    <w:rsid w:val="00DE4A33"/>
    <w:rsid w:val="00DE4A6C"/>
    <w:rsid w:val="00DE4AF7"/>
    <w:rsid w:val="00DE4B25"/>
    <w:rsid w:val="00DE4B40"/>
    <w:rsid w:val="00DE4B9E"/>
    <w:rsid w:val="00DE4BA6"/>
    <w:rsid w:val="00DE4BA7"/>
    <w:rsid w:val="00DE4C05"/>
    <w:rsid w:val="00DE4C75"/>
    <w:rsid w:val="00DE4CDC"/>
    <w:rsid w:val="00DE4E84"/>
    <w:rsid w:val="00DE4E8B"/>
    <w:rsid w:val="00DE4EE7"/>
    <w:rsid w:val="00DE4EEE"/>
    <w:rsid w:val="00DE4F00"/>
    <w:rsid w:val="00DE4F6A"/>
    <w:rsid w:val="00DE4F90"/>
    <w:rsid w:val="00DE501E"/>
    <w:rsid w:val="00DE5059"/>
    <w:rsid w:val="00DE50F1"/>
    <w:rsid w:val="00DE518E"/>
    <w:rsid w:val="00DE51DC"/>
    <w:rsid w:val="00DE5242"/>
    <w:rsid w:val="00DE5305"/>
    <w:rsid w:val="00DE5314"/>
    <w:rsid w:val="00DE53C3"/>
    <w:rsid w:val="00DE5427"/>
    <w:rsid w:val="00DE54AE"/>
    <w:rsid w:val="00DE54B6"/>
    <w:rsid w:val="00DE55B9"/>
    <w:rsid w:val="00DE55BA"/>
    <w:rsid w:val="00DE55CA"/>
    <w:rsid w:val="00DE55E1"/>
    <w:rsid w:val="00DE562D"/>
    <w:rsid w:val="00DE5716"/>
    <w:rsid w:val="00DE5744"/>
    <w:rsid w:val="00DE5746"/>
    <w:rsid w:val="00DE5750"/>
    <w:rsid w:val="00DE575F"/>
    <w:rsid w:val="00DE58A8"/>
    <w:rsid w:val="00DE58F0"/>
    <w:rsid w:val="00DE5924"/>
    <w:rsid w:val="00DE5930"/>
    <w:rsid w:val="00DE5A08"/>
    <w:rsid w:val="00DE5A10"/>
    <w:rsid w:val="00DE5A27"/>
    <w:rsid w:val="00DE5A30"/>
    <w:rsid w:val="00DE5ACE"/>
    <w:rsid w:val="00DE5B7A"/>
    <w:rsid w:val="00DE5B7C"/>
    <w:rsid w:val="00DE5BE8"/>
    <w:rsid w:val="00DE5BE9"/>
    <w:rsid w:val="00DE5CBC"/>
    <w:rsid w:val="00DE5D2C"/>
    <w:rsid w:val="00DE5DC4"/>
    <w:rsid w:val="00DE5E2C"/>
    <w:rsid w:val="00DE5E44"/>
    <w:rsid w:val="00DE5E4B"/>
    <w:rsid w:val="00DE5E50"/>
    <w:rsid w:val="00DE5EA4"/>
    <w:rsid w:val="00DE5ED7"/>
    <w:rsid w:val="00DE5EE8"/>
    <w:rsid w:val="00DE5F2C"/>
    <w:rsid w:val="00DE5F83"/>
    <w:rsid w:val="00DE5F8A"/>
    <w:rsid w:val="00DE5FA2"/>
    <w:rsid w:val="00DE5FC8"/>
    <w:rsid w:val="00DE5FEA"/>
    <w:rsid w:val="00DE600E"/>
    <w:rsid w:val="00DE6037"/>
    <w:rsid w:val="00DE6087"/>
    <w:rsid w:val="00DE611C"/>
    <w:rsid w:val="00DE613B"/>
    <w:rsid w:val="00DE6154"/>
    <w:rsid w:val="00DE6191"/>
    <w:rsid w:val="00DE61A2"/>
    <w:rsid w:val="00DE61B6"/>
    <w:rsid w:val="00DE61CE"/>
    <w:rsid w:val="00DE63D7"/>
    <w:rsid w:val="00DE640F"/>
    <w:rsid w:val="00DE647D"/>
    <w:rsid w:val="00DE64F1"/>
    <w:rsid w:val="00DE6509"/>
    <w:rsid w:val="00DE652F"/>
    <w:rsid w:val="00DE655C"/>
    <w:rsid w:val="00DE6592"/>
    <w:rsid w:val="00DE664B"/>
    <w:rsid w:val="00DE66C1"/>
    <w:rsid w:val="00DE67BF"/>
    <w:rsid w:val="00DE67E8"/>
    <w:rsid w:val="00DE68A5"/>
    <w:rsid w:val="00DE6924"/>
    <w:rsid w:val="00DE6B53"/>
    <w:rsid w:val="00DE6B5E"/>
    <w:rsid w:val="00DE6B74"/>
    <w:rsid w:val="00DE6BDF"/>
    <w:rsid w:val="00DE6CBA"/>
    <w:rsid w:val="00DE6CF3"/>
    <w:rsid w:val="00DE6D54"/>
    <w:rsid w:val="00DE6D8E"/>
    <w:rsid w:val="00DE6D99"/>
    <w:rsid w:val="00DE6DB3"/>
    <w:rsid w:val="00DE6DCB"/>
    <w:rsid w:val="00DE6DDE"/>
    <w:rsid w:val="00DE6E4F"/>
    <w:rsid w:val="00DE6E56"/>
    <w:rsid w:val="00DE6E73"/>
    <w:rsid w:val="00DE6E90"/>
    <w:rsid w:val="00DE6EB5"/>
    <w:rsid w:val="00DE6FC8"/>
    <w:rsid w:val="00DE6FFC"/>
    <w:rsid w:val="00DE700E"/>
    <w:rsid w:val="00DE7097"/>
    <w:rsid w:val="00DE70AF"/>
    <w:rsid w:val="00DE70F4"/>
    <w:rsid w:val="00DE71DB"/>
    <w:rsid w:val="00DE7238"/>
    <w:rsid w:val="00DE72A3"/>
    <w:rsid w:val="00DE72E0"/>
    <w:rsid w:val="00DE7373"/>
    <w:rsid w:val="00DE739F"/>
    <w:rsid w:val="00DE73A2"/>
    <w:rsid w:val="00DE73B1"/>
    <w:rsid w:val="00DE73F7"/>
    <w:rsid w:val="00DE7450"/>
    <w:rsid w:val="00DE74E9"/>
    <w:rsid w:val="00DE7558"/>
    <w:rsid w:val="00DE7574"/>
    <w:rsid w:val="00DE75A7"/>
    <w:rsid w:val="00DE7622"/>
    <w:rsid w:val="00DE767E"/>
    <w:rsid w:val="00DE772F"/>
    <w:rsid w:val="00DE7738"/>
    <w:rsid w:val="00DE77AC"/>
    <w:rsid w:val="00DE77DB"/>
    <w:rsid w:val="00DE77F9"/>
    <w:rsid w:val="00DE782C"/>
    <w:rsid w:val="00DE7873"/>
    <w:rsid w:val="00DE787E"/>
    <w:rsid w:val="00DE78BE"/>
    <w:rsid w:val="00DE795C"/>
    <w:rsid w:val="00DE7987"/>
    <w:rsid w:val="00DE7A13"/>
    <w:rsid w:val="00DE7A9A"/>
    <w:rsid w:val="00DE7B90"/>
    <w:rsid w:val="00DE7C79"/>
    <w:rsid w:val="00DE7CEC"/>
    <w:rsid w:val="00DE7D5C"/>
    <w:rsid w:val="00DE7DED"/>
    <w:rsid w:val="00DE7EBA"/>
    <w:rsid w:val="00DE7EC8"/>
    <w:rsid w:val="00DE7F40"/>
    <w:rsid w:val="00DE7F44"/>
    <w:rsid w:val="00DE7F53"/>
    <w:rsid w:val="00DE7FEE"/>
    <w:rsid w:val="00DE7FF8"/>
    <w:rsid w:val="00DF005C"/>
    <w:rsid w:val="00DF00F1"/>
    <w:rsid w:val="00DF0182"/>
    <w:rsid w:val="00DF025D"/>
    <w:rsid w:val="00DF025E"/>
    <w:rsid w:val="00DF02EA"/>
    <w:rsid w:val="00DF02F4"/>
    <w:rsid w:val="00DF0311"/>
    <w:rsid w:val="00DF03C7"/>
    <w:rsid w:val="00DF03ED"/>
    <w:rsid w:val="00DF03F7"/>
    <w:rsid w:val="00DF047B"/>
    <w:rsid w:val="00DF0489"/>
    <w:rsid w:val="00DF050C"/>
    <w:rsid w:val="00DF059A"/>
    <w:rsid w:val="00DF05B6"/>
    <w:rsid w:val="00DF0617"/>
    <w:rsid w:val="00DF064E"/>
    <w:rsid w:val="00DF0686"/>
    <w:rsid w:val="00DF0687"/>
    <w:rsid w:val="00DF07BA"/>
    <w:rsid w:val="00DF0841"/>
    <w:rsid w:val="00DF08B7"/>
    <w:rsid w:val="00DF08E2"/>
    <w:rsid w:val="00DF08E5"/>
    <w:rsid w:val="00DF096D"/>
    <w:rsid w:val="00DF0984"/>
    <w:rsid w:val="00DF0A39"/>
    <w:rsid w:val="00DF0A5C"/>
    <w:rsid w:val="00DF0AB0"/>
    <w:rsid w:val="00DF0ADB"/>
    <w:rsid w:val="00DF0AEC"/>
    <w:rsid w:val="00DF0B4A"/>
    <w:rsid w:val="00DF0BD0"/>
    <w:rsid w:val="00DF0BFB"/>
    <w:rsid w:val="00DF0C0F"/>
    <w:rsid w:val="00DF0C10"/>
    <w:rsid w:val="00DF0C39"/>
    <w:rsid w:val="00DF0CAB"/>
    <w:rsid w:val="00DF0D77"/>
    <w:rsid w:val="00DF0D9E"/>
    <w:rsid w:val="00DF0F83"/>
    <w:rsid w:val="00DF0FB3"/>
    <w:rsid w:val="00DF1047"/>
    <w:rsid w:val="00DF104E"/>
    <w:rsid w:val="00DF10B4"/>
    <w:rsid w:val="00DF118F"/>
    <w:rsid w:val="00DF11B6"/>
    <w:rsid w:val="00DF1209"/>
    <w:rsid w:val="00DF125F"/>
    <w:rsid w:val="00DF12F1"/>
    <w:rsid w:val="00DF12FB"/>
    <w:rsid w:val="00DF1358"/>
    <w:rsid w:val="00DF1390"/>
    <w:rsid w:val="00DF143E"/>
    <w:rsid w:val="00DF144F"/>
    <w:rsid w:val="00DF14C6"/>
    <w:rsid w:val="00DF153F"/>
    <w:rsid w:val="00DF1546"/>
    <w:rsid w:val="00DF1590"/>
    <w:rsid w:val="00DF159E"/>
    <w:rsid w:val="00DF15F6"/>
    <w:rsid w:val="00DF1687"/>
    <w:rsid w:val="00DF16B4"/>
    <w:rsid w:val="00DF16FF"/>
    <w:rsid w:val="00DF1740"/>
    <w:rsid w:val="00DF176C"/>
    <w:rsid w:val="00DF17A6"/>
    <w:rsid w:val="00DF17E6"/>
    <w:rsid w:val="00DF1823"/>
    <w:rsid w:val="00DF1844"/>
    <w:rsid w:val="00DF1877"/>
    <w:rsid w:val="00DF187A"/>
    <w:rsid w:val="00DF18A5"/>
    <w:rsid w:val="00DF195E"/>
    <w:rsid w:val="00DF1961"/>
    <w:rsid w:val="00DF1984"/>
    <w:rsid w:val="00DF1988"/>
    <w:rsid w:val="00DF19CB"/>
    <w:rsid w:val="00DF1A24"/>
    <w:rsid w:val="00DF1A57"/>
    <w:rsid w:val="00DF1BE7"/>
    <w:rsid w:val="00DF1C27"/>
    <w:rsid w:val="00DF1C6A"/>
    <w:rsid w:val="00DF1CBD"/>
    <w:rsid w:val="00DF1D10"/>
    <w:rsid w:val="00DF1D2F"/>
    <w:rsid w:val="00DF1D56"/>
    <w:rsid w:val="00DF1E66"/>
    <w:rsid w:val="00DF1E95"/>
    <w:rsid w:val="00DF1FE0"/>
    <w:rsid w:val="00DF1FE5"/>
    <w:rsid w:val="00DF203D"/>
    <w:rsid w:val="00DF204F"/>
    <w:rsid w:val="00DF205B"/>
    <w:rsid w:val="00DF2099"/>
    <w:rsid w:val="00DF209E"/>
    <w:rsid w:val="00DF20A2"/>
    <w:rsid w:val="00DF20D0"/>
    <w:rsid w:val="00DF20F5"/>
    <w:rsid w:val="00DF20FB"/>
    <w:rsid w:val="00DF2141"/>
    <w:rsid w:val="00DF215B"/>
    <w:rsid w:val="00DF2181"/>
    <w:rsid w:val="00DF2190"/>
    <w:rsid w:val="00DF2196"/>
    <w:rsid w:val="00DF21A0"/>
    <w:rsid w:val="00DF227B"/>
    <w:rsid w:val="00DF2282"/>
    <w:rsid w:val="00DF22FA"/>
    <w:rsid w:val="00DF2348"/>
    <w:rsid w:val="00DF23D8"/>
    <w:rsid w:val="00DF2448"/>
    <w:rsid w:val="00DF244B"/>
    <w:rsid w:val="00DF2499"/>
    <w:rsid w:val="00DF24D1"/>
    <w:rsid w:val="00DF2537"/>
    <w:rsid w:val="00DF2582"/>
    <w:rsid w:val="00DF25CF"/>
    <w:rsid w:val="00DF25D0"/>
    <w:rsid w:val="00DF2648"/>
    <w:rsid w:val="00DF264F"/>
    <w:rsid w:val="00DF2651"/>
    <w:rsid w:val="00DF2720"/>
    <w:rsid w:val="00DF27C2"/>
    <w:rsid w:val="00DF27CD"/>
    <w:rsid w:val="00DF2817"/>
    <w:rsid w:val="00DF2871"/>
    <w:rsid w:val="00DF28E9"/>
    <w:rsid w:val="00DF28FB"/>
    <w:rsid w:val="00DF290F"/>
    <w:rsid w:val="00DF2984"/>
    <w:rsid w:val="00DF2998"/>
    <w:rsid w:val="00DF29A7"/>
    <w:rsid w:val="00DF2A94"/>
    <w:rsid w:val="00DF2AD6"/>
    <w:rsid w:val="00DF2AE9"/>
    <w:rsid w:val="00DF2AFB"/>
    <w:rsid w:val="00DF2BAD"/>
    <w:rsid w:val="00DF2C0D"/>
    <w:rsid w:val="00DF2C1A"/>
    <w:rsid w:val="00DF2C66"/>
    <w:rsid w:val="00DF2CE8"/>
    <w:rsid w:val="00DF2D42"/>
    <w:rsid w:val="00DF2DF9"/>
    <w:rsid w:val="00DF2E10"/>
    <w:rsid w:val="00DF2E4B"/>
    <w:rsid w:val="00DF2E5E"/>
    <w:rsid w:val="00DF2EB5"/>
    <w:rsid w:val="00DF2EBA"/>
    <w:rsid w:val="00DF2ED8"/>
    <w:rsid w:val="00DF2EE2"/>
    <w:rsid w:val="00DF2EE3"/>
    <w:rsid w:val="00DF2F5B"/>
    <w:rsid w:val="00DF303A"/>
    <w:rsid w:val="00DF309E"/>
    <w:rsid w:val="00DF3172"/>
    <w:rsid w:val="00DF3185"/>
    <w:rsid w:val="00DF3191"/>
    <w:rsid w:val="00DF3206"/>
    <w:rsid w:val="00DF326D"/>
    <w:rsid w:val="00DF32FE"/>
    <w:rsid w:val="00DF33C9"/>
    <w:rsid w:val="00DF33F9"/>
    <w:rsid w:val="00DF346C"/>
    <w:rsid w:val="00DF34B3"/>
    <w:rsid w:val="00DF34C2"/>
    <w:rsid w:val="00DF34E0"/>
    <w:rsid w:val="00DF3518"/>
    <w:rsid w:val="00DF352E"/>
    <w:rsid w:val="00DF3580"/>
    <w:rsid w:val="00DF3585"/>
    <w:rsid w:val="00DF3599"/>
    <w:rsid w:val="00DF3609"/>
    <w:rsid w:val="00DF3630"/>
    <w:rsid w:val="00DF368C"/>
    <w:rsid w:val="00DF369F"/>
    <w:rsid w:val="00DF36D4"/>
    <w:rsid w:val="00DF3704"/>
    <w:rsid w:val="00DF3758"/>
    <w:rsid w:val="00DF379C"/>
    <w:rsid w:val="00DF37DD"/>
    <w:rsid w:val="00DF383F"/>
    <w:rsid w:val="00DF3868"/>
    <w:rsid w:val="00DF3936"/>
    <w:rsid w:val="00DF398C"/>
    <w:rsid w:val="00DF3A07"/>
    <w:rsid w:val="00DF3AA9"/>
    <w:rsid w:val="00DF3AE0"/>
    <w:rsid w:val="00DF3AF1"/>
    <w:rsid w:val="00DF3B09"/>
    <w:rsid w:val="00DF3B97"/>
    <w:rsid w:val="00DF3B9D"/>
    <w:rsid w:val="00DF3BB1"/>
    <w:rsid w:val="00DF3BFC"/>
    <w:rsid w:val="00DF3C73"/>
    <w:rsid w:val="00DF3CB1"/>
    <w:rsid w:val="00DF3DEA"/>
    <w:rsid w:val="00DF3E20"/>
    <w:rsid w:val="00DF3E54"/>
    <w:rsid w:val="00DF3E78"/>
    <w:rsid w:val="00DF3E83"/>
    <w:rsid w:val="00DF3E9F"/>
    <w:rsid w:val="00DF3EF3"/>
    <w:rsid w:val="00DF3F54"/>
    <w:rsid w:val="00DF3F78"/>
    <w:rsid w:val="00DF3F7B"/>
    <w:rsid w:val="00DF3F89"/>
    <w:rsid w:val="00DF3FE2"/>
    <w:rsid w:val="00DF4082"/>
    <w:rsid w:val="00DF40E6"/>
    <w:rsid w:val="00DF4169"/>
    <w:rsid w:val="00DF41F7"/>
    <w:rsid w:val="00DF4200"/>
    <w:rsid w:val="00DF4236"/>
    <w:rsid w:val="00DF4238"/>
    <w:rsid w:val="00DF42A7"/>
    <w:rsid w:val="00DF4305"/>
    <w:rsid w:val="00DF433E"/>
    <w:rsid w:val="00DF43D9"/>
    <w:rsid w:val="00DF4430"/>
    <w:rsid w:val="00DF446A"/>
    <w:rsid w:val="00DF4478"/>
    <w:rsid w:val="00DF44B7"/>
    <w:rsid w:val="00DF459C"/>
    <w:rsid w:val="00DF45A4"/>
    <w:rsid w:val="00DF45C6"/>
    <w:rsid w:val="00DF467A"/>
    <w:rsid w:val="00DF46EC"/>
    <w:rsid w:val="00DF4767"/>
    <w:rsid w:val="00DF47A0"/>
    <w:rsid w:val="00DF47B1"/>
    <w:rsid w:val="00DF47F5"/>
    <w:rsid w:val="00DF4803"/>
    <w:rsid w:val="00DF48CA"/>
    <w:rsid w:val="00DF49A8"/>
    <w:rsid w:val="00DF49BF"/>
    <w:rsid w:val="00DF49DB"/>
    <w:rsid w:val="00DF49EA"/>
    <w:rsid w:val="00DF4A96"/>
    <w:rsid w:val="00DF4A9E"/>
    <w:rsid w:val="00DF4AC1"/>
    <w:rsid w:val="00DF4AF5"/>
    <w:rsid w:val="00DF4B5C"/>
    <w:rsid w:val="00DF4C87"/>
    <w:rsid w:val="00DF4D0D"/>
    <w:rsid w:val="00DF4D70"/>
    <w:rsid w:val="00DF4D76"/>
    <w:rsid w:val="00DF4DD6"/>
    <w:rsid w:val="00DF4DDF"/>
    <w:rsid w:val="00DF4E28"/>
    <w:rsid w:val="00DF4E57"/>
    <w:rsid w:val="00DF4E81"/>
    <w:rsid w:val="00DF4EED"/>
    <w:rsid w:val="00DF4F81"/>
    <w:rsid w:val="00DF4F97"/>
    <w:rsid w:val="00DF4FEC"/>
    <w:rsid w:val="00DF50E9"/>
    <w:rsid w:val="00DF5155"/>
    <w:rsid w:val="00DF517F"/>
    <w:rsid w:val="00DF519E"/>
    <w:rsid w:val="00DF521C"/>
    <w:rsid w:val="00DF5243"/>
    <w:rsid w:val="00DF5257"/>
    <w:rsid w:val="00DF52A7"/>
    <w:rsid w:val="00DF534F"/>
    <w:rsid w:val="00DF542A"/>
    <w:rsid w:val="00DF5484"/>
    <w:rsid w:val="00DF54EF"/>
    <w:rsid w:val="00DF550B"/>
    <w:rsid w:val="00DF5576"/>
    <w:rsid w:val="00DF557F"/>
    <w:rsid w:val="00DF561C"/>
    <w:rsid w:val="00DF5675"/>
    <w:rsid w:val="00DF56AD"/>
    <w:rsid w:val="00DF5702"/>
    <w:rsid w:val="00DF5716"/>
    <w:rsid w:val="00DF5718"/>
    <w:rsid w:val="00DF5726"/>
    <w:rsid w:val="00DF576E"/>
    <w:rsid w:val="00DF5790"/>
    <w:rsid w:val="00DF57A5"/>
    <w:rsid w:val="00DF5824"/>
    <w:rsid w:val="00DF5827"/>
    <w:rsid w:val="00DF5982"/>
    <w:rsid w:val="00DF59D9"/>
    <w:rsid w:val="00DF59FA"/>
    <w:rsid w:val="00DF5A2A"/>
    <w:rsid w:val="00DF5A64"/>
    <w:rsid w:val="00DF5A92"/>
    <w:rsid w:val="00DF5AFB"/>
    <w:rsid w:val="00DF5B68"/>
    <w:rsid w:val="00DF5B6E"/>
    <w:rsid w:val="00DF5B74"/>
    <w:rsid w:val="00DF5C6A"/>
    <w:rsid w:val="00DF5C8B"/>
    <w:rsid w:val="00DF5CA0"/>
    <w:rsid w:val="00DF5CCD"/>
    <w:rsid w:val="00DF5D1C"/>
    <w:rsid w:val="00DF5D2F"/>
    <w:rsid w:val="00DF5D3C"/>
    <w:rsid w:val="00DF5D6F"/>
    <w:rsid w:val="00DF5DAE"/>
    <w:rsid w:val="00DF5DB0"/>
    <w:rsid w:val="00DF5DB6"/>
    <w:rsid w:val="00DF5EA3"/>
    <w:rsid w:val="00DF5EDF"/>
    <w:rsid w:val="00DF5EEE"/>
    <w:rsid w:val="00DF5EFD"/>
    <w:rsid w:val="00DF5F09"/>
    <w:rsid w:val="00DF5F3B"/>
    <w:rsid w:val="00DF5F80"/>
    <w:rsid w:val="00DF5F99"/>
    <w:rsid w:val="00DF5FBE"/>
    <w:rsid w:val="00DF620C"/>
    <w:rsid w:val="00DF622A"/>
    <w:rsid w:val="00DF627C"/>
    <w:rsid w:val="00DF62F2"/>
    <w:rsid w:val="00DF6311"/>
    <w:rsid w:val="00DF6313"/>
    <w:rsid w:val="00DF6318"/>
    <w:rsid w:val="00DF6339"/>
    <w:rsid w:val="00DF6349"/>
    <w:rsid w:val="00DF636E"/>
    <w:rsid w:val="00DF6443"/>
    <w:rsid w:val="00DF645C"/>
    <w:rsid w:val="00DF6477"/>
    <w:rsid w:val="00DF649A"/>
    <w:rsid w:val="00DF64C3"/>
    <w:rsid w:val="00DF64E3"/>
    <w:rsid w:val="00DF64E7"/>
    <w:rsid w:val="00DF6534"/>
    <w:rsid w:val="00DF6678"/>
    <w:rsid w:val="00DF6823"/>
    <w:rsid w:val="00DF6829"/>
    <w:rsid w:val="00DF6895"/>
    <w:rsid w:val="00DF68E7"/>
    <w:rsid w:val="00DF6918"/>
    <w:rsid w:val="00DF6970"/>
    <w:rsid w:val="00DF69E8"/>
    <w:rsid w:val="00DF6A12"/>
    <w:rsid w:val="00DF6A6E"/>
    <w:rsid w:val="00DF6A99"/>
    <w:rsid w:val="00DF6BD9"/>
    <w:rsid w:val="00DF6CA1"/>
    <w:rsid w:val="00DF6CC4"/>
    <w:rsid w:val="00DF6CE2"/>
    <w:rsid w:val="00DF6D3D"/>
    <w:rsid w:val="00DF6E5F"/>
    <w:rsid w:val="00DF6E70"/>
    <w:rsid w:val="00DF6EB0"/>
    <w:rsid w:val="00DF6ECE"/>
    <w:rsid w:val="00DF6EFA"/>
    <w:rsid w:val="00DF6F2A"/>
    <w:rsid w:val="00DF6F55"/>
    <w:rsid w:val="00DF6F99"/>
    <w:rsid w:val="00DF70A0"/>
    <w:rsid w:val="00DF70AF"/>
    <w:rsid w:val="00DF70DD"/>
    <w:rsid w:val="00DF70F4"/>
    <w:rsid w:val="00DF713D"/>
    <w:rsid w:val="00DF71AA"/>
    <w:rsid w:val="00DF71E0"/>
    <w:rsid w:val="00DF72A1"/>
    <w:rsid w:val="00DF72B2"/>
    <w:rsid w:val="00DF7315"/>
    <w:rsid w:val="00DF737B"/>
    <w:rsid w:val="00DF739E"/>
    <w:rsid w:val="00DF73FD"/>
    <w:rsid w:val="00DF7436"/>
    <w:rsid w:val="00DF7437"/>
    <w:rsid w:val="00DF7449"/>
    <w:rsid w:val="00DF7510"/>
    <w:rsid w:val="00DF755C"/>
    <w:rsid w:val="00DF757A"/>
    <w:rsid w:val="00DF7682"/>
    <w:rsid w:val="00DF76C8"/>
    <w:rsid w:val="00DF77E5"/>
    <w:rsid w:val="00DF77F0"/>
    <w:rsid w:val="00DF7885"/>
    <w:rsid w:val="00DF790F"/>
    <w:rsid w:val="00DF7936"/>
    <w:rsid w:val="00DF799A"/>
    <w:rsid w:val="00DF79E5"/>
    <w:rsid w:val="00DF7A78"/>
    <w:rsid w:val="00DF7BBB"/>
    <w:rsid w:val="00DF7BDD"/>
    <w:rsid w:val="00DF7C54"/>
    <w:rsid w:val="00DF7C99"/>
    <w:rsid w:val="00DF7CEC"/>
    <w:rsid w:val="00DF7D09"/>
    <w:rsid w:val="00DF7D69"/>
    <w:rsid w:val="00DF7EA7"/>
    <w:rsid w:val="00DF7EB1"/>
    <w:rsid w:val="00DF7EB7"/>
    <w:rsid w:val="00DF7EFF"/>
    <w:rsid w:val="00DF7F1B"/>
    <w:rsid w:val="00DF7F25"/>
    <w:rsid w:val="00DF7F36"/>
    <w:rsid w:val="00DF7F9F"/>
    <w:rsid w:val="00DF7FF1"/>
    <w:rsid w:val="00DF8597"/>
    <w:rsid w:val="00E00094"/>
    <w:rsid w:val="00E00156"/>
    <w:rsid w:val="00E001E7"/>
    <w:rsid w:val="00E001E9"/>
    <w:rsid w:val="00E00201"/>
    <w:rsid w:val="00E00207"/>
    <w:rsid w:val="00E00232"/>
    <w:rsid w:val="00E0023F"/>
    <w:rsid w:val="00E00288"/>
    <w:rsid w:val="00E002F2"/>
    <w:rsid w:val="00E00326"/>
    <w:rsid w:val="00E0037B"/>
    <w:rsid w:val="00E00387"/>
    <w:rsid w:val="00E004A0"/>
    <w:rsid w:val="00E00531"/>
    <w:rsid w:val="00E00537"/>
    <w:rsid w:val="00E005F2"/>
    <w:rsid w:val="00E0066F"/>
    <w:rsid w:val="00E00788"/>
    <w:rsid w:val="00E00816"/>
    <w:rsid w:val="00E008C5"/>
    <w:rsid w:val="00E008DA"/>
    <w:rsid w:val="00E00924"/>
    <w:rsid w:val="00E0099B"/>
    <w:rsid w:val="00E0099F"/>
    <w:rsid w:val="00E009F9"/>
    <w:rsid w:val="00E00A44"/>
    <w:rsid w:val="00E00A5D"/>
    <w:rsid w:val="00E00AA8"/>
    <w:rsid w:val="00E00AAB"/>
    <w:rsid w:val="00E00AF4"/>
    <w:rsid w:val="00E00B1C"/>
    <w:rsid w:val="00E00B25"/>
    <w:rsid w:val="00E00B26"/>
    <w:rsid w:val="00E00B71"/>
    <w:rsid w:val="00E00B7D"/>
    <w:rsid w:val="00E00BCF"/>
    <w:rsid w:val="00E00BD3"/>
    <w:rsid w:val="00E00CB7"/>
    <w:rsid w:val="00E00DB6"/>
    <w:rsid w:val="00E00E1F"/>
    <w:rsid w:val="00E00E51"/>
    <w:rsid w:val="00E00E6D"/>
    <w:rsid w:val="00E00E7F"/>
    <w:rsid w:val="00E00F1A"/>
    <w:rsid w:val="00E00F4A"/>
    <w:rsid w:val="00E010BE"/>
    <w:rsid w:val="00E0117D"/>
    <w:rsid w:val="00E0118F"/>
    <w:rsid w:val="00E011C0"/>
    <w:rsid w:val="00E01202"/>
    <w:rsid w:val="00E01214"/>
    <w:rsid w:val="00E0127C"/>
    <w:rsid w:val="00E012D2"/>
    <w:rsid w:val="00E0133F"/>
    <w:rsid w:val="00E013CF"/>
    <w:rsid w:val="00E013D6"/>
    <w:rsid w:val="00E0142B"/>
    <w:rsid w:val="00E01446"/>
    <w:rsid w:val="00E01449"/>
    <w:rsid w:val="00E01472"/>
    <w:rsid w:val="00E014AB"/>
    <w:rsid w:val="00E01531"/>
    <w:rsid w:val="00E0156E"/>
    <w:rsid w:val="00E0156F"/>
    <w:rsid w:val="00E01586"/>
    <w:rsid w:val="00E01592"/>
    <w:rsid w:val="00E01593"/>
    <w:rsid w:val="00E015A1"/>
    <w:rsid w:val="00E0163C"/>
    <w:rsid w:val="00E0175F"/>
    <w:rsid w:val="00E0178A"/>
    <w:rsid w:val="00E017CF"/>
    <w:rsid w:val="00E01804"/>
    <w:rsid w:val="00E0188D"/>
    <w:rsid w:val="00E018C5"/>
    <w:rsid w:val="00E018E8"/>
    <w:rsid w:val="00E018F7"/>
    <w:rsid w:val="00E01993"/>
    <w:rsid w:val="00E019DF"/>
    <w:rsid w:val="00E019F4"/>
    <w:rsid w:val="00E01A40"/>
    <w:rsid w:val="00E01A49"/>
    <w:rsid w:val="00E01B0F"/>
    <w:rsid w:val="00E01B20"/>
    <w:rsid w:val="00E01B46"/>
    <w:rsid w:val="00E01CB9"/>
    <w:rsid w:val="00E01CFD"/>
    <w:rsid w:val="00E01D1A"/>
    <w:rsid w:val="00E01D7D"/>
    <w:rsid w:val="00E01D7E"/>
    <w:rsid w:val="00E01DBE"/>
    <w:rsid w:val="00E01DE3"/>
    <w:rsid w:val="00E01E02"/>
    <w:rsid w:val="00E01E68"/>
    <w:rsid w:val="00E01E95"/>
    <w:rsid w:val="00E02079"/>
    <w:rsid w:val="00E020D3"/>
    <w:rsid w:val="00E02161"/>
    <w:rsid w:val="00E0216D"/>
    <w:rsid w:val="00E021AE"/>
    <w:rsid w:val="00E0235C"/>
    <w:rsid w:val="00E0236C"/>
    <w:rsid w:val="00E023E4"/>
    <w:rsid w:val="00E0240A"/>
    <w:rsid w:val="00E02437"/>
    <w:rsid w:val="00E02578"/>
    <w:rsid w:val="00E0258E"/>
    <w:rsid w:val="00E025B9"/>
    <w:rsid w:val="00E0262D"/>
    <w:rsid w:val="00E0265E"/>
    <w:rsid w:val="00E02674"/>
    <w:rsid w:val="00E0284F"/>
    <w:rsid w:val="00E0285C"/>
    <w:rsid w:val="00E02887"/>
    <w:rsid w:val="00E02896"/>
    <w:rsid w:val="00E0289B"/>
    <w:rsid w:val="00E028F2"/>
    <w:rsid w:val="00E02913"/>
    <w:rsid w:val="00E02981"/>
    <w:rsid w:val="00E029D8"/>
    <w:rsid w:val="00E02A8B"/>
    <w:rsid w:val="00E02A99"/>
    <w:rsid w:val="00E02B04"/>
    <w:rsid w:val="00E02B0C"/>
    <w:rsid w:val="00E02B82"/>
    <w:rsid w:val="00E02BFA"/>
    <w:rsid w:val="00E02C5E"/>
    <w:rsid w:val="00E02C66"/>
    <w:rsid w:val="00E02D71"/>
    <w:rsid w:val="00E02DDB"/>
    <w:rsid w:val="00E02DF5"/>
    <w:rsid w:val="00E02E9F"/>
    <w:rsid w:val="00E02ED5"/>
    <w:rsid w:val="00E02F00"/>
    <w:rsid w:val="00E02FD4"/>
    <w:rsid w:val="00E03002"/>
    <w:rsid w:val="00E03004"/>
    <w:rsid w:val="00E03095"/>
    <w:rsid w:val="00E03111"/>
    <w:rsid w:val="00E03129"/>
    <w:rsid w:val="00E03157"/>
    <w:rsid w:val="00E031A7"/>
    <w:rsid w:val="00E031B3"/>
    <w:rsid w:val="00E03200"/>
    <w:rsid w:val="00E03260"/>
    <w:rsid w:val="00E03267"/>
    <w:rsid w:val="00E03318"/>
    <w:rsid w:val="00E033EE"/>
    <w:rsid w:val="00E03434"/>
    <w:rsid w:val="00E03455"/>
    <w:rsid w:val="00E03604"/>
    <w:rsid w:val="00E03615"/>
    <w:rsid w:val="00E03644"/>
    <w:rsid w:val="00E03657"/>
    <w:rsid w:val="00E0373E"/>
    <w:rsid w:val="00E037BA"/>
    <w:rsid w:val="00E037FA"/>
    <w:rsid w:val="00E0386A"/>
    <w:rsid w:val="00E038C7"/>
    <w:rsid w:val="00E038EA"/>
    <w:rsid w:val="00E03920"/>
    <w:rsid w:val="00E0395A"/>
    <w:rsid w:val="00E0399C"/>
    <w:rsid w:val="00E039DF"/>
    <w:rsid w:val="00E03A76"/>
    <w:rsid w:val="00E03A7B"/>
    <w:rsid w:val="00E03A92"/>
    <w:rsid w:val="00E03AB2"/>
    <w:rsid w:val="00E03B67"/>
    <w:rsid w:val="00E03C2A"/>
    <w:rsid w:val="00E03CD4"/>
    <w:rsid w:val="00E03CF0"/>
    <w:rsid w:val="00E03DE5"/>
    <w:rsid w:val="00E03E0B"/>
    <w:rsid w:val="00E03E67"/>
    <w:rsid w:val="00E03EAA"/>
    <w:rsid w:val="00E03EBC"/>
    <w:rsid w:val="00E03F25"/>
    <w:rsid w:val="00E03F8F"/>
    <w:rsid w:val="00E03F91"/>
    <w:rsid w:val="00E04014"/>
    <w:rsid w:val="00E0406F"/>
    <w:rsid w:val="00E04075"/>
    <w:rsid w:val="00E040D6"/>
    <w:rsid w:val="00E04120"/>
    <w:rsid w:val="00E041A3"/>
    <w:rsid w:val="00E04202"/>
    <w:rsid w:val="00E04216"/>
    <w:rsid w:val="00E04275"/>
    <w:rsid w:val="00E042AA"/>
    <w:rsid w:val="00E042B0"/>
    <w:rsid w:val="00E043DF"/>
    <w:rsid w:val="00E043F9"/>
    <w:rsid w:val="00E0450E"/>
    <w:rsid w:val="00E04538"/>
    <w:rsid w:val="00E0453B"/>
    <w:rsid w:val="00E04554"/>
    <w:rsid w:val="00E0455A"/>
    <w:rsid w:val="00E04569"/>
    <w:rsid w:val="00E045BB"/>
    <w:rsid w:val="00E04654"/>
    <w:rsid w:val="00E04678"/>
    <w:rsid w:val="00E046C7"/>
    <w:rsid w:val="00E046CB"/>
    <w:rsid w:val="00E047BC"/>
    <w:rsid w:val="00E047F6"/>
    <w:rsid w:val="00E04818"/>
    <w:rsid w:val="00E04872"/>
    <w:rsid w:val="00E0489A"/>
    <w:rsid w:val="00E048D5"/>
    <w:rsid w:val="00E04933"/>
    <w:rsid w:val="00E04973"/>
    <w:rsid w:val="00E049F9"/>
    <w:rsid w:val="00E04A52"/>
    <w:rsid w:val="00E04A76"/>
    <w:rsid w:val="00E04AFB"/>
    <w:rsid w:val="00E04B50"/>
    <w:rsid w:val="00E04B70"/>
    <w:rsid w:val="00E04BCD"/>
    <w:rsid w:val="00E04BEF"/>
    <w:rsid w:val="00E04C2F"/>
    <w:rsid w:val="00E04C4C"/>
    <w:rsid w:val="00E04C63"/>
    <w:rsid w:val="00E04C77"/>
    <w:rsid w:val="00E04C89"/>
    <w:rsid w:val="00E04C91"/>
    <w:rsid w:val="00E04CAC"/>
    <w:rsid w:val="00E04CC6"/>
    <w:rsid w:val="00E04D5E"/>
    <w:rsid w:val="00E04D6C"/>
    <w:rsid w:val="00E04D9B"/>
    <w:rsid w:val="00E04DC6"/>
    <w:rsid w:val="00E04DDE"/>
    <w:rsid w:val="00E04E0F"/>
    <w:rsid w:val="00E04E92"/>
    <w:rsid w:val="00E04E93"/>
    <w:rsid w:val="00E04EE4"/>
    <w:rsid w:val="00E04F05"/>
    <w:rsid w:val="00E04F09"/>
    <w:rsid w:val="00E04F36"/>
    <w:rsid w:val="00E04F77"/>
    <w:rsid w:val="00E0500F"/>
    <w:rsid w:val="00E0505D"/>
    <w:rsid w:val="00E05064"/>
    <w:rsid w:val="00E0519E"/>
    <w:rsid w:val="00E051ED"/>
    <w:rsid w:val="00E051F4"/>
    <w:rsid w:val="00E0522A"/>
    <w:rsid w:val="00E05278"/>
    <w:rsid w:val="00E052EE"/>
    <w:rsid w:val="00E052F4"/>
    <w:rsid w:val="00E05370"/>
    <w:rsid w:val="00E0543F"/>
    <w:rsid w:val="00E0548B"/>
    <w:rsid w:val="00E0549E"/>
    <w:rsid w:val="00E054CF"/>
    <w:rsid w:val="00E05546"/>
    <w:rsid w:val="00E05563"/>
    <w:rsid w:val="00E05683"/>
    <w:rsid w:val="00E056D2"/>
    <w:rsid w:val="00E056F3"/>
    <w:rsid w:val="00E0572B"/>
    <w:rsid w:val="00E05759"/>
    <w:rsid w:val="00E057FE"/>
    <w:rsid w:val="00E0581D"/>
    <w:rsid w:val="00E058BD"/>
    <w:rsid w:val="00E058FB"/>
    <w:rsid w:val="00E05953"/>
    <w:rsid w:val="00E05965"/>
    <w:rsid w:val="00E0598B"/>
    <w:rsid w:val="00E0598E"/>
    <w:rsid w:val="00E059CE"/>
    <w:rsid w:val="00E05A02"/>
    <w:rsid w:val="00E05A35"/>
    <w:rsid w:val="00E05A9D"/>
    <w:rsid w:val="00E05B49"/>
    <w:rsid w:val="00E05B4F"/>
    <w:rsid w:val="00E05B51"/>
    <w:rsid w:val="00E05B79"/>
    <w:rsid w:val="00E05BE5"/>
    <w:rsid w:val="00E05BF3"/>
    <w:rsid w:val="00E05C30"/>
    <w:rsid w:val="00E05C3E"/>
    <w:rsid w:val="00E05C57"/>
    <w:rsid w:val="00E05C74"/>
    <w:rsid w:val="00E05D28"/>
    <w:rsid w:val="00E05D8D"/>
    <w:rsid w:val="00E05E27"/>
    <w:rsid w:val="00E05EB8"/>
    <w:rsid w:val="00E05EC6"/>
    <w:rsid w:val="00E06022"/>
    <w:rsid w:val="00E06092"/>
    <w:rsid w:val="00E0609C"/>
    <w:rsid w:val="00E060B1"/>
    <w:rsid w:val="00E06127"/>
    <w:rsid w:val="00E06163"/>
    <w:rsid w:val="00E0619E"/>
    <w:rsid w:val="00E061E5"/>
    <w:rsid w:val="00E06212"/>
    <w:rsid w:val="00E06234"/>
    <w:rsid w:val="00E0624D"/>
    <w:rsid w:val="00E0625D"/>
    <w:rsid w:val="00E062A7"/>
    <w:rsid w:val="00E062DC"/>
    <w:rsid w:val="00E063A5"/>
    <w:rsid w:val="00E063EF"/>
    <w:rsid w:val="00E064E1"/>
    <w:rsid w:val="00E06563"/>
    <w:rsid w:val="00E0658E"/>
    <w:rsid w:val="00E065A8"/>
    <w:rsid w:val="00E065C8"/>
    <w:rsid w:val="00E065D4"/>
    <w:rsid w:val="00E065F9"/>
    <w:rsid w:val="00E06642"/>
    <w:rsid w:val="00E06689"/>
    <w:rsid w:val="00E066D5"/>
    <w:rsid w:val="00E06719"/>
    <w:rsid w:val="00E06769"/>
    <w:rsid w:val="00E067A6"/>
    <w:rsid w:val="00E067D7"/>
    <w:rsid w:val="00E0685F"/>
    <w:rsid w:val="00E0687F"/>
    <w:rsid w:val="00E06949"/>
    <w:rsid w:val="00E069E2"/>
    <w:rsid w:val="00E06A73"/>
    <w:rsid w:val="00E06B00"/>
    <w:rsid w:val="00E06C66"/>
    <w:rsid w:val="00E06C6E"/>
    <w:rsid w:val="00E06C74"/>
    <w:rsid w:val="00E06C95"/>
    <w:rsid w:val="00E06D41"/>
    <w:rsid w:val="00E06D61"/>
    <w:rsid w:val="00E06E47"/>
    <w:rsid w:val="00E06E7D"/>
    <w:rsid w:val="00E06EB5"/>
    <w:rsid w:val="00E06F9F"/>
    <w:rsid w:val="00E06FC6"/>
    <w:rsid w:val="00E06FE2"/>
    <w:rsid w:val="00E07013"/>
    <w:rsid w:val="00E070D6"/>
    <w:rsid w:val="00E07124"/>
    <w:rsid w:val="00E07198"/>
    <w:rsid w:val="00E071A7"/>
    <w:rsid w:val="00E0722C"/>
    <w:rsid w:val="00E0727E"/>
    <w:rsid w:val="00E0730B"/>
    <w:rsid w:val="00E07342"/>
    <w:rsid w:val="00E0734A"/>
    <w:rsid w:val="00E073D6"/>
    <w:rsid w:val="00E073D9"/>
    <w:rsid w:val="00E07418"/>
    <w:rsid w:val="00E074E4"/>
    <w:rsid w:val="00E07528"/>
    <w:rsid w:val="00E075A5"/>
    <w:rsid w:val="00E075CB"/>
    <w:rsid w:val="00E0760D"/>
    <w:rsid w:val="00E0769D"/>
    <w:rsid w:val="00E076B0"/>
    <w:rsid w:val="00E076E6"/>
    <w:rsid w:val="00E07723"/>
    <w:rsid w:val="00E07733"/>
    <w:rsid w:val="00E07736"/>
    <w:rsid w:val="00E07788"/>
    <w:rsid w:val="00E077E0"/>
    <w:rsid w:val="00E0781F"/>
    <w:rsid w:val="00E078BD"/>
    <w:rsid w:val="00E0799C"/>
    <w:rsid w:val="00E079A4"/>
    <w:rsid w:val="00E079D1"/>
    <w:rsid w:val="00E079D5"/>
    <w:rsid w:val="00E07A14"/>
    <w:rsid w:val="00E07A5D"/>
    <w:rsid w:val="00E07A90"/>
    <w:rsid w:val="00E07AE6"/>
    <w:rsid w:val="00E07AFD"/>
    <w:rsid w:val="00E07B4A"/>
    <w:rsid w:val="00E07B57"/>
    <w:rsid w:val="00E07BDA"/>
    <w:rsid w:val="00E07CC3"/>
    <w:rsid w:val="00E07CD8"/>
    <w:rsid w:val="00E07D0C"/>
    <w:rsid w:val="00E07DED"/>
    <w:rsid w:val="00E07E23"/>
    <w:rsid w:val="00E07EFD"/>
    <w:rsid w:val="00E07F40"/>
    <w:rsid w:val="00E10001"/>
    <w:rsid w:val="00E100B2"/>
    <w:rsid w:val="00E100C5"/>
    <w:rsid w:val="00E100F6"/>
    <w:rsid w:val="00E10165"/>
    <w:rsid w:val="00E1017A"/>
    <w:rsid w:val="00E101A1"/>
    <w:rsid w:val="00E10272"/>
    <w:rsid w:val="00E102B0"/>
    <w:rsid w:val="00E102CB"/>
    <w:rsid w:val="00E102FC"/>
    <w:rsid w:val="00E10323"/>
    <w:rsid w:val="00E1033C"/>
    <w:rsid w:val="00E103F6"/>
    <w:rsid w:val="00E103FF"/>
    <w:rsid w:val="00E10485"/>
    <w:rsid w:val="00E10514"/>
    <w:rsid w:val="00E10536"/>
    <w:rsid w:val="00E1054F"/>
    <w:rsid w:val="00E10556"/>
    <w:rsid w:val="00E10570"/>
    <w:rsid w:val="00E105A4"/>
    <w:rsid w:val="00E105CF"/>
    <w:rsid w:val="00E10623"/>
    <w:rsid w:val="00E10627"/>
    <w:rsid w:val="00E106E5"/>
    <w:rsid w:val="00E1075A"/>
    <w:rsid w:val="00E107DE"/>
    <w:rsid w:val="00E107ED"/>
    <w:rsid w:val="00E10813"/>
    <w:rsid w:val="00E108B4"/>
    <w:rsid w:val="00E10915"/>
    <w:rsid w:val="00E1095B"/>
    <w:rsid w:val="00E109A2"/>
    <w:rsid w:val="00E109A4"/>
    <w:rsid w:val="00E109CC"/>
    <w:rsid w:val="00E10ACD"/>
    <w:rsid w:val="00E10B15"/>
    <w:rsid w:val="00E10B2F"/>
    <w:rsid w:val="00E10B37"/>
    <w:rsid w:val="00E10C04"/>
    <w:rsid w:val="00E10C35"/>
    <w:rsid w:val="00E10C7B"/>
    <w:rsid w:val="00E10CBD"/>
    <w:rsid w:val="00E10CD3"/>
    <w:rsid w:val="00E10D13"/>
    <w:rsid w:val="00E10D9E"/>
    <w:rsid w:val="00E10E02"/>
    <w:rsid w:val="00E10FFD"/>
    <w:rsid w:val="00E11015"/>
    <w:rsid w:val="00E11020"/>
    <w:rsid w:val="00E11068"/>
    <w:rsid w:val="00E110F1"/>
    <w:rsid w:val="00E1110B"/>
    <w:rsid w:val="00E11147"/>
    <w:rsid w:val="00E1116D"/>
    <w:rsid w:val="00E11341"/>
    <w:rsid w:val="00E11503"/>
    <w:rsid w:val="00E11513"/>
    <w:rsid w:val="00E11536"/>
    <w:rsid w:val="00E1155A"/>
    <w:rsid w:val="00E11584"/>
    <w:rsid w:val="00E115B8"/>
    <w:rsid w:val="00E115F3"/>
    <w:rsid w:val="00E1166C"/>
    <w:rsid w:val="00E11725"/>
    <w:rsid w:val="00E1172B"/>
    <w:rsid w:val="00E11734"/>
    <w:rsid w:val="00E117F1"/>
    <w:rsid w:val="00E117FA"/>
    <w:rsid w:val="00E1181E"/>
    <w:rsid w:val="00E11830"/>
    <w:rsid w:val="00E1183C"/>
    <w:rsid w:val="00E1186A"/>
    <w:rsid w:val="00E11890"/>
    <w:rsid w:val="00E1194D"/>
    <w:rsid w:val="00E11974"/>
    <w:rsid w:val="00E11A16"/>
    <w:rsid w:val="00E11A1A"/>
    <w:rsid w:val="00E11A57"/>
    <w:rsid w:val="00E11B0D"/>
    <w:rsid w:val="00E11B0F"/>
    <w:rsid w:val="00E11B4B"/>
    <w:rsid w:val="00E11B5F"/>
    <w:rsid w:val="00E11BEE"/>
    <w:rsid w:val="00E11C3F"/>
    <w:rsid w:val="00E11C97"/>
    <w:rsid w:val="00E11D54"/>
    <w:rsid w:val="00E11DB3"/>
    <w:rsid w:val="00E11DC2"/>
    <w:rsid w:val="00E11E03"/>
    <w:rsid w:val="00E11E50"/>
    <w:rsid w:val="00E11EFD"/>
    <w:rsid w:val="00E11F19"/>
    <w:rsid w:val="00E11F49"/>
    <w:rsid w:val="00E11FC6"/>
    <w:rsid w:val="00E11FD0"/>
    <w:rsid w:val="00E120CB"/>
    <w:rsid w:val="00E120D1"/>
    <w:rsid w:val="00E12135"/>
    <w:rsid w:val="00E1215E"/>
    <w:rsid w:val="00E12276"/>
    <w:rsid w:val="00E122CA"/>
    <w:rsid w:val="00E12303"/>
    <w:rsid w:val="00E1237A"/>
    <w:rsid w:val="00E123AE"/>
    <w:rsid w:val="00E123BA"/>
    <w:rsid w:val="00E123F8"/>
    <w:rsid w:val="00E123F9"/>
    <w:rsid w:val="00E123FF"/>
    <w:rsid w:val="00E12500"/>
    <w:rsid w:val="00E12507"/>
    <w:rsid w:val="00E12538"/>
    <w:rsid w:val="00E1258C"/>
    <w:rsid w:val="00E125B8"/>
    <w:rsid w:val="00E125C7"/>
    <w:rsid w:val="00E125CD"/>
    <w:rsid w:val="00E12605"/>
    <w:rsid w:val="00E12697"/>
    <w:rsid w:val="00E12793"/>
    <w:rsid w:val="00E127E8"/>
    <w:rsid w:val="00E1286A"/>
    <w:rsid w:val="00E128A6"/>
    <w:rsid w:val="00E12921"/>
    <w:rsid w:val="00E12956"/>
    <w:rsid w:val="00E12972"/>
    <w:rsid w:val="00E1299A"/>
    <w:rsid w:val="00E129D7"/>
    <w:rsid w:val="00E12A07"/>
    <w:rsid w:val="00E12AC2"/>
    <w:rsid w:val="00E12BCB"/>
    <w:rsid w:val="00E12C04"/>
    <w:rsid w:val="00E12C0C"/>
    <w:rsid w:val="00E12C1E"/>
    <w:rsid w:val="00E12C68"/>
    <w:rsid w:val="00E12CA7"/>
    <w:rsid w:val="00E12CD5"/>
    <w:rsid w:val="00E12D2C"/>
    <w:rsid w:val="00E12D30"/>
    <w:rsid w:val="00E12D67"/>
    <w:rsid w:val="00E12D7C"/>
    <w:rsid w:val="00E12DA0"/>
    <w:rsid w:val="00E12DC8"/>
    <w:rsid w:val="00E12E28"/>
    <w:rsid w:val="00E12EF9"/>
    <w:rsid w:val="00E12FA8"/>
    <w:rsid w:val="00E12FE4"/>
    <w:rsid w:val="00E1314D"/>
    <w:rsid w:val="00E1315B"/>
    <w:rsid w:val="00E13231"/>
    <w:rsid w:val="00E13291"/>
    <w:rsid w:val="00E132B6"/>
    <w:rsid w:val="00E132BA"/>
    <w:rsid w:val="00E132C1"/>
    <w:rsid w:val="00E132DD"/>
    <w:rsid w:val="00E132F5"/>
    <w:rsid w:val="00E13300"/>
    <w:rsid w:val="00E1339E"/>
    <w:rsid w:val="00E133B4"/>
    <w:rsid w:val="00E133C2"/>
    <w:rsid w:val="00E133D6"/>
    <w:rsid w:val="00E13473"/>
    <w:rsid w:val="00E135D9"/>
    <w:rsid w:val="00E136F5"/>
    <w:rsid w:val="00E13718"/>
    <w:rsid w:val="00E1379C"/>
    <w:rsid w:val="00E137C4"/>
    <w:rsid w:val="00E137FE"/>
    <w:rsid w:val="00E138D4"/>
    <w:rsid w:val="00E13909"/>
    <w:rsid w:val="00E13940"/>
    <w:rsid w:val="00E1395E"/>
    <w:rsid w:val="00E1399A"/>
    <w:rsid w:val="00E139A1"/>
    <w:rsid w:val="00E13A19"/>
    <w:rsid w:val="00E13A39"/>
    <w:rsid w:val="00E13B80"/>
    <w:rsid w:val="00E13BDA"/>
    <w:rsid w:val="00E13C62"/>
    <w:rsid w:val="00E13C8F"/>
    <w:rsid w:val="00E13CD0"/>
    <w:rsid w:val="00E13CD5"/>
    <w:rsid w:val="00E13D7E"/>
    <w:rsid w:val="00E13E20"/>
    <w:rsid w:val="00E13E63"/>
    <w:rsid w:val="00E13EE8"/>
    <w:rsid w:val="00E13EFE"/>
    <w:rsid w:val="00E13F05"/>
    <w:rsid w:val="00E13F55"/>
    <w:rsid w:val="00E13FED"/>
    <w:rsid w:val="00E1400D"/>
    <w:rsid w:val="00E1404F"/>
    <w:rsid w:val="00E14069"/>
    <w:rsid w:val="00E140A4"/>
    <w:rsid w:val="00E14126"/>
    <w:rsid w:val="00E14127"/>
    <w:rsid w:val="00E14146"/>
    <w:rsid w:val="00E1425C"/>
    <w:rsid w:val="00E142CE"/>
    <w:rsid w:val="00E14350"/>
    <w:rsid w:val="00E14368"/>
    <w:rsid w:val="00E143CD"/>
    <w:rsid w:val="00E143EE"/>
    <w:rsid w:val="00E1442B"/>
    <w:rsid w:val="00E144CF"/>
    <w:rsid w:val="00E144EB"/>
    <w:rsid w:val="00E14501"/>
    <w:rsid w:val="00E14535"/>
    <w:rsid w:val="00E1457A"/>
    <w:rsid w:val="00E14612"/>
    <w:rsid w:val="00E1474F"/>
    <w:rsid w:val="00E147A9"/>
    <w:rsid w:val="00E14844"/>
    <w:rsid w:val="00E1490C"/>
    <w:rsid w:val="00E14928"/>
    <w:rsid w:val="00E14982"/>
    <w:rsid w:val="00E14A51"/>
    <w:rsid w:val="00E14AF3"/>
    <w:rsid w:val="00E14AF4"/>
    <w:rsid w:val="00E14B29"/>
    <w:rsid w:val="00E14BB6"/>
    <w:rsid w:val="00E14BE7"/>
    <w:rsid w:val="00E14C40"/>
    <w:rsid w:val="00E14C55"/>
    <w:rsid w:val="00E14C73"/>
    <w:rsid w:val="00E14C8E"/>
    <w:rsid w:val="00E14CBC"/>
    <w:rsid w:val="00E14D1E"/>
    <w:rsid w:val="00E14D4E"/>
    <w:rsid w:val="00E14DD4"/>
    <w:rsid w:val="00E14DFD"/>
    <w:rsid w:val="00E14ED1"/>
    <w:rsid w:val="00E14ED5"/>
    <w:rsid w:val="00E14F4C"/>
    <w:rsid w:val="00E14F73"/>
    <w:rsid w:val="00E14F82"/>
    <w:rsid w:val="00E14F83"/>
    <w:rsid w:val="00E14F9C"/>
    <w:rsid w:val="00E14FB9"/>
    <w:rsid w:val="00E15018"/>
    <w:rsid w:val="00E1506A"/>
    <w:rsid w:val="00E151A8"/>
    <w:rsid w:val="00E151EE"/>
    <w:rsid w:val="00E15212"/>
    <w:rsid w:val="00E15229"/>
    <w:rsid w:val="00E15246"/>
    <w:rsid w:val="00E1526B"/>
    <w:rsid w:val="00E15291"/>
    <w:rsid w:val="00E15320"/>
    <w:rsid w:val="00E15321"/>
    <w:rsid w:val="00E15333"/>
    <w:rsid w:val="00E15381"/>
    <w:rsid w:val="00E15408"/>
    <w:rsid w:val="00E15455"/>
    <w:rsid w:val="00E154BB"/>
    <w:rsid w:val="00E154D9"/>
    <w:rsid w:val="00E154EF"/>
    <w:rsid w:val="00E1558B"/>
    <w:rsid w:val="00E1571C"/>
    <w:rsid w:val="00E1572B"/>
    <w:rsid w:val="00E15747"/>
    <w:rsid w:val="00E15786"/>
    <w:rsid w:val="00E157E8"/>
    <w:rsid w:val="00E15813"/>
    <w:rsid w:val="00E15836"/>
    <w:rsid w:val="00E1591A"/>
    <w:rsid w:val="00E1598D"/>
    <w:rsid w:val="00E15A1F"/>
    <w:rsid w:val="00E15AA2"/>
    <w:rsid w:val="00E15AE9"/>
    <w:rsid w:val="00E15B2E"/>
    <w:rsid w:val="00E15B30"/>
    <w:rsid w:val="00E15B76"/>
    <w:rsid w:val="00E15B96"/>
    <w:rsid w:val="00E15BD8"/>
    <w:rsid w:val="00E15C8C"/>
    <w:rsid w:val="00E15CC4"/>
    <w:rsid w:val="00E15D59"/>
    <w:rsid w:val="00E15D79"/>
    <w:rsid w:val="00E15DBD"/>
    <w:rsid w:val="00E15DC4"/>
    <w:rsid w:val="00E15DE4"/>
    <w:rsid w:val="00E15DED"/>
    <w:rsid w:val="00E15DFD"/>
    <w:rsid w:val="00E15E00"/>
    <w:rsid w:val="00E15EAA"/>
    <w:rsid w:val="00E15EF0"/>
    <w:rsid w:val="00E15F4F"/>
    <w:rsid w:val="00E15FBE"/>
    <w:rsid w:val="00E15FFC"/>
    <w:rsid w:val="00E1602A"/>
    <w:rsid w:val="00E1602B"/>
    <w:rsid w:val="00E1603D"/>
    <w:rsid w:val="00E16085"/>
    <w:rsid w:val="00E16124"/>
    <w:rsid w:val="00E1613D"/>
    <w:rsid w:val="00E1615B"/>
    <w:rsid w:val="00E161E5"/>
    <w:rsid w:val="00E161EE"/>
    <w:rsid w:val="00E161F6"/>
    <w:rsid w:val="00E16293"/>
    <w:rsid w:val="00E162A1"/>
    <w:rsid w:val="00E162C3"/>
    <w:rsid w:val="00E1634A"/>
    <w:rsid w:val="00E16456"/>
    <w:rsid w:val="00E16465"/>
    <w:rsid w:val="00E164D0"/>
    <w:rsid w:val="00E16608"/>
    <w:rsid w:val="00E16657"/>
    <w:rsid w:val="00E16685"/>
    <w:rsid w:val="00E166BD"/>
    <w:rsid w:val="00E16733"/>
    <w:rsid w:val="00E1679F"/>
    <w:rsid w:val="00E167F4"/>
    <w:rsid w:val="00E168AA"/>
    <w:rsid w:val="00E168CE"/>
    <w:rsid w:val="00E168DB"/>
    <w:rsid w:val="00E16906"/>
    <w:rsid w:val="00E16966"/>
    <w:rsid w:val="00E16973"/>
    <w:rsid w:val="00E169B7"/>
    <w:rsid w:val="00E169EF"/>
    <w:rsid w:val="00E16A3B"/>
    <w:rsid w:val="00E16A3C"/>
    <w:rsid w:val="00E16AD9"/>
    <w:rsid w:val="00E16B12"/>
    <w:rsid w:val="00E16B30"/>
    <w:rsid w:val="00E16B34"/>
    <w:rsid w:val="00E16BC9"/>
    <w:rsid w:val="00E16BCC"/>
    <w:rsid w:val="00E16BEB"/>
    <w:rsid w:val="00E16C06"/>
    <w:rsid w:val="00E16D0B"/>
    <w:rsid w:val="00E16E01"/>
    <w:rsid w:val="00E16EE3"/>
    <w:rsid w:val="00E16F64"/>
    <w:rsid w:val="00E16F78"/>
    <w:rsid w:val="00E16FD7"/>
    <w:rsid w:val="00E17004"/>
    <w:rsid w:val="00E17027"/>
    <w:rsid w:val="00E170F8"/>
    <w:rsid w:val="00E1715F"/>
    <w:rsid w:val="00E171F8"/>
    <w:rsid w:val="00E17285"/>
    <w:rsid w:val="00E17311"/>
    <w:rsid w:val="00E1734B"/>
    <w:rsid w:val="00E173A4"/>
    <w:rsid w:val="00E174C6"/>
    <w:rsid w:val="00E174E1"/>
    <w:rsid w:val="00E174F5"/>
    <w:rsid w:val="00E1757B"/>
    <w:rsid w:val="00E17603"/>
    <w:rsid w:val="00E17633"/>
    <w:rsid w:val="00E17676"/>
    <w:rsid w:val="00E176A6"/>
    <w:rsid w:val="00E176B8"/>
    <w:rsid w:val="00E1770D"/>
    <w:rsid w:val="00E177AA"/>
    <w:rsid w:val="00E177BB"/>
    <w:rsid w:val="00E177C5"/>
    <w:rsid w:val="00E17850"/>
    <w:rsid w:val="00E17903"/>
    <w:rsid w:val="00E17942"/>
    <w:rsid w:val="00E1795B"/>
    <w:rsid w:val="00E1796B"/>
    <w:rsid w:val="00E179A7"/>
    <w:rsid w:val="00E179B7"/>
    <w:rsid w:val="00E179E8"/>
    <w:rsid w:val="00E179F8"/>
    <w:rsid w:val="00E17A48"/>
    <w:rsid w:val="00E17A9C"/>
    <w:rsid w:val="00E17AE7"/>
    <w:rsid w:val="00E17B11"/>
    <w:rsid w:val="00E17B1E"/>
    <w:rsid w:val="00E17B87"/>
    <w:rsid w:val="00E17C49"/>
    <w:rsid w:val="00E17C4F"/>
    <w:rsid w:val="00E17C78"/>
    <w:rsid w:val="00E17DF6"/>
    <w:rsid w:val="00E17E60"/>
    <w:rsid w:val="00E17E87"/>
    <w:rsid w:val="00E17EC1"/>
    <w:rsid w:val="00E17F01"/>
    <w:rsid w:val="00E17F3A"/>
    <w:rsid w:val="00E17FCE"/>
    <w:rsid w:val="00E20019"/>
    <w:rsid w:val="00E20027"/>
    <w:rsid w:val="00E200DC"/>
    <w:rsid w:val="00E2029F"/>
    <w:rsid w:val="00E2032A"/>
    <w:rsid w:val="00E2036D"/>
    <w:rsid w:val="00E203C1"/>
    <w:rsid w:val="00E204CD"/>
    <w:rsid w:val="00E20521"/>
    <w:rsid w:val="00E2060B"/>
    <w:rsid w:val="00E2061A"/>
    <w:rsid w:val="00E206EF"/>
    <w:rsid w:val="00E20735"/>
    <w:rsid w:val="00E20743"/>
    <w:rsid w:val="00E2080E"/>
    <w:rsid w:val="00E2084E"/>
    <w:rsid w:val="00E208A0"/>
    <w:rsid w:val="00E20937"/>
    <w:rsid w:val="00E209C8"/>
    <w:rsid w:val="00E209E7"/>
    <w:rsid w:val="00E209FC"/>
    <w:rsid w:val="00E20A65"/>
    <w:rsid w:val="00E20AA0"/>
    <w:rsid w:val="00E20AC6"/>
    <w:rsid w:val="00E20B04"/>
    <w:rsid w:val="00E20B0E"/>
    <w:rsid w:val="00E20B8C"/>
    <w:rsid w:val="00E20B98"/>
    <w:rsid w:val="00E20B9D"/>
    <w:rsid w:val="00E20C70"/>
    <w:rsid w:val="00E20C73"/>
    <w:rsid w:val="00E20C7E"/>
    <w:rsid w:val="00E20CE8"/>
    <w:rsid w:val="00E20D54"/>
    <w:rsid w:val="00E20D59"/>
    <w:rsid w:val="00E20D76"/>
    <w:rsid w:val="00E20E91"/>
    <w:rsid w:val="00E20EA7"/>
    <w:rsid w:val="00E20EB5"/>
    <w:rsid w:val="00E20F1B"/>
    <w:rsid w:val="00E20F54"/>
    <w:rsid w:val="00E20FAA"/>
    <w:rsid w:val="00E20FBA"/>
    <w:rsid w:val="00E2100C"/>
    <w:rsid w:val="00E21073"/>
    <w:rsid w:val="00E2119A"/>
    <w:rsid w:val="00E211AA"/>
    <w:rsid w:val="00E21245"/>
    <w:rsid w:val="00E21273"/>
    <w:rsid w:val="00E21280"/>
    <w:rsid w:val="00E212AA"/>
    <w:rsid w:val="00E212AB"/>
    <w:rsid w:val="00E21366"/>
    <w:rsid w:val="00E2136B"/>
    <w:rsid w:val="00E21389"/>
    <w:rsid w:val="00E213D4"/>
    <w:rsid w:val="00E2143D"/>
    <w:rsid w:val="00E2146D"/>
    <w:rsid w:val="00E214AE"/>
    <w:rsid w:val="00E214B8"/>
    <w:rsid w:val="00E215BA"/>
    <w:rsid w:val="00E215D4"/>
    <w:rsid w:val="00E21659"/>
    <w:rsid w:val="00E2167C"/>
    <w:rsid w:val="00E2168C"/>
    <w:rsid w:val="00E216A4"/>
    <w:rsid w:val="00E2171E"/>
    <w:rsid w:val="00E2172B"/>
    <w:rsid w:val="00E21751"/>
    <w:rsid w:val="00E217A4"/>
    <w:rsid w:val="00E217EA"/>
    <w:rsid w:val="00E2184C"/>
    <w:rsid w:val="00E21875"/>
    <w:rsid w:val="00E218D4"/>
    <w:rsid w:val="00E21900"/>
    <w:rsid w:val="00E21A1E"/>
    <w:rsid w:val="00E21A34"/>
    <w:rsid w:val="00E21A46"/>
    <w:rsid w:val="00E21A92"/>
    <w:rsid w:val="00E21AAE"/>
    <w:rsid w:val="00E21AF3"/>
    <w:rsid w:val="00E21B2A"/>
    <w:rsid w:val="00E21B33"/>
    <w:rsid w:val="00E21B4B"/>
    <w:rsid w:val="00E21C15"/>
    <w:rsid w:val="00E21D2E"/>
    <w:rsid w:val="00E21D5E"/>
    <w:rsid w:val="00E21DDB"/>
    <w:rsid w:val="00E21E5E"/>
    <w:rsid w:val="00E21E9F"/>
    <w:rsid w:val="00E21F72"/>
    <w:rsid w:val="00E22027"/>
    <w:rsid w:val="00E2203D"/>
    <w:rsid w:val="00E2203E"/>
    <w:rsid w:val="00E220E4"/>
    <w:rsid w:val="00E22175"/>
    <w:rsid w:val="00E221B3"/>
    <w:rsid w:val="00E221CA"/>
    <w:rsid w:val="00E221EF"/>
    <w:rsid w:val="00E2222D"/>
    <w:rsid w:val="00E2225A"/>
    <w:rsid w:val="00E222D9"/>
    <w:rsid w:val="00E222E3"/>
    <w:rsid w:val="00E222F5"/>
    <w:rsid w:val="00E22394"/>
    <w:rsid w:val="00E2247C"/>
    <w:rsid w:val="00E224A9"/>
    <w:rsid w:val="00E2254E"/>
    <w:rsid w:val="00E22562"/>
    <w:rsid w:val="00E2256D"/>
    <w:rsid w:val="00E2263D"/>
    <w:rsid w:val="00E22696"/>
    <w:rsid w:val="00E226EE"/>
    <w:rsid w:val="00E22755"/>
    <w:rsid w:val="00E22778"/>
    <w:rsid w:val="00E227A7"/>
    <w:rsid w:val="00E227F8"/>
    <w:rsid w:val="00E2286E"/>
    <w:rsid w:val="00E228B0"/>
    <w:rsid w:val="00E228D8"/>
    <w:rsid w:val="00E2292B"/>
    <w:rsid w:val="00E22977"/>
    <w:rsid w:val="00E229D4"/>
    <w:rsid w:val="00E22A64"/>
    <w:rsid w:val="00E22B2A"/>
    <w:rsid w:val="00E22B3C"/>
    <w:rsid w:val="00E22BDE"/>
    <w:rsid w:val="00E22BEA"/>
    <w:rsid w:val="00E22C06"/>
    <w:rsid w:val="00E22C23"/>
    <w:rsid w:val="00E22C2E"/>
    <w:rsid w:val="00E22CC7"/>
    <w:rsid w:val="00E22CE6"/>
    <w:rsid w:val="00E22D88"/>
    <w:rsid w:val="00E22DEB"/>
    <w:rsid w:val="00E22DFD"/>
    <w:rsid w:val="00E22E17"/>
    <w:rsid w:val="00E22E3F"/>
    <w:rsid w:val="00E22E9B"/>
    <w:rsid w:val="00E22F2B"/>
    <w:rsid w:val="00E22F80"/>
    <w:rsid w:val="00E22F8C"/>
    <w:rsid w:val="00E22FAE"/>
    <w:rsid w:val="00E2307E"/>
    <w:rsid w:val="00E23089"/>
    <w:rsid w:val="00E230CF"/>
    <w:rsid w:val="00E230F5"/>
    <w:rsid w:val="00E231E8"/>
    <w:rsid w:val="00E231E9"/>
    <w:rsid w:val="00E232F6"/>
    <w:rsid w:val="00E2334A"/>
    <w:rsid w:val="00E23359"/>
    <w:rsid w:val="00E23372"/>
    <w:rsid w:val="00E23416"/>
    <w:rsid w:val="00E2345C"/>
    <w:rsid w:val="00E234D3"/>
    <w:rsid w:val="00E2350D"/>
    <w:rsid w:val="00E2357C"/>
    <w:rsid w:val="00E235AD"/>
    <w:rsid w:val="00E23658"/>
    <w:rsid w:val="00E2367C"/>
    <w:rsid w:val="00E23680"/>
    <w:rsid w:val="00E236B8"/>
    <w:rsid w:val="00E236E3"/>
    <w:rsid w:val="00E2376E"/>
    <w:rsid w:val="00E23784"/>
    <w:rsid w:val="00E23797"/>
    <w:rsid w:val="00E23843"/>
    <w:rsid w:val="00E2386A"/>
    <w:rsid w:val="00E2387E"/>
    <w:rsid w:val="00E238A5"/>
    <w:rsid w:val="00E239BD"/>
    <w:rsid w:val="00E23A8A"/>
    <w:rsid w:val="00E23AD8"/>
    <w:rsid w:val="00E23AEA"/>
    <w:rsid w:val="00E23B7A"/>
    <w:rsid w:val="00E23B86"/>
    <w:rsid w:val="00E23BAE"/>
    <w:rsid w:val="00E23C06"/>
    <w:rsid w:val="00E23C3E"/>
    <w:rsid w:val="00E23D62"/>
    <w:rsid w:val="00E23D91"/>
    <w:rsid w:val="00E23DA0"/>
    <w:rsid w:val="00E23DE7"/>
    <w:rsid w:val="00E23E1E"/>
    <w:rsid w:val="00E23E31"/>
    <w:rsid w:val="00E23E5B"/>
    <w:rsid w:val="00E23E79"/>
    <w:rsid w:val="00E23E89"/>
    <w:rsid w:val="00E23ED6"/>
    <w:rsid w:val="00E23ED7"/>
    <w:rsid w:val="00E23F5C"/>
    <w:rsid w:val="00E23F8C"/>
    <w:rsid w:val="00E23FF3"/>
    <w:rsid w:val="00E2401E"/>
    <w:rsid w:val="00E2402F"/>
    <w:rsid w:val="00E2403D"/>
    <w:rsid w:val="00E24223"/>
    <w:rsid w:val="00E24228"/>
    <w:rsid w:val="00E242EC"/>
    <w:rsid w:val="00E24302"/>
    <w:rsid w:val="00E24346"/>
    <w:rsid w:val="00E243A5"/>
    <w:rsid w:val="00E243E1"/>
    <w:rsid w:val="00E244C6"/>
    <w:rsid w:val="00E24508"/>
    <w:rsid w:val="00E2450D"/>
    <w:rsid w:val="00E2451D"/>
    <w:rsid w:val="00E2452A"/>
    <w:rsid w:val="00E2453D"/>
    <w:rsid w:val="00E246B0"/>
    <w:rsid w:val="00E246B9"/>
    <w:rsid w:val="00E246DB"/>
    <w:rsid w:val="00E246DC"/>
    <w:rsid w:val="00E246E1"/>
    <w:rsid w:val="00E246E9"/>
    <w:rsid w:val="00E2485C"/>
    <w:rsid w:val="00E24894"/>
    <w:rsid w:val="00E248B9"/>
    <w:rsid w:val="00E248FE"/>
    <w:rsid w:val="00E24915"/>
    <w:rsid w:val="00E2491B"/>
    <w:rsid w:val="00E24A23"/>
    <w:rsid w:val="00E24A3F"/>
    <w:rsid w:val="00E24AB0"/>
    <w:rsid w:val="00E24C25"/>
    <w:rsid w:val="00E24C3E"/>
    <w:rsid w:val="00E24C97"/>
    <w:rsid w:val="00E24CC9"/>
    <w:rsid w:val="00E24CD7"/>
    <w:rsid w:val="00E24D1E"/>
    <w:rsid w:val="00E24D50"/>
    <w:rsid w:val="00E24D5A"/>
    <w:rsid w:val="00E24D7B"/>
    <w:rsid w:val="00E24DBE"/>
    <w:rsid w:val="00E24DCD"/>
    <w:rsid w:val="00E24DE2"/>
    <w:rsid w:val="00E24E2E"/>
    <w:rsid w:val="00E24E94"/>
    <w:rsid w:val="00E24F0B"/>
    <w:rsid w:val="00E24F91"/>
    <w:rsid w:val="00E25000"/>
    <w:rsid w:val="00E2500A"/>
    <w:rsid w:val="00E2502A"/>
    <w:rsid w:val="00E25040"/>
    <w:rsid w:val="00E2506D"/>
    <w:rsid w:val="00E25096"/>
    <w:rsid w:val="00E25112"/>
    <w:rsid w:val="00E2514D"/>
    <w:rsid w:val="00E2516F"/>
    <w:rsid w:val="00E251C5"/>
    <w:rsid w:val="00E251CC"/>
    <w:rsid w:val="00E25208"/>
    <w:rsid w:val="00E252A9"/>
    <w:rsid w:val="00E252C8"/>
    <w:rsid w:val="00E252D1"/>
    <w:rsid w:val="00E2535C"/>
    <w:rsid w:val="00E25398"/>
    <w:rsid w:val="00E25409"/>
    <w:rsid w:val="00E254D1"/>
    <w:rsid w:val="00E2555A"/>
    <w:rsid w:val="00E25573"/>
    <w:rsid w:val="00E256D5"/>
    <w:rsid w:val="00E2579B"/>
    <w:rsid w:val="00E257C0"/>
    <w:rsid w:val="00E25803"/>
    <w:rsid w:val="00E2580A"/>
    <w:rsid w:val="00E258BC"/>
    <w:rsid w:val="00E258C4"/>
    <w:rsid w:val="00E25939"/>
    <w:rsid w:val="00E2595D"/>
    <w:rsid w:val="00E2598E"/>
    <w:rsid w:val="00E25A37"/>
    <w:rsid w:val="00E25A6F"/>
    <w:rsid w:val="00E25B5D"/>
    <w:rsid w:val="00E25B84"/>
    <w:rsid w:val="00E25BBB"/>
    <w:rsid w:val="00E25C6C"/>
    <w:rsid w:val="00E25C7A"/>
    <w:rsid w:val="00E25CA7"/>
    <w:rsid w:val="00E25CC7"/>
    <w:rsid w:val="00E25CF0"/>
    <w:rsid w:val="00E25D09"/>
    <w:rsid w:val="00E25D24"/>
    <w:rsid w:val="00E25D76"/>
    <w:rsid w:val="00E25D8D"/>
    <w:rsid w:val="00E25DDE"/>
    <w:rsid w:val="00E25E1A"/>
    <w:rsid w:val="00E25E3A"/>
    <w:rsid w:val="00E25E4D"/>
    <w:rsid w:val="00E25EB5"/>
    <w:rsid w:val="00E25F1C"/>
    <w:rsid w:val="00E25FDF"/>
    <w:rsid w:val="00E25FFB"/>
    <w:rsid w:val="00E260A4"/>
    <w:rsid w:val="00E260A6"/>
    <w:rsid w:val="00E26116"/>
    <w:rsid w:val="00E2618F"/>
    <w:rsid w:val="00E26246"/>
    <w:rsid w:val="00E26262"/>
    <w:rsid w:val="00E262A9"/>
    <w:rsid w:val="00E26359"/>
    <w:rsid w:val="00E26382"/>
    <w:rsid w:val="00E263AD"/>
    <w:rsid w:val="00E263E5"/>
    <w:rsid w:val="00E26420"/>
    <w:rsid w:val="00E26433"/>
    <w:rsid w:val="00E26437"/>
    <w:rsid w:val="00E2643B"/>
    <w:rsid w:val="00E26475"/>
    <w:rsid w:val="00E264A0"/>
    <w:rsid w:val="00E264B6"/>
    <w:rsid w:val="00E264F8"/>
    <w:rsid w:val="00E265E5"/>
    <w:rsid w:val="00E26626"/>
    <w:rsid w:val="00E26631"/>
    <w:rsid w:val="00E2669B"/>
    <w:rsid w:val="00E26719"/>
    <w:rsid w:val="00E26725"/>
    <w:rsid w:val="00E2677F"/>
    <w:rsid w:val="00E267CD"/>
    <w:rsid w:val="00E26895"/>
    <w:rsid w:val="00E2696B"/>
    <w:rsid w:val="00E26B32"/>
    <w:rsid w:val="00E26B5E"/>
    <w:rsid w:val="00E26B8F"/>
    <w:rsid w:val="00E26BC2"/>
    <w:rsid w:val="00E26BEF"/>
    <w:rsid w:val="00E26C18"/>
    <w:rsid w:val="00E26C5F"/>
    <w:rsid w:val="00E26C61"/>
    <w:rsid w:val="00E26C7A"/>
    <w:rsid w:val="00E26CA2"/>
    <w:rsid w:val="00E26CEE"/>
    <w:rsid w:val="00E26CEF"/>
    <w:rsid w:val="00E26DF1"/>
    <w:rsid w:val="00E26DFC"/>
    <w:rsid w:val="00E26E0D"/>
    <w:rsid w:val="00E26E11"/>
    <w:rsid w:val="00E26E27"/>
    <w:rsid w:val="00E26E7D"/>
    <w:rsid w:val="00E26E99"/>
    <w:rsid w:val="00E26EB6"/>
    <w:rsid w:val="00E26F02"/>
    <w:rsid w:val="00E26F28"/>
    <w:rsid w:val="00E26F47"/>
    <w:rsid w:val="00E26F4A"/>
    <w:rsid w:val="00E26F5E"/>
    <w:rsid w:val="00E2701D"/>
    <w:rsid w:val="00E27030"/>
    <w:rsid w:val="00E27034"/>
    <w:rsid w:val="00E27042"/>
    <w:rsid w:val="00E270C8"/>
    <w:rsid w:val="00E270F1"/>
    <w:rsid w:val="00E27150"/>
    <w:rsid w:val="00E271A1"/>
    <w:rsid w:val="00E27255"/>
    <w:rsid w:val="00E2726C"/>
    <w:rsid w:val="00E27305"/>
    <w:rsid w:val="00E2738C"/>
    <w:rsid w:val="00E2738F"/>
    <w:rsid w:val="00E2742C"/>
    <w:rsid w:val="00E27436"/>
    <w:rsid w:val="00E27458"/>
    <w:rsid w:val="00E27462"/>
    <w:rsid w:val="00E2749E"/>
    <w:rsid w:val="00E274A5"/>
    <w:rsid w:val="00E274D6"/>
    <w:rsid w:val="00E27543"/>
    <w:rsid w:val="00E27562"/>
    <w:rsid w:val="00E27595"/>
    <w:rsid w:val="00E27599"/>
    <w:rsid w:val="00E27607"/>
    <w:rsid w:val="00E2761E"/>
    <w:rsid w:val="00E27657"/>
    <w:rsid w:val="00E27666"/>
    <w:rsid w:val="00E27676"/>
    <w:rsid w:val="00E276B4"/>
    <w:rsid w:val="00E2772C"/>
    <w:rsid w:val="00E27773"/>
    <w:rsid w:val="00E27785"/>
    <w:rsid w:val="00E277F3"/>
    <w:rsid w:val="00E27814"/>
    <w:rsid w:val="00E27828"/>
    <w:rsid w:val="00E2785F"/>
    <w:rsid w:val="00E278ED"/>
    <w:rsid w:val="00E278FA"/>
    <w:rsid w:val="00E2791C"/>
    <w:rsid w:val="00E27963"/>
    <w:rsid w:val="00E27967"/>
    <w:rsid w:val="00E279C7"/>
    <w:rsid w:val="00E27B0B"/>
    <w:rsid w:val="00E27BCF"/>
    <w:rsid w:val="00E27CB7"/>
    <w:rsid w:val="00E27CD0"/>
    <w:rsid w:val="00E27CEB"/>
    <w:rsid w:val="00E27D42"/>
    <w:rsid w:val="00E27D72"/>
    <w:rsid w:val="00E27D86"/>
    <w:rsid w:val="00E27D9C"/>
    <w:rsid w:val="00E27DD6"/>
    <w:rsid w:val="00E27DED"/>
    <w:rsid w:val="00E27ED4"/>
    <w:rsid w:val="00E27EFC"/>
    <w:rsid w:val="00E27FFA"/>
    <w:rsid w:val="00E30013"/>
    <w:rsid w:val="00E3003C"/>
    <w:rsid w:val="00E30081"/>
    <w:rsid w:val="00E30083"/>
    <w:rsid w:val="00E30089"/>
    <w:rsid w:val="00E3008D"/>
    <w:rsid w:val="00E300EC"/>
    <w:rsid w:val="00E300F8"/>
    <w:rsid w:val="00E30189"/>
    <w:rsid w:val="00E30207"/>
    <w:rsid w:val="00E30225"/>
    <w:rsid w:val="00E3022C"/>
    <w:rsid w:val="00E30299"/>
    <w:rsid w:val="00E303C7"/>
    <w:rsid w:val="00E30406"/>
    <w:rsid w:val="00E304AA"/>
    <w:rsid w:val="00E304F8"/>
    <w:rsid w:val="00E30531"/>
    <w:rsid w:val="00E305EA"/>
    <w:rsid w:val="00E30654"/>
    <w:rsid w:val="00E30697"/>
    <w:rsid w:val="00E306A0"/>
    <w:rsid w:val="00E306B4"/>
    <w:rsid w:val="00E3073C"/>
    <w:rsid w:val="00E307BF"/>
    <w:rsid w:val="00E30804"/>
    <w:rsid w:val="00E3083A"/>
    <w:rsid w:val="00E30999"/>
    <w:rsid w:val="00E30A3B"/>
    <w:rsid w:val="00E30A7A"/>
    <w:rsid w:val="00E30AAE"/>
    <w:rsid w:val="00E30B4A"/>
    <w:rsid w:val="00E30B58"/>
    <w:rsid w:val="00E30C32"/>
    <w:rsid w:val="00E30C45"/>
    <w:rsid w:val="00E30C9C"/>
    <w:rsid w:val="00E30CA4"/>
    <w:rsid w:val="00E30CBB"/>
    <w:rsid w:val="00E30D5A"/>
    <w:rsid w:val="00E30D5B"/>
    <w:rsid w:val="00E30E04"/>
    <w:rsid w:val="00E30E08"/>
    <w:rsid w:val="00E30E95"/>
    <w:rsid w:val="00E30EA5"/>
    <w:rsid w:val="00E30EEF"/>
    <w:rsid w:val="00E30F9A"/>
    <w:rsid w:val="00E30FD9"/>
    <w:rsid w:val="00E3109F"/>
    <w:rsid w:val="00E3113D"/>
    <w:rsid w:val="00E311B0"/>
    <w:rsid w:val="00E311BA"/>
    <w:rsid w:val="00E311D4"/>
    <w:rsid w:val="00E31360"/>
    <w:rsid w:val="00E31386"/>
    <w:rsid w:val="00E313AF"/>
    <w:rsid w:val="00E3140F"/>
    <w:rsid w:val="00E3143A"/>
    <w:rsid w:val="00E31473"/>
    <w:rsid w:val="00E31512"/>
    <w:rsid w:val="00E31610"/>
    <w:rsid w:val="00E316E2"/>
    <w:rsid w:val="00E31710"/>
    <w:rsid w:val="00E317C3"/>
    <w:rsid w:val="00E317D1"/>
    <w:rsid w:val="00E31874"/>
    <w:rsid w:val="00E318E2"/>
    <w:rsid w:val="00E319C4"/>
    <w:rsid w:val="00E31A82"/>
    <w:rsid w:val="00E31AC4"/>
    <w:rsid w:val="00E31AE8"/>
    <w:rsid w:val="00E31B04"/>
    <w:rsid w:val="00E31B3E"/>
    <w:rsid w:val="00E31B7C"/>
    <w:rsid w:val="00E31B8A"/>
    <w:rsid w:val="00E31B96"/>
    <w:rsid w:val="00E31BBF"/>
    <w:rsid w:val="00E31C43"/>
    <w:rsid w:val="00E31D07"/>
    <w:rsid w:val="00E31D8A"/>
    <w:rsid w:val="00E31D9C"/>
    <w:rsid w:val="00E31E55"/>
    <w:rsid w:val="00E31EA2"/>
    <w:rsid w:val="00E31EBC"/>
    <w:rsid w:val="00E31ED1"/>
    <w:rsid w:val="00E31EEB"/>
    <w:rsid w:val="00E31EFB"/>
    <w:rsid w:val="00E31EFF"/>
    <w:rsid w:val="00E31F7D"/>
    <w:rsid w:val="00E31F8E"/>
    <w:rsid w:val="00E31FCF"/>
    <w:rsid w:val="00E32052"/>
    <w:rsid w:val="00E32069"/>
    <w:rsid w:val="00E32076"/>
    <w:rsid w:val="00E3208E"/>
    <w:rsid w:val="00E32094"/>
    <w:rsid w:val="00E32123"/>
    <w:rsid w:val="00E3219D"/>
    <w:rsid w:val="00E321B2"/>
    <w:rsid w:val="00E32252"/>
    <w:rsid w:val="00E32290"/>
    <w:rsid w:val="00E322AB"/>
    <w:rsid w:val="00E32396"/>
    <w:rsid w:val="00E323BE"/>
    <w:rsid w:val="00E32409"/>
    <w:rsid w:val="00E32448"/>
    <w:rsid w:val="00E32456"/>
    <w:rsid w:val="00E32479"/>
    <w:rsid w:val="00E325C9"/>
    <w:rsid w:val="00E3268D"/>
    <w:rsid w:val="00E326DF"/>
    <w:rsid w:val="00E32727"/>
    <w:rsid w:val="00E3272F"/>
    <w:rsid w:val="00E3277E"/>
    <w:rsid w:val="00E32788"/>
    <w:rsid w:val="00E327E9"/>
    <w:rsid w:val="00E32883"/>
    <w:rsid w:val="00E328F0"/>
    <w:rsid w:val="00E329A8"/>
    <w:rsid w:val="00E32A14"/>
    <w:rsid w:val="00E32A46"/>
    <w:rsid w:val="00E32A48"/>
    <w:rsid w:val="00E32B3F"/>
    <w:rsid w:val="00E32BBB"/>
    <w:rsid w:val="00E32BEB"/>
    <w:rsid w:val="00E32C47"/>
    <w:rsid w:val="00E32CEB"/>
    <w:rsid w:val="00E32D2E"/>
    <w:rsid w:val="00E32D53"/>
    <w:rsid w:val="00E32D89"/>
    <w:rsid w:val="00E32E0E"/>
    <w:rsid w:val="00E32E28"/>
    <w:rsid w:val="00E32E48"/>
    <w:rsid w:val="00E32E5F"/>
    <w:rsid w:val="00E32EA7"/>
    <w:rsid w:val="00E32EC8"/>
    <w:rsid w:val="00E32F1C"/>
    <w:rsid w:val="00E32F2D"/>
    <w:rsid w:val="00E32F3A"/>
    <w:rsid w:val="00E32F72"/>
    <w:rsid w:val="00E33074"/>
    <w:rsid w:val="00E3309C"/>
    <w:rsid w:val="00E330B9"/>
    <w:rsid w:val="00E330D2"/>
    <w:rsid w:val="00E330FA"/>
    <w:rsid w:val="00E33112"/>
    <w:rsid w:val="00E33126"/>
    <w:rsid w:val="00E331BB"/>
    <w:rsid w:val="00E331C1"/>
    <w:rsid w:val="00E332A1"/>
    <w:rsid w:val="00E332AC"/>
    <w:rsid w:val="00E33372"/>
    <w:rsid w:val="00E33378"/>
    <w:rsid w:val="00E3339D"/>
    <w:rsid w:val="00E3340A"/>
    <w:rsid w:val="00E33421"/>
    <w:rsid w:val="00E33483"/>
    <w:rsid w:val="00E33581"/>
    <w:rsid w:val="00E335C7"/>
    <w:rsid w:val="00E3365A"/>
    <w:rsid w:val="00E3365D"/>
    <w:rsid w:val="00E33741"/>
    <w:rsid w:val="00E337BC"/>
    <w:rsid w:val="00E337E6"/>
    <w:rsid w:val="00E33856"/>
    <w:rsid w:val="00E33864"/>
    <w:rsid w:val="00E33891"/>
    <w:rsid w:val="00E3398B"/>
    <w:rsid w:val="00E339A7"/>
    <w:rsid w:val="00E33A0F"/>
    <w:rsid w:val="00E33A55"/>
    <w:rsid w:val="00E33A92"/>
    <w:rsid w:val="00E33AC0"/>
    <w:rsid w:val="00E33ADD"/>
    <w:rsid w:val="00E33B31"/>
    <w:rsid w:val="00E33B3C"/>
    <w:rsid w:val="00E33B48"/>
    <w:rsid w:val="00E33B4B"/>
    <w:rsid w:val="00E33C8C"/>
    <w:rsid w:val="00E33CB4"/>
    <w:rsid w:val="00E33CC2"/>
    <w:rsid w:val="00E33CD5"/>
    <w:rsid w:val="00E33D72"/>
    <w:rsid w:val="00E33D79"/>
    <w:rsid w:val="00E33D9D"/>
    <w:rsid w:val="00E33E6B"/>
    <w:rsid w:val="00E33EEA"/>
    <w:rsid w:val="00E33F10"/>
    <w:rsid w:val="00E33F1A"/>
    <w:rsid w:val="00E33F24"/>
    <w:rsid w:val="00E33F5A"/>
    <w:rsid w:val="00E33FDF"/>
    <w:rsid w:val="00E3405B"/>
    <w:rsid w:val="00E34067"/>
    <w:rsid w:val="00E34086"/>
    <w:rsid w:val="00E34132"/>
    <w:rsid w:val="00E34141"/>
    <w:rsid w:val="00E34153"/>
    <w:rsid w:val="00E3417F"/>
    <w:rsid w:val="00E341A8"/>
    <w:rsid w:val="00E3428B"/>
    <w:rsid w:val="00E342BD"/>
    <w:rsid w:val="00E342FA"/>
    <w:rsid w:val="00E34321"/>
    <w:rsid w:val="00E343F6"/>
    <w:rsid w:val="00E3440E"/>
    <w:rsid w:val="00E34472"/>
    <w:rsid w:val="00E344C8"/>
    <w:rsid w:val="00E344D1"/>
    <w:rsid w:val="00E34509"/>
    <w:rsid w:val="00E34517"/>
    <w:rsid w:val="00E34619"/>
    <w:rsid w:val="00E3463D"/>
    <w:rsid w:val="00E34668"/>
    <w:rsid w:val="00E346CC"/>
    <w:rsid w:val="00E34722"/>
    <w:rsid w:val="00E3478D"/>
    <w:rsid w:val="00E34885"/>
    <w:rsid w:val="00E34903"/>
    <w:rsid w:val="00E3498C"/>
    <w:rsid w:val="00E34A73"/>
    <w:rsid w:val="00E34A8C"/>
    <w:rsid w:val="00E34ABF"/>
    <w:rsid w:val="00E34B6C"/>
    <w:rsid w:val="00E34B7A"/>
    <w:rsid w:val="00E34B9D"/>
    <w:rsid w:val="00E34BB5"/>
    <w:rsid w:val="00E34BBC"/>
    <w:rsid w:val="00E34BC8"/>
    <w:rsid w:val="00E34C1C"/>
    <w:rsid w:val="00E34C4A"/>
    <w:rsid w:val="00E34C5D"/>
    <w:rsid w:val="00E34DB4"/>
    <w:rsid w:val="00E34E9D"/>
    <w:rsid w:val="00E34EAA"/>
    <w:rsid w:val="00E34ECA"/>
    <w:rsid w:val="00E34ED7"/>
    <w:rsid w:val="00E34F0D"/>
    <w:rsid w:val="00E34F1A"/>
    <w:rsid w:val="00E34F2D"/>
    <w:rsid w:val="00E34F39"/>
    <w:rsid w:val="00E34F90"/>
    <w:rsid w:val="00E34F92"/>
    <w:rsid w:val="00E34FF8"/>
    <w:rsid w:val="00E35006"/>
    <w:rsid w:val="00E35177"/>
    <w:rsid w:val="00E35180"/>
    <w:rsid w:val="00E3518F"/>
    <w:rsid w:val="00E351C7"/>
    <w:rsid w:val="00E35268"/>
    <w:rsid w:val="00E3533F"/>
    <w:rsid w:val="00E35364"/>
    <w:rsid w:val="00E3536F"/>
    <w:rsid w:val="00E35401"/>
    <w:rsid w:val="00E3541A"/>
    <w:rsid w:val="00E3547E"/>
    <w:rsid w:val="00E35484"/>
    <w:rsid w:val="00E354D5"/>
    <w:rsid w:val="00E35512"/>
    <w:rsid w:val="00E35513"/>
    <w:rsid w:val="00E3561E"/>
    <w:rsid w:val="00E35638"/>
    <w:rsid w:val="00E3564D"/>
    <w:rsid w:val="00E35784"/>
    <w:rsid w:val="00E35796"/>
    <w:rsid w:val="00E357F7"/>
    <w:rsid w:val="00E35862"/>
    <w:rsid w:val="00E35896"/>
    <w:rsid w:val="00E358C4"/>
    <w:rsid w:val="00E35919"/>
    <w:rsid w:val="00E359C7"/>
    <w:rsid w:val="00E35A07"/>
    <w:rsid w:val="00E35A4C"/>
    <w:rsid w:val="00E35AA3"/>
    <w:rsid w:val="00E35AB6"/>
    <w:rsid w:val="00E35C3C"/>
    <w:rsid w:val="00E35C41"/>
    <w:rsid w:val="00E35CF6"/>
    <w:rsid w:val="00E35D08"/>
    <w:rsid w:val="00E35D0A"/>
    <w:rsid w:val="00E35D0F"/>
    <w:rsid w:val="00E35D13"/>
    <w:rsid w:val="00E35D8D"/>
    <w:rsid w:val="00E35E04"/>
    <w:rsid w:val="00E35E25"/>
    <w:rsid w:val="00E35E34"/>
    <w:rsid w:val="00E35E57"/>
    <w:rsid w:val="00E35F00"/>
    <w:rsid w:val="00E35F7A"/>
    <w:rsid w:val="00E35FE3"/>
    <w:rsid w:val="00E3600C"/>
    <w:rsid w:val="00E360B9"/>
    <w:rsid w:val="00E361CF"/>
    <w:rsid w:val="00E36272"/>
    <w:rsid w:val="00E362C4"/>
    <w:rsid w:val="00E36303"/>
    <w:rsid w:val="00E36434"/>
    <w:rsid w:val="00E36452"/>
    <w:rsid w:val="00E3647F"/>
    <w:rsid w:val="00E364A7"/>
    <w:rsid w:val="00E36533"/>
    <w:rsid w:val="00E3658D"/>
    <w:rsid w:val="00E36787"/>
    <w:rsid w:val="00E368ED"/>
    <w:rsid w:val="00E36906"/>
    <w:rsid w:val="00E36995"/>
    <w:rsid w:val="00E36A91"/>
    <w:rsid w:val="00E36B09"/>
    <w:rsid w:val="00E36B2B"/>
    <w:rsid w:val="00E36BAA"/>
    <w:rsid w:val="00E36BB2"/>
    <w:rsid w:val="00E36BB4"/>
    <w:rsid w:val="00E36CBB"/>
    <w:rsid w:val="00E36D20"/>
    <w:rsid w:val="00E36D31"/>
    <w:rsid w:val="00E36E24"/>
    <w:rsid w:val="00E36E29"/>
    <w:rsid w:val="00E36E34"/>
    <w:rsid w:val="00E36E7B"/>
    <w:rsid w:val="00E36F15"/>
    <w:rsid w:val="00E36FB1"/>
    <w:rsid w:val="00E3706E"/>
    <w:rsid w:val="00E37087"/>
    <w:rsid w:val="00E370CE"/>
    <w:rsid w:val="00E370FE"/>
    <w:rsid w:val="00E371A8"/>
    <w:rsid w:val="00E37228"/>
    <w:rsid w:val="00E37249"/>
    <w:rsid w:val="00E3725B"/>
    <w:rsid w:val="00E372F1"/>
    <w:rsid w:val="00E37308"/>
    <w:rsid w:val="00E37318"/>
    <w:rsid w:val="00E373E0"/>
    <w:rsid w:val="00E374AE"/>
    <w:rsid w:val="00E374B0"/>
    <w:rsid w:val="00E374DB"/>
    <w:rsid w:val="00E37569"/>
    <w:rsid w:val="00E3759B"/>
    <w:rsid w:val="00E375C9"/>
    <w:rsid w:val="00E375F5"/>
    <w:rsid w:val="00E37619"/>
    <w:rsid w:val="00E37626"/>
    <w:rsid w:val="00E376C3"/>
    <w:rsid w:val="00E377BF"/>
    <w:rsid w:val="00E3782A"/>
    <w:rsid w:val="00E37838"/>
    <w:rsid w:val="00E37846"/>
    <w:rsid w:val="00E37848"/>
    <w:rsid w:val="00E37899"/>
    <w:rsid w:val="00E3795C"/>
    <w:rsid w:val="00E3799F"/>
    <w:rsid w:val="00E37A86"/>
    <w:rsid w:val="00E37AC7"/>
    <w:rsid w:val="00E37AD9"/>
    <w:rsid w:val="00E37B4B"/>
    <w:rsid w:val="00E37B67"/>
    <w:rsid w:val="00E37C33"/>
    <w:rsid w:val="00E37C3D"/>
    <w:rsid w:val="00E37C77"/>
    <w:rsid w:val="00E37C9F"/>
    <w:rsid w:val="00E37CB8"/>
    <w:rsid w:val="00E37CBE"/>
    <w:rsid w:val="00E37D02"/>
    <w:rsid w:val="00E37D3C"/>
    <w:rsid w:val="00E37DBD"/>
    <w:rsid w:val="00E37DEE"/>
    <w:rsid w:val="00E37E59"/>
    <w:rsid w:val="00E37E92"/>
    <w:rsid w:val="00E37EC6"/>
    <w:rsid w:val="00E37EEF"/>
    <w:rsid w:val="00E37EF0"/>
    <w:rsid w:val="00E37EFA"/>
    <w:rsid w:val="00E37FAF"/>
    <w:rsid w:val="00E37FE7"/>
    <w:rsid w:val="00E40032"/>
    <w:rsid w:val="00E400A9"/>
    <w:rsid w:val="00E400B1"/>
    <w:rsid w:val="00E400BA"/>
    <w:rsid w:val="00E40122"/>
    <w:rsid w:val="00E40151"/>
    <w:rsid w:val="00E4016A"/>
    <w:rsid w:val="00E40186"/>
    <w:rsid w:val="00E4020A"/>
    <w:rsid w:val="00E4023B"/>
    <w:rsid w:val="00E40311"/>
    <w:rsid w:val="00E4033B"/>
    <w:rsid w:val="00E403FC"/>
    <w:rsid w:val="00E40434"/>
    <w:rsid w:val="00E40452"/>
    <w:rsid w:val="00E4045F"/>
    <w:rsid w:val="00E4054B"/>
    <w:rsid w:val="00E40556"/>
    <w:rsid w:val="00E4057F"/>
    <w:rsid w:val="00E405C5"/>
    <w:rsid w:val="00E40633"/>
    <w:rsid w:val="00E40639"/>
    <w:rsid w:val="00E4063D"/>
    <w:rsid w:val="00E406E4"/>
    <w:rsid w:val="00E406EE"/>
    <w:rsid w:val="00E40784"/>
    <w:rsid w:val="00E4078D"/>
    <w:rsid w:val="00E4079C"/>
    <w:rsid w:val="00E40815"/>
    <w:rsid w:val="00E40828"/>
    <w:rsid w:val="00E40876"/>
    <w:rsid w:val="00E4088E"/>
    <w:rsid w:val="00E408C5"/>
    <w:rsid w:val="00E40907"/>
    <w:rsid w:val="00E40946"/>
    <w:rsid w:val="00E4096F"/>
    <w:rsid w:val="00E40989"/>
    <w:rsid w:val="00E409DE"/>
    <w:rsid w:val="00E409F9"/>
    <w:rsid w:val="00E40A22"/>
    <w:rsid w:val="00E40A3D"/>
    <w:rsid w:val="00E40AD7"/>
    <w:rsid w:val="00E40ADB"/>
    <w:rsid w:val="00E40AEB"/>
    <w:rsid w:val="00E40B81"/>
    <w:rsid w:val="00E40BAB"/>
    <w:rsid w:val="00E40BE9"/>
    <w:rsid w:val="00E40BFA"/>
    <w:rsid w:val="00E40C54"/>
    <w:rsid w:val="00E40C7B"/>
    <w:rsid w:val="00E40CB8"/>
    <w:rsid w:val="00E40CF0"/>
    <w:rsid w:val="00E40D27"/>
    <w:rsid w:val="00E40E74"/>
    <w:rsid w:val="00E40ED5"/>
    <w:rsid w:val="00E40F27"/>
    <w:rsid w:val="00E40F3F"/>
    <w:rsid w:val="00E40F84"/>
    <w:rsid w:val="00E40FBF"/>
    <w:rsid w:val="00E40FCF"/>
    <w:rsid w:val="00E41087"/>
    <w:rsid w:val="00E410DD"/>
    <w:rsid w:val="00E410FA"/>
    <w:rsid w:val="00E410FC"/>
    <w:rsid w:val="00E4110A"/>
    <w:rsid w:val="00E411E7"/>
    <w:rsid w:val="00E41201"/>
    <w:rsid w:val="00E41279"/>
    <w:rsid w:val="00E4127A"/>
    <w:rsid w:val="00E4127E"/>
    <w:rsid w:val="00E412E9"/>
    <w:rsid w:val="00E413BB"/>
    <w:rsid w:val="00E41456"/>
    <w:rsid w:val="00E41472"/>
    <w:rsid w:val="00E414C7"/>
    <w:rsid w:val="00E41525"/>
    <w:rsid w:val="00E41605"/>
    <w:rsid w:val="00E41688"/>
    <w:rsid w:val="00E416BE"/>
    <w:rsid w:val="00E41738"/>
    <w:rsid w:val="00E41763"/>
    <w:rsid w:val="00E41772"/>
    <w:rsid w:val="00E41789"/>
    <w:rsid w:val="00E417FF"/>
    <w:rsid w:val="00E418A3"/>
    <w:rsid w:val="00E41944"/>
    <w:rsid w:val="00E41947"/>
    <w:rsid w:val="00E4195E"/>
    <w:rsid w:val="00E419BA"/>
    <w:rsid w:val="00E419D1"/>
    <w:rsid w:val="00E41A18"/>
    <w:rsid w:val="00E41A32"/>
    <w:rsid w:val="00E41AA5"/>
    <w:rsid w:val="00E41B98"/>
    <w:rsid w:val="00E41C0F"/>
    <w:rsid w:val="00E41C20"/>
    <w:rsid w:val="00E41C7D"/>
    <w:rsid w:val="00E41C99"/>
    <w:rsid w:val="00E41D29"/>
    <w:rsid w:val="00E41D46"/>
    <w:rsid w:val="00E41D62"/>
    <w:rsid w:val="00E41D6E"/>
    <w:rsid w:val="00E41D74"/>
    <w:rsid w:val="00E41D76"/>
    <w:rsid w:val="00E41D9B"/>
    <w:rsid w:val="00E41DF2"/>
    <w:rsid w:val="00E41E69"/>
    <w:rsid w:val="00E41EC0"/>
    <w:rsid w:val="00E41F74"/>
    <w:rsid w:val="00E41F90"/>
    <w:rsid w:val="00E42008"/>
    <w:rsid w:val="00E42041"/>
    <w:rsid w:val="00E420E1"/>
    <w:rsid w:val="00E42106"/>
    <w:rsid w:val="00E42109"/>
    <w:rsid w:val="00E42149"/>
    <w:rsid w:val="00E4216F"/>
    <w:rsid w:val="00E42177"/>
    <w:rsid w:val="00E421D0"/>
    <w:rsid w:val="00E42207"/>
    <w:rsid w:val="00E4221F"/>
    <w:rsid w:val="00E4222A"/>
    <w:rsid w:val="00E4223D"/>
    <w:rsid w:val="00E422BE"/>
    <w:rsid w:val="00E422F2"/>
    <w:rsid w:val="00E42339"/>
    <w:rsid w:val="00E42350"/>
    <w:rsid w:val="00E42366"/>
    <w:rsid w:val="00E42395"/>
    <w:rsid w:val="00E423A9"/>
    <w:rsid w:val="00E423B8"/>
    <w:rsid w:val="00E42408"/>
    <w:rsid w:val="00E42487"/>
    <w:rsid w:val="00E424E2"/>
    <w:rsid w:val="00E42528"/>
    <w:rsid w:val="00E42774"/>
    <w:rsid w:val="00E427C7"/>
    <w:rsid w:val="00E427D1"/>
    <w:rsid w:val="00E42840"/>
    <w:rsid w:val="00E42961"/>
    <w:rsid w:val="00E42965"/>
    <w:rsid w:val="00E42A05"/>
    <w:rsid w:val="00E42A0B"/>
    <w:rsid w:val="00E42B20"/>
    <w:rsid w:val="00E42B76"/>
    <w:rsid w:val="00E42B8B"/>
    <w:rsid w:val="00E42BD9"/>
    <w:rsid w:val="00E42BF4"/>
    <w:rsid w:val="00E42C34"/>
    <w:rsid w:val="00E42C3B"/>
    <w:rsid w:val="00E42C81"/>
    <w:rsid w:val="00E42D0A"/>
    <w:rsid w:val="00E42D0E"/>
    <w:rsid w:val="00E42DBB"/>
    <w:rsid w:val="00E42E03"/>
    <w:rsid w:val="00E42ED3"/>
    <w:rsid w:val="00E42EF3"/>
    <w:rsid w:val="00E42F35"/>
    <w:rsid w:val="00E42FEE"/>
    <w:rsid w:val="00E4306B"/>
    <w:rsid w:val="00E4306F"/>
    <w:rsid w:val="00E43077"/>
    <w:rsid w:val="00E43113"/>
    <w:rsid w:val="00E432AC"/>
    <w:rsid w:val="00E432C3"/>
    <w:rsid w:val="00E432CF"/>
    <w:rsid w:val="00E432D6"/>
    <w:rsid w:val="00E4333E"/>
    <w:rsid w:val="00E43369"/>
    <w:rsid w:val="00E433A3"/>
    <w:rsid w:val="00E43473"/>
    <w:rsid w:val="00E43478"/>
    <w:rsid w:val="00E43502"/>
    <w:rsid w:val="00E43529"/>
    <w:rsid w:val="00E435A0"/>
    <w:rsid w:val="00E4367C"/>
    <w:rsid w:val="00E43696"/>
    <w:rsid w:val="00E4370E"/>
    <w:rsid w:val="00E43771"/>
    <w:rsid w:val="00E4388B"/>
    <w:rsid w:val="00E438D3"/>
    <w:rsid w:val="00E438FC"/>
    <w:rsid w:val="00E4394F"/>
    <w:rsid w:val="00E439C7"/>
    <w:rsid w:val="00E43A01"/>
    <w:rsid w:val="00E43ACC"/>
    <w:rsid w:val="00E43AD6"/>
    <w:rsid w:val="00E43AEE"/>
    <w:rsid w:val="00E43B12"/>
    <w:rsid w:val="00E43B32"/>
    <w:rsid w:val="00E43B41"/>
    <w:rsid w:val="00E43BEB"/>
    <w:rsid w:val="00E43BF9"/>
    <w:rsid w:val="00E43C10"/>
    <w:rsid w:val="00E43C16"/>
    <w:rsid w:val="00E43CD6"/>
    <w:rsid w:val="00E43D05"/>
    <w:rsid w:val="00E43D0B"/>
    <w:rsid w:val="00E43D5B"/>
    <w:rsid w:val="00E43D9C"/>
    <w:rsid w:val="00E43DA8"/>
    <w:rsid w:val="00E43DE7"/>
    <w:rsid w:val="00E43E01"/>
    <w:rsid w:val="00E43E7F"/>
    <w:rsid w:val="00E43E8C"/>
    <w:rsid w:val="00E43FD9"/>
    <w:rsid w:val="00E44014"/>
    <w:rsid w:val="00E440F8"/>
    <w:rsid w:val="00E4414B"/>
    <w:rsid w:val="00E4415C"/>
    <w:rsid w:val="00E44183"/>
    <w:rsid w:val="00E441AF"/>
    <w:rsid w:val="00E441B7"/>
    <w:rsid w:val="00E441D0"/>
    <w:rsid w:val="00E441D1"/>
    <w:rsid w:val="00E441E3"/>
    <w:rsid w:val="00E441E5"/>
    <w:rsid w:val="00E442A7"/>
    <w:rsid w:val="00E442B2"/>
    <w:rsid w:val="00E44302"/>
    <w:rsid w:val="00E44370"/>
    <w:rsid w:val="00E44387"/>
    <w:rsid w:val="00E443BD"/>
    <w:rsid w:val="00E444F7"/>
    <w:rsid w:val="00E44523"/>
    <w:rsid w:val="00E4452C"/>
    <w:rsid w:val="00E445FB"/>
    <w:rsid w:val="00E4461C"/>
    <w:rsid w:val="00E44671"/>
    <w:rsid w:val="00E44796"/>
    <w:rsid w:val="00E44897"/>
    <w:rsid w:val="00E448AB"/>
    <w:rsid w:val="00E44948"/>
    <w:rsid w:val="00E44949"/>
    <w:rsid w:val="00E4495D"/>
    <w:rsid w:val="00E449A1"/>
    <w:rsid w:val="00E44A43"/>
    <w:rsid w:val="00E44A51"/>
    <w:rsid w:val="00E44A63"/>
    <w:rsid w:val="00E44B46"/>
    <w:rsid w:val="00E44B84"/>
    <w:rsid w:val="00E44C52"/>
    <w:rsid w:val="00E44C62"/>
    <w:rsid w:val="00E44CE2"/>
    <w:rsid w:val="00E44CE9"/>
    <w:rsid w:val="00E44D0B"/>
    <w:rsid w:val="00E44D4A"/>
    <w:rsid w:val="00E44DB9"/>
    <w:rsid w:val="00E44DEC"/>
    <w:rsid w:val="00E44E42"/>
    <w:rsid w:val="00E44EA3"/>
    <w:rsid w:val="00E44F11"/>
    <w:rsid w:val="00E44F21"/>
    <w:rsid w:val="00E44F2E"/>
    <w:rsid w:val="00E44F30"/>
    <w:rsid w:val="00E4502A"/>
    <w:rsid w:val="00E45040"/>
    <w:rsid w:val="00E45088"/>
    <w:rsid w:val="00E45134"/>
    <w:rsid w:val="00E451B6"/>
    <w:rsid w:val="00E4521D"/>
    <w:rsid w:val="00E452DD"/>
    <w:rsid w:val="00E4533D"/>
    <w:rsid w:val="00E453C6"/>
    <w:rsid w:val="00E4540D"/>
    <w:rsid w:val="00E45463"/>
    <w:rsid w:val="00E45464"/>
    <w:rsid w:val="00E454B0"/>
    <w:rsid w:val="00E45510"/>
    <w:rsid w:val="00E4551E"/>
    <w:rsid w:val="00E45541"/>
    <w:rsid w:val="00E4556D"/>
    <w:rsid w:val="00E455BC"/>
    <w:rsid w:val="00E4560E"/>
    <w:rsid w:val="00E45626"/>
    <w:rsid w:val="00E45661"/>
    <w:rsid w:val="00E4567D"/>
    <w:rsid w:val="00E456C2"/>
    <w:rsid w:val="00E456F4"/>
    <w:rsid w:val="00E45768"/>
    <w:rsid w:val="00E457D8"/>
    <w:rsid w:val="00E45803"/>
    <w:rsid w:val="00E45821"/>
    <w:rsid w:val="00E45834"/>
    <w:rsid w:val="00E458B2"/>
    <w:rsid w:val="00E458D2"/>
    <w:rsid w:val="00E45941"/>
    <w:rsid w:val="00E45A1C"/>
    <w:rsid w:val="00E45A76"/>
    <w:rsid w:val="00E45C1C"/>
    <w:rsid w:val="00E45C34"/>
    <w:rsid w:val="00E45C35"/>
    <w:rsid w:val="00E45C5E"/>
    <w:rsid w:val="00E45C8F"/>
    <w:rsid w:val="00E45CCA"/>
    <w:rsid w:val="00E45D7C"/>
    <w:rsid w:val="00E45DA8"/>
    <w:rsid w:val="00E45DF4"/>
    <w:rsid w:val="00E45E4C"/>
    <w:rsid w:val="00E45E86"/>
    <w:rsid w:val="00E45EAD"/>
    <w:rsid w:val="00E45EC4"/>
    <w:rsid w:val="00E45ECF"/>
    <w:rsid w:val="00E45F1C"/>
    <w:rsid w:val="00E45F47"/>
    <w:rsid w:val="00E45F73"/>
    <w:rsid w:val="00E45F81"/>
    <w:rsid w:val="00E45F82"/>
    <w:rsid w:val="00E4605A"/>
    <w:rsid w:val="00E4609C"/>
    <w:rsid w:val="00E460D9"/>
    <w:rsid w:val="00E460FD"/>
    <w:rsid w:val="00E461EA"/>
    <w:rsid w:val="00E46250"/>
    <w:rsid w:val="00E4629F"/>
    <w:rsid w:val="00E46309"/>
    <w:rsid w:val="00E46327"/>
    <w:rsid w:val="00E46341"/>
    <w:rsid w:val="00E463E6"/>
    <w:rsid w:val="00E463FC"/>
    <w:rsid w:val="00E46444"/>
    <w:rsid w:val="00E464CC"/>
    <w:rsid w:val="00E464F3"/>
    <w:rsid w:val="00E465F8"/>
    <w:rsid w:val="00E467AF"/>
    <w:rsid w:val="00E4685D"/>
    <w:rsid w:val="00E469E9"/>
    <w:rsid w:val="00E46A30"/>
    <w:rsid w:val="00E46B43"/>
    <w:rsid w:val="00E46B59"/>
    <w:rsid w:val="00E46C0E"/>
    <w:rsid w:val="00E46C49"/>
    <w:rsid w:val="00E46C4B"/>
    <w:rsid w:val="00E46C78"/>
    <w:rsid w:val="00E46CB8"/>
    <w:rsid w:val="00E46CE1"/>
    <w:rsid w:val="00E46CF7"/>
    <w:rsid w:val="00E46D4E"/>
    <w:rsid w:val="00E46D6F"/>
    <w:rsid w:val="00E46D92"/>
    <w:rsid w:val="00E46E2C"/>
    <w:rsid w:val="00E46EC3"/>
    <w:rsid w:val="00E46F17"/>
    <w:rsid w:val="00E46F38"/>
    <w:rsid w:val="00E46F41"/>
    <w:rsid w:val="00E46FE1"/>
    <w:rsid w:val="00E4702F"/>
    <w:rsid w:val="00E4705B"/>
    <w:rsid w:val="00E47061"/>
    <w:rsid w:val="00E47096"/>
    <w:rsid w:val="00E470E6"/>
    <w:rsid w:val="00E47137"/>
    <w:rsid w:val="00E4718A"/>
    <w:rsid w:val="00E471F1"/>
    <w:rsid w:val="00E471F3"/>
    <w:rsid w:val="00E4728C"/>
    <w:rsid w:val="00E472A6"/>
    <w:rsid w:val="00E472ED"/>
    <w:rsid w:val="00E4734D"/>
    <w:rsid w:val="00E4739E"/>
    <w:rsid w:val="00E473BF"/>
    <w:rsid w:val="00E473CE"/>
    <w:rsid w:val="00E47527"/>
    <w:rsid w:val="00E475AA"/>
    <w:rsid w:val="00E476BC"/>
    <w:rsid w:val="00E476F1"/>
    <w:rsid w:val="00E47742"/>
    <w:rsid w:val="00E4779B"/>
    <w:rsid w:val="00E477D7"/>
    <w:rsid w:val="00E477F2"/>
    <w:rsid w:val="00E478DD"/>
    <w:rsid w:val="00E478ED"/>
    <w:rsid w:val="00E47947"/>
    <w:rsid w:val="00E47AB1"/>
    <w:rsid w:val="00E47AC0"/>
    <w:rsid w:val="00E47AE2"/>
    <w:rsid w:val="00E47AE9"/>
    <w:rsid w:val="00E47B37"/>
    <w:rsid w:val="00E47B45"/>
    <w:rsid w:val="00E47BAB"/>
    <w:rsid w:val="00E47BF8"/>
    <w:rsid w:val="00E47BF9"/>
    <w:rsid w:val="00E47C03"/>
    <w:rsid w:val="00E47C78"/>
    <w:rsid w:val="00E47CDA"/>
    <w:rsid w:val="00E47E31"/>
    <w:rsid w:val="00E47E50"/>
    <w:rsid w:val="00E47F36"/>
    <w:rsid w:val="00E47F3C"/>
    <w:rsid w:val="00E47F90"/>
    <w:rsid w:val="00E47FD3"/>
    <w:rsid w:val="00E47FD7"/>
    <w:rsid w:val="00E47FF6"/>
    <w:rsid w:val="00E5003A"/>
    <w:rsid w:val="00E5009C"/>
    <w:rsid w:val="00E500F3"/>
    <w:rsid w:val="00E50104"/>
    <w:rsid w:val="00E501F4"/>
    <w:rsid w:val="00E5020D"/>
    <w:rsid w:val="00E50238"/>
    <w:rsid w:val="00E502BD"/>
    <w:rsid w:val="00E50368"/>
    <w:rsid w:val="00E503D1"/>
    <w:rsid w:val="00E503F3"/>
    <w:rsid w:val="00E503F9"/>
    <w:rsid w:val="00E5046B"/>
    <w:rsid w:val="00E50567"/>
    <w:rsid w:val="00E50605"/>
    <w:rsid w:val="00E50697"/>
    <w:rsid w:val="00E506F5"/>
    <w:rsid w:val="00E50706"/>
    <w:rsid w:val="00E5074B"/>
    <w:rsid w:val="00E50777"/>
    <w:rsid w:val="00E5080B"/>
    <w:rsid w:val="00E508C5"/>
    <w:rsid w:val="00E508CA"/>
    <w:rsid w:val="00E508D5"/>
    <w:rsid w:val="00E50941"/>
    <w:rsid w:val="00E50979"/>
    <w:rsid w:val="00E509DB"/>
    <w:rsid w:val="00E509FB"/>
    <w:rsid w:val="00E50A18"/>
    <w:rsid w:val="00E50A54"/>
    <w:rsid w:val="00E50A84"/>
    <w:rsid w:val="00E50AB2"/>
    <w:rsid w:val="00E50BA4"/>
    <w:rsid w:val="00E50C62"/>
    <w:rsid w:val="00E50CC7"/>
    <w:rsid w:val="00E50D6C"/>
    <w:rsid w:val="00E50DCE"/>
    <w:rsid w:val="00E50E3E"/>
    <w:rsid w:val="00E50ED8"/>
    <w:rsid w:val="00E5107A"/>
    <w:rsid w:val="00E5107D"/>
    <w:rsid w:val="00E51090"/>
    <w:rsid w:val="00E510B2"/>
    <w:rsid w:val="00E5119E"/>
    <w:rsid w:val="00E512DD"/>
    <w:rsid w:val="00E512F7"/>
    <w:rsid w:val="00E51318"/>
    <w:rsid w:val="00E5135D"/>
    <w:rsid w:val="00E5136A"/>
    <w:rsid w:val="00E5137F"/>
    <w:rsid w:val="00E51405"/>
    <w:rsid w:val="00E5140E"/>
    <w:rsid w:val="00E5141F"/>
    <w:rsid w:val="00E5142D"/>
    <w:rsid w:val="00E5149C"/>
    <w:rsid w:val="00E514D7"/>
    <w:rsid w:val="00E514E0"/>
    <w:rsid w:val="00E51558"/>
    <w:rsid w:val="00E51559"/>
    <w:rsid w:val="00E5157D"/>
    <w:rsid w:val="00E51632"/>
    <w:rsid w:val="00E5166B"/>
    <w:rsid w:val="00E51759"/>
    <w:rsid w:val="00E51770"/>
    <w:rsid w:val="00E518D1"/>
    <w:rsid w:val="00E518F9"/>
    <w:rsid w:val="00E519C3"/>
    <w:rsid w:val="00E519DD"/>
    <w:rsid w:val="00E519E4"/>
    <w:rsid w:val="00E519FC"/>
    <w:rsid w:val="00E51A93"/>
    <w:rsid w:val="00E51AC5"/>
    <w:rsid w:val="00E51B12"/>
    <w:rsid w:val="00E51B2C"/>
    <w:rsid w:val="00E51B31"/>
    <w:rsid w:val="00E51B6D"/>
    <w:rsid w:val="00E51BE8"/>
    <w:rsid w:val="00E51C02"/>
    <w:rsid w:val="00E51C29"/>
    <w:rsid w:val="00E51CC2"/>
    <w:rsid w:val="00E51CF6"/>
    <w:rsid w:val="00E51D31"/>
    <w:rsid w:val="00E51D84"/>
    <w:rsid w:val="00E51DC7"/>
    <w:rsid w:val="00E51DFA"/>
    <w:rsid w:val="00E51E67"/>
    <w:rsid w:val="00E51E75"/>
    <w:rsid w:val="00E51E8C"/>
    <w:rsid w:val="00E51E91"/>
    <w:rsid w:val="00E51FA7"/>
    <w:rsid w:val="00E520A2"/>
    <w:rsid w:val="00E520C8"/>
    <w:rsid w:val="00E5216E"/>
    <w:rsid w:val="00E52221"/>
    <w:rsid w:val="00E5226B"/>
    <w:rsid w:val="00E52272"/>
    <w:rsid w:val="00E5227C"/>
    <w:rsid w:val="00E5229E"/>
    <w:rsid w:val="00E522CD"/>
    <w:rsid w:val="00E522F4"/>
    <w:rsid w:val="00E52331"/>
    <w:rsid w:val="00E52354"/>
    <w:rsid w:val="00E52389"/>
    <w:rsid w:val="00E523B8"/>
    <w:rsid w:val="00E52442"/>
    <w:rsid w:val="00E52448"/>
    <w:rsid w:val="00E524B7"/>
    <w:rsid w:val="00E526BB"/>
    <w:rsid w:val="00E5270F"/>
    <w:rsid w:val="00E52764"/>
    <w:rsid w:val="00E52827"/>
    <w:rsid w:val="00E528AB"/>
    <w:rsid w:val="00E528D7"/>
    <w:rsid w:val="00E528E5"/>
    <w:rsid w:val="00E52914"/>
    <w:rsid w:val="00E52928"/>
    <w:rsid w:val="00E52994"/>
    <w:rsid w:val="00E529FF"/>
    <w:rsid w:val="00E52A84"/>
    <w:rsid w:val="00E52AAC"/>
    <w:rsid w:val="00E52AB2"/>
    <w:rsid w:val="00E52C65"/>
    <w:rsid w:val="00E52C82"/>
    <w:rsid w:val="00E52E30"/>
    <w:rsid w:val="00E52E8A"/>
    <w:rsid w:val="00E52EE1"/>
    <w:rsid w:val="00E52EE5"/>
    <w:rsid w:val="00E52EE6"/>
    <w:rsid w:val="00E52EF9"/>
    <w:rsid w:val="00E53030"/>
    <w:rsid w:val="00E5303B"/>
    <w:rsid w:val="00E53057"/>
    <w:rsid w:val="00E5306E"/>
    <w:rsid w:val="00E530C5"/>
    <w:rsid w:val="00E531A9"/>
    <w:rsid w:val="00E531C7"/>
    <w:rsid w:val="00E5320F"/>
    <w:rsid w:val="00E53245"/>
    <w:rsid w:val="00E53254"/>
    <w:rsid w:val="00E53359"/>
    <w:rsid w:val="00E53369"/>
    <w:rsid w:val="00E533DC"/>
    <w:rsid w:val="00E5344B"/>
    <w:rsid w:val="00E534D7"/>
    <w:rsid w:val="00E534DF"/>
    <w:rsid w:val="00E534FC"/>
    <w:rsid w:val="00E53502"/>
    <w:rsid w:val="00E53562"/>
    <w:rsid w:val="00E53566"/>
    <w:rsid w:val="00E53569"/>
    <w:rsid w:val="00E5357A"/>
    <w:rsid w:val="00E5364E"/>
    <w:rsid w:val="00E53664"/>
    <w:rsid w:val="00E536BA"/>
    <w:rsid w:val="00E536BF"/>
    <w:rsid w:val="00E536D7"/>
    <w:rsid w:val="00E53721"/>
    <w:rsid w:val="00E53758"/>
    <w:rsid w:val="00E53760"/>
    <w:rsid w:val="00E53784"/>
    <w:rsid w:val="00E537B5"/>
    <w:rsid w:val="00E53820"/>
    <w:rsid w:val="00E53880"/>
    <w:rsid w:val="00E538C8"/>
    <w:rsid w:val="00E5393D"/>
    <w:rsid w:val="00E53983"/>
    <w:rsid w:val="00E53997"/>
    <w:rsid w:val="00E539DB"/>
    <w:rsid w:val="00E539E5"/>
    <w:rsid w:val="00E53A8E"/>
    <w:rsid w:val="00E53AA6"/>
    <w:rsid w:val="00E53ABC"/>
    <w:rsid w:val="00E53B3B"/>
    <w:rsid w:val="00E53BF2"/>
    <w:rsid w:val="00E53C67"/>
    <w:rsid w:val="00E53C99"/>
    <w:rsid w:val="00E53CA5"/>
    <w:rsid w:val="00E53E16"/>
    <w:rsid w:val="00E53E36"/>
    <w:rsid w:val="00E53E47"/>
    <w:rsid w:val="00E53E48"/>
    <w:rsid w:val="00E53E57"/>
    <w:rsid w:val="00E53E92"/>
    <w:rsid w:val="00E53EB9"/>
    <w:rsid w:val="00E53F0A"/>
    <w:rsid w:val="00E53F0F"/>
    <w:rsid w:val="00E53F4F"/>
    <w:rsid w:val="00E53F53"/>
    <w:rsid w:val="00E53FB3"/>
    <w:rsid w:val="00E54013"/>
    <w:rsid w:val="00E5403F"/>
    <w:rsid w:val="00E540F5"/>
    <w:rsid w:val="00E54108"/>
    <w:rsid w:val="00E5412D"/>
    <w:rsid w:val="00E54246"/>
    <w:rsid w:val="00E5426A"/>
    <w:rsid w:val="00E54288"/>
    <w:rsid w:val="00E5433F"/>
    <w:rsid w:val="00E54373"/>
    <w:rsid w:val="00E54379"/>
    <w:rsid w:val="00E54405"/>
    <w:rsid w:val="00E54426"/>
    <w:rsid w:val="00E5442D"/>
    <w:rsid w:val="00E54430"/>
    <w:rsid w:val="00E54473"/>
    <w:rsid w:val="00E544A9"/>
    <w:rsid w:val="00E544F5"/>
    <w:rsid w:val="00E545A5"/>
    <w:rsid w:val="00E54614"/>
    <w:rsid w:val="00E54662"/>
    <w:rsid w:val="00E5469F"/>
    <w:rsid w:val="00E5476C"/>
    <w:rsid w:val="00E547CB"/>
    <w:rsid w:val="00E54808"/>
    <w:rsid w:val="00E54844"/>
    <w:rsid w:val="00E54955"/>
    <w:rsid w:val="00E549E9"/>
    <w:rsid w:val="00E54A68"/>
    <w:rsid w:val="00E54AAC"/>
    <w:rsid w:val="00E54AB8"/>
    <w:rsid w:val="00E54AE6"/>
    <w:rsid w:val="00E54B00"/>
    <w:rsid w:val="00E54B8A"/>
    <w:rsid w:val="00E54BA2"/>
    <w:rsid w:val="00E54BB2"/>
    <w:rsid w:val="00E54BBD"/>
    <w:rsid w:val="00E54C46"/>
    <w:rsid w:val="00E54C58"/>
    <w:rsid w:val="00E54CAE"/>
    <w:rsid w:val="00E54CE4"/>
    <w:rsid w:val="00E54CFA"/>
    <w:rsid w:val="00E54CFD"/>
    <w:rsid w:val="00E54D34"/>
    <w:rsid w:val="00E54D85"/>
    <w:rsid w:val="00E54DF8"/>
    <w:rsid w:val="00E54E1D"/>
    <w:rsid w:val="00E54E8B"/>
    <w:rsid w:val="00E54F64"/>
    <w:rsid w:val="00E55113"/>
    <w:rsid w:val="00E55150"/>
    <w:rsid w:val="00E552CD"/>
    <w:rsid w:val="00E55339"/>
    <w:rsid w:val="00E5533B"/>
    <w:rsid w:val="00E5538F"/>
    <w:rsid w:val="00E554E9"/>
    <w:rsid w:val="00E55508"/>
    <w:rsid w:val="00E5552D"/>
    <w:rsid w:val="00E55567"/>
    <w:rsid w:val="00E55568"/>
    <w:rsid w:val="00E555C1"/>
    <w:rsid w:val="00E555E1"/>
    <w:rsid w:val="00E556FE"/>
    <w:rsid w:val="00E557B6"/>
    <w:rsid w:val="00E557E3"/>
    <w:rsid w:val="00E55872"/>
    <w:rsid w:val="00E5589D"/>
    <w:rsid w:val="00E559EC"/>
    <w:rsid w:val="00E55A59"/>
    <w:rsid w:val="00E55AFF"/>
    <w:rsid w:val="00E55B29"/>
    <w:rsid w:val="00E55B2F"/>
    <w:rsid w:val="00E55B62"/>
    <w:rsid w:val="00E55B86"/>
    <w:rsid w:val="00E55B9D"/>
    <w:rsid w:val="00E55C2E"/>
    <w:rsid w:val="00E55C5A"/>
    <w:rsid w:val="00E55C67"/>
    <w:rsid w:val="00E55CD9"/>
    <w:rsid w:val="00E55DA4"/>
    <w:rsid w:val="00E55E74"/>
    <w:rsid w:val="00E55EC8"/>
    <w:rsid w:val="00E55ECC"/>
    <w:rsid w:val="00E55EFA"/>
    <w:rsid w:val="00E55F56"/>
    <w:rsid w:val="00E55FD4"/>
    <w:rsid w:val="00E55FEE"/>
    <w:rsid w:val="00E560F4"/>
    <w:rsid w:val="00E560FB"/>
    <w:rsid w:val="00E56117"/>
    <w:rsid w:val="00E56148"/>
    <w:rsid w:val="00E561D7"/>
    <w:rsid w:val="00E561FC"/>
    <w:rsid w:val="00E56237"/>
    <w:rsid w:val="00E56248"/>
    <w:rsid w:val="00E56279"/>
    <w:rsid w:val="00E5641B"/>
    <w:rsid w:val="00E5642F"/>
    <w:rsid w:val="00E56519"/>
    <w:rsid w:val="00E56553"/>
    <w:rsid w:val="00E56598"/>
    <w:rsid w:val="00E56635"/>
    <w:rsid w:val="00E567C5"/>
    <w:rsid w:val="00E567F4"/>
    <w:rsid w:val="00E56828"/>
    <w:rsid w:val="00E56834"/>
    <w:rsid w:val="00E56837"/>
    <w:rsid w:val="00E56877"/>
    <w:rsid w:val="00E569C7"/>
    <w:rsid w:val="00E569C8"/>
    <w:rsid w:val="00E56A09"/>
    <w:rsid w:val="00E56A6E"/>
    <w:rsid w:val="00E56A9C"/>
    <w:rsid w:val="00E56ACB"/>
    <w:rsid w:val="00E56B34"/>
    <w:rsid w:val="00E56B81"/>
    <w:rsid w:val="00E56BD6"/>
    <w:rsid w:val="00E56BE8"/>
    <w:rsid w:val="00E56C3A"/>
    <w:rsid w:val="00E56CE6"/>
    <w:rsid w:val="00E56DBB"/>
    <w:rsid w:val="00E56DFE"/>
    <w:rsid w:val="00E56DFF"/>
    <w:rsid w:val="00E56E1F"/>
    <w:rsid w:val="00E56E28"/>
    <w:rsid w:val="00E56E62"/>
    <w:rsid w:val="00E56F20"/>
    <w:rsid w:val="00E56F51"/>
    <w:rsid w:val="00E56F7E"/>
    <w:rsid w:val="00E5705E"/>
    <w:rsid w:val="00E570A4"/>
    <w:rsid w:val="00E570D0"/>
    <w:rsid w:val="00E5712B"/>
    <w:rsid w:val="00E5714F"/>
    <w:rsid w:val="00E5715C"/>
    <w:rsid w:val="00E57189"/>
    <w:rsid w:val="00E5722C"/>
    <w:rsid w:val="00E57238"/>
    <w:rsid w:val="00E5724F"/>
    <w:rsid w:val="00E5728D"/>
    <w:rsid w:val="00E57341"/>
    <w:rsid w:val="00E573B5"/>
    <w:rsid w:val="00E573DD"/>
    <w:rsid w:val="00E57462"/>
    <w:rsid w:val="00E574FF"/>
    <w:rsid w:val="00E57537"/>
    <w:rsid w:val="00E5755B"/>
    <w:rsid w:val="00E575A5"/>
    <w:rsid w:val="00E5764F"/>
    <w:rsid w:val="00E5775D"/>
    <w:rsid w:val="00E57808"/>
    <w:rsid w:val="00E5781F"/>
    <w:rsid w:val="00E5784B"/>
    <w:rsid w:val="00E57979"/>
    <w:rsid w:val="00E579C9"/>
    <w:rsid w:val="00E579E6"/>
    <w:rsid w:val="00E57A14"/>
    <w:rsid w:val="00E57A76"/>
    <w:rsid w:val="00E57A99"/>
    <w:rsid w:val="00E57AAB"/>
    <w:rsid w:val="00E57B13"/>
    <w:rsid w:val="00E57BB2"/>
    <w:rsid w:val="00E57CE1"/>
    <w:rsid w:val="00E57D13"/>
    <w:rsid w:val="00E57D58"/>
    <w:rsid w:val="00E57E71"/>
    <w:rsid w:val="00E57E80"/>
    <w:rsid w:val="00E57F3C"/>
    <w:rsid w:val="00E57F73"/>
    <w:rsid w:val="00E57F7E"/>
    <w:rsid w:val="00E5F01A"/>
    <w:rsid w:val="00E6002A"/>
    <w:rsid w:val="00E6002F"/>
    <w:rsid w:val="00E60069"/>
    <w:rsid w:val="00E600AB"/>
    <w:rsid w:val="00E600F7"/>
    <w:rsid w:val="00E60189"/>
    <w:rsid w:val="00E601EC"/>
    <w:rsid w:val="00E601ED"/>
    <w:rsid w:val="00E6021C"/>
    <w:rsid w:val="00E6027C"/>
    <w:rsid w:val="00E60285"/>
    <w:rsid w:val="00E602B7"/>
    <w:rsid w:val="00E602C1"/>
    <w:rsid w:val="00E602F5"/>
    <w:rsid w:val="00E6038B"/>
    <w:rsid w:val="00E603A4"/>
    <w:rsid w:val="00E603C8"/>
    <w:rsid w:val="00E603CD"/>
    <w:rsid w:val="00E60400"/>
    <w:rsid w:val="00E6040F"/>
    <w:rsid w:val="00E60418"/>
    <w:rsid w:val="00E6042D"/>
    <w:rsid w:val="00E604B3"/>
    <w:rsid w:val="00E604E3"/>
    <w:rsid w:val="00E604E7"/>
    <w:rsid w:val="00E6051E"/>
    <w:rsid w:val="00E6053A"/>
    <w:rsid w:val="00E605A8"/>
    <w:rsid w:val="00E605DB"/>
    <w:rsid w:val="00E605FB"/>
    <w:rsid w:val="00E606D0"/>
    <w:rsid w:val="00E606E0"/>
    <w:rsid w:val="00E606E2"/>
    <w:rsid w:val="00E606F1"/>
    <w:rsid w:val="00E60702"/>
    <w:rsid w:val="00E60705"/>
    <w:rsid w:val="00E60823"/>
    <w:rsid w:val="00E6087A"/>
    <w:rsid w:val="00E6088E"/>
    <w:rsid w:val="00E6089B"/>
    <w:rsid w:val="00E608BD"/>
    <w:rsid w:val="00E608D1"/>
    <w:rsid w:val="00E608D5"/>
    <w:rsid w:val="00E608F7"/>
    <w:rsid w:val="00E60928"/>
    <w:rsid w:val="00E60992"/>
    <w:rsid w:val="00E609F6"/>
    <w:rsid w:val="00E60A00"/>
    <w:rsid w:val="00E60A0F"/>
    <w:rsid w:val="00E60A5E"/>
    <w:rsid w:val="00E60BDC"/>
    <w:rsid w:val="00E60C4B"/>
    <w:rsid w:val="00E60C50"/>
    <w:rsid w:val="00E60C5D"/>
    <w:rsid w:val="00E60C83"/>
    <w:rsid w:val="00E60C89"/>
    <w:rsid w:val="00E60CB1"/>
    <w:rsid w:val="00E60CC4"/>
    <w:rsid w:val="00E60CCF"/>
    <w:rsid w:val="00E60D6F"/>
    <w:rsid w:val="00E60D75"/>
    <w:rsid w:val="00E60D81"/>
    <w:rsid w:val="00E60DB1"/>
    <w:rsid w:val="00E60DD2"/>
    <w:rsid w:val="00E60DEC"/>
    <w:rsid w:val="00E60E07"/>
    <w:rsid w:val="00E60EDE"/>
    <w:rsid w:val="00E60EEF"/>
    <w:rsid w:val="00E60F5A"/>
    <w:rsid w:val="00E60F62"/>
    <w:rsid w:val="00E60F73"/>
    <w:rsid w:val="00E60FC2"/>
    <w:rsid w:val="00E61003"/>
    <w:rsid w:val="00E6105F"/>
    <w:rsid w:val="00E61080"/>
    <w:rsid w:val="00E610AA"/>
    <w:rsid w:val="00E6112B"/>
    <w:rsid w:val="00E6119F"/>
    <w:rsid w:val="00E611B8"/>
    <w:rsid w:val="00E61218"/>
    <w:rsid w:val="00E61241"/>
    <w:rsid w:val="00E61273"/>
    <w:rsid w:val="00E61344"/>
    <w:rsid w:val="00E61349"/>
    <w:rsid w:val="00E613B7"/>
    <w:rsid w:val="00E61435"/>
    <w:rsid w:val="00E614BD"/>
    <w:rsid w:val="00E614D6"/>
    <w:rsid w:val="00E614E6"/>
    <w:rsid w:val="00E61572"/>
    <w:rsid w:val="00E61603"/>
    <w:rsid w:val="00E61636"/>
    <w:rsid w:val="00E61651"/>
    <w:rsid w:val="00E616B2"/>
    <w:rsid w:val="00E616BB"/>
    <w:rsid w:val="00E616DA"/>
    <w:rsid w:val="00E6171B"/>
    <w:rsid w:val="00E6174C"/>
    <w:rsid w:val="00E61843"/>
    <w:rsid w:val="00E6189E"/>
    <w:rsid w:val="00E618B1"/>
    <w:rsid w:val="00E619A4"/>
    <w:rsid w:val="00E61A09"/>
    <w:rsid w:val="00E61A68"/>
    <w:rsid w:val="00E61B02"/>
    <w:rsid w:val="00E61BAF"/>
    <w:rsid w:val="00E61BEC"/>
    <w:rsid w:val="00E61C29"/>
    <w:rsid w:val="00E61C38"/>
    <w:rsid w:val="00E61C6D"/>
    <w:rsid w:val="00E61CCA"/>
    <w:rsid w:val="00E61CFB"/>
    <w:rsid w:val="00E61D50"/>
    <w:rsid w:val="00E61D89"/>
    <w:rsid w:val="00E61DFD"/>
    <w:rsid w:val="00E61EE7"/>
    <w:rsid w:val="00E61F9D"/>
    <w:rsid w:val="00E62067"/>
    <w:rsid w:val="00E6206F"/>
    <w:rsid w:val="00E620BD"/>
    <w:rsid w:val="00E620E9"/>
    <w:rsid w:val="00E620FD"/>
    <w:rsid w:val="00E62115"/>
    <w:rsid w:val="00E6212D"/>
    <w:rsid w:val="00E62140"/>
    <w:rsid w:val="00E6217E"/>
    <w:rsid w:val="00E6219A"/>
    <w:rsid w:val="00E621A5"/>
    <w:rsid w:val="00E621EC"/>
    <w:rsid w:val="00E622D3"/>
    <w:rsid w:val="00E622DA"/>
    <w:rsid w:val="00E62324"/>
    <w:rsid w:val="00E62336"/>
    <w:rsid w:val="00E62370"/>
    <w:rsid w:val="00E62393"/>
    <w:rsid w:val="00E623E3"/>
    <w:rsid w:val="00E6241A"/>
    <w:rsid w:val="00E624DA"/>
    <w:rsid w:val="00E624FB"/>
    <w:rsid w:val="00E624FF"/>
    <w:rsid w:val="00E62509"/>
    <w:rsid w:val="00E62518"/>
    <w:rsid w:val="00E625C1"/>
    <w:rsid w:val="00E625D9"/>
    <w:rsid w:val="00E625E9"/>
    <w:rsid w:val="00E625F4"/>
    <w:rsid w:val="00E626AA"/>
    <w:rsid w:val="00E62703"/>
    <w:rsid w:val="00E62782"/>
    <w:rsid w:val="00E6279D"/>
    <w:rsid w:val="00E627B6"/>
    <w:rsid w:val="00E62805"/>
    <w:rsid w:val="00E628A5"/>
    <w:rsid w:val="00E628EC"/>
    <w:rsid w:val="00E62977"/>
    <w:rsid w:val="00E6297C"/>
    <w:rsid w:val="00E629AE"/>
    <w:rsid w:val="00E62A09"/>
    <w:rsid w:val="00E62A15"/>
    <w:rsid w:val="00E62A1C"/>
    <w:rsid w:val="00E62A4C"/>
    <w:rsid w:val="00E62A7B"/>
    <w:rsid w:val="00E62B1D"/>
    <w:rsid w:val="00E62B44"/>
    <w:rsid w:val="00E62C3F"/>
    <w:rsid w:val="00E62CDA"/>
    <w:rsid w:val="00E62D16"/>
    <w:rsid w:val="00E62D5A"/>
    <w:rsid w:val="00E62D67"/>
    <w:rsid w:val="00E62D6E"/>
    <w:rsid w:val="00E62D8B"/>
    <w:rsid w:val="00E62D9E"/>
    <w:rsid w:val="00E62DAD"/>
    <w:rsid w:val="00E62E29"/>
    <w:rsid w:val="00E62EE0"/>
    <w:rsid w:val="00E62F64"/>
    <w:rsid w:val="00E62F6E"/>
    <w:rsid w:val="00E62F7D"/>
    <w:rsid w:val="00E62F80"/>
    <w:rsid w:val="00E62F97"/>
    <w:rsid w:val="00E6305B"/>
    <w:rsid w:val="00E63060"/>
    <w:rsid w:val="00E631A0"/>
    <w:rsid w:val="00E63219"/>
    <w:rsid w:val="00E6327B"/>
    <w:rsid w:val="00E63296"/>
    <w:rsid w:val="00E632C8"/>
    <w:rsid w:val="00E633F0"/>
    <w:rsid w:val="00E63435"/>
    <w:rsid w:val="00E634BF"/>
    <w:rsid w:val="00E635BA"/>
    <w:rsid w:val="00E6363B"/>
    <w:rsid w:val="00E6363F"/>
    <w:rsid w:val="00E6370B"/>
    <w:rsid w:val="00E637E4"/>
    <w:rsid w:val="00E63835"/>
    <w:rsid w:val="00E63850"/>
    <w:rsid w:val="00E638B9"/>
    <w:rsid w:val="00E638BF"/>
    <w:rsid w:val="00E638CB"/>
    <w:rsid w:val="00E63905"/>
    <w:rsid w:val="00E63915"/>
    <w:rsid w:val="00E6391B"/>
    <w:rsid w:val="00E639AF"/>
    <w:rsid w:val="00E639C0"/>
    <w:rsid w:val="00E63B42"/>
    <w:rsid w:val="00E63B45"/>
    <w:rsid w:val="00E63B64"/>
    <w:rsid w:val="00E63BBE"/>
    <w:rsid w:val="00E63BCA"/>
    <w:rsid w:val="00E63C70"/>
    <w:rsid w:val="00E63C98"/>
    <w:rsid w:val="00E63CC4"/>
    <w:rsid w:val="00E63CD7"/>
    <w:rsid w:val="00E63D10"/>
    <w:rsid w:val="00E63D6B"/>
    <w:rsid w:val="00E63DDF"/>
    <w:rsid w:val="00E63E5B"/>
    <w:rsid w:val="00E63E8F"/>
    <w:rsid w:val="00E63E99"/>
    <w:rsid w:val="00E63EAA"/>
    <w:rsid w:val="00E63EC2"/>
    <w:rsid w:val="00E63ECC"/>
    <w:rsid w:val="00E63F02"/>
    <w:rsid w:val="00E63F46"/>
    <w:rsid w:val="00E6404D"/>
    <w:rsid w:val="00E64079"/>
    <w:rsid w:val="00E64127"/>
    <w:rsid w:val="00E64169"/>
    <w:rsid w:val="00E64188"/>
    <w:rsid w:val="00E641B4"/>
    <w:rsid w:val="00E641D1"/>
    <w:rsid w:val="00E64200"/>
    <w:rsid w:val="00E643C9"/>
    <w:rsid w:val="00E644C7"/>
    <w:rsid w:val="00E6451F"/>
    <w:rsid w:val="00E64613"/>
    <w:rsid w:val="00E64614"/>
    <w:rsid w:val="00E64676"/>
    <w:rsid w:val="00E646DF"/>
    <w:rsid w:val="00E64718"/>
    <w:rsid w:val="00E64743"/>
    <w:rsid w:val="00E6476A"/>
    <w:rsid w:val="00E647C7"/>
    <w:rsid w:val="00E64811"/>
    <w:rsid w:val="00E64857"/>
    <w:rsid w:val="00E64993"/>
    <w:rsid w:val="00E649B3"/>
    <w:rsid w:val="00E64A01"/>
    <w:rsid w:val="00E64A37"/>
    <w:rsid w:val="00E64AF1"/>
    <w:rsid w:val="00E64B2B"/>
    <w:rsid w:val="00E64B62"/>
    <w:rsid w:val="00E64B91"/>
    <w:rsid w:val="00E64BE7"/>
    <w:rsid w:val="00E64BFD"/>
    <w:rsid w:val="00E64C20"/>
    <w:rsid w:val="00E64CC0"/>
    <w:rsid w:val="00E64D6D"/>
    <w:rsid w:val="00E64DE6"/>
    <w:rsid w:val="00E64E37"/>
    <w:rsid w:val="00E64E4C"/>
    <w:rsid w:val="00E64E7B"/>
    <w:rsid w:val="00E64EFD"/>
    <w:rsid w:val="00E64F3C"/>
    <w:rsid w:val="00E64F3F"/>
    <w:rsid w:val="00E64F87"/>
    <w:rsid w:val="00E64F8C"/>
    <w:rsid w:val="00E64F97"/>
    <w:rsid w:val="00E64FEA"/>
    <w:rsid w:val="00E65012"/>
    <w:rsid w:val="00E6501B"/>
    <w:rsid w:val="00E65072"/>
    <w:rsid w:val="00E650E4"/>
    <w:rsid w:val="00E65140"/>
    <w:rsid w:val="00E65164"/>
    <w:rsid w:val="00E65172"/>
    <w:rsid w:val="00E65199"/>
    <w:rsid w:val="00E651E0"/>
    <w:rsid w:val="00E652D2"/>
    <w:rsid w:val="00E65399"/>
    <w:rsid w:val="00E6540A"/>
    <w:rsid w:val="00E6541D"/>
    <w:rsid w:val="00E654F7"/>
    <w:rsid w:val="00E65546"/>
    <w:rsid w:val="00E65549"/>
    <w:rsid w:val="00E655DA"/>
    <w:rsid w:val="00E655DB"/>
    <w:rsid w:val="00E655E6"/>
    <w:rsid w:val="00E655EE"/>
    <w:rsid w:val="00E655FC"/>
    <w:rsid w:val="00E65615"/>
    <w:rsid w:val="00E65650"/>
    <w:rsid w:val="00E65673"/>
    <w:rsid w:val="00E656DC"/>
    <w:rsid w:val="00E656FA"/>
    <w:rsid w:val="00E65715"/>
    <w:rsid w:val="00E65747"/>
    <w:rsid w:val="00E65789"/>
    <w:rsid w:val="00E65886"/>
    <w:rsid w:val="00E65899"/>
    <w:rsid w:val="00E6591E"/>
    <w:rsid w:val="00E65A0C"/>
    <w:rsid w:val="00E65A26"/>
    <w:rsid w:val="00E65A5A"/>
    <w:rsid w:val="00E65ABD"/>
    <w:rsid w:val="00E65AEE"/>
    <w:rsid w:val="00E65BEB"/>
    <w:rsid w:val="00E65D27"/>
    <w:rsid w:val="00E65D4A"/>
    <w:rsid w:val="00E65D4F"/>
    <w:rsid w:val="00E65E05"/>
    <w:rsid w:val="00E65E41"/>
    <w:rsid w:val="00E65F17"/>
    <w:rsid w:val="00E65F3D"/>
    <w:rsid w:val="00E65F5F"/>
    <w:rsid w:val="00E65F72"/>
    <w:rsid w:val="00E65FCF"/>
    <w:rsid w:val="00E65FEE"/>
    <w:rsid w:val="00E66018"/>
    <w:rsid w:val="00E6606D"/>
    <w:rsid w:val="00E6607E"/>
    <w:rsid w:val="00E66090"/>
    <w:rsid w:val="00E660ED"/>
    <w:rsid w:val="00E6610C"/>
    <w:rsid w:val="00E66150"/>
    <w:rsid w:val="00E6616D"/>
    <w:rsid w:val="00E6628B"/>
    <w:rsid w:val="00E662DA"/>
    <w:rsid w:val="00E66308"/>
    <w:rsid w:val="00E66351"/>
    <w:rsid w:val="00E66376"/>
    <w:rsid w:val="00E663F7"/>
    <w:rsid w:val="00E6648C"/>
    <w:rsid w:val="00E66496"/>
    <w:rsid w:val="00E664CD"/>
    <w:rsid w:val="00E6650B"/>
    <w:rsid w:val="00E6650F"/>
    <w:rsid w:val="00E665A2"/>
    <w:rsid w:val="00E666B6"/>
    <w:rsid w:val="00E666B8"/>
    <w:rsid w:val="00E66731"/>
    <w:rsid w:val="00E667E2"/>
    <w:rsid w:val="00E66809"/>
    <w:rsid w:val="00E668D6"/>
    <w:rsid w:val="00E6696E"/>
    <w:rsid w:val="00E66999"/>
    <w:rsid w:val="00E669BE"/>
    <w:rsid w:val="00E66B15"/>
    <w:rsid w:val="00E66BC8"/>
    <w:rsid w:val="00E66C9C"/>
    <w:rsid w:val="00E66CE1"/>
    <w:rsid w:val="00E66D0F"/>
    <w:rsid w:val="00E66D29"/>
    <w:rsid w:val="00E66DA4"/>
    <w:rsid w:val="00E66DCE"/>
    <w:rsid w:val="00E66E7A"/>
    <w:rsid w:val="00E66FF0"/>
    <w:rsid w:val="00E67099"/>
    <w:rsid w:val="00E6714D"/>
    <w:rsid w:val="00E6715D"/>
    <w:rsid w:val="00E67248"/>
    <w:rsid w:val="00E672C4"/>
    <w:rsid w:val="00E67359"/>
    <w:rsid w:val="00E67407"/>
    <w:rsid w:val="00E67423"/>
    <w:rsid w:val="00E674FC"/>
    <w:rsid w:val="00E6753A"/>
    <w:rsid w:val="00E675AE"/>
    <w:rsid w:val="00E675B5"/>
    <w:rsid w:val="00E6767D"/>
    <w:rsid w:val="00E676E9"/>
    <w:rsid w:val="00E67783"/>
    <w:rsid w:val="00E677B3"/>
    <w:rsid w:val="00E67906"/>
    <w:rsid w:val="00E67947"/>
    <w:rsid w:val="00E6799D"/>
    <w:rsid w:val="00E67B2E"/>
    <w:rsid w:val="00E67B3D"/>
    <w:rsid w:val="00E67B4D"/>
    <w:rsid w:val="00E67B79"/>
    <w:rsid w:val="00E67B9E"/>
    <w:rsid w:val="00E67BFE"/>
    <w:rsid w:val="00E67CEE"/>
    <w:rsid w:val="00E67D57"/>
    <w:rsid w:val="00E67D9F"/>
    <w:rsid w:val="00E67DB7"/>
    <w:rsid w:val="00E67DDF"/>
    <w:rsid w:val="00E67E01"/>
    <w:rsid w:val="00E67E03"/>
    <w:rsid w:val="00E67E17"/>
    <w:rsid w:val="00E67E2B"/>
    <w:rsid w:val="00E67E6D"/>
    <w:rsid w:val="00E67EF2"/>
    <w:rsid w:val="00E67FEB"/>
    <w:rsid w:val="00E700A0"/>
    <w:rsid w:val="00E7013C"/>
    <w:rsid w:val="00E7014C"/>
    <w:rsid w:val="00E7019D"/>
    <w:rsid w:val="00E701C4"/>
    <w:rsid w:val="00E701CF"/>
    <w:rsid w:val="00E70259"/>
    <w:rsid w:val="00E70266"/>
    <w:rsid w:val="00E70284"/>
    <w:rsid w:val="00E70299"/>
    <w:rsid w:val="00E702A4"/>
    <w:rsid w:val="00E702E0"/>
    <w:rsid w:val="00E70327"/>
    <w:rsid w:val="00E7036B"/>
    <w:rsid w:val="00E7036C"/>
    <w:rsid w:val="00E70399"/>
    <w:rsid w:val="00E70445"/>
    <w:rsid w:val="00E7045A"/>
    <w:rsid w:val="00E704C7"/>
    <w:rsid w:val="00E705A9"/>
    <w:rsid w:val="00E7060B"/>
    <w:rsid w:val="00E70656"/>
    <w:rsid w:val="00E70721"/>
    <w:rsid w:val="00E70745"/>
    <w:rsid w:val="00E70760"/>
    <w:rsid w:val="00E70827"/>
    <w:rsid w:val="00E70885"/>
    <w:rsid w:val="00E70887"/>
    <w:rsid w:val="00E708C2"/>
    <w:rsid w:val="00E708D3"/>
    <w:rsid w:val="00E708E9"/>
    <w:rsid w:val="00E70944"/>
    <w:rsid w:val="00E70964"/>
    <w:rsid w:val="00E70986"/>
    <w:rsid w:val="00E70994"/>
    <w:rsid w:val="00E709B2"/>
    <w:rsid w:val="00E70A20"/>
    <w:rsid w:val="00E70A25"/>
    <w:rsid w:val="00E70A47"/>
    <w:rsid w:val="00E70A8B"/>
    <w:rsid w:val="00E70B9C"/>
    <w:rsid w:val="00E70BC4"/>
    <w:rsid w:val="00E70BEC"/>
    <w:rsid w:val="00E70BF5"/>
    <w:rsid w:val="00E70C00"/>
    <w:rsid w:val="00E70CFA"/>
    <w:rsid w:val="00E70D6A"/>
    <w:rsid w:val="00E70DA7"/>
    <w:rsid w:val="00E70DDA"/>
    <w:rsid w:val="00E70E14"/>
    <w:rsid w:val="00E70E82"/>
    <w:rsid w:val="00E70E98"/>
    <w:rsid w:val="00E70F01"/>
    <w:rsid w:val="00E70F35"/>
    <w:rsid w:val="00E70F53"/>
    <w:rsid w:val="00E70FC5"/>
    <w:rsid w:val="00E70FE1"/>
    <w:rsid w:val="00E7100D"/>
    <w:rsid w:val="00E7103F"/>
    <w:rsid w:val="00E71072"/>
    <w:rsid w:val="00E7110D"/>
    <w:rsid w:val="00E7111C"/>
    <w:rsid w:val="00E71168"/>
    <w:rsid w:val="00E71179"/>
    <w:rsid w:val="00E7118E"/>
    <w:rsid w:val="00E711FE"/>
    <w:rsid w:val="00E7121E"/>
    <w:rsid w:val="00E71249"/>
    <w:rsid w:val="00E712EF"/>
    <w:rsid w:val="00E7130D"/>
    <w:rsid w:val="00E7139B"/>
    <w:rsid w:val="00E71461"/>
    <w:rsid w:val="00E714BB"/>
    <w:rsid w:val="00E71511"/>
    <w:rsid w:val="00E7157F"/>
    <w:rsid w:val="00E715B0"/>
    <w:rsid w:val="00E71657"/>
    <w:rsid w:val="00E717AC"/>
    <w:rsid w:val="00E717B6"/>
    <w:rsid w:val="00E71806"/>
    <w:rsid w:val="00E71820"/>
    <w:rsid w:val="00E71864"/>
    <w:rsid w:val="00E7188D"/>
    <w:rsid w:val="00E718C2"/>
    <w:rsid w:val="00E71942"/>
    <w:rsid w:val="00E719C5"/>
    <w:rsid w:val="00E71A8E"/>
    <w:rsid w:val="00E71A9A"/>
    <w:rsid w:val="00E71AD1"/>
    <w:rsid w:val="00E71AE9"/>
    <w:rsid w:val="00E71B19"/>
    <w:rsid w:val="00E71B7E"/>
    <w:rsid w:val="00E71BB6"/>
    <w:rsid w:val="00E71BCE"/>
    <w:rsid w:val="00E71C1F"/>
    <w:rsid w:val="00E71C79"/>
    <w:rsid w:val="00E71CFB"/>
    <w:rsid w:val="00E71CFE"/>
    <w:rsid w:val="00E71D75"/>
    <w:rsid w:val="00E71DB2"/>
    <w:rsid w:val="00E71DB4"/>
    <w:rsid w:val="00E71E6D"/>
    <w:rsid w:val="00E71E75"/>
    <w:rsid w:val="00E71E7F"/>
    <w:rsid w:val="00E71E9D"/>
    <w:rsid w:val="00E71FE3"/>
    <w:rsid w:val="00E72006"/>
    <w:rsid w:val="00E72038"/>
    <w:rsid w:val="00E72040"/>
    <w:rsid w:val="00E7209B"/>
    <w:rsid w:val="00E720D0"/>
    <w:rsid w:val="00E720FD"/>
    <w:rsid w:val="00E72108"/>
    <w:rsid w:val="00E7216B"/>
    <w:rsid w:val="00E72273"/>
    <w:rsid w:val="00E722B0"/>
    <w:rsid w:val="00E72330"/>
    <w:rsid w:val="00E723E9"/>
    <w:rsid w:val="00E723FF"/>
    <w:rsid w:val="00E72423"/>
    <w:rsid w:val="00E72428"/>
    <w:rsid w:val="00E72450"/>
    <w:rsid w:val="00E72455"/>
    <w:rsid w:val="00E7247B"/>
    <w:rsid w:val="00E724A7"/>
    <w:rsid w:val="00E7251B"/>
    <w:rsid w:val="00E7255D"/>
    <w:rsid w:val="00E72588"/>
    <w:rsid w:val="00E72592"/>
    <w:rsid w:val="00E725F7"/>
    <w:rsid w:val="00E72620"/>
    <w:rsid w:val="00E7265E"/>
    <w:rsid w:val="00E72665"/>
    <w:rsid w:val="00E726B8"/>
    <w:rsid w:val="00E72719"/>
    <w:rsid w:val="00E7273E"/>
    <w:rsid w:val="00E72769"/>
    <w:rsid w:val="00E7278C"/>
    <w:rsid w:val="00E72799"/>
    <w:rsid w:val="00E727D7"/>
    <w:rsid w:val="00E72810"/>
    <w:rsid w:val="00E7281B"/>
    <w:rsid w:val="00E7284D"/>
    <w:rsid w:val="00E72853"/>
    <w:rsid w:val="00E728C3"/>
    <w:rsid w:val="00E72942"/>
    <w:rsid w:val="00E7294B"/>
    <w:rsid w:val="00E7299F"/>
    <w:rsid w:val="00E729BF"/>
    <w:rsid w:val="00E72A4A"/>
    <w:rsid w:val="00E72AA7"/>
    <w:rsid w:val="00E72AFA"/>
    <w:rsid w:val="00E72B3D"/>
    <w:rsid w:val="00E72B81"/>
    <w:rsid w:val="00E72BF9"/>
    <w:rsid w:val="00E72C0A"/>
    <w:rsid w:val="00E72C25"/>
    <w:rsid w:val="00E72D5D"/>
    <w:rsid w:val="00E72DB0"/>
    <w:rsid w:val="00E72DB6"/>
    <w:rsid w:val="00E72DE2"/>
    <w:rsid w:val="00E72E7A"/>
    <w:rsid w:val="00E72E94"/>
    <w:rsid w:val="00E72EB3"/>
    <w:rsid w:val="00E72ED6"/>
    <w:rsid w:val="00E72EF4"/>
    <w:rsid w:val="00E72F10"/>
    <w:rsid w:val="00E72F25"/>
    <w:rsid w:val="00E72F39"/>
    <w:rsid w:val="00E72F89"/>
    <w:rsid w:val="00E72F90"/>
    <w:rsid w:val="00E73058"/>
    <w:rsid w:val="00E73085"/>
    <w:rsid w:val="00E730F0"/>
    <w:rsid w:val="00E73115"/>
    <w:rsid w:val="00E73138"/>
    <w:rsid w:val="00E73220"/>
    <w:rsid w:val="00E7325A"/>
    <w:rsid w:val="00E73284"/>
    <w:rsid w:val="00E732F1"/>
    <w:rsid w:val="00E7332D"/>
    <w:rsid w:val="00E73336"/>
    <w:rsid w:val="00E73348"/>
    <w:rsid w:val="00E7336C"/>
    <w:rsid w:val="00E733A4"/>
    <w:rsid w:val="00E7342E"/>
    <w:rsid w:val="00E734A6"/>
    <w:rsid w:val="00E734AC"/>
    <w:rsid w:val="00E73500"/>
    <w:rsid w:val="00E73527"/>
    <w:rsid w:val="00E73553"/>
    <w:rsid w:val="00E73570"/>
    <w:rsid w:val="00E73585"/>
    <w:rsid w:val="00E735A9"/>
    <w:rsid w:val="00E735BE"/>
    <w:rsid w:val="00E735D2"/>
    <w:rsid w:val="00E735DC"/>
    <w:rsid w:val="00E7360A"/>
    <w:rsid w:val="00E7364F"/>
    <w:rsid w:val="00E736A0"/>
    <w:rsid w:val="00E737A0"/>
    <w:rsid w:val="00E73885"/>
    <w:rsid w:val="00E7394B"/>
    <w:rsid w:val="00E739A0"/>
    <w:rsid w:val="00E739A7"/>
    <w:rsid w:val="00E73A26"/>
    <w:rsid w:val="00E73A4E"/>
    <w:rsid w:val="00E73AD3"/>
    <w:rsid w:val="00E73B02"/>
    <w:rsid w:val="00E73B8A"/>
    <w:rsid w:val="00E73B9A"/>
    <w:rsid w:val="00E73BB0"/>
    <w:rsid w:val="00E73C3E"/>
    <w:rsid w:val="00E73C5E"/>
    <w:rsid w:val="00E73C6D"/>
    <w:rsid w:val="00E73C7F"/>
    <w:rsid w:val="00E73CB1"/>
    <w:rsid w:val="00E73D69"/>
    <w:rsid w:val="00E73D9F"/>
    <w:rsid w:val="00E73DD7"/>
    <w:rsid w:val="00E73DE0"/>
    <w:rsid w:val="00E73DFA"/>
    <w:rsid w:val="00E73DFF"/>
    <w:rsid w:val="00E73E05"/>
    <w:rsid w:val="00E73E0C"/>
    <w:rsid w:val="00E73E59"/>
    <w:rsid w:val="00E73EA0"/>
    <w:rsid w:val="00E73F10"/>
    <w:rsid w:val="00E73F41"/>
    <w:rsid w:val="00E73F42"/>
    <w:rsid w:val="00E73F6E"/>
    <w:rsid w:val="00E7406A"/>
    <w:rsid w:val="00E74078"/>
    <w:rsid w:val="00E74079"/>
    <w:rsid w:val="00E7408C"/>
    <w:rsid w:val="00E74239"/>
    <w:rsid w:val="00E74262"/>
    <w:rsid w:val="00E74267"/>
    <w:rsid w:val="00E7427E"/>
    <w:rsid w:val="00E74300"/>
    <w:rsid w:val="00E7430B"/>
    <w:rsid w:val="00E74480"/>
    <w:rsid w:val="00E74484"/>
    <w:rsid w:val="00E745A6"/>
    <w:rsid w:val="00E745C0"/>
    <w:rsid w:val="00E745CB"/>
    <w:rsid w:val="00E745D4"/>
    <w:rsid w:val="00E7460D"/>
    <w:rsid w:val="00E7469C"/>
    <w:rsid w:val="00E74750"/>
    <w:rsid w:val="00E74772"/>
    <w:rsid w:val="00E74786"/>
    <w:rsid w:val="00E747A4"/>
    <w:rsid w:val="00E747D2"/>
    <w:rsid w:val="00E74878"/>
    <w:rsid w:val="00E74907"/>
    <w:rsid w:val="00E74926"/>
    <w:rsid w:val="00E749AC"/>
    <w:rsid w:val="00E749BD"/>
    <w:rsid w:val="00E74A8B"/>
    <w:rsid w:val="00E74AF0"/>
    <w:rsid w:val="00E74B3E"/>
    <w:rsid w:val="00E74B4A"/>
    <w:rsid w:val="00E74B60"/>
    <w:rsid w:val="00E74B84"/>
    <w:rsid w:val="00E74C4C"/>
    <w:rsid w:val="00E74C4E"/>
    <w:rsid w:val="00E74C9C"/>
    <w:rsid w:val="00E74C9D"/>
    <w:rsid w:val="00E74CB2"/>
    <w:rsid w:val="00E74CE3"/>
    <w:rsid w:val="00E74CEE"/>
    <w:rsid w:val="00E74CF4"/>
    <w:rsid w:val="00E74DD1"/>
    <w:rsid w:val="00E74E42"/>
    <w:rsid w:val="00E74FA7"/>
    <w:rsid w:val="00E7503F"/>
    <w:rsid w:val="00E75046"/>
    <w:rsid w:val="00E7508B"/>
    <w:rsid w:val="00E750E3"/>
    <w:rsid w:val="00E75105"/>
    <w:rsid w:val="00E75115"/>
    <w:rsid w:val="00E75125"/>
    <w:rsid w:val="00E75151"/>
    <w:rsid w:val="00E7517E"/>
    <w:rsid w:val="00E75187"/>
    <w:rsid w:val="00E751DF"/>
    <w:rsid w:val="00E751FE"/>
    <w:rsid w:val="00E75204"/>
    <w:rsid w:val="00E7530C"/>
    <w:rsid w:val="00E753FE"/>
    <w:rsid w:val="00E75412"/>
    <w:rsid w:val="00E75419"/>
    <w:rsid w:val="00E75462"/>
    <w:rsid w:val="00E75484"/>
    <w:rsid w:val="00E754B7"/>
    <w:rsid w:val="00E754C4"/>
    <w:rsid w:val="00E7553C"/>
    <w:rsid w:val="00E7555A"/>
    <w:rsid w:val="00E75593"/>
    <w:rsid w:val="00E756F5"/>
    <w:rsid w:val="00E756FD"/>
    <w:rsid w:val="00E7572E"/>
    <w:rsid w:val="00E7574B"/>
    <w:rsid w:val="00E75787"/>
    <w:rsid w:val="00E757BE"/>
    <w:rsid w:val="00E75843"/>
    <w:rsid w:val="00E7584A"/>
    <w:rsid w:val="00E75892"/>
    <w:rsid w:val="00E758B9"/>
    <w:rsid w:val="00E75B08"/>
    <w:rsid w:val="00E75B56"/>
    <w:rsid w:val="00E75C14"/>
    <w:rsid w:val="00E75C15"/>
    <w:rsid w:val="00E75CF8"/>
    <w:rsid w:val="00E75DE9"/>
    <w:rsid w:val="00E75E58"/>
    <w:rsid w:val="00E75EE6"/>
    <w:rsid w:val="00E75F47"/>
    <w:rsid w:val="00E75F58"/>
    <w:rsid w:val="00E75F65"/>
    <w:rsid w:val="00E7607E"/>
    <w:rsid w:val="00E76093"/>
    <w:rsid w:val="00E760BF"/>
    <w:rsid w:val="00E760D0"/>
    <w:rsid w:val="00E760DE"/>
    <w:rsid w:val="00E76124"/>
    <w:rsid w:val="00E76154"/>
    <w:rsid w:val="00E76196"/>
    <w:rsid w:val="00E761E3"/>
    <w:rsid w:val="00E7621B"/>
    <w:rsid w:val="00E762A7"/>
    <w:rsid w:val="00E762F2"/>
    <w:rsid w:val="00E76351"/>
    <w:rsid w:val="00E76384"/>
    <w:rsid w:val="00E7639C"/>
    <w:rsid w:val="00E76414"/>
    <w:rsid w:val="00E7642A"/>
    <w:rsid w:val="00E76490"/>
    <w:rsid w:val="00E764D6"/>
    <w:rsid w:val="00E764F4"/>
    <w:rsid w:val="00E764FC"/>
    <w:rsid w:val="00E76500"/>
    <w:rsid w:val="00E7650A"/>
    <w:rsid w:val="00E76516"/>
    <w:rsid w:val="00E7654D"/>
    <w:rsid w:val="00E7656A"/>
    <w:rsid w:val="00E7657A"/>
    <w:rsid w:val="00E765AD"/>
    <w:rsid w:val="00E765FC"/>
    <w:rsid w:val="00E766B2"/>
    <w:rsid w:val="00E76718"/>
    <w:rsid w:val="00E7673E"/>
    <w:rsid w:val="00E7674A"/>
    <w:rsid w:val="00E76788"/>
    <w:rsid w:val="00E767A7"/>
    <w:rsid w:val="00E767F6"/>
    <w:rsid w:val="00E76855"/>
    <w:rsid w:val="00E76865"/>
    <w:rsid w:val="00E7689B"/>
    <w:rsid w:val="00E768F8"/>
    <w:rsid w:val="00E769D7"/>
    <w:rsid w:val="00E76AA5"/>
    <w:rsid w:val="00E76ABC"/>
    <w:rsid w:val="00E76AEB"/>
    <w:rsid w:val="00E76B17"/>
    <w:rsid w:val="00E76B33"/>
    <w:rsid w:val="00E76B3A"/>
    <w:rsid w:val="00E76B7A"/>
    <w:rsid w:val="00E76C5F"/>
    <w:rsid w:val="00E76CBF"/>
    <w:rsid w:val="00E76CD5"/>
    <w:rsid w:val="00E76D54"/>
    <w:rsid w:val="00E76DC3"/>
    <w:rsid w:val="00E76DF0"/>
    <w:rsid w:val="00E76E5D"/>
    <w:rsid w:val="00E76ECB"/>
    <w:rsid w:val="00E76F3A"/>
    <w:rsid w:val="00E7704F"/>
    <w:rsid w:val="00E7706C"/>
    <w:rsid w:val="00E7708C"/>
    <w:rsid w:val="00E770F5"/>
    <w:rsid w:val="00E7718C"/>
    <w:rsid w:val="00E771A6"/>
    <w:rsid w:val="00E77224"/>
    <w:rsid w:val="00E7723A"/>
    <w:rsid w:val="00E77251"/>
    <w:rsid w:val="00E772D1"/>
    <w:rsid w:val="00E77461"/>
    <w:rsid w:val="00E77493"/>
    <w:rsid w:val="00E775F4"/>
    <w:rsid w:val="00E7760D"/>
    <w:rsid w:val="00E776F7"/>
    <w:rsid w:val="00E77706"/>
    <w:rsid w:val="00E7770E"/>
    <w:rsid w:val="00E77746"/>
    <w:rsid w:val="00E777D7"/>
    <w:rsid w:val="00E7780D"/>
    <w:rsid w:val="00E778CA"/>
    <w:rsid w:val="00E7791F"/>
    <w:rsid w:val="00E77AC9"/>
    <w:rsid w:val="00E77ADF"/>
    <w:rsid w:val="00E77B83"/>
    <w:rsid w:val="00E77B9C"/>
    <w:rsid w:val="00E77BCD"/>
    <w:rsid w:val="00E77BE2"/>
    <w:rsid w:val="00E77C5C"/>
    <w:rsid w:val="00E77C90"/>
    <w:rsid w:val="00E77CA7"/>
    <w:rsid w:val="00E77CBA"/>
    <w:rsid w:val="00E77D76"/>
    <w:rsid w:val="00E77ED8"/>
    <w:rsid w:val="00E77EF9"/>
    <w:rsid w:val="00E77F38"/>
    <w:rsid w:val="00E80013"/>
    <w:rsid w:val="00E80059"/>
    <w:rsid w:val="00E8008C"/>
    <w:rsid w:val="00E80109"/>
    <w:rsid w:val="00E8013D"/>
    <w:rsid w:val="00E8016B"/>
    <w:rsid w:val="00E80179"/>
    <w:rsid w:val="00E8033C"/>
    <w:rsid w:val="00E80353"/>
    <w:rsid w:val="00E8037F"/>
    <w:rsid w:val="00E803C9"/>
    <w:rsid w:val="00E803E3"/>
    <w:rsid w:val="00E80493"/>
    <w:rsid w:val="00E80584"/>
    <w:rsid w:val="00E805BD"/>
    <w:rsid w:val="00E805BE"/>
    <w:rsid w:val="00E805DA"/>
    <w:rsid w:val="00E80606"/>
    <w:rsid w:val="00E80646"/>
    <w:rsid w:val="00E806AB"/>
    <w:rsid w:val="00E806D5"/>
    <w:rsid w:val="00E8073D"/>
    <w:rsid w:val="00E807A6"/>
    <w:rsid w:val="00E80824"/>
    <w:rsid w:val="00E8083C"/>
    <w:rsid w:val="00E80852"/>
    <w:rsid w:val="00E808B0"/>
    <w:rsid w:val="00E808FE"/>
    <w:rsid w:val="00E80964"/>
    <w:rsid w:val="00E8097A"/>
    <w:rsid w:val="00E8098D"/>
    <w:rsid w:val="00E809D9"/>
    <w:rsid w:val="00E80A00"/>
    <w:rsid w:val="00E80A4C"/>
    <w:rsid w:val="00E80A5A"/>
    <w:rsid w:val="00E80AB6"/>
    <w:rsid w:val="00E80AB9"/>
    <w:rsid w:val="00E80AC5"/>
    <w:rsid w:val="00E80B07"/>
    <w:rsid w:val="00E80B0A"/>
    <w:rsid w:val="00E80B26"/>
    <w:rsid w:val="00E80C20"/>
    <w:rsid w:val="00E80C64"/>
    <w:rsid w:val="00E80C81"/>
    <w:rsid w:val="00E80E0C"/>
    <w:rsid w:val="00E80EAD"/>
    <w:rsid w:val="00E80F01"/>
    <w:rsid w:val="00E80F6A"/>
    <w:rsid w:val="00E80F90"/>
    <w:rsid w:val="00E80FB1"/>
    <w:rsid w:val="00E8101E"/>
    <w:rsid w:val="00E81031"/>
    <w:rsid w:val="00E81070"/>
    <w:rsid w:val="00E81109"/>
    <w:rsid w:val="00E811A1"/>
    <w:rsid w:val="00E811DE"/>
    <w:rsid w:val="00E8120F"/>
    <w:rsid w:val="00E8124A"/>
    <w:rsid w:val="00E81297"/>
    <w:rsid w:val="00E812E8"/>
    <w:rsid w:val="00E8132A"/>
    <w:rsid w:val="00E81356"/>
    <w:rsid w:val="00E8137B"/>
    <w:rsid w:val="00E813A1"/>
    <w:rsid w:val="00E81412"/>
    <w:rsid w:val="00E81415"/>
    <w:rsid w:val="00E81423"/>
    <w:rsid w:val="00E81429"/>
    <w:rsid w:val="00E8147A"/>
    <w:rsid w:val="00E814B5"/>
    <w:rsid w:val="00E814E4"/>
    <w:rsid w:val="00E814E6"/>
    <w:rsid w:val="00E81564"/>
    <w:rsid w:val="00E815B3"/>
    <w:rsid w:val="00E81603"/>
    <w:rsid w:val="00E81666"/>
    <w:rsid w:val="00E8167F"/>
    <w:rsid w:val="00E81689"/>
    <w:rsid w:val="00E816FC"/>
    <w:rsid w:val="00E81736"/>
    <w:rsid w:val="00E817F3"/>
    <w:rsid w:val="00E81855"/>
    <w:rsid w:val="00E81912"/>
    <w:rsid w:val="00E81945"/>
    <w:rsid w:val="00E81948"/>
    <w:rsid w:val="00E8195E"/>
    <w:rsid w:val="00E81ABC"/>
    <w:rsid w:val="00E81B70"/>
    <w:rsid w:val="00E81C39"/>
    <w:rsid w:val="00E81D27"/>
    <w:rsid w:val="00E81D79"/>
    <w:rsid w:val="00E81D8E"/>
    <w:rsid w:val="00E81E74"/>
    <w:rsid w:val="00E81EA0"/>
    <w:rsid w:val="00E81F0C"/>
    <w:rsid w:val="00E81F15"/>
    <w:rsid w:val="00E81F24"/>
    <w:rsid w:val="00E81F77"/>
    <w:rsid w:val="00E82035"/>
    <w:rsid w:val="00E82043"/>
    <w:rsid w:val="00E8204F"/>
    <w:rsid w:val="00E8205C"/>
    <w:rsid w:val="00E820A5"/>
    <w:rsid w:val="00E820BB"/>
    <w:rsid w:val="00E820CC"/>
    <w:rsid w:val="00E82274"/>
    <w:rsid w:val="00E8229C"/>
    <w:rsid w:val="00E822DA"/>
    <w:rsid w:val="00E822ED"/>
    <w:rsid w:val="00E822FB"/>
    <w:rsid w:val="00E823B8"/>
    <w:rsid w:val="00E823DB"/>
    <w:rsid w:val="00E8248E"/>
    <w:rsid w:val="00E8255A"/>
    <w:rsid w:val="00E825DB"/>
    <w:rsid w:val="00E82661"/>
    <w:rsid w:val="00E826C4"/>
    <w:rsid w:val="00E826DA"/>
    <w:rsid w:val="00E826F0"/>
    <w:rsid w:val="00E827C0"/>
    <w:rsid w:val="00E827DA"/>
    <w:rsid w:val="00E8287D"/>
    <w:rsid w:val="00E828D6"/>
    <w:rsid w:val="00E82994"/>
    <w:rsid w:val="00E8299B"/>
    <w:rsid w:val="00E829B3"/>
    <w:rsid w:val="00E829F8"/>
    <w:rsid w:val="00E82A07"/>
    <w:rsid w:val="00E82A39"/>
    <w:rsid w:val="00E82B27"/>
    <w:rsid w:val="00E82B3C"/>
    <w:rsid w:val="00E82B68"/>
    <w:rsid w:val="00E82BD6"/>
    <w:rsid w:val="00E82CAB"/>
    <w:rsid w:val="00E82CD3"/>
    <w:rsid w:val="00E82D33"/>
    <w:rsid w:val="00E82D49"/>
    <w:rsid w:val="00E82D74"/>
    <w:rsid w:val="00E82D9B"/>
    <w:rsid w:val="00E82E2B"/>
    <w:rsid w:val="00E82E9D"/>
    <w:rsid w:val="00E82EC2"/>
    <w:rsid w:val="00E82EF5"/>
    <w:rsid w:val="00E82F03"/>
    <w:rsid w:val="00E82F36"/>
    <w:rsid w:val="00E82FB1"/>
    <w:rsid w:val="00E82FBB"/>
    <w:rsid w:val="00E82FF0"/>
    <w:rsid w:val="00E83026"/>
    <w:rsid w:val="00E83059"/>
    <w:rsid w:val="00E83112"/>
    <w:rsid w:val="00E8316C"/>
    <w:rsid w:val="00E8316D"/>
    <w:rsid w:val="00E83178"/>
    <w:rsid w:val="00E831D8"/>
    <w:rsid w:val="00E8329F"/>
    <w:rsid w:val="00E83324"/>
    <w:rsid w:val="00E83355"/>
    <w:rsid w:val="00E83374"/>
    <w:rsid w:val="00E83393"/>
    <w:rsid w:val="00E833A4"/>
    <w:rsid w:val="00E833CF"/>
    <w:rsid w:val="00E834AA"/>
    <w:rsid w:val="00E834E2"/>
    <w:rsid w:val="00E834EB"/>
    <w:rsid w:val="00E834F1"/>
    <w:rsid w:val="00E83520"/>
    <w:rsid w:val="00E8360D"/>
    <w:rsid w:val="00E8366C"/>
    <w:rsid w:val="00E836F1"/>
    <w:rsid w:val="00E83728"/>
    <w:rsid w:val="00E8374C"/>
    <w:rsid w:val="00E83783"/>
    <w:rsid w:val="00E837A6"/>
    <w:rsid w:val="00E837B1"/>
    <w:rsid w:val="00E83809"/>
    <w:rsid w:val="00E8380C"/>
    <w:rsid w:val="00E838D1"/>
    <w:rsid w:val="00E83925"/>
    <w:rsid w:val="00E83948"/>
    <w:rsid w:val="00E8396D"/>
    <w:rsid w:val="00E839AE"/>
    <w:rsid w:val="00E839C1"/>
    <w:rsid w:val="00E83A56"/>
    <w:rsid w:val="00E83A5F"/>
    <w:rsid w:val="00E83A77"/>
    <w:rsid w:val="00E83AAB"/>
    <w:rsid w:val="00E83ADC"/>
    <w:rsid w:val="00E83B00"/>
    <w:rsid w:val="00E83B7D"/>
    <w:rsid w:val="00E83C16"/>
    <w:rsid w:val="00E83C33"/>
    <w:rsid w:val="00E83C95"/>
    <w:rsid w:val="00E83C9B"/>
    <w:rsid w:val="00E83CEB"/>
    <w:rsid w:val="00E83D7F"/>
    <w:rsid w:val="00E83E7A"/>
    <w:rsid w:val="00E83E91"/>
    <w:rsid w:val="00E83EB2"/>
    <w:rsid w:val="00E83EE8"/>
    <w:rsid w:val="00E83F09"/>
    <w:rsid w:val="00E83F4F"/>
    <w:rsid w:val="00E83F7B"/>
    <w:rsid w:val="00E83F7E"/>
    <w:rsid w:val="00E83F86"/>
    <w:rsid w:val="00E8416C"/>
    <w:rsid w:val="00E84191"/>
    <w:rsid w:val="00E84259"/>
    <w:rsid w:val="00E84318"/>
    <w:rsid w:val="00E843FE"/>
    <w:rsid w:val="00E844B9"/>
    <w:rsid w:val="00E84556"/>
    <w:rsid w:val="00E84558"/>
    <w:rsid w:val="00E8465E"/>
    <w:rsid w:val="00E84693"/>
    <w:rsid w:val="00E84746"/>
    <w:rsid w:val="00E8476A"/>
    <w:rsid w:val="00E8478A"/>
    <w:rsid w:val="00E847DC"/>
    <w:rsid w:val="00E847FC"/>
    <w:rsid w:val="00E848CC"/>
    <w:rsid w:val="00E84923"/>
    <w:rsid w:val="00E8497D"/>
    <w:rsid w:val="00E8498C"/>
    <w:rsid w:val="00E84A0F"/>
    <w:rsid w:val="00E84A78"/>
    <w:rsid w:val="00E84AA2"/>
    <w:rsid w:val="00E84B82"/>
    <w:rsid w:val="00E84BE5"/>
    <w:rsid w:val="00E84BEA"/>
    <w:rsid w:val="00E84C2A"/>
    <w:rsid w:val="00E84C62"/>
    <w:rsid w:val="00E84CA9"/>
    <w:rsid w:val="00E84DF3"/>
    <w:rsid w:val="00E84E28"/>
    <w:rsid w:val="00E84ED2"/>
    <w:rsid w:val="00E84F2E"/>
    <w:rsid w:val="00E84F3D"/>
    <w:rsid w:val="00E84F5F"/>
    <w:rsid w:val="00E84FF4"/>
    <w:rsid w:val="00E8504E"/>
    <w:rsid w:val="00E850BA"/>
    <w:rsid w:val="00E851D1"/>
    <w:rsid w:val="00E85224"/>
    <w:rsid w:val="00E8522D"/>
    <w:rsid w:val="00E8525B"/>
    <w:rsid w:val="00E853A0"/>
    <w:rsid w:val="00E85422"/>
    <w:rsid w:val="00E85497"/>
    <w:rsid w:val="00E854AC"/>
    <w:rsid w:val="00E8555B"/>
    <w:rsid w:val="00E8556E"/>
    <w:rsid w:val="00E85613"/>
    <w:rsid w:val="00E8568E"/>
    <w:rsid w:val="00E85729"/>
    <w:rsid w:val="00E857D3"/>
    <w:rsid w:val="00E8589C"/>
    <w:rsid w:val="00E858E4"/>
    <w:rsid w:val="00E8593B"/>
    <w:rsid w:val="00E859B5"/>
    <w:rsid w:val="00E85A87"/>
    <w:rsid w:val="00E85ACC"/>
    <w:rsid w:val="00E85ADE"/>
    <w:rsid w:val="00E85BD2"/>
    <w:rsid w:val="00E85C80"/>
    <w:rsid w:val="00E85C8B"/>
    <w:rsid w:val="00E85CB0"/>
    <w:rsid w:val="00E85CB9"/>
    <w:rsid w:val="00E85D2E"/>
    <w:rsid w:val="00E85E11"/>
    <w:rsid w:val="00E85E4E"/>
    <w:rsid w:val="00E85E57"/>
    <w:rsid w:val="00E85E93"/>
    <w:rsid w:val="00E85EB9"/>
    <w:rsid w:val="00E85EC2"/>
    <w:rsid w:val="00E85EE3"/>
    <w:rsid w:val="00E85F04"/>
    <w:rsid w:val="00E85F23"/>
    <w:rsid w:val="00E860C5"/>
    <w:rsid w:val="00E86100"/>
    <w:rsid w:val="00E86120"/>
    <w:rsid w:val="00E86130"/>
    <w:rsid w:val="00E86221"/>
    <w:rsid w:val="00E86238"/>
    <w:rsid w:val="00E86247"/>
    <w:rsid w:val="00E8629E"/>
    <w:rsid w:val="00E8631A"/>
    <w:rsid w:val="00E86325"/>
    <w:rsid w:val="00E86363"/>
    <w:rsid w:val="00E863E2"/>
    <w:rsid w:val="00E8642D"/>
    <w:rsid w:val="00E865E7"/>
    <w:rsid w:val="00E86608"/>
    <w:rsid w:val="00E86697"/>
    <w:rsid w:val="00E866C0"/>
    <w:rsid w:val="00E866E0"/>
    <w:rsid w:val="00E8674E"/>
    <w:rsid w:val="00E86776"/>
    <w:rsid w:val="00E8679A"/>
    <w:rsid w:val="00E867AA"/>
    <w:rsid w:val="00E86804"/>
    <w:rsid w:val="00E86866"/>
    <w:rsid w:val="00E868AE"/>
    <w:rsid w:val="00E868F6"/>
    <w:rsid w:val="00E868F7"/>
    <w:rsid w:val="00E86937"/>
    <w:rsid w:val="00E869A1"/>
    <w:rsid w:val="00E86A0D"/>
    <w:rsid w:val="00E86AEB"/>
    <w:rsid w:val="00E86AF4"/>
    <w:rsid w:val="00E86B0A"/>
    <w:rsid w:val="00E86B26"/>
    <w:rsid w:val="00E86BCB"/>
    <w:rsid w:val="00E86C3B"/>
    <w:rsid w:val="00E86C65"/>
    <w:rsid w:val="00E86CB0"/>
    <w:rsid w:val="00E86D3B"/>
    <w:rsid w:val="00E86D91"/>
    <w:rsid w:val="00E86F08"/>
    <w:rsid w:val="00E86F16"/>
    <w:rsid w:val="00E86F2F"/>
    <w:rsid w:val="00E86FD0"/>
    <w:rsid w:val="00E8700B"/>
    <w:rsid w:val="00E870A3"/>
    <w:rsid w:val="00E870DB"/>
    <w:rsid w:val="00E870DD"/>
    <w:rsid w:val="00E870E9"/>
    <w:rsid w:val="00E87122"/>
    <w:rsid w:val="00E87131"/>
    <w:rsid w:val="00E871E1"/>
    <w:rsid w:val="00E87202"/>
    <w:rsid w:val="00E873A5"/>
    <w:rsid w:val="00E873EE"/>
    <w:rsid w:val="00E87434"/>
    <w:rsid w:val="00E87468"/>
    <w:rsid w:val="00E8748C"/>
    <w:rsid w:val="00E874A8"/>
    <w:rsid w:val="00E874E8"/>
    <w:rsid w:val="00E8755C"/>
    <w:rsid w:val="00E875F7"/>
    <w:rsid w:val="00E8765C"/>
    <w:rsid w:val="00E87686"/>
    <w:rsid w:val="00E876AC"/>
    <w:rsid w:val="00E876D8"/>
    <w:rsid w:val="00E876DE"/>
    <w:rsid w:val="00E876F9"/>
    <w:rsid w:val="00E877C9"/>
    <w:rsid w:val="00E87895"/>
    <w:rsid w:val="00E878F4"/>
    <w:rsid w:val="00E87921"/>
    <w:rsid w:val="00E87A82"/>
    <w:rsid w:val="00E87B96"/>
    <w:rsid w:val="00E87BDB"/>
    <w:rsid w:val="00E87C1C"/>
    <w:rsid w:val="00E87C23"/>
    <w:rsid w:val="00E87C59"/>
    <w:rsid w:val="00E87C5D"/>
    <w:rsid w:val="00E87D2E"/>
    <w:rsid w:val="00E87D4D"/>
    <w:rsid w:val="00E87DA2"/>
    <w:rsid w:val="00E87E16"/>
    <w:rsid w:val="00E87E4A"/>
    <w:rsid w:val="00E90000"/>
    <w:rsid w:val="00E90012"/>
    <w:rsid w:val="00E90036"/>
    <w:rsid w:val="00E90083"/>
    <w:rsid w:val="00E900C7"/>
    <w:rsid w:val="00E900E1"/>
    <w:rsid w:val="00E900FE"/>
    <w:rsid w:val="00E90172"/>
    <w:rsid w:val="00E90179"/>
    <w:rsid w:val="00E901BB"/>
    <w:rsid w:val="00E901C7"/>
    <w:rsid w:val="00E90212"/>
    <w:rsid w:val="00E9024F"/>
    <w:rsid w:val="00E9031E"/>
    <w:rsid w:val="00E9035C"/>
    <w:rsid w:val="00E9035F"/>
    <w:rsid w:val="00E903DD"/>
    <w:rsid w:val="00E903E0"/>
    <w:rsid w:val="00E90522"/>
    <w:rsid w:val="00E90546"/>
    <w:rsid w:val="00E9057F"/>
    <w:rsid w:val="00E905FA"/>
    <w:rsid w:val="00E90600"/>
    <w:rsid w:val="00E90636"/>
    <w:rsid w:val="00E90646"/>
    <w:rsid w:val="00E90659"/>
    <w:rsid w:val="00E9066A"/>
    <w:rsid w:val="00E906C3"/>
    <w:rsid w:val="00E906F2"/>
    <w:rsid w:val="00E907E3"/>
    <w:rsid w:val="00E9083D"/>
    <w:rsid w:val="00E90865"/>
    <w:rsid w:val="00E90878"/>
    <w:rsid w:val="00E9092B"/>
    <w:rsid w:val="00E909A3"/>
    <w:rsid w:val="00E909A6"/>
    <w:rsid w:val="00E909CE"/>
    <w:rsid w:val="00E90A0A"/>
    <w:rsid w:val="00E90A98"/>
    <w:rsid w:val="00E90AC8"/>
    <w:rsid w:val="00E90ADC"/>
    <w:rsid w:val="00E90B05"/>
    <w:rsid w:val="00E90B1B"/>
    <w:rsid w:val="00E90B20"/>
    <w:rsid w:val="00E90B22"/>
    <w:rsid w:val="00E90B86"/>
    <w:rsid w:val="00E90BF9"/>
    <w:rsid w:val="00E90C0A"/>
    <w:rsid w:val="00E90C49"/>
    <w:rsid w:val="00E90C59"/>
    <w:rsid w:val="00E90C77"/>
    <w:rsid w:val="00E90C8A"/>
    <w:rsid w:val="00E90C92"/>
    <w:rsid w:val="00E90CC3"/>
    <w:rsid w:val="00E90D30"/>
    <w:rsid w:val="00E90DBF"/>
    <w:rsid w:val="00E90DD0"/>
    <w:rsid w:val="00E90E07"/>
    <w:rsid w:val="00E90E0B"/>
    <w:rsid w:val="00E90E62"/>
    <w:rsid w:val="00E90EBA"/>
    <w:rsid w:val="00E90ECF"/>
    <w:rsid w:val="00E90EEB"/>
    <w:rsid w:val="00E90F5B"/>
    <w:rsid w:val="00E90F5E"/>
    <w:rsid w:val="00E90FC5"/>
    <w:rsid w:val="00E90FD2"/>
    <w:rsid w:val="00E90FE0"/>
    <w:rsid w:val="00E910B4"/>
    <w:rsid w:val="00E910D6"/>
    <w:rsid w:val="00E91118"/>
    <w:rsid w:val="00E91125"/>
    <w:rsid w:val="00E911D3"/>
    <w:rsid w:val="00E91234"/>
    <w:rsid w:val="00E91264"/>
    <w:rsid w:val="00E9129A"/>
    <w:rsid w:val="00E912BF"/>
    <w:rsid w:val="00E912CF"/>
    <w:rsid w:val="00E91319"/>
    <w:rsid w:val="00E9131A"/>
    <w:rsid w:val="00E9135F"/>
    <w:rsid w:val="00E9139A"/>
    <w:rsid w:val="00E913C5"/>
    <w:rsid w:val="00E913E2"/>
    <w:rsid w:val="00E9142A"/>
    <w:rsid w:val="00E9148A"/>
    <w:rsid w:val="00E914CD"/>
    <w:rsid w:val="00E91535"/>
    <w:rsid w:val="00E91541"/>
    <w:rsid w:val="00E915E9"/>
    <w:rsid w:val="00E9163E"/>
    <w:rsid w:val="00E91655"/>
    <w:rsid w:val="00E916CB"/>
    <w:rsid w:val="00E916E3"/>
    <w:rsid w:val="00E917A5"/>
    <w:rsid w:val="00E917D4"/>
    <w:rsid w:val="00E917DB"/>
    <w:rsid w:val="00E91897"/>
    <w:rsid w:val="00E9190B"/>
    <w:rsid w:val="00E91919"/>
    <w:rsid w:val="00E91927"/>
    <w:rsid w:val="00E91A07"/>
    <w:rsid w:val="00E91A75"/>
    <w:rsid w:val="00E91B06"/>
    <w:rsid w:val="00E91B15"/>
    <w:rsid w:val="00E91B21"/>
    <w:rsid w:val="00E91B28"/>
    <w:rsid w:val="00E91B7B"/>
    <w:rsid w:val="00E91C54"/>
    <w:rsid w:val="00E91C78"/>
    <w:rsid w:val="00E91C7E"/>
    <w:rsid w:val="00E91CA8"/>
    <w:rsid w:val="00E91CBB"/>
    <w:rsid w:val="00E91D0D"/>
    <w:rsid w:val="00E91D84"/>
    <w:rsid w:val="00E91DA3"/>
    <w:rsid w:val="00E91DEF"/>
    <w:rsid w:val="00E91EC0"/>
    <w:rsid w:val="00E91F52"/>
    <w:rsid w:val="00E91FA5"/>
    <w:rsid w:val="00E92131"/>
    <w:rsid w:val="00E9217F"/>
    <w:rsid w:val="00E9219D"/>
    <w:rsid w:val="00E921F3"/>
    <w:rsid w:val="00E921FD"/>
    <w:rsid w:val="00E92209"/>
    <w:rsid w:val="00E92219"/>
    <w:rsid w:val="00E9222C"/>
    <w:rsid w:val="00E9222D"/>
    <w:rsid w:val="00E92276"/>
    <w:rsid w:val="00E922AA"/>
    <w:rsid w:val="00E922C5"/>
    <w:rsid w:val="00E922C7"/>
    <w:rsid w:val="00E922CA"/>
    <w:rsid w:val="00E92306"/>
    <w:rsid w:val="00E92307"/>
    <w:rsid w:val="00E923C6"/>
    <w:rsid w:val="00E9241B"/>
    <w:rsid w:val="00E9247F"/>
    <w:rsid w:val="00E924C9"/>
    <w:rsid w:val="00E92535"/>
    <w:rsid w:val="00E9260E"/>
    <w:rsid w:val="00E9262D"/>
    <w:rsid w:val="00E926AD"/>
    <w:rsid w:val="00E926C9"/>
    <w:rsid w:val="00E92743"/>
    <w:rsid w:val="00E92767"/>
    <w:rsid w:val="00E927CE"/>
    <w:rsid w:val="00E927E2"/>
    <w:rsid w:val="00E92830"/>
    <w:rsid w:val="00E9283C"/>
    <w:rsid w:val="00E92859"/>
    <w:rsid w:val="00E92884"/>
    <w:rsid w:val="00E92889"/>
    <w:rsid w:val="00E92890"/>
    <w:rsid w:val="00E928BB"/>
    <w:rsid w:val="00E9292B"/>
    <w:rsid w:val="00E92A66"/>
    <w:rsid w:val="00E92A8C"/>
    <w:rsid w:val="00E92ACA"/>
    <w:rsid w:val="00E92AD3"/>
    <w:rsid w:val="00E92B73"/>
    <w:rsid w:val="00E92BC7"/>
    <w:rsid w:val="00E92BC9"/>
    <w:rsid w:val="00E92BF9"/>
    <w:rsid w:val="00E92BFA"/>
    <w:rsid w:val="00E92C10"/>
    <w:rsid w:val="00E92C46"/>
    <w:rsid w:val="00E92C4A"/>
    <w:rsid w:val="00E92CC1"/>
    <w:rsid w:val="00E92CCF"/>
    <w:rsid w:val="00E92CD3"/>
    <w:rsid w:val="00E92CF9"/>
    <w:rsid w:val="00E92D60"/>
    <w:rsid w:val="00E92DEB"/>
    <w:rsid w:val="00E92DFA"/>
    <w:rsid w:val="00E92EEE"/>
    <w:rsid w:val="00E92F0F"/>
    <w:rsid w:val="00E92F24"/>
    <w:rsid w:val="00E92F4B"/>
    <w:rsid w:val="00E92F8C"/>
    <w:rsid w:val="00E92F9E"/>
    <w:rsid w:val="00E92FCB"/>
    <w:rsid w:val="00E92FFC"/>
    <w:rsid w:val="00E9302C"/>
    <w:rsid w:val="00E930A0"/>
    <w:rsid w:val="00E930E3"/>
    <w:rsid w:val="00E930F2"/>
    <w:rsid w:val="00E93122"/>
    <w:rsid w:val="00E93155"/>
    <w:rsid w:val="00E93186"/>
    <w:rsid w:val="00E931DC"/>
    <w:rsid w:val="00E931F6"/>
    <w:rsid w:val="00E93208"/>
    <w:rsid w:val="00E93226"/>
    <w:rsid w:val="00E93318"/>
    <w:rsid w:val="00E9337C"/>
    <w:rsid w:val="00E93387"/>
    <w:rsid w:val="00E9338A"/>
    <w:rsid w:val="00E933DD"/>
    <w:rsid w:val="00E93423"/>
    <w:rsid w:val="00E93443"/>
    <w:rsid w:val="00E93461"/>
    <w:rsid w:val="00E934AC"/>
    <w:rsid w:val="00E934BB"/>
    <w:rsid w:val="00E93523"/>
    <w:rsid w:val="00E9367B"/>
    <w:rsid w:val="00E936B9"/>
    <w:rsid w:val="00E936E1"/>
    <w:rsid w:val="00E93716"/>
    <w:rsid w:val="00E93744"/>
    <w:rsid w:val="00E93767"/>
    <w:rsid w:val="00E937CF"/>
    <w:rsid w:val="00E937DE"/>
    <w:rsid w:val="00E9380F"/>
    <w:rsid w:val="00E93848"/>
    <w:rsid w:val="00E938B4"/>
    <w:rsid w:val="00E9393B"/>
    <w:rsid w:val="00E9399F"/>
    <w:rsid w:val="00E93A62"/>
    <w:rsid w:val="00E93A89"/>
    <w:rsid w:val="00E93AB0"/>
    <w:rsid w:val="00E93AB1"/>
    <w:rsid w:val="00E93AB5"/>
    <w:rsid w:val="00E93ACA"/>
    <w:rsid w:val="00E93AEE"/>
    <w:rsid w:val="00E93B17"/>
    <w:rsid w:val="00E93B80"/>
    <w:rsid w:val="00E93BFC"/>
    <w:rsid w:val="00E93C48"/>
    <w:rsid w:val="00E93CD8"/>
    <w:rsid w:val="00E93CFA"/>
    <w:rsid w:val="00E93D39"/>
    <w:rsid w:val="00E93D81"/>
    <w:rsid w:val="00E93E0C"/>
    <w:rsid w:val="00E93E81"/>
    <w:rsid w:val="00E93E82"/>
    <w:rsid w:val="00E93EA7"/>
    <w:rsid w:val="00E93EB6"/>
    <w:rsid w:val="00E93F2F"/>
    <w:rsid w:val="00E93F55"/>
    <w:rsid w:val="00E93F79"/>
    <w:rsid w:val="00E93F97"/>
    <w:rsid w:val="00E93FB2"/>
    <w:rsid w:val="00E9401D"/>
    <w:rsid w:val="00E94028"/>
    <w:rsid w:val="00E94031"/>
    <w:rsid w:val="00E94130"/>
    <w:rsid w:val="00E94163"/>
    <w:rsid w:val="00E941D2"/>
    <w:rsid w:val="00E941E1"/>
    <w:rsid w:val="00E941F1"/>
    <w:rsid w:val="00E9428A"/>
    <w:rsid w:val="00E94344"/>
    <w:rsid w:val="00E943A2"/>
    <w:rsid w:val="00E943CF"/>
    <w:rsid w:val="00E943F7"/>
    <w:rsid w:val="00E94575"/>
    <w:rsid w:val="00E94640"/>
    <w:rsid w:val="00E946B1"/>
    <w:rsid w:val="00E946D6"/>
    <w:rsid w:val="00E94746"/>
    <w:rsid w:val="00E9479A"/>
    <w:rsid w:val="00E947B6"/>
    <w:rsid w:val="00E947E3"/>
    <w:rsid w:val="00E947F9"/>
    <w:rsid w:val="00E9480C"/>
    <w:rsid w:val="00E9481B"/>
    <w:rsid w:val="00E94853"/>
    <w:rsid w:val="00E9487F"/>
    <w:rsid w:val="00E94903"/>
    <w:rsid w:val="00E94917"/>
    <w:rsid w:val="00E94955"/>
    <w:rsid w:val="00E94A7E"/>
    <w:rsid w:val="00E94BA9"/>
    <w:rsid w:val="00E94BC7"/>
    <w:rsid w:val="00E94C68"/>
    <w:rsid w:val="00E94D69"/>
    <w:rsid w:val="00E94D74"/>
    <w:rsid w:val="00E94DA4"/>
    <w:rsid w:val="00E94DB4"/>
    <w:rsid w:val="00E94DF6"/>
    <w:rsid w:val="00E94E2A"/>
    <w:rsid w:val="00E94E2D"/>
    <w:rsid w:val="00E94E31"/>
    <w:rsid w:val="00E94E4E"/>
    <w:rsid w:val="00E94EE1"/>
    <w:rsid w:val="00E94EE8"/>
    <w:rsid w:val="00E94EF7"/>
    <w:rsid w:val="00E94EFA"/>
    <w:rsid w:val="00E94F08"/>
    <w:rsid w:val="00E94F1D"/>
    <w:rsid w:val="00E94F22"/>
    <w:rsid w:val="00E94F35"/>
    <w:rsid w:val="00E94F57"/>
    <w:rsid w:val="00E94F88"/>
    <w:rsid w:val="00E94FD5"/>
    <w:rsid w:val="00E94FDD"/>
    <w:rsid w:val="00E9503F"/>
    <w:rsid w:val="00E9509C"/>
    <w:rsid w:val="00E950FF"/>
    <w:rsid w:val="00E9515C"/>
    <w:rsid w:val="00E9515D"/>
    <w:rsid w:val="00E951E3"/>
    <w:rsid w:val="00E95351"/>
    <w:rsid w:val="00E953EC"/>
    <w:rsid w:val="00E95464"/>
    <w:rsid w:val="00E9546F"/>
    <w:rsid w:val="00E95482"/>
    <w:rsid w:val="00E954B5"/>
    <w:rsid w:val="00E954BA"/>
    <w:rsid w:val="00E95551"/>
    <w:rsid w:val="00E95580"/>
    <w:rsid w:val="00E95584"/>
    <w:rsid w:val="00E955B4"/>
    <w:rsid w:val="00E95655"/>
    <w:rsid w:val="00E956A3"/>
    <w:rsid w:val="00E9579E"/>
    <w:rsid w:val="00E95820"/>
    <w:rsid w:val="00E9586C"/>
    <w:rsid w:val="00E958B0"/>
    <w:rsid w:val="00E958FB"/>
    <w:rsid w:val="00E9590E"/>
    <w:rsid w:val="00E9591E"/>
    <w:rsid w:val="00E95931"/>
    <w:rsid w:val="00E95983"/>
    <w:rsid w:val="00E9599A"/>
    <w:rsid w:val="00E959BE"/>
    <w:rsid w:val="00E95A0D"/>
    <w:rsid w:val="00E95A69"/>
    <w:rsid w:val="00E95B00"/>
    <w:rsid w:val="00E95B3B"/>
    <w:rsid w:val="00E95B77"/>
    <w:rsid w:val="00E95BF0"/>
    <w:rsid w:val="00E95C45"/>
    <w:rsid w:val="00E95C71"/>
    <w:rsid w:val="00E95CD1"/>
    <w:rsid w:val="00E95CDC"/>
    <w:rsid w:val="00E95D02"/>
    <w:rsid w:val="00E95D4D"/>
    <w:rsid w:val="00E95DD2"/>
    <w:rsid w:val="00E95E40"/>
    <w:rsid w:val="00E95F60"/>
    <w:rsid w:val="00E95F9C"/>
    <w:rsid w:val="00E95FEB"/>
    <w:rsid w:val="00E96025"/>
    <w:rsid w:val="00E9603F"/>
    <w:rsid w:val="00E960B3"/>
    <w:rsid w:val="00E960C9"/>
    <w:rsid w:val="00E96154"/>
    <w:rsid w:val="00E961A6"/>
    <w:rsid w:val="00E961BB"/>
    <w:rsid w:val="00E96298"/>
    <w:rsid w:val="00E962C6"/>
    <w:rsid w:val="00E9630D"/>
    <w:rsid w:val="00E96416"/>
    <w:rsid w:val="00E96437"/>
    <w:rsid w:val="00E96443"/>
    <w:rsid w:val="00E964BC"/>
    <w:rsid w:val="00E9660C"/>
    <w:rsid w:val="00E96627"/>
    <w:rsid w:val="00E96692"/>
    <w:rsid w:val="00E966BF"/>
    <w:rsid w:val="00E966F4"/>
    <w:rsid w:val="00E966F9"/>
    <w:rsid w:val="00E96719"/>
    <w:rsid w:val="00E9673B"/>
    <w:rsid w:val="00E9678E"/>
    <w:rsid w:val="00E967BC"/>
    <w:rsid w:val="00E9681E"/>
    <w:rsid w:val="00E96824"/>
    <w:rsid w:val="00E968A4"/>
    <w:rsid w:val="00E968BE"/>
    <w:rsid w:val="00E968DC"/>
    <w:rsid w:val="00E968DF"/>
    <w:rsid w:val="00E96901"/>
    <w:rsid w:val="00E969EB"/>
    <w:rsid w:val="00E96A3B"/>
    <w:rsid w:val="00E96A6A"/>
    <w:rsid w:val="00E96B1D"/>
    <w:rsid w:val="00E96BCA"/>
    <w:rsid w:val="00E96BCC"/>
    <w:rsid w:val="00E96D1A"/>
    <w:rsid w:val="00E96D44"/>
    <w:rsid w:val="00E96DA4"/>
    <w:rsid w:val="00E96DC2"/>
    <w:rsid w:val="00E96DE5"/>
    <w:rsid w:val="00E96DE9"/>
    <w:rsid w:val="00E96DF2"/>
    <w:rsid w:val="00E96E47"/>
    <w:rsid w:val="00E96E78"/>
    <w:rsid w:val="00E96E84"/>
    <w:rsid w:val="00E96E92"/>
    <w:rsid w:val="00E96EFB"/>
    <w:rsid w:val="00E96F99"/>
    <w:rsid w:val="00E970A8"/>
    <w:rsid w:val="00E9713D"/>
    <w:rsid w:val="00E97194"/>
    <w:rsid w:val="00E971AE"/>
    <w:rsid w:val="00E9721F"/>
    <w:rsid w:val="00E97239"/>
    <w:rsid w:val="00E972BA"/>
    <w:rsid w:val="00E972D2"/>
    <w:rsid w:val="00E9733F"/>
    <w:rsid w:val="00E97342"/>
    <w:rsid w:val="00E97346"/>
    <w:rsid w:val="00E973BF"/>
    <w:rsid w:val="00E973FD"/>
    <w:rsid w:val="00E974DD"/>
    <w:rsid w:val="00E975B9"/>
    <w:rsid w:val="00E975DB"/>
    <w:rsid w:val="00E976E2"/>
    <w:rsid w:val="00E976F8"/>
    <w:rsid w:val="00E97768"/>
    <w:rsid w:val="00E977B0"/>
    <w:rsid w:val="00E97820"/>
    <w:rsid w:val="00E97863"/>
    <w:rsid w:val="00E9790C"/>
    <w:rsid w:val="00E97A97"/>
    <w:rsid w:val="00E97AA9"/>
    <w:rsid w:val="00E97B6C"/>
    <w:rsid w:val="00E97BCA"/>
    <w:rsid w:val="00E97C2B"/>
    <w:rsid w:val="00E97C7B"/>
    <w:rsid w:val="00E97D6D"/>
    <w:rsid w:val="00E97DCE"/>
    <w:rsid w:val="00E97E8B"/>
    <w:rsid w:val="00E97E9F"/>
    <w:rsid w:val="00E97EDC"/>
    <w:rsid w:val="00E97F9A"/>
    <w:rsid w:val="00E97FB7"/>
    <w:rsid w:val="00E97FDE"/>
    <w:rsid w:val="00EA0014"/>
    <w:rsid w:val="00EA0048"/>
    <w:rsid w:val="00EA0065"/>
    <w:rsid w:val="00EA00DE"/>
    <w:rsid w:val="00EA01F4"/>
    <w:rsid w:val="00EA033A"/>
    <w:rsid w:val="00EA0349"/>
    <w:rsid w:val="00EA038B"/>
    <w:rsid w:val="00EA03BC"/>
    <w:rsid w:val="00EA0493"/>
    <w:rsid w:val="00EA04EA"/>
    <w:rsid w:val="00EA04F9"/>
    <w:rsid w:val="00EA0513"/>
    <w:rsid w:val="00EA05A0"/>
    <w:rsid w:val="00EA05BE"/>
    <w:rsid w:val="00EA0608"/>
    <w:rsid w:val="00EA0694"/>
    <w:rsid w:val="00EA07B1"/>
    <w:rsid w:val="00EA07E5"/>
    <w:rsid w:val="00EA07F1"/>
    <w:rsid w:val="00EA081A"/>
    <w:rsid w:val="00EA0861"/>
    <w:rsid w:val="00EA098B"/>
    <w:rsid w:val="00EA0A07"/>
    <w:rsid w:val="00EA0B49"/>
    <w:rsid w:val="00EA0B67"/>
    <w:rsid w:val="00EA0BFE"/>
    <w:rsid w:val="00EA0C81"/>
    <w:rsid w:val="00EA0D20"/>
    <w:rsid w:val="00EA0E7A"/>
    <w:rsid w:val="00EA0EEB"/>
    <w:rsid w:val="00EA0EFB"/>
    <w:rsid w:val="00EA0F2F"/>
    <w:rsid w:val="00EA0F54"/>
    <w:rsid w:val="00EA0FC1"/>
    <w:rsid w:val="00EA1025"/>
    <w:rsid w:val="00EA105B"/>
    <w:rsid w:val="00EA1065"/>
    <w:rsid w:val="00EA106F"/>
    <w:rsid w:val="00EA108E"/>
    <w:rsid w:val="00EA10A4"/>
    <w:rsid w:val="00EA10D0"/>
    <w:rsid w:val="00EA10E1"/>
    <w:rsid w:val="00EA10EA"/>
    <w:rsid w:val="00EA1145"/>
    <w:rsid w:val="00EA11AB"/>
    <w:rsid w:val="00EA11B0"/>
    <w:rsid w:val="00EA11E0"/>
    <w:rsid w:val="00EA1201"/>
    <w:rsid w:val="00EA124F"/>
    <w:rsid w:val="00EA1275"/>
    <w:rsid w:val="00EA129C"/>
    <w:rsid w:val="00EA1427"/>
    <w:rsid w:val="00EA1430"/>
    <w:rsid w:val="00EA150E"/>
    <w:rsid w:val="00EA157C"/>
    <w:rsid w:val="00EA158B"/>
    <w:rsid w:val="00EA162E"/>
    <w:rsid w:val="00EA168B"/>
    <w:rsid w:val="00EA168C"/>
    <w:rsid w:val="00EA16DC"/>
    <w:rsid w:val="00EA1715"/>
    <w:rsid w:val="00EA171C"/>
    <w:rsid w:val="00EA1762"/>
    <w:rsid w:val="00EA177E"/>
    <w:rsid w:val="00EA1791"/>
    <w:rsid w:val="00EA1796"/>
    <w:rsid w:val="00EA17E6"/>
    <w:rsid w:val="00EA17F7"/>
    <w:rsid w:val="00EA17F8"/>
    <w:rsid w:val="00EA187F"/>
    <w:rsid w:val="00EA1880"/>
    <w:rsid w:val="00EA1894"/>
    <w:rsid w:val="00EA18F2"/>
    <w:rsid w:val="00EA1A3B"/>
    <w:rsid w:val="00EA1A4C"/>
    <w:rsid w:val="00EA1A91"/>
    <w:rsid w:val="00EA1AD3"/>
    <w:rsid w:val="00EA1AFC"/>
    <w:rsid w:val="00EA1C4B"/>
    <w:rsid w:val="00EA1C88"/>
    <w:rsid w:val="00EA1CD3"/>
    <w:rsid w:val="00EA1D89"/>
    <w:rsid w:val="00EA1DF4"/>
    <w:rsid w:val="00EA1ED7"/>
    <w:rsid w:val="00EA1FA3"/>
    <w:rsid w:val="00EA1FCF"/>
    <w:rsid w:val="00EA1FEE"/>
    <w:rsid w:val="00EA2026"/>
    <w:rsid w:val="00EA2074"/>
    <w:rsid w:val="00EA207C"/>
    <w:rsid w:val="00EA20E8"/>
    <w:rsid w:val="00EA21A8"/>
    <w:rsid w:val="00EA2236"/>
    <w:rsid w:val="00EA223E"/>
    <w:rsid w:val="00EA2287"/>
    <w:rsid w:val="00EA229A"/>
    <w:rsid w:val="00EA236E"/>
    <w:rsid w:val="00EA240F"/>
    <w:rsid w:val="00EA2428"/>
    <w:rsid w:val="00EA2435"/>
    <w:rsid w:val="00EA2487"/>
    <w:rsid w:val="00EA248D"/>
    <w:rsid w:val="00EA24B7"/>
    <w:rsid w:val="00EA2524"/>
    <w:rsid w:val="00EA2549"/>
    <w:rsid w:val="00EA25BD"/>
    <w:rsid w:val="00EA2621"/>
    <w:rsid w:val="00EA26C9"/>
    <w:rsid w:val="00EA2758"/>
    <w:rsid w:val="00EA27DC"/>
    <w:rsid w:val="00EA2832"/>
    <w:rsid w:val="00EA2840"/>
    <w:rsid w:val="00EA2875"/>
    <w:rsid w:val="00EA287A"/>
    <w:rsid w:val="00EA28B3"/>
    <w:rsid w:val="00EA28F3"/>
    <w:rsid w:val="00EA29A5"/>
    <w:rsid w:val="00EA29CE"/>
    <w:rsid w:val="00EA29EA"/>
    <w:rsid w:val="00EA2A56"/>
    <w:rsid w:val="00EA2A6A"/>
    <w:rsid w:val="00EA2B9E"/>
    <w:rsid w:val="00EA2BF4"/>
    <w:rsid w:val="00EA2C48"/>
    <w:rsid w:val="00EA2C54"/>
    <w:rsid w:val="00EA2C8B"/>
    <w:rsid w:val="00EA2D19"/>
    <w:rsid w:val="00EA2D6F"/>
    <w:rsid w:val="00EA2DDB"/>
    <w:rsid w:val="00EA2DE2"/>
    <w:rsid w:val="00EA2E14"/>
    <w:rsid w:val="00EA2E59"/>
    <w:rsid w:val="00EA2F34"/>
    <w:rsid w:val="00EA2FCD"/>
    <w:rsid w:val="00EA2FEF"/>
    <w:rsid w:val="00EA2FFA"/>
    <w:rsid w:val="00EA3004"/>
    <w:rsid w:val="00EA300A"/>
    <w:rsid w:val="00EA301C"/>
    <w:rsid w:val="00EA303F"/>
    <w:rsid w:val="00EA3044"/>
    <w:rsid w:val="00EA30F9"/>
    <w:rsid w:val="00EA3114"/>
    <w:rsid w:val="00EA3303"/>
    <w:rsid w:val="00EA330C"/>
    <w:rsid w:val="00EA335F"/>
    <w:rsid w:val="00EA33F0"/>
    <w:rsid w:val="00EA356B"/>
    <w:rsid w:val="00EA357A"/>
    <w:rsid w:val="00EA35C2"/>
    <w:rsid w:val="00EA3605"/>
    <w:rsid w:val="00EA3632"/>
    <w:rsid w:val="00EA3636"/>
    <w:rsid w:val="00EA3647"/>
    <w:rsid w:val="00EA36D7"/>
    <w:rsid w:val="00EA3781"/>
    <w:rsid w:val="00EA3803"/>
    <w:rsid w:val="00EA3805"/>
    <w:rsid w:val="00EA3813"/>
    <w:rsid w:val="00EA3878"/>
    <w:rsid w:val="00EA38BD"/>
    <w:rsid w:val="00EA3925"/>
    <w:rsid w:val="00EA39B7"/>
    <w:rsid w:val="00EA3A05"/>
    <w:rsid w:val="00EA3B33"/>
    <w:rsid w:val="00EA3B9E"/>
    <w:rsid w:val="00EA3BA7"/>
    <w:rsid w:val="00EA3C64"/>
    <w:rsid w:val="00EA3D22"/>
    <w:rsid w:val="00EA3D9E"/>
    <w:rsid w:val="00EA3E1D"/>
    <w:rsid w:val="00EA3F1E"/>
    <w:rsid w:val="00EA3F41"/>
    <w:rsid w:val="00EA3F6F"/>
    <w:rsid w:val="00EA3F89"/>
    <w:rsid w:val="00EA3FB7"/>
    <w:rsid w:val="00EA3FD1"/>
    <w:rsid w:val="00EA3FD2"/>
    <w:rsid w:val="00EA405F"/>
    <w:rsid w:val="00EA40E1"/>
    <w:rsid w:val="00EA40F4"/>
    <w:rsid w:val="00EA416E"/>
    <w:rsid w:val="00EA4174"/>
    <w:rsid w:val="00EA4178"/>
    <w:rsid w:val="00EA4189"/>
    <w:rsid w:val="00EA41A4"/>
    <w:rsid w:val="00EA41A7"/>
    <w:rsid w:val="00EA41B0"/>
    <w:rsid w:val="00EA426A"/>
    <w:rsid w:val="00EA427E"/>
    <w:rsid w:val="00EA42AB"/>
    <w:rsid w:val="00EA42EE"/>
    <w:rsid w:val="00EA4308"/>
    <w:rsid w:val="00EA4323"/>
    <w:rsid w:val="00EA4388"/>
    <w:rsid w:val="00EA43BA"/>
    <w:rsid w:val="00EA43F5"/>
    <w:rsid w:val="00EA4462"/>
    <w:rsid w:val="00EA44A5"/>
    <w:rsid w:val="00EA453F"/>
    <w:rsid w:val="00EA45A8"/>
    <w:rsid w:val="00EA45EC"/>
    <w:rsid w:val="00EA45F3"/>
    <w:rsid w:val="00EA462B"/>
    <w:rsid w:val="00EA464E"/>
    <w:rsid w:val="00EA469F"/>
    <w:rsid w:val="00EA4700"/>
    <w:rsid w:val="00EA474A"/>
    <w:rsid w:val="00EA4802"/>
    <w:rsid w:val="00EA4899"/>
    <w:rsid w:val="00EA489B"/>
    <w:rsid w:val="00EA4928"/>
    <w:rsid w:val="00EA4960"/>
    <w:rsid w:val="00EA4969"/>
    <w:rsid w:val="00EA499C"/>
    <w:rsid w:val="00EA49C8"/>
    <w:rsid w:val="00EA4A1B"/>
    <w:rsid w:val="00EA4A4D"/>
    <w:rsid w:val="00EA4A9E"/>
    <w:rsid w:val="00EA4AA7"/>
    <w:rsid w:val="00EA4AE3"/>
    <w:rsid w:val="00EA4AE5"/>
    <w:rsid w:val="00EA4B0E"/>
    <w:rsid w:val="00EA4B4A"/>
    <w:rsid w:val="00EA4B52"/>
    <w:rsid w:val="00EA4C0A"/>
    <w:rsid w:val="00EA4CFF"/>
    <w:rsid w:val="00EA4DE4"/>
    <w:rsid w:val="00EA4E0E"/>
    <w:rsid w:val="00EA4F75"/>
    <w:rsid w:val="00EA4FE2"/>
    <w:rsid w:val="00EA5032"/>
    <w:rsid w:val="00EA508A"/>
    <w:rsid w:val="00EA508B"/>
    <w:rsid w:val="00EA50AF"/>
    <w:rsid w:val="00EA5109"/>
    <w:rsid w:val="00EA5115"/>
    <w:rsid w:val="00EA51E0"/>
    <w:rsid w:val="00EA523A"/>
    <w:rsid w:val="00EA52AB"/>
    <w:rsid w:val="00EA52CC"/>
    <w:rsid w:val="00EA53C8"/>
    <w:rsid w:val="00EA53E1"/>
    <w:rsid w:val="00EA543E"/>
    <w:rsid w:val="00EA54B1"/>
    <w:rsid w:val="00EA54E1"/>
    <w:rsid w:val="00EA5512"/>
    <w:rsid w:val="00EA5522"/>
    <w:rsid w:val="00EA55E3"/>
    <w:rsid w:val="00EA5618"/>
    <w:rsid w:val="00EA569C"/>
    <w:rsid w:val="00EA56A3"/>
    <w:rsid w:val="00EA56A4"/>
    <w:rsid w:val="00EA56D4"/>
    <w:rsid w:val="00EA5704"/>
    <w:rsid w:val="00EA579D"/>
    <w:rsid w:val="00EA57B7"/>
    <w:rsid w:val="00EA580D"/>
    <w:rsid w:val="00EA5878"/>
    <w:rsid w:val="00EA58B7"/>
    <w:rsid w:val="00EA594A"/>
    <w:rsid w:val="00EA594B"/>
    <w:rsid w:val="00EA5A10"/>
    <w:rsid w:val="00EA5A3E"/>
    <w:rsid w:val="00EA5B1D"/>
    <w:rsid w:val="00EA5BDA"/>
    <w:rsid w:val="00EA5CBF"/>
    <w:rsid w:val="00EA5CC3"/>
    <w:rsid w:val="00EA5D38"/>
    <w:rsid w:val="00EA5D52"/>
    <w:rsid w:val="00EA5D5B"/>
    <w:rsid w:val="00EA5E1A"/>
    <w:rsid w:val="00EA5EDD"/>
    <w:rsid w:val="00EA5F04"/>
    <w:rsid w:val="00EA5F2E"/>
    <w:rsid w:val="00EA5F69"/>
    <w:rsid w:val="00EA5F7B"/>
    <w:rsid w:val="00EA5F9D"/>
    <w:rsid w:val="00EA5FA0"/>
    <w:rsid w:val="00EA5FD6"/>
    <w:rsid w:val="00EA600C"/>
    <w:rsid w:val="00EA610F"/>
    <w:rsid w:val="00EA6186"/>
    <w:rsid w:val="00EA61C4"/>
    <w:rsid w:val="00EA6201"/>
    <w:rsid w:val="00EA62A3"/>
    <w:rsid w:val="00EA62D1"/>
    <w:rsid w:val="00EA62D9"/>
    <w:rsid w:val="00EA6315"/>
    <w:rsid w:val="00EA63E2"/>
    <w:rsid w:val="00EA644E"/>
    <w:rsid w:val="00EA6492"/>
    <w:rsid w:val="00EA64F6"/>
    <w:rsid w:val="00EA6506"/>
    <w:rsid w:val="00EA651C"/>
    <w:rsid w:val="00EA6577"/>
    <w:rsid w:val="00EA657D"/>
    <w:rsid w:val="00EA6646"/>
    <w:rsid w:val="00EA6657"/>
    <w:rsid w:val="00EA665D"/>
    <w:rsid w:val="00EA66BE"/>
    <w:rsid w:val="00EA674C"/>
    <w:rsid w:val="00EA678C"/>
    <w:rsid w:val="00EA67E2"/>
    <w:rsid w:val="00EA67F1"/>
    <w:rsid w:val="00EA682E"/>
    <w:rsid w:val="00EA687B"/>
    <w:rsid w:val="00EA689F"/>
    <w:rsid w:val="00EA68E6"/>
    <w:rsid w:val="00EA69D5"/>
    <w:rsid w:val="00EA6A2A"/>
    <w:rsid w:val="00EA6AC2"/>
    <w:rsid w:val="00EA6AC3"/>
    <w:rsid w:val="00EA6B39"/>
    <w:rsid w:val="00EA6B7D"/>
    <w:rsid w:val="00EA6C29"/>
    <w:rsid w:val="00EA6C2E"/>
    <w:rsid w:val="00EA6C33"/>
    <w:rsid w:val="00EA6C83"/>
    <w:rsid w:val="00EA6CA3"/>
    <w:rsid w:val="00EA6D28"/>
    <w:rsid w:val="00EA6D2E"/>
    <w:rsid w:val="00EA6D3A"/>
    <w:rsid w:val="00EA6D49"/>
    <w:rsid w:val="00EA6DA2"/>
    <w:rsid w:val="00EA6DBB"/>
    <w:rsid w:val="00EA6DCC"/>
    <w:rsid w:val="00EA6DCD"/>
    <w:rsid w:val="00EA6DE9"/>
    <w:rsid w:val="00EA6E5B"/>
    <w:rsid w:val="00EA6E7E"/>
    <w:rsid w:val="00EA6EDF"/>
    <w:rsid w:val="00EA6EF5"/>
    <w:rsid w:val="00EA6F73"/>
    <w:rsid w:val="00EA71E3"/>
    <w:rsid w:val="00EA7226"/>
    <w:rsid w:val="00EA7287"/>
    <w:rsid w:val="00EA72AD"/>
    <w:rsid w:val="00EA7305"/>
    <w:rsid w:val="00EA730F"/>
    <w:rsid w:val="00EA7363"/>
    <w:rsid w:val="00EA7409"/>
    <w:rsid w:val="00EA7419"/>
    <w:rsid w:val="00EA7497"/>
    <w:rsid w:val="00EA74E5"/>
    <w:rsid w:val="00EA752A"/>
    <w:rsid w:val="00EA755D"/>
    <w:rsid w:val="00EA7587"/>
    <w:rsid w:val="00EA7701"/>
    <w:rsid w:val="00EA771B"/>
    <w:rsid w:val="00EA7725"/>
    <w:rsid w:val="00EA7786"/>
    <w:rsid w:val="00EA7837"/>
    <w:rsid w:val="00EA7867"/>
    <w:rsid w:val="00EA7881"/>
    <w:rsid w:val="00EA78B6"/>
    <w:rsid w:val="00EA78BC"/>
    <w:rsid w:val="00EA78C5"/>
    <w:rsid w:val="00EA7917"/>
    <w:rsid w:val="00EA796D"/>
    <w:rsid w:val="00EA79FF"/>
    <w:rsid w:val="00EA7A51"/>
    <w:rsid w:val="00EA7AAF"/>
    <w:rsid w:val="00EA7AD8"/>
    <w:rsid w:val="00EA7ADA"/>
    <w:rsid w:val="00EA7B43"/>
    <w:rsid w:val="00EA7BDB"/>
    <w:rsid w:val="00EA7C02"/>
    <w:rsid w:val="00EA7CD5"/>
    <w:rsid w:val="00EA7CFA"/>
    <w:rsid w:val="00EA7EAC"/>
    <w:rsid w:val="00EA7EF9"/>
    <w:rsid w:val="00EA7F54"/>
    <w:rsid w:val="00EA7FA9"/>
    <w:rsid w:val="00EA7FAF"/>
    <w:rsid w:val="00EA7FF4"/>
    <w:rsid w:val="00EB004A"/>
    <w:rsid w:val="00EB009B"/>
    <w:rsid w:val="00EB017A"/>
    <w:rsid w:val="00EB01D9"/>
    <w:rsid w:val="00EB023D"/>
    <w:rsid w:val="00EB0332"/>
    <w:rsid w:val="00EB03A2"/>
    <w:rsid w:val="00EB03B7"/>
    <w:rsid w:val="00EB03F8"/>
    <w:rsid w:val="00EB03FF"/>
    <w:rsid w:val="00EB0404"/>
    <w:rsid w:val="00EB0492"/>
    <w:rsid w:val="00EB0523"/>
    <w:rsid w:val="00EB059B"/>
    <w:rsid w:val="00EB05B5"/>
    <w:rsid w:val="00EB05F5"/>
    <w:rsid w:val="00EB0605"/>
    <w:rsid w:val="00EB0646"/>
    <w:rsid w:val="00EB0718"/>
    <w:rsid w:val="00EB087E"/>
    <w:rsid w:val="00EB09A5"/>
    <w:rsid w:val="00EB09F2"/>
    <w:rsid w:val="00EB0A52"/>
    <w:rsid w:val="00EB0A54"/>
    <w:rsid w:val="00EB0AE5"/>
    <w:rsid w:val="00EB0AEE"/>
    <w:rsid w:val="00EB0B5E"/>
    <w:rsid w:val="00EB0BA6"/>
    <w:rsid w:val="00EB0BDA"/>
    <w:rsid w:val="00EB0C14"/>
    <w:rsid w:val="00EB0C56"/>
    <w:rsid w:val="00EB0C70"/>
    <w:rsid w:val="00EB0CBE"/>
    <w:rsid w:val="00EB0CE2"/>
    <w:rsid w:val="00EB0CF2"/>
    <w:rsid w:val="00EB0E1E"/>
    <w:rsid w:val="00EB0E9B"/>
    <w:rsid w:val="00EB0F80"/>
    <w:rsid w:val="00EB0FBC"/>
    <w:rsid w:val="00EB101F"/>
    <w:rsid w:val="00EB1026"/>
    <w:rsid w:val="00EB107E"/>
    <w:rsid w:val="00EB10AC"/>
    <w:rsid w:val="00EB1106"/>
    <w:rsid w:val="00EB111D"/>
    <w:rsid w:val="00EB1225"/>
    <w:rsid w:val="00EB12CD"/>
    <w:rsid w:val="00EB12D1"/>
    <w:rsid w:val="00EB1310"/>
    <w:rsid w:val="00EB1340"/>
    <w:rsid w:val="00EB140E"/>
    <w:rsid w:val="00EB142B"/>
    <w:rsid w:val="00EB1444"/>
    <w:rsid w:val="00EB1459"/>
    <w:rsid w:val="00EB1489"/>
    <w:rsid w:val="00EB15CA"/>
    <w:rsid w:val="00EB160C"/>
    <w:rsid w:val="00EB1633"/>
    <w:rsid w:val="00EB166A"/>
    <w:rsid w:val="00EB16A2"/>
    <w:rsid w:val="00EB16AC"/>
    <w:rsid w:val="00EB1784"/>
    <w:rsid w:val="00EB17A9"/>
    <w:rsid w:val="00EB19AA"/>
    <w:rsid w:val="00EB19D1"/>
    <w:rsid w:val="00EB1A88"/>
    <w:rsid w:val="00EB1AB7"/>
    <w:rsid w:val="00EB1B5F"/>
    <w:rsid w:val="00EB1B64"/>
    <w:rsid w:val="00EB1B9A"/>
    <w:rsid w:val="00EB1BD4"/>
    <w:rsid w:val="00EB1C15"/>
    <w:rsid w:val="00EB1C1B"/>
    <w:rsid w:val="00EB1D3E"/>
    <w:rsid w:val="00EB1D51"/>
    <w:rsid w:val="00EB1D78"/>
    <w:rsid w:val="00EB1D9A"/>
    <w:rsid w:val="00EB1DAB"/>
    <w:rsid w:val="00EB1DD4"/>
    <w:rsid w:val="00EB1DFA"/>
    <w:rsid w:val="00EB1E07"/>
    <w:rsid w:val="00EB1E89"/>
    <w:rsid w:val="00EB1E90"/>
    <w:rsid w:val="00EB1EA4"/>
    <w:rsid w:val="00EB1ED9"/>
    <w:rsid w:val="00EB1EF9"/>
    <w:rsid w:val="00EB1F0E"/>
    <w:rsid w:val="00EB1F20"/>
    <w:rsid w:val="00EB1F47"/>
    <w:rsid w:val="00EB1FE8"/>
    <w:rsid w:val="00EB2035"/>
    <w:rsid w:val="00EB2075"/>
    <w:rsid w:val="00EB2095"/>
    <w:rsid w:val="00EB20E8"/>
    <w:rsid w:val="00EB2107"/>
    <w:rsid w:val="00EB2135"/>
    <w:rsid w:val="00EB22CE"/>
    <w:rsid w:val="00EB22DF"/>
    <w:rsid w:val="00EB2324"/>
    <w:rsid w:val="00EB2390"/>
    <w:rsid w:val="00EB2420"/>
    <w:rsid w:val="00EB24DB"/>
    <w:rsid w:val="00EB2518"/>
    <w:rsid w:val="00EB254B"/>
    <w:rsid w:val="00EB2602"/>
    <w:rsid w:val="00EB271A"/>
    <w:rsid w:val="00EB2850"/>
    <w:rsid w:val="00EB288B"/>
    <w:rsid w:val="00EB28A4"/>
    <w:rsid w:val="00EB28B0"/>
    <w:rsid w:val="00EB28BF"/>
    <w:rsid w:val="00EB2910"/>
    <w:rsid w:val="00EB2A5F"/>
    <w:rsid w:val="00EB2A73"/>
    <w:rsid w:val="00EB2AD4"/>
    <w:rsid w:val="00EB2B94"/>
    <w:rsid w:val="00EB2CB8"/>
    <w:rsid w:val="00EB2CE4"/>
    <w:rsid w:val="00EB2DF6"/>
    <w:rsid w:val="00EB2E08"/>
    <w:rsid w:val="00EB2E22"/>
    <w:rsid w:val="00EB2EC6"/>
    <w:rsid w:val="00EB2F67"/>
    <w:rsid w:val="00EB2FB2"/>
    <w:rsid w:val="00EB3064"/>
    <w:rsid w:val="00EB306D"/>
    <w:rsid w:val="00EB30A1"/>
    <w:rsid w:val="00EB30D7"/>
    <w:rsid w:val="00EB3151"/>
    <w:rsid w:val="00EB3195"/>
    <w:rsid w:val="00EB31B6"/>
    <w:rsid w:val="00EB31F0"/>
    <w:rsid w:val="00EB3217"/>
    <w:rsid w:val="00EB3260"/>
    <w:rsid w:val="00EB32F0"/>
    <w:rsid w:val="00EB33CE"/>
    <w:rsid w:val="00EB33D0"/>
    <w:rsid w:val="00EB33E9"/>
    <w:rsid w:val="00EB340A"/>
    <w:rsid w:val="00EB3464"/>
    <w:rsid w:val="00EB3540"/>
    <w:rsid w:val="00EB355F"/>
    <w:rsid w:val="00EB360E"/>
    <w:rsid w:val="00EB3699"/>
    <w:rsid w:val="00EB36CA"/>
    <w:rsid w:val="00EB36D5"/>
    <w:rsid w:val="00EB36E2"/>
    <w:rsid w:val="00EB3740"/>
    <w:rsid w:val="00EB3750"/>
    <w:rsid w:val="00EB37D8"/>
    <w:rsid w:val="00EB37F0"/>
    <w:rsid w:val="00EB3825"/>
    <w:rsid w:val="00EB3871"/>
    <w:rsid w:val="00EB38E8"/>
    <w:rsid w:val="00EB394B"/>
    <w:rsid w:val="00EB39C6"/>
    <w:rsid w:val="00EB39E8"/>
    <w:rsid w:val="00EB39EE"/>
    <w:rsid w:val="00EB3A06"/>
    <w:rsid w:val="00EB3A35"/>
    <w:rsid w:val="00EB3A70"/>
    <w:rsid w:val="00EB3ADF"/>
    <w:rsid w:val="00EB3B1D"/>
    <w:rsid w:val="00EB3B1E"/>
    <w:rsid w:val="00EB3BC8"/>
    <w:rsid w:val="00EB3C5E"/>
    <w:rsid w:val="00EB3C8C"/>
    <w:rsid w:val="00EB3CAD"/>
    <w:rsid w:val="00EB3CC9"/>
    <w:rsid w:val="00EB3CF5"/>
    <w:rsid w:val="00EB3D3E"/>
    <w:rsid w:val="00EB3DA6"/>
    <w:rsid w:val="00EB3DC3"/>
    <w:rsid w:val="00EB3DE3"/>
    <w:rsid w:val="00EB3E0D"/>
    <w:rsid w:val="00EB3E33"/>
    <w:rsid w:val="00EB3E57"/>
    <w:rsid w:val="00EB3E80"/>
    <w:rsid w:val="00EB3ECA"/>
    <w:rsid w:val="00EB3EDB"/>
    <w:rsid w:val="00EB3EF0"/>
    <w:rsid w:val="00EB3FFC"/>
    <w:rsid w:val="00EB402F"/>
    <w:rsid w:val="00EB4077"/>
    <w:rsid w:val="00EB41DE"/>
    <w:rsid w:val="00EB421C"/>
    <w:rsid w:val="00EB424F"/>
    <w:rsid w:val="00EB4253"/>
    <w:rsid w:val="00EB426C"/>
    <w:rsid w:val="00EB4270"/>
    <w:rsid w:val="00EB42A9"/>
    <w:rsid w:val="00EB42EA"/>
    <w:rsid w:val="00EB4312"/>
    <w:rsid w:val="00EB4354"/>
    <w:rsid w:val="00EB4356"/>
    <w:rsid w:val="00EB435A"/>
    <w:rsid w:val="00EB43CD"/>
    <w:rsid w:val="00EB4412"/>
    <w:rsid w:val="00EB4415"/>
    <w:rsid w:val="00EB445E"/>
    <w:rsid w:val="00EB446B"/>
    <w:rsid w:val="00EB448F"/>
    <w:rsid w:val="00EB457A"/>
    <w:rsid w:val="00EB45D9"/>
    <w:rsid w:val="00EB45DC"/>
    <w:rsid w:val="00EB45F5"/>
    <w:rsid w:val="00EB45FE"/>
    <w:rsid w:val="00EB46D1"/>
    <w:rsid w:val="00EB4784"/>
    <w:rsid w:val="00EB4800"/>
    <w:rsid w:val="00EB4803"/>
    <w:rsid w:val="00EB4846"/>
    <w:rsid w:val="00EB4892"/>
    <w:rsid w:val="00EB48EF"/>
    <w:rsid w:val="00EB4942"/>
    <w:rsid w:val="00EB49DB"/>
    <w:rsid w:val="00EB4A64"/>
    <w:rsid w:val="00EB4A70"/>
    <w:rsid w:val="00EB4A7A"/>
    <w:rsid w:val="00EB4B13"/>
    <w:rsid w:val="00EB4B7C"/>
    <w:rsid w:val="00EB4B88"/>
    <w:rsid w:val="00EB4C2C"/>
    <w:rsid w:val="00EB4C7C"/>
    <w:rsid w:val="00EB4CCA"/>
    <w:rsid w:val="00EB4D14"/>
    <w:rsid w:val="00EB4D46"/>
    <w:rsid w:val="00EB4D5B"/>
    <w:rsid w:val="00EB4DBF"/>
    <w:rsid w:val="00EB4DC3"/>
    <w:rsid w:val="00EB4E1F"/>
    <w:rsid w:val="00EB4E50"/>
    <w:rsid w:val="00EB4E7F"/>
    <w:rsid w:val="00EB4EA2"/>
    <w:rsid w:val="00EB4F25"/>
    <w:rsid w:val="00EB5012"/>
    <w:rsid w:val="00EB50C7"/>
    <w:rsid w:val="00EB50E2"/>
    <w:rsid w:val="00EB513B"/>
    <w:rsid w:val="00EB522F"/>
    <w:rsid w:val="00EB525E"/>
    <w:rsid w:val="00EB52D9"/>
    <w:rsid w:val="00EB5328"/>
    <w:rsid w:val="00EB53F6"/>
    <w:rsid w:val="00EB540C"/>
    <w:rsid w:val="00EB5413"/>
    <w:rsid w:val="00EB54DC"/>
    <w:rsid w:val="00EB54F8"/>
    <w:rsid w:val="00EB551E"/>
    <w:rsid w:val="00EB554D"/>
    <w:rsid w:val="00EB556E"/>
    <w:rsid w:val="00EB5571"/>
    <w:rsid w:val="00EB5577"/>
    <w:rsid w:val="00EB55E7"/>
    <w:rsid w:val="00EB5654"/>
    <w:rsid w:val="00EB5661"/>
    <w:rsid w:val="00EB56CC"/>
    <w:rsid w:val="00EB57B7"/>
    <w:rsid w:val="00EB57EC"/>
    <w:rsid w:val="00EB5859"/>
    <w:rsid w:val="00EB58A7"/>
    <w:rsid w:val="00EB58AE"/>
    <w:rsid w:val="00EB58F4"/>
    <w:rsid w:val="00EB5923"/>
    <w:rsid w:val="00EB59A6"/>
    <w:rsid w:val="00EB59F5"/>
    <w:rsid w:val="00EB5A1D"/>
    <w:rsid w:val="00EB5A8C"/>
    <w:rsid w:val="00EB5A91"/>
    <w:rsid w:val="00EB5B34"/>
    <w:rsid w:val="00EB5B3C"/>
    <w:rsid w:val="00EB5B3D"/>
    <w:rsid w:val="00EB5B8D"/>
    <w:rsid w:val="00EB5BE7"/>
    <w:rsid w:val="00EB5C92"/>
    <w:rsid w:val="00EB5CF2"/>
    <w:rsid w:val="00EB5D10"/>
    <w:rsid w:val="00EB5D56"/>
    <w:rsid w:val="00EB5DF8"/>
    <w:rsid w:val="00EB5EC4"/>
    <w:rsid w:val="00EB5EE7"/>
    <w:rsid w:val="00EB5F5D"/>
    <w:rsid w:val="00EB5F83"/>
    <w:rsid w:val="00EB5FC0"/>
    <w:rsid w:val="00EB5FC5"/>
    <w:rsid w:val="00EB6010"/>
    <w:rsid w:val="00EB60C5"/>
    <w:rsid w:val="00EB61A7"/>
    <w:rsid w:val="00EB61F2"/>
    <w:rsid w:val="00EB622E"/>
    <w:rsid w:val="00EB624D"/>
    <w:rsid w:val="00EB628F"/>
    <w:rsid w:val="00EB62DE"/>
    <w:rsid w:val="00EB6366"/>
    <w:rsid w:val="00EB6379"/>
    <w:rsid w:val="00EB6395"/>
    <w:rsid w:val="00EB63D4"/>
    <w:rsid w:val="00EB63E2"/>
    <w:rsid w:val="00EB63EA"/>
    <w:rsid w:val="00EB642F"/>
    <w:rsid w:val="00EB6431"/>
    <w:rsid w:val="00EB6499"/>
    <w:rsid w:val="00EB64BA"/>
    <w:rsid w:val="00EB6553"/>
    <w:rsid w:val="00EB65E9"/>
    <w:rsid w:val="00EB6610"/>
    <w:rsid w:val="00EB662A"/>
    <w:rsid w:val="00EB662B"/>
    <w:rsid w:val="00EB66CE"/>
    <w:rsid w:val="00EB6740"/>
    <w:rsid w:val="00EB6750"/>
    <w:rsid w:val="00EB680A"/>
    <w:rsid w:val="00EB6833"/>
    <w:rsid w:val="00EB68F5"/>
    <w:rsid w:val="00EB69B6"/>
    <w:rsid w:val="00EB69B7"/>
    <w:rsid w:val="00EB6A02"/>
    <w:rsid w:val="00EB6A3D"/>
    <w:rsid w:val="00EB6B1D"/>
    <w:rsid w:val="00EB6B71"/>
    <w:rsid w:val="00EB6BA6"/>
    <w:rsid w:val="00EB6C2B"/>
    <w:rsid w:val="00EB6C9E"/>
    <w:rsid w:val="00EB6D53"/>
    <w:rsid w:val="00EB6D83"/>
    <w:rsid w:val="00EB6D89"/>
    <w:rsid w:val="00EB6DF9"/>
    <w:rsid w:val="00EB6E4A"/>
    <w:rsid w:val="00EB6E78"/>
    <w:rsid w:val="00EB6ECD"/>
    <w:rsid w:val="00EB6F35"/>
    <w:rsid w:val="00EB6F48"/>
    <w:rsid w:val="00EB6F57"/>
    <w:rsid w:val="00EB6F5E"/>
    <w:rsid w:val="00EB6FD3"/>
    <w:rsid w:val="00EB6FE5"/>
    <w:rsid w:val="00EB6FEE"/>
    <w:rsid w:val="00EB7013"/>
    <w:rsid w:val="00EB704C"/>
    <w:rsid w:val="00EB7051"/>
    <w:rsid w:val="00EB705E"/>
    <w:rsid w:val="00EB70B6"/>
    <w:rsid w:val="00EB70B9"/>
    <w:rsid w:val="00EB70BA"/>
    <w:rsid w:val="00EB7197"/>
    <w:rsid w:val="00EB7214"/>
    <w:rsid w:val="00EB721A"/>
    <w:rsid w:val="00EB7234"/>
    <w:rsid w:val="00EB7370"/>
    <w:rsid w:val="00EB7418"/>
    <w:rsid w:val="00EB7440"/>
    <w:rsid w:val="00EB7535"/>
    <w:rsid w:val="00EB757D"/>
    <w:rsid w:val="00EB7642"/>
    <w:rsid w:val="00EB765E"/>
    <w:rsid w:val="00EB7663"/>
    <w:rsid w:val="00EB7664"/>
    <w:rsid w:val="00EB7686"/>
    <w:rsid w:val="00EB76AB"/>
    <w:rsid w:val="00EB76DB"/>
    <w:rsid w:val="00EB76E4"/>
    <w:rsid w:val="00EB771A"/>
    <w:rsid w:val="00EB7742"/>
    <w:rsid w:val="00EB77BC"/>
    <w:rsid w:val="00EB77D7"/>
    <w:rsid w:val="00EB7821"/>
    <w:rsid w:val="00EB7832"/>
    <w:rsid w:val="00EB7865"/>
    <w:rsid w:val="00EB78C9"/>
    <w:rsid w:val="00EB797F"/>
    <w:rsid w:val="00EB7988"/>
    <w:rsid w:val="00EB79D6"/>
    <w:rsid w:val="00EB79ED"/>
    <w:rsid w:val="00EB79F6"/>
    <w:rsid w:val="00EB7A93"/>
    <w:rsid w:val="00EB7AC6"/>
    <w:rsid w:val="00EB7B5B"/>
    <w:rsid w:val="00EB7BAE"/>
    <w:rsid w:val="00EB7C61"/>
    <w:rsid w:val="00EB7DB0"/>
    <w:rsid w:val="00EB7DB7"/>
    <w:rsid w:val="00EB7DE1"/>
    <w:rsid w:val="00EB7E0D"/>
    <w:rsid w:val="00EB7E23"/>
    <w:rsid w:val="00EB7E4A"/>
    <w:rsid w:val="00EB7E9A"/>
    <w:rsid w:val="00EB7F71"/>
    <w:rsid w:val="00EB7FA3"/>
    <w:rsid w:val="00EC0016"/>
    <w:rsid w:val="00EC005E"/>
    <w:rsid w:val="00EC018F"/>
    <w:rsid w:val="00EC01D2"/>
    <w:rsid w:val="00EC01E6"/>
    <w:rsid w:val="00EC0202"/>
    <w:rsid w:val="00EC0236"/>
    <w:rsid w:val="00EC0239"/>
    <w:rsid w:val="00EC029F"/>
    <w:rsid w:val="00EC032D"/>
    <w:rsid w:val="00EC0466"/>
    <w:rsid w:val="00EC04A8"/>
    <w:rsid w:val="00EC0502"/>
    <w:rsid w:val="00EC05D8"/>
    <w:rsid w:val="00EC05ED"/>
    <w:rsid w:val="00EC06BA"/>
    <w:rsid w:val="00EC06C3"/>
    <w:rsid w:val="00EC073E"/>
    <w:rsid w:val="00EC077C"/>
    <w:rsid w:val="00EC07DC"/>
    <w:rsid w:val="00EC089B"/>
    <w:rsid w:val="00EC091C"/>
    <w:rsid w:val="00EC09C4"/>
    <w:rsid w:val="00EC0A46"/>
    <w:rsid w:val="00EC0A5D"/>
    <w:rsid w:val="00EC0A9B"/>
    <w:rsid w:val="00EC0ABF"/>
    <w:rsid w:val="00EC0ACB"/>
    <w:rsid w:val="00EC0AD3"/>
    <w:rsid w:val="00EC0AED"/>
    <w:rsid w:val="00EC0BD8"/>
    <w:rsid w:val="00EC0C5C"/>
    <w:rsid w:val="00EC0D9D"/>
    <w:rsid w:val="00EC0E0F"/>
    <w:rsid w:val="00EC0E45"/>
    <w:rsid w:val="00EC0EAC"/>
    <w:rsid w:val="00EC0F95"/>
    <w:rsid w:val="00EC0FAC"/>
    <w:rsid w:val="00EC0FB4"/>
    <w:rsid w:val="00EC103E"/>
    <w:rsid w:val="00EC106C"/>
    <w:rsid w:val="00EC1143"/>
    <w:rsid w:val="00EC1209"/>
    <w:rsid w:val="00EC1262"/>
    <w:rsid w:val="00EC1333"/>
    <w:rsid w:val="00EC133C"/>
    <w:rsid w:val="00EC139C"/>
    <w:rsid w:val="00EC1405"/>
    <w:rsid w:val="00EC1455"/>
    <w:rsid w:val="00EC1467"/>
    <w:rsid w:val="00EC146A"/>
    <w:rsid w:val="00EC14BD"/>
    <w:rsid w:val="00EC14DD"/>
    <w:rsid w:val="00EC154C"/>
    <w:rsid w:val="00EC158E"/>
    <w:rsid w:val="00EC15AA"/>
    <w:rsid w:val="00EC15C8"/>
    <w:rsid w:val="00EC15D8"/>
    <w:rsid w:val="00EC1700"/>
    <w:rsid w:val="00EC1750"/>
    <w:rsid w:val="00EC178C"/>
    <w:rsid w:val="00EC17F4"/>
    <w:rsid w:val="00EC1807"/>
    <w:rsid w:val="00EC1832"/>
    <w:rsid w:val="00EC186A"/>
    <w:rsid w:val="00EC1935"/>
    <w:rsid w:val="00EC197D"/>
    <w:rsid w:val="00EC19A9"/>
    <w:rsid w:val="00EC1A1A"/>
    <w:rsid w:val="00EC1A25"/>
    <w:rsid w:val="00EC1A27"/>
    <w:rsid w:val="00EC1A59"/>
    <w:rsid w:val="00EC1A97"/>
    <w:rsid w:val="00EC1B19"/>
    <w:rsid w:val="00EC1B6B"/>
    <w:rsid w:val="00EC1B8B"/>
    <w:rsid w:val="00EC1BF0"/>
    <w:rsid w:val="00EC1BFD"/>
    <w:rsid w:val="00EC1D2F"/>
    <w:rsid w:val="00EC1D5C"/>
    <w:rsid w:val="00EC1D6F"/>
    <w:rsid w:val="00EC1D85"/>
    <w:rsid w:val="00EC1E0C"/>
    <w:rsid w:val="00EC1E90"/>
    <w:rsid w:val="00EC1EA2"/>
    <w:rsid w:val="00EC1EB7"/>
    <w:rsid w:val="00EC1EE1"/>
    <w:rsid w:val="00EC1F39"/>
    <w:rsid w:val="00EC1FF5"/>
    <w:rsid w:val="00EC2087"/>
    <w:rsid w:val="00EC212D"/>
    <w:rsid w:val="00EC213E"/>
    <w:rsid w:val="00EC2140"/>
    <w:rsid w:val="00EC2155"/>
    <w:rsid w:val="00EC218C"/>
    <w:rsid w:val="00EC2245"/>
    <w:rsid w:val="00EC23D1"/>
    <w:rsid w:val="00EC241E"/>
    <w:rsid w:val="00EC242A"/>
    <w:rsid w:val="00EC2468"/>
    <w:rsid w:val="00EC24B8"/>
    <w:rsid w:val="00EC2655"/>
    <w:rsid w:val="00EC270E"/>
    <w:rsid w:val="00EC2757"/>
    <w:rsid w:val="00EC2798"/>
    <w:rsid w:val="00EC27C6"/>
    <w:rsid w:val="00EC27D6"/>
    <w:rsid w:val="00EC2825"/>
    <w:rsid w:val="00EC2882"/>
    <w:rsid w:val="00EC2890"/>
    <w:rsid w:val="00EC291A"/>
    <w:rsid w:val="00EC297D"/>
    <w:rsid w:val="00EC297E"/>
    <w:rsid w:val="00EC299D"/>
    <w:rsid w:val="00EC29AB"/>
    <w:rsid w:val="00EC29B4"/>
    <w:rsid w:val="00EC2A55"/>
    <w:rsid w:val="00EC2AA1"/>
    <w:rsid w:val="00EC2B17"/>
    <w:rsid w:val="00EC2B69"/>
    <w:rsid w:val="00EC2C40"/>
    <w:rsid w:val="00EC2C73"/>
    <w:rsid w:val="00EC2D91"/>
    <w:rsid w:val="00EC2D96"/>
    <w:rsid w:val="00EC2DC3"/>
    <w:rsid w:val="00EC2E41"/>
    <w:rsid w:val="00EC2E85"/>
    <w:rsid w:val="00EC2ECB"/>
    <w:rsid w:val="00EC2EF2"/>
    <w:rsid w:val="00EC2F70"/>
    <w:rsid w:val="00EC2FA0"/>
    <w:rsid w:val="00EC2FE5"/>
    <w:rsid w:val="00EC3039"/>
    <w:rsid w:val="00EC3080"/>
    <w:rsid w:val="00EC30B5"/>
    <w:rsid w:val="00EC30B7"/>
    <w:rsid w:val="00EC30D9"/>
    <w:rsid w:val="00EC311A"/>
    <w:rsid w:val="00EC31A1"/>
    <w:rsid w:val="00EC31A7"/>
    <w:rsid w:val="00EC31DE"/>
    <w:rsid w:val="00EC3214"/>
    <w:rsid w:val="00EC3272"/>
    <w:rsid w:val="00EC32F2"/>
    <w:rsid w:val="00EC3308"/>
    <w:rsid w:val="00EC33C6"/>
    <w:rsid w:val="00EC343B"/>
    <w:rsid w:val="00EC344B"/>
    <w:rsid w:val="00EC34EC"/>
    <w:rsid w:val="00EC3553"/>
    <w:rsid w:val="00EC35DE"/>
    <w:rsid w:val="00EC360F"/>
    <w:rsid w:val="00EC373A"/>
    <w:rsid w:val="00EC383A"/>
    <w:rsid w:val="00EC38A1"/>
    <w:rsid w:val="00EC3928"/>
    <w:rsid w:val="00EC395D"/>
    <w:rsid w:val="00EC39C1"/>
    <w:rsid w:val="00EC39E1"/>
    <w:rsid w:val="00EC3A09"/>
    <w:rsid w:val="00EC3A80"/>
    <w:rsid w:val="00EC3AF4"/>
    <w:rsid w:val="00EC3B1E"/>
    <w:rsid w:val="00EC3B20"/>
    <w:rsid w:val="00EC3C27"/>
    <w:rsid w:val="00EC3C2F"/>
    <w:rsid w:val="00EC3C63"/>
    <w:rsid w:val="00EC3CB3"/>
    <w:rsid w:val="00EC3D31"/>
    <w:rsid w:val="00EC3D80"/>
    <w:rsid w:val="00EC3DAD"/>
    <w:rsid w:val="00EC3DBD"/>
    <w:rsid w:val="00EC3DEE"/>
    <w:rsid w:val="00EC3E17"/>
    <w:rsid w:val="00EC3E40"/>
    <w:rsid w:val="00EC3EA9"/>
    <w:rsid w:val="00EC3EDD"/>
    <w:rsid w:val="00EC3EE9"/>
    <w:rsid w:val="00EC3F27"/>
    <w:rsid w:val="00EC3FDA"/>
    <w:rsid w:val="00EC400B"/>
    <w:rsid w:val="00EC4031"/>
    <w:rsid w:val="00EC40FD"/>
    <w:rsid w:val="00EC412B"/>
    <w:rsid w:val="00EC4190"/>
    <w:rsid w:val="00EC4240"/>
    <w:rsid w:val="00EC4280"/>
    <w:rsid w:val="00EC434E"/>
    <w:rsid w:val="00EC43B5"/>
    <w:rsid w:val="00EC4407"/>
    <w:rsid w:val="00EC441B"/>
    <w:rsid w:val="00EC4425"/>
    <w:rsid w:val="00EC448F"/>
    <w:rsid w:val="00EC44E4"/>
    <w:rsid w:val="00EC450E"/>
    <w:rsid w:val="00EC453C"/>
    <w:rsid w:val="00EC4690"/>
    <w:rsid w:val="00EC46CF"/>
    <w:rsid w:val="00EC46FA"/>
    <w:rsid w:val="00EC471D"/>
    <w:rsid w:val="00EC4740"/>
    <w:rsid w:val="00EC4746"/>
    <w:rsid w:val="00EC47D3"/>
    <w:rsid w:val="00EC47D9"/>
    <w:rsid w:val="00EC47E6"/>
    <w:rsid w:val="00EC4944"/>
    <w:rsid w:val="00EC4952"/>
    <w:rsid w:val="00EC49FA"/>
    <w:rsid w:val="00EC4A05"/>
    <w:rsid w:val="00EC4A0C"/>
    <w:rsid w:val="00EC4A68"/>
    <w:rsid w:val="00EC4AFF"/>
    <w:rsid w:val="00EC4B34"/>
    <w:rsid w:val="00EC4B87"/>
    <w:rsid w:val="00EC4BD5"/>
    <w:rsid w:val="00EC4C65"/>
    <w:rsid w:val="00EC4CD6"/>
    <w:rsid w:val="00EC4CE8"/>
    <w:rsid w:val="00EC4CEC"/>
    <w:rsid w:val="00EC4D1B"/>
    <w:rsid w:val="00EC4DD8"/>
    <w:rsid w:val="00EC4DF8"/>
    <w:rsid w:val="00EC4E41"/>
    <w:rsid w:val="00EC4E5D"/>
    <w:rsid w:val="00EC4E67"/>
    <w:rsid w:val="00EC4E92"/>
    <w:rsid w:val="00EC4EEB"/>
    <w:rsid w:val="00EC4EFA"/>
    <w:rsid w:val="00EC4F04"/>
    <w:rsid w:val="00EC4F36"/>
    <w:rsid w:val="00EC4F6B"/>
    <w:rsid w:val="00EC4FEF"/>
    <w:rsid w:val="00EC501A"/>
    <w:rsid w:val="00EC50DC"/>
    <w:rsid w:val="00EC5109"/>
    <w:rsid w:val="00EC5173"/>
    <w:rsid w:val="00EC51EE"/>
    <w:rsid w:val="00EC5222"/>
    <w:rsid w:val="00EC526E"/>
    <w:rsid w:val="00EC52B2"/>
    <w:rsid w:val="00EC52C0"/>
    <w:rsid w:val="00EC534C"/>
    <w:rsid w:val="00EC541E"/>
    <w:rsid w:val="00EC547F"/>
    <w:rsid w:val="00EC5484"/>
    <w:rsid w:val="00EC54F2"/>
    <w:rsid w:val="00EC551A"/>
    <w:rsid w:val="00EC5535"/>
    <w:rsid w:val="00EC554E"/>
    <w:rsid w:val="00EC5587"/>
    <w:rsid w:val="00EC55E0"/>
    <w:rsid w:val="00EC5657"/>
    <w:rsid w:val="00EC5676"/>
    <w:rsid w:val="00EC56AA"/>
    <w:rsid w:val="00EC56F7"/>
    <w:rsid w:val="00EC5755"/>
    <w:rsid w:val="00EC57BD"/>
    <w:rsid w:val="00EC57E1"/>
    <w:rsid w:val="00EC593C"/>
    <w:rsid w:val="00EC59A6"/>
    <w:rsid w:val="00EC59E0"/>
    <w:rsid w:val="00EC5A79"/>
    <w:rsid w:val="00EC5B34"/>
    <w:rsid w:val="00EC5B6F"/>
    <w:rsid w:val="00EC5BC4"/>
    <w:rsid w:val="00EC5C04"/>
    <w:rsid w:val="00EC5C0A"/>
    <w:rsid w:val="00EC5C34"/>
    <w:rsid w:val="00EC5CD4"/>
    <w:rsid w:val="00EC5DEF"/>
    <w:rsid w:val="00EC5E19"/>
    <w:rsid w:val="00EC5E1E"/>
    <w:rsid w:val="00EC5EEF"/>
    <w:rsid w:val="00EC5F05"/>
    <w:rsid w:val="00EC5F23"/>
    <w:rsid w:val="00EC6019"/>
    <w:rsid w:val="00EC6025"/>
    <w:rsid w:val="00EC6059"/>
    <w:rsid w:val="00EC60D2"/>
    <w:rsid w:val="00EC6105"/>
    <w:rsid w:val="00EC6106"/>
    <w:rsid w:val="00EC610A"/>
    <w:rsid w:val="00EC6147"/>
    <w:rsid w:val="00EC61BE"/>
    <w:rsid w:val="00EC61BF"/>
    <w:rsid w:val="00EC6250"/>
    <w:rsid w:val="00EC6289"/>
    <w:rsid w:val="00EC628B"/>
    <w:rsid w:val="00EC62E4"/>
    <w:rsid w:val="00EC6329"/>
    <w:rsid w:val="00EC6332"/>
    <w:rsid w:val="00EC637F"/>
    <w:rsid w:val="00EC63A9"/>
    <w:rsid w:val="00EC63F2"/>
    <w:rsid w:val="00EC640A"/>
    <w:rsid w:val="00EC640F"/>
    <w:rsid w:val="00EC6440"/>
    <w:rsid w:val="00EC64FB"/>
    <w:rsid w:val="00EC6548"/>
    <w:rsid w:val="00EC6585"/>
    <w:rsid w:val="00EC65AA"/>
    <w:rsid w:val="00EC65C0"/>
    <w:rsid w:val="00EC65CF"/>
    <w:rsid w:val="00EC6617"/>
    <w:rsid w:val="00EC666C"/>
    <w:rsid w:val="00EC666F"/>
    <w:rsid w:val="00EC6692"/>
    <w:rsid w:val="00EC675B"/>
    <w:rsid w:val="00EC676C"/>
    <w:rsid w:val="00EC677C"/>
    <w:rsid w:val="00EC6792"/>
    <w:rsid w:val="00EC67F0"/>
    <w:rsid w:val="00EC681B"/>
    <w:rsid w:val="00EC685F"/>
    <w:rsid w:val="00EC686F"/>
    <w:rsid w:val="00EC6899"/>
    <w:rsid w:val="00EC689B"/>
    <w:rsid w:val="00EC68F3"/>
    <w:rsid w:val="00EC6907"/>
    <w:rsid w:val="00EC690B"/>
    <w:rsid w:val="00EC697D"/>
    <w:rsid w:val="00EC6A4E"/>
    <w:rsid w:val="00EC6A75"/>
    <w:rsid w:val="00EC6AAF"/>
    <w:rsid w:val="00EC6AD7"/>
    <w:rsid w:val="00EC6B20"/>
    <w:rsid w:val="00EC6B29"/>
    <w:rsid w:val="00EC6B62"/>
    <w:rsid w:val="00EC6B6E"/>
    <w:rsid w:val="00EC6BAE"/>
    <w:rsid w:val="00EC6BF5"/>
    <w:rsid w:val="00EC6C23"/>
    <w:rsid w:val="00EC6C3D"/>
    <w:rsid w:val="00EC6C4B"/>
    <w:rsid w:val="00EC6D2D"/>
    <w:rsid w:val="00EC6D40"/>
    <w:rsid w:val="00EC6D61"/>
    <w:rsid w:val="00EC6D7C"/>
    <w:rsid w:val="00EC6DFB"/>
    <w:rsid w:val="00EC6E98"/>
    <w:rsid w:val="00EC6F07"/>
    <w:rsid w:val="00EC6F5F"/>
    <w:rsid w:val="00EC6FA2"/>
    <w:rsid w:val="00EC6FD6"/>
    <w:rsid w:val="00EC6FFE"/>
    <w:rsid w:val="00EC7155"/>
    <w:rsid w:val="00EC715E"/>
    <w:rsid w:val="00EC717B"/>
    <w:rsid w:val="00EC717E"/>
    <w:rsid w:val="00EC71A8"/>
    <w:rsid w:val="00EC71CE"/>
    <w:rsid w:val="00EC7223"/>
    <w:rsid w:val="00EC7260"/>
    <w:rsid w:val="00EC7293"/>
    <w:rsid w:val="00EC7336"/>
    <w:rsid w:val="00EC74DA"/>
    <w:rsid w:val="00EC7553"/>
    <w:rsid w:val="00EC7559"/>
    <w:rsid w:val="00EC765A"/>
    <w:rsid w:val="00EC766F"/>
    <w:rsid w:val="00EC768B"/>
    <w:rsid w:val="00EC76B0"/>
    <w:rsid w:val="00EC7705"/>
    <w:rsid w:val="00EC773A"/>
    <w:rsid w:val="00EC77D1"/>
    <w:rsid w:val="00EC7900"/>
    <w:rsid w:val="00EC794C"/>
    <w:rsid w:val="00EC7954"/>
    <w:rsid w:val="00EC7957"/>
    <w:rsid w:val="00EC795A"/>
    <w:rsid w:val="00EC79C9"/>
    <w:rsid w:val="00EC7A2C"/>
    <w:rsid w:val="00EC7A42"/>
    <w:rsid w:val="00EC7B83"/>
    <w:rsid w:val="00EC7BA0"/>
    <w:rsid w:val="00EC7BD5"/>
    <w:rsid w:val="00EC7C24"/>
    <w:rsid w:val="00EC7CC7"/>
    <w:rsid w:val="00EC7CDC"/>
    <w:rsid w:val="00EC7D36"/>
    <w:rsid w:val="00EC7DC2"/>
    <w:rsid w:val="00EC7E1A"/>
    <w:rsid w:val="00EC7E1E"/>
    <w:rsid w:val="00EC7E58"/>
    <w:rsid w:val="00EC7E79"/>
    <w:rsid w:val="00EC7E91"/>
    <w:rsid w:val="00EC7F38"/>
    <w:rsid w:val="00EC7F96"/>
    <w:rsid w:val="00EC7FB7"/>
    <w:rsid w:val="00EC7FDB"/>
    <w:rsid w:val="00EC7FDC"/>
    <w:rsid w:val="00ED0009"/>
    <w:rsid w:val="00ED0035"/>
    <w:rsid w:val="00ED006E"/>
    <w:rsid w:val="00ED00E6"/>
    <w:rsid w:val="00ED0278"/>
    <w:rsid w:val="00ED027A"/>
    <w:rsid w:val="00ED02E7"/>
    <w:rsid w:val="00ED0368"/>
    <w:rsid w:val="00ED036D"/>
    <w:rsid w:val="00ED039A"/>
    <w:rsid w:val="00ED0443"/>
    <w:rsid w:val="00ED0477"/>
    <w:rsid w:val="00ED04B6"/>
    <w:rsid w:val="00ED0506"/>
    <w:rsid w:val="00ED055A"/>
    <w:rsid w:val="00ED0606"/>
    <w:rsid w:val="00ED0637"/>
    <w:rsid w:val="00ED0694"/>
    <w:rsid w:val="00ED06DA"/>
    <w:rsid w:val="00ED06F9"/>
    <w:rsid w:val="00ED0726"/>
    <w:rsid w:val="00ED0829"/>
    <w:rsid w:val="00ED0841"/>
    <w:rsid w:val="00ED08D8"/>
    <w:rsid w:val="00ED08E8"/>
    <w:rsid w:val="00ED093D"/>
    <w:rsid w:val="00ED09B7"/>
    <w:rsid w:val="00ED0A10"/>
    <w:rsid w:val="00ED0A7D"/>
    <w:rsid w:val="00ED0B32"/>
    <w:rsid w:val="00ED0B7B"/>
    <w:rsid w:val="00ED0C17"/>
    <w:rsid w:val="00ED0C23"/>
    <w:rsid w:val="00ED0C47"/>
    <w:rsid w:val="00ED0C70"/>
    <w:rsid w:val="00ED0CD2"/>
    <w:rsid w:val="00ED0CF0"/>
    <w:rsid w:val="00ED0D4A"/>
    <w:rsid w:val="00ED0D86"/>
    <w:rsid w:val="00ED0DAF"/>
    <w:rsid w:val="00ED0E06"/>
    <w:rsid w:val="00ED0E27"/>
    <w:rsid w:val="00ED0E61"/>
    <w:rsid w:val="00ED0E6D"/>
    <w:rsid w:val="00ED0E75"/>
    <w:rsid w:val="00ED0ED5"/>
    <w:rsid w:val="00ED0EE9"/>
    <w:rsid w:val="00ED0F2E"/>
    <w:rsid w:val="00ED0F48"/>
    <w:rsid w:val="00ED0FE1"/>
    <w:rsid w:val="00ED102E"/>
    <w:rsid w:val="00ED108B"/>
    <w:rsid w:val="00ED10D5"/>
    <w:rsid w:val="00ED115C"/>
    <w:rsid w:val="00ED116C"/>
    <w:rsid w:val="00ED1188"/>
    <w:rsid w:val="00ED11B8"/>
    <w:rsid w:val="00ED11DE"/>
    <w:rsid w:val="00ED123D"/>
    <w:rsid w:val="00ED129B"/>
    <w:rsid w:val="00ED12D6"/>
    <w:rsid w:val="00ED1327"/>
    <w:rsid w:val="00ED1389"/>
    <w:rsid w:val="00ED13A2"/>
    <w:rsid w:val="00ED13AD"/>
    <w:rsid w:val="00ED13B8"/>
    <w:rsid w:val="00ED13F0"/>
    <w:rsid w:val="00ED13F4"/>
    <w:rsid w:val="00ED1484"/>
    <w:rsid w:val="00ED14A9"/>
    <w:rsid w:val="00ED1608"/>
    <w:rsid w:val="00ED1618"/>
    <w:rsid w:val="00ED166A"/>
    <w:rsid w:val="00ED1671"/>
    <w:rsid w:val="00ED171A"/>
    <w:rsid w:val="00ED176A"/>
    <w:rsid w:val="00ED17A9"/>
    <w:rsid w:val="00ED17BF"/>
    <w:rsid w:val="00ED1844"/>
    <w:rsid w:val="00ED18AB"/>
    <w:rsid w:val="00ED19AC"/>
    <w:rsid w:val="00ED19BC"/>
    <w:rsid w:val="00ED19C1"/>
    <w:rsid w:val="00ED19CB"/>
    <w:rsid w:val="00ED1A1B"/>
    <w:rsid w:val="00ED1A78"/>
    <w:rsid w:val="00ED1AC6"/>
    <w:rsid w:val="00ED1B15"/>
    <w:rsid w:val="00ED1B18"/>
    <w:rsid w:val="00ED1BE7"/>
    <w:rsid w:val="00ED1C03"/>
    <w:rsid w:val="00ED1C40"/>
    <w:rsid w:val="00ED1C62"/>
    <w:rsid w:val="00ED1C80"/>
    <w:rsid w:val="00ED1CDE"/>
    <w:rsid w:val="00ED1D31"/>
    <w:rsid w:val="00ED1D55"/>
    <w:rsid w:val="00ED1DB8"/>
    <w:rsid w:val="00ED1DBB"/>
    <w:rsid w:val="00ED1DF8"/>
    <w:rsid w:val="00ED1E4F"/>
    <w:rsid w:val="00ED1E71"/>
    <w:rsid w:val="00ED1EBD"/>
    <w:rsid w:val="00ED1EC8"/>
    <w:rsid w:val="00ED1EEE"/>
    <w:rsid w:val="00ED1F11"/>
    <w:rsid w:val="00ED1F42"/>
    <w:rsid w:val="00ED1FC8"/>
    <w:rsid w:val="00ED1FFD"/>
    <w:rsid w:val="00ED2093"/>
    <w:rsid w:val="00ED210E"/>
    <w:rsid w:val="00ED21A7"/>
    <w:rsid w:val="00ED21B5"/>
    <w:rsid w:val="00ED21E7"/>
    <w:rsid w:val="00ED21F2"/>
    <w:rsid w:val="00ED21FB"/>
    <w:rsid w:val="00ED2263"/>
    <w:rsid w:val="00ED22FD"/>
    <w:rsid w:val="00ED2307"/>
    <w:rsid w:val="00ED2339"/>
    <w:rsid w:val="00ED234B"/>
    <w:rsid w:val="00ED23FE"/>
    <w:rsid w:val="00ED241F"/>
    <w:rsid w:val="00ED2462"/>
    <w:rsid w:val="00ED2483"/>
    <w:rsid w:val="00ED24C4"/>
    <w:rsid w:val="00ED251A"/>
    <w:rsid w:val="00ED2528"/>
    <w:rsid w:val="00ED2559"/>
    <w:rsid w:val="00ED2583"/>
    <w:rsid w:val="00ED2585"/>
    <w:rsid w:val="00ED2595"/>
    <w:rsid w:val="00ED25F6"/>
    <w:rsid w:val="00ED25FB"/>
    <w:rsid w:val="00ED25FC"/>
    <w:rsid w:val="00ED2686"/>
    <w:rsid w:val="00ED2691"/>
    <w:rsid w:val="00ED269B"/>
    <w:rsid w:val="00ED26A9"/>
    <w:rsid w:val="00ED277F"/>
    <w:rsid w:val="00ED27DC"/>
    <w:rsid w:val="00ED288D"/>
    <w:rsid w:val="00ED28A5"/>
    <w:rsid w:val="00ED28E3"/>
    <w:rsid w:val="00ED2988"/>
    <w:rsid w:val="00ED298D"/>
    <w:rsid w:val="00ED2A91"/>
    <w:rsid w:val="00ED2B84"/>
    <w:rsid w:val="00ED2BA3"/>
    <w:rsid w:val="00ED2C6C"/>
    <w:rsid w:val="00ED2CDD"/>
    <w:rsid w:val="00ED2D6C"/>
    <w:rsid w:val="00ED2DAD"/>
    <w:rsid w:val="00ED2E8A"/>
    <w:rsid w:val="00ED2ECF"/>
    <w:rsid w:val="00ED2F16"/>
    <w:rsid w:val="00ED2F59"/>
    <w:rsid w:val="00ED305F"/>
    <w:rsid w:val="00ED30AB"/>
    <w:rsid w:val="00ED30D5"/>
    <w:rsid w:val="00ED30F8"/>
    <w:rsid w:val="00ED314B"/>
    <w:rsid w:val="00ED3176"/>
    <w:rsid w:val="00ED3189"/>
    <w:rsid w:val="00ED31EB"/>
    <w:rsid w:val="00ED31FF"/>
    <w:rsid w:val="00ED3204"/>
    <w:rsid w:val="00ED3220"/>
    <w:rsid w:val="00ED3249"/>
    <w:rsid w:val="00ED32F9"/>
    <w:rsid w:val="00ED337D"/>
    <w:rsid w:val="00ED33B9"/>
    <w:rsid w:val="00ED33F3"/>
    <w:rsid w:val="00ED34AF"/>
    <w:rsid w:val="00ED34E1"/>
    <w:rsid w:val="00ED35A5"/>
    <w:rsid w:val="00ED3627"/>
    <w:rsid w:val="00ED3649"/>
    <w:rsid w:val="00ED3655"/>
    <w:rsid w:val="00ED3659"/>
    <w:rsid w:val="00ED36F2"/>
    <w:rsid w:val="00ED3785"/>
    <w:rsid w:val="00ED3877"/>
    <w:rsid w:val="00ED38BA"/>
    <w:rsid w:val="00ED38DA"/>
    <w:rsid w:val="00ED38F6"/>
    <w:rsid w:val="00ED394A"/>
    <w:rsid w:val="00ED3A00"/>
    <w:rsid w:val="00ED3A8B"/>
    <w:rsid w:val="00ED3B6C"/>
    <w:rsid w:val="00ED3BEF"/>
    <w:rsid w:val="00ED3C95"/>
    <w:rsid w:val="00ED3CAF"/>
    <w:rsid w:val="00ED3D30"/>
    <w:rsid w:val="00ED3DF3"/>
    <w:rsid w:val="00ED3E0D"/>
    <w:rsid w:val="00ED3E1C"/>
    <w:rsid w:val="00ED3E9D"/>
    <w:rsid w:val="00ED3EEC"/>
    <w:rsid w:val="00ED3F82"/>
    <w:rsid w:val="00ED4043"/>
    <w:rsid w:val="00ED4074"/>
    <w:rsid w:val="00ED40AC"/>
    <w:rsid w:val="00ED4141"/>
    <w:rsid w:val="00ED41DC"/>
    <w:rsid w:val="00ED41DF"/>
    <w:rsid w:val="00ED4246"/>
    <w:rsid w:val="00ED424D"/>
    <w:rsid w:val="00ED4286"/>
    <w:rsid w:val="00ED42F8"/>
    <w:rsid w:val="00ED4354"/>
    <w:rsid w:val="00ED435D"/>
    <w:rsid w:val="00ED4385"/>
    <w:rsid w:val="00ED43C1"/>
    <w:rsid w:val="00ED45A0"/>
    <w:rsid w:val="00ED45B6"/>
    <w:rsid w:val="00ED479E"/>
    <w:rsid w:val="00ED479F"/>
    <w:rsid w:val="00ED47AD"/>
    <w:rsid w:val="00ED47BD"/>
    <w:rsid w:val="00ED47F8"/>
    <w:rsid w:val="00ED4847"/>
    <w:rsid w:val="00ED485C"/>
    <w:rsid w:val="00ED48D4"/>
    <w:rsid w:val="00ED48FC"/>
    <w:rsid w:val="00ED490A"/>
    <w:rsid w:val="00ED4926"/>
    <w:rsid w:val="00ED4935"/>
    <w:rsid w:val="00ED4AED"/>
    <w:rsid w:val="00ED4B5E"/>
    <w:rsid w:val="00ED4B99"/>
    <w:rsid w:val="00ED4C1A"/>
    <w:rsid w:val="00ED4C96"/>
    <w:rsid w:val="00ED4D10"/>
    <w:rsid w:val="00ED4D73"/>
    <w:rsid w:val="00ED4DD5"/>
    <w:rsid w:val="00ED4E68"/>
    <w:rsid w:val="00ED4ECC"/>
    <w:rsid w:val="00ED4F32"/>
    <w:rsid w:val="00ED4F62"/>
    <w:rsid w:val="00ED4F69"/>
    <w:rsid w:val="00ED4F90"/>
    <w:rsid w:val="00ED5055"/>
    <w:rsid w:val="00ED5073"/>
    <w:rsid w:val="00ED511D"/>
    <w:rsid w:val="00ED515C"/>
    <w:rsid w:val="00ED5268"/>
    <w:rsid w:val="00ED528A"/>
    <w:rsid w:val="00ED52BB"/>
    <w:rsid w:val="00ED52C9"/>
    <w:rsid w:val="00ED534E"/>
    <w:rsid w:val="00ED5391"/>
    <w:rsid w:val="00ED53BB"/>
    <w:rsid w:val="00ED5413"/>
    <w:rsid w:val="00ED5434"/>
    <w:rsid w:val="00ED5515"/>
    <w:rsid w:val="00ED555E"/>
    <w:rsid w:val="00ED55B5"/>
    <w:rsid w:val="00ED5753"/>
    <w:rsid w:val="00ED5767"/>
    <w:rsid w:val="00ED5794"/>
    <w:rsid w:val="00ED57BB"/>
    <w:rsid w:val="00ED5844"/>
    <w:rsid w:val="00ED58A8"/>
    <w:rsid w:val="00ED58C7"/>
    <w:rsid w:val="00ED58C9"/>
    <w:rsid w:val="00ED58E3"/>
    <w:rsid w:val="00ED5971"/>
    <w:rsid w:val="00ED5B1A"/>
    <w:rsid w:val="00ED5B1F"/>
    <w:rsid w:val="00ED5B87"/>
    <w:rsid w:val="00ED5B90"/>
    <w:rsid w:val="00ED5BD5"/>
    <w:rsid w:val="00ED5C18"/>
    <w:rsid w:val="00ED5C70"/>
    <w:rsid w:val="00ED5CA0"/>
    <w:rsid w:val="00ED5CAA"/>
    <w:rsid w:val="00ED5D75"/>
    <w:rsid w:val="00ED5D8C"/>
    <w:rsid w:val="00ED5DDB"/>
    <w:rsid w:val="00ED5E3B"/>
    <w:rsid w:val="00ED5E53"/>
    <w:rsid w:val="00ED5EBB"/>
    <w:rsid w:val="00ED5F37"/>
    <w:rsid w:val="00ED601C"/>
    <w:rsid w:val="00ED6093"/>
    <w:rsid w:val="00ED60C7"/>
    <w:rsid w:val="00ED618E"/>
    <w:rsid w:val="00ED624B"/>
    <w:rsid w:val="00ED64D0"/>
    <w:rsid w:val="00ED655C"/>
    <w:rsid w:val="00ED657A"/>
    <w:rsid w:val="00ED65E8"/>
    <w:rsid w:val="00ED664E"/>
    <w:rsid w:val="00ED667A"/>
    <w:rsid w:val="00ED6699"/>
    <w:rsid w:val="00ED66A7"/>
    <w:rsid w:val="00ED6714"/>
    <w:rsid w:val="00ED673F"/>
    <w:rsid w:val="00ED679B"/>
    <w:rsid w:val="00ED67DD"/>
    <w:rsid w:val="00ED6804"/>
    <w:rsid w:val="00ED6815"/>
    <w:rsid w:val="00ED68D5"/>
    <w:rsid w:val="00ED68F6"/>
    <w:rsid w:val="00ED6900"/>
    <w:rsid w:val="00ED6918"/>
    <w:rsid w:val="00ED691B"/>
    <w:rsid w:val="00ED69AD"/>
    <w:rsid w:val="00ED69DA"/>
    <w:rsid w:val="00ED6A18"/>
    <w:rsid w:val="00ED6A20"/>
    <w:rsid w:val="00ED6AF1"/>
    <w:rsid w:val="00ED6B05"/>
    <w:rsid w:val="00ED6B38"/>
    <w:rsid w:val="00ED6B47"/>
    <w:rsid w:val="00ED6B74"/>
    <w:rsid w:val="00ED6BAA"/>
    <w:rsid w:val="00ED6BD9"/>
    <w:rsid w:val="00ED6BED"/>
    <w:rsid w:val="00ED6C1B"/>
    <w:rsid w:val="00ED6C23"/>
    <w:rsid w:val="00ED6C99"/>
    <w:rsid w:val="00ED6CB7"/>
    <w:rsid w:val="00ED6CC2"/>
    <w:rsid w:val="00ED6CFD"/>
    <w:rsid w:val="00ED6D68"/>
    <w:rsid w:val="00ED6DB8"/>
    <w:rsid w:val="00ED6E9D"/>
    <w:rsid w:val="00ED6F03"/>
    <w:rsid w:val="00ED6FB7"/>
    <w:rsid w:val="00ED701D"/>
    <w:rsid w:val="00ED7070"/>
    <w:rsid w:val="00ED714B"/>
    <w:rsid w:val="00ED71E7"/>
    <w:rsid w:val="00ED72B7"/>
    <w:rsid w:val="00ED72E4"/>
    <w:rsid w:val="00ED7310"/>
    <w:rsid w:val="00ED7320"/>
    <w:rsid w:val="00ED732E"/>
    <w:rsid w:val="00ED7353"/>
    <w:rsid w:val="00ED743C"/>
    <w:rsid w:val="00ED7498"/>
    <w:rsid w:val="00ED74C5"/>
    <w:rsid w:val="00ED74C7"/>
    <w:rsid w:val="00ED75EA"/>
    <w:rsid w:val="00ED75F9"/>
    <w:rsid w:val="00ED76DB"/>
    <w:rsid w:val="00ED76EB"/>
    <w:rsid w:val="00ED770A"/>
    <w:rsid w:val="00ED7739"/>
    <w:rsid w:val="00ED77D1"/>
    <w:rsid w:val="00ED791E"/>
    <w:rsid w:val="00ED797D"/>
    <w:rsid w:val="00ED79FC"/>
    <w:rsid w:val="00ED7A36"/>
    <w:rsid w:val="00ED7A3B"/>
    <w:rsid w:val="00ED7A73"/>
    <w:rsid w:val="00ED7AC2"/>
    <w:rsid w:val="00ED7B83"/>
    <w:rsid w:val="00ED7CB8"/>
    <w:rsid w:val="00ED7CE1"/>
    <w:rsid w:val="00ED7D10"/>
    <w:rsid w:val="00ED7DC6"/>
    <w:rsid w:val="00ED7DCC"/>
    <w:rsid w:val="00ED7E52"/>
    <w:rsid w:val="00ED7E5F"/>
    <w:rsid w:val="00ED7E72"/>
    <w:rsid w:val="00ED7E9C"/>
    <w:rsid w:val="00ED7F09"/>
    <w:rsid w:val="00ED7F5C"/>
    <w:rsid w:val="00ED7F5F"/>
    <w:rsid w:val="00ED7FFD"/>
    <w:rsid w:val="00EE008D"/>
    <w:rsid w:val="00EE00B0"/>
    <w:rsid w:val="00EE0106"/>
    <w:rsid w:val="00EE0162"/>
    <w:rsid w:val="00EE016B"/>
    <w:rsid w:val="00EE0170"/>
    <w:rsid w:val="00EE0185"/>
    <w:rsid w:val="00EE019F"/>
    <w:rsid w:val="00EE01CA"/>
    <w:rsid w:val="00EE01DE"/>
    <w:rsid w:val="00EE02F6"/>
    <w:rsid w:val="00EE0366"/>
    <w:rsid w:val="00EE03B0"/>
    <w:rsid w:val="00EE03C0"/>
    <w:rsid w:val="00EE03C5"/>
    <w:rsid w:val="00EE046E"/>
    <w:rsid w:val="00EE05C0"/>
    <w:rsid w:val="00EE05CD"/>
    <w:rsid w:val="00EE05E2"/>
    <w:rsid w:val="00EE05F7"/>
    <w:rsid w:val="00EE0696"/>
    <w:rsid w:val="00EE07BA"/>
    <w:rsid w:val="00EE0806"/>
    <w:rsid w:val="00EE083C"/>
    <w:rsid w:val="00EE087B"/>
    <w:rsid w:val="00EE0A49"/>
    <w:rsid w:val="00EE0BD5"/>
    <w:rsid w:val="00EE0D1B"/>
    <w:rsid w:val="00EE0EE1"/>
    <w:rsid w:val="00EE0F81"/>
    <w:rsid w:val="00EE0FDC"/>
    <w:rsid w:val="00EE0FF1"/>
    <w:rsid w:val="00EE1004"/>
    <w:rsid w:val="00EE100E"/>
    <w:rsid w:val="00EE1010"/>
    <w:rsid w:val="00EE10B5"/>
    <w:rsid w:val="00EE10CB"/>
    <w:rsid w:val="00EE10FB"/>
    <w:rsid w:val="00EE1257"/>
    <w:rsid w:val="00EE1268"/>
    <w:rsid w:val="00EE128F"/>
    <w:rsid w:val="00EE12B6"/>
    <w:rsid w:val="00EE12BD"/>
    <w:rsid w:val="00EE1306"/>
    <w:rsid w:val="00EE13B9"/>
    <w:rsid w:val="00EE13F3"/>
    <w:rsid w:val="00EE15AC"/>
    <w:rsid w:val="00EE160F"/>
    <w:rsid w:val="00EE1636"/>
    <w:rsid w:val="00EE166A"/>
    <w:rsid w:val="00EE168B"/>
    <w:rsid w:val="00EE16C7"/>
    <w:rsid w:val="00EE1700"/>
    <w:rsid w:val="00EE1727"/>
    <w:rsid w:val="00EE1735"/>
    <w:rsid w:val="00EE178A"/>
    <w:rsid w:val="00EE183C"/>
    <w:rsid w:val="00EE1868"/>
    <w:rsid w:val="00EE189B"/>
    <w:rsid w:val="00EE1917"/>
    <w:rsid w:val="00EE1937"/>
    <w:rsid w:val="00EE195E"/>
    <w:rsid w:val="00EE19C0"/>
    <w:rsid w:val="00EE19E1"/>
    <w:rsid w:val="00EE1A52"/>
    <w:rsid w:val="00EE1A5E"/>
    <w:rsid w:val="00EE1A8E"/>
    <w:rsid w:val="00EE1AAA"/>
    <w:rsid w:val="00EE1AAB"/>
    <w:rsid w:val="00EE1B2C"/>
    <w:rsid w:val="00EE1B50"/>
    <w:rsid w:val="00EE1B7E"/>
    <w:rsid w:val="00EE1B87"/>
    <w:rsid w:val="00EE1BA6"/>
    <w:rsid w:val="00EE1BB6"/>
    <w:rsid w:val="00EE1C07"/>
    <w:rsid w:val="00EE1C72"/>
    <w:rsid w:val="00EE1CB2"/>
    <w:rsid w:val="00EE1D9D"/>
    <w:rsid w:val="00EE1DAE"/>
    <w:rsid w:val="00EE1EBC"/>
    <w:rsid w:val="00EE1F2B"/>
    <w:rsid w:val="00EE1F35"/>
    <w:rsid w:val="00EE1FB0"/>
    <w:rsid w:val="00EE200C"/>
    <w:rsid w:val="00EE2043"/>
    <w:rsid w:val="00EE205E"/>
    <w:rsid w:val="00EE207B"/>
    <w:rsid w:val="00EE2118"/>
    <w:rsid w:val="00EE2177"/>
    <w:rsid w:val="00EE21AD"/>
    <w:rsid w:val="00EE2221"/>
    <w:rsid w:val="00EE225F"/>
    <w:rsid w:val="00EE2261"/>
    <w:rsid w:val="00EE22A8"/>
    <w:rsid w:val="00EE22C0"/>
    <w:rsid w:val="00EE22C3"/>
    <w:rsid w:val="00EE2308"/>
    <w:rsid w:val="00EE23F1"/>
    <w:rsid w:val="00EE24D6"/>
    <w:rsid w:val="00EE24F3"/>
    <w:rsid w:val="00EE25B2"/>
    <w:rsid w:val="00EE25D2"/>
    <w:rsid w:val="00EE265C"/>
    <w:rsid w:val="00EE26DE"/>
    <w:rsid w:val="00EE26EC"/>
    <w:rsid w:val="00EE2703"/>
    <w:rsid w:val="00EE2747"/>
    <w:rsid w:val="00EE2788"/>
    <w:rsid w:val="00EE27D2"/>
    <w:rsid w:val="00EE2896"/>
    <w:rsid w:val="00EE28B0"/>
    <w:rsid w:val="00EE28D1"/>
    <w:rsid w:val="00EE28D9"/>
    <w:rsid w:val="00EE28F6"/>
    <w:rsid w:val="00EE2903"/>
    <w:rsid w:val="00EE2989"/>
    <w:rsid w:val="00EE29AF"/>
    <w:rsid w:val="00EE2A25"/>
    <w:rsid w:val="00EE2A36"/>
    <w:rsid w:val="00EE2A44"/>
    <w:rsid w:val="00EE2A55"/>
    <w:rsid w:val="00EE2A6E"/>
    <w:rsid w:val="00EE2B34"/>
    <w:rsid w:val="00EE2B8E"/>
    <w:rsid w:val="00EE2BB4"/>
    <w:rsid w:val="00EE2C0D"/>
    <w:rsid w:val="00EE2CA0"/>
    <w:rsid w:val="00EE2D83"/>
    <w:rsid w:val="00EE2E61"/>
    <w:rsid w:val="00EE2E8F"/>
    <w:rsid w:val="00EE2EC2"/>
    <w:rsid w:val="00EE2EDF"/>
    <w:rsid w:val="00EE2FCB"/>
    <w:rsid w:val="00EE30D2"/>
    <w:rsid w:val="00EE30D5"/>
    <w:rsid w:val="00EE3171"/>
    <w:rsid w:val="00EE31AE"/>
    <w:rsid w:val="00EE31B6"/>
    <w:rsid w:val="00EE31BC"/>
    <w:rsid w:val="00EE32C4"/>
    <w:rsid w:val="00EE3383"/>
    <w:rsid w:val="00EE339C"/>
    <w:rsid w:val="00EE339E"/>
    <w:rsid w:val="00EE33DC"/>
    <w:rsid w:val="00EE340A"/>
    <w:rsid w:val="00EE345B"/>
    <w:rsid w:val="00EE3467"/>
    <w:rsid w:val="00EE34C6"/>
    <w:rsid w:val="00EE34F8"/>
    <w:rsid w:val="00EE354B"/>
    <w:rsid w:val="00EE3566"/>
    <w:rsid w:val="00EE3624"/>
    <w:rsid w:val="00EE36B0"/>
    <w:rsid w:val="00EE371A"/>
    <w:rsid w:val="00EE378F"/>
    <w:rsid w:val="00EE379F"/>
    <w:rsid w:val="00EE37A9"/>
    <w:rsid w:val="00EE3842"/>
    <w:rsid w:val="00EE390B"/>
    <w:rsid w:val="00EE3924"/>
    <w:rsid w:val="00EE3958"/>
    <w:rsid w:val="00EE3984"/>
    <w:rsid w:val="00EE3A00"/>
    <w:rsid w:val="00EE3A68"/>
    <w:rsid w:val="00EE3A83"/>
    <w:rsid w:val="00EE3AA5"/>
    <w:rsid w:val="00EE3ABD"/>
    <w:rsid w:val="00EE3B72"/>
    <w:rsid w:val="00EE3B81"/>
    <w:rsid w:val="00EE3DA3"/>
    <w:rsid w:val="00EE3DB1"/>
    <w:rsid w:val="00EE3E12"/>
    <w:rsid w:val="00EE3E20"/>
    <w:rsid w:val="00EE3E53"/>
    <w:rsid w:val="00EE3E89"/>
    <w:rsid w:val="00EE3EF3"/>
    <w:rsid w:val="00EE3F6F"/>
    <w:rsid w:val="00EE4118"/>
    <w:rsid w:val="00EE41AF"/>
    <w:rsid w:val="00EE41FA"/>
    <w:rsid w:val="00EE429F"/>
    <w:rsid w:val="00EE42E1"/>
    <w:rsid w:val="00EE42E6"/>
    <w:rsid w:val="00EE42F4"/>
    <w:rsid w:val="00EE4302"/>
    <w:rsid w:val="00EE4317"/>
    <w:rsid w:val="00EE439E"/>
    <w:rsid w:val="00EE43C7"/>
    <w:rsid w:val="00EE43EC"/>
    <w:rsid w:val="00EE441F"/>
    <w:rsid w:val="00EE44D6"/>
    <w:rsid w:val="00EE450B"/>
    <w:rsid w:val="00EE45FA"/>
    <w:rsid w:val="00EE4608"/>
    <w:rsid w:val="00EE4616"/>
    <w:rsid w:val="00EE4658"/>
    <w:rsid w:val="00EE46AE"/>
    <w:rsid w:val="00EE472A"/>
    <w:rsid w:val="00EE47C8"/>
    <w:rsid w:val="00EE4863"/>
    <w:rsid w:val="00EE4898"/>
    <w:rsid w:val="00EE48AD"/>
    <w:rsid w:val="00EE4904"/>
    <w:rsid w:val="00EE4918"/>
    <w:rsid w:val="00EE4996"/>
    <w:rsid w:val="00EE49B4"/>
    <w:rsid w:val="00EE4A60"/>
    <w:rsid w:val="00EE4A9E"/>
    <w:rsid w:val="00EE4C15"/>
    <w:rsid w:val="00EE4C8B"/>
    <w:rsid w:val="00EE4CDE"/>
    <w:rsid w:val="00EE4D00"/>
    <w:rsid w:val="00EE4D3B"/>
    <w:rsid w:val="00EE4D3D"/>
    <w:rsid w:val="00EE4DBD"/>
    <w:rsid w:val="00EE4DD8"/>
    <w:rsid w:val="00EE4DE5"/>
    <w:rsid w:val="00EE4E3C"/>
    <w:rsid w:val="00EE4EB2"/>
    <w:rsid w:val="00EE4F23"/>
    <w:rsid w:val="00EE4F31"/>
    <w:rsid w:val="00EE4F82"/>
    <w:rsid w:val="00EE4FB9"/>
    <w:rsid w:val="00EE4FDF"/>
    <w:rsid w:val="00EE504D"/>
    <w:rsid w:val="00EE507D"/>
    <w:rsid w:val="00EE5117"/>
    <w:rsid w:val="00EE5183"/>
    <w:rsid w:val="00EE5189"/>
    <w:rsid w:val="00EE52D9"/>
    <w:rsid w:val="00EE530A"/>
    <w:rsid w:val="00EE5353"/>
    <w:rsid w:val="00EE53C6"/>
    <w:rsid w:val="00EE5432"/>
    <w:rsid w:val="00EE553E"/>
    <w:rsid w:val="00EE554B"/>
    <w:rsid w:val="00EE554D"/>
    <w:rsid w:val="00EE557A"/>
    <w:rsid w:val="00EE55B1"/>
    <w:rsid w:val="00EE5757"/>
    <w:rsid w:val="00EE5795"/>
    <w:rsid w:val="00EE5852"/>
    <w:rsid w:val="00EE5853"/>
    <w:rsid w:val="00EE58A0"/>
    <w:rsid w:val="00EE58B7"/>
    <w:rsid w:val="00EE58CE"/>
    <w:rsid w:val="00EE590C"/>
    <w:rsid w:val="00EE5947"/>
    <w:rsid w:val="00EE599B"/>
    <w:rsid w:val="00EE59AB"/>
    <w:rsid w:val="00EE5AAF"/>
    <w:rsid w:val="00EE5AD5"/>
    <w:rsid w:val="00EE5AE3"/>
    <w:rsid w:val="00EE5AEA"/>
    <w:rsid w:val="00EE5AF8"/>
    <w:rsid w:val="00EE5B24"/>
    <w:rsid w:val="00EE5B8B"/>
    <w:rsid w:val="00EE5BD8"/>
    <w:rsid w:val="00EE5BF7"/>
    <w:rsid w:val="00EE5C3D"/>
    <w:rsid w:val="00EE5C6E"/>
    <w:rsid w:val="00EE5CA5"/>
    <w:rsid w:val="00EE5CB4"/>
    <w:rsid w:val="00EE5D2F"/>
    <w:rsid w:val="00EE5DEA"/>
    <w:rsid w:val="00EE5E22"/>
    <w:rsid w:val="00EE5E2A"/>
    <w:rsid w:val="00EE5E85"/>
    <w:rsid w:val="00EE5E8F"/>
    <w:rsid w:val="00EE5EB1"/>
    <w:rsid w:val="00EE5ED8"/>
    <w:rsid w:val="00EE5EEE"/>
    <w:rsid w:val="00EE5F5F"/>
    <w:rsid w:val="00EE5F83"/>
    <w:rsid w:val="00EE5FB8"/>
    <w:rsid w:val="00EE5FE4"/>
    <w:rsid w:val="00EE6045"/>
    <w:rsid w:val="00EE6185"/>
    <w:rsid w:val="00EE6227"/>
    <w:rsid w:val="00EE6259"/>
    <w:rsid w:val="00EE6270"/>
    <w:rsid w:val="00EE6273"/>
    <w:rsid w:val="00EE643D"/>
    <w:rsid w:val="00EE64E9"/>
    <w:rsid w:val="00EE65C3"/>
    <w:rsid w:val="00EE6655"/>
    <w:rsid w:val="00EE6719"/>
    <w:rsid w:val="00EE6776"/>
    <w:rsid w:val="00EE679F"/>
    <w:rsid w:val="00EE67D9"/>
    <w:rsid w:val="00EE682E"/>
    <w:rsid w:val="00EE6879"/>
    <w:rsid w:val="00EE6892"/>
    <w:rsid w:val="00EE68A0"/>
    <w:rsid w:val="00EE68C7"/>
    <w:rsid w:val="00EE68DD"/>
    <w:rsid w:val="00EE690F"/>
    <w:rsid w:val="00EE6927"/>
    <w:rsid w:val="00EE6928"/>
    <w:rsid w:val="00EE6992"/>
    <w:rsid w:val="00EE6A00"/>
    <w:rsid w:val="00EE6A03"/>
    <w:rsid w:val="00EE6A1B"/>
    <w:rsid w:val="00EE6A38"/>
    <w:rsid w:val="00EE6A46"/>
    <w:rsid w:val="00EE6ADF"/>
    <w:rsid w:val="00EE6AED"/>
    <w:rsid w:val="00EE6B53"/>
    <w:rsid w:val="00EE6B68"/>
    <w:rsid w:val="00EE6BB5"/>
    <w:rsid w:val="00EE6C37"/>
    <w:rsid w:val="00EE6D00"/>
    <w:rsid w:val="00EE6D1B"/>
    <w:rsid w:val="00EE6D79"/>
    <w:rsid w:val="00EE6DA5"/>
    <w:rsid w:val="00EE6DC9"/>
    <w:rsid w:val="00EE6E47"/>
    <w:rsid w:val="00EE6ECD"/>
    <w:rsid w:val="00EE6F1C"/>
    <w:rsid w:val="00EE6F48"/>
    <w:rsid w:val="00EE7007"/>
    <w:rsid w:val="00EE7028"/>
    <w:rsid w:val="00EE7036"/>
    <w:rsid w:val="00EE7102"/>
    <w:rsid w:val="00EE715F"/>
    <w:rsid w:val="00EE717A"/>
    <w:rsid w:val="00EE7180"/>
    <w:rsid w:val="00EE71D0"/>
    <w:rsid w:val="00EE7265"/>
    <w:rsid w:val="00EE726D"/>
    <w:rsid w:val="00EE72B8"/>
    <w:rsid w:val="00EE72E5"/>
    <w:rsid w:val="00EE72F3"/>
    <w:rsid w:val="00EE7478"/>
    <w:rsid w:val="00EE74AF"/>
    <w:rsid w:val="00EE7516"/>
    <w:rsid w:val="00EE752A"/>
    <w:rsid w:val="00EE763F"/>
    <w:rsid w:val="00EE7703"/>
    <w:rsid w:val="00EE7741"/>
    <w:rsid w:val="00EE7830"/>
    <w:rsid w:val="00EE7846"/>
    <w:rsid w:val="00EE7871"/>
    <w:rsid w:val="00EE78C8"/>
    <w:rsid w:val="00EE78D3"/>
    <w:rsid w:val="00EE790F"/>
    <w:rsid w:val="00EE791F"/>
    <w:rsid w:val="00EE79C1"/>
    <w:rsid w:val="00EE79D1"/>
    <w:rsid w:val="00EE7A0E"/>
    <w:rsid w:val="00EE7AAA"/>
    <w:rsid w:val="00EE7ABF"/>
    <w:rsid w:val="00EE7B06"/>
    <w:rsid w:val="00EE7B09"/>
    <w:rsid w:val="00EE7BB4"/>
    <w:rsid w:val="00EE7BD5"/>
    <w:rsid w:val="00EE7C25"/>
    <w:rsid w:val="00EE7C27"/>
    <w:rsid w:val="00EE7C3B"/>
    <w:rsid w:val="00EE7C83"/>
    <w:rsid w:val="00EE7CEA"/>
    <w:rsid w:val="00EE7D3D"/>
    <w:rsid w:val="00EE7D7E"/>
    <w:rsid w:val="00EE7DDA"/>
    <w:rsid w:val="00EE7E06"/>
    <w:rsid w:val="00EE7F26"/>
    <w:rsid w:val="00EE7F80"/>
    <w:rsid w:val="00EE7F92"/>
    <w:rsid w:val="00EF0008"/>
    <w:rsid w:val="00EF001D"/>
    <w:rsid w:val="00EF00BE"/>
    <w:rsid w:val="00EF00E4"/>
    <w:rsid w:val="00EF011F"/>
    <w:rsid w:val="00EF01C9"/>
    <w:rsid w:val="00EF0228"/>
    <w:rsid w:val="00EF02B2"/>
    <w:rsid w:val="00EF033F"/>
    <w:rsid w:val="00EF03BA"/>
    <w:rsid w:val="00EF040A"/>
    <w:rsid w:val="00EF0421"/>
    <w:rsid w:val="00EF0428"/>
    <w:rsid w:val="00EF048B"/>
    <w:rsid w:val="00EF0516"/>
    <w:rsid w:val="00EF0527"/>
    <w:rsid w:val="00EF055B"/>
    <w:rsid w:val="00EF0579"/>
    <w:rsid w:val="00EF05BB"/>
    <w:rsid w:val="00EF05E8"/>
    <w:rsid w:val="00EF0634"/>
    <w:rsid w:val="00EF06A6"/>
    <w:rsid w:val="00EF06DA"/>
    <w:rsid w:val="00EF06F8"/>
    <w:rsid w:val="00EF0773"/>
    <w:rsid w:val="00EF081C"/>
    <w:rsid w:val="00EF08C0"/>
    <w:rsid w:val="00EF08FB"/>
    <w:rsid w:val="00EF090F"/>
    <w:rsid w:val="00EF0927"/>
    <w:rsid w:val="00EF094A"/>
    <w:rsid w:val="00EF0971"/>
    <w:rsid w:val="00EF0A3D"/>
    <w:rsid w:val="00EF0A57"/>
    <w:rsid w:val="00EF0A81"/>
    <w:rsid w:val="00EF0C0B"/>
    <w:rsid w:val="00EF0C2A"/>
    <w:rsid w:val="00EF0C42"/>
    <w:rsid w:val="00EF0C56"/>
    <w:rsid w:val="00EF0C79"/>
    <w:rsid w:val="00EF0DD7"/>
    <w:rsid w:val="00EF0E07"/>
    <w:rsid w:val="00EF0E41"/>
    <w:rsid w:val="00EF0E4B"/>
    <w:rsid w:val="00EF0E81"/>
    <w:rsid w:val="00EF0EDB"/>
    <w:rsid w:val="00EF0F2B"/>
    <w:rsid w:val="00EF0F4E"/>
    <w:rsid w:val="00EF0FB4"/>
    <w:rsid w:val="00EF0FFD"/>
    <w:rsid w:val="00EF1072"/>
    <w:rsid w:val="00EF1096"/>
    <w:rsid w:val="00EF10AA"/>
    <w:rsid w:val="00EF110C"/>
    <w:rsid w:val="00EF113C"/>
    <w:rsid w:val="00EF115C"/>
    <w:rsid w:val="00EF115E"/>
    <w:rsid w:val="00EF1260"/>
    <w:rsid w:val="00EF12E6"/>
    <w:rsid w:val="00EF1302"/>
    <w:rsid w:val="00EF1363"/>
    <w:rsid w:val="00EF14E8"/>
    <w:rsid w:val="00EF157D"/>
    <w:rsid w:val="00EF167D"/>
    <w:rsid w:val="00EF1842"/>
    <w:rsid w:val="00EF18D9"/>
    <w:rsid w:val="00EF1901"/>
    <w:rsid w:val="00EF1916"/>
    <w:rsid w:val="00EF1996"/>
    <w:rsid w:val="00EF19A5"/>
    <w:rsid w:val="00EF1A51"/>
    <w:rsid w:val="00EF1A57"/>
    <w:rsid w:val="00EF1AF7"/>
    <w:rsid w:val="00EF1B46"/>
    <w:rsid w:val="00EF1B69"/>
    <w:rsid w:val="00EF1B75"/>
    <w:rsid w:val="00EF1B8D"/>
    <w:rsid w:val="00EF1BAE"/>
    <w:rsid w:val="00EF1BD2"/>
    <w:rsid w:val="00EF1BF0"/>
    <w:rsid w:val="00EF1CCD"/>
    <w:rsid w:val="00EF1CF1"/>
    <w:rsid w:val="00EF1D76"/>
    <w:rsid w:val="00EF1D9E"/>
    <w:rsid w:val="00EF1E9E"/>
    <w:rsid w:val="00EF1F8C"/>
    <w:rsid w:val="00EF207E"/>
    <w:rsid w:val="00EF20FE"/>
    <w:rsid w:val="00EF21F8"/>
    <w:rsid w:val="00EF2318"/>
    <w:rsid w:val="00EF2412"/>
    <w:rsid w:val="00EF244B"/>
    <w:rsid w:val="00EF24AE"/>
    <w:rsid w:val="00EF2578"/>
    <w:rsid w:val="00EF257E"/>
    <w:rsid w:val="00EF2585"/>
    <w:rsid w:val="00EF2599"/>
    <w:rsid w:val="00EF2622"/>
    <w:rsid w:val="00EF275C"/>
    <w:rsid w:val="00EF2792"/>
    <w:rsid w:val="00EF2795"/>
    <w:rsid w:val="00EF27A7"/>
    <w:rsid w:val="00EF27BC"/>
    <w:rsid w:val="00EF27CF"/>
    <w:rsid w:val="00EF2829"/>
    <w:rsid w:val="00EF2854"/>
    <w:rsid w:val="00EF2877"/>
    <w:rsid w:val="00EF28CF"/>
    <w:rsid w:val="00EF28EE"/>
    <w:rsid w:val="00EF28F5"/>
    <w:rsid w:val="00EF2923"/>
    <w:rsid w:val="00EF292B"/>
    <w:rsid w:val="00EF2967"/>
    <w:rsid w:val="00EF2978"/>
    <w:rsid w:val="00EF29CD"/>
    <w:rsid w:val="00EF2A6F"/>
    <w:rsid w:val="00EF2ABA"/>
    <w:rsid w:val="00EF2B55"/>
    <w:rsid w:val="00EF2B5F"/>
    <w:rsid w:val="00EF2B6D"/>
    <w:rsid w:val="00EF2BE1"/>
    <w:rsid w:val="00EF2C04"/>
    <w:rsid w:val="00EF2CB6"/>
    <w:rsid w:val="00EF2D26"/>
    <w:rsid w:val="00EF2E32"/>
    <w:rsid w:val="00EF2E59"/>
    <w:rsid w:val="00EF2E7A"/>
    <w:rsid w:val="00EF2E97"/>
    <w:rsid w:val="00EF2E99"/>
    <w:rsid w:val="00EF2F5A"/>
    <w:rsid w:val="00EF3047"/>
    <w:rsid w:val="00EF308C"/>
    <w:rsid w:val="00EF3247"/>
    <w:rsid w:val="00EF326D"/>
    <w:rsid w:val="00EF33FF"/>
    <w:rsid w:val="00EF3487"/>
    <w:rsid w:val="00EF3497"/>
    <w:rsid w:val="00EF34A3"/>
    <w:rsid w:val="00EF34F9"/>
    <w:rsid w:val="00EF3505"/>
    <w:rsid w:val="00EF3552"/>
    <w:rsid w:val="00EF3561"/>
    <w:rsid w:val="00EF357A"/>
    <w:rsid w:val="00EF358D"/>
    <w:rsid w:val="00EF36E9"/>
    <w:rsid w:val="00EF39DB"/>
    <w:rsid w:val="00EF39ED"/>
    <w:rsid w:val="00EF3A2F"/>
    <w:rsid w:val="00EF3A4B"/>
    <w:rsid w:val="00EF3A5E"/>
    <w:rsid w:val="00EF3B10"/>
    <w:rsid w:val="00EF3B19"/>
    <w:rsid w:val="00EF3C02"/>
    <w:rsid w:val="00EF3C4F"/>
    <w:rsid w:val="00EF3D86"/>
    <w:rsid w:val="00EF3D98"/>
    <w:rsid w:val="00EF3DAB"/>
    <w:rsid w:val="00EF3DD1"/>
    <w:rsid w:val="00EF3E07"/>
    <w:rsid w:val="00EF3E66"/>
    <w:rsid w:val="00EF3E6B"/>
    <w:rsid w:val="00EF3EB7"/>
    <w:rsid w:val="00EF3EEF"/>
    <w:rsid w:val="00EF3FB0"/>
    <w:rsid w:val="00EF3FC1"/>
    <w:rsid w:val="00EF3FE7"/>
    <w:rsid w:val="00EF407C"/>
    <w:rsid w:val="00EF40D0"/>
    <w:rsid w:val="00EF4156"/>
    <w:rsid w:val="00EF415A"/>
    <w:rsid w:val="00EF419A"/>
    <w:rsid w:val="00EF41C7"/>
    <w:rsid w:val="00EF427A"/>
    <w:rsid w:val="00EF43DF"/>
    <w:rsid w:val="00EF4433"/>
    <w:rsid w:val="00EF44B5"/>
    <w:rsid w:val="00EF44E8"/>
    <w:rsid w:val="00EF4592"/>
    <w:rsid w:val="00EF45BE"/>
    <w:rsid w:val="00EF460C"/>
    <w:rsid w:val="00EF4657"/>
    <w:rsid w:val="00EF466B"/>
    <w:rsid w:val="00EF466C"/>
    <w:rsid w:val="00EF468E"/>
    <w:rsid w:val="00EF4693"/>
    <w:rsid w:val="00EF46CC"/>
    <w:rsid w:val="00EF46E5"/>
    <w:rsid w:val="00EF4726"/>
    <w:rsid w:val="00EF47A1"/>
    <w:rsid w:val="00EF47E2"/>
    <w:rsid w:val="00EF47EA"/>
    <w:rsid w:val="00EF4836"/>
    <w:rsid w:val="00EF4873"/>
    <w:rsid w:val="00EF48FA"/>
    <w:rsid w:val="00EF4937"/>
    <w:rsid w:val="00EF4989"/>
    <w:rsid w:val="00EF49EC"/>
    <w:rsid w:val="00EF49EF"/>
    <w:rsid w:val="00EF4A3A"/>
    <w:rsid w:val="00EF4A75"/>
    <w:rsid w:val="00EF4A96"/>
    <w:rsid w:val="00EF4AB3"/>
    <w:rsid w:val="00EF4AB8"/>
    <w:rsid w:val="00EF4B23"/>
    <w:rsid w:val="00EF4B7F"/>
    <w:rsid w:val="00EF4C0B"/>
    <w:rsid w:val="00EF4C30"/>
    <w:rsid w:val="00EF4C48"/>
    <w:rsid w:val="00EF4C69"/>
    <w:rsid w:val="00EF4CB3"/>
    <w:rsid w:val="00EF4CF1"/>
    <w:rsid w:val="00EF4D29"/>
    <w:rsid w:val="00EF4D2B"/>
    <w:rsid w:val="00EF4D3B"/>
    <w:rsid w:val="00EF4D6F"/>
    <w:rsid w:val="00EF4D92"/>
    <w:rsid w:val="00EF4E44"/>
    <w:rsid w:val="00EF4EBC"/>
    <w:rsid w:val="00EF4ED1"/>
    <w:rsid w:val="00EF4F07"/>
    <w:rsid w:val="00EF4F27"/>
    <w:rsid w:val="00EF4F46"/>
    <w:rsid w:val="00EF4FF2"/>
    <w:rsid w:val="00EF505E"/>
    <w:rsid w:val="00EF5078"/>
    <w:rsid w:val="00EF508A"/>
    <w:rsid w:val="00EF50D0"/>
    <w:rsid w:val="00EF50F4"/>
    <w:rsid w:val="00EF5153"/>
    <w:rsid w:val="00EF5166"/>
    <w:rsid w:val="00EF51CC"/>
    <w:rsid w:val="00EF51D7"/>
    <w:rsid w:val="00EF5322"/>
    <w:rsid w:val="00EF533B"/>
    <w:rsid w:val="00EF5355"/>
    <w:rsid w:val="00EF536F"/>
    <w:rsid w:val="00EF53D6"/>
    <w:rsid w:val="00EF5473"/>
    <w:rsid w:val="00EF54AE"/>
    <w:rsid w:val="00EF55A9"/>
    <w:rsid w:val="00EF5709"/>
    <w:rsid w:val="00EF571A"/>
    <w:rsid w:val="00EF5739"/>
    <w:rsid w:val="00EF57E2"/>
    <w:rsid w:val="00EF5872"/>
    <w:rsid w:val="00EF58A1"/>
    <w:rsid w:val="00EF58DA"/>
    <w:rsid w:val="00EF58DE"/>
    <w:rsid w:val="00EF590A"/>
    <w:rsid w:val="00EF5997"/>
    <w:rsid w:val="00EF599E"/>
    <w:rsid w:val="00EF59AE"/>
    <w:rsid w:val="00EF5B43"/>
    <w:rsid w:val="00EF5B54"/>
    <w:rsid w:val="00EF5BE2"/>
    <w:rsid w:val="00EF5BFD"/>
    <w:rsid w:val="00EF5C8B"/>
    <w:rsid w:val="00EF5DC2"/>
    <w:rsid w:val="00EF5E9C"/>
    <w:rsid w:val="00EF5F68"/>
    <w:rsid w:val="00EF5F9F"/>
    <w:rsid w:val="00EF5FF4"/>
    <w:rsid w:val="00EF6090"/>
    <w:rsid w:val="00EF60A0"/>
    <w:rsid w:val="00EF610F"/>
    <w:rsid w:val="00EF6136"/>
    <w:rsid w:val="00EF617E"/>
    <w:rsid w:val="00EF62A2"/>
    <w:rsid w:val="00EF62C2"/>
    <w:rsid w:val="00EF62E3"/>
    <w:rsid w:val="00EF62EA"/>
    <w:rsid w:val="00EF6344"/>
    <w:rsid w:val="00EF6386"/>
    <w:rsid w:val="00EF63B0"/>
    <w:rsid w:val="00EF6481"/>
    <w:rsid w:val="00EF64BB"/>
    <w:rsid w:val="00EF64FE"/>
    <w:rsid w:val="00EF651B"/>
    <w:rsid w:val="00EF6528"/>
    <w:rsid w:val="00EF65C6"/>
    <w:rsid w:val="00EF6623"/>
    <w:rsid w:val="00EF663E"/>
    <w:rsid w:val="00EF6663"/>
    <w:rsid w:val="00EF6669"/>
    <w:rsid w:val="00EF66BA"/>
    <w:rsid w:val="00EF66F4"/>
    <w:rsid w:val="00EF68F9"/>
    <w:rsid w:val="00EF6958"/>
    <w:rsid w:val="00EF698E"/>
    <w:rsid w:val="00EF699C"/>
    <w:rsid w:val="00EF6A0C"/>
    <w:rsid w:val="00EF6AD9"/>
    <w:rsid w:val="00EF6B09"/>
    <w:rsid w:val="00EF6B6B"/>
    <w:rsid w:val="00EF6B84"/>
    <w:rsid w:val="00EF6B9D"/>
    <w:rsid w:val="00EF6BC8"/>
    <w:rsid w:val="00EF6BE3"/>
    <w:rsid w:val="00EF6BFB"/>
    <w:rsid w:val="00EF6C1E"/>
    <w:rsid w:val="00EF6C64"/>
    <w:rsid w:val="00EF6C74"/>
    <w:rsid w:val="00EF6CC8"/>
    <w:rsid w:val="00EF6D64"/>
    <w:rsid w:val="00EF6D7B"/>
    <w:rsid w:val="00EF6DF3"/>
    <w:rsid w:val="00EF6E7B"/>
    <w:rsid w:val="00EF6E7C"/>
    <w:rsid w:val="00EF6E8C"/>
    <w:rsid w:val="00EF6EB7"/>
    <w:rsid w:val="00EF6FB6"/>
    <w:rsid w:val="00EF704A"/>
    <w:rsid w:val="00EF709C"/>
    <w:rsid w:val="00EF7101"/>
    <w:rsid w:val="00EF71FA"/>
    <w:rsid w:val="00EF71FF"/>
    <w:rsid w:val="00EF723C"/>
    <w:rsid w:val="00EF72A1"/>
    <w:rsid w:val="00EF7353"/>
    <w:rsid w:val="00EF7374"/>
    <w:rsid w:val="00EF73C6"/>
    <w:rsid w:val="00EF7406"/>
    <w:rsid w:val="00EF755E"/>
    <w:rsid w:val="00EF75C2"/>
    <w:rsid w:val="00EF7600"/>
    <w:rsid w:val="00EF7646"/>
    <w:rsid w:val="00EF7679"/>
    <w:rsid w:val="00EF771D"/>
    <w:rsid w:val="00EF773D"/>
    <w:rsid w:val="00EF775D"/>
    <w:rsid w:val="00EF77E4"/>
    <w:rsid w:val="00EF7800"/>
    <w:rsid w:val="00EF7806"/>
    <w:rsid w:val="00EF7807"/>
    <w:rsid w:val="00EF7842"/>
    <w:rsid w:val="00EF7856"/>
    <w:rsid w:val="00EF787D"/>
    <w:rsid w:val="00EF7894"/>
    <w:rsid w:val="00EF78CC"/>
    <w:rsid w:val="00EF78DB"/>
    <w:rsid w:val="00EF78E2"/>
    <w:rsid w:val="00EF78E4"/>
    <w:rsid w:val="00EF7900"/>
    <w:rsid w:val="00EF794B"/>
    <w:rsid w:val="00EF79A1"/>
    <w:rsid w:val="00EF7A06"/>
    <w:rsid w:val="00EF7A49"/>
    <w:rsid w:val="00EF7A7E"/>
    <w:rsid w:val="00EF7AC3"/>
    <w:rsid w:val="00EF7AFB"/>
    <w:rsid w:val="00EF7B8D"/>
    <w:rsid w:val="00EF7C67"/>
    <w:rsid w:val="00EF7D19"/>
    <w:rsid w:val="00EF7D67"/>
    <w:rsid w:val="00EF7D6F"/>
    <w:rsid w:val="00EF7E89"/>
    <w:rsid w:val="00EF7EB7"/>
    <w:rsid w:val="00EF7EC7"/>
    <w:rsid w:val="00EF7F86"/>
    <w:rsid w:val="00EF7FD7"/>
    <w:rsid w:val="00F000E8"/>
    <w:rsid w:val="00F0011C"/>
    <w:rsid w:val="00F00137"/>
    <w:rsid w:val="00F001BF"/>
    <w:rsid w:val="00F001EC"/>
    <w:rsid w:val="00F00207"/>
    <w:rsid w:val="00F00268"/>
    <w:rsid w:val="00F00286"/>
    <w:rsid w:val="00F002BF"/>
    <w:rsid w:val="00F002E5"/>
    <w:rsid w:val="00F00336"/>
    <w:rsid w:val="00F0033D"/>
    <w:rsid w:val="00F00345"/>
    <w:rsid w:val="00F0034C"/>
    <w:rsid w:val="00F00378"/>
    <w:rsid w:val="00F00391"/>
    <w:rsid w:val="00F003CA"/>
    <w:rsid w:val="00F0045D"/>
    <w:rsid w:val="00F00479"/>
    <w:rsid w:val="00F004DC"/>
    <w:rsid w:val="00F004EB"/>
    <w:rsid w:val="00F004F3"/>
    <w:rsid w:val="00F00535"/>
    <w:rsid w:val="00F005ED"/>
    <w:rsid w:val="00F00610"/>
    <w:rsid w:val="00F00633"/>
    <w:rsid w:val="00F00647"/>
    <w:rsid w:val="00F0064D"/>
    <w:rsid w:val="00F0066D"/>
    <w:rsid w:val="00F006D8"/>
    <w:rsid w:val="00F00793"/>
    <w:rsid w:val="00F007A7"/>
    <w:rsid w:val="00F0080D"/>
    <w:rsid w:val="00F00844"/>
    <w:rsid w:val="00F008A1"/>
    <w:rsid w:val="00F00934"/>
    <w:rsid w:val="00F00987"/>
    <w:rsid w:val="00F009E7"/>
    <w:rsid w:val="00F00A57"/>
    <w:rsid w:val="00F00A88"/>
    <w:rsid w:val="00F00A9A"/>
    <w:rsid w:val="00F00B31"/>
    <w:rsid w:val="00F00B45"/>
    <w:rsid w:val="00F00B6E"/>
    <w:rsid w:val="00F00B92"/>
    <w:rsid w:val="00F00BC2"/>
    <w:rsid w:val="00F00BD0"/>
    <w:rsid w:val="00F00C01"/>
    <w:rsid w:val="00F00C06"/>
    <w:rsid w:val="00F00C3C"/>
    <w:rsid w:val="00F00C9A"/>
    <w:rsid w:val="00F00D22"/>
    <w:rsid w:val="00F00D37"/>
    <w:rsid w:val="00F00DD7"/>
    <w:rsid w:val="00F00DEC"/>
    <w:rsid w:val="00F00E76"/>
    <w:rsid w:val="00F00E78"/>
    <w:rsid w:val="00F00EBF"/>
    <w:rsid w:val="00F00F25"/>
    <w:rsid w:val="00F00F45"/>
    <w:rsid w:val="00F00F7F"/>
    <w:rsid w:val="00F01009"/>
    <w:rsid w:val="00F01045"/>
    <w:rsid w:val="00F010CB"/>
    <w:rsid w:val="00F0112A"/>
    <w:rsid w:val="00F01134"/>
    <w:rsid w:val="00F0113A"/>
    <w:rsid w:val="00F01160"/>
    <w:rsid w:val="00F01176"/>
    <w:rsid w:val="00F011CD"/>
    <w:rsid w:val="00F011EE"/>
    <w:rsid w:val="00F0131F"/>
    <w:rsid w:val="00F01326"/>
    <w:rsid w:val="00F01332"/>
    <w:rsid w:val="00F0136D"/>
    <w:rsid w:val="00F01381"/>
    <w:rsid w:val="00F013C5"/>
    <w:rsid w:val="00F0142F"/>
    <w:rsid w:val="00F0143A"/>
    <w:rsid w:val="00F0147E"/>
    <w:rsid w:val="00F014D0"/>
    <w:rsid w:val="00F014D8"/>
    <w:rsid w:val="00F01641"/>
    <w:rsid w:val="00F01729"/>
    <w:rsid w:val="00F017BC"/>
    <w:rsid w:val="00F017DB"/>
    <w:rsid w:val="00F0182E"/>
    <w:rsid w:val="00F0189A"/>
    <w:rsid w:val="00F018C1"/>
    <w:rsid w:val="00F018EA"/>
    <w:rsid w:val="00F01A37"/>
    <w:rsid w:val="00F01A52"/>
    <w:rsid w:val="00F01B1C"/>
    <w:rsid w:val="00F01BC3"/>
    <w:rsid w:val="00F01C24"/>
    <w:rsid w:val="00F01C46"/>
    <w:rsid w:val="00F01DB2"/>
    <w:rsid w:val="00F01E23"/>
    <w:rsid w:val="00F01E38"/>
    <w:rsid w:val="00F01E4C"/>
    <w:rsid w:val="00F01E9D"/>
    <w:rsid w:val="00F01F60"/>
    <w:rsid w:val="00F01FBA"/>
    <w:rsid w:val="00F01FEF"/>
    <w:rsid w:val="00F01FF3"/>
    <w:rsid w:val="00F0207D"/>
    <w:rsid w:val="00F02081"/>
    <w:rsid w:val="00F02087"/>
    <w:rsid w:val="00F020B8"/>
    <w:rsid w:val="00F020EF"/>
    <w:rsid w:val="00F02114"/>
    <w:rsid w:val="00F02170"/>
    <w:rsid w:val="00F021D0"/>
    <w:rsid w:val="00F021EA"/>
    <w:rsid w:val="00F022A5"/>
    <w:rsid w:val="00F022E6"/>
    <w:rsid w:val="00F022F6"/>
    <w:rsid w:val="00F022F9"/>
    <w:rsid w:val="00F0231C"/>
    <w:rsid w:val="00F0232C"/>
    <w:rsid w:val="00F0234C"/>
    <w:rsid w:val="00F02367"/>
    <w:rsid w:val="00F0237E"/>
    <w:rsid w:val="00F023A2"/>
    <w:rsid w:val="00F023C1"/>
    <w:rsid w:val="00F023E8"/>
    <w:rsid w:val="00F02408"/>
    <w:rsid w:val="00F02414"/>
    <w:rsid w:val="00F02468"/>
    <w:rsid w:val="00F0248B"/>
    <w:rsid w:val="00F02548"/>
    <w:rsid w:val="00F025D8"/>
    <w:rsid w:val="00F025E0"/>
    <w:rsid w:val="00F02688"/>
    <w:rsid w:val="00F026BC"/>
    <w:rsid w:val="00F0277F"/>
    <w:rsid w:val="00F027CB"/>
    <w:rsid w:val="00F027D7"/>
    <w:rsid w:val="00F027F1"/>
    <w:rsid w:val="00F02854"/>
    <w:rsid w:val="00F02866"/>
    <w:rsid w:val="00F0286A"/>
    <w:rsid w:val="00F028D7"/>
    <w:rsid w:val="00F029C8"/>
    <w:rsid w:val="00F02A46"/>
    <w:rsid w:val="00F02A47"/>
    <w:rsid w:val="00F02A71"/>
    <w:rsid w:val="00F02AD0"/>
    <w:rsid w:val="00F02B11"/>
    <w:rsid w:val="00F02B99"/>
    <w:rsid w:val="00F02BA5"/>
    <w:rsid w:val="00F02C85"/>
    <w:rsid w:val="00F02D1E"/>
    <w:rsid w:val="00F02D95"/>
    <w:rsid w:val="00F02DE8"/>
    <w:rsid w:val="00F02E01"/>
    <w:rsid w:val="00F02EE4"/>
    <w:rsid w:val="00F02F59"/>
    <w:rsid w:val="00F02F8F"/>
    <w:rsid w:val="00F02FFA"/>
    <w:rsid w:val="00F0300E"/>
    <w:rsid w:val="00F03071"/>
    <w:rsid w:val="00F03094"/>
    <w:rsid w:val="00F030A3"/>
    <w:rsid w:val="00F030AD"/>
    <w:rsid w:val="00F03139"/>
    <w:rsid w:val="00F0315E"/>
    <w:rsid w:val="00F031E3"/>
    <w:rsid w:val="00F0321C"/>
    <w:rsid w:val="00F03264"/>
    <w:rsid w:val="00F032C0"/>
    <w:rsid w:val="00F032D5"/>
    <w:rsid w:val="00F03318"/>
    <w:rsid w:val="00F03322"/>
    <w:rsid w:val="00F03385"/>
    <w:rsid w:val="00F03399"/>
    <w:rsid w:val="00F03458"/>
    <w:rsid w:val="00F0349F"/>
    <w:rsid w:val="00F034A8"/>
    <w:rsid w:val="00F034BC"/>
    <w:rsid w:val="00F03540"/>
    <w:rsid w:val="00F03546"/>
    <w:rsid w:val="00F03572"/>
    <w:rsid w:val="00F035AC"/>
    <w:rsid w:val="00F035E0"/>
    <w:rsid w:val="00F035FF"/>
    <w:rsid w:val="00F03619"/>
    <w:rsid w:val="00F036B4"/>
    <w:rsid w:val="00F0372F"/>
    <w:rsid w:val="00F0375F"/>
    <w:rsid w:val="00F03785"/>
    <w:rsid w:val="00F0388A"/>
    <w:rsid w:val="00F038B3"/>
    <w:rsid w:val="00F038F5"/>
    <w:rsid w:val="00F03988"/>
    <w:rsid w:val="00F039AD"/>
    <w:rsid w:val="00F03A2A"/>
    <w:rsid w:val="00F03A44"/>
    <w:rsid w:val="00F03A79"/>
    <w:rsid w:val="00F03AE5"/>
    <w:rsid w:val="00F03B83"/>
    <w:rsid w:val="00F03B9C"/>
    <w:rsid w:val="00F03BA2"/>
    <w:rsid w:val="00F03BC8"/>
    <w:rsid w:val="00F03BE6"/>
    <w:rsid w:val="00F03C10"/>
    <w:rsid w:val="00F03C49"/>
    <w:rsid w:val="00F03D1E"/>
    <w:rsid w:val="00F03D40"/>
    <w:rsid w:val="00F03D4C"/>
    <w:rsid w:val="00F03D7B"/>
    <w:rsid w:val="00F03DF3"/>
    <w:rsid w:val="00F03E6A"/>
    <w:rsid w:val="00F03ECD"/>
    <w:rsid w:val="00F03EFB"/>
    <w:rsid w:val="00F03F08"/>
    <w:rsid w:val="00F03FC5"/>
    <w:rsid w:val="00F0415E"/>
    <w:rsid w:val="00F04265"/>
    <w:rsid w:val="00F04266"/>
    <w:rsid w:val="00F042AA"/>
    <w:rsid w:val="00F042B9"/>
    <w:rsid w:val="00F042CC"/>
    <w:rsid w:val="00F043F3"/>
    <w:rsid w:val="00F04407"/>
    <w:rsid w:val="00F044A2"/>
    <w:rsid w:val="00F04583"/>
    <w:rsid w:val="00F045AB"/>
    <w:rsid w:val="00F045D9"/>
    <w:rsid w:val="00F04618"/>
    <w:rsid w:val="00F046A4"/>
    <w:rsid w:val="00F04749"/>
    <w:rsid w:val="00F04763"/>
    <w:rsid w:val="00F04838"/>
    <w:rsid w:val="00F0485C"/>
    <w:rsid w:val="00F048A2"/>
    <w:rsid w:val="00F048D0"/>
    <w:rsid w:val="00F048F1"/>
    <w:rsid w:val="00F04980"/>
    <w:rsid w:val="00F04989"/>
    <w:rsid w:val="00F04A02"/>
    <w:rsid w:val="00F04A15"/>
    <w:rsid w:val="00F04A38"/>
    <w:rsid w:val="00F04AD0"/>
    <w:rsid w:val="00F04AD3"/>
    <w:rsid w:val="00F04B80"/>
    <w:rsid w:val="00F04BFA"/>
    <w:rsid w:val="00F04C70"/>
    <w:rsid w:val="00F04D68"/>
    <w:rsid w:val="00F04DC6"/>
    <w:rsid w:val="00F04DEF"/>
    <w:rsid w:val="00F04E03"/>
    <w:rsid w:val="00F04F27"/>
    <w:rsid w:val="00F04F7C"/>
    <w:rsid w:val="00F04F9B"/>
    <w:rsid w:val="00F04FA5"/>
    <w:rsid w:val="00F05057"/>
    <w:rsid w:val="00F0508B"/>
    <w:rsid w:val="00F050D5"/>
    <w:rsid w:val="00F050D7"/>
    <w:rsid w:val="00F051F1"/>
    <w:rsid w:val="00F0523F"/>
    <w:rsid w:val="00F05247"/>
    <w:rsid w:val="00F05268"/>
    <w:rsid w:val="00F052B1"/>
    <w:rsid w:val="00F052BD"/>
    <w:rsid w:val="00F052C2"/>
    <w:rsid w:val="00F0536F"/>
    <w:rsid w:val="00F0544E"/>
    <w:rsid w:val="00F0545A"/>
    <w:rsid w:val="00F05464"/>
    <w:rsid w:val="00F054C7"/>
    <w:rsid w:val="00F054C9"/>
    <w:rsid w:val="00F05588"/>
    <w:rsid w:val="00F055B1"/>
    <w:rsid w:val="00F05601"/>
    <w:rsid w:val="00F0567E"/>
    <w:rsid w:val="00F05857"/>
    <w:rsid w:val="00F059A1"/>
    <w:rsid w:val="00F05A7D"/>
    <w:rsid w:val="00F05AB5"/>
    <w:rsid w:val="00F05C65"/>
    <w:rsid w:val="00F05D71"/>
    <w:rsid w:val="00F05DA0"/>
    <w:rsid w:val="00F05DEA"/>
    <w:rsid w:val="00F05E13"/>
    <w:rsid w:val="00F05E89"/>
    <w:rsid w:val="00F05EAE"/>
    <w:rsid w:val="00F05EBE"/>
    <w:rsid w:val="00F05F42"/>
    <w:rsid w:val="00F05F93"/>
    <w:rsid w:val="00F06035"/>
    <w:rsid w:val="00F060C3"/>
    <w:rsid w:val="00F060E9"/>
    <w:rsid w:val="00F06173"/>
    <w:rsid w:val="00F0623B"/>
    <w:rsid w:val="00F0624C"/>
    <w:rsid w:val="00F06258"/>
    <w:rsid w:val="00F0635E"/>
    <w:rsid w:val="00F0636E"/>
    <w:rsid w:val="00F06428"/>
    <w:rsid w:val="00F0643D"/>
    <w:rsid w:val="00F064B8"/>
    <w:rsid w:val="00F06531"/>
    <w:rsid w:val="00F065CA"/>
    <w:rsid w:val="00F06605"/>
    <w:rsid w:val="00F0661B"/>
    <w:rsid w:val="00F06631"/>
    <w:rsid w:val="00F0665B"/>
    <w:rsid w:val="00F06787"/>
    <w:rsid w:val="00F067E6"/>
    <w:rsid w:val="00F06807"/>
    <w:rsid w:val="00F06830"/>
    <w:rsid w:val="00F06846"/>
    <w:rsid w:val="00F0685C"/>
    <w:rsid w:val="00F068AD"/>
    <w:rsid w:val="00F0690D"/>
    <w:rsid w:val="00F06954"/>
    <w:rsid w:val="00F06960"/>
    <w:rsid w:val="00F069D2"/>
    <w:rsid w:val="00F06AF8"/>
    <w:rsid w:val="00F06B9F"/>
    <w:rsid w:val="00F06C9D"/>
    <w:rsid w:val="00F06C9E"/>
    <w:rsid w:val="00F06D17"/>
    <w:rsid w:val="00F06D24"/>
    <w:rsid w:val="00F06D32"/>
    <w:rsid w:val="00F06D3C"/>
    <w:rsid w:val="00F06D46"/>
    <w:rsid w:val="00F06D53"/>
    <w:rsid w:val="00F06DE8"/>
    <w:rsid w:val="00F06E17"/>
    <w:rsid w:val="00F06E4E"/>
    <w:rsid w:val="00F06E8C"/>
    <w:rsid w:val="00F06F41"/>
    <w:rsid w:val="00F06FCE"/>
    <w:rsid w:val="00F06FF6"/>
    <w:rsid w:val="00F0706E"/>
    <w:rsid w:val="00F070D9"/>
    <w:rsid w:val="00F070DA"/>
    <w:rsid w:val="00F07142"/>
    <w:rsid w:val="00F071B5"/>
    <w:rsid w:val="00F071D3"/>
    <w:rsid w:val="00F07225"/>
    <w:rsid w:val="00F07255"/>
    <w:rsid w:val="00F07277"/>
    <w:rsid w:val="00F072B1"/>
    <w:rsid w:val="00F0733A"/>
    <w:rsid w:val="00F073C4"/>
    <w:rsid w:val="00F073DA"/>
    <w:rsid w:val="00F07424"/>
    <w:rsid w:val="00F07455"/>
    <w:rsid w:val="00F0745E"/>
    <w:rsid w:val="00F074E2"/>
    <w:rsid w:val="00F07517"/>
    <w:rsid w:val="00F0754E"/>
    <w:rsid w:val="00F0755B"/>
    <w:rsid w:val="00F07578"/>
    <w:rsid w:val="00F075A9"/>
    <w:rsid w:val="00F075CC"/>
    <w:rsid w:val="00F07612"/>
    <w:rsid w:val="00F076A2"/>
    <w:rsid w:val="00F07735"/>
    <w:rsid w:val="00F0775D"/>
    <w:rsid w:val="00F077A4"/>
    <w:rsid w:val="00F077A6"/>
    <w:rsid w:val="00F07833"/>
    <w:rsid w:val="00F078DD"/>
    <w:rsid w:val="00F07928"/>
    <w:rsid w:val="00F0799F"/>
    <w:rsid w:val="00F07A11"/>
    <w:rsid w:val="00F07A4B"/>
    <w:rsid w:val="00F07A8B"/>
    <w:rsid w:val="00F07AF1"/>
    <w:rsid w:val="00F07B50"/>
    <w:rsid w:val="00F07B87"/>
    <w:rsid w:val="00F07BBB"/>
    <w:rsid w:val="00F07BC4"/>
    <w:rsid w:val="00F07C37"/>
    <w:rsid w:val="00F07C74"/>
    <w:rsid w:val="00F07C85"/>
    <w:rsid w:val="00F07CB4"/>
    <w:rsid w:val="00F07D0E"/>
    <w:rsid w:val="00F07D3F"/>
    <w:rsid w:val="00F07DB6"/>
    <w:rsid w:val="00F07DC9"/>
    <w:rsid w:val="00F07E50"/>
    <w:rsid w:val="00F07ECB"/>
    <w:rsid w:val="00F07F02"/>
    <w:rsid w:val="00F07F20"/>
    <w:rsid w:val="00F07FE1"/>
    <w:rsid w:val="00F1003D"/>
    <w:rsid w:val="00F1003E"/>
    <w:rsid w:val="00F1016A"/>
    <w:rsid w:val="00F10215"/>
    <w:rsid w:val="00F10264"/>
    <w:rsid w:val="00F10327"/>
    <w:rsid w:val="00F1034B"/>
    <w:rsid w:val="00F103CC"/>
    <w:rsid w:val="00F10472"/>
    <w:rsid w:val="00F104C6"/>
    <w:rsid w:val="00F1051B"/>
    <w:rsid w:val="00F1057C"/>
    <w:rsid w:val="00F1058E"/>
    <w:rsid w:val="00F1059A"/>
    <w:rsid w:val="00F10639"/>
    <w:rsid w:val="00F106B0"/>
    <w:rsid w:val="00F1071D"/>
    <w:rsid w:val="00F1076E"/>
    <w:rsid w:val="00F10802"/>
    <w:rsid w:val="00F10862"/>
    <w:rsid w:val="00F1087A"/>
    <w:rsid w:val="00F108EA"/>
    <w:rsid w:val="00F1096C"/>
    <w:rsid w:val="00F109C2"/>
    <w:rsid w:val="00F109CC"/>
    <w:rsid w:val="00F10A3B"/>
    <w:rsid w:val="00F10ADF"/>
    <w:rsid w:val="00F10AF1"/>
    <w:rsid w:val="00F10B00"/>
    <w:rsid w:val="00F10B07"/>
    <w:rsid w:val="00F10BB9"/>
    <w:rsid w:val="00F10BCF"/>
    <w:rsid w:val="00F10C1C"/>
    <w:rsid w:val="00F10C4D"/>
    <w:rsid w:val="00F10CF9"/>
    <w:rsid w:val="00F10D0C"/>
    <w:rsid w:val="00F10D18"/>
    <w:rsid w:val="00F10D2F"/>
    <w:rsid w:val="00F10DDE"/>
    <w:rsid w:val="00F10E15"/>
    <w:rsid w:val="00F10F1D"/>
    <w:rsid w:val="00F110B2"/>
    <w:rsid w:val="00F110E9"/>
    <w:rsid w:val="00F1110A"/>
    <w:rsid w:val="00F11173"/>
    <w:rsid w:val="00F111A9"/>
    <w:rsid w:val="00F11233"/>
    <w:rsid w:val="00F11250"/>
    <w:rsid w:val="00F1126D"/>
    <w:rsid w:val="00F112AE"/>
    <w:rsid w:val="00F113BD"/>
    <w:rsid w:val="00F113E1"/>
    <w:rsid w:val="00F113ED"/>
    <w:rsid w:val="00F11435"/>
    <w:rsid w:val="00F11465"/>
    <w:rsid w:val="00F114C8"/>
    <w:rsid w:val="00F114E2"/>
    <w:rsid w:val="00F1153A"/>
    <w:rsid w:val="00F1154E"/>
    <w:rsid w:val="00F1156F"/>
    <w:rsid w:val="00F115BB"/>
    <w:rsid w:val="00F115CF"/>
    <w:rsid w:val="00F115DF"/>
    <w:rsid w:val="00F11633"/>
    <w:rsid w:val="00F11640"/>
    <w:rsid w:val="00F1165A"/>
    <w:rsid w:val="00F116EA"/>
    <w:rsid w:val="00F11734"/>
    <w:rsid w:val="00F117B2"/>
    <w:rsid w:val="00F117B4"/>
    <w:rsid w:val="00F1184E"/>
    <w:rsid w:val="00F118CD"/>
    <w:rsid w:val="00F1197A"/>
    <w:rsid w:val="00F11A6C"/>
    <w:rsid w:val="00F11B17"/>
    <w:rsid w:val="00F11B4A"/>
    <w:rsid w:val="00F11B9E"/>
    <w:rsid w:val="00F11BEC"/>
    <w:rsid w:val="00F11D07"/>
    <w:rsid w:val="00F11D34"/>
    <w:rsid w:val="00F11D66"/>
    <w:rsid w:val="00F11D7C"/>
    <w:rsid w:val="00F11D8D"/>
    <w:rsid w:val="00F11E4C"/>
    <w:rsid w:val="00F11E6B"/>
    <w:rsid w:val="00F11EA9"/>
    <w:rsid w:val="00F11EC8"/>
    <w:rsid w:val="00F11EEE"/>
    <w:rsid w:val="00F11F03"/>
    <w:rsid w:val="00F11F2A"/>
    <w:rsid w:val="00F11F5C"/>
    <w:rsid w:val="00F11F5F"/>
    <w:rsid w:val="00F11F6F"/>
    <w:rsid w:val="00F11F83"/>
    <w:rsid w:val="00F11FB8"/>
    <w:rsid w:val="00F12083"/>
    <w:rsid w:val="00F120F0"/>
    <w:rsid w:val="00F121A0"/>
    <w:rsid w:val="00F121E7"/>
    <w:rsid w:val="00F12273"/>
    <w:rsid w:val="00F12283"/>
    <w:rsid w:val="00F1228E"/>
    <w:rsid w:val="00F12294"/>
    <w:rsid w:val="00F1237D"/>
    <w:rsid w:val="00F123A5"/>
    <w:rsid w:val="00F1243F"/>
    <w:rsid w:val="00F12452"/>
    <w:rsid w:val="00F12467"/>
    <w:rsid w:val="00F1247F"/>
    <w:rsid w:val="00F124FF"/>
    <w:rsid w:val="00F12533"/>
    <w:rsid w:val="00F125B8"/>
    <w:rsid w:val="00F12603"/>
    <w:rsid w:val="00F1267F"/>
    <w:rsid w:val="00F12686"/>
    <w:rsid w:val="00F12690"/>
    <w:rsid w:val="00F12715"/>
    <w:rsid w:val="00F12769"/>
    <w:rsid w:val="00F127D2"/>
    <w:rsid w:val="00F127DA"/>
    <w:rsid w:val="00F12838"/>
    <w:rsid w:val="00F1285F"/>
    <w:rsid w:val="00F128CD"/>
    <w:rsid w:val="00F128E5"/>
    <w:rsid w:val="00F12936"/>
    <w:rsid w:val="00F1294D"/>
    <w:rsid w:val="00F12A18"/>
    <w:rsid w:val="00F12AC6"/>
    <w:rsid w:val="00F12B1F"/>
    <w:rsid w:val="00F12B5D"/>
    <w:rsid w:val="00F12BAF"/>
    <w:rsid w:val="00F12BC4"/>
    <w:rsid w:val="00F12C2E"/>
    <w:rsid w:val="00F12C3C"/>
    <w:rsid w:val="00F12CB0"/>
    <w:rsid w:val="00F12CCA"/>
    <w:rsid w:val="00F12CD3"/>
    <w:rsid w:val="00F12D05"/>
    <w:rsid w:val="00F12D6C"/>
    <w:rsid w:val="00F12D6F"/>
    <w:rsid w:val="00F12E67"/>
    <w:rsid w:val="00F12EC4"/>
    <w:rsid w:val="00F12EEC"/>
    <w:rsid w:val="00F12F43"/>
    <w:rsid w:val="00F12FBF"/>
    <w:rsid w:val="00F13060"/>
    <w:rsid w:val="00F130E4"/>
    <w:rsid w:val="00F1310C"/>
    <w:rsid w:val="00F1318A"/>
    <w:rsid w:val="00F13197"/>
    <w:rsid w:val="00F131AB"/>
    <w:rsid w:val="00F131AE"/>
    <w:rsid w:val="00F13264"/>
    <w:rsid w:val="00F132A7"/>
    <w:rsid w:val="00F132CE"/>
    <w:rsid w:val="00F13302"/>
    <w:rsid w:val="00F1337C"/>
    <w:rsid w:val="00F133A1"/>
    <w:rsid w:val="00F1340C"/>
    <w:rsid w:val="00F1340E"/>
    <w:rsid w:val="00F13432"/>
    <w:rsid w:val="00F1343A"/>
    <w:rsid w:val="00F134AB"/>
    <w:rsid w:val="00F134C9"/>
    <w:rsid w:val="00F1352C"/>
    <w:rsid w:val="00F135B5"/>
    <w:rsid w:val="00F135C5"/>
    <w:rsid w:val="00F135D6"/>
    <w:rsid w:val="00F13638"/>
    <w:rsid w:val="00F13641"/>
    <w:rsid w:val="00F13679"/>
    <w:rsid w:val="00F136BF"/>
    <w:rsid w:val="00F1372E"/>
    <w:rsid w:val="00F13819"/>
    <w:rsid w:val="00F13825"/>
    <w:rsid w:val="00F1383C"/>
    <w:rsid w:val="00F138F5"/>
    <w:rsid w:val="00F1397D"/>
    <w:rsid w:val="00F13A02"/>
    <w:rsid w:val="00F13A4D"/>
    <w:rsid w:val="00F13A99"/>
    <w:rsid w:val="00F13AC1"/>
    <w:rsid w:val="00F13B0E"/>
    <w:rsid w:val="00F13B95"/>
    <w:rsid w:val="00F13C8B"/>
    <w:rsid w:val="00F13D32"/>
    <w:rsid w:val="00F13D45"/>
    <w:rsid w:val="00F13D66"/>
    <w:rsid w:val="00F13D6A"/>
    <w:rsid w:val="00F13DFF"/>
    <w:rsid w:val="00F13F78"/>
    <w:rsid w:val="00F13FD6"/>
    <w:rsid w:val="00F1400E"/>
    <w:rsid w:val="00F14089"/>
    <w:rsid w:val="00F14139"/>
    <w:rsid w:val="00F1419F"/>
    <w:rsid w:val="00F141E9"/>
    <w:rsid w:val="00F14225"/>
    <w:rsid w:val="00F14249"/>
    <w:rsid w:val="00F14267"/>
    <w:rsid w:val="00F1431A"/>
    <w:rsid w:val="00F14345"/>
    <w:rsid w:val="00F143C4"/>
    <w:rsid w:val="00F14464"/>
    <w:rsid w:val="00F14467"/>
    <w:rsid w:val="00F14483"/>
    <w:rsid w:val="00F1449F"/>
    <w:rsid w:val="00F144E5"/>
    <w:rsid w:val="00F14559"/>
    <w:rsid w:val="00F14565"/>
    <w:rsid w:val="00F1458E"/>
    <w:rsid w:val="00F145AF"/>
    <w:rsid w:val="00F145DF"/>
    <w:rsid w:val="00F146A1"/>
    <w:rsid w:val="00F146EB"/>
    <w:rsid w:val="00F148E8"/>
    <w:rsid w:val="00F148FE"/>
    <w:rsid w:val="00F14927"/>
    <w:rsid w:val="00F14937"/>
    <w:rsid w:val="00F1495C"/>
    <w:rsid w:val="00F1496E"/>
    <w:rsid w:val="00F149A8"/>
    <w:rsid w:val="00F149F0"/>
    <w:rsid w:val="00F14A06"/>
    <w:rsid w:val="00F14A28"/>
    <w:rsid w:val="00F14A56"/>
    <w:rsid w:val="00F14A8E"/>
    <w:rsid w:val="00F14ADC"/>
    <w:rsid w:val="00F14AF0"/>
    <w:rsid w:val="00F14B4A"/>
    <w:rsid w:val="00F14B5A"/>
    <w:rsid w:val="00F14BA9"/>
    <w:rsid w:val="00F14BDE"/>
    <w:rsid w:val="00F14BE3"/>
    <w:rsid w:val="00F14C72"/>
    <w:rsid w:val="00F14CA5"/>
    <w:rsid w:val="00F14CDD"/>
    <w:rsid w:val="00F14D81"/>
    <w:rsid w:val="00F14E76"/>
    <w:rsid w:val="00F14E97"/>
    <w:rsid w:val="00F14FE4"/>
    <w:rsid w:val="00F15038"/>
    <w:rsid w:val="00F1504D"/>
    <w:rsid w:val="00F15061"/>
    <w:rsid w:val="00F15123"/>
    <w:rsid w:val="00F151EF"/>
    <w:rsid w:val="00F15291"/>
    <w:rsid w:val="00F1529A"/>
    <w:rsid w:val="00F152C9"/>
    <w:rsid w:val="00F15352"/>
    <w:rsid w:val="00F153A4"/>
    <w:rsid w:val="00F153D4"/>
    <w:rsid w:val="00F15458"/>
    <w:rsid w:val="00F15462"/>
    <w:rsid w:val="00F15542"/>
    <w:rsid w:val="00F15556"/>
    <w:rsid w:val="00F1555D"/>
    <w:rsid w:val="00F155D0"/>
    <w:rsid w:val="00F156B6"/>
    <w:rsid w:val="00F156C6"/>
    <w:rsid w:val="00F156D8"/>
    <w:rsid w:val="00F157DB"/>
    <w:rsid w:val="00F15870"/>
    <w:rsid w:val="00F15888"/>
    <w:rsid w:val="00F158D3"/>
    <w:rsid w:val="00F15944"/>
    <w:rsid w:val="00F159FC"/>
    <w:rsid w:val="00F15A10"/>
    <w:rsid w:val="00F15A3B"/>
    <w:rsid w:val="00F15A99"/>
    <w:rsid w:val="00F15B0F"/>
    <w:rsid w:val="00F15BB0"/>
    <w:rsid w:val="00F15D3B"/>
    <w:rsid w:val="00F15D59"/>
    <w:rsid w:val="00F15D64"/>
    <w:rsid w:val="00F15DB7"/>
    <w:rsid w:val="00F15DCD"/>
    <w:rsid w:val="00F15E22"/>
    <w:rsid w:val="00F15E82"/>
    <w:rsid w:val="00F15EFA"/>
    <w:rsid w:val="00F16004"/>
    <w:rsid w:val="00F16059"/>
    <w:rsid w:val="00F1610F"/>
    <w:rsid w:val="00F16133"/>
    <w:rsid w:val="00F161AA"/>
    <w:rsid w:val="00F161E1"/>
    <w:rsid w:val="00F16200"/>
    <w:rsid w:val="00F16237"/>
    <w:rsid w:val="00F1628E"/>
    <w:rsid w:val="00F162B2"/>
    <w:rsid w:val="00F162DD"/>
    <w:rsid w:val="00F162E3"/>
    <w:rsid w:val="00F16335"/>
    <w:rsid w:val="00F1633C"/>
    <w:rsid w:val="00F164C0"/>
    <w:rsid w:val="00F164FD"/>
    <w:rsid w:val="00F16548"/>
    <w:rsid w:val="00F16608"/>
    <w:rsid w:val="00F16616"/>
    <w:rsid w:val="00F16635"/>
    <w:rsid w:val="00F16649"/>
    <w:rsid w:val="00F1665B"/>
    <w:rsid w:val="00F166AF"/>
    <w:rsid w:val="00F166E6"/>
    <w:rsid w:val="00F16776"/>
    <w:rsid w:val="00F168A2"/>
    <w:rsid w:val="00F168BC"/>
    <w:rsid w:val="00F168CD"/>
    <w:rsid w:val="00F16A0B"/>
    <w:rsid w:val="00F16A28"/>
    <w:rsid w:val="00F16AA4"/>
    <w:rsid w:val="00F16B00"/>
    <w:rsid w:val="00F16B2A"/>
    <w:rsid w:val="00F16CDE"/>
    <w:rsid w:val="00F16D64"/>
    <w:rsid w:val="00F16D65"/>
    <w:rsid w:val="00F16D7C"/>
    <w:rsid w:val="00F16E5E"/>
    <w:rsid w:val="00F16E83"/>
    <w:rsid w:val="00F16E92"/>
    <w:rsid w:val="00F16F6A"/>
    <w:rsid w:val="00F16F7A"/>
    <w:rsid w:val="00F1700E"/>
    <w:rsid w:val="00F1701F"/>
    <w:rsid w:val="00F17040"/>
    <w:rsid w:val="00F17094"/>
    <w:rsid w:val="00F170AC"/>
    <w:rsid w:val="00F170D1"/>
    <w:rsid w:val="00F17147"/>
    <w:rsid w:val="00F17179"/>
    <w:rsid w:val="00F172A2"/>
    <w:rsid w:val="00F17362"/>
    <w:rsid w:val="00F173AB"/>
    <w:rsid w:val="00F173D6"/>
    <w:rsid w:val="00F17445"/>
    <w:rsid w:val="00F174FC"/>
    <w:rsid w:val="00F17567"/>
    <w:rsid w:val="00F1758F"/>
    <w:rsid w:val="00F17598"/>
    <w:rsid w:val="00F17667"/>
    <w:rsid w:val="00F17688"/>
    <w:rsid w:val="00F176C2"/>
    <w:rsid w:val="00F176D0"/>
    <w:rsid w:val="00F176DF"/>
    <w:rsid w:val="00F177D1"/>
    <w:rsid w:val="00F177E8"/>
    <w:rsid w:val="00F1784C"/>
    <w:rsid w:val="00F1789A"/>
    <w:rsid w:val="00F178B5"/>
    <w:rsid w:val="00F178D0"/>
    <w:rsid w:val="00F178F0"/>
    <w:rsid w:val="00F1794F"/>
    <w:rsid w:val="00F179D5"/>
    <w:rsid w:val="00F17A03"/>
    <w:rsid w:val="00F17A92"/>
    <w:rsid w:val="00F17B25"/>
    <w:rsid w:val="00F17B63"/>
    <w:rsid w:val="00F17B70"/>
    <w:rsid w:val="00F17BA0"/>
    <w:rsid w:val="00F17C43"/>
    <w:rsid w:val="00F17C4C"/>
    <w:rsid w:val="00F17C58"/>
    <w:rsid w:val="00F17C5A"/>
    <w:rsid w:val="00F17C71"/>
    <w:rsid w:val="00F17C76"/>
    <w:rsid w:val="00F17C84"/>
    <w:rsid w:val="00F17C9B"/>
    <w:rsid w:val="00F17CA7"/>
    <w:rsid w:val="00F17CB1"/>
    <w:rsid w:val="00F17DD4"/>
    <w:rsid w:val="00F17DF8"/>
    <w:rsid w:val="00F17EC3"/>
    <w:rsid w:val="00F17EFB"/>
    <w:rsid w:val="00F17FA2"/>
    <w:rsid w:val="00F17FDC"/>
    <w:rsid w:val="00F20020"/>
    <w:rsid w:val="00F20128"/>
    <w:rsid w:val="00F2013C"/>
    <w:rsid w:val="00F2013F"/>
    <w:rsid w:val="00F20143"/>
    <w:rsid w:val="00F2014F"/>
    <w:rsid w:val="00F20159"/>
    <w:rsid w:val="00F201E0"/>
    <w:rsid w:val="00F201FB"/>
    <w:rsid w:val="00F2026F"/>
    <w:rsid w:val="00F202E1"/>
    <w:rsid w:val="00F20386"/>
    <w:rsid w:val="00F2038A"/>
    <w:rsid w:val="00F204B9"/>
    <w:rsid w:val="00F2054A"/>
    <w:rsid w:val="00F2059B"/>
    <w:rsid w:val="00F2061C"/>
    <w:rsid w:val="00F20665"/>
    <w:rsid w:val="00F206D0"/>
    <w:rsid w:val="00F206D4"/>
    <w:rsid w:val="00F206E4"/>
    <w:rsid w:val="00F2071B"/>
    <w:rsid w:val="00F20734"/>
    <w:rsid w:val="00F20746"/>
    <w:rsid w:val="00F207C7"/>
    <w:rsid w:val="00F2088D"/>
    <w:rsid w:val="00F20917"/>
    <w:rsid w:val="00F20A47"/>
    <w:rsid w:val="00F20A7C"/>
    <w:rsid w:val="00F20AB9"/>
    <w:rsid w:val="00F20ABA"/>
    <w:rsid w:val="00F20B1A"/>
    <w:rsid w:val="00F20B51"/>
    <w:rsid w:val="00F20B7B"/>
    <w:rsid w:val="00F20BFA"/>
    <w:rsid w:val="00F20C24"/>
    <w:rsid w:val="00F20C26"/>
    <w:rsid w:val="00F20CD0"/>
    <w:rsid w:val="00F20DA7"/>
    <w:rsid w:val="00F20E14"/>
    <w:rsid w:val="00F20E7B"/>
    <w:rsid w:val="00F20E9C"/>
    <w:rsid w:val="00F20FFC"/>
    <w:rsid w:val="00F2101E"/>
    <w:rsid w:val="00F21042"/>
    <w:rsid w:val="00F210AF"/>
    <w:rsid w:val="00F2115B"/>
    <w:rsid w:val="00F211B2"/>
    <w:rsid w:val="00F211FF"/>
    <w:rsid w:val="00F21204"/>
    <w:rsid w:val="00F212B1"/>
    <w:rsid w:val="00F212B4"/>
    <w:rsid w:val="00F21316"/>
    <w:rsid w:val="00F2131A"/>
    <w:rsid w:val="00F2136F"/>
    <w:rsid w:val="00F21450"/>
    <w:rsid w:val="00F214A7"/>
    <w:rsid w:val="00F214C0"/>
    <w:rsid w:val="00F215E6"/>
    <w:rsid w:val="00F21644"/>
    <w:rsid w:val="00F216F6"/>
    <w:rsid w:val="00F21715"/>
    <w:rsid w:val="00F21756"/>
    <w:rsid w:val="00F217C2"/>
    <w:rsid w:val="00F21844"/>
    <w:rsid w:val="00F21861"/>
    <w:rsid w:val="00F21893"/>
    <w:rsid w:val="00F2189F"/>
    <w:rsid w:val="00F218C6"/>
    <w:rsid w:val="00F218F8"/>
    <w:rsid w:val="00F21994"/>
    <w:rsid w:val="00F219CA"/>
    <w:rsid w:val="00F219E7"/>
    <w:rsid w:val="00F21A1E"/>
    <w:rsid w:val="00F21A23"/>
    <w:rsid w:val="00F21A86"/>
    <w:rsid w:val="00F21B03"/>
    <w:rsid w:val="00F21C19"/>
    <w:rsid w:val="00F21C37"/>
    <w:rsid w:val="00F21C73"/>
    <w:rsid w:val="00F21C85"/>
    <w:rsid w:val="00F21C94"/>
    <w:rsid w:val="00F21D1B"/>
    <w:rsid w:val="00F21D20"/>
    <w:rsid w:val="00F21DB8"/>
    <w:rsid w:val="00F21DEC"/>
    <w:rsid w:val="00F21E56"/>
    <w:rsid w:val="00F21E95"/>
    <w:rsid w:val="00F21EB3"/>
    <w:rsid w:val="00F21F80"/>
    <w:rsid w:val="00F22003"/>
    <w:rsid w:val="00F22034"/>
    <w:rsid w:val="00F22052"/>
    <w:rsid w:val="00F22124"/>
    <w:rsid w:val="00F22145"/>
    <w:rsid w:val="00F2216D"/>
    <w:rsid w:val="00F221BB"/>
    <w:rsid w:val="00F221BD"/>
    <w:rsid w:val="00F221C4"/>
    <w:rsid w:val="00F221DB"/>
    <w:rsid w:val="00F221E9"/>
    <w:rsid w:val="00F22251"/>
    <w:rsid w:val="00F2226E"/>
    <w:rsid w:val="00F223AC"/>
    <w:rsid w:val="00F2240E"/>
    <w:rsid w:val="00F2251D"/>
    <w:rsid w:val="00F2256A"/>
    <w:rsid w:val="00F22696"/>
    <w:rsid w:val="00F226E6"/>
    <w:rsid w:val="00F226FE"/>
    <w:rsid w:val="00F2278E"/>
    <w:rsid w:val="00F227B6"/>
    <w:rsid w:val="00F2280B"/>
    <w:rsid w:val="00F22868"/>
    <w:rsid w:val="00F22885"/>
    <w:rsid w:val="00F228DB"/>
    <w:rsid w:val="00F228FB"/>
    <w:rsid w:val="00F2291B"/>
    <w:rsid w:val="00F229CF"/>
    <w:rsid w:val="00F22A95"/>
    <w:rsid w:val="00F22AD0"/>
    <w:rsid w:val="00F22B13"/>
    <w:rsid w:val="00F22B1A"/>
    <w:rsid w:val="00F22BEF"/>
    <w:rsid w:val="00F22C03"/>
    <w:rsid w:val="00F22C5B"/>
    <w:rsid w:val="00F22C68"/>
    <w:rsid w:val="00F22CCF"/>
    <w:rsid w:val="00F22CD3"/>
    <w:rsid w:val="00F22D49"/>
    <w:rsid w:val="00F22DAB"/>
    <w:rsid w:val="00F22DBF"/>
    <w:rsid w:val="00F22E3F"/>
    <w:rsid w:val="00F22E5C"/>
    <w:rsid w:val="00F22E9E"/>
    <w:rsid w:val="00F22EBB"/>
    <w:rsid w:val="00F22F0F"/>
    <w:rsid w:val="00F22F29"/>
    <w:rsid w:val="00F22F4E"/>
    <w:rsid w:val="00F22F7F"/>
    <w:rsid w:val="00F22F84"/>
    <w:rsid w:val="00F23078"/>
    <w:rsid w:val="00F23151"/>
    <w:rsid w:val="00F23226"/>
    <w:rsid w:val="00F23258"/>
    <w:rsid w:val="00F2329B"/>
    <w:rsid w:val="00F232A0"/>
    <w:rsid w:val="00F23326"/>
    <w:rsid w:val="00F233AE"/>
    <w:rsid w:val="00F23406"/>
    <w:rsid w:val="00F23501"/>
    <w:rsid w:val="00F235D1"/>
    <w:rsid w:val="00F235E5"/>
    <w:rsid w:val="00F23620"/>
    <w:rsid w:val="00F236D9"/>
    <w:rsid w:val="00F23740"/>
    <w:rsid w:val="00F2381D"/>
    <w:rsid w:val="00F238C8"/>
    <w:rsid w:val="00F2390B"/>
    <w:rsid w:val="00F2396A"/>
    <w:rsid w:val="00F2398D"/>
    <w:rsid w:val="00F239C0"/>
    <w:rsid w:val="00F23A0B"/>
    <w:rsid w:val="00F23A1B"/>
    <w:rsid w:val="00F23B6A"/>
    <w:rsid w:val="00F23B79"/>
    <w:rsid w:val="00F23BEA"/>
    <w:rsid w:val="00F23C41"/>
    <w:rsid w:val="00F23C8A"/>
    <w:rsid w:val="00F23C9C"/>
    <w:rsid w:val="00F23CB7"/>
    <w:rsid w:val="00F23CEF"/>
    <w:rsid w:val="00F23D3E"/>
    <w:rsid w:val="00F23D77"/>
    <w:rsid w:val="00F23D8C"/>
    <w:rsid w:val="00F23E41"/>
    <w:rsid w:val="00F23E8A"/>
    <w:rsid w:val="00F23EC6"/>
    <w:rsid w:val="00F23F18"/>
    <w:rsid w:val="00F23F42"/>
    <w:rsid w:val="00F23F61"/>
    <w:rsid w:val="00F23F92"/>
    <w:rsid w:val="00F23FA8"/>
    <w:rsid w:val="00F23FFD"/>
    <w:rsid w:val="00F24018"/>
    <w:rsid w:val="00F24068"/>
    <w:rsid w:val="00F24081"/>
    <w:rsid w:val="00F240ED"/>
    <w:rsid w:val="00F240EF"/>
    <w:rsid w:val="00F24123"/>
    <w:rsid w:val="00F241D4"/>
    <w:rsid w:val="00F241E6"/>
    <w:rsid w:val="00F24204"/>
    <w:rsid w:val="00F2423C"/>
    <w:rsid w:val="00F24273"/>
    <w:rsid w:val="00F24288"/>
    <w:rsid w:val="00F242B9"/>
    <w:rsid w:val="00F242E2"/>
    <w:rsid w:val="00F242FA"/>
    <w:rsid w:val="00F243B1"/>
    <w:rsid w:val="00F243DB"/>
    <w:rsid w:val="00F2442A"/>
    <w:rsid w:val="00F2445B"/>
    <w:rsid w:val="00F244B0"/>
    <w:rsid w:val="00F24561"/>
    <w:rsid w:val="00F2456E"/>
    <w:rsid w:val="00F24639"/>
    <w:rsid w:val="00F246C1"/>
    <w:rsid w:val="00F246F1"/>
    <w:rsid w:val="00F24732"/>
    <w:rsid w:val="00F2477A"/>
    <w:rsid w:val="00F2478A"/>
    <w:rsid w:val="00F247FC"/>
    <w:rsid w:val="00F24865"/>
    <w:rsid w:val="00F248A2"/>
    <w:rsid w:val="00F24901"/>
    <w:rsid w:val="00F249A1"/>
    <w:rsid w:val="00F249CE"/>
    <w:rsid w:val="00F24A1C"/>
    <w:rsid w:val="00F24A74"/>
    <w:rsid w:val="00F24AD5"/>
    <w:rsid w:val="00F24AE3"/>
    <w:rsid w:val="00F24B56"/>
    <w:rsid w:val="00F24B78"/>
    <w:rsid w:val="00F24B7E"/>
    <w:rsid w:val="00F24BF8"/>
    <w:rsid w:val="00F24BFE"/>
    <w:rsid w:val="00F24C63"/>
    <w:rsid w:val="00F24C6D"/>
    <w:rsid w:val="00F24D47"/>
    <w:rsid w:val="00F24DAC"/>
    <w:rsid w:val="00F24DDB"/>
    <w:rsid w:val="00F24E84"/>
    <w:rsid w:val="00F24E9B"/>
    <w:rsid w:val="00F24EB4"/>
    <w:rsid w:val="00F24EEB"/>
    <w:rsid w:val="00F24EFB"/>
    <w:rsid w:val="00F24F3E"/>
    <w:rsid w:val="00F24FE8"/>
    <w:rsid w:val="00F24FF0"/>
    <w:rsid w:val="00F24FF2"/>
    <w:rsid w:val="00F25052"/>
    <w:rsid w:val="00F25067"/>
    <w:rsid w:val="00F2508A"/>
    <w:rsid w:val="00F250FC"/>
    <w:rsid w:val="00F25230"/>
    <w:rsid w:val="00F25240"/>
    <w:rsid w:val="00F2535B"/>
    <w:rsid w:val="00F253A8"/>
    <w:rsid w:val="00F253EC"/>
    <w:rsid w:val="00F25453"/>
    <w:rsid w:val="00F2549C"/>
    <w:rsid w:val="00F254B4"/>
    <w:rsid w:val="00F254F2"/>
    <w:rsid w:val="00F2550D"/>
    <w:rsid w:val="00F25553"/>
    <w:rsid w:val="00F2561F"/>
    <w:rsid w:val="00F2563A"/>
    <w:rsid w:val="00F2566E"/>
    <w:rsid w:val="00F2567C"/>
    <w:rsid w:val="00F256EB"/>
    <w:rsid w:val="00F25749"/>
    <w:rsid w:val="00F25761"/>
    <w:rsid w:val="00F257DC"/>
    <w:rsid w:val="00F257E7"/>
    <w:rsid w:val="00F25816"/>
    <w:rsid w:val="00F2584D"/>
    <w:rsid w:val="00F2587F"/>
    <w:rsid w:val="00F25912"/>
    <w:rsid w:val="00F25929"/>
    <w:rsid w:val="00F2595D"/>
    <w:rsid w:val="00F25969"/>
    <w:rsid w:val="00F2597D"/>
    <w:rsid w:val="00F25A50"/>
    <w:rsid w:val="00F25A5B"/>
    <w:rsid w:val="00F25AD3"/>
    <w:rsid w:val="00F25B17"/>
    <w:rsid w:val="00F25B96"/>
    <w:rsid w:val="00F25B98"/>
    <w:rsid w:val="00F25C3E"/>
    <w:rsid w:val="00F25C6D"/>
    <w:rsid w:val="00F25C9A"/>
    <w:rsid w:val="00F25CAA"/>
    <w:rsid w:val="00F25DC6"/>
    <w:rsid w:val="00F25DE9"/>
    <w:rsid w:val="00F25E6F"/>
    <w:rsid w:val="00F25EA6"/>
    <w:rsid w:val="00F25EA8"/>
    <w:rsid w:val="00F25F97"/>
    <w:rsid w:val="00F25FA0"/>
    <w:rsid w:val="00F26173"/>
    <w:rsid w:val="00F2619F"/>
    <w:rsid w:val="00F261AE"/>
    <w:rsid w:val="00F261BE"/>
    <w:rsid w:val="00F261DB"/>
    <w:rsid w:val="00F261DC"/>
    <w:rsid w:val="00F26248"/>
    <w:rsid w:val="00F2629F"/>
    <w:rsid w:val="00F26300"/>
    <w:rsid w:val="00F2637C"/>
    <w:rsid w:val="00F263A9"/>
    <w:rsid w:val="00F263CB"/>
    <w:rsid w:val="00F26442"/>
    <w:rsid w:val="00F26484"/>
    <w:rsid w:val="00F2652D"/>
    <w:rsid w:val="00F2656A"/>
    <w:rsid w:val="00F265A0"/>
    <w:rsid w:val="00F26646"/>
    <w:rsid w:val="00F26694"/>
    <w:rsid w:val="00F266D9"/>
    <w:rsid w:val="00F26703"/>
    <w:rsid w:val="00F267BE"/>
    <w:rsid w:val="00F267C3"/>
    <w:rsid w:val="00F267EB"/>
    <w:rsid w:val="00F2682B"/>
    <w:rsid w:val="00F2684A"/>
    <w:rsid w:val="00F2686A"/>
    <w:rsid w:val="00F2695D"/>
    <w:rsid w:val="00F2695E"/>
    <w:rsid w:val="00F26A38"/>
    <w:rsid w:val="00F26AAC"/>
    <w:rsid w:val="00F26B18"/>
    <w:rsid w:val="00F26B4C"/>
    <w:rsid w:val="00F26C07"/>
    <w:rsid w:val="00F26C39"/>
    <w:rsid w:val="00F26C47"/>
    <w:rsid w:val="00F26C8E"/>
    <w:rsid w:val="00F26DB6"/>
    <w:rsid w:val="00F26DC0"/>
    <w:rsid w:val="00F26E3E"/>
    <w:rsid w:val="00F26E5A"/>
    <w:rsid w:val="00F26E66"/>
    <w:rsid w:val="00F26E70"/>
    <w:rsid w:val="00F26E7A"/>
    <w:rsid w:val="00F26E7B"/>
    <w:rsid w:val="00F26E83"/>
    <w:rsid w:val="00F26EBC"/>
    <w:rsid w:val="00F26F26"/>
    <w:rsid w:val="00F26F5C"/>
    <w:rsid w:val="00F26F76"/>
    <w:rsid w:val="00F26FE3"/>
    <w:rsid w:val="00F2701B"/>
    <w:rsid w:val="00F2706F"/>
    <w:rsid w:val="00F2711C"/>
    <w:rsid w:val="00F271BE"/>
    <w:rsid w:val="00F271D2"/>
    <w:rsid w:val="00F271FC"/>
    <w:rsid w:val="00F272D9"/>
    <w:rsid w:val="00F272E3"/>
    <w:rsid w:val="00F27396"/>
    <w:rsid w:val="00F2739D"/>
    <w:rsid w:val="00F273A7"/>
    <w:rsid w:val="00F273AE"/>
    <w:rsid w:val="00F274B3"/>
    <w:rsid w:val="00F2750F"/>
    <w:rsid w:val="00F27513"/>
    <w:rsid w:val="00F2751C"/>
    <w:rsid w:val="00F275B5"/>
    <w:rsid w:val="00F275BF"/>
    <w:rsid w:val="00F275D7"/>
    <w:rsid w:val="00F276FB"/>
    <w:rsid w:val="00F2774A"/>
    <w:rsid w:val="00F2778A"/>
    <w:rsid w:val="00F2779D"/>
    <w:rsid w:val="00F277C5"/>
    <w:rsid w:val="00F277DB"/>
    <w:rsid w:val="00F2780F"/>
    <w:rsid w:val="00F278D3"/>
    <w:rsid w:val="00F278DA"/>
    <w:rsid w:val="00F278F6"/>
    <w:rsid w:val="00F278F8"/>
    <w:rsid w:val="00F278FC"/>
    <w:rsid w:val="00F2792D"/>
    <w:rsid w:val="00F279E6"/>
    <w:rsid w:val="00F27A34"/>
    <w:rsid w:val="00F27A76"/>
    <w:rsid w:val="00F27B4A"/>
    <w:rsid w:val="00F27C43"/>
    <w:rsid w:val="00F27C65"/>
    <w:rsid w:val="00F27CDD"/>
    <w:rsid w:val="00F27CDF"/>
    <w:rsid w:val="00F27D8E"/>
    <w:rsid w:val="00F27DCC"/>
    <w:rsid w:val="00F27E5B"/>
    <w:rsid w:val="00F27F65"/>
    <w:rsid w:val="00F27FB6"/>
    <w:rsid w:val="00F30019"/>
    <w:rsid w:val="00F3004E"/>
    <w:rsid w:val="00F30052"/>
    <w:rsid w:val="00F30073"/>
    <w:rsid w:val="00F30143"/>
    <w:rsid w:val="00F30161"/>
    <w:rsid w:val="00F301D1"/>
    <w:rsid w:val="00F30228"/>
    <w:rsid w:val="00F3024A"/>
    <w:rsid w:val="00F302B0"/>
    <w:rsid w:val="00F30338"/>
    <w:rsid w:val="00F30390"/>
    <w:rsid w:val="00F30460"/>
    <w:rsid w:val="00F30558"/>
    <w:rsid w:val="00F3057D"/>
    <w:rsid w:val="00F30582"/>
    <w:rsid w:val="00F305D5"/>
    <w:rsid w:val="00F3060E"/>
    <w:rsid w:val="00F30646"/>
    <w:rsid w:val="00F30668"/>
    <w:rsid w:val="00F30696"/>
    <w:rsid w:val="00F306D7"/>
    <w:rsid w:val="00F307E2"/>
    <w:rsid w:val="00F3088C"/>
    <w:rsid w:val="00F308CE"/>
    <w:rsid w:val="00F3092E"/>
    <w:rsid w:val="00F30944"/>
    <w:rsid w:val="00F30A4F"/>
    <w:rsid w:val="00F30AD5"/>
    <w:rsid w:val="00F30B87"/>
    <w:rsid w:val="00F30C57"/>
    <w:rsid w:val="00F30C83"/>
    <w:rsid w:val="00F30DC8"/>
    <w:rsid w:val="00F30E3B"/>
    <w:rsid w:val="00F30EA4"/>
    <w:rsid w:val="00F30EE8"/>
    <w:rsid w:val="00F30F30"/>
    <w:rsid w:val="00F30F43"/>
    <w:rsid w:val="00F30FAA"/>
    <w:rsid w:val="00F30FC9"/>
    <w:rsid w:val="00F30FE6"/>
    <w:rsid w:val="00F3100B"/>
    <w:rsid w:val="00F31015"/>
    <w:rsid w:val="00F31075"/>
    <w:rsid w:val="00F310C0"/>
    <w:rsid w:val="00F311BE"/>
    <w:rsid w:val="00F311DB"/>
    <w:rsid w:val="00F3120C"/>
    <w:rsid w:val="00F31226"/>
    <w:rsid w:val="00F31230"/>
    <w:rsid w:val="00F312B1"/>
    <w:rsid w:val="00F312D4"/>
    <w:rsid w:val="00F31336"/>
    <w:rsid w:val="00F3133A"/>
    <w:rsid w:val="00F31360"/>
    <w:rsid w:val="00F31369"/>
    <w:rsid w:val="00F3136D"/>
    <w:rsid w:val="00F313A3"/>
    <w:rsid w:val="00F313F2"/>
    <w:rsid w:val="00F31401"/>
    <w:rsid w:val="00F31417"/>
    <w:rsid w:val="00F31476"/>
    <w:rsid w:val="00F31503"/>
    <w:rsid w:val="00F31550"/>
    <w:rsid w:val="00F3157D"/>
    <w:rsid w:val="00F3162E"/>
    <w:rsid w:val="00F31673"/>
    <w:rsid w:val="00F3175A"/>
    <w:rsid w:val="00F31798"/>
    <w:rsid w:val="00F31844"/>
    <w:rsid w:val="00F31869"/>
    <w:rsid w:val="00F3189C"/>
    <w:rsid w:val="00F318FC"/>
    <w:rsid w:val="00F3192A"/>
    <w:rsid w:val="00F31950"/>
    <w:rsid w:val="00F31964"/>
    <w:rsid w:val="00F319E0"/>
    <w:rsid w:val="00F319F9"/>
    <w:rsid w:val="00F31A89"/>
    <w:rsid w:val="00F31AB5"/>
    <w:rsid w:val="00F31B3F"/>
    <w:rsid w:val="00F31BA8"/>
    <w:rsid w:val="00F31C18"/>
    <w:rsid w:val="00F31C22"/>
    <w:rsid w:val="00F31C62"/>
    <w:rsid w:val="00F31C9C"/>
    <w:rsid w:val="00F31DAE"/>
    <w:rsid w:val="00F31E15"/>
    <w:rsid w:val="00F31E46"/>
    <w:rsid w:val="00F31E83"/>
    <w:rsid w:val="00F31F06"/>
    <w:rsid w:val="00F31F0D"/>
    <w:rsid w:val="00F31F3C"/>
    <w:rsid w:val="00F31F46"/>
    <w:rsid w:val="00F31F6A"/>
    <w:rsid w:val="00F31FD6"/>
    <w:rsid w:val="00F3201B"/>
    <w:rsid w:val="00F32037"/>
    <w:rsid w:val="00F320BC"/>
    <w:rsid w:val="00F320C1"/>
    <w:rsid w:val="00F32175"/>
    <w:rsid w:val="00F321CA"/>
    <w:rsid w:val="00F3229A"/>
    <w:rsid w:val="00F323B4"/>
    <w:rsid w:val="00F32408"/>
    <w:rsid w:val="00F32436"/>
    <w:rsid w:val="00F32510"/>
    <w:rsid w:val="00F325CF"/>
    <w:rsid w:val="00F32638"/>
    <w:rsid w:val="00F32718"/>
    <w:rsid w:val="00F327B6"/>
    <w:rsid w:val="00F327D0"/>
    <w:rsid w:val="00F3284E"/>
    <w:rsid w:val="00F3294E"/>
    <w:rsid w:val="00F32998"/>
    <w:rsid w:val="00F329B5"/>
    <w:rsid w:val="00F32A14"/>
    <w:rsid w:val="00F32AA2"/>
    <w:rsid w:val="00F32B46"/>
    <w:rsid w:val="00F32B69"/>
    <w:rsid w:val="00F32BBA"/>
    <w:rsid w:val="00F32BD4"/>
    <w:rsid w:val="00F32C85"/>
    <w:rsid w:val="00F32CAA"/>
    <w:rsid w:val="00F32CCA"/>
    <w:rsid w:val="00F32DD8"/>
    <w:rsid w:val="00F32DF3"/>
    <w:rsid w:val="00F32EB6"/>
    <w:rsid w:val="00F32EF3"/>
    <w:rsid w:val="00F32F05"/>
    <w:rsid w:val="00F32F2F"/>
    <w:rsid w:val="00F32F76"/>
    <w:rsid w:val="00F32FA7"/>
    <w:rsid w:val="00F32FFC"/>
    <w:rsid w:val="00F33037"/>
    <w:rsid w:val="00F33086"/>
    <w:rsid w:val="00F3318F"/>
    <w:rsid w:val="00F3325A"/>
    <w:rsid w:val="00F3327C"/>
    <w:rsid w:val="00F3330F"/>
    <w:rsid w:val="00F33336"/>
    <w:rsid w:val="00F33343"/>
    <w:rsid w:val="00F33360"/>
    <w:rsid w:val="00F333E6"/>
    <w:rsid w:val="00F33442"/>
    <w:rsid w:val="00F3344F"/>
    <w:rsid w:val="00F3349F"/>
    <w:rsid w:val="00F334AC"/>
    <w:rsid w:val="00F334F0"/>
    <w:rsid w:val="00F33507"/>
    <w:rsid w:val="00F33518"/>
    <w:rsid w:val="00F33528"/>
    <w:rsid w:val="00F33563"/>
    <w:rsid w:val="00F335AA"/>
    <w:rsid w:val="00F335B1"/>
    <w:rsid w:val="00F33689"/>
    <w:rsid w:val="00F336A3"/>
    <w:rsid w:val="00F336B6"/>
    <w:rsid w:val="00F336CD"/>
    <w:rsid w:val="00F3377D"/>
    <w:rsid w:val="00F337A6"/>
    <w:rsid w:val="00F337C3"/>
    <w:rsid w:val="00F337FC"/>
    <w:rsid w:val="00F3388B"/>
    <w:rsid w:val="00F338CF"/>
    <w:rsid w:val="00F33911"/>
    <w:rsid w:val="00F33A3A"/>
    <w:rsid w:val="00F33ABA"/>
    <w:rsid w:val="00F33BBC"/>
    <w:rsid w:val="00F33BC1"/>
    <w:rsid w:val="00F33BE9"/>
    <w:rsid w:val="00F33BFB"/>
    <w:rsid w:val="00F33CAE"/>
    <w:rsid w:val="00F33CC2"/>
    <w:rsid w:val="00F33D1B"/>
    <w:rsid w:val="00F33D58"/>
    <w:rsid w:val="00F33DCA"/>
    <w:rsid w:val="00F33DF0"/>
    <w:rsid w:val="00F33E04"/>
    <w:rsid w:val="00F33E16"/>
    <w:rsid w:val="00F33E31"/>
    <w:rsid w:val="00F33E72"/>
    <w:rsid w:val="00F33E89"/>
    <w:rsid w:val="00F33F1C"/>
    <w:rsid w:val="00F33F3F"/>
    <w:rsid w:val="00F33FC1"/>
    <w:rsid w:val="00F3404D"/>
    <w:rsid w:val="00F341B4"/>
    <w:rsid w:val="00F341C4"/>
    <w:rsid w:val="00F341D2"/>
    <w:rsid w:val="00F341D7"/>
    <w:rsid w:val="00F34237"/>
    <w:rsid w:val="00F3423D"/>
    <w:rsid w:val="00F34248"/>
    <w:rsid w:val="00F3424E"/>
    <w:rsid w:val="00F34269"/>
    <w:rsid w:val="00F3431E"/>
    <w:rsid w:val="00F3435E"/>
    <w:rsid w:val="00F343AC"/>
    <w:rsid w:val="00F34428"/>
    <w:rsid w:val="00F344BE"/>
    <w:rsid w:val="00F34583"/>
    <w:rsid w:val="00F34675"/>
    <w:rsid w:val="00F346A0"/>
    <w:rsid w:val="00F3475D"/>
    <w:rsid w:val="00F3476A"/>
    <w:rsid w:val="00F34790"/>
    <w:rsid w:val="00F34882"/>
    <w:rsid w:val="00F34889"/>
    <w:rsid w:val="00F348EC"/>
    <w:rsid w:val="00F3490C"/>
    <w:rsid w:val="00F34920"/>
    <w:rsid w:val="00F34921"/>
    <w:rsid w:val="00F34B17"/>
    <w:rsid w:val="00F34BA9"/>
    <w:rsid w:val="00F34BE2"/>
    <w:rsid w:val="00F34BE7"/>
    <w:rsid w:val="00F34BFC"/>
    <w:rsid w:val="00F34C78"/>
    <w:rsid w:val="00F34D7A"/>
    <w:rsid w:val="00F34D8D"/>
    <w:rsid w:val="00F34E24"/>
    <w:rsid w:val="00F34E2F"/>
    <w:rsid w:val="00F34E84"/>
    <w:rsid w:val="00F34F9B"/>
    <w:rsid w:val="00F350C7"/>
    <w:rsid w:val="00F35148"/>
    <w:rsid w:val="00F35167"/>
    <w:rsid w:val="00F35259"/>
    <w:rsid w:val="00F35286"/>
    <w:rsid w:val="00F35333"/>
    <w:rsid w:val="00F3535A"/>
    <w:rsid w:val="00F353DD"/>
    <w:rsid w:val="00F354AA"/>
    <w:rsid w:val="00F354C6"/>
    <w:rsid w:val="00F35500"/>
    <w:rsid w:val="00F3550A"/>
    <w:rsid w:val="00F35534"/>
    <w:rsid w:val="00F35589"/>
    <w:rsid w:val="00F355A0"/>
    <w:rsid w:val="00F356CC"/>
    <w:rsid w:val="00F35765"/>
    <w:rsid w:val="00F357C3"/>
    <w:rsid w:val="00F357D3"/>
    <w:rsid w:val="00F357D4"/>
    <w:rsid w:val="00F3580F"/>
    <w:rsid w:val="00F35823"/>
    <w:rsid w:val="00F3586F"/>
    <w:rsid w:val="00F35876"/>
    <w:rsid w:val="00F358BF"/>
    <w:rsid w:val="00F35911"/>
    <w:rsid w:val="00F35965"/>
    <w:rsid w:val="00F35985"/>
    <w:rsid w:val="00F359C0"/>
    <w:rsid w:val="00F359C7"/>
    <w:rsid w:val="00F35A38"/>
    <w:rsid w:val="00F35A5C"/>
    <w:rsid w:val="00F35A9A"/>
    <w:rsid w:val="00F35A9E"/>
    <w:rsid w:val="00F35AB8"/>
    <w:rsid w:val="00F35ACC"/>
    <w:rsid w:val="00F35AEE"/>
    <w:rsid w:val="00F35B3F"/>
    <w:rsid w:val="00F35BC6"/>
    <w:rsid w:val="00F35CE6"/>
    <w:rsid w:val="00F35D0D"/>
    <w:rsid w:val="00F35D75"/>
    <w:rsid w:val="00F35D92"/>
    <w:rsid w:val="00F35E21"/>
    <w:rsid w:val="00F35E75"/>
    <w:rsid w:val="00F35E88"/>
    <w:rsid w:val="00F35ED2"/>
    <w:rsid w:val="00F35F02"/>
    <w:rsid w:val="00F35F64"/>
    <w:rsid w:val="00F35FF5"/>
    <w:rsid w:val="00F36112"/>
    <w:rsid w:val="00F361E2"/>
    <w:rsid w:val="00F361EF"/>
    <w:rsid w:val="00F361FB"/>
    <w:rsid w:val="00F3631B"/>
    <w:rsid w:val="00F36337"/>
    <w:rsid w:val="00F36394"/>
    <w:rsid w:val="00F363CC"/>
    <w:rsid w:val="00F36408"/>
    <w:rsid w:val="00F36465"/>
    <w:rsid w:val="00F36473"/>
    <w:rsid w:val="00F364D9"/>
    <w:rsid w:val="00F36521"/>
    <w:rsid w:val="00F3652E"/>
    <w:rsid w:val="00F36547"/>
    <w:rsid w:val="00F36552"/>
    <w:rsid w:val="00F3657F"/>
    <w:rsid w:val="00F365A9"/>
    <w:rsid w:val="00F366B8"/>
    <w:rsid w:val="00F3677A"/>
    <w:rsid w:val="00F367AD"/>
    <w:rsid w:val="00F36863"/>
    <w:rsid w:val="00F368A7"/>
    <w:rsid w:val="00F368F2"/>
    <w:rsid w:val="00F36905"/>
    <w:rsid w:val="00F36939"/>
    <w:rsid w:val="00F36962"/>
    <w:rsid w:val="00F3697D"/>
    <w:rsid w:val="00F369E7"/>
    <w:rsid w:val="00F36AB8"/>
    <w:rsid w:val="00F36AC5"/>
    <w:rsid w:val="00F36ADC"/>
    <w:rsid w:val="00F36B1E"/>
    <w:rsid w:val="00F36B4A"/>
    <w:rsid w:val="00F36B70"/>
    <w:rsid w:val="00F36BE0"/>
    <w:rsid w:val="00F36C09"/>
    <w:rsid w:val="00F36C38"/>
    <w:rsid w:val="00F36CAC"/>
    <w:rsid w:val="00F36CF5"/>
    <w:rsid w:val="00F36D2C"/>
    <w:rsid w:val="00F36DB5"/>
    <w:rsid w:val="00F36DBD"/>
    <w:rsid w:val="00F36F69"/>
    <w:rsid w:val="00F36F6A"/>
    <w:rsid w:val="00F36FBA"/>
    <w:rsid w:val="00F36FD6"/>
    <w:rsid w:val="00F36FED"/>
    <w:rsid w:val="00F370AA"/>
    <w:rsid w:val="00F370B6"/>
    <w:rsid w:val="00F370CC"/>
    <w:rsid w:val="00F371B2"/>
    <w:rsid w:val="00F37243"/>
    <w:rsid w:val="00F372EC"/>
    <w:rsid w:val="00F3740A"/>
    <w:rsid w:val="00F3745B"/>
    <w:rsid w:val="00F374E1"/>
    <w:rsid w:val="00F37552"/>
    <w:rsid w:val="00F3761F"/>
    <w:rsid w:val="00F3765C"/>
    <w:rsid w:val="00F3776B"/>
    <w:rsid w:val="00F377AF"/>
    <w:rsid w:val="00F377C9"/>
    <w:rsid w:val="00F377EA"/>
    <w:rsid w:val="00F3786C"/>
    <w:rsid w:val="00F378A4"/>
    <w:rsid w:val="00F378C4"/>
    <w:rsid w:val="00F37953"/>
    <w:rsid w:val="00F3795A"/>
    <w:rsid w:val="00F37977"/>
    <w:rsid w:val="00F379A5"/>
    <w:rsid w:val="00F379CA"/>
    <w:rsid w:val="00F37B2E"/>
    <w:rsid w:val="00F37B4F"/>
    <w:rsid w:val="00F37C05"/>
    <w:rsid w:val="00F37C49"/>
    <w:rsid w:val="00F37C78"/>
    <w:rsid w:val="00F37CF3"/>
    <w:rsid w:val="00F37D52"/>
    <w:rsid w:val="00F37D58"/>
    <w:rsid w:val="00F37D8E"/>
    <w:rsid w:val="00F37DAD"/>
    <w:rsid w:val="00F37DE5"/>
    <w:rsid w:val="00F37E7B"/>
    <w:rsid w:val="00F37EF7"/>
    <w:rsid w:val="00F37F7B"/>
    <w:rsid w:val="00F37F9C"/>
    <w:rsid w:val="00F37FB6"/>
    <w:rsid w:val="00F400BD"/>
    <w:rsid w:val="00F40127"/>
    <w:rsid w:val="00F40142"/>
    <w:rsid w:val="00F4018D"/>
    <w:rsid w:val="00F401AC"/>
    <w:rsid w:val="00F401AE"/>
    <w:rsid w:val="00F402B6"/>
    <w:rsid w:val="00F402F8"/>
    <w:rsid w:val="00F40366"/>
    <w:rsid w:val="00F403AA"/>
    <w:rsid w:val="00F403B5"/>
    <w:rsid w:val="00F403EC"/>
    <w:rsid w:val="00F4041A"/>
    <w:rsid w:val="00F4044F"/>
    <w:rsid w:val="00F40459"/>
    <w:rsid w:val="00F4048E"/>
    <w:rsid w:val="00F404AA"/>
    <w:rsid w:val="00F404D0"/>
    <w:rsid w:val="00F40501"/>
    <w:rsid w:val="00F4055B"/>
    <w:rsid w:val="00F405D7"/>
    <w:rsid w:val="00F4062C"/>
    <w:rsid w:val="00F40702"/>
    <w:rsid w:val="00F40705"/>
    <w:rsid w:val="00F407D8"/>
    <w:rsid w:val="00F407DA"/>
    <w:rsid w:val="00F40812"/>
    <w:rsid w:val="00F4085C"/>
    <w:rsid w:val="00F40A77"/>
    <w:rsid w:val="00F40AAE"/>
    <w:rsid w:val="00F40B46"/>
    <w:rsid w:val="00F40B7D"/>
    <w:rsid w:val="00F40B87"/>
    <w:rsid w:val="00F40BFC"/>
    <w:rsid w:val="00F40C46"/>
    <w:rsid w:val="00F40C7A"/>
    <w:rsid w:val="00F40CCF"/>
    <w:rsid w:val="00F40D0A"/>
    <w:rsid w:val="00F40DE4"/>
    <w:rsid w:val="00F40E4F"/>
    <w:rsid w:val="00F40EB1"/>
    <w:rsid w:val="00F40FFD"/>
    <w:rsid w:val="00F410B0"/>
    <w:rsid w:val="00F411CB"/>
    <w:rsid w:val="00F4121C"/>
    <w:rsid w:val="00F4125E"/>
    <w:rsid w:val="00F41288"/>
    <w:rsid w:val="00F412CF"/>
    <w:rsid w:val="00F41322"/>
    <w:rsid w:val="00F41324"/>
    <w:rsid w:val="00F413A5"/>
    <w:rsid w:val="00F413FE"/>
    <w:rsid w:val="00F41480"/>
    <w:rsid w:val="00F4150F"/>
    <w:rsid w:val="00F41583"/>
    <w:rsid w:val="00F41587"/>
    <w:rsid w:val="00F415B3"/>
    <w:rsid w:val="00F415F2"/>
    <w:rsid w:val="00F4162F"/>
    <w:rsid w:val="00F41645"/>
    <w:rsid w:val="00F41665"/>
    <w:rsid w:val="00F4172C"/>
    <w:rsid w:val="00F41749"/>
    <w:rsid w:val="00F41756"/>
    <w:rsid w:val="00F4178A"/>
    <w:rsid w:val="00F4182C"/>
    <w:rsid w:val="00F41835"/>
    <w:rsid w:val="00F41853"/>
    <w:rsid w:val="00F41873"/>
    <w:rsid w:val="00F418A4"/>
    <w:rsid w:val="00F4192D"/>
    <w:rsid w:val="00F41994"/>
    <w:rsid w:val="00F419B7"/>
    <w:rsid w:val="00F41A33"/>
    <w:rsid w:val="00F41AD2"/>
    <w:rsid w:val="00F41B50"/>
    <w:rsid w:val="00F41BF3"/>
    <w:rsid w:val="00F41C86"/>
    <w:rsid w:val="00F41C8C"/>
    <w:rsid w:val="00F41DAD"/>
    <w:rsid w:val="00F41DEF"/>
    <w:rsid w:val="00F41EC1"/>
    <w:rsid w:val="00F41F4A"/>
    <w:rsid w:val="00F41FE1"/>
    <w:rsid w:val="00F420DC"/>
    <w:rsid w:val="00F420E3"/>
    <w:rsid w:val="00F421C1"/>
    <w:rsid w:val="00F4222C"/>
    <w:rsid w:val="00F4232D"/>
    <w:rsid w:val="00F4237F"/>
    <w:rsid w:val="00F423C1"/>
    <w:rsid w:val="00F423C5"/>
    <w:rsid w:val="00F424AB"/>
    <w:rsid w:val="00F424E2"/>
    <w:rsid w:val="00F424E5"/>
    <w:rsid w:val="00F424F4"/>
    <w:rsid w:val="00F4250C"/>
    <w:rsid w:val="00F4251C"/>
    <w:rsid w:val="00F42571"/>
    <w:rsid w:val="00F4259B"/>
    <w:rsid w:val="00F425B9"/>
    <w:rsid w:val="00F425C7"/>
    <w:rsid w:val="00F42628"/>
    <w:rsid w:val="00F42633"/>
    <w:rsid w:val="00F42697"/>
    <w:rsid w:val="00F426EC"/>
    <w:rsid w:val="00F4274A"/>
    <w:rsid w:val="00F427BC"/>
    <w:rsid w:val="00F42801"/>
    <w:rsid w:val="00F428CC"/>
    <w:rsid w:val="00F428DA"/>
    <w:rsid w:val="00F428FC"/>
    <w:rsid w:val="00F42920"/>
    <w:rsid w:val="00F42994"/>
    <w:rsid w:val="00F429C6"/>
    <w:rsid w:val="00F429EC"/>
    <w:rsid w:val="00F42A04"/>
    <w:rsid w:val="00F42A3B"/>
    <w:rsid w:val="00F42A9A"/>
    <w:rsid w:val="00F42B15"/>
    <w:rsid w:val="00F42B8C"/>
    <w:rsid w:val="00F42BDB"/>
    <w:rsid w:val="00F42BE5"/>
    <w:rsid w:val="00F42D5D"/>
    <w:rsid w:val="00F42D5F"/>
    <w:rsid w:val="00F42E28"/>
    <w:rsid w:val="00F42E5B"/>
    <w:rsid w:val="00F42E9B"/>
    <w:rsid w:val="00F42E9F"/>
    <w:rsid w:val="00F42EBE"/>
    <w:rsid w:val="00F42EE4"/>
    <w:rsid w:val="00F42F1B"/>
    <w:rsid w:val="00F42FAE"/>
    <w:rsid w:val="00F4301C"/>
    <w:rsid w:val="00F430A2"/>
    <w:rsid w:val="00F430EE"/>
    <w:rsid w:val="00F4311F"/>
    <w:rsid w:val="00F43168"/>
    <w:rsid w:val="00F43184"/>
    <w:rsid w:val="00F431BA"/>
    <w:rsid w:val="00F43201"/>
    <w:rsid w:val="00F43209"/>
    <w:rsid w:val="00F43212"/>
    <w:rsid w:val="00F43245"/>
    <w:rsid w:val="00F4327B"/>
    <w:rsid w:val="00F432B3"/>
    <w:rsid w:val="00F43349"/>
    <w:rsid w:val="00F433CD"/>
    <w:rsid w:val="00F433F0"/>
    <w:rsid w:val="00F433F5"/>
    <w:rsid w:val="00F433FC"/>
    <w:rsid w:val="00F43458"/>
    <w:rsid w:val="00F4356A"/>
    <w:rsid w:val="00F43591"/>
    <w:rsid w:val="00F43651"/>
    <w:rsid w:val="00F43737"/>
    <w:rsid w:val="00F4373E"/>
    <w:rsid w:val="00F437BA"/>
    <w:rsid w:val="00F437DD"/>
    <w:rsid w:val="00F4388D"/>
    <w:rsid w:val="00F4388E"/>
    <w:rsid w:val="00F438ED"/>
    <w:rsid w:val="00F43A6F"/>
    <w:rsid w:val="00F43A88"/>
    <w:rsid w:val="00F43AAE"/>
    <w:rsid w:val="00F43BB6"/>
    <w:rsid w:val="00F43BFD"/>
    <w:rsid w:val="00F43C63"/>
    <w:rsid w:val="00F43C90"/>
    <w:rsid w:val="00F43CE4"/>
    <w:rsid w:val="00F43CEA"/>
    <w:rsid w:val="00F43CED"/>
    <w:rsid w:val="00F43D07"/>
    <w:rsid w:val="00F43E04"/>
    <w:rsid w:val="00F43E19"/>
    <w:rsid w:val="00F43E6A"/>
    <w:rsid w:val="00F43E75"/>
    <w:rsid w:val="00F43E9F"/>
    <w:rsid w:val="00F43EBE"/>
    <w:rsid w:val="00F43F35"/>
    <w:rsid w:val="00F43FD3"/>
    <w:rsid w:val="00F440CE"/>
    <w:rsid w:val="00F4411A"/>
    <w:rsid w:val="00F441A3"/>
    <w:rsid w:val="00F44244"/>
    <w:rsid w:val="00F4427B"/>
    <w:rsid w:val="00F442E7"/>
    <w:rsid w:val="00F44309"/>
    <w:rsid w:val="00F44332"/>
    <w:rsid w:val="00F44345"/>
    <w:rsid w:val="00F443D8"/>
    <w:rsid w:val="00F44435"/>
    <w:rsid w:val="00F44439"/>
    <w:rsid w:val="00F4453F"/>
    <w:rsid w:val="00F4457A"/>
    <w:rsid w:val="00F445B0"/>
    <w:rsid w:val="00F445DD"/>
    <w:rsid w:val="00F445F2"/>
    <w:rsid w:val="00F4466B"/>
    <w:rsid w:val="00F44723"/>
    <w:rsid w:val="00F44767"/>
    <w:rsid w:val="00F447A2"/>
    <w:rsid w:val="00F447D0"/>
    <w:rsid w:val="00F44816"/>
    <w:rsid w:val="00F4483B"/>
    <w:rsid w:val="00F4484D"/>
    <w:rsid w:val="00F4486B"/>
    <w:rsid w:val="00F44876"/>
    <w:rsid w:val="00F44925"/>
    <w:rsid w:val="00F44946"/>
    <w:rsid w:val="00F44984"/>
    <w:rsid w:val="00F44A24"/>
    <w:rsid w:val="00F44A34"/>
    <w:rsid w:val="00F44A4C"/>
    <w:rsid w:val="00F44BF5"/>
    <w:rsid w:val="00F44CA0"/>
    <w:rsid w:val="00F44CFE"/>
    <w:rsid w:val="00F44DA1"/>
    <w:rsid w:val="00F44DA2"/>
    <w:rsid w:val="00F44DA7"/>
    <w:rsid w:val="00F44DEB"/>
    <w:rsid w:val="00F44DF9"/>
    <w:rsid w:val="00F44E22"/>
    <w:rsid w:val="00F44ED4"/>
    <w:rsid w:val="00F44F76"/>
    <w:rsid w:val="00F44F87"/>
    <w:rsid w:val="00F44FC4"/>
    <w:rsid w:val="00F45034"/>
    <w:rsid w:val="00F45037"/>
    <w:rsid w:val="00F4507C"/>
    <w:rsid w:val="00F45096"/>
    <w:rsid w:val="00F450B7"/>
    <w:rsid w:val="00F450E0"/>
    <w:rsid w:val="00F450FB"/>
    <w:rsid w:val="00F4517D"/>
    <w:rsid w:val="00F451CC"/>
    <w:rsid w:val="00F451E4"/>
    <w:rsid w:val="00F4521D"/>
    <w:rsid w:val="00F4525D"/>
    <w:rsid w:val="00F45269"/>
    <w:rsid w:val="00F45283"/>
    <w:rsid w:val="00F452BF"/>
    <w:rsid w:val="00F45319"/>
    <w:rsid w:val="00F45361"/>
    <w:rsid w:val="00F453E8"/>
    <w:rsid w:val="00F453F6"/>
    <w:rsid w:val="00F45519"/>
    <w:rsid w:val="00F455A4"/>
    <w:rsid w:val="00F455B5"/>
    <w:rsid w:val="00F455EC"/>
    <w:rsid w:val="00F455F6"/>
    <w:rsid w:val="00F4567D"/>
    <w:rsid w:val="00F45692"/>
    <w:rsid w:val="00F456DD"/>
    <w:rsid w:val="00F456E4"/>
    <w:rsid w:val="00F4570C"/>
    <w:rsid w:val="00F45722"/>
    <w:rsid w:val="00F45736"/>
    <w:rsid w:val="00F45764"/>
    <w:rsid w:val="00F457B4"/>
    <w:rsid w:val="00F45840"/>
    <w:rsid w:val="00F45846"/>
    <w:rsid w:val="00F45883"/>
    <w:rsid w:val="00F458F0"/>
    <w:rsid w:val="00F4593C"/>
    <w:rsid w:val="00F45997"/>
    <w:rsid w:val="00F459FD"/>
    <w:rsid w:val="00F45AA4"/>
    <w:rsid w:val="00F45AB9"/>
    <w:rsid w:val="00F45C12"/>
    <w:rsid w:val="00F45C7F"/>
    <w:rsid w:val="00F45CEA"/>
    <w:rsid w:val="00F45D31"/>
    <w:rsid w:val="00F45DC4"/>
    <w:rsid w:val="00F45E1C"/>
    <w:rsid w:val="00F45E6D"/>
    <w:rsid w:val="00F45EBA"/>
    <w:rsid w:val="00F45FC6"/>
    <w:rsid w:val="00F46008"/>
    <w:rsid w:val="00F46054"/>
    <w:rsid w:val="00F46059"/>
    <w:rsid w:val="00F4610B"/>
    <w:rsid w:val="00F4612F"/>
    <w:rsid w:val="00F461EC"/>
    <w:rsid w:val="00F46247"/>
    <w:rsid w:val="00F46252"/>
    <w:rsid w:val="00F462EF"/>
    <w:rsid w:val="00F4634F"/>
    <w:rsid w:val="00F46352"/>
    <w:rsid w:val="00F46358"/>
    <w:rsid w:val="00F4642E"/>
    <w:rsid w:val="00F46464"/>
    <w:rsid w:val="00F46554"/>
    <w:rsid w:val="00F465E0"/>
    <w:rsid w:val="00F465F3"/>
    <w:rsid w:val="00F46600"/>
    <w:rsid w:val="00F4662A"/>
    <w:rsid w:val="00F466CE"/>
    <w:rsid w:val="00F466FC"/>
    <w:rsid w:val="00F4679A"/>
    <w:rsid w:val="00F46872"/>
    <w:rsid w:val="00F468AF"/>
    <w:rsid w:val="00F468D4"/>
    <w:rsid w:val="00F468FE"/>
    <w:rsid w:val="00F46972"/>
    <w:rsid w:val="00F46AB2"/>
    <w:rsid w:val="00F46B69"/>
    <w:rsid w:val="00F46BDA"/>
    <w:rsid w:val="00F46BED"/>
    <w:rsid w:val="00F46C20"/>
    <w:rsid w:val="00F46C63"/>
    <w:rsid w:val="00F46C83"/>
    <w:rsid w:val="00F46C86"/>
    <w:rsid w:val="00F46CAD"/>
    <w:rsid w:val="00F46D1E"/>
    <w:rsid w:val="00F46D99"/>
    <w:rsid w:val="00F46E4F"/>
    <w:rsid w:val="00F46E7A"/>
    <w:rsid w:val="00F46ED7"/>
    <w:rsid w:val="00F46F18"/>
    <w:rsid w:val="00F46FC3"/>
    <w:rsid w:val="00F46FE2"/>
    <w:rsid w:val="00F4704D"/>
    <w:rsid w:val="00F47075"/>
    <w:rsid w:val="00F4717B"/>
    <w:rsid w:val="00F471CC"/>
    <w:rsid w:val="00F471DE"/>
    <w:rsid w:val="00F471E9"/>
    <w:rsid w:val="00F471EE"/>
    <w:rsid w:val="00F47200"/>
    <w:rsid w:val="00F47213"/>
    <w:rsid w:val="00F4729B"/>
    <w:rsid w:val="00F472D0"/>
    <w:rsid w:val="00F472F2"/>
    <w:rsid w:val="00F4733F"/>
    <w:rsid w:val="00F4739A"/>
    <w:rsid w:val="00F47403"/>
    <w:rsid w:val="00F47410"/>
    <w:rsid w:val="00F47489"/>
    <w:rsid w:val="00F474D4"/>
    <w:rsid w:val="00F47580"/>
    <w:rsid w:val="00F475B0"/>
    <w:rsid w:val="00F475E7"/>
    <w:rsid w:val="00F47676"/>
    <w:rsid w:val="00F4767A"/>
    <w:rsid w:val="00F47693"/>
    <w:rsid w:val="00F476B0"/>
    <w:rsid w:val="00F476B3"/>
    <w:rsid w:val="00F476FA"/>
    <w:rsid w:val="00F477B6"/>
    <w:rsid w:val="00F4780E"/>
    <w:rsid w:val="00F4784A"/>
    <w:rsid w:val="00F47865"/>
    <w:rsid w:val="00F479B0"/>
    <w:rsid w:val="00F479BD"/>
    <w:rsid w:val="00F47A7F"/>
    <w:rsid w:val="00F47AF1"/>
    <w:rsid w:val="00F47B48"/>
    <w:rsid w:val="00F47BF9"/>
    <w:rsid w:val="00F47C1B"/>
    <w:rsid w:val="00F47C63"/>
    <w:rsid w:val="00F47D4D"/>
    <w:rsid w:val="00F47D75"/>
    <w:rsid w:val="00F47D91"/>
    <w:rsid w:val="00F47DA9"/>
    <w:rsid w:val="00F47E36"/>
    <w:rsid w:val="00F47E7C"/>
    <w:rsid w:val="00F47E93"/>
    <w:rsid w:val="00F47EA8"/>
    <w:rsid w:val="00F47F78"/>
    <w:rsid w:val="00F47FAF"/>
    <w:rsid w:val="00F47FC5"/>
    <w:rsid w:val="00F47FF4"/>
    <w:rsid w:val="00F47FF9"/>
    <w:rsid w:val="00F500A7"/>
    <w:rsid w:val="00F500E1"/>
    <w:rsid w:val="00F500FC"/>
    <w:rsid w:val="00F50164"/>
    <w:rsid w:val="00F502B2"/>
    <w:rsid w:val="00F50345"/>
    <w:rsid w:val="00F50382"/>
    <w:rsid w:val="00F5039B"/>
    <w:rsid w:val="00F503F8"/>
    <w:rsid w:val="00F5046C"/>
    <w:rsid w:val="00F5048F"/>
    <w:rsid w:val="00F5049B"/>
    <w:rsid w:val="00F5054F"/>
    <w:rsid w:val="00F5055B"/>
    <w:rsid w:val="00F5056C"/>
    <w:rsid w:val="00F5057A"/>
    <w:rsid w:val="00F5058F"/>
    <w:rsid w:val="00F5063B"/>
    <w:rsid w:val="00F5063C"/>
    <w:rsid w:val="00F50640"/>
    <w:rsid w:val="00F50684"/>
    <w:rsid w:val="00F506EE"/>
    <w:rsid w:val="00F50766"/>
    <w:rsid w:val="00F507CB"/>
    <w:rsid w:val="00F507F9"/>
    <w:rsid w:val="00F50829"/>
    <w:rsid w:val="00F50844"/>
    <w:rsid w:val="00F50855"/>
    <w:rsid w:val="00F50858"/>
    <w:rsid w:val="00F508A8"/>
    <w:rsid w:val="00F50935"/>
    <w:rsid w:val="00F50951"/>
    <w:rsid w:val="00F50A2D"/>
    <w:rsid w:val="00F50A5A"/>
    <w:rsid w:val="00F50A5C"/>
    <w:rsid w:val="00F50BBA"/>
    <w:rsid w:val="00F50C3C"/>
    <w:rsid w:val="00F50CA9"/>
    <w:rsid w:val="00F50D21"/>
    <w:rsid w:val="00F50D59"/>
    <w:rsid w:val="00F50D71"/>
    <w:rsid w:val="00F50DB0"/>
    <w:rsid w:val="00F50DCD"/>
    <w:rsid w:val="00F50DFA"/>
    <w:rsid w:val="00F50E04"/>
    <w:rsid w:val="00F50E11"/>
    <w:rsid w:val="00F50E3A"/>
    <w:rsid w:val="00F50E9D"/>
    <w:rsid w:val="00F50E9F"/>
    <w:rsid w:val="00F50F2C"/>
    <w:rsid w:val="00F50F3C"/>
    <w:rsid w:val="00F50F42"/>
    <w:rsid w:val="00F50F53"/>
    <w:rsid w:val="00F50FA0"/>
    <w:rsid w:val="00F50FFA"/>
    <w:rsid w:val="00F51007"/>
    <w:rsid w:val="00F51070"/>
    <w:rsid w:val="00F51072"/>
    <w:rsid w:val="00F5108C"/>
    <w:rsid w:val="00F511A3"/>
    <w:rsid w:val="00F511A8"/>
    <w:rsid w:val="00F511AC"/>
    <w:rsid w:val="00F511DF"/>
    <w:rsid w:val="00F51234"/>
    <w:rsid w:val="00F512C6"/>
    <w:rsid w:val="00F512FE"/>
    <w:rsid w:val="00F51351"/>
    <w:rsid w:val="00F513E0"/>
    <w:rsid w:val="00F51479"/>
    <w:rsid w:val="00F5148F"/>
    <w:rsid w:val="00F5150C"/>
    <w:rsid w:val="00F51512"/>
    <w:rsid w:val="00F51555"/>
    <w:rsid w:val="00F51562"/>
    <w:rsid w:val="00F51581"/>
    <w:rsid w:val="00F515C4"/>
    <w:rsid w:val="00F5162A"/>
    <w:rsid w:val="00F51723"/>
    <w:rsid w:val="00F51788"/>
    <w:rsid w:val="00F517D8"/>
    <w:rsid w:val="00F51854"/>
    <w:rsid w:val="00F5185F"/>
    <w:rsid w:val="00F5187B"/>
    <w:rsid w:val="00F518D4"/>
    <w:rsid w:val="00F518F1"/>
    <w:rsid w:val="00F5191A"/>
    <w:rsid w:val="00F51939"/>
    <w:rsid w:val="00F5195C"/>
    <w:rsid w:val="00F519CA"/>
    <w:rsid w:val="00F519CD"/>
    <w:rsid w:val="00F519D7"/>
    <w:rsid w:val="00F519E6"/>
    <w:rsid w:val="00F51A56"/>
    <w:rsid w:val="00F51A6F"/>
    <w:rsid w:val="00F51A7A"/>
    <w:rsid w:val="00F51AAB"/>
    <w:rsid w:val="00F51AFD"/>
    <w:rsid w:val="00F51C0A"/>
    <w:rsid w:val="00F51CA4"/>
    <w:rsid w:val="00F51D5B"/>
    <w:rsid w:val="00F51DAD"/>
    <w:rsid w:val="00F51DBC"/>
    <w:rsid w:val="00F51DFB"/>
    <w:rsid w:val="00F51F71"/>
    <w:rsid w:val="00F51FD5"/>
    <w:rsid w:val="00F52018"/>
    <w:rsid w:val="00F52021"/>
    <w:rsid w:val="00F52039"/>
    <w:rsid w:val="00F5204B"/>
    <w:rsid w:val="00F520A7"/>
    <w:rsid w:val="00F520BC"/>
    <w:rsid w:val="00F520D4"/>
    <w:rsid w:val="00F52198"/>
    <w:rsid w:val="00F521A1"/>
    <w:rsid w:val="00F521A9"/>
    <w:rsid w:val="00F521C4"/>
    <w:rsid w:val="00F52228"/>
    <w:rsid w:val="00F522AE"/>
    <w:rsid w:val="00F522D0"/>
    <w:rsid w:val="00F523E7"/>
    <w:rsid w:val="00F52426"/>
    <w:rsid w:val="00F524CA"/>
    <w:rsid w:val="00F524CF"/>
    <w:rsid w:val="00F52565"/>
    <w:rsid w:val="00F525A4"/>
    <w:rsid w:val="00F526E8"/>
    <w:rsid w:val="00F526EF"/>
    <w:rsid w:val="00F52751"/>
    <w:rsid w:val="00F52782"/>
    <w:rsid w:val="00F52799"/>
    <w:rsid w:val="00F527AF"/>
    <w:rsid w:val="00F52843"/>
    <w:rsid w:val="00F5285C"/>
    <w:rsid w:val="00F528BE"/>
    <w:rsid w:val="00F52936"/>
    <w:rsid w:val="00F529A4"/>
    <w:rsid w:val="00F529B3"/>
    <w:rsid w:val="00F52A0C"/>
    <w:rsid w:val="00F52A30"/>
    <w:rsid w:val="00F52A4A"/>
    <w:rsid w:val="00F52A73"/>
    <w:rsid w:val="00F52A89"/>
    <w:rsid w:val="00F52A99"/>
    <w:rsid w:val="00F52AC3"/>
    <w:rsid w:val="00F52AD0"/>
    <w:rsid w:val="00F52ADB"/>
    <w:rsid w:val="00F52ADD"/>
    <w:rsid w:val="00F52B30"/>
    <w:rsid w:val="00F52B55"/>
    <w:rsid w:val="00F52BD7"/>
    <w:rsid w:val="00F52C89"/>
    <w:rsid w:val="00F52D14"/>
    <w:rsid w:val="00F52D37"/>
    <w:rsid w:val="00F52D48"/>
    <w:rsid w:val="00F52D4A"/>
    <w:rsid w:val="00F52D56"/>
    <w:rsid w:val="00F52D92"/>
    <w:rsid w:val="00F52E75"/>
    <w:rsid w:val="00F52EDB"/>
    <w:rsid w:val="00F52EE7"/>
    <w:rsid w:val="00F52EF0"/>
    <w:rsid w:val="00F52F1E"/>
    <w:rsid w:val="00F52F3A"/>
    <w:rsid w:val="00F52F4C"/>
    <w:rsid w:val="00F52FC2"/>
    <w:rsid w:val="00F52FDB"/>
    <w:rsid w:val="00F52FDE"/>
    <w:rsid w:val="00F52FE4"/>
    <w:rsid w:val="00F53004"/>
    <w:rsid w:val="00F53052"/>
    <w:rsid w:val="00F5306E"/>
    <w:rsid w:val="00F5307B"/>
    <w:rsid w:val="00F53125"/>
    <w:rsid w:val="00F531DC"/>
    <w:rsid w:val="00F53219"/>
    <w:rsid w:val="00F5321E"/>
    <w:rsid w:val="00F53236"/>
    <w:rsid w:val="00F5328B"/>
    <w:rsid w:val="00F532CB"/>
    <w:rsid w:val="00F532DD"/>
    <w:rsid w:val="00F5332B"/>
    <w:rsid w:val="00F5350D"/>
    <w:rsid w:val="00F53584"/>
    <w:rsid w:val="00F535B8"/>
    <w:rsid w:val="00F535CD"/>
    <w:rsid w:val="00F535F8"/>
    <w:rsid w:val="00F5360F"/>
    <w:rsid w:val="00F5363C"/>
    <w:rsid w:val="00F53668"/>
    <w:rsid w:val="00F53698"/>
    <w:rsid w:val="00F536EC"/>
    <w:rsid w:val="00F537D2"/>
    <w:rsid w:val="00F537E1"/>
    <w:rsid w:val="00F5388F"/>
    <w:rsid w:val="00F538EB"/>
    <w:rsid w:val="00F53942"/>
    <w:rsid w:val="00F539EE"/>
    <w:rsid w:val="00F53A40"/>
    <w:rsid w:val="00F53A80"/>
    <w:rsid w:val="00F53A85"/>
    <w:rsid w:val="00F53B0B"/>
    <w:rsid w:val="00F53B73"/>
    <w:rsid w:val="00F53B7C"/>
    <w:rsid w:val="00F53B8C"/>
    <w:rsid w:val="00F53CD9"/>
    <w:rsid w:val="00F53D18"/>
    <w:rsid w:val="00F53D19"/>
    <w:rsid w:val="00F53DB0"/>
    <w:rsid w:val="00F53DBD"/>
    <w:rsid w:val="00F53DE7"/>
    <w:rsid w:val="00F53E01"/>
    <w:rsid w:val="00F53E1D"/>
    <w:rsid w:val="00F53E40"/>
    <w:rsid w:val="00F53E42"/>
    <w:rsid w:val="00F53E76"/>
    <w:rsid w:val="00F53E81"/>
    <w:rsid w:val="00F53E8E"/>
    <w:rsid w:val="00F53EC9"/>
    <w:rsid w:val="00F53ECD"/>
    <w:rsid w:val="00F53EF0"/>
    <w:rsid w:val="00F53F14"/>
    <w:rsid w:val="00F53F18"/>
    <w:rsid w:val="00F53F66"/>
    <w:rsid w:val="00F53F69"/>
    <w:rsid w:val="00F53FB4"/>
    <w:rsid w:val="00F53FD9"/>
    <w:rsid w:val="00F53FE0"/>
    <w:rsid w:val="00F54049"/>
    <w:rsid w:val="00F5409E"/>
    <w:rsid w:val="00F540AD"/>
    <w:rsid w:val="00F540CE"/>
    <w:rsid w:val="00F5411B"/>
    <w:rsid w:val="00F54132"/>
    <w:rsid w:val="00F5414B"/>
    <w:rsid w:val="00F541FD"/>
    <w:rsid w:val="00F5429C"/>
    <w:rsid w:val="00F542B1"/>
    <w:rsid w:val="00F542CB"/>
    <w:rsid w:val="00F5432E"/>
    <w:rsid w:val="00F543DE"/>
    <w:rsid w:val="00F54416"/>
    <w:rsid w:val="00F54425"/>
    <w:rsid w:val="00F54466"/>
    <w:rsid w:val="00F5448D"/>
    <w:rsid w:val="00F544E6"/>
    <w:rsid w:val="00F544ED"/>
    <w:rsid w:val="00F544FF"/>
    <w:rsid w:val="00F54519"/>
    <w:rsid w:val="00F54543"/>
    <w:rsid w:val="00F54553"/>
    <w:rsid w:val="00F54569"/>
    <w:rsid w:val="00F5456B"/>
    <w:rsid w:val="00F545E6"/>
    <w:rsid w:val="00F545E8"/>
    <w:rsid w:val="00F546E9"/>
    <w:rsid w:val="00F546EA"/>
    <w:rsid w:val="00F546FB"/>
    <w:rsid w:val="00F547A5"/>
    <w:rsid w:val="00F54819"/>
    <w:rsid w:val="00F5481B"/>
    <w:rsid w:val="00F5497A"/>
    <w:rsid w:val="00F549B8"/>
    <w:rsid w:val="00F54A4F"/>
    <w:rsid w:val="00F54B39"/>
    <w:rsid w:val="00F54B48"/>
    <w:rsid w:val="00F54B84"/>
    <w:rsid w:val="00F54BB7"/>
    <w:rsid w:val="00F54C18"/>
    <w:rsid w:val="00F54CD7"/>
    <w:rsid w:val="00F54D31"/>
    <w:rsid w:val="00F54D60"/>
    <w:rsid w:val="00F54DC0"/>
    <w:rsid w:val="00F54DD3"/>
    <w:rsid w:val="00F54E1E"/>
    <w:rsid w:val="00F54E76"/>
    <w:rsid w:val="00F54EAE"/>
    <w:rsid w:val="00F54ECF"/>
    <w:rsid w:val="00F54F2B"/>
    <w:rsid w:val="00F54F90"/>
    <w:rsid w:val="00F54F9B"/>
    <w:rsid w:val="00F54FA4"/>
    <w:rsid w:val="00F54FFE"/>
    <w:rsid w:val="00F55023"/>
    <w:rsid w:val="00F55129"/>
    <w:rsid w:val="00F55130"/>
    <w:rsid w:val="00F551B1"/>
    <w:rsid w:val="00F551D5"/>
    <w:rsid w:val="00F5522E"/>
    <w:rsid w:val="00F55266"/>
    <w:rsid w:val="00F552F5"/>
    <w:rsid w:val="00F554BF"/>
    <w:rsid w:val="00F55502"/>
    <w:rsid w:val="00F55516"/>
    <w:rsid w:val="00F5553A"/>
    <w:rsid w:val="00F55591"/>
    <w:rsid w:val="00F555EC"/>
    <w:rsid w:val="00F55604"/>
    <w:rsid w:val="00F55686"/>
    <w:rsid w:val="00F5569B"/>
    <w:rsid w:val="00F55742"/>
    <w:rsid w:val="00F55798"/>
    <w:rsid w:val="00F557BF"/>
    <w:rsid w:val="00F557E5"/>
    <w:rsid w:val="00F557FE"/>
    <w:rsid w:val="00F55933"/>
    <w:rsid w:val="00F55934"/>
    <w:rsid w:val="00F559A3"/>
    <w:rsid w:val="00F559BE"/>
    <w:rsid w:val="00F55B67"/>
    <w:rsid w:val="00F55BBD"/>
    <w:rsid w:val="00F55C67"/>
    <w:rsid w:val="00F55C6C"/>
    <w:rsid w:val="00F55CBC"/>
    <w:rsid w:val="00F55CE3"/>
    <w:rsid w:val="00F55D0F"/>
    <w:rsid w:val="00F55D53"/>
    <w:rsid w:val="00F55D6B"/>
    <w:rsid w:val="00F55DB9"/>
    <w:rsid w:val="00F55F7D"/>
    <w:rsid w:val="00F55FC4"/>
    <w:rsid w:val="00F55FE1"/>
    <w:rsid w:val="00F5600E"/>
    <w:rsid w:val="00F5605E"/>
    <w:rsid w:val="00F56149"/>
    <w:rsid w:val="00F56169"/>
    <w:rsid w:val="00F5619F"/>
    <w:rsid w:val="00F561AF"/>
    <w:rsid w:val="00F561E5"/>
    <w:rsid w:val="00F56239"/>
    <w:rsid w:val="00F5625A"/>
    <w:rsid w:val="00F562B1"/>
    <w:rsid w:val="00F5633B"/>
    <w:rsid w:val="00F56347"/>
    <w:rsid w:val="00F56349"/>
    <w:rsid w:val="00F563AE"/>
    <w:rsid w:val="00F5646E"/>
    <w:rsid w:val="00F564A0"/>
    <w:rsid w:val="00F564C5"/>
    <w:rsid w:val="00F564EB"/>
    <w:rsid w:val="00F5655B"/>
    <w:rsid w:val="00F566B2"/>
    <w:rsid w:val="00F566D7"/>
    <w:rsid w:val="00F566E3"/>
    <w:rsid w:val="00F5678F"/>
    <w:rsid w:val="00F5683A"/>
    <w:rsid w:val="00F56889"/>
    <w:rsid w:val="00F56A0D"/>
    <w:rsid w:val="00F56A34"/>
    <w:rsid w:val="00F56A45"/>
    <w:rsid w:val="00F56AF5"/>
    <w:rsid w:val="00F56B0A"/>
    <w:rsid w:val="00F56B37"/>
    <w:rsid w:val="00F56C2C"/>
    <w:rsid w:val="00F56C39"/>
    <w:rsid w:val="00F56D22"/>
    <w:rsid w:val="00F56D40"/>
    <w:rsid w:val="00F56EFA"/>
    <w:rsid w:val="00F56F46"/>
    <w:rsid w:val="00F56F7B"/>
    <w:rsid w:val="00F56F99"/>
    <w:rsid w:val="00F57096"/>
    <w:rsid w:val="00F570BF"/>
    <w:rsid w:val="00F570EA"/>
    <w:rsid w:val="00F57101"/>
    <w:rsid w:val="00F57137"/>
    <w:rsid w:val="00F57174"/>
    <w:rsid w:val="00F5719F"/>
    <w:rsid w:val="00F57230"/>
    <w:rsid w:val="00F57232"/>
    <w:rsid w:val="00F57273"/>
    <w:rsid w:val="00F57275"/>
    <w:rsid w:val="00F57281"/>
    <w:rsid w:val="00F5728B"/>
    <w:rsid w:val="00F57290"/>
    <w:rsid w:val="00F5729C"/>
    <w:rsid w:val="00F57398"/>
    <w:rsid w:val="00F573CF"/>
    <w:rsid w:val="00F57410"/>
    <w:rsid w:val="00F57434"/>
    <w:rsid w:val="00F5744B"/>
    <w:rsid w:val="00F5749A"/>
    <w:rsid w:val="00F57517"/>
    <w:rsid w:val="00F5756C"/>
    <w:rsid w:val="00F5756F"/>
    <w:rsid w:val="00F575BE"/>
    <w:rsid w:val="00F576CA"/>
    <w:rsid w:val="00F5773F"/>
    <w:rsid w:val="00F57753"/>
    <w:rsid w:val="00F577C3"/>
    <w:rsid w:val="00F577FB"/>
    <w:rsid w:val="00F57830"/>
    <w:rsid w:val="00F57888"/>
    <w:rsid w:val="00F578CF"/>
    <w:rsid w:val="00F5792C"/>
    <w:rsid w:val="00F57961"/>
    <w:rsid w:val="00F5796D"/>
    <w:rsid w:val="00F57972"/>
    <w:rsid w:val="00F57994"/>
    <w:rsid w:val="00F579A3"/>
    <w:rsid w:val="00F57A04"/>
    <w:rsid w:val="00F57AB1"/>
    <w:rsid w:val="00F57AE4"/>
    <w:rsid w:val="00F57B30"/>
    <w:rsid w:val="00F57B35"/>
    <w:rsid w:val="00F57B5E"/>
    <w:rsid w:val="00F57B6B"/>
    <w:rsid w:val="00F57B8B"/>
    <w:rsid w:val="00F57B95"/>
    <w:rsid w:val="00F57BB2"/>
    <w:rsid w:val="00F57C18"/>
    <w:rsid w:val="00F57C55"/>
    <w:rsid w:val="00F57C5D"/>
    <w:rsid w:val="00F57CB0"/>
    <w:rsid w:val="00F57CDD"/>
    <w:rsid w:val="00F57D15"/>
    <w:rsid w:val="00F57DB8"/>
    <w:rsid w:val="00F57E68"/>
    <w:rsid w:val="00F57ECC"/>
    <w:rsid w:val="00F57F2B"/>
    <w:rsid w:val="00F57F97"/>
    <w:rsid w:val="00F57FE2"/>
    <w:rsid w:val="00F60048"/>
    <w:rsid w:val="00F6009E"/>
    <w:rsid w:val="00F6010E"/>
    <w:rsid w:val="00F60124"/>
    <w:rsid w:val="00F601CD"/>
    <w:rsid w:val="00F60206"/>
    <w:rsid w:val="00F602AC"/>
    <w:rsid w:val="00F60357"/>
    <w:rsid w:val="00F603D3"/>
    <w:rsid w:val="00F6040D"/>
    <w:rsid w:val="00F60461"/>
    <w:rsid w:val="00F6047D"/>
    <w:rsid w:val="00F60507"/>
    <w:rsid w:val="00F60533"/>
    <w:rsid w:val="00F60557"/>
    <w:rsid w:val="00F60686"/>
    <w:rsid w:val="00F606AE"/>
    <w:rsid w:val="00F606C7"/>
    <w:rsid w:val="00F60760"/>
    <w:rsid w:val="00F6076C"/>
    <w:rsid w:val="00F6082A"/>
    <w:rsid w:val="00F60884"/>
    <w:rsid w:val="00F608BF"/>
    <w:rsid w:val="00F608E7"/>
    <w:rsid w:val="00F608FA"/>
    <w:rsid w:val="00F60913"/>
    <w:rsid w:val="00F60925"/>
    <w:rsid w:val="00F609F1"/>
    <w:rsid w:val="00F609F3"/>
    <w:rsid w:val="00F60A05"/>
    <w:rsid w:val="00F60B0E"/>
    <w:rsid w:val="00F60B21"/>
    <w:rsid w:val="00F60B91"/>
    <w:rsid w:val="00F60B9C"/>
    <w:rsid w:val="00F60C55"/>
    <w:rsid w:val="00F60C6F"/>
    <w:rsid w:val="00F60CEF"/>
    <w:rsid w:val="00F60CF2"/>
    <w:rsid w:val="00F60D21"/>
    <w:rsid w:val="00F60D52"/>
    <w:rsid w:val="00F60E4E"/>
    <w:rsid w:val="00F60E60"/>
    <w:rsid w:val="00F60E7B"/>
    <w:rsid w:val="00F60E91"/>
    <w:rsid w:val="00F60EBF"/>
    <w:rsid w:val="00F60FB7"/>
    <w:rsid w:val="00F61010"/>
    <w:rsid w:val="00F61033"/>
    <w:rsid w:val="00F6105B"/>
    <w:rsid w:val="00F61093"/>
    <w:rsid w:val="00F6110F"/>
    <w:rsid w:val="00F61119"/>
    <w:rsid w:val="00F61126"/>
    <w:rsid w:val="00F61212"/>
    <w:rsid w:val="00F61342"/>
    <w:rsid w:val="00F613F9"/>
    <w:rsid w:val="00F61427"/>
    <w:rsid w:val="00F614D7"/>
    <w:rsid w:val="00F61504"/>
    <w:rsid w:val="00F6154F"/>
    <w:rsid w:val="00F6155E"/>
    <w:rsid w:val="00F6159B"/>
    <w:rsid w:val="00F61638"/>
    <w:rsid w:val="00F6171D"/>
    <w:rsid w:val="00F6178B"/>
    <w:rsid w:val="00F617AD"/>
    <w:rsid w:val="00F61936"/>
    <w:rsid w:val="00F61940"/>
    <w:rsid w:val="00F6199A"/>
    <w:rsid w:val="00F619D0"/>
    <w:rsid w:val="00F619F8"/>
    <w:rsid w:val="00F61A22"/>
    <w:rsid w:val="00F61A81"/>
    <w:rsid w:val="00F61AB3"/>
    <w:rsid w:val="00F61AC1"/>
    <w:rsid w:val="00F61AD7"/>
    <w:rsid w:val="00F61AF8"/>
    <w:rsid w:val="00F61B66"/>
    <w:rsid w:val="00F61B6D"/>
    <w:rsid w:val="00F61BE5"/>
    <w:rsid w:val="00F61D24"/>
    <w:rsid w:val="00F61D4D"/>
    <w:rsid w:val="00F61D50"/>
    <w:rsid w:val="00F61D66"/>
    <w:rsid w:val="00F61DD4"/>
    <w:rsid w:val="00F61DDF"/>
    <w:rsid w:val="00F61E2C"/>
    <w:rsid w:val="00F61E2D"/>
    <w:rsid w:val="00F61E65"/>
    <w:rsid w:val="00F61EC8"/>
    <w:rsid w:val="00F61EE0"/>
    <w:rsid w:val="00F61F78"/>
    <w:rsid w:val="00F61F85"/>
    <w:rsid w:val="00F6205F"/>
    <w:rsid w:val="00F62079"/>
    <w:rsid w:val="00F62122"/>
    <w:rsid w:val="00F6214E"/>
    <w:rsid w:val="00F62184"/>
    <w:rsid w:val="00F6219D"/>
    <w:rsid w:val="00F62202"/>
    <w:rsid w:val="00F6226D"/>
    <w:rsid w:val="00F622E6"/>
    <w:rsid w:val="00F62318"/>
    <w:rsid w:val="00F6233A"/>
    <w:rsid w:val="00F623B1"/>
    <w:rsid w:val="00F624AB"/>
    <w:rsid w:val="00F625A5"/>
    <w:rsid w:val="00F626A7"/>
    <w:rsid w:val="00F6274E"/>
    <w:rsid w:val="00F62770"/>
    <w:rsid w:val="00F62791"/>
    <w:rsid w:val="00F627A9"/>
    <w:rsid w:val="00F627B2"/>
    <w:rsid w:val="00F62849"/>
    <w:rsid w:val="00F6285B"/>
    <w:rsid w:val="00F62866"/>
    <w:rsid w:val="00F628EC"/>
    <w:rsid w:val="00F62A61"/>
    <w:rsid w:val="00F62A6D"/>
    <w:rsid w:val="00F62A78"/>
    <w:rsid w:val="00F62A8A"/>
    <w:rsid w:val="00F62AC7"/>
    <w:rsid w:val="00F62AEC"/>
    <w:rsid w:val="00F62B08"/>
    <w:rsid w:val="00F62BB0"/>
    <w:rsid w:val="00F62C25"/>
    <w:rsid w:val="00F62C43"/>
    <w:rsid w:val="00F62C92"/>
    <w:rsid w:val="00F62D06"/>
    <w:rsid w:val="00F62D43"/>
    <w:rsid w:val="00F62E11"/>
    <w:rsid w:val="00F62EDD"/>
    <w:rsid w:val="00F62F24"/>
    <w:rsid w:val="00F62F28"/>
    <w:rsid w:val="00F62F51"/>
    <w:rsid w:val="00F63121"/>
    <w:rsid w:val="00F63123"/>
    <w:rsid w:val="00F63148"/>
    <w:rsid w:val="00F6314F"/>
    <w:rsid w:val="00F631B9"/>
    <w:rsid w:val="00F63210"/>
    <w:rsid w:val="00F6322A"/>
    <w:rsid w:val="00F63317"/>
    <w:rsid w:val="00F6338E"/>
    <w:rsid w:val="00F6340F"/>
    <w:rsid w:val="00F63415"/>
    <w:rsid w:val="00F6344E"/>
    <w:rsid w:val="00F6344F"/>
    <w:rsid w:val="00F634B3"/>
    <w:rsid w:val="00F634F1"/>
    <w:rsid w:val="00F634F9"/>
    <w:rsid w:val="00F63520"/>
    <w:rsid w:val="00F63593"/>
    <w:rsid w:val="00F635FD"/>
    <w:rsid w:val="00F63730"/>
    <w:rsid w:val="00F63770"/>
    <w:rsid w:val="00F637CD"/>
    <w:rsid w:val="00F63825"/>
    <w:rsid w:val="00F638AA"/>
    <w:rsid w:val="00F638CD"/>
    <w:rsid w:val="00F638F4"/>
    <w:rsid w:val="00F63951"/>
    <w:rsid w:val="00F63974"/>
    <w:rsid w:val="00F639C2"/>
    <w:rsid w:val="00F639CB"/>
    <w:rsid w:val="00F63A25"/>
    <w:rsid w:val="00F63A44"/>
    <w:rsid w:val="00F63AA0"/>
    <w:rsid w:val="00F63AC8"/>
    <w:rsid w:val="00F63CB1"/>
    <w:rsid w:val="00F63CBD"/>
    <w:rsid w:val="00F63CE3"/>
    <w:rsid w:val="00F63CEA"/>
    <w:rsid w:val="00F63D20"/>
    <w:rsid w:val="00F63D5C"/>
    <w:rsid w:val="00F63DF2"/>
    <w:rsid w:val="00F63E0D"/>
    <w:rsid w:val="00F63E12"/>
    <w:rsid w:val="00F63E83"/>
    <w:rsid w:val="00F63E89"/>
    <w:rsid w:val="00F63EE8"/>
    <w:rsid w:val="00F63F15"/>
    <w:rsid w:val="00F63F29"/>
    <w:rsid w:val="00F63F5E"/>
    <w:rsid w:val="00F63F70"/>
    <w:rsid w:val="00F64013"/>
    <w:rsid w:val="00F6405D"/>
    <w:rsid w:val="00F64063"/>
    <w:rsid w:val="00F640B4"/>
    <w:rsid w:val="00F640F7"/>
    <w:rsid w:val="00F64119"/>
    <w:rsid w:val="00F64156"/>
    <w:rsid w:val="00F6425D"/>
    <w:rsid w:val="00F64281"/>
    <w:rsid w:val="00F642FE"/>
    <w:rsid w:val="00F64345"/>
    <w:rsid w:val="00F64379"/>
    <w:rsid w:val="00F643C3"/>
    <w:rsid w:val="00F6442A"/>
    <w:rsid w:val="00F6443E"/>
    <w:rsid w:val="00F64507"/>
    <w:rsid w:val="00F64539"/>
    <w:rsid w:val="00F64600"/>
    <w:rsid w:val="00F6463F"/>
    <w:rsid w:val="00F64718"/>
    <w:rsid w:val="00F6473A"/>
    <w:rsid w:val="00F64831"/>
    <w:rsid w:val="00F64835"/>
    <w:rsid w:val="00F6486A"/>
    <w:rsid w:val="00F64894"/>
    <w:rsid w:val="00F649A6"/>
    <w:rsid w:val="00F649D4"/>
    <w:rsid w:val="00F64A03"/>
    <w:rsid w:val="00F64A10"/>
    <w:rsid w:val="00F64ACD"/>
    <w:rsid w:val="00F64AFE"/>
    <w:rsid w:val="00F64B86"/>
    <w:rsid w:val="00F64B87"/>
    <w:rsid w:val="00F64BA5"/>
    <w:rsid w:val="00F64BAA"/>
    <w:rsid w:val="00F64BD6"/>
    <w:rsid w:val="00F64BEA"/>
    <w:rsid w:val="00F64C0D"/>
    <w:rsid w:val="00F64C56"/>
    <w:rsid w:val="00F64C63"/>
    <w:rsid w:val="00F64C71"/>
    <w:rsid w:val="00F64C73"/>
    <w:rsid w:val="00F64D3F"/>
    <w:rsid w:val="00F64D54"/>
    <w:rsid w:val="00F64D88"/>
    <w:rsid w:val="00F64D8D"/>
    <w:rsid w:val="00F64D8E"/>
    <w:rsid w:val="00F64DB8"/>
    <w:rsid w:val="00F64EC0"/>
    <w:rsid w:val="00F64F20"/>
    <w:rsid w:val="00F64F4D"/>
    <w:rsid w:val="00F64F98"/>
    <w:rsid w:val="00F64FA0"/>
    <w:rsid w:val="00F64FC7"/>
    <w:rsid w:val="00F64FD2"/>
    <w:rsid w:val="00F65012"/>
    <w:rsid w:val="00F6505B"/>
    <w:rsid w:val="00F650CC"/>
    <w:rsid w:val="00F650F2"/>
    <w:rsid w:val="00F65226"/>
    <w:rsid w:val="00F65228"/>
    <w:rsid w:val="00F652D6"/>
    <w:rsid w:val="00F652F0"/>
    <w:rsid w:val="00F65314"/>
    <w:rsid w:val="00F65377"/>
    <w:rsid w:val="00F653C2"/>
    <w:rsid w:val="00F65430"/>
    <w:rsid w:val="00F65447"/>
    <w:rsid w:val="00F654AA"/>
    <w:rsid w:val="00F6555F"/>
    <w:rsid w:val="00F6558C"/>
    <w:rsid w:val="00F65591"/>
    <w:rsid w:val="00F655B9"/>
    <w:rsid w:val="00F655E2"/>
    <w:rsid w:val="00F655FB"/>
    <w:rsid w:val="00F65637"/>
    <w:rsid w:val="00F656F4"/>
    <w:rsid w:val="00F656FF"/>
    <w:rsid w:val="00F6571C"/>
    <w:rsid w:val="00F65739"/>
    <w:rsid w:val="00F65754"/>
    <w:rsid w:val="00F65758"/>
    <w:rsid w:val="00F658A4"/>
    <w:rsid w:val="00F65947"/>
    <w:rsid w:val="00F659F2"/>
    <w:rsid w:val="00F65A14"/>
    <w:rsid w:val="00F65A1B"/>
    <w:rsid w:val="00F65AB7"/>
    <w:rsid w:val="00F65ABE"/>
    <w:rsid w:val="00F65C0E"/>
    <w:rsid w:val="00F65C1A"/>
    <w:rsid w:val="00F65C22"/>
    <w:rsid w:val="00F65C24"/>
    <w:rsid w:val="00F65C41"/>
    <w:rsid w:val="00F65C67"/>
    <w:rsid w:val="00F65D35"/>
    <w:rsid w:val="00F65DFC"/>
    <w:rsid w:val="00F65E3F"/>
    <w:rsid w:val="00F65EBC"/>
    <w:rsid w:val="00F65F85"/>
    <w:rsid w:val="00F65FD7"/>
    <w:rsid w:val="00F66055"/>
    <w:rsid w:val="00F66079"/>
    <w:rsid w:val="00F6607A"/>
    <w:rsid w:val="00F6608E"/>
    <w:rsid w:val="00F660AF"/>
    <w:rsid w:val="00F661F8"/>
    <w:rsid w:val="00F6620B"/>
    <w:rsid w:val="00F66273"/>
    <w:rsid w:val="00F662E7"/>
    <w:rsid w:val="00F66434"/>
    <w:rsid w:val="00F66437"/>
    <w:rsid w:val="00F66438"/>
    <w:rsid w:val="00F6649A"/>
    <w:rsid w:val="00F664AA"/>
    <w:rsid w:val="00F66512"/>
    <w:rsid w:val="00F6654D"/>
    <w:rsid w:val="00F66559"/>
    <w:rsid w:val="00F6658D"/>
    <w:rsid w:val="00F665CB"/>
    <w:rsid w:val="00F66615"/>
    <w:rsid w:val="00F66618"/>
    <w:rsid w:val="00F66634"/>
    <w:rsid w:val="00F6668C"/>
    <w:rsid w:val="00F6669E"/>
    <w:rsid w:val="00F666BD"/>
    <w:rsid w:val="00F666C9"/>
    <w:rsid w:val="00F666E6"/>
    <w:rsid w:val="00F667B1"/>
    <w:rsid w:val="00F66874"/>
    <w:rsid w:val="00F66894"/>
    <w:rsid w:val="00F6692C"/>
    <w:rsid w:val="00F66950"/>
    <w:rsid w:val="00F6695B"/>
    <w:rsid w:val="00F66A69"/>
    <w:rsid w:val="00F66A7B"/>
    <w:rsid w:val="00F66A9A"/>
    <w:rsid w:val="00F66AE8"/>
    <w:rsid w:val="00F66AFD"/>
    <w:rsid w:val="00F66B8E"/>
    <w:rsid w:val="00F66C43"/>
    <w:rsid w:val="00F66C76"/>
    <w:rsid w:val="00F66C91"/>
    <w:rsid w:val="00F66CA7"/>
    <w:rsid w:val="00F66DB8"/>
    <w:rsid w:val="00F66E05"/>
    <w:rsid w:val="00F66E09"/>
    <w:rsid w:val="00F66EFC"/>
    <w:rsid w:val="00F66F4D"/>
    <w:rsid w:val="00F66F95"/>
    <w:rsid w:val="00F66FAA"/>
    <w:rsid w:val="00F6700C"/>
    <w:rsid w:val="00F67032"/>
    <w:rsid w:val="00F6704E"/>
    <w:rsid w:val="00F670FE"/>
    <w:rsid w:val="00F67179"/>
    <w:rsid w:val="00F671AB"/>
    <w:rsid w:val="00F671D3"/>
    <w:rsid w:val="00F67263"/>
    <w:rsid w:val="00F67264"/>
    <w:rsid w:val="00F6726D"/>
    <w:rsid w:val="00F672E1"/>
    <w:rsid w:val="00F672E8"/>
    <w:rsid w:val="00F6730F"/>
    <w:rsid w:val="00F67350"/>
    <w:rsid w:val="00F673C7"/>
    <w:rsid w:val="00F674BB"/>
    <w:rsid w:val="00F675BE"/>
    <w:rsid w:val="00F675D1"/>
    <w:rsid w:val="00F67628"/>
    <w:rsid w:val="00F67676"/>
    <w:rsid w:val="00F676D6"/>
    <w:rsid w:val="00F676FD"/>
    <w:rsid w:val="00F6770B"/>
    <w:rsid w:val="00F6770E"/>
    <w:rsid w:val="00F6776A"/>
    <w:rsid w:val="00F677FA"/>
    <w:rsid w:val="00F67899"/>
    <w:rsid w:val="00F678B7"/>
    <w:rsid w:val="00F678DA"/>
    <w:rsid w:val="00F67A6D"/>
    <w:rsid w:val="00F67A79"/>
    <w:rsid w:val="00F67A9B"/>
    <w:rsid w:val="00F67B60"/>
    <w:rsid w:val="00F67BC5"/>
    <w:rsid w:val="00F67C23"/>
    <w:rsid w:val="00F67D5A"/>
    <w:rsid w:val="00F67D62"/>
    <w:rsid w:val="00F67D81"/>
    <w:rsid w:val="00F67DBA"/>
    <w:rsid w:val="00F67E0F"/>
    <w:rsid w:val="00F67E1A"/>
    <w:rsid w:val="00F67E54"/>
    <w:rsid w:val="00F67E6B"/>
    <w:rsid w:val="00F67E94"/>
    <w:rsid w:val="00F67ED8"/>
    <w:rsid w:val="00F67F00"/>
    <w:rsid w:val="00F67F6F"/>
    <w:rsid w:val="00F67FF7"/>
    <w:rsid w:val="00F69C3D"/>
    <w:rsid w:val="00F70001"/>
    <w:rsid w:val="00F70052"/>
    <w:rsid w:val="00F70078"/>
    <w:rsid w:val="00F70091"/>
    <w:rsid w:val="00F700A8"/>
    <w:rsid w:val="00F700DA"/>
    <w:rsid w:val="00F7010E"/>
    <w:rsid w:val="00F7018B"/>
    <w:rsid w:val="00F701C9"/>
    <w:rsid w:val="00F7025B"/>
    <w:rsid w:val="00F7027D"/>
    <w:rsid w:val="00F7028A"/>
    <w:rsid w:val="00F70308"/>
    <w:rsid w:val="00F7035A"/>
    <w:rsid w:val="00F703AC"/>
    <w:rsid w:val="00F703C4"/>
    <w:rsid w:val="00F703C7"/>
    <w:rsid w:val="00F703F6"/>
    <w:rsid w:val="00F704AD"/>
    <w:rsid w:val="00F704B0"/>
    <w:rsid w:val="00F704CA"/>
    <w:rsid w:val="00F704EC"/>
    <w:rsid w:val="00F70601"/>
    <w:rsid w:val="00F70647"/>
    <w:rsid w:val="00F70657"/>
    <w:rsid w:val="00F707A7"/>
    <w:rsid w:val="00F70807"/>
    <w:rsid w:val="00F70825"/>
    <w:rsid w:val="00F708C8"/>
    <w:rsid w:val="00F708D8"/>
    <w:rsid w:val="00F70924"/>
    <w:rsid w:val="00F7094A"/>
    <w:rsid w:val="00F709B4"/>
    <w:rsid w:val="00F709BE"/>
    <w:rsid w:val="00F709D4"/>
    <w:rsid w:val="00F70A1F"/>
    <w:rsid w:val="00F70A27"/>
    <w:rsid w:val="00F70A39"/>
    <w:rsid w:val="00F70AB8"/>
    <w:rsid w:val="00F70B31"/>
    <w:rsid w:val="00F70B48"/>
    <w:rsid w:val="00F70B77"/>
    <w:rsid w:val="00F70B8D"/>
    <w:rsid w:val="00F70BC1"/>
    <w:rsid w:val="00F70C12"/>
    <w:rsid w:val="00F70C80"/>
    <w:rsid w:val="00F70CB4"/>
    <w:rsid w:val="00F70D05"/>
    <w:rsid w:val="00F70D5C"/>
    <w:rsid w:val="00F70D65"/>
    <w:rsid w:val="00F70E35"/>
    <w:rsid w:val="00F70E47"/>
    <w:rsid w:val="00F70E52"/>
    <w:rsid w:val="00F70E9F"/>
    <w:rsid w:val="00F70EB6"/>
    <w:rsid w:val="00F70EB8"/>
    <w:rsid w:val="00F70F6B"/>
    <w:rsid w:val="00F70F71"/>
    <w:rsid w:val="00F70FAE"/>
    <w:rsid w:val="00F70FCE"/>
    <w:rsid w:val="00F70FF3"/>
    <w:rsid w:val="00F71077"/>
    <w:rsid w:val="00F710C3"/>
    <w:rsid w:val="00F710CF"/>
    <w:rsid w:val="00F710DB"/>
    <w:rsid w:val="00F710FD"/>
    <w:rsid w:val="00F7110E"/>
    <w:rsid w:val="00F711C6"/>
    <w:rsid w:val="00F712AD"/>
    <w:rsid w:val="00F712DE"/>
    <w:rsid w:val="00F71351"/>
    <w:rsid w:val="00F7135A"/>
    <w:rsid w:val="00F7135C"/>
    <w:rsid w:val="00F713EA"/>
    <w:rsid w:val="00F713FD"/>
    <w:rsid w:val="00F714AF"/>
    <w:rsid w:val="00F714DF"/>
    <w:rsid w:val="00F714F0"/>
    <w:rsid w:val="00F71522"/>
    <w:rsid w:val="00F71616"/>
    <w:rsid w:val="00F7162F"/>
    <w:rsid w:val="00F7165B"/>
    <w:rsid w:val="00F7166D"/>
    <w:rsid w:val="00F71677"/>
    <w:rsid w:val="00F716C8"/>
    <w:rsid w:val="00F71721"/>
    <w:rsid w:val="00F717B1"/>
    <w:rsid w:val="00F717BD"/>
    <w:rsid w:val="00F717E7"/>
    <w:rsid w:val="00F71807"/>
    <w:rsid w:val="00F718A3"/>
    <w:rsid w:val="00F71924"/>
    <w:rsid w:val="00F7196F"/>
    <w:rsid w:val="00F71A22"/>
    <w:rsid w:val="00F71A72"/>
    <w:rsid w:val="00F71A78"/>
    <w:rsid w:val="00F71A79"/>
    <w:rsid w:val="00F71B05"/>
    <w:rsid w:val="00F71B36"/>
    <w:rsid w:val="00F71BB3"/>
    <w:rsid w:val="00F71BC2"/>
    <w:rsid w:val="00F71C21"/>
    <w:rsid w:val="00F71CB9"/>
    <w:rsid w:val="00F71CEE"/>
    <w:rsid w:val="00F71D04"/>
    <w:rsid w:val="00F71D36"/>
    <w:rsid w:val="00F71D3E"/>
    <w:rsid w:val="00F71D5B"/>
    <w:rsid w:val="00F71DA7"/>
    <w:rsid w:val="00F71DBB"/>
    <w:rsid w:val="00F71DC7"/>
    <w:rsid w:val="00F71DCB"/>
    <w:rsid w:val="00F71E5F"/>
    <w:rsid w:val="00F71E8C"/>
    <w:rsid w:val="00F71F29"/>
    <w:rsid w:val="00F71FBB"/>
    <w:rsid w:val="00F71FE9"/>
    <w:rsid w:val="00F7200E"/>
    <w:rsid w:val="00F7200F"/>
    <w:rsid w:val="00F720C4"/>
    <w:rsid w:val="00F720EF"/>
    <w:rsid w:val="00F7211A"/>
    <w:rsid w:val="00F72139"/>
    <w:rsid w:val="00F72152"/>
    <w:rsid w:val="00F7219D"/>
    <w:rsid w:val="00F721AC"/>
    <w:rsid w:val="00F721B9"/>
    <w:rsid w:val="00F721BD"/>
    <w:rsid w:val="00F721C3"/>
    <w:rsid w:val="00F72206"/>
    <w:rsid w:val="00F72242"/>
    <w:rsid w:val="00F722D9"/>
    <w:rsid w:val="00F72305"/>
    <w:rsid w:val="00F723EE"/>
    <w:rsid w:val="00F7243C"/>
    <w:rsid w:val="00F7249F"/>
    <w:rsid w:val="00F724A1"/>
    <w:rsid w:val="00F72568"/>
    <w:rsid w:val="00F725F7"/>
    <w:rsid w:val="00F72696"/>
    <w:rsid w:val="00F726E3"/>
    <w:rsid w:val="00F726F3"/>
    <w:rsid w:val="00F7275D"/>
    <w:rsid w:val="00F727A3"/>
    <w:rsid w:val="00F72851"/>
    <w:rsid w:val="00F728D5"/>
    <w:rsid w:val="00F728FB"/>
    <w:rsid w:val="00F72908"/>
    <w:rsid w:val="00F729D7"/>
    <w:rsid w:val="00F729F9"/>
    <w:rsid w:val="00F72AAC"/>
    <w:rsid w:val="00F72B2D"/>
    <w:rsid w:val="00F72B4E"/>
    <w:rsid w:val="00F72B6E"/>
    <w:rsid w:val="00F72B8A"/>
    <w:rsid w:val="00F72BCD"/>
    <w:rsid w:val="00F72C6B"/>
    <w:rsid w:val="00F72C92"/>
    <w:rsid w:val="00F72CA9"/>
    <w:rsid w:val="00F72CEA"/>
    <w:rsid w:val="00F72D10"/>
    <w:rsid w:val="00F72D32"/>
    <w:rsid w:val="00F72D46"/>
    <w:rsid w:val="00F72DCB"/>
    <w:rsid w:val="00F72DCD"/>
    <w:rsid w:val="00F72E76"/>
    <w:rsid w:val="00F72E7D"/>
    <w:rsid w:val="00F72EA4"/>
    <w:rsid w:val="00F72EE2"/>
    <w:rsid w:val="00F72F42"/>
    <w:rsid w:val="00F72FE4"/>
    <w:rsid w:val="00F730BF"/>
    <w:rsid w:val="00F730D6"/>
    <w:rsid w:val="00F7314B"/>
    <w:rsid w:val="00F73187"/>
    <w:rsid w:val="00F732AF"/>
    <w:rsid w:val="00F732E0"/>
    <w:rsid w:val="00F73360"/>
    <w:rsid w:val="00F733A1"/>
    <w:rsid w:val="00F733D6"/>
    <w:rsid w:val="00F733DF"/>
    <w:rsid w:val="00F73435"/>
    <w:rsid w:val="00F7345E"/>
    <w:rsid w:val="00F73470"/>
    <w:rsid w:val="00F7355C"/>
    <w:rsid w:val="00F7362C"/>
    <w:rsid w:val="00F736FD"/>
    <w:rsid w:val="00F736FE"/>
    <w:rsid w:val="00F7370C"/>
    <w:rsid w:val="00F7375A"/>
    <w:rsid w:val="00F73774"/>
    <w:rsid w:val="00F73789"/>
    <w:rsid w:val="00F7378C"/>
    <w:rsid w:val="00F73800"/>
    <w:rsid w:val="00F73835"/>
    <w:rsid w:val="00F7397B"/>
    <w:rsid w:val="00F739E9"/>
    <w:rsid w:val="00F73A61"/>
    <w:rsid w:val="00F73A8C"/>
    <w:rsid w:val="00F73AB6"/>
    <w:rsid w:val="00F73ACA"/>
    <w:rsid w:val="00F73B22"/>
    <w:rsid w:val="00F73B3F"/>
    <w:rsid w:val="00F73B80"/>
    <w:rsid w:val="00F73B96"/>
    <w:rsid w:val="00F73BA6"/>
    <w:rsid w:val="00F73BEE"/>
    <w:rsid w:val="00F73BFC"/>
    <w:rsid w:val="00F73C77"/>
    <w:rsid w:val="00F73C90"/>
    <w:rsid w:val="00F73CC5"/>
    <w:rsid w:val="00F73D80"/>
    <w:rsid w:val="00F73EF5"/>
    <w:rsid w:val="00F73F0A"/>
    <w:rsid w:val="00F73FFF"/>
    <w:rsid w:val="00F74033"/>
    <w:rsid w:val="00F74050"/>
    <w:rsid w:val="00F740CF"/>
    <w:rsid w:val="00F74118"/>
    <w:rsid w:val="00F741AF"/>
    <w:rsid w:val="00F741C2"/>
    <w:rsid w:val="00F741F3"/>
    <w:rsid w:val="00F74214"/>
    <w:rsid w:val="00F74235"/>
    <w:rsid w:val="00F743DB"/>
    <w:rsid w:val="00F743FF"/>
    <w:rsid w:val="00F74462"/>
    <w:rsid w:val="00F74475"/>
    <w:rsid w:val="00F7455D"/>
    <w:rsid w:val="00F745C3"/>
    <w:rsid w:val="00F74619"/>
    <w:rsid w:val="00F746E3"/>
    <w:rsid w:val="00F74742"/>
    <w:rsid w:val="00F74870"/>
    <w:rsid w:val="00F7487F"/>
    <w:rsid w:val="00F74900"/>
    <w:rsid w:val="00F7497D"/>
    <w:rsid w:val="00F74A2D"/>
    <w:rsid w:val="00F74A4D"/>
    <w:rsid w:val="00F74B5A"/>
    <w:rsid w:val="00F74B73"/>
    <w:rsid w:val="00F74C0C"/>
    <w:rsid w:val="00F74C1A"/>
    <w:rsid w:val="00F74C27"/>
    <w:rsid w:val="00F74C8B"/>
    <w:rsid w:val="00F74D56"/>
    <w:rsid w:val="00F74E01"/>
    <w:rsid w:val="00F74F2D"/>
    <w:rsid w:val="00F74F43"/>
    <w:rsid w:val="00F74F88"/>
    <w:rsid w:val="00F74FEE"/>
    <w:rsid w:val="00F75011"/>
    <w:rsid w:val="00F75023"/>
    <w:rsid w:val="00F7504A"/>
    <w:rsid w:val="00F7513C"/>
    <w:rsid w:val="00F75177"/>
    <w:rsid w:val="00F751AA"/>
    <w:rsid w:val="00F751FD"/>
    <w:rsid w:val="00F75279"/>
    <w:rsid w:val="00F7528E"/>
    <w:rsid w:val="00F75295"/>
    <w:rsid w:val="00F752E9"/>
    <w:rsid w:val="00F752EF"/>
    <w:rsid w:val="00F75313"/>
    <w:rsid w:val="00F75333"/>
    <w:rsid w:val="00F753E2"/>
    <w:rsid w:val="00F753FB"/>
    <w:rsid w:val="00F75482"/>
    <w:rsid w:val="00F75509"/>
    <w:rsid w:val="00F7557C"/>
    <w:rsid w:val="00F755A3"/>
    <w:rsid w:val="00F75637"/>
    <w:rsid w:val="00F75803"/>
    <w:rsid w:val="00F75851"/>
    <w:rsid w:val="00F758F9"/>
    <w:rsid w:val="00F75952"/>
    <w:rsid w:val="00F759CF"/>
    <w:rsid w:val="00F759EA"/>
    <w:rsid w:val="00F75A40"/>
    <w:rsid w:val="00F75AE3"/>
    <w:rsid w:val="00F75B22"/>
    <w:rsid w:val="00F75B2E"/>
    <w:rsid w:val="00F75B55"/>
    <w:rsid w:val="00F75C06"/>
    <w:rsid w:val="00F75C4C"/>
    <w:rsid w:val="00F75C76"/>
    <w:rsid w:val="00F75C80"/>
    <w:rsid w:val="00F75D65"/>
    <w:rsid w:val="00F75DBC"/>
    <w:rsid w:val="00F75DF5"/>
    <w:rsid w:val="00F75E2E"/>
    <w:rsid w:val="00F75EAB"/>
    <w:rsid w:val="00F75F35"/>
    <w:rsid w:val="00F75F55"/>
    <w:rsid w:val="00F75F77"/>
    <w:rsid w:val="00F75F90"/>
    <w:rsid w:val="00F75FD0"/>
    <w:rsid w:val="00F75FE5"/>
    <w:rsid w:val="00F75FE9"/>
    <w:rsid w:val="00F76046"/>
    <w:rsid w:val="00F7605B"/>
    <w:rsid w:val="00F7606F"/>
    <w:rsid w:val="00F760BC"/>
    <w:rsid w:val="00F7619F"/>
    <w:rsid w:val="00F761E4"/>
    <w:rsid w:val="00F762D5"/>
    <w:rsid w:val="00F7634E"/>
    <w:rsid w:val="00F7636E"/>
    <w:rsid w:val="00F763AE"/>
    <w:rsid w:val="00F76412"/>
    <w:rsid w:val="00F76488"/>
    <w:rsid w:val="00F76516"/>
    <w:rsid w:val="00F76521"/>
    <w:rsid w:val="00F7654D"/>
    <w:rsid w:val="00F7657A"/>
    <w:rsid w:val="00F765E2"/>
    <w:rsid w:val="00F7661A"/>
    <w:rsid w:val="00F76622"/>
    <w:rsid w:val="00F76713"/>
    <w:rsid w:val="00F7675D"/>
    <w:rsid w:val="00F767DB"/>
    <w:rsid w:val="00F767ED"/>
    <w:rsid w:val="00F76856"/>
    <w:rsid w:val="00F76862"/>
    <w:rsid w:val="00F76877"/>
    <w:rsid w:val="00F768D5"/>
    <w:rsid w:val="00F76907"/>
    <w:rsid w:val="00F7692A"/>
    <w:rsid w:val="00F7692D"/>
    <w:rsid w:val="00F7695B"/>
    <w:rsid w:val="00F7696B"/>
    <w:rsid w:val="00F7698C"/>
    <w:rsid w:val="00F769C8"/>
    <w:rsid w:val="00F76A35"/>
    <w:rsid w:val="00F76A87"/>
    <w:rsid w:val="00F76A89"/>
    <w:rsid w:val="00F76AD0"/>
    <w:rsid w:val="00F76B08"/>
    <w:rsid w:val="00F76B6B"/>
    <w:rsid w:val="00F76C03"/>
    <w:rsid w:val="00F76C74"/>
    <w:rsid w:val="00F76CFA"/>
    <w:rsid w:val="00F76D87"/>
    <w:rsid w:val="00F76DBA"/>
    <w:rsid w:val="00F76E31"/>
    <w:rsid w:val="00F76EC1"/>
    <w:rsid w:val="00F76ED9"/>
    <w:rsid w:val="00F76FD7"/>
    <w:rsid w:val="00F77067"/>
    <w:rsid w:val="00F770DE"/>
    <w:rsid w:val="00F770E3"/>
    <w:rsid w:val="00F77183"/>
    <w:rsid w:val="00F771A7"/>
    <w:rsid w:val="00F771F9"/>
    <w:rsid w:val="00F772A7"/>
    <w:rsid w:val="00F7730C"/>
    <w:rsid w:val="00F7737F"/>
    <w:rsid w:val="00F77385"/>
    <w:rsid w:val="00F773C2"/>
    <w:rsid w:val="00F773D1"/>
    <w:rsid w:val="00F77405"/>
    <w:rsid w:val="00F775BA"/>
    <w:rsid w:val="00F775BB"/>
    <w:rsid w:val="00F775C2"/>
    <w:rsid w:val="00F775DB"/>
    <w:rsid w:val="00F77636"/>
    <w:rsid w:val="00F7763F"/>
    <w:rsid w:val="00F7765A"/>
    <w:rsid w:val="00F7768B"/>
    <w:rsid w:val="00F776AF"/>
    <w:rsid w:val="00F776C0"/>
    <w:rsid w:val="00F776E6"/>
    <w:rsid w:val="00F777A2"/>
    <w:rsid w:val="00F777D7"/>
    <w:rsid w:val="00F777F4"/>
    <w:rsid w:val="00F7781A"/>
    <w:rsid w:val="00F77883"/>
    <w:rsid w:val="00F778CC"/>
    <w:rsid w:val="00F7794B"/>
    <w:rsid w:val="00F779A8"/>
    <w:rsid w:val="00F779D2"/>
    <w:rsid w:val="00F77A1A"/>
    <w:rsid w:val="00F77A4D"/>
    <w:rsid w:val="00F77A5C"/>
    <w:rsid w:val="00F77A7C"/>
    <w:rsid w:val="00F77AE1"/>
    <w:rsid w:val="00F77AED"/>
    <w:rsid w:val="00F77AF4"/>
    <w:rsid w:val="00F77B9D"/>
    <w:rsid w:val="00F77C05"/>
    <w:rsid w:val="00F77C38"/>
    <w:rsid w:val="00F77C62"/>
    <w:rsid w:val="00F77CB4"/>
    <w:rsid w:val="00F77CCB"/>
    <w:rsid w:val="00F77CF6"/>
    <w:rsid w:val="00F77DD3"/>
    <w:rsid w:val="00F77EDA"/>
    <w:rsid w:val="00F77F16"/>
    <w:rsid w:val="00F77FAE"/>
    <w:rsid w:val="00F7C7AD"/>
    <w:rsid w:val="00F80195"/>
    <w:rsid w:val="00F80213"/>
    <w:rsid w:val="00F80214"/>
    <w:rsid w:val="00F8021C"/>
    <w:rsid w:val="00F80389"/>
    <w:rsid w:val="00F803F4"/>
    <w:rsid w:val="00F80450"/>
    <w:rsid w:val="00F80502"/>
    <w:rsid w:val="00F80521"/>
    <w:rsid w:val="00F8055D"/>
    <w:rsid w:val="00F80596"/>
    <w:rsid w:val="00F805B9"/>
    <w:rsid w:val="00F805CB"/>
    <w:rsid w:val="00F80620"/>
    <w:rsid w:val="00F8067E"/>
    <w:rsid w:val="00F80780"/>
    <w:rsid w:val="00F807EE"/>
    <w:rsid w:val="00F8086E"/>
    <w:rsid w:val="00F80962"/>
    <w:rsid w:val="00F80969"/>
    <w:rsid w:val="00F8096A"/>
    <w:rsid w:val="00F809A7"/>
    <w:rsid w:val="00F809F8"/>
    <w:rsid w:val="00F80A87"/>
    <w:rsid w:val="00F80AA8"/>
    <w:rsid w:val="00F80AD6"/>
    <w:rsid w:val="00F80AE1"/>
    <w:rsid w:val="00F80BBD"/>
    <w:rsid w:val="00F80BC4"/>
    <w:rsid w:val="00F80BDB"/>
    <w:rsid w:val="00F80BFA"/>
    <w:rsid w:val="00F80BFD"/>
    <w:rsid w:val="00F80C1C"/>
    <w:rsid w:val="00F80C9C"/>
    <w:rsid w:val="00F80CD2"/>
    <w:rsid w:val="00F80D46"/>
    <w:rsid w:val="00F80D83"/>
    <w:rsid w:val="00F80E0E"/>
    <w:rsid w:val="00F80E2A"/>
    <w:rsid w:val="00F80E34"/>
    <w:rsid w:val="00F80E79"/>
    <w:rsid w:val="00F80ED0"/>
    <w:rsid w:val="00F80ED8"/>
    <w:rsid w:val="00F80EE3"/>
    <w:rsid w:val="00F80EFD"/>
    <w:rsid w:val="00F80F3A"/>
    <w:rsid w:val="00F80F73"/>
    <w:rsid w:val="00F80FAB"/>
    <w:rsid w:val="00F80FAF"/>
    <w:rsid w:val="00F80FEE"/>
    <w:rsid w:val="00F810D5"/>
    <w:rsid w:val="00F810EE"/>
    <w:rsid w:val="00F81196"/>
    <w:rsid w:val="00F811B1"/>
    <w:rsid w:val="00F8122B"/>
    <w:rsid w:val="00F8122C"/>
    <w:rsid w:val="00F8122D"/>
    <w:rsid w:val="00F81234"/>
    <w:rsid w:val="00F812C3"/>
    <w:rsid w:val="00F81315"/>
    <w:rsid w:val="00F8138A"/>
    <w:rsid w:val="00F81467"/>
    <w:rsid w:val="00F8148D"/>
    <w:rsid w:val="00F8149E"/>
    <w:rsid w:val="00F814B2"/>
    <w:rsid w:val="00F8152D"/>
    <w:rsid w:val="00F81544"/>
    <w:rsid w:val="00F8154D"/>
    <w:rsid w:val="00F815B3"/>
    <w:rsid w:val="00F815D8"/>
    <w:rsid w:val="00F8162F"/>
    <w:rsid w:val="00F81639"/>
    <w:rsid w:val="00F816DA"/>
    <w:rsid w:val="00F816EA"/>
    <w:rsid w:val="00F816ED"/>
    <w:rsid w:val="00F81787"/>
    <w:rsid w:val="00F817F7"/>
    <w:rsid w:val="00F818D2"/>
    <w:rsid w:val="00F818E2"/>
    <w:rsid w:val="00F81940"/>
    <w:rsid w:val="00F8195F"/>
    <w:rsid w:val="00F8198E"/>
    <w:rsid w:val="00F81A1B"/>
    <w:rsid w:val="00F81A3F"/>
    <w:rsid w:val="00F81A40"/>
    <w:rsid w:val="00F81A6A"/>
    <w:rsid w:val="00F81AEC"/>
    <w:rsid w:val="00F81B2F"/>
    <w:rsid w:val="00F81B51"/>
    <w:rsid w:val="00F81B60"/>
    <w:rsid w:val="00F81B66"/>
    <w:rsid w:val="00F81B78"/>
    <w:rsid w:val="00F81BAA"/>
    <w:rsid w:val="00F81C15"/>
    <w:rsid w:val="00F81C22"/>
    <w:rsid w:val="00F81C2A"/>
    <w:rsid w:val="00F81D5B"/>
    <w:rsid w:val="00F81D5C"/>
    <w:rsid w:val="00F81E80"/>
    <w:rsid w:val="00F81EA3"/>
    <w:rsid w:val="00F81EFF"/>
    <w:rsid w:val="00F81F1F"/>
    <w:rsid w:val="00F81F7E"/>
    <w:rsid w:val="00F81F95"/>
    <w:rsid w:val="00F81FDA"/>
    <w:rsid w:val="00F82014"/>
    <w:rsid w:val="00F82076"/>
    <w:rsid w:val="00F82088"/>
    <w:rsid w:val="00F820B9"/>
    <w:rsid w:val="00F82126"/>
    <w:rsid w:val="00F8216B"/>
    <w:rsid w:val="00F821AF"/>
    <w:rsid w:val="00F821C5"/>
    <w:rsid w:val="00F821F5"/>
    <w:rsid w:val="00F8220E"/>
    <w:rsid w:val="00F8228C"/>
    <w:rsid w:val="00F822EC"/>
    <w:rsid w:val="00F82351"/>
    <w:rsid w:val="00F82353"/>
    <w:rsid w:val="00F82499"/>
    <w:rsid w:val="00F8250C"/>
    <w:rsid w:val="00F82555"/>
    <w:rsid w:val="00F8255F"/>
    <w:rsid w:val="00F825F0"/>
    <w:rsid w:val="00F8263B"/>
    <w:rsid w:val="00F82649"/>
    <w:rsid w:val="00F82665"/>
    <w:rsid w:val="00F82669"/>
    <w:rsid w:val="00F82733"/>
    <w:rsid w:val="00F8280F"/>
    <w:rsid w:val="00F8281C"/>
    <w:rsid w:val="00F82851"/>
    <w:rsid w:val="00F828AB"/>
    <w:rsid w:val="00F828DE"/>
    <w:rsid w:val="00F828E6"/>
    <w:rsid w:val="00F828F7"/>
    <w:rsid w:val="00F82908"/>
    <w:rsid w:val="00F82930"/>
    <w:rsid w:val="00F82948"/>
    <w:rsid w:val="00F829CF"/>
    <w:rsid w:val="00F82AAC"/>
    <w:rsid w:val="00F82AC2"/>
    <w:rsid w:val="00F82B24"/>
    <w:rsid w:val="00F82C3D"/>
    <w:rsid w:val="00F82C48"/>
    <w:rsid w:val="00F82CAA"/>
    <w:rsid w:val="00F82D16"/>
    <w:rsid w:val="00F82D26"/>
    <w:rsid w:val="00F82E13"/>
    <w:rsid w:val="00F82E6A"/>
    <w:rsid w:val="00F82E8A"/>
    <w:rsid w:val="00F82EC2"/>
    <w:rsid w:val="00F82EED"/>
    <w:rsid w:val="00F82F41"/>
    <w:rsid w:val="00F82F5B"/>
    <w:rsid w:val="00F82F8C"/>
    <w:rsid w:val="00F82FA0"/>
    <w:rsid w:val="00F83076"/>
    <w:rsid w:val="00F831B6"/>
    <w:rsid w:val="00F831D2"/>
    <w:rsid w:val="00F8326F"/>
    <w:rsid w:val="00F83271"/>
    <w:rsid w:val="00F832CD"/>
    <w:rsid w:val="00F83309"/>
    <w:rsid w:val="00F8331F"/>
    <w:rsid w:val="00F8337D"/>
    <w:rsid w:val="00F833C0"/>
    <w:rsid w:val="00F833D8"/>
    <w:rsid w:val="00F83447"/>
    <w:rsid w:val="00F83479"/>
    <w:rsid w:val="00F834CB"/>
    <w:rsid w:val="00F834E0"/>
    <w:rsid w:val="00F834EE"/>
    <w:rsid w:val="00F834F2"/>
    <w:rsid w:val="00F8354A"/>
    <w:rsid w:val="00F83555"/>
    <w:rsid w:val="00F8361E"/>
    <w:rsid w:val="00F83654"/>
    <w:rsid w:val="00F83689"/>
    <w:rsid w:val="00F836FE"/>
    <w:rsid w:val="00F83775"/>
    <w:rsid w:val="00F83784"/>
    <w:rsid w:val="00F83824"/>
    <w:rsid w:val="00F83880"/>
    <w:rsid w:val="00F83933"/>
    <w:rsid w:val="00F83934"/>
    <w:rsid w:val="00F83969"/>
    <w:rsid w:val="00F839B2"/>
    <w:rsid w:val="00F839F5"/>
    <w:rsid w:val="00F83A24"/>
    <w:rsid w:val="00F83A25"/>
    <w:rsid w:val="00F83A84"/>
    <w:rsid w:val="00F83B92"/>
    <w:rsid w:val="00F83BC0"/>
    <w:rsid w:val="00F83BE0"/>
    <w:rsid w:val="00F83C75"/>
    <w:rsid w:val="00F83C87"/>
    <w:rsid w:val="00F83CE2"/>
    <w:rsid w:val="00F83CF5"/>
    <w:rsid w:val="00F83D36"/>
    <w:rsid w:val="00F83D5D"/>
    <w:rsid w:val="00F83EE0"/>
    <w:rsid w:val="00F83F45"/>
    <w:rsid w:val="00F83FE5"/>
    <w:rsid w:val="00F83FF1"/>
    <w:rsid w:val="00F84000"/>
    <w:rsid w:val="00F84022"/>
    <w:rsid w:val="00F84095"/>
    <w:rsid w:val="00F84107"/>
    <w:rsid w:val="00F841A4"/>
    <w:rsid w:val="00F841B7"/>
    <w:rsid w:val="00F841FB"/>
    <w:rsid w:val="00F84236"/>
    <w:rsid w:val="00F8423F"/>
    <w:rsid w:val="00F842FA"/>
    <w:rsid w:val="00F8430B"/>
    <w:rsid w:val="00F84336"/>
    <w:rsid w:val="00F84348"/>
    <w:rsid w:val="00F8435D"/>
    <w:rsid w:val="00F84399"/>
    <w:rsid w:val="00F84435"/>
    <w:rsid w:val="00F8448C"/>
    <w:rsid w:val="00F844B0"/>
    <w:rsid w:val="00F84510"/>
    <w:rsid w:val="00F8452F"/>
    <w:rsid w:val="00F84594"/>
    <w:rsid w:val="00F845D0"/>
    <w:rsid w:val="00F845FA"/>
    <w:rsid w:val="00F8466B"/>
    <w:rsid w:val="00F846CC"/>
    <w:rsid w:val="00F84715"/>
    <w:rsid w:val="00F84736"/>
    <w:rsid w:val="00F8477A"/>
    <w:rsid w:val="00F8478B"/>
    <w:rsid w:val="00F847CE"/>
    <w:rsid w:val="00F847DC"/>
    <w:rsid w:val="00F848EA"/>
    <w:rsid w:val="00F84947"/>
    <w:rsid w:val="00F84A27"/>
    <w:rsid w:val="00F84A2D"/>
    <w:rsid w:val="00F84BFE"/>
    <w:rsid w:val="00F84CFB"/>
    <w:rsid w:val="00F84E36"/>
    <w:rsid w:val="00F84E45"/>
    <w:rsid w:val="00F84E47"/>
    <w:rsid w:val="00F84EEF"/>
    <w:rsid w:val="00F85025"/>
    <w:rsid w:val="00F850DB"/>
    <w:rsid w:val="00F8511E"/>
    <w:rsid w:val="00F85126"/>
    <w:rsid w:val="00F851F4"/>
    <w:rsid w:val="00F8528A"/>
    <w:rsid w:val="00F852DE"/>
    <w:rsid w:val="00F852F5"/>
    <w:rsid w:val="00F853A4"/>
    <w:rsid w:val="00F853BD"/>
    <w:rsid w:val="00F85480"/>
    <w:rsid w:val="00F854C9"/>
    <w:rsid w:val="00F854ED"/>
    <w:rsid w:val="00F85513"/>
    <w:rsid w:val="00F855B2"/>
    <w:rsid w:val="00F855F4"/>
    <w:rsid w:val="00F85623"/>
    <w:rsid w:val="00F8562A"/>
    <w:rsid w:val="00F8562F"/>
    <w:rsid w:val="00F856BC"/>
    <w:rsid w:val="00F8571E"/>
    <w:rsid w:val="00F857A4"/>
    <w:rsid w:val="00F857E7"/>
    <w:rsid w:val="00F85851"/>
    <w:rsid w:val="00F85871"/>
    <w:rsid w:val="00F858A9"/>
    <w:rsid w:val="00F858B9"/>
    <w:rsid w:val="00F8595D"/>
    <w:rsid w:val="00F859B7"/>
    <w:rsid w:val="00F859F1"/>
    <w:rsid w:val="00F85A00"/>
    <w:rsid w:val="00F85A49"/>
    <w:rsid w:val="00F85A59"/>
    <w:rsid w:val="00F85A88"/>
    <w:rsid w:val="00F85A97"/>
    <w:rsid w:val="00F85AEC"/>
    <w:rsid w:val="00F85B4D"/>
    <w:rsid w:val="00F85B88"/>
    <w:rsid w:val="00F85BCB"/>
    <w:rsid w:val="00F85C0A"/>
    <w:rsid w:val="00F85C16"/>
    <w:rsid w:val="00F85CBC"/>
    <w:rsid w:val="00F85CD9"/>
    <w:rsid w:val="00F85D1D"/>
    <w:rsid w:val="00F85D6F"/>
    <w:rsid w:val="00F85DB9"/>
    <w:rsid w:val="00F85E24"/>
    <w:rsid w:val="00F85E5D"/>
    <w:rsid w:val="00F85E80"/>
    <w:rsid w:val="00F85EB8"/>
    <w:rsid w:val="00F85ED9"/>
    <w:rsid w:val="00F85EE8"/>
    <w:rsid w:val="00F85F23"/>
    <w:rsid w:val="00F85F50"/>
    <w:rsid w:val="00F8604D"/>
    <w:rsid w:val="00F8606B"/>
    <w:rsid w:val="00F86088"/>
    <w:rsid w:val="00F86142"/>
    <w:rsid w:val="00F861A2"/>
    <w:rsid w:val="00F861C0"/>
    <w:rsid w:val="00F861D8"/>
    <w:rsid w:val="00F861E2"/>
    <w:rsid w:val="00F861EF"/>
    <w:rsid w:val="00F86288"/>
    <w:rsid w:val="00F86344"/>
    <w:rsid w:val="00F8634A"/>
    <w:rsid w:val="00F86365"/>
    <w:rsid w:val="00F863BD"/>
    <w:rsid w:val="00F86458"/>
    <w:rsid w:val="00F8648B"/>
    <w:rsid w:val="00F8648D"/>
    <w:rsid w:val="00F86501"/>
    <w:rsid w:val="00F8652C"/>
    <w:rsid w:val="00F86567"/>
    <w:rsid w:val="00F8657B"/>
    <w:rsid w:val="00F865F6"/>
    <w:rsid w:val="00F86675"/>
    <w:rsid w:val="00F866DF"/>
    <w:rsid w:val="00F867C5"/>
    <w:rsid w:val="00F8681E"/>
    <w:rsid w:val="00F86842"/>
    <w:rsid w:val="00F86845"/>
    <w:rsid w:val="00F86877"/>
    <w:rsid w:val="00F868B8"/>
    <w:rsid w:val="00F86901"/>
    <w:rsid w:val="00F86944"/>
    <w:rsid w:val="00F869A5"/>
    <w:rsid w:val="00F869AF"/>
    <w:rsid w:val="00F869B3"/>
    <w:rsid w:val="00F869E8"/>
    <w:rsid w:val="00F86A9B"/>
    <w:rsid w:val="00F86AA7"/>
    <w:rsid w:val="00F86B29"/>
    <w:rsid w:val="00F86B90"/>
    <w:rsid w:val="00F86BA7"/>
    <w:rsid w:val="00F86C61"/>
    <w:rsid w:val="00F86C8E"/>
    <w:rsid w:val="00F86CA0"/>
    <w:rsid w:val="00F86CC3"/>
    <w:rsid w:val="00F86D1F"/>
    <w:rsid w:val="00F86D7D"/>
    <w:rsid w:val="00F86D98"/>
    <w:rsid w:val="00F86DD3"/>
    <w:rsid w:val="00F86E0D"/>
    <w:rsid w:val="00F86E5E"/>
    <w:rsid w:val="00F86E7A"/>
    <w:rsid w:val="00F86F4F"/>
    <w:rsid w:val="00F86F76"/>
    <w:rsid w:val="00F8702C"/>
    <w:rsid w:val="00F87030"/>
    <w:rsid w:val="00F870A0"/>
    <w:rsid w:val="00F870DD"/>
    <w:rsid w:val="00F8711C"/>
    <w:rsid w:val="00F87150"/>
    <w:rsid w:val="00F8718B"/>
    <w:rsid w:val="00F872AC"/>
    <w:rsid w:val="00F872E1"/>
    <w:rsid w:val="00F8731E"/>
    <w:rsid w:val="00F873E4"/>
    <w:rsid w:val="00F873FC"/>
    <w:rsid w:val="00F87411"/>
    <w:rsid w:val="00F87447"/>
    <w:rsid w:val="00F874F6"/>
    <w:rsid w:val="00F874FE"/>
    <w:rsid w:val="00F8755D"/>
    <w:rsid w:val="00F875F0"/>
    <w:rsid w:val="00F8762B"/>
    <w:rsid w:val="00F8763D"/>
    <w:rsid w:val="00F8768D"/>
    <w:rsid w:val="00F876D3"/>
    <w:rsid w:val="00F8773E"/>
    <w:rsid w:val="00F87750"/>
    <w:rsid w:val="00F8778F"/>
    <w:rsid w:val="00F877AA"/>
    <w:rsid w:val="00F877AE"/>
    <w:rsid w:val="00F8785C"/>
    <w:rsid w:val="00F878C6"/>
    <w:rsid w:val="00F879DE"/>
    <w:rsid w:val="00F87A27"/>
    <w:rsid w:val="00F87AA9"/>
    <w:rsid w:val="00F87AAE"/>
    <w:rsid w:val="00F87C3C"/>
    <w:rsid w:val="00F87CDD"/>
    <w:rsid w:val="00F87D99"/>
    <w:rsid w:val="00F87DFC"/>
    <w:rsid w:val="00F87E46"/>
    <w:rsid w:val="00F87E53"/>
    <w:rsid w:val="00F87EFC"/>
    <w:rsid w:val="00F87FC6"/>
    <w:rsid w:val="00F87FD8"/>
    <w:rsid w:val="00F87FE2"/>
    <w:rsid w:val="00F9001F"/>
    <w:rsid w:val="00F9007E"/>
    <w:rsid w:val="00F900B2"/>
    <w:rsid w:val="00F900DE"/>
    <w:rsid w:val="00F90100"/>
    <w:rsid w:val="00F90104"/>
    <w:rsid w:val="00F90135"/>
    <w:rsid w:val="00F90171"/>
    <w:rsid w:val="00F901AB"/>
    <w:rsid w:val="00F901E7"/>
    <w:rsid w:val="00F901F9"/>
    <w:rsid w:val="00F90259"/>
    <w:rsid w:val="00F9028D"/>
    <w:rsid w:val="00F9029E"/>
    <w:rsid w:val="00F902E2"/>
    <w:rsid w:val="00F90353"/>
    <w:rsid w:val="00F9035E"/>
    <w:rsid w:val="00F903BD"/>
    <w:rsid w:val="00F904E6"/>
    <w:rsid w:val="00F90531"/>
    <w:rsid w:val="00F905BD"/>
    <w:rsid w:val="00F905C1"/>
    <w:rsid w:val="00F905E2"/>
    <w:rsid w:val="00F906A5"/>
    <w:rsid w:val="00F90754"/>
    <w:rsid w:val="00F90803"/>
    <w:rsid w:val="00F90965"/>
    <w:rsid w:val="00F90970"/>
    <w:rsid w:val="00F909AD"/>
    <w:rsid w:val="00F909FD"/>
    <w:rsid w:val="00F90A7D"/>
    <w:rsid w:val="00F90B0A"/>
    <w:rsid w:val="00F90BD8"/>
    <w:rsid w:val="00F90C32"/>
    <w:rsid w:val="00F90C6B"/>
    <w:rsid w:val="00F90D2F"/>
    <w:rsid w:val="00F90D3F"/>
    <w:rsid w:val="00F90D6B"/>
    <w:rsid w:val="00F90E0A"/>
    <w:rsid w:val="00F90E3C"/>
    <w:rsid w:val="00F90E88"/>
    <w:rsid w:val="00F90EB1"/>
    <w:rsid w:val="00F90F76"/>
    <w:rsid w:val="00F90F91"/>
    <w:rsid w:val="00F90FF0"/>
    <w:rsid w:val="00F9100F"/>
    <w:rsid w:val="00F9105B"/>
    <w:rsid w:val="00F91088"/>
    <w:rsid w:val="00F91091"/>
    <w:rsid w:val="00F91097"/>
    <w:rsid w:val="00F910DC"/>
    <w:rsid w:val="00F91126"/>
    <w:rsid w:val="00F911C4"/>
    <w:rsid w:val="00F9123F"/>
    <w:rsid w:val="00F91298"/>
    <w:rsid w:val="00F9129E"/>
    <w:rsid w:val="00F912B4"/>
    <w:rsid w:val="00F912E5"/>
    <w:rsid w:val="00F9138F"/>
    <w:rsid w:val="00F913A3"/>
    <w:rsid w:val="00F91439"/>
    <w:rsid w:val="00F9149D"/>
    <w:rsid w:val="00F914CE"/>
    <w:rsid w:val="00F915BC"/>
    <w:rsid w:val="00F91668"/>
    <w:rsid w:val="00F91689"/>
    <w:rsid w:val="00F91701"/>
    <w:rsid w:val="00F91840"/>
    <w:rsid w:val="00F918E4"/>
    <w:rsid w:val="00F91969"/>
    <w:rsid w:val="00F91BA3"/>
    <w:rsid w:val="00F91BAB"/>
    <w:rsid w:val="00F91BD5"/>
    <w:rsid w:val="00F91C5C"/>
    <w:rsid w:val="00F91C5D"/>
    <w:rsid w:val="00F91CCB"/>
    <w:rsid w:val="00F91D04"/>
    <w:rsid w:val="00F91D24"/>
    <w:rsid w:val="00F91D57"/>
    <w:rsid w:val="00F91DBD"/>
    <w:rsid w:val="00F91DE7"/>
    <w:rsid w:val="00F91E3F"/>
    <w:rsid w:val="00F91E56"/>
    <w:rsid w:val="00F91E6F"/>
    <w:rsid w:val="00F91E7F"/>
    <w:rsid w:val="00F91E97"/>
    <w:rsid w:val="00F91EBB"/>
    <w:rsid w:val="00F91EC8"/>
    <w:rsid w:val="00F91ED8"/>
    <w:rsid w:val="00F91F23"/>
    <w:rsid w:val="00F91FBC"/>
    <w:rsid w:val="00F92023"/>
    <w:rsid w:val="00F9209B"/>
    <w:rsid w:val="00F920BF"/>
    <w:rsid w:val="00F92176"/>
    <w:rsid w:val="00F92235"/>
    <w:rsid w:val="00F92241"/>
    <w:rsid w:val="00F92255"/>
    <w:rsid w:val="00F92285"/>
    <w:rsid w:val="00F92296"/>
    <w:rsid w:val="00F9229A"/>
    <w:rsid w:val="00F9229C"/>
    <w:rsid w:val="00F922B3"/>
    <w:rsid w:val="00F922F6"/>
    <w:rsid w:val="00F9233E"/>
    <w:rsid w:val="00F92371"/>
    <w:rsid w:val="00F923A2"/>
    <w:rsid w:val="00F924A3"/>
    <w:rsid w:val="00F924DE"/>
    <w:rsid w:val="00F9250C"/>
    <w:rsid w:val="00F925BC"/>
    <w:rsid w:val="00F92627"/>
    <w:rsid w:val="00F9269E"/>
    <w:rsid w:val="00F92701"/>
    <w:rsid w:val="00F92707"/>
    <w:rsid w:val="00F927E3"/>
    <w:rsid w:val="00F928A5"/>
    <w:rsid w:val="00F9290D"/>
    <w:rsid w:val="00F92945"/>
    <w:rsid w:val="00F92963"/>
    <w:rsid w:val="00F929AD"/>
    <w:rsid w:val="00F92B65"/>
    <w:rsid w:val="00F92B6E"/>
    <w:rsid w:val="00F92BC1"/>
    <w:rsid w:val="00F92BD7"/>
    <w:rsid w:val="00F92C16"/>
    <w:rsid w:val="00F92C7E"/>
    <w:rsid w:val="00F92C91"/>
    <w:rsid w:val="00F92CB2"/>
    <w:rsid w:val="00F92CF3"/>
    <w:rsid w:val="00F92D0A"/>
    <w:rsid w:val="00F92D46"/>
    <w:rsid w:val="00F92D6A"/>
    <w:rsid w:val="00F92E38"/>
    <w:rsid w:val="00F92F3D"/>
    <w:rsid w:val="00F92F48"/>
    <w:rsid w:val="00F92FC5"/>
    <w:rsid w:val="00F92FF6"/>
    <w:rsid w:val="00F9308C"/>
    <w:rsid w:val="00F9309C"/>
    <w:rsid w:val="00F930D0"/>
    <w:rsid w:val="00F93139"/>
    <w:rsid w:val="00F93181"/>
    <w:rsid w:val="00F931EA"/>
    <w:rsid w:val="00F93207"/>
    <w:rsid w:val="00F93309"/>
    <w:rsid w:val="00F93318"/>
    <w:rsid w:val="00F9331F"/>
    <w:rsid w:val="00F933BE"/>
    <w:rsid w:val="00F933C4"/>
    <w:rsid w:val="00F933C7"/>
    <w:rsid w:val="00F9342E"/>
    <w:rsid w:val="00F934E8"/>
    <w:rsid w:val="00F934F3"/>
    <w:rsid w:val="00F93529"/>
    <w:rsid w:val="00F93564"/>
    <w:rsid w:val="00F93595"/>
    <w:rsid w:val="00F9362D"/>
    <w:rsid w:val="00F93679"/>
    <w:rsid w:val="00F9368C"/>
    <w:rsid w:val="00F936D4"/>
    <w:rsid w:val="00F936F9"/>
    <w:rsid w:val="00F93760"/>
    <w:rsid w:val="00F93776"/>
    <w:rsid w:val="00F93807"/>
    <w:rsid w:val="00F9388F"/>
    <w:rsid w:val="00F939A4"/>
    <w:rsid w:val="00F939F0"/>
    <w:rsid w:val="00F93A1A"/>
    <w:rsid w:val="00F93A51"/>
    <w:rsid w:val="00F93AB1"/>
    <w:rsid w:val="00F93AE4"/>
    <w:rsid w:val="00F93B35"/>
    <w:rsid w:val="00F93C59"/>
    <w:rsid w:val="00F93C6E"/>
    <w:rsid w:val="00F93C93"/>
    <w:rsid w:val="00F93CF0"/>
    <w:rsid w:val="00F93D96"/>
    <w:rsid w:val="00F93EA2"/>
    <w:rsid w:val="00F93EBA"/>
    <w:rsid w:val="00F93F4E"/>
    <w:rsid w:val="00F93F76"/>
    <w:rsid w:val="00F93F99"/>
    <w:rsid w:val="00F93FD1"/>
    <w:rsid w:val="00F93FE7"/>
    <w:rsid w:val="00F9408F"/>
    <w:rsid w:val="00F940F0"/>
    <w:rsid w:val="00F94144"/>
    <w:rsid w:val="00F94167"/>
    <w:rsid w:val="00F94219"/>
    <w:rsid w:val="00F94260"/>
    <w:rsid w:val="00F942FA"/>
    <w:rsid w:val="00F9430B"/>
    <w:rsid w:val="00F94313"/>
    <w:rsid w:val="00F9435B"/>
    <w:rsid w:val="00F94421"/>
    <w:rsid w:val="00F945D3"/>
    <w:rsid w:val="00F9465C"/>
    <w:rsid w:val="00F9465E"/>
    <w:rsid w:val="00F9466A"/>
    <w:rsid w:val="00F946A3"/>
    <w:rsid w:val="00F946C2"/>
    <w:rsid w:val="00F946D9"/>
    <w:rsid w:val="00F946F0"/>
    <w:rsid w:val="00F9473F"/>
    <w:rsid w:val="00F9479A"/>
    <w:rsid w:val="00F947F5"/>
    <w:rsid w:val="00F9480F"/>
    <w:rsid w:val="00F94883"/>
    <w:rsid w:val="00F94916"/>
    <w:rsid w:val="00F94956"/>
    <w:rsid w:val="00F94976"/>
    <w:rsid w:val="00F949EE"/>
    <w:rsid w:val="00F94A1F"/>
    <w:rsid w:val="00F94A3C"/>
    <w:rsid w:val="00F94A63"/>
    <w:rsid w:val="00F94A6F"/>
    <w:rsid w:val="00F94A7F"/>
    <w:rsid w:val="00F94B57"/>
    <w:rsid w:val="00F94BA1"/>
    <w:rsid w:val="00F94BB0"/>
    <w:rsid w:val="00F94C52"/>
    <w:rsid w:val="00F94C7D"/>
    <w:rsid w:val="00F94CB5"/>
    <w:rsid w:val="00F94CB7"/>
    <w:rsid w:val="00F94CF1"/>
    <w:rsid w:val="00F94D87"/>
    <w:rsid w:val="00F94D9E"/>
    <w:rsid w:val="00F94E16"/>
    <w:rsid w:val="00F94E4B"/>
    <w:rsid w:val="00F94E6E"/>
    <w:rsid w:val="00F94F3D"/>
    <w:rsid w:val="00F94F4A"/>
    <w:rsid w:val="00F94F9B"/>
    <w:rsid w:val="00F95026"/>
    <w:rsid w:val="00F950AD"/>
    <w:rsid w:val="00F95138"/>
    <w:rsid w:val="00F95176"/>
    <w:rsid w:val="00F9517E"/>
    <w:rsid w:val="00F951C3"/>
    <w:rsid w:val="00F951F7"/>
    <w:rsid w:val="00F9523E"/>
    <w:rsid w:val="00F9526D"/>
    <w:rsid w:val="00F952AD"/>
    <w:rsid w:val="00F952DE"/>
    <w:rsid w:val="00F952F7"/>
    <w:rsid w:val="00F95378"/>
    <w:rsid w:val="00F953C7"/>
    <w:rsid w:val="00F95459"/>
    <w:rsid w:val="00F954C1"/>
    <w:rsid w:val="00F954D4"/>
    <w:rsid w:val="00F954E1"/>
    <w:rsid w:val="00F954FB"/>
    <w:rsid w:val="00F95504"/>
    <w:rsid w:val="00F95552"/>
    <w:rsid w:val="00F956B8"/>
    <w:rsid w:val="00F95712"/>
    <w:rsid w:val="00F9577B"/>
    <w:rsid w:val="00F957A2"/>
    <w:rsid w:val="00F95858"/>
    <w:rsid w:val="00F9588F"/>
    <w:rsid w:val="00F95890"/>
    <w:rsid w:val="00F95896"/>
    <w:rsid w:val="00F958D7"/>
    <w:rsid w:val="00F958D9"/>
    <w:rsid w:val="00F958F1"/>
    <w:rsid w:val="00F95906"/>
    <w:rsid w:val="00F9595B"/>
    <w:rsid w:val="00F95A0F"/>
    <w:rsid w:val="00F95A2B"/>
    <w:rsid w:val="00F95A3D"/>
    <w:rsid w:val="00F95A9B"/>
    <w:rsid w:val="00F95AB2"/>
    <w:rsid w:val="00F95AFC"/>
    <w:rsid w:val="00F95B03"/>
    <w:rsid w:val="00F95B16"/>
    <w:rsid w:val="00F95B5D"/>
    <w:rsid w:val="00F95B84"/>
    <w:rsid w:val="00F95B9B"/>
    <w:rsid w:val="00F95BD1"/>
    <w:rsid w:val="00F95CBC"/>
    <w:rsid w:val="00F95CD9"/>
    <w:rsid w:val="00F95D30"/>
    <w:rsid w:val="00F95E07"/>
    <w:rsid w:val="00F95E2B"/>
    <w:rsid w:val="00F95E47"/>
    <w:rsid w:val="00F95F4B"/>
    <w:rsid w:val="00F95F78"/>
    <w:rsid w:val="00F95F9C"/>
    <w:rsid w:val="00F95FA2"/>
    <w:rsid w:val="00F95FB0"/>
    <w:rsid w:val="00F95FE1"/>
    <w:rsid w:val="00F9606E"/>
    <w:rsid w:val="00F96119"/>
    <w:rsid w:val="00F96125"/>
    <w:rsid w:val="00F9622A"/>
    <w:rsid w:val="00F9633A"/>
    <w:rsid w:val="00F96356"/>
    <w:rsid w:val="00F9637F"/>
    <w:rsid w:val="00F96435"/>
    <w:rsid w:val="00F96448"/>
    <w:rsid w:val="00F9645A"/>
    <w:rsid w:val="00F96464"/>
    <w:rsid w:val="00F96484"/>
    <w:rsid w:val="00F9655E"/>
    <w:rsid w:val="00F96566"/>
    <w:rsid w:val="00F965B7"/>
    <w:rsid w:val="00F9672E"/>
    <w:rsid w:val="00F96786"/>
    <w:rsid w:val="00F967A1"/>
    <w:rsid w:val="00F9689D"/>
    <w:rsid w:val="00F9697D"/>
    <w:rsid w:val="00F96A4A"/>
    <w:rsid w:val="00F96B0F"/>
    <w:rsid w:val="00F96B57"/>
    <w:rsid w:val="00F96B98"/>
    <w:rsid w:val="00F96C18"/>
    <w:rsid w:val="00F96C7C"/>
    <w:rsid w:val="00F96D0E"/>
    <w:rsid w:val="00F96D2F"/>
    <w:rsid w:val="00F96DDA"/>
    <w:rsid w:val="00F96E52"/>
    <w:rsid w:val="00F96EC4"/>
    <w:rsid w:val="00F96F6E"/>
    <w:rsid w:val="00F96FA1"/>
    <w:rsid w:val="00F96FBC"/>
    <w:rsid w:val="00F96FC0"/>
    <w:rsid w:val="00F9703D"/>
    <w:rsid w:val="00F97061"/>
    <w:rsid w:val="00F9726A"/>
    <w:rsid w:val="00F972B0"/>
    <w:rsid w:val="00F973C1"/>
    <w:rsid w:val="00F973C2"/>
    <w:rsid w:val="00F973F9"/>
    <w:rsid w:val="00F974A6"/>
    <w:rsid w:val="00F974C5"/>
    <w:rsid w:val="00F975DF"/>
    <w:rsid w:val="00F97613"/>
    <w:rsid w:val="00F97619"/>
    <w:rsid w:val="00F97718"/>
    <w:rsid w:val="00F97769"/>
    <w:rsid w:val="00F97804"/>
    <w:rsid w:val="00F97808"/>
    <w:rsid w:val="00F9781E"/>
    <w:rsid w:val="00F97855"/>
    <w:rsid w:val="00F978EB"/>
    <w:rsid w:val="00F978F3"/>
    <w:rsid w:val="00F97938"/>
    <w:rsid w:val="00F9794A"/>
    <w:rsid w:val="00F9799E"/>
    <w:rsid w:val="00F979E2"/>
    <w:rsid w:val="00F979ED"/>
    <w:rsid w:val="00F979FD"/>
    <w:rsid w:val="00F97B87"/>
    <w:rsid w:val="00F97BA2"/>
    <w:rsid w:val="00F97BCB"/>
    <w:rsid w:val="00F97BEA"/>
    <w:rsid w:val="00F97C3E"/>
    <w:rsid w:val="00F97CF9"/>
    <w:rsid w:val="00F97DEB"/>
    <w:rsid w:val="00F97DFD"/>
    <w:rsid w:val="00F97E82"/>
    <w:rsid w:val="00F97F3E"/>
    <w:rsid w:val="00FA00C0"/>
    <w:rsid w:val="00FA00CE"/>
    <w:rsid w:val="00FA00EC"/>
    <w:rsid w:val="00FA0119"/>
    <w:rsid w:val="00FA012F"/>
    <w:rsid w:val="00FA019D"/>
    <w:rsid w:val="00FA01EE"/>
    <w:rsid w:val="00FA01F8"/>
    <w:rsid w:val="00FA0230"/>
    <w:rsid w:val="00FA032E"/>
    <w:rsid w:val="00FA033D"/>
    <w:rsid w:val="00FA034B"/>
    <w:rsid w:val="00FA044E"/>
    <w:rsid w:val="00FA0489"/>
    <w:rsid w:val="00FA04C8"/>
    <w:rsid w:val="00FA04E6"/>
    <w:rsid w:val="00FA04F8"/>
    <w:rsid w:val="00FA0535"/>
    <w:rsid w:val="00FA0587"/>
    <w:rsid w:val="00FA0629"/>
    <w:rsid w:val="00FA0635"/>
    <w:rsid w:val="00FA0678"/>
    <w:rsid w:val="00FA06A1"/>
    <w:rsid w:val="00FA06B7"/>
    <w:rsid w:val="00FA06E8"/>
    <w:rsid w:val="00FA070D"/>
    <w:rsid w:val="00FA0744"/>
    <w:rsid w:val="00FA0777"/>
    <w:rsid w:val="00FA079F"/>
    <w:rsid w:val="00FA07A0"/>
    <w:rsid w:val="00FA07F0"/>
    <w:rsid w:val="00FA07FE"/>
    <w:rsid w:val="00FA0827"/>
    <w:rsid w:val="00FA08BF"/>
    <w:rsid w:val="00FA08F5"/>
    <w:rsid w:val="00FA0922"/>
    <w:rsid w:val="00FA0950"/>
    <w:rsid w:val="00FA09C9"/>
    <w:rsid w:val="00FA09DE"/>
    <w:rsid w:val="00FA0A30"/>
    <w:rsid w:val="00FA0A48"/>
    <w:rsid w:val="00FA0A6B"/>
    <w:rsid w:val="00FA0A73"/>
    <w:rsid w:val="00FA0A9A"/>
    <w:rsid w:val="00FA0ABE"/>
    <w:rsid w:val="00FA0B13"/>
    <w:rsid w:val="00FA0B69"/>
    <w:rsid w:val="00FA0B70"/>
    <w:rsid w:val="00FA0BDA"/>
    <w:rsid w:val="00FA0BE9"/>
    <w:rsid w:val="00FA0BEE"/>
    <w:rsid w:val="00FA0C82"/>
    <w:rsid w:val="00FA0CB1"/>
    <w:rsid w:val="00FA0CD1"/>
    <w:rsid w:val="00FA0D35"/>
    <w:rsid w:val="00FA0D63"/>
    <w:rsid w:val="00FA0D71"/>
    <w:rsid w:val="00FA0D90"/>
    <w:rsid w:val="00FA0E33"/>
    <w:rsid w:val="00FA0EA7"/>
    <w:rsid w:val="00FA0EAF"/>
    <w:rsid w:val="00FA0EB6"/>
    <w:rsid w:val="00FA0F36"/>
    <w:rsid w:val="00FA0F90"/>
    <w:rsid w:val="00FA11D3"/>
    <w:rsid w:val="00FA11FE"/>
    <w:rsid w:val="00FA127B"/>
    <w:rsid w:val="00FA1319"/>
    <w:rsid w:val="00FA131F"/>
    <w:rsid w:val="00FA13D3"/>
    <w:rsid w:val="00FA1403"/>
    <w:rsid w:val="00FA1418"/>
    <w:rsid w:val="00FA14DA"/>
    <w:rsid w:val="00FA1511"/>
    <w:rsid w:val="00FA1522"/>
    <w:rsid w:val="00FA1551"/>
    <w:rsid w:val="00FA155E"/>
    <w:rsid w:val="00FA1596"/>
    <w:rsid w:val="00FA15AA"/>
    <w:rsid w:val="00FA16C2"/>
    <w:rsid w:val="00FA16C4"/>
    <w:rsid w:val="00FA16D0"/>
    <w:rsid w:val="00FA1722"/>
    <w:rsid w:val="00FA1740"/>
    <w:rsid w:val="00FA175E"/>
    <w:rsid w:val="00FA177D"/>
    <w:rsid w:val="00FA17CA"/>
    <w:rsid w:val="00FA1858"/>
    <w:rsid w:val="00FA1873"/>
    <w:rsid w:val="00FA1959"/>
    <w:rsid w:val="00FA196A"/>
    <w:rsid w:val="00FA19E5"/>
    <w:rsid w:val="00FA1A42"/>
    <w:rsid w:val="00FA1A9E"/>
    <w:rsid w:val="00FA1AB1"/>
    <w:rsid w:val="00FA1AE3"/>
    <w:rsid w:val="00FA1B35"/>
    <w:rsid w:val="00FA1B77"/>
    <w:rsid w:val="00FA1B8B"/>
    <w:rsid w:val="00FA1BA7"/>
    <w:rsid w:val="00FA1BB4"/>
    <w:rsid w:val="00FA1BDD"/>
    <w:rsid w:val="00FA1C7D"/>
    <w:rsid w:val="00FA1CA4"/>
    <w:rsid w:val="00FA1CFA"/>
    <w:rsid w:val="00FA1CFF"/>
    <w:rsid w:val="00FA1D37"/>
    <w:rsid w:val="00FA1D96"/>
    <w:rsid w:val="00FA1E46"/>
    <w:rsid w:val="00FA1E68"/>
    <w:rsid w:val="00FA1ECE"/>
    <w:rsid w:val="00FA1F72"/>
    <w:rsid w:val="00FA1F85"/>
    <w:rsid w:val="00FA1FAB"/>
    <w:rsid w:val="00FA1FB8"/>
    <w:rsid w:val="00FA201E"/>
    <w:rsid w:val="00FA20B7"/>
    <w:rsid w:val="00FA2128"/>
    <w:rsid w:val="00FA2190"/>
    <w:rsid w:val="00FA224C"/>
    <w:rsid w:val="00FA231E"/>
    <w:rsid w:val="00FA235D"/>
    <w:rsid w:val="00FA2377"/>
    <w:rsid w:val="00FA2402"/>
    <w:rsid w:val="00FA246A"/>
    <w:rsid w:val="00FA2472"/>
    <w:rsid w:val="00FA248B"/>
    <w:rsid w:val="00FA24B8"/>
    <w:rsid w:val="00FA24C5"/>
    <w:rsid w:val="00FA255D"/>
    <w:rsid w:val="00FA259F"/>
    <w:rsid w:val="00FA2620"/>
    <w:rsid w:val="00FA26C1"/>
    <w:rsid w:val="00FA26DA"/>
    <w:rsid w:val="00FA27C5"/>
    <w:rsid w:val="00FA27E0"/>
    <w:rsid w:val="00FA27F7"/>
    <w:rsid w:val="00FA281D"/>
    <w:rsid w:val="00FA2827"/>
    <w:rsid w:val="00FA2894"/>
    <w:rsid w:val="00FA28B8"/>
    <w:rsid w:val="00FA28C7"/>
    <w:rsid w:val="00FA2916"/>
    <w:rsid w:val="00FA291D"/>
    <w:rsid w:val="00FA29A8"/>
    <w:rsid w:val="00FA2A47"/>
    <w:rsid w:val="00FA2A72"/>
    <w:rsid w:val="00FA2A81"/>
    <w:rsid w:val="00FA2B48"/>
    <w:rsid w:val="00FA2B8F"/>
    <w:rsid w:val="00FA2BC0"/>
    <w:rsid w:val="00FA2BC9"/>
    <w:rsid w:val="00FA2BFE"/>
    <w:rsid w:val="00FA2C47"/>
    <w:rsid w:val="00FA2C65"/>
    <w:rsid w:val="00FA2C95"/>
    <w:rsid w:val="00FA2D9F"/>
    <w:rsid w:val="00FA2DDA"/>
    <w:rsid w:val="00FA2E20"/>
    <w:rsid w:val="00FA2E9C"/>
    <w:rsid w:val="00FA2ECA"/>
    <w:rsid w:val="00FA2EE8"/>
    <w:rsid w:val="00FA2EF7"/>
    <w:rsid w:val="00FA2F2A"/>
    <w:rsid w:val="00FA2F95"/>
    <w:rsid w:val="00FA2FC9"/>
    <w:rsid w:val="00FA3025"/>
    <w:rsid w:val="00FA3174"/>
    <w:rsid w:val="00FA327D"/>
    <w:rsid w:val="00FA3282"/>
    <w:rsid w:val="00FA328D"/>
    <w:rsid w:val="00FA3340"/>
    <w:rsid w:val="00FA3362"/>
    <w:rsid w:val="00FA33FB"/>
    <w:rsid w:val="00FA3424"/>
    <w:rsid w:val="00FA3427"/>
    <w:rsid w:val="00FA3483"/>
    <w:rsid w:val="00FA3490"/>
    <w:rsid w:val="00FA3588"/>
    <w:rsid w:val="00FA35C2"/>
    <w:rsid w:val="00FA3614"/>
    <w:rsid w:val="00FA3683"/>
    <w:rsid w:val="00FA3717"/>
    <w:rsid w:val="00FA3793"/>
    <w:rsid w:val="00FA37B1"/>
    <w:rsid w:val="00FA37CB"/>
    <w:rsid w:val="00FA38DD"/>
    <w:rsid w:val="00FA391A"/>
    <w:rsid w:val="00FA3997"/>
    <w:rsid w:val="00FA39DB"/>
    <w:rsid w:val="00FA39EF"/>
    <w:rsid w:val="00FA3A53"/>
    <w:rsid w:val="00FA3B4B"/>
    <w:rsid w:val="00FA3B71"/>
    <w:rsid w:val="00FA3C02"/>
    <w:rsid w:val="00FA3C16"/>
    <w:rsid w:val="00FA3C48"/>
    <w:rsid w:val="00FA3CA1"/>
    <w:rsid w:val="00FA3CBF"/>
    <w:rsid w:val="00FA3D1F"/>
    <w:rsid w:val="00FA3DB2"/>
    <w:rsid w:val="00FA3DF9"/>
    <w:rsid w:val="00FA3DFC"/>
    <w:rsid w:val="00FA3E39"/>
    <w:rsid w:val="00FA3EB0"/>
    <w:rsid w:val="00FA3EE5"/>
    <w:rsid w:val="00FA3F32"/>
    <w:rsid w:val="00FA3F42"/>
    <w:rsid w:val="00FA3FF0"/>
    <w:rsid w:val="00FA40FB"/>
    <w:rsid w:val="00FA4103"/>
    <w:rsid w:val="00FA4140"/>
    <w:rsid w:val="00FA4166"/>
    <w:rsid w:val="00FA4175"/>
    <w:rsid w:val="00FA41A2"/>
    <w:rsid w:val="00FA41DD"/>
    <w:rsid w:val="00FA4242"/>
    <w:rsid w:val="00FA4245"/>
    <w:rsid w:val="00FA4285"/>
    <w:rsid w:val="00FA4299"/>
    <w:rsid w:val="00FA42AF"/>
    <w:rsid w:val="00FA43E9"/>
    <w:rsid w:val="00FA4493"/>
    <w:rsid w:val="00FA45A4"/>
    <w:rsid w:val="00FA45B0"/>
    <w:rsid w:val="00FA45CB"/>
    <w:rsid w:val="00FA45F3"/>
    <w:rsid w:val="00FA4625"/>
    <w:rsid w:val="00FA4629"/>
    <w:rsid w:val="00FA46DB"/>
    <w:rsid w:val="00FA4704"/>
    <w:rsid w:val="00FA471F"/>
    <w:rsid w:val="00FA4737"/>
    <w:rsid w:val="00FA4788"/>
    <w:rsid w:val="00FA481B"/>
    <w:rsid w:val="00FA4831"/>
    <w:rsid w:val="00FA484A"/>
    <w:rsid w:val="00FA485F"/>
    <w:rsid w:val="00FA489E"/>
    <w:rsid w:val="00FA4934"/>
    <w:rsid w:val="00FA49BA"/>
    <w:rsid w:val="00FA49E2"/>
    <w:rsid w:val="00FA4A08"/>
    <w:rsid w:val="00FA4AFF"/>
    <w:rsid w:val="00FA4B24"/>
    <w:rsid w:val="00FA4B68"/>
    <w:rsid w:val="00FA4B7D"/>
    <w:rsid w:val="00FA4BC5"/>
    <w:rsid w:val="00FA4BF4"/>
    <w:rsid w:val="00FA4D48"/>
    <w:rsid w:val="00FA4E11"/>
    <w:rsid w:val="00FA4E2B"/>
    <w:rsid w:val="00FA4EBC"/>
    <w:rsid w:val="00FA4EE8"/>
    <w:rsid w:val="00FA4F11"/>
    <w:rsid w:val="00FA4F80"/>
    <w:rsid w:val="00FA4FCE"/>
    <w:rsid w:val="00FA4FEA"/>
    <w:rsid w:val="00FA5011"/>
    <w:rsid w:val="00FA503E"/>
    <w:rsid w:val="00FA5047"/>
    <w:rsid w:val="00FA507A"/>
    <w:rsid w:val="00FA510D"/>
    <w:rsid w:val="00FA512A"/>
    <w:rsid w:val="00FA515A"/>
    <w:rsid w:val="00FA519E"/>
    <w:rsid w:val="00FA5250"/>
    <w:rsid w:val="00FA5259"/>
    <w:rsid w:val="00FA526C"/>
    <w:rsid w:val="00FA52A8"/>
    <w:rsid w:val="00FA52E7"/>
    <w:rsid w:val="00FA531D"/>
    <w:rsid w:val="00FA53E8"/>
    <w:rsid w:val="00FA548C"/>
    <w:rsid w:val="00FA549C"/>
    <w:rsid w:val="00FA55C6"/>
    <w:rsid w:val="00FA56B0"/>
    <w:rsid w:val="00FA56D5"/>
    <w:rsid w:val="00FA576F"/>
    <w:rsid w:val="00FA578E"/>
    <w:rsid w:val="00FA58D1"/>
    <w:rsid w:val="00FA596F"/>
    <w:rsid w:val="00FA5971"/>
    <w:rsid w:val="00FA59BB"/>
    <w:rsid w:val="00FA59E1"/>
    <w:rsid w:val="00FA5A7C"/>
    <w:rsid w:val="00FA5AFD"/>
    <w:rsid w:val="00FA5B60"/>
    <w:rsid w:val="00FA5B8E"/>
    <w:rsid w:val="00FA5BB0"/>
    <w:rsid w:val="00FA5BC9"/>
    <w:rsid w:val="00FA5C05"/>
    <w:rsid w:val="00FA5C08"/>
    <w:rsid w:val="00FA5C8A"/>
    <w:rsid w:val="00FA5CA2"/>
    <w:rsid w:val="00FA5D4B"/>
    <w:rsid w:val="00FA5D5B"/>
    <w:rsid w:val="00FA5DC2"/>
    <w:rsid w:val="00FA5E5D"/>
    <w:rsid w:val="00FA5F7C"/>
    <w:rsid w:val="00FA5FA0"/>
    <w:rsid w:val="00FA5FA8"/>
    <w:rsid w:val="00FA5FAF"/>
    <w:rsid w:val="00FA604A"/>
    <w:rsid w:val="00FA6094"/>
    <w:rsid w:val="00FA6098"/>
    <w:rsid w:val="00FA60AD"/>
    <w:rsid w:val="00FA6101"/>
    <w:rsid w:val="00FA616D"/>
    <w:rsid w:val="00FA6189"/>
    <w:rsid w:val="00FA619B"/>
    <w:rsid w:val="00FA6205"/>
    <w:rsid w:val="00FA6245"/>
    <w:rsid w:val="00FA624A"/>
    <w:rsid w:val="00FA6292"/>
    <w:rsid w:val="00FA62A0"/>
    <w:rsid w:val="00FA62CC"/>
    <w:rsid w:val="00FA630A"/>
    <w:rsid w:val="00FA6323"/>
    <w:rsid w:val="00FA6334"/>
    <w:rsid w:val="00FA6357"/>
    <w:rsid w:val="00FA638C"/>
    <w:rsid w:val="00FA64EA"/>
    <w:rsid w:val="00FA64EF"/>
    <w:rsid w:val="00FA65CA"/>
    <w:rsid w:val="00FA67CE"/>
    <w:rsid w:val="00FA67F7"/>
    <w:rsid w:val="00FA6824"/>
    <w:rsid w:val="00FA6858"/>
    <w:rsid w:val="00FA686D"/>
    <w:rsid w:val="00FA6917"/>
    <w:rsid w:val="00FA6968"/>
    <w:rsid w:val="00FA69FB"/>
    <w:rsid w:val="00FA6A41"/>
    <w:rsid w:val="00FA6AA8"/>
    <w:rsid w:val="00FA6AF3"/>
    <w:rsid w:val="00FA6B4F"/>
    <w:rsid w:val="00FA6B9E"/>
    <w:rsid w:val="00FA6BF9"/>
    <w:rsid w:val="00FA6BFD"/>
    <w:rsid w:val="00FA6C12"/>
    <w:rsid w:val="00FA6C65"/>
    <w:rsid w:val="00FA6C7E"/>
    <w:rsid w:val="00FA6CAD"/>
    <w:rsid w:val="00FA6DE5"/>
    <w:rsid w:val="00FA6E01"/>
    <w:rsid w:val="00FA6E02"/>
    <w:rsid w:val="00FA6E07"/>
    <w:rsid w:val="00FA6E91"/>
    <w:rsid w:val="00FA6EA4"/>
    <w:rsid w:val="00FA6EE6"/>
    <w:rsid w:val="00FA6F1C"/>
    <w:rsid w:val="00FA6F2F"/>
    <w:rsid w:val="00FA6F3E"/>
    <w:rsid w:val="00FA6F4A"/>
    <w:rsid w:val="00FA7019"/>
    <w:rsid w:val="00FA70CE"/>
    <w:rsid w:val="00FA7134"/>
    <w:rsid w:val="00FA7225"/>
    <w:rsid w:val="00FA7280"/>
    <w:rsid w:val="00FA7286"/>
    <w:rsid w:val="00FA72A9"/>
    <w:rsid w:val="00FA73D5"/>
    <w:rsid w:val="00FA7427"/>
    <w:rsid w:val="00FA7435"/>
    <w:rsid w:val="00FA745B"/>
    <w:rsid w:val="00FA7502"/>
    <w:rsid w:val="00FA7517"/>
    <w:rsid w:val="00FA75EC"/>
    <w:rsid w:val="00FA767D"/>
    <w:rsid w:val="00FA76DC"/>
    <w:rsid w:val="00FA7704"/>
    <w:rsid w:val="00FA773B"/>
    <w:rsid w:val="00FA7769"/>
    <w:rsid w:val="00FA776F"/>
    <w:rsid w:val="00FA77B9"/>
    <w:rsid w:val="00FA77C3"/>
    <w:rsid w:val="00FA77ED"/>
    <w:rsid w:val="00FA78DF"/>
    <w:rsid w:val="00FA791F"/>
    <w:rsid w:val="00FA7956"/>
    <w:rsid w:val="00FA79C7"/>
    <w:rsid w:val="00FA7A29"/>
    <w:rsid w:val="00FA7A5C"/>
    <w:rsid w:val="00FA7AB7"/>
    <w:rsid w:val="00FA7AD7"/>
    <w:rsid w:val="00FA7B55"/>
    <w:rsid w:val="00FA7B9C"/>
    <w:rsid w:val="00FA7BC7"/>
    <w:rsid w:val="00FA7C4E"/>
    <w:rsid w:val="00FA7CD6"/>
    <w:rsid w:val="00FA7CE3"/>
    <w:rsid w:val="00FA7D65"/>
    <w:rsid w:val="00FA7D76"/>
    <w:rsid w:val="00FA7D8D"/>
    <w:rsid w:val="00FA7E9C"/>
    <w:rsid w:val="00FA7EB1"/>
    <w:rsid w:val="00FA7F20"/>
    <w:rsid w:val="00FB00D1"/>
    <w:rsid w:val="00FB00F3"/>
    <w:rsid w:val="00FB0100"/>
    <w:rsid w:val="00FB013B"/>
    <w:rsid w:val="00FB01F5"/>
    <w:rsid w:val="00FB022F"/>
    <w:rsid w:val="00FB0240"/>
    <w:rsid w:val="00FB03A6"/>
    <w:rsid w:val="00FB03B4"/>
    <w:rsid w:val="00FB0420"/>
    <w:rsid w:val="00FB0450"/>
    <w:rsid w:val="00FB0476"/>
    <w:rsid w:val="00FB04E0"/>
    <w:rsid w:val="00FB04F0"/>
    <w:rsid w:val="00FB05F5"/>
    <w:rsid w:val="00FB05FE"/>
    <w:rsid w:val="00FB0660"/>
    <w:rsid w:val="00FB0693"/>
    <w:rsid w:val="00FB06F0"/>
    <w:rsid w:val="00FB0715"/>
    <w:rsid w:val="00FB078C"/>
    <w:rsid w:val="00FB07E7"/>
    <w:rsid w:val="00FB087D"/>
    <w:rsid w:val="00FB0901"/>
    <w:rsid w:val="00FB0907"/>
    <w:rsid w:val="00FB0941"/>
    <w:rsid w:val="00FB097C"/>
    <w:rsid w:val="00FB0A78"/>
    <w:rsid w:val="00FB0A95"/>
    <w:rsid w:val="00FB0AFD"/>
    <w:rsid w:val="00FB0BEB"/>
    <w:rsid w:val="00FB0C0F"/>
    <w:rsid w:val="00FB0C3E"/>
    <w:rsid w:val="00FB0C74"/>
    <w:rsid w:val="00FB0CB9"/>
    <w:rsid w:val="00FB0CCC"/>
    <w:rsid w:val="00FB0CD3"/>
    <w:rsid w:val="00FB0D17"/>
    <w:rsid w:val="00FB0D2E"/>
    <w:rsid w:val="00FB0D58"/>
    <w:rsid w:val="00FB0D61"/>
    <w:rsid w:val="00FB0DA5"/>
    <w:rsid w:val="00FB0DB6"/>
    <w:rsid w:val="00FB0E0E"/>
    <w:rsid w:val="00FB0E48"/>
    <w:rsid w:val="00FB0E95"/>
    <w:rsid w:val="00FB0ED9"/>
    <w:rsid w:val="00FB0EE8"/>
    <w:rsid w:val="00FB0F33"/>
    <w:rsid w:val="00FB0F5A"/>
    <w:rsid w:val="00FB0F62"/>
    <w:rsid w:val="00FB0FB7"/>
    <w:rsid w:val="00FB0FC4"/>
    <w:rsid w:val="00FB0FE8"/>
    <w:rsid w:val="00FB0FEC"/>
    <w:rsid w:val="00FB0FF7"/>
    <w:rsid w:val="00FB1005"/>
    <w:rsid w:val="00FB107A"/>
    <w:rsid w:val="00FB1095"/>
    <w:rsid w:val="00FB10D5"/>
    <w:rsid w:val="00FB1120"/>
    <w:rsid w:val="00FB1157"/>
    <w:rsid w:val="00FB11C9"/>
    <w:rsid w:val="00FB1202"/>
    <w:rsid w:val="00FB123B"/>
    <w:rsid w:val="00FB124A"/>
    <w:rsid w:val="00FB124F"/>
    <w:rsid w:val="00FB12A6"/>
    <w:rsid w:val="00FB137C"/>
    <w:rsid w:val="00FB13D5"/>
    <w:rsid w:val="00FB1490"/>
    <w:rsid w:val="00FB14C4"/>
    <w:rsid w:val="00FB14C9"/>
    <w:rsid w:val="00FB151F"/>
    <w:rsid w:val="00FB155F"/>
    <w:rsid w:val="00FB1607"/>
    <w:rsid w:val="00FB1641"/>
    <w:rsid w:val="00FB1656"/>
    <w:rsid w:val="00FB16BC"/>
    <w:rsid w:val="00FB16E6"/>
    <w:rsid w:val="00FB17F2"/>
    <w:rsid w:val="00FB184D"/>
    <w:rsid w:val="00FB18A0"/>
    <w:rsid w:val="00FB18AB"/>
    <w:rsid w:val="00FB18CD"/>
    <w:rsid w:val="00FB18CE"/>
    <w:rsid w:val="00FB18CF"/>
    <w:rsid w:val="00FB18D2"/>
    <w:rsid w:val="00FB18DD"/>
    <w:rsid w:val="00FB18E6"/>
    <w:rsid w:val="00FB1974"/>
    <w:rsid w:val="00FB19E3"/>
    <w:rsid w:val="00FB19F0"/>
    <w:rsid w:val="00FB1A72"/>
    <w:rsid w:val="00FB1AA3"/>
    <w:rsid w:val="00FB1B72"/>
    <w:rsid w:val="00FB1CBE"/>
    <w:rsid w:val="00FB1D05"/>
    <w:rsid w:val="00FB1DB4"/>
    <w:rsid w:val="00FB1DDD"/>
    <w:rsid w:val="00FB1DE0"/>
    <w:rsid w:val="00FB1E62"/>
    <w:rsid w:val="00FB1E69"/>
    <w:rsid w:val="00FB1E7D"/>
    <w:rsid w:val="00FB1E9B"/>
    <w:rsid w:val="00FB1F84"/>
    <w:rsid w:val="00FB2000"/>
    <w:rsid w:val="00FB2059"/>
    <w:rsid w:val="00FB2123"/>
    <w:rsid w:val="00FB2157"/>
    <w:rsid w:val="00FB215E"/>
    <w:rsid w:val="00FB2230"/>
    <w:rsid w:val="00FB231B"/>
    <w:rsid w:val="00FB2327"/>
    <w:rsid w:val="00FB2361"/>
    <w:rsid w:val="00FB2374"/>
    <w:rsid w:val="00FB2375"/>
    <w:rsid w:val="00FB23B0"/>
    <w:rsid w:val="00FB23BB"/>
    <w:rsid w:val="00FB23F4"/>
    <w:rsid w:val="00FB24A8"/>
    <w:rsid w:val="00FB24BD"/>
    <w:rsid w:val="00FB24FF"/>
    <w:rsid w:val="00FB2528"/>
    <w:rsid w:val="00FB25E2"/>
    <w:rsid w:val="00FB2612"/>
    <w:rsid w:val="00FB26CA"/>
    <w:rsid w:val="00FB270B"/>
    <w:rsid w:val="00FB27E5"/>
    <w:rsid w:val="00FB27F0"/>
    <w:rsid w:val="00FB2838"/>
    <w:rsid w:val="00FB2893"/>
    <w:rsid w:val="00FB291C"/>
    <w:rsid w:val="00FB2955"/>
    <w:rsid w:val="00FB2975"/>
    <w:rsid w:val="00FB29AF"/>
    <w:rsid w:val="00FB29DF"/>
    <w:rsid w:val="00FB29E1"/>
    <w:rsid w:val="00FB2A14"/>
    <w:rsid w:val="00FB2A37"/>
    <w:rsid w:val="00FB2A4B"/>
    <w:rsid w:val="00FB2B42"/>
    <w:rsid w:val="00FB2B7E"/>
    <w:rsid w:val="00FB2BC2"/>
    <w:rsid w:val="00FB2C66"/>
    <w:rsid w:val="00FB2CA5"/>
    <w:rsid w:val="00FB2D30"/>
    <w:rsid w:val="00FB2D3E"/>
    <w:rsid w:val="00FB2DD1"/>
    <w:rsid w:val="00FB2DE9"/>
    <w:rsid w:val="00FB2E66"/>
    <w:rsid w:val="00FB2F2A"/>
    <w:rsid w:val="00FB2F94"/>
    <w:rsid w:val="00FB308C"/>
    <w:rsid w:val="00FB30DC"/>
    <w:rsid w:val="00FB3189"/>
    <w:rsid w:val="00FB31BB"/>
    <w:rsid w:val="00FB31E4"/>
    <w:rsid w:val="00FB3207"/>
    <w:rsid w:val="00FB3234"/>
    <w:rsid w:val="00FB3242"/>
    <w:rsid w:val="00FB3257"/>
    <w:rsid w:val="00FB3275"/>
    <w:rsid w:val="00FB32B7"/>
    <w:rsid w:val="00FB3301"/>
    <w:rsid w:val="00FB3365"/>
    <w:rsid w:val="00FB348A"/>
    <w:rsid w:val="00FB34D2"/>
    <w:rsid w:val="00FB34DB"/>
    <w:rsid w:val="00FB350F"/>
    <w:rsid w:val="00FB351A"/>
    <w:rsid w:val="00FB3562"/>
    <w:rsid w:val="00FB35C4"/>
    <w:rsid w:val="00FB369A"/>
    <w:rsid w:val="00FB36D6"/>
    <w:rsid w:val="00FB36DE"/>
    <w:rsid w:val="00FB3701"/>
    <w:rsid w:val="00FB37A5"/>
    <w:rsid w:val="00FB37E4"/>
    <w:rsid w:val="00FB38AB"/>
    <w:rsid w:val="00FB3932"/>
    <w:rsid w:val="00FB3999"/>
    <w:rsid w:val="00FB39CC"/>
    <w:rsid w:val="00FB39F1"/>
    <w:rsid w:val="00FB3A36"/>
    <w:rsid w:val="00FB3A75"/>
    <w:rsid w:val="00FB3A94"/>
    <w:rsid w:val="00FB3AB2"/>
    <w:rsid w:val="00FB3AD8"/>
    <w:rsid w:val="00FB3B4D"/>
    <w:rsid w:val="00FB3B6F"/>
    <w:rsid w:val="00FB3B83"/>
    <w:rsid w:val="00FB3B88"/>
    <w:rsid w:val="00FB3B9E"/>
    <w:rsid w:val="00FB3BAB"/>
    <w:rsid w:val="00FB3BAD"/>
    <w:rsid w:val="00FB3BB5"/>
    <w:rsid w:val="00FB3BE6"/>
    <w:rsid w:val="00FB3C3F"/>
    <w:rsid w:val="00FB3C7F"/>
    <w:rsid w:val="00FB3CBA"/>
    <w:rsid w:val="00FB3CD6"/>
    <w:rsid w:val="00FB3CEA"/>
    <w:rsid w:val="00FB3D02"/>
    <w:rsid w:val="00FB3E79"/>
    <w:rsid w:val="00FB3E80"/>
    <w:rsid w:val="00FB3E84"/>
    <w:rsid w:val="00FB3F21"/>
    <w:rsid w:val="00FB3F74"/>
    <w:rsid w:val="00FB3FC2"/>
    <w:rsid w:val="00FB4136"/>
    <w:rsid w:val="00FB4168"/>
    <w:rsid w:val="00FB417C"/>
    <w:rsid w:val="00FB434A"/>
    <w:rsid w:val="00FB4396"/>
    <w:rsid w:val="00FB4415"/>
    <w:rsid w:val="00FB4476"/>
    <w:rsid w:val="00FB4485"/>
    <w:rsid w:val="00FB44D9"/>
    <w:rsid w:val="00FB451A"/>
    <w:rsid w:val="00FB4562"/>
    <w:rsid w:val="00FB45BD"/>
    <w:rsid w:val="00FB4611"/>
    <w:rsid w:val="00FB479C"/>
    <w:rsid w:val="00FB47CE"/>
    <w:rsid w:val="00FB4815"/>
    <w:rsid w:val="00FB483B"/>
    <w:rsid w:val="00FB484B"/>
    <w:rsid w:val="00FB4956"/>
    <w:rsid w:val="00FB4997"/>
    <w:rsid w:val="00FB4A18"/>
    <w:rsid w:val="00FB4A85"/>
    <w:rsid w:val="00FB4AEE"/>
    <w:rsid w:val="00FB4B45"/>
    <w:rsid w:val="00FB4B72"/>
    <w:rsid w:val="00FB4B73"/>
    <w:rsid w:val="00FB4BF7"/>
    <w:rsid w:val="00FB4CBF"/>
    <w:rsid w:val="00FB4CD2"/>
    <w:rsid w:val="00FB4DF5"/>
    <w:rsid w:val="00FB4E1C"/>
    <w:rsid w:val="00FB4E29"/>
    <w:rsid w:val="00FB4EAF"/>
    <w:rsid w:val="00FB4F00"/>
    <w:rsid w:val="00FB4F6A"/>
    <w:rsid w:val="00FB4F82"/>
    <w:rsid w:val="00FB4FBE"/>
    <w:rsid w:val="00FB4FD7"/>
    <w:rsid w:val="00FB4FEA"/>
    <w:rsid w:val="00FB4FEE"/>
    <w:rsid w:val="00FB5156"/>
    <w:rsid w:val="00FB522F"/>
    <w:rsid w:val="00FB5252"/>
    <w:rsid w:val="00FB5264"/>
    <w:rsid w:val="00FB52A9"/>
    <w:rsid w:val="00FB52C6"/>
    <w:rsid w:val="00FB5306"/>
    <w:rsid w:val="00FB5374"/>
    <w:rsid w:val="00FB544A"/>
    <w:rsid w:val="00FB54C6"/>
    <w:rsid w:val="00FB5563"/>
    <w:rsid w:val="00FB5586"/>
    <w:rsid w:val="00FB55DF"/>
    <w:rsid w:val="00FB561B"/>
    <w:rsid w:val="00FB56A2"/>
    <w:rsid w:val="00FB5702"/>
    <w:rsid w:val="00FB5762"/>
    <w:rsid w:val="00FB57CF"/>
    <w:rsid w:val="00FB5803"/>
    <w:rsid w:val="00FB585A"/>
    <w:rsid w:val="00FB58B2"/>
    <w:rsid w:val="00FB5912"/>
    <w:rsid w:val="00FB5933"/>
    <w:rsid w:val="00FB59A8"/>
    <w:rsid w:val="00FB59B2"/>
    <w:rsid w:val="00FB59EA"/>
    <w:rsid w:val="00FB5A00"/>
    <w:rsid w:val="00FB5A59"/>
    <w:rsid w:val="00FB5A5E"/>
    <w:rsid w:val="00FB5A95"/>
    <w:rsid w:val="00FB5AA4"/>
    <w:rsid w:val="00FB5ABC"/>
    <w:rsid w:val="00FB5AD6"/>
    <w:rsid w:val="00FB5B8B"/>
    <w:rsid w:val="00FB5C04"/>
    <w:rsid w:val="00FB5C9A"/>
    <w:rsid w:val="00FB5CF8"/>
    <w:rsid w:val="00FB5D22"/>
    <w:rsid w:val="00FB5D38"/>
    <w:rsid w:val="00FB5DD1"/>
    <w:rsid w:val="00FB5DD8"/>
    <w:rsid w:val="00FB5E16"/>
    <w:rsid w:val="00FB5E82"/>
    <w:rsid w:val="00FB5EC4"/>
    <w:rsid w:val="00FB5EE1"/>
    <w:rsid w:val="00FB5F73"/>
    <w:rsid w:val="00FB5F7B"/>
    <w:rsid w:val="00FB6004"/>
    <w:rsid w:val="00FB604A"/>
    <w:rsid w:val="00FB6065"/>
    <w:rsid w:val="00FB60A0"/>
    <w:rsid w:val="00FB616B"/>
    <w:rsid w:val="00FB6230"/>
    <w:rsid w:val="00FB6294"/>
    <w:rsid w:val="00FB62AB"/>
    <w:rsid w:val="00FB62BD"/>
    <w:rsid w:val="00FB630F"/>
    <w:rsid w:val="00FB632E"/>
    <w:rsid w:val="00FB6367"/>
    <w:rsid w:val="00FB6383"/>
    <w:rsid w:val="00FB63A9"/>
    <w:rsid w:val="00FB64F7"/>
    <w:rsid w:val="00FB6519"/>
    <w:rsid w:val="00FB656D"/>
    <w:rsid w:val="00FB6592"/>
    <w:rsid w:val="00FB6692"/>
    <w:rsid w:val="00FB66DB"/>
    <w:rsid w:val="00FB6718"/>
    <w:rsid w:val="00FB6738"/>
    <w:rsid w:val="00FB6790"/>
    <w:rsid w:val="00FB680C"/>
    <w:rsid w:val="00FB683F"/>
    <w:rsid w:val="00FB6843"/>
    <w:rsid w:val="00FB6845"/>
    <w:rsid w:val="00FB6859"/>
    <w:rsid w:val="00FB6871"/>
    <w:rsid w:val="00FB6935"/>
    <w:rsid w:val="00FB6966"/>
    <w:rsid w:val="00FB6975"/>
    <w:rsid w:val="00FB6980"/>
    <w:rsid w:val="00FB69C6"/>
    <w:rsid w:val="00FB6A4A"/>
    <w:rsid w:val="00FB6A93"/>
    <w:rsid w:val="00FB6AF1"/>
    <w:rsid w:val="00FB6B1D"/>
    <w:rsid w:val="00FB6B7F"/>
    <w:rsid w:val="00FB6B8D"/>
    <w:rsid w:val="00FB6BAF"/>
    <w:rsid w:val="00FB6C02"/>
    <w:rsid w:val="00FB6C41"/>
    <w:rsid w:val="00FB6C7E"/>
    <w:rsid w:val="00FB6D19"/>
    <w:rsid w:val="00FB6D36"/>
    <w:rsid w:val="00FB6D66"/>
    <w:rsid w:val="00FB6DB1"/>
    <w:rsid w:val="00FB6E09"/>
    <w:rsid w:val="00FB6E3E"/>
    <w:rsid w:val="00FB6E48"/>
    <w:rsid w:val="00FB6F27"/>
    <w:rsid w:val="00FB6F7E"/>
    <w:rsid w:val="00FB7028"/>
    <w:rsid w:val="00FB70E7"/>
    <w:rsid w:val="00FB70F9"/>
    <w:rsid w:val="00FB715F"/>
    <w:rsid w:val="00FB72E0"/>
    <w:rsid w:val="00FB734E"/>
    <w:rsid w:val="00FB735B"/>
    <w:rsid w:val="00FB73C2"/>
    <w:rsid w:val="00FB73D9"/>
    <w:rsid w:val="00FB75DF"/>
    <w:rsid w:val="00FB75E4"/>
    <w:rsid w:val="00FB761D"/>
    <w:rsid w:val="00FB764A"/>
    <w:rsid w:val="00FB7653"/>
    <w:rsid w:val="00FB76E0"/>
    <w:rsid w:val="00FB76E7"/>
    <w:rsid w:val="00FB7793"/>
    <w:rsid w:val="00FB7829"/>
    <w:rsid w:val="00FB7836"/>
    <w:rsid w:val="00FB7838"/>
    <w:rsid w:val="00FB7862"/>
    <w:rsid w:val="00FB78DD"/>
    <w:rsid w:val="00FB7984"/>
    <w:rsid w:val="00FB79B4"/>
    <w:rsid w:val="00FB7A3B"/>
    <w:rsid w:val="00FB7A84"/>
    <w:rsid w:val="00FB7AB1"/>
    <w:rsid w:val="00FB7ADB"/>
    <w:rsid w:val="00FB7B18"/>
    <w:rsid w:val="00FB7B73"/>
    <w:rsid w:val="00FB7BA4"/>
    <w:rsid w:val="00FB7C2E"/>
    <w:rsid w:val="00FB7CC1"/>
    <w:rsid w:val="00FB7CF9"/>
    <w:rsid w:val="00FB7D24"/>
    <w:rsid w:val="00FB7E01"/>
    <w:rsid w:val="00FB7E2F"/>
    <w:rsid w:val="00FB7E49"/>
    <w:rsid w:val="00FB7E6E"/>
    <w:rsid w:val="00FB7E8C"/>
    <w:rsid w:val="00FB7F17"/>
    <w:rsid w:val="00FB7F3B"/>
    <w:rsid w:val="00FB7F53"/>
    <w:rsid w:val="00FB7F5D"/>
    <w:rsid w:val="00FB7F68"/>
    <w:rsid w:val="00FB7F6A"/>
    <w:rsid w:val="00FC003E"/>
    <w:rsid w:val="00FC0098"/>
    <w:rsid w:val="00FC0129"/>
    <w:rsid w:val="00FC01A4"/>
    <w:rsid w:val="00FC021D"/>
    <w:rsid w:val="00FC0238"/>
    <w:rsid w:val="00FC0244"/>
    <w:rsid w:val="00FC029B"/>
    <w:rsid w:val="00FC031D"/>
    <w:rsid w:val="00FC03C8"/>
    <w:rsid w:val="00FC03F4"/>
    <w:rsid w:val="00FC03F9"/>
    <w:rsid w:val="00FC0437"/>
    <w:rsid w:val="00FC04C2"/>
    <w:rsid w:val="00FC057A"/>
    <w:rsid w:val="00FC061E"/>
    <w:rsid w:val="00FC0624"/>
    <w:rsid w:val="00FC0658"/>
    <w:rsid w:val="00FC0671"/>
    <w:rsid w:val="00FC0677"/>
    <w:rsid w:val="00FC0765"/>
    <w:rsid w:val="00FC0767"/>
    <w:rsid w:val="00FC0778"/>
    <w:rsid w:val="00FC078F"/>
    <w:rsid w:val="00FC0898"/>
    <w:rsid w:val="00FC0903"/>
    <w:rsid w:val="00FC0990"/>
    <w:rsid w:val="00FC0995"/>
    <w:rsid w:val="00FC09A1"/>
    <w:rsid w:val="00FC09AD"/>
    <w:rsid w:val="00FC09B4"/>
    <w:rsid w:val="00FC0A1A"/>
    <w:rsid w:val="00FC0A51"/>
    <w:rsid w:val="00FC0A69"/>
    <w:rsid w:val="00FC0AA9"/>
    <w:rsid w:val="00FC0B8C"/>
    <w:rsid w:val="00FC0B95"/>
    <w:rsid w:val="00FC0C05"/>
    <w:rsid w:val="00FC0C40"/>
    <w:rsid w:val="00FC0D2A"/>
    <w:rsid w:val="00FC0D97"/>
    <w:rsid w:val="00FC0E3F"/>
    <w:rsid w:val="00FC0E57"/>
    <w:rsid w:val="00FC0E7D"/>
    <w:rsid w:val="00FC0E83"/>
    <w:rsid w:val="00FC0EE0"/>
    <w:rsid w:val="00FC0EE8"/>
    <w:rsid w:val="00FC0FF2"/>
    <w:rsid w:val="00FC1031"/>
    <w:rsid w:val="00FC1096"/>
    <w:rsid w:val="00FC10A6"/>
    <w:rsid w:val="00FC10BD"/>
    <w:rsid w:val="00FC10D0"/>
    <w:rsid w:val="00FC10E1"/>
    <w:rsid w:val="00FC1110"/>
    <w:rsid w:val="00FC114E"/>
    <w:rsid w:val="00FC11F6"/>
    <w:rsid w:val="00FC1209"/>
    <w:rsid w:val="00FC1245"/>
    <w:rsid w:val="00FC125A"/>
    <w:rsid w:val="00FC1264"/>
    <w:rsid w:val="00FC127F"/>
    <w:rsid w:val="00FC130C"/>
    <w:rsid w:val="00FC1324"/>
    <w:rsid w:val="00FC1342"/>
    <w:rsid w:val="00FC134F"/>
    <w:rsid w:val="00FC1363"/>
    <w:rsid w:val="00FC143D"/>
    <w:rsid w:val="00FC14B3"/>
    <w:rsid w:val="00FC157A"/>
    <w:rsid w:val="00FC159E"/>
    <w:rsid w:val="00FC1687"/>
    <w:rsid w:val="00FC17C6"/>
    <w:rsid w:val="00FC183A"/>
    <w:rsid w:val="00FC1847"/>
    <w:rsid w:val="00FC1849"/>
    <w:rsid w:val="00FC18EE"/>
    <w:rsid w:val="00FC192B"/>
    <w:rsid w:val="00FC19A8"/>
    <w:rsid w:val="00FC19D3"/>
    <w:rsid w:val="00FC19F9"/>
    <w:rsid w:val="00FC1A3A"/>
    <w:rsid w:val="00FC1A3E"/>
    <w:rsid w:val="00FC1A66"/>
    <w:rsid w:val="00FC1A8D"/>
    <w:rsid w:val="00FC1AB9"/>
    <w:rsid w:val="00FC1AE4"/>
    <w:rsid w:val="00FC1AF9"/>
    <w:rsid w:val="00FC1B15"/>
    <w:rsid w:val="00FC1B28"/>
    <w:rsid w:val="00FC1BD1"/>
    <w:rsid w:val="00FC1C27"/>
    <w:rsid w:val="00FC1C29"/>
    <w:rsid w:val="00FC1CB4"/>
    <w:rsid w:val="00FC1CC3"/>
    <w:rsid w:val="00FC1DF3"/>
    <w:rsid w:val="00FC1E1A"/>
    <w:rsid w:val="00FC1E7F"/>
    <w:rsid w:val="00FC1E9D"/>
    <w:rsid w:val="00FC1EFE"/>
    <w:rsid w:val="00FC1F75"/>
    <w:rsid w:val="00FC1F7B"/>
    <w:rsid w:val="00FC1FC5"/>
    <w:rsid w:val="00FC20D8"/>
    <w:rsid w:val="00FC20F0"/>
    <w:rsid w:val="00FC2180"/>
    <w:rsid w:val="00FC2181"/>
    <w:rsid w:val="00FC219D"/>
    <w:rsid w:val="00FC21A3"/>
    <w:rsid w:val="00FC2349"/>
    <w:rsid w:val="00FC24FE"/>
    <w:rsid w:val="00FC2512"/>
    <w:rsid w:val="00FC2584"/>
    <w:rsid w:val="00FC2646"/>
    <w:rsid w:val="00FC267A"/>
    <w:rsid w:val="00FC26AB"/>
    <w:rsid w:val="00FC271A"/>
    <w:rsid w:val="00FC272D"/>
    <w:rsid w:val="00FC277C"/>
    <w:rsid w:val="00FC28C9"/>
    <w:rsid w:val="00FC2910"/>
    <w:rsid w:val="00FC295D"/>
    <w:rsid w:val="00FC29A2"/>
    <w:rsid w:val="00FC29DC"/>
    <w:rsid w:val="00FC2A25"/>
    <w:rsid w:val="00FC2A2F"/>
    <w:rsid w:val="00FC2B22"/>
    <w:rsid w:val="00FC2B7C"/>
    <w:rsid w:val="00FC2B9F"/>
    <w:rsid w:val="00FC2BA3"/>
    <w:rsid w:val="00FC2BA7"/>
    <w:rsid w:val="00FC2BCC"/>
    <w:rsid w:val="00FC2BDE"/>
    <w:rsid w:val="00FC2C1C"/>
    <w:rsid w:val="00FC2CEE"/>
    <w:rsid w:val="00FC2D21"/>
    <w:rsid w:val="00FC2D80"/>
    <w:rsid w:val="00FC2DBE"/>
    <w:rsid w:val="00FC2E3D"/>
    <w:rsid w:val="00FC2E5C"/>
    <w:rsid w:val="00FC2EB5"/>
    <w:rsid w:val="00FC2F1E"/>
    <w:rsid w:val="00FC2F60"/>
    <w:rsid w:val="00FC2F8F"/>
    <w:rsid w:val="00FC30F1"/>
    <w:rsid w:val="00FC30FE"/>
    <w:rsid w:val="00FC3199"/>
    <w:rsid w:val="00FC31B2"/>
    <w:rsid w:val="00FC31EC"/>
    <w:rsid w:val="00FC32C2"/>
    <w:rsid w:val="00FC3317"/>
    <w:rsid w:val="00FC335E"/>
    <w:rsid w:val="00FC33D2"/>
    <w:rsid w:val="00FC3409"/>
    <w:rsid w:val="00FC3473"/>
    <w:rsid w:val="00FC347E"/>
    <w:rsid w:val="00FC3488"/>
    <w:rsid w:val="00FC34AB"/>
    <w:rsid w:val="00FC352D"/>
    <w:rsid w:val="00FC35E7"/>
    <w:rsid w:val="00FC365C"/>
    <w:rsid w:val="00FC3679"/>
    <w:rsid w:val="00FC369C"/>
    <w:rsid w:val="00FC36C4"/>
    <w:rsid w:val="00FC36CF"/>
    <w:rsid w:val="00FC36DB"/>
    <w:rsid w:val="00FC370F"/>
    <w:rsid w:val="00FC3807"/>
    <w:rsid w:val="00FC3840"/>
    <w:rsid w:val="00FC3913"/>
    <w:rsid w:val="00FC3928"/>
    <w:rsid w:val="00FC3945"/>
    <w:rsid w:val="00FC3954"/>
    <w:rsid w:val="00FC39D9"/>
    <w:rsid w:val="00FC3A57"/>
    <w:rsid w:val="00FC3B6A"/>
    <w:rsid w:val="00FC3B7A"/>
    <w:rsid w:val="00FC3BE1"/>
    <w:rsid w:val="00FC3C6F"/>
    <w:rsid w:val="00FC3CB7"/>
    <w:rsid w:val="00FC3D89"/>
    <w:rsid w:val="00FC3DA3"/>
    <w:rsid w:val="00FC3DA9"/>
    <w:rsid w:val="00FC3DF1"/>
    <w:rsid w:val="00FC3E15"/>
    <w:rsid w:val="00FC3E1F"/>
    <w:rsid w:val="00FC3E2B"/>
    <w:rsid w:val="00FC3E53"/>
    <w:rsid w:val="00FC3E69"/>
    <w:rsid w:val="00FC3E71"/>
    <w:rsid w:val="00FC3E8F"/>
    <w:rsid w:val="00FC3E9D"/>
    <w:rsid w:val="00FC3EF2"/>
    <w:rsid w:val="00FC3F15"/>
    <w:rsid w:val="00FC3F70"/>
    <w:rsid w:val="00FC3FFD"/>
    <w:rsid w:val="00FC4021"/>
    <w:rsid w:val="00FC40A4"/>
    <w:rsid w:val="00FC4137"/>
    <w:rsid w:val="00FC41A3"/>
    <w:rsid w:val="00FC41BF"/>
    <w:rsid w:val="00FC41E6"/>
    <w:rsid w:val="00FC425C"/>
    <w:rsid w:val="00FC42CF"/>
    <w:rsid w:val="00FC431A"/>
    <w:rsid w:val="00FC432A"/>
    <w:rsid w:val="00FC4380"/>
    <w:rsid w:val="00FC444B"/>
    <w:rsid w:val="00FC4475"/>
    <w:rsid w:val="00FC44E9"/>
    <w:rsid w:val="00FC4516"/>
    <w:rsid w:val="00FC45A1"/>
    <w:rsid w:val="00FC4630"/>
    <w:rsid w:val="00FC463C"/>
    <w:rsid w:val="00FC478A"/>
    <w:rsid w:val="00FC47A9"/>
    <w:rsid w:val="00FC47EE"/>
    <w:rsid w:val="00FC4856"/>
    <w:rsid w:val="00FC48BC"/>
    <w:rsid w:val="00FC48CB"/>
    <w:rsid w:val="00FC490E"/>
    <w:rsid w:val="00FC491E"/>
    <w:rsid w:val="00FC4921"/>
    <w:rsid w:val="00FC493D"/>
    <w:rsid w:val="00FC4941"/>
    <w:rsid w:val="00FC4A30"/>
    <w:rsid w:val="00FC4A70"/>
    <w:rsid w:val="00FC4AA7"/>
    <w:rsid w:val="00FC4AFC"/>
    <w:rsid w:val="00FC4B1A"/>
    <w:rsid w:val="00FC4B89"/>
    <w:rsid w:val="00FC4BDE"/>
    <w:rsid w:val="00FC4CF5"/>
    <w:rsid w:val="00FC4D06"/>
    <w:rsid w:val="00FC4D57"/>
    <w:rsid w:val="00FC4D93"/>
    <w:rsid w:val="00FC4D98"/>
    <w:rsid w:val="00FC4D9E"/>
    <w:rsid w:val="00FC4DFE"/>
    <w:rsid w:val="00FC4F55"/>
    <w:rsid w:val="00FC4FA6"/>
    <w:rsid w:val="00FC4FAE"/>
    <w:rsid w:val="00FC5031"/>
    <w:rsid w:val="00FC509B"/>
    <w:rsid w:val="00FC50C3"/>
    <w:rsid w:val="00FC517C"/>
    <w:rsid w:val="00FC5216"/>
    <w:rsid w:val="00FC526E"/>
    <w:rsid w:val="00FC5293"/>
    <w:rsid w:val="00FC543F"/>
    <w:rsid w:val="00FC546F"/>
    <w:rsid w:val="00FC54C5"/>
    <w:rsid w:val="00FC556A"/>
    <w:rsid w:val="00FC5676"/>
    <w:rsid w:val="00FC567B"/>
    <w:rsid w:val="00FC56B4"/>
    <w:rsid w:val="00FC56FC"/>
    <w:rsid w:val="00FC5708"/>
    <w:rsid w:val="00FC573F"/>
    <w:rsid w:val="00FC575E"/>
    <w:rsid w:val="00FC57B9"/>
    <w:rsid w:val="00FC57C4"/>
    <w:rsid w:val="00FC57C6"/>
    <w:rsid w:val="00FC5813"/>
    <w:rsid w:val="00FC585C"/>
    <w:rsid w:val="00FC5887"/>
    <w:rsid w:val="00FC589E"/>
    <w:rsid w:val="00FC58CB"/>
    <w:rsid w:val="00FC5956"/>
    <w:rsid w:val="00FC59A9"/>
    <w:rsid w:val="00FC59FD"/>
    <w:rsid w:val="00FC5AA7"/>
    <w:rsid w:val="00FC5B03"/>
    <w:rsid w:val="00FC5B55"/>
    <w:rsid w:val="00FC5B97"/>
    <w:rsid w:val="00FC5C52"/>
    <w:rsid w:val="00FC5C84"/>
    <w:rsid w:val="00FC5C9F"/>
    <w:rsid w:val="00FC5CF6"/>
    <w:rsid w:val="00FC5D3A"/>
    <w:rsid w:val="00FC5D85"/>
    <w:rsid w:val="00FC5E01"/>
    <w:rsid w:val="00FC5E07"/>
    <w:rsid w:val="00FC5E64"/>
    <w:rsid w:val="00FC5EBE"/>
    <w:rsid w:val="00FC5ECF"/>
    <w:rsid w:val="00FC5EFF"/>
    <w:rsid w:val="00FC5F12"/>
    <w:rsid w:val="00FC5FCF"/>
    <w:rsid w:val="00FC5FDA"/>
    <w:rsid w:val="00FC5FDB"/>
    <w:rsid w:val="00FC6020"/>
    <w:rsid w:val="00FC60F5"/>
    <w:rsid w:val="00FC6154"/>
    <w:rsid w:val="00FC616D"/>
    <w:rsid w:val="00FC61CB"/>
    <w:rsid w:val="00FC6311"/>
    <w:rsid w:val="00FC6324"/>
    <w:rsid w:val="00FC638B"/>
    <w:rsid w:val="00FC642B"/>
    <w:rsid w:val="00FC6451"/>
    <w:rsid w:val="00FC6473"/>
    <w:rsid w:val="00FC64BA"/>
    <w:rsid w:val="00FC64C5"/>
    <w:rsid w:val="00FC6513"/>
    <w:rsid w:val="00FC65CE"/>
    <w:rsid w:val="00FC6664"/>
    <w:rsid w:val="00FC66C4"/>
    <w:rsid w:val="00FC66D1"/>
    <w:rsid w:val="00FC6713"/>
    <w:rsid w:val="00FC671B"/>
    <w:rsid w:val="00FC681D"/>
    <w:rsid w:val="00FC6855"/>
    <w:rsid w:val="00FC68C0"/>
    <w:rsid w:val="00FC68F6"/>
    <w:rsid w:val="00FC6930"/>
    <w:rsid w:val="00FC6942"/>
    <w:rsid w:val="00FC6955"/>
    <w:rsid w:val="00FC69B7"/>
    <w:rsid w:val="00FC69DA"/>
    <w:rsid w:val="00FC69EB"/>
    <w:rsid w:val="00FC69F6"/>
    <w:rsid w:val="00FC6A3D"/>
    <w:rsid w:val="00FC6A5E"/>
    <w:rsid w:val="00FC6A7F"/>
    <w:rsid w:val="00FC6AAB"/>
    <w:rsid w:val="00FC6AD2"/>
    <w:rsid w:val="00FC6B22"/>
    <w:rsid w:val="00FC6B35"/>
    <w:rsid w:val="00FC6B78"/>
    <w:rsid w:val="00FC6B84"/>
    <w:rsid w:val="00FC6BA8"/>
    <w:rsid w:val="00FC6C8D"/>
    <w:rsid w:val="00FC6CE7"/>
    <w:rsid w:val="00FC6D8B"/>
    <w:rsid w:val="00FC6DD2"/>
    <w:rsid w:val="00FC6DD5"/>
    <w:rsid w:val="00FC6E41"/>
    <w:rsid w:val="00FC6F6C"/>
    <w:rsid w:val="00FC6F80"/>
    <w:rsid w:val="00FC6FC4"/>
    <w:rsid w:val="00FC6FE5"/>
    <w:rsid w:val="00FC7016"/>
    <w:rsid w:val="00FC7022"/>
    <w:rsid w:val="00FC709D"/>
    <w:rsid w:val="00FC711C"/>
    <w:rsid w:val="00FC719B"/>
    <w:rsid w:val="00FC71C0"/>
    <w:rsid w:val="00FC7227"/>
    <w:rsid w:val="00FC7265"/>
    <w:rsid w:val="00FC731E"/>
    <w:rsid w:val="00FC7455"/>
    <w:rsid w:val="00FC74EA"/>
    <w:rsid w:val="00FC75EE"/>
    <w:rsid w:val="00FC7631"/>
    <w:rsid w:val="00FC7664"/>
    <w:rsid w:val="00FC7687"/>
    <w:rsid w:val="00FC76C8"/>
    <w:rsid w:val="00FC7718"/>
    <w:rsid w:val="00FC775F"/>
    <w:rsid w:val="00FC776F"/>
    <w:rsid w:val="00FC77DF"/>
    <w:rsid w:val="00FC77F0"/>
    <w:rsid w:val="00FC781F"/>
    <w:rsid w:val="00FC78E3"/>
    <w:rsid w:val="00FC7948"/>
    <w:rsid w:val="00FC79FF"/>
    <w:rsid w:val="00FC7A1A"/>
    <w:rsid w:val="00FC7A34"/>
    <w:rsid w:val="00FC7A41"/>
    <w:rsid w:val="00FC7A54"/>
    <w:rsid w:val="00FC7A58"/>
    <w:rsid w:val="00FC7A5F"/>
    <w:rsid w:val="00FC7A71"/>
    <w:rsid w:val="00FC7B19"/>
    <w:rsid w:val="00FC7BDC"/>
    <w:rsid w:val="00FC7C0A"/>
    <w:rsid w:val="00FC7CB3"/>
    <w:rsid w:val="00FC7CD6"/>
    <w:rsid w:val="00FC7D9C"/>
    <w:rsid w:val="00FC7E59"/>
    <w:rsid w:val="00FC7E5C"/>
    <w:rsid w:val="00FC7E6E"/>
    <w:rsid w:val="00FC7F5F"/>
    <w:rsid w:val="00FD0001"/>
    <w:rsid w:val="00FD000B"/>
    <w:rsid w:val="00FD0065"/>
    <w:rsid w:val="00FD0080"/>
    <w:rsid w:val="00FD0083"/>
    <w:rsid w:val="00FD013F"/>
    <w:rsid w:val="00FD021C"/>
    <w:rsid w:val="00FD0226"/>
    <w:rsid w:val="00FD022D"/>
    <w:rsid w:val="00FD0270"/>
    <w:rsid w:val="00FD0324"/>
    <w:rsid w:val="00FD0370"/>
    <w:rsid w:val="00FD03F2"/>
    <w:rsid w:val="00FD0411"/>
    <w:rsid w:val="00FD0472"/>
    <w:rsid w:val="00FD0540"/>
    <w:rsid w:val="00FD0547"/>
    <w:rsid w:val="00FD0586"/>
    <w:rsid w:val="00FD0597"/>
    <w:rsid w:val="00FD073A"/>
    <w:rsid w:val="00FD0751"/>
    <w:rsid w:val="00FD0780"/>
    <w:rsid w:val="00FD07DB"/>
    <w:rsid w:val="00FD07DF"/>
    <w:rsid w:val="00FD07FB"/>
    <w:rsid w:val="00FD0808"/>
    <w:rsid w:val="00FD082D"/>
    <w:rsid w:val="00FD0848"/>
    <w:rsid w:val="00FD0970"/>
    <w:rsid w:val="00FD09F0"/>
    <w:rsid w:val="00FD09F4"/>
    <w:rsid w:val="00FD0A91"/>
    <w:rsid w:val="00FD0A99"/>
    <w:rsid w:val="00FD0BF7"/>
    <w:rsid w:val="00FD0C1F"/>
    <w:rsid w:val="00FD0C74"/>
    <w:rsid w:val="00FD0CBD"/>
    <w:rsid w:val="00FD0CC5"/>
    <w:rsid w:val="00FD0CF5"/>
    <w:rsid w:val="00FD0D68"/>
    <w:rsid w:val="00FD0D82"/>
    <w:rsid w:val="00FD0D8F"/>
    <w:rsid w:val="00FD0DC8"/>
    <w:rsid w:val="00FD0DF5"/>
    <w:rsid w:val="00FD0E0B"/>
    <w:rsid w:val="00FD0E1B"/>
    <w:rsid w:val="00FD0E3D"/>
    <w:rsid w:val="00FD0EA1"/>
    <w:rsid w:val="00FD0EDC"/>
    <w:rsid w:val="00FD0EF9"/>
    <w:rsid w:val="00FD1004"/>
    <w:rsid w:val="00FD1093"/>
    <w:rsid w:val="00FD10BE"/>
    <w:rsid w:val="00FD1124"/>
    <w:rsid w:val="00FD1148"/>
    <w:rsid w:val="00FD11C9"/>
    <w:rsid w:val="00FD1285"/>
    <w:rsid w:val="00FD128C"/>
    <w:rsid w:val="00FD12F3"/>
    <w:rsid w:val="00FD1364"/>
    <w:rsid w:val="00FD1387"/>
    <w:rsid w:val="00FD13C5"/>
    <w:rsid w:val="00FD1413"/>
    <w:rsid w:val="00FD1431"/>
    <w:rsid w:val="00FD14F3"/>
    <w:rsid w:val="00FD1519"/>
    <w:rsid w:val="00FD168E"/>
    <w:rsid w:val="00FD17C8"/>
    <w:rsid w:val="00FD1813"/>
    <w:rsid w:val="00FD1855"/>
    <w:rsid w:val="00FD18D4"/>
    <w:rsid w:val="00FD18FE"/>
    <w:rsid w:val="00FD1972"/>
    <w:rsid w:val="00FD19A4"/>
    <w:rsid w:val="00FD1A75"/>
    <w:rsid w:val="00FD1AF9"/>
    <w:rsid w:val="00FD1B47"/>
    <w:rsid w:val="00FD1B5B"/>
    <w:rsid w:val="00FD1BB1"/>
    <w:rsid w:val="00FD1BBD"/>
    <w:rsid w:val="00FD1BD7"/>
    <w:rsid w:val="00FD1C25"/>
    <w:rsid w:val="00FD1C68"/>
    <w:rsid w:val="00FD1C8F"/>
    <w:rsid w:val="00FD1C9C"/>
    <w:rsid w:val="00FD1CA2"/>
    <w:rsid w:val="00FD1CB3"/>
    <w:rsid w:val="00FD1CEC"/>
    <w:rsid w:val="00FD1D15"/>
    <w:rsid w:val="00FD1F37"/>
    <w:rsid w:val="00FD1F6D"/>
    <w:rsid w:val="00FD1FB1"/>
    <w:rsid w:val="00FD1FCA"/>
    <w:rsid w:val="00FD2026"/>
    <w:rsid w:val="00FD203F"/>
    <w:rsid w:val="00FD20E7"/>
    <w:rsid w:val="00FD2112"/>
    <w:rsid w:val="00FD212E"/>
    <w:rsid w:val="00FD2160"/>
    <w:rsid w:val="00FD2192"/>
    <w:rsid w:val="00FD21D1"/>
    <w:rsid w:val="00FD21DE"/>
    <w:rsid w:val="00FD21FA"/>
    <w:rsid w:val="00FD220C"/>
    <w:rsid w:val="00FD22A3"/>
    <w:rsid w:val="00FD22B4"/>
    <w:rsid w:val="00FD22D5"/>
    <w:rsid w:val="00FD2320"/>
    <w:rsid w:val="00FD233E"/>
    <w:rsid w:val="00FD2361"/>
    <w:rsid w:val="00FD23CC"/>
    <w:rsid w:val="00FD23D1"/>
    <w:rsid w:val="00FD2435"/>
    <w:rsid w:val="00FD2448"/>
    <w:rsid w:val="00FD246A"/>
    <w:rsid w:val="00FD2475"/>
    <w:rsid w:val="00FD256B"/>
    <w:rsid w:val="00FD25B7"/>
    <w:rsid w:val="00FD262A"/>
    <w:rsid w:val="00FD2673"/>
    <w:rsid w:val="00FD2694"/>
    <w:rsid w:val="00FD26C7"/>
    <w:rsid w:val="00FD26E8"/>
    <w:rsid w:val="00FD26FE"/>
    <w:rsid w:val="00FD2768"/>
    <w:rsid w:val="00FD2871"/>
    <w:rsid w:val="00FD28B2"/>
    <w:rsid w:val="00FD28B4"/>
    <w:rsid w:val="00FD2925"/>
    <w:rsid w:val="00FD2976"/>
    <w:rsid w:val="00FD29B0"/>
    <w:rsid w:val="00FD2A24"/>
    <w:rsid w:val="00FD2A3E"/>
    <w:rsid w:val="00FD2A4A"/>
    <w:rsid w:val="00FD2A5C"/>
    <w:rsid w:val="00FD2A7D"/>
    <w:rsid w:val="00FD2AEE"/>
    <w:rsid w:val="00FD2B19"/>
    <w:rsid w:val="00FD2BC0"/>
    <w:rsid w:val="00FD2BCB"/>
    <w:rsid w:val="00FD2C5E"/>
    <w:rsid w:val="00FD2CAC"/>
    <w:rsid w:val="00FD2DE0"/>
    <w:rsid w:val="00FD2E06"/>
    <w:rsid w:val="00FD2E29"/>
    <w:rsid w:val="00FD2EC6"/>
    <w:rsid w:val="00FD2ED6"/>
    <w:rsid w:val="00FD2ED9"/>
    <w:rsid w:val="00FD2F61"/>
    <w:rsid w:val="00FD2F7C"/>
    <w:rsid w:val="00FD2FCA"/>
    <w:rsid w:val="00FD305D"/>
    <w:rsid w:val="00FD30B7"/>
    <w:rsid w:val="00FD3116"/>
    <w:rsid w:val="00FD318E"/>
    <w:rsid w:val="00FD31B5"/>
    <w:rsid w:val="00FD323D"/>
    <w:rsid w:val="00FD324A"/>
    <w:rsid w:val="00FD32BD"/>
    <w:rsid w:val="00FD32C8"/>
    <w:rsid w:val="00FD3414"/>
    <w:rsid w:val="00FD343D"/>
    <w:rsid w:val="00FD3485"/>
    <w:rsid w:val="00FD3577"/>
    <w:rsid w:val="00FD358E"/>
    <w:rsid w:val="00FD35FB"/>
    <w:rsid w:val="00FD3606"/>
    <w:rsid w:val="00FD3616"/>
    <w:rsid w:val="00FD36EF"/>
    <w:rsid w:val="00FD379D"/>
    <w:rsid w:val="00FD37A8"/>
    <w:rsid w:val="00FD37BB"/>
    <w:rsid w:val="00FD3864"/>
    <w:rsid w:val="00FD3881"/>
    <w:rsid w:val="00FD38B8"/>
    <w:rsid w:val="00FD3942"/>
    <w:rsid w:val="00FD395E"/>
    <w:rsid w:val="00FD39EB"/>
    <w:rsid w:val="00FD39F7"/>
    <w:rsid w:val="00FD39FA"/>
    <w:rsid w:val="00FD3A07"/>
    <w:rsid w:val="00FD3A85"/>
    <w:rsid w:val="00FD3AFA"/>
    <w:rsid w:val="00FD3B2A"/>
    <w:rsid w:val="00FD3B8C"/>
    <w:rsid w:val="00FD3BC7"/>
    <w:rsid w:val="00FD3D53"/>
    <w:rsid w:val="00FD3D56"/>
    <w:rsid w:val="00FD3E0C"/>
    <w:rsid w:val="00FD3E3E"/>
    <w:rsid w:val="00FD3E7F"/>
    <w:rsid w:val="00FD3F10"/>
    <w:rsid w:val="00FD3F33"/>
    <w:rsid w:val="00FD3F7B"/>
    <w:rsid w:val="00FD3FC9"/>
    <w:rsid w:val="00FD3FDF"/>
    <w:rsid w:val="00FD4089"/>
    <w:rsid w:val="00FD40A9"/>
    <w:rsid w:val="00FD40C0"/>
    <w:rsid w:val="00FD40CF"/>
    <w:rsid w:val="00FD40FC"/>
    <w:rsid w:val="00FD410D"/>
    <w:rsid w:val="00FD41F6"/>
    <w:rsid w:val="00FD4221"/>
    <w:rsid w:val="00FD4230"/>
    <w:rsid w:val="00FD425C"/>
    <w:rsid w:val="00FD42E4"/>
    <w:rsid w:val="00FD4308"/>
    <w:rsid w:val="00FD4340"/>
    <w:rsid w:val="00FD43A3"/>
    <w:rsid w:val="00FD4481"/>
    <w:rsid w:val="00FD44A0"/>
    <w:rsid w:val="00FD4511"/>
    <w:rsid w:val="00FD451A"/>
    <w:rsid w:val="00FD4561"/>
    <w:rsid w:val="00FD45A9"/>
    <w:rsid w:val="00FD45B7"/>
    <w:rsid w:val="00FD469F"/>
    <w:rsid w:val="00FD46AC"/>
    <w:rsid w:val="00FD46EB"/>
    <w:rsid w:val="00FD4700"/>
    <w:rsid w:val="00FD473C"/>
    <w:rsid w:val="00FD478F"/>
    <w:rsid w:val="00FD4792"/>
    <w:rsid w:val="00FD488F"/>
    <w:rsid w:val="00FD4943"/>
    <w:rsid w:val="00FD49CE"/>
    <w:rsid w:val="00FD49E5"/>
    <w:rsid w:val="00FD4A16"/>
    <w:rsid w:val="00FD4AD6"/>
    <w:rsid w:val="00FD4B63"/>
    <w:rsid w:val="00FD4B6E"/>
    <w:rsid w:val="00FD4B9E"/>
    <w:rsid w:val="00FD4BC4"/>
    <w:rsid w:val="00FD4C57"/>
    <w:rsid w:val="00FD4C59"/>
    <w:rsid w:val="00FD4C6D"/>
    <w:rsid w:val="00FD4CA5"/>
    <w:rsid w:val="00FD4CC1"/>
    <w:rsid w:val="00FD4F13"/>
    <w:rsid w:val="00FD4F3C"/>
    <w:rsid w:val="00FD4F40"/>
    <w:rsid w:val="00FD4F5B"/>
    <w:rsid w:val="00FD4F87"/>
    <w:rsid w:val="00FD4FF3"/>
    <w:rsid w:val="00FD4FF7"/>
    <w:rsid w:val="00FD500F"/>
    <w:rsid w:val="00FD5056"/>
    <w:rsid w:val="00FD50C5"/>
    <w:rsid w:val="00FD512F"/>
    <w:rsid w:val="00FD51E4"/>
    <w:rsid w:val="00FD51EB"/>
    <w:rsid w:val="00FD51EC"/>
    <w:rsid w:val="00FD5227"/>
    <w:rsid w:val="00FD5266"/>
    <w:rsid w:val="00FD52AA"/>
    <w:rsid w:val="00FD52D2"/>
    <w:rsid w:val="00FD52D3"/>
    <w:rsid w:val="00FD5365"/>
    <w:rsid w:val="00FD53D3"/>
    <w:rsid w:val="00FD5444"/>
    <w:rsid w:val="00FD5450"/>
    <w:rsid w:val="00FD545A"/>
    <w:rsid w:val="00FD5496"/>
    <w:rsid w:val="00FD5576"/>
    <w:rsid w:val="00FD55AA"/>
    <w:rsid w:val="00FD55E4"/>
    <w:rsid w:val="00FD564B"/>
    <w:rsid w:val="00FD567A"/>
    <w:rsid w:val="00FD5699"/>
    <w:rsid w:val="00FD56A3"/>
    <w:rsid w:val="00FD56AD"/>
    <w:rsid w:val="00FD56B6"/>
    <w:rsid w:val="00FD56E0"/>
    <w:rsid w:val="00FD56F8"/>
    <w:rsid w:val="00FD5720"/>
    <w:rsid w:val="00FD5725"/>
    <w:rsid w:val="00FD574D"/>
    <w:rsid w:val="00FD57AA"/>
    <w:rsid w:val="00FD57E7"/>
    <w:rsid w:val="00FD57F8"/>
    <w:rsid w:val="00FD5851"/>
    <w:rsid w:val="00FD595D"/>
    <w:rsid w:val="00FD59F1"/>
    <w:rsid w:val="00FD5AD4"/>
    <w:rsid w:val="00FD5B03"/>
    <w:rsid w:val="00FD5B47"/>
    <w:rsid w:val="00FD5BAC"/>
    <w:rsid w:val="00FD5C66"/>
    <w:rsid w:val="00FD5C9D"/>
    <w:rsid w:val="00FD5CC7"/>
    <w:rsid w:val="00FD5D10"/>
    <w:rsid w:val="00FD5D53"/>
    <w:rsid w:val="00FD5DF2"/>
    <w:rsid w:val="00FD5EC0"/>
    <w:rsid w:val="00FD5F07"/>
    <w:rsid w:val="00FD61F1"/>
    <w:rsid w:val="00FD6285"/>
    <w:rsid w:val="00FD6287"/>
    <w:rsid w:val="00FD62DC"/>
    <w:rsid w:val="00FD62E9"/>
    <w:rsid w:val="00FD6303"/>
    <w:rsid w:val="00FD635C"/>
    <w:rsid w:val="00FD6369"/>
    <w:rsid w:val="00FD63C1"/>
    <w:rsid w:val="00FD641E"/>
    <w:rsid w:val="00FD6420"/>
    <w:rsid w:val="00FD646A"/>
    <w:rsid w:val="00FD64CB"/>
    <w:rsid w:val="00FD64CF"/>
    <w:rsid w:val="00FD64DB"/>
    <w:rsid w:val="00FD653D"/>
    <w:rsid w:val="00FD6557"/>
    <w:rsid w:val="00FD6561"/>
    <w:rsid w:val="00FD6579"/>
    <w:rsid w:val="00FD664A"/>
    <w:rsid w:val="00FD66C6"/>
    <w:rsid w:val="00FD6748"/>
    <w:rsid w:val="00FD6773"/>
    <w:rsid w:val="00FD6776"/>
    <w:rsid w:val="00FD6782"/>
    <w:rsid w:val="00FD67E2"/>
    <w:rsid w:val="00FD67F1"/>
    <w:rsid w:val="00FD683F"/>
    <w:rsid w:val="00FD690D"/>
    <w:rsid w:val="00FD69AC"/>
    <w:rsid w:val="00FD6A0C"/>
    <w:rsid w:val="00FD6AC5"/>
    <w:rsid w:val="00FD6AF2"/>
    <w:rsid w:val="00FD6B1E"/>
    <w:rsid w:val="00FD6B80"/>
    <w:rsid w:val="00FD6B82"/>
    <w:rsid w:val="00FD6BA0"/>
    <w:rsid w:val="00FD6C7C"/>
    <w:rsid w:val="00FD6CCA"/>
    <w:rsid w:val="00FD6D22"/>
    <w:rsid w:val="00FD6D4E"/>
    <w:rsid w:val="00FD6E57"/>
    <w:rsid w:val="00FD6F51"/>
    <w:rsid w:val="00FD709F"/>
    <w:rsid w:val="00FD70A5"/>
    <w:rsid w:val="00FD7161"/>
    <w:rsid w:val="00FD71CD"/>
    <w:rsid w:val="00FD7206"/>
    <w:rsid w:val="00FD728F"/>
    <w:rsid w:val="00FD72C0"/>
    <w:rsid w:val="00FD72CF"/>
    <w:rsid w:val="00FD72E2"/>
    <w:rsid w:val="00FD72FF"/>
    <w:rsid w:val="00FD7360"/>
    <w:rsid w:val="00FD73AE"/>
    <w:rsid w:val="00FD7416"/>
    <w:rsid w:val="00FD7481"/>
    <w:rsid w:val="00FD748A"/>
    <w:rsid w:val="00FD7491"/>
    <w:rsid w:val="00FD7496"/>
    <w:rsid w:val="00FD74CD"/>
    <w:rsid w:val="00FD7602"/>
    <w:rsid w:val="00FD7603"/>
    <w:rsid w:val="00FD7615"/>
    <w:rsid w:val="00FD76A4"/>
    <w:rsid w:val="00FD76D7"/>
    <w:rsid w:val="00FD76DB"/>
    <w:rsid w:val="00FD7726"/>
    <w:rsid w:val="00FD774C"/>
    <w:rsid w:val="00FD7837"/>
    <w:rsid w:val="00FD78E1"/>
    <w:rsid w:val="00FD7949"/>
    <w:rsid w:val="00FD7971"/>
    <w:rsid w:val="00FD7A2D"/>
    <w:rsid w:val="00FD7AA8"/>
    <w:rsid w:val="00FD7AF6"/>
    <w:rsid w:val="00FD7B1E"/>
    <w:rsid w:val="00FD7B5C"/>
    <w:rsid w:val="00FD7BF3"/>
    <w:rsid w:val="00FD7CC7"/>
    <w:rsid w:val="00FD7CE5"/>
    <w:rsid w:val="00FD7CFF"/>
    <w:rsid w:val="00FD7D68"/>
    <w:rsid w:val="00FD7D70"/>
    <w:rsid w:val="00FD7DEA"/>
    <w:rsid w:val="00FD7E2F"/>
    <w:rsid w:val="00FD7EFB"/>
    <w:rsid w:val="00FD7F4E"/>
    <w:rsid w:val="00FD7F8E"/>
    <w:rsid w:val="00FD7FC5"/>
    <w:rsid w:val="00FD7FE7"/>
    <w:rsid w:val="00FD7FFB"/>
    <w:rsid w:val="00FE006E"/>
    <w:rsid w:val="00FE00F1"/>
    <w:rsid w:val="00FE0155"/>
    <w:rsid w:val="00FE0158"/>
    <w:rsid w:val="00FE01FB"/>
    <w:rsid w:val="00FE0240"/>
    <w:rsid w:val="00FE0363"/>
    <w:rsid w:val="00FE03C1"/>
    <w:rsid w:val="00FE03F5"/>
    <w:rsid w:val="00FE044E"/>
    <w:rsid w:val="00FE0482"/>
    <w:rsid w:val="00FE050D"/>
    <w:rsid w:val="00FE0590"/>
    <w:rsid w:val="00FE05C7"/>
    <w:rsid w:val="00FE05CA"/>
    <w:rsid w:val="00FE05ED"/>
    <w:rsid w:val="00FE05FF"/>
    <w:rsid w:val="00FE06A8"/>
    <w:rsid w:val="00FE071F"/>
    <w:rsid w:val="00FE0791"/>
    <w:rsid w:val="00FE07A9"/>
    <w:rsid w:val="00FE0895"/>
    <w:rsid w:val="00FE0905"/>
    <w:rsid w:val="00FE098C"/>
    <w:rsid w:val="00FE099F"/>
    <w:rsid w:val="00FE09BD"/>
    <w:rsid w:val="00FE0AEA"/>
    <w:rsid w:val="00FE0AFB"/>
    <w:rsid w:val="00FE0B07"/>
    <w:rsid w:val="00FE0B0A"/>
    <w:rsid w:val="00FE0B93"/>
    <w:rsid w:val="00FE0BA0"/>
    <w:rsid w:val="00FE0BA1"/>
    <w:rsid w:val="00FE0BB1"/>
    <w:rsid w:val="00FE0BC8"/>
    <w:rsid w:val="00FE0C28"/>
    <w:rsid w:val="00FE0C32"/>
    <w:rsid w:val="00FE0C65"/>
    <w:rsid w:val="00FE0C85"/>
    <w:rsid w:val="00FE0D26"/>
    <w:rsid w:val="00FE0D2A"/>
    <w:rsid w:val="00FE0D35"/>
    <w:rsid w:val="00FE0D3F"/>
    <w:rsid w:val="00FE0DD1"/>
    <w:rsid w:val="00FE0E21"/>
    <w:rsid w:val="00FE0E23"/>
    <w:rsid w:val="00FE0FBA"/>
    <w:rsid w:val="00FE0FEC"/>
    <w:rsid w:val="00FE100F"/>
    <w:rsid w:val="00FE1028"/>
    <w:rsid w:val="00FE10C8"/>
    <w:rsid w:val="00FE10DA"/>
    <w:rsid w:val="00FE10F9"/>
    <w:rsid w:val="00FE110A"/>
    <w:rsid w:val="00FE11C8"/>
    <w:rsid w:val="00FE11F1"/>
    <w:rsid w:val="00FE1212"/>
    <w:rsid w:val="00FE12D6"/>
    <w:rsid w:val="00FE12E0"/>
    <w:rsid w:val="00FE12E7"/>
    <w:rsid w:val="00FE1339"/>
    <w:rsid w:val="00FE1398"/>
    <w:rsid w:val="00FE1449"/>
    <w:rsid w:val="00FE150D"/>
    <w:rsid w:val="00FE1534"/>
    <w:rsid w:val="00FE1538"/>
    <w:rsid w:val="00FE157C"/>
    <w:rsid w:val="00FE15D1"/>
    <w:rsid w:val="00FE15E3"/>
    <w:rsid w:val="00FE15EE"/>
    <w:rsid w:val="00FE1727"/>
    <w:rsid w:val="00FE178A"/>
    <w:rsid w:val="00FE1796"/>
    <w:rsid w:val="00FE1810"/>
    <w:rsid w:val="00FE18A0"/>
    <w:rsid w:val="00FE18A5"/>
    <w:rsid w:val="00FE18D0"/>
    <w:rsid w:val="00FE1A2A"/>
    <w:rsid w:val="00FE1A32"/>
    <w:rsid w:val="00FE1AC4"/>
    <w:rsid w:val="00FE1AD7"/>
    <w:rsid w:val="00FE1C79"/>
    <w:rsid w:val="00FE1CA6"/>
    <w:rsid w:val="00FE1D03"/>
    <w:rsid w:val="00FE1D1F"/>
    <w:rsid w:val="00FE1D46"/>
    <w:rsid w:val="00FE1DA5"/>
    <w:rsid w:val="00FE1DB6"/>
    <w:rsid w:val="00FE1DD8"/>
    <w:rsid w:val="00FE1DEC"/>
    <w:rsid w:val="00FE1E09"/>
    <w:rsid w:val="00FE1E11"/>
    <w:rsid w:val="00FE1E1A"/>
    <w:rsid w:val="00FE1E70"/>
    <w:rsid w:val="00FE1E7A"/>
    <w:rsid w:val="00FE1E7C"/>
    <w:rsid w:val="00FE1EA8"/>
    <w:rsid w:val="00FE1EFD"/>
    <w:rsid w:val="00FE1F17"/>
    <w:rsid w:val="00FE1F57"/>
    <w:rsid w:val="00FE1F5D"/>
    <w:rsid w:val="00FE1FC7"/>
    <w:rsid w:val="00FE214D"/>
    <w:rsid w:val="00FE2155"/>
    <w:rsid w:val="00FE21D7"/>
    <w:rsid w:val="00FE2284"/>
    <w:rsid w:val="00FE22A0"/>
    <w:rsid w:val="00FE23D5"/>
    <w:rsid w:val="00FE2419"/>
    <w:rsid w:val="00FE2463"/>
    <w:rsid w:val="00FE250A"/>
    <w:rsid w:val="00FE25A4"/>
    <w:rsid w:val="00FE263C"/>
    <w:rsid w:val="00FE2677"/>
    <w:rsid w:val="00FE26E9"/>
    <w:rsid w:val="00FE277E"/>
    <w:rsid w:val="00FE287A"/>
    <w:rsid w:val="00FE28A1"/>
    <w:rsid w:val="00FE28B5"/>
    <w:rsid w:val="00FE28DB"/>
    <w:rsid w:val="00FE2933"/>
    <w:rsid w:val="00FE2940"/>
    <w:rsid w:val="00FE29A5"/>
    <w:rsid w:val="00FE29DF"/>
    <w:rsid w:val="00FE2A4C"/>
    <w:rsid w:val="00FE2A69"/>
    <w:rsid w:val="00FE2AA5"/>
    <w:rsid w:val="00FE2AD2"/>
    <w:rsid w:val="00FE2B2B"/>
    <w:rsid w:val="00FE2B5B"/>
    <w:rsid w:val="00FE2C2A"/>
    <w:rsid w:val="00FE2C5B"/>
    <w:rsid w:val="00FE2C76"/>
    <w:rsid w:val="00FE2D01"/>
    <w:rsid w:val="00FE2D1D"/>
    <w:rsid w:val="00FE2D48"/>
    <w:rsid w:val="00FE2D5B"/>
    <w:rsid w:val="00FE2D65"/>
    <w:rsid w:val="00FE2DC0"/>
    <w:rsid w:val="00FE2E0E"/>
    <w:rsid w:val="00FE2E68"/>
    <w:rsid w:val="00FE2E6C"/>
    <w:rsid w:val="00FE2EC2"/>
    <w:rsid w:val="00FE2F60"/>
    <w:rsid w:val="00FE2F97"/>
    <w:rsid w:val="00FE2FA8"/>
    <w:rsid w:val="00FE2FB0"/>
    <w:rsid w:val="00FE300F"/>
    <w:rsid w:val="00FE3121"/>
    <w:rsid w:val="00FE3144"/>
    <w:rsid w:val="00FE3146"/>
    <w:rsid w:val="00FE31A9"/>
    <w:rsid w:val="00FE31F2"/>
    <w:rsid w:val="00FE3205"/>
    <w:rsid w:val="00FE3337"/>
    <w:rsid w:val="00FE3380"/>
    <w:rsid w:val="00FE3391"/>
    <w:rsid w:val="00FE339F"/>
    <w:rsid w:val="00FE33A4"/>
    <w:rsid w:val="00FE33B3"/>
    <w:rsid w:val="00FE33C8"/>
    <w:rsid w:val="00FE3446"/>
    <w:rsid w:val="00FE3493"/>
    <w:rsid w:val="00FE34B7"/>
    <w:rsid w:val="00FE350D"/>
    <w:rsid w:val="00FE3519"/>
    <w:rsid w:val="00FE35A1"/>
    <w:rsid w:val="00FE35DD"/>
    <w:rsid w:val="00FE35E1"/>
    <w:rsid w:val="00FE3630"/>
    <w:rsid w:val="00FE36EC"/>
    <w:rsid w:val="00FE36F6"/>
    <w:rsid w:val="00FE3842"/>
    <w:rsid w:val="00FE389E"/>
    <w:rsid w:val="00FE38DF"/>
    <w:rsid w:val="00FE3922"/>
    <w:rsid w:val="00FE3AAD"/>
    <w:rsid w:val="00FE3B10"/>
    <w:rsid w:val="00FE3B2B"/>
    <w:rsid w:val="00FE3B5C"/>
    <w:rsid w:val="00FE3B83"/>
    <w:rsid w:val="00FE3BAF"/>
    <w:rsid w:val="00FE3BCF"/>
    <w:rsid w:val="00FE3BDA"/>
    <w:rsid w:val="00FE3BEF"/>
    <w:rsid w:val="00FE3C6E"/>
    <w:rsid w:val="00FE3CA2"/>
    <w:rsid w:val="00FE3CB3"/>
    <w:rsid w:val="00FE3D12"/>
    <w:rsid w:val="00FE3D64"/>
    <w:rsid w:val="00FE3D6C"/>
    <w:rsid w:val="00FE3D93"/>
    <w:rsid w:val="00FE3EF6"/>
    <w:rsid w:val="00FE3F2B"/>
    <w:rsid w:val="00FE406B"/>
    <w:rsid w:val="00FE4076"/>
    <w:rsid w:val="00FE4095"/>
    <w:rsid w:val="00FE417D"/>
    <w:rsid w:val="00FE4181"/>
    <w:rsid w:val="00FE43D0"/>
    <w:rsid w:val="00FE44B1"/>
    <w:rsid w:val="00FE44C7"/>
    <w:rsid w:val="00FE44CA"/>
    <w:rsid w:val="00FE45F2"/>
    <w:rsid w:val="00FE4648"/>
    <w:rsid w:val="00FE46B2"/>
    <w:rsid w:val="00FE472B"/>
    <w:rsid w:val="00FE4740"/>
    <w:rsid w:val="00FE4779"/>
    <w:rsid w:val="00FE47CB"/>
    <w:rsid w:val="00FE47FC"/>
    <w:rsid w:val="00FE4817"/>
    <w:rsid w:val="00FE4856"/>
    <w:rsid w:val="00FE48DC"/>
    <w:rsid w:val="00FE4906"/>
    <w:rsid w:val="00FE4917"/>
    <w:rsid w:val="00FE492D"/>
    <w:rsid w:val="00FE4951"/>
    <w:rsid w:val="00FE4ABB"/>
    <w:rsid w:val="00FE4AC9"/>
    <w:rsid w:val="00FE4AF5"/>
    <w:rsid w:val="00FE4BE2"/>
    <w:rsid w:val="00FE4C49"/>
    <w:rsid w:val="00FE4C5A"/>
    <w:rsid w:val="00FE4CBB"/>
    <w:rsid w:val="00FE4CBC"/>
    <w:rsid w:val="00FE4D74"/>
    <w:rsid w:val="00FE4D98"/>
    <w:rsid w:val="00FE4DBA"/>
    <w:rsid w:val="00FE4DC0"/>
    <w:rsid w:val="00FE4DFB"/>
    <w:rsid w:val="00FE4E51"/>
    <w:rsid w:val="00FE4F9B"/>
    <w:rsid w:val="00FE5013"/>
    <w:rsid w:val="00FE506E"/>
    <w:rsid w:val="00FE5083"/>
    <w:rsid w:val="00FE50B9"/>
    <w:rsid w:val="00FE50D6"/>
    <w:rsid w:val="00FE50FD"/>
    <w:rsid w:val="00FE51FF"/>
    <w:rsid w:val="00FE5202"/>
    <w:rsid w:val="00FE5208"/>
    <w:rsid w:val="00FE5241"/>
    <w:rsid w:val="00FE5280"/>
    <w:rsid w:val="00FE52AB"/>
    <w:rsid w:val="00FE5399"/>
    <w:rsid w:val="00FE53D9"/>
    <w:rsid w:val="00FE5443"/>
    <w:rsid w:val="00FE5481"/>
    <w:rsid w:val="00FE568C"/>
    <w:rsid w:val="00FE5705"/>
    <w:rsid w:val="00FE5711"/>
    <w:rsid w:val="00FE57C8"/>
    <w:rsid w:val="00FE57DA"/>
    <w:rsid w:val="00FE57E4"/>
    <w:rsid w:val="00FE580F"/>
    <w:rsid w:val="00FE5840"/>
    <w:rsid w:val="00FE5878"/>
    <w:rsid w:val="00FE58CD"/>
    <w:rsid w:val="00FE595C"/>
    <w:rsid w:val="00FE5988"/>
    <w:rsid w:val="00FE5AC6"/>
    <w:rsid w:val="00FE5AE8"/>
    <w:rsid w:val="00FE5BC0"/>
    <w:rsid w:val="00FE5BEF"/>
    <w:rsid w:val="00FE5C2F"/>
    <w:rsid w:val="00FE5C50"/>
    <w:rsid w:val="00FE5C70"/>
    <w:rsid w:val="00FE5CBF"/>
    <w:rsid w:val="00FE5DF1"/>
    <w:rsid w:val="00FE5E15"/>
    <w:rsid w:val="00FE5F25"/>
    <w:rsid w:val="00FE5FA5"/>
    <w:rsid w:val="00FE5FC2"/>
    <w:rsid w:val="00FE5FC7"/>
    <w:rsid w:val="00FE60E9"/>
    <w:rsid w:val="00FE6127"/>
    <w:rsid w:val="00FE613F"/>
    <w:rsid w:val="00FE6195"/>
    <w:rsid w:val="00FE61A7"/>
    <w:rsid w:val="00FE61BA"/>
    <w:rsid w:val="00FE61FA"/>
    <w:rsid w:val="00FE6227"/>
    <w:rsid w:val="00FE6258"/>
    <w:rsid w:val="00FE628C"/>
    <w:rsid w:val="00FE632E"/>
    <w:rsid w:val="00FE633A"/>
    <w:rsid w:val="00FE6380"/>
    <w:rsid w:val="00FE63B1"/>
    <w:rsid w:val="00FE63B9"/>
    <w:rsid w:val="00FE63FA"/>
    <w:rsid w:val="00FE640F"/>
    <w:rsid w:val="00FE6442"/>
    <w:rsid w:val="00FE648F"/>
    <w:rsid w:val="00FE64D2"/>
    <w:rsid w:val="00FE6551"/>
    <w:rsid w:val="00FE6566"/>
    <w:rsid w:val="00FE6618"/>
    <w:rsid w:val="00FE6686"/>
    <w:rsid w:val="00FE66F7"/>
    <w:rsid w:val="00FE679C"/>
    <w:rsid w:val="00FE67D4"/>
    <w:rsid w:val="00FE684E"/>
    <w:rsid w:val="00FE68AA"/>
    <w:rsid w:val="00FE68BE"/>
    <w:rsid w:val="00FE6927"/>
    <w:rsid w:val="00FE693C"/>
    <w:rsid w:val="00FE694B"/>
    <w:rsid w:val="00FE6999"/>
    <w:rsid w:val="00FE69D3"/>
    <w:rsid w:val="00FE69DD"/>
    <w:rsid w:val="00FE6A0C"/>
    <w:rsid w:val="00FE6DAE"/>
    <w:rsid w:val="00FE6DCF"/>
    <w:rsid w:val="00FE6E08"/>
    <w:rsid w:val="00FE6E83"/>
    <w:rsid w:val="00FE6E98"/>
    <w:rsid w:val="00FE6F06"/>
    <w:rsid w:val="00FE6FBB"/>
    <w:rsid w:val="00FE6FDA"/>
    <w:rsid w:val="00FE70C6"/>
    <w:rsid w:val="00FE71E6"/>
    <w:rsid w:val="00FE7215"/>
    <w:rsid w:val="00FE7284"/>
    <w:rsid w:val="00FE72ED"/>
    <w:rsid w:val="00FE736C"/>
    <w:rsid w:val="00FE740D"/>
    <w:rsid w:val="00FE7418"/>
    <w:rsid w:val="00FE74AF"/>
    <w:rsid w:val="00FE74CE"/>
    <w:rsid w:val="00FE7531"/>
    <w:rsid w:val="00FE754A"/>
    <w:rsid w:val="00FE75A0"/>
    <w:rsid w:val="00FE7602"/>
    <w:rsid w:val="00FE7618"/>
    <w:rsid w:val="00FE7638"/>
    <w:rsid w:val="00FE768E"/>
    <w:rsid w:val="00FE768F"/>
    <w:rsid w:val="00FE76EE"/>
    <w:rsid w:val="00FE7702"/>
    <w:rsid w:val="00FE7764"/>
    <w:rsid w:val="00FE7830"/>
    <w:rsid w:val="00FE7890"/>
    <w:rsid w:val="00FE78B2"/>
    <w:rsid w:val="00FE78C4"/>
    <w:rsid w:val="00FE792A"/>
    <w:rsid w:val="00FE794D"/>
    <w:rsid w:val="00FE79B5"/>
    <w:rsid w:val="00FE7A39"/>
    <w:rsid w:val="00FE7A5B"/>
    <w:rsid w:val="00FE7A76"/>
    <w:rsid w:val="00FE7A9A"/>
    <w:rsid w:val="00FE7AB7"/>
    <w:rsid w:val="00FE7B13"/>
    <w:rsid w:val="00FE7B57"/>
    <w:rsid w:val="00FE7D05"/>
    <w:rsid w:val="00FE7D7E"/>
    <w:rsid w:val="00FE7D94"/>
    <w:rsid w:val="00FE7DA0"/>
    <w:rsid w:val="00FE7DB5"/>
    <w:rsid w:val="00FE7DC2"/>
    <w:rsid w:val="00FE7E20"/>
    <w:rsid w:val="00FE7E26"/>
    <w:rsid w:val="00FE7E4A"/>
    <w:rsid w:val="00FE7E64"/>
    <w:rsid w:val="00FE7EDE"/>
    <w:rsid w:val="00FE7FD2"/>
    <w:rsid w:val="00FF0026"/>
    <w:rsid w:val="00FF0045"/>
    <w:rsid w:val="00FF0136"/>
    <w:rsid w:val="00FF0152"/>
    <w:rsid w:val="00FF01F6"/>
    <w:rsid w:val="00FF0219"/>
    <w:rsid w:val="00FF023E"/>
    <w:rsid w:val="00FF035A"/>
    <w:rsid w:val="00FF03A7"/>
    <w:rsid w:val="00FF03D9"/>
    <w:rsid w:val="00FF0418"/>
    <w:rsid w:val="00FF0438"/>
    <w:rsid w:val="00FF0472"/>
    <w:rsid w:val="00FF04AF"/>
    <w:rsid w:val="00FF04DC"/>
    <w:rsid w:val="00FF0528"/>
    <w:rsid w:val="00FF059D"/>
    <w:rsid w:val="00FF05DD"/>
    <w:rsid w:val="00FF063E"/>
    <w:rsid w:val="00FF065D"/>
    <w:rsid w:val="00FF07A5"/>
    <w:rsid w:val="00FF08CA"/>
    <w:rsid w:val="00FF099B"/>
    <w:rsid w:val="00FF09C6"/>
    <w:rsid w:val="00FF0A06"/>
    <w:rsid w:val="00FF0ABC"/>
    <w:rsid w:val="00FF0AC6"/>
    <w:rsid w:val="00FF0B4C"/>
    <w:rsid w:val="00FF0C4F"/>
    <w:rsid w:val="00FF0C73"/>
    <w:rsid w:val="00FF0CE2"/>
    <w:rsid w:val="00FF0DBC"/>
    <w:rsid w:val="00FF0E79"/>
    <w:rsid w:val="00FF0ECE"/>
    <w:rsid w:val="00FF0EDE"/>
    <w:rsid w:val="00FF0EF5"/>
    <w:rsid w:val="00FF0EF6"/>
    <w:rsid w:val="00FF0EF9"/>
    <w:rsid w:val="00FF0F65"/>
    <w:rsid w:val="00FF0F6A"/>
    <w:rsid w:val="00FF0FE3"/>
    <w:rsid w:val="00FF10A0"/>
    <w:rsid w:val="00FF10B4"/>
    <w:rsid w:val="00FF11A6"/>
    <w:rsid w:val="00FF11AB"/>
    <w:rsid w:val="00FF11FD"/>
    <w:rsid w:val="00FF1238"/>
    <w:rsid w:val="00FF125E"/>
    <w:rsid w:val="00FF128E"/>
    <w:rsid w:val="00FF12E4"/>
    <w:rsid w:val="00FF12F8"/>
    <w:rsid w:val="00FF131E"/>
    <w:rsid w:val="00FF134A"/>
    <w:rsid w:val="00FF136F"/>
    <w:rsid w:val="00FF13D7"/>
    <w:rsid w:val="00FF1493"/>
    <w:rsid w:val="00FF14B0"/>
    <w:rsid w:val="00FF14E6"/>
    <w:rsid w:val="00FF15C8"/>
    <w:rsid w:val="00FF1602"/>
    <w:rsid w:val="00FF1661"/>
    <w:rsid w:val="00FF1769"/>
    <w:rsid w:val="00FF17AC"/>
    <w:rsid w:val="00FF181C"/>
    <w:rsid w:val="00FF181F"/>
    <w:rsid w:val="00FF18D2"/>
    <w:rsid w:val="00FF191A"/>
    <w:rsid w:val="00FF1934"/>
    <w:rsid w:val="00FF19D5"/>
    <w:rsid w:val="00FF19FB"/>
    <w:rsid w:val="00FF1A27"/>
    <w:rsid w:val="00FF1A91"/>
    <w:rsid w:val="00FF1A9A"/>
    <w:rsid w:val="00FF1A9B"/>
    <w:rsid w:val="00FF1ACB"/>
    <w:rsid w:val="00FF1B13"/>
    <w:rsid w:val="00FF1B9C"/>
    <w:rsid w:val="00FF1C5E"/>
    <w:rsid w:val="00FF1E05"/>
    <w:rsid w:val="00FF1E2F"/>
    <w:rsid w:val="00FF1E9C"/>
    <w:rsid w:val="00FF1EB5"/>
    <w:rsid w:val="00FF1F34"/>
    <w:rsid w:val="00FF20AB"/>
    <w:rsid w:val="00FF212F"/>
    <w:rsid w:val="00FF217D"/>
    <w:rsid w:val="00FF2227"/>
    <w:rsid w:val="00FF226D"/>
    <w:rsid w:val="00FF2295"/>
    <w:rsid w:val="00FF22B7"/>
    <w:rsid w:val="00FF22C0"/>
    <w:rsid w:val="00FF22FA"/>
    <w:rsid w:val="00FF232A"/>
    <w:rsid w:val="00FF23C8"/>
    <w:rsid w:val="00FF23F0"/>
    <w:rsid w:val="00FF2458"/>
    <w:rsid w:val="00FF24FA"/>
    <w:rsid w:val="00FF25EA"/>
    <w:rsid w:val="00FF268E"/>
    <w:rsid w:val="00FF26C9"/>
    <w:rsid w:val="00FF26D9"/>
    <w:rsid w:val="00FF2707"/>
    <w:rsid w:val="00FF270F"/>
    <w:rsid w:val="00FF2714"/>
    <w:rsid w:val="00FF278E"/>
    <w:rsid w:val="00FF285A"/>
    <w:rsid w:val="00FF28B2"/>
    <w:rsid w:val="00FF28CC"/>
    <w:rsid w:val="00FF28E3"/>
    <w:rsid w:val="00FF2903"/>
    <w:rsid w:val="00FF2927"/>
    <w:rsid w:val="00FF2993"/>
    <w:rsid w:val="00FF29AB"/>
    <w:rsid w:val="00FF2A08"/>
    <w:rsid w:val="00FF2A42"/>
    <w:rsid w:val="00FF2A4A"/>
    <w:rsid w:val="00FF2A6D"/>
    <w:rsid w:val="00FF2A8A"/>
    <w:rsid w:val="00FF2AC3"/>
    <w:rsid w:val="00FF2B3B"/>
    <w:rsid w:val="00FF2B76"/>
    <w:rsid w:val="00FF2B9C"/>
    <w:rsid w:val="00FF2BC7"/>
    <w:rsid w:val="00FF2BDD"/>
    <w:rsid w:val="00FF2C15"/>
    <w:rsid w:val="00FF2C2B"/>
    <w:rsid w:val="00FF2C8B"/>
    <w:rsid w:val="00FF2CA9"/>
    <w:rsid w:val="00FF2CB5"/>
    <w:rsid w:val="00FF2D3C"/>
    <w:rsid w:val="00FF2D9E"/>
    <w:rsid w:val="00FF2DEE"/>
    <w:rsid w:val="00FF2E20"/>
    <w:rsid w:val="00FF2EB2"/>
    <w:rsid w:val="00FF2F87"/>
    <w:rsid w:val="00FF3045"/>
    <w:rsid w:val="00FF30B2"/>
    <w:rsid w:val="00FF30C7"/>
    <w:rsid w:val="00FF30D1"/>
    <w:rsid w:val="00FF3105"/>
    <w:rsid w:val="00FF310F"/>
    <w:rsid w:val="00FF325E"/>
    <w:rsid w:val="00FF32EF"/>
    <w:rsid w:val="00FF330F"/>
    <w:rsid w:val="00FF33F0"/>
    <w:rsid w:val="00FF34E7"/>
    <w:rsid w:val="00FF34F2"/>
    <w:rsid w:val="00FF3555"/>
    <w:rsid w:val="00FF357D"/>
    <w:rsid w:val="00FF361F"/>
    <w:rsid w:val="00FF3637"/>
    <w:rsid w:val="00FF3642"/>
    <w:rsid w:val="00FF368E"/>
    <w:rsid w:val="00FF3706"/>
    <w:rsid w:val="00FF371D"/>
    <w:rsid w:val="00FF3794"/>
    <w:rsid w:val="00FF3796"/>
    <w:rsid w:val="00FF37C6"/>
    <w:rsid w:val="00FF381F"/>
    <w:rsid w:val="00FF3842"/>
    <w:rsid w:val="00FF38E4"/>
    <w:rsid w:val="00FF390A"/>
    <w:rsid w:val="00FF394C"/>
    <w:rsid w:val="00FF3950"/>
    <w:rsid w:val="00FF3A0B"/>
    <w:rsid w:val="00FF3A4D"/>
    <w:rsid w:val="00FF3B26"/>
    <w:rsid w:val="00FF3BC6"/>
    <w:rsid w:val="00FF3BE9"/>
    <w:rsid w:val="00FF3C07"/>
    <w:rsid w:val="00FF3C15"/>
    <w:rsid w:val="00FF3C3F"/>
    <w:rsid w:val="00FF3C5D"/>
    <w:rsid w:val="00FF3C76"/>
    <w:rsid w:val="00FF3C9C"/>
    <w:rsid w:val="00FF3CE3"/>
    <w:rsid w:val="00FF3D17"/>
    <w:rsid w:val="00FF3D37"/>
    <w:rsid w:val="00FF3D5B"/>
    <w:rsid w:val="00FF3D75"/>
    <w:rsid w:val="00FF3E48"/>
    <w:rsid w:val="00FF3E49"/>
    <w:rsid w:val="00FF3E86"/>
    <w:rsid w:val="00FF3ECA"/>
    <w:rsid w:val="00FF3EE5"/>
    <w:rsid w:val="00FF3FB7"/>
    <w:rsid w:val="00FF3FE5"/>
    <w:rsid w:val="00FF400A"/>
    <w:rsid w:val="00FF403B"/>
    <w:rsid w:val="00FF4040"/>
    <w:rsid w:val="00FF4044"/>
    <w:rsid w:val="00FF4199"/>
    <w:rsid w:val="00FF41B4"/>
    <w:rsid w:val="00FF41CD"/>
    <w:rsid w:val="00FF41DE"/>
    <w:rsid w:val="00FF41EF"/>
    <w:rsid w:val="00FF41F1"/>
    <w:rsid w:val="00FF428A"/>
    <w:rsid w:val="00FF4362"/>
    <w:rsid w:val="00FF4387"/>
    <w:rsid w:val="00FF43C2"/>
    <w:rsid w:val="00FF43FA"/>
    <w:rsid w:val="00FF4466"/>
    <w:rsid w:val="00FF4474"/>
    <w:rsid w:val="00FF44E2"/>
    <w:rsid w:val="00FF44F7"/>
    <w:rsid w:val="00FF4528"/>
    <w:rsid w:val="00FF4558"/>
    <w:rsid w:val="00FF45B9"/>
    <w:rsid w:val="00FF464D"/>
    <w:rsid w:val="00FF468D"/>
    <w:rsid w:val="00FF4726"/>
    <w:rsid w:val="00FF493E"/>
    <w:rsid w:val="00FF493F"/>
    <w:rsid w:val="00FF4983"/>
    <w:rsid w:val="00FF4A17"/>
    <w:rsid w:val="00FF4AD1"/>
    <w:rsid w:val="00FF4AE4"/>
    <w:rsid w:val="00FF4AF3"/>
    <w:rsid w:val="00FF4B9B"/>
    <w:rsid w:val="00FF4CA2"/>
    <w:rsid w:val="00FF4D24"/>
    <w:rsid w:val="00FF4D77"/>
    <w:rsid w:val="00FF4D7E"/>
    <w:rsid w:val="00FF4DD0"/>
    <w:rsid w:val="00FF4DD7"/>
    <w:rsid w:val="00FF4E0F"/>
    <w:rsid w:val="00FF4E69"/>
    <w:rsid w:val="00FF4ED6"/>
    <w:rsid w:val="00FF4EF0"/>
    <w:rsid w:val="00FF5069"/>
    <w:rsid w:val="00FF50C6"/>
    <w:rsid w:val="00FF519F"/>
    <w:rsid w:val="00FF51AF"/>
    <w:rsid w:val="00FF51BC"/>
    <w:rsid w:val="00FF523F"/>
    <w:rsid w:val="00FF52AD"/>
    <w:rsid w:val="00FF5335"/>
    <w:rsid w:val="00FF5384"/>
    <w:rsid w:val="00FF5386"/>
    <w:rsid w:val="00FF53A3"/>
    <w:rsid w:val="00FF53AA"/>
    <w:rsid w:val="00FF53AB"/>
    <w:rsid w:val="00FF53CD"/>
    <w:rsid w:val="00FF5425"/>
    <w:rsid w:val="00FF5433"/>
    <w:rsid w:val="00FF5517"/>
    <w:rsid w:val="00FF558B"/>
    <w:rsid w:val="00FF55D4"/>
    <w:rsid w:val="00FF5604"/>
    <w:rsid w:val="00FF5645"/>
    <w:rsid w:val="00FF56D6"/>
    <w:rsid w:val="00FF56F3"/>
    <w:rsid w:val="00FF571D"/>
    <w:rsid w:val="00FF57E5"/>
    <w:rsid w:val="00FF5807"/>
    <w:rsid w:val="00FF5877"/>
    <w:rsid w:val="00FF58F5"/>
    <w:rsid w:val="00FF5920"/>
    <w:rsid w:val="00FF59B0"/>
    <w:rsid w:val="00FF59E6"/>
    <w:rsid w:val="00FF59F4"/>
    <w:rsid w:val="00FF5AAE"/>
    <w:rsid w:val="00FF5B02"/>
    <w:rsid w:val="00FF5BAB"/>
    <w:rsid w:val="00FF5C6D"/>
    <w:rsid w:val="00FF5CFA"/>
    <w:rsid w:val="00FF5D4F"/>
    <w:rsid w:val="00FF5D76"/>
    <w:rsid w:val="00FF5D99"/>
    <w:rsid w:val="00FF5E3E"/>
    <w:rsid w:val="00FF5EE1"/>
    <w:rsid w:val="00FF5EF7"/>
    <w:rsid w:val="00FF5EFB"/>
    <w:rsid w:val="00FF5F89"/>
    <w:rsid w:val="00FF5F90"/>
    <w:rsid w:val="00FF5F9E"/>
    <w:rsid w:val="00FF6045"/>
    <w:rsid w:val="00FF6063"/>
    <w:rsid w:val="00FF60F1"/>
    <w:rsid w:val="00FF6107"/>
    <w:rsid w:val="00FF6218"/>
    <w:rsid w:val="00FF621F"/>
    <w:rsid w:val="00FF6224"/>
    <w:rsid w:val="00FF62B8"/>
    <w:rsid w:val="00FF62D3"/>
    <w:rsid w:val="00FF62E5"/>
    <w:rsid w:val="00FF62E8"/>
    <w:rsid w:val="00FF6395"/>
    <w:rsid w:val="00FF63A5"/>
    <w:rsid w:val="00FF63C0"/>
    <w:rsid w:val="00FF63D9"/>
    <w:rsid w:val="00FF641E"/>
    <w:rsid w:val="00FF6448"/>
    <w:rsid w:val="00FF647E"/>
    <w:rsid w:val="00FF6558"/>
    <w:rsid w:val="00FF659D"/>
    <w:rsid w:val="00FF65F3"/>
    <w:rsid w:val="00FF65F7"/>
    <w:rsid w:val="00FF6601"/>
    <w:rsid w:val="00FF66A0"/>
    <w:rsid w:val="00FF6716"/>
    <w:rsid w:val="00FF67C0"/>
    <w:rsid w:val="00FF67E9"/>
    <w:rsid w:val="00FF67F1"/>
    <w:rsid w:val="00FF6896"/>
    <w:rsid w:val="00FF690A"/>
    <w:rsid w:val="00FF690C"/>
    <w:rsid w:val="00FF693D"/>
    <w:rsid w:val="00FF6974"/>
    <w:rsid w:val="00FF6991"/>
    <w:rsid w:val="00FF699F"/>
    <w:rsid w:val="00FF69F9"/>
    <w:rsid w:val="00FF6A28"/>
    <w:rsid w:val="00FF6A8D"/>
    <w:rsid w:val="00FF6A9E"/>
    <w:rsid w:val="00FF6ABE"/>
    <w:rsid w:val="00FF6AC1"/>
    <w:rsid w:val="00FF6ACE"/>
    <w:rsid w:val="00FF6B3C"/>
    <w:rsid w:val="00FF6B64"/>
    <w:rsid w:val="00FF6B85"/>
    <w:rsid w:val="00FF6C13"/>
    <w:rsid w:val="00FF6C1B"/>
    <w:rsid w:val="00FF6C40"/>
    <w:rsid w:val="00FF6CA2"/>
    <w:rsid w:val="00FF6CAD"/>
    <w:rsid w:val="00FF6CC3"/>
    <w:rsid w:val="00FF6D2A"/>
    <w:rsid w:val="00FF6D31"/>
    <w:rsid w:val="00FF6DA3"/>
    <w:rsid w:val="00FF6DF0"/>
    <w:rsid w:val="00FF6E41"/>
    <w:rsid w:val="00FF6E70"/>
    <w:rsid w:val="00FF6E7C"/>
    <w:rsid w:val="00FF6F0E"/>
    <w:rsid w:val="00FF6F50"/>
    <w:rsid w:val="00FF6FF5"/>
    <w:rsid w:val="00FF6FFC"/>
    <w:rsid w:val="00FF700C"/>
    <w:rsid w:val="00FF702F"/>
    <w:rsid w:val="00FF7077"/>
    <w:rsid w:val="00FF712F"/>
    <w:rsid w:val="00FF714C"/>
    <w:rsid w:val="00FF7157"/>
    <w:rsid w:val="00FF71E1"/>
    <w:rsid w:val="00FF720D"/>
    <w:rsid w:val="00FF7257"/>
    <w:rsid w:val="00FF7259"/>
    <w:rsid w:val="00FF7283"/>
    <w:rsid w:val="00FF72B2"/>
    <w:rsid w:val="00FF72EB"/>
    <w:rsid w:val="00FF731D"/>
    <w:rsid w:val="00FF7381"/>
    <w:rsid w:val="00FF7408"/>
    <w:rsid w:val="00FF7421"/>
    <w:rsid w:val="00FF743E"/>
    <w:rsid w:val="00FF7498"/>
    <w:rsid w:val="00FF74CA"/>
    <w:rsid w:val="00FF75A2"/>
    <w:rsid w:val="00FF7639"/>
    <w:rsid w:val="00FF768F"/>
    <w:rsid w:val="00FF772F"/>
    <w:rsid w:val="00FF775B"/>
    <w:rsid w:val="00FF77D4"/>
    <w:rsid w:val="00FF7814"/>
    <w:rsid w:val="00FF7851"/>
    <w:rsid w:val="00FF78B9"/>
    <w:rsid w:val="00FF79B4"/>
    <w:rsid w:val="00FF79E1"/>
    <w:rsid w:val="00FF7A4B"/>
    <w:rsid w:val="00FF7A71"/>
    <w:rsid w:val="00FF7AAC"/>
    <w:rsid w:val="00FF7AC1"/>
    <w:rsid w:val="00FF7AC5"/>
    <w:rsid w:val="00FF7AFE"/>
    <w:rsid w:val="00FF7BC5"/>
    <w:rsid w:val="00FF7C07"/>
    <w:rsid w:val="00FF7C42"/>
    <w:rsid w:val="00FF7C7E"/>
    <w:rsid w:val="00FF7D77"/>
    <w:rsid w:val="00FF7DA7"/>
    <w:rsid w:val="00FF7E28"/>
    <w:rsid w:val="00FF7E30"/>
    <w:rsid w:val="00FF7E4F"/>
    <w:rsid w:val="00FF7E82"/>
    <w:rsid w:val="00FF7E87"/>
    <w:rsid w:val="00FF7F7E"/>
    <w:rsid w:val="00FF7FD8"/>
    <w:rsid w:val="01159106"/>
    <w:rsid w:val="011A0F10"/>
    <w:rsid w:val="011DE7A3"/>
    <w:rsid w:val="011FA54F"/>
    <w:rsid w:val="01236F64"/>
    <w:rsid w:val="0126B12F"/>
    <w:rsid w:val="01347602"/>
    <w:rsid w:val="014ED565"/>
    <w:rsid w:val="015516E3"/>
    <w:rsid w:val="015619B3"/>
    <w:rsid w:val="015D435D"/>
    <w:rsid w:val="016E447A"/>
    <w:rsid w:val="0170F129"/>
    <w:rsid w:val="018628B5"/>
    <w:rsid w:val="0188D341"/>
    <w:rsid w:val="018979B0"/>
    <w:rsid w:val="01A6C062"/>
    <w:rsid w:val="01A715C8"/>
    <w:rsid w:val="01BBDC36"/>
    <w:rsid w:val="01C0B654"/>
    <w:rsid w:val="01C0BC71"/>
    <w:rsid w:val="01C36BC6"/>
    <w:rsid w:val="01C9152F"/>
    <w:rsid w:val="01C95597"/>
    <w:rsid w:val="01CB11BF"/>
    <w:rsid w:val="01CB20ED"/>
    <w:rsid w:val="01CB639E"/>
    <w:rsid w:val="01D3BAC3"/>
    <w:rsid w:val="01E55BB7"/>
    <w:rsid w:val="01E74254"/>
    <w:rsid w:val="01E8D4FB"/>
    <w:rsid w:val="01FB6103"/>
    <w:rsid w:val="02128A7E"/>
    <w:rsid w:val="0234BFFE"/>
    <w:rsid w:val="024136D9"/>
    <w:rsid w:val="024196AC"/>
    <w:rsid w:val="025134AD"/>
    <w:rsid w:val="0251B23B"/>
    <w:rsid w:val="025918FE"/>
    <w:rsid w:val="0259A944"/>
    <w:rsid w:val="025D228B"/>
    <w:rsid w:val="0262F3A6"/>
    <w:rsid w:val="0267752F"/>
    <w:rsid w:val="02679DFB"/>
    <w:rsid w:val="0269AAA7"/>
    <w:rsid w:val="0274EE36"/>
    <w:rsid w:val="0276F955"/>
    <w:rsid w:val="02834B1B"/>
    <w:rsid w:val="0294BB43"/>
    <w:rsid w:val="02999EA1"/>
    <w:rsid w:val="029C610E"/>
    <w:rsid w:val="029E3BBA"/>
    <w:rsid w:val="02A183ED"/>
    <w:rsid w:val="02A1FBB9"/>
    <w:rsid w:val="02BA04B0"/>
    <w:rsid w:val="02BD5853"/>
    <w:rsid w:val="02D5FC6B"/>
    <w:rsid w:val="02DD1877"/>
    <w:rsid w:val="02DD4724"/>
    <w:rsid w:val="02E04A4A"/>
    <w:rsid w:val="02E7CFB9"/>
    <w:rsid w:val="02E87ED1"/>
    <w:rsid w:val="02EC3FFF"/>
    <w:rsid w:val="02EF234F"/>
    <w:rsid w:val="03003401"/>
    <w:rsid w:val="030C0360"/>
    <w:rsid w:val="0313E443"/>
    <w:rsid w:val="031732FC"/>
    <w:rsid w:val="032849CA"/>
    <w:rsid w:val="033B447F"/>
    <w:rsid w:val="034541CD"/>
    <w:rsid w:val="0346B705"/>
    <w:rsid w:val="034EC63F"/>
    <w:rsid w:val="03525DF8"/>
    <w:rsid w:val="0367D99A"/>
    <w:rsid w:val="0379D619"/>
    <w:rsid w:val="037DE95F"/>
    <w:rsid w:val="038B25C4"/>
    <w:rsid w:val="0393EDCB"/>
    <w:rsid w:val="03984369"/>
    <w:rsid w:val="039902B3"/>
    <w:rsid w:val="03B46769"/>
    <w:rsid w:val="03BB2AE3"/>
    <w:rsid w:val="03CCCB26"/>
    <w:rsid w:val="03D2B480"/>
    <w:rsid w:val="03EA409E"/>
    <w:rsid w:val="03F6A94A"/>
    <w:rsid w:val="03FFA7F0"/>
    <w:rsid w:val="0409CDF8"/>
    <w:rsid w:val="040FD087"/>
    <w:rsid w:val="0413709F"/>
    <w:rsid w:val="04229FC4"/>
    <w:rsid w:val="0427B341"/>
    <w:rsid w:val="042BFC00"/>
    <w:rsid w:val="042FE6D0"/>
    <w:rsid w:val="043039B0"/>
    <w:rsid w:val="0432DC2E"/>
    <w:rsid w:val="0435CFA4"/>
    <w:rsid w:val="043A05EE"/>
    <w:rsid w:val="04435E92"/>
    <w:rsid w:val="0456619D"/>
    <w:rsid w:val="0457C83E"/>
    <w:rsid w:val="045843F0"/>
    <w:rsid w:val="045C07B0"/>
    <w:rsid w:val="045CB55D"/>
    <w:rsid w:val="047AE756"/>
    <w:rsid w:val="047BE7DF"/>
    <w:rsid w:val="0497A9FD"/>
    <w:rsid w:val="0497B5B3"/>
    <w:rsid w:val="04A37DA8"/>
    <w:rsid w:val="04A6E80D"/>
    <w:rsid w:val="04ACF4D8"/>
    <w:rsid w:val="04AECA99"/>
    <w:rsid w:val="04C0E156"/>
    <w:rsid w:val="04C82845"/>
    <w:rsid w:val="04C991AF"/>
    <w:rsid w:val="04CBAE95"/>
    <w:rsid w:val="04D4386F"/>
    <w:rsid w:val="04E3D6D1"/>
    <w:rsid w:val="04E3F4C0"/>
    <w:rsid w:val="04FCFC69"/>
    <w:rsid w:val="04FEF6C0"/>
    <w:rsid w:val="05032B7D"/>
    <w:rsid w:val="05084652"/>
    <w:rsid w:val="050D2F17"/>
    <w:rsid w:val="05154B89"/>
    <w:rsid w:val="051641CE"/>
    <w:rsid w:val="0519BA60"/>
    <w:rsid w:val="0531CF9C"/>
    <w:rsid w:val="0531EEA6"/>
    <w:rsid w:val="053287C2"/>
    <w:rsid w:val="0533F240"/>
    <w:rsid w:val="0540703F"/>
    <w:rsid w:val="0542E008"/>
    <w:rsid w:val="05434F92"/>
    <w:rsid w:val="054B66A8"/>
    <w:rsid w:val="05545B2F"/>
    <w:rsid w:val="055F86B4"/>
    <w:rsid w:val="05637E55"/>
    <w:rsid w:val="056DF3FA"/>
    <w:rsid w:val="057C46E1"/>
    <w:rsid w:val="057EAC87"/>
    <w:rsid w:val="05971286"/>
    <w:rsid w:val="05B9DE69"/>
    <w:rsid w:val="05D42CF8"/>
    <w:rsid w:val="05D5990A"/>
    <w:rsid w:val="05D80910"/>
    <w:rsid w:val="05D91F99"/>
    <w:rsid w:val="05F57E34"/>
    <w:rsid w:val="05FA4BC3"/>
    <w:rsid w:val="05FAE86E"/>
    <w:rsid w:val="060AF417"/>
    <w:rsid w:val="0610F61D"/>
    <w:rsid w:val="061414EF"/>
    <w:rsid w:val="0616BAB4"/>
    <w:rsid w:val="06215444"/>
    <w:rsid w:val="0621859B"/>
    <w:rsid w:val="062B68E6"/>
    <w:rsid w:val="062E5D22"/>
    <w:rsid w:val="06337009"/>
    <w:rsid w:val="06352B51"/>
    <w:rsid w:val="06387E4C"/>
    <w:rsid w:val="06456980"/>
    <w:rsid w:val="0651BF5D"/>
    <w:rsid w:val="06658571"/>
    <w:rsid w:val="066E9154"/>
    <w:rsid w:val="066ECAE1"/>
    <w:rsid w:val="066FBD61"/>
    <w:rsid w:val="0675A53A"/>
    <w:rsid w:val="067A4E8A"/>
    <w:rsid w:val="067BE778"/>
    <w:rsid w:val="068184D2"/>
    <w:rsid w:val="068CC61C"/>
    <w:rsid w:val="0695BE91"/>
    <w:rsid w:val="06AB9A99"/>
    <w:rsid w:val="06B66834"/>
    <w:rsid w:val="06BCA2A2"/>
    <w:rsid w:val="06CC52B4"/>
    <w:rsid w:val="06DE604F"/>
    <w:rsid w:val="06E32963"/>
    <w:rsid w:val="0707847E"/>
    <w:rsid w:val="071C6579"/>
    <w:rsid w:val="071C7D91"/>
    <w:rsid w:val="071D8DA0"/>
    <w:rsid w:val="071EADBB"/>
    <w:rsid w:val="0723B51A"/>
    <w:rsid w:val="07283B49"/>
    <w:rsid w:val="072A1439"/>
    <w:rsid w:val="073AB13F"/>
    <w:rsid w:val="073C472A"/>
    <w:rsid w:val="07425028"/>
    <w:rsid w:val="074946A2"/>
    <w:rsid w:val="0755BBEF"/>
    <w:rsid w:val="075C50F4"/>
    <w:rsid w:val="076CFF49"/>
    <w:rsid w:val="07704200"/>
    <w:rsid w:val="0777DD25"/>
    <w:rsid w:val="077CC9F1"/>
    <w:rsid w:val="077CF416"/>
    <w:rsid w:val="077CF760"/>
    <w:rsid w:val="077DA0E5"/>
    <w:rsid w:val="077DBC06"/>
    <w:rsid w:val="078C8D5A"/>
    <w:rsid w:val="078E447E"/>
    <w:rsid w:val="078F900E"/>
    <w:rsid w:val="07913F32"/>
    <w:rsid w:val="0791825B"/>
    <w:rsid w:val="07A5CC6C"/>
    <w:rsid w:val="07A6C528"/>
    <w:rsid w:val="07CC074A"/>
    <w:rsid w:val="07DCBCDE"/>
    <w:rsid w:val="07E25E9D"/>
    <w:rsid w:val="07E8E519"/>
    <w:rsid w:val="07EA13AB"/>
    <w:rsid w:val="07F17FAB"/>
    <w:rsid w:val="07F75B5F"/>
    <w:rsid w:val="07FD06A1"/>
    <w:rsid w:val="07FD83D6"/>
    <w:rsid w:val="080707FB"/>
    <w:rsid w:val="0808F175"/>
    <w:rsid w:val="080B19F6"/>
    <w:rsid w:val="080C2158"/>
    <w:rsid w:val="080E2795"/>
    <w:rsid w:val="081AC9C6"/>
    <w:rsid w:val="081CC0CB"/>
    <w:rsid w:val="082E1C76"/>
    <w:rsid w:val="082F741D"/>
    <w:rsid w:val="08318D7E"/>
    <w:rsid w:val="083C642E"/>
    <w:rsid w:val="085203D8"/>
    <w:rsid w:val="08541A60"/>
    <w:rsid w:val="085B11AD"/>
    <w:rsid w:val="087263DE"/>
    <w:rsid w:val="0880DBEA"/>
    <w:rsid w:val="0881EB60"/>
    <w:rsid w:val="08898480"/>
    <w:rsid w:val="088DADE5"/>
    <w:rsid w:val="089A1E2F"/>
    <w:rsid w:val="089C5EE4"/>
    <w:rsid w:val="08A7F302"/>
    <w:rsid w:val="08B5F3C9"/>
    <w:rsid w:val="08C3ADB1"/>
    <w:rsid w:val="08C6AD97"/>
    <w:rsid w:val="08F2792F"/>
    <w:rsid w:val="08FA71CC"/>
    <w:rsid w:val="08FCCCEC"/>
    <w:rsid w:val="09035DCC"/>
    <w:rsid w:val="09084146"/>
    <w:rsid w:val="090CE347"/>
    <w:rsid w:val="090EE7E9"/>
    <w:rsid w:val="09131438"/>
    <w:rsid w:val="091A8723"/>
    <w:rsid w:val="091E7D1F"/>
    <w:rsid w:val="093BBA8C"/>
    <w:rsid w:val="093DFC06"/>
    <w:rsid w:val="095670A3"/>
    <w:rsid w:val="0966F17D"/>
    <w:rsid w:val="096F9102"/>
    <w:rsid w:val="09811216"/>
    <w:rsid w:val="098161DC"/>
    <w:rsid w:val="0982D7A6"/>
    <w:rsid w:val="09894B3C"/>
    <w:rsid w:val="099C429F"/>
    <w:rsid w:val="099F2996"/>
    <w:rsid w:val="09A378C5"/>
    <w:rsid w:val="09A86E7E"/>
    <w:rsid w:val="09BD8D19"/>
    <w:rsid w:val="09C0DE4F"/>
    <w:rsid w:val="09C47FD9"/>
    <w:rsid w:val="09C71189"/>
    <w:rsid w:val="09D8A3B0"/>
    <w:rsid w:val="09DF1B23"/>
    <w:rsid w:val="09DF9456"/>
    <w:rsid w:val="09E1AD95"/>
    <w:rsid w:val="09E98C70"/>
    <w:rsid w:val="09ECE898"/>
    <w:rsid w:val="09ECF8D3"/>
    <w:rsid w:val="09F53B7C"/>
    <w:rsid w:val="0A06F500"/>
    <w:rsid w:val="0A0BAF96"/>
    <w:rsid w:val="0A1F1AEB"/>
    <w:rsid w:val="0A22467F"/>
    <w:rsid w:val="0A2C5D84"/>
    <w:rsid w:val="0A2E1687"/>
    <w:rsid w:val="0A3AFA7C"/>
    <w:rsid w:val="0A4EDF7E"/>
    <w:rsid w:val="0A50F7A2"/>
    <w:rsid w:val="0A53383C"/>
    <w:rsid w:val="0A5760B2"/>
    <w:rsid w:val="0A5BF47B"/>
    <w:rsid w:val="0A5EEC9E"/>
    <w:rsid w:val="0A658031"/>
    <w:rsid w:val="0A661C10"/>
    <w:rsid w:val="0A6B56C8"/>
    <w:rsid w:val="0A78F610"/>
    <w:rsid w:val="0A8AA325"/>
    <w:rsid w:val="0A960190"/>
    <w:rsid w:val="0A961C9B"/>
    <w:rsid w:val="0AA1A616"/>
    <w:rsid w:val="0AAB4EA8"/>
    <w:rsid w:val="0AAFF4AB"/>
    <w:rsid w:val="0AB05FAF"/>
    <w:rsid w:val="0AB12004"/>
    <w:rsid w:val="0AB1D312"/>
    <w:rsid w:val="0ABF15DD"/>
    <w:rsid w:val="0AC4CC56"/>
    <w:rsid w:val="0AC946BE"/>
    <w:rsid w:val="0AD7E027"/>
    <w:rsid w:val="0AD9BF6E"/>
    <w:rsid w:val="0ADA1B36"/>
    <w:rsid w:val="0AE204D3"/>
    <w:rsid w:val="0AE864F8"/>
    <w:rsid w:val="0AE8751A"/>
    <w:rsid w:val="0AEF075E"/>
    <w:rsid w:val="0AFB2D03"/>
    <w:rsid w:val="0B01C0CC"/>
    <w:rsid w:val="0B0592AC"/>
    <w:rsid w:val="0B0FDEF3"/>
    <w:rsid w:val="0B15698E"/>
    <w:rsid w:val="0B1742B9"/>
    <w:rsid w:val="0B1ABA2D"/>
    <w:rsid w:val="0B2E8AB9"/>
    <w:rsid w:val="0B37AA5F"/>
    <w:rsid w:val="0B3CC5D5"/>
    <w:rsid w:val="0B415E1C"/>
    <w:rsid w:val="0B46EEC4"/>
    <w:rsid w:val="0B499CAC"/>
    <w:rsid w:val="0B64787F"/>
    <w:rsid w:val="0B6BEACA"/>
    <w:rsid w:val="0B7B2658"/>
    <w:rsid w:val="0B7E9516"/>
    <w:rsid w:val="0B7EAAFD"/>
    <w:rsid w:val="0B82EF1F"/>
    <w:rsid w:val="0B86060A"/>
    <w:rsid w:val="0B8B86F3"/>
    <w:rsid w:val="0B8BAD0F"/>
    <w:rsid w:val="0B980149"/>
    <w:rsid w:val="0B991EE3"/>
    <w:rsid w:val="0BA192EC"/>
    <w:rsid w:val="0BA99F2B"/>
    <w:rsid w:val="0BB49C4B"/>
    <w:rsid w:val="0BC2A500"/>
    <w:rsid w:val="0BD83CBC"/>
    <w:rsid w:val="0BD8D28A"/>
    <w:rsid w:val="0BDB1DD6"/>
    <w:rsid w:val="0BE4ADBC"/>
    <w:rsid w:val="0BE7D5E0"/>
    <w:rsid w:val="0C045559"/>
    <w:rsid w:val="0C04C1EE"/>
    <w:rsid w:val="0C222710"/>
    <w:rsid w:val="0C28535C"/>
    <w:rsid w:val="0C2CB4B9"/>
    <w:rsid w:val="0C34DF3E"/>
    <w:rsid w:val="0C368FA3"/>
    <w:rsid w:val="0C383ADC"/>
    <w:rsid w:val="0C53C903"/>
    <w:rsid w:val="0C54E65F"/>
    <w:rsid w:val="0C571217"/>
    <w:rsid w:val="0C655AA4"/>
    <w:rsid w:val="0C666BCD"/>
    <w:rsid w:val="0C66B546"/>
    <w:rsid w:val="0C73D2D4"/>
    <w:rsid w:val="0C7626F3"/>
    <w:rsid w:val="0C772E73"/>
    <w:rsid w:val="0C7C0EF5"/>
    <w:rsid w:val="0C8AC2A3"/>
    <w:rsid w:val="0C8B6AB0"/>
    <w:rsid w:val="0C912B58"/>
    <w:rsid w:val="0C95A4C8"/>
    <w:rsid w:val="0C95FABE"/>
    <w:rsid w:val="0C96530D"/>
    <w:rsid w:val="0CA0B731"/>
    <w:rsid w:val="0CA7F6DC"/>
    <w:rsid w:val="0CB73344"/>
    <w:rsid w:val="0CC28BD1"/>
    <w:rsid w:val="0CDE9C4A"/>
    <w:rsid w:val="0CE3027A"/>
    <w:rsid w:val="0CF1ACDB"/>
    <w:rsid w:val="0D114EE6"/>
    <w:rsid w:val="0D131209"/>
    <w:rsid w:val="0D1C8AE0"/>
    <w:rsid w:val="0D3F5AF6"/>
    <w:rsid w:val="0D40A675"/>
    <w:rsid w:val="0D45906B"/>
    <w:rsid w:val="0D4C6F52"/>
    <w:rsid w:val="0D4C7FDD"/>
    <w:rsid w:val="0D501C35"/>
    <w:rsid w:val="0D6670DD"/>
    <w:rsid w:val="0D6F1033"/>
    <w:rsid w:val="0D731DBE"/>
    <w:rsid w:val="0D7378E0"/>
    <w:rsid w:val="0D8128EE"/>
    <w:rsid w:val="0D82BD2F"/>
    <w:rsid w:val="0D887DD4"/>
    <w:rsid w:val="0D8B420F"/>
    <w:rsid w:val="0D8C55DF"/>
    <w:rsid w:val="0DA61CBF"/>
    <w:rsid w:val="0DA9ADDF"/>
    <w:rsid w:val="0DB326F7"/>
    <w:rsid w:val="0DB65E62"/>
    <w:rsid w:val="0DB89432"/>
    <w:rsid w:val="0DB90454"/>
    <w:rsid w:val="0DBE1877"/>
    <w:rsid w:val="0DCC282E"/>
    <w:rsid w:val="0DCE2469"/>
    <w:rsid w:val="0DCFE7CE"/>
    <w:rsid w:val="0DDA6312"/>
    <w:rsid w:val="0DDC4A35"/>
    <w:rsid w:val="0DDD8F6A"/>
    <w:rsid w:val="0DE965E8"/>
    <w:rsid w:val="0DF9C380"/>
    <w:rsid w:val="0E017E60"/>
    <w:rsid w:val="0E09820D"/>
    <w:rsid w:val="0E1A213B"/>
    <w:rsid w:val="0E266069"/>
    <w:rsid w:val="0E2AF183"/>
    <w:rsid w:val="0E2E49C4"/>
    <w:rsid w:val="0E2EE5B0"/>
    <w:rsid w:val="0E2FCC76"/>
    <w:rsid w:val="0E357FF1"/>
    <w:rsid w:val="0E37E766"/>
    <w:rsid w:val="0E3E7108"/>
    <w:rsid w:val="0E3FE8EC"/>
    <w:rsid w:val="0E4AAC29"/>
    <w:rsid w:val="0E4C19FB"/>
    <w:rsid w:val="0E4DF4B6"/>
    <w:rsid w:val="0E5546F1"/>
    <w:rsid w:val="0E7AC471"/>
    <w:rsid w:val="0E7CB787"/>
    <w:rsid w:val="0E7CC9A7"/>
    <w:rsid w:val="0E7E0121"/>
    <w:rsid w:val="0E8143CB"/>
    <w:rsid w:val="0E8BF0B3"/>
    <w:rsid w:val="0E8DFC5D"/>
    <w:rsid w:val="0E8F098C"/>
    <w:rsid w:val="0E916B02"/>
    <w:rsid w:val="0E96928F"/>
    <w:rsid w:val="0EB62FF1"/>
    <w:rsid w:val="0EBCCF13"/>
    <w:rsid w:val="0EBFEA36"/>
    <w:rsid w:val="0EC34C3F"/>
    <w:rsid w:val="0EEDE295"/>
    <w:rsid w:val="0EEE251D"/>
    <w:rsid w:val="0EEE8FB3"/>
    <w:rsid w:val="0EEF4053"/>
    <w:rsid w:val="0EFFE4CE"/>
    <w:rsid w:val="0F0A6B4C"/>
    <w:rsid w:val="0F1725C4"/>
    <w:rsid w:val="0F1A168E"/>
    <w:rsid w:val="0F1DA458"/>
    <w:rsid w:val="0F1F744F"/>
    <w:rsid w:val="0F2ADCB3"/>
    <w:rsid w:val="0F2BD464"/>
    <w:rsid w:val="0F348E6C"/>
    <w:rsid w:val="0F3DE0A2"/>
    <w:rsid w:val="0F3FF1C9"/>
    <w:rsid w:val="0F42BF58"/>
    <w:rsid w:val="0F53B29A"/>
    <w:rsid w:val="0F583D8C"/>
    <w:rsid w:val="0F62795C"/>
    <w:rsid w:val="0F694C2C"/>
    <w:rsid w:val="0F6A752C"/>
    <w:rsid w:val="0F7BAE65"/>
    <w:rsid w:val="0F7BB86A"/>
    <w:rsid w:val="0F985C45"/>
    <w:rsid w:val="0F9C732C"/>
    <w:rsid w:val="0FA52ACE"/>
    <w:rsid w:val="0FC162C4"/>
    <w:rsid w:val="0FC67E50"/>
    <w:rsid w:val="0FCB6FEF"/>
    <w:rsid w:val="0FE689A3"/>
    <w:rsid w:val="0FF170BE"/>
    <w:rsid w:val="0FF360DD"/>
    <w:rsid w:val="10064B10"/>
    <w:rsid w:val="1008B2AF"/>
    <w:rsid w:val="100D6E30"/>
    <w:rsid w:val="101244BD"/>
    <w:rsid w:val="1015538F"/>
    <w:rsid w:val="10178CC7"/>
    <w:rsid w:val="10184808"/>
    <w:rsid w:val="10184F71"/>
    <w:rsid w:val="101AC7BE"/>
    <w:rsid w:val="101F6E3C"/>
    <w:rsid w:val="102A761D"/>
    <w:rsid w:val="1030769C"/>
    <w:rsid w:val="10374D79"/>
    <w:rsid w:val="103A8C49"/>
    <w:rsid w:val="10433B63"/>
    <w:rsid w:val="1047B650"/>
    <w:rsid w:val="105B8510"/>
    <w:rsid w:val="105C429C"/>
    <w:rsid w:val="105F151D"/>
    <w:rsid w:val="10603E01"/>
    <w:rsid w:val="1076D817"/>
    <w:rsid w:val="10866358"/>
    <w:rsid w:val="109C2487"/>
    <w:rsid w:val="109E19CF"/>
    <w:rsid w:val="109E39A4"/>
    <w:rsid w:val="10A25D74"/>
    <w:rsid w:val="10AB6A1A"/>
    <w:rsid w:val="10AB82FF"/>
    <w:rsid w:val="10C42CB9"/>
    <w:rsid w:val="10D68A6C"/>
    <w:rsid w:val="10E16198"/>
    <w:rsid w:val="10E9FD6B"/>
    <w:rsid w:val="10ECD3EE"/>
    <w:rsid w:val="10ECF72A"/>
    <w:rsid w:val="10F9D34F"/>
    <w:rsid w:val="11018ED9"/>
    <w:rsid w:val="1105EDD6"/>
    <w:rsid w:val="110B0101"/>
    <w:rsid w:val="111B790E"/>
    <w:rsid w:val="111EEA72"/>
    <w:rsid w:val="1124F392"/>
    <w:rsid w:val="11289175"/>
    <w:rsid w:val="1139F0EF"/>
    <w:rsid w:val="113A27E3"/>
    <w:rsid w:val="11490FC1"/>
    <w:rsid w:val="1183005D"/>
    <w:rsid w:val="11866136"/>
    <w:rsid w:val="119339F2"/>
    <w:rsid w:val="1195BF04"/>
    <w:rsid w:val="119BFBD8"/>
    <w:rsid w:val="11A07F66"/>
    <w:rsid w:val="11A21A57"/>
    <w:rsid w:val="11A60394"/>
    <w:rsid w:val="11AC947B"/>
    <w:rsid w:val="11B2B299"/>
    <w:rsid w:val="11BC61E4"/>
    <w:rsid w:val="11C19A3C"/>
    <w:rsid w:val="11C274C9"/>
    <w:rsid w:val="11C5DC95"/>
    <w:rsid w:val="11C71019"/>
    <w:rsid w:val="11D01BA4"/>
    <w:rsid w:val="11E39FFD"/>
    <w:rsid w:val="11F9481F"/>
    <w:rsid w:val="11FE9041"/>
    <w:rsid w:val="120BB409"/>
    <w:rsid w:val="120D6187"/>
    <w:rsid w:val="12123238"/>
    <w:rsid w:val="1213C1C9"/>
    <w:rsid w:val="121766AD"/>
    <w:rsid w:val="1218BA84"/>
    <w:rsid w:val="121D6DBF"/>
    <w:rsid w:val="12294DE2"/>
    <w:rsid w:val="12294F4C"/>
    <w:rsid w:val="1255AFFE"/>
    <w:rsid w:val="12654A3C"/>
    <w:rsid w:val="12700250"/>
    <w:rsid w:val="127C8204"/>
    <w:rsid w:val="127DE2FB"/>
    <w:rsid w:val="1284B444"/>
    <w:rsid w:val="12852A2B"/>
    <w:rsid w:val="128E86F5"/>
    <w:rsid w:val="129376D9"/>
    <w:rsid w:val="129FBA53"/>
    <w:rsid w:val="12AEB6C8"/>
    <w:rsid w:val="12B3C84B"/>
    <w:rsid w:val="12B9BFAE"/>
    <w:rsid w:val="12C52327"/>
    <w:rsid w:val="12C5C022"/>
    <w:rsid w:val="12CD3376"/>
    <w:rsid w:val="12D12BD2"/>
    <w:rsid w:val="12E4A6FD"/>
    <w:rsid w:val="12E7D771"/>
    <w:rsid w:val="12EF0162"/>
    <w:rsid w:val="12F3A334"/>
    <w:rsid w:val="12F7E2DB"/>
    <w:rsid w:val="12F80AF6"/>
    <w:rsid w:val="12FA4269"/>
    <w:rsid w:val="12FD9588"/>
    <w:rsid w:val="1311C99F"/>
    <w:rsid w:val="132C5C5E"/>
    <w:rsid w:val="132EB0CB"/>
    <w:rsid w:val="13330694"/>
    <w:rsid w:val="1334716C"/>
    <w:rsid w:val="13398A8B"/>
    <w:rsid w:val="1347002C"/>
    <w:rsid w:val="134820C0"/>
    <w:rsid w:val="13681CBD"/>
    <w:rsid w:val="1372F5A0"/>
    <w:rsid w:val="13A1ED7B"/>
    <w:rsid w:val="13A59469"/>
    <w:rsid w:val="13AE4AEF"/>
    <w:rsid w:val="13B28043"/>
    <w:rsid w:val="13B827B9"/>
    <w:rsid w:val="13BA5EBD"/>
    <w:rsid w:val="13C31FD3"/>
    <w:rsid w:val="13CFA355"/>
    <w:rsid w:val="13CFDB7B"/>
    <w:rsid w:val="13D1E14A"/>
    <w:rsid w:val="13D21947"/>
    <w:rsid w:val="13D2A09E"/>
    <w:rsid w:val="13DDA378"/>
    <w:rsid w:val="13DEE0CC"/>
    <w:rsid w:val="13EB8D6C"/>
    <w:rsid w:val="13EC36BC"/>
    <w:rsid w:val="13EF42E0"/>
    <w:rsid w:val="13F0598E"/>
    <w:rsid w:val="140B1DF4"/>
    <w:rsid w:val="141B4DFD"/>
    <w:rsid w:val="1424F632"/>
    <w:rsid w:val="14325433"/>
    <w:rsid w:val="14359C64"/>
    <w:rsid w:val="1445488A"/>
    <w:rsid w:val="146771EB"/>
    <w:rsid w:val="146B16DD"/>
    <w:rsid w:val="147625AD"/>
    <w:rsid w:val="148116B9"/>
    <w:rsid w:val="148709BC"/>
    <w:rsid w:val="1487A491"/>
    <w:rsid w:val="148B42AD"/>
    <w:rsid w:val="148D3A41"/>
    <w:rsid w:val="148E402F"/>
    <w:rsid w:val="148E8DE0"/>
    <w:rsid w:val="148FC602"/>
    <w:rsid w:val="14938A9E"/>
    <w:rsid w:val="1495A0D2"/>
    <w:rsid w:val="149993BF"/>
    <w:rsid w:val="14A37F67"/>
    <w:rsid w:val="14AA589F"/>
    <w:rsid w:val="14B40F55"/>
    <w:rsid w:val="14BF63F8"/>
    <w:rsid w:val="14C31BFF"/>
    <w:rsid w:val="14D33613"/>
    <w:rsid w:val="14E09EAC"/>
    <w:rsid w:val="14ED7AF0"/>
    <w:rsid w:val="14EE1627"/>
    <w:rsid w:val="14EF2BF7"/>
    <w:rsid w:val="14F65DDC"/>
    <w:rsid w:val="1500DA7A"/>
    <w:rsid w:val="15010B16"/>
    <w:rsid w:val="150FEED8"/>
    <w:rsid w:val="1519609C"/>
    <w:rsid w:val="151E0FF3"/>
    <w:rsid w:val="15206BBA"/>
    <w:rsid w:val="1526DBD9"/>
    <w:rsid w:val="1530C5FE"/>
    <w:rsid w:val="153C6F07"/>
    <w:rsid w:val="1540DA31"/>
    <w:rsid w:val="15480B8A"/>
    <w:rsid w:val="154B36CF"/>
    <w:rsid w:val="1557F2C5"/>
    <w:rsid w:val="156023E7"/>
    <w:rsid w:val="1564C9A1"/>
    <w:rsid w:val="156A0C95"/>
    <w:rsid w:val="1584A881"/>
    <w:rsid w:val="158B8969"/>
    <w:rsid w:val="15959B0A"/>
    <w:rsid w:val="1598B049"/>
    <w:rsid w:val="159DAF10"/>
    <w:rsid w:val="15AE6F03"/>
    <w:rsid w:val="15B813FD"/>
    <w:rsid w:val="15D6EA32"/>
    <w:rsid w:val="15DEB04C"/>
    <w:rsid w:val="15E06E6D"/>
    <w:rsid w:val="15E4ED57"/>
    <w:rsid w:val="15E79D83"/>
    <w:rsid w:val="15E8A119"/>
    <w:rsid w:val="15EAB3D7"/>
    <w:rsid w:val="15EADBDD"/>
    <w:rsid w:val="15EFC5FE"/>
    <w:rsid w:val="15F3C416"/>
    <w:rsid w:val="15FC9286"/>
    <w:rsid w:val="160773D5"/>
    <w:rsid w:val="16116B69"/>
    <w:rsid w:val="16191248"/>
    <w:rsid w:val="161A5ACE"/>
    <w:rsid w:val="161ABC2D"/>
    <w:rsid w:val="161E1156"/>
    <w:rsid w:val="16231175"/>
    <w:rsid w:val="162471B3"/>
    <w:rsid w:val="1626ECAC"/>
    <w:rsid w:val="162F4105"/>
    <w:rsid w:val="16466B64"/>
    <w:rsid w:val="1650DEA5"/>
    <w:rsid w:val="165669EB"/>
    <w:rsid w:val="1666CE4D"/>
    <w:rsid w:val="16683D36"/>
    <w:rsid w:val="166ED4E6"/>
    <w:rsid w:val="16786A37"/>
    <w:rsid w:val="169280DF"/>
    <w:rsid w:val="1692D250"/>
    <w:rsid w:val="16A00C8A"/>
    <w:rsid w:val="16A8B480"/>
    <w:rsid w:val="16AFF5A4"/>
    <w:rsid w:val="16B3C7AC"/>
    <w:rsid w:val="16CEF582"/>
    <w:rsid w:val="16D7E569"/>
    <w:rsid w:val="16E9770E"/>
    <w:rsid w:val="16EF8F84"/>
    <w:rsid w:val="16F0BD39"/>
    <w:rsid w:val="16F59A0D"/>
    <w:rsid w:val="16F5AEA2"/>
    <w:rsid w:val="16FEAC56"/>
    <w:rsid w:val="17082FCF"/>
    <w:rsid w:val="170E0EDC"/>
    <w:rsid w:val="1712F849"/>
    <w:rsid w:val="1719FCB0"/>
    <w:rsid w:val="172AAE5C"/>
    <w:rsid w:val="172F0A67"/>
    <w:rsid w:val="173347FB"/>
    <w:rsid w:val="174C403E"/>
    <w:rsid w:val="174DF856"/>
    <w:rsid w:val="1752970C"/>
    <w:rsid w:val="1756C00D"/>
    <w:rsid w:val="1763E33B"/>
    <w:rsid w:val="17656C1C"/>
    <w:rsid w:val="17710117"/>
    <w:rsid w:val="17742366"/>
    <w:rsid w:val="1775F598"/>
    <w:rsid w:val="17890DE0"/>
    <w:rsid w:val="178FAB7F"/>
    <w:rsid w:val="17958F67"/>
    <w:rsid w:val="1797D9A2"/>
    <w:rsid w:val="17A95903"/>
    <w:rsid w:val="17BB1A3F"/>
    <w:rsid w:val="17C3C045"/>
    <w:rsid w:val="17CD3A71"/>
    <w:rsid w:val="17D766B4"/>
    <w:rsid w:val="17DAFF88"/>
    <w:rsid w:val="17DC1788"/>
    <w:rsid w:val="17E5B0D7"/>
    <w:rsid w:val="17E5D605"/>
    <w:rsid w:val="17ED329F"/>
    <w:rsid w:val="17FE5273"/>
    <w:rsid w:val="180708E5"/>
    <w:rsid w:val="180B9CA8"/>
    <w:rsid w:val="180FF79A"/>
    <w:rsid w:val="181F574A"/>
    <w:rsid w:val="18249B16"/>
    <w:rsid w:val="182D49AB"/>
    <w:rsid w:val="182F4560"/>
    <w:rsid w:val="1835F5C4"/>
    <w:rsid w:val="1858302B"/>
    <w:rsid w:val="18682E94"/>
    <w:rsid w:val="186C3421"/>
    <w:rsid w:val="18784EED"/>
    <w:rsid w:val="187CE9AB"/>
    <w:rsid w:val="1882C53B"/>
    <w:rsid w:val="1887334C"/>
    <w:rsid w:val="18AAEE01"/>
    <w:rsid w:val="18B402DF"/>
    <w:rsid w:val="18BCABE5"/>
    <w:rsid w:val="18BF0DD0"/>
    <w:rsid w:val="18C196C0"/>
    <w:rsid w:val="18CBFC22"/>
    <w:rsid w:val="18D2B85F"/>
    <w:rsid w:val="18DBA9E5"/>
    <w:rsid w:val="18DFF411"/>
    <w:rsid w:val="18E27AF1"/>
    <w:rsid w:val="18E3D02F"/>
    <w:rsid w:val="18E8988A"/>
    <w:rsid w:val="18EE4506"/>
    <w:rsid w:val="18F02AF8"/>
    <w:rsid w:val="18F217A4"/>
    <w:rsid w:val="18F9E1B1"/>
    <w:rsid w:val="18FD68E9"/>
    <w:rsid w:val="190EF6AF"/>
    <w:rsid w:val="191BEDFB"/>
    <w:rsid w:val="192C2D39"/>
    <w:rsid w:val="19307CA1"/>
    <w:rsid w:val="19363547"/>
    <w:rsid w:val="193B1FFF"/>
    <w:rsid w:val="193B708B"/>
    <w:rsid w:val="1942B12C"/>
    <w:rsid w:val="194955BB"/>
    <w:rsid w:val="194BBC42"/>
    <w:rsid w:val="19508022"/>
    <w:rsid w:val="1953EF69"/>
    <w:rsid w:val="19592F43"/>
    <w:rsid w:val="195B24E3"/>
    <w:rsid w:val="19604354"/>
    <w:rsid w:val="19605D4C"/>
    <w:rsid w:val="196B965F"/>
    <w:rsid w:val="19725B29"/>
    <w:rsid w:val="197855B9"/>
    <w:rsid w:val="1978A0C5"/>
    <w:rsid w:val="197A825C"/>
    <w:rsid w:val="1981C470"/>
    <w:rsid w:val="1995E9BC"/>
    <w:rsid w:val="199CBC9D"/>
    <w:rsid w:val="19A8265C"/>
    <w:rsid w:val="19A937EE"/>
    <w:rsid w:val="19AA5F7F"/>
    <w:rsid w:val="19AE054C"/>
    <w:rsid w:val="19BC03CB"/>
    <w:rsid w:val="19CDF8E7"/>
    <w:rsid w:val="19D23E7A"/>
    <w:rsid w:val="19D7CA9E"/>
    <w:rsid w:val="19EE9BE4"/>
    <w:rsid w:val="19F410FD"/>
    <w:rsid w:val="19F5F265"/>
    <w:rsid w:val="19FAD711"/>
    <w:rsid w:val="1A013DFD"/>
    <w:rsid w:val="1A0A6484"/>
    <w:rsid w:val="1A165B2F"/>
    <w:rsid w:val="1A16A768"/>
    <w:rsid w:val="1A235063"/>
    <w:rsid w:val="1A23F086"/>
    <w:rsid w:val="1A24C547"/>
    <w:rsid w:val="1A43CF66"/>
    <w:rsid w:val="1A460D44"/>
    <w:rsid w:val="1A5A15FB"/>
    <w:rsid w:val="1A657EA9"/>
    <w:rsid w:val="1A72FCEE"/>
    <w:rsid w:val="1A770B26"/>
    <w:rsid w:val="1A8BBC56"/>
    <w:rsid w:val="1A941DF1"/>
    <w:rsid w:val="1A942B8D"/>
    <w:rsid w:val="1AA16D30"/>
    <w:rsid w:val="1AA408C0"/>
    <w:rsid w:val="1AA84890"/>
    <w:rsid w:val="1AA9CA89"/>
    <w:rsid w:val="1AABBD44"/>
    <w:rsid w:val="1AB5CB81"/>
    <w:rsid w:val="1AC65B41"/>
    <w:rsid w:val="1AC76BBE"/>
    <w:rsid w:val="1ACA3A17"/>
    <w:rsid w:val="1ACC98AD"/>
    <w:rsid w:val="1ACEECAB"/>
    <w:rsid w:val="1ADD3ADB"/>
    <w:rsid w:val="1AE3FF9A"/>
    <w:rsid w:val="1AF2DC34"/>
    <w:rsid w:val="1B0B6F8D"/>
    <w:rsid w:val="1B141ADD"/>
    <w:rsid w:val="1B16555F"/>
    <w:rsid w:val="1B1C19C1"/>
    <w:rsid w:val="1B207D49"/>
    <w:rsid w:val="1B2CDDF9"/>
    <w:rsid w:val="1B32E999"/>
    <w:rsid w:val="1B340A12"/>
    <w:rsid w:val="1B42A34A"/>
    <w:rsid w:val="1B445841"/>
    <w:rsid w:val="1B49FCF3"/>
    <w:rsid w:val="1B4B3DFC"/>
    <w:rsid w:val="1B652841"/>
    <w:rsid w:val="1B6FE766"/>
    <w:rsid w:val="1B7958C2"/>
    <w:rsid w:val="1B80860E"/>
    <w:rsid w:val="1B8C86AE"/>
    <w:rsid w:val="1B907880"/>
    <w:rsid w:val="1BAC0C4D"/>
    <w:rsid w:val="1BB41D1A"/>
    <w:rsid w:val="1BBF6795"/>
    <w:rsid w:val="1BDFADEF"/>
    <w:rsid w:val="1BE48931"/>
    <w:rsid w:val="1BE6EB3D"/>
    <w:rsid w:val="1BE9F9A2"/>
    <w:rsid w:val="1BEE52CE"/>
    <w:rsid w:val="1C01EDB2"/>
    <w:rsid w:val="1C057EFD"/>
    <w:rsid w:val="1C06B76C"/>
    <w:rsid w:val="1C09919E"/>
    <w:rsid w:val="1C0ED624"/>
    <w:rsid w:val="1C1756D3"/>
    <w:rsid w:val="1C21D528"/>
    <w:rsid w:val="1C29592D"/>
    <w:rsid w:val="1C2DB77E"/>
    <w:rsid w:val="1C3140B1"/>
    <w:rsid w:val="1C31DDF9"/>
    <w:rsid w:val="1C322DCA"/>
    <w:rsid w:val="1C475524"/>
    <w:rsid w:val="1C49DC81"/>
    <w:rsid w:val="1C4C9EFB"/>
    <w:rsid w:val="1C4D7CB7"/>
    <w:rsid w:val="1C62F887"/>
    <w:rsid w:val="1C68FC9A"/>
    <w:rsid w:val="1C800C9C"/>
    <w:rsid w:val="1C806F4A"/>
    <w:rsid w:val="1C810417"/>
    <w:rsid w:val="1C992379"/>
    <w:rsid w:val="1C9EC8F5"/>
    <w:rsid w:val="1CA3C004"/>
    <w:rsid w:val="1CB32777"/>
    <w:rsid w:val="1CB989BB"/>
    <w:rsid w:val="1CBAB4BB"/>
    <w:rsid w:val="1CC0D8F2"/>
    <w:rsid w:val="1CC23BBA"/>
    <w:rsid w:val="1CC32B53"/>
    <w:rsid w:val="1CCF3D00"/>
    <w:rsid w:val="1CDC86A1"/>
    <w:rsid w:val="1CF46921"/>
    <w:rsid w:val="1CFA76BB"/>
    <w:rsid w:val="1CFE6AE2"/>
    <w:rsid w:val="1D064BCA"/>
    <w:rsid w:val="1D1F3D99"/>
    <w:rsid w:val="1D20CDCF"/>
    <w:rsid w:val="1D2C0848"/>
    <w:rsid w:val="1D2D2B25"/>
    <w:rsid w:val="1D2F3C36"/>
    <w:rsid w:val="1D2F9AA2"/>
    <w:rsid w:val="1D390D15"/>
    <w:rsid w:val="1D423997"/>
    <w:rsid w:val="1D50C4ED"/>
    <w:rsid w:val="1D51CEF3"/>
    <w:rsid w:val="1D5600B8"/>
    <w:rsid w:val="1D572DA2"/>
    <w:rsid w:val="1D5E9DEE"/>
    <w:rsid w:val="1D628E3C"/>
    <w:rsid w:val="1D65F4C2"/>
    <w:rsid w:val="1D6AE5CA"/>
    <w:rsid w:val="1D788E1C"/>
    <w:rsid w:val="1D8365ED"/>
    <w:rsid w:val="1D973CF9"/>
    <w:rsid w:val="1D9F7377"/>
    <w:rsid w:val="1DA1EA5F"/>
    <w:rsid w:val="1DA23F77"/>
    <w:rsid w:val="1DA927E4"/>
    <w:rsid w:val="1DC7508F"/>
    <w:rsid w:val="1DC83762"/>
    <w:rsid w:val="1DD18B46"/>
    <w:rsid w:val="1DE29C6E"/>
    <w:rsid w:val="1DE549F1"/>
    <w:rsid w:val="1DFA3CDB"/>
    <w:rsid w:val="1DFF1EDE"/>
    <w:rsid w:val="1E0056D5"/>
    <w:rsid w:val="1E00E756"/>
    <w:rsid w:val="1E0586CF"/>
    <w:rsid w:val="1E0C4D57"/>
    <w:rsid w:val="1E1020D6"/>
    <w:rsid w:val="1E10B038"/>
    <w:rsid w:val="1E12F849"/>
    <w:rsid w:val="1E15955D"/>
    <w:rsid w:val="1E18AD56"/>
    <w:rsid w:val="1E1BD44E"/>
    <w:rsid w:val="1E1CBD95"/>
    <w:rsid w:val="1E2223F4"/>
    <w:rsid w:val="1E2858E6"/>
    <w:rsid w:val="1E372617"/>
    <w:rsid w:val="1E511B11"/>
    <w:rsid w:val="1E52361B"/>
    <w:rsid w:val="1E6CE4A8"/>
    <w:rsid w:val="1E6E417E"/>
    <w:rsid w:val="1E83873E"/>
    <w:rsid w:val="1E865510"/>
    <w:rsid w:val="1E8CE958"/>
    <w:rsid w:val="1E9D42CE"/>
    <w:rsid w:val="1EA8E458"/>
    <w:rsid w:val="1EA8FC3D"/>
    <w:rsid w:val="1EA952B5"/>
    <w:rsid w:val="1EAD8EDB"/>
    <w:rsid w:val="1EAEEE49"/>
    <w:rsid w:val="1EB0A462"/>
    <w:rsid w:val="1ECD2EAE"/>
    <w:rsid w:val="1EE4DF2D"/>
    <w:rsid w:val="1EEAD0F1"/>
    <w:rsid w:val="1EED8680"/>
    <w:rsid w:val="1EF34315"/>
    <w:rsid w:val="1F1613D9"/>
    <w:rsid w:val="1F1C84B0"/>
    <w:rsid w:val="1F256229"/>
    <w:rsid w:val="1F29E6E6"/>
    <w:rsid w:val="1F2C8FDE"/>
    <w:rsid w:val="1F406350"/>
    <w:rsid w:val="1F40B012"/>
    <w:rsid w:val="1F4875CC"/>
    <w:rsid w:val="1F4BD7C0"/>
    <w:rsid w:val="1F4BDBEF"/>
    <w:rsid w:val="1F6AD384"/>
    <w:rsid w:val="1F6F31AF"/>
    <w:rsid w:val="1F72814F"/>
    <w:rsid w:val="1F79DB71"/>
    <w:rsid w:val="1F7B71A2"/>
    <w:rsid w:val="1F87D920"/>
    <w:rsid w:val="1F975066"/>
    <w:rsid w:val="1F98E134"/>
    <w:rsid w:val="1F99D70E"/>
    <w:rsid w:val="1FA23733"/>
    <w:rsid w:val="1FA87251"/>
    <w:rsid w:val="1FB3B5F2"/>
    <w:rsid w:val="1FBBED0A"/>
    <w:rsid w:val="1FBC0DBE"/>
    <w:rsid w:val="1FC29DE0"/>
    <w:rsid w:val="1FCBCB5C"/>
    <w:rsid w:val="1FCE61F9"/>
    <w:rsid w:val="1FCE83B5"/>
    <w:rsid w:val="1FD11C08"/>
    <w:rsid w:val="1FD678EF"/>
    <w:rsid w:val="1FE379A3"/>
    <w:rsid w:val="1FE4800B"/>
    <w:rsid w:val="1FE60DE9"/>
    <w:rsid w:val="20007BCF"/>
    <w:rsid w:val="20022344"/>
    <w:rsid w:val="200EB3A1"/>
    <w:rsid w:val="2010AE37"/>
    <w:rsid w:val="2011005E"/>
    <w:rsid w:val="2011C9E2"/>
    <w:rsid w:val="2012B73E"/>
    <w:rsid w:val="2015054E"/>
    <w:rsid w:val="2015DC90"/>
    <w:rsid w:val="2017B94D"/>
    <w:rsid w:val="20192858"/>
    <w:rsid w:val="201E86DE"/>
    <w:rsid w:val="20348638"/>
    <w:rsid w:val="203EE795"/>
    <w:rsid w:val="203FA187"/>
    <w:rsid w:val="204252AF"/>
    <w:rsid w:val="204DED82"/>
    <w:rsid w:val="205D81B1"/>
    <w:rsid w:val="2062A077"/>
    <w:rsid w:val="2063740F"/>
    <w:rsid w:val="207283D7"/>
    <w:rsid w:val="20891CD4"/>
    <w:rsid w:val="209BBE63"/>
    <w:rsid w:val="20A6BF90"/>
    <w:rsid w:val="20BC334A"/>
    <w:rsid w:val="20C17D7A"/>
    <w:rsid w:val="20CE3765"/>
    <w:rsid w:val="20D86944"/>
    <w:rsid w:val="20DF65E6"/>
    <w:rsid w:val="20E11417"/>
    <w:rsid w:val="20F27246"/>
    <w:rsid w:val="20FAEA73"/>
    <w:rsid w:val="210F429D"/>
    <w:rsid w:val="211CD06A"/>
    <w:rsid w:val="212A0018"/>
    <w:rsid w:val="213993BC"/>
    <w:rsid w:val="213E820A"/>
    <w:rsid w:val="21410292"/>
    <w:rsid w:val="2147C465"/>
    <w:rsid w:val="2157C810"/>
    <w:rsid w:val="215F5237"/>
    <w:rsid w:val="21639F13"/>
    <w:rsid w:val="2168D1C7"/>
    <w:rsid w:val="217853F1"/>
    <w:rsid w:val="21839C0A"/>
    <w:rsid w:val="21984A43"/>
    <w:rsid w:val="21A17756"/>
    <w:rsid w:val="21AC4E00"/>
    <w:rsid w:val="21B46D49"/>
    <w:rsid w:val="21CA5EB4"/>
    <w:rsid w:val="21D69C30"/>
    <w:rsid w:val="21D9712F"/>
    <w:rsid w:val="21DC3D74"/>
    <w:rsid w:val="21E1DED4"/>
    <w:rsid w:val="21E39EE8"/>
    <w:rsid w:val="21E81EA5"/>
    <w:rsid w:val="21F75E59"/>
    <w:rsid w:val="22018E6F"/>
    <w:rsid w:val="22057823"/>
    <w:rsid w:val="220827B5"/>
    <w:rsid w:val="2219C60C"/>
    <w:rsid w:val="221EAA6A"/>
    <w:rsid w:val="222F8869"/>
    <w:rsid w:val="22405D29"/>
    <w:rsid w:val="22464691"/>
    <w:rsid w:val="224F2295"/>
    <w:rsid w:val="2250BDE1"/>
    <w:rsid w:val="225EC171"/>
    <w:rsid w:val="22649999"/>
    <w:rsid w:val="2271D752"/>
    <w:rsid w:val="227B1569"/>
    <w:rsid w:val="22956CA6"/>
    <w:rsid w:val="22A43251"/>
    <w:rsid w:val="22B2C658"/>
    <w:rsid w:val="22BFF47F"/>
    <w:rsid w:val="22CA3F7C"/>
    <w:rsid w:val="22CCEFF4"/>
    <w:rsid w:val="22D08F82"/>
    <w:rsid w:val="22D72207"/>
    <w:rsid w:val="22DC7C9A"/>
    <w:rsid w:val="22F76B35"/>
    <w:rsid w:val="22F84FCC"/>
    <w:rsid w:val="22FA09C4"/>
    <w:rsid w:val="22FA5B33"/>
    <w:rsid w:val="22FDADF8"/>
    <w:rsid w:val="23032AF3"/>
    <w:rsid w:val="230A97B2"/>
    <w:rsid w:val="230E7554"/>
    <w:rsid w:val="231DAA92"/>
    <w:rsid w:val="2325F625"/>
    <w:rsid w:val="2335A90B"/>
    <w:rsid w:val="23376049"/>
    <w:rsid w:val="233E08BB"/>
    <w:rsid w:val="234A0574"/>
    <w:rsid w:val="235A4A07"/>
    <w:rsid w:val="2362CAF2"/>
    <w:rsid w:val="2370C613"/>
    <w:rsid w:val="23771BE1"/>
    <w:rsid w:val="237ADF77"/>
    <w:rsid w:val="237EC154"/>
    <w:rsid w:val="237F4BA5"/>
    <w:rsid w:val="237FFF02"/>
    <w:rsid w:val="238735F1"/>
    <w:rsid w:val="23931F6D"/>
    <w:rsid w:val="239A78B3"/>
    <w:rsid w:val="239AD2C5"/>
    <w:rsid w:val="23A59911"/>
    <w:rsid w:val="23AE92AE"/>
    <w:rsid w:val="23BD2592"/>
    <w:rsid w:val="23C269B4"/>
    <w:rsid w:val="23C55947"/>
    <w:rsid w:val="23C62FA4"/>
    <w:rsid w:val="23C660BB"/>
    <w:rsid w:val="23CBF2CB"/>
    <w:rsid w:val="23CFAAC9"/>
    <w:rsid w:val="23D33060"/>
    <w:rsid w:val="23DB7586"/>
    <w:rsid w:val="23DF8743"/>
    <w:rsid w:val="23E34811"/>
    <w:rsid w:val="23E42FFF"/>
    <w:rsid w:val="23EB78C7"/>
    <w:rsid w:val="240161F8"/>
    <w:rsid w:val="240C3AD6"/>
    <w:rsid w:val="2412A90C"/>
    <w:rsid w:val="2420AC46"/>
    <w:rsid w:val="2428DEED"/>
    <w:rsid w:val="242F9D33"/>
    <w:rsid w:val="2432C981"/>
    <w:rsid w:val="2434ADF6"/>
    <w:rsid w:val="243EF613"/>
    <w:rsid w:val="24477CC8"/>
    <w:rsid w:val="244924BE"/>
    <w:rsid w:val="244A40B3"/>
    <w:rsid w:val="2458CD4A"/>
    <w:rsid w:val="245CF9E8"/>
    <w:rsid w:val="246E9DFD"/>
    <w:rsid w:val="246F262A"/>
    <w:rsid w:val="247EF921"/>
    <w:rsid w:val="2480F44B"/>
    <w:rsid w:val="24869CA5"/>
    <w:rsid w:val="248A2794"/>
    <w:rsid w:val="2499D70A"/>
    <w:rsid w:val="24A06107"/>
    <w:rsid w:val="24AA65D4"/>
    <w:rsid w:val="24AC0605"/>
    <w:rsid w:val="24B037AC"/>
    <w:rsid w:val="24B2A1CB"/>
    <w:rsid w:val="24B849E4"/>
    <w:rsid w:val="24C15A57"/>
    <w:rsid w:val="24CE4A21"/>
    <w:rsid w:val="24D95BD1"/>
    <w:rsid w:val="24F0D350"/>
    <w:rsid w:val="24F1B3E0"/>
    <w:rsid w:val="24F9C5B1"/>
    <w:rsid w:val="25007725"/>
    <w:rsid w:val="2505052A"/>
    <w:rsid w:val="2505DE5D"/>
    <w:rsid w:val="2509648E"/>
    <w:rsid w:val="250D5C58"/>
    <w:rsid w:val="251A7672"/>
    <w:rsid w:val="252EC83E"/>
    <w:rsid w:val="252F28AB"/>
    <w:rsid w:val="2530F7D2"/>
    <w:rsid w:val="2532E17F"/>
    <w:rsid w:val="25475087"/>
    <w:rsid w:val="25486C9D"/>
    <w:rsid w:val="254D62E9"/>
    <w:rsid w:val="255AE7A8"/>
    <w:rsid w:val="2562416F"/>
    <w:rsid w:val="2562840E"/>
    <w:rsid w:val="25681BE8"/>
    <w:rsid w:val="257B629D"/>
    <w:rsid w:val="257C024C"/>
    <w:rsid w:val="258376B7"/>
    <w:rsid w:val="25847F32"/>
    <w:rsid w:val="2587C9B7"/>
    <w:rsid w:val="258B90DC"/>
    <w:rsid w:val="258EF735"/>
    <w:rsid w:val="2594AE02"/>
    <w:rsid w:val="2598E80B"/>
    <w:rsid w:val="25A07738"/>
    <w:rsid w:val="25A1872F"/>
    <w:rsid w:val="25BCE590"/>
    <w:rsid w:val="25D18E4A"/>
    <w:rsid w:val="25D412E0"/>
    <w:rsid w:val="25E90B3E"/>
    <w:rsid w:val="25EF1177"/>
    <w:rsid w:val="25F654EC"/>
    <w:rsid w:val="25F99CA2"/>
    <w:rsid w:val="260B097B"/>
    <w:rsid w:val="261979EB"/>
    <w:rsid w:val="261E3ED6"/>
    <w:rsid w:val="262B2174"/>
    <w:rsid w:val="262EAD10"/>
    <w:rsid w:val="2638030E"/>
    <w:rsid w:val="264BB815"/>
    <w:rsid w:val="264F136B"/>
    <w:rsid w:val="26576800"/>
    <w:rsid w:val="2659EEDF"/>
    <w:rsid w:val="2659F96C"/>
    <w:rsid w:val="265EA701"/>
    <w:rsid w:val="26602F70"/>
    <w:rsid w:val="2660C1AB"/>
    <w:rsid w:val="2664D7E5"/>
    <w:rsid w:val="266E5A8F"/>
    <w:rsid w:val="267C3E70"/>
    <w:rsid w:val="267D600B"/>
    <w:rsid w:val="26828488"/>
    <w:rsid w:val="26850052"/>
    <w:rsid w:val="26933CD3"/>
    <w:rsid w:val="26B355DE"/>
    <w:rsid w:val="26C20FD5"/>
    <w:rsid w:val="26C2EFC3"/>
    <w:rsid w:val="26C962D4"/>
    <w:rsid w:val="26DA2C86"/>
    <w:rsid w:val="26E8EBFD"/>
    <w:rsid w:val="26EA3EC9"/>
    <w:rsid w:val="26F52419"/>
    <w:rsid w:val="2701CF66"/>
    <w:rsid w:val="271B7709"/>
    <w:rsid w:val="27200DFF"/>
    <w:rsid w:val="272026A1"/>
    <w:rsid w:val="2724F142"/>
    <w:rsid w:val="273055DB"/>
    <w:rsid w:val="2759F44F"/>
    <w:rsid w:val="277571EE"/>
    <w:rsid w:val="2786CB76"/>
    <w:rsid w:val="2786F128"/>
    <w:rsid w:val="27897D9E"/>
    <w:rsid w:val="279791AD"/>
    <w:rsid w:val="2798B3B2"/>
    <w:rsid w:val="279DC931"/>
    <w:rsid w:val="27A15FDE"/>
    <w:rsid w:val="27A5914C"/>
    <w:rsid w:val="27AEB7F3"/>
    <w:rsid w:val="27B0DA68"/>
    <w:rsid w:val="27B9923B"/>
    <w:rsid w:val="27B9F73E"/>
    <w:rsid w:val="27BA5DE4"/>
    <w:rsid w:val="27BFF8EB"/>
    <w:rsid w:val="27C08112"/>
    <w:rsid w:val="27C83902"/>
    <w:rsid w:val="27D880A6"/>
    <w:rsid w:val="27DBEA13"/>
    <w:rsid w:val="27DD580D"/>
    <w:rsid w:val="27E0E968"/>
    <w:rsid w:val="27E91951"/>
    <w:rsid w:val="27EAFEF5"/>
    <w:rsid w:val="27EE18BC"/>
    <w:rsid w:val="28104A73"/>
    <w:rsid w:val="28113518"/>
    <w:rsid w:val="281BB696"/>
    <w:rsid w:val="281ECAD6"/>
    <w:rsid w:val="282353FD"/>
    <w:rsid w:val="28248018"/>
    <w:rsid w:val="28270999"/>
    <w:rsid w:val="282B7DA8"/>
    <w:rsid w:val="283C34C4"/>
    <w:rsid w:val="283DDC8A"/>
    <w:rsid w:val="2843087F"/>
    <w:rsid w:val="284438C1"/>
    <w:rsid w:val="28502636"/>
    <w:rsid w:val="28504B50"/>
    <w:rsid w:val="2851AFE9"/>
    <w:rsid w:val="28562E02"/>
    <w:rsid w:val="2863744F"/>
    <w:rsid w:val="2875AD6E"/>
    <w:rsid w:val="288300F0"/>
    <w:rsid w:val="2887169B"/>
    <w:rsid w:val="288D677D"/>
    <w:rsid w:val="28962093"/>
    <w:rsid w:val="289CAAEA"/>
    <w:rsid w:val="28BA7817"/>
    <w:rsid w:val="28BEA0EB"/>
    <w:rsid w:val="28BEFC1D"/>
    <w:rsid w:val="28C3AAE0"/>
    <w:rsid w:val="28D638E1"/>
    <w:rsid w:val="28D785AC"/>
    <w:rsid w:val="28DC9027"/>
    <w:rsid w:val="28DD069B"/>
    <w:rsid w:val="28E369FC"/>
    <w:rsid w:val="28FE87E5"/>
    <w:rsid w:val="290C4D2E"/>
    <w:rsid w:val="291EE1CC"/>
    <w:rsid w:val="29337623"/>
    <w:rsid w:val="2949D81B"/>
    <w:rsid w:val="29515B2C"/>
    <w:rsid w:val="295720AF"/>
    <w:rsid w:val="2958708C"/>
    <w:rsid w:val="29610881"/>
    <w:rsid w:val="2964AD3A"/>
    <w:rsid w:val="2971DC9E"/>
    <w:rsid w:val="2975AD90"/>
    <w:rsid w:val="29766074"/>
    <w:rsid w:val="297D407F"/>
    <w:rsid w:val="2986AEB6"/>
    <w:rsid w:val="298C4691"/>
    <w:rsid w:val="299CFA98"/>
    <w:rsid w:val="299D87BA"/>
    <w:rsid w:val="29B0719F"/>
    <w:rsid w:val="29B32022"/>
    <w:rsid w:val="29D6A75D"/>
    <w:rsid w:val="29D7043D"/>
    <w:rsid w:val="29E1514E"/>
    <w:rsid w:val="29E16F2F"/>
    <w:rsid w:val="29F64BB0"/>
    <w:rsid w:val="29F8FD4D"/>
    <w:rsid w:val="29FABF78"/>
    <w:rsid w:val="2A06E1A3"/>
    <w:rsid w:val="2A08FE1F"/>
    <w:rsid w:val="2A0AFC7E"/>
    <w:rsid w:val="2A0B0B3E"/>
    <w:rsid w:val="2A0FC3BC"/>
    <w:rsid w:val="2A112F60"/>
    <w:rsid w:val="2A11F8FD"/>
    <w:rsid w:val="2A1780A6"/>
    <w:rsid w:val="2A1A61C3"/>
    <w:rsid w:val="2A1DD051"/>
    <w:rsid w:val="2A24B6F7"/>
    <w:rsid w:val="2A5450ED"/>
    <w:rsid w:val="2A5C2BFA"/>
    <w:rsid w:val="2A644660"/>
    <w:rsid w:val="2A67FAEC"/>
    <w:rsid w:val="2A6BC3E3"/>
    <w:rsid w:val="2A6C1B90"/>
    <w:rsid w:val="2A7ABD49"/>
    <w:rsid w:val="2A7CB0BD"/>
    <w:rsid w:val="2A874DE5"/>
    <w:rsid w:val="2A89898E"/>
    <w:rsid w:val="2A932F7D"/>
    <w:rsid w:val="2AA12891"/>
    <w:rsid w:val="2AA8D998"/>
    <w:rsid w:val="2AB1C529"/>
    <w:rsid w:val="2ABB4BF8"/>
    <w:rsid w:val="2ABF04B5"/>
    <w:rsid w:val="2AC77024"/>
    <w:rsid w:val="2ACFC6D1"/>
    <w:rsid w:val="2AD6279D"/>
    <w:rsid w:val="2AD6AD0F"/>
    <w:rsid w:val="2AE4D805"/>
    <w:rsid w:val="2AEFC93F"/>
    <w:rsid w:val="2AF176E6"/>
    <w:rsid w:val="2AF22917"/>
    <w:rsid w:val="2AF72CB5"/>
    <w:rsid w:val="2B01AA99"/>
    <w:rsid w:val="2B043AA3"/>
    <w:rsid w:val="2B1263A1"/>
    <w:rsid w:val="2B16C0AC"/>
    <w:rsid w:val="2B1FFDE7"/>
    <w:rsid w:val="2B21A869"/>
    <w:rsid w:val="2B23DBE6"/>
    <w:rsid w:val="2B2411F9"/>
    <w:rsid w:val="2B297829"/>
    <w:rsid w:val="2B31D511"/>
    <w:rsid w:val="2B3B1DCB"/>
    <w:rsid w:val="2B40934C"/>
    <w:rsid w:val="2B44389D"/>
    <w:rsid w:val="2B453906"/>
    <w:rsid w:val="2B498445"/>
    <w:rsid w:val="2B4BDF23"/>
    <w:rsid w:val="2B4FE205"/>
    <w:rsid w:val="2B522D97"/>
    <w:rsid w:val="2B530B5A"/>
    <w:rsid w:val="2B532950"/>
    <w:rsid w:val="2B5F9268"/>
    <w:rsid w:val="2B6A7805"/>
    <w:rsid w:val="2B6EBE8C"/>
    <w:rsid w:val="2B7555BA"/>
    <w:rsid w:val="2B782C66"/>
    <w:rsid w:val="2B807C6F"/>
    <w:rsid w:val="2B841B0D"/>
    <w:rsid w:val="2B84E081"/>
    <w:rsid w:val="2B8C8172"/>
    <w:rsid w:val="2B8D9063"/>
    <w:rsid w:val="2B95A4E4"/>
    <w:rsid w:val="2B95C81D"/>
    <w:rsid w:val="2B9E29EB"/>
    <w:rsid w:val="2BA035D3"/>
    <w:rsid w:val="2BA223E9"/>
    <w:rsid w:val="2BB5E1E0"/>
    <w:rsid w:val="2BCD6871"/>
    <w:rsid w:val="2BD19711"/>
    <w:rsid w:val="2BD2652F"/>
    <w:rsid w:val="2BE423C4"/>
    <w:rsid w:val="2BEF4919"/>
    <w:rsid w:val="2BFA78A6"/>
    <w:rsid w:val="2C0ACEDB"/>
    <w:rsid w:val="2C12A90B"/>
    <w:rsid w:val="2C12B7F8"/>
    <w:rsid w:val="2C16A2FB"/>
    <w:rsid w:val="2C21BDD2"/>
    <w:rsid w:val="2C2E9D01"/>
    <w:rsid w:val="2C3B9D33"/>
    <w:rsid w:val="2C404C32"/>
    <w:rsid w:val="2C49D6B0"/>
    <w:rsid w:val="2C4CAC30"/>
    <w:rsid w:val="2C54550B"/>
    <w:rsid w:val="2C6AB97D"/>
    <w:rsid w:val="2C6CDE1B"/>
    <w:rsid w:val="2C70C8EF"/>
    <w:rsid w:val="2C7655E0"/>
    <w:rsid w:val="2C79BB1E"/>
    <w:rsid w:val="2C80747E"/>
    <w:rsid w:val="2C809835"/>
    <w:rsid w:val="2C873303"/>
    <w:rsid w:val="2C8C51FE"/>
    <w:rsid w:val="2C8E2FAD"/>
    <w:rsid w:val="2C9C61A6"/>
    <w:rsid w:val="2C9EC5D4"/>
    <w:rsid w:val="2CA588B0"/>
    <w:rsid w:val="2CA664BC"/>
    <w:rsid w:val="2CB39B4A"/>
    <w:rsid w:val="2CBCDA9A"/>
    <w:rsid w:val="2CBFFE76"/>
    <w:rsid w:val="2CC77EA3"/>
    <w:rsid w:val="2CD2C19C"/>
    <w:rsid w:val="2CD8F29C"/>
    <w:rsid w:val="2CEC04CD"/>
    <w:rsid w:val="2CEC726B"/>
    <w:rsid w:val="2CEE2E30"/>
    <w:rsid w:val="2CF2FE59"/>
    <w:rsid w:val="2CF471E9"/>
    <w:rsid w:val="2CF6D6D3"/>
    <w:rsid w:val="2CFCD312"/>
    <w:rsid w:val="2D013216"/>
    <w:rsid w:val="2D0280AA"/>
    <w:rsid w:val="2D0592B8"/>
    <w:rsid w:val="2D0A2DD5"/>
    <w:rsid w:val="2D11FF46"/>
    <w:rsid w:val="2D2EBBAB"/>
    <w:rsid w:val="2D2F1EEA"/>
    <w:rsid w:val="2D314213"/>
    <w:rsid w:val="2D33BF89"/>
    <w:rsid w:val="2D419163"/>
    <w:rsid w:val="2D456C6C"/>
    <w:rsid w:val="2D47FC56"/>
    <w:rsid w:val="2D5477CE"/>
    <w:rsid w:val="2D5CEFE9"/>
    <w:rsid w:val="2D67FF27"/>
    <w:rsid w:val="2D70954F"/>
    <w:rsid w:val="2D7145DC"/>
    <w:rsid w:val="2D76690D"/>
    <w:rsid w:val="2D78015F"/>
    <w:rsid w:val="2D7BB3EB"/>
    <w:rsid w:val="2D94166A"/>
    <w:rsid w:val="2D95898E"/>
    <w:rsid w:val="2D9B5AB7"/>
    <w:rsid w:val="2D9BA8F5"/>
    <w:rsid w:val="2D9FCA51"/>
    <w:rsid w:val="2DA68317"/>
    <w:rsid w:val="2DA695A4"/>
    <w:rsid w:val="2DB038ED"/>
    <w:rsid w:val="2DC72245"/>
    <w:rsid w:val="2DD5CD89"/>
    <w:rsid w:val="2DE4DF7C"/>
    <w:rsid w:val="2DEBE569"/>
    <w:rsid w:val="2E00E209"/>
    <w:rsid w:val="2E07CDFC"/>
    <w:rsid w:val="2E10BB5E"/>
    <w:rsid w:val="2E126418"/>
    <w:rsid w:val="2E1B6870"/>
    <w:rsid w:val="2E26D875"/>
    <w:rsid w:val="2E2DABC9"/>
    <w:rsid w:val="2E3702BD"/>
    <w:rsid w:val="2E3A6889"/>
    <w:rsid w:val="2E3BBE2B"/>
    <w:rsid w:val="2E3D1DB2"/>
    <w:rsid w:val="2E3F2C23"/>
    <w:rsid w:val="2E40A090"/>
    <w:rsid w:val="2E41FC3D"/>
    <w:rsid w:val="2E520C1D"/>
    <w:rsid w:val="2E5C1C02"/>
    <w:rsid w:val="2E612DCB"/>
    <w:rsid w:val="2E6B90B3"/>
    <w:rsid w:val="2E724E5C"/>
    <w:rsid w:val="2E73B328"/>
    <w:rsid w:val="2E7A37C7"/>
    <w:rsid w:val="2E8C55F0"/>
    <w:rsid w:val="2E8C93D2"/>
    <w:rsid w:val="2E90A9AB"/>
    <w:rsid w:val="2E9C5275"/>
    <w:rsid w:val="2E9D3633"/>
    <w:rsid w:val="2EBAAB28"/>
    <w:rsid w:val="2EBE1387"/>
    <w:rsid w:val="2EC07B1E"/>
    <w:rsid w:val="2ED02C2C"/>
    <w:rsid w:val="2EDA92F1"/>
    <w:rsid w:val="2EDFF288"/>
    <w:rsid w:val="2EE00A3A"/>
    <w:rsid w:val="2EE461C5"/>
    <w:rsid w:val="2EEB73E2"/>
    <w:rsid w:val="2F036B7B"/>
    <w:rsid w:val="2F197151"/>
    <w:rsid w:val="2F1A4B01"/>
    <w:rsid w:val="2F1C3AF4"/>
    <w:rsid w:val="2F3449A8"/>
    <w:rsid w:val="2F347128"/>
    <w:rsid w:val="2F3F8830"/>
    <w:rsid w:val="2F424F25"/>
    <w:rsid w:val="2F52BC8C"/>
    <w:rsid w:val="2F5471DF"/>
    <w:rsid w:val="2F5EE2F2"/>
    <w:rsid w:val="2F6CAA36"/>
    <w:rsid w:val="2F7DAA51"/>
    <w:rsid w:val="2F89E0EB"/>
    <w:rsid w:val="2F8D0EAD"/>
    <w:rsid w:val="2F8FC475"/>
    <w:rsid w:val="2F99A10D"/>
    <w:rsid w:val="2FAF4DFE"/>
    <w:rsid w:val="2FB4779C"/>
    <w:rsid w:val="2FBC1C58"/>
    <w:rsid w:val="2FBCCAF2"/>
    <w:rsid w:val="2FC0FE33"/>
    <w:rsid w:val="2FC7B042"/>
    <w:rsid w:val="2FCC56EA"/>
    <w:rsid w:val="2FCE75E4"/>
    <w:rsid w:val="2FCE9D83"/>
    <w:rsid w:val="2FD2D907"/>
    <w:rsid w:val="2FE69D27"/>
    <w:rsid w:val="2FED2B86"/>
    <w:rsid w:val="2FED7A44"/>
    <w:rsid w:val="2FF9D839"/>
    <w:rsid w:val="301D9E89"/>
    <w:rsid w:val="301E8EE3"/>
    <w:rsid w:val="30238C62"/>
    <w:rsid w:val="30317BA6"/>
    <w:rsid w:val="3033CABE"/>
    <w:rsid w:val="3035E698"/>
    <w:rsid w:val="304CA707"/>
    <w:rsid w:val="304F984E"/>
    <w:rsid w:val="305297D9"/>
    <w:rsid w:val="3054200E"/>
    <w:rsid w:val="3058D7BA"/>
    <w:rsid w:val="30676772"/>
    <w:rsid w:val="30693997"/>
    <w:rsid w:val="3076F86B"/>
    <w:rsid w:val="307C6EDC"/>
    <w:rsid w:val="307D60EF"/>
    <w:rsid w:val="307D6A98"/>
    <w:rsid w:val="307E1E7E"/>
    <w:rsid w:val="308A2C02"/>
    <w:rsid w:val="30908B16"/>
    <w:rsid w:val="30921332"/>
    <w:rsid w:val="309ADF81"/>
    <w:rsid w:val="309E4A35"/>
    <w:rsid w:val="30A3C4B1"/>
    <w:rsid w:val="30A6F5DB"/>
    <w:rsid w:val="30A824CB"/>
    <w:rsid w:val="30A8FB23"/>
    <w:rsid w:val="30AB58E7"/>
    <w:rsid w:val="30B559C2"/>
    <w:rsid w:val="30BB7C90"/>
    <w:rsid w:val="30C185FF"/>
    <w:rsid w:val="30CEB9DA"/>
    <w:rsid w:val="30D8ABF8"/>
    <w:rsid w:val="30DFC7A3"/>
    <w:rsid w:val="30E9F973"/>
    <w:rsid w:val="30EAE36B"/>
    <w:rsid w:val="30F3014E"/>
    <w:rsid w:val="30FF7D90"/>
    <w:rsid w:val="310597EE"/>
    <w:rsid w:val="31224844"/>
    <w:rsid w:val="313E4AEC"/>
    <w:rsid w:val="314044F1"/>
    <w:rsid w:val="314C92C8"/>
    <w:rsid w:val="314DB73C"/>
    <w:rsid w:val="315035B3"/>
    <w:rsid w:val="3151B397"/>
    <w:rsid w:val="3154314A"/>
    <w:rsid w:val="315B3BFF"/>
    <w:rsid w:val="3161E1AA"/>
    <w:rsid w:val="3170F5B2"/>
    <w:rsid w:val="3171988E"/>
    <w:rsid w:val="3178AA17"/>
    <w:rsid w:val="317E450D"/>
    <w:rsid w:val="31846A0F"/>
    <w:rsid w:val="3184CF0F"/>
    <w:rsid w:val="31AD96D9"/>
    <w:rsid w:val="31AE41DE"/>
    <w:rsid w:val="31B056AD"/>
    <w:rsid w:val="31B4E365"/>
    <w:rsid w:val="31B68110"/>
    <w:rsid w:val="31BA646B"/>
    <w:rsid w:val="31BB9AEF"/>
    <w:rsid w:val="31BF2C6F"/>
    <w:rsid w:val="31C31D02"/>
    <w:rsid w:val="31D4578A"/>
    <w:rsid w:val="31DCD367"/>
    <w:rsid w:val="31FF17D1"/>
    <w:rsid w:val="320CE6C4"/>
    <w:rsid w:val="32110CE6"/>
    <w:rsid w:val="32133A9B"/>
    <w:rsid w:val="321BB52C"/>
    <w:rsid w:val="322C3D61"/>
    <w:rsid w:val="322C46BB"/>
    <w:rsid w:val="324D9E0D"/>
    <w:rsid w:val="3250599A"/>
    <w:rsid w:val="32539C09"/>
    <w:rsid w:val="325451C2"/>
    <w:rsid w:val="3255A510"/>
    <w:rsid w:val="32599A27"/>
    <w:rsid w:val="325DE97E"/>
    <w:rsid w:val="326BB6C7"/>
    <w:rsid w:val="327ECF85"/>
    <w:rsid w:val="3289081E"/>
    <w:rsid w:val="328ACFAB"/>
    <w:rsid w:val="328E170E"/>
    <w:rsid w:val="3296CC07"/>
    <w:rsid w:val="329790DC"/>
    <w:rsid w:val="32987B2B"/>
    <w:rsid w:val="32A40BEE"/>
    <w:rsid w:val="32A640E9"/>
    <w:rsid w:val="32A8A9F1"/>
    <w:rsid w:val="32ABA7E6"/>
    <w:rsid w:val="32AC1E0E"/>
    <w:rsid w:val="32B2E79B"/>
    <w:rsid w:val="32B66306"/>
    <w:rsid w:val="32B7A807"/>
    <w:rsid w:val="32BF0706"/>
    <w:rsid w:val="32C0518B"/>
    <w:rsid w:val="32C2A2D5"/>
    <w:rsid w:val="32CAA96F"/>
    <w:rsid w:val="32CB3689"/>
    <w:rsid w:val="32CDB1E3"/>
    <w:rsid w:val="32CEDDFC"/>
    <w:rsid w:val="32D180E1"/>
    <w:rsid w:val="32DD5415"/>
    <w:rsid w:val="32E46773"/>
    <w:rsid w:val="32E85CF3"/>
    <w:rsid w:val="32EB69DB"/>
    <w:rsid w:val="32EC6B26"/>
    <w:rsid w:val="33096158"/>
    <w:rsid w:val="3309EAF3"/>
    <w:rsid w:val="33152386"/>
    <w:rsid w:val="33286099"/>
    <w:rsid w:val="33305B5A"/>
    <w:rsid w:val="333A3318"/>
    <w:rsid w:val="333BF3AF"/>
    <w:rsid w:val="334AD584"/>
    <w:rsid w:val="33506739"/>
    <w:rsid w:val="3351F1FD"/>
    <w:rsid w:val="335635C9"/>
    <w:rsid w:val="33570C05"/>
    <w:rsid w:val="335B591A"/>
    <w:rsid w:val="335FCA30"/>
    <w:rsid w:val="3360C3A9"/>
    <w:rsid w:val="336C3EC6"/>
    <w:rsid w:val="336CECD9"/>
    <w:rsid w:val="336D16A3"/>
    <w:rsid w:val="338A5692"/>
    <w:rsid w:val="3393E447"/>
    <w:rsid w:val="33A03A24"/>
    <w:rsid w:val="33A9888C"/>
    <w:rsid w:val="33AAAF48"/>
    <w:rsid w:val="33AB2616"/>
    <w:rsid w:val="33BD2DC7"/>
    <w:rsid w:val="33D077EF"/>
    <w:rsid w:val="33E3853A"/>
    <w:rsid w:val="33E618F7"/>
    <w:rsid w:val="33F840A3"/>
    <w:rsid w:val="33F962F9"/>
    <w:rsid w:val="33FC97D9"/>
    <w:rsid w:val="33FD4509"/>
    <w:rsid w:val="3415A713"/>
    <w:rsid w:val="3419388B"/>
    <w:rsid w:val="3423E7FC"/>
    <w:rsid w:val="343CFEC4"/>
    <w:rsid w:val="34452E0E"/>
    <w:rsid w:val="34515D84"/>
    <w:rsid w:val="34529A13"/>
    <w:rsid w:val="3456E399"/>
    <w:rsid w:val="345E164C"/>
    <w:rsid w:val="3466317F"/>
    <w:rsid w:val="34712BEB"/>
    <w:rsid w:val="347A203C"/>
    <w:rsid w:val="347CE413"/>
    <w:rsid w:val="34841204"/>
    <w:rsid w:val="34941FDD"/>
    <w:rsid w:val="34951422"/>
    <w:rsid w:val="3497F1C6"/>
    <w:rsid w:val="349D1998"/>
    <w:rsid w:val="34B7B4C5"/>
    <w:rsid w:val="34C60E1E"/>
    <w:rsid w:val="34CC6F20"/>
    <w:rsid w:val="34D17E91"/>
    <w:rsid w:val="34F20533"/>
    <w:rsid w:val="34F3EB27"/>
    <w:rsid w:val="34F50D3A"/>
    <w:rsid w:val="34F884F3"/>
    <w:rsid w:val="34FCA260"/>
    <w:rsid w:val="34FEF48B"/>
    <w:rsid w:val="350231D1"/>
    <w:rsid w:val="351125AF"/>
    <w:rsid w:val="351D76EE"/>
    <w:rsid w:val="354C06CF"/>
    <w:rsid w:val="354F1760"/>
    <w:rsid w:val="35595E2B"/>
    <w:rsid w:val="355D3095"/>
    <w:rsid w:val="356531B4"/>
    <w:rsid w:val="3567F459"/>
    <w:rsid w:val="35938441"/>
    <w:rsid w:val="35AF898E"/>
    <w:rsid w:val="35BFBCC0"/>
    <w:rsid w:val="35C32131"/>
    <w:rsid w:val="35C519AD"/>
    <w:rsid w:val="35CB83CB"/>
    <w:rsid w:val="35CED9CA"/>
    <w:rsid w:val="35CF451A"/>
    <w:rsid w:val="35D2EABD"/>
    <w:rsid w:val="35D3317C"/>
    <w:rsid w:val="35E721D3"/>
    <w:rsid w:val="35E9A386"/>
    <w:rsid w:val="35F88310"/>
    <w:rsid w:val="35F8A099"/>
    <w:rsid w:val="35F9DA6B"/>
    <w:rsid w:val="35FA3033"/>
    <w:rsid w:val="35FAA33B"/>
    <w:rsid w:val="35FEA066"/>
    <w:rsid w:val="360BF9E6"/>
    <w:rsid w:val="36126356"/>
    <w:rsid w:val="361ECBAB"/>
    <w:rsid w:val="36224B6E"/>
    <w:rsid w:val="3624C278"/>
    <w:rsid w:val="3627DC70"/>
    <w:rsid w:val="362A29BD"/>
    <w:rsid w:val="362DCCDC"/>
    <w:rsid w:val="362F5AB3"/>
    <w:rsid w:val="36366AF9"/>
    <w:rsid w:val="364E8005"/>
    <w:rsid w:val="3657E925"/>
    <w:rsid w:val="3658ED01"/>
    <w:rsid w:val="365A271B"/>
    <w:rsid w:val="3664D062"/>
    <w:rsid w:val="366861C5"/>
    <w:rsid w:val="366BD7FF"/>
    <w:rsid w:val="3676B295"/>
    <w:rsid w:val="36772101"/>
    <w:rsid w:val="367AE9A1"/>
    <w:rsid w:val="369F0B97"/>
    <w:rsid w:val="36A14E8C"/>
    <w:rsid w:val="36A1E69C"/>
    <w:rsid w:val="36A2AF84"/>
    <w:rsid w:val="36A66E1C"/>
    <w:rsid w:val="36A6C460"/>
    <w:rsid w:val="36AD8736"/>
    <w:rsid w:val="36ADE386"/>
    <w:rsid w:val="36C2EE47"/>
    <w:rsid w:val="36C83351"/>
    <w:rsid w:val="36DE9FF0"/>
    <w:rsid w:val="36E5D4D8"/>
    <w:rsid w:val="36F1152C"/>
    <w:rsid w:val="36F76F46"/>
    <w:rsid w:val="3707D65E"/>
    <w:rsid w:val="37093FC1"/>
    <w:rsid w:val="370BBD21"/>
    <w:rsid w:val="371961F8"/>
    <w:rsid w:val="3749A4EC"/>
    <w:rsid w:val="37521771"/>
    <w:rsid w:val="375F1152"/>
    <w:rsid w:val="376214A7"/>
    <w:rsid w:val="3767A354"/>
    <w:rsid w:val="37837FFB"/>
    <w:rsid w:val="378DB734"/>
    <w:rsid w:val="37921491"/>
    <w:rsid w:val="379EACC3"/>
    <w:rsid w:val="37A41C25"/>
    <w:rsid w:val="37AE188A"/>
    <w:rsid w:val="37B22493"/>
    <w:rsid w:val="37BA0B92"/>
    <w:rsid w:val="37C96FC7"/>
    <w:rsid w:val="37CD3CE4"/>
    <w:rsid w:val="37DFA1CA"/>
    <w:rsid w:val="37E0AE0B"/>
    <w:rsid w:val="37F8488F"/>
    <w:rsid w:val="37F87E4D"/>
    <w:rsid w:val="3800B9EB"/>
    <w:rsid w:val="3807B930"/>
    <w:rsid w:val="38084A07"/>
    <w:rsid w:val="3817D52B"/>
    <w:rsid w:val="382193E0"/>
    <w:rsid w:val="382B6061"/>
    <w:rsid w:val="382CBE33"/>
    <w:rsid w:val="382E228C"/>
    <w:rsid w:val="382E421F"/>
    <w:rsid w:val="383F1337"/>
    <w:rsid w:val="38401235"/>
    <w:rsid w:val="3841EFE7"/>
    <w:rsid w:val="38462EAB"/>
    <w:rsid w:val="38540633"/>
    <w:rsid w:val="386325AF"/>
    <w:rsid w:val="38639644"/>
    <w:rsid w:val="386AC9F0"/>
    <w:rsid w:val="3874120B"/>
    <w:rsid w:val="387F49F5"/>
    <w:rsid w:val="38941C9A"/>
    <w:rsid w:val="389D021A"/>
    <w:rsid w:val="38A4C569"/>
    <w:rsid w:val="38A8325C"/>
    <w:rsid w:val="38B79074"/>
    <w:rsid w:val="38BC051E"/>
    <w:rsid w:val="38BD1608"/>
    <w:rsid w:val="38C47E6C"/>
    <w:rsid w:val="38CFC794"/>
    <w:rsid w:val="38D0453A"/>
    <w:rsid w:val="38E8F748"/>
    <w:rsid w:val="38EAAB11"/>
    <w:rsid w:val="38EAE172"/>
    <w:rsid w:val="38F0017D"/>
    <w:rsid w:val="390320C6"/>
    <w:rsid w:val="390A149D"/>
    <w:rsid w:val="390D0B06"/>
    <w:rsid w:val="390D3EE8"/>
    <w:rsid w:val="390D8BE6"/>
    <w:rsid w:val="391134EC"/>
    <w:rsid w:val="391E644D"/>
    <w:rsid w:val="392222DA"/>
    <w:rsid w:val="392304E5"/>
    <w:rsid w:val="3929755B"/>
    <w:rsid w:val="392DC9DC"/>
    <w:rsid w:val="392F816B"/>
    <w:rsid w:val="3937A332"/>
    <w:rsid w:val="393E494F"/>
    <w:rsid w:val="3940B1E2"/>
    <w:rsid w:val="3957122F"/>
    <w:rsid w:val="3959BA2B"/>
    <w:rsid w:val="395C1EE5"/>
    <w:rsid w:val="39676AC2"/>
    <w:rsid w:val="39688FFD"/>
    <w:rsid w:val="396FEB5E"/>
    <w:rsid w:val="3978E5DB"/>
    <w:rsid w:val="39869256"/>
    <w:rsid w:val="399EA985"/>
    <w:rsid w:val="39C1B031"/>
    <w:rsid w:val="39D5778C"/>
    <w:rsid w:val="39E5E9C8"/>
    <w:rsid w:val="39E9C446"/>
    <w:rsid w:val="39EC2D7C"/>
    <w:rsid w:val="3A061C2F"/>
    <w:rsid w:val="3A0B8454"/>
    <w:rsid w:val="3A0F9A50"/>
    <w:rsid w:val="3A183E39"/>
    <w:rsid w:val="3A194D1C"/>
    <w:rsid w:val="3A20CFA3"/>
    <w:rsid w:val="3A21D567"/>
    <w:rsid w:val="3A22BC91"/>
    <w:rsid w:val="3A2B8661"/>
    <w:rsid w:val="3A35D1BB"/>
    <w:rsid w:val="3A3E10EC"/>
    <w:rsid w:val="3A46BA6A"/>
    <w:rsid w:val="3A4AC872"/>
    <w:rsid w:val="3A58A065"/>
    <w:rsid w:val="3A819DC6"/>
    <w:rsid w:val="3A8E5896"/>
    <w:rsid w:val="3AA00A2C"/>
    <w:rsid w:val="3AA024BC"/>
    <w:rsid w:val="3AAA5FE7"/>
    <w:rsid w:val="3AC652C1"/>
    <w:rsid w:val="3ACA4360"/>
    <w:rsid w:val="3ACDCDF2"/>
    <w:rsid w:val="3ADD0CDA"/>
    <w:rsid w:val="3AE78B2A"/>
    <w:rsid w:val="3AEE4A9F"/>
    <w:rsid w:val="3AF2FC0F"/>
    <w:rsid w:val="3AF69687"/>
    <w:rsid w:val="3AFDE7FA"/>
    <w:rsid w:val="3AFEB66B"/>
    <w:rsid w:val="3B00D58B"/>
    <w:rsid w:val="3B0445DB"/>
    <w:rsid w:val="3B05C1A7"/>
    <w:rsid w:val="3B05E4A3"/>
    <w:rsid w:val="3B0C8BFF"/>
    <w:rsid w:val="3B286ACA"/>
    <w:rsid w:val="3B297FC2"/>
    <w:rsid w:val="3B2B2112"/>
    <w:rsid w:val="3B2E89C9"/>
    <w:rsid w:val="3B354C88"/>
    <w:rsid w:val="3B39BEDD"/>
    <w:rsid w:val="3B3C9FE2"/>
    <w:rsid w:val="3B3FEC6E"/>
    <w:rsid w:val="3B47B177"/>
    <w:rsid w:val="3B48A8F2"/>
    <w:rsid w:val="3B5250CA"/>
    <w:rsid w:val="3B606181"/>
    <w:rsid w:val="3B6B02E6"/>
    <w:rsid w:val="3B6BEA8E"/>
    <w:rsid w:val="3B94EFF8"/>
    <w:rsid w:val="3B99B052"/>
    <w:rsid w:val="3B9D4B61"/>
    <w:rsid w:val="3BB47211"/>
    <w:rsid w:val="3BB5332B"/>
    <w:rsid w:val="3BB8C3FC"/>
    <w:rsid w:val="3BBBE967"/>
    <w:rsid w:val="3BC68CCD"/>
    <w:rsid w:val="3BCD9F0F"/>
    <w:rsid w:val="3BE884A3"/>
    <w:rsid w:val="3BEB360B"/>
    <w:rsid w:val="3C035AED"/>
    <w:rsid w:val="3C06E39C"/>
    <w:rsid w:val="3C0A5A5A"/>
    <w:rsid w:val="3C0F1750"/>
    <w:rsid w:val="3C13F52C"/>
    <w:rsid w:val="3C1494AD"/>
    <w:rsid w:val="3C21755B"/>
    <w:rsid w:val="3C42C9FC"/>
    <w:rsid w:val="3C43383F"/>
    <w:rsid w:val="3C505FE3"/>
    <w:rsid w:val="3C569623"/>
    <w:rsid w:val="3C578D93"/>
    <w:rsid w:val="3C5D22EF"/>
    <w:rsid w:val="3C627402"/>
    <w:rsid w:val="3C628BD7"/>
    <w:rsid w:val="3C661E10"/>
    <w:rsid w:val="3C7169E2"/>
    <w:rsid w:val="3C86859F"/>
    <w:rsid w:val="3C92DEE1"/>
    <w:rsid w:val="3C93400D"/>
    <w:rsid w:val="3C954768"/>
    <w:rsid w:val="3CA1D67E"/>
    <w:rsid w:val="3CA4D8DE"/>
    <w:rsid w:val="3CA4F615"/>
    <w:rsid w:val="3CA8AD42"/>
    <w:rsid w:val="3CB8CAEF"/>
    <w:rsid w:val="3CB99F82"/>
    <w:rsid w:val="3CBBAFC7"/>
    <w:rsid w:val="3CC3B129"/>
    <w:rsid w:val="3CC3B4B4"/>
    <w:rsid w:val="3CC4A1BC"/>
    <w:rsid w:val="3CC4ADF4"/>
    <w:rsid w:val="3CCD61C0"/>
    <w:rsid w:val="3CD2F2D7"/>
    <w:rsid w:val="3CD4EA0A"/>
    <w:rsid w:val="3CE2EB46"/>
    <w:rsid w:val="3CF54C46"/>
    <w:rsid w:val="3CF6FC5A"/>
    <w:rsid w:val="3CFCF543"/>
    <w:rsid w:val="3D049108"/>
    <w:rsid w:val="3D07140E"/>
    <w:rsid w:val="3D0E497D"/>
    <w:rsid w:val="3D2133C9"/>
    <w:rsid w:val="3D21EB24"/>
    <w:rsid w:val="3D2425DB"/>
    <w:rsid w:val="3D41E21A"/>
    <w:rsid w:val="3D4C2282"/>
    <w:rsid w:val="3D53F1CE"/>
    <w:rsid w:val="3D5E05AA"/>
    <w:rsid w:val="3D5F26F5"/>
    <w:rsid w:val="3D62EE95"/>
    <w:rsid w:val="3D6E56F9"/>
    <w:rsid w:val="3D7649F8"/>
    <w:rsid w:val="3D7B66B2"/>
    <w:rsid w:val="3D83086D"/>
    <w:rsid w:val="3D9E3787"/>
    <w:rsid w:val="3DA5EB88"/>
    <w:rsid w:val="3DB78FD6"/>
    <w:rsid w:val="3DBAC814"/>
    <w:rsid w:val="3DC15895"/>
    <w:rsid w:val="3DD07EAC"/>
    <w:rsid w:val="3DD6177B"/>
    <w:rsid w:val="3DDE4D0C"/>
    <w:rsid w:val="3DE419F3"/>
    <w:rsid w:val="3DED8641"/>
    <w:rsid w:val="3DEDCF1A"/>
    <w:rsid w:val="3DF167E5"/>
    <w:rsid w:val="3DF389CD"/>
    <w:rsid w:val="3DF61168"/>
    <w:rsid w:val="3DF7F102"/>
    <w:rsid w:val="3DFABED3"/>
    <w:rsid w:val="3E038BFD"/>
    <w:rsid w:val="3E0C28F6"/>
    <w:rsid w:val="3E13C8CB"/>
    <w:rsid w:val="3E1488E0"/>
    <w:rsid w:val="3E1903DC"/>
    <w:rsid w:val="3E1BC229"/>
    <w:rsid w:val="3E1C7F1F"/>
    <w:rsid w:val="3E1F9432"/>
    <w:rsid w:val="3E318F78"/>
    <w:rsid w:val="3E349AE6"/>
    <w:rsid w:val="3E37EC11"/>
    <w:rsid w:val="3E3B53BF"/>
    <w:rsid w:val="3E400DEF"/>
    <w:rsid w:val="3E416C61"/>
    <w:rsid w:val="3E49CB0F"/>
    <w:rsid w:val="3E7066F9"/>
    <w:rsid w:val="3E70F7BD"/>
    <w:rsid w:val="3E76EA20"/>
    <w:rsid w:val="3E8B455A"/>
    <w:rsid w:val="3E93033A"/>
    <w:rsid w:val="3EAD2B5E"/>
    <w:rsid w:val="3EB357EF"/>
    <w:rsid w:val="3EB488D4"/>
    <w:rsid w:val="3EBA96AA"/>
    <w:rsid w:val="3EBD0141"/>
    <w:rsid w:val="3EC805C2"/>
    <w:rsid w:val="3ED7C33C"/>
    <w:rsid w:val="3EDC49B4"/>
    <w:rsid w:val="3EDCF5A6"/>
    <w:rsid w:val="3EE16C64"/>
    <w:rsid w:val="3EE737E8"/>
    <w:rsid w:val="3EEAE3B2"/>
    <w:rsid w:val="3EF347B8"/>
    <w:rsid w:val="3EF77FB7"/>
    <w:rsid w:val="3EF96526"/>
    <w:rsid w:val="3EFDDA1F"/>
    <w:rsid w:val="3F03661C"/>
    <w:rsid w:val="3F09A0F2"/>
    <w:rsid w:val="3F0AC5E5"/>
    <w:rsid w:val="3F0AF5E4"/>
    <w:rsid w:val="3F159BD6"/>
    <w:rsid w:val="3F16FBAC"/>
    <w:rsid w:val="3F27E6D1"/>
    <w:rsid w:val="3F34CE7B"/>
    <w:rsid w:val="3F38EAC6"/>
    <w:rsid w:val="3F4BDB81"/>
    <w:rsid w:val="3F55811A"/>
    <w:rsid w:val="3F563DF2"/>
    <w:rsid w:val="3F663365"/>
    <w:rsid w:val="3F673212"/>
    <w:rsid w:val="3F6B7241"/>
    <w:rsid w:val="3F7741DE"/>
    <w:rsid w:val="3F78FCF4"/>
    <w:rsid w:val="3F7D7036"/>
    <w:rsid w:val="3F83C9DA"/>
    <w:rsid w:val="3F9F2391"/>
    <w:rsid w:val="3FA8F2B0"/>
    <w:rsid w:val="3FA90371"/>
    <w:rsid w:val="3FABE762"/>
    <w:rsid w:val="3FB00B4E"/>
    <w:rsid w:val="3FB21FCF"/>
    <w:rsid w:val="3FBF90CA"/>
    <w:rsid w:val="3FC9EF42"/>
    <w:rsid w:val="3FE95BFB"/>
    <w:rsid w:val="3FFABFEC"/>
    <w:rsid w:val="3FFAEC13"/>
    <w:rsid w:val="400131D9"/>
    <w:rsid w:val="40094108"/>
    <w:rsid w:val="40129878"/>
    <w:rsid w:val="4036F59F"/>
    <w:rsid w:val="4039253F"/>
    <w:rsid w:val="4044EA75"/>
    <w:rsid w:val="4050C244"/>
    <w:rsid w:val="405D5954"/>
    <w:rsid w:val="4062D6D9"/>
    <w:rsid w:val="40656EC6"/>
    <w:rsid w:val="40691014"/>
    <w:rsid w:val="40696C19"/>
    <w:rsid w:val="4070C71A"/>
    <w:rsid w:val="40792698"/>
    <w:rsid w:val="407F17B7"/>
    <w:rsid w:val="408D1D93"/>
    <w:rsid w:val="4090AB57"/>
    <w:rsid w:val="40A695BF"/>
    <w:rsid w:val="40A8FDE1"/>
    <w:rsid w:val="40C9042A"/>
    <w:rsid w:val="40D05204"/>
    <w:rsid w:val="40DBB8B3"/>
    <w:rsid w:val="40DED079"/>
    <w:rsid w:val="40E7EB26"/>
    <w:rsid w:val="40F167B6"/>
    <w:rsid w:val="40F3E2A6"/>
    <w:rsid w:val="40F9DB1A"/>
    <w:rsid w:val="40FB0E02"/>
    <w:rsid w:val="40FFF9F5"/>
    <w:rsid w:val="41003AA1"/>
    <w:rsid w:val="41081DBA"/>
    <w:rsid w:val="410F24A3"/>
    <w:rsid w:val="4119429E"/>
    <w:rsid w:val="412054AD"/>
    <w:rsid w:val="41206528"/>
    <w:rsid w:val="41224C32"/>
    <w:rsid w:val="4124E5EC"/>
    <w:rsid w:val="412832AA"/>
    <w:rsid w:val="41294980"/>
    <w:rsid w:val="412C154B"/>
    <w:rsid w:val="412DD5FA"/>
    <w:rsid w:val="41329256"/>
    <w:rsid w:val="41518A60"/>
    <w:rsid w:val="415948AE"/>
    <w:rsid w:val="415D8C1E"/>
    <w:rsid w:val="41617776"/>
    <w:rsid w:val="4165BE1D"/>
    <w:rsid w:val="417A3640"/>
    <w:rsid w:val="417CF59A"/>
    <w:rsid w:val="4187EE95"/>
    <w:rsid w:val="41930CD0"/>
    <w:rsid w:val="419513E7"/>
    <w:rsid w:val="41986335"/>
    <w:rsid w:val="419D3CDC"/>
    <w:rsid w:val="41A6AD14"/>
    <w:rsid w:val="41A78F6B"/>
    <w:rsid w:val="41B5AB6B"/>
    <w:rsid w:val="41B85023"/>
    <w:rsid w:val="41C4C5FC"/>
    <w:rsid w:val="41C59D91"/>
    <w:rsid w:val="41C6BA77"/>
    <w:rsid w:val="41CFD667"/>
    <w:rsid w:val="41D388D7"/>
    <w:rsid w:val="41D4BF32"/>
    <w:rsid w:val="41D745DB"/>
    <w:rsid w:val="41D9DA03"/>
    <w:rsid w:val="41E3314E"/>
    <w:rsid w:val="41E86188"/>
    <w:rsid w:val="41F2A6ED"/>
    <w:rsid w:val="41F76ABC"/>
    <w:rsid w:val="41F9BF5C"/>
    <w:rsid w:val="41FB4305"/>
    <w:rsid w:val="42039198"/>
    <w:rsid w:val="42086928"/>
    <w:rsid w:val="4233413B"/>
    <w:rsid w:val="423BD98A"/>
    <w:rsid w:val="4248AD29"/>
    <w:rsid w:val="424D955B"/>
    <w:rsid w:val="424F7BF1"/>
    <w:rsid w:val="4250B8B9"/>
    <w:rsid w:val="425C2DA4"/>
    <w:rsid w:val="425C787A"/>
    <w:rsid w:val="426DED2F"/>
    <w:rsid w:val="426DF076"/>
    <w:rsid w:val="4271DF81"/>
    <w:rsid w:val="4272A39C"/>
    <w:rsid w:val="4275BC83"/>
    <w:rsid w:val="42837DAD"/>
    <w:rsid w:val="4285703C"/>
    <w:rsid w:val="428CDD7B"/>
    <w:rsid w:val="428EF115"/>
    <w:rsid w:val="42916FD4"/>
    <w:rsid w:val="429C9A34"/>
    <w:rsid w:val="429D4CCA"/>
    <w:rsid w:val="42ABC80F"/>
    <w:rsid w:val="42AEDBF2"/>
    <w:rsid w:val="42B276D2"/>
    <w:rsid w:val="42C05638"/>
    <w:rsid w:val="42C098BB"/>
    <w:rsid w:val="42C670B7"/>
    <w:rsid w:val="42EBC259"/>
    <w:rsid w:val="42EBFA66"/>
    <w:rsid w:val="42F0E649"/>
    <w:rsid w:val="42F826C2"/>
    <w:rsid w:val="42F8ABEB"/>
    <w:rsid w:val="42FE7B7C"/>
    <w:rsid w:val="43090DF9"/>
    <w:rsid w:val="43091202"/>
    <w:rsid w:val="4321BECD"/>
    <w:rsid w:val="432244D9"/>
    <w:rsid w:val="43292C32"/>
    <w:rsid w:val="432BF17D"/>
    <w:rsid w:val="433473A5"/>
    <w:rsid w:val="43453A3E"/>
    <w:rsid w:val="434C7EC4"/>
    <w:rsid w:val="43585EBF"/>
    <w:rsid w:val="43625451"/>
    <w:rsid w:val="43664A64"/>
    <w:rsid w:val="4369B8E6"/>
    <w:rsid w:val="43728963"/>
    <w:rsid w:val="437FC5F8"/>
    <w:rsid w:val="4381D783"/>
    <w:rsid w:val="4384C89B"/>
    <w:rsid w:val="439374CD"/>
    <w:rsid w:val="43A3C9BC"/>
    <w:rsid w:val="43A53980"/>
    <w:rsid w:val="43A55044"/>
    <w:rsid w:val="43A5CF86"/>
    <w:rsid w:val="43CA1048"/>
    <w:rsid w:val="43DC053B"/>
    <w:rsid w:val="43EB3BD6"/>
    <w:rsid w:val="43F0A255"/>
    <w:rsid w:val="43F220DA"/>
    <w:rsid w:val="43F50311"/>
    <w:rsid w:val="43F5AE01"/>
    <w:rsid w:val="44016769"/>
    <w:rsid w:val="44038104"/>
    <w:rsid w:val="44050016"/>
    <w:rsid w:val="440CF19A"/>
    <w:rsid w:val="44180EB7"/>
    <w:rsid w:val="44186E00"/>
    <w:rsid w:val="4418AE6E"/>
    <w:rsid w:val="441A484B"/>
    <w:rsid w:val="441CFB88"/>
    <w:rsid w:val="44316B9A"/>
    <w:rsid w:val="443437F0"/>
    <w:rsid w:val="443689D3"/>
    <w:rsid w:val="443DF8B0"/>
    <w:rsid w:val="44449E64"/>
    <w:rsid w:val="4459F639"/>
    <w:rsid w:val="446D925A"/>
    <w:rsid w:val="4482DAA8"/>
    <w:rsid w:val="449D686F"/>
    <w:rsid w:val="44A463D6"/>
    <w:rsid w:val="44A80F4E"/>
    <w:rsid w:val="44B63D97"/>
    <w:rsid w:val="44BEE046"/>
    <w:rsid w:val="44C7E714"/>
    <w:rsid w:val="44CCD2A1"/>
    <w:rsid w:val="44D17AC2"/>
    <w:rsid w:val="44DA86A4"/>
    <w:rsid w:val="44DED253"/>
    <w:rsid w:val="44E7CA24"/>
    <w:rsid w:val="44F6D3FD"/>
    <w:rsid w:val="44FC6991"/>
    <w:rsid w:val="4511D5C4"/>
    <w:rsid w:val="4512EBC8"/>
    <w:rsid w:val="45174CFD"/>
    <w:rsid w:val="451F177E"/>
    <w:rsid w:val="452617D8"/>
    <w:rsid w:val="452AEFC0"/>
    <w:rsid w:val="45369D97"/>
    <w:rsid w:val="45414A91"/>
    <w:rsid w:val="4546A0EA"/>
    <w:rsid w:val="4546FE98"/>
    <w:rsid w:val="454A4D07"/>
    <w:rsid w:val="454D85C3"/>
    <w:rsid w:val="454D8FA6"/>
    <w:rsid w:val="45536C4A"/>
    <w:rsid w:val="4556C93F"/>
    <w:rsid w:val="456B8C62"/>
    <w:rsid w:val="4595B0E8"/>
    <w:rsid w:val="45A39489"/>
    <w:rsid w:val="45B87D83"/>
    <w:rsid w:val="45BC472E"/>
    <w:rsid w:val="45BC9ED9"/>
    <w:rsid w:val="45BECF93"/>
    <w:rsid w:val="45BFC0F1"/>
    <w:rsid w:val="45C58194"/>
    <w:rsid w:val="45C84F91"/>
    <w:rsid w:val="45CDB57C"/>
    <w:rsid w:val="45DB2C88"/>
    <w:rsid w:val="45DB365E"/>
    <w:rsid w:val="45DED5F2"/>
    <w:rsid w:val="45E6FF33"/>
    <w:rsid w:val="45ED8C44"/>
    <w:rsid w:val="45F2C6A6"/>
    <w:rsid w:val="45F3ABD0"/>
    <w:rsid w:val="45FE9A50"/>
    <w:rsid w:val="45FFDEC7"/>
    <w:rsid w:val="460DA2C8"/>
    <w:rsid w:val="46199E00"/>
    <w:rsid w:val="462DA752"/>
    <w:rsid w:val="4630D2CB"/>
    <w:rsid w:val="46330818"/>
    <w:rsid w:val="463316AD"/>
    <w:rsid w:val="463C86A3"/>
    <w:rsid w:val="464AD056"/>
    <w:rsid w:val="46558105"/>
    <w:rsid w:val="46585EBA"/>
    <w:rsid w:val="465F9F99"/>
    <w:rsid w:val="46698C79"/>
    <w:rsid w:val="46776065"/>
    <w:rsid w:val="467A3DC8"/>
    <w:rsid w:val="467C3CD5"/>
    <w:rsid w:val="467DD24F"/>
    <w:rsid w:val="4687A0C8"/>
    <w:rsid w:val="468AD241"/>
    <w:rsid w:val="468D363D"/>
    <w:rsid w:val="469C2215"/>
    <w:rsid w:val="46A118BF"/>
    <w:rsid w:val="46A5A8E8"/>
    <w:rsid w:val="46A7EAA2"/>
    <w:rsid w:val="46B266BB"/>
    <w:rsid w:val="46B44FC1"/>
    <w:rsid w:val="46C00492"/>
    <w:rsid w:val="46CC7CFD"/>
    <w:rsid w:val="46CEAD8D"/>
    <w:rsid w:val="46D956F0"/>
    <w:rsid w:val="46DE21D9"/>
    <w:rsid w:val="4708F67D"/>
    <w:rsid w:val="4716E6BF"/>
    <w:rsid w:val="472632A6"/>
    <w:rsid w:val="472E5E79"/>
    <w:rsid w:val="472F33C6"/>
    <w:rsid w:val="474AC77F"/>
    <w:rsid w:val="4769C8BE"/>
    <w:rsid w:val="477BC5C5"/>
    <w:rsid w:val="477D8718"/>
    <w:rsid w:val="4780A187"/>
    <w:rsid w:val="4781F95F"/>
    <w:rsid w:val="47853F67"/>
    <w:rsid w:val="4785E878"/>
    <w:rsid w:val="478F539C"/>
    <w:rsid w:val="479683CF"/>
    <w:rsid w:val="479C5089"/>
    <w:rsid w:val="479C8846"/>
    <w:rsid w:val="47A48F2B"/>
    <w:rsid w:val="47AA4CED"/>
    <w:rsid w:val="47B0FC9C"/>
    <w:rsid w:val="47B32D5F"/>
    <w:rsid w:val="47B46861"/>
    <w:rsid w:val="47B5FE36"/>
    <w:rsid w:val="47BE1C23"/>
    <w:rsid w:val="47C64101"/>
    <w:rsid w:val="47C721E2"/>
    <w:rsid w:val="47CB27E4"/>
    <w:rsid w:val="47DDA76F"/>
    <w:rsid w:val="47EC03C5"/>
    <w:rsid w:val="47F1218A"/>
    <w:rsid w:val="47F29B22"/>
    <w:rsid w:val="4807E4C0"/>
    <w:rsid w:val="48211761"/>
    <w:rsid w:val="48233442"/>
    <w:rsid w:val="4825B783"/>
    <w:rsid w:val="4827267C"/>
    <w:rsid w:val="482AC759"/>
    <w:rsid w:val="48323FFD"/>
    <w:rsid w:val="4839DE31"/>
    <w:rsid w:val="4841E7EB"/>
    <w:rsid w:val="484261E8"/>
    <w:rsid w:val="484A46C7"/>
    <w:rsid w:val="484B7EB9"/>
    <w:rsid w:val="48551AD3"/>
    <w:rsid w:val="485C2AA3"/>
    <w:rsid w:val="48603DF1"/>
    <w:rsid w:val="486B3ABD"/>
    <w:rsid w:val="487E5F25"/>
    <w:rsid w:val="4885AA74"/>
    <w:rsid w:val="4887D99A"/>
    <w:rsid w:val="488F3060"/>
    <w:rsid w:val="48924BC6"/>
    <w:rsid w:val="48A8D380"/>
    <w:rsid w:val="48AC6C65"/>
    <w:rsid w:val="48AFA118"/>
    <w:rsid w:val="48B980E3"/>
    <w:rsid w:val="48BAA940"/>
    <w:rsid w:val="48BE6C66"/>
    <w:rsid w:val="48D20D25"/>
    <w:rsid w:val="48DCE9D1"/>
    <w:rsid w:val="48E68829"/>
    <w:rsid w:val="48EF9771"/>
    <w:rsid w:val="48FA1BFF"/>
    <w:rsid w:val="48FE02FA"/>
    <w:rsid w:val="48FE92A3"/>
    <w:rsid w:val="48FF987D"/>
    <w:rsid w:val="4900816E"/>
    <w:rsid w:val="490894E8"/>
    <w:rsid w:val="4909A88F"/>
    <w:rsid w:val="490C26DF"/>
    <w:rsid w:val="49177D0B"/>
    <w:rsid w:val="492006A7"/>
    <w:rsid w:val="49304695"/>
    <w:rsid w:val="4937F322"/>
    <w:rsid w:val="4938C77D"/>
    <w:rsid w:val="495203F0"/>
    <w:rsid w:val="4954C8B7"/>
    <w:rsid w:val="495E72A9"/>
    <w:rsid w:val="496AC337"/>
    <w:rsid w:val="496AEA90"/>
    <w:rsid w:val="496E9CBF"/>
    <w:rsid w:val="49750124"/>
    <w:rsid w:val="497FB2CA"/>
    <w:rsid w:val="497FEA74"/>
    <w:rsid w:val="49803226"/>
    <w:rsid w:val="4981E612"/>
    <w:rsid w:val="498756A2"/>
    <w:rsid w:val="498D8CB6"/>
    <w:rsid w:val="498E1B57"/>
    <w:rsid w:val="49909694"/>
    <w:rsid w:val="49943216"/>
    <w:rsid w:val="4996FCEF"/>
    <w:rsid w:val="49993372"/>
    <w:rsid w:val="49A528B0"/>
    <w:rsid w:val="49AB2DE3"/>
    <w:rsid w:val="49AF32CA"/>
    <w:rsid w:val="49B5F9AE"/>
    <w:rsid w:val="49C03D79"/>
    <w:rsid w:val="49CA7BAE"/>
    <w:rsid w:val="49E36779"/>
    <w:rsid w:val="49E382E5"/>
    <w:rsid w:val="49E547C7"/>
    <w:rsid w:val="49F52E9A"/>
    <w:rsid w:val="49F82664"/>
    <w:rsid w:val="4A04C361"/>
    <w:rsid w:val="4A0EEB23"/>
    <w:rsid w:val="4A13D83B"/>
    <w:rsid w:val="4A1990CE"/>
    <w:rsid w:val="4A22F1DA"/>
    <w:rsid w:val="4A24095B"/>
    <w:rsid w:val="4A2FF49C"/>
    <w:rsid w:val="4A370364"/>
    <w:rsid w:val="4A456197"/>
    <w:rsid w:val="4A4BEEF9"/>
    <w:rsid w:val="4A4CD7F2"/>
    <w:rsid w:val="4A4D1BCF"/>
    <w:rsid w:val="4A65EB3A"/>
    <w:rsid w:val="4A7043F3"/>
    <w:rsid w:val="4A88F236"/>
    <w:rsid w:val="4A89634F"/>
    <w:rsid w:val="4A8A8536"/>
    <w:rsid w:val="4A8ECD14"/>
    <w:rsid w:val="4A946876"/>
    <w:rsid w:val="4A9918FF"/>
    <w:rsid w:val="4A9E9B28"/>
    <w:rsid w:val="4AA08731"/>
    <w:rsid w:val="4AA0F3B0"/>
    <w:rsid w:val="4AA2CC30"/>
    <w:rsid w:val="4AB946CE"/>
    <w:rsid w:val="4AC2BE92"/>
    <w:rsid w:val="4AE6BAF0"/>
    <w:rsid w:val="4B03584F"/>
    <w:rsid w:val="4B06C14C"/>
    <w:rsid w:val="4B0D0C5B"/>
    <w:rsid w:val="4B0E1DC7"/>
    <w:rsid w:val="4B0F9A96"/>
    <w:rsid w:val="4B170A8D"/>
    <w:rsid w:val="4B2C9C39"/>
    <w:rsid w:val="4B2F1CBC"/>
    <w:rsid w:val="4B30F3B3"/>
    <w:rsid w:val="4B343779"/>
    <w:rsid w:val="4B349F03"/>
    <w:rsid w:val="4B37B956"/>
    <w:rsid w:val="4B399D67"/>
    <w:rsid w:val="4B41768A"/>
    <w:rsid w:val="4B422AF8"/>
    <w:rsid w:val="4B4C13BA"/>
    <w:rsid w:val="4B4FA480"/>
    <w:rsid w:val="4B6877C5"/>
    <w:rsid w:val="4B778D4F"/>
    <w:rsid w:val="4B7CEA77"/>
    <w:rsid w:val="4BA80204"/>
    <w:rsid w:val="4BAE760B"/>
    <w:rsid w:val="4BC09DA7"/>
    <w:rsid w:val="4BCBCADE"/>
    <w:rsid w:val="4BD16E71"/>
    <w:rsid w:val="4BDDAADC"/>
    <w:rsid w:val="4BDF6EBD"/>
    <w:rsid w:val="4BE07933"/>
    <w:rsid w:val="4BE18A47"/>
    <w:rsid w:val="4BF08B9B"/>
    <w:rsid w:val="4BF4C7AF"/>
    <w:rsid w:val="4BFB9DD8"/>
    <w:rsid w:val="4C023D4F"/>
    <w:rsid w:val="4C0E76AD"/>
    <w:rsid w:val="4C16E5DF"/>
    <w:rsid w:val="4C2248F6"/>
    <w:rsid w:val="4C2DB87D"/>
    <w:rsid w:val="4C389C42"/>
    <w:rsid w:val="4C38DA18"/>
    <w:rsid w:val="4C3B43E1"/>
    <w:rsid w:val="4C3FD18D"/>
    <w:rsid w:val="4C52B713"/>
    <w:rsid w:val="4C652D2B"/>
    <w:rsid w:val="4C6B38BE"/>
    <w:rsid w:val="4C732DAB"/>
    <w:rsid w:val="4C739AE4"/>
    <w:rsid w:val="4C7817F7"/>
    <w:rsid w:val="4C7CE3DA"/>
    <w:rsid w:val="4C7DD815"/>
    <w:rsid w:val="4C81771A"/>
    <w:rsid w:val="4C8BB68A"/>
    <w:rsid w:val="4C8EC9DA"/>
    <w:rsid w:val="4C946E99"/>
    <w:rsid w:val="4C9BB24A"/>
    <w:rsid w:val="4C9CD3E6"/>
    <w:rsid w:val="4CAA1530"/>
    <w:rsid w:val="4CD345C3"/>
    <w:rsid w:val="4CD5E4AC"/>
    <w:rsid w:val="4CDACABE"/>
    <w:rsid w:val="4CDDB02E"/>
    <w:rsid w:val="4CE883AA"/>
    <w:rsid w:val="4CF8D9F9"/>
    <w:rsid w:val="4CFB27FA"/>
    <w:rsid w:val="4CFF3352"/>
    <w:rsid w:val="4D0702FC"/>
    <w:rsid w:val="4D0833FE"/>
    <w:rsid w:val="4D19F07C"/>
    <w:rsid w:val="4D2F82BE"/>
    <w:rsid w:val="4D3B8BD2"/>
    <w:rsid w:val="4D421104"/>
    <w:rsid w:val="4D56AA80"/>
    <w:rsid w:val="4D5A91FE"/>
    <w:rsid w:val="4D5B4535"/>
    <w:rsid w:val="4D6162CC"/>
    <w:rsid w:val="4D6F39AF"/>
    <w:rsid w:val="4D825F8D"/>
    <w:rsid w:val="4D89B7BB"/>
    <w:rsid w:val="4D8D7213"/>
    <w:rsid w:val="4D8E2558"/>
    <w:rsid w:val="4D9B352C"/>
    <w:rsid w:val="4DA332D4"/>
    <w:rsid w:val="4DB20379"/>
    <w:rsid w:val="4DBD56E8"/>
    <w:rsid w:val="4DBEE9E3"/>
    <w:rsid w:val="4DCFBA36"/>
    <w:rsid w:val="4DD4A141"/>
    <w:rsid w:val="4DDBBC62"/>
    <w:rsid w:val="4DDECA13"/>
    <w:rsid w:val="4DDEFD2B"/>
    <w:rsid w:val="4DDF54E5"/>
    <w:rsid w:val="4DE89AD4"/>
    <w:rsid w:val="4DEF2082"/>
    <w:rsid w:val="4DF1FEFF"/>
    <w:rsid w:val="4DF54373"/>
    <w:rsid w:val="4DF5B214"/>
    <w:rsid w:val="4DF7FA77"/>
    <w:rsid w:val="4DFCABB1"/>
    <w:rsid w:val="4DFD9AF5"/>
    <w:rsid w:val="4E135D48"/>
    <w:rsid w:val="4E1DA596"/>
    <w:rsid w:val="4E358AAC"/>
    <w:rsid w:val="4E41E2CD"/>
    <w:rsid w:val="4E463FF5"/>
    <w:rsid w:val="4E497790"/>
    <w:rsid w:val="4E573EBB"/>
    <w:rsid w:val="4E6368C3"/>
    <w:rsid w:val="4E63BE59"/>
    <w:rsid w:val="4E68B950"/>
    <w:rsid w:val="4E74F303"/>
    <w:rsid w:val="4E7C1E46"/>
    <w:rsid w:val="4E7D2E8F"/>
    <w:rsid w:val="4E9F0837"/>
    <w:rsid w:val="4EA95DD0"/>
    <w:rsid w:val="4EB2C2B6"/>
    <w:rsid w:val="4EB88F96"/>
    <w:rsid w:val="4EC2B0A6"/>
    <w:rsid w:val="4EC44611"/>
    <w:rsid w:val="4EC82748"/>
    <w:rsid w:val="4ED03B3D"/>
    <w:rsid w:val="4ED14E8D"/>
    <w:rsid w:val="4ED4A905"/>
    <w:rsid w:val="4ED4DF70"/>
    <w:rsid w:val="4ED68193"/>
    <w:rsid w:val="4ED6A40C"/>
    <w:rsid w:val="4EDA3F5D"/>
    <w:rsid w:val="4EEC3E63"/>
    <w:rsid w:val="4EEE2106"/>
    <w:rsid w:val="4EF348F2"/>
    <w:rsid w:val="4F0FE5AC"/>
    <w:rsid w:val="4F2422F6"/>
    <w:rsid w:val="4F26A1C7"/>
    <w:rsid w:val="4F333493"/>
    <w:rsid w:val="4F3CCE78"/>
    <w:rsid w:val="4F4A3020"/>
    <w:rsid w:val="4F52E3BF"/>
    <w:rsid w:val="4F5DB8D8"/>
    <w:rsid w:val="4F640D86"/>
    <w:rsid w:val="4F643B65"/>
    <w:rsid w:val="4F67ACAF"/>
    <w:rsid w:val="4F79AEEB"/>
    <w:rsid w:val="4F7B00DD"/>
    <w:rsid w:val="4F8035DD"/>
    <w:rsid w:val="4F8818DA"/>
    <w:rsid w:val="4F890430"/>
    <w:rsid w:val="4F895A4F"/>
    <w:rsid w:val="4F8985DB"/>
    <w:rsid w:val="4F9EFB5A"/>
    <w:rsid w:val="4FC1DFE2"/>
    <w:rsid w:val="4FD0B03E"/>
    <w:rsid w:val="4FD57D1F"/>
    <w:rsid w:val="4FD788C0"/>
    <w:rsid w:val="4FD943B8"/>
    <w:rsid w:val="4FE75482"/>
    <w:rsid w:val="4FE98D8D"/>
    <w:rsid w:val="4FEAE311"/>
    <w:rsid w:val="4FF3D58D"/>
    <w:rsid w:val="4FFABBE1"/>
    <w:rsid w:val="4FFDE581"/>
    <w:rsid w:val="500042AF"/>
    <w:rsid w:val="500D2EC7"/>
    <w:rsid w:val="5012968D"/>
    <w:rsid w:val="501700E2"/>
    <w:rsid w:val="5019C9A1"/>
    <w:rsid w:val="501AF05D"/>
    <w:rsid w:val="502D82BB"/>
    <w:rsid w:val="502FC38D"/>
    <w:rsid w:val="5036EC9F"/>
    <w:rsid w:val="503A2B75"/>
    <w:rsid w:val="503CF0C1"/>
    <w:rsid w:val="5040333C"/>
    <w:rsid w:val="5041AF91"/>
    <w:rsid w:val="5045DC90"/>
    <w:rsid w:val="505481D9"/>
    <w:rsid w:val="505D7D61"/>
    <w:rsid w:val="50633471"/>
    <w:rsid w:val="50654BAB"/>
    <w:rsid w:val="5069BCBF"/>
    <w:rsid w:val="506C79A3"/>
    <w:rsid w:val="5071F924"/>
    <w:rsid w:val="5077650C"/>
    <w:rsid w:val="507CCF19"/>
    <w:rsid w:val="507DD2AE"/>
    <w:rsid w:val="5084B986"/>
    <w:rsid w:val="50A5B2FB"/>
    <w:rsid w:val="50A62E32"/>
    <w:rsid w:val="50A89A0E"/>
    <w:rsid w:val="50AE9A88"/>
    <w:rsid w:val="50AF0344"/>
    <w:rsid w:val="50C3849B"/>
    <w:rsid w:val="50C5F341"/>
    <w:rsid w:val="50CA1325"/>
    <w:rsid w:val="50DC440E"/>
    <w:rsid w:val="50DE281C"/>
    <w:rsid w:val="50E88E3F"/>
    <w:rsid w:val="50E9C4AD"/>
    <w:rsid w:val="50EA4F74"/>
    <w:rsid w:val="50F5939D"/>
    <w:rsid w:val="5101598F"/>
    <w:rsid w:val="51097693"/>
    <w:rsid w:val="510C8461"/>
    <w:rsid w:val="5114BF5B"/>
    <w:rsid w:val="511D16DD"/>
    <w:rsid w:val="511F2A48"/>
    <w:rsid w:val="5121F8E9"/>
    <w:rsid w:val="51236B49"/>
    <w:rsid w:val="5127F814"/>
    <w:rsid w:val="512E0DD0"/>
    <w:rsid w:val="513385F4"/>
    <w:rsid w:val="513AFA1C"/>
    <w:rsid w:val="513C1485"/>
    <w:rsid w:val="51406133"/>
    <w:rsid w:val="514BD4BC"/>
    <w:rsid w:val="515F3D97"/>
    <w:rsid w:val="51870929"/>
    <w:rsid w:val="51A02043"/>
    <w:rsid w:val="51A0BB6F"/>
    <w:rsid w:val="51B24E87"/>
    <w:rsid w:val="51B48592"/>
    <w:rsid w:val="51BB89C2"/>
    <w:rsid w:val="51C164AE"/>
    <w:rsid w:val="51C2A457"/>
    <w:rsid w:val="51D28A30"/>
    <w:rsid w:val="51E96EFA"/>
    <w:rsid w:val="51EFDFE6"/>
    <w:rsid w:val="51F9377B"/>
    <w:rsid w:val="51FC8284"/>
    <w:rsid w:val="520E78CC"/>
    <w:rsid w:val="521BD458"/>
    <w:rsid w:val="5220C2E4"/>
    <w:rsid w:val="5223E17A"/>
    <w:rsid w:val="523BEC3E"/>
    <w:rsid w:val="525F9252"/>
    <w:rsid w:val="5263220A"/>
    <w:rsid w:val="5267A011"/>
    <w:rsid w:val="5285A6E6"/>
    <w:rsid w:val="528C9E87"/>
    <w:rsid w:val="52903BE9"/>
    <w:rsid w:val="5294CC1E"/>
    <w:rsid w:val="5295243B"/>
    <w:rsid w:val="52A4446F"/>
    <w:rsid w:val="52A8F456"/>
    <w:rsid w:val="52AA8064"/>
    <w:rsid w:val="52B06715"/>
    <w:rsid w:val="52BD79E2"/>
    <w:rsid w:val="52CBAA50"/>
    <w:rsid w:val="52CBD5AE"/>
    <w:rsid w:val="52DA1BF6"/>
    <w:rsid w:val="52E46E42"/>
    <w:rsid w:val="52EFAF04"/>
    <w:rsid w:val="52F31EC3"/>
    <w:rsid w:val="52F8381A"/>
    <w:rsid w:val="52FE63CD"/>
    <w:rsid w:val="531AB567"/>
    <w:rsid w:val="5321C478"/>
    <w:rsid w:val="5322805A"/>
    <w:rsid w:val="53241B74"/>
    <w:rsid w:val="533041AB"/>
    <w:rsid w:val="533A2662"/>
    <w:rsid w:val="533C19DC"/>
    <w:rsid w:val="533C2B49"/>
    <w:rsid w:val="53424DAE"/>
    <w:rsid w:val="5342E790"/>
    <w:rsid w:val="5345AFF5"/>
    <w:rsid w:val="5346578C"/>
    <w:rsid w:val="5346A7A8"/>
    <w:rsid w:val="53518DD7"/>
    <w:rsid w:val="5364C46A"/>
    <w:rsid w:val="53748E2D"/>
    <w:rsid w:val="537DE795"/>
    <w:rsid w:val="537F5BE9"/>
    <w:rsid w:val="5382865C"/>
    <w:rsid w:val="538812A4"/>
    <w:rsid w:val="538FB0DA"/>
    <w:rsid w:val="53940215"/>
    <w:rsid w:val="539947D8"/>
    <w:rsid w:val="5399F05C"/>
    <w:rsid w:val="539BFC20"/>
    <w:rsid w:val="539DEF9B"/>
    <w:rsid w:val="53A72067"/>
    <w:rsid w:val="53C88638"/>
    <w:rsid w:val="53CC9AEE"/>
    <w:rsid w:val="53E867FC"/>
    <w:rsid w:val="53E9CE0F"/>
    <w:rsid w:val="53EB2923"/>
    <w:rsid w:val="53F1BE1D"/>
    <w:rsid w:val="53F39B88"/>
    <w:rsid w:val="53F56EAB"/>
    <w:rsid w:val="53F65334"/>
    <w:rsid w:val="53FF4B5B"/>
    <w:rsid w:val="5403EDEB"/>
    <w:rsid w:val="54044A34"/>
    <w:rsid w:val="540F8E5F"/>
    <w:rsid w:val="542AD1CF"/>
    <w:rsid w:val="543BAE44"/>
    <w:rsid w:val="544B905B"/>
    <w:rsid w:val="545CCC7C"/>
    <w:rsid w:val="546C383A"/>
    <w:rsid w:val="5479BF40"/>
    <w:rsid w:val="548458C6"/>
    <w:rsid w:val="54968F03"/>
    <w:rsid w:val="54976D57"/>
    <w:rsid w:val="549D118C"/>
    <w:rsid w:val="54A32650"/>
    <w:rsid w:val="54AE2728"/>
    <w:rsid w:val="54B13C81"/>
    <w:rsid w:val="54B2E0A6"/>
    <w:rsid w:val="54B54CB2"/>
    <w:rsid w:val="54B69F60"/>
    <w:rsid w:val="54B791FB"/>
    <w:rsid w:val="54B8488C"/>
    <w:rsid w:val="54C43C9F"/>
    <w:rsid w:val="54C4C8DC"/>
    <w:rsid w:val="54C6D057"/>
    <w:rsid w:val="54D00F55"/>
    <w:rsid w:val="54D57DBB"/>
    <w:rsid w:val="54E9BE3E"/>
    <w:rsid w:val="54F2916B"/>
    <w:rsid w:val="55042D7E"/>
    <w:rsid w:val="55087243"/>
    <w:rsid w:val="55140EBA"/>
    <w:rsid w:val="55184302"/>
    <w:rsid w:val="551DF5B6"/>
    <w:rsid w:val="552003B2"/>
    <w:rsid w:val="5521B52B"/>
    <w:rsid w:val="5531B85D"/>
    <w:rsid w:val="553306E1"/>
    <w:rsid w:val="55344F1E"/>
    <w:rsid w:val="5536B294"/>
    <w:rsid w:val="5539874E"/>
    <w:rsid w:val="554A86FE"/>
    <w:rsid w:val="555135E7"/>
    <w:rsid w:val="555368B3"/>
    <w:rsid w:val="55588E89"/>
    <w:rsid w:val="556C9D2B"/>
    <w:rsid w:val="55742356"/>
    <w:rsid w:val="5575E031"/>
    <w:rsid w:val="5576C9F2"/>
    <w:rsid w:val="5578E77B"/>
    <w:rsid w:val="5589AA57"/>
    <w:rsid w:val="5595933B"/>
    <w:rsid w:val="559FFFC0"/>
    <w:rsid w:val="55B13C74"/>
    <w:rsid w:val="55C6C4E9"/>
    <w:rsid w:val="55CAA0C9"/>
    <w:rsid w:val="55CDA100"/>
    <w:rsid w:val="55D0AE70"/>
    <w:rsid w:val="55D81235"/>
    <w:rsid w:val="55DAD258"/>
    <w:rsid w:val="55EAD8DD"/>
    <w:rsid w:val="55F0ED13"/>
    <w:rsid w:val="55F25329"/>
    <w:rsid w:val="55F59FCF"/>
    <w:rsid w:val="55F60F3D"/>
    <w:rsid w:val="55FBC5CF"/>
    <w:rsid w:val="55FC1983"/>
    <w:rsid w:val="55FF4D30"/>
    <w:rsid w:val="56033EA0"/>
    <w:rsid w:val="560E8A32"/>
    <w:rsid w:val="560F7167"/>
    <w:rsid w:val="56122725"/>
    <w:rsid w:val="56200859"/>
    <w:rsid w:val="56242A11"/>
    <w:rsid w:val="562C5B7B"/>
    <w:rsid w:val="562D9282"/>
    <w:rsid w:val="56309CB5"/>
    <w:rsid w:val="563BFE55"/>
    <w:rsid w:val="5646A263"/>
    <w:rsid w:val="56649F2A"/>
    <w:rsid w:val="56669B5E"/>
    <w:rsid w:val="56697568"/>
    <w:rsid w:val="5677C19A"/>
    <w:rsid w:val="567BB896"/>
    <w:rsid w:val="567C279B"/>
    <w:rsid w:val="567F50F2"/>
    <w:rsid w:val="567F9735"/>
    <w:rsid w:val="568A2DB0"/>
    <w:rsid w:val="568D48D9"/>
    <w:rsid w:val="568EE03A"/>
    <w:rsid w:val="569DD2EB"/>
    <w:rsid w:val="56A03AD5"/>
    <w:rsid w:val="56B08053"/>
    <w:rsid w:val="56B18821"/>
    <w:rsid w:val="56B6BB46"/>
    <w:rsid w:val="56C562E8"/>
    <w:rsid w:val="56C65868"/>
    <w:rsid w:val="56CBBC3D"/>
    <w:rsid w:val="57185591"/>
    <w:rsid w:val="571CDDAB"/>
    <w:rsid w:val="5728C645"/>
    <w:rsid w:val="572D70A6"/>
    <w:rsid w:val="572DA529"/>
    <w:rsid w:val="572FA4C5"/>
    <w:rsid w:val="5735F67D"/>
    <w:rsid w:val="5736F867"/>
    <w:rsid w:val="573A4803"/>
    <w:rsid w:val="5741F95D"/>
    <w:rsid w:val="574F483F"/>
    <w:rsid w:val="5753C0B6"/>
    <w:rsid w:val="575441F8"/>
    <w:rsid w:val="5759B8C4"/>
    <w:rsid w:val="575ACF76"/>
    <w:rsid w:val="575FF592"/>
    <w:rsid w:val="57615373"/>
    <w:rsid w:val="576B9790"/>
    <w:rsid w:val="576E5BE8"/>
    <w:rsid w:val="577E7495"/>
    <w:rsid w:val="5783C62B"/>
    <w:rsid w:val="5787CB21"/>
    <w:rsid w:val="579E0327"/>
    <w:rsid w:val="57A2F65B"/>
    <w:rsid w:val="57AE783F"/>
    <w:rsid w:val="57AF032D"/>
    <w:rsid w:val="57B1AF04"/>
    <w:rsid w:val="57B46345"/>
    <w:rsid w:val="57B73ECF"/>
    <w:rsid w:val="57B9ABCA"/>
    <w:rsid w:val="57BFED8B"/>
    <w:rsid w:val="57C13476"/>
    <w:rsid w:val="57C7CC08"/>
    <w:rsid w:val="57D10CE1"/>
    <w:rsid w:val="57D53084"/>
    <w:rsid w:val="57EA00B7"/>
    <w:rsid w:val="57F0D340"/>
    <w:rsid w:val="57F24119"/>
    <w:rsid w:val="58056846"/>
    <w:rsid w:val="581B6F4B"/>
    <w:rsid w:val="581E12F1"/>
    <w:rsid w:val="581F2A2C"/>
    <w:rsid w:val="5825D75E"/>
    <w:rsid w:val="5833F4E3"/>
    <w:rsid w:val="58372754"/>
    <w:rsid w:val="583947CA"/>
    <w:rsid w:val="5839D50F"/>
    <w:rsid w:val="583FFB86"/>
    <w:rsid w:val="58404752"/>
    <w:rsid w:val="5842B9AF"/>
    <w:rsid w:val="5842E939"/>
    <w:rsid w:val="58486B94"/>
    <w:rsid w:val="5861DEED"/>
    <w:rsid w:val="586F8813"/>
    <w:rsid w:val="58710E4B"/>
    <w:rsid w:val="587808BA"/>
    <w:rsid w:val="587CFE37"/>
    <w:rsid w:val="587EB34A"/>
    <w:rsid w:val="5884951F"/>
    <w:rsid w:val="58953A21"/>
    <w:rsid w:val="58982796"/>
    <w:rsid w:val="58B1E252"/>
    <w:rsid w:val="58B3B36C"/>
    <w:rsid w:val="58C95A23"/>
    <w:rsid w:val="58CF83B0"/>
    <w:rsid w:val="58D0B1D2"/>
    <w:rsid w:val="58D170AA"/>
    <w:rsid w:val="58D26A46"/>
    <w:rsid w:val="58E34842"/>
    <w:rsid w:val="58F76A14"/>
    <w:rsid w:val="58F90948"/>
    <w:rsid w:val="58FA16AB"/>
    <w:rsid w:val="58FB8BF4"/>
    <w:rsid w:val="58FCB917"/>
    <w:rsid w:val="590184EB"/>
    <w:rsid w:val="59022015"/>
    <w:rsid w:val="59046473"/>
    <w:rsid w:val="5934878B"/>
    <w:rsid w:val="5941816A"/>
    <w:rsid w:val="594F715F"/>
    <w:rsid w:val="59554D38"/>
    <w:rsid w:val="59625D2D"/>
    <w:rsid w:val="596D73F9"/>
    <w:rsid w:val="5970BD25"/>
    <w:rsid w:val="5972B3F4"/>
    <w:rsid w:val="597B2A3B"/>
    <w:rsid w:val="59934D41"/>
    <w:rsid w:val="59976045"/>
    <w:rsid w:val="59999FBA"/>
    <w:rsid w:val="59A309FF"/>
    <w:rsid w:val="59B20654"/>
    <w:rsid w:val="59B5B7D3"/>
    <w:rsid w:val="59B75889"/>
    <w:rsid w:val="59CF104E"/>
    <w:rsid w:val="59D99196"/>
    <w:rsid w:val="59E14E5C"/>
    <w:rsid w:val="59EF3160"/>
    <w:rsid w:val="59F475FE"/>
    <w:rsid w:val="59F4CA2A"/>
    <w:rsid w:val="59F9B963"/>
    <w:rsid w:val="5A055199"/>
    <w:rsid w:val="5A0949AC"/>
    <w:rsid w:val="5A14DB4D"/>
    <w:rsid w:val="5A254994"/>
    <w:rsid w:val="5A2A39DB"/>
    <w:rsid w:val="5A317C08"/>
    <w:rsid w:val="5A3927FE"/>
    <w:rsid w:val="5A47A76B"/>
    <w:rsid w:val="5A4FA974"/>
    <w:rsid w:val="5A6A490A"/>
    <w:rsid w:val="5A742DAD"/>
    <w:rsid w:val="5A7B2A00"/>
    <w:rsid w:val="5A86FD12"/>
    <w:rsid w:val="5A8C2E50"/>
    <w:rsid w:val="5A8D3765"/>
    <w:rsid w:val="5A95CD1E"/>
    <w:rsid w:val="5A963851"/>
    <w:rsid w:val="5A98F5D4"/>
    <w:rsid w:val="5AA5EE82"/>
    <w:rsid w:val="5AA98FF1"/>
    <w:rsid w:val="5AB30ECC"/>
    <w:rsid w:val="5AB60C49"/>
    <w:rsid w:val="5ABBC1C7"/>
    <w:rsid w:val="5AC9B8DF"/>
    <w:rsid w:val="5ACC8BE5"/>
    <w:rsid w:val="5AD40F1B"/>
    <w:rsid w:val="5AE2F86A"/>
    <w:rsid w:val="5AF5C7FE"/>
    <w:rsid w:val="5AFEED97"/>
    <w:rsid w:val="5B03ABC7"/>
    <w:rsid w:val="5B11AAED"/>
    <w:rsid w:val="5B1A0C68"/>
    <w:rsid w:val="5B1B3735"/>
    <w:rsid w:val="5B1D3EA6"/>
    <w:rsid w:val="5B2FD879"/>
    <w:rsid w:val="5B3CE63B"/>
    <w:rsid w:val="5B40E499"/>
    <w:rsid w:val="5B41E1C8"/>
    <w:rsid w:val="5B424074"/>
    <w:rsid w:val="5B5332DA"/>
    <w:rsid w:val="5B5960B4"/>
    <w:rsid w:val="5B5DE326"/>
    <w:rsid w:val="5B703A4A"/>
    <w:rsid w:val="5B719B06"/>
    <w:rsid w:val="5B8E1002"/>
    <w:rsid w:val="5B906202"/>
    <w:rsid w:val="5B91590F"/>
    <w:rsid w:val="5B9527C0"/>
    <w:rsid w:val="5B9A8C1D"/>
    <w:rsid w:val="5BA5BCB9"/>
    <w:rsid w:val="5BAA2773"/>
    <w:rsid w:val="5BAA60D3"/>
    <w:rsid w:val="5BB359D9"/>
    <w:rsid w:val="5BB8D73B"/>
    <w:rsid w:val="5BBE1FFE"/>
    <w:rsid w:val="5BC91EC9"/>
    <w:rsid w:val="5BCA3EE3"/>
    <w:rsid w:val="5BCE4934"/>
    <w:rsid w:val="5BD68AD3"/>
    <w:rsid w:val="5BD7D1C9"/>
    <w:rsid w:val="5BDCC822"/>
    <w:rsid w:val="5BE6C6DB"/>
    <w:rsid w:val="5BEAEB0D"/>
    <w:rsid w:val="5BF02BA2"/>
    <w:rsid w:val="5BF54D4B"/>
    <w:rsid w:val="5BF8F818"/>
    <w:rsid w:val="5BFEEAE3"/>
    <w:rsid w:val="5C0AD340"/>
    <w:rsid w:val="5C0B1C2F"/>
    <w:rsid w:val="5C0DBF35"/>
    <w:rsid w:val="5C18D57C"/>
    <w:rsid w:val="5C1E1AC5"/>
    <w:rsid w:val="5C1E8EE1"/>
    <w:rsid w:val="5C2FA05B"/>
    <w:rsid w:val="5C37851F"/>
    <w:rsid w:val="5C429528"/>
    <w:rsid w:val="5C4F737C"/>
    <w:rsid w:val="5C5D31D5"/>
    <w:rsid w:val="5C60A6A2"/>
    <w:rsid w:val="5C6127C5"/>
    <w:rsid w:val="5C778EAA"/>
    <w:rsid w:val="5C791907"/>
    <w:rsid w:val="5C7E3555"/>
    <w:rsid w:val="5C9667CF"/>
    <w:rsid w:val="5CA14EBA"/>
    <w:rsid w:val="5CA4F1DD"/>
    <w:rsid w:val="5CAD4047"/>
    <w:rsid w:val="5CB73124"/>
    <w:rsid w:val="5CB84D96"/>
    <w:rsid w:val="5CBAF313"/>
    <w:rsid w:val="5CDE77E9"/>
    <w:rsid w:val="5CE2FAD3"/>
    <w:rsid w:val="5CF34E9A"/>
    <w:rsid w:val="5CFCF93D"/>
    <w:rsid w:val="5D08A99F"/>
    <w:rsid w:val="5D0952D1"/>
    <w:rsid w:val="5D0DB7E5"/>
    <w:rsid w:val="5D10CC61"/>
    <w:rsid w:val="5D17276F"/>
    <w:rsid w:val="5D1B82B8"/>
    <w:rsid w:val="5D1C35EF"/>
    <w:rsid w:val="5D1E4939"/>
    <w:rsid w:val="5D22EAE7"/>
    <w:rsid w:val="5D30CDFA"/>
    <w:rsid w:val="5D3580E6"/>
    <w:rsid w:val="5D4DA027"/>
    <w:rsid w:val="5D5159F6"/>
    <w:rsid w:val="5D54F316"/>
    <w:rsid w:val="5D665A8C"/>
    <w:rsid w:val="5D667AB3"/>
    <w:rsid w:val="5D6D2043"/>
    <w:rsid w:val="5D709541"/>
    <w:rsid w:val="5D752B36"/>
    <w:rsid w:val="5D8E9FE6"/>
    <w:rsid w:val="5D98E4FD"/>
    <w:rsid w:val="5D9E8F89"/>
    <w:rsid w:val="5DA58D35"/>
    <w:rsid w:val="5DA88F9F"/>
    <w:rsid w:val="5DAD01AE"/>
    <w:rsid w:val="5DB20BEF"/>
    <w:rsid w:val="5DB5FC70"/>
    <w:rsid w:val="5DBF885D"/>
    <w:rsid w:val="5DC23C29"/>
    <w:rsid w:val="5DC3B359"/>
    <w:rsid w:val="5DC78AE7"/>
    <w:rsid w:val="5DD9AFA1"/>
    <w:rsid w:val="5DDDED59"/>
    <w:rsid w:val="5DE59102"/>
    <w:rsid w:val="5DF00647"/>
    <w:rsid w:val="5DF0A901"/>
    <w:rsid w:val="5DF568DF"/>
    <w:rsid w:val="5DFE0BC4"/>
    <w:rsid w:val="5DFFEAE5"/>
    <w:rsid w:val="5E07C1E8"/>
    <w:rsid w:val="5E090DBF"/>
    <w:rsid w:val="5E098815"/>
    <w:rsid w:val="5E1D3578"/>
    <w:rsid w:val="5E229A48"/>
    <w:rsid w:val="5E26A471"/>
    <w:rsid w:val="5E273A95"/>
    <w:rsid w:val="5E2D47E5"/>
    <w:rsid w:val="5E30795D"/>
    <w:rsid w:val="5E35DF21"/>
    <w:rsid w:val="5E3A722D"/>
    <w:rsid w:val="5E3ACCD7"/>
    <w:rsid w:val="5E3B9448"/>
    <w:rsid w:val="5E3EE4D3"/>
    <w:rsid w:val="5E451BD2"/>
    <w:rsid w:val="5E459618"/>
    <w:rsid w:val="5E5317A2"/>
    <w:rsid w:val="5E64412D"/>
    <w:rsid w:val="5E7A0B6F"/>
    <w:rsid w:val="5E7C74CC"/>
    <w:rsid w:val="5E7F2D56"/>
    <w:rsid w:val="5E802F3B"/>
    <w:rsid w:val="5E850048"/>
    <w:rsid w:val="5E88E192"/>
    <w:rsid w:val="5E948E6F"/>
    <w:rsid w:val="5E9940B0"/>
    <w:rsid w:val="5EA1D300"/>
    <w:rsid w:val="5EA2CE5C"/>
    <w:rsid w:val="5EAAAEF6"/>
    <w:rsid w:val="5EACFD18"/>
    <w:rsid w:val="5EBB4A30"/>
    <w:rsid w:val="5EBE81B7"/>
    <w:rsid w:val="5EC4D03F"/>
    <w:rsid w:val="5EC605A3"/>
    <w:rsid w:val="5ED10EF6"/>
    <w:rsid w:val="5ED7FE5D"/>
    <w:rsid w:val="5EDDB198"/>
    <w:rsid w:val="5EE5740E"/>
    <w:rsid w:val="5EE7135E"/>
    <w:rsid w:val="5EEE4F55"/>
    <w:rsid w:val="5EF807B7"/>
    <w:rsid w:val="5EF96E8D"/>
    <w:rsid w:val="5F0253E8"/>
    <w:rsid w:val="5F029127"/>
    <w:rsid w:val="5F0A8EA4"/>
    <w:rsid w:val="5F159604"/>
    <w:rsid w:val="5F189913"/>
    <w:rsid w:val="5F1DD661"/>
    <w:rsid w:val="5F209379"/>
    <w:rsid w:val="5F22F94D"/>
    <w:rsid w:val="5F253190"/>
    <w:rsid w:val="5F340C9D"/>
    <w:rsid w:val="5F42D74A"/>
    <w:rsid w:val="5F47E735"/>
    <w:rsid w:val="5F5BD978"/>
    <w:rsid w:val="5F5F4062"/>
    <w:rsid w:val="5F64E8FC"/>
    <w:rsid w:val="5F6CAAA8"/>
    <w:rsid w:val="5F773121"/>
    <w:rsid w:val="5F7B765F"/>
    <w:rsid w:val="5F7DBA5A"/>
    <w:rsid w:val="5F7ED911"/>
    <w:rsid w:val="5F8A8C7D"/>
    <w:rsid w:val="5F8C236C"/>
    <w:rsid w:val="5F923002"/>
    <w:rsid w:val="5F94FD3F"/>
    <w:rsid w:val="5F968C98"/>
    <w:rsid w:val="5F9D7597"/>
    <w:rsid w:val="5F9FD74D"/>
    <w:rsid w:val="5FA97CAE"/>
    <w:rsid w:val="5FB5D75D"/>
    <w:rsid w:val="5FBD3F65"/>
    <w:rsid w:val="5FD08F7E"/>
    <w:rsid w:val="5FD8D4AF"/>
    <w:rsid w:val="5FE379DD"/>
    <w:rsid w:val="5FEC3A36"/>
    <w:rsid w:val="5FEF014B"/>
    <w:rsid w:val="5FF1E50C"/>
    <w:rsid w:val="5FFFC4D7"/>
    <w:rsid w:val="600070B2"/>
    <w:rsid w:val="60068C83"/>
    <w:rsid w:val="6009A793"/>
    <w:rsid w:val="600A11B3"/>
    <w:rsid w:val="600F29F5"/>
    <w:rsid w:val="600F631F"/>
    <w:rsid w:val="6012A89E"/>
    <w:rsid w:val="6032A1E8"/>
    <w:rsid w:val="6035DD56"/>
    <w:rsid w:val="603716F5"/>
    <w:rsid w:val="60403A1A"/>
    <w:rsid w:val="604587E6"/>
    <w:rsid w:val="604D9D31"/>
    <w:rsid w:val="6051800D"/>
    <w:rsid w:val="606B689E"/>
    <w:rsid w:val="6072A3ED"/>
    <w:rsid w:val="6077F218"/>
    <w:rsid w:val="607CEE0E"/>
    <w:rsid w:val="6080AF0B"/>
    <w:rsid w:val="608DCA1F"/>
    <w:rsid w:val="60961A83"/>
    <w:rsid w:val="6099E0F0"/>
    <w:rsid w:val="609CF03C"/>
    <w:rsid w:val="60B16CA0"/>
    <w:rsid w:val="60B355FC"/>
    <w:rsid w:val="60B5A260"/>
    <w:rsid w:val="60D2152E"/>
    <w:rsid w:val="60D44BA4"/>
    <w:rsid w:val="60E086A5"/>
    <w:rsid w:val="60E09364"/>
    <w:rsid w:val="60F0438C"/>
    <w:rsid w:val="60F26B5F"/>
    <w:rsid w:val="60F3B030"/>
    <w:rsid w:val="60FBBE7D"/>
    <w:rsid w:val="60FBD639"/>
    <w:rsid w:val="60FBE49A"/>
    <w:rsid w:val="610EA69A"/>
    <w:rsid w:val="611C88D8"/>
    <w:rsid w:val="611FC8DB"/>
    <w:rsid w:val="612BA63D"/>
    <w:rsid w:val="612C46A9"/>
    <w:rsid w:val="612FFFC0"/>
    <w:rsid w:val="613E1D13"/>
    <w:rsid w:val="61458AED"/>
    <w:rsid w:val="6152BDA1"/>
    <w:rsid w:val="615781BA"/>
    <w:rsid w:val="616813FC"/>
    <w:rsid w:val="616DF0BC"/>
    <w:rsid w:val="6182DA26"/>
    <w:rsid w:val="618E344D"/>
    <w:rsid w:val="619BB3DD"/>
    <w:rsid w:val="61A3B556"/>
    <w:rsid w:val="61B5842C"/>
    <w:rsid w:val="61B78E1C"/>
    <w:rsid w:val="61B8733A"/>
    <w:rsid w:val="61BD348B"/>
    <w:rsid w:val="61BE8755"/>
    <w:rsid w:val="61C6DEC9"/>
    <w:rsid w:val="61D962C2"/>
    <w:rsid w:val="61E4480C"/>
    <w:rsid w:val="61E6744C"/>
    <w:rsid w:val="61F3795A"/>
    <w:rsid w:val="61F40EA4"/>
    <w:rsid w:val="620BFA59"/>
    <w:rsid w:val="622195CE"/>
    <w:rsid w:val="6224340B"/>
    <w:rsid w:val="6225DE60"/>
    <w:rsid w:val="622B9CA3"/>
    <w:rsid w:val="623AF0B6"/>
    <w:rsid w:val="62487D1B"/>
    <w:rsid w:val="624EA86D"/>
    <w:rsid w:val="624EDEB2"/>
    <w:rsid w:val="6250AD5B"/>
    <w:rsid w:val="6253552A"/>
    <w:rsid w:val="6254B364"/>
    <w:rsid w:val="625BB771"/>
    <w:rsid w:val="62635D9B"/>
    <w:rsid w:val="626D416F"/>
    <w:rsid w:val="626D76E3"/>
    <w:rsid w:val="62826B2A"/>
    <w:rsid w:val="628D693E"/>
    <w:rsid w:val="62A1BC75"/>
    <w:rsid w:val="62B2F467"/>
    <w:rsid w:val="62B59933"/>
    <w:rsid w:val="62C02077"/>
    <w:rsid w:val="62C2B158"/>
    <w:rsid w:val="62E598EE"/>
    <w:rsid w:val="62EE88A9"/>
    <w:rsid w:val="62F9A4DB"/>
    <w:rsid w:val="63204F06"/>
    <w:rsid w:val="632F24C1"/>
    <w:rsid w:val="6330906B"/>
    <w:rsid w:val="633BD61A"/>
    <w:rsid w:val="63475489"/>
    <w:rsid w:val="6354FE1A"/>
    <w:rsid w:val="636A26E2"/>
    <w:rsid w:val="6372F72E"/>
    <w:rsid w:val="63730D00"/>
    <w:rsid w:val="63749FAA"/>
    <w:rsid w:val="6377B4C3"/>
    <w:rsid w:val="637A098F"/>
    <w:rsid w:val="63820D6E"/>
    <w:rsid w:val="6388AD78"/>
    <w:rsid w:val="638E2763"/>
    <w:rsid w:val="63963BB9"/>
    <w:rsid w:val="63AA1047"/>
    <w:rsid w:val="63AF84CF"/>
    <w:rsid w:val="63B28938"/>
    <w:rsid w:val="63C6907F"/>
    <w:rsid w:val="63D1FA60"/>
    <w:rsid w:val="63E0F262"/>
    <w:rsid w:val="6402DF49"/>
    <w:rsid w:val="6403B5C9"/>
    <w:rsid w:val="640BBAC6"/>
    <w:rsid w:val="64109EA9"/>
    <w:rsid w:val="64144026"/>
    <w:rsid w:val="6418ADEF"/>
    <w:rsid w:val="643CCCE1"/>
    <w:rsid w:val="6444429C"/>
    <w:rsid w:val="6444CC85"/>
    <w:rsid w:val="64519134"/>
    <w:rsid w:val="645DAEED"/>
    <w:rsid w:val="646117AC"/>
    <w:rsid w:val="64662FE2"/>
    <w:rsid w:val="6467C03C"/>
    <w:rsid w:val="647593D8"/>
    <w:rsid w:val="6479CDF9"/>
    <w:rsid w:val="647CA5AA"/>
    <w:rsid w:val="647DAC83"/>
    <w:rsid w:val="647EFE91"/>
    <w:rsid w:val="64807B08"/>
    <w:rsid w:val="648D282B"/>
    <w:rsid w:val="648EF84D"/>
    <w:rsid w:val="6491C352"/>
    <w:rsid w:val="6496A4E5"/>
    <w:rsid w:val="64971B5A"/>
    <w:rsid w:val="64A33689"/>
    <w:rsid w:val="64A7C549"/>
    <w:rsid w:val="64A815EA"/>
    <w:rsid w:val="64B13CC4"/>
    <w:rsid w:val="64B4A20B"/>
    <w:rsid w:val="64B9B0BB"/>
    <w:rsid w:val="64C8CBF7"/>
    <w:rsid w:val="64CE8E84"/>
    <w:rsid w:val="64DB7622"/>
    <w:rsid w:val="64E69475"/>
    <w:rsid w:val="64EB071B"/>
    <w:rsid w:val="64EE81B3"/>
    <w:rsid w:val="64F6BB1C"/>
    <w:rsid w:val="651117E3"/>
    <w:rsid w:val="6518346D"/>
    <w:rsid w:val="65348511"/>
    <w:rsid w:val="6542A285"/>
    <w:rsid w:val="654EA8C4"/>
    <w:rsid w:val="655B7C2C"/>
    <w:rsid w:val="6560DF63"/>
    <w:rsid w:val="6562D683"/>
    <w:rsid w:val="6563907F"/>
    <w:rsid w:val="6568F306"/>
    <w:rsid w:val="65746966"/>
    <w:rsid w:val="657483F3"/>
    <w:rsid w:val="657E7AB0"/>
    <w:rsid w:val="657F7394"/>
    <w:rsid w:val="65805E90"/>
    <w:rsid w:val="658E2B91"/>
    <w:rsid w:val="659B9A8F"/>
    <w:rsid w:val="659CC952"/>
    <w:rsid w:val="65A5475F"/>
    <w:rsid w:val="65A59858"/>
    <w:rsid w:val="65B29561"/>
    <w:rsid w:val="65C0EE80"/>
    <w:rsid w:val="65E6B880"/>
    <w:rsid w:val="65E82C63"/>
    <w:rsid w:val="65E9DD4A"/>
    <w:rsid w:val="65ED4EE3"/>
    <w:rsid w:val="65EE84B7"/>
    <w:rsid w:val="65F530D4"/>
    <w:rsid w:val="65F8AEEB"/>
    <w:rsid w:val="66043E11"/>
    <w:rsid w:val="661C776A"/>
    <w:rsid w:val="662342B0"/>
    <w:rsid w:val="662C85AE"/>
    <w:rsid w:val="662F2F56"/>
    <w:rsid w:val="662F810A"/>
    <w:rsid w:val="66321AB4"/>
    <w:rsid w:val="6635F3C1"/>
    <w:rsid w:val="663EA035"/>
    <w:rsid w:val="6645986E"/>
    <w:rsid w:val="6645DADC"/>
    <w:rsid w:val="66481847"/>
    <w:rsid w:val="664884BB"/>
    <w:rsid w:val="666FBB13"/>
    <w:rsid w:val="666FF1DB"/>
    <w:rsid w:val="667EA8AF"/>
    <w:rsid w:val="6680AE77"/>
    <w:rsid w:val="6689A0EB"/>
    <w:rsid w:val="6694FC9A"/>
    <w:rsid w:val="66A107AE"/>
    <w:rsid w:val="66A52769"/>
    <w:rsid w:val="66B37B44"/>
    <w:rsid w:val="66B74A99"/>
    <w:rsid w:val="66BA17BC"/>
    <w:rsid w:val="66BBE52B"/>
    <w:rsid w:val="66BE617F"/>
    <w:rsid w:val="66C5DC92"/>
    <w:rsid w:val="66C7D0DF"/>
    <w:rsid w:val="66D1EBC0"/>
    <w:rsid w:val="66DA88DF"/>
    <w:rsid w:val="66DEECA8"/>
    <w:rsid w:val="6702CC7B"/>
    <w:rsid w:val="670B1B59"/>
    <w:rsid w:val="670D212E"/>
    <w:rsid w:val="670DB237"/>
    <w:rsid w:val="672E3A05"/>
    <w:rsid w:val="673365DC"/>
    <w:rsid w:val="673AE026"/>
    <w:rsid w:val="673E0482"/>
    <w:rsid w:val="674D7A85"/>
    <w:rsid w:val="6752BDB6"/>
    <w:rsid w:val="6755B817"/>
    <w:rsid w:val="676169D4"/>
    <w:rsid w:val="6762F0E1"/>
    <w:rsid w:val="676DE543"/>
    <w:rsid w:val="67821F53"/>
    <w:rsid w:val="6791A9C5"/>
    <w:rsid w:val="67969AEC"/>
    <w:rsid w:val="67973F6E"/>
    <w:rsid w:val="679B9CBF"/>
    <w:rsid w:val="67B32B4F"/>
    <w:rsid w:val="67C116CC"/>
    <w:rsid w:val="67C4753C"/>
    <w:rsid w:val="67C4D329"/>
    <w:rsid w:val="67CAD955"/>
    <w:rsid w:val="67D39B37"/>
    <w:rsid w:val="67D55677"/>
    <w:rsid w:val="67DC6451"/>
    <w:rsid w:val="67DCF86C"/>
    <w:rsid w:val="67DD61E5"/>
    <w:rsid w:val="67E33928"/>
    <w:rsid w:val="67E62793"/>
    <w:rsid w:val="67FC7239"/>
    <w:rsid w:val="68137AD8"/>
    <w:rsid w:val="68201BAA"/>
    <w:rsid w:val="68344EA2"/>
    <w:rsid w:val="68490E32"/>
    <w:rsid w:val="685B5C5D"/>
    <w:rsid w:val="685E55AB"/>
    <w:rsid w:val="68638263"/>
    <w:rsid w:val="68656767"/>
    <w:rsid w:val="68662BC1"/>
    <w:rsid w:val="6875E91C"/>
    <w:rsid w:val="6879B1BB"/>
    <w:rsid w:val="68916F23"/>
    <w:rsid w:val="6899602F"/>
    <w:rsid w:val="689D0AD1"/>
    <w:rsid w:val="689D2944"/>
    <w:rsid w:val="68B243E7"/>
    <w:rsid w:val="68C65825"/>
    <w:rsid w:val="68D239D5"/>
    <w:rsid w:val="68D2F6B5"/>
    <w:rsid w:val="68D4BBFF"/>
    <w:rsid w:val="68D8E99D"/>
    <w:rsid w:val="68DA6E19"/>
    <w:rsid w:val="68DFEDA5"/>
    <w:rsid w:val="68E558AB"/>
    <w:rsid w:val="68E559F6"/>
    <w:rsid w:val="68E59D84"/>
    <w:rsid w:val="68E70BFA"/>
    <w:rsid w:val="68E729D5"/>
    <w:rsid w:val="68EB44FB"/>
    <w:rsid w:val="68F01A74"/>
    <w:rsid w:val="68F461E8"/>
    <w:rsid w:val="68F55BF7"/>
    <w:rsid w:val="68FC8F45"/>
    <w:rsid w:val="68FEA282"/>
    <w:rsid w:val="69091CC0"/>
    <w:rsid w:val="690B6CE9"/>
    <w:rsid w:val="691DD5A3"/>
    <w:rsid w:val="6925C41F"/>
    <w:rsid w:val="69328579"/>
    <w:rsid w:val="693627C2"/>
    <w:rsid w:val="69401AE7"/>
    <w:rsid w:val="69418E54"/>
    <w:rsid w:val="6943F103"/>
    <w:rsid w:val="6949A15B"/>
    <w:rsid w:val="694FA2CC"/>
    <w:rsid w:val="6952CB7A"/>
    <w:rsid w:val="6959DED5"/>
    <w:rsid w:val="6978A8F2"/>
    <w:rsid w:val="698784A6"/>
    <w:rsid w:val="69898F79"/>
    <w:rsid w:val="69900F41"/>
    <w:rsid w:val="69979073"/>
    <w:rsid w:val="6997C872"/>
    <w:rsid w:val="69A3D79C"/>
    <w:rsid w:val="69AAEEAE"/>
    <w:rsid w:val="69B65055"/>
    <w:rsid w:val="69C9A7BE"/>
    <w:rsid w:val="69CA123E"/>
    <w:rsid w:val="69CD7F79"/>
    <w:rsid w:val="69D85EA7"/>
    <w:rsid w:val="69DEF40E"/>
    <w:rsid w:val="69E711AA"/>
    <w:rsid w:val="69F5ACCC"/>
    <w:rsid w:val="69FCBB84"/>
    <w:rsid w:val="69FF39B4"/>
    <w:rsid w:val="6A011D71"/>
    <w:rsid w:val="6A102A61"/>
    <w:rsid w:val="6A176605"/>
    <w:rsid w:val="6A2B648A"/>
    <w:rsid w:val="6A2CFE27"/>
    <w:rsid w:val="6A4CE2F0"/>
    <w:rsid w:val="6A538D9B"/>
    <w:rsid w:val="6A575D37"/>
    <w:rsid w:val="6A5827DE"/>
    <w:rsid w:val="6A68583D"/>
    <w:rsid w:val="6A68DDBA"/>
    <w:rsid w:val="6A6C7CB9"/>
    <w:rsid w:val="6A70788A"/>
    <w:rsid w:val="6A759CFA"/>
    <w:rsid w:val="6A8388D9"/>
    <w:rsid w:val="6A9641B5"/>
    <w:rsid w:val="6AA535C6"/>
    <w:rsid w:val="6AAF1E1B"/>
    <w:rsid w:val="6AB22112"/>
    <w:rsid w:val="6ABAC797"/>
    <w:rsid w:val="6ABDFA2A"/>
    <w:rsid w:val="6AC6E242"/>
    <w:rsid w:val="6AC7E043"/>
    <w:rsid w:val="6AD0C490"/>
    <w:rsid w:val="6AD8E31F"/>
    <w:rsid w:val="6AE5B90B"/>
    <w:rsid w:val="6AF17B50"/>
    <w:rsid w:val="6AF3586F"/>
    <w:rsid w:val="6AF7E823"/>
    <w:rsid w:val="6AFBE406"/>
    <w:rsid w:val="6B2164D8"/>
    <w:rsid w:val="6B2DC714"/>
    <w:rsid w:val="6B2E122D"/>
    <w:rsid w:val="6B32F98F"/>
    <w:rsid w:val="6B3867DF"/>
    <w:rsid w:val="6B4D482B"/>
    <w:rsid w:val="6B52C54D"/>
    <w:rsid w:val="6B5CF724"/>
    <w:rsid w:val="6B5E0B77"/>
    <w:rsid w:val="6B69FC01"/>
    <w:rsid w:val="6B6D177A"/>
    <w:rsid w:val="6B75AA18"/>
    <w:rsid w:val="6B7D703D"/>
    <w:rsid w:val="6B941BE5"/>
    <w:rsid w:val="6BA4B82E"/>
    <w:rsid w:val="6BA7C842"/>
    <w:rsid w:val="6BBB1E86"/>
    <w:rsid w:val="6BBE181E"/>
    <w:rsid w:val="6BC07023"/>
    <w:rsid w:val="6BD4B53E"/>
    <w:rsid w:val="6BD87826"/>
    <w:rsid w:val="6BDD47CC"/>
    <w:rsid w:val="6BDFEDB1"/>
    <w:rsid w:val="6BE2B781"/>
    <w:rsid w:val="6BEE8EE6"/>
    <w:rsid w:val="6BF981A5"/>
    <w:rsid w:val="6C0676A8"/>
    <w:rsid w:val="6C0A2D65"/>
    <w:rsid w:val="6C0CD8AB"/>
    <w:rsid w:val="6C0E0E99"/>
    <w:rsid w:val="6C120B53"/>
    <w:rsid w:val="6C1BD029"/>
    <w:rsid w:val="6C2C8E63"/>
    <w:rsid w:val="6C442C8D"/>
    <w:rsid w:val="6C50D001"/>
    <w:rsid w:val="6C55E7B0"/>
    <w:rsid w:val="6C56FE26"/>
    <w:rsid w:val="6C655A7D"/>
    <w:rsid w:val="6C791628"/>
    <w:rsid w:val="6C86695E"/>
    <w:rsid w:val="6C8CB52B"/>
    <w:rsid w:val="6C8DDEB4"/>
    <w:rsid w:val="6C8E1C15"/>
    <w:rsid w:val="6CACF849"/>
    <w:rsid w:val="6CAE7378"/>
    <w:rsid w:val="6CAFE44C"/>
    <w:rsid w:val="6CB25C80"/>
    <w:rsid w:val="6CB6E328"/>
    <w:rsid w:val="6CC0DD4F"/>
    <w:rsid w:val="6CC4F26F"/>
    <w:rsid w:val="6CCA812A"/>
    <w:rsid w:val="6CCBAB87"/>
    <w:rsid w:val="6CCE4DDE"/>
    <w:rsid w:val="6CCE8456"/>
    <w:rsid w:val="6CE3F989"/>
    <w:rsid w:val="6CF60009"/>
    <w:rsid w:val="6D022162"/>
    <w:rsid w:val="6D03743C"/>
    <w:rsid w:val="6D07F0B3"/>
    <w:rsid w:val="6D188D4E"/>
    <w:rsid w:val="6D2A5C5A"/>
    <w:rsid w:val="6D338660"/>
    <w:rsid w:val="6D3579C3"/>
    <w:rsid w:val="6D44C53B"/>
    <w:rsid w:val="6D4C3FE6"/>
    <w:rsid w:val="6D5CF101"/>
    <w:rsid w:val="6D5D1341"/>
    <w:rsid w:val="6D647509"/>
    <w:rsid w:val="6D66C402"/>
    <w:rsid w:val="6D71EB47"/>
    <w:rsid w:val="6D77E193"/>
    <w:rsid w:val="6D83570E"/>
    <w:rsid w:val="6D89DE26"/>
    <w:rsid w:val="6D8B5847"/>
    <w:rsid w:val="6D934685"/>
    <w:rsid w:val="6D987761"/>
    <w:rsid w:val="6D9AD614"/>
    <w:rsid w:val="6DB78DEB"/>
    <w:rsid w:val="6DC3B7DA"/>
    <w:rsid w:val="6DCA9684"/>
    <w:rsid w:val="6DD90C93"/>
    <w:rsid w:val="6DD99E29"/>
    <w:rsid w:val="6DEAAFF8"/>
    <w:rsid w:val="6DEB5E44"/>
    <w:rsid w:val="6DEBCB41"/>
    <w:rsid w:val="6DF2160C"/>
    <w:rsid w:val="6DF62DE5"/>
    <w:rsid w:val="6E03909E"/>
    <w:rsid w:val="6E049E6F"/>
    <w:rsid w:val="6E058372"/>
    <w:rsid w:val="6E1E4508"/>
    <w:rsid w:val="6E20DA97"/>
    <w:rsid w:val="6E220ACB"/>
    <w:rsid w:val="6E2AE1E0"/>
    <w:rsid w:val="6E34BFB7"/>
    <w:rsid w:val="6E3ECDBB"/>
    <w:rsid w:val="6E518816"/>
    <w:rsid w:val="6E5BD1DD"/>
    <w:rsid w:val="6E686E8C"/>
    <w:rsid w:val="6E758ACD"/>
    <w:rsid w:val="6E78D7EC"/>
    <w:rsid w:val="6E9FC500"/>
    <w:rsid w:val="6EC20C87"/>
    <w:rsid w:val="6EC7AC85"/>
    <w:rsid w:val="6ECB2C62"/>
    <w:rsid w:val="6ECD541B"/>
    <w:rsid w:val="6EDCCFE1"/>
    <w:rsid w:val="6EE95776"/>
    <w:rsid w:val="6EE98981"/>
    <w:rsid w:val="6EFEF4F1"/>
    <w:rsid w:val="6F097CE0"/>
    <w:rsid w:val="6F0CA7D7"/>
    <w:rsid w:val="6F101A29"/>
    <w:rsid w:val="6F14FB6C"/>
    <w:rsid w:val="6F1FE8F4"/>
    <w:rsid w:val="6F204B9A"/>
    <w:rsid w:val="6F257493"/>
    <w:rsid w:val="6F27D66A"/>
    <w:rsid w:val="6F29C281"/>
    <w:rsid w:val="6F2BA4B9"/>
    <w:rsid w:val="6F2EF9D7"/>
    <w:rsid w:val="6F34AE8F"/>
    <w:rsid w:val="6F39FDB5"/>
    <w:rsid w:val="6F3D104D"/>
    <w:rsid w:val="6F40636D"/>
    <w:rsid w:val="6F53E522"/>
    <w:rsid w:val="6F5927A8"/>
    <w:rsid w:val="6F5C526B"/>
    <w:rsid w:val="6F61116C"/>
    <w:rsid w:val="6F6CFB8D"/>
    <w:rsid w:val="6F74427A"/>
    <w:rsid w:val="6F9B9DB3"/>
    <w:rsid w:val="6FAD98E1"/>
    <w:rsid w:val="6FB6F3BD"/>
    <w:rsid w:val="6FBBFA81"/>
    <w:rsid w:val="6FBD43FF"/>
    <w:rsid w:val="6FBDF5F2"/>
    <w:rsid w:val="6FBFAC91"/>
    <w:rsid w:val="6FD21B1D"/>
    <w:rsid w:val="6FD3B8F7"/>
    <w:rsid w:val="6FF0610C"/>
    <w:rsid w:val="6FF0686B"/>
    <w:rsid w:val="6FFAD125"/>
    <w:rsid w:val="6FFD84A5"/>
    <w:rsid w:val="7006B9BB"/>
    <w:rsid w:val="700A261A"/>
    <w:rsid w:val="700BA216"/>
    <w:rsid w:val="7027F4B4"/>
    <w:rsid w:val="702AFC62"/>
    <w:rsid w:val="702D114F"/>
    <w:rsid w:val="702FEE58"/>
    <w:rsid w:val="7034D7FA"/>
    <w:rsid w:val="7035F25F"/>
    <w:rsid w:val="70396F3C"/>
    <w:rsid w:val="70406FCF"/>
    <w:rsid w:val="7041336E"/>
    <w:rsid w:val="704557E3"/>
    <w:rsid w:val="704CB828"/>
    <w:rsid w:val="705A8B08"/>
    <w:rsid w:val="705CD845"/>
    <w:rsid w:val="706CEC0E"/>
    <w:rsid w:val="70754257"/>
    <w:rsid w:val="70759587"/>
    <w:rsid w:val="707F8214"/>
    <w:rsid w:val="7080D957"/>
    <w:rsid w:val="708815E9"/>
    <w:rsid w:val="708968E8"/>
    <w:rsid w:val="708B50DB"/>
    <w:rsid w:val="709708F6"/>
    <w:rsid w:val="70992B9C"/>
    <w:rsid w:val="709C23EC"/>
    <w:rsid w:val="709DE185"/>
    <w:rsid w:val="70A13374"/>
    <w:rsid w:val="70A3276D"/>
    <w:rsid w:val="70B38446"/>
    <w:rsid w:val="70B65347"/>
    <w:rsid w:val="70BF6790"/>
    <w:rsid w:val="70C8D596"/>
    <w:rsid w:val="70CA3A41"/>
    <w:rsid w:val="70CB0707"/>
    <w:rsid w:val="70CE1812"/>
    <w:rsid w:val="70D13059"/>
    <w:rsid w:val="70D31A9B"/>
    <w:rsid w:val="70D8B7EF"/>
    <w:rsid w:val="70DD6F7F"/>
    <w:rsid w:val="70DF0305"/>
    <w:rsid w:val="70ED8CE9"/>
    <w:rsid w:val="70F4DE23"/>
    <w:rsid w:val="70F7B5D6"/>
    <w:rsid w:val="70FC93BB"/>
    <w:rsid w:val="70FF9B49"/>
    <w:rsid w:val="71047260"/>
    <w:rsid w:val="710BE192"/>
    <w:rsid w:val="710BE583"/>
    <w:rsid w:val="710C8F7D"/>
    <w:rsid w:val="71108707"/>
    <w:rsid w:val="71161F71"/>
    <w:rsid w:val="711BE1AA"/>
    <w:rsid w:val="7123DA6A"/>
    <w:rsid w:val="713645A8"/>
    <w:rsid w:val="714C2BC2"/>
    <w:rsid w:val="714D1D6D"/>
    <w:rsid w:val="714F5C90"/>
    <w:rsid w:val="7155BB3D"/>
    <w:rsid w:val="71597BF9"/>
    <w:rsid w:val="715F5123"/>
    <w:rsid w:val="71611F95"/>
    <w:rsid w:val="71654996"/>
    <w:rsid w:val="7171B99B"/>
    <w:rsid w:val="717678F0"/>
    <w:rsid w:val="7179EC63"/>
    <w:rsid w:val="7188E99D"/>
    <w:rsid w:val="719B62EF"/>
    <w:rsid w:val="71ADD35B"/>
    <w:rsid w:val="71AE27E9"/>
    <w:rsid w:val="71B6A7A4"/>
    <w:rsid w:val="71BC564B"/>
    <w:rsid w:val="71E7507E"/>
    <w:rsid w:val="71E7EBEA"/>
    <w:rsid w:val="7204D59E"/>
    <w:rsid w:val="720ADA58"/>
    <w:rsid w:val="7214DDD1"/>
    <w:rsid w:val="72194CE7"/>
    <w:rsid w:val="7219F617"/>
    <w:rsid w:val="7225AE29"/>
    <w:rsid w:val="7225DB3D"/>
    <w:rsid w:val="72288A5B"/>
    <w:rsid w:val="72298A88"/>
    <w:rsid w:val="7232A311"/>
    <w:rsid w:val="7235AF6C"/>
    <w:rsid w:val="7238BAB0"/>
    <w:rsid w:val="7245C010"/>
    <w:rsid w:val="725BEDE9"/>
    <w:rsid w:val="72666AC8"/>
    <w:rsid w:val="72694882"/>
    <w:rsid w:val="726B065C"/>
    <w:rsid w:val="726E05E6"/>
    <w:rsid w:val="7272559C"/>
    <w:rsid w:val="72771E29"/>
    <w:rsid w:val="7281F0F8"/>
    <w:rsid w:val="72930D14"/>
    <w:rsid w:val="729849D7"/>
    <w:rsid w:val="729C70D4"/>
    <w:rsid w:val="72A147C1"/>
    <w:rsid w:val="72A1F285"/>
    <w:rsid w:val="72A563CF"/>
    <w:rsid w:val="72AE5107"/>
    <w:rsid w:val="72BB57EB"/>
    <w:rsid w:val="72C17BE9"/>
    <w:rsid w:val="72C216FA"/>
    <w:rsid w:val="72CAFC5A"/>
    <w:rsid w:val="72CB3921"/>
    <w:rsid w:val="72D23E4B"/>
    <w:rsid w:val="72D3D1F6"/>
    <w:rsid w:val="72E91D8C"/>
    <w:rsid w:val="72F260C7"/>
    <w:rsid w:val="72F63D88"/>
    <w:rsid w:val="72F9A3F1"/>
    <w:rsid w:val="72FA6DD7"/>
    <w:rsid w:val="72FB950B"/>
    <w:rsid w:val="73009E6B"/>
    <w:rsid w:val="730EB4A6"/>
    <w:rsid w:val="7322C939"/>
    <w:rsid w:val="733202E2"/>
    <w:rsid w:val="733CD255"/>
    <w:rsid w:val="734D8517"/>
    <w:rsid w:val="734E9FFB"/>
    <w:rsid w:val="7352C46A"/>
    <w:rsid w:val="73563BE7"/>
    <w:rsid w:val="735FAAB5"/>
    <w:rsid w:val="73625096"/>
    <w:rsid w:val="7367B97F"/>
    <w:rsid w:val="736F1EDF"/>
    <w:rsid w:val="73829A9B"/>
    <w:rsid w:val="7383C3E1"/>
    <w:rsid w:val="73907BD4"/>
    <w:rsid w:val="7391576A"/>
    <w:rsid w:val="73932559"/>
    <w:rsid w:val="73A26A6E"/>
    <w:rsid w:val="73AC28C2"/>
    <w:rsid w:val="73B08121"/>
    <w:rsid w:val="73B50B32"/>
    <w:rsid w:val="73B56742"/>
    <w:rsid w:val="73B71E44"/>
    <w:rsid w:val="73C4A602"/>
    <w:rsid w:val="73D1D5BC"/>
    <w:rsid w:val="73D86F61"/>
    <w:rsid w:val="73DC58BD"/>
    <w:rsid w:val="73E4C506"/>
    <w:rsid w:val="73E4EF91"/>
    <w:rsid w:val="73EA98A2"/>
    <w:rsid w:val="73EB3F74"/>
    <w:rsid w:val="73F38AD5"/>
    <w:rsid w:val="7404B542"/>
    <w:rsid w:val="740FEF9A"/>
    <w:rsid w:val="7414B682"/>
    <w:rsid w:val="7422AF7A"/>
    <w:rsid w:val="7449EB0D"/>
    <w:rsid w:val="744BC40E"/>
    <w:rsid w:val="745AE565"/>
    <w:rsid w:val="74655AB6"/>
    <w:rsid w:val="74764FB0"/>
    <w:rsid w:val="7480C85B"/>
    <w:rsid w:val="7481FA3E"/>
    <w:rsid w:val="748525B2"/>
    <w:rsid w:val="7488249F"/>
    <w:rsid w:val="7493149D"/>
    <w:rsid w:val="74936A9D"/>
    <w:rsid w:val="7496146D"/>
    <w:rsid w:val="74A5525A"/>
    <w:rsid w:val="74A6C38C"/>
    <w:rsid w:val="74AAFB9F"/>
    <w:rsid w:val="74CA710D"/>
    <w:rsid w:val="74D6CC06"/>
    <w:rsid w:val="74DB993F"/>
    <w:rsid w:val="74E0B43C"/>
    <w:rsid w:val="74E0CF91"/>
    <w:rsid w:val="74EECCF4"/>
    <w:rsid w:val="74F3739A"/>
    <w:rsid w:val="74FBFC76"/>
    <w:rsid w:val="750275C1"/>
    <w:rsid w:val="75087709"/>
    <w:rsid w:val="7509521B"/>
    <w:rsid w:val="7509B77E"/>
    <w:rsid w:val="7525B35B"/>
    <w:rsid w:val="753B703A"/>
    <w:rsid w:val="7541127C"/>
    <w:rsid w:val="75449F0D"/>
    <w:rsid w:val="75483DBD"/>
    <w:rsid w:val="754ED10A"/>
    <w:rsid w:val="75506051"/>
    <w:rsid w:val="75576F9C"/>
    <w:rsid w:val="7557874F"/>
    <w:rsid w:val="755FD94D"/>
    <w:rsid w:val="75734BEA"/>
    <w:rsid w:val="75801BCF"/>
    <w:rsid w:val="75818454"/>
    <w:rsid w:val="758D04CA"/>
    <w:rsid w:val="758F1875"/>
    <w:rsid w:val="75951E99"/>
    <w:rsid w:val="7596FDE1"/>
    <w:rsid w:val="75AA5F61"/>
    <w:rsid w:val="75CAB545"/>
    <w:rsid w:val="75D687D2"/>
    <w:rsid w:val="75E3F6D2"/>
    <w:rsid w:val="75E831B8"/>
    <w:rsid w:val="75EF603F"/>
    <w:rsid w:val="75F1ECA0"/>
    <w:rsid w:val="760FA565"/>
    <w:rsid w:val="761A4053"/>
    <w:rsid w:val="7629D597"/>
    <w:rsid w:val="763168BB"/>
    <w:rsid w:val="7634490A"/>
    <w:rsid w:val="76375DAB"/>
    <w:rsid w:val="7637D049"/>
    <w:rsid w:val="7638E898"/>
    <w:rsid w:val="763A14E7"/>
    <w:rsid w:val="764028F4"/>
    <w:rsid w:val="7640A667"/>
    <w:rsid w:val="76482DAD"/>
    <w:rsid w:val="7655B9D7"/>
    <w:rsid w:val="76595984"/>
    <w:rsid w:val="765D4C44"/>
    <w:rsid w:val="7662C79A"/>
    <w:rsid w:val="766B0760"/>
    <w:rsid w:val="766F53CA"/>
    <w:rsid w:val="76724E63"/>
    <w:rsid w:val="7681A84B"/>
    <w:rsid w:val="76863E30"/>
    <w:rsid w:val="768B1B26"/>
    <w:rsid w:val="769294FD"/>
    <w:rsid w:val="769514E9"/>
    <w:rsid w:val="76981480"/>
    <w:rsid w:val="769D277F"/>
    <w:rsid w:val="769E41B2"/>
    <w:rsid w:val="76B7B663"/>
    <w:rsid w:val="76CCBA50"/>
    <w:rsid w:val="76D07D11"/>
    <w:rsid w:val="76E1A7D2"/>
    <w:rsid w:val="76E224CB"/>
    <w:rsid w:val="76EA50AF"/>
    <w:rsid w:val="76EF37EB"/>
    <w:rsid w:val="76F97085"/>
    <w:rsid w:val="76F98CC8"/>
    <w:rsid w:val="7700DB49"/>
    <w:rsid w:val="7706CB97"/>
    <w:rsid w:val="770DD009"/>
    <w:rsid w:val="77113AB6"/>
    <w:rsid w:val="7714A25E"/>
    <w:rsid w:val="7717CCAA"/>
    <w:rsid w:val="772311AE"/>
    <w:rsid w:val="772E6453"/>
    <w:rsid w:val="773E4551"/>
    <w:rsid w:val="77401741"/>
    <w:rsid w:val="7756A5A3"/>
    <w:rsid w:val="775831AE"/>
    <w:rsid w:val="7767F059"/>
    <w:rsid w:val="776C78BE"/>
    <w:rsid w:val="776E5B9E"/>
    <w:rsid w:val="7775359E"/>
    <w:rsid w:val="77843512"/>
    <w:rsid w:val="7796137E"/>
    <w:rsid w:val="779A1BAB"/>
    <w:rsid w:val="779C2BED"/>
    <w:rsid w:val="77A26FBD"/>
    <w:rsid w:val="77A6F6C9"/>
    <w:rsid w:val="77A982CD"/>
    <w:rsid w:val="77B1C555"/>
    <w:rsid w:val="77B7B3DD"/>
    <w:rsid w:val="77BB27C3"/>
    <w:rsid w:val="77C73DAE"/>
    <w:rsid w:val="77E55E32"/>
    <w:rsid w:val="77EA82C2"/>
    <w:rsid w:val="77F6673C"/>
    <w:rsid w:val="77FC842A"/>
    <w:rsid w:val="77FEAA27"/>
    <w:rsid w:val="77FFB1FE"/>
    <w:rsid w:val="780DACE0"/>
    <w:rsid w:val="781DC048"/>
    <w:rsid w:val="781FAA05"/>
    <w:rsid w:val="7825B98F"/>
    <w:rsid w:val="78334F49"/>
    <w:rsid w:val="78424176"/>
    <w:rsid w:val="784612E1"/>
    <w:rsid w:val="784FC2CA"/>
    <w:rsid w:val="78509167"/>
    <w:rsid w:val="785981D2"/>
    <w:rsid w:val="785D24CA"/>
    <w:rsid w:val="7875AC4D"/>
    <w:rsid w:val="787DB922"/>
    <w:rsid w:val="787FB87F"/>
    <w:rsid w:val="78858B52"/>
    <w:rsid w:val="789783E3"/>
    <w:rsid w:val="789BCA27"/>
    <w:rsid w:val="789E7581"/>
    <w:rsid w:val="789E909C"/>
    <w:rsid w:val="78A188B9"/>
    <w:rsid w:val="78B5B8CF"/>
    <w:rsid w:val="78B7878D"/>
    <w:rsid w:val="78C17231"/>
    <w:rsid w:val="78C6B3B8"/>
    <w:rsid w:val="78CA4F10"/>
    <w:rsid w:val="78CE5C68"/>
    <w:rsid w:val="78D3AC71"/>
    <w:rsid w:val="78D81D51"/>
    <w:rsid w:val="78EED2BF"/>
    <w:rsid w:val="78F35430"/>
    <w:rsid w:val="78F646C9"/>
    <w:rsid w:val="78F7246C"/>
    <w:rsid w:val="78FE87F4"/>
    <w:rsid w:val="79067989"/>
    <w:rsid w:val="7909513B"/>
    <w:rsid w:val="7909FBBB"/>
    <w:rsid w:val="791E71C7"/>
    <w:rsid w:val="7921888F"/>
    <w:rsid w:val="7922D0C9"/>
    <w:rsid w:val="7922D3F5"/>
    <w:rsid w:val="7927C63C"/>
    <w:rsid w:val="7935868A"/>
    <w:rsid w:val="793A9964"/>
    <w:rsid w:val="7941F606"/>
    <w:rsid w:val="794558F0"/>
    <w:rsid w:val="79513E22"/>
    <w:rsid w:val="795336C8"/>
    <w:rsid w:val="7954057F"/>
    <w:rsid w:val="795AEB63"/>
    <w:rsid w:val="795DCF78"/>
    <w:rsid w:val="7966887A"/>
    <w:rsid w:val="7970D169"/>
    <w:rsid w:val="7971A58D"/>
    <w:rsid w:val="7974D146"/>
    <w:rsid w:val="7983452A"/>
    <w:rsid w:val="79856C16"/>
    <w:rsid w:val="7985C0A5"/>
    <w:rsid w:val="79866C1F"/>
    <w:rsid w:val="79894B12"/>
    <w:rsid w:val="79A660DA"/>
    <w:rsid w:val="79A7B2E2"/>
    <w:rsid w:val="79B6DF7B"/>
    <w:rsid w:val="79BA0C14"/>
    <w:rsid w:val="79BE58AF"/>
    <w:rsid w:val="79C71332"/>
    <w:rsid w:val="79D55A24"/>
    <w:rsid w:val="79F23D44"/>
    <w:rsid w:val="79F2CB38"/>
    <w:rsid w:val="79F7D034"/>
    <w:rsid w:val="7A01354B"/>
    <w:rsid w:val="7A050527"/>
    <w:rsid w:val="7A11B892"/>
    <w:rsid w:val="7A1C2DBD"/>
    <w:rsid w:val="7A1D4203"/>
    <w:rsid w:val="7A1EDAE7"/>
    <w:rsid w:val="7A25E20F"/>
    <w:rsid w:val="7A2D7C66"/>
    <w:rsid w:val="7A447057"/>
    <w:rsid w:val="7A487442"/>
    <w:rsid w:val="7A5DAEDD"/>
    <w:rsid w:val="7A61AD29"/>
    <w:rsid w:val="7A6475C9"/>
    <w:rsid w:val="7A79303A"/>
    <w:rsid w:val="7A7949A5"/>
    <w:rsid w:val="7A7BDA36"/>
    <w:rsid w:val="7A7E0928"/>
    <w:rsid w:val="7A8107E0"/>
    <w:rsid w:val="7A840F88"/>
    <w:rsid w:val="7A884BF6"/>
    <w:rsid w:val="7A8936AD"/>
    <w:rsid w:val="7A92231C"/>
    <w:rsid w:val="7A95A95E"/>
    <w:rsid w:val="7A9B2DF6"/>
    <w:rsid w:val="7A9B427B"/>
    <w:rsid w:val="7A9B6E11"/>
    <w:rsid w:val="7A9C6C66"/>
    <w:rsid w:val="7AA0BEC9"/>
    <w:rsid w:val="7AA26C6C"/>
    <w:rsid w:val="7AA51992"/>
    <w:rsid w:val="7AAB9AE7"/>
    <w:rsid w:val="7AB0BFDF"/>
    <w:rsid w:val="7ABA8E90"/>
    <w:rsid w:val="7AD08358"/>
    <w:rsid w:val="7AD43DB2"/>
    <w:rsid w:val="7AEA6402"/>
    <w:rsid w:val="7AEBF710"/>
    <w:rsid w:val="7AEDAA59"/>
    <w:rsid w:val="7B1BA02B"/>
    <w:rsid w:val="7B1D2181"/>
    <w:rsid w:val="7B2FAEB4"/>
    <w:rsid w:val="7B3C2363"/>
    <w:rsid w:val="7B3D35C9"/>
    <w:rsid w:val="7B423B34"/>
    <w:rsid w:val="7B4DA9D6"/>
    <w:rsid w:val="7B554AB5"/>
    <w:rsid w:val="7B6937B2"/>
    <w:rsid w:val="7B8077CA"/>
    <w:rsid w:val="7B8913C8"/>
    <w:rsid w:val="7B90BF23"/>
    <w:rsid w:val="7B996AFC"/>
    <w:rsid w:val="7B9A406D"/>
    <w:rsid w:val="7B9EA220"/>
    <w:rsid w:val="7B9F9468"/>
    <w:rsid w:val="7BA34D3A"/>
    <w:rsid w:val="7BA6E487"/>
    <w:rsid w:val="7BA867BB"/>
    <w:rsid w:val="7BAB115C"/>
    <w:rsid w:val="7BB8BB32"/>
    <w:rsid w:val="7BBC012B"/>
    <w:rsid w:val="7BC018F0"/>
    <w:rsid w:val="7BCBAD5D"/>
    <w:rsid w:val="7BCD5A46"/>
    <w:rsid w:val="7BCD79EC"/>
    <w:rsid w:val="7BD3E11A"/>
    <w:rsid w:val="7BD40880"/>
    <w:rsid w:val="7BDB468F"/>
    <w:rsid w:val="7BEAE9D9"/>
    <w:rsid w:val="7BEE714D"/>
    <w:rsid w:val="7BF5CC66"/>
    <w:rsid w:val="7BF71CAB"/>
    <w:rsid w:val="7C14E0EB"/>
    <w:rsid w:val="7C1A57C9"/>
    <w:rsid w:val="7C1FED91"/>
    <w:rsid w:val="7C23483A"/>
    <w:rsid w:val="7C23A639"/>
    <w:rsid w:val="7C25E2E5"/>
    <w:rsid w:val="7C366786"/>
    <w:rsid w:val="7C3A2671"/>
    <w:rsid w:val="7C3C8659"/>
    <w:rsid w:val="7C43BAC1"/>
    <w:rsid w:val="7C44B005"/>
    <w:rsid w:val="7C58DDC6"/>
    <w:rsid w:val="7C5A2C12"/>
    <w:rsid w:val="7C5DC797"/>
    <w:rsid w:val="7C63C2C8"/>
    <w:rsid w:val="7C6D67A1"/>
    <w:rsid w:val="7C774D08"/>
    <w:rsid w:val="7C7AF25D"/>
    <w:rsid w:val="7C8C066A"/>
    <w:rsid w:val="7C932CE7"/>
    <w:rsid w:val="7C9D07BE"/>
    <w:rsid w:val="7CA10085"/>
    <w:rsid w:val="7CAA1501"/>
    <w:rsid w:val="7CAB1599"/>
    <w:rsid w:val="7CADF668"/>
    <w:rsid w:val="7CB0EE61"/>
    <w:rsid w:val="7CB35EC0"/>
    <w:rsid w:val="7CB688A1"/>
    <w:rsid w:val="7CB6B0D7"/>
    <w:rsid w:val="7CB8561C"/>
    <w:rsid w:val="7CC63381"/>
    <w:rsid w:val="7CC7A818"/>
    <w:rsid w:val="7CCF72A8"/>
    <w:rsid w:val="7CDB9C4B"/>
    <w:rsid w:val="7CDE5483"/>
    <w:rsid w:val="7CE5446A"/>
    <w:rsid w:val="7D0098F1"/>
    <w:rsid w:val="7D00C8B8"/>
    <w:rsid w:val="7D0984D5"/>
    <w:rsid w:val="7D0FE144"/>
    <w:rsid w:val="7D10D4A4"/>
    <w:rsid w:val="7D131417"/>
    <w:rsid w:val="7D136997"/>
    <w:rsid w:val="7D1723CD"/>
    <w:rsid w:val="7D1ACAB6"/>
    <w:rsid w:val="7D1C3B9A"/>
    <w:rsid w:val="7D2133E5"/>
    <w:rsid w:val="7D437CB8"/>
    <w:rsid w:val="7D49BF7F"/>
    <w:rsid w:val="7D4DE423"/>
    <w:rsid w:val="7D509820"/>
    <w:rsid w:val="7D533633"/>
    <w:rsid w:val="7D59ED39"/>
    <w:rsid w:val="7D5C58D7"/>
    <w:rsid w:val="7D5F0037"/>
    <w:rsid w:val="7D5FBA8D"/>
    <w:rsid w:val="7D60C7F1"/>
    <w:rsid w:val="7D67840A"/>
    <w:rsid w:val="7D6AA6E2"/>
    <w:rsid w:val="7D76C5AE"/>
    <w:rsid w:val="7D78CE6F"/>
    <w:rsid w:val="7D7A8E3E"/>
    <w:rsid w:val="7D7BFD27"/>
    <w:rsid w:val="7D81499B"/>
    <w:rsid w:val="7D83999F"/>
    <w:rsid w:val="7D8B7963"/>
    <w:rsid w:val="7D956EA1"/>
    <w:rsid w:val="7D97B15D"/>
    <w:rsid w:val="7DA1A695"/>
    <w:rsid w:val="7DA437B9"/>
    <w:rsid w:val="7DA4FF4F"/>
    <w:rsid w:val="7DB35E09"/>
    <w:rsid w:val="7DD8F251"/>
    <w:rsid w:val="7DDF9D43"/>
    <w:rsid w:val="7DE882CC"/>
    <w:rsid w:val="7DEE8C23"/>
    <w:rsid w:val="7DF226A5"/>
    <w:rsid w:val="7DF5B25C"/>
    <w:rsid w:val="7DF97900"/>
    <w:rsid w:val="7DFD0147"/>
    <w:rsid w:val="7E19F9EC"/>
    <w:rsid w:val="7E26E789"/>
    <w:rsid w:val="7E2FBD0A"/>
    <w:rsid w:val="7E30DE7E"/>
    <w:rsid w:val="7E419CA9"/>
    <w:rsid w:val="7E4D1D02"/>
    <w:rsid w:val="7E53A43A"/>
    <w:rsid w:val="7E559049"/>
    <w:rsid w:val="7E6854B5"/>
    <w:rsid w:val="7E7CA082"/>
    <w:rsid w:val="7E7EB72C"/>
    <w:rsid w:val="7E82521B"/>
    <w:rsid w:val="7E950BBC"/>
    <w:rsid w:val="7E9BAC74"/>
    <w:rsid w:val="7E9EC59E"/>
    <w:rsid w:val="7EA209B9"/>
    <w:rsid w:val="7EAC15A3"/>
    <w:rsid w:val="7EAE8751"/>
    <w:rsid w:val="7EB233AA"/>
    <w:rsid w:val="7EB262B5"/>
    <w:rsid w:val="7EBE9CAF"/>
    <w:rsid w:val="7ECCC300"/>
    <w:rsid w:val="7ED00025"/>
    <w:rsid w:val="7ED5C5DC"/>
    <w:rsid w:val="7EDEC966"/>
    <w:rsid w:val="7EE5494E"/>
    <w:rsid w:val="7EE7A88D"/>
    <w:rsid w:val="7EE99BB5"/>
    <w:rsid w:val="7EED751F"/>
    <w:rsid w:val="7F064940"/>
    <w:rsid w:val="7F0D90D9"/>
    <w:rsid w:val="7F1F54CD"/>
    <w:rsid w:val="7F359B2F"/>
    <w:rsid w:val="7F3668B1"/>
    <w:rsid w:val="7F37C9D3"/>
    <w:rsid w:val="7F387A00"/>
    <w:rsid w:val="7F3C608D"/>
    <w:rsid w:val="7F45A2CE"/>
    <w:rsid w:val="7F53D207"/>
    <w:rsid w:val="7F575D26"/>
    <w:rsid w:val="7F795388"/>
    <w:rsid w:val="7F83A91A"/>
    <w:rsid w:val="7F867B27"/>
    <w:rsid w:val="7FBA0776"/>
    <w:rsid w:val="7FBA9928"/>
    <w:rsid w:val="7FC2CB20"/>
    <w:rsid w:val="7FC66782"/>
    <w:rsid w:val="7FD8B950"/>
    <w:rsid w:val="7FDBA8AC"/>
    <w:rsid w:val="7FE19C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D9709C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E0ECD"/>
    <w:pPr>
      <w:spacing w:after="120" w:line="360" w:lineRule="auto"/>
      <w:jc w:val="both"/>
    </w:pPr>
    <w:rPr>
      <w:rFonts w:ascii="Georgia" w:hAnsi="Georgia"/>
    </w:rPr>
  </w:style>
  <w:style w:type="paragraph" w:styleId="Heading1">
    <w:name w:val="heading 1"/>
    <w:basedOn w:val="Normal"/>
    <w:next w:val="Normal"/>
    <w:link w:val="Heading1Char"/>
    <w:qFormat/>
    <w:rsid w:val="00920320"/>
    <w:pPr>
      <w:keepNext/>
      <w:keepLines/>
      <w:numPr>
        <w:numId w:val="8"/>
      </w:numPr>
      <w:spacing w:before="240" w:after="240" w:line="240" w:lineRule="auto"/>
      <w:ind w:right="720"/>
      <w:outlineLvl w:val="0"/>
    </w:pPr>
    <w:rPr>
      <w:rFonts w:ascii="Times New Roman" w:eastAsia="Times New Roman" w:hAnsi="Times New Roman" w:cs="Times New Roman"/>
      <w:b/>
      <w:bCs/>
    </w:rPr>
  </w:style>
  <w:style w:type="paragraph" w:styleId="Heading2">
    <w:name w:val="heading 2"/>
    <w:basedOn w:val="Normal"/>
    <w:next w:val="Normal"/>
    <w:link w:val="Heading2Char"/>
    <w:qFormat/>
    <w:rsid w:val="00920320"/>
    <w:pPr>
      <w:keepNext/>
      <w:keepLines/>
      <w:numPr>
        <w:numId w:val="19"/>
      </w:numPr>
      <w:spacing w:before="120" w:after="240" w:line="240" w:lineRule="auto"/>
      <w:outlineLvl w:val="1"/>
    </w:pPr>
    <w:rPr>
      <w:rFonts w:ascii="Times New Roman" w:eastAsia="Georgia" w:hAnsi="Times New Roman" w:cs="Georgia"/>
      <w:b/>
      <w:bCs/>
    </w:rPr>
  </w:style>
  <w:style w:type="paragraph" w:styleId="Heading3">
    <w:name w:val="heading 3"/>
    <w:basedOn w:val="Normal"/>
    <w:next w:val="Normal"/>
    <w:link w:val="Heading3Char"/>
    <w:qFormat/>
    <w:rsid w:val="00920320"/>
    <w:pPr>
      <w:keepNext/>
      <w:keepLines/>
      <w:numPr>
        <w:numId w:val="10"/>
      </w:numPr>
      <w:spacing w:before="120" w:after="240" w:line="240" w:lineRule="auto"/>
      <w:ind w:right="720"/>
      <w:outlineLvl w:val="2"/>
    </w:pPr>
    <w:rPr>
      <w:rFonts w:ascii="Times New Roman" w:eastAsia="Times New Roman" w:hAnsi="Times New Roman" w:cs="Times New Roman"/>
      <w:b/>
      <w:bCs/>
    </w:rPr>
  </w:style>
  <w:style w:type="paragraph" w:styleId="Heading4">
    <w:name w:val="heading 4"/>
    <w:basedOn w:val="Normal"/>
    <w:next w:val="Normal"/>
    <w:link w:val="Heading4Char"/>
    <w:qFormat/>
    <w:rsid w:val="00920320"/>
    <w:pPr>
      <w:keepNext/>
      <w:numPr>
        <w:numId w:val="6"/>
      </w:numPr>
      <w:tabs>
        <w:tab w:val="num" w:pos="2880"/>
      </w:tabs>
      <w:spacing w:before="60" w:after="240" w:line="240" w:lineRule="auto"/>
      <w:ind w:right="720"/>
      <w:jc w:val="left"/>
      <w:outlineLvl w:val="3"/>
    </w:pPr>
    <w:rPr>
      <w:rFonts w:ascii="Times New Roman" w:eastAsia="Times New Roman" w:hAnsi="Times New Roman" w:cs="Times New Roman"/>
      <w:i/>
      <w:iCs/>
    </w:rPr>
  </w:style>
  <w:style w:type="paragraph" w:styleId="Heading5">
    <w:name w:val="heading 5"/>
    <w:basedOn w:val="Normal"/>
    <w:next w:val="Normal"/>
    <w:link w:val="Heading5Char"/>
    <w:qFormat/>
    <w:rsid w:val="00442AB2"/>
    <w:pPr>
      <w:numPr>
        <w:ilvl w:val="4"/>
        <w:numId w:val="8"/>
      </w:numPr>
      <w:tabs>
        <w:tab w:val="num" w:pos="0"/>
      </w:tabs>
      <w:spacing w:before="120" w:after="60"/>
      <w:ind w:right="720"/>
      <w:outlineLvl w:val="4"/>
    </w:pPr>
    <w:rPr>
      <w:rFonts w:eastAsia="Times New Roman" w:cs="Arial"/>
      <w:sz w:val="22"/>
      <w:szCs w:val="22"/>
    </w:rPr>
  </w:style>
  <w:style w:type="paragraph" w:styleId="Heading6">
    <w:name w:val="heading 6"/>
    <w:basedOn w:val="Normal"/>
    <w:next w:val="Normal"/>
    <w:link w:val="Heading6Char"/>
    <w:qFormat/>
    <w:pPr>
      <w:numPr>
        <w:ilvl w:val="5"/>
        <w:numId w:val="8"/>
      </w:numPr>
      <w:tabs>
        <w:tab w:val="num" w:pos="0"/>
      </w:tabs>
      <w:spacing w:before="60" w:after="60"/>
      <w:ind w:right="720"/>
      <w:outlineLvl w:val="5"/>
    </w:pPr>
    <w:rPr>
      <w:rFonts w:eastAsia="Times New Roman" w:cs="Times New Roman"/>
      <w:i/>
      <w:iCs/>
      <w:sz w:val="22"/>
      <w:szCs w:val="22"/>
    </w:rPr>
  </w:style>
  <w:style w:type="paragraph" w:styleId="Heading7">
    <w:name w:val="heading 7"/>
    <w:basedOn w:val="Normal"/>
    <w:next w:val="Normal"/>
    <w:link w:val="Heading7Char"/>
    <w:qFormat/>
    <w:pPr>
      <w:numPr>
        <w:ilvl w:val="6"/>
        <w:numId w:val="8"/>
      </w:numPr>
      <w:tabs>
        <w:tab w:val="num" w:pos="0"/>
      </w:tabs>
      <w:spacing w:before="60" w:after="60"/>
      <w:ind w:right="720"/>
      <w:outlineLvl w:val="6"/>
    </w:pPr>
    <w:rPr>
      <w:rFonts w:ascii="TimesNewRomanPSMT" w:eastAsia="Georgia" w:hAnsi="TimesNewRomanPSMT" w:cs="TimesNewRomanPSMT"/>
      <w:sz w:val="20"/>
      <w:szCs w:val="20"/>
    </w:rPr>
  </w:style>
  <w:style w:type="paragraph" w:styleId="Heading8">
    <w:name w:val="heading 8"/>
    <w:basedOn w:val="Normal"/>
    <w:next w:val="Normal"/>
    <w:link w:val="Heading8Char"/>
    <w:qFormat/>
    <w:pPr>
      <w:numPr>
        <w:ilvl w:val="7"/>
        <w:numId w:val="8"/>
      </w:numPr>
      <w:tabs>
        <w:tab w:val="num" w:pos="0"/>
      </w:tabs>
      <w:spacing w:before="60" w:after="60"/>
      <w:ind w:right="720"/>
      <w:outlineLvl w:val="7"/>
    </w:pPr>
    <w:rPr>
      <w:rFonts w:ascii="TimesNewRomanPSMT" w:eastAsia="Georgia" w:hAnsi="TimesNewRomanPSMT" w:cs="TimesNewRomanPSMT"/>
      <w:i/>
      <w:iCs/>
      <w:sz w:val="20"/>
      <w:szCs w:val="20"/>
    </w:rPr>
  </w:style>
  <w:style w:type="paragraph" w:styleId="Heading9">
    <w:name w:val="heading 9"/>
    <w:basedOn w:val="Normal"/>
    <w:next w:val="Normal"/>
    <w:link w:val="Heading9Char"/>
    <w:qFormat/>
    <w:pPr>
      <w:numPr>
        <w:ilvl w:val="8"/>
        <w:numId w:val="8"/>
      </w:numPr>
      <w:tabs>
        <w:tab w:val="num" w:pos="0"/>
      </w:tabs>
      <w:spacing w:before="60" w:after="60"/>
      <w:ind w:right="720"/>
      <w:outlineLvl w:val="8"/>
    </w:pPr>
    <w:rPr>
      <w:rFonts w:ascii="TimesNewRomanPSMT" w:eastAsia="Georgia" w:hAnsi="TimesNewRomanPSMT" w:cs="TimesNewRomanPSMT"/>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semiHidden/>
    <w:unhideWhenUsed/>
  </w:style>
  <w:style w:type="character" w:customStyle="1" w:styleId="Heading1Char">
    <w:name w:val="Heading 1 Char"/>
    <w:basedOn w:val="DefaultParagraphFont"/>
    <w:link w:val="Heading1"/>
    <w:rsid w:val="00D50871"/>
    <w:rPr>
      <w:rFonts w:ascii="Times New Roman" w:eastAsia="Times New Roman" w:hAnsi="Times New Roman" w:cs="Times New Roman"/>
      <w:b/>
      <w:bCs/>
    </w:rPr>
  </w:style>
  <w:style w:type="character" w:customStyle="1" w:styleId="Heading2Char">
    <w:name w:val="Heading 2 Char"/>
    <w:basedOn w:val="DefaultParagraphFont"/>
    <w:link w:val="Heading2"/>
    <w:rsid w:val="00174A76"/>
    <w:rPr>
      <w:rFonts w:ascii="Times New Roman" w:eastAsia="Georgia" w:hAnsi="Times New Roman" w:cs="Georgia"/>
      <w:b/>
      <w:bCs/>
    </w:rPr>
  </w:style>
  <w:style w:type="character" w:customStyle="1" w:styleId="Heading3Char">
    <w:name w:val="Heading 3 Char"/>
    <w:basedOn w:val="DefaultParagraphFont"/>
    <w:link w:val="Heading3"/>
    <w:rPr>
      <w:rFonts w:ascii="Times New Roman" w:eastAsia="Times New Roman" w:hAnsi="Times New Roman" w:cs="Times New Roman"/>
      <w:b/>
      <w:bCs/>
    </w:rPr>
  </w:style>
  <w:style w:type="character" w:customStyle="1" w:styleId="Heading4Char">
    <w:name w:val="Heading 4 Char"/>
    <w:basedOn w:val="DefaultParagraphFont"/>
    <w:link w:val="Heading4"/>
    <w:rsid w:val="00275075"/>
    <w:rPr>
      <w:rFonts w:ascii="Times New Roman" w:eastAsia="Times New Roman" w:hAnsi="Times New Roman" w:cs="Times New Roman"/>
      <w:i/>
      <w:iCs/>
    </w:rPr>
  </w:style>
  <w:style w:type="character" w:customStyle="1" w:styleId="Heading5Char">
    <w:name w:val="Heading 5 Char"/>
    <w:basedOn w:val="DefaultParagraphFont"/>
    <w:link w:val="Heading5"/>
    <w:rPr>
      <w:rFonts w:ascii="Georgia" w:eastAsia="Times New Roman" w:hAnsi="Georgia" w:cs="Arial"/>
      <w:sz w:val="22"/>
      <w:szCs w:val="22"/>
    </w:rPr>
  </w:style>
  <w:style w:type="character" w:customStyle="1" w:styleId="Heading6Char">
    <w:name w:val="Heading 6 Char"/>
    <w:basedOn w:val="DefaultParagraphFont"/>
    <w:link w:val="Heading6"/>
    <w:rPr>
      <w:rFonts w:ascii="Georgia" w:eastAsia="Times New Roman" w:hAnsi="Georgia" w:cs="Times New Roman"/>
      <w:i/>
      <w:iCs/>
      <w:sz w:val="22"/>
      <w:szCs w:val="22"/>
    </w:rPr>
  </w:style>
  <w:style w:type="character" w:customStyle="1" w:styleId="Heading7Char">
    <w:name w:val="Heading 7 Char"/>
    <w:basedOn w:val="DefaultParagraphFont"/>
    <w:link w:val="Heading7"/>
    <w:rPr>
      <w:rFonts w:ascii="TimesNewRomanPSMT" w:eastAsia="Georgia" w:hAnsi="TimesNewRomanPSMT" w:cs="TimesNewRomanPSMT"/>
      <w:sz w:val="20"/>
      <w:szCs w:val="20"/>
    </w:rPr>
  </w:style>
  <w:style w:type="character" w:customStyle="1" w:styleId="Heading8Char">
    <w:name w:val="Heading 8 Char"/>
    <w:basedOn w:val="DefaultParagraphFont"/>
    <w:link w:val="Heading8"/>
    <w:rPr>
      <w:rFonts w:ascii="TimesNewRomanPSMT" w:eastAsia="Georgia" w:hAnsi="TimesNewRomanPSMT" w:cs="TimesNewRomanPSMT"/>
      <w:i/>
      <w:iCs/>
      <w:sz w:val="20"/>
      <w:szCs w:val="20"/>
    </w:rPr>
  </w:style>
  <w:style w:type="character" w:customStyle="1" w:styleId="Heading9Char">
    <w:name w:val="Heading 9 Char"/>
    <w:basedOn w:val="DefaultParagraphFont"/>
    <w:link w:val="Heading9"/>
    <w:rPr>
      <w:rFonts w:ascii="TimesNewRomanPSMT" w:eastAsia="Georgia" w:hAnsi="TimesNewRomanPSMT" w:cs="TimesNewRomanPSMT"/>
      <w:b/>
      <w:bCs/>
      <w:i/>
      <w:iCs/>
      <w:sz w:val="18"/>
      <w:szCs w:val="18"/>
    </w:rPr>
  </w:style>
  <w:style w:type="paragraph" w:styleId="BodyText">
    <w:name w:val="Body Text"/>
    <w:link w:val="BodyTextChar"/>
    <w:pPr>
      <w:numPr>
        <w:numId w:val="1"/>
      </w:numPr>
      <w:spacing w:after="120" w:line="480" w:lineRule="auto"/>
    </w:pPr>
    <w:rPr>
      <w:rFonts w:ascii="Georgia" w:eastAsia="Georgia" w:hAnsi="Georgia" w:cs="Georgia"/>
    </w:rPr>
  </w:style>
  <w:style w:type="character" w:customStyle="1" w:styleId="BodyTextChar">
    <w:name w:val="Body Text Char"/>
    <w:basedOn w:val="DefaultParagraphFont"/>
    <w:link w:val="BodyText"/>
    <w:rPr>
      <w:rFonts w:ascii="Georgia" w:eastAsia="Georgia" w:hAnsi="Georgia" w:cs="Georgia"/>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sid w:val="00114752"/>
    <w:rPr>
      <w:rFonts w:ascii="Times New Roman" w:hAnsi="Times New Roman"/>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paragraph" w:styleId="BalloonText">
    <w:name w:val="Balloon Text"/>
    <w:basedOn w:val="Normal"/>
    <w:link w:val="BalloonTextChar"/>
    <w:uiPriority w:val="99"/>
    <w:semiHidden/>
    <w:unhideWhenUsed/>
    <w:rsid w:val="00065080"/>
    <w:rPr>
      <w:rFonts w:ascii="Times New Roman" w:hAnsi="Times New Roman" w:cs="Symbol"/>
      <w:sz w:val="16"/>
      <w:szCs w:val="16"/>
    </w:rPr>
  </w:style>
  <w:style w:type="character" w:customStyle="1" w:styleId="BalloonTextChar">
    <w:name w:val="Balloon Text Char"/>
    <w:basedOn w:val="DefaultParagraphFont"/>
    <w:link w:val="BalloonText"/>
    <w:uiPriority w:val="99"/>
    <w:semiHidden/>
    <w:rPr>
      <w:rFonts w:ascii="Times New Roman" w:hAnsi="Times New Roman" w:cs="Symbol"/>
      <w:sz w:val="16"/>
      <w:szCs w:val="16"/>
    </w:rPr>
  </w:style>
  <w:style w:type="paragraph" w:styleId="Revision">
    <w:name w:val="Revision"/>
    <w:hidden/>
    <w:uiPriority w:val="99"/>
    <w:semiHidden/>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FootnoteText">
    <w:name w:val="footnote text"/>
    <w:aliases w:val="Footnote Text Char Char Char,Footnote Text Char Char Char Char Char,Footnote Text Char Char1 Char,Footnote Text Char1 Char,Footnote Text Char1 Char Char Char,fn Char Char Char,fn Char Char Char Char Char"/>
    <w:basedOn w:val="Normal"/>
    <w:link w:val="FootnoteTextChar"/>
    <w:uiPriority w:val="99"/>
    <w:unhideWhenUsed/>
    <w:rsid w:val="00016817"/>
    <w:pPr>
      <w:spacing w:line="240" w:lineRule="auto"/>
    </w:pPr>
    <w:rPr>
      <w:sz w:val="20"/>
      <w:szCs w:val="20"/>
    </w:rPr>
  </w:style>
  <w:style w:type="character" w:customStyle="1" w:styleId="FootnoteTextChar">
    <w:name w:val="Footnote Text Char"/>
    <w:aliases w:val="Footnote Text Char Char Char Char1,Footnote Text Char Char Char Char Char Char1,Footnote Text Char Char1 Char Char,Footnote Text Char1 Char Char1,Footnote Text Char1 Char Char Char Char1,fn Char Char Char Char1"/>
    <w:basedOn w:val="DefaultParagraphFont"/>
    <w:link w:val="FootnoteText"/>
    <w:uiPriority w:val="99"/>
    <w:rPr>
      <w:rFonts w:ascii="Times New Roman" w:hAnsi="Times New Roman"/>
      <w:sz w:val="20"/>
      <w:szCs w:val="20"/>
    </w:rPr>
  </w:style>
  <w:style w:type="character" w:styleId="FootnoteReference">
    <w:name w:val="footnote reference"/>
    <w:basedOn w:val="DefaultParagraphFont"/>
    <w:unhideWhenUsed/>
    <w:rPr>
      <w:vertAlign w:val="superscript"/>
    </w:rPr>
  </w:style>
  <w:style w:type="paragraph" w:customStyle="1" w:styleId="BodyTextChar1CharChar">
    <w:name w:val="Body  Text Char1 Char Char"/>
    <w:basedOn w:val="Normal"/>
    <w:pPr>
      <w:ind w:left="720" w:hanging="360"/>
    </w:pPr>
    <w:rPr>
      <w:rFonts w:eastAsia="Times New Roman" w:cs="Times New Roman"/>
    </w:rPr>
  </w:style>
  <w:style w:type="character" w:customStyle="1" w:styleId="FootnoteTextChar1">
    <w:name w:val="Footnote Text Char1"/>
    <w:aliases w:val="Footnote Text Char Char,Footnote Text Char Char Char Char,Footnote Text Char Char Char Char Char Char,Footnote Text Char1 Char Char,Footnote Text Char1 Char Char Char Char,fn Char Char Char Char,fn Char Char Char Char Char Char"/>
    <w:rPr>
      <w:lang w:val="en-US" w:eastAsia="en-US" w:bidi="ar-SA"/>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Heading">
    <w:name w:val="TOC Heading"/>
    <w:basedOn w:val="Heading1"/>
    <w:next w:val="Normal"/>
    <w:uiPriority w:val="39"/>
    <w:unhideWhenUsed/>
    <w:qFormat/>
    <w:pPr>
      <w:spacing w:after="0" w:line="259" w:lineRule="auto"/>
      <w:ind w:left="0" w:right="0" w:firstLine="0"/>
      <w:outlineLvl w:val="9"/>
    </w:pPr>
    <w:rPr>
      <w:rFonts w:asciiTheme="majorHAnsi" w:eastAsiaTheme="majorEastAsia" w:hAnsiTheme="majorHAnsi" w:cstheme="majorBidi"/>
      <w:b w:val="0"/>
      <w:bCs w:val="0"/>
      <w:caps/>
      <w:color w:val="365F91" w:themeColor="accent1" w:themeShade="BF"/>
      <w:sz w:val="32"/>
      <w:szCs w:val="32"/>
    </w:rPr>
  </w:style>
  <w:style w:type="paragraph" w:styleId="TOC1">
    <w:name w:val="toc 1"/>
    <w:basedOn w:val="Normal"/>
    <w:next w:val="Normal"/>
    <w:autoRedefine/>
    <w:uiPriority w:val="39"/>
    <w:unhideWhenUsed/>
    <w:rsid w:val="005A1A14"/>
    <w:pPr>
      <w:tabs>
        <w:tab w:val="left" w:pos="540"/>
        <w:tab w:val="right" w:leader="dot" w:pos="8640"/>
      </w:tabs>
      <w:spacing w:after="100"/>
      <w:ind w:left="540" w:right="720" w:hanging="540"/>
    </w:pPr>
  </w:style>
  <w:style w:type="paragraph" w:styleId="TOC2">
    <w:name w:val="toc 2"/>
    <w:basedOn w:val="Normal"/>
    <w:next w:val="Normal"/>
    <w:autoRedefine/>
    <w:uiPriority w:val="39"/>
    <w:unhideWhenUsed/>
    <w:pPr>
      <w:tabs>
        <w:tab w:val="left" w:pos="990"/>
        <w:tab w:val="right" w:leader="dot" w:pos="8640"/>
      </w:tabs>
      <w:ind w:left="990" w:right="720" w:hanging="420"/>
    </w:pPr>
    <w:rPr>
      <w:rFonts w:cs="Times New Roman"/>
      <w:noProof/>
    </w:rPr>
  </w:style>
  <w:style w:type="paragraph" w:styleId="TOC3">
    <w:name w:val="toc 3"/>
    <w:basedOn w:val="Normal"/>
    <w:next w:val="Normal"/>
    <w:autoRedefine/>
    <w:uiPriority w:val="39"/>
    <w:unhideWhenUsed/>
    <w:rsid w:val="005A1A14"/>
    <w:pPr>
      <w:tabs>
        <w:tab w:val="left" w:pos="1350"/>
        <w:tab w:val="right" w:leader="dot" w:pos="8640"/>
      </w:tabs>
      <w:ind w:left="1350" w:right="1170" w:hanging="360"/>
    </w:pPr>
  </w:style>
  <w:style w:type="paragraph" w:styleId="ListNumber">
    <w:name w:val="List Number"/>
    <w:basedOn w:val="Normal"/>
    <w:uiPriority w:val="99"/>
    <w:unhideWhenUsed/>
    <w:pPr>
      <w:numPr>
        <w:numId w:val="2"/>
      </w:numPr>
      <w:tabs>
        <w:tab w:val="clear" w:pos="360"/>
      </w:tabs>
      <w:spacing w:after="240"/>
      <w:ind w:left="0" w:firstLine="720"/>
      <w:contextualSpacing/>
    </w:pPr>
    <w:rPr>
      <w:rFonts w:cs="Times New Roman"/>
    </w:rPr>
  </w:style>
  <w:style w:type="table" w:styleId="TableGrid">
    <w:name w:val="Table Grid"/>
    <w:basedOn w:val="TableNormal"/>
    <w:uiPriority w:val="39"/>
    <w:pPr>
      <w:spacing w:after="120" w:line="480" w:lineRule="auto"/>
      <w:ind w:right="720"/>
    </w:pPr>
    <w:rPr>
      <w:rFonts w:ascii="Georgia" w:eastAsia="Georgia" w:hAnsi="Georgia" w:cs="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kadden2">
    <w:name w:val="Skadden2"/>
    <w:basedOn w:val="Normal"/>
    <w:link w:val="Skadden2Char"/>
    <w:pPr>
      <w:keepNext/>
      <w:keepLines/>
      <w:spacing w:after="240"/>
      <w:outlineLvl w:val="1"/>
    </w:pPr>
    <w:rPr>
      <w:rFonts w:eastAsia="SimSun"/>
      <w:color w:val="000000"/>
      <w:lang w:eastAsia="zh-CN"/>
    </w:rPr>
  </w:style>
  <w:style w:type="character" w:customStyle="1" w:styleId="Skadden2Char">
    <w:name w:val="Skadden2 Char"/>
    <w:basedOn w:val="DefaultParagraphFont"/>
    <w:link w:val="Skadden2"/>
    <w:rPr>
      <w:rFonts w:eastAsia="SimSun"/>
      <w:color w:val="000000"/>
      <w:lang w:eastAsia="zh-CN"/>
    </w:rPr>
  </w:style>
  <w:style w:type="character" w:customStyle="1" w:styleId="reference-text">
    <w:name w:val="reference-text"/>
    <w:basedOn w:val="DefaultParagraphFont"/>
  </w:style>
  <w:style w:type="character" w:customStyle="1" w:styleId="apple-converted-space">
    <w:name w:val="apple-converted-space"/>
    <w:basedOn w:val="DefaultParagraphFont"/>
  </w:style>
  <w:style w:type="paragraph" w:customStyle="1" w:styleId="SingleSpace">
    <w:name w:val="Single Space"/>
    <w:basedOn w:val="Normal"/>
    <w:link w:val="SingleSpaceChar"/>
    <w:pPr>
      <w:spacing w:line="288" w:lineRule="auto"/>
      <w:ind w:left="576" w:hanging="576"/>
    </w:pPr>
    <w:rPr>
      <w:rFonts w:eastAsia="Times New Roman" w:cs="Times New Roman"/>
    </w:rPr>
  </w:style>
  <w:style w:type="character" w:customStyle="1" w:styleId="SingleSpaceChar">
    <w:name w:val="Single Space Char"/>
    <w:basedOn w:val="DefaultParagraphFont"/>
    <w:link w:val="SingleSpace"/>
    <w:rPr>
      <w:rFonts w:ascii="Times New Roman" w:eastAsia="Times New Roman" w:hAnsi="Times New Roman" w:cs="Times New Roman"/>
    </w:rPr>
  </w:style>
  <w:style w:type="character" w:styleId="Emphasis">
    <w:name w:val="Emphasis"/>
    <w:basedOn w:val="DefaultParagraphFont"/>
    <w:uiPriority w:val="20"/>
    <w:qFormat/>
    <w:rPr>
      <w:b/>
      <w:bCs/>
      <w:i w:val="0"/>
      <w:iCs w:val="0"/>
    </w:rPr>
  </w:style>
  <w:style w:type="character" w:customStyle="1" w:styleId="st1">
    <w:name w:val="st1"/>
    <w:basedOn w:val="DefaultParagraphFont"/>
  </w:style>
  <w:style w:type="paragraph" w:styleId="BodyTextIndent">
    <w:name w:val="Body Text Indent"/>
    <w:basedOn w:val="Normal"/>
    <w:link w:val="BodyTextIndentChar"/>
    <w:uiPriority w:val="99"/>
    <w:semiHidden/>
    <w:unhideWhenUsed/>
    <w:pPr>
      <w:ind w:left="360"/>
    </w:pPr>
  </w:style>
  <w:style w:type="character" w:customStyle="1" w:styleId="BodyTextIndentChar">
    <w:name w:val="Body Text Indent Char"/>
    <w:basedOn w:val="DefaultParagraphFont"/>
    <w:link w:val="BodyTextIndent"/>
    <w:uiPriority w:val="99"/>
    <w:semiHidden/>
    <w:rPr>
      <w:rFonts w:ascii="Times New Roman" w:hAnsi="Times New Roman"/>
    </w:rPr>
  </w:style>
  <w:style w:type="paragraph" w:customStyle="1" w:styleId="Default">
    <w:name w:val="Default"/>
    <w:pPr>
      <w:autoSpaceDE w:val="0"/>
      <w:autoSpaceDN w:val="0"/>
      <w:adjustRightInd w:val="0"/>
    </w:pPr>
    <w:rPr>
      <w:rFonts w:ascii="Georgia" w:hAnsi="Georgia" w:cs="Georgia"/>
      <w:color w:val="000000"/>
    </w:rPr>
  </w:style>
  <w:style w:type="table" w:customStyle="1" w:styleId="GridTable41">
    <w:name w:val="Grid Table 41"/>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ocID">
    <w:name w:val="DocID"/>
    <w:basedOn w:val="DefaultParagraphFont"/>
    <w:rPr>
      <w:rFonts w:ascii="TimesNewRomanPSMT" w:hAnsi="TimesNewRomanPSMT" w:cs="TimesNewRomanPSMT"/>
      <w:b w:val="0"/>
      <w:i w:val="0"/>
      <w:caps w:val="0"/>
      <w:vanish w:val="0"/>
      <w:color w:val="000000"/>
      <w:sz w:val="16"/>
      <w:u w:val="none"/>
    </w:rPr>
  </w:style>
  <w:style w:type="paragraph" w:customStyle="1" w:styleId="NumberedParagraphs">
    <w:name w:val="Numbered Paragraphs"/>
    <w:basedOn w:val="BodyTextChar1CharChar"/>
    <w:link w:val="NumberedParagraphsChar"/>
    <w:qFormat/>
    <w:rsid w:val="00364F2F"/>
    <w:pPr>
      <w:numPr>
        <w:numId w:val="4"/>
      </w:numPr>
      <w:ind w:left="0" w:firstLine="0"/>
    </w:pPr>
    <w:rPr>
      <w:rFonts w:ascii="Times New Roman" w:hAnsi="Times New Roman"/>
    </w:rPr>
  </w:style>
  <w:style w:type="character" w:customStyle="1" w:styleId="NumberedParagraphsChar">
    <w:name w:val="Numbered Paragraphs Char"/>
    <w:basedOn w:val="DefaultParagraphFont"/>
    <w:link w:val="NumberedParagraphs"/>
    <w:rsid w:val="00BA20D4"/>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Pr>
      <w:color w:val="808080"/>
      <w:shd w:val="clear" w:color="auto" w:fill="E6E6E6"/>
    </w:rPr>
  </w:style>
  <w:style w:type="paragraph" w:customStyle="1" w:styleId="AppendixParagraphs">
    <w:name w:val="Appendix Paragraphs"/>
    <w:basedOn w:val="Normal"/>
    <w:qFormat/>
    <w:rsid w:val="00102143"/>
    <w:pPr>
      <w:numPr>
        <w:numId w:val="3"/>
      </w:numPr>
      <w:ind w:left="0" w:firstLine="0"/>
    </w:pPr>
    <w:rPr>
      <w:rFonts w:cs="Times New Roman"/>
    </w:rPr>
  </w:style>
  <w:style w:type="paragraph" w:styleId="Caption">
    <w:name w:val="caption"/>
    <w:basedOn w:val="Normal"/>
    <w:next w:val="Normal"/>
    <w:uiPriority w:val="35"/>
    <w:unhideWhenUsed/>
    <w:qFormat/>
    <w:rsid w:val="00BB50F1"/>
    <w:pPr>
      <w:keepNext/>
      <w:spacing w:after="200"/>
      <w:jc w:val="center"/>
    </w:pPr>
    <w:rPr>
      <w:b/>
      <w:iCs/>
      <w:sz w:val="20"/>
      <w:szCs w:val="18"/>
    </w:rPr>
  </w:style>
  <w:style w:type="paragraph" w:styleId="NoSpacing">
    <w:name w:val="No Spacing"/>
    <w:uiPriority w:val="1"/>
    <w:qFormat/>
    <w:rsid w:val="00B27CEC"/>
  </w:style>
  <w:style w:type="character" w:customStyle="1" w:styleId="UnresolvedMention2">
    <w:name w:val="Unresolved Mention2"/>
    <w:basedOn w:val="DefaultParagraphFont"/>
    <w:uiPriority w:val="99"/>
    <w:semiHidden/>
    <w:unhideWhenUsed/>
    <w:rsid w:val="00D42E51"/>
    <w:rPr>
      <w:color w:val="808080"/>
      <w:shd w:val="clear" w:color="auto" w:fill="E6E6E6"/>
    </w:rPr>
  </w:style>
  <w:style w:type="character" w:customStyle="1" w:styleId="normaltextrun">
    <w:name w:val="normaltextrun"/>
    <w:basedOn w:val="DefaultParagraphFont"/>
    <w:rsid w:val="00182BD3"/>
  </w:style>
  <w:style w:type="character" w:customStyle="1" w:styleId="UnresolvedMention">
    <w:name w:val="Unresolved Mention"/>
    <w:basedOn w:val="DefaultParagraphFont"/>
    <w:uiPriority w:val="99"/>
    <w:unhideWhenUsed/>
    <w:rsid w:val="007B6570"/>
    <w:rPr>
      <w:color w:val="808080"/>
      <w:shd w:val="clear" w:color="auto" w:fill="E6E6E6"/>
    </w:rPr>
  </w:style>
  <w:style w:type="paragraph" w:customStyle="1" w:styleId="bullets">
    <w:name w:val="bullets"/>
    <w:basedOn w:val="NumberedParagraphs"/>
    <w:link w:val="bulletsChar"/>
    <w:qFormat/>
    <w:rsid w:val="00F12EC4"/>
    <w:pPr>
      <w:numPr>
        <w:numId w:val="26"/>
      </w:numPr>
    </w:pPr>
  </w:style>
  <w:style w:type="character" w:customStyle="1" w:styleId="bulletsChar">
    <w:name w:val="bullets Char"/>
    <w:basedOn w:val="NumberedParagraphsChar"/>
    <w:link w:val="bullets"/>
    <w:rsid w:val="005A226C"/>
    <w:rPr>
      <w:rFonts w:ascii="Times New Roman" w:eastAsia="Times New Roman" w:hAnsi="Times New Roman" w:cs="Times New Roman"/>
    </w:rPr>
  </w:style>
  <w:style w:type="character" w:styleId="PlaceholderText">
    <w:name w:val="Placeholder Text"/>
    <w:basedOn w:val="DefaultParagraphFont"/>
    <w:uiPriority w:val="99"/>
    <w:semiHidden/>
    <w:rsid w:val="003A5988"/>
    <w:rPr>
      <w:color w:val="808080"/>
    </w:rPr>
  </w:style>
  <w:style w:type="character" w:styleId="Mention">
    <w:name w:val="Mention"/>
    <w:basedOn w:val="DefaultParagraphFont"/>
    <w:uiPriority w:val="99"/>
    <w:unhideWhenUsed/>
    <w:rsid w:val="00B106ED"/>
    <w:rPr>
      <w:color w:val="2B579A"/>
      <w:shd w:val="clear" w:color="auto" w:fill="E1DFDD"/>
    </w:rPr>
  </w:style>
  <w:style w:type="paragraph" w:customStyle="1" w:styleId="Footnote">
    <w:name w:val="Footnote"/>
    <w:basedOn w:val="FootnoteText"/>
    <w:qFormat/>
    <w:rsid w:val="008A6486"/>
    <w:pPr>
      <w:spacing w:after="160"/>
      <w:jc w:val="left"/>
    </w:pPr>
    <w:rPr>
      <w:rFonts w:ascii="Times New Roman" w:eastAsiaTheme="minorHAnsi" w:hAnsi="Times New Roman" w:cs="Times New Roman"/>
    </w:rPr>
  </w:style>
  <w:style w:type="paragraph" w:styleId="ListBullet">
    <w:name w:val="List Bullet"/>
    <w:basedOn w:val="Normal"/>
    <w:uiPriority w:val="99"/>
    <w:unhideWhenUsed/>
    <w:rsid w:val="005102B9"/>
    <w:pPr>
      <w:numPr>
        <w:numId w:val="5"/>
      </w:numPr>
      <w:contextualSpacing/>
    </w:pPr>
  </w:style>
  <w:style w:type="paragraph" w:styleId="TOC4">
    <w:name w:val="toc 4"/>
    <w:basedOn w:val="Normal"/>
    <w:next w:val="Normal"/>
    <w:autoRedefine/>
    <w:uiPriority w:val="39"/>
    <w:unhideWhenUsed/>
    <w:rsid w:val="00C122A9"/>
    <w:pPr>
      <w:spacing w:after="100" w:line="259" w:lineRule="auto"/>
      <w:ind w:left="660"/>
      <w:jc w:val="left"/>
    </w:pPr>
    <w:rPr>
      <w:rFonts w:asciiTheme="minorHAnsi" w:hAnsiTheme="minorHAnsi"/>
      <w:sz w:val="22"/>
      <w:szCs w:val="22"/>
    </w:rPr>
  </w:style>
  <w:style w:type="paragraph" w:styleId="TOC5">
    <w:name w:val="toc 5"/>
    <w:basedOn w:val="Normal"/>
    <w:next w:val="Normal"/>
    <w:autoRedefine/>
    <w:uiPriority w:val="39"/>
    <w:unhideWhenUsed/>
    <w:rsid w:val="00C122A9"/>
    <w:pPr>
      <w:spacing w:after="100" w:line="259" w:lineRule="auto"/>
      <w:ind w:left="880"/>
      <w:jc w:val="left"/>
    </w:pPr>
    <w:rPr>
      <w:rFonts w:asciiTheme="minorHAnsi" w:hAnsiTheme="minorHAnsi"/>
      <w:sz w:val="22"/>
      <w:szCs w:val="22"/>
    </w:rPr>
  </w:style>
  <w:style w:type="paragraph" w:styleId="TOC6">
    <w:name w:val="toc 6"/>
    <w:basedOn w:val="Normal"/>
    <w:next w:val="Normal"/>
    <w:autoRedefine/>
    <w:uiPriority w:val="39"/>
    <w:unhideWhenUsed/>
    <w:rsid w:val="00C122A9"/>
    <w:pPr>
      <w:spacing w:after="100" w:line="259" w:lineRule="auto"/>
      <w:ind w:left="1100"/>
      <w:jc w:val="left"/>
    </w:pPr>
    <w:rPr>
      <w:rFonts w:asciiTheme="minorHAnsi" w:hAnsiTheme="minorHAnsi"/>
      <w:sz w:val="22"/>
      <w:szCs w:val="22"/>
    </w:rPr>
  </w:style>
  <w:style w:type="paragraph" w:styleId="TOC7">
    <w:name w:val="toc 7"/>
    <w:basedOn w:val="Normal"/>
    <w:next w:val="Normal"/>
    <w:autoRedefine/>
    <w:uiPriority w:val="39"/>
    <w:unhideWhenUsed/>
    <w:rsid w:val="00C122A9"/>
    <w:pPr>
      <w:spacing w:after="100" w:line="259" w:lineRule="auto"/>
      <w:ind w:left="1320"/>
      <w:jc w:val="left"/>
    </w:pPr>
    <w:rPr>
      <w:rFonts w:asciiTheme="minorHAnsi" w:hAnsiTheme="minorHAnsi"/>
      <w:sz w:val="22"/>
      <w:szCs w:val="22"/>
    </w:rPr>
  </w:style>
  <w:style w:type="paragraph" w:styleId="TOC8">
    <w:name w:val="toc 8"/>
    <w:basedOn w:val="Normal"/>
    <w:next w:val="Normal"/>
    <w:autoRedefine/>
    <w:uiPriority w:val="39"/>
    <w:unhideWhenUsed/>
    <w:rsid w:val="00C122A9"/>
    <w:pPr>
      <w:spacing w:after="100" w:line="259" w:lineRule="auto"/>
      <w:ind w:left="1540"/>
      <w:jc w:val="left"/>
    </w:pPr>
    <w:rPr>
      <w:rFonts w:asciiTheme="minorHAnsi" w:hAnsiTheme="minorHAnsi"/>
      <w:sz w:val="22"/>
      <w:szCs w:val="22"/>
    </w:rPr>
  </w:style>
  <w:style w:type="paragraph" w:styleId="TOC9">
    <w:name w:val="toc 9"/>
    <w:basedOn w:val="Normal"/>
    <w:next w:val="Normal"/>
    <w:autoRedefine/>
    <w:uiPriority w:val="39"/>
    <w:unhideWhenUsed/>
    <w:rsid w:val="00C122A9"/>
    <w:pPr>
      <w:spacing w:after="100" w:line="259" w:lineRule="auto"/>
      <w:ind w:left="1760"/>
      <w:jc w:val="left"/>
    </w:pPr>
    <w:rPr>
      <w:rFonts w:asciiTheme="minorHAnsi" w:hAnsiTheme="minorHAnsi"/>
      <w:sz w:val="22"/>
      <w:szCs w:val="22"/>
    </w:rPr>
  </w:style>
  <w:style w:type="paragraph" w:customStyle="1" w:styleId="TabletextR2">
    <w:name w:val="Tabletext R2"/>
    <w:basedOn w:val="Normal"/>
    <w:rsid w:val="00407862"/>
    <w:pPr>
      <w:keepNext/>
      <w:widowControl w:val="0"/>
      <w:spacing w:before="120" w:after="60" w:line="240" w:lineRule="auto"/>
      <w:jc w:val="left"/>
    </w:pPr>
    <w:rPr>
      <w:rFonts w:ascii="TimesNewRomanPSMT" w:eastAsia="Georgia" w:hAnsi="TimesNewRomanPSMT" w:cs="Georgia"/>
      <w:b/>
      <w:sz w:val="18"/>
      <w:szCs w:val="20"/>
    </w:rPr>
  </w:style>
  <w:style w:type="paragraph" w:customStyle="1" w:styleId="TabletextR3">
    <w:name w:val="Tabletext R3"/>
    <w:basedOn w:val="Normal"/>
    <w:rsid w:val="00407862"/>
    <w:pPr>
      <w:keepNext/>
      <w:widowControl w:val="0"/>
      <w:spacing w:before="120" w:after="60" w:line="240" w:lineRule="auto"/>
      <w:jc w:val="left"/>
    </w:pPr>
    <w:rPr>
      <w:rFonts w:ascii="TimesNewRomanPSMT" w:eastAsia="Georgia" w:hAnsi="TimesNewRomanPSMT" w:cs="Georgia"/>
      <w:sz w:val="18"/>
      <w:szCs w:val="20"/>
    </w:rPr>
  </w:style>
  <w:style w:type="paragraph" w:customStyle="1" w:styleId="ReportName">
    <w:name w:val="Report Name"/>
    <w:basedOn w:val="BodyText"/>
    <w:rsid w:val="00407862"/>
    <w:pPr>
      <w:numPr>
        <w:numId w:val="0"/>
      </w:numPr>
      <w:spacing w:after="240" w:line="264" w:lineRule="auto"/>
      <w:ind w:left="1440"/>
    </w:pPr>
    <w:rPr>
      <w:rFonts w:ascii="TimesNewRomanPSMT" w:hAnsi="TimesNewRomanPSMT"/>
      <w:color w:val="808080"/>
      <w:sz w:val="52"/>
      <w:szCs w:val="20"/>
    </w:rPr>
  </w:style>
  <w:style w:type="paragraph" w:customStyle="1" w:styleId="TitleInformation">
    <w:name w:val="Title Information"/>
    <w:basedOn w:val="Normal"/>
    <w:rsid w:val="00E230F5"/>
    <w:pPr>
      <w:spacing w:after="0" w:line="240" w:lineRule="auto"/>
      <w:jc w:val="left"/>
    </w:pPr>
    <w:rPr>
      <w:rFonts w:ascii="AdvOT3f82cb7c+20" w:eastAsia="Georgia" w:hAnsi="AdvOT3f82cb7c+20" w:cs="Georgia"/>
      <w:b/>
      <w:sz w:val="28"/>
    </w:rPr>
  </w:style>
  <w:style w:type="paragraph" w:customStyle="1" w:styleId="BulletParagraph">
    <w:name w:val="Bullet Paragraph"/>
    <w:basedOn w:val="NumberedParagraphs"/>
    <w:link w:val="BulletParagraphChar"/>
    <w:qFormat/>
    <w:rsid w:val="00FB6B1D"/>
    <w:pPr>
      <w:numPr>
        <w:numId w:val="17"/>
      </w:numPr>
    </w:pPr>
    <w:rPr>
      <w:rFonts w:eastAsia="Georgia" w:cs="Georgia"/>
    </w:rPr>
  </w:style>
  <w:style w:type="character" w:customStyle="1" w:styleId="BulletParagraphChar">
    <w:name w:val="Bullet Paragraph Char"/>
    <w:basedOn w:val="NumberedParagraphsChar"/>
    <w:link w:val="BulletParagraph"/>
    <w:rsid w:val="00B06A9B"/>
    <w:rPr>
      <w:rFonts w:ascii="Times New Roman" w:eastAsia="Georgia" w:hAnsi="Times New Roman" w:cs="Georgia"/>
    </w:rPr>
  </w:style>
  <w:style w:type="paragraph" w:customStyle="1" w:styleId="TableParagraph">
    <w:name w:val="Table Paragraph"/>
    <w:basedOn w:val="Normal"/>
    <w:uiPriority w:val="1"/>
    <w:qFormat/>
    <w:rsid w:val="00846847"/>
    <w:pPr>
      <w:widowControl w:val="0"/>
      <w:autoSpaceDE w:val="0"/>
      <w:autoSpaceDN w:val="0"/>
      <w:spacing w:before="4" w:after="0" w:line="125" w:lineRule="exact"/>
      <w:jc w:val="left"/>
    </w:pPr>
    <w:rPr>
      <w:rFonts w:ascii="TimesNewRomanPSMT" w:eastAsia="TimesNewRomanPSMT" w:hAnsi="TimesNewRomanPSMT" w:cs="TimesNewRomanPS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0813">
      <w:bodyDiv w:val="1"/>
      <w:marLeft w:val="0"/>
      <w:marRight w:val="0"/>
      <w:marTop w:val="0"/>
      <w:marBottom w:val="0"/>
      <w:divBdr>
        <w:top w:val="none" w:sz="0" w:space="0" w:color="auto"/>
        <w:left w:val="none" w:sz="0" w:space="0" w:color="auto"/>
        <w:bottom w:val="none" w:sz="0" w:space="0" w:color="auto"/>
        <w:right w:val="none" w:sz="0" w:space="0" w:color="auto"/>
      </w:divBdr>
    </w:div>
    <w:div w:id="92941793">
      <w:bodyDiv w:val="1"/>
      <w:marLeft w:val="0"/>
      <w:marRight w:val="0"/>
      <w:marTop w:val="0"/>
      <w:marBottom w:val="0"/>
      <w:divBdr>
        <w:top w:val="none" w:sz="0" w:space="0" w:color="auto"/>
        <w:left w:val="none" w:sz="0" w:space="0" w:color="auto"/>
        <w:bottom w:val="none" w:sz="0" w:space="0" w:color="auto"/>
        <w:right w:val="none" w:sz="0" w:space="0" w:color="auto"/>
      </w:divBdr>
    </w:div>
    <w:div w:id="127287519">
      <w:bodyDiv w:val="1"/>
      <w:marLeft w:val="0"/>
      <w:marRight w:val="0"/>
      <w:marTop w:val="0"/>
      <w:marBottom w:val="0"/>
      <w:divBdr>
        <w:top w:val="none" w:sz="0" w:space="0" w:color="auto"/>
        <w:left w:val="none" w:sz="0" w:space="0" w:color="auto"/>
        <w:bottom w:val="none" w:sz="0" w:space="0" w:color="auto"/>
        <w:right w:val="none" w:sz="0" w:space="0" w:color="auto"/>
      </w:divBdr>
    </w:div>
    <w:div w:id="127355976">
      <w:bodyDiv w:val="1"/>
      <w:marLeft w:val="0"/>
      <w:marRight w:val="0"/>
      <w:marTop w:val="0"/>
      <w:marBottom w:val="0"/>
      <w:divBdr>
        <w:top w:val="none" w:sz="0" w:space="0" w:color="auto"/>
        <w:left w:val="none" w:sz="0" w:space="0" w:color="auto"/>
        <w:bottom w:val="none" w:sz="0" w:space="0" w:color="auto"/>
        <w:right w:val="none" w:sz="0" w:space="0" w:color="auto"/>
      </w:divBdr>
    </w:div>
    <w:div w:id="150370240">
      <w:bodyDiv w:val="1"/>
      <w:marLeft w:val="0"/>
      <w:marRight w:val="0"/>
      <w:marTop w:val="0"/>
      <w:marBottom w:val="0"/>
      <w:divBdr>
        <w:top w:val="none" w:sz="0" w:space="0" w:color="auto"/>
        <w:left w:val="none" w:sz="0" w:space="0" w:color="auto"/>
        <w:bottom w:val="none" w:sz="0" w:space="0" w:color="auto"/>
        <w:right w:val="none" w:sz="0" w:space="0" w:color="auto"/>
      </w:divBdr>
    </w:div>
    <w:div w:id="190188768">
      <w:bodyDiv w:val="1"/>
      <w:marLeft w:val="0"/>
      <w:marRight w:val="0"/>
      <w:marTop w:val="0"/>
      <w:marBottom w:val="0"/>
      <w:divBdr>
        <w:top w:val="none" w:sz="0" w:space="0" w:color="auto"/>
        <w:left w:val="none" w:sz="0" w:space="0" w:color="auto"/>
        <w:bottom w:val="none" w:sz="0" w:space="0" w:color="auto"/>
        <w:right w:val="none" w:sz="0" w:space="0" w:color="auto"/>
      </w:divBdr>
    </w:div>
    <w:div w:id="190531337">
      <w:bodyDiv w:val="1"/>
      <w:marLeft w:val="0"/>
      <w:marRight w:val="0"/>
      <w:marTop w:val="0"/>
      <w:marBottom w:val="0"/>
      <w:divBdr>
        <w:top w:val="none" w:sz="0" w:space="0" w:color="auto"/>
        <w:left w:val="none" w:sz="0" w:space="0" w:color="auto"/>
        <w:bottom w:val="none" w:sz="0" w:space="0" w:color="auto"/>
        <w:right w:val="none" w:sz="0" w:space="0" w:color="auto"/>
      </w:divBdr>
    </w:div>
    <w:div w:id="195045605">
      <w:bodyDiv w:val="1"/>
      <w:marLeft w:val="0"/>
      <w:marRight w:val="0"/>
      <w:marTop w:val="0"/>
      <w:marBottom w:val="0"/>
      <w:divBdr>
        <w:top w:val="none" w:sz="0" w:space="0" w:color="auto"/>
        <w:left w:val="none" w:sz="0" w:space="0" w:color="auto"/>
        <w:bottom w:val="none" w:sz="0" w:space="0" w:color="auto"/>
        <w:right w:val="none" w:sz="0" w:space="0" w:color="auto"/>
      </w:divBdr>
    </w:div>
    <w:div w:id="217517180">
      <w:bodyDiv w:val="1"/>
      <w:marLeft w:val="0"/>
      <w:marRight w:val="0"/>
      <w:marTop w:val="0"/>
      <w:marBottom w:val="0"/>
      <w:divBdr>
        <w:top w:val="none" w:sz="0" w:space="0" w:color="auto"/>
        <w:left w:val="none" w:sz="0" w:space="0" w:color="auto"/>
        <w:bottom w:val="none" w:sz="0" w:space="0" w:color="auto"/>
        <w:right w:val="none" w:sz="0" w:space="0" w:color="auto"/>
      </w:divBdr>
    </w:div>
    <w:div w:id="222833377">
      <w:bodyDiv w:val="1"/>
      <w:marLeft w:val="0"/>
      <w:marRight w:val="0"/>
      <w:marTop w:val="0"/>
      <w:marBottom w:val="0"/>
      <w:divBdr>
        <w:top w:val="none" w:sz="0" w:space="0" w:color="auto"/>
        <w:left w:val="none" w:sz="0" w:space="0" w:color="auto"/>
        <w:bottom w:val="none" w:sz="0" w:space="0" w:color="auto"/>
        <w:right w:val="none" w:sz="0" w:space="0" w:color="auto"/>
      </w:divBdr>
    </w:div>
    <w:div w:id="258147847">
      <w:bodyDiv w:val="1"/>
      <w:marLeft w:val="0"/>
      <w:marRight w:val="0"/>
      <w:marTop w:val="0"/>
      <w:marBottom w:val="0"/>
      <w:divBdr>
        <w:top w:val="none" w:sz="0" w:space="0" w:color="auto"/>
        <w:left w:val="none" w:sz="0" w:space="0" w:color="auto"/>
        <w:bottom w:val="none" w:sz="0" w:space="0" w:color="auto"/>
        <w:right w:val="none" w:sz="0" w:space="0" w:color="auto"/>
      </w:divBdr>
    </w:div>
    <w:div w:id="305404745">
      <w:bodyDiv w:val="1"/>
      <w:marLeft w:val="0"/>
      <w:marRight w:val="0"/>
      <w:marTop w:val="0"/>
      <w:marBottom w:val="0"/>
      <w:divBdr>
        <w:top w:val="none" w:sz="0" w:space="0" w:color="auto"/>
        <w:left w:val="none" w:sz="0" w:space="0" w:color="auto"/>
        <w:bottom w:val="none" w:sz="0" w:space="0" w:color="auto"/>
        <w:right w:val="none" w:sz="0" w:space="0" w:color="auto"/>
      </w:divBdr>
    </w:div>
    <w:div w:id="323246595">
      <w:bodyDiv w:val="1"/>
      <w:marLeft w:val="0"/>
      <w:marRight w:val="0"/>
      <w:marTop w:val="0"/>
      <w:marBottom w:val="0"/>
      <w:divBdr>
        <w:top w:val="none" w:sz="0" w:space="0" w:color="auto"/>
        <w:left w:val="none" w:sz="0" w:space="0" w:color="auto"/>
        <w:bottom w:val="none" w:sz="0" w:space="0" w:color="auto"/>
        <w:right w:val="none" w:sz="0" w:space="0" w:color="auto"/>
      </w:divBdr>
    </w:div>
    <w:div w:id="356808936">
      <w:bodyDiv w:val="1"/>
      <w:marLeft w:val="0"/>
      <w:marRight w:val="0"/>
      <w:marTop w:val="0"/>
      <w:marBottom w:val="0"/>
      <w:divBdr>
        <w:top w:val="none" w:sz="0" w:space="0" w:color="auto"/>
        <w:left w:val="none" w:sz="0" w:space="0" w:color="auto"/>
        <w:bottom w:val="none" w:sz="0" w:space="0" w:color="auto"/>
        <w:right w:val="none" w:sz="0" w:space="0" w:color="auto"/>
      </w:divBdr>
    </w:div>
    <w:div w:id="362638619">
      <w:bodyDiv w:val="1"/>
      <w:marLeft w:val="0"/>
      <w:marRight w:val="0"/>
      <w:marTop w:val="0"/>
      <w:marBottom w:val="0"/>
      <w:divBdr>
        <w:top w:val="none" w:sz="0" w:space="0" w:color="auto"/>
        <w:left w:val="none" w:sz="0" w:space="0" w:color="auto"/>
        <w:bottom w:val="none" w:sz="0" w:space="0" w:color="auto"/>
        <w:right w:val="none" w:sz="0" w:space="0" w:color="auto"/>
      </w:divBdr>
    </w:div>
    <w:div w:id="381828553">
      <w:bodyDiv w:val="1"/>
      <w:marLeft w:val="0"/>
      <w:marRight w:val="0"/>
      <w:marTop w:val="0"/>
      <w:marBottom w:val="0"/>
      <w:divBdr>
        <w:top w:val="none" w:sz="0" w:space="0" w:color="auto"/>
        <w:left w:val="none" w:sz="0" w:space="0" w:color="auto"/>
        <w:bottom w:val="none" w:sz="0" w:space="0" w:color="auto"/>
        <w:right w:val="none" w:sz="0" w:space="0" w:color="auto"/>
      </w:divBdr>
    </w:div>
    <w:div w:id="387538443">
      <w:bodyDiv w:val="1"/>
      <w:marLeft w:val="0"/>
      <w:marRight w:val="0"/>
      <w:marTop w:val="0"/>
      <w:marBottom w:val="0"/>
      <w:divBdr>
        <w:top w:val="none" w:sz="0" w:space="0" w:color="auto"/>
        <w:left w:val="none" w:sz="0" w:space="0" w:color="auto"/>
        <w:bottom w:val="none" w:sz="0" w:space="0" w:color="auto"/>
        <w:right w:val="none" w:sz="0" w:space="0" w:color="auto"/>
      </w:divBdr>
    </w:div>
    <w:div w:id="406654364">
      <w:bodyDiv w:val="1"/>
      <w:marLeft w:val="0"/>
      <w:marRight w:val="0"/>
      <w:marTop w:val="0"/>
      <w:marBottom w:val="0"/>
      <w:divBdr>
        <w:top w:val="none" w:sz="0" w:space="0" w:color="auto"/>
        <w:left w:val="none" w:sz="0" w:space="0" w:color="auto"/>
        <w:bottom w:val="none" w:sz="0" w:space="0" w:color="auto"/>
        <w:right w:val="none" w:sz="0" w:space="0" w:color="auto"/>
      </w:divBdr>
    </w:div>
    <w:div w:id="421145988">
      <w:bodyDiv w:val="1"/>
      <w:marLeft w:val="0"/>
      <w:marRight w:val="0"/>
      <w:marTop w:val="0"/>
      <w:marBottom w:val="0"/>
      <w:divBdr>
        <w:top w:val="none" w:sz="0" w:space="0" w:color="auto"/>
        <w:left w:val="none" w:sz="0" w:space="0" w:color="auto"/>
        <w:bottom w:val="none" w:sz="0" w:space="0" w:color="auto"/>
        <w:right w:val="none" w:sz="0" w:space="0" w:color="auto"/>
      </w:divBdr>
    </w:div>
    <w:div w:id="424958441">
      <w:bodyDiv w:val="1"/>
      <w:marLeft w:val="0"/>
      <w:marRight w:val="0"/>
      <w:marTop w:val="0"/>
      <w:marBottom w:val="0"/>
      <w:divBdr>
        <w:top w:val="none" w:sz="0" w:space="0" w:color="auto"/>
        <w:left w:val="none" w:sz="0" w:space="0" w:color="auto"/>
        <w:bottom w:val="none" w:sz="0" w:space="0" w:color="auto"/>
        <w:right w:val="none" w:sz="0" w:space="0" w:color="auto"/>
      </w:divBdr>
    </w:div>
    <w:div w:id="426734523">
      <w:bodyDiv w:val="1"/>
      <w:marLeft w:val="0"/>
      <w:marRight w:val="0"/>
      <w:marTop w:val="0"/>
      <w:marBottom w:val="0"/>
      <w:divBdr>
        <w:top w:val="none" w:sz="0" w:space="0" w:color="auto"/>
        <w:left w:val="none" w:sz="0" w:space="0" w:color="auto"/>
        <w:bottom w:val="none" w:sz="0" w:space="0" w:color="auto"/>
        <w:right w:val="none" w:sz="0" w:space="0" w:color="auto"/>
      </w:divBdr>
    </w:div>
    <w:div w:id="429085983">
      <w:bodyDiv w:val="1"/>
      <w:marLeft w:val="0"/>
      <w:marRight w:val="0"/>
      <w:marTop w:val="0"/>
      <w:marBottom w:val="0"/>
      <w:divBdr>
        <w:top w:val="none" w:sz="0" w:space="0" w:color="auto"/>
        <w:left w:val="none" w:sz="0" w:space="0" w:color="auto"/>
        <w:bottom w:val="none" w:sz="0" w:space="0" w:color="auto"/>
        <w:right w:val="none" w:sz="0" w:space="0" w:color="auto"/>
      </w:divBdr>
    </w:div>
    <w:div w:id="462192017">
      <w:bodyDiv w:val="1"/>
      <w:marLeft w:val="0"/>
      <w:marRight w:val="0"/>
      <w:marTop w:val="0"/>
      <w:marBottom w:val="0"/>
      <w:divBdr>
        <w:top w:val="none" w:sz="0" w:space="0" w:color="auto"/>
        <w:left w:val="none" w:sz="0" w:space="0" w:color="auto"/>
        <w:bottom w:val="none" w:sz="0" w:space="0" w:color="auto"/>
        <w:right w:val="none" w:sz="0" w:space="0" w:color="auto"/>
      </w:divBdr>
    </w:div>
    <w:div w:id="477844527">
      <w:bodyDiv w:val="1"/>
      <w:marLeft w:val="0"/>
      <w:marRight w:val="0"/>
      <w:marTop w:val="0"/>
      <w:marBottom w:val="0"/>
      <w:divBdr>
        <w:top w:val="none" w:sz="0" w:space="0" w:color="auto"/>
        <w:left w:val="none" w:sz="0" w:space="0" w:color="auto"/>
        <w:bottom w:val="none" w:sz="0" w:space="0" w:color="auto"/>
        <w:right w:val="none" w:sz="0" w:space="0" w:color="auto"/>
      </w:divBdr>
    </w:div>
    <w:div w:id="484320954">
      <w:bodyDiv w:val="1"/>
      <w:marLeft w:val="0"/>
      <w:marRight w:val="0"/>
      <w:marTop w:val="0"/>
      <w:marBottom w:val="0"/>
      <w:divBdr>
        <w:top w:val="none" w:sz="0" w:space="0" w:color="auto"/>
        <w:left w:val="none" w:sz="0" w:space="0" w:color="auto"/>
        <w:bottom w:val="none" w:sz="0" w:space="0" w:color="auto"/>
        <w:right w:val="none" w:sz="0" w:space="0" w:color="auto"/>
      </w:divBdr>
    </w:div>
    <w:div w:id="518665243">
      <w:bodyDiv w:val="1"/>
      <w:marLeft w:val="0"/>
      <w:marRight w:val="0"/>
      <w:marTop w:val="0"/>
      <w:marBottom w:val="0"/>
      <w:divBdr>
        <w:top w:val="none" w:sz="0" w:space="0" w:color="auto"/>
        <w:left w:val="none" w:sz="0" w:space="0" w:color="auto"/>
        <w:bottom w:val="none" w:sz="0" w:space="0" w:color="auto"/>
        <w:right w:val="none" w:sz="0" w:space="0" w:color="auto"/>
      </w:divBdr>
    </w:div>
    <w:div w:id="537159305">
      <w:bodyDiv w:val="1"/>
      <w:marLeft w:val="0"/>
      <w:marRight w:val="0"/>
      <w:marTop w:val="0"/>
      <w:marBottom w:val="0"/>
      <w:divBdr>
        <w:top w:val="none" w:sz="0" w:space="0" w:color="auto"/>
        <w:left w:val="none" w:sz="0" w:space="0" w:color="auto"/>
        <w:bottom w:val="none" w:sz="0" w:space="0" w:color="auto"/>
        <w:right w:val="none" w:sz="0" w:space="0" w:color="auto"/>
      </w:divBdr>
    </w:div>
    <w:div w:id="548955741">
      <w:bodyDiv w:val="1"/>
      <w:marLeft w:val="0"/>
      <w:marRight w:val="0"/>
      <w:marTop w:val="0"/>
      <w:marBottom w:val="0"/>
      <w:divBdr>
        <w:top w:val="none" w:sz="0" w:space="0" w:color="auto"/>
        <w:left w:val="none" w:sz="0" w:space="0" w:color="auto"/>
        <w:bottom w:val="none" w:sz="0" w:space="0" w:color="auto"/>
        <w:right w:val="none" w:sz="0" w:space="0" w:color="auto"/>
      </w:divBdr>
    </w:div>
    <w:div w:id="568930696">
      <w:bodyDiv w:val="1"/>
      <w:marLeft w:val="0"/>
      <w:marRight w:val="0"/>
      <w:marTop w:val="0"/>
      <w:marBottom w:val="0"/>
      <w:divBdr>
        <w:top w:val="none" w:sz="0" w:space="0" w:color="auto"/>
        <w:left w:val="none" w:sz="0" w:space="0" w:color="auto"/>
        <w:bottom w:val="none" w:sz="0" w:space="0" w:color="auto"/>
        <w:right w:val="none" w:sz="0" w:space="0" w:color="auto"/>
      </w:divBdr>
    </w:div>
    <w:div w:id="575357750">
      <w:bodyDiv w:val="1"/>
      <w:marLeft w:val="0"/>
      <w:marRight w:val="0"/>
      <w:marTop w:val="0"/>
      <w:marBottom w:val="0"/>
      <w:divBdr>
        <w:top w:val="none" w:sz="0" w:space="0" w:color="auto"/>
        <w:left w:val="none" w:sz="0" w:space="0" w:color="auto"/>
        <w:bottom w:val="none" w:sz="0" w:space="0" w:color="auto"/>
        <w:right w:val="none" w:sz="0" w:space="0" w:color="auto"/>
      </w:divBdr>
    </w:div>
    <w:div w:id="599795904">
      <w:bodyDiv w:val="1"/>
      <w:marLeft w:val="0"/>
      <w:marRight w:val="0"/>
      <w:marTop w:val="0"/>
      <w:marBottom w:val="0"/>
      <w:divBdr>
        <w:top w:val="none" w:sz="0" w:space="0" w:color="auto"/>
        <w:left w:val="none" w:sz="0" w:space="0" w:color="auto"/>
        <w:bottom w:val="none" w:sz="0" w:space="0" w:color="auto"/>
        <w:right w:val="none" w:sz="0" w:space="0" w:color="auto"/>
      </w:divBdr>
    </w:div>
    <w:div w:id="632253877">
      <w:bodyDiv w:val="1"/>
      <w:marLeft w:val="0"/>
      <w:marRight w:val="0"/>
      <w:marTop w:val="0"/>
      <w:marBottom w:val="0"/>
      <w:divBdr>
        <w:top w:val="none" w:sz="0" w:space="0" w:color="auto"/>
        <w:left w:val="none" w:sz="0" w:space="0" w:color="auto"/>
        <w:bottom w:val="none" w:sz="0" w:space="0" w:color="auto"/>
        <w:right w:val="none" w:sz="0" w:space="0" w:color="auto"/>
      </w:divBdr>
    </w:div>
    <w:div w:id="654533525">
      <w:bodyDiv w:val="1"/>
      <w:marLeft w:val="0"/>
      <w:marRight w:val="0"/>
      <w:marTop w:val="0"/>
      <w:marBottom w:val="0"/>
      <w:divBdr>
        <w:top w:val="none" w:sz="0" w:space="0" w:color="auto"/>
        <w:left w:val="none" w:sz="0" w:space="0" w:color="auto"/>
        <w:bottom w:val="none" w:sz="0" w:space="0" w:color="auto"/>
        <w:right w:val="none" w:sz="0" w:space="0" w:color="auto"/>
      </w:divBdr>
    </w:div>
    <w:div w:id="656806197">
      <w:bodyDiv w:val="1"/>
      <w:marLeft w:val="0"/>
      <w:marRight w:val="0"/>
      <w:marTop w:val="0"/>
      <w:marBottom w:val="0"/>
      <w:divBdr>
        <w:top w:val="none" w:sz="0" w:space="0" w:color="auto"/>
        <w:left w:val="none" w:sz="0" w:space="0" w:color="auto"/>
        <w:bottom w:val="none" w:sz="0" w:space="0" w:color="auto"/>
        <w:right w:val="none" w:sz="0" w:space="0" w:color="auto"/>
      </w:divBdr>
    </w:div>
    <w:div w:id="660279946">
      <w:bodyDiv w:val="1"/>
      <w:marLeft w:val="0"/>
      <w:marRight w:val="0"/>
      <w:marTop w:val="0"/>
      <w:marBottom w:val="0"/>
      <w:divBdr>
        <w:top w:val="none" w:sz="0" w:space="0" w:color="auto"/>
        <w:left w:val="none" w:sz="0" w:space="0" w:color="auto"/>
        <w:bottom w:val="none" w:sz="0" w:space="0" w:color="auto"/>
        <w:right w:val="none" w:sz="0" w:space="0" w:color="auto"/>
      </w:divBdr>
    </w:div>
    <w:div w:id="661617683">
      <w:bodyDiv w:val="1"/>
      <w:marLeft w:val="0"/>
      <w:marRight w:val="0"/>
      <w:marTop w:val="0"/>
      <w:marBottom w:val="0"/>
      <w:divBdr>
        <w:top w:val="none" w:sz="0" w:space="0" w:color="auto"/>
        <w:left w:val="none" w:sz="0" w:space="0" w:color="auto"/>
        <w:bottom w:val="none" w:sz="0" w:space="0" w:color="auto"/>
        <w:right w:val="none" w:sz="0" w:space="0" w:color="auto"/>
      </w:divBdr>
    </w:div>
    <w:div w:id="671639164">
      <w:bodyDiv w:val="1"/>
      <w:marLeft w:val="0"/>
      <w:marRight w:val="0"/>
      <w:marTop w:val="0"/>
      <w:marBottom w:val="0"/>
      <w:divBdr>
        <w:top w:val="none" w:sz="0" w:space="0" w:color="auto"/>
        <w:left w:val="none" w:sz="0" w:space="0" w:color="auto"/>
        <w:bottom w:val="none" w:sz="0" w:space="0" w:color="auto"/>
        <w:right w:val="none" w:sz="0" w:space="0" w:color="auto"/>
      </w:divBdr>
    </w:div>
    <w:div w:id="716659514">
      <w:bodyDiv w:val="1"/>
      <w:marLeft w:val="0"/>
      <w:marRight w:val="0"/>
      <w:marTop w:val="0"/>
      <w:marBottom w:val="0"/>
      <w:divBdr>
        <w:top w:val="none" w:sz="0" w:space="0" w:color="auto"/>
        <w:left w:val="none" w:sz="0" w:space="0" w:color="auto"/>
        <w:bottom w:val="none" w:sz="0" w:space="0" w:color="auto"/>
        <w:right w:val="none" w:sz="0" w:space="0" w:color="auto"/>
      </w:divBdr>
    </w:div>
    <w:div w:id="718044442">
      <w:bodyDiv w:val="1"/>
      <w:marLeft w:val="0"/>
      <w:marRight w:val="0"/>
      <w:marTop w:val="0"/>
      <w:marBottom w:val="0"/>
      <w:divBdr>
        <w:top w:val="none" w:sz="0" w:space="0" w:color="auto"/>
        <w:left w:val="none" w:sz="0" w:space="0" w:color="auto"/>
        <w:bottom w:val="none" w:sz="0" w:space="0" w:color="auto"/>
        <w:right w:val="none" w:sz="0" w:space="0" w:color="auto"/>
      </w:divBdr>
    </w:div>
    <w:div w:id="743456081">
      <w:bodyDiv w:val="1"/>
      <w:marLeft w:val="0"/>
      <w:marRight w:val="0"/>
      <w:marTop w:val="0"/>
      <w:marBottom w:val="0"/>
      <w:divBdr>
        <w:top w:val="none" w:sz="0" w:space="0" w:color="auto"/>
        <w:left w:val="none" w:sz="0" w:space="0" w:color="auto"/>
        <w:bottom w:val="none" w:sz="0" w:space="0" w:color="auto"/>
        <w:right w:val="none" w:sz="0" w:space="0" w:color="auto"/>
      </w:divBdr>
    </w:div>
    <w:div w:id="781262609">
      <w:bodyDiv w:val="1"/>
      <w:marLeft w:val="0"/>
      <w:marRight w:val="0"/>
      <w:marTop w:val="0"/>
      <w:marBottom w:val="0"/>
      <w:divBdr>
        <w:top w:val="none" w:sz="0" w:space="0" w:color="auto"/>
        <w:left w:val="none" w:sz="0" w:space="0" w:color="auto"/>
        <w:bottom w:val="none" w:sz="0" w:space="0" w:color="auto"/>
        <w:right w:val="none" w:sz="0" w:space="0" w:color="auto"/>
      </w:divBdr>
    </w:div>
    <w:div w:id="782456326">
      <w:bodyDiv w:val="1"/>
      <w:marLeft w:val="0"/>
      <w:marRight w:val="0"/>
      <w:marTop w:val="0"/>
      <w:marBottom w:val="0"/>
      <w:divBdr>
        <w:top w:val="none" w:sz="0" w:space="0" w:color="auto"/>
        <w:left w:val="none" w:sz="0" w:space="0" w:color="auto"/>
        <w:bottom w:val="none" w:sz="0" w:space="0" w:color="auto"/>
        <w:right w:val="none" w:sz="0" w:space="0" w:color="auto"/>
      </w:divBdr>
    </w:div>
    <w:div w:id="793713191">
      <w:bodyDiv w:val="1"/>
      <w:marLeft w:val="0"/>
      <w:marRight w:val="0"/>
      <w:marTop w:val="0"/>
      <w:marBottom w:val="0"/>
      <w:divBdr>
        <w:top w:val="none" w:sz="0" w:space="0" w:color="auto"/>
        <w:left w:val="none" w:sz="0" w:space="0" w:color="auto"/>
        <w:bottom w:val="none" w:sz="0" w:space="0" w:color="auto"/>
        <w:right w:val="none" w:sz="0" w:space="0" w:color="auto"/>
      </w:divBdr>
    </w:div>
    <w:div w:id="808744733">
      <w:bodyDiv w:val="1"/>
      <w:marLeft w:val="0"/>
      <w:marRight w:val="0"/>
      <w:marTop w:val="0"/>
      <w:marBottom w:val="0"/>
      <w:divBdr>
        <w:top w:val="none" w:sz="0" w:space="0" w:color="auto"/>
        <w:left w:val="none" w:sz="0" w:space="0" w:color="auto"/>
        <w:bottom w:val="none" w:sz="0" w:space="0" w:color="auto"/>
        <w:right w:val="none" w:sz="0" w:space="0" w:color="auto"/>
      </w:divBdr>
    </w:div>
    <w:div w:id="818838848">
      <w:bodyDiv w:val="1"/>
      <w:marLeft w:val="0"/>
      <w:marRight w:val="0"/>
      <w:marTop w:val="0"/>
      <w:marBottom w:val="0"/>
      <w:divBdr>
        <w:top w:val="none" w:sz="0" w:space="0" w:color="auto"/>
        <w:left w:val="none" w:sz="0" w:space="0" w:color="auto"/>
        <w:bottom w:val="none" w:sz="0" w:space="0" w:color="auto"/>
        <w:right w:val="none" w:sz="0" w:space="0" w:color="auto"/>
      </w:divBdr>
    </w:div>
    <w:div w:id="829906527">
      <w:bodyDiv w:val="1"/>
      <w:marLeft w:val="0"/>
      <w:marRight w:val="0"/>
      <w:marTop w:val="0"/>
      <w:marBottom w:val="0"/>
      <w:divBdr>
        <w:top w:val="none" w:sz="0" w:space="0" w:color="auto"/>
        <w:left w:val="none" w:sz="0" w:space="0" w:color="auto"/>
        <w:bottom w:val="none" w:sz="0" w:space="0" w:color="auto"/>
        <w:right w:val="none" w:sz="0" w:space="0" w:color="auto"/>
      </w:divBdr>
    </w:div>
    <w:div w:id="890924992">
      <w:bodyDiv w:val="1"/>
      <w:marLeft w:val="0"/>
      <w:marRight w:val="0"/>
      <w:marTop w:val="0"/>
      <w:marBottom w:val="0"/>
      <w:divBdr>
        <w:top w:val="none" w:sz="0" w:space="0" w:color="auto"/>
        <w:left w:val="none" w:sz="0" w:space="0" w:color="auto"/>
        <w:bottom w:val="none" w:sz="0" w:space="0" w:color="auto"/>
        <w:right w:val="none" w:sz="0" w:space="0" w:color="auto"/>
      </w:divBdr>
    </w:div>
    <w:div w:id="915475749">
      <w:bodyDiv w:val="1"/>
      <w:marLeft w:val="0"/>
      <w:marRight w:val="0"/>
      <w:marTop w:val="0"/>
      <w:marBottom w:val="0"/>
      <w:divBdr>
        <w:top w:val="none" w:sz="0" w:space="0" w:color="auto"/>
        <w:left w:val="none" w:sz="0" w:space="0" w:color="auto"/>
        <w:bottom w:val="none" w:sz="0" w:space="0" w:color="auto"/>
        <w:right w:val="none" w:sz="0" w:space="0" w:color="auto"/>
      </w:divBdr>
    </w:div>
    <w:div w:id="926577350">
      <w:bodyDiv w:val="1"/>
      <w:marLeft w:val="0"/>
      <w:marRight w:val="0"/>
      <w:marTop w:val="0"/>
      <w:marBottom w:val="0"/>
      <w:divBdr>
        <w:top w:val="none" w:sz="0" w:space="0" w:color="auto"/>
        <w:left w:val="none" w:sz="0" w:space="0" w:color="auto"/>
        <w:bottom w:val="none" w:sz="0" w:space="0" w:color="auto"/>
        <w:right w:val="none" w:sz="0" w:space="0" w:color="auto"/>
      </w:divBdr>
    </w:div>
    <w:div w:id="930164493">
      <w:bodyDiv w:val="1"/>
      <w:marLeft w:val="0"/>
      <w:marRight w:val="0"/>
      <w:marTop w:val="0"/>
      <w:marBottom w:val="0"/>
      <w:divBdr>
        <w:top w:val="none" w:sz="0" w:space="0" w:color="auto"/>
        <w:left w:val="none" w:sz="0" w:space="0" w:color="auto"/>
        <w:bottom w:val="none" w:sz="0" w:space="0" w:color="auto"/>
        <w:right w:val="none" w:sz="0" w:space="0" w:color="auto"/>
      </w:divBdr>
    </w:div>
    <w:div w:id="955915697">
      <w:bodyDiv w:val="1"/>
      <w:marLeft w:val="0"/>
      <w:marRight w:val="0"/>
      <w:marTop w:val="0"/>
      <w:marBottom w:val="0"/>
      <w:divBdr>
        <w:top w:val="none" w:sz="0" w:space="0" w:color="auto"/>
        <w:left w:val="none" w:sz="0" w:space="0" w:color="auto"/>
        <w:bottom w:val="none" w:sz="0" w:space="0" w:color="auto"/>
        <w:right w:val="none" w:sz="0" w:space="0" w:color="auto"/>
      </w:divBdr>
    </w:div>
    <w:div w:id="974870739">
      <w:bodyDiv w:val="1"/>
      <w:marLeft w:val="0"/>
      <w:marRight w:val="0"/>
      <w:marTop w:val="0"/>
      <w:marBottom w:val="0"/>
      <w:divBdr>
        <w:top w:val="none" w:sz="0" w:space="0" w:color="auto"/>
        <w:left w:val="none" w:sz="0" w:space="0" w:color="auto"/>
        <w:bottom w:val="none" w:sz="0" w:space="0" w:color="auto"/>
        <w:right w:val="none" w:sz="0" w:space="0" w:color="auto"/>
      </w:divBdr>
    </w:div>
    <w:div w:id="989401527">
      <w:bodyDiv w:val="1"/>
      <w:marLeft w:val="0"/>
      <w:marRight w:val="0"/>
      <w:marTop w:val="0"/>
      <w:marBottom w:val="0"/>
      <w:divBdr>
        <w:top w:val="none" w:sz="0" w:space="0" w:color="auto"/>
        <w:left w:val="none" w:sz="0" w:space="0" w:color="auto"/>
        <w:bottom w:val="none" w:sz="0" w:space="0" w:color="auto"/>
        <w:right w:val="none" w:sz="0" w:space="0" w:color="auto"/>
      </w:divBdr>
    </w:div>
    <w:div w:id="1019544833">
      <w:bodyDiv w:val="1"/>
      <w:marLeft w:val="0"/>
      <w:marRight w:val="0"/>
      <w:marTop w:val="0"/>
      <w:marBottom w:val="0"/>
      <w:divBdr>
        <w:top w:val="none" w:sz="0" w:space="0" w:color="auto"/>
        <w:left w:val="none" w:sz="0" w:space="0" w:color="auto"/>
        <w:bottom w:val="none" w:sz="0" w:space="0" w:color="auto"/>
        <w:right w:val="none" w:sz="0" w:space="0" w:color="auto"/>
      </w:divBdr>
    </w:div>
    <w:div w:id="1037656918">
      <w:bodyDiv w:val="1"/>
      <w:marLeft w:val="0"/>
      <w:marRight w:val="0"/>
      <w:marTop w:val="0"/>
      <w:marBottom w:val="0"/>
      <w:divBdr>
        <w:top w:val="none" w:sz="0" w:space="0" w:color="auto"/>
        <w:left w:val="none" w:sz="0" w:space="0" w:color="auto"/>
        <w:bottom w:val="none" w:sz="0" w:space="0" w:color="auto"/>
        <w:right w:val="none" w:sz="0" w:space="0" w:color="auto"/>
      </w:divBdr>
    </w:div>
    <w:div w:id="1038244254">
      <w:bodyDiv w:val="1"/>
      <w:marLeft w:val="0"/>
      <w:marRight w:val="0"/>
      <w:marTop w:val="0"/>
      <w:marBottom w:val="0"/>
      <w:divBdr>
        <w:top w:val="none" w:sz="0" w:space="0" w:color="auto"/>
        <w:left w:val="none" w:sz="0" w:space="0" w:color="auto"/>
        <w:bottom w:val="none" w:sz="0" w:space="0" w:color="auto"/>
        <w:right w:val="none" w:sz="0" w:space="0" w:color="auto"/>
      </w:divBdr>
    </w:div>
    <w:div w:id="1052534844">
      <w:bodyDiv w:val="1"/>
      <w:marLeft w:val="0"/>
      <w:marRight w:val="0"/>
      <w:marTop w:val="0"/>
      <w:marBottom w:val="0"/>
      <w:divBdr>
        <w:top w:val="none" w:sz="0" w:space="0" w:color="auto"/>
        <w:left w:val="none" w:sz="0" w:space="0" w:color="auto"/>
        <w:bottom w:val="none" w:sz="0" w:space="0" w:color="auto"/>
        <w:right w:val="none" w:sz="0" w:space="0" w:color="auto"/>
      </w:divBdr>
    </w:div>
    <w:div w:id="1062020246">
      <w:bodyDiv w:val="1"/>
      <w:marLeft w:val="0"/>
      <w:marRight w:val="0"/>
      <w:marTop w:val="0"/>
      <w:marBottom w:val="0"/>
      <w:divBdr>
        <w:top w:val="none" w:sz="0" w:space="0" w:color="auto"/>
        <w:left w:val="none" w:sz="0" w:space="0" w:color="auto"/>
        <w:bottom w:val="none" w:sz="0" w:space="0" w:color="auto"/>
        <w:right w:val="none" w:sz="0" w:space="0" w:color="auto"/>
      </w:divBdr>
    </w:div>
    <w:div w:id="1072192267">
      <w:bodyDiv w:val="1"/>
      <w:marLeft w:val="0"/>
      <w:marRight w:val="0"/>
      <w:marTop w:val="0"/>
      <w:marBottom w:val="0"/>
      <w:divBdr>
        <w:top w:val="none" w:sz="0" w:space="0" w:color="auto"/>
        <w:left w:val="none" w:sz="0" w:space="0" w:color="auto"/>
        <w:bottom w:val="none" w:sz="0" w:space="0" w:color="auto"/>
        <w:right w:val="none" w:sz="0" w:space="0" w:color="auto"/>
      </w:divBdr>
    </w:div>
    <w:div w:id="1104224281">
      <w:bodyDiv w:val="1"/>
      <w:marLeft w:val="0"/>
      <w:marRight w:val="0"/>
      <w:marTop w:val="0"/>
      <w:marBottom w:val="0"/>
      <w:divBdr>
        <w:top w:val="none" w:sz="0" w:space="0" w:color="auto"/>
        <w:left w:val="none" w:sz="0" w:space="0" w:color="auto"/>
        <w:bottom w:val="none" w:sz="0" w:space="0" w:color="auto"/>
        <w:right w:val="none" w:sz="0" w:space="0" w:color="auto"/>
      </w:divBdr>
    </w:div>
    <w:div w:id="1136528170">
      <w:bodyDiv w:val="1"/>
      <w:marLeft w:val="0"/>
      <w:marRight w:val="0"/>
      <w:marTop w:val="0"/>
      <w:marBottom w:val="0"/>
      <w:divBdr>
        <w:top w:val="none" w:sz="0" w:space="0" w:color="auto"/>
        <w:left w:val="none" w:sz="0" w:space="0" w:color="auto"/>
        <w:bottom w:val="none" w:sz="0" w:space="0" w:color="auto"/>
        <w:right w:val="none" w:sz="0" w:space="0" w:color="auto"/>
      </w:divBdr>
    </w:div>
    <w:div w:id="1140195841">
      <w:bodyDiv w:val="1"/>
      <w:marLeft w:val="0"/>
      <w:marRight w:val="0"/>
      <w:marTop w:val="0"/>
      <w:marBottom w:val="0"/>
      <w:divBdr>
        <w:top w:val="none" w:sz="0" w:space="0" w:color="auto"/>
        <w:left w:val="none" w:sz="0" w:space="0" w:color="auto"/>
        <w:bottom w:val="none" w:sz="0" w:space="0" w:color="auto"/>
        <w:right w:val="none" w:sz="0" w:space="0" w:color="auto"/>
      </w:divBdr>
    </w:div>
    <w:div w:id="1150443341">
      <w:bodyDiv w:val="1"/>
      <w:marLeft w:val="0"/>
      <w:marRight w:val="0"/>
      <w:marTop w:val="0"/>
      <w:marBottom w:val="0"/>
      <w:divBdr>
        <w:top w:val="none" w:sz="0" w:space="0" w:color="auto"/>
        <w:left w:val="none" w:sz="0" w:space="0" w:color="auto"/>
        <w:bottom w:val="none" w:sz="0" w:space="0" w:color="auto"/>
        <w:right w:val="none" w:sz="0" w:space="0" w:color="auto"/>
      </w:divBdr>
    </w:div>
    <w:div w:id="1163277018">
      <w:bodyDiv w:val="1"/>
      <w:marLeft w:val="0"/>
      <w:marRight w:val="0"/>
      <w:marTop w:val="0"/>
      <w:marBottom w:val="0"/>
      <w:divBdr>
        <w:top w:val="none" w:sz="0" w:space="0" w:color="auto"/>
        <w:left w:val="none" w:sz="0" w:space="0" w:color="auto"/>
        <w:bottom w:val="none" w:sz="0" w:space="0" w:color="auto"/>
        <w:right w:val="none" w:sz="0" w:space="0" w:color="auto"/>
      </w:divBdr>
    </w:div>
    <w:div w:id="1177503532">
      <w:bodyDiv w:val="1"/>
      <w:marLeft w:val="0"/>
      <w:marRight w:val="0"/>
      <w:marTop w:val="0"/>
      <w:marBottom w:val="0"/>
      <w:divBdr>
        <w:top w:val="none" w:sz="0" w:space="0" w:color="auto"/>
        <w:left w:val="none" w:sz="0" w:space="0" w:color="auto"/>
        <w:bottom w:val="none" w:sz="0" w:space="0" w:color="auto"/>
        <w:right w:val="none" w:sz="0" w:space="0" w:color="auto"/>
      </w:divBdr>
    </w:div>
    <w:div w:id="1187982529">
      <w:bodyDiv w:val="1"/>
      <w:marLeft w:val="0"/>
      <w:marRight w:val="0"/>
      <w:marTop w:val="0"/>
      <w:marBottom w:val="0"/>
      <w:divBdr>
        <w:top w:val="none" w:sz="0" w:space="0" w:color="auto"/>
        <w:left w:val="none" w:sz="0" w:space="0" w:color="auto"/>
        <w:bottom w:val="none" w:sz="0" w:space="0" w:color="auto"/>
        <w:right w:val="none" w:sz="0" w:space="0" w:color="auto"/>
      </w:divBdr>
    </w:div>
    <w:div w:id="1196693571">
      <w:bodyDiv w:val="1"/>
      <w:marLeft w:val="0"/>
      <w:marRight w:val="0"/>
      <w:marTop w:val="0"/>
      <w:marBottom w:val="0"/>
      <w:divBdr>
        <w:top w:val="none" w:sz="0" w:space="0" w:color="auto"/>
        <w:left w:val="none" w:sz="0" w:space="0" w:color="auto"/>
        <w:bottom w:val="none" w:sz="0" w:space="0" w:color="auto"/>
        <w:right w:val="none" w:sz="0" w:space="0" w:color="auto"/>
      </w:divBdr>
    </w:div>
    <w:div w:id="1202936643">
      <w:bodyDiv w:val="1"/>
      <w:marLeft w:val="0"/>
      <w:marRight w:val="0"/>
      <w:marTop w:val="0"/>
      <w:marBottom w:val="0"/>
      <w:divBdr>
        <w:top w:val="none" w:sz="0" w:space="0" w:color="auto"/>
        <w:left w:val="none" w:sz="0" w:space="0" w:color="auto"/>
        <w:bottom w:val="none" w:sz="0" w:space="0" w:color="auto"/>
        <w:right w:val="none" w:sz="0" w:space="0" w:color="auto"/>
      </w:divBdr>
    </w:div>
    <w:div w:id="1224297372">
      <w:bodyDiv w:val="1"/>
      <w:marLeft w:val="0"/>
      <w:marRight w:val="0"/>
      <w:marTop w:val="0"/>
      <w:marBottom w:val="0"/>
      <w:divBdr>
        <w:top w:val="none" w:sz="0" w:space="0" w:color="auto"/>
        <w:left w:val="none" w:sz="0" w:space="0" w:color="auto"/>
        <w:bottom w:val="none" w:sz="0" w:space="0" w:color="auto"/>
        <w:right w:val="none" w:sz="0" w:space="0" w:color="auto"/>
      </w:divBdr>
    </w:div>
    <w:div w:id="1227302037">
      <w:bodyDiv w:val="1"/>
      <w:marLeft w:val="0"/>
      <w:marRight w:val="0"/>
      <w:marTop w:val="0"/>
      <w:marBottom w:val="0"/>
      <w:divBdr>
        <w:top w:val="none" w:sz="0" w:space="0" w:color="auto"/>
        <w:left w:val="none" w:sz="0" w:space="0" w:color="auto"/>
        <w:bottom w:val="none" w:sz="0" w:space="0" w:color="auto"/>
        <w:right w:val="none" w:sz="0" w:space="0" w:color="auto"/>
      </w:divBdr>
    </w:div>
    <w:div w:id="1249315767">
      <w:bodyDiv w:val="1"/>
      <w:marLeft w:val="0"/>
      <w:marRight w:val="0"/>
      <w:marTop w:val="0"/>
      <w:marBottom w:val="0"/>
      <w:divBdr>
        <w:top w:val="none" w:sz="0" w:space="0" w:color="auto"/>
        <w:left w:val="none" w:sz="0" w:space="0" w:color="auto"/>
        <w:bottom w:val="none" w:sz="0" w:space="0" w:color="auto"/>
        <w:right w:val="none" w:sz="0" w:space="0" w:color="auto"/>
      </w:divBdr>
    </w:div>
    <w:div w:id="1288899331">
      <w:bodyDiv w:val="1"/>
      <w:marLeft w:val="0"/>
      <w:marRight w:val="0"/>
      <w:marTop w:val="0"/>
      <w:marBottom w:val="0"/>
      <w:divBdr>
        <w:top w:val="none" w:sz="0" w:space="0" w:color="auto"/>
        <w:left w:val="none" w:sz="0" w:space="0" w:color="auto"/>
        <w:bottom w:val="none" w:sz="0" w:space="0" w:color="auto"/>
        <w:right w:val="none" w:sz="0" w:space="0" w:color="auto"/>
      </w:divBdr>
    </w:div>
    <w:div w:id="1341666438">
      <w:bodyDiv w:val="1"/>
      <w:marLeft w:val="0"/>
      <w:marRight w:val="0"/>
      <w:marTop w:val="0"/>
      <w:marBottom w:val="0"/>
      <w:divBdr>
        <w:top w:val="none" w:sz="0" w:space="0" w:color="auto"/>
        <w:left w:val="none" w:sz="0" w:space="0" w:color="auto"/>
        <w:bottom w:val="none" w:sz="0" w:space="0" w:color="auto"/>
        <w:right w:val="none" w:sz="0" w:space="0" w:color="auto"/>
      </w:divBdr>
    </w:div>
    <w:div w:id="1355156480">
      <w:bodyDiv w:val="1"/>
      <w:marLeft w:val="0"/>
      <w:marRight w:val="0"/>
      <w:marTop w:val="0"/>
      <w:marBottom w:val="0"/>
      <w:divBdr>
        <w:top w:val="none" w:sz="0" w:space="0" w:color="auto"/>
        <w:left w:val="none" w:sz="0" w:space="0" w:color="auto"/>
        <w:bottom w:val="none" w:sz="0" w:space="0" w:color="auto"/>
        <w:right w:val="none" w:sz="0" w:space="0" w:color="auto"/>
      </w:divBdr>
    </w:div>
    <w:div w:id="1417484085">
      <w:bodyDiv w:val="1"/>
      <w:marLeft w:val="0"/>
      <w:marRight w:val="0"/>
      <w:marTop w:val="0"/>
      <w:marBottom w:val="0"/>
      <w:divBdr>
        <w:top w:val="none" w:sz="0" w:space="0" w:color="auto"/>
        <w:left w:val="none" w:sz="0" w:space="0" w:color="auto"/>
        <w:bottom w:val="none" w:sz="0" w:space="0" w:color="auto"/>
        <w:right w:val="none" w:sz="0" w:space="0" w:color="auto"/>
      </w:divBdr>
    </w:div>
    <w:div w:id="1418941176">
      <w:bodyDiv w:val="1"/>
      <w:marLeft w:val="0"/>
      <w:marRight w:val="0"/>
      <w:marTop w:val="0"/>
      <w:marBottom w:val="0"/>
      <w:divBdr>
        <w:top w:val="none" w:sz="0" w:space="0" w:color="auto"/>
        <w:left w:val="none" w:sz="0" w:space="0" w:color="auto"/>
        <w:bottom w:val="none" w:sz="0" w:space="0" w:color="auto"/>
        <w:right w:val="none" w:sz="0" w:space="0" w:color="auto"/>
      </w:divBdr>
    </w:div>
    <w:div w:id="1425107886">
      <w:bodyDiv w:val="1"/>
      <w:marLeft w:val="0"/>
      <w:marRight w:val="0"/>
      <w:marTop w:val="0"/>
      <w:marBottom w:val="0"/>
      <w:divBdr>
        <w:top w:val="none" w:sz="0" w:space="0" w:color="auto"/>
        <w:left w:val="none" w:sz="0" w:space="0" w:color="auto"/>
        <w:bottom w:val="none" w:sz="0" w:space="0" w:color="auto"/>
        <w:right w:val="none" w:sz="0" w:space="0" w:color="auto"/>
      </w:divBdr>
    </w:div>
    <w:div w:id="1453859821">
      <w:bodyDiv w:val="1"/>
      <w:marLeft w:val="0"/>
      <w:marRight w:val="0"/>
      <w:marTop w:val="0"/>
      <w:marBottom w:val="0"/>
      <w:divBdr>
        <w:top w:val="none" w:sz="0" w:space="0" w:color="auto"/>
        <w:left w:val="none" w:sz="0" w:space="0" w:color="auto"/>
        <w:bottom w:val="none" w:sz="0" w:space="0" w:color="auto"/>
        <w:right w:val="none" w:sz="0" w:space="0" w:color="auto"/>
      </w:divBdr>
    </w:div>
    <w:div w:id="1454404816">
      <w:bodyDiv w:val="1"/>
      <w:marLeft w:val="0"/>
      <w:marRight w:val="0"/>
      <w:marTop w:val="0"/>
      <w:marBottom w:val="0"/>
      <w:divBdr>
        <w:top w:val="none" w:sz="0" w:space="0" w:color="auto"/>
        <w:left w:val="none" w:sz="0" w:space="0" w:color="auto"/>
        <w:bottom w:val="none" w:sz="0" w:space="0" w:color="auto"/>
        <w:right w:val="none" w:sz="0" w:space="0" w:color="auto"/>
      </w:divBdr>
    </w:div>
    <w:div w:id="1560093180">
      <w:bodyDiv w:val="1"/>
      <w:marLeft w:val="0"/>
      <w:marRight w:val="0"/>
      <w:marTop w:val="0"/>
      <w:marBottom w:val="0"/>
      <w:divBdr>
        <w:top w:val="none" w:sz="0" w:space="0" w:color="auto"/>
        <w:left w:val="none" w:sz="0" w:space="0" w:color="auto"/>
        <w:bottom w:val="none" w:sz="0" w:space="0" w:color="auto"/>
        <w:right w:val="none" w:sz="0" w:space="0" w:color="auto"/>
      </w:divBdr>
    </w:div>
    <w:div w:id="1588615726">
      <w:bodyDiv w:val="1"/>
      <w:marLeft w:val="0"/>
      <w:marRight w:val="0"/>
      <w:marTop w:val="0"/>
      <w:marBottom w:val="0"/>
      <w:divBdr>
        <w:top w:val="none" w:sz="0" w:space="0" w:color="auto"/>
        <w:left w:val="none" w:sz="0" w:space="0" w:color="auto"/>
        <w:bottom w:val="none" w:sz="0" w:space="0" w:color="auto"/>
        <w:right w:val="none" w:sz="0" w:space="0" w:color="auto"/>
      </w:divBdr>
    </w:div>
    <w:div w:id="1616450498">
      <w:bodyDiv w:val="1"/>
      <w:marLeft w:val="0"/>
      <w:marRight w:val="0"/>
      <w:marTop w:val="0"/>
      <w:marBottom w:val="0"/>
      <w:divBdr>
        <w:top w:val="none" w:sz="0" w:space="0" w:color="auto"/>
        <w:left w:val="none" w:sz="0" w:space="0" w:color="auto"/>
        <w:bottom w:val="none" w:sz="0" w:space="0" w:color="auto"/>
        <w:right w:val="none" w:sz="0" w:space="0" w:color="auto"/>
      </w:divBdr>
    </w:div>
    <w:div w:id="1636450312">
      <w:bodyDiv w:val="1"/>
      <w:marLeft w:val="0"/>
      <w:marRight w:val="0"/>
      <w:marTop w:val="0"/>
      <w:marBottom w:val="0"/>
      <w:divBdr>
        <w:top w:val="none" w:sz="0" w:space="0" w:color="auto"/>
        <w:left w:val="none" w:sz="0" w:space="0" w:color="auto"/>
        <w:bottom w:val="none" w:sz="0" w:space="0" w:color="auto"/>
        <w:right w:val="none" w:sz="0" w:space="0" w:color="auto"/>
      </w:divBdr>
    </w:div>
    <w:div w:id="1691949426">
      <w:bodyDiv w:val="1"/>
      <w:marLeft w:val="0"/>
      <w:marRight w:val="0"/>
      <w:marTop w:val="0"/>
      <w:marBottom w:val="0"/>
      <w:divBdr>
        <w:top w:val="none" w:sz="0" w:space="0" w:color="auto"/>
        <w:left w:val="none" w:sz="0" w:space="0" w:color="auto"/>
        <w:bottom w:val="none" w:sz="0" w:space="0" w:color="auto"/>
        <w:right w:val="none" w:sz="0" w:space="0" w:color="auto"/>
      </w:divBdr>
    </w:div>
    <w:div w:id="1726374270">
      <w:bodyDiv w:val="1"/>
      <w:marLeft w:val="0"/>
      <w:marRight w:val="0"/>
      <w:marTop w:val="0"/>
      <w:marBottom w:val="0"/>
      <w:divBdr>
        <w:top w:val="none" w:sz="0" w:space="0" w:color="auto"/>
        <w:left w:val="none" w:sz="0" w:space="0" w:color="auto"/>
        <w:bottom w:val="none" w:sz="0" w:space="0" w:color="auto"/>
        <w:right w:val="none" w:sz="0" w:space="0" w:color="auto"/>
      </w:divBdr>
    </w:div>
    <w:div w:id="1747415528">
      <w:bodyDiv w:val="1"/>
      <w:marLeft w:val="0"/>
      <w:marRight w:val="0"/>
      <w:marTop w:val="0"/>
      <w:marBottom w:val="0"/>
      <w:divBdr>
        <w:top w:val="none" w:sz="0" w:space="0" w:color="auto"/>
        <w:left w:val="none" w:sz="0" w:space="0" w:color="auto"/>
        <w:bottom w:val="none" w:sz="0" w:space="0" w:color="auto"/>
        <w:right w:val="none" w:sz="0" w:space="0" w:color="auto"/>
      </w:divBdr>
    </w:div>
    <w:div w:id="1799563164">
      <w:bodyDiv w:val="1"/>
      <w:marLeft w:val="0"/>
      <w:marRight w:val="0"/>
      <w:marTop w:val="0"/>
      <w:marBottom w:val="0"/>
      <w:divBdr>
        <w:top w:val="none" w:sz="0" w:space="0" w:color="auto"/>
        <w:left w:val="none" w:sz="0" w:space="0" w:color="auto"/>
        <w:bottom w:val="none" w:sz="0" w:space="0" w:color="auto"/>
        <w:right w:val="none" w:sz="0" w:space="0" w:color="auto"/>
      </w:divBdr>
    </w:div>
    <w:div w:id="1844006632">
      <w:bodyDiv w:val="1"/>
      <w:marLeft w:val="0"/>
      <w:marRight w:val="0"/>
      <w:marTop w:val="0"/>
      <w:marBottom w:val="0"/>
      <w:divBdr>
        <w:top w:val="none" w:sz="0" w:space="0" w:color="auto"/>
        <w:left w:val="none" w:sz="0" w:space="0" w:color="auto"/>
        <w:bottom w:val="none" w:sz="0" w:space="0" w:color="auto"/>
        <w:right w:val="none" w:sz="0" w:space="0" w:color="auto"/>
      </w:divBdr>
    </w:div>
    <w:div w:id="1847355759">
      <w:bodyDiv w:val="1"/>
      <w:marLeft w:val="0"/>
      <w:marRight w:val="0"/>
      <w:marTop w:val="0"/>
      <w:marBottom w:val="0"/>
      <w:divBdr>
        <w:top w:val="none" w:sz="0" w:space="0" w:color="auto"/>
        <w:left w:val="none" w:sz="0" w:space="0" w:color="auto"/>
        <w:bottom w:val="none" w:sz="0" w:space="0" w:color="auto"/>
        <w:right w:val="none" w:sz="0" w:space="0" w:color="auto"/>
      </w:divBdr>
    </w:div>
    <w:div w:id="1879123099">
      <w:bodyDiv w:val="1"/>
      <w:marLeft w:val="0"/>
      <w:marRight w:val="0"/>
      <w:marTop w:val="0"/>
      <w:marBottom w:val="0"/>
      <w:divBdr>
        <w:top w:val="none" w:sz="0" w:space="0" w:color="auto"/>
        <w:left w:val="none" w:sz="0" w:space="0" w:color="auto"/>
        <w:bottom w:val="none" w:sz="0" w:space="0" w:color="auto"/>
        <w:right w:val="none" w:sz="0" w:space="0" w:color="auto"/>
      </w:divBdr>
    </w:div>
    <w:div w:id="1891648792">
      <w:bodyDiv w:val="1"/>
      <w:marLeft w:val="0"/>
      <w:marRight w:val="0"/>
      <w:marTop w:val="0"/>
      <w:marBottom w:val="0"/>
      <w:divBdr>
        <w:top w:val="none" w:sz="0" w:space="0" w:color="auto"/>
        <w:left w:val="none" w:sz="0" w:space="0" w:color="auto"/>
        <w:bottom w:val="none" w:sz="0" w:space="0" w:color="auto"/>
        <w:right w:val="none" w:sz="0" w:space="0" w:color="auto"/>
      </w:divBdr>
    </w:div>
    <w:div w:id="1929578132">
      <w:bodyDiv w:val="1"/>
      <w:marLeft w:val="0"/>
      <w:marRight w:val="0"/>
      <w:marTop w:val="0"/>
      <w:marBottom w:val="0"/>
      <w:divBdr>
        <w:top w:val="none" w:sz="0" w:space="0" w:color="auto"/>
        <w:left w:val="none" w:sz="0" w:space="0" w:color="auto"/>
        <w:bottom w:val="none" w:sz="0" w:space="0" w:color="auto"/>
        <w:right w:val="none" w:sz="0" w:space="0" w:color="auto"/>
      </w:divBdr>
    </w:div>
    <w:div w:id="1937977462">
      <w:bodyDiv w:val="1"/>
      <w:marLeft w:val="0"/>
      <w:marRight w:val="0"/>
      <w:marTop w:val="0"/>
      <w:marBottom w:val="0"/>
      <w:divBdr>
        <w:top w:val="none" w:sz="0" w:space="0" w:color="auto"/>
        <w:left w:val="none" w:sz="0" w:space="0" w:color="auto"/>
        <w:bottom w:val="none" w:sz="0" w:space="0" w:color="auto"/>
        <w:right w:val="none" w:sz="0" w:space="0" w:color="auto"/>
      </w:divBdr>
    </w:div>
    <w:div w:id="2077435599">
      <w:bodyDiv w:val="1"/>
      <w:marLeft w:val="0"/>
      <w:marRight w:val="0"/>
      <w:marTop w:val="0"/>
      <w:marBottom w:val="0"/>
      <w:divBdr>
        <w:top w:val="none" w:sz="0" w:space="0" w:color="auto"/>
        <w:left w:val="none" w:sz="0" w:space="0" w:color="auto"/>
        <w:bottom w:val="none" w:sz="0" w:space="0" w:color="auto"/>
        <w:right w:val="none" w:sz="0" w:space="0" w:color="auto"/>
      </w:divBdr>
    </w:div>
    <w:div w:id="2090417598">
      <w:bodyDiv w:val="1"/>
      <w:marLeft w:val="0"/>
      <w:marRight w:val="0"/>
      <w:marTop w:val="0"/>
      <w:marBottom w:val="0"/>
      <w:divBdr>
        <w:top w:val="none" w:sz="0" w:space="0" w:color="auto"/>
        <w:left w:val="none" w:sz="0" w:space="0" w:color="auto"/>
        <w:bottom w:val="none" w:sz="0" w:space="0" w:color="auto"/>
        <w:right w:val="none" w:sz="0" w:space="0" w:color="auto"/>
      </w:divBdr>
    </w:div>
    <w:div w:id="2099935102">
      <w:bodyDiv w:val="1"/>
      <w:marLeft w:val="0"/>
      <w:marRight w:val="0"/>
      <w:marTop w:val="0"/>
      <w:marBottom w:val="0"/>
      <w:divBdr>
        <w:top w:val="none" w:sz="0" w:space="0" w:color="auto"/>
        <w:left w:val="none" w:sz="0" w:space="0" w:color="auto"/>
        <w:bottom w:val="none" w:sz="0" w:space="0" w:color="auto"/>
        <w:right w:val="none" w:sz="0" w:space="0" w:color="auto"/>
      </w:divBdr>
    </w:div>
    <w:div w:id="2111856624">
      <w:bodyDiv w:val="1"/>
      <w:marLeft w:val="0"/>
      <w:marRight w:val="0"/>
      <w:marTop w:val="0"/>
      <w:marBottom w:val="0"/>
      <w:divBdr>
        <w:top w:val="none" w:sz="0" w:space="0" w:color="auto"/>
        <w:left w:val="none" w:sz="0" w:space="0" w:color="auto"/>
        <w:bottom w:val="none" w:sz="0" w:space="0" w:color="auto"/>
        <w:right w:val="none" w:sz="0" w:space="0" w:color="auto"/>
      </w:divBdr>
    </w:div>
    <w:div w:id="2117168700">
      <w:bodyDiv w:val="1"/>
      <w:marLeft w:val="0"/>
      <w:marRight w:val="0"/>
      <w:marTop w:val="0"/>
      <w:marBottom w:val="0"/>
      <w:divBdr>
        <w:top w:val="none" w:sz="0" w:space="0" w:color="auto"/>
        <w:left w:val="none" w:sz="0" w:space="0" w:color="auto"/>
        <w:bottom w:val="none" w:sz="0" w:space="0" w:color="auto"/>
        <w:right w:val="none" w:sz="0" w:space="0" w:color="auto"/>
      </w:divBdr>
    </w:div>
    <w:div w:id="2118981360">
      <w:bodyDiv w:val="1"/>
      <w:marLeft w:val="0"/>
      <w:marRight w:val="0"/>
      <w:marTop w:val="0"/>
      <w:marBottom w:val="0"/>
      <w:divBdr>
        <w:top w:val="none" w:sz="0" w:space="0" w:color="auto"/>
        <w:left w:val="none" w:sz="0" w:space="0" w:color="auto"/>
        <w:bottom w:val="none" w:sz="0" w:space="0" w:color="auto"/>
        <w:right w:val="none" w:sz="0" w:space="0" w:color="auto"/>
      </w:divBdr>
    </w:div>
    <w:div w:id="2129468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74A89-2308-402D-BB9B-2D7FA106E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32467</Words>
  <Characters>185064</Characters>
  <Application>Microsoft Office Word</Application>
  <DocSecurity>0</DocSecurity>
  <Lines>1542</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217097</CharactersWithSpaces>
  <SharedDoc>false</SharedDoc>
  <HLinks>
    <vt:vector size="516" baseType="variant">
      <vt:variant>
        <vt:i4>1310777</vt:i4>
      </vt:variant>
      <vt:variant>
        <vt:i4>404</vt:i4>
      </vt:variant>
      <vt:variant>
        <vt:i4>0</vt:i4>
      </vt:variant>
      <vt:variant>
        <vt:i4>5</vt:i4>
      </vt:variant>
      <vt:variant>
        <vt:lpwstr/>
      </vt:variant>
      <vt:variant>
        <vt:lpwstr>_Toc88998406</vt:lpwstr>
      </vt:variant>
      <vt:variant>
        <vt:i4>1507385</vt:i4>
      </vt:variant>
      <vt:variant>
        <vt:i4>398</vt:i4>
      </vt:variant>
      <vt:variant>
        <vt:i4>0</vt:i4>
      </vt:variant>
      <vt:variant>
        <vt:i4>5</vt:i4>
      </vt:variant>
      <vt:variant>
        <vt:lpwstr/>
      </vt:variant>
      <vt:variant>
        <vt:lpwstr>_Toc88998405</vt:lpwstr>
      </vt:variant>
      <vt:variant>
        <vt:i4>1441849</vt:i4>
      </vt:variant>
      <vt:variant>
        <vt:i4>392</vt:i4>
      </vt:variant>
      <vt:variant>
        <vt:i4>0</vt:i4>
      </vt:variant>
      <vt:variant>
        <vt:i4>5</vt:i4>
      </vt:variant>
      <vt:variant>
        <vt:lpwstr/>
      </vt:variant>
      <vt:variant>
        <vt:lpwstr>_Toc88998404</vt:lpwstr>
      </vt:variant>
      <vt:variant>
        <vt:i4>1114169</vt:i4>
      </vt:variant>
      <vt:variant>
        <vt:i4>386</vt:i4>
      </vt:variant>
      <vt:variant>
        <vt:i4>0</vt:i4>
      </vt:variant>
      <vt:variant>
        <vt:i4>5</vt:i4>
      </vt:variant>
      <vt:variant>
        <vt:lpwstr/>
      </vt:variant>
      <vt:variant>
        <vt:lpwstr>_Toc88998403</vt:lpwstr>
      </vt:variant>
      <vt:variant>
        <vt:i4>1048633</vt:i4>
      </vt:variant>
      <vt:variant>
        <vt:i4>380</vt:i4>
      </vt:variant>
      <vt:variant>
        <vt:i4>0</vt:i4>
      </vt:variant>
      <vt:variant>
        <vt:i4>5</vt:i4>
      </vt:variant>
      <vt:variant>
        <vt:lpwstr/>
      </vt:variant>
      <vt:variant>
        <vt:lpwstr>_Toc88998402</vt:lpwstr>
      </vt:variant>
      <vt:variant>
        <vt:i4>1245241</vt:i4>
      </vt:variant>
      <vt:variant>
        <vt:i4>374</vt:i4>
      </vt:variant>
      <vt:variant>
        <vt:i4>0</vt:i4>
      </vt:variant>
      <vt:variant>
        <vt:i4>5</vt:i4>
      </vt:variant>
      <vt:variant>
        <vt:lpwstr/>
      </vt:variant>
      <vt:variant>
        <vt:lpwstr>_Toc88998401</vt:lpwstr>
      </vt:variant>
      <vt:variant>
        <vt:i4>1179705</vt:i4>
      </vt:variant>
      <vt:variant>
        <vt:i4>368</vt:i4>
      </vt:variant>
      <vt:variant>
        <vt:i4>0</vt:i4>
      </vt:variant>
      <vt:variant>
        <vt:i4>5</vt:i4>
      </vt:variant>
      <vt:variant>
        <vt:lpwstr/>
      </vt:variant>
      <vt:variant>
        <vt:lpwstr>_Toc88998400</vt:lpwstr>
      </vt:variant>
      <vt:variant>
        <vt:i4>1835056</vt:i4>
      </vt:variant>
      <vt:variant>
        <vt:i4>362</vt:i4>
      </vt:variant>
      <vt:variant>
        <vt:i4>0</vt:i4>
      </vt:variant>
      <vt:variant>
        <vt:i4>5</vt:i4>
      </vt:variant>
      <vt:variant>
        <vt:lpwstr/>
      </vt:variant>
      <vt:variant>
        <vt:lpwstr>_Toc88998399</vt:lpwstr>
      </vt:variant>
      <vt:variant>
        <vt:i4>1900592</vt:i4>
      </vt:variant>
      <vt:variant>
        <vt:i4>356</vt:i4>
      </vt:variant>
      <vt:variant>
        <vt:i4>0</vt:i4>
      </vt:variant>
      <vt:variant>
        <vt:i4>5</vt:i4>
      </vt:variant>
      <vt:variant>
        <vt:lpwstr/>
      </vt:variant>
      <vt:variant>
        <vt:lpwstr>_Toc88998398</vt:lpwstr>
      </vt:variant>
      <vt:variant>
        <vt:i4>1179696</vt:i4>
      </vt:variant>
      <vt:variant>
        <vt:i4>350</vt:i4>
      </vt:variant>
      <vt:variant>
        <vt:i4>0</vt:i4>
      </vt:variant>
      <vt:variant>
        <vt:i4>5</vt:i4>
      </vt:variant>
      <vt:variant>
        <vt:lpwstr/>
      </vt:variant>
      <vt:variant>
        <vt:lpwstr>_Toc88998397</vt:lpwstr>
      </vt:variant>
      <vt:variant>
        <vt:i4>1245232</vt:i4>
      </vt:variant>
      <vt:variant>
        <vt:i4>344</vt:i4>
      </vt:variant>
      <vt:variant>
        <vt:i4>0</vt:i4>
      </vt:variant>
      <vt:variant>
        <vt:i4>5</vt:i4>
      </vt:variant>
      <vt:variant>
        <vt:lpwstr/>
      </vt:variant>
      <vt:variant>
        <vt:lpwstr>_Toc88998396</vt:lpwstr>
      </vt:variant>
      <vt:variant>
        <vt:i4>1048624</vt:i4>
      </vt:variant>
      <vt:variant>
        <vt:i4>338</vt:i4>
      </vt:variant>
      <vt:variant>
        <vt:i4>0</vt:i4>
      </vt:variant>
      <vt:variant>
        <vt:i4>5</vt:i4>
      </vt:variant>
      <vt:variant>
        <vt:lpwstr/>
      </vt:variant>
      <vt:variant>
        <vt:lpwstr>_Toc88998395</vt:lpwstr>
      </vt:variant>
      <vt:variant>
        <vt:i4>1114160</vt:i4>
      </vt:variant>
      <vt:variant>
        <vt:i4>332</vt:i4>
      </vt:variant>
      <vt:variant>
        <vt:i4>0</vt:i4>
      </vt:variant>
      <vt:variant>
        <vt:i4>5</vt:i4>
      </vt:variant>
      <vt:variant>
        <vt:lpwstr/>
      </vt:variant>
      <vt:variant>
        <vt:lpwstr>_Toc88998394</vt:lpwstr>
      </vt:variant>
      <vt:variant>
        <vt:i4>1441840</vt:i4>
      </vt:variant>
      <vt:variant>
        <vt:i4>326</vt:i4>
      </vt:variant>
      <vt:variant>
        <vt:i4>0</vt:i4>
      </vt:variant>
      <vt:variant>
        <vt:i4>5</vt:i4>
      </vt:variant>
      <vt:variant>
        <vt:lpwstr/>
      </vt:variant>
      <vt:variant>
        <vt:lpwstr>_Toc88998393</vt:lpwstr>
      </vt:variant>
      <vt:variant>
        <vt:i4>1507376</vt:i4>
      </vt:variant>
      <vt:variant>
        <vt:i4>320</vt:i4>
      </vt:variant>
      <vt:variant>
        <vt:i4>0</vt:i4>
      </vt:variant>
      <vt:variant>
        <vt:i4>5</vt:i4>
      </vt:variant>
      <vt:variant>
        <vt:lpwstr/>
      </vt:variant>
      <vt:variant>
        <vt:lpwstr>_Toc88998392</vt:lpwstr>
      </vt:variant>
      <vt:variant>
        <vt:i4>1310768</vt:i4>
      </vt:variant>
      <vt:variant>
        <vt:i4>314</vt:i4>
      </vt:variant>
      <vt:variant>
        <vt:i4>0</vt:i4>
      </vt:variant>
      <vt:variant>
        <vt:i4>5</vt:i4>
      </vt:variant>
      <vt:variant>
        <vt:lpwstr/>
      </vt:variant>
      <vt:variant>
        <vt:lpwstr>_Toc88998391</vt:lpwstr>
      </vt:variant>
      <vt:variant>
        <vt:i4>1376304</vt:i4>
      </vt:variant>
      <vt:variant>
        <vt:i4>308</vt:i4>
      </vt:variant>
      <vt:variant>
        <vt:i4>0</vt:i4>
      </vt:variant>
      <vt:variant>
        <vt:i4>5</vt:i4>
      </vt:variant>
      <vt:variant>
        <vt:lpwstr/>
      </vt:variant>
      <vt:variant>
        <vt:lpwstr>_Toc88998390</vt:lpwstr>
      </vt:variant>
      <vt:variant>
        <vt:i4>1835057</vt:i4>
      </vt:variant>
      <vt:variant>
        <vt:i4>302</vt:i4>
      </vt:variant>
      <vt:variant>
        <vt:i4>0</vt:i4>
      </vt:variant>
      <vt:variant>
        <vt:i4>5</vt:i4>
      </vt:variant>
      <vt:variant>
        <vt:lpwstr/>
      </vt:variant>
      <vt:variant>
        <vt:lpwstr>_Toc88998389</vt:lpwstr>
      </vt:variant>
      <vt:variant>
        <vt:i4>1900593</vt:i4>
      </vt:variant>
      <vt:variant>
        <vt:i4>296</vt:i4>
      </vt:variant>
      <vt:variant>
        <vt:i4>0</vt:i4>
      </vt:variant>
      <vt:variant>
        <vt:i4>5</vt:i4>
      </vt:variant>
      <vt:variant>
        <vt:lpwstr/>
      </vt:variant>
      <vt:variant>
        <vt:lpwstr>_Toc88998388</vt:lpwstr>
      </vt:variant>
      <vt:variant>
        <vt:i4>1179697</vt:i4>
      </vt:variant>
      <vt:variant>
        <vt:i4>290</vt:i4>
      </vt:variant>
      <vt:variant>
        <vt:i4>0</vt:i4>
      </vt:variant>
      <vt:variant>
        <vt:i4>5</vt:i4>
      </vt:variant>
      <vt:variant>
        <vt:lpwstr/>
      </vt:variant>
      <vt:variant>
        <vt:lpwstr>_Toc88998387</vt:lpwstr>
      </vt:variant>
      <vt:variant>
        <vt:i4>1245233</vt:i4>
      </vt:variant>
      <vt:variant>
        <vt:i4>284</vt:i4>
      </vt:variant>
      <vt:variant>
        <vt:i4>0</vt:i4>
      </vt:variant>
      <vt:variant>
        <vt:i4>5</vt:i4>
      </vt:variant>
      <vt:variant>
        <vt:lpwstr/>
      </vt:variant>
      <vt:variant>
        <vt:lpwstr>_Toc88998386</vt:lpwstr>
      </vt:variant>
      <vt:variant>
        <vt:i4>1048625</vt:i4>
      </vt:variant>
      <vt:variant>
        <vt:i4>278</vt:i4>
      </vt:variant>
      <vt:variant>
        <vt:i4>0</vt:i4>
      </vt:variant>
      <vt:variant>
        <vt:i4>5</vt:i4>
      </vt:variant>
      <vt:variant>
        <vt:lpwstr/>
      </vt:variant>
      <vt:variant>
        <vt:lpwstr>_Toc88998385</vt:lpwstr>
      </vt:variant>
      <vt:variant>
        <vt:i4>1114161</vt:i4>
      </vt:variant>
      <vt:variant>
        <vt:i4>272</vt:i4>
      </vt:variant>
      <vt:variant>
        <vt:i4>0</vt:i4>
      </vt:variant>
      <vt:variant>
        <vt:i4>5</vt:i4>
      </vt:variant>
      <vt:variant>
        <vt:lpwstr/>
      </vt:variant>
      <vt:variant>
        <vt:lpwstr>_Toc88998384</vt:lpwstr>
      </vt:variant>
      <vt:variant>
        <vt:i4>1441841</vt:i4>
      </vt:variant>
      <vt:variant>
        <vt:i4>266</vt:i4>
      </vt:variant>
      <vt:variant>
        <vt:i4>0</vt:i4>
      </vt:variant>
      <vt:variant>
        <vt:i4>5</vt:i4>
      </vt:variant>
      <vt:variant>
        <vt:lpwstr/>
      </vt:variant>
      <vt:variant>
        <vt:lpwstr>_Toc88998383</vt:lpwstr>
      </vt:variant>
      <vt:variant>
        <vt:i4>1507377</vt:i4>
      </vt:variant>
      <vt:variant>
        <vt:i4>260</vt:i4>
      </vt:variant>
      <vt:variant>
        <vt:i4>0</vt:i4>
      </vt:variant>
      <vt:variant>
        <vt:i4>5</vt:i4>
      </vt:variant>
      <vt:variant>
        <vt:lpwstr/>
      </vt:variant>
      <vt:variant>
        <vt:lpwstr>_Toc88998382</vt:lpwstr>
      </vt:variant>
      <vt:variant>
        <vt:i4>1310769</vt:i4>
      </vt:variant>
      <vt:variant>
        <vt:i4>254</vt:i4>
      </vt:variant>
      <vt:variant>
        <vt:i4>0</vt:i4>
      </vt:variant>
      <vt:variant>
        <vt:i4>5</vt:i4>
      </vt:variant>
      <vt:variant>
        <vt:lpwstr/>
      </vt:variant>
      <vt:variant>
        <vt:lpwstr>_Toc88998381</vt:lpwstr>
      </vt:variant>
      <vt:variant>
        <vt:i4>1376305</vt:i4>
      </vt:variant>
      <vt:variant>
        <vt:i4>248</vt:i4>
      </vt:variant>
      <vt:variant>
        <vt:i4>0</vt:i4>
      </vt:variant>
      <vt:variant>
        <vt:i4>5</vt:i4>
      </vt:variant>
      <vt:variant>
        <vt:lpwstr/>
      </vt:variant>
      <vt:variant>
        <vt:lpwstr>_Toc88998380</vt:lpwstr>
      </vt:variant>
      <vt:variant>
        <vt:i4>1835070</vt:i4>
      </vt:variant>
      <vt:variant>
        <vt:i4>242</vt:i4>
      </vt:variant>
      <vt:variant>
        <vt:i4>0</vt:i4>
      </vt:variant>
      <vt:variant>
        <vt:i4>5</vt:i4>
      </vt:variant>
      <vt:variant>
        <vt:lpwstr/>
      </vt:variant>
      <vt:variant>
        <vt:lpwstr>_Toc88998379</vt:lpwstr>
      </vt:variant>
      <vt:variant>
        <vt:i4>1900606</vt:i4>
      </vt:variant>
      <vt:variant>
        <vt:i4>236</vt:i4>
      </vt:variant>
      <vt:variant>
        <vt:i4>0</vt:i4>
      </vt:variant>
      <vt:variant>
        <vt:i4>5</vt:i4>
      </vt:variant>
      <vt:variant>
        <vt:lpwstr/>
      </vt:variant>
      <vt:variant>
        <vt:lpwstr>_Toc88998378</vt:lpwstr>
      </vt:variant>
      <vt:variant>
        <vt:i4>1179710</vt:i4>
      </vt:variant>
      <vt:variant>
        <vt:i4>230</vt:i4>
      </vt:variant>
      <vt:variant>
        <vt:i4>0</vt:i4>
      </vt:variant>
      <vt:variant>
        <vt:i4>5</vt:i4>
      </vt:variant>
      <vt:variant>
        <vt:lpwstr/>
      </vt:variant>
      <vt:variant>
        <vt:lpwstr>_Toc88998377</vt:lpwstr>
      </vt:variant>
      <vt:variant>
        <vt:i4>1245246</vt:i4>
      </vt:variant>
      <vt:variant>
        <vt:i4>224</vt:i4>
      </vt:variant>
      <vt:variant>
        <vt:i4>0</vt:i4>
      </vt:variant>
      <vt:variant>
        <vt:i4>5</vt:i4>
      </vt:variant>
      <vt:variant>
        <vt:lpwstr/>
      </vt:variant>
      <vt:variant>
        <vt:lpwstr>_Toc88998376</vt:lpwstr>
      </vt:variant>
      <vt:variant>
        <vt:i4>1048638</vt:i4>
      </vt:variant>
      <vt:variant>
        <vt:i4>218</vt:i4>
      </vt:variant>
      <vt:variant>
        <vt:i4>0</vt:i4>
      </vt:variant>
      <vt:variant>
        <vt:i4>5</vt:i4>
      </vt:variant>
      <vt:variant>
        <vt:lpwstr/>
      </vt:variant>
      <vt:variant>
        <vt:lpwstr>_Toc88998375</vt:lpwstr>
      </vt:variant>
      <vt:variant>
        <vt:i4>1114174</vt:i4>
      </vt:variant>
      <vt:variant>
        <vt:i4>212</vt:i4>
      </vt:variant>
      <vt:variant>
        <vt:i4>0</vt:i4>
      </vt:variant>
      <vt:variant>
        <vt:i4>5</vt:i4>
      </vt:variant>
      <vt:variant>
        <vt:lpwstr/>
      </vt:variant>
      <vt:variant>
        <vt:lpwstr>_Toc88998374</vt:lpwstr>
      </vt:variant>
      <vt:variant>
        <vt:i4>1441854</vt:i4>
      </vt:variant>
      <vt:variant>
        <vt:i4>206</vt:i4>
      </vt:variant>
      <vt:variant>
        <vt:i4>0</vt:i4>
      </vt:variant>
      <vt:variant>
        <vt:i4>5</vt:i4>
      </vt:variant>
      <vt:variant>
        <vt:lpwstr/>
      </vt:variant>
      <vt:variant>
        <vt:lpwstr>_Toc88998373</vt:lpwstr>
      </vt:variant>
      <vt:variant>
        <vt:i4>1507390</vt:i4>
      </vt:variant>
      <vt:variant>
        <vt:i4>200</vt:i4>
      </vt:variant>
      <vt:variant>
        <vt:i4>0</vt:i4>
      </vt:variant>
      <vt:variant>
        <vt:i4>5</vt:i4>
      </vt:variant>
      <vt:variant>
        <vt:lpwstr/>
      </vt:variant>
      <vt:variant>
        <vt:lpwstr>_Toc88998372</vt:lpwstr>
      </vt:variant>
      <vt:variant>
        <vt:i4>1310782</vt:i4>
      </vt:variant>
      <vt:variant>
        <vt:i4>194</vt:i4>
      </vt:variant>
      <vt:variant>
        <vt:i4>0</vt:i4>
      </vt:variant>
      <vt:variant>
        <vt:i4>5</vt:i4>
      </vt:variant>
      <vt:variant>
        <vt:lpwstr/>
      </vt:variant>
      <vt:variant>
        <vt:lpwstr>_Toc88998371</vt:lpwstr>
      </vt:variant>
      <vt:variant>
        <vt:i4>1376318</vt:i4>
      </vt:variant>
      <vt:variant>
        <vt:i4>188</vt:i4>
      </vt:variant>
      <vt:variant>
        <vt:i4>0</vt:i4>
      </vt:variant>
      <vt:variant>
        <vt:i4>5</vt:i4>
      </vt:variant>
      <vt:variant>
        <vt:lpwstr/>
      </vt:variant>
      <vt:variant>
        <vt:lpwstr>_Toc88998370</vt:lpwstr>
      </vt:variant>
      <vt:variant>
        <vt:i4>1835071</vt:i4>
      </vt:variant>
      <vt:variant>
        <vt:i4>182</vt:i4>
      </vt:variant>
      <vt:variant>
        <vt:i4>0</vt:i4>
      </vt:variant>
      <vt:variant>
        <vt:i4>5</vt:i4>
      </vt:variant>
      <vt:variant>
        <vt:lpwstr/>
      </vt:variant>
      <vt:variant>
        <vt:lpwstr>_Toc88998369</vt:lpwstr>
      </vt:variant>
      <vt:variant>
        <vt:i4>1900607</vt:i4>
      </vt:variant>
      <vt:variant>
        <vt:i4>176</vt:i4>
      </vt:variant>
      <vt:variant>
        <vt:i4>0</vt:i4>
      </vt:variant>
      <vt:variant>
        <vt:i4>5</vt:i4>
      </vt:variant>
      <vt:variant>
        <vt:lpwstr/>
      </vt:variant>
      <vt:variant>
        <vt:lpwstr>_Toc88998368</vt:lpwstr>
      </vt:variant>
      <vt:variant>
        <vt:i4>1179711</vt:i4>
      </vt:variant>
      <vt:variant>
        <vt:i4>170</vt:i4>
      </vt:variant>
      <vt:variant>
        <vt:i4>0</vt:i4>
      </vt:variant>
      <vt:variant>
        <vt:i4>5</vt:i4>
      </vt:variant>
      <vt:variant>
        <vt:lpwstr/>
      </vt:variant>
      <vt:variant>
        <vt:lpwstr>_Toc88998367</vt:lpwstr>
      </vt:variant>
      <vt:variant>
        <vt:i4>1245247</vt:i4>
      </vt:variant>
      <vt:variant>
        <vt:i4>164</vt:i4>
      </vt:variant>
      <vt:variant>
        <vt:i4>0</vt:i4>
      </vt:variant>
      <vt:variant>
        <vt:i4>5</vt:i4>
      </vt:variant>
      <vt:variant>
        <vt:lpwstr/>
      </vt:variant>
      <vt:variant>
        <vt:lpwstr>_Toc88998366</vt:lpwstr>
      </vt:variant>
      <vt:variant>
        <vt:i4>1048639</vt:i4>
      </vt:variant>
      <vt:variant>
        <vt:i4>158</vt:i4>
      </vt:variant>
      <vt:variant>
        <vt:i4>0</vt:i4>
      </vt:variant>
      <vt:variant>
        <vt:i4>5</vt:i4>
      </vt:variant>
      <vt:variant>
        <vt:lpwstr/>
      </vt:variant>
      <vt:variant>
        <vt:lpwstr>_Toc88998365</vt:lpwstr>
      </vt:variant>
      <vt:variant>
        <vt:i4>1114175</vt:i4>
      </vt:variant>
      <vt:variant>
        <vt:i4>152</vt:i4>
      </vt:variant>
      <vt:variant>
        <vt:i4>0</vt:i4>
      </vt:variant>
      <vt:variant>
        <vt:i4>5</vt:i4>
      </vt:variant>
      <vt:variant>
        <vt:lpwstr/>
      </vt:variant>
      <vt:variant>
        <vt:lpwstr>_Toc88998364</vt:lpwstr>
      </vt:variant>
      <vt:variant>
        <vt:i4>1441855</vt:i4>
      </vt:variant>
      <vt:variant>
        <vt:i4>146</vt:i4>
      </vt:variant>
      <vt:variant>
        <vt:i4>0</vt:i4>
      </vt:variant>
      <vt:variant>
        <vt:i4>5</vt:i4>
      </vt:variant>
      <vt:variant>
        <vt:lpwstr/>
      </vt:variant>
      <vt:variant>
        <vt:lpwstr>_Toc88998363</vt:lpwstr>
      </vt:variant>
      <vt:variant>
        <vt:i4>1507391</vt:i4>
      </vt:variant>
      <vt:variant>
        <vt:i4>140</vt:i4>
      </vt:variant>
      <vt:variant>
        <vt:i4>0</vt:i4>
      </vt:variant>
      <vt:variant>
        <vt:i4>5</vt:i4>
      </vt:variant>
      <vt:variant>
        <vt:lpwstr/>
      </vt:variant>
      <vt:variant>
        <vt:lpwstr>_Toc88998362</vt:lpwstr>
      </vt:variant>
      <vt:variant>
        <vt:i4>1310783</vt:i4>
      </vt:variant>
      <vt:variant>
        <vt:i4>134</vt:i4>
      </vt:variant>
      <vt:variant>
        <vt:i4>0</vt:i4>
      </vt:variant>
      <vt:variant>
        <vt:i4>5</vt:i4>
      </vt:variant>
      <vt:variant>
        <vt:lpwstr/>
      </vt:variant>
      <vt:variant>
        <vt:lpwstr>_Toc88998361</vt:lpwstr>
      </vt:variant>
      <vt:variant>
        <vt:i4>1376319</vt:i4>
      </vt:variant>
      <vt:variant>
        <vt:i4>128</vt:i4>
      </vt:variant>
      <vt:variant>
        <vt:i4>0</vt:i4>
      </vt:variant>
      <vt:variant>
        <vt:i4>5</vt:i4>
      </vt:variant>
      <vt:variant>
        <vt:lpwstr/>
      </vt:variant>
      <vt:variant>
        <vt:lpwstr>_Toc88998360</vt:lpwstr>
      </vt:variant>
      <vt:variant>
        <vt:i4>1835068</vt:i4>
      </vt:variant>
      <vt:variant>
        <vt:i4>122</vt:i4>
      </vt:variant>
      <vt:variant>
        <vt:i4>0</vt:i4>
      </vt:variant>
      <vt:variant>
        <vt:i4>5</vt:i4>
      </vt:variant>
      <vt:variant>
        <vt:lpwstr/>
      </vt:variant>
      <vt:variant>
        <vt:lpwstr>_Toc88998359</vt:lpwstr>
      </vt:variant>
      <vt:variant>
        <vt:i4>1900604</vt:i4>
      </vt:variant>
      <vt:variant>
        <vt:i4>116</vt:i4>
      </vt:variant>
      <vt:variant>
        <vt:i4>0</vt:i4>
      </vt:variant>
      <vt:variant>
        <vt:i4>5</vt:i4>
      </vt:variant>
      <vt:variant>
        <vt:lpwstr/>
      </vt:variant>
      <vt:variant>
        <vt:lpwstr>_Toc88998358</vt:lpwstr>
      </vt:variant>
      <vt:variant>
        <vt:i4>1179708</vt:i4>
      </vt:variant>
      <vt:variant>
        <vt:i4>110</vt:i4>
      </vt:variant>
      <vt:variant>
        <vt:i4>0</vt:i4>
      </vt:variant>
      <vt:variant>
        <vt:i4>5</vt:i4>
      </vt:variant>
      <vt:variant>
        <vt:lpwstr/>
      </vt:variant>
      <vt:variant>
        <vt:lpwstr>_Toc88998357</vt:lpwstr>
      </vt:variant>
      <vt:variant>
        <vt:i4>1245244</vt:i4>
      </vt:variant>
      <vt:variant>
        <vt:i4>104</vt:i4>
      </vt:variant>
      <vt:variant>
        <vt:i4>0</vt:i4>
      </vt:variant>
      <vt:variant>
        <vt:i4>5</vt:i4>
      </vt:variant>
      <vt:variant>
        <vt:lpwstr/>
      </vt:variant>
      <vt:variant>
        <vt:lpwstr>_Toc88998356</vt:lpwstr>
      </vt:variant>
      <vt:variant>
        <vt:i4>1048636</vt:i4>
      </vt:variant>
      <vt:variant>
        <vt:i4>98</vt:i4>
      </vt:variant>
      <vt:variant>
        <vt:i4>0</vt:i4>
      </vt:variant>
      <vt:variant>
        <vt:i4>5</vt:i4>
      </vt:variant>
      <vt:variant>
        <vt:lpwstr/>
      </vt:variant>
      <vt:variant>
        <vt:lpwstr>_Toc88998355</vt:lpwstr>
      </vt:variant>
      <vt:variant>
        <vt:i4>1114172</vt:i4>
      </vt:variant>
      <vt:variant>
        <vt:i4>92</vt:i4>
      </vt:variant>
      <vt:variant>
        <vt:i4>0</vt:i4>
      </vt:variant>
      <vt:variant>
        <vt:i4>5</vt:i4>
      </vt:variant>
      <vt:variant>
        <vt:lpwstr/>
      </vt:variant>
      <vt:variant>
        <vt:lpwstr>_Toc88998354</vt:lpwstr>
      </vt:variant>
      <vt:variant>
        <vt:i4>1441852</vt:i4>
      </vt:variant>
      <vt:variant>
        <vt:i4>86</vt:i4>
      </vt:variant>
      <vt:variant>
        <vt:i4>0</vt:i4>
      </vt:variant>
      <vt:variant>
        <vt:i4>5</vt:i4>
      </vt:variant>
      <vt:variant>
        <vt:lpwstr/>
      </vt:variant>
      <vt:variant>
        <vt:lpwstr>_Toc88998353</vt:lpwstr>
      </vt:variant>
      <vt:variant>
        <vt:i4>1507388</vt:i4>
      </vt:variant>
      <vt:variant>
        <vt:i4>80</vt:i4>
      </vt:variant>
      <vt:variant>
        <vt:i4>0</vt:i4>
      </vt:variant>
      <vt:variant>
        <vt:i4>5</vt:i4>
      </vt:variant>
      <vt:variant>
        <vt:lpwstr/>
      </vt:variant>
      <vt:variant>
        <vt:lpwstr>_Toc88998352</vt:lpwstr>
      </vt:variant>
      <vt:variant>
        <vt:i4>1310780</vt:i4>
      </vt:variant>
      <vt:variant>
        <vt:i4>74</vt:i4>
      </vt:variant>
      <vt:variant>
        <vt:i4>0</vt:i4>
      </vt:variant>
      <vt:variant>
        <vt:i4>5</vt:i4>
      </vt:variant>
      <vt:variant>
        <vt:lpwstr/>
      </vt:variant>
      <vt:variant>
        <vt:lpwstr>_Toc88998351</vt:lpwstr>
      </vt:variant>
      <vt:variant>
        <vt:i4>1376316</vt:i4>
      </vt:variant>
      <vt:variant>
        <vt:i4>68</vt:i4>
      </vt:variant>
      <vt:variant>
        <vt:i4>0</vt:i4>
      </vt:variant>
      <vt:variant>
        <vt:i4>5</vt:i4>
      </vt:variant>
      <vt:variant>
        <vt:lpwstr/>
      </vt:variant>
      <vt:variant>
        <vt:lpwstr>_Toc88998350</vt:lpwstr>
      </vt:variant>
      <vt:variant>
        <vt:i4>1835069</vt:i4>
      </vt:variant>
      <vt:variant>
        <vt:i4>62</vt:i4>
      </vt:variant>
      <vt:variant>
        <vt:i4>0</vt:i4>
      </vt:variant>
      <vt:variant>
        <vt:i4>5</vt:i4>
      </vt:variant>
      <vt:variant>
        <vt:lpwstr/>
      </vt:variant>
      <vt:variant>
        <vt:lpwstr>_Toc88998349</vt:lpwstr>
      </vt:variant>
      <vt:variant>
        <vt:i4>1900605</vt:i4>
      </vt:variant>
      <vt:variant>
        <vt:i4>56</vt:i4>
      </vt:variant>
      <vt:variant>
        <vt:i4>0</vt:i4>
      </vt:variant>
      <vt:variant>
        <vt:i4>5</vt:i4>
      </vt:variant>
      <vt:variant>
        <vt:lpwstr/>
      </vt:variant>
      <vt:variant>
        <vt:lpwstr>_Toc88998348</vt:lpwstr>
      </vt:variant>
      <vt:variant>
        <vt:i4>1179709</vt:i4>
      </vt:variant>
      <vt:variant>
        <vt:i4>50</vt:i4>
      </vt:variant>
      <vt:variant>
        <vt:i4>0</vt:i4>
      </vt:variant>
      <vt:variant>
        <vt:i4>5</vt:i4>
      </vt:variant>
      <vt:variant>
        <vt:lpwstr/>
      </vt:variant>
      <vt:variant>
        <vt:lpwstr>_Toc88998347</vt:lpwstr>
      </vt:variant>
      <vt:variant>
        <vt:i4>1245245</vt:i4>
      </vt:variant>
      <vt:variant>
        <vt:i4>44</vt:i4>
      </vt:variant>
      <vt:variant>
        <vt:i4>0</vt:i4>
      </vt:variant>
      <vt:variant>
        <vt:i4>5</vt:i4>
      </vt:variant>
      <vt:variant>
        <vt:lpwstr/>
      </vt:variant>
      <vt:variant>
        <vt:lpwstr>_Toc88998346</vt:lpwstr>
      </vt:variant>
      <vt:variant>
        <vt:i4>1048637</vt:i4>
      </vt:variant>
      <vt:variant>
        <vt:i4>38</vt:i4>
      </vt:variant>
      <vt:variant>
        <vt:i4>0</vt:i4>
      </vt:variant>
      <vt:variant>
        <vt:i4>5</vt:i4>
      </vt:variant>
      <vt:variant>
        <vt:lpwstr/>
      </vt:variant>
      <vt:variant>
        <vt:lpwstr>_Toc88998345</vt:lpwstr>
      </vt:variant>
      <vt:variant>
        <vt:i4>1114173</vt:i4>
      </vt:variant>
      <vt:variant>
        <vt:i4>32</vt:i4>
      </vt:variant>
      <vt:variant>
        <vt:i4>0</vt:i4>
      </vt:variant>
      <vt:variant>
        <vt:i4>5</vt:i4>
      </vt:variant>
      <vt:variant>
        <vt:lpwstr/>
      </vt:variant>
      <vt:variant>
        <vt:lpwstr>_Toc88998344</vt:lpwstr>
      </vt:variant>
      <vt:variant>
        <vt:i4>1441853</vt:i4>
      </vt:variant>
      <vt:variant>
        <vt:i4>26</vt:i4>
      </vt:variant>
      <vt:variant>
        <vt:i4>0</vt:i4>
      </vt:variant>
      <vt:variant>
        <vt:i4>5</vt:i4>
      </vt:variant>
      <vt:variant>
        <vt:lpwstr/>
      </vt:variant>
      <vt:variant>
        <vt:lpwstr>_Toc88998343</vt:lpwstr>
      </vt:variant>
      <vt:variant>
        <vt:i4>1507389</vt:i4>
      </vt:variant>
      <vt:variant>
        <vt:i4>20</vt:i4>
      </vt:variant>
      <vt:variant>
        <vt:i4>0</vt:i4>
      </vt:variant>
      <vt:variant>
        <vt:i4>5</vt:i4>
      </vt:variant>
      <vt:variant>
        <vt:lpwstr/>
      </vt:variant>
      <vt:variant>
        <vt:lpwstr>_Toc88998342</vt:lpwstr>
      </vt:variant>
      <vt:variant>
        <vt:i4>1310781</vt:i4>
      </vt:variant>
      <vt:variant>
        <vt:i4>14</vt:i4>
      </vt:variant>
      <vt:variant>
        <vt:i4>0</vt:i4>
      </vt:variant>
      <vt:variant>
        <vt:i4>5</vt:i4>
      </vt:variant>
      <vt:variant>
        <vt:lpwstr/>
      </vt:variant>
      <vt:variant>
        <vt:lpwstr>_Toc88998341</vt:lpwstr>
      </vt:variant>
      <vt:variant>
        <vt:i4>1376317</vt:i4>
      </vt:variant>
      <vt:variant>
        <vt:i4>8</vt:i4>
      </vt:variant>
      <vt:variant>
        <vt:i4>0</vt:i4>
      </vt:variant>
      <vt:variant>
        <vt:i4>5</vt:i4>
      </vt:variant>
      <vt:variant>
        <vt:lpwstr/>
      </vt:variant>
      <vt:variant>
        <vt:lpwstr>_Toc88998340</vt:lpwstr>
      </vt:variant>
      <vt:variant>
        <vt:i4>1835066</vt:i4>
      </vt:variant>
      <vt:variant>
        <vt:i4>2</vt:i4>
      </vt:variant>
      <vt:variant>
        <vt:i4>0</vt:i4>
      </vt:variant>
      <vt:variant>
        <vt:i4>5</vt:i4>
      </vt:variant>
      <vt:variant>
        <vt:lpwstr/>
      </vt:variant>
      <vt:variant>
        <vt:lpwstr>_Toc88998339</vt:lpwstr>
      </vt:variant>
      <vt:variant>
        <vt:i4>5505149</vt:i4>
      </vt:variant>
      <vt:variant>
        <vt:i4>51</vt:i4>
      </vt:variant>
      <vt:variant>
        <vt:i4>0</vt:i4>
      </vt:variant>
      <vt:variant>
        <vt:i4>5</vt:i4>
      </vt:variant>
      <vt:variant>
        <vt:lpwstr>mailto:AGuha@crai.com</vt:lpwstr>
      </vt:variant>
      <vt:variant>
        <vt:lpwstr/>
      </vt:variant>
      <vt:variant>
        <vt:i4>5505149</vt:i4>
      </vt:variant>
      <vt:variant>
        <vt:i4>48</vt:i4>
      </vt:variant>
      <vt:variant>
        <vt:i4>0</vt:i4>
      </vt:variant>
      <vt:variant>
        <vt:i4>5</vt:i4>
      </vt:variant>
      <vt:variant>
        <vt:lpwstr>mailto:AGuha@crai.com</vt:lpwstr>
      </vt:variant>
      <vt:variant>
        <vt:lpwstr/>
      </vt:variant>
      <vt:variant>
        <vt:i4>5505149</vt:i4>
      </vt:variant>
      <vt:variant>
        <vt:i4>45</vt:i4>
      </vt:variant>
      <vt:variant>
        <vt:i4>0</vt:i4>
      </vt:variant>
      <vt:variant>
        <vt:i4>5</vt:i4>
      </vt:variant>
      <vt:variant>
        <vt:lpwstr>mailto:AGuha@crai.com</vt:lpwstr>
      </vt:variant>
      <vt:variant>
        <vt:lpwstr/>
      </vt:variant>
      <vt:variant>
        <vt:i4>5505149</vt:i4>
      </vt:variant>
      <vt:variant>
        <vt:i4>42</vt:i4>
      </vt:variant>
      <vt:variant>
        <vt:i4>0</vt:i4>
      </vt:variant>
      <vt:variant>
        <vt:i4>5</vt:i4>
      </vt:variant>
      <vt:variant>
        <vt:lpwstr>mailto:AGuha@crai.com</vt:lpwstr>
      </vt:variant>
      <vt:variant>
        <vt:lpwstr/>
      </vt:variant>
      <vt:variant>
        <vt:i4>3145747</vt:i4>
      </vt:variant>
      <vt:variant>
        <vt:i4>39</vt:i4>
      </vt:variant>
      <vt:variant>
        <vt:i4>0</vt:i4>
      </vt:variant>
      <vt:variant>
        <vt:i4>5</vt:i4>
      </vt:variant>
      <vt:variant>
        <vt:lpwstr>mailto:ftan@crai.com</vt:lpwstr>
      </vt:variant>
      <vt:variant>
        <vt:lpwstr/>
      </vt:variant>
      <vt:variant>
        <vt:i4>3014686</vt:i4>
      </vt:variant>
      <vt:variant>
        <vt:i4>36</vt:i4>
      </vt:variant>
      <vt:variant>
        <vt:i4>0</vt:i4>
      </vt:variant>
      <vt:variant>
        <vt:i4>5</vt:i4>
      </vt:variant>
      <vt:variant>
        <vt:lpwstr>mailto:bstearns@crai.com</vt:lpwstr>
      </vt:variant>
      <vt:variant>
        <vt:lpwstr/>
      </vt:variant>
      <vt:variant>
        <vt:i4>5505149</vt:i4>
      </vt:variant>
      <vt:variant>
        <vt:i4>33</vt:i4>
      </vt:variant>
      <vt:variant>
        <vt:i4>0</vt:i4>
      </vt:variant>
      <vt:variant>
        <vt:i4>5</vt:i4>
      </vt:variant>
      <vt:variant>
        <vt:lpwstr>mailto:AGuha@crai.com</vt:lpwstr>
      </vt:variant>
      <vt:variant>
        <vt:lpwstr/>
      </vt:variant>
      <vt:variant>
        <vt:i4>5505136</vt:i4>
      </vt:variant>
      <vt:variant>
        <vt:i4>30</vt:i4>
      </vt:variant>
      <vt:variant>
        <vt:i4>0</vt:i4>
      </vt:variant>
      <vt:variant>
        <vt:i4>5</vt:i4>
      </vt:variant>
      <vt:variant>
        <vt:lpwstr>mailto:SChan@crai.com</vt:lpwstr>
      </vt:variant>
      <vt:variant>
        <vt:lpwstr/>
      </vt:variant>
      <vt:variant>
        <vt:i4>5505149</vt:i4>
      </vt:variant>
      <vt:variant>
        <vt:i4>27</vt:i4>
      </vt:variant>
      <vt:variant>
        <vt:i4>0</vt:i4>
      </vt:variant>
      <vt:variant>
        <vt:i4>5</vt:i4>
      </vt:variant>
      <vt:variant>
        <vt:lpwstr>mailto:AGuha@crai.com</vt:lpwstr>
      </vt:variant>
      <vt:variant>
        <vt:lpwstr/>
      </vt:variant>
      <vt:variant>
        <vt:i4>3014686</vt:i4>
      </vt:variant>
      <vt:variant>
        <vt:i4>24</vt:i4>
      </vt:variant>
      <vt:variant>
        <vt:i4>0</vt:i4>
      </vt:variant>
      <vt:variant>
        <vt:i4>5</vt:i4>
      </vt:variant>
      <vt:variant>
        <vt:lpwstr>mailto:bstearns@crai.com</vt:lpwstr>
      </vt:variant>
      <vt:variant>
        <vt:lpwstr/>
      </vt:variant>
      <vt:variant>
        <vt:i4>5046376</vt:i4>
      </vt:variant>
      <vt:variant>
        <vt:i4>21</vt:i4>
      </vt:variant>
      <vt:variant>
        <vt:i4>0</vt:i4>
      </vt:variant>
      <vt:variant>
        <vt:i4>5</vt:i4>
      </vt:variant>
      <vt:variant>
        <vt:lpwstr>mailto:MHorn@crai.com</vt:lpwstr>
      </vt:variant>
      <vt:variant>
        <vt:lpwstr/>
      </vt:variant>
      <vt:variant>
        <vt:i4>6029424</vt:i4>
      </vt:variant>
      <vt:variant>
        <vt:i4>18</vt:i4>
      </vt:variant>
      <vt:variant>
        <vt:i4>0</vt:i4>
      </vt:variant>
      <vt:variant>
        <vt:i4>5</vt:i4>
      </vt:variant>
      <vt:variant>
        <vt:lpwstr>mailto:GDenis@crai.com</vt:lpwstr>
      </vt:variant>
      <vt:variant>
        <vt:lpwstr/>
      </vt:variant>
      <vt:variant>
        <vt:i4>5046376</vt:i4>
      </vt:variant>
      <vt:variant>
        <vt:i4>15</vt:i4>
      </vt:variant>
      <vt:variant>
        <vt:i4>0</vt:i4>
      </vt:variant>
      <vt:variant>
        <vt:i4>5</vt:i4>
      </vt:variant>
      <vt:variant>
        <vt:lpwstr>mailto:MHorn@crai.com</vt:lpwstr>
      </vt:variant>
      <vt:variant>
        <vt:lpwstr/>
      </vt:variant>
      <vt:variant>
        <vt:i4>3014686</vt:i4>
      </vt:variant>
      <vt:variant>
        <vt:i4>12</vt:i4>
      </vt:variant>
      <vt:variant>
        <vt:i4>0</vt:i4>
      </vt:variant>
      <vt:variant>
        <vt:i4>5</vt:i4>
      </vt:variant>
      <vt:variant>
        <vt:lpwstr>mailto:bstearns@crai.com</vt:lpwstr>
      </vt:variant>
      <vt:variant>
        <vt:lpwstr/>
      </vt:variant>
      <vt:variant>
        <vt:i4>5505136</vt:i4>
      </vt:variant>
      <vt:variant>
        <vt:i4>9</vt:i4>
      </vt:variant>
      <vt:variant>
        <vt:i4>0</vt:i4>
      </vt:variant>
      <vt:variant>
        <vt:i4>5</vt:i4>
      </vt:variant>
      <vt:variant>
        <vt:lpwstr>mailto:SChan@crai.com</vt:lpwstr>
      </vt:variant>
      <vt:variant>
        <vt:lpwstr/>
      </vt:variant>
      <vt:variant>
        <vt:i4>5505136</vt:i4>
      </vt:variant>
      <vt:variant>
        <vt:i4>6</vt:i4>
      </vt:variant>
      <vt:variant>
        <vt:i4>0</vt:i4>
      </vt:variant>
      <vt:variant>
        <vt:i4>5</vt:i4>
      </vt:variant>
      <vt:variant>
        <vt:lpwstr>mailto:SChan@crai.com</vt:lpwstr>
      </vt:variant>
      <vt:variant>
        <vt:lpwstr/>
      </vt:variant>
      <vt:variant>
        <vt:i4>3014686</vt:i4>
      </vt:variant>
      <vt:variant>
        <vt:i4>3</vt:i4>
      </vt:variant>
      <vt:variant>
        <vt:i4>0</vt:i4>
      </vt:variant>
      <vt:variant>
        <vt:i4>5</vt:i4>
      </vt:variant>
      <vt:variant>
        <vt:lpwstr>mailto:bstearns@crai.com</vt:lpwstr>
      </vt:variant>
      <vt:variant>
        <vt:lpwstr/>
      </vt:variant>
      <vt:variant>
        <vt:i4>5505136</vt:i4>
      </vt:variant>
      <vt:variant>
        <vt:i4>0</vt:i4>
      </vt:variant>
      <vt:variant>
        <vt:i4>0</vt:i4>
      </vt:variant>
      <vt:variant>
        <vt:i4>5</vt:i4>
      </vt:variant>
      <vt:variant>
        <vt:lpwstr>mailto:SChan@crai.com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2021-12-13T17:08:00Z</dcterms:created>
  <dcterms:modified xsi:type="dcterms:W3CDTF">2021-12-14T17:51:00Z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ffd51a4-5314-4c60-bce6-0affc34d9cd7_Enabled">
    <vt:lpwstr>true</vt:lpwstr>
  </property>
  <property fmtid="{D5CDD505-2E9C-101B-9397-08002B2CF9AE}" pid="3" name="MSIP_Label_dffd51a4-5314-4c60-bce6-0affc34d9cd7_SetDate">
    <vt:lpwstr>2021-11-30T01:37:08Z</vt:lpwstr>
  </property>
  <property fmtid="{D5CDD505-2E9C-101B-9397-08002B2CF9AE}" pid="4" name="MSIP_Label_dffd51a4-5314-4c60-bce6-0affc34d9cd7_Method">
    <vt:lpwstr>Standard</vt:lpwstr>
  </property>
  <property fmtid="{D5CDD505-2E9C-101B-9397-08002B2CF9AE}" pid="5" name="MSIP_Label_dffd51a4-5314-4c60-bce6-0affc34d9cd7_Name">
    <vt:lpwstr>dffd51a4-5314-4c60-bce6-0affc34d9cd7</vt:lpwstr>
  </property>
  <property fmtid="{D5CDD505-2E9C-101B-9397-08002B2CF9AE}" pid="6" name="MSIP_Label_dffd51a4-5314-4c60-bce6-0affc34d9cd7_SiteId">
    <vt:lpwstr>4a156c19-bc94-41ac-aacf-954686490869</vt:lpwstr>
  </property>
  <property fmtid="{D5CDD505-2E9C-101B-9397-08002B2CF9AE}" pid="7" name="MSIP_Label_dffd51a4-5314-4c60-bce6-0affc34d9cd7_ActionId">
    <vt:lpwstr>b1955de6-abea-4f77-a377-200288523432</vt:lpwstr>
  </property>
  <property fmtid="{D5CDD505-2E9C-101B-9397-08002B2CF9AE}" pid="8" name="MSIP_Label_dffd51a4-5314-4c60-bce6-0affc34d9cd7_ContentBits">
    <vt:lpwstr>0</vt:lpwstr>
  </property>
  <property fmtid="{D5CDD505-2E9C-101B-9397-08002B2CF9AE}" pid="9" name="_MarkAsFinal">
    <vt:bool>true</vt:bool>
  </property>
</Properties>
</file>