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4680"/>
      </w:tblGrid>
      <w:tr w:rsidR="00407862" w:rsidRPr="00335D93" w14:paraId="785AF217" w14:textId="77777777" w:rsidTr="006B31D3">
        <w:tc>
          <w:tcPr>
            <w:tcW w:w="4680" w:type="dxa"/>
          </w:tcPr>
          <w:p w14:paraId="3C6E8E6E" w14:textId="397766D6" w:rsidR="00407862" w:rsidRPr="00335D93" w:rsidRDefault="00407862" w:rsidP="00880A25">
            <w:pPr>
              <w:rPr>
                <w:rFonts w:ascii="Times New Roman" w:hAnsi="Times New Roman" w:cs="Times New Roman"/>
              </w:rPr>
            </w:pPr>
            <w:bookmarkStart w:id="0" w:name="_GoBack" w:colFirst="1" w:colLast="1"/>
          </w:p>
        </w:tc>
      </w:tr>
      <w:tr w:rsidR="00407862" w:rsidRPr="003F07B1" w14:paraId="135BC8CD" w14:textId="77777777" w:rsidTr="006B31D3">
        <w:tc>
          <w:tcPr>
            <w:tcW w:w="4680" w:type="dxa"/>
          </w:tcPr>
          <w:p w14:paraId="54065E48" w14:textId="08CEEA39" w:rsidR="00407862" w:rsidRPr="003F07B1" w:rsidRDefault="00FB2D3E" w:rsidP="00880A25">
            <w:pPr>
              <w:pStyle w:val="TabletextR2"/>
              <w:rPr>
                <w:rFonts w:ascii="Times New Roman" w:hAnsi="Times New Roman" w:cs="Times New Roman"/>
                <w:sz w:val="24"/>
                <w:szCs w:val="28"/>
              </w:rPr>
            </w:pPr>
            <w:r w:rsidRPr="003F07B1">
              <w:rPr>
                <w:rFonts w:ascii="Times New Roman" w:hAnsi="Times New Roman" w:cs="Times New Roman"/>
                <w:sz w:val="24"/>
                <w:szCs w:val="28"/>
              </w:rPr>
              <w:t>Presented to</w:t>
            </w:r>
            <w:r w:rsidR="00407862" w:rsidRPr="003F07B1">
              <w:rPr>
                <w:rFonts w:ascii="Times New Roman" w:hAnsi="Times New Roman" w:cs="Times New Roman"/>
                <w:sz w:val="24"/>
                <w:szCs w:val="28"/>
              </w:rPr>
              <w:t>:</w:t>
            </w:r>
          </w:p>
        </w:tc>
      </w:tr>
      <w:tr w:rsidR="00407862" w:rsidRPr="003F07B1" w14:paraId="18E1CAD7" w14:textId="77777777" w:rsidTr="006B31D3">
        <w:tc>
          <w:tcPr>
            <w:tcW w:w="4680" w:type="dxa"/>
          </w:tcPr>
          <w:p w14:paraId="43330F61" w14:textId="1EAD2E85" w:rsidR="00407862" w:rsidRPr="003F07B1" w:rsidRDefault="002D499A" w:rsidP="00880A25">
            <w:pPr>
              <w:pStyle w:val="TabletextR3"/>
              <w:rPr>
                <w:rFonts w:ascii="Times New Roman" w:hAnsi="Times New Roman" w:cs="Times New Roman"/>
                <w:sz w:val="24"/>
                <w:szCs w:val="28"/>
              </w:rPr>
            </w:pPr>
            <w:r w:rsidRPr="003F07B1">
              <w:rPr>
                <w:rFonts w:ascii="Times New Roman" w:hAnsi="Times New Roman" w:cs="Times New Roman"/>
                <w:sz w:val="24"/>
                <w:szCs w:val="28"/>
              </w:rPr>
              <w:t>Massachusetts</w:t>
            </w:r>
            <w:r w:rsidR="00FB2D3E" w:rsidRPr="003F07B1">
              <w:rPr>
                <w:rFonts w:ascii="Times New Roman" w:hAnsi="Times New Roman" w:cs="Times New Roman"/>
                <w:sz w:val="24"/>
                <w:szCs w:val="28"/>
              </w:rPr>
              <w:t xml:space="preserve"> D</w:t>
            </w:r>
            <w:r w:rsidRPr="003F07B1">
              <w:rPr>
                <w:rFonts w:ascii="Times New Roman" w:hAnsi="Times New Roman" w:cs="Times New Roman"/>
                <w:sz w:val="24"/>
                <w:szCs w:val="28"/>
              </w:rPr>
              <w:t>epartment of Public Health</w:t>
            </w:r>
          </w:p>
        </w:tc>
      </w:tr>
      <w:bookmarkEnd w:id="0"/>
    </w:tbl>
    <w:p w14:paraId="6952A18D" w14:textId="77777777" w:rsidR="00407862" w:rsidRPr="003F07B1" w:rsidRDefault="00407862" w:rsidP="00407862">
      <w:pPr>
        <w:rPr>
          <w:rFonts w:ascii="Times New Roman" w:hAnsi="Times New Roman" w:cs="Times New Roman"/>
          <w:sz w:val="32"/>
          <w:szCs w:val="32"/>
        </w:rPr>
      </w:pPr>
    </w:p>
    <w:p w14:paraId="58579694" w14:textId="77777777" w:rsidR="00407862" w:rsidRPr="003F07B1" w:rsidRDefault="00407862" w:rsidP="007459BB">
      <w:pPr>
        <w:pStyle w:val="BodyText"/>
        <w:numPr>
          <w:ilvl w:val="0"/>
          <w:numId w:val="0"/>
        </w:numPr>
        <w:rPr>
          <w:rFonts w:ascii="Times New Roman" w:hAnsi="Times New Roman" w:cs="Times New Roman"/>
          <w:sz w:val="32"/>
          <w:szCs w:val="32"/>
        </w:rPr>
      </w:pPr>
    </w:p>
    <w:p w14:paraId="3338A154" w14:textId="1C681785" w:rsidR="00407862" w:rsidRPr="003F07B1" w:rsidRDefault="006F2EA0" w:rsidP="00407862">
      <w:pPr>
        <w:pStyle w:val="ReportName"/>
        <w:rPr>
          <w:rFonts w:ascii="Times New Roman" w:hAnsi="Times New Roman" w:cs="Times New Roman"/>
          <w:sz w:val="36"/>
          <w:szCs w:val="12"/>
        </w:rPr>
      </w:pPr>
      <w:r w:rsidRPr="003F07B1">
        <w:rPr>
          <w:rFonts w:ascii="Times New Roman" w:hAnsi="Times New Roman" w:cs="Times New Roman"/>
          <w:sz w:val="36"/>
          <w:szCs w:val="12"/>
        </w:rPr>
        <w:t>I</w:t>
      </w:r>
      <w:r w:rsidR="00E93226" w:rsidRPr="003F07B1">
        <w:rPr>
          <w:rFonts w:ascii="Times New Roman" w:hAnsi="Times New Roman" w:cs="Times New Roman"/>
          <w:sz w:val="36"/>
          <w:szCs w:val="12"/>
        </w:rPr>
        <w:t>ndependent Cost Analysis for:</w:t>
      </w:r>
    </w:p>
    <w:p w14:paraId="1E91ED22" w14:textId="3107E8C8" w:rsidR="00407862" w:rsidRPr="003F07B1" w:rsidRDefault="002913F1" w:rsidP="00531D15">
      <w:pPr>
        <w:pStyle w:val="ReportName"/>
        <w:spacing w:after="0" w:line="240" w:lineRule="auto"/>
        <w:rPr>
          <w:rFonts w:ascii="Times New Roman" w:hAnsi="Times New Roman" w:cs="Times New Roman"/>
          <w:color w:val="auto"/>
          <w:sz w:val="40"/>
          <w:szCs w:val="14"/>
        </w:rPr>
      </w:pPr>
      <w:r w:rsidRPr="003F07B1">
        <w:rPr>
          <w:rFonts w:ascii="Times New Roman" w:hAnsi="Times New Roman" w:cs="Times New Roman"/>
          <w:color w:val="auto"/>
          <w:sz w:val="40"/>
          <w:szCs w:val="14"/>
        </w:rPr>
        <w:t>Mass General Brigham Incorporated</w:t>
      </w:r>
    </w:p>
    <w:p w14:paraId="6FBEF555" w14:textId="797DAEF9" w:rsidR="00C95F5A" w:rsidRPr="003F07B1" w:rsidRDefault="008F62C0" w:rsidP="00531D15">
      <w:pPr>
        <w:pStyle w:val="ReportName"/>
        <w:spacing w:after="0" w:line="240" w:lineRule="auto"/>
        <w:rPr>
          <w:rFonts w:ascii="Times New Roman" w:hAnsi="Times New Roman" w:cs="Times New Roman"/>
          <w:color w:val="auto"/>
          <w:sz w:val="40"/>
          <w:szCs w:val="14"/>
        </w:rPr>
      </w:pPr>
      <w:r w:rsidRPr="003F07B1">
        <w:rPr>
          <w:rFonts w:ascii="Times New Roman" w:hAnsi="Times New Roman" w:cs="Times New Roman"/>
          <w:color w:val="auto"/>
          <w:sz w:val="40"/>
          <w:szCs w:val="14"/>
        </w:rPr>
        <w:t>D</w:t>
      </w:r>
      <w:r w:rsidR="00B8631B" w:rsidRPr="003F07B1">
        <w:rPr>
          <w:rFonts w:ascii="Times New Roman" w:hAnsi="Times New Roman" w:cs="Times New Roman"/>
          <w:color w:val="auto"/>
          <w:sz w:val="40"/>
          <w:szCs w:val="14"/>
        </w:rPr>
        <w:t>o</w:t>
      </w:r>
      <w:r w:rsidRPr="003F07B1">
        <w:rPr>
          <w:rFonts w:ascii="Times New Roman" w:hAnsi="Times New Roman" w:cs="Times New Roman"/>
          <w:color w:val="auto"/>
          <w:sz w:val="40"/>
          <w:szCs w:val="14"/>
        </w:rPr>
        <w:t>N Application #MGB-20121612-HE</w:t>
      </w:r>
    </w:p>
    <w:p w14:paraId="444B258C" w14:textId="4CCFD8C9" w:rsidR="0094347D" w:rsidRPr="003F07B1" w:rsidRDefault="0094347D" w:rsidP="00531D15">
      <w:pPr>
        <w:pStyle w:val="ReportName"/>
        <w:spacing w:after="0" w:line="240" w:lineRule="auto"/>
        <w:rPr>
          <w:rFonts w:ascii="Times New Roman" w:hAnsi="Times New Roman" w:cs="Times New Roman"/>
          <w:color w:val="auto"/>
          <w:sz w:val="40"/>
          <w:szCs w:val="14"/>
        </w:rPr>
      </w:pPr>
    </w:p>
    <w:tbl>
      <w:tblPr>
        <w:tblW w:w="0" w:type="auto"/>
        <w:tblLook w:val="0000" w:firstRow="0" w:lastRow="0" w:firstColumn="0" w:lastColumn="0" w:noHBand="0" w:noVBand="0"/>
      </w:tblPr>
      <w:tblGrid>
        <w:gridCol w:w="4219"/>
      </w:tblGrid>
      <w:tr w:rsidR="00407862" w:rsidRPr="003F07B1" w14:paraId="08A22144" w14:textId="77777777" w:rsidTr="00880A25">
        <w:tc>
          <w:tcPr>
            <w:tcW w:w="4219" w:type="dxa"/>
          </w:tcPr>
          <w:p w14:paraId="4378B41A" w14:textId="4FC91A20" w:rsidR="00407862" w:rsidRPr="003F07B1" w:rsidRDefault="00407862" w:rsidP="00880A25">
            <w:pPr>
              <w:pStyle w:val="TabletextR2"/>
              <w:rPr>
                <w:rFonts w:ascii="Times New Roman" w:hAnsi="Times New Roman" w:cs="Times New Roman"/>
                <w:sz w:val="22"/>
                <w:szCs w:val="24"/>
              </w:rPr>
            </w:pPr>
            <w:r w:rsidRPr="003F07B1">
              <w:rPr>
                <w:rFonts w:ascii="Times New Roman" w:hAnsi="Times New Roman" w:cs="Times New Roman"/>
                <w:sz w:val="24"/>
                <w:szCs w:val="28"/>
              </w:rPr>
              <w:t>Prepared by:</w:t>
            </w:r>
          </w:p>
        </w:tc>
      </w:tr>
      <w:tr w:rsidR="00407862" w:rsidRPr="003F07B1" w14:paraId="7038FB24" w14:textId="77777777" w:rsidTr="00880A25">
        <w:trPr>
          <w:trHeight w:val="377"/>
        </w:trPr>
        <w:tc>
          <w:tcPr>
            <w:tcW w:w="4219" w:type="dxa"/>
          </w:tcPr>
          <w:p w14:paraId="5D0D5692" w14:textId="4A6AF421" w:rsidR="00FB2D3E" w:rsidRPr="003F07B1" w:rsidRDefault="00FB2D3E" w:rsidP="0006405D">
            <w:pPr>
              <w:pStyle w:val="TabletextR3"/>
              <w:spacing w:before="0"/>
              <w:rPr>
                <w:rFonts w:ascii="Times New Roman" w:hAnsi="Times New Roman" w:cs="Times New Roman"/>
                <w:sz w:val="24"/>
                <w:szCs w:val="28"/>
                <w:vertAlign w:val="superscript"/>
              </w:rPr>
            </w:pPr>
            <w:r w:rsidRPr="003F07B1">
              <w:rPr>
                <w:rFonts w:ascii="Times New Roman" w:hAnsi="Times New Roman" w:cs="Times New Roman"/>
                <w:sz w:val="24"/>
                <w:szCs w:val="28"/>
              </w:rPr>
              <w:t>Sean M. May, Ph.D.</w:t>
            </w:r>
            <w:r w:rsidR="006B31D3" w:rsidRPr="003F07B1">
              <w:rPr>
                <w:rFonts w:ascii="Times New Roman" w:hAnsi="Times New Roman" w:cs="Times New Roman"/>
                <w:sz w:val="24"/>
                <w:szCs w:val="28"/>
                <w:vertAlign w:val="superscript"/>
              </w:rPr>
              <w:t>*</w:t>
            </w:r>
          </w:p>
          <w:p w14:paraId="4EE2DCAF" w14:textId="59DF1B02" w:rsidR="00407862" w:rsidRPr="003F07B1" w:rsidRDefault="00407862" w:rsidP="0006405D">
            <w:pPr>
              <w:pStyle w:val="TabletextR3"/>
              <w:spacing w:before="0"/>
              <w:rPr>
                <w:rFonts w:ascii="Times New Roman" w:hAnsi="Times New Roman" w:cs="Times New Roman"/>
                <w:sz w:val="24"/>
                <w:szCs w:val="28"/>
              </w:rPr>
            </w:pPr>
            <w:r w:rsidRPr="003F07B1">
              <w:rPr>
                <w:rFonts w:ascii="Times New Roman" w:hAnsi="Times New Roman" w:cs="Times New Roman"/>
                <w:sz w:val="24"/>
                <w:szCs w:val="28"/>
              </w:rPr>
              <w:t xml:space="preserve">Charles River Associates </w:t>
            </w:r>
          </w:p>
        </w:tc>
      </w:tr>
      <w:tr w:rsidR="00407862" w:rsidRPr="003F07B1" w14:paraId="1B8EC569" w14:textId="77777777" w:rsidTr="00880A25">
        <w:tc>
          <w:tcPr>
            <w:tcW w:w="4219" w:type="dxa"/>
          </w:tcPr>
          <w:p w14:paraId="55077E8D" w14:textId="4513BED3" w:rsidR="00407862" w:rsidRPr="003F07B1" w:rsidRDefault="00407862" w:rsidP="0006405D">
            <w:pPr>
              <w:pStyle w:val="TabletextR3"/>
              <w:spacing w:before="0"/>
              <w:rPr>
                <w:rFonts w:ascii="Times New Roman" w:hAnsi="Times New Roman" w:cs="Times New Roman"/>
                <w:sz w:val="24"/>
                <w:szCs w:val="28"/>
              </w:rPr>
            </w:pPr>
            <w:r w:rsidRPr="003F07B1">
              <w:rPr>
                <w:rFonts w:ascii="Times New Roman" w:hAnsi="Times New Roman" w:cs="Times New Roman"/>
                <w:sz w:val="24"/>
                <w:szCs w:val="28"/>
              </w:rPr>
              <w:t>200 Clarendon Street</w:t>
            </w:r>
          </w:p>
        </w:tc>
      </w:tr>
      <w:tr w:rsidR="00407862" w:rsidRPr="003F07B1" w14:paraId="3456F019" w14:textId="77777777" w:rsidTr="00880A25">
        <w:tc>
          <w:tcPr>
            <w:tcW w:w="4219" w:type="dxa"/>
          </w:tcPr>
          <w:p w14:paraId="4F380CFC" w14:textId="77777777" w:rsidR="00407862" w:rsidRPr="003F07B1" w:rsidRDefault="00407862" w:rsidP="0006405D">
            <w:pPr>
              <w:pStyle w:val="TabletextR3"/>
              <w:spacing w:before="0"/>
              <w:rPr>
                <w:rFonts w:ascii="Times New Roman" w:hAnsi="Times New Roman" w:cs="Times New Roman"/>
                <w:sz w:val="24"/>
                <w:szCs w:val="28"/>
              </w:rPr>
            </w:pPr>
            <w:r w:rsidRPr="003F07B1">
              <w:rPr>
                <w:rFonts w:ascii="Times New Roman" w:hAnsi="Times New Roman" w:cs="Times New Roman"/>
                <w:sz w:val="24"/>
                <w:szCs w:val="28"/>
              </w:rPr>
              <w:t>Boston, Massachusetts 02116</w:t>
            </w:r>
          </w:p>
        </w:tc>
      </w:tr>
      <w:tr w:rsidR="00407862" w:rsidRPr="003F07B1" w14:paraId="39FE282A" w14:textId="77777777" w:rsidTr="00880A25">
        <w:trPr>
          <w:trHeight w:val="405"/>
        </w:trPr>
        <w:tc>
          <w:tcPr>
            <w:tcW w:w="4219" w:type="dxa"/>
          </w:tcPr>
          <w:p w14:paraId="0645ACAD" w14:textId="77777777" w:rsidR="00407862" w:rsidRPr="003F07B1" w:rsidRDefault="00407862" w:rsidP="00880A25">
            <w:pPr>
              <w:pStyle w:val="TabletextR3"/>
              <w:rPr>
                <w:rFonts w:ascii="Times New Roman" w:hAnsi="Times New Roman" w:cs="Times New Roman"/>
                <w:sz w:val="24"/>
                <w:szCs w:val="28"/>
              </w:rPr>
            </w:pPr>
          </w:p>
        </w:tc>
      </w:tr>
      <w:tr w:rsidR="00407862" w:rsidRPr="003F07B1" w14:paraId="49A46BC4" w14:textId="77777777" w:rsidTr="00880A25">
        <w:tc>
          <w:tcPr>
            <w:tcW w:w="4219" w:type="dxa"/>
          </w:tcPr>
          <w:p w14:paraId="66579964" w14:textId="5A7237A2" w:rsidR="00407862" w:rsidRPr="003F07B1" w:rsidRDefault="00407862" w:rsidP="00880A25">
            <w:pPr>
              <w:pStyle w:val="TabletextR3"/>
              <w:rPr>
                <w:rFonts w:ascii="Times New Roman" w:hAnsi="Times New Roman" w:cs="Times New Roman"/>
                <w:sz w:val="24"/>
                <w:szCs w:val="28"/>
              </w:rPr>
            </w:pPr>
            <w:r w:rsidRPr="003F07B1">
              <w:rPr>
                <w:rFonts w:ascii="Times New Roman" w:hAnsi="Times New Roman" w:cs="Times New Roman"/>
                <w:sz w:val="24"/>
                <w:szCs w:val="28"/>
              </w:rPr>
              <w:t>Date:</w:t>
            </w:r>
            <w:r w:rsidR="00FB2D3E" w:rsidRPr="003F07B1">
              <w:rPr>
                <w:rFonts w:ascii="Times New Roman" w:hAnsi="Times New Roman" w:cs="Times New Roman"/>
                <w:sz w:val="24"/>
                <w:szCs w:val="28"/>
              </w:rPr>
              <w:t xml:space="preserve"> </w:t>
            </w:r>
            <w:r w:rsidR="00B678E8" w:rsidRPr="003F07B1">
              <w:rPr>
                <w:rFonts w:ascii="Times New Roman" w:hAnsi="Times New Roman" w:cs="Times New Roman"/>
                <w:sz w:val="24"/>
                <w:szCs w:val="28"/>
              </w:rPr>
              <w:t>December 10</w:t>
            </w:r>
            <w:r w:rsidR="002D499A" w:rsidRPr="003F07B1">
              <w:rPr>
                <w:rFonts w:ascii="Times New Roman" w:hAnsi="Times New Roman" w:cs="Times New Roman"/>
                <w:sz w:val="24"/>
                <w:szCs w:val="28"/>
              </w:rPr>
              <w:t>, 2021</w:t>
            </w:r>
          </w:p>
        </w:tc>
      </w:tr>
    </w:tbl>
    <w:p w14:paraId="04E3DBB1" w14:textId="0F8BAC65" w:rsidR="69898F79" w:rsidRPr="003F07B1" w:rsidRDefault="69898F79">
      <w:pPr>
        <w:rPr>
          <w:rFonts w:ascii="Times New Roman" w:hAnsi="Times New Roman" w:cs="Times New Roman"/>
        </w:rPr>
      </w:pPr>
    </w:p>
    <w:p w14:paraId="2EF3AA0B" w14:textId="13FCCCB3" w:rsidR="00C122A9" w:rsidRPr="003F07B1" w:rsidRDefault="006B31D3" w:rsidP="006B31D3">
      <w:pPr>
        <w:spacing w:line="240" w:lineRule="auto"/>
        <w:ind w:left="90"/>
        <w:rPr>
          <w:rFonts w:ascii="Times New Roman" w:hAnsi="Times New Roman" w:cs="Times New Roman"/>
          <w:sz w:val="20"/>
          <w:szCs w:val="20"/>
        </w:rPr>
        <w:sectPr w:rsidR="00C122A9" w:rsidRPr="003F07B1" w:rsidSect="004E484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pPr>
      <w:r w:rsidRPr="003F07B1">
        <w:rPr>
          <w:rFonts w:ascii="Times New Roman" w:hAnsi="Times New Roman" w:cs="Times New Roman"/>
          <w:sz w:val="20"/>
          <w:szCs w:val="20"/>
        </w:rPr>
        <w:t>* The views expressed herein are the views and opinions of the author and do not reflect or represent the views of Charles River Associates or any organizations with which the author is affiliated.</w:t>
      </w:r>
    </w:p>
    <w:p w14:paraId="4B2F0048" w14:textId="53D408A4" w:rsidR="00C122A9" w:rsidRPr="003F07B1" w:rsidRDefault="00C370E6" w:rsidP="00C370E6">
      <w:pPr>
        <w:jc w:val="center"/>
        <w:rPr>
          <w:rFonts w:ascii="Times New Roman" w:hAnsi="Times New Roman" w:cs="Times New Roman"/>
          <w:b/>
          <w:bCs/>
          <w:u w:val="single"/>
        </w:rPr>
      </w:pPr>
      <w:r w:rsidRPr="003F07B1">
        <w:rPr>
          <w:rFonts w:ascii="Times New Roman" w:hAnsi="Times New Roman" w:cs="Times New Roman"/>
          <w:b/>
          <w:bCs/>
          <w:u w:val="single"/>
        </w:rPr>
        <w:lastRenderedPageBreak/>
        <w:t>Table of Contents</w:t>
      </w:r>
    </w:p>
    <w:sdt>
      <w:sdtPr>
        <w:rPr>
          <w:rFonts w:ascii="Times New Roman" w:eastAsiaTheme="minorEastAsia" w:hAnsi="Times New Roman" w:cs="Times New Roman"/>
          <w:caps w:val="0"/>
          <w:color w:val="auto"/>
          <w:sz w:val="24"/>
          <w:szCs w:val="24"/>
        </w:rPr>
        <w:id w:val="1812604880"/>
        <w:docPartObj>
          <w:docPartGallery w:val="Table of Contents"/>
          <w:docPartUnique/>
        </w:docPartObj>
      </w:sdtPr>
      <w:sdtEndPr>
        <w:rPr>
          <w:b/>
          <w:bCs/>
          <w:noProof/>
        </w:rPr>
      </w:sdtEndPr>
      <w:sdtContent>
        <w:p w14:paraId="4B4EA34F" w14:textId="143D8406" w:rsidR="00C122A9" w:rsidRPr="00C41021" w:rsidRDefault="00C122A9" w:rsidP="0069757E">
          <w:pPr>
            <w:pStyle w:val="TOCHeading"/>
            <w:numPr>
              <w:ilvl w:val="0"/>
              <w:numId w:val="0"/>
            </w:numPr>
            <w:spacing w:line="276" w:lineRule="auto"/>
            <w:rPr>
              <w:rFonts w:ascii="Times New Roman" w:hAnsi="Times New Roman" w:cs="Times New Roman"/>
              <w:sz w:val="24"/>
              <w:szCs w:val="24"/>
            </w:rPr>
          </w:pPr>
        </w:p>
        <w:p w14:paraId="0CBF1E9E" w14:textId="5B676C7C" w:rsidR="00C41021" w:rsidRPr="00C41021" w:rsidRDefault="00C122A9" w:rsidP="0069757E">
          <w:pPr>
            <w:pStyle w:val="TOC1"/>
            <w:spacing w:line="276" w:lineRule="auto"/>
            <w:rPr>
              <w:rFonts w:ascii="Times New Roman" w:hAnsi="Times New Roman"/>
              <w:noProof/>
              <w:szCs w:val="22"/>
            </w:rPr>
          </w:pPr>
          <w:r w:rsidRPr="00C41021">
            <w:rPr>
              <w:rFonts w:ascii="Times New Roman" w:hAnsi="Times New Roman" w:cs="Times New Roman"/>
            </w:rPr>
            <w:fldChar w:fldCharType="begin"/>
          </w:r>
          <w:r w:rsidRPr="00C41021">
            <w:rPr>
              <w:rFonts w:ascii="Times New Roman" w:hAnsi="Times New Roman" w:cs="Times New Roman"/>
            </w:rPr>
            <w:instrText xml:space="preserve"> TOC \o "1-3" \h \z \u </w:instrText>
          </w:r>
          <w:r w:rsidRPr="00C41021">
            <w:rPr>
              <w:rFonts w:ascii="Times New Roman" w:hAnsi="Times New Roman" w:cs="Times New Roman"/>
            </w:rPr>
            <w:fldChar w:fldCharType="separate"/>
          </w:r>
          <w:hyperlink w:anchor="_Toc90046484" w:history="1">
            <w:r w:rsidR="00C41021" w:rsidRPr="00C41021">
              <w:rPr>
                <w:rStyle w:val="Hyperlink"/>
                <w:rFonts w:ascii="Times New Roman" w:hAnsi="Times New Roman"/>
                <w:noProof/>
              </w:rPr>
              <w:t>I.</w:t>
            </w:r>
            <w:r w:rsidR="00C41021" w:rsidRPr="00C41021">
              <w:rPr>
                <w:rFonts w:ascii="Times New Roman" w:hAnsi="Times New Roman"/>
                <w:noProof/>
                <w:szCs w:val="22"/>
              </w:rPr>
              <w:tab/>
            </w:r>
            <w:r w:rsidR="00C41021" w:rsidRPr="00C41021">
              <w:rPr>
                <w:rStyle w:val="Hyperlink"/>
                <w:rFonts w:ascii="Times New Roman" w:hAnsi="Times New Roman"/>
                <w:noProof/>
              </w:rPr>
              <w:t>Executive Summary</w:t>
            </w:r>
            <w:r w:rsidR="00C41021" w:rsidRPr="00C41021">
              <w:rPr>
                <w:rFonts w:ascii="Times New Roman" w:hAnsi="Times New Roman"/>
                <w:noProof/>
                <w:webHidden/>
              </w:rPr>
              <w:tab/>
            </w:r>
            <w:r w:rsidR="00C41021" w:rsidRPr="00C41021">
              <w:rPr>
                <w:rFonts w:ascii="Times New Roman" w:hAnsi="Times New Roman"/>
                <w:noProof/>
                <w:webHidden/>
              </w:rPr>
              <w:fldChar w:fldCharType="begin"/>
            </w:r>
            <w:r w:rsidR="00C41021" w:rsidRPr="00C41021">
              <w:rPr>
                <w:rFonts w:ascii="Times New Roman" w:hAnsi="Times New Roman"/>
                <w:noProof/>
                <w:webHidden/>
              </w:rPr>
              <w:instrText xml:space="preserve"> PAGEREF _Toc90046484 \h </w:instrText>
            </w:r>
            <w:r w:rsidR="00C41021" w:rsidRPr="00C41021">
              <w:rPr>
                <w:rFonts w:ascii="Times New Roman" w:hAnsi="Times New Roman"/>
                <w:noProof/>
                <w:webHidden/>
              </w:rPr>
            </w:r>
            <w:r w:rsidR="00C41021" w:rsidRPr="00C41021">
              <w:rPr>
                <w:rFonts w:ascii="Times New Roman" w:hAnsi="Times New Roman"/>
                <w:noProof/>
                <w:webHidden/>
              </w:rPr>
              <w:fldChar w:fldCharType="separate"/>
            </w:r>
            <w:r w:rsidR="002B78C3">
              <w:rPr>
                <w:rFonts w:ascii="Times New Roman" w:hAnsi="Times New Roman"/>
                <w:noProof/>
                <w:webHidden/>
              </w:rPr>
              <w:t>1</w:t>
            </w:r>
            <w:r w:rsidR="00C41021" w:rsidRPr="00C41021">
              <w:rPr>
                <w:rFonts w:ascii="Times New Roman" w:hAnsi="Times New Roman"/>
                <w:noProof/>
                <w:webHidden/>
              </w:rPr>
              <w:fldChar w:fldCharType="end"/>
            </w:r>
          </w:hyperlink>
        </w:p>
        <w:p w14:paraId="1B065138" w14:textId="544814BB" w:rsidR="00C41021" w:rsidRPr="00C41021" w:rsidRDefault="005D4A49" w:rsidP="0069757E">
          <w:pPr>
            <w:pStyle w:val="TOC1"/>
            <w:spacing w:line="276" w:lineRule="auto"/>
            <w:rPr>
              <w:rFonts w:ascii="Times New Roman" w:hAnsi="Times New Roman"/>
              <w:noProof/>
              <w:szCs w:val="22"/>
            </w:rPr>
          </w:pPr>
          <w:hyperlink w:anchor="_Toc90046485" w:history="1">
            <w:r w:rsidR="00C41021" w:rsidRPr="00C41021">
              <w:rPr>
                <w:rStyle w:val="Hyperlink"/>
                <w:rFonts w:ascii="Times New Roman" w:hAnsi="Times New Roman"/>
                <w:noProof/>
              </w:rPr>
              <w:t>II.</w:t>
            </w:r>
            <w:r w:rsidR="00C41021" w:rsidRPr="00C41021">
              <w:rPr>
                <w:rFonts w:ascii="Times New Roman" w:hAnsi="Times New Roman"/>
                <w:noProof/>
                <w:szCs w:val="22"/>
              </w:rPr>
              <w:tab/>
            </w:r>
            <w:r w:rsidR="00C41021" w:rsidRPr="00C41021">
              <w:rPr>
                <w:rStyle w:val="Hyperlink"/>
                <w:rFonts w:ascii="Times New Roman" w:hAnsi="Times New Roman"/>
                <w:noProof/>
              </w:rPr>
              <w:t>Introduction and Background</w:t>
            </w:r>
            <w:r w:rsidR="00C41021" w:rsidRPr="00C41021">
              <w:rPr>
                <w:rFonts w:ascii="Times New Roman" w:hAnsi="Times New Roman"/>
                <w:noProof/>
                <w:webHidden/>
              </w:rPr>
              <w:tab/>
            </w:r>
            <w:r w:rsidR="00C41021" w:rsidRPr="00C41021">
              <w:rPr>
                <w:rFonts w:ascii="Times New Roman" w:hAnsi="Times New Roman"/>
                <w:noProof/>
                <w:webHidden/>
              </w:rPr>
              <w:fldChar w:fldCharType="begin"/>
            </w:r>
            <w:r w:rsidR="00C41021" w:rsidRPr="00C41021">
              <w:rPr>
                <w:rFonts w:ascii="Times New Roman" w:hAnsi="Times New Roman"/>
                <w:noProof/>
                <w:webHidden/>
              </w:rPr>
              <w:instrText xml:space="preserve"> PAGEREF _Toc90046485 \h </w:instrText>
            </w:r>
            <w:r w:rsidR="00C41021" w:rsidRPr="00C41021">
              <w:rPr>
                <w:rFonts w:ascii="Times New Roman" w:hAnsi="Times New Roman"/>
                <w:noProof/>
                <w:webHidden/>
              </w:rPr>
            </w:r>
            <w:r w:rsidR="00C41021" w:rsidRPr="00C41021">
              <w:rPr>
                <w:rFonts w:ascii="Times New Roman" w:hAnsi="Times New Roman"/>
                <w:noProof/>
                <w:webHidden/>
              </w:rPr>
              <w:fldChar w:fldCharType="separate"/>
            </w:r>
            <w:r w:rsidR="002B78C3">
              <w:rPr>
                <w:rFonts w:ascii="Times New Roman" w:hAnsi="Times New Roman"/>
                <w:noProof/>
                <w:webHidden/>
              </w:rPr>
              <w:t>2</w:t>
            </w:r>
            <w:r w:rsidR="00C41021" w:rsidRPr="00C41021">
              <w:rPr>
                <w:rFonts w:ascii="Times New Roman" w:hAnsi="Times New Roman"/>
                <w:noProof/>
                <w:webHidden/>
              </w:rPr>
              <w:fldChar w:fldCharType="end"/>
            </w:r>
          </w:hyperlink>
        </w:p>
        <w:p w14:paraId="5C667F33" w14:textId="5B05E2C1" w:rsidR="00C41021" w:rsidRPr="00C41021" w:rsidRDefault="005D4A49" w:rsidP="0069757E">
          <w:pPr>
            <w:pStyle w:val="TOC2"/>
            <w:spacing w:line="276" w:lineRule="auto"/>
            <w:rPr>
              <w:rFonts w:ascii="Times New Roman" w:hAnsi="Times New Roman" w:cstheme="minorBidi"/>
              <w:szCs w:val="22"/>
            </w:rPr>
          </w:pPr>
          <w:hyperlink w:anchor="_Toc90046486" w:history="1">
            <w:r w:rsidR="00C41021" w:rsidRPr="00C41021">
              <w:rPr>
                <w:rStyle w:val="Hyperlink"/>
                <w:rFonts w:ascii="Times New Roman" w:hAnsi="Times New Roman"/>
              </w:rPr>
              <w:t>A.</w:t>
            </w:r>
            <w:r w:rsidR="00C41021" w:rsidRPr="00C41021">
              <w:rPr>
                <w:rFonts w:ascii="Times New Roman" w:hAnsi="Times New Roman" w:cstheme="minorBidi"/>
                <w:szCs w:val="22"/>
              </w:rPr>
              <w:tab/>
            </w:r>
            <w:r w:rsidR="00C41021" w:rsidRPr="00C41021">
              <w:rPr>
                <w:rStyle w:val="Hyperlink"/>
                <w:rFonts w:ascii="Times New Roman" w:hAnsi="Times New Roman"/>
              </w:rPr>
              <w:t>Introduction</w:t>
            </w:r>
            <w:r w:rsidR="00C41021" w:rsidRPr="00C41021">
              <w:rPr>
                <w:rFonts w:ascii="Times New Roman" w:hAnsi="Times New Roman"/>
                <w:webHidden/>
              </w:rPr>
              <w:tab/>
            </w:r>
            <w:r w:rsidR="00C41021" w:rsidRPr="00C41021">
              <w:rPr>
                <w:rFonts w:ascii="Times New Roman" w:hAnsi="Times New Roman"/>
                <w:webHidden/>
              </w:rPr>
              <w:fldChar w:fldCharType="begin"/>
            </w:r>
            <w:r w:rsidR="00C41021" w:rsidRPr="00C41021">
              <w:rPr>
                <w:rFonts w:ascii="Times New Roman" w:hAnsi="Times New Roman"/>
                <w:webHidden/>
              </w:rPr>
              <w:instrText xml:space="preserve"> PAGEREF _Toc90046486 \h </w:instrText>
            </w:r>
            <w:r w:rsidR="00C41021" w:rsidRPr="00C41021">
              <w:rPr>
                <w:rFonts w:ascii="Times New Roman" w:hAnsi="Times New Roman"/>
                <w:webHidden/>
              </w:rPr>
            </w:r>
            <w:r w:rsidR="00C41021" w:rsidRPr="00C41021">
              <w:rPr>
                <w:rFonts w:ascii="Times New Roman" w:hAnsi="Times New Roman"/>
                <w:webHidden/>
              </w:rPr>
              <w:fldChar w:fldCharType="separate"/>
            </w:r>
            <w:r w:rsidR="002B78C3">
              <w:rPr>
                <w:rFonts w:ascii="Times New Roman" w:hAnsi="Times New Roman"/>
                <w:webHidden/>
              </w:rPr>
              <w:t>2</w:t>
            </w:r>
            <w:r w:rsidR="00C41021" w:rsidRPr="00C41021">
              <w:rPr>
                <w:rFonts w:ascii="Times New Roman" w:hAnsi="Times New Roman"/>
                <w:webHidden/>
              </w:rPr>
              <w:fldChar w:fldCharType="end"/>
            </w:r>
          </w:hyperlink>
        </w:p>
        <w:p w14:paraId="632AA7A9" w14:textId="1B05DA74" w:rsidR="00C41021" w:rsidRPr="00C41021" w:rsidRDefault="005D4A49" w:rsidP="0069757E">
          <w:pPr>
            <w:pStyle w:val="TOC2"/>
            <w:spacing w:line="276" w:lineRule="auto"/>
            <w:rPr>
              <w:rFonts w:ascii="Times New Roman" w:hAnsi="Times New Roman" w:cstheme="minorBidi"/>
              <w:szCs w:val="22"/>
            </w:rPr>
          </w:pPr>
          <w:hyperlink w:anchor="_Toc90046487" w:history="1">
            <w:r w:rsidR="00C41021" w:rsidRPr="00C41021">
              <w:rPr>
                <w:rStyle w:val="Hyperlink"/>
                <w:rFonts w:ascii="Times New Roman" w:hAnsi="Times New Roman"/>
              </w:rPr>
              <w:t>B.</w:t>
            </w:r>
            <w:r w:rsidR="00C41021" w:rsidRPr="00C41021">
              <w:rPr>
                <w:rFonts w:ascii="Times New Roman" w:hAnsi="Times New Roman" w:cstheme="minorBidi"/>
                <w:szCs w:val="22"/>
              </w:rPr>
              <w:tab/>
            </w:r>
            <w:r w:rsidR="00C41021" w:rsidRPr="00C41021">
              <w:rPr>
                <w:rStyle w:val="Hyperlink"/>
                <w:rFonts w:ascii="Times New Roman" w:hAnsi="Times New Roman"/>
              </w:rPr>
              <w:t>Elements of the ICA</w:t>
            </w:r>
            <w:r w:rsidR="00C41021" w:rsidRPr="00C41021">
              <w:rPr>
                <w:rFonts w:ascii="Times New Roman" w:hAnsi="Times New Roman"/>
                <w:webHidden/>
              </w:rPr>
              <w:tab/>
            </w:r>
            <w:r w:rsidR="00C41021" w:rsidRPr="00C41021">
              <w:rPr>
                <w:rFonts w:ascii="Times New Roman" w:hAnsi="Times New Roman"/>
                <w:webHidden/>
              </w:rPr>
              <w:fldChar w:fldCharType="begin"/>
            </w:r>
            <w:r w:rsidR="00C41021" w:rsidRPr="00C41021">
              <w:rPr>
                <w:rFonts w:ascii="Times New Roman" w:hAnsi="Times New Roman"/>
                <w:webHidden/>
              </w:rPr>
              <w:instrText xml:space="preserve"> PAGEREF _Toc90046487 \h </w:instrText>
            </w:r>
            <w:r w:rsidR="00C41021" w:rsidRPr="00C41021">
              <w:rPr>
                <w:rFonts w:ascii="Times New Roman" w:hAnsi="Times New Roman"/>
                <w:webHidden/>
              </w:rPr>
            </w:r>
            <w:r w:rsidR="00C41021" w:rsidRPr="00C41021">
              <w:rPr>
                <w:rFonts w:ascii="Times New Roman" w:hAnsi="Times New Roman"/>
                <w:webHidden/>
              </w:rPr>
              <w:fldChar w:fldCharType="separate"/>
            </w:r>
            <w:r w:rsidR="002B78C3">
              <w:rPr>
                <w:rFonts w:ascii="Times New Roman" w:hAnsi="Times New Roman"/>
                <w:webHidden/>
              </w:rPr>
              <w:t>3</w:t>
            </w:r>
            <w:r w:rsidR="00C41021" w:rsidRPr="00C41021">
              <w:rPr>
                <w:rFonts w:ascii="Times New Roman" w:hAnsi="Times New Roman"/>
                <w:webHidden/>
              </w:rPr>
              <w:fldChar w:fldCharType="end"/>
            </w:r>
          </w:hyperlink>
        </w:p>
        <w:p w14:paraId="766ED9F4" w14:textId="1B868C67" w:rsidR="00C41021" w:rsidRPr="00C41021" w:rsidRDefault="005D4A49" w:rsidP="0069757E">
          <w:pPr>
            <w:pStyle w:val="TOC2"/>
            <w:spacing w:line="276" w:lineRule="auto"/>
            <w:rPr>
              <w:rFonts w:ascii="Times New Roman" w:hAnsi="Times New Roman" w:cstheme="minorBidi"/>
              <w:szCs w:val="22"/>
            </w:rPr>
          </w:pPr>
          <w:hyperlink w:anchor="_Toc90046488" w:history="1">
            <w:r w:rsidR="00C41021" w:rsidRPr="00C41021">
              <w:rPr>
                <w:rStyle w:val="Hyperlink"/>
                <w:rFonts w:ascii="Times New Roman" w:hAnsi="Times New Roman"/>
              </w:rPr>
              <w:t>C.</w:t>
            </w:r>
            <w:r w:rsidR="00C41021" w:rsidRPr="00C41021">
              <w:rPr>
                <w:rFonts w:ascii="Times New Roman" w:hAnsi="Times New Roman" w:cstheme="minorBidi"/>
                <w:szCs w:val="22"/>
              </w:rPr>
              <w:tab/>
            </w:r>
            <w:r w:rsidR="00C41021" w:rsidRPr="00C41021">
              <w:rPr>
                <w:rStyle w:val="Hyperlink"/>
                <w:rFonts w:ascii="Times New Roman" w:hAnsi="Times New Roman"/>
              </w:rPr>
              <w:t>Massachusetts General Hospital Project</w:t>
            </w:r>
            <w:r w:rsidR="00C41021" w:rsidRPr="00C41021">
              <w:rPr>
                <w:rFonts w:ascii="Times New Roman" w:hAnsi="Times New Roman"/>
                <w:webHidden/>
              </w:rPr>
              <w:tab/>
            </w:r>
            <w:r w:rsidR="00C41021" w:rsidRPr="00C41021">
              <w:rPr>
                <w:rFonts w:ascii="Times New Roman" w:hAnsi="Times New Roman"/>
                <w:webHidden/>
              </w:rPr>
              <w:fldChar w:fldCharType="begin"/>
            </w:r>
            <w:r w:rsidR="00C41021" w:rsidRPr="00C41021">
              <w:rPr>
                <w:rFonts w:ascii="Times New Roman" w:hAnsi="Times New Roman"/>
                <w:webHidden/>
              </w:rPr>
              <w:instrText xml:space="preserve"> PAGEREF _Toc90046488 \h </w:instrText>
            </w:r>
            <w:r w:rsidR="00C41021" w:rsidRPr="00C41021">
              <w:rPr>
                <w:rFonts w:ascii="Times New Roman" w:hAnsi="Times New Roman"/>
                <w:webHidden/>
              </w:rPr>
            </w:r>
            <w:r w:rsidR="00C41021" w:rsidRPr="00C41021">
              <w:rPr>
                <w:rFonts w:ascii="Times New Roman" w:hAnsi="Times New Roman"/>
                <w:webHidden/>
              </w:rPr>
              <w:fldChar w:fldCharType="separate"/>
            </w:r>
            <w:r w:rsidR="002B78C3">
              <w:rPr>
                <w:rFonts w:ascii="Times New Roman" w:hAnsi="Times New Roman"/>
                <w:webHidden/>
              </w:rPr>
              <w:t>5</w:t>
            </w:r>
            <w:r w:rsidR="00C41021" w:rsidRPr="00C41021">
              <w:rPr>
                <w:rFonts w:ascii="Times New Roman" w:hAnsi="Times New Roman"/>
                <w:webHidden/>
              </w:rPr>
              <w:fldChar w:fldCharType="end"/>
            </w:r>
          </w:hyperlink>
        </w:p>
        <w:p w14:paraId="15AC647F" w14:textId="07006E0A" w:rsidR="00C41021" w:rsidRPr="00C41021" w:rsidRDefault="005D4A49" w:rsidP="0069757E">
          <w:pPr>
            <w:pStyle w:val="TOC1"/>
            <w:spacing w:line="276" w:lineRule="auto"/>
            <w:rPr>
              <w:rFonts w:ascii="Times New Roman" w:hAnsi="Times New Roman"/>
              <w:noProof/>
              <w:szCs w:val="22"/>
            </w:rPr>
          </w:pPr>
          <w:hyperlink w:anchor="_Toc90046489" w:history="1">
            <w:r w:rsidR="00C41021" w:rsidRPr="00C41021">
              <w:rPr>
                <w:rStyle w:val="Hyperlink"/>
                <w:rFonts w:ascii="Times New Roman" w:hAnsi="Times New Roman"/>
                <w:noProof/>
              </w:rPr>
              <w:t>III.</w:t>
            </w:r>
            <w:r w:rsidR="00C41021" w:rsidRPr="00C41021">
              <w:rPr>
                <w:rFonts w:ascii="Times New Roman" w:hAnsi="Times New Roman"/>
                <w:noProof/>
                <w:szCs w:val="22"/>
              </w:rPr>
              <w:tab/>
            </w:r>
            <w:r w:rsidR="00C41021" w:rsidRPr="00C41021">
              <w:rPr>
                <w:rStyle w:val="Hyperlink"/>
                <w:rFonts w:ascii="Times New Roman" w:hAnsi="Times New Roman"/>
                <w:noProof/>
              </w:rPr>
              <w:t>Data Sources, Service Line Definitions, and Prices for Health Care Services</w:t>
            </w:r>
            <w:r w:rsidR="00C41021" w:rsidRPr="00C41021">
              <w:rPr>
                <w:rFonts w:ascii="Times New Roman" w:hAnsi="Times New Roman"/>
                <w:noProof/>
                <w:webHidden/>
              </w:rPr>
              <w:tab/>
            </w:r>
            <w:r w:rsidR="00C41021" w:rsidRPr="00C41021">
              <w:rPr>
                <w:rFonts w:ascii="Times New Roman" w:hAnsi="Times New Roman"/>
                <w:noProof/>
                <w:webHidden/>
              </w:rPr>
              <w:fldChar w:fldCharType="begin"/>
            </w:r>
            <w:r w:rsidR="00C41021" w:rsidRPr="00C41021">
              <w:rPr>
                <w:rFonts w:ascii="Times New Roman" w:hAnsi="Times New Roman"/>
                <w:noProof/>
                <w:webHidden/>
              </w:rPr>
              <w:instrText xml:space="preserve"> PAGEREF _Toc90046489 \h </w:instrText>
            </w:r>
            <w:r w:rsidR="00C41021" w:rsidRPr="00C41021">
              <w:rPr>
                <w:rFonts w:ascii="Times New Roman" w:hAnsi="Times New Roman"/>
                <w:noProof/>
                <w:webHidden/>
              </w:rPr>
            </w:r>
            <w:r w:rsidR="00C41021" w:rsidRPr="00C41021">
              <w:rPr>
                <w:rFonts w:ascii="Times New Roman" w:hAnsi="Times New Roman"/>
                <w:noProof/>
                <w:webHidden/>
              </w:rPr>
              <w:fldChar w:fldCharType="separate"/>
            </w:r>
            <w:r w:rsidR="002B78C3">
              <w:rPr>
                <w:rFonts w:ascii="Times New Roman" w:hAnsi="Times New Roman"/>
                <w:noProof/>
                <w:webHidden/>
              </w:rPr>
              <w:t>7</w:t>
            </w:r>
            <w:r w:rsidR="00C41021" w:rsidRPr="00C41021">
              <w:rPr>
                <w:rFonts w:ascii="Times New Roman" w:hAnsi="Times New Roman"/>
                <w:noProof/>
                <w:webHidden/>
              </w:rPr>
              <w:fldChar w:fldCharType="end"/>
            </w:r>
          </w:hyperlink>
        </w:p>
        <w:p w14:paraId="1198238C" w14:textId="6EFB95F6" w:rsidR="00C41021" w:rsidRPr="00C41021" w:rsidRDefault="005D4A49" w:rsidP="0069757E">
          <w:pPr>
            <w:pStyle w:val="TOC2"/>
            <w:spacing w:line="276" w:lineRule="auto"/>
            <w:rPr>
              <w:rFonts w:ascii="Times New Roman" w:hAnsi="Times New Roman" w:cstheme="minorBidi"/>
              <w:szCs w:val="22"/>
            </w:rPr>
          </w:pPr>
          <w:hyperlink w:anchor="_Toc90046490" w:history="1">
            <w:r w:rsidR="00C41021" w:rsidRPr="00C41021">
              <w:rPr>
                <w:rStyle w:val="Hyperlink"/>
                <w:rFonts w:ascii="Times New Roman" w:hAnsi="Times New Roman"/>
              </w:rPr>
              <w:t>A.</w:t>
            </w:r>
            <w:r w:rsidR="00C41021" w:rsidRPr="00C41021">
              <w:rPr>
                <w:rFonts w:ascii="Times New Roman" w:hAnsi="Times New Roman" w:cstheme="minorBidi"/>
                <w:szCs w:val="22"/>
              </w:rPr>
              <w:tab/>
            </w:r>
            <w:r w:rsidR="00C41021" w:rsidRPr="00C41021">
              <w:rPr>
                <w:rStyle w:val="Hyperlink"/>
                <w:rFonts w:ascii="Times New Roman" w:hAnsi="Times New Roman"/>
              </w:rPr>
              <w:t>Data Sources Used for Analyses</w:t>
            </w:r>
            <w:r w:rsidR="00C41021" w:rsidRPr="00C41021">
              <w:rPr>
                <w:rFonts w:ascii="Times New Roman" w:hAnsi="Times New Roman"/>
                <w:webHidden/>
              </w:rPr>
              <w:tab/>
            </w:r>
            <w:r w:rsidR="00C41021" w:rsidRPr="00C41021">
              <w:rPr>
                <w:rFonts w:ascii="Times New Roman" w:hAnsi="Times New Roman"/>
                <w:webHidden/>
              </w:rPr>
              <w:fldChar w:fldCharType="begin"/>
            </w:r>
            <w:r w:rsidR="00C41021" w:rsidRPr="00C41021">
              <w:rPr>
                <w:rFonts w:ascii="Times New Roman" w:hAnsi="Times New Roman"/>
                <w:webHidden/>
              </w:rPr>
              <w:instrText xml:space="preserve"> PAGEREF _Toc90046490 \h </w:instrText>
            </w:r>
            <w:r w:rsidR="00C41021" w:rsidRPr="00C41021">
              <w:rPr>
                <w:rFonts w:ascii="Times New Roman" w:hAnsi="Times New Roman"/>
                <w:webHidden/>
              </w:rPr>
            </w:r>
            <w:r w:rsidR="00C41021" w:rsidRPr="00C41021">
              <w:rPr>
                <w:rFonts w:ascii="Times New Roman" w:hAnsi="Times New Roman"/>
                <w:webHidden/>
              </w:rPr>
              <w:fldChar w:fldCharType="separate"/>
            </w:r>
            <w:r w:rsidR="002B78C3">
              <w:rPr>
                <w:rFonts w:ascii="Times New Roman" w:hAnsi="Times New Roman"/>
                <w:webHidden/>
              </w:rPr>
              <w:t>7</w:t>
            </w:r>
            <w:r w:rsidR="00C41021" w:rsidRPr="00C41021">
              <w:rPr>
                <w:rFonts w:ascii="Times New Roman" w:hAnsi="Times New Roman"/>
                <w:webHidden/>
              </w:rPr>
              <w:fldChar w:fldCharType="end"/>
            </w:r>
          </w:hyperlink>
        </w:p>
        <w:p w14:paraId="1498694F" w14:textId="6A97A6D3" w:rsidR="00C41021" w:rsidRPr="00C41021" w:rsidRDefault="005D4A49" w:rsidP="0069757E">
          <w:pPr>
            <w:pStyle w:val="TOC3"/>
            <w:spacing w:line="276" w:lineRule="auto"/>
            <w:rPr>
              <w:rFonts w:ascii="Times New Roman" w:hAnsi="Times New Roman"/>
              <w:noProof/>
              <w:szCs w:val="22"/>
            </w:rPr>
          </w:pPr>
          <w:hyperlink w:anchor="_Toc90046491" w:history="1">
            <w:r w:rsidR="00C41021" w:rsidRPr="00C41021">
              <w:rPr>
                <w:rStyle w:val="Hyperlink"/>
                <w:rFonts w:ascii="Times New Roman" w:hAnsi="Times New Roman"/>
                <w:noProof/>
              </w:rPr>
              <w:t>1.</w:t>
            </w:r>
            <w:r w:rsidR="00C41021" w:rsidRPr="00C41021">
              <w:rPr>
                <w:rFonts w:ascii="Times New Roman" w:hAnsi="Times New Roman"/>
                <w:noProof/>
                <w:szCs w:val="22"/>
              </w:rPr>
              <w:tab/>
            </w:r>
            <w:r w:rsidR="00C41021" w:rsidRPr="00C41021">
              <w:rPr>
                <w:rStyle w:val="Hyperlink"/>
                <w:rFonts w:ascii="Times New Roman" w:hAnsi="Times New Roman"/>
                <w:noProof/>
              </w:rPr>
              <w:t>CHIA Hospital Inpatient Discharge Database</w:t>
            </w:r>
            <w:r w:rsidR="00C41021" w:rsidRPr="00C41021">
              <w:rPr>
                <w:rFonts w:ascii="Times New Roman" w:hAnsi="Times New Roman"/>
                <w:noProof/>
                <w:webHidden/>
              </w:rPr>
              <w:tab/>
            </w:r>
            <w:r w:rsidR="00C41021" w:rsidRPr="00C41021">
              <w:rPr>
                <w:rFonts w:ascii="Times New Roman" w:hAnsi="Times New Roman"/>
                <w:noProof/>
                <w:webHidden/>
              </w:rPr>
              <w:fldChar w:fldCharType="begin"/>
            </w:r>
            <w:r w:rsidR="00C41021" w:rsidRPr="00C41021">
              <w:rPr>
                <w:rFonts w:ascii="Times New Roman" w:hAnsi="Times New Roman"/>
                <w:noProof/>
                <w:webHidden/>
              </w:rPr>
              <w:instrText xml:space="preserve"> PAGEREF _Toc90046491 \h </w:instrText>
            </w:r>
            <w:r w:rsidR="00C41021" w:rsidRPr="00C41021">
              <w:rPr>
                <w:rFonts w:ascii="Times New Roman" w:hAnsi="Times New Roman"/>
                <w:noProof/>
                <w:webHidden/>
              </w:rPr>
            </w:r>
            <w:r w:rsidR="00C41021" w:rsidRPr="00C41021">
              <w:rPr>
                <w:rFonts w:ascii="Times New Roman" w:hAnsi="Times New Roman"/>
                <w:noProof/>
                <w:webHidden/>
              </w:rPr>
              <w:fldChar w:fldCharType="separate"/>
            </w:r>
            <w:r w:rsidR="002B78C3">
              <w:rPr>
                <w:rFonts w:ascii="Times New Roman" w:hAnsi="Times New Roman"/>
                <w:noProof/>
                <w:webHidden/>
              </w:rPr>
              <w:t>7</w:t>
            </w:r>
            <w:r w:rsidR="00C41021" w:rsidRPr="00C41021">
              <w:rPr>
                <w:rFonts w:ascii="Times New Roman" w:hAnsi="Times New Roman"/>
                <w:noProof/>
                <w:webHidden/>
              </w:rPr>
              <w:fldChar w:fldCharType="end"/>
            </w:r>
          </w:hyperlink>
        </w:p>
        <w:p w14:paraId="360CBF10" w14:textId="17152629" w:rsidR="00C41021" w:rsidRPr="00C41021" w:rsidRDefault="005D4A49" w:rsidP="0069757E">
          <w:pPr>
            <w:pStyle w:val="TOC3"/>
            <w:spacing w:line="276" w:lineRule="auto"/>
            <w:rPr>
              <w:rFonts w:ascii="Times New Roman" w:hAnsi="Times New Roman"/>
              <w:noProof/>
              <w:szCs w:val="22"/>
            </w:rPr>
          </w:pPr>
          <w:hyperlink w:anchor="_Toc90046492" w:history="1">
            <w:r w:rsidR="00C41021" w:rsidRPr="00C41021">
              <w:rPr>
                <w:rStyle w:val="Hyperlink"/>
                <w:rFonts w:ascii="Times New Roman" w:hAnsi="Times New Roman"/>
                <w:noProof/>
              </w:rPr>
              <w:t>2.</w:t>
            </w:r>
            <w:r w:rsidR="00C41021" w:rsidRPr="00C41021">
              <w:rPr>
                <w:rFonts w:ascii="Times New Roman" w:hAnsi="Times New Roman"/>
                <w:noProof/>
                <w:szCs w:val="22"/>
              </w:rPr>
              <w:tab/>
            </w:r>
            <w:r w:rsidR="00C41021" w:rsidRPr="00C41021">
              <w:rPr>
                <w:rStyle w:val="Hyperlink"/>
                <w:rFonts w:ascii="Times New Roman" w:hAnsi="Times New Roman"/>
                <w:noProof/>
              </w:rPr>
              <w:t>CHIA All-Payer Claims Database</w:t>
            </w:r>
            <w:r w:rsidR="00C41021" w:rsidRPr="00C41021">
              <w:rPr>
                <w:rFonts w:ascii="Times New Roman" w:hAnsi="Times New Roman"/>
                <w:noProof/>
                <w:webHidden/>
              </w:rPr>
              <w:tab/>
            </w:r>
            <w:r w:rsidR="00C41021" w:rsidRPr="00C41021">
              <w:rPr>
                <w:rFonts w:ascii="Times New Roman" w:hAnsi="Times New Roman"/>
                <w:noProof/>
                <w:webHidden/>
              </w:rPr>
              <w:fldChar w:fldCharType="begin"/>
            </w:r>
            <w:r w:rsidR="00C41021" w:rsidRPr="00C41021">
              <w:rPr>
                <w:rFonts w:ascii="Times New Roman" w:hAnsi="Times New Roman"/>
                <w:noProof/>
                <w:webHidden/>
              </w:rPr>
              <w:instrText xml:space="preserve"> PAGEREF _Toc90046492 \h </w:instrText>
            </w:r>
            <w:r w:rsidR="00C41021" w:rsidRPr="00C41021">
              <w:rPr>
                <w:rFonts w:ascii="Times New Roman" w:hAnsi="Times New Roman"/>
                <w:noProof/>
                <w:webHidden/>
              </w:rPr>
            </w:r>
            <w:r w:rsidR="00C41021" w:rsidRPr="00C41021">
              <w:rPr>
                <w:rFonts w:ascii="Times New Roman" w:hAnsi="Times New Roman"/>
                <w:noProof/>
                <w:webHidden/>
              </w:rPr>
              <w:fldChar w:fldCharType="separate"/>
            </w:r>
            <w:r w:rsidR="002B78C3">
              <w:rPr>
                <w:rFonts w:ascii="Times New Roman" w:hAnsi="Times New Roman"/>
                <w:noProof/>
                <w:webHidden/>
              </w:rPr>
              <w:t>10</w:t>
            </w:r>
            <w:r w:rsidR="00C41021" w:rsidRPr="00C41021">
              <w:rPr>
                <w:rFonts w:ascii="Times New Roman" w:hAnsi="Times New Roman"/>
                <w:noProof/>
                <w:webHidden/>
              </w:rPr>
              <w:fldChar w:fldCharType="end"/>
            </w:r>
          </w:hyperlink>
        </w:p>
        <w:p w14:paraId="220A879B" w14:textId="5586A6D8" w:rsidR="00C41021" w:rsidRPr="00C41021" w:rsidRDefault="005D4A49" w:rsidP="0069757E">
          <w:pPr>
            <w:pStyle w:val="TOC3"/>
            <w:spacing w:line="276" w:lineRule="auto"/>
            <w:rPr>
              <w:rFonts w:ascii="Times New Roman" w:hAnsi="Times New Roman"/>
              <w:noProof/>
              <w:szCs w:val="22"/>
            </w:rPr>
          </w:pPr>
          <w:hyperlink w:anchor="_Toc90046493" w:history="1">
            <w:r w:rsidR="00C41021" w:rsidRPr="00C41021">
              <w:rPr>
                <w:rStyle w:val="Hyperlink"/>
                <w:rFonts w:ascii="Times New Roman" w:hAnsi="Times New Roman"/>
                <w:noProof/>
              </w:rPr>
              <w:t>3.</w:t>
            </w:r>
            <w:r w:rsidR="00C41021" w:rsidRPr="00C41021">
              <w:rPr>
                <w:rFonts w:ascii="Times New Roman" w:hAnsi="Times New Roman"/>
                <w:noProof/>
                <w:szCs w:val="22"/>
              </w:rPr>
              <w:tab/>
            </w:r>
            <w:r w:rsidR="00C41021" w:rsidRPr="00C41021">
              <w:rPr>
                <w:rStyle w:val="Hyperlink"/>
                <w:rFonts w:ascii="Times New Roman" w:hAnsi="Times New Roman"/>
                <w:noProof/>
              </w:rPr>
              <w:t>Medicare Claims Data</w:t>
            </w:r>
            <w:r w:rsidR="00C41021" w:rsidRPr="00C41021">
              <w:rPr>
                <w:rFonts w:ascii="Times New Roman" w:hAnsi="Times New Roman"/>
                <w:noProof/>
                <w:webHidden/>
              </w:rPr>
              <w:tab/>
            </w:r>
            <w:r w:rsidR="00C41021" w:rsidRPr="00C41021">
              <w:rPr>
                <w:rFonts w:ascii="Times New Roman" w:hAnsi="Times New Roman"/>
                <w:noProof/>
                <w:webHidden/>
              </w:rPr>
              <w:fldChar w:fldCharType="begin"/>
            </w:r>
            <w:r w:rsidR="00C41021" w:rsidRPr="00C41021">
              <w:rPr>
                <w:rFonts w:ascii="Times New Roman" w:hAnsi="Times New Roman"/>
                <w:noProof/>
                <w:webHidden/>
              </w:rPr>
              <w:instrText xml:space="preserve"> PAGEREF _Toc90046493 \h </w:instrText>
            </w:r>
            <w:r w:rsidR="00C41021" w:rsidRPr="00C41021">
              <w:rPr>
                <w:rFonts w:ascii="Times New Roman" w:hAnsi="Times New Roman"/>
                <w:noProof/>
                <w:webHidden/>
              </w:rPr>
            </w:r>
            <w:r w:rsidR="00C41021" w:rsidRPr="00C41021">
              <w:rPr>
                <w:rFonts w:ascii="Times New Roman" w:hAnsi="Times New Roman"/>
                <w:noProof/>
                <w:webHidden/>
              </w:rPr>
              <w:fldChar w:fldCharType="separate"/>
            </w:r>
            <w:r w:rsidR="002B78C3">
              <w:rPr>
                <w:rFonts w:ascii="Times New Roman" w:hAnsi="Times New Roman"/>
                <w:noProof/>
                <w:webHidden/>
              </w:rPr>
              <w:t>14</w:t>
            </w:r>
            <w:r w:rsidR="00C41021" w:rsidRPr="00C41021">
              <w:rPr>
                <w:rFonts w:ascii="Times New Roman" w:hAnsi="Times New Roman"/>
                <w:noProof/>
                <w:webHidden/>
              </w:rPr>
              <w:fldChar w:fldCharType="end"/>
            </w:r>
          </w:hyperlink>
        </w:p>
        <w:p w14:paraId="09010108" w14:textId="1BA064EA" w:rsidR="00C41021" w:rsidRPr="00C41021" w:rsidRDefault="005D4A49" w:rsidP="0069757E">
          <w:pPr>
            <w:pStyle w:val="TOC3"/>
            <w:spacing w:line="276" w:lineRule="auto"/>
            <w:rPr>
              <w:rFonts w:ascii="Times New Roman" w:hAnsi="Times New Roman"/>
              <w:noProof/>
              <w:szCs w:val="22"/>
            </w:rPr>
          </w:pPr>
          <w:hyperlink w:anchor="_Toc90046494" w:history="1">
            <w:r w:rsidR="00C41021" w:rsidRPr="00C41021">
              <w:rPr>
                <w:rStyle w:val="Hyperlink"/>
                <w:rFonts w:ascii="Times New Roman" w:hAnsi="Times New Roman"/>
                <w:noProof/>
              </w:rPr>
              <w:t>4.</w:t>
            </w:r>
            <w:r w:rsidR="00C41021" w:rsidRPr="00C41021">
              <w:rPr>
                <w:rFonts w:ascii="Times New Roman" w:hAnsi="Times New Roman"/>
                <w:noProof/>
                <w:szCs w:val="22"/>
              </w:rPr>
              <w:tab/>
            </w:r>
            <w:r w:rsidR="00C41021" w:rsidRPr="00C41021">
              <w:rPr>
                <w:rStyle w:val="Hyperlink"/>
                <w:rFonts w:ascii="Times New Roman" w:hAnsi="Times New Roman"/>
                <w:noProof/>
              </w:rPr>
              <w:t>CHIA Inpatient Relative Price Data</w:t>
            </w:r>
            <w:r w:rsidR="00C41021" w:rsidRPr="00C41021">
              <w:rPr>
                <w:rFonts w:ascii="Times New Roman" w:hAnsi="Times New Roman"/>
                <w:noProof/>
                <w:webHidden/>
              </w:rPr>
              <w:tab/>
            </w:r>
            <w:r w:rsidR="00C41021" w:rsidRPr="00C41021">
              <w:rPr>
                <w:rFonts w:ascii="Times New Roman" w:hAnsi="Times New Roman"/>
                <w:noProof/>
                <w:webHidden/>
              </w:rPr>
              <w:fldChar w:fldCharType="begin"/>
            </w:r>
            <w:r w:rsidR="00C41021" w:rsidRPr="00C41021">
              <w:rPr>
                <w:rFonts w:ascii="Times New Roman" w:hAnsi="Times New Roman"/>
                <w:noProof/>
                <w:webHidden/>
              </w:rPr>
              <w:instrText xml:space="preserve"> PAGEREF _Toc90046494 \h </w:instrText>
            </w:r>
            <w:r w:rsidR="00C41021" w:rsidRPr="00C41021">
              <w:rPr>
                <w:rFonts w:ascii="Times New Roman" w:hAnsi="Times New Roman"/>
                <w:noProof/>
                <w:webHidden/>
              </w:rPr>
            </w:r>
            <w:r w:rsidR="00C41021" w:rsidRPr="00C41021">
              <w:rPr>
                <w:rFonts w:ascii="Times New Roman" w:hAnsi="Times New Roman"/>
                <w:noProof/>
                <w:webHidden/>
              </w:rPr>
              <w:fldChar w:fldCharType="separate"/>
            </w:r>
            <w:r w:rsidR="002B78C3">
              <w:rPr>
                <w:rFonts w:ascii="Times New Roman" w:hAnsi="Times New Roman"/>
                <w:noProof/>
                <w:webHidden/>
              </w:rPr>
              <w:t>17</w:t>
            </w:r>
            <w:r w:rsidR="00C41021" w:rsidRPr="00C41021">
              <w:rPr>
                <w:rFonts w:ascii="Times New Roman" w:hAnsi="Times New Roman"/>
                <w:noProof/>
                <w:webHidden/>
              </w:rPr>
              <w:fldChar w:fldCharType="end"/>
            </w:r>
          </w:hyperlink>
        </w:p>
        <w:p w14:paraId="06913A78" w14:textId="4C1FDE84" w:rsidR="00C41021" w:rsidRPr="00C41021" w:rsidRDefault="005D4A49" w:rsidP="0069757E">
          <w:pPr>
            <w:pStyle w:val="TOC3"/>
            <w:spacing w:line="276" w:lineRule="auto"/>
            <w:rPr>
              <w:rFonts w:ascii="Times New Roman" w:hAnsi="Times New Roman"/>
              <w:noProof/>
              <w:szCs w:val="22"/>
            </w:rPr>
          </w:pPr>
          <w:hyperlink w:anchor="_Toc90046495" w:history="1">
            <w:r w:rsidR="00C41021" w:rsidRPr="00C41021">
              <w:rPr>
                <w:rStyle w:val="Hyperlink"/>
                <w:rFonts w:ascii="Times New Roman" w:hAnsi="Times New Roman"/>
                <w:noProof/>
              </w:rPr>
              <w:t>5.</w:t>
            </w:r>
            <w:r w:rsidR="00C41021" w:rsidRPr="00C41021">
              <w:rPr>
                <w:rFonts w:ascii="Times New Roman" w:hAnsi="Times New Roman"/>
                <w:noProof/>
                <w:szCs w:val="22"/>
              </w:rPr>
              <w:tab/>
            </w:r>
            <w:r w:rsidR="00C41021" w:rsidRPr="00C41021">
              <w:rPr>
                <w:rStyle w:val="Hyperlink"/>
                <w:rFonts w:ascii="Times New Roman" w:hAnsi="Times New Roman"/>
                <w:noProof/>
              </w:rPr>
              <w:t>Medicare Inpatient Prospective Payment System Tables</w:t>
            </w:r>
            <w:r w:rsidR="00C41021" w:rsidRPr="00C41021">
              <w:rPr>
                <w:rFonts w:ascii="Times New Roman" w:hAnsi="Times New Roman"/>
                <w:noProof/>
                <w:webHidden/>
              </w:rPr>
              <w:tab/>
            </w:r>
            <w:r w:rsidR="00C41021" w:rsidRPr="00C41021">
              <w:rPr>
                <w:rFonts w:ascii="Times New Roman" w:hAnsi="Times New Roman"/>
                <w:noProof/>
                <w:webHidden/>
              </w:rPr>
              <w:fldChar w:fldCharType="begin"/>
            </w:r>
            <w:r w:rsidR="00C41021" w:rsidRPr="00C41021">
              <w:rPr>
                <w:rFonts w:ascii="Times New Roman" w:hAnsi="Times New Roman"/>
                <w:noProof/>
                <w:webHidden/>
              </w:rPr>
              <w:instrText xml:space="preserve"> PAGEREF _Toc90046495 \h </w:instrText>
            </w:r>
            <w:r w:rsidR="00C41021" w:rsidRPr="00C41021">
              <w:rPr>
                <w:rFonts w:ascii="Times New Roman" w:hAnsi="Times New Roman"/>
                <w:noProof/>
                <w:webHidden/>
              </w:rPr>
            </w:r>
            <w:r w:rsidR="00C41021" w:rsidRPr="00C41021">
              <w:rPr>
                <w:rFonts w:ascii="Times New Roman" w:hAnsi="Times New Roman"/>
                <w:noProof/>
                <w:webHidden/>
              </w:rPr>
              <w:fldChar w:fldCharType="separate"/>
            </w:r>
            <w:r w:rsidR="002B78C3">
              <w:rPr>
                <w:rFonts w:ascii="Times New Roman" w:hAnsi="Times New Roman"/>
                <w:noProof/>
                <w:webHidden/>
              </w:rPr>
              <w:t>19</w:t>
            </w:r>
            <w:r w:rsidR="00C41021" w:rsidRPr="00C41021">
              <w:rPr>
                <w:rFonts w:ascii="Times New Roman" w:hAnsi="Times New Roman"/>
                <w:noProof/>
                <w:webHidden/>
              </w:rPr>
              <w:fldChar w:fldCharType="end"/>
            </w:r>
          </w:hyperlink>
        </w:p>
        <w:p w14:paraId="0C7CC7AB" w14:textId="3D3B7862" w:rsidR="00C41021" w:rsidRPr="00C41021" w:rsidRDefault="005D4A49" w:rsidP="0069757E">
          <w:pPr>
            <w:pStyle w:val="TOC3"/>
            <w:spacing w:line="276" w:lineRule="auto"/>
            <w:rPr>
              <w:rFonts w:ascii="Times New Roman" w:hAnsi="Times New Roman"/>
              <w:noProof/>
              <w:szCs w:val="22"/>
            </w:rPr>
          </w:pPr>
          <w:hyperlink w:anchor="_Toc90046496" w:history="1">
            <w:r w:rsidR="00C41021" w:rsidRPr="00C41021">
              <w:rPr>
                <w:rStyle w:val="Hyperlink"/>
                <w:rFonts w:ascii="Times New Roman" w:hAnsi="Times New Roman"/>
                <w:noProof/>
              </w:rPr>
              <w:t>6.</w:t>
            </w:r>
            <w:r w:rsidR="00C41021" w:rsidRPr="00C41021">
              <w:rPr>
                <w:rFonts w:ascii="Times New Roman" w:hAnsi="Times New Roman"/>
                <w:noProof/>
                <w:szCs w:val="22"/>
              </w:rPr>
              <w:tab/>
            </w:r>
            <w:r w:rsidR="00C41021" w:rsidRPr="00C41021">
              <w:rPr>
                <w:rStyle w:val="Hyperlink"/>
                <w:rFonts w:ascii="Times New Roman" w:hAnsi="Times New Roman"/>
                <w:noProof/>
              </w:rPr>
              <w:t>Medicare Outpatient Prospective Payment System Tables</w:t>
            </w:r>
            <w:r w:rsidR="00C41021" w:rsidRPr="00C41021">
              <w:rPr>
                <w:rFonts w:ascii="Times New Roman" w:hAnsi="Times New Roman"/>
                <w:noProof/>
                <w:webHidden/>
              </w:rPr>
              <w:tab/>
            </w:r>
            <w:r w:rsidR="00C41021" w:rsidRPr="00C41021">
              <w:rPr>
                <w:rFonts w:ascii="Times New Roman" w:hAnsi="Times New Roman"/>
                <w:noProof/>
                <w:webHidden/>
              </w:rPr>
              <w:fldChar w:fldCharType="begin"/>
            </w:r>
            <w:r w:rsidR="00C41021" w:rsidRPr="00C41021">
              <w:rPr>
                <w:rFonts w:ascii="Times New Roman" w:hAnsi="Times New Roman"/>
                <w:noProof/>
                <w:webHidden/>
              </w:rPr>
              <w:instrText xml:space="preserve"> PAGEREF _Toc90046496 \h </w:instrText>
            </w:r>
            <w:r w:rsidR="00C41021" w:rsidRPr="00C41021">
              <w:rPr>
                <w:rFonts w:ascii="Times New Roman" w:hAnsi="Times New Roman"/>
                <w:noProof/>
                <w:webHidden/>
              </w:rPr>
            </w:r>
            <w:r w:rsidR="00C41021" w:rsidRPr="00C41021">
              <w:rPr>
                <w:rFonts w:ascii="Times New Roman" w:hAnsi="Times New Roman"/>
                <w:noProof/>
                <w:webHidden/>
              </w:rPr>
              <w:fldChar w:fldCharType="separate"/>
            </w:r>
            <w:r w:rsidR="002B78C3">
              <w:rPr>
                <w:rFonts w:ascii="Times New Roman" w:hAnsi="Times New Roman"/>
                <w:noProof/>
                <w:webHidden/>
              </w:rPr>
              <w:t>20</w:t>
            </w:r>
            <w:r w:rsidR="00C41021" w:rsidRPr="00C41021">
              <w:rPr>
                <w:rFonts w:ascii="Times New Roman" w:hAnsi="Times New Roman"/>
                <w:noProof/>
                <w:webHidden/>
              </w:rPr>
              <w:fldChar w:fldCharType="end"/>
            </w:r>
          </w:hyperlink>
        </w:p>
        <w:p w14:paraId="2A0495D5" w14:textId="0BDAD374" w:rsidR="00C41021" w:rsidRPr="00C41021" w:rsidRDefault="005D4A49" w:rsidP="0069757E">
          <w:pPr>
            <w:pStyle w:val="TOC3"/>
            <w:spacing w:line="276" w:lineRule="auto"/>
            <w:rPr>
              <w:rFonts w:ascii="Times New Roman" w:hAnsi="Times New Roman"/>
              <w:noProof/>
              <w:szCs w:val="22"/>
            </w:rPr>
          </w:pPr>
          <w:hyperlink w:anchor="_Toc90046497" w:history="1">
            <w:r w:rsidR="00C41021" w:rsidRPr="00C41021">
              <w:rPr>
                <w:rStyle w:val="Hyperlink"/>
                <w:rFonts w:ascii="Times New Roman" w:hAnsi="Times New Roman"/>
                <w:noProof/>
              </w:rPr>
              <w:t>7.</w:t>
            </w:r>
            <w:r w:rsidR="00C41021" w:rsidRPr="00C41021">
              <w:rPr>
                <w:rFonts w:ascii="Times New Roman" w:hAnsi="Times New Roman"/>
                <w:noProof/>
                <w:szCs w:val="22"/>
              </w:rPr>
              <w:tab/>
            </w:r>
            <w:r w:rsidR="00C41021" w:rsidRPr="00C41021">
              <w:rPr>
                <w:rStyle w:val="Hyperlink"/>
                <w:rFonts w:ascii="Times New Roman" w:hAnsi="Times New Roman"/>
                <w:noProof/>
              </w:rPr>
              <w:t>National Plan and Provider Enumeration System</w:t>
            </w:r>
            <w:r w:rsidR="00C41021" w:rsidRPr="00C41021">
              <w:rPr>
                <w:rFonts w:ascii="Times New Roman" w:hAnsi="Times New Roman"/>
                <w:noProof/>
                <w:webHidden/>
              </w:rPr>
              <w:tab/>
            </w:r>
            <w:r w:rsidR="00C41021" w:rsidRPr="00C41021">
              <w:rPr>
                <w:rFonts w:ascii="Times New Roman" w:hAnsi="Times New Roman"/>
                <w:noProof/>
                <w:webHidden/>
              </w:rPr>
              <w:fldChar w:fldCharType="begin"/>
            </w:r>
            <w:r w:rsidR="00C41021" w:rsidRPr="00C41021">
              <w:rPr>
                <w:rFonts w:ascii="Times New Roman" w:hAnsi="Times New Roman"/>
                <w:noProof/>
                <w:webHidden/>
              </w:rPr>
              <w:instrText xml:space="preserve"> PAGEREF _Toc90046497 \h </w:instrText>
            </w:r>
            <w:r w:rsidR="00C41021" w:rsidRPr="00C41021">
              <w:rPr>
                <w:rFonts w:ascii="Times New Roman" w:hAnsi="Times New Roman"/>
                <w:noProof/>
                <w:webHidden/>
              </w:rPr>
            </w:r>
            <w:r w:rsidR="00C41021" w:rsidRPr="00C41021">
              <w:rPr>
                <w:rFonts w:ascii="Times New Roman" w:hAnsi="Times New Roman"/>
                <w:noProof/>
                <w:webHidden/>
              </w:rPr>
              <w:fldChar w:fldCharType="separate"/>
            </w:r>
            <w:r w:rsidR="002B78C3">
              <w:rPr>
                <w:rFonts w:ascii="Times New Roman" w:hAnsi="Times New Roman"/>
                <w:noProof/>
                <w:webHidden/>
              </w:rPr>
              <w:t>21</w:t>
            </w:r>
            <w:r w:rsidR="00C41021" w:rsidRPr="00C41021">
              <w:rPr>
                <w:rFonts w:ascii="Times New Roman" w:hAnsi="Times New Roman"/>
                <w:noProof/>
                <w:webHidden/>
              </w:rPr>
              <w:fldChar w:fldCharType="end"/>
            </w:r>
          </w:hyperlink>
        </w:p>
        <w:p w14:paraId="0CF4D463" w14:textId="35FA88BE" w:rsidR="00C41021" w:rsidRPr="00C41021" w:rsidRDefault="005D4A49" w:rsidP="0069757E">
          <w:pPr>
            <w:pStyle w:val="TOC3"/>
            <w:spacing w:line="276" w:lineRule="auto"/>
            <w:rPr>
              <w:rFonts w:ascii="Times New Roman" w:hAnsi="Times New Roman"/>
              <w:noProof/>
              <w:szCs w:val="22"/>
            </w:rPr>
          </w:pPr>
          <w:hyperlink w:anchor="_Toc90046498" w:history="1">
            <w:r w:rsidR="00C41021" w:rsidRPr="00C41021">
              <w:rPr>
                <w:rStyle w:val="Hyperlink"/>
                <w:rFonts w:ascii="Times New Roman" w:hAnsi="Times New Roman"/>
                <w:noProof/>
              </w:rPr>
              <w:t>8.</w:t>
            </w:r>
            <w:r w:rsidR="00C41021" w:rsidRPr="00C41021">
              <w:rPr>
                <w:rFonts w:ascii="Times New Roman" w:hAnsi="Times New Roman"/>
                <w:noProof/>
                <w:szCs w:val="22"/>
              </w:rPr>
              <w:tab/>
            </w:r>
            <w:r w:rsidR="00C41021" w:rsidRPr="00C41021">
              <w:rPr>
                <w:rStyle w:val="Hyperlink"/>
                <w:rFonts w:ascii="Times New Roman" w:hAnsi="Times New Roman"/>
                <w:noProof/>
              </w:rPr>
              <w:t>UMass Donahue Institute Population Projections</w:t>
            </w:r>
            <w:r w:rsidR="00C41021" w:rsidRPr="00C41021">
              <w:rPr>
                <w:rFonts w:ascii="Times New Roman" w:hAnsi="Times New Roman"/>
                <w:noProof/>
                <w:webHidden/>
              </w:rPr>
              <w:tab/>
            </w:r>
            <w:r w:rsidR="00C41021" w:rsidRPr="00C41021">
              <w:rPr>
                <w:rFonts w:ascii="Times New Roman" w:hAnsi="Times New Roman"/>
                <w:noProof/>
                <w:webHidden/>
              </w:rPr>
              <w:fldChar w:fldCharType="begin"/>
            </w:r>
            <w:r w:rsidR="00C41021" w:rsidRPr="00C41021">
              <w:rPr>
                <w:rFonts w:ascii="Times New Roman" w:hAnsi="Times New Roman"/>
                <w:noProof/>
                <w:webHidden/>
              </w:rPr>
              <w:instrText xml:space="preserve"> PAGEREF _Toc90046498 \h </w:instrText>
            </w:r>
            <w:r w:rsidR="00C41021" w:rsidRPr="00C41021">
              <w:rPr>
                <w:rFonts w:ascii="Times New Roman" w:hAnsi="Times New Roman"/>
                <w:noProof/>
                <w:webHidden/>
              </w:rPr>
            </w:r>
            <w:r w:rsidR="00C41021" w:rsidRPr="00C41021">
              <w:rPr>
                <w:rFonts w:ascii="Times New Roman" w:hAnsi="Times New Roman"/>
                <w:noProof/>
                <w:webHidden/>
              </w:rPr>
              <w:fldChar w:fldCharType="separate"/>
            </w:r>
            <w:r w:rsidR="002B78C3">
              <w:rPr>
                <w:rFonts w:ascii="Times New Roman" w:hAnsi="Times New Roman"/>
                <w:noProof/>
                <w:webHidden/>
              </w:rPr>
              <w:t>22</w:t>
            </w:r>
            <w:r w:rsidR="00C41021" w:rsidRPr="00C41021">
              <w:rPr>
                <w:rFonts w:ascii="Times New Roman" w:hAnsi="Times New Roman"/>
                <w:noProof/>
                <w:webHidden/>
              </w:rPr>
              <w:fldChar w:fldCharType="end"/>
            </w:r>
          </w:hyperlink>
        </w:p>
        <w:p w14:paraId="2784A2CC" w14:textId="6BC9FE55" w:rsidR="00C41021" w:rsidRPr="00C41021" w:rsidRDefault="005D4A49" w:rsidP="0069757E">
          <w:pPr>
            <w:pStyle w:val="TOC2"/>
            <w:spacing w:line="276" w:lineRule="auto"/>
            <w:rPr>
              <w:rFonts w:ascii="Times New Roman" w:hAnsi="Times New Roman" w:cstheme="minorBidi"/>
              <w:szCs w:val="22"/>
            </w:rPr>
          </w:pPr>
          <w:hyperlink w:anchor="_Toc90046499" w:history="1">
            <w:r w:rsidR="00C41021" w:rsidRPr="00C41021">
              <w:rPr>
                <w:rStyle w:val="Hyperlink"/>
                <w:rFonts w:ascii="Times New Roman" w:hAnsi="Times New Roman"/>
              </w:rPr>
              <w:t>B.</w:t>
            </w:r>
            <w:r w:rsidR="00C41021" w:rsidRPr="00C41021">
              <w:rPr>
                <w:rFonts w:ascii="Times New Roman" w:hAnsi="Times New Roman" w:cstheme="minorBidi"/>
                <w:szCs w:val="22"/>
              </w:rPr>
              <w:tab/>
            </w:r>
            <w:r w:rsidR="00C41021" w:rsidRPr="00C41021">
              <w:rPr>
                <w:rStyle w:val="Hyperlink"/>
                <w:rFonts w:ascii="Times New Roman" w:hAnsi="Times New Roman"/>
              </w:rPr>
              <w:t>Service Lines Definitions Used for Analyses</w:t>
            </w:r>
            <w:r w:rsidR="00C41021" w:rsidRPr="00C41021">
              <w:rPr>
                <w:rFonts w:ascii="Times New Roman" w:hAnsi="Times New Roman"/>
                <w:webHidden/>
              </w:rPr>
              <w:tab/>
            </w:r>
            <w:r w:rsidR="00C41021" w:rsidRPr="00C41021">
              <w:rPr>
                <w:rFonts w:ascii="Times New Roman" w:hAnsi="Times New Roman"/>
                <w:webHidden/>
              </w:rPr>
              <w:fldChar w:fldCharType="begin"/>
            </w:r>
            <w:r w:rsidR="00C41021" w:rsidRPr="00C41021">
              <w:rPr>
                <w:rFonts w:ascii="Times New Roman" w:hAnsi="Times New Roman"/>
                <w:webHidden/>
              </w:rPr>
              <w:instrText xml:space="preserve"> PAGEREF _Toc90046499 \h </w:instrText>
            </w:r>
            <w:r w:rsidR="00C41021" w:rsidRPr="00C41021">
              <w:rPr>
                <w:rFonts w:ascii="Times New Roman" w:hAnsi="Times New Roman"/>
                <w:webHidden/>
              </w:rPr>
            </w:r>
            <w:r w:rsidR="00C41021" w:rsidRPr="00C41021">
              <w:rPr>
                <w:rFonts w:ascii="Times New Roman" w:hAnsi="Times New Roman"/>
                <w:webHidden/>
              </w:rPr>
              <w:fldChar w:fldCharType="separate"/>
            </w:r>
            <w:r w:rsidR="002B78C3">
              <w:rPr>
                <w:rFonts w:ascii="Times New Roman" w:hAnsi="Times New Roman"/>
                <w:webHidden/>
              </w:rPr>
              <w:t>23</w:t>
            </w:r>
            <w:r w:rsidR="00C41021" w:rsidRPr="00C41021">
              <w:rPr>
                <w:rFonts w:ascii="Times New Roman" w:hAnsi="Times New Roman"/>
                <w:webHidden/>
              </w:rPr>
              <w:fldChar w:fldCharType="end"/>
            </w:r>
          </w:hyperlink>
        </w:p>
        <w:p w14:paraId="266634DE" w14:textId="09794FAC" w:rsidR="00C41021" w:rsidRPr="00C41021" w:rsidRDefault="005D4A49" w:rsidP="0069757E">
          <w:pPr>
            <w:pStyle w:val="TOC3"/>
            <w:spacing w:line="276" w:lineRule="auto"/>
            <w:rPr>
              <w:rFonts w:ascii="Times New Roman" w:hAnsi="Times New Roman"/>
              <w:noProof/>
              <w:szCs w:val="22"/>
            </w:rPr>
          </w:pPr>
          <w:hyperlink w:anchor="_Toc90046500" w:history="1">
            <w:r w:rsidR="00C41021" w:rsidRPr="00C41021">
              <w:rPr>
                <w:rStyle w:val="Hyperlink"/>
                <w:rFonts w:ascii="Times New Roman" w:hAnsi="Times New Roman"/>
                <w:noProof/>
              </w:rPr>
              <w:t>1.</w:t>
            </w:r>
            <w:r w:rsidR="00C41021" w:rsidRPr="00C41021">
              <w:rPr>
                <w:rFonts w:ascii="Times New Roman" w:hAnsi="Times New Roman"/>
                <w:noProof/>
                <w:szCs w:val="22"/>
              </w:rPr>
              <w:tab/>
            </w:r>
            <w:r w:rsidR="00C41021" w:rsidRPr="00C41021">
              <w:rPr>
                <w:rStyle w:val="Hyperlink"/>
                <w:rFonts w:ascii="Times New Roman" w:hAnsi="Times New Roman"/>
                <w:noProof/>
              </w:rPr>
              <w:t>Inpatient Services</w:t>
            </w:r>
            <w:r w:rsidR="00C41021" w:rsidRPr="00C41021">
              <w:rPr>
                <w:rFonts w:ascii="Times New Roman" w:hAnsi="Times New Roman"/>
                <w:noProof/>
                <w:webHidden/>
              </w:rPr>
              <w:tab/>
            </w:r>
            <w:r w:rsidR="00C41021" w:rsidRPr="00C41021">
              <w:rPr>
                <w:rFonts w:ascii="Times New Roman" w:hAnsi="Times New Roman"/>
                <w:noProof/>
                <w:webHidden/>
              </w:rPr>
              <w:fldChar w:fldCharType="begin"/>
            </w:r>
            <w:r w:rsidR="00C41021" w:rsidRPr="00C41021">
              <w:rPr>
                <w:rFonts w:ascii="Times New Roman" w:hAnsi="Times New Roman"/>
                <w:noProof/>
                <w:webHidden/>
              </w:rPr>
              <w:instrText xml:space="preserve"> PAGEREF _Toc90046500 \h </w:instrText>
            </w:r>
            <w:r w:rsidR="00C41021" w:rsidRPr="00C41021">
              <w:rPr>
                <w:rFonts w:ascii="Times New Roman" w:hAnsi="Times New Roman"/>
                <w:noProof/>
                <w:webHidden/>
              </w:rPr>
            </w:r>
            <w:r w:rsidR="00C41021" w:rsidRPr="00C41021">
              <w:rPr>
                <w:rFonts w:ascii="Times New Roman" w:hAnsi="Times New Roman"/>
                <w:noProof/>
                <w:webHidden/>
              </w:rPr>
              <w:fldChar w:fldCharType="separate"/>
            </w:r>
            <w:r w:rsidR="002B78C3">
              <w:rPr>
                <w:rFonts w:ascii="Times New Roman" w:hAnsi="Times New Roman"/>
                <w:noProof/>
                <w:webHidden/>
              </w:rPr>
              <w:t>23</w:t>
            </w:r>
            <w:r w:rsidR="00C41021" w:rsidRPr="00C41021">
              <w:rPr>
                <w:rFonts w:ascii="Times New Roman" w:hAnsi="Times New Roman"/>
                <w:noProof/>
                <w:webHidden/>
              </w:rPr>
              <w:fldChar w:fldCharType="end"/>
            </w:r>
          </w:hyperlink>
        </w:p>
        <w:p w14:paraId="3A06EA70" w14:textId="201AFAE0" w:rsidR="00C41021" w:rsidRPr="00C41021" w:rsidRDefault="005D4A49" w:rsidP="0069757E">
          <w:pPr>
            <w:pStyle w:val="TOC3"/>
            <w:spacing w:line="276" w:lineRule="auto"/>
            <w:rPr>
              <w:rFonts w:ascii="Times New Roman" w:hAnsi="Times New Roman"/>
              <w:noProof/>
              <w:szCs w:val="22"/>
            </w:rPr>
          </w:pPr>
          <w:hyperlink w:anchor="_Toc90046501" w:history="1">
            <w:r w:rsidR="00C41021" w:rsidRPr="00C41021">
              <w:rPr>
                <w:rStyle w:val="Hyperlink"/>
                <w:rFonts w:ascii="Times New Roman" w:hAnsi="Times New Roman"/>
                <w:noProof/>
              </w:rPr>
              <w:t>2.</w:t>
            </w:r>
            <w:r w:rsidR="00C41021" w:rsidRPr="00C41021">
              <w:rPr>
                <w:rFonts w:ascii="Times New Roman" w:hAnsi="Times New Roman"/>
                <w:noProof/>
                <w:szCs w:val="22"/>
              </w:rPr>
              <w:tab/>
            </w:r>
            <w:r w:rsidR="00C41021" w:rsidRPr="00C41021">
              <w:rPr>
                <w:rStyle w:val="Hyperlink"/>
                <w:rFonts w:ascii="Times New Roman" w:hAnsi="Times New Roman"/>
                <w:noProof/>
              </w:rPr>
              <w:t>Outpatient Services</w:t>
            </w:r>
            <w:r w:rsidR="00C41021" w:rsidRPr="00C41021">
              <w:rPr>
                <w:rFonts w:ascii="Times New Roman" w:hAnsi="Times New Roman"/>
                <w:noProof/>
                <w:webHidden/>
              </w:rPr>
              <w:tab/>
            </w:r>
            <w:r w:rsidR="00C41021" w:rsidRPr="00C41021">
              <w:rPr>
                <w:rFonts w:ascii="Times New Roman" w:hAnsi="Times New Roman"/>
                <w:noProof/>
                <w:webHidden/>
              </w:rPr>
              <w:fldChar w:fldCharType="begin"/>
            </w:r>
            <w:r w:rsidR="00C41021" w:rsidRPr="00C41021">
              <w:rPr>
                <w:rFonts w:ascii="Times New Roman" w:hAnsi="Times New Roman"/>
                <w:noProof/>
                <w:webHidden/>
              </w:rPr>
              <w:instrText xml:space="preserve"> PAGEREF _Toc90046501 \h </w:instrText>
            </w:r>
            <w:r w:rsidR="00C41021" w:rsidRPr="00C41021">
              <w:rPr>
                <w:rFonts w:ascii="Times New Roman" w:hAnsi="Times New Roman"/>
                <w:noProof/>
                <w:webHidden/>
              </w:rPr>
            </w:r>
            <w:r w:rsidR="00C41021" w:rsidRPr="00C41021">
              <w:rPr>
                <w:rFonts w:ascii="Times New Roman" w:hAnsi="Times New Roman"/>
                <w:noProof/>
                <w:webHidden/>
              </w:rPr>
              <w:fldChar w:fldCharType="separate"/>
            </w:r>
            <w:r w:rsidR="002B78C3">
              <w:rPr>
                <w:rFonts w:ascii="Times New Roman" w:hAnsi="Times New Roman"/>
                <w:noProof/>
                <w:webHidden/>
              </w:rPr>
              <w:t>24</w:t>
            </w:r>
            <w:r w:rsidR="00C41021" w:rsidRPr="00C41021">
              <w:rPr>
                <w:rFonts w:ascii="Times New Roman" w:hAnsi="Times New Roman"/>
                <w:noProof/>
                <w:webHidden/>
              </w:rPr>
              <w:fldChar w:fldCharType="end"/>
            </w:r>
          </w:hyperlink>
        </w:p>
        <w:p w14:paraId="365C9099" w14:textId="020D75C1" w:rsidR="00C41021" w:rsidRPr="00C41021" w:rsidRDefault="005D4A49" w:rsidP="0069757E">
          <w:pPr>
            <w:pStyle w:val="TOC2"/>
            <w:spacing w:line="276" w:lineRule="auto"/>
            <w:rPr>
              <w:rFonts w:ascii="Times New Roman" w:hAnsi="Times New Roman" w:cstheme="minorBidi"/>
              <w:szCs w:val="22"/>
            </w:rPr>
          </w:pPr>
          <w:hyperlink w:anchor="_Toc90046502" w:history="1">
            <w:r w:rsidR="00C41021" w:rsidRPr="00C41021">
              <w:rPr>
                <w:rStyle w:val="Hyperlink"/>
                <w:rFonts w:ascii="Times New Roman" w:hAnsi="Times New Roman"/>
              </w:rPr>
              <w:t>C.</w:t>
            </w:r>
            <w:r w:rsidR="00C41021" w:rsidRPr="00C41021">
              <w:rPr>
                <w:rFonts w:ascii="Times New Roman" w:hAnsi="Times New Roman" w:cstheme="minorBidi"/>
                <w:szCs w:val="22"/>
              </w:rPr>
              <w:tab/>
            </w:r>
            <w:r w:rsidR="00C41021" w:rsidRPr="00C41021">
              <w:rPr>
                <w:rStyle w:val="Hyperlink"/>
                <w:rFonts w:ascii="Times New Roman" w:hAnsi="Times New Roman"/>
              </w:rPr>
              <w:t>Prices for Health Care Services Used for Analyses</w:t>
            </w:r>
            <w:r w:rsidR="00C41021" w:rsidRPr="00C41021">
              <w:rPr>
                <w:rFonts w:ascii="Times New Roman" w:hAnsi="Times New Roman"/>
                <w:webHidden/>
              </w:rPr>
              <w:tab/>
            </w:r>
            <w:r w:rsidR="00C41021" w:rsidRPr="00C41021">
              <w:rPr>
                <w:rFonts w:ascii="Times New Roman" w:hAnsi="Times New Roman"/>
                <w:webHidden/>
              </w:rPr>
              <w:fldChar w:fldCharType="begin"/>
            </w:r>
            <w:r w:rsidR="00C41021" w:rsidRPr="00C41021">
              <w:rPr>
                <w:rFonts w:ascii="Times New Roman" w:hAnsi="Times New Roman"/>
                <w:webHidden/>
              </w:rPr>
              <w:instrText xml:space="preserve"> PAGEREF _Toc90046502 \h </w:instrText>
            </w:r>
            <w:r w:rsidR="00C41021" w:rsidRPr="00C41021">
              <w:rPr>
                <w:rFonts w:ascii="Times New Roman" w:hAnsi="Times New Roman"/>
                <w:webHidden/>
              </w:rPr>
            </w:r>
            <w:r w:rsidR="00C41021" w:rsidRPr="00C41021">
              <w:rPr>
                <w:rFonts w:ascii="Times New Roman" w:hAnsi="Times New Roman"/>
                <w:webHidden/>
              </w:rPr>
              <w:fldChar w:fldCharType="separate"/>
            </w:r>
            <w:r w:rsidR="002B78C3">
              <w:rPr>
                <w:rFonts w:ascii="Times New Roman" w:hAnsi="Times New Roman"/>
                <w:webHidden/>
              </w:rPr>
              <w:t>26</w:t>
            </w:r>
            <w:r w:rsidR="00C41021" w:rsidRPr="00C41021">
              <w:rPr>
                <w:rFonts w:ascii="Times New Roman" w:hAnsi="Times New Roman"/>
                <w:webHidden/>
              </w:rPr>
              <w:fldChar w:fldCharType="end"/>
            </w:r>
          </w:hyperlink>
        </w:p>
        <w:p w14:paraId="1824031E" w14:textId="7EB6E80D" w:rsidR="00C41021" w:rsidRPr="00C41021" w:rsidRDefault="005D4A49" w:rsidP="0069757E">
          <w:pPr>
            <w:pStyle w:val="TOC3"/>
            <w:spacing w:line="276" w:lineRule="auto"/>
            <w:rPr>
              <w:rFonts w:ascii="Times New Roman" w:hAnsi="Times New Roman"/>
              <w:noProof/>
              <w:szCs w:val="22"/>
            </w:rPr>
          </w:pPr>
          <w:hyperlink w:anchor="_Toc90046503" w:history="1">
            <w:r w:rsidR="00C41021" w:rsidRPr="00C41021">
              <w:rPr>
                <w:rStyle w:val="Hyperlink"/>
                <w:rFonts w:ascii="Times New Roman" w:hAnsi="Times New Roman"/>
                <w:noProof/>
              </w:rPr>
              <w:t>1.</w:t>
            </w:r>
            <w:r w:rsidR="00C41021" w:rsidRPr="00C41021">
              <w:rPr>
                <w:rFonts w:ascii="Times New Roman" w:hAnsi="Times New Roman"/>
                <w:noProof/>
                <w:szCs w:val="22"/>
              </w:rPr>
              <w:tab/>
            </w:r>
            <w:r w:rsidR="00C41021" w:rsidRPr="00C41021">
              <w:rPr>
                <w:rStyle w:val="Hyperlink"/>
                <w:rFonts w:ascii="Times New Roman" w:hAnsi="Times New Roman"/>
                <w:noProof/>
              </w:rPr>
              <w:t>Relative Prices for Commercial, Medicare Health Plans, and MassHealth Managed Care Plans</w:t>
            </w:r>
            <w:r w:rsidR="00C41021" w:rsidRPr="00C41021">
              <w:rPr>
                <w:rFonts w:ascii="Times New Roman" w:hAnsi="Times New Roman"/>
                <w:noProof/>
                <w:webHidden/>
              </w:rPr>
              <w:tab/>
            </w:r>
            <w:r w:rsidR="00C41021" w:rsidRPr="00C41021">
              <w:rPr>
                <w:rFonts w:ascii="Times New Roman" w:hAnsi="Times New Roman"/>
                <w:noProof/>
                <w:webHidden/>
              </w:rPr>
              <w:fldChar w:fldCharType="begin"/>
            </w:r>
            <w:r w:rsidR="00C41021" w:rsidRPr="00C41021">
              <w:rPr>
                <w:rFonts w:ascii="Times New Roman" w:hAnsi="Times New Roman"/>
                <w:noProof/>
                <w:webHidden/>
              </w:rPr>
              <w:instrText xml:space="preserve"> PAGEREF _Toc90046503 \h </w:instrText>
            </w:r>
            <w:r w:rsidR="00C41021" w:rsidRPr="00C41021">
              <w:rPr>
                <w:rFonts w:ascii="Times New Roman" w:hAnsi="Times New Roman"/>
                <w:noProof/>
                <w:webHidden/>
              </w:rPr>
            </w:r>
            <w:r w:rsidR="00C41021" w:rsidRPr="00C41021">
              <w:rPr>
                <w:rFonts w:ascii="Times New Roman" w:hAnsi="Times New Roman"/>
                <w:noProof/>
                <w:webHidden/>
              </w:rPr>
              <w:fldChar w:fldCharType="separate"/>
            </w:r>
            <w:r w:rsidR="002B78C3">
              <w:rPr>
                <w:rFonts w:ascii="Times New Roman" w:hAnsi="Times New Roman"/>
                <w:noProof/>
                <w:webHidden/>
              </w:rPr>
              <w:t>26</w:t>
            </w:r>
            <w:r w:rsidR="00C41021" w:rsidRPr="00C41021">
              <w:rPr>
                <w:rFonts w:ascii="Times New Roman" w:hAnsi="Times New Roman"/>
                <w:noProof/>
                <w:webHidden/>
              </w:rPr>
              <w:fldChar w:fldCharType="end"/>
            </w:r>
          </w:hyperlink>
        </w:p>
        <w:p w14:paraId="38985EF4" w14:textId="45C7AF58" w:rsidR="00C41021" w:rsidRPr="00C41021" w:rsidRDefault="005D4A49" w:rsidP="0069757E">
          <w:pPr>
            <w:pStyle w:val="TOC3"/>
            <w:spacing w:line="276" w:lineRule="auto"/>
            <w:rPr>
              <w:rFonts w:ascii="Times New Roman" w:hAnsi="Times New Roman"/>
              <w:noProof/>
              <w:szCs w:val="22"/>
            </w:rPr>
          </w:pPr>
          <w:hyperlink w:anchor="_Toc90046504" w:history="1">
            <w:r w:rsidR="00C41021" w:rsidRPr="00C41021">
              <w:rPr>
                <w:rStyle w:val="Hyperlink"/>
                <w:rFonts w:ascii="Times New Roman" w:hAnsi="Times New Roman"/>
                <w:noProof/>
              </w:rPr>
              <w:t>2.</w:t>
            </w:r>
            <w:r w:rsidR="00C41021" w:rsidRPr="00C41021">
              <w:rPr>
                <w:rFonts w:ascii="Times New Roman" w:hAnsi="Times New Roman"/>
                <w:noProof/>
                <w:szCs w:val="22"/>
              </w:rPr>
              <w:tab/>
            </w:r>
            <w:r w:rsidR="00C41021" w:rsidRPr="00C41021">
              <w:rPr>
                <w:rStyle w:val="Hyperlink"/>
                <w:rFonts w:ascii="Times New Roman" w:hAnsi="Times New Roman"/>
                <w:noProof/>
              </w:rPr>
              <w:t>Relative Prices for MassHealth Non-Managed Care</w:t>
            </w:r>
            <w:r w:rsidR="00C41021" w:rsidRPr="00C41021">
              <w:rPr>
                <w:rFonts w:ascii="Times New Roman" w:hAnsi="Times New Roman"/>
                <w:noProof/>
                <w:webHidden/>
              </w:rPr>
              <w:tab/>
            </w:r>
            <w:r w:rsidR="00C41021" w:rsidRPr="00C41021">
              <w:rPr>
                <w:rFonts w:ascii="Times New Roman" w:hAnsi="Times New Roman"/>
                <w:noProof/>
                <w:webHidden/>
              </w:rPr>
              <w:fldChar w:fldCharType="begin"/>
            </w:r>
            <w:r w:rsidR="00C41021" w:rsidRPr="00C41021">
              <w:rPr>
                <w:rFonts w:ascii="Times New Roman" w:hAnsi="Times New Roman"/>
                <w:noProof/>
                <w:webHidden/>
              </w:rPr>
              <w:instrText xml:space="preserve"> PAGEREF _Toc90046504 \h </w:instrText>
            </w:r>
            <w:r w:rsidR="00C41021" w:rsidRPr="00C41021">
              <w:rPr>
                <w:rFonts w:ascii="Times New Roman" w:hAnsi="Times New Roman"/>
                <w:noProof/>
                <w:webHidden/>
              </w:rPr>
            </w:r>
            <w:r w:rsidR="00C41021" w:rsidRPr="00C41021">
              <w:rPr>
                <w:rFonts w:ascii="Times New Roman" w:hAnsi="Times New Roman"/>
                <w:noProof/>
                <w:webHidden/>
              </w:rPr>
              <w:fldChar w:fldCharType="separate"/>
            </w:r>
            <w:r w:rsidR="002B78C3">
              <w:rPr>
                <w:rFonts w:ascii="Times New Roman" w:hAnsi="Times New Roman"/>
                <w:noProof/>
                <w:webHidden/>
              </w:rPr>
              <w:t>28</w:t>
            </w:r>
            <w:r w:rsidR="00C41021" w:rsidRPr="00C41021">
              <w:rPr>
                <w:rFonts w:ascii="Times New Roman" w:hAnsi="Times New Roman"/>
                <w:noProof/>
                <w:webHidden/>
              </w:rPr>
              <w:fldChar w:fldCharType="end"/>
            </w:r>
          </w:hyperlink>
        </w:p>
        <w:p w14:paraId="487F944D" w14:textId="1A3FC85D" w:rsidR="00C41021" w:rsidRPr="00C41021" w:rsidRDefault="005D4A49" w:rsidP="0069757E">
          <w:pPr>
            <w:pStyle w:val="TOC3"/>
            <w:spacing w:line="276" w:lineRule="auto"/>
            <w:rPr>
              <w:rFonts w:ascii="Times New Roman" w:hAnsi="Times New Roman"/>
              <w:noProof/>
              <w:szCs w:val="22"/>
            </w:rPr>
          </w:pPr>
          <w:hyperlink w:anchor="_Toc90046505" w:history="1">
            <w:r w:rsidR="00C41021" w:rsidRPr="00C41021">
              <w:rPr>
                <w:rStyle w:val="Hyperlink"/>
                <w:rFonts w:ascii="Times New Roman" w:hAnsi="Times New Roman"/>
                <w:noProof/>
              </w:rPr>
              <w:t>3.</w:t>
            </w:r>
            <w:r w:rsidR="00C41021" w:rsidRPr="00C41021">
              <w:rPr>
                <w:rFonts w:ascii="Times New Roman" w:hAnsi="Times New Roman"/>
                <w:noProof/>
                <w:szCs w:val="22"/>
              </w:rPr>
              <w:tab/>
            </w:r>
            <w:r w:rsidR="00C41021" w:rsidRPr="00C41021">
              <w:rPr>
                <w:rStyle w:val="Hyperlink"/>
                <w:rFonts w:ascii="Times New Roman" w:hAnsi="Times New Roman"/>
                <w:noProof/>
              </w:rPr>
              <w:t>Relative Prices for Original Medicare</w:t>
            </w:r>
            <w:r w:rsidR="00C41021" w:rsidRPr="00C41021">
              <w:rPr>
                <w:rFonts w:ascii="Times New Roman" w:hAnsi="Times New Roman"/>
                <w:noProof/>
                <w:webHidden/>
              </w:rPr>
              <w:tab/>
            </w:r>
            <w:r w:rsidR="00C41021" w:rsidRPr="00C41021">
              <w:rPr>
                <w:rFonts w:ascii="Times New Roman" w:hAnsi="Times New Roman"/>
                <w:noProof/>
                <w:webHidden/>
              </w:rPr>
              <w:fldChar w:fldCharType="begin"/>
            </w:r>
            <w:r w:rsidR="00C41021" w:rsidRPr="00C41021">
              <w:rPr>
                <w:rFonts w:ascii="Times New Roman" w:hAnsi="Times New Roman"/>
                <w:noProof/>
                <w:webHidden/>
              </w:rPr>
              <w:instrText xml:space="preserve"> PAGEREF _Toc90046505 \h </w:instrText>
            </w:r>
            <w:r w:rsidR="00C41021" w:rsidRPr="00C41021">
              <w:rPr>
                <w:rFonts w:ascii="Times New Roman" w:hAnsi="Times New Roman"/>
                <w:noProof/>
                <w:webHidden/>
              </w:rPr>
            </w:r>
            <w:r w:rsidR="00C41021" w:rsidRPr="00C41021">
              <w:rPr>
                <w:rFonts w:ascii="Times New Roman" w:hAnsi="Times New Roman"/>
                <w:noProof/>
                <w:webHidden/>
              </w:rPr>
              <w:fldChar w:fldCharType="separate"/>
            </w:r>
            <w:r w:rsidR="002B78C3">
              <w:rPr>
                <w:rFonts w:ascii="Times New Roman" w:hAnsi="Times New Roman"/>
                <w:noProof/>
                <w:webHidden/>
              </w:rPr>
              <w:t>30</w:t>
            </w:r>
            <w:r w:rsidR="00C41021" w:rsidRPr="00C41021">
              <w:rPr>
                <w:rFonts w:ascii="Times New Roman" w:hAnsi="Times New Roman"/>
                <w:noProof/>
                <w:webHidden/>
              </w:rPr>
              <w:fldChar w:fldCharType="end"/>
            </w:r>
          </w:hyperlink>
        </w:p>
        <w:p w14:paraId="616929C2" w14:textId="52813D36" w:rsidR="00C41021" w:rsidRPr="00C41021" w:rsidRDefault="005D4A49" w:rsidP="0069757E">
          <w:pPr>
            <w:pStyle w:val="TOC1"/>
            <w:spacing w:line="276" w:lineRule="auto"/>
            <w:rPr>
              <w:rFonts w:ascii="Times New Roman" w:hAnsi="Times New Roman"/>
              <w:noProof/>
              <w:szCs w:val="22"/>
            </w:rPr>
          </w:pPr>
          <w:hyperlink w:anchor="_Toc90046506" w:history="1">
            <w:r w:rsidR="00C41021" w:rsidRPr="00C41021">
              <w:rPr>
                <w:rStyle w:val="Hyperlink"/>
                <w:rFonts w:ascii="Times New Roman" w:hAnsi="Times New Roman"/>
                <w:noProof/>
              </w:rPr>
              <w:t>IV.</w:t>
            </w:r>
            <w:r w:rsidR="00C41021" w:rsidRPr="00C41021">
              <w:rPr>
                <w:rFonts w:ascii="Times New Roman" w:hAnsi="Times New Roman"/>
                <w:noProof/>
                <w:szCs w:val="22"/>
              </w:rPr>
              <w:tab/>
            </w:r>
            <w:r w:rsidR="00C41021" w:rsidRPr="00C41021">
              <w:rPr>
                <w:rStyle w:val="Hyperlink"/>
                <w:rFonts w:ascii="Times New Roman" w:hAnsi="Times New Roman"/>
                <w:noProof/>
              </w:rPr>
              <w:t>MGH’s Patient Panel and Utilization of Health Care Services</w:t>
            </w:r>
            <w:r w:rsidR="00C41021" w:rsidRPr="00C41021">
              <w:rPr>
                <w:rFonts w:ascii="Times New Roman" w:hAnsi="Times New Roman"/>
                <w:noProof/>
                <w:webHidden/>
              </w:rPr>
              <w:tab/>
            </w:r>
            <w:r w:rsidR="00C41021" w:rsidRPr="00C41021">
              <w:rPr>
                <w:rFonts w:ascii="Times New Roman" w:hAnsi="Times New Roman"/>
                <w:noProof/>
                <w:webHidden/>
              </w:rPr>
              <w:fldChar w:fldCharType="begin"/>
            </w:r>
            <w:r w:rsidR="00C41021" w:rsidRPr="00C41021">
              <w:rPr>
                <w:rFonts w:ascii="Times New Roman" w:hAnsi="Times New Roman"/>
                <w:noProof/>
                <w:webHidden/>
              </w:rPr>
              <w:instrText xml:space="preserve"> PAGEREF _Toc90046506 \h </w:instrText>
            </w:r>
            <w:r w:rsidR="00C41021" w:rsidRPr="00C41021">
              <w:rPr>
                <w:rFonts w:ascii="Times New Roman" w:hAnsi="Times New Roman"/>
                <w:noProof/>
                <w:webHidden/>
              </w:rPr>
            </w:r>
            <w:r w:rsidR="00C41021" w:rsidRPr="00C41021">
              <w:rPr>
                <w:rFonts w:ascii="Times New Roman" w:hAnsi="Times New Roman"/>
                <w:noProof/>
                <w:webHidden/>
              </w:rPr>
              <w:fldChar w:fldCharType="separate"/>
            </w:r>
            <w:r w:rsidR="002B78C3">
              <w:rPr>
                <w:rFonts w:ascii="Times New Roman" w:hAnsi="Times New Roman"/>
                <w:noProof/>
                <w:webHidden/>
              </w:rPr>
              <w:t>31</w:t>
            </w:r>
            <w:r w:rsidR="00C41021" w:rsidRPr="00C41021">
              <w:rPr>
                <w:rFonts w:ascii="Times New Roman" w:hAnsi="Times New Roman"/>
                <w:noProof/>
                <w:webHidden/>
              </w:rPr>
              <w:fldChar w:fldCharType="end"/>
            </w:r>
          </w:hyperlink>
        </w:p>
        <w:p w14:paraId="1A73E4E0" w14:textId="40F0B876" w:rsidR="00C41021" w:rsidRPr="00C41021" w:rsidRDefault="005D4A49" w:rsidP="0069757E">
          <w:pPr>
            <w:pStyle w:val="TOC2"/>
            <w:spacing w:line="276" w:lineRule="auto"/>
            <w:rPr>
              <w:rFonts w:ascii="Times New Roman" w:hAnsi="Times New Roman" w:cstheme="minorBidi"/>
              <w:szCs w:val="22"/>
            </w:rPr>
          </w:pPr>
          <w:hyperlink w:anchor="_Toc90046507" w:history="1">
            <w:r w:rsidR="00C41021" w:rsidRPr="00C41021">
              <w:rPr>
                <w:rStyle w:val="Hyperlink"/>
                <w:rFonts w:ascii="Times New Roman" w:hAnsi="Times New Roman"/>
              </w:rPr>
              <w:t>A.</w:t>
            </w:r>
            <w:r w:rsidR="00C41021" w:rsidRPr="00C41021">
              <w:rPr>
                <w:rFonts w:ascii="Times New Roman" w:hAnsi="Times New Roman" w:cstheme="minorBidi"/>
                <w:szCs w:val="22"/>
              </w:rPr>
              <w:tab/>
            </w:r>
            <w:r w:rsidR="00C41021" w:rsidRPr="00C41021">
              <w:rPr>
                <w:rStyle w:val="Hyperlink"/>
                <w:rFonts w:ascii="Times New Roman" w:hAnsi="Times New Roman"/>
              </w:rPr>
              <w:t>Inpatient Services</w:t>
            </w:r>
            <w:r w:rsidR="00C41021" w:rsidRPr="00C41021">
              <w:rPr>
                <w:rFonts w:ascii="Times New Roman" w:hAnsi="Times New Roman"/>
                <w:webHidden/>
              </w:rPr>
              <w:tab/>
            </w:r>
            <w:r w:rsidR="00C41021" w:rsidRPr="00C41021">
              <w:rPr>
                <w:rFonts w:ascii="Times New Roman" w:hAnsi="Times New Roman"/>
                <w:webHidden/>
              </w:rPr>
              <w:fldChar w:fldCharType="begin"/>
            </w:r>
            <w:r w:rsidR="00C41021" w:rsidRPr="00C41021">
              <w:rPr>
                <w:rFonts w:ascii="Times New Roman" w:hAnsi="Times New Roman"/>
                <w:webHidden/>
              </w:rPr>
              <w:instrText xml:space="preserve"> PAGEREF _Toc90046507 \h </w:instrText>
            </w:r>
            <w:r w:rsidR="00C41021" w:rsidRPr="00C41021">
              <w:rPr>
                <w:rFonts w:ascii="Times New Roman" w:hAnsi="Times New Roman"/>
                <w:webHidden/>
              </w:rPr>
            </w:r>
            <w:r w:rsidR="00C41021" w:rsidRPr="00C41021">
              <w:rPr>
                <w:rFonts w:ascii="Times New Roman" w:hAnsi="Times New Roman"/>
                <w:webHidden/>
              </w:rPr>
              <w:fldChar w:fldCharType="separate"/>
            </w:r>
            <w:r w:rsidR="002B78C3">
              <w:rPr>
                <w:rFonts w:ascii="Times New Roman" w:hAnsi="Times New Roman"/>
                <w:webHidden/>
              </w:rPr>
              <w:t>31</w:t>
            </w:r>
            <w:r w:rsidR="00C41021" w:rsidRPr="00C41021">
              <w:rPr>
                <w:rFonts w:ascii="Times New Roman" w:hAnsi="Times New Roman"/>
                <w:webHidden/>
              </w:rPr>
              <w:fldChar w:fldCharType="end"/>
            </w:r>
          </w:hyperlink>
        </w:p>
        <w:p w14:paraId="6B202057" w14:textId="7B64649F" w:rsidR="00C41021" w:rsidRPr="00C41021" w:rsidRDefault="005D4A49" w:rsidP="0069757E">
          <w:pPr>
            <w:pStyle w:val="TOC3"/>
            <w:spacing w:line="276" w:lineRule="auto"/>
            <w:rPr>
              <w:rFonts w:ascii="Times New Roman" w:hAnsi="Times New Roman"/>
              <w:noProof/>
              <w:szCs w:val="22"/>
            </w:rPr>
          </w:pPr>
          <w:hyperlink w:anchor="_Toc90046508" w:history="1">
            <w:r w:rsidR="00C41021" w:rsidRPr="00C41021">
              <w:rPr>
                <w:rStyle w:val="Hyperlink"/>
                <w:rFonts w:ascii="Times New Roman" w:hAnsi="Times New Roman"/>
                <w:noProof/>
              </w:rPr>
              <w:t>1.</w:t>
            </w:r>
            <w:r w:rsidR="00C41021" w:rsidRPr="00C41021">
              <w:rPr>
                <w:rFonts w:ascii="Times New Roman" w:hAnsi="Times New Roman"/>
                <w:noProof/>
                <w:szCs w:val="22"/>
              </w:rPr>
              <w:tab/>
            </w:r>
            <w:r w:rsidR="00C41021" w:rsidRPr="00C41021">
              <w:rPr>
                <w:rStyle w:val="Hyperlink"/>
                <w:rFonts w:ascii="Times New Roman" w:hAnsi="Times New Roman"/>
                <w:noProof/>
              </w:rPr>
              <w:t>Patient Profiles</w:t>
            </w:r>
            <w:r w:rsidR="00C41021" w:rsidRPr="00C41021">
              <w:rPr>
                <w:rFonts w:ascii="Times New Roman" w:hAnsi="Times New Roman"/>
                <w:noProof/>
                <w:webHidden/>
              </w:rPr>
              <w:tab/>
            </w:r>
            <w:r w:rsidR="00C41021" w:rsidRPr="00C41021">
              <w:rPr>
                <w:rFonts w:ascii="Times New Roman" w:hAnsi="Times New Roman"/>
                <w:noProof/>
                <w:webHidden/>
              </w:rPr>
              <w:fldChar w:fldCharType="begin"/>
            </w:r>
            <w:r w:rsidR="00C41021" w:rsidRPr="00C41021">
              <w:rPr>
                <w:rFonts w:ascii="Times New Roman" w:hAnsi="Times New Roman"/>
                <w:noProof/>
                <w:webHidden/>
              </w:rPr>
              <w:instrText xml:space="preserve"> PAGEREF _Toc90046508 \h </w:instrText>
            </w:r>
            <w:r w:rsidR="00C41021" w:rsidRPr="00C41021">
              <w:rPr>
                <w:rFonts w:ascii="Times New Roman" w:hAnsi="Times New Roman"/>
                <w:noProof/>
                <w:webHidden/>
              </w:rPr>
            </w:r>
            <w:r w:rsidR="00C41021" w:rsidRPr="00C41021">
              <w:rPr>
                <w:rFonts w:ascii="Times New Roman" w:hAnsi="Times New Roman"/>
                <w:noProof/>
                <w:webHidden/>
              </w:rPr>
              <w:fldChar w:fldCharType="separate"/>
            </w:r>
            <w:r w:rsidR="002B78C3">
              <w:rPr>
                <w:rFonts w:ascii="Times New Roman" w:hAnsi="Times New Roman"/>
                <w:noProof/>
                <w:webHidden/>
              </w:rPr>
              <w:t>31</w:t>
            </w:r>
            <w:r w:rsidR="00C41021" w:rsidRPr="00C41021">
              <w:rPr>
                <w:rFonts w:ascii="Times New Roman" w:hAnsi="Times New Roman"/>
                <w:noProof/>
                <w:webHidden/>
              </w:rPr>
              <w:fldChar w:fldCharType="end"/>
            </w:r>
          </w:hyperlink>
        </w:p>
        <w:p w14:paraId="4A85A7EF" w14:textId="06D66B29" w:rsidR="00C41021" w:rsidRPr="00C41021" w:rsidRDefault="005D4A49" w:rsidP="0069757E">
          <w:pPr>
            <w:pStyle w:val="TOC3"/>
            <w:spacing w:line="276" w:lineRule="auto"/>
            <w:rPr>
              <w:rFonts w:ascii="Times New Roman" w:hAnsi="Times New Roman"/>
              <w:noProof/>
              <w:szCs w:val="22"/>
            </w:rPr>
          </w:pPr>
          <w:hyperlink w:anchor="_Toc90046509" w:history="1">
            <w:r w:rsidR="00C41021" w:rsidRPr="00C41021">
              <w:rPr>
                <w:rStyle w:val="Hyperlink"/>
                <w:rFonts w:ascii="Times New Roman" w:hAnsi="Times New Roman"/>
                <w:noProof/>
              </w:rPr>
              <w:t>2.</w:t>
            </w:r>
            <w:r w:rsidR="00C41021" w:rsidRPr="00C41021">
              <w:rPr>
                <w:rFonts w:ascii="Times New Roman" w:hAnsi="Times New Roman"/>
                <w:noProof/>
                <w:szCs w:val="22"/>
              </w:rPr>
              <w:tab/>
            </w:r>
            <w:r w:rsidR="00C41021" w:rsidRPr="00C41021">
              <w:rPr>
                <w:rStyle w:val="Hyperlink"/>
                <w:rFonts w:ascii="Times New Roman" w:hAnsi="Times New Roman"/>
                <w:noProof/>
              </w:rPr>
              <w:t>Changes in Utilization</w:t>
            </w:r>
            <w:r w:rsidR="00C41021" w:rsidRPr="00C41021">
              <w:rPr>
                <w:rFonts w:ascii="Times New Roman" w:hAnsi="Times New Roman"/>
                <w:noProof/>
                <w:webHidden/>
              </w:rPr>
              <w:tab/>
            </w:r>
            <w:r w:rsidR="00C41021" w:rsidRPr="00C41021">
              <w:rPr>
                <w:rFonts w:ascii="Times New Roman" w:hAnsi="Times New Roman"/>
                <w:noProof/>
                <w:webHidden/>
              </w:rPr>
              <w:fldChar w:fldCharType="begin"/>
            </w:r>
            <w:r w:rsidR="00C41021" w:rsidRPr="00C41021">
              <w:rPr>
                <w:rFonts w:ascii="Times New Roman" w:hAnsi="Times New Roman"/>
                <w:noProof/>
                <w:webHidden/>
              </w:rPr>
              <w:instrText xml:space="preserve"> PAGEREF _Toc90046509 \h </w:instrText>
            </w:r>
            <w:r w:rsidR="00C41021" w:rsidRPr="00C41021">
              <w:rPr>
                <w:rFonts w:ascii="Times New Roman" w:hAnsi="Times New Roman"/>
                <w:noProof/>
                <w:webHidden/>
              </w:rPr>
            </w:r>
            <w:r w:rsidR="00C41021" w:rsidRPr="00C41021">
              <w:rPr>
                <w:rFonts w:ascii="Times New Roman" w:hAnsi="Times New Roman"/>
                <w:noProof/>
                <w:webHidden/>
              </w:rPr>
              <w:fldChar w:fldCharType="separate"/>
            </w:r>
            <w:r w:rsidR="002B78C3">
              <w:rPr>
                <w:rFonts w:ascii="Times New Roman" w:hAnsi="Times New Roman"/>
                <w:noProof/>
                <w:webHidden/>
              </w:rPr>
              <w:t>34</w:t>
            </w:r>
            <w:r w:rsidR="00C41021" w:rsidRPr="00C41021">
              <w:rPr>
                <w:rFonts w:ascii="Times New Roman" w:hAnsi="Times New Roman"/>
                <w:noProof/>
                <w:webHidden/>
              </w:rPr>
              <w:fldChar w:fldCharType="end"/>
            </w:r>
          </w:hyperlink>
        </w:p>
        <w:p w14:paraId="04885F42" w14:textId="3B2C0267" w:rsidR="00C41021" w:rsidRPr="00C41021" w:rsidRDefault="005D4A49" w:rsidP="0069757E">
          <w:pPr>
            <w:pStyle w:val="TOC2"/>
            <w:spacing w:line="276" w:lineRule="auto"/>
            <w:rPr>
              <w:rFonts w:ascii="Times New Roman" w:hAnsi="Times New Roman" w:cstheme="minorBidi"/>
              <w:szCs w:val="22"/>
            </w:rPr>
          </w:pPr>
          <w:hyperlink w:anchor="_Toc90046510" w:history="1">
            <w:r w:rsidR="00C41021" w:rsidRPr="00C41021">
              <w:rPr>
                <w:rStyle w:val="Hyperlink"/>
                <w:rFonts w:ascii="Times New Roman" w:hAnsi="Times New Roman"/>
              </w:rPr>
              <w:t>B.</w:t>
            </w:r>
            <w:r w:rsidR="00C41021" w:rsidRPr="00C41021">
              <w:rPr>
                <w:rFonts w:ascii="Times New Roman" w:hAnsi="Times New Roman" w:cstheme="minorBidi"/>
                <w:szCs w:val="22"/>
              </w:rPr>
              <w:tab/>
            </w:r>
            <w:r w:rsidR="00C41021" w:rsidRPr="00C41021">
              <w:rPr>
                <w:rStyle w:val="Hyperlink"/>
                <w:rFonts w:ascii="Times New Roman" w:hAnsi="Times New Roman"/>
              </w:rPr>
              <w:t>Outpatient Services</w:t>
            </w:r>
            <w:r w:rsidR="00C41021" w:rsidRPr="00C41021">
              <w:rPr>
                <w:rFonts w:ascii="Times New Roman" w:hAnsi="Times New Roman"/>
                <w:webHidden/>
              </w:rPr>
              <w:tab/>
            </w:r>
            <w:r w:rsidR="00C41021" w:rsidRPr="00C41021">
              <w:rPr>
                <w:rFonts w:ascii="Times New Roman" w:hAnsi="Times New Roman"/>
                <w:webHidden/>
              </w:rPr>
              <w:fldChar w:fldCharType="begin"/>
            </w:r>
            <w:r w:rsidR="00C41021" w:rsidRPr="00C41021">
              <w:rPr>
                <w:rFonts w:ascii="Times New Roman" w:hAnsi="Times New Roman"/>
                <w:webHidden/>
              </w:rPr>
              <w:instrText xml:space="preserve"> PAGEREF _Toc90046510 \h </w:instrText>
            </w:r>
            <w:r w:rsidR="00C41021" w:rsidRPr="00C41021">
              <w:rPr>
                <w:rFonts w:ascii="Times New Roman" w:hAnsi="Times New Roman"/>
                <w:webHidden/>
              </w:rPr>
            </w:r>
            <w:r w:rsidR="00C41021" w:rsidRPr="00C41021">
              <w:rPr>
                <w:rFonts w:ascii="Times New Roman" w:hAnsi="Times New Roman"/>
                <w:webHidden/>
              </w:rPr>
              <w:fldChar w:fldCharType="separate"/>
            </w:r>
            <w:r w:rsidR="002B78C3">
              <w:rPr>
                <w:rFonts w:ascii="Times New Roman" w:hAnsi="Times New Roman"/>
                <w:webHidden/>
              </w:rPr>
              <w:t>35</w:t>
            </w:r>
            <w:r w:rsidR="00C41021" w:rsidRPr="00C41021">
              <w:rPr>
                <w:rFonts w:ascii="Times New Roman" w:hAnsi="Times New Roman"/>
                <w:webHidden/>
              </w:rPr>
              <w:fldChar w:fldCharType="end"/>
            </w:r>
          </w:hyperlink>
        </w:p>
        <w:p w14:paraId="7EBB1BDF" w14:textId="17DED0CA" w:rsidR="00C41021" w:rsidRPr="00C41021" w:rsidRDefault="005D4A49" w:rsidP="0069757E">
          <w:pPr>
            <w:pStyle w:val="TOC3"/>
            <w:spacing w:line="276" w:lineRule="auto"/>
            <w:rPr>
              <w:rFonts w:ascii="Times New Roman" w:hAnsi="Times New Roman"/>
              <w:noProof/>
              <w:szCs w:val="22"/>
            </w:rPr>
          </w:pPr>
          <w:hyperlink w:anchor="_Toc90046511" w:history="1">
            <w:r w:rsidR="00C41021" w:rsidRPr="00C41021">
              <w:rPr>
                <w:rStyle w:val="Hyperlink"/>
                <w:rFonts w:ascii="Times New Roman" w:hAnsi="Times New Roman"/>
                <w:noProof/>
              </w:rPr>
              <w:t>1.</w:t>
            </w:r>
            <w:r w:rsidR="00C41021" w:rsidRPr="00C41021">
              <w:rPr>
                <w:rFonts w:ascii="Times New Roman" w:hAnsi="Times New Roman"/>
                <w:noProof/>
                <w:szCs w:val="22"/>
              </w:rPr>
              <w:tab/>
            </w:r>
            <w:r w:rsidR="00C41021" w:rsidRPr="00C41021">
              <w:rPr>
                <w:rStyle w:val="Hyperlink"/>
                <w:rFonts w:ascii="Times New Roman" w:hAnsi="Times New Roman"/>
                <w:noProof/>
              </w:rPr>
              <w:t>Outpatient Cardiovascular Services</w:t>
            </w:r>
            <w:r w:rsidR="00C41021" w:rsidRPr="00C41021">
              <w:rPr>
                <w:rFonts w:ascii="Times New Roman" w:hAnsi="Times New Roman"/>
                <w:noProof/>
                <w:webHidden/>
              </w:rPr>
              <w:tab/>
            </w:r>
            <w:r w:rsidR="00C41021" w:rsidRPr="00C41021">
              <w:rPr>
                <w:rFonts w:ascii="Times New Roman" w:hAnsi="Times New Roman"/>
                <w:noProof/>
                <w:webHidden/>
              </w:rPr>
              <w:fldChar w:fldCharType="begin"/>
            </w:r>
            <w:r w:rsidR="00C41021" w:rsidRPr="00C41021">
              <w:rPr>
                <w:rFonts w:ascii="Times New Roman" w:hAnsi="Times New Roman"/>
                <w:noProof/>
                <w:webHidden/>
              </w:rPr>
              <w:instrText xml:space="preserve"> PAGEREF _Toc90046511 \h </w:instrText>
            </w:r>
            <w:r w:rsidR="00C41021" w:rsidRPr="00C41021">
              <w:rPr>
                <w:rFonts w:ascii="Times New Roman" w:hAnsi="Times New Roman"/>
                <w:noProof/>
                <w:webHidden/>
              </w:rPr>
            </w:r>
            <w:r w:rsidR="00C41021" w:rsidRPr="00C41021">
              <w:rPr>
                <w:rFonts w:ascii="Times New Roman" w:hAnsi="Times New Roman"/>
                <w:noProof/>
                <w:webHidden/>
              </w:rPr>
              <w:fldChar w:fldCharType="separate"/>
            </w:r>
            <w:r w:rsidR="002B78C3">
              <w:rPr>
                <w:rFonts w:ascii="Times New Roman" w:hAnsi="Times New Roman"/>
                <w:noProof/>
                <w:webHidden/>
              </w:rPr>
              <w:t>36</w:t>
            </w:r>
            <w:r w:rsidR="00C41021" w:rsidRPr="00C41021">
              <w:rPr>
                <w:rFonts w:ascii="Times New Roman" w:hAnsi="Times New Roman"/>
                <w:noProof/>
                <w:webHidden/>
              </w:rPr>
              <w:fldChar w:fldCharType="end"/>
            </w:r>
          </w:hyperlink>
        </w:p>
        <w:p w14:paraId="6B29435A" w14:textId="4A8DD566" w:rsidR="00C41021" w:rsidRPr="00C41021" w:rsidRDefault="005D4A49" w:rsidP="0069757E">
          <w:pPr>
            <w:pStyle w:val="TOC3"/>
            <w:spacing w:line="276" w:lineRule="auto"/>
            <w:rPr>
              <w:rFonts w:ascii="Times New Roman" w:hAnsi="Times New Roman"/>
              <w:noProof/>
              <w:szCs w:val="22"/>
            </w:rPr>
          </w:pPr>
          <w:hyperlink w:anchor="_Toc90046512" w:history="1">
            <w:r w:rsidR="00C41021" w:rsidRPr="00C41021">
              <w:rPr>
                <w:rStyle w:val="Hyperlink"/>
                <w:rFonts w:ascii="Times New Roman" w:hAnsi="Times New Roman"/>
                <w:noProof/>
              </w:rPr>
              <w:t>2.</w:t>
            </w:r>
            <w:r w:rsidR="00C41021" w:rsidRPr="00C41021">
              <w:rPr>
                <w:rFonts w:ascii="Times New Roman" w:hAnsi="Times New Roman"/>
                <w:noProof/>
                <w:szCs w:val="22"/>
              </w:rPr>
              <w:tab/>
            </w:r>
            <w:r w:rsidR="00C41021" w:rsidRPr="00C41021">
              <w:rPr>
                <w:rStyle w:val="Hyperlink"/>
                <w:rFonts w:ascii="Times New Roman" w:hAnsi="Times New Roman"/>
                <w:noProof/>
              </w:rPr>
              <w:t>Outpatient Oncology Visits</w:t>
            </w:r>
            <w:r w:rsidR="00C41021" w:rsidRPr="00C41021">
              <w:rPr>
                <w:rFonts w:ascii="Times New Roman" w:hAnsi="Times New Roman"/>
                <w:noProof/>
                <w:webHidden/>
              </w:rPr>
              <w:tab/>
            </w:r>
            <w:r w:rsidR="00C41021" w:rsidRPr="00C41021">
              <w:rPr>
                <w:rFonts w:ascii="Times New Roman" w:hAnsi="Times New Roman"/>
                <w:noProof/>
                <w:webHidden/>
              </w:rPr>
              <w:fldChar w:fldCharType="begin"/>
            </w:r>
            <w:r w:rsidR="00C41021" w:rsidRPr="00C41021">
              <w:rPr>
                <w:rFonts w:ascii="Times New Roman" w:hAnsi="Times New Roman"/>
                <w:noProof/>
                <w:webHidden/>
              </w:rPr>
              <w:instrText xml:space="preserve"> PAGEREF _Toc90046512 \h </w:instrText>
            </w:r>
            <w:r w:rsidR="00C41021" w:rsidRPr="00C41021">
              <w:rPr>
                <w:rFonts w:ascii="Times New Roman" w:hAnsi="Times New Roman"/>
                <w:noProof/>
                <w:webHidden/>
              </w:rPr>
            </w:r>
            <w:r w:rsidR="00C41021" w:rsidRPr="00C41021">
              <w:rPr>
                <w:rFonts w:ascii="Times New Roman" w:hAnsi="Times New Roman"/>
                <w:noProof/>
                <w:webHidden/>
              </w:rPr>
              <w:fldChar w:fldCharType="separate"/>
            </w:r>
            <w:r w:rsidR="002B78C3">
              <w:rPr>
                <w:rFonts w:ascii="Times New Roman" w:hAnsi="Times New Roman"/>
                <w:noProof/>
                <w:webHidden/>
              </w:rPr>
              <w:t>38</w:t>
            </w:r>
            <w:r w:rsidR="00C41021" w:rsidRPr="00C41021">
              <w:rPr>
                <w:rFonts w:ascii="Times New Roman" w:hAnsi="Times New Roman"/>
                <w:noProof/>
                <w:webHidden/>
              </w:rPr>
              <w:fldChar w:fldCharType="end"/>
            </w:r>
          </w:hyperlink>
        </w:p>
        <w:p w14:paraId="2909D1F4" w14:textId="4F581419" w:rsidR="00C41021" w:rsidRPr="00C41021" w:rsidRDefault="005D4A49" w:rsidP="0069757E">
          <w:pPr>
            <w:pStyle w:val="TOC3"/>
            <w:spacing w:line="276" w:lineRule="auto"/>
            <w:rPr>
              <w:rFonts w:ascii="Times New Roman" w:hAnsi="Times New Roman"/>
              <w:noProof/>
              <w:szCs w:val="22"/>
            </w:rPr>
          </w:pPr>
          <w:hyperlink w:anchor="_Toc90046513" w:history="1">
            <w:r w:rsidR="00C41021" w:rsidRPr="00C41021">
              <w:rPr>
                <w:rStyle w:val="Hyperlink"/>
                <w:rFonts w:ascii="Times New Roman" w:hAnsi="Times New Roman"/>
                <w:noProof/>
              </w:rPr>
              <w:t>3.</w:t>
            </w:r>
            <w:r w:rsidR="00C41021" w:rsidRPr="00C41021">
              <w:rPr>
                <w:rFonts w:ascii="Times New Roman" w:hAnsi="Times New Roman"/>
                <w:noProof/>
                <w:szCs w:val="22"/>
              </w:rPr>
              <w:tab/>
            </w:r>
            <w:r w:rsidR="00C41021" w:rsidRPr="00C41021">
              <w:rPr>
                <w:rStyle w:val="Hyperlink"/>
                <w:rFonts w:ascii="Times New Roman" w:hAnsi="Times New Roman"/>
                <w:noProof/>
              </w:rPr>
              <w:t>Outpatient Diagnostic Imaging Services</w:t>
            </w:r>
            <w:r w:rsidR="00C41021" w:rsidRPr="00C41021">
              <w:rPr>
                <w:rFonts w:ascii="Times New Roman" w:hAnsi="Times New Roman"/>
                <w:noProof/>
                <w:webHidden/>
              </w:rPr>
              <w:tab/>
            </w:r>
            <w:r w:rsidR="00C41021" w:rsidRPr="00C41021">
              <w:rPr>
                <w:rFonts w:ascii="Times New Roman" w:hAnsi="Times New Roman"/>
                <w:noProof/>
                <w:webHidden/>
              </w:rPr>
              <w:fldChar w:fldCharType="begin"/>
            </w:r>
            <w:r w:rsidR="00C41021" w:rsidRPr="00C41021">
              <w:rPr>
                <w:rFonts w:ascii="Times New Roman" w:hAnsi="Times New Roman"/>
                <w:noProof/>
                <w:webHidden/>
              </w:rPr>
              <w:instrText xml:space="preserve"> PAGEREF _Toc90046513 \h </w:instrText>
            </w:r>
            <w:r w:rsidR="00C41021" w:rsidRPr="00C41021">
              <w:rPr>
                <w:rFonts w:ascii="Times New Roman" w:hAnsi="Times New Roman"/>
                <w:noProof/>
                <w:webHidden/>
              </w:rPr>
            </w:r>
            <w:r w:rsidR="00C41021" w:rsidRPr="00C41021">
              <w:rPr>
                <w:rFonts w:ascii="Times New Roman" w:hAnsi="Times New Roman"/>
                <w:noProof/>
                <w:webHidden/>
              </w:rPr>
              <w:fldChar w:fldCharType="separate"/>
            </w:r>
            <w:r w:rsidR="002B78C3">
              <w:rPr>
                <w:rFonts w:ascii="Times New Roman" w:hAnsi="Times New Roman"/>
                <w:noProof/>
                <w:webHidden/>
              </w:rPr>
              <w:t>39</w:t>
            </w:r>
            <w:r w:rsidR="00C41021" w:rsidRPr="00C41021">
              <w:rPr>
                <w:rFonts w:ascii="Times New Roman" w:hAnsi="Times New Roman"/>
                <w:noProof/>
                <w:webHidden/>
              </w:rPr>
              <w:fldChar w:fldCharType="end"/>
            </w:r>
          </w:hyperlink>
        </w:p>
        <w:p w14:paraId="78C833A9" w14:textId="29453248" w:rsidR="00C41021" w:rsidRPr="00C41021" w:rsidRDefault="005D4A49" w:rsidP="0069757E">
          <w:pPr>
            <w:pStyle w:val="TOC1"/>
            <w:spacing w:line="276" w:lineRule="auto"/>
            <w:rPr>
              <w:rFonts w:ascii="Times New Roman" w:hAnsi="Times New Roman"/>
              <w:noProof/>
              <w:szCs w:val="22"/>
            </w:rPr>
          </w:pPr>
          <w:hyperlink w:anchor="_Toc90046514" w:history="1">
            <w:r w:rsidR="00C41021" w:rsidRPr="00C41021">
              <w:rPr>
                <w:rStyle w:val="Hyperlink"/>
                <w:rFonts w:ascii="Times New Roman" w:hAnsi="Times New Roman"/>
                <w:noProof/>
              </w:rPr>
              <w:t>V.</w:t>
            </w:r>
            <w:r w:rsidR="00C41021" w:rsidRPr="00C41021">
              <w:rPr>
                <w:rFonts w:ascii="Times New Roman" w:hAnsi="Times New Roman"/>
                <w:noProof/>
                <w:szCs w:val="22"/>
              </w:rPr>
              <w:tab/>
            </w:r>
            <w:r w:rsidR="00C41021" w:rsidRPr="00C41021">
              <w:rPr>
                <w:rStyle w:val="Hyperlink"/>
                <w:rFonts w:ascii="Times New Roman" w:hAnsi="Times New Roman"/>
                <w:noProof/>
              </w:rPr>
              <w:t>Five- and Ten-Year Estimates of Demand for MGH’s Services</w:t>
            </w:r>
            <w:r w:rsidR="00C41021" w:rsidRPr="00C41021">
              <w:rPr>
                <w:rFonts w:ascii="Times New Roman" w:hAnsi="Times New Roman"/>
                <w:noProof/>
                <w:webHidden/>
              </w:rPr>
              <w:tab/>
            </w:r>
            <w:r w:rsidR="00C41021" w:rsidRPr="00C41021">
              <w:rPr>
                <w:rFonts w:ascii="Times New Roman" w:hAnsi="Times New Roman"/>
                <w:noProof/>
                <w:webHidden/>
              </w:rPr>
              <w:fldChar w:fldCharType="begin"/>
            </w:r>
            <w:r w:rsidR="00C41021" w:rsidRPr="00C41021">
              <w:rPr>
                <w:rFonts w:ascii="Times New Roman" w:hAnsi="Times New Roman"/>
                <w:noProof/>
                <w:webHidden/>
              </w:rPr>
              <w:instrText xml:space="preserve"> PAGEREF _Toc90046514 \h </w:instrText>
            </w:r>
            <w:r w:rsidR="00C41021" w:rsidRPr="00C41021">
              <w:rPr>
                <w:rFonts w:ascii="Times New Roman" w:hAnsi="Times New Roman"/>
                <w:noProof/>
                <w:webHidden/>
              </w:rPr>
            </w:r>
            <w:r w:rsidR="00C41021" w:rsidRPr="00C41021">
              <w:rPr>
                <w:rFonts w:ascii="Times New Roman" w:hAnsi="Times New Roman"/>
                <w:noProof/>
                <w:webHidden/>
              </w:rPr>
              <w:fldChar w:fldCharType="separate"/>
            </w:r>
            <w:r w:rsidR="002B78C3">
              <w:rPr>
                <w:rFonts w:ascii="Times New Roman" w:hAnsi="Times New Roman"/>
                <w:noProof/>
                <w:webHidden/>
              </w:rPr>
              <w:t>41</w:t>
            </w:r>
            <w:r w:rsidR="00C41021" w:rsidRPr="00C41021">
              <w:rPr>
                <w:rFonts w:ascii="Times New Roman" w:hAnsi="Times New Roman"/>
                <w:noProof/>
                <w:webHidden/>
              </w:rPr>
              <w:fldChar w:fldCharType="end"/>
            </w:r>
          </w:hyperlink>
        </w:p>
        <w:p w14:paraId="3372D92D" w14:textId="3F3C9831" w:rsidR="00C41021" w:rsidRPr="00C41021" w:rsidRDefault="005D4A49" w:rsidP="0069757E">
          <w:pPr>
            <w:pStyle w:val="TOC2"/>
            <w:spacing w:line="276" w:lineRule="auto"/>
            <w:rPr>
              <w:rFonts w:ascii="Times New Roman" w:hAnsi="Times New Roman" w:cstheme="minorBidi"/>
              <w:szCs w:val="22"/>
            </w:rPr>
          </w:pPr>
          <w:hyperlink w:anchor="_Toc90046515" w:history="1">
            <w:r w:rsidR="00C41021" w:rsidRPr="00C41021">
              <w:rPr>
                <w:rStyle w:val="Hyperlink"/>
                <w:rFonts w:ascii="Times New Roman" w:hAnsi="Times New Roman"/>
              </w:rPr>
              <w:t>A.</w:t>
            </w:r>
            <w:r w:rsidR="00C41021" w:rsidRPr="00C41021">
              <w:rPr>
                <w:rFonts w:ascii="Times New Roman" w:hAnsi="Times New Roman" w:cstheme="minorBidi"/>
                <w:szCs w:val="22"/>
              </w:rPr>
              <w:tab/>
            </w:r>
            <w:r w:rsidR="00C41021" w:rsidRPr="00C41021">
              <w:rPr>
                <w:rStyle w:val="Hyperlink"/>
                <w:rFonts w:ascii="Times New Roman" w:hAnsi="Times New Roman"/>
              </w:rPr>
              <w:t>Inpatient Services</w:t>
            </w:r>
            <w:r w:rsidR="00C41021" w:rsidRPr="00C41021">
              <w:rPr>
                <w:rFonts w:ascii="Times New Roman" w:hAnsi="Times New Roman"/>
                <w:webHidden/>
              </w:rPr>
              <w:tab/>
            </w:r>
            <w:r w:rsidR="00C41021" w:rsidRPr="00C41021">
              <w:rPr>
                <w:rFonts w:ascii="Times New Roman" w:hAnsi="Times New Roman"/>
                <w:webHidden/>
              </w:rPr>
              <w:fldChar w:fldCharType="begin"/>
            </w:r>
            <w:r w:rsidR="00C41021" w:rsidRPr="00C41021">
              <w:rPr>
                <w:rFonts w:ascii="Times New Roman" w:hAnsi="Times New Roman"/>
                <w:webHidden/>
              </w:rPr>
              <w:instrText xml:space="preserve"> PAGEREF _Toc90046515 \h </w:instrText>
            </w:r>
            <w:r w:rsidR="00C41021" w:rsidRPr="00C41021">
              <w:rPr>
                <w:rFonts w:ascii="Times New Roman" w:hAnsi="Times New Roman"/>
                <w:webHidden/>
              </w:rPr>
            </w:r>
            <w:r w:rsidR="00C41021" w:rsidRPr="00C41021">
              <w:rPr>
                <w:rFonts w:ascii="Times New Roman" w:hAnsi="Times New Roman"/>
                <w:webHidden/>
              </w:rPr>
              <w:fldChar w:fldCharType="separate"/>
            </w:r>
            <w:r w:rsidR="002B78C3">
              <w:rPr>
                <w:rFonts w:ascii="Times New Roman" w:hAnsi="Times New Roman"/>
                <w:webHidden/>
              </w:rPr>
              <w:t>41</w:t>
            </w:r>
            <w:r w:rsidR="00C41021" w:rsidRPr="00C41021">
              <w:rPr>
                <w:rFonts w:ascii="Times New Roman" w:hAnsi="Times New Roman"/>
                <w:webHidden/>
              </w:rPr>
              <w:fldChar w:fldCharType="end"/>
            </w:r>
          </w:hyperlink>
        </w:p>
        <w:p w14:paraId="580253B6" w14:textId="3A86F605" w:rsidR="00C41021" w:rsidRPr="00C41021" w:rsidRDefault="005D4A49" w:rsidP="0069757E">
          <w:pPr>
            <w:pStyle w:val="TOC3"/>
            <w:spacing w:line="276" w:lineRule="auto"/>
            <w:rPr>
              <w:rFonts w:ascii="Times New Roman" w:hAnsi="Times New Roman"/>
              <w:noProof/>
              <w:szCs w:val="22"/>
            </w:rPr>
          </w:pPr>
          <w:hyperlink w:anchor="_Toc90046516" w:history="1">
            <w:r w:rsidR="00C41021" w:rsidRPr="00C41021">
              <w:rPr>
                <w:rStyle w:val="Hyperlink"/>
                <w:rFonts w:ascii="Times New Roman" w:hAnsi="Times New Roman"/>
                <w:noProof/>
              </w:rPr>
              <w:t>1.</w:t>
            </w:r>
            <w:r w:rsidR="00C41021" w:rsidRPr="00C41021">
              <w:rPr>
                <w:rFonts w:ascii="Times New Roman" w:hAnsi="Times New Roman"/>
                <w:noProof/>
                <w:szCs w:val="22"/>
              </w:rPr>
              <w:tab/>
            </w:r>
            <w:r w:rsidR="00C41021" w:rsidRPr="00C41021">
              <w:rPr>
                <w:rStyle w:val="Hyperlink"/>
                <w:rFonts w:ascii="Times New Roman" w:hAnsi="Times New Roman"/>
                <w:noProof/>
              </w:rPr>
              <w:t>Changes in Demographics in Five and Ten Years</w:t>
            </w:r>
            <w:r w:rsidR="00C41021" w:rsidRPr="00C41021">
              <w:rPr>
                <w:rFonts w:ascii="Times New Roman" w:hAnsi="Times New Roman"/>
                <w:noProof/>
                <w:webHidden/>
              </w:rPr>
              <w:tab/>
            </w:r>
            <w:r w:rsidR="00C41021" w:rsidRPr="00C41021">
              <w:rPr>
                <w:rFonts w:ascii="Times New Roman" w:hAnsi="Times New Roman"/>
                <w:noProof/>
                <w:webHidden/>
              </w:rPr>
              <w:fldChar w:fldCharType="begin"/>
            </w:r>
            <w:r w:rsidR="00C41021" w:rsidRPr="00C41021">
              <w:rPr>
                <w:rFonts w:ascii="Times New Roman" w:hAnsi="Times New Roman"/>
                <w:noProof/>
                <w:webHidden/>
              </w:rPr>
              <w:instrText xml:space="preserve"> PAGEREF _Toc90046516 \h </w:instrText>
            </w:r>
            <w:r w:rsidR="00C41021" w:rsidRPr="00C41021">
              <w:rPr>
                <w:rFonts w:ascii="Times New Roman" w:hAnsi="Times New Roman"/>
                <w:noProof/>
                <w:webHidden/>
              </w:rPr>
            </w:r>
            <w:r w:rsidR="00C41021" w:rsidRPr="00C41021">
              <w:rPr>
                <w:rFonts w:ascii="Times New Roman" w:hAnsi="Times New Roman"/>
                <w:noProof/>
                <w:webHidden/>
              </w:rPr>
              <w:fldChar w:fldCharType="separate"/>
            </w:r>
            <w:r w:rsidR="002B78C3">
              <w:rPr>
                <w:rFonts w:ascii="Times New Roman" w:hAnsi="Times New Roman"/>
                <w:noProof/>
                <w:webHidden/>
              </w:rPr>
              <w:t>41</w:t>
            </w:r>
            <w:r w:rsidR="00C41021" w:rsidRPr="00C41021">
              <w:rPr>
                <w:rFonts w:ascii="Times New Roman" w:hAnsi="Times New Roman"/>
                <w:noProof/>
                <w:webHidden/>
              </w:rPr>
              <w:fldChar w:fldCharType="end"/>
            </w:r>
          </w:hyperlink>
        </w:p>
        <w:p w14:paraId="6C524814" w14:textId="1405E95B" w:rsidR="00C41021" w:rsidRPr="00C41021" w:rsidRDefault="005D4A49" w:rsidP="0069757E">
          <w:pPr>
            <w:pStyle w:val="TOC3"/>
            <w:spacing w:line="276" w:lineRule="auto"/>
            <w:rPr>
              <w:rFonts w:ascii="Times New Roman" w:hAnsi="Times New Roman"/>
              <w:noProof/>
              <w:szCs w:val="22"/>
            </w:rPr>
          </w:pPr>
          <w:hyperlink w:anchor="_Toc90046517" w:history="1">
            <w:r w:rsidR="00C41021" w:rsidRPr="00C41021">
              <w:rPr>
                <w:rStyle w:val="Hyperlink"/>
                <w:rFonts w:ascii="Times New Roman" w:hAnsi="Times New Roman"/>
                <w:noProof/>
              </w:rPr>
              <w:t>2.</w:t>
            </w:r>
            <w:r w:rsidR="00C41021" w:rsidRPr="00C41021">
              <w:rPr>
                <w:rFonts w:ascii="Times New Roman" w:hAnsi="Times New Roman"/>
                <w:noProof/>
                <w:szCs w:val="22"/>
              </w:rPr>
              <w:tab/>
            </w:r>
            <w:r w:rsidR="00C41021" w:rsidRPr="00C41021">
              <w:rPr>
                <w:rStyle w:val="Hyperlink"/>
                <w:rFonts w:ascii="Times New Roman" w:hAnsi="Times New Roman"/>
                <w:noProof/>
              </w:rPr>
              <w:t>Changes in Demand Using Predicted Demographics in Five and Ten Years</w:t>
            </w:r>
            <w:r w:rsidR="00C41021" w:rsidRPr="00C41021">
              <w:rPr>
                <w:rFonts w:ascii="Times New Roman" w:hAnsi="Times New Roman"/>
                <w:noProof/>
                <w:webHidden/>
              </w:rPr>
              <w:tab/>
            </w:r>
            <w:r w:rsidR="00C41021" w:rsidRPr="00C41021">
              <w:rPr>
                <w:rFonts w:ascii="Times New Roman" w:hAnsi="Times New Roman"/>
                <w:noProof/>
                <w:webHidden/>
              </w:rPr>
              <w:fldChar w:fldCharType="begin"/>
            </w:r>
            <w:r w:rsidR="00C41021" w:rsidRPr="00C41021">
              <w:rPr>
                <w:rFonts w:ascii="Times New Roman" w:hAnsi="Times New Roman"/>
                <w:noProof/>
                <w:webHidden/>
              </w:rPr>
              <w:instrText xml:space="preserve"> PAGEREF _Toc90046517 \h </w:instrText>
            </w:r>
            <w:r w:rsidR="00C41021" w:rsidRPr="00C41021">
              <w:rPr>
                <w:rFonts w:ascii="Times New Roman" w:hAnsi="Times New Roman"/>
                <w:noProof/>
                <w:webHidden/>
              </w:rPr>
            </w:r>
            <w:r w:rsidR="00C41021" w:rsidRPr="00C41021">
              <w:rPr>
                <w:rFonts w:ascii="Times New Roman" w:hAnsi="Times New Roman"/>
                <w:noProof/>
                <w:webHidden/>
              </w:rPr>
              <w:fldChar w:fldCharType="separate"/>
            </w:r>
            <w:r w:rsidR="002B78C3">
              <w:rPr>
                <w:rFonts w:ascii="Times New Roman" w:hAnsi="Times New Roman"/>
                <w:noProof/>
                <w:webHidden/>
              </w:rPr>
              <w:t>41</w:t>
            </w:r>
            <w:r w:rsidR="00C41021" w:rsidRPr="00C41021">
              <w:rPr>
                <w:rFonts w:ascii="Times New Roman" w:hAnsi="Times New Roman"/>
                <w:noProof/>
                <w:webHidden/>
              </w:rPr>
              <w:fldChar w:fldCharType="end"/>
            </w:r>
          </w:hyperlink>
        </w:p>
        <w:p w14:paraId="2BA414BD" w14:textId="490B6959" w:rsidR="00C41021" w:rsidRPr="00C41021" w:rsidRDefault="005D4A49" w:rsidP="0069757E">
          <w:pPr>
            <w:pStyle w:val="TOC2"/>
            <w:spacing w:line="276" w:lineRule="auto"/>
            <w:rPr>
              <w:rFonts w:ascii="Times New Roman" w:hAnsi="Times New Roman" w:cstheme="minorBidi"/>
              <w:szCs w:val="22"/>
            </w:rPr>
          </w:pPr>
          <w:hyperlink w:anchor="_Toc90046518" w:history="1">
            <w:r w:rsidR="00C41021" w:rsidRPr="00C41021">
              <w:rPr>
                <w:rStyle w:val="Hyperlink"/>
                <w:rFonts w:ascii="Times New Roman" w:hAnsi="Times New Roman"/>
              </w:rPr>
              <w:t>B.</w:t>
            </w:r>
            <w:r w:rsidR="00C41021" w:rsidRPr="00C41021">
              <w:rPr>
                <w:rFonts w:ascii="Times New Roman" w:hAnsi="Times New Roman" w:cstheme="minorBidi"/>
                <w:szCs w:val="22"/>
              </w:rPr>
              <w:tab/>
            </w:r>
            <w:r w:rsidR="00C41021" w:rsidRPr="00C41021">
              <w:rPr>
                <w:rStyle w:val="Hyperlink"/>
                <w:rFonts w:ascii="Times New Roman" w:hAnsi="Times New Roman"/>
              </w:rPr>
              <w:t>Outpatient Services</w:t>
            </w:r>
            <w:r w:rsidR="00C41021" w:rsidRPr="00C41021">
              <w:rPr>
                <w:rFonts w:ascii="Times New Roman" w:hAnsi="Times New Roman"/>
                <w:webHidden/>
              </w:rPr>
              <w:tab/>
            </w:r>
            <w:r w:rsidR="00C41021" w:rsidRPr="00C41021">
              <w:rPr>
                <w:rFonts w:ascii="Times New Roman" w:hAnsi="Times New Roman"/>
                <w:webHidden/>
              </w:rPr>
              <w:fldChar w:fldCharType="begin"/>
            </w:r>
            <w:r w:rsidR="00C41021" w:rsidRPr="00C41021">
              <w:rPr>
                <w:rFonts w:ascii="Times New Roman" w:hAnsi="Times New Roman"/>
                <w:webHidden/>
              </w:rPr>
              <w:instrText xml:space="preserve"> PAGEREF _Toc90046518 \h </w:instrText>
            </w:r>
            <w:r w:rsidR="00C41021" w:rsidRPr="00C41021">
              <w:rPr>
                <w:rFonts w:ascii="Times New Roman" w:hAnsi="Times New Roman"/>
                <w:webHidden/>
              </w:rPr>
            </w:r>
            <w:r w:rsidR="00C41021" w:rsidRPr="00C41021">
              <w:rPr>
                <w:rFonts w:ascii="Times New Roman" w:hAnsi="Times New Roman"/>
                <w:webHidden/>
              </w:rPr>
              <w:fldChar w:fldCharType="separate"/>
            </w:r>
            <w:r w:rsidR="002B78C3">
              <w:rPr>
                <w:rFonts w:ascii="Times New Roman" w:hAnsi="Times New Roman"/>
                <w:webHidden/>
              </w:rPr>
              <w:t>43</w:t>
            </w:r>
            <w:r w:rsidR="00C41021" w:rsidRPr="00C41021">
              <w:rPr>
                <w:rFonts w:ascii="Times New Roman" w:hAnsi="Times New Roman"/>
                <w:webHidden/>
              </w:rPr>
              <w:fldChar w:fldCharType="end"/>
            </w:r>
          </w:hyperlink>
        </w:p>
        <w:p w14:paraId="50BC58AC" w14:textId="72B2FBDB" w:rsidR="00C41021" w:rsidRPr="00C41021" w:rsidRDefault="005D4A49" w:rsidP="0069757E">
          <w:pPr>
            <w:pStyle w:val="TOC3"/>
            <w:spacing w:line="276" w:lineRule="auto"/>
            <w:rPr>
              <w:rFonts w:ascii="Times New Roman" w:hAnsi="Times New Roman"/>
              <w:noProof/>
              <w:szCs w:val="22"/>
            </w:rPr>
          </w:pPr>
          <w:hyperlink w:anchor="_Toc90046519" w:history="1">
            <w:r w:rsidR="00C41021" w:rsidRPr="00C41021">
              <w:rPr>
                <w:rStyle w:val="Hyperlink"/>
                <w:rFonts w:ascii="Times New Roman" w:hAnsi="Times New Roman"/>
                <w:noProof/>
              </w:rPr>
              <w:t>1.</w:t>
            </w:r>
            <w:r w:rsidR="00C41021" w:rsidRPr="00C41021">
              <w:rPr>
                <w:rFonts w:ascii="Times New Roman" w:hAnsi="Times New Roman"/>
                <w:noProof/>
                <w:szCs w:val="22"/>
              </w:rPr>
              <w:tab/>
            </w:r>
            <w:r w:rsidR="00C41021" w:rsidRPr="00C41021">
              <w:rPr>
                <w:rStyle w:val="Hyperlink"/>
                <w:rFonts w:ascii="Times New Roman" w:hAnsi="Times New Roman"/>
                <w:noProof/>
              </w:rPr>
              <w:t>Changes in Demographics in Five and Ten Years</w:t>
            </w:r>
            <w:r w:rsidR="00C41021" w:rsidRPr="00C41021">
              <w:rPr>
                <w:rFonts w:ascii="Times New Roman" w:hAnsi="Times New Roman"/>
                <w:noProof/>
                <w:webHidden/>
              </w:rPr>
              <w:tab/>
            </w:r>
            <w:r w:rsidR="00C41021" w:rsidRPr="00C41021">
              <w:rPr>
                <w:rFonts w:ascii="Times New Roman" w:hAnsi="Times New Roman"/>
                <w:noProof/>
                <w:webHidden/>
              </w:rPr>
              <w:fldChar w:fldCharType="begin"/>
            </w:r>
            <w:r w:rsidR="00C41021" w:rsidRPr="00C41021">
              <w:rPr>
                <w:rFonts w:ascii="Times New Roman" w:hAnsi="Times New Roman"/>
                <w:noProof/>
                <w:webHidden/>
              </w:rPr>
              <w:instrText xml:space="preserve"> PAGEREF _Toc90046519 \h </w:instrText>
            </w:r>
            <w:r w:rsidR="00C41021" w:rsidRPr="00C41021">
              <w:rPr>
                <w:rFonts w:ascii="Times New Roman" w:hAnsi="Times New Roman"/>
                <w:noProof/>
                <w:webHidden/>
              </w:rPr>
            </w:r>
            <w:r w:rsidR="00C41021" w:rsidRPr="00C41021">
              <w:rPr>
                <w:rFonts w:ascii="Times New Roman" w:hAnsi="Times New Roman"/>
                <w:noProof/>
                <w:webHidden/>
              </w:rPr>
              <w:fldChar w:fldCharType="separate"/>
            </w:r>
            <w:r w:rsidR="002B78C3">
              <w:rPr>
                <w:rFonts w:ascii="Times New Roman" w:hAnsi="Times New Roman"/>
                <w:noProof/>
                <w:webHidden/>
              </w:rPr>
              <w:t>43</w:t>
            </w:r>
            <w:r w:rsidR="00C41021" w:rsidRPr="00C41021">
              <w:rPr>
                <w:rFonts w:ascii="Times New Roman" w:hAnsi="Times New Roman"/>
                <w:noProof/>
                <w:webHidden/>
              </w:rPr>
              <w:fldChar w:fldCharType="end"/>
            </w:r>
          </w:hyperlink>
        </w:p>
        <w:p w14:paraId="64A2994C" w14:textId="3A809A7E" w:rsidR="00C41021" w:rsidRPr="00C41021" w:rsidRDefault="005D4A49" w:rsidP="0069757E">
          <w:pPr>
            <w:pStyle w:val="TOC3"/>
            <w:spacing w:line="276" w:lineRule="auto"/>
            <w:rPr>
              <w:rFonts w:ascii="Times New Roman" w:hAnsi="Times New Roman"/>
              <w:noProof/>
              <w:szCs w:val="22"/>
            </w:rPr>
          </w:pPr>
          <w:hyperlink w:anchor="_Toc90046520" w:history="1">
            <w:r w:rsidR="00C41021" w:rsidRPr="00C41021">
              <w:rPr>
                <w:rStyle w:val="Hyperlink"/>
                <w:rFonts w:ascii="Times New Roman" w:hAnsi="Times New Roman"/>
                <w:noProof/>
              </w:rPr>
              <w:t>2.</w:t>
            </w:r>
            <w:r w:rsidR="00C41021" w:rsidRPr="00C41021">
              <w:rPr>
                <w:rFonts w:ascii="Times New Roman" w:hAnsi="Times New Roman"/>
                <w:noProof/>
                <w:szCs w:val="22"/>
              </w:rPr>
              <w:tab/>
            </w:r>
            <w:r w:rsidR="00C41021" w:rsidRPr="00C41021">
              <w:rPr>
                <w:rStyle w:val="Hyperlink"/>
                <w:rFonts w:ascii="Times New Roman" w:hAnsi="Times New Roman"/>
                <w:noProof/>
              </w:rPr>
              <w:t>Changes in Demand Using Predicted Demographics in Five and Ten Years</w:t>
            </w:r>
            <w:r w:rsidR="00C41021" w:rsidRPr="00C41021">
              <w:rPr>
                <w:rFonts w:ascii="Times New Roman" w:hAnsi="Times New Roman"/>
                <w:noProof/>
                <w:webHidden/>
              </w:rPr>
              <w:tab/>
            </w:r>
            <w:r w:rsidR="00C41021" w:rsidRPr="00C41021">
              <w:rPr>
                <w:rFonts w:ascii="Times New Roman" w:hAnsi="Times New Roman"/>
                <w:noProof/>
                <w:webHidden/>
              </w:rPr>
              <w:fldChar w:fldCharType="begin"/>
            </w:r>
            <w:r w:rsidR="00C41021" w:rsidRPr="00C41021">
              <w:rPr>
                <w:rFonts w:ascii="Times New Roman" w:hAnsi="Times New Roman"/>
                <w:noProof/>
                <w:webHidden/>
              </w:rPr>
              <w:instrText xml:space="preserve"> PAGEREF _Toc90046520 \h </w:instrText>
            </w:r>
            <w:r w:rsidR="00C41021" w:rsidRPr="00C41021">
              <w:rPr>
                <w:rFonts w:ascii="Times New Roman" w:hAnsi="Times New Roman"/>
                <w:noProof/>
                <w:webHidden/>
              </w:rPr>
            </w:r>
            <w:r w:rsidR="00C41021" w:rsidRPr="00C41021">
              <w:rPr>
                <w:rFonts w:ascii="Times New Roman" w:hAnsi="Times New Roman"/>
                <w:noProof/>
                <w:webHidden/>
              </w:rPr>
              <w:fldChar w:fldCharType="separate"/>
            </w:r>
            <w:r w:rsidR="002B78C3">
              <w:rPr>
                <w:rFonts w:ascii="Times New Roman" w:hAnsi="Times New Roman"/>
                <w:noProof/>
                <w:webHidden/>
              </w:rPr>
              <w:t>44</w:t>
            </w:r>
            <w:r w:rsidR="00C41021" w:rsidRPr="00C41021">
              <w:rPr>
                <w:rFonts w:ascii="Times New Roman" w:hAnsi="Times New Roman"/>
                <w:noProof/>
                <w:webHidden/>
              </w:rPr>
              <w:fldChar w:fldCharType="end"/>
            </w:r>
          </w:hyperlink>
        </w:p>
        <w:p w14:paraId="4CDFD824" w14:textId="712F5C2E" w:rsidR="00C41021" w:rsidRPr="00C41021" w:rsidRDefault="005D4A49" w:rsidP="0069757E">
          <w:pPr>
            <w:pStyle w:val="TOC1"/>
            <w:spacing w:line="276" w:lineRule="auto"/>
            <w:rPr>
              <w:rFonts w:ascii="Times New Roman" w:hAnsi="Times New Roman"/>
              <w:noProof/>
              <w:szCs w:val="22"/>
            </w:rPr>
          </w:pPr>
          <w:hyperlink w:anchor="_Toc90046521" w:history="1">
            <w:r w:rsidR="00C41021" w:rsidRPr="00C41021">
              <w:rPr>
                <w:rStyle w:val="Hyperlink"/>
                <w:rFonts w:ascii="Times New Roman" w:hAnsi="Times New Roman"/>
                <w:noProof/>
              </w:rPr>
              <w:t>VI.</w:t>
            </w:r>
            <w:r w:rsidR="00C41021" w:rsidRPr="00C41021">
              <w:rPr>
                <w:rFonts w:ascii="Times New Roman" w:hAnsi="Times New Roman"/>
                <w:noProof/>
                <w:szCs w:val="22"/>
              </w:rPr>
              <w:tab/>
            </w:r>
            <w:r w:rsidR="00C41021" w:rsidRPr="00C41021">
              <w:rPr>
                <w:rStyle w:val="Hyperlink"/>
                <w:rFonts w:ascii="Times New Roman" w:hAnsi="Times New Roman"/>
                <w:noProof/>
              </w:rPr>
              <w:t>Models of Patients’ Demand for Health Care Services</w:t>
            </w:r>
            <w:r w:rsidR="00C41021" w:rsidRPr="00C41021">
              <w:rPr>
                <w:rFonts w:ascii="Times New Roman" w:hAnsi="Times New Roman"/>
                <w:noProof/>
                <w:webHidden/>
              </w:rPr>
              <w:tab/>
            </w:r>
            <w:r w:rsidR="00C41021" w:rsidRPr="00C41021">
              <w:rPr>
                <w:rFonts w:ascii="Times New Roman" w:hAnsi="Times New Roman"/>
                <w:noProof/>
                <w:webHidden/>
              </w:rPr>
              <w:fldChar w:fldCharType="begin"/>
            </w:r>
            <w:r w:rsidR="00C41021" w:rsidRPr="00C41021">
              <w:rPr>
                <w:rFonts w:ascii="Times New Roman" w:hAnsi="Times New Roman"/>
                <w:noProof/>
                <w:webHidden/>
              </w:rPr>
              <w:instrText xml:space="preserve"> PAGEREF _Toc90046521 \h </w:instrText>
            </w:r>
            <w:r w:rsidR="00C41021" w:rsidRPr="00C41021">
              <w:rPr>
                <w:rFonts w:ascii="Times New Roman" w:hAnsi="Times New Roman"/>
                <w:noProof/>
                <w:webHidden/>
              </w:rPr>
            </w:r>
            <w:r w:rsidR="00C41021" w:rsidRPr="00C41021">
              <w:rPr>
                <w:rFonts w:ascii="Times New Roman" w:hAnsi="Times New Roman"/>
                <w:noProof/>
                <w:webHidden/>
              </w:rPr>
              <w:fldChar w:fldCharType="separate"/>
            </w:r>
            <w:r w:rsidR="002B78C3">
              <w:rPr>
                <w:rFonts w:ascii="Times New Roman" w:hAnsi="Times New Roman"/>
                <w:noProof/>
                <w:webHidden/>
              </w:rPr>
              <w:t>46</w:t>
            </w:r>
            <w:r w:rsidR="00C41021" w:rsidRPr="00C41021">
              <w:rPr>
                <w:rFonts w:ascii="Times New Roman" w:hAnsi="Times New Roman"/>
                <w:noProof/>
                <w:webHidden/>
              </w:rPr>
              <w:fldChar w:fldCharType="end"/>
            </w:r>
          </w:hyperlink>
        </w:p>
        <w:p w14:paraId="4273CD9F" w14:textId="5C96C730" w:rsidR="00C41021" w:rsidRPr="00C41021" w:rsidRDefault="005D4A49" w:rsidP="0069757E">
          <w:pPr>
            <w:pStyle w:val="TOC2"/>
            <w:spacing w:line="276" w:lineRule="auto"/>
            <w:rPr>
              <w:rFonts w:ascii="Times New Roman" w:hAnsi="Times New Roman" w:cstheme="minorBidi"/>
              <w:szCs w:val="22"/>
            </w:rPr>
          </w:pPr>
          <w:hyperlink w:anchor="_Toc90046522" w:history="1">
            <w:r w:rsidR="00C41021" w:rsidRPr="00C41021">
              <w:rPr>
                <w:rStyle w:val="Hyperlink"/>
                <w:rFonts w:ascii="Times New Roman" w:hAnsi="Times New Roman"/>
              </w:rPr>
              <w:t>A.</w:t>
            </w:r>
            <w:r w:rsidR="00C41021" w:rsidRPr="00C41021">
              <w:rPr>
                <w:rFonts w:ascii="Times New Roman" w:hAnsi="Times New Roman" w:cstheme="minorBidi"/>
                <w:szCs w:val="22"/>
              </w:rPr>
              <w:tab/>
            </w:r>
            <w:r w:rsidR="00C41021" w:rsidRPr="00C41021">
              <w:rPr>
                <w:rStyle w:val="Hyperlink"/>
                <w:rFonts w:ascii="Times New Roman" w:hAnsi="Times New Roman"/>
              </w:rPr>
              <w:t>Inpatient Services</w:t>
            </w:r>
            <w:r w:rsidR="00C41021" w:rsidRPr="00C41021">
              <w:rPr>
                <w:rFonts w:ascii="Times New Roman" w:hAnsi="Times New Roman"/>
                <w:webHidden/>
              </w:rPr>
              <w:tab/>
            </w:r>
            <w:r w:rsidR="00C41021" w:rsidRPr="00C41021">
              <w:rPr>
                <w:rFonts w:ascii="Times New Roman" w:hAnsi="Times New Roman"/>
                <w:webHidden/>
              </w:rPr>
              <w:fldChar w:fldCharType="begin"/>
            </w:r>
            <w:r w:rsidR="00C41021" w:rsidRPr="00C41021">
              <w:rPr>
                <w:rFonts w:ascii="Times New Roman" w:hAnsi="Times New Roman"/>
                <w:webHidden/>
              </w:rPr>
              <w:instrText xml:space="preserve"> PAGEREF _Toc90046522 \h </w:instrText>
            </w:r>
            <w:r w:rsidR="00C41021" w:rsidRPr="00C41021">
              <w:rPr>
                <w:rFonts w:ascii="Times New Roman" w:hAnsi="Times New Roman"/>
                <w:webHidden/>
              </w:rPr>
            </w:r>
            <w:r w:rsidR="00C41021" w:rsidRPr="00C41021">
              <w:rPr>
                <w:rFonts w:ascii="Times New Roman" w:hAnsi="Times New Roman"/>
                <w:webHidden/>
              </w:rPr>
              <w:fldChar w:fldCharType="separate"/>
            </w:r>
            <w:r w:rsidR="002B78C3">
              <w:rPr>
                <w:rFonts w:ascii="Times New Roman" w:hAnsi="Times New Roman"/>
                <w:webHidden/>
              </w:rPr>
              <w:t>46</w:t>
            </w:r>
            <w:r w:rsidR="00C41021" w:rsidRPr="00C41021">
              <w:rPr>
                <w:rFonts w:ascii="Times New Roman" w:hAnsi="Times New Roman"/>
                <w:webHidden/>
              </w:rPr>
              <w:fldChar w:fldCharType="end"/>
            </w:r>
          </w:hyperlink>
        </w:p>
        <w:p w14:paraId="6FA41FDB" w14:textId="68208A06" w:rsidR="00C41021" w:rsidRPr="00C41021" w:rsidRDefault="005D4A49" w:rsidP="0069757E">
          <w:pPr>
            <w:pStyle w:val="TOC2"/>
            <w:spacing w:line="276" w:lineRule="auto"/>
            <w:rPr>
              <w:rFonts w:ascii="Times New Roman" w:hAnsi="Times New Roman" w:cstheme="minorBidi"/>
              <w:szCs w:val="22"/>
            </w:rPr>
          </w:pPr>
          <w:hyperlink w:anchor="_Toc90046523" w:history="1">
            <w:r w:rsidR="00C41021" w:rsidRPr="00C41021">
              <w:rPr>
                <w:rStyle w:val="Hyperlink"/>
                <w:rFonts w:ascii="Times New Roman" w:hAnsi="Times New Roman"/>
              </w:rPr>
              <w:t>B.</w:t>
            </w:r>
            <w:r w:rsidR="00C41021" w:rsidRPr="00C41021">
              <w:rPr>
                <w:rFonts w:ascii="Times New Roman" w:hAnsi="Times New Roman" w:cstheme="minorBidi"/>
                <w:szCs w:val="22"/>
              </w:rPr>
              <w:tab/>
            </w:r>
            <w:r w:rsidR="00C41021" w:rsidRPr="00C41021">
              <w:rPr>
                <w:rStyle w:val="Hyperlink"/>
                <w:rFonts w:ascii="Times New Roman" w:hAnsi="Times New Roman"/>
              </w:rPr>
              <w:t>Outpatient Services</w:t>
            </w:r>
            <w:r w:rsidR="00C41021" w:rsidRPr="00C41021">
              <w:rPr>
                <w:rFonts w:ascii="Times New Roman" w:hAnsi="Times New Roman"/>
                <w:webHidden/>
              </w:rPr>
              <w:tab/>
            </w:r>
            <w:r w:rsidR="00C41021" w:rsidRPr="00C41021">
              <w:rPr>
                <w:rFonts w:ascii="Times New Roman" w:hAnsi="Times New Roman"/>
                <w:webHidden/>
              </w:rPr>
              <w:fldChar w:fldCharType="begin"/>
            </w:r>
            <w:r w:rsidR="00C41021" w:rsidRPr="00C41021">
              <w:rPr>
                <w:rFonts w:ascii="Times New Roman" w:hAnsi="Times New Roman"/>
                <w:webHidden/>
              </w:rPr>
              <w:instrText xml:space="preserve"> PAGEREF _Toc90046523 \h </w:instrText>
            </w:r>
            <w:r w:rsidR="00C41021" w:rsidRPr="00C41021">
              <w:rPr>
                <w:rFonts w:ascii="Times New Roman" w:hAnsi="Times New Roman"/>
                <w:webHidden/>
              </w:rPr>
            </w:r>
            <w:r w:rsidR="00C41021" w:rsidRPr="00C41021">
              <w:rPr>
                <w:rFonts w:ascii="Times New Roman" w:hAnsi="Times New Roman"/>
                <w:webHidden/>
              </w:rPr>
              <w:fldChar w:fldCharType="separate"/>
            </w:r>
            <w:r w:rsidR="002B78C3">
              <w:rPr>
                <w:rFonts w:ascii="Times New Roman" w:hAnsi="Times New Roman"/>
                <w:webHidden/>
              </w:rPr>
              <w:t>50</w:t>
            </w:r>
            <w:r w:rsidR="00C41021" w:rsidRPr="00C41021">
              <w:rPr>
                <w:rFonts w:ascii="Times New Roman" w:hAnsi="Times New Roman"/>
                <w:webHidden/>
              </w:rPr>
              <w:fldChar w:fldCharType="end"/>
            </w:r>
          </w:hyperlink>
        </w:p>
        <w:p w14:paraId="0666FF43" w14:textId="37D241CA" w:rsidR="00C41021" w:rsidRPr="00C41021" w:rsidRDefault="005D4A49" w:rsidP="0069757E">
          <w:pPr>
            <w:pStyle w:val="TOC3"/>
            <w:spacing w:line="276" w:lineRule="auto"/>
            <w:rPr>
              <w:rFonts w:ascii="Times New Roman" w:hAnsi="Times New Roman"/>
              <w:noProof/>
              <w:szCs w:val="22"/>
            </w:rPr>
          </w:pPr>
          <w:hyperlink w:anchor="_Toc90046524" w:history="1">
            <w:r w:rsidR="00C41021" w:rsidRPr="00C41021">
              <w:rPr>
                <w:rStyle w:val="Hyperlink"/>
                <w:rFonts w:ascii="Times New Roman" w:hAnsi="Times New Roman"/>
                <w:noProof/>
              </w:rPr>
              <w:t>1.</w:t>
            </w:r>
            <w:r w:rsidR="00C41021" w:rsidRPr="00C41021">
              <w:rPr>
                <w:rFonts w:ascii="Times New Roman" w:hAnsi="Times New Roman"/>
                <w:noProof/>
                <w:szCs w:val="22"/>
              </w:rPr>
              <w:tab/>
            </w:r>
            <w:r w:rsidR="00C41021" w:rsidRPr="00C41021">
              <w:rPr>
                <w:rStyle w:val="Hyperlink"/>
                <w:rFonts w:ascii="Times New Roman" w:hAnsi="Times New Roman"/>
                <w:noProof/>
              </w:rPr>
              <w:t>Diagnostic Imaging Services</w:t>
            </w:r>
            <w:r w:rsidR="00C41021" w:rsidRPr="00C41021">
              <w:rPr>
                <w:rFonts w:ascii="Times New Roman" w:hAnsi="Times New Roman"/>
                <w:noProof/>
                <w:webHidden/>
              </w:rPr>
              <w:tab/>
            </w:r>
            <w:r w:rsidR="00C41021" w:rsidRPr="00C41021">
              <w:rPr>
                <w:rFonts w:ascii="Times New Roman" w:hAnsi="Times New Roman"/>
                <w:noProof/>
                <w:webHidden/>
              </w:rPr>
              <w:fldChar w:fldCharType="begin"/>
            </w:r>
            <w:r w:rsidR="00C41021" w:rsidRPr="00C41021">
              <w:rPr>
                <w:rFonts w:ascii="Times New Roman" w:hAnsi="Times New Roman"/>
                <w:noProof/>
                <w:webHidden/>
              </w:rPr>
              <w:instrText xml:space="preserve"> PAGEREF _Toc90046524 \h </w:instrText>
            </w:r>
            <w:r w:rsidR="00C41021" w:rsidRPr="00C41021">
              <w:rPr>
                <w:rFonts w:ascii="Times New Roman" w:hAnsi="Times New Roman"/>
                <w:noProof/>
                <w:webHidden/>
              </w:rPr>
            </w:r>
            <w:r w:rsidR="00C41021" w:rsidRPr="00C41021">
              <w:rPr>
                <w:rFonts w:ascii="Times New Roman" w:hAnsi="Times New Roman"/>
                <w:noProof/>
                <w:webHidden/>
              </w:rPr>
              <w:fldChar w:fldCharType="separate"/>
            </w:r>
            <w:r w:rsidR="002B78C3">
              <w:rPr>
                <w:rFonts w:ascii="Times New Roman" w:hAnsi="Times New Roman"/>
                <w:noProof/>
                <w:webHidden/>
              </w:rPr>
              <w:t>51</w:t>
            </w:r>
            <w:r w:rsidR="00C41021" w:rsidRPr="00C41021">
              <w:rPr>
                <w:rFonts w:ascii="Times New Roman" w:hAnsi="Times New Roman"/>
                <w:noProof/>
                <w:webHidden/>
              </w:rPr>
              <w:fldChar w:fldCharType="end"/>
            </w:r>
          </w:hyperlink>
        </w:p>
        <w:p w14:paraId="385B53A1" w14:textId="6D070CE7" w:rsidR="00C41021" w:rsidRPr="00C41021" w:rsidRDefault="005D4A49" w:rsidP="0069757E">
          <w:pPr>
            <w:pStyle w:val="TOC3"/>
            <w:spacing w:line="276" w:lineRule="auto"/>
            <w:rPr>
              <w:rFonts w:ascii="Times New Roman" w:hAnsi="Times New Roman"/>
              <w:noProof/>
              <w:szCs w:val="22"/>
            </w:rPr>
          </w:pPr>
          <w:hyperlink w:anchor="_Toc90046525" w:history="1">
            <w:r w:rsidR="00C41021" w:rsidRPr="00C41021">
              <w:rPr>
                <w:rStyle w:val="Hyperlink"/>
                <w:rFonts w:ascii="Times New Roman" w:hAnsi="Times New Roman"/>
                <w:noProof/>
              </w:rPr>
              <w:t>2.</w:t>
            </w:r>
            <w:r w:rsidR="00C41021" w:rsidRPr="00C41021">
              <w:rPr>
                <w:rFonts w:ascii="Times New Roman" w:hAnsi="Times New Roman"/>
                <w:noProof/>
                <w:szCs w:val="22"/>
              </w:rPr>
              <w:tab/>
            </w:r>
            <w:r w:rsidR="00C41021" w:rsidRPr="00C41021">
              <w:rPr>
                <w:rStyle w:val="Hyperlink"/>
                <w:rFonts w:ascii="Times New Roman" w:hAnsi="Times New Roman"/>
                <w:noProof/>
              </w:rPr>
              <w:t>Cardiovascular Services</w:t>
            </w:r>
            <w:r w:rsidR="00C41021" w:rsidRPr="00C41021">
              <w:rPr>
                <w:rFonts w:ascii="Times New Roman" w:hAnsi="Times New Roman"/>
                <w:noProof/>
                <w:webHidden/>
              </w:rPr>
              <w:tab/>
            </w:r>
            <w:r w:rsidR="00C41021" w:rsidRPr="00C41021">
              <w:rPr>
                <w:rFonts w:ascii="Times New Roman" w:hAnsi="Times New Roman"/>
                <w:noProof/>
                <w:webHidden/>
              </w:rPr>
              <w:fldChar w:fldCharType="begin"/>
            </w:r>
            <w:r w:rsidR="00C41021" w:rsidRPr="00C41021">
              <w:rPr>
                <w:rFonts w:ascii="Times New Roman" w:hAnsi="Times New Roman"/>
                <w:noProof/>
                <w:webHidden/>
              </w:rPr>
              <w:instrText xml:space="preserve"> PAGEREF _Toc90046525 \h </w:instrText>
            </w:r>
            <w:r w:rsidR="00C41021" w:rsidRPr="00C41021">
              <w:rPr>
                <w:rFonts w:ascii="Times New Roman" w:hAnsi="Times New Roman"/>
                <w:noProof/>
                <w:webHidden/>
              </w:rPr>
            </w:r>
            <w:r w:rsidR="00C41021" w:rsidRPr="00C41021">
              <w:rPr>
                <w:rFonts w:ascii="Times New Roman" w:hAnsi="Times New Roman"/>
                <w:noProof/>
                <w:webHidden/>
              </w:rPr>
              <w:fldChar w:fldCharType="separate"/>
            </w:r>
            <w:r w:rsidR="002B78C3">
              <w:rPr>
                <w:rFonts w:ascii="Times New Roman" w:hAnsi="Times New Roman"/>
                <w:noProof/>
                <w:webHidden/>
              </w:rPr>
              <w:t>54</w:t>
            </w:r>
            <w:r w:rsidR="00C41021" w:rsidRPr="00C41021">
              <w:rPr>
                <w:rFonts w:ascii="Times New Roman" w:hAnsi="Times New Roman"/>
                <w:noProof/>
                <w:webHidden/>
              </w:rPr>
              <w:fldChar w:fldCharType="end"/>
            </w:r>
          </w:hyperlink>
        </w:p>
        <w:p w14:paraId="22A41A5C" w14:textId="4DC379C4" w:rsidR="00C41021" w:rsidRPr="00C41021" w:rsidRDefault="005D4A49" w:rsidP="0069757E">
          <w:pPr>
            <w:pStyle w:val="TOC3"/>
            <w:spacing w:line="276" w:lineRule="auto"/>
            <w:rPr>
              <w:rFonts w:ascii="Times New Roman" w:hAnsi="Times New Roman"/>
              <w:noProof/>
              <w:szCs w:val="22"/>
            </w:rPr>
          </w:pPr>
          <w:hyperlink w:anchor="_Toc90046526" w:history="1">
            <w:r w:rsidR="00C41021" w:rsidRPr="00C41021">
              <w:rPr>
                <w:rStyle w:val="Hyperlink"/>
                <w:rFonts w:ascii="Times New Roman" w:hAnsi="Times New Roman"/>
                <w:noProof/>
              </w:rPr>
              <w:t>3.</w:t>
            </w:r>
            <w:r w:rsidR="00C41021" w:rsidRPr="00C41021">
              <w:rPr>
                <w:rFonts w:ascii="Times New Roman" w:hAnsi="Times New Roman"/>
                <w:noProof/>
                <w:szCs w:val="22"/>
              </w:rPr>
              <w:tab/>
            </w:r>
            <w:r w:rsidR="00C41021" w:rsidRPr="00C41021">
              <w:rPr>
                <w:rStyle w:val="Hyperlink"/>
                <w:rFonts w:ascii="Times New Roman" w:hAnsi="Times New Roman"/>
                <w:noProof/>
              </w:rPr>
              <w:t>Oncology Services</w:t>
            </w:r>
            <w:r w:rsidR="00C41021" w:rsidRPr="00C41021">
              <w:rPr>
                <w:rFonts w:ascii="Times New Roman" w:hAnsi="Times New Roman"/>
                <w:noProof/>
                <w:webHidden/>
              </w:rPr>
              <w:tab/>
            </w:r>
            <w:r w:rsidR="00C41021" w:rsidRPr="00C41021">
              <w:rPr>
                <w:rFonts w:ascii="Times New Roman" w:hAnsi="Times New Roman"/>
                <w:noProof/>
                <w:webHidden/>
              </w:rPr>
              <w:fldChar w:fldCharType="begin"/>
            </w:r>
            <w:r w:rsidR="00C41021" w:rsidRPr="00C41021">
              <w:rPr>
                <w:rFonts w:ascii="Times New Roman" w:hAnsi="Times New Roman"/>
                <w:noProof/>
                <w:webHidden/>
              </w:rPr>
              <w:instrText xml:space="preserve"> PAGEREF _Toc90046526 \h </w:instrText>
            </w:r>
            <w:r w:rsidR="00C41021" w:rsidRPr="00C41021">
              <w:rPr>
                <w:rFonts w:ascii="Times New Roman" w:hAnsi="Times New Roman"/>
                <w:noProof/>
                <w:webHidden/>
              </w:rPr>
            </w:r>
            <w:r w:rsidR="00C41021" w:rsidRPr="00C41021">
              <w:rPr>
                <w:rFonts w:ascii="Times New Roman" w:hAnsi="Times New Roman"/>
                <w:noProof/>
                <w:webHidden/>
              </w:rPr>
              <w:fldChar w:fldCharType="separate"/>
            </w:r>
            <w:r w:rsidR="002B78C3">
              <w:rPr>
                <w:rFonts w:ascii="Times New Roman" w:hAnsi="Times New Roman"/>
                <w:noProof/>
                <w:webHidden/>
              </w:rPr>
              <w:t>55</w:t>
            </w:r>
            <w:r w:rsidR="00C41021" w:rsidRPr="00C41021">
              <w:rPr>
                <w:rFonts w:ascii="Times New Roman" w:hAnsi="Times New Roman"/>
                <w:noProof/>
                <w:webHidden/>
              </w:rPr>
              <w:fldChar w:fldCharType="end"/>
            </w:r>
          </w:hyperlink>
        </w:p>
        <w:p w14:paraId="0C941138" w14:textId="64DDBFD4" w:rsidR="00C41021" w:rsidRPr="00C41021" w:rsidRDefault="005D4A49" w:rsidP="0069757E">
          <w:pPr>
            <w:pStyle w:val="TOC1"/>
            <w:spacing w:line="276" w:lineRule="auto"/>
            <w:rPr>
              <w:rFonts w:ascii="Times New Roman" w:hAnsi="Times New Roman"/>
              <w:noProof/>
              <w:szCs w:val="22"/>
            </w:rPr>
          </w:pPr>
          <w:hyperlink w:anchor="_Toc90046527" w:history="1">
            <w:r w:rsidR="00C41021" w:rsidRPr="00C41021">
              <w:rPr>
                <w:rStyle w:val="Hyperlink"/>
                <w:rFonts w:ascii="Times New Roman" w:hAnsi="Times New Roman"/>
                <w:noProof/>
              </w:rPr>
              <w:t>VII.</w:t>
            </w:r>
            <w:r w:rsidR="00C41021" w:rsidRPr="00C41021">
              <w:rPr>
                <w:rFonts w:ascii="Times New Roman" w:hAnsi="Times New Roman"/>
                <w:noProof/>
                <w:szCs w:val="22"/>
              </w:rPr>
              <w:tab/>
            </w:r>
            <w:r w:rsidR="00C41021" w:rsidRPr="00C41021">
              <w:rPr>
                <w:rStyle w:val="Hyperlink"/>
                <w:rFonts w:ascii="Times New Roman" w:hAnsi="Times New Roman"/>
                <w:noProof/>
              </w:rPr>
              <w:t>Predicted Changes in MGB’s Shares and Bargaining Leverage</w:t>
            </w:r>
            <w:r w:rsidR="00C41021" w:rsidRPr="00C41021">
              <w:rPr>
                <w:rFonts w:ascii="Times New Roman" w:hAnsi="Times New Roman"/>
                <w:noProof/>
                <w:webHidden/>
              </w:rPr>
              <w:tab/>
            </w:r>
            <w:r w:rsidR="00C41021" w:rsidRPr="00C41021">
              <w:rPr>
                <w:rFonts w:ascii="Times New Roman" w:hAnsi="Times New Roman"/>
                <w:noProof/>
                <w:webHidden/>
              </w:rPr>
              <w:fldChar w:fldCharType="begin"/>
            </w:r>
            <w:r w:rsidR="00C41021" w:rsidRPr="00C41021">
              <w:rPr>
                <w:rFonts w:ascii="Times New Roman" w:hAnsi="Times New Roman"/>
                <w:noProof/>
                <w:webHidden/>
              </w:rPr>
              <w:instrText xml:space="preserve"> PAGEREF _Toc90046527 \h </w:instrText>
            </w:r>
            <w:r w:rsidR="00C41021" w:rsidRPr="00C41021">
              <w:rPr>
                <w:rFonts w:ascii="Times New Roman" w:hAnsi="Times New Roman"/>
                <w:noProof/>
                <w:webHidden/>
              </w:rPr>
            </w:r>
            <w:r w:rsidR="00C41021" w:rsidRPr="00C41021">
              <w:rPr>
                <w:rFonts w:ascii="Times New Roman" w:hAnsi="Times New Roman"/>
                <w:noProof/>
                <w:webHidden/>
              </w:rPr>
              <w:fldChar w:fldCharType="separate"/>
            </w:r>
            <w:r w:rsidR="002B78C3">
              <w:rPr>
                <w:rFonts w:ascii="Times New Roman" w:hAnsi="Times New Roman"/>
                <w:noProof/>
                <w:webHidden/>
              </w:rPr>
              <w:t>57</w:t>
            </w:r>
            <w:r w:rsidR="00C41021" w:rsidRPr="00C41021">
              <w:rPr>
                <w:rFonts w:ascii="Times New Roman" w:hAnsi="Times New Roman"/>
                <w:noProof/>
                <w:webHidden/>
              </w:rPr>
              <w:fldChar w:fldCharType="end"/>
            </w:r>
          </w:hyperlink>
        </w:p>
        <w:p w14:paraId="276543FF" w14:textId="05CC3F84" w:rsidR="00C41021" w:rsidRPr="00C41021" w:rsidRDefault="005D4A49" w:rsidP="0069757E">
          <w:pPr>
            <w:pStyle w:val="TOC2"/>
            <w:spacing w:line="276" w:lineRule="auto"/>
            <w:rPr>
              <w:rFonts w:ascii="Times New Roman" w:hAnsi="Times New Roman" w:cstheme="minorBidi"/>
              <w:szCs w:val="22"/>
            </w:rPr>
          </w:pPr>
          <w:hyperlink w:anchor="_Toc90046528" w:history="1">
            <w:r w:rsidR="00C41021" w:rsidRPr="00C41021">
              <w:rPr>
                <w:rStyle w:val="Hyperlink"/>
                <w:rFonts w:ascii="Times New Roman" w:hAnsi="Times New Roman"/>
              </w:rPr>
              <w:t>A.</w:t>
            </w:r>
            <w:r w:rsidR="00C41021" w:rsidRPr="00C41021">
              <w:rPr>
                <w:rFonts w:ascii="Times New Roman" w:hAnsi="Times New Roman" w:cstheme="minorBidi"/>
                <w:szCs w:val="22"/>
              </w:rPr>
              <w:tab/>
            </w:r>
            <w:r w:rsidR="00C41021" w:rsidRPr="00C41021">
              <w:rPr>
                <w:rStyle w:val="Hyperlink"/>
                <w:rFonts w:ascii="Times New Roman" w:hAnsi="Times New Roman"/>
              </w:rPr>
              <w:t>Competition Between Health Care Providers</w:t>
            </w:r>
            <w:r w:rsidR="00C41021" w:rsidRPr="00C41021">
              <w:rPr>
                <w:rFonts w:ascii="Times New Roman" w:hAnsi="Times New Roman"/>
                <w:webHidden/>
              </w:rPr>
              <w:tab/>
            </w:r>
            <w:r w:rsidR="00C41021" w:rsidRPr="00C41021">
              <w:rPr>
                <w:rFonts w:ascii="Times New Roman" w:hAnsi="Times New Roman"/>
                <w:webHidden/>
              </w:rPr>
              <w:fldChar w:fldCharType="begin"/>
            </w:r>
            <w:r w:rsidR="00C41021" w:rsidRPr="00C41021">
              <w:rPr>
                <w:rFonts w:ascii="Times New Roman" w:hAnsi="Times New Roman"/>
                <w:webHidden/>
              </w:rPr>
              <w:instrText xml:space="preserve"> PAGEREF _Toc90046528 \h </w:instrText>
            </w:r>
            <w:r w:rsidR="00C41021" w:rsidRPr="00C41021">
              <w:rPr>
                <w:rFonts w:ascii="Times New Roman" w:hAnsi="Times New Roman"/>
                <w:webHidden/>
              </w:rPr>
            </w:r>
            <w:r w:rsidR="00C41021" w:rsidRPr="00C41021">
              <w:rPr>
                <w:rFonts w:ascii="Times New Roman" w:hAnsi="Times New Roman"/>
                <w:webHidden/>
              </w:rPr>
              <w:fldChar w:fldCharType="separate"/>
            </w:r>
            <w:r w:rsidR="002B78C3">
              <w:rPr>
                <w:rFonts w:ascii="Times New Roman" w:hAnsi="Times New Roman"/>
                <w:webHidden/>
              </w:rPr>
              <w:t>58</w:t>
            </w:r>
            <w:r w:rsidR="00C41021" w:rsidRPr="00C41021">
              <w:rPr>
                <w:rFonts w:ascii="Times New Roman" w:hAnsi="Times New Roman"/>
                <w:webHidden/>
              </w:rPr>
              <w:fldChar w:fldCharType="end"/>
            </w:r>
          </w:hyperlink>
        </w:p>
        <w:p w14:paraId="72EE5F61" w14:textId="1FF5A02E" w:rsidR="00C41021" w:rsidRPr="00C41021" w:rsidRDefault="005D4A49" w:rsidP="0069757E">
          <w:pPr>
            <w:pStyle w:val="TOC3"/>
            <w:spacing w:line="276" w:lineRule="auto"/>
            <w:rPr>
              <w:rFonts w:ascii="Times New Roman" w:hAnsi="Times New Roman"/>
              <w:noProof/>
              <w:szCs w:val="22"/>
            </w:rPr>
          </w:pPr>
          <w:hyperlink w:anchor="_Toc90046529" w:history="1">
            <w:r w:rsidR="00C41021" w:rsidRPr="00C41021">
              <w:rPr>
                <w:rStyle w:val="Hyperlink"/>
                <w:rFonts w:ascii="Times New Roman" w:hAnsi="Times New Roman"/>
                <w:noProof/>
              </w:rPr>
              <w:t>1.</w:t>
            </w:r>
            <w:r w:rsidR="00C41021" w:rsidRPr="00C41021">
              <w:rPr>
                <w:rFonts w:ascii="Times New Roman" w:hAnsi="Times New Roman"/>
                <w:noProof/>
                <w:szCs w:val="22"/>
              </w:rPr>
              <w:tab/>
            </w:r>
            <w:r w:rsidR="00C41021" w:rsidRPr="00C41021">
              <w:rPr>
                <w:rStyle w:val="Hyperlink"/>
                <w:rFonts w:ascii="Times New Roman" w:hAnsi="Times New Roman"/>
                <w:noProof/>
              </w:rPr>
              <w:t>The Relationship Between Hospital Concentration and Inpatient Prices</w:t>
            </w:r>
            <w:r w:rsidR="00C41021" w:rsidRPr="00C41021">
              <w:rPr>
                <w:rFonts w:ascii="Times New Roman" w:hAnsi="Times New Roman"/>
                <w:noProof/>
                <w:webHidden/>
              </w:rPr>
              <w:tab/>
            </w:r>
            <w:r w:rsidR="00C41021" w:rsidRPr="00C41021">
              <w:rPr>
                <w:rFonts w:ascii="Times New Roman" w:hAnsi="Times New Roman"/>
                <w:noProof/>
                <w:webHidden/>
              </w:rPr>
              <w:fldChar w:fldCharType="begin"/>
            </w:r>
            <w:r w:rsidR="00C41021" w:rsidRPr="00C41021">
              <w:rPr>
                <w:rFonts w:ascii="Times New Roman" w:hAnsi="Times New Roman"/>
                <w:noProof/>
                <w:webHidden/>
              </w:rPr>
              <w:instrText xml:space="preserve"> PAGEREF _Toc90046529 \h </w:instrText>
            </w:r>
            <w:r w:rsidR="00C41021" w:rsidRPr="00C41021">
              <w:rPr>
                <w:rFonts w:ascii="Times New Roman" w:hAnsi="Times New Roman"/>
                <w:noProof/>
                <w:webHidden/>
              </w:rPr>
            </w:r>
            <w:r w:rsidR="00C41021" w:rsidRPr="00C41021">
              <w:rPr>
                <w:rFonts w:ascii="Times New Roman" w:hAnsi="Times New Roman"/>
                <w:noProof/>
                <w:webHidden/>
              </w:rPr>
              <w:fldChar w:fldCharType="separate"/>
            </w:r>
            <w:r w:rsidR="002B78C3">
              <w:rPr>
                <w:rFonts w:ascii="Times New Roman" w:hAnsi="Times New Roman"/>
                <w:noProof/>
                <w:webHidden/>
              </w:rPr>
              <w:t>61</w:t>
            </w:r>
            <w:r w:rsidR="00C41021" w:rsidRPr="00C41021">
              <w:rPr>
                <w:rFonts w:ascii="Times New Roman" w:hAnsi="Times New Roman"/>
                <w:noProof/>
                <w:webHidden/>
              </w:rPr>
              <w:fldChar w:fldCharType="end"/>
            </w:r>
          </w:hyperlink>
        </w:p>
        <w:p w14:paraId="3DCE12F6" w14:textId="2B15A015" w:rsidR="00C41021" w:rsidRPr="00C41021" w:rsidRDefault="005D4A49" w:rsidP="0069757E">
          <w:pPr>
            <w:pStyle w:val="TOC3"/>
            <w:spacing w:line="276" w:lineRule="auto"/>
            <w:rPr>
              <w:rFonts w:ascii="Times New Roman" w:hAnsi="Times New Roman"/>
              <w:noProof/>
              <w:szCs w:val="22"/>
            </w:rPr>
          </w:pPr>
          <w:hyperlink w:anchor="_Toc90046530" w:history="1">
            <w:r w:rsidR="00C41021" w:rsidRPr="00C41021">
              <w:rPr>
                <w:rStyle w:val="Hyperlink"/>
                <w:rFonts w:ascii="Times New Roman" w:hAnsi="Times New Roman"/>
                <w:noProof/>
              </w:rPr>
              <w:t>2.</w:t>
            </w:r>
            <w:r w:rsidR="00C41021" w:rsidRPr="00C41021">
              <w:rPr>
                <w:rFonts w:ascii="Times New Roman" w:hAnsi="Times New Roman"/>
                <w:noProof/>
                <w:szCs w:val="22"/>
              </w:rPr>
              <w:tab/>
            </w:r>
            <w:r w:rsidR="00C41021" w:rsidRPr="00C41021">
              <w:rPr>
                <w:rStyle w:val="Hyperlink"/>
                <w:rFonts w:ascii="Times New Roman" w:hAnsi="Times New Roman"/>
                <w:noProof/>
              </w:rPr>
              <w:t>Effect of Entry and Expansion on Competition in the Provision of Health Care Services</w:t>
            </w:r>
            <w:r w:rsidR="00C41021" w:rsidRPr="00C41021">
              <w:rPr>
                <w:rFonts w:ascii="Times New Roman" w:hAnsi="Times New Roman"/>
                <w:noProof/>
                <w:webHidden/>
              </w:rPr>
              <w:tab/>
            </w:r>
            <w:r w:rsidR="00C41021" w:rsidRPr="00C41021">
              <w:rPr>
                <w:rFonts w:ascii="Times New Roman" w:hAnsi="Times New Roman"/>
                <w:noProof/>
                <w:webHidden/>
              </w:rPr>
              <w:fldChar w:fldCharType="begin"/>
            </w:r>
            <w:r w:rsidR="00C41021" w:rsidRPr="00C41021">
              <w:rPr>
                <w:rFonts w:ascii="Times New Roman" w:hAnsi="Times New Roman"/>
                <w:noProof/>
                <w:webHidden/>
              </w:rPr>
              <w:instrText xml:space="preserve"> PAGEREF _Toc90046530 \h </w:instrText>
            </w:r>
            <w:r w:rsidR="00C41021" w:rsidRPr="00C41021">
              <w:rPr>
                <w:rFonts w:ascii="Times New Roman" w:hAnsi="Times New Roman"/>
                <w:noProof/>
                <w:webHidden/>
              </w:rPr>
            </w:r>
            <w:r w:rsidR="00C41021" w:rsidRPr="00C41021">
              <w:rPr>
                <w:rFonts w:ascii="Times New Roman" w:hAnsi="Times New Roman"/>
                <w:noProof/>
                <w:webHidden/>
              </w:rPr>
              <w:fldChar w:fldCharType="separate"/>
            </w:r>
            <w:r w:rsidR="002B78C3">
              <w:rPr>
                <w:rFonts w:ascii="Times New Roman" w:hAnsi="Times New Roman"/>
                <w:noProof/>
                <w:webHidden/>
              </w:rPr>
              <w:t>65</w:t>
            </w:r>
            <w:r w:rsidR="00C41021" w:rsidRPr="00C41021">
              <w:rPr>
                <w:rFonts w:ascii="Times New Roman" w:hAnsi="Times New Roman"/>
                <w:noProof/>
                <w:webHidden/>
              </w:rPr>
              <w:fldChar w:fldCharType="end"/>
            </w:r>
          </w:hyperlink>
        </w:p>
        <w:p w14:paraId="25BA31A0" w14:textId="7839CEEA" w:rsidR="00C41021" w:rsidRPr="00C41021" w:rsidRDefault="005D4A49" w:rsidP="0069757E">
          <w:pPr>
            <w:pStyle w:val="TOC2"/>
            <w:spacing w:line="276" w:lineRule="auto"/>
            <w:rPr>
              <w:rFonts w:ascii="Times New Roman" w:hAnsi="Times New Roman" w:cstheme="minorBidi"/>
              <w:szCs w:val="22"/>
            </w:rPr>
          </w:pPr>
          <w:hyperlink w:anchor="_Toc90046531" w:history="1">
            <w:r w:rsidR="00C41021" w:rsidRPr="00C41021">
              <w:rPr>
                <w:rStyle w:val="Hyperlink"/>
                <w:rFonts w:ascii="Times New Roman" w:hAnsi="Times New Roman"/>
              </w:rPr>
              <w:t>B.</w:t>
            </w:r>
            <w:r w:rsidR="00C41021" w:rsidRPr="00C41021">
              <w:rPr>
                <w:rFonts w:ascii="Times New Roman" w:hAnsi="Times New Roman" w:cstheme="minorBidi"/>
                <w:szCs w:val="22"/>
              </w:rPr>
              <w:tab/>
            </w:r>
            <w:r w:rsidR="00C41021" w:rsidRPr="00C41021">
              <w:rPr>
                <w:rStyle w:val="Hyperlink"/>
                <w:rFonts w:ascii="Times New Roman" w:hAnsi="Times New Roman"/>
              </w:rPr>
              <w:t>Inpatient Services</w:t>
            </w:r>
            <w:r w:rsidR="00C41021" w:rsidRPr="00C41021">
              <w:rPr>
                <w:rFonts w:ascii="Times New Roman" w:hAnsi="Times New Roman"/>
                <w:webHidden/>
              </w:rPr>
              <w:tab/>
            </w:r>
            <w:r w:rsidR="00C41021" w:rsidRPr="00C41021">
              <w:rPr>
                <w:rFonts w:ascii="Times New Roman" w:hAnsi="Times New Roman"/>
                <w:webHidden/>
              </w:rPr>
              <w:fldChar w:fldCharType="begin"/>
            </w:r>
            <w:r w:rsidR="00C41021" w:rsidRPr="00C41021">
              <w:rPr>
                <w:rFonts w:ascii="Times New Roman" w:hAnsi="Times New Roman"/>
                <w:webHidden/>
              </w:rPr>
              <w:instrText xml:space="preserve"> PAGEREF _Toc90046531 \h </w:instrText>
            </w:r>
            <w:r w:rsidR="00C41021" w:rsidRPr="00C41021">
              <w:rPr>
                <w:rFonts w:ascii="Times New Roman" w:hAnsi="Times New Roman"/>
                <w:webHidden/>
              </w:rPr>
            </w:r>
            <w:r w:rsidR="00C41021" w:rsidRPr="00C41021">
              <w:rPr>
                <w:rFonts w:ascii="Times New Roman" w:hAnsi="Times New Roman"/>
                <w:webHidden/>
              </w:rPr>
              <w:fldChar w:fldCharType="separate"/>
            </w:r>
            <w:r w:rsidR="002B78C3">
              <w:rPr>
                <w:rFonts w:ascii="Times New Roman" w:hAnsi="Times New Roman"/>
                <w:webHidden/>
              </w:rPr>
              <w:t>68</w:t>
            </w:r>
            <w:r w:rsidR="00C41021" w:rsidRPr="00C41021">
              <w:rPr>
                <w:rFonts w:ascii="Times New Roman" w:hAnsi="Times New Roman"/>
                <w:webHidden/>
              </w:rPr>
              <w:fldChar w:fldCharType="end"/>
            </w:r>
          </w:hyperlink>
        </w:p>
        <w:p w14:paraId="730E7AD3" w14:textId="5F5F38D5" w:rsidR="00C41021" w:rsidRPr="00C41021" w:rsidRDefault="005D4A49" w:rsidP="0069757E">
          <w:pPr>
            <w:pStyle w:val="TOC2"/>
            <w:spacing w:line="276" w:lineRule="auto"/>
            <w:rPr>
              <w:rFonts w:ascii="Times New Roman" w:hAnsi="Times New Roman" w:cstheme="minorBidi"/>
              <w:szCs w:val="22"/>
            </w:rPr>
          </w:pPr>
          <w:hyperlink w:anchor="_Toc90046532" w:history="1">
            <w:r w:rsidR="00C41021" w:rsidRPr="00C41021">
              <w:rPr>
                <w:rStyle w:val="Hyperlink"/>
                <w:rFonts w:ascii="Times New Roman" w:hAnsi="Times New Roman"/>
              </w:rPr>
              <w:t>C.</w:t>
            </w:r>
            <w:r w:rsidR="00C41021" w:rsidRPr="00C41021">
              <w:rPr>
                <w:rFonts w:ascii="Times New Roman" w:hAnsi="Times New Roman" w:cstheme="minorBidi"/>
                <w:szCs w:val="22"/>
              </w:rPr>
              <w:tab/>
            </w:r>
            <w:r w:rsidR="00C41021" w:rsidRPr="00C41021">
              <w:rPr>
                <w:rStyle w:val="Hyperlink"/>
                <w:rFonts w:ascii="Times New Roman" w:hAnsi="Times New Roman"/>
              </w:rPr>
              <w:t>Outpatient Services</w:t>
            </w:r>
            <w:r w:rsidR="00C41021" w:rsidRPr="00C41021">
              <w:rPr>
                <w:rFonts w:ascii="Times New Roman" w:hAnsi="Times New Roman"/>
                <w:webHidden/>
              </w:rPr>
              <w:tab/>
            </w:r>
            <w:r w:rsidR="00C41021" w:rsidRPr="00C41021">
              <w:rPr>
                <w:rFonts w:ascii="Times New Roman" w:hAnsi="Times New Roman"/>
                <w:webHidden/>
              </w:rPr>
              <w:fldChar w:fldCharType="begin"/>
            </w:r>
            <w:r w:rsidR="00C41021" w:rsidRPr="00C41021">
              <w:rPr>
                <w:rFonts w:ascii="Times New Roman" w:hAnsi="Times New Roman"/>
                <w:webHidden/>
              </w:rPr>
              <w:instrText xml:space="preserve"> PAGEREF _Toc90046532 \h </w:instrText>
            </w:r>
            <w:r w:rsidR="00C41021" w:rsidRPr="00C41021">
              <w:rPr>
                <w:rFonts w:ascii="Times New Roman" w:hAnsi="Times New Roman"/>
                <w:webHidden/>
              </w:rPr>
            </w:r>
            <w:r w:rsidR="00C41021" w:rsidRPr="00C41021">
              <w:rPr>
                <w:rFonts w:ascii="Times New Roman" w:hAnsi="Times New Roman"/>
                <w:webHidden/>
              </w:rPr>
              <w:fldChar w:fldCharType="separate"/>
            </w:r>
            <w:r w:rsidR="002B78C3">
              <w:rPr>
                <w:rFonts w:ascii="Times New Roman" w:hAnsi="Times New Roman"/>
                <w:webHidden/>
              </w:rPr>
              <w:t>70</w:t>
            </w:r>
            <w:r w:rsidR="00C41021" w:rsidRPr="00C41021">
              <w:rPr>
                <w:rFonts w:ascii="Times New Roman" w:hAnsi="Times New Roman"/>
                <w:webHidden/>
              </w:rPr>
              <w:fldChar w:fldCharType="end"/>
            </w:r>
          </w:hyperlink>
        </w:p>
        <w:p w14:paraId="0D8AD73C" w14:textId="185B005E" w:rsidR="00C41021" w:rsidRPr="00C41021" w:rsidRDefault="005D4A49" w:rsidP="0069757E">
          <w:pPr>
            <w:pStyle w:val="TOC3"/>
            <w:spacing w:line="276" w:lineRule="auto"/>
            <w:rPr>
              <w:rFonts w:ascii="Times New Roman" w:hAnsi="Times New Roman"/>
              <w:noProof/>
              <w:szCs w:val="22"/>
            </w:rPr>
          </w:pPr>
          <w:hyperlink w:anchor="_Toc90046533" w:history="1">
            <w:r w:rsidR="00C41021" w:rsidRPr="00C41021">
              <w:rPr>
                <w:rStyle w:val="Hyperlink"/>
                <w:rFonts w:ascii="Times New Roman" w:hAnsi="Times New Roman"/>
                <w:noProof/>
              </w:rPr>
              <w:t>1.</w:t>
            </w:r>
            <w:r w:rsidR="00C41021" w:rsidRPr="00C41021">
              <w:rPr>
                <w:rFonts w:ascii="Times New Roman" w:hAnsi="Times New Roman"/>
                <w:noProof/>
                <w:szCs w:val="22"/>
              </w:rPr>
              <w:tab/>
            </w:r>
            <w:r w:rsidR="00C41021" w:rsidRPr="00C41021">
              <w:rPr>
                <w:rStyle w:val="Hyperlink"/>
                <w:rFonts w:ascii="Times New Roman" w:hAnsi="Times New Roman"/>
                <w:noProof/>
              </w:rPr>
              <w:t>Diagnostic Imaging Services</w:t>
            </w:r>
            <w:r w:rsidR="00C41021" w:rsidRPr="00C41021">
              <w:rPr>
                <w:rFonts w:ascii="Times New Roman" w:hAnsi="Times New Roman"/>
                <w:noProof/>
                <w:webHidden/>
              </w:rPr>
              <w:tab/>
            </w:r>
            <w:r w:rsidR="00C41021" w:rsidRPr="00C41021">
              <w:rPr>
                <w:rFonts w:ascii="Times New Roman" w:hAnsi="Times New Roman"/>
                <w:noProof/>
                <w:webHidden/>
              </w:rPr>
              <w:fldChar w:fldCharType="begin"/>
            </w:r>
            <w:r w:rsidR="00C41021" w:rsidRPr="00C41021">
              <w:rPr>
                <w:rFonts w:ascii="Times New Roman" w:hAnsi="Times New Roman"/>
                <w:noProof/>
                <w:webHidden/>
              </w:rPr>
              <w:instrText xml:space="preserve"> PAGEREF _Toc90046533 \h </w:instrText>
            </w:r>
            <w:r w:rsidR="00C41021" w:rsidRPr="00C41021">
              <w:rPr>
                <w:rFonts w:ascii="Times New Roman" w:hAnsi="Times New Roman"/>
                <w:noProof/>
                <w:webHidden/>
              </w:rPr>
            </w:r>
            <w:r w:rsidR="00C41021" w:rsidRPr="00C41021">
              <w:rPr>
                <w:rFonts w:ascii="Times New Roman" w:hAnsi="Times New Roman"/>
                <w:noProof/>
                <w:webHidden/>
              </w:rPr>
              <w:fldChar w:fldCharType="separate"/>
            </w:r>
            <w:r w:rsidR="002B78C3">
              <w:rPr>
                <w:rFonts w:ascii="Times New Roman" w:hAnsi="Times New Roman"/>
                <w:noProof/>
                <w:webHidden/>
              </w:rPr>
              <w:t>70</w:t>
            </w:r>
            <w:r w:rsidR="00C41021" w:rsidRPr="00C41021">
              <w:rPr>
                <w:rFonts w:ascii="Times New Roman" w:hAnsi="Times New Roman"/>
                <w:noProof/>
                <w:webHidden/>
              </w:rPr>
              <w:fldChar w:fldCharType="end"/>
            </w:r>
          </w:hyperlink>
        </w:p>
        <w:p w14:paraId="226FBF89" w14:textId="3F33CDC0" w:rsidR="00C41021" w:rsidRPr="00C41021" w:rsidRDefault="005D4A49" w:rsidP="0069757E">
          <w:pPr>
            <w:pStyle w:val="TOC3"/>
            <w:spacing w:line="276" w:lineRule="auto"/>
            <w:rPr>
              <w:rFonts w:ascii="Times New Roman" w:hAnsi="Times New Roman"/>
              <w:noProof/>
              <w:szCs w:val="22"/>
            </w:rPr>
          </w:pPr>
          <w:hyperlink w:anchor="_Toc90046534" w:history="1">
            <w:r w:rsidR="00C41021" w:rsidRPr="00C41021">
              <w:rPr>
                <w:rStyle w:val="Hyperlink"/>
                <w:rFonts w:ascii="Times New Roman" w:hAnsi="Times New Roman"/>
                <w:noProof/>
              </w:rPr>
              <w:t>2.</w:t>
            </w:r>
            <w:r w:rsidR="00C41021" w:rsidRPr="00C41021">
              <w:rPr>
                <w:rFonts w:ascii="Times New Roman" w:hAnsi="Times New Roman"/>
                <w:noProof/>
                <w:szCs w:val="22"/>
              </w:rPr>
              <w:tab/>
            </w:r>
            <w:r w:rsidR="00C41021" w:rsidRPr="00C41021">
              <w:rPr>
                <w:rStyle w:val="Hyperlink"/>
                <w:rFonts w:ascii="Times New Roman" w:hAnsi="Times New Roman"/>
                <w:noProof/>
              </w:rPr>
              <w:t>Cardiovascular Services</w:t>
            </w:r>
            <w:r w:rsidR="00C41021" w:rsidRPr="00C41021">
              <w:rPr>
                <w:rFonts w:ascii="Times New Roman" w:hAnsi="Times New Roman"/>
                <w:noProof/>
                <w:webHidden/>
              </w:rPr>
              <w:tab/>
            </w:r>
            <w:r w:rsidR="00C41021" w:rsidRPr="00C41021">
              <w:rPr>
                <w:rFonts w:ascii="Times New Roman" w:hAnsi="Times New Roman"/>
                <w:noProof/>
                <w:webHidden/>
              </w:rPr>
              <w:fldChar w:fldCharType="begin"/>
            </w:r>
            <w:r w:rsidR="00C41021" w:rsidRPr="00C41021">
              <w:rPr>
                <w:rFonts w:ascii="Times New Roman" w:hAnsi="Times New Roman"/>
                <w:noProof/>
                <w:webHidden/>
              </w:rPr>
              <w:instrText xml:space="preserve"> PAGEREF _Toc90046534 \h </w:instrText>
            </w:r>
            <w:r w:rsidR="00C41021" w:rsidRPr="00C41021">
              <w:rPr>
                <w:rFonts w:ascii="Times New Roman" w:hAnsi="Times New Roman"/>
                <w:noProof/>
                <w:webHidden/>
              </w:rPr>
            </w:r>
            <w:r w:rsidR="00C41021" w:rsidRPr="00C41021">
              <w:rPr>
                <w:rFonts w:ascii="Times New Roman" w:hAnsi="Times New Roman"/>
                <w:noProof/>
                <w:webHidden/>
              </w:rPr>
              <w:fldChar w:fldCharType="separate"/>
            </w:r>
            <w:r w:rsidR="002B78C3">
              <w:rPr>
                <w:rFonts w:ascii="Times New Roman" w:hAnsi="Times New Roman"/>
                <w:noProof/>
                <w:webHidden/>
              </w:rPr>
              <w:t>73</w:t>
            </w:r>
            <w:r w:rsidR="00C41021" w:rsidRPr="00C41021">
              <w:rPr>
                <w:rFonts w:ascii="Times New Roman" w:hAnsi="Times New Roman"/>
                <w:noProof/>
                <w:webHidden/>
              </w:rPr>
              <w:fldChar w:fldCharType="end"/>
            </w:r>
          </w:hyperlink>
        </w:p>
        <w:p w14:paraId="3413C117" w14:textId="772EF28B" w:rsidR="00C41021" w:rsidRPr="00C41021" w:rsidRDefault="005D4A49" w:rsidP="0069757E">
          <w:pPr>
            <w:pStyle w:val="TOC3"/>
            <w:spacing w:line="276" w:lineRule="auto"/>
            <w:rPr>
              <w:rFonts w:ascii="Times New Roman" w:hAnsi="Times New Roman"/>
              <w:noProof/>
              <w:szCs w:val="22"/>
            </w:rPr>
          </w:pPr>
          <w:hyperlink w:anchor="_Toc90046535" w:history="1">
            <w:r w:rsidR="00C41021" w:rsidRPr="00C41021">
              <w:rPr>
                <w:rStyle w:val="Hyperlink"/>
                <w:rFonts w:ascii="Times New Roman" w:hAnsi="Times New Roman"/>
                <w:noProof/>
              </w:rPr>
              <w:t>3.</w:t>
            </w:r>
            <w:r w:rsidR="00C41021" w:rsidRPr="00C41021">
              <w:rPr>
                <w:rFonts w:ascii="Times New Roman" w:hAnsi="Times New Roman"/>
                <w:noProof/>
                <w:szCs w:val="22"/>
              </w:rPr>
              <w:tab/>
            </w:r>
            <w:r w:rsidR="00C41021" w:rsidRPr="00C41021">
              <w:rPr>
                <w:rStyle w:val="Hyperlink"/>
                <w:rFonts w:ascii="Times New Roman" w:hAnsi="Times New Roman"/>
                <w:noProof/>
              </w:rPr>
              <w:t>Oncology Services</w:t>
            </w:r>
            <w:r w:rsidR="00C41021" w:rsidRPr="00C41021">
              <w:rPr>
                <w:rFonts w:ascii="Times New Roman" w:hAnsi="Times New Roman"/>
                <w:noProof/>
                <w:webHidden/>
              </w:rPr>
              <w:tab/>
            </w:r>
            <w:r w:rsidR="00C41021" w:rsidRPr="00C41021">
              <w:rPr>
                <w:rFonts w:ascii="Times New Roman" w:hAnsi="Times New Roman"/>
                <w:noProof/>
                <w:webHidden/>
              </w:rPr>
              <w:fldChar w:fldCharType="begin"/>
            </w:r>
            <w:r w:rsidR="00C41021" w:rsidRPr="00C41021">
              <w:rPr>
                <w:rFonts w:ascii="Times New Roman" w:hAnsi="Times New Roman"/>
                <w:noProof/>
                <w:webHidden/>
              </w:rPr>
              <w:instrText xml:space="preserve"> PAGEREF _Toc90046535 \h </w:instrText>
            </w:r>
            <w:r w:rsidR="00C41021" w:rsidRPr="00C41021">
              <w:rPr>
                <w:rFonts w:ascii="Times New Roman" w:hAnsi="Times New Roman"/>
                <w:noProof/>
                <w:webHidden/>
              </w:rPr>
            </w:r>
            <w:r w:rsidR="00C41021" w:rsidRPr="00C41021">
              <w:rPr>
                <w:rFonts w:ascii="Times New Roman" w:hAnsi="Times New Roman"/>
                <w:noProof/>
                <w:webHidden/>
              </w:rPr>
              <w:fldChar w:fldCharType="separate"/>
            </w:r>
            <w:r w:rsidR="002B78C3">
              <w:rPr>
                <w:rFonts w:ascii="Times New Roman" w:hAnsi="Times New Roman"/>
                <w:noProof/>
                <w:webHidden/>
              </w:rPr>
              <w:t>73</w:t>
            </w:r>
            <w:r w:rsidR="00C41021" w:rsidRPr="00C41021">
              <w:rPr>
                <w:rFonts w:ascii="Times New Roman" w:hAnsi="Times New Roman"/>
                <w:noProof/>
                <w:webHidden/>
              </w:rPr>
              <w:fldChar w:fldCharType="end"/>
            </w:r>
          </w:hyperlink>
        </w:p>
        <w:p w14:paraId="74E34C6B" w14:textId="446A420E" w:rsidR="00C41021" w:rsidRPr="00C41021" w:rsidRDefault="005D4A49" w:rsidP="0069757E">
          <w:pPr>
            <w:pStyle w:val="TOC1"/>
            <w:spacing w:line="276" w:lineRule="auto"/>
            <w:rPr>
              <w:rFonts w:ascii="Times New Roman" w:hAnsi="Times New Roman"/>
              <w:noProof/>
              <w:szCs w:val="22"/>
            </w:rPr>
          </w:pPr>
          <w:hyperlink w:anchor="_Toc90046536" w:history="1">
            <w:r w:rsidR="00C41021" w:rsidRPr="00C41021">
              <w:rPr>
                <w:rStyle w:val="Hyperlink"/>
                <w:rFonts w:ascii="Times New Roman" w:hAnsi="Times New Roman"/>
                <w:noProof/>
              </w:rPr>
              <w:t>VIII.</w:t>
            </w:r>
            <w:r w:rsidR="00C41021" w:rsidRPr="00C41021">
              <w:rPr>
                <w:rFonts w:ascii="Times New Roman" w:hAnsi="Times New Roman"/>
                <w:noProof/>
                <w:szCs w:val="22"/>
              </w:rPr>
              <w:tab/>
            </w:r>
            <w:r w:rsidR="00C41021" w:rsidRPr="00C41021">
              <w:rPr>
                <w:rStyle w:val="Hyperlink"/>
                <w:rFonts w:ascii="Times New Roman" w:hAnsi="Times New Roman"/>
                <w:noProof/>
              </w:rPr>
              <w:t>Rates for Private and Semi-Private Room Rates at MGH</w:t>
            </w:r>
            <w:r w:rsidR="00C41021" w:rsidRPr="00C41021">
              <w:rPr>
                <w:rFonts w:ascii="Times New Roman" w:hAnsi="Times New Roman"/>
                <w:noProof/>
                <w:webHidden/>
              </w:rPr>
              <w:tab/>
            </w:r>
            <w:r w:rsidR="00C41021" w:rsidRPr="00C41021">
              <w:rPr>
                <w:rFonts w:ascii="Times New Roman" w:hAnsi="Times New Roman"/>
                <w:noProof/>
                <w:webHidden/>
              </w:rPr>
              <w:fldChar w:fldCharType="begin"/>
            </w:r>
            <w:r w:rsidR="00C41021" w:rsidRPr="00C41021">
              <w:rPr>
                <w:rFonts w:ascii="Times New Roman" w:hAnsi="Times New Roman"/>
                <w:noProof/>
                <w:webHidden/>
              </w:rPr>
              <w:instrText xml:space="preserve"> PAGEREF _Toc90046536 \h </w:instrText>
            </w:r>
            <w:r w:rsidR="00C41021" w:rsidRPr="00C41021">
              <w:rPr>
                <w:rFonts w:ascii="Times New Roman" w:hAnsi="Times New Roman"/>
                <w:noProof/>
                <w:webHidden/>
              </w:rPr>
            </w:r>
            <w:r w:rsidR="00C41021" w:rsidRPr="00C41021">
              <w:rPr>
                <w:rFonts w:ascii="Times New Roman" w:hAnsi="Times New Roman"/>
                <w:noProof/>
                <w:webHidden/>
              </w:rPr>
              <w:fldChar w:fldCharType="separate"/>
            </w:r>
            <w:r w:rsidR="002B78C3">
              <w:rPr>
                <w:rFonts w:ascii="Times New Roman" w:hAnsi="Times New Roman"/>
                <w:noProof/>
                <w:webHidden/>
              </w:rPr>
              <w:t>74</w:t>
            </w:r>
            <w:r w:rsidR="00C41021" w:rsidRPr="00C41021">
              <w:rPr>
                <w:rFonts w:ascii="Times New Roman" w:hAnsi="Times New Roman"/>
                <w:noProof/>
                <w:webHidden/>
              </w:rPr>
              <w:fldChar w:fldCharType="end"/>
            </w:r>
          </w:hyperlink>
        </w:p>
        <w:p w14:paraId="4EF7A67F" w14:textId="0CDAD27E" w:rsidR="00C41021" w:rsidRPr="00C41021" w:rsidRDefault="005D4A49" w:rsidP="0069757E">
          <w:pPr>
            <w:pStyle w:val="TOC1"/>
            <w:spacing w:line="276" w:lineRule="auto"/>
            <w:rPr>
              <w:rFonts w:ascii="Times New Roman" w:hAnsi="Times New Roman"/>
              <w:noProof/>
              <w:szCs w:val="22"/>
            </w:rPr>
          </w:pPr>
          <w:hyperlink w:anchor="_Toc90046537" w:history="1">
            <w:r w:rsidR="00C41021" w:rsidRPr="00C41021">
              <w:rPr>
                <w:rStyle w:val="Hyperlink"/>
                <w:rFonts w:ascii="Times New Roman" w:hAnsi="Times New Roman"/>
                <w:noProof/>
              </w:rPr>
              <w:t>IX.</w:t>
            </w:r>
            <w:r w:rsidR="00C41021" w:rsidRPr="00C41021">
              <w:rPr>
                <w:rFonts w:ascii="Times New Roman" w:hAnsi="Times New Roman"/>
                <w:noProof/>
                <w:szCs w:val="22"/>
              </w:rPr>
              <w:tab/>
            </w:r>
            <w:r w:rsidR="00C41021" w:rsidRPr="00C41021">
              <w:rPr>
                <w:rStyle w:val="Hyperlink"/>
                <w:rFonts w:ascii="Times New Roman" w:hAnsi="Times New Roman"/>
                <w:noProof/>
              </w:rPr>
              <w:t>Predicted Changes in Health Care Expenditures</w:t>
            </w:r>
            <w:r w:rsidR="00C41021" w:rsidRPr="00C41021">
              <w:rPr>
                <w:rFonts w:ascii="Times New Roman" w:hAnsi="Times New Roman"/>
                <w:noProof/>
                <w:webHidden/>
              </w:rPr>
              <w:tab/>
            </w:r>
            <w:r w:rsidR="00C41021" w:rsidRPr="00C41021">
              <w:rPr>
                <w:rFonts w:ascii="Times New Roman" w:hAnsi="Times New Roman"/>
                <w:noProof/>
                <w:webHidden/>
              </w:rPr>
              <w:fldChar w:fldCharType="begin"/>
            </w:r>
            <w:r w:rsidR="00C41021" w:rsidRPr="00C41021">
              <w:rPr>
                <w:rFonts w:ascii="Times New Roman" w:hAnsi="Times New Roman"/>
                <w:noProof/>
                <w:webHidden/>
              </w:rPr>
              <w:instrText xml:space="preserve"> PAGEREF _Toc90046537 \h </w:instrText>
            </w:r>
            <w:r w:rsidR="00C41021" w:rsidRPr="00C41021">
              <w:rPr>
                <w:rFonts w:ascii="Times New Roman" w:hAnsi="Times New Roman"/>
                <w:noProof/>
                <w:webHidden/>
              </w:rPr>
            </w:r>
            <w:r w:rsidR="00C41021" w:rsidRPr="00C41021">
              <w:rPr>
                <w:rFonts w:ascii="Times New Roman" w:hAnsi="Times New Roman"/>
                <w:noProof/>
                <w:webHidden/>
              </w:rPr>
              <w:fldChar w:fldCharType="separate"/>
            </w:r>
            <w:r w:rsidR="002B78C3">
              <w:rPr>
                <w:rFonts w:ascii="Times New Roman" w:hAnsi="Times New Roman"/>
                <w:noProof/>
                <w:webHidden/>
              </w:rPr>
              <w:t>75</w:t>
            </w:r>
            <w:r w:rsidR="00C41021" w:rsidRPr="00C41021">
              <w:rPr>
                <w:rFonts w:ascii="Times New Roman" w:hAnsi="Times New Roman"/>
                <w:noProof/>
                <w:webHidden/>
              </w:rPr>
              <w:fldChar w:fldCharType="end"/>
            </w:r>
          </w:hyperlink>
        </w:p>
        <w:p w14:paraId="0DBB3945" w14:textId="797AC0ED" w:rsidR="00C41021" w:rsidRPr="00C41021" w:rsidRDefault="005D4A49" w:rsidP="0069757E">
          <w:pPr>
            <w:pStyle w:val="TOC2"/>
            <w:spacing w:line="276" w:lineRule="auto"/>
            <w:rPr>
              <w:rFonts w:ascii="Times New Roman" w:hAnsi="Times New Roman" w:cstheme="minorBidi"/>
              <w:szCs w:val="22"/>
            </w:rPr>
          </w:pPr>
          <w:hyperlink w:anchor="_Toc90046538" w:history="1">
            <w:r w:rsidR="00C41021" w:rsidRPr="00C41021">
              <w:rPr>
                <w:rStyle w:val="Hyperlink"/>
                <w:rFonts w:ascii="Times New Roman" w:hAnsi="Times New Roman"/>
              </w:rPr>
              <w:t>A.</w:t>
            </w:r>
            <w:r w:rsidR="00C41021" w:rsidRPr="00C41021">
              <w:rPr>
                <w:rFonts w:ascii="Times New Roman" w:hAnsi="Times New Roman" w:cstheme="minorBidi"/>
                <w:szCs w:val="22"/>
              </w:rPr>
              <w:tab/>
            </w:r>
            <w:r w:rsidR="00C41021" w:rsidRPr="00C41021">
              <w:rPr>
                <w:rStyle w:val="Hyperlink"/>
                <w:rFonts w:ascii="Times New Roman" w:hAnsi="Times New Roman"/>
              </w:rPr>
              <w:t>Inpatient Services</w:t>
            </w:r>
            <w:r w:rsidR="00C41021" w:rsidRPr="00C41021">
              <w:rPr>
                <w:rFonts w:ascii="Times New Roman" w:hAnsi="Times New Roman"/>
                <w:webHidden/>
              </w:rPr>
              <w:tab/>
            </w:r>
            <w:r w:rsidR="00C41021" w:rsidRPr="00C41021">
              <w:rPr>
                <w:rFonts w:ascii="Times New Roman" w:hAnsi="Times New Roman"/>
                <w:webHidden/>
              </w:rPr>
              <w:fldChar w:fldCharType="begin"/>
            </w:r>
            <w:r w:rsidR="00C41021" w:rsidRPr="00C41021">
              <w:rPr>
                <w:rFonts w:ascii="Times New Roman" w:hAnsi="Times New Roman"/>
                <w:webHidden/>
              </w:rPr>
              <w:instrText xml:space="preserve"> PAGEREF _Toc90046538 \h </w:instrText>
            </w:r>
            <w:r w:rsidR="00C41021" w:rsidRPr="00C41021">
              <w:rPr>
                <w:rFonts w:ascii="Times New Roman" w:hAnsi="Times New Roman"/>
                <w:webHidden/>
              </w:rPr>
            </w:r>
            <w:r w:rsidR="00C41021" w:rsidRPr="00C41021">
              <w:rPr>
                <w:rFonts w:ascii="Times New Roman" w:hAnsi="Times New Roman"/>
                <w:webHidden/>
              </w:rPr>
              <w:fldChar w:fldCharType="separate"/>
            </w:r>
            <w:r w:rsidR="002B78C3">
              <w:rPr>
                <w:rFonts w:ascii="Times New Roman" w:hAnsi="Times New Roman"/>
                <w:webHidden/>
              </w:rPr>
              <w:t>76</w:t>
            </w:r>
            <w:r w:rsidR="00C41021" w:rsidRPr="00C41021">
              <w:rPr>
                <w:rFonts w:ascii="Times New Roman" w:hAnsi="Times New Roman"/>
                <w:webHidden/>
              </w:rPr>
              <w:fldChar w:fldCharType="end"/>
            </w:r>
          </w:hyperlink>
        </w:p>
        <w:p w14:paraId="6290CB74" w14:textId="6F9F393C" w:rsidR="00C41021" w:rsidRPr="00C41021" w:rsidRDefault="005D4A49" w:rsidP="0069757E">
          <w:pPr>
            <w:pStyle w:val="TOC3"/>
            <w:spacing w:line="276" w:lineRule="auto"/>
            <w:rPr>
              <w:rFonts w:ascii="Times New Roman" w:hAnsi="Times New Roman"/>
              <w:noProof/>
              <w:szCs w:val="22"/>
            </w:rPr>
          </w:pPr>
          <w:hyperlink w:anchor="_Toc90046539" w:history="1">
            <w:r w:rsidR="00C41021" w:rsidRPr="00C41021">
              <w:rPr>
                <w:rStyle w:val="Hyperlink"/>
                <w:rFonts w:ascii="Times New Roman" w:hAnsi="Times New Roman"/>
                <w:noProof/>
              </w:rPr>
              <w:t>1.</w:t>
            </w:r>
            <w:r w:rsidR="00C41021" w:rsidRPr="00C41021">
              <w:rPr>
                <w:rFonts w:ascii="Times New Roman" w:hAnsi="Times New Roman"/>
                <w:noProof/>
                <w:szCs w:val="22"/>
              </w:rPr>
              <w:tab/>
            </w:r>
            <w:r w:rsidR="00C41021" w:rsidRPr="00C41021">
              <w:rPr>
                <w:rStyle w:val="Hyperlink"/>
                <w:rFonts w:ascii="Times New Roman" w:hAnsi="Times New Roman"/>
                <w:noProof/>
              </w:rPr>
              <w:t>Inpatient Services</w:t>
            </w:r>
            <w:r w:rsidR="00C41021" w:rsidRPr="00C41021">
              <w:rPr>
                <w:rFonts w:ascii="Times New Roman" w:hAnsi="Times New Roman"/>
                <w:noProof/>
                <w:webHidden/>
              </w:rPr>
              <w:tab/>
            </w:r>
            <w:r w:rsidR="00C41021" w:rsidRPr="00C41021">
              <w:rPr>
                <w:rFonts w:ascii="Times New Roman" w:hAnsi="Times New Roman"/>
                <w:noProof/>
                <w:webHidden/>
              </w:rPr>
              <w:fldChar w:fldCharType="begin"/>
            </w:r>
            <w:r w:rsidR="00C41021" w:rsidRPr="00C41021">
              <w:rPr>
                <w:rFonts w:ascii="Times New Roman" w:hAnsi="Times New Roman"/>
                <w:noProof/>
                <w:webHidden/>
              </w:rPr>
              <w:instrText xml:space="preserve"> PAGEREF _Toc90046539 \h </w:instrText>
            </w:r>
            <w:r w:rsidR="00C41021" w:rsidRPr="00C41021">
              <w:rPr>
                <w:rFonts w:ascii="Times New Roman" w:hAnsi="Times New Roman"/>
                <w:noProof/>
                <w:webHidden/>
              </w:rPr>
            </w:r>
            <w:r w:rsidR="00C41021" w:rsidRPr="00C41021">
              <w:rPr>
                <w:rFonts w:ascii="Times New Roman" w:hAnsi="Times New Roman"/>
                <w:noProof/>
                <w:webHidden/>
              </w:rPr>
              <w:fldChar w:fldCharType="separate"/>
            </w:r>
            <w:r w:rsidR="002B78C3">
              <w:rPr>
                <w:rFonts w:ascii="Times New Roman" w:hAnsi="Times New Roman"/>
                <w:noProof/>
                <w:webHidden/>
              </w:rPr>
              <w:t>78</w:t>
            </w:r>
            <w:r w:rsidR="00C41021" w:rsidRPr="00C41021">
              <w:rPr>
                <w:rFonts w:ascii="Times New Roman" w:hAnsi="Times New Roman"/>
                <w:noProof/>
                <w:webHidden/>
              </w:rPr>
              <w:fldChar w:fldCharType="end"/>
            </w:r>
          </w:hyperlink>
        </w:p>
        <w:p w14:paraId="67DA149A" w14:textId="69368E07" w:rsidR="00C41021" w:rsidRPr="00C41021" w:rsidRDefault="005D4A49" w:rsidP="0069757E">
          <w:pPr>
            <w:pStyle w:val="TOC3"/>
            <w:spacing w:line="276" w:lineRule="auto"/>
            <w:rPr>
              <w:rFonts w:ascii="Times New Roman" w:hAnsi="Times New Roman"/>
              <w:noProof/>
              <w:szCs w:val="22"/>
            </w:rPr>
          </w:pPr>
          <w:hyperlink w:anchor="_Toc90046540" w:history="1">
            <w:r w:rsidR="00C41021" w:rsidRPr="00C41021">
              <w:rPr>
                <w:rStyle w:val="Hyperlink"/>
                <w:rFonts w:ascii="Times New Roman" w:hAnsi="Times New Roman"/>
                <w:noProof/>
              </w:rPr>
              <w:t>2.</w:t>
            </w:r>
            <w:r w:rsidR="00C41021" w:rsidRPr="00C41021">
              <w:rPr>
                <w:rFonts w:ascii="Times New Roman" w:hAnsi="Times New Roman"/>
                <w:noProof/>
                <w:szCs w:val="22"/>
              </w:rPr>
              <w:tab/>
            </w:r>
            <w:r w:rsidR="00C41021" w:rsidRPr="00C41021">
              <w:rPr>
                <w:rStyle w:val="Hyperlink"/>
                <w:rFonts w:ascii="Times New Roman" w:hAnsi="Times New Roman"/>
                <w:noProof/>
              </w:rPr>
              <w:t>Cancer Services</w:t>
            </w:r>
            <w:r w:rsidR="00C41021" w:rsidRPr="00C41021">
              <w:rPr>
                <w:rFonts w:ascii="Times New Roman" w:hAnsi="Times New Roman"/>
                <w:noProof/>
                <w:webHidden/>
              </w:rPr>
              <w:tab/>
            </w:r>
            <w:r w:rsidR="00C41021" w:rsidRPr="00C41021">
              <w:rPr>
                <w:rFonts w:ascii="Times New Roman" w:hAnsi="Times New Roman"/>
                <w:noProof/>
                <w:webHidden/>
              </w:rPr>
              <w:fldChar w:fldCharType="begin"/>
            </w:r>
            <w:r w:rsidR="00C41021" w:rsidRPr="00C41021">
              <w:rPr>
                <w:rFonts w:ascii="Times New Roman" w:hAnsi="Times New Roman"/>
                <w:noProof/>
                <w:webHidden/>
              </w:rPr>
              <w:instrText xml:space="preserve"> PAGEREF _Toc90046540 \h </w:instrText>
            </w:r>
            <w:r w:rsidR="00C41021" w:rsidRPr="00C41021">
              <w:rPr>
                <w:rFonts w:ascii="Times New Roman" w:hAnsi="Times New Roman"/>
                <w:noProof/>
                <w:webHidden/>
              </w:rPr>
            </w:r>
            <w:r w:rsidR="00C41021" w:rsidRPr="00C41021">
              <w:rPr>
                <w:rFonts w:ascii="Times New Roman" w:hAnsi="Times New Roman"/>
                <w:noProof/>
                <w:webHidden/>
              </w:rPr>
              <w:fldChar w:fldCharType="separate"/>
            </w:r>
            <w:r w:rsidR="002B78C3">
              <w:rPr>
                <w:rFonts w:ascii="Times New Roman" w:hAnsi="Times New Roman"/>
                <w:noProof/>
                <w:webHidden/>
              </w:rPr>
              <w:t>79</w:t>
            </w:r>
            <w:r w:rsidR="00C41021" w:rsidRPr="00C41021">
              <w:rPr>
                <w:rFonts w:ascii="Times New Roman" w:hAnsi="Times New Roman"/>
                <w:noProof/>
                <w:webHidden/>
              </w:rPr>
              <w:fldChar w:fldCharType="end"/>
            </w:r>
          </w:hyperlink>
        </w:p>
        <w:p w14:paraId="345554A1" w14:textId="566D10F3" w:rsidR="00C41021" w:rsidRPr="00C41021" w:rsidRDefault="005D4A49" w:rsidP="0069757E">
          <w:pPr>
            <w:pStyle w:val="TOC3"/>
            <w:spacing w:line="276" w:lineRule="auto"/>
            <w:rPr>
              <w:rFonts w:ascii="Times New Roman" w:hAnsi="Times New Roman"/>
              <w:noProof/>
              <w:szCs w:val="22"/>
            </w:rPr>
          </w:pPr>
          <w:hyperlink w:anchor="_Toc90046541" w:history="1">
            <w:r w:rsidR="00C41021" w:rsidRPr="00C41021">
              <w:rPr>
                <w:rStyle w:val="Hyperlink"/>
                <w:rFonts w:ascii="Times New Roman" w:hAnsi="Times New Roman"/>
                <w:noProof/>
              </w:rPr>
              <w:t>3.</w:t>
            </w:r>
            <w:r w:rsidR="00C41021" w:rsidRPr="00C41021">
              <w:rPr>
                <w:rFonts w:ascii="Times New Roman" w:hAnsi="Times New Roman"/>
                <w:noProof/>
                <w:szCs w:val="22"/>
              </w:rPr>
              <w:tab/>
            </w:r>
            <w:r w:rsidR="00C41021" w:rsidRPr="00C41021">
              <w:rPr>
                <w:rStyle w:val="Hyperlink"/>
                <w:rFonts w:ascii="Times New Roman" w:hAnsi="Times New Roman"/>
                <w:noProof/>
              </w:rPr>
              <w:t>Heart and Vascular Services</w:t>
            </w:r>
            <w:r w:rsidR="00C41021" w:rsidRPr="00C41021">
              <w:rPr>
                <w:rFonts w:ascii="Times New Roman" w:hAnsi="Times New Roman"/>
                <w:noProof/>
                <w:webHidden/>
              </w:rPr>
              <w:tab/>
            </w:r>
            <w:r w:rsidR="00C41021" w:rsidRPr="00C41021">
              <w:rPr>
                <w:rFonts w:ascii="Times New Roman" w:hAnsi="Times New Roman"/>
                <w:noProof/>
                <w:webHidden/>
              </w:rPr>
              <w:fldChar w:fldCharType="begin"/>
            </w:r>
            <w:r w:rsidR="00C41021" w:rsidRPr="00C41021">
              <w:rPr>
                <w:rFonts w:ascii="Times New Roman" w:hAnsi="Times New Roman"/>
                <w:noProof/>
                <w:webHidden/>
              </w:rPr>
              <w:instrText xml:space="preserve"> PAGEREF _Toc90046541 \h </w:instrText>
            </w:r>
            <w:r w:rsidR="00C41021" w:rsidRPr="00C41021">
              <w:rPr>
                <w:rFonts w:ascii="Times New Roman" w:hAnsi="Times New Roman"/>
                <w:noProof/>
                <w:webHidden/>
              </w:rPr>
            </w:r>
            <w:r w:rsidR="00C41021" w:rsidRPr="00C41021">
              <w:rPr>
                <w:rFonts w:ascii="Times New Roman" w:hAnsi="Times New Roman"/>
                <w:noProof/>
                <w:webHidden/>
              </w:rPr>
              <w:fldChar w:fldCharType="separate"/>
            </w:r>
            <w:r w:rsidR="002B78C3">
              <w:rPr>
                <w:rFonts w:ascii="Times New Roman" w:hAnsi="Times New Roman"/>
                <w:noProof/>
                <w:webHidden/>
              </w:rPr>
              <w:t>79</w:t>
            </w:r>
            <w:r w:rsidR="00C41021" w:rsidRPr="00C41021">
              <w:rPr>
                <w:rFonts w:ascii="Times New Roman" w:hAnsi="Times New Roman"/>
                <w:noProof/>
                <w:webHidden/>
              </w:rPr>
              <w:fldChar w:fldCharType="end"/>
            </w:r>
          </w:hyperlink>
        </w:p>
        <w:p w14:paraId="489C618E" w14:textId="1F2CB5CB" w:rsidR="00C41021" w:rsidRPr="00C41021" w:rsidRDefault="005D4A49" w:rsidP="0069757E">
          <w:pPr>
            <w:pStyle w:val="TOC2"/>
            <w:spacing w:line="276" w:lineRule="auto"/>
            <w:rPr>
              <w:rFonts w:ascii="Times New Roman" w:hAnsi="Times New Roman" w:cstheme="minorBidi"/>
              <w:szCs w:val="22"/>
            </w:rPr>
          </w:pPr>
          <w:hyperlink w:anchor="_Toc90046542" w:history="1">
            <w:r w:rsidR="00C41021" w:rsidRPr="00C41021">
              <w:rPr>
                <w:rStyle w:val="Hyperlink"/>
                <w:rFonts w:ascii="Times New Roman" w:hAnsi="Times New Roman"/>
              </w:rPr>
              <w:t>B.</w:t>
            </w:r>
            <w:r w:rsidR="00C41021" w:rsidRPr="00C41021">
              <w:rPr>
                <w:rFonts w:ascii="Times New Roman" w:hAnsi="Times New Roman" w:cstheme="minorBidi"/>
                <w:szCs w:val="22"/>
              </w:rPr>
              <w:tab/>
            </w:r>
            <w:r w:rsidR="00C41021" w:rsidRPr="00C41021">
              <w:rPr>
                <w:rStyle w:val="Hyperlink"/>
                <w:rFonts w:ascii="Times New Roman" w:hAnsi="Times New Roman"/>
              </w:rPr>
              <w:t>Outpatient Services</w:t>
            </w:r>
            <w:r w:rsidR="00C41021" w:rsidRPr="00C41021">
              <w:rPr>
                <w:rFonts w:ascii="Times New Roman" w:hAnsi="Times New Roman"/>
                <w:webHidden/>
              </w:rPr>
              <w:tab/>
            </w:r>
            <w:r w:rsidR="00C41021" w:rsidRPr="00C41021">
              <w:rPr>
                <w:rFonts w:ascii="Times New Roman" w:hAnsi="Times New Roman"/>
                <w:webHidden/>
              </w:rPr>
              <w:fldChar w:fldCharType="begin"/>
            </w:r>
            <w:r w:rsidR="00C41021" w:rsidRPr="00C41021">
              <w:rPr>
                <w:rFonts w:ascii="Times New Roman" w:hAnsi="Times New Roman"/>
                <w:webHidden/>
              </w:rPr>
              <w:instrText xml:space="preserve"> PAGEREF _Toc90046542 \h </w:instrText>
            </w:r>
            <w:r w:rsidR="00C41021" w:rsidRPr="00C41021">
              <w:rPr>
                <w:rFonts w:ascii="Times New Roman" w:hAnsi="Times New Roman"/>
                <w:webHidden/>
              </w:rPr>
            </w:r>
            <w:r w:rsidR="00C41021" w:rsidRPr="00C41021">
              <w:rPr>
                <w:rFonts w:ascii="Times New Roman" w:hAnsi="Times New Roman"/>
                <w:webHidden/>
              </w:rPr>
              <w:fldChar w:fldCharType="separate"/>
            </w:r>
            <w:r w:rsidR="002B78C3">
              <w:rPr>
                <w:rFonts w:ascii="Times New Roman" w:hAnsi="Times New Roman"/>
                <w:webHidden/>
              </w:rPr>
              <w:t>80</w:t>
            </w:r>
            <w:r w:rsidR="00C41021" w:rsidRPr="00C41021">
              <w:rPr>
                <w:rFonts w:ascii="Times New Roman" w:hAnsi="Times New Roman"/>
                <w:webHidden/>
              </w:rPr>
              <w:fldChar w:fldCharType="end"/>
            </w:r>
          </w:hyperlink>
        </w:p>
        <w:p w14:paraId="32575FDA" w14:textId="6981A071" w:rsidR="00C41021" w:rsidRPr="00C41021" w:rsidRDefault="005D4A49" w:rsidP="0069757E">
          <w:pPr>
            <w:pStyle w:val="TOC3"/>
            <w:spacing w:line="276" w:lineRule="auto"/>
            <w:rPr>
              <w:rFonts w:ascii="Times New Roman" w:hAnsi="Times New Roman"/>
              <w:noProof/>
              <w:szCs w:val="22"/>
            </w:rPr>
          </w:pPr>
          <w:hyperlink w:anchor="_Toc90046543" w:history="1">
            <w:r w:rsidR="00C41021" w:rsidRPr="00C41021">
              <w:rPr>
                <w:rStyle w:val="Hyperlink"/>
                <w:rFonts w:ascii="Times New Roman" w:hAnsi="Times New Roman"/>
                <w:noProof/>
              </w:rPr>
              <w:t>1.</w:t>
            </w:r>
            <w:r w:rsidR="00C41021" w:rsidRPr="00C41021">
              <w:rPr>
                <w:rFonts w:ascii="Times New Roman" w:hAnsi="Times New Roman"/>
                <w:noProof/>
                <w:szCs w:val="22"/>
              </w:rPr>
              <w:tab/>
            </w:r>
            <w:r w:rsidR="00C41021" w:rsidRPr="00C41021">
              <w:rPr>
                <w:rStyle w:val="Hyperlink"/>
                <w:rFonts w:ascii="Times New Roman" w:hAnsi="Times New Roman"/>
                <w:noProof/>
              </w:rPr>
              <w:t>Diagnostic Imaging Services</w:t>
            </w:r>
            <w:r w:rsidR="00C41021" w:rsidRPr="00C41021">
              <w:rPr>
                <w:rFonts w:ascii="Times New Roman" w:hAnsi="Times New Roman"/>
                <w:noProof/>
                <w:webHidden/>
              </w:rPr>
              <w:tab/>
            </w:r>
            <w:r w:rsidR="00C41021" w:rsidRPr="00C41021">
              <w:rPr>
                <w:rFonts w:ascii="Times New Roman" w:hAnsi="Times New Roman"/>
                <w:noProof/>
                <w:webHidden/>
              </w:rPr>
              <w:fldChar w:fldCharType="begin"/>
            </w:r>
            <w:r w:rsidR="00C41021" w:rsidRPr="00C41021">
              <w:rPr>
                <w:rFonts w:ascii="Times New Roman" w:hAnsi="Times New Roman"/>
                <w:noProof/>
                <w:webHidden/>
              </w:rPr>
              <w:instrText xml:space="preserve"> PAGEREF _Toc90046543 \h </w:instrText>
            </w:r>
            <w:r w:rsidR="00C41021" w:rsidRPr="00C41021">
              <w:rPr>
                <w:rFonts w:ascii="Times New Roman" w:hAnsi="Times New Roman"/>
                <w:noProof/>
                <w:webHidden/>
              </w:rPr>
            </w:r>
            <w:r w:rsidR="00C41021" w:rsidRPr="00C41021">
              <w:rPr>
                <w:rFonts w:ascii="Times New Roman" w:hAnsi="Times New Roman"/>
                <w:noProof/>
                <w:webHidden/>
              </w:rPr>
              <w:fldChar w:fldCharType="separate"/>
            </w:r>
            <w:r w:rsidR="002B78C3">
              <w:rPr>
                <w:rFonts w:ascii="Times New Roman" w:hAnsi="Times New Roman"/>
                <w:noProof/>
                <w:webHidden/>
              </w:rPr>
              <w:t>82</w:t>
            </w:r>
            <w:r w:rsidR="00C41021" w:rsidRPr="00C41021">
              <w:rPr>
                <w:rFonts w:ascii="Times New Roman" w:hAnsi="Times New Roman"/>
                <w:noProof/>
                <w:webHidden/>
              </w:rPr>
              <w:fldChar w:fldCharType="end"/>
            </w:r>
          </w:hyperlink>
        </w:p>
        <w:p w14:paraId="5D04EAD0" w14:textId="4F1AD083" w:rsidR="00C41021" w:rsidRPr="00C41021" w:rsidRDefault="005D4A49" w:rsidP="0069757E">
          <w:pPr>
            <w:pStyle w:val="TOC3"/>
            <w:spacing w:line="276" w:lineRule="auto"/>
            <w:rPr>
              <w:rFonts w:ascii="Times New Roman" w:hAnsi="Times New Roman"/>
              <w:noProof/>
              <w:szCs w:val="22"/>
            </w:rPr>
          </w:pPr>
          <w:hyperlink w:anchor="_Toc90046544" w:history="1">
            <w:r w:rsidR="00C41021" w:rsidRPr="00C41021">
              <w:rPr>
                <w:rStyle w:val="Hyperlink"/>
                <w:rFonts w:ascii="Times New Roman" w:hAnsi="Times New Roman"/>
                <w:noProof/>
              </w:rPr>
              <w:t>2.</w:t>
            </w:r>
            <w:r w:rsidR="00C41021" w:rsidRPr="00C41021">
              <w:rPr>
                <w:rFonts w:ascii="Times New Roman" w:hAnsi="Times New Roman"/>
                <w:noProof/>
                <w:szCs w:val="22"/>
              </w:rPr>
              <w:tab/>
            </w:r>
            <w:r w:rsidR="00C41021" w:rsidRPr="00C41021">
              <w:rPr>
                <w:rStyle w:val="Hyperlink"/>
                <w:rFonts w:ascii="Times New Roman" w:hAnsi="Times New Roman"/>
                <w:noProof/>
              </w:rPr>
              <w:t>Cardiovascular Services</w:t>
            </w:r>
            <w:r w:rsidR="00C41021" w:rsidRPr="00C41021">
              <w:rPr>
                <w:rFonts w:ascii="Times New Roman" w:hAnsi="Times New Roman"/>
                <w:noProof/>
                <w:webHidden/>
              </w:rPr>
              <w:tab/>
            </w:r>
            <w:r w:rsidR="00C41021" w:rsidRPr="00C41021">
              <w:rPr>
                <w:rFonts w:ascii="Times New Roman" w:hAnsi="Times New Roman"/>
                <w:noProof/>
                <w:webHidden/>
              </w:rPr>
              <w:fldChar w:fldCharType="begin"/>
            </w:r>
            <w:r w:rsidR="00C41021" w:rsidRPr="00C41021">
              <w:rPr>
                <w:rFonts w:ascii="Times New Roman" w:hAnsi="Times New Roman"/>
                <w:noProof/>
                <w:webHidden/>
              </w:rPr>
              <w:instrText xml:space="preserve"> PAGEREF _Toc90046544 \h </w:instrText>
            </w:r>
            <w:r w:rsidR="00C41021" w:rsidRPr="00C41021">
              <w:rPr>
                <w:rFonts w:ascii="Times New Roman" w:hAnsi="Times New Roman"/>
                <w:noProof/>
                <w:webHidden/>
              </w:rPr>
            </w:r>
            <w:r w:rsidR="00C41021" w:rsidRPr="00C41021">
              <w:rPr>
                <w:rFonts w:ascii="Times New Roman" w:hAnsi="Times New Roman"/>
                <w:noProof/>
                <w:webHidden/>
              </w:rPr>
              <w:fldChar w:fldCharType="separate"/>
            </w:r>
            <w:r w:rsidR="002B78C3">
              <w:rPr>
                <w:rFonts w:ascii="Times New Roman" w:hAnsi="Times New Roman"/>
                <w:noProof/>
                <w:webHidden/>
              </w:rPr>
              <w:t>84</w:t>
            </w:r>
            <w:r w:rsidR="00C41021" w:rsidRPr="00C41021">
              <w:rPr>
                <w:rFonts w:ascii="Times New Roman" w:hAnsi="Times New Roman"/>
                <w:noProof/>
                <w:webHidden/>
              </w:rPr>
              <w:fldChar w:fldCharType="end"/>
            </w:r>
          </w:hyperlink>
        </w:p>
        <w:p w14:paraId="20B10561" w14:textId="5EA9D990" w:rsidR="00C41021" w:rsidRPr="00C41021" w:rsidRDefault="005D4A49" w:rsidP="0069757E">
          <w:pPr>
            <w:pStyle w:val="TOC3"/>
            <w:spacing w:line="276" w:lineRule="auto"/>
            <w:rPr>
              <w:rFonts w:ascii="Times New Roman" w:hAnsi="Times New Roman"/>
              <w:noProof/>
              <w:szCs w:val="22"/>
            </w:rPr>
          </w:pPr>
          <w:hyperlink w:anchor="_Toc90046545" w:history="1">
            <w:r w:rsidR="00C41021" w:rsidRPr="00C41021">
              <w:rPr>
                <w:rStyle w:val="Hyperlink"/>
                <w:rFonts w:ascii="Times New Roman" w:hAnsi="Times New Roman"/>
                <w:noProof/>
              </w:rPr>
              <w:t>3.</w:t>
            </w:r>
            <w:r w:rsidR="00C41021" w:rsidRPr="00C41021">
              <w:rPr>
                <w:rFonts w:ascii="Times New Roman" w:hAnsi="Times New Roman"/>
                <w:noProof/>
                <w:szCs w:val="22"/>
              </w:rPr>
              <w:tab/>
            </w:r>
            <w:r w:rsidR="00C41021" w:rsidRPr="00C41021">
              <w:rPr>
                <w:rStyle w:val="Hyperlink"/>
                <w:rFonts w:ascii="Times New Roman" w:hAnsi="Times New Roman"/>
                <w:noProof/>
              </w:rPr>
              <w:t>Oncology Services</w:t>
            </w:r>
            <w:r w:rsidR="00C41021" w:rsidRPr="00C41021">
              <w:rPr>
                <w:rFonts w:ascii="Times New Roman" w:hAnsi="Times New Roman"/>
                <w:noProof/>
                <w:webHidden/>
              </w:rPr>
              <w:tab/>
            </w:r>
            <w:r w:rsidR="00C41021" w:rsidRPr="00C41021">
              <w:rPr>
                <w:rFonts w:ascii="Times New Roman" w:hAnsi="Times New Roman"/>
                <w:noProof/>
                <w:webHidden/>
              </w:rPr>
              <w:fldChar w:fldCharType="begin"/>
            </w:r>
            <w:r w:rsidR="00C41021" w:rsidRPr="00C41021">
              <w:rPr>
                <w:rFonts w:ascii="Times New Roman" w:hAnsi="Times New Roman"/>
                <w:noProof/>
                <w:webHidden/>
              </w:rPr>
              <w:instrText xml:space="preserve"> PAGEREF _Toc90046545 \h </w:instrText>
            </w:r>
            <w:r w:rsidR="00C41021" w:rsidRPr="00C41021">
              <w:rPr>
                <w:rFonts w:ascii="Times New Roman" w:hAnsi="Times New Roman"/>
                <w:noProof/>
                <w:webHidden/>
              </w:rPr>
            </w:r>
            <w:r w:rsidR="00C41021" w:rsidRPr="00C41021">
              <w:rPr>
                <w:rFonts w:ascii="Times New Roman" w:hAnsi="Times New Roman"/>
                <w:noProof/>
                <w:webHidden/>
              </w:rPr>
              <w:fldChar w:fldCharType="separate"/>
            </w:r>
            <w:r w:rsidR="002B78C3">
              <w:rPr>
                <w:rFonts w:ascii="Times New Roman" w:hAnsi="Times New Roman"/>
                <w:noProof/>
                <w:webHidden/>
              </w:rPr>
              <w:t>85</w:t>
            </w:r>
            <w:r w:rsidR="00C41021" w:rsidRPr="00C41021">
              <w:rPr>
                <w:rFonts w:ascii="Times New Roman" w:hAnsi="Times New Roman"/>
                <w:noProof/>
                <w:webHidden/>
              </w:rPr>
              <w:fldChar w:fldCharType="end"/>
            </w:r>
          </w:hyperlink>
        </w:p>
        <w:p w14:paraId="42282F95" w14:textId="36AC1079" w:rsidR="00C41021" w:rsidRPr="00C41021" w:rsidRDefault="005D4A49" w:rsidP="0069757E">
          <w:pPr>
            <w:pStyle w:val="TOC1"/>
            <w:spacing w:line="276" w:lineRule="auto"/>
            <w:rPr>
              <w:rFonts w:ascii="Times New Roman" w:hAnsi="Times New Roman"/>
              <w:noProof/>
              <w:szCs w:val="22"/>
            </w:rPr>
          </w:pPr>
          <w:hyperlink w:anchor="_Toc90046546" w:history="1">
            <w:r w:rsidR="00C41021" w:rsidRPr="00C41021">
              <w:rPr>
                <w:rStyle w:val="Hyperlink"/>
                <w:rFonts w:ascii="Times New Roman" w:hAnsi="Times New Roman"/>
                <w:noProof/>
              </w:rPr>
              <w:t>X.</w:t>
            </w:r>
            <w:r w:rsidR="00C41021" w:rsidRPr="00C41021">
              <w:rPr>
                <w:rFonts w:ascii="Times New Roman" w:hAnsi="Times New Roman"/>
                <w:noProof/>
                <w:szCs w:val="22"/>
              </w:rPr>
              <w:tab/>
            </w:r>
            <w:r w:rsidR="00C41021" w:rsidRPr="00C41021">
              <w:rPr>
                <w:rStyle w:val="Hyperlink"/>
                <w:rFonts w:ascii="Times New Roman" w:hAnsi="Times New Roman"/>
                <w:noProof/>
              </w:rPr>
              <w:t>Other Considerations</w:t>
            </w:r>
            <w:r w:rsidR="00C41021" w:rsidRPr="00C41021">
              <w:rPr>
                <w:rFonts w:ascii="Times New Roman" w:hAnsi="Times New Roman"/>
                <w:noProof/>
                <w:webHidden/>
              </w:rPr>
              <w:tab/>
            </w:r>
            <w:r w:rsidR="00C41021" w:rsidRPr="00C41021">
              <w:rPr>
                <w:rFonts w:ascii="Times New Roman" w:hAnsi="Times New Roman"/>
                <w:noProof/>
                <w:webHidden/>
              </w:rPr>
              <w:fldChar w:fldCharType="begin"/>
            </w:r>
            <w:r w:rsidR="00C41021" w:rsidRPr="00C41021">
              <w:rPr>
                <w:rFonts w:ascii="Times New Roman" w:hAnsi="Times New Roman"/>
                <w:noProof/>
                <w:webHidden/>
              </w:rPr>
              <w:instrText xml:space="preserve"> PAGEREF _Toc90046546 \h </w:instrText>
            </w:r>
            <w:r w:rsidR="00C41021" w:rsidRPr="00C41021">
              <w:rPr>
                <w:rFonts w:ascii="Times New Roman" w:hAnsi="Times New Roman"/>
                <w:noProof/>
                <w:webHidden/>
              </w:rPr>
            </w:r>
            <w:r w:rsidR="00C41021" w:rsidRPr="00C41021">
              <w:rPr>
                <w:rFonts w:ascii="Times New Roman" w:hAnsi="Times New Roman"/>
                <w:noProof/>
                <w:webHidden/>
              </w:rPr>
              <w:fldChar w:fldCharType="separate"/>
            </w:r>
            <w:r w:rsidR="002B78C3">
              <w:rPr>
                <w:rFonts w:ascii="Times New Roman" w:hAnsi="Times New Roman"/>
                <w:noProof/>
                <w:webHidden/>
              </w:rPr>
              <w:t>86</w:t>
            </w:r>
            <w:r w:rsidR="00C41021" w:rsidRPr="00C41021">
              <w:rPr>
                <w:rFonts w:ascii="Times New Roman" w:hAnsi="Times New Roman"/>
                <w:noProof/>
                <w:webHidden/>
              </w:rPr>
              <w:fldChar w:fldCharType="end"/>
            </w:r>
          </w:hyperlink>
        </w:p>
        <w:p w14:paraId="1AB63CB3" w14:textId="72832F32" w:rsidR="00C41021" w:rsidRPr="00C41021" w:rsidRDefault="005D4A49" w:rsidP="0069757E">
          <w:pPr>
            <w:pStyle w:val="TOC2"/>
            <w:spacing w:line="276" w:lineRule="auto"/>
            <w:rPr>
              <w:rFonts w:ascii="Times New Roman" w:hAnsi="Times New Roman" w:cstheme="minorBidi"/>
              <w:szCs w:val="22"/>
            </w:rPr>
          </w:pPr>
          <w:hyperlink w:anchor="_Toc90046547" w:history="1">
            <w:r w:rsidR="00C41021" w:rsidRPr="00C41021">
              <w:rPr>
                <w:rStyle w:val="Hyperlink"/>
                <w:rFonts w:ascii="Times New Roman" w:hAnsi="Times New Roman"/>
              </w:rPr>
              <w:t>A.</w:t>
            </w:r>
            <w:r w:rsidR="00C41021" w:rsidRPr="00C41021">
              <w:rPr>
                <w:rFonts w:ascii="Times New Roman" w:hAnsi="Times New Roman" w:cstheme="minorBidi"/>
                <w:szCs w:val="22"/>
              </w:rPr>
              <w:tab/>
            </w:r>
            <w:r w:rsidR="00C41021" w:rsidRPr="00C41021">
              <w:rPr>
                <w:rStyle w:val="Hyperlink"/>
                <w:rFonts w:ascii="Times New Roman" w:hAnsi="Times New Roman"/>
              </w:rPr>
              <w:t>Effect on Demand for Health Care Services</w:t>
            </w:r>
            <w:r w:rsidR="00C41021" w:rsidRPr="00C41021">
              <w:rPr>
                <w:rFonts w:ascii="Times New Roman" w:hAnsi="Times New Roman"/>
                <w:webHidden/>
              </w:rPr>
              <w:tab/>
            </w:r>
            <w:r w:rsidR="00C41021" w:rsidRPr="00C41021">
              <w:rPr>
                <w:rFonts w:ascii="Times New Roman" w:hAnsi="Times New Roman"/>
                <w:webHidden/>
              </w:rPr>
              <w:fldChar w:fldCharType="begin"/>
            </w:r>
            <w:r w:rsidR="00C41021" w:rsidRPr="00C41021">
              <w:rPr>
                <w:rFonts w:ascii="Times New Roman" w:hAnsi="Times New Roman"/>
                <w:webHidden/>
              </w:rPr>
              <w:instrText xml:space="preserve"> PAGEREF _Toc90046547 \h </w:instrText>
            </w:r>
            <w:r w:rsidR="00C41021" w:rsidRPr="00C41021">
              <w:rPr>
                <w:rFonts w:ascii="Times New Roman" w:hAnsi="Times New Roman"/>
                <w:webHidden/>
              </w:rPr>
            </w:r>
            <w:r w:rsidR="00C41021" w:rsidRPr="00C41021">
              <w:rPr>
                <w:rFonts w:ascii="Times New Roman" w:hAnsi="Times New Roman"/>
                <w:webHidden/>
              </w:rPr>
              <w:fldChar w:fldCharType="separate"/>
            </w:r>
            <w:r w:rsidR="002B78C3">
              <w:rPr>
                <w:rFonts w:ascii="Times New Roman" w:hAnsi="Times New Roman"/>
                <w:webHidden/>
              </w:rPr>
              <w:t>86</w:t>
            </w:r>
            <w:r w:rsidR="00C41021" w:rsidRPr="00C41021">
              <w:rPr>
                <w:rFonts w:ascii="Times New Roman" w:hAnsi="Times New Roman"/>
                <w:webHidden/>
              </w:rPr>
              <w:fldChar w:fldCharType="end"/>
            </w:r>
          </w:hyperlink>
        </w:p>
        <w:p w14:paraId="5C436323" w14:textId="4BEE9A1F" w:rsidR="00C41021" w:rsidRPr="00C41021" w:rsidRDefault="005D4A49" w:rsidP="0069757E">
          <w:pPr>
            <w:pStyle w:val="TOC3"/>
            <w:spacing w:line="276" w:lineRule="auto"/>
            <w:rPr>
              <w:rFonts w:ascii="Times New Roman" w:hAnsi="Times New Roman"/>
              <w:noProof/>
              <w:szCs w:val="22"/>
            </w:rPr>
          </w:pPr>
          <w:hyperlink w:anchor="_Toc90046548" w:history="1">
            <w:r w:rsidR="00C41021" w:rsidRPr="00C41021">
              <w:rPr>
                <w:rStyle w:val="Hyperlink"/>
                <w:rFonts w:ascii="Times New Roman" w:hAnsi="Times New Roman"/>
                <w:noProof/>
              </w:rPr>
              <w:t>1.</w:t>
            </w:r>
            <w:r w:rsidR="00C41021" w:rsidRPr="00C41021">
              <w:rPr>
                <w:rFonts w:ascii="Times New Roman" w:hAnsi="Times New Roman"/>
                <w:noProof/>
                <w:szCs w:val="22"/>
              </w:rPr>
              <w:tab/>
            </w:r>
            <w:r w:rsidR="00C41021" w:rsidRPr="00C41021">
              <w:rPr>
                <w:rStyle w:val="Hyperlink"/>
                <w:rFonts w:ascii="Times New Roman" w:hAnsi="Times New Roman"/>
                <w:noProof/>
              </w:rPr>
              <w:t>The Potential for Supply-Induced Demand</w:t>
            </w:r>
            <w:r w:rsidR="00C41021" w:rsidRPr="00C41021">
              <w:rPr>
                <w:rFonts w:ascii="Times New Roman" w:hAnsi="Times New Roman"/>
                <w:noProof/>
                <w:webHidden/>
              </w:rPr>
              <w:tab/>
            </w:r>
            <w:r w:rsidR="00C41021" w:rsidRPr="00C41021">
              <w:rPr>
                <w:rFonts w:ascii="Times New Roman" w:hAnsi="Times New Roman"/>
                <w:noProof/>
                <w:webHidden/>
              </w:rPr>
              <w:fldChar w:fldCharType="begin"/>
            </w:r>
            <w:r w:rsidR="00C41021" w:rsidRPr="00C41021">
              <w:rPr>
                <w:rFonts w:ascii="Times New Roman" w:hAnsi="Times New Roman"/>
                <w:noProof/>
                <w:webHidden/>
              </w:rPr>
              <w:instrText xml:space="preserve"> PAGEREF _Toc90046548 \h </w:instrText>
            </w:r>
            <w:r w:rsidR="00C41021" w:rsidRPr="00C41021">
              <w:rPr>
                <w:rFonts w:ascii="Times New Roman" w:hAnsi="Times New Roman"/>
                <w:noProof/>
                <w:webHidden/>
              </w:rPr>
            </w:r>
            <w:r w:rsidR="00C41021" w:rsidRPr="00C41021">
              <w:rPr>
                <w:rFonts w:ascii="Times New Roman" w:hAnsi="Times New Roman"/>
                <w:noProof/>
                <w:webHidden/>
              </w:rPr>
              <w:fldChar w:fldCharType="separate"/>
            </w:r>
            <w:r w:rsidR="002B78C3">
              <w:rPr>
                <w:rFonts w:ascii="Times New Roman" w:hAnsi="Times New Roman"/>
                <w:noProof/>
                <w:webHidden/>
              </w:rPr>
              <w:t>86</w:t>
            </w:r>
            <w:r w:rsidR="00C41021" w:rsidRPr="00C41021">
              <w:rPr>
                <w:rFonts w:ascii="Times New Roman" w:hAnsi="Times New Roman"/>
                <w:noProof/>
                <w:webHidden/>
              </w:rPr>
              <w:fldChar w:fldCharType="end"/>
            </w:r>
          </w:hyperlink>
        </w:p>
        <w:p w14:paraId="203F13D4" w14:textId="36825648" w:rsidR="00C41021" w:rsidRPr="00C41021" w:rsidRDefault="005D4A49" w:rsidP="0069757E">
          <w:pPr>
            <w:pStyle w:val="TOC3"/>
            <w:spacing w:line="276" w:lineRule="auto"/>
            <w:rPr>
              <w:rFonts w:ascii="Times New Roman" w:hAnsi="Times New Roman"/>
              <w:noProof/>
              <w:szCs w:val="22"/>
            </w:rPr>
          </w:pPr>
          <w:hyperlink w:anchor="_Toc90046549" w:history="1">
            <w:r w:rsidR="00C41021" w:rsidRPr="00C41021">
              <w:rPr>
                <w:rStyle w:val="Hyperlink"/>
                <w:rFonts w:ascii="Times New Roman" w:hAnsi="Times New Roman"/>
                <w:noProof/>
              </w:rPr>
              <w:t>2.</w:t>
            </w:r>
            <w:r w:rsidR="00C41021" w:rsidRPr="00C41021">
              <w:rPr>
                <w:rFonts w:ascii="Times New Roman" w:hAnsi="Times New Roman"/>
                <w:noProof/>
                <w:szCs w:val="22"/>
              </w:rPr>
              <w:tab/>
            </w:r>
            <w:r w:rsidR="00C41021" w:rsidRPr="00C41021">
              <w:rPr>
                <w:rStyle w:val="Hyperlink"/>
                <w:rFonts w:ascii="Times New Roman" w:hAnsi="Times New Roman"/>
                <w:noProof/>
              </w:rPr>
              <w:t>Literature on the Effect of Additional Imaging Capacity on Demand for Surgery and Inpatient Care</w:t>
            </w:r>
            <w:r w:rsidR="00C41021" w:rsidRPr="00C41021">
              <w:rPr>
                <w:rFonts w:ascii="Times New Roman" w:hAnsi="Times New Roman"/>
                <w:noProof/>
                <w:webHidden/>
              </w:rPr>
              <w:tab/>
            </w:r>
            <w:r w:rsidR="00C41021" w:rsidRPr="00C41021">
              <w:rPr>
                <w:rFonts w:ascii="Times New Roman" w:hAnsi="Times New Roman"/>
                <w:noProof/>
                <w:webHidden/>
              </w:rPr>
              <w:fldChar w:fldCharType="begin"/>
            </w:r>
            <w:r w:rsidR="00C41021" w:rsidRPr="00C41021">
              <w:rPr>
                <w:rFonts w:ascii="Times New Roman" w:hAnsi="Times New Roman"/>
                <w:noProof/>
                <w:webHidden/>
              </w:rPr>
              <w:instrText xml:space="preserve"> PAGEREF _Toc90046549 \h </w:instrText>
            </w:r>
            <w:r w:rsidR="00C41021" w:rsidRPr="00C41021">
              <w:rPr>
                <w:rFonts w:ascii="Times New Roman" w:hAnsi="Times New Roman"/>
                <w:noProof/>
                <w:webHidden/>
              </w:rPr>
            </w:r>
            <w:r w:rsidR="00C41021" w:rsidRPr="00C41021">
              <w:rPr>
                <w:rFonts w:ascii="Times New Roman" w:hAnsi="Times New Roman"/>
                <w:noProof/>
                <w:webHidden/>
              </w:rPr>
              <w:fldChar w:fldCharType="separate"/>
            </w:r>
            <w:r w:rsidR="002B78C3">
              <w:rPr>
                <w:rFonts w:ascii="Times New Roman" w:hAnsi="Times New Roman"/>
                <w:noProof/>
                <w:webHidden/>
              </w:rPr>
              <w:t>93</w:t>
            </w:r>
            <w:r w:rsidR="00C41021" w:rsidRPr="00C41021">
              <w:rPr>
                <w:rFonts w:ascii="Times New Roman" w:hAnsi="Times New Roman"/>
                <w:noProof/>
                <w:webHidden/>
              </w:rPr>
              <w:fldChar w:fldCharType="end"/>
            </w:r>
          </w:hyperlink>
        </w:p>
        <w:p w14:paraId="2EE864E3" w14:textId="21E646CE" w:rsidR="00C41021" w:rsidRPr="00C41021" w:rsidRDefault="005D4A49" w:rsidP="0069757E">
          <w:pPr>
            <w:pStyle w:val="TOC3"/>
            <w:spacing w:line="276" w:lineRule="auto"/>
            <w:rPr>
              <w:rFonts w:ascii="Times New Roman" w:hAnsi="Times New Roman"/>
              <w:noProof/>
              <w:szCs w:val="22"/>
            </w:rPr>
          </w:pPr>
          <w:hyperlink w:anchor="_Toc90046550" w:history="1">
            <w:r w:rsidR="00C41021" w:rsidRPr="00C41021">
              <w:rPr>
                <w:rStyle w:val="Hyperlink"/>
                <w:rFonts w:ascii="Times New Roman" w:hAnsi="Times New Roman"/>
                <w:noProof/>
              </w:rPr>
              <w:t>3.</w:t>
            </w:r>
            <w:r w:rsidR="00C41021" w:rsidRPr="00C41021">
              <w:rPr>
                <w:rFonts w:ascii="Times New Roman" w:hAnsi="Times New Roman"/>
                <w:noProof/>
                <w:szCs w:val="22"/>
              </w:rPr>
              <w:tab/>
            </w:r>
            <w:r w:rsidR="00C41021" w:rsidRPr="00C41021">
              <w:rPr>
                <w:rStyle w:val="Hyperlink"/>
                <w:rFonts w:ascii="Times New Roman" w:hAnsi="Times New Roman"/>
                <w:noProof/>
              </w:rPr>
              <w:t>The Effect of Reduced Boarding Time in Hospital Emergency Departments or Post-Anesthesia Care Units</w:t>
            </w:r>
            <w:r w:rsidR="00C41021" w:rsidRPr="00C41021">
              <w:rPr>
                <w:rFonts w:ascii="Times New Roman" w:hAnsi="Times New Roman"/>
                <w:noProof/>
                <w:webHidden/>
              </w:rPr>
              <w:tab/>
            </w:r>
            <w:r w:rsidR="00C41021" w:rsidRPr="00C41021">
              <w:rPr>
                <w:rFonts w:ascii="Times New Roman" w:hAnsi="Times New Roman"/>
                <w:noProof/>
                <w:webHidden/>
              </w:rPr>
              <w:fldChar w:fldCharType="begin"/>
            </w:r>
            <w:r w:rsidR="00C41021" w:rsidRPr="00C41021">
              <w:rPr>
                <w:rFonts w:ascii="Times New Roman" w:hAnsi="Times New Roman"/>
                <w:noProof/>
                <w:webHidden/>
              </w:rPr>
              <w:instrText xml:space="preserve"> PAGEREF _Toc90046550 \h </w:instrText>
            </w:r>
            <w:r w:rsidR="00C41021" w:rsidRPr="00C41021">
              <w:rPr>
                <w:rFonts w:ascii="Times New Roman" w:hAnsi="Times New Roman"/>
                <w:noProof/>
                <w:webHidden/>
              </w:rPr>
            </w:r>
            <w:r w:rsidR="00C41021" w:rsidRPr="00C41021">
              <w:rPr>
                <w:rFonts w:ascii="Times New Roman" w:hAnsi="Times New Roman"/>
                <w:noProof/>
                <w:webHidden/>
              </w:rPr>
              <w:fldChar w:fldCharType="separate"/>
            </w:r>
            <w:r w:rsidR="002B78C3">
              <w:rPr>
                <w:rFonts w:ascii="Times New Roman" w:hAnsi="Times New Roman"/>
                <w:noProof/>
                <w:webHidden/>
              </w:rPr>
              <w:t>99</w:t>
            </w:r>
            <w:r w:rsidR="00C41021" w:rsidRPr="00C41021">
              <w:rPr>
                <w:rFonts w:ascii="Times New Roman" w:hAnsi="Times New Roman"/>
                <w:noProof/>
                <w:webHidden/>
              </w:rPr>
              <w:fldChar w:fldCharType="end"/>
            </w:r>
          </w:hyperlink>
        </w:p>
        <w:p w14:paraId="24732D23" w14:textId="4FBCB910" w:rsidR="00C41021" w:rsidRPr="00C41021" w:rsidRDefault="005D4A49" w:rsidP="0069757E">
          <w:pPr>
            <w:pStyle w:val="TOC2"/>
            <w:spacing w:line="276" w:lineRule="auto"/>
            <w:rPr>
              <w:rFonts w:ascii="Times New Roman" w:hAnsi="Times New Roman" w:cstheme="minorBidi"/>
              <w:szCs w:val="22"/>
            </w:rPr>
          </w:pPr>
          <w:hyperlink w:anchor="_Toc90046551" w:history="1">
            <w:r w:rsidR="00C41021" w:rsidRPr="00C41021">
              <w:rPr>
                <w:rStyle w:val="Hyperlink"/>
                <w:rFonts w:ascii="Times New Roman" w:hAnsi="Times New Roman"/>
              </w:rPr>
              <w:t>B.</w:t>
            </w:r>
            <w:r w:rsidR="00C41021" w:rsidRPr="00C41021">
              <w:rPr>
                <w:rFonts w:ascii="Times New Roman" w:hAnsi="Times New Roman" w:cstheme="minorBidi"/>
                <w:szCs w:val="22"/>
              </w:rPr>
              <w:tab/>
            </w:r>
            <w:r w:rsidR="00C41021" w:rsidRPr="00C41021">
              <w:rPr>
                <w:rStyle w:val="Hyperlink"/>
                <w:rFonts w:ascii="Times New Roman" w:hAnsi="Times New Roman"/>
              </w:rPr>
              <w:t>Who Bears the Burden of Higher Costs or Benefits from Cost Savings?</w:t>
            </w:r>
            <w:r w:rsidR="00C41021" w:rsidRPr="00C41021">
              <w:rPr>
                <w:rFonts w:ascii="Times New Roman" w:hAnsi="Times New Roman"/>
                <w:webHidden/>
              </w:rPr>
              <w:tab/>
            </w:r>
            <w:r w:rsidR="00C41021" w:rsidRPr="00C41021">
              <w:rPr>
                <w:rFonts w:ascii="Times New Roman" w:hAnsi="Times New Roman"/>
                <w:webHidden/>
              </w:rPr>
              <w:fldChar w:fldCharType="begin"/>
            </w:r>
            <w:r w:rsidR="00C41021" w:rsidRPr="00C41021">
              <w:rPr>
                <w:rFonts w:ascii="Times New Roman" w:hAnsi="Times New Roman"/>
                <w:webHidden/>
              </w:rPr>
              <w:instrText xml:space="preserve"> PAGEREF _Toc90046551 \h </w:instrText>
            </w:r>
            <w:r w:rsidR="00C41021" w:rsidRPr="00C41021">
              <w:rPr>
                <w:rFonts w:ascii="Times New Roman" w:hAnsi="Times New Roman"/>
                <w:webHidden/>
              </w:rPr>
            </w:r>
            <w:r w:rsidR="00C41021" w:rsidRPr="00C41021">
              <w:rPr>
                <w:rFonts w:ascii="Times New Roman" w:hAnsi="Times New Roman"/>
                <w:webHidden/>
              </w:rPr>
              <w:fldChar w:fldCharType="separate"/>
            </w:r>
            <w:r w:rsidR="002B78C3">
              <w:rPr>
                <w:rFonts w:ascii="Times New Roman" w:hAnsi="Times New Roman"/>
                <w:webHidden/>
              </w:rPr>
              <w:t>102</w:t>
            </w:r>
            <w:r w:rsidR="00C41021" w:rsidRPr="00C41021">
              <w:rPr>
                <w:rFonts w:ascii="Times New Roman" w:hAnsi="Times New Roman"/>
                <w:webHidden/>
              </w:rPr>
              <w:fldChar w:fldCharType="end"/>
            </w:r>
          </w:hyperlink>
        </w:p>
        <w:p w14:paraId="719754EE" w14:textId="2C24C150" w:rsidR="00C41021" w:rsidRPr="00C41021" w:rsidRDefault="005D4A49" w:rsidP="0069757E">
          <w:pPr>
            <w:pStyle w:val="TOC1"/>
            <w:spacing w:line="276" w:lineRule="auto"/>
            <w:rPr>
              <w:rFonts w:ascii="Times New Roman" w:hAnsi="Times New Roman"/>
              <w:noProof/>
              <w:szCs w:val="22"/>
            </w:rPr>
          </w:pPr>
          <w:hyperlink w:anchor="_Toc90046552" w:history="1">
            <w:r w:rsidR="00C41021" w:rsidRPr="00C41021">
              <w:rPr>
                <w:rStyle w:val="Hyperlink"/>
                <w:rFonts w:ascii="Times New Roman" w:hAnsi="Times New Roman"/>
                <w:noProof/>
              </w:rPr>
              <w:t>XI.</w:t>
            </w:r>
            <w:r w:rsidR="00C41021" w:rsidRPr="00C41021">
              <w:rPr>
                <w:rFonts w:ascii="Times New Roman" w:hAnsi="Times New Roman"/>
                <w:noProof/>
                <w:szCs w:val="22"/>
              </w:rPr>
              <w:tab/>
            </w:r>
            <w:r w:rsidR="00C41021" w:rsidRPr="00C41021">
              <w:rPr>
                <w:rStyle w:val="Hyperlink"/>
                <w:rFonts w:ascii="Times New Roman" w:hAnsi="Times New Roman"/>
                <w:noProof/>
              </w:rPr>
              <w:t>Conclusions</w:t>
            </w:r>
            <w:r w:rsidR="00C41021" w:rsidRPr="00C41021">
              <w:rPr>
                <w:rFonts w:ascii="Times New Roman" w:hAnsi="Times New Roman"/>
                <w:noProof/>
                <w:webHidden/>
              </w:rPr>
              <w:tab/>
            </w:r>
            <w:r w:rsidR="00C41021" w:rsidRPr="00C41021">
              <w:rPr>
                <w:rFonts w:ascii="Times New Roman" w:hAnsi="Times New Roman"/>
                <w:noProof/>
                <w:webHidden/>
              </w:rPr>
              <w:fldChar w:fldCharType="begin"/>
            </w:r>
            <w:r w:rsidR="00C41021" w:rsidRPr="00C41021">
              <w:rPr>
                <w:rFonts w:ascii="Times New Roman" w:hAnsi="Times New Roman"/>
                <w:noProof/>
                <w:webHidden/>
              </w:rPr>
              <w:instrText xml:space="preserve"> PAGEREF _Toc90046552 \h </w:instrText>
            </w:r>
            <w:r w:rsidR="00C41021" w:rsidRPr="00C41021">
              <w:rPr>
                <w:rFonts w:ascii="Times New Roman" w:hAnsi="Times New Roman"/>
                <w:noProof/>
                <w:webHidden/>
              </w:rPr>
            </w:r>
            <w:r w:rsidR="00C41021" w:rsidRPr="00C41021">
              <w:rPr>
                <w:rFonts w:ascii="Times New Roman" w:hAnsi="Times New Roman"/>
                <w:noProof/>
                <w:webHidden/>
              </w:rPr>
              <w:fldChar w:fldCharType="separate"/>
            </w:r>
            <w:r w:rsidR="002B78C3">
              <w:rPr>
                <w:rFonts w:ascii="Times New Roman" w:hAnsi="Times New Roman"/>
                <w:noProof/>
                <w:webHidden/>
              </w:rPr>
              <w:t>107</w:t>
            </w:r>
            <w:r w:rsidR="00C41021" w:rsidRPr="00C41021">
              <w:rPr>
                <w:rFonts w:ascii="Times New Roman" w:hAnsi="Times New Roman"/>
                <w:noProof/>
                <w:webHidden/>
              </w:rPr>
              <w:fldChar w:fldCharType="end"/>
            </w:r>
          </w:hyperlink>
        </w:p>
        <w:p w14:paraId="06C38E94" w14:textId="55A217A9" w:rsidR="00C122A9" w:rsidRPr="003F07B1" w:rsidRDefault="00C122A9" w:rsidP="0069757E">
          <w:pPr>
            <w:spacing w:line="276" w:lineRule="auto"/>
            <w:rPr>
              <w:rFonts w:ascii="Times New Roman" w:hAnsi="Times New Roman" w:cs="Times New Roman"/>
            </w:rPr>
            <w:sectPr w:rsidR="00C122A9" w:rsidRPr="003F07B1" w:rsidSect="004E484C">
              <w:headerReference w:type="default" r:id="rId14"/>
              <w:footerReference w:type="default" r:id="rId15"/>
              <w:pgSz w:w="12240" w:h="15840"/>
              <w:pgMar w:top="1440" w:right="1440" w:bottom="1440" w:left="1440" w:header="720" w:footer="720" w:gutter="0"/>
              <w:pgNumType w:start="1"/>
              <w:cols w:space="720"/>
              <w:docGrid w:linePitch="360"/>
            </w:sectPr>
          </w:pPr>
          <w:r w:rsidRPr="00C41021">
            <w:rPr>
              <w:rFonts w:ascii="Times New Roman" w:hAnsi="Times New Roman" w:cs="Times New Roman"/>
              <w:b/>
              <w:bCs/>
              <w:noProof/>
            </w:rPr>
            <w:fldChar w:fldCharType="end"/>
          </w:r>
        </w:p>
      </w:sdtContent>
    </w:sdt>
    <w:p w14:paraId="68EF8949" w14:textId="38A968AC" w:rsidR="0091735F" w:rsidRPr="00817B9F" w:rsidRDefault="00D50871" w:rsidP="004512A3">
      <w:pPr>
        <w:pStyle w:val="Heading1"/>
      </w:pPr>
      <w:bookmarkStart w:id="1" w:name="_Toc90046484"/>
      <w:r w:rsidRPr="00817B9F">
        <w:lastRenderedPageBreak/>
        <w:t>Executive S</w:t>
      </w:r>
      <w:r w:rsidR="00363A05" w:rsidRPr="00817B9F">
        <w:t>u</w:t>
      </w:r>
      <w:r w:rsidRPr="00817B9F">
        <w:t>mmary</w:t>
      </w:r>
      <w:bookmarkEnd w:id="1"/>
    </w:p>
    <w:p w14:paraId="42F8BB1A" w14:textId="3BFD444E" w:rsidR="006D40EC" w:rsidRPr="00817B9F" w:rsidRDefault="006D40EC" w:rsidP="006D40EC">
      <w:pPr>
        <w:pStyle w:val="NumberedParagraphs"/>
      </w:pPr>
      <w:r w:rsidRPr="00817B9F">
        <w:t>Mass General Brigham filed a Determination of Need Application that proposes construction of a new tower on the main campus of Massachusetts General Hospital. The proposed new tower would contain 482 private beds and increase the number of licensed beds at the hospital by 94 beds. The project also proposes consolidation of oncology and cardiovascular services at the new tower and acquisition of new diagnostic imaging equipment for the hospital. The total proposed expenditure associated with the project is approximately $1.881 billion.</w:t>
      </w:r>
    </w:p>
    <w:p w14:paraId="64D5F334" w14:textId="118BAFEA" w:rsidR="00F825F0" w:rsidRPr="00817B9F" w:rsidRDefault="006066E7" w:rsidP="0027011C">
      <w:pPr>
        <w:pStyle w:val="NumberedParagraphs"/>
      </w:pPr>
      <w:r w:rsidRPr="00817B9F">
        <w:t>The Massachusetts Department of Public Health has required an independent cost analysis for the project to assist in determining whether the project would be consistent with the health care cost containment goals of Massachusetts. As directed by the Determination of Need program, the two primary elements to be addressed in the analysis are (i) the effects of the proposed project on prices of and competition for health care services in Massachusetts and (ii) the effects of the proposed project on the utilization of health care services in Massachusetts and the capacity of health care providers in Massachusetts to render those services.</w:t>
      </w:r>
      <w:r w:rsidR="004B3F3D" w:rsidRPr="00817B9F">
        <w:t xml:space="preserve"> Our analysis in connection with the independent cost analysis supports the following conclusions. </w:t>
      </w:r>
    </w:p>
    <w:p w14:paraId="1263BBCB" w14:textId="60081EED" w:rsidR="004B3F3D" w:rsidRPr="00817B9F" w:rsidRDefault="00967A65" w:rsidP="00C41646">
      <w:pPr>
        <w:pStyle w:val="NumberedParagraphs"/>
      </w:pPr>
      <w:r w:rsidRPr="00817B9F">
        <w:t>Inp</w:t>
      </w:r>
      <w:r w:rsidR="004B3F3D" w:rsidRPr="00817B9F">
        <w:t xml:space="preserve">atient days at </w:t>
      </w:r>
      <w:r w:rsidRPr="00817B9F">
        <w:t>Massachusetts General</w:t>
      </w:r>
      <w:r w:rsidR="004B3F3D" w:rsidRPr="00817B9F">
        <w:t xml:space="preserve"> </w:t>
      </w:r>
      <w:r w:rsidR="00124A5B" w:rsidRPr="00817B9F">
        <w:t>H</w:t>
      </w:r>
      <w:r w:rsidR="004B3F3D" w:rsidRPr="00817B9F">
        <w:t xml:space="preserve">ospital increased by almost </w:t>
      </w:r>
      <w:r w:rsidRPr="00817B9F">
        <w:t>five</w:t>
      </w:r>
      <w:r w:rsidR="004B3F3D" w:rsidRPr="00817B9F">
        <w:t xml:space="preserve"> percent between 2015 and 2019</w:t>
      </w:r>
      <w:r w:rsidR="004E1B5A" w:rsidRPr="00817B9F">
        <w:t>;</w:t>
      </w:r>
      <w:r w:rsidR="0062790D" w:rsidRPr="00817B9F">
        <w:t xml:space="preserve"> the increase in patient days for heart and vascular services was </w:t>
      </w:r>
      <w:r w:rsidR="00E47F90" w:rsidRPr="00817B9F">
        <w:t>17 percent</w:t>
      </w:r>
      <w:r w:rsidR="004B3F3D" w:rsidRPr="00817B9F">
        <w:t>. We predict further increases in demand for inpatient services</w:t>
      </w:r>
      <w:r w:rsidR="00483512" w:rsidRPr="00817B9F">
        <w:t xml:space="preserve"> </w:t>
      </w:r>
      <w:r w:rsidR="001A5288" w:rsidRPr="00817B9F">
        <w:t>across all service lines</w:t>
      </w:r>
      <w:r w:rsidR="004B3F3D" w:rsidRPr="00817B9F">
        <w:t xml:space="preserve"> at the hospital in the next five to ten years. </w:t>
      </w:r>
      <w:r w:rsidR="003F7B37" w:rsidRPr="00817B9F">
        <w:t xml:space="preserve">We also </w:t>
      </w:r>
      <w:r w:rsidR="006C1BEB" w:rsidRPr="00817B9F">
        <w:t xml:space="preserve">predict significant growth in demand </w:t>
      </w:r>
      <w:r w:rsidR="00C41646" w:rsidRPr="00817B9F">
        <w:t xml:space="preserve">for outpatient diagnostic imaging, cardiovascular services, and </w:t>
      </w:r>
      <w:r w:rsidR="00972731" w:rsidRPr="00817B9F">
        <w:t>oncology</w:t>
      </w:r>
      <w:r w:rsidR="00C41646" w:rsidRPr="00817B9F">
        <w:t xml:space="preserve"> visits at the hospital. These </w:t>
      </w:r>
      <w:r w:rsidR="004B3F3D" w:rsidRPr="00817B9F">
        <w:t>increase</w:t>
      </w:r>
      <w:r w:rsidR="00C41646" w:rsidRPr="00817B9F">
        <w:t>s</w:t>
      </w:r>
      <w:r w:rsidR="004B3F3D" w:rsidRPr="00817B9F">
        <w:t xml:space="preserve"> </w:t>
      </w:r>
      <w:r w:rsidR="00C41646" w:rsidRPr="00817B9F">
        <w:t>are</w:t>
      </w:r>
      <w:r w:rsidR="004B3F3D" w:rsidRPr="00817B9F">
        <w:t xml:space="preserve"> driven by the projected population growth in the service area of the hospital and the aging of that population. </w:t>
      </w:r>
      <w:r w:rsidR="003F4269" w:rsidRPr="00817B9F">
        <w:t xml:space="preserve">In particular, the number of residents in the hospital’s </w:t>
      </w:r>
      <w:r w:rsidR="004E1B5A" w:rsidRPr="00817B9F">
        <w:t xml:space="preserve">inpatient </w:t>
      </w:r>
      <w:r w:rsidR="003F4269" w:rsidRPr="00817B9F">
        <w:t xml:space="preserve">service area </w:t>
      </w:r>
      <w:r w:rsidR="00024AD0" w:rsidRPr="00817B9F">
        <w:t>age</w:t>
      </w:r>
      <w:r w:rsidR="003F4269" w:rsidRPr="00817B9F">
        <w:t xml:space="preserve"> 65</w:t>
      </w:r>
      <w:r w:rsidR="00024AD0" w:rsidRPr="00817B9F">
        <w:t xml:space="preserve"> </w:t>
      </w:r>
      <w:r w:rsidR="00995008" w:rsidRPr="00817B9F">
        <w:t>and</w:t>
      </w:r>
      <w:r w:rsidR="00024AD0" w:rsidRPr="00817B9F">
        <w:t xml:space="preserve"> older</w:t>
      </w:r>
      <w:r w:rsidR="0077170A" w:rsidRPr="00817B9F">
        <w:t>—who tend to require more health care services—</w:t>
      </w:r>
      <w:r w:rsidR="003F4269" w:rsidRPr="00817B9F">
        <w:t>is projected to grow by 30 percent over the next decade.</w:t>
      </w:r>
    </w:p>
    <w:p w14:paraId="711EB61B" w14:textId="0DDBF575" w:rsidR="004B3F3D" w:rsidRPr="00817B9F" w:rsidRDefault="004B3F3D" w:rsidP="006D40EC">
      <w:pPr>
        <w:pStyle w:val="NumberedParagraphs"/>
      </w:pPr>
      <w:r w:rsidRPr="00817B9F">
        <w:t xml:space="preserve">The predicted changes in Mass General Brigham’s shares associated with the proposed project are modest and </w:t>
      </w:r>
      <w:r w:rsidR="00DF49DB" w:rsidRPr="00817B9F">
        <w:t>unlikely to meaningfully change the system’s bargaining leverage with health insurers. Rather, the weight of the economics literature suggests that allowing</w:t>
      </w:r>
      <w:r w:rsidR="00714D3D" w:rsidRPr="00817B9F">
        <w:t xml:space="preserve"> capacity-constrained</w:t>
      </w:r>
      <w:r w:rsidR="00DF49DB" w:rsidRPr="00817B9F">
        <w:t xml:space="preserve"> </w:t>
      </w:r>
      <w:r w:rsidR="00D120FE" w:rsidRPr="00817B9F">
        <w:t>health care providers</w:t>
      </w:r>
      <w:r w:rsidR="00DF49DB" w:rsidRPr="00817B9F">
        <w:t xml:space="preserve"> </w:t>
      </w:r>
      <w:r w:rsidR="00714D3D" w:rsidRPr="00817B9F">
        <w:t xml:space="preserve">such as Massachusetts General Hospital </w:t>
      </w:r>
      <w:r w:rsidR="00DF49DB" w:rsidRPr="00817B9F">
        <w:t xml:space="preserve">to expand </w:t>
      </w:r>
      <w:r w:rsidR="00714D3D" w:rsidRPr="00817B9F">
        <w:t>puts downward pressure on</w:t>
      </w:r>
      <w:r w:rsidR="00DF49DB" w:rsidRPr="00817B9F">
        <w:t xml:space="preserve"> health care prices and reduces expenditures on health care services. </w:t>
      </w:r>
    </w:p>
    <w:p w14:paraId="0E26A691" w14:textId="63FBCDC1" w:rsidR="00124A5B" w:rsidRPr="00817B9F" w:rsidRDefault="00FC74EA" w:rsidP="0027011C">
      <w:pPr>
        <w:pStyle w:val="NumberedParagraphs"/>
      </w:pPr>
      <w:r w:rsidRPr="00817B9F">
        <w:lastRenderedPageBreak/>
        <w:t xml:space="preserve">The proposed project will </w:t>
      </w:r>
      <w:r w:rsidR="00B81157" w:rsidRPr="00817B9F">
        <w:t>increase</w:t>
      </w:r>
      <w:r w:rsidRPr="00817B9F">
        <w:t xml:space="preserve"> expenditures on inpatient </w:t>
      </w:r>
      <w:r w:rsidR="00B81157" w:rsidRPr="00817B9F">
        <w:t xml:space="preserve">and outpatient </w:t>
      </w:r>
      <w:r w:rsidRPr="00817B9F">
        <w:t xml:space="preserve">health care services for patients who switch to receiving care at </w:t>
      </w:r>
      <w:r w:rsidR="00B81157" w:rsidRPr="00817B9F">
        <w:t>Massachusetts General</w:t>
      </w:r>
      <w:r w:rsidRPr="00817B9F">
        <w:t xml:space="preserve"> Hospital.</w:t>
      </w:r>
      <w:r w:rsidR="00DB1E8E" w:rsidRPr="00817B9F">
        <w:t xml:space="preserve"> For each </w:t>
      </w:r>
      <w:r w:rsidR="00E8498C" w:rsidRPr="00817B9F">
        <w:t>patient</w:t>
      </w:r>
      <w:r w:rsidR="00DB1E8E" w:rsidRPr="00817B9F">
        <w:t xml:space="preserve"> who switches to receiving care at the hospital</w:t>
      </w:r>
      <w:r w:rsidR="00714D3D" w:rsidRPr="00817B9F">
        <w:t xml:space="preserve"> following the proposed expansion</w:t>
      </w:r>
      <w:r w:rsidR="00DB1E8E" w:rsidRPr="00817B9F">
        <w:t xml:space="preserve">, we predict that </w:t>
      </w:r>
      <w:r w:rsidR="00505DAC" w:rsidRPr="00817B9F">
        <w:t>average</w:t>
      </w:r>
      <w:r w:rsidR="00D07881" w:rsidRPr="00817B9F">
        <w:t xml:space="preserve"> health care</w:t>
      </w:r>
      <w:r w:rsidR="00505DAC" w:rsidRPr="00817B9F">
        <w:t xml:space="preserve"> </w:t>
      </w:r>
      <w:r w:rsidR="00DB1E8E" w:rsidRPr="00817B9F">
        <w:t xml:space="preserve">expenditures will increase by </w:t>
      </w:r>
      <w:r w:rsidR="00714D3D" w:rsidRPr="00817B9F">
        <w:t>18 percent</w:t>
      </w:r>
      <w:r w:rsidR="00DA7052" w:rsidRPr="00817B9F">
        <w:t xml:space="preserve">. </w:t>
      </w:r>
      <w:r w:rsidR="00714D3D" w:rsidRPr="00817B9F">
        <w:t xml:space="preserve">However, the overall </w:t>
      </w:r>
      <w:r w:rsidR="00384D18" w:rsidRPr="00817B9F">
        <w:t xml:space="preserve">increase in </w:t>
      </w:r>
      <w:r w:rsidR="00714D3D" w:rsidRPr="00817B9F">
        <w:t xml:space="preserve">health care expenditures across </w:t>
      </w:r>
      <w:r w:rsidR="007A13CE" w:rsidRPr="00817B9F">
        <w:t xml:space="preserve">all </w:t>
      </w:r>
      <w:r w:rsidR="00714D3D" w:rsidRPr="00817B9F">
        <w:t>the service lines associated with the proposed expansion is</w:t>
      </w:r>
      <w:r w:rsidR="00D07881" w:rsidRPr="00817B9F">
        <w:t xml:space="preserve"> </w:t>
      </w:r>
      <w:r w:rsidR="00714D3D" w:rsidRPr="00817B9F">
        <w:t>only 0</w:t>
      </w:r>
      <w:r w:rsidR="004C6E1B" w:rsidRPr="00817B9F">
        <w:t>.</w:t>
      </w:r>
      <w:r w:rsidR="007E6B1B" w:rsidRPr="00817B9F">
        <w:t>2</w:t>
      </w:r>
      <w:r w:rsidR="00714D3D" w:rsidRPr="00817B9F">
        <w:t xml:space="preserve"> percent. This overall increase is substantially smaller than the increase </w:t>
      </w:r>
      <w:r w:rsidR="00384D18" w:rsidRPr="00817B9F">
        <w:t>in</w:t>
      </w:r>
      <w:r w:rsidR="00714D3D" w:rsidRPr="00817B9F">
        <w:t xml:space="preserve"> expenditures for patients who would switch to Massachusetts General Hospital because the choices of most patients would be unaffected by the proposed project. </w:t>
      </w:r>
    </w:p>
    <w:p w14:paraId="23359721" w14:textId="59F3A2B4" w:rsidR="00D07881" w:rsidRPr="00817B9F" w:rsidRDefault="00D07881" w:rsidP="0027011C">
      <w:pPr>
        <w:pStyle w:val="NumberedParagraphs"/>
      </w:pPr>
      <w:r w:rsidRPr="00817B9F">
        <w:t>For these reasons, we believe that the proposed project is consistent with the Commonwealth of Massachusetts’ health care cost-containment goals.</w:t>
      </w:r>
    </w:p>
    <w:p w14:paraId="6641EF60" w14:textId="22C798F9" w:rsidR="004512A3" w:rsidRPr="00817B9F" w:rsidRDefault="00250C41" w:rsidP="004512A3">
      <w:pPr>
        <w:pStyle w:val="Heading1"/>
      </w:pPr>
      <w:bookmarkStart w:id="2" w:name="_Toc90046485"/>
      <w:r w:rsidRPr="00817B9F">
        <w:t>Introduction and Background</w:t>
      </w:r>
      <w:bookmarkEnd w:id="2"/>
    </w:p>
    <w:p w14:paraId="5E443D48" w14:textId="1D4469F9" w:rsidR="00BC3D87" w:rsidRPr="00817B9F" w:rsidRDefault="00286E8F" w:rsidP="00BC3D87">
      <w:pPr>
        <w:pStyle w:val="Heading2"/>
        <w:rPr>
          <w:rFonts w:cs="Times New Roman"/>
        </w:rPr>
      </w:pPr>
      <w:bookmarkStart w:id="3" w:name="_Toc90046486"/>
      <w:r w:rsidRPr="00817B9F">
        <w:rPr>
          <w:rFonts w:cs="Times New Roman"/>
        </w:rPr>
        <w:t>Introduction</w:t>
      </w:r>
      <w:bookmarkEnd w:id="3"/>
    </w:p>
    <w:p w14:paraId="5691869D" w14:textId="2653E2D5" w:rsidR="00250C41" w:rsidRPr="00817B9F" w:rsidRDefault="001B7A78" w:rsidP="00937984">
      <w:pPr>
        <w:pStyle w:val="NumberedParagraphs"/>
      </w:pPr>
      <w:r w:rsidRPr="00817B9F">
        <w:t>Mass General Brigham Incorporated (“MGB” or “the Applicant”)</w:t>
      </w:r>
      <w:r w:rsidR="00EF081C" w:rsidRPr="00817B9F">
        <w:t xml:space="preserve"> </w:t>
      </w:r>
      <w:r w:rsidR="002228E8" w:rsidRPr="00817B9F">
        <w:t xml:space="preserve">filed a Determination of Need Application </w:t>
      </w:r>
      <w:r w:rsidR="00866007" w:rsidRPr="00817B9F">
        <w:t xml:space="preserve">for project number </w:t>
      </w:r>
      <w:r w:rsidR="00CB3C3F" w:rsidRPr="00817B9F">
        <w:t>MGB-20121612-HE</w:t>
      </w:r>
      <w:r w:rsidR="00A7777C" w:rsidRPr="00817B9F">
        <w:t xml:space="preserve"> on January 21, 2021</w:t>
      </w:r>
      <w:r w:rsidR="00BB4A21" w:rsidRPr="00817B9F">
        <w:t xml:space="preserve"> (</w:t>
      </w:r>
      <w:r w:rsidR="00392A37" w:rsidRPr="00817B9F">
        <w:t xml:space="preserve">the </w:t>
      </w:r>
      <w:r w:rsidR="00F0755B" w:rsidRPr="00817B9F">
        <w:t>“</w:t>
      </w:r>
      <w:r w:rsidR="00BB4A21" w:rsidRPr="00817B9F">
        <w:t>MGH DoN</w:t>
      </w:r>
      <w:r w:rsidR="00F0755B" w:rsidRPr="00817B9F">
        <w:t>”</w:t>
      </w:r>
      <w:r w:rsidR="00BB4A21" w:rsidRPr="00817B9F">
        <w:t>)</w:t>
      </w:r>
      <w:r w:rsidR="00CB3C3F" w:rsidRPr="00817B9F">
        <w:t xml:space="preserve">. </w:t>
      </w:r>
      <w:r w:rsidR="00D242C5" w:rsidRPr="00817B9F">
        <w:t>In</w:t>
      </w:r>
      <w:r w:rsidR="006E4C5D" w:rsidRPr="00817B9F">
        <w:t xml:space="preserve"> this project</w:t>
      </w:r>
      <w:r w:rsidR="00D242C5" w:rsidRPr="00817B9F">
        <w:t>,</w:t>
      </w:r>
      <w:r w:rsidR="006E4C5D" w:rsidRPr="00817B9F">
        <w:t xml:space="preserve"> the Applicant </w:t>
      </w:r>
      <w:r w:rsidR="00471C64" w:rsidRPr="00817B9F">
        <w:t xml:space="preserve">proposes constructing a new tower on the main campus of Massachusetts General Hospital (“MGH”) </w:t>
      </w:r>
      <w:r w:rsidR="00054369" w:rsidRPr="00817B9F">
        <w:t xml:space="preserve">that would </w:t>
      </w:r>
      <w:r w:rsidR="00B8317C" w:rsidRPr="00817B9F">
        <w:t>contain</w:t>
      </w:r>
      <w:r w:rsidR="00001CF6" w:rsidRPr="00817B9F">
        <w:t xml:space="preserve"> </w:t>
      </w:r>
      <w:r w:rsidR="00B8317C" w:rsidRPr="00817B9F">
        <w:t>48</w:t>
      </w:r>
      <w:r w:rsidR="00365887" w:rsidRPr="00817B9F">
        <w:t>2</w:t>
      </w:r>
      <w:r w:rsidR="00B8317C" w:rsidRPr="00817B9F">
        <w:t xml:space="preserve"> </w:t>
      </w:r>
      <w:r w:rsidR="00001CF6" w:rsidRPr="00817B9F">
        <w:t>private</w:t>
      </w:r>
      <w:r w:rsidR="00B8317C" w:rsidRPr="00817B9F">
        <w:t xml:space="preserve"> medical/surgical and intensive care unit (“ICU”) beds, </w:t>
      </w:r>
      <w:r w:rsidR="00365887" w:rsidRPr="00817B9F">
        <w:t xml:space="preserve">corresponding to a net increase in the number of licensed beds at MGH of 94 and a net increase in the number of operational beds at MGH of </w:t>
      </w:r>
      <w:r w:rsidR="00184D6F" w:rsidRPr="00817B9F">
        <w:t>118.</w:t>
      </w:r>
      <w:r w:rsidR="00567B3F" w:rsidRPr="00817B9F">
        <w:rPr>
          <w:rStyle w:val="FootnoteReference"/>
        </w:rPr>
        <w:footnoteReference w:id="2"/>
      </w:r>
      <w:r w:rsidR="00184D6F" w:rsidRPr="00817B9F">
        <w:t xml:space="preserve"> The project also </w:t>
      </w:r>
      <w:r w:rsidR="0037316B" w:rsidRPr="00817B9F">
        <w:t xml:space="preserve">proposes consolidation of </w:t>
      </w:r>
      <w:r w:rsidR="006D40EC" w:rsidRPr="00817B9F">
        <w:t>oncology and cardiovascular</w:t>
      </w:r>
      <w:r w:rsidR="0037316B" w:rsidRPr="00817B9F">
        <w:t xml:space="preserve"> </w:t>
      </w:r>
      <w:r w:rsidR="006D40EC" w:rsidRPr="00817B9F">
        <w:t>services</w:t>
      </w:r>
      <w:r w:rsidR="0037316B" w:rsidRPr="00817B9F">
        <w:t xml:space="preserve"> at the new tower</w:t>
      </w:r>
      <w:r w:rsidR="00883546" w:rsidRPr="00817B9F">
        <w:t xml:space="preserve">, </w:t>
      </w:r>
      <w:r w:rsidR="0037316B" w:rsidRPr="00817B9F">
        <w:t xml:space="preserve">acquisition </w:t>
      </w:r>
      <w:r w:rsidR="00883546" w:rsidRPr="00817B9F">
        <w:t>of new diagnostic imaging equipment, and several small renovation projects at MGH’s main campus and satellite locations.</w:t>
      </w:r>
      <w:r w:rsidR="005F2200" w:rsidRPr="00817B9F">
        <w:rPr>
          <w:rStyle w:val="FootnoteReference"/>
        </w:rPr>
        <w:footnoteReference w:id="3"/>
      </w:r>
      <w:r w:rsidR="00883546" w:rsidRPr="00817B9F">
        <w:t xml:space="preserve"> </w:t>
      </w:r>
      <w:r w:rsidR="00A36E66" w:rsidRPr="00817B9F">
        <w:t>The total proposed expenditure associated with the project is approximately $1.881 billion.</w:t>
      </w:r>
      <w:r w:rsidR="00D348CC" w:rsidRPr="00817B9F">
        <w:rPr>
          <w:rStyle w:val="FootnoteReference"/>
        </w:rPr>
        <w:footnoteReference w:id="4"/>
      </w:r>
    </w:p>
    <w:p w14:paraId="023FC83E" w14:textId="4AC2D3DB" w:rsidR="007021CC" w:rsidRPr="00817B9F" w:rsidRDefault="00952845" w:rsidP="003B36E0">
      <w:pPr>
        <w:pStyle w:val="NumberedParagraphs"/>
      </w:pPr>
      <w:r w:rsidRPr="00817B9F">
        <w:t>T</w:t>
      </w:r>
      <w:r w:rsidR="00E7584A" w:rsidRPr="00817B9F">
        <w:t>he Massachusetts Dep</w:t>
      </w:r>
      <w:r w:rsidR="00193A5B" w:rsidRPr="00817B9F">
        <w:t>artment of Public Health</w:t>
      </w:r>
      <w:r w:rsidR="00DB7F66" w:rsidRPr="00817B9F">
        <w:t xml:space="preserve"> (“DPH”)</w:t>
      </w:r>
      <w:r w:rsidR="00193A5B" w:rsidRPr="00817B9F">
        <w:t xml:space="preserve"> has required an independent cost analysis (“ICA”) </w:t>
      </w:r>
      <w:r w:rsidR="00614C2A" w:rsidRPr="00817B9F">
        <w:t>for the project to</w:t>
      </w:r>
      <w:r w:rsidR="006066E7" w:rsidRPr="00817B9F">
        <w:t xml:space="preserve"> assist in</w:t>
      </w:r>
      <w:r w:rsidR="00614C2A" w:rsidRPr="00817B9F">
        <w:t xml:space="preserve"> determin</w:t>
      </w:r>
      <w:r w:rsidR="006066E7" w:rsidRPr="00817B9F">
        <w:t>ing</w:t>
      </w:r>
      <w:r w:rsidR="00614C2A" w:rsidRPr="00817B9F">
        <w:t xml:space="preserve"> whether the project will be consistent with </w:t>
      </w:r>
      <w:r w:rsidR="00614C2A" w:rsidRPr="00817B9F">
        <w:lastRenderedPageBreak/>
        <w:t xml:space="preserve">the health care cost containment goals of Massachusetts. </w:t>
      </w:r>
      <w:r w:rsidR="001F3E15" w:rsidRPr="00817B9F">
        <w:t>The ICA is being conducted by Charles River Associates</w:t>
      </w:r>
      <w:r w:rsidR="00F8055D" w:rsidRPr="00817B9F">
        <w:t xml:space="preserve"> </w:t>
      </w:r>
      <w:r w:rsidR="002459DC" w:rsidRPr="00817B9F">
        <w:t xml:space="preserve">(“CRA”) </w:t>
      </w:r>
      <w:r w:rsidR="00A63CD9" w:rsidRPr="00817B9F">
        <w:t xml:space="preserve">to provide an independent analysis </w:t>
      </w:r>
      <w:r w:rsidR="00F8055D" w:rsidRPr="00817B9F">
        <w:t xml:space="preserve">at the direction of the Determination of Need </w:t>
      </w:r>
      <w:r w:rsidR="007021CC" w:rsidRPr="00817B9F">
        <w:t>(“DoN”) pr</w:t>
      </w:r>
      <w:r w:rsidR="00F8055D" w:rsidRPr="00817B9F">
        <w:t xml:space="preserve">ogram of DPH. </w:t>
      </w:r>
      <w:r w:rsidR="003B36E0" w:rsidRPr="00817B9F">
        <w:t>As described by DPH:</w:t>
      </w:r>
      <w:r w:rsidR="007021CC" w:rsidRPr="00817B9F">
        <w:t xml:space="preserve"> </w:t>
      </w:r>
    </w:p>
    <w:p w14:paraId="7916A3A0" w14:textId="6C89301C" w:rsidR="003B36E0" w:rsidRPr="00817B9F" w:rsidRDefault="007021CC" w:rsidP="007021CC">
      <w:pPr>
        <w:pStyle w:val="NumberedParagraphs"/>
        <w:numPr>
          <w:ilvl w:val="0"/>
          <w:numId w:val="0"/>
        </w:numPr>
        <w:spacing w:line="276" w:lineRule="auto"/>
        <w:ind w:left="720" w:right="720"/>
      </w:pPr>
      <w:r w:rsidRPr="00817B9F">
        <w:t>The purpose and objective of the DoN program is to encourage competition with a public health focus; to promote population health; to support the development of innovative health delivery methods and population health strategies within the health care delivery system; and to ensure that resources will be made reasonably and equitably available to every person within the Commonwealth at the lowest reasonable aggregate cost. In this way the Department [of Public Health] hopes to advance the Commonwealth’s goals for cost containment, improved public health outcomes, and delivery system transformation.</w:t>
      </w:r>
      <w:r w:rsidR="00804733" w:rsidRPr="00817B9F">
        <w:rPr>
          <w:rStyle w:val="FootnoteReference"/>
        </w:rPr>
        <w:footnoteReference w:id="5"/>
      </w:r>
    </w:p>
    <w:p w14:paraId="5406ACE0" w14:textId="2F6A48AF" w:rsidR="00562214" w:rsidRPr="00817B9F" w:rsidRDefault="00133943" w:rsidP="00F52A89">
      <w:pPr>
        <w:pStyle w:val="NumberedParagraphs"/>
        <w:numPr>
          <w:ilvl w:val="0"/>
          <w:numId w:val="0"/>
        </w:numPr>
      </w:pPr>
      <w:r w:rsidRPr="00817B9F">
        <w:t xml:space="preserve">While MGB is paying </w:t>
      </w:r>
      <w:r w:rsidR="001D2172" w:rsidRPr="00817B9F">
        <w:t xml:space="preserve">for CRA’s services in conducting the ICA, CRA does not represent MGB. </w:t>
      </w:r>
      <w:r w:rsidR="00793150" w:rsidRPr="00817B9F">
        <w:t>CRA also conducted the ICA analyses independently of the</w:t>
      </w:r>
      <w:r w:rsidR="00804733" w:rsidRPr="00817B9F">
        <w:t xml:space="preserve"> staff of the DoN program at the Massachusetts D</w:t>
      </w:r>
      <w:r w:rsidR="00DB7F66" w:rsidRPr="00817B9F">
        <w:t>PH</w:t>
      </w:r>
      <w:r w:rsidR="00804733" w:rsidRPr="00817B9F">
        <w:t xml:space="preserve">. </w:t>
      </w:r>
      <w:r w:rsidR="00362535" w:rsidRPr="00817B9F">
        <w:t xml:space="preserve">In the next subsection, we briefly describe the </w:t>
      </w:r>
      <w:r w:rsidR="004E6E2E" w:rsidRPr="00817B9F">
        <w:t xml:space="preserve">questions </w:t>
      </w:r>
      <w:r w:rsidR="004E57DD" w:rsidRPr="00817B9F">
        <w:t xml:space="preserve">that the DoN </w:t>
      </w:r>
      <w:r w:rsidR="004E6E2E" w:rsidRPr="00817B9F">
        <w:t xml:space="preserve">program asked CRA to address in its ICA for this project. </w:t>
      </w:r>
    </w:p>
    <w:p w14:paraId="7D328F36" w14:textId="2F465AB7" w:rsidR="00942497" w:rsidRPr="00817B9F" w:rsidRDefault="009A7AA7" w:rsidP="00942497">
      <w:pPr>
        <w:pStyle w:val="Heading2"/>
        <w:rPr>
          <w:rFonts w:cs="Times New Roman"/>
        </w:rPr>
      </w:pPr>
      <w:bookmarkStart w:id="4" w:name="_Toc90046487"/>
      <w:r w:rsidRPr="00817B9F">
        <w:rPr>
          <w:rFonts w:cs="Times New Roman"/>
        </w:rPr>
        <w:t>Elements of the ICA</w:t>
      </w:r>
      <w:bookmarkEnd w:id="4"/>
    </w:p>
    <w:p w14:paraId="7EEF580C" w14:textId="473B35B8" w:rsidR="00A625FB" w:rsidRPr="00817B9F" w:rsidRDefault="00466CF3" w:rsidP="00250C41">
      <w:pPr>
        <w:pStyle w:val="NumberedParagraphs"/>
      </w:pPr>
      <w:r w:rsidRPr="00817B9F">
        <w:t xml:space="preserve">As directed by </w:t>
      </w:r>
      <w:r w:rsidR="00D65C33" w:rsidRPr="00817B9F">
        <w:t xml:space="preserve">the DoN program at the Massachusetts </w:t>
      </w:r>
      <w:r w:rsidR="003B18E7" w:rsidRPr="00817B9F">
        <w:t>DPH</w:t>
      </w:r>
      <w:r w:rsidR="00D65C33" w:rsidRPr="00817B9F">
        <w:t xml:space="preserve">, </w:t>
      </w:r>
      <w:r w:rsidR="00EE554D" w:rsidRPr="00817B9F">
        <w:t xml:space="preserve">the </w:t>
      </w:r>
      <w:r w:rsidR="006066E7" w:rsidRPr="00817B9F">
        <w:t xml:space="preserve">two </w:t>
      </w:r>
      <w:r w:rsidR="00EE554D" w:rsidRPr="00817B9F">
        <w:t>primary</w:t>
      </w:r>
      <w:r w:rsidR="00637B39" w:rsidRPr="00817B9F">
        <w:t xml:space="preserve"> </w:t>
      </w:r>
      <w:r w:rsidR="00EE554D" w:rsidRPr="00817B9F">
        <w:t>elements</w:t>
      </w:r>
      <w:r w:rsidR="007F271D" w:rsidRPr="00817B9F">
        <w:t xml:space="preserve"> that</w:t>
      </w:r>
      <w:r w:rsidR="00EE554D" w:rsidRPr="00817B9F">
        <w:t xml:space="preserve"> </w:t>
      </w:r>
      <w:r w:rsidR="00264359" w:rsidRPr="00817B9F">
        <w:t>the</w:t>
      </w:r>
      <w:r w:rsidR="00E82B3C" w:rsidRPr="00817B9F">
        <w:t xml:space="preserve"> ICA </w:t>
      </w:r>
      <w:r w:rsidR="00264359" w:rsidRPr="00817B9F">
        <w:t xml:space="preserve">must address </w:t>
      </w:r>
      <w:r w:rsidR="00E82B3C" w:rsidRPr="00817B9F">
        <w:t xml:space="preserve">are </w:t>
      </w:r>
      <w:r w:rsidR="00F77CB4" w:rsidRPr="00817B9F">
        <w:t xml:space="preserve">(i) </w:t>
      </w:r>
      <w:r w:rsidR="00E82B3C" w:rsidRPr="00817B9F">
        <w:t>the effect</w:t>
      </w:r>
      <w:r w:rsidR="00F77CB4" w:rsidRPr="00817B9F">
        <w:t>s</w:t>
      </w:r>
      <w:r w:rsidR="00E82B3C" w:rsidRPr="00817B9F">
        <w:t xml:space="preserve"> of the proposed project on price</w:t>
      </w:r>
      <w:r w:rsidR="00F77CB4" w:rsidRPr="00817B9F">
        <w:t>s</w:t>
      </w:r>
      <w:r w:rsidR="00E82B3C" w:rsidRPr="00817B9F">
        <w:t xml:space="preserve"> </w:t>
      </w:r>
      <w:r w:rsidR="00F77CB4" w:rsidRPr="00817B9F">
        <w:t xml:space="preserve">of </w:t>
      </w:r>
      <w:r w:rsidR="00E82B3C" w:rsidRPr="00817B9F">
        <w:t xml:space="preserve">and competition </w:t>
      </w:r>
      <w:r w:rsidR="00F77CB4" w:rsidRPr="00817B9F">
        <w:t>for health care services in Massachusetts and (i</w:t>
      </w:r>
      <w:r w:rsidR="00264359" w:rsidRPr="00817B9F">
        <w:t>i</w:t>
      </w:r>
      <w:r w:rsidR="00F77CB4" w:rsidRPr="00817B9F">
        <w:t xml:space="preserve">) the effects of the proposed project on the utilization </w:t>
      </w:r>
      <w:r w:rsidR="00E5080B" w:rsidRPr="00817B9F">
        <w:t>of</w:t>
      </w:r>
      <w:r w:rsidR="00F77CB4" w:rsidRPr="00817B9F">
        <w:t xml:space="preserve"> health care services in Massachusetts</w:t>
      </w:r>
      <w:r w:rsidR="00E5080B" w:rsidRPr="00817B9F">
        <w:t xml:space="preserve"> and the capacity of health care providers in Massachusetts to render those services.</w:t>
      </w:r>
    </w:p>
    <w:p w14:paraId="3AF314BC" w14:textId="0B465ADC" w:rsidR="0003631E" w:rsidRPr="00817B9F" w:rsidRDefault="006C70E0" w:rsidP="00250C41">
      <w:pPr>
        <w:pStyle w:val="NumberedParagraphs"/>
      </w:pPr>
      <w:r w:rsidRPr="00817B9F">
        <w:t xml:space="preserve">Regarding the </w:t>
      </w:r>
      <w:r w:rsidR="002F6D2C" w:rsidRPr="00817B9F">
        <w:t>first element</w:t>
      </w:r>
      <w:r w:rsidR="00EA6DBB" w:rsidRPr="00817B9F">
        <w:t>,</w:t>
      </w:r>
      <w:r w:rsidR="002F6D2C" w:rsidRPr="00817B9F">
        <w:t xml:space="preserve"> </w:t>
      </w:r>
      <w:r w:rsidR="00057742" w:rsidRPr="00817B9F">
        <w:t xml:space="preserve">the DoN </w:t>
      </w:r>
      <w:r w:rsidR="00EE05F7" w:rsidRPr="00817B9F">
        <w:t xml:space="preserve">program </w:t>
      </w:r>
      <w:r w:rsidR="00057742" w:rsidRPr="00817B9F">
        <w:t xml:space="preserve">asked that </w:t>
      </w:r>
      <w:r w:rsidR="00EE05F7" w:rsidRPr="00817B9F">
        <w:t xml:space="preserve">CRA </w:t>
      </w:r>
      <w:r w:rsidR="00057742" w:rsidRPr="00817B9F">
        <w:t xml:space="preserve">address </w:t>
      </w:r>
      <w:r w:rsidR="0092389A" w:rsidRPr="00817B9F">
        <w:t>specific</w:t>
      </w:r>
      <w:r w:rsidR="00057742" w:rsidRPr="00817B9F">
        <w:t xml:space="preserve"> questions</w:t>
      </w:r>
      <w:r w:rsidR="00EE05F7" w:rsidRPr="00817B9F">
        <w:t xml:space="preserve"> in the ICA</w:t>
      </w:r>
      <w:r w:rsidR="00604362" w:rsidRPr="00817B9F">
        <w:t xml:space="preserve">. Among other things, the ICA answers the following questions: </w:t>
      </w:r>
    </w:p>
    <w:p w14:paraId="06D4AAB3" w14:textId="158FBCC2" w:rsidR="00AB32AE" w:rsidRPr="00817B9F" w:rsidRDefault="00AB32AE" w:rsidP="007825E3">
      <w:pPr>
        <w:pStyle w:val="BulletParagraph"/>
        <w:rPr>
          <w:rFonts w:cs="Times New Roman"/>
        </w:rPr>
      </w:pPr>
      <w:r w:rsidRPr="00817B9F">
        <w:rPr>
          <w:rFonts w:cs="Times New Roman"/>
        </w:rPr>
        <w:t>How will each Project change utilization at higher versus lower priced providers, and what will be the subsequent impact on health care price</w:t>
      </w:r>
      <w:r w:rsidR="00630CF6" w:rsidRPr="00817B9F">
        <w:rPr>
          <w:rFonts w:cs="Times New Roman"/>
        </w:rPr>
        <w:t>s</w:t>
      </w:r>
      <w:r w:rsidRPr="00817B9F">
        <w:rPr>
          <w:rFonts w:cs="Times New Roman"/>
        </w:rPr>
        <w:t xml:space="preserve">/spending for commercial and public </w:t>
      </w:r>
      <w:r w:rsidR="001C195F" w:rsidRPr="00817B9F">
        <w:rPr>
          <w:rFonts w:cs="Times New Roman"/>
        </w:rPr>
        <w:t>payor</w:t>
      </w:r>
      <w:r w:rsidRPr="00817B9F">
        <w:rPr>
          <w:rFonts w:cs="Times New Roman"/>
        </w:rPr>
        <w:t xml:space="preserve">s? </w:t>
      </w:r>
    </w:p>
    <w:p w14:paraId="27A55073" w14:textId="46491E8A" w:rsidR="00AB32AE" w:rsidRPr="00817B9F" w:rsidRDefault="00AB32AE" w:rsidP="006B4A44">
      <w:pPr>
        <w:pStyle w:val="BulletParagraph"/>
        <w:rPr>
          <w:rFonts w:cs="Times New Roman"/>
        </w:rPr>
      </w:pPr>
      <w:r w:rsidRPr="00817B9F">
        <w:rPr>
          <w:rFonts w:cs="Times New Roman"/>
        </w:rPr>
        <w:lastRenderedPageBreak/>
        <w:t>How will each Project change price levels for the Applicant’s relevant services, and what will be the subsequent impact on health care price</w:t>
      </w:r>
      <w:r w:rsidR="00630CF6" w:rsidRPr="00817B9F">
        <w:rPr>
          <w:rFonts w:cs="Times New Roman"/>
        </w:rPr>
        <w:t>s</w:t>
      </w:r>
      <w:r w:rsidRPr="00817B9F">
        <w:rPr>
          <w:rFonts w:cs="Times New Roman"/>
        </w:rPr>
        <w:t xml:space="preserve">/spending for commercial and public </w:t>
      </w:r>
      <w:r w:rsidR="001C195F" w:rsidRPr="00817B9F">
        <w:rPr>
          <w:rFonts w:cs="Times New Roman"/>
        </w:rPr>
        <w:t>payor</w:t>
      </w:r>
      <w:r w:rsidRPr="00817B9F">
        <w:rPr>
          <w:rFonts w:cs="Times New Roman"/>
        </w:rPr>
        <w:t>s?</w:t>
      </w:r>
    </w:p>
    <w:p w14:paraId="62C9F828" w14:textId="7E257995" w:rsidR="00EE05F7" w:rsidRPr="00817B9F" w:rsidRDefault="00AB32AE" w:rsidP="006B4A44">
      <w:pPr>
        <w:pStyle w:val="BulletParagraph"/>
        <w:rPr>
          <w:rFonts w:cs="Times New Roman"/>
        </w:rPr>
      </w:pPr>
      <w:r w:rsidRPr="00817B9F">
        <w:rPr>
          <w:rFonts w:cs="Times New Roman"/>
        </w:rPr>
        <w:t>How will each Project impact the Applicant’s relevant market share for services and its negotiating leverage, and what will be the subsequent impact on health care price</w:t>
      </w:r>
      <w:r w:rsidR="00630CF6" w:rsidRPr="00817B9F">
        <w:rPr>
          <w:rFonts w:cs="Times New Roman"/>
        </w:rPr>
        <w:t>s</w:t>
      </w:r>
      <w:r w:rsidRPr="00817B9F">
        <w:rPr>
          <w:rFonts w:cs="Times New Roman"/>
        </w:rPr>
        <w:t xml:space="preserve">/spending for commercial and public </w:t>
      </w:r>
      <w:r w:rsidR="001C195F" w:rsidRPr="00817B9F">
        <w:rPr>
          <w:rFonts w:cs="Times New Roman"/>
        </w:rPr>
        <w:t>payor</w:t>
      </w:r>
      <w:r w:rsidRPr="00817B9F">
        <w:rPr>
          <w:rFonts w:cs="Times New Roman"/>
        </w:rPr>
        <w:t>s?</w:t>
      </w:r>
    </w:p>
    <w:p w14:paraId="4C708A94" w14:textId="5F2E7560" w:rsidR="00B50E46" w:rsidRPr="00817B9F" w:rsidRDefault="00B50E46" w:rsidP="00B50E46">
      <w:pPr>
        <w:pStyle w:val="NumberedParagraphs"/>
        <w:numPr>
          <w:ilvl w:val="0"/>
          <w:numId w:val="0"/>
        </w:numPr>
      </w:pPr>
      <w:r w:rsidRPr="00817B9F">
        <w:t xml:space="preserve">In addition to setting forth these general issues and questions, </w:t>
      </w:r>
      <w:r w:rsidR="00EE05F7" w:rsidRPr="00817B9F">
        <w:t>the D</w:t>
      </w:r>
      <w:r w:rsidR="00AB32AE" w:rsidRPr="00817B9F">
        <w:t xml:space="preserve">oN </w:t>
      </w:r>
      <w:r w:rsidR="0062569E" w:rsidRPr="00817B9F">
        <w:t xml:space="preserve">program </w:t>
      </w:r>
      <w:r w:rsidR="00EA6DBB" w:rsidRPr="00817B9F">
        <w:t xml:space="preserve">set forth specific areas of inquiry </w:t>
      </w:r>
      <w:r w:rsidR="00637DC9" w:rsidRPr="00817B9F">
        <w:t xml:space="preserve">related to prices and competition </w:t>
      </w:r>
      <w:r w:rsidR="00EA6DBB" w:rsidRPr="00817B9F">
        <w:t xml:space="preserve">for </w:t>
      </w:r>
      <w:r w:rsidR="009C55E5" w:rsidRPr="00817B9F">
        <w:t>the proposed project</w:t>
      </w:r>
      <w:r w:rsidR="00EA6DBB" w:rsidRPr="00817B9F">
        <w:t xml:space="preserve"> that inform the more general questions described above.</w:t>
      </w:r>
    </w:p>
    <w:p w14:paraId="039F7554" w14:textId="5C278040" w:rsidR="00057742" w:rsidRPr="00817B9F" w:rsidRDefault="00057742" w:rsidP="00250C41">
      <w:pPr>
        <w:pStyle w:val="NumberedParagraphs"/>
      </w:pPr>
      <w:r w:rsidRPr="00817B9F">
        <w:t>Regarding t</w:t>
      </w:r>
      <w:r w:rsidR="00B50E46" w:rsidRPr="00817B9F">
        <w:t>he second</w:t>
      </w:r>
      <w:r w:rsidR="00EA6DBB" w:rsidRPr="00817B9F">
        <w:t xml:space="preserve"> ele</w:t>
      </w:r>
      <w:r w:rsidR="0017541C" w:rsidRPr="00817B9F">
        <w:t xml:space="preserve">ment, the DoN program </w:t>
      </w:r>
      <w:r w:rsidR="00BE4363" w:rsidRPr="00817B9F">
        <w:t xml:space="preserve">also </w:t>
      </w:r>
      <w:r w:rsidR="0017541C" w:rsidRPr="00817B9F">
        <w:t xml:space="preserve">asked that CRA address </w:t>
      </w:r>
      <w:r w:rsidR="00BE4363" w:rsidRPr="00817B9F">
        <w:t xml:space="preserve">specific </w:t>
      </w:r>
      <w:r w:rsidR="0017541C" w:rsidRPr="00817B9F">
        <w:t>questions in the ICA</w:t>
      </w:r>
      <w:r w:rsidR="00BE4363" w:rsidRPr="00817B9F">
        <w:t>. Among other things, the</w:t>
      </w:r>
      <w:r w:rsidR="00637DC9" w:rsidRPr="00817B9F">
        <w:t xml:space="preserve"> </w:t>
      </w:r>
      <w:r w:rsidR="00BE4363" w:rsidRPr="00817B9F">
        <w:t>ICA</w:t>
      </w:r>
      <w:r w:rsidR="00153305" w:rsidRPr="00817B9F">
        <w:t xml:space="preserve"> should</w:t>
      </w:r>
      <w:r w:rsidR="00BE4363" w:rsidRPr="00817B9F">
        <w:t xml:space="preserve">: </w:t>
      </w:r>
    </w:p>
    <w:p w14:paraId="69614BBC" w14:textId="07D39563" w:rsidR="006866DD" w:rsidRPr="00817B9F" w:rsidRDefault="008A1AEF" w:rsidP="006B4A44">
      <w:pPr>
        <w:pStyle w:val="BulletParagraph"/>
        <w:rPr>
          <w:rFonts w:cs="Times New Roman"/>
        </w:rPr>
      </w:pPr>
      <w:r w:rsidRPr="00817B9F">
        <w:rPr>
          <w:rFonts w:cs="Times New Roman"/>
        </w:rPr>
        <w:t>E</w:t>
      </w:r>
      <w:r w:rsidR="00E6696E" w:rsidRPr="00817B9F">
        <w:rPr>
          <w:rFonts w:cs="Times New Roman"/>
        </w:rPr>
        <w:t xml:space="preserve">valuate the Applicant’s calculation </w:t>
      </w:r>
      <w:r w:rsidRPr="00817B9F">
        <w:rPr>
          <w:rFonts w:cs="Times New Roman"/>
        </w:rPr>
        <w:t>of need for the proposed project</w:t>
      </w:r>
      <w:r w:rsidR="000C745B" w:rsidRPr="00817B9F">
        <w:rPr>
          <w:rFonts w:cs="Times New Roman"/>
        </w:rPr>
        <w:t xml:space="preserve">. The ICA </w:t>
      </w:r>
      <w:r w:rsidR="00EE1727" w:rsidRPr="00817B9F">
        <w:rPr>
          <w:rFonts w:cs="Times New Roman"/>
        </w:rPr>
        <w:t xml:space="preserve">should </w:t>
      </w:r>
      <w:r w:rsidR="000C745B" w:rsidRPr="00817B9F">
        <w:rPr>
          <w:rFonts w:cs="Times New Roman"/>
        </w:rPr>
        <w:t xml:space="preserve">document </w:t>
      </w:r>
      <w:r w:rsidR="00E6696E" w:rsidRPr="00817B9F">
        <w:rPr>
          <w:rFonts w:cs="Times New Roman"/>
        </w:rPr>
        <w:t>current service availability in the project region</w:t>
      </w:r>
      <w:r w:rsidR="009A6564" w:rsidRPr="00817B9F">
        <w:rPr>
          <w:rFonts w:cs="Times New Roman"/>
        </w:rPr>
        <w:t>, the c</w:t>
      </w:r>
      <w:r w:rsidR="00E6696E" w:rsidRPr="00817B9F">
        <w:rPr>
          <w:rFonts w:cs="Times New Roman"/>
        </w:rPr>
        <w:t xml:space="preserve">urrent </w:t>
      </w:r>
      <w:r w:rsidR="008539F4" w:rsidRPr="00817B9F">
        <w:rPr>
          <w:rFonts w:cs="Times New Roman"/>
        </w:rPr>
        <w:t>population</w:t>
      </w:r>
      <w:r w:rsidR="009A6564" w:rsidRPr="00817B9F">
        <w:rPr>
          <w:rFonts w:cs="Times New Roman"/>
        </w:rPr>
        <w:t xml:space="preserve"> and </w:t>
      </w:r>
      <w:r w:rsidR="00E6696E" w:rsidRPr="00817B9F">
        <w:rPr>
          <w:rFonts w:cs="Times New Roman"/>
        </w:rPr>
        <w:t xml:space="preserve">demographics </w:t>
      </w:r>
      <w:r w:rsidR="00FB5762" w:rsidRPr="00817B9F">
        <w:rPr>
          <w:rFonts w:cs="Times New Roman"/>
        </w:rPr>
        <w:t>of</w:t>
      </w:r>
      <w:r w:rsidR="00E6696E" w:rsidRPr="00817B9F">
        <w:rPr>
          <w:rFonts w:cs="Times New Roman"/>
        </w:rPr>
        <w:t xml:space="preserve"> the </w:t>
      </w:r>
      <w:r w:rsidR="009A6564" w:rsidRPr="00817B9F">
        <w:rPr>
          <w:rFonts w:cs="Times New Roman"/>
        </w:rPr>
        <w:t>region, and e</w:t>
      </w:r>
      <w:r w:rsidR="00E6696E" w:rsidRPr="00817B9F">
        <w:rPr>
          <w:rFonts w:cs="Times New Roman"/>
        </w:rPr>
        <w:t>xpected changes in the populatio</w:t>
      </w:r>
      <w:r w:rsidR="009A6564" w:rsidRPr="00817B9F">
        <w:rPr>
          <w:rFonts w:cs="Times New Roman"/>
        </w:rPr>
        <w:t>n and demographics</w:t>
      </w:r>
      <w:r w:rsidR="00FB5762" w:rsidRPr="00817B9F">
        <w:rPr>
          <w:rFonts w:cs="Times New Roman"/>
        </w:rPr>
        <w:t xml:space="preserve"> of the region. </w:t>
      </w:r>
      <w:r w:rsidR="000C745B" w:rsidRPr="00817B9F">
        <w:rPr>
          <w:rFonts w:cs="Times New Roman"/>
        </w:rPr>
        <w:t xml:space="preserve">The ICA </w:t>
      </w:r>
      <w:r w:rsidR="00EE1727" w:rsidRPr="00817B9F">
        <w:rPr>
          <w:rFonts w:cs="Times New Roman"/>
        </w:rPr>
        <w:t xml:space="preserve">should </w:t>
      </w:r>
      <w:r w:rsidR="000C745B" w:rsidRPr="00817B9F">
        <w:rPr>
          <w:rFonts w:cs="Times New Roman"/>
        </w:rPr>
        <w:t>also a</w:t>
      </w:r>
      <w:r w:rsidR="00F67628" w:rsidRPr="00817B9F">
        <w:rPr>
          <w:rFonts w:cs="Times New Roman"/>
        </w:rPr>
        <w:t xml:space="preserve">nalyze </w:t>
      </w:r>
      <w:r w:rsidR="00E6696E" w:rsidRPr="00817B9F">
        <w:rPr>
          <w:rFonts w:cs="Times New Roman"/>
        </w:rPr>
        <w:t>current and potential utilization of the services and shifts from existing providers</w:t>
      </w:r>
      <w:r w:rsidR="00F67628" w:rsidRPr="00817B9F">
        <w:rPr>
          <w:rFonts w:cs="Times New Roman"/>
        </w:rPr>
        <w:t xml:space="preserve"> </w:t>
      </w:r>
      <w:r w:rsidR="00E6696E" w:rsidRPr="00817B9F">
        <w:rPr>
          <w:rFonts w:cs="Times New Roman"/>
        </w:rPr>
        <w:t xml:space="preserve">and subsequent cost impacts, </w:t>
      </w:r>
      <w:r w:rsidR="00C05A88" w:rsidRPr="00817B9F">
        <w:rPr>
          <w:rFonts w:cs="Times New Roman"/>
        </w:rPr>
        <w:t>including assessing MGB’s and competitors’</w:t>
      </w:r>
      <w:r w:rsidR="00F41587" w:rsidRPr="00817B9F">
        <w:rPr>
          <w:rFonts w:cs="Times New Roman"/>
        </w:rPr>
        <w:t xml:space="preserve"> p</w:t>
      </w:r>
      <w:r w:rsidR="00E6696E" w:rsidRPr="00817B9F">
        <w:rPr>
          <w:rFonts w:cs="Times New Roman"/>
        </w:rPr>
        <w:t xml:space="preserve">atient </w:t>
      </w:r>
      <w:r w:rsidR="00F41587" w:rsidRPr="00817B9F">
        <w:rPr>
          <w:rFonts w:cs="Times New Roman"/>
        </w:rPr>
        <w:t>p</w:t>
      </w:r>
      <w:r w:rsidR="00E6696E" w:rsidRPr="00817B9F">
        <w:rPr>
          <w:rFonts w:cs="Times New Roman"/>
        </w:rPr>
        <w:t>rofile</w:t>
      </w:r>
      <w:r w:rsidR="00C05A88" w:rsidRPr="00817B9F">
        <w:rPr>
          <w:rFonts w:cs="Times New Roman"/>
        </w:rPr>
        <w:t>s</w:t>
      </w:r>
      <w:r w:rsidR="00E6696E" w:rsidRPr="00817B9F">
        <w:rPr>
          <w:rFonts w:cs="Times New Roman"/>
        </w:rPr>
        <w:t xml:space="preserve"> </w:t>
      </w:r>
      <w:r w:rsidR="00F41587" w:rsidRPr="00817B9F">
        <w:rPr>
          <w:rFonts w:cs="Times New Roman"/>
        </w:rPr>
        <w:t>(</w:t>
      </w:r>
      <w:r w:rsidR="00F41587" w:rsidRPr="00817B9F">
        <w:rPr>
          <w:rFonts w:cs="Times New Roman"/>
          <w:i/>
          <w:iCs/>
        </w:rPr>
        <w:t>e.g.</w:t>
      </w:r>
      <w:r w:rsidR="00F41587" w:rsidRPr="00817B9F">
        <w:rPr>
          <w:rFonts w:cs="Times New Roman"/>
        </w:rPr>
        <w:t xml:space="preserve">, demographics, </w:t>
      </w:r>
      <w:r w:rsidR="000004D7" w:rsidRPr="00817B9F">
        <w:rPr>
          <w:rFonts w:cs="Times New Roman"/>
        </w:rPr>
        <w:t>insurance coverage,</w:t>
      </w:r>
      <w:r w:rsidR="006866DD" w:rsidRPr="00817B9F">
        <w:rPr>
          <w:rFonts w:cs="Times New Roman"/>
        </w:rPr>
        <w:t xml:space="preserve"> and acuity levels). </w:t>
      </w:r>
    </w:p>
    <w:p w14:paraId="65FD165F" w14:textId="5B16A8B7" w:rsidR="00E6696E" w:rsidRPr="00817B9F" w:rsidRDefault="00E6696E" w:rsidP="006B4A44">
      <w:pPr>
        <w:pStyle w:val="BulletParagraph"/>
        <w:rPr>
          <w:rFonts w:cs="Times New Roman"/>
        </w:rPr>
      </w:pPr>
      <w:r w:rsidRPr="00817B9F">
        <w:rPr>
          <w:rFonts w:cs="Times New Roman"/>
        </w:rPr>
        <w:t xml:space="preserve">Evaluate potential shifts in utilization of services by </w:t>
      </w:r>
      <w:r w:rsidR="000C745B" w:rsidRPr="00817B9F">
        <w:rPr>
          <w:rFonts w:cs="Times New Roman"/>
        </w:rPr>
        <w:t>patients</w:t>
      </w:r>
      <w:r w:rsidRPr="00817B9F">
        <w:rPr>
          <w:rFonts w:cs="Times New Roman"/>
        </w:rPr>
        <w:t xml:space="preserve">, including </w:t>
      </w:r>
      <w:r w:rsidR="00DD0CBF" w:rsidRPr="00817B9F">
        <w:rPr>
          <w:rFonts w:cs="Times New Roman"/>
        </w:rPr>
        <w:t xml:space="preserve">assessing </w:t>
      </w:r>
      <w:r w:rsidRPr="00817B9F">
        <w:rPr>
          <w:rFonts w:cs="Times New Roman"/>
        </w:rPr>
        <w:t>changes from lower</w:t>
      </w:r>
      <w:r w:rsidR="00DD0CBF" w:rsidRPr="00817B9F">
        <w:rPr>
          <w:rFonts w:cs="Times New Roman"/>
        </w:rPr>
        <w:t>-</w:t>
      </w:r>
      <w:r w:rsidRPr="00817B9F">
        <w:rPr>
          <w:rFonts w:cs="Times New Roman"/>
        </w:rPr>
        <w:t>cost to higher</w:t>
      </w:r>
      <w:r w:rsidR="00DD0CBF" w:rsidRPr="00817B9F">
        <w:rPr>
          <w:rFonts w:cs="Times New Roman"/>
        </w:rPr>
        <w:t>-</w:t>
      </w:r>
      <w:r w:rsidRPr="00817B9F">
        <w:rPr>
          <w:rFonts w:cs="Times New Roman"/>
        </w:rPr>
        <w:t>cost services</w:t>
      </w:r>
      <w:r w:rsidR="00DD0CBF" w:rsidRPr="00817B9F">
        <w:rPr>
          <w:rFonts w:cs="Times New Roman"/>
        </w:rPr>
        <w:t xml:space="preserve"> or health care providers. </w:t>
      </w:r>
    </w:p>
    <w:p w14:paraId="0AE30F49" w14:textId="2A48244C" w:rsidR="003F6293" w:rsidRPr="00817B9F" w:rsidRDefault="00765A79" w:rsidP="006B4A44">
      <w:pPr>
        <w:pStyle w:val="BulletParagraph"/>
        <w:rPr>
          <w:rFonts w:cs="Times New Roman"/>
        </w:rPr>
      </w:pPr>
      <w:r w:rsidRPr="00817B9F">
        <w:rPr>
          <w:rFonts w:cs="Times New Roman"/>
        </w:rPr>
        <w:t>Evaluate access to the project services by MassHealth Accountable Care Organization participants and individuals in subsidized insurance products through the Health Connector Authority (</w:t>
      </w:r>
      <w:r w:rsidRPr="00817B9F">
        <w:rPr>
          <w:rFonts w:cs="Times New Roman"/>
          <w:i/>
          <w:iCs/>
        </w:rPr>
        <w:t>i.e.</w:t>
      </w:r>
      <w:r w:rsidRPr="00817B9F">
        <w:rPr>
          <w:rFonts w:cs="Times New Roman"/>
        </w:rPr>
        <w:t xml:space="preserve">, ConnectorCare </w:t>
      </w:r>
      <w:r w:rsidR="00D55890" w:rsidRPr="00817B9F">
        <w:rPr>
          <w:rFonts w:cs="Times New Roman"/>
        </w:rPr>
        <w:t>health plans</w:t>
      </w:r>
      <w:r w:rsidRPr="00817B9F">
        <w:rPr>
          <w:rFonts w:cs="Times New Roman"/>
        </w:rPr>
        <w:t>).</w:t>
      </w:r>
      <w:r w:rsidR="00AA2CCB" w:rsidRPr="00817B9F">
        <w:rPr>
          <w:rStyle w:val="FootnoteReference"/>
          <w:rFonts w:cs="Times New Roman"/>
        </w:rPr>
        <w:footnoteReference w:id="6"/>
      </w:r>
    </w:p>
    <w:p w14:paraId="54D3BC02" w14:textId="0D71491D" w:rsidR="00D7208B" w:rsidRPr="00817B9F" w:rsidRDefault="00D7208B" w:rsidP="006B4A44">
      <w:pPr>
        <w:pStyle w:val="BulletParagraph"/>
        <w:rPr>
          <w:rFonts w:cs="Times New Roman"/>
        </w:rPr>
      </w:pPr>
      <w:r w:rsidRPr="00817B9F">
        <w:rPr>
          <w:rFonts w:cs="Times New Roman"/>
        </w:rPr>
        <w:lastRenderedPageBreak/>
        <w:t xml:space="preserve">Evaluate the potential for </w:t>
      </w:r>
      <w:r w:rsidR="005234B0" w:rsidRPr="00817B9F">
        <w:rPr>
          <w:rFonts w:cs="Times New Roman"/>
        </w:rPr>
        <w:t xml:space="preserve">the project to lead to “supply-induced demand” for health care service. </w:t>
      </w:r>
    </w:p>
    <w:p w14:paraId="5869D2E6" w14:textId="605ED613" w:rsidR="00E6696E" w:rsidRPr="00817B9F" w:rsidRDefault="00637DC9" w:rsidP="00E6696E">
      <w:pPr>
        <w:pStyle w:val="NumberedParagraphs"/>
        <w:numPr>
          <w:ilvl w:val="0"/>
          <w:numId w:val="0"/>
        </w:numPr>
      </w:pPr>
      <w:r w:rsidRPr="00817B9F">
        <w:t>In addition to setting forth these general issues and questions, the DoN program set forth specific areas of inquiry related to capacity</w:t>
      </w:r>
      <w:r w:rsidR="005633BD" w:rsidRPr="00817B9F">
        <w:t xml:space="preserve"> and </w:t>
      </w:r>
      <w:r w:rsidRPr="00817B9F">
        <w:t>utilization for the project that inform the more general questions described above.</w:t>
      </w:r>
    </w:p>
    <w:p w14:paraId="733D164D" w14:textId="07B33CBE" w:rsidR="0017541C" w:rsidRPr="00817B9F" w:rsidRDefault="00D87CD2" w:rsidP="00250C41">
      <w:pPr>
        <w:pStyle w:val="NumberedParagraphs"/>
      </w:pPr>
      <w:r w:rsidRPr="00817B9F">
        <w:t>The DoN program also asked that the ICA address two overarching questions in addition to the price and competition questions</w:t>
      </w:r>
      <w:r w:rsidR="005633BD" w:rsidRPr="00817B9F">
        <w:t xml:space="preserve"> and</w:t>
      </w:r>
      <w:r w:rsidRPr="00817B9F">
        <w:t xml:space="preserve"> the capacity and utilization questions. The first </w:t>
      </w:r>
      <w:r w:rsidR="00277563" w:rsidRPr="00817B9F">
        <w:t>such</w:t>
      </w:r>
      <w:r w:rsidRPr="00817B9F">
        <w:t xml:space="preserve"> question asks</w:t>
      </w:r>
      <w:r w:rsidR="00202A00" w:rsidRPr="00817B9F">
        <w:t>:</w:t>
      </w:r>
      <w:r w:rsidRPr="00817B9F">
        <w:t xml:space="preserve"> </w:t>
      </w:r>
      <w:r w:rsidR="00202A00" w:rsidRPr="00817B9F">
        <w:t>I</w:t>
      </w:r>
      <w:r w:rsidRPr="00817B9F">
        <w:t xml:space="preserve">f costs increase under the project, who bears the </w:t>
      </w:r>
      <w:r w:rsidR="003501A7" w:rsidRPr="00817B9F">
        <w:t>consequences of that increase in costs</w:t>
      </w:r>
      <w:r w:rsidR="00EF19A5" w:rsidRPr="00817B9F">
        <w:t>:</w:t>
      </w:r>
      <w:r w:rsidR="003501A7" w:rsidRPr="00817B9F">
        <w:t xml:space="preserve"> third-party payors, patients, or health plan sponsors (</w:t>
      </w:r>
      <w:r w:rsidR="003501A7" w:rsidRPr="00817B9F">
        <w:rPr>
          <w:i/>
        </w:rPr>
        <w:t>e.g.</w:t>
      </w:r>
      <w:r w:rsidR="003501A7" w:rsidRPr="00817B9F">
        <w:t xml:space="preserve">, employers)? </w:t>
      </w:r>
      <w:r w:rsidR="005B7453" w:rsidRPr="00817B9F">
        <w:t>The second such question</w:t>
      </w:r>
      <w:r w:rsidR="000D1328" w:rsidRPr="00817B9F">
        <w:t xml:space="preserve"> parallels the first</w:t>
      </w:r>
      <w:r w:rsidR="00EF19A5" w:rsidRPr="00817B9F">
        <w:t>: If savings are realized under the pro</w:t>
      </w:r>
      <w:r w:rsidR="00362535" w:rsidRPr="00817B9F">
        <w:t>ject, who benefits from those savings?</w:t>
      </w:r>
      <w:r w:rsidR="004E6E2E" w:rsidRPr="00817B9F">
        <w:t xml:space="preserve"> Before turning to</w:t>
      </w:r>
      <w:r w:rsidR="00105FA2" w:rsidRPr="00817B9F">
        <w:t xml:space="preserve"> </w:t>
      </w:r>
      <w:r w:rsidR="004E6E2E" w:rsidRPr="00817B9F">
        <w:t>the</w:t>
      </w:r>
      <w:r w:rsidR="001B2D85" w:rsidRPr="00817B9F">
        <w:t xml:space="preserve"> ICA</w:t>
      </w:r>
      <w:r w:rsidR="004E6E2E" w:rsidRPr="00817B9F">
        <w:t xml:space="preserve"> questions, in the next subsection we briefly summarize the key elements of the proposed project. </w:t>
      </w:r>
      <w:r w:rsidR="004A4945" w:rsidRPr="00817B9F">
        <w:t xml:space="preserve">A more detailed description of </w:t>
      </w:r>
      <w:r w:rsidR="001B2D85" w:rsidRPr="00817B9F">
        <w:t>the proposed</w:t>
      </w:r>
      <w:r w:rsidR="004A4945" w:rsidRPr="00817B9F">
        <w:t xml:space="preserve"> project is contained in the DoN application itself. </w:t>
      </w:r>
    </w:p>
    <w:p w14:paraId="0A8934A8" w14:textId="3912F65F" w:rsidR="004512A3" w:rsidRPr="00817B9F" w:rsidRDefault="004512A3" w:rsidP="00571662">
      <w:pPr>
        <w:pStyle w:val="Heading2"/>
        <w:rPr>
          <w:rFonts w:cs="Times New Roman"/>
        </w:rPr>
      </w:pPr>
      <w:bookmarkStart w:id="5" w:name="_Toc90046488"/>
      <w:r w:rsidRPr="00817B9F">
        <w:rPr>
          <w:rFonts w:cs="Times New Roman"/>
        </w:rPr>
        <w:t>Massachusetts General Hospital</w:t>
      </w:r>
      <w:r w:rsidR="003917DD" w:rsidRPr="00817B9F">
        <w:rPr>
          <w:rFonts w:cs="Times New Roman"/>
        </w:rPr>
        <w:t xml:space="preserve"> Project</w:t>
      </w:r>
      <w:bookmarkEnd w:id="5"/>
    </w:p>
    <w:p w14:paraId="11263CC0" w14:textId="646FACAA" w:rsidR="00BE041B" w:rsidRPr="00817B9F" w:rsidRDefault="00D65F50" w:rsidP="00562B0A">
      <w:pPr>
        <w:pStyle w:val="NumberedParagraphs"/>
      </w:pPr>
      <w:r w:rsidRPr="00817B9F">
        <w:t xml:space="preserve">In its </w:t>
      </w:r>
      <w:r w:rsidR="000A046B" w:rsidRPr="00817B9F">
        <w:t>D</w:t>
      </w:r>
      <w:r w:rsidR="004A4945" w:rsidRPr="00817B9F">
        <w:t>o</w:t>
      </w:r>
      <w:r w:rsidR="000A046B" w:rsidRPr="00817B9F">
        <w:t xml:space="preserve">N application for </w:t>
      </w:r>
      <w:r w:rsidR="000C5324" w:rsidRPr="00817B9F">
        <w:t>MGH</w:t>
      </w:r>
      <w:r w:rsidRPr="00817B9F">
        <w:t>, MGB</w:t>
      </w:r>
      <w:r w:rsidR="004B7D08" w:rsidRPr="00817B9F">
        <w:t xml:space="preserve"> propose</w:t>
      </w:r>
      <w:r w:rsidR="00064147" w:rsidRPr="00817B9F">
        <w:t>s</w:t>
      </w:r>
      <w:r w:rsidR="004B7D08" w:rsidRPr="00817B9F">
        <w:t xml:space="preserve"> construction of a new </w:t>
      </w:r>
      <w:r w:rsidR="00686C45" w:rsidRPr="00817B9F">
        <w:t>tower</w:t>
      </w:r>
      <w:r w:rsidR="004B7D08" w:rsidRPr="00817B9F">
        <w:t xml:space="preserve"> on MGH’s </w:t>
      </w:r>
      <w:r w:rsidR="00D97369" w:rsidRPr="00817B9F">
        <w:t>main</w:t>
      </w:r>
      <w:r w:rsidR="004B7D08" w:rsidRPr="00817B9F">
        <w:t xml:space="preserve"> campus.</w:t>
      </w:r>
      <w:r w:rsidR="00531DDA" w:rsidRPr="00817B9F">
        <w:rPr>
          <w:rStyle w:val="FootnoteReference"/>
        </w:rPr>
        <w:footnoteReference w:id="7"/>
      </w:r>
      <w:r w:rsidR="004B7D08" w:rsidRPr="00817B9F">
        <w:t xml:space="preserve"> </w:t>
      </w:r>
      <w:r w:rsidR="00A34C13" w:rsidRPr="00817B9F">
        <w:t xml:space="preserve">The </w:t>
      </w:r>
      <w:r w:rsidR="00686C45" w:rsidRPr="00817B9F">
        <w:t>tower</w:t>
      </w:r>
      <w:r w:rsidR="00A34C13" w:rsidRPr="00817B9F">
        <w:t xml:space="preserve"> would include </w:t>
      </w:r>
      <w:r w:rsidR="007F03AE" w:rsidRPr="00817B9F">
        <w:t>418</w:t>
      </w:r>
      <w:r w:rsidR="00355E13" w:rsidRPr="00817B9F">
        <w:t xml:space="preserve"> private </w:t>
      </w:r>
      <w:r w:rsidR="00A34C13" w:rsidRPr="00817B9F">
        <w:t xml:space="preserve">medical/surgical </w:t>
      </w:r>
      <w:r w:rsidR="00520E02" w:rsidRPr="00817B9F">
        <w:t xml:space="preserve">beds </w:t>
      </w:r>
      <w:r w:rsidR="00A34C13" w:rsidRPr="00817B9F">
        <w:t xml:space="preserve">and </w:t>
      </w:r>
      <w:r w:rsidR="00520E02" w:rsidRPr="00817B9F">
        <w:t xml:space="preserve">64 </w:t>
      </w:r>
      <w:r w:rsidR="009A7AA7" w:rsidRPr="00817B9F">
        <w:t>ICU</w:t>
      </w:r>
      <w:r w:rsidR="00A34C13" w:rsidRPr="00817B9F">
        <w:t xml:space="preserve"> beds</w:t>
      </w:r>
      <w:r w:rsidR="00F6607A" w:rsidRPr="00817B9F">
        <w:t>,</w:t>
      </w:r>
      <w:r w:rsidR="00355E13" w:rsidRPr="00817B9F">
        <w:t xml:space="preserve"> with the corresponding closure of 388 existing semi-private beds </w:t>
      </w:r>
      <w:r w:rsidR="001F7DB6" w:rsidRPr="00817B9F">
        <w:t xml:space="preserve">in other buildings on MGH’s </w:t>
      </w:r>
      <w:r w:rsidR="00D97369" w:rsidRPr="00817B9F">
        <w:t xml:space="preserve">main </w:t>
      </w:r>
      <w:r w:rsidR="001F7DB6" w:rsidRPr="00817B9F">
        <w:t>campus</w:t>
      </w:r>
      <w:r w:rsidR="00F31476" w:rsidRPr="00817B9F">
        <w:t>.</w:t>
      </w:r>
      <w:r w:rsidR="00096584" w:rsidRPr="00817B9F">
        <w:rPr>
          <w:rStyle w:val="FootnoteReference"/>
        </w:rPr>
        <w:footnoteReference w:id="8"/>
      </w:r>
      <w:r w:rsidR="001F7DB6" w:rsidRPr="00817B9F">
        <w:t xml:space="preserve"> </w:t>
      </w:r>
      <w:r w:rsidR="00F872AC" w:rsidRPr="00817B9F">
        <w:t>The increase of 94</w:t>
      </w:r>
      <w:r w:rsidR="00F6607A" w:rsidRPr="00817B9F">
        <w:t xml:space="preserve"> licensed</w:t>
      </w:r>
      <w:r w:rsidR="00F872AC" w:rsidRPr="00817B9F">
        <w:t xml:space="preserve"> beds </w:t>
      </w:r>
      <w:r w:rsidR="00F66DB8" w:rsidRPr="00817B9F">
        <w:t>(from 388 to 482) would be comprised of 54 medical/surgical beds and 40 ICU beds.</w:t>
      </w:r>
      <w:r w:rsidR="00F31476" w:rsidRPr="00817B9F">
        <w:rPr>
          <w:rStyle w:val="FootnoteReference"/>
        </w:rPr>
        <w:footnoteReference w:id="9"/>
      </w:r>
      <w:r w:rsidR="00F66DB8" w:rsidRPr="00817B9F">
        <w:t xml:space="preserve"> In addition to </w:t>
      </w:r>
      <w:r w:rsidR="00F6607A" w:rsidRPr="00817B9F">
        <w:t>an increase in the</w:t>
      </w:r>
      <w:r w:rsidR="00F66DB8" w:rsidRPr="00817B9F">
        <w:t xml:space="preserve"> number of licensed beds at MGH, the </w:t>
      </w:r>
      <w:r w:rsidRPr="00817B9F">
        <w:t>A</w:t>
      </w:r>
      <w:r w:rsidR="00F66DB8" w:rsidRPr="00817B9F">
        <w:t>pplicant also propose</w:t>
      </w:r>
      <w:r w:rsidR="00F96464" w:rsidRPr="00817B9F">
        <w:t>s</w:t>
      </w:r>
      <w:r w:rsidR="00F66DB8" w:rsidRPr="00817B9F">
        <w:t xml:space="preserve"> to </w:t>
      </w:r>
      <w:r w:rsidR="00E41D76" w:rsidRPr="00817B9F">
        <w:t>bring into operation 24</w:t>
      </w:r>
      <w:r w:rsidR="00B464EF" w:rsidRPr="00817B9F">
        <w:t xml:space="preserve"> beds that are currently licensed at MGH but that are not </w:t>
      </w:r>
      <w:r w:rsidR="00103722" w:rsidRPr="00817B9F">
        <w:t>currently available for patient care</w:t>
      </w:r>
      <w:r w:rsidR="00037E36" w:rsidRPr="00817B9F">
        <w:t>.</w:t>
      </w:r>
      <w:r w:rsidR="005776C1" w:rsidRPr="00817B9F">
        <w:rPr>
          <w:rStyle w:val="FootnoteReference"/>
        </w:rPr>
        <w:footnoteReference w:id="10"/>
      </w:r>
      <w:r w:rsidR="00037E36" w:rsidRPr="00817B9F">
        <w:t xml:space="preserve"> </w:t>
      </w:r>
      <w:r w:rsidR="00FA6EE6" w:rsidRPr="00817B9F">
        <w:t xml:space="preserve">While </w:t>
      </w:r>
      <w:r w:rsidR="00686C45" w:rsidRPr="00817B9F">
        <w:t>approval of the D</w:t>
      </w:r>
      <w:r w:rsidR="004A4945" w:rsidRPr="00817B9F">
        <w:t>o</w:t>
      </w:r>
      <w:r w:rsidR="00686C45" w:rsidRPr="00817B9F">
        <w:t xml:space="preserve">N application </w:t>
      </w:r>
      <w:r w:rsidR="00FA6EE6" w:rsidRPr="00817B9F">
        <w:t xml:space="preserve">would increase the number of medical/surgical and ICU beds at MGH, the </w:t>
      </w:r>
      <w:r w:rsidR="00686C45" w:rsidRPr="00817B9F">
        <w:t>application does not propose to</w:t>
      </w:r>
      <w:r w:rsidR="00BF7277" w:rsidRPr="00817B9F">
        <w:t xml:space="preserve"> change</w:t>
      </w:r>
      <w:r w:rsidR="00FA6EE6" w:rsidRPr="00817B9F">
        <w:t xml:space="preserve"> the number of license</w:t>
      </w:r>
      <w:r w:rsidR="00CE5F75" w:rsidRPr="00817B9F">
        <w:t>d</w:t>
      </w:r>
      <w:r w:rsidR="00FA6EE6" w:rsidRPr="00817B9F">
        <w:t xml:space="preserve"> or operational </w:t>
      </w:r>
      <w:r w:rsidR="00CE5F75" w:rsidRPr="00817B9F">
        <w:t xml:space="preserve">beds in the </w:t>
      </w:r>
      <w:r w:rsidR="00FA6EE6" w:rsidRPr="00817B9F">
        <w:t>obstetric</w:t>
      </w:r>
      <w:r w:rsidR="00CE5F75" w:rsidRPr="00817B9F">
        <w:t xml:space="preserve"> unit</w:t>
      </w:r>
      <w:r w:rsidR="00611C23" w:rsidRPr="00817B9F">
        <w:t xml:space="preserve"> (</w:t>
      </w:r>
      <w:r w:rsidR="00BF7277" w:rsidRPr="00817B9F">
        <w:t xml:space="preserve">currently </w:t>
      </w:r>
      <w:r w:rsidR="00611C23" w:rsidRPr="00817B9F">
        <w:t>27 beds)</w:t>
      </w:r>
      <w:r w:rsidR="00FA6EE6" w:rsidRPr="00817B9F">
        <w:t>, pediat</w:t>
      </w:r>
      <w:r w:rsidR="00611C23" w:rsidRPr="00817B9F">
        <w:t>ric</w:t>
      </w:r>
      <w:r w:rsidR="00CE5F75" w:rsidRPr="00817B9F">
        <w:t xml:space="preserve"> unit</w:t>
      </w:r>
      <w:r w:rsidR="00611C23" w:rsidRPr="00817B9F">
        <w:t xml:space="preserve"> (</w:t>
      </w:r>
      <w:r w:rsidR="00BF7277" w:rsidRPr="00817B9F">
        <w:t xml:space="preserve">currently </w:t>
      </w:r>
      <w:r w:rsidR="00611C23" w:rsidRPr="00817B9F">
        <w:t xml:space="preserve">58 beds), neonatal intensive care </w:t>
      </w:r>
      <w:r w:rsidR="00CE5F75" w:rsidRPr="00817B9F">
        <w:t xml:space="preserve">unit </w:t>
      </w:r>
      <w:r w:rsidR="00611C23" w:rsidRPr="00817B9F">
        <w:t>(</w:t>
      </w:r>
      <w:r w:rsidR="00BF7277" w:rsidRPr="00817B9F">
        <w:t xml:space="preserve">currently </w:t>
      </w:r>
      <w:r w:rsidR="00611C23" w:rsidRPr="00817B9F">
        <w:t xml:space="preserve">21 beds), </w:t>
      </w:r>
      <w:r w:rsidR="00CB2B0D" w:rsidRPr="00817B9F">
        <w:t xml:space="preserve">coronary </w:t>
      </w:r>
      <w:r w:rsidR="00CB2B0D" w:rsidRPr="00817B9F">
        <w:lastRenderedPageBreak/>
        <w:t>care unit (</w:t>
      </w:r>
      <w:r w:rsidR="00BF7277" w:rsidRPr="00817B9F">
        <w:t xml:space="preserve">currently </w:t>
      </w:r>
      <w:r w:rsidR="00CB2B0D" w:rsidRPr="00817B9F">
        <w:t>16 beds), burn unit (</w:t>
      </w:r>
      <w:r w:rsidR="00BF7277" w:rsidRPr="00817B9F">
        <w:t xml:space="preserve">currently </w:t>
      </w:r>
      <w:r w:rsidR="000D3E3F" w:rsidRPr="00817B9F">
        <w:t>seven</w:t>
      </w:r>
      <w:r w:rsidR="00CB2B0D" w:rsidRPr="00817B9F">
        <w:t xml:space="preserve"> beds), or psychiatr</w:t>
      </w:r>
      <w:r w:rsidR="00CE5F75" w:rsidRPr="00817B9F">
        <w:t xml:space="preserve">ic unit </w:t>
      </w:r>
      <w:r w:rsidR="00CB2B0D" w:rsidRPr="00817B9F">
        <w:t>(24 beds)</w:t>
      </w:r>
      <w:r w:rsidR="00CE5F75" w:rsidRPr="00817B9F">
        <w:t>.</w:t>
      </w:r>
      <w:r w:rsidR="00013016" w:rsidRPr="00817B9F">
        <w:rPr>
          <w:rStyle w:val="FootnoteReference"/>
        </w:rPr>
        <w:footnoteReference w:id="11"/>
      </w:r>
      <w:r w:rsidR="00CE5F75" w:rsidRPr="00817B9F">
        <w:t xml:space="preserve"> </w:t>
      </w:r>
      <w:r w:rsidR="00501666" w:rsidRPr="00817B9F">
        <w:t>In total, i</w:t>
      </w:r>
      <w:r w:rsidR="00562B0A" w:rsidRPr="00817B9F">
        <w:t xml:space="preserve">f the project </w:t>
      </w:r>
      <w:r w:rsidR="00501666" w:rsidRPr="00817B9F">
        <w:t>were</w:t>
      </w:r>
      <w:r w:rsidR="00562B0A" w:rsidRPr="00817B9F">
        <w:t xml:space="preserve"> approved as submitted, the number of beds available for patient care at MGH’s campus would increase </w:t>
      </w:r>
      <w:r w:rsidR="00B16320" w:rsidRPr="00817B9F">
        <w:t>by 11</w:t>
      </w:r>
      <w:r w:rsidR="00FF5E3E" w:rsidRPr="00817B9F">
        <w:t xml:space="preserve">8 </w:t>
      </w:r>
      <w:r w:rsidR="006D20E9" w:rsidRPr="00817B9F">
        <w:t xml:space="preserve">beds </w:t>
      </w:r>
      <w:r w:rsidR="00FF5E3E" w:rsidRPr="00817B9F">
        <w:t xml:space="preserve">from </w:t>
      </w:r>
      <w:r w:rsidR="00562B0A" w:rsidRPr="00817B9F">
        <w:t>1</w:t>
      </w:r>
      <w:r w:rsidR="009E7BA5" w:rsidRPr="00817B9F">
        <w:t>,</w:t>
      </w:r>
      <w:r w:rsidR="00562B0A" w:rsidRPr="00817B9F">
        <w:t>019 to 1</w:t>
      </w:r>
      <w:r w:rsidR="009E7BA5" w:rsidRPr="00817B9F">
        <w:t>,</w:t>
      </w:r>
      <w:r w:rsidR="00562B0A" w:rsidRPr="00817B9F">
        <w:t>137</w:t>
      </w:r>
      <w:r w:rsidR="006D20E9" w:rsidRPr="00817B9F">
        <w:t xml:space="preserve"> beds</w:t>
      </w:r>
      <w:r w:rsidR="00562B0A" w:rsidRPr="00817B9F">
        <w:t>.</w:t>
      </w:r>
      <w:r w:rsidR="00CA2609" w:rsidRPr="00817B9F">
        <w:rPr>
          <w:rStyle w:val="FootnoteReference"/>
        </w:rPr>
        <w:footnoteReference w:id="12"/>
      </w:r>
    </w:p>
    <w:p w14:paraId="6FB00E2B" w14:textId="5E0E2F9E" w:rsidR="005B1E5E" w:rsidRPr="00817B9F" w:rsidRDefault="00C52DB8" w:rsidP="0047207A">
      <w:pPr>
        <w:pStyle w:val="NumberedParagraphs"/>
      </w:pPr>
      <w:r w:rsidRPr="00817B9F">
        <w:t>The Applicant</w:t>
      </w:r>
      <w:r w:rsidR="00D65F50" w:rsidRPr="00817B9F">
        <w:t xml:space="preserve"> </w:t>
      </w:r>
      <w:r w:rsidR="00A20D2F" w:rsidRPr="00817B9F">
        <w:t xml:space="preserve">proposes to </w:t>
      </w:r>
      <w:r w:rsidR="00A94861" w:rsidRPr="00817B9F">
        <w:t xml:space="preserve">consolidate much of </w:t>
      </w:r>
      <w:r w:rsidRPr="00817B9F">
        <w:t>the</w:t>
      </w:r>
      <w:r w:rsidR="00A94861" w:rsidRPr="00817B9F">
        <w:t xml:space="preserve"> cancer and cardiac care </w:t>
      </w:r>
      <w:r w:rsidR="003B1C7F" w:rsidRPr="00817B9F">
        <w:t xml:space="preserve">provided at MGH </w:t>
      </w:r>
      <w:r w:rsidR="00A94861" w:rsidRPr="00817B9F">
        <w:t xml:space="preserve">at the </w:t>
      </w:r>
      <w:r w:rsidR="00B56600" w:rsidRPr="00817B9F">
        <w:t>new</w:t>
      </w:r>
      <w:r w:rsidR="00686C45" w:rsidRPr="00817B9F">
        <w:t xml:space="preserve"> tower</w:t>
      </w:r>
      <w:r w:rsidR="00EA5032" w:rsidRPr="00817B9F">
        <w:t xml:space="preserve"> on the </w:t>
      </w:r>
      <w:r w:rsidR="003B1C7F" w:rsidRPr="00817B9F">
        <w:t xml:space="preserve">hospital’s </w:t>
      </w:r>
      <w:r w:rsidR="00EA5032" w:rsidRPr="00817B9F">
        <w:t>main campus</w:t>
      </w:r>
      <w:r w:rsidR="008617BC" w:rsidRPr="00817B9F">
        <w:t>.</w:t>
      </w:r>
      <w:r w:rsidR="00DE4A33" w:rsidRPr="00817B9F">
        <w:rPr>
          <w:rStyle w:val="FootnoteReference"/>
        </w:rPr>
        <w:footnoteReference w:id="13"/>
      </w:r>
      <w:r w:rsidR="008617BC" w:rsidRPr="00817B9F">
        <w:t xml:space="preserve"> </w:t>
      </w:r>
      <w:r w:rsidR="00884963" w:rsidRPr="00817B9F">
        <w:t xml:space="preserve">In addition to the </w:t>
      </w:r>
      <w:r w:rsidR="00686C45" w:rsidRPr="00817B9F">
        <w:t xml:space="preserve">aforementioned </w:t>
      </w:r>
      <w:r w:rsidR="00884963" w:rsidRPr="00817B9F">
        <w:t xml:space="preserve">medical/surgical </w:t>
      </w:r>
      <w:r w:rsidR="00D633F0" w:rsidRPr="00817B9F">
        <w:t xml:space="preserve">beds </w:t>
      </w:r>
      <w:r w:rsidR="00884963" w:rsidRPr="00817B9F">
        <w:t xml:space="preserve">and ICU beds, </w:t>
      </w:r>
      <w:r w:rsidR="00296E88" w:rsidRPr="00817B9F">
        <w:t>120 oncology exam rooms and 100 oncology infusion bays</w:t>
      </w:r>
      <w:r w:rsidR="00EA5032" w:rsidRPr="00817B9F">
        <w:t xml:space="preserve"> would be located</w:t>
      </w:r>
      <w:r w:rsidR="00296E88" w:rsidRPr="00817B9F">
        <w:t xml:space="preserve"> in the </w:t>
      </w:r>
      <w:r w:rsidR="00E3658D" w:rsidRPr="00817B9F">
        <w:t>tower</w:t>
      </w:r>
      <w:r w:rsidR="00296E88" w:rsidRPr="00817B9F">
        <w:t>.</w:t>
      </w:r>
      <w:r w:rsidR="004C22C7" w:rsidRPr="00817B9F">
        <w:rPr>
          <w:rStyle w:val="FootnoteReference"/>
        </w:rPr>
        <w:footnoteReference w:id="14"/>
      </w:r>
      <w:r w:rsidR="00296E88" w:rsidRPr="00817B9F">
        <w:t xml:space="preserve"> </w:t>
      </w:r>
      <w:r w:rsidR="00F36FED" w:rsidRPr="00817B9F">
        <w:t xml:space="preserve">This corresponds to a net decrease in the number of oncology exam rooms on the MGH main campus </w:t>
      </w:r>
      <w:r w:rsidR="00310E4B" w:rsidRPr="00817B9F">
        <w:t>from 123 to 120, and a net increase in the number of oncology infusion bays on the MGH main campus from 79 to 100.</w:t>
      </w:r>
      <w:r w:rsidR="00A44067" w:rsidRPr="00817B9F">
        <w:rPr>
          <w:rStyle w:val="FootnoteReference"/>
        </w:rPr>
        <w:footnoteReference w:id="15"/>
      </w:r>
      <w:r w:rsidR="00310E4B" w:rsidRPr="00817B9F">
        <w:t xml:space="preserve"> </w:t>
      </w:r>
      <w:r w:rsidR="00BD505B" w:rsidRPr="00817B9F">
        <w:t xml:space="preserve">For </w:t>
      </w:r>
      <w:r w:rsidR="00D450C7" w:rsidRPr="00817B9F">
        <w:t>cardi</w:t>
      </w:r>
      <w:r w:rsidR="00A52710" w:rsidRPr="00817B9F">
        <w:t>ac</w:t>
      </w:r>
      <w:r w:rsidR="00D450C7" w:rsidRPr="00817B9F">
        <w:t xml:space="preserve"> services, </w:t>
      </w:r>
      <w:r w:rsidR="00F437BA" w:rsidRPr="00817B9F">
        <w:t>MGB</w:t>
      </w:r>
      <w:r w:rsidR="00D450C7" w:rsidRPr="00817B9F">
        <w:t xml:space="preserve"> proposes </w:t>
      </w:r>
      <w:r w:rsidR="00213732" w:rsidRPr="00817B9F">
        <w:t>locating</w:t>
      </w:r>
      <w:r w:rsidR="00D450C7" w:rsidRPr="00817B9F">
        <w:t xml:space="preserve"> </w:t>
      </w:r>
      <w:r w:rsidR="0044004A" w:rsidRPr="00817B9F">
        <w:t>2</w:t>
      </w:r>
      <w:r w:rsidR="00792BF5" w:rsidRPr="00817B9F">
        <w:t>3</w:t>
      </w:r>
      <w:r w:rsidR="0044004A" w:rsidRPr="00817B9F">
        <w:t xml:space="preserve"> cardi</w:t>
      </w:r>
      <w:r w:rsidR="00A52710" w:rsidRPr="00817B9F">
        <w:t>ac</w:t>
      </w:r>
      <w:r w:rsidR="0044004A" w:rsidRPr="00817B9F">
        <w:t xml:space="preserve"> oper</w:t>
      </w:r>
      <w:r w:rsidR="007A2B84" w:rsidRPr="00817B9F">
        <w:t xml:space="preserve">ating rooms </w:t>
      </w:r>
      <w:r w:rsidR="00213732" w:rsidRPr="00817B9F">
        <w:t>in</w:t>
      </w:r>
      <w:r w:rsidR="007A2B84" w:rsidRPr="00817B9F">
        <w:t xml:space="preserve"> the new building; these rooms would be comprised of six conventional </w:t>
      </w:r>
      <w:r w:rsidR="00695A8D" w:rsidRPr="00817B9F">
        <w:t xml:space="preserve">operating rooms dedicated to cardiology (a net increase of one on the MGH main campus) </w:t>
      </w:r>
      <w:r w:rsidR="00EB142B" w:rsidRPr="00817B9F">
        <w:t>and 17 hybrid multipurpose operating rooms dedicated to cardiology (</w:t>
      </w:r>
      <w:r w:rsidR="007119CF" w:rsidRPr="00817B9F">
        <w:t xml:space="preserve">a net increase of 17 </w:t>
      </w:r>
      <w:r w:rsidR="00514C7D" w:rsidRPr="00817B9F">
        <w:t>on the MGH main campus</w:t>
      </w:r>
      <w:r w:rsidR="00EB142B" w:rsidRPr="00817B9F">
        <w:t>).</w:t>
      </w:r>
      <w:r w:rsidR="00222D7F" w:rsidRPr="00817B9F">
        <w:rPr>
          <w:rStyle w:val="FootnoteReference"/>
        </w:rPr>
        <w:footnoteReference w:id="16"/>
      </w:r>
      <w:r w:rsidR="00CD1101" w:rsidRPr="00817B9F">
        <w:t xml:space="preserve"> In addition to the </w:t>
      </w:r>
      <w:r w:rsidR="00464551" w:rsidRPr="00817B9F">
        <w:t>23</w:t>
      </w:r>
      <w:r w:rsidR="00CD1101" w:rsidRPr="00817B9F">
        <w:t xml:space="preserve"> </w:t>
      </w:r>
      <w:r w:rsidR="000311DA" w:rsidRPr="00817B9F">
        <w:t>cardiac operating rooms</w:t>
      </w:r>
      <w:r w:rsidR="002F7F33" w:rsidRPr="00817B9F">
        <w:t xml:space="preserve"> in the tower</w:t>
      </w:r>
      <w:r w:rsidR="00324832" w:rsidRPr="00817B9F">
        <w:t xml:space="preserve"> (a net increase of 1</w:t>
      </w:r>
      <w:r w:rsidR="000D6313" w:rsidRPr="00817B9F">
        <w:t>8</w:t>
      </w:r>
      <w:r w:rsidR="002C44C9" w:rsidRPr="00817B9F">
        <w:t xml:space="preserve"> operating rooms</w:t>
      </w:r>
      <w:r w:rsidR="000D6313" w:rsidRPr="00817B9F">
        <w:t>)</w:t>
      </w:r>
      <w:r w:rsidR="000311DA" w:rsidRPr="00817B9F">
        <w:t xml:space="preserve">, the application proposes </w:t>
      </w:r>
      <w:r w:rsidR="002F7F33" w:rsidRPr="00817B9F">
        <w:t xml:space="preserve">to </w:t>
      </w:r>
      <w:r w:rsidR="0023104F" w:rsidRPr="00817B9F">
        <w:t>include</w:t>
      </w:r>
      <w:r w:rsidR="00671742" w:rsidRPr="00817B9F">
        <w:t xml:space="preserve"> </w:t>
      </w:r>
      <w:r w:rsidR="002F7F33" w:rsidRPr="00817B9F">
        <w:t xml:space="preserve">three </w:t>
      </w:r>
      <w:r w:rsidR="00950A6E" w:rsidRPr="00817B9F">
        <w:t xml:space="preserve">new </w:t>
      </w:r>
      <w:r w:rsidR="002F7F33" w:rsidRPr="00817B9F">
        <w:t>procedure rooms dedicated to cardiology in the tower</w:t>
      </w:r>
      <w:r w:rsidR="00950A6E" w:rsidRPr="00817B9F">
        <w:t>.</w:t>
      </w:r>
      <w:r w:rsidR="0023104F" w:rsidRPr="00817B9F">
        <w:rPr>
          <w:rStyle w:val="FootnoteReference"/>
        </w:rPr>
        <w:footnoteReference w:id="17"/>
      </w:r>
      <w:r w:rsidR="00950A6E" w:rsidRPr="00817B9F">
        <w:t xml:space="preserve"> </w:t>
      </w:r>
    </w:p>
    <w:p w14:paraId="0B92AEE2" w14:textId="31685E3E" w:rsidR="00D12546" w:rsidRPr="00817B9F" w:rsidRDefault="00D633F0" w:rsidP="00880A25">
      <w:pPr>
        <w:pStyle w:val="NumberedParagraphs"/>
      </w:pPr>
      <w:r w:rsidRPr="00817B9F">
        <w:t xml:space="preserve">Lastly, </w:t>
      </w:r>
      <w:r w:rsidR="00A335AD" w:rsidRPr="00817B9F">
        <w:t>MGB proposes to locat</w:t>
      </w:r>
      <w:r w:rsidR="000E526A" w:rsidRPr="00817B9F">
        <w:t>e</w:t>
      </w:r>
      <w:r w:rsidR="00A335AD" w:rsidRPr="00817B9F">
        <w:t xml:space="preserve"> new diagnostic imaging </w:t>
      </w:r>
      <w:r w:rsidR="00EF536F" w:rsidRPr="00817B9F">
        <w:t>equipment</w:t>
      </w:r>
      <w:r w:rsidR="00A335AD" w:rsidRPr="00817B9F">
        <w:t xml:space="preserve"> in the </w:t>
      </w:r>
      <w:r w:rsidR="001F7832" w:rsidRPr="00817B9F">
        <w:t>new tower. Th</w:t>
      </w:r>
      <w:r w:rsidRPr="00817B9F">
        <w:t xml:space="preserve">e proposed </w:t>
      </w:r>
      <w:r w:rsidR="001F7832" w:rsidRPr="00817B9F">
        <w:t xml:space="preserve">imaging equipment includes two new </w:t>
      </w:r>
      <w:r w:rsidR="00D12546" w:rsidRPr="00817B9F">
        <w:t xml:space="preserve">Computed Tomography (“CT”) </w:t>
      </w:r>
      <w:r w:rsidR="00150DC0" w:rsidRPr="00817B9F">
        <w:t>units</w:t>
      </w:r>
      <w:r w:rsidR="00AA1C35" w:rsidRPr="00817B9F">
        <w:t xml:space="preserve"> </w:t>
      </w:r>
      <w:r w:rsidR="009465C6" w:rsidRPr="00817B9F">
        <w:t>(in addition to the</w:t>
      </w:r>
      <w:r w:rsidR="00FF17AC" w:rsidRPr="00817B9F">
        <w:t xml:space="preserve"> 14 units currently on MGH’s main campus), two new </w:t>
      </w:r>
      <w:r w:rsidR="00D12546" w:rsidRPr="00817B9F">
        <w:t>Magnetic Resonance Imaging (</w:t>
      </w:r>
      <w:r w:rsidR="00FF17AC" w:rsidRPr="00817B9F">
        <w:t>“</w:t>
      </w:r>
      <w:r w:rsidR="00D12546" w:rsidRPr="00817B9F">
        <w:t>MRI</w:t>
      </w:r>
      <w:r w:rsidR="00FF17AC" w:rsidRPr="00817B9F">
        <w:t>”</w:t>
      </w:r>
      <w:r w:rsidR="00D12546" w:rsidRPr="00817B9F">
        <w:t>)</w:t>
      </w:r>
      <w:r w:rsidR="00FF17AC" w:rsidRPr="00817B9F">
        <w:t xml:space="preserve"> units (in addition to the </w:t>
      </w:r>
      <w:r w:rsidR="00F6076C" w:rsidRPr="00817B9F">
        <w:t>ten</w:t>
      </w:r>
      <w:r w:rsidR="00306A3A" w:rsidRPr="00817B9F">
        <w:t xml:space="preserve"> units currently on the campus), two new </w:t>
      </w:r>
      <w:r w:rsidR="00D12546" w:rsidRPr="00817B9F">
        <w:t>Positron Emission Tomography/Computed Tomography (</w:t>
      </w:r>
      <w:r w:rsidR="00306A3A" w:rsidRPr="00817B9F">
        <w:t>“</w:t>
      </w:r>
      <w:r w:rsidR="00D12546" w:rsidRPr="00817B9F">
        <w:t>PET/CT</w:t>
      </w:r>
      <w:r w:rsidR="00306A3A" w:rsidRPr="00817B9F">
        <w:t>”</w:t>
      </w:r>
      <w:r w:rsidR="00D12546" w:rsidRPr="00817B9F">
        <w:t>)</w:t>
      </w:r>
      <w:r w:rsidR="00306A3A" w:rsidRPr="00817B9F">
        <w:t xml:space="preserve"> units (in addition to the three units currently on </w:t>
      </w:r>
      <w:r w:rsidR="00306A3A" w:rsidRPr="00817B9F">
        <w:lastRenderedPageBreak/>
        <w:t xml:space="preserve">the campus), and one </w:t>
      </w:r>
      <w:r w:rsidR="00D02291" w:rsidRPr="00817B9F">
        <w:t xml:space="preserve">new </w:t>
      </w:r>
      <w:r w:rsidR="00D12546" w:rsidRPr="00817B9F">
        <w:t>Positron Emission Tomography/Magnetic Resonance (</w:t>
      </w:r>
      <w:r w:rsidR="004B0D8B" w:rsidRPr="00817B9F">
        <w:t>“</w:t>
      </w:r>
      <w:r w:rsidR="00D12546" w:rsidRPr="00817B9F">
        <w:t>PET/MR</w:t>
      </w:r>
      <w:r w:rsidR="004B0D8B" w:rsidRPr="00817B9F">
        <w:t>”</w:t>
      </w:r>
      <w:r w:rsidR="00D12546" w:rsidRPr="00817B9F">
        <w:t>)</w:t>
      </w:r>
      <w:r w:rsidR="004B0D8B" w:rsidRPr="00817B9F">
        <w:t xml:space="preserve"> unit</w:t>
      </w:r>
      <w:r w:rsidR="00A3194D" w:rsidRPr="00817B9F">
        <w:t xml:space="preserve"> (in addition to the one non-operational unit currently on the campus).</w:t>
      </w:r>
      <w:r w:rsidR="008B5CCC" w:rsidRPr="00817B9F">
        <w:rPr>
          <w:rStyle w:val="FootnoteReference"/>
        </w:rPr>
        <w:footnoteReference w:id="18"/>
      </w:r>
      <w:r w:rsidR="00A3194D" w:rsidRPr="00817B9F">
        <w:t xml:space="preserve"> </w:t>
      </w:r>
    </w:p>
    <w:p w14:paraId="53B8C5B8" w14:textId="20DD1975" w:rsidR="00362C21" w:rsidRPr="00817B9F" w:rsidRDefault="006D3B69" w:rsidP="0027011C">
      <w:pPr>
        <w:pStyle w:val="NumberedParagraphs"/>
      </w:pPr>
      <w:r w:rsidRPr="00817B9F">
        <w:t xml:space="preserve">While </w:t>
      </w:r>
      <w:r w:rsidR="00F7619F" w:rsidRPr="00817B9F">
        <w:t>we</w:t>
      </w:r>
      <w:r w:rsidRPr="00817B9F">
        <w:t xml:space="preserve"> do not discuss them in detail in this </w:t>
      </w:r>
      <w:r w:rsidR="00F847CE" w:rsidRPr="00817B9F">
        <w:t>ICA</w:t>
      </w:r>
      <w:r w:rsidRPr="00817B9F">
        <w:t>,</w:t>
      </w:r>
      <w:r w:rsidR="00EF536F" w:rsidRPr="00817B9F">
        <w:t xml:space="preserve"> </w:t>
      </w:r>
      <w:r w:rsidR="006713C1" w:rsidRPr="00817B9F">
        <w:t>the D</w:t>
      </w:r>
      <w:r w:rsidR="004A4945" w:rsidRPr="00817B9F">
        <w:t>o</w:t>
      </w:r>
      <w:r w:rsidR="006713C1" w:rsidRPr="00817B9F">
        <w:t xml:space="preserve">N application includes </w:t>
      </w:r>
      <w:r w:rsidR="00AB56BE" w:rsidRPr="00817B9F">
        <w:t xml:space="preserve">several </w:t>
      </w:r>
      <w:r w:rsidR="00845A89" w:rsidRPr="00817B9F">
        <w:t>small</w:t>
      </w:r>
      <w:r w:rsidR="0056097E" w:rsidRPr="00817B9F">
        <w:t>er</w:t>
      </w:r>
      <w:r w:rsidR="00845A89" w:rsidRPr="00817B9F">
        <w:t xml:space="preserve"> renovation projects on </w:t>
      </w:r>
      <w:r w:rsidR="00AE4470" w:rsidRPr="00817B9F">
        <w:t xml:space="preserve">MGH’s </w:t>
      </w:r>
      <w:r w:rsidR="000B7C1A" w:rsidRPr="00817B9F">
        <w:t>main campus and at its satellite locations.</w:t>
      </w:r>
      <w:r w:rsidR="00760980" w:rsidRPr="00817B9F">
        <w:rPr>
          <w:rStyle w:val="FootnoteReference"/>
        </w:rPr>
        <w:footnoteReference w:id="19"/>
      </w:r>
    </w:p>
    <w:p w14:paraId="754207E6" w14:textId="18BDE1E5" w:rsidR="001D5FF2" w:rsidRPr="00817B9F" w:rsidRDefault="00F022A5" w:rsidP="001D5FF2">
      <w:pPr>
        <w:pStyle w:val="Heading1"/>
      </w:pPr>
      <w:bookmarkStart w:id="6" w:name="_Ref88655817"/>
      <w:bookmarkStart w:id="7" w:name="_Toc90046489"/>
      <w:r w:rsidRPr="00817B9F">
        <w:t>Data Sources, Service Line Definitions, and Prices for Health Care Services</w:t>
      </w:r>
      <w:bookmarkEnd w:id="6"/>
      <w:bookmarkEnd w:id="7"/>
      <w:r w:rsidRPr="00817B9F">
        <w:t xml:space="preserve"> </w:t>
      </w:r>
    </w:p>
    <w:p w14:paraId="547687E3" w14:textId="0FB22B58" w:rsidR="00F022A5" w:rsidRPr="00817B9F" w:rsidRDefault="00F022A5" w:rsidP="00F022A5">
      <w:pPr>
        <w:pStyle w:val="NumberedParagraphs"/>
      </w:pPr>
      <w:r w:rsidRPr="00817B9F">
        <w:t>In this section we discuss the data sources, service line definitions, and information o</w:t>
      </w:r>
      <w:r w:rsidR="00024BA8" w:rsidRPr="00817B9F">
        <w:t>n</w:t>
      </w:r>
      <w:r w:rsidRPr="00817B9F">
        <w:t xml:space="preserve"> prices for health care services that we use throughout this report </w:t>
      </w:r>
      <w:r w:rsidR="001B6A1C" w:rsidRPr="00817B9F">
        <w:t>to respond to</w:t>
      </w:r>
      <w:r w:rsidRPr="00817B9F">
        <w:t xml:space="preserve"> </w:t>
      </w:r>
      <w:r w:rsidR="001B6A1C" w:rsidRPr="00817B9F">
        <w:t xml:space="preserve">the ICA questions posed by the DoN program. </w:t>
      </w:r>
    </w:p>
    <w:p w14:paraId="6BB95877" w14:textId="3CA54D1D" w:rsidR="004512A3" w:rsidRPr="00817B9F" w:rsidRDefault="00B67055" w:rsidP="00153E41">
      <w:pPr>
        <w:pStyle w:val="Heading2"/>
        <w:numPr>
          <w:ilvl w:val="0"/>
          <w:numId w:val="11"/>
        </w:numPr>
        <w:rPr>
          <w:rFonts w:cs="Times New Roman"/>
        </w:rPr>
      </w:pPr>
      <w:bookmarkStart w:id="8" w:name="_Ref88594712"/>
      <w:bookmarkStart w:id="9" w:name="_Toc90046490"/>
      <w:r w:rsidRPr="00817B9F">
        <w:rPr>
          <w:rFonts w:cs="Times New Roman"/>
        </w:rPr>
        <w:t xml:space="preserve">Data Sources Used </w:t>
      </w:r>
      <w:r w:rsidR="00247A28" w:rsidRPr="00817B9F">
        <w:rPr>
          <w:rFonts w:cs="Times New Roman"/>
        </w:rPr>
        <w:t>for</w:t>
      </w:r>
      <w:r w:rsidRPr="00817B9F">
        <w:rPr>
          <w:rFonts w:cs="Times New Roman"/>
        </w:rPr>
        <w:t xml:space="preserve"> A</w:t>
      </w:r>
      <w:r w:rsidR="00F85480" w:rsidRPr="00817B9F">
        <w:rPr>
          <w:rFonts w:cs="Times New Roman"/>
        </w:rPr>
        <w:t>n</w:t>
      </w:r>
      <w:r w:rsidRPr="00817B9F">
        <w:rPr>
          <w:rFonts w:cs="Times New Roman"/>
        </w:rPr>
        <w:t>alyses</w:t>
      </w:r>
      <w:bookmarkEnd w:id="8"/>
      <w:bookmarkEnd w:id="9"/>
    </w:p>
    <w:p w14:paraId="66A81986" w14:textId="5D266ECD" w:rsidR="00A22F6B" w:rsidRPr="00817B9F" w:rsidRDefault="00B67055" w:rsidP="001D5FF2">
      <w:pPr>
        <w:pStyle w:val="Heading3"/>
      </w:pPr>
      <w:bookmarkStart w:id="10" w:name="_Ref88579647"/>
      <w:bookmarkStart w:id="11" w:name="_Ref88580159"/>
      <w:bookmarkStart w:id="12" w:name="_Toc90046491"/>
      <w:r w:rsidRPr="00817B9F">
        <w:t xml:space="preserve">CHIA </w:t>
      </w:r>
      <w:r w:rsidR="009F0991" w:rsidRPr="00817B9F">
        <w:t xml:space="preserve">Hospital </w:t>
      </w:r>
      <w:r w:rsidRPr="00817B9F">
        <w:t>Inpatien</w:t>
      </w:r>
      <w:r w:rsidR="009F0991" w:rsidRPr="00817B9F">
        <w:t>t</w:t>
      </w:r>
      <w:r w:rsidRPr="00817B9F">
        <w:t xml:space="preserve"> </w:t>
      </w:r>
      <w:r w:rsidR="009F0991" w:rsidRPr="00817B9F">
        <w:t xml:space="preserve">Discharge </w:t>
      </w:r>
      <w:r w:rsidRPr="00817B9F">
        <w:t>Database</w:t>
      </w:r>
      <w:bookmarkEnd w:id="10"/>
      <w:bookmarkEnd w:id="11"/>
      <w:bookmarkEnd w:id="12"/>
    </w:p>
    <w:p w14:paraId="3A81CAE1" w14:textId="2F87AF2E" w:rsidR="00396DC0" w:rsidRPr="00817B9F" w:rsidRDefault="002C4F31" w:rsidP="002A7B1F">
      <w:pPr>
        <w:pStyle w:val="NumberedParagraphs"/>
      </w:pPr>
      <w:r w:rsidRPr="00817B9F">
        <w:t xml:space="preserve">The Hospital Inpatient Discharge Database </w:t>
      </w:r>
      <w:r w:rsidR="00224535" w:rsidRPr="00817B9F">
        <w:t xml:space="preserve">maintained by the Center for Health Information and Analysis (“CHIA”) </w:t>
      </w:r>
      <w:r w:rsidR="002D08E3" w:rsidRPr="00817B9F">
        <w:t>contains</w:t>
      </w:r>
      <w:r w:rsidR="00A15A53" w:rsidRPr="00817B9F">
        <w:t xml:space="preserve"> all</w:t>
      </w:r>
      <w:r w:rsidR="002D08E3" w:rsidRPr="00817B9F">
        <w:t xml:space="preserve"> inpatient discharges </w:t>
      </w:r>
      <w:r w:rsidR="00183CE6" w:rsidRPr="00817B9F">
        <w:t xml:space="preserve">from </w:t>
      </w:r>
      <w:r w:rsidR="00B6664B" w:rsidRPr="00817B9F">
        <w:t xml:space="preserve">Massachusetts </w:t>
      </w:r>
      <w:r w:rsidR="00183CE6" w:rsidRPr="00817B9F">
        <w:t>acute care hospitals</w:t>
      </w:r>
      <w:r w:rsidR="00FA77ED" w:rsidRPr="00817B9F">
        <w:t>.</w:t>
      </w:r>
      <w:r w:rsidR="00E8097A" w:rsidRPr="00817B9F">
        <w:rPr>
          <w:rStyle w:val="FootnoteReference"/>
        </w:rPr>
        <w:footnoteReference w:id="20"/>
      </w:r>
      <w:r w:rsidR="00FA77ED" w:rsidRPr="00817B9F">
        <w:t xml:space="preserve"> Acute care</w:t>
      </w:r>
      <w:r w:rsidR="002051EC" w:rsidRPr="00817B9F">
        <w:t xml:space="preserve"> </w:t>
      </w:r>
      <w:r w:rsidR="00F649A6" w:rsidRPr="00817B9F">
        <w:t>hospital</w:t>
      </w:r>
      <w:r w:rsidR="00C12080" w:rsidRPr="00817B9F">
        <w:t xml:space="preserve">s </w:t>
      </w:r>
      <w:r w:rsidR="00913107" w:rsidRPr="00817B9F">
        <w:t>provide inpatient</w:t>
      </w:r>
      <w:r w:rsidR="00316412" w:rsidRPr="00817B9F">
        <w:t xml:space="preserve"> and outpatient</w:t>
      </w:r>
      <w:r w:rsidR="00913107" w:rsidRPr="00817B9F">
        <w:t xml:space="preserve"> medical care and related services for </w:t>
      </w:r>
      <w:r w:rsidR="00402DD2" w:rsidRPr="00817B9F">
        <w:t>surgery</w:t>
      </w:r>
      <w:r w:rsidR="00127A89" w:rsidRPr="00817B9F">
        <w:t>, acute medical conditions</w:t>
      </w:r>
      <w:r w:rsidR="00C26530" w:rsidRPr="00817B9F">
        <w:t>,</w:t>
      </w:r>
      <w:r w:rsidR="00127A89" w:rsidRPr="00817B9F">
        <w:t xml:space="preserve"> or injuries</w:t>
      </w:r>
      <w:r w:rsidR="0004773F" w:rsidRPr="00817B9F">
        <w:t>.</w:t>
      </w:r>
      <w:r w:rsidR="00113655" w:rsidRPr="00817B9F">
        <w:t xml:space="preserve"> Unlike </w:t>
      </w:r>
      <w:r w:rsidR="00F77A7C" w:rsidRPr="00817B9F">
        <w:t xml:space="preserve">other types of hospitals, such as chronic care hospitals, </w:t>
      </w:r>
      <w:r w:rsidR="004E58FB" w:rsidRPr="00817B9F">
        <w:t>rehabilitation hospital</w:t>
      </w:r>
      <w:r w:rsidR="008C0D73" w:rsidRPr="00817B9F">
        <w:t xml:space="preserve">s, and </w:t>
      </w:r>
      <w:r w:rsidR="00C559CA" w:rsidRPr="00817B9F">
        <w:t>specialty</w:t>
      </w:r>
      <w:r w:rsidR="008C0D73" w:rsidRPr="00817B9F">
        <w:t xml:space="preserve"> care hospitals, </w:t>
      </w:r>
      <w:r w:rsidR="00C559CA" w:rsidRPr="00817B9F">
        <w:t>acute</w:t>
      </w:r>
      <w:r w:rsidR="008C0D73" w:rsidRPr="00817B9F">
        <w:t xml:space="preserve"> care hospitals generally </w:t>
      </w:r>
      <w:r w:rsidR="004448F6" w:rsidRPr="00817B9F">
        <w:t xml:space="preserve">provide </w:t>
      </w:r>
      <w:r w:rsidR="004D6D74" w:rsidRPr="00817B9F">
        <w:t>services for shorter episodes of care.</w:t>
      </w:r>
    </w:p>
    <w:p w14:paraId="0D03F594" w14:textId="6CB098AB" w:rsidR="004A0A71" w:rsidRPr="00817B9F" w:rsidRDefault="00B31A41" w:rsidP="002A7B1F">
      <w:pPr>
        <w:pStyle w:val="NumberedParagraphs"/>
      </w:pPr>
      <w:r w:rsidRPr="00817B9F">
        <w:t>Each record</w:t>
      </w:r>
      <w:r w:rsidR="003D09A7" w:rsidRPr="00817B9F">
        <w:t xml:space="preserve"> in the </w:t>
      </w:r>
      <w:r w:rsidR="00906E2E" w:rsidRPr="00817B9F">
        <w:t>Hospital Inpatient Discharge Database</w:t>
      </w:r>
      <w:r w:rsidR="003D09A7" w:rsidRPr="00817B9F">
        <w:t xml:space="preserve"> </w:t>
      </w:r>
      <w:r w:rsidR="00F45361" w:rsidRPr="00817B9F">
        <w:t xml:space="preserve">corresponds to a single </w:t>
      </w:r>
      <w:r w:rsidR="00826DF5" w:rsidRPr="00817B9F">
        <w:t>inpatient hospital stay</w:t>
      </w:r>
      <w:r w:rsidR="002D0617" w:rsidRPr="00817B9F">
        <w:t>.</w:t>
      </w:r>
      <w:r w:rsidR="00B32243" w:rsidRPr="00817B9F">
        <w:rPr>
          <w:rStyle w:val="FootnoteReference"/>
        </w:rPr>
        <w:footnoteReference w:id="21"/>
      </w:r>
      <w:r w:rsidR="00826DF5" w:rsidRPr="00817B9F">
        <w:t xml:space="preserve"> </w:t>
      </w:r>
      <w:r w:rsidR="007F3C29" w:rsidRPr="00817B9F">
        <w:t>The</w:t>
      </w:r>
      <w:r w:rsidR="009310D2" w:rsidRPr="00817B9F">
        <w:t xml:space="preserve"> database </w:t>
      </w:r>
      <w:r w:rsidR="003D09A7" w:rsidRPr="00817B9F">
        <w:t>includes a variety of information</w:t>
      </w:r>
      <w:r w:rsidR="00784A79" w:rsidRPr="00817B9F">
        <w:t xml:space="preserve"> about </w:t>
      </w:r>
      <w:r w:rsidR="007F3C29" w:rsidRPr="00817B9F">
        <w:t>each hospital stay</w:t>
      </w:r>
      <w:r w:rsidR="003D09A7" w:rsidRPr="00817B9F">
        <w:t>, including</w:t>
      </w:r>
      <w:r w:rsidR="004A0A71" w:rsidRPr="00817B9F">
        <w:t>:</w:t>
      </w:r>
      <w:r w:rsidR="004E2277" w:rsidRPr="00817B9F">
        <w:rPr>
          <w:rStyle w:val="FootnoteReference"/>
        </w:rPr>
        <w:footnoteReference w:id="22"/>
      </w:r>
    </w:p>
    <w:p w14:paraId="12AE652C" w14:textId="0A5E1D26" w:rsidR="00C54BE9" w:rsidRPr="00817B9F" w:rsidRDefault="00C54BE9" w:rsidP="006B4A44">
      <w:pPr>
        <w:pStyle w:val="BulletParagraph"/>
        <w:rPr>
          <w:rFonts w:cs="Times New Roman"/>
        </w:rPr>
      </w:pPr>
      <w:r w:rsidRPr="00817B9F">
        <w:rPr>
          <w:rFonts w:cs="Times New Roman"/>
        </w:rPr>
        <w:lastRenderedPageBreak/>
        <w:t xml:space="preserve">The </w:t>
      </w:r>
      <w:r w:rsidR="00A94A6D" w:rsidRPr="00817B9F">
        <w:rPr>
          <w:rFonts w:cs="Times New Roman"/>
        </w:rPr>
        <w:t>name of</w:t>
      </w:r>
      <w:r w:rsidR="000852DD" w:rsidRPr="00817B9F">
        <w:rPr>
          <w:rFonts w:cs="Times New Roman"/>
        </w:rPr>
        <w:t xml:space="preserve"> </w:t>
      </w:r>
      <w:r w:rsidR="00B95D62" w:rsidRPr="00817B9F">
        <w:rPr>
          <w:rFonts w:cs="Times New Roman"/>
        </w:rPr>
        <w:t xml:space="preserve">the </w:t>
      </w:r>
      <w:r w:rsidR="00332009" w:rsidRPr="00817B9F">
        <w:rPr>
          <w:rFonts w:cs="Times New Roman"/>
        </w:rPr>
        <w:t>hospital</w:t>
      </w:r>
      <w:r w:rsidR="00A94A6D" w:rsidRPr="00817B9F">
        <w:rPr>
          <w:rFonts w:cs="Times New Roman"/>
        </w:rPr>
        <w:t>.</w:t>
      </w:r>
    </w:p>
    <w:p w14:paraId="21D2122C" w14:textId="5C771024" w:rsidR="00826DF5" w:rsidRPr="00817B9F" w:rsidRDefault="004A0A71" w:rsidP="006B4A44">
      <w:pPr>
        <w:pStyle w:val="BulletParagraph"/>
        <w:rPr>
          <w:rFonts w:cs="Times New Roman"/>
        </w:rPr>
      </w:pPr>
      <w:r w:rsidRPr="00817B9F">
        <w:rPr>
          <w:rFonts w:cs="Times New Roman"/>
        </w:rPr>
        <w:t xml:space="preserve">The </w:t>
      </w:r>
      <w:r w:rsidR="00F8562A" w:rsidRPr="00817B9F">
        <w:rPr>
          <w:rFonts w:cs="Times New Roman"/>
        </w:rPr>
        <w:t xml:space="preserve">source of </w:t>
      </w:r>
      <w:r w:rsidRPr="00817B9F">
        <w:rPr>
          <w:rFonts w:cs="Times New Roman"/>
        </w:rPr>
        <w:t xml:space="preserve">each </w:t>
      </w:r>
      <w:r w:rsidR="00F8562A" w:rsidRPr="00817B9F">
        <w:rPr>
          <w:rFonts w:cs="Times New Roman"/>
        </w:rPr>
        <w:t>admission (</w:t>
      </w:r>
      <w:r w:rsidR="00F8562A" w:rsidRPr="00817B9F">
        <w:rPr>
          <w:rFonts w:cs="Times New Roman"/>
          <w:i/>
          <w:iCs/>
        </w:rPr>
        <w:t xml:space="preserve">e.g., </w:t>
      </w:r>
      <w:r w:rsidR="00F8562A" w:rsidRPr="00817B9F">
        <w:rPr>
          <w:rFonts w:cs="Times New Roman"/>
        </w:rPr>
        <w:t>whether</w:t>
      </w:r>
      <w:r w:rsidR="00332009" w:rsidRPr="00817B9F">
        <w:rPr>
          <w:rFonts w:cs="Times New Roman"/>
        </w:rPr>
        <w:t xml:space="preserve"> the patient was </w:t>
      </w:r>
      <w:r w:rsidR="00F8562A" w:rsidRPr="00817B9F">
        <w:rPr>
          <w:rFonts w:cs="Times New Roman"/>
        </w:rPr>
        <w:t xml:space="preserve">admitted after originally </w:t>
      </w:r>
      <w:r w:rsidR="00E34A8C" w:rsidRPr="00817B9F">
        <w:rPr>
          <w:rFonts w:cs="Times New Roman"/>
        </w:rPr>
        <w:t>receiving care in the emergency department</w:t>
      </w:r>
      <w:r w:rsidRPr="00817B9F">
        <w:rPr>
          <w:rFonts w:cs="Times New Roman"/>
        </w:rPr>
        <w:t xml:space="preserve"> or was transferred</w:t>
      </w:r>
      <w:r w:rsidR="00332009" w:rsidRPr="00817B9F">
        <w:rPr>
          <w:rFonts w:cs="Times New Roman"/>
        </w:rPr>
        <w:t xml:space="preserve"> from</w:t>
      </w:r>
      <w:r w:rsidRPr="00817B9F">
        <w:rPr>
          <w:rFonts w:cs="Times New Roman"/>
        </w:rPr>
        <w:t xml:space="preserve"> another facility)</w:t>
      </w:r>
      <w:r w:rsidR="00BB5D4C" w:rsidRPr="00817B9F">
        <w:rPr>
          <w:rFonts w:cs="Times New Roman"/>
        </w:rPr>
        <w:t>.</w:t>
      </w:r>
    </w:p>
    <w:p w14:paraId="4BD0091B" w14:textId="711AC6B1" w:rsidR="004A0A71" w:rsidRPr="00817B9F" w:rsidRDefault="004D7DFD" w:rsidP="006B4A44">
      <w:pPr>
        <w:pStyle w:val="BulletParagraph"/>
        <w:rPr>
          <w:rFonts w:cs="Times New Roman"/>
        </w:rPr>
      </w:pPr>
      <w:r w:rsidRPr="00817B9F">
        <w:rPr>
          <w:rFonts w:cs="Times New Roman"/>
        </w:rPr>
        <w:t>Diagnostic information, including</w:t>
      </w:r>
      <w:r w:rsidR="0016540E" w:rsidRPr="00817B9F">
        <w:rPr>
          <w:rFonts w:cs="Times New Roman"/>
        </w:rPr>
        <w:t xml:space="preserve"> primary </w:t>
      </w:r>
      <w:r w:rsidR="006139E7" w:rsidRPr="00817B9F">
        <w:rPr>
          <w:rFonts w:cs="Times New Roman"/>
        </w:rPr>
        <w:t xml:space="preserve">and secondary </w:t>
      </w:r>
      <w:r w:rsidR="0016540E" w:rsidRPr="00817B9F">
        <w:rPr>
          <w:rFonts w:cs="Times New Roman"/>
        </w:rPr>
        <w:t>diagnosis code</w:t>
      </w:r>
      <w:r w:rsidR="006139E7" w:rsidRPr="00817B9F">
        <w:rPr>
          <w:rFonts w:cs="Times New Roman"/>
        </w:rPr>
        <w:t>s</w:t>
      </w:r>
      <w:r w:rsidR="00BB5D4C" w:rsidRPr="00817B9F">
        <w:rPr>
          <w:rFonts w:cs="Times New Roman"/>
        </w:rPr>
        <w:t>.</w:t>
      </w:r>
    </w:p>
    <w:p w14:paraId="51BB3174" w14:textId="2D9DD2B8" w:rsidR="00E35E57" w:rsidRPr="00817B9F" w:rsidRDefault="0061171E" w:rsidP="006B4A44">
      <w:pPr>
        <w:pStyle w:val="BulletParagraph"/>
        <w:rPr>
          <w:rFonts w:cs="Times New Roman"/>
        </w:rPr>
      </w:pPr>
      <w:r w:rsidRPr="00817B9F">
        <w:rPr>
          <w:rFonts w:cs="Times New Roman"/>
        </w:rPr>
        <w:t xml:space="preserve">The diagnosis related group (“DRG”) for </w:t>
      </w:r>
      <w:r w:rsidR="00BB5D4C" w:rsidRPr="00817B9F">
        <w:rPr>
          <w:rFonts w:cs="Times New Roman"/>
        </w:rPr>
        <w:t>each</w:t>
      </w:r>
      <w:r w:rsidRPr="00817B9F">
        <w:rPr>
          <w:rFonts w:cs="Times New Roman"/>
        </w:rPr>
        <w:t xml:space="preserve"> stay</w:t>
      </w:r>
      <w:r w:rsidR="00BB5D4C" w:rsidRPr="00817B9F">
        <w:rPr>
          <w:rFonts w:cs="Times New Roman"/>
        </w:rPr>
        <w:t xml:space="preserve">. </w:t>
      </w:r>
      <w:r w:rsidRPr="00817B9F">
        <w:rPr>
          <w:rFonts w:cs="Times New Roman"/>
        </w:rPr>
        <w:t xml:space="preserve">DRGs </w:t>
      </w:r>
      <w:r w:rsidR="00E91125" w:rsidRPr="00817B9F">
        <w:rPr>
          <w:rFonts w:cs="Times New Roman"/>
        </w:rPr>
        <w:t>group together similar inpatient hospital stays based on diagnoses, procedures, and patient characteristics</w:t>
      </w:r>
      <w:r w:rsidR="00BB5D4C" w:rsidRPr="00817B9F">
        <w:rPr>
          <w:rFonts w:cs="Times New Roman"/>
        </w:rPr>
        <w:t xml:space="preserve">. </w:t>
      </w:r>
      <w:r w:rsidR="00B0377E" w:rsidRPr="00817B9F">
        <w:rPr>
          <w:rFonts w:cs="Times New Roman"/>
        </w:rPr>
        <w:t xml:space="preserve">Private and government payors commonly utilize DRGs </w:t>
      </w:r>
      <w:r w:rsidR="00461046" w:rsidRPr="00817B9F">
        <w:rPr>
          <w:rFonts w:cs="Times New Roman"/>
        </w:rPr>
        <w:t xml:space="preserve">in payment schedules for inpatient hospital stays. </w:t>
      </w:r>
    </w:p>
    <w:p w14:paraId="3CF6C6E9" w14:textId="236A0B61" w:rsidR="0039645F" w:rsidRPr="00817B9F" w:rsidRDefault="0039645F" w:rsidP="006B4A44">
      <w:pPr>
        <w:pStyle w:val="BulletParagraph"/>
        <w:rPr>
          <w:rFonts w:cs="Times New Roman"/>
        </w:rPr>
      </w:pPr>
      <w:r w:rsidRPr="00817B9F">
        <w:rPr>
          <w:rFonts w:cs="Times New Roman"/>
        </w:rPr>
        <w:t>The ma</w:t>
      </w:r>
      <w:r w:rsidR="004B050E" w:rsidRPr="00817B9F">
        <w:rPr>
          <w:rFonts w:cs="Times New Roman"/>
        </w:rPr>
        <w:t>jor diagnostic category (“MDC”) for each stay. MDCs g</w:t>
      </w:r>
      <w:r w:rsidR="002D0BCF" w:rsidRPr="00817B9F">
        <w:rPr>
          <w:rFonts w:cs="Times New Roman"/>
        </w:rPr>
        <w:t xml:space="preserve">roup </w:t>
      </w:r>
      <w:r w:rsidR="00C526B6" w:rsidRPr="00817B9F">
        <w:rPr>
          <w:rFonts w:cs="Times New Roman"/>
        </w:rPr>
        <w:t>diagnosis codes</w:t>
      </w:r>
      <w:r w:rsidR="002D0BCF" w:rsidRPr="00817B9F">
        <w:rPr>
          <w:rFonts w:cs="Times New Roman"/>
        </w:rPr>
        <w:t xml:space="preserve"> </w:t>
      </w:r>
      <w:r w:rsidR="003A1038" w:rsidRPr="00817B9F">
        <w:rPr>
          <w:rFonts w:cs="Times New Roman"/>
        </w:rPr>
        <w:t xml:space="preserve">into </w:t>
      </w:r>
      <w:r w:rsidR="007A1915" w:rsidRPr="00817B9F">
        <w:rPr>
          <w:rFonts w:cs="Times New Roman"/>
        </w:rPr>
        <w:t xml:space="preserve">25 </w:t>
      </w:r>
      <w:r w:rsidR="00C526B6" w:rsidRPr="00817B9F">
        <w:rPr>
          <w:rFonts w:cs="Times New Roman"/>
        </w:rPr>
        <w:t xml:space="preserve">broad </w:t>
      </w:r>
      <w:r w:rsidR="007A1915" w:rsidRPr="00817B9F">
        <w:rPr>
          <w:rFonts w:cs="Times New Roman"/>
        </w:rPr>
        <w:t xml:space="preserve">categories </w:t>
      </w:r>
      <w:r w:rsidR="00C526B6" w:rsidRPr="00817B9F">
        <w:rPr>
          <w:rFonts w:cs="Times New Roman"/>
        </w:rPr>
        <w:t>based on condition type and body region.</w:t>
      </w:r>
    </w:p>
    <w:p w14:paraId="6FBB7EAF" w14:textId="3D1A3365" w:rsidR="00A94A6D" w:rsidRPr="00817B9F" w:rsidRDefault="00A94A6D" w:rsidP="006B4A44">
      <w:pPr>
        <w:pStyle w:val="BulletParagraph"/>
        <w:rPr>
          <w:rFonts w:cs="Times New Roman"/>
        </w:rPr>
      </w:pPr>
      <w:r w:rsidRPr="00817B9F">
        <w:rPr>
          <w:rFonts w:cs="Times New Roman"/>
        </w:rPr>
        <w:t>The</w:t>
      </w:r>
      <w:r w:rsidR="0016540E" w:rsidRPr="00817B9F">
        <w:rPr>
          <w:rFonts w:cs="Times New Roman"/>
        </w:rPr>
        <w:t xml:space="preserve"> </w:t>
      </w:r>
      <w:r w:rsidR="00A7038B" w:rsidRPr="00817B9F">
        <w:rPr>
          <w:rFonts w:cs="Times New Roman"/>
        </w:rPr>
        <w:t xml:space="preserve">length of </w:t>
      </w:r>
      <w:r w:rsidRPr="00817B9F">
        <w:rPr>
          <w:rFonts w:cs="Times New Roman"/>
        </w:rPr>
        <w:t>the patient’s hospital stay.</w:t>
      </w:r>
    </w:p>
    <w:p w14:paraId="7A1AC801" w14:textId="0E24A9EE" w:rsidR="00A94A6D" w:rsidRPr="00817B9F" w:rsidRDefault="003E01C6" w:rsidP="006B4A44">
      <w:pPr>
        <w:pStyle w:val="BulletParagraph"/>
        <w:rPr>
          <w:rFonts w:cs="Times New Roman"/>
        </w:rPr>
      </w:pPr>
      <w:r w:rsidRPr="00817B9F">
        <w:rPr>
          <w:rFonts w:cs="Times New Roman"/>
        </w:rPr>
        <w:t>Whether</w:t>
      </w:r>
      <w:r w:rsidR="008A5651" w:rsidRPr="00817B9F">
        <w:rPr>
          <w:rFonts w:cs="Times New Roman"/>
        </w:rPr>
        <w:t xml:space="preserve"> the </w:t>
      </w:r>
      <w:r w:rsidRPr="00817B9F">
        <w:rPr>
          <w:rFonts w:cs="Times New Roman"/>
        </w:rPr>
        <w:t xml:space="preserve">hospital stay was covered by private insurance, Medicare, </w:t>
      </w:r>
      <w:r w:rsidR="00E6476A" w:rsidRPr="00817B9F">
        <w:rPr>
          <w:rFonts w:cs="Times New Roman"/>
        </w:rPr>
        <w:t>MassHealth</w:t>
      </w:r>
      <w:r w:rsidRPr="00817B9F">
        <w:rPr>
          <w:rFonts w:cs="Times New Roman"/>
        </w:rPr>
        <w:t>, or other types of payors.</w:t>
      </w:r>
      <w:r w:rsidR="006C16FE" w:rsidRPr="00817B9F">
        <w:rPr>
          <w:rStyle w:val="FootnoteReference"/>
          <w:rFonts w:cs="Times New Roman"/>
        </w:rPr>
        <w:footnoteReference w:id="23"/>
      </w:r>
      <w:r w:rsidRPr="00817B9F">
        <w:rPr>
          <w:rFonts w:cs="Times New Roman"/>
        </w:rPr>
        <w:t xml:space="preserve"> </w:t>
      </w:r>
    </w:p>
    <w:p w14:paraId="46A940B3" w14:textId="4BE91981" w:rsidR="00704C9D" w:rsidRPr="00817B9F" w:rsidRDefault="009003D8" w:rsidP="000A13E4">
      <w:pPr>
        <w:pStyle w:val="BulletParagraph"/>
        <w:rPr>
          <w:rFonts w:cs="Times New Roman"/>
        </w:rPr>
      </w:pPr>
      <w:r w:rsidRPr="00817B9F">
        <w:rPr>
          <w:rFonts w:cs="Times New Roman"/>
        </w:rPr>
        <w:t>P</w:t>
      </w:r>
      <w:r w:rsidR="008A5651" w:rsidRPr="00817B9F">
        <w:rPr>
          <w:rFonts w:cs="Times New Roman"/>
        </w:rPr>
        <w:t xml:space="preserve">atient </w:t>
      </w:r>
      <w:r w:rsidR="00AD4471" w:rsidRPr="00817B9F">
        <w:rPr>
          <w:rFonts w:cs="Times New Roman"/>
        </w:rPr>
        <w:t>demographic information, such as the patient’s</w:t>
      </w:r>
      <w:r w:rsidR="008A5651" w:rsidRPr="00817B9F">
        <w:rPr>
          <w:rFonts w:cs="Times New Roman"/>
        </w:rPr>
        <w:t xml:space="preserve"> age, </w:t>
      </w:r>
      <w:r w:rsidR="00F367AD" w:rsidRPr="00817B9F">
        <w:rPr>
          <w:rFonts w:cs="Times New Roman"/>
        </w:rPr>
        <w:t xml:space="preserve">gender, </w:t>
      </w:r>
      <w:r w:rsidR="002F2932" w:rsidRPr="00817B9F">
        <w:rPr>
          <w:rFonts w:cs="Times New Roman"/>
        </w:rPr>
        <w:t>ethnicity</w:t>
      </w:r>
      <w:r w:rsidR="00FA11FE" w:rsidRPr="00817B9F">
        <w:rPr>
          <w:rFonts w:cs="Times New Roman"/>
        </w:rPr>
        <w:t xml:space="preserve">, </w:t>
      </w:r>
      <w:r w:rsidR="00BA4545" w:rsidRPr="00817B9F">
        <w:rPr>
          <w:rFonts w:cs="Times New Roman"/>
        </w:rPr>
        <w:t>race</w:t>
      </w:r>
      <w:r w:rsidR="00CC3BEF" w:rsidRPr="00817B9F">
        <w:rPr>
          <w:rFonts w:cs="Times New Roman"/>
        </w:rPr>
        <w:t xml:space="preserve">, </w:t>
      </w:r>
      <w:r w:rsidR="00AD4471" w:rsidRPr="00817B9F">
        <w:rPr>
          <w:rFonts w:cs="Times New Roman"/>
        </w:rPr>
        <w:t xml:space="preserve">and </w:t>
      </w:r>
      <w:r w:rsidR="00AB6C72" w:rsidRPr="00817B9F">
        <w:rPr>
          <w:rFonts w:cs="Times New Roman"/>
        </w:rPr>
        <w:t>ZIP Code</w:t>
      </w:r>
      <w:r w:rsidR="00F367AD" w:rsidRPr="00817B9F">
        <w:rPr>
          <w:rFonts w:cs="Times New Roman"/>
        </w:rPr>
        <w:t xml:space="preserve"> of residence</w:t>
      </w:r>
      <w:r w:rsidR="00AD4471" w:rsidRPr="00817B9F">
        <w:rPr>
          <w:rFonts w:cs="Times New Roman"/>
        </w:rPr>
        <w:t>.</w:t>
      </w:r>
    </w:p>
    <w:p w14:paraId="42BBB718" w14:textId="63A3145B" w:rsidR="009A0EDF" w:rsidRPr="00817B9F" w:rsidRDefault="004A4DBF" w:rsidP="002A7B1F">
      <w:pPr>
        <w:pStyle w:val="NumberedParagraphs"/>
      </w:pPr>
      <w:r w:rsidRPr="00817B9F">
        <w:t>In</w:t>
      </w:r>
      <w:r w:rsidR="00C63C53" w:rsidRPr="00817B9F">
        <w:t xml:space="preserve"> our analyses, we</w:t>
      </w:r>
      <w:r w:rsidR="00ED7A73" w:rsidRPr="00817B9F">
        <w:t xml:space="preserve"> </w:t>
      </w:r>
      <w:r w:rsidR="00E4502A" w:rsidRPr="00817B9F">
        <w:t>focus on</w:t>
      </w:r>
      <w:r w:rsidR="003667A3" w:rsidRPr="00817B9F">
        <w:t xml:space="preserve"> </w:t>
      </w:r>
      <w:r w:rsidRPr="00817B9F">
        <w:t xml:space="preserve">discharges from </w:t>
      </w:r>
      <w:r w:rsidR="00496B9D" w:rsidRPr="00817B9F">
        <w:t xml:space="preserve">general </w:t>
      </w:r>
      <w:r w:rsidR="003667A3" w:rsidRPr="00817B9F">
        <w:t xml:space="preserve">acute care </w:t>
      </w:r>
      <w:r w:rsidR="00265B45" w:rsidRPr="00817B9F">
        <w:t xml:space="preserve">(“GAC”) </w:t>
      </w:r>
      <w:r w:rsidR="003667A3" w:rsidRPr="00817B9F">
        <w:t>hospitals</w:t>
      </w:r>
      <w:r w:rsidR="008C165F" w:rsidRPr="00817B9F">
        <w:t>.</w:t>
      </w:r>
      <w:r w:rsidR="00265B45" w:rsidRPr="00817B9F">
        <w:rPr>
          <w:rStyle w:val="FootnoteReference"/>
        </w:rPr>
        <w:footnoteReference w:id="24"/>
      </w:r>
      <w:r w:rsidR="00E21875" w:rsidRPr="00817B9F">
        <w:t xml:space="preserve"> </w:t>
      </w:r>
      <w:r w:rsidR="00C67D99" w:rsidRPr="00817B9F">
        <w:t>We exclude discharges</w:t>
      </w:r>
      <w:r w:rsidR="00C11836" w:rsidRPr="00817B9F">
        <w:t xml:space="preserve"> from</w:t>
      </w:r>
      <w:r w:rsidR="00C67D99" w:rsidRPr="00817B9F">
        <w:t xml:space="preserve"> </w:t>
      </w:r>
      <w:r w:rsidR="009A0EDF" w:rsidRPr="00817B9F">
        <w:t xml:space="preserve">temporary facilities or facilities that have closed or transitioned away </w:t>
      </w:r>
      <w:r w:rsidR="009A0EDF" w:rsidRPr="00817B9F">
        <w:lastRenderedPageBreak/>
        <w:t xml:space="preserve">from providing acute care services. In particular, we exclude </w:t>
      </w:r>
      <w:r w:rsidR="00C11836" w:rsidRPr="00817B9F">
        <w:t xml:space="preserve">stays at the </w:t>
      </w:r>
      <w:r w:rsidR="009A0EDF" w:rsidRPr="00817B9F">
        <w:t>following hospitals from our analysis:</w:t>
      </w:r>
    </w:p>
    <w:p w14:paraId="185B950F" w14:textId="77777777" w:rsidR="009A0EDF" w:rsidRPr="00817B9F" w:rsidRDefault="00BD3CA6" w:rsidP="006B4A44">
      <w:pPr>
        <w:pStyle w:val="BulletParagraph"/>
        <w:rPr>
          <w:rFonts w:cs="Times New Roman"/>
        </w:rPr>
      </w:pPr>
      <w:r w:rsidRPr="00817B9F">
        <w:rPr>
          <w:rFonts w:cs="Times New Roman"/>
        </w:rPr>
        <w:t>North Shore Medical Center</w:t>
      </w:r>
      <w:r w:rsidR="00BA74A7" w:rsidRPr="00817B9F">
        <w:rPr>
          <w:rFonts w:cs="Times New Roman"/>
        </w:rPr>
        <w:t>–</w:t>
      </w:r>
      <w:r w:rsidRPr="00817B9F">
        <w:rPr>
          <w:rFonts w:cs="Times New Roman"/>
        </w:rPr>
        <w:t>Union Campus</w:t>
      </w:r>
      <w:r w:rsidR="009A0EDF" w:rsidRPr="00817B9F">
        <w:rPr>
          <w:rFonts w:cs="Times New Roman"/>
        </w:rPr>
        <w:t xml:space="preserve">, which </w:t>
      </w:r>
      <w:r w:rsidR="00685B4D" w:rsidRPr="00817B9F">
        <w:rPr>
          <w:rFonts w:cs="Times New Roman"/>
        </w:rPr>
        <w:t xml:space="preserve">transitioned to an urgent care center in Fall 2019 and </w:t>
      </w:r>
      <w:r w:rsidR="00E92EEE" w:rsidRPr="00817B9F">
        <w:rPr>
          <w:rFonts w:cs="Times New Roman"/>
        </w:rPr>
        <w:t>closed</w:t>
      </w:r>
      <w:r w:rsidR="007266F6" w:rsidRPr="00817B9F">
        <w:rPr>
          <w:rFonts w:cs="Times New Roman"/>
        </w:rPr>
        <w:t xml:space="preserve"> in 2020</w:t>
      </w:r>
      <w:r w:rsidR="009A0EDF" w:rsidRPr="00817B9F">
        <w:rPr>
          <w:rFonts w:cs="Times New Roman"/>
        </w:rPr>
        <w:t>.</w:t>
      </w:r>
      <w:r w:rsidR="00685B4D" w:rsidRPr="00817B9F">
        <w:rPr>
          <w:rStyle w:val="FootnoteReference"/>
          <w:rFonts w:cs="Times New Roman"/>
        </w:rPr>
        <w:footnoteReference w:id="25"/>
      </w:r>
      <w:r w:rsidR="00F023C1" w:rsidRPr="00817B9F">
        <w:rPr>
          <w:rFonts w:cs="Times New Roman"/>
        </w:rPr>
        <w:t xml:space="preserve"> </w:t>
      </w:r>
    </w:p>
    <w:p w14:paraId="788D56B2" w14:textId="25003DD2" w:rsidR="00FD03F2" w:rsidRPr="00817B9F" w:rsidRDefault="00BD3CA6" w:rsidP="009D620C">
      <w:pPr>
        <w:pStyle w:val="BulletParagraph"/>
        <w:rPr>
          <w:rFonts w:cs="Times New Roman"/>
        </w:rPr>
      </w:pPr>
      <w:r w:rsidRPr="00817B9F">
        <w:rPr>
          <w:rFonts w:cs="Times New Roman"/>
        </w:rPr>
        <w:t>UMass Memorial Field Hospital</w:t>
      </w:r>
      <w:r w:rsidR="00F023C1" w:rsidRPr="00817B9F">
        <w:rPr>
          <w:rFonts w:cs="Times New Roman"/>
        </w:rPr>
        <w:t xml:space="preserve"> a</w:t>
      </w:r>
      <w:r w:rsidRPr="00817B9F">
        <w:rPr>
          <w:rFonts w:cs="Times New Roman"/>
        </w:rPr>
        <w:t>nd Boston Hope Field Hospital</w:t>
      </w:r>
      <w:r w:rsidR="009A0EDF" w:rsidRPr="00817B9F">
        <w:rPr>
          <w:rFonts w:cs="Times New Roman"/>
        </w:rPr>
        <w:t xml:space="preserve">, </w:t>
      </w:r>
      <w:r w:rsidR="00F023C1" w:rsidRPr="00817B9F">
        <w:rPr>
          <w:rFonts w:cs="Times New Roman"/>
        </w:rPr>
        <w:t>both</w:t>
      </w:r>
      <w:r w:rsidR="002A4753" w:rsidRPr="00817B9F">
        <w:rPr>
          <w:rFonts w:cs="Times New Roman"/>
        </w:rPr>
        <w:t xml:space="preserve"> </w:t>
      </w:r>
      <w:r w:rsidR="009A0EDF" w:rsidRPr="00817B9F">
        <w:rPr>
          <w:rFonts w:cs="Times New Roman"/>
        </w:rPr>
        <w:t xml:space="preserve">of which </w:t>
      </w:r>
      <w:r w:rsidR="002A4753" w:rsidRPr="00817B9F">
        <w:rPr>
          <w:rFonts w:cs="Times New Roman"/>
        </w:rPr>
        <w:t xml:space="preserve">were </w:t>
      </w:r>
      <w:r w:rsidR="009A0EDF" w:rsidRPr="00817B9F">
        <w:rPr>
          <w:rFonts w:cs="Times New Roman"/>
        </w:rPr>
        <w:t>temporary facilities</w:t>
      </w:r>
      <w:r w:rsidR="002A4753" w:rsidRPr="00817B9F">
        <w:rPr>
          <w:rFonts w:cs="Times New Roman"/>
        </w:rPr>
        <w:t xml:space="preserve"> to treat COVID-19 patients</w:t>
      </w:r>
      <w:r w:rsidR="00FD03F2" w:rsidRPr="00817B9F">
        <w:rPr>
          <w:rFonts w:cs="Times New Roman"/>
        </w:rPr>
        <w:t>.</w:t>
      </w:r>
      <w:r w:rsidR="0068625F" w:rsidRPr="00817B9F">
        <w:rPr>
          <w:rFonts w:cs="Times New Roman"/>
        </w:rPr>
        <w:t xml:space="preserve"> </w:t>
      </w:r>
      <w:r w:rsidR="00FD03F2" w:rsidRPr="00817B9F">
        <w:rPr>
          <w:rFonts w:cs="Times New Roman"/>
        </w:rPr>
        <w:t xml:space="preserve">UMass Memorial Field Hospital </w:t>
      </w:r>
      <w:r w:rsidR="00442890" w:rsidRPr="00817B9F">
        <w:rPr>
          <w:rFonts w:cs="Times New Roman"/>
        </w:rPr>
        <w:t>closed</w:t>
      </w:r>
      <w:r w:rsidR="00753F9C" w:rsidRPr="00817B9F">
        <w:rPr>
          <w:rFonts w:cs="Times New Roman"/>
        </w:rPr>
        <w:t xml:space="preserve"> </w:t>
      </w:r>
      <w:r w:rsidR="00BA74A7" w:rsidRPr="00817B9F">
        <w:rPr>
          <w:rFonts w:cs="Times New Roman"/>
        </w:rPr>
        <w:t>in</w:t>
      </w:r>
      <w:r w:rsidR="00753F9C" w:rsidRPr="00817B9F">
        <w:rPr>
          <w:rFonts w:cs="Times New Roman"/>
        </w:rPr>
        <w:t xml:space="preserve"> March 2021 and </w:t>
      </w:r>
      <w:r w:rsidR="00FD03F2" w:rsidRPr="00817B9F">
        <w:rPr>
          <w:rFonts w:cs="Times New Roman"/>
        </w:rPr>
        <w:t xml:space="preserve">Boston Hope Field Hospital closed in </w:t>
      </w:r>
      <w:r w:rsidR="00753F9C" w:rsidRPr="00817B9F">
        <w:rPr>
          <w:rFonts w:cs="Times New Roman"/>
        </w:rPr>
        <w:t>June 2020.</w:t>
      </w:r>
      <w:r w:rsidR="003847A6" w:rsidRPr="00817B9F">
        <w:rPr>
          <w:rStyle w:val="FootnoteReference"/>
          <w:rFonts w:cs="Times New Roman"/>
        </w:rPr>
        <w:footnoteReference w:id="26"/>
      </w:r>
      <w:r w:rsidR="007730F3" w:rsidRPr="00817B9F">
        <w:rPr>
          <w:rStyle w:val="FootnoteReference"/>
          <w:rFonts w:cs="Times New Roman"/>
        </w:rPr>
        <w:t xml:space="preserve"> </w:t>
      </w:r>
    </w:p>
    <w:p w14:paraId="55CA613B" w14:textId="620E12CC" w:rsidR="00EB22DF" w:rsidRPr="00817B9F" w:rsidRDefault="007730F3" w:rsidP="009D620C">
      <w:pPr>
        <w:pStyle w:val="BulletParagraph"/>
        <w:rPr>
          <w:rFonts w:cs="Times New Roman"/>
        </w:rPr>
      </w:pPr>
      <w:r w:rsidRPr="00817B9F">
        <w:rPr>
          <w:rFonts w:cs="Times New Roman"/>
        </w:rPr>
        <w:t>Metro</w:t>
      </w:r>
      <w:r w:rsidR="000F75C5" w:rsidRPr="00817B9F">
        <w:rPr>
          <w:rFonts w:cs="Times New Roman"/>
        </w:rPr>
        <w:t>W</w:t>
      </w:r>
      <w:r w:rsidRPr="00817B9F">
        <w:rPr>
          <w:rFonts w:cs="Times New Roman"/>
        </w:rPr>
        <w:t>est Medical Center–Leonard Morse Campus</w:t>
      </w:r>
      <w:r w:rsidR="005C7FD9" w:rsidRPr="00817B9F">
        <w:rPr>
          <w:rFonts w:cs="Times New Roman"/>
        </w:rPr>
        <w:t>, which</w:t>
      </w:r>
      <w:r w:rsidR="009E3D40" w:rsidRPr="00817B9F">
        <w:rPr>
          <w:rFonts w:cs="Times New Roman"/>
        </w:rPr>
        <w:t xml:space="preserve"> has</w:t>
      </w:r>
      <w:r w:rsidR="005C7FD9" w:rsidRPr="00817B9F">
        <w:rPr>
          <w:rFonts w:cs="Times New Roman"/>
        </w:rPr>
        <w:t xml:space="preserve"> </w:t>
      </w:r>
      <w:r w:rsidR="009E3D40" w:rsidRPr="00817B9F">
        <w:rPr>
          <w:rFonts w:cs="Times New Roman"/>
        </w:rPr>
        <w:t>transitioned</w:t>
      </w:r>
      <w:r w:rsidR="002F7BDC" w:rsidRPr="00817B9F">
        <w:rPr>
          <w:rFonts w:cs="Times New Roman"/>
        </w:rPr>
        <w:t xml:space="preserve"> to a</w:t>
      </w:r>
      <w:r w:rsidR="00492D39" w:rsidRPr="00817B9F">
        <w:rPr>
          <w:rFonts w:cs="Times New Roman"/>
        </w:rPr>
        <w:t xml:space="preserve"> behavioral health </w:t>
      </w:r>
      <w:r w:rsidR="002F7BDC" w:rsidRPr="00817B9F">
        <w:rPr>
          <w:rFonts w:cs="Times New Roman"/>
        </w:rPr>
        <w:t>care center</w:t>
      </w:r>
      <w:r w:rsidR="00F836FE" w:rsidRPr="00817B9F">
        <w:rPr>
          <w:rFonts w:cs="Times New Roman"/>
        </w:rPr>
        <w:t>.</w:t>
      </w:r>
      <w:r w:rsidR="001A10B8" w:rsidRPr="00817B9F">
        <w:rPr>
          <w:rStyle w:val="FootnoteReference"/>
          <w:rFonts w:cs="Times New Roman"/>
        </w:rPr>
        <w:footnoteReference w:id="27"/>
      </w:r>
      <w:r w:rsidR="00065A99" w:rsidRPr="00817B9F">
        <w:rPr>
          <w:rStyle w:val="FootnoteReference"/>
          <w:rFonts w:cs="Times New Roman"/>
        </w:rPr>
        <w:t xml:space="preserve"> </w:t>
      </w:r>
    </w:p>
    <w:p w14:paraId="75843AF2" w14:textId="3F843929" w:rsidR="0059436B" w:rsidRPr="00817B9F" w:rsidRDefault="0059436B" w:rsidP="002A7B1F">
      <w:pPr>
        <w:pStyle w:val="NumberedParagraphs"/>
      </w:pPr>
      <w:r w:rsidRPr="00817B9F">
        <w:t>Our analys</w:t>
      </w:r>
      <w:r w:rsidR="008C351A" w:rsidRPr="00817B9F">
        <w:t>e</w:t>
      </w:r>
      <w:r w:rsidRPr="00817B9F">
        <w:t>s do not include newborn, obstetric, or pediatric hospital stays.</w:t>
      </w:r>
      <w:r w:rsidRPr="00817B9F">
        <w:rPr>
          <w:rStyle w:val="FootnoteReference"/>
        </w:rPr>
        <w:footnoteReference w:id="28"/>
      </w:r>
      <w:r w:rsidR="008C351A" w:rsidRPr="00817B9F">
        <w:t xml:space="preserve"> Hospital stays associated with </w:t>
      </w:r>
      <w:r w:rsidR="00D10D9A" w:rsidRPr="00817B9F">
        <w:t xml:space="preserve">behavioral health, substance use disorder, or </w:t>
      </w:r>
      <w:r w:rsidR="00BF17CE" w:rsidRPr="00817B9F">
        <w:t>rehabilitation major dia</w:t>
      </w:r>
      <w:r w:rsidR="00DA0087" w:rsidRPr="00817B9F">
        <w:t xml:space="preserve">gnostic </w:t>
      </w:r>
      <w:r w:rsidR="00B20C91" w:rsidRPr="00817B9F">
        <w:t>categories</w:t>
      </w:r>
      <w:r w:rsidR="00DA0087" w:rsidRPr="00817B9F">
        <w:t xml:space="preserve"> are </w:t>
      </w:r>
      <w:r w:rsidR="00B20C91" w:rsidRPr="00817B9F">
        <w:t>also excluded</w:t>
      </w:r>
      <w:r w:rsidR="00641E68" w:rsidRPr="00817B9F">
        <w:t>, as are discharges with missing</w:t>
      </w:r>
      <w:r w:rsidR="00A20389" w:rsidRPr="00817B9F">
        <w:t xml:space="preserve">, </w:t>
      </w:r>
      <w:r w:rsidR="00C66EA3" w:rsidRPr="00817B9F">
        <w:t xml:space="preserve">invalid, or ungroupable </w:t>
      </w:r>
      <w:r w:rsidR="00641E68" w:rsidRPr="00817B9F">
        <w:t>DRGs</w:t>
      </w:r>
      <w:r w:rsidR="00012A5F" w:rsidRPr="00817B9F">
        <w:t xml:space="preserve">, </w:t>
      </w:r>
      <w:r w:rsidR="00C66EA3" w:rsidRPr="00817B9F">
        <w:t xml:space="preserve">and discharges with missing </w:t>
      </w:r>
      <w:r w:rsidR="00012A5F" w:rsidRPr="00817B9F">
        <w:t>patient age or gender or payor information</w:t>
      </w:r>
      <w:r w:rsidR="00641E68" w:rsidRPr="00817B9F">
        <w:t>.</w:t>
      </w:r>
      <w:r w:rsidR="009D2C1F" w:rsidRPr="00817B9F">
        <w:t xml:space="preserve"> We further restrict our analyses to patients who reside in Massachusetts</w:t>
      </w:r>
      <w:r w:rsidR="003476B7" w:rsidRPr="00817B9F">
        <w:t xml:space="preserve"> and remove transfers from intermediate care facilities, other hospitals’ emergency rooms, another unit within the same hospital, court</w:t>
      </w:r>
      <w:r w:rsidR="004C4B8C" w:rsidRPr="00817B9F">
        <w:t xml:space="preserve"> or </w:t>
      </w:r>
      <w:r w:rsidR="003476B7" w:rsidRPr="00817B9F">
        <w:t>law enforcement</w:t>
      </w:r>
      <w:r w:rsidR="004C4B8C" w:rsidRPr="00817B9F">
        <w:t xml:space="preserve"> </w:t>
      </w:r>
      <w:r w:rsidR="000D01BB" w:rsidRPr="00817B9F">
        <w:t>facilities</w:t>
      </w:r>
      <w:r w:rsidR="003476B7" w:rsidRPr="00817B9F">
        <w:t>, hospice facilities, and other institutions’ ambulatory surgery</w:t>
      </w:r>
      <w:r w:rsidR="004C4B8C" w:rsidRPr="00817B9F">
        <w:t xml:space="preserve"> centers</w:t>
      </w:r>
      <w:r w:rsidR="00C84BC7" w:rsidRPr="00817B9F">
        <w:t xml:space="preserve"> (“ASC</w:t>
      </w:r>
      <w:r w:rsidR="00C52E4A" w:rsidRPr="00817B9F">
        <w:t>s</w:t>
      </w:r>
      <w:r w:rsidR="00C84BC7" w:rsidRPr="00817B9F">
        <w:t>”)</w:t>
      </w:r>
      <w:r w:rsidR="004C7A3D" w:rsidRPr="00817B9F">
        <w:t>.</w:t>
      </w:r>
    </w:p>
    <w:p w14:paraId="6CAE5B68" w14:textId="7CA3B5DB" w:rsidR="002A7B1F" w:rsidRPr="00817B9F" w:rsidRDefault="00A1139F" w:rsidP="002A7B1F">
      <w:pPr>
        <w:pStyle w:val="NumberedParagraphs"/>
      </w:pPr>
      <w:r w:rsidRPr="00817B9F">
        <w:lastRenderedPageBreak/>
        <w:t>Our analyses</w:t>
      </w:r>
      <w:r w:rsidR="002A7B1F" w:rsidRPr="00817B9F">
        <w:t xml:space="preserve"> utilize the </w:t>
      </w:r>
      <w:r w:rsidR="0062559E" w:rsidRPr="00817B9F">
        <w:t xml:space="preserve">2019 </w:t>
      </w:r>
      <w:r w:rsidR="0066086A" w:rsidRPr="00817B9F">
        <w:t>Hospital Inpatient Discharge Database</w:t>
      </w:r>
      <w:r w:rsidR="002A7B1F" w:rsidRPr="00817B9F">
        <w:t xml:space="preserve"> in conjunction </w:t>
      </w:r>
      <w:r w:rsidR="005B175B" w:rsidRPr="00817B9F">
        <w:t>with</w:t>
      </w:r>
      <w:r w:rsidR="0018728F" w:rsidRPr="00817B9F">
        <w:t xml:space="preserve"> CHIA</w:t>
      </w:r>
      <w:r w:rsidR="00092E46" w:rsidRPr="00817B9F">
        <w:t>’s</w:t>
      </w:r>
      <w:r w:rsidR="0018728F" w:rsidRPr="00817B9F">
        <w:t xml:space="preserve"> Relative Price </w:t>
      </w:r>
      <w:r w:rsidR="00A504DD" w:rsidRPr="00817B9F">
        <w:t>D</w:t>
      </w:r>
      <w:r w:rsidR="00AF2487" w:rsidRPr="00817B9F">
        <w:t>ata</w:t>
      </w:r>
      <w:r w:rsidR="00A504DD" w:rsidRPr="00817B9F">
        <w:t>b</w:t>
      </w:r>
      <w:r w:rsidR="00041B52" w:rsidRPr="00817B9F">
        <w:t>ase</w:t>
      </w:r>
      <w:r w:rsidR="006426CD" w:rsidRPr="00817B9F">
        <w:rPr>
          <w:rStyle w:val="FootnoteReference"/>
        </w:rPr>
        <w:footnoteReference w:id="29"/>
      </w:r>
      <w:r w:rsidR="002A7B1F" w:rsidRPr="00817B9F">
        <w:t xml:space="preserve"> to study </w:t>
      </w:r>
      <w:r w:rsidR="009654E2" w:rsidRPr="00817B9F">
        <w:t xml:space="preserve">the relationship between </w:t>
      </w:r>
      <w:r w:rsidR="002A7B1F" w:rsidRPr="00817B9F">
        <w:t xml:space="preserve">inpatient </w:t>
      </w:r>
      <w:r w:rsidR="00CD60D5" w:rsidRPr="00817B9F">
        <w:t>utilization</w:t>
      </w:r>
      <w:r w:rsidR="002A7B1F" w:rsidRPr="00817B9F">
        <w:t xml:space="preserve"> and </w:t>
      </w:r>
      <w:r w:rsidR="0025394A" w:rsidRPr="00817B9F">
        <w:t>differences in case mix adjusted</w:t>
      </w:r>
      <w:r w:rsidR="002A7B1F" w:rsidRPr="00817B9F">
        <w:t xml:space="preserve"> prices</w:t>
      </w:r>
      <w:r w:rsidR="0025394A" w:rsidRPr="00817B9F">
        <w:t xml:space="preserve"> across facilities</w:t>
      </w:r>
      <w:r w:rsidR="002A7B1F" w:rsidRPr="00817B9F">
        <w:t>.</w:t>
      </w:r>
      <w:r w:rsidR="00D202E9" w:rsidRPr="00817B9F">
        <w:t xml:space="preserve"> </w:t>
      </w:r>
      <w:r w:rsidR="006A76EE" w:rsidRPr="00817B9F">
        <w:t>We also</w:t>
      </w:r>
      <w:r w:rsidR="002D6818" w:rsidRPr="00817B9F">
        <w:t xml:space="preserve"> </w:t>
      </w:r>
      <w:r w:rsidR="008745AB" w:rsidRPr="00817B9F">
        <w:t>rely on the</w:t>
      </w:r>
      <w:r w:rsidR="002D6818" w:rsidRPr="00817B9F">
        <w:t xml:space="preserve"> </w:t>
      </w:r>
      <w:r w:rsidR="00AE19AD" w:rsidRPr="00817B9F">
        <w:t>2015</w:t>
      </w:r>
      <w:r w:rsidR="003A76C1" w:rsidRPr="00817B9F">
        <w:t xml:space="preserve"> </w:t>
      </w:r>
      <w:r w:rsidR="00451CA8" w:rsidRPr="00817B9F">
        <w:t>through</w:t>
      </w:r>
      <w:r w:rsidR="003A76C1" w:rsidRPr="00817B9F">
        <w:t xml:space="preserve"> </w:t>
      </w:r>
      <w:r w:rsidR="00AE19AD" w:rsidRPr="00817B9F">
        <w:t xml:space="preserve">2019 </w:t>
      </w:r>
      <w:r w:rsidR="0066086A" w:rsidRPr="00817B9F">
        <w:t>Hospital Inpatient Discharge Database</w:t>
      </w:r>
      <w:r w:rsidR="003A76C1" w:rsidRPr="00817B9F">
        <w:t>s</w:t>
      </w:r>
      <w:r w:rsidR="00F67E94" w:rsidRPr="00817B9F">
        <w:t xml:space="preserve"> </w:t>
      </w:r>
      <w:r w:rsidR="00EB63E2" w:rsidRPr="00817B9F">
        <w:t xml:space="preserve">to </w:t>
      </w:r>
      <w:r w:rsidR="008046BA" w:rsidRPr="00817B9F">
        <w:t xml:space="preserve">examine </w:t>
      </w:r>
      <w:r w:rsidR="00273845" w:rsidRPr="00817B9F">
        <w:t>trends in</w:t>
      </w:r>
      <w:r w:rsidR="008046BA" w:rsidRPr="00817B9F">
        <w:t xml:space="preserve"> inpatient utilization at </w:t>
      </w:r>
      <w:r w:rsidR="00273845" w:rsidRPr="00817B9F">
        <w:t xml:space="preserve">MGH. </w:t>
      </w:r>
    </w:p>
    <w:p w14:paraId="4EBFDE8A" w14:textId="5FE7A4BD" w:rsidR="00E30999" w:rsidRPr="00817B9F" w:rsidRDefault="000208C5" w:rsidP="001B6A1C">
      <w:pPr>
        <w:pStyle w:val="Heading3"/>
      </w:pPr>
      <w:bookmarkStart w:id="13" w:name="_Toc90046492"/>
      <w:r w:rsidRPr="00817B9F">
        <w:t xml:space="preserve">CHIA </w:t>
      </w:r>
      <w:r w:rsidR="00F714DF" w:rsidRPr="00817B9F">
        <w:t>All</w:t>
      </w:r>
      <w:r w:rsidR="001B5B03" w:rsidRPr="00817B9F">
        <w:t>-</w:t>
      </w:r>
      <w:r w:rsidR="00F714DF" w:rsidRPr="00817B9F">
        <w:t>Payer Claims Database</w:t>
      </w:r>
      <w:bookmarkEnd w:id="13"/>
    </w:p>
    <w:p w14:paraId="49E8BFDC" w14:textId="704BF59F" w:rsidR="005D3014" w:rsidRPr="00817B9F" w:rsidRDefault="00311933" w:rsidP="00311933">
      <w:pPr>
        <w:pStyle w:val="NumberedParagraphs"/>
      </w:pPr>
      <w:r w:rsidRPr="00817B9F">
        <w:t>The Massachusetts All</w:t>
      </w:r>
      <w:r w:rsidR="001B5B03" w:rsidRPr="00817B9F">
        <w:t>-</w:t>
      </w:r>
      <w:r w:rsidRPr="00817B9F">
        <w:t>Pay</w:t>
      </w:r>
      <w:r w:rsidR="00602D7D" w:rsidRPr="00817B9F">
        <w:t>e</w:t>
      </w:r>
      <w:r w:rsidRPr="00817B9F">
        <w:t xml:space="preserve">r Claims Database (“APCD”) </w:t>
      </w:r>
      <w:r w:rsidR="00AE3A94" w:rsidRPr="00817B9F">
        <w:t>includes</w:t>
      </w:r>
      <w:r w:rsidR="00FD073A" w:rsidRPr="00817B9F">
        <w:t xml:space="preserve"> </w:t>
      </w:r>
      <w:r w:rsidR="009E2E97" w:rsidRPr="00817B9F">
        <w:t xml:space="preserve">medical </w:t>
      </w:r>
      <w:r w:rsidR="00FD073A" w:rsidRPr="00817B9F">
        <w:t xml:space="preserve">claims </w:t>
      </w:r>
      <w:r w:rsidR="00190A22" w:rsidRPr="00817B9F">
        <w:t xml:space="preserve">submitted </w:t>
      </w:r>
      <w:r w:rsidR="005B0A16" w:rsidRPr="00817B9F">
        <w:t>by</w:t>
      </w:r>
      <w:r w:rsidR="00FD073A" w:rsidRPr="00817B9F">
        <w:t xml:space="preserve"> </w:t>
      </w:r>
      <w:r w:rsidR="00AE3A94" w:rsidRPr="00817B9F">
        <w:t xml:space="preserve">a variety of public and </w:t>
      </w:r>
      <w:r w:rsidR="005A19C6" w:rsidRPr="00817B9F">
        <w:t xml:space="preserve">private </w:t>
      </w:r>
      <w:r w:rsidR="001C195F" w:rsidRPr="00817B9F">
        <w:t>payor</w:t>
      </w:r>
      <w:r w:rsidR="005A19C6" w:rsidRPr="00817B9F">
        <w:t>s</w:t>
      </w:r>
      <w:r w:rsidR="00190A22" w:rsidRPr="00817B9F">
        <w:t xml:space="preserve">, including Medicare, MassHealth, and </w:t>
      </w:r>
      <w:r w:rsidR="00C04E3B" w:rsidRPr="00817B9F">
        <w:t>commercial health plans.</w:t>
      </w:r>
      <w:r w:rsidR="009E2E97" w:rsidRPr="00817B9F">
        <w:rPr>
          <w:rStyle w:val="FootnoteReference"/>
        </w:rPr>
        <w:footnoteReference w:id="30"/>
      </w:r>
      <w:r w:rsidR="00DA1712" w:rsidRPr="00817B9F">
        <w:rPr>
          <w:vertAlign w:val="superscript"/>
        </w:rPr>
        <w:t xml:space="preserve">, </w:t>
      </w:r>
      <w:r w:rsidR="009E2E97" w:rsidRPr="00817B9F">
        <w:rPr>
          <w:rStyle w:val="FootnoteReference"/>
        </w:rPr>
        <w:footnoteReference w:id="31"/>
      </w:r>
      <w:r w:rsidR="00C04E3B" w:rsidRPr="00817B9F">
        <w:t xml:space="preserve"> </w:t>
      </w:r>
      <w:r w:rsidR="00CA0AA7" w:rsidRPr="00817B9F">
        <w:t>All fully</w:t>
      </w:r>
      <w:r w:rsidR="003641E6" w:rsidRPr="00817B9F">
        <w:t xml:space="preserve"> </w:t>
      </w:r>
      <w:r w:rsidR="00CA0AA7" w:rsidRPr="00817B9F">
        <w:t xml:space="preserve">insured commercial health plans </w:t>
      </w:r>
      <w:r w:rsidR="005750EF" w:rsidRPr="00817B9F">
        <w:t xml:space="preserve">with membership in Massachusetts </w:t>
      </w:r>
      <w:r w:rsidR="00F622E6" w:rsidRPr="00817B9F">
        <w:t xml:space="preserve">are required to </w:t>
      </w:r>
      <w:r w:rsidR="00730294" w:rsidRPr="00817B9F">
        <w:t>submit claims data for inclusion in the APCD.</w:t>
      </w:r>
      <w:r w:rsidR="00FF558B" w:rsidRPr="00817B9F">
        <w:rPr>
          <w:rStyle w:val="FootnoteReference"/>
        </w:rPr>
        <w:footnoteReference w:id="32"/>
      </w:r>
      <w:r w:rsidR="00730294" w:rsidRPr="00817B9F">
        <w:t xml:space="preserve"> </w:t>
      </w:r>
      <w:r w:rsidR="0099436E" w:rsidRPr="00817B9F">
        <w:t xml:space="preserve">Self-insured commercial plans </w:t>
      </w:r>
      <w:r w:rsidR="00046E00" w:rsidRPr="00817B9F">
        <w:t>that are preempted by the</w:t>
      </w:r>
      <w:r w:rsidR="0099436E" w:rsidRPr="00817B9F">
        <w:t xml:space="preserve"> </w:t>
      </w:r>
      <w:r w:rsidR="00D4141C" w:rsidRPr="00817B9F">
        <w:t>Employee Retirement Income Security Act of 1974 are no longer required</w:t>
      </w:r>
      <w:r w:rsidR="007E4341" w:rsidRPr="00817B9F">
        <w:t xml:space="preserve"> to </w:t>
      </w:r>
      <w:r w:rsidR="00C93A28" w:rsidRPr="00817B9F">
        <w:t xml:space="preserve">submit </w:t>
      </w:r>
      <w:r w:rsidR="00D4141C" w:rsidRPr="00817B9F">
        <w:t xml:space="preserve">their </w:t>
      </w:r>
      <w:r w:rsidR="00C93A28" w:rsidRPr="00817B9F">
        <w:t xml:space="preserve">claims </w:t>
      </w:r>
      <w:r w:rsidR="00D4141C" w:rsidRPr="00817B9F">
        <w:t xml:space="preserve">data </w:t>
      </w:r>
      <w:r w:rsidR="00C93A28" w:rsidRPr="00817B9F">
        <w:t>for inclusion in the database</w:t>
      </w:r>
      <w:r w:rsidR="00D4141C" w:rsidRPr="00817B9F">
        <w:t xml:space="preserve"> but may choose to participate on a voluntary basis</w:t>
      </w:r>
      <w:r w:rsidR="00C93A28" w:rsidRPr="00817B9F">
        <w:t>.</w:t>
      </w:r>
      <w:r w:rsidR="00FB151F" w:rsidRPr="00817B9F">
        <w:rPr>
          <w:rStyle w:val="FootnoteReference"/>
        </w:rPr>
        <w:footnoteReference w:id="33"/>
      </w:r>
      <w:r w:rsidR="00CF100F" w:rsidRPr="00817B9F">
        <w:t xml:space="preserve"> </w:t>
      </w:r>
      <w:r w:rsidR="00227919" w:rsidRPr="00817B9F">
        <w:t xml:space="preserve">The majority of </w:t>
      </w:r>
      <w:r w:rsidR="00A934E9" w:rsidRPr="00817B9F">
        <w:t>Massachusetts</w:t>
      </w:r>
      <w:r w:rsidR="00227919" w:rsidRPr="00817B9F">
        <w:t xml:space="preserve"> residents </w:t>
      </w:r>
      <w:r w:rsidR="00A934E9" w:rsidRPr="00817B9F">
        <w:t xml:space="preserve">with public or private health coverage are enrolled in plans that submit claims data to the APCD. </w:t>
      </w:r>
    </w:p>
    <w:p w14:paraId="0EFC844C" w14:textId="4D5398AF" w:rsidR="00B44B73" w:rsidRPr="00817B9F" w:rsidRDefault="00354E88" w:rsidP="00311933">
      <w:pPr>
        <w:pStyle w:val="NumberedParagraphs"/>
      </w:pPr>
      <w:r w:rsidRPr="00817B9F">
        <w:t>The</w:t>
      </w:r>
      <w:r w:rsidR="00A85A96" w:rsidRPr="00817B9F">
        <w:t xml:space="preserve"> APCD includes </w:t>
      </w:r>
      <w:r w:rsidRPr="00817B9F">
        <w:t xml:space="preserve">claim line-level data </w:t>
      </w:r>
      <w:r w:rsidR="00922EB4" w:rsidRPr="00817B9F">
        <w:t xml:space="preserve">for each </w:t>
      </w:r>
      <w:r w:rsidR="006D48C9" w:rsidRPr="00817B9F">
        <w:t xml:space="preserve">adjudicated claim </w:t>
      </w:r>
      <w:r w:rsidR="00F519CA" w:rsidRPr="00817B9F">
        <w:t xml:space="preserve">from </w:t>
      </w:r>
      <w:r w:rsidR="006D48C9" w:rsidRPr="00817B9F">
        <w:t xml:space="preserve">a </w:t>
      </w:r>
      <w:r w:rsidR="00F519CA" w:rsidRPr="00817B9F">
        <w:t xml:space="preserve">contributing health plan. </w:t>
      </w:r>
      <w:r w:rsidR="00D86906" w:rsidRPr="00817B9F">
        <w:t>These data include the following:</w:t>
      </w:r>
      <w:r w:rsidR="00A7589E" w:rsidRPr="00817B9F">
        <w:rPr>
          <w:rStyle w:val="FootnoteReference"/>
        </w:rPr>
        <w:footnoteReference w:id="34"/>
      </w:r>
    </w:p>
    <w:p w14:paraId="6B48EB2B" w14:textId="2AD44AC1" w:rsidR="005F2493" w:rsidRPr="00817B9F" w:rsidRDefault="00D86906" w:rsidP="005B0C55">
      <w:pPr>
        <w:pStyle w:val="BulletParagraph"/>
        <w:rPr>
          <w:rFonts w:cs="Times New Roman"/>
        </w:rPr>
      </w:pPr>
      <w:r w:rsidRPr="00817B9F">
        <w:rPr>
          <w:rFonts w:cs="Times New Roman"/>
        </w:rPr>
        <w:lastRenderedPageBreak/>
        <w:t xml:space="preserve">For claims </w:t>
      </w:r>
      <w:r w:rsidR="00F2595D" w:rsidRPr="00817B9F">
        <w:rPr>
          <w:rFonts w:cs="Times New Roman"/>
        </w:rPr>
        <w:t xml:space="preserve">associated with facility charges, the </w:t>
      </w:r>
      <w:r w:rsidR="00E62F64" w:rsidRPr="00817B9F">
        <w:rPr>
          <w:rFonts w:cs="Times New Roman"/>
        </w:rPr>
        <w:t>type of facility, such as hospital outpatient department</w:t>
      </w:r>
      <w:r w:rsidR="00077F06" w:rsidRPr="00817B9F">
        <w:rPr>
          <w:rFonts w:cs="Times New Roman"/>
        </w:rPr>
        <w:t xml:space="preserve">, </w:t>
      </w:r>
      <w:r w:rsidR="009C4814" w:rsidRPr="00817B9F">
        <w:rPr>
          <w:rFonts w:cs="Times New Roman"/>
        </w:rPr>
        <w:t xml:space="preserve">hospital </w:t>
      </w:r>
      <w:r w:rsidR="00E62F64" w:rsidRPr="00817B9F">
        <w:rPr>
          <w:rFonts w:cs="Times New Roman"/>
        </w:rPr>
        <w:t>inpatient department, or</w:t>
      </w:r>
      <w:r w:rsidR="009C4814" w:rsidRPr="00817B9F">
        <w:rPr>
          <w:rFonts w:cs="Times New Roman"/>
        </w:rPr>
        <w:t xml:space="preserve"> </w:t>
      </w:r>
      <w:r w:rsidR="009002A9" w:rsidRPr="00817B9F">
        <w:rPr>
          <w:rFonts w:cs="Times New Roman"/>
        </w:rPr>
        <w:t>critical access hospital</w:t>
      </w:r>
      <w:r w:rsidR="00E62F64" w:rsidRPr="00817B9F">
        <w:rPr>
          <w:rFonts w:cs="Times New Roman"/>
        </w:rPr>
        <w:t>.</w:t>
      </w:r>
      <w:r w:rsidR="00E62F64" w:rsidRPr="00817B9F">
        <w:rPr>
          <w:rStyle w:val="FootnoteReference"/>
          <w:rFonts w:cs="Times New Roman"/>
        </w:rPr>
        <w:footnoteReference w:id="35"/>
      </w:r>
    </w:p>
    <w:p w14:paraId="2BC3B5EF" w14:textId="452D2C48" w:rsidR="00C04022" w:rsidRPr="00817B9F" w:rsidRDefault="00C04022" w:rsidP="005B0C55">
      <w:pPr>
        <w:pStyle w:val="BulletParagraph"/>
        <w:rPr>
          <w:rFonts w:cs="Times New Roman"/>
        </w:rPr>
      </w:pPr>
      <w:r w:rsidRPr="00817B9F">
        <w:rPr>
          <w:rFonts w:cs="Times New Roman"/>
        </w:rPr>
        <w:t xml:space="preserve">For claims for services provided by a professional, </w:t>
      </w:r>
      <w:r w:rsidR="00124408" w:rsidRPr="00817B9F">
        <w:rPr>
          <w:rFonts w:cs="Times New Roman"/>
        </w:rPr>
        <w:t>the place of service, such as an office or clinic, on-campus or off-campus hospital outpatient department, inpatient hospital department, or hospital emergency room.</w:t>
      </w:r>
    </w:p>
    <w:p w14:paraId="2E36B4C1" w14:textId="36D4C283" w:rsidR="00DC7B5E" w:rsidRPr="00817B9F" w:rsidRDefault="005F2493" w:rsidP="005B0C55">
      <w:pPr>
        <w:pStyle w:val="BulletParagraph"/>
        <w:rPr>
          <w:rFonts w:cs="Times New Roman"/>
        </w:rPr>
      </w:pPr>
      <w:r w:rsidRPr="00817B9F">
        <w:rPr>
          <w:rFonts w:cs="Times New Roman"/>
        </w:rPr>
        <w:t xml:space="preserve">The </w:t>
      </w:r>
      <w:r w:rsidR="00B90D71" w:rsidRPr="00817B9F">
        <w:rPr>
          <w:rFonts w:cs="Times New Roman"/>
        </w:rPr>
        <w:t>procedure</w:t>
      </w:r>
      <w:r w:rsidR="00552946" w:rsidRPr="00817B9F">
        <w:rPr>
          <w:rFonts w:cs="Times New Roman"/>
        </w:rPr>
        <w:t>s</w:t>
      </w:r>
      <w:r w:rsidR="00B90D71" w:rsidRPr="00817B9F">
        <w:rPr>
          <w:rFonts w:cs="Times New Roman"/>
        </w:rPr>
        <w:t xml:space="preserve"> performed</w:t>
      </w:r>
      <w:r w:rsidR="00763A08" w:rsidRPr="00817B9F">
        <w:rPr>
          <w:rFonts w:cs="Times New Roman"/>
        </w:rPr>
        <w:t xml:space="preserve"> (</w:t>
      </w:r>
      <w:r w:rsidR="00763A08" w:rsidRPr="00817B9F">
        <w:rPr>
          <w:rFonts w:cs="Times New Roman"/>
          <w:i/>
          <w:iCs/>
        </w:rPr>
        <w:t>e.g.</w:t>
      </w:r>
      <w:r w:rsidR="00763A08" w:rsidRPr="00817B9F">
        <w:rPr>
          <w:rFonts w:cs="Times New Roman"/>
        </w:rPr>
        <w:t xml:space="preserve">, </w:t>
      </w:r>
      <w:r w:rsidR="00807B99" w:rsidRPr="00817B9F">
        <w:rPr>
          <w:rFonts w:cs="Times New Roman"/>
        </w:rPr>
        <w:t xml:space="preserve">Current Procedural Terminology </w:t>
      </w:r>
      <w:r w:rsidR="00DC7B5E" w:rsidRPr="00817B9F">
        <w:rPr>
          <w:rFonts w:cs="Times New Roman"/>
        </w:rPr>
        <w:t xml:space="preserve">(“CPT”) and </w:t>
      </w:r>
      <w:r w:rsidR="00B94E54" w:rsidRPr="00817B9F">
        <w:rPr>
          <w:rFonts w:cs="Times New Roman"/>
        </w:rPr>
        <w:t xml:space="preserve">Healthcare Common Procedure Coding System </w:t>
      </w:r>
      <w:r w:rsidR="00EA689F" w:rsidRPr="00817B9F">
        <w:rPr>
          <w:rFonts w:cs="Times New Roman"/>
        </w:rPr>
        <w:t xml:space="preserve">(“HCPCS”) </w:t>
      </w:r>
      <w:r w:rsidR="00B94E54" w:rsidRPr="00817B9F">
        <w:rPr>
          <w:rFonts w:cs="Times New Roman"/>
        </w:rPr>
        <w:t>procedure code</w:t>
      </w:r>
      <w:r w:rsidR="00D14466" w:rsidRPr="00817B9F">
        <w:rPr>
          <w:rFonts w:cs="Times New Roman"/>
        </w:rPr>
        <w:t>s</w:t>
      </w:r>
      <w:r w:rsidR="00DC7B5E" w:rsidRPr="00817B9F">
        <w:rPr>
          <w:rFonts w:cs="Times New Roman"/>
        </w:rPr>
        <w:t>)</w:t>
      </w:r>
      <w:r w:rsidR="00B94E54" w:rsidRPr="00817B9F">
        <w:rPr>
          <w:rFonts w:cs="Times New Roman"/>
        </w:rPr>
        <w:t>.</w:t>
      </w:r>
    </w:p>
    <w:p w14:paraId="62C31F55" w14:textId="4FACD6B2" w:rsidR="0062220A" w:rsidRPr="00817B9F" w:rsidRDefault="0062220A" w:rsidP="005B0C55">
      <w:pPr>
        <w:pStyle w:val="BulletParagraph"/>
        <w:rPr>
          <w:rFonts w:cs="Times New Roman"/>
        </w:rPr>
      </w:pPr>
      <w:r w:rsidRPr="00817B9F">
        <w:rPr>
          <w:rFonts w:cs="Times New Roman"/>
        </w:rPr>
        <w:t>Diagnostic information, including primary and secondary diagnosis codes.</w:t>
      </w:r>
    </w:p>
    <w:p w14:paraId="5C0FD5ED" w14:textId="6B7E9FA0" w:rsidR="003B1922" w:rsidRPr="00817B9F" w:rsidRDefault="004B7FA0" w:rsidP="005B0C55">
      <w:pPr>
        <w:pStyle w:val="BulletParagraph"/>
        <w:rPr>
          <w:rFonts w:cs="Times New Roman"/>
        </w:rPr>
      </w:pPr>
      <w:r w:rsidRPr="00817B9F">
        <w:rPr>
          <w:rFonts w:cs="Times New Roman"/>
        </w:rPr>
        <w:t>T</w:t>
      </w:r>
      <w:r w:rsidR="00620C30" w:rsidRPr="00817B9F">
        <w:rPr>
          <w:rFonts w:cs="Times New Roman"/>
        </w:rPr>
        <w:t>he</w:t>
      </w:r>
      <w:r w:rsidR="00B56571" w:rsidRPr="00817B9F">
        <w:rPr>
          <w:rFonts w:cs="Times New Roman"/>
        </w:rPr>
        <w:t xml:space="preserve"> </w:t>
      </w:r>
      <w:r w:rsidR="00DD5701" w:rsidRPr="00817B9F">
        <w:rPr>
          <w:rFonts w:cs="Times New Roman"/>
        </w:rPr>
        <w:t xml:space="preserve">identity of the </w:t>
      </w:r>
      <w:r w:rsidR="00D33E71" w:rsidRPr="00817B9F">
        <w:rPr>
          <w:rFonts w:cs="Times New Roman"/>
        </w:rPr>
        <w:t>reporting</w:t>
      </w:r>
      <w:r w:rsidR="00F570EA" w:rsidRPr="00817B9F">
        <w:rPr>
          <w:rFonts w:cs="Times New Roman"/>
        </w:rPr>
        <w:t xml:space="preserve"> </w:t>
      </w:r>
      <w:r w:rsidR="00B56571" w:rsidRPr="00817B9F">
        <w:rPr>
          <w:rFonts w:cs="Times New Roman"/>
        </w:rPr>
        <w:t xml:space="preserve">payor and </w:t>
      </w:r>
      <w:r w:rsidR="00F570EA" w:rsidRPr="00817B9F">
        <w:rPr>
          <w:rFonts w:cs="Times New Roman"/>
        </w:rPr>
        <w:t xml:space="preserve">the </w:t>
      </w:r>
      <w:r w:rsidR="008B6A5C" w:rsidRPr="00817B9F">
        <w:rPr>
          <w:rFonts w:cs="Times New Roman"/>
        </w:rPr>
        <w:t>type of plan</w:t>
      </w:r>
      <w:r w:rsidR="00D33E71" w:rsidRPr="00817B9F">
        <w:rPr>
          <w:rFonts w:cs="Times New Roman"/>
        </w:rPr>
        <w:t xml:space="preserve"> (</w:t>
      </w:r>
      <w:r w:rsidR="00D33E71" w:rsidRPr="00817B9F">
        <w:rPr>
          <w:rFonts w:cs="Times New Roman"/>
          <w:i/>
          <w:iCs/>
        </w:rPr>
        <w:t>e.g.</w:t>
      </w:r>
      <w:r w:rsidR="00D33E71" w:rsidRPr="00817B9F">
        <w:rPr>
          <w:rFonts w:cs="Times New Roman"/>
        </w:rPr>
        <w:t xml:space="preserve">, </w:t>
      </w:r>
      <w:r w:rsidR="00AF6C03" w:rsidRPr="00817B9F">
        <w:rPr>
          <w:rFonts w:cs="Times New Roman"/>
        </w:rPr>
        <w:t>c</w:t>
      </w:r>
      <w:r w:rsidR="00D33E71" w:rsidRPr="00817B9F">
        <w:rPr>
          <w:rFonts w:cs="Times New Roman"/>
        </w:rPr>
        <w:t>ommercial,</w:t>
      </w:r>
      <w:r w:rsidR="00A05CE1" w:rsidRPr="00817B9F">
        <w:rPr>
          <w:rFonts w:cs="Times New Roman"/>
        </w:rPr>
        <w:t xml:space="preserve"> MassHealth </w:t>
      </w:r>
      <w:r w:rsidR="004F0BCE" w:rsidRPr="00817B9F">
        <w:rPr>
          <w:rFonts w:cs="Times New Roman"/>
        </w:rPr>
        <w:t>m</w:t>
      </w:r>
      <w:r w:rsidR="00A05CE1" w:rsidRPr="00817B9F">
        <w:rPr>
          <w:rFonts w:cs="Times New Roman"/>
        </w:rPr>
        <w:t xml:space="preserve">anaged </w:t>
      </w:r>
      <w:r w:rsidR="004F0BCE" w:rsidRPr="00817B9F">
        <w:rPr>
          <w:rFonts w:cs="Times New Roman"/>
        </w:rPr>
        <w:t>c</w:t>
      </w:r>
      <w:r w:rsidR="00A05CE1" w:rsidRPr="00817B9F">
        <w:rPr>
          <w:rFonts w:cs="Times New Roman"/>
        </w:rPr>
        <w:t xml:space="preserve">are, MassHealth </w:t>
      </w:r>
      <w:r w:rsidR="004F0BCE" w:rsidRPr="00817B9F">
        <w:rPr>
          <w:rFonts w:cs="Times New Roman"/>
        </w:rPr>
        <w:t>n</w:t>
      </w:r>
      <w:r w:rsidR="00A05CE1" w:rsidRPr="00817B9F">
        <w:rPr>
          <w:rFonts w:cs="Times New Roman"/>
        </w:rPr>
        <w:t>on-</w:t>
      </w:r>
      <w:r w:rsidR="004F0BCE" w:rsidRPr="00817B9F">
        <w:rPr>
          <w:rFonts w:cs="Times New Roman"/>
        </w:rPr>
        <w:t>m</w:t>
      </w:r>
      <w:r w:rsidR="00A05CE1" w:rsidRPr="00817B9F">
        <w:rPr>
          <w:rFonts w:cs="Times New Roman"/>
        </w:rPr>
        <w:t>anaged</w:t>
      </w:r>
      <w:r w:rsidR="000133C1" w:rsidRPr="00817B9F">
        <w:rPr>
          <w:rFonts w:cs="Times New Roman"/>
        </w:rPr>
        <w:t xml:space="preserve"> </w:t>
      </w:r>
      <w:r w:rsidR="004F0BCE" w:rsidRPr="00817B9F">
        <w:rPr>
          <w:rFonts w:cs="Times New Roman"/>
        </w:rPr>
        <w:t>c</w:t>
      </w:r>
      <w:r w:rsidR="000133C1" w:rsidRPr="00817B9F">
        <w:rPr>
          <w:rFonts w:cs="Times New Roman"/>
        </w:rPr>
        <w:t>are</w:t>
      </w:r>
      <w:r w:rsidR="00A05CE1" w:rsidRPr="00817B9F">
        <w:rPr>
          <w:rFonts w:cs="Times New Roman"/>
        </w:rPr>
        <w:t xml:space="preserve">, Medicare </w:t>
      </w:r>
      <w:r w:rsidR="004F0BCE" w:rsidRPr="00817B9F">
        <w:rPr>
          <w:rFonts w:cs="Times New Roman"/>
        </w:rPr>
        <w:t>h</w:t>
      </w:r>
      <w:r w:rsidR="000133C1" w:rsidRPr="00817B9F">
        <w:rPr>
          <w:rFonts w:cs="Times New Roman"/>
        </w:rPr>
        <w:t xml:space="preserve">ealth </w:t>
      </w:r>
      <w:r w:rsidR="004F0BCE" w:rsidRPr="00817B9F">
        <w:rPr>
          <w:rFonts w:cs="Times New Roman"/>
        </w:rPr>
        <w:t>p</w:t>
      </w:r>
      <w:r w:rsidR="000133C1" w:rsidRPr="00817B9F">
        <w:rPr>
          <w:rFonts w:cs="Times New Roman"/>
        </w:rPr>
        <w:t>lan</w:t>
      </w:r>
      <w:r w:rsidR="00117372" w:rsidRPr="00817B9F">
        <w:rPr>
          <w:rFonts w:cs="Times New Roman"/>
        </w:rPr>
        <w:t>s</w:t>
      </w:r>
      <w:r w:rsidR="00EC1467" w:rsidRPr="00817B9F">
        <w:rPr>
          <w:rFonts w:cs="Times New Roman"/>
        </w:rPr>
        <w:t>).</w:t>
      </w:r>
    </w:p>
    <w:p w14:paraId="041FCC54" w14:textId="0222F827" w:rsidR="005B4591" w:rsidRPr="00817B9F" w:rsidRDefault="005B4591" w:rsidP="005B0C55">
      <w:pPr>
        <w:pStyle w:val="BulletParagraph"/>
        <w:rPr>
          <w:rFonts w:cs="Times New Roman"/>
        </w:rPr>
      </w:pPr>
      <w:r w:rsidRPr="00817B9F">
        <w:rPr>
          <w:rFonts w:cs="Times New Roman"/>
        </w:rPr>
        <w:t>The amount charged by the provider as well as the amount allowed by the plan.</w:t>
      </w:r>
      <w:r w:rsidRPr="00817B9F">
        <w:rPr>
          <w:rStyle w:val="FootnoteReference"/>
          <w:rFonts w:cs="Times New Roman"/>
        </w:rPr>
        <w:footnoteReference w:id="36"/>
      </w:r>
      <w:r w:rsidRPr="00817B9F">
        <w:rPr>
          <w:rFonts w:cs="Times New Roman"/>
        </w:rPr>
        <w:t xml:space="preserve"> </w:t>
      </w:r>
    </w:p>
    <w:p w14:paraId="4C5F9967" w14:textId="7312498F" w:rsidR="008F6B7E" w:rsidRPr="00817B9F" w:rsidRDefault="00041433" w:rsidP="005B0C55">
      <w:pPr>
        <w:pStyle w:val="BulletParagraph"/>
        <w:rPr>
          <w:rFonts w:cs="Times New Roman"/>
        </w:rPr>
      </w:pPr>
      <w:r w:rsidRPr="00817B9F">
        <w:rPr>
          <w:rFonts w:cs="Times New Roman"/>
        </w:rPr>
        <w:t>The payment arrangement type</w:t>
      </w:r>
      <w:r w:rsidR="00280549" w:rsidRPr="00817B9F">
        <w:rPr>
          <w:rFonts w:cs="Times New Roman"/>
        </w:rPr>
        <w:t xml:space="preserve"> (</w:t>
      </w:r>
      <w:r w:rsidR="00280549" w:rsidRPr="00817B9F">
        <w:rPr>
          <w:rFonts w:cs="Times New Roman"/>
          <w:i/>
          <w:iCs/>
        </w:rPr>
        <w:t>e.g.</w:t>
      </w:r>
      <w:r w:rsidR="00280549" w:rsidRPr="00817B9F">
        <w:rPr>
          <w:rFonts w:cs="Times New Roman"/>
        </w:rPr>
        <w:t xml:space="preserve">, fee-for-service, </w:t>
      </w:r>
      <w:r w:rsidR="001D4295" w:rsidRPr="00817B9F">
        <w:rPr>
          <w:rFonts w:cs="Times New Roman"/>
        </w:rPr>
        <w:t>capitation</w:t>
      </w:r>
      <w:r w:rsidR="007D0292" w:rsidRPr="00817B9F">
        <w:rPr>
          <w:rFonts w:cs="Times New Roman"/>
        </w:rPr>
        <w:t>, bundled payment</w:t>
      </w:r>
      <w:r w:rsidR="00EC1467" w:rsidRPr="00817B9F">
        <w:rPr>
          <w:rFonts w:cs="Times New Roman"/>
        </w:rPr>
        <w:t>).</w:t>
      </w:r>
    </w:p>
    <w:p w14:paraId="15C30EE3" w14:textId="0CB13607" w:rsidR="00872398" w:rsidRPr="00817B9F" w:rsidRDefault="00037315" w:rsidP="005B0C55">
      <w:pPr>
        <w:pStyle w:val="BulletParagraph"/>
        <w:rPr>
          <w:rFonts w:cs="Times New Roman"/>
        </w:rPr>
      </w:pPr>
      <w:r w:rsidRPr="00817B9F">
        <w:rPr>
          <w:rFonts w:cs="Times New Roman"/>
        </w:rPr>
        <w:t>Patient demographic</w:t>
      </w:r>
      <w:r w:rsidR="00483291" w:rsidRPr="00817B9F">
        <w:rPr>
          <w:rFonts w:cs="Times New Roman"/>
        </w:rPr>
        <w:t xml:space="preserve"> information</w:t>
      </w:r>
      <w:r w:rsidR="00872398" w:rsidRPr="00817B9F">
        <w:rPr>
          <w:rFonts w:cs="Times New Roman"/>
        </w:rPr>
        <w:t>, including</w:t>
      </w:r>
      <w:r w:rsidR="00A06070" w:rsidRPr="00817B9F">
        <w:rPr>
          <w:rFonts w:cs="Times New Roman"/>
        </w:rPr>
        <w:t xml:space="preserve"> birth year, gender</w:t>
      </w:r>
      <w:r w:rsidR="00EA689F" w:rsidRPr="00817B9F">
        <w:rPr>
          <w:rFonts w:cs="Times New Roman"/>
        </w:rPr>
        <w:t xml:space="preserve">, and </w:t>
      </w:r>
      <w:r w:rsidR="00760847" w:rsidRPr="00817B9F">
        <w:rPr>
          <w:rFonts w:cs="Times New Roman"/>
        </w:rPr>
        <w:t>ZIP Code of residence</w:t>
      </w:r>
      <w:r w:rsidR="00EA689F" w:rsidRPr="00817B9F">
        <w:rPr>
          <w:rFonts w:cs="Times New Roman"/>
        </w:rPr>
        <w:t>.</w:t>
      </w:r>
    </w:p>
    <w:p w14:paraId="6DE4E2A7" w14:textId="24213B1D" w:rsidR="00D95EB9" w:rsidRPr="00817B9F" w:rsidRDefault="003463F4" w:rsidP="005B0C55">
      <w:pPr>
        <w:pStyle w:val="BulletParagraph"/>
        <w:rPr>
          <w:rFonts w:cs="Times New Roman"/>
        </w:rPr>
      </w:pPr>
      <w:r w:rsidRPr="00817B9F">
        <w:rPr>
          <w:rFonts w:cs="Times New Roman"/>
        </w:rPr>
        <w:t>The ZIP Code of the service provider.</w:t>
      </w:r>
    </w:p>
    <w:p w14:paraId="76FA5109" w14:textId="7C42ACDC" w:rsidR="004074DD" w:rsidRPr="00817B9F" w:rsidRDefault="000F19F7" w:rsidP="002D2D7F">
      <w:pPr>
        <w:pStyle w:val="BulletParagraph"/>
        <w:rPr>
          <w:rFonts w:cs="Times New Roman"/>
        </w:rPr>
      </w:pPr>
      <w:r w:rsidRPr="00817B9F">
        <w:rPr>
          <w:rFonts w:cs="Times New Roman"/>
        </w:rPr>
        <w:t>The National Provider</w:t>
      </w:r>
      <w:r w:rsidR="002D2D7F" w:rsidRPr="00817B9F">
        <w:rPr>
          <w:rFonts w:cs="Times New Roman"/>
        </w:rPr>
        <w:t xml:space="preserve"> </w:t>
      </w:r>
      <w:r w:rsidRPr="00817B9F">
        <w:rPr>
          <w:rFonts w:cs="Times New Roman"/>
        </w:rPr>
        <w:t>Identifier (“NPI”)</w:t>
      </w:r>
      <w:r w:rsidR="008D30B4" w:rsidRPr="00817B9F">
        <w:rPr>
          <w:rStyle w:val="CommentReference"/>
          <w:rFonts w:eastAsiaTheme="minorEastAsia" w:cs="Times New Roman"/>
          <w:sz w:val="24"/>
          <w:szCs w:val="24"/>
        </w:rPr>
        <w:t xml:space="preserve"> </w:t>
      </w:r>
      <w:r w:rsidRPr="00817B9F">
        <w:rPr>
          <w:rFonts w:cs="Times New Roman"/>
        </w:rPr>
        <w:t>associated with the servicing, rendering, and billing provider</w:t>
      </w:r>
      <w:r w:rsidR="004074DD" w:rsidRPr="00817B9F">
        <w:rPr>
          <w:rFonts w:cs="Times New Roman"/>
        </w:rPr>
        <w:t>.</w:t>
      </w:r>
      <w:r w:rsidR="008D30B4" w:rsidRPr="00817B9F">
        <w:rPr>
          <w:rStyle w:val="FootnoteReference"/>
          <w:rFonts w:cs="Times New Roman"/>
        </w:rPr>
        <w:footnoteReference w:id="37"/>
      </w:r>
    </w:p>
    <w:p w14:paraId="1BC1F0A3" w14:textId="1EC89148" w:rsidR="00AF7F63" w:rsidRPr="00817B9F" w:rsidRDefault="00D9100F" w:rsidP="005B0C55">
      <w:pPr>
        <w:pStyle w:val="BulletParagraph"/>
        <w:rPr>
          <w:rFonts w:cs="Times New Roman"/>
        </w:rPr>
      </w:pPr>
      <w:r w:rsidRPr="00817B9F">
        <w:rPr>
          <w:rFonts w:cs="Times New Roman"/>
        </w:rPr>
        <w:t>Provider ide</w:t>
      </w:r>
      <w:r w:rsidR="00122913" w:rsidRPr="00817B9F">
        <w:rPr>
          <w:rFonts w:cs="Times New Roman"/>
        </w:rPr>
        <w:t>ntification numbers</w:t>
      </w:r>
      <w:r w:rsidRPr="00817B9F">
        <w:rPr>
          <w:rFonts w:cs="Times New Roman"/>
        </w:rPr>
        <w:t xml:space="preserve"> that can be linked to the APCD</w:t>
      </w:r>
      <w:r w:rsidR="007173DB" w:rsidRPr="00817B9F">
        <w:rPr>
          <w:rFonts w:cs="Times New Roman"/>
        </w:rPr>
        <w:t>’s</w:t>
      </w:r>
      <w:r w:rsidRPr="00817B9F">
        <w:rPr>
          <w:rFonts w:cs="Times New Roman"/>
        </w:rPr>
        <w:t xml:space="preserve"> </w:t>
      </w:r>
      <w:r w:rsidR="007173DB" w:rsidRPr="00817B9F">
        <w:rPr>
          <w:rFonts w:cs="Times New Roman"/>
        </w:rPr>
        <w:t>p</w:t>
      </w:r>
      <w:r w:rsidRPr="00817B9F">
        <w:rPr>
          <w:rFonts w:cs="Times New Roman"/>
        </w:rPr>
        <w:t xml:space="preserve">rovider </w:t>
      </w:r>
      <w:r w:rsidR="007173DB" w:rsidRPr="00817B9F">
        <w:rPr>
          <w:rFonts w:cs="Times New Roman"/>
        </w:rPr>
        <w:t>file</w:t>
      </w:r>
      <w:r w:rsidRPr="00817B9F">
        <w:rPr>
          <w:rFonts w:cs="Times New Roman"/>
        </w:rPr>
        <w:t xml:space="preserve"> to determine the </w:t>
      </w:r>
      <w:r w:rsidR="00642B52" w:rsidRPr="00817B9F">
        <w:rPr>
          <w:rFonts w:cs="Times New Roman"/>
        </w:rPr>
        <w:t xml:space="preserve">location of </w:t>
      </w:r>
      <w:r w:rsidR="003723C9" w:rsidRPr="00817B9F">
        <w:rPr>
          <w:rFonts w:cs="Times New Roman"/>
        </w:rPr>
        <w:t xml:space="preserve">the facility where </w:t>
      </w:r>
      <w:r w:rsidR="00A131B4" w:rsidRPr="00817B9F">
        <w:rPr>
          <w:rFonts w:cs="Times New Roman"/>
        </w:rPr>
        <w:t xml:space="preserve">the </w:t>
      </w:r>
      <w:r w:rsidR="003723C9" w:rsidRPr="00817B9F">
        <w:rPr>
          <w:rFonts w:cs="Times New Roman"/>
        </w:rPr>
        <w:t xml:space="preserve">service was provided </w:t>
      </w:r>
      <w:r w:rsidR="00642B52" w:rsidRPr="00817B9F">
        <w:rPr>
          <w:rFonts w:cs="Times New Roman"/>
        </w:rPr>
        <w:t xml:space="preserve">and the </w:t>
      </w:r>
      <w:r w:rsidRPr="00817B9F">
        <w:rPr>
          <w:rFonts w:cs="Times New Roman"/>
        </w:rPr>
        <w:t xml:space="preserve">identity </w:t>
      </w:r>
      <w:r w:rsidR="00642B52" w:rsidRPr="00817B9F">
        <w:rPr>
          <w:rFonts w:cs="Times New Roman"/>
        </w:rPr>
        <w:t>of the rendering provider.</w:t>
      </w:r>
    </w:p>
    <w:p w14:paraId="3B1ED503" w14:textId="41BA3F5C" w:rsidR="00565BF1" w:rsidRPr="00817B9F" w:rsidRDefault="00E94F57" w:rsidP="00565BF1">
      <w:pPr>
        <w:pStyle w:val="NumberedParagraphs"/>
      </w:pPr>
      <w:r w:rsidRPr="00817B9F">
        <w:lastRenderedPageBreak/>
        <w:t xml:space="preserve">The </w:t>
      </w:r>
      <w:r w:rsidR="007173DB" w:rsidRPr="00817B9F">
        <w:t>provider file that accompan</w:t>
      </w:r>
      <w:r w:rsidR="003110A9" w:rsidRPr="00817B9F">
        <w:t>ies</w:t>
      </w:r>
      <w:r w:rsidR="007173DB" w:rsidRPr="00817B9F">
        <w:t xml:space="preserve"> the APCD claims data</w:t>
      </w:r>
      <w:r w:rsidRPr="00817B9F">
        <w:t xml:space="preserve"> </w:t>
      </w:r>
      <w:r w:rsidR="00764097" w:rsidRPr="00817B9F">
        <w:t>contain</w:t>
      </w:r>
      <w:r w:rsidR="00ED74C5" w:rsidRPr="00817B9F">
        <w:t>s</w:t>
      </w:r>
      <w:r w:rsidR="00764097" w:rsidRPr="00817B9F">
        <w:t xml:space="preserve"> various</w:t>
      </w:r>
      <w:r w:rsidR="001C2C92" w:rsidRPr="00817B9F">
        <w:t xml:space="preserve"> </w:t>
      </w:r>
      <w:r w:rsidR="007B2593" w:rsidRPr="00817B9F">
        <w:t xml:space="preserve">demographic </w:t>
      </w:r>
      <w:r w:rsidR="001C2C92" w:rsidRPr="00817B9F">
        <w:t xml:space="preserve">information </w:t>
      </w:r>
      <w:r w:rsidR="00D11A1F" w:rsidRPr="00817B9F">
        <w:t>for each provider (</w:t>
      </w:r>
      <w:r w:rsidR="00D11A1F" w:rsidRPr="00817B9F">
        <w:rPr>
          <w:i/>
        </w:rPr>
        <w:t>e</w:t>
      </w:r>
      <w:r w:rsidR="002D7EE0" w:rsidRPr="00817B9F">
        <w:rPr>
          <w:i/>
        </w:rPr>
        <w:t>.g.</w:t>
      </w:r>
      <w:r w:rsidR="002D7EE0" w:rsidRPr="00817B9F">
        <w:t xml:space="preserve">, </w:t>
      </w:r>
      <w:r w:rsidR="00C71D8D" w:rsidRPr="00817B9F">
        <w:t>clinician</w:t>
      </w:r>
      <w:r w:rsidR="002D7EE0" w:rsidRPr="00817B9F">
        <w:t xml:space="preserve">, </w:t>
      </w:r>
      <w:r w:rsidR="00C71D8D" w:rsidRPr="00817B9F">
        <w:t xml:space="preserve">hospital, </w:t>
      </w:r>
      <w:r w:rsidR="007C0790" w:rsidRPr="00817B9F">
        <w:t>off-campus</w:t>
      </w:r>
      <w:r w:rsidR="00C71D8D" w:rsidRPr="00817B9F">
        <w:t xml:space="preserve"> </w:t>
      </w:r>
      <w:r w:rsidR="00010E2D" w:rsidRPr="00817B9F">
        <w:t xml:space="preserve">hospital outpatient department </w:t>
      </w:r>
      <w:r w:rsidR="00D40F1B" w:rsidRPr="00817B9F">
        <w:t>(</w:t>
      </w:r>
      <w:r w:rsidR="00010E2D" w:rsidRPr="00817B9F">
        <w:t>“</w:t>
      </w:r>
      <w:r w:rsidR="00C71D8D" w:rsidRPr="00817B9F">
        <w:t>HOPD</w:t>
      </w:r>
      <w:r w:rsidR="00010E2D" w:rsidRPr="00817B9F">
        <w:t>”</w:t>
      </w:r>
      <w:r w:rsidR="00D40F1B" w:rsidRPr="00817B9F">
        <w:t>)</w:t>
      </w:r>
      <w:r w:rsidR="00C71D8D" w:rsidRPr="00817B9F">
        <w:t>, clinic, physician group)</w:t>
      </w:r>
      <w:r w:rsidR="00764097" w:rsidRPr="00817B9F">
        <w:t>, including:</w:t>
      </w:r>
      <w:r w:rsidR="00764097" w:rsidRPr="00817B9F">
        <w:rPr>
          <w:rStyle w:val="FootnoteReference"/>
        </w:rPr>
        <w:footnoteReference w:id="38"/>
      </w:r>
    </w:p>
    <w:p w14:paraId="66F470CF" w14:textId="391F76F8" w:rsidR="00E608BD" w:rsidRPr="00817B9F" w:rsidRDefault="00E608BD" w:rsidP="00E608BD">
      <w:pPr>
        <w:pStyle w:val="BulletParagraph"/>
        <w:rPr>
          <w:rFonts w:cs="Times New Roman"/>
        </w:rPr>
      </w:pPr>
      <w:r w:rsidRPr="00817B9F">
        <w:rPr>
          <w:rFonts w:cs="Times New Roman"/>
        </w:rPr>
        <w:t>The name of the provider.</w:t>
      </w:r>
    </w:p>
    <w:p w14:paraId="4A989794" w14:textId="5D37CD44" w:rsidR="00E608BD" w:rsidRPr="00817B9F" w:rsidRDefault="00C90BEE" w:rsidP="00E608BD">
      <w:pPr>
        <w:pStyle w:val="BulletParagraph"/>
        <w:rPr>
          <w:rFonts w:cs="Times New Roman"/>
        </w:rPr>
      </w:pPr>
      <w:r w:rsidRPr="00817B9F">
        <w:rPr>
          <w:rFonts w:cs="Times New Roman"/>
        </w:rPr>
        <w:t>The address of the provider.</w:t>
      </w:r>
    </w:p>
    <w:p w14:paraId="1C22DE60" w14:textId="1DE7BD84" w:rsidR="00B16A7B" w:rsidRPr="00817B9F" w:rsidRDefault="00B16A7B" w:rsidP="00E608BD">
      <w:pPr>
        <w:pStyle w:val="BulletParagraph"/>
        <w:rPr>
          <w:rFonts w:cs="Times New Roman"/>
        </w:rPr>
      </w:pPr>
      <w:r w:rsidRPr="00817B9F">
        <w:rPr>
          <w:rFonts w:cs="Times New Roman"/>
        </w:rPr>
        <w:t>The provider’s NPI.</w:t>
      </w:r>
    </w:p>
    <w:p w14:paraId="143966E9" w14:textId="199DE149" w:rsidR="009A63F7" w:rsidRPr="00817B9F" w:rsidRDefault="00C90BEE" w:rsidP="00F1228E">
      <w:pPr>
        <w:pStyle w:val="BulletParagraph"/>
        <w:rPr>
          <w:rFonts w:cs="Times New Roman"/>
        </w:rPr>
      </w:pPr>
      <w:r w:rsidRPr="00817B9F">
        <w:rPr>
          <w:rFonts w:cs="Times New Roman"/>
        </w:rPr>
        <w:t xml:space="preserve">The </w:t>
      </w:r>
      <w:r w:rsidR="002A24E2" w:rsidRPr="00817B9F">
        <w:rPr>
          <w:rFonts w:cs="Times New Roman"/>
        </w:rPr>
        <w:t>p</w:t>
      </w:r>
      <w:r w:rsidR="00A9708C" w:rsidRPr="00817B9F">
        <w:rPr>
          <w:rFonts w:cs="Times New Roman"/>
        </w:rPr>
        <w:t>rovider’s a</w:t>
      </w:r>
      <w:r w:rsidR="00A35C56" w:rsidRPr="00817B9F">
        <w:rPr>
          <w:rFonts w:cs="Times New Roman"/>
        </w:rPr>
        <w:t>ssociation</w:t>
      </w:r>
      <w:r w:rsidR="00A9708C" w:rsidRPr="00817B9F">
        <w:rPr>
          <w:rFonts w:cs="Times New Roman"/>
        </w:rPr>
        <w:t xml:space="preserve"> </w:t>
      </w:r>
      <w:r w:rsidR="00A35C56" w:rsidRPr="00817B9F">
        <w:rPr>
          <w:rFonts w:cs="Times New Roman"/>
        </w:rPr>
        <w:t>with</w:t>
      </w:r>
      <w:r w:rsidR="00A9708C" w:rsidRPr="00817B9F">
        <w:rPr>
          <w:rFonts w:cs="Times New Roman"/>
        </w:rPr>
        <w:t xml:space="preserve"> another entity or to a specific facility</w:t>
      </w:r>
      <w:r w:rsidR="00A35C56" w:rsidRPr="00817B9F">
        <w:rPr>
          <w:rFonts w:cs="Times New Roman"/>
        </w:rPr>
        <w:t>, and the start and end dates of that affiliation</w:t>
      </w:r>
      <w:r w:rsidR="00A9708C" w:rsidRPr="00817B9F">
        <w:rPr>
          <w:rFonts w:cs="Times New Roman"/>
        </w:rPr>
        <w:t>.</w:t>
      </w:r>
    </w:p>
    <w:p w14:paraId="41A4B48A" w14:textId="2223BF72" w:rsidR="00F04AD3" w:rsidRPr="00817B9F" w:rsidRDefault="00416B5F" w:rsidP="00F1228E">
      <w:pPr>
        <w:pStyle w:val="BulletParagraph"/>
        <w:rPr>
          <w:rFonts w:cs="Times New Roman"/>
        </w:rPr>
      </w:pPr>
      <w:r w:rsidRPr="00817B9F">
        <w:rPr>
          <w:rFonts w:cs="Times New Roman"/>
        </w:rPr>
        <w:t xml:space="preserve">The </w:t>
      </w:r>
      <w:r w:rsidR="00385D02" w:rsidRPr="00817B9F">
        <w:rPr>
          <w:rFonts w:cs="Times New Roman"/>
        </w:rPr>
        <w:t>entity type of the provider</w:t>
      </w:r>
      <w:r w:rsidR="002B690E" w:rsidRPr="00817B9F">
        <w:rPr>
          <w:rFonts w:cs="Times New Roman"/>
        </w:rPr>
        <w:t xml:space="preserve"> (</w:t>
      </w:r>
      <w:r w:rsidR="002B690E" w:rsidRPr="00817B9F">
        <w:rPr>
          <w:rFonts w:cs="Times New Roman"/>
          <w:i/>
        </w:rPr>
        <w:t>e.g</w:t>
      </w:r>
      <w:r w:rsidR="002B690E" w:rsidRPr="00817B9F">
        <w:rPr>
          <w:rFonts w:cs="Times New Roman"/>
        </w:rPr>
        <w:t>., person, facility, financial parent).</w:t>
      </w:r>
    </w:p>
    <w:p w14:paraId="25FA93AC" w14:textId="2945C026" w:rsidR="00394583" w:rsidRPr="00817B9F" w:rsidRDefault="00A67F34" w:rsidP="00394583">
      <w:pPr>
        <w:pStyle w:val="NumberedParagraphs"/>
      </w:pPr>
      <w:r w:rsidRPr="00817B9F">
        <w:t xml:space="preserve">A single claim may be adjudicated by a payor </w:t>
      </w:r>
      <w:r w:rsidR="008D30B4" w:rsidRPr="00817B9F">
        <w:t>several</w:t>
      </w:r>
      <w:r w:rsidRPr="00817B9F">
        <w:t xml:space="preserve"> times. For example, a claim </w:t>
      </w:r>
      <w:r w:rsidR="00FC3EF2" w:rsidRPr="00817B9F">
        <w:t>that was originally denied may be reprocessed by a payor following the receipt of additional information from a plan member or provide</w:t>
      </w:r>
      <w:r w:rsidR="001646CC" w:rsidRPr="00817B9F">
        <w:t xml:space="preserve">r. Similarly, the allowed amount for a claim may be </w:t>
      </w:r>
      <w:r w:rsidR="003B5EDB" w:rsidRPr="00817B9F">
        <w:t xml:space="preserve">adjusted by a payor following the claim’s initial adjudication. </w:t>
      </w:r>
      <w:r w:rsidR="00717367" w:rsidRPr="00817B9F">
        <w:t>Because r</w:t>
      </w:r>
      <w:r w:rsidR="009407CA" w:rsidRPr="00817B9F">
        <w:t>e-adjudication of a claim can create additional records in the APCD</w:t>
      </w:r>
      <w:r w:rsidR="00717367" w:rsidRPr="00817B9F">
        <w:t xml:space="preserve">, the data must be limited </w:t>
      </w:r>
      <w:r w:rsidR="00FC19F9" w:rsidRPr="00817B9F">
        <w:t>to final adjudicated claim lines prior to analysis.</w:t>
      </w:r>
    </w:p>
    <w:p w14:paraId="2A344670" w14:textId="002F3D9F" w:rsidR="00A84D05" w:rsidRPr="00817B9F" w:rsidRDefault="00FC19F9" w:rsidP="00A84D05">
      <w:pPr>
        <w:pStyle w:val="NumberedParagraphs"/>
      </w:pPr>
      <w:r w:rsidRPr="00817B9F">
        <w:t xml:space="preserve">For each of the largest </w:t>
      </w:r>
      <w:r w:rsidR="00117554" w:rsidRPr="00817B9F">
        <w:t>carriers</w:t>
      </w:r>
      <w:r w:rsidR="00E47C03" w:rsidRPr="00817B9F">
        <w:t xml:space="preserve"> </w:t>
      </w:r>
      <w:r w:rsidR="00946BC3" w:rsidRPr="00817B9F">
        <w:t>(</w:t>
      </w:r>
      <w:r w:rsidR="00946BC3" w:rsidRPr="00817B9F">
        <w:rPr>
          <w:i/>
          <w:iCs/>
        </w:rPr>
        <w:t>i.e.</w:t>
      </w:r>
      <w:r w:rsidR="00946BC3" w:rsidRPr="00817B9F">
        <w:t>, payors)</w:t>
      </w:r>
      <w:r w:rsidRPr="00817B9F">
        <w:t xml:space="preserve"> </w:t>
      </w:r>
      <w:r w:rsidR="00117554" w:rsidRPr="00817B9F">
        <w:t xml:space="preserve">in the APCD, CHIA has developed carrier-specific logic that the agency uses to </w:t>
      </w:r>
      <w:r w:rsidR="00EC5CD4" w:rsidRPr="00817B9F">
        <w:t>flag the most recent version of each claim.</w:t>
      </w:r>
      <w:r w:rsidR="00724842" w:rsidRPr="00817B9F">
        <w:rPr>
          <w:rStyle w:val="FootnoteReference"/>
        </w:rPr>
        <w:footnoteReference w:id="39"/>
      </w:r>
      <w:r w:rsidR="00EC5CD4" w:rsidRPr="00817B9F">
        <w:t xml:space="preserve"> When available, we rely on this flag to identify final adjudicated claim lines.</w:t>
      </w:r>
      <w:r w:rsidR="00117554" w:rsidRPr="00817B9F">
        <w:t xml:space="preserve"> </w:t>
      </w:r>
      <w:r w:rsidR="00724842" w:rsidRPr="00817B9F">
        <w:t>For payors where the CHIA versioning flag is not available,</w:t>
      </w:r>
      <w:r w:rsidR="00117554" w:rsidRPr="00817B9F">
        <w:t xml:space="preserve"> </w:t>
      </w:r>
      <w:r w:rsidR="00B72E5A" w:rsidRPr="00817B9F">
        <w:t xml:space="preserve">we </w:t>
      </w:r>
      <w:r w:rsidR="00ED47AD" w:rsidRPr="00817B9F">
        <w:t xml:space="preserve">implement steps </w:t>
      </w:r>
      <w:r w:rsidR="00ED74C5" w:rsidRPr="00817B9F">
        <w:t xml:space="preserve">similar to those </w:t>
      </w:r>
      <w:r w:rsidR="00ED47AD" w:rsidRPr="00817B9F">
        <w:t>described</w:t>
      </w:r>
      <w:r w:rsidR="00B72E5A" w:rsidRPr="00817B9F">
        <w:t xml:space="preserve"> in </w:t>
      </w:r>
      <w:r w:rsidR="00EB5CF2" w:rsidRPr="00817B9F">
        <w:t>CHIA documentation</w:t>
      </w:r>
      <w:r w:rsidR="00B72E5A" w:rsidRPr="00817B9F">
        <w:t xml:space="preserve"> to </w:t>
      </w:r>
      <w:r w:rsidR="00644316" w:rsidRPr="00817B9F">
        <w:t>identify the most recent version of each claim.</w:t>
      </w:r>
      <w:r w:rsidR="00F74462" w:rsidRPr="00817B9F">
        <w:rPr>
          <w:rStyle w:val="FootnoteReference"/>
        </w:rPr>
        <w:footnoteReference w:id="40"/>
      </w:r>
      <w:r w:rsidR="00644316" w:rsidRPr="00817B9F">
        <w:t xml:space="preserve"> </w:t>
      </w:r>
      <w:r w:rsidR="00EB5CF2" w:rsidRPr="00817B9F">
        <w:t xml:space="preserve">These steps include </w:t>
      </w:r>
      <w:r w:rsidR="00E40AEB" w:rsidRPr="00817B9F">
        <w:t xml:space="preserve">(1) </w:t>
      </w:r>
      <w:r w:rsidR="00013A68" w:rsidRPr="00817B9F">
        <w:t>identifying</w:t>
      </w:r>
      <w:r w:rsidR="00B42C87" w:rsidRPr="00817B9F">
        <w:t xml:space="preserve"> duplicate </w:t>
      </w:r>
      <w:r w:rsidR="00B42C87" w:rsidRPr="00817B9F">
        <w:lastRenderedPageBreak/>
        <w:t>entries</w:t>
      </w:r>
      <w:r w:rsidR="00990DA1" w:rsidRPr="00817B9F">
        <w:t xml:space="preserve"> and void</w:t>
      </w:r>
      <w:r w:rsidR="00E40AEB" w:rsidRPr="00817B9F">
        <w:t xml:space="preserve"> </w:t>
      </w:r>
      <w:r w:rsidR="00990DA1" w:rsidRPr="00817B9F">
        <w:t>records</w:t>
      </w:r>
      <w:r w:rsidR="00E40AEB" w:rsidRPr="00817B9F">
        <w:t xml:space="preserve">, (2) removing records with certain </w:t>
      </w:r>
      <w:r w:rsidR="00BE27B6" w:rsidRPr="00817B9F">
        <w:t xml:space="preserve">claim statuses, and (3) narrowing the </w:t>
      </w:r>
      <w:r w:rsidR="00223824" w:rsidRPr="00817B9F">
        <w:t xml:space="preserve">remaining records based on the </w:t>
      </w:r>
      <w:r w:rsidR="00B777BD" w:rsidRPr="00817B9F">
        <w:rPr>
          <w:i/>
          <w:iCs/>
        </w:rPr>
        <w:t>T</w:t>
      </w:r>
      <w:r w:rsidR="00223824" w:rsidRPr="00817B9F">
        <w:rPr>
          <w:i/>
          <w:iCs/>
        </w:rPr>
        <w:t xml:space="preserve">ype of </w:t>
      </w:r>
      <w:r w:rsidR="00B777BD" w:rsidRPr="00817B9F">
        <w:rPr>
          <w:i/>
          <w:iCs/>
        </w:rPr>
        <w:t>C</w:t>
      </w:r>
      <w:r w:rsidR="00223824" w:rsidRPr="00817B9F">
        <w:rPr>
          <w:i/>
          <w:iCs/>
        </w:rPr>
        <w:t>laim</w:t>
      </w:r>
      <w:r w:rsidR="00223824" w:rsidRPr="00817B9F">
        <w:t xml:space="preserve"> field.</w:t>
      </w:r>
      <w:r w:rsidR="00845654" w:rsidRPr="00817B9F">
        <w:t xml:space="preserve"> </w:t>
      </w:r>
      <w:r w:rsidR="00C20E58" w:rsidRPr="00817B9F">
        <w:t>We</w:t>
      </w:r>
      <w:r w:rsidR="00ED74C5" w:rsidRPr="00817B9F">
        <w:t xml:space="preserve"> also</w:t>
      </w:r>
      <w:r w:rsidR="00C20E58" w:rsidRPr="00817B9F">
        <w:t xml:space="preserve"> remove any claims where the total charge or </w:t>
      </w:r>
      <w:r w:rsidR="00022131" w:rsidRPr="00817B9F">
        <w:t xml:space="preserve">the </w:t>
      </w:r>
      <w:r w:rsidR="00C20E58" w:rsidRPr="00817B9F">
        <w:t>allo</w:t>
      </w:r>
      <w:r w:rsidR="002D7CB4" w:rsidRPr="00817B9F">
        <w:t xml:space="preserve">wed </w:t>
      </w:r>
      <w:r w:rsidR="00022131" w:rsidRPr="00817B9F">
        <w:t xml:space="preserve">amount </w:t>
      </w:r>
      <w:r w:rsidR="002D7CB4" w:rsidRPr="00817B9F">
        <w:t>is negative.</w:t>
      </w:r>
      <w:r w:rsidR="008A5C76" w:rsidRPr="00817B9F">
        <w:rPr>
          <w:rStyle w:val="FootnoteReference"/>
        </w:rPr>
        <w:footnoteReference w:id="41"/>
      </w:r>
    </w:p>
    <w:p w14:paraId="3A98E0ED" w14:textId="209153A0" w:rsidR="0095770D" w:rsidRPr="00817B9F" w:rsidRDefault="00091F84" w:rsidP="0095770D">
      <w:pPr>
        <w:pStyle w:val="NumberedParagraphs"/>
      </w:pPr>
      <w:r w:rsidRPr="00817B9F">
        <w:t>After determining the final adjudicated</w:t>
      </w:r>
      <w:r w:rsidR="0095770D" w:rsidRPr="00817B9F">
        <w:t xml:space="preserve"> claim</w:t>
      </w:r>
      <w:r w:rsidRPr="00817B9F">
        <w:t xml:space="preserve"> lines</w:t>
      </w:r>
      <w:r w:rsidR="0095770D" w:rsidRPr="00817B9F">
        <w:t xml:space="preserve">, we </w:t>
      </w:r>
      <w:r w:rsidRPr="00817B9F">
        <w:t>next</w:t>
      </w:r>
      <w:r w:rsidR="0095770D" w:rsidRPr="00817B9F">
        <w:t xml:space="preserve"> identify the ZIP Code where the service was provided and the owner of the facility.</w:t>
      </w:r>
    </w:p>
    <w:p w14:paraId="15F9B686" w14:textId="4F1C9A67" w:rsidR="0095770D" w:rsidRPr="00817B9F" w:rsidRDefault="0095770D" w:rsidP="005B0C55">
      <w:pPr>
        <w:pStyle w:val="BulletParagraph"/>
        <w:rPr>
          <w:rFonts w:cs="Times New Roman"/>
        </w:rPr>
      </w:pPr>
      <w:r w:rsidRPr="00817B9F">
        <w:rPr>
          <w:rFonts w:cs="Times New Roman"/>
        </w:rPr>
        <w:t xml:space="preserve">To identify the ZIP Code where the service was provided, we </w:t>
      </w:r>
      <w:r w:rsidR="002D1178" w:rsidRPr="00817B9F">
        <w:rPr>
          <w:rFonts w:cs="Times New Roman"/>
        </w:rPr>
        <w:t xml:space="preserve">first rely on </w:t>
      </w:r>
      <w:r w:rsidRPr="00817B9F">
        <w:rPr>
          <w:rFonts w:cs="Times New Roman"/>
        </w:rPr>
        <w:t xml:space="preserve">the Service </w:t>
      </w:r>
      <w:r w:rsidR="00C84FE4" w:rsidRPr="00817B9F">
        <w:rPr>
          <w:rFonts w:cs="Times New Roman"/>
        </w:rPr>
        <w:t>P</w:t>
      </w:r>
      <w:r w:rsidR="003463F4" w:rsidRPr="00817B9F">
        <w:rPr>
          <w:rFonts w:cs="Times New Roman"/>
        </w:rPr>
        <w:t>rovider</w:t>
      </w:r>
      <w:r w:rsidRPr="00817B9F">
        <w:rPr>
          <w:rFonts w:cs="Times New Roman"/>
        </w:rPr>
        <w:t xml:space="preserve"> ZIP Code field in the </w:t>
      </w:r>
      <w:r w:rsidR="003463F4" w:rsidRPr="00817B9F">
        <w:rPr>
          <w:rFonts w:cs="Times New Roman"/>
        </w:rPr>
        <w:t xml:space="preserve">claims data. </w:t>
      </w:r>
      <w:r w:rsidR="001E6183" w:rsidRPr="00817B9F">
        <w:rPr>
          <w:rFonts w:cs="Times New Roman"/>
        </w:rPr>
        <w:t xml:space="preserve">For some claims, </w:t>
      </w:r>
      <w:r w:rsidR="0017709A" w:rsidRPr="00817B9F">
        <w:rPr>
          <w:rFonts w:cs="Times New Roman"/>
        </w:rPr>
        <w:t>t</w:t>
      </w:r>
      <w:r w:rsidR="002E1A83" w:rsidRPr="00817B9F">
        <w:rPr>
          <w:rFonts w:cs="Times New Roman"/>
        </w:rPr>
        <w:t xml:space="preserve">his ZIP Code differs from the ZIP Code </w:t>
      </w:r>
      <w:r w:rsidR="00E91FA5" w:rsidRPr="00817B9F">
        <w:rPr>
          <w:rFonts w:cs="Times New Roman"/>
        </w:rPr>
        <w:t>associated with the provider location identification n</w:t>
      </w:r>
      <w:r w:rsidR="009A45BE" w:rsidRPr="00817B9F">
        <w:rPr>
          <w:rFonts w:cs="Times New Roman"/>
        </w:rPr>
        <w:t>umber in the APCD provider file.</w:t>
      </w:r>
      <w:r w:rsidR="00937137" w:rsidRPr="00817B9F">
        <w:rPr>
          <w:rFonts w:cs="Times New Roman"/>
        </w:rPr>
        <w:t xml:space="preserve"> </w:t>
      </w:r>
      <w:r w:rsidR="009D4B36" w:rsidRPr="00817B9F">
        <w:rPr>
          <w:rFonts w:cs="Times New Roman"/>
        </w:rPr>
        <w:t>When</w:t>
      </w:r>
      <w:r w:rsidR="0072756A" w:rsidRPr="00817B9F">
        <w:rPr>
          <w:rFonts w:cs="Times New Roman"/>
        </w:rPr>
        <w:t xml:space="preserve"> the ZIP Code in the provider file</w:t>
      </w:r>
      <w:r w:rsidRPr="00817B9F">
        <w:rPr>
          <w:rFonts w:cs="Times New Roman"/>
        </w:rPr>
        <w:t xml:space="preserve"> </w:t>
      </w:r>
      <w:r w:rsidR="00BC05AC" w:rsidRPr="00817B9F">
        <w:rPr>
          <w:rFonts w:cs="Times New Roman"/>
        </w:rPr>
        <w:t xml:space="preserve">is unique or if it aligns with </w:t>
      </w:r>
      <w:r w:rsidRPr="00817B9F">
        <w:rPr>
          <w:rFonts w:cs="Times New Roman"/>
        </w:rPr>
        <w:t xml:space="preserve">the </w:t>
      </w:r>
      <w:r w:rsidR="00D31D67" w:rsidRPr="00817B9F">
        <w:rPr>
          <w:rFonts w:cs="Times New Roman"/>
        </w:rPr>
        <w:t xml:space="preserve">primary business practice ZIP Code associated with the </w:t>
      </w:r>
      <w:r w:rsidR="007B6D97" w:rsidRPr="00817B9F">
        <w:rPr>
          <w:rFonts w:cs="Times New Roman"/>
        </w:rPr>
        <w:t xml:space="preserve">NPI </w:t>
      </w:r>
      <w:r w:rsidR="004E0C6B" w:rsidRPr="00817B9F">
        <w:rPr>
          <w:rFonts w:cs="Times New Roman"/>
        </w:rPr>
        <w:t xml:space="preserve">in the </w:t>
      </w:r>
      <w:r w:rsidR="00CE43A5" w:rsidRPr="00817B9F">
        <w:rPr>
          <w:rFonts w:cs="Times New Roman"/>
        </w:rPr>
        <w:t>claims data</w:t>
      </w:r>
      <w:r w:rsidR="00665295" w:rsidRPr="00817B9F">
        <w:rPr>
          <w:rFonts w:cs="Times New Roman"/>
        </w:rPr>
        <w:t>, we</w:t>
      </w:r>
      <w:r w:rsidR="00967F81" w:rsidRPr="00817B9F">
        <w:rPr>
          <w:rFonts w:cs="Times New Roman"/>
        </w:rPr>
        <w:t xml:space="preserve"> use th</w:t>
      </w:r>
      <w:r w:rsidR="00BC05AC" w:rsidRPr="00817B9F">
        <w:rPr>
          <w:rFonts w:cs="Times New Roman"/>
        </w:rPr>
        <w:t>e ZIP Code in the provider file</w:t>
      </w:r>
      <w:r w:rsidR="00262450" w:rsidRPr="00817B9F">
        <w:rPr>
          <w:rFonts w:cs="Times New Roman"/>
        </w:rPr>
        <w:t xml:space="preserve"> </w:t>
      </w:r>
      <w:r w:rsidR="00D662BB" w:rsidRPr="00817B9F">
        <w:rPr>
          <w:rFonts w:cs="Times New Roman"/>
        </w:rPr>
        <w:t>(to the extent it differs from the</w:t>
      </w:r>
      <w:r w:rsidRPr="00817B9F">
        <w:rPr>
          <w:rFonts w:cs="Times New Roman"/>
        </w:rPr>
        <w:t xml:space="preserve"> Service </w:t>
      </w:r>
      <w:r w:rsidR="00D662BB" w:rsidRPr="00817B9F">
        <w:rPr>
          <w:rFonts w:cs="Times New Roman"/>
        </w:rPr>
        <w:t>Provider ZIP Code field in the claims data) to determine the location where the service was provided</w:t>
      </w:r>
      <w:r w:rsidRPr="00817B9F">
        <w:rPr>
          <w:rFonts w:cs="Times New Roman"/>
        </w:rPr>
        <w:t>.</w:t>
      </w:r>
    </w:p>
    <w:p w14:paraId="4F1A2F64" w14:textId="534C42C3" w:rsidR="0095770D" w:rsidRPr="00817B9F" w:rsidRDefault="0095770D" w:rsidP="005B0C55">
      <w:pPr>
        <w:pStyle w:val="BulletParagraph"/>
        <w:rPr>
          <w:rFonts w:cs="Times New Roman"/>
        </w:rPr>
      </w:pPr>
      <w:r w:rsidRPr="00817B9F">
        <w:rPr>
          <w:rFonts w:cs="Times New Roman"/>
        </w:rPr>
        <w:t xml:space="preserve">To determine the ownership for the facility, we first identify the </w:t>
      </w:r>
      <w:r w:rsidR="00ED13F0" w:rsidRPr="00817B9F">
        <w:rPr>
          <w:rFonts w:cs="Times New Roman"/>
        </w:rPr>
        <w:t>organization name</w:t>
      </w:r>
      <w:r w:rsidRPr="00817B9F">
        <w:rPr>
          <w:rFonts w:cs="Times New Roman"/>
        </w:rPr>
        <w:t xml:space="preserve"> </w:t>
      </w:r>
      <w:r w:rsidR="00ED13F0" w:rsidRPr="00817B9F">
        <w:rPr>
          <w:rFonts w:cs="Times New Roman"/>
        </w:rPr>
        <w:t>associated with</w:t>
      </w:r>
      <w:r w:rsidRPr="00817B9F">
        <w:rPr>
          <w:rFonts w:cs="Times New Roman"/>
        </w:rPr>
        <w:t xml:space="preserve"> the facility where the service was provided</w:t>
      </w:r>
      <w:r w:rsidR="001B35F9" w:rsidRPr="00817B9F">
        <w:rPr>
          <w:rFonts w:cs="Times New Roman"/>
        </w:rPr>
        <w:t xml:space="preserve"> using</w:t>
      </w:r>
      <w:r w:rsidRPr="00817B9F">
        <w:rPr>
          <w:rFonts w:cs="Times New Roman"/>
        </w:rPr>
        <w:t xml:space="preserve"> the service, rendering, and billing provider NPIs </w:t>
      </w:r>
      <w:r w:rsidR="000D7DAD" w:rsidRPr="00817B9F">
        <w:rPr>
          <w:rFonts w:cs="Times New Roman"/>
        </w:rPr>
        <w:t>recorded in the claims data</w:t>
      </w:r>
      <w:r w:rsidR="001B35F9" w:rsidRPr="00817B9F">
        <w:rPr>
          <w:rStyle w:val="HeaderChar"/>
          <w:rFonts w:cs="Times New Roman"/>
        </w:rPr>
        <w:t>.</w:t>
      </w:r>
      <w:r w:rsidR="001B35F9" w:rsidRPr="00817B9F">
        <w:rPr>
          <w:rStyle w:val="FootnoteReference"/>
          <w:rFonts w:cs="Times New Roman"/>
          <w:vertAlign w:val="baseline"/>
        </w:rPr>
        <w:footnoteReference w:id="42"/>
      </w:r>
      <w:r w:rsidRPr="00817B9F">
        <w:rPr>
          <w:rFonts w:cs="Times New Roman"/>
        </w:rPr>
        <w:t xml:space="preserve"> We then assign each facility </w:t>
      </w:r>
      <w:r w:rsidR="00236A6A" w:rsidRPr="00817B9F">
        <w:rPr>
          <w:rFonts w:cs="Times New Roman"/>
        </w:rPr>
        <w:t>its</w:t>
      </w:r>
      <w:r w:rsidRPr="00817B9F">
        <w:rPr>
          <w:rFonts w:cs="Times New Roman"/>
        </w:rPr>
        <w:t xml:space="preserve"> parent or owner based on online research.</w:t>
      </w:r>
      <w:r w:rsidR="00652909" w:rsidRPr="00817B9F">
        <w:rPr>
          <w:rStyle w:val="FootnoteReference"/>
          <w:rFonts w:cs="Times New Roman"/>
        </w:rPr>
        <w:footnoteReference w:id="43"/>
      </w:r>
    </w:p>
    <w:p w14:paraId="7ABA440B" w14:textId="3FF50F80" w:rsidR="006700C5" w:rsidRPr="00817B9F" w:rsidRDefault="00D7057D" w:rsidP="00311933">
      <w:pPr>
        <w:pStyle w:val="NumberedParagraphs"/>
      </w:pPr>
      <w:r w:rsidRPr="00817B9F">
        <w:t>Finally</w:t>
      </w:r>
      <w:r w:rsidR="00BE3956" w:rsidRPr="00817B9F">
        <w:t>, we limit the</w:t>
      </w:r>
      <w:r w:rsidR="005F6476" w:rsidRPr="00817B9F">
        <w:t xml:space="preserve"> </w:t>
      </w:r>
      <w:r w:rsidR="00BE774D" w:rsidRPr="00817B9F">
        <w:t xml:space="preserve">APCD </w:t>
      </w:r>
      <w:r w:rsidR="00CB4C88" w:rsidRPr="00817B9F">
        <w:t>claims data</w:t>
      </w:r>
      <w:r w:rsidR="00BE774D" w:rsidRPr="00817B9F">
        <w:t xml:space="preserve"> to </w:t>
      </w:r>
      <w:r w:rsidR="00DF369F" w:rsidRPr="00817B9F">
        <w:t xml:space="preserve">patient </w:t>
      </w:r>
      <w:r w:rsidR="00480A5E" w:rsidRPr="00817B9F">
        <w:t xml:space="preserve">care episodes with start dates in </w:t>
      </w:r>
      <w:r w:rsidR="00FE1C79" w:rsidRPr="00817B9F">
        <w:t>2018</w:t>
      </w:r>
      <w:r w:rsidR="004D305D" w:rsidRPr="00817B9F">
        <w:t xml:space="preserve"> </w:t>
      </w:r>
      <w:r w:rsidR="00031F0C" w:rsidRPr="00817B9F">
        <w:t>where care was</w:t>
      </w:r>
      <w:r w:rsidR="004D305D" w:rsidRPr="00817B9F">
        <w:t xml:space="preserve"> provided to </w:t>
      </w:r>
      <w:r w:rsidR="00031F0C" w:rsidRPr="00817B9F">
        <w:t xml:space="preserve">a </w:t>
      </w:r>
      <w:r w:rsidR="0086505B" w:rsidRPr="00817B9F">
        <w:t xml:space="preserve">MassHealth </w:t>
      </w:r>
      <w:r w:rsidR="00C120D4" w:rsidRPr="00817B9F">
        <w:t>beneficiary</w:t>
      </w:r>
      <w:r w:rsidR="00D373D7" w:rsidRPr="00817B9F">
        <w:t xml:space="preserve"> or to a </w:t>
      </w:r>
      <w:r w:rsidR="00031F0C" w:rsidRPr="00817B9F">
        <w:t xml:space="preserve">member of </w:t>
      </w:r>
      <w:r w:rsidR="00237EA2" w:rsidRPr="00817B9F">
        <w:t xml:space="preserve">a </w:t>
      </w:r>
      <w:r w:rsidR="00BE774D" w:rsidRPr="00817B9F">
        <w:t>commercial</w:t>
      </w:r>
      <w:r w:rsidR="005F6476" w:rsidRPr="00817B9F">
        <w:t xml:space="preserve"> </w:t>
      </w:r>
      <w:r w:rsidR="00031F0C" w:rsidRPr="00817B9F">
        <w:t xml:space="preserve">or Medicare </w:t>
      </w:r>
      <w:r w:rsidR="00237EA2" w:rsidRPr="00817B9F">
        <w:t>h</w:t>
      </w:r>
      <w:r w:rsidR="00031F0C" w:rsidRPr="00817B9F">
        <w:t xml:space="preserve">ealth </w:t>
      </w:r>
      <w:r w:rsidR="00237EA2" w:rsidRPr="00817B9F">
        <w:t>p</w:t>
      </w:r>
      <w:r w:rsidR="00031F0C" w:rsidRPr="00817B9F">
        <w:t>lan</w:t>
      </w:r>
      <w:r w:rsidR="00D373D7" w:rsidRPr="00817B9F">
        <w:t>.</w:t>
      </w:r>
      <w:r w:rsidR="00D373D7" w:rsidRPr="00817B9F">
        <w:rPr>
          <w:rStyle w:val="FootnoteReference"/>
        </w:rPr>
        <w:footnoteReference w:id="44"/>
      </w:r>
      <w:r w:rsidR="00DC79B0" w:rsidRPr="00817B9F">
        <w:t xml:space="preserve"> We also </w:t>
      </w:r>
      <w:r w:rsidR="00412025" w:rsidRPr="00817B9F">
        <w:t xml:space="preserve">exclude claims from </w:t>
      </w:r>
      <w:r w:rsidR="00E0188D" w:rsidRPr="00817B9F">
        <w:t xml:space="preserve">out-of-state providers and </w:t>
      </w:r>
      <w:r w:rsidR="00DC79B0" w:rsidRPr="00817B9F">
        <w:t>limit</w:t>
      </w:r>
      <w:r w:rsidR="00867D4C" w:rsidRPr="00817B9F">
        <w:t xml:space="preserve"> to</w:t>
      </w:r>
      <w:r w:rsidR="00DC79B0" w:rsidRPr="00817B9F">
        <w:t xml:space="preserve"> </w:t>
      </w:r>
      <w:r w:rsidR="00E0188D" w:rsidRPr="00817B9F">
        <w:t>patients</w:t>
      </w:r>
      <w:r w:rsidR="00DC79B0" w:rsidRPr="00817B9F">
        <w:t xml:space="preserve"> </w:t>
      </w:r>
      <w:r w:rsidR="0086505B" w:rsidRPr="00817B9F">
        <w:t xml:space="preserve">residing in </w:t>
      </w:r>
      <w:r w:rsidR="0086505B" w:rsidRPr="00817B9F">
        <w:lastRenderedPageBreak/>
        <w:t>one</w:t>
      </w:r>
      <w:r w:rsidR="00031F0C" w:rsidRPr="00817B9F">
        <w:t xml:space="preserve"> </w:t>
      </w:r>
      <w:r w:rsidR="004D305D" w:rsidRPr="00817B9F">
        <w:t xml:space="preserve">of the following Massachusetts counties: </w:t>
      </w:r>
      <w:r w:rsidR="0080583C" w:rsidRPr="00817B9F">
        <w:t xml:space="preserve">Suffolk, Essex, Middlesex, Norfolk, Bristol, Plymouth, and Worcester. </w:t>
      </w:r>
    </w:p>
    <w:p w14:paraId="324A3F50" w14:textId="095B77B9" w:rsidR="009A47D2" w:rsidRPr="00817B9F" w:rsidRDefault="00F21D20" w:rsidP="009A47D2">
      <w:pPr>
        <w:pStyle w:val="NumberedParagraphs"/>
      </w:pPr>
      <w:r w:rsidRPr="00817B9F">
        <w:t>When</w:t>
      </w:r>
      <w:r w:rsidR="00EF4AB3" w:rsidRPr="00817B9F">
        <w:t xml:space="preserve"> analyzing </w:t>
      </w:r>
      <w:r w:rsidRPr="00817B9F">
        <w:t>rel</w:t>
      </w:r>
      <w:r w:rsidR="00A47838" w:rsidRPr="00817B9F">
        <w:t>ative prices, we also remove</w:t>
      </w:r>
      <w:r w:rsidR="000E0BBE" w:rsidRPr="00817B9F">
        <w:t xml:space="preserve"> any claims </w:t>
      </w:r>
      <w:r w:rsidR="00A47838" w:rsidRPr="00817B9F">
        <w:t>from the APCD</w:t>
      </w:r>
      <w:r w:rsidR="000E0BBE" w:rsidRPr="00817B9F">
        <w:t xml:space="preserve"> </w:t>
      </w:r>
      <w:r w:rsidR="00851547" w:rsidRPr="00817B9F">
        <w:t xml:space="preserve">where </w:t>
      </w:r>
      <w:r w:rsidR="00A47838" w:rsidRPr="00817B9F">
        <w:t>the</w:t>
      </w:r>
      <w:r w:rsidR="00851547" w:rsidRPr="00817B9F">
        <w:t xml:space="preserve"> total </w:t>
      </w:r>
      <w:r w:rsidR="00C53C3F" w:rsidRPr="00817B9F">
        <w:t>charge or allowed amount</w:t>
      </w:r>
      <w:r w:rsidR="00851547" w:rsidRPr="00817B9F">
        <w:t xml:space="preserve"> </w:t>
      </w:r>
      <w:r w:rsidR="007216F1" w:rsidRPr="00817B9F">
        <w:t xml:space="preserve">aggregated across claim lines is zero or </w:t>
      </w:r>
      <w:r w:rsidR="00040504" w:rsidRPr="00817B9F">
        <w:t>mis</w:t>
      </w:r>
      <w:r w:rsidR="000B2499" w:rsidRPr="00817B9F">
        <w:t>sing</w:t>
      </w:r>
      <w:r w:rsidR="00C53C3F" w:rsidRPr="00817B9F">
        <w:t>.</w:t>
      </w:r>
      <w:r w:rsidR="008739D6" w:rsidRPr="00817B9F">
        <w:rPr>
          <w:rStyle w:val="FootnoteReference"/>
        </w:rPr>
        <w:footnoteReference w:id="45"/>
      </w:r>
      <w:r w:rsidR="00C53C3F" w:rsidRPr="00817B9F">
        <w:t xml:space="preserve"> Additionally</w:t>
      </w:r>
      <w:r w:rsidR="00A01131" w:rsidRPr="00817B9F">
        <w:t>,</w:t>
      </w:r>
      <w:r w:rsidR="00C53C3F" w:rsidRPr="00817B9F">
        <w:t xml:space="preserve"> we excl</w:t>
      </w:r>
      <w:r w:rsidR="00937086" w:rsidRPr="00817B9F">
        <w:t xml:space="preserve">ude any </w:t>
      </w:r>
      <w:r w:rsidR="00A01131" w:rsidRPr="00817B9F">
        <w:t>claims</w:t>
      </w:r>
      <w:r w:rsidR="000E0BBE" w:rsidRPr="00817B9F">
        <w:t xml:space="preserve"> where the </w:t>
      </w:r>
      <w:r w:rsidR="009A4104" w:rsidRPr="00817B9F">
        <w:t xml:space="preserve">claim-level </w:t>
      </w:r>
      <w:r w:rsidR="000E0BBE" w:rsidRPr="00817B9F">
        <w:t>allowed amount</w:t>
      </w:r>
      <w:r w:rsidR="004739A6" w:rsidRPr="00817B9F">
        <w:t xml:space="preserve"> </w:t>
      </w:r>
      <w:r w:rsidR="00937086" w:rsidRPr="00817B9F">
        <w:t>was</w:t>
      </w:r>
      <w:r w:rsidR="004739A6" w:rsidRPr="00817B9F">
        <w:t xml:space="preserve"> </w:t>
      </w:r>
      <w:r w:rsidR="001D4AB4" w:rsidRPr="00817B9F">
        <w:t>(1)</w:t>
      </w:r>
      <w:r w:rsidR="004739A6" w:rsidRPr="00817B9F">
        <w:t xml:space="preserve"> greater than </w:t>
      </w:r>
      <w:r w:rsidR="009A4104" w:rsidRPr="00817B9F">
        <w:t>claim-level</w:t>
      </w:r>
      <w:r w:rsidR="004739A6" w:rsidRPr="00817B9F">
        <w:t xml:space="preserve"> charges</w:t>
      </w:r>
      <w:r w:rsidR="00937086" w:rsidRPr="00817B9F">
        <w:t xml:space="preserve"> </w:t>
      </w:r>
      <w:r w:rsidR="009A4104" w:rsidRPr="00817B9F">
        <w:t>or (2)</w:t>
      </w:r>
      <w:r w:rsidR="00B91E59" w:rsidRPr="00817B9F">
        <w:t xml:space="preserve"> less than </w:t>
      </w:r>
      <w:r w:rsidR="00B043B4" w:rsidRPr="00817B9F">
        <w:t>ten</w:t>
      </w:r>
      <w:r w:rsidR="00B91E59" w:rsidRPr="00817B9F">
        <w:t xml:space="preserve"> percent of </w:t>
      </w:r>
      <w:r w:rsidR="00322C81" w:rsidRPr="00817B9F">
        <w:t>claim-level charges</w:t>
      </w:r>
      <w:r w:rsidR="00B91E59" w:rsidRPr="00817B9F">
        <w:t>. Finally</w:t>
      </w:r>
      <w:r w:rsidR="00A01131" w:rsidRPr="00817B9F">
        <w:t>,</w:t>
      </w:r>
      <w:r w:rsidR="00B91E59" w:rsidRPr="00817B9F">
        <w:t xml:space="preserve"> we exclude claims with </w:t>
      </w:r>
      <w:r w:rsidR="002D4E24" w:rsidRPr="00817B9F">
        <w:t xml:space="preserve">a non-zero </w:t>
      </w:r>
      <w:r w:rsidR="00B91E59" w:rsidRPr="00817B9F">
        <w:t xml:space="preserve">coordination of benefits </w:t>
      </w:r>
      <w:r w:rsidR="008F19EA" w:rsidRPr="00817B9F">
        <w:t>amount</w:t>
      </w:r>
      <w:r w:rsidR="00F13264" w:rsidRPr="00817B9F">
        <w:t xml:space="preserve"> (</w:t>
      </w:r>
      <w:r w:rsidR="00F13264" w:rsidRPr="00817B9F">
        <w:rPr>
          <w:i/>
          <w:iCs/>
        </w:rPr>
        <w:t>i.e.</w:t>
      </w:r>
      <w:r w:rsidR="00F13264" w:rsidRPr="00817B9F">
        <w:t>, when a secondary payor is involved)</w:t>
      </w:r>
      <w:r w:rsidR="00B91E59" w:rsidRPr="00817B9F">
        <w:t xml:space="preserve">, </w:t>
      </w:r>
      <w:r w:rsidR="009800E6" w:rsidRPr="00817B9F">
        <w:t xml:space="preserve">and </w:t>
      </w:r>
      <w:r w:rsidR="00B91E59" w:rsidRPr="00817B9F">
        <w:t xml:space="preserve">claims </w:t>
      </w:r>
      <w:r w:rsidR="003F2D4C" w:rsidRPr="00817B9F">
        <w:t xml:space="preserve">associated with </w:t>
      </w:r>
      <w:r w:rsidR="001357AA" w:rsidRPr="00817B9F">
        <w:t>cap</w:t>
      </w:r>
      <w:r w:rsidR="004E3A02" w:rsidRPr="00817B9F">
        <w:t>itated</w:t>
      </w:r>
      <w:r w:rsidR="009800E6" w:rsidRPr="00817B9F">
        <w:t>,</w:t>
      </w:r>
      <w:r w:rsidR="00A9360E" w:rsidRPr="00817B9F">
        <w:t xml:space="preserve"> </w:t>
      </w:r>
      <w:r w:rsidR="00CA61A2" w:rsidRPr="00817B9F">
        <w:t xml:space="preserve">global or </w:t>
      </w:r>
      <w:r w:rsidR="00960BD4" w:rsidRPr="00817B9F">
        <w:t>bundled payments</w:t>
      </w:r>
      <w:r w:rsidR="009800E6" w:rsidRPr="00817B9F">
        <w:t>,</w:t>
      </w:r>
      <w:r w:rsidR="00960BD4" w:rsidRPr="00817B9F">
        <w:t xml:space="preserve"> as well as </w:t>
      </w:r>
      <w:r w:rsidR="000B48B3" w:rsidRPr="00817B9F">
        <w:t xml:space="preserve">other </w:t>
      </w:r>
      <w:r w:rsidR="00EC05D8" w:rsidRPr="00817B9F">
        <w:t>paymen</w:t>
      </w:r>
      <w:r w:rsidR="00C77F64" w:rsidRPr="00817B9F">
        <w:t xml:space="preserve">t </w:t>
      </w:r>
      <w:r w:rsidR="00960BD4" w:rsidRPr="00817B9F">
        <w:t>arrangement</w:t>
      </w:r>
      <w:r w:rsidR="00567F8C" w:rsidRPr="00817B9F">
        <w:t>s</w:t>
      </w:r>
      <w:r w:rsidR="00960BD4" w:rsidRPr="00817B9F">
        <w:t>.</w:t>
      </w:r>
      <w:r w:rsidR="00960BD4" w:rsidRPr="00817B9F">
        <w:rPr>
          <w:rStyle w:val="FootnoteReference"/>
        </w:rPr>
        <w:footnoteReference w:id="46"/>
      </w:r>
    </w:p>
    <w:p w14:paraId="14084140" w14:textId="42460389" w:rsidR="00EB7370" w:rsidRPr="00817B9F" w:rsidRDefault="000208C5" w:rsidP="001B6A1C">
      <w:pPr>
        <w:pStyle w:val="Heading3"/>
      </w:pPr>
      <w:bookmarkStart w:id="14" w:name="_Toc90046493"/>
      <w:r w:rsidRPr="00817B9F">
        <w:t>Medicare Claims Data</w:t>
      </w:r>
      <w:bookmarkEnd w:id="14"/>
    </w:p>
    <w:p w14:paraId="13BC64ED" w14:textId="5CF56756" w:rsidR="00125C2A" w:rsidRPr="00817B9F" w:rsidRDefault="00CF3609" w:rsidP="00215351">
      <w:pPr>
        <w:pStyle w:val="NumberedParagraphs"/>
      </w:pPr>
      <w:r w:rsidRPr="00817B9F">
        <w:t xml:space="preserve">While the APCD includes information on </w:t>
      </w:r>
      <w:r w:rsidR="008769E8" w:rsidRPr="00817B9F">
        <w:t>claims</w:t>
      </w:r>
      <w:r w:rsidRPr="00817B9F">
        <w:t xml:space="preserve"> </w:t>
      </w:r>
      <w:r w:rsidR="008769E8" w:rsidRPr="00817B9F">
        <w:t xml:space="preserve">submitted </w:t>
      </w:r>
      <w:r w:rsidRPr="00817B9F">
        <w:t xml:space="preserve">by Medicare </w:t>
      </w:r>
      <w:r w:rsidR="00591F7D" w:rsidRPr="00817B9F">
        <w:t>h</w:t>
      </w:r>
      <w:r w:rsidR="00423F18" w:rsidRPr="00817B9F">
        <w:t>ealth</w:t>
      </w:r>
      <w:r w:rsidRPr="00817B9F">
        <w:t xml:space="preserve"> </w:t>
      </w:r>
      <w:r w:rsidR="00591F7D" w:rsidRPr="00817B9F">
        <w:t>p</w:t>
      </w:r>
      <w:r w:rsidR="0002483F" w:rsidRPr="00817B9F">
        <w:t>lans, it does not include</w:t>
      </w:r>
      <w:r w:rsidR="008769E8" w:rsidRPr="00817B9F">
        <w:t xml:space="preserve"> data on care provided to beneficiaries enrolled in Original Medicare. </w:t>
      </w:r>
      <w:r w:rsidR="00463A41" w:rsidRPr="00817B9F">
        <w:t xml:space="preserve">Unlike Medicare </w:t>
      </w:r>
      <w:r w:rsidR="00591F7D" w:rsidRPr="00817B9F">
        <w:t>h</w:t>
      </w:r>
      <w:r w:rsidR="00EA1880" w:rsidRPr="00817B9F">
        <w:t xml:space="preserve">ealth </w:t>
      </w:r>
      <w:r w:rsidR="00591F7D" w:rsidRPr="00817B9F">
        <w:t>p</w:t>
      </w:r>
      <w:r w:rsidR="00EA1880" w:rsidRPr="00817B9F">
        <w:t>lans</w:t>
      </w:r>
      <w:r w:rsidR="00463A41" w:rsidRPr="00817B9F">
        <w:t xml:space="preserve"> where a beneficiary </w:t>
      </w:r>
      <w:r w:rsidR="00547071" w:rsidRPr="00817B9F">
        <w:t xml:space="preserve">receives Medicare benefits through a </w:t>
      </w:r>
      <w:r w:rsidR="00E56DFE" w:rsidRPr="00817B9F">
        <w:t>health benefits company</w:t>
      </w:r>
      <w:r w:rsidR="000E2641" w:rsidRPr="00817B9F">
        <w:t xml:space="preserve"> </w:t>
      </w:r>
      <w:r w:rsidR="0087152D" w:rsidRPr="00817B9F">
        <w:t>that</w:t>
      </w:r>
      <w:r w:rsidR="000E2641" w:rsidRPr="00817B9F">
        <w:t xml:space="preserve"> in turn reimburses</w:t>
      </w:r>
      <w:r w:rsidR="00824BA2" w:rsidRPr="00817B9F">
        <w:t xml:space="preserve"> </w:t>
      </w:r>
      <w:r w:rsidR="00A61C83" w:rsidRPr="00817B9F">
        <w:t>providers</w:t>
      </w:r>
      <w:r w:rsidR="00824BA2" w:rsidRPr="00817B9F">
        <w:t>,</w:t>
      </w:r>
      <w:r w:rsidR="000E2641" w:rsidRPr="00817B9F">
        <w:t xml:space="preserve"> Original Medicare reimburses providers directly.</w:t>
      </w:r>
      <w:r w:rsidR="0068625F" w:rsidRPr="00817B9F">
        <w:t xml:space="preserve"> </w:t>
      </w:r>
    </w:p>
    <w:p w14:paraId="69664869" w14:textId="42AFE496" w:rsidR="00215351" w:rsidRPr="00817B9F" w:rsidRDefault="00492A68" w:rsidP="00215351">
      <w:pPr>
        <w:pStyle w:val="NumberedParagraphs"/>
      </w:pPr>
      <w:r w:rsidRPr="00817B9F">
        <w:t xml:space="preserve">We rely on </w:t>
      </w:r>
      <w:r w:rsidR="0054710A" w:rsidRPr="00817B9F">
        <w:t>two</w:t>
      </w:r>
      <w:r w:rsidRPr="00817B9F">
        <w:t xml:space="preserve"> </w:t>
      </w:r>
      <w:r w:rsidR="00FF4466" w:rsidRPr="00817B9F">
        <w:t xml:space="preserve">Medicare </w:t>
      </w:r>
      <w:r w:rsidR="00014219" w:rsidRPr="00817B9F">
        <w:t>C</w:t>
      </w:r>
      <w:r w:rsidR="00FF4466" w:rsidRPr="00817B9F">
        <w:t>laim files in our analysis</w:t>
      </w:r>
      <w:r w:rsidR="004A7D21" w:rsidRPr="00817B9F">
        <w:t>:</w:t>
      </w:r>
      <w:r w:rsidR="006E3245" w:rsidRPr="00817B9F">
        <w:rPr>
          <w:rStyle w:val="FootnoteReference"/>
        </w:rPr>
        <w:footnoteReference w:id="47"/>
      </w:r>
      <w:r w:rsidR="00166F18" w:rsidRPr="00817B9F">
        <w:rPr>
          <w:rStyle w:val="FootnoteReference"/>
        </w:rPr>
        <w:t xml:space="preserve"> </w:t>
      </w:r>
    </w:p>
    <w:p w14:paraId="093077A8" w14:textId="25373E72" w:rsidR="00232F94" w:rsidRPr="00817B9F" w:rsidRDefault="000330B6" w:rsidP="005B0C55">
      <w:pPr>
        <w:pStyle w:val="BulletParagraph"/>
        <w:rPr>
          <w:rFonts w:cs="Times New Roman"/>
        </w:rPr>
      </w:pPr>
      <w:r w:rsidRPr="00817B9F">
        <w:rPr>
          <w:rFonts w:cs="Times New Roman"/>
        </w:rPr>
        <w:t xml:space="preserve">The Medicare Outpatient </w:t>
      </w:r>
      <w:r w:rsidR="00B72FC4" w:rsidRPr="00817B9F">
        <w:rPr>
          <w:rFonts w:cs="Times New Roman"/>
        </w:rPr>
        <w:t>File</w:t>
      </w:r>
      <w:r w:rsidRPr="00817B9F">
        <w:rPr>
          <w:rFonts w:cs="Times New Roman"/>
        </w:rPr>
        <w:t xml:space="preserve"> include</w:t>
      </w:r>
      <w:r w:rsidR="008816E4" w:rsidRPr="00817B9F">
        <w:rPr>
          <w:rFonts w:cs="Times New Roman"/>
        </w:rPr>
        <w:t>s</w:t>
      </w:r>
      <w:r w:rsidRPr="00817B9F">
        <w:rPr>
          <w:rFonts w:cs="Times New Roman"/>
        </w:rPr>
        <w:t xml:space="preserve"> facility</w:t>
      </w:r>
      <w:r w:rsidR="00CB182D" w:rsidRPr="00817B9F">
        <w:rPr>
          <w:rFonts w:cs="Times New Roman"/>
        </w:rPr>
        <w:t xml:space="preserve"> claims submitted by institutional outpatient providers</w:t>
      </w:r>
      <w:r w:rsidR="006A5189" w:rsidRPr="00817B9F">
        <w:rPr>
          <w:rFonts w:cs="Times New Roman"/>
        </w:rPr>
        <w:t>, including</w:t>
      </w:r>
      <w:r w:rsidR="00A257EF" w:rsidRPr="00817B9F">
        <w:rPr>
          <w:rFonts w:cs="Times New Roman"/>
        </w:rPr>
        <w:t xml:space="preserve"> hospital outpatient departments, </w:t>
      </w:r>
      <w:r w:rsidR="00245F1D" w:rsidRPr="00817B9F">
        <w:rPr>
          <w:rFonts w:cs="Times New Roman"/>
        </w:rPr>
        <w:t xml:space="preserve">outpatient rehabilitation </w:t>
      </w:r>
      <w:r w:rsidR="00414C89" w:rsidRPr="00817B9F">
        <w:rPr>
          <w:rFonts w:cs="Times New Roman"/>
        </w:rPr>
        <w:t xml:space="preserve">facilities, and renal </w:t>
      </w:r>
      <w:r w:rsidR="004C74C5" w:rsidRPr="00817B9F">
        <w:rPr>
          <w:rFonts w:cs="Times New Roman"/>
        </w:rPr>
        <w:t>dialysis</w:t>
      </w:r>
      <w:r w:rsidR="00414C89" w:rsidRPr="00817B9F">
        <w:rPr>
          <w:rFonts w:cs="Times New Roman"/>
        </w:rPr>
        <w:t xml:space="preserve"> facilities</w:t>
      </w:r>
      <w:r w:rsidR="00245F1D" w:rsidRPr="00817B9F">
        <w:rPr>
          <w:rFonts w:cs="Times New Roman"/>
        </w:rPr>
        <w:t>.</w:t>
      </w:r>
      <w:r w:rsidR="006A363F" w:rsidRPr="00817B9F">
        <w:rPr>
          <w:rStyle w:val="FootnoteReference"/>
          <w:rFonts w:cs="Times New Roman"/>
        </w:rPr>
        <w:footnoteReference w:id="48"/>
      </w:r>
      <w:r w:rsidR="00A8152C" w:rsidRPr="00817B9F">
        <w:rPr>
          <w:rFonts w:cs="Times New Roman"/>
        </w:rPr>
        <w:t xml:space="preserve"> </w:t>
      </w:r>
    </w:p>
    <w:p w14:paraId="25CF8FB6" w14:textId="6F40DAA7" w:rsidR="00450278" w:rsidRPr="00817B9F" w:rsidRDefault="00B72FC4" w:rsidP="005B0C55">
      <w:pPr>
        <w:pStyle w:val="BulletParagraph"/>
        <w:rPr>
          <w:rFonts w:cs="Times New Roman"/>
        </w:rPr>
      </w:pPr>
      <w:r w:rsidRPr="00817B9F">
        <w:rPr>
          <w:rFonts w:cs="Times New Roman"/>
        </w:rPr>
        <w:lastRenderedPageBreak/>
        <w:t xml:space="preserve">The Medicare Carrier File </w:t>
      </w:r>
      <w:r w:rsidR="00095A0D" w:rsidRPr="00817B9F">
        <w:rPr>
          <w:rFonts w:cs="Times New Roman"/>
        </w:rPr>
        <w:t xml:space="preserve">includes claims submitted by professional providers </w:t>
      </w:r>
      <w:r w:rsidR="00381D3E" w:rsidRPr="00817B9F">
        <w:rPr>
          <w:rFonts w:cs="Times New Roman"/>
        </w:rPr>
        <w:t>and certain facility claims</w:t>
      </w:r>
      <w:r w:rsidR="0072079C" w:rsidRPr="00817B9F">
        <w:rPr>
          <w:rFonts w:cs="Times New Roman"/>
        </w:rPr>
        <w:t>.</w:t>
      </w:r>
      <w:r w:rsidR="008B370B" w:rsidRPr="00817B9F">
        <w:rPr>
          <w:rStyle w:val="FootnoteReference"/>
          <w:rFonts w:cs="Times New Roman"/>
        </w:rPr>
        <w:footnoteReference w:id="49"/>
      </w:r>
      <w:r w:rsidR="00381D3E" w:rsidRPr="00817B9F">
        <w:rPr>
          <w:rFonts w:cs="Times New Roman"/>
        </w:rPr>
        <w:t xml:space="preserve"> Professional claims include </w:t>
      </w:r>
      <w:r w:rsidR="0042363B" w:rsidRPr="00817B9F">
        <w:rPr>
          <w:rFonts w:cs="Times New Roman"/>
        </w:rPr>
        <w:t xml:space="preserve">claims submitted by physicians, physician assistants, clinical social workers, and nurse </w:t>
      </w:r>
      <w:r w:rsidR="00F35D92" w:rsidRPr="00817B9F">
        <w:rPr>
          <w:rFonts w:cs="Times New Roman"/>
        </w:rPr>
        <w:t>practitioners</w:t>
      </w:r>
      <w:r w:rsidR="0042363B" w:rsidRPr="00817B9F">
        <w:rPr>
          <w:rFonts w:cs="Times New Roman"/>
        </w:rPr>
        <w:t>.</w:t>
      </w:r>
      <w:r w:rsidR="001253FB" w:rsidRPr="00817B9F">
        <w:rPr>
          <w:rFonts w:cs="Times New Roman"/>
        </w:rPr>
        <w:t xml:space="preserve"> </w:t>
      </w:r>
      <w:r w:rsidR="003B5A98" w:rsidRPr="00817B9F">
        <w:rPr>
          <w:rFonts w:cs="Times New Roman"/>
        </w:rPr>
        <w:t>Among the facility claims included in the Carrier File are claims submitted</w:t>
      </w:r>
      <w:r w:rsidR="0068625F" w:rsidRPr="00817B9F">
        <w:rPr>
          <w:rFonts w:cs="Times New Roman"/>
        </w:rPr>
        <w:t xml:space="preserve"> </w:t>
      </w:r>
      <w:r w:rsidR="003B5A98" w:rsidRPr="00817B9F">
        <w:rPr>
          <w:rFonts w:cs="Times New Roman"/>
        </w:rPr>
        <w:t xml:space="preserve">by </w:t>
      </w:r>
      <w:r w:rsidR="00222066" w:rsidRPr="00817B9F">
        <w:rPr>
          <w:rFonts w:cs="Times New Roman"/>
        </w:rPr>
        <w:t xml:space="preserve">independent clinical laboratories, ambulance providers, freestanding </w:t>
      </w:r>
      <w:r w:rsidR="00C84BC7" w:rsidRPr="00817B9F">
        <w:rPr>
          <w:rFonts w:cs="Times New Roman"/>
        </w:rPr>
        <w:t>ASCs</w:t>
      </w:r>
      <w:r w:rsidR="00222066" w:rsidRPr="00817B9F">
        <w:rPr>
          <w:rFonts w:cs="Times New Roman"/>
        </w:rPr>
        <w:t>, and freestanding radiology centers.</w:t>
      </w:r>
      <w:r w:rsidR="006F74C9" w:rsidRPr="00817B9F">
        <w:rPr>
          <w:rStyle w:val="FootnoteReference"/>
          <w:rFonts w:cs="Times New Roman"/>
        </w:rPr>
        <w:footnoteReference w:id="50"/>
      </w:r>
    </w:p>
    <w:p w14:paraId="5463AE2F" w14:textId="7CEF61C4" w:rsidR="00222893" w:rsidRPr="00817B9F" w:rsidRDefault="007C429B" w:rsidP="007A2549">
      <w:pPr>
        <w:pStyle w:val="NumberedParagraphs"/>
      </w:pPr>
      <w:r w:rsidRPr="00817B9F">
        <w:t xml:space="preserve">Similar to the APCD, </w:t>
      </w:r>
      <w:r w:rsidR="004E7423" w:rsidRPr="00817B9F">
        <w:t xml:space="preserve">the </w:t>
      </w:r>
      <w:r w:rsidR="000832BD" w:rsidRPr="00817B9F">
        <w:t>Me</w:t>
      </w:r>
      <w:r w:rsidR="004A7D21" w:rsidRPr="00817B9F">
        <w:t xml:space="preserve">dicare </w:t>
      </w:r>
      <w:r w:rsidR="00847C2F" w:rsidRPr="00817B9F">
        <w:t>C</w:t>
      </w:r>
      <w:r w:rsidR="004A7D21" w:rsidRPr="00817B9F">
        <w:t xml:space="preserve">laims </w:t>
      </w:r>
      <w:r w:rsidR="001D5593" w:rsidRPr="00817B9F">
        <w:t>data</w:t>
      </w:r>
      <w:r w:rsidR="0079210B" w:rsidRPr="00817B9F">
        <w:t xml:space="preserve"> </w:t>
      </w:r>
      <w:r w:rsidR="00A64BAB" w:rsidRPr="00817B9F">
        <w:t>reflect detailed claim</w:t>
      </w:r>
      <w:r w:rsidR="0081710E" w:rsidRPr="00817B9F">
        <w:t xml:space="preserve"> line</w:t>
      </w:r>
      <w:r w:rsidR="00A64BAB" w:rsidRPr="00817B9F">
        <w:t xml:space="preserve">-level </w:t>
      </w:r>
      <w:r w:rsidR="008F13D3" w:rsidRPr="00817B9F">
        <w:t xml:space="preserve">data </w:t>
      </w:r>
      <w:r w:rsidR="0039184A" w:rsidRPr="00817B9F">
        <w:t xml:space="preserve">with </w:t>
      </w:r>
      <w:r w:rsidR="009C16A7" w:rsidRPr="00817B9F">
        <w:t xml:space="preserve">various </w:t>
      </w:r>
      <w:r w:rsidR="0039184A" w:rsidRPr="00817B9F">
        <w:t>information</w:t>
      </w:r>
      <w:r w:rsidR="009C16A7" w:rsidRPr="00817B9F">
        <w:t>, including</w:t>
      </w:r>
      <w:r w:rsidR="00552748" w:rsidRPr="00817B9F">
        <w:t>:</w:t>
      </w:r>
      <w:r w:rsidR="001C32E3" w:rsidRPr="00817B9F">
        <w:rPr>
          <w:rStyle w:val="FootnoteReference"/>
        </w:rPr>
        <w:footnoteReference w:id="51"/>
      </w:r>
    </w:p>
    <w:p w14:paraId="600C515B" w14:textId="0C1FCAB9" w:rsidR="000F1F2D" w:rsidRPr="00817B9F" w:rsidRDefault="000F1F2D" w:rsidP="005B0C55">
      <w:pPr>
        <w:pStyle w:val="BulletParagraph"/>
        <w:rPr>
          <w:rFonts w:cs="Times New Roman"/>
        </w:rPr>
      </w:pPr>
      <w:r w:rsidRPr="00817B9F">
        <w:rPr>
          <w:rFonts w:cs="Times New Roman"/>
        </w:rPr>
        <w:t>For professional</w:t>
      </w:r>
      <w:r w:rsidR="004E6CB9" w:rsidRPr="00817B9F">
        <w:rPr>
          <w:rFonts w:cs="Times New Roman"/>
        </w:rPr>
        <w:t xml:space="preserve"> claims</w:t>
      </w:r>
      <w:r w:rsidRPr="00817B9F">
        <w:rPr>
          <w:rFonts w:cs="Times New Roman"/>
        </w:rPr>
        <w:t>, the place of service (such as an office or clinic, on-campus or off-campus hospital outpatient department, or hospital emergency room),</w:t>
      </w:r>
      <w:r w:rsidR="002610AA" w:rsidRPr="00817B9F">
        <w:rPr>
          <w:rFonts w:cs="Times New Roman"/>
        </w:rPr>
        <w:t xml:space="preserve"> </w:t>
      </w:r>
      <w:r w:rsidR="00C36DE6" w:rsidRPr="00817B9F">
        <w:rPr>
          <w:rFonts w:cs="Times New Roman"/>
        </w:rPr>
        <w:t>service</w:t>
      </w:r>
      <w:r w:rsidR="00511139" w:rsidRPr="00817B9F">
        <w:rPr>
          <w:rFonts w:cs="Times New Roman"/>
        </w:rPr>
        <w:t xml:space="preserve"> location</w:t>
      </w:r>
      <w:r w:rsidR="00C36DE6" w:rsidRPr="00817B9F">
        <w:rPr>
          <w:rFonts w:cs="Times New Roman"/>
        </w:rPr>
        <w:t>,</w:t>
      </w:r>
      <w:r w:rsidR="00EA689F" w:rsidRPr="00817B9F">
        <w:rPr>
          <w:rFonts w:cs="Times New Roman"/>
        </w:rPr>
        <w:t xml:space="preserve"> </w:t>
      </w:r>
      <w:r w:rsidR="007E6457" w:rsidRPr="00817B9F">
        <w:rPr>
          <w:rFonts w:cs="Times New Roman"/>
        </w:rPr>
        <w:t xml:space="preserve">and NPIs for the </w:t>
      </w:r>
      <w:r w:rsidR="003800BE" w:rsidRPr="00817B9F">
        <w:rPr>
          <w:rFonts w:cs="Times New Roman"/>
        </w:rPr>
        <w:t>performing</w:t>
      </w:r>
      <w:r w:rsidR="00EA689F" w:rsidRPr="00817B9F">
        <w:rPr>
          <w:rFonts w:cs="Times New Roman"/>
        </w:rPr>
        <w:t xml:space="preserve"> </w:t>
      </w:r>
      <w:r w:rsidR="00920B3B" w:rsidRPr="00817B9F">
        <w:rPr>
          <w:rFonts w:cs="Times New Roman"/>
        </w:rPr>
        <w:t>physician</w:t>
      </w:r>
      <w:r w:rsidR="004A614F" w:rsidRPr="00817B9F">
        <w:rPr>
          <w:rFonts w:cs="Times New Roman"/>
        </w:rPr>
        <w:t>,</w:t>
      </w:r>
      <w:r w:rsidR="00C36DE6" w:rsidRPr="00817B9F">
        <w:rPr>
          <w:rFonts w:cs="Times New Roman"/>
        </w:rPr>
        <w:t xml:space="preserve"> </w:t>
      </w:r>
      <w:r w:rsidR="007E6457" w:rsidRPr="00817B9F">
        <w:rPr>
          <w:rFonts w:cs="Times New Roman"/>
        </w:rPr>
        <w:t xml:space="preserve">the </w:t>
      </w:r>
      <w:r w:rsidR="00C36DE6" w:rsidRPr="00817B9F">
        <w:rPr>
          <w:rFonts w:cs="Times New Roman"/>
        </w:rPr>
        <w:t>billing provider</w:t>
      </w:r>
      <w:r w:rsidR="003A1F30" w:rsidRPr="00817B9F">
        <w:rPr>
          <w:rFonts w:cs="Times New Roman"/>
        </w:rPr>
        <w:t>, and</w:t>
      </w:r>
      <w:r w:rsidR="007A428C" w:rsidRPr="00817B9F">
        <w:rPr>
          <w:rFonts w:cs="Times New Roman"/>
        </w:rPr>
        <w:t xml:space="preserve"> the</w:t>
      </w:r>
      <w:r w:rsidR="003A1F30" w:rsidRPr="00817B9F">
        <w:rPr>
          <w:rFonts w:cs="Times New Roman"/>
        </w:rPr>
        <w:t xml:space="preserve"> site of service</w:t>
      </w:r>
      <w:r w:rsidRPr="00817B9F">
        <w:rPr>
          <w:rFonts w:cs="Times New Roman"/>
        </w:rPr>
        <w:t>.</w:t>
      </w:r>
    </w:p>
    <w:p w14:paraId="509EAC69" w14:textId="605E34B7" w:rsidR="00F30EA4" w:rsidRPr="00817B9F" w:rsidRDefault="000F1F2D" w:rsidP="005B0C55">
      <w:pPr>
        <w:pStyle w:val="BulletParagraph"/>
        <w:rPr>
          <w:rFonts w:cs="Times New Roman"/>
        </w:rPr>
      </w:pPr>
      <w:r w:rsidRPr="00817B9F">
        <w:rPr>
          <w:rFonts w:cs="Times New Roman"/>
        </w:rPr>
        <w:t xml:space="preserve">For </w:t>
      </w:r>
      <w:r w:rsidR="005B1C4A" w:rsidRPr="00817B9F">
        <w:rPr>
          <w:rFonts w:cs="Times New Roman"/>
        </w:rPr>
        <w:t xml:space="preserve">outpatient </w:t>
      </w:r>
      <w:r w:rsidR="007E6457" w:rsidRPr="00817B9F">
        <w:rPr>
          <w:rFonts w:cs="Times New Roman"/>
        </w:rPr>
        <w:t>facility claims</w:t>
      </w:r>
      <w:r w:rsidR="005B1C4A" w:rsidRPr="00817B9F">
        <w:rPr>
          <w:rFonts w:cs="Times New Roman"/>
        </w:rPr>
        <w:t>,</w:t>
      </w:r>
      <w:r w:rsidR="00C36DE6" w:rsidRPr="00817B9F">
        <w:rPr>
          <w:rFonts w:cs="Times New Roman"/>
        </w:rPr>
        <w:t xml:space="preserve"> </w:t>
      </w:r>
      <w:r w:rsidR="00511139" w:rsidRPr="00817B9F">
        <w:rPr>
          <w:rFonts w:cs="Times New Roman"/>
        </w:rPr>
        <w:t xml:space="preserve">the </w:t>
      </w:r>
      <w:r w:rsidR="007E6457" w:rsidRPr="00817B9F">
        <w:rPr>
          <w:rFonts w:cs="Times New Roman"/>
        </w:rPr>
        <w:t xml:space="preserve">facility’s </w:t>
      </w:r>
      <w:r w:rsidR="00B253F0" w:rsidRPr="00817B9F">
        <w:rPr>
          <w:rFonts w:cs="Times New Roman"/>
        </w:rPr>
        <w:t xml:space="preserve">Centers for Medicare </w:t>
      </w:r>
      <w:r w:rsidR="00E80824" w:rsidRPr="00817B9F">
        <w:rPr>
          <w:rFonts w:cs="Times New Roman"/>
        </w:rPr>
        <w:t>and</w:t>
      </w:r>
      <w:r w:rsidR="00B253F0" w:rsidRPr="00817B9F">
        <w:rPr>
          <w:rFonts w:cs="Times New Roman"/>
        </w:rPr>
        <w:t xml:space="preserve"> Medicaid Services (“</w:t>
      </w:r>
      <w:r w:rsidR="008B3AE7" w:rsidRPr="00817B9F">
        <w:rPr>
          <w:rFonts w:cs="Times New Roman"/>
        </w:rPr>
        <w:t>CMS</w:t>
      </w:r>
      <w:r w:rsidR="00B253F0" w:rsidRPr="00817B9F">
        <w:rPr>
          <w:rFonts w:cs="Times New Roman"/>
        </w:rPr>
        <w:t>”)</w:t>
      </w:r>
      <w:r w:rsidR="008B3AE7" w:rsidRPr="00817B9F">
        <w:rPr>
          <w:rFonts w:cs="Times New Roman"/>
        </w:rPr>
        <w:t xml:space="preserve"> </w:t>
      </w:r>
      <w:r w:rsidR="00E60823" w:rsidRPr="00817B9F">
        <w:rPr>
          <w:rFonts w:cs="Times New Roman"/>
        </w:rPr>
        <w:t>c</w:t>
      </w:r>
      <w:r w:rsidR="008B3AE7" w:rsidRPr="00817B9F">
        <w:rPr>
          <w:rFonts w:cs="Times New Roman"/>
        </w:rPr>
        <w:t xml:space="preserve">ertification </w:t>
      </w:r>
      <w:r w:rsidR="00E60823" w:rsidRPr="00817B9F">
        <w:rPr>
          <w:rFonts w:cs="Times New Roman"/>
        </w:rPr>
        <w:t>n</w:t>
      </w:r>
      <w:r w:rsidR="008B3AE7" w:rsidRPr="00817B9F">
        <w:rPr>
          <w:rFonts w:cs="Times New Roman"/>
        </w:rPr>
        <w:t>umber</w:t>
      </w:r>
      <w:r w:rsidR="00752912" w:rsidRPr="00817B9F">
        <w:rPr>
          <w:rFonts w:cs="Times New Roman"/>
        </w:rPr>
        <w:t xml:space="preserve"> and </w:t>
      </w:r>
      <w:r w:rsidR="00034DF3" w:rsidRPr="00817B9F">
        <w:rPr>
          <w:rFonts w:cs="Times New Roman"/>
        </w:rPr>
        <w:t>ZIP Code</w:t>
      </w:r>
      <w:r w:rsidR="0029321C" w:rsidRPr="00817B9F">
        <w:rPr>
          <w:rFonts w:cs="Times New Roman"/>
        </w:rPr>
        <w:t>,</w:t>
      </w:r>
      <w:r w:rsidR="00034DF3" w:rsidRPr="00817B9F">
        <w:rPr>
          <w:rFonts w:cs="Times New Roman"/>
        </w:rPr>
        <w:t xml:space="preserve"> </w:t>
      </w:r>
      <w:r w:rsidR="00E1425C" w:rsidRPr="00817B9F">
        <w:rPr>
          <w:rFonts w:cs="Times New Roman"/>
        </w:rPr>
        <w:t>as well as</w:t>
      </w:r>
      <w:r w:rsidR="00034DF3" w:rsidRPr="00817B9F">
        <w:rPr>
          <w:rFonts w:cs="Times New Roman"/>
        </w:rPr>
        <w:t xml:space="preserve"> </w:t>
      </w:r>
      <w:r w:rsidR="000E5FF0" w:rsidRPr="00817B9F">
        <w:rPr>
          <w:rFonts w:cs="Times New Roman"/>
        </w:rPr>
        <w:t>the</w:t>
      </w:r>
      <w:r w:rsidR="00D31C36" w:rsidRPr="00817B9F">
        <w:rPr>
          <w:rFonts w:cs="Times New Roman"/>
        </w:rPr>
        <w:t xml:space="preserve"> organization</w:t>
      </w:r>
      <w:r w:rsidR="00B40B2D" w:rsidRPr="00817B9F">
        <w:rPr>
          <w:rFonts w:cs="Times New Roman"/>
        </w:rPr>
        <w:t>/group practice</w:t>
      </w:r>
      <w:r w:rsidR="00D31C36" w:rsidRPr="00817B9F">
        <w:rPr>
          <w:rFonts w:cs="Times New Roman"/>
        </w:rPr>
        <w:t xml:space="preserve"> and </w:t>
      </w:r>
      <w:r w:rsidR="00752912" w:rsidRPr="00817B9F">
        <w:rPr>
          <w:rFonts w:cs="Times New Roman"/>
        </w:rPr>
        <w:t xml:space="preserve">attending </w:t>
      </w:r>
      <w:r w:rsidR="00B40B2D" w:rsidRPr="00817B9F">
        <w:rPr>
          <w:rFonts w:cs="Times New Roman"/>
        </w:rPr>
        <w:t>physician</w:t>
      </w:r>
      <w:r w:rsidR="00EF5DC2" w:rsidRPr="00817B9F">
        <w:rPr>
          <w:rFonts w:cs="Times New Roman"/>
        </w:rPr>
        <w:t xml:space="preserve"> NPIs</w:t>
      </w:r>
      <w:r w:rsidR="00034DF3" w:rsidRPr="00817B9F">
        <w:rPr>
          <w:rFonts w:cs="Times New Roman"/>
        </w:rPr>
        <w:t>.</w:t>
      </w:r>
    </w:p>
    <w:p w14:paraId="39B2F246" w14:textId="205C8250" w:rsidR="00406728" w:rsidRPr="00817B9F" w:rsidRDefault="00B80916" w:rsidP="005B0C55">
      <w:pPr>
        <w:pStyle w:val="BulletParagraph"/>
        <w:rPr>
          <w:rFonts w:cs="Times New Roman"/>
        </w:rPr>
      </w:pPr>
      <w:r w:rsidRPr="00817B9F">
        <w:rPr>
          <w:rFonts w:cs="Times New Roman"/>
        </w:rPr>
        <w:t>T</w:t>
      </w:r>
      <w:r w:rsidR="0079210B" w:rsidRPr="00817B9F">
        <w:rPr>
          <w:rFonts w:cs="Times New Roman"/>
        </w:rPr>
        <w:t xml:space="preserve">he </w:t>
      </w:r>
      <w:r w:rsidR="00406728" w:rsidRPr="00817B9F">
        <w:rPr>
          <w:rFonts w:cs="Times New Roman"/>
        </w:rPr>
        <w:t>procedure performed (</w:t>
      </w:r>
      <w:r w:rsidR="00406728" w:rsidRPr="00817B9F">
        <w:rPr>
          <w:rFonts w:cs="Times New Roman"/>
          <w:i/>
          <w:iCs/>
        </w:rPr>
        <w:t>e.g.</w:t>
      </w:r>
      <w:r w:rsidR="00406728" w:rsidRPr="00817B9F">
        <w:rPr>
          <w:rFonts w:cs="Times New Roman"/>
        </w:rPr>
        <w:t>, CPT or HCPCS code) and the date of service.</w:t>
      </w:r>
    </w:p>
    <w:p w14:paraId="0765A224" w14:textId="284107B0" w:rsidR="00041B52" w:rsidRPr="00817B9F" w:rsidRDefault="00B80916" w:rsidP="005B0C55">
      <w:pPr>
        <w:pStyle w:val="BulletParagraph"/>
        <w:rPr>
          <w:rFonts w:cs="Times New Roman"/>
        </w:rPr>
      </w:pPr>
      <w:r w:rsidRPr="00817B9F">
        <w:rPr>
          <w:rFonts w:cs="Times New Roman"/>
        </w:rPr>
        <w:t>T</w:t>
      </w:r>
      <w:r w:rsidR="0079210B" w:rsidRPr="00817B9F">
        <w:rPr>
          <w:rFonts w:cs="Times New Roman"/>
        </w:rPr>
        <w:t xml:space="preserve">he </w:t>
      </w:r>
      <w:r w:rsidR="00E1425C" w:rsidRPr="00817B9F">
        <w:rPr>
          <w:rFonts w:cs="Times New Roman"/>
        </w:rPr>
        <w:t>provider’s billed charge</w:t>
      </w:r>
      <w:r w:rsidR="00A87582" w:rsidRPr="00817B9F">
        <w:rPr>
          <w:rFonts w:cs="Times New Roman"/>
        </w:rPr>
        <w:t xml:space="preserve"> for each claim</w:t>
      </w:r>
      <w:r w:rsidR="004761CF" w:rsidRPr="00817B9F">
        <w:rPr>
          <w:rFonts w:cs="Times New Roman"/>
        </w:rPr>
        <w:t>, the amount reimburse</w:t>
      </w:r>
      <w:r w:rsidR="005429B4" w:rsidRPr="00817B9F">
        <w:rPr>
          <w:rFonts w:cs="Times New Roman"/>
        </w:rPr>
        <w:t xml:space="preserve">d by Medicare, and </w:t>
      </w:r>
      <w:r w:rsidR="00A87582" w:rsidRPr="00817B9F">
        <w:rPr>
          <w:rFonts w:cs="Times New Roman"/>
        </w:rPr>
        <w:t>any</w:t>
      </w:r>
      <w:r w:rsidR="005429B4" w:rsidRPr="00817B9F">
        <w:rPr>
          <w:rFonts w:cs="Times New Roman"/>
        </w:rPr>
        <w:t xml:space="preserve"> cost-share </w:t>
      </w:r>
      <w:r w:rsidR="00820751" w:rsidRPr="00817B9F">
        <w:rPr>
          <w:rFonts w:cs="Times New Roman"/>
        </w:rPr>
        <w:t>amounts owed by the beneficiary</w:t>
      </w:r>
      <w:r w:rsidR="00FA0A6B" w:rsidRPr="00817B9F">
        <w:rPr>
          <w:rFonts w:cs="Times New Roman"/>
        </w:rPr>
        <w:t>.</w:t>
      </w:r>
    </w:p>
    <w:p w14:paraId="531F742B" w14:textId="28739EB2" w:rsidR="00FA0A6B" w:rsidRPr="00817B9F" w:rsidRDefault="00FA0A6B" w:rsidP="005B0C55">
      <w:pPr>
        <w:pStyle w:val="BulletParagraph"/>
        <w:rPr>
          <w:rFonts w:cs="Times New Roman"/>
        </w:rPr>
      </w:pPr>
      <w:r w:rsidRPr="00817B9F">
        <w:rPr>
          <w:rFonts w:cs="Times New Roman"/>
        </w:rPr>
        <w:t>Diagnostic information, including primary and secondary diagnosis codes.</w:t>
      </w:r>
    </w:p>
    <w:p w14:paraId="018F3431" w14:textId="3087EB5D" w:rsidR="003F76D2" w:rsidRPr="00817B9F" w:rsidRDefault="003F76D2" w:rsidP="005B0C55">
      <w:pPr>
        <w:pStyle w:val="BulletParagraph"/>
        <w:rPr>
          <w:rFonts w:cs="Times New Roman"/>
        </w:rPr>
      </w:pPr>
      <w:r w:rsidRPr="00817B9F">
        <w:rPr>
          <w:rFonts w:cs="Times New Roman"/>
        </w:rPr>
        <w:t xml:space="preserve">Patient demographics, including </w:t>
      </w:r>
      <w:r w:rsidR="00820751" w:rsidRPr="00817B9F">
        <w:rPr>
          <w:rFonts w:cs="Times New Roman"/>
        </w:rPr>
        <w:t>the patient’s</w:t>
      </w:r>
      <w:r w:rsidRPr="00817B9F">
        <w:rPr>
          <w:rFonts w:cs="Times New Roman"/>
        </w:rPr>
        <w:t xml:space="preserve"> ge</w:t>
      </w:r>
      <w:r w:rsidR="004E7423" w:rsidRPr="00817B9F">
        <w:rPr>
          <w:rFonts w:cs="Times New Roman"/>
        </w:rPr>
        <w:t xml:space="preserve">nder, date of birth, </w:t>
      </w:r>
      <w:r w:rsidR="00EC073E" w:rsidRPr="00817B9F">
        <w:rPr>
          <w:rFonts w:cs="Times New Roman"/>
        </w:rPr>
        <w:t>race</w:t>
      </w:r>
      <w:r w:rsidR="004E7423" w:rsidRPr="00817B9F">
        <w:rPr>
          <w:rFonts w:cs="Times New Roman"/>
        </w:rPr>
        <w:t>, and ZIP Code of residence.</w:t>
      </w:r>
    </w:p>
    <w:p w14:paraId="14602755" w14:textId="14DA0B4B" w:rsidR="00ED3EEC" w:rsidRPr="00817B9F" w:rsidRDefault="00B331E4" w:rsidP="007B0CD0">
      <w:pPr>
        <w:pStyle w:val="NumberedParagraphs"/>
      </w:pPr>
      <w:r w:rsidRPr="00817B9F">
        <w:lastRenderedPageBreak/>
        <w:t xml:space="preserve">We </w:t>
      </w:r>
      <w:r w:rsidR="007E32B4" w:rsidRPr="00817B9F">
        <w:t xml:space="preserve">rely </w:t>
      </w:r>
      <w:r w:rsidR="005F434F" w:rsidRPr="00817B9F">
        <w:t xml:space="preserve">on </w:t>
      </w:r>
      <w:r w:rsidR="008421BF" w:rsidRPr="00817B9F">
        <w:t xml:space="preserve">2018 </w:t>
      </w:r>
      <w:r w:rsidR="005F434F" w:rsidRPr="00817B9F">
        <w:t xml:space="preserve">Medicare </w:t>
      </w:r>
      <w:r w:rsidR="00595232" w:rsidRPr="00817B9F">
        <w:t>Outpatient</w:t>
      </w:r>
      <w:r w:rsidR="00522FC3" w:rsidRPr="00817B9F">
        <w:t xml:space="preserve"> and </w:t>
      </w:r>
      <w:r w:rsidR="00595232" w:rsidRPr="00817B9F">
        <w:t xml:space="preserve">Carrier </w:t>
      </w:r>
      <w:r w:rsidR="0058702C" w:rsidRPr="00817B9F">
        <w:t>F</w:t>
      </w:r>
      <w:r w:rsidR="00595232" w:rsidRPr="00817B9F">
        <w:t>iles</w:t>
      </w:r>
      <w:r w:rsidR="00DD6424" w:rsidRPr="00817B9F">
        <w:t>, in con</w:t>
      </w:r>
      <w:r w:rsidR="005D669F" w:rsidRPr="00817B9F">
        <w:t>junction</w:t>
      </w:r>
      <w:r w:rsidR="00DD6424" w:rsidRPr="00817B9F">
        <w:t xml:space="preserve"> with the APCD,</w:t>
      </w:r>
      <w:r w:rsidR="00522FC3" w:rsidRPr="00817B9F">
        <w:t xml:space="preserve"> </w:t>
      </w:r>
      <w:r w:rsidR="008421BF" w:rsidRPr="00817B9F">
        <w:t xml:space="preserve">to </w:t>
      </w:r>
      <w:r w:rsidR="00DD6424" w:rsidRPr="00817B9F">
        <w:t xml:space="preserve">analyze outpatient utilization. </w:t>
      </w:r>
      <w:r w:rsidR="00DA61EA" w:rsidRPr="00817B9F">
        <w:t>F</w:t>
      </w:r>
      <w:r w:rsidR="007E1867" w:rsidRPr="00817B9F">
        <w:t>ollow</w:t>
      </w:r>
      <w:r w:rsidR="00DA61EA" w:rsidRPr="00817B9F">
        <w:t>ing</w:t>
      </w:r>
      <w:r w:rsidR="007E1867" w:rsidRPr="00817B9F">
        <w:t xml:space="preserve"> a</w:t>
      </w:r>
      <w:r w:rsidR="00DA61EA" w:rsidRPr="00817B9F">
        <w:t>n</w:t>
      </w:r>
      <w:r w:rsidR="007E1867" w:rsidRPr="00817B9F">
        <w:t xml:space="preserve"> </w:t>
      </w:r>
      <w:r w:rsidR="003569E2" w:rsidRPr="00817B9F">
        <w:t xml:space="preserve">approach </w:t>
      </w:r>
      <w:r w:rsidR="00DA61EA" w:rsidRPr="00817B9F">
        <w:t xml:space="preserve">similar </w:t>
      </w:r>
      <w:r w:rsidR="00CE66C5" w:rsidRPr="00817B9F">
        <w:t>to</w:t>
      </w:r>
      <w:r w:rsidR="006D1006" w:rsidRPr="00817B9F">
        <w:t xml:space="preserve"> </w:t>
      </w:r>
      <w:r w:rsidR="00A675C2" w:rsidRPr="00817B9F">
        <w:t>the</w:t>
      </w:r>
      <w:r w:rsidR="006D1006" w:rsidRPr="00817B9F">
        <w:t xml:space="preserve"> APCD</w:t>
      </w:r>
      <w:r w:rsidR="00CB2ADC" w:rsidRPr="00817B9F">
        <w:t>, we</w:t>
      </w:r>
      <w:r w:rsidR="007E1867" w:rsidRPr="00817B9F">
        <w:t xml:space="preserve"> </w:t>
      </w:r>
      <w:r w:rsidR="009D126C" w:rsidRPr="00817B9F">
        <w:t>fi</w:t>
      </w:r>
      <w:r w:rsidR="004D05CD" w:rsidRPr="00817B9F">
        <w:t>rst</w:t>
      </w:r>
      <w:r w:rsidR="006D1006" w:rsidRPr="00817B9F">
        <w:t xml:space="preserve"> </w:t>
      </w:r>
      <w:r w:rsidR="00B20C99" w:rsidRPr="00817B9F">
        <w:t xml:space="preserve">identify the </w:t>
      </w:r>
      <w:r w:rsidR="00C10860" w:rsidRPr="00817B9F">
        <w:t xml:space="preserve">relevant set of outpatient </w:t>
      </w:r>
      <w:r w:rsidR="0059540F" w:rsidRPr="00817B9F">
        <w:t xml:space="preserve">claims based on the </w:t>
      </w:r>
      <w:r w:rsidR="00E81F77" w:rsidRPr="00817B9F">
        <w:t xml:space="preserve">facility type for </w:t>
      </w:r>
      <w:r w:rsidR="001E2BCB" w:rsidRPr="00817B9F">
        <w:t>institutional</w:t>
      </w:r>
      <w:r w:rsidR="00E81F77" w:rsidRPr="00817B9F">
        <w:t xml:space="preserve"> outpatient </w:t>
      </w:r>
      <w:r w:rsidR="001E2BCB" w:rsidRPr="00817B9F">
        <w:t>claims</w:t>
      </w:r>
      <w:r w:rsidR="00DB6B96" w:rsidRPr="00817B9F">
        <w:t xml:space="preserve"> and </w:t>
      </w:r>
      <w:r w:rsidR="001E2BCB" w:rsidRPr="00817B9F">
        <w:t>the place</w:t>
      </w:r>
      <w:r w:rsidR="00B7403D" w:rsidRPr="00817B9F">
        <w:t xml:space="preserve"> </w:t>
      </w:r>
      <w:r w:rsidR="00192D55" w:rsidRPr="00817B9F">
        <w:t xml:space="preserve">of </w:t>
      </w:r>
      <w:r w:rsidR="001E2BCB" w:rsidRPr="00817B9F">
        <w:t>service for professional claims</w:t>
      </w:r>
      <w:r w:rsidR="00192D55" w:rsidRPr="00817B9F">
        <w:t>.</w:t>
      </w:r>
      <w:r w:rsidR="00892DBF" w:rsidRPr="00817B9F">
        <w:t xml:space="preserve"> </w:t>
      </w:r>
    </w:p>
    <w:p w14:paraId="0EAA7E94" w14:textId="2C74B568" w:rsidR="00E35E57" w:rsidRPr="00817B9F" w:rsidRDefault="007B0CD0" w:rsidP="00E35E57">
      <w:pPr>
        <w:pStyle w:val="NumberedParagraphs"/>
      </w:pPr>
      <w:r w:rsidRPr="00817B9F">
        <w:t>For each claim</w:t>
      </w:r>
      <w:r w:rsidR="001A7973" w:rsidRPr="00817B9F">
        <w:t>, we then identify</w:t>
      </w:r>
      <w:r w:rsidRPr="00817B9F">
        <w:t xml:space="preserve"> the </w:t>
      </w:r>
      <w:r w:rsidR="008E4B0E" w:rsidRPr="00817B9F">
        <w:t>ZIP C</w:t>
      </w:r>
      <w:r w:rsidR="000B0A94" w:rsidRPr="00817B9F">
        <w:t xml:space="preserve">ode </w:t>
      </w:r>
      <w:r w:rsidRPr="00817B9F">
        <w:t>where the service was provided</w:t>
      </w:r>
      <w:r w:rsidR="00900408" w:rsidRPr="00817B9F">
        <w:t xml:space="preserve"> and the owner of the facility</w:t>
      </w:r>
      <w:r w:rsidRPr="00817B9F">
        <w:t>.</w:t>
      </w:r>
    </w:p>
    <w:p w14:paraId="447BD6A0" w14:textId="52E72112" w:rsidR="00D57516" w:rsidRPr="00817B9F" w:rsidRDefault="00210717" w:rsidP="003C408C">
      <w:pPr>
        <w:pStyle w:val="BulletParagraph"/>
        <w:rPr>
          <w:rFonts w:cs="Times New Roman"/>
        </w:rPr>
      </w:pPr>
      <w:r w:rsidRPr="00817B9F">
        <w:rPr>
          <w:rFonts w:cs="Times New Roman"/>
        </w:rPr>
        <w:t xml:space="preserve">To identify the ZIP Code where </w:t>
      </w:r>
      <w:r w:rsidR="007724AE" w:rsidRPr="00817B9F">
        <w:rPr>
          <w:rFonts w:cs="Times New Roman"/>
        </w:rPr>
        <w:t xml:space="preserve">the service was </w:t>
      </w:r>
      <w:r w:rsidR="00CA6132" w:rsidRPr="00817B9F">
        <w:rPr>
          <w:rFonts w:cs="Times New Roman"/>
        </w:rPr>
        <w:t>provided,</w:t>
      </w:r>
      <w:r w:rsidRPr="00817B9F">
        <w:rPr>
          <w:rFonts w:cs="Times New Roman"/>
        </w:rPr>
        <w:t xml:space="preserve"> we </w:t>
      </w:r>
      <w:r w:rsidR="003351BF" w:rsidRPr="00817B9F">
        <w:rPr>
          <w:rFonts w:cs="Times New Roman"/>
        </w:rPr>
        <w:t>use the</w:t>
      </w:r>
      <w:r w:rsidR="002A4B7B" w:rsidRPr="00817B9F">
        <w:rPr>
          <w:rFonts w:cs="Times New Roman"/>
        </w:rPr>
        <w:t xml:space="preserve"> </w:t>
      </w:r>
      <w:r w:rsidR="007852AE" w:rsidRPr="00817B9F">
        <w:rPr>
          <w:rFonts w:cs="Times New Roman"/>
          <w:i/>
          <w:iCs/>
        </w:rPr>
        <w:t>C</w:t>
      </w:r>
      <w:r w:rsidR="00B20285" w:rsidRPr="00817B9F">
        <w:rPr>
          <w:rFonts w:cs="Times New Roman"/>
          <w:i/>
          <w:iCs/>
        </w:rPr>
        <w:t xml:space="preserve">laim </w:t>
      </w:r>
      <w:r w:rsidR="007852AE" w:rsidRPr="00817B9F">
        <w:rPr>
          <w:rFonts w:cs="Times New Roman"/>
          <w:i/>
          <w:iCs/>
        </w:rPr>
        <w:t>S</w:t>
      </w:r>
      <w:r w:rsidR="002A4B7B" w:rsidRPr="00817B9F">
        <w:rPr>
          <w:rFonts w:cs="Times New Roman"/>
          <w:i/>
          <w:iCs/>
        </w:rPr>
        <w:t xml:space="preserve">ervice </w:t>
      </w:r>
      <w:r w:rsidR="007852AE" w:rsidRPr="00817B9F">
        <w:rPr>
          <w:rFonts w:cs="Times New Roman"/>
          <w:i/>
          <w:iCs/>
        </w:rPr>
        <w:t>F</w:t>
      </w:r>
      <w:r w:rsidR="002A4B7B" w:rsidRPr="00817B9F">
        <w:rPr>
          <w:rFonts w:cs="Times New Roman"/>
          <w:i/>
          <w:iCs/>
        </w:rPr>
        <w:t>acility ZIP Code</w:t>
      </w:r>
      <w:r w:rsidR="002A4B7B" w:rsidRPr="00817B9F">
        <w:rPr>
          <w:rFonts w:cs="Times New Roman"/>
        </w:rPr>
        <w:t xml:space="preserve"> fie</w:t>
      </w:r>
      <w:r w:rsidR="00B20285" w:rsidRPr="00817B9F">
        <w:rPr>
          <w:rFonts w:cs="Times New Roman"/>
        </w:rPr>
        <w:t>l</w:t>
      </w:r>
      <w:r w:rsidR="002A4B7B" w:rsidRPr="00817B9F">
        <w:rPr>
          <w:rFonts w:cs="Times New Roman"/>
        </w:rPr>
        <w:t xml:space="preserve">d </w:t>
      </w:r>
      <w:r w:rsidR="00031A20" w:rsidRPr="00817B9F">
        <w:rPr>
          <w:rFonts w:cs="Times New Roman"/>
        </w:rPr>
        <w:t xml:space="preserve">in the Medicare </w:t>
      </w:r>
      <w:r w:rsidR="00B02D88" w:rsidRPr="00817B9F">
        <w:rPr>
          <w:rFonts w:cs="Times New Roman"/>
        </w:rPr>
        <w:t>O</w:t>
      </w:r>
      <w:r w:rsidR="00F03385" w:rsidRPr="00817B9F">
        <w:rPr>
          <w:rFonts w:cs="Times New Roman"/>
        </w:rPr>
        <w:t xml:space="preserve">utpatient </w:t>
      </w:r>
      <w:r w:rsidR="00B02D88" w:rsidRPr="00817B9F">
        <w:rPr>
          <w:rFonts w:cs="Times New Roman"/>
        </w:rPr>
        <w:t>File</w:t>
      </w:r>
      <w:r w:rsidR="00F03385" w:rsidRPr="00817B9F">
        <w:rPr>
          <w:rFonts w:cs="Times New Roman"/>
        </w:rPr>
        <w:t xml:space="preserve"> and </w:t>
      </w:r>
      <w:r w:rsidR="007852AE" w:rsidRPr="00817B9F">
        <w:rPr>
          <w:rFonts w:cs="Times New Roman"/>
        </w:rPr>
        <w:t xml:space="preserve">the </w:t>
      </w:r>
      <w:r w:rsidR="007852AE" w:rsidRPr="00817B9F">
        <w:rPr>
          <w:rFonts w:cs="Times New Roman"/>
          <w:i/>
          <w:iCs/>
        </w:rPr>
        <w:t>Line P</w:t>
      </w:r>
      <w:r w:rsidR="004845B6" w:rsidRPr="00817B9F">
        <w:rPr>
          <w:rFonts w:cs="Times New Roman"/>
          <w:i/>
          <w:iCs/>
        </w:rPr>
        <w:t>lace</w:t>
      </w:r>
      <w:r w:rsidR="00F03385" w:rsidRPr="00817B9F">
        <w:rPr>
          <w:rFonts w:cs="Times New Roman"/>
          <w:i/>
          <w:iCs/>
        </w:rPr>
        <w:t xml:space="preserve"> of </w:t>
      </w:r>
      <w:r w:rsidR="007852AE" w:rsidRPr="00817B9F">
        <w:rPr>
          <w:rFonts w:cs="Times New Roman"/>
          <w:i/>
          <w:iCs/>
        </w:rPr>
        <w:t>S</w:t>
      </w:r>
      <w:r w:rsidR="004845B6" w:rsidRPr="00817B9F">
        <w:rPr>
          <w:rFonts w:cs="Times New Roman"/>
          <w:i/>
          <w:iCs/>
        </w:rPr>
        <w:t>ervice ZIP</w:t>
      </w:r>
      <w:r w:rsidR="00F03385" w:rsidRPr="00817B9F">
        <w:rPr>
          <w:rFonts w:cs="Times New Roman"/>
          <w:i/>
        </w:rPr>
        <w:t xml:space="preserve"> </w:t>
      </w:r>
      <w:r w:rsidR="00F03385" w:rsidRPr="00817B9F">
        <w:rPr>
          <w:rFonts w:cs="Times New Roman"/>
          <w:i/>
          <w:iCs/>
        </w:rPr>
        <w:t>Code</w:t>
      </w:r>
      <w:r w:rsidR="00F03385" w:rsidRPr="00817B9F">
        <w:rPr>
          <w:rFonts w:cs="Times New Roman"/>
        </w:rPr>
        <w:t xml:space="preserve"> </w:t>
      </w:r>
      <w:r w:rsidR="004845B6" w:rsidRPr="00817B9F">
        <w:rPr>
          <w:rFonts w:cs="Times New Roman"/>
        </w:rPr>
        <w:t>in</w:t>
      </w:r>
      <w:r w:rsidR="007852AE" w:rsidRPr="00817B9F">
        <w:rPr>
          <w:rFonts w:cs="Times New Roman"/>
        </w:rPr>
        <w:t xml:space="preserve"> </w:t>
      </w:r>
      <w:r w:rsidR="00F03385" w:rsidRPr="00817B9F">
        <w:rPr>
          <w:rFonts w:cs="Times New Roman"/>
        </w:rPr>
        <w:t xml:space="preserve">the </w:t>
      </w:r>
      <w:r w:rsidR="00B02D88" w:rsidRPr="00817B9F">
        <w:rPr>
          <w:rFonts w:cs="Times New Roman"/>
        </w:rPr>
        <w:t xml:space="preserve">Medicare </w:t>
      </w:r>
      <w:r w:rsidR="00F03385" w:rsidRPr="00817B9F">
        <w:rPr>
          <w:rFonts w:cs="Times New Roman"/>
        </w:rPr>
        <w:t xml:space="preserve">Carrier </w:t>
      </w:r>
      <w:r w:rsidR="00B02D88" w:rsidRPr="00817B9F">
        <w:rPr>
          <w:rFonts w:cs="Times New Roman"/>
        </w:rPr>
        <w:t>File</w:t>
      </w:r>
      <w:r w:rsidR="00F03385" w:rsidRPr="00817B9F">
        <w:rPr>
          <w:rFonts w:cs="Times New Roman"/>
        </w:rPr>
        <w:t>.</w:t>
      </w:r>
    </w:p>
    <w:p w14:paraId="2859B671" w14:textId="48E86DCB" w:rsidR="0005093B" w:rsidRPr="00817B9F" w:rsidRDefault="0072350B" w:rsidP="003C408C">
      <w:pPr>
        <w:pStyle w:val="BulletParagraph"/>
        <w:rPr>
          <w:rFonts w:cs="Times New Roman"/>
        </w:rPr>
      </w:pPr>
      <w:r w:rsidRPr="00817B9F">
        <w:rPr>
          <w:rFonts w:cs="Times New Roman"/>
        </w:rPr>
        <w:t>To determine the ownership for the facility</w:t>
      </w:r>
      <w:r w:rsidR="009A6110" w:rsidRPr="00817B9F">
        <w:rPr>
          <w:rFonts w:cs="Times New Roman"/>
        </w:rPr>
        <w:t>, we first</w:t>
      </w:r>
      <w:r w:rsidR="009B3495" w:rsidRPr="00817B9F">
        <w:rPr>
          <w:rFonts w:cs="Times New Roman"/>
        </w:rPr>
        <w:t xml:space="preserve"> identify </w:t>
      </w:r>
      <w:r w:rsidR="00724354" w:rsidRPr="00817B9F">
        <w:rPr>
          <w:rFonts w:cs="Times New Roman"/>
        </w:rPr>
        <w:t xml:space="preserve">the </w:t>
      </w:r>
      <w:r w:rsidR="00DC53B1" w:rsidRPr="00817B9F">
        <w:rPr>
          <w:rFonts w:cs="Times New Roman"/>
        </w:rPr>
        <w:t xml:space="preserve">name of </w:t>
      </w:r>
      <w:r w:rsidR="00681A05" w:rsidRPr="00817B9F">
        <w:rPr>
          <w:rFonts w:cs="Times New Roman"/>
        </w:rPr>
        <w:t xml:space="preserve">the </w:t>
      </w:r>
      <w:r w:rsidR="00DC53B1" w:rsidRPr="00817B9F">
        <w:rPr>
          <w:rFonts w:cs="Times New Roman"/>
        </w:rPr>
        <w:t>facility</w:t>
      </w:r>
      <w:r w:rsidR="009A6110" w:rsidRPr="00817B9F">
        <w:rPr>
          <w:rFonts w:cs="Times New Roman"/>
        </w:rPr>
        <w:t xml:space="preserve"> </w:t>
      </w:r>
      <w:r w:rsidR="003D0440" w:rsidRPr="00817B9F">
        <w:rPr>
          <w:rFonts w:cs="Times New Roman"/>
        </w:rPr>
        <w:t>where the service was provided</w:t>
      </w:r>
      <w:r w:rsidR="005C7B3C" w:rsidRPr="00817B9F">
        <w:rPr>
          <w:rFonts w:cs="Times New Roman"/>
        </w:rPr>
        <w:t>.</w:t>
      </w:r>
      <w:r w:rsidR="00D77E65" w:rsidRPr="00817B9F">
        <w:rPr>
          <w:rFonts w:cs="Times New Roman"/>
        </w:rPr>
        <w:t xml:space="preserve"> </w:t>
      </w:r>
      <w:r w:rsidR="00395CFE" w:rsidRPr="00817B9F">
        <w:rPr>
          <w:rFonts w:cs="Times New Roman"/>
        </w:rPr>
        <w:t>We use</w:t>
      </w:r>
      <w:r w:rsidR="009A6110" w:rsidRPr="00817B9F">
        <w:rPr>
          <w:rFonts w:cs="Times New Roman"/>
        </w:rPr>
        <w:t xml:space="preserve"> </w:t>
      </w:r>
      <w:r w:rsidR="004D2C4E" w:rsidRPr="00817B9F">
        <w:rPr>
          <w:rFonts w:cs="Times New Roman"/>
        </w:rPr>
        <w:t>the</w:t>
      </w:r>
      <w:r w:rsidR="009A6110" w:rsidRPr="00817B9F">
        <w:rPr>
          <w:rFonts w:cs="Times New Roman"/>
        </w:rPr>
        <w:t xml:space="preserve"> </w:t>
      </w:r>
      <w:r w:rsidR="006E598C" w:rsidRPr="00817B9F">
        <w:rPr>
          <w:rFonts w:cs="Times New Roman"/>
        </w:rPr>
        <w:t xml:space="preserve">CMS </w:t>
      </w:r>
      <w:r w:rsidR="00A075CE" w:rsidRPr="00817B9F">
        <w:rPr>
          <w:rFonts w:cs="Times New Roman"/>
        </w:rPr>
        <w:t>certification</w:t>
      </w:r>
      <w:r w:rsidR="00CC3FA3" w:rsidRPr="00817B9F">
        <w:rPr>
          <w:rFonts w:cs="Times New Roman"/>
        </w:rPr>
        <w:t xml:space="preserve"> number</w:t>
      </w:r>
      <w:r w:rsidR="009A6110" w:rsidRPr="00817B9F">
        <w:rPr>
          <w:rFonts w:cs="Times New Roman"/>
        </w:rPr>
        <w:t xml:space="preserve"> in the Medicare Outpatient File</w:t>
      </w:r>
      <w:r w:rsidR="004715B0" w:rsidRPr="00817B9F">
        <w:rPr>
          <w:rStyle w:val="FootnoteReference"/>
          <w:rFonts w:cs="Times New Roman"/>
        </w:rPr>
        <w:footnoteReference w:id="52"/>
      </w:r>
      <w:r w:rsidR="00ED76EB" w:rsidRPr="00817B9F">
        <w:rPr>
          <w:rFonts w:cs="Times New Roman"/>
        </w:rPr>
        <w:t xml:space="preserve"> and</w:t>
      </w:r>
      <w:r w:rsidR="0068625F" w:rsidRPr="00817B9F">
        <w:rPr>
          <w:rFonts w:cs="Times New Roman"/>
        </w:rPr>
        <w:t xml:space="preserve"> </w:t>
      </w:r>
      <w:r w:rsidR="001F153D" w:rsidRPr="00817B9F">
        <w:rPr>
          <w:rFonts w:cs="Times New Roman"/>
        </w:rPr>
        <w:t>the site of service, rendering physician, and billing provider NPIs</w:t>
      </w:r>
      <w:r w:rsidR="007859ED" w:rsidRPr="00817B9F">
        <w:rPr>
          <w:rFonts w:cs="Times New Roman"/>
        </w:rPr>
        <w:t xml:space="preserve"> in the Medicare Carrier File</w:t>
      </w:r>
      <w:r w:rsidR="007859ED" w:rsidRPr="00817B9F">
        <w:rPr>
          <w:rStyle w:val="FootnoteReference"/>
          <w:rFonts w:cs="Times New Roman"/>
        </w:rPr>
        <w:footnoteReference w:id="53"/>
      </w:r>
      <w:r w:rsidR="007859ED" w:rsidRPr="00817B9F">
        <w:rPr>
          <w:rFonts w:cs="Times New Roman"/>
        </w:rPr>
        <w:t xml:space="preserve"> </w:t>
      </w:r>
      <w:r w:rsidR="005C7B3C" w:rsidRPr="00817B9F">
        <w:rPr>
          <w:rFonts w:cs="Times New Roman"/>
        </w:rPr>
        <w:t>to determine</w:t>
      </w:r>
      <w:r w:rsidR="004A1B94" w:rsidRPr="00817B9F">
        <w:rPr>
          <w:rFonts w:cs="Times New Roman"/>
        </w:rPr>
        <w:t xml:space="preserve"> the identity of the providing facility</w:t>
      </w:r>
      <w:r w:rsidR="005C7B3C" w:rsidRPr="00817B9F">
        <w:rPr>
          <w:rFonts w:cs="Times New Roman"/>
        </w:rPr>
        <w:t xml:space="preserve">. We then </w:t>
      </w:r>
      <w:r w:rsidR="000B5923" w:rsidRPr="00817B9F">
        <w:rPr>
          <w:rFonts w:cs="Times New Roman"/>
        </w:rPr>
        <w:t>assign</w:t>
      </w:r>
      <w:r w:rsidR="005C7B3C" w:rsidRPr="00817B9F">
        <w:rPr>
          <w:rFonts w:cs="Times New Roman"/>
        </w:rPr>
        <w:t xml:space="preserve"> each facility </w:t>
      </w:r>
      <w:r w:rsidR="00236A6A" w:rsidRPr="00817B9F">
        <w:rPr>
          <w:rFonts w:cs="Times New Roman"/>
        </w:rPr>
        <w:t>its</w:t>
      </w:r>
      <w:r w:rsidR="005C7B3C" w:rsidRPr="00817B9F">
        <w:rPr>
          <w:rFonts w:cs="Times New Roman"/>
        </w:rPr>
        <w:t xml:space="preserve"> parent or owner</w:t>
      </w:r>
      <w:r w:rsidR="000B5923" w:rsidRPr="00817B9F">
        <w:rPr>
          <w:rFonts w:cs="Times New Roman"/>
        </w:rPr>
        <w:t xml:space="preserve"> based on </w:t>
      </w:r>
      <w:r w:rsidR="004C0D86" w:rsidRPr="00817B9F">
        <w:rPr>
          <w:rFonts w:cs="Times New Roman"/>
        </w:rPr>
        <w:t>online</w:t>
      </w:r>
      <w:r w:rsidR="000B5923" w:rsidRPr="00817B9F">
        <w:rPr>
          <w:rFonts w:cs="Times New Roman"/>
        </w:rPr>
        <w:t xml:space="preserve"> research</w:t>
      </w:r>
      <w:r w:rsidR="005C7B3C" w:rsidRPr="00817B9F">
        <w:rPr>
          <w:rFonts w:cs="Times New Roman"/>
        </w:rPr>
        <w:t>.</w:t>
      </w:r>
      <w:r w:rsidR="00CF5FA2" w:rsidRPr="00817B9F">
        <w:rPr>
          <w:rStyle w:val="FootnoteReference"/>
          <w:rFonts w:cs="Times New Roman"/>
        </w:rPr>
        <w:footnoteReference w:id="54"/>
      </w:r>
    </w:p>
    <w:p w14:paraId="7C03116B" w14:textId="4AD43961" w:rsidR="000C3E44" w:rsidRPr="00817B9F" w:rsidRDefault="000C3E44" w:rsidP="000C3E44">
      <w:pPr>
        <w:pStyle w:val="NumberedParagraphs"/>
      </w:pPr>
      <w:r w:rsidRPr="00817B9F">
        <w:t>Finally, we limit to claims for patients residing in Massachusetts and who received care in the following Massachusetts counties: Suffolk, Essex, Middlesex, Norfolk, Bristol, Plymouth, and Worcester.</w:t>
      </w:r>
    </w:p>
    <w:p w14:paraId="45B95E26" w14:textId="5F97D8D4" w:rsidR="00352CAE" w:rsidRPr="00817B9F" w:rsidRDefault="000208C5" w:rsidP="001B6A1C">
      <w:pPr>
        <w:pStyle w:val="Heading3"/>
      </w:pPr>
      <w:bookmarkStart w:id="16" w:name="_Ref88218080"/>
      <w:bookmarkStart w:id="17" w:name="_Toc90046494"/>
      <w:r w:rsidRPr="00817B9F">
        <w:lastRenderedPageBreak/>
        <w:t xml:space="preserve">CHIA Inpatient Relative Price </w:t>
      </w:r>
      <w:r w:rsidR="00A504DD" w:rsidRPr="00817B9F">
        <w:t>Data</w:t>
      </w:r>
      <w:bookmarkEnd w:id="16"/>
      <w:bookmarkEnd w:id="17"/>
    </w:p>
    <w:p w14:paraId="6C4642BF" w14:textId="3A0A2DE4" w:rsidR="00842476" w:rsidRPr="00817B9F" w:rsidRDefault="00590DC6" w:rsidP="00E15229">
      <w:pPr>
        <w:pStyle w:val="NumberedParagraphs"/>
      </w:pPr>
      <w:r w:rsidRPr="00817B9F">
        <w:t xml:space="preserve">CHIA </w:t>
      </w:r>
      <w:r w:rsidR="00842476" w:rsidRPr="00817B9F">
        <w:t>publishes an</w:t>
      </w:r>
      <w:r w:rsidR="00683199" w:rsidRPr="00817B9F">
        <w:t xml:space="preserve"> </w:t>
      </w:r>
      <w:r w:rsidR="00842476" w:rsidRPr="00817B9F">
        <w:t>ann</w:t>
      </w:r>
      <w:r w:rsidR="00683199" w:rsidRPr="00817B9F">
        <w:t>u</w:t>
      </w:r>
      <w:r w:rsidR="00842476" w:rsidRPr="00817B9F">
        <w:t>al analysis</w:t>
      </w:r>
      <w:r w:rsidR="00683199" w:rsidRPr="00817B9F">
        <w:t xml:space="preserve"> of relative prices</w:t>
      </w:r>
      <w:r w:rsidR="00380A8F" w:rsidRPr="00817B9F">
        <w:t xml:space="preserve"> </w:t>
      </w:r>
      <w:r w:rsidR="00CC4876" w:rsidRPr="00817B9F">
        <w:t>i</w:t>
      </w:r>
      <w:r w:rsidR="005A6AA5" w:rsidRPr="00817B9F">
        <w:t xml:space="preserve">ntended to </w:t>
      </w:r>
      <w:r w:rsidR="00B85DAA" w:rsidRPr="00817B9F">
        <w:t xml:space="preserve">evaluate </w:t>
      </w:r>
      <w:r w:rsidR="00380A8F" w:rsidRPr="00817B9F">
        <w:t xml:space="preserve">variation </w:t>
      </w:r>
      <w:r w:rsidR="00B57317" w:rsidRPr="00817B9F">
        <w:t xml:space="preserve">in </w:t>
      </w:r>
      <w:r w:rsidR="00CA7744" w:rsidRPr="00817B9F">
        <w:t>reimbursement</w:t>
      </w:r>
      <w:r w:rsidR="006072B1" w:rsidRPr="00817B9F">
        <w:t xml:space="preserve"> across providers after controlling for </w:t>
      </w:r>
      <w:r w:rsidR="005B48F6" w:rsidRPr="00817B9F">
        <w:t>patient acuity</w:t>
      </w:r>
      <w:r w:rsidR="0056655A" w:rsidRPr="00817B9F">
        <w:t>, service mix</w:t>
      </w:r>
      <w:r w:rsidR="00B57317" w:rsidRPr="00817B9F">
        <w:t xml:space="preserve">, </w:t>
      </w:r>
      <w:r w:rsidR="005F304C" w:rsidRPr="00817B9F">
        <w:t>and health plan product differences.</w:t>
      </w:r>
      <w:r w:rsidR="007C60E4" w:rsidRPr="00817B9F">
        <w:rPr>
          <w:rStyle w:val="FootnoteReference"/>
        </w:rPr>
        <w:footnoteReference w:id="55"/>
      </w:r>
      <w:r w:rsidR="005F304C" w:rsidRPr="00817B9F">
        <w:t xml:space="preserve"> </w:t>
      </w:r>
      <w:r w:rsidR="00BE1339" w:rsidRPr="00817B9F">
        <w:t xml:space="preserve">To perform this analysis, CHIA collects </w:t>
      </w:r>
      <w:r w:rsidR="00901817" w:rsidRPr="00817B9F">
        <w:t>information</w:t>
      </w:r>
      <w:r w:rsidR="00EA2026" w:rsidRPr="00817B9F">
        <w:t xml:space="preserve"> regarding payments to in-network providers </w:t>
      </w:r>
      <w:r w:rsidR="00BE1339" w:rsidRPr="00817B9F">
        <w:t xml:space="preserve">from </w:t>
      </w:r>
      <w:r w:rsidR="00507677" w:rsidRPr="00817B9F">
        <w:t>commercial health plans</w:t>
      </w:r>
      <w:r w:rsidR="002B1C91" w:rsidRPr="00817B9F">
        <w:t xml:space="preserve"> and </w:t>
      </w:r>
      <w:r w:rsidR="00507677" w:rsidRPr="00817B9F">
        <w:t xml:space="preserve">Medicare </w:t>
      </w:r>
      <w:r w:rsidR="00CE5D9B" w:rsidRPr="00817B9F">
        <w:t xml:space="preserve">health </w:t>
      </w:r>
      <w:r w:rsidR="00507677" w:rsidRPr="00817B9F">
        <w:t>plans</w:t>
      </w:r>
      <w:r w:rsidR="002B1C91" w:rsidRPr="00817B9F">
        <w:t xml:space="preserve"> in the state as well as</w:t>
      </w:r>
      <w:r w:rsidR="00507677" w:rsidRPr="00817B9F">
        <w:t xml:space="preserve"> </w:t>
      </w:r>
      <w:r w:rsidR="00F16AA4" w:rsidRPr="00817B9F">
        <w:t xml:space="preserve">MassHealth </w:t>
      </w:r>
      <w:r w:rsidR="00D271B0" w:rsidRPr="00817B9F">
        <w:t>m</w:t>
      </w:r>
      <w:r w:rsidR="00F16AA4" w:rsidRPr="00817B9F">
        <w:t xml:space="preserve">anaged </w:t>
      </w:r>
      <w:r w:rsidR="00D271B0" w:rsidRPr="00817B9F">
        <w:t>c</w:t>
      </w:r>
      <w:r w:rsidR="00F16AA4" w:rsidRPr="00817B9F">
        <w:t>are programs.</w:t>
      </w:r>
      <w:r w:rsidR="007E7C84" w:rsidRPr="00817B9F">
        <w:rPr>
          <w:rStyle w:val="FootnoteReference"/>
        </w:rPr>
        <w:footnoteReference w:id="56"/>
      </w:r>
      <w:r w:rsidR="00912D6C" w:rsidRPr="00817B9F">
        <w:t xml:space="preserve"> </w:t>
      </w:r>
    </w:p>
    <w:p w14:paraId="7D45F06D" w14:textId="6C3298C9" w:rsidR="007A76C7" w:rsidRPr="00817B9F" w:rsidRDefault="00C90304" w:rsidP="00E15229">
      <w:pPr>
        <w:pStyle w:val="NumberedParagraphs"/>
      </w:pPr>
      <w:r w:rsidRPr="00817B9F">
        <w:t xml:space="preserve">To calculate relative </w:t>
      </w:r>
      <w:r w:rsidR="00367F2D" w:rsidRPr="00817B9F">
        <w:t xml:space="preserve">inpatient </w:t>
      </w:r>
      <w:r w:rsidRPr="00817B9F">
        <w:t xml:space="preserve">prices paid to </w:t>
      </w:r>
      <w:r w:rsidR="00367F2D" w:rsidRPr="00817B9F">
        <w:t>hospitals, CHIA collects data from payors on the number</w:t>
      </w:r>
      <w:r w:rsidR="00056870" w:rsidRPr="00817B9F">
        <w:t xml:space="preserve"> of inpatient</w:t>
      </w:r>
      <w:r w:rsidR="00367F2D" w:rsidRPr="00817B9F">
        <w:t xml:space="preserve"> discharges</w:t>
      </w:r>
      <w:r w:rsidR="00056870" w:rsidRPr="00817B9F">
        <w:t xml:space="preserve">, total claims payments, total non-claims payments (such as </w:t>
      </w:r>
      <w:r w:rsidR="00902609" w:rsidRPr="00817B9F">
        <w:t>bonuses for financial performance or</w:t>
      </w:r>
      <w:r w:rsidR="00D117D8" w:rsidRPr="00817B9F">
        <w:t xml:space="preserve"> for meeting quality scores</w:t>
      </w:r>
      <w:r w:rsidR="005B6048" w:rsidRPr="00817B9F">
        <w:t>), and ca</w:t>
      </w:r>
      <w:r w:rsidR="00A84035" w:rsidRPr="00817B9F">
        <w:t>se mix index</w:t>
      </w:r>
      <w:r w:rsidR="00CB4EFB" w:rsidRPr="00817B9F">
        <w:t xml:space="preserve"> separately </w:t>
      </w:r>
      <w:r w:rsidR="005E4106" w:rsidRPr="00817B9F">
        <w:t xml:space="preserve">by hospital, </w:t>
      </w:r>
      <w:r w:rsidR="00DF0AEC" w:rsidRPr="00817B9F">
        <w:t>insurance category (</w:t>
      </w:r>
      <w:r w:rsidR="00DF0AEC" w:rsidRPr="00817B9F">
        <w:rPr>
          <w:i/>
          <w:iCs/>
        </w:rPr>
        <w:t>e.g.</w:t>
      </w:r>
      <w:r w:rsidR="00DF0AEC" w:rsidRPr="00817B9F">
        <w:t>, commercial</w:t>
      </w:r>
      <w:r w:rsidR="00B61AE1" w:rsidRPr="00817B9F">
        <w:t xml:space="preserve">, Medicare </w:t>
      </w:r>
      <w:r w:rsidR="00CE5D9B" w:rsidRPr="00817B9F">
        <w:t>health plan</w:t>
      </w:r>
      <w:r w:rsidR="00073F82" w:rsidRPr="00817B9F">
        <w:t>, or</w:t>
      </w:r>
      <w:r w:rsidR="00B61AE1" w:rsidRPr="00817B9F">
        <w:t xml:space="preserve"> </w:t>
      </w:r>
      <w:r w:rsidR="00CE5D9B" w:rsidRPr="00817B9F">
        <w:t>MassHealth</w:t>
      </w:r>
      <w:r w:rsidR="006C1B91" w:rsidRPr="00817B9F">
        <w:t xml:space="preserve"> managed care</w:t>
      </w:r>
      <w:r w:rsidR="00B61AE1" w:rsidRPr="00817B9F">
        <w:t>),</w:t>
      </w:r>
      <w:r w:rsidR="00B44319" w:rsidRPr="00817B9F">
        <w:t xml:space="preserve"> and product type (</w:t>
      </w:r>
      <w:r w:rsidR="00B44319" w:rsidRPr="00817B9F">
        <w:rPr>
          <w:i/>
          <w:iCs/>
        </w:rPr>
        <w:t xml:space="preserve">e.g., </w:t>
      </w:r>
      <w:r w:rsidR="00B44319" w:rsidRPr="00817B9F">
        <w:t>P</w:t>
      </w:r>
      <w:r w:rsidR="00430F1D" w:rsidRPr="00817B9F">
        <w:t xml:space="preserve">referred </w:t>
      </w:r>
      <w:r w:rsidR="00B44319" w:rsidRPr="00817B9F">
        <w:t>P</w:t>
      </w:r>
      <w:r w:rsidR="00430F1D" w:rsidRPr="00817B9F">
        <w:t xml:space="preserve">rovider </w:t>
      </w:r>
      <w:r w:rsidR="00B44319" w:rsidRPr="00817B9F">
        <w:t>O</w:t>
      </w:r>
      <w:r w:rsidR="00430F1D" w:rsidRPr="00817B9F">
        <w:t>rganization</w:t>
      </w:r>
      <w:r w:rsidR="00073F82" w:rsidRPr="00817B9F">
        <w:t xml:space="preserve"> or H</w:t>
      </w:r>
      <w:r w:rsidR="00430F1D" w:rsidRPr="00817B9F">
        <w:t xml:space="preserve">ealth </w:t>
      </w:r>
      <w:r w:rsidR="00073F82" w:rsidRPr="00817B9F">
        <w:t>M</w:t>
      </w:r>
      <w:r w:rsidR="00430F1D" w:rsidRPr="00817B9F">
        <w:t xml:space="preserve">aintenance </w:t>
      </w:r>
      <w:r w:rsidR="00073F82" w:rsidRPr="00817B9F">
        <w:t>O</w:t>
      </w:r>
      <w:r w:rsidR="00430F1D" w:rsidRPr="00817B9F">
        <w:t>rganization</w:t>
      </w:r>
      <w:r w:rsidR="00073F82" w:rsidRPr="00817B9F">
        <w:t>/P</w:t>
      </w:r>
      <w:r w:rsidR="00430F1D" w:rsidRPr="00817B9F">
        <w:t>oint</w:t>
      </w:r>
      <w:r w:rsidR="00BE6809" w:rsidRPr="00817B9F">
        <w:t xml:space="preserve"> </w:t>
      </w:r>
      <w:r w:rsidR="00430F1D" w:rsidRPr="00817B9F">
        <w:t>of</w:t>
      </w:r>
      <w:r w:rsidR="00BE6809" w:rsidRPr="00817B9F">
        <w:t xml:space="preserve"> </w:t>
      </w:r>
      <w:r w:rsidR="00430F1D" w:rsidRPr="00817B9F">
        <w:t>Service plans</w:t>
      </w:r>
      <w:r w:rsidR="00073F82" w:rsidRPr="00817B9F">
        <w:t>)</w:t>
      </w:r>
      <w:r w:rsidR="00FA0B70" w:rsidRPr="00817B9F">
        <w:t>.</w:t>
      </w:r>
      <w:r w:rsidR="000E7DBD" w:rsidRPr="00817B9F">
        <w:rPr>
          <w:rStyle w:val="FootnoteReference"/>
        </w:rPr>
        <w:footnoteReference w:id="57"/>
      </w:r>
      <w:r w:rsidR="00FA0B70" w:rsidRPr="00817B9F">
        <w:rPr>
          <w:vertAlign w:val="superscript"/>
        </w:rPr>
        <w:t xml:space="preserve"> </w:t>
      </w:r>
    </w:p>
    <w:p w14:paraId="6A630DF0" w14:textId="77D490B9" w:rsidR="00C90304" w:rsidRPr="00817B9F" w:rsidRDefault="008D6300" w:rsidP="00E15229">
      <w:pPr>
        <w:pStyle w:val="NumberedParagraphs"/>
      </w:pPr>
      <w:r w:rsidRPr="00817B9F">
        <w:t xml:space="preserve">Separately by </w:t>
      </w:r>
      <w:r w:rsidR="00FC078F" w:rsidRPr="00817B9F">
        <w:t>payor</w:t>
      </w:r>
      <w:r w:rsidR="00D959CE" w:rsidRPr="00817B9F">
        <w:t xml:space="preserve">, </w:t>
      </w:r>
      <w:r w:rsidR="0002436B" w:rsidRPr="00817B9F">
        <w:t>insurance category, and product type, CHIA calculate</w:t>
      </w:r>
      <w:r w:rsidR="00444F53" w:rsidRPr="00817B9F">
        <w:t>s</w:t>
      </w:r>
      <w:r w:rsidR="0002436B" w:rsidRPr="00817B9F">
        <w:t xml:space="preserve"> an “adjusted base rate” for each hospital as the </w:t>
      </w:r>
      <w:r w:rsidR="0023318F" w:rsidRPr="00817B9F">
        <w:t>sum of total payments to the hospital (both claims payment</w:t>
      </w:r>
      <w:r w:rsidR="001A2C2C" w:rsidRPr="00817B9F">
        <w:t>s</w:t>
      </w:r>
      <w:r w:rsidR="0023318F" w:rsidRPr="00817B9F">
        <w:t xml:space="preserve"> and non-claims payments) divided by the product of </w:t>
      </w:r>
      <w:r w:rsidR="005E3AE7" w:rsidRPr="00817B9F">
        <w:t xml:space="preserve">the </w:t>
      </w:r>
      <w:r w:rsidR="007A76C7" w:rsidRPr="00817B9F">
        <w:t>number of discharges and the case mix index.</w:t>
      </w:r>
      <w:r w:rsidR="005E3AE7" w:rsidRPr="00817B9F">
        <w:rPr>
          <w:rStyle w:val="FootnoteReference"/>
        </w:rPr>
        <w:footnoteReference w:id="58"/>
      </w:r>
      <w:r w:rsidR="00B35C85" w:rsidRPr="00817B9F">
        <w:t xml:space="preserve"> </w:t>
      </w:r>
      <w:r w:rsidR="00861B28" w:rsidRPr="00817B9F">
        <w:t>The average of th</w:t>
      </w:r>
      <w:r w:rsidR="00761839" w:rsidRPr="00817B9F">
        <w:t xml:space="preserve">ese </w:t>
      </w:r>
      <w:r w:rsidR="004C2A98" w:rsidRPr="00817B9F">
        <w:t xml:space="preserve">adjusted base rates is then calculated across all hospitals within the same </w:t>
      </w:r>
      <w:r w:rsidR="00906216" w:rsidRPr="00817B9F">
        <w:t>payor/insurance</w:t>
      </w:r>
      <w:r w:rsidR="00AB1D66" w:rsidRPr="00817B9F">
        <w:t xml:space="preserve"> category/product type combination,</w:t>
      </w:r>
      <w:r w:rsidR="00B37E7A" w:rsidRPr="00817B9F">
        <w:t xml:space="preserve"> with </w:t>
      </w:r>
      <w:r w:rsidR="00FB291C" w:rsidRPr="00817B9F">
        <w:t xml:space="preserve">the relative </w:t>
      </w:r>
      <w:r w:rsidR="003C1D14" w:rsidRPr="00817B9F">
        <w:t xml:space="preserve">price </w:t>
      </w:r>
      <w:r w:rsidR="00FB291C" w:rsidRPr="00817B9F">
        <w:t xml:space="preserve">for each </w:t>
      </w:r>
      <w:r w:rsidR="00424345" w:rsidRPr="00817B9F">
        <w:t>hospital within</w:t>
      </w:r>
      <w:r w:rsidR="003C1D14" w:rsidRPr="00817B9F">
        <w:t xml:space="preserve"> </w:t>
      </w:r>
      <w:r w:rsidR="00424345" w:rsidRPr="00817B9F">
        <w:t>each combination calculated as the adjusted base rate divided by this average.</w:t>
      </w:r>
      <w:r w:rsidR="00593AB5" w:rsidRPr="00817B9F">
        <w:rPr>
          <w:rStyle w:val="FootnoteReference"/>
        </w:rPr>
        <w:footnoteReference w:id="59"/>
      </w:r>
    </w:p>
    <w:p w14:paraId="119937E6" w14:textId="235B4F85" w:rsidR="00B71E02" w:rsidRPr="00817B9F" w:rsidRDefault="00B71E02" w:rsidP="00B71E02">
      <w:pPr>
        <w:pStyle w:val="NumberedParagraphs"/>
      </w:pPr>
      <w:r w:rsidRPr="00817B9F">
        <w:lastRenderedPageBreak/>
        <w:t>The relative price measures published by CHIA can therefore be thought of as measuring relative differences in reimbursement across hospitals within the same health plan network.</w:t>
      </w:r>
      <w:r w:rsidRPr="00817B9F">
        <w:rPr>
          <w:rStyle w:val="FootnoteReference"/>
        </w:rPr>
        <w:footnoteReference w:id="60"/>
      </w:r>
      <w:r w:rsidRPr="00817B9F">
        <w:t xml:space="preserve"> For example, the CHIA Relative Price report for 2018 shows that among inpatient hospital claims submitted by members of its commercial health plans, Blue Cross Blue Shield of Massachusetts</w:t>
      </w:r>
      <w:r w:rsidR="00416807" w:rsidRPr="00817B9F">
        <w:t>’s</w:t>
      </w:r>
      <w:r w:rsidRPr="00817B9F">
        <w:t xml:space="preserve"> (“BCBS-MA”) </w:t>
      </w:r>
      <w:r w:rsidR="005E45A4" w:rsidRPr="00817B9F">
        <w:t>MGH</w:t>
      </w:r>
      <w:r w:rsidRPr="00817B9F">
        <w:t xml:space="preserve"> relative price was 1.</w:t>
      </w:r>
      <w:r w:rsidR="008B4AEF" w:rsidRPr="00817B9F">
        <w:t>36</w:t>
      </w:r>
      <w:r w:rsidRPr="00817B9F">
        <w:t xml:space="preserve">. In other words, </w:t>
      </w:r>
      <w:r w:rsidR="00B2355D" w:rsidRPr="00817B9F">
        <w:t>MGH</w:t>
      </w:r>
      <w:r w:rsidRPr="00817B9F">
        <w:t xml:space="preserve"> received reimbursements that </w:t>
      </w:r>
      <w:r w:rsidR="00752E8C" w:rsidRPr="00817B9F">
        <w:t>on average were</w:t>
      </w:r>
      <w:r w:rsidRPr="00817B9F">
        <w:t xml:space="preserve"> </w:t>
      </w:r>
      <w:r w:rsidR="008B4AEF" w:rsidRPr="00817B9F">
        <w:t>36</w:t>
      </w:r>
      <w:r w:rsidRPr="00817B9F">
        <w:t xml:space="preserve"> percent higher than BCBS-MA’s average case mix adjusted reimbursement for inpatient hospital care provided to commercial health plan members. </w:t>
      </w:r>
      <w:r w:rsidR="007F50F1" w:rsidRPr="00817B9F">
        <w:t xml:space="preserve">The relative price for Brigham and Women’s </w:t>
      </w:r>
      <w:r w:rsidR="008C6F71" w:rsidRPr="00817B9F">
        <w:t>Faulkner</w:t>
      </w:r>
      <w:r w:rsidR="007F50F1" w:rsidRPr="00817B9F">
        <w:t xml:space="preserve"> Hospital was</w:t>
      </w:r>
      <w:r w:rsidR="00734D50" w:rsidRPr="00817B9F">
        <w:t xml:space="preserve"> </w:t>
      </w:r>
      <w:r w:rsidR="007F50F1" w:rsidRPr="00817B9F">
        <w:t>1.</w:t>
      </w:r>
      <w:r w:rsidR="003157E2" w:rsidRPr="00817B9F">
        <w:t>08</w:t>
      </w:r>
      <w:r w:rsidR="007F50F1" w:rsidRPr="00817B9F">
        <w:t xml:space="preserve"> for the same network. Using these two relative prices, BCBS-MA’s payments to B</w:t>
      </w:r>
      <w:r w:rsidR="0012205B" w:rsidRPr="00817B9F">
        <w:t>righam and Women’s Faulkner Hospital</w:t>
      </w:r>
      <w:r w:rsidR="007F50F1" w:rsidRPr="00817B9F">
        <w:t xml:space="preserve"> were</w:t>
      </w:r>
      <w:r w:rsidR="00734D50" w:rsidRPr="00817B9F">
        <w:t>, on average,</w:t>
      </w:r>
      <w:r w:rsidR="007F50F1" w:rsidRPr="00817B9F">
        <w:t xml:space="preserve"> 21 percent less than its payments to </w:t>
      </w:r>
      <w:r w:rsidR="003157E2" w:rsidRPr="00817B9F">
        <w:t>MG</w:t>
      </w:r>
      <w:r w:rsidR="00734D50" w:rsidRPr="00817B9F">
        <w:t>H</w:t>
      </w:r>
      <w:r w:rsidR="007F50F1" w:rsidRPr="00817B9F">
        <w:t xml:space="preserve"> for inpatient care provided to members of its commercial health plans (</w:t>
      </w:r>
      <w:r w:rsidR="007F50F1" w:rsidRPr="00817B9F">
        <w:rPr>
          <w:i/>
          <w:iCs/>
        </w:rPr>
        <w:t xml:space="preserve">i.e., </w:t>
      </w:r>
      <w:r w:rsidR="007F50F1" w:rsidRPr="00817B9F">
        <w:t>1.08 is 21 percent less than 1.36).</w:t>
      </w:r>
    </w:p>
    <w:p w14:paraId="3BCF3463" w14:textId="64B456F3" w:rsidR="00DE75A7" w:rsidRPr="00817B9F" w:rsidRDefault="009A6399" w:rsidP="00E15229">
      <w:pPr>
        <w:pStyle w:val="NumberedParagraphs"/>
      </w:pPr>
      <w:r w:rsidRPr="00817B9F">
        <w:t xml:space="preserve">CHIA’s </w:t>
      </w:r>
      <w:r w:rsidR="00246775" w:rsidRPr="00817B9F">
        <w:t xml:space="preserve">relative price </w:t>
      </w:r>
      <w:r w:rsidR="00105DC1" w:rsidRPr="00817B9F">
        <w:t>information</w:t>
      </w:r>
      <w:r w:rsidR="00246775" w:rsidRPr="00817B9F">
        <w:t xml:space="preserve"> does not </w:t>
      </w:r>
      <w:r w:rsidR="00105DC1" w:rsidRPr="00817B9F">
        <w:t xml:space="preserve">contain the </w:t>
      </w:r>
      <w:r w:rsidR="00BF7B53" w:rsidRPr="00817B9F">
        <w:t xml:space="preserve">actual </w:t>
      </w:r>
      <w:r w:rsidR="00105DC1" w:rsidRPr="00817B9F">
        <w:t>amounts</w:t>
      </w:r>
      <w:r w:rsidR="00BF7B53" w:rsidRPr="00817B9F">
        <w:t xml:space="preserve"> that payors reimburse</w:t>
      </w:r>
      <w:r w:rsidR="005269E2" w:rsidRPr="00817B9F">
        <w:t xml:space="preserve"> hospitals for providing inpatient care. However, </w:t>
      </w:r>
      <w:r w:rsidR="00A0394D" w:rsidRPr="00817B9F">
        <w:t>the relative prices calculated by CHIA</w:t>
      </w:r>
      <w:r w:rsidR="00105DC1" w:rsidRPr="00817B9F">
        <w:t xml:space="preserve"> </w:t>
      </w:r>
      <w:r w:rsidR="005D2097" w:rsidRPr="00817B9F">
        <w:t xml:space="preserve">are </w:t>
      </w:r>
      <w:r w:rsidR="005B799E" w:rsidRPr="00817B9F">
        <w:t>sufficient to measure</w:t>
      </w:r>
      <w:r w:rsidR="00CE24E8" w:rsidRPr="00817B9F">
        <w:t xml:space="preserve"> the percentage impact</w:t>
      </w:r>
      <w:r w:rsidR="009526ED" w:rsidRPr="00817B9F">
        <w:t xml:space="preserve"> that s</w:t>
      </w:r>
      <w:r w:rsidR="005022E4" w:rsidRPr="00817B9F">
        <w:t>hifts in health</w:t>
      </w:r>
      <w:r w:rsidR="00A46E38" w:rsidRPr="00817B9F">
        <w:t xml:space="preserve"> </w:t>
      </w:r>
      <w:r w:rsidR="005022E4" w:rsidRPr="00817B9F">
        <w:t xml:space="preserve">care utilization </w:t>
      </w:r>
      <w:r w:rsidR="003D2A9F" w:rsidRPr="00817B9F">
        <w:t xml:space="preserve">would </w:t>
      </w:r>
      <w:r w:rsidR="0003438E" w:rsidRPr="00817B9F">
        <w:t xml:space="preserve">have on a particular payor’s inpatient spending. </w:t>
      </w:r>
      <w:r w:rsidR="0002656F" w:rsidRPr="00817B9F">
        <w:t>For example,</w:t>
      </w:r>
      <w:r w:rsidR="00F06D53" w:rsidRPr="00817B9F">
        <w:t xml:space="preserve"> suppose </w:t>
      </w:r>
      <w:r w:rsidR="00C4264A" w:rsidRPr="00817B9F">
        <w:t>that</w:t>
      </w:r>
      <w:r w:rsidR="00F06D53" w:rsidRPr="00817B9F">
        <w:t xml:space="preserve"> 100 </w:t>
      </w:r>
      <w:r w:rsidR="00761668" w:rsidRPr="00817B9F">
        <w:t xml:space="preserve">members of </w:t>
      </w:r>
      <w:r w:rsidR="00F06D53" w:rsidRPr="00817B9F">
        <w:t>BCBS</w:t>
      </w:r>
      <w:r w:rsidR="00E423A9" w:rsidRPr="00817B9F">
        <w:t>-</w:t>
      </w:r>
      <w:r w:rsidR="00F06D53" w:rsidRPr="00817B9F">
        <w:t>MA</w:t>
      </w:r>
      <w:r w:rsidR="00761668" w:rsidRPr="00817B9F">
        <w:t>’s commercial health plans</w:t>
      </w:r>
      <w:r w:rsidR="00D03D6D" w:rsidRPr="00817B9F">
        <w:t xml:space="preserve"> are admitted to </w:t>
      </w:r>
      <w:r w:rsidR="0065306E" w:rsidRPr="00817B9F">
        <w:t>MGH</w:t>
      </w:r>
      <w:r w:rsidR="00942FD4" w:rsidRPr="00817B9F">
        <w:t xml:space="preserve"> </w:t>
      </w:r>
      <w:r w:rsidR="00DD4DA6" w:rsidRPr="00817B9F">
        <w:t>each year</w:t>
      </w:r>
      <w:r w:rsidR="00706289" w:rsidRPr="00817B9F">
        <w:t xml:space="preserve"> and </w:t>
      </w:r>
      <w:r w:rsidR="002971A8" w:rsidRPr="00817B9F">
        <w:t>that</w:t>
      </w:r>
      <w:r w:rsidR="00942FD4" w:rsidRPr="00817B9F">
        <w:t xml:space="preserve"> </w:t>
      </w:r>
      <w:r w:rsidR="005077E1" w:rsidRPr="00817B9F">
        <w:t>ten</w:t>
      </w:r>
      <w:r w:rsidR="00942FD4" w:rsidRPr="00817B9F">
        <w:t xml:space="preserve"> of these </w:t>
      </w:r>
      <w:r w:rsidR="002971A8" w:rsidRPr="00817B9F">
        <w:t xml:space="preserve">100 </w:t>
      </w:r>
      <w:r w:rsidR="00942FD4" w:rsidRPr="00817B9F">
        <w:t xml:space="preserve">patients </w:t>
      </w:r>
      <w:r w:rsidR="002971A8" w:rsidRPr="00817B9F">
        <w:t>are instead</w:t>
      </w:r>
      <w:r w:rsidR="00942FD4" w:rsidRPr="00817B9F">
        <w:t xml:space="preserve"> admitted to </w:t>
      </w:r>
      <w:r w:rsidR="003D53D3" w:rsidRPr="00817B9F">
        <w:t>Brigham and Women’s Faulkner Hospital</w:t>
      </w:r>
      <w:r w:rsidR="00942FD4" w:rsidRPr="00817B9F">
        <w:t xml:space="preserve">. </w:t>
      </w:r>
      <w:r w:rsidR="00586381" w:rsidRPr="00817B9F">
        <w:t>Because</w:t>
      </w:r>
      <w:r w:rsidR="00C57389" w:rsidRPr="00817B9F">
        <w:t xml:space="preserve"> </w:t>
      </w:r>
      <w:r w:rsidR="002C147E" w:rsidRPr="00817B9F">
        <w:t>BCBS</w:t>
      </w:r>
      <w:r w:rsidR="00E423A9" w:rsidRPr="00817B9F">
        <w:t>-</w:t>
      </w:r>
      <w:r w:rsidR="002C147E" w:rsidRPr="00817B9F">
        <w:t xml:space="preserve">MA </w:t>
      </w:r>
      <w:r w:rsidR="003D7F01" w:rsidRPr="00817B9F">
        <w:t>reimburses</w:t>
      </w:r>
      <w:r w:rsidR="002C147E" w:rsidRPr="00817B9F">
        <w:t xml:space="preserve"> </w:t>
      </w:r>
      <w:r w:rsidR="003D53D3" w:rsidRPr="00817B9F">
        <w:t>Brigham and Women’s Faulkner Hospital</w:t>
      </w:r>
      <w:r w:rsidR="00C57389" w:rsidRPr="00817B9F">
        <w:t xml:space="preserve"> </w:t>
      </w:r>
      <w:r w:rsidR="003D7F01" w:rsidRPr="00817B9F">
        <w:t>21</w:t>
      </w:r>
      <w:r w:rsidR="002C147E" w:rsidRPr="00817B9F">
        <w:t xml:space="preserve"> percent less than </w:t>
      </w:r>
      <w:r w:rsidR="00731AC6" w:rsidRPr="00817B9F">
        <w:t>it</w:t>
      </w:r>
      <w:r w:rsidR="002C147E" w:rsidRPr="00817B9F">
        <w:t xml:space="preserve"> do</w:t>
      </w:r>
      <w:r w:rsidR="00731AC6" w:rsidRPr="00817B9F">
        <w:t>es</w:t>
      </w:r>
      <w:r w:rsidR="002C147E" w:rsidRPr="00817B9F">
        <w:t xml:space="preserve"> </w:t>
      </w:r>
      <w:r w:rsidR="009818D9" w:rsidRPr="00817B9F">
        <w:t>MG</w:t>
      </w:r>
      <w:r w:rsidR="0096640F" w:rsidRPr="00817B9F">
        <w:t>H</w:t>
      </w:r>
      <w:r w:rsidR="002C147E" w:rsidRPr="00817B9F">
        <w:t xml:space="preserve">, this </w:t>
      </w:r>
      <w:r w:rsidR="00437387" w:rsidRPr="00817B9F">
        <w:t xml:space="preserve">substitution from </w:t>
      </w:r>
      <w:r w:rsidR="0086446D" w:rsidRPr="00817B9F">
        <w:t>MGH</w:t>
      </w:r>
      <w:r w:rsidR="00277AFA" w:rsidRPr="00817B9F">
        <w:t xml:space="preserve"> </w:t>
      </w:r>
      <w:r w:rsidR="00E12DA0" w:rsidRPr="00817B9F">
        <w:t xml:space="preserve">to </w:t>
      </w:r>
      <w:r w:rsidR="003D53D3" w:rsidRPr="00817B9F">
        <w:t>Brigham and Women’s Faulkner Hospital</w:t>
      </w:r>
      <w:r w:rsidR="00D700E2" w:rsidRPr="00817B9F">
        <w:t xml:space="preserve"> </w:t>
      </w:r>
      <w:r w:rsidR="00530577" w:rsidRPr="00817B9F">
        <w:t>w</w:t>
      </w:r>
      <w:r w:rsidR="00277AFA" w:rsidRPr="00817B9F">
        <w:t>ould</w:t>
      </w:r>
      <w:r w:rsidR="00530577" w:rsidRPr="00817B9F">
        <w:t xml:space="preserve"> reduce BCBS</w:t>
      </w:r>
      <w:r w:rsidR="00E423A9" w:rsidRPr="00817B9F">
        <w:t>-</w:t>
      </w:r>
      <w:r w:rsidR="00530577" w:rsidRPr="00817B9F">
        <w:t xml:space="preserve">MA’s expected spending on the 100 enrollees in question by approximately </w:t>
      </w:r>
      <w:r w:rsidR="00DE54B6" w:rsidRPr="00817B9F">
        <w:t>2</w:t>
      </w:r>
      <w:r w:rsidR="00F50345" w:rsidRPr="00817B9F">
        <w:t>.</w:t>
      </w:r>
      <w:r w:rsidR="00DE54B6" w:rsidRPr="00817B9F">
        <w:t>1</w:t>
      </w:r>
      <w:r w:rsidR="00530577" w:rsidRPr="00817B9F">
        <w:t xml:space="preserve"> percent.</w:t>
      </w:r>
      <w:r w:rsidR="00E26F28" w:rsidRPr="00817B9F">
        <w:rPr>
          <w:rStyle w:val="FootnoteReference"/>
        </w:rPr>
        <w:footnoteReference w:id="61"/>
      </w:r>
      <w:r w:rsidR="00580E3D" w:rsidRPr="00817B9F">
        <w:t xml:space="preserve"> </w:t>
      </w:r>
      <w:r w:rsidR="0069561C" w:rsidRPr="00817B9F">
        <w:t xml:space="preserve">While this calculation is hypothetical, </w:t>
      </w:r>
      <w:r w:rsidR="00937B23" w:rsidRPr="00817B9F">
        <w:t xml:space="preserve">we implement </w:t>
      </w:r>
      <w:r w:rsidR="00572ECF" w:rsidRPr="00817B9F">
        <w:t xml:space="preserve">similar calculations </w:t>
      </w:r>
      <w:r w:rsidR="00ED3BEF" w:rsidRPr="00817B9F">
        <w:t xml:space="preserve">discussed </w:t>
      </w:r>
      <w:r w:rsidR="00E9135F" w:rsidRPr="00817B9F">
        <w:t xml:space="preserve">later in this </w:t>
      </w:r>
      <w:r w:rsidR="00586381" w:rsidRPr="00817B9F">
        <w:t>ICA</w:t>
      </w:r>
      <w:r w:rsidR="009B3266" w:rsidRPr="00817B9F">
        <w:t xml:space="preserve"> to quantify the effect of the proposed project on</w:t>
      </w:r>
      <w:r w:rsidR="00937B23" w:rsidRPr="00817B9F">
        <w:t xml:space="preserve"> </w:t>
      </w:r>
      <w:r w:rsidR="00E26F28" w:rsidRPr="00817B9F">
        <w:t xml:space="preserve">inpatient spending. </w:t>
      </w:r>
    </w:p>
    <w:p w14:paraId="2998D81F" w14:textId="46ECD055" w:rsidR="00F37D52" w:rsidRPr="00817B9F" w:rsidRDefault="00DF3E20" w:rsidP="00E15229">
      <w:pPr>
        <w:pStyle w:val="NumberedParagraphs"/>
      </w:pPr>
      <w:r w:rsidRPr="00817B9F">
        <w:lastRenderedPageBreak/>
        <w:t>To utilize the CHIA relative price data</w:t>
      </w:r>
      <w:r w:rsidR="003B3E48" w:rsidRPr="00817B9F">
        <w:t xml:space="preserve">, we </w:t>
      </w:r>
      <w:r w:rsidR="0086080D" w:rsidRPr="00817B9F">
        <w:t>combined</w:t>
      </w:r>
      <w:r w:rsidR="002D2559" w:rsidRPr="00817B9F">
        <w:t xml:space="preserve"> </w:t>
      </w:r>
      <w:r w:rsidR="0086080D" w:rsidRPr="00817B9F">
        <w:t>relative price information</w:t>
      </w:r>
      <w:r w:rsidR="002D2559" w:rsidRPr="00817B9F">
        <w:t xml:space="preserve"> for </w:t>
      </w:r>
      <w:r w:rsidR="009C21D9" w:rsidRPr="00817B9F">
        <w:t>2018</w:t>
      </w:r>
      <w:r w:rsidR="0086080D" w:rsidRPr="00817B9F">
        <w:t xml:space="preserve"> </w:t>
      </w:r>
      <w:r w:rsidR="00540367" w:rsidRPr="00817B9F">
        <w:t xml:space="preserve">with </w:t>
      </w:r>
      <w:r w:rsidR="000554CD" w:rsidRPr="00817B9F">
        <w:t xml:space="preserve">records from </w:t>
      </w:r>
      <w:r w:rsidR="003B3E48" w:rsidRPr="00817B9F">
        <w:t xml:space="preserve">the </w:t>
      </w:r>
      <w:r w:rsidR="0012117E" w:rsidRPr="00817B9F">
        <w:t>Hospital Inpatient Discharge Data</w:t>
      </w:r>
      <w:r w:rsidR="00DE302A" w:rsidRPr="00817B9F">
        <w:t>base</w:t>
      </w:r>
      <w:r w:rsidR="00F740CF" w:rsidRPr="00817B9F">
        <w:t xml:space="preserve"> by</w:t>
      </w:r>
      <w:r w:rsidR="00B609CC" w:rsidRPr="00817B9F">
        <w:t xml:space="preserve"> </w:t>
      </w:r>
      <w:r w:rsidR="00F1458E" w:rsidRPr="00817B9F">
        <w:t>payor</w:t>
      </w:r>
      <w:r w:rsidR="000F6E24" w:rsidRPr="00817B9F">
        <w:t>, insurance type, and hospital.</w:t>
      </w:r>
      <w:r w:rsidR="00285E69" w:rsidRPr="00817B9F">
        <w:rPr>
          <w:rStyle w:val="FootnoteReference"/>
        </w:rPr>
        <w:footnoteReference w:id="62"/>
      </w:r>
      <w:r w:rsidR="005561E7" w:rsidRPr="00817B9F">
        <w:rPr>
          <w:vertAlign w:val="superscript"/>
        </w:rPr>
        <w:t>,</w:t>
      </w:r>
      <w:r w:rsidR="00072C92" w:rsidRPr="00817B9F">
        <w:rPr>
          <w:vertAlign w:val="superscript"/>
        </w:rPr>
        <w:t xml:space="preserve"> </w:t>
      </w:r>
      <w:r w:rsidR="004F3EE6" w:rsidRPr="00817B9F">
        <w:rPr>
          <w:rStyle w:val="FootnoteReference"/>
        </w:rPr>
        <w:footnoteReference w:id="63"/>
      </w:r>
      <w:r w:rsidR="00E45C34" w:rsidRPr="00817B9F">
        <w:t xml:space="preserve"> </w:t>
      </w:r>
      <w:r w:rsidR="00F37D52" w:rsidRPr="00817B9F">
        <w:t xml:space="preserve">We identified a corresponding relative price entry for </w:t>
      </w:r>
      <w:r w:rsidR="00985231" w:rsidRPr="00817B9F">
        <w:t xml:space="preserve">approximately </w:t>
      </w:r>
      <w:r w:rsidR="00F37D52" w:rsidRPr="00817B9F">
        <w:t xml:space="preserve">58 percent of the commercial discharges contained in the </w:t>
      </w:r>
      <w:r w:rsidR="00383556" w:rsidRPr="00817B9F">
        <w:t>Hospital I</w:t>
      </w:r>
      <w:r w:rsidR="00F37D52" w:rsidRPr="00817B9F">
        <w:t xml:space="preserve">npatient </w:t>
      </w:r>
      <w:r w:rsidR="00383556" w:rsidRPr="00817B9F">
        <w:t>D</w:t>
      </w:r>
      <w:r w:rsidR="00F37D52" w:rsidRPr="00817B9F">
        <w:t xml:space="preserve">ischarge </w:t>
      </w:r>
      <w:r w:rsidR="00383556" w:rsidRPr="00817B9F">
        <w:t>D</w:t>
      </w:r>
      <w:r w:rsidR="00F37D52" w:rsidRPr="00817B9F">
        <w:t>atabase</w:t>
      </w:r>
      <w:r w:rsidR="00B04F24" w:rsidRPr="00817B9F">
        <w:t xml:space="preserve"> (after implementing the aforementioned exclusions to the data)</w:t>
      </w:r>
      <w:r w:rsidR="009413FE" w:rsidRPr="00817B9F">
        <w:t>.</w:t>
      </w:r>
      <w:r w:rsidR="009413FE" w:rsidRPr="00817B9F">
        <w:rPr>
          <w:rStyle w:val="FootnoteReference"/>
        </w:rPr>
        <w:footnoteReference w:id="64"/>
      </w:r>
    </w:p>
    <w:p w14:paraId="17F1DF04" w14:textId="48802E14" w:rsidR="00DD3D6F" w:rsidRPr="00817B9F" w:rsidRDefault="00D106A0" w:rsidP="00E15229">
      <w:pPr>
        <w:pStyle w:val="NumberedParagraphs"/>
      </w:pPr>
      <w:r w:rsidRPr="00817B9F">
        <w:t>We use</w:t>
      </w:r>
      <w:r w:rsidR="009124C0" w:rsidRPr="00817B9F">
        <w:t xml:space="preserve"> </w:t>
      </w:r>
      <w:r w:rsidR="00E15229" w:rsidRPr="00817B9F">
        <w:t>th</w:t>
      </w:r>
      <w:r w:rsidR="00357EA2" w:rsidRPr="00817B9F">
        <w:t>ese relative prices</w:t>
      </w:r>
      <w:r w:rsidR="00E15229" w:rsidRPr="00817B9F">
        <w:t xml:space="preserve"> </w:t>
      </w:r>
      <w:r w:rsidR="00071157" w:rsidRPr="00817B9F">
        <w:t>and the Hospital Inpatient Discharge Database</w:t>
      </w:r>
      <w:r w:rsidR="00E15229" w:rsidRPr="00817B9F">
        <w:t xml:space="preserve"> when determining the </w:t>
      </w:r>
      <w:r w:rsidR="00930E37" w:rsidRPr="00817B9F">
        <w:t xml:space="preserve">net </w:t>
      </w:r>
      <w:r w:rsidR="003B0841" w:rsidRPr="00817B9F">
        <w:t xml:space="preserve">effect on </w:t>
      </w:r>
      <w:r w:rsidR="009167E7" w:rsidRPr="00817B9F">
        <w:t>health care expenditures</w:t>
      </w:r>
      <w:r w:rsidR="00930E37" w:rsidRPr="00817B9F">
        <w:t xml:space="preserve"> from</w:t>
      </w:r>
      <w:r w:rsidR="00E15229" w:rsidRPr="00817B9F">
        <w:t xml:space="preserve"> </w:t>
      </w:r>
      <w:r w:rsidR="00535345" w:rsidRPr="00817B9F">
        <w:t xml:space="preserve">shifting </w:t>
      </w:r>
      <w:r w:rsidR="005A66ED" w:rsidRPr="00817B9F">
        <w:t>inpatient</w:t>
      </w:r>
      <w:r w:rsidR="004F279B" w:rsidRPr="00817B9F">
        <w:t>s</w:t>
      </w:r>
      <w:r w:rsidR="00880C61" w:rsidRPr="00817B9F">
        <w:t xml:space="preserve"> </w:t>
      </w:r>
      <w:r w:rsidR="007D2F5D" w:rsidRPr="00817B9F">
        <w:t>(</w:t>
      </w:r>
      <w:r w:rsidR="00E52827" w:rsidRPr="00817B9F">
        <w:rPr>
          <w:i/>
          <w:iCs/>
        </w:rPr>
        <w:t>i.e.</w:t>
      </w:r>
      <w:r w:rsidR="00E52827" w:rsidRPr="00817B9F">
        <w:t xml:space="preserve">, inpatient </w:t>
      </w:r>
      <w:r w:rsidR="00025046" w:rsidRPr="00817B9F">
        <w:t xml:space="preserve">discharge </w:t>
      </w:r>
      <w:r w:rsidR="00E52827" w:rsidRPr="00817B9F">
        <w:t xml:space="preserve">volume) </w:t>
      </w:r>
      <w:r w:rsidR="00880C61" w:rsidRPr="00817B9F">
        <w:t xml:space="preserve">between </w:t>
      </w:r>
      <w:r w:rsidR="00D5235E" w:rsidRPr="00817B9F">
        <w:t>GAC hospitals</w:t>
      </w:r>
      <w:r w:rsidR="00880C61" w:rsidRPr="00817B9F">
        <w:t>,</w:t>
      </w:r>
      <w:r w:rsidR="004F279B" w:rsidRPr="00817B9F">
        <w:t xml:space="preserve"> separately for</w:t>
      </w:r>
      <w:r w:rsidR="00E52827" w:rsidRPr="00817B9F">
        <w:t xml:space="preserve"> </w:t>
      </w:r>
      <w:r w:rsidR="00D5235E" w:rsidRPr="00817B9F">
        <w:t>patients</w:t>
      </w:r>
      <w:r w:rsidR="004F279B" w:rsidRPr="00817B9F">
        <w:t xml:space="preserve"> with </w:t>
      </w:r>
      <w:r w:rsidR="00A51F76" w:rsidRPr="00817B9F">
        <w:t>c</w:t>
      </w:r>
      <w:r w:rsidR="00085744" w:rsidRPr="00817B9F">
        <w:t>ommercial</w:t>
      </w:r>
      <w:r w:rsidR="006932BD" w:rsidRPr="00817B9F">
        <w:t>,</w:t>
      </w:r>
      <w:r w:rsidR="008B2940" w:rsidRPr="00817B9F">
        <w:t xml:space="preserve"> </w:t>
      </w:r>
      <w:r w:rsidR="0071118E" w:rsidRPr="00817B9F">
        <w:t xml:space="preserve">MassHealth </w:t>
      </w:r>
      <w:r w:rsidR="00E767F6" w:rsidRPr="00817B9F">
        <w:t>m</w:t>
      </w:r>
      <w:r w:rsidR="00E52827" w:rsidRPr="00817B9F">
        <w:t>ana</w:t>
      </w:r>
      <w:r w:rsidR="00B8411A" w:rsidRPr="00817B9F">
        <w:t xml:space="preserve">ged </w:t>
      </w:r>
      <w:r w:rsidR="00E767F6" w:rsidRPr="00817B9F">
        <w:t>c</w:t>
      </w:r>
      <w:r w:rsidR="00B8411A" w:rsidRPr="00817B9F">
        <w:t>are</w:t>
      </w:r>
      <w:r w:rsidR="00357EA2" w:rsidRPr="00817B9F">
        <w:t xml:space="preserve">, and </w:t>
      </w:r>
      <w:r w:rsidR="006932BD" w:rsidRPr="00817B9F">
        <w:t xml:space="preserve">Medicare </w:t>
      </w:r>
      <w:r w:rsidR="00591F7D" w:rsidRPr="00817B9F">
        <w:t>h</w:t>
      </w:r>
      <w:r w:rsidR="006932BD" w:rsidRPr="00817B9F">
        <w:t xml:space="preserve">ealth </w:t>
      </w:r>
      <w:r w:rsidR="00591F7D" w:rsidRPr="00817B9F">
        <w:t>p</w:t>
      </w:r>
      <w:r w:rsidR="006932BD" w:rsidRPr="00817B9F">
        <w:t>lan</w:t>
      </w:r>
      <w:r w:rsidR="004F279B" w:rsidRPr="00817B9F">
        <w:t>s</w:t>
      </w:r>
      <w:r w:rsidR="003D0EF5" w:rsidRPr="00817B9F">
        <w:t>.</w:t>
      </w:r>
    </w:p>
    <w:p w14:paraId="200441A3" w14:textId="1EDF764F" w:rsidR="00E64F87" w:rsidRPr="00817B9F" w:rsidRDefault="00C50835" w:rsidP="001B6A1C">
      <w:pPr>
        <w:pStyle w:val="Heading3"/>
      </w:pPr>
      <w:bookmarkStart w:id="18" w:name="_Toc90046495"/>
      <w:r w:rsidRPr="00817B9F">
        <w:t>Medicare</w:t>
      </w:r>
      <w:r w:rsidR="00027D19" w:rsidRPr="00817B9F">
        <w:t xml:space="preserve"> </w:t>
      </w:r>
      <w:r w:rsidR="004A6792" w:rsidRPr="00817B9F">
        <w:t xml:space="preserve">Inpatient Prospective Payment </w:t>
      </w:r>
      <w:r w:rsidR="00F01E9D" w:rsidRPr="00817B9F">
        <w:t>System Tables</w:t>
      </w:r>
      <w:bookmarkEnd w:id="18"/>
    </w:p>
    <w:p w14:paraId="6FC25A36" w14:textId="289D928A" w:rsidR="00F01E9D" w:rsidRPr="00817B9F" w:rsidRDefault="00DB5007" w:rsidP="001F6060">
      <w:pPr>
        <w:pStyle w:val="NumberedParagraphs"/>
      </w:pPr>
      <w:r w:rsidRPr="00817B9F">
        <w:t xml:space="preserve">To determine the relative rates </w:t>
      </w:r>
      <w:r w:rsidR="000465F1" w:rsidRPr="00817B9F">
        <w:t>paid to</w:t>
      </w:r>
      <w:r w:rsidRPr="00817B9F">
        <w:t xml:space="preserve"> hospitals f</w:t>
      </w:r>
      <w:r w:rsidR="001F6060" w:rsidRPr="00817B9F">
        <w:t xml:space="preserve">or </w:t>
      </w:r>
      <w:r w:rsidR="00163E6C" w:rsidRPr="00817B9F">
        <w:t xml:space="preserve">providing inpatient care to beneficiaries enrolled in </w:t>
      </w:r>
      <w:r w:rsidR="00275C68" w:rsidRPr="00817B9F">
        <w:t>Original</w:t>
      </w:r>
      <w:r w:rsidR="001F6060" w:rsidRPr="00817B9F">
        <w:t xml:space="preserve"> Medicare</w:t>
      </w:r>
      <w:r w:rsidR="00163E6C" w:rsidRPr="00817B9F">
        <w:t>,</w:t>
      </w:r>
      <w:r w:rsidR="001F6060" w:rsidRPr="00817B9F">
        <w:t xml:space="preserve"> we utilize </w:t>
      </w:r>
      <w:r w:rsidR="0030645D" w:rsidRPr="00817B9F">
        <w:t xml:space="preserve">files published by CMS as part of </w:t>
      </w:r>
      <w:r w:rsidR="00C51504" w:rsidRPr="00817B9F">
        <w:t>the</w:t>
      </w:r>
      <w:r w:rsidR="0030645D" w:rsidRPr="00817B9F">
        <w:t xml:space="preserve"> </w:t>
      </w:r>
      <w:r w:rsidR="001F6060" w:rsidRPr="00817B9F">
        <w:t>Inpatient Prospective Payment System</w:t>
      </w:r>
      <w:r w:rsidR="0030645D" w:rsidRPr="00817B9F">
        <w:t>.</w:t>
      </w:r>
      <w:r w:rsidR="00830181" w:rsidRPr="00817B9F">
        <w:rPr>
          <w:rStyle w:val="FootnoteReference"/>
        </w:rPr>
        <w:footnoteReference w:id="65"/>
      </w:r>
      <w:r w:rsidR="0030645D" w:rsidRPr="00817B9F">
        <w:t xml:space="preserve"> </w:t>
      </w:r>
      <w:r w:rsidR="00164F60" w:rsidRPr="00817B9F">
        <w:t xml:space="preserve">Tables 1A through 1E, which are published each year as part of the final rules for the Inpatient Prospective Payment System, contain </w:t>
      </w:r>
      <w:r w:rsidR="00862B66" w:rsidRPr="00817B9F">
        <w:t xml:space="preserve">the national payment rates used by CMS in calculating payments to hospitals. We also rely </w:t>
      </w:r>
      <w:r w:rsidR="00FD56A3" w:rsidRPr="00817B9F">
        <w:t xml:space="preserve">on the annual </w:t>
      </w:r>
      <w:r w:rsidR="00F01E9D" w:rsidRPr="00817B9F">
        <w:t>Impact</w:t>
      </w:r>
      <w:r w:rsidR="00FD56A3" w:rsidRPr="00817B9F">
        <w:t xml:space="preserve"> File</w:t>
      </w:r>
      <w:r w:rsidR="00866239" w:rsidRPr="00817B9F">
        <w:t xml:space="preserve"> published by CMS</w:t>
      </w:r>
      <w:r w:rsidR="00AF5307" w:rsidRPr="00817B9F">
        <w:t xml:space="preserve"> for information on</w:t>
      </w:r>
      <w:r w:rsidR="00F01E9D" w:rsidRPr="00817B9F">
        <w:t xml:space="preserve"> hospital-specific adjustments to the national payment rates</w:t>
      </w:r>
      <w:r w:rsidR="001F6060" w:rsidRPr="00817B9F">
        <w:t>.</w:t>
      </w:r>
      <w:r w:rsidR="00D72D76" w:rsidRPr="00817B9F">
        <w:rPr>
          <w:rStyle w:val="FootnoteReference"/>
        </w:rPr>
        <w:footnoteReference w:id="66"/>
      </w:r>
      <w:r w:rsidR="00A3764E" w:rsidRPr="00817B9F">
        <w:t xml:space="preserve"> </w:t>
      </w:r>
    </w:p>
    <w:p w14:paraId="3852BF55" w14:textId="3E1A4E48" w:rsidR="001F6060" w:rsidRPr="00817B9F" w:rsidRDefault="00385529" w:rsidP="001F6060">
      <w:pPr>
        <w:pStyle w:val="NumberedParagraphs"/>
      </w:pPr>
      <w:r w:rsidRPr="00817B9F">
        <w:lastRenderedPageBreak/>
        <w:t xml:space="preserve">Using these files, we calculate Medicare </w:t>
      </w:r>
      <w:r w:rsidR="00197A3E" w:rsidRPr="00817B9F">
        <w:t xml:space="preserve">base </w:t>
      </w:r>
      <w:r w:rsidRPr="00817B9F">
        <w:t xml:space="preserve">reimbursement rates for inpatient hospital stays </w:t>
      </w:r>
      <w:r w:rsidR="001812C5" w:rsidRPr="00817B9F">
        <w:t xml:space="preserve">separately </w:t>
      </w:r>
      <w:r w:rsidR="00197A3E" w:rsidRPr="00817B9F">
        <w:t>for each</w:t>
      </w:r>
      <w:r w:rsidR="001812C5" w:rsidRPr="00817B9F">
        <w:t xml:space="preserve"> </w:t>
      </w:r>
      <w:r w:rsidR="00C863C0" w:rsidRPr="00817B9F">
        <w:t>GAC hospital in Massachusetts</w:t>
      </w:r>
      <w:r w:rsidRPr="00817B9F">
        <w:t xml:space="preserve">. Because </w:t>
      </w:r>
      <w:r w:rsidR="00C863C0" w:rsidRPr="00817B9F">
        <w:t xml:space="preserve">these base </w:t>
      </w:r>
      <w:r w:rsidRPr="00817B9F">
        <w:t xml:space="preserve">Medicare payment rates can vary across hospitals, </w:t>
      </w:r>
      <w:r w:rsidR="004C06F5" w:rsidRPr="00817B9F">
        <w:t xml:space="preserve">shifts in </w:t>
      </w:r>
      <w:r w:rsidR="005A66ED" w:rsidRPr="00817B9F">
        <w:t>inpatient</w:t>
      </w:r>
      <w:r w:rsidR="008E190E" w:rsidRPr="00817B9F">
        <w:t xml:space="preserve"> </w:t>
      </w:r>
      <w:r w:rsidR="001F198B" w:rsidRPr="00817B9F">
        <w:t xml:space="preserve">utilization </w:t>
      </w:r>
      <w:r w:rsidR="003D649D" w:rsidRPr="00817B9F">
        <w:t xml:space="preserve">patterns </w:t>
      </w:r>
      <w:r w:rsidR="009A3798" w:rsidRPr="00817B9F">
        <w:t>among</w:t>
      </w:r>
      <w:r w:rsidR="003D649D" w:rsidRPr="00817B9F">
        <w:t xml:space="preserve"> beneficiaries enrolled in</w:t>
      </w:r>
      <w:r w:rsidR="0074389C" w:rsidRPr="00817B9F">
        <w:t xml:space="preserve"> Original Medicare </w:t>
      </w:r>
      <w:r w:rsidR="009A3798" w:rsidRPr="00817B9F">
        <w:t>may result in differences</w:t>
      </w:r>
      <w:r w:rsidR="001812C5" w:rsidRPr="00817B9F">
        <w:t xml:space="preserve"> in health care expenditures for inpatient services</w:t>
      </w:r>
      <w:r w:rsidR="00EA07F1" w:rsidRPr="00817B9F">
        <w:t>.</w:t>
      </w:r>
    </w:p>
    <w:p w14:paraId="5A74C337" w14:textId="7DCA72D0" w:rsidR="00F3284E" w:rsidRPr="00817B9F" w:rsidRDefault="00C50835" w:rsidP="001B6A1C">
      <w:pPr>
        <w:pStyle w:val="Heading3"/>
      </w:pPr>
      <w:bookmarkStart w:id="19" w:name="_Toc90046496"/>
      <w:r w:rsidRPr="00817B9F">
        <w:t>Medicare</w:t>
      </w:r>
      <w:r w:rsidR="00027D19" w:rsidRPr="00817B9F">
        <w:t xml:space="preserve"> </w:t>
      </w:r>
      <w:r w:rsidR="005008AC" w:rsidRPr="00817B9F">
        <w:t xml:space="preserve">Outpatient Prospective Payment </w:t>
      </w:r>
      <w:r w:rsidR="005F45CA" w:rsidRPr="00817B9F">
        <w:t>System Tables</w:t>
      </w:r>
      <w:bookmarkEnd w:id="19"/>
    </w:p>
    <w:p w14:paraId="74A5D71D" w14:textId="676F4C94" w:rsidR="00A3582F" w:rsidRPr="00817B9F" w:rsidRDefault="00373ECE" w:rsidP="00A3582F">
      <w:pPr>
        <w:pStyle w:val="NumberedParagraphs"/>
      </w:pPr>
      <w:r w:rsidRPr="00817B9F">
        <w:t>T</w:t>
      </w:r>
      <w:r w:rsidR="000A1369" w:rsidRPr="00817B9F">
        <w:t xml:space="preserve">hroughout our analysis, we analyze </w:t>
      </w:r>
      <w:r w:rsidR="00F1294D" w:rsidRPr="00817B9F">
        <w:t xml:space="preserve">the </w:t>
      </w:r>
      <w:r w:rsidR="000A1369" w:rsidRPr="00817B9F">
        <w:t xml:space="preserve">rates paid to </w:t>
      </w:r>
      <w:r w:rsidR="00F1294D" w:rsidRPr="00817B9F">
        <w:t>facilities for providing outpatient care</w:t>
      </w:r>
      <w:r w:rsidR="000A1369" w:rsidRPr="00817B9F">
        <w:t xml:space="preserve"> relative to </w:t>
      </w:r>
      <w:r w:rsidR="00ED657A" w:rsidRPr="00817B9F">
        <w:t>Medicare reimbursement rates</w:t>
      </w:r>
      <w:r w:rsidR="00812EE4" w:rsidRPr="00817B9F">
        <w:t>, which are commonly used as benchmarks in health care economics</w:t>
      </w:r>
      <w:r w:rsidR="00ED657A" w:rsidRPr="00817B9F">
        <w:t xml:space="preserve">. </w:t>
      </w:r>
      <w:r w:rsidR="0027658A" w:rsidRPr="00817B9F">
        <w:t xml:space="preserve">There are many advantages to </w:t>
      </w:r>
      <w:r w:rsidR="001F4E16" w:rsidRPr="00817B9F">
        <w:t xml:space="preserve">benchmarking reimbursement rates </w:t>
      </w:r>
      <w:r w:rsidR="00A52463" w:rsidRPr="00817B9F">
        <w:t xml:space="preserve">relative to Medicare payment rates. First, </w:t>
      </w:r>
      <w:r w:rsidR="009E7916" w:rsidRPr="00817B9F">
        <w:t xml:space="preserve">Medicare reimbursement rates </w:t>
      </w:r>
      <w:r w:rsidR="009A1B85" w:rsidRPr="00817B9F">
        <w:t xml:space="preserve">account for differences in complexity across services. </w:t>
      </w:r>
      <w:r w:rsidR="005B2C79" w:rsidRPr="00817B9F">
        <w:t xml:space="preserve">Second, these rates account for differences </w:t>
      </w:r>
      <w:r w:rsidR="00C9203C" w:rsidRPr="00817B9F">
        <w:t xml:space="preserve">in </w:t>
      </w:r>
      <w:r w:rsidR="005B2C79" w:rsidRPr="00817B9F">
        <w:t>costs</w:t>
      </w:r>
      <w:r w:rsidR="00380667" w:rsidRPr="00817B9F">
        <w:t xml:space="preserve"> across different types of outpatient facilities and across geographies</w:t>
      </w:r>
      <w:r w:rsidR="005B2C79" w:rsidRPr="00817B9F">
        <w:t xml:space="preserve">. Third, these rates are updated annually to account for changes in costs </w:t>
      </w:r>
      <w:r w:rsidR="00FE76EE" w:rsidRPr="00817B9F">
        <w:t xml:space="preserve">and medical practice </w:t>
      </w:r>
      <w:r w:rsidR="005B2C79" w:rsidRPr="00817B9F">
        <w:t>over time.</w:t>
      </w:r>
      <w:r w:rsidR="007B35E5" w:rsidRPr="00817B9F">
        <w:t xml:space="preserve"> The methodology used by CMS to calculate these rates is known as the Outpatient Prospective Payment System (“OPPS”).</w:t>
      </w:r>
      <w:r w:rsidR="00135191" w:rsidRPr="00817B9F">
        <w:t xml:space="preserve"> The OPPS methodology </w:t>
      </w:r>
      <w:r w:rsidR="0000285D" w:rsidRPr="00817B9F">
        <w:t>is described in further detail below.</w:t>
      </w:r>
      <w:r w:rsidR="000F3115" w:rsidRPr="00817B9F">
        <w:rPr>
          <w:rStyle w:val="FootnoteReference"/>
        </w:rPr>
        <w:footnoteReference w:id="67"/>
      </w:r>
    </w:p>
    <w:p w14:paraId="437F37BC" w14:textId="7901922C" w:rsidR="00FA070D" w:rsidRPr="00817B9F" w:rsidRDefault="00FA070D" w:rsidP="0031591B">
      <w:pPr>
        <w:pStyle w:val="NumberedParagraphs"/>
      </w:pPr>
      <w:r w:rsidRPr="00817B9F">
        <w:t>First, to account for differences in complexity across services,</w:t>
      </w:r>
      <w:r w:rsidR="00FA1511" w:rsidRPr="00817B9F">
        <w:t xml:space="preserve"> </w:t>
      </w:r>
      <w:r w:rsidR="007B35E5" w:rsidRPr="00817B9F">
        <w:t>OPPS</w:t>
      </w:r>
      <w:r w:rsidRPr="00817B9F">
        <w:t xml:space="preserve"> assigns</w:t>
      </w:r>
      <w:r w:rsidR="00FA1511" w:rsidRPr="00817B9F">
        <w:t xml:space="preserve"> each procedure that is reimbursable by Medicare </w:t>
      </w:r>
      <w:r w:rsidR="00CA6AD1" w:rsidRPr="00817B9F">
        <w:t xml:space="preserve">to an </w:t>
      </w:r>
      <w:r w:rsidR="003F3B99" w:rsidRPr="00817B9F">
        <w:t>Ambulatory Payment Classification (“APC”). APCs are numeric codes utilized by CMS to group together outpatient services with similar</w:t>
      </w:r>
      <w:r w:rsidR="00CA6AD1" w:rsidRPr="00817B9F">
        <w:t xml:space="preserve"> </w:t>
      </w:r>
      <w:r w:rsidR="004560D6" w:rsidRPr="00817B9F">
        <w:t>costs and clinical characteristics. For each APC, CMS calculates a “relative weight”</w:t>
      </w:r>
      <w:r w:rsidR="004B7CC7" w:rsidRPr="00817B9F">
        <w:t xml:space="preserve"> that measures the resources required for providing care for that APC relative to the resources necessary for an average outpatient episode of care. This relative weight is applied when calculating Medicare reimbursement </w:t>
      </w:r>
      <w:r w:rsidR="007C207F" w:rsidRPr="00817B9F">
        <w:t>amounts</w:t>
      </w:r>
      <w:r w:rsidR="004B7CC7" w:rsidRPr="00817B9F">
        <w:t xml:space="preserve"> so that a procedure assigned to an APC with a relative weight of 2 will receive </w:t>
      </w:r>
      <w:r w:rsidR="00270761" w:rsidRPr="00817B9F">
        <w:t>twice the reimbursement of a procedure assigned to an APC with a relative weight of 1. These relative weights are published quarterly by CMS in “Addendum B</w:t>
      </w:r>
      <w:r w:rsidR="00CC3FA0" w:rsidRPr="00817B9F">
        <w:t>,” which also includes a listing of which CPT procedure codes are assigned to each APC.</w:t>
      </w:r>
      <w:r w:rsidR="003E60DC" w:rsidRPr="00817B9F">
        <w:rPr>
          <w:rStyle w:val="FootnoteReference"/>
        </w:rPr>
        <w:footnoteReference w:id="68"/>
      </w:r>
    </w:p>
    <w:p w14:paraId="68E6117C" w14:textId="5519F56D" w:rsidR="005B2C79" w:rsidRPr="00817B9F" w:rsidRDefault="007B35E5" w:rsidP="00602BB5">
      <w:pPr>
        <w:pStyle w:val="NumberedParagraphs"/>
      </w:pPr>
      <w:r w:rsidRPr="00817B9F">
        <w:lastRenderedPageBreak/>
        <w:t xml:space="preserve">Second, to account for differences in costs across outpatient facilities, </w:t>
      </w:r>
      <w:r w:rsidR="005B6819" w:rsidRPr="00817B9F">
        <w:t xml:space="preserve">OPPS incorporates a wage index calculated by CMS separately for each </w:t>
      </w:r>
      <w:r w:rsidR="008D1EA9" w:rsidRPr="00817B9F">
        <w:t>Core-Based Statistical Area (“CBSA”)</w:t>
      </w:r>
      <w:r w:rsidR="005B6819" w:rsidRPr="00817B9F">
        <w:t>.</w:t>
      </w:r>
      <w:r w:rsidR="003753EC" w:rsidRPr="00817B9F">
        <w:rPr>
          <w:rStyle w:val="FootnoteReference"/>
        </w:rPr>
        <w:footnoteReference w:id="69"/>
      </w:r>
      <w:r w:rsidR="005B6819" w:rsidRPr="00817B9F">
        <w:t xml:space="preserve"> </w:t>
      </w:r>
      <w:r w:rsidR="008D1EA9" w:rsidRPr="00817B9F">
        <w:t>This reflects, for example, differences in labor costs between the Boston</w:t>
      </w:r>
      <w:r w:rsidR="005B6819" w:rsidRPr="00817B9F">
        <w:t xml:space="preserve"> area</w:t>
      </w:r>
      <w:r w:rsidR="008D1EA9" w:rsidRPr="00817B9F">
        <w:t xml:space="preserve"> and the Worcester area, which are each assigned to different CBSAs.</w:t>
      </w:r>
      <w:r w:rsidR="00CC3FA0" w:rsidRPr="00817B9F">
        <w:t xml:space="preserve"> </w:t>
      </w:r>
      <w:r w:rsidR="005133AB" w:rsidRPr="00817B9F">
        <w:t xml:space="preserve">Further </w:t>
      </w:r>
      <w:r w:rsidR="00CE57AC" w:rsidRPr="00817B9F">
        <w:t>adjusting</w:t>
      </w:r>
      <w:r w:rsidR="005133AB" w:rsidRPr="00817B9F">
        <w:t xml:space="preserve"> for differences across outpatient facility providers, Medicare reimbursements to freestanding </w:t>
      </w:r>
      <w:r w:rsidR="00D46DB5" w:rsidRPr="00817B9F">
        <w:t>ASCs</w:t>
      </w:r>
      <w:r w:rsidR="00CE57AC" w:rsidRPr="00817B9F">
        <w:t xml:space="preserve"> are approximately 40 percent less tha</w:t>
      </w:r>
      <w:r w:rsidR="0031153F" w:rsidRPr="00817B9F">
        <w:t>n reimbursements to hospital outpatient depar</w:t>
      </w:r>
      <w:r w:rsidR="00A1050A" w:rsidRPr="00817B9F">
        <w:t>t</w:t>
      </w:r>
      <w:r w:rsidR="0031153F" w:rsidRPr="00817B9F">
        <w:t>ments</w:t>
      </w:r>
      <w:r w:rsidR="00A1050A" w:rsidRPr="00817B9F">
        <w:t>.</w:t>
      </w:r>
      <w:r w:rsidR="00A1050A" w:rsidRPr="00817B9F">
        <w:rPr>
          <w:rStyle w:val="FootnoteReference"/>
        </w:rPr>
        <w:footnoteReference w:id="70"/>
      </w:r>
    </w:p>
    <w:p w14:paraId="1E97EB3F" w14:textId="2CBDB6DE" w:rsidR="00116E7D" w:rsidRPr="00817B9F" w:rsidRDefault="00731622" w:rsidP="00AF45D2">
      <w:pPr>
        <w:pStyle w:val="NumberedParagraphs"/>
      </w:pPr>
      <w:r w:rsidRPr="00817B9F">
        <w:t>Third,</w:t>
      </w:r>
      <w:r w:rsidR="00F5185F" w:rsidRPr="00817B9F">
        <w:t xml:space="preserve"> CMS revise</w:t>
      </w:r>
      <w:r w:rsidR="0097207C" w:rsidRPr="00817B9F">
        <w:t>s</w:t>
      </w:r>
      <w:r w:rsidR="00F5185F" w:rsidRPr="00817B9F">
        <w:t xml:space="preserve"> the APCs and relative weights used in the OPPS each year </w:t>
      </w:r>
      <w:r w:rsidR="00B341A0" w:rsidRPr="00817B9F">
        <w:t>to reflect changes in medical practice</w:t>
      </w:r>
      <w:r w:rsidR="00144A19" w:rsidRPr="00817B9F">
        <w:t xml:space="preserve"> and technology, </w:t>
      </w:r>
      <w:r w:rsidR="00B938D4" w:rsidRPr="00817B9F">
        <w:t>new services, and changes in the cost of providing care.</w:t>
      </w:r>
      <w:r w:rsidR="00850473" w:rsidRPr="00817B9F">
        <w:rPr>
          <w:rStyle w:val="FootnoteReference"/>
        </w:rPr>
        <w:footnoteReference w:id="71"/>
      </w:r>
      <w:r w:rsidR="00B938D4" w:rsidRPr="00817B9F">
        <w:t xml:space="preserve"> </w:t>
      </w:r>
      <w:r w:rsidR="00182E9A" w:rsidRPr="00817B9F">
        <w:t xml:space="preserve">While we focus on </w:t>
      </w:r>
      <w:r w:rsidR="002C0A12" w:rsidRPr="00817B9F">
        <w:t>201</w:t>
      </w:r>
      <w:r w:rsidR="00AA37FB" w:rsidRPr="00817B9F">
        <w:t>8</w:t>
      </w:r>
      <w:r w:rsidR="002C0A12" w:rsidRPr="00817B9F">
        <w:t xml:space="preserve"> OPPS payment rates, </w:t>
      </w:r>
      <w:r w:rsidR="009C65B8" w:rsidRPr="00817B9F">
        <w:t>the regular annual updates to OPPS to reflect changes in costs over time</w:t>
      </w:r>
      <w:r w:rsidR="0062339D" w:rsidRPr="00817B9F">
        <w:t xml:space="preserve"> are an additional reason why </w:t>
      </w:r>
      <w:r w:rsidR="006258AE" w:rsidRPr="00817B9F">
        <w:t xml:space="preserve">these rates are widely used </w:t>
      </w:r>
      <w:r w:rsidR="009F512D" w:rsidRPr="00817B9F">
        <w:t xml:space="preserve">in health care economics </w:t>
      </w:r>
      <w:r w:rsidR="00C35157" w:rsidRPr="00817B9F">
        <w:t xml:space="preserve">as a benchmark when comparing payment rates. </w:t>
      </w:r>
      <w:r w:rsidR="00E63C70" w:rsidRPr="00817B9F">
        <w:t xml:space="preserve">In our analysis, </w:t>
      </w:r>
      <w:r w:rsidR="00B26CDE" w:rsidRPr="00817B9F">
        <w:t>we</w:t>
      </w:r>
      <w:r w:rsidR="00E63C70" w:rsidRPr="00817B9F">
        <w:t xml:space="preserve"> </w:t>
      </w:r>
      <w:r w:rsidR="00671F41" w:rsidRPr="00817B9F">
        <w:t>utilize</w:t>
      </w:r>
      <w:r w:rsidR="00D4493A" w:rsidRPr="00817B9F">
        <w:t xml:space="preserve"> the prices paid by commercial</w:t>
      </w:r>
      <w:r w:rsidR="003A06A3" w:rsidRPr="00817B9F">
        <w:t xml:space="preserve"> plans</w:t>
      </w:r>
      <w:r w:rsidR="00D4493A" w:rsidRPr="00817B9F">
        <w:t xml:space="preserve">, </w:t>
      </w:r>
      <w:r w:rsidR="003B3789" w:rsidRPr="00817B9F">
        <w:t xml:space="preserve">Medicare </w:t>
      </w:r>
      <w:r w:rsidR="006F7465" w:rsidRPr="00817B9F">
        <w:t>health plans</w:t>
      </w:r>
      <w:r w:rsidR="00D4493A" w:rsidRPr="00817B9F">
        <w:t xml:space="preserve">, and MassHealth </w:t>
      </w:r>
      <w:r w:rsidR="006F7465" w:rsidRPr="00817B9F">
        <w:t>m</w:t>
      </w:r>
      <w:r w:rsidR="00D4493A" w:rsidRPr="00817B9F">
        <w:t xml:space="preserve">anaged </w:t>
      </w:r>
      <w:r w:rsidR="006F7465" w:rsidRPr="00817B9F">
        <w:t>c</w:t>
      </w:r>
      <w:r w:rsidR="00D4493A" w:rsidRPr="00817B9F">
        <w:t xml:space="preserve">are </w:t>
      </w:r>
      <w:r w:rsidR="00BA6FEA" w:rsidRPr="00817B9F">
        <w:t xml:space="preserve">plans </w:t>
      </w:r>
      <w:r w:rsidR="00D4493A" w:rsidRPr="00817B9F">
        <w:t xml:space="preserve">relative to </w:t>
      </w:r>
      <w:r w:rsidR="006F7465" w:rsidRPr="00817B9F">
        <w:t>Original</w:t>
      </w:r>
      <w:r w:rsidR="00D4493A" w:rsidRPr="00817B9F">
        <w:t xml:space="preserve"> Medicare </w:t>
      </w:r>
      <w:r w:rsidR="00BA6FEA" w:rsidRPr="00817B9F">
        <w:t>reimbursement rat</w:t>
      </w:r>
      <w:r w:rsidR="00777D3B" w:rsidRPr="00817B9F">
        <w:t>es</w:t>
      </w:r>
      <w:r w:rsidR="00D4493A" w:rsidRPr="00817B9F">
        <w:t xml:space="preserve"> when </w:t>
      </w:r>
      <w:r w:rsidR="00777D3B" w:rsidRPr="00817B9F">
        <w:t>estimating</w:t>
      </w:r>
      <w:r w:rsidR="00D4493A" w:rsidRPr="00817B9F">
        <w:t xml:space="preserve"> the price</w:t>
      </w:r>
      <w:r w:rsidR="00777D3B" w:rsidRPr="00817B9F">
        <w:t>-</w:t>
      </w:r>
      <w:r w:rsidR="00D4493A" w:rsidRPr="00817B9F">
        <w:t>cost effect</w:t>
      </w:r>
      <w:r w:rsidR="00777D3B" w:rsidRPr="00817B9F">
        <w:t>s</w:t>
      </w:r>
      <w:r w:rsidR="00D4493A" w:rsidRPr="00817B9F">
        <w:t xml:space="preserve"> of </w:t>
      </w:r>
      <w:r w:rsidR="00777D3B" w:rsidRPr="00817B9F">
        <w:t>potential shifts in</w:t>
      </w:r>
      <w:r w:rsidR="00D4493A" w:rsidRPr="00817B9F">
        <w:t xml:space="preserve"> outpatient </w:t>
      </w:r>
      <w:r w:rsidR="00777D3B" w:rsidRPr="00817B9F">
        <w:t xml:space="preserve">facility </w:t>
      </w:r>
      <w:r w:rsidR="00D4493A" w:rsidRPr="00817B9F">
        <w:t xml:space="preserve">utilization </w:t>
      </w:r>
      <w:r w:rsidR="00777D3B" w:rsidRPr="00817B9F">
        <w:t xml:space="preserve">patterns. </w:t>
      </w:r>
    </w:p>
    <w:p w14:paraId="4495C634" w14:textId="2A1F5A93" w:rsidR="00B770C3" w:rsidRPr="00817B9F" w:rsidRDefault="000208C5" w:rsidP="001B6A1C">
      <w:pPr>
        <w:pStyle w:val="Heading3"/>
      </w:pPr>
      <w:bookmarkStart w:id="20" w:name="_Ref89033859"/>
      <w:bookmarkStart w:id="21" w:name="_Ref89083830"/>
      <w:bookmarkStart w:id="22" w:name="_Toc90046497"/>
      <w:r w:rsidRPr="00817B9F">
        <w:t xml:space="preserve">National Plan and Provider Enumeration </w:t>
      </w:r>
      <w:r w:rsidR="00566633" w:rsidRPr="00817B9F">
        <w:t>System</w:t>
      </w:r>
      <w:bookmarkEnd w:id="20"/>
      <w:bookmarkEnd w:id="21"/>
      <w:bookmarkEnd w:id="22"/>
    </w:p>
    <w:p w14:paraId="73717D94" w14:textId="5EF1D3B4" w:rsidR="00C635FD" w:rsidRPr="00817B9F" w:rsidRDefault="002C09E6" w:rsidP="00C635FD">
      <w:pPr>
        <w:pStyle w:val="NumberedParagraphs"/>
      </w:pPr>
      <w:r w:rsidRPr="00817B9F">
        <w:t>Ever</w:t>
      </w:r>
      <w:r w:rsidR="00936B12" w:rsidRPr="00817B9F">
        <w:t>y</w:t>
      </w:r>
      <w:r w:rsidRPr="00817B9F">
        <w:t xml:space="preserve"> health care provider in the United States </w:t>
      </w:r>
      <w:r w:rsidR="006C775C" w:rsidRPr="00817B9F">
        <w:t>must</w:t>
      </w:r>
      <w:r w:rsidR="004D7CAB" w:rsidRPr="00817B9F">
        <w:t xml:space="preserve"> obtain a</w:t>
      </w:r>
      <w:r w:rsidR="00A6611F" w:rsidRPr="00817B9F">
        <w:t xml:space="preserve">n </w:t>
      </w:r>
      <w:r w:rsidR="00275366" w:rsidRPr="00817B9F">
        <w:t>NPI</w:t>
      </w:r>
      <w:r w:rsidR="00936B12" w:rsidRPr="00817B9F">
        <w:t xml:space="preserve"> in order to electronically submit claims to payors or </w:t>
      </w:r>
      <w:r w:rsidR="005265C8" w:rsidRPr="00817B9F">
        <w:t>participate</w:t>
      </w:r>
      <w:r w:rsidR="00936B12" w:rsidRPr="00817B9F">
        <w:t xml:space="preserve"> in Medicare</w:t>
      </w:r>
      <w:r w:rsidR="009C743C" w:rsidRPr="00817B9F">
        <w:t>.</w:t>
      </w:r>
      <w:r w:rsidR="00936B12" w:rsidRPr="00817B9F">
        <w:t xml:space="preserve"> This requirement includes individual physicians and practitioners, physician groups, </w:t>
      </w:r>
      <w:r w:rsidR="002B215A" w:rsidRPr="00817B9F">
        <w:t>and hospital departments.</w:t>
      </w:r>
      <w:r w:rsidR="00936B12" w:rsidRPr="00817B9F">
        <w:t xml:space="preserve"> </w:t>
      </w:r>
      <w:r w:rsidR="002B215A" w:rsidRPr="00817B9F">
        <w:t>CMS’s</w:t>
      </w:r>
      <w:r w:rsidR="009E0B18" w:rsidRPr="00817B9F">
        <w:t xml:space="preserve"> National Plan </w:t>
      </w:r>
      <w:r w:rsidR="009E0B18" w:rsidRPr="00817B9F">
        <w:lastRenderedPageBreak/>
        <w:t>and Provider Enumeration System (</w:t>
      </w:r>
      <w:r w:rsidR="002B215A" w:rsidRPr="00817B9F">
        <w:t>“</w:t>
      </w:r>
      <w:r w:rsidR="009E0B18" w:rsidRPr="00817B9F">
        <w:t>NPPES</w:t>
      </w:r>
      <w:r w:rsidR="002B215A" w:rsidRPr="00817B9F">
        <w:t>”</w:t>
      </w:r>
      <w:r w:rsidR="009E0B18" w:rsidRPr="00817B9F">
        <w:t>)</w:t>
      </w:r>
      <w:r w:rsidR="002B215A" w:rsidRPr="00817B9F">
        <w:t xml:space="preserve"> assigns</w:t>
      </w:r>
      <w:r w:rsidR="009E0B18" w:rsidRPr="00817B9F">
        <w:t xml:space="preserve"> NPIs</w:t>
      </w:r>
      <w:r w:rsidR="002B215A" w:rsidRPr="00817B9F">
        <w:t xml:space="preserve"> and maintains an updated database of</w:t>
      </w:r>
      <w:r w:rsidR="006C1A15" w:rsidRPr="00817B9F">
        <w:t xml:space="preserve"> providers </w:t>
      </w:r>
      <w:r w:rsidR="00F15A10" w:rsidRPr="00817B9F">
        <w:t>that</w:t>
      </w:r>
      <w:r w:rsidR="002B215A" w:rsidRPr="00817B9F">
        <w:t xml:space="preserve"> is </w:t>
      </w:r>
      <w:r w:rsidR="00F15A10" w:rsidRPr="00817B9F">
        <w:t>available for download</w:t>
      </w:r>
      <w:r w:rsidR="00044F5C" w:rsidRPr="00817B9F">
        <w:t>.</w:t>
      </w:r>
      <w:r w:rsidR="00255A97" w:rsidRPr="00817B9F">
        <w:rPr>
          <w:rStyle w:val="FootnoteReference"/>
        </w:rPr>
        <w:footnoteReference w:id="72"/>
      </w:r>
      <w:r w:rsidR="00B73229" w:rsidRPr="00817B9F">
        <w:rPr>
          <w:vertAlign w:val="superscript"/>
        </w:rPr>
        <w:t>,</w:t>
      </w:r>
      <w:r w:rsidR="00482A4B" w:rsidRPr="00817B9F">
        <w:rPr>
          <w:vertAlign w:val="superscript"/>
        </w:rPr>
        <w:t xml:space="preserve"> </w:t>
      </w:r>
      <w:r w:rsidR="00B73229" w:rsidRPr="00817B9F">
        <w:rPr>
          <w:rStyle w:val="FootnoteReference"/>
        </w:rPr>
        <w:footnoteReference w:id="73"/>
      </w:r>
      <w:r w:rsidR="00044F5C" w:rsidRPr="00817B9F">
        <w:t xml:space="preserve"> </w:t>
      </w:r>
    </w:p>
    <w:p w14:paraId="5A6FB5AF" w14:textId="0D53740F" w:rsidR="00413A80" w:rsidRPr="00817B9F" w:rsidRDefault="00413A80" w:rsidP="00273838">
      <w:pPr>
        <w:pStyle w:val="NumberedParagraphs"/>
      </w:pPr>
      <w:r w:rsidRPr="00817B9F">
        <w:t xml:space="preserve">Each record in the </w:t>
      </w:r>
      <w:r w:rsidR="002A1660" w:rsidRPr="00817B9F">
        <w:t xml:space="preserve">NPPES </w:t>
      </w:r>
      <w:r w:rsidR="00387292" w:rsidRPr="00817B9F">
        <w:t>d</w:t>
      </w:r>
      <w:r w:rsidR="00B164A9" w:rsidRPr="00817B9F">
        <w:t>ownloadable</w:t>
      </w:r>
      <w:r w:rsidR="00940A59" w:rsidRPr="00817B9F">
        <w:t xml:space="preserve"> </w:t>
      </w:r>
      <w:r w:rsidR="00387292" w:rsidRPr="00817B9F">
        <w:t>f</w:t>
      </w:r>
      <w:r w:rsidR="00940A59" w:rsidRPr="00817B9F">
        <w:t>ile</w:t>
      </w:r>
      <w:r w:rsidRPr="00817B9F">
        <w:t xml:space="preserve"> reflects a unique NPI,</w:t>
      </w:r>
      <w:r w:rsidR="00F901F9" w:rsidRPr="00817B9F">
        <w:rPr>
          <w:rStyle w:val="FootnoteReference"/>
        </w:rPr>
        <w:footnoteReference w:id="74"/>
      </w:r>
      <w:r w:rsidRPr="00817B9F">
        <w:t xml:space="preserve"> and contains</w:t>
      </w:r>
      <w:r w:rsidR="002E50C5" w:rsidRPr="00817B9F">
        <w:t xml:space="preserve">, among other </w:t>
      </w:r>
      <w:r w:rsidR="008B3CA4" w:rsidRPr="00817B9F">
        <w:t>things</w:t>
      </w:r>
      <w:r w:rsidR="002E50C5" w:rsidRPr="00817B9F">
        <w:t>, the following</w:t>
      </w:r>
      <w:r w:rsidRPr="00817B9F">
        <w:t xml:space="preserve"> information about the health</w:t>
      </w:r>
      <w:r w:rsidR="009A7855" w:rsidRPr="00817B9F">
        <w:t xml:space="preserve"> </w:t>
      </w:r>
      <w:r w:rsidRPr="00817B9F">
        <w:t>care provider:</w:t>
      </w:r>
    </w:p>
    <w:p w14:paraId="72DB77DC" w14:textId="4D06AED3" w:rsidR="003D5CBD" w:rsidRPr="00817B9F" w:rsidRDefault="003D5CBD" w:rsidP="00413A80">
      <w:pPr>
        <w:pStyle w:val="BulletParagraph"/>
        <w:rPr>
          <w:rFonts w:cs="Times New Roman"/>
        </w:rPr>
      </w:pPr>
      <w:r w:rsidRPr="00817B9F">
        <w:rPr>
          <w:rFonts w:cs="Times New Roman"/>
        </w:rPr>
        <w:t xml:space="preserve">The </w:t>
      </w:r>
      <w:r w:rsidR="008B3CA4" w:rsidRPr="00817B9F">
        <w:rPr>
          <w:rFonts w:cs="Times New Roman"/>
        </w:rPr>
        <w:t xml:space="preserve">name of the </w:t>
      </w:r>
      <w:r w:rsidR="009D37DC" w:rsidRPr="00817B9F">
        <w:rPr>
          <w:rFonts w:cs="Times New Roman"/>
        </w:rPr>
        <w:t>health</w:t>
      </w:r>
      <w:r w:rsidR="009A7855" w:rsidRPr="00817B9F">
        <w:rPr>
          <w:rFonts w:cs="Times New Roman"/>
        </w:rPr>
        <w:t xml:space="preserve"> </w:t>
      </w:r>
      <w:r w:rsidR="009D37DC" w:rsidRPr="00817B9F">
        <w:rPr>
          <w:rFonts w:cs="Times New Roman"/>
        </w:rPr>
        <w:t>care professional</w:t>
      </w:r>
      <w:r w:rsidRPr="00817B9F">
        <w:rPr>
          <w:rFonts w:cs="Times New Roman"/>
        </w:rPr>
        <w:t xml:space="preserve"> or organization.</w:t>
      </w:r>
    </w:p>
    <w:p w14:paraId="1668D290" w14:textId="1B2E3A3E" w:rsidR="003D5CBD" w:rsidRPr="00817B9F" w:rsidRDefault="00387292" w:rsidP="00413A80">
      <w:pPr>
        <w:pStyle w:val="BulletParagraph"/>
        <w:rPr>
          <w:rFonts w:cs="Times New Roman"/>
        </w:rPr>
      </w:pPr>
      <w:r w:rsidRPr="00817B9F">
        <w:rPr>
          <w:rFonts w:cs="Times New Roman"/>
        </w:rPr>
        <w:t>E</w:t>
      </w:r>
      <w:r w:rsidR="009D37DC" w:rsidRPr="00817B9F">
        <w:rPr>
          <w:rFonts w:cs="Times New Roman"/>
        </w:rPr>
        <w:t>ntity type (</w:t>
      </w:r>
      <w:r w:rsidR="009D37DC" w:rsidRPr="00817B9F">
        <w:rPr>
          <w:rFonts w:cs="Times New Roman"/>
          <w:i/>
        </w:rPr>
        <w:t>i.e.,</w:t>
      </w:r>
      <w:r w:rsidR="009D37DC" w:rsidRPr="00817B9F">
        <w:rPr>
          <w:rFonts w:cs="Times New Roman"/>
        </w:rPr>
        <w:t xml:space="preserve"> individual or organization).</w:t>
      </w:r>
    </w:p>
    <w:p w14:paraId="6754E06E" w14:textId="4A1A2EF7" w:rsidR="00387292" w:rsidRPr="00817B9F" w:rsidRDefault="00387292" w:rsidP="00413A80">
      <w:pPr>
        <w:pStyle w:val="BulletParagraph"/>
        <w:rPr>
          <w:rFonts w:cs="Times New Roman"/>
        </w:rPr>
      </w:pPr>
      <w:r w:rsidRPr="00817B9F">
        <w:rPr>
          <w:rFonts w:cs="Times New Roman"/>
        </w:rPr>
        <w:t>Primary</w:t>
      </w:r>
      <w:r w:rsidR="00044F5C" w:rsidRPr="00817B9F">
        <w:rPr>
          <w:rFonts w:cs="Times New Roman"/>
        </w:rPr>
        <w:t xml:space="preserve"> </w:t>
      </w:r>
      <w:r w:rsidRPr="00817B9F">
        <w:rPr>
          <w:rFonts w:cs="Times New Roman"/>
        </w:rPr>
        <w:t>specialty.</w:t>
      </w:r>
    </w:p>
    <w:p w14:paraId="7A18A7C9" w14:textId="192942F5" w:rsidR="006B521D" w:rsidRPr="00817B9F" w:rsidRDefault="00387292" w:rsidP="00413A80">
      <w:pPr>
        <w:pStyle w:val="BulletParagraph"/>
        <w:rPr>
          <w:rFonts w:cs="Times New Roman"/>
        </w:rPr>
      </w:pPr>
      <w:r w:rsidRPr="00817B9F">
        <w:rPr>
          <w:rFonts w:cs="Times New Roman"/>
        </w:rPr>
        <w:t xml:space="preserve">Primary </w:t>
      </w:r>
      <w:r w:rsidR="006B521D" w:rsidRPr="00817B9F">
        <w:rPr>
          <w:rFonts w:cs="Times New Roman"/>
        </w:rPr>
        <w:t>business address.</w:t>
      </w:r>
    </w:p>
    <w:p w14:paraId="577C1E52" w14:textId="6459A9AC" w:rsidR="005B49B5" w:rsidRPr="00817B9F" w:rsidRDefault="00047736" w:rsidP="003B048E">
      <w:pPr>
        <w:pStyle w:val="AppendixParagraphs"/>
        <w:numPr>
          <w:ilvl w:val="0"/>
          <w:numId w:val="0"/>
        </w:numPr>
        <w:rPr>
          <w:rFonts w:ascii="Times New Roman" w:hAnsi="Times New Roman"/>
        </w:rPr>
      </w:pPr>
      <w:r w:rsidRPr="00817B9F">
        <w:rPr>
          <w:rFonts w:ascii="Times New Roman" w:hAnsi="Times New Roman"/>
        </w:rPr>
        <w:t xml:space="preserve">As discussed above, we </w:t>
      </w:r>
      <w:r w:rsidR="00387292" w:rsidRPr="00817B9F">
        <w:rPr>
          <w:rFonts w:ascii="Times New Roman" w:hAnsi="Times New Roman"/>
        </w:rPr>
        <w:t>rely on</w:t>
      </w:r>
      <w:r w:rsidRPr="00817B9F">
        <w:rPr>
          <w:rFonts w:ascii="Times New Roman" w:hAnsi="Times New Roman"/>
        </w:rPr>
        <w:t xml:space="preserve"> the NPPES </w:t>
      </w:r>
      <w:r w:rsidR="00CA3457" w:rsidRPr="00817B9F">
        <w:rPr>
          <w:rFonts w:ascii="Times New Roman" w:hAnsi="Times New Roman"/>
        </w:rPr>
        <w:t>database</w:t>
      </w:r>
      <w:r w:rsidRPr="00817B9F">
        <w:rPr>
          <w:rFonts w:ascii="Times New Roman" w:hAnsi="Times New Roman"/>
        </w:rPr>
        <w:t xml:space="preserve"> </w:t>
      </w:r>
      <w:r w:rsidR="00387292" w:rsidRPr="00817B9F">
        <w:rPr>
          <w:rFonts w:ascii="Times New Roman" w:hAnsi="Times New Roman"/>
        </w:rPr>
        <w:t>in determining the ownership of f</w:t>
      </w:r>
      <w:r w:rsidR="00393B0C" w:rsidRPr="00817B9F">
        <w:rPr>
          <w:rFonts w:ascii="Times New Roman" w:hAnsi="Times New Roman"/>
        </w:rPr>
        <w:t>acilit</w:t>
      </w:r>
      <w:r w:rsidR="00387292" w:rsidRPr="00817B9F">
        <w:rPr>
          <w:rFonts w:ascii="Times New Roman" w:hAnsi="Times New Roman"/>
        </w:rPr>
        <w:t>ies and each</w:t>
      </w:r>
      <w:r w:rsidR="00393B0C" w:rsidRPr="00817B9F">
        <w:rPr>
          <w:rFonts w:ascii="Times New Roman" w:hAnsi="Times New Roman"/>
        </w:rPr>
        <w:t xml:space="preserve"> facility’s </w:t>
      </w:r>
      <w:r w:rsidR="00AF1421" w:rsidRPr="00817B9F">
        <w:rPr>
          <w:rFonts w:ascii="Times New Roman" w:hAnsi="Times New Roman"/>
        </w:rPr>
        <w:t>ZIP</w:t>
      </w:r>
      <w:r w:rsidR="00D130AB" w:rsidRPr="00817B9F">
        <w:rPr>
          <w:rFonts w:ascii="Times New Roman" w:hAnsi="Times New Roman"/>
        </w:rPr>
        <w:t xml:space="preserve"> Code</w:t>
      </w:r>
      <w:r w:rsidR="00393B0C" w:rsidRPr="00817B9F">
        <w:rPr>
          <w:rFonts w:ascii="Times New Roman" w:hAnsi="Times New Roman"/>
        </w:rPr>
        <w:t>.</w:t>
      </w:r>
    </w:p>
    <w:p w14:paraId="6F88B4FC" w14:textId="48FDED65" w:rsidR="0027719F" w:rsidRPr="00817B9F" w:rsidRDefault="00442B5E" w:rsidP="001B6A1C">
      <w:pPr>
        <w:pStyle w:val="Heading3"/>
      </w:pPr>
      <w:bookmarkStart w:id="23" w:name="_Toc90046498"/>
      <w:r w:rsidRPr="00817B9F">
        <w:t xml:space="preserve">UMass </w:t>
      </w:r>
      <w:r w:rsidR="00566633" w:rsidRPr="00817B9F">
        <w:t>Don</w:t>
      </w:r>
      <w:r w:rsidRPr="00817B9F">
        <w:t>a</w:t>
      </w:r>
      <w:r w:rsidR="00566633" w:rsidRPr="00817B9F">
        <w:t xml:space="preserve">hue </w:t>
      </w:r>
      <w:r w:rsidRPr="00817B9F">
        <w:t>Institute Population Projections</w:t>
      </w:r>
      <w:bookmarkEnd w:id="23"/>
    </w:p>
    <w:p w14:paraId="15E10C92" w14:textId="75D9A95F" w:rsidR="00993764" w:rsidRPr="00817B9F" w:rsidRDefault="00EF1D9E" w:rsidP="006B1C1E">
      <w:pPr>
        <w:pStyle w:val="NumberedParagraphs"/>
      </w:pPr>
      <w:r w:rsidRPr="00817B9F">
        <w:t xml:space="preserve">The </w:t>
      </w:r>
      <w:r w:rsidR="00A86A4D" w:rsidRPr="00817B9F">
        <w:t xml:space="preserve">UMass Donahue Institute </w:t>
      </w:r>
      <w:r w:rsidR="00922F0A" w:rsidRPr="00817B9F">
        <w:t xml:space="preserve">(“UMDI”) </w:t>
      </w:r>
      <w:r w:rsidR="003F1F17" w:rsidRPr="00817B9F">
        <w:t>produces population projections</w:t>
      </w:r>
      <w:r w:rsidR="00D85AA4" w:rsidRPr="00817B9F">
        <w:t xml:space="preserve"> for Massachusetts</w:t>
      </w:r>
      <w:r w:rsidR="00E92BFA" w:rsidRPr="00817B9F">
        <w:t>,</w:t>
      </w:r>
      <w:r w:rsidR="00DE458E" w:rsidRPr="00817B9F">
        <w:t xml:space="preserve"> with the </w:t>
      </w:r>
      <w:r w:rsidR="00E92BFA" w:rsidRPr="00817B9F">
        <w:t xml:space="preserve">most recently available estimates extending to </w:t>
      </w:r>
      <w:r w:rsidR="00DE458E" w:rsidRPr="00817B9F">
        <w:t xml:space="preserve">the </w:t>
      </w:r>
      <w:r w:rsidR="00E92BFA" w:rsidRPr="00817B9F">
        <w:t>year 2040 in five-year increments</w:t>
      </w:r>
      <w:r w:rsidR="000014CB" w:rsidRPr="00817B9F">
        <w:t>.</w:t>
      </w:r>
      <w:r w:rsidR="000014CB" w:rsidRPr="00817B9F">
        <w:rPr>
          <w:rStyle w:val="FootnoteReference"/>
        </w:rPr>
        <w:footnoteReference w:id="75"/>
      </w:r>
      <w:r w:rsidR="003F1F17" w:rsidRPr="00817B9F">
        <w:t xml:space="preserve"> </w:t>
      </w:r>
      <w:r w:rsidR="00E92BFA" w:rsidRPr="00817B9F">
        <w:t>The projections include breakdown</w:t>
      </w:r>
      <w:r w:rsidR="00ED6A18" w:rsidRPr="00817B9F">
        <w:t>s</w:t>
      </w:r>
      <w:r w:rsidR="00E92BFA" w:rsidRPr="00817B9F">
        <w:t xml:space="preserve"> by age group and gender</w:t>
      </w:r>
      <w:r w:rsidR="00ED6A18" w:rsidRPr="00817B9F">
        <w:t xml:space="preserve"> fo</w:t>
      </w:r>
      <w:r w:rsidR="00574DA4" w:rsidRPr="00817B9F">
        <w:t>r</w:t>
      </w:r>
      <w:r w:rsidR="00ED6A18" w:rsidRPr="00817B9F">
        <w:t xml:space="preserve"> each municipal civil division (“MCD”</w:t>
      </w:r>
      <w:r w:rsidR="0077399B" w:rsidRPr="00817B9F">
        <w:t>),</w:t>
      </w:r>
      <w:r w:rsidR="00ED6A18" w:rsidRPr="00817B9F">
        <w:t xml:space="preserve"> </w:t>
      </w:r>
      <w:r w:rsidR="00ED6A18" w:rsidRPr="00817B9F">
        <w:rPr>
          <w:i/>
          <w:iCs/>
        </w:rPr>
        <w:t>i.e.</w:t>
      </w:r>
      <w:r w:rsidR="00ED6A18" w:rsidRPr="00817B9F">
        <w:t>, each city and town</w:t>
      </w:r>
      <w:r w:rsidR="0077399B" w:rsidRPr="00817B9F">
        <w:t>,</w:t>
      </w:r>
      <w:r w:rsidR="00ED6A18" w:rsidRPr="00817B9F">
        <w:t xml:space="preserve"> in the state.</w:t>
      </w:r>
    </w:p>
    <w:p w14:paraId="7D1B3DAF" w14:textId="598F5948" w:rsidR="00C54740" w:rsidRPr="00817B9F" w:rsidRDefault="00C54740" w:rsidP="00C54740">
      <w:pPr>
        <w:pStyle w:val="NumberedParagraphs"/>
      </w:pPr>
      <w:r w:rsidRPr="00817B9F">
        <w:lastRenderedPageBreak/>
        <w:t xml:space="preserve">We </w:t>
      </w:r>
      <w:r w:rsidR="00ED6A18" w:rsidRPr="00817B9F">
        <w:t>rely on</w:t>
      </w:r>
      <w:r w:rsidRPr="00817B9F">
        <w:t xml:space="preserve"> </w:t>
      </w:r>
      <w:r w:rsidR="006B52C3" w:rsidRPr="00817B9F">
        <w:t xml:space="preserve">UMDI’s </w:t>
      </w:r>
      <w:r w:rsidR="008C4892" w:rsidRPr="00817B9F">
        <w:t>modeling</w:t>
      </w:r>
      <w:r w:rsidRPr="00817B9F">
        <w:t xml:space="preserve"> </w:t>
      </w:r>
      <w:r w:rsidR="00ED6A18" w:rsidRPr="00817B9F">
        <w:t xml:space="preserve">for </w:t>
      </w:r>
      <w:r w:rsidR="00EB3CF5" w:rsidRPr="00817B9F">
        <w:t>demographic</w:t>
      </w:r>
      <w:r w:rsidRPr="00817B9F">
        <w:t xml:space="preserve"> </w:t>
      </w:r>
      <w:r w:rsidR="006B52C3" w:rsidRPr="00817B9F">
        <w:t xml:space="preserve">projections </w:t>
      </w:r>
      <w:r w:rsidR="00EB3CF5" w:rsidRPr="00817B9F">
        <w:t xml:space="preserve">of </w:t>
      </w:r>
      <w:r w:rsidR="006170C2" w:rsidRPr="00817B9F">
        <w:t xml:space="preserve">patients </w:t>
      </w:r>
      <w:r w:rsidR="008C4892" w:rsidRPr="00817B9F">
        <w:t>residing</w:t>
      </w:r>
      <w:r w:rsidR="006170C2" w:rsidRPr="00817B9F">
        <w:t xml:space="preserve"> </w:t>
      </w:r>
      <w:r w:rsidR="00B54105" w:rsidRPr="00817B9F">
        <w:t>in</w:t>
      </w:r>
      <w:r w:rsidR="006170C2" w:rsidRPr="00817B9F">
        <w:t xml:space="preserve"> the service areas </w:t>
      </w:r>
      <w:r w:rsidR="00B54105" w:rsidRPr="00817B9F">
        <w:t>of</w:t>
      </w:r>
      <w:r w:rsidR="00A241FB" w:rsidRPr="00817B9F">
        <w:t xml:space="preserve"> MGB’s </w:t>
      </w:r>
      <w:r w:rsidR="005E5E4C" w:rsidRPr="00817B9F">
        <w:t>DoN projects</w:t>
      </w:r>
      <w:r w:rsidR="008C4892" w:rsidRPr="00817B9F">
        <w:t xml:space="preserve"> in 2025 and 2</w:t>
      </w:r>
      <w:r w:rsidR="007E445E" w:rsidRPr="00817B9F">
        <w:t>0</w:t>
      </w:r>
      <w:r w:rsidR="008C4892" w:rsidRPr="00817B9F">
        <w:t>30.</w:t>
      </w:r>
      <w:r w:rsidR="007E445E" w:rsidRPr="00817B9F">
        <w:rPr>
          <w:rStyle w:val="FootnoteReference"/>
        </w:rPr>
        <w:footnoteReference w:id="76"/>
      </w:r>
      <w:r w:rsidR="000E2C38" w:rsidRPr="00817B9F">
        <w:t xml:space="preserve"> </w:t>
      </w:r>
      <w:r w:rsidR="007E445E" w:rsidRPr="00817B9F">
        <w:t>These</w:t>
      </w:r>
      <w:r w:rsidR="00A83263" w:rsidRPr="00817B9F">
        <w:t xml:space="preserve"> projections </w:t>
      </w:r>
      <w:r w:rsidR="007E445E" w:rsidRPr="00817B9F">
        <w:t xml:space="preserve">are also incorporated into our </w:t>
      </w:r>
      <w:r w:rsidR="00D24C90" w:rsidRPr="00817B9F">
        <w:t>estimate</w:t>
      </w:r>
      <w:r w:rsidR="007E445E" w:rsidRPr="00817B9F">
        <w:t>s of</w:t>
      </w:r>
      <w:r w:rsidR="00D24C90" w:rsidRPr="00817B9F">
        <w:t xml:space="preserve"> </w:t>
      </w:r>
      <w:r w:rsidR="002F010D" w:rsidRPr="00817B9F">
        <w:t xml:space="preserve">future demand for </w:t>
      </w:r>
      <w:r w:rsidR="00033523" w:rsidRPr="00817B9F">
        <w:t>inpatient and outpatient</w:t>
      </w:r>
      <w:r w:rsidR="002F010D" w:rsidRPr="00817B9F">
        <w:t xml:space="preserve"> services</w:t>
      </w:r>
      <w:r w:rsidR="006E4C48" w:rsidRPr="00817B9F">
        <w:t xml:space="preserve"> that are relevant to each of the MGB DoN projects</w:t>
      </w:r>
      <w:r w:rsidR="002F010D" w:rsidRPr="00817B9F">
        <w:t>.</w:t>
      </w:r>
    </w:p>
    <w:p w14:paraId="6EE23E15" w14:textId="65F24A72" w:rsidR="00442B5E" w:rsidRPr="00817B9F" w:rsidRDefault="00DF1740" w:rsidP="001B6A1C">
      <w:pPr>
        <w:pStyle w:val="Heading2"/>
        <w:rPr>
          <w:rFonts w:cs="Times New Roman"/>
        </w:rPr>
      </w:pPr>
      <w:bookmarkStart w:id="24" w:name="_Ref88219827"/>
      <w:bookmarkStart w:id="25" w:name="_Ref88225783"/>
      <w:bookmarkStart w:id="26" w:name="_Ref88240697"/>
      <w:bookmarkStart w:id="27" w:name="_Ref88240708"/>
      <w:bookmarkStart w:id="28" w:name="_Ref88384198"/>
      <w:bookmarkStart w:id="29" w:name="_Toc90046499"/>
      <w:r w:rsidRPr="00817B9F">
        <w:rPr>
          <w:rFonts w:cs="Times New Roman"/>
        </w:rPr>
        <w:t>Service Lines</w:t>
      </w:r>
      <w:r w:rsidR="00CF2769" w:rsidRPr="00817B9F">
        <w:rPr>
          <w:rFonts w:cs="Times New Roman"/>
        </w:rPr>
        <w:t xml:space="preserve"> Definitions</w:t>
      </w:r>
      <w:r w:rsidR="00760D85" w:rsidRPr="00817B9F">
        <w:rPr>
          <w:rFonts w:cs="Times New Roman"/>
        </w:rPr>
        <w:t xml:space="preserve"> Used for Anal</w:t>
      </w:r>
      <w:r w:rsidR="000144B0" w:rsidRPr="00817B9F">
        <w:rPr>
          <w:rFonts w:cs="Times New Roman"/>
        </w:rPr>
        <w:t>ys</w:t>
      </w:r>
      <w:r w:rsidR="002929B9" w:rsidRPr="00817B9F">
        <w:rPr>
          <w:rFonts w:cs="Times New Roman"/>
        </w:rPr>
        <w:t>e</w:t>
      </w:r>
      <w:r w:rsidR="000144B0" w:rsidRPr="00817B9F">
        <w:rPr>
          <w:rFonts w:cs="Times New Roman"/>
        </w:rPr>
        <w:t>s</w:t>
      </w:r>
      <w:bookmarkEnd w:id="24"/>
      <w:bookmarkEnd w:id="25"/>
      <w:bookmarkEnd w:id="26"/>
      <w:bookmarkEnd w:id="27"/>
      <w:bookmarkEnd w:id="28"/>
      <w:bookmarkEnd w:id="29"/>
    </w:p>
    <w:p w14:paraId="27B7DB50" w14:textId="49B7AC49" w:rsidR="00B675AE" w:rsidRPr="00817B9F" w:rsidRDefault="00B675AE" w:rsidP="003B048E">
      <w:pPr>
        <w:pStyle w:val="Heading3"/>
        <w:numPr>
          <w:ilvl w:val="0"/>
          <w:numId w:val="29"/>
        </w:numPr>
      </w:pPr>
      <w:bookmarkStart w:id="30" w:name="_Ref88474859"/>
      <w:bookmarkStart w:id="31" w:name="_Toc90046500"/>
      <w:r w:rsidRPr="00817B9F">
        <w:t>Inpatient Services</w:t>
      </w:r>
      <w:bookmarkEnd w:id="30"/>
      <w:bookmarkEnd w:id="31"/>
    </w:p>
    <w:p w14:paraId="340DD767" w14:textId="5138B700" w:rsidR="00414B95" w:rsidRPr="00817B9F" w:rsidRDefault="00004E14" w:rsidP="00184D23">
      <w:pPr>
        <w:pStyle w:val="Heading4"/>
        <w:numPr>
          <w:ilvl w:val="0"/>
          <w:numId w:val="22"/>
        </w:numPr>
      </w:pPr>
      <w:r w:rsidRPr="00817B9F">
        <w:t>Adult Inpatient Services Excluding Obstetrics and Behavioral Health</w:t>
      </w:r>
    </w:p>
    <w:p w14:paraId="3F22BE4E" w14:textId="610E49CE" w:rsidR="00B716D0" w:rsidRPr="00817B9F" w:rsidRDefault="00B716D0" w:rsidP="00C25191">
      <w:pPr>
        <w:pStyle w:val="NumberedParagraphs"/>
      </w:pPr>
      <w:r w:rsidRPr="00817B9F">
        <w:t xml:space="preserve">As described earlier, </w:t>
      </w:r>
      <w:r w:rsidR="00C271F5" w:rsidRPr="00817B9F">
        <w:t>we focus on adult inpatient services</w:t>
      </w:r>
      <w:r w:rsidR="008C6294" w:rsidRPr="00817B9F">
        <w:t xml:space="preserve"> and</w:t>
      </w:r>
      <w:r w:rsidR="00452880" w:rsidRPr="00817B9F">
        <w:t xml:space="preserve"> exclude</w:t>
      </w:r>
      <w:r w:rsidRPr="00817B9F">
        <w:t xml:space="preserve"> discharges related to obstetrics, newborns, pediatric</w:t>
      </w:r>
      <w:r w:rsidR="00184D0C" w:rsidRPr="00817B9F">
        <w:t>s</w:t>
      </w:r>
      <w:r w:rsidRPr="00817B9F">
        <w:t xml:space="preserve"> (patients under age 18), non-GAC services (</w:t>
      </w:r>
      <w:r w:rsidRPr="00817B9F">
        <w:rPr>
          <w:i/>
          <w:iCs/>
        </w:rPr>
        <w:t>i.e.</w:t>
      </w:r>
      <w:r w:rsidRPr="00817B9F">
        <w:t>, behavioral health</w:t>
      </w:r>
      <w:r w:rsidR="00947469" w:rsidRPr="00817B9F">
        <w:t xml:space="preserve">, </w:t>
      </w:r>
      <w:r w:rsidRPr="00817B9F">
        <w:t>substance use disorder, and rehabilitation/other factors influencing health status)</w:t>
      </w:r>
      <w:r w:rsidR="00C25191" w:rsidRPr="00817B9F">
        <w:t>. We also exclude</w:t>
      </w:r>
      <w:r w:rsidR="00346B13" w:rsidRPr="00817B9F">
        <w:t xml:space="preserve"> discharges </w:t>
      </w:r>
      <w:r w:rsidR="00A02E4A" w:rsidRPr="00817B9F">
        <w:t xml:space="preserve">either missing </w:t>
      </w:r>
      <w:r w:rsidR="00E2387E" w:rsidRPr="00817B9F">
        <w:t>important information (</w:t>
      </w:r>
      <w:r w:rsidR="00E2387E" w:rsidRPr="00817B9F">
        <w:rPr>
          <w:i/>
        </w:rPr>
        <w:t>e.g</w:t>
      </w:r>
      <w:r w:rsidR="00E2387E" w:rsidRPr="00817B9F">
        <w:t>., patient or payor information)</w:t>
      </w:r>
      <w:r w:rsidR="00356A3B" w:rsidRPr="00817B9F">
        <w:t xml:space="preserve"> or </w:t>
      </w:r>
      <w:r w:rsidR="00BD78D1" w:rsidRPr="00817B9F">
        <w:t>with</w:t>
      </w:r>
      <w:r w:rsidR="00346B13" w:rsidRPr="00817B9F">
        <w:t xml:space="preserve"> DRGs indicating </w:t>
      </w:r>
      <w:r w:rsidR="00DF4305" w:rsidRPr="00817B9F">
        <w:t>an invalid diagnosis</w:t>
      </w:r>
      <w:r w:rsidR="00BD78D1" w:rsidRPr="00817B9F">
        <w:t xml:space="preserve"> or ungroupable</w:t>
      </w:r>
      <w:r w:rsidR="00B92C43" w:rsidRPr="00817B9F">
        <w:t xml:space="preserve"> condition.</w:t>
      </w:r>
      <w:r w:rsidR="00B251F3" w:rsidRPr="00817B9F">
        <w:t xml:space="preserve"> </w:t>
      </w:r>
      <w:r w:rsidR="00CC05BC" w:rsidRPr="00817B9F">
        <w:t xml:space="preserve">In addition, we exclude discharges </w:t>
      </w:r>
      <w:r w:rsidR="008E027E" w:rsidRPr="00817B9F">
        <w:t>associated with certain types of</w:t>
      </w:r>
      <w:r w:rsidR="00CC05BC" w:rsidRPr="00817B9F">
        <w:t xml:space="preserve"> transfer</w:t>
      </w:r>
      <w:r w:rsidR="008E027E" w:rsidRPr="00817B9F">
        <w:t>s</w:t>
      </w:r>
      <w:r w:rsidR="00CC05BC" w:rsidRPr="00817B9F">
        <w:t>.</w:t>
      </w:r>
      <w:r w:rsidR="00CC05BC" w:rsidRPr="00817B9F">
        <w:rPr>
          <w:rStyle w:val="FootnoteReference"/>
        </w:rPr>
        <w:footnoteReference w:id="77"/>
      </w:r>
      <w:r w:rsidR="00CC05BC" w:rsidRPr="00817B9F">
        <w:t xml:space="preserve"> </w:t>
      </w:r>
      <w:r w:rsidR="00B251F3" w:rsidRPr="00817B9F">
        <w:t xml:space="preserve">Finally, we </w:t>
      </w:r>
      <w:r w:rsidR="00D40C9E" w:rsidRPr="00817B9F">
        <w:t xml:space="preserve">exclude patients who do not </w:t>
      </w:r>
      <w:r w:rsidR="00715F7B" w:rsidRPr="00817B9F">
        <w:t>reside</w:t>
      </w:r>
      <w:r w:rsidR="00D40C9E" w:rsidRPr="00817B9F">
        <w:t xml:space="preserve"> in Massachusetts.</w:t>
      </w:r>
      <w:r w:rsidR="00434E8B" w:rsidRPr="00817B9F">
        <w:rPr>
          <w:rStyle w:val="FootnoteReference"/>
        </w:rPr>
        <w:footnoteReference w:id="78"/>
      </w:r>
    </w:p>
    <w:p w14:paraId="4BA7B52D" w14:textId="37306FAD" w:rsidR="00345510" w:rsidRPr="00817B9F" w:rsidRDefault="00B675AE" w:rsidP="007C2266">
      <w:pPr>
        <w:pStyle w:val="Heading4"/>
      </w:pPr>
      <w:r w:rsidRPr="00817B9F">
        <w:t>Canc</w:t>
      </w:r>
      <w:r w:rsidR="00E227F8" w:rsidRPr="00817B9F">
        <w:t>er</w:t>
      </w:r>
      <w:r w:rsidRPr="00817B9F">
        <w:t xml:space="preserve"> </w:t>
      </w:r>
      <w:r w:rsidR="002007F9" w:rsidRPr="00817B9F">
        <w:t>Services</w:t>
      </w:r>
    </w:p>
    <w:p w14:paraId="193CC9F8" w14:textId="32730EB6" w:rsidR="001A5544" w:rsidRPr="00817B9F" w:rsidRDefault="00204856" w:rsidP="00225A18">
      <w:pPr>
        <w:pStyle w:val="NumberedParagraphs"/>
      </w:pPr>
      <w:r w:rsidRPr="00817B9F">
        <w:t xml:space="preserve">To identify </w:t>
      </w:r>
      <w:r w:rsidR="00F8702C" w:rsidRPr="00817B9F">
        <w:t xml:space="preserve">cancer </w:t>
      </w:r>
      <w:r w:rsidRPr="00817B9F">
        <w:t>services</w:t>
      </w:r>
      <w:r w:rsidR="00B97D99" w:rsidRPr="00817B9F">
        <w:t xml:space="preserve"> in the </w:t>
      </w:r>
      <w:r w:rsidR="00010EAF" w:rsidRPr="00817B9F">
        <w:t>Hospital Inpatient Discharge Database</w:t>
      </w:r>
      <w:r w:rsidR="00E54C46" w:rsidRPr="00817B9F">
        <w:t>,</w:t>
      </w:r>
      <w:r w:rsidRPr="00817B9F">
        <w:t xml:space="preserve"> we </w:t>
      </w:r>
      <w:r w:rsidR="00DC1B46" w:rsidRPr="00817B9F">
        <w:t>rely</w:t>
      </w:r>
      <w:r w:rsidR="000B577C" w:rsidRPr="00817B9F">
        <w:t xml:space="preserve"> on a list of </w:t>
      </w:r>
      <w:r w:rsidR="0092366B" w:rsidRPr="00817B9F">
        <w:t>ICD-9</w:t>
      </w:r>
      <w:r w:rsidR="00365472" w:rsidRPr="00817B9F">
        <w:t xml:space="preserve"> and </w:t>
      </w:r>
      <w:r w:rsidR="0092366B" w:rsidRPr="00817B9F">
        <w:t>ICD-10</w:t>
      </w:r>
      <w:r w:rsidR="00365472" w:rsidRPr="00817B9F">
        <w:t xml:space="preserve"> </w:t>
      </w:r>
      <w:r w:rsidR="000B577C" w:rsidRPr="00817B9F">
        <w:t xml:space="preserve">diagnosis codes </w:t>
      </w:r>
      <w:r w:rsidR="00D85FA9" w:rsidRPr="00817B9F">
        <w:t xml:space="preserve">that we </w:t>
      </w:r>
      <w:r w:rsidR="00016416" w:rsidRPr="00817B9F">
        <w:t>i</w:t>
      </w:r>
      <w:r w:rsidR="00365472" w:rsidRPr="00817B9F">
        <w:t>den</w:t>
      </w:r>
      <w:r w:rsidR="00016416" w:rsidRPr="00817B9F">
        <w:t>tif</w:t>
      </w:r>
      <w:r w:rsidR="00365472" w:rsidRPr="00817B9F">
        <w:t>ied</w:t>
      </w:r>
      <w:r w:rsidR="00D85FA9" w:rsidRPr="00817B9F">
        <w:t xml:space="preserve"> as associated with oncology and cancer </w:t>
      </w:r>
      <w:r w:rsidR="00D85FA9" w:rsidRPr="00817B9F">
        <w:lastRenderedPageBreak/>
        <w:t xml:space="preserve">related </w:t>
      </w:r>
      <w:r w:rsidR="00E62370" w:rsidRPr="00817B9F">
        <w:t>care</w:t>
      </w:r>
      <w:r w:rsidR="00365472" w:rsidRPr="00817B9F">
        <w:t>.</w:t>
      </w:r>
      <w:r w:rsidR="00097743" w:rsidRPr="00817B9F">
        <w:t xml:space="preserve"> </w:t>
      </w:r>
      <w:r w:rsidR="00CF4F45" w:rsidRPr="00817B9F">
        <w:t xml:space="preserve">If </w:t>
      </w:r>
      <w:r w:rsidR="009D01BF" w:rsidRPr="00817B9F">
        <w:t xml:space="preserve">at least </w:t>
      </w:r>
      <w:r w:rsidR="00CF4F45" w:rsidRPr="00817B9F">
        <w:t xml:space="preserve">one of these diagnosis codes </w:t>
      </w:r>
      <w:r w:rsidR="009D01BF" w:rsidRPr="00817B9F">
        <w:t xml:space="preserve">is among </w:t>
      </w:r>
      <w:r w:rsidR="003D04DE" w:rsidRPr="00817B9F">
        <w:t>t</w:t>
      </w:r>
      <w:r w:rsidR="00155F4F" w:rsidRPr="00817B9F">
        <w:t xml:space="preserve">he </w:t>
      </w:r>
      <w:r w:rsidR="00202A84" w:rsidRPr="00817B9F">
        <w:t xml:space="preserve">first four </w:t>
      </w:r>
      <w:r w:rsidR="00AA7B3B" w:rsidRPr="00817B9F">
        <w:t xml:space="preserve">unique </w:t>
      </w:r>
      <w:r w:rsidR="00202A84" w:rsidRPr="00817B9F">
        <w:t xml:space="preserve">diagnosis </w:t>
      </w:r>
      <w:r w:rsidR="007C25B0" w:rsidRPr="00817B9F">
        <w:t>code</w:t>
      </w:r>
      <w:r w:rsidR="00AA7B3B" w:rsidRPr="00817B9F">
        <w:t>s, then that discharge is considered a cancer-related inpatien</w:t>
      </w:r>
      <w:r w:rsidR="009D01BF" w:rsidRPr="00817B9F">
        <w:t>t</w:t>
      </w:r>
      <w:r w:rsidR="009B3721" w:rsidRPr="00817B9F">
        <w:t>.</w:t>
      </w:r>
      <w:r w:rsidR="005B5276" w:rsidRPr="00817B9F">
        <w:rPr>
          <w:rStyle w:val="FootnoteReference"/>
        </w:rPr>
        <w:footnoteReference w:id="79"/>
      </w:r>
      <w:r w:rsidR="005F58F9" w:rsidRPr="00817B9F">
        <w:t xml:space="preserve"> </w:t>
      </w:r>
    </w:p>
    <w:p w14:paraId="59CB2FF3" w14:textId="583901DC" w:rsidR="00B675AE" w:rsidRPr="00817B9F" w:rsidRDefault="00D6435A" w:rsidP="007C2266">
      <w:pPr>
        <w:pStyle w:val="Heading4"/>
      </w:pPr>
      <w:r w:rsidRPr="00817B9F">
        <w:t xml:space="preserve">Heart </w:t>
      </w:r>
      <w:r w:rsidR="009628E0" w:rsidRPr="00817B9F">
        <w:t>and</w:t>
      </w:r>
      <w:r w:rsidRPr="00817B9F">
        <w:t xml:space="preserve"> Vascular Services</w:t>
      </w:r>
    </w:p>
    <w:p w14:paraId="71207C11" w14:textId="552BD685" w:rsidR="00B55755" w:rsidRPr="00817B9F" w:rsidRDefault="00E15455" w:rsidP="00B1228B">
      <w:pPr>
        <w:pStyle w:val="NumberedParagraphs"/>
      </w:pPr>
      <w:r w:rsidRPr="00817B9F">
        <w:t>We identify h</w:t>
      </w:r>
      <w:r w:rsidR="0060194D" w:rsidRPr="00817B9F">
        <w:t xml:space="preserve">eart </w:t>
      </w:r>
      <w:r w:rsidR="009628E0" w:rsidRPr="00817B9F">
        <w:t>and</w:t>
      </w:r>
      <w:r w:rsidR="0060194D" w:rsidRPr="00817B9F">
        <w:t xml:space="preserve"> vascular </w:t>
      </w:r>
      <w:r w:rsidR="00B80C4F" w:rsidRPr="00817B9F">
        <w:t xml:space="preserve">patients in the Hospital Inpatient Discharge Database </w:t>
      </w:r>
      <w:r w:rsidRPr="00817B9F">
        <w:t>based on</w:t>
      </w:r>
      <w:r w:rsidR="004623C5" w:rsidRPr="00817B9F">
        <w:t xml:space="preserve"> whether</w:t>
      </w:r>
      <w:r w:rsidR="00090DDB" w:rsidRPr="00817B9F">
        <w:t xml:space="preserve"> the </w:t>
      </w:r>
      <w:r w:rsidR="00E451B6" w:rsidRPr="00817B9F">
        <w:t>DRG for the discharge</w:t>
      </w:r>
      <w:r w:rsidR="00090DDB" w:rsidRPr="00817B9F">
        <w:t xml:space="preserve"> </w:t>
      </w:r>
      <w:r w:rsidR="00545F76" w:rsidRPr="00817B9F">
        <w:t xml:space="preserve">is associated </w:t>
      </w:r>
      <w:r w:rsidRPr="00817B9F">
        <w:t>with</w:t>
      </w:r>
      <w:r w:rsidR="004E3574" w:rsidRPr="00817B9F">
        <w:t xml:space="preserve"> </w:t>
      </w:r>
      <w:r w:rsidR="00090DDB" w:rsidRPr="00817B9F">
        <w:t>MDC 05</w:t>
      </w:r>
      <w:r w:rsidRPr="00817B9F">
        <w:t>, which reflects</w:t>
      </w:r>
      <w:r w:rsidR="00140746" w:rsidRPr="00817B9F">
        <w:t xml:space="preserve"> diagnosis areas related to</w:t>
      </w:r>
      <w:r w:rsidRPr="00817B9F">
        <w:t xml:space="preserve"> d</w:t>
      </w:r>
      <w:r w:rsidR="00090DDB" w:rsidRPr="00817B9F">
        <w:t>isease</w:t>
      </w:r>
      <w:r w:rsidR="00905467" w:rsidRPr="00817B9F">
        <w:t xml:space="preserve">s </w:t>
      </w:r>
      <w:r w:rsidR="0061562F" w:rsidRPr="00817B9F">
        <w:t>and</w:t>
      </w:r>
      <w:r w:rsidR="00905467" w:rsidRPr="00817B9F">
        <w:t xml:space="preserve"> </w:t>
      </w:r>
      <w:r w:rsidRPr="00817B9F">
        <w:t>d</w:t>
      </w:r>
      <w:r w:rsidR="00905467" w:rsidRPr="00817B9F">
        <w:t xml:space="preserve">isorders of the </w:t>
      </w:r>
      <w:r w:rsidRPr="00817B9F">
        <w:t>c</w:t>
      </w:r>
      <w:r w:rsidR="00905467" w:rsidRPr="00817B9F">
        <w:t xml:space="preserve">irculatory </w:t>
      </w:r>
      <w:r w:rsidRPr="00817B9F">
        <w:t>s</w:t>
      </w:r>
      <w:r w:rsidR="00905467" w:rsidRPr="00817B9F">
        <w:t>ystem.</w:t>
      </w:r>
      <w:r w:rsidR="0057706E" w:rsidRPr="00817B9F">
        <w:t xml:space="preserve"> </w:t>
      </w:r>
      <w:r w:rsidR="00E820CC" w:rsidRPr="00817B9F">
        <w:t xml:space="preserve">Based on </w:t>
      </w:r>
      <w:r w:rsidR="000B23F5" w:rsidRPr="00817B9F">
        <w:t>our</w:t>
      </w:r>
      <w:r w:rsidR="00E820CC" w:rsidRPr="00817B9F">
        <w:t xml:space="preserve"> </w:t>
      </w:r>
      <w:r w:rsidR="00C92515" w:rsidRPr="00817B9F">
        <w:t>approach</w:t>
      </w:r>
      <w:r w:rsidR="00E820CC" w:rsidRPr="00817B9F">
        <w:t>, some discharges</w:t>
      </w:r>
      <w:r w:rsidR="00834D05" w:rsidRPr="00817B9F">
        <w:t xml:space="preserve"> could be </w:t>
      </w:r>
      <w:r w:rsidR="006C2303" w:rsidRPr="00817B9F">
        <w:t xml:space="preserve">identified as </w:t>
      </w:r>
      <w:r w:rsidR="00834D05" w:rsidRPr="00817B9F">
        <w:t>both cancer</w:t>
      </w:r>
      <w:r w:rsidR="0061562F" w:rsidRPr="00817B9F">
        <w:t>-</w:t>
      </w:r>
      <w:r w:rsidR="00834D05" w:rsidRPr="00817B9F">
        <w:t xml:space="preserve">related and heart </w:t>
      </w:r>
      <w:r w:rsidR="0061562F" w:rsidRPr="00817B9F">
        <w:t>and</w:t>
      </w:r>
      <w:r w:rsidR="00834D05" w:rsidRPr="00817B9F">
        <w:t xml:space="preserve"> vascular</w:t>
      </w:r>
      <w:r w:rsidR="0061562F" w:rsidRPr="00817B9F">
        <w:t>-related</w:t>
      </w:r>
      <w:r w:rsidR="00834D05" w:rsidRPr="00817B9F">
        <w:t xml:space="preserve"> based</w:t>
      </w:r>
      <w:r w:rsidR="00480C98" w:rsidRPr="00817B9F">
        <w:t>. In such cases, we treat</w:t>
      </w:r>
      <w:r w:rsidR="008B65B7" w:rsidRPr="00817B9F">
        <w:t xml:space="preserve"> </w:t>
      </w:r>
      <w:r w:rsidR="00AD254F" w:rsidRPr="00817B9F">
        <w:t xml:space="preserve">the </w:t>
      </w:r>
      <w:r w:rsidR="009A20B1" w:rsidRPr="00817B9F">
        <w:t xml:space="preserve">discharge as </w:t>
      </w:r>
      <w:r w:rsidR="00F0706E" w:rsidRPr="00817B9F">
        <w:t xml:space="preserve">heart </w:t>
      </w:r>
      <w:r w:rsidR="0061562F" w:rsidRPr="00817B9F">
        <w:t>and</w:t>
      </w:r>
      <w:r w:rsidR="00F0706E" w:rsidRPr="00817B9F">
        <w:t xml:space="preserve"> vascular</w:t>
      </w:r>
      <w:r w:rsidR="00DD6BB2" w:rsidRPr="00817B9F">
        <w:t>-related</w:t>
      </w:r>
      <w:r w:rsidR="00767B38" w:rsidRPr="00817B9F">
        <w:t>.</w:t>
      </w:r>
    </w:p>
    <w:p w14:paraId="1CE5513B" w14:textId="201C33CA" w:rsidR="00004E14" w:rsidRPr="00817B9F" w:rsidRDefault="00EE5C3D" w:rsidP="007C2266">
      <w:pPr>
        <w:pStyle w:val="Heading3"/>
      </w:pPr>
      <w:bookmarkStart w:id="32" w:name="_Ref88219835"/>
      <w:bookmarkStart w:id="33" w:name="_Ref88225785"/>
      <w:bookmarkStart w:id="34" w:name="_Ref88240699"/>
      <w:bookmarkStart w:id="35" w:name="_Ref88240710"/>
      <w:bookmarkStart w:id="36" w:name="_Ref88384199"/>
      <w:bookmarkStart w:id="37" w:name="_Ref88925374"/>
      <w:bookmarkStart w:id="38" w:name="_Ref89017144"/>
      <w:bookmarkStart w:id="39" w:name="_Toc90046501"/>
      <w:r w:rsidRPr="00817B9F">
        <w:t>Outpatient Services</w:t>
      </w:r>
      <w:bookmarkEnd w:id="32"/>
      <w:bookmarkEnd w:id="33"/>
      <w:bookmarkEnd w:id="34"/>
      <w:bookmarkEnd w:id="35"/>
      <w:bookmarkEnd w:id="36"/>
      <w:bookmarkEnd w:id="37"/>
      <w:bookmarkEnd w:id="38"/>
      <w:bookmarkEnd w:id="39"/>
    </w:p>
    <w:p w14:paraId="1C21BA53" w14:textId="6BCA7EA4" w:rsidR="006F30AF" w:rsidRPr="00817B9F" w:rsidRDefault="006F30AF" w:rsidP="006F30AF">
      <w:pPr>
        <w:pStyle w:val="NumberedParagraphs"/>
      </w:pPr>
      <w:bookmarkStart w:id="40" w:name="_Ref88219830"/>
      <w:r w:rsidRPr="00817B9F">
        <w:t>We use the APCD and Medicare Claims data for our analysis of outpatient services. We rely on the type of bill fields</w:t>
      </w:r>
      <w:r w:rsidRPr="00817B9F">
        <w:rPr>
          <w:rStyle w:val="FootnoteReference"/>
        </w:rPr>
        <w:footnoteReference w:id="80"/>
      </w:r>
      <w:r w:rsidRPr="00817B9F">
        <w:t xml:space="preserve"> in the APCD and the Medicare Outpatient File to limit to facility charges associated with claims from hospital outpatient departments or </w:t>
      </w:r>
      <w:r w:rsidR="00D46DB5" w:rsidRPr="00817B9F">
        <w:t>ASCs</w:t>
      </w:r>
      <w:r w:rsidRPr="00817B9F">
        <w:t>, and the place of service field</w:t>
      </w:r>
      <w:r w:rsidR="00A07DBE" w:rsidRPr="00817B9F">
        <w:t>s</w:t>
      </w:r>
      <w:r w:rsidRPr="00817B9F">
        <w:rPr>
          <w:rStyle w:val="FootnoteReference"/>
        </w:rPr>
        <w:footnoteReference w:id="81"/>
      </w:r>
      <w:r w:rsidRPr="00817B9F">
        <w:t xml:space="preserve"> in the APCD and Medicare Carrier file for services rendered at an </w:t>
      </w:r>
      <w:r w:rsidR="00D46DB5" w:rsidRPr="00817B9F">
        <w:t>ASC</w:t>
      </w:r>
      <w:r w:rsidRPr="00817B9F">
        <w:t>. For diagnostic imaging services, we also include professional claims from the APCD or Medicare Carrier File with a place of service indicating office, clinic, or urgent care settings because radiology services are often provided at these locations.</w:t>
      </w:r>
      <w:r w:rsidRPr="00817B9F">
        <w:rPr>
          <w:rStyle w:val="FootnoteReference"/>
        </w:rPr>
        <w:t xml:space="preserve"> </w:t>
      </w:r>
      <w:r w:rsidRPr="00817B9F">
        <w:rPr>
          <w:rStyle w:val="FootnoteReference"/>
        </w:rPr>
        <w:footnoteReference w:id="82"/>
      </w:r>
      <w:r w:rsidRPr="00817B9F">
        <w:t xml:space="preserve"> As previously mentioned, we limit our analyses to patients who reside in Massachusetts and received care in either Suffolk, Essex, Middlesex, Norfolk, Bristol, Plymouth, or Worcester Counties.</w:t>
      </w:r>
    </w:p>
    <w:p w14:paraId="74FBA0F9" w14:textId="62F1B942" w:rsidR="00EE5C3D" w:rsidRPr="00817B9F" w:rsidRDefault="00EE5C3D" w:rsidP="00184D23">
      <w:pPr>
        <w:pStyle w:val="Heading4"/>
        <w:numPr>
          <w:ilvl w:val="0"/>
          <w:numId w:val="23"/>
        </w:numPr>
      </w:pPr>
      <w:r w:rsidRPr="00817B9F">
        <w:lastRenderedPageBreak/>
        <w:t xml:space="preserve">Outpatient </w:t>
      </w:r>
      <w:r w:rsidR="00202FFA" w:rsidRPr="00817B9F">
        <w:t>Cardiovascular</w:t>
      </w:r>
      <w:r w:rsidRPr="00817B9F">
        <w:t xml:space="preserve"> Services</w:t>
      </w:r>
      <w:bookmarkEnd w:id="40"/>
    </w:p>
    <w:p w14:paraId="22CD9809" w14:textId="39B0B1F7" w:rsidR="00BA6C8E" w:rsidRPr="00817B9F" w:rsidRDefault="009149B9" w:rsidP="000258A9">
      <w:pPr>
        <w:pStyle w:val="NumberedParagraphs"/>
      </w:pPr>
      <w:r w:rsidRPr="00817B9F">
        <w:t>We identify outpatient cardiovascular services in the APCD and Medicare Claims data based on claim lines with surgical or non-surgical cardiovascular CPT codes.</w:t>
      </w:r>
      <w:r w:rsidRPr="00817B9F">
        <w:rPr>
          <w:rStyle w:val="FootnoteReference"/>
        </w:rPr>
        <w:footnoteReference w:id="83"/>
      </w:r>
      <w:r w:rsidRPr="00817B9F">
        <w:t xml:space="preserve"> We categorize these cardiovascular CPT codes into three broad categories (</w:t>
      </w:r>
      <w:r w:rsidRPr="00817B9F">
        <w:rPr>
          <w:i/>
          <w:iCs/>
        </w:rPr>
        <w:t>i.e.</w:t>
      </w:r>
      <w:r w:rsidRPr="00817B9F">
        <w:t xml:space="preserve">, Cardiovascular Procedures, Surgical Procedures on Arteries and Veins, and Surgical Procedures on the Heart and Pericardium.) as well as into 69 </w:t>
      </w:r>
      <w:r w:rsidR="00911F1A" w:rsidRPr="00817B9F">
        <w:t>more granular</w:t>
      </w:r>
      <w:r w:rsidRPr="00817B9F">
        <w:t xml:space="preserve"> groupings. The granular groupings include, for example, </w:t>
      </w:r>
      <w:r w:rsidR="00911F1A" w:rsidRPr="00817B9F">
        <w:t>C</w:t>
      </w:r>
      <w:r w:rsidRPr="00817B9F">
        <w:t xml:space="preserve">ardiac </w:t>
      </w:r>
      <w:r w:rsidR="00911F1A" w:rsidRPr="00817B9F">
        <w:t>A</w:t>
      </w:r>
      <w:r w:rsidRPr="00817B9F">
        <w:t xml:space="preserve">ssist </w:t>
      </w:r>
      <w:r w:rsidR="00911F1A" w:rsidRPr="00817B9F">
        <w:t>P</w:t>
      </w:r>
      <w:r w:rsidRPr="00817B9F">
        <w:t xml:space="preserve">rocedures, </w:t>
      </w:r>
      <w:r w:rsidR="00911F1A" w:rsidRPr="00817B9F">
        <w:t>R</w:t>
      </w:r>
      <w:r w:rsidRPr="00817B9F">
        <w:t xml:space="preserve">epair </w:t>
      </w:r>
      <w:r w:rsidR="00911F1A" w:rsidRPr="00817B9F">
        <w:t>P</w:t>
      </w:r>
      <w:r w:rsidRPr="00817B9F">
        <w:t xml:space="preserve">rocedures for </w:t>
      </w:r>
      <w:r w:rsidR="00911F1A" w:rsidRPr="00817B9F">
        <w:t>A</w:t>
      </w:r>
      <w:r w:rsidRPr="00817B9F">
        <w:t xml:space="preserve">ortic </w:t>
      </w:r>
      <w:r w:rsidR="00911F1A" w:rsidRPr="00817B9F">
        <w:t>A</w:t>
      </w:r>
      <w:r w:rsidRPr="00817B9F">
        <w:t xml:space="preserve">nomalies, </w:t>
      </w:r>
      <w:r w:rsidR="00911F1A" w:rsidRPr="00817B9F">
        <w:t>P</w:t>
      </w:r>
      <w:r w:rsidRPr="00817B9F">
        <w:t xml:space="preserve">acemaker or </w:t>
      </w:r>
      <w:r w:rsidR="00911F1A" w:rsidRPr="00817B9F">
        <w:t>I</w:t>
      </w:r>
      <w:r w:rsidRPr="00817B9F">
        <w:t xml:space="preserve">mplantable </w:t>
      </w:r>
      <w:r w:rsidR="00911F1A" w:rsidRPr="00817B9F">
        <w:t>D</w:t>
      </w:r>
      <w:r w:rsidRPr="00817B9F">
        <w:t xml:space="preserve">efibrillator </w:t>
      </w:r>
      <w:r w:rsidR="00911F1A" w:rsidRPr="00817B9F">
        <w:t>P</w:t>
      </w:r>
      <w:r w:rsidRPr="00817B9F">
        <w:t xml:space="preserve">rocedures, and </w:t>
      </w:r>
      <w:r w:rsidR="00911F1A" w:rsidRPr="00817B9F">
        <w:t>A</w:t>
      </w:r>
      <w:r w:rsidRPr="00817B9F">
        <w:t xml:space="preserve">ngioscopy </w:t>
      </w:r>
      <w:r w:rsidR="00911F1A" w:rsidRPr="00817B9F">
        <w:t>P</w:t>
      </w:r>
      <w:r w:rsidRPr="00817B9F">
        <w:t xml:space="preserve">rocedures on </w:t>
      </w:r>
      <w:r w:rsidR="00911F1A" w:rsidRPr="00817B9F">
        <w:t>A</w:t>
      </w:r>
      <w:r w:rsidRPr="00817B9F">
        <w:t xml:space="preserve">rteries and </w:t>
      </w:r>
      <w:r w:rsidR="00911F1A" w:rsidRPr="00817B9F">
        <w:t>V</w:t>
      </w:r>
      <w:r w:rsidRPr="00817B9F">
        <w:t>eins.</w:t>
      </w:r>
    </w:p>
    <w:p w14:paraId="44CDA428" w14:textId="28A1FD04" w:rsidR="00AF4D08" w:rsidRPr="00817B9F" w:rsidRDefault="00EE5C3D" w:rsidP="007C2266">
      <w:pPr>
        <w:pStyle w:val="Heading4"/>
      </w:pPr>
      <w:bookmarkStart w:id="41" w:name="_Ref88225787"/>
      <w:r w:rsidRPr="00817B9F">
        <w:t xml:space="preserve">Outpatient </w:t>
      </w:r>
      <w:r w:rsidR="005B01BB" w:rsidRPr="00817B9F">
        <w:t>Oncology</w:t>
      </w:r>
      <w:r w:rsidRPr="00817B9F">
        <w:t xml:space="preserve"> Services</w:t>
      </w:r>
      <w:bookmarkEnd w:id="41"/>
    </w:p>
    <w:p w14:paraId="4E2ABED5" w14:textId="14F9C29F" w:rsidR="0011538F" w:rsidRPr="00817B9F" w:rsidRDefault="003B2A37" w:rsidP="002C17AA">
      <w:pPr>
        <w:pStyle w:val="NumberedParagraphs"/>
      </w:pPr>
      <w:r w:rsidRPr="00817B9F">
        <w:t xml:space="preserve"> </w:t>
      </w:r>
      <w:r w:rsidR="0087379F" w:rsidRPr="00817B9F">
        <w:t xml:space="preserve">To identify outpatient </w:t>
      </w:r>
      <w:r w:rsidR="007238C8" w:rsidRPr="00817B9F">
        <w:t xml:space="preserve">services related </w:t>
      </w:r>
      <w:r w:rsidR="00365472" w:rsidRPr="00817B9F">
        <w:t xml:space="preserve">to </w:t>
      </w:r>
      <w:r w:rsidR="007238C8" w:rsidRPr="00817B9F">
        <w:t>oncology and cancer care,</w:t>
      </w:r>
      <w:r w:rsidR="00365472" w:rsidRPr="00817B9F">
        <w:t xml:space="preserve"> we </w:t>
      </w:r>
      <w:r w:rsidR="00805D3C" w:rsidRPr="00817B9F">
        <w:t>follow</w:t>
      </w:r>
      <w:r w:rsidR="00C56320" w:rsidRPr="00817B9F">
        <w:t xml:space="preserve"> a methodology that parallels </w:t>
      </w:r>
      <w:r w:rsidR="00CC780A" w:rsidRPr="00817B9F">
        <w:t xml:space="preserve">the </w:t>
      </w:r>
      <w:r w:rsidR="00A75271" w:rsidRPr="00817B9F">
        <w:t>method</w:t>
      </w:r>
      <w:r w:rsidR="00CC780A" w:rsidRPr="00817B9F">
        <w:t xml:space="preserve"> </w:t>
      </w:r>
      <w:r w:rsidR="00A75271" w:rsidRPr="00817B9F">
        <w:t xml:space="preserve">we </w:t>
      </w:r>
      <w:r w:rsidR="00CC780A" w:rsidRPr="00817B9F">
        <w:t xml:space="preserve">use to identify </w:t>
      </w:r>
      <w:r w:rsidR="00365472" w:rsidRPr="00817B9F">
        <w:t xml:space="preserve">inpatient </w:t>
      </w:r>
      <w:r w:rsidR="00CC780A" w:rsidRPr="00817B9F">
        <w:t>oncology services</w:t>
      </w:r>
      <w:r w:rsidR="00702A0E" w:rsidRPr="00817B9F">
        <w:t xml:space="preserve"> </w:t>
      </w:r>
      <w:r w:rsidR="00626F6A" w:rsidRPr="00817B9F">
        <w:t xml:space="preserve">by </w:t>
      </w:r>
      <w:r w:rsidR="002300DD" w:rsidRPr="00817B9F">
        <w:t>relying</w:t>
      </w:r>
      <w:r w:rsidR="00365472" w:rsidRPr="00817B9F">
        <w:t xml:space="preserve"> on </w:t>
      </w:r>
      <w:r w:rsidR="0092366B" w:rsidRPr="00817B9F">
        <w:t>ICD-10</w:t>
      </w:r>
      <w:r w:rsidR="00365472" w:rsidRPr="00817B9F">
        <w:t xml:space="preserve"> diagnosis codes.</w:t>
      </w:r>
      <w:r w:rsidR="00B5721D" w:rsidRPr="00817B9F">
        <w:rPr>
          <w:rStyle w:val="FootnoteReference"/>
        </w:rPr>
        <w:footnoteReference w:id="84"/>
      </w:r>
      <w:r w:rsidRPr="00817B9F">
        <w:t xml:space="preserve"> </w:t>
      </w:r>
      <w:r w:rsidR="00365472" w:rsidRPr="00817B9F">
        <w:t xml:space="preserve">In the Medicare Claims data, we identify any claim as related to </w:t>
      </w:r>
      <w:r w:rsidR="005B01BB" w:rsidRPr="00817B9F">
        <w:t>oncology</w:t>
      </w:r>
      <w:r w:rsidR="00365472" w:rsidRPr="00817B9F">
        <w:t xml:space="preserve"> services if one of the cancer related diagnosis codes appear</w:t>
      </w:r>
      <w:r w:rsidR="00293966" w:rsidRPr="00817B9F">
        <w:t>s</w:t>
      </w:r>
      <w:r w:rsidR="00365472" w:rsidRPr="00817B9F">
        <w:t xml:space="preserve"> in the fields </w:t>
      </w:r>
      <w:r w:rsidR="00365472" w:rsidRPr="00817B9F">
        <w:rPr>
          <w:i/>
          <w:iCs/>
        </w:rPr>
        <w:t xml:space="preserve">Claim Diagnosis Code I </w:t>
      </w:r>
      <w:r w:rsidR="00365472" w:rsidRPr="00817B9F">
        <w:t xml:space="preserve">to </w:t>
      </w:r>
      <w:r w:rsidR="00365472" w:rsidRPr="00817B9F">
        <w:rPr>
          <w:i/>
          <w:iCs/>
        </w:rPr>
        <w:t>Claim Diagnosis Code IV.</w:t>
      </w:r>
      <w:r w:rsidR="00365472" w:rsidRPr="00817B9F">
        <w:rPr>
          <w:rStyle w:val="FootnoteReference"/>
        </w:rPr>
        <w:footnoteReference w:id="85"/>
      </w:r>
      <w:r w:rsidR="00365472" w:rsidRPr="00817B9F">
        <w:t xml:space="preserve"> Similarly, in the APCD</w:t>
      </w:r>
      <w:r w:rsidR="00F50FFA" w:rsidRPr="00817B9F">
        <w:t>,</w:t>
      </w:r>
      <w:r w:rsidR="00365472" w:rsidRPr="00817B9F">
        <w:t xml:space="preserve"> we identify a claim as related to </w:t>
      </w:r>
      <w:r w:rsidR="00874169" w:rsidRPr="00817B9F">
        <w:t>oncology</w:t>
      </w:r>
      <w:r w:rsidR="00365472" w:rsidRPr="00817B9F">
        <w:t xml:space="preserve"> services if one of the cancer related diagnosis codes appear</w:t>
      </w:r>
      <w:r w:rsidR="00BA799D" w:rsidRPr="00817B9F">
        <w:t>s</w:t>
      </w:r>
      <w:r w:rsidR="00365472" w:rsidRPr="00817B9F">
        <w:t xml:space="preserve"> on any claim line in the fields </w:t>
      </w:r>
      <w:r w:rsidR="00365472" w:rsidRPr="00817B9F">
        <w:rPr>
          <w:i/>
          <w:iCs/>
        </w:rPr>
        <w:t>Principal Diagnosis</w:t>
      </w:r>
      <w:r w:rsidR="00365472" w:rsidRPr="00817B9F">
        <w:t xml:space="preserve"> and </w:t>
      </w:r>
      <w:r w:rsidR="00365472" w:rsidRPr="00817B9F">
        <w:rPr>
          <w:i/>
          <w:iCs/>
        </w:rPr>
        <w:t>Other Diagnosis 1</w:t>
      </w:r>
      <w:r w:rsidR="00365472" w:rsidRPr="00817B9F">
        <w:t xml:space="preserve"> to </w:t>
      </w:r>
      <w:r w:rsidR="00365472" w:rsidRPr="00817B9F">
        <w:rPr>
          <w:i/>
          <w:iCs/>
        </w:rPr>
        <w:t>Other Diagnosis 3</w:t>
      </w:r>
      <w:r w:rsidR="00365472" w:rsidRPr="00817B9F">
        <w:t>.</w:t>
      </w:r>
    </w:p>
    <w:p w14:paraId="659C9454" w14:textId="771DA323" w:rsidR="00F614D7" w:rsidRPr="00817B9F" w:rsidRDefault="008A5554" w:rsidP="002C17AA">
      <w:pPr>
        <w:pStyle w:val="NumberedParagraphs"/>
      </w:pPr>
      <w:r w:rsidRPr="00817B9F">
        <w:t>We</w:t>
      </w:r>
      <w:r w:rsidR="0033782B" w:rsidRPr="00817B9F">
        <w:t xml:space="preserve"> also assign each oncology diagnosis code to </w:t>
      </w:r>
      <w:r w:rsidR="0089642E" w:rsidRPr="00817B9F">
        <w:t xml:space="preserve">its </w:t>
      </w:r>
      <w:r w:rsidR="009479AB" w:rsidRPr="00817B9F">
        <w:t>associated</w:t>
      </w:r>
      <w:r w:rsidR="0089642E" w:rsidRPr="00817B9F">
        <w:t xml:space="preserve"> </w:t>
      </w:r>
      <w:r w:rsidR="008872A8" w:rsidRPr="00817B9F">
        <w:t xml:space="preserve">region of the </w:t>
      </w:r>
      <w:r w:rsidR="0089642E" w:rsidRPr="00817B9F">
        <w:t>body</w:t>
      </w:r>
      <w:r w:rsidR="00E0023F" w:rsidRPr="00817B9F">
        <w:t xml:space="preserve"> when possible</w:t>
      </w:r>
      <w:r w:rsidR="0089642E" w:rsidRPr="00817B9F">
        <w:t>.</w:t>
      </w:r>
      <w:r w:rsidR="003B2A37" w:rsidRPr="00817B9F">
        <w:t xml:space="preserve"> </w:t>
      </w:r>
      <w:r w:rsidR="009479AB" w:rsidRPr="00817B9F">
        <w:t xml:space="preserve">These include: </w:t>
      </w:r>
      <w:r w:rsidR="0013477A" w:rsidRPr="00817B9F">
        <w:t>B</w:t>
      </w:r>
      <w:r w:rsidR="00BE381E" w:rsidRPr="00817B9F">
        <w:t xml:space="preserve">reast, </w:t>
      </w:r>
      <w:r w:rsidR="0013477A" w:rsidRPr="00817B9F">
        <w:t>E</w:t>
      </w:r>
      <w:r w:rsidR="00BE381E" w:rsidRPr="00817B9F">
        <w:t xml:space="preserve">ndocrine, </w:t>
      </w:r>
      <w:r w:rsidR="001057B6" w:rsidRPr="00817B9F">
        <w:t>G</w:t>
      </w:r>
      <w:r w:rsidR="00382F24" w:rsidRPr="00817B9F">
        <w:t>astrointestinal</w:t>
      </w:r>
      <w:r w:rsidR="001057B6" w:rsidRPr="00817B9F">
        <w:t xml:space="preserve">, </w:t>
      </w:r>
      <w:r w:rsidR="003F32AF" w:rsidRPr="00817B9F">
        <w:t>Genitourinary</w:t>
      </w:r>
      <w:r w:rsidR="001057B6" w:rsidRPr="00817B9F">
        <w:t>, Gyn</w:t>
      </w:r>
      <w:r w:rsidR="00554255" w:rsidRPr="00817B9F">
        <w:t>e</w:t>
      </w:r>
      <w:r w:rsidR="002D51AE" w:rsidRPr="00817B9F">
        <w:t>cologic Oncology</w:t>
      </w:r>
      <w:r w:rsidR="001057B6" w:rsidRPr="00817B9F">
        <w:t>,</w:t>
      </w:r>
      <w:r w:rsidR="0013477A" w:rsidRPr="00817B9F">
        <w:t xml:space="preserve"> Head </w:t>
      </w:r>
      <w:r w:rsidR="00B04662" w:rsidRPr="00817B9F">
        <w:t>and</w:t>
      </w:r>
      <w:r w:rsidR="0013477A" w:rsidRPr="00817B9F">
        <w:t xml:space="preserve"> Neck, Hematology, Melanoma, Neuro Oncology, Sarcoma, </w:t>
      </w:r>
      <w:r w:rsidR="00E0023F" w:rsidRPr="00817B9F">
        <w:t xml:space="preserve">and </w:t>
      </w:r>
      <w:r w:rsidR="0013477A" w:rsidRPr="00817B9F">
        <w:t>Thoracic Oncology.</w:t>
      </w:r>
      <w:r w:rsidR="00356674" w:rsidRPr="00817B9F">
        <w:rPr>
          <w:rStyle w:val="FootnoteReference"/>
        </w:rPr>
        <w:footnoteReference w:id="86"/>
      </w:r>
    </w:p>
    <w:p w14:paraId="3B1ED205" w14:textId="0B90350E" w:rsidR="00EE5C3D" w:rsidRPr="00817B9F" w:rsidRDefault="00760D85" w:rsidP="007C2266">
      <w:pPr>
        <w:pStyle w:val="Heading4"/>
      </w:pPr>
      <w:bookmarkStart w:id="42" w:name="_Ref88581139"/>
      <w:r w:rsidRPr="00817B9F">
        <w:t>Diagnostic Imaging Services</w:t>
      </w:r>
      <w:bookmarkEnd w:id="42"/>
    </w:p>
    <w:p w14:paraId="20C713FD" w14:textId="03708848" w:rsidR="00101532" w:rsidRPr="00817B9F" w:rsidRDefault="00B70A39" w:rsidP="00F9637F">
      <w:pPr>
        <w:pStyle w:val="NumberedParagraphs"/>
      </w:pPr>
      <w:r w:rsidRPr="00817B9F">
        <w:t>To identify diagnostic imaging services</w:t>
      </w:r>
      <w:r w:rsidR="00DE189F" w:rsidRPr="00817B9F">
        <w:t xml:space="preserve"> in the </w:t>
      </w:r>
      <w:r w:rsidR="00060D8C" w:rsidRPr="00817B9F">
        <w:t xml:space="preserve">APCD and </w:t>
      </w:r>
      <w:r w:rsidR="00DE189F" w:rsidRPr="00817B9F">
        <w:t xml:space="preserve">Medicare Claims data, </w:t>
      </w:r>
      <w:r w:rsidRPr="00817B9F">
        <w:t xml:space="preserve">we first </w:t>
      </w:r>
      <w:r w:rsidR="00496EC4" w:rsidRPr="00817B9F">
        <w:t>review</w:t>
      </w:r>
      <w:r w:rsidR="00DE189F" w:rsidRPr="00817B9F">
        <w:t xml:space="preserve"> </w:t>
      </w:r>
      <w:r w:rsidR="00727A2E" w:rsidRPr="00817B9F">
        <w:t xml:space="preserve">CPT codes </w:t>
      </w:r>
      <w:r w:rsidR="002D771A" w:rsidRPr="00817B9F">
        <w:t xml:space="preserve">and associated descriptions to </w:t>
      </w:r>
      <w:r w:rsidR="002644C9" w:rsidRPr="00817B9F">
        <w:t>categorize releva</w:t>
      </w:r>
      <w:r w:rsidR="00101532" w:rsidRPr="00817B9F">
        <w:t>n</w:t>
      </w:r>
      <w:r w:rsidR="002644C9" w:rsidRPr="00817B9F">
        <w:t>t values into</w:t>
      </w:r>
      <w:r w:rsidR="00727A2E" w:rsidRPr="00817B9F">
        <w:t xml:space="preserve"> </w:t>
      </w:r>
      <w:r w:rsidR="00DE189F" w:rsidRPr="00817B9F">
        <w:t xml:space="preserve">one of the </w:t>
      </w:r>
      <w:r w:rsidR="00DE189F" w:rsidRPr="00817B9F">
        <w:lastRenderedPageBreak/>
        <w:t xml:space="preserve">following services: </w:t>
      </w:r>
      <w:r w:rsidR="00101532" w:rsidRPr="00817B9F">
        <w:t xml:space="preserve">CT, </w:t>
      </w:r>
      <w:r w:rsidR="008C5234" w:rsidRPr="00817B9F">
        <w:t>MRI</w:t>
      </w:r>
      <w:r w:rsidR="00101532" w:rsidRPr="00817B9F">
        <w:t>, PET/CT</w:t>
      </w:r>
      <w:r w:rsidR="008027FD" w:rsidRPr="00817B9F">
        <w:t>,</w:t>
      </w:r>
      <w:r w:rsidR="00101532" w:rsidRPr="00817B9F">
        <w:t xml:space="preserve"> and</w:t>
      </w:r>
      <w:r w:rsidR="007C1CD4" w:rsidRPr="00817B9F">
        <w:t xml:space="preserve"> </w:t>
      </w:r>
      <w:r w:rsidR="00101532" w:rsidRPr="00817B9F">
        <w:t>PET/MR</w:t>
      </w:r>
      <w:r w:rsidR="003C44A7" w:rsidRPr="00817B9F">
        <w:t>.</w:t>
      </w:r>
      <w:r w:rsidR="0099326B" w:rsidRPr="00817B9F">
        <w:rPr>
          <w:rStyle w:val="FootnoteReference"/>
        </w:rPr>
        <w:footnoteReference w:id="87"/>
      </w:r>
      <w:r w:rsidR="00417C51" w:rsidRPr="00817B9F">
        <w:t xml:space="preserve"> </w:t>
      </w:r>
      <w:r w:rsidR="00F5719F" w:rsidRPr="00817B9F">
        <w:t xml:space="preserve">We then </w:t>
      </w:r>
      <w:r w:rsidR="00766296" w:rsidRPr="00817B9F">
        <w:t xml:space="preserve">limit the </w:t>
      </w:r>
      <w:r w:rsidR="00D6297F" w:rsidRPr="00817B9F">
        <w:t xml:space="preserve">processed </w:t>
      </w:r>
      <w:r w:rsidR="00060D8C" w:rsidRPr="00817B9F">
        <w:t xml:space="preserve">APCD and </w:t>
      </w:r>
      <w:r w:rsidR="00766296" w:rsidRPr="00817B9F">
        <w:t xml:space="preserve">Medicare </w:t>
      </w:r>
      <w:r w:rsidR="00060D8C" w:rsidRPr="00817B9F">
        <w:t>Claims data</w:t>
      </w:r>
      <w:r w:rsidR="00766296" w:rsidRPr="00817B9F">
        <w:t xml:space="preserve"> </w:t>
      </w:r>
      <w:r w:rsidR="000239BE" w:rsidRPr="00817B9F">
        <w:t>to</w:t>
      </w:r>
      <w:r w:rsidR="00F5719F" w:rsidRPr="00817B9F">
        <w:t xml:space="preserve"> any claim line </w:t>
      </w:r>
      <w:r w:rsidR="005E1329" w:rsidRPr="00817B9F">
        <w:t>belonging to</w:t>
      </w:r>
      <w:r w:rsidR="00F5719F" w:rsidRPr="00817B9F">
        <w:t xml:space="preserve"> one of the </w:t>
      </w:r>
      <w:r w:rsidR="005E1329" w:rsidRPr="00817B9F">
        <w:t>above imaging services</w:t>
      </w:r>
      <w:r w:rsidR="005A284E" w:rsidRPr="00817B9F">
        <w:t xml:space="preserve"> to create the data used</w:t>
      </w:r>
      <w:r w:rsidR="006E08CA" w:rsidRPr="00817B9F">
        <w:t xml:space="preserve"> in our analysis of diagnostic imaging services.</w:t>
      </w:r>
    </w:p>
    <w:p w14:paraId="3D7E964F" w14:textId="7DC4698A" w:rsidR="006F6BC3" w:rsidRPr="00817B9F" w:rsidRDefault="00A93AE1" w:rsidP="007C2266">
      <w:pPr>
        <w:pStyle w:val="Heading2"/>
        <w:rPr>
          <w:rFonts w:cs="Times New Roman"/>
        </w:rPr>
      </w:pPr>
      <w:bookmarkStart w:id="43" w:name="_Ref88595129"/>
      <w:bookmarkStart w:id="44" w:name="_Ref88595165"/>
      <w:bookmarkStart w:id="45" w:name="_Ref88595174"/>
      <w:bookmarkStart w:id="46" w:name="_Ref88595735"/>
      <w:bookmarkStart w:id="47" w:name="_Ref88596031"/>
      <w:bookmarkStart w:id="48" w:name="_Ref88647445"/>
      <w:bookmarkStart w:id="49" w:name="_Toc90046502"/>
      <w:r w:rsidRPr="00817B9F">
        <w:rPr>
          <w:rFonts w:cs="Times New Roman"/>
        </w:rPr>
        <w:t xml:space="preserve">Prices </w:t>
      </w:r>
      <w:r w:rsidR="00247A28" w:rsidRPr="00817B9F">
        <w:rPr>
          <w:rFonts w:cs="Times New Roman"/>
        </w:rPr>
        <w:t xml:space="preserve">for Health Care Services </w:t>
      </w:r>
      <w:r w:rsidRPr="00817B9F">
        <w:rPr>
          <w:rFonts w:cs="Times New Roman"/>
        </w:rPr>
        <w:t xml:space="preserve">Used </w:t>
      </w:r>
      <w:r w:rsidR="00247A28" w:rsidRPr="00817B9F">
        <w:rPr>
          <w:rFonts w:cs="Times New Roman"/>
        </w:rPr>
        <w:t>for</w:t>
      </w:r>
      <w:r w:rsidRPr="00817B9F">
        <w:rPr>
          <w:rFonts w:cs="Times New Roman"/>
        </w:rPr>
        <w:t xml:space="preserve"> Analyses</w:t>
      </w:r>
      <w:bookmarkEnd w:id="43"/>
      <w:bookmarkEnd w:id="44"/>
      <w:bookmarkEnd w:id="45"/>
      <w:bookmarkEnd w:id="46"/>
      <w:bookmarkEnd w:id="47"/>
      <w:bookmarkEnd w:id="48"/>
      <w:bookmarkEnd w:id="49"/>
    </w:p>
    <w:p w14:paraId="11599825" w14:textId="68F7F22B" w:rsidR="00D013A3" w:rsidRPr="00817B9F" w:rsidRDefault="005836E2" w:rsidP="00D013A3">
      <w:pPr>
        <w:pStyle w:val="NumberedParagraphs"/>
      </w:pPr>
      <w:r w:rsidRPr="00817B9F">
        <w:t xml:space="preserve">Addressing the elements of the ICA requires </w:t>
      </w:r>
      <w:r w:rsidR="006007D5" w:rsidRPr="00817B9F">
        <w:t>estimating</w:t>
      </w:r>
      <w:r w:rsidRPr="00817B9F">
        <w:t xml:space="preserve"> how the </w:t>
      </w:r>
      <w:r w:rsidR="006007D5" w:rsidRPr="00817B9F">
        <w:t>forecasted</w:t>
      </w:r>
      <w:r w:rsidRPr="00817B9F">
        <w:t xml:space="preserve"> changes in where patients choose to receive health care services</w:t>
      </w:r>
      <w:r w:rsidR="00244D8B" w:rsidRPr="00817B9F">
        <w:t xml:space="preserve"> affects the </w:t>
      </w:r>
      <w:r w:rsidR="00D93114" w:rsidRPr="00817B9F">
        <w:t>total cost</w:t>
      </w:r>
      <w:r w:rsidR="00244D8B" w:rsidRPr="00817B9F">
        <w:t xml:space="preserve"> </w:t>
      </w:r>
      <w:r w:rsidR="0079033A" w:rsidRPr="00817B9F">
        <w:t>for</w:t>
      </w:r>
      <w:r w:rsidR="009F70DA" w:rsidRPr="00817B9F">
        <w:t xml:space="preserve"> th</w:t>
      </w:r>
      <w:r w:rsidR="00D97235" w:rsidRPr="00817B9F">
        <w:t>ose</w:t>
      </w:r>
      <w:r w:rsidR="009F70DA" w:rsidRPr="00817B9F">
        <w:t xml:space="preserve"> services</w:t>
      </w:r>
      <w:r w:rsidRPr="00817B9F">
        <w:t>.</w:t>
      </w:r>
      <w:r w:rsidR="00722316" w:rsidRPr="00817B9F">
        <w:t xml:space="preserve"> To do so</w:t>
      </w:r>
      <w:r w:rsidR="00CC5251" w:rsidRPr="00817B9F">
        <w:t>,</w:t>
      </w:r>
      <w:r w:rsidR="00722316" w:rsidRPr="00817B9F">
        <w:t xml:space="preserve"> w</w:t>
      </w:r>
      <w:r w:rsidR="007B5905" w:rsidRPr="00817B9F">
        <w:t xml:space="preserve">e construct the necessary relative price </w:t>
      </w:r>
      <w:r w:rsidR="00C81362" w:rsidRPr="00817B9F">
        <w:t xml:space="preserve">information for services provided at </w:t>
      </w:r>
      <w:r w:rsidR="009A073C" w:rsidRPr="00817B9F">
        <w:t>health</w:t>
      </w:r>
      <w:r w:rsidR="006F22A7" w:rsidRPr="00817B9F">
        <w:t xml:space="preserve"> </w:t>
      </w:r>
      <w:r w:rsidR="009A073C" w:rsidRPr="00817B9F">
        <w:t>care facilities in Massachusetts.</w:t>
      </w:r>
      <w:r w:rsidR="00E00E1F" w:rsidRPr="00817B9F">
        <w:t xml:space="preserve"> </w:t>
      </w:r>
    </w:p>
    <w:p w14:paraId="02F86684" w14:textId="155CFE3D" w:rsidR="00D3553D" w:rsidRPr="00817B9F" w:rsidRDefault="00FB1157" w:rsidP="003B048E">
      <w:pPr>
        <w:pStyle w:val="Heading3"/>
        <w:numPr>
          <w:ilvl w:val="0"/>
          <w:numId w:val="30"/>
        </w:numPr>
      </w:pPr>
      <w:bookmarkStart w:id="50" w:name="_Ref88595157"/>
      <w:bookmarkStart w:id="51" w:name="_Toc90046503"/>
      <w:r w:rsidRPr="00817B9F">
        <w:t xml:space="preserve">Relative Prices for </w:t>
      </w:r>
      <w:r w:rsidR="00D3553D" w:rsidRPr="00817B9F">
        <w:t>Commercial</w:t>
      </w:r>
      <w:r w:rsidRPr="00817B9F">
        <w:t xml:space="preserve">, Medicare </w:t>
      </w:r>
      <w:r w:rsidR="00DC0F18" w:rsidRPr="00817B9F">
        <w:t>Health Plans</w:t>
      </w:r>
      <w:r w:rsidRPr="00817B9F">
        <w:t>, and</w:t>
      </w:r>
      <w:r w:rsidR="00D3553D" w:rsidRPr="00817B9F">
        <w:t xml:space="preserve"> MassHealth</w:t>
      </w:r>
      <w:r w:rsidR="00C7733D" w:rsidRPr="00817B9F">
        <w:t xml:space="preserve"> Managed Care Plans</w:t>
      </w:r>
      <w:bookmarkEnd w:id="50"/>
      <w:bookmarkEnd w:id="51"/>
    </w:p>
    <w:p w14:paraId="05C9346B" w14:textId="07C3E530" w:rsidR="005A7061" w:rsidRPr="00817B9F" w:rsidRDefault="004F1CD9" w:rsidP="00184D23">
      <w:pPr>
        <w:pStyle w:val="Heading4"/>
        <w:numPr>
          <w:ilvl w:val="0"/>
          <w:numId w:val="24"/>
        </w:numPr>
      </w:pPr>
      <w:r w:rsidRPr="00817B9F">
        <w:t>I</w:t>
      </w:r>
      <w:r w:rsidR="005A7061" w:rsidRPr="00817B9F">
        <w:t>npatient Services</w:t>
      </w:r>
    </w:p>
    <w:p w14:paraId="421AB9FF" w14:textId="41B5C0C3" w:rsidR="00F80BFA" w:rsidRPr="00817B9F" w:rsidRDefault="00D93114" w:rsidP="00F80BFA">
      <w:pPr>
        <w:pStyle w:val="NumberedParagraphs"/>
      </w:pPr>
      <w:r w:rsidRPr="00817B9F">
        <w:t>T</w:t>
      </w:r>
      <w:r w:rsidR="009F70DA" w:rsidRPr="00817B9F">
        <w:t xml:space="preserve">o estimate the </w:t>
      </w:r>
      <w:r w:rsidR="009472EF" w:rsidRPr="00817B9F">
        <w:t xml:space="preserve">cost </w:t>
      </w:r>
      <w:r w:rsidR="007308E6" w:rsidRPr="00817B9F">
        <w:t>effect</w:t>
      </w:r>
      <w:r w:rsidR="009F70DA" w:rsidRPr="00817B9F">
        <w:t xml:space="preserve"> </w:t>
      </w:r>
      <w:r w:rsidR="004B1136" w:rsidRPr="00817B9F">
        <w:t>(</w:t>
      </w:r>
      <w:r w:rsidR="004B1136" w:rsidRPr="00817B9F">
        <w:rPr>
          <w:i/>
          <w:iCs/>
        </w:rPr>
        <w:t>i.e.</w:t>
      </w:r>
      <w:r w:rsidR="004B1136" w:rsidRPr="00817B9F">
        <w:t xml:space="preserve">, price differences) </w:t>
      </w:r>
      <w:r w:rsidR="009F70DA" w:rsidRPr="00817B9F">
        <w:t>of changes</w:t>
      </w:r>
      <w:r w:rsidR="0005731E" w:rsidRPr="00817B9F">
        <w:t xml:space="preserve"> </w:t>
      </w:r>
      <w:r w:rsidR="009F70DA" w:rsidRPr="00817B9F">
        <w:t xml:space="preserve">where inpatient care is </w:t>
      </w:r>
      <w:r w:rsidR="007308E6" w:rsidRPr="00817B9F">
        <w:t xml:space="preserve">provided </w:t>
      </w:r>
      <w:r w:rsidR="009472EF" w:rsidRPr="00817B9F">
        <w:t>for</w:t>
      </w:r>
      <w:r w:rsidR="007308E6" w:rsidRPr="00817B9F">
        <w:t xml:space="preserve"> commercial</w:t>
      </w:r>
      <w:r w:rsidR="00B71E02" w:rsidRPr="00817B9F">
        <w:t xml:space="preserve"> insurance</w:t>
      </w:r>
      <w:r w:rsidR="007308E6" w:rsidRPr="00817B9F">
        <w:t xml:space="preserve">, MassHealth </w:t>
      </w:r>
      <w:r w:rsidR="00B71E02" w:rsidRPr="00817B9F">
        <w:t>m</w:t>
      </w:r>
      <w:r w:rsidR="007308E6" w:rsidRPr="00817B9F">
        <w:t xml:space="preserve">anaged </w:t>
      </w:r>
      <w:r w:rsidR="00B71E02" w:rsidRPr="00817B9F">
        <w:t>c</w:t>
      </w:r>
      <w:r w:rsidR="007308E6" w:rsidRPr="00817B9F">
        <w:t xml:space="preserve">are, and Medicare </w:t>
      </w:r>
      <w:r w:rsidR="00B71E02" w:rsidRPr="00817B9F">
        <w:t>health</w:t>
      </w:r>
      <w:r w:rsidR="007308E6" w:rsidRPr="00817B9F">
        <w:t xml:space="preserve"> plans we utilize the CHIA </w:t>
      </w:r>
      <w:r w:rsidR="00757D22" w:rsidRPr="00817B9F">
        <w:t>Inpatient Relative Price Data</w:t>
      </w:r>
      <w:r w:rsidR="00B714F1" w:rsidRPr="00817B9F">
        <w:t xml:space="preserve">. As discussed </w:t>
      </w:r>
      <w:r w:rsidR="00D76FA7" w:rsidRPr="00817B9F">
        <w:t>above</w:t>
      </w:r>
      <w:r w:rsidR="00B714F1" w:rsidRPr="00817B9F">
        <w:t xml:space="preserve">, </w:t>
      </w:r>
      <w:r w:rsidR="00D76FA7" w:rsidRPr="00817B9F">
        <w:t>the CHIA Inpatient Relative Price Data</w:t>
      </w:r>
      <w:r w:rsidR="00224D7A" w:rsidRPr="00817B9F">
        <w:t xml:space="preserve"> “facilitates comparison of average provider prices, accounting for differences in patient acuity, the types of services providers deliver to patients, and the different insurance product types that payors offer to their members.”</w:t>
      </w:r>
      <w:r w:rsidR="00224D7A" w:rsidRPr="00817B9F">
        <w:rPr>
          <w:rStyle w:val="FootnoteReference"/>
        </w:rPr>
        <w:footnoteReference w:id="88"/>
      </w:r>
      <w:r w:rsidR="003B2A37" w:rsidRPr="00817B9F">
        <w:t xml:space="preserve"> </w:t>
      </w:r>
    </w:p>
    <w:p w14:paraId="32D2A80F" w14:textId="03BFACF7" w:rsidR="00572A16" w:rsidRPr="00817B9F" w:rsidRDefault="00D3553D" w:rsidP="007C2266">
      <w:pPr>
        <w:pStyle w:val="Heading4"/>
      </w:pPr>
      <w:bookmarkStart w:id="52" w:name="_Ref88595143"/>
      <w:r w:rsidRPr="00817B9F">
        <w:t xml:space="preserve">Outpatient </w:t>
      </w:r>
      <w:r w:rsidR="008701B6" w:rsidRPr="00817B9F">
        <w:t>Services</w:t>
      </w:r>
      <w:bookmarkEnd w:id="52"/>
    </w:p>
    <w:p w14:paraId="5DD72DD1" w14:textId="12D254CF" w:rsidR="006C0F34" w:rsidRPr="00817B9F" w:rsidRDefault="00634AD8" w:rsidP="006C0F34">
      <w:pPr>
        <w:pStyle w:val="NumberedParagraphs"/>
      </w:pPr>
      <w:r w:rsidRPr="00817B9F">
        <w:t>To estimate the effect of changes where outpatient care is provided on prices paid by commercial</w:t>
      </w:r>
      <w:r w:rsidR="00BE71B5" w:rsidRPr="00817B9F">
        <w:t xml:space="preserve"> insurance</w:t>
      </w:r>
      <w:r w:rsidRPr="00817B9F">
        <w:t xml:space="preserve">, MassHealth </w:t>
      </w:r>
      <w:r w:rsidR="00BE71B5" w:rsidRPr="00817B9F">
        <w:t>m</w:t>
      </w:r>
      <w:r w:rsidRPr="00817B9F">
        <w:t xml:space="preserve">anaged </w:t>
      </w:r>
      <w:r w:rsidR="00BE71B5" w:rsidRPr="00817B9F">
        <w:t>c</w:t>
      </w:r>
      <w:r w:rsidRPr="00817B9F">
        <w:t xml:space="preserve">are, and Medicare </w:t>
      </w:r>
      <w:r w:rsidR="00BE71B5" w:rsidRPr="00817B9F">
        <w:t>health</w:t>
      </w:r>
      <w:r w:rsidRPr="00817B9F">
        <w:t xml:space="preserve"> plans we utilize the APCD </w:t>
      </w:r>
      <w:r w:rsidR="00956485" w:rsidRPr="00817B9F">
        <w:t>in conjunction with Adde</w:t>
      </w:r>
      <w:r w:rsidR="001E1C43" w:rsidRPr="00817B9F">
        <w:t xml:space="preserve">ndum B of the </w:t>
      </w:r>
      <w:r w:rsidR="00AB297A" w:rsidRPr="00817B9F">
        <w:t>OPPS</w:t>
      </w:r>
      <w:r w:rsidR="001E1C43" w:rsidRPr="00817B9F">
        <w:t>.</w:t>
      </w:r>
      <w:r w:rsidR="003B2A37" w:rsidRPr="00817B9F">
        <w:t xml:space="preserve"> </w:t>
      </w:r>
      <w:r w:rsidR="00316CC5" w:rsidRPr="00817B9F">
        <w:t xml:space="preserve">For each </w:t>
      </w:r>
      <w:r w:rsidR="007F3811" w:rsidRPr="00817B9F">
        <w:t>outpatient service</w:t>
      </w:r>
      <w:r w:rsidR="00453FEB" w:rsidRPr="00817B9F">
        <w:t>,</w:t>
      </w:r>
      <w:r w:rsidR="005E6A36" w:rsidRPr="00817B9F">
        <w:t xml:space="preserve"> </w:t>
      </w:r>
      <w:r w:rsidR="00D85E08" w:rsidRPr="00817B9F">
        <w:t xml:space="preserve">we calculate </w:t>
      </w:r>
      <w:r w:rsidR="00003310" w:rsidRPr="00817B9F">
        <w:t>a</w:t>
      </w:r>
      <w:r w:rsidR="005E6A36" w:rsidRPr="00817B9F">
        <w:t xml:space="preserve"> reimbursement rate </w:t>
      </w:r>
      <w:r w:rsidR="005E5FDB" w:rsidRPr="00817B9F">
        <w:t>(</w:t>
      </w:r>
      <w:r w:rsidR="005E5FDB" w:rsidRPr="00817B9F">
        <w:rPr>
          <w:i/>
          <w:iCs/>
        </w:rPr>
        <w:t>i.e.</w:t>
      </w:r>
      <w:r w:rsidR="005E5FDB" w:rsidRPr="00817B9F">
        <w:t>, the allowed amount)</w:t>
      </w:r>
      <w:r w:rsidR="005E6A36" w:rsidRPr="00817B9F">
        <w:t xml:space="preserve"> </w:t>
      </w:r>
      <w:r w:rsidR="00BE4719" w:rsidRPr="00817B9F">
        <w:t xml:space="preserve">for </w:t>
      </w:r>
      <w:r w:rsidR="00003310" w:rsidRPr="00817B9F">
        <w:t xml:space="preserve">each </w:t>
      </w:r>
      <w:r w:rsidR="00F124FF" w:rsidRPr="00817B9F">
        <w:t>facility, payor</w:t>
      </w:r>
      <w:r w:rsidR="0027221E" w:rsidRPr="00817B9F">
        <w:t xml:space="preserve">, </w:t>
      </w:r>
      <w:r w:rsidR="00DD6DF5" w:rsidRPr="00817B9F">
        <w:t xml:space="preserve">and </w:t>
      </w:r>
      <w:r w:rsidR="0027221E" w:rsidRPr="00817B9F">
        <w:t>insurance type combination</w:t>
      </w:r>
      <w:r w:rsidR="00BE4719" w:rsidRPr="00817B9F">
        <w:t xml:space="preserve"> relative to the </w:t>
      </w:r>
      <w:r w:rsidR="002E7FC6" w:rsidRPr="00817B9F">
        <w:t>amount</w:t>
      </w:r>
      <w:r w:rsidR="00BE4719" w:rsidRPr="00817B9F">
        <w:t xml:space="preserve"> Original Medicare would pay</w:t>
      </w:r>
      <w:r w:rsidR="00777C26" w:rsidRPr="00817B9F">
        <w:t xml:space="preserve"> for </w:t>
      </w:r>
      <w:r w:rsidR="002E0674" w:rsidRPr="00817B9F">
        <w:t>t</w:t>
      </w:r>
      <w:r w:rsidR="00165945" w:rsidRPr="00817B9F">
        <w:t xml:space="preserve">he </w:t>
      </w:r>
      <w:r w:rsidR="00777C26" w:rsidRPr="00817B9F">
        <w:t xml:space="preserve">same </w:t>
      </w:r>
      <w:r w:rsidR="00165945" w:rsidRPr="00817B9F">
        <w:t>service</w:t>
      </w:r>
      <w:r w:rsidR="0027221E" w:rsidRPr="00817B9F">
        <w:t>.</w:t>
      </w:r>
      <w:r w:rsidR="00A0558B" w:rsidRPr="00817B9F">
        <w:rPr>
          <w:rStyle w:val="FootnoteReference"/>
        </w:rPr>
        <w:footnoteReference w:id="89"/>
      </w:r>
      <w:r w:rsidR="003B2A37" w:rsidRPr="00817B9F">
        <w:t xml:space="preserve"> </w:t>
      </w:r>
      <w:r w:rsidR="00DF72A1" w:rsidRPr="00817B9F">
        <w:t>As</w:t>
      </w:r>
      <w:r w:rsidR="00982BB7" w:rsidRPr="00817B9F">
        <w:t xml:space="preserve"> </w:t>
      </w:r>
      <w:r w:rsidR="00DF72A1" w:rsidRPr="00817B9F">
        <w:lastRenderedPageBreak/>
        <w:t xml:space="preserve">discussed </w:t>
      </w:r>
      <w:r w:rsidR="00515854" w:rsidRPr="00817B9F">
        <w:t>previously</w:t>
      </w:r>
      <w:r w:rsidR="00A200A7" w:rsidRPr="00817B9F">
        <w:t>,</w:t>
      </w:r>
      <w:r w:rsidR="00DF72A1" w:rsidRPr="00817B9F">
        <w:t xml:space="preserve"> </w:t>
      </w:r>
      <w:r w:rsidR="00BA326D" w:rsidRPr="00817B9F">
        <w:t xml:space="preserve">expressing </w:t>
      </w:r>
      <w:r w:rsidR="00D906CB" w:rsidRPr="00817B9F">
        <w:t>reimbursement rates</w:t>
      </w:r>
      <w:r w:rsidR="00BA326D" w:rsidRPr="00817B9F">
        <w:t xml:space="preserve"> relative </w:t>
      </w:r>
      <w:r w:rsidR="00D906CB" w:rsidRPr="00817B9F">
        <w:t>those</w:t>
      </w:r>
      <w:r w:rsidR="00204B64" w:rsidRPr="00817B9F">
        <w:t xml:space="preserve"> to</w:t>
      </w:r>
      <w:r w:rsidR="00D906CB" w:rsidRPr="00817B9F">
        <w:t xml:space="preserve"> paid by</w:t>
      </w:r>
      <w:r w:rsidR="00BA326D" w:rsidRPr="00817B9F">
        <w:t xml:space="preserve"> Original Medicare </w:t>
      </w:r>
      <w:r w:rsidR="00D906CB" w:rsidRPr="00817B9F">
        <w:t>allows us to compare prices</w:t>
      </w:r>
      <w:r w:rsidR="00A375AC" w:rsidRPr="00817B9F">
        <w:t xml:space="preserve"> at facilities </w:t>
      </w:r>
      <w:r w:rsidR="00B620CD" w:rsidRPr="00817B9F">
        <w:t>despite</w:t>
      </w:r>
      <w:r w:rsidR="00A375AC" w:rsidRPr="00817B9F">
        <w:t xml:space="preserve"> </w:t>
      </w:r>
      <w:r w:rsidR="00440032" w:rsidRPr="00817B9F">
        <w:t>differences in service mix</w:t>
      </w:r>
      <w:r w:rsidR="004F3495" w:rsidRPr="00817B9F">
        <w:t>.</w:t>
      </w:r>
      <w:r w:rsidR="00825FFF" w:rsidRPr="00817B9F">
        <w:rPr>
          <w:rStyle w:val="FootnoteReference"/>
        </w:rPr>
        <w:footnoteReference w:id="90"/>
      </w:r>
      <w:r w:rsidR="0051094A" w:rsidRPr="00817B9F">
        <w:t xml:space="preserve"> Below, we summarize </w:t>
      </w:r>
      <w:r w:rsidR="00745736" w:rsidRPr="00817B9F">
        <w:t xml:space="preserve">the </w:t>
      </w:r>
      <w:r w:rsidR="0045445D" w:rsidRPr="00817B9F">
        <w:t>method</w:t>
      </w:r>
      <w:r w:rsidR="00AE2BAE" w:rsidRPr="00817B9F">
        <w:t>s</w:t>
      </w:r>
      <w:r w:rsidR="0045445D" w:rsidRPr="00817B9F">
        <w:t xml:space="preserve"> used to</w:t>
      </w:r>
      <w:r w:rsidR="00745736" w:rsidRPr="00817B9F">
        <w:t xml:space="preserve"> </w:t>
      </w:r>
      <w:r w:rsidR="00D211BA" w:rsidRPr="00817B9F">
        <w:t xml:space="preserve">calculate the </w:t>
      </w:r>
      <w:r w:rsidR="00745736" w:rsidRPr="00817B9F">
        <w:t xml:space="preserve">Original Medicare </w:t>
      </w:r>
      <w:r w:rsidR="0045445D" w:rsidRPr="00817B9F">
        <w:t>payment</w:t>
      </w:r>
      <w:r w:rsidR="00745736" w:rsidRPr="00817B9F">
        <w:t xml:space="preserve"> </w:t>
      </w:r>
      <w:r w:rsidR="00D211BA" w:rsidRPr="00817B9F">
        <w:t xml:space="preserve">that </w:t>
      </w:r>
      <w:r w:rsidR="00AE2BAE" w:rsidRPr="00817B9F">
        <w:t>are</w:t>
      </w:r>
      <w:r w:rsidR="00D211BA" w:rsidRPr="00817B9F">
        <w:t xml:space="preserve"> </w:t>
      </w:r>
      <w:r w:rsidR="00745736" w:rsidRPr="00817B9F">
        <w:t xml:space="preserve">used </w:t>
      </w:r>
      <w:r w:rsidR="00B55F9F" w:rsidRPr="00817B9F">
        <w:t>to c</w:t>
      </w:r>
      <w:r w:rsidR="00AE2BAE" w:rsidRPr="00817B9F">
        <w:t>alculate</w:t>
      </w:r>
      <w:r w:rsidR="00F456DD" w:rsidRPr="00817B9F">
        <w:t xml:space="preserve"> </w:t>
      </w:r>
      <w:r w:rsidR="00D8123B" w:rsidRPr="00817B9F">
        <w:t xml:space="preserve">the </w:t>
      </w:r>
      <w:r w:rsidR="00F456DD" w:rsidRPr="00817B9F">
        <w:t>relative prices for each outpatient service discussed in this report.</w:t>
      </w:r>
    </w:p>
    <w:p w14:paraId="2821A997" w14:textId="61F522F4" w:rsidR="006C0F34" w:rsidRPr="00817B9F" w:rsidRDefault="009A5881" w:rsidP="00254CCE">
      <w:pPr>
        <w:pStyle w:val="BulletParagraph"/>
        <w:rPr>
          <w:rFonts w:cs="Times New Roman"/>
        </w:rPr>
      </w:pPr>
      <w:r w:rsidRPr="00817B9F">
        <w:rPr>
          <w:rFonts w:cs="Times New Roman"/>
        </w:rPr>
        <w:t>For outpatient cardiovascular services</w:t>
      </w:r>
      <w:r w:rsidR="009D09B6" w:rsidRPr="00817B9F">
        <w:rPr>
          <w:rFonts w:cs="Times New Roman"/>
        </w:rPr>
        <w:t xml:space="preserve"> and </w:t>
      </w:r>
      <w:r w:rsidR="00422053" w:rsidRPr="00817B9F">
        <w:rPr>
          <w:rFonts w:cs="Times New Roman"/>
        </w:rPr>
        <w:t>diagnostic</w:t>
      </w:r>
      <w:r w:rsidR="00D2685E" w:rsidRPr="00817B9F">
        <w:rPr>
          <w:rFonts w:cs="Times New Roman"/>
        </w:rPr>
        <w:t xml:space="preserve"> imaging</w:t>
      </w:r>
      <w:r w:rsidR="009D09B6" w:rsidRPr="00817B9F">
        <w:rPr>
          <w:rFonts w:cs="Times New Roman"/>
        </w:rPr>
        <w:t xml:space="preserve"> </w:t>
      </w:r>
      <w:r w:rsidRPr="00817B9F">
        <w:rPr>
          <w:rFonts w:cs="Times New Roman"/>
        </w:rPr>
        <w:t>services</w:t>
      </w:r>
      <w:r w:rsidR="0037348C" w:rsidRPr="00817B9F">
        <w:rPr>
          <w:rFonts w:cs="Times New Roman"/>
        </w:rPr>
        <w:t>,</w:t>
      </w:r>
      <w:r w:rsidRPr="00817B9F">
        <w:rPr>
          <w:rFonts w:cs="Times New Roman"/>
        </w:rPr>
        <w:t xml:space="preserve"> we determine the amount that Original Medicare would pay for </w:t>
      </w:r>
      <w:r w:rsidR="008A4DEC" w:rsidRPr="00817B9F">
        <w:rPr>
          <w:rFonts w:cs="Times New Roman"/>
        </w:rPr>
        <w:t xml:space="preserve">each CPT </w:t>
      </w:r>
      <w:r w:rsidR="00DF2099" w:rsidRPr="00817B9F">
        <w:rPr>
          <w:rFonts w:cs="Times New Roman"/>
        </w:rPr>
        <w:t xml:space="preserve">code </w:t>
      </w:r>
      <w:r w:rsidR="008A4DEC" w:rsidRPr="00817B9F">
        <w:rPr>
          <w:rFonts w:cs="Times New Roman"/>
        </w:rPr>
        <w:t xml:space="preserve">identified in Section </w:t>
      </w:r>
      <w:r w:rsidR="00973791" w:rsidRPr="00817B9F">
        <w:rPr>
          <w:rFonts w:cs="Times New Roman"/>
        </w:rPr>
        <w:fldChar w:fldCharType="begin"/>
      </w:r>
      <w:r w:rsidR="00973791" w:rsidRPr="00817B9F">
        <w:rPr>
          <w:rFonts w:cs="Times New Roman"/>
        </w:rPr>
        <w:instrText xml:space="preserve"> REF _Ref88655817 \r \h </w:instrText>
      </w:r>
      <w:r w:rsidR="00FD09F0" w:rsidRPr="00817B9F">
        <w:rPr>
          <w:rFonts w:cs="Times New Roman"/>
        </w:rPr>
        <w:instrText xml:space="preserve"> \* MERGEFORMAT </w:instrText>
      </w:r>
      <w:r w:rsidR="00973791" w:rsidRPr="00817B9F">
        <w:rPr>
          <w:rFonts w:cs="Times New Roman"/>
        </w:rPr>
      </w:r>
      <w:r w:rsidR="00973791" w:rsidRPr="00817B9F">
        <w:rPr>
          <w:rFonts w:cs="Times New Roman"/>
        </w:rPr>
        <w:fldChar w:fldCharType="separate"/>
      </w:r>
      <w:r w:rsidR="002B78C3">
        <w:rPr>
          <w:rFonts w:cs="Times New Roman"/>
        </w:rPr>
        <w:t>III</w:t>
      </w:r>
      <w:r w:rsidR="00973791" w:rsidRPr="00817B9F">
        <w:rPr>
          <w:rFonts w:cs="Times New Roman"/>
        </w:rPr>
        <w:fldChar w:fldCharType="end"/>
      </w:r>
      <w:r w:rsidR="00973791" w:rsidRPr="00817B9F">
        <w:rPr>
          <w:rFonts w:cs="Times New Roman"/>
        </w:rPr>
        <w:t>.</w:t>
      </w:r>
      <w:r w:rsidR="00764CFA" w:rsidRPr="00817B9F">
        <w:rPr>
          <w:rFonts w:cs="Times New Roman"/>
        </w:rPr>
        <w:fldChar w:fldCharType="begin"/>
      </w:r>
      <w:r w:rsidR="00764CFA" w:rsidRPr="00817B9F">
        <w:rPr>
          <w:rFonts w:cs="Times New Roman"/>
        </w:rPr>
        <w:instrText xml:space="preserve"> REF _Ref88219827 \w \h  \* MERGEFORMAT </w:instrText>
      </w:r>
      <w:r w:rsidR="00764CFA" w:rsidRPr="00817B9F">
        <w:rPr>
          <w:rFonts w:cs="Times New Roman"/>
        </w:rPr>
      </w:r>
      <w:r w:rsidR="00764CFA" w:rsidRPr="00817B9F">
        <w:rPr>
          <w:rFonts w:cs="Times New Roman"/>
        </w:rPr>
        <w:fldChar w:fldCharType="separate"/>
      </w:r>
      <w:r w:rsidR="002B78C3">
        <w:rPr>
          <w:rFonts w:cs="Times New Roman"/>
        </w:rPr>
        <w:t>B</w:t>
      </w:r>
      <w:r w:rsidR="00764CFA" w:rsidRPr="00817B9F">
        <w:rPr>
          <w:rFonts w:cs="Times New Roman"/>
        </w:rPr>
        <w:fldChar w:fldCharType="end"/>
      </w:r>
      <w:r w:rsidR="00764CFA" w:rsidRPr="00817B9F">
        <w:rPr>
          <w:rFonts w:cs="Times New Roman"/>
        </w:rPr>
        <w:t>.</w:t>
      </w:r>
      <w:r w:rsidR="00764CFA" w:rsidRPr="00817B9F">
        <w:rPr>
          <w:rFonts w:cs="Times New Roman"/>
        </w:rPr>
        <w:fldChar w:fldCharType="begin"/>
      </w:r>
      <w:r w:rsidR="00764CFA" w:rsidRPr="00817B9F">
        <w:rPr>
          <w:rFonts w:cs="Times New Roman"/>
        </w:rPr>
        <w:instrText xml:space="preserve"> REF _Ref88219835 \w \h  \* MERGEFORMAT </w:instrText>
      </w:r>
      <w:r w:rsidR="00764CFA" w:rsidRPr="00817B9F">
        <w:rPr>
          <w:rFonts w:cs="Times New Roman"/>
        </w:rPr>
      </w:r>
      <w:r w:rsidR="00764CFA" w:rsidRPr="00817B9F">
        <w:rPr>
          <w:rFonts w:cs="Times New Roman"/>
        </w:rPr>
        <w:fldChar w:fldCharType="separate"/>
      </w:r>
      <w:r w:rsidR="002B78C3">
        <w:rPr>
          <w:rFonts w:cs="Times New Roman"/>
        </w:rPr>
        <w:t>2</w:t>
      </w:r>
      <w:r w:rsidR="00764CFA" w:rsidRPr="00817B9F">
        <w:rPr>
          <w:rFonts w:cs="Times New Roman"/>
        </w:rPr>
        <w:fldChar w:fldCharType="end"/>
      </w:r>
      <w:r w:rsidR="008A4DEC" w:rsidRPr="00817B9F">
        <w:rPr>
          <w:rFonts w:cs="Times New Roman"/>
        </w:rPr>
        <w:t xml:space="preserve"> </w:t>
      </w:r>
      <w:r w:rsidR="00DC4BD4" w:rsidRPr="00817B9F">
        <w:rPr>
          <w:rFonts w:cs="Times New Roman"/>
        </w:rPr>
        <w:t xml:space="preserve">using </w:t>
      </w:r>
      <w:r w:rsidR="00326DB8" w:rsidRPr="00817B9F">
        <w:rPr>
          <w:rFonts w:cs="Times New Roman"/>
        </w:rPr>
        <w:t xml:space="preserve">the values indicated in </w:t>
      </w:r>
      <w:r w:rsidRPr="00817B9F">
        <w:rPr>
          <w:rFonts w:cs="Times New Roman"/>
        </w:rPr>
        <w:t>Addendum B</w:t>
      </w:r>
      <w:r w:rsidR="006142F7" w:rsidRPr="00817B9F">
        <w:rPr>
          <w:rFonts w:cs="Times New Roman"/>
        </w:rPr>
        <w:t xml:space="preserve">. </w:t>
      </w:r>
    </w:p>
    <w:p w14:paraId="6BE96AA6" w14:textId="3DB5CC42" w:rsidR="006C6890" w:rsidRPr="00817B9F" w:rsidRDefault="009A5881" w:rsidP="00385FCD">
      <w:pPr>
        <w:pStyle w:val="BulletParagraph"/>
        <w:rPr>
          <w:rFonts w:cs="Times New Roman"/>
        </w:rPr>
      </w:pPr>
      <w:r w:rsidRPr="00817B9F">
        <w:rPr>
          <w:rFonts w:cs="Times New Roman"/>
        </w:rPr>
        <w:t>For outpatient oncology services</w:t>
      </w:r>
      <w:r w:rsidR="0037348C" w:rsidRPr="00817B9F">
        <w:rPr>
          <w:rFonts w:cs="Times New Roman"/>
        </w:rPr>
        <w:t>,</w:t>
      </w:r>
      <w:r w:rsidRPr="00817B9F">
        <w:rPr>
          <w:rFonts w:cs="Times New Roman"/>
        </w:rPr>
        <w:t xml:space="preserve"> we</w:t>
      </w:r>
      <w:r w:rsidR="002F5545" w:rsidRPr="00817B9F">
        <w:rPr>
          <w:rFonts w:cs="Times New Roman"/>
        </w:rPr>
        <w:t xml:space="preserve"> </w:t>
      </w:r>
      <w:r w:rsidR="00C95B8F" w:rsidRPr="00817B9F">
        <w:rPr>
          <w:rFonts w:cs="Times New Roman"/>
        </w:rPr>
        <w:t xml:space="preserve">first </w:t>
      </w:r>
      <w:r w:rsidRPr="00817B9F">
        <w:rPr>
          <w:rFonts w:cs="Times New Roman"/>
        </w:rPr>
        <w:t xml:space="preserve">determine the amount that Original Medicare would pay </w:t>
      </w:r>
      <w:r w:rsidR="003E2514" w:rsidRPr="00817B9F">
        <w:rPr>
          <w:rFonts w:cs="Times New Roman"/>
        </w:rPr>
        <w:t xml:space="preserve">for each </w:t>
      </w:r>
      <w:r w:rsidR="002828F8" w:rsidRPr="00817B9F">
        <w:rPr>
          <w:rFonts w:cs="Times New Roman"/>
        </w:rPr>
        <w:t xml:space="preserve">claim </w:t>
      </w:r>
      <w:r w:rsidR="00D663CB" w:rsidRPr="00817B9F">
        <w:rPr>
          <w:rFonts w:cs="Times New Roman"/>
        </w:rPr>
        <w:t xml:space="preserve">line’s CPT code </w:t>
      </w:r>
      <w:r w:rsidRPr="00817B9F">
        <w:rPr>
          <w:rFonts w:cs="Times New Roman"/>
        </w:rPr>
        <w:t>based on</w:t>
      </w:r>
      <w:r w:rsidR="00D663CB" w:rsidRPr="00817B9F">
        <w:rPr>
          <w:rFonts w:cs="Times New Roman"/>
        </w:rPr>
        <w:t xml:space="preserve"> </w:t>
      </w:r>
      <w:r w:rsidRPr="00817B9F">
        <w:rPr>
          <w:rFonts w:cs="Times New Roman"/>
        </w:rPr>
        <w:t xml:space="preserve">the </w:t>
      </w:r>
      <w:r w:rsidR="00C3321A" w:rsidRPr="00817B9F">
        <w:rPr>
          <w:rFonts w:cs="Times New Roman"/>
        </w:rPr>
        <w:t xml:space="preserve">associated payment </w:t>
      </w:r>
      <w:r w:rsidR="00DA186F" w:rsidRPr="00817B9F">
        <w:rPr>
          <w:rFonts w:cs="Times New Roman"/>
        </w:rPr>
        <w:t>from</w:t>
      </w:r>
      <w:r w:rsidRPr="00817B9F">
        <w:rPr>
          <w:rFonts w:cs="Times New Roman"/>
        </w:rPr>
        <w:t xml:space="preserve"> Addendum B</w:t>
      </w:r>
      <w:r w:rsidR="00AF6665" w:rsidRPr="00817B9F">
        <w:rPr>
          <w:rFonts w:cs="Times New Roman"/>
        </w:rPr>
        <w:t xml:space="preserve"> for that CPT code</w:t>
      </w:r>
      <w:r w:rsidR="006142F7" w:rsidRPr="00817B9F">
        <w:rPr>
          <w:rFonts w:cs="Times New Roman"/>
        </w:rPr>
        <w:t>.</w:t>
      </w:r>
      <w:r w:rsidR="00BE1B34" w:rsidRPr="00817B9F">
        <w:rPr>
          <w:rFonts w:cs="Times New Roman"/>
        </w:rPr>
        <w:t xml:space="preserve"> We then </w:t>
      </w:r>
      <w:r w:rsidR="00F25240" w:rsidRPr="00817B9F">
        <w:rPr>
          <w:rFonts w:cs="Times New Roman"/>
        </w:rPr>
        <w:t>aggregate</w:t>
      </w:r>
      <w:r w:rsidR="00BE1B34" w:rsidRPr="00817B9F">
        <w:rPr>
          <w:rFonts w:cs="Times New Roman"/>
        </w:rPr>
        <w:t xml:space="preserve"> </w:t>
      </w:r>
      <w:r w:rsidR="00316DD5" w:rsidRPr="00817B9F">
        <w:rPr>
          <w:rFonts w:cs="Times New Roman"/>
        </w:rPr>
        <w:t>these</w:t>
      </w:r>
      <w:r w:rsidR="00BE1B34" w:rsidRPr="00817B9F">
        <w:rPr>
          <w:rFonts w:cs="Times New Roman"/>
        </w:rPr>
        <w:t xml:space="preserve"> individual claim line </w:t>
      </w:r>
      <w:r w:rsidR="005645A5" w:rsidRPr="00817B9F">
        <w:rPr>
          <w:rFonts w:cs="Times New Roman"/>
        </w:rPr>
        <w:t>payment</w:t>
      </w:r>
      <w:r w:rsidR="00AF6665" w:rsidRPr="00817B9F">
        <w:rPr>
          <w:rFonts w:cs="Times New Roman"/>
        </w:rPr>
        <w:t xml:space="preserve"> amounts</w:t>
      </w:r>
      <w:r w:rsidR="001276ED" w:rsidRPr="00817B9F">
        <w:rPr>
          <w:rFonts w:cs="Times New Roman"/>
        </w:rPr>
        <w:t xml:space="preserve"> to the claim level to </w:t>
      </w:r>
      <w:r w:rsidR="00433B87" w:rsidRPr="00817B9F">
        <w:rPr>
          <w:rFonts w:cs="Times New Roman"/>
        </w:rPr>
        <w:t>calculate what Original Medicare would pay</w:t>
      </w:r>
      <w:r w:rsidR="001276ED" w:rsidRPr="00817B9F">
        <w:rPr>
          <w:rFonts w:cs="Times New Roman"/>
        </w:rPr>
        <w:t xml:space="preserve"> </w:t>
      </w:r>
      <w:r w:rsidR="00433B87" w:rsidRPr="00817B9F">
        <w:rPr>
          <w:rFonts w:cs="Times New Roman"/>
        </w:rPr>
        <w:t>for the</w:t>
      </w:r>
      <w:r w:rsidR="001276ED" w:rsidRPr="00817B9F">
        <w:rPr>
          <w:rFonts w:cs="Times New Roman"/>
        </w:rPr>
        <w:t xml:space="preserve"> visit</w:t>
      </w:r>
      <w:r w:rsidR="00433B87" w:rsidRPr="00817B9F">
        <w:rPr>
          <w:rFonts w:cs="Times New Roman"/>
        </w:rPr>
        <w:t>.</w:t>
      </w:r>
      <w:bookmarkStart w:id="53" w:name="_Hlk88555458"/>
    </w:p>
    <w:p w14:paraId="156892DC" w14:textId="4AA8200B" w:rsidR="00D555A0" w:rsidRPr="00817B9F" w:rsidRDefault="00ED7CE1" w:rsidP="0038052E">
      <w:pPr>
        <w:pStyle w:val="NumberedParagraphs"/>
      </w:pPr>
      <w:r w:rsidRPr="00817B9F">
        <w:t xml:space="preserve">As recorded in the APCD, </w:t>
      </w:r>
      <w:r w:rsidR="0038052E" w:rsidRPr="00817B9F">
        <w:t xml:space="preserve">MassHealth managed care </w:t>
      </w:r>
      <w:r w:rsidRPr="00817B9F">
        <w:t xml:space="preserve">plan </w:t>
      </w:r>
      <w:r w:rsidR="0038052E" w:rsidRPr="00817B9F">
        <w:t xml:space="preserve">reimbursement </w:t>
      </w:r>
      <w:r w:rsidRPr="00817B9F">
        <w:t xml:space="preserve">rates </w:t>
      </w:r>
      <w:r w:rsidR="0038052E" w:rsidRPr="00817B9F">
        <w:t xml:space="preserve">for some diagnostic imaging procedures </w:t>
      </w:r>
      <w:r w:rsidRPr="00817B9F">
        <w:t>are</w:t>
      </w:r>
      <w:r w:rsidR="0038052E" w:rsidRPr="00817B9F">
        <w:t xml:space="preserve"> substantially higher than the </w:t>
      </w:r>
      <w:r w:rsidRPr="00817B9F">
        <w:t xml:space="preserve">corresponding </w:t>
      </w:r>
      <w:r w:rsidR="0038052E" w:rsidRPr="00817B9F">
        <w:t>reimbursement rates for Original Medicare (</w:t>
      </w:r>
      <w:r w:rsidRPr="00817B9F">
        <w:t xml:space="preserve">which we </w:t>
      </w:r>
      <w:r w:rsidR="0038052E" w:rsidRPr="00817B9F">
        <w:t xml:space="preserve">use for our relative prices). </w:t>
      </w:r>
      <w:r w:rsidRPr="00817B9F">
        <w:t>However, w</w:t>
      </w:r>
      <w:r w:rsidR="0038052E" w:rsidRPr="00817B9F">
        <w:t xml:space="preserve">e understand that MassHealth managed care reimbursement levels are </w:t>
      </w:r>
      <w:r w:rsidRPr="00817B9F">
        <w:t>similar</w:t>
      </w:r>
      <w:r w:rsidR="0038052E" w:rsidRPr="00817B9F">
        <w:t xml:space="preserve"> to MassHealth non-managed care rates</w:t>
      </w:r>
      <w:r w:rsidR="00B47A40" w:rsidRPr="00817B9F">
        <w:t>,</w:t>
      </w:r>
      <w:r w:rsidR="00ED5CA0" w:rsidRPr="00817B9F">
        <w:rPr>
          <w:rStyle w:val="FootnoteReference"/>
        </w:rPr>
        <w:footnoteReference w:id="91"/>
      </w:r>
      <w:r w:rsidR="0038052E" w:rsidRPr="00817B9F">
        <w:t xml:space="preserve"> and </w:t>
      </w:r>
      <w:r w:rsidR="00B47A40" w:rsidRPr="00817B9F">
        <w:t>that MassHealth non-managed care rates</w:t>
      </w:r>
      <w:r w:rsidR="0038052E" w:rsidRPr="00817B9F">
        <w:t xml:space="preserve"> </w:t>
      </w:r>
      <w:r w:rsidR="00B47A40" w:rsidRPr="00817B9F">
        <w:t>are</w:t>
      </w:r>
      <w:r w:rsidR="00D555A0" w:rsidRPr="00817B9F">
        <w:t xml:space="preserve"> generally </w:t>
      </w:r>
      <w:r w:rsidR="0038052E" w:rsidRPr="00817B9F">
        <w:t xml:space="preserve">less than </w:t>
      </w:r>
      <w:r w:rsidR="009B09AC" w:rsidRPr="00817B9F">
        <w:t xml:space="preserve">Original </w:t>
      </w:r>
      <w:r w:rsidR="0038052E" w:rsidRPr="00817B9F">
        <w:t xml:space="preserve">Medicare </w:t>
      </w:r>
      <w:r w:rsidR="00D555A0" w:rsidRPr="00817B9F">
        <w:t xml:space="preserve">fee schedule </w:t>
      </w:r>
      <w:r w:rsidR="0038052E" w:rsidRPr="00817B9F">
        <w:t>rates.</w:t>
      </w:r>
      <w:r w:rsidR="007F2D4F" w:rsidRPr="00817B9F">
        <w:t xml:space="preserve"> </w:t>
      </w:r>
      <w:r w:rsidR="00DE232D" w:rsidRPr="00817B9F">
        <w:t>Given our concern about the reliability of the price information for outpatient diagnostic imaging services covered by MassHealth managed care plans</w:t>
      </w:r>
      <w:r w:rsidR="007F2D4F" w:rsidRPr="00817B9F">
        <w:t xml:space="preserve">, </w:t>
      </w:r>
      <w:r w:rsidR="00D555A0" w:rsidRPr="00817B9F">
        <w:t xml:space="preserve">when we calculate the </w:t>
      </w:r>
      <w:r w:rsidR="00D555A0" w:rsidRPr="00817B9F">
        <w:lastRenderedPageBreak/>
        <w:t xml:space="preserve">predicted cost impact of the DoN application on the overall cost of outpatient diagnostic imaging services, </w:t>
      </w:r>
      <w:r w:rsidR="00C50F96" w:rsidRPr="00817B9F">
        <w:t>we</w:t>
      </w:r>
      <w:r w:rsidR="007A12F8" w:rsidRPr="00817B9F">
        <w:t xml:space="preserve"> assume that each health care provider would be paid the MassHealth non-managed </w:t>
      </w:r>
      <w:r w:rsidR="00B47A40" w:rsidRPr="00817B9F">
        <w:t xml:space="preserve">care fee schedule amount for the outpatient diagnostic imaging service at issue. </w:t>
      </w:r>
    </w:p>
    <w:p w14:paraId="598A51FA" w14:textId="554167D7" w:rsidR="00D3553D" w:rsidRPr="00817B9F" w:rsidRDefault="00FB1157" w:rsidP="007C2266">
      <w:pPr>
        <w:pStyle w:val="Heading3"/>
      </w:pPr>
      <w:bookmarkStart w:id="54" w:name="_Ref88595167"/>
      <w:bookmarkStart w:id="55" w:name="_Ref88647451"/>
      <w:bookmarkStart w:id="56" w:name="_Toc90046504"/>
      <w:bookmarkEnd w:id="53"/>
      <w:r w:rsidRPr="00817B9F">
        <w:t xml:space="preserve">Relative Prices for </w:t>
      </w:r>
      <w:r w:rsidR="00D3553D" w:rsidRPr="00817B9F">
        <w:t>MassHealth</w:t>
      </w:r>
      <w:r w:rsidR="00C7733D" w:rsidRPr="00817B9F">
        <w:t xml:space="preserve"> Non-Managed Care</w:t>
      </w:r>
      <w:bookmarkEnd w:id="54"/>
      <w:bookmarkEnd w:id="55"/>
      <w:bookmarkEnd w:id="56"/>
    </w:p>
    <w:p w14:paraId="12629059" w14:textId="76E85D48" w:rsidR="002B009D" w:rsidRPr="00817B9F" w:rsidRDefault="002B009D" w:rsidP="00184D23">
      <w:pPr>
        <w:pStyle w:val="Heading4"/>
        <w:numPr>
          <w:ilvl w:val="0"/>
          <w:numId w:val="25"/>
        </w:numPr>
      </w:pPr>
      <w:r w:rsidRPr="00817B9F">
        <w:t>Inpatient Services</w:t>
      </w:r>
    </w:p>
    <w:p w14:paraId="0C5678A1" w14:textId="404A8DBF" w:rsidR="00610287" w:rsidRPr="00817B9F" w:rsidRDefault="00610287" w:rsidP="009C2A80">
      <w:pPr>
        <w:pStyle w:val="NumberedParagraphs"/>
      </w:pPr>
      <w:r w:rsidRPr="00817B9F">
        <w:t>For inpatient care provided at in-state hospitals</w:t>
      </w:r>
      <w:r w:rsidR="004920B6" w:rsidRPr="00817B9F">
        <w:t>,</w:t>
      </w:r>
      <w:r w:rsidRPr="00817B9F">
        <w:t xml:space="preserve"> </w:t>
      </w:r>
      <w:r w:rsidR="008D1836" w:rsidRPr="00817B9F">
        <w:t xml:space="preserve">MassHealth </w:t>
      </w:r>
      <w:r w:rsidR="004D0247" w:rsidRPr="00817B9F">
        <w:t>n</w:t>
      </w:r>
      <w:r w:rsidR="008D1836" w:rsidRPr="00817B9F">
        <w:t>on-</w:t>
      </w:r>
      <w:r w:rsidR="004D0247" w:rsidRPr="00817B9F">
        <w:t>m</w:t>
      </w:r>
      <w:r w:rsidR="008D1836" w:rsidRPr="00817B9F">
        <w:t xml:space="preserve">anaged </w:t>
      </w:r>
      <w:r w:rsidR="004D0247" w:rsidRPr="00817B9F">
        <w:t>c</w:t>
      </w:r>
      <w:r w:rsidR="008D1836" w:rsidRPr="00817B9F">
        <w:t xml:space="preserve">are </w:t>
      </w:r>
      <w:r w:rsidR="004D0247" w:rsidRPr="00817B9F">
        <w:t>uses</w:t>
      </w:r>
      <w:r w:rsidR="008D1836" w:rsidRPr="00817B9F">
        <w:t xml:space="preserve"> </w:t>
      </w:r>
      <w:r w:rsidR="00712D87" w:rsidRPr="00817B9F">
        <w:t>a standardized</w:t>
      </w:r>
      <w:r w:rsidR="008D1836" w:rsidRPr="00817B9F">
        <w:t xml:space="preserve"> </w:t>
      </w:r>
      <w:r w:rsidR="006C2C1C" w:rsidRPr="00817B9F">
        <w:t>a</w:t>
      </w:r>
      <w:r w:rsidR="00100FFE" w:rsidRPr="00817B9F">
        <w:t xml:space="preserve">djudicated </w:t>
      </w:r>
      <w:r w:rsidR="006C2C1C" w:rsidRPr="00817B9F">
        <w:t>p</w:t>
      </w:r>
      <w:r w:rsidR="00100FFE" w:rsidRPr="00817B9F">
        <w:t xml:space="preserve">ayment </w:t>
      </w:r>
      <w:r w:rsidR="003125E9" w:rsidRPr="00817B9F">
        <w:t>amount</w:t>
      </w:r>
      <w:r w:rsidR="00D3435F" w:rsidRPr="00817B9F">
        <w:t xml:space="preserve"> </w:t>
      </w:r>
      <w:r w:rsidR="00C2151E" w:rsidRPr="00817B9F">
        <w:t>p</w:t>
      </w:r>
      <w:r w:rsidR="00100FFE" w:rsidRPr="00817B9F">
        <w:t xml:space="preserve">er </w:t>
      </w:r>
      <w:r w:rsidR="006C2C1C" w:rsidRPr="00817B9F">
        <w:t>d</w:t>
      </w:r>
      <w:r w:rsidR="00100FFE" w:rsidRPr="00817B9F">
        <w:t>ischarge.</w:t>
      </w:r>
      <w:r w:rsidR="003125E9" w:rsidRPr="00817B9F">
        <w:t xml:space="preserve"> This amount is an all-inclusive payment that covers the entire acute inpatient stay for MassHealth </w:t>
      </w:r>
      <w:r w:rsidR="004D0247" w:rsidRPr="00817B9F">
        <w:t>n</w:t>
      </w:r>
      <w:r w:rsidR="003125E9" w:rsidRPr="00817B9F">
        <w:t>on-</w:t>
      </w:r>
      <w:r w:rsidR="004D0247" w:rsidRPr="00817B9F">
        <w:t>m</w:t>
      </w:r>
      <w:r w:rsidR="003125E9" w:rsidRPr="00817B9F">
        <w:t xml:space="preserve">anaged </w:t>
      </w:r>
      <w:r w:rsidR="004D0247" w:rsidRPr="00817B9F">
        <w:t>c</w:t>
      </w:r>
      <w:r w:rsidR="003125E9" w:rsidRPr="00817B9F">
        <w:t xml:space="preserve">are </w:t>
      </w:r>
      <w:r w:rsidR="00F12FBF" w:rsidRPr="00817B9F">
        <w:t>beneficiaries</w:t>
      </w:r>
      <w:r w:rsidR="003125E9" w:rsidRPr="00817B9F">
        <w:t xml:space="preserve">. </w:t>
      </w:r>
      <w:r w:rsidR="005007DE" w:rsidRPr="00817B9F">
        <w:t xml:space="preserve">The </w:t>
      </w:r>
      <w:r w:rsidR="00A91414" w:rsidRPr="00817B9F">
        <w:t xml:space="preserve">base payment </w:t>
      </w:r>
      <w:r w:rsidR="005007DE" w:rsidRPr="00817B9F">
        <w:t>amount</w:t>
      </w:r>
      <w:r w:rsidR="009A58CC" w:rsidRPr="00817B9F">
        <w:t xml:space="preserve"> </w:t>
      </w:r>
      <w:r w:rsidR="00F26F26" w:rsidRPr="00817B9F">
        <w:t>reflects</w:t>
      </w:r>
      <w:r w:rsidR="00B27D66" w:rsidRPr="00817B9F">
        <w:t xml:space="preserve"> </w:t>
      </w:r>
      <w:r w:rsidR="009A58CC" w:rsidRPr="00817B9F">
        <w:t>the</w:t>
      </w:r>
      <w:r w:rsidR="00B27D66" w:rsidRPr="00817B9F">
        <w:t xml:space="preserve"> statewide operating standard per discharge amount (adjusted </w:t>
      </w:r>
      <w:r w:rsidR="009A58CC" w:rsidRPr="00817B9F">
        <w:t xml:space="preserve">by each hospital’s wage area) and </w:t>
      </w:r>
      <w:r w:rsidR="00F26F26" w:rsidRPr="00817B9F">
        <w:t>the</w:t>
      </w:r>
      <w:r w:rsidR="009A58CC" w:rsidRPr="00817B9F">
        <w:t xml:space="preserve"> statewide capital standard per discharge amount.</w:t>
      </w:r>
      <w:r w:rsidR="00B40CDD" w:rsidRPr="00817B9F">
        <w:rPr>
          <w:rStyle w:val="FootnoteReference"/>
        </w:rPr>
        <w:footnoteReference w:id="92"/>
      </w:r>
      <w:r w:rsidR="000B7201" w:rsidRPr="00817B9F">
        <w:t xml:space="preserve"> We utilize the </w:t>
      </w:r>
      <w:r w:rsidR="00A91414" w:rsidRPr="00817B9F">
        <w:t>b</w:t>
      </w:r>
      <w:r w:rsidR="00FB54C6" w:rsidRPr="00817B9F">
        <w:t xml:space="preserve">ase </w:t>
      </w:r>
      <w:r w:rsidR="00A91414" w:rsidRPr="00817B9F">
        <w:t>p</w:t>
      </w:r>
      <w:r w:rsidR="00FB54C6" w:rsidRPr="00817B9F">
        <w:t xml:space="preserve">ayments made to in-state hospitals </w:t>
      </w:r>
      <w:r w:rsidR="009775CC" w:rsidRPr="00817B9F">
        <w:t xml:space="preserve">to construct the relative prices for inpatient care for MassHealth non-managed </w:t>
      </w:r>
      <w:r w:rsidR="001E18F5" w:rsidRPr="00817B9F">
        <w:t xml:space="preserve">care </w:t>
      </w:r>
      <w:r w:rsidR="009775CC" w:rsidRPr="00817B9F">
        <w:t xml:space="preserve">plan </w:t>
      </w:r>
      <w:r w:rsidR="009B7C7D" w:rsidRPr="00817B9F">
        <w:t>beneficiar</w:t>
      </w:r>
      <w:r w:rsidR="00F26F26" w:rsidRPr="00817B9F">
        <w:t>ies</w:t>
      </w:r>
      <w:r w:rsidR="00713001" w:rsidRPr="00817B9F">
        <w:t xml:space="preserve"> at each Massachusetts hospital</w:t>
      </w:r>
      <w:r w:rsidR="009775CC" w:rsidRPr="00817B9F">
        <w:t>.</w:t>
      </w:r>
      <w:r w:rsidR="00113591" w:rsidRPr="00817B9F">
        <w:rPr>
          <w:rStyle w:val="FootnoteReference"/>
        </w:rPr>
        <w:footnoteReference w:id="93"/>
      </w:r>
      <w:r w:rsidR="00C31344" w:rsidRPr="00817B9F">
        <w:rPr>
          <w:vertAlign w:val="superscript"/>
        </w:rPr>
        <w:t>,</w:t>
      </w:r>
      <w:r w:rsidR="00C31344" w:rsidRPr="00817B9F">
        <w:rPr>
          <w:rStyle w:val="FootnoteReference"/>
        </w:rPr>
        <w:footnoteReference w:id="94"/>
      </w:r>
    </w:p>
    <w:p w14:paraId="438BD2E4" w14:textId="6D351355" w:rsidR="00226AD5" w:rsidRPr="00817B9F" w:rsidRDefault="00D3553D" w:rsidP="007C2266">
      <w:pPr>
        <w:pStyle w:val="Heading4"/>
      </w:pPr>
      <w:bookmarkStart w:id="57" w:name="_Ref88595168"/>
      <w:bookmarkStart w:id="58" w:name="_Ref88647453"/>
      <w:r w:rsidRPr="00817B9F">
        <w:t xml:space="preserve">Outpatient </w:t>
      </w:r>
      <w:r w:rsidR="002B009D" w:rsidRPr="00817B9F">
        <w:t>Services</w:t>
      </w:r>
      <w:bookmarkEnd w:id="57"/>
      <w:bookmarkEnd w:id="58"/>
    </w:p>
    <w:p w14:paraId="148A9F58" w14:textId="734FD312" w:rsidR="000C5A52" w:rsidRPr="00817B9F" w:rsidRDefault="00C97065" w:rsidP="004125C9">
      <w:pPr>
        <w:pStyle w:val="NumberedParagraphs"/>
        <w:rPr>
          <w:rStyle w:val="FootnoteReference"/>
        </w:rPr>
      </w:pPr>
      <w:r w:rsidRPr="00817B9F">
        <w:t>For outpatient care provided at in-state hospitals</w:t>
      </w:r>
      <w:r w:rsidR="004920B6" w:rsidRPr="00817B9F">
        <w:t>,</w:t>
      </w:r>
      <w:r w:rsidRPr="00817B9F">
        <w:t xml:space="preserve"> MassHealth </w:t>
      </w:r>
      <w:r w:rsidR="00455819" w:rsidRPr="00817B9F">
        <w:t>n</w:t>
      </w:r>
      <w:r w:rsidRPr="00817B9F">
        <w:t>on-</w:t>
      </w:r>
      <w:r w:rsidR="00455819" w:rsidRPr="00817B9F">
        <w:t>m</w:t>
      </w:r>
      <w:r w:rsidRPr="00817B9F">
        <w:t xml:space="preserve">anaged </w:t>
      </w:r>
      <w:r w:rsidR="00B933AB" w:rsidRPr="00817B9F">
        <w:t>c</w:t>
      </w:r>
      <w:r w:rsidRPr="00817B9F">
        <w:t xml:space="preserve">are </w:t>
      </w:r>
      <w:r w:rsidR="00F1700E" w:rsidRPr="00817B9F">
        <w:t>has</w:t>
      </w:r>
      <w:r w:rsidRPr="00817B9F">
        <w:t xml:space="preserve"> a standardized </w:t>
      </w:r>
      <w:r w:rsidR="006028EA" w:rsidRPr="00817B9F">
        <w:t>a</w:t>
      </w:r>
      <w:r w:rsidRPr="00817B9F">
        <w:t xml:space="preserve">djudicated </w:t>
      </w:r>
      <w:r w:rsidR="006028EA" w:rsidRPr="00817B9F">
        <w:t>p</w:t>
      </w:r>
      <w:r w:rsidRPr="00817B9F">
        <w:t xml:space="preserve">ayment </w:t>
      </w:r>
      <w:r w:rsidR="000F105E" w:rsidRPr="00817B9F">
        <w:t>a</w:t>
      </w:r>
      <w:r w:rsidRPr="00817B9F">
        <w:t xml:space="preserve">mount </w:t>
      </w:r>
      <w:r w:rsidR="000F105E" w:rsidRPr="00817B9F">
        <w:t>p</w:t>
      </w:r>
      <w:r w:rsidRPr="00817B9F">
        <w:t xml:space="preserve">er </w:t>
      </w:r>
      <w:r w:rsidR="000F105E" w:rsidRPr="00817B9F">
        <w:t>e</w:t>
      </w:r>
      <w:r w:rsidR="00DD59BC" w:rsidRPr="00817B9F">
        <w:t xml:space="preserve">pisode of </w:t>
      </w:r>
      <w:r w:rsidR="000F105E" w:rsidRPr="00817B9F">
        <w:t>c</w:t>
      </w:r>
      <w:r w:rsidR="00DD59BC" w:rsidRPr="00817B9F">
        <w:t>are</w:t>
      </w:r>
      <w:r w:rsidRPr="00817B9F">
        <w:t xml:space="preserve"> </w:t>
      </w:r>
      <w:r w:rsidR="000F105E" w:rsidRPr="00817B9F">
        <w:t>(</w:t>
      </w:r>
      <w:r w:rsidR="000F105E" w:rsidRPr="00817B9F">
        <w:rPr>
          <w:i/>
          <w:iCs/>
        </w:rPr>
        <w:t>i.e.</w:t>
      </w:r>
      <w:r w:rsidR="000F105E" w:rsidRPr="00817B9F">
        <w:t>, per outpatient visit)</w:t>
      </w:r>
      <w:r w:rsidRPr="00817B9F">
        <w:t>.</w:t>
      </w:r>
      <w:r w:rsidRPr="00817B9F">
        <w:rPr>
          <w:rStyle w:val="FootnoteReference"/>
        </w:rPr>
        <w:footnoteReference w:id="95"/>
      </w:r>
      <w:r w:rsidRPr="00817B9F">
        <w:t xml:space="preserve"> We </w:t>
      </w:r>
      <w:r w:rsidRPr="00817B9F">
        <w:lastRenderedPageBreak/>
        <w:t xml:space="preserve">utilize </w:t>
      </w:r>
      <w:r w:rsidR="000A21B2" w:rsidRPr="00817B9F">
        <w:t>this</w:t>
      </w:r>
      <w:r w:rsidRPr="00817B9F">
        <w:t xml:space="preserve"> </w:t>
      </w:r>
      <w:r w:rsidR="00315755" w:rsidRPr="00817B9F">
        <w:t>standardized adjudicated payment amount per episode of care</w:t>
      </w:r>
      <w:r w:rsidR="007101F4" w:rsidRPr="00817B9F">
        <w:t xml:space="preserve"> to construct relative prices at in-state hospitals </w:t>
      </w:r>
      <w:r w:rsidR="00E42A05" w:rsidRPr="00817B9F">
        <w:t>or outpatient services</w:t>
      </w:r>
      <w:r w:rsidRPr="00817B9F">
        <w:t>.</w:t>
      </w:r>
      <w:r w:rsidR="00CB0640" w:rsidRPr="00817B9F">
        <w:rPr>
          <w:rStyle w:val="FootnoteReference"/>
        </w:rPr>
        <w:t xml:space="preserve"> </w:t>
      </w:r>
      <w:r w:rsidR="00CB0640" w:rsidRPr="00817B9F">
        <w:rPr>
          <w:rStyle w:val="FootnoteReference"/>
        </w:rPr>
        <w:footnoteReference w:id="96"/>
      </w:r>
    </w:p>
    <w:p w14:paraId="260153FB" w14:textId="2BCD238F" w:rsidR="000A21B2" w:rsidRPr="00817B9F" w:rsidRDefault="000A21B2" w:rsidP="009C2A80">
      <w:pPr>
        <w:pStyle w:val="NumberedParagraphs"/>
      </w:pPr>
      <w:r w:rsidRPr="00817B9F">
        <w:t xml:space="preserve">For outpatient diagnostic imaging services provided </w:t>
      </w:r>
      <w:r w:rsidR="00197294" w:rsidRPr="00817B9F">
        <w:t>in a non-</w:t>
      </w:r>
      <w:r w:rsidR="00B53DD8" w:rsidRPr="00817B9F">
        <w:t>hospital setting</w:t>
      </w:r>
      <w:r w:rsidRPr="00817B9F">
        <w:t>, MassHealth non-managed care has a single fee schedule where reimbursement for the same diagnostic imaging service is the same regardless of where the service was provided.</w:t>
      </w:r>
      <w:r w:rsidRPr="00817B9F">
        <w:rPr>
          <w:rStyle w:val="FootnoteReference"/>
        </w:rPr>
        <w:footnoteReference w:id="97"/>
      </w:r>
      <w:r w:rsidRPr="00817B9F">
        <w:t xml:space="preserve"> As such, we do not expect any changes to health care expenditures for MassHealth non-managed care related to changes in where diagnostic imaging services are rendered</w:t>
      </w:r>
      <w:r w:rsidR="000D0A85" w:rsidRPr="00817B9F">
        <w:t>, when rendered outside of a hospital</w:t>
      </w:r>
      <w:r w:rsidRPr="00817B9F">
        <w:t>.</w:t>
      </w:r>
      <w:r w:rsidR="006E36EB" w:rsidRPr="00817B9F">
        <w:rPr>
          <w:rStyle w:val="CommentReference"/>
          <w:rFonts w:eastAsiaTheme="minorEastAsia"/>
          <w:sz w:val="24"/>
          <w:szCs w:val="24"/>
        </w:rPr>
        <w:t xml:space="preserve"> </w:t>
      </w:r>
    </w:p>
    <w:p w14:paraId="48D55DB0" w14:textId="10EC96B6" w:rsidR="00086172" w:rsidRPr="00817B9F" w:rsidRDefault="00521C3B" w:rsidP="00086172">
      <w:pPr>
        <w:pStyle w:val="NumberedParagraphs"/>
      </w:pPr>
      <w:bookmarkStart w:id="59" w:name="_Hlk88992532"/>
      <w:r w:rsidRPr="00817B9F">
        <w:t>W</w:t>
      </w:r>
      <w:r w:rsidR="00086172" w:rsidRPr="00817B9F">
        <w:t xml:space="preserve">e estimate cost savings </w:t>
      </w:r>
      <w:r w:rsidR="00064B2C" w:rsidRPr="00817B9F">
        <w:t xml:space="preserve">specific to </w:t>
      </w:r>
      <w:r w:rsidR="00DB6D1A" w:rsidRPr="00817B9F">
        <w:t>each service associated with instances when</w:t>
      </w:r>
      <w:r w:rsidR="004D78D6" w:rsidRPr="00817B9F">
        <w:t xml:space="preserve"> a </w:t>
      </w:r>
      <w:r w:rsidR="00086172" w:rsidRPr="00817B9F">
        <w:t xml:space="preserve">MassHealth </w:t>
      </w:r>
      <w:r w:rsidR="00434A0D" w:rsidRPr="00817B9F">
        <w:t>n</w:t>
      </w:r>
      <w:r w:rsidR="00086172" w:rsidRPr="00817B9F">
        <w:t>on-</w:t>
      </w:r>
      <w:r w:rsidR="00434A0D" w:rsidRPr="00817B9F">
        <w:t>m</w:t>
      </w:r>
      <w:r w:rsidR="00086172" w:rsidRPr="00817B9F">
        <w:t xml:space="preserve">anaged </w:t>
      </w:r>
      <w:r w:rsidR="000E4437" w:rsidRPr="00817B9F">
        <w:t xml:space="preserve">care patient </w:t>
      </w:r>
      <w:r w:rsidR="004D78D6" w:rsidRPr="00817B9F">
        <w:t>shifts</w:t>
      </w:r>
      <w:r w:rsidR="00086172" w:rsidRPr="00817B9F">
        <w:t xml:space="preserve"> </w:t>
      </w:r>
      <w:r w:rsidR="00CA7802" w:rsidRPr="00817B9F">
        <w:t xml:space="preserve">from </w:t>
      </w:r>
      <w:r w:rsidR="00D67648" w:rsidRPr="00817B9F">
        <w:t>receivi</w:t>
      </w:r>
      <w:r w:rsidR="00DA7623" w:rsidRPr="00817B9F">
        <w:t>n</w:t>
      </w:r>
      <w:r w:rsidR="00D67648" w:rsidRPr="00817B9F">
        <w:t xml:space="preserve">g outpatient </w:t>
      </w:r>
      <w:r w:rsidR="00086172" w:rsidRPr="00817B9F">
        <w:t xml:space="preserve">services </w:t>
      </w:r>
      <w:r w:rsidR="00496507" w:rsidRPr="00817B9F">
        <w:t xml:space="preserve">at </w:t>
      </w:r>
      <w:r w:rsidR="00CD0363" w:rsidRPr="00817B9F">
        <w:t xml:space="preserve">an </w:t>
      </w:r>
      <w:r w:rsidR="00086172" w:rsidRPr="00817B9F">
        <w:t xml:space="preserve">HOPD to </w:t>
      </w:r>
      <w:r w:rsidR="00CD0363" w:rsidRPr="00817B9F">
        <w:t xml:space="preserve">an </w:t>
      </w:r>
      <w:r w:rsidR="00086172" w:rsidRPr="00817B9F">
        <w:t>ASC.</w:t>
      </w:r>
      <w:r w:rsidR="004D78D6" w:rsidRPr="00817B9F">
        <w:rPr>
          <w:rStyle w:val="FootnoteReference"/>
        </w:rPr>
        <w:footnoteReference w:id="98"/>
      </w:r>
      <w:r w:rsidR="00086172" w:rsidRPr="00817B9F">
        <w:t xml:space="preserve"> </w:t>
      </w:r>
      <w:r w:rsidR="00DB6D1A" w:rsidRPr="00817B9F">
        <w:t>We estimate t</w:t>
      </w:r>
      <w:r w:rsidR="00CD0363" w:rsidRPr="00817B9F">
        <w:t>hese</w:t>
      </w:r>
      <w:r w:rsidR="009A4355" w:rsidRPr="00817B9F">
        <w:t xml:space="preserve"> cost savings </w:t>
      </w:r>
      <w:r w:rsidR="00E04120" w:rsidRPr="00817B9F">
        <w:t>using a combination of the APCD and</w:t>
      </w:r>
      <w:r w:rsidR="00FE53D9" w:rsidRPr="00817B9F">
        <w:t xml:space="preserve"> MassHealth fee schedules.</w:t>
      </w:r>
      <w:r w:rsidR="005B74D8" w:rsidRPr="00817B9F">
        <w:t xml:space="preserve"> </w:t>
      </w:r>
      <w:r w:rsidR="00FE53D9" w:rsidRPr="00817B9F">
        <w:t>For outpatient services</w:t>
      </w:r>
      <w:r w:rsidR="005B74D8" w:rsidRPr="00817B9F">
        <w:t xml:space="preserve"> we </w:t>
      </w:r>
      <w:r w:rsidR="00086172" w:rsidRPr="00817B9F">
        <w:t xml:space="preserve">limit </w:t>
      </w:r>
      <w:r w:rsidR="00C55022" w:rsidRPr="00817B9F">
        <w:t xml:space="preserve">the </w:t>
      </w:r>
      <w:r w:rsidR="00086172" w:rsidRPr="00817B9F">
        <w:t xml:space="preserve">APCD to </w:t>
      </w:r>
      <w:r w:rsidR="000E4437" w:rsidRPr="00817B9F">
        <w:t>the relevant</w:t>
      </w:r>
      <w:r w:rsidR="00086172" w:rsidRPr="00817B9F">
        <w:t xml:space="preserve"> services </w:t>
      </w:r>
      <w:r w:rsidR="000E4437" w:rsidRPr="00817B9F">
        <w:t xml:space="preserve">as </w:t>
      </w:r>
      <w:r w:rsidR="00A34B1E" w:rsidRPr="00817B9F">
        <w:t>identified</w:t>
      </w:r>
      <w:r w:rsidR="000E4437" w:rsidRPr="00817B9F">
        <w:t xml:space="preserve"> </w:t>
      </w:r>
      <w:r w:rsidR="00CD0363" w:rsidRPr="00817B9F">
        <w:t xml:space="preserve">in Section </w:t>
      </w:r>
      <w:r w:rsidR="00CD0363" w:rsidRPr="00817B9F">
        <w:fldChar w:fldCharType="begin"/>
      </w:r>
      <w:r w:rsidR="00CD0363" w:rsidRPr="00817B9F">
        <w:instrText xml:space="preserve"> REF _Ref88655817 \r \h </w:instrText>
      </w:r>
      <w:r w:rsidR="00FD09F0" w:rsidRPr="00817B9F">
        <w:instrText xml:space="preserve"> \* MERGEFORMAT </w:instrText>
      </w:r>
      <w:r w:rsidR="00CD0363" w:rsidRPr="00817B9F">
        <w:fldChar w:fldCharType="separate"/>
      </w:r>
      <w:r w:rsidR="002B78C3">
        <w:t>III</w:t>
      </w:r>
      <w:r w:rsidR="00CD0363" w:rsidRPr="00817B9F">
        <w:fldChar w:fldCharType="end"/>
      </w:r>
      <w:r w:rsidR="00764948" w:rsidRPr="00817B9F">
        <w:t>.</w:t>
      </w:r>
      <w:r w:rsidR="00764948" w:rsidRPr="00817B9F">
        <w:fldChar w:fldCharType="begin"/>
      </w:r>
      <w:r w:rsidR="00764948" w:rsidRPr="00817B9F">
        <w:instrText xml:space="preserve"> REF _Ref88219827 \r \h </w:instrText>
      </w:r>
      <w:r w:rsidR="00FD09F0" w:rsidRPr="00817B9F">
        <w:instrText xml:space="preserve"> \* MERGEFORMAT </w:instrText>
      </w:r>
      <w:r w:rsidR="00764948" w:rsidRPr="00817B9F">
        <w:fldChar w:fldCharType="separate"/>
      </w:r>
      <w:r w:rsidR="002B78C3">
        <w:t>B</w:t>
      </w:r>
      <w:r w:rsidR="00764948" w:rsidRPr="00817B9F">
        <w:fldChar w:fldCharType="end"/>
      </w:r>
      <w:r w:rsidR="006A5ADB" w:rsidRPr="00817B9F">
        <w:t>.</w:t>
      </w:r>
      <w:r w:rsidR="0082441B" w:rsidRPr="00817B9F">
        <w:fldChar w:fldCharType="begin"/>
      </w:r>
      <w:r w:rsidR="0082441B" w:rsidRPr="00817B9F">
        <w:instrText xml:space="preserve"> REF _Ref89017144 \n \h </w:instrText>
      </w:r>
      <w:r w:rsidR="00FD09F0" w:rsidRPr="00817B9F">
        <w:instrText xml:space="preserve"> \* MERGEFORMAT </w:instrText>
      </w:r>
      <w:r w:rsidR="0082441B" w:rsidRPr="00817B9F">
        <w:fldChar w:fldCharType="separate"/>
      </w:r>
      <w:r w:rsidR="002B78C3">
        <w:t>2</w:t>
      </w:r>
      <w:r w:rsidR="0082441B" w:rsidRPr="00817B9F">
        <w:fldChar w:fldCharType="end"/>
      </w:r>
      <w:r w:rsidR="00727ED9" w:rsidRPr="00817B9F">
        <w:t xml:space="preserve"> for patients enrolled in MassHealth non-managed care</w:t>
      </w:r>
      <w:r w:rsidR="00535C1B" w:rsidRPr="00817B9F">
        <w:t xml:space="preserve">. </w:t>
      </w:r>
      <w:r w:rsidR="00FE53D9" w:rsidRPr="00817B9F">
        <w:t>Then</w:t>
      </w:r>
      <w:r w:rsidR="00146BB0" w:rsidRPr="00817B9F">
        <w:t xml:space="preserve">, </w:t>
      </w:r>
      <w:r w:rsidR="004C383E" w:rsidRPr="00817B9F">
        <w:t>separately for ASCs and HOPDs</w:t>
      </w:r>
      <w:r w:rsidR="00146BB0" w:rsidRPr="00817B9F">
        <w:t>, we</w:t>
      </w:r>
      <w:r w:rsidR="00086172" w:rsidRPr="00817B9F">
        <w:t xml:space="preserve"> calculate the </w:t>
      </w:r>
      <w:r w:rsidR="00727ED9" w:rsidRPr="00817B9F">
        <w:t xml:space="preserve">amount that </w:t>
      </w:r>
      <w:r w:rsidR="00EA40E1" w:rsidRPr="00817B9F">
        <w:t>MassHeal</w:t>
      </w:r>
      <w:r w:rsidR="00316883" w:rsidRPr="00817B9F">
        <w:t xml:space="preserve">th non-managed care </w:t>
      </w:r>
      <w:r w:rsidR="00727ED9" w:rsidRPr="00817B9F">
        <w:t>plans reimbursed</w:t>
      </w:r>
      <w:r w:rsidR="00086172" w:rsidRPr="00817B9F">
        <w:t xml:space="preserve"> </w:t>
      </w:r>
      <w:r w:rsidR="00EA40E1" w:rsidRPr="00817B9F">
        <w:t xml:space="preserve">for </w:t>
      </w:r>
      <w:r w:rsidR="004719BB" w:rsidRPr="00817B9F">
        <w:t xml:space="preserve">each </w:t>
      </w:r>
      <w:r w:rsidR="00146BB0" w:rsidRPr="00817B9F">
        <w:t xml:space="preserve">outpatient </w:t>
      </w:r>
      <w:r w:rsidR="00EA40E1" w:rsidRPr="00817B9F">
        <w:t>service</w:t>
      </w:r>
      <w:r w:rsidR="00086172" w:rsidRPr="00817B9F">
        <w:t xml:space="preserve"> </w:t>
      </w:r>
      <w:r w:rsidR="00727ED9" w:rsidRPr="00817B9F">
        <w:t>relative to what</w:t>
      </w:r>
      <w:r w:rsidR="003221F9" w:rsidRPr="00817B9F">
        <w:t xml:space="preserve"> </w:t>
      </w:r>
      <w:r w:rsidR="006B7728" w:rsidRPr="00817B9F">
        <w:t xml:space="preserve">Original </w:t>
      </w:r>
      <w:r w:rsidR="003221F9" w:rsidRPr="00817B9F">
        <w:t>Medicare</w:t>
      </w:r>
      <w:r w:rsidR="002E79C1" w:rsidRPr="00817B9F">
        <w:t xml:space="preserve"> </w:t>
      </w:r>
      <w:r w:rsidR="005405B2" w:rsidRPr="00817B9F">
        <w:t>would have paid</w:t>
      </w:r>
      <w:r w:rsidR="00EA40E1" w:rsidRPr="00817B9F">
        <w:t xml:space="preserve"> </w:t>
      </w:r>
      <w:r w:rsidR="003B0BEE" w:rsidRPr="00817B9F">
        <w:t xml:space="preserve">for </w:t>
      </w:r>
      <w:r w:rsidR="005405B2" w:rsidRPr="00817B9F">
        <w:t xml:space="preserve">the </w:t>
      </w:r>
      <w:r w:rsidR="00D76F28" w:rsidRPr="00817B9F">
        <w:t>same service at an HOPD</w:t>
      </w:r>
      <w:r w:rsidR="00086172" w:rsidRPr="00817B9F">
        <w:t xml:space="preserve">. </w:t>
      </w:r>
      <w:r w:rsidR="00D76F28" w:rsidRPr="00817B9F">
        <w:t>Finally</w:t>
      </w:r>
      <w:r w:rsidR="00764948" w:rsidRPr="00817B9F">
        <w:t xml:space="preserve">, </w:t>
      </w:r>
      <w:r w:rsidR="000E4437" w:rsidRPr="00817B9F">
        <w:t xml:space="preserve">we construct a common basket </w:t>
      </w:r>
      <w:r w:rsidR="00A34B1E" w:rsidRPr="00817B9F">
        <w:t xml:space="preserve">of services that is </w:t>
      </w:r>
      <w:r w:rsidR="000E4437" w:rsidRPr="00817B9F">
        <w:t>offered</w:t>
      </w:r>
      <w:r w:rsidR="00086172" w:rsidRPr="00817B9F">
        <w:t xml:space="preserve"> </w:t>
      </w:r>
      <w:r w:rsidR="00CD1EFC" w:rsidRPr="00817B9F">
        <w:t xml:space="preserve">at both ASCs and HOPDs </w:t>
      </w:r>
      <w:r w:rsidR="00A34B1E" w:rsidRPr="00817B9F">
        <w:t>and</w:t>
      </w:r>
      <w:r w:rsidR="00086172" w:rsidRPr="00817B9F">
        <w:t xml:space="preserve"> </w:t>
      </w:r>
      <w:r w:rsidR="004D5CE8" w:rsidRPr="00817B9F">
        <w:t>calculate</w:t>
      </w:r>
      <w:r w:rsidR="00086172" w:rsidRPr="00817B9F">
        <w:t xml:space="preserve"> the average ratio of ASC to HOPD relative prices.</w:t>
      </w:r>
      <w:r w:rsidR="003B2A37" w:rsidRPr="00817B9F">
        <w:t xml:space="preserve"> </w:t>
      </w:r>
      <w:r w:rsidR="00FE53D9" w:rsidRPr="00817B9F">
        <w:t xml:space="preserve">For </w:t>
      </w:r>
      <w:r w:rsidR="00E31FCF" w:rsidRPr="00817B9F">
        <w:t xml:space="preserve">diagnostic imaging </w:t>
      </w:r>
      <w:r w:rsidR="00F25929" w:rsidRPr="00817B9F">
        <w:t>services</w:t>
      </w:r>
      <w:r w:rsidR="00E31FCF" w:rsidRPr="00817B9F">
        <w:t xml:space="preserve"> we compare the technical component indicated in the MassHealth </w:t>
      </w:r>
      <w:r w:rsidR="00F25929" w:rsidRPr="00817B9F">
        <w:t>r</w:t>
      </w:r>
      <w:r w:rsidR="00F41B50" w:rsidRPr="00817B9F">
        <w:t xml:space="preserve">adiology fee schedule to the rates for the same services </w:t>
      </w:r>
      <w:r w:rsidR="00F25929" w:rsidRPr="00817B9F">
        <w:t xml:space="preserve">paid to </w:t>
      </w:r>
      <w:r w:rsidR="00F41B50" w:rsidRPr="00817B9F">
        <w:t>in-state hospitals described above.</w:t>
      </w:r>
      <w:r w:rsidR="00F25929" w:rsidRPr="00817B9F">
        <w:t xml:space="preserve"> </w:t>
      </w:r>
    </w:p>
    <w:p w14:paraId="09A95A11" w14:textId="0C074113" w:rsidR="00D3553D" w:rsidRPr="00817B9F" w:rsidRDefault="00FB1157" w:rsidP="007C2266">
      <w:pPr>
        <w:pStyle w:val="Heading3"/>
      </w:pPr>
      <w:bookmarkStart w:id="60" w:name="_Ref88595177"/>
      <w:bookmarkStart w:id="61" w:name="_Ref88595740"/>
      <w:bookmarkStart w:id="62" w:name="_Ref88596034"/>
      <w:bookmarkStart w:id="63" w:name="_Toc90046505"/>
      <w:bookmarkEnd w:id="59"/>
      <w:r w:rsidRPr="00817B9F">
        <w:lastRenderedPageBreak/>
        <w:t xml:space="preserve">Relative Prices for </w:t>
      </w:r>
      <w:r w:rsidR="00D3553D" w:rsidRPr="00817B9F">
        <w:t>Original Medicare</w:t>
      </w:r>
      <w:bookmarkEnd w:id="60"/>
      <w:bookmarkEnd w:id="61"/>
      <w:bookmarkEnd w:id="62"/>
      <w:bookmarkEnd w:id="63"/>
      <w:r w:rsidR="003B2A37" w:rsidRPr="00817B9F">
        <w:t xml:space="preserve"> </w:t>
      </w:r>
    </w:p>
    <w:p w14:paraId="4529EC10" w14:textId="18BFD164" w:rsidR="005024ED" w:rsidRPr="00817B9F" w:rsidRDefault="005024ED" w:rsidP="003360BD">
      <w:pPr>
        <w:pStyle w:val="Heading4"/>
        <w:numPr>
          <w:ilvl w:val="0"/>
          <w:numId w:val="41"/>
        </w:numPr>
      </w:pPr>
      <w:r w:rsidRPr="00817B9F">
        <w:t xml:space="preserve">Inpatient Services </w:t>
      </w:r>
    </w:p>
    <w:p w14:paraId="2F57A9FF" w14:textId="53C3403A" w:rsidR="00DF20FB" w:rsidRPr="00817B9F" w:rsidRDefault="00DF20FB" w:rsidP="005024ED">
      <w:pPr>
        <w:pStyle w:val="NumberedParagraphs"/>
      </w:pPr>
      <w:r w:rsidRPr="00817B9F">
        <w:t xml:space="preserve">For inpatient care provided at </w:t>
      </w:r>
      <w:r w:rsidR="007D5802" w:rsidRPr="00817B9F">
        <w:t>short-</w:t>
      </w:r>
      <w:r w:rsidR="00DC38A3" w:rsidRPr="00817B9F">
        <w:t>term acute</w:t>
      </w:r>
      <w:r w:rsidR="007D5802" w:rsidRPr="00817B9F">
        <w:t xml:space="preserve"> </w:t>
      </w:r>
      <w:r w:rsidR="00DC38A3" w:rsidRPr="00817B9F">
        <w:t xml:space="preserve">care </w:t>
      </w:r>
      <w:r w:rsidRPr="00817B9F">
        <w:t xml:space="preserve">hospitals, </w:t>
      </w:r>
      <w:r w:rsidR="00DC38A3" w:rsidRPr="00817B9F">
        <w:t>Original Medicare pays</w:t>
      </w:r>
      <w:r w:rsidRPr="00817B9F">
        <w:t xml:space="preserve"> a standardized </w:t>
      </w:r>
      <w:r w:rsidR="00DC38A3" w:rsidRPr="00817B9F">
        <w:t>per-discharge amount</w:t>
      </w:r>
      <w:r w:rsidR="004B6C89" w:rsidRPr="00817B9F">
        <w:t xml:space="preserve"> under the Inpatient Prospective Payment System</w:t>
      </w:r>
      <w:r w:rsidRPr="00817B9F">
        <w:t xml:space="preserve">. </w:t>
      </w:r>
      <w:r w:rsidR="001C0E2A" w:rsidRPr="00817B9F">
        <w:t>This</w:t>
      </w:r>
      <w:r w:rsidRPr="00817B9F">
        <w:t xml:space="preserve"> amount </w:t>
      </w:r>
      <w:r w:rsidR="00357009" w:rsidRPr="00817B9F">
        <w:t>reflects</w:t>
      </w:r>
      <w:r w:rsidRPr="00817B9F">
        <w:t xml:space="preserve"> the </w:t>
      </w:r>
      <w:r w:rsidR="001C0E2A" w:rsidRPr="00817B9F">
        <w:t xml:space="preserve">national </w:t>
      </w:r>
      <w:r w:rsidR="00F62D43" w:rsidRPr="00817B9F">
        <w:t>standardized</w:t>
      </w:r>
      <w:r w:rsidRPr="00817B9F">
        <w:t xml:space="preserve"> </w:t>
      </w:r>
      <w:r w:rsidR="00357009" w:rsidRPr="00817B9F">
        <w:t xml:space="preserve">base </w:t>
      </w:r>
      <w:r w:rsidRPr="00817B9F">
        <w:t xml:space="preserve">operating </w:t>
      </w:r>
      <w:r w:rsidR="00F62D43" w:rsidRPr="00817B9F">
        <w:t xml:space="preserve">and </w:t>
      </w:r>
      <w:r w:rsidR="00357009" w:rsidRPr="00817B9F">
        <w:t xml:space="preserve">base </w:t>
      </w:r>
      <w:r w:rsidR="00F62D43" w:rsidRPr="00817B9F">
        <w:t xml:space="preserve">capital </w:t>
      </w:r>
      <w:r w:rsidR="00357009" w:rsidRPr="00817B9F">
        <w:t>payment amounts</w:t>
      </w:r>
      <w:r w:rsidRPr="00817B9F">
        <w:t>.</w:t>
      </w:r>
      <w:r w:rsidR="00F53DE7" w:rsidRPr="00817B9F">
        <w:t xml:space="preserve"> This standardized</w:t>
      </w:r>
      <w:r w:rsidRPr="00817B9F">
        <w:t xml:space="preserve"> per</w:t>
      </w:r>
      <w:r w:rsidR="00F53DE7" w:rsidRPr="00817B9F">
        <w:t>-</w:t>
      </w:r>
      <w:r w:rsidRPr="00817B9F">
        <w:t xml:space="preserve">discharge amount </w:t>
      </w:r>
      <w:r w:rsidR="00F53DE7" w:rsidRPr="00817B9F">
        <w:t xml:space="preserve">is then </w:t>
      </w:r>
      <w:r w:rsidRPr="00817B9F">
        <w:t xml:space="preserve">adjusted </w:t>
      </w:r>
      <w:r w:rsidR="00F53DE7" w:rsidRPr="00817B9F">
        <w:t>to reflect hospital</w:t>
      </w:r>
      <w:r w:rsidR="009F7574" w:rsidRPr="00817B9F">
        <w:t>-</w:t>
      </w:r>
      <w:r w:rsidR="00F53DE7" w:rsidRPr="00817B9F">
        <w:t xml:space="preserve">specific </w:t>
      </w:r>
      <w:r w:rsidR="007018ED" w:rsidRPr="00817B9F">
        <w:t>differences</w:t>
      </w:r>
      <w:r w:rsidR="00E56E62" w:rsidRPr="00817B9F">
        <w:t xml:space="preserve"> i</w:t>
      </w:r>
      <w:r w:rsidR="007D5802" w:rsidRPr="00817B9F">
        <w:t>n</w:t>
      </w:r>
      <w:r w:rsidR="00E56E62" w:rsidRPr="00817B9F">
        <w:t xml:space="preserve"> costs</w:t>
      </w:r>
      <w:r w:rsidR="005C24A6" w:rsidRPr="00817B9F">
        <w:t xml:space="preserve"> to </w:t>
      </w:r>
      <w:r w:rsidR="00357009" w:rsidRPr="00817B9F">
        <w:t>determine</w:t>
      </w:r>
      <w:r w:rsidR="005C24A6" w:rsidRPr="00817B9F">
        <w:t xml:space="preserve"> each hospital’s base payment</w:t>
      </w:r>
      <w:r w:rsidR="00E56E62" w:rsidRPr="00817B9F">
        <w:t>.</w:t>
      </w:r>
      <w:r w:rsidR="007018ED" w:rsidRPr="00817B9F">
        <w:rPr>
          <w:rStyle w:val="FootnoteReference"/>
        </w:rPr>
        <w:footnoteReference w:id="99"/>
      </w:r>
      <w:r w:rsidR="00355395" w:rsidRPr="00817B9F">
        <w:t xml:space="preserve"> </w:t>
      </w:r>
      <w:r w:rsidRPr="00817B9F">
        <w:t xml:space="preserve">We utilize </w:t>
      </w:r>
      <w:r w:rsidR="008C0BCA" w:rsidRPr="00817B9F">
        <w:t>each hospital’s b</w:t>
      </w:r>
      <w:r w:rsidRPr="00817B9F">
        <w:t xml:space="preserve">ase </w:t>
      </w:r>
      <w:r w:rsidR="008C0BCA" w:rsidRPr="00817B9F">
        <w:t>pa</w:t>
      </w:r>
      <w:r w:rsidRPr="00817B9F">
        <w:t xml:space="preserve">yment to construct the relative prices for inpatient care for </w:t>
      </w:r>
      <w:r w:rsidR="008C0BCA" w:rsidRPr="00817B9F">
        <w:t>Original Medicare</w:t>
      </w:r>
      <w:r w:rsidRPr="00817B9F">
        <w:t>.</w:t>
      </w:r>
      <w:r w:rsidR="00707F2C" w:rsidRPr="00817B9F">
        <w:rPr>
          <w:rStyle w:val="FootnoteReference"/>
        </w:rPr>
        <w:footnoteReference w:id="100"/>
      </w:r>
    </w:p>
    <w:p w14:paraId="769E8366" w14:textId="4508F92A" w:rsidR="00AA0BF6" w:rsidRPr="00817B9F" w:rsidRDefault="00D3553D" w:rsidP="007C2266">
      <w:pPr>
        <w:pStyle w:val="Heading4"/>
      </w:pPr>
      <w:bookmarkStart w:id="64" w:name="_Ref88595179"/>
      <w:bookmarkStart w:id="65" w:name="_Ref88595744"/>
      <w:bookmarkStart w:id="66" w:name="_Ref88596036"/>
      <w:r w:rsidRPr="00817B9F">
        <w:t xml:space="preserve">Outpatient </w:t>
      </w:r>
      <w:r w:rsidR="00771A6E" w:rsidRPr="00817B9F">
        <w:t>Services</w:t>
      </w:r>
      <w:bookmarkEnd w:id="64"/>
      <w:bookmarkEnd w:id="65"/>
      <w:bookmarkEnd w:id="66"/>
    </w:p>
    <w:p w14:paraId="3A032ADB" w14:textId="4F32D59C" w:rsidR="000E2776" w:rsidRPr="00817B9F" w:rsidRDefault="00E91CA8" w:rsidP="001A5323">
      <w:pPr>
        <w:pStyle w:val="NumberedParagraphs"/>
      </w:pPr>
      <w:r w:rsidRPr="00817B9F">
        <w:t>Original</w:t>
      </w:r>
      <w:r w:rsidR="00765E8F" w:rsidRPr="00817B9F">
        <w:t xml:space="preserve"> </w:t>
      </w:r>
      <w:r w:rsidRPr="00817B9F">
        <w:t>Medicare</w:t>
      </w:r>
      <w:r w:rsidR="00765E8F" w:rsidRPr="00817B9F">
        <w:t xml:space="preserve"> </w:t>
      </w:r>
      <w:r w:rsidR="004B6C89" w:rsidRPr="00817B9F">
        <w:t>pays for services rendered in HOPDs using</w:t>
      </w:r>
      <w:r w:rsidR="003730E3" w:rsidRPr="00817B9F">
        <w:t xml:space="preserve"> the </w:t>
      </w:r>
      <w:r w:rsidR="00EF62E3" w:rsidRPr="00817B9F">
        <w:t>OPPS</w:t>
      </w:r>
      <w:r w:rsidRPr="00817B9F">
        <w:t>.</w:t>
      </w:r>
      <w:r w:rsidR="004A6EA8" w:rsidRPr="00817B9F">
        <w:rPr>
          <w:rStyle w:val="FootnoteReference"/>
        </w:rPr>
        <w:footnoteReference w:id="101"/>
      </w:r>
      <w:r w:rsidR="00575730" w:rsidRPr="00817B9F">
        <w:t xml:space="preserve"> </w:t>
      </w:r>
      <w:r w:rsidR="00EF62E3" w:rsidRPr="00817B9F">
        <w:t>Under</w:t>
      </w:r>
      <w:r w:rsidR="00C50E4F" w:rsidRPr="00817B9F">
        <w:t xml:space="preserve"> </w:t>
      </w:r>
      <w:r w:rsidR="00EF62E3" w:rsidRPr="00817B9F">
        <w:t>the OPPS</w:t>
      </w:r>
      <w:r w:rsidR="00C50E4F" w:rsidRPr="00817B9F">
        <w:t>, t</w:t>
      </w:r>
      <w:r w:rsidR="00575730" w:rsidRPr="00817B9F">
        <w:t xml:space="preserve">he fees </w:t>
      </w:r>
      <w:r w:rsidR="00C50E4F" w:rsidRPr="00817B9F">
        <w:t>paid to HOPDs</w:t>
      </w:r>
      <w:r w:rsidR="007356A0" w:rsidRPr="00817B9F">
        <w:t xml:space="preserve"> are adjusted for </w:t>
      </w:r>
      <w:r w:rsidR="00CB2202" w:rsidRPr="00817B9F">
        <w:t>regional variation i</w:t>
      </w:r>
      <w:r w:rsidR="0072780C" w:rsidRPr="00817B9F">
        <w:t>n</w:t>
      </w:r>
      <w:r w:rsidR="00CB2202" w:rsidRPr="00817B9F">
        <w:t xml:space="preserve"> wage rates, but </w:t>
      </w:r>
      <w:r w:rsidR="00FF4B9B" w:rsidRPr="00817B9F">
        <w:t xml:space="preserve">all </w:t>
      </w:r>
      <w:r w:rsidR="00DF5B6E" w:rsidRPr="00817B9F">
        <w:t>HOPDs</w:t>
      </w:r>
      <w:r w:rsidR="00FF4B9B" w:rsidRPr="00817B9F">
        <w:t xml:space="preserve"> in our analysis </w:t>
      </w:r>
      <w:r w:rsidR="001433DB" w:rsidRPr="00817B9F">
        <w:t>have</w:t>
      </w:r>
      <w:r w:rsidR="00FF4B9B" w:rsidRPr="00817B9F">
        <w:t xml:space="preserve"> the same wage </w:t>
      </w:r>
      <w:r w:rsidR="001433DB" w:rsidRPr="00817B9F">
        <w:t>rate</w:t>
      </w:r>
      <w:r w:rsidR="00DC18DB" w:rsidRPr="00817B9F">
        <w:t>.</w:t>
      </w:r>
      <w:r w:rsidR="004A6EA8" w:rsidRPr="00817B9F">
        <w:rPr>
          <w:rStyle w:val="FootnoteReference"/>
        </w:rPr>
        <w:footnoteReference w:id="102"/>
      </w:r>
      <w:r w:rsidR="00FF4B9B" w:rsidRPr="00817B9F">
        <w:t xml:space="preserve"> </w:t>
      </w:r>
      <w:r w:rsidR="00DC18DB" w:rsidRPr="00817B9F">
        <w:t>We therefore</w:t>
      </w:r>
      <w:r w:rsidR="00765E8F" w:rsidRPr="00817B9F">
        <w:t xml:space="preserve"> do not estimate any savings related to changes in </w:t>
      </w:r>
      <w:r w:rsidR="00915DAB" w:rsidRPr="00817B9F">
        <w:t xml:space="preserve">which HOPDs </w:t>
      </w:r>
      <w:r w:rsidR="004A6EA8" w:rsidRPr="00817B9F">
        <w:t>outpatient</w:t>
      </w:r>
      <w:r w:rsidR="00765E8F" w:rsidRPr="00817B9F">
        <w:t xml:space="preserve"> services are rendered.</w:t>
      </w:r>
      <w:r w:rsidR="003B2A37" w:rsidRPr="00817B9F">
        <w:t xml:space="preserve"> </w:t>
      </w:r>
    </w:p>
    <w:p w14:paraId="58C3AB73" w14:textId="5D6E0215" w:rsidR="00D3553D" w:rsidRPr="00817B9F" w:rsidRDefault="000E2776" w:rsidP="00D3553D">
      <w:pPr>
        <w:pStyle w:val="NumberedParagraphs"/>
      </w:pPr>
      <w:r w:rsidRPr="00817B9F">
        <w:t>Under CMS</w:t>
      </w:r>
      <w:r w:rsidR="0039017F" w:rsidRPr="00817B9F">
        <w:t>’s</w:t>
      </w:r>
      <w:r w:rsidRPr="00817B9F">
        <w:t xml:space="preserve"> </w:t>
      </w:r>
      <w:r w:rsidR="00DE363A" w:rsidRPr="00817B9F">
        <w:t>payment</w:t>
      </w:r>
      <w:r w:rsidRPr="00817B9F">
        <w:t xml:space="preserve"> </w:t>
      </w:r>
      <w:r w:rsidR="009603D6" w:rsidRPr="00817B9F">
        <w:t>methodology</w:t>
      </w:r>
      <w:r w:rsidR="00DE363A" w:rsidRPr="00817B9F">
        <w:t xml:space="preserve"> for services rendered at </w:t>
      </w:r>
      <w:r w:rsidR="004976BE" w:rsidRPr="00817B9F">
        <w:t>ASCs</w:t>
      </w:r>
      <w:r w:rsidRPr="00817B9F">
        <w:t xml:space="preserve">, </w:t>
      </w:r>
      <w:r w:rsidR="00C80B12" w:rsidRPr="00817B9F">
        <w:t xml:space="preserve">Original </w:t>
      </w:r>
      <w:r w:rsidRPr="00817B9F">
        <w:t>Medicare reimbursement</w:t>
      </w:r>
      <w:r w:rsidR="00DE363A" w:rsidRPr="00817B9F">
        <w:t>s</w:t>
      </w:r>
      <w:r w:rsidRPr="00817B9F">
        <w:t xml:space="preserve"> </w:t>
      </w:r>
      <w:r w:rsidR="009603D6" w:rsidRPr="00817B9F">
        <w:t>are</w:t>
      </w:r>
      <w:r w:rsidRPr="00817B9F">
        <w:t xml:space="preserve"> set </w:t>
      </w:r>
      <w:r w:rsidR="009603D6" w:rsidRPr="00817B9F">
        <w:t>at</w:t>
      </w:r>
      <w:r w:rsidRPr="00817B9F">
        <w:t xml:space="preserve"> </w:t>
      </w:r>
      <w:r w:rsidR="00590A95" w:rsidRPr="00817B9F">
        <w:t xml:space="preserve">approximately </w:t>
      </w:r>
      <w:r w:rsidRPr="00817B9F">
        <w:t xml:space="preserve">59 percent of </w:t>
      </w:r>
      <w:r w:rsidR="0004095D" w:rsidRPr="00817B9F">
        <w:t>what Original Medicare pays</w:t>
      </w:r>
      <w:r w:rsidRPr="00817B9F">
        <w:t xml:space="preserve"> for the same service </w:t>
      </w:r>
      <w:r w:rsidR="0004095D" w:rsidRPr="00817B9F">
        <w:t xml:space="preserve">if </w:t>
      </w:r>
      <w:r w:rsidR="00FE1DB6" w:rsidRPr="00817B9F">
        <w:t>the service</w:t>
      </w:r>
      <w:r w:rsidR="0004095D" w:rsidRPr="00817B9F">
        <w:t xml:space="preserve"> was </w:t>
      </w:r>
      <w:r w:rsidRPr="00817B9F">
        <w:t xml:space="preserve">provided </w:t>
      </w:r>
      <w:r w:rsidR="00FE1DB6" w:rsidRPr="00817B9F">
        <w:t>at an</w:t>
      </w:r>
      <w:r w:rsidRPr="00817B9F">
        <w:t xml:space="preserve"> </w:t>
      </w:r>
      <w:r w:rsidR="0004095D" w:rsidRPr="00817B9F">
        <w:t xml:space="preserve">HOPD in </w:t>
      </w:r>
      <w:r w:rsidR="00897A7C" w:rsidRPr="00817B9F">
        <w:t>an</w:t>
      </w:r>
      <w:r w:rsidR="00F64281" w:rsidRPr="00817B9F">
        <w:t xml:space="preserve"> area</w:t>
      </w:r>
      <w:r w:rsidR="00897A7C" w:rsidRPr="00817B9F">
        <w:t xml:space="preserve"> with the same wage rate</w:t>
      </w:r>
      <w:r w:rsidRPr="00817B9F">
        <w:t>.</w:t>
      </w:r>
      <w:r w:rsidR="00897A7C" w:rsidRPr="00817B9F">
        <w:rPr>
          <w:rStyle w:val="FootnoteReference"/>
        </w:rPr>
        <w:footnoteReference w:id="103"/>
      </w:r>
      <w:r w:rsidRPr="00817B9F">
        <w:t xml:space="preserve"> Therefore</w:t>
      </w:r>
      <w:r w:rsidR="00C80B12" w:rsidRPr="00817B9F">
        <w:t>,</w:t>
      </w:r>
      <w:r w:rsidRPr="00817B9F">
        <w:t xml:space="preserve"> we</w:t>
      </w:r>
      <w:r w:rsidR="00887A7C" w:rsidRPr="00817B9F">
        <w:t xml:space="preserve"> estimate a cost savings of </w:t>
      </w:r>
      <w:r w:rsidR="000D7793" w:rsidRPr="00817B9F">
        <w:t>41 percent</w:t>
      </w:r>
      <w:r w:rsidR="00887A7C" w:rsidRPr="00817B9F">
        <w:t xml:space="preserve"> for Original Medicare due to the shift of services from HOPDs to ASCs.</w:t>
      </w:r>
    </w:p>
    <w:p w14:paraId="0A1C2954" w14:textId="45BC4308" w:rsidR="005575BD" w:rsidRPr="00817B9F" w:rsidRDefault="008F253D" w:rsidP="005575BD">
      <w:pPr>
        <w:pStyle w:val="Heading1"/>
      </w:pPr>
      <w:bookmarkStart w:id="67" w:name="_Toc90046506"/>
      <w:r w:rsidRPr="00817B9F">
        <w:lastRenderedPageBreak/>
        <w:t>MG</w:t>
      </w:r>
      <w:r w:rsidR="00E52AAC" w:rsidRPr="00817B9F">
        <w:t>H</w:t>
      </w:r>
      <w:r w:rsidR="00AC2B77" w:rsidRPr="00817B9F">
        <w:t>’s</w:t>
      </w:r>
      <w:r w:rsidRPr="00817B9F">
        <w:t xml:space="preserve"> </w:t>
      </w:r>
      <w:r w:rsidR="003941DF" w:rsidRPr="00817B9F">
        <w:t>Patient Panel</w:t>
      </w:r>
      <w:r w:rsidRPr="00817B9F">
        <w:t xml:space="preserve"> and </w:t>
      </w:r>
      <w:r w:rsidR="004B653A" w:rsidRPr="00817B9F">
        <w:t>Utilization</w:t>
      </w:r>
      <w:r w:rsidR="000F12E2" w:rsidRPr="00817B9F">
        <w:t xml:space="preserve"> </w:t>
      </w:r>
      <w:r w:rsidR="004B653A" w:rsidRPr="00817B9F">
        <w:t>of</w:t>
      </w:r>
      <w:r w:rsidR="000F12E2" w:rsidRPr="00817B9F">
        <w:t xml:space="preserve"> Health Care Services</w:t>
      </w:r>
      <w:bookmarkEnd w:id="67"/>
    </w:p>
    <w:p w14:paraId="180F7E52" w14:textId="520DEE2E" w:rsidR="00321442" w:rsidRPr="00817B9F" w:rsidRDefault="005C7AA4" w:rsidP="005C7AA4">
      <w:pPr>
        <w:pStyle w:val="NumberedParagraphs"/>
      </w:pPr>
      <w:r w:rsidRPr="00817B9F">
        <w:t>In connection with our evaluation of the DoN application</w:t>
      </w:r>
      <w:r w:rsidR="003003B5" w:rsidRPr="00817B9F">
        <w:t xml:space="preserve">, </w:t>
      </w:r>
      <w:r w:rsidRPr="00817B9F">
        <w:t xml:space="preserve">the DoN program asked </w:t>
      </w:r>
      <w:r w:rsidR="003003B5" w:rsidRPr="00817B9F">
        <w:t xml:space="preserve">us to </w:t>
      </w:r>
      <w:r w:rsidR="00711F94" w:rsidRPr="00817B9F">
        <w:t xml:space="preserve">analyze the </w:t>
      </w:r>
      <w:r w:rsidR="00A16BCE" w:rsidRPr="00817B9F">
        <w:t xml:space="preserve">current </w:t>
      </w:r>
      <w:r w:rsidR="00471910" w:rsidRPr="00817B9F">
        <w:t xml:space="preserve">utilization of </w:t>
      </w:r>
      <w:r w:rsidR="00E2032A" w:rsidRPr="00817B9F">
        <w:t>M</w:t>
      </w:r>
      <w:r w:rsidR="008379C8" w:rsidRPr="00817B9F">
        <w:t>GH</w:t>
      </w:r>
      <w:r w:rsidR="0046443D" w:rsidRPr="00817B9F">
        <w:t xml:space="preserve">. As part of </w:t>
      </w:r>
      <w:r w:rsidR="0081467E" w:rsidRPr="00817B9F">
        <w:t>this</w:t>
      </w:r>
      <w:r w:rsidR="0046443D" w:rsidRPr="00817B9F">
        <w:t xml:space="preserve"> analysis, </w:t>
      </w:r>
      <w:r w:rsidR="00BF788B" w:rsidRPr="00817B9F">
        <w:t xml:space="preserve">for the services referenced </w:t>
      </w:r>
      <w:r w:rsidR="00E40C54" w:rsidRPr="00817B9F">
        <w:t xml:space="preserve">in the DoN application for </w:t>
      </w:r>
      <w:r w:rsidR="00535C1B" w:rsidRPr="00817B9F">
        <w:t>MGH</w:t>
      </w:r>
      <w:r w:rsidR="00E40C54" w:rsidRPr="00817B9F">
        <w:t xml:space="preserve">, </w:t>
      </w:r>
      <w:r w:rsidR="0081467E" w:rsidRPr="00817B9F">
        <w:t>we were</w:t>
      </w:r>
      <w:r w:rsidR="0046443D" w:rsidRPr="00817B9F">
        <w:t xml:space="preserve"> asked </w:t>
      </w:r>
      <w:r w:rsidR="0081467E" w:rsidRPr="00817B9F">
        <w:t>to</w:t>
      </w:r>
      <w:r w:rsidR="0046443D" w:rsidRPr="00817B9F">
        <w:t xml:space="preserve"> c</w:t>
      </w:r>
      <w:r w:rsidR="00A65060" w:rsidRPr="00817B9F">
        <w:t xml:space="preserve">ompare </w:t>
      </w:r>
      <w:r w:rsidR="00EA7F54" w:rsidRPr="00817B9F">
        <w:t>the profiles of</w:t>
      </w:r>
      <w:r w:rsidR="005D68C1" w:rsidRPr="00817B9F">
        <w:t xml:space="preserve"> </w:t>
      </w:r>
      <w:r w:rsidR="0031017B" w:rsidRPr="00817B9F">
        <w:t>patient</w:t>
      </w:r>
      <w:r w:rsidR="00EA7F54" w:rsidRPr="00817B9F">
        <w:t>s</w:t>
      </w:r>
      <w:r w:rsidR="0031017B" w:rsidRPr="00817B9F">
        <w:t xml:space="preserve"> </w:t>
      </w:r>
      <w:r w:rsidR="00A65060" w:rsidRPr="00817B9F">
        <w:t xml:space="preserve">who </w:t>
      </w:r>
      <w:r w:rsidR="00520F42" w:rsidRPr="00817B9F">
        <w:t>received</w:t>
      </w:r>
      <w:r w:rsidR="00A65060" w:rsidRPr="00817B9F">
        <w:t xml:space="preserve"> care at </w:t>
      </w:r>
      <w:r w:rsidR="00535C1B" w:rsidRPr="00817B9F">
        <w:t>MGH</w:t>
      </w:r>
      <w:r w:rsidR="000B4918" w:rsidRPr="00817B9F">
        <w:t xml:space="preserve"> with </w:t>
      </w:r>
      <w:r w:rsidR="00EB5EC4" w:rsidRPr="00817B9F">
        <w:t xml:space="preserve">the </w:t>
      </w:r>
      <w:r w:rsidR="006A779E" w:rsidRPr="00817B9F">
        <w:t>profiles of the broader</w:t>
      </w:r>
      <w:r w:rsidR="00EB5EC4" w:rsidRPr="00817B9F">
        <w:t xml:space="preserve"> population </w:t>
      </w:r>
      <w:r w:rsidR="00AE2BC5" w:rsidRPr="00817B9F">
        <w:t xml:space="preserve">of patients who </w:t>
      </w:r>
      <w:r w:rsidR="00520F42" w:rsidRPr="00817B9F">
        <w:t>sought</w:t>
      </w:r>
      <w:r w:rsidR="00AE2BC5" w:rsidRPr="00817B9F">
        <w:t xml:space="preserve"> care for those services</w:t>
      </w:r>
      <w:r w:rsidR="00EB5EC4" w:rsidRPr="00817B9F">
        <w:t>.</w:t>
      </w:r>
      <w:r w:rsidR="001161D1" w:rsidRPr="00817B9F">
        <w:t xml:space="preserve"> </w:t>
      </w:r>
      <w:r w:rsidR="003263DD" w:rsidRPr="00817B9F">
        <w:t xml:space="preserve">For </w:t>
      </w:r>
      <w:r w:rsidR="00247B20" w:rsidRPr="00817B9F">
        <w:t>these comparisons</w:t>
      </w:r>
      <w:r w:rsidR="003263DD" w:rsidRPr="00817B9F">
        <w:t xml:space="preserve">, the DoN program asked that we provide </w:t>
      </w:r>
      <w:r w:rsidR="00C82189" w:rsidRPr="00817B9F">
        <w:t xml:space="preserve">information on </w:t>
      </w:r>
      <w:r w:rsidR="00622CF8" w:rsidRPr="00817B9F">
        <w:t>patient</w:t>
      </w:r>
      <w:r w:rsidR="00AE2BC5" w:rsidRPr="00817B9F">
        <w:t>s’</w:t>
      </w:r>
      <w:r w:rsidR="00622CF8" w:rsidRPr="00817B9F">
        <w:t xml:space="preserve"> </w:t>
      </w:r>
      <w:r w:rsidR="00C82189" w:rsidRPr="00817B9F">
        <w:t>demographics</w:t>
      </w:r>
      <w:r w:rsidR="00702A23" w:rsidRPr="00817B9F">
        <w:t>,</w:t>
      </w:r>
      <w:r w:rsidR="00512D40" w:rsidRPr="00817B9F">
        <w:t xml:space="preserve"> insura</w:t>
      </w:r>
      <w:r w:rsidR="008E6C56" w:rsidRPr="00817B9F">
        <w:t>n</w:t>
      </w:r>
      <w:r w:rsidR="00512D40" w:rsidRPr="00817B9F">
        <w:t>ce coverage</w:t>
      </w:r>
      <w:r w:rsidR="00702A23" w:rsidRPr="00817B9F">
        <w:t xml:space="preserve">, </w:t>
      </w:r>
      <w:r w:rsidR="00985B70" w:rsidRPr="00817B9F">
        <w:t xml:space="preserve">and the </w:t>
      </w:r>
      <w:r w:rsidR="00FB3932" w:rsidRPr="00817B9F">
        <w:t>acuity</w:t>
      </w:r>
      <w:r w:rsidR="00AE2BC5" w:rsidRPr="00817B9F">
        <w:t xml:space="preserve"> levels of patients </w:t>
      </w:r>
      <w:r w:rsidR="00553B5A" w:rsidRPr="00817B9F">
        <w:t>who received</w:t>
      </w:r>
      <w:r w:rsidR="00AE2BC5" w:rsidRPr="00817B9F">
        <w:t xml:space="preserve"> care at </w:t>
      </w:r>
      <w:r w:rsidR="00535C1B" w:rsidRPr="00817B9F">
        <w:t>MGH</w:t>
      </w:r>
      <w:r w:rsidR="00FB3932" w:rsidRPr="00817B9F">
        <w:t xml:space="preserve">. </w:t>
      </w:r>
      <w:r w:rsidR="004F5707" w:rsidRPr="00817B9F">
        <w:t xml:space="preserve">We also document changes in utilization of inpatient </w:t>
      </w:r>
      <w:r w:rsidR="008A500A" w:rsidRPr="00817B9F">
        <w:t>services</w:t>
      </w:r>
      <w:r w:rsidR="004F5707" w:rsidRPr="00817B9F">
        <w:t xml:space="preserve"> </w:t>
      </w:r>
      <w:r w:rsidR="004B653A" w:rsidRPr="00817B9F">
        <w:t>at</w:t>
      </w:r>
      <w:r w:rsidR="00535C1B" w:rsidRPr="00817B9F">
        <w:t xml:space="preserve"> MGH </w:t>
      </w:r>
      <w:r w:rsidR="004B653A" w:rsidRPr="00817B9F">
        <w:t>between 2015 and 2019.</w:t>
      </w:r>
      <w:r w:rsidR="004F5707" w:rsidRPr="00817B9F">
        <w:t xml:space="preserve"> </w:t>
      </w:r>
    </w:p>
    <w:p w14:paraId="42C24991" w14:textId="6E4CCF76" w:rsidR="00A70BEB" w:rsidRPr="00817B9F" w:rsidRDefault="005F038F" w:rsidP="00AA0512">
      <w:pPr>
        <w:pStyle w:val="Heading2"/>
        <w:numPr>
          <w:ilvl w:val="0"/>
          <w:numId w:val="18"/>
        </w:numPr>
        <w:rPr>
          <w:rFonts w:cs="Times New Roman"/>
        </w:rPr>
      </w:pPr>
      <w:bookmarkStart w:id="68" w:name="_Toc90046507"/>
      <w:r w:rsidRPr="00817B9F">
        <w:rPr>
          <w:rFonts w:cs="Times New Roman"/>
        </w:rPr>
        <w:t>Inpatient Services</w:t>
      </w:r>
      <w:bookmarkEnd w:id="68"/>
    </w:p>
    <w:p w14:paraId="40E1CCE1" w14:textId="49568F76" w:rsidR="00DA4AE6" w:rsidRPr="00817B9F" w:rsidRDefault="00F821F5" w:rsidP="009846E8">
      <w:pPr>
        <w:pStyle w:val="NumberedParagraphs"/>
      </w:pPr>
      <w:r w:rsidRPr="00817B9F">
        <w:t>As described earlier,</w:t>
      </w:r>
      <w:r w:rsidR="009550A7" w:rsidRPr="00817B9F">
        <w:t xml:space="preserve"> </w:t>
      </w:r>
      <w:r w:rsidR="000168ED" w:rsidRPr="00817B9F">
        <w:t xml:space="preserve">we limit our analyses </w:t>
      </w:r>
      <w:r w:rsidR="008A229C" w:rsidRPr="00817B9F">
        <w:t xml:space="preserve">of </w:t>
      </w:r>
      <w:r w:rsidR="00846B6E" w:rsidRPr="00817B9F">
        <w:t>inpatient services</w:t>
      </w:r>
      <w:r w:rsidR="000168ED" w:rsidRPr="00817B9F">
        <w:t xml:space="preserve"> to adult inpatient services</w:t>
      </w:r>
      <w:r w:rsidR="00310D08" w:rsidRPr="00817B9F">
        <w:t xml:space="preserve"> (</w:t>
      </w:r>
      <w:r w:rsidR="00310D08" w:rsidRPr="00817B9F">
        <w:rPr>
          <w:i/>
          <w:iCs/>
        </w:rPr>
        <w:t>i.e.</w:t>
      </w:r>
      <w:r w:rsidR="00310D08" w:rsidRPr="00817B9F">
        <w:t>, excluding pediatrics and newborns)</w:t>
      </w:r>
      <w:r w:rsidR="00F543DE" w:rsidRPr="00817B9F">
        <w:t>,</w:t>
      </w:r>
      <w:r w:rsidR="000168ED" w:rsidRPr="00817B9F">
        <w:t xml:space="preserve"> </w:t>
      </w:r>
      <w:r w:rsidRPr="00817B9F">
        <w:t>exclud</w:t>
      </w:r>
      <w:r w:rsidR="00F543DE" w:rsidRPr="00817B9F">
        <w:t>ing</w:t>
      </w:r>
      <w:r w:rsidRPr="00817B9F">
        <w:t xml:space="preserve"> </w:t>
      </w:r>
      <w:r w:rsidR="00D8619F" w:rsidRPr="00817B9F">
        <w:t xml:space="preserve">inpatient </w:t>
      </w:r>
      <w:r w:rsidRPr="00817B9F">
        <w:t>discharges related to obstetrics</w:t>
      </w:r>
      <w:r w:rsidR="00F543DE" w:rsidRPr="00817B9F">
        <w:t>,</w:t>
      </w:r>
      <w:r w:rsidRPr="00817B9F">
        <w:t xml:space="preserve"> behavioral health, substance </w:t>
      </w:r>
      <w:r w:rsidR="00F543DE" w:rsidRPr="00817B9F">
        <w:t xml:space="preserve">use </w:t>
      </w:r>
      <w:r w:rsidR="00474A3D" w:rsidRPr="00817B9F">
        <w:t>disor</w:t>
      </w:r>
      <w:r w:rsidR="00D8619F" w:rsidRPr="00817B9F">
        <w:t>der</w:t>
      </w:r>
      <w:r w:rsidRPr="00817B9F">
        <w:t>, and rehabilitation</w:t>
      </w:r>
      <w:r w:rsidR="00F543DE" w:rsidRPr="00817B9F">
        <w:t xml:space="preserve"> services</w:t>
      </w:r>
      <w:r w:rsidR="000168ED" w:rsidRPr="00817B9F">
        <w:t>.</w:t>
      </w:r>
      <w:r w:rsidR="000404A3" w:rsidRPr="00817B9F">
        <w:t xml:space="preserve"> </w:t>
      </w:r>
      <w:r w:rsidR="001538AC" w:rsidRPr="00817B9F">
        <w:t xml:space="preserve">We also exclude patients who do not live in Massachusetts </w:t>
      </w:r>
      <w:r w:rsidR="00722D46" w:rsidRPr="00817B9F">
        <w:t xml:space="preserve">because we lack information on </w:t>
      </w:r>
      <w:r w:rsidR="009B17F5" w:rsidRPr="00817B9F">
        <w:t xml:space="preserve">the </w:t>
      </w:r>
      <w:r w:rsidR="004946BA" w:rsidRPr="00817B9F">
        <w:t>characteristics</w:t>
      </w:r>
      <w:r w:rsidR="009B17F5" w:rsidRPr="00817B9F">
        <w:t xml:space="preserve"> of </w:t>
      </w:r>
      <w:r w:rsidR="00887D0B" w:rsidRPr="00817B9F">
        <w:t>patients who reside outside of Massachusetts and choose to receive care in</w:t>
      </w:r>
      <w:r w:rsidR="003B5B7E" w:rsidRPr="00817B9F">
        <w:t xml:space="preserve"> their </w:t>
      </w:r>
      <w:r w:rsidR="00887D0B" w:rsidRPr="00817B9F">
        <w:t xml:space="preserve">local </w:t>
      </w:r>
      <w:r w:rsidR="003B5B7E" w:rsidRPr="00817B9F">
        <w:t xml:space="preserve">communities. Lastly, we exclude patients who were </w:t>
      </w:r>
      <w:r w:rsidR="00332A8F" w:rsidRPr="00817B9F">
        <w:t>transfer</w:t>
      </w:r>
      <w:r w:rsidR="003B5B7E" w:rsidRPr="00817B9F">
        <w:t>red</w:t>
      </w:r>
      <w:r w:rsidR="00332A8F" w:rsidRPr="00817B9F">
        <w:t xml:space="preserve"> from intermediate care facilities, other hospitals’ emergency rooms, another unit within the same hospital, court/law enforcement</w:t>
      </w:r>
      <w:r w:rsidR="00524BA8" w:rsidRPr="00817B9F">
        <w:t xml:space="preserve"> facilities</w:t>
      </w:r>
      <w:r w:rsidR="00332A8F" w:rsidRPr="00817B9F">
        <w:t xml:space="preserve">, hospice facilities, and other institutions’ </w:t>
      </w:r>
      <w:r w:rsidR="00A90315" w:rsidRPr="00817B9F">
        <w:t>ASC</w:t>
      </w:r>
      <w:r w:rsidR="0082057A" w:rsidRPr="00817B9F">
        <w:t>s</w:t>
      </w:r>
      <w:r w:rsidR="00332A8F" w:rsidRPr="00817B9F">
        <w:t>.</w:t>
      </w:r>
      <w:r w:rsidR="00064701" w:rsidRPr="00817B9F">
        <w:t xml:space="preserve"> These limitations and exclusions apply to all analyses we discu</w:t>
      </w:r>
      <w:r w:rsidR="00DD7F50" w:rsidRPr="00817B9F">
        <w:t>s</w:t>
      </w:r>
      <w:r w:rsidR="00064701" w:rsidRPr="00817B9F">
        <w:t>s in this section</w:t>
      </w:r>
      <w:r w:rsidR="001A6CE1" w:rsidRPr="00817B9F">
        <w:t xml:space="preserve"> and we do not repeat them</w:t>
      </w:r>
      <w:r w:rsidR="00064701" w:rsidRPr="00817B9F">
        <w:t xml:space="preserve"> for the sake of brevity</w:t>
      </w:r>
      <w:r w:rsidR="001A6CE1" w:rsidRPr="00817B9F">
        <w:t>.</w:t>
      </w:r>
    </w:p>
    <w:p w14:paraId="53DEC4AB" w14:textId="61975D5B" w:rsidR="0080226E" w:rsidRPr="00817B9F" w:rsidRDefault="00DA4AE6" w:rsidP="0080226E">
      <w:pPr>
        <w:pStyle w:val="NumberedParagraphs"/>
      </w:pPr>
      <w:r w:rsidRPr="00817B9F">
        <w:t xml:space="preserve">We first describe the </w:t>
      </w:r>
      <w:r w:rsidR="00C2157E" w:rsidRPr="00817B9F">
        <w:t>characteristics of patients who receive</w:t>
      </w:r>
      <w:r w:rsidR="00F00137" w:rsidRPr="00817B9F">
        <w:t>d</w:t>
      </w:r>
      <w:r w:rsidR="00C2157E" w:rsidRPr="00817B9F">
        <w:t xml:space="preserve"> care at </w:t>
      </w:r>
      <w:r w:rsidR="000D061A" w:rsidRPr="00817B9F">
        <w:t xml:space="preserve">MGH </w:t>
      </w:r>
      <w:r w:rsidR="00F00137" w:rsidRPr="00817B9F">
        <w:t xml:space="preserve">in 2019 </w:t>
      </w:r>
      <w:r w:rsidR="00C2157E" w:rsidRPr="00817B9F">
        <w:t>and compare the characteristics of these patients to the broader population of patients who reside</w:t>
      </w:r>
      <w:r w:rsidR="001A43A3" w:rsidRPr="00817B9F">
        <w:t>d</w:t>
      </w:r>
      <w:r w:rsidR="00C2157E" w:rsidRPr="00817B9F">
        <w:t xml:space="preserve"> in the hospital’s service area. To provide conte</w:t>
      </w:r>
      <w:r w:rsidR="005B31D7" w:rsidRPr="00817B9F">
        <w:t>x</w:t>
      </w:r>
      <w:r w:rsidR="00C2157E" w:rsidRPr="00817B9F">
        <w:t xml:space="preserve">t for assessing </w:t>
      </w:r>
      <w:r w:rsidR="005B31D7" w:rsidRPr="00817B9F">
        <w:t>MGB’s proposal</w:t>
      </w:r>
      <w:r w:rsidR="00C2157E" w:rsidRPr="00817B9F">
        <w:t xml:space="preserve"> to expand the number of in</w:t>
      </w:r>
      <w:r w:rsidR="005B31D7" w:rsidRPr="00817B9F">
        <w:t>patient beds at</w:t>
      </w:r>
      <w:r w:rsidR="000D061A" w:rsidRPr="00817B9F">
        <w:t xml:space="preserve"> MGH</w:t>
      </w:r>
      <w:r w:rsidR="005B31D7" w:rsidRPr="00817B9F">
        <w:t xml:space="preserve">, we also document changes in the </w:t>
      </w:r>
      <w:r w:rsidR="00A812B5" w:rsidRPr="00817B9F">
        <w:t xml:space="preserve">utilization of the hospital’s inpatient services (both in terms of discharges and patient days) between 2015 and 2019. </w:t>
      </w:r>
      <w:r w:rsidR="0080226E" w:rsidRPr="00817B9F">
        <w:t xml:space="preserve">The figures discussed </w:t>
      </w:r>
      <w:r w:rsidR="00E776F7" w:rsidRPr="00817B9F">
        <w:t xml:space="preserve">in what follows </w:t>
      </w:r>
      <w:r w:rsidR="0080226E" w:rsidRPr="00817B9F">
        <w:t>are created using the 2019 Hospital Inpatient Discharge Database.</w:t>
      </w:r>
    </w:p>
    <w:p w14:paraId="30C8637D" w14:textId="5EF87DE0" w:rsidR="00C83798" w:rsidRPr="00817B9F" w:rsidRDefault="00B10354" w:rsidP="00E776F7">
      <w:pPr>
        <w:pStyle w:val="Heading3"/>
        <w:numPr>
          <w:ilvl w:val="0"/>
          <w:numId w:val="31"/>
        </w:numPr>
      </w:pPr>
      <w:bookmarkStart w:id="69" w:name="_Toc90046508"/>
      <w:r w:rsidRPr="00817B9F">
        <w:t>Patient Profiles</w:t>
      </w:r>
      <w:bookmarkEnd w:id="69"/>
    </w:p>
    <w:p w14:paraId="43FD0B7E" w14:textId="4CD80D5F" w:rsidR="002E2BC8" w:rsidRPr="00817B9F" w:rsidRDefault="00C6132F" w:rsidP="006F717C">
      <w:pPr>
        <w:pStyle w:val="NumberedParagraphs"/>
      </w:pPr>
      <w:r w:rsidRPr="00817B9F">
        <w:t>Figure MGH1</w:t>
      </w:r>
      <w:r w:rsidR="00734403" w:rsidRPr="00817B9F">
        <w:t xml:space="preserve"> </w:t>
      </w:r>
      <w:r w:rsidR="00A14CBD" w:rsidRPr="00817B9F">
        <w:t>summa</w:t>
      </w:r>
      <w:r w:rsidR="00D81CCD" w:rsidRPr="00817B9F">
        <w:t>rizes</w:t>
      </w:r>
      <w:r w:rsidR="002A3684" w:rsidRPr="00817B9F">
        <w:t xml:space="preserve"> patient characteristics</w:t>
      </w:r>
      <w:r w:rsidR="008E07FE" w:rsidRPr="00817B9F">
        <w:t xml:space="preserve"> (</w:t>
      </w:r>
      <w:r w:rsidR="0048236E" w:rsidRPr="00817B9F">
        <w:rPr>
          <w:i/>
          <w:iCs/>
        </w:rPr>
        <w:t>i.e.</w:t>
      </w:r>
      <w:r w:rsidR="0048236E" w:rsidRPr="00817B9F">
        <w:t xml:space="preserve">, </w:t>
      </w:r>
      <w:r w:rsidR="003A6CF0" w:rsidRPr="00817B9F">
        <w:t>gender</w:t>
      </w:r>
      <w:r w:rsidR="008E07FE" w:rsidRPr="00817B9F">
        <w:t>, race/ethnicity, age, insurance coverage</w:t>
      </w:r>
      <w:r w:rsidR="00D966C0" w:rsidRPr="00817B9F">
        <w:t>, and acuity</w:t>
      </w:r>
      <w:r w:rsidR="008E07FE" w:rsidRPr="00817B9F">
        <w:t>)</w:t>
      </w:r>
      <w:r w:rsidR="002A3684" w:rsidRPr="00817B9F">
        <w:t xml:space="preserve"> </w:t>
      </w:r>
      <w:r w:rsidR="00D66FA7" w:rsidRPr="00817B9F">
        <w:t xml:space="preserve">for all MGH </w:t>
      </w:r>
      <w:r w:rsidR="001A6CE1" w:rsidRPr="00817B9F">
        <w:t>in</w:t>
      </w:r>
      <w:r w:rsidR="00D66FA7" w:rsidRPr="00817B9F">
        <w:t>patients</w:t>
      </w:r>
      <w:r w:rsidR="001771E0" w:rsidRPr="00817B9F">
        <w:t xml:space="preserve">, MGH inpatients </w:t>
      </w:r>
      <w:r w:rsidR="00791A87" w:rsidRPr="00817B9F">
        <w:t>who resided</w:t>
      </w:r>
      <w:r w:rsidR="00462EDB" w:rsidRPr="00817B9F">
        <w:t xml:space="preserve"> </w:t>
      </w:r>
      <w:r w:rsidR="0006612E" w:rsidRPr="00817B9F">
        <w:t xml:space="preserve">in </w:t>
      </w:r>
      <w:r w:rsidR="00462EDB" w:rsidRPr="00817B9F">
        <w:t xml:space="preserve">the </w:t>
      </w:r>
      <w:r w:rsidR="009A7028" w:rsidRPr="00817B9F">
        <w:t xml:space="preserve">hospital’s 75 percent service area, and inpatients </w:t>
      </w:r>
      <w:r w:rsidR="00A75C80" w:rsidRPr="00817B9F">
        <w:t>who resided</w:t>
      </w:r>
      <w:r w:rsidR="00462EDB" w:rsidRPr="00817B9F">
        <w:t xml:space="preserve"> </w:t>
      </w:r>
      <w:r w:rsidR="0006612E" w:rsidRPr="00817B9F">
        <w:t xml:space="preserve">in </w:t>
      </w:r>
      <w:r w:rsidR="009A7028" w:rsidRPr="00817B9F">
        <w:t xml:space="preserve">the hospital’s 75 percent service </w:t>
      </w:r>
      <w:r w:rsidR="007943F3" w:rsidRPr="00817B9F">
        <w:t>area</w:t>
      </w:r>
      <w:r w:rsidR="009A7028" w:rsidRPr="00817B9F">
        <w:t xml:space="preserve"> </w:t>
      </w:r>
      <w:r w:rsidR="008F60D5" w:rsidRPr="00817B9F">
        <w:t xml:space="preserve">regardless of </w:t>
      </w:r>
      <w:r w:rsidR="00D966C0" w:rsidRPr="00817B9F">
        <w:t>their choice of hospital</w:t>
      </w:r>
      <w:r w:rsidR="00D66FA7" w:rsidRPr="00817B9F">
        <w:t>.</w:t>
      </w:r>
      <w:r w:rsidR="00030BF0" w:rsidRPr="00817B9F">
        <w:t xml:space="preserve"> </w:t>
      </w:r>
      <w:r w:rsidR="00AC157C" w:rsidRPr="00817B9F">
        <w:t xml:space="preserve">The first column of the </w:t>
      </w:r>
      <w:r w:rsidR="00215DE0" w:rsidRPr="00817B9F">
        <w:t>figure</w:t>
      </w:r>
      <w:r w:rsidR="00AC157C" w:rsidRPr="00817B9F">
        <w:t xml:space="preserve"> </w:t>
      </w:r>
      <w:r w:rsidR="00566BD4" w:rsidRPr="00817B9F">
        <w:t xml:space="preserve">summarizes </w:t>
      </w:r>
      <w:r w:rsidR="00883B0A" w:rsidRPr="00817B9F">
        <w:t xml:space="preserve">patient </w:t>
      </w:r>
      <w:r w:rsidR="006B78FA" w:rsidRPr="00817B9F">
        <w:t>characteristics for all MGH inpatients</w:t>
      </w:r>
      <w:r w:rsidR="005D18FE" w:rsidRPr="00817B9F">
        <w:t xml:space="preserve">. </w:t>
      </w:r>
    </w:p>
    <w:p w14:paraId="0C5B40DE" w14:textId="77777777" w:rsidR="002E2BC8" w:rsidRPr="00817B9F" w:rsidRDefault="004C109E" w:rsidP="005D3EC9">
      <w:pPr>
        <w:pStyle w:val="BulletParagraph"/>
        <w:rPr>
          <w:rFonts w:cs="Times New Roman"/>
        </w:rPr>
      </w:pPr>
      <w:r w:rsidRPr="00817B9F">
        <w:rPr>
          <w:rFonts w:cs="Times New Roman"/>
        </w:rPr>
        <w:lastRenderedPageBreak/>
        <w:t>In 2019, a</w:t>
      </w:r>
      <w:r w:rsidR="004F1E9B" w:rsidRPr="00817B9F">
        <w:rPr>
          <w:rFonts w:cs="Times New Roman"/>
        </w:rPr>
        <w:t>pproximately 47</w:t>
      </w:r>
      <w:r w:rsidR="002A68B9" w:rsidRPr="00817B9F">
        <w:rPr>
          <w:rFonts w:cs="Times New Roman"/>
        </w:rPr>
        <w:t xml:space="preserve"> percent</w:t>
      </w:r>
      <w:r w:rsidR="004F1E9B" w:rsidRPr="00817B9F">
        <w:rPr>
          <w:rFonts w:cs="Times New Roman"/>
        </w:rPr>
        <w:t xml:space="preserve"> of MGH</w:t>
      </w:r>
      <w:r w:rsidR="00C4198A" w:rsidRPr="00817B9F">
        <w:rPr>
          <w:rFonts w:cs="Times New Roman"/>
        </w:rPr>
        <w:t>’s</w:t>
      </w:r>
      <w:r w:rsidR="004F1E9B" w:rsidRPr="00817B9F">
        <w:rPr>
          <w:rFonts w:cs="Times New Roman"/>
        </w:rPr>
        <w:t xml:space="preserve"> </w:t>
      </w:r>
      <w:r w:rsidR="00C4198A" w:rsidRPr="00817B9F">
        <w:rPr>
          <w:rFonts w:cs="Times New Roman"/>
        </w:rPr>
        <w:t>i</w:t>
      </w:r>
      <w:r w:rsidR="002421F6" w:rsidRPr="00817B9F">
        <w:rPr>
          <w:rFonts w:cs="Times New Roman"/>
        </w:rPr>
        <w:t>n</w:t>
      </w:r>
      <w:r w:rsidR="004F1E9B" w:rsidRPr="00817B9F">
        <w:rPr>
          <w:rFonts w:cs="Times New Roman"/>
        </w:rPr>
        <w:t xml:space="preserve">patients </w:t>
      </w:r>
      <w:r w:rsidR="00EC0236" w:rsidRPr="00817B9F">
        <w:rPr>
          <w:rFonts w:cs="Times New Roman"/>
        </w:rPr>
        <w:t>were</w:t>
      </w:r>
      <w:r w:rsidR="004F1E9B" w:rsidRPr="00817B9F">
        <w:rPr>
          <w:rFonts w:cs="Times New Roman"/>
        </w:rPr>
        <w:t xml:space="preserve"> </w:t>
      </w:r>
      <w:r w:rsidR="008905C2" w:rsidRPr="00817B9F">
        <w:rPr>
          <w:rFonts w:cs="Times New Roman"/>
        </w:rPr>
        <w:t>female</w:t>
      </w:r>
      <w:r w:rsidR="00E25E1A" w:rsidRPr="00817B9F">
        <w:rPr>
          <w:rFonts w:cs="Times New Roman"/>
        </w:rPr>
        <w:t>.</w:t>
      </w:r>
      <w:r w:rsidR="00734C6B" w:rsidRPr="00817B9F">
        <w:rPr>
          <w:rFonts w:cs="Times New Roman"/>
        </w:rPr>
        <w:t xml:space="preserve"> </w:t>
      </w:r>
    </w:p>
    <w:p w14:paraId="1EC7BD51" w14:textId="6EC85017" w:rsidR="002E2BC8" w:rsidRPr="00817B9F" w:rsidRDefault="00566765" w:rsidP="005D3EC9">
      <w:pPr>
        <w:pStyle w:val="BulletParagraph"/>
        <w:rPr>
          <w:rFonts w:cs="Times New Roman"/>
        </w:rPr>
      </w:pPr>
      <w:r w:rsidRPr="00817B9F">
        <w:rPr>
          <w:rFonts w:cs="Times New Roman"/>
        </w:rPr>
        <w:t>White patients account</w:t>
      </w:r>
      <w:r w:rsidR="00EC0236" w:rsidRPr="00817B9F">
        <w:rPr>
          <w:rFonts w:cs="Times New Roman"/>
        </w:rPr>
        <w:t>ed</w:t>
      </w:r>
      <w:r w:rsidRPr="00817B9F">
        <w:rPr>
          <w:rFonts w:cs="Times New Roman"/>
        </w:rPr>
        <w:t xml:space="preserve"> for </w:t>
      </w:r>
      <w:r w:rsidR="006263FD" w:rsidRPr="00817B9F">
        <w:rPr>
          <w:rFonts w:cs="Times New Roman"/>
        </w:rPr>
        <w:t>80</w:t>
      </w:r>
      <w:r w:rsidR="002A68B9" w:rsidRPr="00817B9F">
        <w:rPr>
          <w:rFonts w:cs="Times New Roman"/>
        </w:rPr>
        <w:t xml:space="preserve"> percent</w:t>
      </w:r>
      <w:r w:rsidR="006263FD" w:rsidRPr="00817B9F">
        <w:rPr>
          <w:rFonts w:cs="Times New Roman"/>
        </w:rPr>
        <w:t xml:space="preserve"> </w:t>
      </w:r>
      <w:r w:rsidR="00363155" w:rsidRPr="00817B9F">
        <w:rPr>
          <w:rFonts w:cs="Times New Roman"/>
        </w:rPr>
        <w:t>of MGH</w:t>
      </w:r>
      <w:r w:rsidR="005C162B" w:rsidRPr="00817B9F">
        <w:rPr>
          <w:rFonts w:cs="Times New Roman"/>
        </w:rPr>
        <w:t>’s inpatient</w:t>
      </w:r>
      <w:r w:rsidR="006F4E9C" w:rsidRPr="00817B9F">
        <w:rPr>
          <w:rFonts w:cs="Times New Roman"/>
        </w:rPr>
        <w:t>s</w:t>
      </w:r>
      <w:r w:rsidR="009F3DBE" w:rsidRPr="00817B9F">
        <w:rPr>
          <w:rFonts w:cs="Times New Roman"/>
        </w:rPr>
        <w:t xml:space="preserve">. </w:t>
      </w:r>
      <w:r w:rsidR="002F4186" w:rsidRPr="00817B9F">
        <w:rPr>
          <w:rFonts w:cs="Times New Roman"/>
        </w:rPr>
        <w:t>Among</w:t>
      </w:r>
      <w:r w:rsidR="009F3DBE" w:rsidRPr="00817B9F">
        <w:rPr>
          <w:rFonts w:cs="Times New Roman"/>
        </w:rPr>
        <w:t xml:space="preserve"> the remaining 20</w:t>
      </w:r>
      <w:r w:rsidR="002A68B9" w:rsidRPr="00817B9F">
        <w:rPr>
          <w:rFonts w:cs="Times New Roman"/>
        </w:rPr>
        <w:t xml:space="preserve"> percent</w:t>
      </w:r>
      <w:r w:rsidR="00A417FF" w:rsidRPr="00817B9F">
        <w:rPr>
          <w:rFonts w:cs="Times New Roman"/>
        </w:rPr>
        <w:t xml:space="preserve"> of inpatient</w:t>
      </w:r>
      <w:r w:rsidR="006F4E9C" w:rsidRPr="00817B9F">
        <w:rPr>
          <w:rFonts w:cs="Times New Roman"/>
        </w:rPr>
        <w:t>s</w:t>
      </w:r>
      <w:r w:rsidR="009F3DBE" w:rsidRPr="00817B9F">
        <w:rPr>
          <w:rFonts w:cs="Times New Roman"/>
        </w:rPr>
        <w:t xml:space="preserve">, </w:t>
      </w:r>
      <w:r w:rsidR="002A68B9" w:rsidRPr="00817B9F">
        <w:rPr>
          <w:rFonts w:cs="Times New Roman"/>
        </w:rPr>
        <w:t>six percent</w:t>
      </w:r>
      <w:r w:rsidR="00363155" w:rsidRPr="00817B9F">
        <w:rPr>
          <w:rFonts w:cs="Times New Roman"/>
        </w:rPr>
        <w:t xml:space="preserve"> </w:t>
      </w:r>
      <w:r w:rsidR="000A2950" w:rsidRPr="00817B9F">
        <w:rPr>
          <w:rFonts w:cs="Times New Roman"/>
        </w:rPr>
        <w:t xml:space="preserve">of patients </w:t>
      </w:r>
      <w:r w:rsidR="00EC0236" w:rsidRPr="00817B9F">
        <w:rPr>
          <w:rFonts w:cs="Times New Roman"/>
        </w:rPr>
        <w:t>were</w:t>
      </w:r>
      <w:r w:rsidR="00955117" w:rsidRPr="00817B9F">
        <w:rPr>
          <w:rFonts w:cs="Times New Roman"/>
        </w:rPr>
        <w:t xml:space="preserve"> </w:t>
      </w:r>
      <w:r w:rsidR="0020754F" w:rsidRPr="00817B9F">
        <w:rPr>
          <w:rFonts w:cs="Times New Roman"/>
        </w:rPr>
        <w:t>B</w:t>
      </w:r>
      <w:r w:rsidR="00363155" w:rsidRPr="00817B9F">
        <w:rPr>
          <w:rFonts w:cs="Times New Roman"/>
        </w:rPr>
        <w:t xml:space="preserve">lack, </w:t>
      </w:r>
      <w:r w:rsidR="002A68B9" w:rsidRPr="00817B9F">
        <w:rPr>
          <w:rFonts w:cs="Times New Roman"/>
        </w:rPr>
        <w:t>four percent</w:t>
      </w:r>
      <w:r w:rsidR="00363155" w:rsidRPr="00817B9F">
        <w:rPr>
          <w:rFonts w:cs="Times New Roman"/>
        </w:rPr>
        <w:t xml:space="preserve"> </w:t>
      </w:r>
      <w:r w:rsidR="00EC0236" w:rsidRPr="00817B9F">
        <w:rPr>
          <w:rFonts w:cs="Times New Roman"/>
        </w:rPr>
        <w:t>were</w:t>
      </w:r>
      <w:r w:rsidR="0015782B" w:rsidRPr="00817B9F">
        <w:rPr>
          <w:rFonts w:cs="Times New Roman"/>
        </w:rPr>
        <w:t xml:space="preserve"> </w:t>
      </w:r>
      <w:r w:rsidR="0020754F" w:rsidRPr="00817B9F">
        <w:rPr>
          <w:rFonts w:cs="Times New Roman"/>
        </w:rPr>
        <w:t>A</w:t>
      </w:r>
      <w:r w:rsidR="002F5173" w:rsidRPr="00817B9F">
        <w:rPr>
          <w:rFonts w:cs="Times New Roman"/>
        </w:rPr>
        <w:t>sian</w:t>
      </w:r>
      <w:r w:rsidR="006A34EF" w:rsidRPr="00817B9F">
        <w:rPr>
          <w:rFonts w:cs="Times New Roman"/>
        </w:rPr>
        <w:t>/</w:t>
      </w:r>
      <w:r w:rsidR="0020754F" w:rsidRPr="00817B9F">
        <w:rPr>
          <w:rFonts w:cs="Times New Roman"/>
        </w:rPr>
        <w:t>Pacific Islander</w:t>
      </w:r>
      <w:r w:rsidR="009F3DBE" w:rsidRPr="00817B9F">
        <w:rPr>
          <w:rFonts w:cs="Times New Roman"/>
        </w:rPr>
        <w:t xml:space="preserve">, </w:t>
      </w:r>
      <w:r w:rsidR="00F67A6D" w:rsidRPr="00817B9F">
        <w:rPr>
          <w:rFonts w:cs="Times New Roman"/>
        </w:rPr>
        <w:t xml:space="preserve">and </w:t>
      </w:r>
      <w:r w:rsidR="005077E1" w:rsidRPr="00817B9F">
        <w:rPr>
          <w:rFonts w:cs="Times New Roman"/>
        </w:rPr>
        <w:t>ten</w:t>
      </w:r>
      <w:r w:rsidR="002A68B9" w:rsidRPr="00817B9F">
        <w:rPr>
          <w:rFonts w:cs="Times New Roman"/>
        </w:rPr>
        <w:t xml:space="preserve"> percent</w:t>
      </w:r>
      <w:r w:rsidR="00F67A6D" w:rsidRPr="00817B9F">
        <w:rPr>
          <w:rFonts w:cs="Times New Roman"/>
        </w:rPr>
        <w:t xml:space="preserve"> </w:t>
      </w:r>
      <w:r w:rsidR="00BD08F5" w:rsidRPr="00817B9F">
        <w:rPr>
          <w:rFonts w:cs="Times New Roman"/>
        </w:rPr>
        <w:t>were of</w:t>
      </w:r>
      <w:r w:rsidR="00F67A6D" w:rsidRPr="00817B9F">
        <w:rPr>
          <w:rFonts w:cs="Times New Roman"/>
        </w:rPr>
        <w:t xml:space="preserve"> </w:t>
      </w:r>
      <w:r w:rsidR="00D82732" w:rsidRPr="00817B9F">
        <w:rPr>
          <w:rFonts w:cs="Times New Roman"/>
        </w:rPr>
        <w:t xml:space="preserve">other or </w:t>
      </w:r>
      <w:r w:rsidR="00F67A6D" w:rsidRPr="00817B9F">
        <w:rPr>
          <w:rFonts w:cs="Times New Roman"/>
        </w:rPr>
        <w:t>unknown race</w:t>
      </w:r>
      <w:r w:rsidR="00DB3DC6" w:rsidRPr="00817B9F">
        <w:rPr>
          <w:rFonts w:cs="Times New Roman"/>
        </w:rPr>
        <w:t>.</w:t>
      </w:r>
      <w:r w:rsidR="00A417FF" w:rsidRPr="00817B9F">
        <w:rPr>
          <w:rFonts w:cs="Times New Roman"/>
        </w:rPr>
        <w:t xml:space="preserve"> Approximately </w:t>
      </w:r>
      <w:r w:rsidR="002A68B9" w:rsidRPr="00817B9F">
        <w:rPr>
          <w:rFonts w:cs="Times New Roman"/>
        </w:rPr>
        <w:t>seven percent</w:t>
      </w:r>
      <w:r w:rsidR="00A417FF" w:rsidRPr="00817B9F">
        <w:rPr>
          <w:rFonts w:cs="Times New Roman"/>
        </w:rPr>
        <w:t xml:space="preserve"> of </w:t>
      </w:r>
      <w:r w:rsidR="00EF6090" w:rsidRPr="00817B9F">
        <w:rPr>
          <w:rFonts w:cs="Times New Roman"/>
        </w:rPr>
        <w:t>inpatient</w:t>
      </w:r>
      <w:r w:rsidR="002F4186" w:rsidRPr="00817B9F">
        <w:rPr>
          <w:rFonts w:cs="Times New Roman"/>
        </w:rPr>
        <w:t>s</w:t>
      </w:r>
      <w:r w:rsidR="00EF6090" w:rsidRPr="00817B9F">
        <w:rPr>
          <w:rFonts w:cs="Times New Roman"/>
        </w:rPr>
        <w:t xml:space="preserve"> </w:t>
      </w:r>
      <w:r w:rsidR="002F4186" w:rsidRPr="00817B9F">
        <w:rPr>
          <w:rFonts w:cs="Times New Roman"/>
        </w:rPr>
        <w:t>at MGH</w:t>
      </w:r>
      <w:r w:rsidR="0006612E" w:rsidRPr="00817B9F">
        <w:rPr>
          <w:rFonts w:cs="Times New Roman"/>
        </w:rPr>
        <w:t xml:space="preserve"> </w:t>
      </w:r>
      <w:r w:rsidR="00BD08F5" w:rsidRPr="00817B9F">
        <w:rPr>
          <w:rFonts w:cs="Times New Roman"/>
        </w:rPr>
        <w:t>were</w:t>
      </w:r>
      <w:r w:rsidR="0006612E" w:rsidRPr="00817B9F">
        <w:rPr>
          <w:rFonts w:cs="Times New Roman"/>
        </w:rPr>
        <w:t xml:space="preserve"> Hispanic.</w:t>
      </w:r>
      <w:r w:rsidR="00EF6090" w:rsidRPr="00817B9F">
        <w:rPr>
          <w:rFonts w:cs="Times New Roman"/>
        </w:rPr>
        <w:t xml:space="preserve"> </w:t>
      </w:r>
    </w:p>
    <w:p w14:paraId="4A0D236B" w14:textId="1BEC8482" w:rsidR="00201BB3" w:rsidRPr="00817B9F" w:rsidRDefault="00BC6875" w:rsidP="005D3EC9">
      <w:pPr>
        <w:pStyle w:val="BulletParagraph"/>
        <w:rPr>
          <w:rFonts w:cs="Times New Roman"/>
        </w:rPr>
      </w:pPr>
      <w:r w:rsidRPr="00817B9F">
        <w:rPr>
          <w:rFonts w:cs="Times New Roman"/>
        </w:rPr>
        <w:t xml:space="preserve">The </w:t>
      </w:r>
      <w:r w:rsidR="001707E1" w:rsidRPr="00817B9F">
        <w:rPr>
          <w:rFonts w:cs="Times New Roman"/>
        </w:rPr>
        <w:t>figure</w:t>
      </w:r>
      <w:r w:rsidRPr="00817B9F">
        <w:rPr>
          <w:rFonts w:cs="Times New Roman"/>
        </w:rPr>
        <w:t xml:space="preserve"> </w:t>
      </w:r>
      <w:r w:rsidR="0015151C" w:rsidRPr="00817B9F">
        <w:rPr>
          <w:rFonts w:cs="Times New Roman"/>
        </w:rPr>
        <w:t xml:space="preserve">also </w:t>
      </w:r>
      <w:r w:rsidRPr="00817B9F">
        <w:rPr>
          <w:rFonts w:cs="Times New Roman"/>
        </w:rPr>
        <w:t xml:space="preserve">shows </w:t>
      </w:r>
      <w:r w:rsidR="0015151C" w:rsidRPr="00817B9F">
        <w:rPr>
          <w:rFonts w:cs="Times New Roman"/>
        </w:rPr>
        <w:t>the distribution of ages for MGH inpatient</w:t>
      </w:r>
      <w:r w:rsidR="00BD08F5" w:rsidRPr="00817B9F">
        <w:rPr>
          <w:rFonts w:cs="Times New Roman"/>
        </w:rPr>
        <w:t>s</w:t>
      </w:r>
      <w:r w:rsidR="0015151C" w:rsidRPr="00817B9F">
        <w:rPr>
          <w:rFonts w:cs="Times New Roman"/>
        </w:rPr>
        <w:t xml:space="preserve">. </w:t>
      </w:r>
      <w:r w:rsidR="00EC0236" w:rsidRPr="00817B9F">
        <w:rPr>
          <w:rFonts w:cs="Times New Roman"/>
        </w:rPr>
        <w:t>More than 50</w:t>
      </w:r>
      <w:r w:rsidR="002A68B9" w:rsidRPr="00817B9F">
        <w:rPr>
          <w:rFonts w:cs="Times New Roman"/>
        </w:rPr>
        <w:t xml:space="preserve"> percent</w:t>
      </w:r>
      <w:r w:rsidR="00F92F3D" w:rsidRPr="00817B9F">
        <w:rPr>
          <w:rFonts w:cs="Times New Roman"/>
        </w:rPr>
        <w:t xml:space="preserve"> of MGH’s inpatient</w:t>
      </w:r>
      <w:r w:rsidR="00EC0236" w:rsidRPr="00817B9F">
        <w:rPr>
          <w:rFonts w:cs="Times New Roman"/>
        </w:rPr>
        <w:t>s</w:t>
      </w:r>
      <w:r w:rsidR="00BD08F5" w:rsidRPr="00817B9F">
        <w:rPr>
          <w:rFonts w:cs="Times New Roman"/>
        </w:rPr>
        <w:t xml:space="preserve"> were</w:t>
      </w:r>
      <w:r w:rsidR="00F92F3D" w:rsidRPr="00817B9F">
        <w:rPr>
          <w:rFonts w:cs="Times New Roman"/>
        </w:rPr>
        <w:t xml:space="preserve"> </w:t>
      </w:r>
      <w:r w:rsidRPr="00817B9F">
        <w:rPr>
          <w:rFonts w:cs="Times New Roman"/>
        </w:rPr>
        <w:t xml:space="preserve">65 </w:t>
      </w:r>
      <w:r w:rsidR="00995008" w:rsidRPr="00817B9F">
        <w:rPr>
          <w:rFonts w:cs="Times New Roman"/>
        </w:rPr>
        <w:t>and</w:t>
      </w:r>
      <w:r w:rsidRPr="00817B9F">
        <w:rPr>
          <w:rFonts w:cs="Times New Roman"/>
        </w:rPr>
        <w:t xml:space="preserve"> older</w:t>
      </w:r>
      <w:r w:rsidR="00721F27" w:rsidRPr="00817B9F">
        <w:rPr>
          <w:rFonts w:cs="Times New Roman"/>
        </w:rPr>
        <w:t xml:space="preserve"> and</w:t>
      </w:r>
      <w:r w:rsidR="00BA7921" w:rsidRPr="00817B9F">
        <w:rPr>
          <w:rFonts w:cs="Times New Roman"/>
        </w:rPr>
        <w:t xml:space="preserve"> </w:t>
      </w:r>
      <w:r w:rsidR="00721F27" w:rsidRPr="00817B9F">
        <w:rPr>
          <w:rFonts w:cs="Times New Roman"/>
        </w:rPr>
        <w:t>a</w:t>
      </w:r>
      <w:r w:rsidR="00BA7921" w:rsidRPr="00817B9F">
        <w:rPr>
          <w:rFonts w:cs="Times New Roman"/>
        </w:rPr>
        <w:t>pproximately 27</w:t>
      </w:r>
      <w:r w:rsidR="002A68B9" w:rsidRPr="00817B9F">
        <w:rPr>
          <w:rFonts w:cs="Times New Roman"/>
        </w:rPr>
        <w:t xml:space="preserve"> percent</w:t>
      </w:r>
      <w:r w:rsidR="00721F27" w:rsidRPr="00817B9F">
        <w:rPr>
          <w:rFonts w:cs="Times New Roman"/>
        </w:rPr>
        <w:t xml:space="preserve"> </w:t>
      </w:r>
      <w:r w:rsidR="00BD08F5" w:rsidRPr="00817B9F">
        <w:rPr>
          <w:rFonts w:cs="Times New Roman"/>
        </w:rPr>
        <w:t>were</w:t>
      </w:r>
      <w:r w:rsidR="002957C9" w:rsidRPr="00817B9F">
        <w:rPr>
          <w:rFonts w:cs="Times New Roman"/>
        </w:rPr>
        <w:t xml:space="preserve"> between </w:t>
      </w:r>
      <w:r w:rsidR="00BD08F5" w:rsidRPr="00817B9F">
        <w:rPr>
          <w:rFonts w:cs="Times New Roman"/>
        </w:rPr>
        <w:t>the ages of</w:t>
      </w:r>
      <w:r w:rsidR="002957C9" w:rsidRPr="00817B9F">
        <w:rPr>
          <w:rFonts w:cs="Times New Roman"/>
        </w:rPr>
        <w:t xml:space="preserve"> 50 and 64.</w:t>
      </w:r>
      <w:r w:rsidR="00232B30" w:rsidRPr="00817B9F">
        <w:rPr>
          <w:rFonts w:cs="Times New Roman"/>
        </w:rPr>
        <w:t xml:space="preserve"> </w:t>
      </w:r>
    </w:p>
    <w:p w14:paraId="3128FA80" w14:textId="53B7E0F1" w:rsidR="00201BB3" w:rsidRPr="00817B9F" w:rsidRDefault="00481F50" w:rsidP="005D3EC9">
      <w:pPr>
        <w:pStyle w:val="BulletParagraph"/>
        <w:rPr>
          <w:rFonts w:cs="Times New Roman"/>
        </w:rPr>
      </w:pPr>
      <w:r w:rsidRPr="00817B9F">
        <w:rPr>
          <w:rFonts w:cs="Times New Roman"/>
        </w:rPr>
        <w:t>For insurance coverage, approximately 45</w:t>
      </w:r>
      <w:r w:rsidR="002A68B9" w:rsidRPr="00817B9F">
        <w:rPr>
          <w:rFonts w:cs="Times New Roman"/>
        </w:rPr>
        <w:t xml:space="preserve"> percent</w:t>
      </w:r>
      <w:r w:rsidRPr="00817B9F">
        <w:rPr>
          <w:rFonts w:cs="Times New Roman"/>
        </w:rPr>
        <w:t xml:space="preserve"> of </w:t>
      </w:r>
      <w:r w:rsidR="006F4E9C" w:rsidRPr="00817B9F">
        <w:rPr>
          <w:rFonts w:cs="Times New Roman"/>
        </w:rPr>
        <w:t>in</w:t>
      </w:r>
      <w:r w:rsidRPr="00817B9F">
        <w:rPr>
          <w:rFonts w:cs="Times New Roman"/>
        </w:rPr>
        <w:t xml:space="preserve">patients </w:t>
      </w:r>
      <w:r w:rsidR="005F5E41" w:rsidRPr="00817B9F">
        <w:rPr>
          <w:rFonts w:cs="Times New Roman"/>
        </w:rPr>
        <w:t>ha</w:t>
      </w:r>
      <w:r w:rsidR="00D01D2D" w:rsidRPr="00817B9F">
        <w:rPr>
          <w:rFonts w:cs="Times New Roman"/>
        </w:rPr>
        <w:t>d</w:t>
      </w:r>
      <w:r w:rsidR="005F5E41" w:rsidRPr="00817B9F">
        <w:rPr>
          <w:rFonts w:cs="Times New Roman"/>
        </w:rPr>
        <w:t xml:space="preserve"> Original Medicare, </w:t>
      </w:r>
      <w:r w:rsidR="002D102C" w:rsidRPr="00817B9F">
        <w:rPr>
          <w:rFonts w:cs="Times New Roman"/>
        </w:rPr>
        <w:t>3</w:t>
      </w:r>
      <w:r w:rsidR="00672F91" w:rsidRPr="00817B9F">
        <w:rPr>
          <w:rFonts w:cs="Times New Roman"/>
        </w:rPr>
        <w:t>3</w:t>
      </w:r>
      <w:r w:rsidR="002A68B9" w:rsidRPr="00817B9F">
        <w:rPr>
          <w:rFonts w:cs="Times New Roman"/>
        </w:rPr>
        <w:t xml:space="preserve"> percent</w:t>
      </w:r>
      <w:r w:rsidR="002D102C" w:rsidRPr="00817B9F">
        <w:rPr>
          <w:rFonts w:cs="Times New Roman"/>
        </w:rPr>
        <w:t xml:space="preserve"> h</w:t>
      </w:r>
      <w:r w:rsidR="00D01D2D" w:rsidRPr="00817B9F">
        <w:rPr>
          <w:rFonts w:cs="Times New Roman"/>
        </w:rPr>
        <w:t>ad</w:t>
      </w:r>
      <w:r w:rsidR="002D102C" w:rsidRPr="00817B9F">
        <w:rPr>
          <w:rFonts w:cs="Times New Roman"/>
        </w:rPr>
        <w:t xml:space="preserve"> </w:t>
      </w:r>
      <w:r w:rsidR="00D9293E" w:rsidRPr="00817B9F">
        <w:rPr>
          <w:rFonts w:cs="Times New Roman"/>
        </w:rPr>
        <w:t>c</w:t>
      </w:r>
      <w:r w:rsidR="002D102C" w:rsidRPr="00817B9F">
        <w:rPr>
          <w:rFonts w:cs="Times New Roman"/>
        </w:rPr>
        <w:t xml:space="preserve">ommercial </w:t>
      </w:r>
      <w:r w:rsidR="00D9293E" w:rsidRPr="00817B9F">
        <w:rPr>
          <w:rFonts w:cs="Times New Roman"/>
        </w:rPr>
        <w:t>coverage</w:t>
      </w:r>
      <w:r w:rsidR="002D102C" w:rsidRPr="00817B9F">
        <w:rPr>
          <w:rFonts w:cs="Times New Roman"/>
        </w:rPr>
        <w:t xml:space="preserve"> (which will include some</w:t>
      </w:r>
      <w:r w:rsidR="00EE6045" w:rsidRPr="00817B9F">
        <w:rPr>
          <w:rFonts w:cs="Times New Roman"/>
        </w:rPr>
        <w:t xml:space="preserve"> Health Connector </w:t>
      </w:r>
      <w:r w:rsidR="009D462C" w:rsidRPr="00817B9F">
        <w:rPr>
          <w:rFonts w:cs="Times New Roman"/>
        </w:rPr>
        <w:t>Authority plans</w:t>
      </w:r>
      <w:r w:rsidR="00FA619B" w:rsidRPr="00817B9F">
        <w:rPr>
          <w:rFonts w:cs="Times New Roman"/>
        </w:rPr>
        <w:t xml:space="preserve">), </w:t>
      </w:r>
      <w:r w:rsidR="007E71B7" w:rsidRPr="00817B9F">
        <w:rPr>
          <w:rFonts w:cs="Times New Roman"/>
        </w:rPr>
        <w:t>eight</w:t>
      </w:r>
      <w:r w:rsidR="00003ACB" w:rsidRPr="00817B9F">
        <w:rPr>
          <w:rFonts w:cs="Times New Roman"/>
        </w:rPr>
        <w:t xml:space="preserve"> percent ha</w:t>
      </w:r>
      <w:r w:rsidR="00D01D2D" w:rsidRPr="00817B9F">
        <w:rPr>
          <w:rFonts w:cs="Times New Roman"/>
        </w:rPr>
        <w:t>d</w:t>
      </w:r>
      <w:r w:rsidR="00003ACB" w:rsidRPr="00817B9F">
        <w:rPr>
          <w:rFonts w:cs="Times New Roman"/>
        </w:rPr>
        <w:t xml:space="preserve"> MassHealth </w:t>
      </w:r>
      <w:r w:rsidR="00D9293E" w:rsidRPr="00817B9F">
        <w:rPr>
          <w:rFonts w:cs="Times New Roman"/>
        </w:rPr>
        <w:t>m</w:t>
      </w:r>
      <w:r w:rsidR="00003ACB" w:rsidRPr="00817B9F">
        <w:rPr>
          <w:rFonts w:cs="Times New Roman"/>
        </w:rPr>
        <w:t xml:space="preserve">anaged </w:t>
      </w:r>
      <w:r w:rsidR="00D9293E" w:rsidRPr="00817B9F">
        <w:rPr>
          <w:rFonts w:cs="Times New Roman"/>
        </w:rPr>
        <w:t>c</w:t>
      </w:r>
      <w:r w:rsidR="00003ACB" w:rsidRPr="00817B9F">
        <w:rPr>
          <w:rFonts w:cs="Times New Roman"/>
        </w:rPr>
        <w:t>are</w:t>
      </w:r>
      <w:r w:rsidR="00D9293E" w:rsidRPr="00817B9F">
        <w:rPr>
          <w:rFonts w:cs="Times New Roman"/>
        </w:rPr>
        <w:t xml:space="preserve"> plans</w:t>
      </w:r>
      <w:r w:rsidR="007E71B7" w:rsidRPr="00817B9F">
        <w:rPr>
          <w:rFonts w:cs="Times New Roman"/>
        </w:rPr>
        <w:t>, two</w:t>
      </w:r>
      <w:r w:rsidR="002A68B9" w:rsidRPr="00817B9F">
        <w:rPr>
          <w:rFonts w:cs="Times New Roman"/>
        </w:rPr>
        <w:t xml:space="preserve"> percent</w:t>
      </w:r>
      <w:r w:rsidR="004C4616" w:rsidRPr="00817B9F">
        <w:rPr>
          <w:rFonts w:cs="Times New Roman"/>
        </w:rPr>
        <w:t xml:space="preserve"> ha</w:t>
      </w:r>
      <w:r w:rsidR="00D01D2D" w:rsidRPr="00817B9F">
        <w:rPr>
          <w:rFonts w:cs="Times New Roman"/>
        </w:rPr>
        <w:t>d</w:t>
      </w:r>
      <w:r w:rsidR="004C4616" w:rsidRPr="00817B9F">
        <w:rPr>
          <w:rFonts w:cs="Times New Roman"/>
        </w:rPr>
        <w:t xml:space="preserve"> MassHealth</w:t>
      </w:r>
      <w:r w:rsidR="007E71B7" w:rsidRPr="00817B9F">
        <w:rPr>
          <w:rFonts w:cs="Times New Roman"/>
        </w:rPr>
        <w:t xml:space="preserve"> </w:t>
      </w:r>
      <w:r w:rsidR="00D9293E" w:rsidRPr="00817B9F">
        <w:rPr>
          <w:rFonts w:cs="Times New Roman"/>
        </w:rPr>
        <w:t>n</w:t>
      </w:r>
      <w:r w:rsidR="007E71B7" w:rsidRPr="00817B9F">
        <w:rPr>
          <w:rFonts w:cs="Times New Roman"/>
        </w:rPr>
        <w:t>on-</w:t>
      </w:r>
      <w:r w:rsidR="00D9293E" w:rsidRPr="00817B9F">
        <w:rPr>
          <w:rFonts w:cs="Times New Roman"/>
        </w:rPr>
        <w:t>m</w:t>
      </w:r>
      <w:r w:rsidR="007E71B7" w:rsidRPr="00817B9F">
        <w:rPr>
          <w:rFonts w:cs="Times New Roman"/>
        </w:rPr>
        <w:t xml:space="preserve">anaged </w:t>
      </w:r>
      <w:r w:rsidR="00D9293E" w:rsidRPr="00817B9F">
        <w:rPr>
          <w:rFonts w:cs="Times New Roman"/>
        </w:rPr>
        <w:t>c</w:t>
      </w:r>
      <w:r w:rsidR="007E71B7" w:rsidRPr="00817B9F">
        <w:rPr>
          <w:rFonts w:cs="Times New Roman"/>
        </w:rPr>
        <w:t>are</w:t>
      </w:r>
      <w:r w:rsidR="00D9293E" w:rsidRPr="00817B9F">
        <w:rPr>
          <w:rFonts w:cs="Times New Roman"/>
        </w:rPr>
        <w:t xml:space="preserve"> coverage</w:t>
      </w:r>
      <w:r w:rsidR="00F82D16" w:rsidRPr="00817B9F">
        <w:rPr>
          <w:rFonts w:cs="Times New Roman"/>
        </w:rPr>
        <w:t>,</w:t>
      </w:r>
      <w:r w:rsidR="00894959" w:rsidRPr="00817B9F">
        <w:rPr>
          <w:rFonts w:cs="Times New Roman"/>
        </w:rPr>
        <w:t xml:space="preserve"> </w:t>
      </w:r>
      <w:r w:rsidR="002A68B9" w:rsidRPr="00817B9F">
        <w:rPr>
          <w:rFonts w:cs="Times New Roman"/>
        </w:rPr>
        <w:t>seven percent</w:t>
      </w:r>
      <w:r w:rsidR="00B339A9" w:rsidRPr="00817B9F">
        <w:rPr>
          <w:rFonts w:cs="Times New Roman"/>
        </w:rPr>
        <w:t xml:space="preserve"> ha</w:t>
      </w:r>
      <w:r w:rsidR="00D01D2D" w:rsidRPr="00817B9F">
        <w:rPr>
          <w:rFonts w:cs="Times New Roman"/>
        </w:rPr>
        <w:t>d</w:t>
      </w:r>
      <w:r w:rsidR="00B339A9" w:rsidRPr="00817B9F">
        <w:rPr>
          <w:rFonts w:cs="Times New Roman"/>
        </w:rPr>
        <w:t xml:space="preserve"> Medicare </w:t>
      </w:r>
      <w:r w:rsidR="00D9293E" w:rsidRPr="00817B9F">
        <w:rPr>
          <w:rFonts w:cs="Times New Roman"/>
        </w:rPr>
        <w:t>h</w:t>
      </w:r>
      <w:r w:rsidR="00B339A9" w:rsidRPr="00817B9F">
        <w:rPr>
          <w:rFonts w:cs="Times New Roman"/>
        </w:rPr>
        <w:t xml:space="preserve">ealth </w:t>
      </w:r>
      <w:r w:rsidR="00D9293E" w:rsidRPr="00817B9F">
        <w:rPr>
          <w:rFonts w:cs="Times New Roman"/>
        </w:rPr>
        <w:t>p</w:t>
      </w:r>
      <w:r w:rsidR="00B339A9" w:rsidRPr="00817B9F">
        <w:rPr>
          <w:rFonts w:cs="Times New Roman"/>
        </w:rPr>
        <w:t>lans,</w:t>
      </w:r>
      <w:r w:rsidR="00FE0905" w:rsidRPr="00817B9F">
        <w:rPr>
          <w:rFonts w:cs="Times New Roman"/>
        </w:rPr>
        <w:t xml:space="preserve"> </w:t>
      </w:r>
      <w:r w:rsidR="00E536BA" w:rsidRPr="00817B9F">
        <w:rPr>
          <w:rFonts w:cs="Times New Roman"/>
        </w:rPr>
        <w:t xml:space="preserve">and </w:t>
      </w:r>
      <w:r w:rsidR="002A68B9" w:rsidRPr="00817B9F">
        <w:rPr>
          <w:rFonts w:cs="Times New Roman"/>
        </w:rPr>
        <w:t>six percent</w:t>
      </w:r>
      <w:r w:rsidR="00E536BA" w:rsidRPr="00817B9F">
        <w:rPr>
          <w:rFonts w:cs="Times New Roman"/>
        </w:rPr>
        <w:t xml:space="preserve"> ha</w:t>
      </w:r>
      <w:r w:rsidR="00D01D2D" w:rsidRPr="00817B9F">
        <w:rPr>
          <w:rFonts w:cs="Times New Roman"/>
        </w:rPr>
        <w:t>d</w:t>
      </w:r>
      <w:r w:rsidR="00E536BA" w:rsidRPr="00817B9F">
        <w:rPr>
          <w:rFonts w:cs="Times New Roman"/>
        </w:rPr>
        <w:t xml:space="preserve"> other coverage (</w:t>
      </w:r>
      <w:r w:rsidR="006E2432" w:rsidRPr="00817B9F">
        <w:rPr>
          <w:rFonts w:cs="Times New Roman"/>
          <w:i/>
          <w:iCs/>
        </w:rPr>
        <w:t>e</w:t>
      </w:r>
      <w:r w:rsidR="00E536BA" w:rsidRPr="00817B9F">
        <w:rPr>
          <w:rFonts w:cs="Times New Roman"/>
          <w:i/>
          <w:iCs/>
        </w:rPr>
        <w:t>.g.</w:t>
      </w:r>
      <w:r w:rsidR="00E536BA" w:rsidRPr="00817B9F">
        <w:rPr>
          <w:rFonts w:cs="Times New Roman"/>
        </w:rPr>
        <w:t xml:space="preserve">, </w:t>
      </w:r>
      <w:r w:rsidR="00C815F5" w:rsidRPr="00817B9F">
        <w:rPr>
          <w:rFonts w:cs="Times New Roman"/>
        </w:rPr>
        <w:t>self</w:t>
      </w:r>
      <w:r w:rsidR="00891F21" w:rsidRPr="00817B9F">
        <w:rPr>
          <w:rFonts w:cs="Times New Roman"/>
        </w:rPr>
        <w:t>-</w:t>
      </w:r>
      <w:r w:rsidR="00C815F5" w:rsidRPr="00817B9F">
        <w:rPr>
          <w:rFonts w:cs="Times New Roman"/>
        </w:rPr>
        <w:t>pay patients</w:t>
      </w:r>
      <w:r w:rsidR="007A425B" w:rsidRPr="00817B9F">
        <w:rPr>
          <w:rFonts w:cs="Times New Roman"/>
        </w:rPr>
        <w:t>, other government insurance,</w:t>
      </w:r>
      <w:r w:rsidR="00C815F5" w:rsidRPr="00817B9F">
        <w:rPr>
          <w:rFonts w:cs="Times New Roman"/>
        </w:rPr>
        <w:t xml:space="preserve"> workers</w:t>
      </w:r>
      <w:r w:rsidR="00A2140F" w:rsidRPr="00817B9F">
        <w:rPr>
          <w:rFonts w:cs="Times New Roman"/>
        </w:rPr>
        <w:t>’</w:t>
      </w:r>
      <w:r w:rsidR="0086079E" w:rsidRPr="00817B9F">
        <w:rPr>
          <w:rFonts w:cs="Times New Roman"/>
        </w:rPr>
        <w:t xml:space="preserve"> compensation</w:t>
      </w:r>
      <w:r w:rsidR="00A2140F" w:rsidRPr="00817B9F">
        <w:rPr>
          <w:rFonts w:cs="Times New Roman"/>
        </w:rPr>
        <w:t xml:space="preserve">, </w:t>
      </w:r>
      <w:r w:rsidR="006E2432" w:rsidRPr="00817B9F">
        <w:rPr>
          <w:rFonts w:cs="Times New Roman"/>
        </w:rPr>
        <w:t>auto insurance, free care,</w:t>
      </w:r>
      <w:r w:rsidR="007A425B" w:rsidRPr="00817B9F">
        <w:rPr>
          <w:rFonts w:cs="Times New Roman"/>
        </w:rPr>
        <w:t xml:space="preserve"> etc.).</w:t>
      </w:r>
      <w:r w:rsidR="00F904E6" w:rsidRPr="00817B9F">
        <w:rPr>
          <w:rStyle w:val="FootnoteReference"/>
          <w:rFonts w:cs="Times New Roman"/>
        </w:rPr>
        <w:footnoteReference w:id="104"/>
      </w:r>
      <w:r w:rsidR="00B80C17" w:rsidRPr="00817B9F">
        <w:rPr>
          <w:rFonts w:cs="Times New Roman"/>
        </w:rPr>
        <w:t xml:space="preserve"> </w:t>
      </w:r>
    </w:p>
    <w:p w14:paraId="18B70B1B" w14:textId="634CC3E1" w:rsidR="008F3C07" w:rsidRPr="00817B9F" w:rsidRDefault="006E5D2E" w:rsidP="005D3EC9">
      <w:pPr>
        <w:pStyle w:val="BulletParagraph"/>
        <w:rPr>
          <w:rFonts w:cs="Times New Roman"/>
        </w:rPr>
      </w:pPr>
      <w:r w:rsidRPr="00817B9F">
        <w:rPr>
          <w:rFonts w:cs="Times New Roman"/>
        </w:rPr>
        <w:t>The case mix index (or “CMI”)</w:t>
      </w:r>
      <w:r w:rsidR="006F4E9C" w:rsidRPr="00817B9F">
        <w:rPr>
          <w:rFonts w:cs="Times New Roman"/>
        </w:rPr>
        <w:t>—</w:t>
      </w:r>
      <w:r w:rsidR="00D608A4" w:rsidRPr="00817B9F">
        <w:rPr>
          <w:rFonts w:cs="Times New Roman"/>
        </w:rPr>
        <w:t xml:space="preserve"> </w:t>
      </w:r>
      <w:r w:rsidR="00243A88" w:rsidRPr="00817B9F">
        <w:rPr>
          <w:rFonts w:cs="Times New Roman"/>
        </w:rPr>
        <w:t xml:space="preserve">which </w:t>
      </w:r>
      <w:r w:rsidR="004E6732" w:rsidRPr="00817B9F">
        <w:rPr>
          <w:rFonts w:cs="Times New Roman"/>
        </w:rPr>
        <w:t xml:space="preserve">is </w:t>
      </w:r>
      <w:r w:rsidR="00D608A4" w:rsidRPr="00817B9F">
        <w:rPr>
          <w:rFonts w:cs="Times New Roman"/>
        </w:rPr>
        <w:t>calculated as</w:t>
      </w:r>
      <w:r w:rsidR="00CC167E" w:rsidRPr="00817B9F">
        <w:rPr>
          <w:rFonts w:cs="Times New Roman"/>
        </w:rPr>
        <w:t xml:space="preserve"> the</w:t>
      </w:r>
      <w:r w:rsidR="00243A88" w:rsidRPr="00817B9F">
        <w:rPr>
          <w:rFonts w:cs="Times New Roman"/>
        </w:rPr>
        <w:t xml:space="preserve"> </w:t>
      </w:r>
      <w:r w:rsidR="00D608A4" w:rsidRPr="00817B9F">
        <w:rPr>
          <w:rFonts w:cs="Times New Roman"/>
        </w:rPr>
        <w:t xml:space="preserve">average </w:t>
      </w:r>
      <w:r w:rsidR="00787D2C" w:rsidRPr="00817B9F">
        <w:rPr>
          <w:rFonts w:cs="Times New Roman"/>
        </w:rPr>
        <w:t xml:space="preserve">of </w:t>
      </w:r>
      <w:r w:rsidR="00D608A4" w:rsidRPr="00817B9F">
        <w:rPr>
          <w:rFonts w:cs="Times New Roman"/>
        </w:rPr>
        <w:t>the Medicare Severity-DRG</w:t>
      </w:r>
      <w:r w:rsidR="00CD4F85" w:rsidRPr="00817B9F">
        <w:rPr>
          <w:rFonts w:cs="Times New Roman"/>
        </w:rPr>
        <w:t xml:space="preserve"> </w:t>
      </w:r>
      <w:r w:rsidR="00243A88" w:rsidRPr="00817B9F">
        <w:rPr>
          <w:rFonts w:cs="Times New Roman"/>
        </w:rPr>
        <w:t xml:space="preserve">relative </w:t>
      </w:r>
      <w:r w:rsidR="00D608A4" w:rsidRPr="00817B9F">
        <w:rPr>
          <w:rFonts w:cs="Times New Roman"/>
        </w:rPr>
        <w:t>weights</w:t>
      </w:r>
      <w:r w:rsidR="00D608A4" w:rsidRPr="00817B9F">
        <w:rPr>
          <w:rStyle w:val="FootnoteReference"/>
          <w:rFonts w:cs="Times New Roman"/>
        </w:rPr>
        <w:footnoteReference w:id="105"/>
      </w:r>
      <w:r w:rsidR="00D608A4" w:rsidRPr="00817B9F">
        <w:rPr>
          <w:rFonts w:cs="Times New Roman"/>
        </w:rPr>
        <w:t xml:space="preserve"> across</w:t>
      </w:r>
      <w:r w:rsidR="006A64D8" w:rsidRPr="00817B9F">
        <w:rPr>
          <w:rFonts w:cs="Times New Roman"/>
        </w:rPr>
        <w:t xml:space="preserve"> inpatients</w:t>
      </w:r>
      <w:r w:rsidR="00D608A4" w:rsidRPr="00817B9F">
        <w:rPr>
          <w:rFonts w:cs="Times New Roman"/>
        </w:rPr>
        <w:t xml:space="preserve"> at the hospital</w:t>
      </w:r>
      <w:r w:rsidR="006F4E9C" w:rsidRPr="00817B9F">
        <w:rPr>
          <w:rFonts w:cs="Times New Roman"/>
        </w:rPr>
        <w:t>—</w:t>
      </w:r>
      <w:r w:rsidR="00243A88" w:rsidRPr="00817B9F">
        <w:rPr>
          <w:rFonts w:cs="Times New Roman"/>
        </w:rPr>
        <w:t xml:space="preserve">for MGH’s inpatients </w:t>
      </w:r>
      <w:r w:rsidR="00CD633E" w:rsidRPr="00817B9F">
        <w:rPr>
          <w:rFonts w:cs="Times New Roman"/>
        </w:rPr>
        <w:t>was</w:t>
      </w:r>
      <w:r w:rsidR="00243A88" w:rsidRPr="00817B9F">
        <w:rPr>
          <w:rFonts w:cs="Times New Roman"/>
        </w:rPr>
        <w:t xml:space="preserve"> 2.12.</w:t>
      </w:r>
    </w:p>
    <w:p w14:paraId="4D4D9F6A" w14:textId="60B432F7" w:rsidR="003A4883" w:rsidRPr="00817B9F" w:rsidRDefault="005D18FE" w:rsidP="00266EFB">
      <w:pPr>
        <w:pStyle w:val="NumberedParagraphs"/>
      </w:pPr>
      <w:r w:rsidRPr="00817B9F">
        <w:t xml:space="preserve">The second column of the </w:t>
      </w:r>
      <w:r w:rsidR="00215DE0" w:rsidRPr="00817B9F">
        <w:t>figure</w:t>
      </w:r>
      <w:r w:rsidRPr="00817B9F">
        <w:t xml:space="preserve"> summarizes </w:t>
      </w:r>
      <w:r w:rsidR="00BC34C0" w:rsidRPr="00817B9F">
        <w:t xml:space="preserve">the </w:t>
      </w:r>
      <w:r w:rsidRPr="00817B9F">
        <w:t xml:space="preserve">characteristics </w:t>
      </w:r>
      <w:r w:rsidR="00BC34C0" w:rsidRPr="00817B9F">
        <w:t>of</w:t>
      </w:r>
      <w:r w:rsidRPr="00817B9F">
        <w:t xml:space="preserve"> tho</w:t>
      </w:r>
      <w:r w:rsidR="00DB4033" w:rsidRPr="00817B9F">
        <w:t>se MGH patients who reside</w:t>
      </w:r>
      <w:r w:rsidR="00A75C80" w:rsidRPr="00817B9F">
        <w:t>d</w:t>
      </w:r>
      <w:r w:rsidR="00DB4033" w:rsidRPr="00817B9F">
        <w:t xml:space="preserve"> in the hospital’s 75 percent se</w:t>
      </w:r>
      <w:r w:rsidR="000A2914" w:rsidRPr="00817B9F">
        <w:t>rvice area. This</w:t>
      </w:r>
      <w:r w:rsidR="00687788" w:rsidRPr="00817B9F">
        <w:t xml:space="preserve"> </w:t>
      </w:r>
      <w:r w:rsidR="00BC34C0" w:rsidRPr="00817B9F">
        <w:t>service</w:t>
      </w:r>
      <w:r w:rsidR="00687788" w:rsidRPr="00817B9F">
        <w:t xml:space="preserve"> area is created by identifying </w:t>
      </w:r>
      <w:r w:rsidR="00687788" w:rsidRPr="00817B9F">
        <w:lastRenderedPageBreak/>
        <w:t xml:space="preserve">the </w:t>
      </w:r>
      <w:r w:rsidR="00DE4F6A" w:rsidRPr="00817B9F">
        <w:t>small</w:t>
      </w:r>
      <w:r w:rsidR="003A584E" w:rsidRPr="00817B9F">
        <w:t>est</w:t>
      </w:r>
      <w:r w:rsidR="00DE4F6A" w:rsidRPr="00817B9F">
        <w:t xml:space="preserve"> set of </w:t>
      </w:r>
      <w:r w:rsidR="00687788" w:rsidRPr="00817B9F">
        <w:t xml:space="preserve">ZIP Codes </w:t>
      </w:r>
      <w:r w:rsidR="00DE4F6A" w:rsidRPr="00817B9F">
        <w:t>that comprise</w:t>
      </w:r>
      <w:r w:rsidR="009B4FE5" w:rsidRPr="00817B9F">
        <w:t>d</w:t>
      </w:r>
      <w:r w:rsidR="00A61B4E" w:rsidRPr="00817B9F">
        <w:t xml:space="preserve"> at least 75</w:t>
      </w:r>
      <w:r w:rsidR="00DE4F6A" w:rsidRPr="00817B9F">
        <w:t xml:space="preserve"> percent</w:t>
      </w:r>
      <w:r w:rsidR="00A61B4E" w:rsidRPr="00817B9F">
        <w:t xml:space="preserve"> of MGH’s discharges</w:t>
      </w:r>
      <w:r w:rsidR="00DE4F6A" w:rsidRPr="00817B9F">
        <w:t xml:space="preserve"> for the relevant inpatient services.</w:t>
      </w:r>
      <w:r w:rsidR="00A90F52" w:rsidRPr="00817B9F">
        <w:t xml:space="preserve"> MGH’s 75</w:t>
      </w:r>
      <w:r w:rsidR="00DE4F6A" w:rsidRPr="00817B9F">
        <w:t xml:space="preserve"> percent</w:t>
      </w:r>
      <w:r w:rsidR="00A90F52" w:rsidRPr="00817B9F">
        <w:t xml:space="preserve"> service area </w:t>
      </w:r>
      <w:r w:rsidR="008D0F9D" w:rsidRPr="00817B9F">
        <w:t xml:space="preserve">is shown in </w:t>
      </w:r>
      <w:r w:rsidR="004F6EB2" w:rsidRPr="00817B9F">
        <w:t>Figure</w:t>
      </w:r>
      <w:r w:rsidR="00E00A5D" w:rsidRPr="00817B9F">
        <w:t xml:space="preserve"> </w:t>
      </w:r>
      <w:r w:rsidR="000E5C9F" w:rsidRPr="00817B9F">
        <w:t>MGH2</w:t>
      </w:r>
      <w:r w:rsidR="00E00A5D" w:rsidRPr="00817B9F">
        <w:t>.</w:t>
      </w:r>
      <w:r w:rsidR="006A35BA" w:rsidRPr="00817B9F">
        <w:rPr>
          <w:rStyle w:val="FootnoteReference"/>
        </w:rPr>
        <w:footnoteReference w:id="106"/>
      </w:r>
    </w:p>
    <w:p w14:paraId="131336AA" w14:textId="082CDCFD" w:rsidR="00201BB3" w:rsidRPr="00817B9F" w:rsidRDefault="00A915BC" w:rsidP="004E6732">
      <w:pPr>
        <w:pStyle w:val="NumberedParagraphs"/>
      </w:pPr>
      <w:r w:rsidRPr="00817B9F">
        <w:t xml:space="preserve">The third column of </w:t>
      </w:r>
      <w:r w:rsidR="003E374D" w:rsidRPr="00817B9F">
        <w:t>Figure MGH1</w:t>
      </w:r>
      <w:r w:rsidR="00E30C32" w:rsidRPr="00817B9F">
        <w:t xml:space="preserve"> </w:t>
      </w:r>
      <w:r w:rsidR="00B2358D" w:rsidRPr="00817B9F">
        <w:t xml:space="preserve">provides a summary of the characteristics </w:t>
      </w:r>
      <w:r w:rsidR="0040317D" w:rsidRPr="00817B9F">
        <w:t>of</w:t>
      </w:r>
      <w:r w:rsidR="00B2358D" w:rsidRPr="00817B9F">
        <w:t xml:space="preserve"> all </w:t>
      </w:r>
      <w:r w:rsidR="0040317D" w:rsidRPr="00817B9F">
        <w:t>in</w:t>
      </w:r>
      <w:r w:rsidR="00B2358D" w:rsidRPr="00817B9F">
        <w:t xml:space="preserve">patients admitted </w:t>
      </w:r>
      <w:r w:rsidR="004671CE" w:rsidRPr="00817B9F">
        <w:t>to</w:t>
      </w:r>
      <w:r w:rsidR="00B2358D" w:rsidRPr="00817B9F">
        <w:t xml:space="preserve"> Massachusetts </w:t>
      </w:r>
      <w:r w:rsidR="004671CE" w:rsidRPr="00817B9F">
        <w:t>hospitals</w:t>
      </w:r>
      <w:r w:rsidR="00B2358D" w:rsidRPr="00817B9F">
        <w:t xml:space="preserve"> who </w:t>
      </w:r>
      <w:r w:rsidR="004671CE" w:rsidRPr="00817B9F">
        <w:t>reside</w:t>
      </w:r>
      <w:r w:rsidR="007A38C8" w:rsidRPr="00817B9F">
        <w:t>d</w:t>
      </w:r>
      <w:r w:rsidR="00B2358D" w:rsidRPr="00817B9F">
        <w:t xml:space="preserve"> in MGH’s 75</w:t>
      </w:r>
      <w:r w:rsidR="002A68B9" w:rsidRPr="00817B9F">
        <w:t xml:space="preserve"> percent</w:t>
      </w:r>
      <w:r w:rsidR="00B2358D" w:rsidRPr="00817B9F">
        <w:t xml:space="preserve"> service area. </w:t>
      </w:r>
      <w:r w:rsidR="009B4244" w:rsidRPr="00817B9F">
        <w:t xml:space="preserve">Broadly speaking, the </w:t>
      </w:r>
      <w:r w:rsidR="009E637A" w:rsidRPr="00817B9F">
        <w:t xml:space="preserve">profiles of MGH’s patients </w:t>
      </w:r>
      <w:r w:rsidR="00D31BD2" w:rsidRPr="00817B9F">
        <w:t>who reside</w:t>
      </w:r>
      <w:r w:rsidR="00840843" w:rsidRPr="00817B9F">
        <w:t>d</w:t>
      </w:r>
      <w:r w:rsidR="00D31BD2" w:rsidRPr="00817B9F">
        <w:t xml:space="preserve"> in the hospital’s</w:t>
      </w:r>
      <w:r w:rsidR="00DB6686" w:rsidRPr="00817B9F">
        <w:t xml:space="preserve"> 75 percent service area </w:t>
      </w:r>
      <w:r w:rsidR="005C72C6" w:rsidRPr="00817B9F">
        <w:t xml:space="preserve">and </w:t>
      </w:r>
      <w:r w:rsidR="000B06EE" w:rsidRPr="00817B9F">
        <w:t xml:space="preserve">the profiles of </w:t>
      </w:r>
      <w:r w:rsidR="0040317D" w:rsidRPr="00817B9F">
        <w:t xml:space="preserve">all </w:t>
      </w:r>
      <w:r w:rsidR="000B06EE" w:rsidRPr="00817B9F">
        <w:t xml:space="preserve">patients </w:t>
      </w:r>
      <w:r w:rsidR="0040317D" w:rsidRPr="00817B9F">
        <w:t xml:space="preserve">who </w:t>
      </w:r>
      <w:r w:rsidR="00DB6686" w:rsidRPr="00817B9F">
        <w:t>resid</w:t>
      </w:r>
      <w:r w:rsidR="0040317D" w:rsidRPr="00817B9F">
        <w:t>e</w:t>
      </w:r>
      <w:r w:rsidR="00840843" w:rsidRPr="00817B9F">
        <w:t>d</w:t>
      </w:r>
      <w:r w:rsidR="00DB6686" w:rsidRPr="00817B9F">
        <w:t xml:space="preserve"> in that </w:t>
      </w:r>
      <w:r w:rsidR="00962575" w:rsidRPr="00817B9F">
        <w:t xml:space="preserve">area </w:t>
      </w:r>
      <w:r w:rsidR="0040317D" w:rsidRPr="00817B9F">
        <w:t>were</w:t>
      </w:r>
      <w:r w:rsidR="00DB6686" w:rsidRPr="00817B9F">
        <w:t xml:space="preserve"> </w:t>
      </w:r>
      <w:r w:rsidR="00B2358D" w:rsidRPr="00817B9F">
        <w:t>similar</w:t>
      </w:r>
      <w:r w:rsidR="00DB6686" w:rsidRPr="00817B9F">
        <w:t xml:space="preserve">, </w:t>
      </w:r>
      <w:r w:rsidR="00D31BD2" w:rsidRPr="00817B9F">
        <w:t xml:space="preserve">although </w:t>
      </w:r>
      <w:r w:rsidR="000F486B" w:rsidRPr="00817B9F">
        <w:t>we note several</w:t>
      </w:r>
      <w:r w:rsidR="00D31BD2" w:rsidRPr="00817B9F">
        <w:t xml:space="preserve"> differences</w:t>
      </w:r>
      <w:r w:rsidR="000F486B" w:rsidRPr="00817B9F">
        <w:t xml:space="preserve"> </w:t>
      </w:r>
      <w:r w:rsidR="00CF0192" w:rsidRPr="00817B9F">
        <w:t>b</w:t>
      </w:r>
      <w:r w:rsidR="009E5E29" w:rsidRPr="00817B9F">
        <w:t>elow</w:t>
      </w:r>
      <w:r w:rsidR="00D31BD2" w:rsidRPr="00817B9F">
        <w:t xml:space="preserve">. </w:t>
      </w:r>
    </w:p>
    <w:p w14:paraId="24C0C827" w14:textId="2B550F8B" w:rsidR="00201BB3" w:rsidRPr="00817B9F" w:rsidRDefault="00A822DB" w:rsidP="005D3EC9">
      <w:pPr>
        <w:pStyle w:val="BulletParagraph"/>
        <w:rPr>
          <w:rFonts w:cs="Times New Roman"/>
        </w:rPr>
      </w:pPr>
      <w:r w:rsidRPr="00817B9F">
        <w:rPr>
          <w:rFonts w:cs="Times New Roman"/>
        </w:rPr>
        <w:t>R</w:t>
      </w:r>
      <w:r w:rsidR="0040317D" w:rsidRPr="00817B9F">
        <w:rPr>
          <w:rFonts w:cs="Times New Roman"/>
        </w:rPr>
        <w:t xml:space="preserve">elative to MGH’s </w:t>
      </w:r>
      <w:r w:rsidR="000B06EE" w:rsidRPr="00817B9F">
        <w:rPr>
          <w:rFonts w:cs="Times New Roman"/>
        </w:rPr>
        <w:t>patients</w:t>
      </w:r>
      <w:r w:rsidR="005C6E6B" w:rsidRPr="00817B9F">
        <w:rPr>
          <w:rFonts w:cs="Times New Roman"/>
        </w:rPr>
        <w:t xml:space="preserve"> in</w:t>
      </w:r>
      <w:r w:rsidR="00093CCC" w:rsidRPr="00817B9F">
        <w:rPr>
          <w:rFonts w:cs="Times New Roman"/>
        </w:rPr>
        <w:t xml:space="preserve"> its</w:t>
      </w:r>
      <w:r w:rsidR="005C6E6B" w:rsidRPr="00817B9F">
        <w:rPr>
          <w:rFonts w:cs="Times New Roman"/>
        </w:rPr>
        <w:t xml:space="preserve"> </w:t>
      </w:r>
      <w:r w:rsidR="00093CCC" w:rsidRPr="00817B9F">
        <w:rPr>
          <w:rFonts w:cs="Times New Roman"/>
        </w:rPr>
        <w:t xml:space="preserve">75 percent </w:t>
      </w:r>
      <w:r w:rsidR="005C6E6B" w:rsidRPr="00817B9F">
        <w:rPr>
          <w:rFonts w:cs="Times New Roman"/>
        </w:rPr>
        <w:t>service area</w:t>
      </w:r>
      <w:r w:rsidR="0040317D" w:rsidRPr="00817B9F">
        <w:rPr>
          <w:rFonts w:cs="Times New Roman"/>
        </w:rPr>
        <w:t>,</w:t>
      </w:r>
      <w:r w:rsidR="00D31BD2" w:rsidRPr="00817B9F">
        <w:rPr>
          <w:rFonts w:cs="Times New Roman"/>
        </w:rPr>
        <w:t xml:space="preserve"> </w:t>
      </w:r>
      <w:r w:rsidRPr="00817B9F">
        <w:rPr>
          <w:rFonts w:cs="Times New Roman"/>
        </w:rPr>
        <w:t>p</w:t>
      </w:r>
      <w:r w:rsidR="00D31BD2" w:rsidRPr="00817B9F">
        <w:rPr>
          <w:rFonts w:cs="Times New Roman"/>
        </w:rPr>
        <w:t>atients</w:t>
      </w:r>
      <w:r w:rsidR="00B2358D" w:rsidRPr="00817B9F">
        <w:rPr>
          <w:rFonts w:cs="Times New Roman"/>
        </w:rPr>
        <w:t xml:space="preserve"> in MGH’s service area</w:t>
      </w:r>
      <w:r w:rsidR="00D31BD2" w:rsidRPr="00817B9F">
        <w:rPr>
          <w:rFonts w:cs="Times New Roman"/>
        </w:rPr>
        <w:t xml:space="preserve"> </w:t>
      </w:r>
      <w:r w:rsidR="00C75404" w:rsidRPr="00817B9F">
        <w:rPr>
          <w:rFonts w:cs="Times New Roman"/>
        </w:rPr>
        <w:t>(regardless of which hospital they chose)</w:t>
      </w:r>
      <w:r w:rsidR="00B2358D" w:rsidRPr="00817B9F">
        <w:rPr>
          <w:rFonts w:cs="Times New Roman"/>
        </w:rPr>
        <w:t xml:space="preserve"> </w:t>
      </w:r>
      <w:r w:rsidR="0082430F" w:rsidRPr="00817B9F">
        <w:rPr>
          <w:rFonts w:cs="Times New Roman"/>
        </w:rPr>
        <w:t xml:space="preserve">were more likely to be </w:t>
      </w:r>
      <w:r w:rsidR="009574B7" w:rsidRPr="00817B9F">
        <w:rPr>
          <w:rFonts w:cs="Times New Roman"/>
        </w:rPr>
        <w:t>female</w:t>
      </w:r>
      <w:r w:rsidR="00B2358D" w:rsidRPr="00817B9F">
        <w:rPr>
          <w:rFonts w:cs="Times New Roman"/>
        </w:rPr>
        <w:t xml:space="preserve"> (52</w:t>
      </w:r>
      <w:r w:rsidR="002A68B9" w:rsidRPr="00817B9F">
        <w:rPr>
          <w:rFonts w:cs="Times New Roman"/>
        </w:rPr>
        <w:t xml:space="preserve"> percent</w:t>
      </w:r>
      <w:r w:rsidR="00B2358D" w:rsidRPr="00817B9F">
        <w:rPr>
          <w:rFonts w:cs="Times New Roman"/>
        </w:rPr>
        <w:t xml:space="preserve"> </w:t>
      </w:r>
      <w:r w:rsidR="00842DE6" w:rsidRPr="00817B9F">
        <w:rPr>
          <w:rFonts w:cs="Times New Roman"/>
        </w:rPr>
        <w:t>compared to</w:t>
      </w:r>
      <w:r w:rsidR="00B2358D" w:rsidRPr="00817B9F">
        <w:rPr>
          <w:rFonts w:cs="Times New Roman"/>
        </w:rPr>
        <w:t xml:space="preserve"> 47</w:t>
      </w:r>
      <w:r w:rsidR="002A68B9" w:rsidRPr="00817B9F">
        <w:rPr>
          <w:rFonts w:cs="Times New Roman"/>
        </w:rPr>
        <w:t xml:space="preserve"> percent</w:t>
      </w:r>
      <w:r w:rsidR="00B2358D" w:rsidRPr="00817B9F">
        <w:rPr>
          <w:rFonts w:cs="Times New Roman"/>
        </w:rPr>
        <w:t>), more likely to be Black (12</w:t>
      </w:r>
      <w:r w:rsidR="002A68B9" w:rsidRPr="00817B9F">
        <w:rPr>
          <w:rFonts w:cs="Times New Roman"/>
        </w:rPr>
        <w:t xml:space="preserve"> percent</w:t>
      </w:r>
      <w:r w:rsidR="00B2358D" w:rsidRPr="00817B9F">
        <w:rPr>
          <w:rFonts w:cs="Times New Roman"/>
        </w:rPr>
        <w:t xml:space="preserve"> </w:t>
      </w:r>
      <w:r w:rsidR="00842DE6" w:rsidRPr="00817B9F">
        <w:rPr>
          <w:rFonts w:cs="Times New Roman"/>
        </w:rPr>
        <w:t>compared to</w:t>
      </w:r>
      <w:r w:rsidR="00B2358D" w:rsidRPr="00817B9F">
        <w:rPr>
          <w:rFonts w:cs="Times New Roman"/>
        </w:rPr>
        <w:t xml:space="preserve"> </w:t>
      </w:r>
      <w:r w:rsidR="002A68B9" w:rsidRPr="00817B9F">
        <w:rPr>
          <w:rFonts w:cs="Times New Roman"/>
        </w:rPr>
        <w:t>seven percent</w:t>
      </w:r>
      <w:r w:rsidR="00B2358D" w:rsidRPr="00817B9F">
        <w:rPr>
          <w:rFonts w:cs="Times New Roman"/>
        </w:rPr>
        <w:t>), and slightly less likely to be Hispanic (</w:t>
      </w:r>
      <w:r w:rsidR="002A68B9" w:rsidRPr="00817B9F">
        <w:rPr>
          <w:rFonts w:cs="Times New Roman"/>
        </w:rPr>
        <w:t>eight percent</w:t>
      </w:r>
      <w:r w:rsidR="00B2358D" w:rsidRPr="00817B9F">
        <w:rPr>
          <w:rFonts w:cs="Times New Roman"/>
        </w:rPr>
        <w:t xml:space="preserve"> </w:t>
      </w:r>
      <w:r w:rsidR="00842DE6" w:rsidRPr="00817B9F">
        <w:rPr>
          <w:rFonts w:cs="Times New Roman"/>
        </w:rPr>
        <w:t>compared to</w:t>
      </w:r>
      <w:r w:rsidR="00B2358D" w:rsidRPr="00817B9F">
        <w:rPr>
          <w:rFonts w:cs="Times New Roman"/>
        </w:rPr>
        <w:t xml:space="preserve"> </w:t>
      </w:r>
      <w:r w:rsidR="002A68B9" w:rsidRPr="00817B9F">
        <w:rPr>
          <w:rFonts w:cs="Times New Roman"/>
        </w:rPr>
        <w:t>nine percent</w:t>
      </w:r>
      <w:r w:rsidR="00B2358D" w:rsidRPr="00817B9F">
        <w:rPr>
          <w:rFonts w:cs="Times New Roman"/>
        </w:rPr>
        <w:t>).</w:t>
      </w:r>
      <w:r w:rsidR="000B57F2" w:rsidRPr="00817B9F">
        <w:rPr>
          <w:rFonts w:cs="Times New Roman"/>
        </w:rPr>
        <w:t xml:space="preserve"> </w:t>
      </w:r>
    </w:p>
    <w:p w14:paraId="1A100107" w14:textId="0EA318C3" w:rsidR="00201BB3" w:rsidRPr="00817B9F" w:rsidRDefault="00A822DB" w:rsidP="005D3EC9">
      <w:pPr>
        <w:pStyle w:val="BulletParagraph"/>
        <w:rPr>
          <w:rFonts w:cs="Times New Roman"/>
        </w:rPr>
      </w:pPr>
      <w:r w:rsidRPr="00817B9F">
        <w:rPr>
          <w:rFonts w:cs="Times New Roman"/>
        </w:rPr>
        <w:t>Relative to MGH’s patients</w:t>
      </w:r>
      <w:r w:rsidR="00535562" w:rsidRPr="00817B9F">
        <w:rPr>
          <w:rFonts w:cs="Times New Roman"/>
        </w:rPr>
        <w:t xml:space="preserve"> in its 75 percent service area</w:t>
      </w:r>
      <w:r w:rsidRPr="00817B9F">
        <w:rPr>
          <w:rFonts w:cs="Times New Roman"/>
        </w:rPr>
        <w:t>, patients in MGH’s service area</w:t>
      </w:r>
      <w:r w:rsidR="0082430F" w:rsidRPr="00817B9F">
        <w:rPr>
          <w:rFonts w:cs="Times New Roman"/>
        </w:rPr>
        <w:t xml:space="preserve"> </w:t>
      </w:r>
      <w:r w:rsidR="00842DE6" w:rsidRPr="00817B9F">
        <w:rPr>
          <w:rFonts w:cs="Times New Roman"/>
        </w:rPr>
        <w:t>were</w:t>
      </w:r>
      <w:r w:rsidR="00407BA4" w:rsidRPr="00817B9F">
        <w:rPr>
          <w:rFonts w:cs="Times New Roman"/>
        </w:rPr>
        <w:t xml:space="preserve"> </w:t>
      </w:r>
      <w:r w:rsidR="00DC4D80" w:rsidRPr="00817B9F">
        <w:rPr>
          <w:rFonts w:cs="Times New Roman"/>
        </w:rPr>
        <w:t xml:space="preserve">less likely to have </w:t>
      </w:r>
      <w:r w:rsidR="00EE6A1B" w:rsidRPr="00817B9F">
        <w:rPr>
          <w:rFonts w:cs="Times New Roman"/>
        </w:rPr>
        <w:t>c</w:t>
      </w:r>
      <w:r w:rsidR="00DC4D80" w:rsidRPr="00817B9F">
        <w:rPr>
          <w:rFonts w:cs="Times New Roman"/>
        </w:rPr>
        <w:t xml:space="preserve">ommercial </w:t>
      </w:r>
      <w:r w:rsidR="00EE6A1B" w:rsidRPr="00817B9F">
        <w:rPr>
          <w:rFonts w:cs="Times New Roman"/>
        </w:rPr>
        <w:t>i</w:t>
      </w:r>
      <w:r w:rsidR="00DC4D80" w:rsidRPr="00817B9F">
        <w:rPr>
          <w:rFonts w:cs="Times New Roman"/>
        </w:rPr>
        <w:t>nsurance</w:t>
      </w:r>
      <w:r w:rsidR="00F93EA2" w:rsidRPr="00817B9F">
        <w:rPr>
          <w:rFonts w:cs="Times New Roman"/>
        </w:rPr>
        <w:t xml:space="preserve"> </w:t>
      </w:r>
      <w:r w:rsidR="00DC4D80" w:rsidRPr="00817B9F">
        <w:rPr>
          <w:rFonts w:cs="Times New Roman"/>
        </w:rPr>
        <w:t>(</w:t>
      </w:r>
      <w:r w:rsidR="00F667B1" w:rsidRPr="00817B9F">
        <w:rPr>
          <w:rFonts w:cs="Times New Roman"/>
        </w:rPr>
        <w:t xml:space="preserve">23 percent </w:t>
      </w:r>
      <w:r w:rsidR="00EE6A1B" w:rsidRPr="00817B9F">
        <w:rPr>
          <w:rFonts w:cs="Times New Roman"/>
        </w:rPr>
        <w:t>compared to</w:t>
      </w:r>
      <w:r w:rsidR="00F667B1" w:rsidRPr="00817B9F">
        <w:rPr>
          <w:rFonts w:cs="Times New Roman"/>
        </w:rPr>
        <w:t xml:space="preserve"> </w:t>
      </w:r>
      <w:r w:rsidR="007F3D45" w:rsidRPr="00817B9F">
        <w:rPr>
          <w:rFonts w:cs="Times New Roman"/>
        </w:rPr>
        <w:t>3</w:t>
      </w:r>
      <w:r w:rsidR="00A07CBC" w:rsidRPr="00817B9F">
        <w:rPr>
          <w:rFonts w:cs="Times New Roman"/>
        </w:rPr>
        <w:t>1</w:t>
      </w:r>
      <w:r w:rsidR="007F3D45" w:rsidRPr="00817B9F">
        <w:rPr>
          <w:rFonts w:cs="Times New Roman"/>
        </w:rPr>
        <w:t xml:space="preserve"> percent</w:t>
      </w:r>
      <w:r w:rsidR="00611A9D" w:rsidRPr="00817B9F">
        <w:rPr>
          <w:rFonts w:cs="Times New Roman"/>
        </w:rPr>
        <w:t>)</w:t>
      </w:r>
      <w:r w:rsidR="000563DE" w:rsidRPr="00817B9F">
        <w:rPr>
          <w:rFonts w:cs="Times New Roman"/>
        </w:rPr>
        <w:t xml:space="preserve">, </w:t>
      </w:r>
      <w:r w:rsidR="001E2BF5" w:rsidRPr="00817B9F">
        <w:rPr>
          <w:rFonts w:cs="Times New Roman"/>
        </w:rPr>
        <w:t xml:space="preserve">slightly </w:t>
      </w:r>
      <w:r w:rsidR="00BC7DA3" w:rsidRPr="00817B9F">
        <w:rPr>
          <w:rFonts w:cs="Times New Roman"/>
        </w:rPr>
        <w:t xml:space="preserve">more likely to be covered by </w:t>
      </w:r>
      <w:r w:rsidR="001E2BF5" w:rsidRPr="00817B9F">
        <w:rPr>
          <w:rFonts w:cs="Times New Roman"/>
        </w:rPr>
        <w:t>MassHealth (1</w:t>
      </w:r>
      <w:r w:rsidR="00D53C38" w:rsidRPr="00817B9F">
        <w:rPr>
          <w:rFonts w:cs="Times New Roman"/>
        </w:rPr>
        <w:t>1</w:t>
      </w:r>
      <w:r w:rsidR="001E2BF5" w:rsidRPr="00817B9F">
        <w:rPr>
          <w:rFonts w:cs="Times New Roman"/>
        </w:rPr>
        <w:t xml:space="preserve"> percent </w:t>
      </w:r>
      <w:r w:rsidR="00EE6A1B" w:rsidRPr="00817B9F">
        <w:rPr>
          <w:rFonts w:cs="Times New Roman"/>
        </w:rPr>
        <w:t>compared to</w:t>
      </w:r>
      <w:r w:rsidR="001E2BF5" w:rsidRPr="00817B9F">
        <w:rPr>
          <w:rFonts w:cs="Times New Roman"/>
        </w:rPr>
        <w:t xml:space="preserve"> </w:t>
      </w:r>
      <w:r w:rsidR="005077E1" w:rsidRPr="00817B9F">
        <w:rPr>
          <w:rFonts w:cs="Times New Roman"/>
        </w:rPr>
        <w:t>ten</w:t>
      </w:r>
      <w:r w:rsidR="000563DE" w:rsidRPr="00817B9F">
        <w:rPr>
          <w:rFonts w:cs="Times New Roman"/>
        </w:rPr>
        <w:t xml:space="preserve"> percent</w:t>
      </w:r>
      <w:r w:rsidR="001E2BF5" w:rsidRPr="00817B9F">
        <w:rPr>
          <w:rFonts w:cs="Times New Roman"/>
        </w:rPr>
        <w:t>)</w:t>
      </w:r>
      <w:r w:rsidR="000563DE" w:rsidRPr="00817B9F">
        <w:rPr>
          <w:rFonts w:cs="Times New Roman"/>
        </w:rPr>
        <w:t xml:space="preserve">, and </w:t>
      </w:r>
      <w:r w:rsidR="006E2BBC" w:rsidRPr="00817B9F">
        <w:rPr>
          <w:rFonts w:cs="Times New Roman"/>
        </w:rPr>
        <w:t>more likely to be covered by Medicare (</w:t>
      </w:r>
      <w:r w:rsidR="00D53C38" w:rsidRPr="00817B9F">
        <w:rPr>
          <w:rFonts w:cs="Times New Roman"/>
        </w:rPr>
        <w:t>59</w:t>
      </w:r>
      <w:r w:rsidR="00BA5A81" w:rsidRPr="00817B9F">
        <w:rPr>
          <w:rFonts w:cs="Times New Roman"/>
        </w:rPr>
        <w:t xml:space="preserve"> percent </w:t>
      </w:r>
      <w:r w:rsidR="00EE6A1B" w:rsidRPr="00817B9F">
        <w:rPr>
          <w:rFonts w:cs="Times New Roman"/>
        </w:rPr>
        <w:t>compared</w:t>
      </w:r>
      <w:r w:rsidR="00BA5A81" w:rsidRPr="00817B9F">
        <w:rPr>
          <w:rFonts w:cs="Times New Roman"/>
        </w:rPr>
        <w:t xml:space="preserve"> </w:t>
      </w:r>
      <w:r w:rsidR="0099607C" w:rsidRPr="00817B9F">
        <w:rPr>
          <w:rFonts w:cs="Times New Roman"/>
        </w:rPr>
        <w:t>to</w:t>
      </w:r>
      <w:r w:rsidR="00BA5A81" w:rsidRPr="00817B9F">
        <w:rPr>
          <w:rFonts w:cs="Times New Roman"/>
        </w:rPr>
        <w:t xml:space="preserve"> 5</w:t>
      </w:r>
      <w:r w:rsidR="00D53C38" w:rsidRPr="00817B9F">
        <w:rPr>
          <w:rFonts w:cs="Times New Roman"/>
        </w:rPr>
        <w:t>2</w:t>
      </w:r>
      <w:r w:rsidR="00BA5A81" w:rsidRPr="00817B9F">
        <w:rPr>
          <w:rFonts w:cs="Times New Roman"/>
        </w:rPr>
        <w:t xml:space="preserve"> percent).</w:t>
      </w:r>
      <w:r w:rsidR="00DF44B7" w:rsidRPr="00817B9F">
        <w:rPr>
          <w:rFonts w:cs="Times New Roman"/>
        </w:rPr>
        <w:t xml:space="preserve"> </w:t>
      </w:r>
    </w:p>
    <w:p w14:paraId="0207C167" w14:textId="52F87416" w:rsidR="00201BB3" w:rsidRPr="00817B9F" w:rsidRDefault="00DF44B7" w:rsidP="005D3EC9">
      <w:pPr>
        <w:pStyle w:val="BulletParagraph"/>
        <w:rPr>
          <w:rFonts w:cs="Times New Roman"/>
        </w:rPr>
      </w:pPr>
      <w:r w:rsidRPr="00817B9F">
        <w:rPr>
          <w:rFonts w:cs="Times New Roman"/>
        </w:rPr>
        <w:t xml:space="preserve">The age distribution </w:t>
      </w:r>
      <w:r w:rsidR="006F7A2D" w:rsidRPr="00817B9F">
        <w:rPr>
          <w:rFonts w:cs="Times New Roman"/>
        </w:rPr>
        <w:t>of</w:t>
      </w:r>
      <w:r w:rsidR="00E04C63" w:rsidRPr="00817B9F">
        <w:rPr>
          <w:rFonts w:cs="Times New Roman"/>
        </w:rPr>
        <w:t xml:space="preserve"> MGH’s patients</w:t>
      </w:r>
      <w:r w:rsidRPr="00817B9F">
        <w:rPr>
          <w:rFonts w:cs="Times New Roman"/>
        </w:rPr>
        <w:t xml:space="preserve"> </w:t>
      </w:r>
      <w:r w:rsidR="009D6B96" w:rsidRPr="00817B9F">
        <w:rPr>
          <w:rFonts w:cs="Times New Roman"/>
        </w:rPr>
        <w:t xml:space="preserve">in its 75 percent service area </w:t>
      </w:r>
      <w:r w:rsidR="00EE6A1B" w:rsidRPr="00817B9F">
        <w:rPr>
          <w:rFonts w:cs="Times New Roman"/>
        </w:rPr>
        <w:t>was</w:t>
      </w:r>
      <w:r w:rsidRPr="00817B9F">
        <w:rPr>
          <w:rFonts w:cs="Times New Roman"/>
        </w:rPr>
        <w:t xml:space="preserve"> similar</w:t>
      </w:r>
      <w:r w:rsidR="00E04C63" w:rsidRPr="00817B9F">
        <w:rPr>
          <w:rFonts w:cs="Times New Roman"/>
        </w:rPr>
        <w:t xml:space="preserve"> to the age distribution of patients who </w:t>
      </w:r>
      <w:r w:rsidR="00E71072" w:rsidRPr="00817B9F">
        <w:rPr>
          <w:rFonts w:cs="Times New Roman"/>
        </w:rPr>
        <w:t>resided in the hospital’s service area</w:t>
      </w:r>
      <w:r w:rsidR="006F7A2D" w:rsidRPr="00817B9F">
        <w:rPr>
          <w:rFonts w:cs="Times New Roman"/>
        </w:rPr>
        <w:t xml:space="preserve">, </w:t>
      </w:r>
      <w:r w:rsidR="0099607C" w:rsidRPr="00817B9F">
        <w:rPr>
          <w:rFonts w:cs="Times New Roman"/>
        </w:rPr>
        <w:t xml:space="preserve">although </w:t>
      </w:r>
      <w:r w:rsidR="00E71072" w:rsidRPr="00817B9F">
        <w:rPr>
          <w:rFonts w:cs="Times New Roman"/>
        </w:rPr>
        <w:t xml:space="preserve">the latter group of </w:t>
      </w:r>
      <w:r w:rsidR="0099607C" w:rsidRPr="00817B9F">
        <w:rPr>
          <w:rFonts w:cs="Times New Roman"/>
        </w:rPr>
        <w:t>patients were more likely to be</w:t>
      </w:r>
      <w:r w:rsidRPr="00817B9F">
        <w:rPr>
          <w:rFonts w:cs="Times New Roman"/>
        </w:rPr>
        <w:t xml:space="preserve"> age 75 </w:t>
      </w:r>
      <w:r w:rsidR="0099607C" w:rsidRPr="00817B9F">
        <w:rPr>
          <w:rFonts w:cs="Times New Roman"/>
        </w:rPr>
        <w:t>or</w:t>
      </w:r>
      <w:r w:rsidRPr="00817B9F">
        <w:rPr>
          <w:rFonts w:cs="Times New Roman"/>
        </w:rPr>
        <w:t xml:space="preserve"> older (35 percent </w:t>
      </w:r>
      <w:r w:rsidR="0099607C" w:rsidRPr="00817B9F">
        <w:rPr>
          <w:rFonts w:cs="Times New Roman"/>
        </w:rPr>
        <w:t>compared to</w:t>
      </w:r>
      <w:r w:rsidRPr="00817B9F">
        <w:rPr>
          <w:rFonts w:cs="Times New Roman"/>
        </w:rPr>
        <w:t xml:space="preserve"> 29 percent).</w:t>
      </w:r>
      <w:r w:rsidR="0099607C" w:rsidRPr="00817B9F">
        <w:rPr>
          <w:rFonts w:cs="Times New Roman"/>
        </w:rPr>
        <w:t xml:space="preserve"> </w:t>
      </w:r>
    </w:p>
    <w:p w14:paraId="2B886F50" w14:textId="43015379" w:rsidR="00486997" w:rsidRPr="00817B9F" w:rsidRDefault="0099607C" w:rsidP="005D3EC9">
      <w:pPr>
        <w:pStyle w:val="BulletParagraph"/>
        <w:rPr>
          <w:rFonts w:cs="Times New Roman"/>
        </w:rPr>
      </w:pPr>
      <w:r w:rsidRPr="00817B9F">
        <w:rPr>
          <w:rFonts w:cs="Times New Roman"/>
        </w:rPr>
        <w:t>Lastly,</w:t>
      </w:r>
      <w:r w:rsidR="00D94D48" w:rsidRPr="00817B9F">
        <w:rPr>
          <w:rFonts w:cs="Times New Roman"/>
        </w:rPr>
        <w:t xml:space="preserve"> consistent with MGH’s status as an academic medical center</w:t>
      </w:r>
      <w:r w:rsidRPr="00817B9F">
        <w:rPr>
          <w:rFonts w:cs="Times New Roman"/>
        </w:rPr>
        <w:t>,</w:t>
      </w:r>
      <w:r w:rsidR="00490123" w:rsidRPr="00817B9F">
        <w:rPr>
          <w:rFonts w:cs="Times New Roman"/>
        </w:rPr>
        <w:t xml:space="preserve"> acuity levels (as measured by the case mix index) </w:t>
      </w:r>
      <w:r w:rsidR="002E3561" w:rsidRPr="00817B9F">
        <w:rPr>
          <w:rFonts w:cs="Times New Roman"/>
        </w:rPr>
        <w:t xml:space="preserve">for patients who received care </w:t>
      </w:r>
      <w:r w:rsidR="00490123" w:rsidRPr="00817B9F">
        <w:rPr>
          <w:rFonts w:cs="Times New Roman"/>
        </w:rPr>
        <w:t xml:space="preserve">at MGH </w:t>
      </w:r>
      <w:r w:rsidR="00B330F2" w:rsidRPr="00817B9F">
        <w:rPr>
          <w:rFonts w:cs="Times New Roman"/>
        </w:rPr>
        <w:t>in its service area</w:t>
      </w:r>
      <w:r w:rsidR="00490123" w:rsidRPr="00817B9F">
        <w:rPr>
          <w:rFonts w:cs="Times New Roman"/>
        </w:rPr>
        <w:t xml:space="preserve"> </w:t>
      </w:r>
      <w:r w:rsidR="00490123" w:rsidRPr="00817B9F">
        <w:rPr>
          <w:rFonts w:cs="Times New Roman"/>
        </w:rPr>
        <w:lastRenderedPageBreak/>
        <w:t>were s</w:t>
      </w:r>
      <w:r w:rsidR="002E3561" w:rsidRPr="00817B9F">
        <w:rPr>
          <w:rFonts w:cs="Times New Roman"/>
        </w:rPr>
        <w:t>ubstantially</w:t>
      </w:r>
      <w:r w:rsidR="00490123" w:rsidRPr="00817B9F">
        <w:rPr>
          <w:rFonts w:cs="Times New Roman"/>
        </w:rPr>
        <w:t xml:space="preserve"> higher than </w:t>
      </w:r>
      <w:r w:rsidR="00E71072" w:rsidRPr="00817B9F">
        <w:rPr>
          <w:rFonts w:cs="Times New Roman"/>
        </w:rPr>
        <w:t xml:space="preserve">overall </w:t>
      </w:r>
      <w:r w:rsidR="002E3561" w:rsidRPr="00817B9F">
        <w:rPr>
          <w:rFonts w:cs="Times New Roman"/>
        </w:rPr>
        <w:t xml:space="preserve">acuity levels </w:t>
      </w:r>
      <w:r w:rsidR="00C33D5C" w:rsidRPr="00817B9F">
        <w:rPr>
          <w:rFonts w:cs="Times New Roman"/>
        </w:rPr>
        <w:t xml:space="preserve">for </w:t>
      </w:r>
      <w:r w:rsidR="00844D49" w:rsidRPr="00817B9F">
        <w:rPr>
          <w:rFonts w:cs="Times New Roman"/>
        </w:rPr>
        <w:t xml:space="preserve">all </w:t>
      </w:r>
      <w:r w:rsidR="00C33D5C" w:rsidRPr="00817B9F">
        <w:rPr>
          <w:rFonts w:cs="Times New Roman"/>
        </w:rPr>
        <w:t xml:space="preserve">patients in </w:t>
      </w:r>
      <w:r w:rsidR="00844D49" w:rsidRPr="00817B9F">
        <w:rPr>
          <w:rFonts w:cs="Times New Roman"/>
        </w:rPr>
        <w:t>its</w:t>
      </w:r>
      <w:r w:rsidR="00C33D5C" w:rsidRPr="00817B9F">
        <w:rPr>
          <w:rFonts w:cs="Times New Roman"/>
        </w:rPr>
        <w:t xml:space="preserve"> service</w:t>
      </w:r>
      <w:r w:rsidR="00E71072" w:rsidRPr="00817B9F">
        <w:rPr>
          <w:rFonts w:cs="Times New Roman"/>
        </w:rPr>
        <w:t xml:space="preserve"> area</w:t>
      </w:r>
      <w:r w:rsidR="00490123" w:rsidRPr="00817B9F">
        <w:rPr>
          <w:rFonts w:cs="Times New Roman"/>
        </w:rPr>
        <w:t xml:space="preserve"> </w:t>
      </w:r>
      <w:r w:rsidR="002E3561" w:rsidRPr="00817B9F">
        <w:rPr>
          <w:rFonts w:cs="Times New Roman"/>
        </w:rPr>
        <w:t>(</w:t>
      </w:r>
      <w:r w:rsidR="00D94D48" w:rsidRPr="00817B9F">
        <w:rPr>
          <w:rFonts w:cs="Times New Roman"/>
        </w:rPr>
        <w:t xml:space="preserve">a case mix index of </w:t>
      </w:r>
      <w:r w:rsidR="002518E0" w:rsidRPr="00817B9F">
        <w:rPr>
          <w:rFonts w:cs="Times New Roman"/>
        </w:rPr>
        <w:t>2.04</w:t>
      </w:r>
      <w:r w:rsidR="00D94D48" w:rsidRPr="00817B9F">
        <w:rPr>
          <w:rFonts w:cs="Times New Roman"/>
        </w:rPr>
        <w:t xml:space="preserve"> compared to </w:t>
      </w:r>
      <w:r w:rsidR="002518E0" w:rsidRPr="00817B9F">
        <w:rPr>
          <w:rFonts w:cs="Times New Roman"/>
        </w:rPr>
        <w:t>1.68</w:t>
      </w:r>
      <w:r w:rsidR="00D94D48" w:rsidRPr="00817B9F">
        <w:rPr>
          <w:rFonts w:cs="Times New Roman"/>
        </w:rPr>
        <w:t xml:space="preserve">). </w:t>
      </w:r>
    </w:p>
    <w:p w14:paraId="60265F40" w14:textId="7DE243D0" w:rsidR="003177D8" w:rsidRPr="00817B9F" w:rsidRDefault="00B93A80" w:rsidP="008B5EBB">
      <w:pPr>
        <w:pStyle w:val="Heading3"/>
      </w:pPr>
      <w:bookmarkStart w:id="70" w:name="_Toc90046509"/>
      <w:r w:rsidRPr="00817B9F">
        <w:t>Changes in Utilization</w:t>
      </w:r>
      <w:bookmarkEnd w:id="70"/>
    </w:p>
    <w:p w14:paraId="47906136" w14:textId="47254700" w:rsidR="009F786A" w:rsidRPr="00817B9F" w:rsidRDefault="00B26832" w:rsidP="00266EFB">
      <w:pPr>
        <w:pStyle w:val="NumberedParagraphs"/>
      </w:pPr>
      <w:bookmarkStart w:id="71" w:name="_Ref88402667"/>
      <w:r w:rsidRPr="00817B9F">
        <w:t>Figure MGH3</w:t>
      </w:r>
      <w:r w:rsidR="00807D5D" w:rsidRPr="00817B9F">
        <w:t xml:space="preserve"> </w:t>
      </w:r>
      <w:r w:rsidR="00E13C8F" w:rsidRPr="00817B9F">
        <w:t xml:space="preserve">shows </w:t>
      </w:r>
      <w:r w:rsidR="00FE3C6E" w:rsidRPr="00817B9F">
        <w:t>MGH’s</w:t>
      </w:r>
      <w:r w:rsidR="00356994" w:rsidRPr="00817B9F">
        <w:t xml:space="preserve"> </w:t>
      </w:r>
      <w:r w:rsidR="00C213CF" w:rsidRPr="00817B9F">
        <w:t>inpatient discharges</w:t>
      </w:r>
      <w:r w:rsidR="00356994" w:rsidRPr="00817B9F">
        <w:t xml:space="preserve"> and </w:t>
      </w:r>
      <w:r w:rsidR="00FE3C6E" w:rsidRPr="00817B9F">
        <w:t>patients</w:t>
      </w:r>
      <w:r w:rsidR="00356994" w:rsidRPr="00817B9F">
        <w:t xml:space="preserve"> days</w:t>
      </w:r>
      <w:r w:rsidR="00AA1273" w:rsidRPr="00817B9F">
        <w:t xml:space="preserve"> associated for each year from 2015 through 2019.</w:t>
      </w:r>
      <w:r w:rsidR="00BF46F8" w:rsidRPr="00817B9F">
        <w:rPr>
          <w:rStyle w:val="FootnoteReference"/>
        </w:rPr>
        <w:footnoteReference w:id="107"/>
      </w:r>
      <w:r w:rsidR="00FB47CE" w:rsidRPr="00817B9F">
        <w:t xml:space="preserve"> </w:t>
      </w:r>
      <w:r w:rsidR="00EC029F" w:rsidRPr="00817B9F">
        <w:t>The figure</w:t>
      </w:r>
      <w:r w:rsidR="00733637" w:rsidRPr="00817B9F">
        <w:t xml:space="preserve"> also </w:t>
      </w:r>
      <w:r w:rsidR="006852DD" w:rsidRPr="00817B9F">
        <w:t xml:space="preserve">shows </w:t>
      </w:r>
      <w:r w:rsidR="00763630" w:rsidRPr="00817B9F">
        <w:t>discharges</w:t>
      </w:r>
      <w:r w:rsidR="00733637" w:rsidRPr="00817B9F">
        <w:t xml:space="preserve"> and </w:t>
      </w:r>
      <w:r w:rsidR="00D85036" w:rsidRPr="00817B9F">
        <w:t>patient</w:t>
      </w:r>
      <w:r w:rsidR="00733637" w:rsidRPr="00817B9F">
        <w:t xml:space="preserve"> days </w:t>
      </w:r>
      <w:r w:rsidR="00D85036" w:rsidRPr="00817B9F">
        <w:t xml:space="preserve">separately </w:t>
      </w:r>
      <w:r w:rsidR="00733637" w:rsidRPr="00817B9F">
        <w:t xml:space="preserve">for cancer </w:t>
      </w:r>
      <w:r w:rsidR="00D85036" w:rsidRPr="00817B9F">
        <w:t xml:space="preserve">services, </w:t>
      </w:r>
      <w:r w:rsidR="00733637" w:rsidRPr="00817B9F">
        <w:t xml:space="preserve">heart </w:t>
      </w:r>
      <w:r w:rsidR="00D85036" w:rsidRPr="00817B9F">
        <w:t>and</w:t>
      </w:r>
      <w:r w:rsidR="00733637" w:rsidRPr="00817B9F">
        <w:t xml:space="preserve"> vascular </w:t>
      </w:r>
      <w:r w:rsidR="00D85036" w:rsidRPr="00817B9F">
        <w:t>services,</w:t>
      </w:r>
      <w:r w:rsidR="00DE2223" w:rsidRPr="00817B9F">
        <w:t xml:space="preserve"> and </w:t>
      </w:r>
      <w:r w:rsidR="00D85036" w:rsidRPr="00817B9F">
        <w:t>all other inpatient services.</w:t>
      </w:r>
      <w:bookmarkEnd w:id="71"/>
      <w:r w:rsidR="00224644" w:rsidRPr="00817B9F">
        <w:rPr>
          <w:rStyle w:val="FootnoteReference"/>
        </w:rPr>
        <w:footnoteReference w:id="108"/>
      </w:r>
    </w:p>
    <w:p w14:paraId="392CCF8B" w14:textId="1255F9E8" w:rsidR="0054436B" w:rsidRPr="00817B9F" w:rsidRDefault="000621EA" w:rsidP="0007599E">
      <w:pPr>
        <w:pStyle w:val="NumberedParagraphs"/>
      </w:pPr>
      <w:r w:rsidRPr="00817B9F">
        <w:t>While o</w:t>
      </w:r>
      <w:r w:rsidR="00F37552" w:rsidRPr="00817B9F">
        <w:t xml:space="preserve">verall </w:t>
      </w:r>
      <w:r w:rsidR="00B00F78" w:rsidRPr="00817B9F">
        <w:t>discharges</w:t>
      </w:r>
      <w:r w:rsidR="00E83178" w:rsidRPr="00817B9F">
        <w:t xml:space="preserve"> </w:t>
      </w:r>
      <w:r w:rsidR="00111D79" w:rsidRPr="00817B9F">
        <w:t>at MGH</w:t>
      </w:r>
      <w:r w:rsidR="00E83178" w:rsidRPr="00817B9F">
        <w:t xml:space="preserve"> </w:t>
      </w:r>
      <w:r w:rsidR="0054707B" w:rsidRPr="00817B9F">
        <w:t>remained</w:t>
      </w:r>
      <w:r w:rsidR="0029084C" w:rsidRPr="00817B9F">
        <w:t xml:space="preserve"> approximately the same from 2015 through 2019</w:t>
      </w:r>
      <w:r w:rsidRPr="00817B9F">
        <w:t xml:space="preserve">, the total number of </w:t>
      </w:r>
      <w:r w:rsidR="00111D79" w:rsidRPr="00817B9F">
        <w:t xml:space="preserve">patient </w:t>
      </w:r>
      <w:r w:rsidRPr="00817B9F">
        <w:t xml:space="preserve">days grew </w:t>
      </w:r>
      <w:r w:rsidR="00111D79" w:rsidRPr="00817B9F">
        <w:t xml:space="preserve">by </w:t>
      </w:r>
      <w:r w:rsidR="009D7AE2" w:rsidRPr="00817B9F">
        <w:t xml:space="preserve">approximately </w:t>
      </w:r>
      <w:r w:rsidR="007F3EE0" w:rsidRPr="00817B9F">
        <w:t>five</w:t>
      </w:r>
      <w:r w:rsidR="009D7AE2" w:rsidRPr="00817B9F">
        <w:t xml:space="preserve"> percent</w:t>
      </w:r>
      <w:r w:rsidR="00111D79" w:rsidRPr="00817B9F">
        <w:t xml:space="preserve"> </w:t>
      </w:r>
      <w:r w:rsidRPr="00817B9F">
        <w:t>from 207,047 to 217,164</w:t>
      </w:r>
      <w:r w:rsidR="009D7AE2" w:rsidRPr="00817B9F">
        <w:t>.</w:t>
      </w:r>
      <w:r w:rsidR="008A1A79" w:rsidRPr="00817B9F">
        <w:t xml:space="preserve"> </w:t>
      </w:r>
      <w:r w:rsidR="00BF2615" w:rsidRPr="00817B9F">
        <w:t xml:space="preserve">The </w:t>
      </w:r>
      <w:r w:rsidR="00E86D91" w:rsidRPr="00817B9F">
        <w:t xml:space="preserve">lack of growth in </w:t>
      </w:r>
      <w:r w:rsidR="00111D79" w:rsidRPr="00817B9F">
        <w:t>discharges</w:t>
      </w:r>
      <w:r w:rsidR="00E86D91" w:rsidRPr="00817B9F">
        <w:t xml:space="preserve"> </w:t>
      </w:r>
      <w:r w:rsidR="00EB288B" w:rsidRPr="00817B9F">
        <w:t xml:space="preserve">but </w:t>
      </w:r>
      <w:r w:rsidR="00111D79" w:rsidRPr="00817B9F">
        <w:t>an increase</w:t>
      </w:r>
      <w:r w:rsidR="00EB288B" w:rsidRPr="00817B9F">
        <w:t xml:space="preserve"> in </w:t>
      </w:r>
      <w:r w:rsidR="00111D79" w:rsidRPr="00817B9F">
        <w:t>patient</w:t>
      </w:r>
      <w:r w:rsidR="00EB288B" w:rsidRPr="00817B9F">
        <w:t xml:space="preserve"> days </w:t>
      </w:r>
      <w:r w:rsidR="00B26A40" w:rsidRPr="00817B9F">
        <w:t xml:space="preserve">is attributable to </w:t>
      </w:r>
      <w:r w:rsidR="00187C60" w:rsidRPr="00817B9F">
        <w:t>an</w:t>
      </w:r>
      <w:r w:rsidR="00B26A40" w:rsidRPr="00817B9F">
        <w:t xml:space="preserve"> </w:t>
      </w:r>
      <w:r w:rsidR="00187C60" w:rsidRPr="00817B9F">
        <w:t xml:space="preserve">increase in </w:t>
      </w:r>
      <w:r w:rsidR="00B26A40" w:rsidRPr="00817B9F">
        <w:t>patients’ average length</w:t>
      </w:r>
      <w:r w:rsidR="00187C60" w:rsidRPr="00817B9F">
        <w:t xml:space="preserve"> </w:t>
      </w:r>
      <w:r w:rsidR="00B26A40" w:rsidRPr="00817B9F">
        <w:t>of</w:t>
      </w:r>
      <w:r w:rsidR="00187C60" w:rsidRPr="00817B9F">
        <w:t xml:space="preserve"> </w:t>
      </w:r>
      <w:r w:rsidR="00B26A40" w:rsidRPr="00817B9F">
        <w:t>stay over this period</w:t>
      </w:r>
      <w:r w:rsidR="0007599E" w:rsidRPr="00817B9F">
        <w:t xml:space="preserve">. </w:t>
      </w:r>
    </w:p>
    <w:p w14:paraId="334976F7" w14:textId="0760E3C5" w:rsidR="00CC6F06" w:rsidRPr="00817B9F" w:rsidRDefault="0085195A" w:rsidP="00CC6F06">
      <w:pPr>
        <w:pStyle w:val="NumberedParagraphs"/>
      </w:pPr>
      <w:r w:rsidRPr="00817B9F">
        <w:t>Inpatient</w:t>
      </w:r>
      <w:r w:rsidR="001A2E5D" w:rsidRPr="00817B9F">
        <w:t xml:space="preserve"> </w:t>
      </w:r>
      <w:r w:rsidR="00060270" w:rsidRPr="00817B9F">
        <w:t xml:space="preserve">cancer and heart </w:t>
      </w:r>
      <w:r w:rsidR="001A2E5D" w:rsidRPr="00817B9F">
        <w:t>and</w:t>
      </w:r>
      <w:r w:rsidR="00060270" w:rsidRPr="00817B9F">
        <w:t xml:space="preserve"> vascular </w:t>
      </w:r>
      <w:r w:rsidR="001A2E5D" w:rsidRPr="00817B9F">
        <w:t>services</w:t>
      </w:r>
      <w:r w:rsidR="00FC58CB" w:rsidRPr="00817B9F">
        <w:t>, wh</w:t>
      </w:r>
      <w:r w:rsidR="004A0C1B" w:rsidRPr="00817B9F">
        <w:t>ich</w:t>
      </w:r>
      <w:r w:rsidR="006D0F3F" w:rsidRPr="00817B9F">
        <w:t xml:space="preserve"> </w:t>
      </w:r>
      <w:r w:rsidR="001A2E5D" w:rsidRPr="00817B9F">
        <w:t xml:space="preserve">MGB </w:t>
      </w:r>
      <w:r w:rsidRPr="00817B9F">
        <w:t xml:space="preserve">proposes consolidating </w:t>
      </w:r>
      <w:r w:rsidR="00982DD5" w:rsidRPr="00817B9F">
        <w:t>in a new tower on</w:t>
      </w:r>
      <w:r w:rsidR="001A2E5D" w:rsidRPr="00817B9F">
        <w:t xml:space="preserve"> the</w:t>
      </w:r>
      <w:r w:rsidR="00764443" w:rsidRPr="00817B9F">
        <w:t xml:space="preserve"> </w:t>
      </w:r>
      <w:r w:rsidR="00982DD5" w:rsidRPr="00817B9F">
        <w:t>MGH campus,</w:t>
      </w:r>
      <w:r w:rsidR="00267D7A" w:rsidRPr="00817B9F">
        <w:rPr>
          <w:rStyle w:val="FootnoteReference"/>
        </w:rPr>
        <w:footnoteReference w:id="109"/>
      </w:r>
      <w:r w:rsidR="00982DD5" w:rsidRPr="00817B9F">
        <w:t xml:space="preserve"> accounted for</w:t>
      </w:r>
      <w:r w:rsidRPr="00817B9F">
        <w:t xml:space="preserve"> </w:t>
      </w:r>
      <w:r w:rsidR="005F15BE" w:rsidRPr="00817B9F">
        <w:t xml:space="preserve">39 percent of admissions </w:t>
      </w:r>
      <w:r w:rsidR="007B6D9D" w:rsidRPr="00817B9F">
        <w:t xml:space="preserve">and </w:t>
      </w:r>
      <w:r w:rsidR="005F15BE" w:rsidRPr="00817B9F">
        <w:t xml:space="preserve">41 percent of </w:t>
      </w:r>
      <w:r w:rsidR="007B6D9D" w:rsidRPr="00817B9F">
        <w:t>patient</w:t>
      </w:r>
      <w:r w:rsidR="005F15BE" w:rsidRPr="00817B9F">
        <w:t xml:space="preserve"> days</w:t>
      </w:r>
      <w:r w:rsidR="007B6D9D" w:rsidRPr="00817B9F">
        <w:t xml:space="preserve"> in 2019</w:t>
      </w:r>
      <w:r w:rsidR="005F15BE" w:rsidRPr="00817B9F">
        <w:t xml:space="preserve">. </w:t>
      </w:r>
      <w:r w:rsidR="0085105A" w:rsidRPr="00817B9F">
        <w:t>While</w:t>
      </w:r>
      <w:r w:rsidR="002115E5" w:rsidRPr="00817B9F">
        <w:t xml:space="preserve"> </w:t>
      </w:r>
      <w:r w:rsidR="00FA596F" w:rsidRPr="00817B9F">
        <w:t xml:space="preserve">MGH </w:t>
      </w:r>
      <w:r w:rsidR="009941B9" w:rsidRPr="00817B9F">
        <w:t>experienced a</w:t>
      </w:r>
      <w:r w:rsidR="00EA3D22" w:rsidRPr="00817B9F">
        <w:t xml:space="preserve"> </w:t>
      </w:r>
      <w:r w:rsidR="0085105A" w:rsidRPr="00817B9F">
        <w:t xml:space="preserve">small </w:t>
      </w:r>
      <w:r w:rsidR="009941B9" w:rsidRPr="00817B9F">
        <w:t>decline</w:t>
      </w:r>
      <w:r w:rsidR="009E1876" w:rsidRPr="00817B9F">
        <w:t xml:space="preserve"> in both the number of </w:t>
      </w:r>
      <w:r w:rsidR="0085105A" w:rsidRPr="00817B9F">
        <w:t xml:space="preserve">discharges related to </w:t>
      </w:r>
      <w:r w:rsidR="00BD56D1" w:rsidRPr="00817B9F">
        <w:t xml:space="preserve">cancer </w:t>
      </w:r>
      <w:r w:rsidR="0085105A" w:rsidRPr="00817B9F">
        <w:t>services</w:t>
      </w:r>
      <w:r w:rsidR="00BD56D1" w:rsidRPr="00817B9F">
        <w:t xml:space="preserve"> </w:t>
      </w:r>
      <w:r w:rsidR="00EA3D22" w:rsidRPr="00817B9F">
        <w:t>(</w:t>
      </w:r>
      <w:r w:rsidR="00E94F1D" w:rsidRPr="00817B9F">
        <w:t>four</w:t>
      </w:r>
      <w:r w:rsidR="00EA3D22" w:rsidRPr="00817B9F">
        <w:t xml:space="preserve"> percent</w:t>
      </w:r>
      <w:r w:rsidR="000E5A47" w:rsidRPr="00817B9F">
        <w:t xml:space="preserve"> decline</w:t>
      </w:r>
      <w:r w:rsidR="00EA3D22" w:rsidRPr="00817B9F">
        <w:t xml:space="preserve">) </w:t>
      </w:r>
      <w:r w:rsidR="00BD56D1" w:rsidRPr="00817B9F">
        <w:t xml:space="preserve">and </w:t>
      </w:r>
      <w:r w:rsidR="000A6F30" w:rsidRPr="00817B9F">
        <w:t>patient</w:t>
      </w:r>
      <w:r w:rsidR="0053055F" w:rsidRPr="00817B9F">
        <w:t xml:space="preserve"> days</w:t>
      </w:r>
      <w:r w:rsidR="00EA3D22" w:rsidRPr="00817B9F">
        <w:t xml:space="preserve"> </w:t>
      </w:r>
      <w:r w:rsidR="000A6F30" w:rsidRPr="00817B9F">
        <w:t>related to cancer services</w:t>
      </w:r>
      <w:r w:rsidR="00EA3D22" w:rsidRPr="00817B9F">
        <w:t xml:space="preserve"> (</w:t>
      </w:r>
      <w:r w:rsidR="00E94F1D" w:rsidRPr="00817B9F">
        <w:t>two</w:t>
      </w:r>
      <w:r w:rsidR="00EA3D22" w:rsidRPr="00817B9F">
        <w:t xml:space="preserve"> percent</w:t>
      </w:r>
      <w:r w:rsidR="000E5A47" w:rsidRPr="00817B9F">
        <w:t xml:space="preserve"> decline</w:t>
      </w:r>
      <w:r w:rsidR="00EA3D22" w:rsidRPr="00817B9F">
        <w:t>)</w:t>
      </w:r>
      <w:r w:rsidR="009C1301" w:rsidRPr="00817B9F">
        <w:t xml:space="preserve">, </w:t>
      </w:r>
      <w:r w:rsidR="000A6F30" w:rsidRPr="00817B9F">
        <w:t>the hospital experienced</w:t>
      </w:r>
      <w:r w:rsidR="00490B08" w:rsidRPr="00817B9F">
        <w:t xml:space="preserve"> </w:t>
      </w:r>
      <w:r w:rsidR="000A6F30" w:rsidRPr="00817B9F">
        <w:t>substantial</w:t>
      </w:r>
      <w:r w:rsidR="00490B08" w:rsidRPr="00817B9F">
        <w:t xml:space="preserve"> growth in </w:t>
      </w:r>
      <w:r w:rsidR="000A6F30" w:rsidRPr="00817B9F">
        <w:t>discharges related to</w:t>
      </w:r>
      <w:r w:rsidR="00490B08" w:rsidRPr="00817B9F">
        <w:t xml:space="preserve"> heart </w:t>
      </w:r>
      <w:r w:rsidR="000A6F30" w:rsidRPr="00817B9F">
        <w:t>and</w:t>
      </w:r>
      <w:r w:rsidR="00490B08" w:rsidRPr="00817B9F">
        <w:t xml:space="preserve"> vas</w:t>
      </w:r>
      <w:r w:rsidR="002B1030" w:rsidRPr="00817B9F">
        <w:t>cu</w:t>
      </w:r>
      <w:r w:rsidR="00490B08" w:rsidRPr="00817B9F">
        <w:t xml:space="preserve">lar </w:t>
      </w:r>
      <w:r w:rsidR="000A6F30" w:rsidRPr="00817B9F">
        <w:t>services</w:t>
      </w:r>
      <w:r w:rsidR="00490B08" w:rsidRPr="00817B9F">
        <w:t xml:space="preserve"> (</w:t>
      </w:r>
      <w:r w:rsidR="00E94F1D" w:rsidRPr="00817B9F">
        <w:t>nine</w:t>
      </w:r>
      <w:r w:rsidR="001C4523" w:rsidRPr="00817B9F">
        <w:t xml:space="preserve"> percent) </w:t>
      </w:r>
      <w:r w:rsidR="00490B08" w:rsidRPr="00817B9F">
        <w:t xml:space="preserve">and </w:t>
      </w:r>
      <w:r w:rsidR="000A6F30" w:rsidRPr="00817B9F">
        <w:t>patient</w:t>
      </w:r>
      <w:r w:rsidR="00490B08" w:rsidRPr="00817B9F">
        <w:t xml:space="preserve"> days</w:t>
      </w:r>
      <w:r w:rsidR="001C4523" w:rsidRPr="00817B9F">
        <w:t xml:space="preserve"> </w:t>
      </w:r>
      <w:r w:rsidR="000A6F30" w:rsidRPr="00817B9F">
        <w:t xml:space="preserve">related to </w:t>
      </w:r>
      <w:r w:rsidR="005A4F38" w:rsidRPr="00817B9F">
        <w:t>heart and vascular services</w:t>
      </w:r>
      <w:r w:rsidR="001C4523" w:rsidRPr="00817B9F">
        <w:t xml:space="preserve"> (17 percent)</w:t>
      </w:r>
      <w:r w:rsidR="00541A57" w:rsidRPr="00817B9F">
        <w:t>.</w:t>
      </w:r>
      <w:r w:rsidR="005D46BD" w:rsidRPr="00817B9F">
        <w:t xml:space="preserve"> </w:t>
      </w:r>
      <w:r w:rsidR="005A4F38" w:rsidRPr="00817B9F">
        <w:t>Across these two service lines, between 2015 and 2019 total discharges at MGH</w:t>
      </w:r>
      <w:r w:rsidR="004A0879" w:rsidRPr="00817B9F">
        <w:t xml:space="preserve"> gr</w:t>
      </w:r>
      <w:r w:rsidR="009738AF" w:rsidRPr="00817B9F">
        <w:t>e</w:t>
      </w:r>
      <w:r w:rsidR="004A0879" w:rsidRPr="00817B9F">
        <w:t xml:space="preserve">w by </w:t>
      </w:r>
      <w:r w:rsidR="00E94F1D" w:rsidRPr="00817B9F">
        <w:t>two</w:t>
      </w:r>
      <w:r w:rsidR="004A0879" w:rsidRPr="00817B9F">
        <w:t xml:space="preserve"> percent</w:t>
      </w:r>
      <w:r w:rsidR="002C6933" w:rsidRPr="00817B9F">
        <w:t xml:space="preserve"> and </w:t>
      </w:r>
      <w:r w:rsidR="00517D47" w:rsidRPr="00817B9F">
        <w:t xml:space="preserve">total patient days grew by </w:t>
      </w:r>
      <w:r w:rsidR="002B1030" w:rsidRPr="00817B9F">
        <w:t>eight</w:t>
      </w:r>
      <w:r w:rsidR="00625812" w:rsidRPr="00817B9F">
        <w:t xml:space="preserve"> percen</w:t>
      </w:r>
      <w:r w:rsidR="00517D47" w:rsidRPr="00817B9F">
        <w:t>t.</w:t>
      </w:r>
    </w:p>
    <w:p w14:paraId="5C2A1AFC" w14:textId="036E8430" w:rsidR="00220A50" w:rsidRPr="00817B9F" w:rsidRDefault="00B513EA" w:rsidP="00220A50">
      <w:pPr>
        <w:pStyle w:val="NumberedParagraphs"/>
      </w:pPr>
      <w:bookmarkStart w:id="72" w:name="_Hlk89848001"/>
      <w:r w:rsidRPr="00817B9F">
        <w:t xml:space="preserve">In </w:t>
      </w:r>
      <w:r w:rsidR="0003733B" w:rsidRPr="00817B9F">
        <w:t>a supplement</w:t>
      </w:r>
      <w:r w:rsidR="00C07267" w:rsidRPr="00817B9F">
        <w:t>al</w:t>
      </w:r>
      <w:r w:rsidR="0003733B" w:rsidRPr="00817B9F">
        <w:t xml:space="preserve"> response provided to the DoN program, MGB noted that MGH operated at or above</w:t>
      </w:r>
      <w:r w:rsidR="00C07267" w:rsidRPr="00817B9F">
        <w:t xml:space="preserve"> its</w:t>
      </w:r>
      <w:r w:rsidR="0003733B" w:rsidRPr="00817B9F">
        <w:t xml:space="preserve"> capacity in fiscal year 2019 (the last full fiscal year in which utilization was not affected by the C</w:t>
      </w:r>
      <w:r w:rsidR="00DF521C" w:rsidRPr="00817B9F">
        <w:t>OVID</w:t>
      </w:r>
      <w:r w:rsidR="0003733B" w:rsidRPr="00817B9F">
        <w:t>-19 pandemic).</w:t>
      </w:r>
      <w:r w:rsidR="009843BF" w:rsidRPr="00817B9F">
        <w:rPr>
          <w:rStyle w:val="FootnoteReference"/>
        </w:rPr>
        <w:footnoteReference w:id="110"/>
      </w:r>
      <w:r w:rsidR="00C07267" w:rsidRPr="00817B9F">
        <w:t xml:space="preserve"> </w:t>
      </w:r>
      <w:r w:rsidR="0003733B" w:rsidRPr="00817B9F">
        <w:t xml:space="preserve">Specifically, MGB noted that MGH’s </w:t>
      </w:r>
      <w:r w:rsidR="00B72D6A" w:rsidRPr="00817B9F">
        <w:t xml:space="preserve">medical/surgical and ICU beds operated at an average utilization of 83 percent in fiscal year 2019 when considering </w:t>
      </w:r>
      <w:r w:rsidR="00B72D6A" w:rsidRPr="00817B9F">
        <w:lastRenderedPageBreak/>
        <w:t xml:space="preserve">only inpatient stays, </w:t>
      </w:r>
      <w:r w:rsidR="00271AD2" w:rsidRPr="00817B9F">
        <w:t>and</w:t>
      </w:r>
      <w:r w:rsidR="00B72D6A" w:rsidRPr="00817B9F">
        <w:t xml:space="preserve"> that this utilization increase</w:t>
      </w:r>
      <w:r w:rsidR="00C07267" w:rsidRPr="00817B9F">
        <w:t>s</w:t>
      </w:r>
      <w:r w:rsidR="00B72D6A" w:rsidRPr="00817B9F">
        <w:t xml:space="preserve"> to 8</w:t>
      </w:r>
      <w:r w:rsidR="0039545D" w:rsidRPr="00817B9F">
        <w:t>8</w:t>
      </w:r>
      <w:r w:rsidR="00B72D6A" w:rsidRPr="00817B9F">
        <w:t xml:space="preserve"> percent </w:t>
      </w:r>
      <w:r w:rsidR="00D22669" w:rsidRPr="00817B9F">
        <w:t xml:space="preserve">in cases </w:t>
      </w:r>
      <w:r w:rsidR="00B72D6A" w:rsidRPr="00817B9F">
        <w:t>when</w:t>
      </w:r>
      <w:r w:rsidR="00D22669" w:rsidRPr="00817B9F">
        <w:t xml:space="preserve"> not all beds in</w:t>
      </w:r>
      <w:r w:rsidR="00B72D6A" w:rsidRPr="00817B9F">
        <w:t xml:space="preserve"> </w:t>
      </w:r>
      <w:r w:rsidR="00D22669" w:rsidRPr="00817B9F">
        <w:t>semi-private rooms can be used because of infection control, a need to provide patients with privacy at the end of their lives, or differences in patient gender</w:t>
      </w:r>
      <w:r w:rsidR="00C50ADE" w:rsidRPr="00817B9F">
        <w:t>.</w:t>
      </w:r>
      <w:r w:rsidR="00461390" w:rsidRPr="00817B9F">
        <w:rPr>
          <w:rStyle w:val="FootnoteReference"/>
        </w:rPr>
        <w:footnoteReference w:id="111"/>
      </w:r>
      <w:r w:rsidR="00C50ADE" w:rsidRPr="00817B9F">
        <w:t xml:space="preserve"> </w:t>
      </w:r>
      <w:r w:rsidR="00B22CFA" w:rsidRPr="00817B9F">
        <w:t>MGB also note</w:t>
      </w:r>
      <w:r w:rsidR="00271AD2" w:rsidRPr="00817B9F">
        <w:t>d</w:t>
      </w:r>
      <w:r w:rsidR="00B22CFA" w:rsidRPr="00817B9F">
        <w:t xml:space="preserve"> that inpatient beds </w:t>
      </w:r>
      <w:r w:rsidR="001F3F6A" w:rsidRPr="00817B9F">
        <w:t>often are used for observation patients</w:t>
      </w:r>
      <w:r w:rsidR="00822537" w:rsidRPr="00817B9F">
        <w:t xml:space="preserve"> and</w:t>
      </w:r>
      <w:r w:rsidR="001F3F6A" w:rsidRPr="00817B9F">
        <w:t xml:space="preserve"> post-procedure recovery patients who may need to stay overnight</w:t>
      </w:r>
      <w:r w:rsidR="00220A50" w:rsidRPr="00817B9F">
        <w:t>.</w:t>
      </w:r>
      <w:r w:rsidR="00461390" w:rsidRPr="00817B9F">
        <w:rPr>
          <w:rStyle w:val="FootnoteReference"/>
        </w:rPr>
        <w:footnoteReference w:id="112"/>
      </w:r>
      <w:r w:rsidR="00220A50" w:rsidRPr="00817B9F">
        <w:t xml:space="preserve"> </w:t>
      </w:r>
      <w:r w:rsidR="00995C6C" w:rsidRPr="00817B9F">
        <w:t>According to MGB, a</w:t>
      </w:r>
      <w:r w:rsidR="00220A50" w:rsidRPr="00817B9F">
        <w:t xml:space="preserve">ccounting </w:t>
      </w:r>
      <w:r w:rsidR="00B6265E" w:rsidRPr="00817B9F">
        <w:t xml:space="preserve">for the effect of these considerations on </w:t>
      </w:r>
      <w:r w:rsidR="00220A50" w:rsidRPr="00817B9F">
        <w:t xml:space="preserve">inpatient bed capacity increases </w:t>
      </w:r>
      <w:r w:rsidR="00B6265E" w:rsidRPr="00817B9F">
        <w:t xml:space="preserve">average utilization </w:t>
      </w:r>
      <w:r w:rsidR="00FA11D3" w:rsidRPr="00817B9F">
        <w:t>at MGH</w:t>
      </w:r>
      <w:r w:rsidR="00B6265E" w:rsidRPr="00817B9F">
        <w:t xml:space="preserve"> to 92 percent in 2019.</w:t>
      </w:r>
      <w:r w:rsidR="00461390" w:rsidRPr="00817B9F">
        <w:rPr>
          <w:rStyle w:val="FootnoteReference"/>
        </w:rPr>
        <w:footnoteReference w:id="113"/>
      </w:r>
      <w:r w:rsidR="00B6265E" w:rsidRPr="00817B9F">
        <w:t xml:space="preserve"> </w:t>
      </w:r>
    </w:p>
    <w:bookmarkEnd w:id="72"/>
    <w:p w14:paraId="6063F19C" w14:textId="554DF8D2" w:rsidR="00D27BEF" w:rsidRPr="00817B9F" w:rsidRDefault="00136001" w:rsidP="00266EFB">
      <w:pPr>
        <w:pStyle w:val="NumberedParagraphs"/>
        <w:rPr>
          <w:noProof/>
        </w:rPr>
      </w:pPr>
      <w:r w:rsidRPr="00817B9F">
        <w:t>Because</w:t>
      </w:r>
      <w:r w:rsidR="005D6466" w:rsidRPr="00817B9F">
        <w:t xml:space="preserve"> MGH </w:t>
      </w:r>
      <w:r w:rsidRPr="00817B9F">
        <w:t>op</w:t>
      </w:r>
      <w:r w:rsidR="00A616C7" w:rsidRPr="00817B9F">
        <w:t>erated at a high level of average utilization in 2019</w:t>
      </w:r>
      <w:r w:rsidR="0090084D" w:rsidRPr="00817B9F">
        <w:t>, the hospital</w:t>
      </w:r>
      <w:r w:rsidR="00A616C7" w:rsidRPr="00817B9F">
        <w:t xml:space="preserve"> may not have </w:t>
      </w:r>
      <w:r w:rsidR="00F83FE5" w:rsidRPr="00817B9F">
        <w:t>had</w:t>
      </w:r>
      <w:r w:rsidR="00A616C7" w:rsidRPr="00817B9F">
        <w:t xml:space="preserve"> </w:t>
      </w:r>
      <w:r w:rsidR="00CF0A2E" w:rsidRPr="00817B9F">
        <w:t>the capacity</w:t>
      </w:r>
      <w:r w:rsidR="00A616C7" w:rsidRPr="00817B9F">
        <w:t xml:space="preserve"> to provide care for all patients who </w:t>
      </w:r>
      <w:r w:rsidR="00625FDA" w:rsidRPr="00817B9F">
        <w:t xml:space="preserve">wanted to receive care at </w:t>
      </w:r>
      <w:r w:rsidR="00CF0A2E" w:rsidRPr="00817B9F">
        <w:t>MGH</w:t>
      </w:r>
      <w:r w:rsidR="0090084D" w:rsidRPr="00817B9F">
        <w:t xml:space="preserve">. </w:t>
      </w:r>
      <w:r w:rsidR="00CF0A2E" w:rsidRPr="00817B9F">
        <w:t xml:space="preserve">As such, to assess overall changes in demand for MGH’s inpatient services, </w:t>
      </w:r>
      <w:r w:rsidR="00625FDA" w:rsidRPr="00817B9F">
        <w:t xml:space="preserve">we examine changes in </w:t>
      </w:r>
      <w:r w:rsidR="004905DC" w:rsidRPr="00817B9F">
        <w:t>utilization of inpatient hospital services (separately for cancer services, heart and vascular services, and other services) in MGH’s 75 percent service area</w:t>
      </w:r>
      <w:r w:rsidR="00CF0A2E" w:rsidRPr="00817B9F">
        <w:t xml:space="preserve"> for all </w:t>
      </w:r>
      <w:r w:rsidR="0081574D" w:rsidRPr="00817B9F">
        <w:t>patients (</w:t>
      </w:r>
      <w:r w:rsidR="0081574D" w:rsidRPr="00817B9F">
        <w:rPr>
          <w:i/>
          <w:iCs/>
        </w:rPr>
        <w:t>i.e.</w:t>
      </w:r>
      <w:r w:rsidR="0081574D" w:rsidRPr="00817B9F">
        <w:t xml:space="preserve">, regardless of where the patient was admitted). </w:t>
      </w:r>
      <w:r w:rsidR="00C30976" w:rsidRPr="00817B9F">
        <w:t xml:space="preserve">This is shown in </w:t>
      </w:r>
      <w:r w:rsidR="00B26832" w:rsidRPr="00817B9F">
        <w:t>Figure MGH4</w:t>
      </w:r>
      <w:r w:rsidR="00C30976" w:rsidRPr="00817B9F">
        <w:t>.</w:t>
      </w:r>
      <w:r w:rsidR="00C30976" w:rsidRPr="00817B9F">
        <w:rPr>
          <w:rStyle w:val="FootnoteReference"/>
        </w:rPr>
        <w:t xml:space="preserve"> </w:t>
      </w:r>
      <w:r w:rsidR="007D3E76" w:rsidRPr="00817B9F">
        <w:rPr>
          <w:rStyle w:val="FootnoteReference"/>
        </w:rPr>
        <w:footnoteReference w:id="114"/>
      </w:r>
      <w:r w:rsidR="00C30976" w:rsidRPr="00817B9F">
        <w:t xml:space="preserve"> In</w:t>
      </w:r>
      <w:r w:rsidR="005D6466" w:rsidRPr="00817B9F">
        <w:t xml:space="preserve"> MGH’s 75 percent service area, total discharges and patient days increased by four percent and eight percent from 2015 through 2019, respectively. In comparison, </w:t>
      </w:r>
      <w:r w:rsidR="00C30976" w:rsidRPr="00817B9F">
        <w:t>over</w:t>
      </w:r>
      <w:r w:rsidR="005D6466" w:rsidRPr="00817B9F">
        <w:t xml:space="preserve"> the same timeframe, MGH inpatient discharges </w:t>
      </w:r>
      <w:r w:rsidR="00C30976" w:rsidRPr="00817B9F">
        <w:t>were flat</w:t>
      </w:r>
      <w:r w:rsidR="005D6466" w:rsidRPr="00817B9F">
        <w:t xml:space="preserve"> and patient days grew by five percent. </w:t>
      </w:r>
      <w:r w:rsidR="0099498D" w:rsidRPr="00817B9F">
        <w:t>Patient days for heart and vascular inpatient services at MGH grew at the same rate as in the hospital’s 75 percent service area</w:t>
      </w:r>
      <w:r w:rsidR="004C222E" w:rsidRPr="00817B9F">
        <w:t xml:space="preserve"> </w:t>
      </w:r>
      <w:r w:rsidR="0096319C" w:rsidRPr="00817B9F">
        <w:t>(17 percent)</w:t>
      </w:r>
      <w:r w:rsidR="00193C6D" w:rsidRPr="00817B9F">
        <w:t>;</w:t>
      </w:r>
      <w:r w:rsidR="0099498D" w:rsidRPr="00817B9F">
        <w:t xml:space="preserve"> while patient days for inpatient cancer services declined by two percent at MGH between 2015 and 2019, patient </w:t>
      </w:r>
      <w:r w:rsidR="00193C6D" w:rsidRPr="00817B9F">
        <w:t>days for inpatient cancer services increase</w:t>
      </w:r>
      <w:r w:rsidR="00E32F3A" w:rsidRPr="00817B9F">
        <w:t>d</w:t>
      </w:r>
      <w:r w:rsidR="00193C6D" w:rsidRPr="00817B9F">
        <w:t xml:space="preserve"> by two percent in the hospital’s 75 percent service area.</w:t>
      </w:r>
    </w:p>
    <w:p w14:paraId="5994D19E" w14:textId="4F6D40A9" w:rsidR="005F038F" w:rsidRPr="00817B9F" w:rsidRDefault="005F038F" w:rsidP="005F038F">
      <w:pPr>
        <w:pStyle w:val="Heading2"/>
        <w:rPr>
          <w:rFonts w:cs="Times New Roman"/>
        </w:rPr>
      </w:pPr>
      <w:bookmarkStart w:id="73" w:name="_Toc90046510"/>
      <w:r w:rsidRPr="00817B9F">
        <w:rPr>
          <w:rFonts w:cs="Times New Roman"/>
        </w:rPr>
        <w:t>Outpatient Services</w:t>
      </w:r>
      <w:bookmarkEnd w:id="73"/>
    </w:p>
    <w:p w14:paraId="134F302C" w14:textId="04761D26" w:rsidR="002B628A" w:rsidRPr="00817B9F" w:rsidRDefault="00E76F3A" w:rsidP="002B628A">
      <w:pPr>
        <w:pStyle w:val="NumberedParagraphs"/>
      </w:pPr>
      <w:r w:rsidRPr="00817B9F">
        <w:t xml:space="preserve">For the analyses in this section, we adopt the definitions of outpatient service lines that we previously described in Section </w:t>
      </w:r>
      <w:r w:rsidR="000B339B" w:rsidRPr="00817B9F">
        <w:fldChar w:fldCharType="begin"/>
      </w:r>
      <w:r w:rsidR="000B339B" w:rsidRPr="00817B9F">
        <w:instrText xml:space="preserve"> REF _Ref88655817 \r \h </w:instrText>
      </w:r>
      <w:r w:rsidR="00FD09F0" w:rsidRPr="00817B9F">
        <w:instrText xml:space="preserve"> \* MERGEFORMAT </w:instrText>
      </w:r>
      <w:r w:rsidR="000B339B" w:rsidRPr="00817B9F">
        <w:fldChar w:fldCharType="separate"/>
      </w:r>
      <w:r w:rsidR="002B78C3">
        <w:t>III</w:t>
      </w:r>
      <w:r w:rsidR="000B339B" w:rsidRPr="00817B9F">
        <w:fldChar w:fldCharType="end"/>
      </w:r>
      <w:r w:rsidR="000B339B" w:rsidRPr="00817B9F">
        <w:t>.</w:t>
      </w:r>
      <w:r w:rsidRPr="00817B9F">
        <w:fldChar w:fldCharType="begin"/>
      </w:r>
      <w:r w:rsidRPr="00817B9F">
        <w:instrText xml:space="preserve"> REF _Ref88384198 \w \h </w:instrText>
      </w:r>
      <w:r w:rsidR="00FD09F0" w:rsidRPr="00817B9F">
        <w:instrText xml:space="preserve"> \* MERGEFORMAT </w:instrText>
      </w:r>
      <w:r w:rsidRPr="00817B9F">
        <w:fldChar w:fldCharType="separate"/>
      </w:r>
      <w:r w:rsidR="002B78C3">
        <w:t>B</w:t>
      </w:r>
      <w:r w:rsidRPr="00817B9F">
        <w:fldChar w:fldCharType="end"/>
      </w:r>
      <w:r w:rsidRPr="00817B9F">
        <w:t>.</w:t>
      </w:r>
      <w:r w:rsidRPr="00817B9F">
        <w:fldChar w:fldCharType="begin"/>
      </w:r>
      <w:r w:rsidRPr="00817B9F">
        <w:instrText xml:space="preserve"> REF _Ref88384199 \w \h </w:instrText>
      </w:r>
      <w:r w:rsidR="00FD09F0" w:rsidRPr="00817B9F">
        <w:instrText xml:space="preserve"> \* MERGEFORMAT </w:instrText>
      </w:r>
      <w:r w:rsidRPr="00817B9F">
        <w:fldChar w:fldCharType="separate"/>
      </w:r>
      <w:r w:rsidR="002B78C3">
        <w:t>2</w:t>
      </w:r>
      <w:r w:rsidRPr="00817B9F">
        <w:fldChar w:fldCharType="end"/>
      </w:r>
      <w:r w:rsidRPr="00817B9F">
        <w:t xml:space="preserve">. </w:t>
      </w:r>
      <w:r w:rsidR="005B0AFC" w:rsidRPr="00817B9F">
        <w:t>As we described earlier, we also limit the data we use for these analyses (</w:t>
      </w:r>
      <w:r w:rsidR="005B0AFC" w:rsidRPr="00817B9F">
        <w:rPr>
          <w:i/>
          <w:iCs/>
        </w:rPr>
        <w:t>i.e.</w:t>
      </w:r>
      <w:r w:rsidR="005B0AFC" w:rsidRPr="00817B9F">
        <w:t xml:space="preserve">, the APCD and Medicare Claims data) to patients who reside in Massachusetts and to claims for health care providers located in Suffolk, Essex, Middlesex, Norfolk, Bristol, Plymouth, and Worcester Counties. </w:t>
      </w:r>
      <w:r w:rsidR="005902D4" w:rsidRPr="00817B9F">
        <w:t xml:space="preserve">These limitations and exclusions apply to all analyses we </w:t>
      </w:r>
      <w:r w:rsidR="005902D4" w:rsidRPr="00817B9F">
        <w:lastRenderedPageBreak/>
        <w:t>discuss in this section.</w:t>
      </w:r>
      <w:r w:rsidR="00F833C0" w:rsidRPr="00817B9F">
        <w:t xml:space="preserve"> As we noted earlie</w:t>
      </w:r>
      <w:r w:rsidR="004877AF" w:rsidRPr="00817B9F">
        <w:t>r</w:t>
      </w:r>
      <w:r w:rsidR="00F833C0" w:rsidRPr="00817B9F">
        <w:t xml:space="preserve">, the APCD </w:t>
      </w:r>
      <w:r w:rsidR="00576ECC" w:rsidRPr="00817B9F">
        <w:t xml:space="preserve">may not include </w:t>
      </w:r>
      <w:r w:rsidR="00EA7FAF" w:rsidRPr="00817B9F">
        <w:t xml:space="preserve">claims for </w:t>
      </w:r>
      <w:r w:rsidR="004877AF" w:rsidRPr="00817B9F">
        <w:t xml:space="preserve">all </w:t>
      </w:r>
      <w:r w:rsidR="00EA7FAF" w:rsidRPr="00817B9F">
        <w:t>s</w:t>
      </w:r>
      <w:r w:rsidR="00F833C0" w:rsidRPr="00817B9F">
        <w:t xml:space="preserve">elf-insured commercial </w:t>
      </w:r>
      <w:r w:rsidR="00EA7FAF" w:rsidRPr="00817B9F">
        <w:t xml:space="preserve">health </w:t>
      </w:r>
      <w:r w:rsidR="00F833C0" w:rsidRPr="00817B9F">
        <w:t>plans</w:t>
      </w:r>
      <w:r w:rsidR="004877AF" w:rsidRPr="00817B9F">
        <w:t xml:space="preserve">. As such, </w:t>
      </w:r>
      <w:r w:rsidR="00FC4A30" w:rsidRPr="00817B9F">
        <w:t>our analyses</w:t>
      </w:r>
      <w:r w:rsidR="00F00F25" w:rsidRPr="00817B9F">
        <w:t xml:space="preserve"> in this section</w:t>
      </w:r>
      <w:r w:rsidR="00FC4A30" w:rsidRPr="00817B9F">
        <w:t xml:space="preserve"> may understate the fraction of patients covered by commercial health</w:t>
      </w:r>
      <w:r w:rsidR="00F00F25" w:rsidRPr="00817B9F">
        <w:t xml:space="preserve"> insurance.</w:t>
      </w:r>
      <w:r w:rsidR="00FC4A30" w:rsidRPr="00817B9F">
        <w:t xml:space="preserve"> </w:t>
      </w:r>
    </w:p>
    <w:p w14:paraId="6D7E9DCC" w14:textId="658F0463" w:rsidR="003E5141" w:rsidRPr="00817B9F" w:rsidRDefault="003E5141" w:rsidP="00DA4AE6">
      <w:pPr>
        <w:pStyle w:val="NumberedParagraphs"/>
      </w:pPr>
      <w:r w:rsidRPr="00817B9F">
        <w:t xml:space="preserve">In what follows, we </w:t>
      </w:r>
      <w:r w:rsidR="00F63121" w:rsidRPr="00817B9F">
        <w:t xml:space="preserve">describe the characteristics of patients who </w:t>
      </w:r>
      <w:r w:rsidR="000A0AED" w:rsidRPr="00817B9F">
        <w:t>received</w:t>
      </w:r>
      <w:r w:rsidR="00F63121" w:rsidRPr="00817B9F">
        <w:t xml:space="preserve"> care at MGH </w:t>
      </w:r>
      <w:r w:rsidR="000A0AED" w:rsidRPr="00817B9F">
        <w:t xml:space="preserve">in </w:t>
      </w:r>
      <w:r w:rsidR="00F63121" w:rsidRPr="00817B9F">
        <w:t xml:space="preserve">2018 for outpatient cardiovascular services, outpatient oncology services, and outpatient diagnostic imaging services </w:t>
      </w:r>
      <w:r w:rsidR="00B87913" w:rsidRPr="00817B9F">
        <w:t>(</w:t>
      </w:r>
      <w:r w:rsidR="00B87913" w:rsidRPr="00817B9F">
        <w:rPr>
          <w:i/>
          <w:iCs/>
        </w:rPr>
        <w:t>i.e.</w:t>
      </w:r>
      <w:r w:rsidR="00B87913" w:rsidRPr="00817B9F">
        <w:t>, MR, CT, and PET/CT scans)</w:t>
      </w:r>
      <w:r w:rsidR="00F63121" w:rsidRPr="00817B9F">
        <w:t xml:space="preserve"> and compare the characteristics of these patients to the broader population of patients who reside</w:t>
      </w:r>
      <w:r w:rsidR="009B33FE" w:rsidRPr="00817B9F">
        <w:t>d</w:t>
      </w:r>
      <w:r w:rsidR="00F63121" w:rsidRPr="00817B9F">
        <w:t xml:space="preserve"> in the hospital’s service area. </w:t>
      </w:r>
    </w:p>
    <w:p w14:paraId="764534FF" w14:textId="2C4AA030" w:rsidR="00DE30DD" w:rsidRPr="00817B9F" w:rsidRDefault="005F038F" w:rsidP="00A74911">
      <w:pPr>
        <w:pStyle w:val="Heading3"/>
        <w:numPr>
          <w:ilvl w:val="0"/>
          <w:numId w:val="32"/>
        </w:numPr>
      </w:pPr>
      <w:bookmarkStart w:id="74" w:name="_Toc90046511"/>
      <w:r w:rsidRPr="00817B9F">
        <w:t>Outpatient Car</w:t>
      </w:r>
      <w:r w:rsidR="00E85ACC" w:rsidRPr="00817B9F">
        <w:t>diovascular</w:t>
      </w:r>
      <w:r w:rsidRPr="00817B9F">
        <w:t xml:space="preserve"> Services</w:t>
      </w:r>
      <w:bookmarkEnd w:id="74"/>
    </w:p>
    <w:p w14:paraId="6BBA50C8" w14:textId="3163BD5A" w:rsidR="00EB2075" w:rsidRPr="00817B9F" w:rsidRDefault="008219E5" w:rsidP="008219E5">
      <w:pPr>
        <w:pStyle w:val="NumberedParagraphs"/>
      </w:pPr>
      <w:r w:rsidRPr="00817B9F">
        <w:t>Among patients who received outpatient cardiovascular services in 2018,</w:t>
      </w:r>
      <w:r w:rsidR="00D033DF" w:rsidRPr="00817B9F">
        <w:t xml:space="preserve"> </w:t>
      </w:r>
      <w:r w:rsidR="00A46E8D" w:rsidRPr="00817B9F">
        <w:t>Figure MGH5</w:t>
      </w:r>
      <w:r w:rsidR="00CC36AA" w:rsidRPr="00817B9F">
        <w:t xml:space="preserve"> </w:t>
      </w:r>
      <w:r w:rsidR="00D033DF" w:rsidRPr="00817B9F">
        <w:t>summarizes</w:t>
      </w:r>
      <w:r w:rsidR="003703E2" w:rsidRPr="00817B9F">
        <w:t xml:space="preserve"> </w:t>
      </w:r>
      <w:r w:rsidRPr="00817B9F">
        <w:t>the</w:t>
      </w:r>
      <w:r w:rsidR="003703E2" w:rsidRPr="00817B9F">
        <w:t xml:space="preserve"> characteristics </w:t>
      </w:r>
      <w:r w:rsidRPr="00817B9F">
        <w:t xml:space="preserve">of </w:t>
      </w:r>
      <w:r w:rsidR="003703E2" w:rsidRPr="00817B9F">
        <w:t>MGH patients</w:t>
      </w:r>
      <w:r w:rsidR="00D033DF" w:rsidRPr="00817B9F">
        <w:t xml:space="preserve">, </w:t>
      </w:r>
      <w:r w:rsidR="00AC023B" w:rsidRPr="00817B9F">
        <w:t xml:space="preserve">of </w:t>
      </w:r>
      <w:r w:rsidR="00D033DF" w:rsidRPr="00817B9F">
        <w:t xml:space="preserve">MGH patients </w:t>
      </w:r>
      <w:r w:rsidR="00164865" w:rsidRPr="00817B9F">
        <w:t>who reside</w:t>
      </w:r>
      <w:r w:rsidR="009B176E" w:rsidRPr="00817B9F">
        <w:t>d</w:t>
      </w:r>
      <w:r w:rsidR="00D033DF" w:rsidRPr="00817B9F">
        <w:t xml:space="preserve"> in the hospital’s 75 percent service area,</w:t>
      </w:r>
      <w:r w:rsidR="00EF6B84" w:rsidRPr="00817B9F">
        <w:rPr>
          <w:rStyle w:val="FootnoteReference"/>
        </w:rPr>
        <w:footnoteReference w:id="115"/>
      </w:r>
      <w:r w:rsidR="00D033DF" w:rsidRPr="00817B9F">
        <w:t xml:space="preserve"> a</w:t>
      </w:r>
      <w:r w:rsidRPr="00817B9F">
        <w:t xml:space="preserve">nd </w:t>
      </w:r>
      <w:r w:rsidR="00AC023B" w:rsidRPr="00817B9F">
        <w:t xml:space="preserve">of </w:t>
      </w:r>
      <w:r w:rsidRPr="00817B9F">
        <w:t xml:space="preserve">all patients </w:t>
      </w:r>
      <w:r w:rsidR="00164865" w:rsidRPr="00817B9F">
        <w:t xml:space="preserve">who </w:t>
      </w:r>
      <w:r w:rsidRPr="00817B9F">
        <w:t>resid</w:t>
      </w:r>
      <w:r w:rsidR="00164865" w:rsidRPr="00817B9F">
        <w:t>e</w:t>
      </w:r>
      <w:r w:rsidR="008A3140" w:rsidRPr="00817B9F">
        <w:t>d</w:t>
      </w:r>
      <w:r w:rsidRPr="00817B9F">
        <w:t xml:space="preserve"> in the hospital’s 75 percent service area regardless of </w:t>
      </w:r>
      <w:r w:rsidR="007C578B" w:rsidRPr="00817B9F">
        <w:t>where the patient received care</w:t>
      </w:r>
      <w:r w:rsidRPr="00817B9F">
        <w:t>.</w:t>
      </w:r>
      <w:r w:rsidR="003703E2" w:rsidRPr="00817B9F">
        <w:t xml:space="preserve"> The first column of the figure summarizes patient characteristics for all MGH </w:t>
      </w:r>
      <w:r w:rsidR="001F6FFC" w:rsidRPr="00817B9F">
        <w:t xml:space="preserve">patients who received </w:t>
      </w:r>
      <w:r w:rsidR="001D0F7C" w:rsidRPr="00817B9F">
        <w:t>outpatient</w:t>
      </w:r>
      <w:r w:rsidR="000C2E61" w:rsidRPr="00817B9F">
        <w:t xml:space="preserve"> cardio</w:t>
      </w:r>
      <w:r w:rsidR="00371840" w:rsidRPr="00817B9F">
        <w:t>vascular service</w:t>
      </w:r>
      <w:r w:rsidR="007C578B" w:rsidRPr="00817B9F">
        <w:t>s</w:t>
      </w:r>
      <w:r w:rsidR="003703E2" w:rsidRPr="00817B9F">
        <w:t xml:space="preserve">. </w:t>
      </w:r>
    </w:p>
    <w:p w14:paraId="3E5AE7D8" w14:textId="77777777" w:rsidR="00EB2075" w:rsidRPr="00817B9F" w:rsidRDefault="003703E2" w:rsidP="005D3EC9">
      <w:pPr>
        <w:pStyle w:val="BulletParagraph"/>
        <w:rPr>
          <w:rFonts w:cs="Times New Roman"/>
        </w:rPr>
      </w:pPr>
      <w:r w:rsidRPr="00817B9F">
        <w:rPr>
          <w:rFonts w:cs="Times New Roman"/>
        </w:rPr>
        <w:t xml:space="preserve">Approximately </w:t>
      </w:r>
      <w:r w:rsidR="0072634D" w:rsidRPr="00817B9F">
        <w:rPr>
          <w:rFonts w:cs="Times New Roman"/>
        </w:rPr>
        <w:t>53</w:t>
      </w:r>
      <w:r w:rsidRPr="00817B9F">
        <w:rPr>
          <w:rFonts w:cs="Times New Roman"/>
        </w:rPr>
        <w:t xml:space="preserve"> percent of </w:t>
      </w:r>
      <w:r w:rsidR="00AC023B" w:rsidRPr="00817B9F">
        <w:rPr>
          <w:rFonts w:cs="Times New Roman"/>
        </w:rPr>
        <w:t>these</w:t>
      </w:r>
      <w:r w:rsidRPr="00817B9F">
        <w:rPr>
          <w:rFonts w:cs="Times New Roman"/>
        </w:rPr>
        <w:t xml:space="preserve"> patients </w:t>
      </w:r>
      <w:r w:rsidR="003F722C" w:rsidRPr="00817B9F">
        <w:rPr>
          <w:rFonts w:cs="Times New Roman"/>
        </w:rPr>
        <w:t>wer</w:t>
      </w:r>
      <w:r w:rsidRPr="00817B9F">
        <w:rPr>
          <w:rFonts w:cs="Times New Roman"/>
        </w:rPr>
        <w:t xml:space="preserve">e </w:t>
      </w:r>
      <w:r w:rsidR="009574B7" w:rsidRPr="00817B9F">
        <w:rPr>
          <w:rFonts w:cs="Times New Roman"/>
        </w:rPr>
        <w:t>female</w:t>
      </w:r>
      <w:r w:rsidRPr="00817B9F">
        <w:rPr>
          <w:rFonts w:cs="Times New Roman"/>
        </w:rPr>
        <w:t xml:space="preserve">. </w:t>
      </w:r>
    </w:p>
    <w:p w14:paraId="674C10FF" w14:textId="44F69E55" w:rsidR="00EB2075" w:rsidRPr="00817B9F" w:rsidRDefault="00AC023B" w:rsidP="005D3EC9">
      <w:pPr>
        <w:pStyle w:val="BulletParagraph"/>
        <w:rPr>
          <w:rFonts w:cs="Times New Roman"/>
        </w:rPr>
      </w:pPr>
      <w:r w:rsidRPr="00817B9F">
        <w:rPr>
          <w:rFonts w:cs="Times New Roman"/>
        </w:rPr>
        <w:t>Information on patients’</w:t>
      </w:r>
      <w:r w:rsidR="00B93D3F" w:rsidRPr="00817B9F">
        <w:rPr>
          <w:rFonts w:cs="Times New Roman"/>
        </w:rPr>
        <w:t xml:space="preserve"> race </w:t>
      </w:r>
      <w:r w:rsidRPr="00817B9F">
        <w:rPr>
          <w:rFonts w:cs="Times New Roman"/>
        </w:rPr>
        <w:t xml:space="preserve">and ethnicity is not available in the APCD, so the </w:t>
      </w:r>
      <w:r w:rsidR="00F36B1E" w:rsidRPr="00817B9F">
        <w:rPr>
          <w:rFonts w:cs="Times New Roman"/>
        </w:rPr>
        <w:t>figure</w:t>
      </w:r>
      <w:r w:rsidRPr="00817B9F">
        <w:rPr>
          <w:rFonts w:cs="Times New Roman"/>
        </w:rPr>
        <w:t xml:space="preserve"> reflects this</w:t>
      </w:r>
      <w:r w:rsidR="00B93D3F" w:rsidRPr="00817B9F">
        <w:rPr>
          <w:rFonts w:cs="Times New Roman"/>
        </w:rPr>
        <w:t xml:space="preserve"> i</w:t>
      </w:r>
      <w:r w:rsidR="007A10DC" w:rsidRPr="00817B9F">
        <w:rPr>
          <w:rFonts w:cs="Times New Roman"/>
        </w:rPr>
        <w:t xml:space="preserve">nformation only </w:t>
      </w:r>
      <w:r w:rsidRPr="00817B9F">
        <w:rPr>
          <w:rFonts w:cs="Times New Roman"/>
        </w:rPr>
        <w:t>for patients covered by</w:t>
      </w:r>
      <w:r w:rsidR="00B225BD" w:rsidRPr="00817B9F">
        <w:rPr>
          <w:rFonts w:cs="Times New Roman"/>
        </w:rPr>
        <w:t xml:space="preserve"> Original Medicare</w:t>
      </w:r>
      <w:r w:rsidRPr="00817B9F">
        <w:rPr>
          <w:rFonts w:cs="Times New Roman"/>
        </w:rPr>
        <w:t>. T</w:t>
      </w:r>
      <w:r w:rsidR="00275064" w:rsidRPr="00817B9F">
        <w:rPr>
          <w:rFonts w:cs="Times New Roman"/>
        </w:rPr>
        <w:t>he</w:t>
      </w:r>
      <w:r w:rsidRPr="00817B9F">
        <w:rPr>
          <w:rFonts w:cs="Times New Roman"/>
        </w:rPr>
        <w:t>se</w:t>
      </w:r>
      <w:r w:rsidR="00275064" w:rsidRPr="00817B9F">
        <w:rPr>
          <w:rFonts w:cs="Times New Roman"/>
        </w:rPr>
        <w:t xml:space="preserve"> data </w:t>
      </w:r>
      <w:r w:rsidR="0042245B" w:rsidRPr="00817B9F">
        <w:rPr>
          <w:rFonts w:cs="Times New Roman"/>
        </w:rPr>
        <w:t xml:space="preserve">indicate that </w:t>
      </w:r>
      <w:r w:rsidR="00E93BFC" w:rsidRPr="00817B9F">
        <w:rPr>
          <w:rFonts w:cs="Times New Roman"/>
        </w:rPr>
        <w:t>W</w:t>
      </w:r>
      <w:r w:rsidR="003703E2" w:rsidRPr="00817B9F">
        <w:rPr>
          <w:rFonts w:cs="Times New Roman"/>
        </w:rPr>
        <w:t>hite patients account</w:t>
      </w:r>
      <w:r w:rsidR="00A072F4" w:rsidRPr="00817B9F">
        <w:rPr>
          <w:rFonts w:cs="Times New Roman"/>
        </w:rPr>
        <w:t>ed</w:t>
      </w:r>
      <w:r w:rsidR="003703E2" w:rsidRPr="00817B9F">
        <w:rPr>
          <w:rFonts w:cs="Times New Roman"/>
        </w:rPr>
        <w:t xml:space="preserve"> for 8</w:t>
      </w:r>
      <w:r w:rsidR="00D401AC" w:rsidRPr="00817B9F">
        <w:rPr>
          <w:rFonts w:cs="Times New Roman"/>
        </w:rPr>
        <w:t>6</w:t>
      </w:r>
      <w:r w:rsidR="003703E2" w:rsidRPr="00817B9F">
        <w:rPr>
          <w:rFonts w:cs="Times New Roman"/>
        </w:rPr>
        <w:t xml:space="preserve"> percent of MGH’s </w:t>
      </w:r>
      <w:r w:rsidR="00D401AC" w:rsidRPr="00817B9F">
        <w:rPr>
          <w:rFonts w:cs="Times New Roman"/>
        </w:rPr>
        <w:t xml:space="preserve">outpatient cardiovascular </w:t>
      </w:r>
      <w:r w:rsidR="002820BD" w:rsidRPr="00817B9F">
        <w:rPr>
          <w:rFonts w:cs="Times New Roman"/>
        </w:rPr>
        <w:t>patients.</w:t>
      </w:r>
      <w:r w:rsidR="003703E2" w:rsidRPr="00817B9F">
        <w:rPr>
          <w:rFonts w:cs="Times New Roman"/>
        </w:rPr>
        <w:t xml:space="preserve"> Among the remaining </w:t>
      </w:r>
      <w:r w:rsidR="00697CE0" w:rsidRPr="00817B9F">
        <w:rPr>
          <w:rFonts w:cs="Times New Roman"/>
        </w:rPr>
        <w:t>14</w:t>
      </w:r>
      <w:r w:rsidR="003703E2" w:rsidRPr="00817B9F">
        <w:rPr>
          <w:rFonts w:cs="Times New Roman"/>
        </w:rPr>
        <w:t xml:space="preserve"> percent of </w:t>
      </w:r>
      <w:r w:rsidR="00697CE0" w:rsidRPr="00817B9F">
        <w:rPr>
          <w:rFonts w:cs="Times New Roman"/>
        </w:rPr>
        <w:t>outpatient cardiovascular patients</w:t>
      </w:r>
      <w:r w:rsidR="003703E2" w:rsidRPr="00817B9F">
        <w:rPr>
          <w:rFonts w:cs="Times New Roman"/>
        </w:rPr>
        <w:t>,</w:t>
      </w:r>
      <w:r w:rsidR="009B02B0" w:rsidRPr="00817B9F">
        <w:rPr>
          <w:rFonts w:cs="Times New Roman"/>
        </w:rPr>
        <w:t xml:space="preserve"> approximately</w:t>
      </w:r>
      <w:r w:rsidR="003703E2" w:rsidRPr="00817B9F">
        <w:rPr>
          <w:rFonts w:cs="Times New Roman"/>
        </w:rPr>
        <w:t xml:space="preserve"> </w:t>
      </w:r>
      <w:r w:rsidR="00A44E73" w:rsidRPr="00817B9F">
        <w:rPr>
          <w:rFonts w:cs="Times New Roman"/>
        </w:rPr>
        <w:t>five</w:t>
      </w:r>
      <w:r w:rsidR="003703E2" w:rsidRPr="00817B9F">
        <w:rPr>
          <w:rFonts w:cs="Times New Roman"/>
        </w:rPr>
        <w:t xml:space="preserve"> percent of patients </w:t>
      </w:r>
      <w:r w:rsidR="00556A5A" w:rsidRPr="00817B9F">
        <w:rPr>
          <w:rFonts w:cs="Times New Roman"/>
        </w:rPr>
        <w:t>were</w:t>
      </w:r>
      <w:r w:rsidR="003703E2" w:rsidRPr="00817B9F">
        <w:rPr>
          <w:rFonts w:cs="Times New Roman"/>
        </w:rPr>
        <w:t xml:space="preserve"> Black, </w:t>
      </w:r>
      <w:r w:rsidR="006E28E3" w:rsidRPr="00817B9F">
        <w:rPr>
          <w:rFonts w:cs="Times New Roman"/>
        </w:rPr>
        <w:t>two</w:t>
      </w:r>
      <w:r w:rsidR="003703E2" w:rsidRPr="00817B9F">
        <w:rPr>
          <w:rFonts w:cs="Times New Roman"/>
        </w:rPr>
        <w:t xml:space="preserve"> percent </w:t>
      </w:r>
      <w:r w:rsidR="00556A5A" w:rsidRPr="00817B9F">
        <w:rPr>
          <w:rFonts w:cs="Times New Roman"/>
        </w:rPr>
        <w:t>were</w:t>
      </w:r>
      <w:r w:rsidR="003703E2" w:rsidRPr="00817B9F">
        <w:rPr>
          <w:rFonts w:cs="Times New Roman"/>
        </w:rPr>
        <w:t xml:space="preserve"> Asian/Pacific Islander</w:t>
      </w:r>
      <w:r w:rsidR="006E28E3" w:rsidRPr="00817B9F">
        <w:rPr>
          <w:rFonts w:cs="Times New Roman"/>
        </w:rPr>
        <w:t>/American Indian</w:t>
      </w:r>
      <w:r w:rsidR="002F12D9" w:rsidRPr="00817B9F">
        <w:rPr>
          <w:rFonts w:cs="Times New Roman"/>
        </w:rPr>
        <w:t>/Alaska Native</w:t>
      </w:r>
      <w:r w:rsidR="007D4557" w:rsidRPr="00817B9F">
        <w:rPr>
          <w:rFonts w:cs="Times New Roman"/>
        </w:rPr>
        <w:t xml:space="preserve">, two percent </w:t>
      </w:r>
      <w:r w:rsidR="00556A5A" w:rsidRPr="00817B9F">
        <w:rPr>
          <w:rFonts w:cs="Times New Roman"/>
        </w:rPr>
        <w:t>were</w:t>
      </w:r>
      <w:r w:rsidR="007D4557" w:rsidRPr="00817B9F">
        <w:rPr>
          <w:rFonts w:cs="Times New Roman"/>
        </w:rPr>
        <w:t xml:space="preserve"> Hispanic</w:t>
      </w:r>
      <w:r w:rsidR="003703E2" w:rsidRPr="00817B9F">
        <w:rPr>
          <w:rFonts w:cs="Times New Roman"/>
        </w:rPr>
        <w:t>, and</w:t>
      </w:r>
      <w:r w:rsidR="007D4557" w:rsidRPr="00817B9F">
        <w:rPr>
          <w:rFonts w:cs="Times New Roman"/>
        </w:rPr>
        <w:t xml:space="preserve"> six</w:t>
      </w:r>
      <w:r w:rsidR="003703E2" w:rsidRPr="00817B9F">
        <w:rPr>
          <w:rFonts w:cs="Times New Roman"/>
        </w:rPr>
        <w:t xml:space="preserve"> percent </w:t>
      </w:r>
      <w:r w:rsidR="00556A5A" w:rsidRPr="00817B9F">
        <w:rPr>
          <w:rFonts w:cs="Times New Roman"/>
        </w:rPr>
        <w:t>were</w:t>
      </w:r>
      <w:r w:rsidR="00792A8C" w:rsidRPr="00817B9F">
        <w:rPr>
          <w:rFonts w:cs="Times New Roman"/>
        </w:rPr>
        <w:t xml:space="preserve"> </w:t>
      </w:r>
      <w:r w:rsidR="00BC2FC0" w:rsidRPr="00817B9F">
        <w:rPr>
          <w:rFonts w:cs="Times New Roman"/>
        </w:rPr>
        <w:t xml:space="preserve">of </w:t>
      </w:r>
      <w:r w:rsidR="00792A8C" w:rsidRPr="00817B9F">
        <w:rPr>
          <w:rFonts w:cs="Times New Roman"/>
        </w:rPr>
        <w:t xml:space="preserve">other or </w:t>
      </w:r>
      <w:r w:rsidR="003703E2" w:rsidRPr="00817B9F">
        <w:rPr>
          <w:rFonts w:cs="Times New Roman"/>
        </w:rPr>
        <w:t xml:space="preserve">unknown race. </w:t>
      </w:r>
    </w:p>
    <w:p w14:paraId="12D52CBB" w14:textId="23F192C2" w:rsidR="00EB2075" w:rsidRPr="00817B9F" w:rsidRDefault="003703E2" w:rsidP="005D3EC9">
      <w:pPr>
        <w:pStyle w:val="BulletParagraph"/>
        <w:rPr>
          <w:rFonts w:cs="Times New Roman"/>
        </w:rPr>
      </w:pPr>
      <w:r w:rsidRPr="00817B9F">
        <w:rPr>
          <w:rFonts w:cs="Times New Roman"/>
        </w:rPr>
        <w:t>The figure also shows the distribution of ages for MGH</w:t>
      </w:r>
      <w:r w:rsidR="00491B31" w:rsidRPr="00817B9F">
        <w:rPr>
          <w:rFonts w:cs="Times New Roman"/>
        </w:rPr>
        <w:t xml:space="preserve"> </w:t>
      </w:r>
      <w:r w:rsidR="002D5276" w:rsidRPr="00817B9F">
        <w:rPr>
          <w:rFonts w:cs="Times New Roman"/>
        </w:rPr>
        <w:t xml:space="preserve">outpatient </w:t>
      </w:r>
      <w:r w:rsidR="00491B31" w:rsidRPr="00817B9F">
        <w:rPr>
          <w:rFonts w:cs="Times New Roman"/>
        </w:rPr>
        <w:t>cardiovascular</w:t>
      </w:r>
      <w:r w:rsidRPr="00817B9F">
        <w:rPr>
          <w:rFonts w:cs="Times New Roman"/>
        </w:rPr>
        <w:t xml:space="preserve"> patients. </w:t>
      </w:r>
      <w:r w:rsidR="00865B5D" w:rsidRPr="00817B9F">
        <w:rPr>
          <w:rFonts w:cs="Times New Roman"/>
        </w:rPr>
        <w:t>Approximately</w:t>
      </w:r>
      <w:r w:rsidRPr="00817B9F">
        <w:rPr>
          <w:rFonts w:cs="Times New Roman"/>
        </w:rPr>
        <w:t xml:space="preserve"> 5</w:t>
      </w:r>
      <w:r w:rsidR="00F43CED" w:rsidRPr="00817B9F">
        <w:rPr>
          <w:rFonts w:cs="Times New Roman"/>
        </w:rPr>
        <w:t>9</w:t>
      </w:r>
      <w:r w:rsidRPr="00817B9F">
        <w:rPr>
          <w:rFonts w:cs="Times New Roman"/>
        </w:rPr>
        <w:t xml:space="preserve"> percent of MGH’s patients </w:t>
      </w:r>
      <w:r w:rsidR="00556A5A" w:rsidRPr="00817B9F">
        <w:rPr>
          <w:rFonts w:cs="Times New Roman"/>
        </w:rPr>
        <w:t>were</w:t>
      </w:r>
      <w:r w:rsidRPr="00817B9F">
        <w:rPr>
          <w:rFonts w:cs="Times New Roman"/>
        </w:rPr>
        <w:t xml:space="preserve"> 65 </w:t>
      </w:r>
      <w:r w:rsidR="00995008" w:rsidRPr="00817B9F">
        <w:rPr>
          <w:rFonts w:cs="Times New Roman"/>
        </w:rPr>
        <w:t>and</w:t>
      </w:r>
      <w:r w:rsidRPr="00817B9F">
        <w:rPr>
          <w:rFonts w:cs="Times New Roman"/>
        </w:rPr>
        <w:t xml:space="preserve"> older and approximately 2</w:t>
      </w:r>
      <w:r w:rsidR="00255F9C" w:rsidRPr="00817B9F">
        <w:rPr>
          <w:rFonts w:cs="Times New Roman"/>
        </w:rPr>
        <w:t>1</w:t>
      </w:r>
      <w:r w:rsidRPr="00817B9F">
        <w:rPr>
          <w:rFonts w:cs="Times New Roman"/>
        </w:rPr>
        <w:t xml:space="preserve"> percent </w:t>
      </w:r>
      <w:r w:rsidR="00556A5A" w:rsidRPr="00817B9F">
        <w:rPr>
          <w:rFonts w:cs="Times New Roman"/>
        </w:rPr>
        <w:t>were</w:t>
      </w:r>
      <w:r w:rsidRPr="00817B9F">
        <w:rPr>
          <w:rFonts w:cs="Times New Roman"/>
        </w:rPr>
        <w:t xml:space="preserve"> between </w:t>
      </w:r>
      <w:r w:rsidR="00BC2FC0" w:rsidRPr="00817B9F">
        <w:rPr>
          <w:rFonts w:cs="Times New Roman"/>
        </w:rPr>
        <w:t xml:space="preserve">the ages of </w:t>
      </w:r>
      <w:r w:rsidRPr="00817B9F">
        <w:rPr>
          <w:rFonts w:cs="Times New Roman"/>
        </w:rPr>
        <w:t xml:space="preserve">50 and 64. </w:t>
      </w:r>
    </w:p>
    <w:p w14:paraId="03BD1236" w14:textId="4141C2A6" w:rsidR="003703E2" w:rsidRPr="00817B9F" w:rsidRDefault="003703E2" w:rsidP="005D3EC9">
      <w:pPr>
        <w:pStyle w:val="BulletParagraph"/>
        <w:rPr>
          <w:rFonts w:cs="Times New Roman"/>
        </w:rPr>
      </w:pPr>
      <w:r w:rsidRPr="00817B9F">
        <w:rPr>
          <w:rFonts w:cs="Times New Roman"/>
        </w:rPr>
        <w:lastRenderedPageBreak/>
        <w:t xml:space="preserve">For insurance coverage, approximately </w:t>
      </w:r>
      <w:r w:rsidR="00463FC3" w:rsidRPr="00817B9F">
        <w:rPr>
          <w:rFonts w:cs="Times New Roman"/>
        </w:rPr>
        <w:t>5</w:t>
      </w:r>
      <w:r w:rsidRPr="00817B9F">
        <w:rPr>
          <w:rFonts w:cs="Times New Roman"/>
        </w:rPr>
        <w:t xml:space="preserve">5 percent of patients </w:t>
      </w:r>
      <w:r w:rsidR="005579AB" w:rsidRPr="00817B9F">
        <w:rPr>
          <w:rFonts w:cs="Times New Roman"/>
        </w:rPr>
        <w:t>were covered by</w:t>
      </w:r>
      <w:r w:rsidRPr="00817B9F">
        <w:rPr>
          <w:rFonts w:cs="Times New Roman"/>
        </w:rPr>
        <w:t xml:space="preserve"> Original Medicare, </w:t>
      </w:r>
      <w:r w:rsidR="00463FC3" w:rsidRPr="00817B9F">
        <w:rPr>
          <w:rFonts w:cs="Times New Roman"/>
        </w:rPr>
        <w:t>27</w:t>
      </w:r>
      <w:r w:rsidRPr="00817B9F">
        <w:rPr>
          <w:rFonts w:cs="Times New Roman"/>
        </w:rPr>
        <w:t xml:space="preserve"> percent ha</w:t>
      </w:r>
      <w:r w:rsidR="00556A5A" w:rsidRPr="00817B9F">
        <w:rPr>
          <w:rFonts w:cs="Times New Roman"/>
        </w:rPr>
        <w:t>d</w:t>
      </w:r>
      <w:r w:rsidRPr="00817B9F">
        <w:rPr>
          <w:rFonts w:cs="Times New Roman"/>
        </w:rPr>
        <w:t xml:space="preserve"> </w:t>
      </w:r>
      <w:r w:rsidR="00556A5A" w:rsidRPr="00817B9F">
        <w:rPr>
          <w:rFonts w:cs="Times New Roman"/>
        </w:rPr>
        <w:t>c</w:t>
      </w:r>
      <w:r w:rsidRPr="00817B9F">
        <w:rPr>
          <w:rFonts w:cs="Times New Roman"/>
        </w:rPr>
        <w:t xml:space="preserve">ommercial </w:t>
      </w:r>
      <w:r w:rsidR="00556A5A" w:rsidRPr="00817B9F">
        <w:rPr>
          <w:rFonts w:cs="Times New Roman"/>
        </w:rPr>
        <w:t>i</w:t>
      </w:r>
      <w:r w:rsidRPr="00817B9F">
        <w:rPr>
          <w:rFonts w:cs="Times New Roman"/>
        </w:rPr>
        <w:t xml:space="preserve">nsurance (which will include some Health Connector Authority plans), </w:t>
      </w:r>
      <w:r w:rsidR="005F0BD7" w:rsidRPr="00817B9F">
        <w:rPr>
          <w:rFonts w:cs="Times New Roman"/>
        </w:rPr>
        <w:t>two</w:t>
      </w:r>
      <w:r w:rsidRPr="00817B9F">
        <w:rPr>
          <w:rFonts w:cs="Times New Roman"/>
        </w:rPr>
        <w:t xml:space="preserve"> percent ha</w:t>
      </w:r>
      <w:r w:rsidR="00556A5A" w:rsidRPr="00817B9F">
        <w:rPr>
          <w:rFonts w:cs="Times New Roman"/>
        </w:rPr>
        <w:t>d</w:t>
      </w:r>
      <w:r w:rsidRPr="00817B9F">
        <w:rPr>
          <w:rFonts w:cs="Times New Roman"/>
        </w:rPr>
        <w:t xml:space="preserve"> MassHealth </w:t>
      </w:r>
      <w:r w:rsidR="00C3231C" w:rsidRPr="00817B9F">
        <w:rPr>
          <w:rFonts w:cs="Times New Roman"/>
        </w:rPr>
        <w:t>n</w:t>
      </w:r>
      <w:r w:rsidR="009A25AA" w:rsidRPr="00817B9F">
        <w:rPr>
          <w:rFonts w:cs="Times New Roman"/>
        </w:rPr>
        <w:t>on-</w:t>
      </w:r>
      <w:r w:rsidR="00C3231C" w:rsidRPr="00817B9F">
        <w:rPr>
          <w:rFonts w:cs="Times New Roman"/>
        </w:rPr>
        <w:t>m</w:t>
      </w:r>
      <w:r w:rsidRPr="00817B9F">
        <w:rPr>
          <w:rFonts w:cs="Times New Roman"/>
        </w:rPr>
        <w:t xml:space="preserve">anaged </w:t>
      </w:r>
      <w:r w:rsidR="00C3231C" w:rsidRPr="00817B9F">
        <w:rPr>
          <w:rFonts w:cs="Times New Roman"/>
        </w:rPr>
        <w:t>c</w:t>
      </w:r>
      <w:r w:rsidRPr="00817B9F">
        <w:rPr>
          <w:rFonts w:cs="Times New Roman"/>
        </w:rPr>
        <w:t>are</w:t>
      </w:r>
      <w:r w:rsidR="00BC2FC0" w:rsidRPr="00817B9F">
        <w:rPr>
          <w:rFonts w:cs="Times New Roman"/>
        </w:rPr>
        <w:t xml:space="preserve"> </w:t>
      </w:r>
      <w:r w:rsidR="005579AB" w:rsidRPr="00817B9F">
        <w:rPr>
          <w:rFonts w:cs="Times New Roman"/>
        </w:rPr>
        <w:t>coverage</w:t>
      </w:r>
      <w:r w:rsidRPr="00817B9F">
        <w:rPr>
          <w:rFonts w:cs="Times New Roman"/>
        </w:rPr>
        <w:t xml:space="preserve">, </w:t>
      </w:r>
      <w:r w:rsidR="006B796F" w:rsidRPr="00817B9F">
        <w:rPr>
          <w:rFonts w:cs="Times New Roman"/>
        </w:rPr>
        <w:t>six percent had</w:t>
      </w:r>
      <w:r w:rsidRPr="00817B9F">
        <w:rPr>
          <w:rFonts w:cs="Times New Roman"/>
        </w:rPr>
        <w:t xml:space="preserve"> MassHealth </w:t>
      </w:r>
      <w:r w:rsidR="00C3231C" w:rsidRPr="00817B9F">
        <w:rPr>
          <w:rFonts w:cs="Times New Roman"/>
        </w:rPr>
        <w:t>m</w:t>
      </w:r>
      <w:r w:rsidRPr="00817B9F">
        <w:rPr>
          <w:rFonts w:cs="Times New Roman"/>
        </w:rPr>
        <w:t xml:space="preserve">anaged </w:t>
      </w:r>
      <w:r w:rsidR="00C3231C" w:rsidRPr="00817B9F">
        <w:rPr>
          <w:rFonts w:cs="Times New Roman"/>
        </w:rPr>
        <w:t>c</w:t>
      </w:r>
      <w:r w:rsidRPr="00817B9F">
        <w:rPr>
          <w:rFonts w:cs="Times New Roman"/>
        </w:rPr>
        <w:t>are</w:t>
      </w:r>
      <w:r w:rsidR="00BC2FC0" w:rsidRPr="00817B9F">
        <w:rPr>
          <w:rFonts w:cs="Times New Roman"/>
        </w:rPr>
        <w:t xml:space="preserve"> plans</w:t>
      </w:r>
      <w:r w:rsidRPr="00817B9F">
        <w:rPr>
          <w:rFonts w:cs="Times New Roman"/>
        </w:rPr>
        <w:t>, seven percent ha</w:t>
      </w:r>
      <w:r w:rsidR="000E0581" w:rsidRPr="00817B9F">
        <w:rPr>
          <w:rFonts w:cs="Times New Roman"/>
        </w:rPr>
        <w:t>d</w:t>
      </w:r>
      <w:r w:rsidRPr="00817B9F">
        <w:rPr>
          <w:rFonts w:cs="Times New Roman"/>
        </w:rPr>
        <w:t xml:space="preserve"> Medicare </w:t>
      </w:r>
      <w:r w:rsidR="00C3231C" w:rsidRPr="00817B9F">
        <w:rPr>
          <w:rFonts w:cs="Times New Roman"/>
        </w:rPr>
        <w:t>h</w:t>
      </w:r>
      <w:r w:rsidRPr="00817B9F">
        <w:rPr>
          <w:rFonts w:cs="Times New Roman"/>
        </w:rPr>
        <w:t xml:space="preserve">ealth </w:t>
      </w:r>
      <w:r w:rsidR="00C3231C" w:rsidRPr="00817B9F">
        <w:rPr>
          <w:rFonts w:cs="Times New Roman"/>
        </w:rPr>
        <w:t>p</w:t>
      </w:r>
      <w:r w:rsidRPr="00817B9F">
        <w:rPr>
          <w:rFonts w:cs="Times New Roman"/>
        </w:rPr>
        <w:t xml:space="preserve">lans, and </w:t>
      </w:r>
      <w:r w:rsidR="00197CE3" w:rsidRPr="00817B9F">
        <w:rPr>
          <w:rFonts w:cs="Times New Roman"/>
        </w:rPr>
        <w:t>three</w:t>
      </w:r>
      <w:r w:rsidRPr="00817B9F">
        <w:rPr>
          <w:rFonts w:cs="Times New Roman"/>
        </w:rPr>
        <w:t xml:space="preserve"> percent ha</w:t>
      </w:r>
      <w:r w:rsidR="000E0581" w:rsidRPr="00817B9F">
        <w:rPr>
          <w:rFonts w:cs="Times New Roman"/>
        </w:rPr>
        <w:t>d</w:t>
      </w:r>
      <w:r w:rsidRPr="00817B9F">
        <w:rPr>
          <w:rFonts w:cs="Times New Roman"/>
        </w:rPr>
        <w:t xml:space="preserve"> other coverage (</w:t>
      </w:r>
      <w:r w:rsidRPr="00817B9F">
        <w:rPr>
          <w:rFonts w:cs="Times New Roman"/>
          <w:i/>
          <w:iCs/>
        </w:rPr>
        <w:t>e.g.</w:t>
      </w:r>
      <w:r w:rsidRPr="00817B9F">
        <w:rPr>
          <w:rFonts w:cs="Times New Roman"/>
        </w:rPr>
        <w:t>, self</w:t>
      </w:r>
      <w:r w:rsidR="00A25852" w:rsidRPr="00817B9F">
        <w:rPr>
          <w:rFonts w:cs="Times New Roman"/>
        </w:rPr>
        <w:t>-</w:t>
      </w:r>
      <w:r w:rsidRPr="00817B9F">
        <w:rPr>
          <w:rFonts w:cs="Times New Roman"/>
        </w:rPr>
        <w:t xml:space="preserve">pay patients, other government insurance, </w:t>
      </w:r>
      <w:r w:rsidR="00394062" w:rsidRPr="00817B9F">
        <w:rPr>
          <w:rFonts w:cs="Times New Roman"/>
        </w:rPr>
        <w:t>disability</w:t>
      </w:r>
      <w:r w:rsidRPr="00817B9F">
        <w:rPr>
          <w:rFonts w:cs="Times New Roman"/>
        </w:rPr>
        <w:t xml:space="preserve">, etc.). </w:t>
      </w:r>
    </w:p>
    <w:p w14:paraId="468341DC" w14:textId="725AE532" w:rsidR="00BD78FF" w:rsidRPr="00817B9F" w:rsidRDefault="003703E2" w:rsidP="00C249CA">
      <w:pPr>
        <w:pStyle w:val="NumberedParagraphs"/>
      </w:pPr>
      <w:r w:rsidRPr="00817B9F">
        <w:t xml:space="preserve">The second column of the figure summarizes patient characteristics for those MGH </w:t>
      </w:r>
      <w:r w:rsidR="00867D80" w:rsidRPr="00817B9F">
        <w:t>out</w:t>
      </w:r>
      <w:r w:rsidRPr="00817B9F">
        <w:t>patient</w:t>
      </w:r>
      <w:r w:rsidR="00867D80" w:rsidRPr="00817B9F">
        <w:t xml:space="preserve"> cardiovascular patients</w:t>
      </w:r>
      <w:r w:rsidRPr="00817B9F">
        <w:t xml:space="preserve"> who reside</w:t>
      </w:r>
      <w:r w:rsidR="000251CA" w:rsidRPr="00817B9F">
        <w:t>d</w:t>
      </w:r>
      <w:r w:rsidRPr="00817B9F">
        <w:t xml:space="preserve"> in the hospital’s 75 percent service area. This area is created by identifying the small</w:t>
      </w:r>
      <w:r w:rsidR="00AC317D" w:rsidRPr="00817B9F">
        <w:t>est</w:t>
      </w:r>
      <w:r w:rsidRPr="00817B9F">
        <w:t xml:space="preserve"> set of ZIP Codes that comprise at least 75 percent of MGH’s </w:t>
      </w:r>
      <w:r w:rsidR="003A0A6B" w:rsidRPr="00817B9F">
        <w:t>outpatient cardiovascular procedure</w:t>
      </w:r>
      <w:r w:rsidR="006A1FD8" w:rsidRPr="00817B9F">
        <w:t xml:space="preserve"> volume</w:t>
      </w:r>
      <w:r w:rsidRPr="00817B9F">
        <w:t xml:space="preserve">. MGH’s 75 percent service area </w:t>
      </w:r>
      <w:r w:rsidR="006A1FD8" w:rsidRPr="00817B9F">
        <w:t>for these procedures</w:t>
      </w:r>
      <w:r w:rsidRPr="00817B9F">
        <w:t xml:space="preserve"> is shown in Figure </w:t>
      </w:r>
      <w:r w:rsidR="00A46E8D" w:rsidRPr="00817B9F">
        <w:t>MGH6</w:t>
      </w:r>
      <w:r w:rsidRPr="00817B9F">
        <w:t>.</w:t>
      </w:r>
      <w:r w:rsidR="00F5749A" w:rsidRPr="00817B9F">
        <w:rPr>
          <w:rStyle w:val="FootnoteReference"/>
        </w:rPr>
        <w:footnoteReference w:id="116"/>
      </w:r>
    </w:p>
    <w:p w14:paraId="50171905" w14:textId="45C178AC" w:rsidR="00EB2075" w:rsidRPr="00817B9F" w:rsidRDefault="003703E2" w:rsidP="00A37589">
      <w:pPr>
        <w:pStyle w:val="NumberedParagraphs"/>
      </w:pPr>
      <w:r w:rsidRPr="00817B9F">
        <w:t xml:space="preserve">The third column of </w:t>
      </w:r>
      <w:r w:rsidR="00117F3E" w:rsidRPr="00817B9F">
        <w:t>Figure MGH5</w:t>
      </w:r>
      <w:r w:rsidR="00CC36AA" w:rsidRPr="00817B9F">
        <w:t xml:space="preserve"> </w:t>
      </w:r>
      <w:r w:rsidRPr="00817B9F">
        <w:t xml:space="preserve">provides a summary of the characteristics </w:t>
      </w:r>
      <w:r w:rsidR="006A1FD8" w:rsidRPr="00817B9F">
        <w:t>of</w:t>
      </w:r>
      <w:r w:rsidRPr="00817B9F">
        <w:t xml:space="preserve"> all </w:t>
      </w:r>
      <w:r w:rsidR="00F85BCB" w:rsidRPr="00817B9F">
        <w:t xml:space="preserve">patients </w:t>
      </w:r>
      <w:r w:rsidRPr="00817B9F">
        <w:t xml:space="preserve">who </w:t>
      </w:r>
      <w:r w:rsidR="006A1FD8" w:rsidRPr="00817B9F">
        <w:t xml:space="preserve">received </w:t>
      </w:r>
      <w:r w:rsidR="009C69AF" w:rsidRPr="00817B9F">
        <w:t xml:space="preserve">outpatient </w:t>
      </w:r>
      <w:r w:rsidR="00F85BCB" w:rsidRPr="00817B9F">
        <w:t xml:space="preserve">cardiovascular </w:t>
      </w:r>
      <w:r w:rsidR="006A1FD8" w:rsidRPr="00817B9F">
        <w:t xml:space="preserve">services and who </w:t>
      </w:r>
      <w:r w:rsidR="00B0096E" w:rsidRPr="00817B9F">
        <w:t>reside</w:t>
      </w:r>
      <w:r w:rsidR="000251CA" w:rsidRPr="00817B9F">
        <w:t>d</w:t>
      </w:r>
      <w:r w:rsidRPr="00817B9F">
        <w:t xml:space="preserve"> </w:t>
      </w:r>
      <w:r w:rsidR="006A1FD8" w:rsidRPr="00817B9F">
        <w:t>in</w:t>
      </w:r>
      <w:r w:rsidRPr="00817B9F">
        <w:t xml:space="preserve"> MGH’s 75 percent service area</w:t>
      </w:r>
      <w:r w:rsidR="006C600E" w:rsidRPr="00817B9F">
        <w:t xml:space="preserve"> (regardless of which health care provider those patients chose)</w:t>
      </w:r>
      <w:r w:rsidRPr="00817B9F">
        <w:t xml:space="preserve">. </w:t>
      </w:r>
      <w:r w:rsidR="00747029" w:rsidRPr="00817B9F">
        <w:t>Broadly speaking, t</w:t>
      </w:r>
      <w:r w:rsidRPr="00817B9F">
        <w:t xml:space="preserve">he </w:t>
      </w:r>
      <w:r w:rsidR="00747029" w:rsidRPr="00817B9F">
        <w:t xml:space="preserve">profiles of MGH’s </w:t>
      </w:r>
      <w:r w:rsidRPr="00817B9F">
        <w:t xml:space="preserve">patients </w:t>
      </w:r>
      <w:r w:rsidR="00E510B2" w:rsidRPr="00817B9F">
        <w:t xml:space="preserve">who </w:t>
      </w:r>
      <w:r w:rsidR="00747029" w:rsidRPr="00817B9F">
        <w:t>reside</w:t>
      </w:r>
      <w:r w:rsidR="00A92367" w:rsidRPr="00817B9F">
        <w:t>d</w:t>
      </w:r>
      <w:r w:rsidRPr="00817B9F">
        <w:t xml:space="preserve"> in the </w:t>
      </w:r>
      <w:r w:rsidR="00CF1BDD" w:rsidRPr="00817B9F">
        <w:t>hospital’s</w:t>
      </w:r>
      <w:r w:rsidRPr="00817B9F">
        <w:t xml:space="preserve"> 75 percent service area</w:t>
      </w:r>
      <w:r w:rsidR="007F458A" w:rsidRPr="00817B9F">
        <w:t xml:space="preserve"> and </w:t>
      </w:r>
      <w:r w:rsidR="006C600E" w:rsidRPr="00817B9F">
        <w:t xml:space="preserve">the </w:t>
      </w:r>
      <w:r w:rsidR="004B0DA1" w:rsidRPr="00817B9F">
        <w:t>profiles of all patients who reside</w:t>
      </w:r>
      <w:r w:rsidR="00A92367" w:rsidRPr="00817B9F">
        <w:t>d</w:t>
      </w:r>
      <w:r w:rsidR="004B0DA1" w:rsidRPr="00817B9F">
        <w:t xml:space="preserve"> </w:t>
      </w:r>
      <w:r w:rsidR="00465513" w:rsidRPr="00817B9F">
        <w:t>in that area</w:t>
      </w:r>
      <w:r w:rsidRPr="00817B9F">
        <w:t xml:space="preserve"> </w:t>
      </w:r>
      <w:r w:rsidR="006C600E" w:rsidRPr="00817B9F">
        <w:t>were</w:t>
      </w:r>
      <w:r w:rsidRPr="00817B9F">
        <w:t xml:space="preserve"> similar</w:t>
      </w:r>
      <w:r w:rsidR="00465513" w:rsidRPr="00817B9F">
        <w:t>, although we note several differences</w:t>
      </w:r>
      <w:r w:rsidR="006C600E" w:rsidRPr="00817B9F">
        <w:t xml:space="preserve"> in what follows</w:t>
      </w:r>
      <w:r w:rsidRPr="00817B9F">
        <w:t xml:space="preserve">. </w:t>
      </w:r>
    </w:p>
    <w:p w14:paraId="31F74BBF" w14:textId="737FF76F" w:rsidR="00EB2075" w:rsidRPr="00817B9F" w:rsidRDefault="000A4032" w:rsidP="005D3EC9">
      <w:pPr>
        <w:pStyle w:val="BulletParagraph"/>
        <w:rPr>
          <w:rFonts w:cs="Times New Roman"/>
        </w:rPr>
      </w:pPr>
      <w:r w:rsidRPr="00817B9F">
        <w:rPr>
          <w:rFonts w:cs="Times New Roman"/>
        </w:rPr>
        <w:t>Relative to MGH’s patients</w:t>
      </w:r>
      <w:r w:rsidR="00535562" w:rsidRPr="00817B9F">
        <w:rPr>
          <w:rFonts w:cs="Times New Roman"/>
        </w:rPr>
        <w:t xml:space="preserve"> in its 75 percent service area</w:t>
      </w:r>
      <w:r w:rsidRPr="00817B9F">
        <w:rPr>
          <w:rFonts w:cs="Times New Roman"/>
        </w:rPr>
        <w:t xml:space="preserve">, patients in MGH’s service area </w:t>
      </w:r>
      <w:r w:rsidR="008911FE" w:rsidRPr="00817B9F">
        <w:rPr>
          <w:rFonts w:cs="Times New Roman"/>
        </w:rPr>
        <w:t xml:space="preserve">(regardless of which provider they chose) </w:t>
      </w:r>
      <w:r w:rsidRPr="00817B9F">
        <w:rPr>
          <w:rFonts w:cs="Times New Roman"/>
        </w:rPr>
        <w:t xml:space="preserve">were </w:t>
      </w:r>
      <w:r w:rsidR="006C600E" w:rsidRPr="00817B9F">
        <w:rPr>
          <w:rFonts w:cs="Times New Roman"/>
        </w:rPr>
        <w:t xml:space="preserve">somewhat </w:t>
      </w:r>
      <w:r w:rsidR="00976856" w:rsidRPr="00817B9F">
        <w:rPr>
          <w:rFonts w:cs="Times New Roman"/>
        </w:rPr>
        <w:t>more likely to be</w:t>
      </w:r>
      <w:r w:rsidR="00EC30D9" w:rsidRPr="00817B9F">
        <w:rPr>
          <w:rFonts w:cs="Times New Roman"/>
        </w:rPr>
        <w:t xml:space="preserve"> </w:t>
      </w:r>
      <w:r w:rsidR="003703E2" w:rsidRPr="00817B9F">
        <w:rPr>
          <w:rFonts w:cs="Times New Roman"/>
        </w:rPr>
        <w:t>female (5</w:t>
      </w:r>
      <w:r w:rsidR="00CF3689" w:rsidRPr="00817B9F">
        <w:rPr>
          <w:rFonts w:cs="Times New Roman"/>
        </w:rPr>
        <w:t>7</w:t>
      </w:r>
      <w:r w:rsidR="003703E2" w:rsidRPr="00817B9F">
        <w:rPr>
          <w:rFonts w:cs="Times New Roman"/>
        </w:rPr>
        <w:t xml:space="preserve"> percent </w:t>
      </w:r>
      <w:r w:rsidR="006C600E" w:rsidRPr="00817B9F">
        <w:rPr>
          <w:rFonts w:cs="Times New Roman"/>
        </w:rPr>
        <w:t>compared to</w:t>
      </w:r>
      <w:r w:rsidR="003703E2" w:rsidRPr="00817B9F">
        <w:rPr>
          <w:rFonts w:cs="Times New Roman"/>
        </w:rPr>
        <w:t xml:space="preserve"> </w:t>
      </w:r>
      <w:r w:rsidR="00CF3689" w:rsidRPr="00817B9F">
        <w:rPr>
          <w:rFonts w:cs="Times New Roman"/>
        </w:rPr>
        <w:t>54</w:t>
      </w:r>
      <w:r w:rsidR="003703E2" w:rsidRPr="00817B9F">
        <w:rPr>
          <w:rFonts w:cs="Times New Roman"/>
        </w:rPr>
        <w:t xml:space="preserve"> percent)</w:t>
      </w:r>
      <w:r w:rsidR="00B8124A" w:rsidRPr="00817B9F">
        <w:rPr>
          <w:rFonts w:cs="Times New Roman"/>
        </w:rPr>
        <w:t xml:space="preserve"> and</w:t>
      </w:r>
      <w:r w:rsidR="003703E2" w:rsidRPr="00817B9F">
        <w:rPr>
          <w:rFonts w:cs="Times New Roman"/>
        </w:rPr>
        <w:t xml:space="preserve"> </w:t>
      </w:r>
      <w:r w:rsidR="009941B2" w:rsidRPr="00817B9F">
        <w:rPr>
          <w:rFonts w:cs="Times New Roman"/>
        </w:rPr>
        <w:t>were</w:t>
      </w:r>
      <w:r w:rsidR="003703E2" w:rsidRPr="00817B9F">
        <w:rPr>
          <w:rFonts w:cs="Times New Roman"/>
        </w:rPr>
        <w:t xml:space="preserve"> </w:t>
      </w:r>
      <w:r w:rsidR="006C600E" w:rsidRPr="00817B9F">
        <w:rPr>
          <w:rFonts w:cs="Times New Roman"/>
        </w:rPr>
        <w:t>somewhat</w:t>
      </w:r>
      <w:r w:rsidR="003703E2" w:rsidRPr="00817B9F">
        <w:rPr>
          <w:rFonts w:cs="Times New Roman"/>
        </w:rPr>
        <w:t xml:space="preserve"> more likely to be Black (</w:t>
      </w:r>
      <w:r w:rsidR="00E2100C" w:rsidRPr="00817B9F">
        <w:rPr>
          <w:rFonts w:cs="Times New Roman"/>
        </w:rPr>
        <w:t>eight</w:t>
      </w:r>
      <w:r w:rsidR="003703E2" w:rsidRPr="00817B9F">
        <w:rPr>
          <w:rFonts w:cs="Times New Roman"/>
        </w:rPr>
        <w:t xml:space="preserve"> percent </w:t>
      </w:r>
      <w:r w:rsidR="006C600E" w:rsidRPr="00817B9F">
        <w:rPr>
          <w:rFonts w:cs="Times New Roman"/>
        </w:rPr>
        <w:t>compared to</w:t>
      </w:r>
      <w:r w:rsidR="003703E2" w:rsidRPr="00817B9F">
        <w:rPr>
          <w:rFonts w:cs="Times New Roman"/>
        </w:rPr>
        <w:t xml:space="preserve"> </w:t>
      </w:r>
      <w:r w:rsidR="00E2100C" w:rsidRPr="00817B9F">
        <w:rPr>
          <w:rFonts w:cs="Times New Roman"/>
        </w:rPr>
        <w:t>six</w:t>
      </w:r>
      <w:r w:rsidR="003703E2" w:rsidRPr="00817B9F">
        <w:rPr>
          <w:rFonts w:cs="Times New Roman"/>
        </w:rPr>
        <w:t xml:space="preserve"> percent). </w:t>
      </w:r>
    </w:p>
    <w:p w14:paraId="7F590E35" w14:textId="7D34181E" w:rsidR="00A53DAC" w:rsidRPr="00817B9F" w:rsidRDefault="00A53DAC" w:rsidP="005D3EC9">
      <w:pPr>
        <w:pStyle w:val="BulletParagraph"/>
        <w:rPr>
          <w:rFonts w:cs="Times New Roman"/>
        </w:rPr>
      </w:pPr>
      <w:r w:rsidRPr="00817B9F">
        <w:rPr>
          <w:rFonts w:cs="Times New Roman"/>
        </w:rPr>
        <w:t>The age distribution of MGH’s patients in its service area was similar to the age distribution of all patients who resided in the hospital’s service area, although the latter group of patients were less likely to be age 65 and older (5</w:t>
      </w:r>
      <w:r w:rsidR="002820BD" w:rsidRPr="00817B9F">
        <w:rPr>
          <w:rFonts w:cs="Times New Roman"/>
        </w:rPr>
        <w:t>1</w:t>
      </w:r>
      <w:r w:rsidRPr="00817B9F">
        <w:rPr>
          <w:rFonts w:cs="Times New Roman"/>
        </w:rPr>
        <w:t xml:space="preserve"> percent compared to 5</w:t>
      </w:r>
      <w:r w:rsidR="002820BD" w:rsidRPr="00817B9F">
        <w:rPr>
          <w:rFonts w:cs="Times New Roman"/>
        </w:rPr>
        <w:t>7</w:t>
      </w:r>
      <w:r w:rsidRPr="00817B9F">
        <w:rPr>
          <w:rFonts w:cs="Times New Roman"/>
        </w:rPr>
        <w:t xml:space="preserve"> percent).</w:t>
      </w:r>
    </w:p>
    <w:p w14:paraId="614F75A4" w14:textId="2E700072" w:rsidR="00EB2075" w:rsidRPr="00817B9F" w:rsidRDefault="00B37EDB" w:rsidP="005D3EC9">
      <w:pPr>
        <w:pStyle w:val="BulletParagraph"/>
        <w:rPr>
          <w:rFonts w:cs="Times New Roman"/>
        </w:rPr>
      </w:pPr>
      <w:r w:rsidRPr="00817B9F">
        <w:rPr>
          <w:rFonts w:cs="Times New Roman"/>
        </w:rPr>
        <w:lastRenderedPageBreak/>
        <w:t>T</w:t>
      </w:r>
      <w:r w:rsidR="003703E2" w:rsidRPr="00817B9F">
        <w:rPr>
          <w:rFonts w:cs="Times New Roman"/>
        </w:rPr>
        <w:t xml:space="preserve">he broader population </w:t>
      </w:r>
      <w:r w:rsidR="009941B2" w:rsidRPr="00817B9F">
        <w:rPr>
          <w:rFonts w:cs="Times New Roman"/>
        </w:rPr>
        <w:t>was</w:t>
      </w:r>
      <w:r w:rsidR="003703E2" w:rsidRPr="00817B9F">
        <w:rPr>
          <w:rFonts w:cs="Times New Roman"/>
        </w:rPr>
        <w:t xml:space="preserve"> less likely to </w:t>
      </w:r>
      <w:r w:rsidR="00A77E69" w:rsidRPr="00817B9F">
        <w:rPr>
          <w:rFonts w:cs="Times New Roman"/>
        </w:rPr>
        <w:t>be covered by</w:t>
      </w:r>
      <w:r w:rsidR="003703E2" w:rsidRPr="00817B9F">
        <w:rPr>
          <w:rFonts w:cs="Times New Roman"/>
        </w:rPr>
        <w:t xml:space="preserve"> </w:t>
      </w:r>
      <w:r w:rsidR="0018296C" w:rsidRPr="00817B9F">
        <w:rPr>
          <w:rFonts w:cs="Times New Roman"/>
        </w:rPr>
        <w:t>Origin</w:t>
      </w:r>
      <w:r w:rsidR="002A1963" w:rsidRPr="00817B9F">
        <w:rPr>
          <w:rFonts w:cs="Times New Roman"/>
        </w:rPr>
        <w:t>a</w:t>
      </w:r>
      <w:r w:rsidR="0018296C" w:rsidRPr="00817B9F">
        <w:rPr>
          <w:rFonts w:cs="Times New Roman"/>
        </w:rPr>
        <w:t>l Medicare</w:t>
      </w:r>
      <w:r w:rsidR="003703E2" w:rsidRPr="00817B9F">
        <w:rPr>
          <w:rFonts w:cs="Times New Roman"/>
        </w:rPr>
        <w:t xml:space="preserve"> (</w:t>
      </w:r>
      <w:r w:rsidR="005154B7" w:rsidRPr="00817B9F">
        <w:rPr>
          <w:rFonts w:cs="Times New Roman"/>
        </w:rPr>
        <w:t>44</w:t>
      </w:r>
      <w:r w:rsidR="003703E2" w:rsidRPr="00817B9F">
        <w:rPr>
          <w:rFonts w:cs="Times New Roman"/>
        </w:rPr>
        <w:t xml:space="preserve"> percent </w:t>
      </w:r>
      <w:r w:rsidR="00A77E69" w:rsidRPr="00817B9F">
        <w:rPr>
          <w:rFonts w:cs="Times New Roman"/>
        </w:rPr>
        <w:t>compared to</w:t>
      </w:r>
      <w:r w:rsidR="003703E2" w:rsidRPr="00817B9F">
        <w:rPr>
          <w:rFonts w:cs="Times New Roman"/>
        </w:rPr>
        <w:t xml:space="preserve"> </w:t>
      </w:r>
      <w:r w:rsidR="005154B7" w:rsidRPr="00817B9F">
        <w:rPr>
          <w:rFonts w:cs="Times New Roman"/>
        </w:rPr>
        <w:t>53</w:t>
      </w:r>
      <w:r w:rsidR="003703E2" w:rsidRPr="00817B9F">
        <w:rPr>
          <w:rFonts w:cs="Times New Roman"/>
        </w:rPr>
        <w:t xml:space="preserve"> percent)</w:t>
      </w:r>
      <w:r w:rsidR="007E79D9" w:rsidRPr="00817B9F">
        <w:rPr>
          <w:rFonts w:cs="Times New Roman"/>
        </w:rPr>
        <w:t xml:space="preserve"> and</w:t>
      </w:r>
      <w:r w:rsidR="003703E2" w:rsidRPr="00817B9F">
        <w:rPr>
          <w:rFonts w:cs="Times New Roman"/>
        </w:rPr>
        <w:t xml:space="preserve"> </w:t>
      </w:r>
      <w:r w:rsidR="009941B2" w:rsidRPr="00817B9F">
        <w:rPr>
          <w:rFonts w:cs="Times New Roman"/>
        </w:rPr>
        <w:t>was</w:t>
      </w:r>
      <w:r w:rsidR="003703E2" w:rsidRPr="00817B9F">
        <w:rPr>
          <w:rFonts w:cs="Times New Roman"/>
        </w:rPr>
        <w:t xml:space="preserve"> more likely to be covered by MassHealth </w:t>
      </w:r>
      <w:r w:rsidR="00C32398" w:rsidRPr="00817B9F">
        <w:rPr>
          <w:rFonts w:cs="Times New Roman"/>
        </w:rPr>
        <w:t>m</w:t>
      </w:r>
      <w:r w:rsidR="00E92890" w:rsidRPr="00817B9F">
        <w:rPr>
          <w:rFonts w:cs="Times New Roman"/>
        </w:rPr>
        <w:t xml:space="preserve">anaged </w:t>
      </w:r>
      <w:r w:rsidR="00C32398" w:rsidRPr="00817B9F">
        <w:rPr>
          <w:rFonts w:cs="Times New Roman"/>
        </w:rPr>
        <w:t>c</w:t>
      </w:r>
      <w:r w:rsidR="00E92890" w:rsidRPr="00817B9F">
        <w:rPr>
          <w:rFonts w:cs="Times New Roman"/>
        </w:rPr>
        <w:t xml:space="preserve">are </w:t>
      </w:r>
      <w:r w:rsidR="00A77E69" w:rsidRPr="00817B9F">
        <w:rPr>
          <w:rFonts w:cs="Times New Roman"/>
        </w:rPr>
        <w:t xml:space="preserve">plans </w:t>
      </w:r>
      <w:r w:rsidR="003703E2" w:rsidRPr="00817B9F">
        <w:rPr>
          <w:rFonts w:cs="Times New Roman"/>
        </w:rPr>
        <w:t>(1</w:t>
      </w:r>
      <w:r w:rsidR="00E92890" w:rsidRPr="00817B9F">
        <w:rPr>
          <w:rFonts w:cs="Times New Roman"/>
        </w:rPr>
        <w:t>1</w:t>
      </w:r>
      <w:r w:rsidR="003703E2" w:rsidRPr="00817B9F">
        <w:rPr>
          <w:rFonts w:cs="Times New Roman"/>
        </w:rPr>
        <w:t xml:space="preserve"> percent </w:t>
      </w:r>
      <w:r w:rsidR="00A77E69" w:rsidRPr="00817B9F">
        <w:rPr>
          <w:rFonts w:cs="Times New Roman"/>
        </w:rPr>
        <w:t>compared to</w:t>
      </w:r>
      <w:r w:rsidR="003703E2" w:rsidRPr="00817B9F">
        <w:rPr>
          <w:rFonts w:cs="Times New Roman"/>
        </w:rPr>
        <w:t xml:space="preserve"> </w:t>
      </w:r>
      <w:r w:rsidR="002B3785" w:rsidRPr="00817B9F">
        <w:rPr>
          <w:rFonts w:cs="Times New Roman"/>
        </w:rPr>
        <w:t>six</w:t>
      </w:r>
      <w:r w:rsidR="003703E2" w:rsidRPr="00817B9F">
        <w:rPr>
          <w:rFonts w:cs="Times New Roman"/>
        </w:rPr>
        <w:t xml:space="preserve"> percent).</w:t>
      </w:r>
      <w:r w:rsidR="00342EED" w:rsidRPr="00817B9F">
        <w:rPr>
          <w:rFonts w:cs="Times New Roman"/>
        </w:rPr>
        <w:t xml:space="preserve"> </w:t>
      </w:r>
    </w:p>
    <w:p w14:paraId="08F6FDE7" w14:textId="44FA78FE" w:rsidR="00FF768F" w:rsidRPr="00817B9F" w:rsidRDefault="005F038F" w:rsidP="00FF768F">
      <w:pPr>
        <w:pStyle w:val="Heading3"/>
      </w:pPr>
      <w:bookmarkStart w:id="76" w:name="_Toc90046512"/>
      <w:r w:rsidRPr="00817B9F">
        <w:t xml:space="preserve">Outpatient </w:t>
      </w:r>
      <w:r w:rsidR="00E85ACC" w:rsidRPr="00817B9F">
        <w:t>Oncology</w:t>
      </w:r>
      <w:r w:rsidRPr="00817B9F">
        <w:t xml:space="preserve"> </w:t>
      </w:r>
      <w:r w:rsidR="00C14360" w:rsidRPr="00817B9F">
        <w:t>Visits</w:t>
      </w:r>
      <w:bookmarkEnd w:id="76"/>
      <w:r w:rsidR="008E5B91" w:rsidRPr="00817B9F">
        <w:t xml:space="preserve"> </w:t>
      </w:r>
    </w:p>
    <w:p w14:paraId="6395BA4C" w14:textId="25C0B47B" w:rsidR="00EB2075" w:rsidRPr="00817B9F" w:rsidRDefault="008E5B91" w:rsidP="00177BDD">
      <w:pPr>
        <w:pStyle w:val="NumberedParagraphs"/>
      </w:pPr>
      <w:r w:rsidRPr="00817B9F">
        <w:t xml:space="preserve">Among patients who received outpatient oncology </w:t>
      </w:r>
      <w:r w:rsidR="00164865" w:rsidRPr="00817B9F">
        <w:t xml:space="preserve">services in 2018, </w:t>
      </w:r>
      <w:r w:rsidR="00117F3E" w:rsidRPr="00817B9F">
        <w:t>Figure MGH7</w:t>
      </w:r>
      <w:r w:rsidR="00CC36AA" w:rsidRPr="00817B9F">
        <w:t xml:space="preserve"> </w:t>
      </w:r>
      <w:r w:rsidR="00164865" w:rsidRPr="00817B9F">
        <w:t>summarize</w:t>
      </w:r>
      <w:r w:rsidR="00891D26" w:rsidRPr="00817B9F">
        <w:t>s</w:t>
      </w:r>
      <w:r w:rsidR="00164865" w:rsidRPr="00817B9F">
        <w:t xml:space="preserve"> the </w:t>
      </w:r>
      <w:r w:rsidR="00177BDD" w:rsidRPr="00817B9F">
        <w:t xml:space="preserve">characteristics </w:t>
      </w:r>
      <w:r w:rsidR="00164865" w:rsidRPr="00817B9F">
        <w:t xml:space="preserve">of </w:t>
      </w:r>
      <w:r w:rsidR="00177BDD" w:rsidRPr="00817B9F">
        <w:t>MGH patients</w:t>
      </w:r>
      <w:r w:rsidR="00164865" w:rsidRPr="00817B9F">
        <w:t>,</w:t>
      </w:r>
      <w:r w:rsidR="00177BDD" w:rsidRPr="00817B9F">
        <w:t xml:space="preserve"> of MGH patients </w:t>
      </w:r>
      <w:r w:rsidR="008905C2" w:rsidRPr="00817B9F">
        <w:t>who reside</w:t>
      </w:r>
      <w:r w:rsidR="005F28A0" w:rsidRPr="00817B9F">
        <w:t>d</w:t>
      </w:r>
      <w:r w:rsidR="008905C2" w:rsidRPr="00817B9F">
        <w:t xml:space="preserve"> in the hospital’s 75 percent service area, and of all patients who reside</w:t>
      </w:r>
      <w:r w:rsidR="008B6223" w:rsidRPr="00817B9F">
        <w:t>d</w:t>
      </w:r>
      <w:r w:rsidR="008905C2" w:rsidRPr="00817B9F">
        <w:t xml:space="preserve"> in the hospital’s 75 percent service area regardless of where the patient received care.</w:t>
      </w:r>
      <w:r w:rsidR="00177BDD" w:rsidRPr="00817B9F">
        <w:t xml:space="preserve"> The first column of the figure summarizes patient characteristics for all MGH patients who received outpatient </w:t>
      </w:r>
      <w:r w:rsidR="001F0211" w:rsidRPr="00817B9F">
        <w:t>oncology</w:t>
      </w:r>
      <w:r w:rsidR="00177BDD" w:rsidRPr="00817B9F">
        <w:t xml:space="preserve"> </w:t>
      </w:r>
      <w:r w:rsidR="00891D26" w:rsidRPr="00817B9F">
        <w:t>services.</w:t>
      </w:r>
      <w:r w:rsidR="00177BDD" w:rsidRPr="00817B9F">
        <w:t xml:space="preserve"> </w:t>
      </w:r>
    </w:p>
    <w:p w14:paraId="3F3BEBDB" w14:textId="77777777" w:rsidR="00EB2075" w:rsidRPr="00817B9F" w:rsidRDefault="00177BDD" w:rsidP="005D3EC9">
      <w:pPr>
        <w:pStyle w:val="BulletParagraph"/>
        <w:rPr>
          <w:rFonts w:cs="Times New Roman"/>
        </w:rPr>
      </w:pPr>
      <w:r w:rsidRPr="00817B9F">
        <w:rPr>
          <w:rFonts w:cs="Times New Roman"/>
        </w:rPr>
        <w:t>Approximately 5</w:t>
      </w:r>
      <w:r w:rsidR="00750394" w:rsidRPr="00817B9F">
        <w:rPr>
          <w:rFonts w:cs="Times New Roman"/>
        </w:rPr>
        <w:t>8</w:t>
      </w:r>
      <w:r w:rsidRPr="00817B9F">
        <w:rPr>
          <w:rFonts w:cs="Times New Roman"/>
        </w:rPr>
        <w:t xml:space="preserve"> percent of MGH patients </w:t>
      </w:r>
      <w:r w:rsidR="00336BFE" w:rsidRPr="00817B9F">
        <w:rPr>
          <w:rFonts w:cs="Times New Roman"/>
        </w:rPr>
        <w:t>were</w:t>
      </w:r>
      <w:r w:rsidRPr="00817B9F">
        <w:rPr>
          <w:rFonts w:cs="Times New Roman"/>
        </w:rPr>
        <w:t xml:space="preserve"> female. </w:t>
      </w:r>
    </w:p>
    <w:p w14:paraId="7633FB10" w14:textId="6E2A87C8" w:rsidR="00EB2075" w:rsidRPr="00817B9F" w:rsidRDefault="00F10E15" w:rsidP="005D3EC9">
      <w:pPr>
        <w:pStyle w:val="BulletParagraph"/>
        <w:rPr>
          <w:rFonts w:cs="Times New Roman"/>
        </w:rPr>
      </w:pPr>
      <w:r w:rsidRPr="00817B9F">
        <w:rPr>
          <w:rFonts w:cs="Times New Roman"/>
        </w:rPr>
        <w:t>Information on patients’</w:t>
      </w:r>
      <w:r w:rsidR="008119BE" w:rsidRPr="00817B9F">
        <w:rPr>
          <w:rFonts w:cs="Times New Roman"/>
        </w:rPr>
        <w:t xml:space="preserve"> race </w:t>
      </w:r>
      <w:r w:rsidRPr="00817B9F">
        <w:rPr>
          <w:rFonts w:cs="Times New Roman"/>
        </w:rPr>
        <w:t>and ethnicity</w:t>
      </w:r>
      <w:r w:rsidR="008119BE" w:rsidRPr="00817B9F">
        <w:rPr>
          <w:rFonts w:cs="Times New Roman"/>
        </w:rPr>
        <w:t xml:space="preserve"> is only available for Original Medicare patients, </w:t>
      </w:r>
      <w:r w:rsidR="0036708B" w:rsidRPr="00817B9F">
        <w:rPr>
          <w:rFonts w:cs="Times New Roman"/>
        </w:rPr>
        <w:t>but</w:t>
      </w:r>
      <w:r w:rsidR="008119BE" w:rsidRPr="00817B9F">
        <w:rPr>
          <w:rFonts w:cs="Times New Roman"/>
        </w:rPr>
        <w:t xml:space="preserve"> the available data indicate that </w:t>
      </w:r>
      <w:r w:rsidR="00177BDD" w:rsidRPr="00817B9F">
        <w:rPr>
          <w:rFonts w:cs="Times New Roman"/>
        </w:rPr>
        <w:t>White patients account</w:t>
      </w:r>
      <w:r w:rsidR="001429B2" w:rsidRPr="00817B9F">
        <w:rPr>
          <w:rFonts w:cs="Times New Roman"/>
        </w:rPr>
        <w:t>ed</w:t>
      </w:r>
      <w:r w:rsidR="00177BDD" w:rsidRPr="00817B9F">
        <w:rPr>
          <w:rFonts w:cs="Times New Roman"/>
        </w:rPr>
        <w:t xml:space="preserve"> for 8</w:t>
      </w:r>
      <w:r w:rsidR="00750394" w:rsidRPr="00817B9F">
        <w:rPr>
          <w:rFonts w:cs="Times New Roman"/>
        </w:rPr>
        <w:t>9</w:t>
      </w:r>
      <w:r w:rsidR="00177BDD" w:rsidRPr="00817B9F">
        <w:rPr>
          <w:rFonts w:cs="Times New Roman"/>
        </w:rPr>
        <w:t xml:space="preserve"> percent of MGH’s outpatient </w:t>
      </w:r>
      <w:r w:rsidR="000B1DE5" w:rsidRPr="00817B9F">
        <w:rPr>
          <w:rFonts w:cs="Times New Roman"/>
        </w:rPr>
        <w:t>oncology</w:t>
      </w:r>
      <w:r w:rsidR="00177BDD" w:rsidRPr="00817B9F">
        <w:rPr>
          <w:rFonts w:cs="Times New Roman"/>
        </w:rPr>
        <w:t xml:space="preserve"> </w:t>
      </w:r>
      <w:r w:rsidR="00642524" w:rsidRPr="00817B9F">
        <w:rPr>
          <w:rFonts w:cs="Times New Roman"/>
        </w:rPr>
        <w:t>patients</w:t>
      </w:r>
      <w:r w:rsidR="00177BDD" w:rsidRPr="00817B9F">
        <w:rPr>
          <w:rFonts w:cs="Times New Roman"/>
        </w:rPr>
        <w:t>. Among the remaining 1</w:t>
      </w:r>
      <w:r w:rsidR="00750394" w:rsidRPr="00817B9F">
        <w:rPr>
          <w:rFonts w:cs="Times New Roman"/>
        </w:rPr>
        <w:t>1</w:t>
      </w:r>
      <w:r w:rsidR="00177BDD" w:rsidRPr="00817B9F">
        <w:rPr>
          <w:rFonts w:cs="Times New Roman"/>
        </w:rPr>
        <w:t xml:space="preserve"> percent of </w:t>
      </w:r>
      <w:r w:rsidR="00642524" w:rsidRPr="00817B9F">
        <w:rPr>
          <w:rFonts w:cs="Times New Roman"/>
        </w:rPr>
        <w:t>patients</w:t>
      </w:r>
      <w:r w:rsidR="00177BDD" w:rsidRPr="00817B9F">
        <w:rPr>
          <w:rFonts w:cs="Times New Roman"/>
        </w:rPr>
        <w:t xml:space="preserve">, </w:t>
      </w:r>
      <w:r w:rsidR="005260CE" w:rsidRPr="00817B9F">
        <w:rPr>
          <w:rFonts w:cs="Times New Roman"/>
        </w:rPr>
        <w:t xml:space="preserve">approximately </w:t>
      </w:r>
      <w:r w:rsidR="00750394" w:rsidRPr="00817B9F">
        <w:rPr>
          <w:rFonts w:cs="Times New Roman"/>
        </w:rPr>
        <w:t>three</w:t>
      </w:r>
      <w:r w:rsidR="00177BDD" w:rsidRPr="00817B9F">
        <w:rPr>
          <w:rFonts w:cs="Times New Roman"/>
        </w:rPr>
        <w:t xml:space="preserve"> percent of patients </w:t>
      </w:r>
      <w:r w:rsidR="00BF5CA4" w:rsidRPr="00817B9F">
        <w:rPr>
          <w:rFonts w:cs="Times New Roman"/>
        </w:rPr>
        <w:t>were</w:t>
      </w:r>
      <w:r w:rsidR="00177BDD" w:rsidRPr="00817B9F">
        <w:rPr>
          <w:rFonts w:cs="Times New Roman"/>
        </w:rPr>
        <w:t xml:space="preserve"> Black, </w:t>
      </w:r>
      <w:r w:rsidR="00314B7F" w:rsidRPr="00817B9F">
        <w:rPr>
          <w:rFonts w:cs="Times New Roman"/>
        </w:rPr>
        <w:t>one</w:t>
      </w:r>
      <w:r w:rsidR="00177BDD" w:rsidRPr="00817B9F">
        <w:rPr>
          <w:rFonts w:cs="Times New Roman"/>
        </w:rPr>
        <w:t xml:space="preserve"> percent </w:t>
      </w:r>
      <w:r w:rsidR="00BF5CA4" w:rsidRPr="00817B9F">
        <w:rPr>
          <w:rFonts w:cs="Times New Roman"/>
        </w:rPr>
        <w:t>were</w:t>
      </w:r>
      <w:r w:rsidR="00177BDD" w:rsidRPr="00817B9F">
        <w:rPr>
          <w:rFonts w:cs="Times New Roman"/>
        </w:rPr>
        <w:t xml:space="preserve"> Asian/Pacific Islander/American Indian/Alaska Native, </w:t>
      </w:r>
      <w:r w:rsidR="006B53DB" w:rsidRPr="00817B9F">
        <w:rPr>
          <w:rFonts w:cs="Times New Roman"/>
        </w:rPr>
        <w:t>one</w:t>
      </w:r>
      <w:r w:rsidR="00177BDD" w:rsidRPr="00817B9F">
        <w:rPr>
          <w:rFonts w:cs="Times New Roman"/>
        </w:rPr>
        <w:t xml:space="preserve"> percent </w:t>
      </w:r>
      <w:r w:rsidR="00BF5CA4" w:rsidRPr="00817B9F">
        <w:rPr>
          <w:rFonts w:cs="Times New Roman"/>
        </w:rPr>
        <w:t>were</w:t>
      </w:r>
      <w:r w:rsidR="00177BDD" w:rsidRPr="00817B9F">
        <w:rPr>
          <w:rFonts w:cs="Times New Roman"/>
        </w:rPr>
        <w:t xml:space="preserve"> Hispanic, and </w:t>
      </w:r>
      <w:r w:rsidR="006B53DB" w:rsidRPr="00817B9F">
        <w:rPr>
          <w:rFonts w:cs="Times New Roman"/>
        </w:rPr>
        <w:t>five</w:t>
      </w:r>
      <w:r w:rsidR="00177BDD" w:rsidRPr="00817B9F">
        <w:rPr>
          <w:rFonts w:cs="Times New Roman"/>
        </w:rPr>
        <w:t xml:space="preserve"> percent </w:t>
      </w:r>
      <w:r w:rsidR="00BF5CA4" w:rsidRPr="00817B9F">
        <w:rPr>
          <w:rFonts w:cs="Times New Roman"/>
        </w:rPr>
        <w:t>were</w:t>
      </w:r>
      <w:r w:rsidR="00177BDD" w:rsidRPr="00817B9F">
        <w:rPr>
          <w:rFonts w:cs="Times New Roman"/>
        </w:rPr>
        <w:t xml:space="preserve"> </w:t>
      </w:r>
      <w:r w:rsidRPr="00817B9F">
        <w:rPr>
          <w:rFonts w:cs="Times New Roman"/>
        </w:rPr>
        <w:t xml:space="preserve">of </w:t>
      </w:r>
      <w:r w:rsidR="00177BDD" w:rsidRPr="00817B9F">
        <w:rPr>
          <w:rFonts w:cs="Times New Roman"/>
        </w:rPr>
        <w:t xml:space="preserve">other or unknown race. </w:t>
      </w:r>
    </w:p>
    <w:p w14:paraId="51DE352A" w14:textId="5EF69FF6" w:rsidR="00EB2075" w:rsidRPr="00817B9F" w:rsidRDefault="00177BDD" w:rsidP="005D3EC9">
      <w:pPr>
        <w:pStyle w:val="BulletParagraph"/>
        <w:rPr>
          <w:rFonts w:cs="Times New Roman"/>
        </w:rPr>
      </w:pPr>
      <w:r w:rsidRPr="00817B9F">
        <w:rPr>
          <w:rFonts w:cs="Times New Roman"/>
        </w:rPr>
        <w:t xml:space="preserve">The figure also shows the distribution of ages for MGH outpatient </w:t>
      </w:r>
      <w:r w:rsidR="006B53DB" w:rsidRPr="00817B9F">
        <w:rPr>
          <w:rFonts w:cs="Times New Roman"/>
        </w:rPr>
        <w:t>oncology</w:t>
      </w:r>
      <w:r w:rsidRPr="00817B9F">
        <w:rPr>
          <w:rFonts w:cs="Times New Roman"/>
        </w:rPr>
        <w:t xml:space="preserve"> patients. Approximately 5</w:t>
      </w:r>
      <w:r w:rsidR="00642524" w:rsidRPr="00817B9F">
        <w:rPr>
          <w:rFonts w:cs="Times New Roman"/>
        </w:rPr>
        <w:t>4</w:t>
      </w:r>
      <w:r w:rsidRPr="00817B9F">
        <w:rPr>
          <w:rFonts w:cs="Times New Roman"/>
        </w:rPr>
        <w:t xml:space="preserve"> percent of MGH’s patients </w:t>
      </w:r>
      <w:r w:rsidR="00302F6D" w:rsidRPr="00817B9F">
        <w:rPr>
          <w:rFonts w:cs="Times New Roman"/>
        </w:rPr>
        <w:t>were</w:t>
      </w:r>
      <w:r w:rsidRPr="00817B9F">
        <w:rPr>
          <w:rFonts w:cs="Times New Roman"/>
        </w:rPr>
        <w:t xml:space="preserve"> 65 </w:t>
      </w:r>
      <w:r w:rsidR="00995008" w:rsidRPr="00817B9F">
        <w:rPr>
          <w:rFonts w:cs="Times New Roman"/>
        </w:rPr>
        <w:t>and</w:t>
      </w:r>
      <w:r w:rsidRPr="00817B9F">
        <w:rPr>
          <w:rFonts w:cs="Times New Roman"/>
        </w:rPr>
        <w:t xml:space="preserve"> older and approximately 2</w:t>
      </w:r>
      <w:r w:rsidR="00D74D6D" w:rsidRPr="00817B9F">
        <w:rPr>
          <w:rFonts w:cs="Times New Roman"/>
        </w:rPr>
        <w:t>7</w:t>
      </w:r>
      <w:r w:rsidRPr="00817B9F">
        <w:rPr>
          <w:rFonts w:cs="Times New Roman"/>
        </w:rPr>
        <w:t xml:space="preserve"> percent </w:t>
      </w:r>
      <w:r w:rsidR="00302F6D" w:rsidRPr="00817B9F">
        <w:rPr>
          <w:rFonts w:cs="Times New Roman"/>
        </w:rPr>
        <w:t>were</w:t>
      </w:r>
      <w:r w:rsidRPr="00817B9F">
        <w:rPr>
          <w:rFonts w:cs="Times New Roman"/>
        </w:rPr>
        <w:t xml:space="preserve"> between </w:t>
      </w:r>
      <w:r w:rsidR="00BC34DF" w:rsidRPr="00817B9F">
        <w:rPr>
          <w:rFonts w:cs="Times New Roman"/>
        </w:rPr>
        <w:t xml:space="preserve">the ages of </w:t>
      </w:r>
      <w:r w:rsidRPr="00817B9F">
        <w:rPr>
          <w:rFonts w:cs="Times New Roman"/>
        </w:rPr>
        <w:t xml:space="preserve">50 and 64. </w:t>
      </w:r>
    </w:p>
    <w:p w14:paraId="3FFE88B7" w14:textId="366167F7" w:rsidR="00177BDD" w:rsidRPr="00817B9F" w:rsidRDefault="00177BDD" w:rsidP="005D3EC9">
      <w:pPr>
        <w:pStyle w:val="BulletParagraph"/>
        <w:rPr>
          <w:rFonts w:cs="Times New Roman"/>
        </w:rPr>
      </w:pPr>
      <w:r w:rsidRPr="00817B9F">
        <w:rPr>
          <w:rFonts w:cs="Times New Roman"/>
        </w:rPr>
        <w:t xml:space="preserve">For insurance coverage, approximately </w:t>
      </w:r>
      <w:r w:rsidR="00261969" w:rsidRPr="00817B9F">
        <w:rPr>
          <w:rFonts w:cs="Times New Roman"/>
        </w:rPr>
        <w:t>45</w:t>
      </w:r>
      <w:r w:rsidRPr="00817B9F">
        <w:rPr>
          <w:rFonts w:cs="Times New Roman"/>
        </w:rPr>
        <w:t xml:space="preserve"> percent of patients </w:t>
      </w:r>
      <w:r w:rsidR="005579AB" w:rsidRPr="00817B9F">
        <w:rPr>
          <w:rFonts w:cs="Times New Roman"/>
        </w:rPr>
        <w:t>were covered by</w:t>
      </w:r>
      <w:r w:rsidRPr="00817B9F">
        <w:rPr>
          <w:rFonts w:cs="Times New Roman"/>
        </w:rPr>
        <w:t xml:space="preserve"> Original Medicare, </w:t>
      </w:r>
      <w:r w:rsidR="00261969" w:rsidRPr="00817B9F">
        <w:rPr>
          <w:rFonts w:cs="Times New Roman"/>
        </w:rPr>
        <w:t>36</w:t>
      </w:r>
      <w:r w:rsidRPr="00817B9F">
        <w:rPr>
          <w:rFonts w:cs="Times New Roman"/>
        </w:rPr>
        <w:t xml:space="preserve"> percent ha</w:t>
      </w:r>
      <w:r w:rsidR="00F814B2" w:rsidRPr="00817B9F">
        <w:rPr>
          <w:rFonts w:cs="Times New Roman"/>
        </w:rPr>
        <w:t>d</w:t>
      </w:r>
      <w:r w:rsidRPr="00817B9F">
        <w:rPr>
          <w:rFonts w:cs="Times New Roman"/>
        </w:rPr>
        <w:t xml:space="preserve"> </w:t>
      </w:r>
      <w:r w:rsidR="00F814B2" w:rsidRPr="00817B9F">
        <w:rPr>
          <w:rFonts w:cs="Times New Roman"/>
        </w:rPr>
        <w:t>c</w:t>
      </w:r>
      <w:r w:rsidRPr="00817B9F">
        <w:rPr>
          <w:rFonts w:cs="Times New Roman"/>
        </w:rPr>
        <w:t xml:space="preserve">ommercial </w:t>
      </w:r>
      <w:r w:rsidR="00F814B2" w:rsidRPr="00817B9F">
        <w:rPr>
          <w:rFonts w:cs="Times New Roman"/>
        </w:rPr>
        <w:t>i</w:t>
      </w:r>
      <w:r w:rsidRPr="00817B9F">
        <w:rPr>
          <w:rFonts w:cs="Times New Roman"/>
        </w:rPr>
        <w:t xml:space="preserve">nsurance (which will include some Health Connector Authority plans), </w:t>
      </w:r>
      <w:r w:rsidR="008E5FB3" w:rsidRPr="00817B9F">
        <w:rPr>
          <w:rFonts w:cs="Times New Roman"/>
        </w:rPr>
        <w:t>one</w:t>
      </w:r>
      <w:r w:rsidRPr="00817B9F">
        <w:rPr>
          <w:rFonts w:cs="Times New Roman"/>
        </w:rPr>
        <w:t xml:space="preserve"> percent ha</w:t>
      </w:r>
      <w:r w:rsidR="00F814B2" w:rsidRPr="00817B9F">
        <w:rPr>
          <w:rFonts w:cs="Times New Roman"/>
        </w:rPr>
        <w:t>d</w:t>
      </w:r>
      <w:r w:rsidRPr="00817B9F">
        <w:rPr>
          <w:rFonts w:cs="Times New Roman"/>
        </w:rPr>
        <w:t xml:space="preserve"> MassHealth </w:t>
      </w:r>
      <w:r w:rsidR="00F814B2" w:rsidRPr="00817B9F">
        <w:rPr>
          <w:rFonts w:cs="Times New Roman"/>
        </w:rPr>
        <w:t>n</w:t>
      </w:r>
      <w:r w:rsidR="00ED7AC2" w:rsidRPr="00817B9F">
        <w:rPr>
          <w:rFonts w:cs="Times New Roman"/>
        </w:rPr>
        <w:t>on-</w:t>
      </w:r>
      <w:r w:rsidR="00F814B2" w:rsidRPr="00817B9F">
        <w:rPr>
          <w:rFonts w:cs="Times New Roman"/>
        </w:rPr>
        <w:t>m</w:t>
      </w:r>
      <w:r w:rsidRPr="00817B9F">
        <w:rPr>
          <w:rFonts w:cs="Times New Roman"/>
        </w:rPr>
        <w:t xml:space="preserve">anaged </w:t>
      </w:r>
      <w:r w:rsidR="00F814B2" w:rsidRPr="00817B9F">
        <w:rPr>
          <w:rFonts w:cs="Times New Roman"/>
        </w:rPr>
        <w:t>c</w:t>
      </w:r>
      <w:r w:rsidRPr="00817B9F">
        <w:rPr>
          <w:rFonts w:cs="Times New Roman"/>
        </w:rPr>
        <w:t>are</w:t>
      </w:r>
      <w:r w:rsidR="005579AB" w:rsidRPr="00817B9F">
        <w:rPr>
          <w:rFonts w:cs="Times New Roman"/>
        </w:rPr>
        <w:t xml:space="preserve"> coverage</w:t>
      </w:r>
      <w:r w:rsidRPr="00817B9F">
        <w:rPr>
          <w:rFonts w:cs="Times New Roman"/>
        </w:rPr>
        <w:t xml:space="preserve">, </w:t>
      </w:r>
      <w:r w:rsidR="008E5FB3" w:rsidRPr="00817B9F">
        <w:rPr>
          <w:rFonts w:cs="Times New Roman"/>
        </w:rPr>
        <w:t>seven percent had</w:t>
      </w:r>
      <w:r w:rsidRPr="00817B9F">
        <w:rPr>
          <w:rFonts w:cs="Times New Roman"/>
        </w:rPr>
        <w:t xml:space="preserve"> MassHealth </w:t>
      </w:r>
      <w:r w:rsidR="00F814B2" w:rsidRPr="00817B9F">
        <w:rPr>
          <w:rFonts w:cs="Times New Roman"/>
        </w:rPr>
        <w:t>m</w:t>
      </w:r>
      <w:r w:rsidRPr="00817B9F">
        <w:rPr>
          <w:rFonts w:cs="Times New Roman"/>
        </w:rPr>
        <w:t xml:space="preserve">anaged </w:t>
      </w:r>
      <w:r w:rsidR="00F814B2" w:rsidRPr="00817B9F">
        <w:rPr>
          <w:rFonts w:cs="Times New Roman"/>
        </w:rPr>
        <w:t>c</w:t>
      </w:r>
      <w:r w:rsidRPr="00817B9F">
        <w:rPr>
          <w:rFonts w:cs="Times New Roman"/>
        </w:rPr>
        <w:t>are</w:t>
      </w:r>
      <w:r w:rsidR="005579AB" w:rsidRPr="00817B9F">
        <w:rPr>
          <w:rFonts w:cs="Times New Roman"/>
        </w:rPr>
        <w:t xml:space="preserve"> plan</w:t>
      </w:r>
      <w:r w:rsidRPr="00817B9F">
        <w:rPr>
          <w:rFonts w:cs="Times New Roman"/>
        </w:rPr>
        <w:t xml:space="preserve">, </w:t>
      </w:r>
      <w:r w:rsidR="00760E5C" w:rsidRPr="00817B9F">
        <w:rPr>
          <w:rFonts w:cs="Times New Roman"/>
        </w:rPr>
        <w:t>eight</w:t>
      </w:r>
      <w:r w:rsidRPr="00817B9F">
        <w:rPr>
          <w:rFonts w:cs="Times New Roman"/>
        </w:rPr>
        <w:t xml:space="preserve"> percent ha</w:t>
      </w:r>
      <w:r w:rsidR="00F814B2" w:rsidRPr="00817B9F">
        <w:rPr>
          <w:rFonts w:cs="Times New Roman"/>
        </w:rPr>
        <w:t>d</w:t>
      </w:r>
      <w:r w:rsidRPr="00817B9F">
        <w:rPr>
          <w:rFonts w:cs="Times New Roman"/>
        </w:rPr>
        <w:t xml:space="preserve"> Medicare </w:t>
      </w:r>
      <w:r w:rsidR="00F814B2" w:rsidRPr="00817B9F">
        <w:rPr>
          <w:rFonts w:cs="Times New Roman"/>
        </w:rPr>
        <w:t>h</w:t>
      </w:r>
      <w:r w:rsidRPr="00817B9F">
        <w:rPr>
          <w:rFonts w:cs="Times New Roman"/>
        </w:rPr>
        <w:t xml:space="preserve">ealth </w:t>
      </w:r>
      <w:r w:rsidR="00F814B2" w:rsidRPr="00817B9F">
        <w:rPr>
          <w:rFonts w:cs="Times New Roman"/>
        </w:rPr>
        <w:t>p</w:t>
      </w:r>
      <w:r w:rsidRPr="00817B9F">
        <w:rPr>
          <w:rFonts w:cs="Times New Roman"/>
        </w:rPr>
        <w:t>lans, and three percent ha</w:t>
      </w:r>
      <w:r w:rsidR="00F814B2" w:rsidRPr="00817B9F">
        <w:rPr>
          <w:rFonts w:cs="Times New Roman"/>
        </w:rPr>
        <w:t>d</w:t>
      </w:r>
      <w:r w:rsidRPr="00817B9F">
        <w:rPr>
          <w:rFonts w:cs="Times New Roman"/>
        </w:rPr>
        <w:t xml:space="preserve"> other coverage (</w:t>
      </w:r>
      <w:r w:rsidRPr="00817B9F">
        <w:rPr>
          <w:rFonts w:cs="Times New Roman"/>
          <w:i/>
          <w:iCs/>
        </w:rPr>
        <w:t>e.g.</w:t>
      </w:r>
      <w:r w:rsidRPr="00817B9F">
        <w:rPr>
          <w:rFonts w:cs="Times New Roman"/>
        </w:rPr>
        <w:t>, self</w:t>
      </w:r>
      <w:r w:rsidR="004C56FA" w:rsidRPr="00817B9F">
        <w:rPr>
          <w:rFonts w:cs="Times New Roman"/>
        </w:rPr>
        <w:t>-</w:t>
      </w:r>
      <w:r w:rsidRPr="00817B9F">
        <w:rPr>
          <w:rFonts w:cs="Times New Roman"/>
        </w:rPr>
        <w:t xml:space="preserve">pay patients, other government insurance, disability, etc.). </w:t>
      </w:r>
    </w:p>
    <w:p w14:paraId="22CFBD02" w14:textId="77A01A27" w:rsidR="00177BDD" w:rsidRPr="00817B9F" w:rsidRDefault="00177BDD" w:rsidP="00177BDD">
      <w:pPr>
        <w:pStyle w:val="NumberedParagraphs"/>
      </w:pPr>
      <w:r w:rsidRPr="00817B9F">
        <w:t xml:space="preserve">The second column of the figure summarizes patient characteristics for those MGH outpatient </w:t>
      </w:r>
      <w:r w:rsidR="004156DB" w:rsidRPr="00817B9F">
        <w:t>oncology</w:t>
      </w:r>
      <w:r w:rsidRPr="00817B9F">
        <w:t xml:space="preserve"> patients who reside</w:t>
      </w:r>
      <w:r w:rsidR="00D42058" w:rsidRPr="00817B9F">
        <w:t>d</w:t>
      </w:r>
      <w:r w:rsidRPr="00817B9F">
        <w:t xml:space="preserve"> in the hospital’s 75 percent service area. This area is </w:t>
      </w:r>
      <w:r w:rsidRPr="00817B9F">
        <w:lastRenderedPageBreak/>
        <w:t>created by identifying the smallest set of ZIP Codes that comprise</w:t>
      </w:r>
      <w:r w:rsidR="00C96778" w:rsidRPr="00817B9F">
        <w:t>d</w:t>
      </w:r>
      <w:r w:rsidRPr="00817B9F">
        <w:t xml:space="preserve"> at least 75 percent of MGH’s outpatient </w:t>
      </w:r>
      <w:r w:rsidR="00427354" w:rsidRPr="00817B9F">
        <w:t>oncology</w:t>
      </w:r>
      <w:r w:rsidRPr="00817B9F">
        <w:t xml:space="preserve"> </w:t>
      </w:r>
      <w:r w:rsidR="005579AB" w:rsidRPr="00817B9F">
        <w:t>visits</w:t>
      </w:r>
      <w:r w:rsidRPr="00817B9F">
        <w:t xml:space="preserve">. MGH’s 75 percent service area is shown in Figure </w:t>
      </w:r>
      <w:r w:rsidR="00117F3E" w:rsidRPr="00817B9F">
        <w:t>MGH8</w:t>
      </w:r>
      <w:r w:rsidRPr="00817B9F">
        <w:t>.</w:t>
      </w:r>
      <w:r w:rsidR="00CC542C" w:rsidRPr="00817B9F">
        <w:rPr>
          <w:rStyle w:val="FootnoteReference"/>
        </w:rPr>
        <w:footnoteReference w:id="117"/>
      </w:r>
    </w:p>
    <w:p w14:paraId="26A02FD4" w14:textId="7CF19298" w:rsidR="00EB2075" w:rsidRPr="00817B9F" w:rsidRDefault="00177BDD" w:rsidP="00A27A65">
      <w:pPr>
        <w:pStyle w:val="NumberedParagraphs"/>
      </w:pPr>
      <w:r w:rsidRPr="00817B9F">
        <w:t xml:space="preserve">The third column of </w:t>
      </w:r>
      <w:r w:rsidR="002C19F2" w:rsidRPr="00817B9F">
        <w:t>Figure MGH7</w:t>
      </w:r>
      <w:r w:rsidR="003462CF" w:rsidRPr="00817B9F">
        <w:t xml:space="preserve"> </w:t>
      </w:r>
      <w:r w:rsidRPr="00817B9F">
        <w:t xml:space="preserve">provides a summary of the characteristics </w:t>
      </w:r>
      <w:r w:rsidR="00C14360" w:rsidRPr="00817B9F">
        <w:t>of</w:t>
      </w:r>
      <w:r w:rsidRPr="00817B9F">
        <w:t xml:space="preserve"> all patients </w:t>
      </w:r>
      <w:r w:rsidR="00C14360" w:rsidRPr="00817B9F">
        <w:t>who received</w:t>
      </w:r>
      <w:r w:rsidRPr="00817B9F">
        <w:t xml:space="preserve"> outpatient </w:t>
      </w:r>
      <w:r w:rsidR="00427354" w:rsidRPr="00817B9F">
        <w:t>oncology</w:t>
      </w:r>
      <w:r w:rsidRPr="00817B9F">
        <w:t xml:space="preserve"> </w:t>
      </w:r>
      <w:r w:rsidR="00C14360" w:rsidRPr="00817B9F">
        <w:t xml:space="preserve">care and who </w:t>
      </w:r>
      <w:r w:rsidR="00531F64" w:rsidRPr="00817B9F">
        <w:t>reside</w:t>
      </w:r>
      <w:r w:rsidR="00076E98" w:rsidRPr="00817B9F">
        <w:t>d</w:t>
      </w:r>
      <w:r w:rsidRPr="00817B9F">
        <w:t xml:space="preserve"> </w:t>
      </w:r>
      <w:r w:rsidR="00C14360" w:rsidRPr="00817B9F">
        <w:t>in</w:t>
      </w:r>
      <w:r w:rsidRPr="00817B9F">
        <w:t xml:space="preserve"> MGH’s 75 percent service area</w:t>
      </w:r>
      <w:r w:rsidR="00C14360" w:rsidRPr="00817B9F">
        <w:t xml:space="preserve"> (regardless of which health care provider those patients chose)</w:t>
      </w:r>
      <w:r w:rsidRPr="00817B9F">
        <w:t xml:space="preserve">. </w:t>
      </w:r>
      <w:r w:rsidR="00035348" w:rsidRPr="00817B9F">
        <w:t xml:space="preserve">Broadly speaking, the profiles of </w:t>
      </w:r>
      <w:r w:rsidR="00CE0F4C" w:rsidRPr="00817B9F">
        <w:t>MGH’s</w:t>
      </w:r>
      <w:r w:rsidRPr="00817B9F">
        <w:t xml:space="preserve"> patients </w:t>
      </w:r>
      <w:r w:rsidR="00035348" w:rsidRPr="00817B9F">
        <w:t>who reside</w:t>
      </w:r>
      <w:r w:rsidR="006A75E3" w:rsidRPr="00817B9F">
        <w:t>d</w:t>
      </w:r>
      <w:r w:rsidRPr="00817B9F">
        <w:t xml:space="preserve"> in the </w:t>
      </w:r>
      <w:r w:rsidR="00035348" w:rsidRPr="00817B9F">
        <w:t>hospital’s</w:t>
      </w:r>
      <w:r w:rsidRPr="00817B9F">
        <w:t xml:space="preserve"> 75 percent service area </w:t>
      </w:r>
      <w:r w:rsidR="00035348" w:rsidRPr="00817B9F">
        <w:t xml:space="preserve">and </w:t>
      </w:r>
      <w:r w:rsidR="00C14360" w:rsidRPr="00817B9F">
        <w:t xml:space="preserve">the </w:t>
      </w:r>
      <w:r w:rsidR="00035348" w:rsidRPr="00817B9F">
        <w:t>profiles of all patients w</w:t>
      </w:r>
      <w:r w:rsidR="00CE0F4C" w:rsidRPr="00817B9F">
        <w:t>ho reside</w:t>
      </w:r>
      <w:r w:rsidR="006A75E3" w:rsidRPr="00817B9F">
        <w:t>d</w:t>
      </w:r>
      <w:r w:rsidR="00CE0F4C" w:rsidRPr="00817B9F">
        <w:t xml:space="preserve"> in that area </w:t>
      </w:r>
      <w:r w:rsidR="00C14360" w:rsidRPr="00817B9F">
        <w:t xml:space="preserve">were </w:t>
      </w:r>
      <w:r w:rsidR="00CE0F4C" w:rsidRPr="00817B9F">
        <w:t>similar, although we note several</w:t>
      </w:r>
      <w:r w:rsidRPr="00817B9F">
        <w:t xml:space="preserve"> differences</w:t>
      </w:r>
      <w:r w:rsidR="00C14360" w:rsidRPr="00817B9F">
        <w:t xml:space="preserve"> </w:t>
      </w:r>
      <w:r w:rsidR="00F53F69" w:rsidRPr="00817B9F">
        <w:t>below</w:t>
      </w:r>
      <w:r w:rsidRPr="00817B9F">
        <w:t>.</w:t>
      </w:r>
    </w:p>
    <w:p w14:paraId="6924251C" w14:textId="18B5FF8C" w:rsidR="00EB2075" w:rsidRPr="00817B9F" w:rsidRDefault="00CE0F4C" w:rsidP="005D3EC9">
      <w:pPr>
        <w:pStyle w:val="BulletParagraph"/>
        <w:rPr>
          <w:rFonts w:cs="Times New Roman"/>
        </w:rPr>
      </w:pPr>
      <w:r w:rsidRPr="00817B9F">
        <w:rPr>
          <w:rFonts w:cs="Times New Roman"/>
        </w:rPr>
        <w:t>Relative to MGH’s patients</w:t>
      </w:r>
      <w:r w:rsidR="00535562" w:rsidRPr="00817B9F">
        <w:rPr>
          <w:rFonts w:cs="Times New Roman"/>
        </w:rPr>
        <w:t xml:space="preserve"> in its 75 percent service area</w:t>
      </w:r>
      <w:r w:rsidRPr="00817B9F">
        <w:rPr>
          <w:rFonts w:cs="Times New Roman"/>
        </w:rPr>
        <w:t>, patients in MGH’s</w:t>
      </w:r>
      <w:r w:rsidR="00177BDD" w:rsidRPr="00817B9F">
        <w:rPr>
          <w:rFonts w:cs="Times New Roman"/>
        </w:rPr>
        <w:t xml:space="preserve"> service area </w:t>
      </w:r>
      <w:r w:rsidRPr="00817B9F">
        <w:rPr>
          <w:rFonts w:cs="Times New Roman"/>
        </w:rPr>
        <w:t>(regardless</w:t>
      </w:r>
      <w:r w:rsidR="00177BDD" w:rsidRPr="00817B9F">
        <w:rPr>
          <w:rFonts w:cs="Times New Roman"/>
        </w:rPr>
        <w:t xml:space="preserve"> of </w:t>
      </w:r>
      <w:r w:rsidRPr="00817B9F">
        <w:rPr>
          <w:rFonts w:cs="Times New Roman"/>
        </w:rPr>
        <w:t xml:space="preserve">which </w:t>
      </w:r>
      <w:r w:rsidR="002E31DB" w:rsidRPr="00817B9F">
        <w:rPr>
          <w:rFonts w:cs="Times New Roman"/>
        </w:rPr>
        <w:t>provider</w:t>
      </w:r>
      <w:r w:rsidRPr="00817B9F">
        <w:rPr>
          <w:rFonts w:cs="Times New Roman"/>
        </w:rPr>
        <w:t xml:space="preserve"> they chose) were more likely </w:t>
      </w:r>
      <w:r w:rsidR="00D81A1A" w:rsidRPr="00817B9F">
        <w:rPr>
          <w:rFonts w:cs="Times New Roman"/>
        </w:rPr>
        <w:t>to be</w:t>
      </w:r>
      <w:r w:rsidR="00177BDD" w:rsidRPr="00817B9F">
        <w:rPr>
          <w:rFonts w:cs="Times New Roman"/>
        </w:rPr>
        <w:t xml:space="preserve"> female (</w:t>
      </w:r>
      <w:r w:rsidR="00016E9B" w:rsidRPr="00817B9F">
        <w:rPr>
          <w:rFonts w:cs="Times New Roman"/>
        </w:rPr>
        <w:t>62</w:t>
      </w:r>
      <w:r w:rsidR="00177BDD" w:rsidRPr="00817B9F">
        <w:rPr>
          <w:rFonts w:cs="Times New Roman"/>
        </w:rPr>
        <w:t xml:space="preserve"> percent </w:t>
      </w:r>
      <w:r w:rsidR="002E31DB" w:rsidRPr="00817B9F">
        <w:rPr>
          <w:rFonts w:cs="Times New Roman"/>
        </w:rPr>
        <w:t>compared to</w:t>
      </w:r>
      <w:r w:rsidR="00177BDD" w:rsidRPr="00817B9F">
        <w:rPr>
          <w:rFonts w:cs="Times New Roman"/>
        </w:rPr>
        <w:t xml:space="preserve"> 5</w:t>
      </w:r>
      <w:r w:rsidR="00016E9B" w:rsidRPr="00817B9F">
        <w:rPr>
          <w:rFonts w:cs="Times New Roman"/>
        </w:rPr>
        <w:t>8</w:t>
      </w:r>
      <w:r w:rsidR="00177BDD" w:rsidRPr="00817B9F">
        <w:rPr>
          <w:rFonts w:cs="Times New Roman"/>
        </w:rPr>
        <w:t xml:space="preserve"> percent) and </w:t>
      </w:r>
      <w:r w:rsidR="00D81A1A" w:rsidRPr="00817B9F">
        <w:rPr>
          <w:rFonts w:cs="Times New Roman"/>
        </w:rPr>
        <w:t>were</w:t>
      </w:r>
      <w:r w:rsidR="00177BDD" w:rsidRPr="00817B9F">
        <w:rPr>
          <w:rFonts w:cs="Times New Roman"/>
        </w:rPr>
        <w:t xml:space="preserve"> </w:t>
      </w:r>
      <w:r w:rsidR="00D81A1A" w:rsidRPr="00817B9F">
        <w:rPr>
          <w:rFonts w:cs="Times New Roman"/>
        </w:rPr>
        <w:t>slightly</w:t>
      </w:r>
      <w:r w:rsidR="009E0B32" w:rsidRPr="00817B9F">
        <w:rPr>
          <w:rFonts w:cs="Times New Roman"/>
        </w:rPr>
        <w:t xml:space="preserve"> </w:t>
      </w:r>
      <w:r w:rsidR="00177BDD" w:rsidRPr="00817B9F">
        <w:rPr>
          <w:rFonts w:cs="Times New Roman"/>
        </w:rPr>
        <w:t>more likely to be Black (</w:t>
      </w:r>
      <w:r w:rsidR="009E0B32" w:rsidRPr="00817B9F">
        <w:rPr>
          <w:rFonts w:cs="Times New Roman"/>
        </w:rPr>
        <w:t>four</w:t>
      </w:r>
      <w:r w:rsidR="00177BDD" w:rsidRPr="00817B9F">
        <w:rPr>
          <w:rFonts w:cs="Times New Roman"/>
        </w:rPr>
        <w:t xml:space="preserve"> percent </w:t>
      </w:r>
      <w:r w:rsidR="002E31DB" w:rsidRPr="00817B9F">
        <w:rPr>
          <w:rFonts w:cs="Times New Roman"/>
        </w:rPr>
        <w:t>compared to</w:t>
      </w:r>
      <w:r w:rsidR="00177BDD" w:rsidRPr="00817B9F">
        <w:rPr>
          <w:rFonts w:cs="Times New Roman"/>
        </w:rPr>
        <w:t xml:space="preserve"> </w:t>
      </w:r>
      <w:r w:rsidR="009E0B32" w:rsidRPr="00817B9F">
        <w:rPr>
          <w:rFonts w:cs="Times New Roman"/>
        </w:rPr>
        <w:t>three</w:t>
      </w:r>
      <w:r w:rsidR="00177BDD" w:rsidRPr="00817B9F">
        <w:rPr>
          <w:rFonts w:cs="Times New Roman"/>
        </w:rPr>
        <w:t xml:space="preserve"> percent). </w:t>
      </w:r>
    </w:p>
    <w:p w14:paraId="0AAB8E18" w14:textId="38BF4924" w:rsidR="00100F22" w:rsidRPr="00817B9F" w:rsidRDefault="00100F22" w:rsidP="005D3EC9">
      <w:pPr>
        <w:pStyle w:val="BulletParagraph"/>
        <w:rPr>
          <w:rFonts w:cs="Times New Roman"/>
        </w:rPr>
      </w:pPr>
      <w:r w:rsidRPr="00817B9F">
        <w:rPr>
          <w:rFonts w:cs="Times New Roman"/>
        </w:rPr>
        <w:t>The age distribution of MGH’s patients was similar to the age distribution of patients who resided in the hospital’s service area, although the latter group of patients were less likely to be age 65 and older (48 percent compared to 52 percent).</w:t>
      </w:r>
    </w:p>
    <w:p w14:paraId="5DF2D836" w14:textId="096BAAD3" w:rsidR="00EB2075" w:rsidRPr="00817B9F" w:rsidRDefault="00B37EDB" w:rsidP="005D3EC9">
      <w:pPr>
        <w:pStyle w:val="BulletParagraph"/>
        <w:rPr>
          <w:rFonts w:cs="Times New Roman"/>
        </w:rPr>
      </w:pPr>
      <w:r w:rsidRPr="00817B9F">
        <w:rPr>
          <w:rFonts w:cs="Times New Roman"/>
        </w:rPr>
        <w:t>T</w:t>
      </w:r>
      <w:r w:rsidR="00177BDD" w:rsidRPr="00817B9F">
        <w:rPr>
          <w:rFonts w:cs="Times New Roman"/>
        </w:rPr>
        <w:t xml:space="preserve">he broader population </w:t>
      </w:r>
      <w:r w:rsidR="00363FC5" w:rsidRPr="00817B9F">
        <w:rPr>
          <w:rFonts w:cs="Times New Roman"/>
        </w:rPr>
        <w:t>was</w:t>
      </w:r>
      <w:r w:rsidR="00177BDD" w:rsidRPr="00817B9F">
        <w:rPr>
          <w:rFonts w:cs="Times New Roman"/>
        </w:rPr>
        <w:t xml:space="preserve"> less likely to </w:t>
      </w:r>
      <w:r w:rsidR="002E31DB" w:rsidRPr="00817B9F">
        <w:rPr>
          <w:rFonts w:cs="Times New Roman"/>
        </w:rPr>
        <w:t>be covered by</w:t>
      </w:r>
      <w:r w:rsidR="00177BDD" w:rsidRPr="00817B9F">
        <w:rPr>
          <w:rFonts w:cs="Times New Roman"/>
        </w:rPr>
        <w:t xml:space="preserve"> Origin</w:t>
      </w:r>
      <w:r w:rsidR="002A1963" w:rsidRPr="00817B9F">
        <w:rPr>
          <w:rFonts w:cs="Times New Roman"/>
        </w:rPr>
        <w:t>a</w:t>
      </w:r>
      <w:r w:rsidR="00177BDD" w:rsidRPr="00817B9F">
        <w:rPr>
          <w:rFonts w:cs="Times New Roman"/>
        </w:rPr>
        <w:t>l Medicare (</w:t>
      </w:r>
      <w:r w:rsidR="005D253A" w:rsidRPr="00817B9F">
        <w:rPr>
          <w:rFonts w:cs="Times New Roman"/>
        </w:rPr>
        <w:t>36</w:t>
      </w:r>
      <w:r w:rsidR="00177BDD" w:rsidRPr="00817B9F">
        <w:rPr>
          <w:rFonts w:cs="Times New Roman"/>
        </w:rPr>
        <w:t xml:space="preserve"> percent </w:t>
      </w:r>
      <w:r w:rsidR="002E31DB" w:rsidRPr="00817B9F">
        <w:rPr>
          <w:rFonts w:cs="Times New Roman"/>
        </w:rPr>
        <w:t>compared to</w:t>
      </w:r>
      <w:r w:rsidR="00177BDD" w:rsidRPr="00817B9F">
        <w:rPr>
          <w:rFonts w:cs="Times New Roman"/>
        </w:rPr>
        <w:t xml:space="preserve"> </w:t>
      </w:r>
      <w:r w:rsidR="005D253A" w:rsidRPr="00817B9F">
        <w:rPr>
          <w:rFonts w:cs="Times New Roman"/>
        </w:rPr>
        <w:t>4</w:t>
      </w:r>
      <w:r w:rsidR="00177BDD" w:rsidRPr="00817B9F">
        <w:rPr>
          <w:rFonts w:cs="Times New Roman"/>
        </w:rPr>
        <w:t xml:space="preserve">3 percent) and </w:t>
      </w:r>
      <w:r w:rsidR="00E0037B" w:rsidRPr="00817B9F">
        <w:rPr>
          <w:rFonts w:cs="Times New Roman"/>
        </w:rPr>
        <w:t>was</w:t>
      </w:r>
      <w:r w:rsidR="00177BDD" w:rsidRPr="00817B9F">
        <w:rPr>
          <w:rFonts w:cs="Times New Roman"/>
        </w:rPr>
        <w:t xml:space="preserve"> </w:t>
      </w:r>
      <w:r w:rsidR="002E31DB" w:rsidRPr="00817B9F">
        <w:rPr>
          <w:rFonts w:cs="Times New Roman"/>
        </w:rPr>
        <w:t xml:space="preserve">somewhat </w:t>
      </w:r>
      <w:r w:rsidR="00177BDD" w:rsidRPr="00817B9F">
        <w:rPr>
          <w:rFonts w:cs="Times New Roman"/>
        </w:rPr>
        <w:t xml:space="preserve">more likely to be covered by MassHealth </w:t>
      </w:r>
      <w:r w:rsidR="009D0991" w:rsidRPr="00817B9F">
        <w:rPr>
          <w:rFonts w:cs="Times New Roman"/>
        </w:rPr>
        <w:t>managed care</w:t>
      </w:r>
      <w:r w:rsidR="00177BDD" w:rsidRPr="00817B9F">
        <w:rPr>
          <w:rFonts w:cs="Times New Roman"/>
        </w:rPr>
        <w:t xml:space="preserve"> </w:t>
      </w:r>
      <w:r w:rsidR="002E31DB" w:rsidRPr="00817B9F">
        <w:rPr>
          <w:rFonts w:cs="Times New Roman"/>
        </w:rPr>
        <w:t xml:space="preserve">plans </w:t>
      </w:r>
      <w:r w:rsidR="00177BDD" w:rsidRPr="00817B9F">
        <w:rPr>
          <w:rFonts w:cs="Times New Roman"/>
        </w:rPr>
        <w:t>(1</w:t>
      </w:r>
      <w:r w:rsidR="009D0991" w:rsidRPr="00817B9F">
        <w:rPr>
          <w:rFonts w:cs="Times New Roman"/>
        </w:rPr>
        <w:t>1</w:t>
      </w:r>
      <w:r w:rsidR="00177BDD" w:rsidRPr="00817B9F">
        <w:rPr>
          <w:rFonts w:cs="Times New Roman"/>
        </w:rPr>
        <w:t xml:space="preserve"> percent </w:t>
      </w:r>
      <w:r w:rsidR="002E31DB" w:rsidRPr="00817B9F">
        <w:rPr>
          <w:rFonts w:cs="Times New Roman"/>
        </w:rPr>
        <w:t>compared to</w:t>
      </w:r>
      <w:r w:rsidR="00177BDD" w:rsidRPr="00817B9F">
        <w:rPr>
          <w:rFonts w:cs="Times New Roman"/>
        </w:rPr>
        <w:t xml:space="preserve"> </w:t>
      </w:r>
      <w:r w:rsidR="009D0991" w:rsidRPr="00817B9F">
        <w:rPr>
          <w:rFonts w:cs="Times New Roman"/>
        </w:rPr>
        <w:t>eight</w:t>
      </w:r>
      <w:r w:rsidR="00177BDD" w:rsidRPr="00817B9F">
        <w:rPr>
          <w:rFonts w:cs="Times New Roman"/>
        </w:rPr>
        <w:t xml:space="preserve"> percent). </w:t>
      </w:r>
    </w:p>
    <w:p w14:paraId="06773228" w14:textId="63F0A8EF" w:rsidR="005F038F" w:rsidRPr="00817B9F" w:rsidRDefault="009D369E" w:rsidP="005F038F">
      <w:pPr>
        <w:pStyle w:val="Heading3"/>
      </w:pPr>
      <w:bookmarkStart w:id="77" w:name="_Toc90046513"/>
      <w:r w:rsidRPr="00817B9F">
        <w:t>Outpatient</w:t>
      </w:r>
      <w:r w:rsidR="002C1F96" w:rsidRPr="00817B9F">
        <w:t xml:space="preserve"> </w:t>
      </w:r>
      <w:r w:rsidR="005F038F" w:rsidRPr="00817B9F">
        <w:t>Diagnostic Imaging Services</w:t>
      </w:r>
      <w:bookmarkEnd w:id="77"/>
    </w:p>
    <w:p w14:paraId="13FB2EB1" w14:textId="0F833C67" w:rsidR="00EB2075" w:rsidRPr="00817B9F" w:rsidRDefault="002E5D99" w:rsidP="00105650">
      <w:pPr>
        <w:pStyle w:val="NumberedParagraphs"/>
      </w:pPr>
      <w:r w:rsidRPr="00817B9F">
        <w:t xml:space="preserve">Among patients who received outpatient CT, MR, or PET/CT scans in 2018, </w:t>
      </w:r>
      <w:r w:rsidR="002C19F2" w:rsidRPr="00817B9F">
        <w:t>Figure MGH9</w:t>
      </w:r>
      <w:r w:rsidR="003462CF" w:rsidRPr="00817B9F">
        <w:t xml:space="preserve"> </w:t>
      </w:r>
      <w:r w:rsidRPr="00817B9F">
        <w:t xml:space="preserve">summarizes the </w:t>
      </w:r>
      <w:r w:rsidR="00105650" w:rsidRPr="00817B9F">
        <w:t xml:space="preserve">characteristics </w:t>
      </w:r>
      <w:r w:rsidRPr="00817B9F">
        <w:t xml:space="preserve">of </w:t>
      </w:r>
      <w:r w:rsidR="00105650" w:rsidRPr="00817B9F">
        <w:t>MGH patients</w:t>
      </w:r>
      <w:r w:rsidRPr="00817B9F">
        <w:t>, of MG</w:t>
      </w:r>
      <w:r w:rsidR="00C62DD4" w:rsidRPr="00817B9F">
        <w:t>H</w:t>
      </w:r>
      <w:r w:rsidRPr="00817B9F">
        <w:t xml:space="preserve"> patients who reside</w:t>
      </w:r>
      <w:r w:rsidR="007B40FA" w:rsidRPr="00817B9F">
        <w:t>d</w:t>
      </w:r>
      <w:r w:rsidRPr="00817B9F">
        <w:t xml:space="preserve"> in the hospital’s</w:t>
      </w:r>
      <w:r w:rsidR="00105650" w:rsidRPr="00817B9F">
        <w:t xml:space="preserve"> </w:t>
      </w:r>
      <w:r w:rsidR="007E2B3E" w:rsidRPr="00817B9F">
        <w:t xml:space="preserve">75 </w:t>
      </w:r>
      <w:r w:rsidR="00C62DD4" w:rsidRPr="00817B9F">
        <w:t xml:space="preserve">percent service area, </w:t>
      </w:r>
      <w:r w:rsidR="00BC713F" w:rsidRPr="00817B9F">
        <w:t xml:space="preserve">and </w:t>
      </w:r>
      <w:r w:rsidR="00C62DD4" w:rsidRPr="00817B9F">
        <w:t>of all patients who reside</w:t>
      </w:r>
      <w:r w:rsidR="007B40FA" w:rsidRPr="00817B9F">
        <w:t>d</w:t>
      </w:r>
      <w:r w:rsidR="00C62DD4" w:rsidRPr="00817B9F">
        <w:t xml:space="preserve"> in the hospital’s 75 percent service area regardless of where the </w:t>
      </w:r>
      <w:r w:rsidR="00105650" w:rsidRPr="00817B9F">
        <w:t xml:space="preserve">patient </w:t>
      </w:r>
      <w:r w:rsidR="00C62DD4" w:rsidRPr="00817B9F">
        <w:t>received care.</w:t>
      </w:r>
      <w:r w:rsidR="00105650" w:rsidRPr="00817B9F">
        <w:rPr>
          <w:rStyle w:val="FootnoteReference"/>
        </w:rPr>
        <w:t xml:space="preserve"> </w:t>
      </w:r>
      <w:r w:rsidR="004C6FEF" w:rsidRPr="00817B9F">
        <w:rPr>
          <w:rStyle w:val="FootnoteReference"/>
        </w:rPr>
        <w:footnoteReference w:id="118"/>
      </w:r>
      <w:r w:rsidR="00105650" w:rsidRPr="00817B9F">
        <w:t xml:space="preserve"> The first column of the figure summarizes patient characteristics for all MGH patients who received </w:t>
      </w:r>
      <w:r w:rsidR="00E04202" w:rsidRPr="00817B9F">
        <w:t>outpatient diagnostic imagining services</w:t>
      </w:r>
      <w:r w:rsidR="00105650" w:rsidRPr="00817B9F">
        <w:t xml:space="preserve">. </w:t>
      </w:r>
    </w:p>
    <w:p w14:paraId="0CCB8C8F" w14:textId="77777777" w:rsidR="00EB2075" w:rsidRPr="00817B9F" w:rsidRDefault="00105650" w:rsidP="005D3EC9">
      <w:pPr>
        <w:pStyle w:val="BulletParagraph"/>
        <w:rPr>
          <w:rFonts w:cs="Times New Roman"/>
        </w:rPr>
      </w:pPr>
      <w:r w:rsidRPr="00817B9F">
        <w:rPr>
          <w:rFonts w:cs="Times New Roman"/>
        </w:rPr>
        <w:t>Approximately 5</w:t>
      </w:r>
      <w:r w:rsidR="006D7914" w:rsidRPr="00817B9F">
        <w:rPr>
          <w:rFonts w:cs="Times New Roman"/>
        </w:rPr>
        <w:t>6</w:t>
      </w:r>
      <w:r w:rsidRPr="00817B9F">
        <w:rPr>
          <w:rFonts w:cs="Times New Roman"/>
        </w:rPr>
        <w:t xml:space="preserve"> percent of </w:t>
      </w:r>
      <w:r w:rsidR="00E04202" w:rsidRPr="00817B9F">
        <w:rPr>
          <w:rFonts w:cs="Times New Roman"/>
        </w:rPr>
        <w:t>these</w:t>
      </w:r>
      <w:r w:rsidRPr="00817B9F">
        <w:rPr>
          <w:rFonts w:cs="Times New Roman"/>
        </w:rPr>
        <w:t xml:space="preserve"> patients </w:t>
      </w:r>
      <w:r w:rsidR="00437E1E" w:rsidRPr="00817B9F">
        <w:rPr>
          <w:rFonts w:cs="Times New Roman"/>
        </w:rPr>
        <w:t>were</w:t>
      </w:r>
      <w:r w:rsidRPr="00817B9F">
        <w:rPr>
          <w:rFonts w:cs="Times New Roman"/>
        </w:rPr>
        <w:t xml:space="preserve"> female. </w:t>
      </w:r>
    </w:p>
    <w:p w14:paraId="09BA66D2" w14:textId="11BD63E9" w:rsidR="00EB2075" w:rsidRPr="00817B9F" w:rsidRDefault="00E04202" w:rsidP="005D3EC9">
      <w:pPr>
        <w:pStyle w:val="BulletParagraph"/>
        <w:rPr>
          <w:rFonts w:cs="Times New Roman"/>
        </w:rPr>
      </w:pPr>
      <w:r w:rsidRPr="00817B9F">
        <w:rPr>
          <w:rFonts w:cs="Times New Roman"/>
        </w:rPr>
        <w:lastRenderedPageBreak/>
        <w:t>Information on patients’</w:t>
      </w:r>
      <w:r w:rsidR="00105650" w:rsidRPr="00817B9F">
        <w:rPr>
          <w:rFonts w:cs="Times New Roman"/>
        </w:rPr>
        <w:t xml:space="preserve"> race </w:t>
      </w:r>
      <w:r w:rsidRPr="00817B9F">
        <w:rPr>
          <w:rFonts w:cs="Times New Roman"/>
        </w:rPr>
        <w:t>and ethnicity</w:t>
      </w:r>
      <w:r w:rsidR="00105650" w:rsidRPr="00817B9F">
        <w:rPr>
          <w:rFonts w:cs="Times New Roman"/>
        </w:rPr>
        <w:t xml:space="preserve"> is only available for Original Medicare patients, </w:t>
      </w:r>
      <w:r w:rsidR="0036708B" w:rsidRPr="00817B9F">
        <w:rPr>
          <w:rFonts w:cs="Times New Roman"/>
        </w:rPr>
        <w:t>but</w:t>
      </w:r>
      <w:r w:rsidR="00105650" w:rsidRPr="00817B9F">
        <w:rPr>
          <w:rFonts w:cs="Times New Roman"/>
        </w:rPr>
        <w:t xml:space="preserve"> the available data indicate that White patients account</w:t>
      </w:r>
      <w:r w:rsidR="00437E1E" w:rsidRPr="00817B9F">
        <w:rPr>
          <w:rFonts w:cs="Times New Roman"/>
        </w:rPr>
        <w:t>ed</w:t>
      </w:r>
      <w:r w:rsidR="00105650" w:rsidRPr="00817B9F">
        <w:rPr>
          <w:rFonts w:cs="Times New Roman"/>
        </w:rPr>
        <w:t xml:space="preserve"> for 86 percent of MGH’s outpatient </w:t>
      </w:r>
      <w:r w:rsidR="00F10E15" w:rsidRPr="00817B9F">
        <w:rPr>
          <w:rFonts w:cs="Times New Roman"/>
        </w:rPr>
        <w:t xml:space="preserve">diagnostic </w:t>
      </w:r>
      <w:r w:rsidR="00E03615" w:rsidRPr="00817B9F">
        <w:rPr>
          <w:rFonts w:cs="Times New Roman"/>
        </w:rPr>
        <w:t>imaging</w:t>
      </w:r>
      <w:r w:rsidR="00105650" w:rsidRPr="00817B9F">
        <w:rPr>
          <w:rFonts w:cs="Times New Roman"/>
        </w:rPr>
        <w:t xml:space="preserve"> </w:t>
      </w:r>
      <w:r w:rsidR="00642524" w:rsidRPr="00817B9F">
        <w:rPr>
          <w:rFonts w:cs="Times New Roman"/>
        </w:rPr>
        <w:t>patients</w:t>
      </w:r>
      <w:r w:rsidR="00105650" w:rsidRPr="00817B9F">
        <w:rPr>
          <w:rFonts w:cs="Times New Roman"/>
        </w:rPr>
        <w:t xml:space="preserve">. Among the remaining 14 percent of outpatient </w:t>
      </w:r>
      <w:r w:rsidR="00E03615" w:rsidRPr="00817B9F">
        <w:rPr>
          <w:rFonts w:cs="Times New Roman"/>
        </w:rPr>
        <w:t>imaging</w:t>
      </w:r>
      <w:r w:rsidR="00105650" w:rsidRPr="00817B9F">
        <w:rPr>
          <w:rFonts w:cs="Times New Roman"/>
        </w:rPr>
        <w:t xml:space="preserve"> patients, five percent of patients </w:t>
      </w:r>
      <w:r w:rsidR="00437E1E" w:rsidRPr="00817B9F">
        <w:rPr>
          <w:rFonts w:cs="Times New Roman"/>
        </w:rPr>
        <w:t>were</w:t>
      </w:r>
      <w:r w:rsidR="00105650" w:rsidRPr="00817B9F">
        <w:rPr>
          <w:rFonts w:cs="Times New Roman"/>
        </w:rPr>
        <w:t xml:space="preserve"> Black, two percent </w:t>
      </w:r>
      <w:r w:rsidR="00437E1E" w:rsidRPr="00817B9F">
        <w:rPr>
          <w:rFonts w:cs="Times New Roman"/>
        </w:rPr>
        <w:t>were</w:t>
      </w:r>
      <w:r w:rsidR="00105650" w:rsidRPr="00817B9F">
        <w:rPr>
          <w:rFonts w:cs="Times New Roman"/>
        </w:rPr>
        <w:t xml:space="preserve"> Asian/Pacific Islander/American Indian/Alaska Native, two percent </w:t>
      </w:r>
      <w:r w:rsidR="00437E1E" w:rsidRPr="00817B9F">
        <w:rPr>
          <w:rFonts w:cs="Times New Roman"/>
        </w:rPr>
        <w:t>were</w:t>
      </w:r>
      <w:r w:rsidR="00105650" w:rsidRPr="00817B9F">
        <w:rPr>
          <w:rFonts w:cs="Times New Roman"/>
        </w:rPr>
        <w:t xml:space="preserve"> Hispanic, and </w:t>
      </w:r>
      <w:r w:rsidR="009E1069" w:rsidRPr="00817B9F">
        <w:rPr>
          <w:rFonts w:cs="Times New Roman"/>
        </w:rPr>
        <w:t>five</w:t>
      </w:r>
      <w:r w:rsidR="00105650" w:rsidRPr="00817B9F">
        <w:rPr>
          <w:rFonts w:cs="Times New Roman"/>
        </w:rPr>
        <w:t xml:space="preserve"> percent </w:t>
      </w:r>
      <w:r w:rsidR="00437E1E" w:rsidRPr="00817B9F">
        <w:rPr>
          <w:rFonts w:cs="Times New Roman"/>
        </w:rPr>
        <w:t>were</w:t>
      </w:r>
      <w:r w:rsidR="00105650" w:rsidRPr="00817B9F">
        <w:rPr>
          <w:rFonts w:cs="Times New Roman"/>
        </w:rPr>
        <w:t xml:space="preserve"> </w:t>
      </w:r>
      <w:r w:rsidR="00F10E15" w:rsidRPr="00817B9F">
        <w:rPr>
          <w:rFonts w:cs="Times New Roman"/>
        </w:rPr>
        <w:t xml:space="preserve">of </w:t>
      </w:r>
      <w:r w:rsidR="00105650" w:rsidRPr="00817B9F">
        <w:rPr>
          <w:rFonts w:cs="Times New Roman"/>
        </w:rPr>
        <w:t xml:space="preserve">other or unknown race. </w:t>
      </w:r>
    </w:p>
    <w:p w14:paraId="58D4CE58" w14:textId="7488E11B" w:rsidR="00EB2075" w:rsidRPr="00817B9F" w:rsidRDefault="00105650" w:rsidP="005D3EC9">
      <w:pPr>
        <w:pStyle w:val="BulletParagraph"/>
        <w:rPr>
          <w:rFonts w:cs="Times New Roman"/>
        </w:rPr>
      </w:pPr>
      <w:r w:rsidRPr="00817B9F">
        <w:rPr>
          <w:rFonts w:cs="Times New Roman"/>
        </w:rPr>
        <w:t xml:space="preserve">The figure also shows the distribution of ages for MGH outpatient </w:t>
      </w:r>
      <w:r w:rsidR="00F10E15" w:rsidRPr="00817B9F">
        <w:rPr>
          <w:rFonts w:cs="Times New Roman"/>
        </w:rPr>
        <w:t xml:space="preserve">diagnostic </w:t>
      </w:r>
      <w:r w:rsidR="002D5C35" w:rsidRPr="00817B9F">
        <w:rPr>
          <w:rFonts w:cs="Times New Roman"/>
        </w:rPr>
        <w:t>imaging</w:t>
      </w:r>
      <w:r w:rsidRPr="00817B9F">
        <w:rPr>
          <w:rFonts w:cs="Times New Roman"/>
        </w:rPr>
        <w:t xml:space="preserve"> patients. Approximately </w:t>
      </w:r>
      <w:r w:rsidR="00C519E4" w:rsidRPr="00817B9F">
        <w:rPr>
          <w:rFonts w:cs="Times New Roman"/>
        </w:rPr>
        <w:t>41</w:t>
      </w:r>
      <w:r w:rsidRPr="00817B9F">
        <w:rPr>
          <w:rFonts w:cs="Times New Roman"/>
        </w:rPr>
        <w:t xml:space="preserve"> percent of MGH’s patients </w:t>
      </w:r>
      <w:r w:rsidR="00437E1E" w:rsidRPr="00817B9F">
        <w:rPr>
          <w:rFonts w:cs="Times New Roman"/>
        </w:rPr>
        <w:t>were</w:t>
      </w:r>
      <w:r w:rsidRPr="00817B9F">
        <w:rPr>
          <w:rFonts w:cs="Times New Roman"/>
        </w:rPr>
        <w:t xml:space="preserve"> 65 </w:t>
      </w:r>
      <w:r w:rsidR="00995008" w:rsidRPr="00817B9F">
        <w:rPr>
          <w:rFonts w:cs="Times New Roman"/>
        </w:rPr>
        <w:t>and</w:t>
      </w:r>
      <w:r w:rsidRPr="00817B9F">
        <w:rPr>
          <w:rFonts w:cs="Times New Roman"/>
        </w:rPr>
        <w:t xml:space="preserve"> older and approximately 2</w:t>
      </w:r>
      <w:r w:rsidR="00F31F6A" w:rsidRPr="00817B9F">
        <w:rPr>
          <w:rFonts w:cs="Times New Roman"/>
        </w:rPr>
        <w:t>9</w:t>
      </w:r>
      <w:r w:rsidRPr="00817B9F">
        <w:rPr>
          <w:rFonts w:cs="Times New Roman"/>
        </w:rPr>
        <w:t xml:space="preserve"> percent </w:t>
      </w:r>
      <w:r w:rsidR="00437E1E" w:rsidRPr="00817B9F">
        <w:rPr>
          <w:rFonts w:cs="Times New Roman"/>
        </w:rPr>
        <w:t>were</w:t>
      </w:r>
      <w:r w:rsidRPr="00817B9F">
        <w:rPr>
          <w:rFonts w:cs="Times New Roman"/>
        </w:rPr>
        <w:t xml:space="preserve"> between </w:t>
      </w:r>
      <w:r w:rsidR="00FD5851" w:rsidRPr="00817B9F">
        <w:rPr>
          <w:rFonts w:cs="Times New Roman"/>
        </w:rPr>
        <w:t xml:space="preserve">the ages of </w:t>
      </w:r>
      <w:r w:rsidRPr="00817B9F">
        <w:rPr>
          <w:rFonts w:cs="Times New Roman"/>
        </w:rPr>
        <w:t xml:space="preserve">50 and 64. </w:t>
      </w:r>
    </w:p>
    <w:p w14:paraId="31552156" w14:textId="4671725F" w:rsidR="00105650" w:rsidRPr="00817B9F" w:rsidRDefault="00105650" w:rsidP="005D3EC9">
      <w:pPr>
        <w:pStyle w:val="BulletParagraph"/>
        <w:rPr>
          <w:rFonts w:cs="Times New Roman"/>
        </w:rPr>
      </w:pPr>
      <w:r w:rsidRPr="00817B9F">
        <w:rPr>
          <w:rFonts w:cs="Times New Roman"/>
        </w:rPr>
        <w:t xml:space="preserve">For insurance coverage, approximately </w:t>
      </w:r>
      <w:r w:rsidR="00F31F6A" w:rsidRPr="00817B9F">
        <w:rPr>
          <w:rFonts w:cs="Times New Roman"/>
        </w:rPr>
        <w:t>34</w:t>
      </w:r>
      <w:r w:rsidRPr="00817B9F">
        <w:rPr>
          <w:rFonts w:cs="Times New Roman"/>
        </w:rPr>
        <w:t xml:space="preserve"> percent of patients </w:t>
      </w:r>
      <w:r w:rsidR="00F10E15" w:rsidRPr="00817B9F">
        <w:rPr>
          <w:rFonts w:cs="Times New Roman"/>
        </w:rPr>
        <w:t>were covered by</w:t>
      </w:r>
      <w:r w:rsidRPr="00817B9F">
        <w:rPr>
          <w:rFonts w:cs="Times New Roman"/>
        </w:rPr>
        <w:t xml:space="preserve"> Original Medicare, </w:t>
      </w:r>
      <w:r w:rsidR="00F31F6A" w:rsidRPr="00817B9F">
        <w:rPr>
          <w:rFonts w:cs="Times New Roman"/>
        </w:rPr>
        <w:t>38</w:t>
      </w:r>
      <w:r w:rsidRPr="00817B9F">
        <w:rPr>
          <w:rFonts w:cs="Times New Roman"/>
        </w:rPr>
        <w:t xml:space="preserve"> percent ha</w:t>
      </w:r>
      <w:r w:rsidR="00437E1E" w:rsidRPr="00817B9F">
        <w:rPr>
          <w:rFonts w:cs="Times New Roman"/>
        </w:rPr>
        <w:t>d</w:t>
      </w:r>
      <w:r w:rsidRPr="00817B9F">
        <w:rPr>
          <w:rFonts w:cs="Times New Roman"/>
        </w:rPr>
        <w:t xml:space="preserve"> </w:t>
      </w:r>
      <w:r w:rsidR="00437E1E" w:rsidRPr="00817B9F">
        <w:rPr>
          <w:rFonts w:cs="Times New Roman"/>
        </w:rPr>
        <w:t>c</w:t>
      </w:r>
      <w:r w:rsidRPr="00817B9F">
        <w:rPr>
          <w:rFonts w:cs="Times New Roman"/>
        </w:rPr>
        <w:t xml:space="preserve">ommercial </w:t>
      </w:r>
      <w:r w:rsidR="00437E1E" w:rsidRPr="00817B9F">
        <w:rPr>
          <w:rFonts w:cs="Times New Roman"/>
        </w:rPr>
        <w:t>i</w:t>
      </w:r>
      <w:r w:rsidRPr="00817B9F">
        <w:rPr>
          <w:rFonts w:cs="Times New Roman"/>
        </w:rPr>
        <w:t xml:space="preserve">nsurance (which will include some Health Connector Authority plans), </w:t>
      </w:r>
      <w:r w:rsidR="00A615DC" w:rsidRPr="00817B9F">
        <w:rPr>
          <w:rFonts w:cs="Times New Roman"/>
        </w:rPr>
        <w:t>1</w:t>
      </w:r>
      <w:r w:rsidR="006F596E" w:rsidRPr="00817B9F">
        <w:rPr>
          <w:rFonts w:cs="Times New Roman"/>
        </w:rPr>
        <w:t>3</w:t>
      </w:r>
      <w:r w:rsidRPr="00817B9F">
        <w:rPr>
          <w:rFonts w:cs="Times New Roman"/>
        </w:rPr>
        <w:t xml:space="preserve"> percent ha</w:t>
      </w:r>
      <w:r w:rsidR="00437E1E" w:rsidRPr="00817B9F">
        <w:rPr>
          <w:rFonts w:cs="Times New Roman"/>
        </w:rPr>
        <w:t>d</w:t>
      </w:r>
      <w:r w:rsidRPr="00817B9F">
        <w:rPr>
          <w:rFonts w:cs="Times New Roman"/>
        </w:rPr>
        <w:t xml:space="preserve"> MassHealth </w:t>
      </w:r>
      <w:r w:rsidR="00437E1E" w:rsidRPr="00817B9F">
        <w:rPr>
          <w:rFonts w:cs="Times New Roman"/>
        </w:rPr>
        <w:t>m</w:t>
      </w:r>
      <w:r w:rsidRPr="00817B9F">
        <w:rPr>
          <w:rFonts w:cs="Times New Roman"/>
        </w:rPr>
        <w:t xml:space="preserve">anaged </w:t>
      </w:r>
      <w:r w:rsidR="00437E1E" w:rsidRPr="00817B9F">
        <w:rPr>
          <w:rFonts w:cs="Times New Roman"/>
        </w:rPr>
        <w:t>c</w:t>
      </w:r>
      <w:r w:rsidRPr="00817B9F">
        <w:rPr>
          <w:rFonts w:cs="Times New Roman"/>
        </w:rPr>
        <w:t>are</w:t>
      </w:r>
      <w:r w:rsidR="00F10E15" w:rsidRPr="00817B9F">
        <w:rPr>
          <w:rFonts w:cs="Times New Roman"/>
        </w:rPr>
        <w:t xml:space="preserve"> </w:t>
      </w:r>
      <w:r w:rsidR="00342962" w:rsidRPr="00817B9F">
        <w:rPr>
          <w:rFonts w:cs="Times New Roman"/>
        </w:rPr>
        <w:t>plans</w:t>
      </w:r>
      <w:r w:rsidRPr="00817B9F">
        <w:rPr>
          <w:rFonts w:cs="Times New Roman"/>
        </w:rPr>
        <w:t xml:space="preserve">, </w:t>
      </w:r>
      <w:r w:rsidR="00E445FB" w:rsidRPr="00817B9F">
        <w:rPr>
          <w:rFonts w:cs="Times New Roman"/>
        </w:rPr>
        <w:t>four</w:t>
      </w:r>
      <w:r w:rsidRPr="00817B9F">
        <w:rPr>
          <w:rFonts w:cs="Times New Roman"/>
        </w:rPr>
        <w:t xml:space="preserve"> percent ha</w:t>
      </w:r>
      <w:r w:rsidR="00437E1E" w:rsidRPr="00817B9F">
        <w:rPr>
          <w:rFonts w:cs="Times New Roman"/>
        </w:rPr>
        <w:t>d</w:t>
      </w:r>
      <w:r w:rsidRPr="00817B9F">
        <w:rPr>
          <w:rFonts w:cs="Times New Roman"/>
        </w:rPr>
        <w:t xml:space="preserve"> MassHealth </w:t>
      </w:r>
      <w:r w:rsidR="00437E1E" w:rsidRPr="00817B9F">
        <w:rPr>
          <w:rFonts w:cs="Times New Roman"/>
        </w:rPr>
        <w:t>n</w:t>
      </w:r>
      <w:r w:rsidR="00A615DC" w:rsidRPr="00817B9F">
        <w:rPr>
          <w:rFonts w:cs="Times New Roman"/>
        </w:rPr>
        <w:t>on-</w:t>
      </w:r>
      <w:r w:rsidR="00437E1E" w:rsidRPr="00817B9F">
        <w:rPr>
          <w:rFonts w:cs="Times New Roman"/>
        </w:rPr>
        <w:t>m</w:t>
      </w:r>
      <w:r w:rsidRPr="00817B9F">
        <w:rPr>
          <w:rFonts w:cs="Times New Roman"/>
        </w:rPr>
        <w:t xml:space="preserve">anaged </w:t>
      </w:r>
      <w:r w:rsidR="00437E1E" w:rsidRPr="00817B9F">
        <w:rPr>
          <w:rFonts w:cs="Times New Roman"/>
        </w:rPr>
        <w:t>c</w:t>
      </w:r>
      <w:r w:rsidRPr="00817B9F">
        <w:rPr>
          <w:rFonts w:cs="Times New Roman"/>
        </w:rPr>
        <w:t>are</w:t>
      </w:r>
      <w:r w:rsidR="00F10E15" w:rsidRPr="00817B9F">
        <w:rPr>
          <w:rFonts w:cs="Times New Roman"/>
        </w:rPr>
        <w:t xml:space="preserve"> plans</w:t>
      </w:r>
      <w:r w:rsidRPr="00817B9F">
        <w:rPr>
          <w:rFonts w:cs="Times New Roman"/>
        </w:rPr>
        <w:t>, seven percent ha</w:t>
      </w:r>
      <w:r w:rsidR="00437E1E" w:rsidRPr="00817B9F">
        <w:rPr>
          <w:rFonts w:cs="Times New Roman"/>
        </w:rPr>
        <w:t>d</w:t>
      </w:r>
      <w:r w:rsidRPr="00817B9F">
        <w:rPr>
          <w:rFonts w:cs="Times New Roman"/>
        </w:rPr>
        <w:t xml:space="preserve"> Medicare </w:t>
      </w:r>
      <w:r w:rsidR="00437E1E" w:rsidRPr="00817B9F">
        <w:rPr>
          <w:rFonts w:cs="Times New Roman"/>
        </w:rPr>
        <w:t>h</w:t>
      </w:r>
      <w:r w:rsidRPr="00817B9F">
        <w:rPr>
          <w:rFonts w:cs="Times New Roman"/>
        </w:rPr>
        <w:t xml:space="preserve">ealth </w:t>
      </w:r>
      <w:r w:rsidR="00437E1E" w:rsidRPr="00817B9F">
        <w:rPr>
          <w:rFonts w:cs="Times New Roman"/>
        </w:rPr>
        <w:t>p</w:t>
      </w:r>
      <w:r w:rsidRPr="00817B9F">
        <w:rPr>
          <w:rFonts w:cs="Times New Roman"/>
        </w:rPr>
        <w:t xml:space="preserve">lans, and </w:t>
      </w:r>
      <w:r w:rsidR="00A51D3E" w:rsidRPr="00817B9F">
        <w:rPr>
          <w:rFonts w:cs="Times New Roman"/>
        </w:rPr>
        <w:t>four</w:t>
      </w:r>
      <w:r w:rsidRPr="00817B9F">
        <w:rPr>
          <w:rFonts w:cs="Times New Roman"/>
        </w:rPr>
        <w:t xml:space="preserve"> percent ha</w:t>
      </w:r>
      <w:r w:rsidR="00437E1E" w:rsidRPr="00817B9F">
        <w:rPr>
          <w:rFonts w:cs="Times New Roman"/>
        </w:rPr>
        <w:t>d</w:t>
      </w:r>
      <w:r w:rsidRPr="00817B9F">
        <w:rPr>
          <w:rFonts w:cs="Times New Roman"/>
        </w:rPr>
        <w:t xml:space="preserve"> other coverage (</w:t>
      </w:r>
      <w:r w:rsidRPr="00817B9F">
        <w:rPr>
          <w:rFonts w:cs="Times New Roman"/>
          <w:i/>
          <w:iCs/>
        </w:rPr>
        <w:t>e.g.</w:t>
      </w:r>
      <w:r w:rsidRPr="00817B9F">
        <w:rPr>
          <w:rFonts w:cs="Times New Roman"/>
        </w:rPr>
        <w:t>, self</w:t>
      </w:r>
      <w:r w:rsidR="00437E1E" w:rsidRPr="00817B9F">
        <w:rPr>
          <w:rFonts w:cs="Times New Roman"/>
        </w:rPr>
        <w:t>-</w:t>
      </w:r>
      <w:r w:rsidRPr="00817B9F">
        <w:rPr>
          <w:rFonts w:cs="Times New Roman"/>
        </w:rPr>
        <w:t xml:space="preserve">pay patients, other government insurance, disability, etc.). </w:t>
      </w:r>
    </w:p>
    <w:p w14:paraId="760B1312" w14:textId="693B5C0E" w:rsidR="00105650" w:rsidRPr="00817B9F" w:rsidRDefault="00105650" w:rsidP="00517EB3">
      <w:pPr>
        <w:pStyle w:val="NumberedParagraphs"/>
      </w:pPr>
      <w:r w:rsidRPr="00817B9F">
        <w:t xml:space="preserve">The second column of the figure summarizes patient characteristics for those MGH outpatient </w:t>
      </w:r>
      <w:r w:rsidR="00834394" w:rsidRPr="00817B9F">
        <w:t xml:space="preserve">diagnostic </w:t>
      </w:r>
      <w:r w:rsidR="00F44332" w:rsidRPr="00817B9F">
        <w:t>imaging</w:t>
      </w:r>
      <w:r w:rsidRPr="00817B9F">
        <w:t xml:space="preserve"> patients who reside</w:t>
      </w:r>
      <w:r w:rsidR="007B40FA" w:rsidRPr="00817B9F">
        <w:t>d</w:t>
      </w:r>
      <w:r w:rsidRPr="00817B9F">
        <w:t xml:space="preserve"> in the hospital’s 75 percent service area. This area is created by identifying the smallest set of ZIP Codes that comprise at least 75 percent of MGH’s outpatient </w:t>
      </w:r>
      <w:r w:rsidR="00834394" w:rsidRPr="00817B9F">
        <w:t>CT, MR, and PET/CT scans</w:t>
      </w:r>
      <w:r w:rsidRPr="00817B9F">
        <w:t xml:space="preserve">. MGH’s 75 percent service area is shown in Figure </w:t>
      </w:r>
      <w:r w:rsidR="002C19F2" w:rsidRPr="00817B9F">
        <w:t>MGH10</w:t>
      </w:r>
      <w:r w:rsidRPr="00817B9F">
        <w:t>.</w:t>
      </w:r>
      <w:r w:rsidR="00BB1315" w:rsidRPr="00817B9F">
        <w:rPr>
          <w:rStyle w:val="FootnoteReference"/>
        </w:rPr>
        <w:footnoteReference w:id="119"/>
      </w:r>
    </w:p>
    <w:p w14:paraId="721FFB7F" w14:textId="3F953769" w:rsidR="00113925" w:rsidRPr="00817B9F" w:rsidRDefault="00105650" w:rsidP="00EE6F48">
      <w:pPr>
        <w:pStyle w:val="NumberedParagraphs"/>
      </w:pPr>
      <w:r w:rsidRPr="00817B9F">
        <w:t xml:space="preserve">The third column of </w:t>
      </w:r>
      <w:r w:rsidR="002C19F2" w:rsidRPr="00817B9F">
        <w:t>Figure MGH9</w:t>
      </w:r>
      <w:r w:rsidR="003462CF" w:rsidRPr="00817B9F">
        <w:t xml:space="preserve"> </w:t>
      </w:r>
      <w:r w:rsidRPr="00817B9F">
        <w:t xml:space="preserve">provides a summary of the characteristics </w:t>
      </w:r>
      <w:r w:rsidR="00FD5851" w:rsidRPr="00817B9F">
        <w:t>of</w:t>
      </w:r>
      <w:r w:rsidRPr="00817B9F">
        <w:t xml:space="preserve"> all patients </w:t>
      </w:r>
      <w:r w:rsidR="00FD5851" w:rsidRPr="00817B9F">
        <w:t>who received outpatient diagnostic imaging services and who reside</w:t>
      </w:r>
      <w:r w:rsidR="00D45621" w:rsidRPr="00817B9F">
        <w:t>d</w:t>
      </w:r>
      <w:r w:rsidR="00FD5851" w:rsidRPr="00817B9F">
        <w:t xml:space="preserve"> in </w:t>
      </w:r>
      <w:r w:rsidRPr="00817B9F">
        <w:t>MGH’s 75 percent service area</w:t>
      </w:r>
      <w:r w:rsidR="00FD5851" w:rsidRPr="00817B9F">
        <w:t xml:space="preserve"> (regardless of which health care provider those patients chose)</w:t>
      </w:r>
      <w:r w:rsidRPr="00817B9F">
        <w:t xml:space="preserve">. </w:t>
      </w:r>
      <w:r w:rsidR="00FD5851" w:rsidRPr="00817B9F">
        <w:t xml:space="preserve">As </w:t>
      </w:r>
      <w:r w:rsidR="00934C2F" w:rsidRPr="00817B9F">
        <w:t>with</w:t>
      </w:r>
      <w:r w:rsidR="00FD5851" w:rsidRPr="00817B9F">
        <w:t xml:space="preserve"> the other services, </w:t>
      </w:r>
      <w:r w:rsidR="008E6208" w:rsidRPr="00817B9F">
        <w:t>the profiles of MGH’s patients who reside</w:t>
      </w:r>
      <w:r w:rsidR="00D45621" w:rsidRPr="00817B9F">
        <w:t>d</w:t>
      </w:r>
      <w:r w:rsidR="008E6208" w:rsidRPr="00817B9F">
        <w:t xml:space="preserve"> in the hospital’s 75 percent service area and profiles of all patients who reside</w:t>
      </w:r>
      <w:r w:rsidR="00D45621" w:rsidRPr="00817B9F">
        <w:t>d</w:t>
      </w:r>
      <w:r w:rsidR="008E6208" w:rsidRPr="00817B9F">
        <w:t xml:space="preserve"> in that area </w:t>
      </w:r>
      <w:r w:rsidR="00934C2F" w:rsidRPr="00817B9F">
        <w:t xml:space="preserve">are broadly </w:t>
      </w:r>
      <w:r w:rsidR="008E6208" w:rsidRPr="00817B9F">
        <w:t xml:space="preserve">similar, </w:t>
      </w:r>
      <w:r w:rsidR="003E79D9" w:rsidRPr="00817B9F">
        <w:t xml:space="preserve">with the primary difference being in insurance coverage. </w:t>
      </w:r>
      <w:r w:rsidR="008E6208" w:rsidRPr="00817B9F">
        <w:t>Relative to MGH’s patients</w:t>
      </w:r>
      <w:r w:rsidR="00322DE8" w:rsidRPr="00817B9F">
        <w:t xml:space="preserve"> in its 75 percent service area</w:t>
      </w:r>
      <w:r w:rsidR="008E6208" w:rsidRPr="00817B9F">
        <w:t xml:space="preserve">, </w:t>
      </w:r>
      <w:r w:rsidR="00934C2F" w:rsidRPr="00817B9F">
        <w:t xml:space="preserve">the broader population was </w:t>
      </w:r>
      <w:r w:rsidR="00934C2F" w:rsidRPr="00817B9F">
        <w:lastRenderedPageBreak/>
        <w:t xml:space="preserve">somewhat less </w:t>
      </w:r>
      <w:r w:rsidR="008E6208" w:rsidRPr="00817B9F">
        <w:t xml:space="preserve">likely </w:t>
      </w:r>
      <w:r w:rsidR="005009DD" w:rsidRPr="00817B9F">
        <w:t xml:space="preserve">to </w:t>
      </w:r>
      <w:r w:rsidR="004E6F96" w:rsidRPr="00817B9F">
        <w:t>have c</w:t>
      </w:r>
      <w:r w:rsidR="00BC2244" w:rsidRPr="00817B9F">
        <w:t xml:space="preserve">ommercial </w:t>
      </w:r>
      <w:r w:rsidR="004E6F96" w:rsidRPr="00817B9F">
        <w:t>i</w:t>
      </w:r>
      <w:r w:rsidR="00BC2244" w:rsidRPr="00817B9F">
        <w:t>nsurance (32 percent</w:t>
      </w:r>
      <w:r w:rsidR="00934C2F" w:rsidRPr="00817B9F">
        <w:t xml:space="preserve"> compared to</w:t>
      </w:r>
      <w:r w:rsidR="00BC2244" w:rsidRPr="00817B9F">
        <w:t xml:space="preserve"> </w:t>
      </w:r>
      <w:r w:rsidR="00EE6D1B" w:rsidRPr="00817B9F">
        <w:t>37</w:t>
      </w:r>
      <w:r w:rsidRPr="00817B9F">
        <w:t xml:space="preserve"> percent</w:t>
      </w:r>
      <w:r w:rsidR="00EE6D1B" w:rsidRPr="00817B9F">
        <w:t>)</w:t>
      </w:r>
      <w:r w:rsidR="00361F96" w:rsidRPr="00817B9F">
        <w:t xml:space="preserve"> and </w:t>
      </w:r>
      <w:r w:rsidR="00770097" w:rsidRPr="00817B9F">
        <w:t xml:space="preserve">somewhat </w:t>
      </w:r>
      <w:r w:rsidR="0085366F" w:rsidRPr="00817B9F">
        <w:t xml:space="preserve">more likely to </w:t>
      </w:r>
      <w:r w:rsidR="00770097" w:rsidRPr="00817B9F">
        <w:t xml:space="preserve">be covered by </w:t>
      </w:r>
      <w:r w:rsidR="0085366F" w:rsidRPr="00817B9F">
        <w:t xml:space="preserve">Original Medicare </w:t>
      </w:r>
      <w:r w:rsidR="00BC2244" w:rsidRPr="00817B9F">
        <w:t>(</w:t>
      </w:r>
      <w:r w:rsidR="00012CC3" w:rsidRPr="00817B9F">
        <w:t>34</w:t>
      </w:r>
      <w:r w:rsidRPr="00817B9F">
        <w:t xml:space="preserve"> percent</w:t>
      </w:r>
      <w:r w:rsidR="00770097" w:rsidRPr="00817B9F">
        <w:t xml:space="preserve"> compared to </w:t>
      </w:r>
      <w:r w:rsidR="00012CC3" w:rsidRPr="00817B9F">
        <w:t>32</w:t>
      </w:r>
      <w:r w:rsidRPr="00817B9F">
        <w:t xml:space="preserve"> percent).</w:t>
      </w:r>
      <w:r w:rsidR="00E26437" w:rsidRPr="00817B9F">
        <w:rPr>
          <w:rFonts w:eastAsia="TimesNewRomanPSMT"/>
          <w:noProof/>
        </w:rPr>
        <mc:AlternateContent>
          <mc:Choice Requires="wps">
            <w:drawing>
              <wp:inline distT="0" distB="0" distL="0" distR="0" wp14:anchorId="5960E0F9" wp14:editId="774531CB">
                <wp:extent cx="6164580" cy="342900"/>
                <wp:effectExtent l="0" t="0" r="7620" b="0"/>
                <wp:docPr id="117" name="Text Box 117" descr="Blank text box" title="Blank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D4F78" w14:textId="77777777" w:rsidR="00CF3141" w:rsidRDefault="00CF3141"/>
                          <w:p w14:paraId="519E7374" w14:textId="77777777" w:rsidR="00CF3141" w:rsidRDefault="00CF3141" w:rsidP="00DD15A5">
                            <w:pPr>
                              <w:pStyle w:val="BodyText"/>
                            </w:pPr>
                          </w:p>
                        </w:txbxContent>
                      </wps:txbx>
                      <wps:bodyPr rot="0" vert="horz" wrap="square" lIns="0" tIns="0" rIns="0" bIns="0" anchor="t" anchorCtr="0" upright="1">
                        <a:noAutofit/>
                      </wps:bodyPr>
                    </wps:wsp>
                  </a:graphicData>
                </a:graphic>
              </wp:inline>
            </w:drawing>
          </mc:Choice>
          <mc:Fallback>
            <w:pict>
              <v:shapetype w14:anchorId="5960E0F9" id="_x0000_t202" coordsize="21600,21600" o:spt="202" path="m,l,21600r21600,l21600,xe">
                <v:stroke joinstyle="miter"/>
                <v:path gradientshapeok="t" o:connecttype="rect"/>
              </v:shapetype>
              <v:shape id="Text Box 117" o:spid="_x0000_s1026" type="#_x0000_t202" alt="Title: Blank text box - Description: Blank text box" style="width:485.4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" filled="f" stroked="f">
                <v:textbox inset="0,0,0,0">
                  <w:txbxContent>
                    <w:p w14:paraId="38BD4F78" w14:textId="77777777" w:rsidR="00CF3141" w:rsidRDefault="00CF3141"/>
                    <w:p w14:paraId="519E7374" w14:textId="77777777" w:rsidR="00CF3141" w:rsidRDefault="00CF3141" w:rsidP="00DD15A5">
                      <w:pPr>
                        <w:pStyle w:val="BodyText"/>
                      </w:pPr>
                    </w:p>
                  </w:txbxContent>
                </v:textbox>
                <w10:anchorlock/>
              </v:shape>
            </w:pict>
          </mc:Fallback>
        </mc:AlternateContent>
      </w:r>
    </w:p>
    <w:p w14:paraId="50964175" w14:textId="647622BB" w:rsidR="00620137" w:rsidRPr="00817B9F" w:rsidRDefault="00213C42" w:rsidP="00620137">
      <w:pPr>
        <w:pStyle w:val="Heading1"/>
      </w:pPr>
      <w:bookmarkStart w:id="78" w:name="_Toc90046514"/>
      <w:r w:rsidRPr="00817B9F">
        <w:t>Five- and Ten-Year Estimates of</w:t>
      </w:r>
      <w:r w:rsidR="00F74F88" w:rsidRPr="00817B9F">
        <w:t xml:space="preserve"> Demand for MG</w:t>
      </w:r>
      <w:r w:rsidR="00E52AAC" w:rsidRPr="00817B9F">
        <w:t>H’s</w:t>
      </w:r>
      <w:r w:rsidR="00F74F88" w:rsidRPr="00817B9F">
        <w:t xml:space="preserve"> Services</w:t>
      </w:r>
      <w:bookmarkEnd w:id="78"/>
      <w:r w:rsidR="00F74F88" w:rsidRPr="00817B9F">
        <w:t xml:space="preserve"> </w:t>
      </w:r>
    </w:p>
    <w:p w14:paraId="0BC2CA9F" w14:textId="017854C4" w:rsidR="00A13753" w:rsidRPr="00817B9F" w:rsidRDefault="00A13753" w:rsidP="00EE6F48">
      <w:pPr>
        <w:pStyle w:val="NumberedParagraphs"/>
      </w:pPr>
      <w:r w:rsidRPr="00817B9F">
        <w:t>The DoN program requested that we provide short-term (</w:t>
      </w:r>
      <w:r w:rsidRPr="00817B9F">
        <w:rPr>
          <w:i/>
          <w:iCs/>
        </w:rPr>
        <w:t>i.e.</w:t>
      </w:r>
      <w:r w:rsidRPr="00817B9F">
        <w:t>, five years) and long-term (</w:t>
      </w:r>
      <w:r w:rsidRPr="00817B9F">
        <w:rPr>
          <w:i/>
          <w:iCs/>
        </w:rPr>
        <w:t>i.e.</w:t>
      </w:r>
      <w:r w:rsidRPr="00817B9F">
        <w:t xml:space="preserve">, </w:t>
      </w:r>
      <w:r w:rsidR="00CA318B" w:rsidRPr="00817B9F">
        <w:t>ten</w:t>
      </w:r>
      <w:r w:rsidRPr="00817B9F">
        <w:t xml:space="preserve"> years) estimates of expected changes in total population and projected demographic shifts in MGH’s service area. In addition, the DoN program requested that we project </w:t>
      </w:r>
      <w:r w:rsidR="00E70E14" w:rsidRPr="00817B9F">
        <w:t>c</w:t>
      </w:r>
      <w:r w:rsidR="0096106D" w:rsidRPr="00817B9F">
        <w:t>han</w:t>
      </w:r>
      <w:r w:rsidR="00E70E14" w:rsidRPr="00817B9F">
        <w:t>ges</w:t>
      </w:r>
      <w:r w:rsidRPr="00817B9F">
        <w:t xml:space="preserve"> in demand at MGH for inpatient services (including heart and vascular and cancer inpatient services), outpatient diagnostic imaging services (</w:t>
      </w:r>
      <w:r w:rsidRPr="00817B9F">
        <w:rPr>
          <w:i/>
          <w:iCs/>
        </w:rPr>
        <w:t>i.e</w:t>
      </w:r>
      <w:r w:rsidRPr="00817B9F">
        <w:t xml:space="preserve">., outpatient CT, MR, and PET/CT scans), </w:t>
      </w:r>
      <w:r w:rsidR="00B90147" w:rsidRPr="00817B9F">
        <w:t xml:space="preserve">outpatient </w:t>
      </w:r>
      <w:r w:rsidRPr="00817B9F">
        <w:t xml:space="preserve">cardiovascular </w:t>
      </w:r>
      <w:r w:rsidR="00B90147" w:rsidRPr="00817B9F">
        <w:t xml:space="preserve">services, and outpatient </w:t>
      </w:r>
      <w:r w:rsidR="00414F68" w:rsidRPr="00817B9F">
        <w:t>oncology</w:t>
      </w:r>
      <w:r w:rsidR="00B90147" w:rsidRPr="00817B9F">
        <w:t xml:space="preserve"> visits. We discuss each of these considerations in what follows. </w:t>
      </w:r>
    </w:p>
    <w:p w14:paraId="57965E8D" w14:textId="2AA14B13" w:rsidR="00A26969" w:rsidRPr="00817B9F" w:rsidRDefault="00A26969" w:rsidP="00AA0512">
      <w:pPr>
        <w:pStyle w:val="Heading2"/>
        <w:numPr>
          <w:ilvl w:val="0"/>
          <w:numId w:val="12"/>
        </w:numPr>
        <w:rPr>
          <w:rFonts w:cs="Times New Roman"/>
        </w:rPr>
      </w:pPr>
      <w:bookmarkStart w:id="79" w:name="_Toc90046515"/>
      <w:r w:rsidRPr="00817B9F">
        <w:rPr>
          <w:rFonts w:cs="Times New Roman"/>
        </w:rPr>
        <w:t>Inpatient Services</w:t>
      </w:r>
      <w:bookmarkEnd w:id="79"/>
    </w:p>
    <w:p w14:paraId="67228904" w14:textId="739E4508" w:rsidR="00426935" w:rsidRPr="00817B9F" w:rsidRDefault="00426935" w:rsidP="00EE6F48">
      <w:pPr>
        <w:pStyle w:val="Heading3"/>
        <w:numPr>
          <w:ilvl w:val="0"/>
          <w:numId w:val="33"/>
        </w:numPr>
      </w:pPr>
      <w:bookmarkStart w:id="80" w:name="_Toc90046516"/>
      <w:r w:rsidRPr="00817B9F">
        <w:t xml:space="preserve">Changes in Demographics in </w:t>
      </w:r>
      <w:r w:rsidR="00CC09D1" w:rsidRPr="00817B9F">
        <w:t>Five</w:t>
      </w:r>
      <w:r w:rsidRPr="00817B9F">
        <w:t xml:space="preserve"> and </w:t>
      </w:r>
      <w:r w:rsidR="00CC09D1" w:rsidRPr="00817B9F">
        <w:t xml:space="preserve">Ten </w:t>
      </w:r>
      <w:r w:rsidRPr="00817B9F">
        <w:t>Years</w:t>
      </w:r>
      <w:bookmarkEnd w:id="80"/>
      <w:r w:rsidR="00CC09D1" w:rsidRPr="00817B9F">
        <w:t xml:space="preserve"> </w:t>
      </w:r>
    </w:p>
    <w:p w14:paraId="54C38FF4" w14:textId="359D68C0" w:rsidR="00A57398" w:rsidRPr="00817B9F" w:rsidRDefault="00B03CD7" w:rsidP="00517EB3">
      <w:pPr>
        <w:pStyle w:val="NumberedParagraphs"/>
      </w:pPr>
      <w:r w:rsidRPr="00817B9F">
        <w:t xml:space="preserve">Figure </w:t>
      </w:r>
      <w:r w:rsidR="00D73CCE" w:rsidRPr="00817B9F">
        <w:t>MGH11</w:t>
      </w:r>
      <w:r w:rsidR="001252E8" w:rsidRPr="00817B9F">
        <w:t xml:space="preserve"> </w:t>
      </w:r>
      <w:r w:rsidR="00B90147" w:rsidRPr="00817B9F">
        <w:t>summarizes short-term (</w:t>
      </w:r>
      <w:r w:rsidR="00B90147" w:rsidRPr="00817B9F">
        <w:rPr>
          <w:i/>
          <w:iCs/>
        </w:rPr>
        <w:t>i.e.</w:t>
      </w:r>
      <w:r w:rsidR="00B90147" w:rsidRPr="00817B9F">
        <w:t>, five years) and long-term (</w:t>
      </w:r>
      <w:r w:rsidR="00B90147" w:rsidRPr="00817B9F">
        <w:rPr>
          <w:i/>
          <w:iCs/>
        </w:rPr>
        <w:t>i.e.</w:t>
      </w:r>
      <w:r w:rsidR="00B90147" w:rsidRPr="00817B9F">
        <w:t xml:space="preserve">, </w:t>
      </w:r>
      <w:r w:rsidR="00C532D8" w:rsidRPr="00817B9F">
        <w:t>ten</w:t>
      </w:r>
      <w:r w:rsidR="00B90147" w:rsidRPr="00817B9F">
        <w:t xml:space="preserve"> years) estimates of expected changes in total population and projected demographic shifts in MGH's 75 percent service area for inpatient services. These population projections include projections by </w:t>
      </w:r>
      <w:r w:rsidR="003A6CF0" w:rsidRPr="00817B9F">
        <w:t>gender</w:t>
      </w:r>
      <w:r w:rsidR="00B90147" w:rsidRPr="00817B9F">
        <w:t xml:space="preserve"> and age group; however, estimates by race and ethnicity are not available. </w:t>
      </w:r>
      <w:r w:rsidR="00E231E8" w:rsidRPr="00817B9F">
        <w:t>W</w:t>
      </w:r>
      <w:r w:rsidR="00B90147" w:rsidRPr="00817B9F">
        <w:t xml:space="preserve">ithin MGH’s 75 percent inpatient service area, the total population is projected to grow from </w:t>
      </w:r>
      <w:r w:rsidR="00847E4C" w:rsidRPr="00817B9F">
        <w:t>3</w:t>
      </w:r>
      <w:r w:rsidR="00B90147" w:rsidRPr="00817B9F">
        <w:t xml:space="preserve">.3 million </w:t>
      </w:r>
      <w:r w:rsidR="003D4F6C" w:rsidRPr="00817B9F">
        <w:t xml:space="preserve">in 2020 </w:t>
      </w:r>
      <w:r w:rsidR="00B90147" w:rsidRPr="00817B9F">
        <w:t xml:space="preserve">to </w:t>
      </w:r>
      <w:r w:rsidR="00847E4C" w:rsidRPr="00817B9F">
        <w:t>3.5</w:t>
      </w:r>
      <w:r w:rsidR="00B90147" w:rsidRPr="00817B9F">
        <w:t xml:space="preserve"> million</w:t>
      </w:r>
      <w:r w:rsidR="00E231E8" w:rsidRPr="00817B9F">
        <w:t xml:space="preserve"> by 2030</w:t>
      </w:r>
      <w:r w:rsidR="00B90147" w:rsidRPr="00817B9F">
        <w:t>, an increase of six percent. During this</w:t>
      </w:r>
      <w:r w:rsidR="00BA7B24" w:rsidRPr="00817B9F">
        <w:t xml:space="preserve"> </w:t>
      </w:r>
      <w:r w:rsidR="00B90147" w:rsidRPr="00817B9F">
        <w:t xml:space="preserve">period, the number of residents age 65 and older is expected to grow at a faster rate than the overall population, increasing by 30 percent from </w:t>
      </w:r>
      <w:r w:rsidR="00847E4C" w:rsidRPr="00817B9F">
        <w:t>550 thousand</w:t>
      </w:r>
      <w:r w:rsidR="00B90147" w:rsidRPr="00817B9F">
        <w:t xml:space="preserve"> </w:t>
      </w:r>
      <w:r w:rsidR="00BE78CF" w:rsidRPr="00817B9F">
        <w:t>in</w:t>
      </w:r>
      <w:r w:rsidR="00B90147" w:rsidRPr="00817B9F">
        <w:t xml:space="preserve"> 2020 to </w:t>
      </w:r>
      <w:r w:rsidR="00847E4C" w:rsidRPr="00817B9F">
        <w:t>712 thousand</w:t>
      </w:r>
      <w:r w:rsidR="00B90147" w:rsidRPr="00817B9F">
        <w:t xml:space="preserve"> in 2030.</w:t>
      </w:r>
    </w:p>
    <w:p w14:paraId="26CDA149" w14:textId="5B02A651" w:rsidR="00E81945" w:rsidRPr="00817B9F" w:rsidRDefault="007E0AF7" w:rsidP="00DA7778">
      <w:pPr>
        <w:pStyle w:val="Heading3"/>
      </w:pPr>
      <w:bookmarkStart w:id="81" w:name="_Toc90046517"/>
      <w:r w:rsidRPr="00817B9F">
        <w:t>Changes</w:t>
      </w:r>
      <w:r w:rsidR="000240CF" w:rsidRPr="00817B9F">
        <w:t xml:space="preserve"> in Demand</w:t>
      </w:r>
      <w:r w:rsidRPr="00817B9F">
        <w:t xml:space="preserve"> </w:t>
      </w:r>
      <w:r w:rsidR="00AF6977" w:rsidRPr="00817B9F">
        <w:t xml:space="preserve">Using </w:t>
      </w:r>
      <w:r w:rsidR="00E81945" w:rsidRPr="00817B9F">
        <w:t xml:space="preserve">Predicted Demographics in </w:t>
      </w:r>
      <w:r w:rsidR="00CC09D1" w:rsidRPr="00817B9F">
        <w:t>Five</w:t>
      </w:r>
      <w:r w:rsidR="00DF326D" w:rsidRPr="00817B9F">
        <w:t xml:space="preserve"> and </w:t>
      </w:r>
      <w:r w:rsidR="00CC09D1" w:rsidRPr="00817B9F">
        <w:t>Ten</w:t>
      </w:r>
      <w:r w:rsidR="00DF326D" w:rsidRPr="00817B9F">
        <w:t xml:space="preserve"> Years</w:t>
      </w:r>
      <w:bookmarkEnd w:id="81"/>
      <w:r w:rsidR="00CC09D1" w:rsidRPr="00817B9F">
        <w:t xml:space="preserve"> </w:t>
      </w:r>
    </w:p>
    <w:p w14:paraId="2324C6BC" w14:textId="2F7B41C4" w:rsidR="0043774B" w:rsidRPr="00817B9F" w:rsidRDefault="00C2522B" w:rsidP="00517EB3">
      <w:pPr>
        <w:pStyle w:val="NumberedParagraphs"/>
      </w:pPr>
      <w:r w:rsidRPr="00817B9F">
        <w:t xml:space="preserve">To </w:t>
      </w:r>
      <w:r w:rsidR="007C3FC1" w:rsidRPr="00817B9F">
        <w:t xml:space="preserve">estimate </w:t>
      </w:r>
      <w:r w:rsidR="00F41853" w:rsidRPr="00817B9F">
        <w:t xml:space="preserve">future demand for inpatient hospital services, we </w:t>
      </w:r>
      <w:r w:rsidR="00CC09D1" w:rsidRPr="00817B9F">
        <w:t>combine</w:t>
      </w:r>
      <w:r w:rsidR="006549CA" w:rsidRPr="00817B9F">
        <w:t xml:space="preserve"> </w:t>
      </w:r>
      <w:r w:rsidR="001C7D86" w:rsidRPr="00817B9F">
        <w:t xml:space="preserve">the UMDI </w:t>
      </w:r>
      <w:r w:rsidR="00710286" w:rsidRPr="00817B9F">
        <w:t>population</w:t>
      </w:r>
      <w:r w:rsidR="00FA6098" w:rsidRPr="00817B9F">
        <w:t xml:space="preserve"> </w:t>
      </w:r>
      <w:r w:rsidR="001C7D86" w:rsidRPr="00817B9F">
        <w:t>p</w:t>
      </w:r>
      <w:r w:rsidR="00231A9F" w:rsidRPr="00817B9F">
        <w:t>rojections</w:t>
      </w:r>
      <w:r w:rsidR="00CC09D1" w:rsidRPr="00817B9F">
        <w:t xml:space="preserve"> with</w:t>
      </w:r>
      <w:r w:rsidR="00000FBF" w:rsidRPr="00817B9F">
        <w:t xml:space="preserve"> </w:t>
      </w:r>
      <w:r w:rsidR="007E46EE" w:rsidRPr="00817B9F">
        <w:t xml:space="preserve">data from the Hospital Inpatient Discharge Database on current demand for inpatient </w:t>
      </w:r>
      <w:r w:rsidR="00E5715C" w:rsidRPr="00817B9F">
        <w:t>hospital</w:t>
      </w:r>
      <w:r w:rsidR="007E46EE" w:rsidRPr="00817B9F">
        <w:t xml:space="preserve"> services</w:t>
      </w:r>
      <w:r w:rsidR="00C82A0F" w:rsidRPr="00817B9F">
        <w:t xml:space="preserve">. </w:t>
      </w:r>
      <w:r w:rsidR="00CC09D1" w:rsidRPr="00817B9F">
        <w:t>Specifically</w:t>
      </w:r>
      <w:r w:rsidR="009B4C0D" w:rsidRPr="00817B9F">
        <w:t xml:space="preserve">, we tabulate the </w:t>
      </w:r>
      <w:r w:rsidR="004B2974" w:rsidRPr="00817B9F">
        <w:t>current number of discharges</w:t>
      </w:r>
      <w:r w:rsidR="00756331" w:rsidRPr="00817B9F">
        <w:t xml:space="preserve"> and patient days</w:t>
      </w:r>
      <w:r w:rsidR="004B2974" w:rsidRPr="00817B9F">
        <w:t xml:space="preserve"> by patient age,</w:t>
      </w:r>
      <w:r w:rsidR="002002F1" w:rsidRPr="00817B9F">
        <w:t xml:space="preserve"> </w:t>
      </w:r>
      <w:r w:rsidR="003905E4" w:rsidRPr="00817B9F">
        <w:t>gender</w:t>
      </w:r>
      <w:r w:rsidR="002002F1" w:rsidRPr="00817B9F">
        <w:t>, an</w:t>
      </w:r>
      <w:r w:rsidR="00CC09D1" w:rsidRPr="00817B9F">
        <w:t>d</w:t>
      </w:r>
      <w:r w:rsidR="0027083B" w:rsidRPr="00817B9F">
        <w:t xml:space="preserve"> ZIP </w:t>
      </w:r>
      <w:r w:rsidR="00466EEB" w:rsidRPr="00817B9F">
        <w:t>C</w:t>
      </w:r>
      <w:r w:rsidR="0027083B" w:rsidRPr="00817B9F">
        <w:t>ode</w:t>
      </w:r>
      <w:r w:rsidR="00CC09D1" w:rsidRPr="00817B9F">
        <w:t xml:space="preserve"> for MGH</w:t>
      </w:r>
      <w:r w:rsidR="0027083B" w:rsidRPr="00817B9F">
        <w:t xml:space="preserve">. </w:t>
      </w:r>
      <w:r w:rsidR="00721C32" w:rsidRPr="00817B9F">
        <w:t xml:space="preserve">We then apply the expected </w:t>
      </w:r>
      <w:r w:rsidR="00562136" w:rsidRPr="00817B9F">
        <w:t xml:space="preserve">population </w:t>
      </w:r>
      <w:r w:rsidR="00DF2582" w:rsidRPr="00817B9F">
        <w:t xml:space="preserve">growth rate </w:t>
      </w:r>
      <w:r w:rsidR="00562136" w:rsidRPr="00817B9F">
        <w:t xml:space="preserve">for the same age group, </w:t>
      </w:r>
      <w:r w:rsidR="003905E4" w:rsidRPr="00817B9F">
        <w:t>gender</w:t>
      </w:r>
      <w:r w:rsidR="008E024C" w:rsidRPr="00817B9F">
        <w:t>,</w:t>
      </w:r>
      <w:r w:rsidR="00562136" w:rsidRPr="00817B9F">
        <w:t xml:space="preserve"> and ZIP </w:t>
      </w:r>
      <w:r w:rsidR="00466EEB" w:rsidRPr="00817B9F">
        <w:t xml:space="preserve">Code based on </w:t>
      </w:r>
      <w:r w:rsidR="00DF2582" w:rsidRPr="00817B9F">
        <w:t>UMDI’s projections</w:t>
      </w:r>
      <w:r w:rsidR="002E3D30" w:rsidRPr="00817B9F">
        <w:t xml:space="preserve"> </w:t>
      </w:r>
      <w:r w:rsidR="002E3D30" w:rsidRPr="00817B9F">
        <w:lastRenderedPageBreak/>
        <w:t xml:space="preserve">to calculate </w:t>
      </w:r>
      <w:r w:rsidR="001A5755" w:rsidRPr="00817B9F">
        <w:t>the corresponding</w:t>
      </w:r>
      <w:r w:rsidR="00E96E47" w:rsidRPr="00817B9F">
        <w:t xml:space="preserve"> increase in discharges and patient days</w:t>
      </w:r>
      <w:r w:rsidR="00BB3BB5" w:rsidRPr="00817B9F">
        <w:t>.</w:t>
      </w:r>
      <w:r w:rsidR="00570CCF" w:rsidRPr="00817B9F">
        <w:rPr>
          <w:rStyle w:val="FootnoteReference"/>
        </w:rPr>
        <w:footnoteReference w:id="120"/>
      </w:r>
      <w:r w:rsidR="00BB3BB5" w:rsidRPr="00817B9F">
        <w:t xml:space="preserve"> Figure MGH</w:t>
      </w:r>
      <w:r w:rsidR="0081698A" w:rsidRPr="00817B9F">
        <w:t>12</w:t>
      </w:r>
      <w:r w:rsidR="00BB3BB5" w:rsidRPr="00817B9F">
        <w:t xml:space="preserve"> summarizes </w:t>
      </w:r>
      <w:r w:rsidR="00B461F0" w:rsidRPr="00817B9F">
        <w:t xml:space="preserve">the </w:t>
      </w:r>
      <w:r w:rsidR="002D30F1" w:rsidRPr="00817B9F">
        <w:t xml:space="preserve">resulting </w:t>
      </w:r>
      <w:r w:rsidR="00D011F2" w:rsidRPr="00817B9F">
        <w:t xml:space="preserve">estimates of demand in 2025 and 2030 </w:t>
      </w:r>
      <w:r w:rsidR="00D03978" w:rsidRPr="00817B9F">
        <w:t xml:space="preserve">separately for cancer services, heart and vascular services, and other inpatient services. </w:t>
      </w:r>
      <w:r w:rsidR="00CC09D1" w:rsidRPr="00817B9F">
        <w:t>This method does not account for changes in patients’ demand for inpatient hospital care that might arise from, for example, changes in the incidence of diseases or disorders, changes in treatment patterns, or entry or expansion of competitors to MGH. Importantly, our method also does not account for changes in</w:t>
      </w:r>
      <w:r w:rsidR="00774668" w:rsidRPr="00817B9F">
        <w:t xml:space="preserve"> </w:t>
      </w:r>
      <w:r w:rsidR="00CC09D1" w:rsidRPr="00817B9F">
        <w:t xml:space="preserve">inpatient </w:t>
      </w:r>
      <w:r w:rsidR="00774668" w:rsidRPr="00817B9F">
        <w:t>demand or capacity at</w:t>
      </w:r>
      <w:r w:rsidR="00CC09D1" w:rsidRPr="00817B9F">
        <w:t xml:space="preserve"> MGH </w:t>
      </w:r>
      <w:r w:rsidR="00774668" w:rsidRPr="00817B9F">
        <w:t>associated with the proposed project.</w:t>
      </w:r>
    </w:p>
    <w:p w14:paraId="4B4AED1D" w14:textId="527D18E7" w:rsidR="001E7FB1" w:rsidRPr="00817B9F" w:rsidRDefault="00CC09D1" w:rsidP="00EE4904">
      <w:pPr>
        <w:pStyle w:val="NumberedParagraphs"/>
      </w:pPr>
      <w:r w:rsidRPr="00817B9F">
        <w:t>We project that t</w:t>
      </w:r>
      <w:r w:rsidR="00813820" w:rsidRPr="00817B9F">
        <w:t>otal discharges and patient days at</w:t>
      </w:r>
      <w:r w:rsidR="00D00F86" w:rsidRPr="00817B9F">
        <w:t xml:space="preserve"> MGH </w:t>
      </w:r>
      <w:r w:rsidRPr="00817B9F">
        <w:t>will</w:t>
      </w:r>
      <w:r w:rsidR="00813820" w:rsidRPr="00817B9F">
        <w:t xml:space="preserve"> increase by nine percent between 2019 and 202</w:t>
      </w:r>
      <w:r w:rsidR="00ED13AD" w:rsidRPr="00817B9F">
        <w:t>5 and by 17 percent between 2019 and 20</w:t>
      </w:r>
      <w:r w:rsidR="00D863F5" w:rsidRPr="00817B9F">
        <w:t>3</w:t>
      </w:r>
      <w:r w:rsidR="00ED13AD" w:rsidRPr="00817B9F">
        <w:t>0</w:t>
      </w:r>
      <w:r w:rsidR="00D00F86" w:rsidRPr="00817B9F">
        <w:t xml:space="preserve">. </w:t>
      </w:r>
      <w:r w:rsidR="001E7FB1" w:rsidRPr="00817B9F">
        <w:t xml:space="preserve">The </w:t>
      </w:r>
      <w:r w:rsidR="00D10ED2" w:rsidRPr="00817B9F">
        <w:t xml:space="preserve">estimated </w:t>
      </w:r>
      <w:r w:rsidR="002E3245" w:rsidRPr="00817B9F">
        <w:t>growth rate</w:t>
      </w:r>
      <w:r w:rsidR="001E7FB1" w:rsidRPr="00817B9F">
        <w:t xml:space="preserve"> </w:t>
      </w:r>
      <w:r w:rsidR="00B8190B" w:rsidRPr="00817B9F">
        <w:t>in demand</w:t>
      </w:r>
      <w:r w:rsidR="001E7FB1" w:rsidRPr="00817B9F">
        <w:t xml:space="preserve"> for inpatient </w:t>
      </w:r>
      <w:r w:rsidR="00B8190B" w:rsidRPr="00817B9F">
        <w:t xml:space="preserve">cancer services </w:t>
      </w:r>
      <w:r w:rsidR="001768D9" w:rsidRPr="00817B9F">
        <w:t xml:space="preserve">is similar to </w:t>
      </w:r>
      <w:r w:rsidR="00684F37" w:rsidRPr="00817B9F">
        <w:t xml:space="preserve">the </w:t>
      </w:r>
      <w:r w:rsidR="001768D9" w:rsidRPr="00817B9F">
        <w:t>overall project</w:t>
      </w:r>
      <w:r w:rsidR="00684F37" w:rsidRPr="00817B9F">
        <w:t>ed</w:t>
      </w:r>
      <w:r w:rsidR="001768D9" w:rsidRPr="00817B9F">
        <w:t xml:space="preserve"> increases in demand</w:t>
      </w:r>
      <w:r w:rsidR="00774668" w:rsidRPr="00817B9F">
        <w:t xml:space="preserve"> for inpatient services at MGH</w:t>
      </w:r>
      <w:r w:rsidR="00684F37" w:rsidRPr="00817B9F">
        <w:t xml:space="preserve">, with </w:t>
      </w:r>
      <w:r w:rsidR="00A55835" w:rsidRPr="00817B9F">
        <w:t xml:space="preserve">cancer discharges projected to increase </w:t>
      </w:r>
      <w:r w:rsidR="0076780C" w:rsidRPr="00817B9F">
        <w:t xml:space="preserve">by 14 percent by 2030, with an accompanying </w:t>
      </w:r>
      <w:r w:rsidR="009E3B1C" w:rsidRPr="00817B9F">
        <w:t xml:space="preserve">15 percent increase </w:t>
      </w:r>
      <w:r w:rsidR="00740B14" w:rsidRPr="00817B9F">
        <w:t>in patient days.</w:t>
      </w:r>
      <w:r w:rsidR="0023307C" w:rsidRPr="00817B9F">
        <w:t xml:space="preserve"> Demand for heart and vascular services </w:t>
      </w:r>
      <w:r w:rsidR="004A282B" w:rsidRPr="00817B9F">
        <w:t xml:space="preserve">is projected to grow at a higher rate, with </w:t>
      </w:r>
      <w:r w:rsidR="00CE3C70" w:rsidRPr="00817B9F">
        <w:t xml:space="preserve">discharges and patient days predicted to increase </w:t>
      </w:r>
      <w:r w:rsidR="004D5F56" w:rsidRPr="00817B9F">
        <w:t xml:space="preserve">by more than </w:t>
      </w:r>
      <w:r w:rsidR="00104E9B" w:rsidRPr="00817B9F">
        <w:t>20 percent by 2030.</w:t>
      </w:r>
      <w:r w:rsidR="00E56CE6" w:rsidRPr="00817B9F">
        <w:t xml:space="preserve"> These </w:t>
      </w:r>
      <w:r w:rsidR="00D92E02" w:rsidRPr="00817B9F">
        <w:t>projections</w:t>
      </w:r>
      <w:r w:rsidR="00E56CE6" w:rsidRPr="00817B9F">
        <w:t xml:space="preserve"> are consistent with increase</w:t>
      </w:r>
      <w:r w:rsidR="00206BDD" w:rsidRPr="00817B9F">
        <w:t>d</w:t>
      </w:r>
      <w:r w:rsidR="00E56CE6" w:rsidRPr="00817B9F">
        <w:t xml:space="preserve"> </w:t>
      </w:r>
      <w:r w:rsidR="00774668" w:rsidRPr="00817B9F">
        <w:t xml:space="preserve">short- and long-term </w:t>
      </w:r>
      <w:r w:rsidR="00E56CE6" w:rsidRPr="00817B9F">
        <w:t xml:space="preserve">demand for inpatient </w:t>
      </w:r>
      <w:r w:rsidR="00D75CFB" w:rsidRPr="00817B9F">
        <w:t>services at MGH.</w:t>
      </w:r>
      <w:r w:rsidR="00676989" w:rsidRPr="00817B9F">
        <w:rPr>
          <w:rStyle w:val="FootnoteReference"/>
        </w:rPr>
        <w:footnoteReference w:id="121"/>
      </w:r>
    </w:p>
    <w:p w14:paraId="740D442E" w14:textId="6F33D6CD" w:rsidR="00E52354" w:rsidRPr="00817B9F" w:rsidRDefault="001766B4" w:rsidP="00E52354">
      <w:pPr>
        <w:pStyle w:val="NumberedParagraphs"/>
      </w:pPr>
      <w:r w:rsidRPr="00817B9F">
        <w:t>In the DoN</w:t>
      </w:r>
      <w:r w:rsidR="00774668" w:rsidRPr="00817B9F">
        <w:t xml:space="preserve"> application for MGH</w:t>
      </w:r>
      <w:r w:rsidRPr="00817B9F">
        <w:t xml:space="preserve">, </w:t>
      </w:r>
      <w:r w:rsidR="00774668" w:rsidRPr="00817B9F">
        <w:t>MGB</w:t>
      </w:r>
      <w:r w:rsidRPr="00817B9F">
        <w:t xml:space="preserve"> provides its own projections </w:t>
      </w:r>
      <w:r w:rsidR="003614E8" w:rsidRPr="00817B9F">
        <w:t>of</w:t>
      </w:r>
      <w:r w:rsidRPr="00817B9F">
        <w:t xml:space="preserve"> future inpatient </w:t>
      </w:r>
      <w:r w:rsidR="003614E8" w:rsidRPr="00817B9F">
        <w:t>demand</w:t>
      </w:r>
      <w:r w:rsidR="00774668" w:rsidRPr="00817B9F">
        <w:t xml:space="preserve"> at MGH</w:t>
      </w:r>
      <w:r w:rsidRPr="00817B9F">
        <w:t>.</w:t>
      </w:r>
      <w:r w:rsidR="00E52354" w:rsidRPr="00817B9F">
        <w:t xml:space="preserve"> MG</w:t>
      </w:r>
      <w:r w:rsidR="002A1DC6" w:rsidRPr="00817B9F">
        <w:t>B</w:t>
      </w:r>
      <w:r w:rsidR="00E52354" w:rsidRPr="00817B9F">
        <w:t xml:space="preserve"> </w:t>
      </w:r>
      <w:r w:rsidR="006751E0" w:rsidRPr="00817B9F">
        <w:t>explains that</w:t>
      </w:r>
      <w:r w:rsidR="00E52354" w:rsidRPr="00817B9F">
        <w:t xml:space="preserve"> its projections account for </w:t>
      </w:r>
      <w:r w:rsidR="00F53219" w:rsidRPr="00817B9F">
        <w:t xml:space="preserve">population changes, </w:t>
      </w:r>
      <w:r w:rsidR="00E52354" w:rsidRPr="00817B9F">
        <w:t xml:space="preserve">“shifting care from </w:t>
      </w:r>
      <w:r w:rsidR="00EF05E8" w:rsidRPr="00817B9F">
        <w:t xml:space="preserve">the </w:t>
      </w:r>
      <w:r w:rsidR="00E52354" w:rsidRPr="00817B9F">
        <w:t xml:space="preserve">inpatient to outpatient setting,” “improved </w:t>
      </w:r>
      <w:r w:rsidR="00EF05E8" w:rsidRPr="00817B9F">
        <w:t>care</w:t>
      </w:r>
      <w:r w:rsidR="00E52354" w:rsidRPr="00817B9F">
        <w:t xml:space="preserve"> coordination and improved health outcomes resulting in fewer inpatient medical/surgical admissions,” “shift[ing] </w:t>
      </w:r>
      <w:r w:rsidR="00CC0683" w:rsidRPr="00817B9F">
        <w:t>appropriate</w:t>
      </w:r>
      <w:r w:rsidR="00E52354" w:rsidRPr="00817B9F">
        <w:t xml:space="preserve"> cases to community hospitals</w:t>
      </w:r>
      <w:r w:rsidR="005518B0" w:rsidRPr="00817B9F">
        <w:t>,</w:t>
      </w:r>
      <w:r w:rsidR="00E52354" w:rsidRPr="00817B9F">
        <w:t>”</w:t>
      </w:r>
      <w:r w:rsidR="005518B0" w:rsidRPr="00817B9F">
        <w:t xml:space="preserve"> and </w:t>
      </w:r>
      <w:r w:rsidR="00482691" w:rsidRPr="00817B9F">
        <w:t xml:space="preserve">taking on </w:t>
      </w:r>
      <w:r w:rsidR="000C3EA6" w:rsidRPr="00817B9F">
        <w:t>“</w:t>
      </w:r>
      <w:r w:rsidR="00E105CF" w:rsidRPr="00817B9F">
        <w:t>higher acuity patients from community hospitals</w:t>
      </w:r>
      <w:r w:rsidR="00E52354" w:rsidRPr="00817B9F">
        <w:t>.”</w:t>
      </w:r>
      <w:r w:rsidR="00E52354" w:rsidRPr="00817B9F">
        <w:rPr>
          <w:rStyle w:val="FootnoteReference"/>
        </w:rPr>
        <w:footnoteReference w:id="122"/>
      </w:r>
      <w:r w:rsidR="00E52354" w:rsidRPr="00817B9F">
        <w:t xml:space="preserve"> </w:t>
      </w:r>
      <w:r w:rsidR="0092617E" w:rsidRPr="00817B9F">
        <w:t>MG</w:t>
      </w:r>
      <w:r w:rsidR="002A1DC6" w:rsidRPr="00817B9F">
        <w:t>B</w:t>
      </w:r>
      <w:r w:rsidR="0092617E" w:rsidRPr="00817B9F">
        <w:t xml:space="preserve">’s projections </w:t>
      </w:r>
      <w:r w:rsidR="00847CAF" w:rsidRPr="00817B9F">
        <w:t xml:space="preserve">for </w:t>
      </w:r>
      <w:r w:rsidR="005C68A2" w:rsidRPr="00817B9F">
        <w:t xml:space="preserve">inpatient </w:t>
      </w:r>
      <w:r w:rsidR="00847CAF" w:rsidRPr="00817B9F">
        <w:t>canc</w:t>
      </w:r>
      <w:r w:rsidR="00C811BE" w:rsidRPr="00817B9F">
        <w:t xml:space="preserve">er </w:t>
      </w:r>
      <w:r w:rsidR="005C68A2" w:rsidRPr="00817B9F">
        <w:t xml:space="preserve">services </w:t>
      </w:r>
      <w:r w:rsidR="00C811BE" w:rsidRPr="00817B9F">
        <w:t xml:space="preserve">and </w:t>
      </w:r>
      <w:r w:rsidR="005C68A2" w:rsidRPr="00817B9F">
        <w:t xml:space="preserve">inpatient </w:t>
      </w:r>
      <w:r w:rsidR="00C811BE" w:rsidRPr="00817B9F">
        <w:t xml:space="preserve">heart and vascular </w:t>
      </w:r>
      <w:r w:rsidR="005C68A2" w:rsidRPr="00817B9F">
        <w:t>services</w:t>
      </w:r>
      <w:r w:rsidR="002A1DC6" w:rsidRPr="00817B9F">
        <w:t xml:space="preserve"> at MGH</w:t>
      </w:r>
      <w:r w:rsidR="0092617E" w:rsidRPr="00817B9F">
        <w:t xml:space="preserve"> </w:t>
      </w:r>
      <w:r w:rsidR="0092617E" w:rsidRPr="00817B9F">
        <w:lastRenderedPageBreak/>
        <w:t>als</w:t>
      </w:r>
      <w:r w:rsidR="00E70A47" w:rsidRPr="00817B9F">
        <w:t xml:space="preserve">o assume </w:t>
      </w:r>
      <w:r w:rsidR="00847C2D" w:rsidRPr="00817B9F">
        <w:t>expanded</w:t>
      </w:r>
      <w:r w:rsidR="000A5C94" w:rsidRPr="00817B9F">
        <w:t xml:space="preserve"> inpatient beds and </w:t>
      </w:r>
      <w:r w:rsidR="00847C2D" w:rsidRPr="00817B9F">
        <w:t>the construction of</w:t>
      </w:r>
      <w:r w:rsidR="000A5C94" w:rsidRPr="00817B9F">
        <w:t xml:space="preserve"> a new tower focused on cancer and heart and vascular services.</w:t>
      </w:r>
      <w:r w:rsidR="0092617E" w:rsidRPr="00817B9F">
        <w:t xml:space="preserve"> </w:t>
      </w:r>
      <w:r w:rsidR="00EB6F48" w:rsidRPr="00817B9F">
        <w:t xml:space="preserve">This stands in contrast to our projections, which only reflect expected changes in the population and </w:t>
      </w:r>
      <w:r w:rsidR="004E0837" w:rsidRPr="00817B9F">
        <w:t>demographic</w:t>
      </w:r>
      <w:r w:rsidR="00EB6F48" w:rsidRPr="00817B9F">
        <w:t xml:space="preserve"> shift</w:t>
      </w:r>
      <w:r w:rsidR="004E0837" w:rsidRPr="00817B9F">
        <w:t>s</w:t>
      </w:r>
      <w:r w:rsidR="004F5C1A" w:rsidRPr="00817B9F">
        <w:t xml:space="preserve"> but hold </w:t>
      </w:r>
      <w:r w:rsidR="00774668" w:rsidRPr="00817B9F">
        <w:t>other factors affecting the demand for</w:t>
      </w:r>
      <w:r w:rsidR="005163CF" w:rsidRPr="00817B9F">
        <w:t xml:space="preserve"> and supply of</w:t>
      </w:r>
      <w:r w:rsidR="00774668" w:rsidRPr="00817B9F">
        <w:t xml:space="preserve"> inpatient hospital services constant. </w:t>
      </w:r>
    </w:p>
    <w:p w14:paraId="4E882C8F" w14:textId="10C51756" w:rsidR="008A62CD" w:rsidRPr="00817B9F" w:rsidRDefault="00787359" w:rsidP="008A62CD">
      <w:pPr>
        <w:pStyle w:val="NumberedParagraphs"/>
      </w:pPr>
      <w:r w:rsidRPr="00817B9F">
        <w:t>MG</w:t>
      </w:r>
      <w:r w:rsidR="002A1DC6" w:rsidRPr="00817B9F">
        <w:t>B</w:t>
      </w:r>
      <w:r w:rsidR="0009202F" w:rsidRPr="00817B9F">
        <w:t xml:space="preserve"> </w:t>
      </w:r>
      <w:r w:rsidR="00EA5D38" w:rsidRPr="00817B9F">
        <w:t>projects</w:t>
      </w:r>
      <w:r w:rsidR="003B6361" w:rsidRPr="00817B9F">
        <w:t xml:space="preserve"> a six percent increase in </w:t>
      </w:r>
      <w:r w:rsidR="006B646F" w:rsidRPr="00817B9F">
        <w:t xml:space="preserve">total </w:t>
      </w:r>
      <w:r w:rsidR="003B6361" w:rsidRPr="00817B9F">
        <w:t>patient days</w:t>
      </w:r>
      <w:r w:rsidR="002A1DC6" w:rsidRPr="00817B9F">
        <w:t xml:space="preserve"> at MGH</w:t>
      </w:r>
      <w:r w:rsidR="003B6361" w:rsidRPr="00817B9F">
        <w:t xml:space="preserve"> between </w:t>
      </w:r>
      <w:r w:rsidR="00823D03" w:rsidRPr="00817B9F">
        <w:t>2019 and 2029</w:t>
      </w:r>
      <w:r w:rsidR="000837A5" w:rsidRPr="00817B9F">
        <w:t xml:space="preserve">, </w:t>
      </w:r>
      <w:r w:rsidR="001E3585" w:rsidRPr="00817B9F">
        <w:t xml:space="preserve">which is </w:t>
      </w:r>
      <w:r w:rsidR="00CB06A5" w:rsidRPr="00817B9F">
        <w:t xml:space="preserve">lower than </w:t>
      </w:r>
      <w:r w:rsidR="00E94D69" w:rsidRPr="00817B9F">
        <w:t>our projected 17 percent increase over a similar period</w:t>
      </w:r>
      <w:r w:rsidR="00106E6E" w:rsidRPr="00817B9F">
        <w:t>.</w:t>
      </w:r>
      <w:r w:rsidR="00E94D69" w:rsidRPr="00817B9F">
        <w:rPr>
          <w:rStyle w:val="FootnoteReference"/>
        </w:rPr>
        <w:footnoteReference w:id="123"/>
      </w:r>
      <w:r w:rsidR="00BA68C1" w:rsidRPr="00817B9F">
        <w:t xml:space="preserve"> </w:t>
      </w:r>
      <w:r w:rsidR="003B0692" w:rsidRPr="00817B9F">
        <w:t xml:space="preserve">However, </w:t>
      </w:r>
      <w:r w:rsidR="006E53A6" w:rsidRPr="00817B9F">
        <w:t>our</w:t>
      </w:r>
      <w:r w:rsidR="00EA5D38" w:rsidRPr="00817B9F">
        <w:t xml:space="preserve"> estimates of </w:t>
      </w:r>
      <w:r w:rsidR="00774668" w:rsidRPr="00817B9F">
        <w:t>changes in</w:t>
      </w:r>
      <w:r w:rsidR="00EA5D38" w:rsidRPr="00817B9F">
        <w:t xml:space="preserve"> demand for </w:t>
      </w:r>
      <w:r w:rsidR="00774668" w:rsidRPr="00817B9F">
        <w:t xml:space="preserve">inpatient </w:t>
      </w:r>
      <w:r w:rsidR="00EA5D38" w:rsidRPr="00817B9F">
        <w:t xml:space="preserve">cancer services and </w:t>
      </w:r>
      <w:r w:rsidR="00774668" w:rsidRPr="00817B9F">
        <w:t xml:space="preserve">inpatient </w:t>
      </w:r>
      <w:r w:rsidR="00EA5D38" w:rsidRPr="00817B9F">
        <w:t>hea</w:t>
      </w:r>
      <w:r w:rsidR="00CD3038" w:rsidRPr="00817B9F">
        <w:t>rt</w:t>
      </w:r>
      <w:r w:rsidR="00EA5D38" w:rsidRPr="00817B9F">
        <w:t xml:space="preserve"> and </w:t>
      </w:r>
      <w:r w:rsidR="00C6311E" w:rsidRPr="00817B9F">
        <w:t>vascular</w:t>
      </w:r>
      <w:r w:rsidR="00EA5D38" w:rsidRPr="00817B9F">
        <w:t xml:space="preserve"> services are similar to MG</w:t>
      </w:r>
      <w:r w:rsidR="002A1DC6" w:rsidRPr="00817B9F">
        <w:t>B</w:t>
      </w:r>
      <w:r w:rsidR="00EA5D38" w:rsidRPr="00817B9F">
        <w:t xml:space="preserve">’s projections </w:t>
      </w:r>
      <w:r w:rsidR="00BC1205" w:rsidRPr="00817B9F">
        <w:t xml:space="preserve">for these services. </w:t>
      </w:r>
      <w:r w:rsidR="00C6311E" w:rsidRPr="00817B9F">
        <w:t>MG</w:t>
      </w:r>
      <w:r w:rsidR="002A1DC6" w:rsidRPr="00817B9F">
        <w:t>B</w:t>
      </w:r>
      <w:r w:rsidR="00C6311E" w:rsidRPr="00817B9F">
        <w:t xml:space="preserve"> estimates that patient days </w:t>
      </w:r>
      <w:r w:rsidR="002A1DC6" w:rsidRPr="00817B9F">
        <w:t xml:space="preserve">at MGH </w:t>
      </w:r>
      <w:r w:rsidR="001C4EEA" w:rsidRPr="00817B9F">
        <w:t xml:space="preserve">will increase by 19 percent by 2029 for both service </w:t>
      </w:r>
      <w:r w:rsidR="00774668" w:rsidRPr="00817B9F">
        <w:t>lines</w:t>
      </w:r>
      <w:r w:rsidR="004F3E00" w:rsidRPr="00817B9F">
        <w:rPr>
          <w:rStyle w:val="FootnoteReference"/>
        </w:rPr>
        <w:footnoteReference w:id="124"/>
      </w:r>
      <w:r w:rsidR="001C4EEA" w:rsidRPr="00817B9F">
        <w:t>, which is similar to our projected increase</w:t>
      </w:r>
      <w:r w:rsidR="00A96602" w:rsidRPr="00817B9F">
        <w:t xml:space="preserve">s in patient days for cancer services </w:t>
      </w:r>
      <w:r w:rsidR="00A9174B" w:rsidRPr="00817B9F">
        <w:t>(15 percent by 2030) and hea</w:t>
      </w:r>
      <w:r w:rsidR="002B15D9" w:rsidRPr="00817B9F">
        <w:t>rt</w:t>
      </w:r>
      <w:r w:rsidR="00A9174B" w:rsidRPr="00817B9F">
        <w:t xml:space="preserve"> and vascular services (</w:t>
      </w:r>
      <w:r w:rsidR="0081047C" w:rsidRPr="00817B9F">
        <w:t>21</w:t>
      </w:r>
      <w:r w:rsidR="00A9174B" w:rsidRPr="00817B9F">
        <w:t xml:space="preserve"> percent by 2030).</w:t>
      </w:r>
    </w:p>
    <w:p w14:paraId="693EADFE" w14:textId="3DD77245" w:rsidR="005379AD" w:rsidRPr="00817B9F" w:rsidRDefault="00F431BA" w:rsidP="005B4A97">
      <w:pPr>
        <w:pStyle w:val="NumberedParagraphs"/>
      </w:pPr>
      <w:r w:rsidRPr="00817B9F">
        <w:t>In summary, w</w:t>
      </w:r>
      <w:r w:rsidR="00FA7EB1" w:rsidRPr="00817B9F">
        <w:t xml:space="preserve">e predict substantial increases in demand for </w:t>
      </w:r>
      <w:r w:rsidR="00F80BC4" w:rsidRPr="00817B9F">
        <w:t>inpatient services</w:t>
      </w:r>
      <w:r w:rsidR="00FA7EB1" w:rsidRPr="00817B9F">
        <w:t xml:space="preserve"> at MG</w:t>
      </w:r>
      <w:r w:rsidR="00F80BC4" w:rsidRPr="00817B9F">
        <w:t>H</w:t>
      </w:r>
      <w:r w:rsidR="00FA7EB1" w:rsidRPr="00817B9F">
        <w:t xml:space="preserve"> in the next five to </w:t>
      </w:r>
      <w:r w:rsidR="005077E1" w:rsidRPr="00817B9F">
        <w:t>ten</w:t>
      </w:r>
      <w:r w:rsidR="00A903D7" w:rsidRPr="00817B9F">
        <w:t xml:space="preserve"> </w:t>
      </w:r>
      <w:r w:rsidR="00FA7EB1" w:rsidRPr="00817B9F">
        <w:t xml:space="preserve">years. This increase is driven by the </w:t>
      </w:r>
      <w:r w:rsidR="00420EF2" w:rsidRPr="00817B9F">
        <w:t xml:space="preserve">projected </w:t>
      </w:r>
      <w:r w:rsidR="00FA7EB1" w:rsidRPr="00817B9F">
        <w:t xml:space="preserve">population </w:t>
      </w:r>
      <w:r w:rsidR="00420EF2" w:rsidRPr="00817B9F">
        <w:t>growth</w:t>
      </w:r>
      <w:r w:rsidR="00FA7EB1" w:rsidRPr="00817B9F">
        <w:t xml:space="preserve"> in the service area of the hospital and </w:t>
      </w:r>
      <w:r w:rsidR="00F80BC4" w:rsidRPr="00817B9F">
        <w:t>the</w:t>
      </w:r>
      <w:r w:rsidR="00FA7EB1" w:rsidRPr="00817B9F">
        <w:t xml:space="preserve"> aging of that population. For</w:t>
      </w:r>
      <w:r w:rsidR="00CD3038" w:rsidRPr="00817B9F">
        <w:t xml:space="preserve"> cancer inpatient services and heart and vascular inpatient services</w:t>
      </w:r>
      <w:r w:rsidR="00FA7EB1" w:rsidRPr="00817B9F">
        <w:t>, our projections are consistent with the projections that MGB included in its DoN application, although we rely on a different method to arrive at our projections.</w:t>
      </w:r>
    </w:p>
    <w:p w14:paraId="4EF1EE30" w14:textId="7238A448" w:rsidR="007E0AF7" w:rsidRPr="00817B9F" w:rsidRDefault="00DF326D" w:rsidP="006D5A60">
      <w:pPr>
        <w:pStyle w:val="Heading2"/>
        <w:rPr>
          <w:rFonts w:cs="Times New Roman"/>
        </w:rPr>
      </w:pPr>
      <w:bookmarkStart w:id="82" w:name="_Toc90046518"/>
      <w:r w:rsidRPr="00817B9F">
        <w:rPr>
          <w:rFonts w:cs="Times New Roman"/>
        </w:rPr>
        <w:t>Outpatient Services</w:t>
      </w:r>
      <w:bookmarkEnd w:id="82"/>
    </w:p>
    <w:p w14:paraId="0C9985DF" w14:textId="60857F30" w:rsidR="004460D9" w:rsidRPr="00817B9F" w:rsidRDefault="00CE5109" w:rsidP="009B5648">
      <w:pPr>
        <w:pStyle w:val="Heading3"/>
        <w:numPr>
          <w:ilvl w:val="0"/>
          <w:numId w:val="34"/>
        </w:numPr>
      </w:pPr>
      <w:bookmarkStart w:id="83" w:name="_Toc90046519"/>
      <w:r w:rsidRPr="00817B9F">
        <w:t xml:space="preserve">Changes in Demographics in </w:t>
      </w:r>
      <w:r w:rsidR="00B80B1A" w:rsidRPr="00817B9F">
        <w:t>Five</w:t>
      </w:r>
      <w:r w:rsidRPr="00817B9F">
        <w:t xml:space="preserve"> and </w:t>
      </w:r>
      <w:r w:rsidR="00B80B1A" w:rsidRPr="00817B9F">
        <w:t>Ten</w:t>
      </w:r>
      <w:r w:rsidRPr="00817B9F">
        <w:t xml:space="preserve"> Years</w:t>
      </w:r>
      <w:bookmarkEnd w:id="83"/>
    </w:p>
    <w:p w14:paraId="4BA0ADB8" w14:textId="1BBBE284" w:rsidR="00570D9B" w:rsidRPr="00817B9F" w:rsidRDefault="00570D9B" w:rsidP="00517EB3">
      <w:pPr>
        <w:pStyle w:val="NumberedParagraphs"/>
      </w:pPr>
      <w:r w:rsidRPr="00817B9F">
        <w:t xml:space="preserve">Figure </w:t>
      </w:r>
      <w:r w:rsidR="00F31B3F" w:rsidRPr="00817B9F">
        <w:t>MGH</w:t>
      </w:r>
      <w:r w:rsidR="0081698A" w:rsidRPr="00817B9F">
        <w:t>13</w:t>
      </w:r>
      <w:r w:rsidRPr="00817B9F">
        <w:t xml:space="preserve"> </w:t>
      </w:r>
      <w:r w:rsidR="005444F2" w:rsidRPr="00817B9F">
        <w:t>summarizes</w:t>
      </w:r>
      <w:r w:rsidRPr="00817B9F">
        <w:t xml:space="preserve"> </w:t>
      </w:r>
      <w:r w:rsidR="0096106D" w:rsidRPr="00817B9F">
        <w:t>short- and long-term estimates of expected changes in total population and project</w:t>
      </w:r>
      <w:r w:rsidR="00C868A4" w:rsidRPr="00817B9F">
        <w:t>ed</w:t>
      </w:r>
      <w:r w:rsidR="0096106D" w:rsidRPr="00817B9F">
        <w:t xml:space="preserve"> demographic shifts in MGH’s 75 percent service area for outpatient services, including diagnostic imaging services, </w:t>
      </w:r>
      <w:r w:rsidR="004815A2" w:rsidRPr="00817B9F">
        <w:t>cardiovascular</w:t>
      </w:r>
      <w:r w:rsidR="00D20686" w:rsidRPr="00817B9F">
        <w:t xml:space="preserve"> </w:t>
      </w:r>
      <w:r w:rsidR="0096106D" w:rsidRPr="00817B9F">
        <w:t>services</w:t>
      </w:r>
      <w:r w:rsidR="00D20686" w:rsidRPr="00817B9F">
        <w:t>,</w:t>
      </w:r>
      <w:r w:rsidR="0096106D" w:rsidRPr="00817B9F">
        <w:t xml:space="preserve"> and oncology services</w:t>
      </w:r>
      <w:r w:rsidR="008F5BF3" w:rsidRPr="00817B9F">
        <w:t>.</w:t>
      </w:r>
      <w:r w:rsidR="00257860" w:rsidRPr="00817B9F">
        <w:t xml:space="preserve"> </w:t>
      </w:r>
      <w:r w:rsidR="0096106D" w:rsidRPr="00817B9F">
        <w:t xml:space="preserve">As with our projections for inpatient services in MGH’s 75 percent </w:t>
      </w:r>
      <w:r w:rsidR="00B80B1A" w:rsidRPr="00817B9F">
        <w:t xml:space="preserve">inpatient </w:t>
      </w:r>
      <w:r w:rsidR="0096106D" w:rsidRPr="00817B9F">
        <w:t>service area, t</w:t>
      </w:r>
      <w:r w:rsidR="00B11F63" w:rsidRPr="00817B9F">
        <w:t>hese projections include estimates</w:t>
      </w:r>
      <w:r w:rsidRPr="00817B9F">
        <w:t xml:space="preserve"> by </w:t>
      </w:r>
      <w:r w:rsidR="003905E4" w:rsidRPr="00817B9F">
        <w:t>gender</w:t>
      </w:r>
      <w:r w:rsidRPr="00817B9F">
        <w:t xml:space="preserve"> </w:t>
      </w:r>
      <w:r w:rsidR="00B11F63" w:rsidRPr="00817B9F">
        <w:t xml:space="preserve">and </w:t>
      </w:r>
      <w:r w:rsidRPr="00817B9F">
        <w:t>age group</w:t>
      </w:r>
      <w:r w:rsidR="00B11F63" w:rsidRPr="00817B9F">
        <w:t>, but estimates by</w:t>
      </w:r>
      <w:r w:rsidRPr="00817B9F">
        <w:t xml:space="preserve"> race</w:t>
      </w:r>
      <w:r w:rsidR="00B11F63" w:rsidRPr="00817B9F">
        <w:t xml:space="preserve"> and </w:t>
      </w:r>
      <w:r w:rsidRPr="00817B9F">
        <w:t xml:space="preserve">ethnicity are not available. </w:t>
      </w:r>
      <w:r w:rsidR="0096106D" w:rsidRPr="00817B9F">
        <w:t xml:space="preserve">Within MGH’s 75 percent outpatient service area, the total population is projected to grow from 3.1 million </w:t>
      </w:r>
      <w:r w:rsidR="003D4F6C" w:rsidRPr="00817B9F">
        <w:t xml:space="preserve">in 2020 </w:t>
      </w:r>
      <w:r w:rsidR="0096106D" w:rsidRPr="00817B9F">
        <w:t>to 3.3 million</w:t>
      </w:r>
      <w:r w:rsidR="003D4F6C" w:rsidRPr="00817B9F">
        <w:t xml:space="preserve"> in 2030</w:t>
      </w:r>
      <w:r w:rsidR="0096106D" w:rsidRPr="00817B9F">
        <w:t xml:space="preserve">, an increase of six percent. During this period, </w:t>
      </w:r>
      <w:r w:rsidR="0096106D" w:rsidRPr="00817B9F">
        <w:lastRenderedPageBreak/>
        <w:t>the number of residents age 65 and older is expected to grow at a faster rate than the overall population, increasing by 29 percent from 529 thousand</w:t>
      </w:r>
      <w:r w:rsidR="003D4F6C" w:rsidRPr="00817B9F">
        <w:t xml:space="preserve"> in 2020</w:t>
      </w:r>
      <w:r w:rsidR="0096106D" w:rsidRPr="00817B9F">
        <w:t xml:space="preserve"> to 682 thousand in 2030.</w:t>
      </w:r>
    </w:p>
    <w:p w14:paraId="07C623AD" w14:textId="7E83A4D0" w:rsidR="00477BFB" w:rsidRPr="00817B9F" w:rsidRDefault="007E0AF7" w:rsidP="005C0E6B">
      <w:pPr>
        <w:pStyle w:val="Heading3"/>
      </w:pPr>
      <w:bookmarkStart w:id="84" w:name="_Toc90046520"/>
      <w:r w:rsidRPr="00817B9F">
        <w:t xml:space="preserve">Changes </w:t>
      </w:r>
      <w:r w:rsidR="00D94764" w:rsidRPr="00817B9F">
        <w:t xml:space="preserve">in Demand </w:t>
      </w:r>
      <w:r w:rsidR="00AF6977" w:rsidRPr="00817B9F">
        <w:t xml:space="preserve">Using </w:t>
      </w:r>
      <w:r w:rsidR="00911501" w:rsidRPr="00817B9F">
        <w:t>P</w:t>
      </w:r>
      <w:r w:rsidR="00477BFB" w:rsidRPr="00817B9F">
        <w:t>redicted Demographics in</w:t>
      </w:r>
      <w:r w:rsidR="001E65F2" w:rsidRPr="00817B9F">
        <w:t xml:space="preserve"> Five</w:t>
      </w:r>
      <w:r w:rsidR="00477BFB" w:rsidRPr="00817B9F">
        <w:t xml:space="preserve"> and </w:t>
      </w:r>
      <w:r w:rsidR="001E65F2" w:rsidRPr="00817B9F">
        <w:t>Ten</w:t>
      </w:r>
      <w:r w:rsidR="00477BFB" w:rsidRPr="00817B9F">
        <w:t xml:space="preserve"> Years</w:t>
      </w:r>
      <w:bookmarkEnd w:id="84"/>
    </w:p>
    <w:p w14:paraId="1D550AAF" w14:textId="6060569E" w:rsidR="007F0120" w:rsidRPr="00817B9F" w:rsidRDefault="00507ED8" w:rsidP="00517EB3">
      <w:pPr>
        <w:pStyle w:val="NumberedParagraphs"/>
      </w:pPr>
      <w:r w:rsidRPr="00817B9F">
        <w:t>To estimate future demand for</w:t>
      </w:r>
      <w:r w:rsidR="00DA2DAD" w:rsidRPr="00817B9F">
        <w:t xml:space="preserve"> </w:t>
      </w:r>
      <w:r w:rsidRPr="00817B9F">
        <w:t>outpatient services</w:t>
      </w:r>
      <w:r w:rsidR="00000FBF" w:rsidRPr="00817B9F">
        <w:t xml:space="preserve"> at MGH</w:t>
      </w:r>
      <w:r w:rsidRPr="00817B9F">
        <w:t xml:space="preserve">, we </w:t>
      </w:r>
      <w:r w:rsidR="00000FBF" w:rsidRPr="00817B9F">
        <w:t xml:space="preserve">combine the </w:t>
      </w:r>
      <w:r w:rsidRPr="00817B9F">
        <w:t xml:space="preserve">UMDI population projections </w:t>
      </w:r>
      <w:r w:rsidR="00000FBF" w:rsidRPr="00817B9F">
        <w:t xml:space="preserve">with </w:t>
      </w:r>
      <w:r w:rsidR="00B461F0" w:rsidRPr="00817B9F">
        <w:t xml:space="preserve">data from the APCD and Medicare Claims data on current demand for outpatient health care services. Specifically, </w:t>
      </w:r>
      <w:r w:rsidRPr="00817B9F">
        <w:t xml:space="preserve">we tabulate the current </w:t>
      </w:r>
      <w:r w:rsidR="00A420DC" w:rsidRPr="00817B9F">
        <w:t>volume</w:t>
      </w:r>
      <w:r w:rsidRPr="00817B9F">
        <w:t xml:space="preserve"> </w:t>
      </w:r>
      <w:r w:rsidR="00F51723" w:rsidRPr="00817B9F">
        <w:t>for</w:t>
      </w:r>
      <w:r w:rsidR="00D333DE" w:rsidRPr="00817B9F">
        <w:t xml:space="preserve"> </w:t>
      </w:r>
      <w:r w:rsidR="00B461F0" w:rsidRPr="00817B9F">
        <w:t xml:space="preserve">each </w:t>
      </w:r>
      <w:r w:rsidR="00D333DE" w:rsidRPr="00817B9F">
        <w:t>outpatient service</w:t>
      </w:r>
      <w:r w:rsidR="00B461F0" w:rsidRPr="00817B9F">
        <w:t xml:space="preserve"> line</w:t>
      </w:r>
      <w:r w:rsidRPr="00817B9F">
        <w:t xml:space="preserve"> by patient age, </w:t>
      </w:r>
      <w:r w:rsidR="003905E4" w:rsidRPr="00817B9F">
        <w:t>gender</w:t>
      </w:r>
      <w:r w:rsidRPr="00817B9F">
        <w:t>,</w:t>
      </w:r>
      <w:r w:rsidR="00B461F0" w:rsidRPr="00817B9F">
        <w:t xml:space="preserve"> and</w:t>
      </w:r>
      <w:r w:rsidRPr="00817B9F">
        <w:t xml:space="preserve"> ZIP Code</w:t>
      </w:r>
      <w:r w:rsidR="00B461F0" w:rsidRPr="00817B9F">
        <w:t xml:space="preserve"> for MG</w:t>
      </w:r>
      <w:r w:rsidR="00B02461" w:rsidRPr="00817B9F">
        <w:t>H</w:t>
      </w:r>
      <w:r w:rsidRPr="00817B9F">
        <w:t xml:space="preserve">. We then apply the expected population growth rate for the same age group, </w:t>
      </w:r>
      <w:r w:rsidR="003905E4" w:rsidRPr="00817B9F">
        <w:t>gender</w:t>
      </w:r>
      <w:r w:rsidR="00B461F0" w:rsidRPr="00817B9F">
        <w:t>,</w:t>
      </w:r>
      <w:r w:rsidRPr="00817B9F">
        <w:t xml:space="preserve"> and</w:t>
      </w:r>
      <w:r w:rsidR="00872FD7" w:rsidRPr="00817B9F">
        <w:t xml:space="preserve"> </w:t>
      </w:r>
      <w:r w:rsidRPr="00817B9F">
        <w:t xml:space="preserve">ZIP Code based on UMDI’s projections to calculate </w:t>
      </w:r>
      <w:r w:rsidR="001A5755" w:rsidRPr="00817B9F">
        <w:t>the</w:t>
      </w:r>
      <w:r w:rsidRPr="00817B9F">
        <w:t xml:space="preserve"> </w:t>
      </w:r>
      <w:r w:rsidR="001A5755" w:rsidRPr="00817B9F">
        <w:t>corresponding</w:t>
      </w:r>
      <w:r w:rsidRPr="00817B9F">
        <w:t xml:space="preserve"> increase in</w:t>
      </w:r>
      <w:r w:rsidR="00B461F0" w:rsidRPr="00817B9F">
        <w:t xml:space="preserve"> outpatient service</w:t>
      </w:r>
      <w:r w:rsidRPr="00817B9F">
        <w:t xml:space="preserve"> </w:t>
      </w:r>
      <w:r w:rsidR="00B461F0" w:rsidRPr="00817B9F">
        <w:t>volume</w:t>
      </w:r>
      <w:r w:rsidR="00CA4B73" w:rsidRPr="00817B9F">
        <w:t>.</w:t>
      </w:r>
      <w:r w:rsidR="005A5BFC" w:rsidRPr="00817B9F">
        <w:rPr>
          <w:rStyle w:val="FootnoteReference"/>
        </w:rPr>
        <w:footnoteReference w:id="125"/>
      </w:r>
      <w:r w:rsidR="003E442C" w:rsidRPr="00817B9F">
        <w:t xml:space="preserve"> </w:t>
      </w:r>
      <w:r w:rsidR="007423EF" w:rsidRPr="00817B9F">
        <w:t>Figure MGH</w:t>
      </w:r>
      <w:r w:rsidR="00BC3FA3" w:rsidRPr="00817B9F">
        <w:t>14</w:t>
      </w:r>
      <w:r w:rsidR="007423EF" w:rsidRPr="00817B9F">
        <w:t xml:space="preserve"> summarizes </w:t>
      </w:r>
      <w:r w:rsidR="00B02461" w:rsidRPr="00817B9F">
        <w:t xml:space="preserve">the </w:t>
      </w:r>
      <w:r w:rsidR="007423EF" w:rsidRPr="00817B9F">
        <w:t>resulting estimates of demand in 2025 and 2030 separately for</w:t>
      </w:r>
      <w:r w:rsidR="00B02461" w:rsidRPr="00817B9F">
        <w:t xml:space="preserve"> outpatient</w:t>
      </w:r>
      <w:r w:rsidR="007423EF" w:rsidRPr="00817B9F">
        <w:t xml:space="preserve"> </w:t>
      </w:r>
      <w:r w:rsidR="002D6A14" w:rsidRPr="00817B9F">
        <w:t>CT s</w:t>
      </w:r>
      <w:r w:rsidR="0076342E" w:rsidRPr="00817B9F">
        <w:t>cans, MR scans, PET</w:t>
      </w:r>
      <w:r w:rsidR="00B02461" w:rsidRPr="00817B9F">
        <w:t>/CT</w:t>
      </w:r>
      <w:r w:rsidR="0076342E" w:rsidRPr="00817B9F">
        <w:t xml:space="preserve"> scans, </w:t>
      </w:r>
      <w:r w:rsidR="00C43AAC" w:rsidRPr="00817B9F">
        <w:t xml:space="preserve">cardiovascular </w:t>
      </w:r>
      <w:r w:rsidR="00B02461" w:rsidRPr="00817B9F">
        <w:t>services</w:t>
      </w:r>
      <w:r w:rsidR="001476F6" w:rsidRPr="00817B9F">
        <w:t xml:space="preserve">, and </w:t>
      </w:r>
      <w:r w:rsidR="00C43AAC" w:rsidRPr="00817B9F">
        <w:t>oncology visits</w:t>
      </w:r>
      <w:r w:rsidR="007423EF" w:rsidRPr="00817B9F">
        <w:t>.</w:t>
      </w:r>
      <w:r w:rsidR="00CB5091" w:rsidRPr="00817B9F">
        <w:rPr>
          <w:rStyle w:val="FootnoteReference"/>
        </w:rPr>
        <w:footnoteReference w:id="126"/>
      </w:r>
      <w:r w:rsidR="007423EF" w:rsidRPr="00817B9F">
        <w:t xml:space="preserve"> </w:t>
      </w:r>
      <w:r w:rsidR="0067545B" w:rsidRPr="00817B9F">
        <w:t>This method does not account for changes in patients’ demand for outpatient hospital services that might arise from, for example, changes in the incidence of diseases or disorders, changes in treatment patterns, or entry or expansion of competitors to MGH. Importantly, our method also does not account for changes in outpatient demand or capacity at MGH associated with the proposed project.</w:t>
      </w:r>
    </w:p>
    <w:p w14:paraId="4DCCAFB5" w14:textId="5F26099B" w:rsidR="003F00EC" w:rsidRPr="00817B9F" w:rsidRDefault="0067545B" w:rsidP="00272167">
      <w:pPr>
        <w:pStyle w:val="NumberedParagraphs"/>
      </w:pPr>
      <w:r w:rsidRPr="00817B9F">
        <w:t>We project that outpatient</w:t>
      </w:r>
      <w:r w:rsidR="00DF3206" w:rsidRPr="00817B9F">
        <w:t xml:space="preserve"> </w:t>
      </w:r>
      <w:r w:rsidR="00186573" w:rsidRPr="00817B9F">
        <w:t>CT, MR and PET</w:t>
      </w:r>
      <w:r w:rsidRPr="00817B9F">
        <w:t>/</w:t>
      </w:r>
      <w:r w:rsidR="00186573" w:rsidRPr="00817B9F">
        <w:t xml:space="preserve">CT scans </w:t>
      </w:r>
      <w:r w:rsidRPr="00817B9F">
        <w:t xml:space="preserve">at MGH will increase </w:t>
      </w:r>
      <w:r w:rsidR="00762D9D" w:rsidRPr="00817B9F">
        <w:t xml:space="preserve">by </w:t>
      </w:r>
      <w:r w:rsidR="00355F7D" w:rsidRPr="00817B9F">
        <w:t>nine</w:t>
      </w:r>
      <w:r w:rsidR="00BB7CA8" w:rsidRPr="00817B9F">
        <w:t xml:space="preserve"> percent, </w:t>
      </w:r>
      <w:r w:rsidR="00355F7D" w:rsidRPr="00817B9F">
        <w:t>six</w:t>
      </w:r>
      <w:r w:rsidR="00BB7CA8" w:rsidRPr="00817B9F">
        <w:t xml:space="preserve"> percent</w:t>
      </w:r>
      <w:r w:rsidR="002E40E1" w:rsidRPr="00817B9F">
        <w:t>,</w:t>
      </w:r>
      <w:r w:rsidR="00BB7CA8" w:rsidRPr="00817B9F">
        <w:t xml:space="preserve"> and </w:t>
      </w:r>
      <w:r w:rsidR="005077E1" w:rsidRPr="00817B9F">
        <w:t>ten</w:t>
      </w:r>
      <w:r w:rsidR="00BB7CA8" w:rsidRPr="00817B9F">
        <w:t xml:space="preserve"> percent</w:t>
      </w:r>
      <w:r w:rsidR="008C097C" w:rsidRPr="00817B9F">
        <w:t>, re</w:t>
      </w:r>
      <w:r w:rsidR="00396C4F" w:rsidRPr="00817B9F">
        <w:t>spectively,</w:t>
      </w:r>
      <w:r w:rsidR="002E40E1" w:rsidRPr="00817B9F">
        <w:t xml:space="preserve"> </w:t>
      </w:r>
      <w:r w:rsidR="0045231F" w:rsidRPr="00817B9F">
        <w:t>between 2018 and 2025</w:t>
      </w:r>
      <w:r w:rsidR="00882A2C" w:rsidRPr="00817B9F">
        <w:t xml:space="preserve">. </w:t>
      </w:r>
      <w:r w:rsidR="006454F7" w:rsidRPr="00817B9F">
        <w:t xml:space="preserve">The projected growth rates </w:t>
      </w:r>
      <w:r w:rsidR="00FF063E" w:rsidRPr="00817B9F">
        <w:t xml:space="preserve">for </w:t>
      </w:r>
      <w:r w:rsidR="009E1E59" w:rsidRPr="00817B9F">
        <w:t>the same</w:t>
      </w:r>
      <w:r w:rsidRPr="00817B9F">
        <w:t xml:space="preserve"> outpatient diagnostic</w:t>
      </w:r>
      <w:r w:rsidR="009E1E59" w:rsidRPr="00817B9F">
        <w:t xml:space="preserve"> imaging services </w:t>
      </w:r>
      <w:r w:rsidR="006454F7" w:rsidRPr="00817B9F">
        <w:t xml:space="preserve">are </w:t>
      </w:r>
      <w:r w:rsidR="00377F9D" w:rsidRPr="00817B9F">
        <w:t>16</w:t>
      </w:r>
      <w:r w:rsidR="00505A97" w:rsidRPr="00817B9F">
        <w:t xml:space="preserve"> percent, </w:t>
      </w:r>
      <w:r w:rsidR="005077E1" w:rsidRPr="00817B9F">
        <w:t>ten</w:t>
      </w:r>
      <w:r w:rsidR="00505A97" w:rsidRPr="00817B9F">
        <w:t xml:space="preserve"> percent, and 17 percent</w:t>
      </w:r>
      <w:r w:rsidR="00BD6695" w:rsidRPr="00817B9F">
        <w:t>, respectively,</w:t>
      </w:r>
      <w:r w:rsidR="00B179B3" w:rsidRPr="00817B9F">
        <w:t xml:space="preserve"> </w:t>
      </w:r>
      <w:r w:rsidRPr="00817B9F">
        <w:t>between</w:t>
      </w:r>
      <w:r w:rsidR="00D92673" w:rsidRPr="00817B9F">
        <w:t xml:space="preserve"> 2018 to 2030. </w:t>
      </w:r>
      <w:r w:rsidR="00272167" w:rsidRPr="00817B9F">
        <w:t xml:space="preserve">We project that </w:t>
      </w:r>
      <w:r w:rsidR="005D283D" w:rsidRPr="00817B9F">
        <w:t>cardiovascular services</w:t>
      </w:r>
      <w:r w:rsidR="003F00EC" w:rsidRPr="00817B9F">
        <w:t xml:space="preserve"> and </w:t>
      </w:r>
      <w:r w:rsidR="00272167" w:rsidRPr="00817B9F">
        <w:t>outpatient</w:t>
      </w:r>
      <w:r w:rsidR="00F55CBC" w:rsidRPr="00817B9F">
        <w:t xml:space="preserve"> </w:t>
      </w:r>
      <w:r w:rsidR="003F00EC" w:rsidRPr="00817B9F">
        <w:t>oncology visits</w:t>
      </w:r>
      <w:r w:rsidR="00272167" w:rsidRPr="00817B9F">
        <w:t xml:space="preserve"> will </w:t>
      </w:r>
      <w:r w:rsidR="00F55CBC" w:rsidRPr="00817B9F">
        <w:t>increase</w:t>
      </w:r>
      <w:r w:rsidR="003F00EC" w:rsidRPr="00817B9F">
        <w:t xml:space="preserve"> </w:t>
      </w:r>
      <w:r w:rsidR="00F55CBC" w:rsidRPr="00817B9F">
        <w:t>by</w:t>
      </w:r>
      <w:r w:rsidR="003F00EC" w:rsidRPr="00817B9F">
        <w:t xml:space="preserve"> </w:t>
      </w:r>
      <w:r w:rsidR="009D6DC5" w:rsidRPr="00817B9F">
        <w:t>12</w:t>
      </w:r>
      <w:r w:rsidR="003F00EC" w:rsidRPr="00817B9F">
        <w:t xml:space="preserve"> percent and </w:t>
      </w:r>
      <w:r w:rsidR="005077E1" w:rsidRPr="00817B9F">
        <w:t>ten</w:t>
      </w:r>
      <w:r w:rsidR="003F00EC" w:rsidRPr="00817B9F">
        <w:t xml:space="preserve"> percent </w:t>
      </w:r>
      <w:r w:rsidR="00147994" w:rsidRPr="00817B9F">
        <w:t>between</w:t>
      </w:r>
      <w:r w:rsidR="003F00EC" w:rsidRPr="00817B9F">
        <w:t xml:space="preserve"> 2018 </w:t>
      </w:r>
      <w:r w:rsidR="00272167" w:rsidRPr="00817B9F">
        <w:t xml:space="preserve">and </w:t>
      </w:r>
      <w:r w:rsidR="003F00EC" w:rsidRPr="00817B9F">
        <w:t>2025</w:t>
      </w:r>
      <w:r w:rsidR="006332D1" w:rsidRPr="00817B9F">
        <w:t xml:space="preserve"> and </w:t>
      </w:r>
      <w:r w:rsidR="00272167" w:rsidRPr="00817B9F">
        <w:t xml:space="preserve">by </w:t>
      </w:r>
      <w:r w:rsidR="009D6DC5" w:rsidRPr="00817B9F">
        <w:t>21</w:t>
      </w:r>
      <w:r w:rsidR="006332D1" w:rsidRPr="00817B9F">
        <w:t xml:space="preserve"> percent and 18 percent </w:t>
      </w:r>
      <w:r w:rsidR="00BB6FF7" w:rsidRPr="00817B9F">
        <w:t>between 2018 and 2030</w:t>
      </w:r>
      <w:r w:rsidR="003F00EC" w:rsidRPr="00817B9F">
        <w:t xml:space="preserve">, respectively. </w:t>
      </w:r>
      <w:r w:rsidR="00272167" w:rsidRPr="00817B9F">
        <w:t xml:space="preserve">These results are consistent </w:t>
      </w:r>
      <w:r w:rsidR="00272167" w:rsidRPr="00817B9F">
        <w:lastRenderedPageBreak/>
        <w:t>with increased short- and long-term demand for outpatient diagnostic imaging services, cardiovascular services, and oncology vis</w:t>
      </w:r>
      <w:r w:rsidR="00374CD7" w:rsidRPr="00817B9F">
        <w:t>i</w:t>
      </w:r>
      <w:r w:rsidR="00272167" w:rsidRPr="00817B9F">
        <w:t>ts at MGH.</w:t>
      </w:r>
      <w:r w:rsidR="00272167" w:rsidRPr="00817B9F">
        <w:rPr>
          <w:rStyle w:val="FootnoteReference"/>
        </w:rPr>
        <w:footnoteReference w:id="127"/>
      </w:r>
    </w:p>
    <w:p w14:paraId="3A5BFA54" w14:textId="4C11F2A7" w:rsidR="00140788" w:rsidRPr="00817B9F" w:rsidRDefault="001A590A" w:rsidP="00912481">
      <w:pPr>
        <w:pStyle w:val="NumberedParagraphs"/>
      </w:pPr>
      <w:r w:rsidRPr="00817B9F">
        <w:t>In the DoN</w:t>
      </w:r>
      <w:r w:rsidR="00272167" w:rsidRPr="00817B9F">
        <w:t xml:space="preserve"> application for MGH</w:t>
      </w:r>
      <w:r w:rsidRPr="00817B9F">
        <w:t xml:space="preserve">, </w:t>
      </w:r>
      <w:r w:rsidR="00272167" w:rsidRPr="00817B9F">
        <w:t>MG</w:t>
      </w:r>
      <w:r w:rsidR="00E503F3" w:rsidRPr="00817B9F">
        <w:t>B</w:t>
      </w:r>
      <w:r w:rsidRPr="00817B9F">
        <w:t xml:space="preserve"> provides its own projections </w:t>
      </w:r>
      <w:r w:rsidR="008E1AAC" w:rsidRPr="00817B9F">
        <w:t>of future demand</w:t>
      </w:r>
      <w:r w:rsidR="00786DB8" w:rsidRPr="00817B9F">
        <w:t xml:space="preserve"> for outpatient</w:t>
      </w:r>
      <w:r w:rsidRPr="00817B9F">
        <w:t xml:space="preserve"> imag</w:t>
      </w:r>
      <w:r w:rsidR="00A30F0E" w:rsidRPr="00817B9F">
        <w:t>ing</w:t>
      </w:r>
      <w:r w:rsidR="007B1BB4" w:rsidRPr="00817B9F">
        <w:t>, oncology, and cardiovascular</w:t>
      </w:r>
      <w:r w:rsidRPr="00817B9F">
        <w:t xml:space="preserve"> services</w:t>
      </w:r>
      <w:r w:rsidR="00786DB8" w:rsidRPr="00817B9F">
        <w:t>.</w:t>
      </w:r>
      <w:r w:rsidRPr="00817B9F">
        <w:t xml:space="preserve"> MG</w:t>
      </w:r>
      <w:r w:rsidR="00BD32AF" w:rsidRPr="00817B9F">
        <w:t>B</w:t>
      </w:r>
      <w:r w:rsidRPr="00817B9F">
        <w:t xml:space="preserve"> </w:t>
      </w:r>
      <w:r w:rsidR="00CE3F7E" w:rsidRPr="00817B9F">
        <w:t>explains</w:t>
      </w:r>
      <w:r w:rsidRPr="00817B9F">
        <w:t xml:space="preserve"> its projections account for</w:t>
      </w:r>
      <w:r w:rsidR="006C5383" w:rsidRPr="00817B9F">
        <w:t xml:space="preserve"> expected</w:t>
      </w:r>
      <w:r w:rsidRPr="00817B9F">
        <w:t xml:space="preserve"> population changes, </w:t>
      </w:r>
      <w:r w:rsidR="000560CF" w:rsidRPr="00817B9F">
        <w:t>increases in incidence of cancer and cardiovascular disease</w:t>
      </w:r>
      <w:r w:rsidR="00052850" w:rsidRPr="00817B9F">
        <w:t xml:space="preserve">, </w:t>
      </w:r>
      <w:r w:rsidR="009C04BE" w:rsidRPr="00817B9F">
        <w:t xml:space="preserve">expectations of patient volume shifting from inpatient to outpatient treatment and services, </w:t>
      </w:r>
      <w:r w:rsidR="00052850" w:rsidRPr="00817B9F">
        <w:t xml:space="preserve">and </w:t>
      </w:r>
      <w:r w:rsidR="004A4C27" w:rsidRPr="00817B9F">
        <w:t>current capacity constraints</w:t>
      </w:r>
      <w:r w:rsidR="00912481" w:rsidRPr="00817B9F">
        <w:t xml:space="preserve"> and wait times</w:t>
      </w:r>
      <w:r w:rsidR="004A4C27" w:rsidRPr="00817B9F">
        <w:t>.</w:t>
      </w:r>
      <w:r w:rsidR="002C742B" w:rsidRPr="00817B9F">
        <w:rPr>
          <w:rStyle w:val="FootnoteReference"/>
        </w:rPr>
        <w:footnoteReference w:id="128"/>
      </w:r>
      <w:r w:rsidR="00912481" w:rsidRPr="00817B9F">
        <w:t xml:space="preserve"> </w:t>
      </w:r>
      <w:r w:rsidRPr="00817B9F">
        <w:t>MG</w:t>
      </w:r>
      <w:r w:rsidR="00192D99" w:rsidRPr="00817B9F">
        <w:t>B</w:t>
      </w:r>
      <w:r w:rsidRPr="00817B9F">
        <w:t xml:space="preserve">’s projections </w:t>
      </w:r>
      <w:r w:rsidR="005606F1" w:rsidRPr="00817B9F">
        <w:t xml:space="preserve">for these outpatient services </w:t>
      </w:r>
      <w:r w:rsidRPr="00817B9F">
        <w:t xml:space="preserve">also assume </w:t>
      </w:r>
      <w:r w:rsidR="00C17798" w:rsidRPr="00817B9F">
        <w:t xml:space="preserve">the </w:t>
      </w:r>
      <w:r w:rsidR="000D0DDD" w:rsidRPr="00817B9F">
        <w:t xml:space="preserve">construction of a new tower focused </w:t>
      </w:r>
      <w:r w:rsidR="003E721D" w:rsidRPr="00817B9F">
        <w:t>on</w:t>
      </w:r>
      <w:r w:rsidRPr="00817B9F">
        <w:t xml:space="preserve"> </w:t>
      </w:r>
      <w:r w:rsidR="00E73A26" w:rsidRPr="00817B9F">
        <w:t>oncology and cardiovascular services</w:t>
      </w:r>
      <w:r w:rsidR="00C17798" w:rsidRPr="00817B9F">
        <w:t xml:space="preserve">, including </w:t>
      </w:r>
      <w:r w:rsidR="0038675F" w:rsidRPr="00817B9F">
        <w:t xml:space="preserve">the expansion of its imaging capacity and </w:t>
      </w:r>
      <w:r w:rsidR="003D19B7" w:rsidRPr="00817B9F">
        <w:t xml:space="preserve">additional </w:t>
      </w:r>
      <w:r w:rsidR="00991A55" w:rsidRPr="00817B9F">
        <w:t xml:space="preserve">oncology exam rooms, </w:t>
      </w:r>
      <w:r w:rsidR="007F3FAE" w:rsidRPr="00817B9F">
        <w:t>infusion bays,</w:t>
      </w:r>
      <w:r w:rsidR="004200F6" w:rsidRPr="00817B9F">
        <w:t xml:space="preserve"> and </w:t>
      </w:r>
      <w:r w:rsidR="00087232" w:rsidRPr="00817B9F">
        <w:t>cardi</w:t>
      </w:r>
      <w:r w:rsidR="00F900DE" w:rsidRPr="00817B9F">
        <w:t>ovascular</w:t>
      </w:r>
      <w:r w:rsidR="00087232" w:rsidRPr="00817B9F">
        <w:t xml:space="preserve"> </w:t>
      </w:r>
      <w:r w:rsidR="008009E0" w:rsidRPr="00817B9F">
        <w:t>operating rooms.</w:t>
      </w:r>
      <w:r w:rsidR="00991A55" w:rsidRPr="00817B9F">
        <w:rPr>
          <w:rStyle w:val="FootnoteReference"/>
        </w:rPr>
        <w:t xml:space="preserve"> </w:t>
      </w:r>
      <w:r w:rsidR="00347AC3" w:rsidRPr="00817B9F">
        <w:rPr>
          <w:rStyle w:val="FootnoteReference"/>
        </w:rPr>
        <w:footnoteReference w:id="129"/>
      </w:r>
      <w:r w:rsidR="00991A55" w:rsidRPr="00817B9F">
        <w:t xml:space="preserve"> </w:t>
      </w:r>
      <w:r w:rsidR="006F55EA" w:rsidRPr="00817B9F">
        <w:t xml:space="preserve">This stands in contrast to our projections, which only reflect expected changes in the population and demographic shifts but hold </w:t>
      </w:r>
      <w:r w:rsidR="00272167" w:rsidRPr="00817B9F">
        <w:t>other fact</w:t>
      </w:r>
      <w:r w:rsidR="00AB02A7" w:rsidRPr="00817B9F">
        <w:t>or</w:t>
      </w:r>
      <w:r w:rsidR="00272167" w:rsidRPr="00817B9F">
        <w:t xml:space="preserve">s affecting the demand for </w:t>
      </w:r>
      <w:r w:rsidR="00F80E0E" w:rsidRPr="00817B9F">
        <w:t xml:space="preserve">and supply of </w:t>
      </w:r>
      <w:r w:rsidR="00272167" w:rsidRPr="00817B9F">
        <w:t xml:space="preserve">outpatient health care services constant. </w:t>
      </w:r>
    </w:p>
    <w:p w14:paraId="5765615D" w14:textId="15AFC546" w:rsidR="0030647A" w:rsidRPr="00817B9F" w:rsidRDefault="00192D99" w:rsidP="0040416C">
      <w:pPr>
        <w:pStyle w:val="NumberedParagraphs"/>
      </w:pPr>
      <w:r w:rsidRPr="00817B9F">
        <w:t>Because of these differences, o</w:t>
      </w:r>
      <w:r w:rsidR="00D1443D" w:rsidRPr="00817B9F">
        <w:t xml:space="preserve">ur </w:t>
      </w:r>
      <w:r w:rsidR="00547278" w:rsidRPr="00817B9F">
        <w:t xml:space="preserve">projections </w:t>
      </w:r>
      <w:r w:rsidRPr="00817B9F">
        <w:t>for outpatient diagnostic imagining volumes are</w:t>
      </w:r>
      <w:r w:rsidR="006A57A5" w:rsidRPr="00817B9F">
        <w:t xml:space="preserve"> </w:t>
      </w:r>
      <w:r w:rsidR="0080093B" w:rsidRPr="00817B9F">
        <w:t xml:space="preserve">substantially lower </w:t>
      </w:r>
      <w:r w:rsidR="00547278" w:rsidRPr="00817B9F">
        <w:t>than MG</w:t>
      </w:r>
      <w:r w:rsidRPr="00817B9F">
        <w:t>B</w:t>
      </w:r>
      <w:r w:rsidR="00547278" w:rsidRPr="00817B9F">
        <w:t>’s projections</w:t>
      </w:r>
      <w:r w:rsidR="00DE1837" w:rsidRPr="00817B9F">
        <w:t xml:space="preserve"> </w:t>
      </w:r>
      <w:r w:rsidR="00547278" w:rsidRPr="00817B9F">
        <w:t>from 201</w:t>
      </w:r>
      <w:r w:rsidR="00BA26EC" w:rsidRPr="00817B9F">
        <w:t xml:space="preserve">8 </w:t>
      </w:r>
      <w:r w:rsidR="00547278" w:rsidRPr="00817B9F">
        <w:t>to 20</w:t>
      </w:r>
      <w:r w:rsidR="007372DA" w:rsidRPr="00817B9F">
        <w:t>2</w:t>
      </w:r>
      <w:r w:rsidR="00FA4629" w:rsidRPr="00817B9F">
        <w:t>9. While we</w:t>
      </w:r>
      <w:r w:rsidR="00923E02" w:rsidRPr="00817B9F">
        <w:t xml:space="preserve"> estimate </w:t>
      </w:r>
      <w:r w:rsidRPr="00817B9F">
        <w:t xml:space="preserve">outpatient </w:t>
      </w:r>
      <w:r w:rsidR="00923E02" w:rsidRPr="00817B9F">
        <w:t>CT scan</w:t>
      </w:r>
      <w:r w:rsidRPr="00817B9F">
        <w:t xml:space="preserve"> volume</w:t>
      </w:r>
      <w:r w:rsidR="00923E02" w:rsidRPr="00817B9F">
        <w:t xml:space="preserve"> to grow 1</w:t>
      </w:r>
      <w:r w:rsidR="00C16C91" w:rsidRPr="00817B9F">
        <w:t>6</w:t>
      </w:r>
      <w:r w:rsidR="00923E02" w:rsidRPr="00817B9F">
        <w:t xml:space="preserve"> percent </w:t>
      </w:r>
      <w:r w:rsidR="000F4309" w:rsidRPr="00817B9F">
        <w:t>from 2018 to 2030, MG</w:t>
      </w:r>
      <w:r w:rsidRPr="00817B9F">
        <w:t>B</w:t>
      </w:r>
      <w:r w:rsidR="000F4309" w:rsidRPr="00817B9F">
        <w:t xml:space="preserve"> project</w:t>
      </w:r>
      <w:r w:rsidRPr="00817B9F">
        <w:t>s an increase of</w:t>
      </w:r>
      <w:r w:rsidR="000F4309" w:rsidRPr="00817B9F">
        <w:t xml:space="preserve"> </w:t>
      </w:r>
      <w:r w:rsidR="0029118A" w:rsidRPr="00817B9F">
        <w:t>77 percent</w:t>
      </w:r>
      <w:r w:rsidR="009206B7" w:rsidRPr="00817B9F">
        <w:t>.</w:t>
      </w:r>
      <w:r w:rsidR="001601DB" w:rsidRPr="00817B9F">
        <w:rPr>
          <w:rStyle w:val="FootnoteReference"/>
        </w:rPr>
        <w:footnoteReference w:id="130"/>
      </w:r>
      <w:r w:rsidR="009206B7" w:rsidRPr="00817B9F">
        <w:t xml:space="preserve"> </w:t>
      </w:r>
      <w:r w:rsidR="00B84FB2" w:rsidRPr="00817B9F">
        <w:t xml:space="preserve">Similarly, </w:t>
      </w:r>
      <w:r w:rsidR="00C743DA" w:rsidRPr="00817B9F">
        <w:t xml:space="preserve">while we estimate </w:t>
      </w:r>
      <w:r w:rsidRPr="00817B9F">
        <w:t xml:space="preserve">outpatient </w:t>
      </w:r>
      <w:r w:rsidR="002F7507" w:rsidRPr="00817B9F">
        <w:t>MR scan</w:t>
      </w:r>
      <w:r w:rsidRPr="00817B9F">
        <w:t xml:space="preserve"> volume</w:t>
      </w:r>
      <w:r w:rsidR="002F7507" w:rsidRPr="00817B9F">
        <w:t xml:space="preserve"> to grow </w:t>
      </w:r>
      <w:r w:rsidR="00946A0A" w:rsidRPr="00817B9F">
        <w:t>ten</w:t>
      </w:r>
      <w:r w:rsidR="002F7507" w:rsidRPr="00817B9F">
        <w:t xml:space="preserve"> percent</w:t>
      </w:r>
      <w:r w:rsidRPr="00817B9F">
        <w:t xml:space="preserve"> from 2018 to 2030</w:t>
      </w:r>
      <w:r w:rsidR="00A64B6D" w:rsidRPr="00817B9F">
        <w:t>, MG</w:t>
      </w:r>
      <w:r w:rsidRPr="00817B9F">
        <w:t>B</w:t>
      </w:r>
      <w:r w:rsidR="0073789B" w:rsidRPr="00817B9F">
        <w:t xml:space="preserve"> </w:t>
      </w:r>
      <w:r w:rsidRPr="00817B9F">
        <w:t>projects an increase of</w:t>
      </w:r>
      <w:r w:rsidR="00A64B6D" w:rsidRPr="00817B9F">
        <w:t xml:space="preserve"> </w:t>
      </w:r>
      <w:r w:rsidR="00FF5F90" w:rsidRPr="00817B9F">
        <w:t>24 percent.</w:t>
      </w:r>
      <w:r w:rsidR="00D27450" w:rsidRPr="00817B9F">
        <w:rPr>
          <w:rStyle w:val="FootnoteReference"/>
        </w:rPr>
        <w:footnoteReference w:id="131"/>
      </w:r>
      <w:r w:rsidR="00FF5F90" w:rsidRPr="00817B9F">
        <w:t xml:space="preserve"> Lastly, </w:t>
      </w:r>
      <w:r w:rsidR="0014292F" w:rsidRPr="00817B9F">
        <w:t xml:space="preserve">we estimate </w:t>
      </w:r>
      <w:r w:rsidRPr="00817B9F">
        <w:t xml:space="preserve">outpatient </w:t>
      </w:r>
      <w:r w:rsidR="009C7F9C" w:rsidRPr="00817B9F">
        <w:t>PET/CT scan</w:t>
      </w:r>
      <w:r w:rsidRPr="00817B9F">
        <w:t xml:space="preserve"> volume</w:t>
      </w:r>
      <w:r w:rsidR="009C7F9C" w:rsidRPr="00817B9F">
        <w:t xml:space="preserve"> to grow 17 percent</w:t>
      </w:r>
      <w:r w:rsidR="00925A6A" w:rsidRPr="00817B9F">
        <w:t xml:space="preserve"> from 2018 to 2030</w:t>
      </w:r>
      <w:r w:rsidR="009C7F9C" w:rsidRPr="00817B9F">
        <w:t>, which is much lower than MG</w:t>
      </w:r>
      <w:r w:rsidR="00A903D7" w:rsidRPr="00817B9F">
        <w:t>B</w:t>
      </w:r>
      <w:r w:rsidR="009C7F9C" w:rsidRPr="00817B9F">
        <w:t xml:space="preserve">’s projection of </w:t>
      </w:r>
      <w:r w:rsidR="00134ADD" w:rsidRPr="00817B9F">
        <w:t xml:space="preserve">a 112 </w:t>
      </w:r>
      <w:r w:rsidR="00665AD8" w:rsidRPr="00817B9F">
        <w:t xml:space="preserve">percent </w:t>
      </w:r>
      <w:r w:rsidRPr="00817B9F">
        <w:t>increase</w:t>
      </w:r>
      <w:r w:rsidR="00134ADD" w:rsidRPr="00817B9F">
        <w:t>.</w:t>
      </w:r>
      <w:r w:rsidR="00D27450" w:rsidRPr="00817B9F">
        <w:rPr>
          <w:rStyle w:val="FootnoteReference"/>
        </w:rPr>
        <w:footnoteReference w:id="132"/>
      </w:r>
    </w:p>
    <w:p w14:paraId="3AB606EF" w14:textId="2FBBF06B" w:rsidR="00CD2B12" w:rsidRPr="00817B9F" w:rsidRDefault="009E1F2E" w:rsidP="008957BB">
      <w:pPr>
        <w:pStyle w:val="NumberedParagraphs"/>
      </w:pPr>
      <w:r w:rsidRPr="00817B9F">
        <w:lastRenderedPageBreak/>
        <w:t xml:space="preserve">Our projections </w:t>
      </w:r>
      <w:r w:rsidR="00192D99" w:rsidRPr="00817B9F">
        <w:t>for outp</w:t>
      </w:r>
      <w:r w:rsidR="00A903D7" w:rsidRPr="00817B9F">
        <w:t>a</w:t>
      </w:r>
      <w:r w:rsidR="00192D99" w:rsidRPr="00817B9F">
        <w:t>t</w:t>
      </w:r>
      <w:r w:rsidR="00A903D7" w:rsidRPr="00817B9F">
        <w:t>i</w:t>
      </w:r>
      <w:r w:rsidR="00192D99" w:rsidRPr="00817B9F">
        <w:t>e</w:t>
      </w:r>
      <w:r w:rsidR="00A903D7" w:rsidRPr="00817B9F">
        <w:t>n</w:t>
      </w:r>
      <w:r w:rsidR="00192D99" w:rsidRPr="00817B9F">
        <w:t xml:space="preserve">t </w:t>
      </w:r>
      <w:r w:rsidRPr="00817B9F">
        <w:t xml:space="preserve">cardiovascular </w:t>
      </w:r>
      <w:r w:rsidR="00A903D7" w:rsidRPr="00817B9F">
        <w:t>services are higher than MGB’s estimates: We project growth of</w:t>
      </w:r>
      <w:r w:rsidRPr="00817B9F">
        <w:t xml:space="preserve"> 2</w:t>
      </w:r>
      <w:r w:rsidR="00C40591" w:rsidRPr="00817B9F">
        <w:t>1</w:t>
      </w:r>
      <w:r w:rsidRPr="00817B9F">
        <w:t xml:space="preserve"> percent </w:t>
      </w:r>
      <w:r w:rsidR="00A903D7" w:rsidRPr="00817B9F">
        <w:t>from 2018 to 2030</w:t>
      </w:r>
      <w:r w:rsidRPr="00817B9F">
        <w:t>, while MGH project</w:t>
      </w:r>
      <w:r w:rsidR="00A903D7" w:rsidRPr="00817B9F">
        <w:t>s</w:t>
      </w:r>
      <w:r w:rsidRPr="00817B9F">
        <w:t xml:space="preserve"> </w:t>
      </w:r>
      <w:r w:rsidR="00A903D7" w:rsidRPr="00817B9F">
        <w:t xml:space="preserve">growth of </w:t>
      </w:r>
      <w:r w:rsidR="008C29CD" w:rsidRPr="00817B9F">
        <w:t>seven percent</w:t>
      </w:r>
      <w:r w:rsidRPr="00817B9F">
        <w:t>.</w:t>
      </w:r>
      <w:r w:rsidRPr="00817B9F">
        <w:rPr>
          <w:rStyle w:val="FootnoteReference"/>
        </w:rPr>
        <w:footnoteReference w:id="133"/>
      </w:r>
      <w:r w:rsidRPr="00817B9F">
        <w:t xml:space="preserve"> </w:t>
      </w:r>
      <w:r w:rsidR="00C16C91" w:rsidRPr="00817B9F">
        <w:t>In contra</w:t>
      </w:r>
      <w:r w:rsidR="00E454B0" w:rsidRPr="00817B9F">
        <w:t>s</w:t>
      </w:r>
      <w:r w:rsidR="00C16C91" w:rsidRPr="00817B9F">
        <w:t>t, o</w:t>
      </w:r>
      <w:r w:rsidRPr="00817B9F">
        <w:t xml:space="preserve">ur projections </w:t>
      </w:r>
      <w:r w:rsidR="00192D99" w:rsidRPr="00817B9F">
        <w:t>for outp</w:t>
      </w:r>
      <w:r w:rsidR="00A903D7" w:rsidRPr="00817B9F">
        <w:t>a</w:t>
      </w:r>
      <w:r w:rsidR="00192D99" w:rsidRPr="00817B9F">
        <w:t>t</w:t>
      </w:r>
      <w:r w:rsidR="00A903D7" w:rsidRPr="00817B9F">
        <w:t>i</w:t>
      </w:r>
      <w:r w:rsidR="00192D99" w:rsidRPr="00817B9F">
        <w:t>e</w:t>
      </w:r>
      <w:r w:rsidR="00A903D7" w:rsidRPr="00817B9F">
        <w:t>n</w:t>
      </w:r>
      <w:r w:rsidR="00192D99" w:rsidRPr="00817B9F">
        <w:t xml:space="preserve">t oncology visits </w:t>
      </w:r>
      <w:r w:rsidRPr="00817B9F">
        <w:t>are</w:t>
      </w:r>
      <w:r w:rsidR="00730E56" w:rsidRPr="00817B9F">
        <w:t xml:space="preserve"> </w:t>
      </w:r>
      <w:r w:rsidRPr="00817B9F">
        <w:t>lower than MG</w:t>
      </w:r>
      <w:r w:rsidR="00A903D7" w:rsidRPr="00817B9F">
        <w:t>B</w:t>
      </w:r>
      <w:r w:rsidRPr="00817B9F">
        <w:t>’s estimates</w:t>
      </w:r>
      <w:r w:rsidR="00A903D7" w:rsidRPr="00817B9F">
        <w:t xml:space="preserve">: We project growth of </w:t>
      </w:r>
      <w:r w:rsidRPr="00817B9F">
        <w:t>18 percent</w:t>
      </w:r>
      <w:r w:rsidR="00C526B4" w:rsidRPr="00817B9F">
        <w:t xml:space="preserve"> </w:t>
      </w:r>
      <w:r w:rsidRPr="00817B9F">
        <w:t>from 2018 to 2030</w:t>
      </w:r>
      <w:r w:rsidR="00A903D7" w:rsidRPr="00817B9F">
        <w:t xml:space="preserve">, while </w:t>
      </w:r>
      <w:r w:rsidRPr="00817B9F">
        <w:t>MG</w:t>
      </w:r>
      <w:r w:rsidR="00A903D7" w:rsidRPr="00817B9F">
        <w:t>B</w:t>
      </w:r>
      <w:r w:rsidR="000719F0" w:rsidRPr="00817B9F">
        <w:t xml:space="preserve"> </w:t>
      </w:r>
      <w:r w:rsidR="00555135" w:rsidRPr="00817B9F">
        <w:t>projec</w:t>
      </w:r>
      <w:r w:rsidR="00A903D7" w:rsidRPr="00817B9F">
        <w:t>ts</w:t>
      </w:r>
      <w:r w:rsidR="00555135" w:rsidRPr="00817B9F">
        <w:t xml:space="preserve"> </w:t>
      </w:r>
      <w:r w:rsidR="00A903D7" w:rsidRPr="00817B9F">
        <w:t>growth of</w:t>
      </w:r>
      <w:r w:rsidR="00273780" w:rsidRPr="00817B9F">
        <w:t xml:space="preserve"> </w:t>
      </w:r>
      <w:r w:rsidRPr="00817B9F">
        <w:t>38</w:t>
      </w:r>
      <w:r w:rsidR="00555135" w:rsidRPr="00817B9F">
        <w:t xml:space="preserve"> percent</w:t>
      </w:r>
      <w:r w:rsidRPr="00817B9F">
        <w:t>.</w:t>
      </w:r>
      <w:r w:rsidRPr="00817B9F">
        <w:rPr>
          <w:rStyle w:val="FootnoteReference"/>
        </w:rPr>
        <w:footnoteReference w:id="134"/>
      </w:r>
      <w:r w:rsidR="00230CA4" w:rsidRPr="00817B9F">
        <w:t xml:space="preserve"> </w:t>
      </w:r>
    </w:p>
    <w:p w14:paraId="73ACE4B9" w14:textId="7D1485B6" w:rsidR="00070DAA" w:rsidRPr="00817B9F" w:rsidRDefault="00A903D7" w:rsidP="009B5648">
      <w:pPr>
        <w:pStyle w:val="NumberedParagraphs"/>
      </w:pPr>
      <w:r w:rsidRPr="00817B9F">
        <w:t>In summary, w</w:t>
      </w:r>
      <w:r w:rsidR="00A054B9" w:rsidRPr="00817B9F">
        <w:t xml:space="preserve">e predict substantial increases in demand for </w:t>
      </w:r>
      <w:r w:rsidR="00A32FFB" w:rsidRPr="00817B9F">
        <w:t xml:space="preserve">outpatient </w:t>
      </w:r>
      <w:r w:rsidRPr="00817B9F">
        <w:t xml:space="preserve">diagnostic </w:t>
      </w:r>
      <w:r w:rsidR="00CA1BF6" w:rsidRPr="00817B9F">
        <w:t xml:space="preserve">imaging, oncology, and cardiovascular </w:t>
      </w:r>
      <w:r w:rsidR="00A054B9" w:rsidRPr="00817B9F">
        <w:t xml:space="preserve">services at MGH in the next five to </w:t>
      </w:r>
      <w:r w:rsidR="009B5648" w:rsidRPr="00817B9F">
        <w:t>ten</w:t>
      </w:r>
      <w:r w:rsidRPr="00817B9F">
        <w:t xml:space="preserve"> </w:t>
      </w:r>
      <w:r w:rsidR="00A054B9" w:rsidRPr="00817B9F">
        <w:t>years. Th</w:t>
      </w:r>
      <w:r w:rsidR="00673D6B" w:rsidRPr="00817B9F">
        <w:t>ese</w:t>
      </w:r>
      <w:r w:rsidR="00A054B9" w:rsidRPr="00817B9F">
        <w:t xml:space="preserve"> increase</w:t>
      </w:r>
      <w:r w:rsidR="00673D6B" w:rsidRPr="00817B9F">
        <w:t>s</w:t>
      </w:r>
      <w:r w:rsidR="00A054B9" w:rsidRPr="00817B9F">
        <w:t xml:space="preserve"> </w:t>
      </w:r>
      <w:r w:rsidR="00673D6B" w:rsidRPr="00817B9F">
        <w:t>are</w:t>
      </w:r>
      <w:r w:rsidR="00A054B9" w:rsidRPr="00817B9F">
        <w:t xml:space="preserve"> driven by the </w:t>
      </w:r>
      <w:r w:rsidR="00B4457F" w:rsidRPr="00817B9F">
        <w:t xml:space="preserve">projected </w:t>
      </w:r>
      <w:r w:rsidR="00A054B9" w:rsidRPr="00817B9F">
        <w:t xml:space="preserve">population </w:t>
      </w:r>
      <w:r w:rsidR="00B4457F" w:rsidRPr="00817B9F">
        <w:t>growth</w:t>
      </w:r>
      <w:r w:rsidR="00A054B9" w:rsidRPr="00817B9F">
        <w:t xml:space="preserve"> in the service area of the hospital and the aging of that population. </w:t>
      </w:r>
      <w:r w:rsidR="00936CFE" w:rsidRPr="00817B9F">
        <w:t xml:space="preserve">While we predict substantial increases in demand for </w:t>
      </w:r>
      <w:r w:rsidRPr="00817B9F">
        <w:t xml:space="preserve">these </w:t>
      </w:r>
      <w:r w:rsidR="00936CFE" w:rsidRPr="00817B9F">
        <w:t>services, o</w:t>
      </w:r>
      <w:r w:rsidR="00A054B9" w:rsidRPr="00817B9F">
        <w:t xml:space="preserve">ur projections </w:t>
      </w:r>
      <w:r w:rsidR="00936CFE" w:rsidRPr="00817B9F">
        <w:t xml:space="preserve">are </w:t>
      </w:r>
      <w:r w:rsidR="00FD1CB3" w:rsidRPr="00817B9F">
        <w:t>lower than the</w:t>
      </w:r>
      <w:r w:rsidR="00A054B9" w:rsidRPr="00817B9F">
        <w:t xml:space="preserve"> projections that MGB included in its DoN application</w:t>
      </w:r>
      <w:r w:rsidR="00A32FFB" w:rsidRPr="00817B9F">
        <w:t xml:space="preserve"> </w:t>
      </w:r>
      <w:r w:rsidR="00FD1CB3" w:rsidRPr="00817B9F">
        <w:t>(</w:t>
      </w:r>
      <w:r w:rsidRPr="00817B9F">
        <w:t>except for</w:t>
      </w:r>
      <w:r w:rsidR="00FD1CB3" w:rsidRPr="00817B9F">
        <w:t xml:space="preserve"> outpatient cardiovascular procedures</w:t>
      </w:r>
      <w:r w:rsidR="00462A28" w:rsidRPr="00817B9F">
        <w:t>)</w:t>
      </w:r>
      <w:r w:rsidR="00FD1CB3" w:rsidRPr="00817B9F">
        <w:t xml:space="preserve">. </w:t>
      </w:r>
      <w:r w:rsidRPr="00817B9F">
        <w:t xml:space="preserve">However, we </w:t>
      </w:r>
      <w:r w:rsidR="00A054B9" w:rsidRPr="00817B9F">
        <w:t>rely on a different method to arrive at our projections</w:t>
      </w:r>
      <w:r w:rsidRPr="00817B9F">
        <w:t xml:space="preserve"> that does not account for the same factors that MGB considered, including an expansion of MGH’s outpatient capacity. </w:t>
      </w:r>
    </w:p>
    <w:p w14:paraId="3840D74B" w14:textId="77777777" w:rsidR="00D115D8" w:rsidRPr="00817B9F" w:rsidRDefault="00D115D8" w:rsidP="00D115D8">
      <w:pPr>
        <w:pStyle w:val="Heading1"/>
      </w:pPr>
      <w:bookmarkStart w:id="85" w:name="_Ref88993224"/>
      <w:bookmarkStart w:id="86" w:name="_Ref88993266"/>
      <w:bookmarkStart w:id="87" w:name="_Ref88993374"/>
      <w:bookmarkStart w:id="88" w:name="_Ref88994621"/>
      <w:bookmarkStart w:id="89" w:name="_Toc90046521"/>
      <w:r w:rsidRPr="00817B9F">
        <w:t>Models of Patients’ Demand for Health Care Services</w:t>
      </w:r>
      <w:bookmarkEnd w:id="85"/>
      <w:bookmarkEnd w:id="86"/>
      <w:bookmarkEnd w:id="87"/>
      <w:bookmarkEnd w:id="88"/>
      <w:bookmarkEnd w:id="89"/>
    </w:p>
    <w:p w14:paraId="2A903C34" w14:textId="06B175E4" w:rsidR="00D115D8" w:rsidRPr="00817B9F" w:rsidRDefault="00D115D8" w:rsidP="00184D23">
      <w:pPr>
        <w:pStyle w:val="Heading2"/>
        <w:numPr>
          <w:ilvl w:val="0"/>
          <w:numId w:val="27"/>
        </w:numPr>
        <w:rPr>
          <w:rFonts w:cs="Times New Roman"/>
        </w:rPr>
      </w:pPr>
      <w:bookmarkStart w:id="90" w:name="_Ref88993270"/>
      <w:bookmarkStart w:id="91" w:name="_Ref88994570"/>
      <w:bookmarkStart w:id="92" w:name="_Toc90046522"/>
      <w:r w:rsidRPr="00817B9F">
        <w:rPr>
          <w:rFonts w:cs="Times New Roman"/>
        </w:rPr>
        <w:t>Inpatient Services</w:t>
      </w:r>
      <w:bookmarkEnd w:id="90"/>
      <w:bookmarkEnd w:id="91"/>
      <w:bookmarkEnd w:id="92"/>
    </w:p>
    <w:p w14:paraId="7A625634" w14:textId="77777777" w:rsidR="00D115D8" w:rsidRPr="00817B9F" w:rsidRDefault="00D115D8" w:rsidP="00D115D8">
      <w:pPr>
        <w:pStyle w:val="NumberedParagraphs"/>
      </w:pPr>
      <w:r w:rsidRPr="00817B9F">
        <w:t>Addressing the elements of the ICA requires forecasting how the proposed project will affect where patients choose to receive health care services. To forecast how the proposed project will impact patients’ demand for inpatient services, we use the CHIA Hospital Inpatient Discharge Database to estimate a model of Massachusetts patients’ demand for inpatient hospital services. The framework for this model assumes that patients have preferences over hospitals and hospitals’ characteristics, and that patients’ hospital choices that we observe in the Hospital Inpatient Discharge Database reflect these preferences. The framework we use to develop this model was peer-reviewed</w:t>
      </w:r>
      <w:r w:rsidRPr="00817B9F">
        <w:rPr>
          <w:rStyle w:val="FootnoteReference"/>
        </w:rPr>
        <w:footnoteReference w:id="135"/>
      </w:r>
      <w:r w:rsidRPr="00817B9F">
        <w:t xml:space="preserve"> and is flexible enough to estimate projections of consumer demand for inpatient hospital services that allow us to address the elements of the ICA.</w:t>
      </w:r>
    </w:p>
    <w:p w14:paraId="2991F563" w14:textId="455B4BD0" w:rsidR="00D115D8" w:rsidRPr="00817B9F" w:rsidRDefault="00D115D8" w:rsidP="00D115D8">
      <w:pPr>
        <w:pStyle w:val="NumberedParagraphs"/>
      </w:pPr>
      <w:r w:rsidRPr="00817B9F">
        <w:lastRenderedPageBreak/>
        <w:t xml:space="preserve">In estimating our model, we restrict the Hospital Inpatient Discharge Database to those patients whose demand for inpatient hospital care may be affected by the additional inpatient bed capacity requested by MGB in the proposed project. Because the proposed additional inpatient bed capacity would be used for adult patients, we exclude discharges for pediatric patients (including newborns). We also exclude discharges for obstetrics patients and patients receiving care for substance use disorder, behavioral health, or inpatient rehabilitation services. Lastly, we exclude discharges for patients who reside outside of Massachusetts, transfers from intermediate-care facilities, transfers from other hospitals’ emergency departments, transfers from another unit within the same hospital, transfers from law enforcement agencies, transfers from hospice facilities, and transfers from </w:t>
      </w:r>
      <w:r w:rsidR="00A90315" w:rsidRPr="00817B9F">
        <w:t>ASCs</w:t>
      </w:r>
      <w:r w:rsidRPr="00817B9F">
        <w:t xml:space="preserve"> operated by another health care provider. </w:t>
      </w:r>
    </w:p>
    <w:p w14:paraId="5F7FB167" w14:textId="77777777" w:rsidR="00D115D8" w:rsidRPr="00817B9F" w:rsidRDefault="00D115D8" w:rsidP="00D115D8">
      <w:pPr>
        <w:pStyle w:val="NumberedParagraphs"/>
      </w:pPr>
      <w:r w:rsidRPr="00817B9F">
        <w:t>Using these data, we assume that patients’ preferences over hospitals vary based on, among other things, where the patients live (</w:t>
      </w:r>
      <w:r w:rsidRPr="00817B9F">
        <w:rPr>
          <w:i/>
          <w:iCs/>
        </w:rPr>
        <w:t>e.g.</w:t>
      </w:r>
      <w:r w:rsidRPr="00817B9F">
        <w:t>, the ZIP Code of their residence), the health condition for which they seek inpatient care (</w:t>
      </w:r>
      <w:r w:rsidRPr="00817B9F">
        <w:rPr>
          <w:i/>
          <w:iCs/>
        </w:rPr>
        <w:t>e.g.</w:t>
      </w:r>
      <w:r w:rsidRPr="00817B9F">
        <w:t>, the patients’ DRG), their health insurance coverage (</w:t>
      </w:r>
      <w:r w:rsidRPr="00817B9F">
        <w:rPr>
          <w:i/>
          <w:iCs/>
        </w:rPr>
        <w:t>e.g.</w:t>
      </w:r>
      <w:r w:rsidRPr="00817B9F">
        <w:t>, Original Medicare), and demographics (</w:t>
      </w:r>
      <w:r w:rsidRPr="00817B9F">
        <w:rPr>
          <w:i/>
          <w:iCs/>
        </w:rPr>
        <w:t>e.g.</w:t>
      </w:r>
      <w:r w:rsidRPr="00817B9F">
        <w:t>, age and gender).</w:t>
      </w:r>
      <w:r w:rsidRPr="00817B9F">
        <w:rPr>
          <w:rStyle w:val="FootnoteReference"/>
        </w:rPr>
        <w:footnoteReference w:id="136"/>
      </w:r>
      <w:r w:rsidRPr="00817B9F">
        <w:t xml:space="preserve"> In our model, patients’ preferences over hospitals implicitly depend on the characteristics of hospitals from which the patients are choosing (</w:t>
      </w:r>
      <w:r w:rsidRPr="00817B9F">
        <w:rPr>
          <w:i/>
          <w:iCs/>
        </w:rPr>
        <w:t>e.g.</w:t>
      </w:r>
      <w:r w:rsidRPr="00817B9F">
        <w:t>, the hospitals’ reputation for clinical quality, the locations of the hospitals, or the amenities offered by the hospitals).</w:t>
      </w:r>
      <w:r w:rsidRPr="00817B9F">
        <w:rPr>
          <w:rStyle w:val="FootnoteReference"/>
        </w:rPr>
        <w:footnoteReference w:id="137"/>
      </w:r>
    </w:p>
    <w:p w14:paraId="40C59F79" w14:textId="0BAD7DBB" w:rsidR="00D115D8" w:rsidRPr="00817B9F" w:rsidRDefault="00D115D8" w:rsidP="00D115D8">
      <w:pPr>
        <w:pStyle w:val="NumberedParagraphs"/>
      </w:pPr>
      <w:r w:rsidRPr="00817B9F">
        <w:t>Our estimation proceeds in two steps. In the first step, we identify groups of patients who are similar in terms of the aforementioned characteristics and who are, therefore, likely to have similar preferences across hospitals.</w:t>
      </w:r>
      <w:r w:rsidRPr="00817B9F">
        <w:rPr>
          <w:rStyle w:val="FootnoteReference"/>
        </w:rPr>
        <w:footnoteReference w:id="138"/>
      </w:r>
      <w:r w:rsidRPr="00817B9F">
        <w:t xml:space="preserve"> In the second step, we estimate hospital preferences within </w:t>
      </w:r>
      <w:r w:rsidRPr="00817B9F">
        <w:lastRenderedPageBreak/>
        <w:t xml:space="preserve">each group. We assume that patients grouped together have the same preferences across hospitals and estimate these preferences based on the observed hospital choices made by patients assigned to the group. In particular, we assume that the likelihood a patient in the group chooses a hospital is equal to the share of patients within the group who actually chose that hospital, and that substitution pattern across hospitals for patients in the group are proportional to these group-level shares. We estimate this model of patient demand for inpatient hospital services using approximately 525 thousand discharges from Massachusetts hospitals. </w:t>
      </w:r>
    </w:p>
    <w:p w14:paraId="7883C3BD" w14:textId="70C6F412" w:rsidR="00D115D8" w:rsidRPr="00817B9F" w:rsidRDefault="00D115D8" w:rsidP="00D115D8">
      <w:pPr>
        <w:pStyle w:val="NumberedParagraphs"/>
      </w:pPr>
      <w:r w:rsidRPr="00817B9F">
        <w:t>We use the results of this model to calculate “diversion ratios” between MGB hospitals and hospitals affiliated with other health systems.</w:t>
      </w:r>
      <w:r w:rsidRPr="00817B9F">
        <w:rPr>
          <w:rStyle w:val="FootnoteReference"/>
        </w:rPr>
        <w:footnoteReference w:id="139"/>
      </w:r>
      <w:r w:rsidRPr="00817B9F">
        <w:t xml:space="preserve"> In the context of our model, diversion ratios answer the question: If a patient wanted to receive inpatient hospital care at </w:t>
      </w:r>
      <w:r w:rsidR="00A437D2" w:rsidRPr="00817B9F">
        <w:t>MGH</w:t>
      </w:r>
      <w:r w:rsidRPr="00817B9F">
        <w:t xml:space="preserve"> but could not because of capacity constraints at the hospital, what competing hospitals might that patient choose, and how likely is that patient to choose each one of those competing hospitals? Suppose, for example, that the estimated diversion ratio from </w:t>
      </w:r>
      <w:r w:rsidR="00A437D2" w:rsidRPr="00817B9F">
        <w:t>MGH</w:t>
      </w:r>
      <w:r w:rsidRPr="00817B9F">
        <w:t xml:space="preserve"> to Beth Israel Deaconess Medical Center was 50 percent, the diversion ratio to Boston Medical Center was 30 percent, and the diversion ratio to Tufts Medical Center was 20 percent. If a patient could not receive care at </w:t>
      </w:r>
      <w:r w:rsidR="00A437D2" w:rsidRPr="00817B9F">
        <w:t>MGH</w:t>
      </w:r>
      <w:r w:rsidRPr="00817B9F">
        <w:t xml:space="preserve">, the model then predicts that there is a 50 percent chance the patient chooses Beth Israel Deaconess Medical Center instead, a 30 percent chance the patient chooses Boston Medical Center instead, and a 20 percent chance that the patient chooses Tufts Medical Center instead. Equivalently, each discharge lost by </w:t>
      </w:r>
      <w:r w:rsidR="00A437D2" w:rsidRPr="00817B9F">
        <w:t>MGH</w:t>
      </w:r>
      <w:r w:rsidRPr="00817B9F">
        <w:t xml:space="preserve"> would increase the expected number of discharges at Beth Israel Deaconess Medical Center, Boston Medical Center, and Tufts Medical Center by 0.5, 0.3, and 0.2 discharges, respectively. </w:t>
      </w:r>
    </w:p>
    <w:p w14:paraId="71F9213E" w14:textId="43F9F887" w:rsidR="00D115D8" w:rsidRPr="00817B9F" w:rsidRDefault="00D115D8" w:rsidP="00D115D8">
      <w:pPr>
        <w:pStyle w:val="NumberedParagraphs"/>
      </w:pPr>
      <w:r w:rsidRPr="00817B9F">
        <w:t xml:space="preserve">Conversely, the diversion ratios can be used to predict which competing hospitals </w:t>
      </w:r>
      <w:r w:rsidR="00A437D2" w:rsidRPr="00817B9F">
        <w:t>MGH</w:t>
      </w:r>
      <w:r w:rsidRPr="00817B9F">
        <w:t xml:space="preserve"> would attract patients from if the proposed project to expand the number of inpatient beds at the hospital were approved. Using the </w:t>
      </w:r>
      <w:r w:rsidR="00A437D2" w:rsidRPr="00817B9F">
        <w:t>previous</w:t>
      </w:r>
      <w:r w:rsidRPr="00817B9F">
        <w:t xml:space="preserve"> example, if the proposed project increased the number </w:t>
      </w:r>
      <w:r w:rsidRPr="00817B9F">
        <w:lastRenderedPageBreak/>
        <w:t xml:space="preserve">of inpatient admissions at </w:t>
      </w:r>
      <w:r w:rsidR="00A437D2" w:rsidRPr="00817B9F">
        <w:t xml:space="preserve">MGH </w:t>
      </w:r>
      <w:r w:rsidRPr="00817B9F">
        <w:t xml:space="preserve">by one, the diversion ratios tell us that the number of expected discharges at Beth Israel Deaconess Medical Center, Boston Medical Center, and Tufts Medical Center would decrease by 0.5, 0.3, and 0.2, respectively. </w:t>
      </w:r>
    </w:p>
    <w:p w14:paraId="7D7D43D3" w14:textId="1ACF4CAB" w:rsidR="00D115D8" w:rsidRPr="00817B9F" w:rsidRDefault="00D115D8" w:rsidP="00D115D8">
      <w:pPr>
        <w:pStyle w:val="NumberedParagraphs"/>
      </w:pPr>
      <w:r w:rsidRPr="00817B9F">
        <w:t xml:space="preserve">The estimated model can also be used to calculate diversion ratios for specific groups of patients, for example, cancer patients or patients from ZIP Code 02116. In the previous example, overall diversion from </w:t>
      </w:r>
      <w:r w:rsidR="00A437D2" w:rsidRPr="00817B9F">
        <w:t>MGH</w:t>
      </w:r>
      <w:r w:rsidRPr="00817B9F">
        <w:t xml:space="preserve"> to Boston Medical Center is 30 percent. This overall measure is a summation of patient-specific diversions that will vary across patients. Perhaps, for example, diversion from </w:t>
      </w:r>
      <w:r w:rsidR="00A437D2" w:rsidRPr="00817B9F">
        <w:t>MGH</w:t>
      </w:r>
      <w:r w:rsidRPr="00817B9F">
        <w:t xml:space="preserve"> to Boston Medical Center is 35 percent for patients </w:t>
      </w:r>
      <w:r w:rsidR="00A437D2" w:rsidRPr="00817B9F">
        <w:t xml:space="preserve">receiving cancer care </w:t>
      </w:r>
      <w:r w:rsidRPr="00817B9F">
        <w:t>and less than 30 percent for all other patients.</w:t>
      </w:r>
    </w:p>
    <w:p w14:paraId="1AA18D8C" w14:textId="6324B1BC" w:rsidR="00D115D8" w:rsidRPr="00817B9F" w:rsidRDefault="00D115D8" w:rsidP="00A437D2">
      <w:pPr>
        <w:pStyle w:val="NumberedParagraphs"/>
      </w:pPr>
      <w:r w:rsidRPr="00817B9F">
        <w:t>Our forecasts of the effect of the proposed project on demand for inpatient hospitals are based, in part, on the estimated diversion ratios from the inpatient choice model. MGB anticipates the proposed expansion at MGH would increase the number of inpatient patient</w:t>
      </w:r>
      <w:r w:rsidR="00622A33" w:rsidRPr="00817B9F">
        <w:t xml:space="preserve"> </w:t>
      </w:r>
      <w:r w:rsidRPr="00817B9F">
        <w:t>days at the hospital from 270,488 in fiscal year 2019 to 287,991 in fiscal year 2029, which is comprised of an increase in the number of cancer and heart and vascular patient</w:t>
      </w:r>
      <w:r w:rsidR="00622A33" w:rsidRPr="00817B9F">
        <w:t xml:space="preserve"> </w:t>
      </w:r>
      <w:r w:rsidRPr="00817B9F">
        <w:t>days from 66,901 and 48,971 to 79,550 and 58,519, respectively, and a decrease in patient</w:t>
      </w:r>
      <w:r w:rsidR="00622A33" w:rsidRPr="00817B9F">
        <w:t xml:space="preserve"> </w:t>
      </w:r>
      <w:r w:rsidRPr="00817B9F">
        <w:t>days for other inpatient services from 154,616 to 149,922.</w:t>
      </w:r>
      <w:r w:rsidRPr="00817B9F">
        <w:rPr>
          <w:rStyle w:val="FootnoteReference"/>
        </w:rPr>
        <w:footnoteReference w:id="140"/>
      </w:r>
      <w:r w:rsidRPr="00817B9F">
        <w:t xml:space="preserve"> To address ICA questions related to shifts in hospital utilization if the proposed project were approved, we use the inpatient demand model to predict which cancer and heart and vascular</w:t>
      </w:r>
      <w:r w:rsidRPr="00817B9F">
        <w:rPr>
          <w:rStyle w:val="CommentReference"/>
          <w:rFonts w:eastAsiaTheme="minorEastAsia"/>
          <w:sz w:val="24"/>
          <w:szCs w:val="24"/>
        </w:rPr>
        <w:t xml:space="preserve"> p</w:t>
      </w:r>
      <w:r w:rsidRPr="00817B9F">
        <w:t xml:space="preserve">atients would switch to MGH following the proposed project. We adjust the parameters in the demand model so that the predicted increase in inpatient volume at MGH for cancer, heart and </w:t>
      </w:r>
      <w:r w:rsidRPr="00817B9F">
        <w:lastRenderedPageBreak/>
        <w:t>vascular, and all other inpatient services exactly matches MGB’s inpatient volume projections in the MGH DoN.</w:t>
      </w:r>
      <w:r w:rsidRPr="00817B9F">
        <w:rPr>
          <w:rStyle w:val="FootnoteReference"/>
        </w:rPr>
        <w:t xml:space="preserve"> </w:t>
      </w:r>
      <w:r w:rsidRPr="00817B9F">
        <w:rPr>
          <w:rStyle w:val="FootnoteReference"/>
        </w:rPr>
        <w:footnoteReference w:id="141"/>
      </w:r>
      <w:r w:rsidRPr="00817B9F">
        <w:rPr>
          <w:vertAlign w:val="superscript"/>
        </w:rPr>
        <w:t>,</w:t>
      </w:r>
      <w:r w:rsidRPr="00817B9F">
        <w:rPr>
          <w:rStyle w:val="FootnoteReference"/>
        </w:rPr>
        <w:footnoteReference w:id="142"/>
      </w:r>
      <w:r w:rsidRPr="00817B9F">
        <w:rPr>
          <w:vertAlign w:val="superscript"/>
        </w:rPr>
        <w:t>,</w:t>
      </w:r>
      <w:r w:rsidRPr="00817B9F">
        <w:rPr>
          <w:rStyle w:val="FootnoteReference"/>
        </w:rPr>
        <w:footnoteReference w:id="143"/>
      </w:r>
      <w:r w:rsidRPr="00817B9F">
        <w:t xml:space="preserve"> </w:t>
      </w:r>
    </w:p>
    <w:p w14:paraId="589EAE74" w14:textId="05B3A56B" w:rsidR="00D115D8" w:rsidRPr="00817B9F" w:rsidRDefault="00D115D8" w:rsidP="00A437D2">
      <w:pPr>
        <w:pStyle w:val="Heading2"/>
        <w:rPr>
          <w:rFonts w:cs="Times New Roman"/>
        </w:rPr>
      </w:pPr>
      <w:bookmarkStart w:id="93" w:name="_Ref88993228"/>
      <w:bookmarkStart w:id="94" w:name="_Ref88993376"/>
      <w:bookmarkStart w:id="95" w:name="_Ref88994623"/>
      <w:bookmarkStart w:id="96" w:name="_Toc90046523"/>
      <w:r w:rsidRPr="00817B9F">
        <w:rPr>
          <w:rFonts w:cs="Times New Roman"/>
        </w:rPr>
        <w:t>Outpatient Services</w:t>
      </w:r>
      <w:bookmarkStart w:id="97" w:name="_Ref88483316"/>
      <w:bookmarkEnd w:id="93"/>
      <w:bookmarkEnd w:id="94"/>
      <w:bookmarkEnd w:id="95"/>
      <w:bookmarkEnd w:id="96"/>
    </w:p>
    <w:p w14:paraId="5A9784A3" w14:textId="57DDA1BB" w:rsidR="00D115D8" w:rsidRPr="00817B9F" w:rsidRDefault="00D115D8" w:rsidP="00D115D8">
      <w:pPr>
        <w:pStyle w:val="NumberedParagraphs"/>
      </w:pPr>
      <w:r w:rsidRPr="00817B9F">
        <w:t xml:space="preserve">In addition to our model of patients’ demand for inpatient hospital services, we estimate a model of demand for outpatient health care services using the APCD and Medicare Claims data. We use a framework for this purpose that is similar to the framework that we use to model demand for inpatient hospital services. </w:t>
      </w:r>
    </w:p>
    <w:p w14:paraId="57498FFE" w14:textId="1636448D" w:rsidR="00D115D8" w:rsidRPr="00817B9F" w:rsidRDefault="00D115D8" w:rsidP="00A437D2">
      <w:pPr>
        <w:pStyle w:val="NumberedParagraphs"/>
      </w:pPr>
      <w:r w:rsidRPr="00817B9F">
        <w:t>Because the DoN application for MGH proposes expanding the hospital’s diagnostic imaging equipment (with the proposed addition of two CT units, two MRI units, two PET/CT units, and one PET/MR unit),</w:t>
      </w:r>
      <w:r w:rsidRPr="00817B9F">
        <w:rPr>
          <w:rStyle w:val="FootnoteReference"/>
        </w:rPr>
        <w:footnoteReference w:id="144"/>
      </w:r>
      <w:r w:rsidRPr="00817B9F">
        <w:t xml:space="preserve"> cardiac operating and procedure rooms (with a proposed net </w:t>
      </w:r>
      <w:r w:rsidRPr="00817B9F">
        <w:lastRenderedPageBreak/>
        <w:t>increase of 18 cardiac operating rooms and three cardiology procedure rooms), and oncology infusion bays (with a proposed net increase of 21 infusion bays),</w:t>
      </w:r>
      <w:r w:rsidRPr="00817B9F">
        <w:rPr>
          <w:rStyle w:val="FootnoteReference"/>
        </w:rPr>
        <w:footnoteReference w:id="145"/>
      </w:r>
      <w:r w:rsidRPr="00817B9F">
        <w:t xml:space="preserve"> we estimate separate models of patient demand for outpatient diagnostic imaging, outpatient cardiovascular procedures, and outpatient oncology visits. For each of these services, we restrict the APCD and Medicare Claims data to those patients whose demand for outpatient health care services may be affected by the proposed project.</w:t>
      </w:r>
      <w:r w:rsidRPr="00817B9F">
        <w:rPr>
          <w:rStyle w:val="FootnoteReference"/>
        </w:rPr>
        <w:footnoteReference w:id="146"/>
      </w:r>
      <w:r w:rsidRPr="00817B9F">
        <w:t xml:space="preserve"> We describe our model of patient demand for outpatient diagnostic imaging services first, followed by the models for outpatient cardiovascular services and outpatient oncology visits. Our models of patient demand for outpatient services (</w:t>
      </w:r>
      <w:r w:rsidRPr="00817B9F">
        <w:rPr>
          <w:i/>
          <w:iCs/>
        </w:rPr>
        <w:t>i.e.</w:t>
      </w:r>
      <w:r w:rsidRPr="00817B9F">
        <w:t xml:space="preserve">, diagnostic imaging, cardiovascular, and oncology) all share several features, so descriptions of the latter models often reference the first. </w:t>
      </w:r>
    </w:p>
    <w:p w14:paraId="3C25EB80" w14:textId="55873CB5" w:rsidR="00D115D8" w:rsidRPr="00817B9F" w:rsidRDefault="00D115D8" w:rsidP="00D115D8">
      <w:pPr>
        <w:pStyle w:val="NumberedParagraphs"/>
      </w:pPr>
      <w:r w:rsidRPr="00817B9F">
        <w:t>As we noted in our discussion of the APCD, not all commercial health plans in Massachusetts are required to submit their claims data for inclusion in the database.</w:t>
      </w:r>
      <w:r w:rsidRPr="00817B9F">
        <w:rPr>
          <w:rStyle w:val="FootnoteReference"/>
        </w:rPr>
        <w:footnoteReference w:id="147"/>
      </w:r>
      <w:r w:rsidRPr="00817B9F">
        <w:t xml:space="preserve"> Because of this, the volume of any outpatient procedure calculated using these data will be incomplete and will not match the volume of outpatient procedures that MGB—or any other health care provider in Massachusetts—would calculate using its own internal records of outpatient procedure (or visit) volume, including any volume calculations referenced by MGB in its DoN application. </w:t>
      </w:r>
    </w:p>
    <w:p w14:paraId="15C85A61" w14:textId="130B6D45" w:rsidR="00D115D8" w:rsidRPr="00817B9F" w:rsidRDefault="00D115D8" w:rsidP="00A437D2">
      <w:pPr>
        <w:pStyle w:val="Heading3"/>
        <w:numPr>
          <w:ilvl w:val="0"/>
          <w:numId w:val="35"/>
        </w:numPr>
      </w:pPr>
      <w:bookmarkStart w:id="98" w:name="_Ref88993380"/>
      <w:bookmarkStart w:id="99" w:name="_Toc90046524"/>
      <w:r w:rsidRPr="00817B9F">
        <w:t>Diagnostic Imaging Services</w:t>
      </w:r>
      <w:bookmarkEnd w:id="98"/>
      <w:bookmarkEnd w:id="99"/>
    </w:p>
    <w:p w14:paraId="423FFCA7" w14:textId="1A8EF768" w:rsidR="00D115D8" w:rsidRPr="00817B9F" w:rsidRDefault="00D115D8" w:rsidP="00D115D8">
      <w:pPr>
        <w:pStyle w:val="NumberedParagraphs"/>
      </w:pPr>
      <w:r w:rsidRPr="00817B9F">
        <w:t xml:space="preserve">In estimating our model of demand for outpatient diagnostic imaging services, we restrict the APCD and Medicare Claims data to those patients who received outpatient CT, MRI, or PET/CT diagnostic imaging services. We exclude claims associated with patients who reside </w:t>
      </w:r>
      <w:r w:rsidRPr="00817B9F">
        <w:lastRenderedPageBreak/>
        <w:t>outside of Massachusetts, and we limit to claims with service locations in Suffolk, Essex, Middlesex, Norfolk, Bristol, Plymouth, and Worcester Counties in Massachusetts.</w:t>
      </w:r>
      <w:r w:rsidRPr="00817B9F">
        <w:rPr>
          <w:rStyle w:val="FootnoteReference"/>
        </w:rPr>
        <w:footnoteReference w:id="148"/>
      </w:r>
    </w:p>
    <w:p w14:paraId="2BCC5C19" w14:textId="77777777" w:rsidR="00D115D8" w:rsidRPr="00817B9F" w:rsidRDefault="00D115D8" w:rsidP="00D115D8">
      <w:pPr>
        <w:pStyle w:val="NumberedParagraphs"/>
      </w:pPr>
      <w:r w:rsidRPr="00817B9F">
        <w:t>Using these data, we assume that patients’ preferences over outpatient diagnostic imaging services vary based on, among other things, where the patients live (</w:t>
      </w:r>
      <w:r w:rsidRPr="00817B9F">
        <w:rPr>
          <w:i/>
        </w:rPr>
        <w:t>e.g.</w:t>
      </w:r>
      <w:r w:rsidRPr="00817B9F">
        <w:t>, the ZIP Code of their residence), the type of outpatient imaging procedure they require (</w:t>
      </w:r>
      <w:r w:rsidRPr="00817B9F">
        <w:rPr>
          <w:i/>
        </w:rPr>
        <w:t>e.g.</w:t>
      </w:r>
      <w:r w:rsidRPr="00817B9F">
        <w:t>, the CPT or HCPCS code associated with the procedure), their health insurance coverage (</w:t>
      </w:r>
      <w:r w:rsidRPr="00817B9F">
        <w:rPr>
          <w:i/>
        </w:rPr>
        <w:t>e.g.</w:t>
      </w:r>
      <w:r w:rsidRPr="00817B9F">
        <w:t>, Original Medicare), and their demographics (</w:t>
      </w:r>
      <w:r w:rsidRPr="00817B9F">
        <w:rPr>
          <w:i/>
          <w:iCs/>
        </w:rPr>
        <w:t>e.g.,</w:t>
      </w:r>
      <w:r w:rsidRPr="00817B9F">
        <w:t xml:space="preserve"> age and gender).</w:t>
      </w:r>
      <w:r w:rsidRPr="00817B9F">
        <w:rPr>
          <w:rStyle w:val="FootnoteReference"/>
        </w:rPr>
        <w:footnoteReference w:id="149"/>
      </w:r>
      <w:r w:rsidRPr="00817B9F">
        <w:t xml:space="preserve"> In our model, patients’ preferences over outpatient diagnostic imaging facilities also implicitly depend on the characteristics of the facilities from which the patients are choosing (</w:t>
      </w:r>
      <w:r w:rsidRPr="00817B9F">
        <w:rPr>
          <w:i/>
          <w:iCs/>
        </w:rPr>
        <w:t>e.g.</w:t>
      </w:r>
      <w:r w:rsidRPr="00817B9F">
        <w:t>, the outpatient facilities’ reputation for quality, the locations of the facilities, or the amenities offered by the facilities).</w:t>
      </w:r>
      <w:r w:rsidRPr="00817B9F">
        <w:rPr>
          <w:rStyle w:val="FootnoteReference"/>
        </w:rPr>
        <w:footnoteReference w:id="150"/>
      </w:r>
      <w:r w:rsidRPr="00817B9F">
        <w:t xml:space="preserve"> Based on these preferences, patients choose at which facility they receive their diagnostic imaging scans.</w:t>
      </w:r>
      <w:r w:rsidRPr="00817B9F">
        <w:rPr>
          <w:rStyle w:val="FootnoteReference"/>
        </w:rPr>
        <w:footnoteReference w:id="151"/>
      </w:r>
      <w:r w:rsidRPr="00817B9F">
        <w:rPr>
          <w:vertAlign w:val="superscript"/>
        </w:rPr>
        <w:t>,</w:t>
      </w:r>
      <w:r w:rsidRPr="00817B9F">
        <w:rPr>
          <w:rStyle w:val="FootnoteReference"/>
        </w:rPr>
        <w:footnoteReference w:id="152"/>
      </w:r>
      <w:r w:rsidRPr="00817B9F">
        <w:t xml:space="preserve"> </w:t>
      </w:r>
    </w:p>
    <w:p w14:paraId="1ACE4DBC" w14:textId="4E633A60" w:rsidR="00D115D8" w:rsidRPr="00817B9F" w:rsidRDefault="00D115D8" w:rsidP="00A437D2">
      <w:pPr>
        <w:pStyle w:val="NumberedParagraphs"/>
      </w:pPr>
      <w:r w:rsidRPr="00817B9F">
        <w:lastRenderedPageBreak/>
        <w:t>Our estimation proceeds in two steps. In the first step, we identify groups of patients who are similar in terms of the aforementioned characteristics and who are, therefore, likely to have similar preferences across outpatient diagnostic imaging facilities.</w:t>
      </w:r>
      <w:r w:rsidRPr="00817B9F">
        <w:rPr>
          <w:rStyle w:val="FootnoteReference"/>
        </w:rPr>
        <w:footnoteReference w:id="153"/>
      </w:r>
      <w:r w:rsidRPr="00817B9F">
        <w:t xml:space="preserve"> In the second step, we estimate patients’ preferences for imaging facilities within each group. We assume that patients grouped together have the same preferences across imaging facilities and estimate these preferences based on the observed choices made by patients assigned to the group. In particular, we assume that the likelihood a patient in the group receives an imaging service at a particular facility is equal to the share of patients within the group who actually chose that facility, and that substitution patterns across facilities for patients in the group are proportional to these group-level shares. </w:t>
      </w:r>
      <w:r w:rsidR="009578C5" w:rsidRPr="00817B9F">
        <w:t>We estimate this model of demand for outpatient diagnostic imaging using approximately 1.2 million CT, MR, and PET</w:t>
      </w:r>
      <w:r w:rsidR="00AA685E" w:rsidRPr="00817B9F">
        <w:t>/</w:t>
      </w:r>
      <w:r w:rsidR="009578C5" w:rsidRPr="00817B9F">
        <w:t>CT scans performed at Massachusetts outpatient facilities</w:t>
      </w:r>
      <w:r w:rsidR="000318FA" w:rsidRPr="00817B9F">
        <w:t>.</w:t>
      </w:r>
    </w:p>
    <w:p w14:paraId="7788F504" w14:textId="126336F0" w:rsidR="00D115D8" w:rsidRPr="00817B9F" w:rsidRDefault="00D115D8" w:rsidP="00D115D8">
      <w:pPr>
        <w:pStyle w:val="NumberedParagraphs"/>
      </w:pPr>
      <w:r w:rsidRPr="00817B9F">
        <w:t xml:space="preserve">We use our model of demand for outpatient imaging services to calculate diversion ratios between competing providers of diagnostic imaging services in a manner analogous to the way in which we previously described calculating diversion ratios for inpatient hospital services. These diversion ratios can then be used to predict which competing diagnostic imaging providers </w:t>
      </w:r>
      <w:r w:rsidR="00A437D2" w:rsidRPr="00817B9F">
        <w:t>MGH</w:t>
      </w:r>
      <w:r w:rsidRPr="00817B9F">
        <w:t xml:space="preserve"> would attract patients from if the proposed project to expand the number of imaging units at the hospital were approved.</w:t>
      </w:r>
      <w:r w:rsidRPr="00817B9F">
        <w:rPr>
          <w:rStyle w:val="FootnoteReference"/>
        </w:rPr>
        <w:footnoteReference w:id="154"/>
      </w:r>
      <w:r w:rsidRPr="00817B9F">
        <w:t xml:space="preserve"> </w:t>
      </w:r>
    </w:p>
    <w:p w14:paraId="5C2CA4D8" w14:textId="1F70002B" w:rsidR="00D115D8" w:rsidRPr="00817B9F" w:rsidRDefault="00D115D8" w:rsidP="00D115D8">
      <w:pPr>
        <w:pStyle w:val="NumberedParagraphs"/>
      </w:pPr>
      <w:r w:rsidRPr="00817B9F">
        <w:t xml:space="preserve">Our forecasts of the effect of the proposed project on demand for diagnostic imaging services are derived as follows. In its DoN application, MGB proposes increasing the number of CT units at MGH from 14 to 16 (a 14 percent increase), the number of MRI units from </w:t>
      </w:r>
      <w:r w:rsidR="00946A0A" w:rsidRPr="00817B9F">
        <w:t>ten</w:t>
      </w:r>
      <w:r w:rsidRPr="00817B9F">
        <w:t xml:space="preserve"> to 12 (a 20 percent increase), and the number of PET/CT units from three to five (a 67 percent </w:t>
      </w:r>
      <w:r w:rsidRPr="00817B9F">
        <w:lastRenderedPageBreak/>
        <w:t>increase).</w:t>
      </w:r>
      <w:r w:rsidRPr="00817B9F">
        <w:rPr>
          <w:rStyle w:val="FootnoteReference"/>
        </w:rPr>
        <w:footnoteReference w:id="155"/>
      </w:r>
      <w:r w:rsidRPr="00817B9F">
        <w:t xml:space="preserve"> To address the ICA questions related to shifts in the utilization of diagnostic imaging facilities if the proposed project were approved, we use the outpatient demand model to predict which patients would switch to MGH for their CT, MR, and PET/CT scans after the expansion. We calibrate the demand model so that the predicted increase (in percentage terms) in CT, MR, and PET/CT scan volume at MGH exactly matches the percentage increase in CT, MR, and PET/CT scans MGB proposes to add in the DoN application for MGH.</w:t>
      </w:r>
    </w:p>
    <w:p w14:paraId="375EE52F" w14:textId="648C6DEE" w:rsidR="00D115D8" w:rsidRPr="00817B9F" w:rsidRDefault="00D115D8" w:rsidP="00D115D8">
      <w:pPr>
        <w:pStyle w:val="Heading3"/>
      </w:pPr>
      <w:bookmarkStart w:id="100" w:name="_Toc90046525"/>
      <w:r w:rsidRPr="00817B9F">
        <w:t>Cardiovascular Services</w:t>
      </w:r>
      <w:bookmarkEnd w:id="100"/>
    </w:p>
    <w:p w14:paraId="4E8B1191" w14:textId="489A1FA8" w:rsidR="00D115D8" w:rsidRPr="00817B9F" w:rsidRDefault="00D115D8" w:rsidP="00D115D8">
      <w:pPr>
        <w:pStyle w:val="NumberedParagraphs"/>
      </w:pPr>
      <w:r w:rsidRPr="00817B9F">
        <w:t xml:space="preserve">To estimate patients’ demand for outpatient cardiovascular services, we use a method that is similar to the one used to estimate demand for diagnostic imaging services. In estimating this model, we restrict the APCD and Medicare Claims data to those patients who might potentially use the additional cardiovascular services that will be available at MGH if the proposed project to expand the hospital’s cardiovascular operating and procedure rooms is approved. We restrict the APCD and Medicare Claims data to patients who received outpatient care for the cardiovascular services we previously described in Section </w:t>
      </w:r>
      <w:r w:rsidRPr="00817B9F">
        <w:fldChar w:fldCharType="begin"/>
      </w:r>
      <w:r w:rsidRPr="00817B9F">
        <w:instrText xml:space="preserve"> REF _Ref88655817 \r \h </w:instrText>
      </w:r>
      <w:r w:rsidR="00FD09F0" w:rsidRPr="00817B9F">
        <w:instrText xml:space="preserve"> \* MERGEFORMAT </w:instrText>
      </w:r>
      <w:r w:rsidRPr="00817B9F">
        <w:fldChar w:fldCharType="separate"/>
      </w:r>
      <w:r w:rsidR="002B78C3">
        <w:t>III</w:t>
      </w:r>
      <w:r w:rsidRPr="00817B9F">
        <w:fldChar w:fldCharType="end"/>
      </w:r>
      <w:r w:rsidRPr="00817B9F">
        <w:t>.</w:t>
      </w:r>
      <w:r w:rsidRPr="00817B9F">
        <w:fldChar w:fldCharType="begin"/>
      </w:r>
      <w:r w:rsidRPr="00817B9F">
        <w:instrText xml:space="preserve"> REF _Ref88219827 \w \h  \* MERGEFORMAT </w:instrText>
      </w:r>
      <w:r w:rsidRPr="00817B9F">
        <w:fldChar w:fldCharType="separate"/>
      </w:r>
      <w:r w:rsidR="002B78C3">
        <w:t>B</w:t>
      </w:r>
      <w:r w:rsidRPr="00817B9F">
        <w:fldChar w:fldCharType="end"/>
      </w:r>
      <w:r w:rsidRPr="00817B9F">
        <w:t>.</w:t>
      </w:r>
      <w:r w:rsidRPr="00817B9F">
        <w:fldChar w:fldCharType="begin"/>
      </w:r>
      <w:r w:rsidRPr="00817B9F">
        <w:instrText xml:space="preserve"> REF _Ref88219835 \w \h  \* MERGEFORMAT </w:instrText>
      </w:r>
      <w:r w:rsidRPr="00817B9F">
        <w:fldChar w:fldCharType="separate"/>
      </w:r>
      <w:r w:rsidR="002B78C3">
        <w:t>2</w:t>
      </w:r>
      <w:r w:rsidRPr="00817B9F">
        <w:fldChar w:fldCharType="end"/>
      </w:r>
      <w:r w:rsidRPr="00817B9F">
        <w:t>. We exclude claims associated with patients who reside outside of Massachusetts, and we limit to claims with service locations in Suffolk, Essex, Middlesex, Norfolk, Bristol, Plymouth, and Worcester Counties in Massachusetts.</w:t>
      </w:r>
      <w:r w:rsidRPr="00817B9F">
        <w:rPr>
          <w:rStyle w:val="FootnoteReference"/>
        </w:rPr>
        <w:footnoteReference w:id="156"/>
      </w:r>
      <w:r w:rsidRPr="00817B9F">
        <w:t xml:space="preserve"> </w:t>
      </w:r>
    </w:p>
    <w:p w14:paraId="482DCB2E" w14:textId="56408A41" w:rsidR="00D115D8" w:rsidRPr="00817B9F" w:rsidRDefault="00D115D8" w:rsidP="00D115D8">
      <w:pPr>
        <w:pStyle w:val="NumberedParagraphs"/>
      </w:pPr>
      <w:r w:rsidRPr="00817B9F">
        <w:t>We assume that patients’ preferences over facilities that offer outpatient cardiovascular services vary based on the same factors as in our model of demand for outpatient diagnostic imaging, including where the patients live (</w:t>
      </w:r>
      <w:r w:rsidRPr="00817B9F">
        <w:rPr>
          <w:i/>
        </w:rPr>
        <w:t>e.g.</w:t>
      </w:r>
      <w:r w:rsidRPr="00817B9F">
        <w:t>, the ZIP Code of their residence), the type of cardiovascular procedure they seek (</w:t>
      </w:r>
      <w:r w:rsidRPr="00817B9F">
        <w:rPr>
          <w:i/>
        </w:rPr>
        <w:t>e.g.</w:t>
      </w:r>
      <w:r w:rsidRPr="00817B9F">
        <w:t>, the patients’ CPT code), their health insurance coverage (</w:t>
      </w:r>
      <w:r w:rsidRPr="00817B9F">
        <w:rPr>
          <w:i/>
        </w:rPr>
        <w:t>e.g.</w:t>
      </w:r>
      <w:r w:rsidRPr="00817B9F">
        <w:t>, Original Medicare), and their demographics (</w:t>
      </w:r>
      <w:r w:rsidRPr="00817B9F">
        <w:rPr>
          <w:i/>
          <w:iCs/>
        </w:rPr>
        <w:t>e.g.,</w:t>
      </w:r>
      <w:r w:rsidRPr="00817B9F">
        <w:t xml:space="preserve"> age and gender).</w:t>
      </w:r>
      <w:r w:rsidRPr="00817B9F">
        <w:rPr>
          <w:rStyle w:val="FootnoteReference"/>
        </w:rPr>
        <w:footnoteReference w:id="157"/>
      </w:r>
      <w:r w:rsidRPr="00817B9F">
        <w:t xml:space="preserve"> In our model, patients’ </w:t>
      </w:r>
      <w:r w:rsidRPr="00817B9F">
        <w:lastRenderedPageBreak/>
        <w:t>preferences over outpatient cardiovascular facilities may also depend on the characteristics of the facilities from which the patients are choosing. Based on these preferences, patients choose a facility for their outpatient cardiovascular care.</w:t>
      </w:r>
      <w:r w:rsidRPr="00817B9F">
        <w:rPr>
          <w:rStyle w:val="FootnoteReference"/>
        </w:rPr>
        <w:footnoteReference w:id="158"/>
      </w:r>
      <w:r w:rsidRPr="00817B9F">
        <w:t xml:space="preserve"> We estimate the model using</w:t>
      </w:r>
      <w:r w:rsidR="00BB17B6" w:rsidRPr="00817B9F">
        <w:t xml:space="preserve"> approximately 2.5 million cardiovascular procedures performed at Massachusetts outpatient facilities and</w:t>
      </w:r>
      <w:r w:rsidRPr="00817B9F">
        <w:t xml:space="preserve"> the same two-step estimation process as in our model of demand for outpatient diagnostic imaging services; as before, we use the model to calculate diversion ratios between facilities offering outpatient cardiovascular services. </w:t>
      </w:r>
    </w:p>
    <w:p w14:paraId="1FD885F2" w14:textId="77777777" w:rsidR="00D115D8" w:rsidRPr="00817B9F" w:rsidRDefault="00D115D8" w:rsidP="00D115D8">
      <w:pPr>
        <w:pStyle w:val="NumberedParagraphs"/>
      </w:pPr>
      <w:r w:rsidRPr="00817B9F">
        <w:t>Our forecasts of the effect of the proposed expansion at MGH on demand for cardiovascular services are derived from diversion ratios that predict which patients will shift their demand for outpatient cardiovascular procedures to MGH after the proposed project is completed. MGH performed 42,092 cardiovascular procedures in fiscal year 2019, and in fiscal year 2025 it projects a volume of 43,195 cardiovascular procedures, representing a 2.6 percent increase in procedure volume.</w:t>
      </w:r>
      <w:r w:rsidRPr="00817B9F">
        <w:rPr>
          <w:rStyle w:val="FootnoteReference"/>
        </w:rPr>
        <w:footnoteReference w:id="159"/>
      </w:r>
      <w:r w:rsidRPr="00817B9F">
        <w:t xml:space="preserve"> For the purpose of modeling the effect of MGH’s proposed expansion, we assume that outpatient cardiovascular procedure volume will increase by this amount and conservatively assume that the entirety of this projected increase is due to the proposed expansion in MGH’s capacity (rather than, for example, changes in the incidence of heart disease or changes in patient demographics). </w:t>
      </w:r>
    </w:p>
    <w:p w14:paraId="50974D69" w14:textId="1D5EEEEB" w:rsidR="00D115D8" w:rsidRPr="00817B9F" w:rsidRDefault="00D115D8" w:rsidP="00D115D8">
      <w:pPr>
        <w:pStyle w:val="Heading3"/>
      </w:pPr>
      <w:bookmarkStart w:id="101" w:name="_Toc90046526"/>
      <w:r w:rsidRPr="00817B9F">
        <w:t>Oncology Services</w:t>
      </w:r>
      <w:bookmarkEnd w:id="101"/>
    </w:p>
    <w:p w14:paraId="57818D56" w14:textId="77777777" w:rsidR="00D115D8" w:rsidRPr="00817B9F" w:rsidRDefault="00D115D8" w:rsidP="00D115D8">
      <w:pPr>
        <w:pStyle w:val="NumberedParagraphs"/>
      </w:pPr>
      <w:r w:rsidRPr="00817B9F">
        <w:t>We estimate patients’ demand for outpatient oncology care somewhat differently than we do for outpatient diagnostic imaging services and outpatient cardiovascular procedures. Whereas diagnostic imaging and cardiovascular services can be identified using specific CPT or HCPCS procedure codes, outpatient oncology services may include an array of procedural services that are not limited to patients receiving oncology services (</w:t>
      </w:r>
      <w:r w:rsidRPr="00817B9F">
        <w:rPr>
          <w:i/>
        </w:rPr>
        <w:t>e.g.</w:t>
      </w:r>
      <w:r w:rsidRPr="00817B9F">
        <w:t xml:space="preserve">, a patient receiving oncology care at MGH may receive evaluation and management services from an oncologist in addition to chemotherapy </w:t>
      </w:r>
      <w:r w:rsidRPr="00817B9F">
        <w:lastRenderedPageBreak/>
        <w:t>infusion services, radiation oncology services, or surgical oncology services). Accordingly, we define “oncology services” using the diagnosis codes recorded for each patient in the APCD and Medicare Claims data,</w:t>
      </w:r>
      <w:r w:rsidRPr="00817B9F">
        <w:rPr>
          <w:rStyle w:val="FootnoteReference"/>
        </w:rPr>
        <w:footnoteReference w:id="160"/>
      </w:r>
      <w:r w:rsidRPr="00817B9F">
        <w:t xml:space="preserve"> rather than using the procedure codes for each claim. As such, our model of demand for outpatient oncology services models this demand at the patient-visit level—which may encompass more than one procedure code—rather than at the procedure-code level as in our models of demand for other types of outpatient health care services. </w:t>
      </w:r>
    </w:p>
    <w:p w14:paraId="2017EE11" w14:textId="3C3CBDF4" w:rsidR="00D115D8" w:rsidRPr="00817B9F" w:rsidRDefault="00D115D8" w:rsidP="00D115D8">
      <w:pPr>
        <w:pStyle w:val="NumberedParagraphs"/>
      </w:pPr>
      <w:r w:rsidRPr="00817B9F">
        <w:t>In estimating our model, we restrict the APCD and Medicare Claims data to those patients potentially affected by the expanded oncology services that will be available at MGH if the proposed project is approved. To do this, we restrict the APCD and Medicare Claims data to outpatient visits where the claim for the visit was associated with an oncology diagnosis code. We exclude claims associated with patients who reside outside of Massachusetts, and we limit to claims with service locations in Suffolk, Essex, Middlesex, Norfolk, Bristol, Plymouth, and Worcester Counties in Massachusetts.</w:t>
      </w:r>
      <w:r w:rsidRPr="00817B9F">
        <w:rPr>
          <w:rStyle w:val="FootnoteReference"/>
        </w:rPr>
        <w:footnoteReference w:id="161"/>
      </w:r>
    </w:p>
    <w:p w14:paraId="5114C323" w14:textId="5759D1BC" w:rsidR="00D115D8" w:rsidRPr="00817B9F" w:rsidRDefault="00D115D8" w:rsidP="00D115D8">
      <w:pPr>
        <w:pStyle w:val="NumberedParagraphs"/>
      </w:pPr>
      <w:r w:rsidRPr="00817B9F">
        <w:t>We assume that patients’ preferences over facilities that offer outpatient oncology care vary based on the same factors as in our models of demand for outpatient diagnostic imaging and cardiovascular services (</w:t>
      </w:r>
      <w:r w:rsidRPr="00817B9F">
        <w:rPr>
          <w:i/>
          <w:iCs/>
        </w:rPr>
        <w:t>e.g.</w:t>
      </w:r>
      <w:r w:rsidRPr="00817B9F">
        <w:t>, the ZIP Code of the patients’ residence, the patients’ health insurance coverage, the patients’ demographics, and so on) with one exception. Because we estimate our model at the patient-visit level rather than at the procedure-code level, there is not necessarily a single procedure code associated with each outpatient visit. As such, rather than allowing patients’ preferences over health care facilities to vary based on procedure, we allow patients’ preferences to depend on their type of cancer.</w:t>
      </w:r>
      <w:r w:rsidRPr="00817B9F">
        <w:rPr>
          <w:rStyle w:val="FootnoteReference"/>
        </w:rPr>
        <w:footnoteReference w:id="162"/>
      </w:r>
      <w:r w:rsidRPr="00817B9F">
        <w:t xml:space="preserve"> In our model, patients’ preferences over outpatient oncology providers may also depend on the characteristics of the facilities from which the patients are choosing. Based on these preferences, patients choose a facility for their outpatient oncology care. </w:t>
      </w:r>
      <w:r w:rsidR="00BC629E" w:rsidRPr="00817B9F">
        <w:lastRenderedPageBreak/>
        <w:t>We estimate the model using approximately 1.7 million patient-visits and</w:t>
      </w:r>
      <w:r w:rsidRPr="00817B9F">
        <w:t xml:space="preserve"> the same two-step estimation process as in our models of demand for outpatient diagnostic imaging and cardiovascular services; as before, we use the model to calculate diversion ratios between facilities offering outpatient oncology services.</w:t>
      </w:r>
    </w:p>
    <w:p w14:paraId="248F0210" w14:textId="77777777" w:rsidR="00D115D8" w:rsidRPr="00817B9F" w:rsidRDefault="00D115D8" w:rsidP="00D115D8">
      <w:pPr>
        <w:pStyle w:val="NumberedParagraphs"/>
      </w:pPr>
      <w:r w:rsidRPr="00817B9F">
        <w:t>To forecast the effect of the proposed project on demand for outpatient oncology patient-visits, we rely on the same methodology applied to demand for outpatient diagnostic imaging and cardiovascular services. MGH provided 159,365 outpatient oncology visits in fiscal year 2019, and in fiscal year 2025 it projects a volume of 188,063 outpatient oncology visits, representing an 18 percent increase.</w:t>
      </w:r>
      <w:r w:rsidRPr="00817B9F">
        <w:rPr>
          <w:rStyle w:val="FootnoteReference"/>
        </w:rPr>
        <w:footnoteReference w:id="163"/>
      </w:r>
      <w:r w:rsidRPr="00817B9F">
        <w:t xml:space="preserve"> For the purpose of modeling the effect of MGH’s proposed expansion, we assume that outpatient oncology visits will increase by this amount and conservatively assume that the entirety of this projected increase is due to the proposed expansion in MGH’s capacity (rather than, for example, changes in the incidence of cancer or changes in patient demographics).</w:t>
      </w:r>
    </w:p>
    <w:p w14:paraId="32E3DCB6" w14:textId="1D7BA8F5" w:rsidR="00A5542D" w:rsidRPr="00817B9F" w:rsidRDefault="001D1EC0" w:rsidP="00636253">
      <w:pPr>
        <w:pStyle w:val="Heading1"/>
      </w:pPr>
      <w:bookmarkStart w:id="102" w:name="_Ref88993326"/>
      <w:bookmarkStart w:id="103" w:name="_Ref88994298"/>
      <w:bookmarkStart w:id="104" w:name="_Toc90046527"/>
      <w:r w:rsidRPr="00817B9F">
        <w:t>P</w:t>
      </w:r>
      <w:r w:rsidR="00F47403" w:rsidRPr="00817B9F">
        <w:t>r</w:t>
      </w:r>
      <w:r w:rsidRPr="00817B9F">
        <w:t>edicted Cha</w:t>
      </w:r>
      <w:r w:rsidR="00996880" w:rsidRPr="00817B9F">
        <w:t xml:space="preserve">nges in </w:t>
      </w:r>
      <w:r w:rsidR="00E4223D" w:rsidRPr="00817B9F">
        <w:t xml:space="preserve">MGB’s </w:t>
      </w:r>
      <w:r w:rsidR="00A5542D" w:rsidRPr="00817B9F">
        <w:t xml:space="preserve">Shares and </w:t>
      </w:r>
      <w:r w:rsidR="0080743E" w:rsidRPr="00817B9F">
        <w:t>Bargaining Leverage</w:t>
      </w:r>
      <w:bookmarkEnd w:id="97"/>
      <w:bookmarkEnd w:id="102"/>
      <w:bookmarkEnd w:id="103"/>
      <w:bookmarkEnd w:id="104"/>
    </w:p>
    <w:p w14:paraId="4CE7311B" w14:textId="059C9151" w:rsidR="00BE5035" w:rsidRPr="00817B9F" w:rsidRDefault="00227F64" w:rsidP="00BE5035">
      <w:pPr>
        <w:pStyle w:val="NumberedParagraphs"/>
      </w:pPr>
      <w:r w:rsidRPr="00817B9F">
        <w:t xml:space="preserve">As part of </w:t>
      </w:r>
      <w:r w:rsidR="0070535A" w:rsidRPr="00817B9F">
        <w:t xml:space="preserve">our evaluation of </w:t>
      </w:r>
      <w:r w:rsidRPr="00817B9F">
        <w:t xml:space="preserve">the </w:t>
      </w:r>
      <w:r w:rsidR="0070535A" w:rsidRPr="00817B9F">
        <w:t>proposed project on health care costs in Massachusetts</w:t>
      </w:r>
      <w:r w:rsidRPr="00817B9F">
        <w:t xml:space="preserve">, the DoN program asked that we evaluate MGB’s </w:t>
      </w:r>
      <w:r w:rsidR="007C67DA" w:rsidRPr="00817B9F">
        <w:t xml:space="preserve">market share for the services addressed in </w:t>
      </w:r>
      <w:r w:rsidR="00235D8C" w:rsidRPr="00817B9F">
        <w:t>its</w:t>
      </w:r>
      <w:r w:rsidR="007C67DA" w:rsidRPr="00817B9F">
        <w:t xml:space="preserve"> DoN application and </w:t>
      </w:r>
      <w:r w:rsidR="00235D8C" w:rsidRPr="00817B9F">
        <w:t>that we</w:t>
      </w:r>
      <w:r w:rsidR="007C67DA" w:rsidRPr="00817B9F">
        <w:t xml:space="preserve"> assess how </w:t>
      </w:r>
      <w:r w:rsidR="00EE29AF" w:rsidRPr="00817B9F">
        <w:t>those</w:t>
      </w:r>
      <w:r w:rsidR="007C67DA" w:rsidRPr="00817B9F">
        <w:t xml:space="preserve"> share</w:t>
      </w:r>
      <w:r w:rsidR="00EE29AF" w:rsidRPr="00817B9F">
        <w:t>s</w:t>
      </w:r>
      <w:r w:rsidR="007C67DA" w:rsidRPr="00817B9F">
        <w:t xml:space="preserve"> might change </w:t>
      </w:r>
      <w:r w:rsidR="00E901BB" w:rsidRPr="00817B9F">
        <w:t>if MGB’s</w:t>
      </w:r>
      <w:r w:rsidR="007C67DA" w:rsidRPr="00817B9F">
        <w:t xml:space="preserve"> DoN application were approved. </w:t>
      </w:r>
      <w:r w:rsidR="00235D8C" w:rsidRPr="00817B9F">
        <w:t>Related to this</w:t>
      </w:r>
      <w:r w:rsidRPr="00817B9F">
        <w:t xml:space="preserve">, the DoN program </w:t>
      </w:r>
      <w:r w:rsidR="00235D8C" w:rsidRPr="00817B9F">
        <w:t>also</w:t>
      </w:r>
      <w:r w:rsidR="00971BA0" w:rsidRPr="00817B9F">
        <w:t xml:space="preserve"> </w:t>
      </w:r>
      <w:r w:rsidRPr="00817B9F">
        <w:t>asked that we consider how changes in MGB’s share might affect the prices it negotiates with third-party payors</w:t>
      </w:r>
      <w:r w:rsidR="00E901BB" w:rsidRPr="00817B9F">
        <w:t xml:space="preserve"> (</w:t>
      </w:r>
      <w:r w:rsidR="00E901BB" w:rsidRPr="00817B9F">
        <w:rPr>
          <w:i/>
          <w:iCs/>
        </w:rPr>
        <w:t>i.e.</w:t>
      </w:r>
      <w:r w:rsidR="00E901BB" w:rsidRPr="00817B9F">
        <w:t>, its</w:t>
      </w:r>
      <w:r w:rsidR="00971BA0" w:rsidRPr="00817B9F">
        <w:t xml:space="preserve"> negotiating leverage with third-party payors</w:t>
      </w:r>
      <w:r w:rsidR="00E901BB" w:rsidRPr="00817B9F">
        <w:t xml:space="preserve">). </w:t>
      </w:r>
      <w:r w:rsidR="00D43702" w:rsidRPr="00817B9F">
        <w:t xml:space="preserve">In this section we discuss </w:t>
      </w:r>
      <w:r w:rsidR="00AF2674" w:rsidRPr="00817B9F">
        <w:t xml:space="preserve">the economic literature related to market </w:t>
      </w:r>
      <w:r w:rsidR="00EB5B3C" w:rsidRPr="00817B9F">
        <w:t xml:space="preserve">shares and </w:t>
      </w:r>
      <w:r w:rsidR="00AF2674" w:rsidRPr="00817B9F">
        <w:t xml:space="preserve">concentration in health care and the relationship between </w:t>
      </w:r>
      <w:r w:rsidR="00EB5B3C" w:rsidRPr="00817B9F">
        <w:t xml:space="preserve">market structure and health care prices. We </w:t>
      </w:r>
      <w:r w:rsidR="009E34B4" w:rsidRPr="00817B9F">
        <w:t xml:space="preserve">then turn to an assessment of MGB’s current share for the services addressed in its DoN </w:t>
      </w:r>
      <w:r w:rsidR="00860F4B" w:rsidRPr="00817B9F">
        <w:t xml:space="preserve">and use our models of patient demand for health care services to predict how those shares might change if the proposed project were approved. </w:t>
      </w:r>
    </w:p>
    <w:p w14:paraId="01137752" w14:textId="2821B296" w:rsidR="00DB7DC7" w:rsidRPr="00817B9F" w:rsidRDefault="00350987" w:rsidP="00DB7DC7">
      <w:pPr>
        <w:pStyle w:val="NumberedParagraphs"/>
      </w:pPr>
      <w:r w:rsidRPr="00817B9F">
        <w:t xml:space="preserve">Before turning to this discussion, we </w:t>
      </w:r>
      <w:r w:rsidR="00574460" w:rsidRPr="00817B9F">
        <w:t>provide a brief overview of</w:t>
      </w:r>
      <w:r w:rsidR="00DB7DC7" w:rsidRPr="00817B9F">
        <w:t xml:space="preserve"> the bargaining dynamics between health insurers and health care providers </w:t>
      </w:r>
      <w:r w:rsidR="00197105" w:rsidRPr="00817B9F">
        <w:t xml:space="preserve">that determine the </w:t>
      </w:r>
      <w:r w:rsidR="008C7373" w:rsidRPr="00817B9F">
        <w:t>rates they negotiate for inpatient and outpatient services</w:t>
      </w:r>
      <w:r w:rsidR="00DB7DC7" w:rsidRPr="00817B9F">
        <w:t xml:space="preserve">. Economists generally view </w:t>
      </w:r>
      <w:r w:rsidR="008311B8" w:rsidRPr="00817B9F">
        <w:t xml:space="preserve">the </w:t>
      </w:r>
      <w:r w:rsidR="00DB7DC7" w:rsidRPr="00817B9F">
        <w:t xml:space="preserve">competition between health care </w:t>
      </w:r>
      <w:r w:rsidR="00DB7DC7" w:rsidRPr="00817B9F">
        <w:lastRenderedPageBreak/>
        <w:t>providers as occurring in two stages.</w:t>
      </w:r>
      <w:r w:rsidR="00DB7DC7" w:rsidRPr="00817B9F">
        <w:rPr>
          <w:rStyle w:val="FootnoteReference"/>
        </w:rPr>
        <w:footnoteReference w:id="164"/>
      </w:r>
      <w:r w:rsidR="00DB7DC7" w:rsidRPr="00817B9F">
        <w:t xml:space="preserve"> </w:t>
      </w:r>
      <w:r w:rsidR="006F1EE3" w:rsidRPr="00817B9F">
        <w:t>Negotiations over prices occur i</w:t>
      </w:r>
      <w:r w:rsidR="00DB7DC7" w:rsidRPr="00817B9F">
        <w:t xml:space="preserve">n the first stage, </w:t>
      </w:r>
      <w:r w:rsidR="006F1EE3" w:rsidRPr="00817B9F">
        <w:t>when</w:t>
      </w:r>
      <w:r w:rsidR="00DB7DC7" w:rsidRPr="00817B9F">
        <w:t xml:space="preserve"> providers negotiate with insurers to be included as in-network providers. In the second stage, </w:t>
      </w:r>
      <w:r w:rsidR="006F1EE3" w:rsidRPr="00817B9F">
        <w:t xml:space="preserve">after health insurers have formed </w:t>
      </w:r>
      <w:r w:rsidR="00A1168D" w:rsidRPr="00817B9F">
        <w:t>these</w:t>
      </w:r>
      <w:r w:rsidR="006F1EE3" w:rsidRPr="00817B9F">
        <w:t xml:space="preserve"> networks</w:t>
      </w:r>
      <w:r w:rsidR="00A1168D" w:rsidRPr="00817B9F">
        <w:t>,</w:t>
      </w:r>
      <w:r w:rsidR="006F1EE3" w:rsidRPr="00817B9F">
        <w:t xml:space="preserve"> </w:t>
      </w:r>
      <w:r w:rsidR="00DB7DC7" w:rsidRPr="00817B9F">
        <w:t xml:space="preserve">in-network providers compete (primarily over non-price terms) to attract </w:t>
      </w:r>
      <w:r w:rsidR="00A1168D" w:rsidRPr="00817B9F">
        <w:t>the</w:t>
      </w:r>
      <w:r w:rsidR="00DB7DC7" w:rsidRPr="00817B9F">
        <w:t xml:space="preserve"> patients</w:t>
      </w:r>
      <w:r w:rsidR="00A1168D" w:rsidRPr="00817B9F">
        <w:t xml:space="preserve"> that have in-network access to the</w:t>
      </w:r>
      <w:r w:rsidR="00277FDD" w:rsidRPr="00817B9F">
        <w:t>m</w:t>
      </w:r>
      <w:r w:rsidR="00DB7DC7" w:rsidRPr="00817B9F">
        <w:t>. The two stages of competition among health care providers are closely related: the factors that may allow a h</w:t>
      </w:r>
      <w:r w:rsidR="00645927" w:rsidRPr="00817B9F">
        <w:t>ealth care provider</w:t>
      </w:r>
      <w:r w:rsidR="00DB7DC7" w:rsidRPr="00817B9F">
        <w:t xml:space="preserve"> to negotiate better rates with a health insurer in the first stage also typically make the </w:t>
      </w:r>
      <w:r w:rsidR="00645927" w:rsidRPr="00817B9F">
        <w:t>provider</w:t>
      </w:r>
      <w:r w:rsidR="00DB7DC7" w:rsidRPr="00817B9F">
        <w:t xml:space="preserve"> more attractive to patients in the second stage. </w:t>
      </w:r>
    </w:p>
    <w:p w14:paraId="2EDA069D" w14:textId="70FF3422" w:rsidR="000D58E6" w:rsidRPr="00817B9F" w:rsidRDefault="00525D28" w:rsidP="007364EF">
      <w:pPr>
        <w:pStyle w:val="NumberedParagraphs"/>
      </w:pPr>
      <w:r w:rsidRPr="00817B9F">
        <w:t xml:space="preserve">In models of the </w:t>
      </w:r>
      <w:r w:rsidR="00193804" w:rsidRPr="00817B9F">
        <w:t>first</w:t>
      </w:r>
      <w:r w:rsidRPr="00817B9F">
        <w:t xml:space="preserve"> stage, t</w:t>
      </w:r>
      <w:r w:rsidR="00645927" w:rsidRPr="00817B9F">
        <w:t xml:space="preserve">he reimbursement rates that </w:t>
      </w:r>
      <w:r w:rsidRPr="00817B9F">
        <w:t>a</w:t>
      </w:r>
      <w:r w:rsidR="00645927" w:rsidRPr="00817B9F">
        <w:t xml:space="preserve"> provider and health insurer negotiate are determined by the value to each of reaching an agreement to include the provider in the insurer’s network and the prospects of each if they fail to reach an agreement. T</w:t>
      </w:r>
      <w:r w:rsidR="00120976" w:rsidRPr="00817B9F">
        <w:t xml:space="preserve">o the </w:t>
      </w:r>
      <w:r w:rsidR="00645927" w:rsidRPr="00817B9F">
        <w:t>health insurer</w:t>
      </w:r>
      <w:r w:rsidR="00120976" w:rsidRPr="00817B9F">
        <w:t>, the extra</w:t>
      </w:r>
      <w:r w:rsidR="00645927" w:rsidRPr="00817B9F">
        <w:t xml:space="preserve"> value </w:t>
      </w:r>
      <w:r w:rsidR="00120976" w:rsidRPr="00817B9F">
        <w:t>from</w:t>
      </w:r>
      <w:r w:rsidR="00645927" w:rsidRPr="00817B9F">
        <w:t xml:space="preserve"> adding a provider to its network depends</w:t>
      </w:r>
      <w:r w:rsidR="00120976" w:rsidRPr="00817B9F">
        <w:t xml:space="preserve"> </w:t>
      </w:r>
      <w:r w:rsidR="00A72181" w:rsidRPr="00817B9F">
        <w:t xml:space="preserve">on </w:t>
      </w:r>
      <w:r w:rsidR="00120976" w:rsidRPr="00817B9F">
        <w:t xml:space="preserve">the </w:t>
      </w:r>
      <w:r w:rsidR="00A72181" w:rsidRPr="00817B9F">
        <w:t>extra</w:t>
      </w:r>
      <w:r w:rsidR="00120976" w:rsidRPr="00817B9F">
        <w:t xml:space="preserve"> value </w:t>
      </w:r>
      <w:r w:rsidR="00645927" w:rsidRPr="00817B9F">
        <w:t xml:space="preserve">the </w:t>
      </w:r>
      <w:r w:rsidR="00A72181" w:rsidRPr="00817B9F">
        <w:t>insurer’s enrollees derive from</w:t>
      </w:r>
      <w:r w:rsidR="00645927" w:rsidRPr="00817B9F">
        <w:t xml:space="preserve"> a network that includes the provider </w:t>
      </w:r>
      <w:r w:rsidR="00A72181" w:rsidRPr="00817B9F">
        <w:t>relative to one</w:t>
      </w:r>
      <w:r w:rsidR="00645927" w:rsidRPr="00817B9F">
        <w:t xml:space="preserve"> that excludes it. The greater this </w:t>
      </w:r>
      <w:r w:rsidR="00A72181" w:rsidRPr="00817B9F">
        <w:t>extra value</w:t>
      </w:r>
      <w:r w:rsidR="00645927" w:rsidRPr="00817B9F">
        <w:t xml:space="preserve">, the more the insurer is willing to pay the provider to participate in its network. </w:t>
      </w:r>
      <w:r w:rsidR="003513C4" w:rsidRPr="00817B9F">
        <w:t>For</w:t>
      </w:r>
      <w:r w:rsidR="00645927" w:rsidRPr="00817B9F">
        <w:t xml:space="preserve"> example, providers that offer a broad range of services, have a superior reputation or clinical quality, are conveniently located, or offer desirable amenities have more bargaining leverage with insurers and receive higher rates. In contrast, providers for which there are reasonable or superior alternatives in the eyes of consumers (in terms of location, services, reputation, and so on) have less bargaining leverage with insurers and receive lower rates.</w:t>
      </w:r>
      <w:r w:rsidR="00AB1F52" w:rsidRPr="00817B9F">
        <w:t xml:space="preserve"> </w:t>
      </w:r>
      <w:r w:rsidR="00832F91" w:rsidRPr="00817B9F">
        <w:t xml:space="preserve">Much of the economics literature we discuss below explicitly or implicitly relies on the same two-stage framework to assess </w:t>
      </w:r>
      <w:r w:rsidR="00EA3781" w:rsidRPr="00817B9F">
        <w:t xml:space="preserve">the relationship between </w:t>
      </w:r>
      <w:r w:rsidR="00832F91" w:rsidRPr="00817B9F">
        <w:t xml:space="preserve">prices and </w:t>
      </w:r>
      <w:r w:rsidR="00EA3781" w:rsidRPr="00817B9F">
        <w:t>concentration in health care markets</w:t>
      </w:r>
      <w:r w:rsidR="00832F91" w:rsidRPr="00817B9F">
        <w:t xml:space="preserve">. </w:t>
      </w:r>
      <w:r w:rsidR="00C611D2" w:rsidRPr="00817B9F">
        <w:t xml:space="preserve">When considering </w:t>
      </w:r>
      <w:r w:rsidR="00EB7664" w:rsidRPr="00817B9F">
        <w:t xml:space="preserve">the </w:t>
      </w:r>
      <w:r w:rsidR="00C611D2" w:rsidRPr="00817B9F">
        <w:t xml:space="preserve">potential impact to prices from </w:t>
      </w:r>
      <w:r w:rsidR="00EB7664" w:rsidRPr="00817B9F">
        <w:t>a change</w:t>
      </w:r>
      <w:r w:rsidR="00C611D2" w:rsidRPr="00817B9F">
        <w:t xml:space="preserve"> in market </w:t>
      </w:r>
      <w:r w:rsidR="00C07E73" w:rsidRPr="00817B9F">
        <w:t>structure</w:t>
      </w:r>
      <w:r w:rsidR="00C611D2" w:rsidRPr="00817B9F">
        <w:t xml:space="preserve"> such as </w:t>
      </w:r>
      <w:r w:rsidR="00EB7664" w:rsidRPr="00817B9F">
        <w:t xml:space="preserve">an acquisition or the </w:t>
      </w:r>
      <w:r w:rsidR="00EA3781" w:rsidRPr="00817B9F">
        <w:t>proposed project</w:t>
      </w:r>
      <w:r w:rsidR="00832F91" w:rsidRPr="00817B9F">
        <w:t xml:space="preserve">, economists consider how the change </w:t>
      </w:r>
      <w:r w:rsidR="00EB7664" w:rsidRPr="00817B9F">
        <w:t>will affect the val</w:t>
      </w:r>
      <w:r w:rsidR="00EA3781" w:rsidRPr="00817B9F">
        <w:t>ues that</w:t>
      </w:r>
      <w:r w:rsidR="00EB7664" w:rsidRPr="00817B9F">
        <w:t xml:space="preserve"> </w:t>
      </w:r>
      <w:r w:rsidR="00EA3781" w:rsidRPr="00817B9F">
        <w:t>providers and insurers put on reaching an agreement</w:t>
      </w:r>
      <w:r w:rsidR="00CB44A6" w:rsidRPr="00817B9F">
        <w:t>.</w:t>
      </w:r>
      <w:r w:rsidR="00EB7664" w:rsidRPr="00817B9F">
        <w:t xml:space="preserve"> </w:t>
      </w:r>
    </w:p>
    <w:p w14:paraId="12DC26A1" w14:textId="4370616E" w:rsidR="004F664B" w:rsidRPr="00817B9F" w:rsidRDefault="008F603E" w:rsidP="00184D23">
      <w:pPr>
        <w:pStyle w:val="Heading2"/>
        <w:numPr>
          <w:ilvl w:val="0"/>
          <w:numId w:val="20"/>
        </w:numPr>
        <w:rPr>
          <w:rFonts w:cs="Times New Roman"/>
        </w:rPr>
      </w:pPr>
      <w:bookmarkStart w:id="105" w:name="_Ref88483325"/>
      <w:bookmarkStart w:id="106" w:name="_Toc90046528"/>
      <w:r w:rsidRPr="00817B9F">
        <w:rPr>
          <w:rFonts w:cs="Times New Roman"/>
        </w:rPr>
        <w:t>Competition Between Health Care Providers</w:t>
      </w:r>
      <w:bookmarkEnd w:id="105"/>
      <w:bookmarkEnd w:id="106"/>
    </w:p>
    <w:p w14:paraId="3F225180" w14:textId="2BB10F72" w:rsidR="0080743E" w:rsidRPr="00817B9F" w:rsidRDefault="00C534C4" w:rsidP="0080743E">
      <w:pPr>
        <w:pStyle w:val="NumberedParagraphs"/>
      </w:pPr>
      <w:r w:rsidRPr="00817B9F">
        <w:t xml:space="preserve">Turning first </w:t>
      </w:r>
      <w:r w:rsidR="009E46AD" w:rsidRPr="00817B9F">
        <w:t xml:space="preserve">to </w:t>
      </w:r>
      <w:r w:rsidR="0080743E" w:rsidRPr="00817B9F">
        <w:t xml:space="preserve">the </w:t>
      </w:r>
      <w:r w:rsidR="009E46AD" w:rsidRPr="00817B9F">
        <w:t>economics literature</w:t>
      </w:r>
      <w:r w:rsidR="0080743E" w:rsidRPr="00817B9F">
        <w:t xml:space="preserve"> on </w:t>
      </w:r>
      <w:r w:rsidR="009E46AD" w:rsidRPr="00817B9F">
        <w:t xml:space="preserve">the relationship between </w:t>
      </w:r>
      <w:r w:rsidR="00F2256A" w:rsidRPr="00817B9F">
        <w:t xml:space="preserve">market structure and </w:t>
      </w:r>
      <w:r w:rsidR="0080743E" w:rsidRPr="00817B9F">
        <w:t xml:space="preserve">health care </w:t>
      </w:r>
      <w:r w:rsidR="00F2256A" w:rsidRPr="00817B9F">
        <w:t xml:space="preserve">prices, we </w:t>
      </w:r>
      <w:r w:rsidR="007D3536" w:rsidRPr="00817B9F">
        <w:t>note</w:t>
      </w:r>
      <w:r w:rsidR="0080743E" w:rsidRPr="00817B9F">
        <w:t xml:space="preserve"> that </w:t>
      </w:r>
      <w:r w:rsidR="007D3536" w:rsidRPr="00817B9F">
        <w:t>most of this literature focus</w:t>
      </w:r>
      <w:r w:rsidR="00C45379" w:rsidRPr="00817B9F">
        <w:t>es</w:t>
      </w:r>
      <w:r w:rsidR="0080743E" w:rsidRPr="00817B9F">
        <w:t xml:space="preserve"> on </w:t>
      </w:r>
      <w:r w:rsidR="00C45379" w:rsidRPr="00817B9F">
        <w:t>prices</w:t>
      </w:r>
      <w:r w:rsidR="00BD44BE" w:rsidRPr="00817B9F">
        <w:t xml:space="preserve"> paid by commercial health insurers</w:t>
      </w:r>
      <w:r w:rsidR="0080743E" w:rsidRPr="00817B9F">
        <w:t xml:space="preserve"> for </w:t>
      </w:r>
      <w:r w:rsidR="00BD44BE" w:rsidRPr="00817B9F">
        <w:t xml:space="preserve">health care </w:t>
      </w:r>
      <w:r w:rsidR="0080743E" w:rsidRPr="00817B9F">
        <w:t>services</w:t>
      </w:r>
      <w:r w:rsidR="00BD44BE" w:rsidRPr="00817B9F">
        <w:t xml:space="preserve">. </w:t>
      </w:r>
      <w:r w:rsidR="00FC159E" w:rsidRPr="00817B9F">
        <w:t>This is because</w:t>
      </w:r>
      <w:r w:rsidR="0080743E" w:rsidRPr="00817B9F">
        <w:t xml:space="preserve"> </w:t>
      </w:r>
      <w:r w:rsidR="00374C5A" w:rsidRPr="00817B9F">
        <w:t>while</w:t>
      </w:r>
      <w:r w:rsidR="0080743E" w:rsidRPr="00817B9F">
        <w:t xml:space="preserve"> commercial </w:t>
      </w:r>
      <w:r w:rsidR="00374C5A" w:rsidRPr="00817B9F">
        <w:t>insurers typically</w:t>
      </w:r>
      <w:r w:rsidR="0080743E" w:rsidRPr="00817B9F">
        <w:t xml:space="preserve"> negotiate </w:t>
      </w:r>
      <w:r w:rsidR="0080743E" w:rsidRPr="00817B9F">
        <w:lastRenderedPageBreak/>
        <w:t>reimbursement rates with health care providers like MGB</w:t>
      </w:r>
      <w:r w:rsidR="00374C5A" w:rsidRPr="00817B9F">
        <w:t>,</w:t>
      </w:r>
      <w:r w:rsidR="0080743E" w:rsidRPr="00817B9F">
        <w:t xml:space="preserve"> reimbursement for government programs like Original Medicare or MassHealth </w:t>
      </w:r>
      <w:r w:rsidR="002A06AC" w:rsidRPr="00817B9F">
        <w:t>n</w:t>
      </w:r>
      <w:r w:rsidR="0080743E" w:rsidRPr="00817B9F">
        <w:t>on-</w:t>
      </w:r>
      <w:r w:rsidR="002A06AC" w:rsidRPr="00817B9F">
        <w:t>m</w:t>
      </w:r>
      <w:r w:rsidR="0080743E" w:rsidRPr="00817B9F">
        <w:t xml:space="preserve">anaged </w:t>
      </w:r>
      <w:r w:rsidR="002A06AC" w:rsidRPr="00817B9F">
        <w:t>c</w:t>
      </w:r>
      <w:r w:rsidR="0080743E" w:rsidRPr="00817B9F">
        <w:t xml:space="preserve">are is set by regulation rather than through negotiation with providers and would be unaffected by </w:t>
      </w:r>
      <w:r w:rsidR="00374C5A" w:rsidRPr="00817B9F">
        <w:t xml:space="preserve">any </w:t>
      </w:r>
      <w:r w:rsidR="0080743E" w:rsidRPr="00817B9F">
        <w:t xml:space="preserve">changes in MGB’s </w:t>
      </w:r>
      <w:r w:rsidR="00374C5A" w:rsidRPr="00817B9F">
        <w:t>bargaining</w:t>
      </w:r>
      <w:r w:rsidR="0080743E" w:rsidRPr="00817B9F">
        <w:t xml:space="preserve"> leverage.</w:t>
      </w:r>
      <w:r w:rsidR="0080743E" w:rsidRPr="00817B9F">
        <w:rPr>
          <w:rStyle w:val="FootnoteReference"/>
        </w:rPr>
        <w:footnoteReference w:id="165"/>
      </w:r>
      <w:r w:rsidR="0080743E" w:rsidRPr="00817B9F">
        <w:t xml:space="preserve"> Although government-sponsored health plans like Medicare Advantage plans negotiate prices with hospitals, research has found that the prices negotiated by these plans </w:t>
      </w:r>
      <w:r w:rsidR="002A06AC" w:rsidRPr="00817B9F">
        <w:t xml:space="preserve">are </w:t>
      </w:r>
      <w:r w:rsidR="0080743E" w:rsidRPr="00817B9F">
        <w:t>typically comparable to the corresponding Medicare fee schedule amounts.</w:t>
      </w:r>
      <w:r w:rsidR="0080743E" w:rsidRPr="00817B9F">
        <w:rPr>
          <w:rStyle w:val="FootnoteReference"/>
        </w:rPr>
        <w:footnoteReference w:id="166"/>
      </w:r>
    </w:p>
    <w:p w14:paraId="640B1A6F" w14:textId="5A512E60" w:rsidR="005C227C" w:rsidRPr="00817B9F" w:rsidRDefault="0080743E" w:rsidP="0080743E">
      <w:pPr>
        <w:pStyle w:val="NumberedParagraphs"/>
      </w:pPr>
      <w:r w:rsidRPr="00817B9F">
        <w:t>In assessing the effect of the proposed project on MGB’s bargaining</w:t>
      </w:r>
      <w:r w:rsidR="00374C5A" w:rsidRPr="00817B9F">
        <w:t xml:space="preserve"> leverage</w:t>
      </w:r>
      <w:r w:rsidRPr="00817B9F">
        <w:t>, we rely on a measure of hospital market concentration known as the Herfindahl-Hirschman Index (“HHI”), which is calculated as the sum of the squares of shares of the firms that compete in the market.</w:t>
      </w:r>
      <w:r w:rsidRPr="00817B9F">
        <w:rPr>
          <w:rStyle w:val="FootnoteReference"/>
        </w:rPr>
        <w:footnoteReference w:id="167"/>
      </w:r>
      <w:r w:rsidRPr="00817B9F">
        <w:t xml:space="preserve"> Federal and state antitrust agencies often include analyses of HHIs in their evaluations of the competitive effects of mergers, and the standards used by the federal agencies in these analyses are described in the </w:t>
      </w:r>
      <w:r w:rsidRPr="00817B9F">
        <w:rPr>
          <w:i/>
        </w:rPr>
        <w:t>Horizontal Merger Guidelines</w:t>
      </w:r>
      <w:r w:rsidRPr="00817B9F">
        <w:t xml:space="preserve"> promulgated by the Federal Trade Commission and Department of Justice.</w:t>
      </w:r>
      <w:r w:rsidRPr="00817B9F">
        <w:rPr>
          <w:rStyle w:val="FootnoteReference"/>
        </w:rPr>
        <w:footnoteReference w:id="168"/>
      </w:r>
      <w:r w:rsidRPr="00817B9F">
        <w:t xml:space="preserve"> </w:t>
      </w:r>
      <w:r w:rsidR="005C227C" w:rsidRPr="00817B9F">
        <w:rPr>
          <w:color w:val="000000"/>
        </w:rPr>
        <w:t>We also note that the HHI has been adopted by the Massachusetts Health Policy Commission in assessing the competitive effects of recent Cost and Market Impact Reviews.</w:t>
      </w:r>
      <w:r w:rsidR="005C227C" w:rsidRPr="00817B9F">
        <w:rPr>
          <w:rStyle w:val="FootnoteReference"/>
          <w:color w:val="000000"/>
        </w:rPr>
        <w:footnoteReference w:id="169"/>
      </w:r>
      <w:r w:rsidR="005C227C" w:rsidRPr="00817B9F">
        <w:rPr>
          <w:color w:val="000000"/>
        </w:rPr>
        <w:t xml:space="preserve"> </w:t>
      </w:r>
    </w:p>
    <w:p w14:paraId="229D769D" w14:textId="2CCBE6FA" w:rsidR="0080743E" w:rsidRPr="00817B9F" w:rsidRDefault="0080743E" w:rsidP="005C227C">
      <w:pPr>
        <w:pStyle w:val="NumberedParagraphs"/>
      </w:pPr>
      <w:r w:rsidRPr="00817B9F">
        <w:lastRenderedPageBreak/>
        <w:t xml:space="preserve">As the </w:t>
      </w:r>
      <w:r w:rsidRPr="00817B9F">
        <w:rPr>
          <w:i/>
        </w:rPr>
        <w:t>Guidelines</w:t>
      </w:r>
      <w:r w:rsidRPr="00817B9F">
        <w:t xml:space="preserve"> describe, the Federal Trade Commission and Department of Justice generally classify markets into three types depending on the HHI: unconcentrated markets, which are those with an HHI below 1,500; moderately concentrated markets, which are those with an HHI between 1,500 and 2,500; and highly concentrated markets, which are those with an HHI above 2,500.</w:t>
      </w:r>
      <w:r w:rsidRPr="00817B9F">
        <w:rPr>
          <w:rStyle w:val="FootnoteReference"/>
        </w:rPr>
        <w:footnoteReference w:id="170"/>
      </w:r>
      <w:r w:rsidRPr="00817B9F">
        <w:t xml:space="preserve"> Because mergers typically increase concentration,</w:t>
      </w:r>
      <w:r w:rsidRPr="00817B9F">
        <w:rPr>
          <w:rStyle w:val="FootnoteReference"/>
        </w:rPr>
        <w:footnoteReference w:id="171"/>
      </w:r>
      <w:r w:rsidRPr="00817B9F">
        <w:t xml:space="preserve"> the </w:t>
      </w:r>
      <w:r w:rsidRPr="00817B9F">
        <w:rPr>
          <w:i/>
        </w:rPr>
        <w:t>Guidelines</w:t>
      </w:r>
      <w:r w:rsidRPr="00817B9F">
        <w:t xml:space="preserve"> also describe the circumstances in which a proposed merger may give rise to competitive concerns. Among other things, the </w:t>
      </w:r>
      <w:r w:rsidRPr="00817B9F">
        <w:rPr>
          <w:i/>
          <w:iCs/>
        </w:rPr>
        <w:t xml:space="preserve">Guidelines </w:t>
      </w:r>
      <w:r w:rsidRPr="00817B9F">
        <w:t>state that mergers resulting in a change in HHI of less than 100 points or which maintain an unconcentrated market are unlikely to lead to adverse competitive effects.</w:t>
      </w:r>
      <w:r w:rsidRPr="00817B9F">
        <w:rPr>
          <w:rStyle w:val="FootnoteReference"/>
        </w:rPr>
        <w:footnoteReference w:id="172"/>
      </w:r>
      <w:r w:rsidRPr="00817B9F">
        <w:t xml:space="preserve"> (Of course, non-merger transactions can result in </w:t>
      </w:r>
      <w:r w:rsidRPr="00817B9F">
        <w:rPr>
          <w:i/>
          <w:iCs/>
        </w:rPr>
        <w:t>decreases</w:t>
      </w:r>
      <w:r w:rsidRPr="00817B9F">
        <w:t xml:space="preserve"> in concentration, which would be either competitively neutral or may lead to procompetitive effects based on HHI calculations.) </w:t>
      </w:r>
      <w:r w:rsidR="00A079B2" w:rsidRPr="00817B9F">
        <w:rPr>
          <w:color w:val="000000"/>
        </w:rPr>
        <w:t xml:space="preserve">While the </w:t>
      </w:r>
      <w:r w:rsidR="00A079B2" w:rsidRPr="00817B9F">
        <w:rPr>
          <w:i/>
          <w:color w:val="000000"/>
        </w:rPr>
        <w:t>Guidelines</w:t>
      </w:r>
      <w:r w:rsidR="00A079B2" w:rsidRPr="00817B9F">
        <w:rPr>
          <w:color w:val="000000"/>
        </w:rPr>
        <w:t xml:space="preserve"> provide a “safe harbor” for horizontal mergers that increase concentration </w:t>
      </w:r>
      <w:r w:rsidR="008468D5" w:rsidRPr="00817B9F">
        <w:rPr>
          <w:color w:val="000000"/>
        </w:rPr>
        <w:t xml:space="preserve">by less than 100 points, in practice many mergers involving health care providers </w:t>
      </w:r>
      <w:r w:rsidR="008167B2" w:rsidRPr="00817B9F">
        <w:rPr>
          <w:color w:val="000000"/>
        </w:rPr>
        <w:t xml:space="preserve">that result in substantially higher changes in concentration are not challenged by state or federal enforcement agencies. </w:t>
      </w:r>
      <w:r w:rsidR="00D0405E" w:rsidRPr="00817B9F">
        <w:rPr>
          <w:color w:val="000000"/>
        </w:rPr>
        <w:t xml:space="preserve">To our knowledge, no hospital merger resulting in a change in HHI of less than 700 points has been challenged </w:t>
      </w:r>
      <w:r w:rsidR="009A5EA0" w:rsidRPr="00817B9F">
        <w:rPr>
          <w:color w:val="000000"/>
        </w:rPr>
        <w:t xml:space="preserve">(either successfully or unsuccessfully) </w:t>
      </w:r>
      <w:r w:rsidR="00D0405E" w:rsidRPr="00817B9F">
        <w:rPr>
          <w:color w:val="000000"/>
        </w:rPr>
        <w:t xml:space="preserve">by antitrust enforcement agencies </w:t>
      </w:r>
      <w:r w:rsidR="009A5EA0" w:rsidRPr="00817B9F">
        <w:rPr>
          <w:color w:val="000000"/>
        </w:rPr>
        <w:t>in the last 15 years.</w:t>
      </w:r>
      <w:r w:rsidR="009137AE" w:rsidRPr="00817B9F">
        <w:rPr>
          <w:rStyle w:val="FootnoteReference"/>
          <w:color w:val="000000"/>
        </w:rPr>
        <w:footnoteReference w:id="173"/>
      </w:r>
      <w:r w:rsidR="009A5EA0" w:rsidRPr="00817B9F">
        <w:rPr>
          <w:color w:val="000000"/>
        </w:rPr>
        <w:t xml:space="preserve"> </w:t>
      </w:r>
    </w:p>
    <w:p w14:paraId="54ACF153" w14:textId="1A9EEB4B" w:rsidR="0080743E" w:rsidRPr="00817B9F" w:rsidRDefault="0080743E" w:rsidP="001F4F5C">
      <w:pPr>
        <w:pStyle w:val="NumberedParagraphs"/>
      </w:pPr>
      <w:r w:rsidRPr="00817B9F">
        <w:rPr>
          <w:color w:val="000000"/>
        </w:rPr>
        <w:lastRenderedPageBreak/>
        <w:t xml:space="preserve">In addition to the general guidance contained in the </w:t>
      </w:r>
      <w:r w:rsidRPr="00817B9F">
        <w:rPr>
          <w:i/>
          <w:color w:val="000000"/>
        </w:rPr>
        <w:t>Horizontal Merger Guidelines</w:t>
      </w:r>
      <w:r w:rsidRPr="00817B9F">
        <w:rPr>
          <w:color w:val="000000"/>
        </w:rPr>
        <w:t xml:space="preserve"> on the relationship between the competitiveness of markets and HHI, the HHI has also been used in studies of the relationship between market structure and the prices of inpatient hospital services.</w:t>
      </w:r>
      <w:r w:rsidRPr="00817B9F">
        <w:rPr>
          <w:rStyle w:val="FootnoteReference"/>
          <w:color w:val="000000"/>
        </w:rPr>
        <w:footnoteReference w:id="174"/>
      </w:r>
      <w:r w:rsidRPr="00817B9F">
        <w:rPr>
          <w:color w:val="000000"/>
        </w:rPr>
        <w:t xml:space="preserve"> We review this literature in the next </w:t>
      </w:r>
      <w:r w:rsidR="00931040" w:rsidRPr="00817B9F">
        <w:rPr>
          <w:color w:val="000000"/>
        </w:rPr>
        <w:t>sub</w:t>
      </w:r>
      <w:r w:rsidRPr="00817B9F">
        <w:rPr>
          <w:color w:val="000000"/>
        </w:rPr>
        <w:t xml:space="preserve">section and describe how to use the results of a recent study to simulate the price effect of MGB’s proposed expansion in inpatient services on its bargaining leverage with commercial payors. </w:t>
      </w:r>
      <w:r w:rsidR="001C6971" w:rsidRPr="00817B9F">
        <w:rPr>
          <w:color w:val="000000"/>
        </w:rPr>
        <w:t>Because</w:t>
      </w:r>
      <w:r w:rsidRPr="00817B9F">
        <w:rPr>
          <w:color w:val="000000"/>
        </w:rPr>
        <w:t xml:space="preserve"> the proposed project also </w:t>
      </w:r>
      <w:r w:rsidR="00572D28" w:rsidRPr="00817B9F">
        <w:rPr>
          <w:color w:val="000000"/>
        </w:rPr>
        <w:t>represents an</w:t>
      </w:r>
      <w:r w:rsidRPr="00817B9F">
        <w:rPr>
          <w:color w:val="000000"/>
        </w:rPr>
        <w:t xml:space="preserve"> expansion of </w:t>
      </w:r>
      <w:r w:rsidR="00572D28" w:rsidRPr="00817B9F">
        <w:rPr>
          <w:color w:val="000000"/>
        </w:rPr>
        <w:t xml:space="preserve">MGB’s existing inpatient and </w:t>
      </w:r>
      <w:r w:rsidRPr="00817B9F">
        <w:rPr>
          <w:color w:val="000000"/>
        </w:rPr>
        <w:t xml:space="preserve">outpatient </w:t>
      </w:r>
      <w:r w:rsidR="00572D28" w:rsidRPr="00817B9F">
        <w:rPr>
          <w:color w:val="000000"/>
        </w:rPr>
        <w:t>capacity in eastern Massachusetts</w:t>
      </w:r>
      <w:r w:rsidRPr="00817B9F">
        <w:rPr>
          <w:color w:val="000000"/>
        </w:rPr>
        <w:t xml:space="preserve">, we </w:t>
      </w:r>
      <w:r w:rsidR="001C6971" w:rsidRPr="00817B9F">
        <w:rPr>
          <w:color w:val="000000"/>
        </w:rPr>
        <w:t>also</w:t>
      </w:r>
      <w:r w:rsidR="00E96154" w:rsidRPr="00817B9F">
        <w:rPr>
          <w:color w:val="000000"/>
        </w:rPr>
        <w:t xml:space="preserve"> review</w:t>
      </w:r>
      <w:r w:rsidRPr="00817B9F">
        <w:rPr>
          <w:color w:val="000000"/>
        </w:rPr>
        <w:t xml:space="preserve"> studies of the effect of </w:t>
      </w:r>
      <w:r w:rsidR="00E96154" w:rsidRPr="00817B9F">
        <w:rPr>
          <w:color w:val="000000"/>
        </w:rPr>
        <w:t>entry and</w:t>
      </w:r>
      <w:r w:rsidRPr="00817B9F">
        <w:rPr>
          <w:color w:val="000000"/>
        </w:rPr>
        <w:t xml:space="preserve"> expansion </w:t>
      </w:r>
      <w:r w:rsidR="00E96154" w:rsidRPr="00817B9F">
        <w:rPr>
          <w:color w:val="000000"/>
        </w:rPr>
        <w:t xml:space="preserve">on market dynamics </w:t>
      </w:r>
      <w:r w:rsidRPr="00817B9F">
        <w:rPr>
          <w:color w:val="000000"/>
        </w:rPr>
        <w:t xml:space="preserve">in </w:t>
      </w:r>
      <w:r w:rsidR="00E96154" w:rsidRPr="00817B9F">
        <w:rPr>
          <w:color w:val="000000"/>
        </w:rPr>
        <w:t>health care</w:t>
      </w:r>
      <w:r w:rsidRPr="00817B9F">
        <w:rPr>
          <w:color w:val="000000"/>
        </w:rPr>
        <w:t xml:space="preserve">. </w:t>
      </w:r>
    </w:p>
    <w:p w14:paraId="09B2D1C0" w14:textId="7173AD3C" w:rsidR="0080743E" w:rsidRPr="00817B9F" w:rsidRDefault="0080743E" w:rsidP="001F4F5C">
      <w:pPr>
        <w:pStyle w:val="Heading3"/>
        <w:numPr>
          <w:ilvl w:val="0"/>
          <w:numId w:val="36"/>
        </w:numPr>
      </w:pPr>
      <w:bookmarkStart w:id="107" w:name="_Toc90046529"/>
      <w:r w:rsidRPr="00817B9F">
        <w:t xml:space="preserve">The Relationship Between Hospital </w:t>
      </w:r>
      <w:r w:rsidR="00C52929" w:rsidRPr="00817B9F">
        <w:t>Concentration</w:t>
      </w:r>
      <w:r w:rsidRPr="00817B9F">
        <w:t xml:space="preserve"> and Inpatient Prices</w:t>
      </w:r>
      <w:bookmarkEnd w:id="107"/>
      <w:r w:rsidRPr="00817B9F">
        <w:t xml:space="preserve"> </w:t>
      </w:r>
    </w:p>
    <w:p w14:paraId="2C256900" w14:textId="456B7074" w:rsidR="0080743E" w:rsidRPr="00817B9F" w:rsidRDefault="0080743E" w:rsidP="0080743E">
      <w:pPr>
        <w:pStyle w:val="NumberedParagraphs"/>
      </w:pPr>
      <w:r w:rsidRPr="00817B9F">
        <w:rPr>
          <w:color w:val="000000"/>
        </w:rPr>
        <w:t>In this section we review recent economic studies that examine the time-series or cross-sectional relationship between hospital market concentration and negotiated prices for inpatient services. The most relevant of these studies use large, nationwide databases of commercial health care claims, while older studies focus on hospital markets in California and Florida where administrative data on hospitals prices were publicly available. The evidence in these studies on the relationship between concentration and hospital prices is mixed: some studies find statistically significant, positive associations, while others find no relationship. These findings are consistent with a more recent article that noted that most “high-price” hospitals are not in concentrated markets, suggesting that other factors may be more important determinants of variation in hospital prices.</w:t>
      </w:r>
      <w:r w:rsidRPr="00817B9F">
        <w:rPr>
          <w:rStyle w:val="FootnoteReference"/>
          <w:color w:val="000000"/>
        </w:rPr>
        <w:footnoteReference w:id="175"/>
      </w:r>
      <w:r w:rsidRPr="00817B9F">
        <w:rPr>
          <w:color w:val="000000"/>
        </w:rPr>
        <w:t xml:space="preserve"> While hospital mergers may lead to changes in market concentration, we do not review studies of the effects of hospital mergers on prices because the proposed project involves the </w:t>
      </w:r>
      <w:r w:rsidRPr="00817B9F">
        <w:rPr>
          <w:i/>
          <w:color w:val="000000"/>
        </w:rPr>
        <w:t xml:space="preserve">expansion </w:t>
      </w:r>
      <w:r w:rsidRPr="00817B9F">
        <w:rPr>
          <w:color w:val="000000"/>
        </w:rPr>
        <w:t xml:space="preserve">of an existing competitor rather than the </w:t>
      </w:r>
      <w:r w:rsidRPr="00817B9F">
        <w:rPr>
          <w:i/>
          <w:color w:val="000000"/>
        </w:rPr>
        <w:t>exit</w:t>
      </w:r>
      <w:r w:rsidRPr="00817B9F">
        <w:rPr>
          <w:color w:val="000000"/>
        </w:rPr>
        <w:t xml:space="preserve"> of an existing independent competitor (as would be in the case if one hospital were acquired by another). </w:t>
      </w:r>
    </w:p>
    <w:p w14:paraId="3239EBF5" w14:textId="77777777" w:rsidR="0080743E" w:rsidRPr="00817B9F" w:rsidRDefault="0080743E" w:rsidP="0080743E">
      <w:pPr>
        <w:pStyle w:val="NumberedParagraphs"/>
      </w:pPr>
      <w:r w:rsidRPr="00817B9F">
        <w:lastRenderedPageBreak/>
        <w:t xml:space="preserve">Cooper </w:t>
      </w:r>
      <w:r w:rsidRPr="00817B9F">
        <w:rPr>
          <w:i/>
        </w:rPr>
        <w:t>et al.</w:t>
      </w:r>
      <w:r w:rsidRPr="00817B9F">
        <w:t xml:space="preserve"> (2019) use a large, nationwide database of commercial health care claims covering the period 2007 to 2011 to examine the sources of differences in health care spending for commercially insured patients and to analyze variation in health care prices.</w:t>
      </w:r>
      <w:r w:rsidRPr="00817B9F">
        <w:rPr>
          <w:rStyle w:val="FootnoteReference"/>
        </w:rPr>
        <w:footnoteReference w:id="176"/>
      </w:r>
      <w:r w:rsidRPr="00817B9F">
        <w:t xml:space="preserve"> The authors find that half of the regional variation in health care spending for commercially insured patients is explained by differences in the quantity of services received and half is explained by differences in the prices of those services. The authors also study the relationship between hospital market structure and the prices that commercial payors negotiate with hospitals in those markets, finding that hospital market structure is “strongly associated” with prices: prices at monopoly hospitals (</w:t>
      </w:r>
      <w:r w:rsidRPr="00817B9F">
        <w:rPr>
          <w:i/>
          <w:iCs/>
        </w:rPr>
        <w:t>i.e.</w:t>
      </w:r>
      <w:r w:rsidRPr="00817B9F">
        <w:t xml:space="preserve">, where the HHI would be 10,000) are 12 percent higher than in markets where there are four or more competitors. </w:t>
      </w:r>
    </w:p>
    <w:p w14:paraId="731DF05D" w14:textId="5B740928" w:rsidR="0080743E" w:rsidRPr="00817B9F" w:rsidRDefault="0080743E" w:rsidP="0080743E">
      <w:pPr>
        <w:pStyle w:val="NumberedParagraphs"/>
      </w:pPr>
      <w:r w:rsidRPr="00817B9F">
        <w:t>While the authors’ primary results examine the relationship between the number of competitors and inpatient prices, in an online appendix the authors also regress the logarithm of the price of inpatient services on the logarithm of the HHI in geographic markets for inpatient services. The authors find a statistically significant, positive relationship between concentration and prices, with the coefficient on the logarithm of HHI ranging between 0.047 where the size of the market depended on whether the hospital was in a large urban, urban, or rural location; and 0.100 where the size of the market was fixed at a 30-mile radius.</w:t>
      </w:r>
      <w:r w:rsidRPr="00817B9F">
        <w:rPr>
          <w:rStyle w:val="FootnoteReference"/>
        </w:rPr>
        <w:footnoteReference w:id="177"/>
      </w:r>
      <w:r w:rsidRPr="00817B9F">
        <w:t xml:space="preserve"> So, for example using these estimates, a </w:t>
      </w:r>
      <w:r w:rsidR="00247230" w:rsidRPr="00817B9F">
        <w:t>fiv</w:t>
      </w:r>
      <w:r w:rsidR="009C631D" w:rsidRPr="00817B9F">
        <w:t>e</w:t>
      </w:r>
      <w:r w:rsidRPr="00817B9F">
        <w:t xml:space="preserve"> percent increase in HHI from 2,000 to 2,100 points would be predicted to increase prices for inpatient hospital services by approximately between 0.24 and 0.50 percent.</w:t>
      </w:r>
      <w:r w:rsidRPr="00817B9F">
        <w:rPr>
          <w:rStyle w:val="FootnoteReference"/>
        </w:rPr>
        <w:footnoteReference w:id="178"/>
      </w:r>
      <w:r w:rsidRPr="00817B9F">
        <w:t xml:space="preserve"> Conversely, a decrease in concentration as measured by the HHI would lead to a predicted decrease in prices. We later discuss using the results of this study to predict changes in inpatient prices that </w:t>
      </w:r>
      <w:r w:rsidRPr="00817B9F">
        <w:lastRenderedPageBreak/>
        <w:t xml:space="preserve">may be associated with changes in MGB’s bargaining leverage that result from its expansion. (We focus on this study because, to our knowledge, it is the most recent peer-reviewed study of the relationship between hospital prices and market structure. The study also relies on a national database that includes commercial health care claims for more than one-quarter of individuals enrolled in employer-sponsored health plans.) </w:t>
      </w:r>
    </w:p>
    <w:p w14:paraId="5E9B223C" w14:textId="029B38F5" w:rsidR="0080743E" w:rsidRPr="00817B9F" w:rsidRDefault="0080743E" w:rsidP="0080743E">
      <w:pPr>
        <w:pStyle w:val="NumberedParagraphs"/>
      </w:pPr>
      <w:r w:rsidRPr="00817B9F">
        <w:t xml:space="preserve">Moriya </w:t>
      </w:r>
      <w:r w:rsidRPr="00817B9F">
        <w:rPr>
          <w:i/>
        </w:rPr>
        <w:t>et al.</w:t>
      </w:r>
      <w:r w:rsidRPr="00817B9F">
        <w:t xml:space="preserve"> (2010) also use a large, nationwide database of commercial health insurance claims covering the period 2001 to 2003 to study the relationship between hospital and insurer concentration on negotiated pries for inpatient services.</w:t>
      </w:r>
      <w:r w:rsidRPr="00817B9F">
        <w:rPr>
          <w:rStyle w:val="FootnoteReference"/>
        </w:rPr>
        <w:footnoteReference w:id="179"/>
      </w:r>
      <w:r w:rsidRPr="00817B9F">
        <w:t xml:space="preserve"> The authors regress the logarithm of inpatient prices on concentration in the hospital market (measured using the HHI for inpatient services in a geographic market corresponding to CMS’s Hospital Service Areas), concentration in the insurance market, hospital characteristics (</w:t>
      </w:r>
      <w:r w:rsidRPr="00817B9F">
        <w:rPr>
          <w:i/>
        </w:rPr>
        <w:t>e.g.</w:t>
      </w:r>
      <w:r w:rsidRPr="00817B9F">
        <w:t xml:space="preserve">, teaching status), patient demographics, and health plan characteristics. In their primary specification, the authors find a positive but statistically insignificant relationship between hospital prices and hospital concentration. The authors note, however, that their results appear sensitive to the inclusion of claims data for hospitals in Michigan and Georgia. If their data are limited to claims for just these two states, the coefficient on hospital concentration becomes positive and </w:t>
      </w:r>
      <w:r w:rsidR="003F171F" w:rsidRPr="00817B9F">
        <w:t xml:space="preserve">marginally </w:t>
      </w:r>
      <w:r w:rsidRPr="00817B9F">
        <w:t xml:space="preserve">statistically significant, providing some evidence that higher concentration is associated with higher prices in those states. </w:t>
      </w:r>
    </w:p>
    <w:p w14:paraId="007D3AC8" w14:textId="1FB2475F" w:rsidR="0080743E" w:rsidRPr="00817B9F" w:rsidRDefault="0080743E" w:rsidP="0080743E">
      <w:pPr>
        <w:pStyle w:val="NumberedParagraphs"/>
      </w:pPr>
      <w:r w:rsidRPr="00817B9F">
        <w:t xml:space="preserve"> Dranove </w:t>
      </w:r>
      <w:r w:rsidRPr="00817B9F">
        <w:rPr>
          <w:i/>
        </w:rPr>
        <w:t>et al.</w:t>
      </w:r>
      <w:r w:rsidRPr="00817B9F">
        <w:t xml:space="preserve"> (2008) hypothesize that the growth of managed care plans in the 1990s allowed insurers to limit increases in negotiated hospital prices, but that consumer preferences for broad provider networks in the late 1990s and early 2000s diminished this ability.</w:t>
      </w:r>
      <w:r w:rsidRPr="00817B9F">
        <w:rPr>
          <w:rStyle w:val="FootnoteReference"/>
        </w:rPr>
        <w:footnoteReference w:id="180"/>
      </w:r>
      <w:r w:rsidRPr="00817B9F">
        <w:t xml:space="preserve"> That is, consumers’ demand for inclusive hospital networks may limit the ability of insurers to negotiate lower prices because insurers cannot credibly threaten to exclude hospitals from their network. To study this question, the authors use data on hospital prices in California and Florida in 1990, 1995, 1999, 2001, and 2003 to estimate the relationship between hospital concentration and prices. Hospital prices are measured using the average reimbursement for a set of </w:t>
      </w:r>
      <w:r w:rsidR="00946A0A" w:rsidRPr="00817B9F">
        <w:t>ten</w:t>
      </w:r>
      <w:r w:rsidRPr="00817B9F">
        <w:t xml:space="preserve"> common inpatient services, while concentration is measured using a hospital-specific measure of concentration. </w:t>
      </w:r>
      <w:r w:rsidRPr="00817B9F">
        <w:lastRenderedPageBreak/>
        <w:t>Using this approach, the authors find a weak, negative relationship between concentration and prices in 1990 and 1995 (</w:t>
      </w:r>
      <w:r w:rsidRPr="00817B9F">
        <w:rPr>
          <w:i/>
        </w:rPr>
        <w:t>i.e.</w:t>
      </w:r>
      <w:r w:rsidRPr="00817B9F">
        <w:t xml:space="preserve">, more concentrated hospital markets are associated with lower prices). In later years the relationship between prices and HHI becomes positive and statistically significant, with the magnitude of the relationship being largest in 2001. The authors conclude that, despite the “managed care backlash,” insurers appeared to be successful in negotiating lower prices with hospitals in more competitive markets. </w:t>
      </w:r>
    </w:p>
    <w:p w14:paraId="5F44BC1B" w14:textId="54C582AC" w:rsidR="0080743E" w:rsidRPr="00817B9F" w:rsidRDefault="0080743E" w:rsidP="0080743E">
      <w:pPr>
        <w:pStyle w:val="NumberedParagraphs"/>
      </w:pPr>
      <w:r w:rsidRPr="00817B9F">
        <w:t>Melnick and Keeler (2007) analyze growth in California hospital prices between 1999 and 2003, a period that was marked by significant growth in these prices.</w:t>
      </w:r>
      <w:r w:rsidRPr="00817B9F">
        <w:rPr>
          <w:rStyle w:val="FootnoteReference"/>
        </w:rPr>
        <w:footnoteReference w:id="181"/>
      </w:r>
      <w:r w:rsidRPr="00817B9F">
        <w:t xml:space="preserve"> The authors’ primary research question concerns whether being part of a multi-hospital system was associated with faster rates of growth in a hospital’s prices. To address this question, the authors construct a measure of hospital reimbursement for a bundle of </w:t>
      </w:r>
      <w:r w:rsidR="00946A0A" w:rsidRPr="00817B9F">
        <w:t>ten</w:t>
      </w:r>
      <w:r w:rsidRPr="00817B9F">
        <w:t xml:space="preserve"> common inpatient services, and regress that measure of inpatient prices on controls for whether the hospital was part of a system (distinguishing between “small” systems comprised of between two and fourteen hospitals and “large” systems with at least fifteen hospitals), hospital characteristics, and a hospital-specific measure of concentration. In their baseline specification the authors find a positive, statistically significant relationship between inpatient prices and concentration; however, adding controls for time-invariant county attributes (</w:t>
      </w:r>
      <w:r w:rsidRPr="00817B9F">
        <w:rPr>
          <w:i/>
        </w:rPr>
        <w:t>i.e.</w:t>
      </w:r>
      <w:r w:rsidRPr="00817B9F">
        <w:t>, county fixed effects) reduces the magnitude of the price-concentration relationship and causes it to become statistically insignificant. As such, the study provides</w:t>
      </w:r>
      <w:r w:rsidR="00534DA1" w:rsidRPr="00817B9F">
        <w:t>,</w:t>
      </w:r>
      <w:r w:rsidRPr="00817B9F">
        <w:t xml:space="preserve"> at best</w:t>
      </w:r>
      <w:r w:rsidR="00534DA1" w:rsidRPr="00817B9F">
        <w:t>,</w:t>
      </w:r>
      <w:r w:rsidRPr="00817B9F">
        <w:t xml:space="preserve"> only weak evidence that more concentrated hospital markets are associated with higher prices. </w:t>
      </w:r>
    </w:p>
    <w:p w14:paraId="6AF15384" w14:textId="758C54AB" w:rsidR="0080743E" w:rsidRPr="00817B9F" w:rsidRDefault="0080743E" w:rsidP="0080743E">
      <w:pPr>
        <w:pStyle w:val="NumberedParagraphs"/>
      </w:pPr>
      <w:r w:rsidRPr="00817B9F">
        <w:t xml:space="preserve">Antwi </w:t>
      </w:r>
      <w:r w:rsidRPr="00817B9F">
        <w:rPr>
          <w:i/>
        </w:rPr>
        <w:t>et al</w:t>
      </w:r>
      <w:r w:rsidRPr="00817B9F">
        <w:t>. (2009) assess changes in hospital prices in California between 1992 and 2006.</w:t>
      </w:r>
      <w:r w:rsidR="00C560D7" w:rsidRPr="00817B9F">
        <w:rPr>
          <w:rStyle w:val="FootnoteReference"/>
        </w:rPr>
        <w:footnoteReference w:id="182"/>
      </w:r>
      <w:r w:rsidRPr="00817B9F">
        <w:t xml:space="preserve"> The authors note that hospital prices for commercially insured patients in California </w:t>
      </w:r>
      <w:r w:rsidRPr="00817B9F">
        <w:rPr>
          <w:i/>
        </w:rPr>
        <w:t>decreased</w:t>
      </w:r>
      <w:r w:rsidRPr="00817B9F">
        <w:t xml:space="preserve"> between the early and late 1990s but then increased sharply between 1999 and 2006. The annual average increase in inpatient prices over this later period was 10.6 percent, so that hospital prices in 2006 were nearly double what they had been in 1999. To determine whether the sharp increase in hospital prices starting in 1999 might be attributed to changes in hospital </w:t>
      </w:r>
      <w:r w:rsidRPr="00817B9F">
        <w:lastRenderedPageBreak/>
        <w:t>concentration, the authors calculate hospital HHIs using counties as assumed geographic markets. While the authors note that county-level HHIs increased between 1999 and 2006—from an average of 2,046 in 1992 to 2,824 in 2003—they conclude that the observed pattern of price increases and concentration is not consistent with the hypothesis that growth in hospital concentration led to growth in hospital prices. Specifically, the authors note that if increases in concentration led to increases in prices, one would expect to see prices rising most in markets where concentration rose the most. However, the largest price increases were observed in relatively concentrated markets where the HHI changed little over this period, while markets with large changes in concentrat</w:t>
      </w:r>
      <w:r w:rsidR="00C560D7" w:rsidRPr="00817B9F">
        <w:t>ion</w:t>
      </w:r>
      <w:r w:rsidRPr="00817B9F">
        <w:t xml:space="preserve"> experienced moderate growth in prices.</w:t>
      </w:r>
    </w:p>
    <w:p w14:paraId="471DCFFC" w14:textId="3DDDB98C" w:rsidR="0080743E" w:rsidRPr="00817B9F" w:rsidRDefault="0080743E" w:rsidP="0080743E">
      <w:pPr>
        <w:pStyle w:val="Heading3"/>
      </w:pPr>
      <w:bookmarkStart w:id="108" w:name="_Ref88552262"/>
      <w:bookmarkStart w:id="109" w:name="_Toc90046530"/>
      <w:r w:rsidRPr="00817B9F">
        <w:t xml:space="preserve">Effect of Entry </w:t>
      </w:r>
      <w:r w:rsidR="00572D28" w:rsidRPr="00817B9F">
        <w:t xml:space="preserve">and Expansion </w:t>
      </w:r>
      <w:r w:rsidRPr="00817B9F">
        <w:t>on Competition in the Provision of Health Care Services</w:t>
      </w:r>
      <w:bookmarkEnd w:id="108"/>
      <w:bookmarkEnd w:id="109"/>
    </w:p>
    <w:p w14:paraId="11180C8F" w14:textId="73CC6159" w:rsidR="0072099C" w:rsidRPr="00817B9F" w:rsidRDefault="0080743E" w:rsidP="0080743E">
      <w:pPr>
        <w:pStyle w:val="NumberedParagraphs"/>
      </w:pPr>
      <w:r w:rsidRPr="00817B9F">
        <w:t xml:space="preserve">There is an extensive health economics literature on the effect of hospital acquisitions on hospitals’ negotiating leverage with commercial insurers and hospital prices. While this literature does not speak directly to the effect of entry </w:t>
      </w:r>
      <w:r w:rsidR="006F0C3A" w:rsidRPr="00817B9F">
        <w:t>or expansion</w:t>
      </w:r>
      <w:r w:rsidRPr="00817B9F">
        <w:t xml:space="preserve"> on health care providers’ bargaining leverage, it is potentially relevant for evaluating the competitive impact of the </w:t>
      </w:r>
      <w:r w:rsidR="006F0C3A" w:rsidRPr="00817B9F">
        <w:t>proposed</w:t>
      </w:r>
      <w:r w:rsidRPr="00817B9F">
        <w:t xml:space="preserve"> project </w:t>
      </w:r>
      <w:r w:rsidR="006F0C3A" w:rsidRPr="00817B9F">
        <w:t>because</w:t>
      </w:r>
      <w:r w:rsidR="00350987" w:rsidRPr="00817B9F">
        <w:t xml:space="preserve"> acquisitions of health care providers are the inverse of health care provider entry. That is, while hospital acquisitions remove an independent competitor from the market (the acquired hospital does not close, but ceases to exist as a separate firm), entry achieves the opposite effect. As such, if there is some symmetry in the effects of removing and adding a competitor, studying the effects of health care provider acquisitions may provide useful guidance as to the likely competitive effects of provider entry</w:t>
      </w:r>
      <w:r w:rsidR="000A506D" w:rsidRPr="00817B9F">
        <w:t xml:space="preserve"> or expansion</w:t>
      </w:r>
      <w:r w:rsidR="00350987" w:rsidRPr="00817B9F">
        <w:t>.</w:t>
      </w:r>
    </w:p>
    <w:p w14:paraId="2CD63CEC" w14:textId="7E241216" w:rsidR="0080743E" w:rsidRPr="00817B9F" w:rsidRDefault="0080743E" w:rsidP="0080743E">
      <w:pPr>
        <w:pStyle w:val="NumberedParagraphs"/>
        <w:rPr>
          <w:color w:val="000000"/>
        </w:rPr>
      </w:pPr>
      <w:r w:rsidRPr="00817B9F">
        <w:t xml:space="preserve">Gaynor and Town (2012) summarize </w:t>
      </w:r>
      <w:r w:rsidR="00EA3781" w:rsidRPr="00817B9F">
        <w:t xml:space="preserve">less recent </w:t>
      </w:r>
      <w:r w:rsidRPr="00817B9F">
        <w:t>research on the impact of hospital mergers on price and the quality of care provided by the hospitals.</w:t>
      </w:r>
      <w:r w:rsidRPr="00817B9F">
        <w:rPr>
          <w:rStyle w:val="FootnoteReference"/>
        </w:rPr>
        <w:footnoteReference w:id="183"/>
      </w:r>
      <w:r w:rsidRPr="00817B9F">
        <w:t xml:space="preserve"> Based on their review of the empirical economics literature, the authors conclude that </w:t>
      </w:r>
      <w:r w:rsidR="009264B4" w:rsidRPr="00817B9F">
        <w:t xml:space="preserve">the </w:t>
      </w:r>
      <w:r w:rsidRPr="00817B9F">
        <w:t>consensus view is that “hospital consolidation generally results in higher prices” and that competition improves the quality of care provided by hospital</w:t>
      </w:r>
      <w:r w:rsidR="009264B4" w:rsidRPr="00817B9F">
        <w:t>s</w:t>
      </w:r>
      <w:r w:rsidRPr="00817B9F">
        <w:t xml:space="preserve">. Gaynor </w:t>
      </w:r>
      <w:r w:rsidRPr="00817B9F">
        <w:rPr>
          <w:i/>
        </w:rPr>
        <w:t>et al.</w:t>
      </w:r>
      <w:r w:rsidRPr="00817B9F">
        <w:t xml:space="preserve"> (2015) is a more recent critical review of the empirical evidence on the </w:t>
      </w:r>
      <w:r w:rsidRPr="00817B9F">
        <w:lastRenderedPageBreak/>
        <w:t>effect of hospital competition on prices.</w:t>
      </w:r>
      <w:r w:rsidRPr="00817B9F">
        <w:rPr>
          <w:rStyle w:val="FootnoteReference"/>
        </w:rPr>
        <w:footnoteReference w:id="184"/>
      </w:r>
      <w:r w:rsidRPr="00817B9F">
        <w:t xml:space="preserve"> Based on their review, the authors conclude that “mergers between rival hospitals are likely to raise the price of inpatient care and these effects are larger in concentrated markets. The estimated magnitudes are heterogenous and differ across market settings, hospitals, and insurers.”</w:t>
      </w:r>
      <w:r w:rsidRPr="00817B9F">
        <w:rPr>
          <w:color w:val="000000"/>
        </w:rPr>
        <w:t xml:space="preserve"> </w:t>
      </w:r>
    </w:p>
    <w:p w14:paraId="1FD7F178" w14:textId="4BE95F52" w:rsidR="00593CD9" w:rsidRPr="00817B9F" w:rsidRDefault="000F6DE9" w:rsidP="00C86FC3">
      <w:pPr>
        <w:pStyle w:val="NumberedParagraphs"/>
      </w:pPr>
      <w:r w:rsidRPr="00817B9F">
        <w:t xml:space="preserve">We are aware of one study </w:t>
      </w:r>
      <w:r w:rsidR="00012AAA" w:rsidRPr="00817B9F">
        <w:t xml:space="preserve">that provides evidence on the effects of </w:t>
      </w:r>
      <w:r w:rsidR="00C86FC3" w:rsidRPr="00817B9F">
        <w:t xml:space="preserve">expansions of health care providers and the effects of these expansions on </w:t>
      </w:r>
      <w:r w:rsidR="00012AAA" w:rsidRPr="00817B9F">
        <w:t>negotiating leverage with commercial insurers and prices. Ho (2009)</w:t>
      </w:r>
      <w:r w:rsidR="007C12AF" w:rsidRPr="00817B9F">
        <w:t xml:space="preserve"> finds that capacity-constrained hospitals negotiate</w:t>
      </w:r>
      <w:r w:rsidR="00F02854" w:rsidRPr="00817B9F">
        <w:t>, on average, payments from health insurers that are $6,900 more than hospitals that are not capacity-constrained.</w:t>
      </w:r>
      <w:r w:rsidR="00F02854" w:rsidRPr="00817B9F">
        <w:rPr>
          <w:rStyle w:val="FootnoteReference"/>
        </w:rPr>
        <w:footnoteReference w:id="185"/>
      </w:r>
      <w:r w:rsidR="00A6279B" w:rsidRPr="00817B9F">
        <w:rPr>
          <w:vertAlign w:val="superscript"/>
        </w:rPr>
        <w:t>,</w:t>
      </w:r>
      <w:r w:rsidR="00A6279B" w:rsidRPr="00817B9F">
        <w:rPr>
          <w:rStyle w:val="FootnoteReference"/>
        </w:rPr>
        <w:footnoteReference w:id="186"/>
      </w:r>
      <w:r w:rsidR="00F02854" w:rsidRPr="00817B9F">
        <w:t xml:space="preserve"> </w:t>
      </w:r>
      <w:r w:rsidR="00FE2F60" w:rsidRPr="00817B9F">
        <w:t>The author argues</w:t>
      </w:r>
      <w:r w:rsidR="00D654D4" w:rsidRPr="00817B9F">
        <w:t xml:space="preserve"> that capacity-constrained hospitals </w:t>
      </w:r>
      <w:r w:rsidR="00F76CFA" w:rsidRPr="00817B9F">
        <w:t xml:space="preserve">are able to negotiate higher rates with health insurers </w:t>
      </w:r>
      <w:r w:rsidR="00FE1AC4" w:rsidRPr="00817B9F">
        <w:t>because</w:t>
      </w:r>
      <w:r w:rsidR="00F76CFA" w:rsidRPr="00817B9F">
        <w:t xml:space="preserve"> demand for th</w:t>
      </w:r>
      <w:r w:rsidR="00FE2F60" w:rsidRPr="00817B9F">
        <w:t>ose hospitals’</w:t>
      </w:r>
      <w:r w:rsidR="00F76CFA" w:rsidRPr="00817B9F">
        <w:t xml:space="preserve"> services exceeds </w:t>
      </w:r>
      <w:r w:rsidR="00FE1AC4" w:rsidRPr="00817B9F">
        <w:t>what the hospital can</w:t>
      </w:r>
      <w:r w:rsidR="00F76CFA" w:rsidRPr="00817B9F">
        <w:t xml:space="preserve"> supply. </w:t>
      </w:r>
      <w:r w:rsidR="00FE2F60" w:rsidRPr="00817B9F">
        <w:t>T</w:t>
      </w:r>
      <w:r w:rsidR="00FE1AC4" w:rsidRPr="00817B9F">
        <w:t>he author</w:t>
      </w:r>
      <w:r w:rsidR="00FE2F60" w:rsidRPr="00817B9F">
        <w:t xml:space="preserve"> also</w:t>
      </w:r>
      <w:r w:rsidR="00FE1AC4" w:rsidRPr="00817B9F">
        <w:t xml:space="preserve"> notes that</w:t>
      </w:r>
      <w:r w:rsidR="00396B99" w:rsidRPr="00817B9F">
        <w:t xml:space="preserve"> health care providers might </w:t>
      </w:r>
      <w:r w:rsidR="00FE1AC4" w:rsidRPr="00817B9F">
        <w:t>intenti</w:t>
      </w:r>
      <w:r w:rsidR="00CE1A9C" w:rsidRPr="00817B9F">
        <w:t>ona</w:t>
      </w:r>
      <w:r w:rsidR="00FE1AC4" w:rsidRPr="00817B9F">
        <w:t>lly</w:t>
      </w:r>
      <w:r w:rsidR="00396B99" w:rsidRPr="00817B9F">
        <w:t xml:space="preserve"> underinvest in capacity </w:t>
      </w:r>
      <w:r w:rsidR="00FE2F60" w:rsidRPr="00817B9F">
        <w:t>so as to</w:t>
      </w:r>
      <w:r w:rsidR="00FE1AC4" w:rsidRPr="00817B9F">
        <w:t xml:space="preserve"> benefit from the advantages this </w:t>
      </w:r>
      <w:r w:rsidR="00C64490" w:rsidRPr="00817B9F">
        <w:t xml:space="preserve">provides in negotiations with health insurers. </w:t>
      </w:r>
      <w:r w:rsidR="00FE2F60" w:rsidRPr="00817B9F">
        <w:t>Conversely, relaxing providers’ capacity constraints through entry or expansion decreases their negotiating leverage with health insurers and may result in lower prices for health care services.</w:t>
      </w:r>
      <w:r w:rsidR="000227E1" w:rsidRPr="00817B9F">
        <w:t xml:space="preserve"> </w:t>
      </w:r>
    </w:p>
    <w:p w14:paraId="1AAA2D9C" w14:textId="24270D9D" w:rsidR="0080743E" w:rsidRPr="00817B9F" w:rsidRDefault="0080743E" w:rsidP="0080743E">
      <w:pPr>
        <w:pStyle w:val="NumberedParagraphs"/>
      </w:pPr>
      <w:r w:rsidRPr="00817B9F">
        <w:t xml:space="preserve">While there have been relatively few studies </w:t>
      </w:r>
      <w:r w:rsidR="008B725B" w:rsidRPr="00817B9F">
        <w:t>of</w:t>
      </w:r>
      <w:r w:rsidRPr="00817B9F">
        <w:t xml:space="preserve"> the effects of entry </w:t>
      </w:r>
      <w:r w:rsidR="00FE2F60" w:rsidRPr="00817B9F">
        <w:t xml:space="preserve">and expansion </w:t>
      </w:r>
      <w:r w:rsidRPr="00817B9F">
        <w:t xml:space="preserve">by health care providers on prices, there is a large literature that addresses the effects of certificate-of-need programs on health care prices and expenditures. As described by the Federal Trade Commission and Department of Justice, these programs “generally prevent firms from entering certain areas of the health care market unless they can demonstrate to state authorities that there is an unmet need </w:t>
      </w:r>
      <w:r w:rsidRPr="00817B9F">
        <w:lastRenderedPageBreak/>
        <w:t>for their services.”</w:t>
      </w:r>
      <w:r w:rsidRPr="00817B9F">
        <w:rPr>
          <w:rStyle w:val="FootnoteReference"/>
        </w:rPr>
        <w:footnoteReference w:id="187"/>
      </w:r>
      <w:r w:rsidRPr="00817B9F">
        <w:t xml:space="preserve"> If certificate-of-need programs prevent entry and expansion, then estimates of the effects o</w:t>
      </w:r>
      <w:r w:rsidR="00462846" w:rsidRPr="00817B9F">
        <w:t>f</w:t>
      </w:r>
      <w:r w:rsidRPr="00817B9F">
        <w:t xml:space="preserve"> these program on market outcomes may be informative regarding the effect of entry and expansion on health care market outcomes. (Of course, certificate-of-need programs may have benefits or costs that are not captured solely by examining health care expenditures or the prices of health care services.) </w:t>
      </w:r>
    </w:p>
    <w:p w14:paraId="5FC83CDD" w14:textId="5380E504" w:rsidR="0069080A" w:rsidRPr="00817B9F" w:rsidRDefault="0080743E" w:rsidP="0080743E">
      <w:pPr>
        <w:pStyle w:val="NumberedParagraphs"/>
      </w:pPr>
      <w:r w:rsidRPr="00817B9F">
        <w:t xml:space="preserve">We note that federal antitrust enforcers have generally been opposed to certificate-of-need programs because of a belief that </w:t>
      </w:r>
      <w:r w:rsidR="008B725B" w:rsidRPr="00817B9F">
        <w:t>such</w:t>
      </w:r>
      <w:r w:rsidRPr="00817B9F">
        <w:t xml:space="preserve"> programs are ineffective in controlling health care costs and present a risk of anticompetitive outcomes that may outweigh the benefits of these programs.</w:t>
      </w:r>
      <w:r w:rsidRPr="00817B9F">
        <w:rPr>
          <w:rStyle w:val="FootnoteReference"/>
        </w:rPr>
        <w:footnoteReference w:id="188"/>
      </w:r>
      <w:r w:rsidRPr="00817B9F">
        <w:t xml:space="preserve"> This position is supported by reviews of the health economics literature on the effects of certificate-of-need regulations. Mitchell (2016) synthesizes the findings of 19 peer-reviewed studies on the effects of certificate-of-need programs.</w:t>
      </w:r>
      <w:r w:rsidRPr="00817B9F">
        <w:rPr>
          <w:rStyle w:val="FootnoteReference"/>
        </w:rPr>
        <w:footnoteReference w:id="189"/>
      </w:r>
      <w:r w:rsidRPr="00817B9F">
        <w:t xml:space="preserve"> Based on this review, the author concludes that “the overwhelming weight of evidence suggests that [certificate-of-need] laws are associated with both higher per unit costs and higher total expenditures,”</w:t>
      </w:r>
      <w:r w:rsidRPr="00817B9F">
        <w:rPr>
          <w:rStyle w:val="FootnoteReference"/>
        </w:rPr>
        <w:footnoteReference w:id="190"/>
      </w:r>
      <w:r w:rsidRPr="00817B9F">
        <w:t xml:space="preserve"> although the number of studies that address the effect of certificate-of-need programs on health care expenditures—which take into account both price and quantity effects—is much greater than the number of studies that address the effect of these programs on per-unit prices. </w:t>
      </w:r>
    </w:p>
    <w:p w14:paraId="0DA47B3D" w14:textId="2ECB9787" w:rsidR="0080743E" w:rsidRPr="00817B9F" w:rsidRDefault="0080743E" w:rsidP="0080743E">
      <w:pPr>
        <w:pStyle w:val="NumberedParagraphs"/>
      </w:pPr>
      <w:r w:rsidRPr="00817B9F">
        <w:t>Conover and Bailey (2020) is a comprehensive review of the certificate-of-need literature that synthesizes 90 articles on the effects of certificate-of-need programs on regulatory costs, expenditures on health care services, health outcomes, and access to care.</w:t>
      </w:r>
      <w:r w:rsidRPr="00817B9F">
        <w:rPr>
          <w:rStyle w:val="FootnoteReference"/>
        </w:rPr>
        <w:footnoteReference w:id="191"/>
      </w:r>
      <w:r w:rsidRPr="00817B9F">
        <w:t xml:space="preserve"> In addition, the </w:t>
      </w:r>
      <w:r w:rsidRPr="00817B9F">
        <w:lastRenderedPageBreak/>
        <w:t xml:space="preserve">authors use the results of these studies to conduct an analysis of the cost-effectiveness of certificate-of-need programs. The authors find that evidence on the effect of certificate-of-need programs on health care expenditures is mixed, but that the weight of the evidence is that these programs increase health care expenditures. These higher expenditures are offset by beneficial effects that certificate-of-need programs have in reducing mortality rates for some patients and procedures. The authors conclude that the costs of certificate-of-need programs somewhat outweigh the benefits, although there is considerable uncertainty in their estimates. </w:t>
      </w:r>
    </w:p>
    <w:p w14:paraId="32287B11" w14:textId="2BB566E2" w:rsidR="0080743E" w:rsidRPr="00817B9F" w:rsidRDefault="00ED1DBB" w:rsidP="001F4F5C">
      <w:pPr>
        <w:pStyle w:val="NumberedParagraphs"/>
      </w:pPr>
      <w:r w:rsidRPr="00817B9F">
        <w:t xml:space="preserve">In summary, while there is little economic literature that is directly relevant to the effects of expansion by </w:t>
      </w:r>
      <w:r w:rsidR="001F4F5C" w:rsidRPr="00817B9F">
        <w:t xml:space="preserve">MGH </w:t>
      </w:r>
      <w:r w:rsidRPr="00817B9F">
        <w:t>on the prices for inpatient and outpatient health care services, the weight of the evidence—including the hospital merger literature and certificate-of-need literature—suggests that expansion in health care markets is likely to lower prices for consumers.</w:t>
      </w:r>
    </w:p>
    <w:p w14:paraId="5C3283F6" w14:textId="20573BB3" w:rsidR="00763E70" w:rsidRPr="00817B9F" w:rsidRDefault="00996880" w:rsidP="00763E70">
      <w:pPr>
        <w:pStyle w:val="Heading2"/>
        <w:rPr>
          <w:rFonts w:cs="Times New Roman"/>
        </w:rPr>
      </w:pPr>
      <w:bookmarkStart w:id="110" w:name="_Ref88824286"/>
      <w:bookmarkStart w:id="111" w:name="_Toc90046531"/>
      <w:r w:rsidRPr="00817B9F">
        <w:rPr>
          <w:rFonts w:cs="Times New Roman"/>
        </w:rPr>
        <w:t>Inpatient Services</w:t>
      </w:r>
      <w:bookmarkEnd w:id="110"/>
      <w:bookmarkEnd w:id="111"/>
    </w:p>
    <w:p w14:paraId="30A20117" w14:textId="5FF024D3" w:rsidR="00C74E96" w:rsidRPr="00817B9F" w:rsidRDefault="00CA2354" w:rsidP="00C74E96">
      <w:pPr>
        <w:pStyle w:val="NumberedParagraphs"/>
      </w:pPr>
      <w:r w:rsidRPr="00817B9F">
        <w:t xml:space="preserve">For inpatient services, </w:t>
      </w:r>
      <w:r w:rsidR="008C4299" w:rsidRPr="00817B9F">
        <w:t>we calculate the shares of MGB and its competitors in the service area of</w:t>
      </w:r>
      <w:r w:rsidR="001F4F5C" w:rsidRPr="00817B9F">
        <w:t xml:space="preserve"> MGH</w:t>
      </w:r>
      <w:r w:rsidR="008C4299" w:rsidRPr="00817B9F">
        <w:t xml:space="preserve"> in two steps.</w:t>
      </w:r>
      <w:r w:rsidR="006C2EDF" w:rsidRPr="00817B9F">
        <w:rPr>
          <w:rStyle w:val="FootnoteReference"/>
        </w:rPr>
        <w:footnoteReference w:id="192"/>
      </w:r>
      <w:r w:rsidR="008C4299" w:rsidRPr="00817B9F">
        <w:t xml:space="preserve"> </w:t>
      </w:r>
      <w:r w:rsidR="00032417" w:rsidRPr="00817B9F">
        <w:t xml:space="preserve">First, </w:t>
      </w:r>
      <w:r w:rsidR="00F554BF" w:rsidRPr="00817B9F">
        <w:t xml:space="preserve">using the Hospital Inpatient Discharge Database, </w:t>
      </w:r>
      <w:r w:rsidR="00032417" w:rsidRPr="00817B9F">
        <w:t xml:space="preserve">we calculate </w:t>
      </w:r>
      <w:r w:rsidR="007F37DE" w:rsidRPr="00817B9F">
        <w:t>hospital</w:t>
      </w:r>
      <w:r w:rsidR="005E6D47" w:rsidRPr="00817B9F">
        <w:t xml:space="preserve"> systems’</w:t>
      </w:r>
      <w:r w:rsidR="00032417" w:rsidRPr="00817B9F">
        <w:t xml:space="preserve"> shares of </w:t>
      </w:r>
      <w:r w:rsidR="005E6D47" w:rsidRPr="00817B9F">
        <w:t>inpatient discharges</w:t>
      </w:r>
      <w:r w:rsidR="00032417" w:rsidRPr="00817B9F">
        <w:t xml:space="preserve"> and the resulting HHI</w:t>
      </w:r>
      <w:r w:rsidR="005E6D47" w:rsidRPr="00817B9F">
        <w:t>s</w:t>
      </w:r>
      <w:r w:rsidR="00032417" w:rsidRPr="00817B9F">
        <w:t xml:space="preserve"> in each ZIP Code</w:t>
      </w:r>
      <w:r w:rsidR="005E6D47" w:rsidRPr="00817B9F">
        <w:t xml:space="preserve"> in Massachusetts</w:t>
      </w:r>
      <w:r w:rsidR="00032417" w:rsidRPr="00817B9F">
        <w:t xml:space="preserve">. Second, we calculate </w:t>
      </w:r>
      <w:r w:rsidR="005E6D47" w:rsidRPr="00817B9F">
        <w:t xml:space="preserve">the weighted </w:t>
      </w:r>
      <w:r w:rsidR="00032417" w:rsidRPr="00817B9F">
        <w:t xml:space="preserve">averages of these shares and HHIs across ZIP Codes </w:t>
      </w:r>
      <w:r w:rsidR="005E6D47" w:rsidRPr="00817B9F">
        <w:t>in Massachusetts, where</w:t>
      </w:r>
      <w:r w:rsidR="00032417" w:rsidRPr="00817B9F">
        <w:t xml:space="preserve"> each ZIP Code </w:t>
      </w:r>
      <w:r w:rsidR="005E6D47" w:rsidRPr="00817B9F">
        <w:t xml:space="preserve">is </w:t>
      </w:r>
      <w:r w:rsidR="00032417" w:rsidRPr="00817B9F">
        <w:t>weighted by</w:t>
      </w:r>
      <w:r w:rsidR="001F4F5C" w:rsidRPr="00817B9F">
        <w:t xml:space="preserve"> MGH’s</w:t>
      </w:r>
      <w:r w:rsidR="005E6D47" w:rsidRPr="00817B9F">
        <w:t xml:space="preserve"> discharges </w:t>
      </w:r>
      <w:r w:rsidR="003A66E5" w:rsidRPr="00817B9F">
        <w:t>in that ZIP Code.</w:t>
      </w:r>
      <w:r w:rsidR="00032417" w:rsidRPr="00817B9F">
        <w:t xml:space="preserve"> This measure </w:t>
      </w:r>
      <w:r w:rsidR="003A66E5" w:rsidRPr="00817B9F">
        <w:t xml:space="preserve">of market concentration </w:t>
      </w:r>
      <w:r w:rsidR="00032417" w:rsidRPr="00817B9F">
        <w:t xml:space="preserve">is </w:t>
      </w:r>
      <w:r w:rsidR="003A66E5" w:rsidRPr="00817B9F">
        <w:t>commonly</w:t>
      </w:r>
      <w:r w:rsidR="00032417" w:rsidRPr="00817B9F">
        <w:t xml:space="preserve"> used in the hospital competition </w:t>
      </w:r>
      <w:r w:rsidR="003A66E5" w:rsidRPr="00817B9F">
        <w:t xml:space="preserve">literature </w:t>
      </w:r>
      <w:r w:rsidR="00032417" w:rsidRPr="00817B9F">
        <w:t>because it does not require precisely delineating the boundaries of a specific geographic</w:t>
      </w:r>
      <w:r w:rsidR="00805549" w:rsidRPr="00817B9F">
        <w:t xml:space="preserve"> market </w:t>
      </w:r>
      <w:r w:rsidR="00032417" w:rsidRPr="00817B9F">
        <w:t>(</w:t>
      </w:r>
      <w:r w:rsidR="00032417" w:rsidRPr="00817B9F">
        <w:rPr>
          <w:i/>
        </w:rPr>
        <w:t>e.g.</w:t>
      </w:r>
      <w:r w:rsidR="00032417" w:rsidRPr="00817B9F">
        <w:t>, the primary service area or secondary service area of a health care provider).</w:t>
      </w:r>
      <w:r w:rsidR="00032417" w:rsidRPr="00817B9F">
        <w:rPr>
          <w:rStyle w:val="FootnoteReference"/>
        </w:rPr>
        <w:footnoteReference w:id="193"/>
      </w:r>
      <w:r w:rsidR="00032417" w:rsidRPr="00817B9F">
        <w:t xml:space="preserve"> </w:t>
      </w:r>
      <w:r w:rsidR="000E77B3" w:rsidRPr="00817B9F">
        <w:t xml:space="preserve">The use of this approach </w:t>
      </w:r>
      <w:r w:rsidR="0016271D" w:rsidRPr="00817B9F">
        <w:t>also avoids potentially</w:t>
      </w:r>
      <w:r w:rsidR="00032417" w:rsidRPr="00817B9F">
        <w:t xml:space="preserve"> misleading conclusions about changes in providers’ competitive significance and bargaining leverage if the </w:t>
      </w:r>
      <w:r w:rsidR="0016271D" w:rsidRPr="00817B9F">
        <w:t xml:space="preserve">geographic </w:t>
      </w:r>
      <w:r w:rsidR="00032417" w:rsidRPr="00817B9F">
        <w:t>market is defined too narrowly or broadly.</w:t>
      </w:r>
      <w:r w:rsidR="00032417" w:rsidRPr="00817B9F">
        <w:rPr>
          <w:rStyle w:val="FootnoteReference"/>
        </w:rPr>
        <w:footnoteReference w:id="194"/>
      </w:r>
      <w:r w:rsidR="00032417" w:rsidRPr="00817B9F">
        <w:t xml:space="preserve"> </w:t>
      </w:r>
      <w:r w:rsidR="00AE2125" w:rsidRPr="00817B9F">
        <w:t xml:space="preserve">Rather, </w:t>
      </w:r>
      <w:r w:rsidR="0040518D" w:rsidRPr="00817B9F">
        <w:t xml:space="preserve">the </w:t>
      </w:r>
      <w:r w:rsidR="00AE2125" w:rsidRPr="00817B9F">
        <w:t>a</w:t>
      </w:r>
      <w:r w:rsidR="00032417" w:rsidRPr="00817B9F">
        <w:t xml:space="preserve">pproach we employ </w:t>
      </w:r>
      <w:r w:rsidR="00AE2125" w:rsidRPr="00817B9F">
        <w:t xml:space="preserve">reflects MGB’s significance </w:t>
      </w:r>
      <w:r w:rsidR="005B00F5" w:rsidRPr="00817B9F">
        <w:t xml:space="preserve">in </w:t>
      </w:r>
      <w:r w:rsidR="00032417" w:rsidRPr="00817B9F">
        <w:t>all ZIP Codes in Massachusetts</w:t>
      </w:r>
      <w:r w:rsidR="005B00F5" w:rsidRPr="00817B9F">
        <w:t xml:space="preserve">, but we weight </w:t>
      </w:r>
      <w:r w:rsidR="00C74E96" w:rsidRPr="00817B9F">
        <w:t>more</w:t>
      </w:r>
      <w:r w:rsidR="005B00F5" w:rsidRPr="00817B9F">
        <w:t xml:space="preserve"> heavily MGB’s shares in the ZIP Codes </w:t>
      </w:r>
      <w:r w:rsidR="00805270" w:rsidRPr="00817B9F">
        <w:t xml:space="preserve">that </w:t>
      </w:r>
      <w:r w:rsidR="00C74E96" w:rsidRPr="00817B9F">
        <w:t xml:space="preserve">account for a greater fraction of </w:t>
      </w:r>
      <w:r w:rsidR="001F4F5C" w:rsidRPr="00817B9F">
        <w:t xml:space="preserve">MGH’s </w:t>
      </w:r>
      <w:r w:rsidR="00C74E96" w:rsidRPr="00817B9F">
        <w:t xml:space="preserve">discharges. </w:t>
      </w:r>
    </w:p>
    <w:p w14:paraId="06DCB75B" w14:textId="244B52A8" w:rsidR="005357F5" w:rsidRPr="00817B9F" w:rsidRDefault="00D55448" w:rsidP="000356CA">
      <w:pPr>
        <w:pStyle w:val="NumberedParagraphs"/>
      </w:pPr>
      <w:r w:rsidRPr="00817B9F">
        <w:lastRenderedPageBreak/>
        <w:t xml:space="preserve">Using this approach, </w:t>
      </w:r>
      <w:r w:rsidR="000356CA" w:rsidRPr="00817B9F">
        <w:t xml:space="preserve">Figure </w:t>
      </w:r>
      <w:r w:rsidR="005300A5" w:rsidRPr="00817B9F">
        <w:t>MGH</w:t>
      </w:r>
      <w:r w:rsidR="00BC3FA3" w:rsidRPr="00817B9F">
        <w:t>15</w:t>
      </w:r>
      <w:r w:rsidR="000356CA" w:rsidRPr="00817B9F">
        <w:t xml:space="preserve"> reports </w:t>
      </w:r>
      <w:r w:rsidR="007C7112" w:rsidRPr="00817B9F">
        <w:t xml:space="preserve">inpatient </w:t>
      </w:r>
      <w:r w:rsidR="000356CA" w:rsidRPr="00817B9F">
        <w:t xml:space="preserve">shares </w:t>
      </w:r>
      <w:r w:rsidRPr="00817B9F">
        <w:t xml:space="preserve">in MGH’s service area. We calculate shares separately </w:t>
      </w:r>
      <w:r w:rsidR="000356CA" w:rsidRPr="00817B9F">
        <w:t xml:space="preserve">for </w:t>
      </w:r>
      <w:r w:rsidRPr="00817B9F">
        <w:t>all inpatient services, inpatient cancer ser</w:t>
      </w:r>
      <w:r w:rsidR="008B180A" w:rsidRPr="00817B9F">
        <w:t>vices, inpatient heart and vascular services, and other inpatient services (</w:t>
      </w:r>
      <w:r w:rsidR="008B180A" w:rsidRPr="00817B9F">
        <w:rPr>
          <w:i/>
          <w:iCs/>
        </w:rPr>
        <w:t>i.e.</w:t>
      </w:r>
      <w:r w:rsidR="008B180A" w:rsidRPr="00817B9F">
        <w:t>, inpatient services not in the cancer or heart and vascular service lines)</w:t>
      </w:r>
      <w:r w:rsidR="000356CA" w:rsidRPr="00817B9F">
        <w:t xml:space="preserve">. </w:t>
      </w:r>
    </w:p>
    <w:p w14:paraId="44E0F5B4" w14:textId="40DA0619" w:rsidR="005357F5" w:rsidRPr="00817B9F" w:rsidRDefault="008B180A" w:rsidP="005D3EC9">
      <w:pPr>
        <w:pStyle w:val="BulletParagraph"/>
        <w:rPr>
          <w:rFonts w:cs="Times New Roman"/>
        </w:rPr>
      </w:pPr>
      <w:r w:rsidRPr="00817B9F">
        <w:rPr>
          <w:rFonts w:cs="Times New Roman"/>
        </w:rPr>
        <w:t>MGB has the highest share</w:t>
      </w:r>
      <w:r w:rsidR="00725D2E" w:rsidRPr="00817B9F">
        <w:rPr>
          <w:rFonts w:cs="Times New Roman"/>
        </w:rPr>
        <w:t xml:space="preserve"> in MGH’s own service area for each of these four groups of </w:t>
      </w:r>
      <w:r w:rsidR="005357F5" w:rsidRPr="00817B9F">
        <w:rPr>
          <w:rFonts w:cs="Times New Roman"/>
        </w:rPr>
        <w:t xml:space="preserve">inpatient </w:t>
      </w:r>
      <w:r w:rsidR="00725D2E" w:rsidRPr="00817B9F">
        <w:rPr>
          <w:rFonts w:cs="Times New Roman"/>
        </w:rPr>
        <w:t xml:space="preserve">services, </w:t>
      </w:r>
      <w:r w:rsidR="005357F5" w:rsidRPr="00817B9F">
        <w:rPr>
          <w:rFonts w:cs="Times New Roman"/>
        </w:rPr>
        <w:t>with shares</w:t>
      </w:r>
      <w:r w:rsidR="00725D2E" w:rsidRPr="00817B9F">
        <w:rPr>
          <w:rFonts w:cs="Times New Roman"/>
        </w:rPr>
        <w:t xml:space="preserve"> ranging from 32 percent (other inpatient services) to 45 percent (inpatient cancer services). </w:t>
      </w:r>
    </w:p>
    <w:p w14:paraId="53B5D2AB" w14:textId="77777777" w:rsidR="00CF3EAF" w:rsidRPr="00817B9F" w:rsidRDefault="005357F5" w:rsidP="005D3EC9">
      <w:pPr>
        <w:pStyle w:val="BulletParagraph"/>
        <w:rPr>
          <w:rFonts w:cs="Times New Roman"/>
        </w:rPr>
      </w:pPr>
      <w:r w:rsidRPr="00817B9F">
        <w:rPr>
          <w:rFonts w:cs="Times New Roman"/>
        </w:rPr>
        <w:t xml:space="preserve">Beth Israel Lahey Health has the second-to-highest share in MGH’s service area for all four groups of inpatient services, with shares ranging </w:t>
      </w:r>
      <w:r w:rsidR="00CF3EAF" w:rsidRPr="00817B9F">
        <w:rPr>
          <w:rFonts w:cs="Times New Roman"/>
        </w:rPr>
        <w:t xml:space="preserve">from 23 percent (inpatient cancer services) to 26 percent (other inpatient services). </w:t>
      </w:r>
    </w:p>
    <w:p w14:paraId="254680AA" w14:textId="29FB6F79" w:rsidR="000356CA" w:rsidRPr="00817B9F" w:rsidRDefault="00CF3EAF" w:rsidP="00517EB3">
      <w:pPr>
        <w:pStyle w:val="BulletParagraph"/>
        <w:rPr>
          <w:rFonts w:cs="Times New Roman"/>
        </w:rPr>
      </w:pPr>
      <w:r w:rsidRPr="00817B9F">
        <w:rPr>
          <w:rFonts w:cs="Times New Roman"/>
        </w:rPr>
        <w:t>Other health systems with a share in MGH’s service area exceeding five percent in at least one inpatient service line include Boston Medical Center (shares</w:t>
      </w:r>
      <w:r w:rsidR="005357F5" w:rsidRPr="00817B9F">
        <w:rPr>
          <w:rFonts w:cs="Times New Roman"/>
        </w:rPr>
        <w:t xml:space="preserve"> </w:t>
      </w:r>
      <w:r w:rsidR="009E7847" w:rsidRPr="00817B9F">
        <w:rPr>
          <w:rFonts w:cs="Times New Roman"/>
        </w:rPr>
        <w:t>of five percent), Steward Health Care (shares of four to seven percent), and Wellforce (shares of seven to nine percent).</w:t>
      </w:r>
    </w:p>
    <w:p w14:paraId="2925E3AF" w14:textId="281F3AC3" w:rsidR="002330B2" w:rsidRPr="00817B9F" w:rsidRDefault="002830EA" w:rsidP="002330B2">
      <w:pPr>
        <w:pStyle w:val="NumberedParagraphs"/>
      </w:pPr>
      <w:r w:rsidRPr="00817B9F">
        <w:t>As we noted above, in addition to assessing MGB’s current market shares, the DoN program asked that we consider how those shares might change if MGB’s DoN were approved</w:t>
      </w:r>
      <w:r w:rsidR="00584202" w:rsidRPr="00817B9F">
        <w:t xml:space="preserve">, and how changes in MGB’s shares might affect its </w:t>
      </w:r>
      <w:r w:rsidR="008C1391" w:rsidRPr="00817B9F">
        <w:t>negotiating leverage</w:t>
      </w:r>
      <w:r w:rsidR="00584202" w:rsidRPr="00817B9F">
        <w:t xml:space="preserve"> with third-party payors</w:t>
      </w:r>
      <w:r w:rsidR="008C1391" w:rsidRPr="00817B9F">
        <w:t>.</w:t>
      </w:r>
      <w:r w:rsidR="003B2A37" w:rsidRPr="00817B9F">
        <w:t xml:space="preserve"> </w:t>
      </w:r>
      <w:r w:rsidR="002330B2" w:rsidRPr="00817B9F">
        <w:t xml:space="preserve">To </w:t>
      </w:r>
      <w:r w:rsidR="00C2081E" w:rsidRPr="00817B9F">
        <w:t>address</w:t>
      </w:r>
      <w:r w:rsidR="002330B2" w:rsidRPr="00817B9F">
        <w:t xml:space="preserve"> this </w:t>
      </w:r>
      <w:r w:rsidR="00C2081E" w:rsidRPr="00817B9F">
        <w:t>question,</w:t>
      </w:r>
      <w:r w:rsidR="002330B2" w:rsidRPr="00817B9F">
        <w:t xml:space="preserve"> we </w:t>
      </w:r>
      <w:r w:rsidR="00A04300" w:rsidRPr="00817B9F">
        <w:t xml:space="preserve">first </w:t>
      </w:r>
      <w:r w:rsidR="00C2081E" w:rsidRPr="00817B9F">
        <w:t>use o</w:t>
      </w:r>
      <w:r w:rsidR="00766656" w:rsidRPr="00817B9F">
        <w:t>ur</w:t>
      </w:r>
      <w:r w:rsidR="002330B2" w:rsidRPr="00817B9F">
        <w:t xml:space="preserve"> model of demand for inpatient </w:t>
      </w:r>
      <w:r w:rsidR="002B0249" w:rsidRPr="00817B9F">
        <w:t>hospital</w:t>
      </w:r>
      <w:r w:rsidR="002330B2" w:rsidRPr="00817B9F">
        <w:t xml:space="preserve"> services and </w:t>
      </w:r>
      <w:r w:rsidR="00E94344" w:rsidRPr="00817B9F">
        <w:t xml:space="preserve">the </w:t>
      </w:r>
      <w:r w:rsidR="00766656" w:rsidRPr="00817B9F">
        <w:t>method for simulating th</w:t>
      </w:r>
      <w:r w:rsidR="00F94F4A" w:rsidRPr="00817B9F">
        <w:t xml:space="preserve">e effect of the proposed </w:t>
      </w:r>
      <w:r w:rsidR="00F4327B" w:rsidRPr="00817B9F">
        <w:t xml:space="preserve">expansion of </w:t>
      </w:r>
      <w:r w:rsidR="001F4F5C" w:rsidRPr="00817B9F">
        <w:t>MGH</w:t>
      </w:r>
      <w:r w:rsidR="00F4327B" w:rsidRPr="00817B9F">
        <w:t xml:space="preserve"> on patients’ demand for inpatient services that</w:t>
      </w:r>
      <w:r w:rsidR="002330B2" w:rsidRPr="00817B9F">
        <w:t xml:space="preserve"> </w:t>
      </w:r>
      <w:r w:rsidR="002B0249" w:rsidRPr="00817B9F">
        <w:t xml:space="preserve">we </w:t>
      </w:r>
      <w:r w:rsidR="002330B2" w:rsidRPr="00817B9F">
        <w:t xml:space="preserve">described in </w:t>
      </w:r>
      <w:r w:rsidR="00ED08E8" w:rsidRPr="00817B9F">
        <w:t>Section</w:t>
      </w:r>
      <w:r w:rsidR="00385FCD" w:rsidRPr="00817B9F">
        <w:t xml:space="preserve"> </w:t>
      </w:r>
      <w:r w:rsidR="00385FCD" w:rsidRPr="00817B9F">
        <w:fldChar w:fldCharType="begin"/>
      </w:r>
      <w:r w:rsidR="00385FCD" w:rsidRPr="00817B9F">
        <w:instrText xml:space="preserve"> REF _Ref88993266 \w \h </w:instrText>
      </w:r>
      <w:r w:rsidR="00FD09F0" w:rsidRPr="00817B9F">
        <w:instrText xml:space="preserve"> \* MERGEFORMAT </w:instrText>
      </w:r>
      <w:r w:rsidR="00385FCD" w:rsidRPr="00817B9F">
        <w:fldChar w:fldCharType="separate"/>
      </w:r>
      <w:r w:rsidR="002B78C3">
        <w:t>VI</w:t>
      </w:r>
      <w:r w:rsidR="00385FCD" w:rsidRPr="00817B9F">
        <w:fldChar w:fldCharType="end"/>
      </w:r>
      <w:r w:rsidR="00385FCD" w:rsidRPr="00817B9F">
        <w:t>.</w:t>
      </w:r>
      <w:r w:rsidR="00385FCD" w:rsidRPr="00817B9F">
        <w:fldChar w:fldCharType="begin"/>
      </w:r>
      <w:r w:rsidR="00385FCD" w:rsidRPr="00817B9F">
        <w:instrText xml:space="preserve"> REF _Ref88993270 \w \h </w:instrText>
      </w:r>
      <w:r w:rsidR="00FD09F0" w:rsidRPr="00817B9F">
        <w:instrText xml:space="preserve"> \* MERGEFORMAT </w:instrText>
      </w:r>
      <w:r w:rsidR="00385FCD" w:rsidRPr="00817B9F">
        <w:fldChar w:fldCharType="separate"/>
      </w:r>
      <w:r w:rsidR="002B78C3">
        <w:t>A</w:t>
      </w:r>
      <w:r w:rsidR="00385FCD" w:rsidRPr="00817B9F">
        <w:fldChar w:fldCharType="end"/>
      </w:r>
      <w:r w:rsidR="00766656" w:rsidRPr="00817B9F">
        <w:t>.</w:t>
      </w:r>
      <w:r w:rsidR="003B2A37" w:rsidRPr="00817B9F">
        <w:t xml:space="preserve"> </w:t>
      </w:r>
      <w:r w:rsidR="00AB7840" w:rsidRPr="00817B9F">
        <w:t>Using this approach, we</w:t>
      </w:r>
      <w:r w:rsidR="002330B2" w:rsidRPr="00817B9F">
        <w:t xml:space="preserve"> assess the impact of the </w:t>
      </w:r>
      <w:r w:rsidR="00E90EEB" w:rsidRPr="00817B9F">
        <w:t>p</w:t>
      </w:r>
      <w:r w:rsidR="002330B2" w:rsidRPr="00817B9F">
        <w:t>roject on</w:t>
      </w:r>
      <w:r w:rsidR="00584202" w:rsidRPr="00817B9F">
        <w:t xml:space="preserve"> MGB’s</w:t>
      </w:r>
      <w:r w:rsidR="002330B2" w:rsidRPr="00817B9F">
        <w:t xml:space="preserve"> shares and </w:t>
      </w:r>
      <w:r w:rsidR="00584202" w:rsidRPr="00817B9F">
        <w:t xml:space="preserve">market </w:t>
      </w:r>
      <w:r w:rsidR="002330B2" w:rsidRPr="00817B9F">
        <w:t>concentration</w:t>
      </w:r>
      <w:r w:rsidR="00AB7840" w:rsidRPr="00817B9F">
        <w:t xml:space="preserve"> by comparing</w:t>
      </w:r>
      <w:r w:rsidR="002330B2" w:rsidRPr="00817B9F">
        <w:t xml:space="preserve"> </w:t>
      </w:r>
      <w:r w:rsidR="00441D02" w:rsidRPr="00817B9F">
        <w:t>current</w:t>
      </w:r>
      <w:r w:rsidR="002330B2" w:rsidRPr="00817B9F">
        <w:t xml:space="preserve"> shares and concentration to </w:t>
      </w:r>
      <w:r w:rsidR="00AB7840" w:rsidRPr="00817B9F">
        <w:t>the predicted shares and concentration resulting from our</w:t>
      </w:r>
      <w:r w:rsidR="002330B2" w:rsidRPr="00817B9F">
        <w:t xml:space="preserve"> simulation.</w:t>
      </w:r>
      <w:r w:rsidR="00512AD2" w:rsidRPr="00817B9F">
        <w:t xml:space="preserve"> Using</w:t>
      </w:r>
      <w:r w:rsidR="002330B2" w:rsidRPr="00817B9F">
        <w:t xml:space="preserve"> </w:t>
      </w:r>
      <w:r w:rsidR="00512AD2" w:rsidRPr="00817B9F">
        <w:t>the economics literature that we summarized in Section</w:t>
      </w:r>
      <w:r w:rsidR="00385FCD" w:rsidRPr="00817B9F">
        <w:t xml:space="preserve"> </w:t>
      </w:r>
      <w:r w:rsidR="00385FCD" w:rsidRPr="00817B9F">
        <w:fldChar w:fldCharType="begin"/>
      </w:r>
      <w:r w:rsidR="00385FCD" w:rsidRPr="00817B9F">
        <w:instrText xml:space="preserve"> REF _Ref88993326 \w \h </w:instrText>
      </w:r>
      <w:r w:rsidR="00FD09F0" w:rsidRPr="00817B9F">
        <w:instrText xml:space="preserve"> \* MERGEFORMAT </w:instrText>
      </w:r>
      <w:r w:rsidR="00385FCD" w:rsidRPr="00817B9F">
        <w:fldChar w:fldCharType="separate"/>
      </w:r>
      <w:r w:rsidR="002B78C3">
        <w:t>VII</w:t>
      </w:r>
      <w:r w:rsidR="00385FCD" w:rsidRPr="00817B9F">
        <w:fldChar w:fldCharType="end"/>
      </w:r>
      <w:r w:rsidR="00385FCD" w:rsidRPr="00817B9F">
        <w:t>.</w:t>
      </w:r>
      <w:r w:rsidR="00385FCD" w:rsidRPr="00817B9F">
        <w:fldChar w:fldCharType="begin"/>
      </w:r>
      <w:r w:rsidR="00385FCD" w:rsidRPr="00817B9F">
        <w:instrText xml:space="preserve"> REF _Ref88483325 \w \h </w:instrText>
      </w:r>
      <w:r w:rsidR="00FD09F0" w:rsidRPr="00817B9F">
        <w:instrText xml:space="preserve"> \* MERGEFORMAT </w:instrText>
      </w:r>
      <w:r w:rsidR="00385FCD" w:rsidRPr="00817B9F">
        <w:fldChar w:fldCharType="separate"/>
      </w:r>
      <w:r w:rsidR="002B78C3">
        <w:t>A</w:t>
      </w:r>
      <w:r w:rsidR="00385FCD" w:rsidRPr="00817B9F">
        <w:fldChar w:fldCharType="end"/>
      </w:r>
      <w:r w:rsidR="00512AD2" w:rsidRPr="00817B9F">
        <w:t>, w</w:t>
      </w:r>
      <w:r w:rsidR="00584202" w:rsidRPr="00817B9F">
        <w:t xml:space="preserve">e then </w:t>
      </w:r>
      <w:r w:rsidR="00EB6610" w:rsidRPr="00817B9F">
        <w:t xml:space="preserve">relate the predicted change in concentration to </w:t>
      </w:r>
      <w:r w:rsidR="00BB5C97" w:rsidRPr="00817B9F">
        <w:t xml:space="preserve">determine how MGB’s negotiating </w:t>
      </w:r>
      <w:r w:rsidR="006F2EE7" w:rsidRPr="00817B9F">
        <w:t xml:space="preserve">leverage might </w:t>
      </w:r>
      <w:r w:rsidR="00B55A40" w:rsidRPr="00817B9F">
        <w:t xml:space="preserve">change as a result of the proposed project. </w:t>
      </w:r>
    </w:p>
    <w:p w14:paraId="0EC43FE7" w14:textId="743F2E45" w:rsidR="006C5B0A" w:rsidRPr="00817B9F" w:rsidRDefault="002330B2" w:rsidP="00517EB3">
      <w:pPr>
        <w:pStyle w:val="NumberedParagraphs"/>
      </w:pPr>
      <w:r w:rsidRPr="00817B9F">
        <w:t xml:space="preserve">Figure </w:t>
      </w:r>
      <w:r w:rsidR="00625368" w:rsidRPr="00817B9F">
        <w:t>MGH</w:t>
      </w:r>
      <w:r w:rsidR="00BC3FA3" w:rsidRPr="00817B9F">
        <w:t>16</w:t>
      </w:r>
      <w:r w:rsidRPr="00817B9F">
        <w:t xml:space="preserve"> reports </w:t>
      </w:r>
      <w:r w:rsidR="00743653" w:rsidRPr="00817B9F">
        <w:t xml:space="preserve">each </w:t>
      </w:r>
      <w:r w:rsidR="00114B94" w:rsidRPr="00817B9F">
        <w:t>hospital</w:t>
      </w:r>
      <w:r w:rsidR="00743653" w:rsidRPr="00817B9F">
        <w:t>’s</w:t>
      </w:r>
      <w:r w:rsidRPr="00817B9F">
        <w:t xml:space="preserve"> share</w:t>
      </w:r>
      <w:r w:rsidR="00441D02" w:rsidRPr="00817B9F">
        <w:t xml:space="preserve"> of</w:t>
      </w:r>
      <w:r w:rsidRPr="00817B9F">
        <w:t xml:space="preserve"> </w:t>
      </w:r>
      <w:r w:rsidR="006E3282" w:rsidRPr="00817B9F">
        <w:t>inpatient admissions</w:t>
      </w:r>
      <w:r w:rsidRPr="00817B9F">
        <w:t xml:space="preserve"> </w:t>
      </w:r>
      <w:r w:rsidR="00114B94" w:rsidRPr="00817B9F">
        <w:t xml:space="preserve">in MGH’s service </w:t>
      </w:r>
      <w:r w:rsidR="00F72D46" w:rsidRPr="00817B9F">
        <w:t xml:space="preserve">area </w:t>
      </w:r>
      <w:r w:rsidR="00114B94" w:rsidRPr="00817B9F">
        <w:t xml:space="preserve">and the </w:t>
      </w:r>
      <w:r w:rsidRPr="00817B9F">
        <w:t xml:space="preserve">implied concentration levels before and after the proposed project. </w:t>
      </w:r>
      <w:r w:rsidR="009C6828" w:rsidRPr="00817B9F">
        <w:t>If the proposed project were approved, a</w:t>
      </w:r>
      <w:r w:rsidR="00D305EE" w:rsidRPr="00817B9F">
        <w:t xml:space="preserve">cross all inpatient service lines, </w:t>
      </w:r>
      <w:r w:rsidR="00496B4D" w:rsidRPr="00817B9F">
        <w:t xml:space="preserve">we predict that </w:t>
      </w:r>
      <w:r w:rsidRPr="00817B9F">
        <w:t>MGH</w:t>
      </w:r>
      <w:r w:rsidR="009868C8" w:rsidRPr="00817B9F">
        <w:t>’s</w:t>
      </w:r>
      <w:r w:rsidRPr="00817B9F">
        <w:t xml:space="preserve"> share of </w:t>
      </w:r>
      <w:r w:rsidR="00B70A87" w:rsidRPr="00817B9F">
        <w:t>discharges</w:t>
      </w:r>
      <w:r w:rsidRPr="00817B9F">
        <w:t xml:space="preserve"> in </w:t>
      </w:r>
      <w:r w:rsidR="002F4049" w:rsidRPr="00817B9F">
        <w:t xml:space="preserve">its service area would </w:t>
      </w:r>
      <w:r w:rsidRPr="00817B9F">
        <w:t xml:space="preserve">increase by </w:t>
      </w:r>
      <w:r w:rsidR="00B70A87" w:rsidRPr="00817B9F">
        <w:t>1.</w:t>
      </w:r>
      <w:r w:rsidR="00750091" w:rsidRPr="00817B9F">
        <w:t>3</w:t>
      </w:r>
      <w:r w:rsidRPr="00817B9F">
        <w:t xml:space="preserve"> percent</w:t>
      </w:r>
      <w:r w:rsidR="00441DB5" w:rsidRPr="00817B9F">
        <w:t>age points</w:t>
      </w:r>
      <w:r w:rsidRPr="00817B9F">
        <w:t xml:space="preserve"> from </w:t>
      </w:r>
      <w:r w:rsidR="00B70A87" w:rsidRPr="00817B9F">
        <w:t>1</w:t>
      </w:r>
      <w:r w:rsidR="00C30F95" w:rsidRPr="00817B9F">
        <w:t>8.9</w:t>
      </w:r>
      <w:r w:rsidRPr="00817B9F">
        <w:t xml:space="preserve"> percent to </w:t>
      </w:r>
      <w:r w:rsidR="00B70A87" w:rsidRPr="00817B9F">
        <w:t>20</w:t>
      </w:r>
      <w:r w:rsidR="00C30F95" w:rsidRPr="00817B9F">
        <w:t>.2</w:t>
      </w:r>
      <w:r w:rsidRPr="00817B9F">
        <w:t xml:space="preserve"> percent.</w:t>
      </w:r>
      <w:r w:rsidR="00D27766" w:rsidRPr="00817B9F">
        <w:t xml:space="preserve"> MGB’s </w:t>
      </w:r>
      <w:r w:rsidR="00F50A5C" w:rsidRPr="00817B9F">
        <w:t xml:space="preserve">overall </w:t>
      </w:r>
      <w:r w:rsidR="00D27766" w:rsidRPr="00817B9F">
        <w:t xml:space="preserve">share increases by less than this amount </w:t>
      </w:r>
      <w:r w:rsidR="00EE03C5" w:rsidRPr="00817B9F">
        <w:t xml:space="preserve">because some of the </w:t>
      </w:r>
      <w:r w:rsidR="002746AF" w:rsidRPr="00817B9F">
        <w:t xml:space="preserve">additional </w:t>
      </w:r>
      <w:r w:rsidR="00914EDC" w:rsidRPr="00817B9F">
        <w:t>MG</w:t>
      </w:r>
      <w:r w:rsidR="002746AF" w:rsidRPr="00817B9F">
        <w:t>H</w:t>
      </w:r>
      <w:r w:rsidR="00914EDC" w:rsidRPr="00817B9F">
        <w:t xml:space="preserve"> disc</w:t>
      </w:r>
      <w:r w:rsidR="002746AF" w:rsidRPr="00817B9F">
        <w:t xml:space="preserve">harges </w:t>
      </w:r>
      <w:r w:rsidR="002746AF" w:rsidRPr="00817B9F">
        <w:lastRenderedPageBreak/>
        <w:t>are patients who otherwise would have received care at other MGB hospitals, includ</w:t>
      </w:r>
      <w:r w:rsidR="00C81881" w:rsidRPr="00817B9F">
        <w:t>ing</w:t>
      </w:r>
      <w:r w:rsidR="002746AF" w:rsidRPr="00817B9F">
        <w:t xml:space="preserve"> Brigh</w:t>
      </w:r>
      <w:r w:rsidR="00AA19C5" w:rsidRPr="00817B9F">
        <w:t>am</w:t>
      </w:r>
      <w:r w:rsidR="002746AF" w:rsidRPr="00817B9F">
        <w:t xml:space="preserve"> and Women’s Hospital</w:t>
      </w:r>
      <w:r w:rsidR="000D77C4" w:rsidRPr="00817B9F">
        <w:t xml:space="preserve"> (whose </w:t>
      </w:r>
      <w:r w:rsidR="00F50A5C" w:rsidRPr="00817B9F">
        <w:t xml:space="preserve">share in MGH’s service area declines by </w:t>
      </w:r>
      <w:r w:rsidR="00C360B8" w:rsidRPr="00817B9F">
        <w:t>0.13 percent</w:t>
      </w:r>
      <w:r w:rsidR="00441DB5" w:rsidRPr="00817B9F">
        <w:t>age points</w:t>
      </w:r>
      <w:r w:rsidR="00C360B8" w:rsidRPr="00817B9F">
        <w:t>)</w:t>
      </w:r>
      <w:r w:rsidR="00BD56B6" w:rsidRPr="00817B9F">
        <w:t xml:space="preserve"> </w:t>
      </w:r>
      <w:r w:rsidR="000D77C4" w:rsidRPr="00817B9F">
        <w:t>and Salem Hospital</w:t>
      </w:r>
      <w:r w:rsidR="002746AF" w:rsidRPr="00817B9F">
        <w:t xml:space="preserve"> </w:t>
      </w:r>
      <w:r w:rsidR="00C360B8" w:rsidRPr="00817B9F">
        <w:t xml:space="preserve">(whose share in MGH’s service area declines by </w:t>
      </w:r>
      <w:r w:rsidR="00BD397C" w:rsidRPr="00817B9F">
        <w:t>0.05 percent</w:t>
      </w:r>
      <w:r w:rsidR="00441DB5" w:rsidRPr="00817B9F">
        <w:t>age points</w:t>
      </w:r>
      <w:r w:rsidR="00BD397C" w:rsidRPr="00817B9F">
        <w:t>)</w:t>
      </w:r>
      <w:r w:rsidR="00D6791D" w:rsidRPr="00817B9F">
        <w:t>.</w:t>
      </w:r>
      <w:r w:rsidR="003B2A37" w:rsidRPr="00817B9F">
        <w:t xml:space="preserve"> </w:t>
      </w:r>
      <w:r w:rsidR="003A61EF" w:rsidRPr="00817B9F">
        <w:t xml:space="preserve">Given the </w:t>
      </w:r>
      <w:r w:rsidR="00BD397C" w:rsidRPr="00817B9F">
        <w:t>small increase in MG</w:t>
      </w:r>
      <w:r w:rsidR="00FC3DA3" w:rsidRPr="00817B9F">
        <w:t>H’s share in its own service area</w:t>
      </w:r>
      <w:r w:rsidR="008F5CD8" w:rsidRPr="00817B9F">
        <w:t xml:space="preserve">, </w:t>
      </w:r>
      <w:r w:rsidR="003A61EF" w:rsidRPr="00817B9F">
        <w:t xml:space="preserve">the </w:t>
      </w:r>
      <w:r w:rsidR="008F5CD8" w:rsidRPr="00817B9F">
        <w:t xml:space="preserve">predicted </w:t>
      </w:r>
      <w:r w:rsidR="003A61EF" w:rsidRPr="00817B9F">
        <w:t xml:space="preserve">effects </w:t>
      </w:r>
      <w:r w:rsidR="008F5CD8" w:rsidRPr="00817B9F">
        <w:t xml:space="preserve">of the proposed project </w:t>
      </w:r>
      <w:r w:rsidR="003A61EF" w:rsidRPr="00817B9F">
        <w:t>on other hospitals</w:t>
      </w:r>
      <w:r w:rsidR="008F5CD8" w:rsidRPr="00817B9F">
        <w:t>’ discharge vol</w:t>
      </w:r>
      <w:r w:rsidR="009C282A" w:rsidRPr="00817B9F">
        <w:t>ume</w:t>
      </w:r>
      <w:r w:rsidR="003A61EF" w:rsidRPr="00817B9F">
        <w:t xml:space="preserve"> are </w:t>
      </w:r>
      <w:r w:rsidR="0012253F" w:rsidRPr="00817B9F">
        <w:t xml:space="preserve">also </w:t>
      </w:r>
      <w:r w:rsidR="003A61EF" w:rsidRPr="00817B9F">
        <w:t xml:space="preserve">very </w:t>
      </w:r>
      <w:r w:rsidR="0012253F" w:rsidRPr="00817B9F">
        <w:t xml:space="preserve">small. In particular, </w:t>
      </w:r>
      <w:r w:rsidR="00385F9E" w:rsidRPr="00817B9F">
        <w:t xml:space="preserve">the hospital whose share in MGH’s service area declines by the largest amount is </w:t>
      </w:r>
      <w:r w:rsidR="00E506F5" w:rsidRPr="00817B9F">
        <w:t>Beth Israel Deaconess Medical Center,</w:t>
      </w:r>
      <w:r w:rsidR="00385F9E" w:rsidRPr="00817B9F">
        <w:t xml:space="preserve"> and its share declines by</w:t>
      </w:r>
      <w:r w:rsidR="00441DB5" w:rsidRPr="00817B9F">
        <w:t xml:space="preserve"> only 0.21 percentage points</w:t>
      </w:r>
      <w:r w:rsidR="00E506F5" w:rsidRPr="00817B9F">
        <w:t>.</w:t>
      </w:r>
    </w:p>
    <w:p w14:paraId="7FF1ACFF" w14:textId="65E88A0E" w:rsidR="004401C4" w:rsidRPr="00817B9F" w:rsidRDefault="002F5C34" w:rsidP="001F4F5C">
      <w:pPr>
        <w:pStyle w:val="NumberedParagraphs"/>
      </w:pPr>
      <w:r w:rsidRPr="00817B9F">
        <w:t>Using the predicted change in shares, t</w:t>
      </w:r>
      <w:r w:rsidR="002330B2" w:rsidRPr="00817B9F">
        <w:t xml:space="preserve">he bottom </w:t>
      </w:r>
      <w:r w:rsidR="00EC2825" w:rsidRPr="00817B9F">
        <w:t xml:space="preserve">panel </w:t>
      </w:r>
      <w:r w:rsidR="002330B2" w:rsidRPr="00817B9F">
        <w:t xml:space="preserve">of Figure </w:t>
      </w:r>
      <w:r w:rsidR="00625368" w:rsidRPr="00817B9F">
        <w:t>MGH</w:t>
      </w:r>
      <w:r w:rsidR="00BC3FA3" w:rsidRPr="00817B9F">
        <w:t>16</w:t>
      </w:r>
      <w:r w:rsidR="002330B2" w:rsidRPr="00817B9F">
        <w:t xml:space="preserve"> </w:t>
      </w:r>
      <w:r w:rsidR="00EC2825" w:rsidRPr="00817B9F">
        <w:t xml:space="preserve">shows that the HHI in MGH’s service area is projected to increase by </w:t>
      </w:r>
      <w:r w:rsidR="00F61EE0" w:rsidRPr="00817B9F">
        <w:t>5</w:t>
      </w:r>
      <w:r w:rsidR="001332F3" w:rsidRPr="00817B9F">
        <w:t>9</w:t>
      </w:r>
      <w:r w:rsidR="00EC2825" w:rsidRPr="00817B9F">
        <w:t xml:space="preserve"> points</w:t>
      </w:r>
      <w:r w:rsidR="002330B2" w:rsidRPr="00817B9F">
        <w:t xml:space="preserve"> from </w:t>
      </w:r>
      <w:r w:rsidR="00F61EE0" w:rsidRPr="00817B9F">
        <w:t>4</w:t>
      </w:r>
      <w:r w:rsidR="00C93E5E" w:rsidRPr="00817B9F">
        <w:t>,</w:t>
      </w:r>
      <w:r w:rsidR="00F61EE0" w:rsidRPr="00817B9F">
        <w:t>212</w:t>
      </w:r>
      <w:r w:rsidR="002330B2" w:rsidRPr="00817B9F">
        <w:t xml:space="preserve"> to </w:t>
      </w:r>
      <w:r w:rsidR="00A36A61" w:rsidRPr="00817B9F">
        <w:t>4</w:t>
      </w:r>
      <w:r w:rsidR="00C93E5E" w:rsidRPr="00817B9F">
        <w:t>,</w:t>
      </w:r>
      <w:r w:rsidR="00A36A61" w:rsidRPr="00817B9F">
        <w:t>2</w:t>
      </w:r>
      <w:r w:rsidR="001332F3" w:rsidRPr="00817B9F">
        <w:t>71</w:t>
      </w:r>
      <w:r w:rsidR="002330B2" w:rsidRPr="00817B9F">
        <w:t>.</w:t>
      </w:r>
      <w:r w:rsidR="00EC2825" w:rsidRPr="00817B9F">
        <w:t xml:space="preserve"> As we noted earlier, </w:t>
      </w:r>
      <w:r w:rsidR="0012253F" w:rsidRPr="00817B9F">
        <w:t xml:space="preserve">according to </w:t>
      </w:r>
      <w:r w:rsidR="00EC2825" w:rsidRPr="00817B9F">
        <w:t xml:space="preserve">the </w:t>
      </w:r>
      <w:r w:rsidR="00EC2825" w:rsidRPr="00817B9F">
        <w:rPr>
          <w:i/>
          <w:iCs/>
        </w:rPr>
        <w:t>Horizontal Merger Guidelines</w:t>
      </w:r>
      <w:r w:rsidR="00517EA3" w:rsidRPr="00817B9F">
        <w:t xml:space="preserve">, </w:t>
      </w:r>
      <w:r w:rsidR="0012253F" w:rsidRPr="00817B9F">
        <w:t>transactions resulting in a change in HHI of less than 100 points are unlikely to lead to adverse competitive effects</w:t>
      </w:r>
      <w:r w:rsidR="002330B2" w:rsidRPr="00817B9F">
        <w:t>.</w:t>
      </w:r>
      <w:r w:rsidR="002330B2" w:rsidRPr="00817B9F">
        <w:rPr>
          <w:rStyle w:val="FootnoteReference"/>
        </w:rPr>
        <w:footnoteReference w:id="195"/>
      </w:r>
      <w:r w:rsidR="00A266CE" w:rsidRPr="00817B9F">
        <w:t xml:space="preserve"> </w:t>
      </w:r>
      <w:r w:rsidR="0012253F" w:rsidRPr="00817B9F">
        <w:t xml:space="preserve">As such, we </w:t>
      </w:r>
      <w:r w:rsidR="00121026" w:rsidRPr="00817B9F">
        <w:t>believe that the proposed project is unlikely to affect MGB’s</w:t>
      </w:r>
      <w:r w:rsidR="008A3313" w:rsidRPr="00817B9F">
        <w:t xml:space="preserve"> negotiating leverage with third-party payors.</w:t>
      </w:r>
    </w:p>
    <w:p w14:paraId="2CE8A091" w14:textId="692A53CB" w:rsidR="00F226E6" w:rsidRPr="00817B9F" w:rsidRDefault="0041288B" w:rsidP="001F4F5C">
      <w:pPr>
        <w:pStyle w:val="Heading2"/>
        <w:rPr>
          <w:rFonts w:cs="Times New Roman"/>
        </w:rPr>
      </w:pPr>
      <w:bookmarkStart w:id="112" w:name="_Ref88581367"/>
      <w:bookmarkStart w:id="113" w:name="_Toc90046532"/>
      <w:r w:rsidRPr="00817B9F">
        <w:rPr>
          <w:rFonts w:cs="Times New Roman"/>
        </w:rPr>
        <w:t>Outpatient Services</w:t>
      </w:r>
      <w:bookmarkEnd w:id="112"/>
      <w:bookmarkEnd w:id="113"/>
    </w:p>
    <w:p w14:paraId="1F8E1E05" w14:textId="5ADD5BF6" w:rsidR="00F226E6" w:rsidRPr="00817B9F" w:rsidRDefault="00F226E6" w:rsidP="001F4F5C">
      <w:pPr>
        <w:pStyle w:val="NumberedParagraphs"/>
      </w:pPr>
      <w:r w:rsidRPr="00817B9F">
        <w:t xml:space="preserve">In this section we </w:t>
      </w:r>
      <w:r w:rsidR="0096725C" w:rsidRPr="00817B9F">
        <w:t>assess MGH’s current shares for outpatient diagnostic imaging services (separately for CT, MR, and PET/CT scans)</w:t>
      </w:r>
      <w:r w:rsidR="0038173E" w:rsidRPr="00817B9F">
        <w:t>, outpatient cardiovascular services, and outpatient oncology services</w:t>
      </w:r>
      <w:r w:rsidR="0096725C" w:rsidRPr="00817B9F">
        <w:t xml:space="preserve"> in the hospital’s service area and how those shares might change if MGB’s DoN were approved</w:t>
      </w:r>
      <w:r w:rsidR="0038173E" w:rsidRPr="00817B9F">
        <w:t>. For each of these outpatient service lines, we also assess how changes in MGB’s shares might affect its negotiating leverage with third</w:t>
      </w:r>
      <w:r w:rsidR="003C3463" w:rsidRPr="00817B9F">
        <w:t xml:space="preserve">-party payors. </w:t>
      </w:r>
    </w:p>
    <w:p w14:paraId="731D3671" w14:textId="2FF28039" w:rsidR="00D75056" w:rsidRPr="00817B9F" w:rsidRDefault="00FF7C7E" w:rsidP="001F4F5C">
      <w:pPr>
        <w:pStyle w:val="Heading3"/>
        <w:numPr>
          <w:ilvl w:val="0"/>
          <w:numId w:val="37"/>
        </w:numPr>
      </w:pPr>
      <w:bookmarkStart w:id="114" w:name="_Ref88595594"/>
      <w:bookmarkStart w:id="115" w:name="_Ref88595879"/>
      <w:bookmarkStart w:id="116" w:name="_Toc90046533"/>
      <w:r w:rsidRPr="00817B9F">
        <w:t>Diagnostic Imaging Services</w:t>
      </w:r>
      <w:bookmarkEnd w:id="114"/>
      <w:bookmarkEnd w:id="115"/>
      <w:bookmarkEnd w:id="116"/>
    </w:p>
    <w:p w14:paraId="76B31B88" w14:textId="4F2C33BC" w:rsidR="005301E0" w:rsidRPr="00817B9F" w:rsidRDefault="00717EE9" w:rsidP="00BB5408">
      <w:pPr>
        <w:pStyle w:val="NumberedParagraphs"/>
      </w:pPr>
      <w:r w:rsidRPr="00817B9F">
        <w:t xml:space="preserve">For outpatient </w:t>
      </w:r>
      <w:r w:rsidR="00457E4D" w:rsidRPr="00817B9F">
        <w:t xml:space="preserve">diagnostic imaging </w:t>
      </w:r>
      <w:r w:rsidRPr="00817B9F">
        <w:t>services</w:t>
      </w:r>
      <w:r w:rsidR="005301E0" w:rsidRPr="00817B9F">
        <w:t>,</w:t>
      </w:r>
      <w:r w:rsidRPr="00817B9F">
        <w:t xml:space="preserve"> we use the same general approach that we </w:t>
      </w:r>
      <w:r w:rsidR="005301E0" w:rsidRPr="00817B9F">
        <w:t>used</w:t>
      </w:r>
      <w:r w:rsidRPr="00817B9F">
        <w:t xml:space="preserve"> in analyzing </w:t>
      </w:r>
      <w:r w:rsidR="005301E0" w:rsidRPr="00817B9F">
        <w:t>MGH’s share for inpatient services and the effect of the proposed project on th</w:t>
      </w:r>
      <w:r w:rsidR="00017C70" w:rsidRPr="00817B9F">
        <w:t>ose</w:t>
      </w:r>
      <w:r w:rsidR="005301E0" w:rsidRPr="00817B9F">
        <w:t xml:space="preserve"> shares. </w:t>
      </w:r>
      <w:r w:rsidR="00457E4D" w:rsidRPr="00817B9F">
        <w:t xml:space="preserve">Specifically, we </w:t>
      </w:r>
      <w:r w:rsidR="00B50C60" w:rsidRPr="00817B9F">
        <w:t>use the 2018 APCD and Medicare Claims data to</w:t>
      </w:r>
      <w:r w:rsidR="00457E4D" w:rsidRPr="00817B9F">
        <w:t xml:space="preserve"> calculate the shares of MGB and its competitors in MGH’s service area </w:t>
      </w:r>
      <w:r w:rsidR="008B45D4" w:rsidRPr="00817B9F">
        <w:t xml:space="preserve">for outpatient diagnostic imaging services </w:t>
      </w:r>
      <w:r w:rsidR="00457E4D" w:rsidRPr="00817B9F">
        <w:t xml:space="preserve">in two steps. First, we calculate health care providers’ share of outpatient diagnostic imaging procedures (separately for CT, MR, and PET/CT scans) and the resulting HHIs in each ZIP Code in Massachusetts. Second, we calculate the weighted averages of these shares and HHIs across ZIP </w:t>
      </w:r>
      <w:r w:rsidR="00457E4D" w:rsidRPr="00817B9F">
        <w:lastRenderedPageBreak/>
        <w:t xml:space="preserve">Codes, where each ZIP Code is weighted by the number of outpatient diagnostic imaging procedures (separately </w:t>
      </w:r>
      <w:r w:rsidR="008B45D4" w:rsidRPr="00817B9F">
        <w:t>for CT, MR, and PET/CT</w:t>
      </w:r>
      <w:r w:rsidR="00CF3FB2" w:rsidRPr="00817B9F">
        <w:t xml:space="preserve"> scans</w:t>
      </w:r>
      <w:r w:rsidR="00457E4D" w:rsidRPr="00817B9F">
        <w:t xml:space="preserve">) </w:t>
      </w:r>
      <w:r w:rsidR="008B45D4" w:rsidRPr="00817B9F">
        <w:t xml:space="preserve">that MGH provided </w:t>
      </w:r>
      <w:r w:rsidR="00457E4D" w:rsidRPr="00817B9F">
        <w:t xml:space="preserve">in that ZIP Code. </w:t>
      </w:r>
    </w:p>
    <w:p w14:paraId="2E459E31" w14:textId="64F0DBE7" w:rsidR="00F63123" w:rsidRPr="00817B9F" w:rsidRDefault="00CF3FB2" w:rsidP="001F4F5C">
      <w:pPr>
        <w:pStyle w:val="NumberedParagraphs"/>
      </w:pPr>
      <w:r w:rsidRPr="00817B9F">
        <w:t xml:space="preserve">In addition to assessing MGB’s current market shares, the DoN asked that we consider how those shares might change if MGB’s DoN were approved, and how changes in MGB’s shares might affect its negotiating leverage with third-party payors. To address this question, we use our model of demand for outpatient </w:t>
      </w:r>
      <w:r w:rsidR="006D7164" w:rsidRPr="00817B9F">
        <w:t>diagnostic imaging services</w:t>
      </w:r>
      <w:r w:rsidRPr="00817B9F">
        <w:t xml:space="preserve"> and the method for simulating the effect of the proposed </w:t>
      </w:r>
      <w:r w:rsidR="006D7164" w:rsidRPr="00817B9F">
        <w:t xml:space="preserve">project </w:t>
      </w:r>
      <w:r w:rsidRPr="00817B9F">
        <w:t xml:space="preserve">on patients’ demand for </w:t>
      </w:r>
      <w:r w:rsidR="006D7164" w:rsidRPr="00817B9F">
        <w:t>those services</w:t>
      </w:r>
      <w:r w:rsidRPr="00817B9F">
        <w:t xml:space="preserve"> that we described in Section</w:t>
      </w:r>
      <w:r w:rsidR="00385FCD" w:rsidRPr="00817B9F">
        <w:t xml:space="preserve"> </w:t>
      </w:r>
      <w:r w:rsidR="00385FCD" w:rsidRPr="00817B9F">
        <w:fldChar w:fldCharType="begin"/>
      </w:r>
      <w:r w:rsidR="00385FCD" w:rsidRPr="00817B9F">
        <w:instrText xml:space="preserve"> REF _Ref88993374 \w \h </w:instrText>
      </w:r>
      <w:r w:rsidR="00FD09F0" w:rsidRPr="00817B9F">
        <w:instrText xml:space="preserve"> \* MERGEFORMAT </w:instrText>
      </w:r>
      <w:r w:rsidR="00385FCD" w:rsidRPr="00817B9F">
        <w:fldChar w:fldCharType="separate"/>
      </w:r>
      <w:r w:rsidR="002B78C3">
        <w:t>VI</w:t>
      </w:r>
      <w:r w:rsidR="00385FCD" w:rsidRPr="00817B9F">
        <w:fldChar w:fldCharType="end"/>
      </w:r>
      <w:r w:rsidR="00385FCD" w:rsidRPr="00817B9F">
        <w:t>.</w:t>
      </w:r>
      <w:r w:rsidR="00385FCD" w:rsidRPr="00817B9F">
        <w:fldChar w:fldCharType="begin"/>
      </w:r>
      <w:r w:rsidR="00385FCD" w:rsidRPr="00817B9F">
        <w:instrText xml:space="preserve"> REF _Ref88993376 \w \h </w:instrText>
      </w:r>
      <w:r w:rsidR="00FD09F0" w:rsidRPr="00817B9F">
        <w:instrText xml:space="preserve"> \* MERGEFORMAT </w:instrText>
      </w:r>
      <w:r w:rsidR="00385FCD" w:rsidRPr="00817B9F">
        <w:fldChar w:fldCharType="separate"/>
      </w:r>
      <w:r w:rsidR="002B78C3">
        <w:t>B</w:t>
      </w:r>
      <w:r w:rsidR="00385FCD" w:rsidRPr="00817B9F">
        <w:fldChar w:fldCharType="end"/>
      </w:r>
      <w:r w:rsidR="00B01B76" w:rsidRPr="00817B9F">
        <w:t>.</w:t>
      </w:r>
      <w:r w:rsidR="00385FCD" w:rsidRPr="00817B9F">
        <w:fldChar w:fldCharType="begin"/>
      </w:r>
      <w:r w:rsidR="00385FCD" w:rsidRPr="00817B9F">
        <w:instrText xml:space="preserve"> REF _Ref88993380 \w \h </w:instrText>
      </w:r>
      <w:r w:rsidR="00FD09F0" w:rsidRPr="00817B9F">
        <w:instrText xml:space="preserve"> \* MERGEFORMAT </w:instrText>
      </w:r>
      <w:r w:rsidR="00385FCD" w:rsidRPr="00817B9F">
        <w:fldChar w:fldCharType="separate"/>
      </w:r>
      <w:r w:rsidR="002B78C3">
        <w:t>1</w:t>
      </w:r>
      <w:r w:rsidR="00385FCD" w:rsidRPr="00817B9F">
        <w:fldChar w:fldCharType="end"/>
      </w:r>
      <w:r w:rsidRPr="00817B9F">
        <w:t xml:space="preserve">. Using this approach, we assess the impact of the project on MGB’s shares and market concentration by comparing current shares and concentration to the predicted shares and concentration resulting from our simulation. </w:t>
      </w:r>
      <w:r w:rsidR="006D7164" w:rsidRPr="00817B9F">
        <w:t xml:space="preserve">We do this separately for </w:t>
      </w:r>
      <w:r w:rsidR="00C1274B" w:rsidRPr="00817B9F">
        <w:t xml:space="preserve">outpatient </w:t>
      </w:r>
      <w:r w:rsidR="006D7164" w:rsidRPr="00817B9F">
        <w:t xml:space="preserve">CT, MR, and PET/CT scans </w:t>
      </w:r>
      <w:r w:rsidR="00017C70" w:rsidRPr="00817B9F">
        <w:t>in</w:t>
      </w:r>
      <w:r w:rsidR="006D7164" w:rsidRPr="00817B9F">
        <w:t xml:space="preserve"> MGH</w:t>
      </w:r>
      <w:r w:rsidR="00017C70" w:rsidRPr="00817B9F">
        <w:t>’s service area</w:t>
      </w:r>
      <w:r w:rsidR="006D7164" w:rsidRPr="00817B9F">
        <w:t xml:space="preserve">. </w:t>
      </w:r>
      <w:r w:rsidRPr="00817B9F">
        <w:t>Using the economics literature that we summarized in Section</w:t>
      </w:r>
      <w:r w:rsidR="004227D6" w:rsidRPr="00817B9F">
        <w:t xml:space="preserve"> </w:t>
      </w:r>
      <w:r w:rsidR="004227D6" w:rsidRPr="00817B9F">
        <w:fldChar w:fldCharType="begin"/>
      </w:r>
      <w:r w:rsidR="004227D6" w:rsidRPr="00817B9F">
        <w:instrText xml:space="preserve"> REF _Ref88994298 \w \h </w:instrText>
      </w:r>
      <w:r w:rsidR="00FD09F0" w:rsidRPr="00817B9F">
        <w:instrText xml:space="preserve"> \* MERGEFORMAT </w:instrText>
      </w:r>
      <w:r w:rsidR="004227D6" w:rsidRPr="00817B9F">
        <w:fldChar w:fldCharType="separate"/>
      </w:r>
      <w:r w:rsidR="002B78C3">
        <w:t>VII</w:t>
      </w:r>
      <w:r w:rsidR="004227D6" w:rsidRPr="00817B9F">
        <w:fldChar w:fldCharType="end"/>
      </w:r>
      <w:r w:rsidR="004227D6" w:rsidRPr="00817B9F">
        <w:t>.</w:t>
      </w:r>
      <w:r w:rsidR="004227D6" w:rsidRPr="00817B9F">
        <w:fldChar w:fldCharType="begin"/>
      </w:r>
      <w:r w:rsidR="004227D6" w:rsidRPr="00817B9F">
        <w:instrText xml:space="preserve"> REF _Ref88483325 \w \h </w:instrText>
      </w:r>
      <w:r w:rsidR="00FD09F0" w:rsidRPr="00817B9F">
        <w:instrText xml:space="preserve"> \* MERGEFORMAT </w:instrText>
      </w:r>
      <w:r w:rsidR="004227D6" w:rsidRPr="00817B9F">
        <w:fldChar w:fldCharType="separate"/>
      </w:r>
      <w:r w:rsidR="002B78C3">
        <w:t>A</w:t>
      </w:r>
      <w:r w:rsidR="004227D6" w:rsidRPr="00817B9F">
        <w:fldChar w:fldCharType="end"/>
      </w:r>
      <w:r w:rsidRPr="00817B9F">
        <w:t xml:space="preserve">, we then relate the predicted change in concentration to determine how MGB’s negotiating leverage </w:t>
      </w:r>
      <w:r w:rsidR="007214EA" w:rsidRPr="00817B9F">
        <w:t xml:space="preserve">for outpatient diagnostic imaging services </w:t>
      </w:r>
      <w:r w:rsidRPr="00817B9F">
        <w:t xml:space="preserve">might change as a result of the proposed project. </w:t>
      </w:r>
    </w:p>
    <w:p w14:paraId="0078E675" w14:textId="59674F26" w:rsidR="008076AC" w:rsidRPr="00817B9F" w:rsidRDefault="007C7112" w:rsidP="00517EB3">
      <w:pPr>
        <w:pStyle w:val="NumberedParagraphs"/>
      </w:pPr>
      <w:bookmarkStart w:id="117" w:name="_Hlk88501143"/>
      <w:r w:rsidRPr="00817B9F">
        <w:t>Using this approach, Figure MGH</w:t>
      </w:r>
      <w:r w:rsidR="00BC3FA3" w:rsidRPr="00817B9F">
        <w:t>17</w:t>
      </w:r>
      <w:r w:rsidRPr="00817B9F">
        <w:t xml:space="preserve"> reports shares for outpatient CT scans in MGH’s service area. </w:t>
      </w:r>
      <w:r w:rsidR="00C81881" w:rsidRPr="00817B9F">
        <w:t xml:space="preserve">If the proposed project were approved, we predict that MGH’s share of outpatient CT scans in its service area would increase by 2.2 percentage points from 15.7 percent to 17.9 percent. MGB’s overall share increases by less than this amount because some of the additional MGH </w:t>
      </w:r>
      <w:r w:rsidR="00190AAC" w:rsidRPr="00817B9F">
        <w:t>volume comes from</w:t>
      </w:r>
      <w:r w:rsidR="00C81881" w:rsidRPr="00817B9F">
        <w:t xml:space="preserve"> patients who otherwise would have received services at other MGB facilities (</w:t>
      </w:r>
      <w:r w:rsidR="00190AAC" w:rsidRPr="00817B9F">
        <w:rPr>
          <w:i/>
          <w:iCs/>
        </w:rPr>
        <w:t>i.e.</w:t>
      </w:r>
      <w:r w:rsidR="00BC4490" w:rsidRPr="00817B9F">
        <w:t xml:space="preserve">, </w:t>
      </w:r>
      <w:r w:rsidR="00C81881" w:rsidRPr="00817B9F">
        <w:t>the share of other MGB facilities in MGH’s service area decrease</w:t>
      </w:r>
      <w:r w:rsidR="00BC4490" w:rsidRPr="00817B9F">
        <w:t>s</w:t>
      </w:r>
      <w:r w:rsidR="00C81881" w:rsidRPr="00817B9F">
        <w:t xml:space="preserve"> by 0.6 percentage points from 19.5 percent to 18.9 percent</w:t>
      </w:r>
      <w:r w:rsidR="00BC4490" w:rsidRPr="00817B9F">
        <w:t>).</w:t>
      </w:r>
      <w:r w:rsidR="00C81881" w:rsidRPr="00817B9F">
        <w:t xml:space="preserve"> Given the small increase in MGH’s share in its own service area, the predicted effects of the proposed project on other </w:t>
      </w:r>
      <w:r w:rsidR="00BC4490" w:rsidRPr="00817B9F">
        <w:t>providers</w:t>
      </w:r>
      <w:r w:rsidR="00190AAC" w:rsidRPr="00817B9F">
        <w:t>’</w:t>
      </w:r>
      <w:r w:rsidR="00BC4490" w:rsidRPr="00817B9F">
        <w:t xml:space="preserve"> outpatient CT scan </w:t>
      </w:r>
      <w:r w:rsidR="00C81881" w:rsidRPr="00817B9F">
        <w:t>volume</w:t>
      </w:r>
      <w:r w:rsidR="0017729C" w:rsidRPr="00817B9F">
        <w:t>s</w:t>
      </w:r>
      <w:r w:rsidR="00C81881" w:rsidRPr="00817B9F">
        <w:t xml:space="preserve"> are </w:t>
      </w:r>
      <w:r w:rsidR="00BC4490" w:rsidRPr="00817B9F">
        <w:t>modest</w:t>
      </w:r>
      <w:r w:rsidR="00C81881" w:rsidRPr="00817B9F">
        <w:t xml:space="preserve">. </w:t>
      </w:r>
      <w:r w:rsidR="00BC4490" w:rsidRPr="00817B9F">
        <w:t>The providers</w:t>
      </w:r>
      <w:r w:rsidR="00C81881" w:rsidRPr="00817B9F">
        <w:t xml:space="preserve"> whose share</w:t>
      </w:r>
      <w:r w:rsidR="00BC4490" w:rsidRPr="00817B9F">
        <w:t>s</w:t>
      </w:r>
      <w:r w:rsidR="00C81881" w:rsidRPr="00817B9F">
        <w:t xml:space="preserve"> in MGH’s service area decline by the largest amount</w:t>
      </w:r>
      <w:r w:rsidR="00BC4490" w:rsidRPr="00817B9F">
        <w:t>s</w:t>
      </w:r>
      <w:r w:rsidR="00C81881" w:rsidRPr="00817B9F">
        <w:t xml:space="preserve"> </w:t>
      </w:r>
      <w:r w:rsidR="00BC4490" w:rsidRPr="00817B9F">
        <w:t xml:space="preserve">are </w:t>
      </w:r>
      <w:r w:rsidR="00C81881" w:rsidRPr="00817B9F">
        <w:t xml:space="preserve">Beth Israel </w:t>
      </w:r>
      <w:r w:rsidR="00086CE7" w:rsidRPr="00817B9F">
        <w:t xml:space="preserve">Lahey </w:t>
      </w:r>
      <w:r w:rsidR="00BC4490" w:rsidRPr="00817B9F">
        <w:t>Health (a decline of 0.5 percentage point</w:t>
      </w:r>
      <w:r w:rsidR="00190AAC" w:rsidRPr="00817B9F">
        <w:t>s</w:t>
      </w:r>
      <w:r w:rsidR="00BC4490" w:rsidRPr="00817B9F">
        <w:t>) and Wellforce (a decline of 0.3 percentage points).</w:t>
      </w:r>
      <w:bookmarkEnd w:id="117"/>
    </w:p>
    <w:p w14:paraId="0B8F4CFD" w14:textId="2CAC2815" w:rsidR="005137AC" w:rsidRPr="00817B9F" w:rsidRDefault="008076AC" w:rsidP="00517EB3">
      <w:pPr>
        <w:pStyle w:val="NumberedParagraphs"/>
      </w:pPr>
      <w:r w:rsidRPr="00817B9F">
        <w:t>Figure MGH1</w:t>
      </w:r>
      <w:r w:rsidR="00594207" w:rsidRPr="00817B9F">
        <w:t>8</w:t>
      </w:r>
      <w:r w:rsidRPr="00817B9F">
        <w:t xml:space="preserve"> reports shares for outpatient MR scans in MGH’s service area. If the proposed project were approved, we predict that MGH’s share of outpatient </w:t>
      </w:r>
      <w:r w:rsidR="00086CE7" w:rsidRPr="00817B9F">
        <w:t>MR</w:t>
      </w:r>
      <w:r w:rsidRPr="00817B9F">
        <w:t xml:space="preserve"> scans in its service area would increase by </w:t>
      </w:r>
      <w:r w:rsidR="00086CE7" w:rsidRPr="00817B9F">
        <w:t>2.8</w:t>
      </w:r>
      <w:r w:rsidRPr="00817B9F">
        <w:t xml:space="preserve"> percentage points from </w:t>
      </w:r>
      <w:r w:rsidR="00086CE7" w:rsidRPr="00817B9F">
        <w:t>14.0</w:t>
      </w:r>
      <w:r w:rsidRPr="00817B9F">
        <w:t xml:space="preserve"> percent to </w:t>
      </w:r>
      <w:r w:rsidR="00086CE7" w:rsidRPr="00817B9F">
        <w:t>16.8</w:t>
      </w:r>
      <w:r w:rsidRPr="00817B9F">
        <w:t xml:space="preserve"> percent. MGB’s overall share increases by less than this amount because some of the additional MGH volume comes from patients who otherwise would have received services at other MGB facilities (</w:t>
      </w:r>
      <w:r w:rsidRPr="00817B9F">
        <w:rPr>
          <w:i/>
          <w:iCs/>
        </w:rPr>
        <w:t>i.e.</w:t>
      </w:r>
      <w:r w:rsidRPr="00817B9F">
        <w:t xml:space="preserve">, the share of </w:t>
      </w:r>
      <w:r w:rsidRPr="00817B9F">
        <w:lastRenderedPageBreak/>
        <w:t>other MGB facilities in MGH’s service area decreases by 0.</w:t>
      </w:r>
      <w:r w:rsidR="00086CE7" w:rsidRPr="00817B9F">
        <w:t>7</w:t>
      </w:r>
      <w:r w:rsidRPr="00817B9F">
        <w:t xml:space="preserve"> percentage points from 19.</w:t>
      </w:r>
      <w:r w:rsidR="00086CE7" w:rsidRPr="00817B9F">
        <w:t>2</w:t>
      </w:r>
      <w:r w:rsidRPr="00817B9F">
        <w:t xml:space="preserve"> percent to 18.</w:t>
      </w:r>
      <w:r w:rsidR="00086CE7" w:rsidRPr="00817B9F">
        <w:t>5</w:t>
      </w:r>
      <w:r w:rsidRPr="00817B9F">
        <w:t xml:space="preserve"> percent). Given the small increase in MGH’s share in its own service area, the predicted effects of the proposed project on other providers’ outpatient </w:t>
      </w:r>
      <w:r w:rsidR="000A46A0" w:rsidRPr="00817B9F">
        <w:t>MR</w:t>
      </w:r>
      <w:r w:rsidRPr="00817B9F">
        <w:t xml:space="preserve"> scan volume</w:t>
      </w:r>
      <w:r w:rsidR="0017729C" w:rsidRPr="00817B9F">
        <w:t>s</w:t>
      </w:r>
      <w:r w:rsidRPr="00817B9F">
        <w:t xml:space="preserve"> are modest. The provider whose shares in MGH’s service area decline</w:t>
      </w:r>
      <w:r w:rsidR="000A46A0" w:rsidRPr="00817B9F">
        <w:t>s</w:t>
      </w:r>
      <w:r w:rsidRPr="00817B9F">
        <w:t xml:space="preserve"> by the largest amount</w:t>
      </w:r>
      <w:r w:rsidR="000A46A0" w:rsidRPr="00817B9F">
        <w:t xml:space="preserve"> is </w:t>
      </w:r>
      <w:r w:rsidRPr="00817B9F">
        <w:t xml:space="preserve">Beth Israel </w:t>
      </w:r>
      <w:r w:rsidR="00086CE7" w:rsidRPr="00817B9F">
        <w:t xml:space="preserve">Lahey </w:t>
      </w:r>
      <w:r w:rsidRPr="00817B9F">
        <w:t>Health (a decline of 0.</w:t>
      </w:r>
      <w:r w:rsidR="000A46A0" w:rsidRPr="00817B9F">
        <w:t>6</w:t>
      </w:r>
      <w:r w:rsidRPr="00817B9F">
        <w:t xml:space="preserve"> percentage points</w:t>
      </w:r>
      <w:r w:rsidR="005137AC" w:rsidRPr="00817B9F">
        <w:t>).</w:t>
      </w:r>
    </w:p>
    <w:p w14:paraId="2C359F18" w14:textId="2D2A8104" w:rsidR="002E5C68" w:rsidRPr="00817B9F" w:rsidRDefault="008C7D3F" w:rsidP="00517EB3">
      <w:pPr>
        <w:pStyle w:val="NumberedParagraphs"/>
      </w:pPr>
      <w:r w:rsidRPr="00817B9F">
        <w:t xml:space="preserve">Figure </w:t>
      </w:r>
      <w:r w:rsidR="00DD14B6" w:rsidRPr="00817B9F">
        <w:t>MGH1</w:t>
      </w:r>
      <w:r w:rsidR="00594207" w:rsidRPr="00817B9F">
        <w:t>9</w:t>
      </w:r>
      <w:r w:rsidRPr="00817B9F">
        <w:t xml:space="preserve"> </w:t>
      </w:r>
      <w:r w:rsidR="002E5C68" w:rsidRPr="00817B9F">
        <w:t>reports shares for outpatient PET/CT scans in MGH’s service area. If the proposed project were approved, we predict that MGH’s share of outpatient PET/CT scans in its service area would increase by 8.</w:t>
      </w:r>
      <w:r w:rsidR="00C975ED" w:rsidRPr="00817B9F">
        <w:t>1</w:t>
      </w:r>
      <w:r w:rsidR="002E5C68" w:rsidRPr="00817B9F">
        <w:t xml:space="preserve"> percentage points from 16.4 percent to 24.6 percent. Our predicted increase in MGH’s share for outpatient PET/CT scans is larger than our predicted increases in MGH’s shar</w:t>
      </w:r>
      <w:r w:rsidR="004F76B8" w:rsidRPr="00817B9F">
        <w:t xml:space="preserve">es for outpatient CT and MR scans because the proposed </w:t>
      </w:r>
      <w:r w:rsidR="004F76B8" w:rsidRPr="00817B9F">
        <w:rPr>
          <w:i/>
          <w:iCs/>
        </w:rPr>
        <w:t>relative</w:t>
      </w:r>
      <w:r w:rsidR="004F76B8" w:rsidRPr="00817B9F">
        <w:t xml:space="preserve"> increase in MGH’s capacity</w:t>
      </w:r>
      <w:r w:rsidR="00CD7CC1" w:rsidRPr="00817B9F">
        <w:t xml:space="preserve"> for PET/CT scans</w:t>
      </w:r>
      <w:r w:rsidR="004F76B8" w:rsidRPr="00817B9F">
        <w:t xml:space="preserve"> is higher</w:t>
      </w:r>
      <w:r w:rsidR="00CD7CC1" w:rsidRPr="00817B9F">
        <w:t>:</w:t>
      </w:r>
      <w:r w:rsidR="004717BC" w:rsidRPr="00817B9F">
        <w:t xml:space="preserve"> </w:t>
      </w:r>
      <w:r w:rsidR="004F76B8" w:rsidRPr="00817B9F">
        <w:t xml:space="preserve">from </w:t>
      </w:r>
      <w:r w:rsidR="004717BC" w:rsidRPr="00817B9F">
        <w:t xml:space="preserve">three to five, whereas the number of CT units would increase from 14 to 16 and the number of MRI units would increase from </w:t>
      </w:r>
      <w:r w:rsidR="00946A0A" w:rsidRPr="00817B9F">
        <w:t>ten</w:t>
      </w:r>
      <w:r w:rsidR="004717BC" w:rsidRPr="00817B9F">
        <w:t xml:space="preserve"> to </w:t>
      </w:r>
      <w:r w:rsidR="00F9633A" w:rsidRPr="00817B9F">
        <w:t>12</w:t>
      </w:r>
      <w:r w:rsidR="3DFABED3" w:rsidRPr="00817B9F">
        <w:t>.</w:t>
      </w:r>
      <w:r w:rsidR="00FE3EF6" w:rsidRPr="00817B9F">
        <w:rPr>
          <w:rStyle w:val="FootnoteReference"/>
        </w:rPr>
        <w:footnoteReference w:id="196"/>
      </w:r>
      <w:r w:rsidR="00AB3F20" w:rsidRPr="00817B9F">
        <w:t xml:space="preserve"> </w:t>
      </w:r>
      <w:r w:rsidR="002E5C68" w:rsidRPr="00817B9F">
        <w:t>MGB’s overall share increases by</w:t>
      </w:r>
      <w:r w:rsidR="004717BC" w:rsidRPr="00817B9F">
        <w:t xml:space="preserve"> somewhat</w:t>
      </w:r>
      <w:r w:rsidR="002E5C68" w:rsidRPr="00817B9F">
        <w:t xml:space="preserve"> less than this amount because some of the additional MGH volume comes from patients who otherwise would have received services at other MGB facilities (</w:t>
      </w:r>
      <w:r w:rsidR="002E5C68" w:rsidRPr="00817B9F">
        <w:rPr>
          <w:i/>
          <w:iCs/>
        </w:rPr>
        <w:t>i.e.</w:t>
      </w:r>
      <w:r w:rsidR="002E5C68" w:rsidRPr="00817B9F">
        <w:t xml:space="preserve">, the share of other MGB facilities in MGH’s service area decreases by </w:t>
      </w:r>
      <w:r w:rsidR="00464621" w:rsidRPr="00817B9F">
        <w:t>2.</w:t>
      </w:r>
      <w:r w:rsidR="001F4E4A" w:rsidRPr="00817B9F">
        <w:t>0</w:t>
      </w:r>
      <w:r w:rsidR="002E5C68" w:rsidRPr="00817B9F">
        <w:t xml:space="preserve"> percentage points from </w:t>
      </w:r>
      <w:r w:rsidR="00464621" w:rsidRPr="00817B9F">
        <w:t>16.3</w:t>
      </w:r>
      <w:r w:rsidR="002E5C68" w:rsidRPr="00817B9F">
        <w:t xml:space="preserve"> percent to </w:t>
      </w:r>
      <w:r w:rsidR="001F4E4A" w:rsidRPr="00817B9F">
        <w:t>14.3</w:t>
      </w:r>
      <w:r w:rsidR="002E5C68" w:rsidRPr="00817B9F">
        <w:t xml:space="preserve"> percent). The provider</w:t>
      </w:r>
      <w:r w:rsidR="00EA3632" w:rsidRPr="00817B9F">
        <w:t>s</w:t>
      </w:r>
      <w:r w:rsidR="002E5C68" w:rsidRPr="00817B9F">
        <w:t xml:space="preserve"> whose shares in MGH’s service area decline by the largest amounts </w:t>
      </w:r>
      <w:r w:rsidR="00EA3632" w:rsidRPr="00817B9F">
        <w:t>are</w:t>
      </w:r>
      <w:r w:rsidR="002E5C68" w:rsidRPr="00817B9F">
        <w:t xml:space="preserve"> Beth Israel Lahey Health (a decline of </w:t>
      </w:r>
      <w:r w:rsidR="00464621" w:rsidRPr="00817B9F">
        <w:t>2.7</w:t>
      </w:r>
      <w:r w:rsidR="002E5C68" w:rsidRPr="00817B9F">
        <w:t xml:space="preserve"> percentage points</w:t>
      </w:r>
      <w:r w:rsidR="00464621" w:rsidRPr="00817B9F">
        <w:t>),</w:t>
      </w:r>
      <w:r w:rsidR="00EA3632" w:rsidRPr="00817B9F">
        <w:t xml:space="preserve"> Dana</w:t>
      </w:r>
      <w:r w:rsidR="009A4D53" w:rsidRPr="00817B9F">
        <w:t>-</w:t>
      </w:r>
      <w:r w:rsidR="00EA3632" w:rsidRPr="00817B9F">
        <w:t>Farber Cancer Institute (a decline of 1.</w:t>
      </w:r>
      <w:r w:rsidR="001F4E4A" w:rsidRPr="00817B9F">
        <w:t>2</w:t>
      </w:r>
      <w:r w:rsidR="00EA3632" w:rsidRPr="00817B9F">
        <w:t xml:space="preserve"> </w:t>
      </w:r>
      <w:r w:rsidR="00B20BE8" w:rsidRPr="00817B9F">
        <w:t>percentage points</w:t>
      </w:r>
      <w:r w:rsidR="00EA3632" w:rsidRPr="00817B9F">
        <w:t xml:space="preserve">), and </w:t>
      </w:r>
      <w:r w:rsidR="00464621" w:rsidRPr="00817B9F">
        <w:t>Shield</w:t>
      </w:r>
      <w:r w:rsidR="00E53566" w:rsidRPr="00817B9F">
        <w:t>s</w:t>
      </w:r>
      <w:r w:rsidR="00464621" w:rsidRPr="00817B9F">
        <w:t xml:space="preserve"> Heath Care Group (a decline of 0</w:t>
      </w:r>
      <w:r w:rsidR="00914ED9" w:rsidRPr="00817B9F">
        <w:t>.9</w:t>
      </w:r>
      <w:r w:rsidR="00464621" w:rsidRPr="00817B9F">
        <w:t xml:space="preserve"> percentage points).</w:t>
      </w:r>
    </w:p>
    <w:p w14:paraId="2A6580D1" w14:textId="31627E30" w:rsidR="00E931F6" w:rsidRPr="00817B9F" w:rsidRDefault="00556925" w:rsidP="001F4F5C">
      <w:pPr>
        <w:pStyle w:val="NumberedParagraphs"/>
      </w:pPr>
      <w:r w:rsidRPr="00817B9F">
        <w:t>Using the predicted change in shares, the bottom panel</w:t>
      </w:r>
      <w:r w:rsidR="00DC76DC" w:rsidRPr="00817B9F">
        <w:t>s</w:t>
      </w:r>
      <w:r w:rsidRPr="00817B9F">
        <w:t xml:space="preserve"> of</w:t>
      </w:r>
      <w:r w:rsidR="00DB60B4" w:rsidRPr="00817B9F">
        <w:t xml:space="preserve"> </w:t>
      </w:r>
      <w:r w:rsidRPr="00817B9F">
        <w:t xml:space="preserve">Figures </w:t>
      </w:r>
      <w:r w:rsidR="00142B01" w:rsidRPr="00817B9F">
        <w:t>MGH17</w:t>
      </w:r>
      <w:r w:rsidR="002E664C" w:rsidRPr="00817B9F">
        <w:t>-MGH19</w:t>
      </w:r>
      <w:r w:rsidR="00142B01" w:rsidRPr="00817B9F">
        <w:t xml:space="preserve"> show the associated changes in concentration </w:t>
      </w:r>
      <w:r w:rsidR="00DC76DC" w:rsidRPr="00817B9F">
        <w:t xml:space="preserve">for outpatient CT, MR, and PET/CT scans </w:t>
      </w:r>
      <w:r w:rsidR="00142B01" w:rsidRPr="00817B9F">
        <w:t xml:space="preserve">in MGH’s service areas. </w:t>
      </w:r>
      <w:r w:rsidR="0053482C" w:rsidRPr="00817B9F">
        <w:t xml:space="preserve">Across </w:t>
      </w:r>
      <w:r w:rsidR="00142B01" w:rsidRPr="00817B9F">
        <w:t>the</w:t>
      </w:r>
      <w:r w:rsidR="0053482C" w:rsidRPr="00817B9F">
        <w:t xml:space="preserve"> three imaging modalities, concentration in </w:t>
      </w:r>
      <w:r w:rsidR="000A46A0" w:rsidRPr="00817B9F">
        <w:t xml:space="preserve">MGH’s service area is projected to increase by 100 points </w:t>
      </w:r>
      <w:r w:rsidR="0053482C" w:rsidRPr="00817B9F">
        <w:t>(</w:t>
      </w:r>
      <w:r w:rsidR="006F0332" w:rsidRPr="00817B9F">
        <w:t>outpatient CT</w:t>
      </w:r>
      <w:r w:rsidR="0053482C" w:rsidRPr="00817B9F">
        <w:t xml:space="preserve">), </w:t>
      </w:r>
      <w:r w:rsidR="006F0332" w:rsidRPr="00817B9F">
        <w:t>131 points (outpatient MRI), or 2</w:t>
      </w:r>
      <w:r w:rsidR="00914ED9" w:rsidRPr="00817B9F">
        <w:t>60</w:t>
      </w:r>
      <w:r w:rsidR="006F0332" w:rsidRPr="00817B9F">
        <w:t xml:space="preserve"> points (outpatient PET/CT).</w:t>
      </w:r>
      <w:r w:rsidR="00DB60B4" w:rsidRPr="00817B9F">
        <w:t xml:space="preserve"> </w:t>
      </w:r>
      <w:r w:rsidR="006F0332" w:rsidRPr="00817B9F">
        <w:t xml:space="preserve">While these changes are somewhat higher than the safe-harbor threshold in </w:t>
      </w:r>
      <w:r w:rsidR="006F0332" w:rsidRPr="00817B9F">
        <w:rPr>
          <w:i/>
          <w:iCs/>
        </w:rPr>
        <w:t>Horizontal Merger Guidelines</w:t>
      </w:r>
      <w:r w:rsidR="006F0332" w:rsidRPr="00817B9F">
        <w:t>, the over</w:t>
      </w:r>
      <w:r w:rsidR="00840629" w:rsidRPr="00817B9F">
        <w:t>all</w:t>
      </w:r>
      <w:r w:rsidR="006F0332" w:rsidRPr="00817B9F">
        <w:t xml:space="preserve"> changes in MGB’s shares for each </w:t>
      </w:r>
      <w:r w:rsidR="00DB60B4" w:rsidRPr="00817B9F">
        <w:t>modality are modest and it is unlikely that the proposed project would meaningfully increase MGB’s bargaining leverage with third-party payors.</w:t>
      </w:r>
    </w:p>
    <w:p w14:paraId="372545CF" w14:textId="5C6C8FA6" w:rsidR="00BA1D9F" w:rsidRPr="00817B9F" w:rsidRDefault="00C77D93" w:rsidP="00BA1D9F">
      <w:pPr>
        <w:pStyle w:val="Heading3"/>
      </w:pPr>
      <w:bookmarkStart w:id="118" w:name="_Toc90046534"/>
      <w:r w:rsidRPr="00817B9F">
        <w:lastRenderedPageBreak/>
        <w:t xml:space="preserve">Cardiovascular </w:t>
      </w:r>
      <w:r w:rsidR="0041288B" w:rsidRPr="00817B9F">
        <w:t>Services</w:t>
      </w:r>
      <w:bookmarkEnd w:id="118"/>
    </w:p>
    <w:p w14:paraId="5C824740" w14:textId="09458C03" w:rsidR="008A2586" w:rsidRPr="00817B9F" w:rsidRDefault="008C7BB9" w:rsidP="00517EB3">
      <w:pPr>
        <w:pStyle w:val="NumberedParagraphs"/>
      </w:pPr>
      <w:r w:rsidRPr="00817B9F">
        <w:t xml:space="preserve">Figure </w:t>
      </w:r>
      <w:r w:rsidR="00EA6C33" w:rsidRPr="00817B9F">
        <w:t>MGH</w:t>
      </w:r>
      <w:r w:rsidR="00594207" w:rsidRPr="00817B9F">
        <w:t>20</w:t>
      </w:r>
      <w:r w:rsidRPr="00817B9F">
        <w:t xml:space="preserve"> reports providers’ shares of </w:t>
      </w:r>
      <w:r w:rsidR="00652AC3" w:rsidRPr="00817B9F">
        <w:t xml:space="preserve">outpatient </w:t>
      </w:r>
      <w:r w:rsidR="008A5CB9" w:rsidRPr="00817B9F">
        <w:t>cardiovascular procedures</w:t>
      </w:r>
      <w:r w:rsidRPr="00817B9F">
        <w:t xml:space="preserve"> </w:t>
      </w:r>
      <w:r w:rsidR="00652AC3" w:rsidRPr="00817B9F">
        <w:t>in MGH’s service area</w:t>
      </w:r>
      <w:r w:rsidRPr="00817B9F">
        <w:t>. The</w:t>
      </w:r>
      <w:r w:rsidR="00FE250A" w:rsidRPr="00817B9F">
        <w:t xml:space="preserve"> method</w:t>
      </w:r>
      <w:r w:rsidR="00652AC3" w:rsidRPr="00817B9F">
        <w:t xml:space="preserve"> we</w:t>
      </w:r>
      <w:r w:rsidR="00FE250A" w:rsidRPr="00817B9F">
        <w:t xml:space="preserve"> use to </w:t>
      </w:r>
      <w:r w:rsidR="00652AC3" w:rsidRPr="00817B9F">
        <w:t>calculate</w:t>
      </w:r>
      <w:r w:rsidRPr="00817B9F">
        <w:t xml:space="preserve"> </w:t>
      </w:r>
      <w:r w:rsidR="00FE250A" w:rsidRPr="00817B9F">
        <w:t>is</w:t>
      </w:r>
      <w:r w:rsidR="00DF3B9D" w:rsidRPr="00817B9F">
        <w:t xml:space="preserve"> </w:t>
      </w:r>
      <w:r w:rsidR="00652AC3" w:rsidRPr="00817B9F">
        <w:t>similar to the method we used for outpatient</w:t>
      </w:r>
      <w:r w:rsidR="00DF3B9D" w:rsidRPr="00817B9F">
        <w:t xml:space="preserve"> diagnostic imaging services</w:t>
      </w:r>
      <w:r w:rsidR="00FE250A" w:rsidRPr="00817B9F">
        <w:t>,</w:t>
      </w:r>
      <w:r w:rsidR="00DF3B9D" w:rsidRPr="00817B9F">
        <w:t xml:space="preserve"> except</w:t>
      </w:r>
      <w:r w:rsidRPr="00817B9F">
        <w:t xml:space="preserve"> </w:t>
      </w:r>
      <w:r w:rsidR="00652AC3" w:rsidRPr="00817B9F">
        <w:t xml:space="preserve">that </w:t>
      </w:r>
      <w:r w:rsidRPr="00817B9F">
        <w:t xml:space="preserve">ZIP </w:t>
      </w:r>
      <w:r w:rsidR="00FE250A" w:rsidRPr="00817B9F">
        <w:t>C</w:t>
      </w:r>
      <w:r w:rsidRPr="00817B9F">
        <w:t xml:space="preserve">odes </w:t>
      </w:r>
      <w:r w:rsidR="00652AC3" w:rsidRPr="00817B9F">
        <w:t xml:space="preserve">in MGH’s service </w:t>
      </w:r>
      <w:r w:rsidR="00DF3B9D" w:rsidRPr="00817B9F">
        <w:t xml:space="preserve">are </w:t>
      </w:r>
      <w:r w:rsidRPr="00817B9F">
        <w:t xml:space="preserve">weighted by the number of </w:t>
      </w:r>
      <w:r w:rsidR="00DF3B9D" w:rsidRPr="00817B9F">
        <w:t xml:space="preserve">outpatient cardiovascular procedures </w:t>
      </w:r>
      <w:r w:rsidRPr="00817B9F">
        <w:t>MGH</w:t>
      </w:r>
      <w:r w:rsidR="00DF3B9D" w:rsidRPr="00817B9F">
        <w:t xml:space="preserve"> </w:t>
      </w:r>
      <w:r w:rsidR="00AD2B0C" w:rsidRPr="00817B9F">
        <w:t xml:space="preserve">provided to </w:t>
      </w:r>
      <w:r w:rsidRPr="00817B9F">
        <w:t xml:space="preserve">patients </w:t>
      </w:r>
      <w:r w:rsidR="00AD2B0C" w:rsidRPr="00817B9F">
        <w:t>in that</w:t>
      </w:r>
      <w:r w:rsidRPr="00817B9F">
        <w:t xml:space="preserve"> ZIP </w:t>
      </w:r>
      <w:r w:rsidR="00FE250A" w:rsidRPr="00817B9F">
        <w:t>C</w:t>
      </w:r>
      <w:r w:rsidRPr="00817B9F">
        <w:t>ode.</w:t>
      </w:r>
      <w:r w:rsidR="00580E3D" w:rsidRPr="00817B9F">
        <w:t xml:space="preserve"> </w:t>
      </w:r>
      <w:r w:rsidR="008A2586" w:rsidRPr="00817B9F">
        <w:t>Using our model of patient demand for outpatient cardiovascular procedures, i</w:t>
      </w:r>
      <w:r w:rsidR="00652AC3" w:rsidRPr="00817B9F">
        <w:t xml:space="preserve">f the proposed project were approved, we predict that MGH’s share of outpatient </w:t>
      </w:r>
      <w:r w:rsidR="00F40D0A" w:rsidRPr="00817B9F">
        <w:t>cardiovascular</w:t>
      </w:r>
      <w:r w:rsidR="00652AC3" w:rsidRPr="00817B9F">
        <w:t xml:space="preserve"> </w:t>
      </w:r>
      <w:r w:rsidR="00C4297E" w:rsidRPr="00817B9F">
        <w:t>procedures</w:t>
      </w:r>
      <w:r w:rsidR="00652AC3" w:rsidRPr="00817B9F">
        <w:t xml:space="preserve"> in its service area would increase by </w:t>
      </w:r>
      <w:r w:rsidR="0017729C" w:rsidRPr="00817B9F">
        <w:t>only 0.4</w:t>
      </w:r>
      <w:r w:rsidR="00652AC3" w:rsidRPr="00817B9F">
        <w:t xml:space="preserve"> percentage points from </w:t>
      </w:r>
      <w:r w:rsidR="0017729C" w:rsidRPr="00817B9F">
        <w:t>13.8</w:t>
      </w:r>
      <w:r w:rsidR="00652AC3" w:rsidRPr="00817B9F">
        <w:t xml:space="preserve"> percent to </w:t>
      </w:r>
      <w:r w:rsidR="0017729C" w:rsidRPr="00817B9F">
        <w:t>14.2</w:t>
      </w:r>
      <w:r w:rsidR="00652AC3" w:rsidRPr="00817B9F">
        <w:t xml:space="preserve"> percent. MGB’s overall share increases by less than this amount because some of the additional MGH volume comes from patients who otherwise would have received services at other MGB facilities (</w:t>
      </w:r>
      <w:r w:rsidR="00652AC3" w:rsidRPr="00817B9F">
        <w:rPr>
          <w:i/>
          <w:iCs/>
        </w:rPr>
        <w:t>i.e.</w:t>
      </w:r>
      <w:r w:rsidR="00652AC3" w:rsidRPr="00817B9F">
        <w:t xml:space="preserve">, the share of other MGB facilities in MGH’s service area decreases by </w:t>
      </w:r>
      <w:r w:rsidR="0017729C" w:rsidRPr="00817B9F">
        <w:t>0.1</w:t>
      </w:r>
      <w:r w:rsidR="00652AC3" w:rsidRPr="00817B9F">
        <w:t xml:space="preserve"> percentage points from </w:t>
      </w:r>
      <w:r w:rsidR="0017729C" w:rsidRPr="00817B9F">
        <w:t>18.3</w:t>
      </w:r>
      <w:r w:rsidR="00652AC3" w:rsidRPr="00817B9F">
        <w:t xml:space="preserve"> percent to </w:t>
      </w:r>
      <w:r w:rsidR="0017729C" w:rsidRPr="00817B9F">
        <w:t>18.2</w:t>
      </w:r>
      <w:r w:rsidR="00652AC3" w:rsidRPr="00817B9F">
        <w:t xml:space="preserve"> percent). Given the small increase in MGH’s share in its own service area, the predicted effects of the proposed project on other providers’ </w:t>
      </w:r>
      <w:r w:rsidR="00802ACB" w:rsidRPr="00817B9F">
        <w:t>outpatient cardiovascular procedure volumes</w:t>
      </w:r>
      <w:r w:rsidR="00652AC3" w:rsidRPr="00817B9F">
        <w:t xml:space="preserve"> are modest. The providers whose shares in MGH’s service area decline by the largest amounts are Beth Israel Lahey Health (a decline of 0.</w:t>
      </w:r>
      <w:r w:rsidR="009C22EF" w:rsidRPr="00817B9F">
        <w:t>1</w:t>
      </w:r>
      <w:r w:rsidR="00652AC3" w:rsidRPr="00817B9F">
        <w:t xml:space="preserve"> percentage points) and Wellforce (a decline of 0.</w:t>
      </w:r>
      <w:r w:rsidR="009C22EF" w:rsidRPr="00817B9F">
        <w:t>1</w:t>
      </w:r>
      <w:r w:rsidR="00652AC3" w:rsidRPr="00817B9F">
        <w:t xml:space="preserve"> percentage points).</w:t>
      </w:r>
      <w:r w:rsidR="009C22EF" w:rsidRPr="00817B9F">
        <w:t xml:space="preserve"> Using the predicted change in shares, the bottom panel of Figure MGH</w:t>
      </w:r>
      <w:r w:rsidR="00594207" w:rsidRPr="00817B9F">
        <w:t>20</w:t>
      </w:r>
      <w:r w:rsidR="009C22EF" w:rsidRPr="00817B9F">
        <w:t xml:space="preserve"> shows that the HHI in </w:t>
      </w:r>
      <w:r w:rsidR="00131F50" w:rsidRPr="00817B9F">
        <w:t>MGH</w:t>
      </w:r>
      <w:r w:rsidR="009C22EF" w:rsidRPr="00817B9F">
        <w:t xml:space="preserve">’s service area is projected to increase by only </w:t>
      </w:r>
      <w:r w:rsidR="00946A0A" w:rsidRPr="00817B9F">
        <w:t>ten</w:t>
      </w:r>
      <w:r w:rsidR="009C22EF" w:rsidRPr="00817B9F">
        <w:t xml:space="preserve"> points from </w:t>
      </w:r>
      <w:r w:rsidR="00131F50" w:rsidRPr="00817B9F">
        <w:t>3</w:t>
      </w:r>
      <w:r w:rsidR="005040D0" w:rsidRPr="00817B9F">
        <w:t>,</w:t>
      </w:r>
      <w:r w:rsidR="00131F50" w:rsidRPr="00817B9F">
        <w:t>782</w:t>
      </w:r>
      <w:r w:rsidR="009C22EF" w:rsidRPr="00817B9F">
        <w:t xml:space="preserve"> to </w:t>
      </w:r>
      <w:r w:rsidR="00131F50" w:rsidRPr="00817B9F">
        <w:t>3</w:t>
      </w:r>
      <w:r w:rsidR="005040D0" w:rsidRPr="00817B9F">
        <w:t>,</w:t>
      </w:r>
      <w:r w:rsidR="00131F50" w:rsidRPr="00817B9F">
        <w:t>792, which is competitively insignificant.</w:t>
      </w:r>
    </w:p>
    <w:p w14:paraId="0391451D" w14:textId="4B8DFCCA" w:rsidR="00D365F5" w:rsidRPr="00817B9F" w:rsidRDefault="00C77D93" w:rsidP="00D365F5">
      <w:pPr>
        <w:pStyle w:val="Heading3"/>
      </w:pPr>
      <w:bookmarkStart w:id="119" w:name="_Toc90046535"/>
      <w:r w:rsidRPr="00817B9F">
        <w:t>Oncology</w:t>
      </w:r>
      <w:r w:rsidR="0041288B" w:rsidRPr="00817B9F">
        <w:t xml:space="preserve"> Services</w:t>
      </w:r>
      <w:bookmarkEnd w:id="119"/>
    </w:p>
    <w:p w14:paraId="3DFBA40B" w14:textId="772AA8D1" w:rsidR="008A5CB9" w:rsidRPr="00817B9F" w:rsidRDefault="004E739C" w:rsidP="00FA0A73">
      <w:pPr>
        <w:pStyle w:val="NumberedParagraphs"/>
      </w:pPr>
      <w:r w:rsidRPr="00817B9F">
        <w:t>Figure MGH</w:t>
      </w:r>
      <w:r w:rsidR="00F72D10" w:rsidRPr="00817B9F">
        <w:t>21</w:t>
      </w:r>
      <w:r w:rsidRPr="00817B9F">
        <w:t xml:space="preserve"> reports providers’ shares of outpatient oncology visits in MGH’s service area</w:t>
      </w:r>
      <w:r w:rsidR="00530D73" w:rsidRPr="00817B9F">
        <w:t xml:space="preserve">; for these calculations </w:t>
      </w:r>
      <w:r w:rsidRPr="00817B9F">
        <w:t xml:space="preserve">ZIP Codes in MGH’s service are weighted by the number of outpatient </w:t>
      </w:r>
      <w:r w:rsidR="00530D73" w:rsidRPr="00817B9F">
        <w:t xml:space="preserve">oncology visits that </w:t>
      </w:r>
      <w:r w:rsidRPr="00817B9F">
        <w:t xml:space="preserve">MGH provided to patients in that ZIP Code. Using our model of patient demand for outpatient </w:t>
      </w:r>
      <w:r w:rsidR="00D96FF8" w:rsidRPr="00817B9F">
        <w:t>oncology visits</w:t>
      </w:r>
      <w:r w:rsidRPr="00817B9F">
        <w:t xml:space="preserve">, if the proposed project were approved, we predict that MGH’s share of outpatient </w:t>
      </w:r>
      <w:r w:rsidR="00802ACB" w:rsidRPr="00817B9F">
        <w:t>oncology visits</w:t>
      </w:r>
      <w:r w:rsidRPr="00817B9F">
        <w:t xml:space="preserve"> in its service area would increase by only </w:t>
      </w:r>
      <w:r w:rsidR="00802ACB" w:rsidRPr="00817B9F">
        <w:t>3.2</w:t>
      </w:r>
      <w:r w:rsidRPr="00817B9F">
        <w:t xml:space="preserve"> percentage points from 18</w:t>
      </w:r>
      <w:r w:rsidR="00802ACB" w:rsidRPr="00817B9F">
        <w:t>.</w:t>
      </w:r>
      <w:r w:rsidR="00582E2B" w:rsidRPr="00817B9F">
        <w:t>2</w:t>
      </w:r>
      <w:r w:rsidRPr="00817B9F">
        <w:t xml:space="preserve"> percent to </w:t>
      </w:r>
      <w:r w:rsidR="00802ACB" w:rsidRPr="00817B9F">
        <w:t>21.</w:t>
      </w:r>
      <w:r w:rsidR="00582E2B" w:rsidRPr="00817B9F">
        <w:t>4</w:t>
      </w:r>
      <w:r w:rsidRPr="00817B9F">
        <w:t xml:space="preserve"> percent. MGB’s overall share increases by less than this amount because some of the additional MGH volume comes from patients who otherwise would have received services at other MGB facilities (</w:t>
      </w:r>
      <w:r w:rsidRPr="00817B9F">
        <w:rPr>
          <w:i/>
          <w:iCs/>
        </w:rPr>
        <w:t>i.e.</w:t>
      </w:r>
      <w:r w:rsidRPr="00817B9F">
        <w:t>, the share of other MGB facilities in MGH’s service area decreases by 0.</w:t>
      </w:r>
      <w:r w:rsidR="00802ACB" w:rsidRPr="00817B9F">
        <w:t>9</w:t>
      </w:r>
      <w:r w:rsidRPr="00817B9F">
        <w:t xml:space="preserve"> percentage points from 1</w:t>
      </w:r>
      <w:r w:rsidR="00802ACB" w:rsidRPr="00817B9F">
        <w:t>6.4</w:t>
      </w:r>
      <w:r w:rsidRPr="00817B9F">
        <w:t xml:space="preserve"> percent to 1</w:t>
      </w:r>
      <w:r w:rsidR="00802ACB" w:rsidRPr="00817B9F">
        <w:t>5.</w:t>
      </w:r>
      <w:r w:rsidR="00582E2B" w:rsidRPr="00817B9F">
        <w:t>6</w:t>
      </w:r>
      <w:r w:rsidRPr="00817B9F">
        <w:t xml:space="preserve"> percent). </w:t>
      </w:r>
      <w:r w:rsidR="00802ACB" w:rsidRPr="00817B9F">
        <w:t>T</w:t>
      </w:r>
      <w:r w:rsidRPr="00817B9F">
        <w:t xml:space="preserve">he predicted effects of the proposed project on other providers’ outpatient </w:t>
      </w:r>
      <w:r w:rsidR="00BE3A20" w:rsidRPr="00817B9F">
        <w:t>oncology visit</w:t>
      </w:r>
      <w:r w:rsidRPr="00817B9F">
        <w:t xml:space="preserve"> volumes are modest. The providers whose shares in MGH’s service area decline by the largest amounts are Beth Israel Lahey </w:t>
      </w:r>
      <w:r w:rsidRPr="00817B9F">
        <w:lastRenderedPageBreak/>
        <w:t>Health (a decline of 0.</w:t>
      </w:r>
      <w:r w:rsidR="00BE3A20" w:rsidRPr="00817B9F">
        <w:t>9</w:t>
      </w:r>
      <w:r w:rsidRPr="00817B9F">
        <w:t xml:space="preserve"> percentage points) and </w:t>
      </w:r>
      <w:r w:rsidR="00BE3A20" w:rsidRPr="00817B9F">
        <w:t>Dana</w:t>
      </w:r>
      <w:r w:rsidR="009A4D53" w:rsidRPr="00817B9F">
        <w:t>-</w:t>
      </w:r>
      <w:r w:rsidR="00BE3A20" w:rsidRPr="00817B9F">
        <w:t>Farber Cancer Institute</w:t>
      </w:r>
      <w:r w:rsidRPr="00817B9F">
        <w:t xml:space="preserve"> (a decline of 0.</w:t>
      </w:r>
      <w:r w:rsidR="00BE3A20" w:rsidRPr="00817B9F">
        <w:t>5</w:t>
      </w:r>
      <w:r w:rsidRPr="00817B9F">
        <w:t xml:space="preserve"> percentage points). Using the predicted change in shares, the bottom panel of Figure MGH</w:t>
      </w:r>
      <w:r w:rsidR="009000C8" w:rsidRPr="00817B9F">
        <w:t>21</w:t>
      </w:r>
      <w:r w:rsidRPr="00817B9F">
        <w:t xml:space="preserve"> shows that the HHI in MGH’s service area is projected to increase by only </w:t>
      </w:r>
      <w:r w:rsidR="00BE3A20" w:rsidRPr="00817B9F">
        <w:t>11</w:t>
      </w:r>
      <w:r w:rsidR="00582E2B" w:rsidRPr="00817B9F">
        <w:t>3</w:t>
      </w:r>
      <w:r w:rsidRPr="00817B9F">
        <w:t xml:space="preserve"> points from </w:t>
      </w:r>
      <w:r w:rsidR="00BE3A20" w:rsidRPr="00817B9F">
        <w:t>3</w:t>
      </w:r>
      <w:r w:rsidR="00582E2B" w:rsidRPr="00817B9F">
        <w:t>,</w:t>
      </w:r>
      <w:r w:rsidR="00BE3A20" w:rsidRPr="00817B9F">
        <w:t>12</w:t>
      </w:r>
      <w:r w:rsidR="00582E2B" w:rsidRPr="00817B9F">
        <w:t>6</w:t>
      </w:r>
      <w:r w:rsidRPr="00817B9F">
        <w:t xml:space="preserve"> to </w:t>
      </w:r>
      <w:r w:rsidR="00BE3A20" w:rsidRPr="00817B9F">
        <w:t>3</w:t>
      </w:r>
      <w:r w:rsidR="00582E2B" w:rsidRPr="00817B9F">
        <w:t>,</w:t>
      </w:r>
      <w:r w:rsidR="00BE3A20" w:rsidRPr="00817B9F">
        <w:t>23</w:t>
      </w:r>
      <w:r w:rsidR="00582E2B" w:rsidRPr="00817B9F">
        <w:t>9</w:t>
      </w:r>
      <w:r w:rsidR="00BE3A20" w:rsidRPr="00817B9F">
        <w:t>.</w:t>
      </w:r>
      <w:r w:rsidRPr="00817B9F">
        <w:t xml:space="preserve"> </w:t>
      </w:r>
      <w:r w:rsidR="00BE3A20" w:rsidRPr="00817B9F">
        <w:t>This change</w:t>
      </w:r>
      <w:r w:rsidRPr="00817B9F">
        <w:t xml:space="preserve"> is</w:t>
      </w:r>
      <w:r w:rsidR="00BE3A20" w:rsidRPr="00817B9F">
        <w:t xml:space="preserve"> slightly higher than the </w:t>
      </w:r>
      <w:r w:rsidR="00BE3A20" w:rsidRPr="00817B9F">
        <w:rPr>
          <w:i/>
          <w:iCs/>
        </w:rPr>
        <w:t>Horizontal Merger Guidelines</w:t>
      </w:r>
      <w:r w:rsidR="00BE3A20" w:rsidRPr="00817B9F">
        <w:t xml:space="preserve"> safe harbor, but the overall changes in MGB’s shares are small and it is unlikely that the proposed project would meaningfully increase MGB’s bargaining leverage with third-party payors.</w:t>
      </w:r>
    </w:p>
    <w:p w14:paraId="38A652A5" w14:textId="65DC60DD" w:rsidR="00B350F9" w:rsidRPr="00817B9F" w:rsidRDefault="003146E3" w:rsidP="003146E3">
      <w:pPr>
        <w:pStyle w:val="Heading1"/>
      </w:pPr>
      <w:bookmarkStart w:id="120" w:name="_Toc90046536"/>
      <w:r w:rsidRPr="00817B9F">
        <w:t xml:space="preserve">Rates for </w:t>
      </w:r>
      <w:r w:rsidR="00595907" w:rsidRPr="00817B9F">
        <w:t>Private and Semi-Private Room Rates at M</w:t>
      </w:r>
      <w:r w:rsidR="003366A3" w:rsidRPr="00817B9F">
        <w:t>GH</w:t>
      </w:r>
      <w:bookmarkEnd w:id="120"/>
    </w:p>
    <w:p w14:paraId="1E5ED7C0" w14:textId="6B038972" w:rsidR="004156C4" w:rsidRPr="00817B9F" w:rsidRDefault="005C5367" w:rsidP="00192704">
      <w:pPr>
        <w:pStyle w:val="NumberedParagraphs"/>
      </w:pPr>
      <w:r w:rsidRPr="00817B9F">
        <w:t xml:space="preserve">As part the ICA, the DoN program asked </w:t>
      </w:r>
      <w:r w:rsidR="00FF33F0" w:rsidRPr="00817B9F">
        <w:t xml:space="preserve">us </w:t>
      </w:r>
      <w:r w:rsidR="00653123" w:rsidRPr="00817B9F">
        <w:t xml:space="preserve">to evaluate </w:t>
      </w:r>
      <w:r w:rsidRPr="00817B9F">
        <w:t xml:space="preserve">any impact on </w:t>
      </w:r>
      <w:r w:rsidR="00957483" w:rsidRPr="00817B9F">
        <w:t xml:space="preserve">health care </w:t>
      </w:r>
      <w:r w:rsidRPr="00817B9F">
        <w:t xml:space="preserve">costs </w:t>
      </w:r>
      <w:r w:rsidR="00957483" w:rsidRPr="00817B9F">
        <w:t>resulting from</w:t>
      </w:r>
      <w:r w:rsidRPr="00817B9F">
        <w:t xml:space="preserve"> </w:t>
      </w:r>
      <w:r w:rsidR="00957483" w:rsidRPr="00817B9F">
        <w:t>MGB’s</w:t>
      </w:r>
      <w:r w:rsidRPr="00817B9F">
        <w:t xml:space="preserve"> </w:t>
      </w:r>
      <w:r w:rsidR="00957483" w:rsidRPr="00817B9F">
        <w:t>propos</w:t>
      </w:r>
      <w:r w:rsidR="00653123" w:rsidRPr="00817B9F">
        <w:t>al to</w:t>
      </w:r>
      <w:r w:rsidR="00957483" w:rsidRPr="00817B9F">
        <w:t xml:space="preserve"> </w:t>
      </w:r>
      <w:r w:rsidR="000851F3" w:rsidRPr="00817B9F">
        <w:t xml:space="preserve">increase </w:t>
      </w:r>
      <w:r w:rsidR="00653123" w:rsidRPr="00817B9F">
        <w:t>the number of</w:t>
      </w:r>
      <w:r w:rsidR="000851F3" w:rsidRPr="00817B9F">
        <w:t xml:space="preserve"> private beds at M</w:t>
      </w:r>
      <w:r w:rsidR="004156C4" w:rsidRPr="00817B9F">
        <w:t>GH</w:t>
      </w:r>
      <w:r w:rsidR="00F07F02" w:rsidRPr="00817B9F">
        <w:t>.</w:t>
      </w:r>
      <w:r w:rsidR="00CF453A" w:rsidRPr="00817B9F">
        <w:t xml:space="preserve"> </w:t>
      </w:r>
      <w:r w:rsidR="00957483" w:rsidRPr="00817B9F">
        <w:t>A</w:t>
      </w:r>
      <w:r w:rsidR="004156C4" w:rsidRPr="00817B9F">
        <w:t>s part of the</w:t>
      </w:r>
      <w:r w:rsidR="00957483" w:rsidRPr="00817B9F">
        <w:t xml:space="preserve"> </w:t>
      </w:r>
      <w:r w:rsidR="00CE23D9" w:rsidRPr="00817B9F">
        <w:t xml:space="preserve">proposed </w:t>
      </w:r>
      <w:r w:rsidR="00957483" w:rsidRPr="00817B9F">
        <w:t>p</w:t>
      </w:r>
      <w:r w:rsidR="004156C4" w:rsidRPr="00817B9F">
        <w:t xml:space="preserve">roject, </w:t>
      </w:r>
      <w:r w:rsidR="002261E7" w:rsidRPr="00817B9F">
        <w:t xml:space="preserve">482 </w:t>
      </w:r>
      <w:r w:rsidR="00CE23D9" w:rsidRPr="00817B9F">
        <w:t>pr</w:t>
      </w:r>
      <w:r w:rsidR="002343C3" w:rsidRPr="00817B9F">
        <w:t>ivate</w:t>
      </w:r>
      <w:r w:rsidR="00CE23D9" w:rsidRPr="00817B9F">
        <w:t xml:space="preserve"> </w:t>
      </w:r>
      <w:r w:rsidR="002261E7" w:rsidRPr="00817B9F">
        <w:t xml:space="preserve">inpatient beds (418 medical/surgical and 64 ICU beds) </w:t>
      </w:r>
      <w:r w:rsidR="00CE23D9" w:rsidRPr="00817B9F">
        <w:t xml:space="preserve">would be constructed in a new tower on MGH’s main campus; </w:t>
      </w:r>
      <w:r w:rsidR="001C000F" w:rsidRPr="00817B9F">
        <w:t xml:space="preserve">combined with the </w:t>
      </w:r>
      <w:r w:rsidR="001B6664" w:rsidRPr="00817B9F">
        <w:t>planned closure of</w:t>
      </w:r>
      <w:r w:rsidR="00F113BD" w:rsidRPr="00817B9F">
        <w:t xml:space="preserve"> 388 existing semi-private beds</w:t>
      </w:r>
      <w:r w:rsidR="001C000F" w:rsidRPr="00817B9F">
        <w:t xml:space="preserve">, the net impact would </w:t>
      </w:r>
      <w:r w:rsidR="000E697E" w:rsidRPr="00817B9F">
        <w:t xml:space="preserve">be to increase the number of licensed inpatient beds on MGH’s main </w:t>
      </w:r>
      <w:r w:rsidR="00827B57" w:rsidRPr="00817B9F">
        <w:t>campus by 94</w:t>
      </w:r>
      <w:r w:rsidR="002261E7" w:rsidRPr="00817B9F">
        <w:t>.</w:t>
      </w:r>
      <w:r w:rsidR="002261E7" w:rsidRPr="00817B9F">
        <w:rPr>
          <w:rStyle w:val="FootnoteReference"/>
        </w:rPr>
        <w:footnoteReference w:id="197"/>
      </w:r>
      <w:r w:rsidR="00BA24FC" w:rsidRPr="00817B9F">
        <w:t xml:space="preserve"> </w:t>
      </w:r>
      <w:r w:rsidR="007D2703" w:rsidRPr="00817B9F">
        <w:t>The result of this proposal would increase the perce</w:t>
      </w:r>
      <w:r w:rsidR="002A76E9" w:rsidRPr="00817B9F">
        <w:t xml:space="preserve">ntage of single-bed </w:t>
      </w:r>
      <w:r w:rsidR="000A7C33" w:rsidRPr="00817B9F">
        <w:t>medical/surgical rooms on MGH’s main campus from 38 percent to 88 percent.</w:t>
      </w:r>
      <w:r w:rsidR="000A7C33" w:rsidRPr="00817B9F">
        <w:rPr>
          <w:rStyle w:val="FootnoteReference"/>
        </w:rPr>
        <w:footnoteReference w:id="198"/>
      </w:r>
      <w:r w:rsidR="00EC6C23" w:rsidRPr="00817B9F">
        <w:t xml:space="preserve"> MGB argues that </w:t>
      </w:r>
      <w:r w:rsidR="00EB7865" w:rsidRPr="00817B9F">
        <w:t>sing</w:t>
      </w:r>
      <w:r w:rsidR="009C298F" w:rsidRPr="00817B9F">
        <w:t>l</w:t>
      </w:r>
      <w:r w:rsidR="00EB7865" w:rsidRPr="00817B9F">
        <w:t xml:space="preserve">e-bed rooms </w:t>
      </w:r>
      <w:r w:rsidR="00AA2A71" w:rsidRPr="00817B9F">
        <w:t xml:space="preserve">would </w:t>
      </w:r>
      <w:r w:rsidR="005C004C" w:rsidRPr="00817B9F">
        <w:t>improve patient satisfaction</w:t>
      </w:r>
      <w:r w:rsidR="19307CA1" w:rsidRPr="00817B9F">
        <w:t>,</w:t>
      </w:r>
      <w:r w:rsidR="005C004C" w:rsidRPr="00817B9F">
        <w:t xml:space="preserve"> </w:t>
      </w:r>
      <w:r w:rsidR="000E50A1" w:rsidRPr="00817B9F">
        <w:t>contribute to enhanced patient outcomes</w:t>
      </w:r>
      <w:r w:rsidR="7F387A00" w:rsidRPr="00817B9F">
        <w:t>,</w:t>
      </w:r>
      <w:r w:rsidR="000E50A1" w:rsidRPr="00817B9F">
        <w:t xml:space="preserve"> and alleviate capacity constraints caused by </w:t>
      </w:r>
      <w:r w:rsidR="00BA1392" w:rsidRPr="00817B9F">
        <w:t>bed blocks</w:t>
      </w:r>
      <w:r w:rsidR="00740924" w:rsidRPr="00817B9F">
        <w:t xml:space="preserve"> resulting from gender </w:t>
      </w:r>
      <w:r w:rsidR="00A02D3F" w:rsidRPr="00817B9F">
        <w:t xml:space="preserve">or age mismatches, </w:t>
      </w:r>
      <w:r w:rsidR="00A658A5" w:rsidRPr="00817B9F">
        <w:t xml:space="preserve">patients requiring end-of-life care, </w:t>
      </w:r>
      <w:r w:rsidR="7E26E789" w:rsidRPr="00817B9F">
        <w:t xml:space="preserve">disruptive patient behavior, </w:t>
      </w:r>
      <w:r w:rsidR="007D5361" w:rsidRPr="00817B9F">
        <w:t>or a need for infection control</w:t>
      </w:r>
      <w:r w:rsidR="00BA1392" w:rsidRPr="00817B9F">
        <w:t>.</w:t>
      </w:r>
      <w:r w:rsidR="00AA2A71" w:rsidRPr="00817B9F">
        <w:rPr>
          <w:rStyle w:val="FootnoteReference"/>
        </w:rPr>
        <w:footnoteReference w:id="199"/>
      </w:r>
      <w:r w:rsidR="00BA1392" w:rsidRPr="00817B9F">
        <w:t xml:space="preserve"> </w:t>
      </w:r>
    </w:p>
    <w:p w14:paraId="174D3606" w14:textId="7586482F" w:rsidR="00A94AAF" w:rsidRPr="00817B9F" w:rsidRDefault="00E67248" w:rsidP="00CF594E">
      <w:pPr>
        <w:pStyle w:val="NumberedParagraphs"/>
      </w:pPr>
      <w:r w:rsidRPr="00817B9F">
        <w:t>Putting aside the benefits of private rooms, w</w:t>
      </w:r>
      <w:r w:rsidR="005C0ADA" w:rsidRPr="00817B9F">
        <w:t xml:space="preserve">e have </w:t>
      </w:r>
      <w:r w:rsidR="008211A1" w:rsidRPr="00817B9F">
        <w:t>determined</w:t>
      </w:r>
      <w:r w:rsidR="00F41665" w:rsidRPr="00817B9F">
        <w:t xml:space="preserve"> that </w:t>
      </w:r>
      <w:r w:rsidR="00307F43" w:rsidRPr="00817B9F">
        <w:t>a</w:t>
      </w:r>
      <w:r w:rsidR="00F41665" w:rsidRPr="00817B9F">
        <w:t xml:space="preserve"> </w:t>
      </w:r>
      <w:r w:rsidR="00F47F78" w:rsidRPr="00817B9F">
        <w:t>greater</w:t>
      </w:r>
      <w:r w:rsidR="00F41665" w:rsidRPr="00817B9F">
        <w:t xml:space="preserve"> utilization of private rooms</w:t>
      </w:r>
      <w:r w:rsidR="008F206B" w:rsidRPr="00817B9F">
        <w:t xml:space="preserve"> at MGH</w:t>
      </w:r>
      <w:r w:rsidR="00D90B66" w:rsidRPr="00817B9F">
        <w:t xml:space="preserve"> </w:t>
      </w:r>
      <w:r w:rsidR="008211A1" w:rsidRPr="00817B9F">
        <w:t>would</w:t>
      </w:r>
      <w:r w:rsidR="00F41665" w:rsidRPr="00817B9F">
        <w:t xml:space="preserve"> </w:t>
      </w:r>
      <w:r w:rsidR="00D90B66" w:rsidRPr="00817B9F">
        <w:t>not</w:t>
      </w:r>
      <w:r w:rsidR="00F41665" w:rsidRPr="00817B9F">
        <w:t xml:space="preserve"> </w:t>
      </w:r>
      <w:r w:rsidR="008211A1" w:rsidRPr="00817B9F">
        <w:t>direct</w:t>
      </w:r>
      <w:r w:rsidR="00D90B66" w:rsidRPr="00817B9F">
        <w:t>ly</w:t>
      </w:r>
      <w:r w:rsidR="008211A1" w:rsidRPr="00817B9F">
        <w:t xml:space="preserve"> impact health care cost</w:t>
      </w:r>
      <w:r w:rsidR="00D90B66" w:rsidRPr="00817B9F">
        <w:t>s</w:t>
      </w:r>
      <w:r w:rsidR="00F47F78" w:rsidRPr="00817B9F">
        <w:t xml:space="preserve">. </w:t>
      </w:r>
    </w:p>
    <w:p w14:paraId="474CEB94" w14:textId="77777777" w:rsidR="00D21145" w:rsidRPr="00817B9F" w:rsidRDefault="00986E24" w:rsidP="005D3EC9">
      <w:pPr>
        <w:pStyle w:val="BulletParagraph"/>
        <w:rPr>
          <w:rFonts w:cs="Times New Roman"/>
        </w:rPr>
      </w:pPr>
      <w:r w:rsidRPr="00817B9F">
        <w:rPr>
          <w:rFonts w:cs="Times New Roman"/>
        </w:rPr>
        <w:lastRenderedPageBreak/>
        <w:t>First</w:t>
      </w:r>
      <w:r w:rsidR="00A679B7" w:rsidRPr="00817B9F">
        <w:rPr>
          <w:rFonts w:cs="Times New Roman"/>
        </w:rPr>
        <w:t>,</w:t>
      </w:r>
      <w:r w:rsidRPr="00817B9F">
        <w:rPr>
          <w:rFonts w:cs="Times New Roman"/>
        </w:rPr>
        <w:t xml:space="preserve"> Original Medicare pays </w:t>
      </w:r>
      <w:r w:rsidR="00A94AAF" w:rsidRPr="00817B9F">
        <w:rPr>
          <w:rFonts w:cs="Times New Roman"/>
        </w:rPr>
        <w:t xml:space="preserve">MGH </w:t>
      </w:r>
      <w:r w:rsidRPr="00817B9F">
        <w:rPr>
          <w:rFonts w:cs="Times New Roman"/>
        </w:rPr>
        <w:t xml:space="preserve">for inpatient stays </w:t>
      </w:r>
      <w:r w:rsidR="00A94AAF" w:rsidRPr="00817B9F">
        <w:rPr>
          <w:rFonts w:cs="Times New Roman"/>
        </w:rPr>
        <w:t>using</w:t>
      </w:r>
      <w:r w:rsidRPr="00817B9F">
        <w:rPr>
          <w:rFonts w:cs="Times New Roman"/>
        </w:rPr>
        <w:t xml:space="preserve"> </w:t>
      </w:r>
      <w:r w:rsidR="00A94AAF" w:rsidRPr="00817B9F">
        <w:rPr>
          <w:rFonts w:cs="Times New Roman"/>
        </w:rPr>
        <w:t>the Inpatient Prospective Payment System. Under this system, hospital reimbursement</w:t>
      </w:r>
      <w:r w:rsidRPr="00817B9F">
        <w:rPr>
          <w:rFonts w:cs="Times New Roman"/>
        </w:rPr>
        <w:t xml:space="preserve"> does not </w:t>
      </w:r>
      <w:r w:rsidR="00A94AAF" w:rsidRPr="00817B9F">
        <w:rPr>
          <w:rFonts w:cs="Times New Roman"/>
        </w:rPr>
        <w:t>depend</w:t>
      </w:r>
      <w:r w:rsidR="00A679B7" w:rsidRPr="00817B9F">
        <w:rPr>
          <w:rFonts w:cs="Times New Roman"/>
        </w:rPr>
        <w:t xml:space="preserve"> on the type of room </w:t>
      </w:r>
      <w:r w:rsidR="00D21145" w:rsidRPr="00817B9F">
        <w:rPr>
          <w:rFonts w:cs="Times New Roman"/>
        </w:rPr>
        <w:t>in which</w:t>
      </w:r>
      <w:r w:rsidR="00A679B7" w:rsidRPr="00817B9F">
        <w:rPr>
          <w:rFonts w:cs="Times New Roman"/>
        </w:rPr>
        <w:t xml:space="preserve"> the patient</w:t>
      </w:r>
      <w:r w:rsidR="00D21145" w:rsidRPr="00817B9F">
        <w:rPr>
          <w:rFonts w:cs="Times New Roman"/>
        </w:rPr>
        <w:t xml:space="preserve"> was boarded</w:t>
      </w:r>
      <w:r w:rsidR="00A679B7" w:rsidRPr="00817B9F">
        <w:rPr>
          <w:rFonts w:cs="Times New Roman"/>
        </w:rPr>
        <w:t>.</w:t>
      </w:r>
      <w:r w:rsidR="00A679B7" w:rsidRPr="00817B9F">
        <w:rPr>
          <w:rStyle w:val="FootnoteReference"/>
          <w:rFonts w:cs="Times New Roman"/>
        </w:rPr>
        <w:footnoteReference w:id="200"/>
      </w:r>
      <w:r w:rsidR="00F47F78" w:rsidRPr="00817B9F">
        <w:rPr>
          <w:rFonts w:cs="Times New Roman"/>
        </w:rPr>
        <w:t xml:space="preserve"> </w:t>
      </w:r>
    </w:p>
    <w:p w14:paraId="1389AE4D" w14:textId="6141673C" w:rsidR="00ED24C4" w:rsidRPr="00817B9F" w:rsidRDefault="00A679B7" w:rsidP="005D3EC9">
      <w:pPr>
        <w:pStyle w:val="BulletParagraph"/>
        <w:rPr>
          <w:rFonts w:cs="Times New Roman"/>
        </w:rPr>
      </w:pPr>
      <w:r w:rsidRPr="00817B9F">
        <w:rPr>
          <w:rFonts w:cs="Times New Roman"/>
        </w:rPr>
        <w:t>Second</w:t>
      </w:r>
      <w:r w:rsidR="00F47F78" w:rsidRPr="00817B9F">
        <w:rPr>
          <w:rFonts w:cs="Times New Roman"/>
        </w:rPr>
        <w:t xml:space="preserve">, for patients covered by </w:t>
      </w:r>
      <w:r w:rsidR="00B949BD" w:rsidRPr="00817B9F">
        <w:rPr>
          <w:rFonts w:cs="Times New Roman"/>
        </w:rPr>
        <w:t>commercial</w:t>
      </w:r>
      <w:r w:rsidR="00F47F78" w:rsidRPr="00817B9F">
        <w:rPr>
          <w:rFonts w:cs="Times New Roman"/>
        </w:rPr>
        <w:t xml:space="preserve"> insurance</w:t>
      </w:r>
      <w:r w:rsidR="00B949BD" w:rsidRPr="00817B9F">
        <w:rPr>
          <w:rFonts w:cs="Times New Roman"/>
        </w:rPr>
        <w:t>,</w:t>
      </w:r>
      <w:r w:rsidR="00F47F78" w:rsidRPr="00817B9F">
        <w:rPr>
          <w:rFonts w:cs="Times New Roman"/>
        </w:rPr>
        <w:t xml:space="preserve"> MassHealth </w:t>
      </w:r>
      <w:r w:rsidR="009727DD" w:rsidRPr="00817B9F">
        <w:rPr>
          <w:rFonts w:cs="Times New Roman"/>
        </w:rPr>
        <w:t xml:space="preserve">managed care </w:t>
      </w:r>
      <w:r w:rsidR="00B949BD" w:rsidRPr="00817B9F">
        <w:rPr>
          <w:rFonts w:cs="Times New Roman"/>
        </w:rPr>
        <w:t xml:space="preserve">plans, </w:t>
      </w:r>
      <w:r w:rsidR="24CE4A21" w:rsidRPr="00817B9F">
        <w:rPr>
          <w:rFonts w:cs="Times New Roman"/>
        </w:rPr>
        <w:t>or</w:t>
      </w:r>
      <w:r w:rsidR="00F47F78" w:rsidRPr="00817B9F">
        <w:rPr>
          <w:rFonts w:cs="Times New Roman"/>
        </w:rPr>
        <w:t xml:space="preserve"> Medicare </w:t>
      </w:r>
      <w:r w:rsidR="009727DD" w:rsidRPr="00817B9F">
        <w:rPr>
          <w:rFonts w:cs="Times New Roman"/>
        </w:rPr>
        <w:t>health plans</w:t>
      </w:r>
      <w:r w:rsidR="00B949BD" w:rsidRPr="00817B9F">
        <w:rPr>
          <w:rFonts w:cs="Times New Roman"/>
        </w:rPr>
        <w:t>, our</w:t>
      </w:r>
      <w:r w:rsidR="00F47F78" w:rsidRPr="00817B9F">
        <w:rPr>
          <w:rFonts w:cs="Times New Roman"/>
        </w:rPr>
        <w:t xml:space="preserve"> review of</w:t>
      </w:r>
      <w:r w:rsidR="00B70E4E" w:rsidRPr="00817B9F">
        <w:rPr>
          <w:rFonts w:cs="Times New Roman"/>
        </w:rPr>
        <w:t xml:space="preserve"> MGH</w:t>
      </w:r>
      <w:r w:rsidR="009727DD" w:rsidRPr="00817B9F">
        <w:rPr>
          <w:rFonts w:cs="Times New Roman"/>
        </w:rPr>
        <w:t>’</w:t>
      </w:r>
      <w:r w:rsidR="00B70E4E" w:rsidRPr="00817B9F">
        <w:rPr>
          <w:rFonts w:cs="Times New Roman"/>
        </w:rPr>
        <w:t>s chargemaster and price transparency data indicate</w:t>
      </w:r>
      <w:r w:rsidR="00B949BD" w:rsidRPr="00817B9F">
        <w:rPr>
          <w:rFonts w:cs="Times New Roman"/>
        </w:rPr>
        <w:t>s</w:t>
      </w:r>
      <w:r w:rsidR="00B70E4E" w:rsidRPr="00817B9F">
        <w:rPr>
          <w:rFonts w:cs="Times New Roman"/>
        </w:rPr>
        <w:t xml:space="preserve"> that </w:t>
      </w:r>
      <w:r w:rsidR="00ED24C4" w:rsidRPr="00817B9F">
        <w:rPr>
          <w:rFonts w:cs="Times New Roman"/>
        </w:rPr>
        <w:t>hospital reimbursement does not depend</w:t>
      </w:r>
      <w:r w:rsidR="00B70E4E" w:rsidRPr="00817B9F">
        <w:rPr>
          <w:rFonts w:cs="Times New Roman"/>
        </w:rPr>
        <w:t xml:space="preserve"> on the </w:t>
      </w:r>
      <w:r w:rsidR="00ED24C4" w:rsidRPr="00817B9F">
        <w:rPr>
          <w:rFonts w:cs="Times New Roman"/>
        </w:rPr>
        <w:t xml:space="preserve">type of </w:t>
      </w:r>
      <w:r w:rsidR="00B70E4E" w:rsidRPr="00817B9F">
        <w:rPr>
          <w:rFonts w:cs="Times New Roman"/>
        </w:rPr>
        <w:t xml:space="preserve">room </w:t>
      </w:r>
      <w:r w:rsidR="00ED24C4" w:rsidRPr="00817B9F">
        <w:rPr>
          <w:rFonts w:cs="Times New Roman"/>
        </w:rPr>
        <w:t>in which the patient was boarded</w:t>
      </w:r>
      <w:r w:rsidR="00986E24" w:rsidRPr="00817B9F">
        <w:rPr>
          <w:rFonts w:cs="Times New Roman"/>
        </w:rPr>
        <w:t>.</w:t>
      </w:r>
      <w:r w:rsidR="00986E24" w:rsidRPr="00817B9F">
        <w:rPr>
          <w:rStyle w:val="FootnoteReference"/>
          <w:rFonts w:cs="Times New Roman"/>
        </w:rPr>
        <w:footnoteReference w:id="201"/>
      </w:r>
      <w:r w:rsidR="00986E24" w:rsidRPr="00817B9F">
        <w:rPr>
          <w:rFonts w:cs="Times New Roman"/>
        </w:rPr>
        <w:t xml:space="preserve"> I</w:t>
      </w:r>
      <w:r w:rsidR="00B70E4E" w:rsidRPr="00817B9F">
        <w:rPr>
          <w:rFonts w:cs="Times New Roman"/>
        </w:rPr>
        <w:t>nstead</w:t>
      </w:r>
      <w:r w:rsidR="006F2753" w:rsidRPr="00817B9F">
        <w:rPr>
          <w:rFonts w:cs="Times New Roman"/>
        </w:rPr>
        <w:t>,</w:t>
      </w:r>
      <w:r w:rsidR="00B70E4E" w:rsidRPr="00817B9F">
        <w:rPr>
          <w:rFonts w:cs="Times New Roman"/>
        </w:rPr>
        <w:t xml:space="preserve"> payments </w:t>
      </w:r>
      <w:r w:rsidRPr="00817B9F">
        <w:rPr>
          <w:rFonts w:cs="Times New Roman"/>
        </w:rPr>
        <w:t>associated</w:t>
      </w:r>
      <w:r w:rsidR="00B70E4E" w:rsidRPr="00817B9F">
        <w:rPr>
          <w:rFonts w:cs="Times New Roman"/>
        </w:rPr>
        <w:t xml:space="preserve"> with room charges are included in a larger </w:t>
      </w:r>
      <w:r w:rsidR="00DF550B" w:rsidRPr="00817B9F">
        <w:rPr>
          <w:rFonts w:cs="Times New Roman"/>
        </w:rPr>
        <w:t>overall</w:t>
      </w:r>
      <w:r w:rsidR="00B70E4E" w:rsidRPr="00817B9F">
        <w:rPr>
          <w:rFonts w:cs="Times New Roman"/>
        </w:rPr>
        <w:t xml:space="preserve"> payment</w:t>
      </w:r>
      <w:r w:rsidR="00192704" w:rsidRPr="00817B9F">
        <w:rPr>
          <w:rFonts w:cs="Times New Roman"/>
        </w:rPr>
        <w:t xml:space="preserve"> that do</w:t>
      </w:r>
      <w:r w:rsidR="00ED24C4" w:rsidRPr="00817B9F">
        <w:rPr>
          <w:rFonts w:cs="Times New Roman"/>
        </w:rPr>
        <w:t>es</w:t>
      </w:r>
      <w:r w:rsidR="00CB1528" w:rsidRPr="00817B9F">
        <w:rPr>
          <w:rFonts w:cs="Times New Roman"/>
        </w:rPr>
        <w:t xml:space="preserve"> not</w:t>
      </w:r>
      <w:r w:rsidR="00192704" w:rsidRPr="00817B9F">
        <w:rPr>
          <w:rFonts w:cs="Times New Roman"/>
        </w:rPr>
        <w:t xml:space="preserve"> differentiate based on room type</w:t>
      </w:r>
      <w:r w:rsidR="00ED24C4" w:rsidRPr="00817B9F">
        <w:rPr>
          <w:rFonts w:cs="Times New Roman"/>
        </w:rPr>
        <w:t xml:space="preserve"> (</w:t>
      </w:r>
      <w:r w:rsidR="00ED24C4" w:rsidRPr="00817B9F">
        <w:rPr>
          <w:rFonts w:cs="Times New Roman"/>
          <w:i/>
          <w:iCs/>
        </w:rPr>
        <w:t>i.e.</w:t>
      </w:r>
      <w:r w:rsidR="00ED24C4" w:rsidRPr="00817B9F">
        <w:rPr>
          <w:rFonts w:cs="Times New Roman"/>
        </w:rPr>
        <w:t>, similar to the</w:t>
      </w:r>
      <w:r w:rsidRPr="00817B9F">
        <w:rPr>
          <w:rFonts w:cs="Times New Roman"/>
        </w:rPr>
        <w:t xml:space="preserve"> Medicare</w:t>
      </w:r>
      <w:r w:rsidR="00ED24C4" w:rsidRPr="00817B9F">
        <w:rPr>
          <w:rFonts w:cs="Times New Roman"/>
        </w:rPr>
        <w:t xml:space="preserve"> Inpatient Prospective Payment System). </w:t>
      </w:r>
    </w:p>
    <w:p w14:paraId="092BA785" w14:textId="24410C37" w:rsidR="008828FE" w:rsidRPr="00817B9F" w:rsidRDefault="00A679B7" w:rsidP="005D3EC9">
      <w:pPr>
        <w:pStyle w:val="BulletParagraph"/>
        <w:rPr>
          <w:rFonts w:cs="Times New Roman"/>
        </w:rPr>
      </w:pPr>
      <w:r w:rsidRPr="00817B9F">
        <w:rPr>
          <w:rFonts w:cs="Times New Roman"/>
        </w:rPr>
        <w:t xml:space="preserve">Finally, MassHealth </w:t>
      </w:r>
      <w:r w:rsidR="0030218E" w:rsidRPr="00817B9F">
        <w:rPr>
          <w:rFonts w:cs="Times New Roman"/>
        </w:rPr>
        <w:t xml:space="preserve">non-managed care </w:t>
      </w:r>
      <w:r w:rsidR="00C20120" w:rsidRPr="00817B9F">
        <w:rPr>
          <w:rFonts w:cs="Times New Roman"/>
        </w:rPr>
        <w:t>pays for inpatient care utilizing a</w:t>
      </w:r>
      <w:r w:rsidR="00496504" w:rsidRPr="00817B9F">
        <w:rPr>
          <w:rFonts w:cs="Times New Roman"/>
        </w:rPr>
        <w:t xml:space="preserve">n </w:t>
      </w:r>
      <w:r w:rsidR="00FF2AC3" w:rsidRPr="00817B9F">
        <w:rPr>
          <w:rFonts w:cs="Times New Roman"/>
        </w:rPr>
        <w:t>A</w:t>
      </w:r>
      <w:r w:rsidR="006B07A7" w:rsidRPr="00817B9F">
        <w:rPr>
          <w:rFonts w:cs="Times New Roman"/>
        </w:rPr>
        <w:t xml:space="preserve">djudicated </w:t>
      </w:r>
      <w:r w:rsidR="00FF2AC3" w:rsidRPr="00817B9F">
        <w:rPr>
          <w:rFonts w:cs="Times New Roman"/>
        </w:rPr>
        <w:t>P</w:t>
      </w:r>
      <w:r w:rsidR="006B07A7" w:rsidRPr="00817B9F">
        <w:rPr>
          <w:rFonts w:cs="Times New Roman"/>
        </w:rPr>
        <w:t xml:space="preserve">ayment </w:t>
      </w:r>
      <w:r w:rsidR="00FF2AC3" w:rsidRPr="00817B9F">
        <w:rPr>
          <w:rFonts w:cs="Times New Roman"/>
        </w:rPr>
        <w:t>A</w:t>
      </w:r>
      <w:r w:rsidR="006B07A7" w:rsidRPr="00817B9F">
        <w:rPr>
          <w:rFonts w:cs="Times New Roman"/>
        </w:rPr>
        <w:t xml:space="preserve">mount per </w:t>
      </w:r>
      <w:r w:rsidR="00FF2AC3" w:rsidRPr="00817B9F">
        <w:rPr>
          <w:rFonts w:cs="Times New Roman"/>
        </w:rPr>
        <w:t>D</w:t>
      </w:r>
      <w:r w:rsidR="006B07A7" w:rsidRPr="00817B9F">
        <w:rPr>
          <w:rFonts w:cs="Times New Roman"/>
        </w:rPr>
        <w:t>ischarge</w:t>
      </w:r>
      <w:r w:rsidR="00C20120" w:rsidRPr="00817B9F">
        <w:rPr>
          <w:rFonts w:cs="Times New Roman"/>
        </w:rPr>
        <w:t xml:space="preserve"> payment rate that</w:t>
      </w:r>
      <w:r w:rsidRPr="00817B9F">
        <w:rPr>
          <w:rFonts w:cs="Times New Roman"/>
        </w:rPr>
        <w:t xml:space="preserve"> does not </w:t>
      </w:r>
      <w:r w:rsidR="00C20120" w:rsidRPr="00817B9F">
        <w:rPr>
          <w:rFonts w:cs="Times New Roman"/>
        </w:rPr>
        <w:t>vary</w:t>
      </w:r>
      <w:r w:rsidR="001743FB" w:rsidRPr="00817B9F">
        <w:rPr>
          <w:rFonts w:cs="Times New Roman"/>
        </w:rPr>
        <w:t xml:space="preserve"> </w:t>
      </w:r>
      <w:r w:rsidR="00AF0A82" w:rsidRPr="00817B9F">
        <w:rPr>
          <w:rFonts w:cs="Times New Roman"/>
        </w:rPr>
        <w:t>based on room type.</w:t>
      </w:r>
      <w:r w:rsidR="009D16AE" w:rsidRPr="00817B9F">
        <w:rPr>
          <w:rStyle w:val="FootnoteReference"/>
          <w:rFonts w:cs="Times New Roman"/>
        </w:rPr>
        <w:footnoteReference w:id="202"/>
      </w:r>
    </w:p>
    <w:p w14:paraId="4E4A24DA" w14:textId="528CECAA" w:rsidR="00CF594E" w:rsidRPr="00817B9F" w:rsidRDefault="00CF594E" w:rsidP="008828FE">
      <w:pPr>
        <w:pStyle w:val="NumberedParagraphs"/>
        <w:numPr>
          <w:ilvl w:val="0"/>
          <w:numId w:val="0"/>
        </w:numPr>
      </w:pPr>
      <w:r w:rsidRPr="00817B9F">
        <w:t xml:space="preserve">We did not assess any indirect effects of a shift to private rooms on health care costs, such </w:t>
      </w:r>
      <w:r w:rsidR="008828FE" w:rsidRPr="00817B9F">
        <w:t xml:space="preserve">as a reduction in overall expenditures on health care services that may result, for example, from improved infection control associated with a greater number of single-bed rooms at MGH. </w:t>
      </w:r>
    </w:p>
    <w:p w14:paraId="6167F9B5" w14:textId="5103B6A0" w:rsidR="00D73917" w:rsidRPr="00817B9F" w:rsidRDefault="0065632A" w:rsidP="0065632A">
      <w:pPr>
        <w:pStyle w:val="Heading1"/>
      </w:pPr>
      <w:bookmarkStart w:id="121" w:name="_Ref88488670"/>
      <w:bookmarkStart w:id="122" w:name="_Ref88569029"/>
      <w:bookmarkStart w:id="123" w:name="_Toc90046537"/>
      <w:r w:rsidRPr="00817B9F">
        <w:t>P</w:t>
      </w:r>
      <w:r w:rsidR="008A449C" w:rsidRPr="00817B9F">
        <w:t>r</w:t>
      </w:r>
      <w:r w:rsidRPr="00817B9F">
        <w:t xml:space="preserve">edicted </w:t>
      </w:r>
      <w:r w:rsidR="00F47403" w:rsidRPr="00817B9F">
        <w:t>C</w:t>
      </w:r>
      <w:r w:rsidRPr="00817B9F">
        <w:t xml:space="preserve">hanges in </w:t>
      </w:r>
      <w:r w:rsidR="00F47403" w:rsidRPr="00817B9F">
        <w:t>H</w:t>
      </w:r>
      <w:r w:rsidR="00793B87" w:rsidRPr="00817B9F">
        <w:t xml:space="preserve">ealth </w:t>
      </w:r>
      <w:r w:rsidR="00F47403" w:rsidRPr="00817B9F">
        <w:t>C</w:t>
      </w:r>
      <w:r w:rsidR="00793B87" w:rsidRPr="00817B9F">
        <w:t>are Expenditures</w:t>
      </w:r>
      <w:bookmarkEnd w:id="121"/>
      <w:bookmarkEnd w:id="122"/>
      <w:bookmarkEnd w:id="123"/>
      <w:r w:rsidR="00793B87" w:rsidRPr="00817B9F">
        <w:t xml:space="preserve"> </w:t>
      </w:r>
    </w:p>
    <w:p w14:paraId="0E1FEACD" w14:textId="7B627804" w:rsidR="00FF3C15" w:rsidRPr="00817B9F" w:rsidRDefault="00FF3C15" w:rsidP="00FF3C15">
      <w:pPr>
        <w:pStyle w:val="NumberedParagraphs"/>
      </w:pPr>
      <w:r w:rsidRPr="00817B9F">
        <w:t xml:space="preserve">As part of our evaluation of the proposed project on health care costs in Massachusetts, the DoN program asked that we evaluate </w:t>
      </w:r>
      <w:r w:rsidR="004423FF" w:rsidRPr="00817B9F">
        <w:t xml:space="preserve">how the project might change utilization of relatively higher- and lower-priced health care providers, and to assess the effect of any changes in utilization on health care expenditures in Massachusetts. </w:t>
      </w:r>
      <w:r w:rsidR="002102C0" w:rsidRPr="00817B9F">
        <w:t xml:space="preserve">To answer this question, we use our models of patients’ demand for health care services to predict how patients’ choices of health care providers would change if the proposed project were approved. We then use our measures of the relative prices of health care services—separately by </w:t>
      </w:r>
      <w:r w:rsidR="00477F9F" w:rsidRPr="00817B9F">
        <w:t xml:space="preserve">health care provider, service line, and third-party payor—to </w:t>
      </w:r>
      <w:r w:rsidR="00477F9F" w:rsidRPr="00817B9F">
        <w:lastRenderedPageBreak/>
        <w:t xml:space="preserve">estimate the cost impact of changes in where patients choose to receive care if the proposed project were approved. </w:t>
      </w:r>
    </w:p>
    <w:p w14:paraId="3F755B6C" w14:textId="4FDC260B" w:rsidR="00BB6801" w:rsidRPr="00817B9F" w:rsidRDefault="00793B87" w:rsidP="00AA0512">
      <w:pPr>
        <w:pStyle w:val="Heading2"/>
        <w:numPr>
          <w:ilvl w:val="0"/>
          <w:numId w:val="13"/>
        </w:numPr>
        <w:rPr>
          <w:rFonts w:cs="Times New Roman"/>
        </w:rPr>
      </w:pPr>
      <w:bookmarkStart w:id="124" w:name="_Ref88488672"/>
      <w:bookmarkStart w:id="125" w:name="_Ref88569031"/>
      <w:bookmarkStart w:id="126" w:name="_Toc90046538"/>
      <w:r w:rsidRPr="00817B9F">
        <w:rPr>
          <w:rFonts w:cs="Times New Roman"/>
        </w:rPr>
        <w:t>Inpatient Services</w:t>
      </w:r>
      <w:bookmarkEnd w:id="124"/>
      <w:bookmarkEnd w:id="125"/>
      <w:bookmarkEnd w:id="126"/>
    </w:p>
    <w:p w14:paraId="55372D1B" w14:textId="04DF295F" w:rsidR="00161248" w:rsidRPr="00817B9F" w:rsidRDefault="00417828" w:rsidP="00161248">
      <w:pPr>
        <w:pStyle w:val="NumberedParagraphs"/>
      </w:pPr>
      <w:r w:rsidRPr="00817B9F">
        <w:t>For inpatient services</w:t>
      </w:r>
      <w:r w:rsidR="00AF12CE" w:rsidRPr="00817B9F">
        <w:t>,</w:t>
      </w:r>
      <w:r w:rsidRPr="00817B9F">
        <w:t xml:space="preserve"> we </w:t>
      </w:r>
      <w:r w:rsidR="00E84191" w:rsidRPr="00817B9F">
        <w:t>forecast</w:t>
      </w:r>
      <w:r w:rsidRPr="00817B9F">
        <w:t xml:space="preserve"> changes in health care expenditures </w:t>
      </w:r>
      <w:r w:rsidR="00366A71" w:rsidRPr="00817B9F">
        <w:t xml:space="preserve">associated with the proposed project using (i) </w:t>
      </w:r>
      <w:r w:rsidRPr="00817B9F">
        <w:t xml:space="preserve">the simulations </w:t>
      </w:r>
      <w:r w:rsidR="00366A71" w:rsidRPr="00817B9F">
        <w:t xml:space="preserve">we </w:t>
      </w:r>
      <w:r w:rsidRPr="00817B9F">
        <w:t>describe</w:t>
      </w:r>
      <w:r w:rsidR="006E3678" w:rsidRPr="00817B9F">
        <w:t>d</w:t>
      </w:r>
      <w:r w:rsidRPr="00817B9F">
        <w:t xml:space="preserve"> in Section </w:t>
      </w:r>
      <w:r w:rsidR="00126A2B" w:rsidRPr="00817B9F">
        <w:fldChar w:fldCharType="begin"/>
      </w:r>
      <w:r w:rsidR="00126A2B" w:rsidRPr="00817B9F">
        <w:instrText xml:space="preserve"> REF _Ref88993224 \n \h  \* MERGEFORMAT </w:instrText>
      </w:r>
      <w:r w:rsidR="00126A2B" w:rsidRPr="00817B9F">
        <w:fldChar w:fldCharType="separate"/>
      </w:r>
      <w:r w:rsidR="002B78C3">
        <w:t>VI</w:t>
      </w:r>
      <w:r w:rsidR="00126A2B" w:rsidRPr="00817B9F">
        <w:fldChar w:fldCharType="end"/>
      </w:r>
      <w:r w:rsidR="000142C5" w:rsidRPr="00817B9F">
        <w:t>.</w:t>
      </w:r>
      <w:r w:rsidR="004227D6" w:rsidRPr="00817B9F">
        <w:fldChar w:fldCharType="begin"/>
      </w:r>
      <w:r w:rsidR="004227D6" w:rsidRPr="00817B9F">
        <w:instrText xml:space="preserve"> REF _Ref88994570 \w \h </w:instrText>
      </w:r>
      <w:r w:rsidR="00FD09F0" w:rsidRPr="00817B9F">
        <w:instrText xml:space="preserve"> \* MERGEFORMAT </w:instrText>
      </w:r>
      <w:r w:rsidR="004227D6" w:rsidRPr="00817B9F">
        <w:fldChar w:fldCharType="separate"/>
      </w:r>
      <w:r w:rsidR="002B78C3">
        <w:t>A</w:t>
      </w:r>
      <w:r w:rsidR="004227D6" w:rsidRPr="00817B9F">
        <w:fldChar w:fldCharType="end"/>
      </w:r>
      <w:r w:rsidRPr="00817B9F">
        <w:t xml:space="preserve"> that forecast inpatient hospital utilization after the proposed project</w:t>
      </w:r>
      <w:r w:rsidR="001315A3" w:rsidRPr="00817B9F">
        <w:t>,</w:t>
      </w:r>
      <w:r w:rsidRPr="00817B9F">
        <w:t xml:space="preserve"> and </w:t>
      </w:r>
      <w:r w:rsidR="001315A3" w:rsidRPr="00817B9F">
        <w:t xml:space="preserve">(ii) </w:t>
      </w:r>
      <w:r w:rsidRPr="00817B9F">
        <w:t xml:space="preserve">the CHIA Inpatient Relative Price Data </w:t>
      </w:r>
      <w:r w:rsidR="00C03658" w:rsidRPr="00817B9F">
        <w:t xml:space="preserve">we </w:t>
      </w:r>
      <w:r w:rsidRPr="00817B9F">
        <w:t>describe</w:t>
      </w:r>
      <w:r w:rsidR="006E3678" w:rsidRPr="00817B9F">
        <w:t>d</w:t>
      </w:r>
      <w:r w:rsidRPr="00817B9F">
        <w:t xml:space="preserve"> in Section </w:t>
      </w:r>
      <w:r w:rsidR="001315A3" w:rsidRPr="00817B9F">
        <w:fldChar w:fldCharType="begin"/>
      </w:r>
      <w:r w:rsidR="001315A3" w:rsidRPr="00817B9F">
        <w:instrText xml:space="preserve"> REF _Ref88655817 \w \h </w:instrText>
      </w:r>
      <w:r w:rsidR="00FD09F0" w:rsidRPr="00817B9F">
        <w:instrText xml:space="preserve"> \* MERGEFORMAT </w:instrText>
      </w:r>
      <w:r w:rsidR="001315A3" w:rsidRPr="00817B9F">
        <w:fldChar w:fldCharType="separate"/>
      </w:r>
      <w:r w:rsidR="002B78C3">
        <w:t>III</w:t>
      </w:r>
      <w:r w:rsidR="001315A3" w:rsidRPr="00817B9F">
        <w:fldChar w:fldCharType="end"/>
      </w:r>
      <w:r w:rsidR="001315A3" w:rsidRPr="00817B9F">
        <w:t>.</w:t>
      </w:r>
      <w:r w:rsidRPr="00817B9F">
        <w:fldChar w:fldCharType="begin"/>
      </w:r>
      <w:r w:rsidRPr="00817B9F">
        <w:instrText xml:space="preserve"> REF _Ref88594712 \r \h  \* MERGEFORMAT </w:instrText>
      </w:r>
      <w:r w:rsidRPr="00817B9F">
        <w:fldChar w:fldCharType="separate"/>
      </w:r>
      <w:r w:rsidR="002B78C3">
        <w:t>A</w:t>
      </w:r>
      <w:r w:rsidRPr="00817B9F">
        <w:fldChar w:fldCharType="end"/>
      </w:r>
      <w:r w:rsidRPr="00817B9F">
        <w:t>.</w:t>
      </w:r>
      <w:r w:rsidRPr="00817B9F">
        <w:fldChar w:fldCharType="begin"/>
      </w:r>
      <w:r w:rsidRPr="00817B9F">
        <w:instrText xml:space="preserve"> REF _Ref88218080 \r \h  \* MERGEFORMAT </w:instrText>
      </w:r>
      <w:r w:rsidRPr="00817B9F">
        <w:fldChar w:fldCharType="separate"/>
      </w:r>
      <w:r w:rsidR="002B78C3">
        <w:t>4</w:t>
      </w:r>
      <w:r w:rsidRPr="00817B9F">
        <w:fldChar w:fldCharType="end"/>
      </w:r>
      <w:r w:rsidRPr="00817B9F">
        <w:t xml:space="preserve">. </w:t>
      </w:r>
      <w:r w:rsidR="007E26A6" w:rsidRPr="00817B9F">
        <w:t>Specifically, t</w:t>
      </w:r>
      <w:r w:rsidRPr="00817B9F">
        <w:t>he simulations summarize</w:t>
      </w:r>
      <w:r w:rsidR="00692E02" w:rsidRPr="00817B9F">
        <w:t>d</w:t>
      </w:r>
      <w:r w:rsidRPr="00817B9F">
        <w:t xml:space="preserve"> in Figure MGH1</w:t>
      </w:r>
      <w:r w:rsidR="00946F23" w:rsidRPr="00817B9F">
        <w:t>6</w:t>
      </w:r>
      <w:r w:rsidRPr="00817B9F">
        <w:t xml:space="preserve"> </w:t>
      </w:r>
      <w:r w:rsidR="007E26A6" w:rsidRPr="00817B9F">
        <w:t>predict</w:t>
      </w:r>
      <w:r w:rsidRPr="00817B9F">
        <w:t xml:space="preserve"> which</w:t>
      </w:r>
      <w:r w:rsidR="008D5B22" w:rsidRPr="00817B9F">
        <w:t xml:space="preserve"> </w:t>
      </w:r>
      <w:r w:rsidR="00DE7558" w:rsidRPr="00817B9F">
        <w:t xml:space="preserve">patients would </w:t>
      </w:r>
      <w:r w:rsidR="00C03658" w:rsidRPr="00817B9F">
        <w:t>switch</w:t>
      </w:r>
      <w:r w:rsidR="00DE7558" w:rsidRPr="00817B9F">
        <w:t xml:space="preserve"> to MGH</w:t>
      </w:r>
      <w:r w:rsidR="00BD7754" w:rsidRPr="00817B9F">
        <w:t xml:space="preserve"> </w:t>
      </w:r>
      <w:r w:rsidR="00845F93" w:rsidRPr="00817B9F">
        <w:t xml:space="preserve">to </w:t>
      </w:r>
      <w:r w:rsidR="00DE7558" w:rsidRPr="00817B9F">
        <w:t xml:space="preserve">receive care </w:t>
      </w:r>
      <w:r w:rsidRPr="00817B9F">
        <w:t xml:space="preserve">after the proposed project. </w:t>
      </w:r>
      <w:r w:rsidR="005900D6" w:rsidRPr="00817B9F">
        <w:t xml:space="preserve">For each patient who would switch to MGH, the Hospital Inpatient Discharge Data identify the source of the patient’s health insurance coverage. </w:t>
      </w:r>
      <w:r w:rsidRPr="00817B9F">
        <w:t>We</w:t>
      </w:r>
      <w:r w:rsidR="000F528E" w:rsidRPr="00817B9F">
        <w:t xml:space="preserve"> </w:t>
      </w:r>
      <w:r w:rsidR="006E4539" w:rsidRPr="00817B9F">
        <w:t>then</w:t>
      </w:r>
      <w:r w:rsidRPr="00817B9F">
        <w:t xml:space="preserve"> use the CHIA Inpatient Relative Price Data to </w:t>
      </w:r>
      <w:r w:rsidR="001A5DD1" w:rsidRPr="00817B9F">
        <w:t>compare the prices</w:t>
      </w:r>
      <w:r w:rsidR="008D5B22" w:rsidRPr="00817B9F">
        <w:t>—which are specific to the patient’s health insurance coverage—</w:t>
      </w:r>
      <w:r w:rsidR="001A5DD1" w:rsidRPr="00817B9F">
        <w:t xml:space="preserve">for the </w:t>
      </w:r>
      <w:r w:rsidR="00163165" w:rsidRPr="00817B9F">
        <w:t xml:space="preserve">inpatient </w:t>
      </w:r>
      <w:r w:rsidR="001A5DD1" w:rsidRPr="00817B9F">
        <w:t xml:space="preserve">service at the hospital </w:t>
      </w:r>
      <w:r w:rsidR="005D2F80" w:rsidRPr="00817B9F">
        <w:t xml:space="preserve">utilized by </w:t>
      </w:r>
      <w:r w:rsidR="001A5DD1" w:rsidRPr="00817B9F">
        <w:t xml:space="preserve">the patient to prices for the same </w:t>
      </w:r>
      <w:r w:rsidR="00163165" w:rsidRPr="00817B9F">
        <w:t xml:space="preserve">inpatient </w:t>
      </w:r>
      <w:r w:rsidR="001A5DD1" w:rsidRPr="00817B9F">
        <w:t>service at MGH</w:t>
      </w:r>
      <w:r w:rsidR="008D5B22" w:rsidRPr="00817B9F">
        <w:t xml:space="preserve">. </w:t>
      </w:r>
      <w:r w:rsidR="00163165" w:rsidRPr="00817B9F">
        <w:t xml:space="preserve">If the price for the service is higher at MGH than at the hospital the patient </w:t>
      </w:r>
      <w:r w:rsidR="005D2F80" w:rsidRPr="00817B9F">
        <w:t>previously utilized</w:t>
      </w:r>
      <w:r w:rsidR="00163165" w:rsidRPr="00817B9F">
        <w:t xml:space="preserve">, </w:t>
      </w:r>
      <w:r w:rsidR="00161248" w:rsidRPr="00817B9F">
        <w:t xml:space="preserve">health care expenditures will increase. If the price for the service at MGH is lower than </w:t>
      </w:r>
      <w:r w:rsidR="00F54049" w:rsidRPr="00817B9F">
        <w:t>the price</w:t>
      </w:r>
      <w:r w:rsidR="00161248" w:rsidRPr="00817B9F">
        <w:t xml:space="preserve"> at the hospital the patient </w:t>
      </w:r>
      <w:r w:rsidR="005D2F80" w:rsidRPr="00817B9F">
        <w:t>previously utilized</w:t>
      </w:r>
      <w:r w:rsidR="00161248" w:rsidRPr="00817B9F">
        <w:t xml:space="preserve">, health care expenditures will decrease. </w:t>
      </w:r>
      <w:r w:rsidR="00216CA5" w:rsidRPr="00817B9F">
        <w:t>For</w:t>
      </w:r>
      <w:r w:rsidR="0035306F" w:rsidRPr="00817B9F">
        <w:t xml:space="preserve"> patients</w:t>
      </w:r>
      <w:r w:rsidR="00216CA5" w:rsidRPr="00817B9F">
        <w:t xml:space="preserve"> whose</w:t>
      </w:r>
      <w:r w:rsidR="0035306F" w:rsidRPr="00817B9F">
        <w:t xml:space="preserve"> choice of hospital is unaffected (</w:t>
      </w:r>
      <w:r w:rsidR="0035306F" w:rsidRPr="00817B9F">
        <w:rPr>
          <w:i/>
        </w:rPr>
        <w:t>i.e.</w:t>
      </w:r>
      <w:r w:rsidR="0035306F" w:rsidRPr="00817B9F">
        <w:t>, the patient continues to receive care at MGH or one of its competitors</w:t>
      </w:r>
      <w:r w:rsidR="00216CA5" w:rsidRPr="00817B9F">
        <w:t xml:space="preserve"> after the completion of the proposed project</w:t>
      </w:r>
      <w:r w:rsidR="0035306F" w:rsidRPr="00817B9F">
        <w:t xml:space="preserve">), there is no impact </w:t>
      </w:r>
      <w:r w:rsidR="00C03658" w:rsidRPr="00817B9F">
        <w:t xml:space="preserve">on health care expenditures. </w:t>
      </w:r>
    </w:p>
    <w:p w14:paraId="7E61F570" w14:textId="10D51FCE" w:rsidR="00F34E2F" w:rsidRPr="00817B9F" w:rsidRDefault="001B2E9B" w:rsidP="000907DB">
      <w:pPr>
        <w:pStyle w:val="NumberedParagraphs"/>
      </w:pPr>
      <w:r w:rsidRPr="00817B9F">
        <w:t xml:space="preserve">As we </w:t>
      </w:r>
      <w:r w:rsidR="000907DB" w:rsidRPr="00817B9F">
        <w:t>remarked</w:t>
      </w:r>
      <w:r w:rsidRPr="00817B9F">
        <w:t xml:space="preserve"> above, the </w:t>
      </w:r>
      <w:r w:rsidR="008D5071" w:rsidRPr="00817B9F">
        <w:t xml:space="preserve">Hospital Inpatient Discharge Database </w:t>
      </w:r>
      <w:r w:rsidR="00E65A5A" w:rsidRPr="00817B9F">
        <w:t xml:space="preserve">that </w:t>
      </w:r>
      <w:r w:rsidR="008D5071" w:rsidRPr="00817B9F">
        <w:t>we us</w:t>
      </w:r>
      <w:r w:rsidR="000907DB" w:rsidRPr="00817B9F">
        <w:t>e</w:t>
      </w:r>
      <w:r w:rsidR="008D5071" w:rsidRPr="00817B9F">
        <w:t xml:space="preserve"> to estimate </w:t>
      </w:r>
      <w:r w:rsidR="000907DB" w:rsidRPr="00817B9F">
        <w:t>demand for in</w:t>
      </w:r>
      <w:r w:rsidR="00E65A5A" w:rsidRPr="00817B9F">
        <w:t>patient hospital</w:t>
      </w:r>
      <w:r w:rsidR="008D5071" w:rsidRPr="00817B9F">
        <w:t xml:space="preserve"> services </w:t>
      </w:r>
      <w:r w:rsidR="009421B1" w:rsidRPr="00817B9F">
        <w:t>report</w:t>
      </w:r>
      <w:r w:rsidR="00E65A5A" w:rsidRPr="00817B9F">
        <w:t>s</w:t>
      </w:r>
      <w:r w:rsidR="009421B1" w:rsidRPr="00817B9F">
        <w:t xml:space="preserve"> the type of insurance </w:t>
      </w:r>
      <w:r w:rsidR="00E65A5A" w:rsidRPr="00817B9F">
        <w:t xml:space="preserve">coverage for </w:t>
      </w:r>
      <w:r w:rsidR="009421B1" w:rsidRPr="00817B9F">
        <w:t>each patient</w:t>
      </w:r>
      <w:r w:rsidR="00E65A5A" w:rsidRPr="00817B9F">
        <w:t xml:space="preserve"> </w:t>
      </w:r>
      <w:r w:rsidR="009421B1" w:rsidRPr="00817B9F">
        <w:t>(</w:t>
      </w:r>
      <w:r w:rsidR="009421B1" w:rsidRPr="00817B9F">
        <w:rPr>
          <w:i/>
        </w:rPr>
        <w:t>e.g.</w:t>
      </w:r>
      <w:r w:rsidR="009421B1" w:rsidRPr="00817B9F">
        <w:t xml:space="preserve">, </w:t>
      </w:r>
      <w:r w:rsidR="0018356D" w:rsidRPr="00817B9F">
        <w:t>c</w:t>
      </w:r>
      <w:r w:rsidR="009421B1" w:rsidRPr="00817B9F">
        <w:t>ommercial, Original Medicare, MassHealth</w:t>
      </w:r>
      <w:r w:rsidR="00DE0F84" w:rsidRPr="00817B9F">
        <w:t xml:space="preserve">) and </w:t>
      </w:r>
      <w:r w:rsidR="00AC2223" w:rsidRPr="00817B9F">
        <w:t xml:space="preserve">the </w:t>
      </w:r>
      <w:r w:rsidR="00E65A5A" w:rsidRPr="00817B9F">
        <w:t xml:space="preserve">payor </w:t>
      </w:r>
      <w:r w:rsidR="00AC2223" w:rsidRPr="00817B9F">
        <w:t>that</w:t>
      </w:r>
      <w:r w:rsidR="00E65A5A" w:rsidRPr="00817B9F">
        <w:t xml:space="preserve"> insures or administers</w:t>
      </w:r>
      <w:r w:rsidR="00AC2223" w:rsidRPr="00817B9F">
        <w:t xml:space="preserve"> </w:t>
      </w:r>
      <w:r w:rsidR="00A87483" w:rsidRPr="00817B9F">
        <w:t>the patient’s health plan.</w:t>
      </w:r>
      <w:r w:rsidR="00A266CE" w:rsidRPr="00817B9F">
        <w:t xml:space="preserve"> </w:t>
      </w:r>
      <w:r w:rsidR="008C631C" w:rsidRPr="00817B9F">
        <w:t xml:space="preserve">For example, </w:t>
      </w:r>
      <w:r w:rsidR="00CC01F2" w:rsidRPr="00817B9F">
        <w:t xml:space="preserve">the simulations summarized in </w:t>
      </w:r>
      <w:r w:rsidR="008C631C" w:rsidRPr="00817B9F">
        <w:t xml:space="preserve">Figure </w:t>
      </w:r>
      <w:r w:rsidR="00D67DE8" w:rsidRPr="00817B9F">
        <w:t>MGH</w:t>
      </w:r>
      <w:r w:rsidR="00230DEE" w:rsidRPr="00817B9F">
        <w:t>1</w:t>
      </w:r>
      <w:r w:rsidR="00946F23" w:rsidRPr="00817B9F">
        <w:t>6</w:t>
      </w:r>
      <w:r w:rsidR="008C631C" w:rsidRPr="00817B9F">
        <w:t xml:space="preserve"> </w:t>
      </w:r>
      <w:r w:rsidR="00CC01F2" w:rsidRPr="00817B9F">
        <w:t>show that</w:t>
      </w:r>
      <w:r w:rsidR="00033055" w:rsidRPr="00817B9F">
        <w:t xml:space="preserve"> </w:t>
      </w:r>
      <w:r w:rsidR="005C3B1D" w:rsidRPr="00817B9F">
        <w:t>MGH’s share</w:t>
      </w:r>
      <w:r w:rsidR="00CC01F2" w:rsidRPr="00817B9F">
        <w:t xml:space="preserve"> of inpatient discharges </w:t>
      </w:r>
      <w:r w:rsidR="00CA2305" w:rsidRPr="00817B9F">
        <w:t xml:space="preserve">in its service area </w:t>
      </w:r>
      <w:r w:rsidR="00CC01F2" w:rsidRPr="00817B9F">
        <w:t xml:space="preserve">is predicted to increase by </w:t>
      </w:r>
      <w:r w:rsidR="005C3B1D" w:rsidRPr="00817B9F">
        <w:t>1.</w:t>
      </w:r>
      <w:r w:rsidR="008A021F" w:rsidRPr="00817B9F">
        <w:t>3</w:t>
      </w:r>
      <w:r w:rsidR="005C3B1D" w:rsidRPr="00817B9F">
        <w:t xml:space="preserve"> percent</w:t>
      </w:r>
      <w:r w:rsidR="00CC01F2" w:rsidRPr="00817B9F">
        <w:t>age points as a result of the proposed project</w:t>
      </w:r>
      <w:r w:rsidR="005C3B1D" w:rsidRPr="00817B9F">
        <w:t>, partially at the expense of Beth Israel Deaconess Medical Center, whose share</w:t>
      </w:r>
      <w:r w:rsidR="00CA2305" w:rsidRPr="00817B9F">
        <w:t xml:space="preserve"> in MGH’s service area</w:t>
      </w:r>
      <w:r w:rsidR="005C3B1D" w:rsidRPr="00817B9F">
        <w:t xml:space="preserve"> decreases by 0.</w:t>
      </w:r>
      <w:r w:rsidR="008A021F" w:rsidRPr="00817B9F">
        <w:t>2</w:t>
      </w:r>
      <w:r w:rsidR="005C3B1D" w:rsidRPr="00817B9F">
        <w:t xml:space="preserve"> percent</w:t>
      </w:r>
      <w:r w:rsidR="00CA2305" w:rsidRPr="00817B9F">
        <w:t>age points</w:t>
      </w:r>
      <w:r w:rsidR="005C3B1D" w:rsidRPr="00817B9F">
        <w:t>.</w:t>
      </w:r>
      <w:r w:rsidR="00580E3D" w:rsidRPr="00817B9F">
        <w:t xml:space="preserve"> </w:t>
      </w:r>
      <w:r w:rsidR="00061082" w:rsidRPr="00817B9F">
        <w:t>The Beth Israel Deaconess</w:t>
      </w:r>
      <w:r w:rsidR="00CA2305" w:rsidRPr="00817B9F">
        <w:t xml:space="preserve"> Medical Center</w:t>
      </w:r>
      <w:r w:rsidR="00061082" w:rsidRPr="00817B9F">
        <w:t xml:space="preserve"> patients</w:t>
      </w:r>
      <w:r w:rsidR="00FA2F95" w:rsidRPr="00817B9F">
        <w:t xml:space="preserve"> </w:t>
      </w:r>
      <w:r w:rsidR="00CA2305" w:rsidRPr="00817B9F">
        <w:t>who are predicted to switch to MGH are covered by many different payors</w:t>
      </w:r>
      <w:r w:rsidR="00FA2F95" w:rsidRPr="00817B9F">
        <w:t>.</w:t>
      </w:r>
      <w:r w:rsidR="00580E3D" w:rsidRPr="00817B9F">
        <w:t xml:space="preserve"> </w:t>
      </w:r>
      <w:r w:rsidR="007B504D" w:rsidRPr="00817B9F">
        <w:t>A</w:t>
      </w:r>
      <w:r w:rsidR="001131C2" w:rsidRPr="00817B9F">
        <w:t xml:space="preserve">pproximately half </w:t>
      </w:r>
      <w:r w:rsidR="00CA2305" w:rsidRPr="00817B9F">
        <w:t xml:space="preserve">of these </w:t>
      </w:r>
      <w:r w:rsidR="001131C2" w:rsidRPr="00817B9F">
        <w:t xml:space="preserve">patients </w:t>
      </w:r>
      <w:r w:rsidR="00FA2F95" w:rsidRPr="00817B9F">
        <w:t>are covered by Original Medicare,</w:t>
      </w:r>
      <w:r w:rsidR="00CA2305" w:rsidRPr="00817B9F">
        <w:t xml:space="preserve"> </w:t>
      </w:r>
      <w:r w:rsidR="00946A0A" w:rsidRPr="00817B9F">
        <w:t>ten</w:t>
      </w:r>
      <w:r w:rsidR="00CA2305" w:rsidRPr="00817B9F">
        <w:t xml:space="preserve"> p</w:t>
      </w:r>
      <w:r w:rsidR="00F0207D" w:rsidRPr="00817B9F">
        <w:t xml:space="preserve">ercent </w:t>
      </w:r>
      <w:r w:rsidR="00384F76" w:rsidRPr="00817B9F">
        <w:t>are covered by a BCBS-MA</w:t>
      </w:r>
      <w:r w:rsidR="00F24A1C" w:rsidRPr="00817B9F">
        <w:t xml:space="preserve"> </w:t>
      </w:r>
      <w:r w:rsidR="00F0207D" w:rsidRPr="00817B9F">
        <w:t>commercial</w:t>
      </w:r>
      <w:r w:rsidR="00F24A1C" w:rsidRPr="00817B9F">
        <w:t xml:space="preserve"> </w:t>
      </w:r>
      <w:r w:rsidR="00F06846" w:rsidRPr="00817B9F">
        <w:t xml:space="preserve">health </w:t>
      </w:r>
      <w:r w:rsidR="00F24A1C" w:rsidRPr="00817B9F">
        <w:t>plan</w:t>
      </w:r>
      <w:r w:rsidR="00F06846" w:rsidRPr="00817B9F">
        <w:t xml:space="preserve">, </w:t>
      </w:r>
      <w:r w:rsidR="00946A0A" w:rsidRPr="00817B9F">
        <w:t>ten</w:t>
      </w:r>
      <w:r w:rsidR="00F06846" w:rsidRPr="00817B9F">
        <w:t xml:space="preserve"> percent are covered by </w:t>
      </w:r>
      <w:r w:rsidR="00F24A1C" w:rsidRPr="00817B9F">
        <w:t xml:space="preserve">a </w:t>
      </w:r>
      <w:r w:rsidR="00A86A8A" w:rsidRPr="00817B9F">
        <w:t>Tufts</w:t>
      </w:r>
      <w:r w:rsidR="00F24A1C" w:rsidRPr="00817B9F">
        <w:t xml:space="preserve"> </w:t>
      </w:r>
      <w:r w:rsidR="00F06846" w:rsidRPr="00817B9F">
        <w:t xml:space="preserve">Health Plan </w:t>
      </w:r>
      <w:r w:rsidR="00F24A1C" w:rsidRPr="00817B9F">
        <w:t>Medicare</w:t>
      </w:r>
      <w:r w:rsidR="00F06846" w:rsidRPr="00817B9F">
        <w:t xml:space="preserve"> Advantage</w:t>
      </w:r>
      <w:r w:rsidR="00F24A1C" w:rsidRPr="00817B9F">
        <w:t xml:space="preserve"> plan, </w:t>
      </w:r>
      <w:r w:rsidR="00F06846" w:rsidRPr="00817B9F">
        <w:t>and so on</w:t>
      </w:r>
      <w:r w:rsidR="000907DB" w:rsidRPr="00817B9F">
        <w:t xml:space="preserve">. </w:t>
      </w:r>
    </w:p>
    <w:p w14:paraId="4EFE9343" w14:textId="38D3E177" w:rsidR="00350FAD" w:rsidRPr="00817B9F" w:rsidRDefault="003E1633" w:rsidP="00347D12">
      <w:pPr>
        <w:pStyle w:val="NumberedParagraphs"/>
      </w:pPr>
      <w:r w:rsidRPr="00817B9F">
        <w:lastRenderedPageBreak/>
        <w:t>The overall effect</w:t>
      </w:r>
      <w:r w:rsidR="00781FF3" w:rsidRPr="00817B9F">
        <w:t xml:space="preserve"> </w:t>
      </w:r>
      <w:r w:rsidR="00471132" w:rsidRPr="00817B9F">
        <w:t>of these switches</w:t>
      </w:r>
      <w:r w:rsidR="00781FF3" w:rsidRPr="00817B9F">
        <w:t xml:space="preserve"> </w:t>
      </w:r>
      <w:r w:rsidR="00062CBA" w:rsidRPr="00817B9F">
        <w:t xml:space="preserve">on inpatient hospital expenditures </w:t>
      </w:r>
      <w:r w:rsidR="00781FF3" w:rsidRPr="00817B9F">
        <w:t xml:space="preserve">depends on </w:t>
      </w:r>
      <w:r w:rsidR="00471132" w:rsidRPr="00817B9F">
        <w:t xml:space="preserve">the relative </w:t>
      </w:r>
      <w:r w:rsidR="00E81B70" w:rsidRPr="00817B9F">
        <w:t>prices</w:t>
      </w:r>
      <w:r w:rsidR="00471132" w:rsidRPr="00817B9F">
        <w:t xml:space="preserve"> </w:t>
      </w:r>
      <w:r w:rsidR="00062CBA" w:rsidRPr="00817B9F">
        <w:t xml:space="preserve">of MGH and the hospitals that patients are </w:t>
      </w:r>
      <w:r w:rsidR="00E81B70" w:rsidRPr="00817B9F">
        <w:t>s</w:t>
      </w:r>
      <w:r w:rsidR="00062CBA" w:rsidRPr="00817B9F">
        <w:t>witching from</w:t>
      </w:r>
      <w:r w:rsidR="00E81B70" w:rsidRPr="00817B9F">
        <w:t>.</w:t>
      </w:r>
      <w:r w:rsidR="00580E3D" w:rsidRPr="00817B9F">
        <w:t xml:space="preserve"> </w:t>
      </w:r>
      <w:r w:rsidR="001C46F8" w:rsidRPr="00817B9F">
        <w:t>For example</w:t>
      </w:r>
      <w:r w:rsidR="00350FAD" w:rsidRPr="00817B9F">
        <w:t>:</w:t>
      </w:r>
      <w:r w:rsidR="001C46F8" w:rsidRPr="00817B9F">
        <w:t xml:space="preserve"> </w:t>
      </w:r>
    </w:p>
    <w:p w14:paraId="2C6DBFCA" w14:textId="32F65E4B" w:rsidR="00350FAD" w:rsidRPr="00817B9F" w:rsidRDefault="00BD6F84" w:rsidP="005D3EC9">
      <w:pPr>
        <w:pStyle w:val="BulletParagraph"/>
        <w:rPr>
          <w:rFonts w:cs="Times New Roman"/>
        </w:rPr>
      </w:pPr>
      <w:r w:rsidRPr="00817B9F">
        <w:rPr>
          <w:rFonts w:cs="Times New Roman"/>
        </w:rPr>
        <w:t>The CHIA Inpatient Relative Price Data</w:t>
      </w:r>
      <w:r w:rsidR="00062CBA" w:rsidRPr="00817B9F">
        <w:rPr>
          <w:rFonts w:cs="Times New Roman"/>
        </w:rPr>
        <w:t xml:space="preserve"> report that </w:t>
      </w:r>
      <w:r w:rsidR="00B523C7" w:rsidRPr="00817B9F">
        <w:rPr>
          <w:rFonts w:cs="Times New Roman"/>
        </w:rPr>
        <w:t xml:space="preserve">BCBS-MA </w:t>
      </w:r>
      <w:r w:rsidR="00300927" w:rsidRPr="00817B9F">
        <w:rPr>
          <w:rFonts w:cs="Times New Roman"/>
        </w:rPr>
        <w:t>pay</w:t>
      </w:r>
      <w:r w:rsidR="00A771F8" w:rsidRPr="00817B9F">
        <w:rPr>
          <w:rFonts w:cs="Times New Roman"/>
        </w:rPr>
        <w:t>s</w:t>
      </w:r>
      <w:r w:rsidR="00300927" w:rsidRPr="00817B9F">
        <w:rPr>
          <w:rFonts w:cs="Times New Roman"/>
        </w:rPr>
        <w:t xml:space="preserve"> MGH commercial rates that are 36 percent higher than </w:t>
      </w:r>
      <w:r w:rsidR="00026470" w:rsidRPr="00817B9F">
        <w:rPr>
          <w:rFonts w:cs="Times New Roman"/>
        </w:rPr>
        <w:t>BCBS-MA’s</w:t>
      </w:r>
      <w:r w:rsidR="00DD20F3" w:rsidRPr="00817B9F">
        <w:rPr>
          <w:rFonts w:cs="Times New Roman"/>
        </w:rPr>
        <w:t xml:space="preserve"> average commercial rates </w:t>
      </w:r>
      <w:r w:rsidR="005A37A5" w:rsidRPr="00817B9F">
        <w:rPr>
          <w:rFonts w:cs="Times New Roman"/>
        </w:rPr>
        <w:t xml:space="preserve">across </w:t>
      </w:r>
      <w:r w:rsidR="00026470" w:rsidRPr="00817B9F">
        <w:rPr>
          <w:rFonts w:cs="Times New Roman"/>
        </w:rPr>
        <w:t>its</w:t>
      </w:r>
      <w:r w:rsidR="005A37A5" w:rsidRPr="00817B9F">
        <w:rPr>
          <w:rFonts w:cs="Times New Roman"/>
        </w:rPr>
        <w:t xml:space="preserve"> hospital</w:t>
      </w:r>
      <w:r w:rsidR="00300927" w:rsidRPr="00817B9F">
        <w:rPr>
          <w:rFonts w:cs="Times New Roman"/>
        </w:rPr>
        <w:t xml:space="preserve"> net</w:t>
      </w:r>
      <w:r w:rsidR="00ED55B5" w:rsidRPr="00817B9F">
        <w:rPr>
          <w:rFonts w:cs="Times New Roman"/>
        </w:rPr>
        <w:t>work</w:t>
      </w:r>
      <w:r w:rsidR="005A37A5" w:rsidRPr="00817B9F">
        <w:rPr>
          <w:rFonts w:cs="Times New Roman"/>
        </w:rPr>
        <w:t xml:space="preserve">. CHIA also reports that BCBS-MA </w:t>
      </w:r>
      <w:r w:rsidR="00ED55B5" w:rsidRPr="00817B9F">
        <w:rPr>
          <w:rFonts w:cs="Times New Roman"/>
        </w:rPr>
        <w:t>pay</w:t>
      </w:r>
      <w:r w:rsidR="00A771F8" w:rsidRPr="00817B9F">
        <w:rPr>
          <w:rFonts w:cs="Times New Roman"/>
        </w:rPr>
        <w:t>s</w:t>
      </w:r>
      <w:r w:rsidR="00ED55B5" w:rsidRPr="00817B9F">
        <w:rPr>
          <w:rFonts w:cs="Times New Roman"/>
        </w:rPr>
        <w:t xml:space="preserve"> Beth Israel Deaconess Medical Center commercial rates that are 20 percent higher than </w:t>
      </w:r>
      <w:r w:rsidR="00026470" w:rsidRPr="00817B9F">
        <w:rPr>
          <w:rFonts w:cs="Times New Roman"/>
        </w:rPr>
        <w:t>BCBS-MA’s</w:t>
      </w:r>
      <w:r w:rsidR="005A37A5" w:rsidRPr="00817B9F">
        <w:rPr>
          <w:rFonts w:cs="Times New Roman"/>
        </w:rPr>
        <w:t xml:space="preserve"> average</w:t>
      </w:r>
      <w:r w:rsidR="00ED55B5" w:rsidRPr="00817B9F">
        <w:rPr>
          <w:rFonts w:cs="Times New Roman"/>
        </w:rPr>
        <w:t xml:space="preserve"> commercial rates</w:t>
      </w:r>
      <w:r w:rsidR="005A37A5" w:rsidRPr="00817B9F">
        <w:rPr>
          <w:rFonts w:cs="Times New Roman"/>
        </w:rPr>
        <w:t xml:space="preserve"> across</w:t>
      </w:r>
      <w:r w:rsidR="00026470" w:rsidRPr="00817B9F">
        <w:rPr>
          <w:rFonts w:cs="Times New Roman"/>
        </w:rPr>
        <w:t xml:space="preserve"> its</w:t>
      </w:r>
      <w:r w:rsidR="005A37A5" w:rsidRPr="00817B9F">
        <w:rPr>
          <w:rFonts w:cs="Times New Roman"/>
        </w:rPr>
        <w:t xml:space="preserve"> hospital network</w:t>
      </w:r>
      <w:r w:rsidR="00ED55B5" w:rsidRPr="00817B9F">
        <w:rPr>
          <w:rFonts w:cs="Times New Roman"/>
        </w:rPr>
        <w:t>.</w:t>
      </w:r>
      <w:r w:rsidR="00580E3D" w:rsidRPr="00817B9F">
        <w:rPr>
          <w:rFonts w:cs="Times New Roman"/>
        </w:rPr>
        <w:t xml:space="preserve"> </w:t>
      </w:r>
      <w:r w:rsidR="003A41B3" w:rsidRPr="00817B9F">
        <w:rPr>
          <w:rFonts w:cs="Times New Roman"/>
        </w:rPr>
        <w:t>Based on</w:t>
      </w:r>
      <w:r w:rsidR="0070673F" w:rsidRPr="00817B9F">
        <w:rPr>
          <w:rFonts w:cs="Times New Roman"/>
        </w:rPr>
        <w:t xml:space="preserve"> CHIA’s calculations, t</w:t>
      </w:r>
      <w:r w:rsidR="00805246" w:rsidRPr="00817B9F">
        <w:rPr>
          <w:rFonts w:cs="Times New Roman"/>
        </w:rPr>
        <w:t xml:space="preserve">his </w:t>
      </w:r>
      <w:r w:rsidR="0070673F" w:rsidRPr="00817B9F">
        <w:rPr>
          <w:rFonts w:cs="Times New Roman"/>
        </w:rPr>
        <w:t>implies</w:t>
      </w:r>
      <w:r w:rsidR="0013340C" w:rsidRPr="00817B9F">
        <w:rPr>
          <w:rFonts w:cs="Times New Roman"/>
        </w:rPr>
        <w:t xml:space="preserve"> that BCBS-MA </w:t>
      </w:r>
      <w:r w:rsidR="00461E68" w:rsidRPr="00817B9F">
        <w:rPr>
          <w:rFonts w:cs="Times New Roman"/>
        </w:rPr>
        <w:t>will incur</w:t>
      </w:r>
      <w:r w:rsidR="00611D68" w:rsidRPr="00817B9F">
        <w:rPr>
          <w:rFonts w:cs="Times New Roman"/>
        </w:rPr>
        <w:t xml:space="preserve"> a 13 percent </w:t>
      </w:r>
      <w:r w:rsidR="00D44DC5" w:rsidRPr="00817B9F">
        <w:rPr>
          <w:rFonts w:cs="Times New Roman"/>
        </w:rPr>
        <w:t xml:space="preserve">increase </w:t>
      </w:r>
      <w:r w:rsidR="001B6ED1" w:rsidRPr="00817B9F">
        <w:rPr>
          <w:rFonts w:cs="Times New Roman"/>
        </w:rPr>
        <w:t>(=</w:t>
      </w:r>
      <w:r w:rsidR="00EB42EA" w:rsidRPr="00817B9F">
        <w:rPr>
          <w:rFonts w:cs="Times New Roman"/>
        </w:rPr>
        <w:t xml:space="preserve"> 1</w:t>
      </w:r>
      <w:r w:rsidR="007827C6" w:rsidRPr="00817B9F">
        <w:rPr>
          <w:rFonts w:cs="Times New Roman"/>
        </w:rPr>
        <w:t>.</w:t>
      </w:r>
      <w:r w:rsidR="00EB42EA" w:rsidRPr="00817B9F">
        <w:rPr>
          <w:rFonts w:cs="Times New Roman"/>
        </w:rPr>
        <w:t>36</w:t>
      </w:r>
      <w:r w:rsidR="007827C6" w:rsidRPr="00817B9F">
        <w:rPr>
          <w:rFonts w:cs="Times New Roman"/>
        </w:rPr>
        <w:t xml:space="preserve"> ÷</w:t>
      </w:r>
      <w:r w:rsidR="00EB42EA" w:rsidRPr="00817B9F">
        <w:rPr>
          <w:rFonts w:cs="Times New Roman"/>
        </w:rPr>
        <w:t xml:space="preserve"> 1</w:t>
      </w:r>
      <w:r w:rsidR="007827C6" w:rsidRPr="00817B9F">
        <w:rPr>
          <w:rFonts w:cs="Times New Roman"/>
        </w:rPr>
        <w:t>.</w:t>
      </w:r>
      <w:r w:rsidR="00EB42EA" w:rsidRPr="00817B9F">
        <w:rPr>
          <w:rFonts w:cs="Times New Roman"/>
        </w:rPr>
        <w:t>20 - 1</w:t>
      </w:r>
      <w:r w:rsidR="00BF20B3" w:rsidRPr="00817B9F">
        <w:rPr>
          <w:rFonts w:cs="Times New Roman"/>
        </w:rPr>
        <w:t>)</w:t>
      </w:r>
      <w:r w:rsidR="00D44DC5" w:rsidRPr="00817B9F">
        <w:rPr>
          <w:rFonts w:cs="Times New Roman"/>
        </w:rPr>
        <w:t xml:space="preserve"> </w:t>
      </w:r>
      <w:r w:rsidR="00EF3DAB" w:rsidRPr="00817B9F">
        <w:rPr>
          <w:rFonts w:cs="Times New Roman"/>
        </w:rPr>
        <w:t xml:space="preserve">in </w:t>
      </w:r>
      <w:r w:rsidR="0070673F" w:rsidRPr="00817B9F">
        <w:rPr>
          <w:rFonts w:cs="Times New Roman"/>
        </w:rPr>
        <w:t>expenditures</w:t>
      </w:r>
      <w:r w:rsidR="00BF7B06" w:rsidRPr="00817B9F">
        <w:rPr>
          <w:rFonts w:cs="Times New Roman"/>
        </w:rPr>
        <w:t xml:space="preserve"> </w:t>
      </w:r>
      <w:r w:rsidR="003626B9" w:rsidRPr="00817B9F">
        <w:rPr>
          <w:rFonts w:cs="Times New Roman"/>
        </w:rPr>
        <w:t xml:space="preserve">on average </w:t>
      </w:r>
      <w:r w:rsidR="00BF7B06" w:rsidRPr="00817B9F">
        <w:rPr>
          <w:rFonts w:cs="Times New Roman"/>
        </w:rPr>
        <w:t xml:space="preserve">for each patient </w:t>
      </w:r>
      <w:r w:rsidR="0070673F" w:rsidRPr="00817B9F">
        <w:rPr>
          <w:rFonts w:cs="Times New Roman"/>
        </w:rPr>
        <w:t xml:space="preserve">enrolled </w:t>
      </w:r>
      <w:r w:rsidR="00BF7B06" w:rsidRPr="00817B9F">
        <w:rPr>
          <w:rFonts w:cs="Times New Roman"/>
        </w:rPr>
        <w:t>in a commercial plan</w:t>
      </w:r>
      <w:r w:rsidR="0013340C" w:rsidRPr="00817B9F">
        <w:rPr>
          <w:rFonts w:cs="Times New Roman"/>
        </w:rPr>
        <w:t xml:space="preserve"> who </w:t>
      </w:r>
      <w:r w:rsidR="00EF3DAB" w:rsidRPr="00817B9F">
        <w:rPr>
          <w:rFonts w:cs="Times New Roman"/>
        </w:rPr>
        <w:t>switches</w:t>
      </w:r>
      <w:r w:rsidR="00BF7B06" w:rsidRPr="00817B9F">
        <w:rPr>
          <w:rFonts w:cs="Times New Roman"/>
        </w:rPr>
        <w:t xml:space="preserve"> to MGH </w:t>
      </w:r>
      <w:r w:rsidR="0013340C" w:rsidRPr="00817B9F">
        <w:rPr>
          <w:rFonts w:cs="Times New Roman"/>
        </w:rPr>
        <w:t xml:space="preserve">from Beth Israel Deaconess </w:t>
      </w:r>
      <w:r w:rsidR="0070673F" w:rsidRPr="00817B9F">
        <w:rPr>
          <w:rFonts w:cs="Times New Roman"/>
        </w:rPr>
        <w:t>Medical Center</w:t>
      </w:r>
      <w:r w:rsidR="00BF7B06" w:rsidRPr="00817B9F">
        <w:rPr>
          <w:rFonts w:cs="Times New Roman"/>
        </w:rPr>
        <w:t>.</w:t>
      </w:r>
      <w:r w:rsidR="00580E3D" w:rsidRPr="00817B9F">
        <w:rPr>
          <w:rFonts w:cs="Times New Roman"/>
        </w:rPr>
        <w:t xml:space="preserve"> </w:t>
      </w:r>
    </w:p>
    <w:p w14:paraId="49343A21" w14:textId="0B4B7135" w:rsidR="00A14618" w:rsidRPr="00817B9F" w:rsidRDefault="006E61B9" w:rsidP="005D3EC9">
      <w:pPr>
        <w:pStyle w:val="BulletParagraph"/>
        <w:rPr>
          <w:rFonts w:cs="Times New Roman"/>
        </w:rPr>
      </w:pPr>
      <w:r w:rsidRPr="00817B9F">
        <w:rPr>
          <w:rFonts w:cs="Times New Roman"/>
        </w:rPr>
        <w:t xml:space="preserve">The </w:t>
      </w:r>
      <w:r w:rsidR="00B0316D" w:rsidRPr="00817B9F">
        <w:rPr>
          <w:rFonts w:cs="Times New Roman"/>
        </w:rPr>
        <w:t xml:space="preserve">CHIA </w:t>
      </w:r>
      <w:r w:rsidRPr="00817B9F">
        <w:rPr>
          <w:rFonts w:cs="Times New Roman"/>
        </w:rPr>
        <w:t>Inpatient Relative Price Data</w:t>
      </w:r>
      <w:r w:rsidR="00B0316D" w:rsidRPr="00817B9F">
        <w:rPr>
          <w:rFonts w:cs="Times New Roman"/>
        </w:rPr>
        <w:t xml:space="preserve"> </w:t>
      </w:r>
      <w:r w:rsidR="003626B9" w:rsidRPr="00817B9F">
        <w:rPr>
          <w:rFonts w:cs="Times New Roman"/>
        </w:rPr>
        <w:t xml:space="preserve">report </w:t>
      </w:r>
      <w:r w:rsidR="00B0316D" w:rsidRPr="00817B9F">
        <w:rPr>
          <w:rFonts w:cs="Times New Roman"/>
        </w:rPr>
        <w:t xml:space="preserve">that </w:t>
      </w:r>
      <w:r w:rsidR="00CE2296" w:rsidRPr="00817B9F">
        <w:rPr>
          <w:rFonts w:cs="Times New Roman"/>
        </w:rPr>
        <w:t xml:space="preserve">Medicare Advantage </w:t>
      </w:r>
      <w:r w:rsidR="003626B9" w:rsidRPr="00817B9F">
        <w:rPr>
          <w:rFonts w:cs="Times New Roman"/>
        </w:rPr>
        <w:t xml:space="preserve">plans offered by </w:t>
      </w:r>
      <w:r w:rsidR="00D91E49" w:rsidRPr="00817B9F">
        <w:rPr>
          <w:rFonts w:cs="Times New Roman"/>
        </w:rPr>
        <w:t>Tufts</w:t>
      </w:r>
      <w:r w:rsidR="00B0316D" w:rsidRPr="00817B9F">
        <w:rPr>
          <w:rFonts w:cs="Times New Roman"/>
        </w:rPr>
        <w:t xml:space="preserve"> Health Plan</w:t>
      </w:r>
      <w:r w:rsidR="007C78B0" w:rsidRPr="00817B9F">
        <w:rPr>
          <w:rFonts w:cs="Times New Roman"/>
        </w:rPr>
        <w:t xml:space="preserve"> </w:t>
      </w:r>
      <w:r w:rsidR="00CE2296" w:rsidRPr="00817B9F">
        <w:rPr>
          <w:rFonts w:cs="Times New Roman"/>
        </w:rPr>
        <w:t xml:space="preserve">pay </w:t>
      </w:r>
      <w:r w:rsidR="007C78B0" w:rsidRPr="00817B9F">
        <w:rPr>
          <w:rFonts w:cs="Times New Roman"/>
        </w:rPr>
        <w:t xml:space="preserve">MGH rates </w:t>
      </w:r>
      <w:r w:rsidR="00CE2296" w:rsidRPr="00817B9F">
        <w:rPr>
          <w:rFonts w:cs="Times New Roman"/>
        </w:rPr>
        <w:t xml:space="preserve">that are </w:t>
      </w:r>
      <w:r w:rsidR="00026470" w:rsidRPr="00817B9F">
        <w:rPr>
          <w:rFonts w:cs="Times New Roman"/>
        </w:rPr>
        <w:t>65 percent higher than Tufts’ average Medicare Advantage rates across its hospital network. CHIA also reports that Tufts pays Beth Israel Deaconess Medical Center Medicare Advantage rates that are 43 percent higher than Tufts’ average Medicare Advantage rates across its hospital network.</w:t>
      </w:r>
      <w:r w:rsidR="00DB737E" w:rsidRPr="00817B9F">
        <w:rPr>
          <w:rFonts w:cs="Times New Roman"/>
        </w:rPr>
        <w:t xml:space="preserve"> This implies that Tufts will incur a 15 percent increase (= 1.65 ÷ 1.43 - 1) in expenditures </w:t>
      </w:r>
      <w:r w:rsidR="00096412" w:rsidRPr="00817B9F">
        <w:rPr>
          <w:rFonts w:cs="Times New Roman"/>
        </w:rPr>
        <w:t xml:space="preserve">on average </w:t>
      </w:r>
      <w:r w:rsidR="00DB737E" w:rsidRPr="00817B9F">
        <w:rPr>
          <w:rFonts w:cs="Times New Roman"/>
        </w:rPr>
        <w:t>for each patient enrolled in a Medicare Advantage plan who switches to MGH from Beth Israel Deaconess Medical Center.</w:t>
      </w:r>
    </w:p>
    <w:p w14:paraId="0B11C653" w14:textId="51B2702A" w:rsidR="00A14618" w:rsidRPr="00817B9F" w:rsidRDefault="00A14618" w:rsidP="00A14618">
      <w:pPr>
        <w:pStyle w:val="NumberedParagraphs"/>
        <w:numPr>
          <w:ilvl w:val="0"/>
          <w:numId w:val="0"/>
        </w:numPr>
      </w:pPr>
      <w:r w:rsidRPr="00817B9F">
        <w:t>In this example, t</w:t>
      </w:r>
      <w:r w:rsidR="009F5995" w:rsidRPr="00817B9F">
        <w:t xml:space="preserve">he </w:t>
      </w:r>
      <w:r w:rsidRPr="00817B9F">
        <w:t>overall effect on</w:t>
      </w:r>
      <w:r w:rsidR="00E60DEC" w:rsidRPr="00817B9F">
        <w:t xml:space="preserve"> a payor’s</w:t>
      </w:r>
      <w:r w:rsidRPr="00817B9F">
        <w:t xml:space="preserve"> inpatient hospital expenditures then depends </w:t>
      </w:r>
      <w:r w:rsidR="00BB0C04" w:rsidRPr="00817B9F">
        <w:t xml:space="preserve">on how many patients of each type would switch to MGH after the proposed project. </w:t>
      </w:r>
      <w:r w:rsidR="00B13970" w:rsidRPr="00817B9F">
        <w:t xml:space="preserve">Suppose that we use discharge information for 100 BCBS-MA commercial patients to estimate </w:t>
      </w:r>
      <w:r w:rsidR="006647CD" w:rsidRPr="00817B9F">
        <w:t xml:space="preserve">our model of demand for inpatient services. If </w:t>
      </w:r>
      <w:r w:rsidR="00946A0A" w:rsidRPr="00817B9F">
        <w:t>ten</w:t>
      </w:r>
      <w:r w:rsidR="006647CD" w:rsidRPr="00817B9F">
        <w:t xml:space="preserve"> of these patients switch from Beth Israel Deaconess Medical Center to MGH </w:t>
      </w:r>
      <w:r w:rsidR="00A54023" w:rsidRPr="00817B9F">
        <w:t>following the project,</w:t>
      </w:r>
      <w:r w:rsidR="006647CD" w:rsidRPr="00817B9F">
        <w:t xml:space="preserve"> BCBS-MA’s overall expenditures on inpatient hospital services would increase by </w:t>
      </w:r>
      <w:r w:rsidR="00A54023" w:rsidRPr="00817B9F">
        <w:t>1.3 percent (= 13 percent × 10 ÷ 100). If only one of these patients switch, BCBS-MA’s overall expenditures on inpatient hospital services would increase by 0.13 percent (= 13 percent × 1 ÷ 100).</w:t>
      </w:r>
    </w:p>
    <w:p w14:paraId="6A0A6BA8" w14:textId="59849627" w:rsidR="00CD432F" w:rsidRPr="00817B9F" w:rsidRDefault="00D240E4" w:rsidP="00CD432F">
      <w:pPr>
        <w:pStyle w:val="NumberedParagraphs"/>
      </w:pPr>
      <w:r w:rsidRPr="00817B9F">
        <w:t xml:space="preserve">The </w:t>
      </w:r>
      <w:r w:rsidR="00A77E40" w:rsidRPr="00817B9F">
        <w:t>previous example</w:t>
      </w:r>
      <w:r w:rsidR="00E60DEC" w:rsidRPr="00817B9F">
        <w:t xml:space="preserve"> </w:t>
      </w:r>
      <w:r w:rsidRPr="00817B9F">
        <w:t>calculated</w:t>
      </w:r>
      <w:r w:rsidR="009D3D7A" w:rsidRPr="00817B9F">
        <w:t xml:space="preserve"> inpatient hospital </w:t>
      </w:r>
      <w:r w:rsidRPr="00817B9F">
        <w:t>expenditure changes separately by payor</w:t>
      </w:r>
      <w:r w:rsidR="00A77E40" w:rsidRPr="00817B9F">
        <w:t>, but we</w:t>
      </w:r>
      <w:r w:rsidR="005465C3" w:rsidRPr="00817B9F">
        <w:t xml:space="preserve"> do not report </w:t>
      </w:r>
      <w:r w:rsidRPr="00817B9F">
        <w:t xml:space="preserve">payor-specific results </w:t>
      </w:r>
      <w:r w:rsidR="005465C3" w:rsidRPr="00817B9F">
        <w:t>below</w:t>
      </w:r>
      <w:r w:rsidRPr="00817B9F">
        <w:t xml:space="preserve"> and</w:t>
      </w:r>
      <w:r w:rsidR="007E5DC0" w:rsidRPr="00817B9F">
        <w:t xml:space="preserve"> </w:t>
      </w:r>
      <w:r w:rsidRPr="00817B9F">
        <w:t>instead</w:t>
      </w:r>
      <w:r w:rsidR="00711593" w:rsidRPr="00817B9F">
        <w:t xml:space="preserve"> </w:t>
      </w:r>
      <w:r w:rsidR="00B83068" w:rsidRPr="00817B9F">
        <w:t>summarize</w:t>
      </w:r>
      <w:r w:rsidR="00711593" w:rsidRPr="00817B9F">
        <w:t xml:space="preserve"> </w:t>
      </w:r>
      <w:r w:rsidR="00B83068" w:rsidRPr="00817B9F">
        <w:t xml:space="preserve">our </w:t>
      </w:r>
      <w:r w:rsidR="00711593" w:rsidRPr="00817B9F">
        <w:t xml:space="preserve">calculations </w:t>
      </w:r>
      <w:r w:rsidR="00265052" w:rsidRPr="00817B9F">
        <w:t>for each</w:t>
      </w:r>
      <w:r w:rsidR="00711593" w:rsidRPr="00817B9F">
        <w:t xml:space="preserve"> type of </w:t>
      </w:r>
      <w:r w:rsidR="004C315D" w:rsidRPr="00817B9F">
        <w:t>payor</w:t>
      </w:r>
      <w:r w:rsidR="0089703F" w:rsidRPr="00817B9F">
        <w:t xml:space="preserve"> </w:t>
      </w:r>
      <w:r w:rsidR="00677102" w:rsidRPr="00817B9F">
        <w:t>(</w:t>
      </w:r>
      <w:r w:rsidR="00C976B0" w:rsidRPr="00817B9F">
        <w:rPr>
          <w:i/>
        </w:rPr>
        <w:t>e</w:t>
      </w:r>
      <w:r w:rsidR="0089703F" w:rsidRPr="00817B9F">
        <w:rPr>
          <w:i/>
          <w:iCs/>
        </w:rPr>
        <w:t>.</w:t>
      </w:r>
      <w:r w:rsidR="00677102" w:rsidRPr="00817B9F">
        <w:rPr>
          <w:i/>
          <w:iCs/>
        </w:rPr>
        <w:t>g</w:t>
      </w:r>
      <w:r w:rsidR="0089703F" w:rsidRPr="00817B9F">
        <w:rPr>
          <w:i/>
          <w:iCs/>
        </w:rPr>
        <w:t>.</w:t>
      </w:r>
      <w:r w:rsidR="0089703F" w:rsidRPr="00817B9F">
        <w:t>, commercial, Medicare health plans,</w:t>
      </w:r>
      <w:r w:rsidR="00175C2C" w:rsidRPr="00817B9F">
        <w:t xml:space="preserve"> MassHealth </w:t>
      </w:r>
      <w:r w:rsidR="00C976B0" w:rsidRPr="00817B9F">
        <w:t>managed care, MassHealth non-managed care, and Original Medicare</w:t>
      </w:r>
      <w:r w:rsidR="00677102" w:rsidRPr="00817B9F">
        <w:t>)</w:t>
      </w:r>
      <w:r w:rsidR="004C315D" w:rsidRPr="00817B9F">
        <w:t>.</w:t>
      </w:r>
      <w:r w:rsidR="002511E1" w:rsidRPr="00817B9F">
        <w:t xml:space="preserve"> </w:t>
      </w:r>
      <w:r w:rsidR="006C384E" w:rsidRPr="00817B9F">
        <w:t>For example, if</w:t>
      </w:r>
      <w:r w:rsidR="00A77E40" w:rsidRPr="00817B9F">
        <w:t xml:space="preserve"> ten</w:t>
      </w:r>
      <w:r w:rsidR="00343352" w:rsidRPr="00817B9F">
        <w:t xml:space="preserve"> </w:t>
      </w:r>
      <w:r w:rsidR="00F15038" w:rsidRPr="00817B9F">
        <w:t xml:space="preserve">BCBS-MA </w:t>
      </w:r>
      <w:r w:rsidR="00450F50" w:rsidRPr="00817B9F">
        <w:lastRenderedPageBreak/>
        <w:t>commercial</w:t>
      </w:r>
      <w:r w:rsidR="00F15038" w:rsidRPr="00817B9F">
        <w:t xml:space="preserve"> </w:t>
      </w:r>
      <w:r w:rsidR="00343352" w:rsidRPr="00817B9F">
        <w:t xml:space="preserve">enrollees </w:t>
      </w:r>
      <w:r w:rsidR="00F15038" w:rsidRPr="00817B9F">
        <w:t xml:space="preserve">and </w:t>
      </w:r>
      <w:r w:rsidR="00523162" w:rsidRPr="00817B9F">
        <w:t>five</w:t>
      </w:r>
      <w:r w:rsidR="00F15038" w:rsidRPr="00817B9F">
        <w:t xml:space="preserve"> Tufts </w:t>
      </w:r>
      <w:r w:rsidR="00450F50" w:rsidRPr="00817B9F">
        <w:t xml:space="preserve">Medicare Advantage </w:t>
      </w:r>
      <w:r w:rsidR="00343352" w:rsidRPr="00817B9F">
        <w:t xml:space="preserve">enrollees are predicted to switch to </w:t>
      </w:r>
      <w:r w:rsidR="00A77E40" w:rsidRPr="00817B9F">
        <w:t xml:space="preserve">MGH </w:t>
      </w:r>
      <w:r w:rsidR="00D74B8F" w:rsidRPr="00817B9F">
        <w:t xml:space="preserve">after the proposed </w:t>
      </w:r>
      <w:r w:rsidR="00A14F6F" w:rsidRPr="00817B9F">
        <w:t>project</w:t>
      </w:r>
      <w:r w:rsidR="00343352" w:rsidRPr="00817B9F">
        <w:t xml:space="preserve"> </w:t>
      </w:r>
      <w:r w:rsidR="009634EC" w:rsidRPr="00817B9F">
        <w:t>and</w:t>
      </w:r>
      <w:r w:rsidR="00523162" w:rsidRPr="00817B9F">
        <w:t xml:space="preserve"> these are the only enrollees predicted to switch, then </w:t>
      </w:r>
      <w:r w:rsidR="00150030" w:rsidRPr="00817B9F">
        <w:t xml:space="preserve">we would calculate the effect on </w:t>
      </w:r>
      <w:r w:rsidR="00E57A14" w:rsidRPr="00817B9F">
        <w:t>all payors’</w:t>
      </w:r>
      <w:r w:rsidR="00150030" w:rsidRPr="00817B9F">
        <w:t xml:space="preserve"> inpatient hospital expenditures </w:t>
      </w:r>
      <w:r w:rsidR="00E57A14" w:rsidRPr="00817B9F">
        <w:t xml:space="preserve">as </w:t>
      </w:r>
      <w:r w:rsidR="000E3E8B" w:rsidRPr="00817B9F">
        <w:t>an average of</w:t>
      </w:r>
      <w:r w:rsidR="00E57A14" w:rsidRPr="00817B9F">
        <w:t xml:space="preserve"> </w:t>
      </w:r>
      <w:r w:rsidR="00E07342" w:rsidRPr="00817B9F">
        <w:t xml:space="preserve">13.7 percent (= </w:t>
      </w:r>
      <w:r w:rsidR="00A77E40" w:rsidRPr="00817B9F">
        <w:t xml:space="preserve">0.13 </w:t>
      </w:r>
      <w:r w:rsidR="008817E1" w:rsidRPr="00817B9F">
        <w:t>× 10</w:t>
      </w:r>
      <w:r w:rsidR="00A77E40" w:rsidRPr="00817B9F">
        <w:t xml:space="preserve"> ÷ 15</w:t>
      </w:r>
      <w:r w:rsidR="008817E1" w:rsidRPr="00817B9F">
        <w:t xml:space="preserve"> + </w:t>
      </w:r>
      <w:r w:rsidR="00A77E40" w:rsidRPr="00817B9F">
        <w:t>0.15</w:t>
      </w:r>
      <w:r w:rsidR="00716F1D" w:rsidRPr="00817B9F">
        <w:t xml:space="preserve"> ×</w:t>
      </w:r>
      <w:r w:rsidR="008817E1" w:rsidRPr="00817B9F">
        <w:t xml:space="preserve"> 5 </w:t>
      </w:r>
      <w:r w:rsidR="00716F1D" w:rsidRPr="00817B9F">
        <w:t>÷ 15)</w:t>
      </w:r>
      <w:r w:rsidR="00A77E40" w:rsidRPr="00817B9F">
        <w:t xml:space="preserve"> for each patient who switches. </w:t>
      </w:r>
    </w:p>
    <w:p w14:paraId="2BD7CBF9" w14:textId="207D4CC4" w:rsidR="00074482" w:rsidRPr="00817B9F" w:rsidRDefault="00CC722A" w:rsidP="00074482">
      <w:pPr>
        <w:pStyle w:val="NumberedParagraphs"/>
      </w:pPr>
      <w:r w:rsidRPr="00817B9F">
        <w:t xml:space="preserve">We first summarize the results of these calculations across all inpatient service lines at MGH, and then briefly review the results </w:t>
      </w:r>
      <w:r w:rsidR="00235CD5" w:rsidRPr="00817B9F">
        <w:t>of similar</w:t>
      </w:r>
      <w:r w:rsidRPr="00817B9F">
        <w:t xml:space="preserve"> analyses </w:t>
      </w:r>
      <w:r w:rsidR="00235CD5" w:rsidRPr="00817B9F">
        <w:t xml:space="preserve">that </w:t>
      </w:r>
      <w:r w:rsidRPr="00817B9F">
        <w:t>are limited to inpatient cancer services or inpatient heart and vascular services</w:t>
      </w:r>
      <w:r w:rsidR="00235CD5" w:rsidRPr="00817B9F">
        <w:t xml:space="preserve"> provided at MGH</w:t>
      </w:r>
      <w:r w:rsidRPr="00817B9F">
        <w:t xml:space="preserve">. </w:t>
      </w:r>
    </w:p>
    <w:p w14:paraId="2690DC0C" w14:textId="24837F98" w:rsidR="0047192C" w:rsidRPr="00817B9F" w:rsidRDefault="00793B87" w:rsidP="00A77E40">
      <w:pPr>
        <w:pStyle w:val="Heading3"/>
        <w:numPr>
          <w:ilvl w:val="0"/>
          <w:numId w:val="39"/>
        </w:numPr>
      </w:pPr>
      <w:bookmarkStart w:id="127" w:name="_Toc90046539"/>
      <w:r w:rsidRPr="00817B9F">
        <w:t>Inpatient Services</w:t>
      </w:r>
      <w:bookmarkEnd w:id="127"/>
    </w:p>
    <w:p w14:paraId="4322B764" w14:textId="64D05947" w:rsidR="00235CD5" w:rsidRPr="00817B9F" w:rsidRDefault="007A60B1" w:rsidP="00235CD5">
      <w:pPr>
        <w:pStyle w:val="NumberedParagraphs"/>
      </w:pPr>
      <w:r w:rsidRPr="00817B9F">
        <w:t xml:space="preserve">The </w:t>
      </w:r>
      <w:r w:rsidR="000A3EA5" w:rsidRPr="00817B9F">
        <w:t>first</w:t>
      </w:r>
      <w:r w:rsidRPr="00817B9F">
        <w:t xml:space="preserve"> panel of Figure MGH</w:t>
      </w:r>
      <w:r w:rsidR="00C05B8B" w:rsidRPr="00817B9F">
        <w:t>22</w:t>
      </w:r>
      <w:r w:rsidRPr="00817B9F">
        <w:t xml:space="preserve"> summarizes the results of our calculation</w:t>
      </w:r>
      <w:r w:rsidR="00290EB8" w:rsidRPr="00817B9F">
        <w:t>s</w:t>
      </w:r>
      <w:r w:rsidRPr="00817B9F">
        <w:t xml:space="preserve"> using our model’s full predictions of which patients would switch to MGH and the relative prices for those patients’ care at MGH and at the hospital they are switching from.</w:t>
      </w:r>
      <w:r w:rsidRPr="00817B9F">
        <w:rPr>
          <w:rStyle w:val="FootnoteReference"/>
        </w:rPr>
        <w:t xml:space="preserve"> </w:t>
      </w:r>
      <w:r w:rsidRPr="00817B9F">
        <w:rPr>
          <w:rStyle w:val="FootnoteReference"/>
        </w:rPr>
        <w:footnoteReference w:id="203"/>
      </w:r>
      <w:r w:rsidRPr="00817B9F">
        <w:t xml:space="preserve"> We predict that commercial payors’ </w:t>
      </w:r>
      <w:r w:rsidR="00B4285A" w:rsidRPr="00817B9F">
        <w:t xml:space="preserve">average </w:t>
      </w:r>
      <w:r w:rsidR="00697047" w:rsidRPr="00817B9F">
        <w:t>expenditure</w:t>
      </w:r>
      <w:r w:rsidRPr="00817B9F">
        <w:t xml:space="preserve"> on inpatient services will increase percent, respectively, for each patient who switches to </w:t>
      </w:r>
      <w:r w:rsidR="00290EB8" w:rsidRPr="00817B9F">
        <w:t>MGH</w:t>
      </w:r>
      <w:r w:rsidRPr="00817B9F">
        <w:t xml:space="preserve">. Changes in expenditures for patients covered by MassHealth non-managed care and Original Medicare—where prices are set administratively rather than negotiated—are smaller. </w:t>
      </w:r>
      <w:r w:rsidR="0081305D" w:rsidRPr="00817B9F">
        <w:t>On average, w</w:t>
      </w:r>
      <w:r w:rsidRPr="00817B9F">
        <w:t xml:space="preserve">e predict that Original Medicare and MassHealth non-managed care expenditures on inpatient services will </w:t>
      </w:r>
      <w:r w:rsidR="00290EB8" w:rsidRPr="00817B9F">
        <w:t>increase</w:t>
      </w:r>
      <w:r w:rsidRPr="00817B9F">
        <w:t xml:space="preserve"> by </w:t>
      </w:r>
      <w:r w:rsidR="00290EB8" w:rsidRPr="00817B9F">
        <w:t>7.1</w:t>
      </w:r>
      <w:r w:rsidRPr="00817B9F">
        <w:t xml:space="preserve"> percent and </w:t>
      </w:r>
      <w:r w:rsidR="00290EB8" w:rsidRPr="00817B9F">
        <w:t>1</w:t>
      </w:r>
      <w:r w:rsidRPr="00817B9F">
        <w:t xml:space="preserve">.7 percent, respectively, for each patient who switches to </w:t>
      </w:r>
      <w:r w:rsidR="00290EB8" w:rsidRPr="00817B9F">
        <w:t>MGH</w:t>
      </w:r>
      <w:r w:rsidRPr="00817B9F">
        <w:t xml:space="preserve">. Overall, across all coverage types, we predict that </w:t>
      </w:r>
      <w:r w:rsidR="00324948" w:rsidRPr="00817B9F">
        <w:t>the average</w:t>
      </w:r>
      <w:r w:rsidRPr="00817B9F">
        <w:t xml:space="preserve"> expenditure on inpatient services will </w:t>
      </w:r>
      <w:r w:rsidR="00EE2C0D" w:rsidRPr="00817B9F">
        <w:t>increase</w:t>
      </w:r>
      <w:r w:rsidRPr="00817B9F">
        <w:t xml:space="preserve"> by an average of </w:t>
      </w:r>
      <w:r w:rsidR="00290EB8" w:rsidRPr="00817B9F">
        <w:t>14.4</w:t>
      </w:r>
      <w:r w:rsidRPr="00817B9F">
        <w:t xml:space="preserve"> percent for each patient who switches to </w:t>
      </w:r>
      <w:r w:rsidR="00290EB8" w:rsidRPr="00817B9F">
        <w:t>MGH</w:t>
      </w:r>
      <w:r w:rsidRPr="00817B9F">
        <w:t>.</w:t>
      </w:r>
    </w:p>
    <w:p w14:paraId="75CC763D" w14:textId="549C1AD9" w:rsidR="00235CD5" w:rsidRPr="00817B9F" w:rsidRDefault="00290EB8" w:rsidP="00290EB8">
      <w:pPr>
        <w:pStyle w:val="NumberedParagraphs"/>
      </w:pPr>
      <w:r w:rsidRPr="00817B9F">
        <w:t>These increases in expenditures on inpatient hospital services are limited to patients who we predict would switch to MGH following the proposed project. However, the choices of most patients who receive inpatient hospital care would be unaffected by project. Because there would be no change in inpatient health care expenditures for these patients, the total effect on expenditures for inpatient services will be smaller than the size</w:t>
      </w:r>
      <w:r w:rsidR="000E060F" w:rsidRPr="00817B9F">
        <w:t xml:space="preserve"> of the </w:t>
      </w:r>
      <w:r w:rsidRPr="00817B9F">
        <w:t>effect we calculate for patients who switch. These total effects are also reported in Figure MGH</w:t>
      </w:r>
      <w:r w:rsidR="008D223C" w:rsidRPr="00817B9F">
        <w:t>22</w:t>
      </w:r>
      <w:r w:rsidR="00F53B73" w:rsidRPr="00817B9F">
        <w:t xml:space="preserve"> and represent total expenditure effects across patients residing in Massachusetts and who received relevant inpatient </w:t>
      </w:r>
      <w:r w:rsidR="00F53B73" w:rsidRPr="00817B9F">
        <w:lastRenderedPageBreak/>
        <w:t>services within the state.</w:t>
      </w:r>
      <w:r w:rsidRPr="00817B9F">
        <w:t xml:space="preserve"> Across all coverage types, we predict that </w:t>
      </w:r>
      <w:r w:rsidR="00B9166D" w:rsidRPr="00817B9F">
        <w:t xml:space="preserve">the average </w:t>
      </w:r>
      <w:r w:rsidR="00713190" w:rsidRPr="00817B9F">
        <w:t xml:space="preserve">inpatient hospital services </w:t>
      </w:r>
      <w:r w:rsidR="00B9166D" w:rsidRPr="00817B9F">
        <w:t>expenditure per person</w:t>
      </w:r>
      <w:r w:rsidRPr="00817B9F">
        <w:t xml:space="preserve"> (</w:t>
      </w:r>
      <w:r w:rsidRPr="00817B9F">
        <w:rPr>
          <w:i/>
          <w:iCs/>
        </w:rPr>
        <w:t>i.e.</w:t>
      </w:r>
      <w:r w:rsidRPr="00817B9F">
        <w:t xml:space="preserve">, including both patients who switch to MGH and patients whose choices are unchanged) would </w:t>
      </w:r>
      <w:r w:rsidR="00940A74" w:rsidRPr="00817B9F">
        <w:t>increase</w:t>
      </w:r>
      <w:r w:rsidRPr="00817B9F">
        <w:t xml:space="preserve"> by 0.06 percent.</w:t>
      </w:r>
    </w:p>
    <w:p w14:paraId="1E567F8B" w14:textId="47F997A2" w:rsidR="00E11725" w:rsidRPr="00817B9F" w:rsidRDefault="00793B87" w:rsidP="00E11725">
      <w:pPr>
        <w:pStyle w:val="Heading3"/>
      </w:pPr>
      <w:bookmarkStart w:id="128" w:name="_Toc90046540"/>
      <w:r w:rsidRPr="00817B9F">
        <w:t>Cancer Services</w:t>
      </w:r>
      <w:bookmarkEnd w:id="128"/>
    </w:p>
    <w:p w14:paraId="22D77286" w14:textId="6CAE9384" w:rsidR="0053345B" w:rsidRPr="00817B9F" w:rsidRDefault="00B765BB" w:rsidP="0053345B">
      <w:pPr>
        <w:pStyle w:val="NumberedParagraphs"/>
      </w:pPr>
      <w:r w:rsidRPr="00817B9F">
        <w:t xml:space="preserve">The second panel </w:t>
      </w:r>
      <w:r w:rsidR="000A3EA5" w:rsidRPr="00817B9F">
        <w:t>of</w:t>
      </w:r>
      <w:r w:rsidRPr="00817B9F">
        <w:t xml:space="preserve"> Figure </w:t>
      </w:r>
      <w:r w:rsidR="00E41D46" w:rsidRPr="00817B9F">
        <w:t>MGH</w:t>
      </w:r>
      <w:r w:rsidR="008D223C" w:rsidRPr="00817B9F">
        <w:t>22</w:t>
      </w:r>
      <w:r w:rsidRPr="00817B9F">
        <w:t xml:space="preserve"> </w:t>
      </w:r>
      <w:r w:rsidR="000A3EA5" w:rsidRPr="00817B9F">
        <w:t>summarizes similar calculations for inp</w:t>
      </w:r>
      <w:r w:rsidR="0053345B" w:rsidRPr="00817B9F">
        <w:t>a</w:t>
      </w:r>
      <w:r w:rsidR="000A3EA5" w:rsidRPr="00817B9F">
        <w:t xml:space="preserve">tient </w:t>
      </w:r>
      <w:r w:rsidR="0053345B" w:rsidRPr="00817B9F">
        <w:t>cancer</w:t>
      </w:r>
      <w:r w:rsidR="000A3EA5" w:rsidRPr="00817B9F">
        <w:t xml:space="preserve"> services.</w:t>
      </w:r>
      <w:r w:rsidR="00104080" w:rsidRPr="00817B9F">
        <w:t xml:space="preserve"> </w:t>
      </w:r>
      <w:r w:rsidR="0053345B" w:rsidRPr="00817B9F">
        <w:t xml:space="preserve">We predict that commercial payors’ </w:t>
      </w:r>
      <w:r w:rsidR="0009713A" w:rsidRPr="00817B9F">
        <w:t>average expenditure</w:t>
      </w:r>
      <w:r w:rsidR="0053345B" w:rsidRPr="00817B9F">
        <w:t xml:space="preserve"> on inpatient cancer services will increase by 72.7 percent for each patient who switches to MGH. Similarly, we predict that Medicare health plans’ and MassHealth managed care plans’ </w:t>
      </w:r>
      <w:r w:rsidR="0009713A" w:rsidRPr="00817B9F">
        <w:t>average expenditure</w:t>
      </w:r>
      <w:r w:rsidR="0053345B" w:rsidRPr="00817B9F">
        <w:t xml:space="preserve"> on inpatient </w:t>
      </w:r>
      <w:r w:rsidR="002A3093" w:rsidRPr="00817B9F">
        <w:t xml:space="preserve">cancer </w:t>
      </w:r>
      <w:r w:rsidR="0053345B" w:rsidRPr="00817B9F">
        <w:t xml:space="preserve">services will </w:t>
      </w:r>
      <w:r w:rsidR="009556CE" w:rsidRPr="00817B9F">
        <w:t>increase</w:t>
      </w:r>
      <w:r w:rsidR="0053345B" w:rsidRPr="00817B9F">
        <w:t xml:space="preserve"> by 121.2 percent and 82.7 percent, respectively, for each patient who switches to MGH. Changes in expenditures for patients covered by MassHealth non-managed care and Original Medicare are smaller: </w:t>
      </w:r>
      <w:r w:rsidR="00384861" w:rsidRPr="00817B9F">
        <w:t>On average, w</w:t>
      </w:r>
      <w:r w:rsidR="0053345B" w:rsidRPr="00817B9F">
        <w:t xml:space="preserve">e predict that Original Medicare and MassHealth non-managed care expenditures on inpatient </w:t>
      </w:r>
      <w:r w:rsidR="002A3093" w:rsidRPr="00817B9F">
        <w:t xml:space="preserve">cancer </w:t>
      </w:r>
      <w:r w:rsidR="0053345B" w:rsidRPr="00817B9F">
        <w:t>services will increase by 21.4 percent and 5.0 percent, respectively, for each patient who switches to MGH. Overall, across all coverage types, we predict that expenditures on inpatient can</w:t>
      </w:r>
      <w:r w:rsidR="009556CE" w:rsidRPr="00817B9F">
        <w:t>c</w:t>
      </w:r>
      <w:r w:rsidR="0053345B" w:rsidRPr="00817B9F">
        <w:t xml:space="preserve">er services will </w:t>
      </w:r>
      <w:r w:rsidR="009556CE" w:rsidRPr="00817B9F">
        <w:t>increase</w:t>
      </w:r>
      <w:r w:rsidR="0053345B" w:rsidRPr="00817B9F">
        <w:t xml:space="preserve"> by an average of </w:t>
      </w:r>
      <w:r w:rsidR="009556CE" w:rsidRPr="00817B9F">
        <w:t>37.8</w:t>
      </w:r>
      <w:r w:rsidR="0053345B" w:rsidRPr="00817B9F">
        <w:t xml:space="preserve"> percent for each patient who switches to MGH. </w:t>
      </w:r>
      <w:r w:rsidR="00487683" w:rsidRPr="00817B9F">
        <w:t>I</w:t>
      </w:r>
      <w:r w:rsidR="009556CE" w:rsidRPr="00817B9F">
        <w:t>ncluding patients who switch to MGH and patients whose choices are unchanged</w:t>
      </w:r>
      <w:r w:rsidR="00487683" w:rsidRPr="00817B9F">
        <w:t>, average per-person expenditure</w:t>
      </w:r>
      <w:r w:rsidR="009556CE" w:rsidRPr="00817B9F">
        <w:t xml:space="preserve"> on inpatient cancer services </w:t>
      </w:r>
      <w:r w:rsidR="00487683" w:rsidRPr="00817B9F">
        <w:t xml:space="preserve">across all coverage types </w:t>
      </w:r>
      <w:r w:rsidR="009556CE" w:rsidRPr="00817B9F">
        <w:t>would increase by 1.01 percent.</w:t>
      </w:r>
    </w:p>
    <w:p w14:paraId="7767C066" w14:textId="02DB195C" w:rsidR="00621E62" w:rsidRPr="00817B9F" w:rsidRDefault="00074482" w:rsidP="00621E62">
      <w:pPr>
        <w:pStyle w:val="Heading3"/>
      </w:pPr>
      <w:bookmarkStart w:id="129" w:name="_Toc90046541"/>
      <w:r w:rsidRPr="00817B9F">
        <w:t>Heart and Vascular</w:t>
      </w:r>
      <w:r w:rsidR="00793B87" w:rsidRPr="00817B9F">
        <w:t xml:space="preserve"> Services</w:t>
      </w:r>
      <w:bookmarkEnd w:id="129"/>
    </w:p>
    <w:p w14:paraId="4162AD33" w14:textId="062506C2" w:rsidR="00AC68BA" w:rsidRPr="00817B9F" w:rsidRDefault="00F62202" w:rsidP="00AC68BA">
      <w:pPr>
        <w:pStyle w:val="NumberedParagraphs"/>
      </w:pPr>
      <w:r w:rsidRPr="00817B9F">
        <w:t>The third panel of Figure MGH2</w:t>
      </w:r>
      <w:r w:rsidR="008D223C" w:rsidRPr="00817B9F">
        <w:t>2</w:t>
      </w:r>
      <w:r w:rsidRPr="00817B9F">
        <w:t xml:space="preserve"> summarizes similar calculations for inpatient heart and vascular services. We predict that commercial payors’ </w:t>
      </w:r>
      <w:r w:rsidR="00683103" w:rsidRPr="00817B9F">
        <w:t>average expenditure</w:t>
      </w:r>
      <w:r w:rsidRPr="00817B9F">
        <w:t xml:space="preserve"> on inpatient heart and vascular services will increase by 62.5 percent for each patient who switches to MGH. Similarly, we predict that Medicare health plans’ and MassHealth managed care plans’ </w:t>
      </w:r>
      <w:r w:rsidR="00683103" w:rsidRPr="00817B9F">
        <w:t xml:space="preserve">average </w:t>
      </w:r>
      <w:r w:rsidRPr="00817B9F">
        <w:t xml:space="preserve">expenditure on inpatient </w:t>
      </w:r>
      <w:r w:rsidR="00406C7B" w:rsidRPr="00817B9F">
        <w:t xml:space="preserve">heart and vascular </w:t>
      </w:r>
      <w:r w:rsidRPr="00817B9F">
        <w:t xml:space="preserve">services will increase by 52.5 percent and 58.5 percent, respectively, for each patient who switches to MGH. Changes in expenditures for patients covered by MassHealth non-managed care and Original Medicare are smaller: </w:t>
      </w:r>
      <w:r w:rsidR="00683103" w:rsidRPr="00817B9F">
        <w:t>On average, w</w:t>
      </w:r>
      <w:r w:rsidRPr="00817B9F">
        <w:t xml:space="preserve">e predict that Original Medicare and MassHealth non-managed care expenditures on inpatient services will increase by 9.5 percent and 2.2 percent, respectively, for each patient who switches to MGH. Overall, across all coverage types, we predict that </w:t>
      </w:r>
      <w:r w:rsidR="00683103" w:rsidRPr="00817B9F">
        <w:t>average</w:t>
      </w:r>
      <w:r w:rsidRPr="00817B9F">
        <w:t xml:space="preserve"> expenditure on inpatient </w:t>
      </w:r>
      <w:r w:rsidR="00972840" w:rsidRPr="00817B9F">
        <w:t>heart and vascular</w:t>
      </w:r>
      <w:r w:rsidRPr="00817B9F">
        <w:t xml:space="preserve"> services will increase by </w:t>
      </w:r>
      <w:r w:rsidR="00972840" w:rsidRPr="00817B9F">
        <w:t>19.4</w:t>
      </w:r>
      <w:r w:rsidRPr="00817B9F">
        <w:t xml:space="preserve"> percent for each patient who switches to MGH. </w:t>
      </w:r>
      <w:r w:rsidR="00C44648" w:rsidRPr="00817B9F">
        <w:t>Including</w:t>
      </w:r>
      <w:r w:rsidRPr="00817B9F">
        <w:t xml:space="preserve"> </w:t>
      </w:r>
      <w:r w:rsidRPr="00817B9F">
        <w:lastRenderedPageBreak/>
        <w:t xml:space="preserve">patients who </w:t>
      </w:r>
      <w:r w:rsidR="001B0316" w:rsidRPr="00817B9F">
        <w:t>do</w:t>
      </w:r>
      <w:r w:rsidRPr="00817B9F">
        <w:t xml:space="preserve"> switch to MGH and patients whose choices are unchanged</w:t>
      </w:r>
      <w:r w:rsidR="00C44648" w:rsidRPr="00817B9F">
        <w:t>, average per-person expenditure</w:t>
      </w:r>
      <w:r w:rsidRPr="00817B9F">
        <w:t xml:space="preserve"> on inpatient </w:t>
      </w:r>
      <w:r w:rsidR="00972840" w:rsidRPr="00817B9F">
        <w:t>heart and va</w:t>
      </w:r>
      <w:r w:rsidR="001B478A" w:rsidRPr="00817B9F">
        <w:t>s</w:t>
      </w:r>
      <w:r w:rsidR="00972840" w:rsidRPr="00817B9F">
        <w:t>cular</w:t>
      </w:r>
      <w:r w:rsidRPr="00817B9F">
        <w:t xml:space="preserve"> services would increase by </w:t>
      </w:r>
      <w:r w:rsidR="00972840" w:rsidRPr="00817B9F">
        <w:t>0.35</w:t>
      </w:r>
      <w:r w:rsidRPr="00817B9F">
        <w:t xml:space="preserve"> percent.</w:t>
      </w:r>
    </w:p>
    <w:p w14:paraId="624CFF24" w14:textId="52551A9A" w:rsidR="00793B87" w:rsidRPr="00817B9F" w:rsidRDefault="00793B87" w:rsidP="00793B87">
      <w:pPr>
        <w:pStyle w:val="Heading2"/>
        <w:rPr>
          <w:rFonts w:cs="Times New Roman"/>
        </w:rPr>
      </w:pPr>
      <w:bookmarkStart w:id="130" w:name="_Toc90046542"/>
      <w:r w:rsidRPr="00817B9F">
        <w:rPr>
          <w:rFonts w:cs="Times New Roman"/>
        </w:rPr>
        <w:t>Outpatient Services</w:t>
      </w:r>
      <w:bookmarkEnd w:id="130"/>
    </w:p>
    <w:p w14:paraId="55FAD288" w14:textId="441D10B6" w:rsidR="00AA05BB" w:rsidRPr="00817B9F" w:rsidRDefault="00F9473F" w:rsidP="00AA05BB">
      <w:pPr>
        <w:pStyle w:val="NumberedParagraphs"/>
      </w:pPr>
      <w:r w:rsidRPr="00817B9F">
        <w:t>Similar to our approach for inpatient services, f</w:t>
      </w:r>
      <w:r w:rsidR="00F313A3" w:rsidRPr="00817B9F">
        <w:t>or outpatient services we forecast changes in health care expenditures associated with the proposed project using (i) the simulations we describe</w:t>
      </w:r>
      <w:r w:rsidR="00E37EC6" w:rsidRPr="00817B9F">
        <w:t>d</w:t>
      </w:r>
      <w:r w:rsidR="00F313A3" w:rsidRPr="00817B9F">
        <w:t xml:space="preserve"> in Section </w:t>
      </w:r>
      <w:r w:rsidR="004227D6" w:rsidRPr="00817B9F">
        <w:fldChar w:fldCharType="begin"/>
      </w:r>
      <w:r w:rsidR="004227D6" w:rsidRPr="00817B9F">
        <w:instrText xml:space="preserve"> REF _Ref88994621 \w \h </w:instrText>
      </w:r>
      <w:r w:rsidR="00FD09F0" w:rsidRPr="00817B9F">
        <w:instrText xml:space="preserve"> \* MERGEFORMAT </w:instrText>
      </w:r>
      <w:r w:rsidR="004227D6" w:rsidRPr="00817B9F">
        <w:fldChar w:fldCharType="separate"/>
      </w:r>
      <w:r w:rsidR="002B78C3">
        <w:t>VI</w:t>
      </w:r>
      <w:r w:rsidR="004227D6" w:rsidRPr="00817B9F">
        <w:fldChar w:fldCharType="end"/>
      </w:r>
      <w:r w:rsidR="004227D6" w:rsidRPr="00817B9F">
        <w:t>.</w:t>
      </w:r>
      <w:r w:rsidR="004227D6" w:rsidRPr="00817B9F">
        <w:fldChar w:fldCharType="begin"/>
      </w:r>
      <w:r w:rsidR="004227D6" w:rsidRPr="00817B9F">
        <w:instrText xml:space="preserve"> REF _Ref88994623 \w \h </w:instrText>
      </w:r>
      <w:r w:rsidR="00FD09F0" w:rsidRPr="00817B9F">
        <w:instrText xml:space="preserve"> \* MERGEFORMAT </w:instrText>
      </w:r>
      <w:r w:rsidR="004227D6" w:rsidRPr="00817B9F">
        <w:fldChar w:fldCharType="separate"/>
      </w:r>
      <w:r w:rsidR="002B78C3">
        <w:t>B</w:t>
      </w:r>
      <w:r w:rsidR="004227D6" w:rsidRPr="00817B9F">
        <w:fldChar w:fldCharType="end"/>
      </w:r>
      <w:r w:rsidR="004227D6" w:rsidRPr="00817B9F">
        <w:t xml:space="preserve"> </w:t>
      </w:r>
      <w:r w:rsidR="00F313A3" w:rsidRPr="00817B9F">
        <w:t xml:space="preserve">that forecast utilization </w:t>
      </w:r>
      <w:r w:rsidR="004A2A77" w:rsidRPr="00817B9F">
        <w:t>of outpatient health care services</w:t>
      </w:r>
      <w:r w:rsidR="00F313A3" w:rsidRPr="00817B9F">
        <w:t xml:space="preserve"> after the proposed project, and (ii) </w:t>
      </w:r>
      <w:r w:rsidR="004A2A77" w:rsidRPr="00817B9F">
        <w:t xml:space="preserve">estimates of </w:t>
      </w:r>
      <w:r w:rsidR="00F313A3" w:rsidRPr="00817B9F">
        <w:t xml:space="preserve">the </w:t>
      </w:r>
      <w:r w:rsidR="004A2A77" w:rsidRPr="00817B9F">
        <w:t>relative prices of outpatient health care providers</w:t>
      </w:r>
      <w:r w:rsidR="00704E7A" w:rsidRPr="00817B9F">
        <w:t>—which are based on, among other things, the prices we observe in the APCD—</w:t>
      </w:r>
      <w:r w:rsidR="004A2A77" w:rsidRPr="00817B9F">
        <w:t>that</w:t>
      </w:r>
      <w:r w:rsidR="00F313A3" w:rsidRPr="00817B9F">
        <w:t xml:space="preserve"> we </w:t>
      </w:r>
      <w:r w:rsidR="004A2A77" w:rsidRPr="00817B9F">
        <w:t>discussed</w:t>
      </w:r>
      <w:r w:rsidR="00F313A3" w:rsidRPr="00817B9F">
        <w:t xml:space="preserve"> in Section </w:t>
      </w:r>
      <w:r w:rsidR="00F313A3" w:rsidRPr="00817B9F">
        <w:fldChar w:fldCharType="begin"/>
      </w:r>
      <w:r w:rsidR="00F313A3" w:rsidRPr="00817B9F">
        <w:instrText xml:space="preserve"> REF _Ref88655817 \w \h </w:instrText>
      </w:r>
      <w:r w:rsidR="00FD09F0" w:rsidRPr="00817B9F">
        <w:instrText xml:space="preserve"> \* MERGEFORMAT </w:instrText>
      </w:r>
      <w:r w:rsidR="00F313A3" w:rsidRPr="00817B9F">
        <w:fldChar w:fldCharType="separate"/>
      </w:r>
      <w:r w:rsidR="002B78C3">
        <w:t>III</w:t>
      </w:r>
      <w:r w:rsidR="00F313A3" w:rsidRPr="00817B9F">
        <w:fldChar w:fldCharType="end"/>
      </w:r>
      <w:r w:rsidR="00F313A3" w:rsidRPr="00817B9F">
        <w:t>.</w:t>
      </w:r>
      <w:r w:rsidR="004A2A77" w:rsidRPr="00817B9F">
        <w:fldChar w:fldCharType="begin"/>
      </w:r>
      <w:r w:rsidR="004A2A77" w:rsidRPr="00817B9F">
        <w:instrText xml:space="preserve"> REF _Ref88647445 \w \h </w:instrText>
      </w:r>
      <w:r w:rsidR="00FD09F0" w:rsidRPr="00817B9F">
        <w:instrText xml:space="preserve"> \* MERGEFORMAT </w:instrText>
      </w:r>
      <w:r w:rsidR="004A2A77" w:rsidRPr="00817B9F">
        <w:fldChar w:fldCharType="separate"/>
      </w:r>
      <w:r w:rsidR="002B78C3">
        <w:t>C</w:t>
      </w:r>
      <w:r w:rsidR="004A2A77" w:rsidRPr="00817B9F">
        <w:fldChar w:fldCharType="end"/>
      </w:r>
      <w:r w:rsidR="00F313A3" w:rsidRPr="00817B9F">
        <w:t xml:space="preserve">. </w:t>
      </w:r>
      <w:r w:rsidR="00E37EC6" w:rsidRPr="00817B9F">
        <w:t>For</w:t>
      </w:r>
      <w:r w:rsidR="00D267A8" w:rsidRPr="00817B9F">
        <w:t xml:space="preserve"> example</w:t>
      </w:r>
      <w:r w:rsidR="00F313A3" w:rsidRPr="00817B9F">
        <w:t>, the simulations summarized in Figure MGH1</w:t>
      </w:r>
      <w:r w:rsidR="006670BA" w:rsidRPr="00817B9F">
        <w:t>8</w:t>
      </w:r>
      <w:r w:rsidR="00F313A3" w:rsidRPr="00817B9F">
        <w:t xml:space="preserve"> predict which patients would switch to receiv</w:t>
      </w:r>
      <w:r w:rsidR="0009247E" w:rsidRPr="00817B9F">
        <w:t>ing</w:t>
      </w:r>
      <w:r w:rsidR="00F313A3" w:rsidRPr="00817B9F">
        <w:t xml:space="preserve"> </w:t>
      </w:r>
      <w:r w:rsidR="00D267A8" w:rsidRPr="00817B9F">
        <w:t>outpatient MR scans</w:t>
      </w:r>
      <w:r w:rsidR="00F313A3" w:rsidRPr="00817B9F">
        <w:t xml:space="preserve"> at MGH after the proposed project. For each patient who would switch to MGH, the </w:t>
      </w:r>
      <w:r w:rsidR="004261DB" w:rsidRPr="00817B9F">
        <w:t>APCD and Medicare Claims data</w:t>
      </w:r>
      <w:r w:rsidR="00F313A3" w:rsidRPr="00817B9F">
        <w:t xml:space="preserve"> identify the source of the patient’s health insurance coverage. We then use </w:t>
      </w:r>
      <w:r w:rsidR="004261DB" w:rsidRPr="00817B9F">
        <w:t>our relative price measures</w:t>
      </w:r>
      <w:r w:rsidR="00F313A3" w:rsidRPr="00817B9F">
        <w:t xml:space="preserve"> to compare the prices—which are specific to the patient’s health insurance coverage—for the </w:t>
      </w:r>
      <w:r w:rsidR="004261DB" w:rsidRPr="00817B9F">
        <w:t>outpatient MR scan</w:t>
      </w:r>
      <w:r w:rsidR="00F313A3" w:rsidRPr="00817B9F">
        <w:t xml:space="preserve"> at the </w:t>
      </w:r>
      <w:r w:rsidR="004261DB" w:rsidRPr="00817B9F">
        <w:t>facility</w:t>
      </w:r>
      <w:r w:rsidR="00F313A3" w:rsidRPr="00817B9F">
        <w:t xml:space="preserve"> the patient is switching from to the prices for the same </w:t>
      </w:r>
      <w:r w:rsidR="004261DB" w:rsidRPr="00817B9F">
        <w:t>outpatient MR scan</w:t>
      </w:r>
      <w:r w:rsidR="00F313A3" w:rsidRPr="00817B9F">
        <w:t xml:space="preserve"> at MGH. If the price for the service is higher at MGH than at the </w:t>
      </w:r>
      <w:r w:rsidR="004261DB" w:rsidRPr="00817B9F">
        <w:t>facility</w:t>
      </w:r>
      <w:r w:rsidR="00F313A3" w:rsidRPr="00817B9F">
        <w:t xml:space="preserve"> the patient is switching from, health care expenditures will increase. If the price for the service at MGH is lower than at the </w:t>
      </w:r>
      <w:r w:rsidR="004261DB" w:rsidRPr="00817B9F">
        <w:t>facility</w:t>
      </w:r>
      <w:r w:rsidR="00F313A3" w:rsidRPr="00817B9F">
        <w:t xml:space="preserve"> the patient is switching from, health care expenditures will decrease. If a patient’s choice of </w:t>
      </w:r>
      <w:r w:rsidR="004261DB" w:rsidRPr="00817B9F">
        <w:t>outpatient diagnostic imaging facility</w:t>
      </w:r>
      <w:r w:rsidR="00F313A3" w:rsidRPr="00817B9F">
        <w:t xml:space="preserve"> is unaffected (</w:t>
      </w:r>
      <w:r w:rsidR="00F313A3" w:rsidRPr="00817B9F">
        <w:rPr>
          <w:i/>
        </w:rPr>
        <w:t>i.e.</w:t>
      </w:r>
      <w:r w:rsidR="00F313A3" w:rsidRPr="00817B9F">
        <w:t>, the patient continues to receive care at MGH or one of its competitors), there is no impact on health care expenditures.</w:t>
      </w:r>
    </w:p>
    <w:p w14:paraId="66902DA1" w14:textId="26D05330" w:rsidR="00035375" w:rsidRPr="00817B9F" w:rsidRDefault="00912AC4" w:rsidP="00035375">
      <w:pPr>
        <w:pStyle w:val="NumberedParagraphs"/>
      </w:pPr>
      <w:r w:rsidRPr="00817B9F">
        <w:t>F</w:t>
      </w:r>
      <w:r w:rsidR="00A56FF3" w:rsidRPr="00817B9F">
        <w:t>or example,</w:t>
      </w:r>
      <w:r w:rsidR="00162262" w:rsidRPr="00817B9F">
        <w:t xml:space="preserve"> the simulations summarized</w:t>
      </w:r>
      <w:r w:rsidR="00A56FF3" w:rsidRPr="00817B9F">
        <w:t xml:space="preserve"> i</w:t>
      </w:r>
      <w:r w:rsidR="00035375" w:rsidRPr="00817B9F">
        <w:t>n Figure MGH1</w:t>
      </w:r>
      <w:r w:rsidR="006670BA" w:rsidRPr="00817B9F">
        <w:t>8</w:t>
      </w:r>
      <w:r w:rsidR="00162262" w:rsidRPr="00817B9F">
        <w:t xml:space="preserve"> show that MGH’s share of outpatient MR scans in its service area is predicted to increase by </w:t>
      </w:r>
      <w:r w:rsidR="00035375" w:rsidRPr="00817B9F">
        <w:t xml:space="preserve">2.8 percentage points </w:t>
      </w:r>
      <w:r w:rsidR="00DD1D13" w:rsidRPr="00817B9F">
        <w:t xml:space="preserve">as a result of the proposed project, partially at the expense of Beth Israel Lahey Health, whose share in MGH’s service area decreases </w:t>
      </w:r>
      <w:r w:rsidR="00B21317" w:rsidRPr="00817B9F">
        <w:t xml:space="preserve">by </w:t>
      </w:r>
      <w:r w:rsidR="00035375" w:rsidRPr="00817B9F">
        <w:t>0</w:t>
      </w:r>
      <w:r w:rsidR="00B21317" w:rsidRPr="00817B9F">
        <w:t>.</w:t>
      </w:r>
      <w:r w:rsidR="007F52BE" w:rsidRPr="00817B9F">
        <w:t>6</w:t>
      </w:r>
      <w:r w:rsidR="00035375" w:rsidRPr="00817B9F">
        <w:t xml:space="preserve"> percentage points. While not reported in Figure MGH1</w:t>
      </w:r>
      <w:r w:rsidR="006670BA" w:rsidRPr="00817B9F">
        <w:t>8</w:t>
      </w:r>
      <w:r w:rsidR="00035375" w:rsidRPr="00817B9F">
        <w:t xml:space="preserve">, the APCD </w:t>
      </w:r>
      <w:r w:rsidR="00B21317" w:rsidRPr="00817B9F">
        <w:t xml:space="preserve">and Medicare Claims </w:t>
      </w:r>
      <w:r w:rsidR="00035375" w:rsidRPr="00817B9F">
        <w:t xml:space="preserve">data we </w:t>
      </w:r>
      <w:r w:rsidR="00B21317" w:rsidRPr="00817B9F">
        <w:t>use for these simulations</w:t>
      </w:r>
      <w:r w:rsidR="00035375" w:rsidRPr="00817B9F">
        <w:t xml:space="preserve"> contain information on the </w:t>
      </w:r>
      <w:r w:rsidR="00B21317" w:rsidRPr="00817B9F">
        <w:t xml:space="preserve">source of </w:t>
      </w:r>
      <w:r w:rsidR="00035375" w:rsidRPr="00817B9F">
        <w:t xml:space="preserve">health </w:t>
      </w:r>
      <w:r w:rsidR="00B21317" w:rsidRPr="00817B9F">
        <w:t>insurance coverage</w:t>
      </w:r>
      <w:r w:rsidR="00035375" w:rsidRPr="00817B9F">
        <w:t xml:space="preserve"> for each patient predicted to switch from Beth Israel Lahey Health to MGH. </w:t>
      </w:r>
      <w:r w:rsidR="00C87F09" w:rsidRPr="00817B9F">
        <w:t>Among</w:t>
      </w:r>
      <w:r w:rsidR="00035375" w:rsidRPr="00817B9F">
        <w:t xml:space="preserve"> patients switching from Beth Israel Lahey to MGH</w:t>
      </w:r>
      <w:r w:rsidR="00C87F09" w:rsidRPr="00817B9F">
        <w:t>, 31 percent</w:t>
      </w:r>
      <w:r w:rsidR="00035375" w:rsidRPr="00817B9F">
        <w:t xml:space="preserve"> </w:t>
      </w:r>
      <w:r w:rsidR="009C46A2" w:rsidRPr="00817B9F">
        <w:t>have</w:t>
      </w:r>
      <w:r w:rsidR="00035375" w:rsidRPr="00817B9F">
        <w:t xml:space="preserve"> Original Medicare or MassHealth non-managed care</w:t>
      </w:r>
      <w:r w:rsidR="009C46A2" w:rsidRPr="00817B9F">
        <w:t xml:space="preserve"> cover</w:t>
      </w:r>
      <w:r w:rsidR="0012642C" w:rsidRPr="00817B9F">
        <w:t>age</w:t>
      </w:r>
      <w:r w:rsidR="00035375" w:rsidRPr="00817B9F">
        <w:t>.</w:t>
      </w:r>
      <w:bookmarkStart w:id="131" w:name="_Hlk90031102"/>
      <w:r w:rsidR="00035375" w:rsidRPr="00817B9F">
        <w:t xml:space="preserve"> As </w:t>
      </w:r>
      <w:r w:rsidR="009C46A2" w:rsidRPr="00817B9F">
        <w:t xml:space="preserve">we </w:t>
      </w:r>
      <w:r w:rsidR="00035375" w:rsidRPr="00817B9F">
        <w:t>explained in Section</w:t>
      </w:r>
      <w:r w:rsidR="0057748D" w:rsidRPr="00817B9F">
        <w:t xml:space="preserve">s </w:t>
      </w:r>
      <w:r w:rsidR="0057748D" w:rsidRPr="00817B9F">
        <w:fldChar w:fldCharType="begin"/>
      </w:r>
      <w:r w:rsidR="0057748D" w:rsidRPr="00817B9F">
        <w:instrText xml:space="preserve"> REF _Ref88655817 \w \h </w:instrText>
      </w:r>
      <w:r w:rsidR="00FD09F0" w:rsidRPr="00817B9F">
        <w:instrText xml:space="preserve"> \* MERGEFORMAT </w:instrText>
      </w:r>
      <w:r w:rsidR="0057748D" w:rsidRPr="00817B9F">
        <w:fldChar w:fldCharType="separate"/>
      </w:r>
      <w:r w:rsidR="002B78C3">
        <w:t>III</w:t>
      </w:r>
      <w:r w:rsidR="0057748D" w:rsidRPr="00817B9F">
        <w:fldChar w:fldCharType="end"/>
      </w:r>
      <w:r w:rsidR="0057748D" w:rsidRPr="00817B9F">
        <w:t>.</w:t>
      </w:r>
      <w:r w:rsidR="0057748D" w:rsidRPr="00817B9F">
        <w:fldChar w:fldCharType="begin"/>
      </w:r>
      <w:r w:rsidR="0057748D" w:rsidRPr="00817B9F">
        <w:instrText xml:space="preserve"> REF _Ref88595129 \w \h </w:instrText>
      </w:r>
      <w:r w:rsidR="00FD09F0" w:rsidRPr="00817B9F">
        <w:instrText xml:space="preserve"> \* MERGEFORMAT </w:instrText>
      </w:r>
      <w:r w:rsidR="0057748D" w:rsidRPr="00817B9F">
        <w:fldChar w:fldCharType="separate"/>
      </w:r>
      <w:r w:rsidR="002B78C3">
        <w:t>C</w:t>
      </w:r>
      <w:r w:rsidR="0057748D" w:rsidRPr="00817B9F">
        <w:fldChar w:fldCharType="end"/>
      </w:r>
      <w:r w:rsidR="0057748D" w:rsidRPr="00817B9F">
        <w:t>.</w:t>
      </w:r>
      <w:r w:rsidR="0057748D" w:rsidRPr="00817B9F">
        <w:fldChar w:fldCharType="begin"/>
      </w:r>
      <w:r w:rsidR="0057748D" w:rsidRPr="00817B9F">
        <w:instrText xml:space="preserve"> REF _Ref88595167 \w \h </w:instrText>
      </w:r>
      <w:r w:rsidR="005B2DEC" w:rsidRPr="00817B9F">
        <w:instrText xml:space="preserve"> \* MERGEFORMAT </w:instrText>
      </w:r>
      <w:r w:rsidR="0057748D" w:rsidRPr="00817B9F">
        <w:fldChar w:fldCharType="separate"/>
      </w:r>
      <w:r w:rsidR="002B78C3">
        <w:t>2</w:t>
      </w:r>
      <w:r w:rsidR="0057748D" w:rsidRPr="00817B9F">
        <w:fldChar w:fldCharType="end"/>
      </w:r>
      <w:r w:rsidR="0057748D" w:rsidRPr="00817B9F">
        <w:t xml:space="preserve"> and</w:t>
      </w:r>
      <w:r w:rsidR="00035375" w:rsidRPr="00817B9F">
        <w:t xml:space="preserve"> </w:t>
      </w:r>
      <w:r w:rsidR="009C46A2" w:rsidRPr="00817B9F">
        <w:fldChar w:fldCharType="begin"/>
      </w:r>
      <w:r w:rsidR="009C46A2" w:rsidRPr="00817B9F">
        <w:instrText xml:space="preserve"> REF _Ref88655817 \w \h </w:instrText>
      </w:r>
      <w:r w:rsidR="00F559BE" w:rsidRPr="00817B9F">
        <w:instrText xml:space="preserve"> \* MERGEFORMAT </w:instrText>
      </w:r>
      <w:r w:rsidR="009C46A2" w:rsidRPr="00817B9F">
        <w:fldChar w:fldCharType="separate"/>
      </w:r>
      <w:r w:rsidR="002B78C3">
        <w:t>III</w:t>
      </w:r>
      <w:r w:rsidR="009C46A2" w:rsidRPr="00817B9F">
        <w:fldChar w:fldCharType="end"/>
      </w:r>
      <w:r w:rsidR="009C46A2" w:rsidRPr="00817B9F">
        <w:t>.</w:t>
      </w:r>
      <w:r w:rsidR="00035375" w:rsidRPr="00817B9F">
        <w:fldChar w:fldCharType="begin"/>
      </w:r>
      <w:r w:rsidR="00035375" w:rsidRPr="00817B9F">
        <w:instrText xml:space="preserve"> REF _Ref88595735 \r \h </w:instrText>
      </w:r>
      <w:r w:rsidR="00F559BE" w:rsidRPr="00817B9F">
        <w:instrText xml:space="preserve"> \* MERGEFORMAT </w:instrText>
      </w:r>
      <w:r w:rsidR="00035375" w:rsidRPr="00817B9F">
        <w:fldChar w:fldCharType="separate"/>
      </w:r>
      <w:r w:rsidR="002B78C3">
        <w:t>C</w:t>
      </w:r>
      <w:r w:rsidR="00035375" w:rsidRPr="00817B9F">
        <w:fldChar w:fldCharType="end"/>
      </w:r>
      <w:r w:rsidR="00035375" w:rsidRPr="00817B9F">
        <w:t>.</w:t>
      </w:r>
      <w:r w:rsidR="00035375" w:rsidRPr="00817B9F">
        <w:fldChar w:fldCharType="begin"/>
      </w:r>
      <w:r w:rsidR="00035375" w:rsidRPr="00817B9F">
        <w:instrText xml:space="preserve"> REF _Ref88595740 \r \h </w:instrText>
      </w:r>
      <w:r w:rsidR="00F559BE" w:rsidRPr="00817B9F">
        <w:instrText xml:space="preserve"> \* MERGEFORMAT </w:instrText>
      </w:r>
      <w:r w:rsidR="00035375" w:rsidRPr="00817B9F">
        <w:fldChar w:fldCharType="separate"/>
      </w:r>
      <w:r w:rsidR="002B78C3">
        <w:t>3</w:t>
      </w:r>
      <w:r w:rsidR="00035375" w:rsidRPr="00817B9F">
        <w:fldChar w:fldCharType="end"/>
      </w:r>
      <w:r w:rsidR="00035375" w:rsidRPr="00817B9F">
        <w:t xml:space="preserve">, health care expenditures will not change for patients </w:t>
      </w:r>
      <w:r w:rsidR="00AC58B6" w:rsidRPr="00817B9F">
        <w:t>covered by Original Medicare</w:t>
      </w:r>
      <w:r w:rsidR="00035375" w:rsidRPr="00817B9F">
        <w:t xml:space="preserve"> </w:t>
      </w:r>
      <w:r w:rsidR="00D30C27" w:rsidRPr="00817B9F">
        <w:t>or MassHealth non-managed care</w:t>
      </w:r>
      <w:r w:rsidR="00035375" w:rsidRPr="00817B9F">
        <w:t xml:space="preserve"> who </w:t>
      </w:r>
      <w:r w:rsidR="0012642C" w:rsidRPr="00817B9F">
        <w:t>switch to receiving an</w:t>
      </w:r>
      <w:r w:rsidR="00035375" w:rsidRPr="00817B9F">
        <w:t xml:space="preserve"> outpatient MR scan at MGH instead of a Beth Israel Lahey HOPD</w:t>
      </w:r>
      <w:r w:rsidR="00077CC6" w:rsidRPr="00817B9F">
        <w:t xml:space="preserve">, since the price for </w:t>
      </w:r>
      <w:r w:rsidR="006A05A7" w:rsidRPr="00817B9F">
        <w:t xml:space="preserve">outpatient MR scans should be the same across </w:t>
      </w:r>
      <w:r w:rsidR="006A05A7" w:rsidRPr="00817B9F">
        <w:lastRenderedPageBreak/>
        <w:t>HOPDs located in the same geography</w:t>
      </w:r>
      <w:bookmarkEnd w:id="131"/>
      <w:r w:rsidR="00035375" w:rsidRPr="00817B9F">
        <w:t>.</w:t>
      </w:r>
      <w:r w:rsidR="008B1707" w:rsidRPr="00817B9F">
        <w:rPr>
          <w:rStyle w:val="FootnoteReference"/>
        </w:rPr>
        <w:footnoteReference w:id="204"/>
      </w:r>
      <w:r w:rsidR="00035375" w:rsidRPr="00817B9F">
        <w:t xml:space="preserve"> The remainder of patients switching from Beth Israel Lahey to MGH are covered by commercial</w:t>
      </w:r>
      <w:r w:rsidR="0012642C" w:rsidRPr="00817B9F">
        <w:t xml:space="preserve"> health plans</w:t>
      </w:r>
      <w:r w:rsidR="00035375" w:rsidRPr="00817B9F">
        <w:t>, Medicare</w:t>
      </w:r>
      <w:r w:rsidR="0012642C" w:rsidRPr="00817B9F">
        <w:t xml:space="preserve"> health plans</w:t>
      </w:r>
      <w:r w:rsidR="00035375" w:rsidRPr="00817B9F">
        <w:t>, or MassHealth managed care plans. BCBS-MA</w:t>
      </w:r>
      <w:r w:rsidR="00B11BC8" w:rsidRPr="00817B9F">
        <w:t xml:space="preserve"> commercial plans</w:t>
      </w:r>
      <w:r w:rsidR="00035375" w:rsidRPr="00817B9F">
        <w:t>, for example, cover 15 percent of the patients predicted to switch</w:t>
      </w:r>
      <w:r w:rsidR="00B11BC8" w:rsidRPr="00817B9F">
        <w:t xml:space="preserve"> from Beth Israel Lahey Health to MGB</w:t>
      </w:r>
      <w:r w:rsidR="00035375" w:rsidRPr="00817B9F">
        <w:t xml:space="preserve">. </w:t>
      </w:r>
      <w:r w:rsidR="00B11BC8" w:rsidRPr="00817B9F">
        <w:t>Because</w:t>
      </w:r>
      <w:r w:rsidR="00035375" w:rsidRPr="00817B9F">
        <w:t xml:space="preserve"> we can directly observe in the APCD data </w:t>
      </w:r>
      <w:r w:rsidR="00AC58B6" w:rsidRPr="00817B9F">
        <w:t>the amount that</w:t>
      </w:r>
      <w:r w:rsidR="00035375" w:rsidRPr="00817B9F">
        <w:t xml:space="preserve"> BCBS-MA reimburses </w:t>
      </w:r>
      <w:r w:rsidR="00B11BC8" w:rsidRPr="00817B9F">
        <w:t>MGH</w:t>
      </w:r>
      <w:r w:rsidR="00035375" w:rsidRPr="00817B9F">
        <w:t xml:space="preserve"> and Beth Israel Health for </w:t>
      </w:r>
      <w:r w:rsidR="00B11BC8" w:rsidRPr="00817B9F">
        <w:t xml:space="preserve">the same outpatient </w:t>
      </w:r>
      <w:r w:rsidR="00035375" w:rsidRPr="00817B9F">
        <w:t xml:space="preserve">MR scans, we can predict the change in BCBS-MA expenditures when its </w:t>
      </w:r>
      <w:r w:rsidR="00B11BC8" w:rsidRPr="00817B9F">
        <w:t>members switch to</w:t>
      </w:r>
      <w:r w:rsidR="00035375" w:rsidRPr="00817B9F">
        <w:t xml:space="preserve"> receiv</w:t>
      </w:r>
      <w:r w:rsidR="00DC243F" w:rsidRPr="00817B9F">
        <w:t>ing</w:t>
      </w:r>
      <w:r w:rsidR="00035375" w:rsidRPr="00817B9F">
        <w:t xml:space="preserve"> </w:t>
      </w:r>
      <w:r w:rsidR="00B11BC8" w:rsidRPr="00817B9F">
        <w:t>an outpatient</w:t>
      </w:r>
      <w:r w:rsidR="00035375" w:rsidRPr="00817B9F">
        <w:t xml:space="preserve"> MR scans at </w:t>
      </w:r>
      <w:r w:rsidR="00B11BC8" w:rsidRPr="00817B9F">
        <w:t>MGH</w:t>
      </w:r>
      <w:r w:rsidR="00035375" w:rsidRPr="00817B9F">
        <w:t xml:space="preserve"> instead of Beth Israel Lahey</w:t>
      </w:r>
      <w:r w:rsidR="00B11BC8" w:rsidRPr="00817B9F">
        <w:t xml:space="preserve"> Health</w:t>
      </w:r>
      <w:r w:rsidR="00035375" w:rsidRPr="00817B9F">
        <w:t xml:space="preserve">. We perform this exercise </w:t>
      </w:r>
      <w:r w:rsidR="009E6468" w:rsidRPr="00817B9F">
        <w:t>separately</w:t>
      </w:r>
      <w:r w:rsidR="00035375" w:rsidRPr="00817B9F">
        <w:t xml:space="preserve"> for each outpatient facility that MGH is predicted to draw patients from and </w:t>
      </w:r>
      <w:r w:rsidR="009E6468" w:rsidRPr="00817B9F">
        <w:t xml:space="preserve">for </w:t>
      </w:r>
      <w:r w:rsidR="00035375" w:rsidRPr="00817B9F">
        <w:t xml:space="preserve">each </w:t>
      </w:r>
      <w:r w:rsidR="009E6468" w:rsidRPr="00817B9F">
        <w:t>third-party</w:t>
      </w:r>
      <w:r w:rsidR="00035375" w:rsidRPr="00817B9F">
        <w:t xml:space="preserve"> payor that covers the patients predicted to switch to MGH from these facilities.</w:t>
      </w:r>
      <w:r w:rsidR="00035375" w:rsidRPr="00817B9F">
        <w:rPr>
          <w:rStyle w:val="FootnoteReference"/>
        </w:rPr>
        <w:footnoteReference w:id="205"/>
      </w:r>
      <w:r w:rsidR="00035375" w:rsidRPr="00817B9F">
        <w:t xml:space="preserve"> Aggregating these calculations across facilities </w:t>
      </w:r>
      <w:r w:rsidR="009E6468" w:rsidRPr="00817B9F">
        <w:t>and payors for each patient predicted to switch to MGH</w:t>
      </w:r>
      <w:r w:rsidR="00035375" w:rsidRPr="00817B9F">
        <w:t xml:space="preserve"> </w:t>
      </w:r>
      <w:r w:rsidR="009E6468" w:rsidRPr="00817B9F">
        <w:t>yields an estimate of how</w:t>
      </w:r>
      <w:r w:rsidR="00035375" w:rsidRPr="00817B9F">
        <w:t xml:space="preserve"> health care expenditures will change following the proposed project.</w:t>
      </w:r>
      <w:r w:rsidR="00035375" w:rsidRPr="00817B9F">
        <w:rPr>
          <w:rStyle w:val="FootnoteReference"/>
        </w:rPr>
        <w:footnoteReference w:id="206"/>
      </w:r>
    </w:p>
    <w:p w14:paraId="322FB090" w14:textId="52E2F197" w:rsidR="0065763B" w:rsidRPr="00817B9F" w:rsidRDefault="0065763B" w:rsidP="009C46A2">
      <w:pPr>
        <w:pStyle w:val="NumberedParagraphs"/>
      </w:pPr>
      <w:r w:rsidRPr="00817B9F">
        <w:t xml:space="preserve">In addition to calculating the effect of the proposed project on changes in expenditures associated with outpatient MR scans, in the following sections we </w:t>
      </w:r>
      <w:r w:rsidR="00523650" w:rsidRPr="00817B9F">
        <w:t>use a similar approach to</w:t>
      </w:r>
      <w:r w:rsidRPr="00817B9F">
        <w:t xml:space="preserve"> calculate </w:t>
      </w:r>
      <w:r w:rsidR="002205E8" w:rsidRPr="00817B9F">
        <w:t xml:space="preserve">the effect of the proposed project on expenditure for outpatient CT scans, outpatient PET/CT scans, outpatient cardiovascular services, and outpatient oncology services. </w:t>
      </w:r>
      <w:r w:rsidR="007B5294" w:rsidRPr="00817B9F">
        <w:t>We provide</w:t>
      </w:r>
      <w:r w:rsidR="00710475" w:rsidRPr="00817B9F">
        <w:t xml:space="preserve"> </w:t>
      </w:r>
      <w:r w:rsidR="00C1517B" w:rsidRPr="00817B9F">
        <w:lastRenderedPageBreak/>
        <w:t>both</w:t>
      </w:r>
      <w:r w:rsidR="004A17B0" w:rsidRPr="00817B9F">
        <w:t xml:space="preserve"> </w:t>
      </w:r>
      <w:r w:rsidR="0001698A" w:rsidRPr="00817B9F">
        <w:t xml:space="preserve">the </w:t>
      </w:r>
      <w:r w:rsidR="001D5F9F" w:rsidRPr="00817B9F">
        <w:t xml:space="preserve">predicted expenditure effect for patients who switch providers and </w:t>
      </w:r>
      <w:r w:rsidR="009E3358" w:rsidRPr="00817B9F">
        <w:t>the predicted t</w:t>
      </w:r>
      <w:r w:rsidR="00B20AD7" w:rsidRPr="00817B9F">
        <w:t>otal</w:t>
      </w:r>
      <w:r w:rsidR="00760178" w:rsidRPr="00817B9F">
        <w:t xml:space="preserve"> percentage effect on expenditures for patients</w:t>
      </w:r>
      <w:r w:rsidR="003F7299" w:rsidRPr="00817B9F">
        <w:t>—regardless of whether they switch to MGH—</w:t>
      </w:r>
      <w:r w:rsidR="00760178" w:rsidRPr="00817B9F">
        <w:t xml:space="preserve"> </w:t>
      </w:r>
      <w:r w:rsidR="00011717" w:rsidRPr="00817B9F">
        <w:t xml:space="preserve">who </w:t>
      </w:r>
      <w:r w:rsidR="00760178" w:rsidRPr="00817B9F">
        <w:t>resid</w:t>
      </w:r>
      <w:r w:rsidR="00011717" w:rsidRPr="00817B9F">
        <w:t xml:space="preserve">e </w:t>
      </w:r>
      <w:r w:rsidR="00760178" w:rsidRPr="00817B9F">
        <w:t>in Massachusetts and recei</w:t>
      </w:r>
      <w:r w:rsidR="00011717" w:rsidRPr="00817B9F">
        <w:t>ve</w:t>
      </w:r>
      <w:r w:rsidR="003F7299" w:rsidRPr="00817B9F">
        <w:t xml:space="preserve"> these </w:t>
      </w:r>
      <w:r w:rsidR="00760178" w:rsidRPr="00817B9F">
        <w:t xml:space="preserve">outpatient </w:t>
      </w:r>
      <w:r w:rsidR="003F7299" w:rsidRPr="00817B9F">
        <w:t>services</w:t>
      </w:r>
      <w:r w:rsidR="00760178" w:rsidRPr="00817B9F">
        <w:t xml:space="preserve"> from facilities in Suffolk, Essex, Middlesex, Norfolk, Bristol, Plymouth, and Worcester</w:t>
      </w:r>
      <w:r w:rsidR="001A1061" w:rsidRPr="00817B9F">
        <w:t xml:space="preserve"> Counties</w:t>
      </w:r>
      <w:r w:rsidR="00760178" w:rsidRPr="00817B9F">
        <w:t>.</w:t>
      </w:r>
    </w:p>
    <w:p w14:paraId="6D11AE83" w14:textId="77777777" w:rsidR="00793B87" w:rsidRPr="00817B9F" w:rsidRDefault="00793B87" w:rsidP="009E28B0">
      <w:pPr>
        <w:pStyle w:val="Heading3"/>
        <w:numPr>
          <w:ilvl w:val="0"/>
          <w:numId w:val="40"/>
        </w:numPr>
      </w:pPr>
      <w:bookmarkStart w:id="132" w:name="_Toc90046543"/>
      <w:r w:rsidRPr="00817B9F">
        <w:t>Diagnostic Imaging Services</w:t>
      </w:r>
      <w:bookmarkEnd w:id="132"/>
    </w:p>
    <w:p w14:paraId="50944E90" w14:textId="59884813" w:rsidR="00270DFC" w:rsidRPr="00817B9F" w:rsidRDefault="000262B1" w:rsidP="000262B1">
      <w:pPr>
        <w:pStyle w:val="NumberedParagraphs"/>
      </w:pPr>
      <w:bookmarkStart w:id="133" w:name="_Hlk88856398"/>
      <w:r w:rsidRPr="00817B9F">
        <w:t xml:space="preserve">Figure </w:t>
      </w:r>
      <w:r w:rsidR="00C565BF" w:rsidRPr="00817B9F">
        <w:t>MGH</w:t>
      </w:r>
      <w:r w:rsidR="00796DE1" w:rsidRPr="00817B9F">
        <w:t>23</w:t>
      </w:r>
      <w:r w:rsidRPr="00817B9F">
        <w:t xml:space="preserve"> </w:t>
      </w:r>
      <w:r w:rsidR="006D0FC6" w:rsidRPr="00817B9F">
        <w:t>summarizes the change</w:t>
      </w:r>
      <w:r w:rsidR="00270DFC" w:rsidRPr="00817B9F">
        <w:t>s</w:t>
      </w:r>
      <w:r w:rsidR="006D0FC6" w:rsidRPr="00817B9F">
        <w:t xml:space="preserve"> in health care expenditures associated with the expansion of outpatient CT </w:t>
      </w:r>
      <w:r w:rsidR="000768B4" w:rsidRPr="00817B9F">
        <w:t>imaging capacity</w:t>
      </w:r>
      <w:r w:rsidR="006D0FC6" w:rsidRPr="00817B9F">
        <w:t xml:space="preserve"> at MGH. </w:t>
      </w:r>
    </w:p>
    <w:p w14:paraId="1E305FEC" w14:textId="777C7464" w:rsidR="00270DFC" w:rsidRPr="00817B9F" w:rsidRDefault="006D0FC6" w:rsidP="005D3EC9">
      <w:pPr>
        <w:pStyle w:val="BulletParagraph"/>
        <w:rPr>
          <w:rFonts w:cs="Times New Roman"/>
        </w:rPr>
      </w:pPr>
      <w:bookmarkStart w:id="134" w:name="_Hlk88928900"/>
      <w:r w:rsidRPr="00817B9F">
        <w:rPr>
          <w:rFonts w:cs="Times New Roman"/>
        </w:rPr>
        <w:t>We predict that commercial payors’ expenditures on these services will increase by 24.4 percent for each patient who switches to MGH.</w:t>
      </w:r>
      <w:r w:rsidR="00270DFC" w:rsidRPr="00817B9F">
        <w:rPr>
          <w:rFonts w:cs="Times New Roman"/>
        </w:rPr>
        <w:t xml:space="preserve"> Commercial patients comprise 25.4 percent of the patients predicted to switch to MGH.</w:t>
      </w:r>
    </w:p>
    <w:bookmarkEnd w:id="134"/>
    <w:p w14:paraId="60B2BF15" w14:textId="5734B400" w:rsidR="00270DFC" w:rsidRPr="00817B9F" w:rsidRDefault="006D0FC6" w:rsidP="005D3EC9">
      <w:pPr>
        <w:pStyle w:val="BulletParagraph"/>
        <w:rPr>
          <w:rFonts w:cs="Times New Roman"/>
        </w:rPr>
      </w:pPr>
      <w:r w:rsidRPr="00817B9F">
        <w:rPr>
          <w:rFonts w:cs="Times New Roman"/>
        </w:rPr>
        <w:t>We predict that</w:t>
      </w:r>
      <w:r w:rsidR="00270DFC" w:rsidRPr="00817B9F">
        <w:rPr>
          <w:rFonts w:cs="Times New Roman"/>
        </w:rPr>
        <w:t xml:space="preserve"> expenditures for </w:t>
      </w:r>
      <w:r w:rsidR="00157F06" w:rsidRPr="00817B9F">
        <w:rPr>
          <w:rFonts w:cs="Times New Roman"/>
        </w:rPr>
        <w:t xml:space="preserve">each patient covered by </w:t>
      </w:r>
      <w:r w:rsidR="00270DFC" w:rsidRPr="00817B9F">
        <w:rPr>
          <w:rFonts w:cs="Times New Roman"/>
        </w:rPr>
        <w:t xml:space="preserve">Original Medicare </w:t>
      </w:r>
      <w:r w:rsidR="00157F06" w:rsidRPr="00817B9F">
        <w:rPr>
          <w:rFonts w:cs="Times New Roman"/>
        </w:rPr>
        <w:t>who switches to MGH</w:t>
      </w:r>
      <w:r w:rsidRPr="00817B9F">
        <w:rPr>
          <w:rFonts w:cs="Times New Roman"/>
        </w:rPr>
        <w:t xml:space="preserve"> </w:t>
      </w:r>
      <w:r w:rsidR="00270DFC" w:rsidRPr="00817B9F">
        <w:rPr>
          <w:rFonts w:cs="Times New Roman"/>
        </w:rPr>
        <w:t xml:space="preserve">will increase by 5.5 percent and </w:t>
      </w:r>
      <w:r w:rsidR="00157F06" w:rsidRPr="00817B9F">
        <w:rPr>
          <w:rFonts w:cs="Times New Roman"/>
        </w:rPr>
        <w:t xml:space="preserve">expenditures for each patient covered by a </w:t>
      </w:r>
      <w:r w:rsidRPr="00817B9F">
        <w:rPr>
          <w:rFonts w:cs="Times New Roman"/>
        </w:rPr>
        <w:t>Medicare health plan</w:t>
      </w:r>
      <w:r w:rsidR="00157F06" w:rsidRPr="00817B9F">
        <w:rPr>
          <w:rFonts w:cs="Times New Roman"/>
        </w:rPr>
        <w:t xml:space="preserve"> who switches </w:t>
      </w:r>
      <w:r w:rsidR="00270DFC" w:rsidRPr="00817B9F">
        <w:rPr>
          <w:rFonts w:cs="Times New Roman"/>
        </w:rPr>
        <w:t xml:space="preserve">will </w:t>
      </w:r>
      <w:r w:rsidRPr="00817B9F">
        <w:rPr>
          <w:rFonts w:cs="Times New Roman"/>
        </w:rPr>
        <w:t xml:space="preserve">decrease by </w:t>
      </w:r>
      <w:r w:rsidR="00270DFC" w:rsidRPr="00817B9F">
        <w:rPr>
          <w:rFonts w:cs="Times New Roman"/>
        </w:rPr>
        <w:t>5.2 percent</w:t>
      </w:r>
      <w:r w:rsidRPr="00817B9F">
        <w:rPr>
          <w:rFonts w:cs="Times New Roman"/>
        </w:rPr>
        <w:t xml:space="preserve">. </w:t>
      </w:r>
      <w:r w:rsidR="005D5C32" w:rsidRPr="00817B9F">
        <w:rPr>
          <w:rFonts w:cs="Times New Roman"/>
        </w:rPr>
        <w:t>Among patient</w:t>
      </w:r>
      <w:r w:rsidR="00FC3DA9" w:rsidRPr="00817B9F">
        <w:rPr>
          <w:rFonts w:cs="Times New Roman"/>
        </w:rPr>
        <w:t>s</w:t>
      </w:r>
      <w:r w:rsidR="005D5C32" w:rsidRPr="00817B9F">
        <w:rPr>
          <w:rFonts w:cs="Times New Roman"/>
        </w:rPr>
        <w:t xml:space="preserve"> who are predicted to switch to MGH, </w:t>
      </w:r>
      <w:r w:rsidR="00270DFC" w:rsidRPr="00817B9F">
        <w:rPr>
          <w:rFonts w:cs="Times New Roman"/>
        </w:rPr>
        <w:t>41.2 percent</w:t>
      </w:r>
      <w:r w:rsidR="005D5C32" w:rsidRPr="00817B9F">
        <w:rPr>
          <w:rFonts w:cs="Times New Roman"/>
        </w:rPr>
        <w:t xml:space="preserve"> are covered by Original Medicare</w:t>
      </w:r>
      <w:r w:rsidR="00270DFC" w:rsidRPr="00817B9F">
        <w:rPr>
          <w:rFonts w:cs="Times New Roman"/>
        </w:rPr>
        <w:t xml:space="preserve"> and 8.7 percent </w:t>
      </w:r>
      <w:r w:rsidR="005D5C32" w:rsidRPr="00817B9F">
        <w:rPr>
          <w:rFonts w:cs="Times New Roman"/>
        </w:rPr>
        <w:t>are covered by a Medicare health plan</w:t>
      </w:r>
      <w:r w:rsidR="00270DFC" w:rsidRPr="00817B9F">
        <w:rPr>
          <w:rFonts w:cs="Times New Roman"/>
        </w:rPr>
        <w:t>.</w:t>
      </w:r>
    </w:p>
    <w:p w14:paraId="0183DEEE" w14:textId="7DB29566" w:rsidR="005D5C32" w:rsidRPr="00817B9F" w:rsidRDefault="005D5C32" w:rsidP="005D3EC9">
      <w:pPr>
        <w:pStyle w:val="BulletParagraph"/>
        <w:rPr>
          <w:rFonts w:cs="Times New Roman"/>
        </w:rPr>
      </w:pPr>
      <w:r w:rsidRPr="00817B9F">
        <w:rPr>
          <w:rFonts w:cs="Times New Roman"/>
        </w:rPr>
        <w:t xml:space="preserve">We predict that expenditures for each patient covered by MassHealth non-managed care who switches to MGH will increase by </w:t>
      </w:r>
      <w:r w:rsidR="009E4D2C" w:rsidRPr="00817B9F">
        <w:rPr>
          <w:rFonts w:cs="Times New Roman"/>
        </w:rPr>
        <w:t xml:space="preserve">a </w:t>
      </w:r>
      <w:r w:rsidR="000A39E2" w:rsidRPr="00817B9F">
        <w:rPr>
          <w:rFonts w:cs="Times New Roman"/>
        </w:rPr>
        <w:t>very small amount</w:t>
      </w:r>
      <w:r w:rsidR="00C06A43" w:rsidRPr="00817B9F">
        <w:rPr>
          <w:rFonts w:cs="Times New Roman"/>
        </w:rPr>
        <w:t xml:space="preserve"> </w:t>
      </w:r>
      <w:r w:rsidRPr="00817B9F">
        <w:rPr>
          <w:rFonts w:cs="Times New Roman"/>
        </w:rPr>
        <w:t xml:space="preserve">and expenditures for each patient covered by a MassHealth managed care plan who switches will </w:t>
      </w:r>
      <w:r w:rsidR="00FC3DA9" w:rsidRPr="00817B9F">
        <w:rPr>
          <w:rFonts w:cs="Times New Roman"/>
        </w:rPr>
        <w:t>increase</w:t>
      </w:r>
      <w:r w:rsidRPr="00817B9F">
        <w:rPr>
          <w:rFonts w:cs="Times New Roman"/>
        </w:rPr>
        <w:t xml:space="preserve"> by </w:t>
      </w:r>
      <w:r w:rsidR="00FC3DA9" w:rsidRPr="00817B9F">
        <w:rPr>
          <w:rFonts w:cs="Times New Roman"/>
        </w:rPr>
        <w:t>0</w:t>
      </w:r>
      <w:r w:rsidR="00A875D6" w:rsidRPr="00817B9F">
        <w:rPr>
          <w:rFonts w:cs="Times New Roman"/>
        </w:rPr>
        <w:t>.</w:t>
      </w:r>
      <w:r w:rsidR="004C76DA" w:rsidRPr="00817B9F">
        <w:rPr>
          <w:rFonts w:cs="Times New Roman"/>
        </w:rPr>
        <w:t>3</w:t>
      </w:r>
      <w:r w:rsidRPr="00817B9F">
        <w:rPr>
          <w:rFonts w:cs="Times New Roman"/>
        </w:rPr>
        <w:t xml:space="preserve"> percent. Among patient</w:t>
      </w:r>
      <w:r w:rsidR="00FC3DA9" w:rsidRPr="00817B9F">
        <w:rPr>
          <w:rFonts w:cs="Times New Roman"/>
        </w:rPr>
        <w:t>s</w:t>
      </w:r>
      <w:r w:rsidRPr="00817B9F">
        <w:rPr>
          <w:rFonts w:cs="Times New Roman"/>
        </w:rPr>
        <w:t xml:space="preserve"> who are predicted to switch to MGH, </w:t>
      </w:r>
      <w:r w:rsidR="00FC3DA9" w:rsidRPr="00817B9F">
        <w:rPr>
          <w:rFonts w:cs="Times New Roman"/>
        </w:rPr>
        <w:t>5</w:t>
      </w:r>
      <w:r w:rsidR="002B5ECE" w:rsidRPr="00817B9F">
        <w:rPr>
          <w:rFonts w:cs="Times New Roman"/>
        </w:rPr>
        <w:t>.4</w:t>
      </w:r>
      <w:r w:rsidRPr="00817B9F">
        <w:rPr>
          <w:rFonts w:cs="Times New Roman"/>
        </w:rPr>
        <w:t xml:space="preserve"> percent are covered by </w:t>
      </w:r>
      <w:r w:rsidR="00FC3DA9" w:rsidRPr="00817B9F">
        <w:rPr>
          <w:rFonts w:cs="Times New Roman"/>
        </w:rPr>
        <w:t>MassHealth non-managed care</w:t>
      </w:r>
      <w:r w:rsidRPr="00817B9F">
        <w:rPr>
          <w:rFonts w:cs="Times New Roman"/>
        </w:rPr>
        <w:t xml:space="preserve"> and </w:t>
      </w:r>
      <w:r w:rsidR="002B5ECE" w:rsidRPr="00817B9F">
        <w:rPr>
          <w:rFonts w:cs="Times New Roman"/>
        </w:rPr>
        <w:t>13.</w:t>
      </w:r>
      <w:r w:rsidR="00FC3DA9" w:rsidRPr="00817B9F">
        <w:rPr>
          <w:rFonts w:cs="Times New Roman"/>
        </w:rPr>
        <w:t>5</w:t>
      </w:r>
      <w:r w:rsidRPr="00817B9F">
        <w:rPr>
          <w:rFonts w:cs="Times New Roman"/>
        </w:rPr>
        <w:t xml:space="preserve"> percent are covered by a </w:t>
      </w:r>
      <w:r w:rsidR="00FC3DA9" w:rsidRPr="00817B9F">
        <w:rPr>
          <w:rFonts w:cs="Times New Roman"/>
        </w:rPr>
        <w:t>MassHealth managed care</w:t>
      </w:r>
      <w:r w:rsidRPr="00817B9F">
        <w:rPr>
          <w:rFonts w:cs="Times New Roman"/>
        </w:rPr>
        <w:t xml:space="preserve"> plan.</w:t>
      </w:r>
    </w:p>
    <w:p w14:paraId="736DE7D2" w14:textId="1DF97EA2" w:rsidR="00886A67" w:rsidRPr="00817B9F" w:rsidRDefault="00270DFC" w:rsidP="00FA0A73">
      <w:pPr>
        <w:pStyle w:val="BulletParagraph"/>
        <w:rPr>
          <w:rFonts w:cs="Times New Roman"/>
        </w:rPr>
      </w:pPr>
      <w:r w:rsidRPr="00817B9F">
        <w:rPr>
          <w:rFonts w:cs="Times New Roman"/>
        </w:rPr>
        <w:t>Overall, across all coverage types, we predict that expenditures on outpatient CT scans will increase by an average of 7.</w:t>
      </w:r>
      <w:r w:rsidR="00A875D6" w:rsidRPr="00817B9F">
        <w:rPr>
          <w:rFonts w:cs="Times New Roman"/>
        </w:rPr>
        <w:t>2</w:t>
      </w:r>
      <w:r w:rsidRPr="00817B9F">
        <w:rPr>
          <w:rFonts w:cs="Times New Roman"/>
        </w:rPr>
        <w:t xml:space="preserve"> percent for each patient who switches to MGH. Across all coverage types, we predict that total expenditures </w:t>
      </w:r>
      <w:r w:rsidR="00855431" w:rsidRPr="00817B9F">
        <w:rPr>
          <w:rFonts w:cs="Times New Roman"/>
        </w:rPr>
        <w:t>on outpatient CT scans</w:t>
      </w:r>
      <w:r w:rsidRPr="00817B9F">
        <w:rPr>
          <w:rFonts w:cs="Times New Roman"/>
        </w:rPr>
        <w:t xml:space="preserve"> (</w:t>
      </w:r>
      <w:r w:rsidRPr="00817B9F">
        <w:rPr>
          <w:rFonts w:cs="Times New Roman"/>
          <w:i/>
        </w:rPr>
        <w:t>i.e.</w:t>
      </w:r>
      <w:r w:rsidRPr="00817B9F">
        <w:rPr>
          <w:rFonts w:cs="Times New Roman"/>
        </w:rPr>
        <w:t xml:space="preserve">, including both patients who switch to MGH and patients whose choices are unchanged) </w:t>
      </w:r>
      <w:r w:rsidR="007E4521" w:rsidRPr="00817B9F">
        <w:rPr>
          <w:rFonts w:cs="Times New Roman"/>
        </w:rPr>
        <w:t>will</w:t>
      </w:r>
      <w:r w:rsidRPr="00817B9F">
        <w:rPr>
          <w:rFonts w:cs="Times New Roman"/>
        </w:rPr>
        <w:t xml:space="preserve"> increase by 0.1 percent.</w:t>
      </w:r>
      <w:bookmarkEnd w:id="133"/>
    </w:p>
    <w:p w14:paraId="16B3A988" w14:textId="24446253" w:rsidR="00270DFC" w:rsidRPr="00817B9F" w:rsidRDefault="00DD1512" w:rsidP="00270DFC">
      <w:pPr>
        <w:pStyle w:val="NumberedParagraphs"/>
      </w:pPr>
      <w:r w:rsidRPr="00817B9F">
        <w:t xml:space="preserve">Figure </w:t>
      </w:r>
      <w:r w:rsidR="00A764CE" w:rsidRPr="00817B9F">
        <w:t>MGH</w:t>
      </w:r>
      <w:r w:rsidR="00796DE1" w:rsidRPr="00817B9F">
        <w:t>24</w:t>
      </w:r>
      <w:r w:rsidR="004442AB" w:rsidRPr="00817B9F">
        <w:t xml:space="preserve"> </w:t>
      </w:r>
      <w:r w:rsidR="00270DFC" w:rsidRPr="00817B9F">
        <w:t>summarizes the changes in health care expenditures associated with the expansion of outpatient MR</w:t>
      </w:r>
      <w:r w:rsidR="000768B4" w:rsidRPr="00817B9F">
        <w:t>I capacity</w:t>
      </w:r>
      <w:r w:rsidR="00270DFC" w:rsidRPr="00817B9F">
        <w:t xml:space="preserve"> at MGH. </w:t>
      </w:r>
    </w:p>
    <w:p w14:paraId="057B8A38" w14:textId="717E6D88" w:rsidR="00270DFC" w:rsidRPr="00817B9F" w:rsidRDefault="00270DFC" w:rsidP="005D3EC9">
      <w:pPr>
        <w:pStyle w:val="BulletParagraph"/>
        <w:rPr>
          <w:rFonts w:cs="Times New Roman"/>
        </w:rPr>
      </w:pPr>
      <w:r w:rsidRPr="00817B9F">
        <w:rPr>
          <w:rFonts w:cs="Times New Roman"/>
        </w:rPr>
        <w:lastRenderedPageBreak/>
        <w:t>We predict that commercial payors’ expenditures on these services will increase by 23.7 percent for each patient who switches to MGH. Commercial patients comprise 41.0 percent of the patients predicted to switch to MGH.</w:t>
      </w:r>
    </w:p>
    <w:p w14:paraId="289FA3D5" w14:textId="2E675B71" w:rsidR="00A85254" w:rsidRPr="00817B9F" w:rsidRDefault="00A85254" w:rsidP="005D3EC9">
      <w:pPr>
        <w:pStyle w:val="BulletParagraph"/>
        <w:rPr>
          <w:rFonts w:cs="Times New Roman"/>
        </w:rPr>
      </w:pPr>
      <w:r w:rsidRPr="00817B9F">
        <w:rPr>
          <w:rFonts w:cs="Times New Roman"/>
        </w:rPr>
        <w:t xml:space="preserve">We predict that expenditures for each patient covered by Original Medicare who switches to MGH will increase by </w:t>
      </w:r>
      <w:r w:rsidR="00B32089" w:rsidRPr="00817B9F">
        <w:rPr>
          <w:rFonts w:cs="Times New Roman"/>
        </w:rPr>
        <w:t>18.6</w:t>
      </w:r>
      <w:r w:rsidRPr="00817B9F">
        <w:rPr>
          <w:rFonts w:cs="Times New Roman"/>
        </w:rPr>
        <w:t xml:space="preserve"> percent and expenditures for each patient covered by a Medicare health plan who switches will </w:t>
      </w:r>
      <w:r w:rsidR="00B32089" w:rsidRPr="00817B9F">
        <w:rPr>
          <w:rFonts w:cs="Times New Roman"/>
        </w:rPr>
        <w:t>increase</w:t>
      </w:r>
      <w:r w:rsidRPr="00817B9F">
        <w:rPr>
          <w:rFonts w:cs="Times New Roman"/>
        </w:rPr>
        <w:t xml:space="preserve"> by </w:t>
      </w:r>
      <w:r w:rsidR="00B32089" w:rsidRPr="00817B9F">
        <w:rPr>
          <w:rFonts w:cs="Times New Roman"/>
        </w:rPr>
        <w:t>0.5</w:t>
      </w:r>
      <w:r w:rsidRPr="00817B9F">
        <w:rPr>
          <w:rFonts w:cs="Times New Roman"/>
        </w:rPr>
        <w:t xml:space="preserve"> percent. Among patients who are predicted to switch to MGH, </w:t>
      </w:r>
      <w:r w:rsidR="00B32089" w:rsidRPr="00817B9F">
        <w:rPr>
          <w:rFonts w:cs="Times New Roman"/>
        </w:rPr>
        <w:t>28.0</w:t>
      </w:r>
      <w:r w:rsidRPr="00817B9F">
        <w:rPr>
          <w:rFonts w:cs="Times New Roman"/>
        </w:rPr>
        <w:t xml:space="preserve"> percent are covered by Original Medicare and </w:t>
      </w:r>
      <w:r w:rsidR="00B32089" w:rsidRPr="00817B9F">
        <w:rPr>
          <w:rFonts w:cs="Times New Roman"/>
        </w:rPr>
        <w:t>7.4</w:t>
      </w:r>
      <w:r w:rsidRPr="00817B9F">
        <w:rPr>
          <w:rFonts w:cs="Times New Roman"/>
        </w:rPr>
        <w:t xml:space="preserve"> percent are covered by a Medicare health plan.</w:t>
      </w:r>
    </w:p>
    <w:p w14:paraId="1FB1F851" w14:textId="7EF2A671" w:rsidR="007E4521" w:rsidRPr="00817B9F" w:rsidRDefault="007E4521" w:rsidP="005D3EC9">
      <w:pPr>
        <w:pStyle w:val="BulletParagraph"/>
        <w:rPr>
          <w:rFonts w:cs="Times New Roman"/>
        </w:rPr>
      </w:pPr>
      <w:r w:rsidRPr="00817B9F">
        <w:rPr>
          <w:rFonts w:cs="Times New Roman"/>
        </w:rPr>
        <w:t xml:space="preserve">We predict that expenditures for each patient covered by MassHealth non-managed care who switches to MGH will increase by </w:t>
      </w:r>
      <w:r w:rsidR="003527D3" w:rsidRPr="00817B9F">
        <w:rPr>
          <w:rFonts w:cs="Times New Roman"/>
        </w:rPr>
        <w:t>0.7</w:t>
      </w:r>
      <w:r w:rsidRPr="00817B9F">
        <w:rPr>
          <w:rFonts w:cs="Times New Roman"/>
        </w:rPr>
        <w:t xml:space="preserve"> percent and expenditures for each patient covered by a MassHealth managed care plan who switches will increase by </w:t>
      </w:r>
      <w:r w:rsidR="006A6806" w:rsidRPr="00817B9F">
        <w:rPr>
          <w:rFonts w:cs="Times New Roman"/>
        </w:rPr>
        <w:t>2.1</w:t>
      </w:r>
      <w:r w:rsidRPr="00817B9F">
        <w:rPr>
          <w:rFonts w:cs="Times New Roman"/>
        </w:rPr>
        <w:t xml:space="preserve"> percent. Among patients who are predicted to switch to MGH, 3.5 percent are covered by MassHealth non-managed care and 15.9 percent are covered by a MassHealth managed care plan.</w:t>
      </w:r>
    </w:p>
    <w:p w14:paraId="52450CC1" w14:textId="4089CCCC" w:rsidR="00270DFC" w:rsidRPr="00817B9F" w:rsidRDefault="00270DFC" w:rsidP="00F054C7">
      <w:pPr>
        <w:pStyle w:val="BulletParagraph"/>
        <w:rPr>
          <w:rFonts w:cs="Times New Roman"/>
        </w:rPr>
      </w:pPr>
      <w:r w:rsidRPr="00817B9F">
        <w:rPr>
          <w:rFonts w:cs="Times New Roman"/>
        </w:rPr>
        <w:t xml:space="preserve">Overall, across all coverage types, we predict that expenditures on outpatient MR scans will increase by an average of </w:t>
      </w:r>
      <w:r w:rsidR="006A6806" w:rsidRPr="00817B9F">
        <w:rPr>
          <w:rFonts w:cs="Times New Roman"/>
        </w:rPr>
        <w:t>15.1</w:t>
      </w:r>
      <w:r w:rsidRPr="00817B9F">
        <w:rPr>
          <w:rFonts w:cs="Times New Roman"/>
        </w:rPr>
        <w:t xml:space="preserve"> percent for each patient who switches to MGH. Across all coverage types, we predict that total expenditures </w:t>
      </w:r>
      <w:r w:rsidR="007E4521" w:rsidRPr="00817B9F">
        <w:rPr>
          <w:rFonts w:cs="Times New Roman"/>
        </w:rPr>
        <w:t>on outpatient MR scans</w:t>
      </w:r>
      <w:r w:rsidRPr="00817B9F">
        <w:rPr>
          <w:rFonts w:cs="Times New Roman"/>
        </w:rPr>
        <w:t xml:space="preserve"> (</w:t>
      </w:r>
      <w:r w:rsidRPr="00817B9F">
        <w:rPr>
          <w:rFonts w:cs="Times New Roman"/>
          <w:i/>
          <w:iCs/>
        </w:rPr>
        <w:t>i.e.</w:t>
      </w:r>
      <w:r w:rsidRPr="00817B9F">
        <w:rPr>
          <w:rFonts w:cs="Times New Roman"/>
        </w:rPr>
        <w:t xml:space="preserve">, including both patients who switch to MGH and patients whose choices are unchanged) </w:t>
      </w:r>
      <w:r w:rsidR="007E4521" w:rsidRPr="00817B9F">
        <w:rPr>
          <w:rFonts w:cs="Times New Roman"/>
        </w:rPr>
        <w:t>will</w:t>
      </w:r>
      <w:r w:rsidRPr="00817B9F">
        <w:rPr>
          <w:rFonts w:cs="Times New Roman"/>
        </w:rPr>
        <w:t xml:space="preserve"> increase by 0.</w:t>
      </w:r>
      <w:r w:rsidR="006A6806" w:rsidRPr="00817B9F">
        <w:rPr>
          <w:rFonts w:cs="Times New Roman"/>
        </w:rPr>
        <w:t>2</w:t>
      </w:r>
      <w:r w:rsidRPr="00817B9F">
        <w:rPr>
          <w:rFonts w:cs="Times New Roman"/>
        </w:rPr>
        <w:t xml:space="preserve"> percent.</w:t>
      </w:r>
    </w:p>
    <w:p w14:paraId="05C9ED5F" w14:textId="45C535A8" w:rsidR="00D62A70" w:rsidRPr="00817B9F" w:rsidRDefault="00910BCB" w:rsidP="00D62A70">
      <w:pPr>
        <w:pStyle w:val="NumberedParagraphs"/>
      </w:pPr>
      <w:r w:rsidRPr="00817B9F">
        <w:t xml:space="preserve">Figure </w:t>
      </w:r>
      <w:r w:rsidR="00A764CE" w:rsidRPr="00817B9F">
        <w:t>MGH2</w:t>
      </w:r>
      <w:r w:rsidR="00796DE1" w:rsidRPr="00817B9F">
        <w:t>5</w:t>
      </w:r>
      <w:r w:rsidR="00C61901" w:rsidRPr="00817B9F">
        <w:t xml:space="preserve"> </w:t>
      </w:r>
      <w:r w:rsidR="00D62A70" w:rsidRPr="00817B9F">
        <w:t xml:space="preserve">summarizes the changes in health care expenditures associated with the expansion of outpatient PET/CT </w:t>
      </w:r>
      <w:r w:rsidR="000768B4" w:rsidRPr="00817B9F">
        <w:t>imaging capacity</w:t>
      </w:r>
      <w:r w:rsidR="00D62A70" w:rsidRPr="00817B9F">
        <w:t xml:space="preserve"> at MGH. </w:t>
      </w:r>
    </w:p>
    <w:p w14:paraId="2EA3FE20" w14:textId="430237D4" w:rsidR="00D62A70" w:rsidRPr="00817B9F" w:rsidRDefault="00D62A70" w:rsidP="005D3EC9">
      <w:pPr>
        <w:pStyle w:val="BulletParagraph"/>
        <w:rPr>
          <w:rFonts w:cs="Times New Roman"/>
        </w:rPr>
      </w:pPr>
      <w:r w:rsidRPr="00817B9F">
        <w:rPr>
          <w:rFonts w:cs="Times New Roman"/>
        </w:rPr>
        <w:t>We predict that commercial payors’ expenditures on these services will increase by 16.7 percent for each patient who switches to MGH. Commercial patients comprise 23.1 percent of the patients predicted to switch to MGH.</w:t>
      </w:r>
    </w:p>
    <w:p w14:paraId="5B0A26FD" w14:textId="336301E8" w:rsidR="008E505F" w:rsidRPr="00817B9F" w:rsidRDefault="008E505F" w:rsidP="005D3EC9">
      <w:pPr>
        <w:pStyle w:val="BulletParagraph"/>
        <w:rPr>
          <w:rFonts w:cs="Times New Roman"/>
        </w:rPr>
      </w:pPr>
      <w:r w:rsidRPr="00817B9F">
        <w:rPr>
          <w:rFonts w:cs="Times New Roman"/>
        </w:rPr>
        <w:t>We predict that expenditures for each patient covered by Original Medicare who switches to MGH will increase by 21.1 percent and expenditures for each patient covered by a Medicare health plan who switches will increase by 25.9 percent. Among patients who are predicted to switch to MGH, 47.2 percent are covered by Original Medicare and 15.8 percent are covered by a Medicare health plan</w:t>
      </w:r>
      <w:r w:rsidR="00AC68BA" w:rsidRPr="00817B9F">
        <w:rPr>
          <w:rFonts w:cs="Times New Roman"/>
        </w:rPr>
        <w:t>.</w:t>
      </w:r>
    </w:p>
    <w:p w14:paraId="3F236A5F" w14:textId="42C8D923" w:rsidR="00D62A70" w:rsidRPr="00817B9F" w:rsidRDefault="00D62A70" w:rsidP="005D3EC9">
      <w:pPr>
        <w:pStyle w:val="BulletParagraph"/>
        <w:rPr>
          <w:rFonts w:cs="Times New Roman"/>
        </w:rPr>
      </w:pPr>
      <w:r w:rsidRPr="00817B9F">
        <w:rPr>
          <w:rFonts w:cs="Times New Roman"/>
        </w:rPr>
        <w:lastRenderedPageBreak/>
        <w:t xml:space="preserve">We predict that expenditures for </w:t>
      </w:r>
      <w:r w:rsidR="00830A23" w:rsidRPr="00817B9F">
        <w:rPr>
          <w:rFonts w:cs="Times New Roman"/>
        </w:rPr>
        <w:t xml:space="preserve">each patient covered by </w:t>
      </w:r>
      <w:r w:rsidRPr="00817B9F">
        <w:rPr>
          <w:rFonts w:cs="Times New Roman"/>
        </w:rPr>
        <w:t xml:space="preserve">MassHealth non-managed care </w:t>
      </w:r>
      <w:r w:rsidR="00830A23" w:rsidRPr="00817B9F">
        <w:rPr>
          <w:rFonts w:cs="Times New Roman"/>
        </w:rPr>
        <w:t>who switches to MGH</w:t>
      </w:r>
      <w:r w:rsidRPr="00817B9F">
        <w:rPr>
          <w:rFonts w:cs="Times New Roman"/>
        </w:rPr>
        <w:t xml:space="preserve"> will increase by </w:t>
      </w:r>
      <w:r w:rsidR="0052323D" w:rsidRPr="00817B9F">
        <w:rPr>
          <w:rFonts w:cs="Times New Roman"/>
        </w:rPr>
        <w:t>2.0</w:t>
      </w:r>
      <w:r w:rsidRPr="00817B9F">
        <w:rPr>
          <w:rFonts w:cs="Times New Roman"/>
        </w:rPr>
        <w:t xml:space="preserve"> percent and </w:t>
      </w:r>
      <w:r w:rsidR="00830A23" w:rsidRPr="00817B9F">
        <w:rPr>
          <w:rFonts w:cs="Times New Roman"/>
        </w:rPr>
        <w:t>expenditures</w:t>
      </w:r>
      <w:r w:rsidRPr="00817B9F">
        <w:rPr>
          <w:rFonts w:cs="Times New Roman"/>
        </w:rPr>
        <w:t xml:space="preserve"> for each patient </w:t>
      </w:r>
      <w:r w:rsidR="00830A23" w:rsidRPr="00817B9F">
        <w:rPr>
          <w:rFonts w:cs="Times New Roman"/>
        </w:rPr>
        <w:t xml:space="preserve">covered by a MassHealth managed care plan who switches will increase by </w:t>
      </w:r>
      <w:r w:rsidR="00380753" w:rsidRPr="00817B9F">
        <w:rPr>
          <w:rFonts w:cs="Times New Roman"/>
        </w:rPr>
        <w:t>3.0</w:t>
      </w:r>
      <w:r w:rsidR="00830A23" w:rsidRPr="00817B9F">
        <w:rPr>
          <w:rFonts w:cs="Times New Roman"/>
        </w:rPr>
        <w:t xml:space="preserve"> percent. Among patients who are predicted to switch to MGH, </w:t>
      </w:r>
      <w:r w:rsidR="00AE4DE4" w:rsidRPr="00817B9F">
        <w:rPr>
          <w:rFonts w:cs="Times New Roman"/>
        </w:rPr>
        <w:t>1.8</w:t>
      </w:r>
      <w:r w:rsidR="00830A23" w:rsidRPr="00817B9F">
        <w:rPr>
          <w:rFonts w:cs="Times New Roman"/>
        </w:rPr>
        <w:t xml:space="preserve"> percent are covered by MassHealth non-managed care and </w:t>
      </w:r>
      <w:r w:rsidR="00AE4DE4" w:rsidRPr="00817B9F">
        <w:rPr>
          <w:rFonts w:cs="Times New Roman"/>
        </w:rPr>
        <w:t>8.3</w:t>
      </w:r>
      <w:r w:rsidR="00830A23" w:rsidRPr="00817B9F">
        <w:rPr>
          <w:rFonts w:cs="Times New Roman"/>
        </w:rPr>
        <w:t xml:space="preserve"> percent are covered by a MassHealth managed care plan</w:t>
      </w:r>
      <w:r w:rsidRPr="00817B9F">
        <w:rPr>
          <w:rFonts w:cs="Times New Roman"/>
        </w:rPr>
        <w:t>.</w:t>
      </w:r>
    </w:p>
    <w:p w14:paraId="33E83022" w14:textId="3E7419E0" w:rsidR="002241E4" w:rsidRPr="00817B9F" w:rsidRDefault="00D62A70" w:rsidP="00F054C7">
      <w:pPr>
        <w:pStyle w:val="BulletParagraph"/>
        <w:rPr>
          <w:rFonts w:cs="Times New Roman"/>
        </w:rPr>
      </w:pPr>
      <w:r w:rsidRPr="00817B9F">
        <w:rPr>
          <w:rFonts w:cs="Times New Roman"/>
        </w:rPr>
        <w:t xml:space="preserve">Overall, across all coverage types, we predict that expenditures on outpatient </w:t>
      </w:r>
      <w:r w:rsidR="00A46E5B" w:rsidRPr="00817B9F">
        <w:rPr>
          <w:rFonts w:cs="Times New Roman"/>
        </w:rPr>
        <w:t xml:space="preserve">PET/CT </w:t>
      </w:r>
      <w:r w:rsidRPr="00817B9F">
        <w:rPr>
          <w:rFonts w:cs="Times New Roman"/>
        </w:rPr>
        <w:t xml:space="preserve">scans will increase by an average of </w:t>
      </w:r>
      <w:r w:rsidR="00B3033C" w:rsidRPr="00817B9F">
        <w:rPr>
          <w:rFonts w:cs="Times New Roman"/>
        </w:rPr>
        <w:t>18.4</w:t>
      </w:r>
      <w:r w:rsidRPr="00817B9F">
        <w:rPr>
          <w:rFonts w:cs="Times New Roman"/>
        </w:rPr>
        <w:t xml:space="preserve"> percent for each patient who switches to MGH. Across all coverage types, we predict that total expenditures </w:t>
      </w:r>
      <w:r w:rsidR="00CE4CDB" w:rsidRPr="00817B9F">
        <w:rPr>
          <w:rFonts w:cs="Times New Roman"/>
        </w:rPr>
        <w:t xml:space="preserve">on outpatient PET/CT scans </w:t>
      </w:r>
      <w:r w:rsidRPr="00817B9F">
        <w:rPr>
          <w:rFonts w:cs="Times New Roman"/>
        </w:rPr>
        <w:t>(</w:t>
      </w:r>
      <w:r w:rsidRPr="00817B9F">
        <w:rPr>
          <w:rFonts w:cs="Times New Roman"/>
          <w:i/>
          <w:iCs/>
        </w:rPr>
        <w:t>i.e.</w:t>
      </w:r>
      <w:r w:rsidRPr="00817B9F">
        <w:rPr>
          <w:rFonts w:cs="Times New Roman"/>
        </w:rPr>
        <w:t xml:space="preserve">, including both patients who switch to MGH and patients whose choices are unchanged) </w:t>
      </w:r>
      <w:r w:rsidR="00CE4CDB" w:rsidRPr="00817B9F">
        <w:rPr>
          <w:rFonts w:cs="Times New Roman"/>
        </w:rPr>
        <w:t>will</w:t>
      </w:r>
      <w:r w:rsidRPr="00817B9F">
        <w:rPr>
          <w:rFonts w:cs="Times New Roman"/>
        </w:rPr>
        <w:t xml:space="preserve"> increase by </w:t>
      </w:r>
      <w:r w:rsidR="00BD0B58" w:rsidRPr="00817B9F">
        <w:rPr>
          <w:rFonts w:cs="Times New Roman"/>
        </w:rPr>
        <w:t>1.</w:t>
      </w:r>
      <w:r w:rsidR="00B3033C" w:rsidRPr="00817B9F">
        <w:rPr>
          <w:rFonts w:cs="Times New Roman"/>
        </w:rPr>
        <w:t>1</w:t>
      </w:r>
      <w:r w:rsidRPr="00817B9F">
        <w:rPr>
          <w:rFonts w:cs="Times New Roman"/>
        </w:rPr>
        <w:t xml:space="preserve"> percent.</w:t>
      </w:r>
    </w:p>
    <w:p w14:paraId="4ECE8B2F" w14:textId="2D010B62" w:rsidR="00886A67" w:rsidRPr="00817B9F" w:rsidRDefault="00886A67" w:rsidP="000647AC">
      <w:pPr>
        <w:pStyle w:val="Heading3"/>
      </w:pPr>
      <w:bookmarkStart w:id="135" w:name="_Toc90046544"/>
      <w:r w:rsidRPr="00817B9F">
        <w:t>Cardiovascular Services</w:t>
      </w:r>
      <w:bookmarkEnd w:id="135"/>
    </w:p>
    <w:p w14:paraId="1CAFA9C3" w14:textId="06E8928D" w:rsidR="007909B4" w:rsidRPr="00817B9F" w:rsidRDefault="007909B4" w:rsidP="007909B4">
      <w:pPr>
        <w:pStyle w:val="NumberedParagraphs"/>
      </w:pPr>
      <w:r w:rsidRPr="00817B9F">
        <w:t>Figure MGH2</w:t>
      </w:r>
      <w:r w:rsidR="00796DE1" w:rsidRPr="00817B9F">
        <w:t>6</w:t>
      </w:r>
      <w:r w:rsidRPr="00817B9F">
        <w:t xml:space="preserve"> summarizes the changes in health care expenditures associated with the expansion of outpatient cardio</w:t>
      </w:r>
      <w:r w:rsidR="007D5838" w:rsidRPr="00817B9F">
        <w:t xml:space="preserve">vascular </w:t>
      </w:r>
      <w:r w:rsidR="009812DE" w:rsidRPr="00817B9F">
        <w:t>services</w:t>
      </w:r>
      <w:r w:rsidRPr="00817B9F">
        <w:t xml:space="preserve"> at MGH. </w:t>
      </w:r>
    </w:p>
    <w:p w14:paraId="1A107163" w14:textId="1FD66464" w:rsidR="007909B4" w:rsidRPr="00817B9F" w:rsidRDefault="007909B4" w:rsidP="005D3EC9">
      <w:pPr>
        <w:pStyle w:val="BulletParagraph"/>
        <w:rPr>
          <w:rFonts w:cs="Times New Roman"/>
        </w:rPr>
      </w:pPr>
      <w:r w:rsidRPr="00817B9F">
        <w:rPr>
          <w:rFonts w:cs="Times New Roman"/>
        </w:rPr>
        <w:t xml:space="preserve">We predict that commercial payors’ expenditures on these services will increase by </w:t>
      </w:r>
      <w:r w:rsidR="009812DE" w:rsidRPr="00817B9F">
        <w:rPr>
          <w:rFonts w:cs="Times New Roman"/>
        </w:rPr>
        <w:t>34.9</w:t>
      </w:r>
      <w:r w:rsidRPr="00817B9F">
        <w:rPr>
          <w:rFonts w:cs="Times New Roman"/>
        </w:rPr>
        <w:t xml:space="preserve"> percent for each patient who switches to MGH. Commercial patients comprise </w:t>
      </w:r>
      <w:r w:rsidR="008D3D9E" w:rsidRPr="00817B9F">
        <w:rPr>
          <w:rFonts w:cs="Times New Roman"/>
        </w:rPr>
        <w:t>20.3</w:t>
      </w:r>
      <w:r w:rsidRPr="00817B9F">
        <w:rPr>
          <w:rFonts w:cs="Times New Roman"/>
        </w:rPr>
        <w:t xml:space="preserve"> percent of the patients predicted to switch to MGH.</w:t>
      </w:r>
    </w:p>
    <w:p w14:paraId="758B20DC" w14:textId="76927A84" w:rsidR="00BD344D" w:rsidRPr="00817B9F" w:rsidRDefault="007909B4" w:rsidP="005D3EC9">
      <w:pPr>
        <w:pStyle w:val="BulletParagraph"/>
        <w:rPr>
          <w:rFonts w:cs="Times New Roman"/>
        </w:rPr>
      </w:pPr>
      <w:r w:rsidRPr="00817B9F">
        <w:rPr>
          <w:rFonts w:cs="Times New Roman"/>
        </w:rPr>
        <w:t>We predict that expenditures for</w:t>
      </w:r>
      <w:r w:rsidR="00BD344D" w:rsidRPr="00817B9F">
        <w:rPr>
          <w:rFonts w:cs="Times New Roman"/>
        </w:rPr>
        <w:t xml:space="preserve"> each patient covered by a Medicare health plan who switches to MGH will increase by 1.8 percent</w:t>
      </w:r>
      <w:r w:rsidR="00C7566C" w:rsidRPr="00817B9F">
        <w:rPr>
          <w:rFonts w:cs="Times New Roman"/>
        </w:rPr>
        <w:t xml:space="preserve">. </w:t>
      </w:r>
      <w:r w:rsidR="001E60CD" w:rsidRPr="00817B9F">
        <w:rPr>
          <w:rFonts w:cs="Times New Roman"/>
        </w:rPr>
        <w:t xml:space="preserve">Among patients who are predicted to switch to MGH, 6.9 percent are covered by a Medicare health plan. For patients covered by Original Medicare who switch to MGH, we predict that nearly all of these patients </w:t>
      </w:r>
      <w:r w:rsidR="00F906A5" w:rsidRPr="00817B9F">
        <w:rPr>
          <w:rFonts w:cs="Times New Roman"/>
        </w:rPr>
        <w:t>shift</w:t>
      </w:r>
      <w:r w:rsidR="001E60CD" w:rsidRPr="00817B9F">
        <w:rPr>
          <w:rFonts w:cs="Times New Roman"/>
        </w:rPr>
        <w:t xml:space="preserve"> to MGH from another HOPD</w:t>
      </w:r>
      <w:r w:rsidR="002D18FB" w:rsidRPr="00817B9F">
        <w:rPr>
          <w:rFonts w:cs="Times New Roman"/>
        </w:rPr>
        <w:t xml:space="preserve">. Therefore, </w:t>
      </w:r>
      <w:r w:rsidR="00546D88" w:rsidRPr="00817B9F">
        <w:rPr>
          <w:rFonts w:cs="Times New Roman"/>
        </w:rPr>
        <w:t>the</w:t>
      </w:r>
      <w:r w:rsidR="002D18FB" w:rsidRPr="00817B9F">
        <w:rPr>
          <w:rFonts w:cs="Times New Roman"/>
        </w:rPr>
        <w:t xml:space="preserve"> </w:t>
      </w:r>
      <w:r w:rsidR="001E60CD" w:rsidRPr="00817B9F">
        <w:rPr>
          <w:rFonts w:cs="Times New Roman"/>
        </w:rPr>
        <w:t xml:space="preserve">change in health care expenditures </w:t>
      </w:r>
      <w:r w:rsidR="00546D88" w:rsidRPr="00817B9F">
        <w:rPr>
          <w:rFonts w:cs="Times New Roman"/>
        </w:rPr>
        <w:t xml:space="preserve">associated with </w:t>
      </w:r>
      <w:r w:rsidR="00F906A5" w:rsidRPr="00817B9F">
        <w:rPr>
          <w:rFonts w:cs="Times New Roman"/>
        </w:rPr>
        <w:t>patients covered by</w:t>
      </w:r>
      <w:r w:rsidR="00546D88" w:rsidRPr="00817B9F">
        <w:rPr>
          <w:rFonts w:cs="Times New Roman"/>
        </w:rPr>
        <w:t xml:space="preserve"> Original </w:t>
      </w:r>
      <w:r w:rsidR="001E60CD" w:rsidRPr="00817B9F">
        <w:rPr>
          <w:rFonts w:cs="Times New Roman"/>
        </w:rPr>
        <w:t xml:space="preserve">Medicare </w:t>
      </w:r>
      <w:r w:rsidR="00546D88" w:rsidRPr="00817B9F">
        <w:rPr>
          <w:rFonts w:cs="Times New Roman"/>
        </w:rPr>
        <w:t>who switch to MGH is minimal. Among</w:t>
      </w:r>
      <w:r w:rsidR="001E60CD" w:rsidRPr="00817B9F">
        <w:rPr>
          <w:rFonts w:cs="Times New Roman"/>
        </w:rPr>
        <w:t xml:space="preserve"> patients </w:t>
      </w:r>
      <w:r w:rsidR="00546D88" w:rsidRPr="00817B9F">
        <w:rPr>
          <w:rFonts w:cs="Times New Roman"/>
        </w:rPr>
        <w:t>who are predicted to switch to MGH, 62.5 percent are covered by Original Medicare.</w:t>
      </w:r>
    </w:p>
    <w:p w14:paraId="495209FC" w14:textId="018874E7" w:rsidR="00E4370E" w:rsidRPr="00817B9F" w:rsidRDefault="00E4370E" w:rsidP="005D3EC9">
      <w:pPr>
        <w:pStyle w:val="BulletParagraph"/>
        <w:rPr>
          <w:rFonts w:cs="Times New Roman"/>
        </w:rPr>
      </w:pPr>
      <w:r w:rsidRPr="00817B9F">
        <w:rPr>
          <w:rFonts w:cs="Times New Roman"/>
        </w:rPr>
        <w:t xml:space="preserve">We predict that expenditures for each patient covered by a MassHealth managed care plan who switches to MGH will increase by 2.9 percent. Among patients who are predicted to switch to MGH, </w:t>
      </w:r>
      <w:r w:rsidR="006643E6" w:rsidRPr="00817B9F">
        <w:rPr>
          <w:rFonts w:cs="Times New Roman"/>
        </w:rPr>
        <w:t>5.1</w:t>
      </w:r>
      <w:r w:rsidRPr="00817B9F">
        <w:rPr>
          <w:rFonts w:cs="Times New Roman"/>
        </w:rPr>
        <w:t xml:space="preserve"> percent are covered by a MassHealth managed care plan. </w:t>
      </w:r>
      <w:r w:rsidR="00EC311A" w:rsidRPr="00817B9F">
        <w:rPr>
          <w:rFonts w:cs="Times New Roman"/>
        </w:rPr>
        <w:t xml:space="preserve">Similar to </w:t>
      </w:r>
      <w:r w:rsidRPr="00817B9F">
        <w:rPr>
          <w:rFonts w:cs="Times New Roman"/>
        </w:rPr>
        <w:t xml:space="preserve">patients covered by Original Medicare, we predict </w:t>
      </w:r>
      <w:r w:rsidR="00EC311A" w:rsidRPr="00817B9F">
        <w:rPr>
          <w:rFonts w:cs="Times New Roman"/>
        </w:rPr>
        <w:t>minimal</w:t>
      </w:r>
      <w:r w:rsidRPr="00817B9F">
        <w:rPr>
          <w:rFonts w:cs="Times New Roman"/>
        </w:rPr>
        <w:t xml:space="preserve"> change in expenditures </w:t>
      </w:r>
      <w:r w:rsidR="00EC311A" w:rsidRPr="00817B9F">
        <w:rPr>
          <w:rFonts w:cs="Times New Roman"/>
        </w:rPr>
        <w:t>for</w:t>
      </w:r>
      <w:r w:rsidRPr="00817B9F">
        <w:rPr>
          <w:rFonts w:cs="Times New Roman"/>
        </w:rPr>
        <w:t xml:space="preserve"> </w:t>
      </w:r>
      <w:r w:rsidRPr="00817B9F">
        <w:rPr>
          <w:rFonts w:cs="Times New Roman"/>
        </w:rPr>
        <w:lastRenderedPageBreak/>
        <w:t xml:space="preserve">patients covered by </w:t>
      </w:r>
      <w:r w:rsidR="00EC311A" w:rsidRPr="00817B9F">
        <w:rPr>
          <w:rFonts w:cs="Times New Roman"/>
        </w:rPr>
        <w:t>MassHealth non-managed care</w:t>
      </w:r>
      <w:r w:rsidRPr="00817B9F">
        <w:rPr>
          <w:rFonts w:cs="Times New Roman"/>
        </w:rPr>
        <w:t xml:space="preserve"> who switch to MGH. Among patients who are predicted to switch to MGH, </w:t>
      </w:r>
      <w:r w:rsidR="00EC311A" w:rsidRPr="00817B9F">
        <w:rPr>
          <w:rFonts w:cs="Times New Roman"/>
        </w:rPr>
        <w:t>2.0</w:t>
      </w:r>
      <w:r w:rsidRPr="00817B9F">
        <w:rPr>
          <w:rFonts w:cs="Times New Roman"/>
        </w:rPr>
        <w:t xml:space="preserve"> percent are covered by </w:t>
      </w:r>
      <w:r w:rsidR="00EC311A" w:rsidRPr="00817B9F">
        <w:rPr>
          <w:rFonts w:cs="Times New Roman"/>
        </w:rPr>
        <w:t>MassHealth non-managed care.</w:t>
      </w:r>
    </w:p>
    <w:p w14:paraId="7CE64066" w14:textId="70800C24" w:rsidR="00886A67" w:rsidRPr="00817B9F" w:rsidRDefault="007909B4" w:rsidP="00F054C7">
      <w:pPr>
        <w:pStyle w:val="BulletParagraph"/>
        <w:rPr>
          <w:rFonts w:cs="Times New Roman"/>
        </w:rPr>
      </w:pPr>
      <w:r w:rsidRPr="00817B9F">
        <w:rPr>
          <w:rFonts w:cs="Times New Roman"/>
        </w:rPr>
        <w:t xml:space="preserve">Overall, across all coverage types, we predict that expenditures on outpatient </w:t>
      </w:r>
      <w:r w:rsidR="009812DE" w:rsidRPr="00817B9F">
        <w:rPr>
          <w:rFonts w:cs="Times New Roman"/>
        </w:rPr>
        <w:t>cardiovascular procedures</w:t>
      </w:r>
      <w:r w:rsidRPr="00817B9F">
        <w:rPr>
          <w:rFonts w:cs="Times New Roman"/>
        </w:rPr>
        <w:t xml:space="preserve"> will increase by an average of 7.</w:t>
      </w:r>
      <w:r w:rsidR="009812DE" w:rsidRPr="00817B9F">
        <w:rPr>
          <w:rFonts w:cs="Times New Roman"/>
        </w:rPr>
        <w:t>7</w:t>
      </w:r>
      <w:r w:rsidRPr="00817B9F">
        <w:rPr>
          <w:rFonts w:cs="Times New Roman"/>
        </w:rPr>
        <w:t xml:space="preserve"> percent for each patient who switches to MGH. Across all coverage types, we predict that total expenditures </w:t>
      </w:r>
      <w:r w:rsidR="00591479" w:rsidRPr="00817B9F">
        <w:rPr>
          <w:rFonts w:cs="Times New Roman"/>
        </w:rPr>
        <w:t xml:space="preserve">on outpatient cardiovascular procedures </w:t>
      </w:r>
      <w:r w:rsidRPr="00817B9F">
        <w:rPr>
          <w:rFonts w:cs="Times New Roman"/>
        </w:rPr>
        <w:t>(</w:t>
      </w:r>
      <w:r w:rsidRPr="00817B9F">
        <w:rPr>
          <w:rFonts w:cs="Times New Roman"/>
          <w:i/>
          <w:iCs/>
        </w:rPr>
        <w:t>i.e.</w:t>
      </w:r>
      <w:r w:rsidRPr="00817B9F">
        <w:rPr>
          <w:rFonts w:cs="Times New Roman"/>
        </w:rPr>
        <w:t xml:space="preserve">, including both patients who switch to MGH and patients whose choices are unchanged) would increase by </w:t>
      </w:r>
      <w:r w:rsidR="00591479" w:rsidRPr="00817B9F">
        <w:rPr>
          <w:rFonts w:cs="Times New Roman"/>
        </w:rPr>
        <w:t>only a minimal amount</w:t>
      </w:r>
      <w:r w:rsidRPr="00817B9F">
        <w:rPr>
          <w:rFonts w:cs="Times New Roman"/>
        </w:rPr>
        <w:t>.</w:t>
      </w:r>
      <w:r w:rsidR="00AC68BA" w:rsidRPr="00817B9F">
        <w:rPr>
          <w:rFonts w:cs="Times New Roman"/>
        </w:rPr>
        <w:t xml:space="preserve"> </w:t>
      </w:r>
      <w:r w:rsidR="009812DE" w:rsidRPr="00817B9F">
        <w:rPr>
          <w:rFonts w:cs="Times New Roman"/>
        </w:rPr>
        <w:t>(Because the shift in utilization is small relative to total utilization, the overall effect on payors’ expenditures is close to zero</w:t>
      </w:r>
      <w:r w:rsidR="00D90F15" w:rsidRPr="00817B9F">
        <w:rPr>
          <w:rFonts w:cs="Times New Roman"/>
        </w:rPr>
        <w:t>.</w:t>
      </w:r>
      <w:r w:rsidR="009812DE" w:rsidRPr="00817B9F">
        <w:rPr>
          <w:rFonts w:cs="Times New Roman"/>
        </w:rPr>
        <w:t>)</w:t>
      </w:r>
    </w:p>
    <w:p w14:paraId="28418B5B" w14:textId="59E3CE8B" w:rsidR="00886A67" w:rsidRPr="00817B9F" w:rsidRDefault="00886A67" w:rsidP="00886A67">
      <w:pPr>
        <w:pStyle w:val="Heading3"/>
      </w:pPr>
      <w:bookmarkStart w:id="136" w:name="_Toc90046545"/>
      <w:r w:rsidRPr="00817B9F">
        <w:t>Oncology Services</w:t>
      </w:r>
      <w:bookmarkEnd w:id="136"/>
    </w:p>
    <w:p w14:paraId="08616260" w14:textId="0A5F89ED" w:rsidR="00164E22" w:rsidRPr="00817B9F" w:rsidRDefault="00164E22" w:rsidP="00164E22">
      <w:pPr>
        <w:pStyle w:val="NumberedParagraphs"/>
      </w:pPr>
      <w:r w:rsidRPr="00817B9F">
        <w:t>Figure MGH2</w:t>
      </w:r>
      <w:r w:rsidR="00796DE1" w:rsidRPr="00817B9F">
        <w:t>7</w:t>
      </w:r>
      <w:r w:rsidRPr="00817B9F">
        <w:t xml:space="preserve"> summarizes the changes in health care expenditures associated with the expansion of outpatient oncology visits at MGH. </w:t>
      </w:r>
    </w:p>
    <w:p w14:paraId="1B07BA65" w14:textId="6548BAE4" w:rsidR="00164E22" w:rsidRPr="00817B9F" w:rsidRDefault="00164E22" w:rsidP="005D3EC9">
      <w:pPr>
        <w:pStyle w:val="BulletParagraph"/>
        <w:rPr>
          <w:rFonts w:cs="Times New Roman"/>
        </w:rPr>
      </w:pPr>
      <w:r w:rsidRPr="00817B9F">
        <w:rPr>
          <w:rFonts w:cs="Times New Roman"/>
        </w:rPr>
        <w:t>We predict that commercial payors’ expenditures on these services will increase by 69.3 percent for each patient who switches to MGH. Commercial patients comprise 27.2 percent of the patients predicted to switch to MGH.</w:t>
      </w:r>
    </w:p>
    <w:p w14:paraId="12866D0A" w14:textId="24E647CD" w:rsidR="00164E22" w:rsidRPr="00817B9F" w:rsidRDefault="00164E22" w:rsidP="005D3EC9">
      <w:pPr>
        <w:pStyle w:val="BulletParagraph"/>
        <w:rPr>
          <w:rFonts w:cs="Times New Roman"/>
        </w:rPr>
      </w:pPr>
      <w:r w:rsidRPr="00817B9F">
        <w:rPr>
          <w:rFonts w:cs="Times New Roman"/>
        </w:rPr>
        <w:t xml:space="preserve">We predict that expenditures for </w:t>
      </w:r>
      <w:r w:rsidR="004C7011" w:rsidRPr="00817B9F">
        <w:rPr>
          <w:rFonts w:cs="Times New Roman"/>
        </w:rPr>
        <w:t xml:space="preserve">each patient covered by </w:t>
      </w:r>
      <w:r w:rsidRPr="00817B9F">
        <w:rPr>
          <w:rFonts w:cs="Times New Roman"/>
        </w:rPr>
        <w:t xml:space="preserve">Original Medicare </w:t>
      </w:r>
      <w:r w:rsidR="004C7011" w:rsidRPr="00817B9F">
        <w:rPr>
          <w:rFonts w:cs="Times New Roman"/>
        </w:rPr>
        <w:t>who switches to MGH</w:t>
      </w:r>
      <w:r w:rsidRPr="00817B9F">
        <w:rPr>
          <w:rFonts w:cs="Times New Roman"/>
        </w:rPr>
        <w:t xml:space="preserve"> will increase by 2.9 percent and </w:t>
      </w:r>
      <w:r w:rsidR="004C7011" w:rsidRPr="00817B9F">
        <w:rPr>
          <w:rFonts w:cs="Times New Roman"/>
        </w:rPr>
        <w:t>expenditures</w:t>
      </w:r>
      <w:r w:rsidRPr="00817B9F">
        <w:rPr>
          <w:rFonts w:cs="Times New Roman"/>
        </w:rPr>
        <w:t xml:space="preserve"> for each patient </w:t>
      </w:r>
      <w:r w:rsidR="004C7011" w:rsidRPr="00817B9F">
        <w:rPr>
          <w:rFonts w:cs="Times New Roman"/>
        </w:rPr>
        <w:t>covered by a Medicare health plan who switches will increase by 3.2 percent. Among patients who are predicted to switch to MGH, 48.2 percent are covered by Original Medicare and 9.9 percent are covered by a Medicare health plan</w:t>
      </w:r>
      <w:r w:rsidRPr="00817B9F">
        <w:rPr>
          <w:rFonts w:cs="Times New Roman"/>
        </w:rPr>
        <w:t xml:space="preserve">. </w:t>
      </w:r>
    </w:p>
    <w:p w14:paraId="4A11E2E3" w14:textId="78B8A0CD" w:rsidR="00164E22" w:rsidRPr="00817B9F" w:rsidRDefault="00164E22" w:rsidP="005D3EC9">
      <w:pPr>
        <w:pStyle w:val="BulletParagraph"/>
        <w:rPr>
          <w:rFonts w:cs="Times New Roman"/>
        </w:rPr>
      </w:pPr>
      <w:r w:rsidRPr="00817B9F">
        <w:rPr>
          <w:rFonts w:cs="Times New Roman"/>
        </w:rPr>
        <w:t xml:space="preserve">We predict that expenditures for </w:t>
      </w:r>
      <w:r w:rsidR="00B177E2" w:rsidRPr="00817B9F">
        <w:rPr>
          <w:rFonts w:cs="Times New Roman"/>
        </w:rPr>
        <w:t xml:space="preserve">each patient covered by </w:t>
      </w:r>
      <w:r w:rsidRPr="00817B9F">
        <w:rPr>
          <w:rFonts w:cs="Times New Roman"/>
        </w:rPr>
        <w:t xml:space="preserve">MassHealth non-managed care </w:t>
      </w:r>
      <w:r w:rsidR="00B177E2" w:rsidRPr="00817B9F">
        <w:rPr>
          <w:rFonts w:cs="Times New Roman"/>
        </w:rPr>
        <w:t>who switches to MGH</w:t>
      </w:r>
      <w:r w:rsidRPr="00817B9F">
        <w:rPr>
          <w:rFonts w:cs="Times New Roman"/>
        </w:rPr>
        <w:t xml:space="preserve"> will increase by 0.1 percent and </w:t>
      </w:r>
      <w:r w:rsidR="00B177E2" w:rsidRPr="00817B9F">
        <w:rPr>
          <w:rFonts w:cs="Times New Roman"/>
        </w:rPr>
        <w:t>expenditures</w:t>
      </w:r>
      <w:r w:rsidRPr="00817B9F">
        <w:rPr>
          <w:rFonts w:cs="Times New Roman"/>
        </w:rPr>
        <w:t xml:space="preserve"> for each patient </w:t>
      </w:r>
      <w:r w:rsidR="00B177E2" w:rsidRPr="00817B9F">
        <w:rPr>
          <w:rFonts w:cs="Times New Roman"/>
        </w:rPr>
        <w:t>covered by a MassHealth managed care plan who switches will increase by 24.5 percent. Among patients who are predicted to switch to MGH, 2.7 percent are covered by MassHealth non-managed care and 8.6 percent are covered by a MassHealth managed care plan</w:t>
      </w:r>
      <w:r w:rsidRPr="00817B9F">
        <w:rPr>
          <w:rFonts w:cs="Times New Roman"/>
        </w:rPr>
        <w:t>.</w:t>
      </w:r>
    </w:p>
    <w:p w14:paraId="63BB522F" w14:textId="7150BB19" w:rsidR="00037E88" w:rsidRPr="00817B9F" w:rsidRDefault="00164E22" w:rsidP="009E28B0">
      <w:pPr>
        <w:pStyle w:val="BulletParagraph"/>
        <w:rPr>
          <w:rFonts w:cs="Times New Roman"/>
        </w:rPr>
      </w:pPr>
      <w:r w:rsidRPr="00817B9F">
        <w:rPr>
          <w:rFonts w:cs="Times New Roman"/>
        </w:rPr>
        <w:t xml:space="preserve">Overall, across all coverage types, we predict that expenditures on outpatient </w:t>
      </w:r>
      <w:r w:rsidR="008259C1" w:rsidRPr="00817B9F">
        <w:rPr>
          <w:rFonts w:cs="Times New Roman"/>
        </w:rPr>
        <w:t>oncology</w:t>
      </w:r>
      <w:r w:rsidRPr="00817B9F">
        <w:rPr>
          <w:rFonts w:cs="Times New Roman"/>
        </w:rPr>
        <w:t xml:space="preserve"> will increase by an average of </w:t>
      </w:r>
      <w:r w:rsidR="008259C1" w:rsidRPr="00817B9F">
        <w:rPr>
          <w:rFonts w:cs="Times New Roman"/>
        </w:rPr>
        <w:t>22.3</w:t>
      </w:r>
      <w:r w:rsidRPr="00817B9F">
        <w:rPr>
          <w:rFonts w:cs="Times New Roman"/>
        </w:rPr>
        <w:t xml:space="preserve"> percent for each patient who switches to MGH. Across </w:t>
      </w:r>
      <w:r w:rsidRPr="00817B9F">
        <w:rPr>
          <w:rFonts w:cs="Times New Roman"/>
        </w:rPr>
        <w:lastRenderedPageBreak/>
        <w:t xml:space="preserve">all coverage types, we predict that total expenditures </w:t>
      </w:r>
      <w:r w:rsidR="00B177E2" w:rsidRPr="00817B9F">
        <w:rPr>
          <w:rFonts w:cs="Times New Roman"/>
        </w:rPr>
        <w:t>on outpatient oncology visits</w:t>
      </w:r>
      <w:r w:rsidRPr="00817B9F">
        <w:rPr>
          <w:rFonts w:cs="Times New Roman"/>
        </w:rPr>
        <w:t xml:space="preserve"> (</w:t>
      </w:r>
      <w:r w:rsidRPr="00817B9F">
        <w:rPr>
          <w:rFonts w:cs="Times New Roman"/>
          <w:i/>
          <w:iCs/>
        </w:rPr>
        <w:t>i.e.</w:t>
      </w:r>
      <w:r w:rsidRPr="00817B9F">
        <w:rPr>
          <w:rFonts w:cs="Times New Roman"/>
        </w:rPr>
        <w:t xml:space="preserve">, including both patients who switch to MGH and patients whose choices are unchanged) </w:t>
      </w:r>
      <w:r w:rsidR="00B177E2" w:rsidRPr="00817B9F">
        <w:rPr>
          <w:rFonts w:cs="Times New Roman"/>
        </w:rPr>
        <w:t>will</w:t>
      </w:r>
      <w:r w:rsidRPr="00817B9F">
        <w:rPr>
          <w:rFonts w:cs="Times New Roman"/>
        </w:rPr>
        <w:t xml:space="preserve"> increase by 0.</w:t>
      </w:r>
      <w:r w:rsidR="008259C1" w:rsidRPr="00817B9F">
        <w:rPr>
          <w:rFonts w:cs="Times New Roman"/>
        </w:rPr>
        <w:t>5</w:t>
      </w:r>
      <w:r w:rsidRPr="00817B9F">
        <w:rPr>
          <w:rFonts w:cs="Times New Roman"/>
        </w:rPr>
        <w:t xml:space="preserve"> percent. (Because the shift in utilization is small relative to total utilization, the overall effect on payors’ expenditures is</w:t>
      </w:r>
      <w:r w:rsidR="008259C1" w:rsidRPr="00817B9F">
        <w:rPr>
          <w:rFonts w:cs="Times New Roman"/>
        </w:rPr>
        <w:t xml:space="preserve"> much smaller than the effect on expenditures for those who switch.</w:t>
      </w:r>
      <w:r w:rsidRPr="00817B9F">
        <w:rPr>
          <w:rFonts w:cs="Times New Roman"/>
        </w:rPr>
        <w:t>)</w:t>
      </w:r>
    </w:p>
    <w:p w14:paraId="4E60B022" w14:textId="77777777" w:rsidR="004512A3" w:rsidRPr="00817B9F" w:rsidRDefault="004512A3" w:rsidP="00D15D02">
      <w:pPr>
        <w:pStyle w:val="Heading1"/>
      </w:pPr>
      <w:bookmarkStart w:id="137" w:name="_Toc90046546"/>
      <w:r w:rsidRPr="00817B9F">
        <w:t>Other Considerations</w:t>
      </w:r>
      <w:bookmarkEnd w:id="137"/>
    </w:p>
    <w:p w14:paraId="2B1FD999" w14:textId="4556DB75" w:rsidR="00D15D02" w:rsidRPr="00817B9F" w:rsidRDefault="00D15D02" w:rsidP="00184D23">
      <w:pPr>
        <w:pStyle w:val="Heading2"/>
        <w:numPr>
          <w:ilvl w:val="0"/>
          <w:numId w:val="21"/>
        </w:numPr>
        <w:rPr>
          <w:rFonts w:cs="Times New Roman"/>
        </w:rPr>
      </w:pPr>
      <w:bookmarkStart w:id="138" w:name="_Toc90046547"/>
      <w:r w:rsidRPr="00817B9F">
        <w:rPr>
          <w:rFonts w:cs="Times New Roman"/>
        </w:rPr>
        <w:t xml:space="preserve">Effect on </w:t>
      </w:r>
      <w:r w:rsidR="00FE2284" w:rsidRPr="00817B9F">
        <w:rPr>
          <w:rFonts w:cs="Times New Roman"/>
        </w:rPr>
        <w:t>D</w:t>
      </w:r>
      <w:r w:rsidRPr="00817B9F">
        <w:rPr>
          <w:rFonts w:cs="Times New Roman"/>
        </w:rPr>
        <w:t xml:space="preserve">emand for </w:t>
      </w:r>
      <w:r w:rsidR="00FE2284" w:rsidRPr="00817B9F">
        <w:rPr>
          <w:rFonts w:cs="Times New Roman"/>
        </w:rPr>
        <w:t>H</w:t>
      </w:r>
      <w:r w:rsidRPr="00817B9F">
        <w:rPr>
          <w:rFonts w:cs="Times New Roman"/>
        </w:rPr>
        <w:t xml:space="preserve">ealth </w:t>
      </w:r>
      <w:r w:rsidR="00FE2284" w:rsidRPr="00817B9F">
        <w:rPr>
          <w:rFonts w:cs="Times New Roman"/>
        </w:rPr>
        <w:t>C</w:t>
      </w:r>
      <w:r w:rsidRPr="00817B9F">
        <w:rPr>
          <w:rFonts w:cs="Times New Roman"/>
        </w:rPr>
        <w:t xml:space="preserve">are </w:t>
      </w:r>
      <w:r w:rsidR="00FE2284" w:rsidRPr="00817B9F">
        <w:rPr>
          <w:rFonts w:cs="Times New Roman"/>
        </w:rPr>
        <w:t>S</w:t>
      </w:r>
      <w:r w:rsidRPr="00817B9F">
        <w:rPr>
          <w:rFonts w:cs="Times New Roman"/>
        </w:rPr>
        <w:t>ervices</w:t>
      </w:r>
      <w:bookmarkEnd w:id="138"/>
    </w:p>
    <w:p w14:paraId="0F0DE78F" w14:textId="3BAE64D5" w:rsidR="00697AC3" w:rsidRPr="00817B9F" w:rsidRDefault="00F85D1D" w:rsidP="00AA0512">
      <w:pPr>
        <w:pStyle w:val="Heading3"/>
        <w:numPr>
          <w:ilvl w:val="0"/>
          <w:numId w:val="14"/>
        </w:numPr>
      </w:pPr>
      <w:bookmarkStart w:id="139" w:name="_Toc90046548"/>
      <w:r w:rsidRPr="00817B9F">
        <w:t xml:space="preserve">The Potential for </w:t>
      </w:r>
      <w:r w:rsidR="00697AC3" w:rsidRPr="00817B9F">
        <w:t>Supply</w:t>
      </w:r>
      <w:r w:rsidR="00250D86" w:rsidRPr="00817B9F">
        <w:t>-</w:t>
      </w:r>
      <w:r w:rsidR="00697AC3" w:rsidRPr="00817B9F">
        <w:t>Induced Demand</w:t>
      </w:r>
      <w:bookmarkEnd w:id="139"/>
    </w:p>
    <w:p w14:paraId="16CA6686" w14:textId="4910C5EA" w:rsidR="00B66D3B" w:rsidRPr="00817B9F" w:rsidRDefault="00EE10B5" w:rsidP="00860937">
      <w:pPr>
        <w:pStyle w:val="NumberedParagraphs"/>
      </w:pPr>
      <w:r w:rsidRPr="00817B9F">
        <w:t xml:space="preserve">In </w:t>
      </w:r>
      <w:r w:rsidR="00840422" w:rsidRPr="00817B9F">
        <w:t xml:space="preserve">connection with </w:t>
      </w:r>
      <w:r w:rsidRPr="00817B9F">
        <w:t xml:space="preserve">our </w:t>
      </w:r>
      <w:r w:rsidR="00331CDD" w:rsidRPr="00817B9F">
        <w:t xml:space="preserve">evaluation </w:t>
      </w:r>
      <w:r w:rsidR="00840422" w:rsidRPr="00817B9F">
        <w:t xml:space="preserve">of the effects of the proposed project on utilization of health care services in Massachusetts, the </w:t>
      </w:r>
      <w:r w:rsidR="00D00B58" w:rsidRPr="00817B9F">
        <w:t xml:space="preserve">DoN program asked that we consider the potential </w:t>
      </w:r>
      <w:r w:rsidR="00AD702C" w:rsidRPr="00817B9F">
        <w:t>for the project to lead to “supply-induced demand</w:t>
      </w:r>
      <w:r w:rsidR="00EA6186" w:rsidRPr="00817B9F">
        <w:t xml:space="preserve">.” </w:t>
      </w:r>
      <w:r w:rsidR="0070599F" w:rsidRPr="00817B9F">
        <w:t>Supply</w:t>
      </w:r>
      <w:r w:rsidR="00250D86" w:rsidRPr="00817B9F">
        <w:t>-</w:t>
      </w:r>
      <w:r w:rsidR="0070599F" w:rsidRPr="00817B9F">
        <w:t xml:space="preserve">induced demand is generally defined </w:t>
      </w:r>
      <w:r w:rsidR="004A5E16" w:rsidRPr="00817B9F">
        <w:t xml:space="preserve">by economists </w:t>
      </w:r>
      <w:r w:rsidR="0070599F" w:rsidRPr="00817B9F">
        <w:t xml:space="preserve">as a “physician providing care that a fully informed patient would not choose for </w:t>
      </w:r>
      <w:r w:rsidR="00B66D3B" w:rsidRPr="00817B9F">
        <w:t>[themself]</w:t>
      </w:r>
      <w:r w:rsidR="0070599F" w:rsidRPr="00817B9F">
        <w:t>.”</w:t>
      </w:r>
      <w:r w:rsidR="0070599F" w:rsidRPr="00817B9F">
        <w:rPr>
          <w:rStyle w:val="FootnoteReference"/>
        </w:rPr>
        <w:footnoteReference w:id="207"/>
      </w:r>
      <w:r w:rsidR="0070599F" w:rsidRPr="00817B9F">
        <w:t xml:space="preserve"> </w:t>
      </w:r>
      <w:r w:rsidR="00AF44D7" w:rsidRPr="00817B9F">
        <w:t xml:space="preserve">While we </w:t>
      </w:r>
      <w:r w:rsidR="00A465F8" w:rsidRPr="00817B9F">
        <w:t>can</w:t>
      </w:r>
      <w:r w:rsidR="00AF44D7" w:rsidRPr="00817B9F">
        <w:t xml:space="preserve">not estimate the extent to which utilization </w:t>
      </w:r>
      <w:r w:rsidR="007200A1" w:rsidRPr="00817B9F">
        <w:t>o</w:t>
      </w:r>
      <w:r w:rsidR="004A5E16" w:rsidRPr="00817B9F">
        <w:t>f</w:t>
      </w:r>
      <w:r w:rsidR="00AF44D7" w:rsidRPr="00817B9F">
        <w:t xml:space="preserve"> </w:t>
      </w:r>
      <w:r w:rsidR="00875811" w:rsidRPr="00817B9F">
        <w:t>the health care services referenced in the D</w:t>
      </w:r>
      <w:r w:rsidR="008156B9" w:rsidRPr="00817B9F">
        <w:t>o</w:t>
      </w:r>
      <w:r w:rsidR="00875811" w:rsidRPr="00817B9F">
        <w:t>N application might increase as a res</w:t>
      </w:r>
      <w:r w:rsidR="00CE65AD" w:rsidRPr="00817B9F">
        <w:t xml:space="preserve">ult of supply-induced demand, we </w:t>
      </w:r>
      <w:r w:rsidR="004A5E16" w:rsidRPr="00817B9F">
        <w:t>review the existing health economics literature on th</w:t>
      </w:r>
      <w:r w:rsidR="00A94A1A" w:rsidRPr="00817B9F">
        <w:t xml:space="preserve">is subject. </w:t>
      </w:r>
    </w:p>
    <w:p w14:paraId="402FDA60" w14:textId="77777777" w:rsidR="000854B5" w:rsidRPr="00817B9F" w:rsidRDefault="0070599F" w:rsidP="000854B5">
      <w:pPr>
        <w:pStyle w:val="NumberedParagraphs"/>
      </w:pPr>
      <w:r w:rsidRPr="00817B9F">
        <w:t xml:space="preserve">Assuming for this purpose that the proposed </w:t>
      </w:r>
      <w:r w:rsidR="00216673" w:rsidRPr="00817B9F">
        <w:t xml:space="preserve">project would be </w:t>
      </w:r>
      <w:r w:rsidRPr="00817B9F">
        <w:t>associated with increased service utilization</w:t>
      </w:r>
      <w:r w:rsidR="00544826" w:rsidRPr="00817B9F">
        <w:t xml:space="preserve"> for the Applicant’s facilities</w:t>
      </w:r>
      <w:r w:rsidRPr="00817B9F">
        <w:t xml:space="preserve">, the relevant question is how to distinguish </w:t>
      </w:r>
      <w:r w:rsidR="00220747" w:rsidRPr="00817B9F">
        <w:t xml:space="preserve">between an increase in utilization that is </w:t>
      </w:r>
      <w:r w:rsidRPr="00817B9F">
        <w:t>attributable to</w:t>
      </w:r>
      <w:r w:rsidR="00220747" w:rsidRPr="00817B9F">
        <w:t xml:space="preserve">, on the one hand, the new capacity for MGB </w:t>
      </w:r>
      <w:r w:rsidRPr="00817B9F">
        <w:t>to serve demand that was previously unmet due to capacity constraints</w:t>
      </w:r>
      <w:r w:rsidR="00500C5E" w:rsidRPr="00817B9F">
        <w:t xml:space="preserve"> and</w:t>
      </w:r>
      <w:r w:rsidR="00C71AD1" w:rsidRPr="00817B9F">
        <w:t xml:space="preserve">, </w:t>
      </w:r>
      <w:r w:rsidR="00113AF8" w:rsidRPr="00817B9F">
        <w:t>on the other hand, MGB</w:t>
      </w:r>
      <w:r w:rsidRPr="00817B9F">
        <w:t xml:space="preserve"> </w:t>
      </w:r>
      <w:r w:rsidR="00D264C9" w:rsidRPr="00817B9F">
        <w:t>providing</w:t>
      </w:r>
      <w:r w:rsidRPr="00817B9F">
        <w:t xml:space="preserve"> more services </w:t>
      </w:r>
      <w:r w:rsidR="00022187" w:rsidRPr="00817B9F">
        <w:t xml:space="preserve">to patients </w:t>
      </w:r>
      <w:r w:rsidRPr="00817B9F">
        <w:t>once the complementary resources (</w:t>
      </w:r>
      <w:r w:rsidR="00022187" w:rsidRPr="00817B9F">
        <w:rPr>
          <w:i/>
          <w:iCs/>
        </w:rPr>
        <w:t>e.g.</w:t>
      </w:r>
      <w:r w:rsidR="00022187" w:rsidRPr="00817B9F">
        <w:t xml:space="preserve">, </w:t>
      </w:r>
      <w:r w:rsidR="00D264C9" w:rsidRPr="00817B9F">
        <w:t xml:space="preserve">hospital </w:t>
      </w:r>
      <w:r w:rsidRPr="00817B9F">
        <w:t>beds, operating rooms, imaging equipment) are available to do so</w:t>
      </w:r>
      <w:r w:rsidR="00022187" w:rsidRPr="00817B9F">
        <w:t>. This second category of increase</w:t>
      </w:r>
      <w:r w:rsidR="000A5C56" w:rsidRPr="00817B9F">
        <w:t>d utilization corresponds to a supply-</w:t>
      </w:r>
      <w:r w:rsidRPr="00817B9F">
        <w:t>induced deman</w:t>
      </w:r>
      <w:r w:rsidR="000A5C56" w:rsidRPr="00817B9F">
        <w:t xml:space="preserve">d effect. </w:t>
      </w:r>
    </w:p>
    <w:p w14:paraId="384FF4AC" w14:textId="45C01EF5" w:rsidR="001B1BD4" w:rsidRPr="00817B9F" w:rsidRDefault="0070599F" w:rsidP="001B1BD4">
      <w:pPr>
        <w:pStyle w:val="NumberedParagraphs"/>
      </w:pPr>
      <w:r w:rsidRPr="00817B9F">
        <w:t>The standard simplified economic model of supply</w:t>
      </w:r>
      <w:r w:rsidR="00330A80" w:rsidRPr="00817B9F">
        <w:t>-</w:t>
      </w:r>
      <w:r w:rsidRPr="00817B9F">
        <w:t xml:space="preserve">induced demand assumes that physicians have two motivations: </w:t>
      </w:r>
      <w:r w:rsidR="00307519" w:rsidRPr="00817B9F">
        <w:t>primarily</w:t>
      </w:r>
      <w:r w:rsidR="00340126" w:rsidRPr="00817B9F">
        <w:t xml:space="preserve"> </w:t>
      </w:r>
      <w:r w:rsidRPr="00817B9F">
        <w:t>to provide care that maximizes patient</w:t>
      </w:r>
      <w:r w:rsidR="00640642" w:rsidRPr="00817B9F">
        <w:t>s’</w:t>
      </w:r>
      <w:r w:rsidRPr="00817B9F">
        <w:t xml:space="preserve"> health</w:t>
      </w:r>
      <w:r w:rsidR="000B0CDE" w:rsidRPr="00817B9F">
        <w:t xml:space="preserve"> </w:t>
      </w:r>
      <w:r w:rsidRPr="00817B9F">
        <w:t>and</w:t>
      </w:r>
      <w:r w:rsidR="000B0CDE" w:rsidRPr="00817B9F">
        <w:t xml:space="preserve"> </w:t>
      </w:r>
      <w:r w:rsidR="00340126" w:rsidRPr="00817B9F">
        <w:t>second</w:t>
      </w:r>
      <w:r w:rsidR="00307519" w:rsidRPr="00817B9F">
        <w:t>arily</w:t>
      </w:r>
      <w:r w:rsidR="00340126" w:rsidRPr="00817B9F">
        <w:t xml:space="preserve"> </w:t>
      </w:r>
      <w:r w:rsidR="00D17310" w:rsidRPr="00817B9F">
        <w:t xml:space="preserve">to increase </w:t>
      </w:r>
      <w:r w:rsidR="001649E0" w:rsidRPr="00817B9F">
        <w:t>earnings</w:t>
      </w:r>
      <w:r w:rsidRPr="00817B9F">
        <w:t>.</w:t>
      </w:r>
      <w:r w:rsidR="00640642" w:rsidRPr="00817B9F">
        <w:t xml:space="preserve"> </w:t>
      </w:r>
      <w:r w:rsidRPr="00817B9F">
        <w:t>The presence of a financial motivation</w:t>
      </w:r>
      <w:r w:rsidR="004F4618" w:rsidRPr="00817B9F">
        <w:t xml:space="preserve"> for physicians </w:t>
      </w:r>
      <w:r w:rsidRPr="00817B9F">
        <w:t xml:space="preserve">combined </w:t>
      </w:r>
      <w:r w:rsidRPr="00817B9F">
        <w:lastRenderedPageBreak/>
        <w:t>with patient</w:t>
      </w:r>
      <w:r w:rsidR="00D176EA" w:rsidRPr="00817B9F">
        <w:t xml:space="preserve">s’ lack of expertise regarding </w:t>
      </w:r>
      <w:r w:rsidRPr="00817B9F">
        <w:t>treatment efficacy</w:t>
      </w:r>
      <w:r w:rsidR="00D176EA" w:rsidRPr="00817B9F">
        <w:t xml:space="preserve"> creates the potential</w:t>
      </w:r>
      <w:r w:rsidRPr="00817B9F">
        <w:t xml:space="preserve"> </w:t>
      </w:r>
      <w:r w:rsidR="007200A1" w:rsidRPr="00817B9F">
        <w:t xml:space="preserve">for </w:t>
      </w:r>
      <w:r w:rsidRPr="00817B9F">
        <w:t>supply</w:t>
      </w:r>
      <w:r w:rsidR="00D176EA" w:rsidRPr="00817B9F">
        <w:t>-</w:t>
      </w:r>
      <w:r w:rsidRPr="00817B9F">
        <w:t>induced demand. Under this model, observed variation in service utilization</w:t>
      </w:r>
      <w:r w:rsidR="00313578" w:rsidRPr="00817B9F">
        <w:t xml:space="preserve"> in different parts of the country</w:t>
      </w:r>
      <w:r w:rsidRPr="00817B9F">
        <w:t xml:space="preserve"> may be at least in part due to how physicians are reimbursed</w:t>
      </w:r>
      <w:r w:rsidR="00313578" w:rsidRPr="00817B9F">
        <w:t>. P</w:t>
      </w:r>
      <w:r w:rsidRPr="00817B9F">
        <w:t>hysicians who are paid for each service that they provide may be more susceptible to financial</w:t>
      </w:r>
      <w:r w:rsidR="00313578" w:rsidRPr="00817B9F">
        <w:t xml:space="preserve"> motivations</w:t>
      </w:r>
      <w:r w:rsidRPr="00817B9F">
        <w:t xml:space="preserve"> than salaried physicians</w:t>
      </w:r>
      <w:r w:rsidR="000A39E2" w:rsidRPr="00817B9F">
        <w:t>—</w:t>
      </w:r>
      <w:r w:rsidRPr="00817B9F">
        <w:t>such as those employed by MGB</w:t>
      </w:r>
      <w:r w:rsidR="000A39E2" w:rsidRPr="00817B9F">
        <w:t>—or</w:t>
      </w:r>
      <w:r w:rsidR="00313578" w:rsidRPr="00817B9F">
        <w:t xml:space="preserve"> </w:t>
      </w:r>
      <w:r w:rsidR="003705D8" w:rsidRPr="00817B9F">
        <w:t xml:space="preserve">physicians reimbursed under alternative payment models or as part of </w:t>
      </w:r>
      <w:r w:rsidR="00233092" w:rsidRPr="00817B9F">
        <w:t>accountable care</w:t>
      </w:r>
      <w:r w:rsidR="00386330" w:rsidRPr="00817B9F">
        <w:t xml:space="preserve"> organizations. </w:t>
      </w:r>
    </w:p>
    <w:p w14:paraId="7FA9370B" w14:textId="16B121D0" w:rsidR="007C71B0" w:rsidRPr="00817B9F" w:rsidRDefault="00E13F55" w:rsidP="007C71B0">
      <w:pPr>
        <w:pStyle w:val="NumberedParagraphs"/>
      </w:pPr>
      <w:r w:rsidRPr="00817B9F">
        <w:t>I</w:t>
      </w:r>
      <w:r w:rsidR="0070599F" w:rsidRPr="00817B9F">
        <w:t xml:space="preserve">t is also critical to recognize that physicians’ views about the efficacy of particular treatments, willingness to adopt new technologies, risk aversion, or access to complementary resources (which can affect or be affected by local practice norms) vary. This </w:t>
      </w:r>
      <w:r w:rsidRPr="00817B9F">
        <w:t>variability</w:t>
      </w:r>
      <w:r w:rsidR="0070599F" w:rsidRPr="00817B9F">
        <w:t xml:space="preserve"> is attributable to physicians’ views about </w:t>
      </w:r>
      <w:r w:rsidR="0070599F" w:rsidRPr="00817B9F">
        <w:rPr>
          <w:i/>
          <w:iCs/>
        </w:rPr>
        <w:t>what</w:t>
      </w:r>
      <w:r w:rsidR="0070599F" w:rsidRPr="00817B9F">
        <w:t xml:space="preserve"> services maximize patient health rather than to the characteristics typically </w:t>
      </w:r>
      <w:r w:rsidR="004F544D" w:rsidRPr="00817B9F">
        <w:t>linked to</w:t>
      </w:r>
      <w:r w:rsidR="0070599F" w:rsidRPr="00817B9F">
        <w:t xml:space="preserve"> supply</w:t>
      </w:r>
      <w:r w:rsidR="004F544D" w:rsidRPr="00817B9F">
        <w:t>-</w:t>
      </w:r>
      <w:r w:rsidR="0070599F" w:rsidRPr="00817B9F">
        <w:t>induced demand</w:t>
      </w:r>
      <w:r w:rsidR="004F544D" w:rsidRPr="00817B9F">
        <w:t xml:space="preserve">: </w:t>
      </w:r>
      <w:r w:rsidR="0070599F" w:rsidRPr="00817B9F">
        <w:t>variability in the importance of financial incentives combined with patients’ imperfect information</w:t>
      </w:r>
      <w:r w:rsidR="004F544D" w:rsidRPr="00817B9F">
        <w:t xml:space="preserve"> </w:t>
      </w:r>
      <w:r w:rsidR="00DF57A5" w:rsidRPr="00817B9F">
        <w:t>on treatment efficacy</w:t>
      </w:r>
      <w:r w:rsidR="0070599F" w:rsidRPr="00817B9F">
        <w:t>.</w:t>
      </w:r>
      <w:r w:rsidR="00611B71" w:rsidRPr="00817B9F">
        <w:t xml:space="preserve"> </w:t>
      </w:r>
      <w:r w:rsidR="0070599F" w:rsidRPr="00817B9F">
        <w:t>In assessing the potential for variation in utilization, services can be categorized into three groups</w:t>
      </w:r>
      <w:r w:rsidR="00BB2346" w:rsidRPr="00817B9F">
        <w:t>.</w:t>
      </w:r>
      <w:r w:rsidR="00BB2346" w:rsidRPr="00817B9F">
        <w:rPr>
          <w:rStyle w:val="FootnoteReference"/>
        </w:rPr>
        <w:footnoteReference w:id="208"/>
      </w:r>
      <w:r w:rsidR="0070599F" w:rsidRPr="00817B9F">
        <w:t xml:space="preserve"> </w:t>
      </w:r>
    </w:p>
    <w:p w14:paraId="3D86F2D6" w14:textId="77777777" w:rsidR="00C90C21" w:rsidRPr="00817B9F" w:rsidRDefault="0070599F" w:rsidP="005D3EC9">
      <w:pPr>
        <w:pStyle w:val="BulletParagraph"/>
        <w:rPr>
          <w:rFonts w:cs="Times New Roman"/>
        </w:rPr>
      </w:pPr>
      <w:r w:rsidRPr="00817B9F">
        <w:rPr>
          <w:rFonts w:cs="Times New Roman"/>
        </w:rPr>
        <w:t xml:space="preserve">Treatments that are known (and generally perceived) to be highly effective, </w:t>
      </w:r>
      <w:r w:rsidRPr="00817B9F">
        <w:rPr>
          <w:rFonts w:cs="Times New Roman"/>
          <w:i/>
          <w:iCs/>
        </w:rPr>
        <w:t>e.g.</w:t>
      </w:r>
      <w:r w:rsidRPr="00817B9F">
        <w:rPr>
          <w:rFonts w:cs="Times New Roman"/>
        </w:rPr>
        <w:t>, beta blockers for heart attacks. These services may be costly, but they are generally highly productive for well-defined categories of patients, or they are reasonably productive across a wide range of patients and low cost. As a result, utilization of these services is not likely to exhibit much variability (or</w:t>
      </w:r>
      <w:r w:rsidR="00261BED" w:rsidRPr="00817B9F">
        <w:rPr>
          <w:rFonts w:cs="Times New Roman"/>
        </w:rPr>
        <w:t xml:space="preserve"> be susceptible to</w:t>
      </w:r>
      <w:r w:rsidRPr="00817B9F">
        <w:rPr>
          <w:rFonts w:cs="Times New Roman"/>
        </w:rPr>
        <w:t xml:space="preserve"> supply</w:t>
      </w:r>
      <w:r w:rsidR="00261BED" w:rsidRPr="00817B9F">
        <w:rPr>
          <w:rFonts w:cs="Times New Roman"/>
        </w:rPr>
        <w:t>-</w:t>
      </w:r>
      <w:r w:rsidRPr="00817B9F">
        <w:rPr>
          <w:rFonts w:cs="Times New Roman"/>
        </w:rPr>
        <w:t>induced demand)</w:t>
      </w:r>
      <w:r w:rsidR="00261BED" w:rsidRPr="00817B9F">
        <w:rPr>
          <w:rFonts w:cs="Times New Roman"/>
        </w:rPr>
        <w:t>.</w:t>
      </w:r>
    </w:p>
    <w:p w14:paraId="163EF066" w14:textId="7651F69C" w:rsidR="0070599F" w:rsidRPr="00817B9F" w:rsidRDefault="0070599F" w:rsidP="005D3EC9">
      <w:pPr>
        <w:pStyle w:val="BulletParagraph"/>
        <w:rPr>
          <w:rFonts w:cs="Times New Roman"/>
        </w:rPr>
      </w:pPr>
      <w:r w:rsidRPr="00817B9F">
        <w:rPr>
          <w:rFonts w:cs="Times New Roman"/>
        </w:rPr>
        <w:t xml:space="preserve">Treatments for which there is substantial heterogeneity in the benefit across different types of patients, </w:t>
      </w:r>
      <w:r w:rsidRPr="00817B9F">
        <w:rPr>
          <w:rFonts w:cs="Times New Roman"/>
          <w:i/>
          <w:iCs/>
        </w:rPr>
        <w:t>e.g.,</w:t>
      </w:r>
      <w:r w:rsidRPr="00817B9F">
        <w:rPr>
          <w:rFonts w:cs="Times New Roman"/>
        </w:rPr>
        <w:t xml:space="preserve"> stents that work well for patients with recent heart attacks but are much less effective later in the patients’ recovery, or back surgery. Differences of opinions across physicians regarding the likely patient benefit may lead to different utilization patterns for these services. </w:t>
      </w:r>
    </w:p>
    <w:p w14:paraId="079935E6" w14:textId="77777777" w:rsidR="0070599F" w:rsidRPr="00817B9F" w:rsidRDefault="0070599F" w:rsidP="005D3EC9">
      <w:pPr>
        <w:pStyle w:val="BulletParagraph"/>
        <w:rPr>
          <w:rFonts w:cs="Times New Roman"/>
        </w:rPr>
      </w:pPr>
      <w:r w:rsidRPr="00817B9F">
        <w:rPr>
          <w:rFonts w:cs="Times New Roman"/>
        </w:rPr>
        <w:t xml:space="preserve">Treatments for which evidence of benefit is small or unknown. </w:t>
      </w:r>
    </w:p>
    <w:p w14:paraId="121B2258" w14:textId="52F619D8" w:rsidR="00C50DF9" w:rsidRPr="00817B9F" w:rsidRDefault="0070599F" w:rsidP="00C50DF9">
      <w:pPr>
        <w:spacing w:after="200"/>
        <w:rPr>
          <w:rFonts w:ascii="Times New Roman" w:hAnsi="Times New Roman" w:cs="Times New Roman"/>
        </w:rPr>
      </w:pPr>
      <w:r w:rsidRPr="00817B9F">
        <w:rPr>
          <w:rFonts w:ascii="Times New Roman" w:hAnsi="Times New Roman" w:cs="Times New Roman"/>
        </w:rPr>
        <w:lastRenderedPageBreak/>
        <w:t>This last category is most likely to exhibit substantial variability and be most susceptible to supply</w:t>
      </w:r>
      <w:r w:rsidR="00D35DE1" w:rsidRPr="00817B9F">
        <w:rPr>
          <w:rFonts w:ascii="Times New Roman" w:hAnsi="Times New Roman" w:cs="Times New Roman"/>
        </w:rPr>
        <w:t>-</w:t>
      </w:r>
      <w:r w:rsidRPr="00817B9F">
        <w:rPr>
          <w:rFonts w:ascii="Times New Roman" w:hAnsi="Times New Roman" w:cs="Times New Roman"/>
        </w:rPr>
        <w:t>induced demand. However, a</w:t>
      </w:r>
      <w:r w:rsidR="00C50DF9" w:rsidRPr="00817B9F">
        <w:rPr>
          <w:rFonts w:ascii="Times New Roman" w:hAnsi="Times New Roman" w:cs="Times New Roman"/>
        </w:rPr>
        <w:t xml:space="preserve"> </w:t>
      </w:r>
      <w:r w:rsidRPr="00817B9F">
        <w:rPr>
          <w:rFonts w:ascii="Times New Roman" w:hAnsi="Times New Roman" w:cs="Times New Roman"/>
        </w:rPr>
        <w:t xml:space="preserve">service for which clinical guidance is </w:t>
      </w:r>
      <w:r w:rsidR="008978E5" w:rsidRPr="00817B9F">
        <w:rPr>
          <w:rFonts w:ascii="Times New Roman" w:hAnsi="Times New Roman" w:cs="Times New Roman"/>
        </w:rPr>
        <w:t>lacking</w:t>
      </w:r>
      <w:r w:rsidRPr="00817B9F">
        <w:rPr>
          <w:rFonts w:ascii="Times New Roman" w:hAnsi="Times New Roman" w:cs="Times New Roman"/>
        </w:rPr>
        <w:t>, the scope of harm (the risk) from providing the service is small</w:t>
      </w:r>
      <w:r w:rsidR="008978E5" w:rsidRPr="00817B9F">
        <w:rPr>
          <w:rFonts w:ascii="Times New Roman" w:hAnsi="Times New Roman" w:cs="Times New Roman"/>
        </w:rPr>
        <w:t>,</w:t>
      </w:r>
      <w:r w:rsidRPr="00817B9F">
        <w:rPr>
          <w:rFonts w:ascii="Times New Roman" w:hAnsi="Times New Roman" w:cs="Times New Roman"/>
        </w:rPr>
        <w:t xml:space="preserve"> or the benefit is idiosyncratic across patients is</w:t>
      </w:r>
      <w:r w:rsidR="00C50DF9" w:rsidRPr="00817B9F">
        <w:rPr>
          <w:rFonts w:ascii="Times New Roman" w:hAnsi="Times New Roman" w:cs="Times New Roman"/>
        </w:rPr>
        <w:t>, all else equal,</w:t>
      </w:r>
      <w:r w:rsidRPr="00817B9F">
        <w:rPr>
          <w:rFonts w:ascii="Times New Roman" w:hAnsi="Times New Roman" w:cs="Times New Roman"/>
        </w:rPr>
        <w:t xml:space="preserve"> more likely to exhibit variation in utilization because of differing physician beliefs regarding treatment efficacy.</w:t>
      </w:r>
      <w:r w:rsidRPr="00817B9F">
        <w:rPr>
          <w:rStyle w:val="FootnoteReference"/>
          <w:rFonts w:ascii="Times New Roman" w:hAnsi="Times New Roman" w:cs="Times New Roman"/>
        </w:rPr>
        <w:footnoteReference w:id="209"/>
      </w:r>
    </w:p>
    <w:p w14:paraId="1CD29FFE" w14:textId="2A4AD8C6" w:rsidR="0070599F" w:rsidRPr="00817B9F" w:rsidRDefault="0070599F" w:rsidP="00C50DF9">
      <w:pPr>
        <w:pStyle w:val="NumberedParagraphs"/>
      </w:pPr>
      <w:r w:rsidRPr="00817B9F">
        <w:t>In assessing the causes of regional variation in observed utilization</w:t>
      </w:r>
      <w:r w:rsidR="006F0B18" w:rsidRPr="00817B9F">
        <w:t>—</w:t>
      </w:r>
      <w:r w:rsidRPr="00817B9F">
        <w:t xml:space="preserve">either in aggregate or for </w:t>
      </w:r>
      <w:r w:rsidR="00BB69EA" w:rsidRPr="00817B9F">
        <w:t>individual</w:t>
      </w:r>
      <w:r w:rsidRPr="00817B9F">
        <w:t xml:space="preserve"> services</w:t>
      </w:r>
      <w:r w:rsidR="00BB69EA" w:rsidRPr="00817B9F">
        <w:t>—</w:t>
      </w:r>
      <w:r w:rsidRPr="00817B9F">
        <w:t>the empirical economic literature tends to attempt to distinguish between variation in direct patient demand due to differences in health status, ability to pay, and supply</w:t>
      </w:r>
      <w:r w:rsidR="00BB69EA" w:rsidRPr="00817B9F">
        <w:t>-</w:t>
      </w:r>
      <w:r w:rsidRPr="00817B9F">
        <w:t>induced factors. This literature typically finds that both demand and supply factors are relevant</w:t>
      </w:r>
      <w:r w:rsidR="00AA0DB3" w:rsidRPr="00817B9F">
        <w:t xml:space="preserve"> in explaining variation in utilization of health care services</w:t>
      </w:r>
      <w:r w:rsidRPr="00817B9F">
        <w:t>, but that more variation is explained by supply</w:t>
      </w:r>
      <w:r w:rsidR="00AA0DB3" w:rsidRPr="00817B9F">
        <w:t xml:space="preserve"> factors</w:t>
      </w:r>
      <w:r w:rsidRPr="00817B9F">
        <w:t xml:space="preserve"> than </w:t>
      </w:r>
      <w:r w:rsidR="00AA0DB3" w:rsidRPr="00817B9F">
        <w:t xml:space="preserve">by </w:t>
      </w:r>
      <w:r w:rsidRPr="00817B9F">
        <w:t>demand</w:t>
      </w:r>
      <w:r w:rsidR="008C2F8C" w:rsidRPr="00817B9F">
        <w:t xml:space="preserve"> factors</w:t>
      </w:r>
      <w:r w:rsidRPr="00817B9F">
        <w:t xml:space="preserve">. This finding alone, however, does not support </w:t>
      </w:r>
      <w:r w:rsidR="00841DF9" w:rsidRPr="00817B9F">
        <w:t xml:space="preserve">the </w:t>
      </w:r>
      <w:r w:rsidRPr="00817B9F">
        <w:t xml:space="preserve">conclusion </w:t>
      </w:r>
      <w:r w:rsidR="00841DF9" w:rsidRPr="00817B9F">
        <w:t>that construction or expansion of health care facilities will lead to</w:t>
      </w:r>
      <w:r w:rsidRPr="00817B9F">
        <w:t xml:space="preserve"> supply</w:t>
      </w:r>
      <w:r w:rsidR="00841DF9" w:rsidRPr="00817B9F">
        <w:t>-</w:t>
      </w:r>
      <w:r w:rsidRPr="00817B9F">
        <w:t xml:space="preserve">induced demand </w:t>
      </w:r>
      <w:r w:rsidR="00193526" w:rsidRPr="00817B9F">
        <w:t>because</w:t>
      </w:r>
      <w:r w:rsidR="0091607F" w:rsidRPr="00817B9F">
        <w:t xml:space="preserve"> differences in utilization are</w:t>
      </w:r>
      <w:r w:rsidRPr="00817B9F">
        <w:t xml:space="preserve"> also often attributable to substantial variation in physician beliefs about treatment effectiveness.</w:t>
      </w:r>
    </w:p>
    <w:p w14:paraId="5750839A" w14:textId="3CB70616" w:rsidR="0070599F" w:rsidRPr="00817B9F" w:rsidRDefault="0070599F" w:rsidP="00193526">
      <w:pPr>
        <w:pStyle w:val="NumberedParagraphs"/>
      </w:pPr>
      <w:r w:rsidRPr="00817B9F">
        <w:t>There are limitations to many of the existing studies that attempt to distinguish between demand</w:t>
      </w:r>
      <w:r w:rsidR="00CC1C67" w:rsidRPr="00817B9F">
        <w:t>-</w:t>
      </w:r>
      <w:r w:rsidRPr="00817B9F">
        <w:t xml:space="preserve"> and supply</w:t>
      </w:r>
      <w:r w:rsidR="00315C2C" w:rsidRPr="00817B9F">
        <w:t>-</w:t>
      </w:r>
      <w:r w:rsidRPr="00817B9F">
        <w:t xml:space="preserve">driven factors. </w:t>
      </w:r>
      <w:r w:rsidR="004E41DE" w:rsidRPr="00817B9F">
        <w:t>These s</w:t>
      </w:r>
      <w:r w:rsidRPr="00817B9F">
        <w:t>tudies are often based on the experience</w:t>
      </w:r>
      <w:r w:rsidR="00F437DD" w:rsidRPr="00817B9F">
        <w:t>s</w:t>
      </w:r>
      <w:r w:rsidRPr="00817B9F">
        <w:t xml:space="preserve"> of Medicare </w:t>
      </w:r>
      <w:r w:rsidR="00F437DD" w:rsidRPr="00817B9F">
        <w:t>beneficiaries because utilization data</w:t>
      </w:r>
      <w:r w:rsidRPr="00817B9F">
        <w:t xml:space="preserve"> are more readily available for this patient cohort</w:t>
      </w:r>
      <w:r w:rsidR="00E81666" w:rsidRPr="00817B9F">
        <w:t>; however,</w:t>
      </w:r>
      <w:r w:rsidRPr="00817B9F">
        <w:t xml:space="preserve"> findings </w:t>
      </w:r>
      <w:r w:rsidR="00E81666" w:rsidRPr="00817B9F">
        <w:t xml:space="preserve">for the Medicare cohort may not be generalizable to the broader population of </w:t>
      </w:r>
      <w:r w:rsidR="0007105A" w:rsidRPr="00817B9F">
        <w:t>patients</w:t>
      </w:r>
      <w:r w:rsidRPr="00817B9F">
        <w:t xml:space="preserve">. Many studies are also of limited </w:t>
      </w:r>
      <w:r w:rsidR="0007105A" w:rsidRPr="00817B9F">
        <w:t>use</w:t>
      </w:r>
      <w:r w:rsidRPr="00817B9F">
        <w:t xml:space="preserve"> because they are descriptive rather than attempt to sort out causation: for example, does the high utilization and lower mortality </w:t>
      </w:r>
      <w:r w:rsidR="00C07F31" w:rsidRPr="00817B9F">
        <w:t>in</w:t>
      </w:r>
      <w:r w:rsidRPr="00817B9F">
        <w:t xml:space="preserve"> McAllen, Texas imply that the additional </w:t>
      </w:r>
      <w:r w:rsidR="00003773" w:rsidRPr="00817B9F">
        <w:t xml:space="preserve">health care </w:t>
      </w:r>
      <w:r w:rsidRPr="00817B9F">
        <w:t xml:space="preserve">services </w:t>
      </w:r>
      <w:r w:rsidR="00003773" w:rsidRPr="00817B9F">
        <w:t xml:space="preserve">offered to patients in that community </w:t>
      </w:r>
      <w:r w:rsidRPr="00817B9F">
        <w:t>produce “good outcomes</w:t>
      </w:r>
      <w:r w:rsidR="00EF0C2A" w:rsidRPr="00817B9F">
        <w:t>,</w:t>
      </w:r>
      <w:r w:rsidRPr="00817B9F">
        <w:t>” or are those additional services unnecessary because the population’s underlying health status is greater?</w:t>
      </w:r>
      <w:r w:rsidRPr="00817B9F">
        <w:rPr>
          <w:rStyle w:val="FootnoteReference"/>
        </w:rPr>
        <w:footnoteReference w:id="210"/>
      </w:r>
      <w:r w:rsidRPr="00817B9F">
        <w:t xml:space="preserve"> Some recent studies have used</w:t>
      </w:r>
      <w:r w:rsidR="00F87411" w:rsidRPr="00817B9F">
        <w:t xml:space="preserve"> a</w:t>
      </w:r>
      <w:r w:rsidRPr="00817B9F">
        <w:t xml:space="preserve"> more robust </w:t>
      </w:r>
      <w:r w:rsidR="00F87411" w:rsidRPr="00817B9F">
        <w:t xml:space="preserve">empirical approach </w:t>
      </w:r>
      <w:r w:rsidRPr="00817B9F">
        <w:t>to address</w:t>
      </w:r>
      <w:r w:rsidR="00F87411" w:rsidRPr="00817B9F">
        <w:t xml:space="preserve"> the </w:t>
      </w:r>
      <w:r w:rsidR="00B34EC7" w:rsidRPr="00817B9F">
        <w:t>issue of</w:t>
      </w:r>
      <w:r w:rsidRPr="00817B9F">
        <w:t xml:space="preserve"> causation. </w:t>
      </w:r>
      <w:r w:rsidR="00B11FBD" w:rsidRPr="00817B9F">
        <w:t>We</w:t>
      </w:r>
      <w:r w:rsidR="00F87411" w:rsidRPr="00817B9F">
        <w:t xml:space="preserve"> describe f</w:t>
      </w:r>
      <w:r w:rsidRPr="00817B9F">
        <w:t xml:space="preserve">indings from a few </w:t>
      </w:r>
      <w:r w:rsidR="00F87411" w:rsidRPr="00817B9F">
        <w:t xml:space="preserve">such studies </w:t>
      </w:r>
      <w:r w:rsidRPr="00817B9F">
        <w:t>below.</w:t>
      </w:r>
    </w:p>
    <w:p w14:paraId="46D58ADA" w14:textId="37D6835C" w:rsidR="0070599F" w:rsidRPr="00817B9F" w:rsidRDefault="0070599F" w:rsidP="00B34EC7">
      <w:pPr>
        <w:pStyle w:val="NumberedParagraphs"/>
      </w:pPr>
      <w:r w:rsidRPr="00817B9F">
        <w:lastRenderedPageBreak/>
        <w:t xml:space="preserve">Cutler </w:t>
      </w:r>
      <w:r w:rsidRPr="00817B9F">
        <w:rPr>
          <w:i/>
          <w:iCs/>
        </w:rPr>
        <w:t>et al.</w:t>
      </w:r>
      <w:r w:rsidR="00B34EC7" w:rsidRPr="00817B9F">
        <w:t xml:space="preserve"> (</w:t>
      </w:r>
      <w:r w:rsidR="00610FF3" w:rsidRPr="00817B9F">
        <w:t>2019)</w:t>
      </w:r>
      <w:r w:rsidRPr="00817B9F">
        <w:t xml:space="preserve"> use vignette-based physician and patient surveys linked with Medicare claims to assess whether physician or patient characteristics can explain variation in Medicare expenditures across geographic areas.</w:t>
      </w:r>
      <w:r w:rsidR="00610FF3" w:rsidRPr="00817B9F">
        <w:rPr>
          <w:rStyle w:val="FootnoteReference"/>
        </w:rPr>
        <w:footnoteReference w:id="211"/>
      </w:r>
      <w:r w:rsidR="00BA460D" w:rsidRPr="00817B9F">
        <w:t xml:space="preserve"> </w:t>
      </w:r>
      <w:r w:rsidRPr="00817B9F">
        <w:t>The</w:t>
      </w:r>
      <w:r w:rsidR="00610FF3" w:rsidRPr="00817B9F">
        <w:t xml:space="preserve"> authors</w:t>
      </w:r>
      <w:r w:rsidRPr="00817B9F">
        <w:t xml:space="preserve"> survey both primary care physicians and cardiologists using vignettes that describe elderly patients with particular conditions and medical histories and ask the physicians how they would </w:t>
      </w:r>
      <w:r w:rsidR="00BA460D" w:rsidRPr="00817B9F">
        <w:t>provide care for</w:t>
      </w:r>
      <w:r w:rsidRPr="00817B9F">
        <w:t xml:space="preserve"> such patients. Based on their responses, surveyed physicians are characterized non-exclusively as “cowboys” (physicians who routinely recommend care beyond what clinical guidelines suggest) and “comforters” (those who consistently recommend palliative care for severely ill patients)</w:t>
      </w:r>
      <w:r w:rsidR="00303C2C" w:rsidRPr="00817B9F">
        <w:t>.</w:t>
      </w:r>
      <w:r w:rsidRPr="00817B9F">
        <w:t xml:space="preserve"> The surveys also measure the frequency with which physicians recommend that patients return for follow</w:t>
      </w:r>
      <w:r w:rsidR="00735D4D" w:rsidRPr="00817B9F">
        <w:t>-</w:t>
      </w:r>
      <w:r w:rsidRPr="00817B9F">
        <w:t>up visits and collect information on the physicians’ compensation arrangements and practice structure.</w:t>
      </w:r>
      <w:r w:rsidR="00303C2C" w:rsidRPr="00817B9F">
        <w:t xml:space="preserve"> P</w:t>
      </w:r>
      <w:r w:rsidRPr="00817B9F">
        <w:t>atient preferences are measured by asking patients about whether they would choose aggressive or palliative end</w:t>
      </w:r>
      <w:r w:rsidR="00303C2C" w:rsidRPr="00817B9F">
        <w:t>-</w:t>
      </w:r>
      <w:r w:rsidRPr="00817B9F">
        <w:t>of</w:t>
      </w:r>
      <w:r w:rsidR="00303C2C" w:rsidRPr="00817B9F">
        <w:t>-</w:t>
      </w:r>
      <w:r w:rsidRPr="00817B9F">
        <w:t xml:space="preserve">life care and whether they would seek additional testing or cardiac referrals for new chest pain. </w:t>
      </w:r>
    </w:p>
    <w:p w14:paraId="79C0B4D5" w14:textId="12204212" w:rsidR="0070599F" w:rsidRPr="00817B9F" w:rsidRDefault="0070599F" w:rsidP="003406B5">
      <w:pPr>
        <w:pStyle w:val="NumberedParagraphs"/>
      </w:pPr>
      <w:r w:rsidRPr="00817B9F">
        <w:t xml:space="preserve">The authors estimate models that attempt to explain either total health care expenditures in the last two years of life or spending following heart attacks as a function of provider-specific factors and patient preferences. </w:t>
      </w:r>
      <w:r w:rsidR="003639AF" w:rsidRPr="00817B9F">
        <w:t>T</w:t>
      </w:r>
      <w:r w:rsidRPr="00817B9F">
        <w:t>hey use data from the Dartmouth Atlas on Medicare spending across th</w:t>
      </w:r>
      <w:r w:rsidR="00EC7BA0" w:rsidRPr="00817B9F">
        <w:t>e</w:t>
      </w:r>
      <w:r w:rsidRPr="00817B9F">
        <w:t xml:space="preserve"> largest Hospital Referral Regions and aggregate physician and patient survey responses to this level. They also estimate a model using individual patient</w:t>
      </w:r>
      <w:r w:rsidR="00F20E14" w:rsidRPr="00817B9F">
        <w:t>-</w:t>
      </w:r>
      <w:r w:rsidRPr="00817B9F">
        <w:t>level expenditures for heart attacks.</w:t>
      </w:r>
      <w:r w:rsidR="003406B5" w:rsidRPr="00817B9F">
        <w:t xml:space="preserve"> Using this approach, the authors </w:t>
      </w:r>
      <w:r w:rsidRPr="00817B9F">
        <w:t>find that end</w:t>
      </w:r>
      <w:r w:rsidR="003406B5" w:rsidRPr="00817B9F">
        <w:t>-</w:t>
      </w:r>
      <w:r w:rsidRPr="00817B9F">
        <w:t>of</w:t>
      </w:r>
      <w:r w:rsidR="003406B5" w:rsidRPr="00817B9F">
        <w:t>-</w:t>
      </w:r>
      <w:r w:rsidRPr="00817B9F">
        <w:t>life spending is positively related to the proportion of cowboys, negatively related to the proportion of comforters, and positively related to the fraction of physicians who recommend more frequent follow up than is suggested by clinical guidelines.</w:t>
      </w:r>
      <w:r w:rsidRPr="00817B9F">
        <w:rPr>
          <w:rStyle w:val="FootnoteReference"/>
        </w:rPr>
        <w:footnoteReference w:id="212"/>
      </w:r>
      <w:r w:rsidRPr="00817B9F">
        <w:t xml:space="preserve"> Demand-based factors and patient preferences are generally not significant, although physicians’ expressed “pressure to accommodate” patients (or their referring physicians) </w:t>
      </w:r>
      <w:r w:rsidR="00C47959" w:rsidRPr="00817B9F">
        <w:t>has</w:t>
      </w:r>
      <w:r w:rsidRPr="00817B9F">
        <w:t xml:space="preserve"> a small</w:t>
      </w:r>
      <w:r w:rsidR="00EC7BA0" w:rsidRPr="00817B9F">
        <w:t xml:space="preserve"> but statistically </w:t>
      </w:r>
      <w:r w:rsidRPr="00817B9F">
        <w:t xml:space="preserve">significant relationship with physician beliefs about appropriate care patterns. </w:t>
      </w:r>
    </w:p>
    <w:p w14:paraId="4B96BAC2" w14:textId="34A20800" w:rsidR="0070599F" w:rsidRPr="00817B9F" w:rsidRDefault="0070599F" w:rsidP="00E23D62">
      <w:pPr>
        <w:pStyle w:val="NumberedParagraphs"/>
      </w:pPr>
      <w:r w:rsidRPr="00817B9F">
        <w:lastRenderedPageBreak/>
        <w:t xml:space="preserve">The authors </w:t>
      </w:r>
      <w:r w:rsidR="00B37085" w:rsidRPr="00817B9F">
        <w:t xml:space="preserve">also </w:t>
      </w:r>
      <w:r w:rsidRPr="00817B9F">
        <w:t xml:space="preserve">estimate </w:t>
      </w:r>
      <w:r w:rsidR="00B37085" w:rsidRPr="00817B9F">
        <w:t xml:space="preserve">models that attempt to explain </w:t>
      </w:r>
      <w:r w:rsidRPr="00817B9F">
        <w:t xml:space="preserve">variation in expenditures on heart attack patients </w:t>
      </w:r>
      <w:r w:rsidR="00C65C0C" w:rsidRPr="00817B9F">
        <w:t>across</w:t>
      </w:r>
      <w:r w:rsidR="0059326F" w:rsidRPr="00817B9F">
        <w:t xml:space="preserve"> Hospital Referral Regions</w:t>
      </w:r>
      <w:r w:rsidRPr="00817B9F">
        <w:t>.</w:t>
      </w:r>
      <w:r w:rsidR="00C55670" w:rsidRPr="00817B9F">
        <w:t xml:space="preserve"> </w:t>
      </w:r>
      <w:r w:rsidRPr="00817B9F">
        <w:t>They find that high proportions of cowboys and high</w:t>
      </w:r>
      <w:r w:rsidR="00B37085" w:rsidRPr="00817B9F">
        <w:t>-</w:t>
      </w:r>
      <w:r w:rsidRPr="00817B9F">
        <w:t>follow</w:t>
      </w:r>
      <w:r w:rsidR="00B37085" w:rsidRPr="00817B9F">
        <w:t>-</w:t>
      </w:r>
      <w:r w:rsidRPr="00817B9F">
        <w:t>up</w:t>
      </w:r>
      <w:r w:rsidR="00B37085" w:rsidRPr="00817B9F">
        <w:t xml:space="preserve"> </w:t>
      </w:r>
      <w:r w:rsidRPr="00817B9F">
        <w:t>physicians are associated with higher expenditures and the opposite is true for comforters and low</w:t>
      </w:r>
      <w:r w:rsidR="00B37085" w:rsidRPr="00817B9F">
        <w:t>-fo</w:t>
      </w:r>
      <w:r w:rsidRPr="00817B9F">
        <w:t>llow</w:t>
      </w:r>
      <w:r w:rsidR="00B37085" w:rsidRPr="00817B9F">
        <w:t>-</w:t>
      </w:r>
      <w:r w:rsidRPr="00817B9F">
        <w:t xml:space="preserve">up physicians. They also find that </w:t>
      </w:r>
      <w:r w:rsidR="00C55670" w:rsidRPr="00817B9F">
        <w:t>Hospital Referral Regions</w:t>
      </w:r>
      <w:r w:rsidRPr="00817B9F">
        <w:t xml:space="preserve"> with larger proportions of cowboys and high</w:t>
      </w:r>
      <w:r w:rsidR="00C55670" w:rsidRPr="00817B9F">
        <w:t>-</w:t>
      </w:r>
      <w:r w:rsidRPr="00817B9F">
        <w:t xml:space="preserve">follow-up </w:t>
      </w:r>
      <w:r w:rsidR="00E23D62" w:rsidRPr="00817B9F">
        <w:t>physicians</w:t>
      </w:r>
      <w:r w:rsidRPr="00817B9F">
        <w:t xml:space="preserve"> </w:t>
      </w:r>
      <w:r w:rsidR="0D6F1033" w:rsidRPr="00817B9F">
        <w:t>e</w:t>
      </w:r>
      <w:r w:rsidR="472E5E79" w:rsidRPr="00817B9F">
        <w:t>xperi</w:t>
      </w:r>
      <w:r w:rsidRPr="00817B9F">
        <w:t>ence higher</w:t>
      </w:r>
      <w:r w:rsidR="00E23D62" w:rsidRPr="00817B9F">
        <w:t>-</w:t>
      </w:r>
      <w:r w:rsidRPr="00817B9F">
        <w:t>quality care for acute myocardial infarction. While t</w:t>
      </w:r>
      <w:r w:rsidR="00E23D62" w:rsidRPr="00817B9F">
        <w:t xml:space="preserve">his </w:t>
      </w:r>
      <w:r w:rsidRPr="00817B9F">
        <w:t>evidence might be interpreted as indicating supply</w:t>
      </w:r>
      <w:r w:rsidR="00E23D62" w:rsidRPr="00817B9F">
        <w:t>-</w:t>
      </w:r>
      <w:r w:rsidRPr="00817B9F">
        <w:t>induced demand (if physicians become motivated as cowboys due to financial considerations), the authors note the limited role of financial factors in explaining variation in physician practice patterns.</w:t>
      </w:r>
      <w:r w:rsidRPr="00817B9F">
        <w:rPr>
          <w:rStyle w:val="FootnoteReference"/>
        </w:rPr>
        <w:footnoteReference w:id="213"/>
      </w:r>
      <w:r w:rsidRPr="00817B9F">
        <w:t xml:space="preserve"> Rather, the authors find that surveyed physicians express very different beliefs about the efficacy of </w:t>
      </w:r>
      <w:r w:rsidR="008657B4" w:rsidRPr="00817B9F">
        <w:t>particular treatments</w:t>
      </w:r>
      <w:r w:rsidRPr="00817B9F">
        <w:t>.</w:t>
      </w:r>
      <w:r w:rsidR="004C5218" w:rsidRPr="00817B9F">
        <w:t xml:space="preserve"> Most importantly, the variation in health care expenditures in this study was</w:t>
      </w:r>
      <w:r w:rsidR="00355E77" w:rsidRPr="00817B9F">
        <w:t xml:space="preserve"> linked to differences in physician practice patterns, not to differences in the </w:t>
      </w:r>
      <w:r w:rsidR="00033CB1" w:rsidRPr="00817B9F">
        <w:t xml:space="preserve">number or capacity of health care facilities in each region. </w:t>
      </w:r>
    </w:p>
    <w:p w14:paraId="7B64F7DD" w14:textId="1081ACE9" w:rsidR="00475BB4" w:rsidRPr="00817B9F" w:rsidRDefault="0070599F" w:rsidP="00E60C4B">
      <w:pPr>
        <w:pStyle w:val="NumberedParagraphs"/>
      </w:pPr>
      <w:r w:rsidRPr="00817B9F">
        <w:t>Clemens and Gottlieb</w:t>
      </w:r>
      <w:r w:rsidR="00180868" w:rsidRPr="00817B9F">
        <w:t xml:space="preserve"> (2014) </w:t>
      </w:r>
      <w:r w:rsidRPr="00817B9F">
        <w:t>investigate the extent to which physicians</w:t>
      </w:r>
      <w:r w:rsidR="00271AB5" w:rsidRPr="00817B9F">
        <w:t>’</w:t>
      </w:r>
      <w:r w:rsidRPr="00817B9F">
        <w:t xml:space="preserve"> compensation arrangements affect their treatment recommendations.</w:t>
      </w:r>
      <w:r w:rsidR="00180868" w:rsidRPr="00817B9F">
        <w:rPr>
          <w:rStyle w:val="FootnoteReference"/>
        </w:rPr>
        <w:footnoteReference w:id="214"/>
      </w:r>
      <w:r w:rsidRPr="00817B9F">
        <w:t xml:space="preserve"> They use a natural experiment based on a 1997 change in the way </w:t>
      </w:r>
      <w:r w:rsidR="004B7EE3" w:rsidRPr="00817B9F">
        <w:t>the</w:t>
      </w:r>
      <w:r w:rsidRPr="00817B9F">
        <w:t xml:space="preserve"> Medicare program adjusted physician payment rates geographically to analyze how physician treatment decisions change when their reimbursement changes</w:t>
      </w:r>
      <w:r w:rsidR="000D1562" w:rsidRPr="00817B9F">
        <w:t>.</w:t>
      </w:r>
      <w:r w:rsidR="000D1562" w:rsidRPr="00817B9F">
        <w:rPr>
          <w:rStyle w:val="FootnoteReference"/>
        </w:rPr>
        <w:footnoteReference w:id="215"/>
      </w:r>
      <w:r w:rsidR="00E60C4B" w:rsidRPr="00817B9F">
        <w:t xml:space="preserve"> </w:t>
      </w:r>
      <w:r w:rsidRPr="00817B9F">
        <w:t xml:space="preserve">The authors estimate both the aggregate effect </w:t>
      </w:r>
      <w:r w:rsidR="00F07D3F" w:rsidRPr="00817B9F">
        <w:t>on the amount of care provided to patients</w:t>
      </w:r>
      <w:r w:rsidRPr="00817B9F">
        <w:t xml:space="preserve"> as well as the effect on the </w:t>
      </w:r>
      <w:r w:rsidR="00D44CC8" w:rsidRPr="00817B9F">
        <w:t>number</w:t>
      </w:r>
      <w:r w:rsidR="00F07D3F" w:rsidRPr="00817B9F">
        <w:t xml:space="preserve"> of individual ser</w:t>
      </w:r>
      <w:r w:rsidR="00265EED" w:rsidRPr="00817B9F">
        <w:t>vices offered to patients</w:t>
      </w:r>
      <w:r w:rsidRPr="00817B9F">
        <w:t>. They find that Medicare services in aggregate indicate a long</w:t>
      </w:r>
      <w:r w:rsidR="00265EED" w:rsidRPr="00817B9F">
        <w:t>-</w:t>
      </w:r>
      <w:r w:rsidRPr="00817B9F">
        <w:t xml:space="preserve">run wage elasticity of approximately </w:t>
      </w:r>
      <w:r w:rsidR="00717D94" w:rsidRPr="00817B9F">
        <w:t>0</w:t>
      </w:r>
      <w:r w:rsidRPr="00817B9F">
        <w:t>.6</w:t>
      </w:r>
      <w:r w:rsidR="004640F2" w:rsidRPr="00817B9F">
        <w:t xml:space="preserve"> (</w:t>
      </w:r>
      <w:r w:rsidR="004640F2" w:rsidRPr="00817B9F">
        <w:rPr>
          <w:i/>
          <w:iCs/>
        </w:rPr>
        <w:t>i.e.</w:t>
      </w:r>
      <w:r w:rsidR="004640F2" w:rsidRPr="00817B9F">
        <w:t>, the quantity of services provided by physicians increases as their reimbursement for providing those services increases)</w:t>
      </w:r>
      <w:r w:rsidRPr="00817B9F">
        <w:t>.</w:t>
      </w:r>
      <w:r w:rsidRPr="00817B9F">
        <w:rPr>
          <w:rStyle w:val="FootnoteReference"/>
        </w:rPr>
        <w:footnoteReference w:id="216"/>
      </w:r>
      <w:r w:rsidRPr="00817B9F">
        <w:t xml:space="preserve"> </w:t>
      </w:r>
      <w:r w:rsidR="004640F2" w:rsidRPr="00817B9F">
        <w:t xml:space="preserve">The authors </w:t>
      </w:r>
      <w:r w:rsidRPr="00817B9F">
        <w:t>also assess the effect of the reimbursement change on</w:t>
      </w:r>
      <w:r w:rsidR="004640F2" w:rsidRPr="00817B9F">
        <w:t xml:space="preserve"> the prov</w:t>
      </w:r>
      <w:r w:rsidR="00D4471F" w:rsidRPr="00817B9F">
        <w:t>ision of</w:t>
      </w:r>
      <w:r w:rsidRPr="00817B9F">
        <w:t xml:space="preserve"> particular </w:t>
      </w:r>
      <w:r w:rsidRPr="00817B9F">
        <w:lastRenderedPageBreak/>
        <w:t>services.</w:t>
      </w:r>
      <w:r w:rsidR="00411558" w:rsidRPr="00817B9F">
        <w:t xml:space="preserve"> T</w:t>
      </w:r>
      <w:r w:rsidRPr="00817B9F">
        <w:t xml:space="preserve">hey develop a model of physician </w:t>
      </w:r>
      <w:r w:rsidR="00411558" w:rsidRPr="00817B9F">
        <w:t>incentives</w:t>
      </w:r>
      <w:r w:rsidRPr="00817B9F">
        <w:t xml:space="preserve"> based on both perceptions of what maximizes patient health and financial considerations. They posit that elective procedures are more likely to offer moderate benefits for many patients, while other services such as emergency department treatment or chemotherapy benefit only specific patients and may have substantial negative effects as well as benefits. As a result, they predict that elective procedures are more </w:t>
      </w:r>
      <w:r w:rsidR="00C26456" w:rsidRPr="00817B9F">
        <w:t xml:space="preserve">likely to respond to changes in </w:t>
      </w:r>
      <w:r w:rsidRPr="00817B9F">
        <w:t>reimbursement. Classifying services into specific categories</w:t>
      </w:r>
      <w:r w:rsidR="00C26456" w:rsidRPr="00817B9F">
        <w:t>,</w:t>
      </w:r>
      <w:r w:rsidRPr="00817B9F">
        <w:t xml:space="preserve"> they find evidence consistent with their theory: approximately two</w:t>
      </w:r>
      <w:r w:rsidR="00475BB4" w:rsidRPr="00817B9F">
        <w:t>-</w:t>
      </w:r>
      <w:r w:rsidRPr="00817B9F">
        <w:t xml:space="preserve">thirds of the supply response is attributable to </w:t>
      </w:r>
      <w:r w:rsidR="00475BB4" w:rsidRPr="00817B9F">
        <w:t xml:space="preserve">the one-third of services that are </w:t>
      </w:r>
      <w:r w:rsidRPr="00817B9F">
        <w:t xml:space="preserve">relatively </w:t>
      </w:r>
      <w:r w:rsidR="00475BB4" w:rsidRPr="00817B9F">
        <w:t>“</w:t>
      </w:r>
      <w:r w:rsidRPr="00817B9F">
        <w:t>elective</w:t>
      </w:r>
      <w:r w:rsidR="00475BB4" w:rsidRPr="00817B9F">
        <w:t>.”</w:t>
      </w:r>
      <w:r w:rsidRPr="00817B9F">
        <w:t xml:space="preserve"> </w:t>
      </w:r>
    </w:p>
    <w:p w14:paraId="1AD76626" w14:textId="004B8209" w:rsidR="0070599F" w:rsidRPr="00817B9F" w:rsidRDefault="0070599F" w:rsidP="00E60C4B">
      <w:pPr>
        <w:pStyle w:val="NumberedParagraphs"/>
      </w:pPr>
      <w:r w:rsidRPr="00817B9F">
        <w:t>Finally, the authors focus on two specific services: the provision of MRIs and cardiac care. They find that the provision of MRIs did respond positively to price changes</w:t>
      </w:r>
      <w:r w:rsidR="00033239" w:rsidRPr="00817B9F">
        <w:t>,</w:t>
      </w:r>
      <w:r w:rsidRPr="00817B9F">
        <w:t xml:space="preserve"> but their finding was only marginally statistically significant. Moreover, they found that almost the entire effect was attributable to the increased supply of MRIs by non-radiologists performing services in their offices and not in </w:t>
      </w:r>
      <w:r w:rsidR="004554DB" w:rsidRPr="00817B9F">
        <w:t xml:space="preserve">diagnostic </w:t>
      </w:r>
      <w:r w:rsidRPr="00817B9F">
        <w:t xml:space="preserve">imaging centers. The authors also find a positive supply response for elective cardiac services such as catheterization and angioplasty, with most of the response focused on increased services provided to populations already receiving relatively intensive care. </w:t>
      </w:r>
    </w:p>
    <w:p w14:paraId="545C0BDE" w14:textId="74DF7EF0" w:rsidR="009D5995" w:rsidRPr="00817B9F" w:rsidRDefault="0070599F" w:rsidP="009D5995">
      <w:pPr>
        <w:pStyle w:val="NumberedParagraphs"/>
      </w:pPr>
      <w:r w:rsidRPr="00817B9F">
        <w:t xml:space="preserve">Ikegami </w:t>
      </w:r>
      <w:r w:rsidRPr="00817B9F">
        <w:rPr>
          <w:i/>
          <w:iCs/>
        </w:rPr>
        <w:t>et al.</w:t>
      </w:r>
      <w:r w:rsidRPr="00817B9F">
        <w:t xml:space="preserve"> </w:t>
      </w:r>
      <w:r w:rsidR="000234E3" w:rsidRPr="00817B9F">
        <w:t xml:space="preserve">(2021) </w:t>
      </w:r>
      <w:r w:rsidRPr="00817B9F">
        <w:t>assess how physicians at one hospital change their use of MRIs when a neighboring hospital purchases a new MRI.</w:t>
      </w:r>
      <w:r w:rsidR="00B533E4" w:rsidRPr="00817B9F">
        <w:rPr>
          <w:rStyle w:val="FootnoteReference"/>
        </w:rPr>
        <w:footnoteReference w:id="217"/>
      </w:r>
      <w:r w:rsidRPr="00817B9F">
        <w:t xml:space="preserve"> Using administrative panel data on Japanese hospitals’ ownership and usage of MRIs between 20</w:t>
      </w:r>
      <w:r w:rsidR="000234E3" w:rsidRPr="00817B9F">
        <w:t>0</w:t>
      </w:r>
      <w:r w:rsidRPr="00817B9F">
        <w:t>5 and 2014, they find that a hospital’s MRI pat</w:t>
      </w:r>
      <w:r w:rsidR="00246445" w:rsidRPr="00817B9F">
        <w:t>i</w:t>
      </w:r>
      <w:r w:rsidRPr="00817B9F">
        <w:t xml:space="preserve">ent count falls by up to 6.6 percentage points when a surrounding hospital purchases an additional MRI. They also find that the hospital that loses patients compensates by offering more of its remaining patients MRIs than it had previously. They attribute this </w:t>
      </w:r>
      <w:r w:rsidR="00246445" w:rsidRPr="00817B9F">
        <w:t>response</w:t>
      </w:r>
      <w:r w:rsidRPr="00817B9F">
        <w:t xml:space="preserve"> to “competition-driven physician-induced demand.” The authors </w:t>
      </w:r>
      <w:r w:rsidR="00246445" w:rsidRPr="00817B9F">
        <w:t xml:space="preserve">note </w:t>
      </w:r>
      <w:r w:rsidRPr="00817B9F">
        <w:t xml:space="preserve">that in the Japanese health system, physicians and hospitals cannot affect the </w:t>
      </w:r>
      <w:r w:rsidR="00246445" w:rsidRPr="00817B9F">
        <w:t>reimbursement they</w:t>
      </w:r>
      <w:r w:rsidRPr="00817B9F">
        <w:t xml:space="preserve"> receive </w:t>
      </w:r>
      <w:r w:rsidR="00246445" w:rsidRPr="00817B9F">
        <w:t>for health care services</w:t>
      </w:r>
      <w:r w:rsidR="009C5A99" w:rsidRPr="00817B9F">
        <w:t>,</w:t>
      </w:r>
      <w:r w:rsidR="00246445" w:rsidRPr="00817B9F">
        <w:t xml:space="preserve"> </w:t>
      </w:r>
      <w:r w:rsidRPr="00817B9F">
        <w:t xml:space="preserve">so the </w:t>
      </w:r>
      <w:r w:rsidR="00246445" w:rsidRPr="00817B9F">
        <w:t>primary</w:t>
      </w:r>
      <w:r w:rsidRPr="00817B9F">
        <w:t xml:space="preserve"> competitive response that they can make is in volume. They also note that it is possible that the greater number of patients receiving MRIs could be beneficial to patients if it is attributable to the freeing up of formerly capacity-constrained equipment. </w:t>
      </w:r>
    </w:p>
    <w:p w14:paraId="628FBC07" w14:textId="12C77A90" w:rsidR="0070599F" w:rsidRPr="00817B9F" w:rsidRDefault="0070599F" w:rsidP="009D5995">
      <w:pPr>
        <w:pStyle w:val="NumberedParagraphs"/>
      </w:pPr>
      <w:r w:rsidRPr="00817B9F">
        <w:lastRenderedPageBreak/>
        <w:t xml:space="preserve">Finkelstein </w:t>
      </w:r>
      <w:r w:rsidRPr="00817B9F">
        <w:rPr>
          <w:i/>
          <w:iCs/>
        </w:rPr>
        <w:t>et al.</w:t>
      </w:r>
      <w:r w:rsidR="00781301" w:rsidRPr="00817B9F">
        <w:rPr>
          <w:i/>
          <w:iCs/>
        </w:rPr>
        <w:t xml:space="preserve"> </w:t>
      </w:r>
      <w:r w:rsidR="00781301" w:rsidRPr="00817B9F">
        <w:t>(20</w:t>
      </w:r>
      <w:r w:rsidR="00E71864" w:rsidRPr="00817B9F">
        <w:t>16)</w:t>
      </w:r>
      <w:r w:rsidRPr="00817B9F">
        <w:t xml:space="preserve"> use another type of natural experiment to assess regional variation in health care utilization.</w:t>
      </w:r>
      <w:r w:rsidR="00E71864" w:rsidRPr="00817B9F">
        <w:rPr>
          <w:rStyle w:val="FootnoteReference"/>
        </w:rPr>
        <w:footnoteReference w:id="218"/>
      </w:r>
      <w:r w:rsidRPr="00817B9F">
        <w:t xml:space="preserve"> They study Medicare </w:t>
      </w:r>
      <w:r w:rsidR="00E71864" w:rsidRPr="00817B9F">
        <w:t>beneficiary</w:t>
      </w:r>
      <w:r w:rsidRPr="00817B9F">
        <w:t xml:space="preserve"> utilization patterns between 1998 and 2008 following patients’ relocation from an area of high utilization to one of low utilization</w:t>
      </w:r>
      <w:r w:rsidR="00E71864" w:rsidRPr="00817B9F">
        <w:t xml:space="preserve"> (or </w:t>
      </w:r>
      <w:r w:rsidR="00E71864" w:rsidRPr="00817B9F">
        <w:rPr>
          <w:i/>
          <w:iCs/>
        </w:rPr>
        <w:t>vice versa</w:t>
      </w:r>
      <w:r w:rsidR="00E71864" w:rsidRPr="00817B9F">
        <w:t>)</w:t>
      </w:r>
      <w:r w:rsidRPr="00817B9F">
        <w:t>. The</w:t>
      </w:r>
      <w:r w:rsidR="00E71864" w:rsidRPr="00817B9F">
        <w:t xml:space="preserve"> authors</w:t>
      </w:r>
      <w:r w:rsidRPr="00817B9F">
        <w:t xml:space="preserve"> posit that if patient characteristics drive most of the variation in health care utilization</w:t>
      </w:r>
      <w:r w:rsidR="004D27E9" w:rsidRPr="00817B9F">
        <w:t>,</w:t>
      </w:r>
      <w:r w:rsidRPr="00817B9F">
        <w:t xml:space="preserve"> then </w:t>
      </w:r>
      <w:r w:rsidR="004D27E9" w:rsidRPr="00817B9F">
        <w:t>patients who relocate</w:t>
      </w:r>
      <w:r w:rsidRPr="00817B9F">
        <w:t xml:space="preserve"> should maintain their pre-existing utilization patterns regardless of whether they move to an area with </w:t>
      </w:r>
      <w:r w:rsidR="004D27E9" w:rsidRPr="00817B9F">
        <w:t xml:space="preserve">utilization </w:t>
      </w:r>
      <w:r w:rsidRPr="00817B9F">
        <w:t xml:space="preserve">patterns that differ from their own. However, instead what they observe is a sharp change in utilization patterns the year </w:t>
      </w:r>
      <w:r w:rsidR="004D27E9" w:rsidRPr="00817B9F">
        <w:t>that a p</w:t>
      </w:r>
      <w:r w:rsidRPr="00817B9F">
        <w:t>atient move</w:t>
      </w:r>
      <w:r w:rsidR="004D27E9" w:rsidRPr="00817B9F">
        <w:t>s</w:t>
      </w:r>
      <w:r w:rsidR="00931820" w:rsidRPr="00817B9F">
        <w:t>.</w:t>
      </w:r>
      <w:r w:rsidR="00B4356C" w:rsidRPr="00817B9F">
        <w:t xml:space="preserve"> </w:t>
      </w:r>
      <w:r w:rsidR="00931820" w:rsidRPr="00817B9F">
        <w:t xml:space="preserve">The </w:t>
      </w:r>
      <w:r w:rsidR="001379EB" w:rsidRPr="00817B9F">
        <w:t>change in utilization is</w:t>
      </w:r>
      <w:r w:rsidRPr="00817B9F">
        <w:t xml:space="preserve"> equal to about half of the difference between the average utilization patterns across the origin and destination locations of the patients’ moves</w:t>
      </w:r>
      <w:r w:rsidR="00D2187D" w:rsidRPr="00817B9F">
        <w:t>,</w:t>
      </w:r>
      <w:r w:rsidRPr="00817B9F">
        <w:t xml:space="preserve"> regardless of the direction of the move. Patient characteristics such as health status are important, but the authors find that </w:t>
      </w:r>
      <w:r w:rsidR="008F661D" w:rsidRPr="00817B9F">
        <w:t>these characteristics</w:t>
      </w:r>
      <w:r w:rsidRPr="00817B9F">
        <w:t xml:space="preserve"> explain</w:t>
      </w:r>
      <w:r w:rsidR="008F661D" w:rsidRPr="00817B9F">
        <w:t>,</w:t>
      </w:r>
      <w:r w:rsidRPr="00817B9F">
        <w:t xml:space="preserve"> on average</w:t>
      </w:r>
      <w:r w:rsidR="008F661D" w:rsidRPr="00817B9F">
        <w:t>,</w:t>
      </w:r>
      <w:r w:rsidRPr="00817B9F">
        <w:t xml:space="preserve"> about 47 percent of </w:t>
      </w:r>
      <w:r w:rsidR="00F603D3" w:rsidRPr="00817B9F">
        <w:t xml:space="preserve">regional </w:t>
      </w:r>
      <w:r w:rsidRPr="00817B9F">
        <w:t>variation</w:t>
      </w:r>
      <w:r w:rsidR="00F603D3" w:rsidRPr="00817B9F">
        <w:t xml:space="preserve"> in utilization</w:t>
      </w:r>
      <w:r w:rsidRPr="00817B9F">
        <w:t xml:space="preserve">. They also find substantial variation in the </w:t>
      </w:r>
      <w:r w:rsidR="006300DE" w:rsidRPr="00817B9F">
        <w:t>effects</w:t>
      </w:r>
      <w:r w:rsidRPr="00817B9F">
        <w:t xml:space="preserve"> that patient </w:t>
      </w:r>
      <w:r w:rsidR="006300DE" w:rsidRPr="00817B9F">
        <w:t xml:space="preserve">characteristics have </w:t>
      </w:r>
      <w:r w:rsidR="00003B4C" w:rsidRPr="00817B9F">
        <w:t xml:space="preserve">on demand for </w:t>
      </w:r>
      <w:r w:rsidR="0001067A" w:rsidRPr="00817B9F">
        <w:t>individual services</w:t>
      </w:r>
      <w:r w:rsidRPr="00817B9F">
        <w:t xml:space="preserve">. Patient </w:t>
      </w:r>
      <w:r w:rsidR="0001067A" w:rsidRPr="00817B9F">
        <w:t>characteristics</w:t>
      </w:r>
      <w:r w:rsidRPr="00817B9F">
        <w:t xml:space="preserve"> play a stronger role in </w:t>
      </w:r>
      <w:r w:rsidR="0001067A" w:rsidRPr="00817B9F">
        <w:t xml:space="preserve">explaining variation in </w:t>
      </w:r>
      <w:r w:rsidRPr="00817B9F">
        <w:t xml:space="preserve">services such as emergency department </w:t>
      </w:r>
      <w:r w:rsidR="0001067A" w:rsidRPr="00817B9F">
        <w:t xml:space="preserve">care </w:t>
      </w:r>
      <w:r w:rsidRPr="00817B9F">
        <w:t xml:space="preserve">or preventive care and a smaller role </w:t>
      </w:r>
      <w:r w:rsidR="0001067A" w:rsidRPr="00817B9F">
        <w:t xml:space="preserve">in explaining variation in </w:t>
      </w:r>
      <w:r w:rsidRPr="00817B9F">
        <w:t xml:space="preserve">diagnostic testing. </w:t>
      </w:r>
      <w:r w:rsidR="00A90A82" w:rsidRPr="00817B9F">
        <w:t>S</w:t>
      </w:r>
      <w:r w:rsidRPr="00817B9F">
        <w:t>upply</w:t>
      </w:r>
      <w:r w:rsidR="00A90A82" w:rsidRPr="00817B9F">
        <w:t>-side</w:t>
      </w:r>
      <w:r w:rsidRPr="00817B9F">
        <w:t xml:space="preserve"> factors are particularly pronounced in areas with more “cowboy” physicians (using the data collected in Cutler </w:t>
      </w:r>
      <w:r w:rsidRPr="00817B9F">
        <w:rPr>
          <w:i/>
          <w:iCs/>
        </w:rPr>
        <w:t>et al.</w:t>
      </w:r>
      <w:r w:rsidRPr="00817B9F">
        <w:t xml:space="preserve"> </w:t>
      </w:r>
      <w:r w:rsidR="00A90A82" w:rsidRPr="00817B9F">
        <w:t xml:space="preserve">(2019) </w:t>
      </w:r>
      <w:r w:rsidRPr="00817B9F">
        <w:t>d</w:t>
      </w:r>
      <w:r w:rsidR="00A90A82" w:rsidRPr="00817B9F">
        <w:t>iscussed</w:t>
      </w:r>
      <w:r w:rsidRPr="00817B9F">
        <w:t xml:space="preserve"> above) and more for-profit hospitals, as well as in areas with more </w:t>
      </w:r>
      <w:r w:rsidR="00A90A82" w:rsidRPr="00817B9F">
        <w:t>women</w:t>
      </w:r>
      <w:r w:rsidRPr="00817B9F">
        <w:t xml:space="preserve"> patients, less</w:t>
      </w:r>
      <w:r w:rsidR="00A90A82" w:rsidRPr="00817B9F">
        <w:t>-</w:t>
      </w:r>
      <w:r w:rsidRPr="00817B9F">
        <w:t>educated patients</w:t>
      </w:r>
      <w:r w:rsidR="00A90A82" w:rsidRPr="00817B9F">
        <w:t>,</w:t>
      </w:r>
      <w:r w:rsidRPr="00817B9F">
        <w:t xml:space="preserve"> and sicker patients.</w:t>
      </w:r>
    </w:p>
    <w:p w14:paraId="0673F699" w14:textId="38DE1B2C" w:rsidR="0070599F" w:rsidRPr="00817B9F" w:rsidRDefault="0070599F" w:rsidP="008D513F">
      <w:pPr>
        <w:pStyle w:val="NumberedParagraphs"/>
      </w:pPr>
      <w:r w:rsidRPr="00817B9F">
        <w:t xml:space="preserve">Finally, Young </w:t>
      </w:r>
      <w:r w:rsidRPr="00817B9F">
        <w:rPr>
          <w:i/>
          <w:iCs/>
        </w:rPr>
        <w:t>et al.</w:t>
      </w:r>
      <w:r w:rsidR="008D513F" w:rsidRPr="00817B9F">
        <w:t xml:space="preserve"> (2021)</w:t>
      </w:r>
      <w:r w:rsidRPr="00817B9F">
        <w:t xml:space="preserve"> examine whether physicians who become hospital employees change their usage of MRIs following employment.</w:t>
      </w:r>
      <w:r w:rsidR="008D513F" w:rsidRPr="00817B9F">
        <w:rPr>
          <w:rStyle w:val="FootnoteReference"/>
        </w:rPr>
        <w:footnoteReference w:id="219"/>
      </w:r>
      <w:r w:rsidRPr="00817B9F">
        <w:t xml:space="preserve"> The</w:t>
      </w:r>
      <w:r w:rsidR="008D513F" w:rsidRPr="00817B9F">
        <w:t xml:space="preserve"> authors</w:t>
      </w:r>
      <w:r w:rsidRPr="00817B9F">
        <w:t xml:space="preserve"> suggest that physicians who are employed by a hospital</w:t>
      </w:r>
      <w:r w:rsidR="008D513F" w:rsidRPr="00817B9F">
        <w:t xml:space="preserve"> system</w:t>
      </w:r>
      <w:r w:rsidRPr="00817B9F">
        <w:t xml:space="preserve"> may be more likely to refer their patients for services that benefit the hospital financially, particularly for those services for which efficacy is uncertain or disputed. Using the </w:t>
      </w:r>
      <w:r w:rsidR="008D513F" w:rsidRPr="00817B9F">
        <w:t xml:space="preserve">Massachusetts APCD, </w:t>
      </w:r>
      <w:r w:rsidRPr="00817B9F">
        <w:t xml:space="preserve">they assess health insurance claims between 2009 and 2016. They combine these data with information on physician employment derived from Medicare claims </w:t>
      </w:r>
      <w:r w:rsidR="008B2CEB" w:rsidRPr="00817B9F">
        <w:t xml:space="preserve">data </w:t>
      </w:r>
      <w:r w:rsidRPr="00817B9F">
        <w:t xml:space="preserve">and </w:t>
      </w:r>
      <w:r w:rsidR="008D513F" w:rsidRPr="00817B9F">
        <w:t>physicians’</w:t>
      </w:r>
      <w:r w:rsidR="008B2CEB" w:rsidRPr="00817B9F">
        <w:t xml:space="preserve"> </w:t>
      </w:r>
      <w:r w:rsidRPr="00817B9F">
        <w:t>Taxpayer Identification Numbers. They classify MRIs used to diagnose causes of lower back pain, knee pain</w:t>
      </w:r>
      <w:r w:rsidR="006530E3" w:rsidRPr="00817B9F">
        <w:t>,</w:t>
      </w:r>
      <w:r w:rsidRPr="00817B9F">
        <w:t xml:space="preserve"> and shoulder pain as appropriate or inappropriate </w:t>
      </w:r>
      <w:r w:rsidRPr="00817B9F">
        <w:lastRenderedPageBreak/>
        <w:t xml:space="preserve">based on clinical guidelines issued by the American College of Radiology. They find that the odds of a patient receiving a referral for an MRI increased by 31 percent, relative to a comparison group, following hospital employment of </w:t>
      </w:r>
      <w:r w:rsidR="008B2CEB" w:rsidRPr="00817B9F">
        <w:t>the</w:t>
      </w:r>
      <w:r w:rsidR="002A4E7C" w:rsidRPr="00817B9F">
        <w:t xml:space="preserve"> patient’s</w:t>
      </w:r>
      <w:r w:rsidRPr="00817B9F">
        <w:t xml:space="preserve"> physician, while the </w:t>
      </w:r>
      <w:r w:rsidR="008B2CEB" w:rsidRPr="00817B9F">
        <w:t>likelihood</w:t>
      </w:r>
      <w:r w:rsidRPr="00817B9F">
        <w:t xml:space="preserve"> of receiving an inappropriate referral increased by 22 percent, relative to the comparison group. As the authors acknowledge, however, identifying “inappropriateness” solely on claims data, rather than through a review of the medical record has its limitations. In addition, the composition of the patient panels </w:t>
      </w:r>
      <w:r w:rsidR="006C4F2C" w:rsidRPr="00817B9F">
        <w:t xml:space="preserve">may have </w:t>
      </w:r>
      <w:r w:rsidRPr="00817B9F">
        <w:t>changed as the physicians transferred to hospital employment</w:t>
      </w:r>
      <w:r w:rsidR="008B2CEB" w:rsidRPr="00817B9F">
        <w:t xml:space="preserve">, making the results </w:t>
      </w:r>
      <w:r w:rsidR="005E4CBD" w:rsidRPr="00817B9F">
        <w:t xml:space="preserve">more difficult to interpret. </w:t>
      </w:r>
    </w:p>
    <w:p w14:paraId="0F3FE5EF" w14:textId="794E5E39" w:rsidR="00AE296E" w:rsidRPr="00817B9F" w:rsidRDefault="00AE296E" w:rsidP="00AE296E">
      <w:pPr>
        <w:pStyle w:val="NumberedParagraphs"/>
      </w:pPr>
      <w:r w:rsidRPr="00817B9F">
        <w:t>On balance, the health economics literature finds that both demand- and supply-related factors are important in explaining variability in the utilization of health care services and health care expenditures. However, the literature that examines the causes of supply-related variation in demand for health care services finds th</w:t>
      </w:r>
      <w:r w:rsidR="00450774" w:rsidRPr="00817B9F">
        <w:t>at</w:t>
      </w:r>
      <w:r w:rsidRPr="00817B9F">
        <w:t xml:space="preserve"> most evidence </w:t>
      </w:r>
      <w:r w:rsidR="00450774" w:rsidRPr="00817B9F">
        <w:t xml:space="preserve">is </w:t>
      </w:r>
      <w:r w:rsidRPr="00817B9F">
        <w:t xml:space="preserve">consistent with the role of physicians’ differing beliefs about the efficacy of </w:t>
      </w:r>
      <w:r w:rsidR="00A80137" w:rsidRPr="00817B9F">
        <w:t>alternative trea</w:t>
      </w:r>
      <w:r w:rsidR="00194D1C" w:rsidRPr="00817B9F">
        <w:t>tment</w:t>
      </w:r>
      <w:r w:rsidR="00693708" w:rsidRPr="00817B9F">
        <w:t>s</w:t>
      </w:r>
      <w:r w:rsidRPr="00817B9F">
        <w:t xml:space="preserve"> and </w:t>
      </w:r>
      <w:r w:rsidR="00693708" w:rsidRPr="00817B9F">
        <w:t xml:space="preserve">differing </w:t>
      </w:r>
      <w:r w:rsidRPr="00817B9F">
        <w:t xml:space="preserve">practice patterns in explaining that variation, rather than on the availability of the types of complementary inputs that are sought by MGB in its DoN application. </w:t>
      </w:r>
    </w:p>
    <w:p w14:paraId="4F6D7A69" w14:textId="5E6A86DC" w:rsidR="00697AC3" w:rsidRPr="00817B9F" w:rsidRDefault="009E28B0" w:rsidP="00E666B8">
      <w:pPr>
        <w:pStyle w:val="Heading3"/>
      </w:pPr>
      <w:bookmarkStart w:id="140" w:name="_Toc90046549"/>
      <w:r w:rsidRPr="00817B9F">
        <w:t xml:space="preserve">Literature on the </w:t>
      </w:r>
      <w:r w:rsidR="00C478EB" w:rsidRPr="00817B9F">
        <w:t xml:space="preserve">Effect of </w:t>
      </w:r>
      <w:r w:rsidR="00201AE5" w:rsidRPr="00817B9F">
        <w:t>A</w:t>
      </w:r>
      <w:r w:rsidR="00C478EB" w:rsidRPr="00817B9F">
        <w:t xml:space="preserve">dditional </w:t>
      </w:r>
      <w:r w:rsidR="00201AE5" w:rsidRPr="00817B9F">
        <w:t>I</w:t>
      </w:r>
      <w:r w:rsidR="00C478EB" w:rsidRPr="00817B9F">
        <w:t xml:space="preserve">maging </w:t>
      </w:r>
      <w:r w:rsidR="00201AE5" w:rsidRPr="00817B9F">
        <w:t>C</w:t>
      </w:r>
      <w:r w:rsidR="00C478EB" w:rsidRPr="00817B9F">
        <w:t xml:space="preserve">apacity on </w:t>
      </w:r>
      <w:r w:rsidR="00201AE5" w:rsidRPr="00817B9F">
        <w:t>D</w:t>
      </w:r>
      <w:r w:rsidR="00C478EB" w:rsidRPr="00817B9F">
        <w:t xml:space="preserve">emand for </w:t>
      </w:r>
      <w:r w:rsidR="00201AE5" w:rsidRPr="00817B9F">
        <w:t>S</w:t>
      </w:r>
      <w:r w:rsidR="00C478EB" w:rsidRPr="00817B9F">
        <w:t>urgery</w:t>
      </w:r>
      <w:r w:rsidR="00026E03" w:rsidRPr="00817B9F">
        <w:t xml:space="preserve"> and Inpatient</w:t>
      </w:r>
      <w:r w:rsidR="00021186" w:rsidRPr="00817B9F">
        <w:t xml:space="preserve"> </w:t>
      </w:r>
      <w:r w:rsidR="00186A40" w:rsidRPr="00817B9F">
        <w:t>C</w:t>
      </w:r>
      <w:r w:rsidR="00021186" w:rsidRPr="00817B9F">
        <w:t>are</w:t>
      </w:r>
      <w:bookmarkEnd w:id="140"/>
      <w:r w:rsidR="00F35259" w:rsidRPr="00817B9F">
        <w:t xml:space="preserve"> </w:t>
      </w:r>
    </w:p>
    <w:p w14:paraId="348041B6" w14:textId="096CD064" w:rsidR="00630233" w:rsidRPr="00817B9F" w:rsidRDefault="00A102C1" w:rsidP="00535872">
      <w:pPr>
        <w:pStyle w:val="NumberedParagraphs"/>
      </w:pPr>
      <w:r w:rsidRPr="00817B9F">
        <w:t xml:space="preserve">In connection with MGB’s application to add </w:t>
      </w:r>
      <w:r w:rsidR="00C67787" w:rsidRPr="00817B9F">
        <w:t xml:space="preserve">additional diagnostic imaging capacity to MGH, the DoN program asked CRA to assess the </w:t>
      </w:r>
      <w:r w:rsidR="001B70C4" w:rsidRPr="00817B9F">
        <w:t xml:space="preserve">downstream impact of the proposed project’s new imaging capacity on inpatient and surgical </w:t>
      </w:r>
      <w:r w:rsidR="00EB4D5B" w:rsidRPr="00817B9F">
        <w:t xml:space="preserve">volume at MGH. </w:t>
      </w:r>
      <w:r w:rsidR="00A73361" w:rsidRPr="00817B9F">
        <w:t>The literature that directly addresses the question of the downstream impact of increased capacity in advanced imaging (</w:t>
      </w:r>
      <w:r w:rsidR="00920D66" w:rsidRPr="00817B9F">
        <w:rPr>
          <w:i/>
          <w:iCs/>
        </w:rPr>
        <w:t>e.g</w:t>
      </w:r>
      <w:r w:rsidR="004C5CF6" w:rsidRPr="00817B9F">
        <w:rPr>
          <w:i/>
          <w:iCs/>
        </w:rPr>
        <w:t>.</w:t>
      </w:r>
      <w:r w:rsidR="004C5CF6" w:rsidRPr="00817B9F">
        <w:t xml:space="preserve">, </w:t>
      </w:r>
      <w:r w:rsidR="00A73361" w:rsidRPr="00817B9F">
        <w:t>CT, MRI</w:t>
      </w:r>
      <w:r w:rsidR="00222896" w:rsidRPr="00817B9F">
        <w:t>,</w:t>
      </w:r>
      <w:r w:rsidR="002707CD" w:rsidRPr="00817B9F">
        <w:t xml:space="preserve"> </w:t>
      </w:r>
      <w:r w:rsidR="00A73361" w:rsidRPr="00817B9F">
        <w:t>PET</w:t>
      </w:r>
      <w:r w:rsidR="00836F70" w:rsidRPr="00817B9F">
        <w:t>/CT</w:t>
      </w:r>
      <w:r w:rsidR="00920D66" w:rsidRPr="00817B9F">
        <w:t>, or PET/MR</w:t>
      </w:r>
      <w:r w:rsidR="00A73361" w:rsidRPr="00817B9F">
        <w:t xml:space="preserve">) on surgical and inpatient volumes is sparse. </w:t>
      </w:r>
      <w:r w:rsidR="00487181" w:rsidRPr="00817B9F">
        <w:t xml:space="preserve">A </w:t>
      </w:r>
      <w:r w:rsidR="006D1620" w:rsidRPr="00817B9F">
        <w:t xml:space="preserve">larger </w:t>
      </w:r>
      <w:r w:rsidR="00A73361" w:rsidRPr="00817B9F">
        <w:t>body of research analyze</w:t>
      </w:r>
      <w:r w:rsidR="002707CD" w:rsidRPr="00817B9F">
        <w:t>s</w:t>
      </w:r>
      <w:r w:rsidR="00A73361" w:rsidRPr="00817B9F">
        <w:t xml:space="preserve"> the costs and benefits of providing advanced imaging to various categories of patients and provides evidence of improved quality of life or lengthened life</w:t>
      </w:r>
      <w:r w:rsidR="00E176A6" w:rsidRPr="00817B9F">
        <w:t xml:space="preserve">, although we were unable to </w:t>
      </w:r>
      <w:r w:rsidR="00535872" w:rsidRPr="00817B9F">
        <w:t xml:space="preserve">identify </w:t>
      </w:r>
      <w:r w:rsidR="00E57189" w:rsidRPr="00817B9F">
        <w:t xml:space="preserve">studies that estimated </w:t>
      </w:r>
      <w:r w:rsidR="00535872" w:rsidRPr="00817B9F">
        <w:t>the effects of</w:t>
      </w:r>
      <w:r w:rsidR="00C73DFB" w:rsidRPr="00817B9F">
        <w:t xml:space="preserve"> </w:t>
      </w:r>
      <w:r w:rsidR="00E57189" w:rsidRPr="00817B9F">
        <w:rPr>
          <w:i/>
          <w:iCs/>
        </w:rPr>
        <w:t>each</w:t>
      </w:r>
      <w:r w:rsidR="00E57189" w:rsidRPr="00817B9F">
        <w:t xml:space="preserve"> type of imaging equipment requested by MGB in its D</w:t>
      </w:r>
      <w:r w:rsidR="005F7DE5" w:rsidRPr="00817B9F">
        <w:t>o</w:t>
      </w:r>
      <w:r w:rsidR="00E57189" w:rsidRPr="00817B9F">
        <w:t xml:space="preserve">N application </w:t>
      </w:r>
      <w:r w:rsidR="00535872" w:rsidRPr="00817B9F">
        <w:t xml:space="preserve">on </w:t>
      </w:r>
      <w:r w:rsidR="00630233" w:rsidRPr="00817B9F">
        <w:t xml:space="preserve">both </w:t>
      </w:r>
      <w:r w:rsidR="00535872" w:rsidRPr="00817B9F">
        <w:t xml:space="preserve">cancer and cardiac </w:t>
      </w:r>
      <w:r w:rsidR="00487181" w:rsidRPr="00817B9F">
        <w:t>c</w:t>
      </w:r>
      <w:r w:rsidR="00535872" w:rsidRPr="00817B9F">
        <w:t>are</w:t>
      </w:r>
      <w:r w:rsidR="00E57189" w:rsidRPr="00817B9F">
        <w:t xml:space="preserve"> o</w:t>
      </w:r>
      <w:r w:rsidR="00630233" w:rsidRPr="00817B9F">
        <w:t>utcomes</w:t>
      </w:r>
      <w:r w:rsidR="00535872" w:rsidRPr="00817B9F">
        <w:t xml:space="preserve">. </w:t>
      </w:r>
    </w:p>
    <w:p w14:paraId="3E2333D1" w14:textId="413CDDBC" w:rsidR="00A73361" w:rsidRPr="00817B9F" w:rsidRDefault="00953D0C" w:rsidP="00535872">
      <w:pPr>
        <w:pStyle w:val="NumberedParagraphs"/>
      </w:pPr>
      <w:r w:rsidRPr="00817B9F">
        <w:t>H</w:t>
      </w:r>
      <w:r w:rsidR="00A73361" w:rsidRPr="00817B9F">
        <w:t xml:space="preserve">owever, as </w:t>
      </w:r>
      <w:r w:rsidR="00E07CC3" w:rsidRPr="00817B9F">
        <w:t>v</w:t>
      </w:r>
      <w:r w:rsidR="00A73361" w:rsidRPr="00817B9F">
        <w:t xml:space="preserve">an Beek </w:t>
      </w:r>
      <w:r w:rsidR="00A73361" w:rsidRPr="00817B9F">
        <w:rPr>
          <w:i/>
          <w:iCs/>
        </w:rPr>
        <w:t>et al.</w:t>
      </w:r>
      <w:r w:rsidR="004C5CF6" w:rsidRPr="00817B9F">
        <w:t xml:space="preserve"> (2019)</w:t>
      </w:r>
      <w:r w:rsidR="00A73361" w:rsidRPr="00817B9F">
        <w:t xml:space="preserve"> note</w:t>
      </w:r>
      <w:r w:rsidR="004C5CF6" w:rsidRPr="00817B9F">
        <w:t>s</w:t>
      </w:r>
      <w:r w:rsidR="00A73361" w:rsidRPr="00817B9F">
        <w:t xml:space="preserve">, it is difficult to evaluate the effectiveness of any diagnostic modality </w:t>
      </w:r>
      <w:r w:rsidR="0032546B" w:rsidRPr="00817B9F">
        <w:t>because</w:t>
      </w:r>
      <w:r w:rsidR="00A73361" w:rsidRPr="00817B9F">
        <w:t xml:space="preserve"> diagnosis generally begins a therapeutic episode whose outcomes are typically evaluated at the end or at least at a point in time substantially after the </w:t>
      </w:r>
      <w:r w:rsidR="0032546B" w:rsidRPr="00817B9F">
        <w:t xml:space="preserve">initial </w:t>
      </w:r>
      <w:r w:rsidR="00A73361" w:rsidRPr="00817B9F">
        <w:t xml:space="preserve">diagnostic </w:t>
      </w:r>
      <w:r w:rsidR="00A73361" w:rsidRPr="00817B9F">
        <w:lastRenderedPageBreak/>
        <w:t>test.</w:t>
      </w:r>
      <w:r w:rsidR="007E0801" w:rsidRPr="00817B9F">
        <w:rPr>
          <w:rStyle w:val="FootnoteReference"/>
        </w:rPr>
        <w:footnoteReference w:id="220"/>
      </w:r>
      <w:r w:rsidR="0032546B" w:rsidRPr="00817B9F">
        <w:t xml:space="preserve"> </w:t>
      </w:r>
      <w:r w:rsidR="00A73361" w:rsidRPr="00817B9F">
        <w:t xml:space="preserve">As a result, a variety of confounding influences can affect </w:t>
      </w:r>
      <w:r w:rsidR="0032546B" w:rsidRPr="00817B9F">
        <w:t xml:space="preserve">the measure of the relevant </w:t>
      </w:r>
      <w:r w:rsidR="00A73361" w:rsidRPr="00817B9F">
        <w:t>outcome</w:t>
      </w:r>
      <w:r w:rsidR="00D21AEA" w:rsidRPr="00817B9F">
        <w:t>.</w:t>
      </w:r>
      <w:r w:rsidR="0032546B" w:rsidRPr="00817B9F">
        <w:t xml:space="preserve"> Notwithstanding this</w:t>
      </w:r>
      <w:r w:rsidR="00D21AEA" w:rsidRPr="00817B9F">
        <w:t xml:space="preserve"> difficulty, i</w:t>
      </w:r>
      <w:r w:rsidR="00A73361" w:rsidRPr="00817B9F">
        <w:t>n this section</w:t>
      </w:r>
      <w:r w:rsidR="00D21AEA" w:rsidRPr="00817B9F">
        <w:t xml:space="preserve"> </w:t>
      </w:r>
      <w:r w:rsidR="00A73361" w:rsidRPr="00817B9F">
        <w:t xml:space="preserve">we </w:t>
      </w:r>
      <w:r w:rsidR="00BA7138" w:rsidRPr="00817B9F">
        <w:t>briefly summarize</w:t>
      </w:r>
      <w:r w:rsidR="00A73361" w:rsidRPr="00817B9F">
        <w:t xml:space="preserve"> </w:t>
      </w:r>
      <w:r w:rsidR="00246B5E" w:rsidRPr="00817B9F">
        <w:t>examples</w:t>
      </w:r>
      <w:r w:rsidR="00A73361" w:rsidRPr="00817B9F">
        <w:t xml:space="preserve"> of recent studies of each </w:t>
      </w:r>
      <w:r w:rsidR="00D21AEA" w:rsidRPr="00817B9F">
        <w:t xml:space="preserve">imaging </w:t>
      </w:r>
      <w:r w:rsidR="00A73361" w:rsidRPr="00817B9F">
        <w:t>modality.</w:t>
      </w:r>
      <w:r w:rsidR="00232872" w:rsidRPr="00817B9F">
        <w:t xml:space="preserve"> </w:t>
      </w:r>
      <w:r w:rsidR="00A73361" w:rsidRPr="00817B9F">
        <w:t xml:space="preserve">There has also been substantial analysis of the trends in utilization of specific imaging modalities as well as imaging in general for both commercially </w:t>
      </w:r>
      <w:r w:rsidR="00886996" w:rsidRPr="00817B9F">
        <w:t xml:space="preserve">insured </w:t>
      </w:r>
      <w:r w:rsidR="00A73361" w:rsidRPr="00817B9F">
        <w:t>and government-insured patients. We summarize this literature at the end of this section.</w:t>
      </w:r>
    </w:p>
    <w:p w14:paraId="6105A878" w14:textId="6E5936B6" w:rsidR="00A55C21" w:rsidRPr="00817B9F" w:rsidRDefault="00A55C21" w:rsidP="00AA0512">
      <w:pPr>
        <w:pStyle w:val="Heading4"/>
        <w:numPr>
          <w:ilvl w:val="0"/>
          <w:numId w:val="15"/>
        </w:numPr>
      </w:pPr>
      <w:r w:rsidRPr="00817B9F">
        <w:t>Positron Emission Tomography</w:t>
      </w:r>
      <w:r w:rsidR="00836F70" w:rsidRPr="00817B9F">
        <w:t>/Computed Tomography</w:t>
      </w:r>
    </w:p>
    <w:p w14:paraId="40A340BB" w14:textId="7EE63C42" w:rsidR="00A55C21" w:rsidRPr="00817B9F" w:rsidRDefault="00A55C21" w:rsidP="00A55C21">
      <w:pPr>
        <w:pStyle w:val="NumberedParagraphs"/>
      </w:pPr>
      <w:r w:rsidRPr="00817B9F">
        <w:t xml:space="preserve">PET scanning </w:t>
      </w:r>
      <w:r w:rsidR="00F45E6D" w:rsidRPr="00817B9F">
        <w:t>is often</w:t>
      </w:r>
      <w:r w:rsidRPr="00817B9F">
        <w:t xml:space="preserve"> used to assess brain function and disorders, diagnos</w:t>
      </w:r>
      <w:r w:rsidR="00767B3A" w:rsidRPr="00817B9F">
        <w:t>e</w:t>
      </w:r>
      <w:r w:rsidRPr="00817B9F">
        <w:t xml:space="preserve"> cancer as well as its spread and response to treatment, and </w:t>
      </w:r>
      <w:r w:rsidR="00767B3A" w:rsidRPr="00817B9F">
        <w:t>evaluate</w:t>
      </w:r>
      <w:r w:rsidRPr="00817B9F">
        <w:t xml:space="preserve"> heart problems.</w:t>
      </w:r>
      <w:r w:rsidRPr="00817B9F">
        <w:rPr>
          <w:rStyle w:val="FootnoteReference"/>
        </w:rPr>
        <w:footnoteReference w:id="221"/>
      </w:r>
      <w:r w:rsidRPr="00817B9F">
        <w:t xml:space="preserve"> </w:t>
      </w:r>
      <w:r w:rsidR="009E5C0E" w:rsidRPr="00817B9F">
        <w:t>Based on our reviews</w:t>
      </w:r>
      <w:r w:rsidR="00313391" w:rsidRPr="00817B9F">
        <w:t xml:space="preserve"> of the health literature</w:t>
      </w:r>
      <w:r w:rsidR="009E5C0E" w:rsidRPr="00817B9F">
        <w:t>, its</w:t>
      </w:r>
      <w:r w:rsidRPr="00817B9F">
        <w:t xml:space="preserve"> use in the diagnosis and treatment of various types of cancer has been most studied.</w:t>
      </w:r>
      <w:r w:rsidR="0018465E" w:rsidRPr="00817B9F">
        <w:t xml:space="preserve"> </w:t>
      </w:r>
      <w:r w:rsidRPr="00817B9F">
        <w:t>Strong evidence exists for the use of PET</w:t>
      </w:r>
      <w:r w:rsidR="0018465E" w:rsidRPr="00817B9F">
        <w:t>/CT</w:t>
      </w:r>
      <w:r w:rsidRPr="00817B9F">
        <w:t xml:space="preserve"> in the diagnosis and staging of non-small cell lung cancer, the most common form of lung cancer with </w:t>
      </w:r>
      <w:r w:rsidR="00815115" w:rsidRPr="00817B9F">
        <w:t>more than 200 thousand</w:t>
      </w:r>
      <w:r w:rsidRPr="00817B9F">
        <w:t xml:space="preserve"> new cases in the U.S. annually.</w:t>
      </w:r>
      <w:r w:rsidRPr="00817B9F">
        <w:rPr>
          <w:rStyle w:val="FootnoteReference"/>
        </w:rPr>
        <w:footnoteReference w:id="222"/>
      </w:r>
      <w:r w:rsidRPr="00817B9F">
        <w:t xml:space="preserve"> Zeng </w:t>
      </w:r>
      <w:r w:rsidRPr="00817B9F">
        <w:rPr>
          <w:i/>
        </w:rPr>
        <w:t>et al.</w:t>
      </w:r>
      <w:r w:rsidR="00567F99" w:rsidRPr="00817B9F">
        <w:rPr>
          <w:i/>
          <w:iCs/>
        </w:rPr>
        <w:t xml:space="preserve"> </w:t>
      </w:r>
      <w:r w:rsidR="00567F99" w:rsidRPr="00817B9F">
        <w:t>(2019)</w:t>
      </w:r>
      <w:r w:rsidRPr="00817B9F">
        <w:t xml:space="preserve"> found that the diagnostic accuracy and sensitivity of combined PET</w:t>
      </w:r>
      <w:r w:rsidR="00C53597" w:rsidRPr="00817B9F">
        <w:t>/</w:t>
      </w:r>
      <w:r w:rsidRPr="00817B9F">
        <w:t xml:space="preserve">CT </w:t>
      </w:r>
      <w:r w:rsidR="00C53597" w:rsidRPr="00817B9F">
        <w:t>imaging</w:t>
      </w:r>
      <w:r w:rsidRPr="00817B9F">
        <w:t xml:space="preserve"> is superior to that of CT alone, and that the combined approach met cost-effectiveness thresholds in the Chinese health system.</w:t>
      </w:r>
      <w:r w:rsidR="00567F99" w:rsidRPr="00817B9F">
        <w:rPr>
          <w:rStyle w:val="FootnoteReference"/>
        </w:rPr>
        <w:footnoteReference w:id="223"/>
      </w:r>
      <w:r w:rsidRPr="00817B9F">
        <w:t xml:space="preserve"> The</w:t>
      </w:r>
      <w:r w:rsidR="00997AF2" w:rsidRPr="00817B9F">
        <w:t xml:space="preserve"> authors</w:t>
      </w:r>
      <w:r w:rsidRPr="00817B9F">
        <w:t xml:space="preserve"> also found that </w:t>
      </w:r>
      <w:r w:rsidR="00E70944" w:rsidRPr="00817B9F">
        <w:t>the</w:t>
      </w:r>
      <w:r w:rsidRPr="00817B9F">
        <w:t xml:space="preserve"> </w:t>
      </w:r>
      <w:r w:rsidR="00BB6D6D" w:rsidRPr="00817B9F">
        <w:t>us</w:t>
      </w:r>
      <w:r w:rsidR="00E70944" w:rsidRPr="00817B9F">
        <w:t>e</w:t>
      </w:r>
      <w:r w:rsidR="00BB6D6D" w:rsidRPr="00817B9F">
        <w:t xml:space="preserve"> of PET/CT imaging was positively correlated with </w:t>
      </w:r>
      <w:r w:rsidRPr="00817B9F">
        <w:t>survival</w:t>
      </w:r>
      <w:r w:rsidR="00BB6D6D" w:rsidRPr="00817B9F">
        <w:t xml:space="preserve"> rates</w:t>
      </w:r>
      <w:r w:rsidRPr="00817B9F">
        <w:t xml:space="preserve">. </w:t>
      </w:r>
    </w:p>
    <w:p w14:paraId="51F71D13" w14:textId="0B33DB4B" w:rsidR="00A55C21" w:rsidRPr="00817B9F" w:rsidRDefault="00A55C21" w:rsidP="00BB6D6D">
      <w:pPr>
        <w:pStyle w:val="NumberedParagraphs"/>
      </w:pPr>
      <w:r w:rsidRPr="00817B9F">
        <w:t xml:space="preserve">Buck </w:t>
      </w:r>
      <w:r w:rsidRPr="00817B9F">
        <w:rPr>
          <w:i/>
        </w:rPr>
        <w:t>et al.</w:t>
      </w:r>
      <w:r w:rsidRPr="00817B9F">
        <w:t xml:space="preserve"> </w:t>
      </w:r>
      <w:r w:rsidR="007F4902" w:rsidRPr="00817B9F">
        <w:t>(2010)</w:t>
      </w:r>
      <w:r w:rsidRPr="00817B9F">
        <w:t xml:space="preserve"> note that the “combination of </w:t>
      </w:r>
      <w:r w:rsidR="000F1297" w:rsidRPr="00817B9F">
        <w:t xml:space="preserve">a dedicated </w:t>
      </w:r>
      <w:r w:rsidRPr="00817B9F">
        <w:t xml:space="preserve">PET </w:t>
      </w:r>
      <w:r w:rsidR="000F1297" w:rsidRPr="00817B9F">
        <w:t xml:space="preserve">scanner </w:t>
      </w:r>
      <w:r w:rsidRPr="00817B9F">
        <w:t xml:space="preserve">and </w:t>
      </w:r>
      <w:r w:rsidR="000F1297" w:rsidRPr="00817B9F">
        <w:t xml:space="preserve">multislice </w:t>
      </w:r>
      <w:r w:rsidR="00C103F5" w:rsidRPr="00817B9F">
        <w:t>helical</w:t>
      </w:r>
      <w:r w:rsidRPr="00817B9F">
        <w:t xml:space="preserve"> CT enables integrated functional and high-resolution morphologic imaging</w:t>
      </w:r>
      <w:r w:rsidR="00A06381" w:rsidRPr="00817B9F">
        <w:t>” and has many advan</w:t>
      </w:r>
      <w:r w:rsidR="00A75BD7" w:rsidRPr="00817B9F">
        <w:t>tages</w:t>
      </w:r>
      <w:r w:rsidR="00266F52" w:rsidRPr="00817B9F">
        <w:t> </w:t>
      </w:r>
      <w:r w:rsidR="00A75BD7" w:rsidRPr="00817B9F">
        <w:t>in</w:t>
      </w:r>
      <w:r w:rsidRPr="00817B9F">
        <w:t xml:space="preserve"> </w:t>
      </w:r>
      <w:r w:rsidR="00A06381" w:rsidRPr="00817B9F">
        <w:t>“</w:t>
      </w:r>
      <w:r w:rsidRPr="00817B9F">
        <w:t>differential diagnos</w:t>
      </w:r>
      <w:r w:rsidR="0038356B" w:rsidRPr="00817B9F">
        <w:t>is</w:t>
      </w:r>
      <w:r w:rsidR="00A42E75" w:rsidRPr="00817B9F">
        <w:t xml:space="preserve"> of</w:t>
      </w:r>
      <w:r w:rsidRPr="00817B9F">
        <w:t xml:space="preserve"> undefined lesions, initial tumor staging, detect</w:t>
      </w:r>
      <w:r w:rsidR="00A95CF0" w:rsidRPr="00817B9F">
        <w:t>ion of</w:t>
      </w:r>
      <w:r w:rsidRPr="00817B9F">
        <w:t xml:space="preserve"> relapse</w:t>
      </w:r>
      <w:r w:rsidR="009F0D76" w:rsidRPr="00817B9F">
        <w:t>,</w:t>
      </w:r>
      <w:r w:rsidRPr="00817B9F">
        <w:t xml:space="preserve"> and response</w:t>
      </w:r>
      <w:r w:rsidR="009F0D76" w:rsidRPr="00817B9F">
        <w:t xml:space="preserve"> </w:t>
      </w:r>
      <w:r w:rsidR="00DE16C6" w:rsidRPr="00817B9F">
        <w:t>monitoring</w:t>
      </w:r>
      <w:r w:rsidR="007A192F" w:rsidRPr="00817B9F">
        <w:t>,</w:t>
      </w:r>
      <w:r w:rsidRPr="00817B9F">
        <w:t xml:space="preserve">” leading to higher sensitivity and specificity in cancer imaging </w:t>
      </w:r>
      <w:r w:rsidRPr="00817B9F">
        <w:lastRenderedPageBreak/>
        <w:t>than previously available.</w:t>
      </w:r>
      <w:r w:rsidRPr="00817B9F">
        <w:rPr>
          <w:rStyle w:val="FootnoteReference"/>
        </w:rPr>
        <w:t xml:space="preserve"> </w:t>
      </w:r>
      <w:r w:rsidR="004A2A32" w:rsidRPr="00817B9F">
        <w:rPr>
          <w:rStyle w:val="FootnoteReference"/>
        </w:rPr>
        <w:footnoteReference w:id="224"/>
      </w:r>
      <w:r w:rsidR="004A2A32" w:rsidRPr="00817B9F">
        <w:t xml:space="preserve"> </w:t>
      </w:r>
      <w:r w:rsidRPr="00817B9F">
        <w:t>The</w:t>
      </w:r>
      <w:r w:rsidR="007F4902" w:rsidRPr="00817B9F">
        <w:t xml:space="preserve"> authors</w:t>
      </w:r>
      <w:r w:rsidRPr="00817B9F">
        <w:t xml:space="preserve"> note that</w:t>
      </w:r>
      <w:r w:rsidR="006F6772" w:rsidRPr="00817B9F">
        <w:t>,</w:t>
      </w:r>
      <w:r w:rsidRPr="00817B9F">
        <w:t xml:space="preserve"> in response</w:t>
      </w:r>
      <w:r w:rsidR="006F6772" w:rsidRPr="00817B9F">
        <w:t>,</w:t>
      </w:r>
      <w:r w:rsidRPr="00817B9F">
        <w:t xml:space="preserve"> </w:t>
      </w:r>
      <w:r w:rsidR="00451119" w:rsidRPr="00817B9F">
        <w:t>third-party payors</w:t>
      </w:r>
      <w:r w:rsidRPr="00817B9F">
        <w:t xml:space="preserve"> in the United States and Europe have approved reimbursement of combined PET</w:t>
      </w:r>
      <w:r w:rsidR="00451119" w:rsidRPr="00817B9F">
        <w:t>/</w:t>
      </w:r>
      <w:r w:rsidRPr="00817B9F">
        <w:t xml:space="preserve">CT for various oncologic indications. In addition to demonstrated cost-effectiveness for </w:t>
      </w:r>
      <w:r w:rsidR="00F13FD6" w:rsidRPr="00817B9F">
        <w:t>non-small cell lung cancer</w:t>
      </w:r>
      <w:r w:rsidRPr="00817B9F">
        <w:t xml:space="preserve">, they note </w:t>
      </w:r>
      <w:r w:rsidR="0031756F" w:rsidRPr="00817B9F">
        <w:t xml:space="preserve">the </w:t>
      </w:r>
      <w:r w:rsidRPr="00817B9F">
        <w:t xml:space="preserve">cost effectiveness </w:t>
      </w:r>
      <w:r w:rsidR="0031756F" w:rsidRPr="00817B9F">
        <w:t xml:space="preserve">of PET/CT </w:t>
      </w:r>
      <w:r w:rsidRPr="00817B9F">
        <w:t xml:space="preserve">in </w:t>
      </w:r>
      <w:r w:rsidR="00C72043" w:rsidRPr="00817B9F">
        <w:t xml:space="preserve">the </w:t>
      </w:r>
      <w:r w:rsidRPr="00817B9F">
        <w:t>restaging of Hodgkin</w:t>
      </w:r>
      <w:r w:rsidR="00275CF1" w:rsidRPr="00817B9F">
        <w:t>’</w:t>
      </w:r>
      <w:r w:rsidRPr="00817B9F">
        <w:t>s disease, non-Hodgkin lymphoma</w:t>
      </w:r>
      <w:r w:rsidR="00275CF1" w:rsidRPr="00817B9F">
        <w:t>,</w:t>
      </w:r>
      <w:r w:rsidRPr="00817B9F">
        <w:t xml:space="preserve"> and colorectal carcinoma.</w:t>
      </w:r>
    </w:p>
    <w:p w14:paraId="0B33E5DB" w14:textId="7BE61699" w:rsidR="00A55C21" w:rsidRPr="00817B9F" w:rsidRDefault="00A55C21" w:rsidP="00ED68D5">
      <w:pPr>
        <w:pStyle w:val="NumberedParagraphs"/>
      </w:pPr>
      <w:r w:rsidRPr="00817B9F">
        <w:t xml:space="preserve">Langer </w:t>
      </w:r>
      <w:r w:rsidR="006F2F51" w:rsidRPr="00817B9F">
        <w:t>(2010)</w:t>
      </w:r>
      <w:r w:rsidRPr="00817B9F">
        <w:t xml:space="preserve"> assessed a variety of studies o</w:t>
      </w:r>
      <w:r w:rsidR="00C72043" w:rsidRPr="00817B9F">
        <w:t>n</w:t>
      </w:r>
      <w:r w:rsidRPr="00817B9F">
        <w:t xml:space="preserve"> the use of PET</w:t>
      </w:r>
      <w:r w:rsidR="006F2F51" w:rsidRPr="00817B9F">
        <w:t>/</w:t>
      </w:r>
      <w:r w:rsidRPr="00817B9F">
        <w:t>CT in oncology</w:t>
      </w:r>
      <w:r w:rsidR="00A81436" w:rsidRPr="00817B9F">
        <w:t xml:space="preserve">, finding </w:t>
      </w:r>
      <w:r w:rsidRPr="00817B9F">
        <w:t xml:space="preserve">the strongest evidence of cost-effectiveness for </w:t>
      </w:r>
      <w:r w:rsidR="005E7CFF" w:rsidRPr="00817B9F">
        <w:t>non-small cell lung cancer</w:t>
      </w:r>
      <w:r w:rsidRPr="00817B9F">
        <w:t>.</w:t>
      </w:r>
      <w:r w:rsidRPr="00817B9F">
        <w:rPr>
          <w:rStyle w:val="FootnoteReference"/>
        </w:rPr>
        <w:t xml:space="preserve"> </w:t>
      </w:r>
      <w:r w:rsidR="006F2F51" w:rsidRPr="00817B9F">
        <w:rPr>
          <w:rStyle w:val="FootnoteReference"/>
        </w:rPr>
        <w:footnoteReference w:id="225"/>
      </w:r>
      <w:r w:rsidRPr="00817B9F">
        <w:t xml:space="preserve"> More generally, they concluded that PET</w:t>
      </w:r>
      <w:r w:rsidR="00116619" w:rsidRPr="00817B9F">
        <w:t>/CT</w:t>
      </w:r>
      <w:r w:rsidRPr="00817B9F">
        <w:t xml:space="preserve"> led to improved care and reduced exposure to ineffective treatments and may, therefore, be more generally cost-effective</w:t>
      </w:r>
      <w:r w:rsidR="002C2F84" w:rsidRPr="00817B9F">
        <w:t>. The author noted, however,</w:t>
      </w:r>
      <w:r w:rsidRPr="00817B9F">
        <w:t xml:space="preserve"> that further research is needed for many types of cancer to determine </w:t>
      </w:r>
      <w:r w:rsidR="002C2F84" w:rsidRPr="00817B9F">
        <w:t>the</w:t>
      </w:r>
      <w:r w:rsidRPr="00817B9F">
        <w:t xml:space="preserve"> most cost-effective use </w:t>
      </w:r>
      <w:r w:rsidR="002C2F84" w:rsidRPr="00817B9F">
        <w:t xml:space="preserve">of PET/CT imaging </w:t>
      </w:r>
      <w:r w:rsidRPr="00817B9F">
        <w:t xml:space="preserve">in </w:t>
      </w:r>
      <w:r w:rsidR="002C2F84" w:rsidRPr="00817B9F">
        <w:t>cancer care.</w:t>
      </w:r>
      <w:r w:rsidRPr="00817B9F">
        <w:t xml:space="preserve"> However, like the previously cited study, this review of existing literature was issued in 2010, so more recent research, not yet summarized in the form of a meta-analysis, may </w:t>
      </w:r>
      <w:r w:rsidR="002C2F84" w:rsidRPr="00817B9F">
        <w:t>provide more evidence on the cost-ef</w:t>
      </w:r>
      <w:r w:rsidR="00D655C5" w:rsidRPr="00817B9F">
        <w:t xml:space="preserve">fectiveness of PET/CT in cancer care. </w:t>
      </w:r>
      <w:r w:rsidRPr="00817B9F">
        <w:t>Indeed, a 2016 editorial notes the significant promise of combined PET</w:t>
      </w:r>
      <w:r w:rsidR="000A2FB6" w:rsidRPr="00817B9F">
        <w:t>/</w:t>
      </w:r>
      <w:r w:rsidRPr="00817B9F">
        <w:t>CT for reducing the cost of cancer management by improving the accuracy of both diagnosis and staging.</w:t>
      </w:r>
      <w:r w:rsidR="000A2FB6" w:rsidRPr="00817B9F">
        <w:rPr>
          <w:rStyle w:val="FootnoteReference"/>
        </w:rPr>
        <w:footnoteReference w:id="226"/>
      </w:r>
      <w:r w:rsidRPr="00817B9F">
        <w:t xml:space="preserve"> This improved accuracy </w:t>
      </w:r>
      <w:r w:rsidR="000A2FB6" w:rsidRPr="00817B9F">
        <w:t>may</w:t>
      </w:r>
      <w:r w:rsidRPr="00817B9F">
        <w:t xml:space="preserve"> help to avoid expensive but </w:t>
      </w:r>
      <w:r w:rsidR="000A2FB6" w:rsidRPr="00817B9F">
        <w:t>ineffective</w:t>
      </w:r>
      <w:r w:rsidRPr="00817B9F">
        <w:t xml:space="preserve"> treatment and </w:t>
      </w:r>
      <w:r w:rsidR="000A2FB6" w:rsidRPr="00817B9F">
        <w:t xml:space="preserve">the </w:t>
      </w:r>
      <w:r w:rsidRPr="00817B9F">
        <w:t>associated side effects.</w:t>
      </w:r>
    </w:p>
    <w:p w14:paraId="33360A6F" w14:textId="6E022089" w:rsidR="00A73361" w:rsidRPr="00817B9F" w:rsidRDefault="00A73361" w:rsidP="00606EFA">
      <w:pPr>
        <w:pStyle w:val="Heading4"/>
      </w:pPr>
      <w:r w:rsidRPr="00817B9F">
        <w:t>Computed Tomography</w:t>
      </w:r>
    </w:p>
    <w:p w14:paraId="3B3B043D" w14:textId="4F5B3CCC" w:rsidR="00A73361" w:rsidRPr="00817B9F" w:rsidRDefault="00A73361" w:rsidP="003D1FD5">
      <w:pPr>
        <w:pStyle w:val="NumberedParagraphs"/>
      </w:pPr>
      <w:r w:rsidRPr="00817B9F">
        <w:t xml:space="preserve">Regular CT </w:t>
      </w:r>
      <w:r w:rsidR="003D1FD5" w:rsidRPr="00817B9F">
        <w:t>imaging</w:t>
      </w:r>
      <w:r w:rsidRPr="00817B9F">
        <w:t xml:space="preserve"> has been widely recommended as a screening technique for current </w:t>
      </w:r>
      <w:r w:rsidR="005B7DCF" w:rsidRPr="00817B9F">
        <w:t>and</w:t>
      </w:r>
      <w:r w:rsidRPr="00817B9F">
        <w:t xml:space="preserve"> former regular smokers. Specifically, the U.S. Preventive </w:t>
      </w:r>
      <w:r w:rsidR="0011342E" w:rsidRPr="00817B9F">
        <w:t xml:space="preserve">Services </w:t>
      </w:r>
      <w:r w:rsidRPr="00817B9F">
        <w:t xml:space="preserve">Task Force </w:t>
      </w:r>
      <w:r w:rsidR="0011342E" w:rsidRPr="00817B9F">
        <w:t>g</w:t>
      </w:r>
      <w:r w:rsidRPr="00817B9F">
        <w:t>uideline, most recently updated in March 2021, recommends that adults aged 50-80 with a 20 pack-year smoking history (</w:t>
      </w:r>
      <w:r w:rsidR="00AD2800" w:rsidRPr="00817B9F">
        <w:rPr>
          <w:i/>
          <w:iCs/>
        </w:rPr>
        <w:t>i.e.</w:t>
      </w:r>
      <w:r w:rsidR="00AD2800" w:rsidRPr="00817B9F">
        <w:t xml:space="preserve">, </w:t>
      </w:r>
      <w:r w:rsidRPr="00817B9F">
        <w:t>20 years of smoking one pack</w:t>
      </w:r>
      <w:r w:rsidR="00AD2800" w:rsidRPr="00817B9F">
        <w:t xml:space="preserve"> of cigarettes per </w:t>
      </w:r>
      <w:r w:rsidRPr="00817B9F">
        <w:t xml:space="preserve">day or equivalent) who are current smokers or who have quit </w:t>
      </w:r>
      <w:r w:rsidR="00AD2800" w:rsidRPr="00817B9F">
        <w:t xml:space="preserve">during </w:t>
      </w:r>
      <w:r w:rsidRPr="00817B9F">
        <w:t xml:space="preserve">the last 15 years should undergo annual low-dose CT </w:t>
      </w:r>
      <w:r w:rsidRPr="00817B9F">
        <w:lastRenderedPageBreak/>
        <w:t>screening.</w:t>
      </w:r>
      <w:r w:rsidRPr="00817B9F">
        <w:rPr>
          <w:rStyle w:val="FootnoteReference"/>
        </w:rPr>
        <w:footnoteReference w:id="227"/>
      </w:r>
      <w:r w:rsidRPr="00817B9F">
        <w:t xml:space="preserve"> This guideline continues recommendations that have been </w:t>
      </w:r>
      <w:r w:rsidR="00AD2800" w:rsidRPr="00817B9F">
        <w:t xml:space="preserve">in </w:t>
      </w:r>
      <w:r w:rsidRPr="00817B9F">
        <w:t>effect since a 2010 National Cancer Institute</w:t>
      </w:r>
      <w:r w:rsidR="00590FD5" w:rsidRPr="00817B9F">
        <w:t>-</w:t>
      </w:r>
      <w:r w:rsidRPr="00817B9F">
        <w:t xml:space="preserve">sponsored study of </w:t>
      </w:r>
      <w:r w:rsidR="008D5596" w:rsidRPr="00817B9F">
        <w:t xml:space="preserve">more than </w:t>
      </w:r>
      <w:r w:rsidRPr="00817B9F">
        <w:t>53,000 individuals found that annual CT scanning of current and former smokers reduced the risk of death by 20 percent.</w:t>
      </w:r>
      <w:r w:rsidRPr="00817B9F">
        <w:rPr>
          <w:rStyle w:val="FootnoteReference"/>
        </w:rPr>
        <w:footnoteReference w:id="228"/>
      </w:r>
    </w:p>
    <w:p w14:paraId="621E6FAD" w14:textId="30959173" w:rsidR="00A73361" w:rsidRPr="00817B9F" w:rsidRDefault="00A73361" w:rsidP="00B37CBC">
      <w:pPr>
        <w:pStyle w:val="NumberedParagraphs"/>
      </w:pPr>
      <w:r w:rsidRPr="00817B9F">
        <w:t>Recently, a multidisciplinary international panel evaluated the efficacy of CT scanning for management of patients with C</w:t>
      </w:r>
      <w:r w:rsidR="00A55C21" w:rsidRPr="00817B9F">
        <w:t>OVID</w:t>
      </w:r>
      <w:r w:rsidRPr="00817B9F">
        <w:t>-19.</w:t>
      </w:r>
      <w:r w:rsidRPr="00817B9F">
        <w:rPr>
          <w:rStyle w:val="FootnoteReference"/>
        </w:rPr>
        <w:footnoteReference w:id="229"/>
      </w:r>
      <w:r w:rsidRPr="00817B9F">
        <w:t xml:space="preserve"> The panel agreed that imaging with CT is indicated for patients with C</w:t>
      </w:r>
      <w:r w:rsidR="00A55C21" w:rsidRPr="00817B9F">
        <w:t>OVID</w:t>
      </w:r>
      <w:r w:rsidRPr="00817B9F">
        <w:t>-19 and worsening respiratory status</w:t>
      </w:r>
      <w:r w:rsidR="001D4338" w:rsidRPr="00817B9F">
        <w:t>,</w:t>
      </w:r>
      <w:r w:rsidRPr="00817B9F">
        <w:t xml:space="preserve"> as well as patients who are mildly ill but at risk for disease progression. They also recommend CT imaging as a method to triage patients in a resource-constrained environment.</w:t>
      </w:r>
    </w:p>
    <w:p w14:paraId="0623DB79" w14:textId="77777777" w:rsidR="00ED68D5" w:rsidRPr="00817B9F" w:rsidRDefault="00ED68D5" w:rsidP="005F25AD">
      <w:pPr>
        <w:pStyle w:val="Heading4"/>
      </w:pPr>
      <w:r w:rsidRPr="00817B9F">
        <w:t xml:space="preserve">Magnetic Resonance Imaging </w:t>
      </w:r>
    </w:p>
    <w:p w14:paraId="28A75D2B" w14:textId="254AD30A" w:rsidR="00ED68D5" w:rsidRPr="00817B9F" w:rsidRDefault="00ED68D5" w:rsidP="00ED68D5">
      <w:pPr>
        <w:pStyle w:val="NumberedParagraphs"/>
      </w:pPr>
      <w:r w:rsidRPr="00817B9F">
        <w:t xml:space="preserve">Redd </w:t>
      </w:r>
      <w:r w:rsidRPr="00817B9F">
        <w:rPr>
          <w:i/>
          <w:iCs/>
        </w:rPr>
        <w:t>et al.</w:t>
      </w:r>
      <w:r w:rsidRPr="00817B9F">
        <w:t xml:space="preserve"> (2015) assess</w:t>
      </w:r>
      <w:r w:rsidR="00F94D9E" w:rsidRPr="00817B9F">
        <w:t>ed</w:t>
      </w:r>
      <w:r w:rsidRPr="00817B9F">
        <w:t xml:space="preserve"> the effect of MRI utilization on subsequent hospitalization and length of stay.</w:t>
      </w:r>
      <w:r w:rsidRPr="00817B9F">
        <w:rPr>
          <w:rStyle w:val="FootnoteReference"/>
        </w:rPr>
        <w:footnoteReference w:id="230"/>
      </w:r>
      <w:r w:rsidRPr="00817B9F">
        <w:t xml:space="preserve"> The authors measure</w:t>
      </w:r>
      <w:r w:rsidR="00F94D9E" w:rsidRPr="00817B9F">
        <w:t>d</w:t>
      </w:r>
      <w:r w:rsidRPr="00817B9F">
        <w:t xml:space="preserve"> the effect of locating an always-accessible MRI in the emergency department of a hospital on changes in emergency MRI utilization and its effect on resource utilization for two classes of patients presenting in the emergency department. The authors found that locating an MRI in the emergency department of a trauma center increased MRI utilization by 3</w:t>
      </w:r>
      <w:r w:rsidR="006F0CE7" w:rsidRPr="00817B9F">
        <w:t>8</w:t>
      </w:r>
      <w:r w:rsidRPr="00817B9F">
        <w:t xml:space="preserve"> percent for rule-out stroke cases and by 51 percent for neurology consults. </w:t>
      </w:r>
      <w:r w:rsidRPr="00817B9F">
        <w:lastRenderedPageBreak/>
        <w:t xml:space="preserve">Subsequent hospital admission of these patients declined by 17 percent for rule-out stroke cases, while remaining unchanged </w:t>
      </w:r>
      <w:r w:rsidR="00FB0715" w:rsidRPr="00817B9F">
        <w:t>for</w:t>
      </w:r>
      <w:r w:rsidRPr="00817B9F">
        <w:t xml:space="preserve"> neurology consults. Patients spent more time in the emergency department, but patients who were hospitalized had shorter lengths of stay. Moreover, utilization of MRI imaging during any subsequent inpatient stay declined significantly for both cohorts.</w:t>
      </w:r>
    </w:p>
    <w:p w14:paraId="20E4D749" w14:textId="618FA50D" w:rsidR="00ED68D5" w:rsidRPr="00817B9F" w:rsidRDefault="00ED68D5" w:rsidP="00ED68D5">
      <w:pPr>
        <w:pStyle w:val="NumberedParagraphs"/>
      </w:pPr>
      <w:r w:rsidRPr="00817B9F">
        <w:t xml:space="preserve">Kraus </w:t>
      </w:r>
      <w:r w:rsidRPr="00817B9F">
        <w:rPr>
          <w:i/>
          <w:iCs/>
        </w:rPr>
        <w:t xml:space="preserve">et al. </w:t>
      </w:r>
      <w:r w:rsidRPr="00817B9F">
        <w:t>(2021) note that some patients initially diagnosed with soft tissue sarcomas of the extremity or trunk experience a recurrence that generally predicts substantially worse outcomes unless detected early.</w:t>
      </w:r>
      <w:r w:rsidRPr="00817B9F">
        <w:rPr>
          <w:rStyle w:val="FootnoteReference"/>
        </w:rPr>
        <w:footnoteReference w:id="231"/>
      </w:r>
      <w:r w:rsidRPr="00817B9F">
        <w:t xml:space="preserve"> A comparison of MRI</w:t>
      </w:r>
      <w:r w:rsidR="00144462" w:rsidRPr="00817B9F">
        <w:t>s</w:t>
      </w:r>
      <w:r w:rsidRPr="00817B9F">
        <w:t xml:space="preserve"> with clinical examination</w:t>
      </w:r>
      <w:r w:rsidR="00144462" w:rsidRPr="00817B9F">
        <w:t>s</w:t>
      </w:r>
      <w:r w:rsidRPr="00817B9F">
        <w:t xml:space="preserve"> to detect recurrence found that MRI diagnostics were superior, but the study recommends using both techniques as complementary approaches. </w:t>
      </w:r>
    </w:p>
    <w:p w14:paraId="34BA76A9" w14:textId="77777777" w:rsidR="00A73361" w:rsidRPr="00817B9F" w:rsidRDefault="00A73361" w:rsidP="00606EFA">
      <w:pPr>
        <w:pStyle w:val="Heading4"/>
      </w:pPr>
      <w:r w:rsidRPr="00817B9F">
        <w:t>Trends in Utilization of and Spending on Imaging</w:t>
      </w:r>
    </w:p>
    <w:p w14:paraId="337CC4B9" w14:textId="66B03E9C" w:rsidR="00566D7A" w:rsidRPr="00817B9F" w:rsidRDefault="00EF50F4" w:rsidP="0014681F">
      <w:pPr>
        <w:pStyle w:val="NumberedParagraphs"/>
      </w:pPr>
      <w:r w:rsidRPr="00817B9F">
        <w:t>As we noted above, a large volume of literature has document</w:t>
      </w:r>
      <w:r w:rsidR="001B3693" w:rsidRPr="00817B9F">
        <w:t xml:space="preserve">ed trends in </w:t>
      </w:r>
      <w:r w:rsidR="00F94D9E" w:rsidRPr="00817B9F">
        <w:t xml:space="preserve">the </w:t>
      </w:r>
      <w:r w:rsidR="001B3693" w:rsidRPr="00817B9F">
        <w:t>utilization of and expenditures on diagnostic imaging</w:t>
      </w:r>
      <w:r w:rsidR="005E160E" w:rsidRPr="00817B9F">
        <w:t xml:space="preserve">. This literature has generally concluded that </w:t>
      </w:r>
      <w:r w:rsidR="005D56F3" w:rsidRPr="00817B9F">
        <w:t>expenditures on imaging services have grown more slowly (or even declined) relative to spending on other types of</w:t>
      </w:r>
      <w:r w:rsidRPr="00817B9F">
        <w:t xml:space="preserve"> </w:t>
      </w:r>
      <w:r w:rsidR="00566D7A" w:rsidRPr="00817B9F">
        <w:t xml:space="preserve">health care services. </w:t>
      </w:r>
    </w:p>
    <w:p w14:paraId="3F4DF52F" w14:textId="0B554F14" w:rsidR="00A73361" w:rsidRPr="00817B9F" w:rsidRDefault="00A73361" w:rsidP="00942DEA">
      <w:pPr>
        <w:pStyle w:val="NumberedParagraphs"/>
      </w:pPr>
      <w:r w:rsidRPr="00817B9F">
        <w:t xml:space="preserve">Lee </w:t>
      </w:r>
      <w:r w:rsidRPr="00817B9F">
        <w:rPr>
          <w:i/>
        </w:rPr>
        <w:t>et al.</w:t>
      </w:r>
      <w:r w:rsidR="009A2C22" w:rsidRPr="00817B9F">
        <w:rPr>
          <w:i/>
          <w:iCs/>
        </w:rPr>
        <w:t xml:space="preserve"> </w:t>
      </w:r>
      <w:r w:rsidR="009A2C22" w:rsidRPr="00817B9F">
        <w:t>(2013)</w:t>
      </w:r>
      <w:r w:rsidRPr="00817B9F">
        <w:t xml:space="preserve"> compared trends in Medicare spending on imaging and non-imaging services.</w:t>
      </w:r>
      <w:r w:rsidRPr="00817B9F">
        <w:rPr>
          <w:rStyle w:val="FootnoteReference"/>
        </w:rPr>
        <w:t xml:space="preserve"> </w:t>
      </w:r>
      <w:r w:rsidR="009A2C22" w:rsidRPr="00817B9F">
        <w:rPr>
          <w:rStyle w:val="FootnoteReference"/>
        </w:rPr>
        <w:footnoteReference w:id="232"/>
      </w:r>
      <w:r w:rsidRPr="00817B9F">
        <w:t xml:space="preserve"> </w:t>
      </w:r>
      <w:r w:rsidR="009A2C22" w:rsidRPr="00817B9F">
        <w:t>The authors</w:t>
      </w:r>
      <w:r w:rsidRPr="00817B9F">
        <w:t xml:space="preserve"> found that between 2000 and 2006, spending on </w:t>
      </w:r>
      <w:r w:rsidR="009A2C22" w:rsidRPr="00817B9F">
        <w:t xml:space="preserve">diagnostic </w:t>
      </w:r>
      <w:r w:rsidRPr="00817B9F">
        <w:t xml:space="preserve">imaging grew at nearly double the rate </w:t>
      </w:r>
      <w:r w:rsidR="00F94D9E" w:rsidRPr="00817B9F">
        <w:t>of</w:t>
      </w:r>
      <w:r w:rsidRPr="00817B9F">
        <w:t xml:space="preserve"> non-imaging </w:t>
      </w:r>
      <w:r w:rsidR="009A2C22" w:rsidRPr="00817B9F">
        <w:t xml:space="preserve">services </w:t>
      </w:r>
      <w:r w:rsidRPr="00817B9F">
        <w:t>(</w:t>
      </w:r>
      <w:r w:rsidR="009A2C22" w:rsidRPr="00817B9F">
        <w:t>a</w:t>
      </w:r>
      <w:r w:rsidR="0010615E" w:rsidRPr="00817B9F">
        <w:t xml:space="preserve"> </w:t>
      </w:r>
      <w:r w:rsidRPr="00817B9F">
        <w:t>12 percent</w:t>
      </w:r>
      <w:r w:rsidR="009A2C22" w:rsidRPr="00817B9F">
        <w:t xml:space="preserve"> increase for imaging compared to a </w:t>
      </w:r>
      <w:r w:rsidR="00F403AA" w:rsidRPr="00817B9F">
        <w:t>6.8</w:t>
      </w:r>
      <w:r w:rsidR="009A2C22" w:rsidRPr="00817B9F">
        <w:t xml:space="preserve"> percent </w:t>
      </w:r>
      <w:r w:rsidR="00F403AA" w:rsidRPr="00817B9F">
        <w:t xml:space="preserve">increase </w:t>
      </w:r>
      <w:r w:rsidR="009A2C22" w:rsidRPr="00817B9F">
        <w:t>for other services</w:t>
      </w:r>
      <w:r w:rsidRPr="00817B9F">
        <w:t xml:space="preserve">). However, </w:t>
      </w:r>
      <w:r w:rsidR="009A2C22" w:rsidRPr="00817B9F">
        <w:t>between</w:t>
      </w:r>
      <w:r w:rsidRPr="00817B9F">
        <w:t xml:space="preserve"> 2007 </w:t>
      </w:r>
      <w:r w:rsidR="009A2C22" w:rsidRPr="00817B9F">
        <w:t>and</w:t>
      </w:r>
      <w:r w:rsidRPr="00817B9F">
        <w:t xml:space="preserve"> 2011</w:t>
      </w:r>
      <w:r w:rsidR="0019549D" w:rsidRPr="00817B9F">
        <w:t>,</w:t>
      </w:r>
      <w:r w:rsidRPr="00817B9F">
        <w:t xml:space="preserve"> </w:t>
      </w:r>
      <w:r w:rsidR="009A2C22" w:rsidRPr="00817B9F">
        <w:t xml:space="preserve">Medicare spending on diagnostic </w:t>
      </w:r>
      <w:r w:rsidRPr="00817B9F">
        <w:t xml:space="preserve">imaging spending </w:t>
      </w:r>
      <w:r w:rsidR="009A2C22" w:rsidRPr="00817B9F">
        <w:t>fe</w:t>
      </w:r>
      <w:r w:rsidR="00C219C9" w:rsidRPr="00817B9F">
        <w:t>ll</w:t>
      </w:r>
      <w:r w:rsidRPr="00817B9F">
        <w:t xml:space="preserve"> by </w:t>
      </w:r>
      <w:r w:rsidR="0019549D" w:rsidRPr="00817B9F">
        <w:t>3.5</w:t>
      </w:r>
      <w:r w:rsidRPr="00817B9F">
        <w:t xml:space="preserve"> percent</w:t>
      </w:r>
      <w:r w:rsidR="0019549D" w:rsidRPr="00817B9F">
        <w:t>,</w:t>
      </w:r>
      <w:r w:rsidRPr="00817B9F">
        <w:t xml:space="preserve"> while </w:t>
      </w:r>
      <w:r w:rsidR="0019549D" w:rsidRPr="00817B9F">
        <w:t xml:space="preserve">Medicare </w:t>
      </w:r>
      <w:r w:rsidRPr="00817B9F">
        <w:t>spending on other services increased by 3.6 percent.</w:t>
      </w:r>
      <w:r w:rsidR="00B72D57" w:rsidRPr="00817B9F">
        <w:t xml:space="preserve"> </w:t>
      </w:r>
      <w:r w:rsidRPr="00817B9F">
        <w:t xml:space="preserve">Similarly, Kassavin </w:t>
      </w:r>
      <w:r w:rsidRPr="00817B9F">
        <w:rPr>
          <w:i/>
        </w:rPr>
        <w:t>et al</w:t>
      </w:r>
      <w:r w:rsidR="00853DE0" w:rsidRPr="00817B9F">
        <w:t>. (2021)</w:t>
      </w:r>
      <w:r w:rsidRPr="00817B9F">
        <w:rPr>
          <w:rStyle w:val="FootnoteReference"/>
        </w:rPr>
        <w:t xml:space="preserve"> </w:t>
      </w:r>
      <w:r w:rsidRPr="00817B9F">
        <w:t xml:space="preserve">found that the annual growth rate </w:t>
      </w:r>
      <w:r w:rsidR="00F94D9E" w:rsidRPr="00817B9F">
        <w:t>of</w:t>
      </w:r>
      <w:r w:rsidRPr="00817B9F">
        <w:t xml:space="preserve"> Medicare Part B spending between 2009 and 2019 </w:t>
      </w:r>
      <w:r w:rsidR="00DA74B4" w:rsidRPr="00817B9F">
        <w:t>f</w:t>
      </w:r>
      <w:r w:rsidRPr="00817B9F">
        <w:t xml:space="preserve">or all imaging services was </w:t>
      </w:r>
      <w:r w:rsidR="0036521D" w:rsidRPr="00817B9F">
        <w:t xml:space="preserve">negative </w:t>
      </w:r>
      <w:r w:rsidR="00F43209" w:rsidRPr="00817B9F">
        <w:t>3</w:t>
      </w:r>
      <w:r w:rsidR="0036521D" w:rsidRPr="00817B9F">
        <w:t>.</w:t>
      </w:r>
      <w:r w:rsidR="00755F01" w:rsidRPr="00817B9F">
        <w:t>0</w:t>
      </w:r>
      <w:r w:rsidR="00F43209" w:rsidRPr="00817B9F">
        <w:t xml:space="preserve"> percent</w:t>
      </w:r>
      <w:r w:rsidR="00B42028" w:rsidRPr="00817B9F">
        <w:t>.</w:t>
      </w:r>
      <w:r w:rsidR="00853DE0" w:rsidRPr="00817B9F">
        <w:rPr>
          <w:rStyle w:val="FootnoteReference"/>
        </w:rPr>
        <w:footnoteReference w:id="233"/>
      </w:r>
      <w:r w:rsidRPr="00817B9F">
        <w:t xml:space="preserve"> </w:t>
      </w:r>
      <w:r w:rsidR="00DA74B4" w:rsidRPr="00817B9F">
        <w:t>The reduction in Medicare</w:t>
      </w:r>
      <w:r w:rsidRPr="00817B9F">
        <w:t xml:space="preserve"> </w:t>
      </w:r>
      <w:r w:rsidR="00B42028" w:rsidRPr="00817B9F">
        <w:t xml:space="preserve">spending for imaging services </w:t>
      </w:r>
      <w:r w:rsidR="00B501F8" w:rsidRPr="00817B9F">
        <w:t>was</w:t>
      </w:r>
      <w:r w:rsidRPr="00817B9F">
        <w:t xml:space="preserve"> contrast</w:t>
      </w:r>
      <w:r w:rsidR="00B501F8" w:rsidRPr="00817B9F">
        <w:t xml:space="preserve">ed with </w:t>
      </w:r>
      <w:r w:rsidR="009215E0" w:rsidRPr="00817B9F">
        <w:t xml:space="preserve">increases </w:t>
      </w:r>
      <w:r w:rsidR="009215E0" w:rsidRPr="00817B9F">
        <w:lastRenderedPageBreak/>
        <w:t xml:space="preserve">in </w:t>
      </w:r>
      <w:r w:rsidR="003231CD" w:rsidRPr="00817B9F">
        <w:t xml:space="preserve">Medicare spending on </w:t>
      </w:r>
      <w:r w:rsidR="00314CCF" w:rsidRPr="00817B9F">
        <w:t>other services, including prescription drugs (</w:t>
      </w:r>
      <w:r w:rsidR="00755F01" w:rsidRPr="00817B9F">
        <w:t>5.9</w:t>
      </w:r>
      <w:r w:rsidR="00406DBB" w:rsidRPr="00817B9F">
        <w:t xml:space="preserve"> percent</w:t>
      </w:r>
      <w:r w:rsidR="00471C04" w:rsidRPr="00817B9F">
        <w:t xml:space="preserve">) and physicians’ services </w:t>
      </w:r>
      <w:r w:rsidR="00406DBB" w:rsidRPr="00817B9F">
        <w:t>(</w:t>
      </w:r>
      <w:r w:rsidR="00755F01" w:rsidRPr="00817B9F">
        <w:t>0.9</w:t>
      </w:r>
      <w:r w:rsidR="00406DBB" w:rsidRPr="00817B9F">
        <w:t xml:space="preserve"> percent</w:t>
      </w:r>
      <w:r w:rsidR="00471C04" w:rsidRPr="00817B9F">
        <w:t>).</w:t>
      </w:r>
      <w:r w:rsidR="00406DBB" w:rsidRPr="00817B9F">
        <w:t xml:space="preserve"> </w:t>
      </w:r>
      <w:r w:rsidR="00414F25" w:rsidRPr="00817B9F">
        <w:t xml:space="preserve">The findings of </w:t>
      </w:r>
      <w:r w:rsidRPr="00817B9F">
        <w:t xml:space="preserve">Rosenkrantz </w:t>
      </w:r>
      <w:r w:rsidRPr="00817B9F">
        <w:rPr>
          <w:i/>
        </w:rPr>
        <w:t>et al.</w:t>
      </w:r>
      <w:r w:rsidR="00414F25" w:rsidRPr="00817B9F">
        <w:rPr>
          <w:i/>
          <w:iCs/>
        </w:rPr>
        <w:t xml:space="preserve"> </w:t>
      </w:r>
      <w:r w:rsidR="00414F25" w:rsidRPr="00817B9F">
        <w:t>(2015) are consistent with</w:t>
      </w:r>
      <w:r w:rsidR="00C3558A" w:rsidRPr="00817B9F">
        <w:t xml:space="preserve"> the</w:t>
      </w:r>
      <w:r w:rsidR="00175A54" w:rsidRPr="00817B9F">
        <w:t>se</w:t>
      </w:r>
      <w:r w:rsidR="00C3558A" w:rsidRPr="00817B9F">
        <w:t xml:space="preserve"> </w:t>
      </w:r>
      <w:r w:rsidR="00175A54" w:rsidRPr="00817B9F">
        <w:t>two</w:t>
      </w:r>
      <w:r w:rsidR="00C3558A" w:rsidRPr="00817B9F">
        <w:t xml:space="preserve"> studies</w:t>
      </w:r>
      <w:r w:rsidR="006E4FD1" w:rsidRPr="00817B9F">
        <w:t>.</w:t>
      </w:r>
      <w:r w:rsidR="00414F25" w:rsidRPr="00817B9F">
        <w:rPr>
          <w:rStyle w:val="FootnoteReference"/>
        </w:rPr>
        <w:footnoteReference w:id="234"/>
      </w:r>
      <w:r w:rsidR="00414F25" w:rsidRPr="00817B9F">
        <w:t xml:space="preserve"> </w:t>
      </w:r>
      <w:r w:rsidR="00802D66" w:rsidRPr="00817B9F">
        <w:t>Using data on Medicare expenditures on imaging between 2004 and 201</w:t>
      </w:r>
      <w:r w:rsidR="00FA0C82" w:rsidRPr="00817B9F">
        <w:t>2</w:t>
      </w:r>
      <w:r w:rsidR="00802D66" w:rsidRPr="00817B9F">
        <w:t xml:space="preserve">, the </w:t>
      </w:r>
      <w:r w:rsidR="00B7322D" w:rsidRPr="00817B9F">
        <w:t xml:space="preserve">authors find that </w:t>
      </w:r>
      <w:r w:rsidRPr="00817B9F">
        <w:t>average per beneficiary Medicare Part B imaging spending peaked in 2006 and then decreased by 4.4 percent annually between 2006 and 2012. The</w:t>
      </w:r>
      <w:r w:rsidR="0004441E" w:rsidRPr="00817B9F">
        <w:t xml:space="preserve"> authors</w:t>
      </w:r>
      <w:r w:rsidRPr="00817B9F">
        <w:t xml:space="preserve"> also found that this decline was experienced </w:t>
      </w:r>
      <w:r w:rsidR="00E14126" w:rsidRPr="00817B9F">
        <w:t>in</w:t>
      </w:r>
      <w:r w:rsidRPr="00817B9F">
        <w:t xml:space="preserve"> nearly all states.</w:t>
      </w:r>
    </w:p>
    <w:p w14:paraId="2CC3E936" w14:textId="5F0465FD" w:rsidR="00A73361" w:rsidRPr="00817B9F" w:rsidRDefault="00A73361" w:rsidP="00997C46">
      <w:pPr>
        <w:pStyle w:val="NumberedParagraphs"/>
      </w:pPr>
      <w:r w:rsidRPr="00817B9F">
        <w:t xml:space="preserve">Hong </w:t>
      </w:r>
      <w:r w:rsidRPr="00817B9F">
        <w:rPr>
          <w:i/>
        </w:rPr>
        <w:t>et al.</w:t>
      </w:r>
      <w:r w:rsidR="003F1306" w:rsidRPr="00817B9F">
        <w:t xml:space="preserve"> (20</w:t>
      </w:r>
      <w:r w:rsidR="00384784" w:rsidRPr="00817B9F">
        <w:t>20)</w:t>
      </w:r>
      <w:r w:rsidRPr="00817B9F">
        <w:rPr>
          <w:rStyle w:val="FootnoteReference"/>
        </w:rPr>
        <w:t xml:space="preserve"> </w:t>
      </w:r>
      <w:r w:rsidRPr="00817B9F">
        <w:t xml:space="preserve">assessed trends in imaging utilization between 2003 and 2016 </w:t>
      </w:r>
      <w:r w:rsidR="00384784" w:rsidRPr="00817B9F">
        <w:t xml:space="preserve">for both </w:t>
      </w:r>
      <w:r w:rsidR="00CE6053" w:rsidRPr="00817B9F">
        <w:t xml:space="preserve">Original </w:t>
      </w:r>
      <w:r w:rsidR="00384784" w:rsidRPr="00817B9F">
        <w:t>Medicare beneficiaries and commercially insured patients.</w:t>
      </w:r>
      <w:r w:rsidR="00384784" w:rsidRPr="00817B9F">
        <w:rPr>
          <w:rStyle w:val="FootnoteReference"/>
        </w:rPr>
        <w:footnoteReference w:id="235"/>
      </w:r>
      <w:r w:rsidRPr="00817B9F">
        <w:t xml:space="preserve"> The</w:t>
      </w:r>
      <w:r w:rsidR="00384784" w:rsidRPr="00817B9F">
        <w:t xml:space="preserve"> authors</w:t>
      </w:r>
      <w:r w:rsidRPr="00817B9F">
        <w:t xml:space="preserve"> found that utilization for both populations </w:t>
      </w:r>
      <w:r w:rsidR="00A210D8" w:rsidRPr="00817B9F">
        <w:t xml:space="preserve">increased </w:t>
      </w:r>
      <w:r w:rsidRPr="00817B9F">
        <w:t>through 2010</w:t>
      </w:r>
      <w:r w:rsidR="00384784" w:rsidRPr="00817B9F">
        <w:t xml:space="preserve"> but </w:t>
      </w:r>
      <w:r w:rsidRPr="00817B9F">
        <w:t>began to decline</w:t>
      </w:r>
      <w:r w:rsidR="00A210D8" w:rsidRPr="00817B9F">
        <w:t xml:space="preserve"> after that</w:t>
      </w:r>
      <w:r w:rsidRPr="00817B9F">
        <w:t>.</w:t>
      </w:r>
      <w:r w:rsidRPr="00817B9F">
        <w:rPr>
          <w:rStyle w:val="FootnoteReference"/>
        </w:rPr>
        <w:footnoteReference w:id="236"/>
      </w:r>
      <w:r w:rsidRPr="00817B9F">
        <w:t xml:space="preserve"> They </w:t>
      </w:r>
      <w:r w:rsidR="003829DA" w:rsidRPr="00817B9F">
        <w:t>also document</w:t>
      </w:r>
      <w:r w:rsidRPr="00817B9F">
        <w:t xml:space="preserve"> consistent trends </w:t>
      </w:r>
      <w:r w:rsidR="003829DA" w:rsidRPr="00817B9F">
        <w:t>in</w:t>
      </w:r>
      <w:r w:rsidRPr="00817B9F">
        <w:t xml:space="preserve"> the Medicare and commercially insured populations, though utilization levels were always higher among </w:t>
      </w:r>
      <w:r w:rsidR="006D4ED2" w:rsidRPr="00817B9F">
        <w:t>Medicare beneficiaries than the commercially insured</w:t>
      </w:r>
      <w:r w:rsidRPr="00817B9F">
        <w:t>.</w:t>
      </w:r>
    </w:p>
    <w:p w14:paraId="076A5820" w14:textId="2F847125" w:rsidR="00A73361" w:rsidRPr="00817B9F" w:rsidRDefault="00A73361" w:rsidP="00A73361">
      <w:pPr>
        <w:pStyle w:val="NumberedParagraphs"/>
      </w:pPr>
      <w:r w:rsidRPr="00817B9F">
        <w:t xml:space="preserve">Flaherty </w:t>
      </w:r>
      <w:r w:rsidRPr="00817B9F">
        <w:rPr>
          <w:i/>
        </w:rPr>
        <w:t>et al.</w:t>
      </w:r>
      <w:r w:rsidR="002A6971" w:rsidRPr="00817B9F">
        <w:t xml:space="preserve"> (</w:t>
      </w:r>
      <w:r w:rsidR="00B95120" w:rsidRPr="00817B9F">
        <w:t>2018)</w:t>
      </w:r>
      <w:r w:rsidRPr="00817B9F">
        <w:t xml:space="preserve"> focused specifically on </w:t>
      </w:r>
      <w:r w:rsidR="00D545D2" w:rsidRPr="00817B9F">
        <w:t xml:space="preserve">utilization of health care services for </w:t>
      </w:r>
      <w:r w:rsidRPr="00817B9F">
        <w:t xml:space="preserve">commercially insured </w:t>
      </w:r>
      <w:r w:rsidR="00D545D2" w:rsidRPr="00817B9F">
        <w:t xml:space="preserve">residents of </w:t>
      </w:r>
      <w:r w:rsidRPr="00817B9F">
        <w:t>Massachusetts between 2009 and 2013.</w:t>
      </w:r>
      <w:r w:rsidR="00B95120" w:rsidRPr="00817B9F">
        <w:rPr>
          <w:rStyle w:val="FootnoteReference"/>
        </w:rPr>
        <w:footnoteReference w:id="237"/>
      </w:r>
      <w:r w:rsidRPr="00817B9F">
        <w:t xml:space="preserve"> Using data from the </w:t>
      </w:r>
      <w:r w:rsidR="00D545D2" w:rsidRPr="00817B9F">
        <w:t xml:space="preserve">Massachusetts </w:t>
      </w:r>
      <w:r w:rsidRPr="00817B9F">
        <w:t>APCD</w:t>
      </w:r>
      <w:r w:rsidR="00D545D2" w:rsidRPr="00817B9F">
        <w:t>, the authors</w:t>
      </w:r>
      <w:r w:rsidRPr="00817B9F">
        <w:t xml:space="preserve"> measured trends in imaging and non-imaging utilization and expenditures. </w:t>
      </w:r>
      <w:r w:rsidR="00124054" w:rsidRPr="00817B9F">
        <w:t xml:space="preserve">Utilization per member for imaging services grew by less than one percent </w:t>
      </w:r>
      <w:r w:rsidR="00D723A1" w:rsidRPr="00817B9F">
        <w:t xml:space="preserve">per year </w:t>
      </w:r>
      <w:r w:rsidR="00124054" w:rsidRPr="00817B9F">
        <w:t xml:space="preserve">over the period of the study, while expenditures declined by more than </w:t>
      </w:r>
      <w:r w:rsidR="00467730" w:rsidRPr="00817B9F">
        <w:t>seven</w:t>
      </w:r>
      <w:r w:rsidR="00124054" w:rsidRPr="00817B9F">
        <w:t xml:space="preserve"> percent</w:t>
      </w:r>
      <w:r w:rsidR="00FB5A95" w:rsidRPr="00817B9F">
        <w:t xml:space="preserve"> per year</w:t>
      </w:r>
      <w:r w:rsidR="003B5A7D" w:rsidRPr="00817B9F">
        <w:t>,</w:t>
      </w:r>
      <w:r w:rsidR="00FB5A95" w:rsidRPr="00817B9F">
        <w:t xml:space="preserve"> on average</w:t>
      </w:r>
      <w:r w:rsidR="003B5A7D" w:rsidRPr="00817B9F">
        <w:t>,</w:t>
      </w:r>
      <w:r w:rsidR="00FB5A95" w:rsidRPr="00817B9F">
        <w:t xml:space="preserve"> over the period of study</w:t>
      </w:r>
      <w:r w:rsidR="00124054" w:rsidRPr="00817B9F">
        <w:t xml:space="preserve">. In contrast, </w:t>
      </w:r>
      <w:r w:rsidR="00890804" w:rsidRPr="00817B9F">
        <w:t xml:space="preserve">utilization per member for non-imaging services grew by </w:t>
      </w:r>
      <w:r w:rsidR="00467730" w:rsidRPr="00817B9F">
        <w:t>seven</w:t>
      </w:r>
      <w:r w:rsidR="00890804" w:rsidRPr="00817B9F">
        <w:t xml:space="preserve"> percent </w:t>
      </w:r>
      <w:r w:rsidR="00242F43" w:rsidRPr="00817B9F">
        <w:t xml:space="preserve">per year </w:t>
      </w:r>
      <w:r w:rsidR="00890804" w:rsidRPr="00817B9F">
        <w:t xml:space="preserve">over the study period, corresponding to an increase in expenditures for non-imaging services of </w:t>
      </w:r>
      <w:r w:rsidR="002A68B9" w:rsidRPr="00817B9F">
        <w:t>four</w:t>
      </w:r>
      <w:r w:rsidR="00890804" w:rsidRPr="00817B9F">
        <w:t xml:space="preserve"> percent</w:t>
      </w:r>
      <w:r w:rsidR="003B5A7D" w:rsidRPr="00817B9F">
        <w:t xml:space="preserve"> per year</w:t>
      </w:r>
      <w:r w:rsidR="00890804" w:rsidRPr="00817B9F">
        <w:t xml:space="preserve">. </w:t>
      </w:r>
      <w:r w:rsidRPr="00817B9F">
        <w:t>The</w:t>
      </w:r>
      <w:r w:rsidR="000224AB" w:rsidRPr="00817B9F">
        <w:t xml:space="preserve"> authors</w:t>
      </w:r>
      <w:r w:rsidRPr="00817B9F">
        <w:t xml:space="preserve"> found substantial variation in utilization trends across imaging modalities, with CT and </w:t>
      </w:r>
      <w:r w:rsidR="000224AB" w:rsidRPr="00817B9F">
        <w:t>n</w:t>
      </w:r>
      <w:r w:rsidRPr="00817B9F">
        <w:t xml:space="preserve">uclear medicine showing </w:t>
      </w:r>
      <w:r w:rsidR="000224AB" w:rsidRPr="00817B9F">
        <w:t>declines in utilization</w:t>
      </w:r>
      <w:r w:rsidRPr="00817B9F">
        <w:t>, while X-ray, MRI, PET</w:t>
      </w:r>
      <w:r w:rsidR="00FE48DC" w:rsidRPr="00817B9F">
        <w:t>,</w:t>
      </w:r>
      <w:r w:rsidRPr="00817B9F">
        <w:t xml:space="preserve"> and </w:t>
      </w:r>
      <w:r w:rsidR="000224AB" w:rsidRPr="00817B9F">
        <w:t>u</w:t>
      </w:r>
      <w:r w:rsidRPr="00817B9F">
        <w:t xml:space="preserve">ltrasound </w:t>
      </w:r>
      <w:r w:rsidR="000224AB" w:rsidRPr="00817B9F">
        <w:t xml:space="preserve">showed increases in utilization. </w:t>
      </w:r>
    </w:p>
    <w:p w14:paraId="45F05CF0" w14:textId="10C9F491" w:rsidR="00A73361" w:rsidRPr="00817B9F" w:rsidRDefault="00120580" w:rsidP="00A73361">
      <w:pPr>
        <w:pStyle w:val="NumberedParagraphs"/>
      </w:pPr>
      <w:r w:rsidRPr="00817B9F">
        <w:lastRenderedPageBreak/>
        <w:t>Lastly</w:t>
      </w:r>
      <w:r w:rsidR="00A73361" w:rsidRPr="00817B9F">
        <w:t>, Rosenkrantz and Duszak</w:t>
      </w:r>
      <w:r w:rsidRPr="00817B9F">
        <w:t xml:space="preserve"> (2017)</w:t>
      </w:r>
      <w:r w:rsidR="00A73361" w:rsidRPr="00817B9F">
        <w:t xml:space="preserve"> assessed whether utilization of advanced imaging techniques had any effect on Medicare Shared Savings Program</w:t>
      </w:r>
      <w:r w:rsidR="00DA0063" w:rsidRPr="00817B9F">
        <w:t>-participating</w:t>
      </w:r>
      <w:r w:rsidR="00A73361" w:rsidRPr="00817B9F">
        <w:t xml:space="preserve"> A</w:t>
      </w:r>
      <w:r w:rsidR="00B04E27" w:rsidRPr="00817B9F">
        <w:t xml:space="preserve">ccountable </w:t>
      </w:r>
      <w:r w:rsidR="00A73361" w:rsidRPr="00817B9F">
        <w:t>C</w:t>
      </w:r>
      <w:r w:rsidR="00B04E27" w:rsidRPr="00817B9F">
        <w:t xml:space="preserve">are </w:t>
      </w:r>
      <w:r w:rsidR="00A73361" w:rsidRPr="00817B9F">
        <w:t>O</w:t>
      </w:r>
      <w:r w:rsidR="00B04E27" w:rsidRPr="00817B9F">
        <w:t>r</w:t>
      </w:r>
      <w:r w:rsidR="00BF1E08" w:rsidRPr="00817B9F">
        <w:t>ganization</w:t>
      </w:r>
      <w:r w:rsidR="00A73361" w:rsidRPr="00817B9F">
        <w:t>s’ ability to achieve savings and meet the minimum savings rate necessary to qualify for savings sharing</w:t>
      </w:r>
      <w:r w:rsidR="00C71321" w:rsidRPr="00817B9F">
        <w:t>.</w:t>
      </w:r>
      <w:r w:rsidR="00B026ED" w:rsidRPr="00817B9F">
        <w:rPr>
          <w:rStyle w:val="FootnoteReference"/>
        </w:rPr>
        <w:footnoteReference w:id="238"/>
      </w:r>
      <w:r w:rsidR="00A73361" w:rsidRPr="00817B9F">
        <w:t xml:space="preserve"> Using data on per member utilization of MRI and CT</w:t>
      </w:r>
      <w:r w:rsidR="00C71321" w:rsidRPr="00817B9F">
        <w:t>,</w:t>
      </w:r>
      <w:r w:rsidR="00A73361" w:rsidRPr="00817B9F">
        <w:t xml:space="preserve"> the</w:t>
      </w:r>
      <w:r w:rsidR="00C71321" w:rsidRPr="00817B9F">
        <w:t xml:space="preserve"> </w:t>
      </w:r>
      <w:r w:rsidR="00D178C8" w:rsidRPr="00817B9F">
        <w:t>authors</w:t>
      </w:r>
      <w:r w:rsidR="00A73361" w:rsidRPr="00817B9F">
        <w:t xml:space="preserve"> found that MRI utilization had a small, significant positive effect on A</w:t>
      </w:r>
      <w:r w:rsidR="0009347B" w:rsidRPr="00817B9F">
        <w:t>ccountable Care Organization</w:t>
      </w:r>
      <w:r w:rsidR="0015206B" w:rsidRPr="00817B9F">
        <w:t>s</w:t>
      </w:r>
      <w:r w:rsidR="00A73361" w:rsidRPr="00817B9F">
        <w:t xml:space="preserve">’ achieved savings as well as the probability of achieving the minimum </w:t>
      </w:r>
      <w:r w:rsidR="00735DE3" w:rsidRPr="00817B9F">
        <w:t>savings rate thres</w:t>
      </w:r>
      <w:r w:rsidR="00D17241" w:rsidRPr="00817B9F">
        <w:t>hold.</w:t>
      </w:r>
      <w:r w:rsidR="00A73361" w:rsidRPr="00817B9F">
        <w:t xml:space="preserve"> The</w:t>
      </w:r>
      <w:r w:rsidR="00D17241" w:rsidRPr="00817B9F">
        <w:t>se</w:t>
      </w:r>
      <w:r w:rsidR="00A73361" w:rsidRPr="00817B9F">
        <w:t xml:space="preserve"> finding</w:t>
      </w:r>
      <w:r w:rsidR="00470F7E" w:rsidRPr="00817B9F">
        <w:t>s</w:t>
      </w:r>
      <w:r w:rsidR="00A73361" w:rsidRPr="00817B9F">
        <w:t xml:space="preserve"> indicate that the cost of </w:t>
      </w:r>
      <w:r w:rsidR="00094FF3" w:rsidRPr="00817B9F">
        <w:t>higher</w:t>
      </w:r>
      <w:r w:rsidR="00A73361" w:rsidRPr="00817B9F">
        <w:t xml:space="preserve"> MRI utilization was more than offset by savings in other types of care.</w:t>
      </w:r>
      <w:r w:rsidR="00D17241" w:rsidRPr="00817B9F">
        <w:t xml:space="preserve"> </w:t>
      </w:r>
      <w:r w:rsidR="00094FF3" w:rsidRPr="00817B9F">
        <w:t>However, the authors</w:t>
      </w:r>
      <w:r w:rsidR="00D17241" w:rsidRPr="00817B9F">
        <w:t xml:space="preserve"> found no significant effect of CT utilization</w:t>
      </w:r>
      <w:r w:rsidR="00094FF3" w:rsidRPr="00817B9F">
        <w:t xml:space="preserve"> on </w:t>
      </w:r>
      <w:r w:rsidR="003832F1" w:rsidRPr="00817B9F">
        <w:t>reducing</w:t>
      </w:r>
      <w:r w:rsidR="00614375" w:rsidRPr="00817B9F">
        <w:t xml:space="preserve"> expenditures on other types of care. </w:t>
      </w:r>
    </w:p>
    <w:p w14:paraId="156EB087" w14:textId="37C48B27" w:rsidR="00021186" w:rsidRPr="00817B9F" w:rsidRDefault="002607B0" w:rsidP="00E666B8">
      <w:pPr>
        <w:pStyle w:val="Heading3"/>
      </w:pPr>
      <w:bookmarkStart w:id="141" w:name="_Toc90046550"/>
      <w:r w:rsidRPr="00817B9F">
        <w:t xml:space="preserve">The </w:t>
      </w:r>
      <w:r w:rsidR="00F70B31" w:rsidRPr="00817B9F">
        <w:t xml:space="preserve">Effect of </w:t>
      </w:r>
      <w:r w:rsidR="00186A40" w:rsidRPr="00817B9F">
        <w:t>R</w:t>
      </w:r>
      <w:r w:rsidR="00F70B31" w:rsidRPr="00817B9F">
        <w:t xml:space="preserve">educed </w:t>
      </w:r>
      <w:r w:rsidRPr="00817B9F">
        <w:t xml:space="preserve">Boarding </w:t>
      </w:r>
      <w:r w:rsidR="00186A40" w:rsidRPr="00817B9F">
        <w:t>T</w:t>
      </w:r>
      <w:r w:rsidR="00F70B31" w:rsidRPr="00817B9F">
        <w:t xml:space="preserve">ime in </w:t>
      </w:r>
      <w:r w:rsidRPr="00817B9F">
        <w:t xml:space="preserve">Hospital </w:t>
      </w:r>
      <w:r w:rsidR="00F70B31" w:rsidRPr="00817B9F">
        <w:t>E</w:t>
      </w:r>
      <w:r w:rsidRPr="00817B9F">
        <w:t>mergency Departments or Post-Anesthesia Care Units</w:t>
      </w:r>
      <w:bookmarkEnd w:id="141"/>
    </w:p>
    <w:p w14:paraId="1A942904" w14:textId="4B5F1755" w:rsidR="006058D7" w:rsidRPr="00817B9F" w:rsidRDefault="00E749AC" w:rsidP="002A543E">
      <w:pPr>
        <w:pStyle w:val="NumberedParagraphs"/>
      </w:pPr>
      <w:r w:rsidRPr="00817B9F">
        <w:t xml:space="preserve">In its application, MGB notes that an increase in the number of beds at the hospital </w:t>
      </w:r>
      <w:r w:rsidR="00FF2B76" w:rsidRPr="00817B9F">
        <w:t xml:space="preserve">may reduce the amount of time that patients spend boarding in </w:t>
      </w:r>
      <w:r w:rsidR="009E28B0" w:rsidRPr="00817B9F">
        <w:t>MGH’s</w:t>
      </w:r>
      <w:r w:rsidR="00683DFB" w:rsidRPr="00817B9F">
        <w:t xml:space="preserve"> emergency </w:t>
      </w:r>
      <w:r w:rsidR="00087932" w:rsidRPr="00817B9F">
        <w:t xml:space="preserve">department. </w:t>
      </w:r>
      <w:r w:rsidR="006A4F43" w:rsidRPr="00817B9F">
        <w:t xml:space="preserve">A recent Kaiser Health News analysis documented long average lengths of stay </w:t>
      </w:r>
      <w:r w:rsidR="007877D3" w:rsidRPr="00817B9F">
        <w:t xml:space="preserve">in hospital emergency departments </w:t>
      </w:r>
      <w:r w:rsidR="006A4F43" w:rsidRPr="00817B9F">
        <w:t xml:space="preserve">across many states </w:t>
      </w:r>
      <w:r w:rsidR="00A339A1" w:rsidRPr="00817B9F">
        <w:t>and</w:t>
      </w:r>
      <w:r w:rsidR="006A4F43" w:rsidRPr="00817B9F">
        <w:t xml:space="preserve"> found that Massachusetts has among the </w:t>
      </w:r>
      <w:r w:rsidR="00304ACF" w:rsidRPr="00817B9F">
        <w:t xml:space="preserve">longest </w:t>
      </w:r>
      <w:r w:rsidR="00D94FA2" w:rsidRPr="00817B9F">
        <w:t xml:space="preserve">emergency department </w:t>
      </w:r>
      <w:r w:rsidR="00103F45" w:rsidRPr="00817B9F">
        <w:t>lengths</w:t>
      </w:r>
      <w:r w:rsidR="006A4F43" w:rsidRPr="00817B9F">
        <w:t>.</w:t>
      </w:r>
      <w:r w:rsidR="006A4F43" w:rsidRPr="00817B9F">
        <w:rPr>
          <w:rStyle w:val="FootnoteReference"/>
        </w:rPr>
        <w:t xml:space="preserve"> </w:t>
      </w:r>
      <w:r w:rsidR="007877D3" w:rsidRPr="00817B9F">
        <w:rPr>
          <w:rStyle w:val="FootnoteReference"/>
        </w:rPr>
        <w:footnoteReference w:id="239"/>
      </w:r>
      <w:r w:rsidR="006A4F43" w:rsidRPr="00817B9F">
        <w:t xml:space="preserve"> Assessing the experience </w:t>
      </w:r>
      <w:r w:rsidR="007F217E" w:rsidRPr="00817B9F">
        <w:t xml:space="preserve">of hospitals in </w:t>
      </w:r>
      <w:r w:rsidR="006A4F43" w:rsidRPr="00817B9F">
        <w:t>California in particular, th</w:t>
      </w:r>
      <w:r w:rsidR="007F217E" w:rsidRPr="00817B9F">
        <w:t>e</w:t>
      </w:r>
      <w:r w:rsidR="006A4F43" w:rsidRPr="00817B9F">
        <w:t xml:space="preserve"> analysis noted that </w:t>
      </w:r>
      <w:r w:rsidR="001C4022" w:rsidRPr="00817B9F">
        <w:t xml:space="preserve">emergency department crowding </w:t>
      </w:r>
      <w:r w:rsidR="0066488D" w:rsidRPr="00817B9F">
        <w:t>has led to an increase in the number of patients who leave the emergency department without having their care completed. In California,</w:t>
      </w:r>
      <w:r w:rsidR="005A0FDD" w:rsidRPr="00817B9F">
        <w:t xml:space="preserve"> </w:t>
      </w:r>
      <w:r w:rsidR="006A4F43" w:rsidRPr="00817B9F">
        <w:t xml:space="preserve">the number of </w:t>
      </w:r>
      <w:r w:rsidR="00BB6190" w:rsidRPr="00817B9F">
        <w:t xml:space="preserve">such </w:t>
      </w:r>
      <w:r w:rsidR="006A4F43" w:rsidRPr="00817B9F">
        <w:t xml:space="preserve">patients increased by 57 percent between 2012 and 2017. </w:t>
      </w:r>
    </w:p>
    <w:p w14:paraId="5295CB68" w14:textId="161F8B58" w:rsidR="00607F2B" w:rsidRPr="00817B9F" w:rsidRDefault="006A359A" w:rsidP="009E28B0">
      <w:pPr>
        <w:pStyle w:val="NumberedParagraphs"/>
      </w:pPr>
      <w:r w:rsidRPr="00817B9F">
        <w:t xml:space="preserve">In its </w:t>
      </w:r>
      <w:r w:rsidR="004E7CAB" w:rsidRPr="00817B9F">
        <w:t xml:space="preserve">DoN </w:t>
      </w:r>
      <w:r w:rsidRPr="00817B9F">
        <w:t xml:space="preserve">application for MGH, </w:t>
      </w:r>
      <w:r w:rsidR="006A4F43" w:rsidRPr="00817B9F">
        <w:t>MGB noted</w:t>
      </w:r>
      <w:r w:rsidR="003D5ED1" w:rsidRPr="00817B9F">
        <w:t xml:space="preserve"> that </w:t>
      </w:r>
      <w:r w:rsidR="006A4F43" w:rsidRPr="00817B9F">
        <w:t xml:space="preserve">in </w:t>
      </w:r>
      <w:r w:rsidR="003D5ED1" w:rsidRPr="00817B9F">
        <w:t>fiscal year 2019</w:t>
      </w:r>
      <w:r w:rsidR="006A4F43" w:rsidRPr="00817B9F">
        <w:t xml:space="preserve">, 78 percent of </w:t>
      </w:r>
      <w:r w:rsidR="00C43F9B" w:rsidRPr="00817B9F">
        <w:t>MGH’s</w:t>
      </w:r>
      <w:r w:rsidR="006A4F43" w:rsidRPr="00817B9F">
        <w:t xml:space="preserve"> admissions through </w:t>
      </w:r>
      <w:r w:rsidR="00C43F9B" w:rsidRPr="00817B9F">
        <w:t>its</w:t>
      </w:r>
      <w:r w:rsidR="006A4F43" w:rsidRPr="00817B9F">
        <w:t xml:space="preserve"> </w:t>
      </w:r>
      <w:r w:rsidR="003D5ED1" w:rsidRPr="00817B9F">
        <w:t>emergency department</w:t>
      </w:r>
      <w:r w:rsidR="006A4F43" w:rsidRPr="00817B9F">
        <w:t xml:space="preserve"> boarded in the </w:t>
      </w:r>
      <w:r w:rsidR="003D5ED1" w:rsidRPr="00817B9F">
        <w:t>emergency department</w:t>
      </w:r>
      <w:r w:rsidR="006A4F43" w:rsidRPr="00817B9F">
        <w:t xml:space="preserve"> for more than two hours </w:t>
      </w:r>
      <w:r w:rsidR="0040278E" w:rsidRPr="00817B9F">
        <w:t xml:space="preserve">following a bed request </w:t>
      </w:r>
      <w:r w:rsidR="006A4F43" w:rsidRPr="00817B9F">
        <w:t>before transferring to an inpatient bed</w:t>
      </w:r>
      <w:r w:rsidR="00AB390A" w:rsidRPr="00817B9F">
        <w:t>.</w:t>
      </w:r>
      <w:r w:rsidR="000A1005" w:rsidRPr="00817B9F">
        <w:rPr>
          <w:rStyle w:val="FootnoteReference"/>
        </w:rPr>
        <w:footnoteReference w:id="240"/>
      </w:r>
      <w:r w:rsidR="006A4F43" w:rsidRPr="00817B9F">
        <w:t xml:space="preserve"> </w:t>
      </w:r>
      <w:r w:rsidR="00931108" w:rsidRPr="00817B9F">
        <w:t>82</w:t>
      </w:r>
      <w:r w:rsidR="00FF6A8D" w:rsidRPr="00817B9F">
        <w:t xml:space="preserve"> percent of cardiology patients admitted by the MGH emergency department were </w:t>
      </w:r>
      <w:r w:rsidR="00607F2B" w:rsidRPr="00817B9F">
        <w:t xml:space="preserve">boarded in the </w:t>
      </w:r>
      <w:r w:rsidR="0049179D" w:rsidRPr="00817B9F">
        <w:t xml:space="preserve">emergency </w:t>
      </w:r>
      <w:r w:rsidR="0049179D" w:rsidRPr="00817B9F">
        <w:lastRenderedPageBreak/>
        <w:t xml:space="preserve">department, with an </w:t>
      </w:r>
      <w:r w:rsidR="00E53F0F" w:rsidRPr="00817B9F">
        <w:t xml:space="preserve">average length of stay in the emergency department of </w:t>
      </w:r>
      <w:r w:rsidR="00607F2B" w:rsidRPr="00817B9F">
        <w:t>10.5 hours.</w:t>
      </w:r>
      <w:r w:rsidR="0007251D" w:rsidRPr="00817B9F">
        <w:rPr>
          <w:rStyle w:val="FootnoteReference"/>
        </w:rPr>
        <w:footnoteReference w:id="241"/>
      </w:r>
      <w:r w:rsidR="00607F2B" w:rsidRPr="00817B9F">
        <w:t xml:space="preserve"> </w:t>
      </w:r>
      <w:r w:rsidR="00105079" w:rsidRPr="00817B9F">
        <w:t>Similarly, 87</w:t>
      </w:r>
      <w:r w:rsidR="00C45C15" w:rsidRPr="00817B9F">
        <w:t xml:space="preserve"> percent of oncology patients ad</w:t>
      </w:r>
      <w:r w:rsidR="00FE33B3" w:rsidRPr="00817B9F">
        <w:t xml:space="preserve">mitted by the MGH emergency </w:t>
      </w:r>
      <w:r w:rsidR="00EE6273" w:rsidRPr="00817B9F">
        <w:t>department</w:t>
      </w:r>
      <w:r w:rsidR="00FE33B3" w:rsidRPr="00817B9F">
        <w:t xml:space="preserve"> were boarded in the emergency department</w:t>
      </w:r>
      <w:r w:rsidR="005932F1" w:rsidRPr="00817B9F">
        <w:t>.</w:t>
      </w:r>
      <w:r w:rsidR="005F571F" w:rsidRPr="00817B9F">
        <w:rPr>
          <w:rStyle w:val="FootnoteReference"/>
        </w:rPr>
        <w:footnoteReference w:id="242"/>
      </w:r>
      <w:r w:rsidR="005932F1" w:rsidRPr="00817B9F">
        <w:t xml:space="preserve"> Based on information that MGB provided CRA, the </w:t>
      </w:r>
      <w:r w:rsidR="005F571F" w:rsidRPr="00817B9F">
        <w:t xml:space="preserve">average length of stay in the emergency department for these patients was 10.9 hours. </w:t>
      </w:r>
      <w:r w:rsidR="006B4E66" w:rsidRPr="00817B9F">
        <w:t xml:space="preserve">In this section, </w:t>
      </w:r>
      <w:r w:rsidR="00497A3D" w:rsidRPr="00817B9F">
        <w:t xml:space="preserve">we briefly review the health literature on the effects of </w:t>
      </w:r>
      <w:r w:rsidR="00C71830" w:rsidRPr="00817B9F">
        <w:t xml:space="preserve">emergency department boarding on patient outcomes and health care expenditures. </w:t>
      </w:r>
      <w:r w:rsidR="0030289B" w:rsidRPr="00817B9F">
        <w:t xml:space="preserve">Generally, this literature finds that reducing emergency department boarding improves patient outcomes and reduces hospital lengths of stay; a related literature finds that reducing emergency department waiting times also lowers costs and improves outcomes. </w:t>
      </w:r>
    </w:p>
    <w:p w14:paraId="06D91118" w14:textId="7DF5CC57" w:rsidR="006A4F43" w:rsidRPr="00817B9F" w:rsidRDefault="00FB0ED9" w:rsidP="00854D82">
      <w:pPr>
        <w:pStyle w:val="NumberedParagraphs"/>
      </w:pPr>
      <w:r w:rsidRPr="00817B9F">
        <w:t>Several studies have add</w:t>
      </w:r>
      <w:r w:rsidR="00446A2A" w:rsidRPr="00817B9F">
        <w:t xml:space="preserve">ressed the effect of emergency department boarding on patient </w:t>
      </w:r>
      <w:r w:rsidR="00E87E4A" w:rsidRPr="00817B9F">
        <w:t xml:space="preserve">outcomes. </w:t>
      </w:r>
      <w:r w:rsidR="006A4F43" w:rsidRPr="00817B9F">
        <w:t xml:space="preserve">Liu </w:t>
      </w:r>
      <w:r w:rsidR="006A4F43" w:rsidRPr="00817B9F">
        <w:rPr>
          <w:i/>
        </w:rPr>
        <w:t>et al.</w:t>
      </w:r>
      <w:r w:rsidR="006A4F43" w:rsidRPr="00817B9F">
        <w:t xml:space="preserve"> </w:t>
      </w:r>
      <w:r w:rsidR="00E87E4A" w:rsidRPr="00817B9F">
        <w:t>(2009)</w:t>
      </w:r>
      <w:r w:rsidR="006A4F43" w:rsidRPr="00817B9F">
        <w:t xml:space="preserve"> assessed the frequency of undesirable events</w:t>
      </w:r>
      <w:r w:rsidR="00E87E4A" w:rsidRPr="00817B9F">
        <w:t xml:space="preserve"> associated with </w:t>
      </w:r>
      <w:r w:rsidR="00AD7B78" w:rsidRPr="00817B9F">
        <w:t>patients who boarded in the emergency department of a large, urban academic medical center.</w:t>
      </w:r>
      <w:r w:rsidR="00AD7B78" w:rsidRPr="00817B9F">
        <w:rPr>
          <w:rStyle w:val="FootnoteReference"/>
        </w:rPr>
        <w:footnoteReference w:id="243"/>
      </w:r>
      <w:r w:rsidR="000C07AE" w:rsidRPr="00817B9F">
        <w:t xml:space="preserve"> The undesirable events </w:t>
      </w:r>
      <w:r w:rsidR="00AD5AFE" w:rsidRPr="00817B9F">
        <w:t>reflected</w:t>
      </w:r>
      <w:r w:rsidR="000C07AE" w:rsidRPr="00817B9F">
        <w:t xml:space="preserve"> in the study </w:t>
      </w:r>
      <w:r w:rsidR="00AD5AFE" w:rsidRPr="00817B9F">
        <w:t>design</w:t>
      </w:r>
      <w:r w:rsidR="000C07AE" w:rsidRPr="00817B9F">
        <w:t xml:space="preserve"> </w:t>
      </w:r>
      <w:r w:rsidR="006A4F43" w:rsidRPr="00817B9F">
        <w:t>includ</w:t>
      </w:r>
      <w:r w:rsidR="00AD5AFE" w:rsidRPr="00817B9F">
        <w:t>ed</w:t>
      </w:r>
      <w:r w:rsidR="006A4F43" w:rsidRPr="00817B9F">
        <w:t xml:space="preserve"> missed </w:t>
      </w:r>
      <w:r w:rsidR="00AD5AFE" w:rsidRPr="00817B9F">
        <w:t xml:space="preserve">home </w:t>
      </w:r>
      <w:r w:rsidR="006A4F43" w:rsidRPr="00817B9F">
        <w:t xml:space="preserve">medications, missed laboratory test results, </w:t>
      </w:r>
      <w:r w:rsidR="003E7E09" w:rsidRPr="00817B9F">
        <w:t>and</w:t>
      </w:r>
      <w:r w:rsidR="006A4F43" w:rsidRPr="00817B9F">
        <w:t xml:space="preserve"> arrhythmias</w:t>
      </w:r>
      <w:r w:rsidR="00AD5AFE" w:rsidRPr="00817B9F">
        <w:t xml:space="preserve">. </w:t>
      </w:r>
      <w:r w:rsidR="006A4F43" w:rsidRPr="00817B9F">
        <w:t>Using retrospective chart analyses, the</w:t>
      </w:r>
      <w:r w:rsidR="00AD5AFE" w:rsidRPr="00817B9F">
        <w:t xml:space="preserve"> authors</w:t>
      </w:r>
      <w:r w:rsidR="006A4F43" w:rsidRPr="00817B9F">
        <w:t xml:space="preserve"> found that </w:t>
      </w:r>
      <w:r w:rsidR="0083242B" w:rsidRPr="00817B9F">
        <w:t>28</w:t>
      </w:r>
      <w:r w:rsidR="006A4F43" w:rsidRPr="00817B9F">
        <w:t xml:space="preserve"> percent of patients </w:t>
      </w:r>
      <w:r w:rsidR="0083242B" w:rsidRPr="00817B9F">
        <w:t>who boarded in the emerge</w:t>
      </w:r>
      <w:r w:rsidR="006E3F73" w:rsidRPr="00817B9F">
        <w:t xml:space="preserve">ncy department </w:t>
      </w:r>
      <w:r w:rsidR="006A4F43" w:rsidRPr="00817B9F">
        <w:t xml:space="preserve">experienced an undesirable event and 3.3 percent had a preventable adverse event. Undesirable events were more common among older patients </w:t>
      </w:r>
      <w:r w:rsidR="005524FA" w:rsidRPr="00817B9F">
        <w:t xml:space="preserve">and those </w:t>
      </w:r>
      <w:r w:rsidR="006A4F43" w:rsidRPr="00817B9F">
        <w:t>with more comorbidities.</w:t>
      </w:r>
    </w:p>
    <w:p w14:paraId="507186D5" w14:textId="06981D1D" w:rsidR="006A4F43" w:rsidRPr="00817B9F" w:rsidRDefault="006A4F43" w:rsidP="00740704">
      <w:pPr>
        <w:pStyle w:val="NumberedParagraphs"/>
      </w:pPr>
      <w:r w:rsidRPr="00817B9F">
        <w:t xml:space="preserve">Boulain </w:t>
      </w:r>
      <w:r w:rsidRPr="00817B9F">
        <w:rPr>
          <w:i/>
        </w:rPr>
        <w:t>et al.</w:t>
      </w:r>
      <w:r w:rsidR="00515790" w:rsidRPr="00817B9F">
        <w:t xml:space="preserve"> (2020)</w:t>
      </w:r>
      <w:r w:rsidRPr="00817B9F">
        <w:t xml:space="preserve"> assessed whether </w:t>
      </w:r>
      <w:r w:rsidR="00D77671" w:rsidRPr="00817B9F">
        <w:t>emergency department</w:t>
      </w:r>
      <w:r w:rsidRPr="00817B9F">
        <w:t xml:space="preserve"> boarding for more than four hours prior to admission increased the risk of in</w:t>
      </w:r>
      <w:r w:rsidR="00D77671" w:rsidRPr="00817B9F">
        <w:t>-</w:t>
      </w:r>
      <w:r w:rsidRPr="00817B9F">
        <w:t>hospital mortality or lengthened inpatient stay.</w:t>
      </w:r>
      <w:r w:rsidR="00515790" w:rsidRPr="00817B9F">
        <w:rPr>
          <w:rStyle w:val="FootnoteReference"/>
        </w:rPr>
        <w:footnoteReference w:id="244"/>
      </w:r>
      <w:r w:rsidRPr="00817B9F">
        <w:t xml:space="preserve"> The authors used a retrospective analysis of all patients admitted through the </w:t>
      </w:r>
      <w:r w:rsidR="004755CD" w:rsidRPr="00817B9F">
        <w:t xml:space="preserve">emergency department of </w:t>
      </w:r>
      <w:r w:rsidRPr="00817B9F">
        <w:t>a large academic medical center in France. They found that the odds of in</w:t>
      </w:r>
      <w:r w:rsidR="0083563E" w:rsidRPr="00817B9F">
        <w:t>-</w:t>
      </w:r>
      <w:r w:rsidRPr="00817B9F">
        <w:t xml:space="preserve">hospital </w:t>
      </w:r>
      <w:r w:rsidR="0083563E" w:rsidRPr="00817B9F">
        <w:t>mortality</w:t>
      </w:r>
      <w:r w:rsidRPr="00817B9F">
        <w:t xml:space="preserve"> </w:t>
      </w:r>
      <w:r w:rsidR="00713CED" w:rsidRPr="00817B9F">
        <w:t>were significantly higher</w:t>
      </w:r>
      <w:r w:rsidRPr="00817B9F">
        <w:t xml:space="preserve"> for those patients who boarded in the </w:t>
      </w:r>
      <w:r w:rsidR="00713CED" w:rsidRPr="00817B9F">
        <w:t>emergency department</w:t>
      </w:r>
      <w:r w:rsidRPr="00817B9F">
        <w:t xml:space="preserve"> </w:t>
      </w:r>
      <w:r w:rsidRPr="00817B9F">
        <w:lastRenderedPageBreak/>
        <w:t>for more than four hours. In addition, the</w:t>
      </w:r>
      <w:r w:rsidR="00713CED" w:rsidRPr="00817B9F">
        <w:t xml:space="preserve"> </w:t>
      </w:r>
      <w:r w:rsidR="00653C84" w:rsidRPr="00817B9F">
        <w:t>authors</w:t>
      </w:r>
      <w:r w:rsidRPr="00817B9F">
        <w:t xml:space="preserve"> found that admitted patients who boarded in the </w:t>
      </w:r>
      <w:r w:rsidR="00653C84" w:rsidRPr="00817B9F">
        <w:t>emergency department</w:t>
      </w:r>
      <w:r w:rsidRPr="00817B9F">
        <w:t xml:space="preserve"> for more than four hours remained hospitalized longer</w:t>
      </w:r>
      <w:r w:rsidR="00653C84" w:rsidRPr="00817B9F">
        <w:t xml:space="preserve">: the </w:t>
      </w:r>
      <w:r w:rsidRPr="00817B9F">
        <w:t xml:space="preserve">median length of stay </w:t>
      </w:r>
      <w:r w:rsidR="00653C84" w:rsidRPr="00817B9F">
        <w:t>for these patients</w:t>
      </w:r>
      <w:r w:rsidRPr="00817B9F">
        <w:t xml:space="preserve"> was two days longer, and </w:t>
      </w:r>
      <w:r w:rsidR="00653C84" w:rsidRPr="00817B9F">
        <w:t xml:space="preserve">the </w:t>
      </w:r>
      <w:r w:rsidRPr="00817B9F">
        <w:t xml:space="preserve">mean </w:t>
      </w:r>
      <w:r w:rsidR="001C22DB" w:rsidRPr="00817B9F">
        <w:t>length of stay for these patients was 1.15 days longer.</w:t>
      </w:r>
    </w:p>
    <w:p w14:paraId="2E4E6D4D" w14:textId="6910AD25" w:rsidR="0019628C" w:rsidRPr="00817B9F" w:rsidRDefault="006A4F43" w:rsidP="001A6B8A">
      <w:pPr>
        <w:pStyle w:val="NumberedParagraphs"/>
      </w:pPr>
      <w:r w:rsidRPr="00817B9F">
        <w:t xml:space="preserve">Van Loveren </w:t>
      </w:r>
      <w:r w:rsidRPr="00817B9F">
        <w:rPr>
          <w:i/>
        </w:rPr>
        <w:t>et al.</w:t>
      </w:r>
      <w:r w:rsidR="00D321EB" w:rsidRPr="00817B9F">
        <w:rPr>
          <w:i/>
          <w:iCs/>
        </w:rPr>
        <w:t xml:space="preserve"> </w:t>
      </w:r>
      <w:r w:rsidR="00D321EB" w:rsidRPr="00817B9F">
        <w:t>(2021)</w:t>
      </w:r>
      <w:r w:rsidRPr="00817B9F">
        <w:t xml:space="preserve"> </w:t>
      </w:r>
      <w:r w:rsidR="007729A6" w:rsidRPr="00817B9F">
        <w:t>assessed</w:t>
      </w:r>
      <w:r w:rsidRPr="00817B9F">
        <w:t xml:space="preserve"> the </w:t>
      </w:r>
      <w:r w:rsidR="00D321EB" w:rsidRPr="00817B9F">
        <w:t>likelihood that</w:t>
      </w:r>
      <w:r w:rsidRPr="00817B9F">
        <w:t xml:space="preserve"> patients admitted to </w:t>
      </w:r>
      <w:r w:rsidR="00095114" w:rsidRPr="00817B9F">
        <w:t>a</w:t>
      </w:r>
      <w:r w:rsidRPr="00817B9F">
        <w:t xml:space="preserve"> hospital through the </w:t>
      </w:r>
      <w:r w:rsidR="00892237" w:rsidRPr="00817B9F">
        <w:t>emergency department</w:t>
      </w:r>
      <w:r w:rsidRPr="00817B9F">
        <w:t xml:space="preserve"> experience</w:t>
      </w:r>
      <w:r w:rsidR="00095114" w:rsidRPr="00817B9F">
        <w:t>d</w:t>
      </w:r>
      <w:r w:rsidRPr="00817B9F">
        <w:t xml:space="preserve"> delirium during their hospital stays</w:t>
      </w:r>
      <w:r w:rsidR="00095114" w:rsidRPr="00817B9F">
        <w:t xml:space="preserve"> after bo</w:t>
      </w:r>
      <w:r w:rsidR="007729A6" w:rsidRPr="00817B9F">
        <w:t>arding in a hospital hallway</w:t>
      </w:r>
      <w:r w:rsidRPr="00817B9F">
        <w:t>.</w:t>
      </w:r>
      <w:r w:rsidR="00D321EB" w:rsidRPr="00817B9F">
        <w:rPr>
          <w:rStyle w:val="FootnoteReference"/>
        </w:rPr>
        <w:footnoteReference w:id="245"/>
      </w:r>
      <w:r w:rsidRPr="00817B9F">
        <w:t xml:space="preserve"> The</w:t>
      </w:r>
      <w:r w:rsidR="007729A6" w:rsidRPr="00817B9F">
        <w:t xml:space="preserve"> authors</w:t>
      </w:r>
      <w:r w:rsidRPr="00817B9F">
        <w:t xml:space="preserve"> used a retrospective chart review of all patients admitted to </w:t>
      </w:r>
      <w:r w:rsidR="00A314DD" w:rsidRPr="00817B9F">
        <w:t>an</w:t>
      </w:r>
      <w:r w:rsidR="00CB0DB9" w:rsidRPr="00817B9F">
        <w:t xml:space="preserve"> </w:t>
      </w:r>
      <w:r w:rsidRPr="00817B9F">
        <w:t xml:space="preserve">academic medical center </w:t>
      </w:r>
      <w:r w:rsidR="00A314DD" w:rsidRPr="00817B9F">
        <w:t xml:space="preserve">through the hospital’s emergency department </w:t>
      </w:r>
      <w:r w:rsidRPr="00817B9F">
        <w:t xml:space="preserve">who did not initially present in the </w:t>
      </w:r>
      <w:r w:rsidR="000D66FE" w:rsidRPr="00817B9F">
        <w:t>emergency department</w:t>
      </w:r>
      <w:r w:rsidRPr="00817B9F">
        <w:t xml:space="preserve"> with cognitive impairment. They found that those patients who were subsequently diagnosed with delirium while in the hospital had spent a larger proportion of their </w:t>
      </w:r>
      <w:r w:rsidR="000D66FE" w:rsidRPr="00817B9F">
        <w:t>emergency department boarding</w:t>
      </w:r>
      <w:r w:rsidRPr="00817B9F">
        <w:t xml:space="preserve"> time in </w:t>
      </w:r>
      <w:r w:rsidR="000D66FE" w:rsidRPr="00817B9F">
        <w:t>a hospital</w:t>
      </w:r>
      <w:r w:rsidRPr="00817B9F">
        <w:t xml:space="preserve"> hallway</w:t>
      </w:r>
      <w:r w:rsidR="00F2629F" w:rsidRPr="00817B9F">
        <w:t xml:space="preserve"> and</w:t>
      </w:r>
      <w:r w:rsidRPr="00817B9F">
        <w:t xml:space="preserve"> </w:t>
      </w:r>
      <w:r w:rsidR="00F2629F" w:rsidRPr="00817B9F">
        <w:t>boarded</w:t>
      </w:r>
      <w:r w:rsidRPr="00817B9F">
        <w:t xml:space="preserve"> in the </w:t>
      </w:r>
      <w:r w:rsidR="000D66FE" w:rsidRPr="00817B9F">
        <w:t>emergency</w:t>
      </w:r>
      <w:r w:rsidRPr="00817B9F">
        <w:t xml:space="preserve"> </w:t>
      </w:r>
      <w:r w:rsidR="00F2629F" w:rsidRPr="00817B9F">
        <w:t xml:space="preserve">department </w:t>
      </w:r>
      <w:r w:rsidRPr="00817B9F">
        <w:t>longer before being admitted</w:t>
      </w:r>
      <w:r w:rsidR="00F2629F" w:rsidRPr="00817B9F">
        <w:t>.</w:t>
      </w:r>
      <w:r w:rsidRPr="00817B9F">
        <w:t xml:space="preserve"> </w:t>
      </w:r>
    </w:p>
    <w:p w14:paraId="11C3E73C" w14:textId="2DA40643" w:rsidR="006A4F43" w:rsidRPr="00817B9F" w:rsidRDefault="00031639" w:rsidP="006A4F43">
      <w:pPr>
        <w:pStyle w:val="NumberedParagraphs"/>
      </w:pPr>
      <w:r w:rsidRPr="00817B9F">
        <w:t xml:space="preserve">While not a study of boarding </w:t>
      </w:r>
      <w:r w:rsidR="00244FD9" w:rsidRPr="00817B9F">
        <w:t>times</w:t>
      </w:r>
      <w:r w:rsidR="0064508D" w:rsidRPr="00817B9F">
        <w:t xml:space="preserve">, </w:t>
      </w:r>
      <w:r w:rsidR="00577A77" w:rsidRPr="00817B9F">
        <w:t>Woodworth and Holmes (2020) use</w:t>
      </w:r>
      <w:r w:rsidR="002C0824" w:rsidRPr="00817B9F">
        <w:t>d</w:t>
      </w:r>
      <w:r w:rsidR="00577A77" w:rsidRPr="00817B9F">
        <w:t xml:space="preserve"> the quasi-random assignment of patients to triage nurses with varying proclivities to classify patients as requiring urgent or semi-urgent assistance</w:t>
      </w:r>
      <w:r w:rsidR="0064508D" w:rsidRPr="00817B9F">
        <w:t xml:space="preserve"> to measure the effect </w:t>
      </w:r>
      <w:r w:rsidR="00255FB8" w:rsidRPr="00817B9F">
        <w:t>of emergency department wait times on costs and outcomes</w:t>
      </w:r>
      <w:r w:rsidR="00577A77" w:rsidRPr="00817B9F">
        <w:t>.</w:t>
      </w:r>
      <w:r w:rsidR="00577A77" w:rsidRPr="00817B9F">
        <w:rPr>
          <w:rStyle w:val="FootnoteReference"/>
        </w:rPr>
        <w:footnoteReference w:id="246"/>
      </w:r>
      <w:r w:rsidR="00577A77" w:rsidRPr="00817B9F">
        <w:t xml:space="preserve"> </w:t>
      </w:r>
      <w:r w:rsidR="002227AD" w:rsidRPr="00817B9F">
        <w:t>C</w:t>
      </w:r>
      <w:r w:rsidR="00577A77" w:rsidRPr="00817B9F">
        <w:t xml:space="preserve">lassification </w:t>
      </w:r>
      <w:r w:rsidR="002227AD" w:rsidRPr="00817B9F">
        <w:t>by triage nurses</w:t>
      </w:r>
      <w:r w:rsidR="00577A77" w:rsidRPr="00817B9F">
        <w:t xml:space="preserve"> affects patients’ locations in the emergency department queue and, thus, the time</w:t>
      </w:r>
      <w:r w:rsidR="002C0824" w:rsidRPr="00817B9F">
        <w:t>s</w:t>
      </w:r>
      <w:r w:rsidR="00577A77" w:rsidRPr="00817B9F">
        <w:t xml:space="preserve"> that they are likely to wait. Reviewing the electronic medical records for patients at large academic urban </w:t>
      </w:r>
      <w:r w:rsidR="002227AD" w:rsidRPr="00817B9F">
        <w:t>emergency department</w:t>
      </w:r>
      <w:r w:rsidR="000B2F94" w:rsidRPr="00817B9F">
        <w:t>s</w:t>
      </w:r>
      <w:r w:rsidR="002227AD" w:rsidRPr="00817B9F">
        <w:t>, the authors</w:t>
      </w:r>
      <w:r w:rsidR="00577A77" w:rsidRPr="00817B9F">
        <w:t xml:space="preserve"> found th</w:t>
      </w:r>
      <w:r w:rsidR="000B2F94" w:rsidRPr="00817B9F">
        <w:t>at</w:t>
      </w:r>
      <w:r w:rsidR="00577A77" w:rsidRPr="00817B9F">
        <w:t xml:space="preserve"> for a person arriving with the most severe conditions, waiting an additional </w:t>
      </w:r>
      <w:r w:rsidR="00923221" w:rsidRPr="00817B9F">
        <w:t>ten</w:t>
      </w:r>
      <w:r w:rsidR="00577A77" w:rsidRPr="00817B9F">
        <w:t xml:space="preserve"> minutes increased the hospital’s cost to care for the patient by </w:t>
      </w:r>
      <w:r w:rsidR="000B2F94" w:rsidRPr="00817B9F">
        <w:t>six</w:t>
      </w:r>
      <w:r w:rsidR="00577A77" w:rsidRPr="00817B9F">
        <w:t xml:space="preserve"> percent on average. For patients with moderately severe conditions, waiting an additional </w:t>
      </w:r>
      <w:r w:rsidR="00923221" w:rsidRPr="00817B9F">
        <w:t>ten</w:t>
      </w:r>
      <w:r w:rsidR="00577A77" w:rsidRPr="00817B9F">
        <w:t xml:space="preserve"> minutes increased costs by </w:t>
      </w:r>
      <w:r w:rsidR="002A68B9" w:rsidRPr="00817B9F">
        <w:t>three</w:t>
      </w:r>
      <w:r w:rsidR="00577A77" w:rsidRPr="00817B9F">
        <w:t xml:space="preserve"> percent</w:t>
      </w:r>
      <w:r w:rsidR="000B2F94" w:rsidRPr="00817B9F">
        <w:t xml:space="preserve"> on average</w:t>
      </w:r>
      <w:r w:rsidR="00577A77" w:rsidRPr="00817B9F">
        <w:t>, while for relatively healthy patients additional waiting time did not appear to affect costs.</w:t>
      </w:r>
      <w:r w:rsidR="00B32E58" w:rsidRPr="00817B9F">
        <w:t xml:space="preserve"> </w:t>
      </w:r>
      <w:r w:rsidR="006A4F43" w:rsidRPr="00817B9F">
        <w:t xml:space="preserve">Gruber </w:t>
      </w:r>
      <w:r w:rsidR="006A4F43" w:rsidRPr="00817B9F">
        <w:rPr>
          <w:i/>
        </w:rPr>
        <w:t>et al.</w:t>
      </w:r>
      <w:r w:rsidR="007D326A" w:rsidRPr="00817B9F">
        <w:t xml:space="preserve"> (2021)</w:t>
      </w:r>
      <w:r w:rsidR="006A4F43" w:rsidRPr="00817B9F">
        <w:t xml:space="preserve"> studied how physicians responded to the adoption of a United Kingdom policy that imposed strong incentives to treat patients </w:t>
      </w:r>
      <w:r w:rsidR="007D326A" w:rsidRPr="00817B9F">
        <w:t xml:space="preserve">presenting in the emergency </w:t>
      </w:r>
      <w:r w:rsidR="007D326A" w:rsidRPr="00817B9F">
        <w:lastRenderedPageBreak/>
        <w:t>department</w:t>
      </w:r>
      <w:r w:rsidR="006A4F43" w:rsidRPr="00817B9F">
        <w:t xml:space="preserve"> within four hours.</w:t>
      </w:r>
      <w:r w:rsidR="007D326A" w:rsidRPr="00817B9F">
        <w:rPr>
          <w:rStyle w:val="FootnoteReference"/>
        </w:rPr>
        <w:footnoteReference w:id="247"/>
      </w:r>
      <w:r w:rsidR="006A4F43" w:rsidRPr="00817B9F">
        <w:t xml:space="preserve"> The</w:t>
      </w:r>
      <w:r w:rsidR="00690926" w:rsidRPr="00817B9F">
        <w:t xml:space="preserve"> authors</w:t>
      </w:r>
      <w:r w:rsidR="006A4F43" w:rsidRPr="00817B9F">
        <w:t xml:space="preserve"> found that the policy reduced </w:t>
      </w:r>
      <w:r w:rsidR="00690926" w:rsidRPr="00817B9F">
        <w:t>emergency department</w:t>
      </w:r>
      <w:r w:rsidR="006A4F43" w:rsidRPr="00817B9F">
        <w:t xml:space="preserve"> wait times by </w:t>
      </w:r>
      <w:r w:rsidR="0079608D" w:rsidRPr="00817B9F">
        <w:t>21</w:t>
      </w:r>
      <w:r w:rsidR="006A4F43" w:rsidRPr="00817B9F">
        <w:t xml:space="preserve"> minutes</w:t>
      </w:r>
      <w:r w:rsidR="00690926" w:rsidRPr="00817B9F">
        <w:t>,</w:t>
      </w:r>
      <w:r w:rsidR="006A4F43" w:rsidRPr="00817B9F">
        <w:t xml:space="preserve"> increased the intensity of </w:t>
      </w:r>
      <w:r w:rsidR="00690926" w:rsidRPr="00817B9F">
        <w:t>emergency department</w:t>
      </w:r>
      <w:r w:rsidR="006A4F43" w:rsidRPr="00817B9F">
        <w:t xml:space="preserve"> treatment</w:t>
      </w:r>
      <w:r w:rsidR="007F0597" w:rsidRPr="00817B9F">
        <w:t>,</w:t>
      </w:r>
      <w:r w:rsidR="00690926" w:rsidRPr="00817B9F">
        <w:t xml:space="preserve"> </w:t>
      </w:r>
      <w:r w:rsidR="007F0597" w:rsidRPr="00817B9F">
        <w:t>a</w:t>
      </w:r>
      <w:r w:rsidR="00690926" w:rsidRPr="00817B9F">
        <w:t>nd increased i</w:t>
      </w:r>
      <w:r w:rsidR="006A4F43" w:rsidRPr="00817B9F">
        <w:t xml:space="preserve">npatient admissions </w:t>
      </w:r>
      <w:r w:rsidR="00690926" w:rsidRPr="00817B9F">
        <w:t xml:space="preserve">to </w:t>
      </w:r>
      <w:r w:rsidR="007F0597" w:rsidRPr="00817B9F">
        <w:t>hospitals</w:t>
      </w:r>
      <w:r w:rsidR="006A4F43" w:rsidRPr="00817B9F">
        <w:t xml:space="preserve">. The </w:t>
      </w:r>
      <w:r w:rsidR="007F0597" w:rsidRPr="00817B9F">
        <w:t>authors</w:t>
      </w:r>
      <w:r w:rsidR="006A4F43" w:rsidRPr="00817B9F">
        <w:t xml:space="preserve"> also found a significant 14 percent reduction in mortality, which their analysis indicated resulted from the reduced wait times rather than increased hospital admissions.</w:t>
      </w:r>
    </w:p>
    <w:p w14:paraId="417372C6" w14:textId="0AE7C712" w:rsidR="00D15D02" w:rsidRPr="00817B9F" w:rsidRDefault="002C68E8" w:rsidP="00E45EAD">
      <w:pPr>
        <w:pStyle w:val="Heading2"/>
        <w:rPr>
          <w:rFonts w:cs="Times New Roman"/>
        </w:rPr>
      </w:pPr>
      <w:bookmarkStart w:id="142" w:name="_Toc90046551"/>
      <w:r w:rsidRPr="00817B9F">
        <w:rPr>
          <w:rFonts w:cs="Times New Roman"/>
        </w:rPr>
        <w:t xml:space="preserve">Who Bears the </w:t>
      </w:r>
      <w:r w:rsidR="002F5EEB" w:rsidRPr="00817B9F">
        <w:rPr>
          <w:rFonts w:cs="Times New Roman"/>
        </w:rPr>
        <w:t>Burden of Higher Costs or Benefits from Cost Savings?</w:t>
      </w:r>
      <w:bookmarkEnd w:id="142"/>
    </w:p>
    <w:p w14:paraId="45140962" w14:textId="3F5D796E" w:rsidR="00980DDA" w:rsidRPr="00817B9F" w:rsidRDefault="00980DDA" w:rsidP="007D38D0">
      <w:pPr>
        <w:pStyle w:val="NumberedParagraphs"/>
      </w:pPr>
      <w:r w:rsidRPr="00817B9F">
        <w:t xml:space="preserve">As we noted earlier, the </w:t>
      </w:r>
      <w:r w:rsidR="00DE7EC8" w:rsidRPr="00817B9F">
        <w:t xml:space="preserve">DoN program asked that the ICA address </w:t>
      </w:r>
      <w:r w:rsidR="00613A3B" w:rsidRPr="00817B9F">
        <w:t>the question of</w:t>
      </w:r>
      <w:r w:rsidR="000D37E5" w:rsidRPr="00817B9F">
        <w:t xml:space="preserve"> if costs </w:t>
      </w:r>
      <w:r w:rsidR="009C2762" w:rsidRPr="00817B9F">
        <w:t xml:space="preserve">were to </w:t>
      </w:r>
      <w:r w:rsidR="000D37E5" w:rsidRPr="00817B9F">
        <w:t xml:space="preserve">increase </w:t>
      </w:r>
      <w:r w:rsidR="0096571D" w:rsidRPr="00817B9F">
        <w:t>because</w:t>
      </w:r>
      <w:r w:rsidR="000D37E5" w:rsidRPr="00817B9F">
        <w:t xml:space="preserve"> of the proposed project, who bears the burden of that change in costs: third-party payors, </w:t>
      </w:r>
      <w:r w:rsidR="0096571D" w:rsidRPr="00817B9F">
        <w:t>patients, or health-plan sponsors? Similar</w:t>
      </w:r>
      <w:r w:rsidR="004617F7" w:rsidRPr="00817B9F">
        <w:t xml:space="preserve">ly, </w:t>
      </w:r>
      <w:r w:rsidR="009C2762" w:rsidRPr="00817B9F">
        <w:t xml:space="preserve">if costs were to decrease because of the proposed project, who benefits from those savings? </w:t>
      </w:r>
      <w:r w:rsidR="00303437" w:rsidRPr="00817B9F">
        <w:t xml:space="preserve">We focus our discussion </w:t>
      </w:r>
      <w:r w:rsidR="00365B8A" w:rsidRPr="00817B9F">
        <w:t>of these questions on commercially insured patients for whom the link between health care expend</w:t>
      </w:r>
      <w:r w:rsidR="00854515" w:rsidRPr="00817B9F">
        <w:t xml:space="preserve">itures, out-of-pocket costs, health plan premiums, and </w:t>
      </w:r>
      <w:r w:rsidR="000E007E" w:rsidRPr="00817B9F">
        <w:t xml:space="preserve">earnings is most direct. </w:t>
      </w:r>
      <w:r w:rsidR="004235C0" w:rsidRPr="00817B9F">
        <w:t>We do not address th</w:t>
      </w:r>
      <w:r w:rsidR="004874CB" w:rsidRPr="00817B9F">
        <w:t xml:space="preserve">is question for government-sponsored health </w:t>
      </w:r>
      <w:r w:rsidR="00300BDD" w:rsidRPr="00817B9F">
        <w:t>insurance</w:t>
      </w:r>
      <w:r w:rsidR="00EA3636" w:rsidRPr="00817B9F">
        <w:t xml:space="preserve"> such as Medicare or MassHealth </w:t>
      </w:r>
      <w:r w:rsidR="00E75F65" w:rsidRPr="00817B9F">
        <w:t xml:space="preserve">because health </w:t>
      </w:r>
      <w:r w:rsidR="00D2428D" w:rsidRPr="00817B9F">
        <w:t xml:space="preserve">care </w:t>
      </w:r>
      <w:r w:rsidR="00E75F65" w:rsidRPr="00817B9F">
        <w:t xml:space="preserve">provider reimbursement </w:t>
      </w:r>
      <w:r w:rsidR="00896BEA" w:rsidRPr="00817B9F">
        <w:t>for</w:t>
      </w:r>
      <w:r w:rsidR="00E75F65" w:rsidRPr="00817B9F">
        <w:t xml:space="preserve"> these programs is typically not negotiated</w:t>
      </w:r>
      <w:r w:rsidR="00BC45F4" w:rsidRPr="00817B9F">
        <w:t>.</w:t>
      </w:r>
      <w:r w:rsidR="00BD435D" w:rsidRPr="00817B9F">
        <w:t xml:space="preserve"> </w:t>
      </w:r>
    </w:p>
    <w:p w14:paraId="45DBF864" w14:textId="06A2984D" w:rsidR="006D29A5" w:rsidRPr="00817B9F" w:rsidRDefault="002C68E8" w:rsidP="006D29A5">
      <w:pPr>
        <w:pStyle w:val="NumberedParagraphs"/>
      </w:pPr>
      <w:r w:rsidRPr="00817B9F">
        <w:t xml:space="preserve">Assessing who bears health care cost increases or decreases requires </w:t>
      </w:r>
      <w:r w:rsidR="00D2428D" w:rsidRPr="00817B9F">
        <w:t xml:space="preserve">an </w:t>
      </w:r>
      <w:r w:rsidRPr="00817B9F">
        <w:t xml:space="preserve">understanding </w:t>
      </w:r>
      <w:r w:rsidR="00883B09" w:rsidRPr="00817B9F">
        <w:t xml:space="preserve">of </w:t>
      </w:r>
      <w:r w:rsidRPr="00817B9F">
        <w:t>how</w:t>
      </w:r>
      <w:r w:rsidR="00944123" w:rsidRPr="00817B9F">
        <w:t xml:space="preserve">, and </w:t>
      </w:r>
      <w:r w:rsidRPr="00817B9F">
        <w:t>to what extent</w:t>
      </w:r>
      <w:r w:rsidR="00944123" w:rsidRPr="00817B9F">
        <w:t>,</w:t>
      </w:r>
      <w:r w:rsidRPr="00817B9F">
        <w:t xml:space="preserve"> those changes are passed on to various parties. That is, to the extent that the proposed </w:t>
      </w:r>
      <w:r w:rsidR="005E5EFE" w:rsidRPr="00817B9F">
        <w:t>project</w:t>
      </w:r>
      <w:r w:rsidRPr="00817B9F">
        <w:t xml:space="preserve"> resul</w:t>
      </w:r>
      <w:r w:rsidR="005E5EFE" w:rsidRPr="00817B9F">
        <w:t>ts</w:t>
      </w:r>
      <w:r w:rsidRPr="00817B9F">
        <w:t xml:space="preserve"> in </w:t>
      </w:r>
      <w:r w:rsidR="003B45EC" w:rsidRPr="00817B9F">
        <w:t>a reduction of health care</w:t>
      </w:r>
      <w:r w:rsidRPr="00817B9F">
        <w:t xml:space="preserve"> costs </w:t>
      </w:r>
      <w:r w:rsidR="003B45EC" w:rsidRPr="00817B9F">
        <w:t>because care is delivered</w:t>
      </w:r>
      <w:r w:rsidRPr="00817B9F">
        <w:t xml:space="preserve"> more efficiently, are these cost reductions passed on to </w:t>
      </w:r>
      <w:r w:rsidR="003B45EC" w:rsidRPr="00817B9F">
        <w:t xml:space="preserve">third-party </w:t>
      </w:r>
      <w:r w:rsidRPr="00817B9F">
        <w:t>payors</w:t>
      </w:r>
      <w:r w:rsidR="00486CA0" w:rsidRPr="00817B9F">
        <w:t>,</w:t>
      </w:r>
      <w:r w:rsidRPr="00817B9F">
        <w:t xml:space="preserve"> and do </w:t>
      </w:r>
      <w:r w:rsidR="00792C8A" w:rsidRPr="00817B9F">
        <w:t xml:space="preserve">those </w:t>
      </w:r>
      <w:r w:rsidRPr="00817B9F">
        <w:t xml:space="preserve">payors, in turn, pass them onto employers that purchase </w:t>
      </w:r>
      <w:r w:rsidR="00792C8A" w:rsidRPr="00817B9F">
        <w:t>health</w:t>
      </w:r>
      <w:r w:rsidRPr="00817B9F">
        <w:t xml:space="preserve"> plans on behalf of their </w:t>
      </w:r>
      <w:r w:rsidR="00C01502" w:rsidRPr="00817B9F">
        <w:t>workers</w:t>
      </w:r>
      <w:r w:rsidRPr="00817B9F">
        <w:t xml:space="preserve">? </w:t>
      </w:r>
      <w:r w:rsidR="002352C6" w:rsidRPr="00817B9F">
        <w:t xml:space="preserve">Conversely, </w:t>
      </w:r>
      <w:r w:rsidR="00703F1F" w:rsidRPr="00817B9F">
        <w:t xml:space="preserve">if the proposed project </w:t>
      </w:r>
      <w:r w:rsidR="00F80FEE" w:rsidRPr="00817B9F">
        <w:t>increase</w:t>
      </w:r>
      <w:r w:rsidR="00575BBA" w:rsidRPr="00817B9F">
        <w:t>s</w:t>
      </w:r>
      <w:r w:rsidR="00F80FEE" w:rsidRPr="00817B9F">
        <w:t xml:space="preserve"> the bargaining leverage of MGB with commercial payors</w:t>
      </w:r>
      <w:r w:rsidR="005F29E9" w:rsidRPr="00817B9F">
        <w:t xml:space="preserve"> and negotiated prices increase commensurately, </w:t>
      </w:r>
      <w:r w:rsidR="00B31486" w:rsidRPr="00817B9F">
        <w:t>do</w:t>
      </w:r>
      <w:r w:rsidR="000E6B9F" w:rsidRPr="00817B9F">
        <w:t xml:space="preserve"> those </w:t>
      </w:r>
      <w:r w:rsidR="00B31486" w:rsidRPr="00817B9F">
        <w:t xml:space="preserve">payors increase premiums for the health plans they insure? </w:t>
      </w:r>
      <w:r w:rsidRPr="00817B9F">
        <w:t xml:space="preserve">An additional, related question is whether patients </w:t>
      </w:r>
      <w:r w:rsidR="00996E16" w:rsidRPr="00817B9F">
        <w:t>who receive care</w:t>
      </w:r>
      <w:r w:rsidRPr="00817B9F">
        <w:t xml:space="preserve"> are directly affected, either through the out-of-pocket payments </w:t>
      </w:r>
      <w:r w:rsidR="00996E16" w:rsidRPr="00817B9F">
        <w:t>(</w:t>
      </w:r>
      <w:r w:rsidR="00996E16" w:rsidRPr="00817B9F">
        <w:rPr>
          <w:i/>
          <w:iCs/>
        </w:rPr>
        <w:t>i.e.</w:t>
      </w:r>
      <w:r w:rsidR="00996E16" w:rsidRPr="00817B9F">
        <w:t>, coinsurance amounts or deductible payments)</w:t>
      </w:r>
      <w:r w:rsidRPr="00817B9F">
        <w:t xml:space="preserve"> they make or through changes in their wages or the proportion of </w:t>
      </w:r>
      <w:r w:rsidR="00B71D7E" w:rsidRPr="00817B9F">
        <w:t xml:space="preserve">health plan </w:t>
      </w:r>
      <w:r w:rsidRPr="00817B9F">
        <w:t>premiums that they must pay.</w:t>
      </w:r>
    </w:p>
    <w:p w14:paraId="15ACCE8A" w14:textId="7C448D02" w:rsidR="00D10E84" w:rsidRPr="00817B9F" w:rsidRDefault="00D708CE" w:rsidP="001A59C8">
      <w:pPr>
        <w:pStyle w:val="NumberedParagraphs"/>
      </w:pPr>
      <w:r w:rsidRPr="00817B9F">
        <w:lastRenderedPageBreak/>
        <w:t>Starting</w:t>
      </w:r>
      <w:r w:rsidR="006E3E67" w:rsidRPr="00817B9F">
        <w:t xml:space="preserve"> with the question of whether increases in health</w:t>
      </w:r>
      <w:r w:rsidRPr="00817B9F">
        <w:t xml:space="preserve"> care expenditures are </w:t>
      </w:r>
      <w:r w:rsidR="00B46A71" w:rsidRPr="00817B9F">
        <w:t>passed on by third-party payors in the form of higher premiums, we note that</w:t>
      </w:r>
      <w:r w:rsidR="007A6CEB" w:rsidRPr="00817B9F">
        <w:t xml:space="preserve"> e</w:t>
      </w:r>
      <w:r w:rsidR="00DD1D60" w:rsidRPr="00817B9F">
        <w:t xml:space="preserve">xpenditures on health care services </w:t>
      </w:r>
      <w:r w:rsidR="00A36EBD" w:rsidRPr="00817B9F">
        <w:t xml:space="preserve">received by plan members </w:t>
      </w:r>
      <w:r w:rsidR="00410AE8" w:rsidRPr="00817B9F">
        <w:t xml:space="preserve">comprise </w:t>
      </w:r>
      <w:r w:rsidR="00177F1C" w:rsidRPr="00817B9F">
        <w:t>almost all</w:t>
      </w:r>
      <w:r w:rsidR="00410AE8" w:rsidRPr="00817B9F">
        <w:t xml:space="preserve"> </w:t>
      </w:r>
      <w:r w:rsidR="00E70CFA" w:rsidRPr="00817B9F">
        <w:t xml:space="preserve">health </w:t>
      </w:r>
      <w:r w:rsidR="00410AE8" w:rsidRPr="00817B9F">
        <w:t>plan expenses</w:t>
      </w:r>
      <w:r w:rsidR="00A36EBD" w:rsidRPr="00817B9F">
        <w:t>.</w:t>
      </w:r>
      <w:r w:rsidR="00410AE8" w:rsidRPr="00817B9F">
        <w:t xml:space="preserve"> An analysis conducted by </w:t>
      </w:r>
      <w:r w:rsidR="00410AE8" w:rsidRPr="00817B9F" w:rsidDel="004B7A59">
        <w:t>CMS</w:t>
      </w:r>
      <w:r w:rsidR="00410AE8" w:rsidRPr="00817B9F">
        <w:t xml:space="preserve"> found that slightly </w:t>
      </w:r>
      <w:r w:rsidR="00747EDE" w:rsidRPr="00817B9F">
        <w:t>fewer</w:t>
      </w:r>
      <w:r w:rsidR="00410AE8" w:rsidRPr="00817B9F">
        <w:t xml:space="preserve"> than 90 percent of premiums for private health insurance in 2019 were used to pay for health care services received by plan members.</w:t>
      </w:r>
      <w:r w:rsidR="00410AE8" w:rsidRPr="00817B9F">
        <w:rPr>
          <w:rStyle w:val="FootnoteReference"/>
        </w:rPr>
        <w:footnoteReference w:id="248"/>
      </w:r>
      <w:r w:rsidR="00410AE8" w:rsidRPr="00817B9F">
        <w:t xml:space="preserve"> As expenditures on </w:t>
      </w:r>
      <w:r w:rsidR="00CC5646" w:rsidRPr="00817B9F">
        <w:t xml:space="preserve">health plan </w:t>
      </w:r>
      <w:r w:rsidR="00410AE8" w:rsidRPr="00817B9F">
        <w:t xml:space="preserve">benefits, such as hospital services, increase—either because of an increase in utilization of health care services or an increase in reimbursement for those services—so do health plan premiums. As a general matter of economics, increased costs are passed on to consumers in the form of higher prices, with the precise magnitude of the increase in prices resulting from an increase in costs </w:t>
      </w:r>
      <w:r w:rsidR="00E70CFA" w:rsidRPr="00817B9F">
        <w:t xml:space="preserve">depending on the cost </w:t>
      </w:r>
      <w:r w:rsidR="00410AE8" w:rsidRPr="00817B9F">
        <w:t>pass-through rate.</w:t>
      </w:r>
      <w:r w:rsidR="00410AE8" w:rsidRPr="00817B9F">
        <w:rPr>
          <w:rStyle w:val="FootnoteReference"/>
        </w:rPr>
        <w:footnoteReference w:id="249"/>
      </w:r>
      <w:r w:rsidR="00410AE8" w:rsidRPr="00817B9F">
        <w:t xml:space="preserve"> </w:t>
      </w:r>
    </w:p>
    <w:p w14:paraId="5D1E88A4" w14:textId="68E4C1A0" w:rsidR="00410AE8" w:rsidRPr="00817B9F" w:rsidRDefault="00410AE8" w:rsidP="00410AE8">
      <w:pPr>
        <w:pStyle w:val="NumberedParagraphs"/>
      </w:pPr>
      <w:r w:rsidRPr="00817B9F">
        <w:t xml:space="preserve">The pass-through of costs is particularly evident for self-insured health plans. In such plans, the </w:t>
      </w:r>
      <w:r w:rsidR="00433052" w:rsidRPr="00817B9F">
        <w:t xml:space="preserve">health plan administrator </w:t>
      </w:r>
      <w:r w:rsidRPr="00817B9F">
        <w:t xml:space="preserve">will receive and process claims, but the </w:t>
      </w:r>
      <w:r w:rsidR="00433052" w:rsidRPr="00817B9F">
        <w:t xml:space="preserve">employer sponsoring the plan </w:t>
      </w:r>
      <w:r w:rsidRPr="00817B9F">
        <w:t>is ultimately responsible for paying those claims. In the United States, 6</w:t>
      </w:r>
      <w:r w:rsidR="00B73E37" w:rsidRPr="00817B9F">
        <w:t>4</w:t>
      </w:r>
      <w:r w:rsidRPr="00817B9F">
        <w:t xml:space="preserve"> percent of people enrolled in private employer-sponsored health plans are enrolled in self-insured plans.</w:t>
      </w:r>
      <w:r w:rsidRPr="00817B9F">
        <w:rPr>
          <w:rStyle w:val="FootnoteReference"/>
        </w:rPr>
        <w:footnoteReference w:id="250"/>
      </w:r>
      <w:r w:rsidRPr="00817B9F">
        <w:t xml:space="preserve"> For </w:t>
      </w:r>
      <w:r w:rsidR="00195E33" w:rsidRPr="00817B9F">
        <w:t xml:space="preserve">fully </w:t>
      </w:r>
      <w:r w:rsidRPr="00817B9F">
        <w:t xml:space="preserve">insured </w:t>
      </w:r>
      <w:r w:rsidR="00195E33" w:rsidRPr="00817B9F">
        <w:t>health</w:t>
      </w:r>
      <w:r w:rsidRPr="00817B9F">
        <w:t xml:space="preserve"> plans, the premiums for the plan are </w:t>
      </w:r>
      <w:r w:rsidR="00195E33" w:rsidRPr="00817B9F">
        <w:t xml:space="preserve">typically </w:t>
      </w:r>
      <w:r w:rsidRPr="00817B9F">
        <w:t xml:space="preserve">established at the beginning of the plan year and cannot be subsequently adjusted during the plan year. However, this does not mean that participants in those plans are insulated from the effects of increases in expenditures on health care services. Premiums for fully insured plans are </w:t>
      </w:r>
      <w:r w:rsidR="00195E33" w:rsidRPr="00817B9F">
        <w:t>often</w:t>
      </w:r>
      <w:r w:rsidRPr="00817B9F">
        <w:t xml:space="preserve"> determined on an annual basis, and claims </w:t>
      </w:r>
      <w:r w:rsidRPr="00817B9F">
        <w:lastRenderedPageBreak/>
        <w:t>incurred by plan participants in the previous year can affect premiums for the plan in subsequent years.</w:t>
      </w:r>
      <w:r w:rsidRPr="00817B9F">
        <w:rPr>
          <w:rStyle w:val="FootnoteReference"/>
        </w:rPr>
        <w:footnoteReference w:id="251"/>
      </w:r>
    </w:p>
    <w:p w14:paraId="15A7CE4A" w14:textId="034C8008" w:rsidR="00410AE8" w:rsidRPr="00817B9F" w:rsidRDefault="00410AE8" w:rsidP="00F054C7">
      <w:pPr>
        <w:pStyle w:val="NumberedParagraphs"/>
      </w:pPr>
      <w:r w:rsidRPr="00817B9F">
        <w:t>The relationship between health plan premiums and expenditures on health care services is evident in longitudinal data compiled by CMS on premiums and health care service expenditures</w:t>
      </w:r>
      <w:r w:rsidR="00862DE0" w:rsidRPr="00817B9F">
        <w:t xml:space="preserve"> </w:t>
      </w:r>
      <w:r w:rsidR="003809E8" w:rsidRPr="00817B9F">
        <w:t>that is</w:t>
      </w:r>
      <w:r w:rsidR="00862DE0" w:rsidRPr="00817B9F">
        <w:t xml:space="preserve"> shown in Figure MGH2</w:t>
      </w:r>
      <w:r w:rsidR="00C27975" w:rsidRPr="00817B9F">
        <w:t>8</w:t>
      </w:r>
      <w:r w:rsidRPr="00817B9F">
        <w:t>.</w:t>
      </w:r>
      <w:r w:rsidRPr="00817B9F">
        <w:rPr>
          <w:rStyle w:val="FootnoteReference"/>
        </w:rPr>
        <w:footnoteReference w:id="252"/>
      </w:r>
      <w:r w:rsidRPr="00817B9F">
        <w:t xml:space="preserve"> Two features of these data are noteworthy. First, </w:t>
      </w:r>
      <w:r w:rsidR="005C5DCD" w:rsidRPr="00817B9F">
        <w:t>a</w:t>
      </w:r>
      <w:r w:rsidRPr="00817B9F">
        <w:t xml:space="preserve">s </w:t>
      </w:r>
      <w:r w:rsidR="00D10E84" w:rsidRPr="00817B9F">
        <w:t>we</w:t>
      </w:r>
      <w:r w:rsidRPr="00817B9F">
        <w:t xml:space="preserve"> noted above, in 2019 almost 90 percent of health plan premiums were used to pay participants’ claims</w:t>
      </w:r>
      <w:r w:rsidR="00935B45" w:rsidRPr="00817B9F">
        <w:t>—</w:t>
      </w:r>
      <w:r w:rsidR="000A05B9" w:rsidRPr="00817B9F">
        <w:t xml:space="preserve">almost all premiums collected by health plans </w:t>
      </w:r>
      <w:r w:rsidR="00143FE7" w:rsidRPr="00817B9F">
        <w:t>were</w:t>
      </w:r>
      <w:r w:rsidR="000A05B9" w:rsidRPr="00817B9F">
        <w:t xml:space="preserve"> used to pay for health care services</w:t>
      </w:r>
      <w:r w:rsidRPr="00817B9F">
        <w:t>. Second, CMS’s data show that expenditures on health care services increased substantially between 2010 and 2019, and health plan premiums increased at almost the same rate. Expenditures on health care services increased by an average annual rate of 4.4 percent over this period, while health plan premiums increased by an average annual rate of 4.3 percent (</w:t>
      </w:r>
      <w:r w:rsidRPr="00817B9F">
        <w:rPr>
          <w:i/>
        </w:rPr>
        <w:t>i.e.</w:t>
      </w:r>
      <w:r w:rsidRPr="00817B9F">
        <w:t xml:space="preserve">, slightly less than the rate of increase of health care costs). These data show, therefore, that health care expenditures are the primary determinant of health plan premiums, and as those expenditures increase </w:t>
      </w:r>
      <w:r w:rsidR="007A2F85" w:rsidRPr="00817B9F">
        <w:t>(or decrease)</w:t>
      </w:r>
      <w:r w:rsidR="00210C43" w:rsidRPr="00817B9F">
        <w:t>,</w:t>
      </w:r>
      <w:r w:rsidR="007A2F85" w:rsidRPr="00817B9F">
        <w:t xml:space="preserve"> </w:t>
      </w:r>
      <w:r w:rsidRPr="00817B9F">
        <w:t xml:space="preserve">so do premiums. </w:t>
      </w:r>
    </w:p>
    <w:p w14:paraId="22D4F117" w14:textId="383A6F1C" w:rsidR="002C68E8" w:rsidRPr="00817B9F" w:rsidRDefault="001657F0" w:rsidP="00DB5768">
      <w:pPr>
        <w:pStyle w:val="NumberedParagraphs"/>
      </w:pPr>
      <w:r w:rsidRPr="00817B9F">
        <w:t>Given the strong relation between health care expenditures and health plan premiums, we turn next to the</w:t>
      </w:r>
      <w:r w:rsidR="002C68E8" w:rsidRPr="00817B9F">
        <w:t xml:space="preserve"> incidence of increases in employer-sponsored health insurance premiums on </w:t>
      </w:r>
      <w:r w:rsidR="00196C09" w:rsidRPr="00817B9F">
        <w:t>employers</w:t>
      </w:r>
      <w:r w:rsidR="002C68E8" w:rsidRPr="00817B9F">
        <w:t xml:space="preserve"> and their </w:t>
      </w:r>
      <w:r w:rsidR="00196C09" w:rsidRPr="00817B9F">
        <w:t>workers</w:t>
      </w:r>
      <w:r w:rsidRPr="00817B9F">
        <w:t xml:space="preserve">. This </w:t>
      </w:r>
      <w:r w:rsidR="00F50BBA" w:rsidRPr="00817B9F">
        <w:t>question</w:t>
      </w:r>
      <w:r w:rsidR="005833DB" w:rsidRPr="00817B9F">
        <w:t xml:space="preserve"> has been addressed in several economic studies</w:t>
      </w:r>
      <w:r w:rsidR="00F50BBA" w:rsidRPr="00817B9F">
        <w:t>, which</w:t>
      </w:r>
      <w:r w:rsidR="002C68E8" w:rsidRPr="00817B9F">
        <w:t xml:space="preserve"> are based on models that recognize that this incidence depends on elasticities of labor supply and demand, regulatory and institutional constraints on wages (</w:t>
      </w:r>
      <w:r w:rsidR="002C68E8" w:rsidRPr="00817B9F">
        <w:rPr>
          <w:i/>
          <w:iCs/>
        </w:rPr>
        <w:t>e.g.</w:t>
      </w:r>
      <w:r w:rsidR="002C68E8" w:rsidRPr="00817B9F">
        <w:t>, minimum hourly wages)</w:t>
      </w:r>
      <w:r w:rsidR="00407FFC" w:rsidRPr="00817B9F">
        <w:t>,</w:t>
      </w:r>
      <w:r w:rsidR="002C68E8" w:rsidRPr="00817B9F">
        <w:t xml:space="preserve"> and the value that </w:t>
      </w:r>
      <w:r w:rsidR="00C01502" w:rsidRPr="00817B9F">
        <w:t>workers</w:t>
      </w:r>
      <w:r w:rsidR="002C68E8" w:rsidRPr="00817B9F">
        <w:t xml:space="preserve"> place on health insurance. The</w:t>
      </w:r>
      <w:r w:rsidR="00164658" w:rsidRPr="00817B9F">
        <w:t>se studies</w:t>
      </w:r>
      <w:r w:rsidR="002C68E8" w:rsidRPr="00817B9F">
        <w:t xml:space="preserve"> recognize that workers consider their total compensation (</w:t>
      </w:r>
      <w:r w:rsidR="00196C09" w:rsidRPr="00817B9F">
        <w:rPr>
          <w:i/>
          <w:iCs/>
        </w:rPr>
        <w:t>i.e.</w:t>
      </w:r>
      <w:r w:rsidR="00196C09" w:rsidRPr="00817B9F">
        <w:t xml:space="preserve">, </w:t>
      </w:r>
      <w:r w:rsidR="002C68E8" w:rsidRPr="00817B9F">
        <w:t xml:space="preserve">wages plus </w:t>
      </w:r>
      <w:r w:rsidR="00196C09" w:rsidRPr="00817B9F">
        <w:t xml:space="preserve">non-wage </w:t>
      </w:r>
      <w:r w:rsidR="002C68E8" w:rsidRPr="00817B9F">
        <w:t>benefits) in evaluating alternative employment opportunities and how many hours to work</w:t>
      </w:r>
      <w:r w:rsidR="00196C09" w:rsidRPr="00817B9F">
        <w:t xml:space="preserve"> at the prevailing level of compensation</w:t>
      </w:r>
      <w:r w:rsidR="002C68E8" w:rsidRPr="00817B9F">
        <w:t xml:space="preserve">. These analyses generally find that workers </w:t>
      </w:r>
      <w:r w:rsidR="00196C09" w:rsidRPr="00817B9F">
        <w:t>bear</w:t>
      </w:r>
      <w:r w:rsidR="002C68E8" w:rsidRPr="00817B9F">
        <w:t xml:space="preserve"> most of the increase in the cost of health insurance premiums through reduced wages</w:t>
      </w:r>
      <w:r w:rsidR="00515E58" w:rsidRPr="00817B9F">
        <w:t>—</w:t>
      </w:r>
      <w:r w:rsidR="002C68E8" w:rsidRPr="00817B9F">
        <w:t>either directly or indirectly through increased required contribution to health insurance premiums</w:t>
      </w:r>
      <w:r w:rsidR="00515E58" w:rsidRPr="00817B9F">
        <w:t>—</w:t>
      </w:r>
      <w:r w:rsidR="002C68E8" w:rsidRPr="00817B9F">
        <w:t xml:space="preserve">or hours. While there does not appear to be any published literature </w:t>
      </w:r>
      <w:r w:rsidR="002C68E8" w:rsidRPr="00817B9F">
        <w:lastRenderedPageBreak/>
        <w:t>on the effect of premium reductions</w:t>
      </w:r>
      <w:r w:rsidR="00B467EE" w:rsidRPr="00817B9F">
        <w:t xml:space="preserve"> </w:t>
      </w:r>
      <w:r w:rsidR="00691A88" w:rsidRPr="00817B9F">
        <w:t>because</w:t>
      </w:r>
      <w:r w:rsidR="00B467EE" w:rsidRPr="00817B9F">
        <w:t xml:space="preserve"> premiums </w:t>
      </w:r>
      <w:r w:rsidR="00691A88" w:rsidRPr="00817B9F">
        <w:t>generally increase year-over-year</w:t>
      </w:r>
      <w:r w:rsidR="002C68E8" w:rsidRPr="00817B9F">
        <w:t xml:space="preserve">, one would expect that these would also </w:t>
      </w:r>
      <w:r w:rsidR="005F215B" w:rsidRPr="00817B9F">
        <w:t xml:space="preserve">pass on </w:t>
      </w:r>
      <w:r w:rsidR="002C68E8" w:rsidRPr="00817B9F">
        <w:t xml:space="preserve">to workers </w:t>
      </w:r>
      <w:r w:rsidR="005F215B" w:rsidRPr="00817B9F">
        <w:t xml:space="preserve">primarily </w:t>
      </w:r>
      <w:r w:rsidR="002C68E8" w:rsidRPr="00817B9F">
        <w:t xml:space="preserve">in the form of higher wages. </w:t>
      </w:r>
    </w:p>
    <w:p w14:paraId="5E31D43F" w14:textId="2F8BB125" w:rsidR="002C68E8" w:rsidRPr="00817B9F" w:rsidRDefault="002C68E8" w:rsidP="00843D6E">
      <w:pPr>
        <w:pStyle w:val="NumberedParagraphs"/>
      </w:pPr>
      <w:r w:rsidRPr="00817B9F">
        <w:t>Kolstad and Kowalski</w:t>
      </w:r>
      <w:r w:rsidR="00843D6E" w:rsidRPr="00817B9F">
        <w:t xml:space="preserve"> (</w:t>
      </w:r>
      <w:r w:rsidR="00836CDE" w:rsidRPr="00817B9F">
        <w:t>2016)</w:t>
      </w:r>
      <w:r w:rsidRPr="00817B9F">
        <w:t xml:space="preserve"> analyzed Massachusetts’ adoption of individual and employer mandates in 2006</w:t>
      </w:r>
      <w:r w:rsidR="00BE78FA" w:rsidRPr="00817B9F">
        <w:t>.</w:t>
      </w:r>
      <w:r w:rsidR="00BE78FA" w:rsidRPr="00817B9F">
        <w:rPr>
          <w:rStyle w:val="FootnoteReference"/>
        </w:rPr>
        <w:footnoteReference w:id="253"/>
      </w:r>
      <w:r w:rsidRPr="00817B9F">
        <w:t xml:space="preserve"> The</w:t>
      </w:r>
      <w:r w:rsidR="00BE78FA" w:rsidRPr="00817B9F">
        <w:t xml:space="preserve"> authors</w:t>
      </w:r>
      <w:r w:rsidRPr="00817B9F">
        <w:t xml:space="preserve"> found that annual wages for </w:t>
      </w:r>
      <w:r w:rsidR="00C01502" w:rsidRPr="00817B9F">
        <w:t>workers</w:t>
      </w:r>
      <w:r w:rsidRPr="00817B9F">
        <w:t xml:space="preserve"> with employer-sponsored insurance </w:t>
      </w:r>
      <w:r w:rsidR="00BE78FA" w:rsidRPr="00817B9F">
        <w:t>were</w:t>
      </w:r>
      <w:r w:rsidRPr="00817B9F">
        <w:t xml:space="preserve"> lower by about $2,800 relative to what these same </w:t>
      </w:r>
      <w:r w:rsidR="00C01502" w:rsidRPr="00817B9F">
        <w:t>worker</w:t>
      </w:r>
      <w:r w:rsidR="0076528E" w:rsidRPr="00817B9F">
        <w:t>s</w:t>
      </w:r>
      <w:r w:rsidRPr="00817B9F">
        <w:t xml:space="preserve"> would have been paid without </w:t>
      </w:r>
      <w:r w:rsidR="00BE78FA" w:rsidRPr="00817B9F">
        <w:t>employer-sponsored insurance</w:t>
      </w:r>
      <w:r w:rsidRPr="00817B9F">
        <w:t xml:space="preserve">. They calculated that this reduction </w:t>
      </w:r>
      <w:r w:rsidR="00BE4E8C" w:rsidRPr="00817B9F">
        <w:t>in wages</w:t>
      </w:r>
      <w:r w:rsidRPr="00817B9F">
        <w:t xml:space="preserve"> was slightly less than the amount that employers typically spent on </w:t>
      </w:r>
      <w:r w:rsidR="00BE4E8C" w:rsidRPr="00817B9F">
        <w:t>insurance coverage</w:t>
      </w:r>
      <w:r w:rsidR="00256532" w:rsidRPr="00817B9F">
        <w:t xml:space="preserve"> (</w:t>
      </w:r>
      <w:r w:rsidR="00256532" w:rsidRPr="00817B9F">
        <w:rPr>
          <w:i/>
        </w:rPr>
        <w:t>i.e.</w:t>
      </w:r>
      <w:r w:rsidR="00256532" w:rsidRPr="00817B9F">
        <w:t xml:space="preserve">, the cost of health insurance was largely borne by </w:t>
      </w:r>
      <w:r w:rsidR="00C01502" w:rsidRPr="00817B9F">
        <w:t>workers</w:t>
      </w:r>
      <w:r w:rsidR="00160E6E" w:rsidRPr="00817B9F">
        <w:t xml:space="preserve"> in the form of lower </w:t>
      </w:r>
      <w:r w:rsidR="00EB6D53" w:rsidRPr="00817B9F">
        <w:t>wages)</w:t>
      </w:r>
      <w:r w:rsidRPr="00817B9F">
        <w:t>.</w:t>
      </w:r>
    </w:p>
    <w:p w14:paraId="38A86D5F" w14:textId="6AABEC32" w:rsidR="002C68E8" w:rsidRPr="00817B9F" w:rsidRDefault="002C68E8" w:rsidP="003C5C97">
      <w:pPr>
        <w:pStyle w:val="NumberedParagraphs"/>
      </w:pPr>
      <w:r w:rsidRPr="00817B9F">
        <w:t>Anand</w:t>
      </w:r>
      <w:r w:rsidR="008D0681" w:rsidRPr="00817B9F">
        <w:t xml:space="preserve"> (2017)</w:t>
      </w:r>
      <w:r w:rsidRPr="00817B9F">
        <w:t xml:space="preserve"> assesse</w:t>
      </w:r>
      <w:r w:rsidR="00F128E5" w:rsidRPr="00817B9F">
        <w:t>d</w:t>
      </w:r>
      <w:r w:rsidRPr="00817B9F">
        <w:t xml:space="preserve"> the relation</w:t>
      </w:r>
      <w:r w:rsidR="00961B2F" w:rsidRPr="00817B9F">
        <w:t>ship</w:t>
      </w:r>
      <w:r w:rsidRPr="00817B9F">
        <w:t xml:space="preserve"> between </w:t>
      </w:r>
      <w:r w:rsidR="00961B2F" w:rsidRPr="00817B9F">
        <w:t xml:space="preserve">the </w:t>
      </w:r>
      <w:r w:rsidRPr="00817B9F">
        <w:t xml:space="preserve">rising </w:t>
      </w:r>
      <w:r w:rsidR="00961B2F" w:rsidRPr="00817B9F">
        <w:t xml:space="preserve">costs of </w:t>
      </w:r>
      <w:r w:rsidR="006B2536" w:rsidRPr="00817B9F">
        <w:t xml:space="preserve">employer-sponsored </w:t>
      </w:r>
      <w:r w:rsidR="00961B2F" w:rsidRPr="00817B9F">
        <w:t>insurance</w:t>
      </w:r>
      <w:r w:rsidRPr="00817B9F">
        <w:t xml:space="preserve"> cost and </w:t>
      </w:r>
      <w:r w:rsidR="00C01502" w:rsidRPr="00817B9F">
        <w:t>worker</w:t>
      </w:r>
      <w:r w:rsidRPr="00817B9F">
        <w:t xml:space="preserve"> compensation between 2003 and 2010, analyzing separately the effects on wages, non-health fringe benefits, and </w:t>
      </w:r>
      <w:r w:rsidR="00C01502" w:rsidRPr="00817B9F">
        <w:t>worker</w:t>
      </w:r>
      <w:r w:rsidRPr="00817B9F">
        <w:t xml:space="preserve"> contributions to </w:t>
      </w:r>
      <w:r w:rsidR="00BE317B" w:rsidRPr="00817B9F">
        <w:t>health plan</w:t>
      </w:r>
      <w:r w:rsidRPr="00817B9F">
        <w:t xml:space="preserve"> premiums.</w:t>
      </w:r>
      <w:r w:rsidR="008D0681" w:rsidRPr="00817B9F">
        <w:rPr>
          <w:rStyle w:val="FootnoteReference"/>
        </w:rPr>
        <w:footnoteReference w:id="254"/>
      </w:r>
      <w:r w:rsidRPr="00817B9F">
        <w:t xml:space="preserve"> </w:t>
      </w:r>
      <w:r w:rsidR="00BE317B" w:rsidRPr="00817B9F">
        <w:t>T</w:t>
      </w:r>
      <w:r w:rsidRPr="00817B9F">
        <w:t>he</w:t>
      </w:r>
      <w:r w:rsidR="00BE317B" w:rsidRPr="00817B9F">
        <w:t xml:space="preserve"> author</w:t>
      </w:r>
      <w:r w:rsidRPr="00817B9F">
        <w:t xml:space="preserve"> finds that total hourly compensation decreases by </w:t>
      </w:r>
      <w:r w:rsidR="005C4FD5" w:rsidRPr="00817B9F">
        <w:t>$0</w:t>
      </w:r>
      <w:r w:rsidRPr="00817B9F">
        <w:t xml:space="preserve">.52 </w:t>
      </w:r>
      <w:r w:rsidR="005C4FD5" w:rsidRPr="00817B9F">
        <w:t>for</w:t>
      </w:r>
      <w:r w:rsidRPr="00817B9F">
        <w:t xml:space="preserve"> every $1 increase in </w:t>
      </w:r>
      <w:r w:rsidR="005C4FD5" w:rsidRPr="00817B9F">
        <w:t>the cost of employer-sponsored insurance</w:t>
      </w:r>
      <w:r w:rsidRPr="00817B9F">
        <w:t xml:space="preserve">, with almost all the decrease attributable to higher </w:t>
      </w:r>
      <w:r w:rsidR="00C01502" w:rsidRPr="00817B9F">
        <w:t>worker</w:t>
      </w:r>
      <w:r w:rsidRPr="00817B9F">
        <w:t xml:space="preserve"> contributions to </w:t>
      </w:r>
      <w:r w:rsidR="005C4FD5" w:rsidRPr="00817B9F">
        <w:t>health plans</w:t>
      </w:r>
      <w:r w:rsidRPr="00817B9F">
        <w:t>, while hourly wages and non-health benefits remain relatively unchanged.</w:t>
      </w:r>
    </w:p>
    <w:p w14:paraId="3078B259" w14:textId="5128E910" w:rsidR="002C68E8" w:rsidRPr="00817B9F" w:rsidRDefault="002C68E8" w:rsidP="005C4FD5">
      <w:pPr>
        <w:pStyle w:val="NumberedParagraphs"/>
      </w:pPr>
      <w:r w:rsidRPr="00817B9F">
        <w:t>Baicker and Chandra</w:t>
      </w:r>
      <w:r w:rsidR="0037270C" w:rsidRPr="00817B9F">
        <w:t xml:space="preserve"> (2006)</w:t>
      </w:r>
      <w:r w:rsidRPr="00817B9F">
        <w:t xml:space="preserve"> examine</w:t>
      </w:r>
      <w:r w:rsidR="00864FEE" w:rsidRPr="00817B9F">
        <w:t>d</w:t>
      </w:r>
      <w:r w:rsidRPr="00817B9F">
        <w:t xml:space="preserve"> the effect of rising health insurance premiums between 1996 and 2002 on wages, employment, and the proportions of full</w:t>
      </w:r>
      <w:r w:rsidR="00CF7C5A" w:rsidRPr="00817B9F">
        <w:t>-</w:t>
      </w:r>
      <w:r w:rsidRPr="00817B9F">
        <w:t xml:space="preserve"> and part</w:t>
      </w:r>
      <w:r w:rsidR="00CF7C5A" w:rsidRPr="00817B9F">
        <w:t>-</w:t>
      </w:r>
      <w:r w:rsidRPr="00817B9F">
        <w:t>time workers</w:t>
      </w:r>
      <w:r w:rsidR="00CF7C5A" w:rsidRPr="00817B9F">
        <w:t xml:space="preserve"> employed by firms</w:t>
      </w:r>
      <w:r w:rsidRPr="00817B9F">
        <w:t>.</w:t>
      </w:r>
      <w:r w:rsidR="0037270C" w:rsidRPr="00817B9F">
        <w:rPr>
          <w:rStyle w:val="FootnoteReference"/>
        </w:rPr>
        <w:footnoteReference w:id="255"/>
      </w:r>
      <w:r w:rsidRPr="00817B9F">
        <w:t xml:space="preserve"> The</w:t>
      </w:r>
      <w:r w:rsidR="008E7D21" w:rsidRPr="00817B9F">
        <w:t xml:space="preserve"> authors use </w:t>
      </w:r>
      <w:r w:rsidRPr="00817B9F">
        <w:t xml:space="preserve">variation in medical malpractice premiums across states and its effect on health insurance premiums to measure </w:t>
      </w:r>
      <w:r w:rsidR="008E7D21" w:rsidRPr="00817B9F">
        <w:t>the</w:t>
      </w:r>
      <w:r w:rsidRPr="00817B9F">
        <w:t xml:space="preserve"> incidence</w:t>
      </w:r>
      <w:r w:rsidR="008E7D21" w:rsidRPr="00817B9F">
        <w:t xml:space="preserve"> of </w:t>
      </w:r>
      <w:r w:rsidRPr="00817B9F">
        <w:t>cost increase</w:t>
      </w:r>
      <w:r w:rsidR="008E7D21" w:rsidRPr="00817B9F">
        <w:t>s in health care services.</w:t>
      </w:r>
      <w:r w:rsidRPr="00817B9F">
        <w:t xml:space="preserve"> </w:t>
      </w:r>
      <w:r w:rsidR="008E7D21" w:rsidRPr="00817B9F">
        <w:t>(</w:t>
      </w:r>
      <w:r w:rsidR="005471B7" w:rsidRPr="00817B9F">
        <w:t>As we discussed above, the authors</w:t>
      </w:r>
      <w:r w:rsidRPr="00817B9F">
        <w:t xml:space="preserve"> assume, based on the economic literature, that the demand for medical services is inelastic so that increases in malpractice premiums are passed on to health insurers, who in turn pass them on to their customers.) They find that a </w:t>
      </w:r>
      <w:r w:rsidR="00923221" w:rsidRPr="00817B9F">
        <w:t>ten</w:t>
      </w:r>
      <w:r w:rsidRPr="00817B9F">
        <w:t xml:space="preserve"> percent increase in health insurance premiums reduces the </w:t>
      </w:r>
      <w:r w:rsidR="00283D66" w:rsidRPr="00817B9F">
        <w:t>likelihood</w:t>
      </w:r>
      <w:r w:rsidRPr="00817B9F">
        <w:t xml:space="preserve"> of being employed by 1.2 percentage points, reduces hours worked by 2.4</w:t>
      </w:r>
      <w:r w:rsidR="00283D66" w:rsidRPr="00817B9F">
        <w:t xml:space="preserve"> percent,</w:t>
      </w:r>
      <w:r w:rsidRPr="00817B9F">
        <w:t xml:space="preserve"> and increases the likelihood that a worker is employed </w:t>
      </w:r>
      <w:r w:rsidRPr="00817B9F">
        <w:lastRenderedPageBreak/>
        <w:t>part</w:t>
      </w:r>
      <w:r w:rsidR="00283D66" w:rsidRPr="00817B9F">
        <w:t>-</w:t>
      </w:r>
      <w:r w:rsidRPr="00817B9F">
        <w:t xml:space="preserve">time by 1.9 percentage points. </w:t>
      </w:r>
      <w:r w:rsidR="00F22C68" w:rsidRPr="00817B9F">
        <w:t>For work</w:t>
      </w:r>
      <w:r w:rsidR="00196084" w:rsidRPr="00817B9F">
        <w:t>er</w:t>
      </w:r>
      <w:r w:rsidR="00F22C68" w:rsidRPr="00817B9F">
        <w:t>s covered by e</w:t>
      </w:r>
      <w:r w:rsidR="006876D7" w:rsidRPr="00817B9F">
        <w:t xml:space="preserve">mployer-sponsored insurance, </w:t>
      </w:r>
      <w:r w:rsidR="00E92C46" w:rsidRPr="00817B9F">
        <w:t>t</w:t>
      </w:r>
      <w:r w:rsidR="006876D7" w:rsidRPr="00817B9F">
        <w:t xml:space="preserve">he increase in premiums reduces </w:t>
      </w:r>
      <w:r w:rsidRPr="00817B9F">
        <w:t xml:space="preserve">wages </w:t>
      </w:r>
      <w:r w:rsidR="00E92C46" w:rsidRPr="00817B9F">
        <w:t>by</w:t>
      </w:r>
      <w:r w:rsidRPr="00817B9F">
        <w:t xml:space="preserve"> 2.3</w:t>
      </w:r>
      <w:r w:rsidR="00E92C46" w:rsidRPr="00817B9F">
        <w:t xml:space="preserve"> percent.</w:t>
      </w:r>
      <w:r w:rsidRPr="00817B9F">
        <w:t xml:space="preserve"> All told, the</w:t>
      </w:r>
      <w:r w:rsidR="00E92C46" w:rsidRPr="00817B9F">
        <w:t xml:space="preserve"> authors</w:t>
      </w:r>
      <w:r w:rsidRPr="00817B9F">
        <w:t xml:space="preserve"> conclude that the cost of rising </w:t>
      </w:r>
      <w:r w:rsidR="00E92C46" w:rsidRPr="00817B9F">
        <w:t>health plan</w:t>
      </w:r>
      <w:r w:rsidRPr="00817B9F">
        <w:t xml:space="preserve"> premiums is borne primarily by workers.</w:t>
      </w:r>
    </w:p>
    <w:p w14:paraId="215EDC32" w14:textId="3C98EC86" w:rsidR="002C68E8" w:rsidRPr="00817B9F" w:rsidRDefault="002C68E8" w:rsidP="00E92C46">
      <w:pPr>
        <w:pStyle w:val="NumberedParagraphs"/>
      </w:pPr>
      <w:r w:rsidRPr="00817B9F">
        <w:t>Gruber</w:t>
      </w:r>
      <w:r w:rsidR="002078D5" w:rsidRPr="00817B9F">
        <w:t xml:space="preserve"> (1994) </w:t>
      </w:r>
      <w:r w:rsidRPr="00817B9F">
        <w:t>examine</w:t>
      </w:r>
      <w:r w:rsidR="001A672B" w:rsidRPr="00817B9F">
        <w:t>d</w:t>
      </w:r>
      <w:r w:rsidRPr="00817B9F">
        <w:t xml:space="preserve"> changes in state and federal laws during the mid</w:t>
      </w:r>
      <w:r w:rsidR="002078D5" w:rsidRPr="00817B9F">
        <w:t>-</w:t>
      </w:r>
      <w:r w:rsidRPr="00817B9F">
        <w:t xml:space="preserve"> and late 1970s that mandated that insurance plans cover maternity benefits to assess who bears the increased cost </w:t>
      </w:r>
      <w:r w:rsidR="007F5821" w:rsidRPr="00817B9F">
        <w:t>associated with</w:t>
      </w:r>
      <w:r w:rsidRPr="00817B9F">
        <w:t xml:space="preserve"> benefit mandates.</w:t>
      </w:r>
      <w:r w:rsidRPr="00817B9F">
        <w:rPr>
          <w:rStyle w:val="FootnoteReference"/>
        </w:rPr>
        <w:t xml:space="preserve"> </w:t>
      </w:r>
      <w:r w:rsidR="002078D5" w:rsidRPr="00817B9F">
        <w:rPr>
          <w:rStyle w:val="FootnoteReference"/>
        </w:rPr>
        <w:footnoteReference w:id="256"/>
      </w:r>
      <w:r w:rsidRPr="00817B9F">
        <w:t xml:space="preserve"> </w:t>
      </w:r>
      <w:r w:rsidR="004D210A" w:rsidRPr="00817B9F">
        <w:t>The author</w:t>
      </w:r>
      <w:r w:rsidRPr="00817B9F">
        <w:t xml:space="preserve"> finds that the costs of the mandates are shifted completely to workers, with little effect on net labor input.</w:t>
      </w:r>
    </w:p>
    <w:p w14:paraId="77E6FD69" w14:textId="15A7D3B8" w:rsidR="00CB7933" w:rsidRPr="00817B9F" w:rsidRDefault="005F5C40" w:rsidP="00CD7402">
      <w:pPr>
        <w:pStyle w:val="NumberedParagraphs"/>
      </w:pPr>
      <w:r w:rsidRPr="00817B9F">
        <w:t>Lastly, a</w:t>
      </w:r>
      <w:r w:rsidR="002C68E8" w:rsidRPr="00817B9F">
        <w:t xml:space="preserve"> related question is how the cost of </w:t>
      </w:r>
      <w:r w:rsidRPr="00817B9F">
        <w:t>employer-sponsored insurance</w:t>
      </w:r>
      <w:r w:rsidR="002C68E8" w:rsidRPr="00817B9F">
        <w:t xml:space="preserve"> is </w:t>
      </w:r>
      <w:r w:rsidRPr="00817B9F">
        <w:t xml:space="preserve">shared by </w:t>
      </w:r>
      <w:r w:rsidR="002C68E8" w:rsidRPr="00817B9F">
        <w:t>employers</w:t>
      </w:r>
      <w:r w:rsidRPr="00817B9F">
        <w:t xml:space="preserve"> and workers</w:t>
      </w:r>
      <w:r w:rsidR="002C68E8" w:rsidRPr="00817B9F">
        <w:t xml:space="preserve">. Rae </w:t>
      </w:r>
      <w:r w:rsidR="002C68E8" w:rsidRPr="00817B9F">
        <w:rPr>
          <w:i/>
        </w:rPr>
        <w:t>et al</w:t>
      </w:r>
      <w:r w:rsidR="002C68E8" w:rsidRPr="00817B9F">
        <w:t>.</w:t>
      </w:r>
      <w:r w:rsidRPr="00817B9F">
        <w:t xml:space="preserve"> (2019)</w:t>
      </w:r>
      <w:r w:rsidR="002C68E8" w:rsidRPr="00817B9F">
        <w:t xml:space="preserve"> f</w:t>
      </w:r>
      <w:r w:rsidR="003E71BF" w:rsidRPr="00817B9F">
        <w:t>ound</w:t>
      </w:r>
      <w:r w:rsidR="002C68E8" w:rsidRPr="00817B9F">
        <w:t xml:space="preserve"> that in 2018, large employers paid approximately two</w:t>
      </w:r>
      <w:r w:rsidR="006A759F" w:rsidRPr="00817B9F">
        <w:t>-</w:t>
      </w:r>
      <w:r w:rsidR="002C68E8" w:rsidRPr="00817B9F">
        <w:t xml:space="preserve">thirds of the cost of family policies for their </w:t>
      </w:r>
      <w:r w:rsidR="00C01502" w:rsidRPr="00817B9F">
        <w:t>workers</w:t>
      </w:r>
      <w:r w:rsidR="002C68E8" w:rsidRPr="00817B9F">
        <w:t xml:space="preserve">, while </w:t>
      </w:r>
      <w:r w:rsidR="00C01502" w:rsidRPr="00817B9F">
        <w:t>workers</w:t>
      </w:r>
      <w:r w:rsidR="002C68E8" w:rsidRPr="00817B9F">
        <w:t xml:space="preserve"> bore the remaining one</w:t>
      </w:r>
      <w:r w:rsidR="006A759F" w:rsidRPr="00817B9F">
        <w:t>-</w:t>
      </w:r>
      <w:r w:rsidR="002C68E8" w:rsidRPr="00817B9F">
        <w:t>third of the cost</w:t>
      </w:r>
      <w:r w:rsidR="006A759F" w:rsidRPr="00817B9F">
        <w:t>.</w:t>
      </w:r>
      <w:r w:rsidR="006A759F" w:rsidRPr="00817B9F">
        <w:rPr>
          <w:rStyle w:val="FootnoteReference"/>
        </w:rPr>
        <w:t xml:space="preserve"> </w:t>
      </w:r>
      <w:r w:rsidR="00845221" w:rsidRPr="00817B9F">
        <w:rPr>
          <w:rStyle w:val="FootnoteReference"/>
        </w:rPr>
        <w:footnoteReference w:id="257"/>
      </w:r>
      <w:r w:rsidR="00845221" w:rsidRPr="00817B9F">
        <w:t xml:space="preserve"> </w:t>
      </w:r>
      <w:r w:rsidR="006A759F" w:rsidRPr="00817B9F">
        <w:t xml:space="preserve">Of </w:t>
      </w:r>
      <w:r w:rsidR="003E71BF" w:rsidRPr="00817B9F">
        <w:t xml:space="preserve">the cost borne by workers, </w:t>
      </w:r>
      <w:r w:rsidR="0060470C" w:rsidRPr="00817B9F">
        <w:t>approximately two-thirds was</w:t>
      </w:r>
      <w:r w:rsidR="002C68E8" w:rsidRPr="00817B9F">
        <w:t xml:space="preserve"> </w:t>
      </w:r>
      <w:r w:rsidR="00845221" w:rsidRPr="00817B9F">
        <w:t>related</w:t>
      </w:r>
      <w:r w:rsidR="002C68E8" w:rsidRPr="00817B9F">
        <w:t xml:space="preserve"> to premium contributions and </w:t>
      </w:r>
      <w:r w:rsidR="00845221" w:rsidRPr="00817B9F">
        <w:t>one-third was related</w:t>
      </w:r>
      <w:r w:rsidR="002C68E8" w:rsidRPr="00817B9F">
        <w:t xml:space="preserve"> to cost-sharing </w:t>
      </w:r>
      <w:r w:rsidR="00845221" w:rsidRPr="00817B9F">
        <w:t>in the form</w:t>
      </w:r>
      <w:r w:rsidR="002C68E8" w:rsidRPr="00817B9F">
        <w:t xml:space="preserve"> of out</w:t>
      </w:r>
      <w:r w:rsidR="00845221" w:rsidRPr="00817B9F">
        <w:t>-</w:t>
      </w:r>
      <w:r w:rsidR="002C68E8" w:rsidRPr="00817B9F">
        <w:t>of</w:t>
      </w:r>
      <w:r w:rsidR="00845221" w:rsidRPr="00817B9F">
        <w:t>-</w:t>
      </w:r>
      <w:r w:rsidR="002C68E8" w:rsidRPr="00817B9F">
        <w:t>pocket payments</w:t>
      </w:r>
      <w:r w:rsidR="00FD379D" w:rsidRPr="00817B9F">
        <w:t xml:space="preserve"> such as copayments, coinsurance, and deductibles</w:t>
      </w:r>
      <w:r w:rsidR="002C68E8" w:rsidRPr="00817B9F">
        <w:t>. The percentage of total cost born</w:t>
      </w:r>
      <w:r w:rsidR="00FD379D" w:rsidRPr="00817B9F">
        <w:t>e</w:t>
      </w:r>
      <w:r w:rsidR="002C68E8" w:rsidRPr="00817B9F">
        <w:t xml:space="preserve"> by </w:t>
      </w:r>
      <w:r w:rsidR="00FD379D" w:rsidRPr="00817B9F">
        <w:t>workers</w:t>
      </w:r>
      <w:r w:rsidR="002C68E8" w:rsidRPr="00817B9F">
        <w:t xml:space="preserve"> increased from 32 to 34 percent between 2008 and 2018. </w:t>
      </w:r>
      <w:r w:rsidR="00012BF4" w:rsidRPr="00817B9F">
        <w:t xml:space="preserve">This analysis is consistent with data from the </w:t>
      </w:r>
      <w:r w:rsidR="002C68E8" w:rsidRPr="00817B9F">
        <w:t xml:space="preserve">National Compensation Survey </w:t>
      </w:r>
      <w:r w:rsidR="00012BF4" w:rsidRPr="00817B9F">
        <w:t xml:space="preserve">compiled by </w:t>
      </w:r>
      <w:r w:rsidR="002C68E8" w:rsidRPr="00817B9F">
        <w:t>the Bureau of Labor Statistics</w:t>
      </w:r>
      <w:r w:rsidR="00012BF4" w:rsidRPr="00817B9F">
        <w:t xml:space="preserve">, which </w:t>
      </w:r>
      <w:r w:rsidR="001423D0" w:rsidRPr="00817B9F">
        <w:t>indicate</w:t>
      </w:r>
      <w:r w:rsidR="002C68E8" w:rsidRPr="00817B9F">
        <w:t xml:space="preserve"> a two</w:t>
      </w:r>
      <w:r w:rsidR="001423D0" w:rsidRPr="00817B9F">
        <w:t>-</w:t>
      </w:r>
      <w:r w:rsidR="002C68E8" w:rsidRPr="00817B9F">
        <w:t>thirds employer</w:t>
      </w:r>
      <w:r w:rsidR="00094F55" w:rsidRPr="00817B9F">
        <w:t xml:space="preserve"> and</w:t>
      </w:r>
      <w:r w:rsidR="002C68E8" w:rsidRPr="00817B9F">
        <w:t xml:space="preserve"> one</w:t>
      </w:r>
      <w:r w:rsidR="00094F55" w:rsidRPr="00817B9F">
        <w:t>-</w:t>
      </w:r>
      <w:r w:rsidR="002C68E8" w:rsidRPr="00817B9F">
        <w:t xml:space="preserve">third </w:t>
      </w:r>
      <w:r w:rsidR="00094F55" w:rsidRPr="00817B9F">
        <w:t>worker</w:t>
      </w:r>
      <w:r w:rsidR="002C68E8" w:rsidRPr="00817B9F">
        <w:t xml:space="preserve"> split in the share of health insurance premiums for family plans, while employers pay 80 percent of the premiums for single coverage.</w:t>
      </w:r>
      <w:r w:rsidR="002C68E8" w:rsidRPr="00817B9F">
        <w:rPr>
          <w:rStyle w:val="FootnoteReference"/>
        </w:rPr>
        <w:footnoteReference w:id="258"/>
      </w:r>
      <w:r w:rsidR="002C68E8" w:rsidRPr="00817B9F">
        <w:t xml:space="preserve"> </w:t>
      </w:r>
    </w:p>
    <w:p w14:paraId="25A3EFA7" w14:textId="5F4B7886" w:rsidR="00BF18A7" w:rsidRPr="00817B9F" w:rsidRDefault="00CB7933" w:rsidP="009E28B0">
      <w:pPr>
        <w:pStyle w:val="NumberedParagraphs"/>
      </w:pPr>
      <w:r w:rsidRPr="00817B9F">
        <w:t>In summary, the economic evidence suggests that increases in health care expenditures associated with member</w:t>
      </w:r>
      <w:r w:rsidR="00603CCA" w:rsidRPr="00817B9F">
        <w:t>s</w:t>
      </w:r>
      <w:r w:rsidRPr="00817B9F">
        <w:t xml:space="preserve"> of employer-sponsored health plans </w:t>
      </w:r>
      <w:r w:rsidR="007F58E3" w:rsidRPr="00817B9F">
        <w:t>lead to higher health plan premiums</w:t>
      </w:r>
      <w:r w:rsidR="00B64B3B" w:rsidRPr="00817B9F">
        <w:t xml:space="preserve">, with the </w:t>
      </w:r>
      <w:r w:rsidR="00723B55" w:rsidRPr="00817B9F">
        <w:t xml:space="preserve">pass-through rate being </w:t>
      </w:r>
      <w:r w:rsidR="00F779A8" w:rsidRPr="00817B9F">
        <w:t>close to one-for-one</w:t>
      </w:r>
      <w:r w:rsidR="00BE0500" w:rsidRPr="00817B9F">
        <w:t xml:space="preserve"> (</w:t>
      </w:r>
      <w:r w:rsidR="00BE0500" w:rsidRPr="00817B9F">
        <w:rPr>
          <w:i/>
          <w:iCs/>
        </w:rPr>
        <w:t>i.e.</w:t>
      </w:r>
      <w:r w:rsidR="00BE0500" w:rsidRPr="00817B9F">
        <w:t>, a one dollar increase in expenditures increases health plan premiums by one dollar</w:t>
      </w:r>
      <w:r w:rsidR="005D5CF8" w:rsidRPr="00817B9F">
        <w:t>)</w:t>
      </w:r>
      <w:r w:rsidR="00F779A8" w:rsidRPr="00817B9F">
        <w:t xml:space="preserve">. </w:t>
      </w:r>
      <w:r w:rsidR="009834E1" w:rsidRPr="00817B9F">
        <w:t xml:space="preserve">Economic studies of </w:t>
      </w:r>
      <w:r w:rsidR="00ED5BD5" w:rsidRPr="00817B9F">
        <w:t xml:space="preserve">the incidence of </w:t>
      </w:r>
      <w:r w:rsidR="005A2777" w:rsidRPr="00817B9F">
        <w:t>increases</w:t>
      </w:r>
      <w:r w:rsidR="00ED5BD5" w:rsidRPr="00817B9F">
        <w:t xml:space="preserve"> in </w:t>
      </w:r>
      <w:r w:rsidR="00ED5BD5" w:rsidRPr="00817B9F">
        <w:lastRenderedPageBreak/>
        <w:t xml:space="preserve">the </w:t>
      </w:r>
      <w:r w:rsidR="00900070" w:rsidRPr="00817B9F">
        <w:t xml:space="preserve">cost of </w:t>
      </w:r>
      <w:r w:rsidR="00ED5BD5" w:rsidRPr="00817B9F">
        <w:t xml:space="preserve">employer-sponsored insurance </w:t>
      </w:r>
      <w:r w:rsidR="00963D37" w:rsidRPr="00817B9F">
        <w:t xml:space="preserve">show that both employers and workers bear these </w:t>
      </w:r>
      <w:r w:rsidR="005A2777" w:rsidRPr="00817B9F">
        <w:t xml:space="preserve">costs, </w:t>
      </w:r>
      <w:r w:rsidR="003217BF" w:rsidRPr="00817B9F">
        <w:t>although the preponderance of evidence suggests</w:t>
      </w:r>
      <w:r w:rsidR="00996013" w:rsidRPr="00817B9F">
        <w:t xml:space="preserve"> that </w:t>
      </w:r>
      <w:r w:rsidR="006A759F" w:rsidRPr="00817B9F">
        <w:t>they</w:t>
      </w:r>
      <w:r w:rsidR="00996013" w:rsidRPr="00817B9F">
        <w:t xml:space="preserve"> are borne primarily by workers. </w:t>
      </w:r>
      <w:r w:rsidR="003217BF" w:rsidRPr="00817B9F">
        <w:t xml:space="preserve">While there does not appear to be any published literature on the effect of </w:t>
      </w:r>
      <w:r w:rsidR="00BA6EE3" w:rsidRPr="00817B9F">
        <w:t xml:space="preserve">premium </w:t>
      </w:r>
      <w:r w:rsidR="003217BF" w:rsidRPr="00817B9F">
        <w:t xml:space="preserve">reductions </w:t>
      </w:r>
      <w:r w:rsidR="00BA6EE3" w:rsidRPr="00817B9F">
        <w:t xml:space="preserve">on worker </w:t>
      </w:r>
      <w:r w:rsidR="00552BBE" w:rsidRPr="00817B9F">
        <w:t>compensation, we</w:t>
      </w:r>
      <w:r w:rsidR="003217BF" w:rsidRPr="00817B9F">
        <w:t xml:space="preserve"> would expect that </w:t>
      </w:r>
      <w:r w:rsidR="00D50FA6" w:rsidRPr="00817B9F">
        <w:t xml:space="preserve">the benefits of lower premiums would </w:t>
      </w:r>
      <w:r w:rsidR="00F2061C" w:rsidRPr="00817B9F">
        <w:t>pass on</w:t>
      </w:r>
      <w:r w:rsidR="00D50FA6" w:rsidRPr="00817B9F">
        <w:t xml:space="preserve"> to workers in the form of higher </w:t>
      </w:r>
      <w:r w:rsidR="00DC4E2D" w:rsidRPr="00817B9F">
        <w:t>wages.</w:t>
      </w:r>
    </w:p>
    <w:p w14:paraId="6D5B9C52" w14:textId="5991EC73" w:rsidR="00B678E8" w:rsidRPr="00817B9F" w:rsidRDefault="00B678E8" w:rsidP="00B678E8">
      <w:pPr>
        <w:pStyle w:val="Heading1"/>
      </w:pPr>
      <w:bookmarkStart w:id="143" w:name="_Ref90041260"/>
      <w:bookmarkStart w:id="144" w:name="_Toc90046552"/>
      <w:r w:rsidRPr="00817B9F">
        <w:t>Conclusions</w:t>
      </w:r>
      <w:bookmarkEnd w:id="143"/>
      <w:bookmarkEnd w:id="144"/>
    </w:p>
    <w:p w14:paraId="12EE17CE" w14:textId="568A4A0D" w:rsidR="00E8380C" w:rsidRPr="00817B9F" w:rsidRDefault="00AB3560" w:rsidP="00E8380C">
      <w:pPr>
        <w:pStyle w:val="NumberedParagraphs"/>
      </w:pPr>
      <w:r w:rsidRPr="00817B9F">
        <w:t>The DoN program requested that we provide short-term (</w:t>
      </w:r>
      <w:r w:rsidRPr="00817B9F">
        <w:rPr>
          <w:i/>
          <w:iCs/>
        </w:rPr>
        <w:t>i.e.</w:t>
      </w:r>
      <w:r w:rsidRPr="00817B9F">
        <w:t>, five years) and long-term (</w:t>
      </w:r>
      <w:r w:rsidRPr="00817B9F">
        <w:rPr>
          <w:i/>
          <w:iCs/>
        </w:rPr>
        <w:t>i.e.</w:t>
      </w:r>
      <w:r w:rsidRPr="00817B9F">
        <w:t xml:space="preserve">, ten years) projections of changes in demand at MGH for inpatient services (including </w:t>
      </w:r>
      <w:r w:rsidR="007E6B1B" w:rsidRPr="00817B9F">
        <w:t xml:space="preserve">cancer and </w:t>
      </w:r>
      <w:r w:rsidRPr="00817B9F">
        <w:t>heart and vascular inpatient services), outpatient diagnostic imaging services (</w:t>
      </w:r>
      <w:r w:rsidRPr="00817B9F">
        <w:rPr>
          <w:i/>
          <w:iCs/>
        </w:rPr>
        <w:t>i.e</w:t>
      </w:r>
      <w:r w:rsidRPr="00817B9F">
        <w:t xml:space="preserve">., outpatient CT, MR, and PET/CT scans), outpatient cardiovascular services, and outpatient oncology </w:t>
      </w:r>
      <w:r w:rsidR="007E6B1B" w:rsidRPr="00817B9F">
        <w:t>visits</w:t>
      </w:r>
      <w:r w:rsidRPr="00817B9F">
        <w:t xml:space="preserve">. Our projections account for the effects of expected changes in population and demographic shifts, but hold other factors affecting the demand for and supply of </w:t>
      </w:r>
      <w:r w:rsidR="002202B7" w:rsidRPr="00817B9F">
        <w:t>health care</w:t>
      </w:r>
      <w:r w:rsidRPr="00817B9F">
        <w:t xml:space="preserve"> services constant. </w:t>
      </w:r>
      <w:r w:rsidR="000D3E71" w:rsidRPr="00817B9F">
        <w:t xml:space="preserve">Our projections are summarized in </w:t>
      </w:r>
      <w:r w:rsidR="00E75F47" w:rsidRPr="00817B9F">
        <w:t>Figure MGH29</w:t>
      </w:r>
      <w:r w:rsidR="000D3E71" w:rsidRPr="00817B9F">
        <w:t xml:space="preserve"> below. </w:t>
      </w:r>
      <w:r w:rsidR="00C20F7B" w:rsidRPr="00817B9F">
        <w:t>As shown in the fi</w:t>
      </w:r>
      <w:r w:rsidR="000E3EED" w:rsidRPr="00817B9F">
        <w:t>gure, we project that demand</w:t>
      </w:r>
      <w:r w:rsidR="00613B35" w:rsidRPr="00817B9F">
        <w:t xml:space="preserve"> for adult </w:t>
      </w:r>
      <w:r w:rsidR="000E3EED" w:rsidRPr="00817B9F">
        <w:t>inpatient services</w:t>
      </w:r>
      <w:bookmarkStart w:id="145" w:name="_Hlk89947146"/>
      <w:r w:rsidR="000E3EED" w:rsidRPr="00817B9F">
        <w:t xml:space="preserve"> </w:t>
      </w:r>
      <w:r w:rsidR="00613B35" w:rsidRPr="00817B9F">
        <w:t xml:space="preserve">(excluding obstetrics, behavioral health, substance use disorder, and rehabilitation services) </w:t>
      </w:r>
      <w:r w:rsidR="000E3EED" w:rsidRPr="00817B9F">
        <w:t>at MGH will increase by 17 percent over the next ten years</w:t>
      </w:r>
      <w:r w:rsidR="00A43951" w:rsidRPr="00817B9F">
        <w:t xml:space="preserve"> (with somewhat lower projected increases for inpatient cancer services and higher project</w:t>
      </w:r>
      <w:r w:rsidR="00F535F8" w:rsidRPr="00817B9F">
        <w:t>ed</w:t>
      </w:r>
      <w:r w:rsidR="00A43951" w:rsidRPr="00817B9F">
        <w:t xml:space="preserve"> increases for inpatient heart and vascular services)</w:t>
      </w:r>
      <w:r w:rsidR="000E3EED" w:rsidRPr="00817B9F">
        <w:t xml:space="preserve">, while demand for outpatient diagnostic imaging, cardiovascular services, and oncology visits at MGH will increase by between ten and 21 percent. </w:t>
      </w:r>
      <w:bookmarkEnd w:id="145"/>
    </w:p>
    <w:p w14:paraId="660B2A34" w14:textId="643E06F3" w:rsidR="003F750E" w:rsidRPr="00817B9F" w:rsidRDefault="00C1176A" w:rsidP="00C1176A">
      <w:pPr>
        <w:pStyle w:val="NumberedParagraphs"/>
        <w:keepNext/>
        <w:keepLines/>
        <w:numPr>
          <w:ilvl w:val="0"/>
          <w:numId w:val="0"/>
        </w:numPr>
        <w:spacing w:after="0" w:line="240" w:lineRule="auto"/>
        <w:ind w:firstLine="720"/>
        <w:rPr>
          <w:b/>
          <w:bCs/>
        </w:rPr>
      </w:pPr>
      <w:r w:rsidRPr="00817B9F">
        <w:rPr>
          <w:b/>
          <w:bCs/>
        </w:rPr>
        <w:t>Figure MGH29</w:t>
      </w:r>
    </w:p>
    <w:tbl>
      <w:tblPr>
        <w:tblStyle w:val="TableGrid"/>
        <w:tblpPr w:leftFromText="180" w:rightFromText="180" w:vertAnchor="text" w:horzAnchor="margin" w:tblpXSpec="center" w:tblpY="204"/>
        <w:tblW w:w="7920" w:type="dxa"/>
        <w:jc w:val="center"/>
        <w:tblLayout w:type="fixed"/>
        <w:tblLook w:val="04A0" w:firstRow="1" w:lastRow="0" w:firstColumn="1" w:lastColumn="0" w:noHBand="0" w:noVBand="1"/>
        <w:tblCaption w:val="Figure MGH29"/>
        <w:tblDescription w:val="  Service Line (Units) and Projected Increase in Demand at MGH&#10; &#10;Adult Inpatient (Patient Days) 17%&#10;Cancer (Patient Days) 15%&#10;Heart &amp; Vascular (Patient Days) 21%&#10;Outpatient CT (Scans) 16%&#10;Outpatient MR (Scans) 10%&#10;Outpatient PET/CT (Scans) 17%&#10;Outpatient Cardiovascular (Procedures) 21%&#10;Outpatient Oncology (Visits) 18%&#10;"/>
      </w:tblPr>
      <w:tblGrid>
        <w:gridCol w:w="4495"/>
        <w:gridCol w:w="3425"/>
      </w:tblGrid>
      <w:tr w:rsidR="003F750E" w:rsidRPr="00817B9F" w14:paraId="2311154F" w14:textId="77777777" w:rsidTr="004D3848">
        <w:trPr>
          <w:cantSplit/>
          <w:trHeight w:val="565"/>
          <w:tblHeader/>
          <w:jc w:val="center"/>
        </w:trPr>
        <w:tc>
          <w:tcPr>
            <w:tcW w:w="4495" w:type="dxa"/>
            <w:tcBorders>
              <w:top w:val="single" w:sz="12" w:space="0" w:color="auto"/>
              <w:left w:val="nil"/>
              <w:bottom w:val="single" w:sz="12" w:space="0" w:color="auto"/>
              <w:right w:val="nil"/>
            </w:tcBorders>
            <w:vAlign w:val="bottom"/>
          </w:tcPr>
          <w:p w14:paraId="555EF87D" w14:textId="67E18D16" w:rsidR="003F750E" w:rsidRPr="00817B9F" w:rsidRDefault="002202B7" w:rsidP="000D3E71">
            <w:pPr>
              <w:pStyle w:val="NumberedParagraphs"/>
              <w:keepLines/>
              <w:numPr>
                <w:ilvl w:val="0"/>
                <w:numId w:val="0"/>
              </w:numPr>
              <w:rPr>
                <w:b/>
                <w:bCs/>
              </w:rPr>
            </w:pPr>
            <w:r w:rsidRPr="00817B9F">
              <w:rPr>
                <w:b/>
                <w:bCs/>
              </w:rPr>
              <w:t xml:space="preserve">  </w:t>
            </w:r>
            <w:r w:rsidR="00C724EC" w:rsidRPr="00817B9F">
              <w:rPr>
                <w:b/>
                <w:bCs/>
              </w:rPr>
              <w:t>Service Line (Units)</w:t>
            </w:r>
          </w:p>
        </w:tc>
        <w:tc>
          <w:tcPr>
            <w:tcW w:w="3425" w:type="dxa"/>
            <w:tcBorders>
              <w:top w:val="single" w:sz="12" w:space="0" w:color="auto"/>
              <w:left w:val="nil"/>
              <w:bottom w:val="single" w:sz="12" w:space="0" w:color="auto"/>
              <w:right w:val="nil"/>
            </w:tcBorders>
          </w:tcPr>
          <w:p w14:paraId="376FA6F5" w14:textId="674EA68E" w:rsidR="003F750E" w:rsidRPr="00817B9F" w:rsidRDefault="00C20F7B" w:rsidP="000D3E71">
            <w:pPr>
              <w:pStyle w:val="NumberedParagraphs"/>
              <w:keepLines/>
              <w:numPr>
                <w:ilvl w:val="0"/>
                <w:numId w:val="0"/>
              </w:numPr>
              <w:spacing w:line="240" w:lineRule="auto"/>
              <w:ind w:right="0"/>
              <w:jc w:val="center"/>
              <w:rPr>
                <w:b/>
                <w:bCs/>
              </w:rPr>
            </w:pPr>
            <w:r w:rsidRPr="00817B9F">
              <w:rPr>
                <w:b/>
                <w:bCs/>
              </w:rPr>
              <w:t xml:space="preserve">Projected Increase in </w:t>
            </w:r>
            <w:r w:rsidR="00352BF8" w:rsidRPr="00817B9F">
              <w:rPr>
                <w:b/>
                <w:bCs/>
              </w:rPr>
              <w:t xml:space="preserve">  </w:t>
            </w:r>
            <w:r w:rsidRPr="00817B9F">
              <w:rPr>
                <w:b/>
                <w:bCs/>
              </w:rPr>
              <w:t>Demand at MGH</w:t>
            </w:r>
          </w:p>
        </w:tc>
      </w:tr>
      <w:tr w:rsidR="003F750E" w:rsidRPr="00817B9F" w14:paraId="5AE04E67" w14:textId="77777777" w:rsidTr="00C1176A">
        <w:trPr>
          <w:cantSplit/>
          <w:trHeight w:hRule="exact" w:val="360"/>
          <w:jc w:val="center"/>
        </w:trPr>
        <w:tc>
          <w:tcPr>
            <w:tcW w:w="4495" w:type="dxa"/>
            <w:tcBorders>
              <w:top w:val="nil"/>
              <w:left w:val="nil"/>
              <w:bottom w:val="nil"/>
              <w:right w:val="nil"/>
            </w:tcBorders>
          </w:tcPr>
          <w:p w14:paraId="1B7125EF" w14:textId="2FD33A85" w:rsidR="003F750E" w:rsidRPr="00817B9F" w:rsidRDefault="003F750E" w:rsidP="000D3E71">
            <w:pPr>
              <w:pStyle w:val="NumberedParagraphs"/>
              <w:keepLines/>
              <w:numPr>
                <w:ilvl w:val="0"/>
                <w:numId w:val="0"/>
              </w:numPr>
              <w:ind w:left="504" w:right="0" w:hanging="360"/>
            </w:pPr>
            <w:r w:rsidRPr="00817B9F">
              <w:t xml:space="preserve">Adult Inpatient </w:t>
            </w:r>
            <w:r w:rsidR="00C724EC" w:rsidRPr="00817B9F">
              <w:t>(Patient Days)</w:t>
            </w:r>
          </w:p>
        </w:tc>
        <w:tc>
          <w:tcPr>
            <w:tcW w:w="3425" w:type="dxa"/>
            <w:tcBorders>
              <w:top w:val="nil"/>
              <w:left w:val="nil"/>
              <w:bottom w:val="nil"/>
              <w:right w:val="nil"/>
            </w:tcBorders>
          </w:tcPr>
          <w:p w14:paraId="5EC90662" w14:textId="38876332" w:rsidR="003F750E" w:rsidRPr="00817B9F" w:rsidRDefault="006250A8" w:rsidP="000D3E71">
            <w:pPr>
              <w:pStyle w:val="NumberedParagraphs"/>
              <w:keepLines/>
              <w:numPr>
                <w:ilvl w:val="0"/>
                <w:numId w:val="0"/>
              </w:numPr>
              <w:ind w:right="0"/>
              <w:jc w:val="center"/>
            </w:pPr>
            <w:r w:rsidRPr="00817B9F">
              <w:t>17</w:t>
            </w:r>
            <w:r w:rsidR="003F750E" w:rsidRPr="00817B9F">
              <w:t>%</w:t>
            </w:r>
          </w:p>
        </w:tc>
      </w:tr>
      <w:tr w:rsidR="006250A8" w:rsidRPr="00817B9F" w14:paraId="4692D05A" w14:textId="77777777" w:rsidTr="00C1176A">
        <w:trPr>
          <w:cantSplit/>
          <w:trHeight w:hRule="exact" w:val="360"/>
          <w:jc w:val="center"/>
        </w:trPr>
        <w:tc>
          <w:tcPr>
            <w:tcW w:w="4495" w:type="dxa"/>
            <w:tcBorders>
              <w:top w:val="nil"/>
              <w:left w:val="nil"/>
              <w:bottom w:val="nil"/>
              <w:right w:val="nil"/>
            </w:tcBorders>
          </w:tcPr>
          <w:p w14:paraId="2C854AEF" w14:textId="606B40CB" w:rsidR="006250A8" w:rsidRPr="00817B9F" w:rsidRDefault="006250A8" w:rsidP="000D3E71">
            <w:pPr>
              <w:pStyle w:val="NumberedParagraphs"/>
              <w:keepLines/>
              <w:numPr>
                <w:ilvl w:val="0"/>
                <w:numId w:val="0"/>
              </w:numPr>
              <w:ind w:left="792" w:hanging="360"/>
            </w:pPr>
            <w:r w:rsidRPr="00817B9F">
              <w:t>Cancer</w:t>
            </w:r>
            <w:r w:rsidR="00C724EC" w:rsidRPr="00817B9F">
              <w:t xml:space="preserve"> (Patient Days)</w:t>
            </w:r>
          </w:p>
        </w:tc>
        <w:tc>
          <w:tcPr>
            <w:tcW w:w="3425" w:type="dxa"/>
            <w:tcBorders>
              <w:top w:val="nil"/>
              <w:left w:val="nil"/>
              <w:bottom w:val="nil"/>
              <w:right w:val="nil"/>
            </w:tcBorders>
          </w:tcPr>
          <w:p w14:paraId="1098877F" w14:textId="6BA428E5" w:rsidR="006250A8" w:rsidRPr="00817B9F" w:rsidRDefault="006250A8" w:rsidP="000D3E71">
            <w:pPr>
              <w:pStyle w:val="NumberedParagraphs"/>
              <w:keepLines/>
              <w:numPr>
                <w:ilvl w:val="0"/>
                <w:numId w:val="0"/>
              </w:numPr>
              <w:ind w:right="0"/>
              <w:jc w:val="center"/>
            </w:pPr>
            <w:r w:rsidRPr="00817B9F">
              <w:t>15%</w:t>
            </w:r>
          </w:p>
        </w:tc>
      </w:tr>
      <w:tr w:rsidR="006250A8" w:rsidRPr="00817B9F" w14:paraId="0A87A44F" w14:textId="77777777" w:rsidTr="00C1176A">
        <w:trPr>
          <w:cantSplit/>
          <w:trHeight w:hRule="exact" w:val="360"/>
          <w:jc w:val="center"/>
        </w:trPr>
        <w:tc>
          <w:tcPr>
            <w:tcW w:w="4495" w:type="dxa"/>
            <w:tcBorders>
              <w:top w:val="nil"/>
              <w:left w:val="nil"/>
              <w:bottom w:val="nil"/>
              <w:right w:val="nil"/>
            </w:tcBorders>
          </w:tcPr>
          <w:p w14:paraId="5006CE1D" w14:textId="71443712" w:rsidR="006250A8" w:rsidRPr="00817B9F" w:rsidRDefault="006250A8" w:rsidP="000D3E71">
            <w:pPr>
              <w:pStyle w:val="NumberedParagraphs"/>
              <w:keepLines/>
              <w:numPr>
                <w:ilvl w:val="0"/>
                <w:numId w:val="0"/>
              </w:numPr>
              <w:ind w:left="792" w:hanging="360"/>
            </w:pPr>
            <w:r w:rsidRPr="00817B9F">
              <w:t>Heart &amp; Vascular</w:t>
            </w:r>
            <w:r w:rsidR="00C724EC" w:rsidRPr="00817B9F">
              <w:t xml:space="preserve"> (Patient Days)</w:t>
            </w:r>
          </w:p>
        </w:tc>
        <w:tc>
          <w:tcPr>
            <w:tcW w:w="3425" w:type="dxa"/>
            <w:tcBorders>
              <w:top w:val="nil"/>
              <w:left w:val="nil"/>
              <w:bottom w:val="nil"/>
              <w:right w:val="nil"/>
            </w:tcBorders>
          </w:tcPr>
          <w:p w14:paraId="301E03E1" w14:textId="1418FD2C" w:rsidR="006250A8" w:rsidRPr="00817B9F" w:rsidRDefault="006250A8" w:rsidP="000D3E71">
            <w:pPr>
              <w:pStyle w:val="NumberedParagraphs"/>
              <w:keepLines/>
              <w:numPr>
                <w:ilvl w:val="0"/>
                <w:numId w:val="0"/>
              </w:numPr>
              <w:ind w:right="0"/>
              <w:jc w:val="center"/>
            </w:pPr>
            <w:r w:rsidRPr="00817B9F">
              <w:t>21%</w:t>
            </w:r>
          </w:p>
        </w:tc>
      </w:tr>
      <w:tr w:rsidR="003F750E" w:rsidRPr="00817B9F" w14:paraId="203DAFFC" w14:textId="77777777" w:rsidTr="00C1176A">
        <w:trPr>
          <w:cantSplit/>
          <w:trHeight w:hRule="exact" w:val="360"/>
          <w:jc w:val="center"/>
        </w:trPr>
        <w:tc>
          <w:tcPr>
            <w:tcW w:w="4495" w:type="dxa"/>
            <w:tcBorders>
              <w:top w:val="nil"/>
              <w:left w:val="nil"/>
              <w:bottom w:val="nil"/>
              <w:right w:val="nil"/>
            </w:tcBorders>
          </w:tcPr>
          <w:p w14:paraId="6A2C9C55" w14:textId="40AC472D" w:rsidR="003F750E" w:rsidRPr="00817B9F" w:rsidRDefault="003F750E" w:rsidP="000D3E71">
            <w:pPr>
              <w:pStyle w:val="NumberedParagraphs"/>
              <w:keepLines/>
              <w:numPr>
                <w:ilvl w:val="0"/>
                <w:numId w:val="0"/>
              </w:numPr>
              <w:ind w:left="504" w:right="0" w:hanging="360"/>
            </w:pPr>
            <w:r w:rsidRPr="00817B9F">
              <w:t xml:space="preserve">Outpatient CT </w:t>
            </w:r>
            <w:r w:rsidR="00C724EC" w:rsidRPr="00817B9F">
              <w:t>(</w:t>
            </w:r>
            <w:r w:rsidRPr="00817B9F">
              <w:t>Scans</w:t>
            </w:r>
            <w:r w:rsidR="00C724EC" w:rsidRPr="00817B9F">
              <w:t>)</w:t>
            </w:r>
          </w:p>
        </w:tc>
        <w:tc>
          <w:tcPr>
            <w:tcW w:w="3425" w:type="dxa"/>
            <w:tcBorders>
              <w:top w:val="nil"/>
              <w:left w:val="nil"/>
              <w:bottom w:val="nil"/>
              <w:right w:val="nil"/>
            </w:tcBorders>
          </w:tcPr>
          <w:p w14:paraId="4C765DB1" w14:textId="28E89741" w:rsidR="003F750E" w:rsidRPr="00817B9F" w:rsidRDefault="006250A8" w:rsidP="000D3E71">
            <w:pPr>
              <w:pStyle w:val="NumberedParagraphs"/>
              <w:keepLines/>
              <w:numPr>
                <w:ilvl w:val="0"/>
                <w:numId w:val="0"/>
              </w:numPr>
              <w:ind w:right="0"/>
              <w:jc w:val="center"/>
            </w:pPr>
            <w:r w:rsidRPr="00817B9F">
              <w:t>16</w:t>
            </w:r>
            <w:r w:rsidR="003F750E" w:rsidRPr="00817B9F">
              <w:t>%</w:t>
            </w:r>
          </w:p>
        </w:tc>
      </w:tr>
      <w:tr w:rsidR="003F750E" w:rsidRPr="00817B9F" w14:paraId="1BA79406" w14:textId="77777777" w:rsidTr="00C1176A">
        <w:trPr>
          <w:cantSplit/>
          <w:trHeight w:hRule="exact" w:val="360"/>
          <w:jc w:val="center"/>
        </w:trPr>
        <w:tc>
          <w:tcPr>
            <w:tcW w:w="4495" w:type="dxa"/>
            <w:tcBorders>
              <w:top w:val="nil"/>
              <w:left w:val="nil"/>
              <w:bottom w:val="nil"/>
              <w:right w:val="nil"/>
            </w:tcBorders>
          </w:tcPr>
          <w:p w14:paraId="79951243" w14:textId="3092B1F4" w:rsidR="003F750E" w:rsidRPr="00817B9F" w:rsidRDefault="003F750E" w:rsidP="000D3E71">
            <w:pPr>
              <w:pStyle w:val="NumberedParagraphs"/>
              <w:keepLines/>
              <w:numPr>
                <w:ilvl w:val="0"/>
                <w:numId w:val="0"/>
              </w:numPr>
              <w:ind w:left="504" w:right="0" w:hanging="360"/>
            </w:pPr>
            <w:r w:rsidRPr="00817B9F">
              <w:t xml:space="preserve">Outpatient MR </w:t>
            </w:r>
            <w:r w:rsidR="00C724EC" w:rsidRPr="00817B9F">
              <w:t>(</w:t>
            </w:r>
            <w:r w:rsidRPr="00817B9F">
              <w:t>Scans</w:t>
            </w:r>
            <w:r w:rsidR="00C724EC" w:rsidRPr="00817B9F">
              <w:t>)</w:t>
            </w:r>
          </w:p>
        </w:tc>
        <w:tc>
          <w:tcPr>
            <w:tcW w:w="3425" w:type="dxa"/>
            <w:tcBorders>
              <w:top w:val="nil"/>
              <w:left w:val="nil"/>
              <w:bottom w:val="nil"/>
              <w:right w:val="nil"/>
            </w:tcBorders>
          </w:tcPr>
          <w:p w14:paraId="66EA8BA0" w14:textId="1CEEE8CA" w:rsidR="003F750E" w:rsidRPr="00817B9F" w:rsidRDefault="006250A8" w:rsidP="000D3E71">
            <w:pPr>
              <w:pStyle w:val="NumberedParagraphs"/>
              <w:keepLines/>
              <w:numPr>
                <w:ilvl w:val="0"/>
                <w:numId w:val="0"/>
              </w:numPr>
              <w:ind w:right="0"/>
              <w:jc w:val="center"/>
            </w:pPr>
            <w:r w:rsidRPr="00817B9F">
              <w:t>10</w:t>
            </w:r>
            <w:r w:rsidR="003F750E" w:rsidRPr="00817B9F">
              <w:t>%</w:t>
            </w:r>
          </w:p>
        </w:tc>
      </w:tr>
      <w:tr w:rsidR="003F750E" w:rsidRPr="00817B9F" w14:paraId="0AFE2771" w14:textId="77777777" w:rsidTr="00C1176A">
        <w:trPr>
          <w:cantSplit/>
          <w:trHeight w:hRule="exact" w:val="360"/>
          <w:jc w:val="center"/>
        </w:trPr>
        <w:tc>
          <w:tcPr>
            <w:tcW w:w="4495" w:type="dxa"/>
            <w:tcBorders>
              <w:top w:val="nil"/>
              <w:left w:val="nil"/>
              <w:bottom w:val="nil"/>
              <w:right w:val="nil"/>
            </w:tcBorders>
          </w:tcPr>
          <w:p w14:paraId="06E67231" w14:textId="4EF3CF03" w:rsidR="003F750E" w:rsidRPr="00817B9F" w:rsidRDefault="003F750E" w:rsidP="000D3E71">
            <w:pPr>
              <w:pStyle w:val="NumberedParagraphs"/>
              <w:keepLines/>
              <w:numPr>
                <w:ilvl w:val="0"/>
                <w:numId w:val="0"/>
              </w:numPr>
              <w:ind w:left="504" w:right="0" w:hanging="360"/>
            </w:pPr>
            <w:r w:rsidRPr="00817B9F">
              <w:t xml:space="preserve">Outpatient PET/CT </w:t>
            </w:r>
            <w:r w:rsidR="00C724EC" w:rsidRPr="00817B9F">
              <w:t>(</w:t>
            </w:r>
            <w:r w:rsidRPr="00817B9F">
              <w:t>Scans</w:t>
            </w:r>
            <w:r w:rsidR="00C724EC" w:rsidRPr="00817B9F">
              <w:t>)</w:t>
            </w:r>
          </w:p>
        </w:tc>
        <w:tc>
          <w:tcPr>
            <w:tcW w:w="3425" w:type="dxa"/>
            <w:tcBorders>
              <w:top w:val="nil"/>
              <w:left w:val="nil"/>
              <w:bottom w:val="nil"/>
              <w:right w:val="nil"/>
            </w:tcBorders>
          </w:tcPr>
          <w:p w14:paraId="51B76444" w14:textId="7854ECE8" w:rsidR="003F750E" w:rsidRPr="00817B9F" w:rsidRDefault="006250A8" w:rsidP="000D3E71">
            <w:pPr>
              <w:pStyle w:val="NumberedParagraphs"/>
              <w:keepLines/>
              <w:numPr>
                <w:ilvl w:val="0"/>
                <w:numId w:val="0"/>
              </w:numPr>
              <w:ind w:left="360" w:right="0" w:hanging="360"/>
              <w:jc w:val="center"/>
            </w:pPr>
            <w:r w:rsidRPr="00817B9F">
              <w:t>17</w:t>
            </w:r>
            <w:r w:rsidR="003F750E" w:rsidRPr="00817B9F">
              <w:t>%</w:t>
            </w:r>
          </w:p>
        </w:tc>
      </w:tr>
      <w:tr w:rsidR="003F750E" w:rsidRPr="00817B9F" w14:paraId="1483C91F" w14:textId="77777777" w:rsidTr="00C1176A">
        <w:trPr>
          <w:cantSplit/>
          <w:trHeight w:hRule="exact" w:val="360"/>
          <w:jc w:val="center"/>
        </w:trPr>
        <w:tc>
          <w:tcPr>
            <w:tcW w:w="4495" w:type="dxa"/>
            <w:tcBorders>
              <w:top w:val="nil"/>
              <w:left w:val="nil"/>
              <w:bottom w:val="nil"/>
              <w:right w:val="nil"/>
            </w:tcBorders>
          </w:tcPr>
          <w:p w14:paraId="533BDFF5" w14:textId="4433D436" w:rsidR="003F750E" w:rsidRPr="00817B9F" w:rsidRDefault="003F750E" w:rsidP="000D3E71">
            <w:pPr>
              <w:pStyle w:val="NumberedParagraphs"/>
              <w:keepLines/>
              <w:numPr>
                <w:ilvl w:val="0"/>
                <w:numId w:val="0"/>
              </w:numPr>
              <w:ind w:left="504" w:right="0" w:hanging="360"/>
            </w:pPr>
            <w:r w:rsidRPr="00817B9F">
              <w:t xml:space="preserve">Outpatient Cardiovascular </w:t>
            </w:r>
            <w:r w:rsidR="00C724EC" w:rsidRPr="00817B9F">
              <w:t>(Procedures)</w:t>
            </w:r>
          </w:p>
        </w:tc>
        <w:tc>
          <w:tcPr>
            <w:tcW w:w="3425" w:type="dxa"/>
            <w:tcBorders>
              <w:top w:val="nil"/>
              <w:left w:val="nil"/>
              <w:bottom w:val="nil"/>
              <w:right w:val="nil"/>
            </w:tcBorders>
          </w:tcPr>
          <w:p w14:paraId="3B0BA5E7" w14:textId="7BBC428C" w:rsidR="003F750E" w:rsidRPr="00817B9F" w:rsidRDefault="006250A8" w:rsidP="000D3E71">
            <w:pPr>
              <w:pStyle w:val="NumberedParagraphs"/>
              <w:keepLines/>
              <w:numPr>
                <w:ilvl w:val="0"/>
                <w:numId w:val="0"/>
              </w:numPr>
              <w:ind w:left="360" w:right="0" w:hanging="360"/>
              <w:jc w:val="center"/>
            </w:pPr>
            <w:r w:rsidRPr="00817B9F">
              <w:t>21</w:t>
            </w:r>
            <w:r w:rsidR="003F750E" w:rsidRPr="00817B9F">
              <w:t>%</w:t>
            </w:r>
          </w:p>
        </w:tc>
      </w:tr>
      <w:tr w:rsidR="003F750E" w:rsidRPr="00817B9F" w14:paraId="25D4DD91" w14:textId="77777777" w:rsidTr="00C1176A">
        <w:trPr>
          <w:cantSplit/>
          <w:trHeight w:hRule="exact" w:val="360"/>
          <w:jc w:val="center"/>
        </w:trPr>
        <w:tc>
          <w:tcPr>
            <w:tcW w:w="4495" w:type="dxa"/>
            <w:tcBorders>
              <w:top w:val="nil"/>
              <w:left w:val="nil"/>
              <w:bottom w:val="single" w:sz="18" w:space="0" w:color="auto"/>
              <w:right w:val="nil"/>
            </w:tcBorders>
          </w:tcPr>
          <w:p w14:paraId="1EC75FB0" w14:textId="56A01668" w:rsidR="003F750E" w:rsidRPr="00817B9F" w:rsidRDefault="003F750E" w:rsidP="000D3E71">
            <w:pPr>
              <w:pStyle w:val="NumberedParagraphs"/>
              <w:keepLines/>
              <w:numPr>
                <w:ilvl w:val="0"/>
                <w:numId w:val="0"/>
              </w:numPr>
              <w:ind w:left="504" w:right="0" w:hanging="360"/>
            </w:pPr>
            <w:r w:rsidRPr="00817B9F">
              <w:t xml:space="preserve">Outpatient Oncology </w:t>
            </w:r>
            <w:r w:rsidR="00C724EC" w:rsidRPr="00817B9F">
              <w:t>(Visits)</w:t>
            </w:r>
          </w:p>
        </w:tc>
        <w:tc>
          <w:tcPr>
            <w:tcW w:w="3425" w:type="dxa"/>
            <w:tcBorders>
              <w:top w:val="nil"/>
              <w:left w:val="nil"/>
              <w:bottom w:val="single" w:sz="18" w:space="0" w:color="auto"/>
              <w:right w:val="nil"/>
            </w:tcBorders>
          </w:tcPr>
          <w:p w14:paraId="61AEA9F8" w14:textId="32DCA0C4" w:rsidR="003F750E" w:rsidRPr="00817B9F" w:rsidRDefault="006250A8" w:rsidP="000D3E71">
            <w:pPr>
              <w:pStyle w:val="NumberedParagraphs"/>
              <w:keepLines/>
              <w:numPr>
                <w:ilvl w:val="0"/>
                <w:numId w:val="0"/>
              </w:numPr>
              <w:ind w:left="360" w:right="0" w:hanging="360"/>
              <w:jc w:val="center"/>
            </w:pPr>
            <w:r w:rsidRPr="00817B9F">
              <w:t>18</w:t>
            </w:r>
            <w:r w:rsidR="003F750E" w:rsidRPr="00817B9F">
              <w:t>%</w:t>
            </w:r>
          </w:p>
        </w:tc>
      </w:tr>
    </w:tbl>
    <w:p w14:paraId="7CD1BE9D" w14:textId="7064057B" w:rsidR="00B678E8" w:rsidRPr="00817B9F" w:rsidRDefault="0006773E" w:rsidP="007B0CA6">
      <w:pPr>
        <w:pStyle w:val="NumberedParagraphs"/>
        <w:spacing w:before="240"/>
      </w:pPr>
      <w:r w:rsidRPr="00817B9F">
        <w:lastRenderedPageBreak/>
        <w:t>In all cases, t</w:t>
      </w:r>
      <w:r w:rsidR="00B678E8" w:rsidRPr="00817B9F">
        <w:t xml:space="preserve">hese </w:t>
      </w:r>
      <w:r w:rsidRPr="00817B9F">
        <w:t xml:space="preserve">predicted </w:t>
      </w:r>
      <w:r w:rsidR="00B678E8" w:rsidRPr="00817B9F">
        <w:t xml:space="preserve">increases are driven by the projected population growth in the service area of the hospital and the aging of that population. In particular, the number of residents in the hospital’s inpatient service area age 65 </w:t>
      </w:r>
      <w:r w:rsidR="00995008" w:rsidRPr="00817B9F">
        <w:t>and</w:t>
      </w:r>
      <w:r w:rsidR="00B678E8" w:rsidRPr="00817B9F">
        <w:t xml:space="preserve"> older—who tend to require more health care services—is projected to grow by 30 percent over the next decade.</w:t>
      </w:r>
      <w:r w:rsidR="00BD2C33" w:rsidRPr="00817B9F">
        <w:t xml:space="preserve"> </w:t>
      </w:r>
      <w:bookmarkStart w:id="146" w:name="_Hlk89848425"/>
      <w:r w:rsidR="00C724EC" w:rsidRPr="00817B9F">
        <w:t>Without expansion, t</w:t>
      </w:r>
      <w:r w:rsidR="00BD2C33" w:rsidRPr="00817B9F">
        <w:t xml:space="preserve">hese projected increases in demand for care at MGH likely exceed the hospital’s </w:t>
      </w:r>
      <w:r w:rsidR="007E6B1B" w:rsidRPr="00817B9F">
        <w:t xml:space="preserve">existing </w:t>
      </w:r>
      <w:r w:rsidR="00BD2C33" w:rsidRPr="00817B9F">
        <w:t xml:space="preserve">ability to provide care because </w:t>
      </w:r>
      <w:r w:rsidR="00E018E8" w:rsidRPr="00817B9F">
        <w:t xml:space="preserve">the hospital </w:t>
      </w:r>
      <w:r w:rsidR="00BD2C33" w:rsidRPr="00817B9F">
        <w:t xml:space="preserve">operated at or above its capacity in fiscal year 2019 (the last full fiscal year in which utilization was not affected by the COVID-19 pandemic). </w:t>
      </w:r>
      <w:bookmarkEnd w:id="146"/>
    </w:p>
    <w:p w14:paraId="251EA9B8" w14:textId="7651D06F" w:rsidR="00C1176A" w:rsidRPr="00817B9F" w:rsidRDefault="006C7BC8" w:rsidP="00195EC7">
      <w:pPr>
        <w:pStyle w:val="NumberedParagraphs"/>
      </w:pPr>
      <w:r w:rsidRPr="00817B9F">
        <w:t xml:space="preserve">The DoN program asked that we evaluate MGB’s market share for the services addressed in the DoN application and that we assess how those shares might change if MGB’s DoN application were approved. </w:t>
      </w:r>
      <w:r w:rsidR="000D3E71" w:rsidRPr="00817B9F">
        <w:t xml:space="preserve">Our calculations are summarized in </w:t>
      </w:r>
      <w:r w:rsidR="00E75F47" w:rsidRPr="00817B9F">
        <w:t>Figure MGH30</w:t>
      </w:r>
      <w:r w:rsidR="000D3E71" w:rsidRPr="00817B9F">
        <w:t xml:space="preserve"> below.</w:t>
      </w:r>
      <w:r w:rsidR="000E3EED" w:rsidRPr="00817B9F">
        <w:t xml:space="preserve"> </w:t>
      </w:r>
      <w:bookmarkStart w:id="147" w:name="_Hlk89947286"/>
      <w:r w:rsidR="000E3EED" w:rsidRPr="00817B9F">
        <w:t>As shown in the figure, in each of the service lines addressed in the DoN application, MGB’s current share in MGH’s service area is between 32 and 35 percent. The proposed project would increase MGB’s share in these service areas by 2.3 percentage points or less with the exception of outpatient PET/CT scans, where we predict that MGB’s share would increase by 6.1 percentage points</w:t>
      </w:r>
      <w:r w:rsidR="00A43951" w:rsidRPr="00817B9F">
        <w:t xml:space="preserve"> as a result of the proposed project</w:t>
      </w:r>
      <w:r w:rsidR="000E3EED" w:rsidRPr="00817B9F">
        <w:t xml:space="preserve">. </w:t>
      </w:r>
    </w:p>
    <w:bookmarkEnd w:id="147"/>
    <w:p w14:paraId="72C44E56" w14:textId="323425C7" w:rsidR="00C1176A" w:rsidRPr="00817B9F" w:rsidRDefault="00C1176A" w:rsidP="00C1176A">
      <w:pPr>
        <w:pStyle w:val="NumberedParagraphs"/>
        <w:keepNext/>
        <w:keepLines/>
        <w:numPr>
          <w:ilvl w:val="0"/>
          <w:numId w:val="0"/>
        </w:numPr>
        <w:rPr>
          <w:b/>
          <w:bCs/>
        </w:rPr>
      </w:pPr>
      <w:r w:rsidRPr="00817B9F">
        <w:rPr>
          <w:b/>
          <w:bCs/>
        </w:rPr>
        <w:t>Figure MGH30</w:t>
      </w:r>
    </w:p>
    <w:tbl>
      <w:tblPr>
        <w:tblStyle w:val="TableGrid"/>
        <w:tblW w:w="9450" w:type="dxa"/>
        <w:jc w:val="center"/>
        <w:tblLayout w:type="fixed"/>
        <w:tblLook w:val="04A0" w:firstRow="1" w:lastRow="0" w:firstColumn="1" w:lastColumn="0" w:noHBand="0" w:noVBand="1"/>
        <w:tblCaption w:val="Figure MGH30"/>
        <w:tblDescription w:val="Service Line, MGB’s Share Before Proposed Project, Change in MGB’s Share After Proposed Project&#10;  &#10;Adult Inpatient Discharges 34% 1.1%&#10;Outpatient CT Scans 35% 1.6%&#10;Outpatient MR Scans 33% 2.1%&#10;Outpatient PET/CT Scans 33% 6.1%&#10;Outpatient Cardiovascular Procs. 32% 0.3%&#10;Outpatient Oncology Visits 35% 2.3%&#10;"/>
      </w:tblPr>
      <w:tblGrid>
        <w:gridCol w:w="3780"/>
        <w:gridCol w:w="2835"/>
        <w:gridCol w:w="2835"/>
      </w:tblGrid>
      <w:tr w:rsidR="00500673" w:rsidRPr="00817B9F" w14:paraId="4A07F4A5" w14:textId="77777777" w:rsidTr="004D3848">
        <w:trPr>
          <w:cantSplit/>
          <w:trHeight w:val="565"/>
          <w:tblHeader/>
          <w:jc w:val="center"/>
        </w:trPr>
        <w:tc>
          <w:tcPr>
            <w:tcW w:w="3780" w:type="dxa"/>
            <w:tcBorders>
              <w:top w:val="single" w:sz="12" w:space="0" w:color="auto"/>
              <w:left w:val="nil"/>
              <w:bottom w:val="single" w:sz="12" w:space="0" w:color="auto"/>
              <w:right w:val="nil"/>
            </w:tcBorders>
            <w:vAlign w:val="bottom"/>
          </w:tcPr>
          <w:p w14:paraId="21768145" w14:textId="6E56777F" w:rsidR="00500673" w:rsidRPr="00817B9F" w:rsidRDefault="002202B7" w:rsidP="000D3E71">
            <w:pPr>
              <w:pStyle w:val="NumberedParagraphs"/>
              <w:keepNext/>
              <w:keepLines/>
              <w:numPr>
                <w:ilvl w:val="0"/>
                <w:numId w:val="0"/>
              </w:numPr>
              <w:rPr>
                <w:b/>
                <w:bCs/>
              </w:rPr>
            </w:pPr>
            <w:r w:rsidRPr="00817B9F">
              <w:rPr>
                <w:b/>
                <w:bCs/>
              </w:rPr>
              <w:t xml:space="preserve">  </w:t>
            </w:r>
            <w:r w:rsidR="00F311DB" w:rsidRPr="00817B9F">
              <w:rPr>
                <w:b/>
                <w:bCs/>
              </w:rPr>
              <w:t>Service Line</w:t>
            </w:r>
          </w:p>
        </w:tc>
        <w:tc>
          <w:tcPr>
            <w:tcW w:w="2835" w:type="dxa"/>
            <w:tcBorders>
              <w:top w:val="single" w:sz="12" w:space="0" w:color="auto"/>
              <w:left w:val="nil"/>
              <w:bottom w:val="single" w:sz="12" w:space="0" w:color="auto"/>
              <w:right w:val="nil"/>
            </w:tcBorders>
            <w:vAlign w:val="center"/>
          </w:tcPr>
          <w:p w14:paraId="653DF7E0" w14:textId="4B8E2708" w:rsidR="00500673" w:rsidRPr="00817B9F" w:rsidRDefault="00C20F7B" w:rsidP="000D3E71">
            <w:pPr>
              <w:pStyle w:val="NumberedParagraphs"/>
              <w:keepNext/>
              <w:keepLines/>
              <w:numPr>
                <w:ilvl w:val="0"/>
                <w:numId w:val="0"/>
              </w:numPr>
              <w:spacing w:line="240" w:lineRule="auto"/>
              <w:ind w:right="0"/>
              <w:jc w:val="center"/>
              <w:rPr>
                <w:b/>
                <w:bCs/>
              </w:rPr>
            </w:pPr>
            <w:r w:rsidRPr="00817B9F">
              <w:rPr>
                <w:b/>
                <w:bCs/>
              </w:rPr>
              <w:t xml:space="preserve">MGB’s </w:t>
            </w:r>
            <w:r w:rsidR="00AA75C2" w:rsidRPr="00817B9F">
              <w:rPr>
                <w:b/>
                <w:bCs/>
              </w:rPr>
              <w:t>Share Before</w:t>
            </w:r>
            <w:r w:rsidR="00B67FE9">
              <w:rPr>
                <w:b/>
                <w:bCs/>
              </w:rPr>
              <w:t xml:space="preserve"> </w:t>
            </w:r>
            <w:r w:rsidR="00AA75C2" w:rsidRPr="00817B9F">
              <w:rPr>
                <w:b/>
                <w:bCs/>
              </w:rPr>
              <w:t>Proposed Project</w:t>
            </w:r>
          </w:p>
        </w:tc>
        <w:tc>
          <w:tcPr>
            <w:tcW w:w="2835" w:type="dxa"/>
            <w:tcBorders>
              <w:top w:val="single" w:sz="12" w:space="0" w:color="auto"/>
              <w:left w:val="nil"/>
              <w:bottom w:val="single" w:sz="12" w:space="0" w:color="auto"/>
              <w:right w:val="nil"/>
            </w:tcBorders>
            <w:vAlign w:val="center"/>
          </w:tcPr>
          <w:p w14:paraId="155B3594" w14:textId="17FECD9E" w:rsidR="00500673" w:rsidRPr="00817B9F" w:rsidRDefault="00AA75C2" w:rsidP="000D3E71">
            <w:pPr>
              <w:pStyle w:val="NumberedParagraphs"/>
              <w:keepNext/>
              <w:keepLines/>
              <w:numPr>
                <w:ilvl w:val="0"/>
                <w:numId w:val="0"/>
              </w:numPr>
              <w:spacing w:line="240" w:lineRule="auto"/>
              <w:ind w:right="0"/>
              <w:jc w:val="center"/>
              <w:rPr>
                <w:b/>
                <w:bCs/>
              </w:rPr>
            </w:pPr>
            <w:r w:rsidRPr="00817B9F">
              <w:rPr>
                <w:b/>
                <w:bCs/>
              </w:rPr>
              <w:t xml:space="preserve">Change in </w:t>
            </w:r>
            <w:r w:rsidR="00C20F7B" w:rsidRPr="00817B9F">
              <w:rPr>
                <w:b/>
                <w:bCs/>
              </w:rPr>
              <w:t xml:space="preserve">MGB’s </w:t>
            </w:r>
            <w:r w:rsidRPr="00817B9F">
              <w:rPr>
                <w:b/>
                <w:bCs/>
              </w:rPr>
              <w:t>Share After Proposed Project</w:t>
            </w:r>
          </w:p>
        </w:tc>
      </w:tr>
      <w:tr w:rsidR="00500673" w:rsidRPr="00817B9F" w14:paraId="10066D45" w14:textId="77777777" w:rsidTr="000D3E71">
        <w:trPr>
          <w:cantSplit/>
          <w:trHeight w:hRule="exact" w:val="360"/>
          <w:jc w:val="center"/>
        </w:trPr>
        <w:tc>
          <w:tcPr>
            <w:tcW w:w="3780" w:type="dxa"/>
            <w:tcBorders>
              <w:top w:val="nil"/>
              <w:left w:val="nil"/>
              <w:bottom w:val="nil"/>
              <w:right w:val="nil"/>
            </w:tcBorders>
          </w:tcPr>
          <w:p w14:paraId="3DE2763F" w14:textId="45624721" w:rsidR="00500673" w:rsidRPr="00817B9F" w:rsidRDefault="00500673" w:rsidP="000D3E71">
            <w:pPr>
              <w:pStyle w:val="NumberedParagraphs"/>
              <w:keepNext/>
              <w:keepLines/>
              <w:numPr>
                <w:ilvl w:val="0"/>
                <w:numId w:val="0"/>
              </w:numPr>
              <w:ind w:left="504" w:right="0" w:hanging="360"/>
            </w:pPr>
            <w:r w:rsidRPr="00817B9F">
              <w:t xml:space="preserve">Adult Inpatient </w:t>
            </w:r>
            <w:r w:rsidR="00C724EC" w:rsidRPr="00817B9F">
              <w:t>Discharges</w:t>
            </w:r>
          </w:p>
        </w:tc>
        <w:tc>
          <w:tcPr>
            <w:tcW w:w="2835" w:type="dxa"/>
            <w:tcBorders>
              <w:top w:val="nil"/>
              <w:left w:val="nil"/>
              <w:bottom w:val="nil"/>
              <w:right w:val="nil"/>
            </w:tcBorders>
          </w:tcPr>
          <w:p w14:paraId="14DC45B8" w14:textId="39AFD73A" w:rsidR="00500673" w:rsidRPr="00817B9F" w:rsidRDefault="00AA75C2" w:rsidP="000D3E71">
            <w:pPr>
              <w:pStyle w:val="NumberedParagraphs"/>
              <w:keepNext/>
              <w:keepLines/>
              <w:numPr>
                <w:ilvl w:val="0"/>
                <w:numId w:val="0"/>
              </w:numPr>
              <w:ind w:right="0"/>
              <w:jc w:val="center"/>
            </w:pPr>
            <w:r w:rsidRPr="00817B9F">
              <w:t>34</w:t>
            </w:r>
            <w:r w:rsidR="00500673" w:rsidRPr="00817B9F">
              <w:t>%</w:t>
            </w:r>
          </w:p>
        </w:tc>
        <w:tc>
          <w:tcPr>
            <w:tcW w:w="2835" w:type="dxa"/>
            <w:tcBorders>
              <w:top w:val="nil"/>
              <w:left w:val="nil"/>
              <w:bottom w:val="nil"/>
              <w:right w:val="nil"/>
            </w:tcBorders>
          </w:tcPr>
          <w:p w14:paraId="616B4E67" w14:textId="10903F4F" w:rsidR="00500673" w:rsidRPr="00817B9F" w:rsidRDefault="00AA75C2" w:rsidP="000D3E71">
            <w:pPr>
              <w:pStyle w:val="NumberedParagraphs"/>
              <w:keepNext/>
              <w:keepLines/>
              <w:numPr>
                <w:ilvl w:val="0"/>
                <w:numId w:val="0"/>
              </w:numPr>
              <w:ind w:right="0"/>
              <w:jc w:val="center"/>
            </w:pPr>
            <w:r w:rsidRPr="00817B9F">
              <w:t>1.1</w:t>
            </w:r>
            <w:r w:rsidR="00500673" w:rsidRPr="00817B9F">
              <w:t>%</w:t>
            </w:r>
          </w:p>
        </w:tc>
      </w:tr>
      <w:tr w:rsidR="00500673" w:rsidRPr="00817B9F" w14:paraId="4B5992F1" w14:textId="77777777" w:rsidTr="000D3E71">
        <w:trPr>
          <w:cantSplit/>
          <w:trHeight w:hRule="exact" w:val="360"/>
          <w:jc w:val="center"/>
        </w:trPr>
        <w:tc>
          <w:tcPr>
            <w:tcW w:w="3780" w:type="dxa"/>
            <w:tcBorders>
              <w:top w:val="nil"/>
              <w:left w:val="nil"/>
              <w:bottom w:val="nil"/>
              <w:right w:val="nil"/>
            </w:tcBorders>
          </w:tcPr>
          <w:p w14:paraId="619AB838" w14:textId="4DB5A4C5" w:rsidR="00500673" w:rsidRPr="00817B9F" w:rsidRDefault="00500673" w:rsidP="000D3E71">
            <w:pPr>
              <w:pStyle w:val="NumberedParagraphs"/>
              <w:keepNext/>
              <w:keepLines/>
              <w:numPr>
                <w:ilvl w:val="0"/>
                <w:numId w:val="0"/>
              </w:numPr>
              <w:ind w:left="504" w:right="0" w:hanging="360"/>
            </w:pPr>
            <w:r w:rsidRPr="00817B9F">
              <w:t>Outpatient CT Scans</w:t>
            </w:r>
          </w:p>
        </w:tc>
        <w:tc>
          <w:tcPr>
            <w:tcW w:w="2835" w:type="dxa"/>
            <w:tcBorders>
              <w:top w:val="nil"/>
              <w:left w:val="nil"/>
              <w:bottom w:val="nil"/>
              <w:right w:val="nil"/>
            </w:tcBorders>
          </w:tcPr>
          <w:p w14:paraId="429BBDD5" w14:textId="0E7BB8B2" w:rsidR="00500673" w:rsidRPr="00817B9F" w:rsidRDefault="00AA75C2" w:rsidP="000D3E71">
            <w:pPr>
              <w:pStyle w:val="NumberedParagraphs"/>
              <w:keepNext/>
              <w:keepLines/>
              <w:numPr>
                <w:ilvl w:val="0"/>
                <w:numId w:val="0"/>
              </w:numPr>
              <w:ind w:right="0"/>
              <w:jc w:val="center"/>
            </w:pPr>
            <w:r w:rsidRPr="00817B9F">
              <w:t>35</w:t>
            </w:r>
            <w:r w:rsidR="00500673" w:rsidRPr="00817B9F">
              <w:t>%</w:t>
            </w:r>
          </w:p>
        </w:tc>
        <w:tc>
          <w:tcPr>
            <w:tcW w:w="2835" w:type="dxa"/>
            <w:tcBorders>
              <w:top w:val="nil"/>
              <w:left w:val="nil"/>
              <w:bottom w:val="nil"/>
              <w:right w:val="nil"/>
            </w:tcBorders>
          </w:tcPr>
          <w:p w14:paraId="6BCE7D47" w14:textId="2869BA89" w:rsidR="00500673" w:rsidRPr="00817B9F" w:rsidRDefault="00AA75C2" w:rsidP="000D3E71">
            <w:pPr>
              <w:pStyle w:val="NumberedParagraphs"/>
              <w:keepNext/>
              <w:keepLines/>
              <w:numPr>
                <w:ilvl w:val="0"/>
                <w:numId w:val="0"/>
              </w:numPr>
              <w:ind w:right="0"/>
              <w:jc w:val="center"/>
            </w:pPr>
            <w:r w:rsidRPr="00817B9F">
              <w:t>1.6</w:t>
            </w:r>
            <w:r w:rsidR="00500673" w:rsidRPr="00817B9F">
              <w:t>%</w:t>
            </w:r>
          </w:p>
        </w:tc>
      </w:tr>
      <w:tr w:rsidR="00500673" w:rsidRPr="00817B9F" w14:paraId="54072FF5" w14:textId="77777777" w:rsidTr="000D3E71">
        <w:trPr>
          <w:cantSplit/>
          <w:trHeight w:hRule="exact" w:val="360"/>
          <w:jc w:val="center"/>
        </w:trPr>
        <w:tc>
          <w:tcPr>
            <w:tcW w:w="3780" w:type="dxa"/>
            <w:tcBorders>
              <w:top w:val="nil"/>
              <w:left w:val="nil"/>
              <w:bottom w:val="nil"/>
              <w:right w:val="nil"/>
            </w:tcBorders>
          </w:tcPr>
          <w:p w14:paraId="4666FB65" w14:textId="121CEB0E" w:rsidR="00500673" w:rsidRPr="00817B9F" w:rsidRDefault="00500673" w:rsidP="000D3E71">
            <w:pPr>
              <w:pStyle w:val="NumberedParagraphs"/>
              <w:keepNext/>
              <w:keepLines/>
              <w:numPr>
                <w:ilvl w:val="0"/>
                <w:numId w:val="0"/>
              </w:numPr>
              <w:ind w:left="504" w:right="0" w:hanging="360"/>
            </w:pPr>
            <w:r w:rsidRPr="00817B9F">
              <w:t>Outpatient MR Scans</w:t>
            </w:r>
          </w:p>
        </w:tc>
        <w:tc>
          <w:tcPr>
            <w:tcW w:w="2835" w:type="dxa"/>
            <w:tcBorders>
              <w:top w:val="nil"/>
              <w:left w:val="nil"/>
              <w:bottom w:val="nil"/>
              <w:right w:val="nil"/>
            </w:tcBorders>
          </w:tcPr>
          <w:p w14:paraId="30566123" w14:textId="4B048290" w:rsidR="00500673" w:rsidRPr="00817B9F" w:rsidRDefault="00AA75C2" w:rsidP="000D3E71">
            <w:pPr>
              <w:pStyle w:val="NumberedParagraphs"/>
              <w:keepNext/>
              <w:keepLines/>
              <w:numPr>
                <w:ilvl w:val="0"/>
                <w:numId w:val="0"/>
              </w:numPr>
              <w:ind w:right="0"/>
              <w:jc w:val="center"/>
            </w:pPr>
            <w:r w:rsidRPr="00817B9F">
              <w:t>33</w:t>
            </w:r>
            <w:r w:rsidR="00500673" w:rsidRPr="00817B9F">
              <w:t>%</w:t>
            </w:r>
          </w:p>
        </w:tc>
        <w:tc>
          <w:tcPr>
            <w:tcW w:w="2835" w:type="dxa"/>
            <w:tcBorders>
              <w:top w:val="nil"/>
              <w:left w:val="nil"/>
              <w:bottom w:val="nil"/>
              <w:right w:val="nil"/>
            </w:tcBorders>
          </w:tcPr>
          <w:p w14:paraId="7CD95267" w14:textId="73E25776" w:rsidR="00500673" w:rsidRPr="00817B9F" w:rsidRDefault="00AA75C2" w:rsidP="000D3E71">
            <w:pPr>
              <w:pStyle w:val="NumberedParagraphs"/>
              <w:keepNext/>
              <w:keepLines/>
              <w:numPr>
                <w:ilvl w:val="0"/>
                <w:numId w:val="0"/>
              </w:numPr>
              <w:ind w:right="0"/>
              <w:jc w:val="center"/>
            </w:pPr>
            <w:r w:rsidRPr="00817B9F">
              <w:t>2.1</w:t>
            </w:r>
            <w:r w:rsidR="00500673" w:rsidRPr="00817B9F">
              <w:t>%</w:t>
            </w:r>
          </w:p>
        </w:tc>
      </w:tr>
      <w:tr w:rsidR="00500673" w:rsidRPr="00817B9F" w14:paraId="2396876F" w14:textId="77777777" w:rsidTr="000D3E71">
        <w:trPr>
          <w:cantSplit/>
          <w:trHeight w:hRule="exact" w:val="360"/>
          <w:jc w:val="center"/>
        </w:trPr>
        <w:tc>
          <w:tcPr>
            <w:tcW w:w="3780" w:type="dxa"/>
            <w:tcBorders>
              <w:top w:val="nil"/>
              <w:left w:val="nil"/>
              <w:bottom w:val="nil"/>
              <w:right w:val="nil"/>
            </w:tcBorders>
          </w:tcPr>
          <w:p w14:paraId="7D919F3D" w14:textId="1D0A347C" w:rsidR="00500673" w:rsidRPr="00817B9F" w:rsidRDefault="00500673" w:rsidP="000D3E71">
            <w:pPr>
              <w:pStyle w:val="NumberedParagraphs"/>
              <w:keepNext/>
              <w:keepLines/>
              <w:numPr>
                <w:ilvl w:val="0"/>
                <w:numId w:val="0"/>
              </w:numPr>
              <w:ind w:left="504" w:right="0" w:hanging="360"/>
            </w:pPr>
            <w:r w:rsidRPr="00817B9F">
              <w:t>Outpatient PET/CT Scans</w:t>
            </w:r>
          </w:p>
        </w:tc>
        <w:tc>
          <w:tcPr>
            <w:tcW w:w="2835" w:type="dxa"/>
            <w:tcBorders>
              <w:top w:val="nil"/>
              <w:left w:val="nil"/>
              <w:bottom w:val="nil"/>
              <w:right w:val="nil"/>
            </w:tcBorders>
          </w:tcPr>
          <w:p w14:paraId="7498BF27" w14:textId="5C2B3BD1" w:rsidR="00500673" w:rsidRPr="00817B9F" w:rsidRDefault="00AA75C2" w:rsidP="000D3E71">
            <w:pPr>
              <w:pStyle w:val="NumberedParagraphs"/>
              <w:keepNext/>
              <w:keepLines/>
              <w:numPr>
                <w:ilvl w:val="0"/>
                <w:numId w:val="0"/>
              </w:numPr>
              <w:ind w:left="360" w:right="0" w:hanging="360"/>
              <w:jc w:val="center"/>
            </w:pPr>
            <w:r w:rsidRPr="00817B9F">
              <w:t>33</w:t>
            </w:r>
            <w:r w:rsidR="00500673" w:rsidRPr="00817B9F">
              <w:t>%</w:t>
            </w:r>
          </w:p>
        </w:tc>
        <w:tc>
          <w:tcPr>
            <w:tcW w:w="2835" w:type="dxa"/>
            <w:tcBorders>
              <w:top w:val="nil"/>
              <w:left w:val="nil"/>
              <w:bottom w:val="nil"/>
              <w:right w:val="nil"/>
            </w:tcBorders>
          </w:tcPr>
          <w:p w14:paraId="22EA2D83" w14:textId="6ED79616" w:rsidR="00500673" w:rsidRPr="00817B9F" w:rsidRDefault="00AA75C2" w:rsidP="000D3E71">
            <w:pPr>
              <w:pStyle w:val="NumberedParagraphs"/>
              <w:keepNext/>
              <w:keepLines/>
              <w:numPr>
                <w:ilvl w:val="0"/>
                <w:numId w:val="0"/>
              </w:numPr>
              <w:ind w:left="360" w:right="0" w:hanging="360"/>
              <w:jc w:val="center"/>
            </w:pPr>
            <w:r w:rsidRPr="00817B9F">
              <w:t>6.1</w:t>
            </w:r>
            <w:r w:rsidR="00500673" w:rsidRPr="00817B9F">
              <w:t>%</w:t>
            </w:r>
          </w:p>
        </w:tc>
      </w:tr>
      <w:tr w:rsidR="00500673" w:rsidRPr="00817B9F" w14:paraId="25768C6C" w14:textId="77777777" w:rsidTr="00CA431A">
        <w:trPr>
          <w:cantSplit/>
          <w:trHeight w:hRule="exact" w:val="360"/>
          <w:jc w:val="center"/>
        </w:trPr>
        <w:tc>
          <w:tcPr>
            <w:tcW w:w="3780" w:type="dxa"/>
            <w:tcBorders>
              <w:top w:val="nil"/>
              <w:left w:val="nil"/>
              <w:bottom w:val="nil"/>
              <w:right w:val="nil"/>
            </w:tcBorders>
          </w:tcPr>
          <w:p w14:paraId="60D67AB9" w14:textId="62FD9BE8" w:rsidR="00500673" w:rsidRPr="00817B9F" w:rsidRDefault="00500673" w:rsidP="000D3E71">
            <w:pPr>
              <w:pStyle w:val="NumberedParagraphs"/>
              <w:keepNext/>
              <w:keepLines/>
              <w:numPr>
                <w:ilvl w:val="0"/>
                <w:numId w:val="0"/>
              </w:numPr>
              <w:ind w:left="504" w:right="0" w:hanging="360"/>
            </w:pPr>
            <w:r w:rsidRPr="00817B9F">
              <w:t xml:space="preserve">Outpatient Cardiovascular </w:t>
            </w:r>
            <w:r w:rsidR="00C724EC" w:rsidRPr="00817B9F">
              <w:t>Procs.</w:t>
            </w:r>
          </w:p>
        </w:tc>
        <w:tc>
          <w:tcPr>
            <w:tcW w:w="2835" w:type="dxa"/>
            <w:tcBorders>
              <w:top w:val="nil"/>
              <w:left w:val="nil"/>
              <w:bottom w:val="nil"/>
              <w:right w:val="nil"/>
            </w:tcBorders>
          </w:tcPr>
          <w:p w14:paraId="68BC0500" w14:textId="74413CFA" w:rsidR="00500673" w:rsidRPr="00817B9F" w:rsidRDefault="00AA75C2" w:rsidP="000D3E71">
            <w:pPr>
              <w:pStyle w:val="NumberedParagraphs"/>
              <w:keepNext/>
              <w:keepLines/>
              <w:numPr>
                <w:ilvl w:val="0"/>
                <w:numId w:val="0"/>
              </w:numPr>
              <w:ind w:left="360" w:right="0" w:hanging="360"/>
              <w:jc w:val="center"/>
            </w:pPr>
            <w:r w:rsidRPr="00817B9F">
              <w:t>32</w:t>
            </w:r>
            <w:r w:rsidR="00500673" w:rsidRPr="00817B9F">
              <w:t>%</w:t>
            </w:r>
          </w:p>
        </w:tc>
        <w:tc>
          <w:tcPr>
            <w:tcW w:w="2835" w:type="dxa"/>
            <w:tcBorders>
              <w:top w:val="nil"/>
              <w:left w:val="nil"/>
              <w:bottom w:val="nil"/>
              <w:right w:val="nil"/>
            </w:tcBorders>
          </w:tcPr>
          <w:p w14:paraId="1018ADC4" w14:textId="630412B0" w:rsidR="00500673" w:rsidRPr="00817B9F" w:rsidRDefault="00AA75C2" w:rsidP="000D3E71">
            <w:pPr>
              <w:pStyle w:val="NumberedParagraphs"/>
              <w:keepNext/>
              <w:keepLines/>
              <w:numPr>
                <w:ilvl w:val="0"/>
                <w:numId w:val="0"/>
              </w:numPr>
              <w:ind w:left="360" w:right="0" w:hanging="360"/>
              <w:jc w:val="center"/>
            </w:pPr>
            <w:r w:rsidRPr="00817B9F">
              <w:t>0.3</w:t>
            </w:r>
            <w:r w:rsidR="00500673" w:rsidRPr="00817B9F">
              <w:t>%</w:t>
            </w:r>
          </w:p>
        </w:tc>
      </w:tr>
      <w:tr w:rsidR="00500673" w:rsidRPr="00817B9F" w14:paraId="01999FC2" w14:textId="77777777" w:rsidTr="00CA431A">
        <w:trPr>
          <w:cantSplit/>
          <w:trHeight w:hRule="exact" w:val="360"/>
          <w:jc w:val="center"/>
        </w:trPr>
        <w:tc>
          <w:tcPr>
            <w:tcW w:w="3780" w:type="dxa"/>
            <w:tcBorders>
              <w:top w:val="nil"/>
              <w:left w:val="nil"/>
              <w:bottom w:val="single" w:sz="18" w:space="0" w:color="auto"/>
              <w:right w:val="nil"/>
            </w:tcBorders>
          </w:tcPr>
          <w:p w14:paraId="4FF5C1B5" w14:textId="10462920" w:rsidR="00500673" w:rsidRPr="00817B9F" w:rsidRDefault="00500673" w:rsidP="000D3E71">
            <w:pPr>
              <w:pStyle w:val="NumberedParagraphs"/>
              <w:keepNext/>
              <w:keepLines/>
              <w:numPr>
                <w:ilvl w:val="0"/>
                <w:numId w:val="0"/>
              </w:numPr>
              <w:ind w:left="504" w:right="0" w:hanging="360"/>
            </w:pPr>
            <w:r w:rsidRPr="00817B9F">
              <w:t xml:space="preserve">Outpatient Oncology </w:t>
            </w:r>
            <w:r w:rsidR="00B01EC9" w:rsidRPr="00817B9F">
              <w:t>Visits</w:t>
            </w:r>
          </w:p>
        </w:tc>
        <w:tc>
          <w:tcPr>
            <w:tcW w:w="2835" w:type="dxa"/>
            <w:tcBorders>
              <w:top w:val="nil"/>
              <w:left w:val="nil"/>
              <w:bottom w:val="single" w:sz="18" w:space="0" w:color="auto"/>
              <w:right w:val="nil"/>
            </w:tcBorders>
          </w:tcPr>
          <w:p w14:paraId="1E5E3367" w14:textId="48649F95" w:rsidR="00500673" w:rsidRPr="00817B9F" w:rsidRDefault="00AA75C2" w:rsidP="000D3E71">
            <w:pPr>
              <w:pStyle w:val="NumberedParagraphs"/>
              <w:keepNext/>
              <w:keepLines/>
              <w:numPr>
                <w:ilvl w:val="0"/>
                <w:numId w:val="0"/>
              </w:numPr>
              <w:ind w:left="360" w:right="0" w:hanging="360"/>
              <w:jc w:val="center"/>
            </w:pPr>
            <w:r w:rsidRPr="00817B9F">
              <w:t>35</w:t>
            </w:r>
            <w:r w:rsidR="00500673" w:rsidRPr="00817B9F">
              <w:t>%</w:t>
            </w:r>
          </w:p>
        </w:tc>
        <w:tc>
          <w:tcPr>
            <w:tcW w:w="2835" w:type="dxa"/>
            <w:tcBorders>
              <w:top w:val="nil"/>
              <w:left w:val="nil"/>
              <w:bottom w:val="single" w:sz="18" w:space="0" w:color="auto"/>
              <w:right w:val="nil"/>
            </w:tcBorders>
          </w:tcPr>
          <w:p w14:paraId="1EE6AD45" w14:textId="71863917" w:rsidR="00500673" w:rsidRPr="00817B9F" w:rsidRDefault="00AA75C2" w:rsidP="000D3E71">
            <w:pPr>
              <w:pStyle w:val="NumberedParagraphs"/>
              <w:keepNext/>
              <w:keepLines/>
              <w:numPr>
                <w:ilvl w:val="0"/>
                <w:numId w:val="0"/>
              </w:numPr>
              <w:ind w:left="360" w:right="0" w:hanging="360"/>
              <w:jc w:val="center"/>
            </w:pPr>
            <w:r w:rsidRPr="00817B9F">
              <w:t>2.3</w:t>
            </w:r>
            <w:r w:rsidR="00500673" w:rsidRPr="00817B9F">
              <w:t>%</w:t>
            </w:r>
          </w:p>
        </w:tc>
      </w:tr>
    </w:tbl>
    <w:p w14:paraId="488BC023" w14:textId="77777777" w:rsidR="000D3E71" w:rsidRPr="00817B9F" w:rsidRDefault="000D3E71" w:rsidP="000D3E71">
      <w:pPr>
        <w:pStyle w:val="NumberedParagraphs"/>
        <w:numPr>
          <w:ilvl w:val="0"/>
          <w:numId w:val="0"/>
        </w:numPr>
        <w:spacing w:after="0" w:line="240" w:lineRule="auto"/>
      </w:pPr>
    </w:p>
    <w:p w14:paraId="158A861F" w14:textId="57CB8224" w:rsidR="00B678E8" w:rsidRPr="00817B9F" w:rsidRDefault="00A43951" w:rsidP="006C7BC8">
      <w:pPr>
        <w:pStyle w:val="NumberedParagraphs"/>
      </w:pPr>
      <w:r w:rsidRPr="00817B9F">
        <w:t>Accordingly, w</w:t>
      </w:r>
      <w:r w:rsidR="00141099" w:rsidRPr="00817B9F">
        <w:t>e conclude that t</w:t>
      </w:r>
      <w:r w:rsidR="00B678E8" w:rsidRPr="00817B9F">
        <w:t>he predicted changes in</w:t>
      </w:r>
      <w:r w:rsidR="006C7BC8" w:rsidRPr="00817B9F">
        <w:t xml:space="preserve"> MGB’</w:t>
      </w:r>
      <w:r w:rsidR="00B678E8" w:rsidRPr="00817B9F">
        <w:t>s shares</w:t>
      </w:r>
      <w:r w:rsidR="006C7BC8" w:rsidRPr="00817B9F">
        <w:t xml:space="preserve"> and the corresponding changes in concentration </w:t>
      </w:r>
      <w:r w:rsidR="00B678E8" w:rsidRPr="00817B9F">
        <w:t>associated with the proposed project are modest and unlikely to meaningfully change the system’s bargaining leverage with health insurers. Rather, the weight of the economics literature suggests that allowing health care providers</w:t>
      </w:r>
      <w:r w:rsidR="00141099" w:rsidRPr="00817B9F">
        <w:t>—especially health care providers that are constrained in terms of capacity—</w:t>
      </w:r>
      <w:r w:rsidR="00B678E8" w:rsidRPr="00817B9F">
        <w:t xml:space="preserve">to expand </w:t>
      </w:r>
      <w:r w:rsidR="00141099" w:rsidRPr="00817B9F">
        <w:t>puts downward pressure on</w:t>
      </w:r>
      <w:r w:rsidR="00B678E8" w:rsidRPr="00817B9F">
        <w:t xml:space="preserve"> health care prices and reduces expenditures on health care services. </w:t>
      </w:r>
    </w:p>
    <w:p w14:paraId="0A127AF1" w14:textId="6B2FD654" w:rsidR="005B46DF" w:rsidRPr="00817B9F" w:rsidRDefault="00141099" w:rsidP="005B46DF">
      <w:pPr>
        <w:pStyle w:val="NumberedParagraphs"/>
      </w:pPr>
      <w:r w:rsidRPr="00817B9F">
        <w:lastRenderedPageBreak/>
        <w:t xml:space="preserve">The DoN program asked that we evaluate how the proposed project might change utilization of relatively higher- and lower-priced health care providers, and to assess the effect of any changes in utilization on health care expenditures in Massachusetts. We present our estimates of the effect of the proposed project on health care expenditures </w:t>
      </w:r>
      <w:r w:rsidR="0030641A" w:rsidRPr="00817B9F">
        <w:t>using two approaches</w:t>
      </w:r>
      <w:r w:rsidRPr="00817B9F">
        <w:t>. First, we measure the impact of the proposed project on the cost of health care services for only those patients who would switch to receiving care at MGH after the hospital’s proposed expansion. Second, we measure the impact of the proposed project on the cost of health care services for</w:t>
      </w:r>
      <w:r w:rsidR="00F05E89" w:rsidRPr="00817B9F">
        <w:t xml:space="preserve"> all </w:t>
      </w:r>
      <w:r w:rsidRPr="00817B9F">
        <w:t xml:space="preserve">patients who received the </w:t>
      </w:r>
      <w:r w:rsidR="00F05E89" w:rsidRPr="00817B9F">
        <w:t>relevant service (</w:t>
      </w:r>
      <w:r w:rsidR="00F05E89" w:rsidRPr="00817B9F">
        <w:rPr>
          <w:i/>
          <w:iCs/>
        </w:rPr>
        <w:t>i.e.</w:t>
      </w:r>
      <w:r w:rsidR="00F05E89" w:rsidRPr="00817B9F">
        <w:t xml:space="preserve">, including both the patients who would switch to MGH and the patients </w:t>
      </w:r>
      <w:r w:rsidR="0030641A" w:rsidRPr="00817B9F">
        <w:t>who would not change their health care provider</w:t>
      </w:r>
      <w:r w:rsidR="00F05E89" w:rsidRPr="00817B9F">
        <w:t>).</w:t>
      </w:r>
      <w:bookmarkStart w:id="148" w:name="_Hlk89864542"/>
      <w:r w:rsidR="00F05E89" w:rsidRPr="00817B9F">
        <w:t xml:space="preserve"> </w:t>
      </w:r>
      <w:r w:rsidR="007F0384" w:rsidRPr="00817B9F">
        <w:t>The second approach produces substantially smaller estimates of the cost impact of the proposed project because the choices of most patients would be unaffected by MGH’s expansion</w:t>
      </w:r>
      <w:bookmarkEnd w:id="148"/>
      <w:r w:rsidR="007F0384" w:rsidRPr="00817B9F">
        <w:t xml:space="preserve">. </w:t>
      </w:r>
      <w:r w:rsidR="00F05E89" w:rsidRPr="00817B9F">
        <w:t xml:space="preserve">We provide these estimates separately for each service line addressed in the DoN application and </w:t>
      </w:r>
      <w:r w:rsidR="0030641A" w:rsidRPr="00817B9F">
        <w:t xml:space="preserve">also </w:t>
      </w:r>
      <w:r w:rsidR="00F05E89" w:rsidRPr="00817B9F">
        <w:t>combined across all service lines.</w:t>
      </w:r>
      <w:r w:rsidR="00544EDF" w:rsidRPr="00817B9F">
        <w:rPr>
          <w:rStyle w:val="FootnoteReference"/>
        </w:rPr>
        <w:footnoteReference w:id="259"/>
      </w:r>
      <w:r w:rsidR="00F05E89" w:rsidRPr="00817B9F">
        <w:t xml:space="preserve"> </w:t>
      </w:r>
      <w:r w:rsidR="005B46DF" w:rsidRPr="00817B9F">
        <w:t>In all cases, o</w:t>
      </w:r>
      <w:r w:rsidR="0030641A" w:rsidRPr="00817B9F">
        <w:t>ur estimates of the cost impact of the proposed project are based on current price differences between health care providers in Massachusetts</w:t>
      </w:r>
      <w:r w:rsidR="00422FB8" w:rsidRPr="00817B9F">
        <w:t xml:space="preserve"> and do not account for any downward pressure on prices that might result from MGB’s proposed expansion.</w:t>
      </w:r>
      <w:r w:rsidR="0030641A" w:rsidRPr="00817B9F">
        <w:t xml:space="preserve"> </w:t>
      </w:r>
    </w:p>
    <w:p w14:paraId="6B3D7C65" w14:textId="0929BE13" w:rsidR="00AA75C2" w:rsidRPr="00817B9F" w:rsidRDefault="005B46DF" w:rsidP="005B46DF">
      <w:pPr>
        <w:pStyle w:val="NumberedParagraphs"/>
      </w:pPr>
      <w:r w:rsidRPr="00817B9F">
        <w:t xml:space="preserve">Our estimates of the cost impact of the proposed project are summarized in </w:t>
      </w:r>
      <w:r w:rsidR="00E75F47" w:rsidRPr="00817B9F">
        <w:t>Figure MGH31</w:t>
      </w:r>
      <w:r w:rsidRPr="00817B9F">
        <w:t xml:space="preserve"> below. Estimates using our first approach that measure</w:t>
      </w:r>
      <w:r w:rsidR="000D77D6" w:rsidRPr="00817B9F">
        <w:t>s</w:t>
      </w:r>
      <w:r w:rsidRPr="00817B9F">
        <w:t xml:space="preserve"> the increase in expenditures for patients who would switch to MGH is shown in the left column; estimates using our second approach that measures the increase in expenditures across all patients is shown in the right column. </w:t>
      </w:r>
      <w:r w:rsidR="000E3EED" w:rsidRPr="00817B9F">
        <w:t>As shown in the figure, for each patient who switches to MGH, the change in expenditures ranges between seven percent (outpatient CT scans) and 38 percent (inpatient cancer services</w:t>
      </w:r>
      <w:r w:rsidR="00F874FE" w:rsidRPr="00817B9F">
        <w:t>), with the weighted average change a</w:t>
      </w:r>
      <w:r w:rsidR="000E3EED" w:rsidRPr="00817B9F">
        <w:t>cross all service lines</w:t>
      </w:r>
      <w:r w:rsidR="00F874FE" w:rsidRPr="00817B9F">
        <w:t xml:space="preserve"> being </w:t>
      </w:r>
      <w:r w:rsidR="00BD588D" w:rsidRPr="00817B9F">
        <w:t>18 percent</w:t>
      </w:r>
      <w:r w:rsidR="00F874FE" w:rsidRPr="00817B9F">
        <w:t>.</w:t>
      </w:r>
      <w:r w:rsidR="000E3EED" w:rsidRPr="00817B9F">
        <w:t xml:space="preserve"> Across all patients, the changes in expenditures range between 0.0 percent (outpatient cardiovascular services) and </w:t>
      </w:r>
      <w:r w:rsidR="00F874FE" w:rsidRPr="00817B9F">
        <w:t>1.</w:t>
      </w:r>
      <w:r w:rsidR="00C724EC" w:rsidRPr="00817B9F">
        <w:t>1</w:t>
      </w:r>
      <w:r w:rsidR="00F874FE" w:rsidRPr="00817B9F">
        <w:t xml:space="preserve"> percent (</w:t>
      </w:r>
      <w:r w:rsidR="00C724EC" w:rsidRPr="00817B9F">
        <w:t>outpatient PET/CT scans</w:t>
      </w:r>
      <w:r w:rsidR="00F874FE" w:rsidRPr="00817B9F">
        <w:t xml:space="preserve">), with the weighted average change across all service lines being </w:t>
      </w:r>
      <w:r w:rsidR="00BD588D" w:rsidRPr="00817B9F">
        <w:t>0.</w:t>
      </w:r>
      <w:r w:rsidR="00B01EC9" w:rsidRPr="00817B9F">
        <w:t>2</w:t>
      </w:r>
      <w:r w:rsidR="00BD588D" w:rsidRPr="00817B9F">
        <w:t xml:space="preserve"> percent</w:t>
      </w:r>
      <w:r w:rsidR="00F874FE" w:rsidRPr="00817B9F">
        <w:t xml:space="preserve">. </w:t>
      </w:r>
    </w:p>
    <w:p w14:paraId="4927AFEF" w14:textId="566A8BDC" w:rsidR="00C1176A" w:rsidRPr="00817B9F" w:rsidRDefault="00C1176A" w:rsidP="00F2226E">
      <w:pPr>
        <w:pStyle w:val="NumberedParagraphs"/>
        <w:keepNext/>
        <w:keepLines/>
        <w:numPr>
          <w:ilvl w:val="0"/>
          <w:numId w:val="0"/>
        </w:numPr>
        <w:spacing w:after="0" w:line="240" w:lineRule="auto"/>
        <w:rPr>
          <w:b/>
          <w:bCs/>
        </w:rPr>
      </w:pPr>
      <w:r w:rsidRPr="00817B9F">
        <w:rPr>
          <w:b/>
          <w:bCs/>
        </w:rPr>
        <w:lastRenderedPageBreak/>
        <w:t>Figure MGH31</w:t>
      </w:r>
    </w:p>
    <w:tbl>
      <w:tblPr>
        <w:tblStyle w:val="TableGrid"/>
        <w:tblpPr w:leftFromText="180" w:rightFromText="180" w:vertAnchor="text" w:horzAnchor="margin" w:tblpY="204"/>
        <w:tblW w:w="9450" w:type="dxa"/>
        <w:tblLayout w:type="fixed"/>
        <w:tblLook w:val="04A0" w:firstRow="1" w:lastRow="0" w:firstColumn="1" w:lastColumn="0" w:noHBand="0" w:noVBand="1"/>
        <w:tblCaption w:val="Figure MGH31"/>
        <w:tblDescription w:val="Service Line, Change in Spending Per Switch to MGH, Change in Spending Across All Patients&#10;  &#10;Adult Inpatient Services 14% 0.1%&#10;Cancer 38% 1.0%&#10;Heart &amp; Vascular 19% 0.4%&#10;Outpatient CT Scans   7% 0.1%&#10;Outpatient MR Scans 15% 0.2%&#10;Outpatient PET/CT Scans 18% 1.1%&#10;Outpatient Cardiovascular Procs.    8% 0.0%&#10;Outpatient Oncology Visits 22% 0.5%&#10;Across All Service Lines 18% 0.2%&#10;"/>
      </w:tblPr>
      <w:tblGrid>
        <w:gridCol w:w="3780"/>
        <w:gridCol w:w="2835"/>
        <w:gridCol w:w="2835"/>
      </w:tblGrid>
      <w:tr w:rsidR="00AA75C2" w:rsidRPr="00817B9F" w14:paraId="324F9F16" w14:textId="77777777" w:rsidTr="004D3848">
        <w:trPr>
          <w:cantSplit/>
          <w:trHeight w:val="565"/>
          <w:tblHeader/>
        </w:trPr>
        <w:tc>
          <w:tcPr>
            <w:tcW w:w="3780" w:type="dxa"/>
            <w:tcBorders>
              <w:top w:val="single" w:sz="12" w:space="0" w:color="auto"/>
              <w:left w:val="nil"/>
              <w:bottom w:val="single" w:sz="12" w:space="0" w:color="auto"/>
              <w:right w:val="nil"/>
            </w:tcBorders>
            <w:vAlign w:val="bottom"/>
          </w:tcPr>
          <w:p w14:paraId="30DA2F45" w14:textId="75D3C78F" w:rsidR="00AA75C2" w:rsidRPr="00817B9F" w:rsidRDefault="002202B7" w:rsidP="00F2226E">
            <w:pPr>
              <w:pStyle w:val="NumberedParagraphs"/>
              <w:keepLines/>
              <w:numPr>
                <w:ilvl w:val="0"/>
                <w:numId w:val="0"/>
              </w:numPr>
              <w:rPr>
                <w:b/>
                <w:bCs/>
              </w:rPr>
            </w:pPr>
            <w:r w:rsidRPr="00817B9F">
              <w:rPr>
                <w:b/>
                <w:bCs/>
              </w:rPr>
              <w:t xml:space="preserve">  </w:t>
            </w:r>
            <w:r w:rsidR="00F311DB" w:rsidRPr="00817B9F">
              <w:rPr>
                <w:b/>
                <w:bCs/>
              </w:rPr>
              <w:t>Service Line</w:t>
            </w:r>
          </w:p>
        </w:tc>
        <w:tc>
          <w:tcPr>
            <w:tcW w:w="2835" w:type="dxa"/>
            <w:tcBorders>
              <w:top w:val="single" w:sz="12" w:space="0" w:color="auto"/>
              <w:left w:val="nil"/>
              <w:bottom w:val="single" w:sz="12" w:space="0" w:color="auto"/>
              <w:right w:val="nil"/>
            </w:tcBorders>
            <w:vAlign w:val="center"/>
          </w:tcPr>
          <w:p w14:paraId="3D543838" w14:textId="17CC9AAB" w:rsidR="00AA75C2" w:rsidRPr="00817B9F" w:rsidRDefault="000F7156" w:rsidP="00B67FE9">
            <w:pPr>
              <w:pStyle w:val="NumberedParagraphs"/>
              <w:keepLines/>
              <w:numPr>
                <w:ilvl w:val="0"/>
                <w:numId w:val="0"/>
              </w:numPr>
              <w:spacing w:line="240" w:lineRule="auto"/>
              <w:ind w:right="0"/>
              <w:jc w:val="center"/>
              <w:rPr>
                <w:b/>
                <w:bCs/>
              </w:rPr>
            </w:pPr>
            <w:r w:rsidRPr="00817B9F">
              <w:rPr>
                <w:b/>
                <w:bCs/>
              </w:rPr>
              <w:t>Change in Spending</w:t>
            </w:r>
            <w:r w:rsidR="00B67FE9">
              <w:rPr>
                <w:b/>
                <w:bCs/>
              </w:rPr>
              <w:t xml:space="preserve"> </w:t>
            </w:r>
            <w:r w:rsidR="00AA75C2" w:rsidRPr="00817B9F">
              <w:rPr>
                <w:b/>
                <w:bCs/>
              </w:rPr>
              <w:t>Per Switch to MGH</w:t>
            </w:r>
          </w:p>
        </w:tc>
        <w:tc>
          <w:tcPr>
            <w:tcW w:w="2835" w:type="dxa"/>
            <w:tcBorders>
              <w:top w:val="single" w:sz="12" w:space="0" w:color="auto"/>
              <w:left w:val="nil"/>
              <w:bottom w:val="single" w:sz="12" w:space="0" w:color="auto"/>
              <w:right w:val="nil"/>
            </w:tcBorders>
            <w:shd w:val="clear" w:color="auto" w:fill="EEECE1" w:themeFill="background2"/>
            <w:vAlign w:val="center"/>
          </w:tcPr>
          <w:p w14:paraId="62FD8120" w14:textId="1D755D53" w:rsidR="00AA75C2" w:rsidRPr="00817B9F" w:rsidRDefault="000F7156" w:rsidP="00F2226E">
            <w:pPr>
              <w:pStyle w:val="NumberedParagraphs"/>
              <w:keepLines/>
              <w:numPr>
                <w:ilvl w:val="0"/>
                <w:numId w:val="0"/>
              </w:numPr>
              <w:spacing w:line="240" w:lineRule="auto"/>
              <w:ind w:right="0"/>
              <w:jc w:val="center"/>
              <w:rPr>
                <w:b/>
                <w:bCs/>
              </w:rPr>
            </w:pPr>
            <w:r w:rsidRPr="00817B9F">
              <w:rPr>
                <w:b/>
                <w:bCs/>
              </w:rPr>
              <w:t>Change in Spending</w:t>
            </w:r>
            <w:r w:rsidR="00B67FE9">
              <w:rPr>
                <w:b/>
                <w:bCs/>
              </w:rPr>
              <w:t xml:space="preserve"> </w:t>
            </w:r>
            <w:r w:rsidR="00AA75C2" w:rsidRPr="00817B9F">
              <w:rPr>
                <w:b/>
                <w:bCs/>
              </w:rPr>
              <w:t xml:space="preserve">Across All </w:t>
            </w:r>
            <w:r w:rsidR="005B46DF" w:rsidRPr="00817B9F">
              <w:rPr>
                <w:b/>
                <w:bCs/>
              </w:rPr>
              <w:t>Patients</w:t>
            </w:r>
          </w:p>
        </w:tc>
      </w:tr>
      <w:tr w:rsidR="00AA75C2" w:rsidRPr="00817B9F" w14:paraId="4A6A7050" w14:textId="77777777" w:rsidTr="00613B35">
        <w:trPr>
          <w:cantSplit/>
          <w:trHeight w:hRule="exact" w:val="360"/>
        </w:trPr>
        <w:tc>
          <w:tcPr>
            <w:tcW w:w="3780" w:type="dxa"/>
            <w:tcBorders>
              <w:top w:val="nil"/>
              <w:left w:val="nil"/>
              <w:bottom w:val="nil"/>
              <w:right w:val="nil"/>
            </w:tcBorders>
          </w:tcPr>
          <w:p w14:paraId="4140F782" w14:textId="77777777" w:rsidR="00AA75C2" w:rsidRPr="00817B9F" w:rsidRDefault="00AA75C2" w:rsidP="00F2226E">
            <w:pPr>
              <w:pStyle w:val="NumberedParagraphs"/>
              <w:keepLines/>
              <w:numPr>
                <w:ilvl w:val="0"/>
                <w:numId w:val="0"/>
              </w:numPr>
              <w:ind w:left="504" w:right="0" w:hanging="360"/>
            </w:pPr>
            <w:r w:rsidRPr="00817B9F">
              <w:t>Adult Inpatient Services</w:t>
            </w:r>
          </w:p>
        </w:tc>
        <w:tc>
          <w:tcPr>
            <w:tcW w:w="2835" w:type="dxa"/>
            <w:tcBorders>
              <w:top w:val="nil"/>
              <w:left w:val="nil"/>
              <w:bottom w:val="nil"/>
              <w:right w:val="nil"/>
            </w:tcBorders>
          </w:tcPr>
          <w:p w14:paraId="746410BD" w14:textId="1E1C9498" w:rsidR="00AA75C2" w:rsidRPr="00817B9F" w:rsidRDefault="000F7156" w:rsidP="00F2226E">
            <w:pPr>
              <w:pStyle w:val="NumberedParagraphs"/>
              <w:keepLines/>
              <w:numPr>
                <w:ilvl w:val="0"/>
                <w:numId w:val="0"/>
              </w:numPr>
              <w:ind w:right="0"/>
              <w:jc w:val="center"/>
            </w:pPr>
            <w:r w:rsidRPr="00817B9F">
              <w:t>14</w:t>
            </w:r>
            <w:r w:rsidR="00AA75C2" w:rsidRPr="00817B9F">
              <w:t>%</w:t>
            </w:r>
          </w:p>
        </w:tc>
        <w:tc>
          <w:tcPr>
            <w:tcW w:w="2835" w:type="dxa"/>
            <w:tcBorders>
              <w:top w:val="nil"/>
              <w:left w:val="nil"/>
              <w:bottom w:val="nil"/>
              <w:right w:val="nil"/>
            </w:tcBorders>
            <w:shd w:val="clear" w:color="auto" w:fill="EEECE1" w:themeFill="background2"/>
          </w:tcPr>
          <w:p w14:paraId="3DE30CAF" w14:textId="771E6698" w:rsidR="00AA75C2" w:rsidRPr="00817B9F" w:rsidRDefault="000F7156" w:rsidP="00F2226E">
            <w:pPr>
              <w:pStyle w:val="NumberedParagraphs"/>
              <w:keepLines/>
              <w:numPr>
                <w:ilvl w:val="0"/>
                <w:numId w:val="0"/>
              </w:numPr>
              <w:ind w:right="0"/>
              <w:jc w:val="center"/>
            </w:pPr>
            <w:r w:rsidRPr="00817B9F">
              <w:t>0</w:t>
            </w:r>
            <w:r w:rsidR="00AA75C2" w:rsidRPr="00817B9F">
              <w:t>.1%</w:t>
            </w:r>
          </w:p>
        </w:tc>
      </w:tr>
      <w:tr w:rsidR="000F7156" w:rsidRPr="00817B9F" w14:paraId="07A7506F" w14:textId="77777777" w:rsidTr="00613B35">
        <w:trPr>
          <w:cantSplit/>
          <w:trHeight w:hRule="exact" w:val="360"/>
        </w:trPr>
        <w:tc>
          <w:tcPr>
            <w:tcW w:w="3780" w:type="dxa"/>
            <w:tcBorders>
              <w:top w:val="nil"/>
              <w:left w:val="nil"/>
              <w:bottom w:val="nil"/>
              <w:right w:val="nil"/>
            </w:tcBorders>
          </w:tcPr>
          <w:p w14:paraId="5078A149" w14:textId="26AFADD8" w:rsidR="000F7156" w:rsidRPr="00817B9F" w:rsidRDefault="000F7156" w:rsidP="00F2226E">
            <w:pPr>
              <w:pStyle w:val="NumberedParagraphs"/>
              <w:keepLines/>
              <w:numPr>
                <w:ilvl w:val="0"/>
                <w:numId w:val="0"/>
              </w:numPr>
              <w:ind w:left="792" w:hanging="360"/>
            </w:pPr>
            <w:r w:rsidRPr="00817B9F">
              <w:t>Cancer</w:t>
            </w:r>
          </w:p>
        </w:tc>
        <w:tc>
          <w:tcPr>
            <w:tcW w:w="2835" w:type="dxa"/>
            <w:tcBorders>
              <w:top w:val="nil"/>
              <w:left w:val="nil"/>
              <w:bottom w:val="nil"/>
              <w:right w:val="nil"/>
            </w:tcBorders>
          </w:tcPr>
          <w:p w14:paraId="3ED03D8B" w14:textId="1D8B60DB" w:rsidR="000F7156" w:rsidRPr="00817B9F" w:rsidRDefault="000F7156" w:rsidP="00F2226E">
            <w:pPr>
              <w:pStyle w:val="NumberedParagraphs"/>
              <w:keepLines/>
              <w:numPr>
                <w:ilvl w:val="0"/>
                <w:numId w:val="0"/>
              </w:numPr>
              <w:ind w:right="0"/>
              <w:jc w:val="center"/>
            </w:pPr>
            <w:r w:rsidRPr="00817B9F">
              <w:t>38%</w:t>
            </w:r>
          </w:p>
        </w:tc>
        <w:tc>
          <w:tcPr>
            <w:tcW w:w="2835" w:type="dxa"/>
            <w:tcBorders>
              <w:top w:val="nil"/>
              <w:left w:val="nil"/>
              <w:bottom w:val="nil"/>
              <w:right w:val="nil"/>
            </w:tcBorders>
            <w:shd w:val="clear" w:color="auto" w:fill="EEECE1" w:themeFill="background2"/>
          </w:tcPr>
          <w:p w14:paraId="55D5D709" w14:textId="1729CC1B" w:rsidR="000F7156" w:rsidRPr="00817B9F" w:rsidRDefault="000F7156" w:rsidP="00F2226E">
            <w:pPr>
              <w:pStyle w:val="NumberedParagraphs"/>
              <w:keepLines/>
              <w:numPr>
                <w:ilvl w:val="0"/>
                <w:numId w:val="0"/>
              </w:numPr>
              <w:ind w:right="0"/>
              <w:jc w:val="center"/>
            </w:pPr>
            <w:r w:rsidRPr="00817B9F">
              <w:t>1.0%</w:t>
            </w:r>
          </w:p>
        </w:tc>
      </w:tr>
      <w:tr w:rsidR="000F7156" w:rsidRPr="00817B9F" w14:paraId="25F29E46" w14:textId="77777777" w:rsidTr="00613B35">
        <w:trPr>
          <w:cantSplit/>
          <w:trHeight w:hRule="exact" w:val="360"/>
        </w:trPr>
        <w:tc>
          <w:tcPr>
            <w:tcW w:w="3780" w:type="dxa"/>
            <w:tcBorders>
              <w:top w:val="nil"/>
              <w:left w:val="nil"/>
              <w:bottom w:val="nil"/>
              <w:right w:val="nil"/>
            </w:tcBorders>
          </w:tcPr>
          <w:p w14:paraId="08C2E5A9" w14:textId="621EC7FE" w:rsidR="000F7156" w:rsidRPr="00817B9F" w:rsidRDefault="000F7156" w:rsidP="00F2226E">
            <w:pPr>
              <w:pStyle w:val="NumberedParagraphs"/>
              <w:keepLines/>
              <w:numPr>
                <w:ilvl w:val="0"/>
                <w:numId w:val="0"/>
              </w:numPr>
              <w:ind w:left="792" w:hanging="360"/>
            </w:pPr>
            <w:r w:rsidRPr="00817B9F">
              <w:t>Heart &amp; Vascular</w:t>
            </w:r>
          </w:p>
        </w:tc>
        <w:tc>
          <w:tcPr>
            <w:tcW w:w="2835" w:type="dxa"/>
            <w:tcBorders>
              <w:top w:val="nil"/>
              <w:left w:val="nil"/>
              <w:bottom w:val="nil"/>
              <w:right w:val="nil"/>
            </w:tcBorders>
          </w:tcPr>
          <w:p w14:paraId="37F1322D" w14:textId="747A7A49" w:rsidR="000F7156" w:rsidRPr="00817B9F" w:rsidRDefault="000F7156" w:rsidP="00F2226E">
            <w:pPr>
              <w:pStyle w:val="NumberedParagraphs"/>
              <w:keepLines/>
              <w:numPr>
                <w:ilvl w:val="0"/>
                <w:numId w:val="0"/>
              </w:numPr>
              <w:ind w:right="0"/>
              <w:jc w:val="center"/>
            </w:pPr>
            <w:r w:rsidRPr="00817B9F">
              <w:t>19%</w:t>
            </w:r>
          </w:p>
        </w:tc>
        <w:tc>
          <w:tcPr>
            <w:tcW w:w="2835" w:type="dxa"/>
            <w:tcBorders>
              <w:top w:val="nil"/>
              <w:left w:val="nil"/>
              <w:bottom w:val="nil"/>
              <w:right w:val="nil"/>
            </w:tcBorders>
            <w:shd w:val="clear" w:color="auto" w:fill="EEECE1" w:themeFill="background2"/>
          </w:tcPr>
          <w:p w14:paraId="3B1EC183" w14:textId="5AA72D43" w:rsidR="000F7156" w:rsidRPr="00817B9F" w:rsidRDefault="000F7156" w:rsidP="00F2226E">
            <w:pPr>
              <w:pStyle w:val="NumberedParagraphs"/>
              <w:keepLines/>
              <w:numPr>
                <w:ilvl w:val="0"/>
                <w:numId w:val="0"/>
              </w:numPr>
              <w:ind w:right="0"/>
              <w:jc w:val="center"/>
            </w:pPr>
            <w:r w:rsidRPr="00817B9F">
              <w:t>0.4%</w:t>
            </w:r>
          </w:p>
        </w:tc>
      </w:tr>
      <w:tr w:rsidR="00AA75C2" w:rsidRPr="00817B9F" w14:paraId="15D9E28A" w14:textId="77777777" w:rsidTr="00613B35">
        <w:trPr>
          <w:cantSplit/>
          <w:trHeight w:hRule="exact" w:val="360"/>
        </w:trPr>
        <w:tc>
          <w:tcPr>
            <w:tcW w:w="3780" w:type="dxa"/>
            <w:tcBorders>
              <w:top w:val="nil"/>
              <w:left w:val="nil"/>
              <w:bottom w:val="nil"/>
              <w:right w:val="nil"/>
            </w:tcBorders>
          </w:tcPr>
          <w:p w14:paraId="706385A0" w14:textId="77777777" w:rsidR="00AA75C2" w:rsidRPr="00817B9F" w:rsidRDefault="00AA75C2" w:rsidP="00F2226E">
            <w:pPr>
              <w:pStyle w:val="NumberedParagraphs"/>
              <w:keepLines/>
              <w:numPr>
                <w:ilvl w:val="0"/>
                <w:numId w:val="0"/>
              </w:numPr>
              <w:ind w:left="504" w:right="0" w:hanging="360"/>
            </w:pPr>
            <w:r w:rsidRPr="00817B9F">
              <w:t>Outpatient CT Scans</w:t>
            </w:r>
          </w:p>
        </w:tc>
        <w:tc>
          <w:tcPr>
            <w:tcW w:w="2835" w:type="dxa"/>
            <w:tcBorders>
              <w:top w:val="nil"/>
              <w:left w:val="nil"/>
              <w:bottom w:val="nil"/>
              <w:right w:val="nil"/>
            </w:tcBorders>
          </w:tcPr>
          <w:p w14:paraId="350A3FCA" w14:textId="7351EA61" w:rsidR="00AA75C2" w:rsidRPr="00817B9F" w:rsidRDefault="00A06F84" w:rsidP="00F2226E">
            <w:pPr>
              <w:pStyle w:val="NumberedParagraphs"/>
              <w:keepLines/>
              <w:numPr>
                <w:ilvl w:val="0"/>
                <w:numId w:val="0"/>
              </w:numPr>
              <w:ind w:right="0"/>
              <w:jc w:val="center"/>
            </w:pPr>
            <w:r>
              <w:t xml:space="preserve">  </w:t>
            </w:r>
            <w:r w:rsidR="000F7156" w:rsidRPr="00817B9F">
              <w:t>7</w:t>
            </w:r>
            <w:r w:rsidR="00AA75C2" w:rsidRPr="00817B9F">
              <w:t>%</w:t>
            </w:r>
          </w:p>
        </w:tc>
        <w:tc>
          <w:tcPr>
            <w:tcW w:w="2835" w:type="dxa"/>
            <w:tcBorders>
              <w:top w:val="nil"/>
              <w:left w:val="nil"/>
              <w:bottom w:val="nil"/>
              <w:right w:val="nil"/>
            </w:tcBorders>
            <w:shd w:val="clear" w:color="auto" w:fill="EEECE1" w:themeFill="background2"/>
          </w:tcPr>
          <w:p w14:paraId="653DFB2D" w14:textId="38B2D341" w:rsidR="00AA75C2" w:rsidRPr="00817B9F" w:rsidRDefault="000F7156" w:rsidP="00F2226E">
            <w:pPr>
              <w:pStyle w:val="NumberedParagraphs"/>
              <w:keepLines/>
              <w:numPr>
                <w:ilvl w:val="0"/>
                <w:numId w:val="0"/>
              </w:numPr>
              <w:ind w:right="0"/>
              <w:jc w:val="center"/>
            </w:pPr>
            <w:r w:rsidRPr="00817B9F">
              <w:t>0.1</w:t>
            </w:r>
            <w:r w:rsidR="00AA75C2" w:rsidRPr="00817B9F">
              <w:t>%</w:t>
            </w:r>
          </w:p>
        </w:tc>
      </w:tr>
      <w:tr w:rsidR="00AA75C2" w:rsidRPr="00817B9F" w14:paraId="07974E93" w14:textId="77777777" w:rsidTr="00613B35">
        <w:trPr>
          <w:cantSplit/>
          <w:trHeight w:hRule="exact" w:val="360"/>
        </w:trPr>
        <w:tc>
          <w:tcPr>
            <w:tcW w:w="3780" w:type="dxa"/>
            <w:tcBorders>
              <w:top w:val="nil"/>
              <w:left w:val="nil"/>
              <w:bottom w:val="nil"/>
              <w:right w:val="nil"/>
            </w:tcBorders>
          </w:tcPr>
          <w:p w14:paraId="62D47EE7" w14:textId="77777777" w:rsidR="00AA75C2" w:rsidRPr="00817B9F" w:rsidRDefault="00AA75C2" w:rsidP="00F2226E">
            <w:pPr>
              <w:pStyle w:val="NumberedParagraphs"/>
              <w:keepLines/>
              <w:numPr>
                <w:ilvl w:val="0"/>
                <w:numId w:val="0"/>
              </w:numPr>
              <w:ind w:left="504" w:right="0" w:hanging="360"/>
            </w:pPr>
            <w:r w:rsidRPr="00817B9F">
              <w:t>Outpatient MR Scans</w:t>
            </w:r>
          </w:p>
        </w:tc>
        <w:tc>
          <w:tcPr>
            <w:tcW w:w="2835" w:type="dxa"/>
            <w:tcBorders>
              <w:top w:val="nil"/>
              <w:left w:val="nil"/>
              <w:bottom w:val="nil"/>
              <w:right w:val="nil"/>
            </w:tcBorders>
          </w:tcPr>
          <w:p w14:paraId="0D155BA8" w14:textId="27AE9C24" w:rsidR="00AA75C2" w:rsidRPr="00817B9F" w:rsidRDefault="000F7156" w:rsidP="00F2226E">
            <w:pPr>
              <w:pStyle w:val="NumberedParagraphs"/>
              <w:keepLines/>
              <w:numPr>
                <w:ilvl w:val="0"/>
                <w:numId w:val="0"/>
              </w:numPr>
              <w:ind w:right="0"/>
              <w:jc w:val="center"/>
            </w:pPr>
            <w:r w:rsidRPr="00817B9F">
              <w:t>15</w:t>
            </w:r>
            <w:r w:rsidR="00AA75C2" w:rsidRPr="00817B9F">
              <w:t>%</w:t>
            </w:r>
          </w:p>
        </w:tc>
        <w:tc>
          <w:tcPr>
            <w:tcW w:w="2835" w:type="dxa"/>
            <w:tcBorders>
              <w:top w:val="nil"/>
              <w:left w:val="nil"/>
              <w:bottom w:val="nil"/>
              <w:right w:val="nil"/>
            </w:tcBorders>
            <w:shd w:val="clear" w:color="auto" w:fill="EEECE1" w:themeFill="background2"/>
          </w:tcPr>
          <w:p w14:paraId="0769F98D" w14:textId="3FD148B5" w:rsidR="00AA75C2" w:rsidRPr="00817B9F" w:rsidRDefault="000F7156" w:rsidP="00F2226E">
            <w:pPr>
              <w:pStyle w:val="NumberedParagraphs"/>
              <w:keepLines/>
              <w:numPr>
                <w:ilvl w:val="0"/>
                <w:numId w:val="0"/>
              </w:numPr>
              <w:ind w:right="0"/>
              <w:jc w:val="center"/>
            </w:pPr>
            <w:r w:rsidRPr="00817B9F">
              <w:t>0.2</w:t>
            </w:r>
            <w:r w:rsidR="00AA75C2" w:rsidRPr="00817B9F">
              <w:t>%</w:t>
            </w:r>
          </w:p>
        </w:tc>
      </w:tr>
      <w:tr w:rsidR="00AA75C2" w:rsidRPr="00817B9F" w14:paraId="38352DE5" w14:textId="77777777" w:rsidTr="00613B35">
        <w:trPr>
          <w:cantSplit/>
          <w:trHeight w:hRule="exact" w:val="360"/>
        </w:trPr>
        <w:tc>
          <w:tcPr>
            <w:tcW w:w="3780" w:type="dxa"/>
            <w:tcBorders>
              <w:top w:val="nil"/>
              <w:left w:val="nil"/>
              <w:bottom w:val="nil"/>
              <w:right w:val="nil"/>
            </w:tcBorders>
          </w:tcPr>
          <w:p w14:paraId="52AE014B" w14:textId="77777777" w:rsidR="00AA75C2" w:rsidRPr="00817B9F" w:rsidRDefault="00AA75C2" w:rsidP="00F2226E">
            <w:pPr>
              <w:pStyle w:val="NumberedParagraphs"/>
              <w:keepLines/>
              <w:numPr>
                <w:ilvl w:val="0"/>
                <w:numId w:val="0"/>
              </w:numPr>
              <w:ind w:left="504" w:right="0" w:hanging="360"/>
            </w:pPr>
            <w:r w:rsidRPr="00817B9F">
              <w:t>Outpatient PET/CT Scans</w:t>
            </w:r>
          </w:p>
        </w:tc>
        <w:tc>
          <w:tcPr>
            <w:tcW w:w="2835" w:type="dxa"/>
            <w:tcBorders>
              <w:top w:val="nil"/>
              <w:left w:val="nil"/>
              <w:bottom w:val="nil"/>
              <w:right w:val="nil"/>
            </w:tcBorders>
          </w:tcPr>
          <w:p w14:paraId="7874744F" w14:textId="7567EB40" w:rsidR="00AA75C2" w:rsidRPr="00817B9F" w:rsidRDefault="000F7156" w:rsidP="00F2226E">
            <w:pPr>
              <w:pStyle w:val="NumberedParagraphs"/>
              <w:keepLines/>
              <w:numPr>
                <w:ilvl w:val="0"/>
                <w:numId w:val="0"/>
              </w:numPr>
              <w:ind w:left="360" w:right="0" w:hanging="360"/>
              <w:jc w:val="center"/>
            </w:pPr>
            <w:r w:rsidRPr="00817B9F">
              <w:t>18</w:t>
            </w:r>
            <w:r w:rsidR="00AA75C2" w:rsidRPr="00817B9F">
              <w:t>%</w:t>
            </w:r>
          </w:p>
        </w:tc>
        <w:tc>
          <w:tcPr>
            <w:tcW w:w="2835" w:type="dxa"/>
            <w:tcBorders>
              <w:top w:val="nil"/>
              <w:left w:val="nil"/>
              <w:bottom w:val="nil"/>
              <w:right w:val="nil"/>
            </w:tcBorders>
            <w:shd w:val="clear" w:color="auto" w:fill="EEECE1" w:themeFill="background2"/>
          </w:tcPr>
          <w:p w14:paraId="269EE147" w14:textId="62364B52" w:rsidR="00AA75C2" w:rsidRPr="00817B9F" w:rsidRDefault="000F7156" w:rsidP="00F2226E">
            <w:pPr>
              <w:pStyle w:val="NumberedParagraphs"/>
              <w:keepLines/>
              <w:numPr>
                <w:ilvl w:val="0"/>
                <w:numId w:val="0"/>
              </w:numPr>
              <w:ind w:left="360" w:right="0" w:hanging="360"/>
              <w:jc w:val="center"/>
            </w:pPr>
            <w:r w:rsidRPr="00817B9F">
              <w:t>1.1</w:t>
            </w:r>
            <w:r w:rsidR="00AA75C2" w:rsidRPr="00817B9F">
              <w:t>%</w:t>
            </w:r>
          </w:p>
        </w:tc>
      </w:tr>
      <w:tr w:rsidR="00AA75C2" w:rsidRPr="00817B9F" w14:paraId="5CD4362C" w14:textId="77777777" w:rsidTr="00613B35">
        <w:trPr>
          <w:cantSplit/>
          <w:trHeight w:hRule="exact" w:val="360"/>
        </w:trPr>
        <w:tc>
          <w:tcPr>
            <w:tcW w:w="3780" w:type="dxa"/>
            <w:tcBorders>
              <w:top w:val="nil"/>
              <w:left w:val="nil"/>
              <w:bottom w:val="nil"/>
              <w:right w:val="nil"/>
            </w:tcBorders>
          </w:tcPr>
          <w:p w14:paraId="6B2E8082" w14:textId="56C08DFF" w:rsidR="00AA75C2" w:rsidRPr="00817B9F" w:rsidRDefault="00AA75C2" w:rsidP="00F2226E">
            <w:pPr>
              <w:pStyle w:val="NumberedParagraphs"/>
              <w:keepLines/>
              <w:numPr>
                <w:ilvl w:val="0"/>
                <w:numId w:val="0"/>
              </w:numPr>
              <w:ind w:left="504" w:right="0" w:hanging="360"/>
            </w:pPr>
            <w:r w:rsidRPr="00817B9F">
              <w:t xml:space="preserve">Outpatient Cardiovascular </w:t>
            </w:r>
            <w:r w:rsidR="00C724EC" w:rsidRPr="00817B9F">
              <w:t xml:space="preserve">Procs. </w:t>
            </w:r>
          </w:p>
        </w:tc>
        <w:tc>
          <w:tcPr>
            <w:tcW w:w="2835" w:type="dxa"/>
            <w:tcBorders>
              <w:top w:val="nil"/>
              <w:left w:val="nil"/>
              <w:bottom w:val="nil"/>
              <w:right w:val="nil"/>
            </w:tcBorders>
          </w:tcPr>
          <w:p w14:paraId="7204DEA7" w14:textId="04BFE432" w:rsidR="00AA75C2" w:rsidRPr="00817B9F" w:rsidRDefault="00A06F84" w:rsidP="00F2226E">
            <w:pPr>
              <w:pStyle w:val="NumberedParagraphs"/>
              <w:keepLines/>
              <w:numPr>
                <w:ilvl w:val="0"/>
                <w:numId w:val="0"/>
              </w:numPr>
              <w:ind w:left="360" w:right="0" w:hanging="360"/>
              <w:jc w:val="center"/>
            </w:pPr>
            <w:r>
              <w:t xml:space="preserve">  </w:t>
            </w:r>
            <w:r w:rsidR="000F7156" w:rsidRPr="00817B9F">
              <w:t>8</w:t>
            </w:r>
            <w:r w:rsidR="00AA75C2" w:rsidRPr="00817B9F">
              <w:t>%</w:t>
            </w:r>
          </w:p>
        </w:tc>
        <w:tc>
          <w:tcPr>
            <w:tcW w:w="2835" w:type="dxa"/>
            <w:tcBorders>
              <w:top w:val="nil"/>
              <w:left w:val="nil"/>
              <w:bottom w:val="nil"/>
              <w:right w:val="nil"/>
            </w:tcBorders>
            <w:shd w:val="clear" w:color="auto" w:fill="EEECE1" w:themeFill="background2"/>
          </w:tcPr>
          <w:p w14:paraId="3FDEAE5F" w14:textId="56FF7A92" w:rsidR="00AA75C2" w:rsidRPr="00817B9F" w:rsidRDefault="00AA75C2" w:rsidP="00F2226E">
            <w:pPr>
              <w:pStyle w:val="NumberedParagraphs"/>
              <w:keepLines/>
              <w:numPr>
                <w:ilvl w:val="0"/>
                <w:numId w:val="0"/>
              </w:numPr>
              <w:ind w:left="360" w:right="0" w:hanging="360"/>
              <w:jc w:val="center"/>
            </w:pPr>
            <w:r w:rsidRPr="00817B9F">
              <w:t>0.</w:t>
            </w:r>
            <w:r w:rsidR="000F7156" w:rsidRPr="00817B9F">
              <w:t>0</w:t>
            </w:r>
            <w:r w:rsidRPr="00817B9F">
              <w:t>%</w:t>
            </w:r>
          </w:p>
        </w:tc>
      </w:tr>
      <w:tr w:rsidR="00AA75C2" w:rsidRPr="00817B9F" w14:paraId="52A5D4F3" w14:textId="77777777" w:rsidTr="00995008">
        <w:trPr>
          <w:cantSplit/>
          <w:trHeight w:hRule="exact" w:val="360"/>
        </w:trPr>
        <w:tc>
          <w:tcPr>
            <w:tcW w:w="3780" w:type="dxa"/>
            <w:tcBorders>
              <w:top w:val="nil"/>
              <w:left w:val="nil"/>
              <w:bottom w:val="nil"/>
              <w:right w:val="nil"/>
            </w:tcBorders>
          </w:tcPr>
          <w:p w14:paraId="542F10A6" w14:textId="5FD97AFC" w:rsidR="00AA75C2" w:rsidRPr="00817B9F" w:rsidRDefault="00AA75C2" w:rsidP="00F2226E">
            <w:pPr>
              <w:pStyle w:val="NumberedParagraphs"/>
              <w:keepLines/>
              <w:numPr>
                <w:ilvl w:val="0"/>
                <w:numId w:val="0"/>
              </w:numPr>
              <w:ind w:left="504" w:right="0" w:hanging="360"/>
            </w:pPr>
            <w:r w:rsidRPr="00817B9F">
              <w:t xml:space="preserve">Outpatient Oncology </w:t>
            </w:r>
            <w:r w:rsidR="00B01EC9" w:rsidRPr="00817B9F">
              <w:t>Visits</w:t>
            </w:r>
          </w:p>
        </w:tc>
        <w:tc>
          <w:tcPr>
            <w:tcW w:w="2835" w:type="dxa"/>
            <w:tcBorders>
              <w:top w:val="nil"/>
              <w:left w:val="nil"/>
              <w:bottom w:val="nil"/>
              <w:right w:val="nil"/>
            </w:tcBorders>
          </w:tcPr>
          <w:p w14:paraId="2C9E81E7" w14:textId="5AAFA3E5" w:rsidR="00AA75C2" w:rsidRPr="00817B9F" w:rsidRDefault="000F7156" w:rsidP="00F2226E">
            <w:pPr>
              <w:pStyle w:val="NumberedParagraphs"/>
              <w:keepLines/>
              <w:numPr>
                <w:ilvl w:val="0"/>
                <w:numId w:val="0"/>
              </w:numPr>
              <w:ind w:left="360" w:right="0" w:hanging="360"/>
              <w:jc w:val="center"/>
            </w:pPr>
            <w:r w:rsidRPr="00817B9F">
              <w:t>22</w:t>
            </w:r>
            <w:r w:rsidR="00AA75C2" w:rsidRPr="00817B9F">
              <w:t>%</w:t>
            </w:r>
          </w:p>
        </w:tc>
        <w:tc>
          <w:tcPr>
            <w:tcW w:w="2835" w:type="dxa"/>
            <w:tcBorders>
              <w:top w:val="nil"/>
              <w:left w:val="nil"/>
              <w:bottom w:val="nil"/>
              <w:right w:val="nil"/>
            </w:tcBorders>
            <w:shd w:val="clear" w:color="auto" w:fill="EEECE1" w:themeFill="background2"/>
          </w:tcPr>
          <w:p w14:paraId="57EA4D57" w14:textId="753FD127" w:rsidR="00AA75C2" w:rsidRPr="00817B9F" w:rsidRDefault="000F7156" w:rsidP="00F2226E">
            <w:pPr>
              <w:pStyle w:val="NumberedParagraphs"/>
              <w:keepLines/>
              <w:numPr>
                <w:ilvl w:val="0"/>
                <w:numId w:val="0"/>
              </w:numPr>
              <w:ind w:left="360" w:right="0" w:hanging="360"/>
              <w:jc w:val="center"/>
            </w:pPr>
            <w:r w:rsidRPr="00817B9F">
              <w:t>0.5</w:t>
            </w:r>
            <w:r w:rsidR="00AA75C2" w:rsidRPr="00817B9F">
              <w:t>%</w:t>
            </w:r>
          </w:p>
        </w:tc>
      </w:tr>
      <w:tr w:rsidR="00AA75C2" w:rsidRPr="00817B9F" w14:paraId="35DB04DF" w14:textId="77777777" w:rsidTr="00995008">
        <w:trPr>
          <w:cantSplit/>
          <w:trHeight w:hRule="exact" w:val="360"/>
        </w:trPr>
        <w:tc>
          <w:tcPr>
            <w:tcW w:w="3780" w:type="dxa"/>
            <w:tcBorders>
              <w:top w:val="nil"/>
              <w:left w:val="nil"/>
              <w:bottom w:val="single" w:sz="18" w:space="0" w:color="auto"/>
              <w:right w:val="nil"/>
            </w:tcBorders>
          </w:tcPr>
          <w:p w14:paraId="3EE76005" w14:textId="77777777" w:rsidR="00AA75C2" w:rsidRPr="00817B9F" w:rsidRDefault="00AA75C2" w:rsidP="00F2226E">
            <w:pPr>
              <w:pStyle w:val="NumberedParagraphs"/>
              <w:keepLines/>
              <w:numPr>
                <w:ilvl w:val="0"/>
                <w:numId w:val="0"/>
              </w:numPr>
              <w:ind w:left="504" w:right="0" w:hanging="360"/>
              <w:rPr>
                <w:b/>
                <w:bCs/>
                <w:i/>
                <w:iCs/>
              </w:rPr>
            </w:pPr>
            <w:r w:rsidRPr="00817B9F">
              <w:rPr>
                <w:b/>
                <w:bCs/>
                <w:i/>
                <w:iCs/>
              </w:rPr>
              <w:t>Across All Service Lines</w:t>
            </w:r>
          </w:p>
        </w:tc>
        <w:tc>
          <w:tcPr>
            <w:tcW w:w="2835" w:type="dxa"/>
            <w:tcBorders>
              <w:top w:val="nil"/>
              <w:left w:val="nil"/>
              <w:bottom w:val="single" w:sz="18" w:space="0" w:color="auto"/>
              <w:right w:val="nil"/>
            </w:tcBorders>
          </w:tcPr>
          <w:p w14:paraId="4D5B6F51" w14:textId="2C5A58DC" w:rsidR="00AA75C2" w:rsidRPr="00817B9F" w:rsidRDefault="00BD588D" w:rsidP="00F2226E">
            <w:pPr>
              <w:pStyle w:val="NumberedParagraphs"/>
              <w:keepLines/>
              <w:numPr>
                <w:ilvl w:val="0"/>
                <w:numId w:val="0"/>
              </w:numPr>
              <w:ind w:left="360" w:right="0" w:hanging="360"/>
              <w:jc w:val="center"/>
              <w:rPr>
                <w:b/>
                <w:bCs/>
                <w:i/>
                <w:iCs/>
              </w:rPr>
            </w:pPr>
            <w:r w:rsidRPr="00817B9F">
              <w:rPr>
                <w:b/>
                <w:bCs/>
                <w:i/>
                <w:iCs/>
              </w:rPr>
              <w:t>18%</w:t>
            </w:r>
          </w:p>
        </w:tc>
        <w:tc>
          <w:tcPr>
            <w:tcW w:w="2835" w:type="dxa"/>
            <w:tcBorders>
              <w:top w:val="nil"/>
              <w:left w:val="nil"/>
              <w:bottom w:val="single" w:sz="18" w:space="0" w:color="auto"/>
              <w:right w:val="nil"/>
            </w:tcBorders>
            <w:shd w:val="clear" w:color="auto" w:fill="EEECE1" w:themeFill="background2"/>
          </w:tcPr>
          <w:p w14:paraId="47CA458D" w14:textId="0D6DC592" w:rsidR="00AA75C2" w:rsidRPr="00817B9F" w:rsidRDefault="00BD588D" w:rsidP="00BD588D">
            <w:pPr>
              <w:pStyle w:val="NumberedParagraphs"/>
              <w:keepLines/>
              <w:numPr>
                <w:ilvl w:val="0"/>
                <w:numId w:val="0"/>
              </w:numPr>
              <w:ind w:right="0"/>
              <w:jc w:val="center"/>
              <w:rPr>
                <w:b/>
                <w:bCs/>
                <w:i/>
                <w:iCs/>
              </w:rPr>
            </w:pPr>
            <w:r w:rsidRPr="00817B9F">
              <w:rPr>
                <w:b/>
                <w:bCs/>
                <w:i/>
                <w:iCs/>
              </w:rPr>
              <w:t>0.</w:t>
            </w:r>
            <w:r w:rsidR="00B01EC9" w:rsidRPr="00817B9F">
              <w:rPr>
                <w:b/>
                <w:bCs/>
                <w:i/>
                <w:iCs/>
              </w:rPr>
              <w:t>2</w:t>
            </w:r>
            <w:r w:rsidRPr="00817B9F">
              <w:rPr>
                <w:b/>
                <w:bCs/>
                <w:i/>
                <w:iCs/>
              </w:rPr>
              <w:t>%</w:t>
            </w:r>
          </w:p>
        </w:tc>
      </w:tr>
    </w:tbl>
    <w:p w14:paraId="7D9F9145" w14:textId="60CC81B5" w:rsidR="00B678E8" w:rsidRPr="00817B9F" w:rsidRDefault="0006773E" w:rsidP="00B01EC9">
      <w:pPr>
        <w:pStyle w:val="NumberedParagraphs"/>
        <w:spacing w:before="240"/>
      </w:pPr>
      <w:r w:rsidRPr="00817B9F">
        <w:t xml:space="preserve">In summary, we predict substantial increases in demand for inpatient and outpatient services at MGH over the next decade. </w:t>
      </w:r>
      <w:r w:rsidR="00422FB8" w:rsidRPr="00817B9F">
        <w:t>H</w:t>
      </w:r>
      <w:r w:rsidRPr="00817B9F">
        <w:t xml:space="preserve">ealth care services at MGH </w:t>
      </w:r>
      <w:r w:rsidR="00422FB8" w:rsidRPr="00817B9F">
        <w:t xml:space="preserve">are more costly </w:t>
      </w:r>
      <w:r w:rsidRPr="00817B9F">
        <w:t xml:space="preserve">than </w:t>
      </w:r>
      <w:r w:rsidR="00422FB8" w:rsidRPr="00817B9F">
        <w:t xml:space="preserve">those at many </w:t>
      </w:r>
      <w:r w:rsidRPr="00817B9F">
        <w:t>competing health care providers in Massachusetts</w:t>
      </w:r>
      <w:r w:rsidR="00422FB8" w:rsidRPr="00817B9F">
        <w:t xml:space="preserve">, but </w:t>
      </w:r>
      <w:r w:rsidRPr="00817B9F">
        <w:t xml:space="preserve">the overall </w:t>
      </w:r>
      <w:r w:rsidRPr="00817B9F">
        <w:rPr>
          <w:b/>
          <w:bCs/>
          <w:u w:val="single"/>
        </w:rPr>
        <w:t>increase</w:t>
      </w:r>
      <w:r w:rsidRPr="00817B9F">
        <w:t xml:space="preserve"> in health care expenditures</w:t>
      </w:r>
      <w:r w:rsidR="00BD588D" w:rsidRPr="00817B9F">
        <w:t xml:space="preserve"> across the service lines </w:t>
      </w:r>
      <w:r w:rsidR="00422FB8" w:rsidRPr="00817B9F">
        <w:t xml:space="preserve">associated with the </w:t>
      </w:r>
      <w:r w:rsidR="00BD588D" w:rsidRPr="00817B9F">
        <w:t xml:space="preserve">proposed </w:t>
      </w:r>
      <w:r w:rsidR="00422FB8" w:rsidRPr="00817B9F">
        <w:t xml:space="preserve">expansion of MGH </w:t>
      </w:r>
      <w:r w:rsidRPr="00817B9F">
        <w:t xml:space="preserve">is only </w:t>
      </w:r>
      <w:r w:rsidR="00BD588D" w:rsidRPr="00817B9F">
        <w:t>0.</w:t>
      </w:r>
      <w:r w:rsidR="00B01EC9" w:rsidRPr="00817B9F">
        <w:t>2</w:t>
      </w:r>
      <w:r w:rsidRPr="00817B9F">
        <w:t xml:space="preserve"> percent. Moreover, the economics literature predicts that allow</w:t>
      </w:r>
      <w:r w:rsidR="00422FB8" w:rsidRPr="00817B9F">
        <w:t>ing</w:t>
      </w:r>
      <w:r w:rsidRPr="00817B9F">
        <w:t xml:space="preserve"> capacity-constrained providers such as MGH to expand puts downward pressure on health care prices. </w:t>
      </w:r>
      <w:r w:rsidR="00B678E8" w:rsidRPr="00817B9F">
        <w:t xml:space="preserve">For these reasons, we believe that the proposed project is consistent with the Commonwealth of Massachusetts’ health care cost-containment goals. </w:t>
      </w:r>
    </w:p>
    <w:sectPr w:rsidR="00B678E8" w:rsidRPr="00817B9F" w:rsidSect="00CC3B43">
      <w:headerReference w:type="default" r:id="rId16"/>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CD4C3" w14:textId="77777777" w:rsidR="00CF3141" w:rsidRDefault="00CF3141">
      <w:r>
        <w:separator/>
      </w:r>
    </w:p>
  </w:endnote>
  <w:endnote w:type="continuationSeparator" w:id="0">
    <w:p w14:paraId="48E4F8AA" w14:textId="77777777" w:rsidR="00CF3141" w:rsidRDefault="00CF3141">
      <w:r>
        <w:continuationSeparator/>
      </w:r>
    </w:p>
  </w:endnote>
  <w:endnote w:type="continuationNotice" w:id="1">
    <w:p w14:paraId="7A235D04" w14:textId="77777777" w:rsidR="00CF3141" w:rsidRDefault="00CF31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dvOT3f82cb7c+20">
    <w:altName w:val="Calibri"/>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6045" w14:textId="77777777" w:rsidR="00CF3141" w:rsidRDefault="00CF3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E47C8" w14:textId="0E2A5005" w:rsidR="00CF3141" w:rsidRDefault="00CF3141" w:rsidP="00873D72">
    <w:pPr>
      <w:pStyle w:val="Footer"/>
      <w:tabs>
        <w:tab w:val="left" w:pos="4710"/>
      </w:tabs>
      <w:jc w:val="center"/>
      <w:rPr>
        <w:rFonts w:cs="Times-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DD75F" w14:textId="77777777" w:rsidR="00CF3141" w:rsidRDefault="00CF31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751DA" w14:textId="647815E0" w:rsidR="00CF3141" w:rsidRPr="00CC3B43" w:rsidRDefault="00CF3141" w:rsidP="00873D72">
    <w:pPr>
      <w:pStyle w:val="Footer"/>
      <w:tabs>
        <w:tab w:val="left" w:pos="4710"/>
      </w:tabs>
      <w:jc w:val="center"/>
      <w:rPr>
        <w:rFonts w:ascii="Times New Roman" w:hAnsi="Times New Roman" w:cs="Times New Roman"/>
      </w:rPr>
    </w:pPr>
    <w:r w:rsidRPr="00CC3B43">
      <w:rPr>
        <w:rFonts w:ascii="Times New Roman" w:hAnsi="Times New Roman" w:cs="Times New Roman"/>
      </w:rPr>
      <w:fldChar w:fldCharType="begin"/>
    </w:r>
    <w:r w:rsidRPr="00CC3B43">
      <w:rPr>
        <w:rFonts w:ascii="Times New Roman" w:hAnsi="Times New Roman" w:cs="Times New Roman"/>
      </w:rPr>
      <w:instrText xml:space="preserve"> PAGE  \* roman  \* MERGEFORMAT </w:instrText>
    </w:r>
    <w:r w:rsidRPr="00CC3B43">
      <w:rPr>
        <w:rFonts w:ascii="Times New Roman" w:hAnsi="Times New Roman" w:cs="Times New Roman"/>
      </w:rPr>
      <w:fldChar w:fldCharType="separate"/>
    </w:r>
    <w:r w:rsidR="005D4A49">
      <w:rPr>
        <w:rFonts w:ascii="Times New Roman" w:hAnsi="Times New Roman" w:cs="Times New Roman"/>
        <w:noProof/>
      </w:rPr>
      <w:t>iii</w:t>
    </w:r>
    <w:r w:rsidRPr="00CC3B43">
      <w:rPr>
        <w:rFonts w:ascii="Times New Roman" w:hAnsi="Times New Roman" w:cs="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62992" w14:textId="00D5DD96" w:rsidR="00CF3141" w:rsidRPr="00BC2F0C" w:rsidRDefault="00CF3141" w:rsidP="00873D72">
    <w:pPr>
      <w:pStyle w:val="Footer"/>
      <w:tabs>
        <w:tab w:val="left" w:pos="4710"/>
      </w:tabs>
      <w:jc w:val="center"/>
      <w:rPr>
        <w:rFonts w:ascii="Times New Roman" w:hAnsi="Times New Roman" w:cs="Times New Roman"/>
      </w:rPr>
    </w:pPr>
    <w:r w:rsidRPr="00BC2F0C">
      <w:rPr>
        <w:rFonts w:ascii="Times New Roman" w:hAnsi="Times New Roman" w:cs="Times New Roman"/>
      </w:rPr>
      <w:fldChar w:fldCharType="begin"/>
    </w:r>
    <w:r w:rsidRPr="00BC2F0C">
      <w:rPr>
        <w:rFonts w:ascii="Times New Roman" w:hAnsi="Times New Roman" w:cs="Times New Roman"/>
      </w:rPr>
      <w:instrText xml:space="preserve"> PAGE  \* Arabic  \* MERGEFORMAT </w:instrText>
    </w:r>
    <w:r w:rsidRPr="00BC2F0C">
      <w:rPr>
        <w:rFonts w:ascii="Times New Roman" w:hAnsi="Times New Roman" w:cs="Times New Roman"/>
      </w:rPr>
      <w:fldChar w:fldCharType="separate"/>
    </w:r>
    <w:r w:rsidR="005D4A49">
      <w:rPr>
        <w:rFonts w:ascii="Times New Roman" w:hAnsi="Times New Roman" w:cs="Times New Roman"/>
        <w:noProof/>
      </w:rPr>
      <w:t>16</w:t>
    </w:r>
    <w:r w:rsidRPr="00BC2F0C">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E4551" w14:textId="77777777" w:rsidR="00CF3141" w:rsidRDefault="00CF3141">
      <w:r>
        <w:separator/>
      </w:r>
    </w:p>
  </w:footnote>
  <w:footnote w:type="continuationSeparator" w:id="0">
    <w:p w14:paraId="6E187DFD" w14:textId="77777777" w:rsidR="00CF3141" w:rsidRDefault="00CF3141">
      <w:r>
        <w:continuationSeparator/>
      </w:r>
    </w:p>
  </w:footnote>
  <w:footnote w:type="continuationNotice" w:id="1">
    <w:p w14:paraId="543C8C5E" w14:textId="77777777" w:rsidR="00CF3141" w:rsidRDefault="00CF3141"/>
  </w:footnote>
  <w:footnote w:id="2">
    <w:p w14:paraId="32989870" w14:textId="6ABC813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mass-general-brigham-incorporated-mgh-application-form-and-attachments.pdf [hereinafter, MGH DoN], Appendix 2, Section 2.1, pp. 1-4 and Massachusetts General Hospital - DoN Application MGB-20121612-HE - Bed Summary Response.docx [hereinafter, MGH Bed Summary Response], p. 2. </w:t>
      </w:r>
    </w:p>
  </w:footnote>
  <w:footnote w:id="3">
    <w:p w14:paraId="0AD4DE14" w14:textId="430B685B"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MGH DoN, Appendix 2, Section 2.1 pp. 1-4.</w:t>
      </w:r>
    </w:p>
  </w:footnote>
  <w:footnote w:id="4">
    <w:p w14:paraId="5DA8203C" w14:textId="0520DE10"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MGH DoN, Appendix 1, Q12, p. 3.</w:t>
      </w:r>
    </w:p>
  </w:footnote>
  <w:footnote w:id="5">
    <w:p w14:paraId="6607970F" w14:textId="05F9D64B"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Massachusetts Department of Public Health. “Determination of Need (DoN),” </w:t>
      </w:r>
      <w:r w:rsidRPr="002F227B">
        <w:rPr>
          <w:rFonts w:ascii="Times New Roman" w:hAnsi="Times New Roman" w:cs="Times New Roman"/>
          <w:i/>
          <w:iCs/>
        </w:rPr>
        <w:t>available at</w:t>
      </w:r>
      <w:r w:rsidRPr="002F227B">
        <w:rPr>
          <w:rFonts w:ascii="Times New Roman" w:hAnsi="Times New Roman" w:cs="Times New Roman"/>
        </w:rPr>
        <w:t xml:space="preserve"> https://www.mass.gov/determination-of-need-don. </w:t>
      </w:r>
    </w:p>
  </w:footnote>
  <w:footnote w:id="6">
    <w:p w14:paraId="2CA54649" w14:textId="7770C871"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We note that the data we rely on throughout the ICA distinguish between commercial and Medicare health plans, but do not distinguish between individuals enrolled in health plans offered through the Health Connector Authority and employer-sponsored group health plans. Rather, the data typically identify the insurer or claims administrator, but not the specific type of plan in which the patient was enrolled (</w:t>
      </w:r>
      <w:r w:rsidRPr="002F227B">
        <w:rPr>
          <w:rFonts w:ascii="Times New Roman" w:hAnsi="Times New Roman" w:cs="Times New Roman"/>
          <w:i/>
        </w:rPr>
        <w:t>e.g.</w:t>
      </w:r>
      <w:r w:rsidRPr="002F227B">
        <w:rPr>
          <w:rFonts w:ascii="Times New Roman" w:hAnsi="Times New Roman" w:cs="Times New Roman"/>
        </w:rPr>
        <w:t>, we cannot distinguish between Tufts commercial group health plans and Connector plans—the data simply identify the patient as being covered by a Tufts plan). As such, throughout our analyses we only distinguish between patients enrolled in Original Medicare, Medicare health plans, MassHealth non-managed care, MassHealth managed care, and commercial health plans (including both ConnectorCare and employer-sponsored group health plans).</w:t>
      </w:r>
    </w:p>
  </w:footnote>
  <w:footnote w:id="7">
    <w:p w14:paraId="5FFB2F1A" w14:textId="17A5AFDD"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MGH DoN, Appendix 2, Section 2.1, pp. 1-2. </w:t>
      </w:r>
    </w:p>
  </w:footnote>
  <w:footnote w:id="8">
    <w:p w14:paraId="0BE48340" w14:textId="700C3000"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MGH DoN, Appendix 2, Section 2.1, pp. 1 and 17. </w:t>
      </w:r>
    </w:p>
  </w:footnote>
  <w:footnote w:id="9">
    <w:p w14:paraId="0FF0E942" w14:textId="131FA5F0"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MGH DoN, Appendix 2, Section 2.1, p. 2. </w:t>
      </w:r>
    </w:p>
  </w:footnote>
  <w:footnote w:id="10">
    <w:p w14:paraId="7E66AA8E" w14:textId="29A347EF"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MGH Bed Summary Response, p. 2.</w:t>
      </w:r>
    </w:p>
  </w:footnote>
  <w:footnote w:id="11">
    <w:p w14:paraId="3283A94E" w14:textId="573611D2"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MGH DoN, Appendix 7 and MGH Tower Questions - DoN #MGB-20121612-HE - Excel Submission Document 8.20.2021.xlsx [hereinafter, MGH Applicant Response – Excel Submission], Tab 3.a.</w:t>
      </w:r>
    </w:p>
  </w:footnote>
  <w:footnote w:id="12">
    <w:p w14:paraId="619F0483" w14:textId="45C9776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MGH Applicant Response – Excel Submission, Tab 3.a.</w:t>
      </w:r>
    </w:p>
  </w:footnote>
  <w:footnote w:id="13">
    <w:p w14:paraId="7B695E2A" w14:textId="18B9132C"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MGH DoN, Appendix 2, Section 2.1, p. 3.</w:t>
      </w:r>
    </w:p>
  </w:footnote>
  <w:footnote w:id="14">
    <w:p w14:paraId="0DC49722" w14:textId="7777777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MGH DoN, Appendix 2, Section 2.1, p. 3.</w:t>
      </w:r>
    </w:p>
  </w:footnote>
  <w:footnote w:id="15">
    <w:p w14:paraId="13293E33" w14:textId="07CAC88A"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MGH Applicant Response – Excel Submission, Tab 3.b.</w:t>
      </w:r>
    </w:p>
  </w:footnote>
  <w:footnote w:id="16">
    <w:p w14:paraId="44731059" w14:textId="64AD275A"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MGH Applicant Response – Excel Submission, Tab 3.b.</w:t>
      </w:r>
    </w:p>
  </w:footnote>
  <w:footnote w:id="17">
    <w:p w14:paraId="36F0E8C6" w14:textId="5B9923E0"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MGH Applicant Response – Excel Submission, Tab 3.b.</w:t>
      </w:r>
    </w:p>
  </w:footnote>
  <w:footnote w:id="18">
    <w:p w14:paraId="5DE80280" w14:textId="2B04722D"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MGH Applicant Response – Excel Submission, Tab 3.b. and MGH Tower Questions - DoN #MGB-20121612-HE - Applicant Response Final.docx [hereinafter, MGH Applicant Response], p. 19.</w:t>
      </w:r>
    </w:p>
  </w:footnote>
  <w:footnote w:id="19">
    <w:p w14:paraId="3479F671" w14:textId="1F79A5E0"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MGH DoN, Appendix 2, Section 2.1, pp. 4-5.</w:t>
      </w:r>
    </w:p>
  </w:footnote>
  <w:footnote w:id="20">
    <w:p w14:paraId="224E7698" w14:textId="580E3CC5"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CHIA, “Massachusetts Case Mix: Hospital Inpatient Discharge Data (HIDD) Documentation Manual, Fiscal Year 2020,” </w:t>
      </w:r>
      <w:r w:rsidRPr="002F227B">
        <w:rPr>
          <w:rFonts w:ascii="Times New Roman" w:hAnsi="Times New Roman" w:cs="Times New Roman"/>
          <w:i/>
        </w:rPr>
        <w:t>available at</w:t>
      </w:r>
      <w:r w:rsidRPr="002F227B">
        <w:rPr>
          <w:rFonts w:ascii="Times New Roman" w:hAnsi="Times New Roman" w:cs="Times New Roman"/>
        </w:rPr>
        <w:t xml:space="preserve"> https://www.chiamass.gov/assets/docs/r/hdd/FY20-Case-Mix-Hospital-Inpatient-Discharge-Documentation-Guide.pdf, p. 3. </w:t>
      </w:r>
    </w:p>
  </w:footnote>
  <w:footnote w:id="21">
    <w:p w14:paraId="3B896227" w14:textId="1C95FC6F"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CHIA, “Massachusetts Case Mix: Hospital Inpatient Discharge Data (HIDD) Documentation Manual, Fiscal Year 2020,” </w:t>
      </w:r>
      <w:r w:rsidRPr="002F227B">
        <w:rPr>
          <w:rFonts w:ascii="Times New Roman" w:hAnsi="Times New Roman" w:cs="Times New Roman"/>
          <w:i/>
        </w:rPr>
        <w:t>available at</w:t>
      </w:r>
      <w:r w:rsidRPr="002F227B">
        <w:rPr>
          <w:rFonts w:ascii="Times New Roman" w:hAnsi="Times New Roman" w:cs="Times New Roman"/>
        </w:rPr>
        <w:t xml:space="preserve"> https://www.chiamass.gov/assets/docs/r/hdd/FY20-Case-Mix-Hospital-Inpatient-Discharge-Documentation-Guide.pdf, p. 7.</w:t>
      </w:r>
    </w:p>
  </w:footnote>
  <w:footnote w:id="22">
    <w:p w14:paraId="6B7307C6" w14:textId="1D107424"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CHIA, “Massachusetts Case Mix: Hospital Inpatient Discharge Data (HIDD) Documentation Manual, Fiscal Year 2020,” </w:t>
      </w:r>
      <w:r w:rsidRPr="002F227B">
        <w:rPr>
          <w:rFonts w:ascii="Times New Roman" w:hAnsi="Times New Roman" w:cs="Times New Roman"/>
          <w:i/>
        </w:rPr>
        <w:t>available at</w:t>
      </w:r>
      <w:r w:rsidRPr="002F227B">
        <w:rPr>
          <w:rFonts w:ascii="Times New Roman" w:hAnsi="Times New Roman" w:cs="Times New Roman"/>
        </w:rPr>
        <w:t xml:space="preserve"> https://www.chiamass.gov/assets/docs/r/hdd/FY20-Case-Mix-Hospital-Inpatient-Discharge-Documentation-Guide.pdf, pp. 9-12.</w:t>
      </w:r>
    </w:p>
  </w:footnote>
  <w:footnote w:id="23">
    <w:p w14:paraId="3D4A6329" w14:textId="21E21A03"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In the Hospital Inpatient Discharge Database, we assign discharges to payor types based on the primary payor. According to CHIA’s submission guide, MassHealth should be recorded as the secondary payor if the inpatient is also covered by another insurer. (CHIA, “Hospital Inpatient Discharge Data: File Submission Guide, October 2016,” </w:t>
      </w:r>
      <w:r w:rsidRPr="002F227B">
        <w:rPr>
          <w:rFonts w:ascii="Times New Roman" w:hAnsi="Times New Roman" w:cs="Times New Roman"/>
          <w:i/>
        </w:rPr>
        <w:t>available at</w:t>
      </w:r>
      <w:r w:rsidRPr="002F227B">
        <w:rPr>
          <w:rFonts w:ascii="Times New Roman" w:hAnsi="Times New Roman" w:cs="Times New Roman"/>
        </w:rPr>
        <w:t xml:space="preserve"> https://www.chiamass.gov/assets/docs/p/case-mix/FY17-Inpatient-Submission-Guide.pdf, p.18.) This is because Medicaid generally pays for covered services after commercial, Medicare, and MediGap plans have paid. (Centers for Medicare and Medicaid Services, “Medicaid,” </w:t>
      </w:r>
      <w:r w:rsidRPr="002F227B">
        <w:rPr>
          <w:rFonts w:ascii="Times New Roman" w:hAnsi="Times New Roman" w:cs="Times New Roman"/>
          <w:i/>
          <w:iCs/>
        </w:rPr>
        <w:t>available at</w:t>
      </w:r>
      <w:r w:rsidRPr="002F227B">
        <w:rPr>
          <w:rFonts w:ascii="Times New Roman" w:hAnsi="Times New Roman" w:cs="Times New Roman"/>
        </w:rPr>
        <w:t xml:space="preserve"> https://www.medicare.gov/your-medicare-costs/get-help-paying-costs/medicaid.)</w:t>
      </w:r>
    </w:p>
  </w:footnote>
  <w:footnote w:id="24">
    <w:p w14:paraId="45F5C3F5" w14:textId="2289FEEA"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We exclude discharges from the following non-GAC hospitals: MelroseWakefield Healthcare’s Lawrence Memorial Hospital Campus (psychiatric hospital), MiraVista Behavioral Health Center, and Steward Good Samaritan Medical Center’s NORCAP Lodge (substance abuse disorder treatment facility). We also exclude discharges from the following children’s hospitals: Boston Children’s Hospital and Shriner’s Hospitals for Children in Springfield and Boston.</w:t>
      </w:r>
    </w:p>
  </w:footnote>
  <w:footnote w:id="25">
    <w:p w14:paraId="3FF100B2" w14:textId="0DA4CB7F"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Steve Krause, “Union Hospital Selects New Developer,” </w:t>
      </w:r>
      <w:r w:rsidRPr="002F227B">
        <w:rPr>
          <w:rFonts w:ascii="Times New Roman" w:hAnsi="Times New Roman" w:cs="Times New Roman"/>
          <w:i/>
          <w:iCs/>
        </w:rPr>
        <w:t>Itemlive.com</w:t>
      </w:r>
      <w:r w:rsidRPr="002F227B">
        <w:rPr>
          <w:rFonts w:ascii="Times New Roman" w:hAnsi="Times New Roman" w:cs="Times New Roman"/>
        </w:rPr>
        <w:t xml:space="preserve"> (June 9, 2020), </w:t>
      </w:r>
      <w:r w:rsidRPr="002F227B">
        <w:rPr>
          <w:rFonts w:ascii="Times New Roman" w:hAnsi="Times New Roman" w:cs="Times New Roman"/>
          <w:i/>
          <w:iCs/>
        </w:rPr>
        <w:t>available at</w:t>
      </w:r>
      <w:r w:rsidRPr="002F227B">
        <w:rPr>
          <w:rFonts w:ascii="Times New Roman" w:hAnsi="Times New Roman" w:cs="Times New Roman"/>
        </w:rPr>
        <w:t xml:space="preserve"> https://www.itemlive.com/2020/06/09/union-hospital-selects-new-developer/.</w:t>
      </w:r>
    </w:p>
  </w:footnote>
  <w:footnote w:id="26">
    <w:p w14:paraId="24CEB55F" w14:textId="0FDDEABC"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Monica Madeja, “Field Hospital at Worcester’s DCU Center Closes Monday,” </w:t>
      </w:r>
      <w:r w:rsidRPr="002F227B">
        <w:rPr>
          <w:rFonts w:ascii="Times New Roman" w:hAnsi="Times New Roman" w:cs="Times New Roman"/>
          <w:i/>
          <w:iCs/>
        </w:rPr>
        <w:t>NBC Boston</w:t>
      </w:r>
      <w:r w:rsidRPr="002F227B">
        <w:rPr>
          <w:rFonts w:ascii="Times New Roman" w:hAnsi="Times New Roman" w:cs="Times New Roman"/>
        </w:rPr>
        <w:t xml:space="preserve"> (March 15, 2021), </w:t>
      </w:r>
      <w:r w:rsidRPr="002F227B">
        <w:rPr>
          <w:rFonts w:ascii="Times New Roman" w:hAnsi="Times New Roman" w:cs="Times New Roman"/>
          <w:i/>
          <w:iCs/>
        </w:rPr>
        <w:t>available at</w:t>
      </w:r>
      <w:r w:rsidRPr="002F227B">
        <w:rPr>
          <w:rFonts w:ascii="Times New Roman" w:hAnsi="Times New Roman" w:cs="Times New Roman"/>
        </w:rPr>
        <w:t xml:space="preserve"> https://www.nbcboston.com/news/local/field-hospital-at-worcesters-dcu-center-closes-monday/2328677/; Juli McDonald, “Boston Hope Field Hospital Releases Final 2 Coronavirus Patients,” </w:t>
      </w:r>
      <w:r w:rsidRPr="002F227B">
        <w:rPr>
          <w:rFonts w:ascii="Times New Roman" w:hAnsi="Times New Roman" w:cs="Times New Roman"/>
          <w:i/>
          <w:iCs/>
        </w:rPr>
        <w:t>CBS Boston</w:t>
      </w:r>
      <w:r w:rsidRPr="002F227B">
        <w:rPr>
          <w:rFonts w:ascii="Times New Roman" w:hAnsi="Times New Roman" w:cs="Times New Roman"/>
        </w:rPr>
        <w:t xml:space="preserve">, (June 3, 2020), </w:t>
      </w:r>
      <w:r w:rsidRPr="002F227B">
        <w:rPr>
          <w:rFonts w:ascii="Times New Roman" w:hAnsi="Times New Roman" w:cs="Times New Roman"/>
          <w:i/>
          <w:iCs/>
        </w:rPr>
        <w:t>available at</w:t>
      </w:r>
      <w:r w:rsidRPr="002F227B">
        <w:rPr>
          <w:rFonts w:ascii="Times New Roman" w:hAnsi="Times New Roman" w:cs="Times New Roman"/>
        </w:rPr>
        <w:t xml:space="preserve"> https://boston.cbslocal.com/2020/06/03/boston-hope-field-hospital-closes-final-patients-oger-julien-joseph-murphy/.</w:t>
      </w:r>
    </w:p>
  </w:footnote>
  <w:footnote w:id="27">
    <w:p w14:paraId="5BEDE2E5" w14:textId="6D698016"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MetroWest Medical Center, “Leonard Morse Hospital,” </w:t>
      </w:r>
      <w:r w:rsidRPr="002F227B">
        <w:rPr>
          <w:rFonts w:ascii="Times New Roman" w:hAnsi="Times New Roman" w:cs="Times New Roman"/>
          <w:i/>
        </w:rPr>
        <w:t xml:space="preserve">available at </w:t>
      </w:r>
      <w:r w:rsidRPr="002F227B">
        <w:rPr>
          <w:rFonts w:ascii="Times New Roman" w:hAnsi="Times New Roman" w:cs="Times New Roman"/>
        </w:rPr>
        <w:t xml:space="preserve">https://www.mwmc.com/locations/detail/leonard-morse-hospital?pagestyle=card; Henry Swan, “New role for Leonard Morse Hospital,” </w:t>
      </w:r>
      <w:r w:rsidRPr="002F227B">
        <w:rPr>
          <w:rFonts w:ascii="Times New Roman" w:hAnsi="Times New Roman" w:cs="Times New Roman"/>
          <w:i/>
          <w:iCs/>
        </w:rPr>
        <w:t>MetroWest Daily News</w:t>
      </w:r>
      <w:r w:rsidRPr="002F227B">
        <w:rPr>
          <w:rFonts w:ascii="Times New Roman" w:hAnsi="Times New Roman" w:cs="Times New Roman"/>
        </w:rPr>
        <w:t xml:space="preserve"> (October 22, 2020), </w:t>
      </w:r>
      <w:r w:rsidRPr="002F227B">
        <w:rPr>
          <w:rFonts w:ascii="Times New Roman" w:hAnsi="Times New Roman" w:cs="Times New Roman"/>
          <w:i/>
          <w:iCs/>
        </w:rPr>
        <w:t xml:space="preserve">available at </w:t>
      </w:r>
      <w:r w:rsidRPr="002F227B">
        <w:rPr>
          <w:rFonts w:ascii="Times New Roman" w:hAnsi="Times New Roman" w:cs="Times New Roman"/>
        </w:rPr>
        <w:t xml:space="preserve">https://www.metrowestdailynews.com/story/lifestyle/health-fitness/2020/10/22/starting-sunday-leonard-morse-hospital-in-natick-becomes-behavioral-health-center/114464988/. </w:t>
      </w:r>
    </w:p>
  </w:footnote>
  <w:footnote w:id="28">
    <w:p w14:paraId="32A169F1" w14:textId="49EC834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Obstetric discharges are identified based on the presence of MDC 14 and newborn discharges are identified based on the admission type field or the presence of MDC 15. Pediatric stays are identified based on the patient being younger than eighteen. </w:t>
      </w:r>
    </w:p>
  </w:footnote>
  <w:footnote w:id="29">
    <w:p w14:paraId="5FF91818" w14:textId="64077501"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CHIA, Relative Price and Provider Price Variation, October-RP-Databook-12.28.2020-Update.xlsx, reflecting relative price data for 2018 was downloaded from https://www.chiamass.gov/relative-price-and-provider-price-variation/. It appears however that file is no longer available for download and was replaced with a file containing 2019 relative prices. </w:t>
      </w:r>
    </w:p>
  </w:footnote>
  <w:footnote w:id="30">
    <w:p w14:paraId="5B07AEE1" w14:textId="19445EC0"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CHIA, “Massachusetts All Payer Claims Database,” </w:t>
      </w:r>
      <w:r w:rsidRPr="002F227B">
        <w:rPr>
          <w:rFonts w:ascii="Times New Roman" w:hAnsi="Times New Roman" w:cs="Times New Roman"/>
          <w:i/>
        </w:rPr>
        <w:t xml:space="preserve">available at </w:t>
      </w:r>
      <w:r w:rsidRPr="002F227B">
        <w:rPr>
          <w:rFonts w:ascii="Times New Roman" w:hAnsi="Times New Roman" w:cs="Times New Roman"/>
        </w:rPr>
        <w:t>https://www.chiamass.gov/ma-apcd/.</w:t>
      </w:r>
    </w:p>
  </w:footnote>
  <w:footnote w:id="31">
    <w:p w14:paraId="609FB029" w14:textId="7777777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In addition to medical claims, the APCD also includes information on pharmacy and dental claims. However, we limit our analysis to the claims included in the APCD’s medical claims files. </w:t>
      </w:r>
    </w:p>
  </w:footnote>
  <w:footnote w:id="32">
    <w:p w14:paraId="64D082C6" w14:textId="02454000"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CHIA, “The Massachusetts All-Payer Claims Database: Medical Claim File Submission Guide, February 2019,” </w:t>
      </w:r>
      <w:r w:rsidRPr="002F227B">
        <w:rPr>
          <w:rFonts w:ascii="Times New Roman" w:hAnsi="Times New Roman" w:cs="Times New Roman"/>
          <w:i/>
        </w:rPr>
        <w:t>available</w:t>
      </w:r>
      <w:r w:rsidRPr="002F227B">
        <w:rPr>
          <w:rFonts w:ascii="Times New Roman" w:hAnsi="Times New Roman" w:cs="Times New Roman"/>
        </w:rPr>
        <w:t xml:space="preserve"> </w:t>
      </w:r>
      <w:r w:rsidRPr="002F227B">
        <w:rPr>
          <w:rFonts w:ascii="Times New Roman" w:hAnsi="Times New Roman" w:cs="Times New Roman"/>
          <w:i/>
        </w:rPr>
        <w:t>at</w:t>
      </w:r>
      <w:r w:rsidRPr="002F227B">
        <w:rPr>
          <w:rFonts w:ascii="Times New Roman" w:hAnsi="Times New Roman" w:cs="Times New Roman"/>
        </w:rPr>
        <w:t xml:space="preserve"> https://www.chiamass.gov/assets/docs/p/apcd/2019-apcd-submission-guides/2019-apcd-medical-claim-file-submission-guide-FINAL-Revision-1.0.pdf, p. 9.</w:t>
      </w:r>
    </w:p>
  </w:footnote>
  <w:footnote w:id="33">
    <w:p w14:paraId="5B605642" w14:textId="77EDDA8D" w:rsidR="00CF3141" w:rsidRPr="002F227B" w:rsidRDefault="00CF3141" w:rsidP="00335D93">
      <w:pPr>
        <w:pStyle w:val="FootnoteText"/>
        <w:rPr>
          <w:rFonts w:ascii="Times New Roman" w:hAnsi="Times New Roman" w:cs="Times New Roman"/>
          <w:i/>
        </w:rPr>
      </w:pPr>
      <w:r w:rsidRPr="002F227B">
        <w:rPr>
          <w:rStyle w:val="FootnoteReference"/>
          <w:rFonts w:ascii="Times New Roman" w:hAnsi="Times New Roman" w:cs="Times New Roman"/>
        </w:rPr>
        <w:footnoteRef/>
      </w:r>
      <w:r w:rsidRPr="002F227B">
        <w:rPr>
          <w:rFonts w:ascii="Times New Roman" w:hAnsi="Times New Roman" w:cs="Times New Roman"/>
        </w:rPr>
        <w:t xml:space="preserve"> Prior to 2016, self-insured plans were required to submit claims data for inclusion in the APCD. The APCD does not include claims submitted to workers’ compensation plans, claims submitted through TRICARE or the Veterans Health Administration, or claims submitted to the Federal Employees Health Benefits Plan. (CHIA, “Overview of the Massachusetts All-Payer Claims Database, September 2016,” av</w:t>
      </w:r>
      <w:r w:rsidRPr="002F227B">
        <w:rPr>
          <w:rFonts w:ascii="Times New Roman" w:hAnsi="Times New Roman" w:cs="Times New Roman"/>
          <w:i/>
          <w:iCs/>
        </w:rPr>
        <w:t xml:space="preserve">ailable at </w:t>
      </w:r>
      <w:r w:rsidRPr="002F227B">
        <w:rPr>
          <w:rFonts w:ascii="Times New Roman" w:hAnsi="Times New Roman" w:cs="Times New Roman"/>
        </w:rPr>
        <w:t>https://www.chiamass.gov/assets/docs/p/apcd/APCD-White-Paper-2016.pdf, p. 2).</w:t>
      </w:r>
    </w:p>
  </w:footnote>
  <w:footnote w:id="34">
    <w:p w14:paraId="612B8E2F" w14:textId="3CAC98EE"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A list of the fields contained in the APCD medical claims is available on CHIA’s website: CHIA, “The Massachusetts All-Payer Claims Database: Medical Claim File Submission Guide, February 2019,” </w:t>
      </w:r>
      <w:r w:rsidRPr="002F227B">
        <w:rPr>
          <w:rFonts w:ascii="Times New Roman" w:hAnsi="Times New Roman" w:cs="Times New Roman"/>
          <w:i/>
        </w:rPr>
        <w:t>available</w:t>
      </w:r>
      <w:r w:rsidRPr="002F227B">
        <w:rPr>
          <w:rFonts w:ascii="Times New Roman" w:hAnsi="Times New Roman" w:cs="Times New Roman"/>
        </w:rPr>
        <w:t xml:space="preserve"> </w:t>
      </w:r>
      <w:r w:rsidRPr="002F227B">
        <w:rPr>
          <w:rFonts w:ascii="Times New Roman" w:hAnsi="Times New Roman" w:cs="Times New Roman"/>
          <w:i/>
          <w:iCs/>
        </w:rPr>
        <w:t>at</w:t>
      </w:r>
      <w:r w:rsidRPr="002F227B">
        <w:rPr>
          <w:rFonts w:ascii="Times New Roman" w:hAnsi="Times New Roman" w:cs="Times New Roman"/>
        </w:rPr>
        <w:t xml:space="preserve"> https://www.chiamass.gov/assets/docs/p/apcd/2019-apcd-submission-guides/2019-apcd-medical-claim-file-submission-guide-FINAL-Revision-1.0.pdf.</w:t>
      </w:r>
    </w:p>
  </w:footnote>
  <w:footnote w:id="35">
    <w:p w14:paraId="654B65D0" w14:textId="3B61B33D"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The “bill type” for each claim indicates the type of facility that provided care.</w:t>
      </w:r>
    </w:p>
  </w:footnote>
  <w:footnote w:id="36">
    <w:p w14:paraId="1D5A3391" w14:textId="648FA0E3"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The allowed amount represents the maximum amount the health plan (or plan sponsor) is expected to pay for the service. For claims associated with contracted providers in a health plan’s network who have agreed to negotiated rates, the allowed amount corresponds to the applicable negotiated fee. For providers where the health plan does not have an advanced negotiated rate, the allowed amount generally represents the rate that the health plan or plan sponsor determines as the usual, customary, and reasonable fee for the service. The amount that a health plan or plan sponsor pays the provider may be less than the allowed amount due to patient cost-share obligations (</w:t>
      </w:r>
      <w:r w:rsidRPr="002F227B">
        <w:rPr>
          <w:rFonts w:ascii="Times New Roman" w:hAnsi="Times New Roman" w:cs="Times New Roman"/>
          <w:i/>
          <w:iCs/>
        </w:rPr>
        <w:t>e.g.</w:t>
      </w:r>
      <w:r w:rsidRPr="002F227B">
        <w:rPr>
          <w:rFonts w:ascii="Times New Roman" w:hAnsi="Times New Roman" w:cs="Times New Roman"/>
        </w:rPr>
        <w:t>, deductible, coinsurance, and copayment).</w:t>
      </w:r>
    </w:p>
  </w:footnote>
  <w:footnote w:id="37">
    <w:p w14:paraId="79DD6968" w14:textId="032CD322"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w:t>
      </w:r>
      <w:r w:rsidRPr="002F227B">
        <w:rPr>
          <w:rFonts w:ascii="Times New Roman" w:hAnsi="Times New Roman" w:cs="Times New Roman"/>
          <w:i/>
        </w:rPr>
        <w:t>See</w:t>
      </w:r>
      <w:r w:rsidRPr="002F227B">
        <w:rPr>
          <w:rFonts w:ascii="Times New Roman" w:hAnsi="Times New Roman" w:cs="Times New Roman"/>
        </w:rPr>
        <w:t xml:space="preserve"> Section </w:t>
      </w:r>
      <w:r w:rsidRPr="002F227B">
        <w:rPr>
          <w:rFonts w:ascii="Times New Roman" w:hAnsi="Times New Roman" w:cs="Times New Roman"/>
        </w:rPr>
        <w:fldChar w:fldCharType="begin"/>
      </w:r>
      <w:r w:rsidRPr="002F227B">
        <w:rPr>
          <w:rFonts w:ascii="Times New Roman" w:hAnsi="Times New Roman" w:cs="Times New Roman"/>
        </w:rPr>
        <w:instrText xml:space="preserve"> REF _Ref88655817 \r \h  \* MERGEFORMAT </w:instrText>
      </w:r>
      <w:r w:rsidRPr="002F227B">
        <w:rPr>
          <w:rFonts w:ascii="Times New Roman" w:hAnsi="Times New Roman" w:cs="Times New Roman"/>
        </w:rPr>
      </w:r>
      <w:r w:rsidRPr="002F227B">
        <w:rPr>
          <w:rFonts w:ascii="Times New Roman" w:hAnsi="Times New Roman" w:cs="Times New Roman"/>
        </w:rPr>
        <w:fldChar w:fldCharType="separate"/>
      </w:r>
      <w:r>
        <w:rPr>
          <w:rFonts w:ascii="Times New Roman" w:hAnsi="Times New Roman" w:cs="Times New Roman"/>
        </w:rPr>
        <w:t>III</w:t>
      </w:r>
      <w:r w:rsidRPr="002F227B">
        <w:rPr>
          <w:rFonts w:ascii="Times New Roman" w:hAnsi="Times New Roman" w:cs="Times New Roman"/>
        </w:rPr>
        <w:fldChar w:fldCharType="end"/>
      </w:r>
      <w:r w:rsidRPr="002F227B">
        <w:rPr>
          <w:rFonts w:ascii="Times New Roman" w:hAnsi="Times New Roman" w:cs="Times New Roman"/>
        </w:rPr>
        <w:t>.</w:t>
      </w:r>
      <w:r w:rsidRPr="002F227B">
        <w:rPr>
          <w:rFonts w:ascii="Times New Roman" w:hAnsi="Times New Roman" w:cs="Times New Roman"/>
        </w:rPr>
        <w:fldChar w:fldCharType="begin"/>
      </w:r>
      <w:r w:rsidRPr="002F227B">
        <w:rPr>
          <w:rFonts w:ascii="Times New Roman" w:hAnsi="Times New Roman" w:cs="Times New Roman"/>
        </w:rPr>
        <w:instrText xml:space="preserve"> REF _Ref88594712 \r \h  \* MERGEFORMAT </w:instrText>
      </w:r>
      <w:r w:rsidRPr="002F227B">
        <w:rPr>
          <w:rFonts w:ascii="Times New Roman" w:hAnsi="Times New Roman" w:cs="Times New Roman"/>
        </w:rPr>
      </w:r>
      <w:r w:rsidRPr="002F227B">
        <w:rPr>
          <w:rFonts w:ascii="Times New Roman" w:hAnsi="Times New Roman" w:cs="Times New Roman"/>
        </w:rPr>
        <w:fldChar w:fldCharType="separate"/>
      </w:r>
      <w:r>
        <w:rPr>
          <w:rFonts w:ascii="Times New Roman" w:hAnsi="Times New Roman" w:cs="Times New Roman"/>
        </w:rPr>
        <w:t>A</w:t>
      </w:r>
      <w:r w:rsidRPr="002F227B">
        <w:rPr>
          <w:rFonts w:ascii="Times New Roman" w:hAnsi="Times New Roman" w:cs="Times New Roman"/>
        </w:rPr>
        <w:fldChar w:fldCharType="end"/>
      </w:r>
      <w:r w:rsidRPr="002F227B">
        <w:rPr>
          <w:rFonts w:ascii="Times New Roman" w:hAnsi="Times New Roman" w:cs="Times New Roman"/>
        </w:rPr>
        <w:t>.</w:t>
      </w:r>
      <w:r w:rsidRPr="002F227B">
        <w:rPr>
          <w:rFonts w:ascii="Times New Roman" w:hAnsi="Times New Roman" w:cs="Times New Roman"/>
        </w:rPr>
        <w:fldChar w:fldCharType="begin"/>
      </w:r>
      <w:r w:rsidRPr="002F227B">
        <w:rPr>
          <w:rFonts w:ascii="Times New Roman" w:hAnsi="Times New Roman" w:cs="Times New Roman"/>
        </w:rPr>
        <w:instrText xml:space="preserve"> REF _Ref89083830 \r \h  \* MERGEFORMAT </w:instrText>
      </w:r>
      <w:r w:rsidRPr="002F227B">
        <w:rPr>
          <w:rFonts w:ascii="Times New Roman" w:hAnsi="Times New Roman" w:cs="Times New Roman"/>
        </w:rPr>
      </w:r>
      <w:r w:rsidRPr="002F227B">
        <w:rPr>
          <w:rFonts w:ascii="Times New Roman" w:hAnsi="Times New Roman" w:cs="Times New Roman"/>
        </w:rPr>
        <w:fldChar w:fldCharType="separate"/>
      </w:r>
      <w:r>
        <w:rPr>
          <w:rFonts w:ascii="Times New Roman" w:hAnsi="Times New Roman" w:cs="Times New Roman"/>
        </w:rPr>
        <w:t>7</w:t>
      </w:r>
      <w:r w:rsidRPr="002F227B">
        <w:rPr>
          <w:rFonts w:ascii="Times New Roman" w:hAnsi="Times New Roman" w:cs="Times New Roman"/>
        </w:rPr>
        <w:fldChar w:fldCharType="end"/>
      </w:r>
      <w:r w:rsidRPr="002F227B">
        <w:rPr>
          <w:rFonts w:ascii="Times New Roman" w:hAnsi="Times New Roman" w:cs="Times New Roman"/>
        </w:rPr>
        <w:t xml:space="preserve"> for additional discussion about NPIs.</w:t>
      </w:r>
    </w:p>
  </w:footnote>
  <w:footnote w:id="38">
    <w:p w14:paraId="243D37D7" w14:textId="27818258"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A list of the fields contained in the provider file is available on CHIA’s website: CHIA, “The Massachusetts All-Payer Claims Database: Provider File Submission Guide, February 2019,” </w:t>
      </w:r>
      <w:r w:rsidRPr="002F227B">
        <w:rPr>
          <w:rFonts w:ascii="Times New Roman" w:hAnsi="Times New Roman" w:cs="Times New Roman"/>
          <w:i/>
        </w:rPr>
        <w:t>available at</w:t>
      </w:r>
      <w:r w:rsidRPr="002F227B">
        <w:rPr>
          <w:rFonts w:ascii="Times New Roman" w:hAnsi="Times New Roman" w:cs="Times New Roman"/>
        </w:rPr>
        <w:t xml:space="preserve"> https://www.chiamass.gov/assets/docs/p/apcd/2019-apcd-submission-guides/2019-apcd-provider-file-submission-guide-FINAL.pdf.</w:t>
      </w:r>
    </w:p>
  </w:footnote>
  <w:footnote w:id="39">
    <w:p w14:paraId="222F88C1" w14:textId="110F6E0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CHIA, “Overview of the Massachusetts All-Payer Claims Database, September 2016,” p. 5, </w:t>
      </w:r>
      <w:r w:rsidRPr="002F227B">
        <w:rPr>
          <w:rFonts w:ascii="Times New Roman" w:hAnsi="Times New Roman" w:cs="Times New Roman"/>
          <w:i/>
          <w:iCs/>
        </w:rPr>
        <w:t>available at</w:t>
      </w:r>
      <w:r w:rsidRPr="002F227B">
        <w:rPr>
          <w:rFonts w:ascii="Times New Roman" w:hAnsi="Times New Roman" w:cs="Times New Roman"/>
        </w:rPr>
        <w:t xml:space="preserve"> https://www.chiamass.gov/assets/docs/p/apcd/APCD-White-Paper-2016.pdf; and CHIA, “Massachusetts All-Payer Claims Database: Release 8.0; 2014-2018 Documentation Guide,” pp. 21-22, </w:t>
      </w:r>
      <w:r w:rsidRPr="002F227B">
        <w:rPr>
          <w:rFonts w:ascii="Times New Roman" w:hAnsi="Times New Roman" w:cs="Times New Roman"/>
          <w:i/>
          <w:iCs/>
        </w:rPr>
        <w:t>available at</w:t>
      </w:r>
      <w:r w:rsidRPr="002F227B">
        <w:rPr>
          <w:rFonts w:ascii="Times New Roman" w:hAnsi="Times New Roman" w:cs="Times New Roman"/>
        </w:rPr>
        <w:t xml:space="preserve"> https://www.chiamass.gov/assets/docs/p/apcd/apcd-8.0/APCD-Release-8-Documentation-Guide.pdf.</w:t>
      </w:r>
    </w:p>
  </w:footnote>
  <w:footnote w:id="40">
    <w:p w14:paraId="4FA7E79C" w14:textId="6BC9DEAB"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CHIA, “Medical Claims Versioning Brief,” </w:t>
      </w:r>
      <w:r w:rsidRPr="002F227B">
        <w:rPr>
          <w:rFonts w:ascii="Times New Roman" w:hAnsi="Times New Roman" w:cs="Times New Roman"/>
          <w:i/>
          <w:iCs/>
        </w:rPr>
        <w:t xml:space="preserve">available at </w:t>
      </w:r>
      <w:r w:rsidRPr="002F227B">
        <w:rPr>
          <w:rFonts w:ascii="Times New Roman" w:hAnsi="Times New Roman" w:cs="Times New Roman"/>
        </w:rPr>
        <w:t>https://www.bidnet.com/bneattachments?/489972194.docx.</w:t>
      </w:r>
    </w:p>
  </w:footnote>
  <w:footnote w:id="41">
    <w:p w14:paraId="1FDCA8D3" w14:textId="7777777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Specially, we exclude claims where either the allowed amount field or the sum of values in the plan payments and patient cost-share fields, aggregated to the claim-level, is negative.</w:t>
      </w:r>
    </w:p>
  </w:footnote>
  <w:footnote w:id="42">
    <w:p w14:paraId="7BBD935A" w14:textId="4CAD0951"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We use these three NPI fields in an iterative approach. If the service provider NPI is an organizational NPI, we use the provider name and business practice address as recorded in the National Plan and Provider Enumeration System database for that NPI. If the service provider NPI is not an organizational NPI, we then rely on the provider name and address associated with the rendering provider NPI (to the extent that it is an organizational NPI), followed by the billing provider NPI. (The National Plan and Provider Enumeration System database is discussed in Section </w:t>
      </w:r>
      <w:r w:rsidRPr="002F227B">
        <w:rPr>
          <w:rFonts w:ascii="Times New Roman" w:hAnsi="Times New Roman" w:cs="Times New Roman"/>
        </w:rPr>
        <w:fldChar w:fldCharType="begin"/>
      </w:r>
      <w:r w:rsidRPr="002F227B">
        <w:rPr>
          <w:rFonts w:ascii="Times New Roman" w:hAnsi="Times New Roman" w:cs="Times New Roman"/>
        </w:rPr>
        <w:instrText xml:space="preserve"> REF _Ref88655817 \w \h  \* MERGEFORMAT </w:instrText>
      </w:r>
      <w:r w:rsidRPr="002F227B">
        <w:rPr>
          <w:rFonts w:ascii="Times New Roman" w:hAnsi="Times New Roman" w:cs="Times New Roman"/>
        </w:rPr>
      </w:r>
      <w:r w:rsidRPr="002F227B">
        <w:rPr>
          <w:rFonts w:ascii="Times New Roman" w:hAnsi="Times New Roman" w:cs="Times New Roman"/>
        </w:rPr>
        <w:fldChar w:fldCharType="separate"/>
      </w:r>
      <w:r>
        <w:rPr>
          <w:rFonts w:ascii="Times New Roman" w:hAnsi="Times New Roman" w:cs="Times New Roman"/>
        </w:rPr>
        <w:t>III</w:t>
      </w:r>
      <w:r w:rsidRPr="002F227B">
        <w:rPr>
          <w:rFonts w:ascii="Times New Roman" w:hAnsi="Times New Roman" w:cs="Times New Roman"/>
        </w:rPr>
        <w:fldChar w:fldCharType="end"/>
      </w:r>
      <w:r w:rsidRPr="002F227B">
        <w:rPr>
          <w:rFonts w:ascii="Times New Roman" w:hAnsi="Times New Roman" w:cs="Times New Roman"/>
        </w:rPr>
        <w:t>.</w:t>
      </w:r>
      <w:r w:rsidRPr="002F227B">
        <w:rPr>
          <w:rFonts w:ascii="Times New Roman" w:hAnsi="Times New Roman" w:cs="Times New Roman"/>
        </w:rPr>
        <w:fldChar w:fldCharType="begin"/>
      </w:r>
      <w:r w:rsidRPr="002F227B">
        <w:rPr>
          <w:rFonts w:ascii="Times New Roman" w:hAnsi="Times New Roman" w:cs="Times New Roman"/>
        </w:rPr>
        <w:instrText xml:space="preserve"> REF _Ref88594712 \w \h  \* MERGEFORMAT </w:instrText>
      </w:r>
      <w:r w:rsidRPr="002F227B">
        <w:rPr>
          <w:rFonts w:ascii="Times New Roman" w:hAnsi="Times New Roman" w:cs="Times New Roman"/>
        </w:rPr>
      </w:r>
      <w:r w:rsidRPr="002F227B">
        <w:rPr>
          <w:rFonts w:ascii="Times New Roman" w:hAnsi="Times New Roman" w:cs="Times New Roman"/>
        </w:rPr>
        <w:fldChar w:fldCharType="separate"/>
      </w:r>
      <w:r>
        <w:rPr>
          <w:rFonts w:ascii="Times New Roman" w:hAnsi="Times New Roman" w:cs="Times New Roman"/>
        </w:rPr>
        <w:t>A</w:t>
      </w:r>
      <w:r w:rsidRPr="002F227B">
        <w:rPr>
          <w:rFonts w:ascii="Times New Roman" w:hAnsi="Times New Roman" w:cs="Times New Roman"/>
        </w:rPr>
        <w:fldChar w:fldCharType="end"/>
      </w:r>
      <w:r w:rsidRPr="002F227B">
        <w:rPr>
          <w:rFonts w:ascii="Times New Roman" w:hAnsi="Times New Roman" w:cs="Times New Roman"/>
        </w:rPr>
        <w:t>.</w:t>
      </w:r>
      <w:r w:rsidRPr="002F227B">
        <w:rPr>
          <w:rFonts w:ascii="Times New Roman" w:hAnsi="Times New Roman" w:cs="Times New Roman"/>
        </w:rPr>
        <w:fldChar w:fldCharType="begin"/>
      </w:r>
      <w:r w:rsidRPr="002F227B">
        <w:rPr>
          <w:rFonts w:ascii="Times New Roman" w:hAnsi="Times New Roman" w:cs="Times New Roman"/>
        </w:rPr>
        <w:instrText xml:space="preserve"> REF _Ref89033859 \w \h  \* MERGEFORMAT </w:instrText>
      </w:r>
      <w:r w:rsidRPr="002F227B">
        <w:rPr>
          <w:rFonts w:ascii="Times New Roman" w:hAnsi="Times New Roman" w:cs="Times New Roman"/>
        </w:rPr>
      </w:r>
      <w:r w:rsidRPr="002F227B">
        <w:rPr>
          <w:rFonts w:ascii="Times New Roman" w:hAnsi="Times New Roman" w:cs="Times New Roman"/>
        </w:rPr>
        <w:fldChar w:fldCharType="separate"/>
      </w:r>
      <w:r>
        <w:rPr>
          <w:rFonts w:ascii="Times New Roman" w:hAnsi="Times New Roman" w:cs="Times New Roman"/>
        </w:rPr>
        <w:t>7</w:t>
      </w:r>
      <w:r w:rsidRPr="002F227B">
        <w:rPr>
          <w:rFonts w:ascii="Times New Roman" w:hAnsi="Times New Roman" w:cs="Times New Roman"/>
        </w:rPr>
        <w:fldChar w:fldCharType="end"/>
      </w:r>
      <w:r w:rsidRPr="002F227B">
        <w:rPr>
          <w:rFonts w:ascii="Times New Roman" w:hAnsi="Times New Roman" w:cs="Times New Roman"/>
        </w:rPr>
        <w:t>.)</w:t>
      </w:r>
    </w:p>
  </w:footnote>
  <w:footnote w:id="43">
    <w:p w14:paraId="6671D773" w14:textId="2CD8E7BE"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We are unable to assign facility ownership for some claims. These include claims where the service, rendering, and billing provider NPIs are not organizational NPIs or if those NPIs did not appear in the National Plan and Provider Enumeration System database (</w:t>
      </w:r>
      <w:r w:rsidRPr="002F227B">
        <w:rPr>
          <w:rFonts w:ascii="Times New Roman" w:hAnsi="Times New Roman" w:cs="Times New Roman"/>
          <w:i/>
          <w:iCs/>
        </w:rPr>
        <w:t>i.e.</w:t>
      </w:r>
      <w:r w:rsidRPr="002F227B">
        <w:rPr>
          <w:rFonts w:ascii="Times New Roman" w:hAnsi="Times New Roman" w:cs="Times New Roman"/>
        </w:rPr>
        <w:t>, they are invalid NPIs).</w:t>
      </w:r>
    </w:p>
  </w:footnote>
  <w:footnote w:id="44">
    <w:p w14:paraId="34E04F1A" w14:textId="3212D94D"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We rely on the APCD for information on care provided to members of Medicare health plans (</w:t>
      </w:r>
      <w:r w:rsidRPr="002F227B">
        <w:rPr>
          <w:rFonts w:ascii="Times New Roman" w:hAnsi="Times New Roman" w:cs="Times New Roman"/>
          <w:i/>
          <w:iCs/>
        </w:rPr>
        <w:t>i.e.</w:t>
      </w:r>
      <w:r w:rsidRPr="002F227B">
        <w:rPr>
          <w:rFonts w:ascii="Times New Roman" w:hAnsi="Times New Roman" w:cs="Times New Roman"/>
        </w:rPr>
        <w:t>, Medicare Advantage (Part C) and supplemental Medicare plans). For care provided to beneficiaries enrolled in Original Medicare, we rely on the Medicare Claims data described in the following section.</w:t>
      </w:r>
    </w:p>
  </w:footnote>
  <w:footnote w:id="45">
    <w:p w14:paraId="470A96A6" w14:textId="7777777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We exclude claims where either the allowed amount field or the sum of values in the plan payments and patient cost-share fields, aggregated to the claim-level, is zero.</w:t>
      </w:r>
    </w:p>
  </w:footnote>
  <w:footnote w:id="46">
    <w:p w14:paraId="7162804B" w14:textId="156BCADD"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We also exclude claims where the payment arrangement field indicated that the claim was paid on </w:t>
      </w:r>
      <w:r w:rsidRPr="002F227B">
        <w:rPr>
          <w:rFonts w:ascii="Times New Roman" w:eastAsia="Times-Roman" w:hAnsi="Times New Roman" w:cs="Times New Roman"/>
        </w:rPr>
        <w:t>a per-episode basis or using enhanced ambulatory patient groupings, or was otherwise missing payment arrangement information.</w:t>
      </w:r>
    </w:p>
  </w:footnote>
  <w:footnote w:id="47">
    <w:p w14:paraId="74DE3C4E" w14:textId="7777777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w:t>
      </w:r>
      <w:bookmarkStart w:id="15" w:name="_Hlk90041358"/>
      <w:r w:rsidRPr="002F227B">
        <w:rPr>
          <w:rFonts w:ascii="Times New Roman" w:hAnsi="Times New Roman" w:cs="Times New Roman"/>
        </w:rPr>
        <w:t xml:space="preserve">In addition to the Outpatient and Carrier Files, the Medicare Claims data also includes a separate Inpatient File that contains facility claims submitted by inpatient hospital providers. However, we use the Hospital Inpatient Discharge Database when analyzing utilization of inpatient services for Original Medicare beneficiaries. </w:t>
      </w:r>
    </w:p>
    <w:p w14:paraId="7E42DF83" w14:textId="52D28108" w:rsidR="00CF3141" w:rsidRPr="002F227B" w:rsidRDefault="00CF3141" w:rsidP="007C54F6">
      <w:pPr>
        <w:pStyle w:val="FootnoteText"/>
        <w:ind w:firstLine="720"/>
        <w:rPr>
          <w:rFonts w:ascii="Times New Roman" w:hAnsi="Times New Roman" w:cs="Times New Roman"/>
        </w:rPr>
      </w:pPr>
      <w:r w:rsidRPr="002F227B">
        <w:rPr>
          <w:rFonts w:ascii="Times New Roman" w:hAnsi="Times New Roman" w:cs="Times New Roman"/>
        </w:rPr>
        <w:t xml:space="preserve">Although we do not discuss it in detail here, we use the Medicare Inpatient File to calculate the total allowed amounts for inpatient services provided to Original Medicare beneficiaries. We use these allowed amounts to weight the estimated cost impacts across service lines in Section </w:t>
      </w:r>
      <w:r w:rsidRPr="002F227B">
        <w:rPr>
          <w:rFonts w:ascii="Times New Roman" w:hAnsi="Times New Roman" w:cs="Times New Roman"/>
        </w:rPr>
        <w:fldChar w:fldCharType="begin"/>
      </w:r>
      <w:r w:rsidRPr="002F227B">
        <w:rPr>
          <w:rFonts w:ascii="Times New Roman" w:hAnsi="Times New Roman" w:cs="Times New Roman"/>
        </w:rPr>
        <w:instrText xml:space="preserve"> REF _Ref90041260 \w \h  \* MERGEFORMAT </w:instrText>
      </w:r>
      <w:r w:rsidRPr="002F227B">
        <w:rPr>
          <w:rFonts w:ascii="Times New Roman" w:hAnsi="Times New Roman" w:cs="Times New Roman"/>
        </w:rPr>
      </w:r>
      <w:r w:rsidRPr="002F227B">
        <w:rPr>
          <w:rFonts w:ascii="Times New Roman" w:hAnsi="Times New Roman" w:cs="Times New Roman"/>
        </w:rPr>
        <w:fldChar w:fldCharType="separate"/>
      </w:r>
      <w:r>
        <w:rPr>
          <w:rFonts w:ascii="Times New Roman" w:hAnsi="Times New Roman" w:cs="Times New Roman"/>
        </w:rPr>
        <w:t>XI</w:t>
      </w:r>
      <w:r w:rsidRPr="002F227B">
        <w:rPr>
          <w:rFonts w:ascii="Times New Roman" w:hAnsi="Times New Roman" w:cs="Times New Roman"/>
        </w:rPr>
        <w:fldChar w:fldCharType="end"/>
      </w:r>
      <w:r w:rsidRPr="002F227B">
        <w:rPr>
          <w:rFonts w:ascii="Times New Roman" w:hAnsi="Times New Roman" w:cs="Times New Roman"/>
        </w:rPr>
        <w:t xml:space="preserve">. </w:t>
      </w:r>
      <w:bookmarkEnd w:id="15"/>
    </w:p>
  </w:footnote>
  <w:footnote w:id="48">
    <w:p w14:paraId="73D4F3AF" w14:textId="7E0D8981"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Research Data Assistance Center, “Outpatient (Fee-for-Service),”</w:t>
      </w:r>
      <w:r w:rsidRPr="002F227B">
        <w:rPr>
          <w:rFonts w:ascii="Times New Roman" w:hAnsi="Times New Roman" w:cs="Times New Roman"/>
          <w:i/>
          <w:iCs/>
        </w:rPr>
        <w:t xml:space="preserve"> available at</w:t>
      </w:r>
      <w:r w:rsidRPr="002F227B">
        <w:rPr>
          <w:rFonts w:ascii="Times New Roman" w:hAnsi="Times New Roman" w:cs="Times New Roman"/>
          <w:i/>
        </w:rPr>
        <w:t xml:space="preserve"> </w:t>
      </w:r>
      <w:r w:rsidRPr="002F227B">
        <w:rPr>
          <w:rFonts w:ascii="Times New Roman" w:hAnsi="Times New Roman" w:cs="Times New Roman"/>
        </w:rPr>
        <w:t>https://resdac.org/cms-data/files/op-ffs.</w:t>
      </w:r>
    </w:p>
  </w:footnote>
  <w:footnote w:id="49">
    <w:p w14:paraId="13E3C33F" w14:textId="6CF8D4F6"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Research Data Assistance Center, “Carrier (Fee-for-Service),”</w:t>
      </w:r>
      <w:r w:rsidRPr="002F227B">
        <w:rPr>
          <w:rFonts w:ascii="Times New Roman" w:hAnsi="Times New Roman" w:cs="Times New Roman"/>
          <w:i/>
          <w:iCs/>
        </w:rPr>
        <w:t xml:space="preserve"> available at</w:t>
      </w:r>
      <w:r w:rsidRPr="002F227B">
        <w:rPr>
          <w:rFonts w:ascii="Times New Roman" w:hAnsi="Times New Roman" w:cs="Times New Roman"/>
          <w:i/>
        </w:rPr>
        <w:t xml:space="preserve"> </w:t>
      </w:r>
      <w:r w:rsidRPr="002F227B">
        <w:rPr>
          <w:rFonts w:ascii="Times New Roman" w:hAnsi="Times New Roman" w:cs="Times New Roman"/>
        </w:rPr>
        <w:t>https://resdac.org/cms-data/files/carrier-ffs.</w:t>
      </w:r>
    </w:p>
  </w:footnote>
  <w:footnote w:id="50">
    <w:p w14:paraId="5BCCD5BD" w14:textId="5458EA26"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Facility claims in the Carrier File include claims submitted on Centers for Medicare and Medicaid Services claim form 1500 (or its electronic equivalent), which is also used for the submission of professional claims. Hospitals and other facilities whose claims are included in the Medicare Outpatient Claim File submit claims to Medicare using Centers for Medicare and Medicaid Services claim form 1450 (sometimes referred to form UB-04).</w:t>
      </w:r>
    </w:p>
  </w:footnote>
  <w:footnote w:id="51">
    <w:p w14:paraId="7E7BA72B" w14:textId="587488AB"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Lists of the fields contained in the Medicare Carrier and Outpatient files are available on the Research Data Assistance Center’s website: Research Data Assistance Center, “Outpatient (Fee-for-Service),”</w:t>
      </w:r>
      <w:r w:rsidRPr="002F227B">
        <w:rPr>
          <w:rFonts w:ascii="Times New Roman" w:hAnsi="Times New Roman" w:cs="Times New Roman"/>
          <w:i/>
        </w:rPr>
        <w:t xml:space="preserve"> available at </w:t>
      </w:r>
      <w:r w:rsidRPr="002F227B">
        <w:rPr>
          <w:rFonts w:ascii="Times New Roman" w:hAnsi="Times New Roman" w:cs="Times New Roman"/>
        </w:rPr>
        <w:t>https://resdac.org/cms-data/files/op-ffs. Research Data Assistance Center, “Carrier (Fee-for-Service),”</w:t>
      </w:r>
      <w:r w:rsidRPr="002F227B">
        <w:rPr>
          <w:rFonts w:ascii="Times New Roman" w:hAnsi="Times New Roman" w:cs="Times New Roman"/>
          <w:i/>
        </w:rPr>
        <w:t xml:space="preserve"> available at </w:t>
      </w:r>
      <w:r w:rsidRPr="002F227B">
        <w:rPr>
          <w:rFonts w:ascii="Times New Roman" w:hAnsi="Times New Roman" w:cs="Times New Roman"/>
        </w:rPr>
        <w:t>https://resdac.org/cms-data/files/carrier-ffs.</w:t>
      </w:r>
    </w:p>
  </w:footnote>
  <w:footnote w:id="52">
    <w:p w14:paraId="19905709" w14:textId="37C601FC"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We rely on the CMS Provider of Services File to identify the provider name associated with each CMS certification number. (CMS, December 2018 POS OTHER CSV File and Layouts, </w:t>
      </w:r>
      <w:r w:rsidRPr="002F227B">
        <w:rPr>
          <w:rFonts w:ascii="Times New Roman" w:hAnsi="Times New Roman" w:cs="Times New Roman"/>
          <w:i/>
          <w:iCs/>
        </w:rPr>
        <w:t>available at</w:t>
      </w:r>
      <w:r w:rsidRPr="002F227B">
        <w:rPr>
          <w:rFonts w:ascii="Times New Roman" w:hAnsi="Times New Roman" w:cs="Times New Roman"/>
        </w:rPr>
        <w:t xml:space="preserve"> https://downloads.cms.gov/files/pos_other_csv_dec18.zip.)</w:t>
      </w:r>
    </w:p>
  </w:footnote>
  <w:footnote w:id="53">
    <w:p w14:paraId="4D394B75" w14:textId="3F48DEA4"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We use these three NPI fields in an iterative approach. If the site of service NPI is an organizational NPI, we use the provider name and primary business practice address as recorded in the National Plan and Provider Enumeration System database for that NPI. If the site of service NPI is not an organizational NPI, we then rely on the provider name and address associated with the rendering physician NPI (to the extent that it is an organizational NPI), followed by the billing provider NPI.</w:t>
      </w:r>
    </w:p>
  </w:footnote>
  <w:footnote w:id="54">
    <w:p w14:paraId="2BE4440D" w14:textId="5C54F95D"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We are unable to assign facility ownership for some claims. These include claims where the site of service, rendering physician, and billing provider NPIs are not populated, are not organizational NPIs, or did not appear in the NPPES database.</w:t>
      </w:r>
    </w:p>
  </w:footnote>
  <w:footnote w:id="55">
    <w:p w14:paraId="6E37F510" w14:textId="119C8426"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CHIA, Relative Price and Provider Price Variation website, </w:t>
      </w:r>
      <w:r w:rsidRPr="002F227B">
        <w:rPr>
          <w:rFonts w:ascii="Times New Roman" w:hAnsi="Times New Roman" w:cs="Times New Roman"/>
          <w:i/>
        </w:rPr>
        <w:t xml:space="preserve">available at </w:t>
      </w:r>
      <w:r w:rsidRPr="002F227B">
        <w:rPr>
          <w:rFonts w:ascii="Times New Roman" w:hAnsi="Times New Roman" w:cs="Times New Roman"/>
        </w:rPr>
        <w:t>https://www.chiamass.gov/relative-price-and-provider-price-variation/.</w:t>
      </w:r>
    </w:p>
  </w:footnote>
  <w:footnote w:id="56">
    <w:p w14:paraId="7BF63DEC" w14:textId="427B2195"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A list of payors required to submit Relative Price data to CHIA is </w:t>
      </w:r>
      <w:r w:rsidRPr="002F227B">
        <w:rPr>
          <w:rFonts w:ascii="Times New Roman" w:hAnsi="Times New Roman" w:cs="Times New Roman"/>
          <w:i/>
        </w:rPr>
        <w:t>available at</w:t>
      </w:r>
      <w:r w:rsidRPr="002F227B">
        <w:rPr>
          <w:rFonts w:ascii="Times New Roman" w:hAnsi="Times New Roman" w:cs="Times New Roman"/>
        </w:rPr>
        <w:t xml:space="preserve"> https://www.chiamass.gov/list-of-payers-required-to-report-data. </w:t>
      </w:r>
    </w:p>
  </w:footnote>
  <w:footnote w:id="57">
    <w:p w14:paraId="3C12AF30" w14:textId="6149EE54"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CHIA, “Relative Price and Provider Price Variation in the Massachusetts Commercial Market, June 2021, Methodology Report,” </w:t>
      </w:r>
      <w:r w:rsidRPr="002F227B">
        <w:rPr>
          <w:rFonts w:ascii="Times New Roman" w:hAnsi="Times New Roman" w:cs="Times New Roman"/>
          <w:i/>
        </w:rPr>
        <w:t xml:space="preserve">available at </w:t>
      </w:r>
      <w:r w:rsidRPr="002F227B">
        <w:rPr>
          <w:rFonts w:ascii="Times New Roman" w:hAnsi="Times New Roman" w:cs="Times New Roman"/>
        </w:rPr>
        <w:t>https://www.chiamass.gov/assets/docs/r/pubs/2021/Relative-Price-Methodology-2019.pdf, pp. 3-4.</w:t>
      </w:r>
    </w:p>
  </w:footnote>
  <w:footnote w:id="58">
    <w:p w14:paraId="1BA5B443" w14:textId="7777777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CHIA, “Relative Price and Provider Price Variation in the Massachusetts Commercial Market, June 2021, Methodology Report,” </w:t>
      </w:r>
      <w:r w:rsidRPr="002F227B">
        <w:rPr>
          <w:rFonts w:ascii="Times New Roman" w:hAnsi="Times New Roman" w:cs="Times New Roman"/>
          <w:i/>
        </w:rPr>
        <w:t xml:space="preserve">available at </w:t>
      </w:r>
      <w:r w:rsidRPr="002F227B">
        <w:rPr>
          <w:rFonts w:ascii="Times New Roman" w:hAnsi="Times New Roman" w:cs="Times New Roman"/>
        </w:rPr>
        <w:t>https://www.chiamass.gov/assets/docs/r/pubs/2021/Relative-Price-Methodology-2019.pdf, p. 5.</w:t>
      </w:r>
    </w:p>
  </w:footnote>
  <w:footnote w:id="59">
    <w:p w14:paraId="55E073A2" w14:textId="2822CE01"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CHIA, “Relative Price and Provider Price Variation in the Massachusetts Commercial Market, June 2021, Methodology Report,” </w:t>
      </w:r>
      <w:r w:rsidRPr="002F227B">
        <w:rPr>
          <w:rFonts w:ascii="Times New Roman" w:hAnsi="Times New Roman" w:cs="Times New Roman"/>
          <w:i/>
        </w:rPr>
        <w:t xml:space="preserve">available at </w:t>
      </w:r>
      <w:r w:rsidRPr="002F227B">
        <w:rPr>
          <w:rFonts w:ascii="Times New Roman" w:hAnsi="Times New Roman" w:cs="Times New Roman"/>
        </w:rPr>
        <w:t>https://www.chiamass.gov/assets/docs/r/pubs/2021/Relative-Price-Methodology-2019.pdf, p. 5.</w:t>
      </w:r>
    </w:p>
  </w:footnote>
  <w:footnote w:id="60">
    <w:p w14:paraId="741D8109" w14:textId="49CE26D9"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CHIA’s relative price methodology defines a “network” as a unique combination of (a) insurance payor, (b) provider type, (c) insurance category, and (d) product type. (CHIA, “Relative Price and Provider Price Variation in the Massachusetts Commercial Market, June 2021 Methodology Report,” </w:t>
      </w:r>
      <w:r w:rsidRPr="002F227B">
        <w:rPr>
          <w:rFonts w:ascii="Times New Roman" w:hAnsi="Times New Roman" w:cs="Times New Roman"/>
          <w:i/>
        </w:rPr>
        <w:t xml:space="preserve">available at </w:t>
      </w:r>
      <w:r w:rsidRPr="002F227B">
        <w:rPr>
          <w:rFonts w:ascii="Times New Roman" w:hAnsi="Times New Roman" w:cs="Times New Roman"/>
        </w:rPr>
        <w:t>https://www.chiamass.gov/assets/docs/r/pubs/2021/Relative-Price-Methodology-2019.pdf</w:t>
      </w:r>
      <w:r w:rsidRPr="002F227B">
        <w:rPr>
          <w:rFonts w:ascii="Times New Roman" w:hAnsi="Times New Roman" w:cs="Times New Roman"/>
          <w:i/>
        </w:rPr>
        <w:t>,</w:t>
      </w:r>
      <w:r w:rsidRPr="002F227B">
        <w:rPr>
          <w:rFonts w:ascii="Times New Roman" w:hAnsi="Times New Roman" w:cs="Times New Roman"/>
        </w:rPr>
        <w:t xml:space="preserve"> p. 3.)</w:t>
      </w:r>
    </w:p>
  </w:footnote>
  <w:footnote w:id="61">
    <w:p w14:paraId="450F748A" w14:textId="54949090"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Suppose that prior to the hypothetical shift, BCBS-MA paid MGH $136 on average for each of the 100 members admitted to MGH, for a total of $13,600. After ten of these members switch to Brigham and Women’s Faulkner Hospital, BCBS-MA’s spending on the 100 members decreases to $13,320, calculated as $136 for each of the 90 members who are admitted to MGH plus $108 for each of the ten members who are admitted to Brigham and Women’s Faulkner Hospital. The $13,320 in total spending corresponds to a 2.1 percent reduction from $13,600.</w:t>
      </w:r>
    </w:p>
  </w:footnote>
  <w:footnote w:id="62">
    <w:p w14:paraId="31D497AC" w14:textId="40BA01B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The CHIA relative price information includes the following insurance types: commercial plans, Medicare health plans, MassHealth managed care plans, Dual Eligibles 18-64 plans, and Dual Eligibles 65+ plans. The Hospital Inpatient Discharge Database allows us to distinguish claims submitted by commercial plans, Medicare health plans, and MassHealth managed care plans. Therefore, we rely on data for commercial, Medicare health plans, and MassHealth managed care from CHIA’s inpatient relative price data.</w:t>
      </w:r>
    </w:p>
  </w:footnote>
  <w:footnote w:id="63">
    <w:p w14:paraId="57A9C04F" w14:textId="3335401D"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Although the relative price data also summarizes prices by product (such as Preferred Provider Organization or Health Maintenance Organization), a similar field is not available in the Hospital Inpatient Discharge Data. Therefore, we rely on the relative prices from the “all product” product type.</w:t>
      </w:r>
    </w:p>
  </w:footnote>
  <w:footnote w:id="64">
    <w:p w14:paraId="65A33AF9" w14:textId="10D528D3"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The majority of commercial discharges where we could not identify a corresponding value in the relative price data are associated with payors that do not submit relative price information to CHIA, such as the Kaiser Foundation and Liberty Mutual.</w:t>
      </w:r>
    </w:p>
  </w:footnote>
  <w:footnote w:id="65">
    <w:p w14:paraId="744236C2" w14:textId="09ABDCA5"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CMS, Files for FY 2019 Final Rule and Correction Notice, </w:t>
      </w:r>
      <w:r w:rsidRPr="002F227B">
        <w:rPr>
          <w:rFonts w:ascii="Times New Roman" w:hAnsi="Times New Roman" w:cs="Times New Roman"/>
          <w:i/>
        </w:rPr>
        <w:t>available at</w:t>
      </w:r>
      <w:r w:rsidRPr="002F227B">
        <w:rPr>
          <w:rFonts w:ascii="Times New Roman" w:hAnsi="Times New Roman" w:cs="Times New Roman"/>
        </w:rPr>
        <w:t xml:space="preserve"> https://www.cms.gov/medicaremedicare-fee-service-paymentacuteinpatientppsacute-inpatient-files-download/files-fy-2019-final-rule-and-correction-notice; CMS, FY 2019 Final Rule and Correction Notice Data Files, </w:t>
      </w:r>
      <w:r w:rsidRPr="002F227B">
        <w:rPr>
          <w:rFonts w:ascii="Times New Roman" w:hAnsi="Times New Roman" w:cs="Times New Roman"/>
          <w:i/>
          <w:iCs/>
        </w:rPr>
        <w:t>available at</w:t>
      </w:r>
      <w:r w:rsidRPr="002F227B">
        <w:rPr>
          <w:rFonts w:ascii="Times New Roman" w:hAnsi="Times New Roman" w:cs="Times New Roman"/>
        </w:rPr>
        <w:t xml:space="preserve"> https://www.cms.gov/Medicare/Medicare-Fee-for-Service-Payment/AcuteInpatientPPS/</w:t>
      </w:r>
      <w:r w:rsidRPr="002F227B">
        <w:rPr>
          <w:rFonts w:ascii="Times New Roman" w:hAnsi="Times New Roman" w:cs="Times New Roman"/>
        </w:rPr>
        <w:br/>
        <w:t xml:space="preserve">FY2019-IPPS-Final-Rule-Home-Page-Items/FY2019-IPPS-Final-Rule-Data-Files. </w:t>
      </w:r>
    </w:p>
  </w:footnote>
  <w:footnote w:id="66">
    <w:p w14:paraId="1084242B" w14:textId="7777777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The base rates for individual hospitals vary due to local variation in labor or capital costs and costs associated with providing graduate medical education. Hospitals serving a disproportionately high share of low-income patients may also receive an upward adjustment in the amounts reimbursed by CMS.</w:t>
      </w:r>
    </w:p>
  </w:footnote>
  <w:footnote w:id="67">
    <w:p w14:paraId="33D9B810" w14:textId="5897AAA4"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Medicare Payment Advisory Commission, “Outpatient Hospital Services Payment System” (Revised: November 2021), </w:t>
      </w:r>
      <w:r w:rsidRPr="002F227B">
        <w:rPr>
          <w:rFonts w:ascii="Times New Roman" w:hAnsi="Times New Roman" w:cs="Times New Roman"/>
          <w:i/>
        </w:rPr>
        <w:t>available at</w:t>
      </w:r>
      <w:r w:rsidRPr="002F227B">
        <w:rPr>
          <w:rFonts w:ascii="Times New Roman" w:hAnsi="Times New Roman" w:cs="Times New Roman"/>
        </w:rPr>
        <w:t xml:space="preserve"> https://www.medpac.gov/wp-content/uploads/2021/11/medpac_payment_basics_21_opd_</w:t>
      </w:r>
      <w:r w:rsidRPr="002F227B">
        <w:rPr>
          <w:rFonts w:ascii="Times New Roman" w:hAnsi="Times New Roman" w:cs="Times New Roman"/>
        </w:rPr>
        <w:br/>
        <w:t>final_sec.pdf.</w:t>
      </w:r>
    </w:p>
  </w:footnote>
  <w:footnote w:id="68">
    <w:p w14:paraId="03A2FEA9" w14:textId="4ADBDF53"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CMS, Addendum A and Addendum B Updates, </w:t>
      </w:r>
      <w:r w:rsidRPr="002F227B">
        <w:rPr>
          <w:rFonts w:ascii="Times New Roman" w:hAnsi="Times New Roman" w:cs="Times New Roman"/>
          <w:i/>
          <w:iCs/>
        </w:rPr>
        <w:t>available at</w:t>
      </w:r>
      <w:r w:rsidRPr="002F227B">
        <w:rPr>
          <w:rFonts w:ascii="Times New Roman" w:hAnsi="Times New Roman" w:cs="Times New Roman"/>
        </w:rPr>
        <w:t xml:space="preserve"> https://www.cms.gov/Medicare/Medicare-Fee-for-Service-Payment/HospitalOutpatientPPS/Addendum-A-and-Addendum-B-Updates.</w:t>
      </w:r>
    </w:p>
  </w:footnote>
  <w:footnote w:id="69">
    <w:p w14:paraId="1B86E562" w14:textId="0921619D"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CBSAs are geographical areas (either metropolitan statistical areas or micropolitan statistical areas) with at least one urbanized area with a minimum population of 50,000 (metropolitan) or 10,000 (micropolitan) and adjacent territory with a “high degree of social and economic integration with the core as measured by commuting ties.” (U.S. Census Bureau, “Core-Based Statistical Areas,” </w:t>
      </w:r>
      <w:r w:rsidRPr="002F227B">
        <w:rPr>
          <w:rFonts w:ascii="Times New Roman" w:hAnsi="Times New Roman" w:cs="Times New Roman"/>
          <w:i/>
          <w:iCs/>
        </w:rPr>
        <w:t>available at</w:t>
      </w:r>
      <w:r w:rsidRPr="002F227B">
        <w:rPr>
          <w:rFonts w:ascii="Times New Roman" w:hAnsi="Times New Roman" w:cs="Times New Roman"/>
        </w:rPr>
        <w:t xml:space="preserve"> https://www.census.gov/topics/housing/housing-patterns/about/core-based-statistical-areas.html.)</w:t>
      </w:r>
    </w:p>
  </w:footnote>
  <w:footnote w:id="70">
    <w:p w14:paraId="15960027" w14:textId="1584FD44"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The methodology used by CMS to calculate Medicare reimbursement rates to ASCs is similar to the OPPS methodology. Both methods utilize the same APC-level relative weights and adjust for differences in labor costs across CBSAs, although the wage adjustment is slightly smaller for ASCs. (MedPAC Payment Basics, “Ambulatory Surgical Center Services Payment System,” (Revised: November 2021), </w:t>
      </w:r>
      <w:r w:rsidRPr="002F227B">
        <w:rPr>
          <w:rFonts w:ascii="Times New Roman" w:hAnsi="Times New Roman" w:cs="Times New Roman"/>
          <w:i/>
        </w:rPr>
        <w:t>available at</w:t>
      </w:r>
      <w:r w:rsidRPr="002F227B">
        <w:rPr>
          <w:rFonts w:ascii="Times New Roman" w:hAnsi="Times New Roman" w:cs="Times New Roman"/>
        </w:rPr>
        <w:t xml:space="preserve"> https://www.medpac.gov/wp-content/uploads/2021/11/medpac_payment_basics_21_asc_final_sec.pdf.)</w:t>
      </w:r>
    </w:p>
  </w:footnote>
  <w:footnote w:id="71">
    <w:p w14:paraId="051D35D3" w14:textId="4D7A35A3"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MedPAC Payment Basics, “Outpatient Hospital Services Payment System,” (Revised: November 2021),</w:t>
      </w:r>
      <w:r w:rsidRPr="002F227B">
        <w:rPr>
          <w:rFonts w:ascii="Times New Roman" w:hAnsi="Times New Roman" w:cs="Times New Roman"/>
          <w:i/>
        </w:rPr>
        <w:t xml:space="preserve"> available at</w:t>
      </w:r>
      <w:r w:rsidRPr="002F227B">
        <w:rPr>
          <w:rFonts w:ascii="Times New Roman" w:hAnsi="Times New Roman" w:cs="Times New Roman"/>
        </w:rPr>
        <w:t xml:space="preserve"> https://www.medpac.gov/wp-content/uploads/2021/11/medpac_payment_basics_21_opd_</w:t>
      </w:r>
      <w:r w:rsidRPr="002F227B">
        <w:rPr>
          <w:rFonts w:ascii="Times New Roman" w:hAnsi="Times New Roman" w:cs="Times New Roman"/>
        </w:rPr>
        <w:br/>
        <w:t>final_sec.pdf, p 4.</w:t>
      </w:r>
    </w:p>
  </w:footnote>
  <w:footnote w:id="72">
    <w:p w14:paraId="61C1A820" w14:textId="6BEEF8AD"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For additional details regarding NPIs, </w:t>
      </w:r>
      <w:r w:rsidRPr="002F227B">
        <w:rPr>
          <w:rFonts w:ascii="Times New Roman" w:hAnsi="Times New Roman" w:cs="Times New Roman"/>
          <w:i/>
        </w:rPr>
        <w:t>see</w:t>
      </w:r>
      <w:r w:rsidRPr="002F227B">
        <w:rPr>
          <w:rFonts w:ascii="Times New Roman" w:hAnsi="Times New Roman" w:cs="Times New Roman"/>
        </w:rPr>
        <w:t xml:space="preserve"> CMS, “NPI: What You Need to Know,” </w:t>
      </w:r>
      <w:r w:rsidRPr="002F227B">
        <w:rPr>
          <w:rFonts w:ascii="Times New Roman" w:hAnsi="Times New Roman" w:cs="Times New Roman"/>
          <w:i/>
        </w:rPr>
        <w:t>available at</w:t>
      </w:r>
      <w:r w:rsidRPr="002F227B">
        <w:rPr>
          <w:rFonts w:ascii="Times New Roman" w:hAnsi="Times New Roman" w:cs="Times New Roman"/>
        </w:rPr>
        <w:t xml:space="preserve"> https://www.cms.gov/Outreach-and-Education/Medicare-Learning-Network-MLN/MLNProducts/downloads/NPI-What-You-Need-To-Know.pdf.</w:t>
      </w:r>
    </w:p>
  </w:footnote>
  <w:footnote w:id="73">
    <w:p w14:paraId="1EAD28C3" w14:textId="1E541851"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The NPPES downloadable file is </w:t>
      </w:r>
      <w:r w:rsidRPr="002F227B">
        <w:rPr>
          <w:rFonts w:ascii="Times New Roman" w:hAnsi="Times New Roman" w:cs="Times New Roman"/>
          <w:i/>
          <w:iCs/>
        </w:rPr>
        <w:t>available at</w:t>
      </w:r>
      <w:r w:rsidRPr="002F227B">
        <w:rPr>
          <w:rFonts w:ascii="Times New Roman" w:hAnsi="Times New Roman" w:cs="Times New Roman"/>
        </w:rPr>
        <w:t xml:space="preserve"> https://download.cms.gov/nppes/NPI_Files.html. The complete database of all NPIs is updated on a monthly basis with incremental NPI files published weekly.</w:t>
      </w:r>
    </w:p>
  </w:footnote>
  <w:footnote w:id="74">
    <w:p w14:paraId="00FD4E6F" w14:textId="7A3009F3"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A provider is assigned one NPI, which never expires (and can remain active even if a provider retires or is no longer in clinical practice) and is never recycled or assigned to a different health care provider. Providers are able to update information associated with their NPI (</w:t>
      </w:r>
      <w:r w:rsidRPr="002F227B">
        <w:rPr>
          <w:rFonts w:ascii="Times New Roman" w:hAnsi="Times New Roman" w:cs="Times New Roman"/>
          <w:i/>
        </w:rPr>
        <w:t>e.g.</w:t>
      </w:r>
      <w:r w:rsidRPr="002F227B">
        <w:rPr>
          <w:rFonts w:ascii="Times New Roman" w:hAnsi="Times New Roman" w:cs="Times New Roman"/>
        </w:rPr>
        <w:t xml:space="preserve">, their name, credentials, address, taxonomy codes, etc.) but their NPI will remain the same. (CMS, “NPI Fact Sheet,” </w:t>
      </w:r>
      <w:r w:rsidRPr="002F227B">
        <w:rPr>
          <w:rFonts w:ascii="Times New Roman" w:hAnsi="Times New Roman" w:cs="Times New Roman"/>
          <w:i/>
          <w:iCs/>
        </w:rPr>
        <w:t>available at</w:t>
      </w:r>
      <w:r w:rsidRPr="002F227B">
        <w:rPr>
          <w:rFonts w:ascii="Times New Roman" w:hAnsi="Times New Roman" w:cs="Times New Roman"/>
        </w:rPr>
        <w:t xml:space="preserve"> https://www.cms.gov/Regulations-and-Guidance/Administrative-Simplification/NationalProvIdentStand/Downloads/NPIFactSheet012606.pdf.)</w:t>
      </w:r>
    </w:p>
  </w:footnote>
  <w:footnote w:id="75">
    <w:p w14:paraId="5309B328" w14:textId="78AD96B8"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UMass Donahue Institute, “Massachusetts Population Estimates Program,” </w:t>
      </w:r>
      <w:r w:rsidRPr="002F227B">
        <w:rPr>
          <w:rFonts w:ascii="Times New Roman" w:hAnsi="Times New Roman" w:cs="Times New Roman"/>
          <w:i/>
          <w:iCs/>
        </w:rPr>
        <w:t>available at</w:t>
      </w:r>
      <w:r w:rsidRPr="002F227B">
        <w:rPr>
          <w:rFonts w:ascii="Times New Roman" w:hAnsi="Times New Roman" w:cs="Times New Roman"/>
          <w:i/>
        </w:rPr>
        <w:t xml:space="preserve"> </w:t>
      </w:r>
      <w:r w:rsidRPr="002F227B">
        <w:rPr>
          <w:rFonts w:ascii="Times New Roman" w:hAnsi="Times New Roman" w:cs="Times New Roman"/>
        </w:rPr>
        <w:t>https://donahue.umass.edu/business-groups/economic-public-policy-research/massachusetts-population-estimates-program/population-projections.</w:t>
      </w:r>
    </w:p>
  </w:footnote>
  <w:footnote w:id="76">
    <w:p w14:paraId="538ED724" w14:textId="0D89C632"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We define patient service areas based on patient ZIP Codes, which are smaller geographic units than MCDs. We allocate UMDI’s MCD-level population estimates to ZIP Codes based on each ZIP Code’s share of the total land area of an MCD. Land area measurements for each MCD-ZIP Code pair are obtained from the U.S. Department of Housing and Urban Development’s County Subdivision to ZIP Code crosswalk file, </w:t>
      </w:r>
      <w:r w:rsidRPr="002F227B">
        <w:rPr>
          <w:rFonts w:ascii="Times New Roman" w:hAnsi="Times New Roman" w:cs="Times New Roman"/>
          <w:i/>
        </w:rPr>
        <w:t>available at</w:t>
      </w:r>
      <w:r w:rsidRPr="002F227B">
        <w:rPr>
          <w:rFonts w:ascii="Times New Roman" w:hAnsi="Times New Roman" w:cs="Times New Roman"/>
        </w:rPr>
        <w:t xml:space="preserve"> https://www.huduser.gov/portal/datasets/usps_crosswalk.html. For ZIP Codes that span multiple MCDs, we aggregate the MCD/ZIP Code-specific demographic estimates across MCDs to the ZIP Code-level.</w:t>
      </w:r>
    </w:p>
  </w:footnote>
  <w:footnote w:id="77">
    <w:p w14:paraId="2053C495" w14:textId="00B439B9"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These include transfers from an outside hospital emergency room, another unit within the same hospital, court/law enforcement, hospice facility, or another institution’s ASC.</w:t>
      </w:r>
    </w:p>
  </w:footnote>
  <w:footnote w:id="78">
    <w:p w14:paraId="52513E3B" w14:textId="34F9644C"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It appears that the inpatient service analyses in the MGH DoN application is not limited to patients living in Massachusetts. As such, MGB’s numbers are often higher than those in our analyses.</w:t>
      </w:r>
    </w:p>
  </w:footnote>
  <w:footnote w:id="79">
    <w:p w14:paraId="0E9EF776" w14:textId="5F9F97D0" w:rsidR="00CF3141" w:rsidRPr="002F227B" w:rsidRDefault="00CF3141" w:rsidP="00335D93">
      <w:pPr>
        <w:pStyle w:val="CommentText"/>
        <w:spacing w:line="240" w:lineRule="auto"/>
        <w:rPr>
          <w:rFonts w:cs="Times New Roman"/>
        </w:rPr>
      </w:pPr>
      <w:r w:rsidRPr="002F227B">
        <w:rPr>
          <w:rStyle w:val="FootnoteReference"/>
          <w:rFonts w:cs="Times New Roman"/>
        </w:rPr>
        <w:footnoteRef/>
      </w:r>
      <w:r w:rsidRPr="002F227B">
        <w:rPr>
          <w:rFonts w:cs="Times New Roman"/>
        </w:rPr>
        <w:t xml:space="preserve"> We rely on the discharge, admitting, and as many secondary diagnosis codes (in the order they are submitted) as necessary to identify four unique diagnosis codes. These diagnosis codes appear in a separate table in the Hospital Inpatient Discharge Data where each record corresponds to a diagnosis code for a given discharge. (The </w:t>
      </w:r>
      <w:r w:rsidRPr="002F227B">
        <w:rPr>
          <w:rFonts w:cs="Times New Roman"/>
          <w:i/>
        </w:rPr>
        <w:t>indicator</w:t>
      </w:r>
      <w:r w:rsidRPr="002F227B">
        <w:rPr>
          <w:rFonts w:cs="Times New Roman"/>
        </w:rPr>
        <w:t xml:space="preserve"> field separately identifies the admitting, discharge, and secondary diagnosis codes and the values in the </w:t>
      </w:r>
      <w:r w:rsidRPr="002F227B">
        <w:rPr>
          <w:rFonts w:cs="Times New Roman"/>
          <w:i/>
        </w:rPr>
        <w:t>associatedindicator</w:t>
      </w:r>
      <w:r w:rsidRPr="002F227B">
        <w:rPr>
          <w:rFonts w:cs="Times New Roman"/>
        </w:rPr>
        <w:t xml:space="preserve"> field corresponds to the order in which the secondary diagnoses are submitted.)</w:t>
      </w:r>
    </w:p>
  </w:footnote>
  <w:footnote w:id="80">
    <w:p w14:paraId="54F5D3E6" w14:textId="7777777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The type of bill is reflected in the </w:t>
      </w:r>
      <w:r w:rsidRPr="002F227B">
        <w:rPr>
          <w:rFonts w:ascii="Times New Roman" w:hAnsi="Times New Roman" w:cs="Times New Roman"/>
          <w:i/>
          <w:iCs/>
        </w:rPr>
        <w:t>Type of Bill - on Facility Claims</w:t>
      </w:r>
      <w:r w:rsidRPr="002F227B">
        <w:rPr>
          <w:rFonts w:ascii="Times New Roman" w:hAnsi="Times New Roman" w:cs="Times New Roman"/>
        </w:rPr>
        <w:t xml:space="preserve"> field in the APCD. The type of bill in the Medicare Outpatient File is determined by combining the </w:t>
      </w:r>
      <w:r w:rsidRPr="002F227B">
        <w:rPr>
          <w:rFonts w:ascii="Times New Roman" w:hAnsi="Times New Roman" w:cs="Times New Roman"/>
          <w:i/>
          <w:iCs/>
        </w:rPr>
        <w:t>Claim Facility Type Code</w:t>
      </w:r>
      <w:r w:rsidRPr="002F227B">
        <w:rPr>
          <w:rFonts w:ascii="Times New Roman" w:hAnsi="Times New Roman" w:cs="Times New Roman"/>
        </w:rPr>
        <w:t xml:space="preserve"> field with the </w:t>
      </w:r>
      <w:r w:rsidRPr="002F227B">
        <w:rPr>
          <w:rFonts w:ascii="Times New Roman" w:hAnsi="Times New Roman" w:cs="Times New Roman"/>
          <w:i/>
          <w:iCs/>
        </w:rPr>
        <w:t>Claim Service Classification Type Code</w:t>
      </w:r>
      <w:r w:rsidRPr="002F227B">
        <w:rPr>
          <w:rFonts w:ascii="Times New Roman" w:hAnsi="Times New Roman" w:cs="Times New Roman"/>
        </w:rPr>
        <w:t xml:space="preserve"> field.</w:t>
      </w:r>
    </w:p>
  </w:footnote>
  <w:footnote w:id="81">
    <w:p w14:paraId="75CEFEE9" w14:textId="7777777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The place of service is reflected in the </w:t>
      </w:r>
      <w:r w:rsidRPr="002F227B">
        <w:rPr>
          <w:rFonts w:ascii="Times New Roman" w:hAnsi="Times New Roman" w:cs="Times New Roman"/>
          <w:i/>
          <w:iCs/>
        </w:rPr>
        <w:t>Site of Service</w:t>
      </w:r>
      <w:r w:rsidRPr="002F227B">
        <w:rPr>
          <w:rFonts w:ascii="Times New Roman" w:hAnsi="Times New Roman" w:cs="Times New Roman"/>
        </w:rPr>
        <w:t xml:space="preserve"> and </w:t>
      </w:r>
      <w:r w:rsidRPr="002F227B">
        <w:rPr>
          <w:rFonts w:ascii="Times New Roman" w:hAnsi="Times New Roman" w:cs="Times New Roman"/>
          <w:i/>
          <w:iCs/>
        </w:rPr>
        <w:t xml:space="preserve">Place of Service </w:t>
      </w:r>
      <w:r w:rsidRPr="002F227B">
        <w:rPr>
          <w:rFonts w:ascii="Times New Roman" w:hAnsi="Times New Roman" w:cs="Times New Roman"/>
        </w:rPr>
        <w:t>fields in the APCD and Medicare Carrier File, respectively.</w:t>
      </w:r>
    </w:p>
  </w:footnote>
  <w:footnote w:id="82">
    <w:p w14:paraId="2116211D" w14:textId="7777777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The facility fees (</w:t>
      </w:r>
      <w:r w:rsidRPr="002F227B">
        <w:rPr>
          <w:rFonts w:ascii="Times New Roman" w:hAnsi="Times New Roman" w:cs="Times New Roman"/>
          <w:i/>
          <w:iCs/>
        </w:rPr>
        <w:t>i.e.</w:t>
      </w:r>
      <w:r w:rsidRPr="002F227B">
        <w:rPr>
          <w:rFonts w:ascii="Times New Roman" w:hAnsi="Times New Roman" w:cs="Times New Roman"/>
        </w:rPr>
        <w:t>, the technical component) associated with diagnostic imaging services provided at these locations are submitted on CMS claim form 1500 (or its electronic equivalent), which is also used for the submission of professional claims. Our analysis excludes the professional fees (</w:t>
      </w:r>
      <w:r w:rsidRPr="002F227B">
        <w:rPr>
          <w:rFonts w:ascii="Times New Roman" w:hAnsi="Times New Roman" w:cs="Times New Roman"/>
          <w:i/>
          <w:iCs/>
        </w:rPr>
        <w:t>i.e</w:t>
      </w:r>
      <w:r w:rsidRPr="002F227B">
        <w:rPr>
          <w:rFonts w:ascii="Times New Roman" w:hAnsi="Times New Roman" w:cs="Times New Roman"/>
        </w:rPr>
        <w:t>., the radiologist’s fee billed with modifier 26) associated with claims from these locations.</w:t>
      </w:r>
    </w:p>
  </w:footnote>
  <w:footnote w:id="83">
    <w:p w14:paraId="289469F4" w14:textId="7777777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We do not treat vascular CPTs as part of cardiovascular in our analyses.</w:t>
      </w:r>
    </w:p>
  </w:footnote>
  <w:footnote w:id="84">
    <w:p w14:paraId="2869758B" w14:textId="0EFDBDDC"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We rely on the same set of diagnosis codes as in our analysis of inpatient oncology services.</w:t>
      </w:r>
    </w:p>
  </w:footnote>
  <w:footnote w:id="85">
    <w:p w14:paraId="12C67ED7" w14:textId="5EB44BC9"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In the Medicare claims data, </w:t>
      </w:r>
      <w:r w:rsidRPr="002F227B">
        <w:rPr>
          <w:rFonts w:ascii="Times New Roman" w:hAnsi="Times New Roman" w:cs="Times New Roman"/>
          <w:i/>
        </w:rPr>
        <w:t>Claim Diagnosis Code I</w:t>
      </w:r>
      <w:r w:rsidRPr="002F227B">
        <w:rPr>
          <w:rFonts w:ascii="Times New Roman" w:hAnsi="Times New Roman" w:cs="Times New Roman"/>
        </w:rPr>
        <w:t xml:space="preserve"> is also the </w:t>
      </w:r>
      <w:r w:rsidRPr="002F227B">
        <w:rPr>
          <w:rFonts w:ascii="Times New Roman" w:hAnsi="Times New Roman" w:cs="Times New Roman"/>
          <w:i/>
        </w:rPr>
        <w:t>Principal Diagnosis Code</w:t>
      </w:r>
      <w:r w:rsidRPr="002F227B">
        <w:rPr>
          <w:rFonts w:ascii="Times New Roman" w:hAnsi="Times New Roman" w:cs="Times New Roman"/>
        </w:rPr>
        <w:t>.</w:t>
      </w:r>
    </w:p>
  </w:footnote>
  <w:footnote w:id="86">
    <w:p w14:paraId="1B7B3853" w14:textId="48B44618"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Certain oncology-related diagnosis codes could not be assigned to a body part.</w:t>
      </w:r>
    </w:p>
  </w:footnote>
  <w:footnote w:id="87">
    <w:p w14:paraId="4A33E5F4" w14:textId="7777777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While the proposed project includes the addition of a PET/MR unit at MGH, the APCD and Medicare Claims reflect claims for 2018 and we understand that in 2018 there were no operational PET/MR units in Massachusetts.</w:t>
      </w:r>
    </w:p>
  </w:footnote>
  <w:footnote w:id="88">
    <w:p w14:paraId="3582E780" w14:textId="45DE860F"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CHIA, “Relative Price and Provider Price Variation,” </w:t>
      </w:r>
      <w:r w:rsidRPr="002F227B">
        <w:rPr>
          <w:rFonts w:ascii="Times New Roman" w:hAnsi="Times New Roman" w:cs="Times New Roman"/>
          <w:i/>
        </w:rPr>
        <w:t>available at</w:t>
      </w:r>
      <w:r w:rsidRPr="002F227B">
        <w:rPr>
          <w:rFonts w:ascii="Times New Roman" w:hAnsi="Times New Roman" w:cs="Times New Roman"/>
        </w:rPr>
        <w:t xml:space="preserve"> https://www.chiamass.gov/relative-price-and-provider-price-variation/.</w:t>
      </w:r>
    </w:p>
  </w:footnote>
  <w:footnote w:id="89">
    <w:p w14:paraId="7B05F914" w14:textId="5EADBA64"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To calculate the overall reimbursement rate for a given outpatient service, facility, payor, and insurance type combination, we restrict the set of reimbursements to those we could assign an Original Medicare payment. For example, suppose a facility received $10,000 in reimbursements for CT scans performed on enrollees in BCBS-MA commercial health plans, but we can only assign an Original Medicare reimbursement rate to claims underlying $9,000 of the $10,000 in reimbursements. The overall reimbursement rate then equals the ratio of these restricted reimbursements (</w:t>
      </w:r>
      <w:r w:rsidRPr="002F227B">
        <w:rPr>
          <w:rFonts w:ascii="Times New Roman" w:hAnsi="Times New Roman" w:cs="Times New Roman"/>
          <w:i/>
        </w:rPr>
        <w:t xml:space="preserve">e.g., </w:t>
      </w:r>
      <w:r w:rsidRPr="002F227B">
        <w:rPr>
          <w:rFonts w:ascii="Times New Roman" w:hAnsi="Times New Roman" w:cs="Times New Roman"/>
        </w:rPr>
        <w:t>$9,000) to what Original Medicare would have paid the facility for the same set of claims. If Original Medicare would have reimbursed the facility $6,000 for the $9,000 in CT scan claims BCBS-MA reimbursed the facility, the overall CT scans reimbursement rate for the facility, payor, and insurance type combination would be 1.50 (= $9,000 / $6,000).</w:t>
      </w:r>
    </w:p>
  </w:footnote>
  <w:footnote w:id="90">
    <w:p w14:paraId="3835287C" w14:textId="5367437D"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Addendum B indicates the rates that Original Medicare pays for services in HOPDs and not the rates paid for services provided at other types of facilities. However, expressing prices as a ratio to the HOPD rate allows us to capture differences in the relative prices across facilities. To remove potential outliers, we exclude claims with charges relative to Original Medicare payments that fall into the top and bottom five percent of claims, separately for each service line (</w:t>
      </w:r>
      <w:r w:rsidRPr="002F227B">
        <w:rPr>
          <w:rFonts w:ascii="Times New Roman" w:hAnsi="Times New Roman" w:cs="Times New Roman"/>
          <w:i/>
        </w:rPr>
        <w:t>e.g</w:t>
      </w:r>
      <w:r w:rsidRPr="002F227B">
        <w:rPr>
          <w:rFonts w:ascii="Times New Roman" w:hAnsi="Times New Roman" w:cs="Times New Roman"/>
          <w:i/>
          <w:iCs/>
        </w:rPr>
        <w:t>.,</w:t>
      </w:r>
      <w:r w:rsidRPr="002F227B">
        <w:rPr>
          <w:rFonts w:ascii="Times New Roman" w:hAnsi="Times New Roman" w:cs="Times New Roman"/>
        </w:rPr>
        <w:t xml:space="preserve"> outpatient cardiovascular).</w:t>
      </w:r>
    </w:p>
  </w:footnote>
  <w:footnote w:id="91">
    <w:p w14:paraId="6AC4CB2E" w14:textId="0DE16DC1"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While we are not aware of any study that compares MassHealth managed care rates with MassHealth non-managed care rates, a related study documents that Medicare Advantage rates are similar to Original Medicare’s fee schedule amounts. (Robert A. Berenson, Jonathan H. Sunshine, David Helms, and Emily Lawton. “Why Medicare Advantage Plans Pay Hospitals Traditional Medicare Prices.” </w:t>
      </w:r>
      <w:r w:rsidRPr="002F227B">
        <w:rPr>
          <w:rFonts w:ascii="Times New Roman" w:hAnsi="Times New Roman" w:cs="Times New Roman"/>
          <w:i/>
          <w:iCs/>
        </w:rPr>
        <w:t>Health Affairs</w:t>
      </w:r>
      <w:r w:rsidRPr="002F227B">
        <w:rPr>
          <w:rFonts w:ascii="Times New Roman" w:hAnsi="Times New Roman" w:cs="Times New Roman"/>
        </w:rPr>
        <w:t xml:space="preserve"> (2015).)</w:t>
      </w:r>
    </w:p>
  </w:footnote>
  <w:footnote w:id="92">
    <w:p w14:paraId="207298E7" w14:textId="4F39EC44"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MassHealth: Payment for In-State Acute Hospital Services and Out-of-State Acute Hospital Services, effective November 1, 2021. p. 7, </w:t>
      </w:r>
      <w:r w:rsidRPr="002F227B">
        <w:rPr>
          <w:rFonts w:ascii="Times New Roman" w:hAnsi="Times New Roman" w:cs="Times New Roman"/>
          <w:i/>
          <w:iCs/>
        </w:rPr>
        <w:t>available at</w:t>
      </w:r>
      <w:r w:rsidRPr="002F227B">
        <w:rPr>
          <w:rFonts w:ascii="Times New Roman" w:hAnsi="Times New Roman" w:cs="Times New Roman"/>
        </w:rPr>
        <w:t xml:space="preserve"> https://www.mass.gov/doc/notice-of-final-agency-action-masshealth-payment-for-in-state-acute-hospital-services-and-out-of-state-acute-hospital-services-effective-november-1-2021-0.</w:t>
      </w:r>
    </w:p>
  </w:footnote>
  <w:footnote w:id="93">
    <w:p w14:paraId="631C959E" w14:textId="07A2E0FB"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MassHealth: Payment for In-State Acute Hospital Services and Out-of-State Acute Hospital Services, effective November 1, 2021. Attachment B, </w:t>
      </w:r>
      <w:r w:rsidRPr="002F227B">
        <w:rPr>
          <w:rFonts w:ascii="Times New Roman" w:hAnsi="Times New Roman" w:cs="Times New Roman"/>
          <w:i/>
          <w:iCs/>
        </w:rPr>
        <w:t>available at</w:t>
      </w:r>
      <w:r w:rsidRPr="002F227B">
        <w:rPr>
          <w:rFonts w:ascii="Times New Roman" w:hAnsi="Times New Roman" w:cs="Times New Roman"/>
        </w:rPr>
        <w:t xml:space="preserve"> https://www.mass.gov/doc/notice-of-final-agency-action-masshealth-payment-for-in-state-acute-hospital-services-and-out-of-state-acute-hospital-services-effective-november-1-2021-0.</w:t>
      </w:r>
    </w:p>
  </w:footnote>
  <w:footnote w:id="94">
    <w:p w14:paraId="79F462E0" w14:textId="30C7197A"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To calculate the specific payment for each in-state discharge, the base payment for the hospital is multiplied by the MassHealth DRG relative weight assigned to each discharge. This discharge specific weight scales up (or down) the base payment to account for differences in the cost of treatment associated with each All Patients Refined-DRG. To compare relative rates between hospitals this final scaling is not necessary.</w:t>
      </w:r>
    </w:p>
  </w:footnote>
  <w:footnote w:id="95">
    <w:p w14:paraId="3EBBEF11" w14:textId="7777777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MassHealth: Payment for In-State Acute Hospital Services and Out-of-State Acute Hospital Services, effective November 1, 2021. pp. 10-11, </w:t>
      </w:r>
      <w:r w:rsidRPr="002F227B">
        <w:rPr>
          <w:rFonts w:ascii="Times New Roman" w:hAnsi="Times New Roman" w:cs="Times New Roman"/>
          <w:i/>
        </w:rPr>
        <w:t>available at</w:t>
      </w:r>
      <w:r w:rsidRPr="002F227B">
        <w:rPr>
          <w:rFonts w:ascii="Times New Roman" w:hAnsi="Times New Roman" w:cs="Times New Roman"/>
        </w:rPr>
        <w:t xml:space="preserve"> https://www.mass.gov/doc/notice-of-final-agency-action-masshealth-payment-for-in-state-acute-hospital-services-and-out-of-state-acute-hospital-services-effective-november-1-2021-0.</w:t>
      </w:r>
    </w:p>
  </w:footnote>
  <w:footnote w:id="96">
    <w:p w14:paraId="6AF287BF" w14:textId="73070635"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MassHealth: Payment for In-State Acute Hospital Services and Out-of-State Acute Hospital Services, effective November 1, 2021. p. 57, </w:t>
      </w:r>
      <w:r w:rsidRPr="002F227B">
        <w:rPr>
          <w:rFonts w:ascii="Times New Roman" w:hAnsi="Times New Roman" w:cs="Times New Roman"/>
          <w:i/>
        </w:rPr>
        <w:t>available at</w:t>
      </w:r>
      <w:r w:rsidRPr="002F227B">
        <w:rPr>
          <w:rFonts w:ascii="Times New Roman" w:hAnsi="Times New Roman" w:cs="Times New Roman"/>
        </w:rPr>
        <w:t xml:space="preserve"> https://www.mass.gov/doc/notice-of-final-agency-action-masshealth-payment-for-in-state-acute-hospital-services-and-out-of-state-acute-hospital-services-effective-november-1-2021-0. </w:t>
      </w:r>
    </w:p>
    <w:p w14:paraId="63AD1E77" w14:textId="0607C821" w:rsidR="00CF3141" w:rsidRPr="002F227B" w:rsidRDefault="00CF3141" w:rsidP="00335D93">
      <w:pPr>
        <w:pStyle w:val="FootnoteText"/>
        <w:ind w:firstLine="720"/>
        <w:rPr>
          <w:rFonts w:ascii="Times New Roman" w:hAnsi="Times New Roman" w:cs="Times New Roman"/>
        </w:rPr>
      </w:pPr>
      <w:r w:rsidRPr="002F227B">
        <w:rPr>
          <w:rFonts w:ascii="Times New Roman" w:hAnsi="Times New Roman" w:cs="Times New Roman"/>
        </w:rPr>
        <w:t>To calculate the specific payment for each in-state outpatient episode of care, a wage adjusted outpatient standard amount is multiplied by the MassHealth Enhanced Ambulatory Patient Group (“EAPG”) relative weight assigned to each claim line and the result is aggregated to the episode level. This EAPG specific weight scales up (or down) the wage adjusted outpatient standard amount to account for differences in the cost of treatment associated with each EAPG. To compare relative rates for outpatient services between hospitals this final scaling is not necessary. We do not adjust the standardized amount to account for hospitals wage areas as this would necessitate identifying the wage rate for every individual facility in the APCD data.</w:t>
      </w:r>
    </w:p>
  </w:footnote>
  <w:footnote w:id="97">
    <w:p w14:paraId="3012217D" w14:textId="7777777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Rates for Radiology Services (effective August 1, 2021), </w:t>
      </w:r>
      <w:r w:rsidRPr="002F227B">
        <w:rPr>
          <w:rFonts w:ascii="Times New Roman" w:hAnsi="Times New Roman" w:cs="Times New Roman"/>
          <w:i/>
        </w:rPr>
        <w:t>available at</w:t>
      </w:r>
      <w:r w:rsidRPr="002F227B">
        <w:rPr>
          <w:rFonts w:ascii="Times New Roman" w:hAnsi="Times New Roman" w:cs="Times New Roman"/>
        </w:rPr>
        <w:t xml:space="preserve"> https://www.mass.gov/doc/rates-for-radiology-services-effective-august-1-2021-0, p. 1. </w:t>
      </w:r>
    </w:p>
  </w:footnote>
  <w:footnote w:id="98">
    <w:p w14:paraId="7F6A8235" w14:textId="79EF2CE3"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Shifts from ASCs to HOPDs by MassHealth non-managed care patients incur a corresponding increase in cost.</w:t>
      </w:r>
    </w:p>
  </w:footnote>
  <w:footnote w:id="99">
    <w:p w14:paraId="4AF0AFE8" w14:textId="0FCB18E0"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Rates to individual hospitals may vary due to local variation in labor or capital costs, graduate medical education, or having a disproportionately high share of low-income patients among other adjustments.</w:t>
      </w:r>
    </w:p>
  </w:footnote>
  <w:footnote w:id="100">
    <w:p w14:paraId="16A314D1" w14:textId="42A13634"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To calculate the specific payment for each discharge, the base payment is multiplied by the DRG weight that is assigned to each discharge. This discharge specific weight scales up (or down) the base payment to account for differences in the cost of treatment associated with each DRG. To compare relative rates between hospitals this final scaling is not necessary.</w:t>
      </w:r>
    </w:p>
  </w:footnote>
  <w:footnote w:id="101">
    <w:p w14:paraId="500379D5" w14:textId="35C35270"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MedPAC Payment Basics, “Outpatient Hospital Services Payment System,” (Revised: November 2021), </w:t>
      </w:r>
      <w:r w:rsidRPr="002F227B">
        <w:rPr>
          <w:rFonts w:ascii="Times New Roman" w:hAnsi="Times New Roman" w:cs="Times New Roman"/>
          <w:i/>
        </w:rPr>
        <w:t>available at</w:t>
      </w:r>
      <w:r w:rsidRPr="002F227B">
        <w:rPr>
          <w:rFonts w:ascii="Times New Roman" w:hAnsi="Times New Roman" w:cs="Times New Roman"/>
        </w:rPr>
        <w:t xml:space="preserve"> https://www.medpac.gov/wp-content/uploads/2021/11/medpac_payment_basics_21_opd_final_sec.pdf.</w:t>
      </w:r>
    </w:p>
  </w:footnote>
  <w:footnote w:id="102">
    <w:p w14:paraId="388E0B5C" w14:textId="44AFE7B3"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CMS, FY 2019 Final Rule and Correction Notice Data Files, </w:t>
      </w:r>
      <w:r w:rsidRPr="002F227B">
        <w:rPr>
          <w:rFonts w:ascii="Times New Roman" w:hAnsi="Times New Roman" w:cs="Times New Roman"/>
          <w:i/>
          <w:iCs/>
        </w:rPr>
        <w:t>available at</w:t>
      </w:r>
      <w:r w:rsidRPr="002F227B">
        <w:rPr>
          <w:rFonts w:ascii="Times New Roman" w:hAnsi="Times New Roman" w:cs="Times New Roman"/>
        </w:rPr>
        <w:t xml:space="preserve"> https://www.cms.gov/Medicare/Medicare-Fee-for-Service-Payment/AcuteInpatientPPS/FY2019-IPPS-Final-Rule-Home-Page-Items/FY2019-IPPS-Final-Rule-Data-Files.</w:t>
      </w:r>
    </w:p>
  </w:footnote>
  <w:footnote w:id="103">
    <w:p w14:paraId="0E0435EA" w14:textId="646882CF"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MedPAC Payment Basics, “Ambulatory Surgical Center Services Payment System,” (Revised: November 2021), </w:t>
      </w:r>
      <w:r w:rsidRPr="002F227B">
        <w:rPr>
          <w:rFonts w:ascii="Times New Roman" w:hAnsi="Times New Roman" w:cs="Times New Roman"/>
          <w:i/>
        </w:rPr>
        <w:t xml:space="preserve">available at </w:t>
      </w:r>
      <w:r w:rsidRPr="002F227B">
        <w:rPr>
          <w:rFonts w:ascii="Times New Roman" w:hAnsi="Times New Roman" w:cs="Times New Roman"/>
        </w:rPr>
        <w:t>https://www.medpac.gov/wp-content/uploads/2021/11/medpac_payment_basics_21_asc_</w:t>
      </w:r>
      <w:r w:rsidRPr="002F227B">
        <w:rPr>
          <w:rFonts w:ascii="Times New Roman" w:hAnsi="Times New Roman" w:cs="Times New Roman"/>
        </w:rPr>
        <w:br/>
        <w:t>final_sec.pdf, p. 1.</w:t>
      </w:r>
    </w:p>
  </w:footnote>
  <w:footnote w:id="104">
    <w:p w14:paraId="7E1CE18B" w14:textId="77C66799"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The share of patients with MassHealth non-managed care coverage may differ substantially for the inpatient and outpatient services. This is largely due to the Hospital Inpatient Discharge Database (used for inpatient services) and APCD (used for outpatient services) classifying primary payors differently: The Hospital Inpatient Discharge Database nearly always assigns MassHealth non-managed care coverage as the secondary payor if there are two or more payors for a discharge.</w:t>
      </w:r>
    </w:p>
  </w:footnote>
  <w:footnote w:id="105">
    <w:p w14:paraId="5DA48CE3" w14:textId="4CAF8634"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The Medicare Severity-DRG relative weight “represents the average resources required to care for cases in that particular DRG, relative to the average resources used to treat cases in all DRGs.” (CMS, “MS-DRG Classifications and Software,” </w:t>
      </w:r>
      <w:r w:rsidRPr="002F227B">
        <w:rPr>
          <w:rFonts w:ascii="Times New Roman" w:hAnsi="Times New Roman" w:cs="Times New Roman"/>
          <w:i/>
          <w:iCs/>
        </w:rPr>
        <w:t xml:space="preserve">available at </w:t>
      </w:r>
      <w:r w:rsidRPr="002F227B">
        <w:rPr>
          <w:rFonts w:ascii="Times New Roman" w:hAnsi="Times New Roman" w:cs="Times New Roman"/>
        </w:rPr>
        <w:t>https://www.cms.gov/Medicare/Medicare-Fee-for-Service-Payment/AcuteInpatientPPS/MS-DRG-Classifications-and-Software.)</w:t>
      </w:r>
    </w:p>
  </w:footnote>
  <w:footnote w:id="106">
    <w:p w14:paraId="7CFB5B77" w14:textId="1A5B47C1"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Figure MGH2 identifies GAC hospitals in the mapped geographic area based on information obtained from Massachusetts DPH’s directory of licensed healthcare facilities available at https://www.mass.gov/doc/list-of-health-care-facilities-licensed-or-certified-by-the-division/download. The map excludes closed hospitals and facilities that have transitioned away from providing acute care services (</w:t>
      </w:r>
      <w:r w:rsidRPr="002F227B">
        <w:rPr>
          <w:rFonts w:ascii="Times New Roman" w:hAnsi="Times New Roman" w:cs="Times New Roman"/>
          <w:i/>
        </w:rPr>
        <w:t>See</w:t>
      </w:r>
      <w:r w:rsidRPr="002F227B">
        <w:rPr>
          <w:rFonts w:ascii="Times New Roman" w:hAnsi="Times New Roman" w:cs="Times New Roman"/>
        </w:rPr>
        <w:t xml:space="preserve"> Section </w:t>
      </w:r>
      <w:r w:rsidRPr="002F227B">
        <w:rPr>
          <w:rFonts w:ascii="Times New Roman" w:hAnsi="Times New Roman" w:cs="Times New Roman"/>
        </w:rPr>
        <w:fldChar w:fldCharType="begin"/>
      </w:r>
      <w:r w:rsidRPr="002F227B">
        <w:rPr>
          <w:rFonts w:ascii="Times New Roman" w:hAnsi="Times New Roman" w:cs="Times New Roman"/>
        </w:rPr>
        <w:instrText xml:space="preserve"> REF _Ref88655817 \r \h  \* MERGEFORMAT </w:instrText>
      </w:r>
      <w:r w:rsidRPr="002F227B">
        <w:rPr>
          <w:rFonts w:ascii="Times New Roman" w:hAnsi="Times New Roman" w:cs="Times New Roman"/>
        </w:rPr>
      </w:r>
      <w:r w:rsidRPr="002F227B">
        <w:rPr>
          <w:rFonts w:ascii="Times New Roman" w:hAnsi="Times New Roman" w:cs="Times New Roman"/>
        </w:rPr>
        <w:fldChar w:fldCharType="separate"/>
      </w:r>
      <w:r>
        <w:rPr>
          <w:rFonts w:ascii="Times New Roman" w:hAnsi="Times New Roman" w:cs="Times New Roman"/>
        </w:rPr>
        <w:t>III</w:t>
      </w:r>
      <w:r w:rsidRPr="002F227B">
        <w:rPr>
          <w:rFonts w:ascii="Times New Roman" w:hAnsi="Times New Roman" w:cs="Times New Roman"/>
        </w:rPr>
        <w:fldChar w:fldCharType="end"/>
      </w:r>
      <w:r w:rsidRPr="002F227B">
        <w:rPr>
          <w:rFonts w:ascii="Times New Roman" w:hAnsi="Times New Roman" w:cs="Times New Roman"/>
        </w:rPr>
        <w:t>.</w:t>
      </w:r>
      <w:r w:rsidRPr="002F227B">
        <w:rPr>
          <w:rFonts w:ascii="Times New Roman" w:hAnsi="Times New Roman" w:cs="Times New Roman"/>
        </w:rPr>
        <w:fldChar w:fldCharType="begin"/>
      </w:r>
      <w:r w:rsidRPr="002F227B">
        <w:rPr>
          <w:rFonts w:ascii="Times New Roman" w:hAnsi="Times New Roman" w:cs="Times New Roman"/>
        </w:rPr>
        <w:instrText xml:space="preserve"> REF _Ref88594712 \r \h  \* MERGEFORMAT </w:instrText>
      </w:r>
      <w:r w:rsidRPr="002F227B">
        <w:rPr>
          <w:rFonts w:ascii="Times New Roman" w:hAnsi="Times New Roman" w:cs="Times New Roman"/>
        </w:rPr>
      </w:r>
      <w:r w:rsidRPr="002F227B">
        <w:rPr>
          <w:rFonts w:ascii="Times New Roman" w:hAnsi="Times New Roman" w:cs="Times New Roman"/>
        </w:rPr>
        <w:fldChar w:fldCharType="separate"/>
      </w:r>
      <w:r>
        <w:rPr>
          <w:rFonts w:ascii="Times New Roman" w:hAnsi="Times New Roman" w:cs="Times New Roman"/>
        </w:rPr>
        <w:t>A</w:t>
      </w:r>
      <w:r w:rsidRPr="002F227B">
        <w:rPr>
          <w:rFonts w:ascii="Times New Roman" w:hAnsi="Times New Roman" w:cs="Times New Roman"/>
        </w:rPr>
        <w:fldChar w:fldCharType="end"/>
      </w:r>
      <w:r w:rsidRPr="002F227B">
        <w:rPr>
          <w:rFonts w:ascii="Times New Roman" w:hAnsi="Times New Roman" w:cs="Times New Roman"/>
        </w:rPr>
        <w:t>.</w:t>
      </w:r>
      <w:r w:rsidRPr="002F227B">
        <w:rPr>
          <w:rFonts w:ascii="Times New Roman" w:hAnsi="Times New Roman" w:cs="Times New Roman"/>
        </w:rPr>
        <w:fldChar w:fldCharType="begin"/>
      </w:r>
      <w:r w:rsidRPr="002F227B">
        <w:rPr>
          <w:rFonts w:ascii="Times New Roman" w:hAnsi="Times New Roman" w:cs="Times New Roman"/>
        </w:rPr>
        <w:instrText xml:space="preserve"> REF _Ref88579647 \r \h  \* MERGEFORMAT </w:instrText>
      </w:r>
      <w:r w:rsidRPr="002F227B">
        <w:rPr>
          <w:rFonts w:ascii="Times New Roman" w:hAnsi="Times New Roman" w:cs="Times New Roman"/>
        </w:rPr>
      </w:r>
      <w:r w:rsidRPr="002F227B">
        <w:rPr>
          <w:rFonts w:ascii="Times New Roman" w:hAnsi="Times New Roman" w:cs="Times New Roman"/>
        </w:rPr>
        <w:fldChar w:fldCharType="separate"/>
      </w:r>
      <w:r>
        <w:rPr>
          <w:rFonts w:ascii="Times New Roman" w:hAnsi="Times New Roman" w:cs="Times New Roman"/>
        </w:rPr>
        <w:t>1</w:t>
      </w:r>
      <w:r w:rsidRPr="002F227B">
        <w:rPr>
          <w:rFonts w:ascii="Times New Roman" w:hAnsi="Times New Roman" w:cs="Times New Roman"/>
        </w:rPr>
        <w:fldChar w:fldCharType="end"/>
      </w:r>
      <w:r w:rsidRPr="002F227B">
        <w:rPr>
          <w:rFonts w:ascii="Times New Roman" w:hAnsi="Times New Roman" w:cs="Times New Roman"/>
        </w:rPr>
        <w:t>). MGB’s GAC hospitals are separately labeled on the map: BWH = Brigham and Women’s Hospital, BWFH = Brigham and Women’s Faulkner Hospital, MEE = Mass Eye and Ear, NWH = Newton-Wellesley Hospital, and SH = Salem Hospital (formerly North Shore Medical Center).</w:t>
      </w:r>
    </w:p>
  </w:footnote>
  <w:footnote w:id="107">
    <w:p w14:paraId="7836D701" w14:textId="23692CF9"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This figure uses the 2019 Hospital Inpatient Discharge Database.</w:t>
      </w:r>
    </w:p>
  </w:footnote>
  <w:footnote w:id="108">
    <w:p w14:paraId="4A706B78" w14:textId="54398A4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The 2019 discharges reported in Figure MGH3 are slightly lower than those reported in Figure MGH1 because the latter includes discharges with unknown MDCs and unknown patient gender. We retain these discharges in Figure MGH1 so that the patient panels capture MGH’s patient characteristics more completely</w:t>
      </w:r>
    </w:p>
  </w:footnote>
  <w:footnote w:id="109">
    <w:p w14:paraId="7A29E64B" w14:textId="7777777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MGH DoN, Appendix 2, Section 2.1, p. 10.</w:t>
      </w:r>
    </w:p>
  </w:footnote>
  <w:footnote w:id="110">
    <w:p w14:paraId="2A0FAD09" w14:textId="77A047AF"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MGH Bed Summary Response, p. 3. </w:t>
      </w:r>
    </w:p>
  </w:footnote>
  <w:footnote w:id="111">
    <w:p w14:paraId="236ED998" w14:textId="53DA82E6"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MGH Bed Summary Response, p. 2. </w:t>
      </w:r>
    </w:p>
  </w:footnote>
  <w:footnote w:id="112">
    <w:p w14:paraId="60B44C13" w14:textId="3EA0AC46"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MGH Bed Summary Response, p. 2.</w:t>
      </w:r>
    </w:p>
  </w:footnote>
  <w:footnote w:id="113">
    <w:p w14:paraId="6AEAA4AF" w14:textId="27F906D2"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MGH Bed Summary Response, p. 2. </w:t>
      </w:r>
    </w:p>
  </w:footnote>
  <w:footnote w:id="114">
    <w:p w14:paraId="00C00E2F" w14:textId="1A734C0F"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The 2019 discharges reported in Figure MGH4 are slightly lower than those reported in Figure MGH1 because the latter includes discharges with unknown MDCs and unknown patient gender. We retain these discharges in Figure MGH1 so that the patient panels capture the characteristics of patients residing in MGH’s 75 percent service area more completely.</w:t>
      </w:r>
    </w:p>
  </w:footnote>
  <w:footnote w:id="115">
    <w:p w14:paraId="0ED65476" w14:textId="6B199F9C"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We determine MGH’s service area for outpatient cardiovascular services specifically. As such, this area differs from the hospital’s 75 percent service area for inpatient services, which we discussed previously. In subsequent analyses we calculate separate service areas for outpatient oncology services and for outpatient diagnostic imaging services at the hospital. </w:t>
      </w:r>
    </w:p>
  </w:footnote>
  <w:footnote w:id="116">
    <w:p w14:paraId="67756F48" w14:textId="03CA57C3"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w:t>
      </w:r>
      <w:bookmarkStart w:id="75" w:name="_Hlk89071270"/>
      <w:r w:rsidRPr="002F227B">
        <w:rPr>
          <w:rFonts w:ascii="Times New Roman" w:hAnsi="Times New Roman" w:cs="Times New Roman"/>
        </w:rPr>
        <w:t xml:space="preserve">Figure MGH6 shows MGH’s 75 percent service area for outpatient cardiovascular services. The map is limited to facilities that provided at least 300 outpatient cardiovascular visits in the 2018 APCD and Medicare Claims data after applying the aforementioned exclusions. </w:t>
      </w:r>
      <w:bookmarkEnd w:id="75"/>
    </w:p>
  </w:footnote>
  <w:footnote w:id="117">
    <w:p w14:paraId="68D77A16" w14:textId="1199B8D0"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Figure MGH8 shows MGH’s 75 percent service area for outpatient oncology services. The map is limited to facilities that provided at least 300 outpatient oncology visits in the 2018 APCD and Medicare Claims data after applying the aforementioned exclusions. </w:t>
      </w:r>
    </w:p>
  </w:footnote>
  <w:footnote w:id="118">
    <w:p w14:paraId="343FD2B5" w14:textId="7777777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We understand that in 2018 there were no operational PET/MR units in Massachusetts.</w:t>
      </w:r>
    </w:p>
  </w:footnote>
  <w:footnote w:id="119">
    <w:p w14:paraId="1E4BD9EA" w14:textId="7E8B6CA6"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Figure MGH10 shows MGH’s 75 percent service area for outpatient advanced diagnostic imaging visits (CT, MRI, PET/CT). The map is limited to facilities that provided at least 300 diagnostic imaging scans in the 018 APCD and Medicare Claims data after applying the aforementioned exclusions. </w:t>
      </w:r>
    </w:p>
  </w:footnote>
  <w:footnote w:id="120">
    <w:p w14:paraId="770D6BD2" w14:textId="28747F1A"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For example, MGH discharged 22 female patients from ZIP Code 02155 in the 45-49 age group. According to the UMDI projections, this demographic group will grow by 20 percent between 2020 and 2025 and by 45 percent between 2020 and 2030. Therefore, we predict that MGH will discharge 26 female patients from ZIP Code 02155 in the 45-49 age group in 2025 and 32 in 2030.</w:t>
      </w:r>
    </w:p>
  </w:footnote>
  <w:footnote w:id="121">
    <w:p w14:paraId="2DD33A09" w14:textId="70249B34"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We perform the same analysis for patients living within MGH’s 75 percent service area who sought inpatient services at any hospital in Massachusetts to measure total projected demand for inpatient services for patients residing in MGH’s service area. These growth rates are similar to the growth rates we project for MGH itself. For patients residing within MGH’s 75 percent service area, we project a growth rate from 2019 to 2030 of 19 percent and 20 percent for total discharges and patient days, respectively. For cancer and heart and vascular services patient days, we project growth rates of 19 percent and 23 percent, respectively.</w:t>
      </w:r>
    </w:p>
  </w:footnote>
  <w:footnote w:id="122">
    <w:p w14:paraId="0B9252BD" w14:textId="036CD9E0"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MGH DoN, Appendix 2, pp. 16, 18, 21, and 23.</w:t>
      </w:r>
    </w:p>
  </w:footnote>
  <w:footnote w:id="123">
    <w:p w14:paraId="2E3F5897" w14:textId="75F1153A"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Attachment C - Revised MGH Bed Allocation FY29.docx [hereinafter, Updated MGH Bed Summary Response].</w:t>
      </w:r>
    </w:p>
  </w:footnote>
  <w:footnote w:id="124">
    <w:p w14:paraId="4847608E" w14:textId="23E7C51B"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Updated MGH Bed Summary Response.</w:t>
      </w:r>
    </w:p>
  </w:footnote>
  <w:footnote w:id="125">
    <w:p w14:paraId="54DBC491" w14:textId="2186F33D"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The APCD data we use for these analyses may not include claims for all self-insured commercial health plans. As such, our estimates of the number of outpatient procedures currently provided by MGH is likely understated. </w:t>
      </w:r>
    </w:p>
  </w:footnote>
  <w:footnote w:id="126">
    <w:p w14:paraId="66318D58" w14:textId="086C469B"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For example, MGH performed 24 outpatient MR scans on men aged 55-59 from ZIP Code 02446 in 2018. According to the UMass Donahue Population Projection, this demographic group is predicted to grow two percent through 2025 and 11 percent through 2030. Therefore, we predict that MGH will perform 24.5 outpatient MR scans on this group in 2025 and 26.6 outpatient MR scans on this group in 2030. </w:t>
      </w:r>
    </w:p>
  </w:footnote>
  <w:footnote w:id="127">
    <w:p w14:paraId="21167093" w14:textId="15F9C423"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We perform the same analysis for patients living within MGH’s 75 percent service area who sought outpatient services from any provider in Massachusetts to measure total projected demand for outpatient services for patients residing in MGH’s service area. For each of the outpatient services, the growth rates are similar to the growth rates we project for MGH itself. For patients residing within MGH’s 75 percent service area, we project growth rates from 2018 to 2030 of 17 percent (CT scans), 13 percent (MR scans), and 23 percent (PET/CT scans). For cardiovascular and oncology services, we project growth rates of 21 percent and 18 percent, respectively.</w:t>
      </w:r>
    </w:p>
  </w:footnote>
  <w:footnote w:id="128">
    <w:p w14:paraId="6270C5B2" w14:textId="234F732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MGH DoN, Appendix 2, pp. 18-26. </w:t>
      </w:r>
    </w:p>
  </w:footnote>
  <w:footnote w:id="129">
    <w:p w14:paraId="5FC7195A" w14:textId="203AFF16"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MGH DoN, Appendix 2, pp. 1-2. </w:t>
      </w:r>
    </w:p>
  </w:footnote>
  <w:footnote w:id="130">
    <w:p w14:paraId="0F473BA6" w14:textId="259B5D62"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MGH DoN, Appendix 2, Section 2.1, p. 24.</w:t>
      </w:r>
    </w:p>
  </w:footnote>
  <w:footnote w:id="131">
    <w:p w14:paraId="3296DBF9" w14:textId="69847FC2"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MGH DoN, Appendix 2, Section 2.1, p. 25.</w:t>
      </w:r>
    </w:p>
  </w:footnote>
  <w:footnote w:id="132">
    <w:p w14:paraId="2E5C7FBA" w14:textId="375714E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MGH DoN, Appendix 2, Section 2.1, pp. 25-26.</w:t>
      </w:r>
    </w:p>
  </w:footnote>
  <w:footnote w:id="133">
    <w:p w14:paraId="6C7982D3" w14:textId="558D64E9"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MGH DoN, Appendix 2, Section 2.1, p. 22.</w:t>
      </w:r>
    </w:p>
  </w:footnote>
  <w:footnote w:id="134">
    <w:p w14:paraId="3A8070F0" w14:textId="58469E6C"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MGH DoN, Appendix 2, Section 2.1, pp. 20-21.</w:t>
      </w:r>
    </w:p>
  </w:footnote>
  <w:footnote w:id="135">
    <w:p w14:paraId="5F345D72" w14:textId="77777777" w:rsidR="00CF3141" w:rsidRPr="002F227B" w:rsidRDefault="00CF3141" w:rsidP="00335D93">
      <w:pPr>
        <w:pStyle w:val="FootnoteText"/>
        <w:rPr>
          <w:rFonts w:ascii="Times New Roman" w:hAnsi="Times New Roman" w:cs="Times New Roman"/>
          <w:i/>
          <w:iCs/>
        </w:rPr>
      </w:pPr>
      <w:r w:rsidRPr="002F227B">
        <w:rPr>
          <w:rStyle w:val="FootnoteReference"/>
          <w:rFonts w:ascii="Times New Roman" w:hAnsi="Times New Roman" w:cs="Times New Roman"/>
        </w:rPr>
        <w:footnoteRef/>
      </w:r>
      <w:r w:rsidRPr="002F227B">
        <w:rPr>
          <w:rFonts w:ascii="Times New Roman" w:hAnsi="Times New Roman" w:cs="Times New Roman"/>
        </w:rPr>
        <w:t xml:space="preserve"> Devesh Raval, Ted Rosenbaum, and Steven A Tenn. “A Semiparametric Discrete Choice Model: An Application to Hospital Mergers.” </w:t>
      </w:r>
      <w:r w:rsidRPr="002F227B">
        <w:rPr>
          <w:rFonts w:ascii="Times New Roman" w:hAnsi="Times New Roman" w:cs="Times New Roman"/>
          <w:i/>
          <w:iCs/>
        </w:rPr>
        <w:t>Economic Inquiry</w:t>
      </w:r>
      <w:r w:rsidRPr="002F227B">
        <w:rPr>
          <w:rFonts w:ascii="Times New Roman" w:hAnsi="Times New Roman" w:cs="Times New Roman"/>
        </w:rPr>
        <w:t xml:space="preserve"> (2017).</w:t>
      </w:r>
      <w:r w:rsidRPr="002F227B">
        <w:rPr>
          <w:rFonts w:ascii="Times New Roman" w:hAnsi="Times New Roman" w:cs="Times New Roman"/>
          <w:i/>
          <w:iCs/>
        </w:rPr>
        <w:t xml:space="preserve"> </w:t>
      </w:r>
    </w:p>
  </w:footnote>
  <w:footnote w:id="136">
    <w:p w14:paraId="76F1D672" w14:textId="67508332"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More specifically, patient preferences in our model of demand for inpatient hospital services depend on (i) the patient’s county and ZIP Code of residence; (ii) the DRG or MDC associated with the patient’s care; (iii) whether the admission is for surgical care or an emergency admission; (iv) the quartile of the DRG relative weight associated with the admission; (v) the patient’s health insurance coverage (commercial, Original Medicare, Medicare health plan, MassHealth non-managed care, MassHealth managed care, or other types of coverage such as self-pay); (vi) gender; and (vii) age category (18-45, 46-62, and 63 and older).</w:t>
      </w:r>
    </w:p>
  </w:footnote>
  <w:footnote w:id="137">
    <w:p w14:paraId="36BCD32B" w14:textId="7777777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We use a “semi-parametric” method to estimate demand that does not require that we explicitly specify the hospital characteristics that affect patients’ preferences. Instead, we assume that patients’ preferences within each group are determined by a semi-parametric logit demand model. Then, for each hospital, the method estimates one parameter for each group of patients that measures the overall attractiveness of that hospital to that group of patients. This parameter implicitly reflects all the characteristics of that hospital that affect the preferences of patients in that group.</w:t>
      </w:r>
    </w:p>
  </w:footnote>
  <w:footnote w:id="138">
    <w:p w14:paraId="04FDE6ED" w14:textId="7E5F1F6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We use an iterative procedure to allocate patients into groups subject to a minimum group size of 20 discharges. When possible, the procedure allocates patients into the most granular category, </w:t>
      </w:r>
      <w:r w:rsidRPr="002F227B">
        <w:rPr>
          <w:rFonts w:ascii="Times New Roman" w:hAnsi="Times New Roman" w:cs="Times New Roman"/>
          <w:i/>
          <w:iCs/>
        </w:rPr>
        <w:t>e.g.</w:t>
      </w:r>
      <w:r w:rsidRPr="002F227B">
        <w:rPr>
          <w:rFonts w:ascii="Times New Roman" w:hAnsi="Times New Roman" w:cs="Times New Roman"/>
        </w:rPr>
        <w:t xml:space="preserve">, male patients aged 18-44 with commercial insurance coverage who reside in ZIP Code 02118 who were admitted to an inpatient hospital for DRG 694 (urinary stones without complications). If there are not 20 such patients who share those characteristics, the iterative procedure allocates patients into broader categories, </w:t>
      </w:r>
      <w:r w:rsidRPr="002F227B">
        <w:rPr>
          <w:rFonts w:ascii="Times New Roman" w:hAnsi="Times New Roman" w:cs="Times New Roman"/>
          <w:i/>
          <w:iCs/>
        </w:rPr>
        <w:t>e.g.</w:t>
      </w:r>
      <w:r w:rsidRPr="002F227B">
        <w:rPr>
          <w:rFonts w:ascii="Times New Roman" w:hAnsi="Times New Roman" w:cs="Times New Roman"/>
        </w:rPr>
        <w:t>, patients who reside in Suffolk County admitted to an inpatient hospital for MDC 11 (Diseases and Disorders of the Kidney and Urinary Tract).</w:t>
      </w:r>
    </w:p>
  </w:footnote>
  <w:footnote w:id="139">
    <w:p w14:paraId="1B90BE75" w14:textId="7777777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Diversion ratios are commonly used in assessing competition between firms in differentiated product markets. </w:t>
      </w:r>
      <w:r w:rsidRPr="002F227B">
        <w:rPr>
          <w:rFonts w:ascii="Times New Roman" w:hAnsi="Times New Roman" w:cs="Times New Roman"/>
          <w:i/>
        </w:rPr>
        <w:t>See</w:t>
      </w:r>
      <w:r w:rsidRPr="002F227B">
        <w:rPr>
          <w:rFonts w:ascii="Times New Roman" w:hAnsi="Times New Roman" w:cs="Times New Roman"/>
        </w:rPr>
        <w:t xml:space="preserve">, for example, U.S. Department of Justice and the Federal Trade Commission. </w:t>
      </w:r>
      <w:r w:rsidRPr="002F227B">
        <w:rPr>
          <w:rFonts w:ascii="Times New Roman" w:hAnsi="Times New Roman" w:cs="Times New Roman"/>
          <w:i/>
          <w:iCs/>
        </w:rPr>
        <w:t>Horizontal Merger Guidelines</w:t>
      </w:r>
      <w:r w:rsidRPr="002F227B">
        <w:rPr>
          <w:rFonts w:ascii="Times New Roman" w:hAnsi="Times New Roman" w:cs="Times New Roman"/>
        </w:rPr>
        <w:t xml:space="preserve"> (2010)</w:t>
      </w:r>
      <w:r w:rsidRPr="002F227B">
        <w:rPr>
          <w:rFonts w:ascii="Times New Roman" w:hAnsi="Times New Roman" w:cs="Times New Roman"/>
          <w:i/>
          <w:iCs/>
        </w:rPr>
        <w:t xml:space="preserve">, </w:t>
      </w:r>
      <w:r w:rsidRPr="002F227B">
        <w:rPr>
          <w:rFonts w:ascii="Times New Roman" w:hAnsi="Times New Roman" w:cs="Times New Roman"/>
        </w:rPr>
        <w:t>§ 6.1.</w:t>
      </w:r>
    </w:p>
  </w:footnote>
  <w:footnote w:id="140">
    <w:p w14:paraId="1AE7565D" w14:textId="687FA1D6"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Updated MGH Bed Summary Response. </w:t>
      </w:r>
    </w:p>
  </w:footnote>
  <w:footnote w:id="141">
    <w:p w14:paraId="37E8E8AE" w14:textId="7777777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We assume that when MGH increases its capacity and admits more inpatients, the characteristics of the incremental patients that MGH admits will be like those of patients previously admitted to MGH. Within the context of the patient demand model, this means the proposed project increases every patient’s probability of choosing MGH by the same relative amount. </w:t>
      </w:r>
    </w:p>
    <w:p w14:paraId="7D332C34" w14:textId="21CE3A2E" w:rsidR="00CF3141" w:rsidRPr="002F227B" w:rsidRDefault="00CF3141" w:rsidP="00335D93">
      <w:pPr>
        <w:pStyle w:val="FootnoteText"/>
        <w:ind w:firstLine="720"/>
        <w:rPr>
          <w:rFonts w:ascii="Times New Roman" w:hAnsi="Times New Roman" w:cs="Times New Roman"/>
        </w:rPr>
      </w:pPr>
      <w:r w:rsidRPr="002F227B">
        <w:rPr>
          <w:rFonts w:ascii="Times New Roman" w:hAnsi="Times New Roman" w:cs="Times New Roman"/>
        </w:rPr>
        <w:t>For example, consider two groups of patients. The first group includes patients from a ZIP Code close to MGH for a service that MGH is renowned for, and the second group includes patients from a ZIP Code more distant from MGH for a service that is commonly provided by community hospitals. Assume that 50 percent of the first group chooses MGH but only one percent of the second group chooses MGH. Our calculations assume that if MGH expands, its shares within the two groups increase by the same relative amounts. For example, if MGH’s share in the first group increases from 50 percent to 55 percent (</w:t>
      </w:r>
      <w:r w:rsidRPr="002F227B">
        <w:rPr>
          <w:rFonts w:ascii="Times New Roman" w:hAnsi="Times New Roman" w:cs="Times New Roman"/>
          <w:i/>
          <w:iCs/>
        </w:rPr>
        <w:t>i.e</w:t>
      </w:r>
      <w:r w:rsidRPr="002F227B">
        <w:rPr>
          <w:rFonts w:ascii="Times New Roman" w:hAnsi="Times New Roman" w:cs="Times New Roman"/>
        </w:rPr>
        <w:t>., by ten percent), then MGH’s share in the second group increases from one percent to 1.1 percent (</w:t>
      </w:r>
      <w:r w:rsidRPr="002F227B">
        <w:rPr>
          <w:rFonts w:ascii="Times New Roman" w:hAnsi="Times New Roman" w:cs="Times New Roman"/>
          <w:i/>
          <w:iCs/>
        </w:rPr>
        <w:t xml:space="preserve">i.e., </w:t>
      </w:r>
      <w:r w:rsidRPr="002F227B">
        <w:rPr>
          <w:rFonts w:ascii="Times New Roman" w:hAnsi="Times New Roman" w:cs="Times New Roman"/>
        </w:rPr>
        <w:t xml:space="preserve">by ten percent). </w:t>
      </w:r>
    </w:p>
    <w:p w14:paraId="2F33D4A8" w14:textId="207D496E" w:rsidR="00CF3141" w:rsidRPr="002F227B" w:rsidRDefault="00CF3141" w:rsidP="00335D93">
      <w:pPr>
        <w:pStyle w:val="FootnoteText"/>
        <w:ind w:firstLine="720"/>
        <w:rPr>
          <w:rFonts w:ascii="Times New Roman" w:hAnsi="Times New Roman" w:cs="Times New Roman"/>
        </w:rPr>
      </w:pPr>
      <w:r w:rsidRPr="002F227B">
        <w:rPr>
          <w:rFonts w:ascii="Times New Roman" w:hAnsi="Times New Roman" w:cs="Times New Roman"/>
        </w:rPr>
        <w:t>We assume that this relationship holds so long as it is feasible (</w:t>
      </w:r>
      <w:r w:rsidRPr="002F227B">
        <w:rPr>
          <w:rFonts w:ascii="Times New Roman" w:hAnsi="Times New Roman" w:cs="Times New Roman"/>
          <w:i/>
          <w:iCs/>
        </w:rPr>
        <w:t>i.e.</w:t>
      </w:r>
      <w:r w:rsidRPr="002F227B">
        <w:rPr>
          <w:rFonts w:ascii="Times New Roman" w:hAnsi="Times New Roman" w:cs="Times New Roman"/>
        </w:rPr>
        <w:t xml:space="preserve">, MGH cannot attract more than 100 percent of some group of patients). To expand on our previous example, if 95 percent of a third group of patients chooses MGH, then when MGH’s shares in the first two groups are expanded by ten percent to 55 percent and 1.1 percent, respectively, MGH’s share in the third group can only increase from 95 percent to 100 percent, which is less than a ten percent increase. </w:t>
      </w:r>
    </w:p>
    <w:p w14:paraId="7271FDFB" w14:textId="77777777" w:rsidR="00CF3141" w:rsidRPr="002F227B" w:rsidRDefault="00CF3141" w:rsidP="00335D93">
      <w:pPr>
        <w:pStyle w:val="FootnoteText"/>
        <w:ind w:firstLine="720"/>
        <w:rPr>
          <w:rFonts w:ascii="Times New Roman" w:hAnsi="Times New Roman" w:cs="Times New Roman"/>
        </w:rPr>
      </w:pPr>
      <w:r w:rsidRPr="002F227B">
        <w:rPr>
          <w:rFonts w:ascii="Times New Roman" w:hAnsi="Times New Roman" w:cs="Times New Roman"/>
        </w:rPr>
        <w:t xml:space="preserve">Implicitly, our simulations assume that MGH will admit more of the types of patients that currently value MGH the most, according to the estimated patient demand model, where “value” is reflected in the MGH group shares. </w:t>
      </w:r>
    </w:p>
  </w:footnote>
  <w:footnote w:id="142">
    <w:p w14:paraId="1A2974EE" w14:textId="7777777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We perform this exercise separately for inpatient heart and vascular services, cancer services, and all other inpatient service lines. Because MGB projects it will admit fewer patients from other inpatient service lines (</w:t>
      </w:r>
      <w:r w:rsidRPr="002F227B">
        <w:rPr>
          <w:rFonts w:ascii="Times New Roman" w:hAnsi="Times New Roman" w:cs="Times New Roman"/>
          <w:i/>
          <w:iCs/>
        </w:rPr>
        <w:t>i.e.</w:t>
      </w:r>
      <w:r w:rsidRPr="002F227B">
        <w:rPr>
          <w:rFonts w:ascii="Times New Roman" w:hAnsi="Times New Roman" w:cs="Times New Roman"/>
        </w:rPr>
        <w:t>, not heart and vascular or cancer services) in the future, our simulations decrease MGH’s share for those other inpatient service lines.</w:t>
      </w:r>
    </w:p>
  </w:footnote>
  <w:footnote w:id="143">
    <w:p w14:paraId="437793EB" w14:textId="35538C24"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When we perform this exercise, we increase MGH inpatient patient days for cancer-related discharges by 7,958 instead of by 12,649, as indicated in the text (= 79,550 – 66,901). We scale down the MGH expansion to reflect the fact that we scaled down the raw discharge data by the same proportion when preparing it (</w:t>
      </w:r>
      <w:r w:rsidRPr="002F227B">
        <w:rPr>
          <w:rFonts w:ascii="Times New Roman" w:hAnsi="Times New Roman" w:cs="Times New Roman"/>
          <w:i/>
          <w:iCs/>
        </w:rPr>
        <w:t xml:space="preserve">e.g., </w:t>
      </w:r>
      <w:r w:rsidRPr="002F227B">
        <w:rPr>
          <w:rFonts w:ascii="Times New Roman" w:hAnsi="Times New Roman" w:cs="Times New Roman"/>
        </w:rPr>
        <w:t>removing out-of-state discharges) for the analyses here. We make the same adjustments to the changes in inpatient patient days for heart and vascular services and other types of discharges.</w:t>
      </w:r>
    </w:p>
  </w:footnote>
  <w:footnote w:id="144">
    <w:p w14:paraId="329FDBDF" w14:textId="7777777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The APCD and Medicare Claims data that we use to estimate our model of demand for outpatient diagnostic imaging services reflect claims for 2018. We understand that in 2018 there were no operational PET/MR units in Massachusetts, and so we have no data from which we can infer patients’ demand for this new technology. As such, we exclude PET/MR scans from our model of demand for outpatient diagnostic imaging services. </w:t>
      </w:r>
    </w:p>
  </w:footnote>
  <w:footnote w:id="145">
    <w:p w14:paraId="39C2C6BD" w14:textId="7777777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MGH Applicant Response – Excel Submission, Tab 3.b.</w:t>
      </w:r>
    </w:p>
  </w:footnote>
  <w:footnote w:id="146">
    <w:p w14:paraId="004F1A81" w14:textId="7777777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The proposed additional diagnostic imaging units or cardiovascular operating rooms may also be used by inpatients who receive care at MGH, but this demand would be reflected in our inpatient hospital model, and we do not address it separately here. </w:t>
      </w:r>
    </w:p>
  </w:footnote>
  <w:footnote w:id="147">
    <w:p w14:paraId="3A1D15E1" w14:textId="7777777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Specifically, self-insured health plans are not required to, but may voluntarily, submit their claims data to CHIA’s APCD. </w:t>
      </w:r>
    </w:p>
  </w:footnote>
  <w:footnote w:id="148">
    <w:p w14:paraId="08DD3820" w14:textId="2DAE9721"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We restrict the data to these seven counties because it is unlikely that patients who might receive care at MGH for outpatient diagnostic imaging services would travel outside of this region for these services, except under unusual or exceptional circumstances.</w:t>
      </w:r>
    </w:p>
  </w:footnote>
  <w:footnote w:id="149">
    <w:p w14:paraId="29BEDFDE" w14:textId="41BD842E"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More specifically, patient preferences in our model of demand for outpatient diagnostic imaging services depend on (i) the patient’s county and ZIP Code of residence; (ii) the CPT or HCPCS code associated with the imaging services the patient received; (iii) the region of the body (</w:t>
      </w:r>
      <w:r w:rsidRPr="002F227B">
        <w:rPr>
          <w:rFonts w:ascii="Times New Roman" w:hAnsi="Times New Roman" w:cs="Times New Roman"/>
          <w:i/>
        </w:rPr>
        <w:t>e.g.</w:t>
      </w:r>
      <w:r w:rsidRPr="002F227B">
        <w:rPr>
          <w:rFonts w:ascii="Times New Roman" w:hAnsi="Times New Roman" w:cs="Times New Roman"/>
        </w:rPr>
        <w:t>, breast, spine, pelvis, chest) associated with the imaging services the patient received; (iv) whether the patient received a CT, MR, or PET/CT scan; (v) the patient’s health insurance coverage (commercial, Original Medicare, Medicare health plan, MassHealth non-managed care, MassHealth managed care, or other types of coverage such as self-pay); (vi) the patient’s gender; and (vii) the patient’s age category (18-45, 46-62, and 63 and older).</w:t>
      </w:r>
    </w:p>
  </w:footnote>
  <w:footnote w:id="150">
    <w:p w14:paraId="1A9F22FD" w14:textId="7777777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We use a “semi-parametric” method to estimate demand that does not require we explicitly specify the facility characteristics that patients care about. Instead, for each facility, the method estimates one parameter for each group of patients that measures the overall attractiveness of the facility to that group of patients. This parameter implicitly reflects all the characteristics of that facility that affect the utility of patients in that group.</w:t>
      </w:r>
    </w:p>
  </w:footnote>
  <w:footnote w:id="151">
    <w:p w14:paraId="660E077E" w14:textId="7777777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The unit of observation in our model of patient demand for diagnostic imaging services is a single CT, MR, or PET/CT scan because patients in the APCD and Medicare Claims data choose to receive different types of advanced imaging services at different facilities.</w:t>
      </w:r>
    </w:p>
  </w:footnote>
  <w:footnote w:id="152">
    <w:p w14:paraId="434266D5" w14:textId="187E2B4D"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Our model combines claims for outpatient diagnostic imaging facilities that share the same facility type (</w:t>
      </w:r>
      <w:r w:rsidRPr="002F227B">
        <w:rPr>
          <w:rFonts w:ascii="Times New Roman" w:hAnsi="Times New Roman" w:cs="Times New Roman"/>
          <w:i/>
        </w:rPr>
        <w:t>e.g.</w:t>
      </w:r>
      <w:r w:rsidRPr="002F227B">
        <w:rPr>
          <w:rFonts w:ascii="Times New Roman" w:hAnsi="Times New Roman" w:cs="Times New Roman"/>
        </w:rPr>
        <w:t>, physician offices and clinics or HOPDs), have the same owner, and are located in the same ZIP Code. This means the patients in our model do not choose between specific locations (</w:t>
      </w:r>
      <w:r w:rsidRPr="002F227B">
        <w:rPr>
          <w:rFonts w:ascii="Times New Roman" w:hAnsi="Times New Roman" w:cs="Times New Roman"/>
          <w:i/>
        </w:rPr>
        <w:t>e.g.,</w:t>
      </w:r>
      <w:r w:rsidRPr="002F227B">
        <w:rPr>
          <w:rFonts w:ascii="Times New Roman" w:hAnsi="Times New Roman" w:cs="Times New Roman"/>
        </w:rPr>
        <w:t xml:space="preserve"> a Shields clinic at 40 Allied Drive in Dedham, MA 02026). Instead, this choice is represented as Shields – Office/Clinic – 02026 in the demand model. We aggregate the data in this way because it is not feasible to reliably identify the exact facility address where health care services were provided in the APCD and Medicare Claims data. Therefore, we are unable to calculate the facility-level shares needed to reliably estimate a facility-level demand model. Aggregating the data to the owner – facility type – ZIP Code-level (</w:t>
      </w:r>
      <w:r w:rsidRPr="002F227B">
        <w:rPr>
          <w:rFonts w:ascii="Times New Roman" w:hAnsi="Times New Roman" w:cs="Times New Roman"/>
          <w:i/>
        </w:rPr>
        <w:t>e.g.,</w:t>
      </w:r>
      <w:r w:rsidRPr="002F227B">
        <w:rPr>
          <w:rFonts w:ascii="Times New Roman" w:hAnsi="Times New Roman" w:cs="Times New Roman"/>
        </w:rPr>
        <w:t xml:space="preserve"> Shields – Office/Clinic – 02026) mitigates this issue. Consequently, we cannot distinguish between demand for outpatient facilities of the same type with the same owner in the same ZIP Code. </w:t>
      </w:r>
    </w:p>
  </w:footnote>
  <w:footnote w:id="153">
    <w:p w14:paraId="656FCF18" w14:textId="7777777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We use an iterative process to allocate patients into groups subject to a minimum group size of 30 claims with diagnostic imaging. When possible, the process allocates patients into the most granular category, </w:t>
      </w:r>
      <w:r w:rsidRPr="002F227B">
        <w:rPr>
          <w:rFonts w:ascii="Times New Roman" w:hAnsi="Times New Roman" w:cs="Times New Roman"/>
          <w:i/>
        </w:rPr>
        <w:t>e.g.</w:t>
      </w:r>
      <w:r w:rsidRPr="002F227B">
        <w:rPr>
          <w:rFonts w:ascii="Times New Roman" w:hAnsi="Times New Roman" w:cs="Times New Roman"/>
        </w:rPr>
        <w:t xml:space="preserve">, male patients aged 18-44 with commercial insurance coverage who reside in ZIP Code 02118 (located in Suffolk County) who received an MR scan with CPT code 73221 (shoulder, elbow, or wrist MRIs without contrast). If there are not 30 such patients who share those characteristics, the iterative process allocates patients into broader categories, </w:t>
      </w:r>
      <w:r w:rsidRPr="002F227B">
        <w:rPr>
          <w:rFonts w:ascii="Times New Roman" w:hAnsi="Times New Roman" w:cs="Times New Roman"/>
          <w:i/>
        </w:rPr>
        <w:t>e.g.</w:t>
      </w:r>
      <w:r w:rsidRPr="002F227B">
        <w:rPr>
          <w:rFonts w:ascii="Times New Roman" w:hAnsi="Times New Roman" w:cs="Times New Roman"/>
        </w:rPr>
        <w:t>, patients who reside in Suffolk County who received any type of MRI.</w:t>
      </w:r>
    </w:p>
  </w:footnote>
  <w:footnote w:id="154">
    <w:p w14:paraId="0738FBDC" w14:textId="244B9F5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We use the same methodology to perform these simulations as when simulating the effects of MGH’s additional inpatient capacity on utilization of inpatient GAC services. As with the inpatient demand model, we assume that when MGH completes the proposed project and is able to perform more CT, MR, and PET/CT scans, the incremental patients MGH performs these scans on will resemble the patients to whom MGH already provides diagnostic imaging services.</w:t>
      </w:r>
    </w:p>
  </w:footnote>
  <w:footnote w:id="155">
    <w:p w14:paraId="3022E08B" w14:textId="7777777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MGH Applicant Response – Excel Submission, Tab 3.b.</w:t>
      </w:r>
    </w:p>
  </w:footnote>
  <w:footnote w:id="156">
    <w:p w14:paraId="1B7E5A09" w14:textId="57EF7EE9"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We restrict the data to these seven counties because it is unlikely that patients who might receive care at MGH for outpatient cardiovascular services would travel outside of this region for these services, except under unusual or exceptional circumstances.</w:t>
      </w:r>
    </w:p>
  </w:footnote>
  <w:footnote w:id="157">
    <w:p w14:paraId="5950C44A" w14:textId="6A4EE71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More specifically, patient preferences in our model of demand for outpatient cardiovascular services depend on (i) the patient’s county and ZIP Code of residence; (ii) the CPT code associated with the cardiovascular procedure the patient received; (iii) the cardiovascular service line (</w:t>
      </w:r>
      <w:r w:rsidRPr="002F227B">
        <w:rPr>
          <w:rFonts w:ascii="Times New Roman" w:hAnsi="Times New Roman" w:cs="Times New Roman"/>
          <w:i/>
        </w:rPr>
        <w:t>e.g.</w:t>
      </w:r>
      <w:r w:rsidRPr="002F227B">
        <w:rPr>
          <w:rFonts w:ascii="Times New Roman" w:hAnsi="Times New Roman" w:cs="Times New Roman"/>
        </w:rPr>
        <w:t>, Echocardiography Procedures or Surgical Procedures on the Pericardium); (iv) the service type (</w:t>
      </w:r>
      <w:r w:rsidRPr="002F227B">
        <w:rPr>
          <w:rFonts w:ascii="Times New Roman" w:hAnsi="Times New Roman" w:cs="Times New Roman"/>
          <w:i/>
        </w:rPr>
        <w:t>i.e.</w:t>
      </w:r>
      <w:r w:rsidRPr="002F227B">
        <w:rPr>
          <w:rFonts w:ascii="Times New Roman" w:hAnsi="Times New Roman" w:cs="Times New Roman"/>
        </w:rPr>
        <w:t>, Surgical Procedures on the Heart and Pericardium, Surgical Procedures on Arteries and Veins, and Cardiovascular Procedures); (v) the patient’s health insurance coverage (commercial, Original Medicare, Medicare health plan, MassHealth non-managed care, MassHealth managed care, or other types of coverage such as self-pay); (vi) gender; and (vii) age category (18-45, 46-62, and 63 and older).</w:t>
      </w:r>
    </w:p>
  </w:footnote>
  <w:footnote w:id="158">
    <w:p w14:paraId="0A872D7E" w14:textId="7777777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In our model, patients make separate choices for each outpatient cardiovascular service (</w:t>
      </w:r>
      <w:r w:rsidRPr="002F227B">
        <w:rPr>
          <w:rFonts w:ascii="Times New Roman" w:hAnsi="Times New Roman" w:cs="Times New Roman"/>
          <w:i/>
        </w:rPr>
        <w:t>i.e.</w:t>
      </w:r>
      <w:r w:rsidRPr="002F227B">
        <w:rPr>
          <w:rFonts w:ascii="Times New Roman" w:hAnsi="Times New Roman" w:cs="Times New Roman"/>
        </w:rPr>
        <w:t xml:space="preserve">, CPT procedure code) that they receive. </w:t>
      </w:r>
    </w:p>
  </w:footnote>
  <w:footnote w:id="159">
    <w:p w14:paraId="7EE8EFBF" w14:textId="7777777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MGH DoN, Appendix 2, Tables 8 and 9.</w:t>
      </w:r>
    </w:p>
  </w:footnote>
  <w:footnote w:id="160">
    <w:p w14:paraId="49425C56" w14:textId="17F7D77B"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w:t>
      </w:r>
      <w:r w:rsidRPr="002F227B">
        <w:rPr>
          <w:rFonts w:ascii="Times New Roman" w:hAnsi="Times New Roman" w:cs="Times New Roman"/>
          <w:i/>
        </w:rPr>
        <w:t>See</w:t>
      </w:r>
      <w:r w:rsidRPr="002F227B">
        <w:rPr>
          <w:rFonts w:ascii="Times New Roman" w:hAnsi="Times New Roman" w:cs="Times New Roman"/>
        </w:rPr>
        <w:t xml:space="preserve"> Section </w:t>
      </w:r>
      <w:r w:rsidRPr="002F227B">
        <w:rPr>
          <w:rFonts w:ascii="Times New Roman" w:hAnsi="Times New Roman" w:cs="Times New Roman"/>
        </w:rPr>
        <w:fldChar w:fldCharType="begin"/>
      </w:r>
      <w:r w:rsidRPr="002F227B">
        <w:rPr>
          <w:rFonts w:ascii="Times New Roman" w:hAnsi="Times New Roman" w:cs="Times New Roman"/>
        </w:rPr>
        <w:instrText xml:space="preserve"> REF _Ref88655817 \r \h  \* MERGEFORMAT </w:instrText>
      </w:r>
      <w:r w:rsidRPr="002F227B">
        <w:rPr>
          <w:rFonts w:ascii="Times New Roman" w:hAnsi="Times New Roman" w:cs="Times New Roman"/>
        </w:rPr>
      </w:r>
      <w:r w:rsidRPr="002F227B">
        <w:rPr>
          <w:rFonts w:ascii="Times New Roman" w:hAnsi="Times New Roman" w:cs="Times New Roman"/>
        </w:rPr>
        <w:fldChar w:fldCharType="separate"/>
      </w:r>
      <w:r>
        <w:rPr>
          <w:rFonts w:ascii="Times New Roman" w:hAnsi="Times New Roman" w:cs="Times New Roman"/>
        </w:rPr>
        <w:t>III</w:t>
      </w:r>
      <w:r w:rsidRPr="002F227B">
        <w:rPr>
          <w:rFonts w:ascii="Times New Roman" w:hAnsi="Times New Roman" w:cs="Times New Roman"/>
        </w:rPr>
        <w:fldChar w:fldCharType="end"/>
      </w:r>
      <w:r w:rsidRPr="002F227B">
        <w:rPr>
          <w:rFonts w:ascii="Times New Roman" w:hAnsi="Times New Roman" w:cs="Times New Roman"/>
        </w:rPr>
        <w:t>.</w:t>
      </w:r>
      <w:r w:rsidRPr="002F227B">
        <w:rPr>
          <w:rFonts w:ascii="Times New Roman" w:hAnsi="Times New Roman" w:cs="Times New Roman"/>
        </w:rPr>
        <w:fldChar w:fldCharType="begin"/>
      </w:r>
      <w:r w:rsidRPr="002F227B">
        <w:rPr>
          <w:rFonts w:ascii="Times New Roman" w:hAnsi="Times New Roman" w:cs="Times New Roman"/>
        </w:rPr>
        <w:instrText xml:space="preserve"> REF _Ref88225783 \w \h  \* MERGEFORMAT </w:instrText>
      </w:r>
      <w:r w:rsidRPr="002F227B">
        <w:rPr>
          <w:rFonts w:ascii="Times New Roman" w:hAnsi="Times New Roman" w:cs="Times New Roman"/>
        </w:rPr>
      </w:r>
      <w:r w:rsidRPr="002F227B">
        <w:rPr>
          <w:rFonts w:ascii="Times New Roman" w:hAnsi="Times New Roman" w:cs="Times New Roman"/>
        </w:rPr>
        <w:fldChar w:fldCharType="separate"/>
      </w:r>
      <w:r>
        <w:rPr>
          <w:rFonts w:ascii="Times New Roman" w:hAnsi="Times New Roman" w:cs="Times New Roman"/>
        </w:rPr>
        <w:t>B</w:t>
      </w:r>
      <w:r w:rsidRPr="002F227B">
        <w:rPr>
          <w:rFonts w:ascii="Times New Roman" w:hAnsi="Times New Roman" w:cs="Times New Roman"/>
        </w:rPr>
        <w:fldChar w:fldCharType="end"/>
      </w:r>
      <w:r w:rsidRPr="002F227B">
        <w:rPr>
          <w:rFonts w:ascii="Times New Roman" w:hAnsi="Times New Roman" w:cs="Times New Roman"/>
        </w:rPr>
        <w:t>.</w:t>
      </w:r>
      <w:r w:rsidRPr="002F227B">
        <w:rPr>
          <w:rFonts w:ascii="Times New Roman" w:hAnsi="Times New Roman" w:cs="Times New Roman"/>
        </w:rPr>
        <w:fldChar w:fldCharType="begin"/>
      </w:r>
      <w:r w:rsidRPr="002F227B">
        <w:rPr>
          <w:rFonts w:ascii="Times New Roman" w:hAnsi="Times New Roman" w:cs="Times New Roman"/>
        </w:rPr>
        <w:instrText xml:space="preserve"> REF _Ref88225785 \w \h  \* MERGEFORMAT </w:instrText>
      </w:r>
      <w:r w:rsidRPr="002F227B">
        <w:rPr>
          <w:rFonts w:ascii="Times New Roman" w:hAnsi="Times New Roman" w:cs="Times New Roman"/>
        </w:rPr>
      </w:r>
      <w:r w:rsidRPr="002F227B">
        <w:rPr>
          <w:rFonts w:ascii="Times New Roman" w:hAnsi="Times New Roman" w:cs="Times New Roman"/>
        </w:rPr>
        <w:fldChar w:fldCharType="separate"/>
      </w:r>
      <w:r>
        <w:rPr>
          <w:rFonts w:ascii="Times New Roman" w:hAnsi="Times New Roman" w:cs="Times New Roman"/>
        </w:rPr>
        <w:t>2</w:t>
      </w:r>
      <w:r w:rsidRPr="002F227B">
        <w:rPr>
          <w:rFonts w:ascii="Times New Roman" w:hAnsi="Times New Roman" w:cs="Times New Roman"/>
        </w:rPr>
        <w:fldChar w:fldCharType="end"/>
      </w:r>
      <w:r w:rsidRPr="002F227B">
        <w:rPr>
          <w:rFonts w:ascii="Times New Roman" w:hAnsi="Times New Roman" w:cs="Times New Roman"/>
        </w:rPr>
        <w:t>.</w:t>
      </w:r>
    </w:p>
  </w:footnote>
  <w:footnote w:id="161">
    <w:p w14:paraId="11DD2317" w14:textId="1E2563B1"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We restrict the data to these seven counties because it is unlikely that patients who might receive care at MGH for outpatient oncology services would travel outside of this region for these services, except under unusual or exceptional circumstances.</w:t>
      </w:r>
    </w:p>
  </w:footnote>
  <w:footnote w:id="162">
    <w:p w14:paraId="6B97E6A5" w14:textId="082953E5"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More specifically, patient preferences in our model of demand for outpatient oncology visits depend on (i) the patient’s county and ZIP Code of residence; (ii) the type of cancer with which the patient has been diagnosed (</w:t>
      </w:r>
      <w:r w:rsidRPr="002F227B">
        <w:rPr>
          <w:rFonts w:ascii="Times New Roman" w:hAnsi="Times New Roman" w:cs="Times New Roman"/>
          <w:i/>
          <w:iCs/>
        </w:rPr>
        <w:t>e.g</w:t>
      </w:r>
      <w:r w:rsidRPr="002F227B">
        <w:rPr>
          <w:rFonts w:ascii="Times New Roman" w:hAnsi="Times New Roman" w:cs="Times New Roman"/>
        </w:rPr>
        <w:t>., breast, sarcoma, melanoma, head and neck, and so on); (iii) the patient’s health insurance coverage (commercial, Original Medicare, Medicare health plan, MassHealth non-managed care, MassHealth managed care, or other types of coverage such as self-pay); (iv) gender; and (v) age category (18-45, 46-62, and 63 and older).</w:t>
      </w:r>
    </w:p>
  </w:footnote>
  <w:footnote w:id="163">
    <w:p w14:paraId="3D78381C" w14:textId="7777777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MGH DoN, Appendix 2, Tables 5 and 7.</w:t>
      </w:r>
    </w:p>
  </w:footnote>
  <w:footnote w:id="164">
    <w:p w14:paraId="1B241C9C" w14:textId="7FFC0554"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Robert Town and Gregory Vistnes. “Hospital Competition in HMO Networks.” </w:t>
      </w:r>
      <w:r w:rsidRPr="002F227B">
        <w:rPr>
          <w:rFonts w:ascii="Times New Roman" w:hAnsi="Times New Roman" w:cs="Times New Roman"/>
          <w:i/>
        </w:rPr>
        <w:t xml:space="preserve">Journal of Health Economics </w:t>
      </w:r>
      <w:r w:rsidRPr="002F227B">
        <w:rPr>
          <w:rFonts w:ascii="Times New Roman" w:hAnsi="Times New Roman" w:cs="Times New Roman"/>
        </w:rPr>
        <w:t xml:space="preserve">(2001); Cory Capps, David Dranove, and Mark Satterthwaite. “Competition and market power in option demand markets.” </w:t>
      </w:r>
      <w:r w:rsidRPr="002F227B">
        <w:rPr>
          <w:rFonts w:ascii="Times New Roman" w:hAnsi="Times New Roman" w:cs="Times New Roman"/>
          <w:i/>
        </w:rPr>
        <w:t>RAND Journal of Economics</w:t>
      </w:r>
      <w:r w:rsidRPr="002F227B">
        <w:rPr>
          <w:rFonts w:ascii="Times New Roman" w:hAnsi="Times New Roman" w:cs="Times New Roman"/>
        </w:rPr>
        <w:t xml:space="preserve"> (2003).</w:t>
      </w:r>
    </w:p>
  </w:footnote>
  <w:footnote w:id="165">
    <w:p w14:paraId="2DF0757D" w14:textId="2687AF9A"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w:t>
      </w:r>
      <w:r w:rsidRPr="002F227B">
        <w:rPr>
          <w:rFonts w:ascii="Times New Roman" w:hAnsi="Times New Roman" w:cs="Times New Roman"/>
          <w:i/>
        </w:rPr>
        <w:t>See</w:t>
      </w:r>
      <w:r w:rsidRPr="002F227B">
        <w:rPr>
          <w:rFonts w:ascii="Times New Roman" w:hAnsi="Times New Roman" w:cs="Times New Roman"/>
        </w:rPr>
        <w:t xml:space="preserve"> MedPAC Payment Basics, “Hospital Acute Inpatient Services Payment System,” (Revised: November 2021), </w:t>
      </w:r>
      <w:r w:rsidRPr="002F227B">
        <w:rPr>
          <w:rFonts w:ascii="Times New Roman" w:hAnsi="Times New Roman" w:cs="Times New Roman"/>
          <w:i/>
        </w:rPr>
        <w:t>available at</w:t>
      </w:r>
      <w:r w:rsidRPr="002F227B">
        <w:rPr>
          <w:rFonts w:ascii="Times New Roman" w:hAnsi="Times New Roman" w:cs="Times New Roman"/>
        </w:rPr>
        <w:t xml:space="preserve"> https://www.medpac.gov/wp-content/uploads/2021/11/medpac_payment_basics_21_hospital_final_sec.pdf.; MedPAC Payment Basics, “Outpatient Hospital Services Payment System” (Revised: November 2021), </w:t>
      </w:r>
      <w:r w:rsidRPr="002F227B">
        <w:rPr>
          <w:rFonts w:ascii="Times New Roman" w:hAnsi="Times New Roman" w:cs="Times New Roman"/>
          <w:i/>
        </w:rPr>
        <w:t>available at</w:t>
      </w:r>
      <w:r w:rsidRPr="002F227B">
        <w:rPr>
          <w:rFonts w:ascii="Times New Roman" w:hAnsi="Times New Roman" w:cs="Times New Roman"/>
        </w:rPr>
        <w:t xml:space="preserve"> https://www.medpac.gov/wp-content/uploads/2021/11/medpac_payment_basics_21_opd_final_sec.pdf; Massachusetts Executive Office of Health and Human Services (EOHHS), Office of Medicaid. “Notice of Final Agency Action. MassHealth: Payment for In-State Acute Hospital Services and Out-of-State Acute Hospital Services, effective November 1, 2021,” </w:t>
      </w:r>
      <w:r w:rsidRPr="002F227B">
        <w:rPr>
          <w:rFonts w:ascii="Times New Roman" w:hAnsi="Times New Roman" w:cs="Times New Roman"/>
          <w:i/>
        </w:rPr>
        <w:t>available at</w:t>
      </w:r>
      <w:r w:rsidRPr="002F227B">
        <w:rPr>
          <w:rFonts w:ascii="Times New Roman" w:hAnsi="Times New Roman" w:cs="Times New Roman"/>
        </w:rPr>
        <w:t xml:space="preserve"> https://www.mass.gov/doc/notice-of-final-agency-action-masshealth-payment-for-in-state-acute-hospital-services-and-out-of-state-acute-hospital-services-effective-november-1-2021-0, pp. 1-6. </w:t>
      </w:r>
    </w:p>
  </w:footnote>
  <w:footnote w:id="166">
    <w:p w14:paraId="7CD7FE32" w14:textId="7F9D1F46"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Robert A. Berenson, Jonathan H. Sunshine, David Helms, and Emily Lawton. “Why Medicare Advantage Plans Pay Hospitals Traditional Medicare Prices.” </w:t>
      </w:r>
      <w:r w:rsidRPr="002F227B">
        <w:rPr>
          <w:rFonts w:ascii="Times New Roman" w:hAnsi="Times New Roman" w:cs="Times New Roman"/>
          <w:i/>
          <w:iCs/>
        </w:rPr>
        <w:t>Health Affairs</w:t>
      </w:r>
      <w:r w:rsidRPr="002F227B">
        <w:rPr>
          <w:rFonts w:ascii="Times New Roman" w:hAnsi="Times New Roman" w:cs="Times New Roman"/>
        </w:rPr>
        <w:t xml:space="preserve"> (2015).</w:t>
      </w:r>
    </w:p>
  </w:footnote>
  <w:footnote w:id="167">
    <w:p w14:paraId="053FB070" w14:textId="50CE6D00"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For example, if there were four firms competing in the market and each firm had a share of 25 percent, the HHI would be calculated as 2,500 = 25</w:t>
      </w:r>
      <w:r w:rsidRPr="002F227B">
        <w:rPr>
          <w:rFonts w:ascii="Times New Roman" w:hAnsi="Times New Roman" w:cs="Times New Roman"/>
          <w:vertAlign w:val="superscript"/>
        </w:rPr>
        <w:t>2</w:t>
      </w:r>
      <w:r w:rsidRPr="002F227B">
        <w:rPr>
          <w:rFonts w:ascii="Times New Roman" w:hAnsi="Times New Roman" w:cs="Times New Roman"/>
        </w:rPr>
        <w:t xml:space="preserve"> + 25</w:t>
      </w:r>
      <w:r w:rsidRPr="002F227B">
        <w:rPr>
          <w:rFonts w:ascii="Times New Roman" w:hAnsi="Times New Roman" w:cs="Times New Roman"/>
          <w:vertAlign w:val="superscript"/>
        </w:rPr>
        <w:t xml:space="preserve">2 + </w:t>
      </w:r>
      <w:r w:rsidRPr="002F227B">
        <w:rPr>
          <w:rFonts w:ascii="Times New Roman" w:hAnsi="Times New Roman" w:cs="Times New Roman"/>
        </w:rPr>
        <w:t>25</w:t>
      </w:r>
      <w:r w:rsidRPr="002F227B">
        <w:rPr>
          <w:rFonts w:ascii="Times New Roman" w:hAnsi="Times New Roman" w:cs="Times New Roman"/>
          <w:vertAlign w:val="superscript"/>
        </w:rPr>
        <w:t>2</w:t>
      </w:r>
      <w:r w:rsidRPr="002F227B">
        <w:rPr>
          <w:rFonts w:ascii="Times New Roman" w:hAnsi="Times New Roman" w:cs="Times New Roman"/>
        </w:rPr>
        <w:t xml:space="preserve"> + 25</w:t>
      </w:r>
      <w:r w:rsidRPr="002F227B">
        <w:rPr>
          <w:rFonts w:ascii="Times New Roman" w:hAnsi="Times New Roman" w:cs="Times New Roman"/>
          <w:vertAlign w:val="superscript"/>
        </w:rPr>
        <w:t>2</w:t>
      </w:r>
      <w:r w:rsidRPr="002F227B">
        <w:rPr>
          <w:rFonts w:ascii="Times New Roman" w:hAnsi="Times New Roman" w:cs="Times New Roman"/>
        </w:rPr>
        <w:t xml:space="preserve">. In the case of a single firm competing in the market, the HHI is 10,000. In the case of a large number of firms competing in the market where each such firm has a small share, the HHI would be close to zero. In general, if there are </w:t>
      </w:r>
      <w:r w:rsidRPr="002F227B">
        <w:rPr>
          <w:rFonts w:ascii="Times New Roman" w:hAnsi="Times New Roman" w:cs="Times New Roman"/>
          <w:i/>
        </w:rPr>
        <w:t>n</w:t>
      </w:r>
      <w:r w:rsidRPr="002F227B">
        <w:rPr>
          <w:rFonts w:ascii="Times New Roman" w:hAnsi="Times New Roman" w:cs="Times New Roman"/>
        </w:rPr>
        <w:t xml:space="preserve"> equally sized firms competing in the market, the HHI is 10,000 ÷ </w:t>
      </w:r>
      <w:r w:rsidRPr="002F227B">
        <w:rPr>
          <w:rFonts w:ascii="Times New Roman" w:hAnsi="Times New Roman" w:cs="Times New Roman"/>
          <w:i/>
          <w:iCs/>
        </w:rPr>
        <w:t>n</w:t>
      </w:r>
      <w:r w:rsidRPr="002F227B">
        <w:rPr>
          <w:rFonts w:ascii="Times New Roman" w:hAnsi="Times New Roman" w:cs="Times New Roman"/>
        </w:rPr>
        <w:t xml:space="preserve">. </w:t>
      </w:r>
    </w:p>
  </w:footnote>
  <w:footnote w:id="168">
    <w:p w14:paraId="77607E4B" w14:textId="7777777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U.S. Department of Justice and the Federal Trade Commission. </w:t>
      </w:r>
      <w:r w:rsidRPr="002F227B">
        <w:rPr>
          <w:rFonts w:ascii="Times New Roman" w:hAnsi="Times New Roman" w:cs="Times New Roman"/>
          <w:i/>
          <w:iCs/>
        </w:rPr>
        <w:t>Horizontal Merger Guidelines</w:t>
      </w:r>
      <w:r w:rsidRPr="002F227B">
        <w:rPr>
          <w:rFonts w:ascii="Times New Roman" w:hAnsi="Times New Roman" w:cs="Times New Roman"/>
        </w:rPr>
        <w:t xml:space="preserve"> (2010). </w:t>
      </w:r>
    </w:p>
  </w:footnote>
  <w:footnote w:id="169">
    <w:p w14:paraId="3A30E634" w14:textId="4859F976"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w:t>
      </w:r>
      <w:r w:rsidRPr="002F227B">
        <w:rPr>
          <w:rFonts w:ascii="Times New Roman" w:hAnsi="Times New Roman" w:cs="Times New Roman"/>
          <w:i/>
        </w:rPr>
        <w:t>See</w:t>
      </w:r>
      <w:r w:rsidRPr="002F227B">
        <w:rPr>
          <w:rFonts w:ascii="Times New Roman" w:hAnsi="Times New Roman" w:cs="Times New Roman"/>
        </w:rPr>
        <w:t xml:space="preserve">, for example, Massachusetts Health Policy Commission Review of The Proposed Merger of Lahey Health System; CareGroup and its Component Parts, Beth Israel Deaconess Medical Center, New England Baptist Hospital, and Mount Auburn Hospital; Seacoast Regional Health Systems; and Each of their Corporate Subsidiaries into Beth Israel Lahey Health; AND The Acquisition of the Beth Israel Deaconess Care Organization by Beth Israel Lahey Health; AND The Contracting Affiliation Between Beth Israel Lahey Health and Mount Auburn Cambridge Independent Practice Association (HPC-CMIR-2017-2), Final Report (September 27, 2018), pp. 47-48. </w:t>
      </w:r>
    </w:p>
  </w:footnote>
  <w:footnote w:id="170">
    <w:p w14:paraId="4BD9F9A2" w14:textId="7777777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U.S. Department of Justice and the Federal Trade Commission. </w:t>
      </w:r>
      <w:r w:rsidRPr="002F227B">
        <w:rPr>
          <w:rFonts w:ascii="Times New Roman" w:hAnsi="Times New Roman" w:cs="Times New Roman"/>
          <w:i/>
          <w:iCs/>
        </w:rPr>
        <w:t>Horizontal Merger Guidelines</w:t>
      </w:r>
      <w:r w:rsidRPr="002F227B">
        <w:rPr>
          <w:rFonts w:ascii="Times New Roman" w:hAnsi="Times New Roman" w:cs="Times New Roman"/>
        </w:rPr>
        <w:t xml:space="preserve"> (2010)</w:t>
      </w:r>
      <w:r w:rsidRPr="002F227B">
        <w:rPr>
          <w:rFonts w:ascii="Times New Roman" w:hAnsi="Times New Roman" w:cs="Times New Roman"/>
          <w:i/>
          <w:iCs/>
        </w:rPr>
        <w:t xml:space="preserve">, </w:t>
      </w:r>
      <w:r w:rsidRPr="002F227B">
        <w:rPr>
          <w:rFonts w:ascii="Times New Roman" w:hAnsi="Times New Roman" w:cs="Times New Roman"/>
        </w:rPr>
        <w:t>§ 5.3.</w:t>
      </w:r>
    </w:p>
  </w:footnote>
  <w:footnote w:id="171">
    <w:p w14:paraId="044A9565" w14:textId="441B20DD"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The change in HHI associated with a merger is equal to twice the product of the shares of the merging firms. For example, the merger of firms with a five percent share and a ten percent share would increase the HHI by 100 = 2 × 5 × 10. </w:t>
      </w:r>
    </w:p>
  </w:footnote>
  <w:footnote w:id="172">
    <w:p w14:paraId="3C51F97E" w14:textId="7777777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U.S. Department of Justice and the Federal Trade Commission. </w:t>
      </w:r>
      <w:r w:rsidRPr="002F227B">
        <w:rPr>
          <w:rFonts w:ascii="Times New Roman" w:hAnsi="Times New Roman" w:cs="Times New Roman"/>
          <w:i/>
          <w:iCs/>
        </w:rPr>
        <w:t>Horizontal Merger Guidelines</w:t>
      </w:r>
      <w:r w:rsidRPr="002F227B">
        <w:rPr>
          <w:rFonts w:ascii="Times New Roman" w:hAnsi="Times New Roman" w:cs="Times New Roman"/>
        </w:rPr>
        <w:t xml:space="preserve"> (2010)</w:t>
      </w:r>
      <w:r w:rsidRPr="002F227B">
        <w:rPr>
          <w:rFonts w:ascii="Times New Roman" w:hAnsi="Times New Roman" w:cs="Times New Roman"/>
          <w:i/>
          <w:iCs/>
        </w:rPr>
        <w:t xml:space="preserve">, </w:t>
      </w:r>
      <w:r w:rsidRPr="002F227B">
        <w:rPr>
          <w:rFonts w:ascii="Times New Roman" w:hAnsi="Times New Roman" w:cs="Times New Roman"/>
        </w:rPr>
        <w:t>§ 5.3.</w:t>
      </w:r>
    </w:p>
  </w:footnote>
  <w:footnote w:id="173">
    <w:p w14:paraId="4FF406EC" w14:textId="3326E0A9"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The Federal Trade Commission unsuccessfully challenged the acquisition of Albert Einstein Healthcare Network by Thomas Jefferson University in 2020. In its complaint, the Federal Trade Commission alleged that the transaction would increase concentration in the market for the provision of inpatient general acute care hospital services in Montgomery County, Pennsylvania by at least 700 points to more than 3,500 points. (Complaint, </w:t>
      </w:r>
      <w:r w:rsidRPr="002F227B">
        <w:rPr>
          <w:rFonts w:ascii="Times New Roman" w:hAnsi="Times New Roman" w:cs="Times New Roman"/>
          <w:i/>
          <w:iCs/>
        </w:rPr>
        <w:t>In the Matter of Thomas Jefferson University and Albert Einstein Healthcare Network</w:t>
      </w:r>
      <w:r w:rsidRPr="002F227B">
        <w:rPr>
          <w:rFonts w:ascii="Times New Roman" w:hAnsi="Times New Roman" w:cs="Times New Roman"/>
        </w:rPr>
        <w:t xml:space="preserve">, Docket No. 9392, ¶ 50.) The administrative complaint was later dismissed after the Commission voted to voluntarily dismiss its appeal of the District Court’s decision declining to preliminarily enjoin the transaction. (Federal Trade Commission, Case Summary. “Thomas Jefferson University, In the Matter of.” </w:t>
      </w:r>
      <w:r w:rsidRPr="002F227B">
        <w:rPr>
          <w:rFonts w:ascii="Times New Roman" w:hAnsi="Times New Roman" w:cs="Times New Roman"/>
          <w:i/>
          <w:iCs/>
        </w:rPr>
        <w:t>available at</w:t>
      </w:r>
      <w:r w:rsidRPr="002F227B">
        <w:rPr>
          <w:rFonts w:ascii="Times New Roman" w:hAnsi="Times New Roman" w:cs="Times New Roman"/>
        </w:rPr>
        <w:t xml:space="preserve"> https://www.ftc.gov/enforcement/cases-proceedings/181-0128/thomas-jefferson-university-matter.) </w:t>
      </w:r>
    </w:p>
  </w:footnote>
  <w:footnote w:id="174">
    <w:p w14:paraId="50462F3F" w14:textId="4A4D219B"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Studies of the relationship between market structure and prices are commonly referred to as Structure-Conduct-Performance or “SCP” studies. While we do not discuss it here, economists have noted that the “SCP approach has a number of well-recognized problems when price is the dependent variable” as is the case in the studies reviewed here. (Martin Gaynor, Kate Ho, and Robert J. Town. “The Industrial Organization of Health-Care Markets.” </w:t>
      </w:r>
      <w:r w:rsidRPr="002F227B">
        <w:rPr>
          <w:rFonts w:ascii="Times New Roman" w:hAnsi="Times New Roman" w:cs="Times New Roman"/>
          <w:i/>
        </w:rPr>
        <w:t>Journal of Economic Literature</w:t>
      </w:r>
      <w:r w:rsidRPr="002F227B">
        <w:rPr>
          <w:rFonts w:ascii="Times New Roman" w:hAnsi="Times New Roman" w:cs="Times New Roman"/>
        </w:rPr>
        <w:t xml:space="preserve"> (2015), p. 246.) </w:t>
      </w:r>
    </w:p>
  </w:footnote>
  <w:footnote w:id="175">
    <w:p w14:paraId="2F8F5DBA" w14:textId="44E5CC99"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Maximillian J. Pany, Michael E. Chernew, and Leemore S. Dafny. “Regulating Hospital Prices Based on Market Concentration Is Likely to Leave High-Price Hospitals Unaffected.” </w:t>
      </w:r>
      <w:r w:rsidRPr="002F227B">
        <w:rPr>
          <w:rFonts w:ascii="Times New Roman" w:hAnsi="Times New Roman" w:cs="Times New Roman"/>
          <w:i/>
          <w:iCs/>
        </w:rPr>
        <w:t>Health Affairs</w:t>
      </w:r>
      <w:r w:rsidRPr="002F227B">
        <w:rPr>
          <w:rFonts w:ascii="Times New Roman" w:hAnsi="Times New Roman" w:cs="Times New Roman"/>
        </w:rPr>
        <w:t xml:space="preserve"> (2021). </w:t>
      </w:r>
    </w:p>
  </w:footnote>
  <w:footnote w:id="176">
    <w:p w14:paraId="2A0B7A3E" w14:textId="3CB67E18"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Zack Cooper, Stuart V. Craig, Martin Gaynor, and John Van Reenen. “The Price Ain’t Right? Hospital Prices and Health Spending on the Privately Insured.” </w:t>
      </w:r>
      <w:r w:rsidRPr="002F227B">
        <w:rPr>
          <w:rFonts w:ascii="Times New Roman" w:hAnsi="Times New Roman" w:cs="Times New Roman"/>
          <w:i/>
        </w:rPr>
        <w:t>Quarterly Journal of Economics</w:t>
      </w:r>
      <w:r w:rsidRPr="002F227B">
        <w:rPr>
          <w:rFonts w:ascii="Times New Roman" w:hAnsi="Times New Roman" w:cs="Times New Roman"/>
        </w:rPr>
        <w:t xml:space="preserve"> (2019). </w:t>
      </w:r>
    </w:p>
  </w:footnote>
  <w:footnote w:id="177">
    <w:p w14:paraId="155D75EA" w14:textId="46E6D3AF"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Zack Cooper, Stuart V. Craig, Martin Gaynor, and John Van Reenen. “The Price Ain’t Right? Hospital Prices and Health Spending on the Privately Insured.” </w:t>
      </w:r>
      <w:r w:rsidRPr="002F227B">
        <w:rPr>
          <w:rFonts w:ascii="Times New Roman" w:hAnsi="Times New Roman" w:cs="Times New Roman"/>
          <w:i/>
          <w:iCs/>
        </w:rPr>
        <w:t>Quarterly Journal of Economics</w:t>
      </w:r>
      <w:r w:rsidRPr="002F227B">
        <w:rPr>
          <w:rFonts w:ascii="Times New Roman" w:hAnsi="Times New Roman" w:cs="Times New Roman"/>
        </w:rPr>
        <w:t xml:space="preserve"> (2019), Online Appendix, Appendix Table XVI. </w:t>
      </w:r>
    </w:p>
  </w:footnote>
  <w:footnote w:id="178">
    <w:p w14:paraId="3D81603C" w14:textId="01EE44C4"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Because both the dependent variable (inpatient prices) and HHI are expressed as logarithms in this regression, the estimated coefficient on the logarithm of HHI can be interpreted as an elasticity. That is, if the estimated coefficient on the logarithm of HHI is β and HHI increases by </w:t>
      </w:r>
      <w:r w:rsidRPr="002F227B">
        <w:rPr>
          <w:rFonts w:ascii="Times New Roman" w:hAnsi="Times New Roman" w:cs="Times New Roman"/>
          <w:i/>
        </w:rPr>
        <w:t>p</w:t>
      </w:r>
      <w:r w:rsidRPr="002F227B">
        <w:rPr>
          <w:rFonts w:ascii="Times New Roman" w:hAnsi="Times New Roman" w:cs="Times New Roman"/>
        </w:rPr>
        <w:t xml:space="preserve"> percent, the predicted increase in prices is approximately β</w:t>
      </w:r>
      <w:r w:rsidRPr="002F227B">
        <w:rPr>
          <w:rFonts w:ascii="Times New Roman" w:hAnsi="Times New Roman" w:cs="Times New Roman"/>
          <w:i/>
        </w:rPr>
        <w:t xml:space="preserve"> × p</w:t>
      </w:r>
      <w:r w:rsidRPr="002F227B">
        <w:rPr>
          <w:rFonts w:ascii="Times New Roman" w:hAnsi="Times New Roman" w:cs="Times New Roman"/>
        </w:rPr>
        <w:t xml:space="preserve">. For example, 0.24 percent is calculated as the product of 0.05 (the five percent increase in HHI) and the coefficient of 0.047 from the authors’ estimate. Similarly, 0.50 percent is calculated as the product of 0.05 (the five percent increase in HHI) and the coefficient of 0.100 from the authors’ estimates. </w:t>
      </w:r>
    </w:p>
  </w:footnote>
  <w:footnote w:id="179">
    <w:p w14:paraId="2755A98D" w14:textId="7777777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Asako Moriya, William B. Vogt, and Martin Gaynor. “Hospital prices and market structure in the hospital and insurance industries.” </w:t>
      </w:r>
      <w:r w:rsidRPr="002F227B">
        <w:rPr>
          <w:rFonts w:ascii="Times New Roman" w:hAnsi="Times New Roman" w:cs="Times New Roman"/>
          <w:i/>
        </w:rPr>
        <w:t>Health Economics</w:t>
      </w:r>
      <w:r w:rsidRPr="002F227B">
        <w:rPr>
          <w:rFonts w:ascii="Times New Roman" w:hAnsi="Times New Roman" w:cs="Times New Roman"/>
          <w:i/>
          <w:iCs/>
        </w:rPr>
        <w:t>, Policy and Law</w:t>
      </w:r>
      <w:r w:rsidRPr="002F227B">
        <w:rPr>
          <w:rFonts w:ascii="Times New Roman" w:hAnsi="Times New Roman" w:cs="Times New Roman"/>
        </w:rPr>
        <w:t xml:space="preserve"> (2010). </w:t>
      </w:r>
    </w:p>
  </w:footnote>
  <w:footnote w:id="180">
    <w:p w14:paraId="1C565234" w14:textId="7777777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David Dranove, Richard Lindrooth, William D. White, and Jack Zwanziger. “Is the impact of managed care on hospital prices decreasing?” </w:t>
      </w:r>
      <w:r w:rsidRPr="002F227B">
        <w:rPr>
          <w:rFonts w:ascii="Times New Roman" w:hAnsi="Times New Roman" w:cs="Times New Roman"/>
          <w:i/>
          <w:iCs/>
        </w:rPr>
        <w:t>Journal of Health Economics</w:t>
      </w:r>
      <w:r w:rsidRPr="002F227B">
        <w:rPr>
          <w:rFonts w:ascii="Times New Roman" w:hAnsi="Times New Roman" w:cs="Times New Roman"/>
        </w:rPr>
        <w:t xml:space="preserve"> (2008). </w:t>
      </w:r>
    </w:p>
  </w:footnote>
  <w:footnote w:id="181">
    <w:p w14:paraId="369C4F69" w14:textId="7777777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Glenn Melnick and Emmett Keeler. “The effects of multi-hospital systems on hospital prices.” </w:t>
      </w:r>
      <w:r w:rsidRPr="002F227B">
        <w:rPr>
          <w:rFonts w:ascii="Times New Roman" w:hAnsi="Times New Roman" w:cs="Times New Roman"/>
          <w:i/>
          <w:iCs/>
        </w:rPr>
        <w:t xml:space="preserve">Journal of Health Economics </w:t>
      </w:r>
      <w:r w:rsidRPr="002F227B">
        <w:rPr>
          <w:rFonts w:ascii="Times New Roman" w:hAnsi="Times New Roman" w:cs="Times New Roman"/>
        </w:rPr>
        <w:t xml:space="preserve">(2007). </w:t>
      </w:r>
    </w:p>
  </w:footnote>
  <w:footnote w:id="182">
    <w:p w14:paraId="2399150A" w14:textId="52775D58"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Yaa Akosa Antwi, Martin S. Ganor, and William B. Vogt. “A Bargain at Twice the Price? California Hospital Prices in the New Millennium.” </w:t>
      </w:r>
      <w:r w:rsidRPr="002F227B">
        <w:rPr>
          <w:rFonts w:ascii="Times New Roman" w:hAnsi="Times New Roman" w:cs="Times New Roman"/>
          <w:i/>
          <w:iCs/>
        </w:rPr>
        <w:t>Forum for Health Economics &amp; Policy</w:t>
      </w:r>
      <w:r w:rsidRPr="002F227B">
        <w:rPr>
          <w:rFonts w:ascii="Times New Roman" w:hAnsi="Times New Roman" w:cs="Times New Roman"/>
        </w:rPr>
        <w:t xml:space="preserve"> (2009).</w:t>
      </w:r>
    </w:p>
  </w:footnote>
  <w:footnote w:id="183">
    <w:p w14:paraId="4343887F" w14:textId="7777777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Martin Gaynor and Robert Town. “The impact of hospital consolidation—Update.” Robert Wood Johnson Foundation: The Synthesis Project (2012). </w:t>
      </w:r>
    </w:p>
  </w:footnote>
  <w:footnote w:id="184">
    <w:p w14:paraId="10D84A21" w14:textId="7777777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Martin Gaynor, Kate Ho, and Robert J. Town. “The Industrial Organization of Health-Care Markets.” </w:t>
      </w:r>
      <w:r w:rsidRPr="002F227B">
        <w:rPr>
          <w:rFonts w:ascii="Times New Roman" w:hAnsi="Times New Roman" w:cs="Times New Roman"/>
          <w:i/>
        </w:rPr>
        <w:t>Journal of Economic Literature</w:t>
      </w:r>
      <w:r w:rsidRPr="002F227B">
        <w:rPr>
          <w:rFonts w:ascii="Times New Roman" w:hAnsi="Times New Roman" w:cs="Times New Roman"/>
        </w:rPr>
        <w:t xml:space="preserve"> (2015). </w:t>
      </w:r>
    </w:p>
  </w:footnote>
  <w:footnote w:id="185">
    <w:p w14:paraId="19229469" w14:textId="6FC63DE0"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Kate Ho. “Insurer-Provider Networks in the Medical Care Market.” </w:t>
      </w:r>
      <w:r w:rsidRPr="002F227B">
        <w:rPr>
          <w:rFonts w:ascii="Times New Roman" w:hAnsi="Times New Roman" w:cs="Times New Roman"/>
          <w:i/>
        </w:rPr>
        <w:t xml:space="preserve">The American Economic Review </w:t>
      </w:r>
      <w:r w:rsidRPr="002F227B">
        <w:rPr>
          <w:rFonts w:ascii="Times New Roman" w:hAnsi="Times New Roman" w:cs="Times New Roman"/>
        </w:rPr>
        <w:t>(2009).</w:t>
      </w:r>
    </w:p>
  </w:footnote>
  <w:footnote w:id="186">
    <w:p w14:paraId="594BE047" w14:textId="4EE7EF7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The author defines a hospital as capacity-constrained if, according to their model of patient hospital demand, the hospital’s expected utilization in terms of patient days exceeds 85 percent of its maximum capacity, calculated as its bed count times 365 days.</w:t>
      </w:r>
    </w:p>
    <w:p w14:paraId="68669FD9" w14:textId="7D9040E4" w:rsidR="00CF3141" w:rsidRPr="002F227B" w:rsidRDefault="00CF3141" w:rsidP="00335D93">
      <w:pPr>
        <w:pStyle w:val="FootnoteText"/>
        <w:ind w:firstLine="720"/>
        <w:rPr>
          <w:rFonts w:ascii="Times New Roman" w:hAnsi="Times New Roman" w:cs="Times New Roman"/>
        </w:rPr>
      </w:pPr>
      <w:r w:rsidRPr="002F227B">
        <w:rPr>
          <w:rFonts w:ascii="Times New Roman" w:hAnsi="Times New Roman" w:cs="Times New Roman"/>
        </w:rPr>
        <w:t>The author also finds that “star” hospitals are able to negotiate payments from health insurers that are $6,700 more than hospitals that are not “stars,” which is similar to her finding on capacity-constrained hospitals. The author explains that capacity-constrained hospitals tend to be stars (and vice versa), but that the effect from capacity-constraints is important because “capacity constraints seem to give the hospital additional leverage in the bargaining process, perhaps by acting as a commitment device to persuade plans that it will choose to contract selectively.”</w:t>
      </w:r>
    </w:p>
  </w:footnote>
  <w:footnote w:id="187">
    <w:p w14:paraId="1EA48F44" w14:textId="7C704261"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Federal Trade Commission and Department of Justice, “Improving Health Care: A Dose of Competition.” (July 2004), Chapter 8, p. 1. </w:t>
      </w:r>
    </w:p>
  </w:footnote>
  <w:footnote w:id="188">
    <w:p w14:paraId="2A18E1F8" w14:textId="79AF7161"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w:t>
      </w:r>
      <w:r w:rsidRPr="002F227B">
        <w:rPr>
          <w:rFonts w:ascii="Times New Roman" w:hAnsi="Times New Roman" w:cs="Times New Roman"/>
          <w:i/>
        </w:rPr>
        <w:t>See</w:t>
      </w:r>
      <w:r w:rsidRPr="002F227B">
        <w:rPr>
          <w:rFonts w:ascii="Times New Roman" w:hAnsi="Times New Roman" w:cs="Times New Roman"/>
        </w:rPr>
        <w:t xml:space="preserve">, for example, Federal Trade Commission and Department of Justice, “Improving Health Care: A Dose of Competition.” (July 2004), Executive Summary, p. 22; Joint Statement of the Antitrust Division of the U.S. Department of Justice and the Federal Trade Commission on Certificate-of-Need Laws and Alaska Senate Bill 62; Federal Trade Commission Office of Policy Planning, Bureau of Competition, and Bureau of Economics Comment Before the Georgia Department of Community Health (October 16, 2017); Statement of Commissioner Christine S. Wilson, Joined by Commissioner Noah Joshua Phillips, </w:t>
      </w:r>
      <w:r w:rsidRPr="002F227B">
        <w:rPr>
          <w:rFonts w:ascii="Times New Roman" w:hAnsi="Times New Roman" w:cs="Times New Roman"/>
          <w:i/>
          <w:iCs/>
        </w:rPr>
        <w:t>In the Matter of Methodist Hospital/Tenet St. Francis Hospital</w:t>
      </w:r>
      <w:r w:rsidRPr="002F227B">
        <w:rPr>
          <w:rFonts w:ascii="Times New Roman" w:hAnsi="Times New Roman" w:cs="Times New Roman"/>
        </w:rPr>
        <w:t xml:space="preserve">, File No. 1910-0189 (November 13, 2020); Maureen K. Ohlhausen, “Certificate of Need Laws: A Prescription for Higher Costs.” </w:t>
      </w:r>
      <w:r w:rsidRPr="002F227B">
        <w:rPr>
          <w:rFonts w:ascii="Times New Roman" w:hAnsi="Times New Roman" w:cs="Times New Roman"/>
          <w:i/>
        </w:rPr>
        <w:t>Antitrust</w:t>
      </w:r>
      <w:r w:rsidRPr="002F227B">
        <w:rPr>
          <w:rFonts w:ascii="Times New Roman" w:hAnsi="Times New Roman" w:cs="Times New Roman"/>
        </w:rPr>
        <w:t xml:space="preserve"> (2015). </w:t>
      </w:r>
    </w:p>
  </w:footnote>
  <w:footnote w:id="189">
    <w:p w14:paraId="17A1BEC3" w14:textId="7777777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Matthew D. Mitchell. “Do Certificate-of-Need Laws Limit Spending?” Mercatus Working Paper, Mercatus Center, George Mason University (2016). </w:t>
      </w:r>
    </w:p>
  </w:footnote>
  <w:footnote w:id="190">
    <w:p w14:paraId="3320063F" w14:textId="7777777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Matthew D. Mitchell. “Do Certificate-of-Need Laws Limit Spending?” Mercatus Working Paper, Mercatus Center, George Mason University (2016), p. 29. </w:t>
      </w:r>
    </w:p>
  </w:footnote>
  <w:footnote w:id="191">
    <w:p w14:paraId="6E9C7CB2" w14:textId="7777777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Christopher J. Conover and James Bailey. “Certificate of need laws: a systematic review and cost-effectiveness review.” BMC Health Services Research (2020).</w:t>
      </w:r>
    </w:p>
  </w:footnote>
  <w:footnote w:id="192">
    <w:p w14:paraId="47365337" w14:textId="4A4DC0D1"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All calculations in this section adopt the inpatient service line definitions we described in Section </w:t>
      </w:r>
      <w:r w:rsidRPr="002F227B">
        <w:rPr>
          <w:rFonts w:ascii="Times New Roman" w:hAnsi="Times New Roman" w:cs="Times New Roman"/>
        </w:rPr>
        <w:fldChar w:fldCharType="begin"/>
      </w:r>
      <w:r w:rsidRPr="002F227B">
        <w:rPr>
          <w:rFonts w:ascii="Times New Roman" w:hAnsi="Times New Roman" w:cs="Times New Roman"/>
        </w:rPr>
        <w:instrText xml:space="preserve"> REF _Ref88655817 \r \h  \* MERGEFORMAT </w:instrText>
      </w:r>
      <w:r w:rsidRPr="002F227B">
        <w:rPr>
          <w:rFonts w:ascii="Times New Roman" w:hAnsi="Times New Roman" w:cs="Times New Roman"/>
        </w:rPr>
      </w:r>
      <w:r w:rsidRPr="002F227B">
        <w:rPr>
          <w:rFonts w:ascii="Times New Roman" w:hAnsi="Times New Roman" w:cs="Times New Roman"/>
        </w:rPr>
        <w:fldChar w:fldCharType="separate"/>
      </w:r>
      <w:r>
        <w:rPr>
          <w:rFonts w:ascii="Times New Roman" w:hAnsi="Times New Roman" w:cs="Times New Roman"/>
        </w:rPr>
        <w:t>III</w:t>
      </w:r>
      <w:r w:rsidRPr="002F227B">
        <w:rPr>
          <w:rFonts w:ascii="Times New Roman" w:hAnsi="Times New Roman" w:cs="Times New Roman"/>
        </w:rPr>
        <w:fldChar w:fldCharType="end"/>
      </w:r>
      <w:r w:rsidRPr="002F227B">
        <w:rPr>
          <w:rFonts w:ascii="Times New Roman" w:hAnsi="Times New Roman" w:cs="Times New Roman"/>
        </w:rPr>
        <w:t>.</w:t>
      </w:r>
      <w:r w:rsidRPr="002F227B">
        <w:rPr>
          <w:rFonts w:ascii="Times New Roman" w:hAnsi="Times New Roman" w:cs="Times New Roman"/>
        </w:rPr>
        <w:fldChar w:fldCharType="begin"/>
      </w:r>
      <w:r w:rsidRPr="002F227B">
        <w:rPr>
          <w:rFonts w:ascii="Times New Roman" w:hAnsi="Times New Roman" w:cs="Times New Roman"/>
        </w:rPr>
        <w:instrText xml:space="preserve"> REF _Ref88219827 \w \h  \* MERGEFORMAT </w:instrText>
      </w:r>
      <w:r w:rsidRPr="002F227B">
        <w:rPr>
          <w:rFonts w:ascii="Times New Roman" w:hAnsi="Times New Roman" w:cs="Times New Roman"/>
        </w:rPr>
      </w:r>
      <w:r w:rsidRPr="002F227B">
        <w:rPr>
          <w:rFonts w:ascii="Times New Roman" w:hAnsi="Times New Roman" w:cs="Times New Roman"/>
        </w:rPr>
        <w:fldChar w:fldCharType="separate"/>
      </w:r>
      <w:r>
        <w:rPr>
          <w:rFonts w:ascii="Times New Roman" w:hAnsi="Times New Roman" w:cs="Times New Roman"/>
        </w:rPr>
        <w:t>B</w:t>
      </w:r>
      <w:r w:rsidRPr="002F227B">
        <w:rPr>
          <w:rFonts w:ascii="Times New Roman" w:hAnsi="Times New Roman" w:cs="Times New Roman"/>
        </w:rPr>
        <w:fldChar w:fldCharType="end"/>
      </w:r>
      <w:r w:rsidRPr="002F227B">
        <w:rPr>
          <w:rFonts w:ascii="Times New Roman" w:hAnsi="Times New Roman" w:cs="Times New Roman"/>
        </w:rPr>
        <w:t>.</w:t>
      </w:r>
      <w:r w:rsidRPr="002F227B">
        <w:rPr>
          <w:rFonts w:ascii="Times New Roman" w:hAnsi="Times New Roman" w:cs="Times New Roman"/>
        </w:rPr>
        <w:fldChar w:fldCharType="begin"/>
      </w:r>
      <w:r w:rsidRPr="002F227B">
        <w:rPr>
          <w:rFonts w:ascii="Times New Roman" w:hAnsi="Times New Roman" w:cs="Times New Roman"/>
        </w:rPr>
        <w:instrText xml:space="preserve"> REF _Ref88474859 \w \h  \* MERGEFORMAT </w:instrText>
      </w:r>
      <w:r w:rsidRPr="002F227B">
        <w:rPr>
          <w:rFonts w:ascii="Times New Roman" w:hAnsi="Times New Roman" w:cs="Times New Roman"/>
        </w:rPr>
      </w:r>
      <w:r w:rsidRPr="002F227B">
        <w:rPr>
          <w:rFonts w:ascii="Times New Roman" w:hAnsi="Times New Roman" w:cs="Times New Roman"/>
        </w:rPr>
        <w:fldChar w:fldCharType="separate"/>
      </w:r>
      <w:r>
        <w:rPr>
          <w:rFonts w:ascii="Times New Roman" w:hAnsi="Times New Roman" w:cs="Times New Roman"/>
        </w:rPr>
        <w:t>1</w:t>
      </w:r>
      <w:r w:rsidRPr="002F227B">
        <w:rPr>
          <w:rFonts w:ascii="Times New Roman" w:hAnsi="Times New Roman" w:cs="Times New Roman"/>
        </w:rPr>
        <w:fldChar w:fldCharType="end"/>
      </w:r>
      <w:r w:rsidRPr="002F227B">
        <w:rPr>
          <w:rFonts w:ascii="Times New Roman" w:hAnsi="Times New Roman" w:cs="Times New Roman"/>
        </w:rPr>
        <w:t xml:space="preserve">. </w:t>
      </w:r>
    </w:p>
  </w:footnote>
  <w:footnote w:id="193">
    <w:p w14:paraId="17D12AEA" w14:textId="4ABE7A03"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w:t>
      </w:r>
      <w:r w:rsidRPr="002F227B">
        <w:rPr>
          <w:rFonts w:ascii="Times New Roman" w:hAnsi="Times New Roman" w:cs="Times New Roman"/>
          <w:i/>
        </w:rPr>
        <w:t>See</w:t>
      </w:r>
      <w:r w:rsidRPr="002F227B">
        <w:rPr>
          <w:rFonts w:ascii="Times New Roman" w:hAnsi="Times New Roman" w:cs="Times New Roman"/>
        </w:rPr>
        <w:t>, for example</w:t>
      </w:r>
      <w:r w:rsidRPr="002F227B">
        <w:rPr>
          <w:rFonts w:ascii="Times New Roman" w:hAnsi="Times New Roman" w:cs="Times New Roman"/>
          <w:i/>
          <w:iCs/>
        </w:rPr>
        <w:t xml:space="preserve">, </w:t>
      </w:r>
      <w:r w:rsidRPr="002F227B">
        <w:rPr>
          <w:rFonts w:ascii="Times New Roman" w:hAnsi="Times New Roman" w:cs="Times New Roman"/>
        </w:rPr>
        <w:t xml:space="preserve">Christopher Garmon. “The accuracy of hospital screening methods.” </w:t>
      </w:r>
      <w:r w:rsidRPr="002F227B">
        <w:rPr>
          <w:rFonts w:ascii="Times New Roman" w:hAnsi="Times New Roman" w:cs="Times New Roman"/>
          <w:i/>
          <w:iCs/>
        </w:rPr>
        <w:t xml:space="preserve">RAND Journal of Economics </w:t>
      </w:r>
      <w:r w:rsidRPr="002F227B">
        <w:rPr>
          <w:rFonts w:ascii="Times New Roman" w:hAnsi="Times New Roman" w:cs="Times New Roman"/>
        </w:rPr>
        <w:t>(2017).</w:t>
      </w:r>
    </w:p>
  </w:footnote>
  <w:footnote w:id="194">
    <w:p w14:paraId="4E68098E" w14:textId="0B023B63"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U.S. Department of Justice and the Federal Trade Commission. </w:t>
      </w:r>
      <w:r w:rsidRPr="002F227B">
        <w:rPr>
          <w:rFonts w:ascii="Times New Roman" w:hAnsi="Times New Roman" w:cs="Times New Roman"/>
          <w:i/>
          <w:iCs/>
        </w:rPr>
        <w:t>Horizontal Merger Guidelines</w:t>
      </w:r>
      <w:r w:rsidRPr="002F227B">
        <w:rPr>
          <w:rFonts w:ascii="Times New Roman" w:hAnsi="Times New Roman" w:cs="Times New Roman"/>
        </w:rPr>
        <w:t xml:space="preserve"> (2010)</w:t>
      </w:r>
      <w:r w:rsidRPr="002F227B">
        <w:rPr>
          <w:rFonts w:ascii="Times New Roman" w:hAnsi="Times New Roman" w:cs="Times New Roman"/>
          <w:i/>
          <w:iCs/>
        </w:rPr>
        <w:t xml:space="preserve">, </w:t>
      </w:r>
      <w:r w:rsidRPr="002F227B">
        <w:rPr>
          <w:rFonts w:ascii="Times New Roman" w:hAnsi="Times New Roman" w:cs="Times New Roman"/>
        </w:rPr>
        <w:t xml:space="preserve">Section 4. </w:t>
      </w:r>
    </w:p>
  </w:footnote>
  <w:footnote w:id="195">
    <w:p w14:paraId="6174E7E7" w14:textId="1FAA591D"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U.S. Department of Justice and the Federal Trade Commission. </w:t>
      </w:r>
      <w:r w:rsidRPr="002F227B">
        <w:rPr>
          <w:rFonts w:ascii="Times New Roman" w:hAnsi="Times New Roman" w:cs="Times New Roman"/>
          <w:i/>
          <w:iCs/>
        </w:rPr>
        <w:t>Horizontal Merger Guidelines</w:t>
      </w:r>
      <w:r w:rsidRPr="002F227B">
        <w:rPr>
          <w:rFonts w:ascii="Times New Roman" w:hAnsi="Times New Roman" w:cs="Times New Roman"/>
        </w:rPr>
        <w:t xml:space="preserve"> (2010)</w:t>
      </w:r>
      <w:r w:rsidRPr="002F227B">
        <w:rPr>
          <w:rFonts w:ascii="Times New Roman" w:hAnsi="Times New Roman" w:cs="Times New Roman"/>
          <w:i/>
          <w:iCs/>
        </w:rPr>
        <w:t xml:space="preserve">, </w:t>
      </w:r>
      <w:r w:rsidRPr="002F227B">
        <w:rPr>
          <w:rFonts w:ascii="Times New Roman" w:hAnsi="Times New Roman" w:cs="Times New Roman"/>
        </w:rPr>
        <w:t>§ 5.3.</w:t>
      </w:r>
    </w:p>
  </w:footnote>
  <w:footnote w:id="196">
    <w:p w14:paraId="0B49B3F0" w14:textId="63684FA3" w:rsidR="00CF3141" w:rsidRPr="002F227B" w:rsidRDefault="00CF3141" w:rsidP="00335D93">
      <w:pPr>
        <w:spacing w:line="240" w:lineRule="auto"/>
        <w:rPr>
          <w:rFonts w:ascii="Times New Roman" w:eastAsia="Times New Roman" w:hAnsi="Times New Roman" w:cs="Times New Roman"/>
          <w:sz w:val="20"/>
          <w:szCs w:val="20"/>
        </w:rPr>
      </w:pPr>
      <w:r w:rsidRPr="002F227B">
        <w:rPr>
          <w:rStyle w:val="FootnoteReference"/>
          <w:rFonts w:ascii="Times New Roman" w:eastAsia="Times New Roman" w:hAnsi="Times New Roman" w:cs="Times New Roman"/>
          <w:sz w:val="20"/>
          <w:szCs w:val="20"/>
        </w:rPr>
        <w:footnoteRef/>
      </w:r>
      <w:r w:rsidRPr="002F227B">
        <w:rPr>
          <w:rFonts w:ascii="Times New Roman" w:eastAsia="Times New Roman" w:hAnsi="Times New Roman" w:cs="Times New Roman"/>
          <w:sz w:val="20"/>
          <w:szCs w:val="20"/>
        </w:rPr>
        <w:t xml:space="preserve"> MGH Application Response – Excel Submission, Tab 3.b.</w:t>
      </w:r>
    </w:p>
  </w:footnote>
  <w:footnote w:id="197">
    <w:p w14:paraId="03C7F27B" w14:textId="223BEB70"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MGH DoN, Appendix 2, Section 2.1, pp. 1-2 and MGH Bed Summary Response, p. 2.</w:t>
      </w:r>
    </w:p>
  </w:footnote>
  <w:footnote w:id="198">
    <w:p w14:paraId="407F8EEE" w14:textId="6EC9A740"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MGH DoN, Appendix 2, p. 2. </w:t>
      </w:r>
    </w:p>
  </w:footnote>
  <w:footnote w:id="199">
    <w:p w14:paraId="370EE5C6" w14:textId="2DCF60AD"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MGH DoN, Appendix 2, p. 11. </w:t>
      </w:r>
    </w:p>
  </w:footnote>
  <w:footnote w:id="200">
    <w:p w14:paraId="7F3C797D" w14:textId="460DFFA3"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MedPAC Payment Basics, “Hospital Acute Inpatient Services Payment System,” (Revised: November 2021), </w:t>
      </w:r>
      <w:r w:rsidRPr="002F227B">
        <w:rPr>
          <w:rFonts w:ascii="Times New Roman" w:hAnsi="Times New Roman" w:cs="Times New Roman"/>
          <w:i/>
          <w:iCs/>
        </w:rPr>
        <w:t>available at</w:t>
      </w:r>
      <w:r w:rsidRPr="002F227B">
        <w:rPr>
          <w:rFonts w:ascii="Times New Roman" w:hAnsi="Times New Roman" w:cs="Times New Roman"/>
        </w:rPr>
        <w:t xml:space="preserve"> https://www.medpac.gov/wp-content/uploads/2021/11/medpac_payment_basics_21_hospital_</w:t>
      </w:r>
      <w:r w:rsidRPr="002F227B">
        <w:rPr>
          <w:rFonts w:ascii="Times New Roman" w:hAnsi="Times New Roman" w:cs="Times New Roman"/>
        </w:rPr>
        <w:br/>
        <w:t>final_sec.pdf.</w:t>
      </w:r>
    </w:p>
  </w:footnote>
  <w:footnote w:id="201">
    <w:p w14:paraId="4E0DA8E5" w14:textId="604B7C8F"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Mass General Brigham, CMS-Required Hospital Charge Data, </w:t>
      </w:r>
      <w:r w:rsidRPr="002F227B">
        <w:rPr>
          <w:rFonts w:ascii="Times New Roman" w:hAnsi="Times New Roman" w:cs="Times New Roman"/>
          <w:i/>
          <w:iCs/>
        </w:rPr>
        <w:t>available at</w:t>
      </w:r>
      <w:r w:rsidRPr="002F227B">
        <w:rPr>
          <w:rFonts w:ascii="Times New Roman" w:hAnsi="Times New Roman" w:cs="Times New Roman"/>
        </w:rPr>
        <w:t xml:space="preserve"> https://healthcare.partners.org/pricetransparency/042697983_Massachusetts-General-Hospital_StandardCharges.zip.</w:t>
      </w:r>
    </w:p>
  </w:footnote>
  <w:footnote w:id="202">
    <w:p w14:paraId="7D153606" w14:textId="7777777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MassHealth: Payment for In-State Acute Hospital Services and Out-of-State Acute Hospital Services, effective November 1, 2021. Attachment B, </w:t>
      </w:r>
      <w:r w:rsidRPr="002F227B">
        <w:rPr>
          <w:rFonts w:ascii="Times New Roman" w:hAnsi="Times New Roman" w:cs="Times New Roman"/>
          <w:i/>
          <w:iCs/>
        </w:rPr>
        <w:t>available at</w:t>
      </w:r>
      <w:r w:rsidRPr="002F227B">
        <w:rPr>
          <w:rFonts w:ascii="Times New Roman" w:hAnsi="Times New Roman" w:cs="Times New Roman"/>
        </w:rPr>
        <w:t xml:space="preserve"> https://www.mass.gov/doc/notice-of-final-agency-action-masshealth-payment-for-in-state-acute-hospital-services-and-out-of-state-acute-hospital-services-effective-november-1-2021-0.</w:t>
      </w:r>
    </w:p>
  </w:footnote>
  <w:footnote w:id="203">
    <w:p w14:paraId="5AD553B5" w14:textId="39217AA3"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Using CHIA’s Inpatient Relative Price Data, we were able to determine the relative prices for 58 percent of the discharges in the Hospital Inpatient Discharge Data used to estimate our model of demand for inpatient hospital services (excluding patients enrolled in Original Medicare or MassHealth non-managed care plans).</w:t>
      </w:r>
    </w:p>
  </w:footnote>
  <w:footnote w:id="204">
    <w:p w14:paraId="37E2755A" w14:textId="5E118072"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Since BWFH and Beth Israel Lahey HOPD are located in the same wage rate area (and geography), they get the same reimbursement rates for outpatient services from Original Medicare (or MassHealth non-manage care).</w:t>
      </w:r>
      <w:r w:rsidR="00B67FE9">
        <w:rPr>
          <w:rFonts w:ascii="Times New Roman" w:hAnsi="Times New Roman" w:cs="Times New Roman"/>
        </w:rPr>
        <w:t xml:space="preserve">  </w:t>
      </w:r>
    </w:p>
  </w:footnote>
  <w:footnote w:id="205">
    <w:p w14:paraId="38AF95EA" w14:textId="601C548B"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To determine relative prices, we calculate the allowed amounts for outpatient MR scans relative to the Medicare fee schedule by health insurer, type of health plan coverage (</w:t>
      </w:r>
      <w:r w:rsidRPr="002F227B">
        <w:rPr>
          <w:rFonts w:ascii="Times New Roman" w:hAnsi="Times New Roman" w:cs="Times New Roman"/>
          <w:i/>
          <w:iCs/>
        </w:rPr>
        <w:t>e.g.</w:t>
      </w:r>
      <w:r w:rsidRPr="002F227B">
        <w:rPr>
          <w:rFonts w:ascii="Times New Roman" w:hAnsi="Times New Roman" w:cs="Times New Roman"/>
        </w:rPr>
        <w:t>, commercial or Medicare health plan), health system (</w:t>
      </w:r>
      <w:r w:rsidRPr="002F227B">
        <w:rPr>
          <w:rFonts w:ascii="Times New Roman" w:hAnsi="Times New Roman" w:cs="Times New Roman"/>
          <w:i/>
        </w:rPr>
        <w:t>e.g.</w:t>
      </w:r>
      <w:r w:rsidRPr="002F227B">
        <w:rPr>
          <w:rFonts w:ascii="Times New Roman" w:hAnsi="Times New Roman" w:cs="Times New Roman"/>
        </w:rPr>
        <w:t>, MGB or Beth Israel Lahey Health), facility type (</w:t>
      </w:r>
      <w:r w:rsidRPr="002F227B">
        <w:rPr>
          <w:rFonts w:ascii="Times New Roman" w:hAnsi="Times New Roman" w:cs="Times New Roman"/>
          <w:i/>
          <w:iCs/>
        </w:rPr>
        <w:t>e.g</w:t>
      </w:r>
      <w:r w:rsidRPr="002F227B">
        <w:rPr>
          <w:rFonts w:ascii="Times New Roman" w:hAnsi="Times New Roman" w:cs="Times New Roman"/>
        </w:rPr>
        <w:t>., HOPD or freestanding diagnostic imaging center), and facility ZIP Code. For some patients who are predicted to switch from a competing provider to MGH, there was an insufficient amount of pricing data in the APCD to reliably calculate relative price of MGH and the competing provider. We do not use the relative price information for these patients for our per-procedure estimate of the change in expenditures on outpatient MR scans.</w:t>
      </w:r>
    </w:p>
  </w:footnote>
  <w:footnote w:id="206">
    <w:p w14:paraId="78E771AD" w14:textId="6D85E002"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We calculate the overall change in health care expenditures as a weighted average of the changes in health care expenditures for the patients who are predicted to switch. </w:t>
      </w:r>
    </w:p>
    <w:p w14:paraId="263BA795" w14:textId="459FFDC3" w:rsidR="00CF3141" w:rsidRPr="002F227B" w:rsidRDefault="00CF3141" w:rsidP="00335D93">
      <w:pPr>
        <w:pStyle w:val="FootnoteText"/>
        <w:ind w:firstLine="720"/>
        <w:rPr>
          <w:rFonts w:ascii="Times New Roman" w:hAnsi="Times New Roman" w:cs="Times New Roman"/>
        </w:rPr>
      </w:pPr>
      <w:r w:rsidRPr="002F227B">
        <w:rPr>
          <w:rFonts w:ascii="Times New Roman" w:hAnsi="Times New Roman" w:cs="Times New Roman"/>
        </w:rPr>
        <w:t>For example, suppose that 50 percent of the patients switching to MGH for outpatient MR scans are BCBS-MA commercial health plan members who switched from a Shields Health Care Group facility and 30 percent are Tufts Health plan Medicare health plan members who switched from a Beth Israel Lahey Health HOPD. Further suppose that we lack reliable information on the relative prices for the remaining 20 percent of patients predicted to switch to MGH.</w:t>
      </w:r>
    </w:p>
    <w:p w14:paraId="4317137D" w14:textId="05D16DD4" w:rsidR="00CF3141" w:rsidRPr="002F227B" w:rsidRDefault="00CF3141" w:rsidP="00335D93">
      <w:pPr>
        <w:pStyle w:val="FootnoteText"/>
        <w:ind w:firstLine="720"/>
        <w:rPr>
          <w:rFonts w:ascii="Times New Roman" w:hAnsi="Times New Roman" w:cs="Times New Roman"/>
        </w:rPr>
      </w:pPr>
      <w:r w:rsidRPr="002F227B">
        <w:rPr>
          <w:rFonts w:ascii="Times New Roman" w:hAnsi="Times New Roman" w:cs="Times New Roman"/>
        </w:rPr>
        <w:t>If, hypothetically, MGH’s prices for BCBS-MA commercial health plan members are ten percent higher than Shield’s Health Care Group’s prices for these patients, and MGH’s prices for Tuft’s Health Plan Medicare health plan members are five percent higher than Beth Israel Lahey Health’s prices for these patients, we would calculate the average change in health care expenditures for each patient who switches to MGH as (0.50 × 0.10 + 0.30 × 0.05) ÷ (0.50 + 0.30) = 0.081, or 8.1 percent.</w:t>
      </w:r>
    </w:p>
  </w:footnote>
  <w:footnote w:id="207">
    <w:p w14:paraId="29C7F89E" w14:textId="5D9289FD"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Mark V. Pauly, Thomas G. McGuire, and Pedro Pita Barros (eds). </w:t>
      </w:r>
      <w:r w:rsidRPr="002F227B">
        <w:rPr>
          <w:rFonts w:ascii="Times New Roman" w:hAnsi="Times New Roman" w:cs="Times New Roman"/>
          <w:i/>
        </w:rPr>
        <w:t>Handbook of Health Economics</w:t>
      </w:r>
      <w:r w:rsidRPr="002F227B">
        <w:rPr>
          <w:rFonts w:ascii="Times New Roman" w:hAnsi="Times New Roman" w:cs="Times New Roman"/>
        </w:rPr>
        <w:t xml:space="preserve">, Volume 2. North Holland, Elsevier (2012) [hereinafter, </w:t>
      </w:r>
      <w:r w:rsidRPr="002F227B">
        <w:rPr>
          <w:rFonts w:ascii="Times New Roman" w:hAnsi="Times New Roman" w:cs="Times New Roman"/>
          <w:smallCaps/>
        </w:rPr>
        <w:t>Handbook</w:t>
      </w:r>
      <w:r w:rsidRPr="002F227B">
        <w:rPr>
          <w:rFonts w:ascii="Times New Roman" w:hAnsi="Times New Roman" w:cs="Times New Roman"/>
        </w:rPr>
        <w:t xml:space="preserve">], Chapter 6: Amitabh Chandra, David Cutler, and Zirui Song. “Who Ordered That? The Economics of Treatment Choices in Medical Care.” p. 414. This article provides a good overview of the underlying economic models of supply-induced demand. </w:t>
      </w:r>
    </w:p>
  </w:footnote>
  <w:footnote w:id="208">
    <w:p w14:paraId="2E1403E3" w14:textId="7777777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w:t>
      </w:r>
      <w:r w:rsidRPr="002F227B">
        <w:rPr>
          <w:rFonts w:ascii="Times New Roman" w:hAnsi="Times New Roman" w:cs="Times New Roman"/>
          <w:smallCaps/>
        </w:rPr>
        <w:t>Handbook</w:t>
      </w:r>
      <w:r w:rsidRPr="002F227B">
        <w:rPr>
          <w:rFonts w:ascii="Times New Roman" w:hAnsi="Times New Roman" w:cs="Times New Roman"/>
        </w:rPr>
        <w:t>: Chapter 2: Jonathan Skinner. “Causes and Consequences of Regional Variation in Health Care.”, pp. 54-56.</w:t>
      </w:r>
    </w:p>
  </w:footnote>
  <w:footnote w:id="209">
    <w:p w14:paraId="56B3500E" w14:textId="10E8D47F"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Mark V. Pauly, Thomas G. McGuire, and Pedro Pita Barros (eds). </w:t>
      </w:r>
      <w:r w:rsidRPr="002F227B">
        <w:rPr>
          <w:rFonts w:ascii="Times New Roman" w:hAnsi="Times New Roman" w:cs="Times New Roman"/>
          <w:i/>
        </w:rPr>
        <w:t>Handbook of Health Economics</w:t>
      </w:r>
      <w:r w:rsidRPr="002F227B">
        <w:rPr>
          <w:rFonts w:ascii="Times New Roman" w:hAnsi="Times New Roman" w:cs="Times New Roman"/>
        </w:rPr>
        <w:t>, Volume 2. North Holland, Elsevier (2012), Chapter 6: Amitabh Chandra, David Cutler, and Zirui Song. “Who Ordered That? The Economics of Treatment Choices in Medical Care.” pp. 402-403.</w:t>
      </w:r>
    </w:p>
  </w:footnote>
  <w:footnote w:id="210">
    <w:p w14:paraId="3812FD88" w14:textId="104B9CD6"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Atul Gawande. “The Cost Conundrum,” </w:t>
      </w:r>
      <w:r w:rsidRPr="002F227B">
        <w:rPr>
          <w:rFonts w:ascii="Times New Roman" w:hAnsi="Times New Roman" w:cs="Times New Roman"/>
          <w:i/>
        </w:rPr>
        <w:t>The New Yorker</w:t>
      </w:r>
      <w:r w:rsidRPr="002F227B">
        <w:rPr>
          <w:rFonts w:ascii="Times New Roman" w:hAnsi="Times New Roman" w:cs="Times New Roman"/>
        </w:rPr>
        <w:t xml:space="preserve"> (June 1, 2009), </w:t>
      </w:r>
      <w:r w:rsidRPr="002F227B">
        <w:rPr>
          <w:rFonts w:ascii="Times New Roman" w:hAnsi="Times New Roman" w:cs="Times New Roman"/>
          <w:i/>
          <w:iCs/>
        </w:rPr>
        <w:t xml:space="preserve">available at </w:t>
      </w:r>
      <w:r w:rsidRPr="002F227B">
        <w:rPr>
          <w:rFonts w:ascii="Times New Roman" w:hAnsi="Times New Roman" w:cs="Times New Roman"/>
        </w:rPr>
        <w:t>https://www.newyorker.com/magazine/2009/06/01/the-cost-conundrum</w:t>
      </w:r>
      <w:r w:rsidRPr="002F227B">
        <w:rPr>
          <w:rFonts w:ascii="Times New Roman" w:hAnsi="Times New Roman" w:cs="Times New Roman"/>
          <w:iCs/>
        </w:rPr>
        <w:t>;</w:t>
      </w:r>
      <w:r w:rsidRPr="002F227B">
        <w:rPr>
          <w:rFonts w:ascii="Times New Roman" w:hAnsi="Times New Roman" w:cs="Times New Roman"/>
          <w:i/>
        </w:rPr>
        <w:t xml:space="preserve"> See</w:t>
      </w:r>
      <w:r w:rsidRPr="002F227B">
        <w:rPr>
          <w:rFonts w:ascii="Times New Roman" w:hAnsi="Times New Roman" w:cs="Times New Roman"/>
        </w:rPr>
        <w:t xml:space="preserve"> </w:t>
      </w:r>
      <w:r w:rsidRPr="002F227B">
        <w:rPr>
          <w:rFonts w:ascii="Times New Roman" w:hAnsi="Times New Roman" w:cs="Times New Roman"/>
          <w:i/>
        </w:rPr>
        <w:t>also</w:t>
      </w:r>
      <w:r w:rsidRPr="002F227B">
        <w:rPr>
          <w:rFonts w:ascii="Times New Roman" w:hAnsi="Times New Roman" w:cs="Times New Roman"/>
        </w:rPr>
        <w:t xml:space="preserve">, </w:t>
      </w:r>
      <w:r w:rsidRPr="002F227B">
        <w:rPr>
          <w:rFonts w:ascii="Times New Roman" w:hAnsi="Times New Roman" w:cs="Times New Roman"/>
          <w:smallCaps/>
        </w:rPr>
        <w:t>Handbook</w:t>
      </w:r>
      <w:r w:rsidRPr="002F227B">
        <w:rPr>
          <w:rFonts w:ascii="Times New Roman" w:hAnsi="Times New Roman" w:cs="Times New Roman"/>
        </w:rPr>
        <w:t>, Skinner, p. 62.</w:t>
      </w:r>
    </w:p>
  </w:footnote>
  <w:footnote w:id="211">
    <w:p w14:paraId="38504074" w14:textId="5A9F8014"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David Cutler, Jonathan S. Skinner, Ariel Dora Stern, and David Wennberg. “Physician Beliefs and Patient Preferences: A New Look at Regional Variation in Health Care Spending.” </w:t>
      </w:r>
      <w:r w:rsidRPr="002F227B">
        <w:rPr>
          <w:rFonts w:ascii="Times New Roman" w:hAnsi="Times New Roman" w:cs="Times New Roman"/>
          <w:i/>
        </w:rPr>
        <w:t>American Economic Journal of Economic Policy</w:t>
      </w:r>
      <w:r w:rsidRPr="002F227B">
        <w:rPr>
          <w:rFonts w:ascii="Times New Roman" w:hAnsi="Times New Roman" w:cs="Times New Roman"/>
        </w:rPr>
        <w:t xml:space="preserve"> (2019).</w:t>
      </w:r>
    </w:p>
  </w:footnote>
  <w:footnote w:id="212">
    <w:p w14:paraId="31F009D4" w14:textId="2A4C0D18" w:rsidR="00CF3141" w:rsidRPr="002F227B" w:rsidRDefault="00CF3141" w:rsidP="00335D93">
      <w:pPr>
        <w:spacing w:line="240" w:lineRule="auto"/>
        <w:rPr>
          <w:rFonts w:ascii="Times New Roman" w:hAnsi="Times New Roman" w:cs="Times New Roman"/>
          <w:sz w:val="20"/>
          <w:szCs w:val="20"/>
        </w:rPr>
      </w:pPr>
      <w:r w:rsidRPr="002F227B">
        <w:rPr>
          <w:rStyle w:val="FootnoteReference"/>
          <w:rFonts w:ascii="Times New Roman" w:hAnsi="Times New Roman" w:cs="Times New Roman"/>
          <w:sz w:val="20"/>
          <w:szCs w:val="20"/>
        </w:rPr>
        <w:footnoteRef/>
      </w:r>
      <w:r w:rsidRPr="002F227B">
        <w:rPr>
          <w:rFonts w:ascii="Times New Roman" w:hAnsi="Times New Roman" w:cs="Times New Roman"/>
          <w:sz w:val="20"/>
          <w:szCs w:val="20"/>
        </w:rPr>
        <w:t xml:space="preserve"> The local proportion of cowboys/comforters explains 36 percent of variation; when the frequency of high- or low-follow-up recommenders is added, the regressions explain 62 percent of variation.</w:t>
      </w:r>
    </w:p>
  </w:footnote>
  <w:footnote w:id="213">
    <w:p w14:paraId="60B5E3A1" w14:textId="3F6D132C"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The authors do find that practice type is associated with treatment recommendations. Solo or two-person practices—practicing in an environment that is dissimilar to MGB-employed physicians—are more likely to be cowboys and high-follow-up physicians. </w:t>
      </w:r>
    </w:p>
  </w:footnote>
  <w:footnote w:id="214">
    <w:p w14:paraId="25AF92C3" w14:textId="6E1FA56A"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Jeffrey Clemens and Joshua Gottlieb. “Do Physicians’ Financial Incentives Affect Medical Treatment and Patient Health?” </w:t>
      </w:r>
      <w:r w:rsidRPr="002F227B">
        <w:rPr>
          <w:rFonts w:ascii="Times New Roman" w:hAnsi="Times New Roman" w:cs="Times New Roman"/>
          <w:i/>
        </w:rPr>
        <w:t>American Economic Review</w:t>
      </w:r>
      <w:r w:rsidRPr="002F227B">
        <w:rPr>
          <w:rFonts w:ascii="Times New Roman" w:hAnsi="Times New Roman" w:cs="Times New Roman"/>
        </w:rPr>
        <w:t xml:space="preserve"> (2014).</w:t>
      </w:r>
    </w:p>
  </w:footnote>
  <w:footnote w:id="215">
    <w:p w14:paraId="747F6805" w14:textId="3D339D12"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CMS varies the fee schedule amounts for physicians using “Geographic Adjustment Factors” that account for differences in where physicians practice. In 1997, CMS consolidated the regions in which these Geographic Adjustment Factors were calculated. As a result, some physicians experienced increases in Medicare reimbursements while others experienced decreases. </w:t>
      </w:r>
    </w:p>
  </w:footnote>
  <w:footnote w:id="216">
    <w:p w14:paraId="5B59D645" w14:textId="303162AA"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Specifically, the authors estimate a long-run elasticity of 1.5 but note that Medicare reimbursement rates compensate physicians for the costs they incur in addition to their own efforts. Using an average of about 40 percent of Medicare reimbursement attributable to physician work, they calculate a wage elasticity of 0.6.</w:t>
      </w:r>
    </w:p>
  </w:footnote>
  <w:footnote w:id="217">
    <w:p w14:paraId="38DD2390" w14:textId="0973411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Kei Ikegami, Ken Onishi, and Naoki Wakamori. “Competition-driven physician-induced demand.” </w:t>
      </w:r>
      <w:r w:rsidRPr="002F227B">
        <w:rPr>
          <w:rFonts w:ascii="Times New Roman" w:hAnsi="Times New Roman" w:cs="Times New Roman"/>
          <w:i/>
        </w:rPr>
        <w:t>Journal of Health Economics</w:t>
      </w:r>
      <w:r w:rsidRPr="002F227B">
        <w:rPr>
          <w:rFonts w:ascii="Times New Roman" w:hAnsi="Times New Roman" w:cs="Times New Roman"/>
        </w:rPr>
        <w:t xml:space="preserve"> (2021).</w:t>
      </w:r>
    </w:p>
  </w:footnote>
  <w:footnote w:id="218">
    <w:p w14:paraId="4DA6A582" w14:textId="7777777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Amy Finkelstein, Matthew Gentzkow, and Heidi Williams. “Sources of Geographic Variation in Health Care: Evidence from Patient Migration.” </w:t>
      </w:r>
      <w:r w:rsidRPr="002F227B">
        <w:rPr>
          <w:rFonts w:ascii="Times New Roman" w:hAnsi="Times New Roman" w:cs="Times New Roman"/>
          <w:i/>
        </w:rPr>
        <w:t>Quarterly Journal of Economics</w:t>
      </w:r>
      <w:r w:rsidRPr="002F227B">
        <w:rPr>
          <w:rFonts w:ascii="Times New Roman" w:hAnsi="Times New Roman" w:cs="Times New Roman"/>
        </w:rPr>
        <w:t xml:space="preserve"> (2016).</w:t>
      </w:r>
    </w:p>
  </w:footnote>
  <w:footnote w:id="219">
    <w:p w14:paraId="47076FF7" w14:textId="007EBF54"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Gary J. Young, E. David Zapada, Stephen Flaherty, and Ngoc Thai. “Hospital Employment Of Physicians In Massachusetts Is Associated With Inappropriate Diagnostic Imaging.” </w:t>
      </w:r>
      <w:r w:rsidRPr="002F227B">
        <w:rPr>
          <w:rFonts w:ascii="Times New Roman" w:hAnsi="Times New Roman" w:cs="Times New Roman"/>
          <w:i/>
        </w:rPr>
        <w:t>Health Affairs</w:t>
      </w:r>
      <w:r w:rsidRPr="002F227B">
        <w:rPr>
          <w:rFonts w:ascii="Times New Roman" w:hAnsi="Times New Roman" w:cs="Times New Roman"/>
        </w:rPr>
        <w:t xml:space="preserve"> (2021).</w:t>
      </w:r>
    </w:p>
  </w:footnote>
  <w:footnote w:id="220">
    <w:p w14:paraId="11A0EE2F" w14:textId="66E5DFBF" w:rsidR="00CF3141" w:rsidRPr="002F227B" w:rsidRDefault="00CF3141" w:rsidP="00335D93">
      <w:pPr>
        <w:pStyle w:val="Default"/>
        <w:spacing w:after="120"/>
        <w:jc w:val="both"/>
        <w:rPr>
          <w:rFonts w:ascii="Times New Roman" w:hAnsi="Times New Roman" w:cs="Times New Roman"/>
          <w:sz w:val="20"/>
          <w:szCs w:val="20"/>
        </w:rPr>
      </w:pPr>
      <w:r w:rsidRPr="002F227B">
        <w:rPr>
          <w:rStyle w:val="FootnoteReference"/>
          <w:rFonts w:ascii="Times New Roman" w:hAnsi="Times New Roman" w:cs="Times New Roman"/>
          <w:sz w:val="20"/>
          <w:szCs w:val="20"/>
        </w:rPr>
        <w:footnoteRef/>
      </w:r>
      <w:r w:rsidRPr="002F227B">
        <w:rPr>
          <w:rFonts w:ascii="Times New Roman" w:hAnsi="Times New Roman" w:cs="Times New Roman"/>
          <w:sz w:val="20"/>
          <w:szCs w:val="20"/>
        </w:rPr>
        <w:t xml:space="preserve"> Edwin J.R. van Beek, Christiane Kuhl, Yoshimi Anzai, Patricia Desmond, Richard L. Ehman, Qiyong Gong, Garry Gold, Vikas Gulani, Margaret Hall-Craggs, Tim Leiner, C.C. Tschoyoson Lim, James G. Pipe, Scott Reeder, Caroline Reinhold, Marion Smits, Daniel K. Sodickson, Clare Tempany, H. Alberto Vargas, and Meiyun Wang. “Value of MRI in Medicine: More Than Just Another Test?” </w:t>
      </w:r>
      <w:r w:rsidRPr="002F227B">
        <w:rPr>
          <w:rFonts w:ascii="Times New Roman" w:hAnsi="Times New Roman" w:cs="Times New Roman"/>
          <w:i/>
          <w:iCs/>
          <w:sz w:val="20"/>
          <w:szCs w:val="20"/>
        </w:rPr>
        <w:t>Journal of</w:t>
      </w:r>
      <w:r w:rsidRPr="002F227B">
        <w:rPr>
          <w:rFonts w:ascii="Times New Roman" w:hAnsi="Times New Roman" w:cs="Times New Roman"/>
          <w:sz w:val="20"/>
          <w:szCs w:val="20"/>
        </w:rPr>
        <w:t xml:space="preserve"> </w:t>
      </w:r>
      <w:r w:rsidRPr="002F227B">
        <w:rPr>
          <w:rFonts w:ascii="Times New Roman" w:hAnsi="Times New Roman" w:cs="Times New Roman"/>
          <w:i/>
          <w:iCs/>
          <w:sz w:val="20"/>
          <w:szCs w:val="20"/>
        </w:rPr>
        <w:t>Magnetic Resonance Imaging</w:t>
      </w:r>
      <w:r w:rsidRPr="002F227B">
        <w:rPr>
          <w:rFonts w:ascii="Times New Roman" w:hAnsi="Times New Roman" w:cs="Times New Roman"/>
          <w:sz w:val="20"/>
          <w:szCs w:val="20"/>
        </w:rPr>
        <w:t xml:space="preserve"> (2019).</w:t>
      </w:r>
    </w:p>
  </w:footnote>
  <w:footnote w:id="221">
    <w:p w14:paraId="024A432C" w14:textId="2346B84C"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C.H. Weaver. “The Role of PET Scans in the Diagnosis and Treatment of Cancer.” </w:t>
      </w:r>
      <w:r w:rsidRPr="002F227B">
        <w:rPr>
          <w:rFonts w:ascii="Times New Roman" w:hAnsi="Times New Roman" w:cs="Times New Roman"/>
          <w:i/>
        </w:rPr>
        <w:t xml:space="preserve">CancerConnect </w:t>
      </w:r>
      <w:r w:rsidRPr="002F227B">
        <w:rPr>
          <w:rFonts w:ascii="Times New Roman" w:hAnsi="Times New Roman" w:cs="Times New Roman"/>
        </w:rPr>
        <w:t>(2021)</w:t>
      </w:r>
      <w:r w:rsidRPr="002F227B">
        <w:rPr>
          <w:rFonts w:ascii="Times New Roman" w:hAnsi="Times New Roman" w:cs="Times New Roman"/>
          <w:i/>
          <w:iCs/>
        </w:rPr>
        <w:t>, available at</w:t>
      </w:r>
      <w:r w:rsidRPr="002F227B">
        <w:rPr>
          <w:rFonts w:ascii="Times New Roman" w:hAnsi="Times New Roman" w:cs="Times New Roman"/>
        </w:rPr>
        <w:t xml:space="preserve"> https://news.cancerconnect.com/treatment-care/the-role-of-pet-scans-in-the-diagnosis-and-treatment-of-cancer.</w:t>
      </w:r>
    </w:p>
  </w:footnote>
  <w:footnote w:id="222">
    <w:p w14:paraId="75FFA00F" w14:textId="2C402B48"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Cancer.Net. “Lung Cancer – Non-Small Cell: Statistics,” </w:t>
      </w:r>
      <w:r w:rsidRPr="002F227B">
        <w:rPr>
          <w:rFonts w:ascii="Times New Roman" w:hAnsi="Times New Roman" w:cs="Times New Roman"/>
          <w:i/>
        </w:rPr>
        <w:t>available at</w:t>
      </w:r>
      <w:r w:rsidRPr="002F227B">
        <w:rPr>
          <w:rFonts w:ascii="Times New Roman" w:hAnsi="Times New Roman" w:cs="Times New Roman"/>
        </w:rPr>
        <w:t xml:space="preserve"> https://www.cancer.net/cancer-types/lung-cancer-non-small-cell/statistics. </w:t>
      </w:r>
    </w:p>
  </w:footnote>
  <w:footnote w:id="223">
    <w:p w14:paraId="74F0073A" w14:textId="08AE00F1" w:rsidR="00CF3141" w:rsidRPr="002F227B" w:rsidRDefault="00CF3141" w:rsidP="00335D93">
      <w:pPr>
        <w:autoSpaceDE w:val="0"/>
        <w:autoSpaceDN w:val="0"/>
        <w:adjustRightInd w:val="0"/>
        <w:spacing w:line="240" w:lineRule="auto"/>
        <w:rPr>
          <w:rFonts w:ascii="Times New Roman" w:hAnsi="Times New Roman" w:cs="Times New Roman"/>
          <w:sz w:val="20"/>
          <w:szCs w:val="20"/>
        </w:rPr>
      </w:pPr>
      <w:r w:rsidRPr="002F227B">
        <w:rPr>
          <w:rStyle w:val="FootnoteReference"/>
          <w:rFonts w:ascii="Times New Roman" w:hAnsi="Times New Roman" w:cs="Times New Roman"/>
          <w:sz w:val="20"/>
          <w:szCs w:val="20"/>
        </w:rPr>
        <w:footnoteRef/>
      </w:r>
      <w:r w:rsidRPr="002F227B">
        <w:rPr>
          <w:rFonts w:ascii="Times New Roman" w:hAnsi="Times New Roman" w:cs="Times New Roman"/>
          <w:sz w:val="20"/>
          <w:szCs w:val="20"/>
        </w:rPr>
        <w:t xml:space="preserve"> Xiaohui Zeng, Liubao Peng, Chongqing Tan, and Yunhua Wang. “Cost-effectiveness analysis of positron-emission tomography-computed tomography in preoperative staging for nonsmall-cell lung cancer with resected monometastatic disease.” </w:t>
      </w:r>
      <w:r w:rsidRPr="002F227B">
        <w:rPr>
          <w:rFonts w:ascii="Times New Roman" w:hAnsi="Times New Roman" w:cs="Times New Roman"/>
          <w:i/>
          <w:sz w:val="20"/>
          <w:szCs w:val="20"/>
        </w:rPr>
        <w:t>Medicine</w:t>
      </w:r>
      <w:r w:rsidRPr="002F227B">
        <w:rPr>
          <w:rFonts w:ascii="Times New Roman" w:hAnsi="Times New Roman" w:cs="Times New Roman"/>
          <w:sz w:val="20"/>
          <w:szCs w:val="20"/>
        </w:rPr>
        <w:t xml:space="preserve"> (2019). </w:t>
      </w:r>
    </w:p>
  </w:footnote>
  <w:footnote w:id="224">
    <w:p w14:paraId="200D3947" w14:textId="01EBE3F0" w:rsidR="00CF3141" w:rsidRPr="002F227B" w:rsidRDefault="00CF3141" w:rsidP="00335D93">
      <w:pPr>
        <w:autoSpaceDE w:val="0"/>
        <w:autoSpaceDN w:val="0"/>
        <w:adjustRightInd w:val="0"/>
        <w:spacing w:line="240" w:lineRule="auto"/>
        <w:rPr>
          <w:rFonts w:ascii="Times New Roman" w:hAnsi="Times New Roman" w:cs="Times New Roman"/>
          <w:sz w:val="20"/>
          <w:szCs w:val="20"/>
        </w:rPr>
      </w:pPr>
      <w:r w:rsidRPr="002F227B">
        <w:rPr>
          <w:rStyle w:val="FootnoteReference"/>
          <w:rFonts w:ascii="Times New Roman" w:hAnsi="Times New Roman" w:cs="Times New Roman"/>
          <w:sz w:val="20"/>
          <w:szCs w:val="20"/>
        </w:rPr>
        <w:footnoteRef/>
      </w:r>
      <w:r w:rsidRPr="002F227B">
        <w:rPr>
          <w:rFonts w:ascii="Times New Roman" w:hAnsi="Times New Roman" w:cs="Times New Roman"/>
          <w:sz w:val="20"/>
          <w:szCs w:val="20"/>
        </w:rPr>
        <w:t xml:space="preserve"> Andreas K. Buck, Ken Herrmann, Tom Stargardt, Tobias Dechow, Bernd Joachim Krause, and Jonas Schreyögg. “Economic Evaluation of PET and PET/CT in Oncology: Evidence and Methodologic Approaches.” </w:t>
      </w:r>
      <w:r w:rsidRPr="002F227B">
        <w:rPr>
          <w:rFonts w:ascii="Times New Roman" w:hAnsi="Times New Roman" w:cs="Times New Roman"/>
          <w:i/>
          <w:sz w:val="20"/>
          <w:szCs w:val="20"/>
        </w:rPr>
        <w:t>Journal of Nuclear Medicine Technology</w:t>
      </w:r>
      <w:r w:rsidRPr="002F227B">
        <w:rPr>
          <w:rFonts w:ascii="Times New Roman" w:hAnsi="Times New Roman" w:cs="Times New Roman"/>
          <w:sz w:val="20"/>
          <w:szCs w:val="20"/>
        </w:rPr>
        <w:t xml:space="preserve"> (2010).</w:t>
      </w:r>
    </w:p>
  </w:footnote>
  <w:footnote w:id="225">
    <w:p w14:paraId="6AF8F58F" w14:textId="7777777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Astrid Langer. “A systematic review of PET and PET/CT in oncology: A way to personalize cancer treatment in a cost-effective manner?” </w:t>
      </w:r>
      <w:r w:rsidRPr="002F227B">
        <w:rPr>
          <w:rFonts w:ascii="Times New Roman" w:hAnsi="Times New Roman" w:cs="Times New Roman"/>
          <w:i/>
        </w:rPr>
        <w:t>BMC Health Services Research</w:t>
      </w:r>
      <w:r w:rsidRPr="002F227B">
        <w:rPr>
          <w:rFonts w:ascii="Times New Roman" w:hAnsi="Times New Roman" w:cs="Times New Roman"/>
        </w:rPr>
        <w:t xml:space="preserve"> (2010). </w:t>
      </w:r>
    </w:p>
  </w:footnote>
  <w:footnote w:id="226">
    <w:p w14:paraId="7EB50E0B" w14:textId="5625D47F" w:rsidR="00CF3141" w:rsidRPr="002F227B" w:rsidRDefault="00CF3141" w:rsidP="00335D93">
      <w:pPr>
        <w:autoSpaceDE w:val="0"/>
        <w:autoSpaceDN w:val="0"/>
        <w:adjustRightInd w:val="0"/>
        <w:spacing w:line="240" w:lineRule="auto"/>
        <w:rPr>
          <w:rFonts w:ascii="Times New Roman" w:hAnsi="Times New Roman" w:cs="Times New Roman"/>
          <w:sz w:val="20"/>
          <w:szCs w:val="20"/>
        </w:rPr>
      </w:pPr>
      <w:r w:rsidRPr="002F227B">
        <w:rPr>
          <w:rStyle w:val="FootnoteReference"/>
          <w:rFonts w:ascii="Times New Roman" w:hAnsi="Times New Roman" w:cs="Times New Roman"/>
          <w:sz w:val="20"/>
          <w:szCs w:val="20"/>
        </w:rPr>
        <w:footnoteRef/>
      </w:r>
      <w:r w:rsidRPr="002F227B">
        <w:rPr>
          <w:rFonts w:ascii="Times New Roman" w:hAnsi="Times New Roman" w:cs="Times New Roman"/>
          <w:sz w:val="20"/>
          <w:szCs w:val="20"/>
        </w:rPr>
        <w:t xml:space="preserve"> Barbara Malene Fischer, Barry A. Siegel, Wolfgang A. Weber, Konrade von Bremen, Thomas Beyer, and Antonis Kalemis</w:t>
      </w:r>
      <w:r w:rsidRPr="002F227B">
        <w:rPr>
          <w:rFonts w:ascii="Times New Roman" w:hAnsi="Times New Roman" w:cs="Times New Roman"/>
          <w:i/>
          <w:sz w:val="20"/>
          <w:szCs w:val="20"/>
        </w:rPr>
        <w:t>.</w:t>
      </w:r>
      <w:r w:rsidRPr="002F227B">
        <w:rPr>
          <w:rFonts w:ascii="Times New Roman" w:hAnsi="Times New Roman" w:cs="Times New Roman"/>
          <w:sz w:val="20"/>
          <w:szCs w:val="20"/>
        </w:rPr>
        <w:t xml:space="preserve"> “Editorial: PET/CT is a cost-effective tool against cancer: synergy supersedes singularity.” </w:t>
      </w:r>
      <w:r w:rsidRPr="002F227B">
        <w:rPr>
          <w:rFonts w:ascii="Times New Roman" w:hAnsi="Times New Roman" w:cs="Times New Roman"/>
          <w:i/>
          <w:sz w:val="20"/>
          <w:szCs w:val="20"/>
        </w:rPr>
        <w:t>European Journal of Nuclear Medicine and Molecular Imaging</w:t>
      </w:r>
      <w:r w:rsidRPr="002F227B">
        <w:rPr>
          <w:rFonts w:ascii="Times New Roman" w:hAnsi="Times New Roman" w:cs="Times New Roman"/>
          <w:sz w:val="20"/>
          <w:szCs w:val="20"/>
        </w:rPr>
        <w:t xml:space="preserve"> (2016).</w:t>
      </w:r>
    </w:p>
  </w:footnote>
  <w:footnote w:id="227">
    <w:p w14:paraId="1C39355B" w14:textId="28B17B96"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U.S. Preventive Services Task Force. “Final Recommendation Statement – Lung Cancer: Screening,” </w:t>
      </w:r>
      <w:r w:rsidRPr="002F227B">
        <w:rPr>
          <w:rFonts w:ascii="Times New Roman" w:hAnsi="Times New Roman" w:cs="Times New Roman"/>
          <w:i/>
        </w:rPr>
        <w:t>available at</w:t>
      </w:r>
      <w:r w:rsidRPr="002F227B">
        <w:rPr>
          <w:rFonts w:ascii="Times New Roman" w:hAnsi="Times New Roman" w:cs="Times New Roman"/>
        </w:rPr>
        <w:t xml:space="preserve"> https://www.uspreventiveservicestaskforce.org/uspstf/recommendation/lung-cancer-screening. Exceptions are made for individuals who have health problems that limit their life expectancy or the ability to undergo lung surgery; </w:t>
      </w:r>
      <w:r w:rsidRPr="002F227B">
        <w:rPr>
          <w:rFonts w:ascii="Times New Roman" w:hAnsi="Times New Roman" w:cs="Times New Roman"/>
          <w:i/>
        </w:rPr>
        <w:t>See also</w:t>
      </w:r>
      <w:r w:rsidRPr="002F227B">
        <w:rPr>
          <w:rFonts w:ascii="Times New Roman" w:hAnsi="Times New Roman" w:cs="Times New Roman"/>
        </w:rPr>
        <w:t>, Harry J. de Koning, Carlijn M. van der Aalst, Pim A. de Jong, Ernst T. Scholten, Kristiaan Nackaerts, Marjolein A. Heuvelmans, Jan-Willem J. Lammers, Carla Weenink, Uraujh Yousaf-Khan, Nanda Horeweg, Susan van’t Westeinde, Mathias Prokop, Willem P. Mali, Firdaus A.A. Mohamed Hosein, Peter M. A. van Ooijen, Joachim G. J. V. Aerts, Michael A. den Bakker, Erik Thunnissen, Johny Verschakelen, Rozemarijn Vliegenthart, Joan E. Walter, Kevin Ten Haaf, Harry J. M. Groen, and Matthijs Oudkerk. “</w:t>
      </w:r>
      <w:r w:rsidRPr="002F227B">
        <w:rPr>
          <w:rFonts w:ascii="Times New Roman" w:eastAsia="AdvOT3f82cb7c+20" w:hAnsi="Times New Roman" w:cs="Times New Roman"/>
        </w:rPr>
        <w:t xml:space="preserve">Reduced Lung-Cancer Mortality with Volume CT Screening in a Randomized Trial.” </w:t>
      </w:r>
      <w:r w:rsidRPr="002F227B">
        <w:rPr>
          <w:rFonts w:ascii="Times New Roman" w:eastAsia="AdvOT3f82cb7c+20" w:hAnsi="Times New Roman" w:cs="Times New Roman"/>
          <w:i/>
        </w:rPr>
        <w:t>New England Journal of Medicine</w:t>
      </w:r>
      <w:r w:rsidRPr="002F227B">
        <w:rPr>
          <w:rFonts w:ascii="Times New Roman" w:eastAsia="AdvOT3f82cb7c+20" w:hAnsi="Times New Roman" w:cs="Times New Roman"/>
        </w:rPr>
        <w:t xml:space="preserve"> (2020).</w:t>
      </w:r>
      <w:r w:rsidRPr="002F227B">
        <w:rPr>
          <w:rFonts w:ascii="Times New Roman" w:hAnsi="Times New Roman" w:cs="Times New Roman"/>
        </w:rPr>
        <w:t xml:space="preserve"> </w:t>
      </w:r>
    </w:p>
  </w:footnote>
  <w:footnote w:id="228">
    <w:p w14:paraId="59C09F1A" w14:textId="24E4688E" w:rsidR="00CF3141" w:rsidRPr="002F227B" w:rsidRDefault="00CF3141" w:rsidP="00335D93">
      <w:pPr>
        <w:autoSpaceDE w:val="0"/>
        <w:autoSpaceDN w:val="0"/>
        <w:adjustRightInd w:val="0"/>
        <w:spacing w:line="240" w:lineRule="auto"/>
        <w:rPr>
          <w:rFonts w:ascii="Times New Roman" w:hAnsi="Times New Roman" w:cs="Times New Roman"/>
          <w:sz w:val="20"/>
          <w:szCs w:val="20"/>
        </w:rPr>
      </w:pPr>
      <w:r w:rsidRPr="002F227B">
        <w:rPr>
          <w:rStyle w:val="FootnoteReference"/>
          <w:rFonts w:ascii="Times New Roman" w:hAnsi="Times New Roman" w:cs="Times New Roman"/>
          <w:sz w:val="20"/>
          <w:szCs w:val="20"/>
        </w:rPr>
        <w:footnoteRef/>
      </w:r>
      <w:r w:rsidRPr="002F227B">
        <w:rPr>
          <w:rFonts w:ascii="Times New Roman" w:hAnsi="Times New Roman" w:cs="Times New Roman"/>
          <w:sz w:val="20"/>
          <w:szCs w:val="20"/>
        </w:rPr>
        <w:t xml:space="preserve"> Gardiner Harris. “CT Scans Cut Lung Cancer Deaths, Study Finds,” </w:t>
      </w:r>
      <w:r w:rsidRPr="002F227B">
        <w:rPr>
          <w:rFonts w:ascii="Times New Roman" w:hAnsi="Times New Roman" w:cs="Times New Roman"/>
          <w:i/>
          <w:sz w:val="20"/>
          <w:szCs w:val="20"/>
        </w:rPr>
        <w:t>New York Times</w:t>
      </w:r>
      <w:r w:rsidRPr="002F227B">
        <w:rPr>
          <w:rFonts w:ascii="Times New Roman" w:hAnsi="Times New Roman" w:cs="Times New Roman"/>
          <w:sz w:val="20"/>
          <w:szCs w:val="20"/>
        </w:rPr>
        <w:t xml:space="preserve"> (November 4, 2010)</w:t>
      </w:r>
      <w:r w:rsidRPr="002F227B">
        <w:rPr>
          <w:rFonts w:ascii="Times New Roman" w:hAnsi="Times New Roman" w:cs="Times New Roman"/>
          <w:i/>
          <w:iCs/>
          <w:sz w:val="20"/>
          <w:szCs w:val="20"/>
        </w:rPr>
        <w:t xml:space="preserve">, available at </w:t>
      </w:r>
      <w:r w:rsidRPr="002F227B">
        <w:rPr>
          <w:rFonts w:ascii="Times New Roman" w:hAnsi="Times New Roman" w:cs="Times New Roman"/>
          <w:sz w:val="20"/>
          <w:szCs w:val="20"/>
        </w:rPr>
        <w:t>https://www.nytimes.com/2010/11/05/health/research/05cancer.html.</w:t>
      </w:r>
    </w:p>
  </w:footnote>
  <w:footnote w:id="229">
    <w:p w14:paraId="3BEA7366" w14:textId="1CA02EBF" w:rsidR="00CF3141" w:rsidRPr="002F227B" w:rsidRDefault="00CF3141" w:rsidP="00335D93">
      <w:pPr>
        <w:autoSpaceDE w:val="0"/>
        <w:autoSpaceDN w:val="0"/>
        <w:adjustRightInd w:val="0"/>
        <w:spacing w:line="240" w:lineRule="auto"/>
        <w:rPr>
          <w:rFonts w:ascii="Times New Roman" w:hAnsi="Times New Roman" w:cs="Times New Roman"/>
          <w:sz w:val="20"/>
          <w:szCs w:val="20"/>
        </w:rPr>
      </w:pPr>
      <w:r w:rsidRPr="002F227B">
        <w:rPr>
          <w:rStyle w:val="FootnoteReference"/>
          <w:rFonts w:ascii="Times New Roman" w:hAnsi="Times New Roman" w:cs="Times New Roman"/>
          <w:sz w:val="20"/>
          <w:szCs w:val="20"/>
        </w:rPr>
        <w:footnoteRef/>
      </w:r>
      <w:r w:rsidRPr="002F227B">
        <w:rPr>
          <w:rFonts w:ascii="Times New Roman" w:hAnsi="Times New Roman" w:cs="Times New Roman"/>
          <w:sz w:val="20"/>
          <w:szCs w:val="20"/>
        </w:rPr>
        <w:t xml:space="preserve"> Geoffrey D. Rubin, Christopher J. Ryerson, Linda B. Haramati, Nicola Sverzellati, Jeffrey P. Kanne, Suhail Raoof, Neil W. Schluger, Annalisa Volpi, Jae-Joon Yim, Ian B. K. Martin, Deverick J. Anderson, Christina Kong, Talissa Altes, Andrew Bush, Sujal R. Desai, Jonathan Goldin, Jin Mo Goo, Marc Humbert, Yoshikazu Inoue, Hans-Ulrich Kauczor, Fengming Luo, Peter J. Mazzone, Mathias Prokop, Martine Remy-Jardin, Luca Richeldi, Cornelia M. Schaefer-Prokop, Noriyuki Tomiyama, Athol U. Wells, and Ann N. Leung. “The Role of Chest Imaging in Patient Management during the COVID-19 Pandemic: A Multinational Consensus Statement from the Fleischner Society.” </w:t>
      </w:r>
      <w:r w:rsidRPr="002F227B">
        <w:rPr>
          <w:rFonts w:ascii="Times New Roman" w:hAnsi="Times New Roman" w:cs="Times New Roman"/>
          <w:i/>
          <w:sz w:val="20"/>
          <w:szCs w:val="20"/>
        </w:rPr>
        <w:t>Radiology</w:t>
      </w:r>
      <w:r w:rsidRPr="002F227B">
        <w:rPr>
          <w:rFonts w:ascii="Times New Roman" w:hAnsi="Times New Roman" w:cs="Times New Roman"/>
          <w:sz w:val="20"/>
          <w:szCs w:val="20"/>
        </w:rPr>
        <w:t xml:space="preserve"> (2020).</w:t>
      </w:r>
    </w:p>
  </w:footnote>
  <w:footnote w:id="230">
    <w:p w14:paraId="278B3BA2" w14:textId="46C05469"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Vanessa Redd, Scott Levin, Matthew Toerper, Amanda Creel, and Susan Peterson. “Effects of Fully Accessible Magnetic Resonance Imaging in the Emergency Department.” </w:t>
      </w:r>
      <w:r w:rsidRPr="002F227B">
        <w:rPr>
          <w:rFonts w:ascii="Times New Roman" w:hAnsi="Times New Roman" w:cs="Times New Roman"/>
          <w:i/>
        </w:rPr>
        <w:t xml:space="preserve">Academic Emergency Medicine </w:t>
      </w:r>
      <w:r w:rsidRPr="002F227B">
        <w:rPr>
          <w:rFonts w:ascii="Times New Roman" w:hAnsi="Times New Roman" w:cs="Times New Roman"/>
        </w:rPr>
        <w:t>(2015).</w:t>
      </w:r>
    </w:p>
  </w:footnote>
  <w:footnote w:id="231">
    <w:p w14:paraId="237B861A" w14:textId="7D230A50" w:rsidR="00CF3141" w:rsidRPr="002F227B" w:rsidRDefault="00CF3141" w:rsidP="00335D93">
      <w:pPr>
        <w:autoSpaceDE w:val="0"/>
        <w:autoSpaceDN w:val="0"/>
        <w:adjustRightInd w:val="0"/>
        <w:spacing w:line="240" w:lineRule="auto"/>
        <w:rPr>
          <w:rFonts w:ascii="Times New Roman" w:hAnsi="Times New Roman" w:cs="Times New Roman"/>
          <w:sz w:val="20"/>
          <w:szCs w:val="20"/>
        </w:rPr>
      </w:pPr>
      <w:r w:rsidRPr="002F227B">
        <w:rPr>
          <w:rStyle w:val="FootnoteReference"/>
          <w:rFonts w:ascii="Times New Roman" w:hAnsi="Times New Roman" w:cs="Times New Roman"/>
          <w:sz w:val="20"/>
          <w:szCs w:val="20"/>
        </w:rPr>
        <w:footnoteRef/>
      </w:r>
      <w:r w:rsidRPr="002F227B">
        <w:rPr>
          <w:rFonts w:ascii="Times New Roman" w:hAnsi="Times New Roman" w:cs="Times New Roman"/>
          <w:sz w:val="20"/>
          <w:szCs w:val="20"/>
        </w:rPr>
        <w:t xml:space="preserve"> Daniel Kraus, Felix Oettinger, Jurij Kiefer, Holger Bannasch, G. Björn Stark, and Filip Simunovic. “Efficacy and Cost-Benefit Analysis of Magnetic Resonance Imaging in the Follow-Up of Soft Tissue Sarcomas of the Extremities and Trunk.” </w:t>
      </w:r>
      <w:r w:rsidRPr="002F227B">
        <w:rPr>
          <w:rFonts w:ascii="Times New Roman" w:hAnsi="Times New Roman" w:cs="Times New Roman"/>
          <w:i/>
          <w:sz w:val="20"/>
          <w:szCs w:val="20"/>
        </w:rPr>
        <w:t>Journal of Oncology</w:t>
      </w:r>
      <w:r w:rsidRPr="002F227B">
        <w:rPr>
          <w:rFonts w:ascii="Times New Roman" w:hAnsi="Times New Roman" w:cs="Times New Roman"/>
          <w:sz w:val="20"/>
          <w:szCs w:val="20"/>
        </w:rPr>
        <w:t xml:space="preserve"> (2021).</w:t>
      </w:r>
    </w:p>
  </w:footnote>
  <w:footnote w:id="232">
    <w:p w14:paraId="56E1444D" w14:textId="3C16C4C9" w:rsidR="00CF3141" w:rsidRPr="002F227B" w:rsidRDefault="00CF3141" w:rsidP="00335D93">
      <w:pPr>
        <w:spacing w:line="240" w:lineRule="auto"/>
        <w:rPr>
          <w:rFonts w:ascii="Times New Roman" w:hAnsi="Times New Roman" w:cs="Times New Roman"/>
          <w:sz w:val="20"/>
          <w:szCs w:val="20"/>
        </w:rPr>
      </w:pPr>
      <w:r w:rsidRPr="002F227B">
        <w:rPr>
          <w:rStyle w:val="FootnoteReference"/>
          <w:rFonts w:ascii="Times New Roman" w:hAnsi="Times New Roman" w:cs="Times New Roman"/>
          <w:sz w:val="20"/>
          <w:szCs w:val="20"/>
        </w:rPr>
        <w:footnoteRef/>
      </w:r>
      <w:r w:rsidRPr="002F227B">
        <w:rPr>
          <w:rFonts w:ascii="Times New Roman" w:hAnsi="Times New Roman" w:cs="Times New Roman"/>
          <w:sz w:val="20"/>
          <w:szCs w:val="20"/>
        </w:rPr>
        <w:t xml:space="preserve"> David W. Lee, Richard Duszak Jr., and Danny R. Hughes. “Comparative analysis of Medicare spending for medical imaging: sustained dramatic slowdown compared with other services.” </w:t>
      </w:r>
      <w:r w:rsidRPr="002F227B">
        <w:rPr>
          <w:rFonts w:ascii="Times New Roman" w:hAnsi="Times New Roman" w:cs="Times New Roman"/>
          <w:i/>
          <w:sz w:val="20"/>
          <w:szCs w:val="20"/>
        </w:rPr>
        <w:t>American Journal of Roentgenology</w:t>
      </w:r>
      <w:r w:rsidRPr="002F227B">
        <w:rPr>
          <w:rFonts w:ascii="Times New Roman" w:hAnsi="Times New Roman" w:cs="Times New Roman"/>
          <w:sz w:val="20"/>
          <w:szCs w:val="20"/>
        </w:rPr>
        <w:t xml:space="preserve"> (2013).</w:t>
      </w:r>
    </w:p>
  </w:footnote>
  <w:footnote w:id="233">
    <w:p w14:paraId="755A61FF" w14:textId="0F1B5BFE" w:rsidR="00CF3141" w:rsidRPr="002F227B" w:rsidRDefault="00CF3141" w:rsidP="00335D93">
      <w:pPr>
        <w:spacing w:line="240" w:lineRule="auto"/>
        <w:rPr>
          <w:rFonts w:ascii="Times New Roman" w:hAnsi="Times New Roman" w:cs="Times New Roman"/>
          <w:sz w:val="20"/>
          <w:szCs w:val="20"/>
        </w:rPr>
      </w:pPr>
      <w:r w:rsidRPr="002F227B">
        <w:rPr>
          <w:rStyle w:val="FootnoteReference"/>
          <w:rFonts w:ascii="Times New Roman" w:hAnsi="Times New Roman" w:cs="Times New Roman"/>
          <w:sz w:val="20"/>
          <w:szCs w:val="20"/>
        </w:rPr>
        <w:footnoteRef/>
      </w:r>
      <w:r w:rsidRPr="002F227B">
        <w:rPr>
          <w:rFonts w:ascii="Times New Roman" w:hAnsi="Times New Roman" w:cs="Times New Roman"/>
          <w:sz w:val="20"/>
          <w:szCs w:val="20"/>
        </w:rPr>
        <w:t xml:space="preserve"> Monica H. Kassavin, Keval D. Parikh, Sree Harsha Tirumani, and Nikhil Ramaiya. “Trends in Medicare Part B Payments and Utilization for Imaging Services between 2009 and 2019.” </w:t>
      </w:r>
      <w:r w:rsidRPr="002F227B">
        <w:rPr>
          <w:rFonts w:ascii="Times New Roman" w:hAnsi="Times New Roman" w:cs="Times New Roman"/>
          <w:i/>
          <w:sz w:val="20"/>
          <w:szCs w:val="20"/>
        </w:rPr>
        <w:t>Current Problems in Diagnostic Radiology</w:t>
      </w:r>
      <w:r w:rsidRPr="002F227B">
        <w:rPr>
          <w:rFonts w:ascii="Times New Roman" w:hAnsi="Times New Roman" w:cs="Times New Roman"/>
          <w:sz w:val="20"/>
          <w:szCs w:val="20"/>
        </w:rPr>
        <w:t xml:space="preserve"> (2021).</w:t>
      </w:r>
    </w:p>
  </w:footnote>
  <w:footnote w:id="234">
    <w:p w14:paraId="3DE093E4" w14:textId="266C547B" w:rsidR="00CF3141" w:rsidRPr="002F227B" w:rsidRDefault="00CF3141" w:rsidP="00335D93">
      <w:pPr>
        <w:autoSpaceDE w:val="0"/>
        <w:autoSpaceDN w:val="0"/>
        <w:adjustRightInd w:val="0"/>
        <w:spacing w:line="240" w:lineRule="auto"/>
        <w:rPr>
          <w:rFonts w:ascii="Times New Roman" w:hAnsi="Times New Roman" w:cs="Times New Roman"/>
          <w:sz w:val="20"/>
          <w:szCs w:val="20"/>
        </w:rPr>
      </w:pPr>
      <w:r w:rsidRPr="002F227B">
        <w:rPr>
          <w:rStyle w:val="FootnoteReference"/>
          <w:rFonts w:ascii="Times New Roman" w:hAnsi="Times New Roman" w:cs="Times New Roman"/>
          <w:sz w:val="20"/>
          <w:szCs w:val="20"/>
        </w:rPr>
        <w:footnoteRef/>
      </w:r>
      <w:r w:rsidRPr="002F227B">
        <w:rPr>
          <w:rFonts w:ascii="Times New Roman" w:hAnsi="Times New Roman" w:cs="Times New Roman"/>
          <w:sz w:val="20"/>
          <w:szCs w:val="20"/>
        </w:rPr>
        <w:t xml:space="preserve"> Andrew B. Rosenkrantz, Danny R. Hughes, and Richard Duszak Jr. “State Variation in Medical Imaging: Despite Great Variation, the Medicare Spending Decline Continues.” </w:t>
      </w:r>
      <w:r w:rsidRPr="002F227B">
        <w:rPr>
          <w:rFonts w:ascii="Times New Roman" w:hAnsi="Times New Roman" w:cs="Times New Roman"/>
          <w:i/>
          <w:sz w:val="20"/>
          <w:szCs w:val="20"/>
        </w:rPr>
        <w:t>American Journal of Roentgenology</w:t>
      </w:r>
      <w:r w:rsidRPr="002F227B">
        <w:rPr>
          <w:rFonts w:ascii="Times New Roman" w:hAnsi="Times New Roman" w:cs="Times New Roman"/>
          <w:sz w:val="20"/>
          <w:szCs w:val="20"/>
        </w:rPr>
        <w:t xml:space="preserve"> (2015).</w:t>
      </w:r>
    </w:p>
  </w:footnote>
  <w:footnote w:id="235">
    <w:p w14:paraId="2CC80EDE" w14:textId="1B8123B5"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Arthur S. Hong, David Levin, Laurence Parker, Vijay M. Rao, Dennis Ross-Degnan, and J. Frank Wharam. “Trends in Diagnostic Imaging Utilization among Medicare and Commercially Insured Adults from 2003 through 2016.” </w:t>
      </w:r>
      <w:r w:rsidRPr="002F227B">
        <w:rPr>
          <w:rFonts w:ascii="Times New Roman" w:hAnsi="Times New Roman" w:cs="Times New Roman"/>
          <w:i/>
        </w:rPr>
        <w:t xml:space="preserve">Radiology </w:t>
      </w:r>
      <w:r w:rsidRPr="002F227B">
        <w:rPr>
          <w:rFonts w:ascii="Times New Roman" w:hAnsi="Times New Roman" w:cs="Times New Roman"/>
        </w:rPr>
        <w:t>(2020).</w:t>
      </w:r>
    </w:p>
  </w:footnote>
  <w:footnote w:id="236">
    <w:p w14:paraId="113B5B21" w14:textId="4092FF42"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The one exception to this general pattern was that utilization of CT continued to grow between 2012 and 2016 for the under-45 commercially insured population.</w:t>
      </w:r>
    </w:p>
  </w:footnote>
  <w:footnote w:id="237">
    <w:p w14:paraId="32AE9DB6" w14:textId="58D5C306" w:rsidR="00CF3141" w:rsidRPr="002F227B" w:rsidRDefault="00CF3141" w:rsidP="00335D93">
      <w:pPr>
        <w:autoSpaceDE w:val="0"/>
        <w:autoSpaceDN w:val="0"/>
        <w:adjustRightInd w:val="0"/>
        <w:spacing w:line="240" w:lineRule="auto"/>
        <w:rPr>
          <w:rFonts w:ascii="Times New Roman" w:hAnsi="Times New Roman" w:cs="Times New Roman"/>
          <w:sz w:val="20"/>
          <w:szCs w:val="20"/>
        </w:rPr>
      </w:pPr>
      <w:r w:rsidRPr="002F227B">
        <w:rPr>
          <w:rStyle w:val="FootnoteReference"/>
          <w:rFonts w:ascii="Times New Roman" w:hAnsi="Times New Roman" w:cs="Times New Roman"/>
          <w:sz w:val="20"/>
          <w:szCs w:val="20"/>
        </w:rPr>
        <w:footnoteRef/>
      </w:r>
      <w:r w:rsidRPr="002F227B">
        <w:rPr>
          <w:rFonts w:ascii="Times New Roman" w:hAnsi="Times New Roman" w:cs="Times New Roman"/>
          <w:sz w:val="20"/>
          <w:szCs w:val="20"/>
        </w:rPr>
        <w:t xml:space="preserve"> Stephen Flaherty, Koenraad J. Mortele, and Gary J. Young. “Utilization Trends in Diagnostic Imaging for a Commercially Insured Population: A Study of Massachusetts Residents 2009 to 2013.” </w:t>
      </w:r>
      <w:r w:rsidRPr="002F227B">
        <w:rPr>
          <w:rFonts w:ascii="Times New Roman" w:hAnsi="Times New Roman" w:cs="Times New Roman"/>
          <w:i/>
          <w:sz w:val="20"/>
          <w:szCs w:val="20"/>
        </w:rPr>
        <w:t>Journal of the American College of Radiology</w:t>
      </w:r>
      <w:r w:rsidRPr="002F227B">
        <w:rPr>
          <w:rFonts w:ascii="Times New Roman" w:hAnsi="Times New Roman" w:cs="Times New Roman"/>
          <w:sz w:val="20"/>
          <w:szCs w:val="20"/>
        </w:rPr>
        <w:t xml:space="preserve"> (2018).</w:t>
      </w:r>
    </w:p>
  </w:footnote>
  <w:footnote w:id="238">
    <w:p w14:paraId="515C00A8" w14:textId="684084E1"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Andrew B. Rosenkrantz and Richard Duszak Jr. “Advanced Imaging Utilization and Cost Savings Among Medicare Shared Savings Program Accountable Care Organizations: An Initial Exploratory Analysis.” </w:t>
      </w:r>
      <w:r w:rsidRPr="002F227B">
        <w:rPr>
          <w:rFonts w:ascii="Times New Roman" w:hAnsi="Times New Roman" w:cs="Times New Roman"/>
          <w:i/>
        </w:rPr>
        <w:t>Journal of the American College of Radiology</w:t>
      </w:r>
      <w:r w:rsidRPr="002F227B">
        <w:rPr>
          <w:rFonts w:ascii="Times New Roman" w:hAnsi="Times New Roman" w:cs="Times New Roman"/>
        </w:rPr>
        <w:t xml:space="preserve"> (2017).</w:t>
      </w:r>
    </w:p>
  </w:footnote>
  <w:footnote w:id="239">
    <w:p w14:paraId="5BA3404B" w14:textId="2FB42F49"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Phillip Reese. “As ER Wait Times Grow, More Patients Leave Against Medical Advice,” </w:t>
      </w:r>
      <w:r w:rsidRPr="002F227B">
        <w:rPr>
          <w:rFonts w:ascii="Times New Roman" w:hAnsi="Times New Roman" w:cs="Times New Roman"/>
          <w:i/>
        </w:rPr>
        <w:t>Kaiser Health News</w:t>
      </w:r>
      <w:r w:rsidRPr="002F227B">
        <w:rPr>
          <w:rFonts w:ascii="Times New Roman" w:hAnsi="Times New Roman" w:cs="Times New Roman"/>
        </w:rPr>
        <w:t xml:space="preserve"> (May 2019)</w:t>
      </w:r>
      <w:r w:rsidRPr="002F227B">
        <w:rPr>
          <w:rFonts w:ascii="Times New Roman" w:hAnsi="Times New Roman" w:cs="Times New Roman"/>
          <w:i/>
          <w:iCs/>
        </w:rPr>
        <w:t xml:space="preserve">, available at </w:t>
      </w:r>
      <w:r w:rsidRPr="002F227B">
        <w:rPr>
          <w:rFonts w:ascii="Times New Roman" w:hAnsi="Times New Roman" w:cs="Times New Roman"/>
        </w:rPr>
        <w:t>https://khn.org/news/as-er-wait-times-grow-more-patients-leave-against-medical-advice/.</w:t>
      </w:r>
    </w:p>
  </w:footnote>
  <w:footnote w:id="240">
    <w:p w14:paraId="44331455" w14:textId="56BA4F3A"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MGH DoN, Appendix 2, p. 12. </w:t>
      </w:r>
    </w:p>
  </w:footnote>
  <w:footnote w:id="241">
    <w:p w14:paraId="00C8F42F" w14:textId="2730119E"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MGH DoN, Appendix 2, p. 12. </w:t>
      </w:r>
    </w:p>
  </w:footnote>
  <w:footnote w:id="242">
    <w:p w14:paraId="399B1FBA" w14:textId="00D0E271"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MGH DoN, Appendix 2, p. 12. </w:t>
      </w:r>
    </w:p>
  </w:footnote>
  <w:footnote w:id="243">
    <w:p w14:paraId="20538879" w14:textId="154DAADC" w:rsidR="00CF3141" w:rsidRPr="002F227B" w:rsidRDefault="00CF3141" w:rsidP="00335D93">
      <w:pPr>
        <w:autoSpaceDE w:val="0"/>
        <w:autoSpaceDN w:val="0"/>
        <w:adjustRightInd w:val="0"/>
        <w:spacing w:line="240" w:lineRule="auto"/>
        <w:rPr>
          <w:rFonts w:ascii="Times New Roman" w:hAnsi="Times New Roman" w:cs="Times New Roman"/>
          <w:sz w:val="20"/>
          <w:szCs w:val="20"/>
        </w:rPr>
      </w:pPr>
      <w:r w:rsidRPr="002F227B">
        <w:rPr>
          <w:rStyle w:val="FootnoteReference"/>
          <w:rFonts w:ascii="Times New Roman" w:hAnsi="Times New Roman" w:cs="Times New Roman"/>
          <w:sz w:val="20"/>
          <w:szCs w:val="20"/>
        </w:rPr>
        <w:footnoteRef/>
      </w:r>
      <w:r w:rsidRPr="002F227B">
        <w:rPr>
          <w:rFonts w:ascii="Times New Roman" w:hAnsi="Times New Roman" w:cs="Times New Roman"/>
          <w:sz w:val="20"/>
          <w:szCs w:val="20"/>
        </w:rPr>
        <w:t xml:space="preserve"> Shan W. Liu, Stephen H. Thomas, James A. Gordon, Azita G. Hamedani, and Joel S. Weissman. “A Pilot Study Examining Undesirable Events Among Emergency Department–Boarded Patients Awaiting Inpatient Beds.” </w:t>
      </w:r>
      <w:r w:rsidRPr="002F227B">
        <w:rPr>
          <w:rFonts w:ascii="Times New Roman" w:hAnsi="Times New Roman" w:cs="Times New Roman"/>
          <w:i/>
          <w:sz w:val="20"/>
          <w:szCs w:val="20"/>
        </w:rPr>
        <w:t>Annals of Emergency Medicine</w:t>
      </w:r>
      <w:r w:rsidRPr="002F227B">
        <w:rPr>
          <w:rFonts w:ascii="Times New Roman" w:hAnsi="Times New Roman" w:cs="Times New Roman"/>
          <w:sz w:val="20"/>
          <w:szCs w:val="20"/>
        </w:rPr>
        <w:t xml:space="preserve"> (2009).</w:t>
      </w:r>
    </w:p>
  </w:footnote>
  <w:footnote w:id="244">
    <w:p w14:paraId="0BA3E426" w14:textId="444FD1A2" w:rsidR="00CF3141" w:rsidRPr="002F227B" w:rsidRDefault="00CF3141" w:rsidP="00335D93">
      <w:pPr>
        <w:autoSpaceDE w:val="0"/>
        <w:autoSpaceDN w:val="0"/>
        <w:adjustRightInd w:val="0"/>
        <w:spacing w:line="240" w:lineRule="auto"/>
        <w:rPr>
          <w:rFonts w:ascii="Times New Roman" w:hAnsi="Times New Roman" w:cs="Times New Roman"/>
          <w:sz w:val="20"/>
          <w:szCs w:val="20"/>
        </w:rPr>
      </w:pPr>
      <w:r w:rsidRPr="002F227B">
        <w:rPr>
          <w:rStyle w:val="FootnoteReference"/>
          <w:rFonts w:ascii="Times New Roman" w:hAnsi="Times New Roman" w:cs="Times New Roman"/>
          <w:sz w:val="20"/>
          <w:szCs w:val="20"/>
        </w:rPr>
        <w:footnoteRef/>
      </w:r>
      <w:r w:rsidRPr="002F227B">
        <w:rPr>
          <w:rFonts w:ascii="Times New Roman" w:hAnsi="Times New Roman" w:cs="Times New Roman"/>
          <w:sz w:val="20"/>
          <w:szCs w:val="20"/>
        </w:rPr>
        <w:t xml:space="preserve"> Thierry Boulain, Anne Malet, and Olivier Maitre. “</w:t>
      </w:r>
      <w:r w:rsidRPr="002F227B">
        <w:rPr>
          <w:rFonts w:ascii="Times New Roman" w:hAnsi="Times New Roman" w:cs="Times New Roman"/>
          <w:color w:val="333333"/>
          <w:sz w:val="20"/>
          <w:szCs w:val="20"/>
        </w:rPr>
        <w:t xml:space="preserve">Association between long boarding time in the emergency department and hospital mortality: a single-center propensity score-based analysis.” </w:t>
      </w:r>
      <w:r w:rsidRPr="002F227B">
        <w:rPr>
          <w:rFonts w:ascii="Times New Roman" w:hAnsi="Times New Roman" w:cs="Times New Roman"/>
          <w:i/>
          <w:color w:val="333333"/>
          <w:sz w:val="20"/>
          <w:szCs w:val="20"/>
        </w:rPr>
        <w:t>Internal and Emergency Medicine</w:t>
      </w:r>
      <w:r w:rsidRPr="002F227B">
        <w:rPr>
          <w:rFonts w:ascii="Times New Roman" w:hAnsi="Times New Roman" w:cs="Times New Roman"/>
          <w:color w:val="333333"/>
          <w:sz w:val="20"/>
          <w:szCs w:val="20"/>
        </w:rPr>
        <w:t xml:space="preserve"> (2020). </w:t>
      </w:r>
    </w:p>
  </w:footnote>
  <w:footnote w:id="245">
    <w:p w14:paraId="203D117B" w14:textId="3DF1B12A"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Kate van Loveren, Arnav Singla, Liron Sinvani, Christopher Calandrella, Thomas Perera, Martina Brave, Lance Becker, and Timmy Li. “Increased Emergency Department Hallway Length of Stay is Associated with Development of Delirium.” </w:t>
      </w:r>
      <w:r w:rsidRPr="002F227B">
        <w:rPr>
          <w:rFonts w:ascii="Times New Roman" w:hAnsi="Times New Roman" w:cs="Times New Roman"/>
          <w:i/>
        </w:rPr>
        <w:t>Western Journal of Emergency Medicine</w:t>
      </w:r>
      <w:r w:rsidRPr="002F227B">
        <w:rPr>
          <w:rFonts w:ascii="Times New Roman" w:hAnsi="Times New Roman" w:cs="Times New Roman"/>
        </w:rPr>
        <w:t xml:space="preserve"> (2021).</w:t>
      </w:r>
    </w:p>
  </w:footnote>
  <w:footnote w:id="246">
    <w:p w14:paraId="06E59D54" w14:textId="6897453E" w:rsidR="00CF3141" w:rsidRPr="002F227B" w:rsidRDefault="00CF3141" w:rsidP="00335D93">
      <w:pPr>
        <w:autoSpaceDE w:val="0"/>
        <w:autoSpaceDN w:val="0"/>
        <w:adjustRightInd w:val="0"/>
        <w:spacing w:line="240" w:lineRule="auto"/>
        <w:rPr>
          <w:rFonts w:ascii="Times New Roman" w:hAnsi="Times New Roman" w:cs="Times New Roman"/>
          <w:sz w:val="20"/>
          <w:szCs w:val="20"/>
        </w:rPr>
      </w:pPr>
      <w:r w:rsidRPr="002F227B">
        <w:rPr>
          <w:rStyle w:val="FootnoteReference"/>
          <w:rFonts w:ascii="Times New Roman" w:hAnsi="Times New Roman" w:cs="Times New Roman"/>
          <w:sz w:val="20"/>
          <w:szCs w:val="20"/>
        </w:rPr>
        <w:footnoteRef/>
      </w:r>
      <w:r w:rsidRPr="002F227B">
        <w:rPr>
          <w:rFonts w:ascii="Times New Roman" w:hAnsi="Times New Roman" w:cs="Times New Roman"/>
          <w:sz w:val="20"/>
          <w:szCs w:val="20"/>
        </w:rPr>
        <w:t xml:space="preserve"> Lindsey Woodworth and James F. Holmes. “Just a Minute: The Effect of Emergency Department Wait Time on the Cost of Care.” </w:t>
      </w:r>
      <w:r w:rsidRPr="002F227B">
        <w:rPr>
          <w:rFonts w:ascii="Times New Roman" w:hAnsi="Times New Roman" w:cs="Times New Roman"/>
          <w:i/>
          <w:sz w:val="20"/>
          <w:szCs w:val="20"/>
        </w:rPr>
        <w:t>Economic Inquiry</w:t>
      </w:r>
      <w:r w:rsidRPr="002F227B">
        <w:rPr>
          <w:rFonts w:ascii="Times New Roman" w:hAnsi="Times New Roman" w:cs="Times New Roman"/>
          <w:sz w:val="20"/>
          <w:szCs w:val="20"/>
        </w:rPr>
        <w:t xml:space="preserve"> (2020).</w:t>
      </w:r>
    </w:p>
  </w:footnote>
  <w:footnote w:id="247">
    <w:p w14:paraId="002C91BE" w14:textId="34F1E202"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Jonathan Gruber, Thomas P. Hoe, and George Stoye. “Saving Lives by Tying Hands: The Unexpected Effects of Constraining Health Care Providers.” </w:t>
      </w:r>
      <w:r w:rsidRPr="002F227B">
        <w:rPr>
          <w:rFonts w:ascii="Times New Roman" w:hAnsi="Times New Roman" w:cs="Times New Roman"/>
          <w:i/>
        </w:rPr>
        <w:t>The Review of Economics and Statistics</w:t>
      </w:r>
      <w:r w:rsidRPr="002F227B">
        <w:rPr>
          <w:rFonts w:ascii="Times New Roman" w:hAnsi="Times New Roman" w:cs="Times New Roman"/>
        </w:rPr>
        <w:t xml:space="preserve"> (2021).</w:t>
      </w:r>
    </w:p>
  </w:footnote>
  <w:footnote w:id="248">
    <w:p w14:paraId="794FCB25" w14:textId="3BDFFE6B"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Centers for Medicare and Medicaid Services, National Health Expenditure Accounts, Table 20, </w:t>
      </w:r>
      <w:r w:rsidRPr="002F227B">
        <w:rPr>
          <w:rFonts w:ascii="Times New Roman" w:hAnsi="Times New Roman" w:cs="Times New Roman"/>
          <w:i/>
        </w:rPr>
        <w:t>available at</w:t>
      </w:r>
      <w:r w:rsidRPr="002F227B">
        <w:rPr>
          <w:rFonts w:ascii="Times New Roman" w:hAnsi="Times New Roman" w:cs="Times New Roman"/>
          <w:i/>
          <w:iCs/>
        </w:rPr>
        <w:t xml:space="preserve"> </w:t>
      </w:r>
      <w:r w:rsidRPr="002F227B">
        <w:rPr>
          <w:rFonts w:ascii="Times New Roman" w:hAnsi="Times New Roman" w:cs="Times New Roman"/>
          <w:iCs/>
        </w:rPr>
        <w:t>https://www.cms.gov/files/zip/nhe-tables.zip.</w:t>
      </w:r>
      <w:r w:rsidRPr="002F227B">
        <w:rPr>
          <w:rFonts w:ascii="Times New Roman" w:hAnsi="Times New Roman" w:cs="Times New Roman"/>
          <w:i/>
          <w:iCs/>
        </w:rPr>
        <w:t xml:space="preserve"> </w:t>
      </w:r>
    </w:p>
  </w:footnote>
  <w:footnote w:id="249">
    <w:p w14:paraId="0531336B" w14:textId="24CF2B7D"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w:t>
      </w:r>
      <w:r w:rsidRPr="002F227B">
        <w:rPr>
          <w:rFonts w:ascii="Times New Roman" w:hAnsi="Times New Roman" w:cs="Times New Roman"/>
          <w:i/>
        </w:rPr>
        <w:t>See</w:t>
      </w:r>
      <w:r w:rsidRPr="002F227B">
        <w:rPr>
          <w:rFonts w:ascii="Times New Roman" w:hAnsi="Times New Roman" w:cs="Times New Roman"/>
        </w:rPr>
        <w:t xml:space="preserve"> Complaint, </w:t>
      </w:r>
      <w:r w:rsidRPr="002F227B">
        <w:rPr>
          <w:rFonts w:ascii="Times New Roman" w:hAnsi="Times New Roman" w:cs="Times New Roman"/>
          <w:i/>
        </w:rPr>
        <w:t>In the Matter of Methodist Le Bonheur Healthcare and Tenet Healthcare Corporation</w:t>
      </w:r>
      <w:r w:rsidRPr="002F227B">
        <w:rPr>
          <w:rFonts w:ascii="Times New Roman" w:hAnsi="Times New Roman" w:cs="Times New Roman"/>
        </w:rPr>
        <w:t>, Federal Trade Commission Docket No. 9396, ¶ 4. In that complaint, the Federal Trade Commission discussed the loss of competition that would have allegedly resulted from a proposed hospital merger and the effect of increased hospital prices on consumers: “Commercial insurers will have to pass on at least some of those higher healthcare costs to employers and their insurance plan members in the form of increased premiums, co-pays, deductibles, and other out-of-pocket expenses. ‘Self-insured’ employers that pay the cost of their employees’ healthcare claims directly will bear the full and immediate burden of higher reimbursement rates and other less favorable terms.”</w:t>
      </w:r>
    </w:p>
  </w:footnote>
  <w:footnote w:id="250">
    <w:p w14:paraId="4B8E55C7" w14:textId="72200D1F"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sidDel="00A62572">
        <w:rPr>
          <w:rFonts w:ascii="Times New Roman" w:hAnsi="Times New Roman" w:cs="Times New Roman"/>
        </w:rPr>
        <w:t xml:space="preserve"> </w:t>
      </w:r>
      <w:r w:rsidRPr="002F227B">
        <w:rPr>
          <w:rFonts w:ascii="Times New Roman" w:hAnsi="Times New Roman" w:cs="Times New Roman"/>
        </w:rPr>
        <w:t>Kaiser Family Foundation, “Employer Health Benefits: 2021 Annual Survey,</w:t>
      </w:r>
      <w:r w:rsidRPr="002F227B">
        <w:rPr>
          <w:rFonts w:ascii="Times New Roman" w:hAnsi="Times New Roman" w:cs="Times New Roman"/>
          <w:iCs/>
        </w:rPr>
        <w:t>”</w:t>
      </w:r>
      <w:r w:rsidRPr="002F227B">
        <w:rPr>
          <w:rFonts w:ascii="Times New Roman" w:hAnsi="Times New Roman" w:cs="Times New Roman"/>
        </w:rPr>
        <w:t xml:space="preserve"> Figure 10.1, </w:t>
      </w:r>
      <w:r w:rsidRPr="002F227B">
        <w:rPr>
          <w:rFonts w:ascii="Times New Roman" w:hAnsi="Times New Roman" w:cs="Times New Roman"/>
          <w:i/>
        </w:rPr>
        <w:t>available at</w:t>
      </w:r>
      <w:r w:rsidRPr="002F227B">
        <w:rPr>
          <w:rFonts w:ascii="Times New Roman" w:hAnsi="Times New Roman" w:cs="Times New Roman"/>
        </w:rPr>
        <w:t xml:space="preserve"> https://files.kff.org/attachment/Report-Employer-Health-Benefits-2021-Annual-Survey.pdf.</w:t>
      </w:r>
    </w:p>
  </w:footnote>
  <w:footnote w:id="251">
    <w:p w14:paraId="2450E3DC" w14:textId="64CA9093"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w:t>
      </w:r>
      <w:r w:rsidRPr="002F227B">
        <w:rPr>
          <w:rFonts w:ascii="Times New Roman" w:hAnsi="Times New Roman" w:cs="Times New Roman"/>
          <w:i/>
          <w:iCs/>
        </w:rPr>
        <w:t xml:space="preserve">See </w:t>
      </w:r>
      <w:r w:rsidRPr="002F227B">
        <w:rPr>
          <w:rFonts w:ascii="Times New Roman" w:hAnsi="Times New Roman" w:cs="Times New Roman"/>
        </w:rPr>
        <w:t xml:space="preserve">Peter R. Kongstvedt (ed.). </w:t>
      </w:r>
      <w:r w:rsidRPr="002F227B">
        <w:rPr>
          <w:rFonts w:ascii="Times New Roman" w:hAnsi="Times New Roman" w:cs="Times New Roman"/>
          <w:i/>
          <w:iCs/>
        </w:rPr>
        <w:t xml:space="preserve">The Managed Health Care Handbook, </w:t>
      </w:r>
      <w:r w:rsidRPr="002F227B">
        <w:rPr>
          <w:rFonts w:ascii="Times New Roman" w:hAnsi="Times New Roman" w:cs="Times New Roman"/>
        </w:rPr>
        <w:t>Fourth Edition. Gaithersburg, Aspen Publishers (2001), Chapter 49.</w:t>
      </w:r>
    </w:p>
  </w:footnote>
  <w:footnote w:id="252">
    <w:p w14:paraId="4E422638" w14:textId="5FE0D075"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Centers for Medicare and Medicaid Services. National Health Expenditure Accounts, Table 20, </w:t>
      </w:r>
      <w:r w:rsidRPr="002F227B">
        <w:rPr>
          <w:rFonts w:ascii="Times New Roman" w:hAnsi="Times New Roman" w:cs="Times New Roman"/>
          <w:i/>
        </w:rPr>
        <w:t xml:space="preserve">available at </w:t>
      </w:r>
      <w:r w:rsidRPr="002F227B">
        <w:rPr>
          <w:rFonts w:ascii="Times New Roman" w:hAnsi="Times New Roman" w:cs="Times New Roman"/>
        </w:rPr>
        <w:t>https://www.cms.gov/files/zip/nhe-tables.zip.</w:t>
      </w:r>
    </w:p>
  </w:footnote>
  <w:footnote w:id="253">
    <w:p w14:paraId="37E0E74C" w14:textId="473A33DE"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Jonathan T. Kolstad and Amanda E. Kowalski. “Mandate-based health reform and the labor market: Evidence from the Massachusetts reform.” </w:t>
      </w:r>
      <w:r w:rsidRPr="002F227B">
        <w:rPr>
          <w:rFonts w:ascii="Times New Roman" w:hAnsi="Times New Roman" w:cs="Times New Roman"/>
          <w:i/>
        </w:rPr>
        <w:t>Journal of Health Economics</w:t>
      </w:r>
      <w:r w:rsidRPr="002F227B">
        <w:rPr>
          <w:rFonts w:ascii="Times New Roman" w:hAnsi="Times New Roman" w:cs="Times New Roman"/>
        </w:rPr>
        <w:t xml:space="preserve"> (2016). </w:t>
      </w:r>
    </w:p>
  </w:footnote>
  <w:footnote w:id="254">
    <w:p w14:paraId="39C8DDE7" w14:textId="7777777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Priyanka Anand. “Health Insurance Costs and Employee Compensation: Evidence from the National Compensation Survey.” </w:t>
      </w:r>
      <w:r w:rsidRPr="002F227B">
        <w:rPr>
          <w:rFonts w:ascii="Times New Roman" w:hAnsi="Times New Roman" w:cs="Times New Roman"/>
          <w:i/>
        </w:rPr>
        <w:t>Health Economics</w:t>
      </w:r>
      <w:r w:rsidRPr="002F227B">
        <w:rPr>
          <w:rFonts w:ascii="Times New Roman" w:hAnsi="Times New Roman" w:cs="Times New Roman"/>
        </w:rPr>
        <w:t xml:space="preserve"> (2017). </w:t>
      </w:r>
    </w:p>
  </w:footnote>
  <w:footnote w:id="255">
    <w:p w14:paraId="55291850" w14:textId="6CB7F398"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Katherine Baicker and Amitabh Chandra. “The Labor Market Effects of Rising Health Insurance Premiums.” </w:t>
      </w:r>
      <w:r w:rsidRPr="002F227B">
        <w:rPr>
          <w:rFonts w:ascii="Times New Roman" w:hAnsi="Times New Roman" w:cs="Times New Roman"/>
          <w:i/>
        </w:rPr>
        <w:t>Journal of Labor Economics</w:t>
      </w:r>
      <w:r w:rsidRPr="002F227B">
        <w:rPr>
          <w:rFonts w:ascii="Times New Roman" w:hAnsi="Times New Roman" w:cs="Times New Roman"/>
        </w:rPr>
        <w:t xml:space="preserve"> (2006). </w:t>
      </w:r>
    </w:p>
  </w:footnote>
  <w:footnote w:id="256">
    <w:p w14:paraId="621653F4" w14:textId="77777777"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Jonathan Gruber. “The Incidence of Mandated Maternity Benefits.” </w:t>
      </w:r>
      <w:r w:rsidRPr="002F227B">
        <w:rPr>
          <w:rFonts w:ascii="Times New Roman" w:hAnsi="Times New Roman" w:cs="Times New Roman"/>
          <w:i/>
        </w:rPr>
        <w:t xml:space="preserve">American Economic Review </w:t>
      </w:r>
      <w:r w:rsidRPr="002F227B">
        <w:rPr>
          <w:rFonts w:ascii="Times New Roman" w:hAnsi="Times New Roman" w:cs="Times New Roman"/>
        </w:rPr>
        <w:t>(1994).</w:t>
      </w:r>
    </w:p>
  </w:footnote>
  <w:footnote w:id="257">
    <w:p w14:paraId="5F4DB9E8" w14:textId="3C251A2C"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Matthew Rae, Rebecca Copeland, and Cynthia Cox. “Tracking the rise in premium contributions and cost-sharing for families with large employer coverage,” Peterson-KFF Health System Tracker (2019), </w:t>
      </w:r>
      <w:r w:rsidRPr="002F227B">
        <w:rPr>
          <w:rFonts w:ascii="Times New Roman" w:hAnsi="Times New Roman" w:cs="Times New Roman"/>
          <w:i/>
        </w:rPr>
        <w:t>available at</w:t>
      </w:r>
      <w:r w:rsidRPr="002F227B">
        <w:rPr>
          <w:rFonts w:ascii="Times New Roman" w:hAnsi="Times New Roman" w:cs="Times New Roman"/>
        </w:rPr>
        <w:t xml:space="preserve"> https://www.healthsystemtracker.org/brief/tracking-the-rise-in-premium-contributions-and-cost-sharing-for-families-with-large-employer-coverage. </w:t>
      </w:r>
    </w:p>
  </w:footnote>
  <w:footnote w:id="258">
    <w:p w14:paraId="749DEA7B" w14:textId="5824DE03"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Bureau of Labor Statistics National Compensation Survey. “</w:t>
      </w:r>
      <w:r w:rsidRPr="002F227B">
        <w:rPr>
          <w:rFonts w:ascii="Times New Roman" w:hAnsi="Times New Roman" w:cs="Times New Roman"/>
          <w:shd w:val="clear" w:color="auto" w:fill="FFFFFF"/>
        </w:rPr>
        <w:t xml:space="preserve">Table 4. Medical plans: Share of premiums paid by employer and employee for family coverage,” (March 2021), </w:t>
      </w:r>
      <w:r w:rsidRPr="002F227B">
        <w:rPr>
          <w:rFonts w:ascii="Times New Roman" w:hAnsi="Times New Roman" w:cs="Times New Roman"/>
          <w:i/>
          <w:shd w:val="clear" w:color="auto" w:fill="FFFFFF"/>
        </w:rPr>
        <w:t xml:space="preserve">available at </w:t>
      </w:r>
      <w:r w:rsidRPr="002F227B">
        <w:rPr>
          <w:rFonts w:ascii="Times New Roman" w:hAnsi="Times New Roman" w:cs="Times New Roman"/>
        </w:rPr>
        <w:t>https://www.bls.gov/news.release/ebs2.t04.htm</w:t>
      </w:r>
      <w:r w:rsidRPr="002F227B">
        <w:rPr>
          <w:rFonts w:ascii="Times New Roman" w:hAnsi="Times New Roman" w:cs="Times New Roman"/>
          <w:shd w:val="clear" w:color="auto" w:fill="FFFFFF"/>
        </w:rPr>
        <w:t xml:space="preserve">; </w:t>
      </w:r>
      <w:r w:rsidRPr="002F227B">
        <w:rPr>
          <w:rFonts w:ascii="Times New Roman" w:hAnsi="Times New Roman" w:cs="Times New Roman"/>
        </w:rPr>
        <w:t>Bureau of Labor Statistics National Compensation Survey. “</w:t>
      </w:r>
      <w:r w:rsidRPr="002F227B">
        <w:rPr>
          <w:rFonts w:ascii="Times New Roman" w:eastAsia="Times-Roman" w:hAnsi="Times New Roman" w:cs="Times New Roman"/>
        </w:rPr>
        <w:t xml:space="preserve">Table 3. Medical plans: Share of premiums paid by employer and employee for single coverage,” (March 2021), </w:t>
      </w:r>
      <w:r w:rsidRPr="002F227B">
        <w:rPr>
          <w:rFonts w:ascii="Times New Roman" w:eastAsia="Times-Roman" w:hAnsi="Times New Roman" w:cs="Times New Roman"/>
          <w:i/>
        </w:rPr>
        <w:t>available at</w:t>
      </w:r>
      <w:r w:rsidRPr="002F227B">
        <w:rPr>
          <w:rFonts w:ascii="Times New Roman" w:hAnsi="Times New Roman" w:cs="Times New Roman"/>
        </w:rPr>
        <w:t xml:space="preserve"> https://www.bls.gov/news.release/ebs2.t03.htm. </w:t>
      </w:r>
    </w:p>
  </w:footnote>
  <w:footnote w:id="259">
    <w:p w14:paraId="253E3327" w14:textId="5556398B" w:rsidR="00CF3141" w:rsidRPr="002F227B" w:rsidRDefault="00CF3141" w:rsidP="00335D93">
      <w:pPr>
        <w:pStyle w:val="FootnoteText"/>
        <w:rPr>
          <w:rFonts w:ascii="Times New Roman" w:hAnsi="Times New Roman" w:cs="Times New Roman"/>
        </w:rPr>
      </w:pPr>
      <w:r w:rsidRPr="002F227B">
        <w:rPr>
          <w:rStyle w:val="FootnoteReference"/>
          <w:rFonts w:ascii="Times New Roman" w:hAnsi="Times New Roman" w:cs="Times New Roman"/>
        </w:rPr>
        <w:footnoteRef/>
      </w:r>
      <w:r w:rsidRPr="002F227B">
        <w:rPr>
          <w:rFonts w:ascii="Times New Roman" w:hAnsi="Times New Roman" w:cs="Times New Roman"/>
        </w:rPr>
        <w:t xml:space="preserve"> To calculate the changes in expenditures across all service lines reported in Figure MGH31, we weight the expenditure impact for each service line by the total allowed amounts for that service line. We calculate these allowed amounts using the APCD and Medicare Claims data for patients residing in eastern Massachusetts. These weights are used to measure the contribution of each service line to the total cost impact of the proposed project</w:t>
      </w:r>
      <w:r>
        <w:rPr>
          <w:rFonts w:ascii="Times New Roman" w:hAnsi="Times New Roman" w:cs="Times New Roman"/>
        </w:rPr>
        <w:t xml:space="preserve"> in order t</w:t>
      </w:r>
      <w:r w:rsidRPr="002F227B">
        <w:rPr>
          <w:rFonts w:ascii="Times New Roman" w:hAnsi="Times New Roman" w:cs="Times New Roman"/>
        </w:rPr>
        <w:t>o give more weight to the cost impact associated with service lines with higher health care expenditures and less weight to service lines with lower health care expenditures.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8AA8E" w14:textId="77777777" w:rsidR="00CF3141" w:rsidRDefault="00CF31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5A708" w14:textId="206F5090" w:rsidR="00CF3141" w:rsidRDefault="00CF3141">
    <w:pPr>
      <w:pStyle w:val="Header"/>
    </w:pPr>
    <w:r>
      <w:rPr>
        <w:noProof/>
      </w:rPr>
      <w:drawing>
        <wp:inline distT="0" distB="0" distL="0" distR="0" wp14:anchorId="7AB4ED72" wp14:editId="281ACD76">
          <wp:extent cx="1771650" cy="323850"/>
          <wp:effectExtent l="0" t="0" r="0" b="0"/>
          <wp:docPr id="43" name="Picture 43" descr="Charles River Associa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Charles River Associat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323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19FF3" w14:textId="77777777" w:rsidR="00CF3141" w:rsidRDefault="00CF31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DB6AB" w14:textId="77777777" w:rsidR="00CF3141" w:rsidRDefault="00CF314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95132" w14:textId="448FD8B7" w:rsidR="00CF3141" w:rsidRDefault="00CF31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AF20CC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018A840C"/>
    <w:lvl w:ilvl="0">
      <w:start w:val="1"/>
      <w:numFmt w:val="bullet"/>
      <w:pStyle w:val="ListBullet"/>
      <w:lvlText w:val=""/>
      <w:lvlJc w:val="left"/>
      <w:pPr>
        <w:tabs>
          <w:tab w:val="num" w:pos="360"/>
        </w:tabs>
        <w:ind w:left="360" w:hanging="360"/>
      </w:pPr>
      <w:rPr>
        <w:rFonts w:ascii="SimSun" w:hAnsi="SimSun" w:hint="default"/>
      </w:rPr>
    </w:lvl>
  </w:abstractNum>
  <w:abstractNum w:abstractNumId="2" w15:restartNumberingAfterBreak="0">
    <w:nsid w:val="FFFFFFFB"/>
    <w:multiLevelType w:val="multilevel"/>
    <w:tmpl w:val="60BEED90"/>
    <w:lvl w:ilvl="0">
      <w:start w:val="1"/>
      <w:numFmt w:val="upperRoman"/>
      <w:pStyle w:val="Heading1"/>
      <w:lvlText w:val="%1."/>
      <w:lvlJc w:val="right"/>
      <w:pPr>
        <w:ind w:left="372" w:hanging="360"/>
      </w:pPr>
    </w:lvl>
    <w:lvl w:ilvl="1">
      <w:start w:val="1"/>
      <w:numFmt w:val="decimal"/>
      <w:lvlText w:val="%1.%2."/>
      <w:legacy w:legacy="1" w:legacySpace="0" w:legacyIndent="708"/>
      <w:lvlJc w:val="left"/>
      <w:pPr>
        <w:ind w:left="720" w:hanging="708"/>
      </w:pPr>
    </w:lvl>
    <w:lvl w:ilvl="2">
      <w:start w:val="1"/>
      <w:numFmt w:val="decimal"/>
      <w:lvlText w:val="%1.%2.%3."/>
      <w:legacy w:legacy="1" w:legacySpace="0" w:legacyIndent="708"/>
      <w:lvlJc w:val="left"/>
      <w:pPr>
        <w:ind w:left="720" w:hanging="708"/>
      </w:pPr>
    </w:lvl>
    <w:lvl w:ilvl="3">
      <w:start w:val="1"/>
      <w:numFmt w:val="none"/>
      <w:suff w:val="nothing"/>
      <w:lvlText w:val=""/>
      <w:lvlJc w:val="left"/>
      <w:pPr>
        <w:ind w:left="1440" w:hanging="708"/>
      </w:pPr>
    </w:lvl>
    <w:lvl w:ilvl="4">
      <w:start w:val="1"/>
      <w:numFmt w:val="decimal"/>
      <w:pStyle w:val="Heading5"/>
      <w:lvlText w:val="%5."/>
      <w:legacy w:legacy="1" w:legacySpace="0" w:legacyIndent="708"/>
      <w:lvlJc w:val="left"/>
      <w:pPr>
        <w:ind w:left="3540" w:hanging="708"/>
      </w:pPr>
    </w:lvl>
    <w:lvl w:ilvl="5">
      <w:start w:val="1"/>
      <w:numFmt w:val="decimal"/>
      <w:pStyle w:val="Heading6"/>
      <w:lvlText w:val="%5.%6."/>
      <w:legacy w:legacy="1" w:legacySpace="0" w:legacyIndent="708"/>
      <w:lvlJc w:val="left"/>
      <w:pPr>
        <w:ind w:left="4248" w:hanging="708"/>
      </w:pPr>
    </w:lvl>
    <w:lvl w:ilvl="6">
      <w:start w:val="1"/>
      <w:numFmt w:val="decimal"/>
      <w:pStyle w:val="Heading7"/>
      <w:lvlText w:val="%5.%6.%7."/>
      <w:legacy w:legacy="1" w:legacySpace="0" w:legacyIndent="708"/>
      <w:lvlJc w:val="left"/>
      <w:pPr>
        <w:ind w:left="4956" w:hanging="708"/>
      </w:pPr>
    </w:lvl>
    <w:lvl w:ilvl="7">
      <w:start w:val="1"/>
      <w:numFmt w:val="decimal"/>
      <w:pStyle w:val="Heading8"/>
      <w:lvlText w:val="%5.%6.%7.%8."/>
      <w:legacy w:legacy="1" w:legacySpace="0" w:legacyIndent="708"/>
      <w:lvlJc w:val="left"/>
      <w:pPr>
        <w:ind w:left="5664" w:hanging="708"/>
      </w:pPr>
    </w:lvl>
    <w:lvl w:ilvl="8">
      <w:start w:val="1"/>
      <w:numFmt w:val="decimal"/>
      <w:pStyle w:val="Heading9"/>
      <w:lvlText w:val="%5.%6.%7.%8.%9."/>
      <w:legacy w:legacy="1" w:legacySpace="0" w:legacyIndent="708"/>
      <w:lvlJc w:val="left"/>
      <w:pPr>
        <w:ind w:left="6372" w:hanging="708"/>
      </w:pPr>
    </w:lvl>
  </w:abstractNum>
  <w:abstractNum w:abstractNumId="3" w15:restartNumberingAfterBreak="0">
    <w:nsid w:val="01DE4A15"/>
    <w:multiLevelType w:val="hybridMultilevel"/>
    <w:tmpl w:val="BB16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A68CC"/>
    <w:multiLevelType w:val="hybridMultilevel"/>
    <w:tmpl w:val="8F6CBC16"/>
    <w:lvl w:ilvl="0" w:tplc="5582E27E">
      <w:start w:val="1"/>
      <w:numFmt w:val="decimal"/>
      <w:pStyle w:val="BodyText"/>
      <w:lvlText w:val="%1."/>
      <w:lvlJc w:val="left"/>
      <w:pPr>
        <w:tabs>
          <w:tab w:val="num" w:pos="720"/>
        </w:tabs>
        <w:ind w:left="0" w:firstLine="360"/>
      </w:pPr>
      <w:rPr>
        <w:rFonts w:hint="default"/>
      </w:rPr>
    </w:lvl>
    <w:lvl w:ilvl="1" w:tplc="BB0078BC">
      <w:start w:val="1"/>
      <w:numFmt w:val="lowerLetter"/>
      <w:lvlText w:val="%2."/>
      <w:lvlJc w:val="left"/>
      <w:pPr>
        <w:tabs>
          <w:tab w:val="num" w:pos="1440"/>
        </w:tabs>
        <w:ind w:left="1440" w:hanging="360"/>
      </w:pPr>
    </w:lvl>
    <w:lvl w:ilvl="2" w:tplc="2F1E1FFE">
      <w:start w:val="2"/>
      <w:numFmt w:val="lowerLetter"/>
      <w:lvlText w:val="(%3)"/>
      <w:lvlJc w:val="left"/>
      <w:pPr>
        <w:tabs>
          <w:tab w:val="num" w:pos="2340"/>
        </w:tabs>
        <w:ind w:left="2340" w:hanging="360"/>
      </w:pPr>
      <w:rPr>
        <w:rFonts w:hint="default"/>
      </w:rPr>
    </w:lvl>
    <w:lvl w:ilvl="3" w:tplc="C24A4930">
      <w:start w:val="1"/>
      <w:numFmt w:val="decimal"/>
      <w:lvlText w:val="%4."/>
      <w:lvlJc w:val="left"/>
      <w:pPr>
        <w:tabs>
          <w:tab w:val="num" w:pos="2880"/>
        </w:tabs>
        <w:ind w:left="2880" w:hanging="360"/>
      </w:pPr>
    </w:lvl>
    <w:lvl w:ilvl="4" w:tplc="20EECCFE">
      <w:start w:val="1"/>
      <w:numFmt w:val="lowerLetter"/>
      <w:lvlText w:val="%5."/>
      <w:lvlJc w:val="left"/>
      <w:pPr>
        <w:tabs>
          <w:tab w:val="num" w:pos="3600"/>
        </w:tabs>
        <w:ind w:left="3600" w:hanging="360"/>
      </w:pPr>
    </w:lvl>
    <w:lvl w:ilvl="5" w:tplc="AE9E7848">
      <w:start w:val="1"/>
      <w:numFmt w:val="lowerRoman"/>
      <w:lvlText w:val="%6."/>
      <w:lvlJc w:val="right"/>
      <w:pPr>
        <w:tabs>
          <w:tab w:val="num" w:pos="4320"/>
        </w:tabs>
        <w:ind w:left="4320" w:hanging="180"/>
      </w:pPr>
    </w:lvl>
    <w:lvl w:ilvl="6" w:tplc="DACA3AB6" w:tentative="1">
      <w:start w:val="1"/>
      <w:numFmt w:val="decimal"/>
      <w:lvlText w:val="%7."/>
      <w:lvlJc w:val="left"/>
      <w:pPr>
        <w:tabs>
          <w:tab w:val="num" w:pos="5040"/>
        </w:tabs>
        <w:ind w:left="5040" w:hanging="360"/>
      </w:pPr>
    </w:lvl>
    <w:lvl w:ilvl="7" w:tplc="D9C284DE" w:tentative="1">
      <w:start w:val="1"/>
      <w:numFmt w:val="lowerLetter"/>
      <w:lvlText w:val="%8."/>
      <w:lvlJc w:val="left"/>
      <w:pPr>
        <w:tabs>
          <w:tab w:val="num" w:pos="5760"/>
        </w:tabs>
        <w:ind w:left="5760" w:hanging="360"/>
      </w:pPr>
    </w:lvl>
    <w:lvl w:ilvl="8" w:tplc="D96C96B4" w:tentative="1">
      <w:start w:val="1"/>
      <w:numFmt w:val="lowerRoman"/>
      <w:lvlText w:val="%9."/>
      <w:lvlJc w:val="right"/>
      <w:pPr>
        <w:tabs>
          <w:tab w:val="num" w:pos="6480"/>
        </w:tabs>
        <w:ind w:left="6480" w:hanging="180"/>
      </w:pPr>
    </w:lvl>
  </w:abstractNum>
  <w:abstractNum w:abstractNumId="5" w15:restartNumberingAfterBreak="0">
    <w:nsid w:val="0C316148"/>
    <w:multiLevelType w:val="hybridMultilevel"/>
    <w:tmpl w:val="8542B9CA"/>
    <w:lvl w:ilvl="0" w:tplc="05421F18">
      <w:start w:val="1"/>
      <w:numFmt w:val="decimal"/>
      <w:pStyle w:val="AppendixParagraphs"/>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03436"/>
    <w:multiLevelType w:val="hybridMultilevel"/>
    <w:tmpl w:val="7AC6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ambria Math" w:hAnsi="Cambria Math" w:cs="Cambria Math" w:hint="default"/>
      </w:rPr>
    </w:lvl>
    <w:lvl w:ilvl="2" w:tplc="04090005" w:tentative="1">
      <w:start w:val="1"/>
      <w:numFmt w:val="bullet"/>
      <w:lvlText w:val=""/>
      <w:lvlJc w:val="left"/>
      <w:pPr>
        <w:ind w:left="2160" w:hanging="360"/>
      </w:pPr>
      <w:rPr>
        <w:rFonts w:ascii="Verdana" w:hAnsi="Verdana" w:hint="default"/>
      </w:rPr>
    </w:lvl>
    <w:lvl w:ilvl="3" w:tplc="04090001" w:tentative="1">
      <w:start w:val="1"/>
      <w:numFmt w:val="bullet"/>
      <w:lvlText w:val=""/>
      <w:lvlJc w:val="left"/>
      <w:pPr>
        <w:ind w:left="2880" w:hanging="360"/>
      </w:pPr>
      <w:rPr>
        <w:rFonts w:ascii="SimSun" w:hAnsi="SimSun" w:hint="default"/>
      </w:rPr>
    </w:lvl>
    <w:lvl w:ilvl="4" w:tplc="04090003" w:tentative="1">
      <w:start w:val="1"/>
      <w:numFmt w:val="bullet"/>
      <w:lvlText w:val="o"/>
      <w:lvlJc w:val="left"/>
      <w:pPr>
        <w:ind w:left="3600" w:hanging="360"/>
      </w:pPr>
      <w:rPr>
        <w:rFonts w:ascii="Cambria Math" w:hAnsi="Cambria Math" w:cs="Cambria Math" w:hint="default"/>
      </w:rPr>
    </w:lvl>
    <w:lvl w:ilvl="5" w:tplc="04090005" w:tentative="1">
      <w:start w:val="1"/>
      <w:numFmt w:val="bullet"/>
      <w:lvlText w:val=""/>
      <w:lvlJc w:val="left"/>
      <w:pPr>
        <w:ind w:left="4320" w:hanging="360"/>
      </w:pPr>
      <w:rPr>
        <w:rFonts w:ascii="Verdana" w:hAnsi="Verdana" w:hint="default"/>
      </w:rPr>
    </w:lvl>
    <w:lvl w:ilvl="6" w:tplc="04090001" w:tentative="1">
      <w:start w:val="1"/>
      <w:numFmt w:val="bullet"/>
      <w:lvlText w:val=""/>
      <w:lvlJc w:val="left"/>
      <w:pPr>
        <w:ind w:left="5040" w:hanging="360"/>
      </w:pPr>
      <w:rPr>
        <w:rFonts w:ascii="SimSun" w:hAnsi="SimSun" w:hint="default"/>
      </w:rPr>
    </w:lvl>
    <w:lvl w:ilvl="7" w:tplc="04090003" w:tentative="1">
      <w:start w:val="1"/>
      <w:numFmt w:val="bullet"/>
      <w:lvlText w:val="o"/>
      <w:lvlJc w:val="left"/>
      <w:pPr>
        <w:ind w:left="5760" w:hanging="360"/>
      </w:pPr>
      <w:rPr>
        <w:rFonts w:ascii="Cambria Math" w:hAnsi="Cambria Math" w:cs="Cambria Math" w:hint="default"/>
      </w:rPr>
    </w:lvl>
    <w:lvl w:ilvl="8" w:tplc="04090005" w:tentative="1">
      <w:start w:val="1"/>
      <w:numFmt w:val="bullet"/>
      <w:lvlText w:val=""/>
      <w:lvlJc w:val="left"/>
      <w:pPr>
        <w:ind w:left="6480" w:hanging="360"/>
      </w:pPr>
      <w:rPr>
        <w:rFonts w:ascii="Verdana" w:hAnsi="Verdana" w:hint="default"/>
      </w:rPr>
    </w:lvl>
  </w:abstractNum>
  <w:abstractNum w:abstractNumId="7" w15:restartNumberingAfterBreak="0">
    <w:nsid w:val="199812A3"/>
    <w:multiLevelType w:val="hybridMultilevel"/>
    <w:tmpl w:val="465A7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ambria Math" w:hAnsi="Cambria Math" w:cs="Cambria Math" w:hint="default"/>
      </w:rPr>
    </w:lvl>
    <w:lvl w:ilvl="2" w:tplc="04090005" w:tentative="1">
      <w:start w:val="1"/>
      <w:numFmt w:val="bullet"/>
      <w:lvlText w:val=""/>
      <w:lvlJc w:val="left"/>
      <w:pPr>
        <w:ind w:left="2160" w:hanging="360"/>
      </w:pPr>
      <w:rPr>
        <w:rFonts w:ascii="Verdana" w:hAnsi="Verdana" w:hint="default"/>
      </w:rPr>
    </w:lvl>
    <w:lvl w:ilvl="3" w:tplc="04090001" w:tentative="1">
      <w:start w:val="1"/>
      <w:numFmt w:val="bullet"/>
      <w:lvlText w:val=""/>
      <w:lvlJc w:val="left"/>
      <w:pPr>
        <w:ind w:left="2880" w:hanging="360"/>
      </w:pPr>
      <w:rPr>
        <w:rFonts w:ascii="SimSun" w:hAnsi="SimSun" w:hint="default"/>
      </w:rPr>
    </w:lvl>
    <w:lvl w:ilvl="4" w:tplc="04090003" w:tentative="1">
      <w:start w:val="1"/>
      <w:numFmt w:val="bullet"/>
      <w:lvlText w:val="o"/>
      <w:lvlJc w:val="left"/>
      <w:pPr>
        <w:ind w:left="3600" w:hanging="360"/>
      </w:pPr>
      <w:rPr>
        <w:rFonts w:ascii="Cambria Math" w:hAnsi="Cambria Math" w:cs="Cambria Math" w:hint="default"/>
      </w:rPr>
    </w:lvl>
    <w:lvl w:ilvl="5" w:tplc="04090005" w:tentative="1">
      <w:start w:val="1"/>
      <w:numFmt w:val="bullet"/>
      <w:lvlText w:val=""/>
      <w:lvlJc w:val="left"/>
      <w:pPr>
        <w:ind w:left="4320" w:hanging="360"/>
      </w:pPr>
      <w:rPr>
        <w:rFonts w:ascii="Verdana" w:hAnsi="Verdana" w:hint="default"/>
      </w:rPr>
    </w:lvl>
    <w:lvl w:ilvl="6" w:tplc="04090001" w:tentative="1">
      <w:start w:val="1"/>
      <w:numFmt w:val="bullet"/>
      <w:lvlText w:val=""/>
      <w:lvlJc w:val="left"/>
      <w:pPr>
        <w:ind w:left="5040" w:hanging="360"/>
      </w:pPr>
      <w:rPr>
        <w:rFonts w:ascii="SimSun" w:hAnsi="SimSun" w:hint="default"/>
      </w:rPr>
    </w:lvl>
    <w:lvl w:ilvl="7" w:tplc="04090003" w:tentative="1">
      <w:start w:val="1"/>
      <w:numFmt w:val="bullet"/>
      <w:lvlText w:val="o"/>
      <w:lvlJc w:val="left"/>
      <w:pPr>
        <w:ind w:left="5760" w:hanging="360"/>
      </w:pPr>
      <w:rPr>
        <w:rFonts w:ascii="Cambria Math" w:hAnsi="Cambria Math" w:cs="Cambria Math" w:hint="default"/>
      </w:rPr>
    </w:lvl>
    <w:lvl w:ilvl="8" w:tplc="04090005" w:tentative="1">
      <w:start w:val="1"/>
      <w:numFmt w:val="bullet"/>
      <w:lvlText w:val=""/>
      <w:lvlJc w:val="left"/>
      <w:pPr>
        <w:ind w:left="6480" w:hanging="360"/>
      </w:pPr>
      <w:rPr>
        <w:rFonts w:ascii="Verdana" w:hAnsi="Verdana" w:hint="default"/>
      </w:rPr>
    </w:lvl>
  </w:abstractNum>
  <w:abstractNum w:abstractNumId="8" w15:restartNumberingAfterBreak="0">
    <w:nsid w:val="1A8B6DF4"/>
    <w:multiLevelType w:val="hybridMultilevel"/>
    <w:tmpl w:val="DE3C522E"/>
    <w:lvl w:ilvl="0" w:tplc="E4AC2F9E">
      <w:start w:val="1"/>
      <w:numFmt w:val="lowerRoman"/>
      <w:pStyle w:val="Heading4"/>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303B715C"/>
    <w:multiLevelType w:val="hybridMultilevel"/>
    <w:tmpl w:val="569AE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AC595D"/>
    <w:multiLevelType w:val="hybridMultilevel"/>
    <w:tmpl w:val="9C1ECAD0"/>
    <w:lvl w:ilvl="0" w:tplc="137CDD3C">
      <w:start w:val="1"/>
      <w:numFmt w:val="upperLetter"/>
      <w:pStyle w:val="Heading2"/>
      <w:lvlText w:val="%1."/>
      <w:lvlJc w:val="left"/>
      <w:pPr>
        <w:ind w:left="1092" w:hanging="360"/>
      </w:pPr>
    </w:lvl>
    <w:lvl w:ilvl="1" w:tplc="04090019">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1" w15:restartNumberingAfterBreak="0">
    <w:nsid w:val="579F3F33"/>
    <w:multiLevelType w:val="multilevel"/>
    <w:tmpl w:val="D28A9DF6"/>
    <w:name w:val="Default Numbering Scheme"/>
    <w:lvl w:ilvl="0">
      <w:start w:val="1"/>
      <w:numFmt w:val="upperRoman"/>
      <w:lvlText w:val="%1."/>
      <w:lvlJc w:val="left"/>
      <w:pPr>
        <w:tabs>
          <w:tab w:val="num" w:pos="720"/>
        </w:tabs>
        <w:ind w:left="720" w:hanging="720"/>
      </w:pPr>
      <w:rPr>
        <w:color w:val="010000"/>
        <w:u w:val="none"/>
      </w:rPr>
    </w:lvl>
    <w:lvl w:ilvl="1">
      <w:start w:val="1"/>
      <w:numFmt w:val="upperLetter"/>
      <w:lvlText w:val="%2."/>
      <w:lvlJc w:val="left"/>
      <w:pPr>
        <w:tabs>
          <w:tab w:val="num" w:pos="1440"/>
        </w:tabs>
        <w:ind w:left="1440" w:hanging="720"/>
      </w:pPr>
      <w:rPr>
        <w:color w:val="010000"/>
        <w:u w:val="none"/>
      </w:rPr>
    </w:lvl>
    <w:lvl w:ilvl="2">
      <w:start w:val="1"/>
      <w:numFmt w:val="decimal"/>
      <w:lvlText w:val="%3."/>
      <w:lvlJc w:val="left"/>
      <w:pPr>
        <w:tabs>
          <w:tab w:val="num" w:pos="2160"/>
        </w:tabs>
        <w:ind w:left="2160" w:hanging="720"/>
      </w:pPr>
      <w:rPr>
        <w:color w:val="010000"/>
        <w:u w:val="none"/>
      </w:rPr>
    </w:lvl>
    <w:lvl w:ilvl="3">
      <w:start w:val="1"/>
      <w:numFmt w:val="lowerLetter"/>
      <w:lvlText w:val="%4."/>
      <w:lvlJc w:val="left"/>
      <w:pPr>
        <w:tabs>
          <w:tab w:val="num" w:pos="2880"/>
        </w:tabs>
        <w:ind w:left="2880" w:hanging="720"/>
      </w:pPr>
      <w:rPr>
        <w:color w:val="010000"/>
        <w:u w:val="none"/>
      </w:rPr>
    </w:lvl>
    <w:lvl w:ilvl="4">
      <w:start w:val="1"/>
      <w:numFmt w:val="lowerRoman"/>
      <w:lvlText w:val="(%5)"/>
      <w:lvlJc w:val="left"/>
      <w:pPr>
        <w:tabs>
          <w:tab w:val="num" w:pos="3600"/>
        </w:tabs>
        <w:ind w:left="3600" w:hanging="715"/>
      </w:pPr>
      <w:rPr>
        <w:color w:val="010000"/>
        <w:u w:val="none"/>
      </w:rPr>
    </w:lvl>
    <w:lvl w:ilvl="5">
      <w:start w:val="1"/>
      <w:numFmt w:val="lowerLetter"/>
      <w:lvlText w:val="(%6)"/>
      <w:lvlJc w:val="left"/>
      <w:pPr>
        <w:tabs>
          <w:tab w:val="num" w:pos="4325"/>
        </w:tabs>
        <w:ind w:left="4325" w:hanging="720"/>
      </w:pPr>
      <w:rPr>
        <w:color w:val="010000"/>
        <w:u w:val="none"/>
      </w:rPr>
    </w:lvl>
    <w:lvl w:ilvl="6">
      <w:start w:val="1"/>
      <w:numFmt w:val="upperRoman"/>
      <w:lvlText w:val="(%7)"/>
      <w:lvlJc w:val="left"/>
      <w:pPr>
        <w:tabs>
          <w:tab w:val="num" w:pos="5040"/>
        </w:tabs>
        <w:ind w:left="5040" w:hanging="720"/>
      </w:pPr>
      <w:rPr>
        <w:color w:val="010000"/>
        <w:u w:val="none"/>
      </w:rPr>
    </w:lvl>
    <w:lvl w:ilvl="7">
      <w:start w:val="1"/>
      <w:numFmt w:val="upperLetter"/>
      <w:lvlText w:val="(%8)"/>
      <w:lvlJc w:val="left"/>
      <w:pPr>
        <w:tabs>
          <w:tab w:val="num" w:pos="5760"/>
        </w:tabs>
        <w:ind w:left="5760" w:hanging="720"/>
      </w:pPr>
      <w:rPr>
        <w:color w:val="010000"/>
        <w:u w:val="none"/>
      </w:rPr>
    </w:lvl>
    <w:lvl w:ilvl="8">
      <w:start w:val="1"/>
      <w:numFmt w:val="decimal"/>
      <w:lvlText w:val="(%9)"/>
      <w:lvlJc w:val="left"/>
      <w:pPr>
        <w:tabs>
          <w:tab w:val="num" w:pos="6480"/>
        </w:tabs>
        <w:ind w:left="6480" w:hanging="720"/>
      </w:pPr>
      <w:rPr>
        <w:color w:val="010000"/>
        <w:u w:val="none"/>
      </w:rPr>
    </w:lvl>
  </w:abstractNum>
  <w:abstractNum w:abstractNumId="12" w15:restartNumberingAfterBreak="0">
    <w:nsid w:val="57FD602E"/>
    <w:multiLevelType w:val="hybridMultilevel"/>
    <w:tmpl w:val="ABF8C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966D7"/>
    <w:multiLevelType w:val="hybridMultilevel"/>
    <w:tmpl w:val="67C446AE"/>
    <w:lvl w:ilvl="0" w:tplc="E42AC598">
      <w:start w:val="1"/>
      <w:numFmt w:val="decimal"/>
      <w:pStyle w:val="NumberedParagraphs"/>
      <w:lvlText w:val="%1."/>
      <w:lvlJc w:val="left"/>
      <w:pPr>
        <w:ind w:left="360" w:hanging="360"/>
      </w:pPr>
      <w:rPr>
        <w:rFonts w:ascii="Times New Roman" w:hAnsi="Times New Roman" w:cs="Times New Roman" w:hint="default"/>
        <w:sz w:val="24"/>
        <w:szCs w:val="24"/>
        <w:vertAlign w:val="baseline"/>
      </w:rPr>
    </w:lvl>
    <w:lvl w:ilvl="1" w:tplc="04090001">
      <w:start w:val="1"/>
      <w:numFmt w:val="bullet"/>
      <w:lvlText w:val=""/>
      <w:lvlJc w:val="left"/>
      <w:pPr>
        <w:ind w:left="1440" w:hanging="360"/>
      </w:pPr>
      <w:rPr>
        <w:rFonts w:ascii="SimSun" w:hAnsi="SimSu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B86114"/>
    <w:multiLevelType w:val="hybridMultilevel"/>
    <w:tmpl w:val="0494137E"/>
    <w:lvl w:ilvl="0" w:tplc="CF6851D4">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0C06BD"/>
    <w:multiLevelType w:val="hybridMultilevel"/>
    <w:tmpl w:val="7A48A93C"/>
    <w:lvl w:ilvl="0" w:tplc="FC26D3BE">
      <w:start w:val="1"/>
      <w:numFmt w:val="decimal"/>
      <w:pStyle w:val="Heading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E463476"/>
    <w:multiLevelType w:val="hybridMultilevel"/>
    <w:tmpl w:val="11E4A25A"/>
    <w:lvl w:ilvl="0" w:tplc="AF40CEB8">
      <w:start w:val="1"/>
      <w:numFmt w:val="bullet"/>
      <w:pStyle w:val="BulletParagraph"/>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ambria Math" w:hAnsi="Cambria Math" w:cs="Cambria Math" w:hint="default"/>
      </w:rPr>
    </w:lvl>
    <w:lvl w:ilvl="2" w:tplc="04090005" w:tentative="1">
      <w:start w:val="1"/>
      <w:numFmt w:val="bullet"/>
      <w:lvlText w:val=""/>
      <w:lvlJc w:val="left"/>
      <w:pPr>
        <w:ind w:left="2220" w:hanging="360"/>
      </w:pPr>
      <w:rPr>
        <w:rFonts w:ascii="Verdana" w:hAnsi="Verdana" w:hint="default"/>
      </w:rPr>
    </w:lvl>
    <w:lvl w:ilvl="3" w:tplc="04090001" w:tentative="1">
      <w:start w:val="1"/>
      <w:numFmt w:val="bullet"/>
      <w:lvlText w:val=""/>
      <w:lvlJc w:val="left"/>
      <w:pPr>
        <w:ind w:left="2940" w:hanging="360"/>
      </w:pPr>
      <w:rPr>
        <w:rFonts w:ascii="SimSun" w:hAnsi="SimSun" w:hint="default"/>
      </w:rPr>
    </w:lvl>
    <w:lvl w:ilvl="4" w:tplc="04090003" w:tentative="1">
      <w:start w:val="1"/>
      <w:numFmt w:val="bullet"/>
      <w:lvlText w:val="o"/>
      <w:lvlJc w:val="left"/>
      <w:pPr>
        <w:ind w:left="3660" w:hanging="360"/>
      </w:pPr>
      <w:rPr>
        <w:rFonts w:ascii="Cambria Math" w:hAnsi="Cambria Math" w:cs="Cambria Math" w:hint="default"/>
      </w:rPr>
    </w:lvl>
    <w:lvl w:ilvl="5" w:tplc="04090005" w:tentative="1">
      <w:start w:val="1"/>
      <w:numFmt w:val="bullet"/>
      <w:lvlText w:val=""/>
      <w:lvlJc w:val="left"/>
      <w:pPr>
        <w:ind w:left="4380" w:hanging="360"/>
      </w:pPr>
      <w:rPr>
        <w:rFonts w:ascii="Verdana" w:hAnsi="Verdana" w:hint="default"/>
      </w:rPr>
    </w:lvl>
    <w:lvl w:ilvl="6" w:tplc="04090001" w:tentative="1">
      <w:start w:val="1"/>
      <w:numFmt w:val="bullet"/>
      <w:lvlText w:val=""/>
      <w:lvlJc w:val="left"/>
      <w:pPr>
        <w:ind w:left="5100" w:hanging="360"/>
      </w:pPr>
      <w:rPr>
        <w:rFonts w:ascii="SimSun" w:hAnsi="SimSun" w:hint="default"/>
      </w:rPr>
    </w:lvl>
    <w:lvl w:ilvl="7" w:tplc="04090003" w:tentative="1">
      <w:start w:val="1"/>
      <w:numFmt w:val="bullet"/>
      <w:lvlText w:val="o"/>
      <w:lvlJc w:val="left"/>
      <w:pPr>
        <w:ind w:left="5820" w:hanging="360"/>
      </w:pPr>
      <w:rPr>
        <w:rFonts w:ascii="Cambria Math" w:hAnsi="Cambria Math" w:cs="Cambria Math" w:hint="default"/>
      </w:rPr>
    </w:lvl>
    <w:lvl w:ilvl="8" w:tplc="04090005" w:tentative="1">
      <w:start w:val="1"/>
      <w:numFmt w:val="bullet"/>
      <w:lvlText w:val=""/>
      <w:lvlJc w:val="left"/>
      <w:pPr>
        <w:ind w:left="6540" w:hanging="360"/>
      </w:pPr>
      <w:rPr>
        <w:rFonts w:ascii="Verdana" w:hAnsi="Verdana" w:hint="default"/>
      </w:rPr>
    </w:lvl>
  </w:abstractNum>
  <w:num w:numId="1">
    <w:abstractNumId w:val="4"/>
  </w:num>
  <w:num w:numId="2">
    <w:abstractNumId w:val="0"/>
  </w:num>
  <w:num w:numId="3">
    <w:abstractNumId w:val="5"/>
  </w:num>
  <w:num w:numId="4">
    <w:abstractNumId w:val="13"/>
  </w:num>
  <w:num w:numId="5">
    <w:abstractNumId w:val="1"/>
  </w:num>
  <w:num w:numId="6">
    <w:abstractNumId w:val="8"/>
  </w:num>
  <w:num w:numId="7">
    <w:abstractNumId w:val="8"/>
    <w:lvlOverride w:ilvl="0">
      <w:startOverride w:val="1"/>
    </w:lvlOverride>
  </w:num>
  <w:num w:numId="8">
    <w:abstractNumId w:val="2"/>
  </w:num>
  <w:num w:numId="9">
    <w:abstractNumId w:val="7"/>
  </w:num>
  <w:num w:numId="10">
    <w:abstractNumId w:val="15"/>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5"/>
    <w:lvlOverride w:ilvl="0">
      <w:startOverride w:val="1"/>
    </w:lvlOverride>
  </w:num>
  <w:num w:numId="15">
    <w:abstractNumId w:val="8"/>
    <w:lvlOverride w:ilvl="0">
      <w:startOverride w:val="1"/>
    </w:lvlOverride>
  </w:num>
  <w:num w:numId="16">
    <w:abstractNumId w:val="6"/>
  </w:num>
  <w:num w:numId="17">
    <w:abstractNumId w:val="16"/>
  </w:num>
  <w:num w:numId="18">
    <w:abstractNumId w:val="10"/>
    <w:lvlOverride w:ilvl="0">
      <w:startOverride w:val="1"/>
    </w:lvlOverride>
  </w:num>
  <w:num w:numId="19">
    <w:abstractNumId w:val="10"/>
  </w:num>
  <w:num w:numId="20">
    <w:abstractNumId w:val="10"/>
    <w:lvlOverride w:ilvl="0">
      <w:startOverride w:val="1"/>
    </w:lvlOverride>
  </w:num>
  <w:num w:numId="21">
    <w:abstractNumId w:val="10"/>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14"/>
  </w:num>
  <w:num w:numId="27">
    <w:abstractNumId w:val="10"/>
    <w:lvlOverride w:ilvl="0">
      <w:startOverride w:val="1"/>
    </w:lvlOverride>
  </w:num>
  <w:num w:numId="28">
    <w:abstractNumId w:val="15"/>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5"/>
    <w:lvlOverride w:ilvl="0">
      <w:startOverride w:val="1"/>
    </w:lvlOverride>
  </w:num>
  <w:num w:numId="37">
    <w:abstractNumId w:val="15"/>
    <w:lvlOverride w:ilvl="0">
      <w:startOverride w:val="1"/>
    </w:lvlOverride>
  </w:num>
  <w:num w:numId="38">
    <w:abstractNumId w:val="15"/>
    <w:lvlOverride w:ilvl="0">
      <w:startOverride w:val="1"/>
    </w:lvlOverride>
  </w:num>
  <w:num w:numId="39">
    <w:abstractNumId w:val="15"/>
    <w:lvlOverride w:ilvl="0">
      <w:startOverride w:val="1"/>
    </w:lvlOverride>
  </w:num>
  <w:num w:numId="40">
    <w:abstractNumId w:val="15"/>
    <w:lvlOverride w:ilvl="0">
      <w:startOverride w:val="1"/>
    </w:lvlOverride>
  </w:num>
  <w:num w:numId="41">
    <w:abstractNumId w:val="8"/>
    <w:lvlOverride w:ilvl="0">
      <w:startOverride w:val="1"/>
    </w:lvlOverride>
  </w:num>
  <w:num w:numId="42">
    <w:abstractNumId w:val="3"/>
  </w:num>
  <w:num w:numId="43">
    <w:abstractNumId w:val="9"/>
  </w:num>
  <w:num w:numId="44">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nforcement="0"/>
  <w:autoFormatOverride/>
  <w:styleLockTheme/>
  <w:styleLockQFSet/>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65"/>
    <w:rsid w:val="0000006D"/>
    <w:rsid w:val="00000096"/>
    <w:rsid w:val="000000BB"/>
    <w:rsid w:val="00000102"/>
    <w:rsid w:val="00000145"/>
    <w:rsid w:val="000001C1"/>
    <w:rsid w:val="00000243"/>
    <w:rsid w:val="000002A7"/>
    <w:rsid w:val="0000041F"/>
    <w:rsid w:val="00000468"/>
    <w:rsid w:val="000004A6"/>
    <w:rsid w:val="000004C7"/>
    <w:rsid w:val="000004D7"/>
    <w:rsid w:val="000004DC"/>
    <w:rsid w:val="000004FA"/>
    <w:rsid w:val="000005FE"/>
    <w:rsid w:val="0000061E"/>
    <w:rsid w:val="0000066A"/>
    <w:rsid w:val="00000701"/>
    <w:rsid w:val="00000790"/>
    <w:rsid w:val="0000080A"/>
    <w:rsid w:val="000008C2"/>
    <w:rsid w:val="00000995"/>
    <w:rsid w:val="000009E3"/>
    <w:rsid w:val="00000A11"/>
    <w:rsid w:val="00000A77"/>
    <w:rsid w:val="00000B9F"/>
    <w:rsid w:val="00000BB6"/>
    <w:rsid w:val="00000BBC"/>
    <w:rsid w:val="00000BF6"/>
    <w:rsid w:val="00000C30"/>
    <w:rsid w:val="00000C5A"/>
    <w:rsid w:val="00000C6A"/>
    <w:rsid w:val="00000D19"/>
    <w:rsid w:val="00000D4F"/>
    <w:rsid w:val="00000D6C"/>
    <w:rsid w:val="00000DB5"/>
    <w:rsid w:val="00000E10"/>
    <w:rsid w:val="00000E50"/>
    <w:rsid w:val="00000ECC"/>
    <w:rsid w:val="00000F04"/>
    <w:rsid w:val="00000F6A"/>
    <w:rsid w:val="00000FAC"/>
    <w:rsid w:val="00000FB4"/>
    <w:rsid w:val="00000FBF"/>
    <w:rsid w:val="00000FD0"/>
    <w:rsid w:val="00001004"/>
    <w:rsid w:val="00001047"/>
    <w:rsid w:val="00001124"/>
    <w:rsid w:val="00001139"/>
    <w:rsid w:val="0000114F"/>
    <w:rsid w:val="0000118F"/>
    <w:rsid w:val="0000119F"/>
    <w:rsid w:val="000011F5"/>
    <w:rsid w:val="0000120A"/>
    <w:rsid w:val="000012D9"/>
    <w:rsid w:val="000012EC"/>
    <w:rsid w:val="00001340"/>
    <w:rsid w:val="00001375"/>
    <w:rsid w:val="000013B2"/>
    <w:rsid w:val="000013C1"/>
    <w:rsid w:val="000013C4"/>
    <w:rsid w:val="00001491"/>
    <w:rsid w:val="000014B4"/>
    <w:rsid w:val="000014BA"/>
    <w:rsid w:val="000014CB"/>
    <w:rsid w:val="0000154E"/>
    <w:rsid w:val="000015AA"/>
    <w:rsid w:val="0000164B"/>
    <w:rsid w:val="000016A6"/>
    <w:rsid w:val="000016D3"/>
    <w:rsid w:val="0000170E"/>
    <w:rsid w:val="00001809"/>
    <w:rsid w:val="0000180D"/>
    <w:rsid w:val="00001830"/>
    <w:rsid w:val="00001831"/>
    <w:rsid w:val="00001880"/>
    <w:rsid w:val="000018C4"/>
    <w:rsid w:val="000018FD"/>
    <w:rsid w:val="00001911"/>
    <w:rsid w:val="000019ED"/>
    <w:rsid w:val="00001ADA"/>
    <w:rsid w:val="00001B76"/>
    <w:rsid w:val="00001BB6"/>
    <w:rsid w:val="00001C47"/>
    <w:rsid w:val="00001C5D"/>
    <w:rsid w:val="00001CA8"/>
    <w:rsid w:val="00001CD3"/>
    <w:rsid w:val="00001CF6"/>
    <w:rsid w:val="00001D20"/>
    <w:rsid w:val="00001E7B"/>
    <w:rsid w:val="00001EB7"/>
    <w:rsid w:val="00001F0D"/>
    <w:rsid w:val="00001FA4"/>
    <w:rsid w:val="00001FDA"/>
    <w:rsid w:val="00001FDB"/>
    <w:rsid w:val="000020B5"/>
    <w:rsid w:val="000020D3"/>
    <w:rsid w:val="0000225C"/>
    <w:rsid w:val="000022C4"/>
    <w:rsid w:val="00002344"/>
    <w:rsid w:val="00002376"/>
    <w:rsid w:val="00002461"/>
    <w:rsid w:val="00002483"/>
    <w:rsid w:val="000024B4"/>
    <w:rsid w:val="00002517"/>
    <w:rsid w:val="0000252D"/>
    <w:rsid w:val="00002570"/>
    <w:rsid w:val="00002579"/>
    <w:rsid w:val="00002655"/>
    <w:rsid w:val="00002658"/>
    <w:rsid w:val="000026B2"/>
    <w:rsid w:val="000026D3"/>
    <w:rsid w:val="000026EA"/>
    <w:rsid w:val="000026F2"/>
    <w:rsid w:val="000026F4"/>
    <w:rsid w:val="00002707"/>
    <w:rsid w:val="000027D2"/>
    <w:rsid w:val="000027F6"/>
    <w:rsid w:val="00002815"/>
    <w:rsid w:val="0000285D"/>
    <w:rsid w:val="0000287D"/>
    <w:rsid w:val="000028B6"/>
    <w:rsid w:val="000028C9"/>
    <w:rsid w:val="0000290C"/>
    <w:rsid w:val="000029B3"/>
    <w:rsid w:val="00002AC9"/>
    <w:rsid w:val="00002B00"/>
    <w:rsid w:val="00002B38"/>
    <w:rsid w:val="00002B6C"/>
    <w:rsid w:val="00002BB8"/>
    <w:rsid w:val="00002BC4"/>
    <w:rsid w:val="00002C27"/>
    <w:rsid w:val="00002C3D"/>
    <w:rsid w:val="00002C55"/>
    <w:rsid w:val="00002C64"/>
    <w:rsid w:val="00002DC8"/>
    <w:rsid w:val="00002DF8"/>
    <w:rsid w:val="00002F29"/>
    <w:rsid w:val="00002F99"/>
    <w:rsid w:val="00002FDA"/>
    <w:rsid w:val="00003002"/>
    <w:rsid w:val="00003040"/>
    <w:rsid w:val="000030E4"/>
    <w:rsid w:val="00003125"/>
    <w:rsid w:val="0000315C"/>
    <w:rsid w:val="00003162"/>
    <w:rsid w:val="0000319D"/>
    <w:rsid w:val="000031A0"/>
    <w:rsid w:val="000031CD"/>
    <w:rsid w:val="0000326E"/>
    <w:rsid w:val="0000328B"/>
    <w:rsid w:val="000032C9"/>
    <w:rsid w:val="000032DD"/>
    <w:rsid w:val="00003301"/>
    <w:rsid w:val="00003310"/>
    <w:rsid w:val="00003404"/>
    <w:rsid w:val="00003412"/>
    <w:rsid w:val="00003424"/>
    <w:rsid w:val="0000347B"/>
    <w:rsid w:val="0000349A"/>
    <w:rsid w:val="000034A4"/>
    <w:rsid w:val="000034BF"/>
    <w:rsid w:val="000034CA"/>
    <w:rsid w:val="000035DA"/>
    <w:rsid w:val="0000365A"/>
    <w:rsid w:val="0000367A"/>
    <w:rsid w:val="000036B5"/>
    <w:rsid w:val="000036FC"/>
    <w:rsid w:val="00003755"/>
    <w:rsid w:val="0000376D"/>
    <w:rsid w:val="00003773"/>
    <w:rsid w:val="00003796"/>
    <w:rsid w:val="000037CF"/>
    <w:rsid w:val="00003843"/>
    <w:rsid w:val="000038B0"/>
    <w:rsid w:val="000039F6"/>
    <w:rsid w:val="00003A20"/>
    <w:rsid w:val="00003A9F"/>
    <w:rsid w:val="00003ACB"/>
    <w:rsid w:val="00003B4C"/>
    <w:rsid w:val="00003B53"/>
    <w:rsid w:val="00003BE9"/>
    <w:rsid w:val="00003C1F"/>
    <w:rsid w:val="00003C5C"/>
    <w:rsid w:val="00003C6B"/>
    <w:rsid w:val="00003D21"/>
    <w:rsid w:val="00003D92"/>
    <w:rsid w:val="00003DBB"/>
    <w:rsid w:val="00003E0F"/>
    <w:rsid w:val="00003E2C"/>
    <w:rsid w:val="00003E92"/>
    <w:rsid w:val="00003EA8"/>
    <w:rsid w:val="00003EB4"/>
    <w:rsid w:val="00003ECE"/>
    <w:rsid w:val="00003EF0"/>
    <w:rsid w:val="00003F92"/>
    <w:rsid w:val="00003FCE"/>
    <w:rsid w:val="00003FF9"/>
    <w:rsid w:val="0000408C"/>
    <w:rsid w:val="000040A3"/>
    <w:rsid w:val="000040F4"/>
    <w:rsid w:val="0000422F"/>
    <w:rsid w:val="000042AC"/>
    <w:rsid w:val="000042D3"/>
    <w:rsid w:val="0000434E"/>
    <w:rsid w:val="0000439B"/>
    <w:rsid w:val="000043C7"/>
    <w:rsid w:val="0000443F"/>
    <w:rsid w:val="00004462"/>
    <w:rsid w:val="0000449E"/>
    <w:rsid w:val="000044CE"/>
    <w:rsid w:val="000044EA"/>
    <w:rsid w:val="00004526"/>
    <w:rsid w:val="0000456D"/>
    <w:rsid w:val="0000460A"/>
    <w:rsid w:val="0000462C"/>
    <w:rsid w:val="00004684"/>
    <w:rsid w:val="000047B0"/>
    <w:rsid w:val="000047FB"/>
    <w:rsid w:val="000048E8"/>
    <w:rsid w:val="000048F0"/>
    <w:rsid w:val="0000490A"/>
    <w:rsid w:val="000049BD"/>
    <w:rsid w:val="00004A3D"/>
    <w:rsid w:val="00004A41"/>
    <w:rsid w:val="00004B53"/>
    <w:rsid w:val="00004BFD"/>
    <w:rsid w:val="00004C18"/>
    <w:rsid w:val="00004C28"/>
    <w:rsid w:val="00004C65"/>
    <w:rsid w:val="00004C9A"/>
    <w:rsid w:val="00004CC0"/>
    <w:rsid w:val="00004D12"/>
    <w:rsid w:val="00004D51"/>
    <w:rsid w:val="00004D71"/>
    <w:rsid w:val="00004E14"/>
    <w:rsid w:val="00004E32"/>
    <w:rsid w:val="00004E8E"/>
    <w:rsid w:val="00004EBB"/>
    <w:rsid w:val="00004EFD"/>
    <w:rsid w:val="00004F46"/>
    <w:rsid w:val="00004F98"/>
    <w:rsid w:val="00004FF0"/>
    <w:rsid w:val="000050CA"/>
    <w:rsid w:val="00005118"/>
    <w:rsid w:val="00005133"/>
    <w:rsid w:val="0000517E"/>
    <w:rsid w:val="000051BC"/>
    <w:rsid w:val="000051F9"/>
    <w:rsid w:val="00005253"/>
    <w:rsid w:val="000052C4"/>
    <w:rsid w:val="00005300"/>
    <w:rsid w:val="00005331"/>
    <w:rsid w:val="0000535A"/>
    <w:rsid w:val="000053F6"/>
    <w:rsid w:val="00005465"/>
    <w:rsid w:val="0000546E"/>
    <w:rsid w:val="0000557B"/>
    <w:rsid w:val="0000561F"/>
    <w:rsid w:val="00005684"/>
    <w:rsid w:val="00005689"/>
    <w:rsid w:val="000056D5"/>
    <w:rsid w:val="000056D8"/>
    <w:rsid w:val="0000577A"/>
    <w:rsid w:val="00005804"/>
    <w:rsid w:val="000058C5"/>
    <w:rsid w:val="000058EE"/>
    <w:rsid w:val="000059A9"/>
    <w:rsid w:val="000059F4"/>
    <w:rsid w:val="00005A0A"/>
    <w:rsid w:val="00005A29"/>
    <w:rsid w:val="00005A6A"/>
    <w:rsid w:val="00005AF2"/>
    <w:rsid w:val="00005B09"/>
    <w:rsid w:val="00005B0B"/>
    <w:rsid w:val="00005B20"/>
    <w:rsid w:val="00005B7A"/>
    <w:rsid w:val="00005B99"/>
    <w:rsid w:val="00005C4C"/>
    <w:rsid w:val="00005C5C"/>
    <w:rsid w:val="00005C67"/>
    <w:rsid w:val="00005C82"/>
    <w:rsid w:val="00005D3D"/>
    <w:rsid w:val="00005E37"/>
    <w:rsid w:val="00005E40"/>
    <w:rsid w:val="00005E9F"/>
    <w:rsid w:val="00005ED7"/>
    <w:rsid w:val="00005EE1"/>
    <w:rsid w:val="00005EFB"/>
    <w:rsid w:val="00005F61"/>
    <w:rsid w:val="00005FD2"/>
    <w:rsid w:val="00005FE2"/>
    <w:rsid w:val="0000616E"/>
    <w:rsid w:val="000061A6"/>
    <w:rsid w:val="00006218"/>
    <w:rsid w:val="0000622C"/>
    <w:rsid w:val="00006269"/>
    <w:rsid w:val="00006288"/>
    <w:rsid w:val="000062A8"/>
    <w:rsid w:val="000062B8"/>
    <w:rsid w:val="000062E7"/>
    <w:rsid w:val="0000635F"/>
    <w:rsid w:val="00006365"/>
    <w:rsid w:val="00006384"/>
    <w:rsid w:val="000064A2"/>
    <w:rsid w:val="0000650E"/>
    <w:rsid w:val="00006552"/>
    <w:rsid w:val="0000670E"/>
    <w:rsid w:val="00006740"/>
    <w:rsid w:val="00006748"/>
    <w:rsid w:val="00006846"/>
    <w:rsid w:val="00006881"/>
    <w:rsid w:val="000068F9"/>
    <w:rsid w:val="0000695C"/>
    <w:rsid w:val="0000698A"/>
    <w:rsid w:val="00006A21"/>
    <w:rsid w:val="00006AEB"/>
    <w:rsid w:val="00006B09"/>
    <w:rsid w:val="00006B0A"/>
    <w:rsid w:val="00006C27"/>
    <w:rsid w:val="00006C69"/>
    <w:rsid w:val="00006CA1"/>
    <w:rsid w:val="00006CB6"/>
    <w:rsid w:val="00006D48"/>
    <w:rsid w:val="00006D5D"/>
    <w:rsid w:val="00006D5F"/>
    <w:rsid w:val="00006D71"/>
    <w:rsid w:val="00006F15"/>
    <w:rsid w:val="00006F1B"/>
    <w:rsid w:val="00006F58"/>
    <w:rsid w:val="0000712B"/>
    <w:rsid w:val="00007225"/>
    <w:rsid w:val="0000722D"/>
    <w:rsid w:val="00007238"/>
    <w:rsid w:val="00007267"/>
    <w:rsid w:val="000072A2"/>
    <w:rsid w:val="00007316"/>
    <w:rsid w:val="000073DF"/>
    <w:rsid w:val="000073FE"/>
    <w:rsid w:val="00007492"/>
    <w:rsid w:val="000075DD"/>
    <w:rsid w:val="000075E7"/>
    <w:rsid w:val="00007628"/>
    <w:rsid w:val="0000764A"/>
    <w:rsid w:val="0000767A"/>
    <w:rsid w:val="0000769F"/>
    <w:rsid w:val="000076B2"/>
    <w:rsid w:val="000076EC"/>
    <w:rsid w:val="00007705"/>
    <w:rsid w:val="00007708"/>
    <w:rsid w:val="0000777C"/>
    <w:rsid w:val="00007794"/>
    <w:rsid w:val="000077E3"/>
    <w:rsid w:val="0000783F"/>
    <w:rsid w:val="000078BD"/>
    <w:rsid w:val="0000790A"/>
    <w:rsid w:val="0000793D"/>
    <w:rsid w:val="000079D2"/>
    <w:rsid w:val="000079F3"/>
    <w:rsid w:val="000079F9"/>
    <w:rsid w:val="00007A7E"/>
    <w:rsid w:val="00007AD2"/>
    <w:rsid w:val="00007ADF"/>
    <w:rsid w:val="00007B5F"/>
    <w:rsid w:val="00007B7D"/>
    <w:rsid w:val="00007BB3"/>
    <w:rsid w:val="00007BCD"/>
    <w:rsid w:val="00007C12"/>
    <w:rsid w:val="00007CBF"/>
    <w:rsid w:val="00007D23"/>
    <w:rsid w:val="00007DBD"/>
    <w:rsid w:val="00007DC2"/>
    <w:rsid w:val="00007DDF"/>
    <w:rsid w:val="00007FF6"/>
    <w:rsid w:val="00010002"/>
    <w:rsid w:val="0001012B"/>
    <w:rsid w:val="00010198"/>
    <w:rsid w:val="000101E0"/>
    <w:rsid w:val="000101F1"/>
    <w:rsid w:val="0001022D"/>
    <w:rsid w:val="0001026D"/>
    <w:rsid w:val="0001028A"/>
    <w:rsid w:val="000103DE"/>
    <w:rsid w:val="00010456"/>
    <w:rsid w:val="00010465"/>
    <w:rsid w:val="00010480"/>
    <w:rsid w:val="000104AC"/>
    <w:rsid w:val="000104B3"/>
    <w:rsid w:val="000104CA"/>
    <w:rsid w:val="000104FE"/>
    <w:rsid w:val="0001050A"/>
    <w:rsid w:val="000105DB"/>
    <w:rsid w:val="000105E6"/>
    <w:rsid w:val="000105F9"/>
    <w:rsid w:val="0001067A"/>
    <w:rsid w:val="00010692"/>
    <w:rsid w:val="000106A3"/>
    <w:rsid w:val="000106F0"/>
    <w:rsid w:val="000106F8"/>
    <w:rsid w:val="0001076D"/>
    <w:rsid w:val="00010817"/>
    <w:rsid w:val="0001083C"/>
    <w:rsid w:val="00010861"/>
    <w:rsid w:val="0001087D"/>
    <w:rsid w:val="000108B5"/>
    <w:rsid w:val="000108EC"/>
    <w:rsid w:val="00010912"/>
    <w:rsid w:val="0001099F"/>
    <w:rsid w:val="000109D5"/>
    <w:rsid w:val="00010AA5"/>
    <w:rsid w:val="00010AB4"/>
    <w:rsid w:val="00010ABE"/>
    <w:rsid w:val="00010ADB"/>
    <w:rsid w:val="00010B1A"/>
    <w:rsid w:val="00010B30"/>
    <w:rsid w:val="00010B4F"/>
    <w:rsid w:val="00010C1C"/>
    <w:rsid w:val="00010CAF"/>
    <w:rsid w:val="00010D27"/>
    <w:rsid w:val="00010D4C"/>
    <w:rsid w:val="00010E2D"/>
    <w:rsid w:val="00010EAE"/>
    <w:rsid w:val="00010EAF"/>
    <w:rsid w:val="00010EB5"/>
    <w:rsid w:val="00010EDD"/>
    <w:rsid w:val="00010F52"/>
    <w:rsid w:val="00010F99"/>
    <w:rsid w:val="00010FE1"/>
    <w:rsid w:val="0001105B"/>
    <w:rsid w:val="0001105C"/>
    <w:rsid w:val="00011060"/>
    <w:rsid w:val="00011073"/>
    <w:rsid w:val="00011075"/>
    <w:rsid w:val="00011105"/>
    <w:rsid w:val="00011141"/>
    <w:rsid w:val="00011151"/>
    <w:rsid w:val="000111A8"/>
    <w:rsid w:val="000111B7"/>
    <w:rsid w:val="000111F4"/>
    <w:rsid w:val="000111F9"/>
    <w:rsid w:val="000111FC"/>
    <w:rsid w:val="000111FF"/>
    <w:rsid w:val="00011212"/>
    <w:rsid w:val="000112C7"/>
    <w:rsid w:val="000112D2"/>
    <w:rsid w:val="000113DC"/>
    <w:rsid w:val="00011414"/>
    <w:rsid w:val="0001147E"/>
    <w:rsid w:val="00011499"/>
    <w:rsid w:val="00011502"/>
    <w:rsid w:val="00011552"/>
    <w:rsid w:val="00011573"/>
    <w:rsid w:val="000115AC"/>
    <w:rsid w:val="000115C5"/>
    <w:rsid w:val="000115D2"/>
    <w:rsid w:val="000115F1"/>
    <w:rsid w:val="0001170F"/>
    <w:rsid w:val="00011717"/>
    <w:rsid w:val="000117BA"/>
    <w:rsid w:val="000117BD"/>
    <w:rsid w:val="0001182B"/>
    <w:rsid w:val="0001182C"/>
    <w:rsid w:val="0001185E"/>
    <w:rsid w:val="000118EA"/>
    <w:rsid w:val="000118F9"/>
    <w:rsid w:val="0001196B"/>
    <w:rsid w:val="000119F5"/>
    <w:rsid w:val="00011B00"/>
    <w:rsid w:val="00011B24"/>
    <w:rsid w:val="00011B38"/>
    <w:rsid w:val="00011B42"/>
    <w:rsid w:val="00011B95"/>
    <w:rsid w:val="00011BA9"/>
    <w:rsid w:val="00011CAE"/>
    <w:rsid w:val="00011D2C"/>
    <w:rsid w:val="00011D36"/>
    <w:rsid w:val="00011D44"/>
    <w:rsid w:val="00011DA2"/>
    <w:rsid w:val="00011E0C"/>
    <w:rsid w:val="00011E31"/>
    <w:rsid w:val="00011E32"/>
    <w:rsid w:val="00011E5E"/>
    <w:rsid w:val="00011EBD"/>
    <w:rsid w:val="00011F8F"/>
    <w:rsid w:val="00011FC6"/>
    <w:rsid w:val="00011FE7"/>
    <w:rsid w:val="00012029"/>
    <w:rsid w:val="0001205D"/>
    <w:rsid w:val="00012067"/>
    <w:rsid w:val="000120E7"/>
    <w:rsid w:val="000120FC"/>
    <w:rsid w:val="000121CD"/>
    <w:rsid w:val="0001221A"/>
    <w:rsid w:val="0001222C"/>
    <w:rsid w:val="00012240"/>
    <w:rsid w:val="0001225B"/>
    <w:rsid w:val="000122C0"/>
    <w:rsid w:val="00012335"/>
    <w:rsid w:val="0001244C"/>
    <w:rsid w:val="0001246B"/>
    <w:rsid w:val="000125CE"/>
    <w:rsid w:val="000126C2"/>
    <w:rsid w:val="000126F5"/>
    <w:rsid w:val="00012784"/>
    <w:rsid w:val="000127FA"/>
    <w:rsid w:val="0001286D"/>
    <w:rsid w:val="00012898"/>
    <w:rsid w:val="000128D3"/>
    <w:rsid w:val="0001293F"/>
    <w:rsid w:val="00012966"/>
    <w:rsid w:val="00012982"/>
    <w:rsid w:val="00012A29"/>
    <w:rsid w:val="00012A5F"/>
    <w:rsid w:val="00012AAA"/>
    <w:rsid w:val="00012AFC"/>
    <w:rsid w:val="00012B21"/>
    <w:rsid w:val="00012B98"/>
    <w:rsid w:val="00012BC5"/>
    <w:rsid w:val="00012BE5"/>
    <w:rsid w:val="00012BF4"/>
    <w:rsid w:val="00012C25"/>
    <w:rsid w:val="00012C39"/>
    <w:rsid w:val="00012CC3"/>
    <w:rsid w:val="00012D3C"/>
    <w:rsid w:val="00012D72"/>
    <w:rsid w:val="00012DAA"/>
    <w:rsid w:val="00012E1E"/>
    <w:rsid w:val="00012E23"/>
    <w:rsid w:val="00012E32"/>
    <w:rsid w:val="00012EA9"/>
    <w:rsid w:val="00012ED7"/>
    <w:rsid w:val="00012EDE"/>
    <w:rsid w:val="00012EFE"/>
    <w:rsid w:val="00012F25"/>
    <w:rsid w:val="00012F7D"/>
    <w:rsid w:val="00012FA8"/>
    <w:rsid w:val="00012FE4"/>
    <w:rsid w:val="00013016"/>
    <w:rsid w:val="0001307C"/>
    <w:rsid w:val="000130A1"/>
    <w:rsid w:val="000130BE"/>
    <w:rsid w:val="0001313F"/>
    <w:rsid w:val="00013200"/>
    <w:rsid w:val="0001321D"/>
    <w:rsid w:val="00013286"/>
    <w:rsid w:val="000132B0"/>
    <w:rsid w:val="0001331F"/>
    <w:rsid w:val="000133C1"/>
    <w:rsid w:val="000133D2"/>
    <w:rsid w:val="00013426"/>
    <w:rsid w:val="00013442"/>
    <w:rsid w:val="00013446"/>
    <w:rsid w:val="0001346D"/>
    <w:rsid w:val="00013499"/>
    <w:rsid w:val="000134A8"/>
    <w:rsid w:val="000134AE"/>
    <w:rsid w:val="000134B8"/>
    <w:rsid w:val="00013516"/>
    <w:rsid w:val="000135B2"/>
    <w:rsid w:val="000135D6"/>
    <w:rsid w:val="000135EC"/>
    <w:rsid w:val="0001360F"/>
    <w:rsid w:val="00013622"/>
    <w:rsid w:val="00013644"/>
    <w:rsid w:val="00013653"/>
    <w:rsid w:val="0001368C"/>
    <w:rsid w:val="000136AB"/>
    <w:rsid w:val="000137A0"/>
    <w:rsid w:val="0001381D"/>
    <w:rsid w:val="0001383F"/>
    <w:rsid w:val="00013883"/>
    <w:rsid w:val="0001398D"/>
    <w:rsid w:val="00013990"/>
    <w:rsid w:val="000139FE"/>
    <w:rsid w:val="00013A41"/>
    <w:rsid w:val="00013A57"/>
    <w:rsid w:val="00013A68"/>
    <w:rsid w:val="00013A89"/>
    <w:rsid w:val="00013AB4"/>
    <w:rsid w:val="00013B0B"/>
    <w:rsid w:val="00013B51"/>
    <w:rsid w:val="00013C84"/>
    <w:rsid w:val="00013C8A"/>
    <w:rsid w:val="00013CAF"/>
    <w:rsid w:val="00013CCC"/>
    <w:rsid w:val="00013CF6"/>
    <w:rsid w:val="00013D19"/>
    <w:rsid w:val="00013D20"/>
    <w:rsid w:val="00013D40"/>
    <w:rsid w:val="00013D47"/>
    <w:rsid w:val="00013DA3"/>
    <w:rsid w:val="00013DB0"/>
    <w:rsid w:val="00013E67"/>
    <w:rsid w:val="00013ECE"/>
    <w:rsid w:val="00013F5D"/>
    <w:rsid w:val="00013F6B"/>
    <w:rsid w:val="00013F98"/>
    <w:rsid w:val="00013FFF"/>
    <w:rsid w:val="00014004"/>
    <w:rsid w:val="000140F5"/>
    <w:rsid w:val="0001417B"/>
    <w:rsid w:val="000141A3"/>
    <w:rsid w:val="000141E6"/>
    <w:rsid w:val="000141FB"/>
    <w:rsid w:val="00014219"/>
    <w:rsid w:val="00014227"/>
    <w:rsid w:val="0001422F"/>
    <w:rsid w:val="000142C5"/>
    <w:rsid w:val="000142EA"/>
    <w:rsid w:val="00014350"/>
    <w:rsid w:val="000143E6"/>
    <w:rsid w:val="00014401"/>
    <w:rsid w:val="0001441E"/>
    <w:rsid w:val="000144AA"/>
    <w:rsid w:val="000144B0"/>
    <w:rsid w:val="000144F1"/>
    <w:rsid w:val="0001452C"/>
    <w:rsid w:val="00014579"/>
    <w:rsid w:val="000145E8"/>
    <w:rsid w:val="00014600"/>
    <w:rsid w:val="00014605"/>
    <w:rsid w:val="0001467F"/>
    <w:rsid w:val="0001470F"/>
    <w:rsid w:val="00014741"/>
    <w:rsid w:val="0001477C"/>
    <w:rsid w:val="0001485B"/>
    <w:rsid w:val="00014879"/>
    <w:rsid w:val="000148B8"/>
    <w:rsid w:val="000148C0"/>
    <w:rsid w:val="00014919"/>
    <w:rsid w:val="0001498C"/>
    <w:rsid w:val="00014B04"/>
    <w:rsid w:val="00014B34"/>
    <w:rsid w:val="00014BB8"/>
    <w:rsid w:val="00014C65"/>
    <w:rsid w:val="00014CB7"/>
    <w:rsid w:val="00014DD0"/>
    <w:rsid w:val="00014DEA"/>
    <w:rsid w:val="00014DED"/>
    <w:rsid w:val="00014E07"/>
    <w:rsid w:val="00014E93"/>
    <w:rsid w:val="00014F39"/>
    <w:rsid w:val="00014FD0"/>
    <w:rsid w:val="00015121"/>
    <w:rsid w:val="00015154"/>
    <w:rsid w:val="0001519C"/>
    <w:rsid w:val="00015217"/>
    <w:rsid w:val="00015257"/>
    <w:rsid w:val="0001525F"/>
    <w:rsid w:val="0001526F"/>
    <w:rsid w:val="000152D5"/>
    <w:rsid w:val="0001530F"/>
    <w:rsid w:val="0001532B"/>
    <w:rsid w:val="00015368"/>
    <w:rsid w:val="0001539D"/>
    <w:rsid w:val="000153AD"/>
    <w:rsid w:val="00015457"/>
    <w:rsid w:val="00015468"/>
    <w:rsid w:val="00015481"/>
    <w:rsid w:val="00015592"/>
    <w:rsid w:val="000155BE"/>
    <w:rsid w:val="0001560B"/>
    <w:rsid w:val="00015615"/>
    <w:rsid w:val="00015724"/>
    <w:rsid w:val="000157B0"/>
    <w:rsid w:val="000158DE"/>
    <w:rsid w:val="000158E9"/>
    <w:rsid w:val="0001597C"/>
    <w:rsid w:val="00015999"/>
    <w:rsid w:val="000159DA"/>
    <w:rsid w:val="00015ABD"/>
    <w:rsid w:val="00015B49"/>
    <w:rsid w:val="00015B8C"/>
    <w:rsid w:val="00015BF5"/>
    <w:rsid w:val="00015CE4"/>
    <w:rsid w:val="00015D9A"/>
    <w:rsid w:val="00015DEB"/>
    <w:rsid w:val="00015EDB"/>
    <w:rsid w:val="00015EF7"/>
    <w:rsid w:val="00015F04"/>
    <w:rsid w:val="00015F93"/>
    <w:rsid w:val="00015FE8"/>
    <w:rsid w:val="00015FEC"/>
    <w:rsid w:val="0001602E"/>
    <w:rsid w:val="00016056"/>
    <w:rsid w:val="000160AC"/>
    <w:rsid w:val="00016112"/>
    <w:rsid w:val="000161BA"/>
    <w:rsid w:val="000161FB"/>
    <w:rsid w:val="0001626C"/>
    <w:rsid w:val="0001628D"/>
    <w:rsid w:val="000162B7"/>
    <w:rsid w:val="0001630C"/>
    <w:rsid w:val="0001631D"/>
    <w:rsid w:val="0001637F"/>
    <w:rsid w:val="00016385"/>
    <w:rsid w:val="00016416"/>
    <w:rsid w:val="00016495"/>
    <w:rsid w:val="000164DB"/>
    <w:rsid w:val="000164E6"/>
    <w:rsid w:val="000164F3"/>
    <w:rsid w:val="0001658E"/>
    <w:rsid w:val="000165E2"/>
    <w:rsid w:val="00016607"/>
    <w:rsid w:val="00016614"/>
    <w:rsid w:val="000166F1"/>
    <w:rsid w:val="00016727"/>
    <w:rsid w:val="0001675B"/>
    <w:rsid w:val="0001679B"/>
    <w:rsid w:val="000167D9"/>
    <w:rsid w:val="00016817"/>
    <w:rsid w:val="000168A8"/>
    <w:rsid w:val="000168AB"/>
    <w:rsid w:val="000168ED"/>
    <w:rsid w:val="00016918"/>
    <w:rsid w:val="0001698A"/>
    <w:rsid w:val="0001698C"/>
    <w:rsid w:val="000169B8"/>
    <w:rsid w:val="000169EA"/>
    <w:rsid w:val="00016A18"/>
    <w:rsid w:val="00016A2F"/>
    <w:rsid w:val="00016A78"/>
    <w:rsid w:val="00016B85"/>
    <w:rsid w:val="00016BC1"/>
    <w:rsid w:val="00016C59"/>
    <w:rsid w:val="00016CAF"/>
    <w:rsid w:val="00016CBB"/>
    <w:rsid w:val="00016CD2"/>
    <w:rsid w:val="00016CE0"/>
    <w:rsid w:val="00016DCA"/>
    <w:rsid w:val="00016E88"/>
    <w:rsid w:val="00016E9B"/>
    <w:rsid w:val="00016F58"/>
    <w:rsid w:val="00016FCB"/>
    <w:rsid w:val="0001701A"/>
    <w:rsid w:val="00017065"/>
    <w:rsid w:val="00017094"/>
    <w:rsid w:val="000170EB"/>
    <w:rsid w:val="0001713D"/>
    <w:rsid w:val="00017157"/>
    <w:rsid w:val="00017158"/>
    <w:rsid w:val="0001717E"/>
    <w:rsid w:val="0001719C"/>
    <w:rsid w:val="000171B9"/>
    <w:rsid w:val="000171DD"/>
    <w:rsid w:val="00017217"/>
    <w:rsid w:val="00017281"/>
    <w:rsid w:val="000172FE"/>
    <w:rsid w:val="00017455"/>
    <w:rsid w:val="00017490"/>
    <w:rsid w:val="0001754C"/>
    <w:rsid w:val="0001756C"/>
    <w:rsid w:val="000175AF"/>
    <w:rsid w:val="000176EB"/>
    <w:rsid w:val="000177A3"/>
    <w:rsid w:val="000177D1"/>
    <w:rsid w:val="000177E1"/>
    <w:rsid w:val="0001780D"/>
    <w:rsid w:val="00017901"/>
    <w:rsid w:val="00017941"/>
    <w:rsid w:val="00017971"/>
    <w:rsid w:val="00017987"/>
    <w:rsid w:val="00017A6A"/>
    <w:rsid w:val="00017AE9"/>
    <w:rsid w:val="00017B7A"/>
    <w:rsid w:val="00017C3A"/>
    <w:rsid w:val="00017C70"/>
    <w:rsid w:val="00017CDE"/>
    <w:rsid w:val="00017CE6"/>
    <w:rsid w:val="00017E06"/>
    <w:rsid w:val="00017E8E"/>
    <w:rsid w:val="00017ECA"/>
    <w:rsid w:val="00017F0A"/>
    <w:rsid w:val="00020094"/>
    <w:rsid w:val="000200A2"/>
    <w:rsid w:val="000200F5"/>
    <w:rsid w:val="00020148"/>
    <w:rsid w:val="000201A9"/>
    <w:rsid w:val="000201B0"/>
    <w:rsid w:val="000201CF"/>
    <w:rsid w:val="00020285"/>
    <w:rsid w:val="00020353"/>
    <w:rsid w:val="0002036D"/>
    <w:rsid w:val="000205AE"/>
    <w:rsid w:val="000205BE"/>
    <w:rsid w:val="00020693"/>
    <w:rsid w:val="000206C1"/>
    <w:rsid w:val="00020740"/>
    <w:rsid w:val="00020815"/>
    <w:rsid w:val="000208BC"/>
    <w:rsid w:val="000208C5"/>
    <w:rsid w:val="00020922"/>
    <w:rsid w:val="0002093F"/>
    <w:rsid w:val="00020979"/>
    <w:rsid w:val="000209B1"/>
    <w:rsid w:val="00020AFF"/>
    <w:rsid w:val="00020B6F"/>
    <w:rsid w:val="00020C1E"/>
    <w:rsid w:val="00020C2B"/>
    <w:rsid w:val="00020C37"/>
    <w:rsid w:val="00020CE0"/>
    <w:rsid w:val="00020CE1"/>
    <w:rsid w:val="00020D16"/>
    <w:rsid w:val="00020DAC"/>
    <w:rsid w:val="00020DB7"/>
    <w:rsid w:val="00020DC5"/>
    <w:rsid w:val="00020DEC"/>
    <w:rsid w:val="00020E1A"/>
    <w:rsid w:val="00020F24"/>
    <w:rsid w:val="00020F4B"/>
    <w:rsid w:val="00020F4C"/>
    <w:rsid w:val="00020FF5"/>
    <w:rsid w:val="0002107B"/>
    <w:rsid w:val="00021081"/>
    <w:rsid w:val="000210BC"/>
    <w:rsid w:val="00021146"/>
    <w:rsid w:val="0002115D"/>
    <w:rsid w:val="00021186"/>
    <w:rsid w:val="0002118A"/>
    <w:rsid w:val="00021194"/>
    <w:rsid w:val="000211DF"/>
    <w:rsid w:val="0002121C"/>
    <w:rsid w:val="00021291"/>
    <w:rsid w:val="000212AD"/>
    <w:rsid w:val="00021423"/>
    <w:rsid w:val="0002150D"/>
    <w:rsid w:val="00021534"/>
    <w:rsid w:val="00021593"/>
    <w:rsid w:val="00021602"/>
    <w:rsid w:val="00021654"/>
    <w:rsid w:val="000216DD"/>
    <w:rsid w:val="00021714"/>
    <w:rsid w:val="0002174D"/>
    <w:rsid w:val="000217AB"/>
    <w:rsid w:val="0002180E"/>
    <w:rsid w:val="0002185A"/>
    <w:rsid w:val="000218AB"/>
    <w:rsid w:val="000218D5"/>
    <w:rsid w:val="00021927"/>
    <w:rsid w:val="0002192E"/>
    <w:rsid w:val="0002196B"/>
    <w:rsid w:val="00021A6E"/>
    <w:rsid w:val="00021AFB"/>
    <w:rsid w:val="00021B07"/>
    <w:rsid w:val="00021B3B"/>
    <w:rsid w:val="00021B43"/>
    <w:rsid w:val="00021B88"/>
    <w:rsid w:val="00021B8F"/>
    <w:rsid w:val="00021C4B"/>
    <w:rsid w:val="00021CCC"/>
    <w:rsid w:val="00021D3B"/>
    <w:rsid w:val="00021D62"/>
    <w:rsid w:val="00021DA1"/>
    <w:rsid w:val="00021E50"/>
    <w:rsid w:val="00021EDA"/>
    <w:rsid w:val="00021EE7"/>
    <w:rsid w:val="00021F29"/>
    <w:rsid w:val="00021F2D"/>
    <w:rsid w:val="00021F42"/>
    <w:rsid w:val="00021FB4"/>
    <w:rsid w:val="00021FC4"/>
    <w:rsid w:val="00021FFD"/>
    <w:rsid w:val="000220C2"/>
    <w:rsid w:val="000220E1"/>
    <w:rsid w:val="000220F9"/>
    <w:rsid w:val="00022102"/>
    <w:rsid w:val="0002211D"/>
    <w:rsid w:val="00022131"/>
    <w:rsid w:val="00022187"/>
    <w:rsid w:val="000222B8"/>
    <w:rsid w:val="000224AB"/>
    <w:rsid w:val="0002250D"/>
    <w:rsid w:val="00022523"/>
    <w:rsid w:val="0002253A"/>
    <w:rsid w:val="00022569"/>
    <w:rsid w:val="00022766"/>
    <w:rsid w:val="000227E1"/>
    <w:rsid w:val="0002287A"/>
    <w:rsid w:val="000228CB"/>
    <w:rsid w:val="000228EB"/>
    <w:rsid w:val="0002299F"/>
    <w:rsid w:val="00022A65"/>
    <w:rsid w:val="00022A69"/>
    <w:rsid w:val="00022AEB"/>
    <w:rsid w:val="00022AF3"/>
    <w:rsid w:val="00022B6A"/>
    <w:rsid w:val="00022BFA"/>
    <w:rsid w:val="00022C7C"/>
    <w:rsid w:val="00022CCE"/>
    <w:rsid w:val="00022D0E"/>
    <w:rsid w:val="00022D3E"/>
    <w:rsid w:val="00022F54"/>
    <w:rsid w:val="00022FFD"/>
    <w:rsid w:val="00023050"/>
    <w:rsid w:val="0002312D"/>
    <w:rsid w:val="00023192"/>
    <w:rsid w:val="00023283"/>
    <w:rsid w:val="00023284"/>
    <w:rsid w:val="000232E7"/>
    <w:rsid w:val="00023305"/>
    <w:rsid w:val="00023336"/>
    <w:rsid w:val="000233B7"/>
    <w:rsid w:val="000233E2"/>
    <w:rsid w:val="00023434"/>
    <w:rsid w:val="00023474"/>
    <w:rsid w:val="0002347E"/>
    <w:rsid w:val="000234E3"/>
    <w:rsid w:val="00023536"/>
    <w:rsid w:val="00023573"/>
    <w:rsid w:val="00023591"/>
    <w:rsid w:val="000235FA"/>
    <w:rsid w:val="00023634"/>
    <w:rsid w:val="000236ED"/>
    <w:rsid w:val="000236F6"/>
    <w:rsid w:val="00023717"/>
    <w:rsid w:val="00023766"/>
    <w:rsid w:val="000237E7"/>
    <w:rsid w:val="00023868"/>
    <w:rsid w:val="000238C7"/>
    <w:rsid w:val="0002395C"/>
    <w:rsid w:val="0002396B"/>
    <w:rsid w:val="0002397E"/>
    <w:rsid w:val="000239BE"/>
    <w:rsid w:val="000239D6"/>
    <w:rsid w:val="000239FD"/>
    <w:rsid w:val="00023A7F"/>
    <w:rsid w:val="00023B0C"/>
    <w:rsid w:val="00023C04"/>
    <w:rsid w:val="00023C15"/>
    <w:rsid w:val="00023C2C"/>
    <w:rsid w:val="00023C40"/>
    <w:rsid w:val="00023C99"/>
    <w:rsid w:val="00023D8D"/>
    <w:rsid w:val="00023DBA"/>
    <w:rsid w:val="00023DF2"/>
    <w:rsid w:val="00023E95"/>
    <w:rsid w:val="00023F5E"/>
    <w:rsid w:val="0002408D"/>
    <w:rsid w:val="000240CF"/>
    <w:rsid w:val="000240D7"/>
    <w:rsid w:val="00024194"/>
    <w:rsid w:val="00024277"/>
    <w:rsid w:val="0002428F"/>
    <w:rsid w:val="000242B5"/>
    <w:rsid w:val="000242BC"/>
    <w:rsid w:val="000242D3"/>
    <w:rsid w:val="00024309"/>
    <w:rsid w:val="0002435D"/>
    <w:rsid w:val="0002436B"/>
    <w:rsid w:val="0002445D"/>
    <w:rsid w:val="000244B3"/>
    <w:rsid w:val="000244F0"/>
    <w:rsid w:val="00024518"/>
    <w:rsid w:val="00024529"/>
    <w:rsid w:val="00024539"/>
    <w:rsid w:val="0002457F"/>
    <w:rsid w:val="000245C9"/>
    <w:rsid w:val="00024668"/>
    <w:rsid w:val="0002471C"/>
    <w:rsid w:val="000247B1"/>
    <w:rsid w:val="000247C3"/>
    <w:rsid w:val="0002480F"/>
    <w:rsid w:val="0002481D"/>
    <w:rsid w:val="00024824"/>
    <w:rsid w:val="0002483F"/>
    <w:rsid w:val="00024906"/>
    <w:rsid w:val="000249BF"/>
    <w:rsid w:val="00024A1B"/>
    <w:rsid w:val="00024A31"/>
    <w:rsid w:val="00024A47"/>
    <w:rsid w:val="00024AD0"/>
    <w:rsid w:val="00024B34"/>
    <w:rsid w:val="00024B3C"/>
    <w:rsid w:val="00024B6D"/>
    <w:rsid w:val="00024BA8"/>
    <w:rsid w:val="00024BD4"/>
    <w:rsid w:val="00024C2F"/>
    <w:rsid w:val="00024C7A"/>
    <w:rsid w:val="00024D23"/>
    <w:rsid w:val="00024D4B"/>
    <w:rsid w:val="00024D7D"/>
    <w:rsid w:val="00024D84"/>
    <w:rsid w:val="00024DE8"/>
    <w:rsid w:val="00024E8D"/>
    <w:rsid w:val="00024F18"/>
    <w:rsid w:val="00024F28"/>
    <w:rsid w:val="00024F3B"/>
    <w:rsid w:val="00024F93"/>
    <w:rsid w:val="00024FC6"/>
    <w:rsid w:val="00024FD2"/>
    <w:rsid w:val="00024FEE"/>
    <w:rsid w:val="00025046"/>
    <w:rsid w:val="0002508B"/>
    <w:rsid w:val="000250E8"/>
    <w:rsid w:val="0002511F"/>
    <w:rsid w:val="0002516A"/>
    <w:rsid w:val="00025199"/>
    <w:rsid w:val="0002519D"/>
    <w:rsid w:val="000251AE"/>
    <w:rsid w:val="000251CA"/>
    <w:rsid w:val="000251FE"/>
    <w:rsid w:val="000252FC"/>
    <w:rsid w:val="00025398"/>
    <w:rsid w:val="000253B6"/>
    <w:rsid w:val="000253DC"/>
    <w:rsid w:val="0002548F"/>
    <w:rsid w:val="00025496"/>
    <w:rsid w:val="00025499"/>
    <w:rsid w:val="00025543"/>
    <w:rsid w:val="000255B2"/>
    <w:rsid w:val="000255FC"/>
    <w:rsid w:val="0002562F"/>
    <w:rsid w:val="000258A9"/>
    <w:rsid w:val="000258D7"/>
    <w:rsid w:val="000258F3"/>
    <w:rsid w:val="00025947"/>
    <w:rsid w:val="00025A0E"/>
    <w:rsid w:val="00025A16"/>
    <w:rsid w:val="00025B03"/>
    <w:rsid w:val="00025BAF"/>
    <w:rsid w:val="00025BDF"/>
    <w:rsid w:val="00025C67"/>
    <w:rsid w:val="00025D3B"/>
    <w:rsid w:val="00025D5E"/>
    <w:rsid w:val="00025D6D"/>
    <w:rsid w:val="00025E9A"/>
    <w:rsid w:val="00025F28"/>
    <w:rsid w:val="00025F30"/>
    <w:rsid w:val="00025F6C"/>
    <w:rsid w:val="00025FF5"/>
    <w:rsid w:val="0002601F"/>
    <w:rsid w:val="00026038"/>
    <w:rsid w:val="00026052"/>
    <w:rsid w:val="0002607D"/>
    <w:rsid w:val="00026098"/>
    <w:rsid w:val="0002609F"/>
    <w:rsid w:val="000260CE"/>
    <w:rsid w:val="0002610D"/>
    <w:rsid w:val="000261A8"/>
    <w:rsid w:val="000261D4"/>
    <w:rsid w:val="0002625E"/>
    <w:rsid w:val="000262AA"/>
    <w:rsid w:val="000262B1"/>
    <w:rsid w:val="000262E9"/>
    <w:rsid w:val="00026360"/>
    <w:rsid w:val="0002636C"/>
    <w:rsid w:val="0002637B"/>
    <w:rsid w:val="000263F6"/>
    <w:rsid w:val="0002641B"/>
    <w:rsid w:val="00026450"/>
    <w:rsid w:val="00026470"/>
    <w:rsid w:val="0002648E"/>
    <w:rsid w:val="000264B8"/>
    <w:rsid w:val="00026534"/>
    <w:rsid w:val="0002655D"/>
    <w:rsid w:val="00026565"/>
    <w:rsid w:val="0002656F"/>
    <w:rsid w:val="00026716"/>
    <w:rsid w:val="000267F3"/>
    <w:rsid w:val="00026831"/>
    <w:rsid w:val="0002685E"/>
    <w:rsid w:val="00026860"/>
    <w:rsid w:val="00026884"/>
    <w:rsid w:val="00026955"/>
    <w:rsid w:val="00026975"/>
    <w:rsid w:val="000269E7"/>
    <w:rsid w:val="00026A32"/>
    <w:rsid w:val="00026B29"/>
    <w:rsid w:val="00026C93"/>
    <w:rsid w:val="00026CC1"/>
    <w:rsid w:val="00026D5C"/>
    <w:rsid w:val="00026D9F"/>
    <w:rsid w:val="00026DF1"/>
    <w:rsid w:val="00026E03"/>
    <w:rsid w:val="00026E3D"/>
    <w:rsid w:val="00026F51"/>
    <w:rsid w:val="000270D5"/>
    <w:rsid w:val="00027185"/>
    <w:rsid w:val="000271E1"/>
    <w:rsid w:val="00027287"/>
    <w:rsid w:val="0002729D"/>
    <w:rsid w:val="000272BB"/>
    <w:rsid w:val="0002732B"/>
    <w:rsid w:val="00027392"/>
    <w:rsid w:val="000273A7"/>
    <w:rsid w:val="00027463"/>
    <w:rsid w:val="000274A6"/>
    <w:rsid w:val="0002753F"/>
    <w:rsid w:val="00027574"/>
    <w:rsid w:val="00027590"/>
    <w:rsid w:val="000275BA"/>
    <w:rsid w:val="00027601"/>
    <w:rsid w:val="0002760B"/>
    <w:rsid w:val="000276B5"/>
    <w:rsid w:val="0002770A"/>
    <w:rsid w:val="00027713"/>
    <w:rsid w:val="00027717"/>
    <w:rsid w:val="00027753"/>
    <w:rsid w:val="000277B4"/>
    <w:rsid w:val="0002784F"/>
    <w:rsid w:val="000278CE"/>
    <w:rsid w:val="00027909"/>
    <w:rsid w:val="000279D8"/>
    <w:rsid w:val="000279E6"/>
    <w:rsid w:val="00027A08"/>
    <w:rsid w:val="00027A50"/>
    <w:rsid w:val="00027AE9"/>
    <w:rsid w:val="00027AF7"/>
    <w:rsid w:val="00027B66"/>
    <w:rsid w:val="00027B70"/>
    <w:rsid w:val="00027C11"/>
    <w:rsid w:val="00027C2C"/>
    <w:rsid w:val="00027D19"/>
    <w:rsid w:val="00027D3B"/>
    <w:rsid w:val="00027E30"/>
    <w:rsid w:val="00027E78"/>
    <w:rsid w:val="00027EBC"/>
    <w:rsid w:val="00027F6E"/>
    <w:rsid w:val="00027F80"/>
    <w:rsid w:val="0003003B"/>
    <w:rsid w:val="000300CB"/>
    <w:rsid w:val="0003012E"/>
    <w:rsid w:val="00030157"/>
    <w:rsid w:val="00030167"/>
    <w:rsid w:val="000301A1"/>
    <w:rsid w:val="00030221"/>
    <w:rsid w:val="00030250"/>
    <w:rsid w:val="000302AD"/>
    <w:rsid w:val="0003035C"/>
    <w:rsid w:val="0003039C"/>
    <w:rsid w:val="000303CB"/>
    <w:rsid w:val="000303FF"/>
    <w:rsid w:val="00030405"/>
    <w:rsid w:val="00030412"/>
    <w:rsid w:val="00030459"/>
    <w:rsid w:val="000304F7"/>
    <w:rsid w:val="00030529"/>
    <w:rsid w:val="00030554"/>
    <w:rsid w:val="00030583"/>
    <w:rsid w:val="000305A0"/>
    <w:rsid w:val="000305A9"/>
    <w:rsid w:val="000305F7"/>
    <w:rsid w:val="00030605"/>
    <w:rsid w:val="00030780"/>
    <w:rsid w:val="00030810"/>
    <w:rsid w:val="00030815"/>
    <w:rsid w:val="00030932"/>
    <w:rsid w:val="00030933"/>
    <w:rsid w:val="00030996"/>
    <w:rsid w:val="000309C0"/>
    <w:rsid w:val="00030BC3"/>
    <w:rsid w:val="00030BF0"/>
    <w:rsid w:val="00030C12"/>
    <w:rsid w:val="00030C53"/>
    <w:rsid w:val="00030DE3"/>
    <w:rsid w:val="00030DFF"/>
    <w:rsid w:val="00030E20"/>
    <w:rsid w:val="00030E29"/>
    <w:rsid w:val="00030E38"/>
    <w:rsid w:val="00030E3A"/>
    <w:rsid w:val="00030E7D"/>
    <w:rsid w:val="00030E8B"/>
    <w:rsid w:val="00030F0C"/>
    <w:rsid w:val="00030F7D"/>
    <w:rsid w:val="00030FE0"/>
    <w:rsid w:val="00031043"/>
    <w:rsid w:val="000310D3"/>
    <w:rsid w:val="000310E2"/>
    <w:rsid w:val="0003112D"/>
    <w:rsid w:val="0003118A"/>
    <w:rsid w:val="000311DA"/>
    <w:rsid w:val="000311F8"/>
    <w:rsid w:val="000311FC"/>
    <w:rsid w:val="00031224"/>
    <w:rsid w:val="00031235"/>
    <w:rsid w:val="00031240"/>
    <w:rsid w:val="000312F7"/>
    <w:rsid w:val="00031325"/>
    <w:rsid w:val="0003138D"/>
    <w:rsid w:val="000313A0"/>
    <w:rsid w:val="000313D1"/>
    <w:rsid w:val="00031422"/>
    <w:rsid w:val="00031561"/>
    <w:rsid w:val="0003159A"/>
    <w:rsid w:val="000315B2"/>
    <w:rsid w:val="000315CF"/>
    <w:rsid w:val="000315D2"/>
    <w:rsid w:val="00031639"/>
    <w:rsid w:val="0003166E"/>
    <w:rsid w:val="0003167C"/>
    <w:rsid w:val="000316B0"/>
    <w:rsid w:val="000316BE"/>
    <w:rsid w:val="000316F6"/>
    <w:rsid w:val="00031722"/>
    <w:rsid w:val="000317EB"/>
    <w:rsid w:val="000317FA"/>
    <w:rsid w:val="0003187B"/>
    <w:rsid w:val="000318DF"/>
    <w:rsid w:val="000318FA"/>
    <w:rsid w:val="000318FC"/>
    <w:rsid w:val="00031A20"/>
    <w:rsid w:val="00031A34"/>
    <w:rsid w:val="00031B00"/>
    <w:rsid w:val="00031BDA"/>
    <w:rsid w:val="00031C25"/>
    <w:rsid w:val="00031CA7"/>
    <w:rsid w:val="00031D18"/>
    <w:rsid w:val="00031EB2"/>
    <w:rsid w:val="00031F0C"/>
    <w:rsid w:val="00032016"/>
    <w:rsid w:val="00032020"/>
    <w:rsid w:val="0003205A"/>
    <w:rsid w:val="000320AC"/>
    <w:rsid w:val="000320CF"/>
    <w:rsid w:val="00032124"/>
    <w:rsid w:val="0003218A"/>
    <w:rsid w:val="000321E7"/>
    <w:rsid w:val="00032226"/>
    <w:rsid w:val="0003222D"/>
    <w:rsid w:val="0003222F"/>
    <w:rsid w:val="00032256"/>
    <w:rsid w:val="00032281"/>
    <w:rsid w:val="0003228C"/>
    <w:rsid w:val="000322BF"/>
    <w:rsid w:val="000322F9"/>
    <w:rsid w:val="0003234F"/>
    <w:rsid w:val="0003235A"/>
    <w:rsid w:val="00032363"/>
    <w:rsid w:val="00032372"/>
    <w:rsid w:val="000323B3"/>
    <w:rsid w:val="000323BA"/>
    <w:rsid w:val="000323C8"/>
    <w:rsid w:val="00032415"/>
    <w:rsid w:val="00032417"/>
    <w:rsid w:val="000324E4"/>
    <w:rsid w:val="00032518"/>
    <w:rsid w:val="0003251B"/>
    <w:rsid w:val="0003256D"/>
    <w:rsid w:val="0003257F"/>
    <w:rsid w:val="000325BE"/>
    <w:rsid w:val="00032612"/>
    <w:rsid w:val="00032667"/>
    <w:rsid w:val="0003269D"/>
    <w:rsid w:val="000326C7"/>
    <w:rsid w:val="0003277B"/>
    <w:rsid w:val="0003277F"/>
    <w:rsid w:val="000327C3"/>
    <w:rsid w:val="000327E9"/>
    <w:rsid w:val="000327FF"/>
    <w:rsid w:val="0003283F"/>
    <w:rsid w:val="0003285B"/>
    <w:rsid w:val="0003289B"/>
    <w:rsid w:val="00032919"/>
    <w:rsid w:val="0003297B"/>
    <w:rsid w:val="000329AA"/>
    <w:rsid w:val="000329B3"/>
    <w:rsid w:val="00032A16"/>
    <w:rsid w:val="00032A6C"/>
    <w:rsid w:val="00032AB2"/>
    <w:rsid w:val="00032AC8"/>
    <w:rsid w:val="00032B38"/>
    <w:rsid w:val="00032B4F"/>
    <w:rsid w:val="00032BE7"/>
    <w:rsid w:val="00032BFC"/>
    <w:rsid w:val="00032C13"/>
    <w:rsid w:val="00032C3F"/>
    <w:rsid w:val="00032CB6"/>
    <w:rsid w:val="00032D08"/>
    <w:rsid w:val="00032D1E"/>
    <w:rsid w:val="00032D48"/>
    <w:rsid w:val="00032D75"/>
    <w:rsid w:val="00032D88"/>
    <w:rsid w:val="00032E14"/>
    <w:rsid w:val="00032E18"/>
    <w:rsid w:val="00032E36"/>
    <w:rsid w:val="00032E65"/>
    <w:rsid w:val="00032EA4"/>
    <w:rsid w:val="00032ED2"/>
    <w:rsid w:val="00032F07"/>
    <w:rsid w:val="00032F66"/>
    <w:rsid w:val="00033002"/>
    <w:rsid w:val="0003302D"/>
    <w:rsid w:val="00033055"/>
    <w:rsid w:val="00033057"/>
    <w:rsid w:val="00033066"/>
    <w:rsid w:val="000330A0"/>
    <w:rsid w:val="000330B6"/>
    <w:rsid w:val="000330F9"/>
    <w:rsid w:val="00033159"/>
    <w:rsid w:val="00033177"/>
    <w:rsid w:val="00033239"/>
    <w:rsid w:val="00033263"/>
    <w:rsid w:val="000332C2"/>
    <w:rsid w:val="000332C7"/>
    <w:rsid w:val="000332E4"/>
    <w:rsid w:val="000332EA"/>
    <w:rsid w:val="0003330F"/>
    <w:rsid w:val="00033361"/>
    <w:rsid w:val="00033395"/>
    <w:rsid w:val="000333B3"/>
    <w:rsid w:val="00033495"/>
    <w:rsid w:val="00033523"/>
    <w:rsid w:val="0003352C"/>
    <w:rsid w:val="00033598"/>
    <w:rsid w:val="000335E7"/>
    <w:rsid w:val="000336DD"/>
    <w:rsid w:val="000337AF"/>
    <w:rsid w:val="000337E1"/>
    <w:rsid w:val="00033851"/>
    <w:rsid w:val="00033892"/>
    <w:rsid w:val="0003392F"/>
    <w:rsid w:val="000339C3"/>
    <w:rsid w:val="00033AE4"/>
    <w:rsid w:val="00033AF9"/>
    <w:rsid w:val="00033BAC"/>
    <w:rsid w:val="00033C1A"/>
    <w:rsid w:val="00033C42"/>
    <w:rsid w:val="00033CB1"/>
    <w:rsid w:val="00033D6C"/>
    <w:rsid w:val="00033DDD"/>
    <w:rsid w:val="00033DF1"/>
    <w:rsid w:val="00033E00"/>
    <w:rsid w:val="00033E82"/>
    <w:rsid w:val="00033F5D"/>
    <w:rsid w:val="00033F68"/>
    <w:rsid w:val="00033FF9"/>
    <w:rsid w:val="00034004"/>
    <w:rsid w:val="00034034"/>
    <w:rsid w:val="00034081"/>
    <w:rsid w:val="0003408A"/>
    <w:rsid w:val="000340E2"/>
    <w:rsid w:val="00034173"/>
    <w:rsid w:val="0003417C"/>
    <w:rsid w:val="000341DC"/>
    <w:rsid w:val="000341E6"/>
    <w:rsid w:val="000341F9"/>
    <w:rsid w:val="00034213"/>
    <w:rsid w:val="00034228"/>
    <w:rsid w:val="00034267"/>
    <w:rsid w:val="000342B4"/>
    <w:rsid w:val="000342D9"/>
    <w:rsid w:val="000342DD"/>
    <w:rsid w:val="0003432D"/>
    <w:rsid w:val="00034370"/>
    <w:rsid w:val="0003438E"/>
    <w:rsid w:val="00034390"/>
    <w:rsid w:val="000343B5"/>
    <w:rsid w:val="000343E8"/>
    <w:rsid w:val="000344B9"/>
    <w:rsid w:val="000344ED"/>
    <w:rsid w:val="0003450D"/>
    <w:rsid w:val="0003451F"/>
    <w:rsid w:val="0003455D"/>
    <w:rsid w:val="0003458E"/>
    <w:rsid w:val="00034596"/>
    <w:rsid w:val="000345F6"/>
    <w:rsid w:val="0003462C"/>
    <w:rsid w:val="0003477D"/>
    <w:rsid w:val="000347E0"/>
    <w:rsid w:val="0003487D"/>
    <w:rsid w:val="000348C4"/>
    <w:rsid w:val="000349A8"/>
    <w:rsid w:val="000349FE"/>
    <w:rsid w:val="00034AA3"/>
    <w:rsid w:val="00034B24"/>
    <w:rsid w:val="00034B6A"/>
    <w:rsid w:val="00034BDC"/>
    <w:rsid w:val="00034BEE"/>
    <w:rsid w:val="00034C06"/>
    <w:rsid w:val="00034C1C"/>
    <w:rsid w:val="00034CD6"/>
    <w:rsid w:val="00034D52"/>
    <w:rsid w:val="00034DF3"/>
    <w:rsid w:val="00034E62"/>
    <w:rsid w:val="00034EB1"/>
    <w:rsid w:val="00034F10"/>
    <w:rsid w:val="00034F1D"/>
    <w:rsid w:val="00034F34"/>
    <w:rsid w:val="00034F55"/>
    <w:rsid w:val="00034FA8"/>
    <w:rsid w:val="00034FEF"/>
    <w:rsid w:val="00035001"/>
    <w:rsid w:val="000350FE"/>
    <w:rsid w:val="00035161"/>
    <w:rsid w:val="000351C1"/>
    <w:rsid w:val="000351F5"/>
    <w:rsid w:val="00035222"/>
    <w:rsid w:val="00035348"/>
    <w:rsid w:val="0003534B"/>
    <w:rsid w:val="00035375"/>
    <w:rsid w:val="00035388"/>
    <w:rsid w:val="00035392"/>
    <w:rsid w:val="0003540E"/>
    <w:rsid w:val="00035428"/>
    <w:rsid w:val="00035494"/>
    <w:rsid w:val="000354F3"/>
    <w:rsid w:val="00035539"/>
    <w:rsid w:val="00035569"/>
    <w:rsid w:val="000355B5"/>
    <w:rsid w:val="000355E5"/>
    <w:rsid w:val="000355FF"/>
    <w:rsid w:val="000356CA"/>
    <w:rsid w:val="00035827"/>
    <w:rsid w:val="00035832"/>
    <w:rsid w:val="0003586B"/>
    <w:rsid w:val="00035916"/>
    <w:rsid w:val="00035929"/>
    <w:rsid w:val="00035950"/>
    <w:rsid w:val="00035973"/>
    <w:rsid w:val="000359B3"/>
    <w:rsid w:val="000359B5"/>
    <w:rsid w:val="00035A04"/>
    <w:rsid w:val="00035A3F"/>
    <w:rsid w:val="00035A48"/>
    <w:rsid w:val="00035A7E"/>
    <w:rsid w:val="00035AA4"/>
    <w:rsid w:val="00035B64"/>
    <w:rsid w:val="00035C59"/>
    <w:rsid w:val="00035C9A"/>
    <w:rsid w:val="00035D2E"/>
    <w:rsid w:val="00035D39"/>
    <w:rsid w:val="00035D3C"/>
    <w:rsid w:val="00035D62"/>
    <w:rsid w:val="00035E20"/>
    <w:rsid w:val="00035E79"/>
    <w:rsid w:val="00035EE7"/>
    <w:rsid w:val="00035F17"/>
    <w:rsid w:val="00035F53"/>
    <w:rsid w:val="00035F75"/>
    <w:rsid w:val="00036070"/>
    <w:rsid w:val="000360CD"/>
    <w:rsid w:val="000361DD"/>
    <w:rsid w:val="000361E1"/>
    <w:rsid w:val="000361F8"/>
    <w:rsid w:val="000362C9"/>
    <w:rsid w:val="0003631E"/>
    <w:rsid w:val="00036368"/>
    <w:rsid w:val="000363B6"/>
    <w:rsid w:val="0003646A"/>
    <w:rsid w:val="000364B7"/>
    <w:rsid w:val="0003658D"/>
    <w:rsid w:val="00036595"/>
    <w:rsid w:val="000365AA"/>
    <w:rsid w:val="000365AB"/>
    <w:rsid w:val="0003663D"/>
    <w:rsid w:val="000366F6"/>
    <w:rsid w:val="00036728"/>
    <w:rsid w:val="0003674B"/>
    <w:rsid w:val="000368A2"/>
    <w:rsid w:val="000368FB"/>
    <w:rsid w:val="00036906"/>
    <w:rsid w:val="000369BA"/>
    <w:rsid w:val="00036A2C"/>
    <w:rsid w:val="00036A30"/>
    <w:rsid w:val="00036A9E"/>
    <w:rsid w:val="00036C25"/>
    <w:rsid w:val="00036C4E"/>
    <w:rsid w:val="00036CB9"/>
    <w:rsid w:val="00036CC2"/>
    <w:rsid w:val="00036CEA"/>
    <w:rsid w:val="00036DFA"/>
    <w:rsid w:val="00036E09"/>
    <w:rsid w:val="00036E79"/>
    <w:rsid w:val="00036E96"/>
    <w:rsid w:val="00036F07"/>
    <w:rsid w:val="00036F3B"/>
    <w:rsid w:val="00036F63"/>
    <w:rsid w:val="0003700F"/>
    <w:rsid w:val="0003702C"/>
    <w:rsid w:val="000370B9"/>
    <w:rsid w:val="000370DD"/>
    <w:rsid w:val="00037114"/>
    <w:rsid w:val="000371DA"/>
    <w:rsid w:val="000371F6"/>
    <w:rsid w:val="00037233"/>
    <w:rsid w:val="0003725A"/>
    <w:rsid w:val="000372D1"/>
    <w:rsid w:val="00037315"/>
    <w:rsid w:val="0003733B"/>
    <w:rsid w:val="0003734D"/>
    <w:rsid w:val="000373EA"/>
    <w:rsid w:val="0003747F"/>
    <w:rsid w:val="00037483"/>
    <w:rsid w:val="000374CA"/>
    <w:rsid w:val="0003756C"/>
    <w:rsid w:val="000375E9"/>
    <w:rsid w:val="000376FA"/>
    <w:rsid w:val="0003776D"/>
    <w:rsid w:val="00037781"/>
    <w:rsid w:val="00037788"/>
    <w:rsid w:val="00037821"/>
    <w:rsid w:val="0003786C"/>
    <w:rsid w:val="0003787E"/>
    <w:rsid w:val="000378C8"/>
    <w:rsid w:val="00037932"/>
    <w:rsid w:val="0003796F"/>
    <w:rsid w:val="00037A05"/>
    <w:rsid w:val="00037A36"/>
    <w:rsid w:val="00037A5D"/>
    <w:rsid w:val="00037A67"/>
    <w:rsid w:val="00037A92"/>
    <w:rsid w:val="00037AA2"/>
    <w:rsid w:val="00037AF1"/>
    <w:rsid w:val="00037B9D"/>
    <w:rsid w:val="00037BBA"/>
    <w:rsid w:val="00037BCC"/>
    <w:rsid w:val="00037C8D"/>
    <w:rsid w:val="00037CF3"/>
    <w:rsid w:val="00037D57"/>
    <w:rsid w:val="00037E36"/>
    <w:rsid w:val="00037E41"/>
    <w:rsid w:val="00037E56"/>
    <w:rsid w:val="00037E61"/>
    <w:rsid w:val="00037E88"/>
    <w:rsid w:val="00037EC5"/>
    <w:rsid w:val="00037F0F"/>
    <w:rsid w:val="00037F1E"/>
    <w:rsid w:val="00037FB6"/>
    <w:rsid w:val="00040029"/>
    <w:rsid w:val="00040086"/>
    <w:rsid w:val="000400C5"/>
    <w:rsid w:val="000400E8"/>
    <w:rsid w:val="00040100"/>
    <w:rsid w:val="0004010F"/>
    <w:rsid w:val="00040122"/>
    <w:rsid w:val="00040138"/>
    <w:rsid w:val="0004017C"/>
    <w:rsid w:val="0004017D"/>
    <w:rsid w:val="0004017E"/>
    <w:rsid w:val="00040184"/>
    <w:rsid w:val="0004018B"/>
    <w:rsid w:val="000401AE"/>
    <w:rsid w:val="000401CD"/>
    <w:rsid w:val="0004027D"/>
    <w:rsid w:val="00040295"/>
    <w:rsid w:val="0004029F"/>
    <w:rsid w:val="000402CC"/>
    <w:rsid w:val="000403A5"/>
    <w:rsid w:val="000404A3"/>
    <w:rsid w:val="00040504"/>
    <w:rsid w:val="00040536"/>
    <w:rsid w:val="000405A7"/>
    <w:rsid w:val="00040623"/>
    <w:rsid w:val="00040651"/>
    <w:rsid w:val="000406F8"/>
    <w:rsid w:val="000406FB"/>
    <w:rsid w:val="0004073D"/>
    <w:rsid w:val="00040742"/>
    <w:rsid w:val="00040765"/>
    <w:rsid w:val="00040776"/>
    <w:rsid w:val="0004077B"/>
    <w:rsid w:val="000407CB"/>
    <w:rsid w:val="000407F1"/>
    <w:rsid w:val="00040830"/>
    <w:rsid w:val="00040851"/>
    <w:rsid w:val="0004086D"/>
    <w:rsid w:val="00040896"/>
    <w:rsid w:val="00040909"/>
    <w:rsid w:val="0004092C"/>
    <w:rsid w:val="00040936"/>
    <w:rsid w:val="0004095D"/>
    <w:rsid w:val="000409E4"/>
    <w:rsid w:val="00040AA6"/>
    <w:rsid w:val="00040AC0"/>
    <w:rsid w:val="00040B07"/>
    <w:rsid w:val="00040CDD"/>
    <w:rsid w:val="00040CFC"/>
    <w:rsid w:val="00040D3D"/>
    <w:rsid w:val="00040D55"/>
    <w:rsid w:val="00040D56"/>
    <w:rsid w:val="00040D85"/>
    <w:rsid w:val="00040DB8"/>
    <w:rsid w:val="00040E8E"/>
    <w:rsid w:val="00040EF4"/>
    <w:rsid w:val="00040F5C"/>
    <w:rsid w:val="00040FB7"/>
    <w:rsid w:val="0004101F"/>
    <w:rsid w:val="00041079"/>
    <w:rsid w:val="0004110E"/>
    <w:rsid w:val="0004123A"/>
    <w:rsid w:val="00041261"/>
    <w:rsid w:val="000412B8"/>
    <w:rsid w:val="000412E5"/>
    <w:rsid w:val="00041388"/>
    <w:rsid w:val="000413D4"/>
    <w:rsid w:val="000413EA"/>
    <w:rsid w:val="00041433"/>
    <w:rsid w:val="0004145E"/>
    <w:rsid w:val="00041471"/>
    <w:rsid w:val="00041478"/>
    <w:rsid w:val="0004151A"/>
    <w:rsid w:val="00041592"/>
    <w:rsid w:val="000415B7"/>
    <w:rsid w:val="0004160E"/>
    <w:rsid w:val="00041628"/>
    <w:rsid w:val="00041729"/>
    <w:rsid w:val="0004172A"/>
    <w:rsid w:val="00041769"/>
    <w:rsid w:val="000417A8"/>
    <w:rsid w:val="000417FB"/>
    <w:rsid w:val="00041810"/>
    <w:rsid w:val="00041844"/>
    <w:rsid w:val="0004185A"/>
    <w:rsid w:val="000418BB"/>
    <w:rsid w:val="00041921"/>
    <w:rsid w:val="0004194B"/>
    <w:rsid w:val="000419D3"/>
    <w:rsid w:val="000419EA"/>
    <w:rsid w:val="00041A1D"/>
    <w:rsid w:val="00041A2A"/>
    <w:rsid w:val="00041A45"/>
    <w:rsid w:val="00041A9B"/>
    <w:rsid w:val="00041B52"/>
    <w:rsid w:val="00041BBE"/>
    <w:rsid w:val="00041C6E"/>
    <w:rsid w:val="00041C7C"/>
    <w:rsid w:val="00041CA2"/>
    <w:rsid w:val="00041CBE"/>
    <w:rsid w:val="00041CD3"/>
    <w:rsid w:val="00041D31"/>
    <w:rsid w:val="00041DB3"/>
    <w:rsid w:val="00041E0B"/>
    <w:rsid w:val="00041E1B"/>
    <w:rsid w:val="00041E47"/>
    <w:rsid w:val="00041E66"/>
    <w:rsid w:val="00041EBC"/>
    <w:rsid w:val="00041F48"/>
    <w:rsid w:val="00041F90"/>
    <w:rsid w:val="00041FBD"/>
    <w:rsid w:val="00041FEE"/>
    <w:rsid w:val="0004204B"/>
    <w:rsid w:val="000420D7"/>
    <w:rsid w:val="00042126"/>
    <w:rsid w:val="0004212E"/>
    <w:rsid w:val="0004213C"/>
    <w:rsid w:val="00042161"/>
    <w:rsid w:val="00042217"/>
    <w:rsid w:val="0004223B"/>
    <w:rsid w:val="000422DD"/>
    <w:rsid w:val="00042365"/>
    <w:rsid w:val="000424C6"/>
    <w:rsid w:val="000424D9"/>
    <w:rsid w:val="0004253D"/>
    <w:rsid w:val="000426AA"/>
    <w:rsid w:val="00042726"/>
    <w:rsid w:val="000427EA"/>
    <w:rsid w:val="00042824"/>
    <w:rsid w:val="000428C8"/>
    <w:rsid w:val="000428F0"/>
    <w:rsid w:val="000429EE"/>
    <w:rsid w:val="00042B5C"/>
    <w:rsid w:val="00042B79"/>
    <w:rsid w:val="00042D09"/>
    <w:rsid w:val="00042D1B"/>
    <w:rsid w:val="00042D34"/>
    <w:rsid w:val="00042E51"/>
    <w:rsid w:val="00042E9D"/>
    <w:rsid w:val="00042EB8"/>
    <w:rsid w:val="00042EE3"/>
    <w:rsid w:val="00042F71"/>
    <w:rsid w:val="00042F73"/>
    <w:rsid w:val="00042F9D"/>
    <w:rsid w:val="00042FA7"/>
    <w:rsid w:val="00042FDC"/>
    <w:rsid w:val="00043291"/>
    <w:rsid w:val="000432A6"/>
    <w:rsid w:val="000432A7"/>
    <w:rsid w:val="000432CC"/>
    <w:rsid w:val="00043308"/>
    <w:rsid w:val="0004331B"/>
    <w:rsid w:val="00043324"/>
    <w:rsid w:val="0004333E"/>
    <w:rsid w:val="00043360"/>
    <w:rsid w:val="000433C2"/>
    <w:rsid w:val="000433F2"/>
    <w:rsid w:val="0004345E"/>
    <w:rsid w:val="00043482"/>
    <w:rsid w:val="00043504"/>
    <w:rsid w:val="0004362D"/>
    <w:rsid w:val="0004363B"/>
    <w:rsid w:val="000436DC"/>
    <w:rsid w:val="000436E2"/>
    <w:rsid w:val="000437B5"/>
    <w:rsid w:val="000437B9"/>
    <w:rsid w:val="00043800"/>
    <w:rsid w:val="0004381F"/>
    <w:rsid w:val="00043879"/>
    <w:rsid w:val="00043899"/>
    <w:rsid w:val="00043903"/>
    <w:rsid w:val="0004393E"/>
    <w:rsid w:val="00043981"/>
    <w:rsid w:val="000439A1"/>
    <w:rsid w:val="000439CF"/>
    <w:rsid w:val="000439F2"/>
    <w:rsid w:val="00043A26"/>
    <w:rsid w:val="00043A56"/>
    <w:rsid w:val="00043A65"/>
    <w:rsid w:val="00043A6C"/>
    <w:rsid w:val="00043B52"/>
    <w:rsid w:val="00043B75"/>
    <w:rsid w:val="00043B86"/>
    <w:rsid w:val="00043C89"/>
    <w:rsid w:val="00043C92"/>
    <w:rsid w:val="00043CD8"/>
    <w:rsid w:val="00043D50"/>
    <w:rsid w:val="00043D8C"/>
    <w:rsid w:val="00043DDB"/>
    <w:rsid w:val="00043E5B"/>
    <w:rsid w:val="00043F39"/>
    <w:rsid w:val="00043F4D"/>
    <w:rsid w:val="00043FB6"/>
    <w:rsid w:val="00044029"/>
    <w:rsid w:val="0004402D"/>
    <w:rsid w:val="0004407E"/>
    <w:rsid w:val="000440D1"/>
    <w:rsid w:val="000440D5"/>
    <w:rsid w:val="000440E1"/>
    <w:rsid w:val="00044105"/>
    <w:rsid w:val="00044137"/>
    <w:rsid w:val="0004427E"/>
    <w:rsid w:val="0004433C"/>
    <w:rsid w:val="000443BD"/>
    <w:rsid w:val="000443D7"/>
    <w:rsid w:val="000443F7"/>
    <w:rsid w:val="0004441E"/>
    <w:rsid w:val="0004448B"/>
    <w:rsid w:val="000444A9"/>
    <w:rsid w:val="000444D7"/>
    <w:rsid w:val="000444D9"/>
    <w:rsid w:val="000444EA"/>
    <w:rsid w:val="000444F1"/>
    <w:rsid w:val="00044510"/>
    <w:rsid w:val="000445A7"/>
    <w:rsid w:val="000445E6"/>
    <w:rsid w:val="000446C5"/>
    <w:rsid w:val="000446E9"/>
    <w:rsid w:val="00044703"/>
    <w:rsid w:val="0004474B"/>
    <w:rsid w:val="000447C2"/>
    <w:rsid w:val="00044842"/>
    <w:rsid w:val="0004485D"/>
    <w:rsid w:val="000448B3"/>
    <w:rsid w:val="000448E8"/>
    <w:rsid w:val="000448FA"/>
    <w:rsid w:val="00044970"/>
    <w:rsid w:val="00044986"/>
    <w:rsid w:val="00044A10"/>
    <w:rsid w:val="00044B94"/>
    <w:rsid w:val="00044BE9"/>
    <w:rsid w:val="00044C99"/>
    <w:rsid w:val="00044DB2"/>
    <w:rsid w:val="00044E2E"/>
    <w:rsid w:val="00044F5C"/>
    <w:rsid w:val="00045008"/>
    <w:rsid w:val="00045025"/>
    <w:rsid w:val="0004503C"/>
    <w:rsid w:val="00045046"/>
    <w:rsid w:val="00045058"/>
    <w:rsid w:val="0004512C"/>
    <w:rsid w:val="000451FC"/>
    <w:rsid w:val="00045381"/>
    <w:rsid w:val="000453E7"/>
    <w:rsid w:val="00045442"/>
    <w:rsid w:val="0004545D"/>
    <w:rsid w:val="000455C5"/>
    <w:rsid w:val="0004561A"/>
    <w:rsid w:val="00045641"/>
    <w:rsid w:val="00045688"/>
    <w:rsid w:val="000456FF"/>
    <w:rsid w:val="00045703"/>
    <w:rsid w:val="00045705"/>
    <w:rsid w:val="0004573A"/>
    <w:rsid w:val="0004573D"/>
    <w:rsid w:val="0004573F"/>
    <w:rsid w:val="00045757"/>
    <w:rsid w:val="00045786"/>
    <w:rsid w:val="0004579A"/>
    <w:rsid w:val="00045814"/>
    <w:rsid w:val="0004583A"/>
    <w:rsid w:val="0004588E"/>
    <w:rsid w:val="00045891"/>
    <w:rsid w:val="000458D1"/>
    <w:rsid w:val="00045976"/>
    <w:rsid w:val="0004597C"/>
    <w:rsid w:val="000459B8"/>
    <w:rsid w:val="000459E3"/>
    <w:rsid w:val="00045B44"/>
    <w:rsid w:val="00045B61"/>
    <w:rsid w:val="00045B89"/>
    <w:rsid w:val="00045BCD"/>
    <w:rsid w:val="00045BD3"/>
    <w:rsid w:val="00045CC5"/>
    <w:rsid w:val="00045CDE"/>
    <w:rsid w:val="00045CFE"/>
    <w:rsid w:val="00045D22"/>
    <w:rsid w:val="00045DBC"/>
    <w:rsid w:val="00045F32"/>
    <w:rsid w:val="00045F8C"/>
    <w:rsid w:val="00045FDA"/>
    <w:rsid w:val="00046011"/>
    <w:rsid w:val="00046035"/>
    <w:rsid w:val="00046083"/>
    <w:rsid w:val="000460AE"/>
    <w:rsid w:val="000460E9"/>
    <w:rsid w:val="0004612B"/>
    <w:rsid w:val="00046156"/>
    <w:rsid w:val="00046176"/>
    <w:rsid w:val="000461BC"/>
    <w:rsid w:val="000461E2"/>
    <w:rsid w:val="0004625C"/>
    <w:rsid w:val="00046298"/>
    <w:rsid w:val="0004643B"/>
    <w:rsid w:val="00046456"/>
    <w:rsid w:val="000464A5"/>
    <w:rsid w:val="00046509"/>
    <w:rsid w:val="00046521"/>
    <w:rsid w:val="00046524"/>
    <w:rsid w:val="00046528"/>
    <w:rsid w:val="00046540"/>
    <w:rsid w:val="0004656B"/>
    <w:rsid w:val="000465F1"/>
    <w:rsid w:val="000466AE"/>
    <w:rsid w:val="000466EE"/>
    <w:rsid w:val="000466F0"/>
    <w:rsid w:val="000467CE"/>
    <w:rsid w:val="000467D4"/>
    <w:rsid w:val="000468CD"/>
    <w:rsid w:val="000468D6"/>
    <w:rsid w:val="0004691F"/>
    <w:rsid w:val="000469F5"/>
    <w:rsid w:val="00046A00"/>
    <w:rsid w:val="00046A25"/>
    <w:rsid w:val="00046A8D"/>
    <w:rsid w:val="00046B5B"/>
    <w:rsid w:val="00046BAF"/>
    <w:rsid w:val="00046BB1"/>
    <w:rsid w:val="00046BC8"/>
    <w:rsid w:val="00046C23"/>
    <w:rsid w:val="00046C64"/>
    <w:rsid w:val="00046CB3"/>
    <w:rsid w:val="00046E00"/>
    <w:rsid w:val="00046EC9"/>
    <w:rsid w:val="00046F10"/>
    <w:rsid w:val="00046F9B"/>
    <w:rsid w:val="00046FA6"/>
    <w:rsid w:val="000470A8"/>
    <w:rsid w:val="0004713E"/>
    <w:rsid w:val="00047141"/>
    <w:rsid w:val="0004722F"/>
    <w:rsid w:val="000472F2"/>
    <w:rsid w:val="00047378"/>
    <w:rsid w:val="000473C7"/>
    <w:rsid w:val="000474E7"/>
    <w:rsid w:val="00047515"/>
    <w:rsid w:val="00047557"/>
    <w:rsid w:val="00047570"/>
    <w:rsid w:val="00047732"/>
    <w:rsid w:val="00047736"/>
    <w:rsid w:val="0004773F"/>
    <w:rsid w:val="0004783F"/>
    <w:rsid w:val="000478C4"/>
    <w:rsid w:val="000478EC"/>
    <w:rsid w:val="00047927"/>
    <w:rsid w:val="0004792C"/>
    <w:rsid w:val="00047A1B"/>
    <w:rsid w:val="00047AD4"/>
    <w:rsid w:val="00047B68"/>
    <w:rsid w:val="00047C25"/>
    <w:rsid w:val="00047CCB"/>
    <w:rsid w:val="00047D3F"/>
    <w:rsid w:val="00047DAC"/>
    <w:rsid w:val="00047DCF"/>
    <w:rsid w:val="00047DE3"/>
    <w:rsid w:val="00047E30"/>
    <w:rsid w:val="00047F5D"/>
    <w:rsid w:val="00047F90"/>
    <w:rsid w:val="00047FAE"/>
    <w:rsid w:val="00047FF6"/>
    <w:rsid w:val="00050043"/>
    <w:rsid w:val="00050065"/>
    <w:rsid w:val="000500DB"/>
    <w:rsid w:val="0005019A"/>
    <w:rsid w:val="0005019D"/>
    <w:rsid w:val="000501C2"/>
    <w:rsid w:val="000502BB"/>
    <w:rsid w:val="0005040F"/>
    <w:rsid w:val="00050478"/>
    <w:rsid w:val="000504ED"/>
    <w:rsid w:val="00050518"/>
    <w:rsid w:val="00050524"/>
    <w:rsid w:val="0005053D"/>
    <w:rsid w:val="00050562"/>
    <w:rsid w:val="00050590"/>
    <w:rsid w:val="0005059D"/>
    <w:rsid w:val="000505B6"/>
    <w:rsid w:val="000505D7"/>
    <w:rsid w:val="0005061D"/>
    <w:rsid w:val="00050655"/>
    <w:rsid w:val="0005069E"/>
    <w:rsid w:val="000506A8"/>
    <w:rsid w:val="00050735"/>
    <w:rsid w:val="000507B5"/>
    <w:rsid w:val="000507D1"/>
    <w:rsid w:val="0005085D"/>
    <w:rsid w:val="00050878"/>
    <w:rsid w:val="000508AE"/>
    <w:rsid w:val="000508D1"/>
    <w:rsid w:val="0005093B"/>
    <w:rsid w:val="000509AE"/>
    <w:rsid w:val="000509E9"/>
    <w:rsid w:val="000509FB"/>
    <w:rsid w:val="00050A24"/>
    <w:rsid w:val="00050A50"/>
    <w:rsid w:val="00050B9F"/>
    <w:rsid w:val="00050C73"/>
    <w:rsid w:val="00050C9B"/>
    <w:rsid w:val="00050DA9"/>
    <w:rsid w:val="00050E0B"/>
    <w:rsid w:val="00050E15"/>
    <w:rsid w:val="00050E54"/>
    <w:rsid w:val="00050EAA"/>
    <w:rsid w:val="00050EF0"/>
    <w:rsid w:val="00050F4E"/>
    <w:rsid w:val="00050FD3"/>
    <w:rsid w:val="00051001"/>
    <w:rsid w:val="00051097"/>
    <w:rsid w:val="000510D7"/>
    <w:rsid w:val="000510F2"/>
    <w:rsid w:val="00051102"/>
    <w:rsid w:val="00051165"/>
    <w:rsid w:val="0005118B"/>
    <w:rsid w:val="0005118F"/>
    <w:rsid w:val="0005120B"/>
    <w:rsid w:val="00051227"/>
    <w:rsid w:val="000512D9"/>
    <w:rsid w:val="00051313"/>
    <w:rsid w:val="00051328"/>
    <w:rsid w:val="00051335"/>
    <w:rsid w:val="00051354"/>
    <w:rsid w:val="00051389"/>
    <w:rsid w:val="000513F2"/>
    <w:rsid w:val="0005140B"/>
    <w:rsid w:val="0005148D"/>
    <w:rsid w:val="000514B6"/>
    <w:rsid w:val="000514C1"/>
    <w:rsid w:val="00051505"/>
    <w:rsid w:val="000515CE"/>
    <w:rsid w:val="000515D0"/>
    <w:rsid w:val="00051625"/>
    <w:rsid w:val="000516AC"/>
    <w:rsid w:val="000516D2"/>
    <w:rsid w:val="00051730"/>
    <w:rsid w:val="00051755"/>
    <w:rsid w:val="0005176A"/>
    <w:rsid w:val="000517A9"/>
    <w:rsid w:val="000517ED"/>
    <w:rsid w:val="000517F3"/>
    <w:rsid w:val="00051813"/>
    <w:rsid w:val="000518B5"/>
    <w:rsid w:val="00051979"/>
    <w:rsid w:val="00051A04"/>
    <w:rsid w:val="00051A12"/>
    <w:rsid w:val="00051A2A"/>
    <w:rsid w:val="00051A56"/>
    <w:rsid w:val="00051A85"/>
    <w:rsid w:val="00051AD2"/>
    <w:rsid w:val="00051B5C"/>
    <w:rsid w:val="00051B60"/>
    <w:rsid w:val="00051C25"/>
    <w:rsid w:val="00051C97"/>
    <w:rsid w:val="00051D19"/>
    <w:rsid w:val="00051D31"/>
    <w:rsid w:val="00051D82"/>
    <w:rsid w:val="00051E58"/>
    <w:rsid w:val="00052009"/>
    <w:rsid w:val="000520AE"/>
    <w:rsid w:val="000520BE"/>
    <w:rsid w:val="000520E1"/>
    <w:rsid w:val="0005212C"/>
    <w:rsid w:val="000521E5"/>
    <w:rsid w:val="0005223D"/>
    <w:rsid w:val="0005228D"/>
    <w:rsid w:val="0005236A"/>
    <w:rsid w:val="000523AF"/>
    <w:rsid w:val="000523E4"/>
    <w:rsid w:val="000523F4"/>
    <w:rsid w:val="0005248F"/>
    <w:rsid w:val="00052525"/>
    <w:rsid w:val="00052573"/>
    <w:rsid w:val="00052596"/>
    <w:rsid w:val="000525A0"/>
    <w:rsid w:val="0005266C"/>
    <w:rsid w:val="00052690"/>
    <w:rsid w:val="000526F9"/>
    <w:rsid w:val="00052751"/>
    <w:rsid w:val="000527BC"/>
    <w:rsid w:val="000527CF"/>
    <w:rsid w:val="0005283D"/>
    <w:rsid w:val="00052850"/>
    <w:rsid w:val="00052899"/>
    <w:rsid w:val="00052A02"/>
    <w:rsid w:val="00052A26"/>
    <w:rsid w:val="00052A32"/>
    <w:rsid w:val="00052AB0"/>
    <w:rsid w:val="00052AD6"/>
    <w:rsid w:val="00052AF9"/>
    <w:rsid w:val="00052B68"/>
    <w:rsid w:val="00052CB4"/>
    <w:rsid w:val="00052CC5"/>
    <w:rsid w:val="00052CCB"/>
    <w:rsid w:val="00052CE7"/>
    <w:rsid w:val="00052CF6"/>
    <w:rsid w:val="00052D1F"/>
    <w:rsid w:val="00052E19"/>
    <w:rsid w:val="00052E2B"/>
    <w:rsid w:val="00052E43"/>
    <w:rsid w:val="00052ECF"/>
    <w:rsid w:val="00052F22"/>
    <w:rsid w:val="00052F42"/>
    <w:rsid w:val="00052F4E"/>
    <w:rsid w:val="00053064"/>
    <w:rsid w:val="00053088"/>
    <w:rsid w:val="000530D5"/>
    <w:rsid w:val="000530D6"/>
    <w:rsid w:val="0005322C"/>
    <w:rsid w:val="00053248"/>
    <w:rsid w:val="00053284"/>
    <w:rsid w:val="000532C6"/>
    <w:rsid w:val="0005337F"/>
    <w:rsid w:val="000533C5"/>
    <w:rsid w:val="00053428"/>
    <w:rsid w:val="0005351D"/>
    <w:rsid w:val="00053529"/>
    <w:rsid w:val="0005365C"/>
    <w:rsid w:val="000536D4"/>
    <w:rsid w:val="00053870"/>
    <w:rsid w:val="000539D2"/>
    <w:rsid w:val="000539E7"/>
    <w:rsid w:val="00053A25"/>
    <w:rsid w:val="00053A7C"/>
    <w:rsid w:val="00053AEE"/>
    <w:rsid w:val="00053B0A"/>
    <w:rsid w:val="00053B6D"/>
    <w:rsid w:val="00053BA4"/>
    <w:rsid w:val="00053BCD"/>
    <w:rsid w:val="00053BD2"/>
    <w:rsid w:val="00053C30"/>
    <w:rsid w:val="00053C7D"/>
    <w:rsid w:val="00053CBB"/>
    <w:rsid w:val="00053E11"/>
    <w:rsid w:val="00053EB9"/>
    <w:rsid w:val="00053EC4"/>
    <w:rsid w:val="00053F19"/>
    <w:rsid w:val="00053F59"/>
    <w:rsid w:val="00053F86"/>
    <w:rsid w:val="00053FB9"/>
    <w:rsid w:val="00053FC4"/>
    <w:rsid w:val="00053FE5"/>
    <w:rsid w:val="0005401F"/>
    <w:rsid w:val="00054093"/>
    <w:rsid w:val="0005417D"/>
    <w:rsid w:val="00054285"/>
    <w:rsid w:val="000542CE"/>
    <w:rsid w:val="00054369"/>
    <w:rsid w:val="00054393"/>
    <w:rsid w:val="000543EF"/>
    <w:rsid w:val="0005445F"/>
    <w:rsid w:val="0005447B"/>
    <w:rsid w:val="00054511"/>
    <w:rsid w:val="00054582"/>
    <w:rsid w:val="000545C7"/>
    <w:rsid w:val="000545E2"/>
    <w:rsid w:val="00054652"/>
    <w:rsid w:val="00054717"/>
    <w:rsid w:val="0005474D"/>
    <w:rsid w:val="0005474F"/>
    <w:rsid w:val="000547D5"/>
    <w:rsid w:val="00054869"/>
    <w:rsid w:val="00054887"/>
    <w:rsid w:val="000548A9"/>
    <w:rsid w:val="00054974"/>
    <w:rsid w:val="000549C0"/>
    <w:rsid w:val="000549D9"/>
    <w:rsid w:val="00054A56"/>
    <w:rsid w:val="00054A87"/>
    <w:rsid w:val="00054AE9"/>
    <w:rsid w:val="00054B26"/>
    <w:rsid w:val="00054B43"/>
    <w:rsid w:val="00054B68"/>
    <w:rsid w:val="00054B69"/>
    <w:rsid w:val="00054B92"/>
    <w:rsid w:val="00054BE9"/>
    <w:rsid w:val="00054C11"/>
    <w:rsid w:val="00054D1F"/>
    <w:rsid w:val="00054D9E"/>
    <w:rsid w:val="00054DAB"/>
    <w:rsid w:val="00054DCC"/>
    <w:rsid w:val="00054E01"/>
    <w:rsid w:val="00054F47"/>
    <w:rsid w:val="00054FCD"/>
    <w:rsid w:val="0005502D"/>
    <w:rsid w:val="00055168"/>
    <w:rsid w:val="00055189"/>
    <w:rsid w:val="000551A1"/>
    <w:rsid w:val="000552DA"/>
    <w:rsid w:val="0005534C"/>
    <w:rsid w:val="000553F6"/>
    <w:rsid w:val="0005544C"/>
    <w:rsid w:val="0005544E"/>
    <w:rsid w:val="00055492"/>
    <w:rsid w:val="0005549F"/>
    <w:rsid w:val="000554AA"/>
    <w:rsid w:val="000554CD"/>
    <w:rsid w:val="000555BC"/>
    <w:rsid w:val="0005560E"/>
    <w:rsid w:val="00055621"/>
    <w:rsid w:val="00055662"/>
    <w:rsid w:val="00055694"/>
    <w:rsid w:val="0005570C"/>
    <w:rsid w:val="00055716"/>
    <w:rsid w:val="000557A7"/>
    <w:rsid w:val="000557CE"/>
    <w:rsid w:val="000557D7"/>
    <w:rsid w:val="0005582B"/>
    <w:rsid w:val="0005582D"/>
    <w:rsid w:val="000558A1"/>
    <w:rsid w:val="000558B3"/>
    <w:rsid w:val="000558DA"/>
    <w:rsid w:val="00055953"/>
    <w:rsid w:val="00055AC0"/>
    <w:rsid w:val="00055B33"/>
    <w:rsid w:val="00055B39"/>
    <w:rsid w:val="00055B6A"/>
    <w:rsid w:val="00055BB4"/>
    <w:rsid w:val="00055BE8"/>
    <w:rsid w:val="00055BF0"/>
    <w:rsid w:val="00055C35"/>
    <w:rsid w:val="00055CF5"/>
    <w:rsid w:val="00055D4E"/>
    <w:rsid w:val="00055DB1"/>
    <w:rsid w:val="00055DE2"/>
    <w:rsid w:val="00055DF0"/>
    <w:rsid w:val="00055E3F"/>
    <w:rsid w:val="00055E75"/>
    <w:rsid w:val="00055E90"/>
    <w:rsid w:val="00055F32"/>
    <w:rsid w:val="00055F60"/>
    <w:rsid w:val="00055F94"/>
    <w:rsid w:val="00055FCE"/>
    <w:rsid w:val="00055FDF"/>
    <w:rsid w:val="00055FE8"/>
    <w:rsid w:val="00056072"/>
    <w:rsid w:val="000560CF"/>
    <w:rsid w:val="000560F4"/>
    <w:rsid w:val="000561A5"/>
    <w:rsid w:val="000561DB"/>
    <w:rsid w:val="0005622E"/>
    <w:rsid w:val="000562C5"/>
    <w:rsid w:val="00056326"/>
    <w:rsid w:val="00056335"/>
    <w:rsid w:val="0005635B"/>
    <w:rsid w:val="00056385"/>
    <w:rsid w:val="000563DE"/>
    <w:rsid w:val="00056482"/>
    <w:rsid w:val="000564E7"/>
    <w:rsid w:val="000564F8"/>
    <w:rsid w:val="000565DC"/>
    <w:rsid w:val="00056645"/>
    <w:rsid w:val="00056699"/>
    <w:rsid w:val="000566D2"/>
    <w:rsid w:val="00056722"/>
    <w:rsid w:val="00056768"/>
    <w:rsid w:val="000567F3"/>
    <w:rsid w:val="0005681B"/>
    <w:rsid w:val="00056870"/>
    <w:rsid w:val="0005687F"/>
    <w:rsid w:val="00056888"/>
    <w:rsid w:val="00056A06"/>
    <w:rsid w:val="00056A2A"/>
    <w:rsid w:val="00056A4F"/>
    <w:rsid w:val="00056AA1"/>
    <w:rsid w:val="00056ABE"/>
    <w:rsid w:val="00056AD3"/>
    <w:rsid w:val="00056B1B"/>
    <w:rsid w:val="00056C01"/>
    <w:rsid w:val="00056C45"/>
    <w:rsid w:val="00056CD5"/>
    <w:rsid w:val="00056CE7"/>
    <w:rsid w:val="00056D6D"/>
    <w:rsid w:val="00056D97"/>
    <w:rsid w:val="00056DDB"/>
    <w:rsid w:val="00056E43"/>
    <w:rsid w:val="00056ED9"/>
    <w:rsid w:val="00056F13"/>
    <w:rsid w:val="00056F4C"/>
    <w:rsid w:val="00056FCD"/>
    <w:rsid w:val="00057016"/>
    <w:rsid w:val="0005709E"/>
    <w:rsid w:val="000570A0"/>
    <w:rsid w:val="00057118"/>
    <w:rsid w:val="0005714E"/>
    <w:rsid w:val="000571BD"/>
    <w:rsid w:val="000571FE"/>
    <w:rsid w:val="00057233"/>
    <w:rsid w:val="00057295"/>
    <w:rsid w:val="000572E3"/>
    <w:rsid w:val="0005731E"/>
    <w:rsid w:val="00057354"/>
    <w:rsid w:val="00057357"/>
    <w:rsid w:val="000573A6"/>
    <w:rsid w:val="000573B7"/>
    <w:rsid w:val="000573E4"/>
    <w:rsid w:val="00057494"/>
    <w:rsid w:val="0005749D"/>
    <w:rsid w:val="000574A2"/>
    <w:rsid w:val="00057521"/>
    <w:rsid w:val="00057537"/>
    <w:rsid w:val="00057639"/>
    <w:rsid w:val="00057643"/>
    <w:rsid w:val="0005766E"/>
    <w:rsid w:val="000576D2"/>
    <w:rsid w:val="000576F6"/>
    <w:rsid w:val="0005770F"/>
    <w:rsid w:val="00057742"/>
    <w:rsid w:val="00057785"/>
    <w:rsid w:val="000577D8"/>
    <w:rsid w:val="00057862"/>
    <w:rsid w:val="0005790D"/>
    <w:rsid w:val="0005791A"/>
    <w:rsid w:val="00057934"/>
    <w:rsid w:val="00057977"/>
    <w:rsid w:val="000579A0"/>
    <w:rsid w:val="000579A8"/>
    <w:rsid w:val="000579CE"/>
    <w:rsid w:val="000579D6"/>
    <w:rsid w:val="00057A26"/>
    <w:rsid w:val="00057A30"/>
    <w:rsid w:val="00057A45"/>
    <w:rsid w:val="00057A93"/>
    <w:rsid w:val="00057AAE"/>
    <w:rsid w:val="00057B88"/>
    <w:rsid w:val="00057C61"/>
    <w:rsid w:val="00057C85"/>
    <w:rsid w:val="00057CA2"/>
    <w:rsid w:val="00057CD6"/>
    <w:rsid w:val="00057D82"/>
    <w:rsid w:val="00057D8C"/>
    <w:rsid w:val="00057DDA"/>
    <w:rsid w:val="00057DFE"/>
    <w:rsid w:val="00057E0D"/>
    <w:rsid w:val="00057E9C"/>
    <w:rsid w:val="00057ED9"/>
    <w:rsid w:val="00057F5D"/>
    <w:rsid w:val="00057F83"/>
    <w:rsid w:val="00057F90"/>
    <w:rsid w:val="00057F9D"/>
    <w:rsid w:val="00057F9E"/>
    <w:rsid w:val="00060011"/>
    <w:rsid w:val="0006003B"/>
    <w:rsid w:val="000600AD"/>
    <w:rsid w:val="000600EA"/>
    <w:rsid w:val="000600F3"/>
    <w:rsid w:val="00060123"/>
    <w:rsid w:val="00060126"/>
    <w:rsid w:val="0006013F"/>
    <w:rsid w:val="000601EC"/>
    <w:rsid w:val="000601F6"/>
    <w:rsid w:val="00060253"/>
    <w:rsid w:val="00060267"/>
    <w:rsid w:val="00060270"/>
    <w:rsid w:val="000602DB"/>
    <w:rsid w:val="000602FE"/>
    <w:rsid w:val="0006034C"/>
    <w:rsid w:val="0006041D"/>
    <w:rsid w:val="00060451"/>
    <w:rsid w:val="00060465"/>
    <w:rsid w:val="0006048F"/>
    <w:rsid w:val="000604BD"/>
    <w:rsid w:val="000604FE"/>
    <w:rsid w:val="0006055A"/>
    <w:rsid w:val="000605FD"/>
    <w:rsid w:val="00060610"/>
    <w:rsid w:val="00060617"/>
    <w:rsid w:val="0006067B"/>
    <w:rsid w:val="000606A8"/>
    <w:rsid w:val="00060724"/>
    <w:rsid w:val="00060736"/>
    <w:rsid w:val="00060751"/>
    <w:rsid w:val="00060863"/>
    <w:rsid w:val="0006087E"/>
    <w:rsid w:val="00060A1A"/>
    <w:rsid w:val="00060A22"/>
    <w:rsid w:val="00060A3A"/>
    <w:rsid w:val="00060A4E"/>
    <w:rsid w:val="00060B25"/>
    <w:rsid w:val="00060B41"/>
    <w:rsid w:val="00060C33"/>
    <w:rsid w:val="00060D38"/>
    <w:rsid w:val="00060D8C"/>
    <w:rsid w:val="00060E16"/>
    <w:rsid w:val="00060E1F"/>
    <w:rsid w:val="00060F41"/>
    <w:rsid w:val="00060F84"/>
    <w:rsid w:val="00061082"/>
    <w:rsid w:val="00061192"/>
    <w:rsid w:val="000611CA"/>
    <w:rsid w:val="00061203"/>
    <w:rsid w:val="00061204"/>
    <w:rsid w:val="00061213"/>
    <w:rsid w:val="00061215"/>
    <w:rsid w:val="0006121B"/>
    <w:rsid w:val="00061245"/>
    <w:rsid w:val="0006124B"/>
    <w:rsid w:val="0006126E"/>
    <w:rsid w:val="0006127D"/>
    <w:rsid w:val="00061346"/>
    <w:rsid w:val="00061366"/>
    <w:rsid w:val="00061386"/>
    <w:rsid w:val="000613A1"/>
    <w:rsid w:val="000613D0"/>
    <w:rsid w:val="0006144A"/>
    <w:rsid w:val="000615DD"/>
    <w:rsid w:val="000615E1"/>
    <w:rsid w:val="0006161C"/>
    <w:rsid w:val="0006163A"/>
    <w:rsid w:val="00061655"/>
    <w:rsid w:val="0006165F"/>
    <w:rsid w:val="0006171E"/>
    <w:rsid w:val="0006172A"/>
    <w:rsid w:val="00061736"/>
    <w:rsid w:val="00061773"/>
    <w:rsid w:val="000617A1"/>
    <w:rsid w:val="00061815"/>
    <w:rsid w:val="00061869"/>
    <w:rsid w:val="0006186E"/>
    <w:rsid w:val="000618CE"/>
    <w:rsid w:val="000618EE"/>
    <w:rsid w:val="00061956"/>
    <w:rsid w:val="0006196B"/>
    <w:rsid w:val="00061A36"/>
    <w:rsid w:val="00061A5E"/>
    <w:rsid w:val="00061A97"/>
    <w:rsid w:val="00061AD3"/>
    <w:rsid w:val="00061ADF"/>
    <w:rsid w:val="00061B4C"/>
    <w:rsid w:val="00061B62"/>
    <w:rsid w:val="00061B7A"/>
    <w:rsid w:val="00061B7B"/>
    <w:rsid w:val="00061B9B"/>
    <w:rsid w:val="00061CDF"/>
    <w:rsid w:val="00061D1C"/>
    <w:rsid w:val="00061D91"/>
    <w:rsid w:val="00061DD2"/>
    <w:rsid w:val="00061DDA"/>
    <w:rsid w:val="00061E0C"/>
    <w:rsid w:val="00061E14"/>
    <w:rsid w:val="00061E77"/>
    <w:rsid w:val="00061E78"/>
    <w:rsid w:val="00061EA4"/>
    <w:rsid w:val="00061EE1"/>
    <w:rsid w:val="00061EEB"/>
    <w:rsid w:val="00061F0D"/>
    <w:rsid w:val="00061F10"/>
    <w:rsid w:val="00061FFE"/>
    <w:rsid w:val="00062040"/>
    <w:rsid w:val="00062143"/>
    <w:rsid w:val="00062152"/>
    <w:rsid w:val="00062161"/>
    <w:rsid w:val="000621EA"/>
    <w:rsid w:val="000622E0"/>
    <w:rsid w:val="000622E5"/>
    <w:rsid w:val="0006230C"/>
    <w:rsid w:val="00062325"/>
    <w:rsid w:val="00062328"/>
    <w:rsid w:val="00062336"/>
    <w:rsid w:val="0006237F"/>
    <w:rsid w:val="000623FA"/>
    <w:rsid w:val="00062427"/>
    <w:rsid w:val="0006249B"/>
    <w:rsid w:val="00062550"/>
    <w:rsid w:val="0006256B"/>
    <w:rsid w:val="0006259C"/>
    <w:rsid w:val="0006259D"/>
    <w:rsid w:val="000625BE"/>
    <w:rsid w:val="000625D6"/>
    <w:rsid w:val="000627AA"/>
    <w:rsid w:val="000627D6"/>
    <w:rsid w:val="000627EB"/>
    <w:rsid w:val="000628F7"/>
    <w:rsid w:val="000628FF"/>
    <w:rsid w:val="0006295F"/>
    <w:rsid w:val="00062A60"/>
    <w:rsid w:val="00062AF3"/>
    <w:rsid w:val="00062AFC"/>
    <w:rsid w:val="00062B71"/>
    <w:rsid w:val="00062BDD"/>
    <w:rsid w:val="00062C68"/>
    <w:rsid w:val="00062C6A"/>
    <w:rsid w:val="00062CBA"/>
    <w:rsid w:val="00062CE8"/>
    <w:rsid w:val="00062D7E"/>
    <w:rsid w:val="00062D94"/>
    <w:rsid w:val="00062DB0"/>
    <w:rsid w:val="00062DD9"/>
    <w:rsid w:val="00062E20"/>
    <w:rsid w:val="00062E31"/>
    <w:rsid w:val="00062E92"/>
    <w:rsid w:val="00062EDA"/>
    <w:rsid w:val="00062EE2"/>
    <w:rsid w:val="00062FEF"/>
    <w:rsid w:val="0006306C"/>
    <w:rsid w:val="00063075"/>
    <w:rsid w:val="00063123"/>
    <w:rsid w:val="00063186"/>
    <w:rsid w:val="000631A8"/>
    <w:rsid w:val="000631B4"/>
    <w:rsid w:val="00063206"/>
    <w:rsid w:val="0006323A"/>
    <w:rsid w:val="0006327D"/>
    <w:rsid w:val="00063280"/>
    <w:rsid w:val="0006336D"/>
    <w:rsid w:val="000633F9"/>
    <w:rsid w:val="00063400"/>
    <w:rsid w:val="0006340C"/>
    <w:rsid w:val="0006348F"/>
    <w:rsid w:val="000634B0"/>
    <w:rsid w:val="000634BA"/>
    <w:rsid w:val="00063507"/>
    <w:rsid w:val="0006352B"/>
    <w:rsid w:val="00063564"/>
    <w:rsid w:val="0006356D"/>
    <w:rsid w:val="00063643"/>
    <w:rsid w:val="0006368A"/>
    <w:rsid w:val="000636C9"/>
    <w:rsid w:val="0006373C"/>
    <w:rsid w:val="00063754"/>
    <w:rsid w:val="00063819"/>
    <w:rsid w:val="000638B6"/>
    <w:rsid w:val="00063977"/>
    <w:rsid w:val="000639B8"/>
    <w:rsid w:val="000639D5"/>
    <w:rsid w:val="000639FA"/>
    <w:rsid w:val="00063AEA"/>
    <w:rsid w:val="00063B51"/>
    <w:rsid w:val="00063BE0"/>
    <w:rsid w:val="00063BF5"/>
    <w:rsid w:val="00063C74"/>
    <w:rsid w:val="00063C88"/>
    <w:rsid w:val="00063CFD"/>
    <w:rsid w:val="00063CFE"/>
    <w:rsid w:val="00063D02"/>
    <w:rsid w:val="00063DF7"/>
    <w:rsid w:val="00063E3A"/>
    <w:rsid w:val="00063F34"/>
    <w:rsid w:val="00063FAF"/>
    <w:rsid w:val="0006400E"/>
    <w:rsid w:val="00064047"/>
    <w:rsid w:val="0006405D"/>
    <w:rsid w:val="0006413B"/>
    <w:rsid w:val="00064147"/>
    <w:rsid w:val="00064169"/>
    <w:rsid w:val="000641BF"/>
    <w:rsid w:val="000641D1"/>
    <w:rsid w:val="00064304"/>
    <w:rsid w:val="00064372"/>
    <w:rsid w:val="00064398"/>
    <w:rsid w:val="00064410"/>
    <w:rsid w:val="00064415"/>
    <w:rsid w:val="00064445"/>
    <w:rsid w:val="000644AF"/>
    <w:rsid w:val="000644CE"/>
    <w:rsid w:val="000645E1"/>
    <w:rsid w:val="000645E9"/>
    <w:rsid w:val="0006462D"/>
    <w:rsid w:val="00064641"/>
    <w:rsid w:val="00064670"/>
    <w:rsid w:val="00064696"/>
    <w:rsid w:val="000646B5"/>
    <w:rsid w:val="000646FC"/>
    <w:rsid w:val="00064701"/>
    <w:rsid w:val="00064714"/>
    <w:rsid w:val="00064753"/>
    <w:rsid w:val="0006475B"/>
    <w:rsid w:val="000647AC"/>
    <w:rsid w:val="000647D7"/>
    <w:rsid w:val="000647EB"/>
    <w:rsid w:val="00064804"/>
    <w:rsid w:val="00064836"/>
    <w:rsid w:val="00064875"/>
    <w:rsid w:val="00064887"/>
    <w:rsid w:val="000648C0"/>
    <w:rsid w:val="000648CD"/>
    <w:rsid w:val="000648EB"/>
    <w:rsid w:val="00064940"/>
    <w:rsid w:val="00064987"/>
    <w:rsid w:val="000649BE"/>
    <w:rsid w:val="000649EC"/>
    <w:rsid w:val="00064A3C"/>
    <w:rsid w:val="00064A42"/>
    <w:rsid w:val="00064A54"/>
    <w:rsid w:val="00064B15"/>
    <w:rsid w:val="00064B2C"/>
    <w:rsid w:val="00064B4D"/>
    <w:rsid w:val="00064B7A"/>
    <w:rsid w:val="00064B8E"/>
    <w:rsid w:val="00064BFD"/>
    <w:rsid w:val="00064C0C"/>
    <w:rsid w:val="00064C90"/>
    <w:rsid w:val="00064DDE"/>
    <w:rsid w:val="00064E1D"/>
    <w:rsid w:val="00064E68"/>
    <w:rsid w:val="00064E92"/>
    <w:rsid w:val="00064EE5"/>
    <w:rsid w:val="00064F09"/>
    <w:rsid w:val="00064F6A"/>
    <w:rsid w:val="00064F88"/>
    <w:rsid w:val="00065040"/>
    <w:rsid w:val="00065080"/>
    <w:rsid w:val="000650BC"/>
    <w:rsid w:val="000650C3"/>
    <w:rsid w:val="00065104"/>
    <w:rsid w:val="00065109"/>
    <w:rsid w:val="0006512D"/>
    <w:rsid w:val="0006517B"/>
    <w:rsid w:val="00065198"/>
    <w:rsid w:val="000651A8"/>
    <w:rsid w:val="00065209"/>
    <w:rsid w:val="0006522F"/>
    <w:rsid w:val="00065341"/>
    <w:rsid w:val="00065349"/>
    <w:rsid w:val="0006536E"/>
    <w:rsid w:val="00065404"/>
    <w:rsid w:val="0006544F"/>
    <w:rsid w:val="00065518"/>
    <w:rsid w:val="00065531"/>
    <w:rsid w:val="000655AB"/>
    <w:rsid w:val="00065674"/>
    <w:rsid w:val="000656D6"/>
    <w:rsid w:val="00065741"/>
    <w:rsid w:val="00065781"/>
    <w:rsid w:val="000657A6"/>
    <w:rsid w:val="000657AD"/>
    <w:rsid w:val="000657E1"/>
    <w:rsid w:val="00065818"/>
    <w:rsid w:val="00065879"/>
    <w:rsid w:val="00065918"/>
    <w:rsid w:val="0006591D"/>
    <w:rsid w:val="0006595B"/>
    <w:rsid w:val="000659DD"/>
    <w:rsid w:val="00065A99"/>
    <w:rsid w:val="00065AAB"/>
    <w:rsid w:val="00065ACD"/>
    <w:rsid w:val="00065AE8"/>
    <w:rsid w:val="00065AEE"/>
    <w:rsid w:val="00065B49"/>
    <w:rsid w:val="00065B96"/>
    <w:rsid w:val="00065BD2"/>
    <w:rsid w:val="00065BF6"/>
    <w:rsid w:val="00065C4F"/>
    <w:rsid w:val="00065C59"/>
    <w:rsid w:val="00065C5B"/>
    <w:rsid w:val="00065CAA"/>
    <w:rsid w:val="00065CC5"/>
    <w:rsid w:val="00065D17"/>
    <w:rsid w:val="00065DAD"/>
    <w:rsid w:val="00065DAF"/>
    <w:rsid w:val="00065DBA"/>
    <w:rsid w:val="00065DE7"/>
    <w:rsid w:val="00065FCD"/>
    <w:rsid w:val="0006601B"/>
    <w:rsid w:val="0006605B"/>
    <w:rsid w:val="0006612E"/>
    <w:rsid w:val="000661D3"/>
    <w:rsid w:val="00066210"/>
    <w:rsid w:val="0006626E"/>
    <w:rsid w:val="000662CB"/>
    <w:rsid w:val="000662E6"/>
    <w:rsid w:val="0006631C"/>
    <w:rsid w:val="0006635D"/>
    <w:rsid w:val="00066375"/>
    <w:rsid w:val="000663B0"/>
    <w:rsid w:val="00066410"/>
    <w:rsid w:val="00066414"/>
    <w:rsid w:val="000664B8"/>
    <w:rsid w:val="0006650B"/>
    <w:rsid w:val="000665CE"/>
    <w:rsid w:val="0006662E"/>
    <w:rsid w:val="00066696"/>
    <w:rsid w:val="000666C9"/>
    <w:rsid w:val="000666F8"/>
    <w:rsid w:val="0006675B"/>
    <w:rsid w:val="000667FC"/>
    <w:rsid w:val="000668AA"/>
    <w:rsid w:val="000668CF"/>
    <w:rsid w:val="000668F3"/>
    <w:rsid w:val="000668F9"/>
    <w:rsid w:val="00066920"/>
    <w:rsid w:val="00066993"/>
    <w:rsid w:val="00066998"/>
    <w:rsid w:val="00066A99"/>
    <w:rsid w:val="00066AC9"/>
    <w:rsid w:val="00066AEC"/>
    <w:rsid w:val="00066B24"/>
    <w:rsid w:val="00066B35"/>
    <w:rsid w:val="00066B51"/>
    <w:rsid w:val="00066BC7"/>
    <w:rsid w:val="00066BDB"/>
    <w:rsid w:val="00066BFD"/>
    <w:rsid w:val="00066C34"/>
    <w:rsid w:val="00066D92"/>
    <w:rsid w:val="00066D93"/>
    <w:rsid w:val="00066E2B"/>
    <w:rsid w:val="00066E46"/>
    <w:rsid w:val="00066E74"/>
    <w:rsid w:val="00066EBC"/>
    <w:rsid w:val="00066EC5"/>
    <w:rsid w:val="00066F4D"/>
    <w:rsid w:val="00066F4F"/>
    <w:rsid w:val="00066FA6"/>
    <w:rsid w:val="00066FF5"/>
    <w:rsid w:val="00067009"/>
    <w:rsid w:val="00067060"/>
    <w:rsid w:val="000670D2"/>
    <w:rsid w:val="00067101"/>
    <w:rsid w:val="00067138"/>
    <w:rsid w:val="0006713F"/>
    <w:rsid w:val="00067160"/>
    <w:rsid w:val="00067171"/>
    <w:rsid w:val="00067189"/>
    <w:rsid w:val="000671A4"/>
    <w:rsid w:val="000671EC"/>
    <w:rsid w:val="00067262"/>
    <w:rsid w:val="0006726E"/>
    <w:rsid w:val="00067287"/>
    <w:rsid w:val="00067347"/>
    <w:rsid w:val="0006737F"/>
    <w:rsid w:val="000673A3"/>
    <w:rsid w:val="000673A4"/>
    <w:rsid w:val="000673D5"/>
    <w:rsid w:val="000673F6"/>
    <w:rsid w:val="0006745E"/>
    <w:rsid w:val="000674B6"/>
    <w:rsid w:val="000674BE"/>
    <w:rsid w:val="0006754D"/>
    <w:rsid w:val="0006756C"/>
    <w:rsid w:val="0006757E"/>
    <w:rsid w:val="000675AE"/>
    <w:rsid w:val="0006768B"/>
    <w:rsid w:val="000676F6"/>
    <w:rsid w:val="0006773E"/>
    <w:rsid w:val="0006774A"/>
    <w:rsid w:val="0006777E"/>
    <w:rsid w:val="000677C0"/>
    <w:rsid w:val="000677CA"/>
    <w:rsid w:val="000677EC"/>
    <w:rsid w:val="00067814"/>
    <w:rsid w:val="000678A6"/>
    <w:rsid w:val="00067935"/>
    <w:rsid w:val="000679E8"/>
    <w:rsid w:val="00067A69"/>
    <w:rsid w:val="00067A77"/>
    <w:rsid w:val="00067A99"/>
    <w:rsid w:val="00067AFB"/>
    <w:rsid w:val="00067B03"/>
    <w:rsid w:val="00067B31"/>
    <w:rsid w:val="00067B33"/>
    <w:rsid w:val="00067C86"/>
    <w:rsid w:val="00067CE9"/>
    <w:rsid w:val="00067D36"/>
    <w:rsid w:val="00067D62"/>
    <w:rsid w:val="00067D6E"/>
    <w:rsid w:val="00067DD4"/>
    <w:rsid w:val="00067EA9"/>
    <w:rsid w:val="00067EEE"/>
    <w:rsid w:val="00067F04"/>
    <w:rsid w:val="00070008"/>
    <w:rsid w:val="00070034"/>
    <w:rsid w:val="000700AA"/>
    <w:rsid w:val="000700AE"/>
    <w:rsid w:val="00070165"/>
    <w:rsid w:val="0007021B"/>
    <w:rsid w:val="0007024F"/>
    <w:rsid w:val="0007025E"/>
    <w:rsid w:val="000702E0"/>
    <w:rsid w:val="0007031C"/>
    <w:rsid w:val="00070329"/>
    <w:rsid w:val="00070460"/>
    <w:rsid w:val="00070478"/>
    <w:rsid w:val="00070493"/>
    <w:rsid w:val="000704A5"/>
    <w:rsid w:val="000704C5"/>
    <w:rsid w:val="000704CE"/>
    <w:rsid w:val="000704F8"/>
    <w:rsid w:val="000704FF"/>
    <w:rsid w:val="00070520"/>
    <w:rsid w:val="00070625"/>
    <w:rsid w:val="0007071D"/>
    <w:rsid w:val="0007081E"/>
    <w:rsid w:val="00070890"/>
    <w:rsid w:val="00070926"/>
    <w:rsid w:val="00070943"/>
    <w:rsid w:val="00070A36"/>
    <w:rsid w:val="00070A6B"/>
    <w:rsid w:val="00070BA0"/>
    <w:rsid w:val="00070BA2"/>
    <w:rsid w:val="00070C3A"/>
    <w:rsid w:val="00070D58"/>
    <w:rsid w:val="00070D9D"/>
    <w:rsid w:val="00070DAA"/>
    <w:rsid w:val="00070DF6"/>
    <w:rsid w:val="00070E0C"/>
    <w:rsid w:val="0007105A"/>
    <w:rsid w:val="0007109A"/>
    <w:rsid w:val="000710E3"/>
    <w:rsid w:val="0007111F"/>
    <w:rsid w:val="00071157"/>
    <w:rsid w:val="0007119A"/>
    <w:rsid w:val="000711D1"/>
    <w:rsid w:val="000711D3"/>
    <w:rsid w:val="0007120A"/>
    <w:rsid w:val="00071216"/>
    <w:rsid w:val="00071219"/>
    <w:rsid w:val="00071298"/>
    <w:rsid w:val="00071352"/>
    <w:rsid w:val="00071358"/>
    <w:rsid w:val="000713A4"/>
    <w:rsid w:val="000713F7"/>
    <w:rsid w:val="0007148E"/>
    <w:rsid w:val="0007149B"/>
    <w:rsid w:val="000715AC"/>
    <w:rsid w:val="00071634"/>
    <w:rsid w:val="00071766"/>
    <w:rsid w:val="000717E0"/>
    <w:rsid w:val="00071905"/>
    <w:rsid w:val="00071964"/>
    <w:rsid w:val="0007199E"/>
    <w:rsid w:val="000719A0"/>
    <w:rsid w:val="000719F0"/>
    <w:rsid w:val="000719F5"/>
    <w:rsid w:val="00071A4A"/>
    <w:rsid w:val="00071A7D"/>
    <w:rsid w:val="00071A7E"/>
    <w:rsid w:val="00071AA1"/>
    <w:rsid w:val="00071B00"/>
    <w:rsid w:val="00071B93"/>
    <w:rsid w:val="00071C0B"/>
    <w:rsid w:val="00071C72"/>
    <w:rsid w:val="00071C82"/>
    <w:rsid w:val="00071C8C"/>
    <w:rsid w:val="00071CAF"/>
    <w:rsid w:val="00071CF0"/>
    <w:rsid w:val="00071D09"/>
    <w:rsid w:val="00071D6A"/>
    <w:rsid w:val="00071DE6"/>
    <w:rsid w:val="00071DFB"/>
    <w:rsid w:val="00071E5A"/>
    <w:rsid w:val="00071EDE"/>
    <w:rsid w:val="00071F22"/>
    <w:rsid w:val="00071FD5"/>
    <w:rsid w:val="00071FDF"/>
    <w:rsid w:val="00072051"/>
    <w:rsid w:val="00072097"/>
    <w:rsid w:val="00072140"/>
    <w:rsid w:val="0007214A"/>
    <w:rsid w:val="0007219A"/>
    <w:rsid w:val="000721D5"/>
    <w:rsid w:val="000721F1"/>
    <w:rsid w:val="0007227E"/>
    <w:rsid w:val="0007234D"/>
    <w:rsid w:val="000723B6"/>
    <w:rsid w:val="000723CC"/>
    <w:rsid w:val="00072452"/>
    <w:rsid w:val="000724F1"/>
    <w:rsid w:val="0007251D"/>
    <w:rsid w:val="000725DE"/>
    <w:rsid w:val="000725F8"/>
    <w:rsid w:val="00072634"/>
    <w:rsid w:val="00072642"/>
    <w:rsid w:val="0007267E"/>
    <w:rsid w:val="00072723"/>
    <w:rsid w:val="00072759"/>
    <w:rsid w:val="00072775"/>
    <w:rsid w:val="00072791"/>
    <w:rsid w:val="000727BF"/>
    <w:rsid w:val="000728A5"/>
    <w:rsid w:val="000728B1"/>
    <w:rsid w:val="000728C1"/>
    <w:rsid w:val="000728E8"/>
    <w:rsid w:val="0007291D"/>
    <w:rsid w:val="00072923"/>
    <w:rsid w:val="00072941"/>
    <w:rsid w:val="00072962"/>
    <w:rsid w:val="000729D8"/>
    <w:rsid w:val="00072B00"/>
    <w:rsid w:val="00072B18"/>
    <w:rsid w:val="00072B42"/>
    <w:rsid w:val="00072B49"/>
    <w:rsid w:val="00072BA1"/>
    <w:rsid w:val="00072BF8"/>
    <w:rsid w:val="00072C92"/>
    <w:rsid w:val="00072CC7"/>
    <w:rsid w:val="00072CF8"/>
    <w:rsid w:val="00072D03"/>
    <w:rsid w:val="00072D2F"/>
    <w:rsid w:val="00072DB7"/>
    <w:rsid w:val="00072E3A"/>
    <w:rsid w:val="00072E44"/>
    <w:rsid w:val="00072E48"/>
    <w:rsid w:val="00072EA8"/>
    <w:rsid w:val="00073000"/>
    <w:rsid w:val="00073094"/>
    <w:rsid w:val="000730F9"/>
    <w:rsid w:val="00073179"/>
    <w:rsid w:val="000731C0"/>
    <w:rsid w:val="000731DB"/>
    <w:rsid w:val="000731DF"/>
    <w:rsid w:val="00073208"/>
    <w:rsid w:val="00073374"/>
    <w:rsid w:val="0007352F"/>
    <w:rsid w:val="0007357E"/>
    <w:rsid w:val="000735D4"/>
    <w:rsid w:val="000737B6"/>
    <w:rsid w:val="000737CD"/>
    <w:rsid w:val="00073809"/>
    <w:rsid w:val="00073843"/>
    <w:rsid w:val="00073891"/>
    <w:rsid w:val="00073895"/>
    <w:rsid w:val="000738E3"/>
    <w:rsid w:val="000739A2"/>
    <w:rsid w:val="000739B0"/>
    <w:rsid w:val="000739BA"/>
    <w:rsid w:val="00073A47"/>
    <w:rsid w:val="00073B46"/>
    <w:rsid w:val="00073B55"/>
    <w:rsid w:val="00073C67"/>
    <w:rsid w:val="00073CED"/>
    <w:rsid w:val="00073CF4"/>
    <w:rsid w:val="00073CF8"/>
    <w:rsid w:val="00073D2D"/>
    <w:rsid w:val="00073D5A"/>
    <w:rsid w:val="00073DDD"/>
    <w:rsid w:val="00073E04"/>
    <w:rsid w:val="00073E09"/>
    <w:rsid w:val="00073E1B"/>
    <w:rsid w:val="00073EE1"/>
    <w:rsid w:val="00073F2C"/>
    <w:rsid w:val="00073F7B"/>
    <w:rsid w:val="00073F82"/>
    <w:rsid w:val="00074029"/>
    <w:rsid w:val="00074039"/>
    <w:rsid w:val="00074040"/>
    <w:rsid w:val="0007407B"/>
    <w:rsid w:val="000740A6"/>
    <w:rsid w:val="0007418C"/>
    <w:rsid w:val="000741AC"/>
    <w:rsid w:val="000741C6"/>
    <w:rsid w:val="00074241"/>
    <w:rsid w:val="00074243"/>
    <w:rsid w:val="0007425A"/>
    <w:rsid w:val="00074265"/>
    <w:rsid w:val="00074282"/>
    <w:rsid w:val="000742A8"/>
    <w:rsid w:val="000742C0"/>
    <w:rsid w:val="0007430B"/>
    <w:rsid w:val="00074482"/>
    <w:rsid w:val="00074514"/>
    <w:rsid w:val="000745B2"/>
    <w:rsid w:val="000745C4"/>
    <w:rsid w:val="00074601"/>
    <w:rsid w:val="00074608"/>
    <w:rsid w:val="00074628"/>
    <w:rsid w:val="0007464E"/>
    <w:rsid w:val="0007465A"/>
    <w:rsid w:val="00074681"/>
    <w:rsid w:val="00074692"/>
    <w:rsid w:val="00074707"/>
    <w:rsid w:val="00074740"/>
    <w:rsid w:val="000748FC"/>
    <w:rsid w:val="0007493B"/>
    <w:rsid w:val="00074A7E"/>
    <w:rsid w:val="00074AD5"/>
    <w:rsid w:val="00074B2F"/>
    <w:rsid w:val="00074B41"/>
    <w:rsid w:val="00074B71"/>
    <w:rsid w:val="00074CCE"/>
    <w:rsid w:val="00074D63"/>
    <w:rsid w:val="00074D79"/>
    <w:rsid w:val="00074DB3"/>
    <w:rsid w:val="00074E05"/>
    <w:rsid w:val="00074E2C"/>
    <w:rsid w:val="00074F02"/>
    <w:rsid w:val="00074F3F"/>
    <w:rsid w:val="00074F83"/>
    <w:rsid w:val="00075184"/>
    <w:rsid w:val="000751EE"/>
    <w:rsid w:val="00075280"/>
    <w:rsid w:val="000752B3"/>
    <w:rsid w:val="000752ED"/>
    <w:rsid w:val="000754F1"/>
    <w:rsid w:val="00075554"/>
    <w:rsid w:val="00075575"/>
    <w:rsid w:val="000755AD"/>
    <w:rsid w:val="00075726"/>
    <w:rsid w:val="0007573B"/>
    <w:rsid w:val="000757DD"/>
    <w:rsid w:val="0007586B"/>
    <w:rsid w:val="000758B6"/>
    <w:rsid w:val="0007595C"/>
    <w:rsid w:val="00075983"/>
    <w:rsid w:val="0007599E"/>
    <w:rsid w:val="000759AA"/>
    <w:rsid w:val="000759D2"/>
    <w:rsid w:val="00075A1B"/>
    <w:rsid w:val="00075A27"/>
    <w:rsid w:val="00075A36"/>
    <w:rsid w:val="00075A9D"/>
    <w:rsid w:val="00075B18"/>
    <w:rsid w:val="00075B65"/>
    <w:rsid w:val="00075BF9"/>
    <w:rsid w:val="00075C16"/>
    <w:rsid w:val="00075CD4"/>
    <w:rsid w:val="00075CD7"/>
    <w:rsid w:val="00075DF7"/>
    <w:rsid w:val="00075E92"/>
    <w:rsid w:val="00075F54"/>
    <w:rsid w:val="00075F90"/>
    <w:rsid w:val="00075FB3"/>
    <w:rsid w:val="00075FC8"/>
    <w:rsid w:val="0007602E"/>
    <w:rsid w:val="00076088"/>
    <w:rsid w:val="00076135"/>
    <w:rsid w:val="00076194"/>
    <w:rsid w:val="00076197"/>
    <w:rsid w:val="000761E7"/>
    <w:rsid w:val="000761EC"/>
    <w:rsid w:val="0007629E"/>
    <w:rsid w:val="000762F1"/>
    <w:rsid w:val="00076320"/>
    <w:rsid w:val="00076327"/>
    <w:rsid w:val="00076337"/>
    <w:rsid w:val="00076350"/>
    <w:rsid w:val="00076378"/>
    <w:rsid w:val="00076394"/>
    <w:rsid w:val="0007639D"/>
    <w:rsid w:val="000763AA"/>
    <w:rsid w:val="000763AF"/>
    <w:rsid w:val="000763FA"/>
    <w:rsid w:val="0007642C"/>
    <w:rsid w:val="0007648C"/>
    <w:rsid w:val="000764E2"/>
    <w:rsid w:val="00076501"/>
    <w:rsid w:val="00076652"/>
    <w:rsid w:val="000766B2"/>
    <w:rsid w:val="000767AC"/>
    <w:rsid w:val="0007688C"/>
    <w:rsid w:val="0007688D"/>
    <w:rsid w:val="000768B4"/>
    <w:rsid w:val="00076962"/>
    <w:rsid w:val="00076980"/>
    <w:rsid w:val="000769FD"/>
    <w:rsid w:val="00076A0F"/>
    <w:rsid w:val="00076A6A"/>
    <w:rsid w:val="00076A95"/>
    <w:rsid w:val="00076AE7"/>
    <w:rsid w:val="00076AFE"/>
    <w:rsid w:val="00076B26"/>
    <w:rsid w:val="00076B2B"/>
    <w:rsid w:val="00076B2F"/>
    <w:rsid w:val="00076BB5"/>
    <w:rsid w:val="00076BB6"/>
    <w:rsid w:val="00076BBE"/>
    <w:rsid w:val="00076C23"/>
    <w:rsid w:val="00076C9C"/>
    <w:rsid w:val="00076CE8"/>
    <w:rsid w:val="00076D76"/>
    <w:rsid w:val="00076DF7"/>
    <w:rsid w:val="00076E45"/>
    <w:rsid w:val="00076E98"/>
    <w:rsid w:val="00076EC4"/>
    <w:rsid w:val="00076F83"/>
    <w:rsid w:val="00076F85"/>
    <w:rsid w:val="00076F89"/>
    <w:rsid w:val="00077082"/>
    <w:rsid w:val="00077085"/>
    <w:rsid w:val="000770A2"/>
    <w:rsid w:val="0007716A"/>
    <w:rsid w:val="000771F9"/>
    <w:rsid w:val="00077240"/>
    <w:rsid w:val="00077276"/>
    <w:rsid w:val="00077288"/>
    <w:rsid w:val="000772E1"/>
    <w:rsid w:val="000772FD"/>
    <w:rsid w:val="0007736B"/>
    <w:rsid w:val="00077421"/>
    <w:rsid w:val="000774BC"/>
    <w:rsid w:val="00077667"/>
    <w:rsid w:val="000776A1"/>
    <w:rsid w:val="0007772E"/>
    <w:rsid w:val="0007773F"/>
    <w:rsid w:val="00077777"/>
    <w:rsid w:val="000777DD"/>
    <w:rsid w:val="000777E6"/>
    <w:rsid w:val="000777EC"/>
    <w:rsid w:val="000778DC"/>
    <w:rsid w:val="0007797D"/>
    <w:rsid w:val="000779F3"/>
    <w:rsid w:val="00077A80"/>
    <w:rsid w:val="00077ADF"/>
    <w:rsid w:val="00077AF0"/>
    <w:rsid w:val="00077B09"/>
    <w:rsid w:val="00077B5D"/>
    <w:rsid w:val="00077BAF"/>
    <w:rsid w:val="00077BB4"/>
    <w:rsid w:val="00077C59"/>
    <w:rsid w:val="00077CC4"/>
    <w:rsid w:val="00077CC6"/>
    <w:rsid w:val="00077CEA"/>
    <w:rsid w:val="00077D0E"/>
    <w:rsid w:val="00077D56"/>
    <w:rsid w:val="00077DFF"/>
    <w:rsid w:val="00077E0E"/>
    <w:rsid w:val="00077F06"/>
    <w:rsid w:val="00077F66"/>
    <w:rsid w:val="00077FA6"/>
    <w:rsid w:val="00080076"/>
    <w:rsid w:val="000800F3"/>
    <w:rsid w:val="00080191"/>
    <w:rsid w:val="000801A8"/>
    <w:rsid w:val="00080282"/>
    <w:rsid w:val="00080347"/>
    <w:rsid w:val="000803D7"/>
    <w:rsid w:val="00080414"/>
    <w:rsid w:val="00080426"/>
    <w:rsid w:val="00080507"/>
    <w:rsid w:val="000805BC"/>
    <w:rsid w:val="000805F8"/>
    <w:rsid w:val="0008069A"/>
    <w:rsid w:val="000806C7"/>
    <w:rsid w:val="00080711"/>
    <w:rsid w:val="000807B7"/>
    <w:rsid w:val="000807E0"/>
    <w:rsid w:val="000808B1"/>
    <w:rsid w:val="0008095E"/>
    <w:rsid w:val="0008099A"/>
    <w:rsid w:val="000809D1"/>
    <w:rsid w:val="000809F4"/>
    <w:rsid w:val="00080A29"/>
    <w:rsid w:val="00080A93"/>
    <w:rsid w:val="00080AAC"/>
    <w:rsid w:val="00080AC8"/>
    <w:rsid w:val="00080BEA"/>
    <w:rsid w:val="00080BF6"/>
    <w:rsid w:val="00080C86"/>
    <w:rsid w:val="00080C89"/>
    <w:rsid w:val="00080D7A"/>
    <w:rsid w:val="00080DE3"/>
    <w:rsid w:val="00080DF9"/>
    <w:rsid w:val="00080E7F"/>
    <w:rsid w:val="00080ECB"/>
    <w:rsid w:val="00080ED6"/>
    <w:rsid w:val="00080EDD"/>
    <w:rsid w:val="00080F15"/>
    <w:rsid w:val="00080F1B"/>
    <w:rsid w:val="00080FDB"/>
    <w:rsid w:val="00080FF7"/>
    <w:rsid w:val="00081045"/>
    <w:rsid w:val="00081052"/>
    <w:rsid w:val="00081080"/>
    <w:rsid w:val="00081168"/>
    <w:rsid w:val="000811F0"/>
    <w:rsid w:val="0008123C"/>
    <w:rsid w:val="00081278"/>
    <w:rsid w:val="000812A1"/>
    <w:rsid w:val="0008130A"/>
    <w:rsid w:val="0008138E"/>
    <w:rsid w:val="00081396"/>
    <w:rsid w:val="0008140C"/>
    <w:rsid w:val="0008143C"/>
    <w:rsid w:val="000814A1"/>
    <w:rsid w:val="000814CF"/>
    <w:rsid w:val="000814DC"/>
    <w:rsid w:val="00081519"/>
    <w:rsid w:val="0008154C"/>
    <w:rsid w:val="000815C1"/>
    <w:rsid w:val="000816CD"/>
    <w:rsid w:val="000816F0"/>
    <w:rsid w:val="0008172B"/>
    <w:rsid w:val="0008172D"/>
    <w:rsid w:val="00081735"/>
    <w:rsid w:val="000817CA"/>
    <w:rsid w:val="00081804"/>
    <w:rsid w:val="0008184C"/>
    <w:rsid w:val="00081863"/>
    <w:rsid w:val="0008187D"/>
    <w:rsid w:val="00081885"/>
    <w:rsid w:val="000818ED"/>
    <w:rsid w:val="0008197D"/>
    <w:rsid w:val="000819E2"/>
    <w:rsid w:val="000819EC"/>
    <w:rsid w:val="00081A04"/>
    <w:rsid w:val="00081A4E"/>
    <w:rsid w:val="00081ABA"/>
    <w:rsid w:val="00081B31"/>
    <w:rsid w:val="00081B61"/>
    <w:rsid w:val="00081BDD"/>
    <w:rsid w:val="00081C0E"/>
    <w:rsid w:val="00081C3A"/>
    <w:rsid w:val="00081C80"/>
    <w:rsid w:val="00081CFF"/>
    <w:rsid w:val="00081DBA"/>
    <w:rsid w:val="00081E3D"/>
    <w:rsid w:val="00081EAF"/>
    <w:rsid w:val="00081EDB"/>
    <w:rsid w:val="00081F0E"/>
    <w:rsid w:val="00081F27"/>
    <w:rsid w:val="00081FBB"/>
    <w:rsid w:val="00082030"/>
    <w:rsid w:val="0008205B"/>
    <w:rsid w:val="00082111"/>
    <w:rsid w:val="0008214E"/>
    <w:rsid w:val="00082169"/>
    <w:rsid w:val="00082170"/>
    <w:rsid w:val="0008217F"/>
    <w:rsid w:val="00082188"/>
    <w:rsid w:val="000821D7"/>
    <w:rsid w:val="000821D8"/>
    <w:rsid w:val="000821EF"/>
    <w:rsid w:val="00082204"/>
    <w:rsid w:val="00082219"/>
    <w:rsid w:val="00082247"/>
    <w:rsid w:val="00082288"/>
    <w:rsid w:val="00082395"/>
    <w:rsid w:val="000823B5"/>
    <w:rsid w:val="000823C0"/>
    <w:rsid w:val="000823DF"/>
    <w:rsid w:val="0008245E"/>
    <w:rsid w:val="000824B6"/>
    <w:rsid w:val="00082558"/>
    <w:rsid w:val="00082584"/>
    <w:rsid w:val="000825D0"/>
    <w:rsid w:val="00082624"/>
    <w:rsid w:val="000826C9"/>
    <w:rsid w:val="00082774"/>
    <w:rsid w:val="00082795"/>
    <w:rsid w:val="000827AF"/>
    <w:rsid w:val="000827BB"/>
    <w:rsid w:val="000827DE"/>
    <w:rsid w:val="000827F7"/>
    <w:rsid w:val="00082804"/>
    <w:rsid w:val="00082812"/>
    <w:rsid w:val="00082876"/>
    <w:rsid w:val="00082897"/>
    <w:rsid w:val="00082909"/>
    <w:rsid w:val="0008292D"/>
    <w:rsid w:val="00082A5C"/>
    <w:rsid w:val="00082A9F"/>
    <w:rsid w:val="00082B59"/>
    <w:rsid w:val="00082BFC"/>
    <w:rsid w:val="00082C2A"/>
    <w:rsid w:val="00082C9C"/>
    <w:rsid w:val="00082CA0"/>
    <w:rsid w:val="00082DC7"/>
    <w:rsid w:val="00082E33"/>
    <w:rsid w:val="00082E56"/>
    <w:rsid w:val="00082E9C"/>
    <w:rsid w:val="00082F1C"/>
    <w:rsid w:val="00082F5D"/>
    <w:rsid w:val="0008303D"/>
    <w:rsid w:val="00083123"/>
    <w:rsid w:val="0008313B"/>
    <w:rsid w:val="00083155"/>
    <w:rsid w:val="000831AE"/>
    <w:rsid w:val="0008328C"/>
    <w:rsid w:val="000832BD"/>
    <w:rsid w:val="00083321"/>
    <w:rsid w:val="00083349"/>
    <w:rsid w:val="00083384"/>
    <w:rsid w:val="00083388"/>
    <w:rsid w:val="000833D0"/>
    <w:rsid w:val="000833D8"/>
    <w:rsid w:val="000834BA"/>
    <w:rsid w:val="000834BB"/>
    <w:rsid w:val="000834CB"/>
    <w:rsid w:val="000834E9"/>
    <w:rsid w:val="000834F1"/>
    <w:rsid w:val="00083528"/>
    <w:rsid w:val="0008356A"/>
    <w:rsid w:val="0008356C"/>
    <w:rsid w:val="00083698"/>
    <w:rsid w:val="000836C0"/>
    <w:rsid w:val="00083703"/>
    <w:rsid w:val="00083740"/>
    <w:rsid w:val="00083774"/>
    <w:rsid w:val="000837A5"/>
    <w:rsid w:val="000837A7"/>
    <w:rsid w:val="000837F3"/>
    <w:rsid w:val="000838C2"/>
    <w:rsid w:val="000838FF"/>
    <w:rsid w:val="00083922"/>
    <w:rsid w:val="00083957"/>
    <w:rsid w:val="000839E5"/>
    <w:rsid w:val="00083A27"/>
    <w:rsid w:val="00083A94"/>
    <w:rsid w:val="00083AF8"/>
    <w:rsid w:val="00083B21"/>
    <w:rsid w:val="00083B3F"/>
    <w:rsid w:val="00083B62"/>
    <w:rsid w:val="00083B97"/>
    <w:rsid w:val="00083BA3"/>
    <w:rsid w:val="00083BF3"/>
    <w:rsid w:val="00083C05"/>
    <w:rsid w:val="00083C2A"/>
    <w:rsid w:val="00083C64"/>
    <w:rsid w:val="00083C87"/>
    <w:rsid w:val="00083CE1"/>
    <w:rsid w:val="00083E4B"/>
    <w:rsid w:val="00083EFD"/>
    <w:rsid w:val="00083F1C"/>
    <w:rsid w:val="00083F81"/>
    <w:rsid w:val="00083FCB"/>
    <w:rsid w:val="00083FF6"/>
    <w:rsid w:val="0008406E"/>
    <w:rsid w:val="000840A0"/>
    <w:rsid w:val="00084168"/>
    <w:rsid w:val="00084183"/>
    <w:rsid w:val="00084213"/>
    <w:rsid w:val="000842A9"/>
    <w:rsid w:val="000842D5"/>
    <w:rsid w:val="000842E7"/>
    <w:rsid w:val="000844D3"/>
    <w:rsid w:val="000844E6"/>
    <w:rsid w:val="0008454B"/>
    <w:rsid w:val="000845B8"/>
    <w:rsid w:val="000845C6"/>
    <w:rsid w:val="000845DB"/>
    <w:rsid w:val="000845EB"/>
    <w:rsid w:val="00084671"/>
    <w:rsid w:val="000846F4"/>
    <w:rsid w:val="000846F9"/>
    <w:rsid w:val="00084756"/>
    <w:rsid w:val="0008475C"/>
    <w:rsid w:val="000847D6"/>
    <w:rsid w:val="000847D7"/>
    <w:rsid w:val="00084965"/>
    <w:rsid w:val="000849AF"/>
    <w:rsid w:val="00084A65"/>
    <w:rsid w:val="00084AB4"/>
    <w:rsid w:val="00084ABD"/>
    <w:rsid w:val="00084AC7"/>
    <w:rsid w:val="00084AF0"/>
    <w:rsid w:val="00084B10"/>
    <w:rsid w:val="00084B43"/>
    <w:rsid w:val="00084BE6"/>
    <w:rsid w:val="00084BEC"/>
    <w:rsid w:val="00084C1A"/>
    <w:rsid w:val="00084C62"/>
    <w:rsid w:val="00084C87"/>
    <w:rsid w:val="00084CCA"/>
    <w:rsid w:val="00084D89"/>
    <w:rsid w:val="00084D99"/>
    <w:rsid w:val="00084E0E"/>
    <w:rsid w:val="00084E29"/>
    <w:rsid w:val="00084E69"/>
    <w:rsid w:val="00084E6A"/>
    <w:rsid w:val="00084E7C"/>
    <w:rsid w:val="00084FC0"/>
    <w:rsid w:val="00084FC3"/>
    <w:rsid w:val="00085042"/>
    <w:rsid w:val="00085076"/>
    <w:rsid w:val="000850B7"/>
    <w:rsid w:val="000850D3"/>
    <w:rsid w:val="00085144"/>
    <w:rsid w:val="0008515D"/>
    <w:rsid w:val="00085190"/>
    <w:rsid w:val="000851C1"/>
    <w:rsid w:val="000851F3"/>
    <w:rsid w:val="00085209"/>
    <w:rsid w:val="000852B3"/>
    <w:rsid w:val="000852B7"/>
    <w:rsid w:val="000852DD"/>
    <w:rsid w:val="000852E3"/>
    <w:rsid w:val="0008533B"/>
    <w:rsid w:val="000853BA"/>
    <w:rsid w:val="000853C8"/>
    <w:rsid w:val="00085417"/>
    <w:rsid w:val="00085453"/>
    <w:rsid w:val="000854B5"/>
    <w:rsid w:val="000854C4"/>
    <w:rsid w:val="000854DC"/>
    <w:rsid w:val="0008552D"/>
    <w:rsid w:val="00085568"/>
    <w:rsid w:val="000855A4"/>
    <w:rsid w:val="000855DE"/>
    <w:rsid w:val="000856FA"/>
    <w:rsid w:val="00085744"/>
    <w:rsid w:val="000857A9"/>
    <w:rsid w:val="000858B6"/>
    <w:rsid w:val="0008591F"/>
    <w:rsid w:val="0008592B"/>
    <w:rsid w:val="00085961"/>
    <w:rsid w:val="00085984"/>
    <w:rsid w:val="00085A5F"/>
    <w:rsid w:val="00085A62"/>
    <w:rsid w:val="00085AA5"/>
    <w:rsid w:val="00085B7A"/>
    <w:rsid w:val="00085C4A"/>
    <w:rsid w:val="00085CC3"/>
    <w:rsid w:val="00085CD4"/>
    <w:rsid w:val="00085CD8"/>
    <w:rsid w:val="00085D2B"/>
    <w:rsid w:val="00085DB6"/>
    <w:rsid w:val="00085E68"/>
    <w:rsid w:val="00085EB2"/>
    <w:rsid w:val="00085EE5"/>
    <w:rsid w:val="00085F16"/>
    <w:rsid w:val="00085F25"/>
    <w:rsid w:val="00085F56"/>
    <w:rsid w:val="00085FB7"/>
    <w:rsid w:val="00085FD6"/>
    <w:rsid w:val="0008612E"/>
    <w:rsid w:val="00086172"/>
    <w:rsid w:val="000861FF"/>
    <w:rsid w:val="000862E8"/>
    <w:rsid w:val="000862F2"/>
    <w:rsid w:val="00086310"/>
    <w:rsid w:val="00086334"/>
    <w:rsid w:val="000863FE"/>
    <w:rsid w:val="000863FF"/>
    <w:rsid w:val="00086498"/>
    <w:rsid w:val="0008657D"/>
    <w:rsid w:val="0008657E"/>
    <w:rsid w:val="0008667A"/>
    <w:rsid w:val="000866AF"/>
    <w:rsid w:val="000866B4"/>
    <w:rsid w:val="000866DE"/>
    <w:rsid w:val="0008678A"/>
    <w:rsid w:val="00086829"/>
    <w:rsid w:val="0008683B"/>
    <w:rsid w:val="000868B9"/>
    <w:rsid w:val="000868E7"/>
    <w:rsid w:val="00086947"/>
    <w:rsid w:val="00086965"/>
    <w:rsid w:val="000869F7"/>
    <w:rsid w:val="00086A04"/>
    <w:rsid w:val="00086A52"/>
    <w:rsid w:val="00086ABA"/>
    <w:rsid w:val="00086B05"/>
    <w:rsid w:val="00086B07"/>
    <w:rsid w:val="00086B0F"/>
    <w:rsid w:val="00086B22"/>
    <w:rsid w:val="00086B9E"/>
    <w:rsid w:val="00086BA1"/>
    <w:rsid w:val="00086BAE"/>
    <w:rsid w:val="00086BBE"/>
    <w:rsid w:val="00086CB8"/>
    <w:rsid w:val="00086CE7"/>
    <w:rsid w:val="00086D8D"/>
    <w:rsid w:val="00086DE1"/>
    <w:rsid w:val="00086E29"/>
    <w:rsid w:val="00086E3C"/>
    <w:rsid w:val="00086E5E"/>
    <w:rsid w:val="00086E6E"/>
    <w:rsid w:val="00086F11"/>
    <w:rsid w:val="00086F50"/>
    <w:rsid w:val="00086F9B"/>
    <w:rsid w:val="00086FE9"/>
    <w:rsid w:val="0008700A"/>
    <w:rsid w:val="00087088"/>
    <w:rsid w:val="000870C1"/>
    <w:rsid w:val="00087109"/>
    <w:rsid w:val="00087196"/>
    <w:rsid w:val="0008722C"/>
    <w:rsid w:val="00087232"/>
    <w:rsid w:val="00087265"/>
    <w:rsid w:val="000873BC"/>
    <w:rsid w:val="0008743A"/>
    <w:rsid w:val="00087449"/>
    <w:rsid w:val="00087467"/>
    <w:rsid w:val="00087504"/>
    <w:rsid w:val="00087561"/>
    <w:rsid w:val="00087584"/>
    <w:rsid w:val="000875D2"/>
    <w:rsid w:val="000876E0"/>
    <w:rsid w:val="0008774E"/>
    <w:rsid w:val="0008781B"/>
    <w:rsid w:val="0008781C"/>
    <w:rsid w:val="0008781E"/>
    <w:rsid w:val="0008785E"/>
    <w:rsid w:val="000878D3"/>
    <w:rsid w:val="000878D5"/>
    <w:rsid w:val="00087913"/>
    <w:rsid w:val="0008792A"/>
    <w:rsid w:val="00087932"/>
    <w:rsid w:val="0008797F"/>
    <w:rsid w:val="0008798B"/>
    <w:rsid w:val="00087A0C"/>
    <w:rsid w:val="00087B53"/>
    <w:rsid w:val="00087B73"/>
    <w:rsid w:val="00087C7B"/>
    <w:rsid w:val="00087D73"/>
    <w:rsid w:val="00087D9C"/>
    <w:rsid w:val="00087DE6"/>
    <w:rsid w:val="00087E00"/>
    <w:rsid w:val="00087E26"/>
    <w:rsid w:val="00087EF9"/>
    <w:rsid w:val="00087F2C"/>
    <w:rsid w:val="00087F50"/>
    <w:rsid w:val="00087FA7"/>
    <w:rsid w:val="0009001A"/>
    <w:rsid w:val="0009002E"/>
    <w:rsid w:val="0009005E"/>
    <w:rsid w:val="00090061"/>
    <w:rsid w:val="000900DB"/>
    <w:rsid w:val="000900FF"/>
    <w:rsid w:val="0009017D"/>
    <w:rsid w:val="0009029F"/>
    <w:rsid w:val="000902E7"/>
    <w:rsid w:val="000903B1"/>
    <w:rsid w:val="0009044D"/>
    <w:rsid w:val="000904B0"/>
    <w:rsid w:val="000904BE"/>
    <w:rsid w:val="000904E5"/>
    <w:rsid w:val="00090525"/>
    <w:rsid w:val="00090528"/>
    <w:rsid w:val="00090569"/>
    <w:rsid w:val="00090571"/>
    <w:rsid w:val="00090589"/>
    <w:rsid w:val="0009060F"/>
    <w:rsid w:val="000907DB"/>
    <w:rsid w:val="000907E7"/>
    <w:rsid w:val="00090818"/>
    <w:rsid w:val="00090914"/>
    <w:rsid w:val="000909F3"/>
    <w:rsid w:val="00090A05"/>
    <w:rsid w:val="00090A24"/>
    <w:rsid w:val="00090A30"/>
    <w:rsid w:val="00090A65"/>
    <w:rsid w:val="00090AA4"/>
    <w:rsid w:val="00090AC4"/>
    <w:rsid w:val="00090B2D"/>
    <w:rsid w:val="00090B7F"/>
    <w:rsid w:val="00090BA1"/>
    <w:rsid w:val="00090BDA"/>
    <w:rsid w:val="00090C08"/>
    <w:rsid w:val="00090C2B"/>
    <w:rsid w:val="00090C39"/>
    <w:rsid w:val="00090D4D"/>
    <w:rsid w:val="00090D70"/>
    <w:rsid w:val="00090DC2"/>
    <w:rsid w:val="00090DDB"/>
    <w:rsid w:val="00090E57"/>
    <w:rsid w:val="00090EB1"/>
    <w:rsid w:val="00090FEE"/>
    <w:rsid w:val="00091058"/>
    <w:rsid w:val="000910C2"/>
    <w:rsid w:val="000910E0"/>
    <w:rsid w:val="0009110B"/>
    <w:rsid w:val="00091149"/>
    <w:rsid w:val="00091152"/>
    <w:rsid w:val="00091174"/>
    <w:rsid w:val="000911C5"/>
    <w:rsid w:val="00091216"/>
    <w:rsid w:val="0009122D"/>
    <w:rsid w:val="000912AC"/>
    <w:rsid w:val="000912E1"/>
    <w:rsid w:val="0009131D"/>
    <w:rsid w:val="00091384"/>
    <w:rsid w:val="000913CF"/>
    <w:rsid w:val="000913F1"/>
    <w:rsid w:val="0009145D"/>
    <w:rsid w:val="0009145F"/>
    <w:rsid w:val="00091461"/>
    <w:rsid w:val="00091462"/>
    <w:rsid w:val="0009146E"/>
    <w:rsid w:val="0009148C"/>
    <w:rsid w:val="000914BD"/>
    <w:rsid w:val="000914FD"/>
    <w:rsid w:val="00091598"/>
    <w:rsid w:val="000915DD"/>
    <w:rsid w:val="00091617"/>
    <w:rsid w:val="0009169B"/>
    <w:rsid w:val="000916A1"/>
    <w:rsid w:val="0009182F"/>
    <w:rsid w:val="00091881"/>
    <w:rsid w:val="000918A1"/>
    <w:rsid w:val="000918B6"/>
    <w:rsid w:val="0009190F"/>
    <w:rsid w:val="00091946"/>
    <w:rsid w:val="000919B1"/>
    <w:rsid w:val="00091B15"/>
    <w:rsid w:val="00091B3D"/>
    <w:rsid w:val="00091B46"/>
    <w:rsid w:val="00091C25"/>
    <w:rsid w:val="00091C6C"/>
    <w:rsid w:val="00091C9A"/>
    <w:rsid w:val="00091E41"/>
    <w:rsid w:val="00091F29"/>
    <w:rsid w:val="00091F84"/>
    <w:rsid w:val="00091FB7"/>
    <w:rsid w:val="00091FD1"/>
    <w:rsid w:val="00091FD6"/>
    <w:rsid w:val="0009201D"/>
    <w:rsid w:val="0009202F"/>
    <w:rsid w:val="00092075"/>
    <w:rsid w:val="000920F0"/>
    <w:rsid w:val="00092120"/>
    <w:rsid w:val="0009216C"/>
    <w:rsid w:val="000921A4"/>
    <w:rsid w:val="000922A4"/>
    <w:rsid w:val="00092314"/>
    <w:rsid w:val="00092330"/>
    <w:rsid w:val="0009234B"/>
    <w:rsid w:val="00092376"/>
    <w:rsid w:val="00092388"/>
    <w:rsid w:val="00092390"/>
    <w:rsid w:val="0009241B"/>
    <w:rsid w:val="0009247E"/>
    <w:rsid w:val="000924AD"/>
    <w:rsid w:val="00092549"/>
    <w:rsid w:val="000925BE"/>
    <w:rsid w:val="0009266E"/>
    <w:rsid w:val="000926B7"/>
    <w:rsid w:val="00092864"/>
    <w:rsid w:val="00092875"/>
    <w:rsid w:val="0009288F"/>
    <w:rsid w:val="000928D3"/>
    <w:rsid w:val="000928FB"/>
    <w:rsid w:val="0009297F"/>
    <w:rsid w:val="00092AC4"/>
    <w:rsid w:val="00092B4A"/>
    <w:rsid w:val="00092B8E"/>
    <w:rsid w:val="00092C39"/>
    <w:rsid w:val="00092C7E"/>
    <w:rsid w:val="00092CB5"/>
    <w:rsid w:val="00092CE7"/>
    <w:rsid w:val="00092D07"/>
    <w:rsid w:val="00092DBB"/>
    <w:rsid w:val="00092E0A"/>
    <w:rsid w:val="00092E45"/>
    <w:rsid w:val="00092E46"/>
    <w:rsid w:val="00092E7B"/>
    <w:rsid w:val="00092ECC"/>
    <w:rsid w:val="00092ED1"/>
    <w:rsid w:val="00092F37"/>
    <w:rsid w:val="00092F4D"/>
    <w:rsid w:val="00092F85"/>
    <w:rsid w:val="00093028"/>
    <w:rsid w:val="00093030"/>
    <w:rsid w:val="00093197"/>
    <w:rsid w:val="000931A3"/>
    <w:rsid w:val="000931C3"/>
    <w:rsid w:val="00093303"/>
    <w:rsid w:val="0009331A"/>
    <w:rsid w:val="0009336A"/>
    <w:rsid w:val="00093436"/>
    <w:rsid w:val="00093438"/>
    <w:rsid w:val="0009347B"/>
    <w:rsid w:val="00093531"/>
    <w:rsid w:val="0009357B"/>
    <w:rsid w:val="00093584"/>
    <w:rsid w:val="000935E6"/>
    <w:rsid w:val="000935FA"/>
    <w:rsid w:val="00093680"/>
    <w:rsid w:val="000936A1"/>
    <w:rsid w:val="000936D5"/>
    <w:rsid w:val="00093723"/>
    <w:rsid w:val="00093794"/>
    <w:rsid w:val="00093877"/>
    <w:rsid w:val="0009388B"/>
    <w:rsid w:val="000938E9"/>
    <w:rsid w:val="00093929"/>
    <w:rsid w:val="00093985"/>
    <w:rsid w:val="00093AB4"/>
    <w:rsid w:val="00093BA7"/>
    <w:rsid w:val="00093BFA"/>
    <w:rsid w:val="00093C2D"/>
    <w:rsid w:val="00093C37"/>
    <w:rsid w:val="00093C64"/>
    <w:rsid w:val="00093CC8"/>
    <w:rsid w:val="00093CCC"/>
    <w:rsid w:val="00093CEB"/>
    <w:rsid w:val="00093E64"/>
    <w:rsid w:val="00093E9F"/>
    <w:rsid w:val="00093ECE"/>
    <w:rsid w:val="00094029"/>
    <w:rsid w:val="00094038"/>
    <w:rsid w:val="00094045"/>
    <w:rsid w:val="00094049"/>
    <w:rsid w:val="000940A5"/>
    <w:rsid w:val="000941A0"/>
    <w:rsid w:val="0009421D"/>
    <w:rsid w:val="00094251"/>
    <w:rsid w:val="000942C7"/>
    <w:rsid w:val="0009437A"/>
    <w:rsid w:val="00094397"/>
    <w:rsid w:val="000943A5"/>
    <w:rsid w:val="000943F3"/>
    <w:rsid w:val="000943F4"/>
    <w:rsid w:val="00094474"/>
    <w:rsid w:val="000944CD"/>
    <w:rsid w:val="00094566"/>
    <w:rsid w:val="0009458B"/>
    <w:rsid w:val="000945C9"/>
    <w:rsid w:val="000945F8"/>
    <w:rsid w:val="000945FC"/>
    <w:rsid w:val="0009460C"/>
    <w:rsid w:val="000946AA"/>
    <w:rsid w:val="00094857"/>
    <w:rsid w:val="00094860"/>
    <w:rsid w:val="000948D8"/>
    <w:rsid w:val="000948E4"/>
    <w:rsid w:val="000948F1"/>
    <w:rsid w:val="000948FD"/>
    <w:rsid w:val="00094973"/>
    <w:rsid w:val="00094A32"/>
    <w:rsid w:val="00094AD4"/>
    <w:rsid w:val="00094B46"/>
    <w:rsid w:val="00094C63"/>
    <w:rsid w:val="00094CE7"/>
    <w:rsid w:val="00094CEA"/>
    <w:rsid w:val="00094D40"/>
    <w:rsid w:val="00094D68"/>
    <w:rsid w:val="00094DA0"/>
    <w:rsid w:val="00094DAA"/>
    <w:rsid w:val="00094DEB"/>
    <w:rsid w:val="00094DFD"/>
    <w:rsid w:val="00094E7C"/>
    <w:rsid w:val="00094E84"/>
    <w:rsid w:val="00094F55"/>
    <w:rsid w:val="00094F76"/>
    <w:rsid w:val="00094FF3"/>
    <w:rsid w:val="00095075"/>
    <w:rsid w:val="000950A9"/>
    <w:rsid w:val="000950F7"/>
    <w:rsid w:val="00095114"/>
    <w:rsid w:val="000951B3"/>
    <w:rsid w:val="000951B6"/>
    <w:rsid w:val="000951B8"/>
    <w:rsid w:val="000951DC"/>
    <w:rsid w:val="0009520D"/>
    <w:rsid w:val="0009530B"/>
    <w:rsid w:val="00095387"/>
    <w:rsid w:val="000953B4"/>
    <w:rsid w:val="000953DF"/>
    <w:rsid w:val="0009540A"/>
    <w:rsid w:val="000954EB"/>
    <w:rsid w:val="000954EF"/>
    <w:rsid w:val="00095502"/>
    <w:rsid w:val="00095555"/>
    <w:rsid w:val="0009565F"/>
    <w:rsid w:val="000956C6"/>
    <w:rsid w:val="0009580B"/>
    <w:rsid w:val="0009580F"/>
    <w:rsid w:val="00095839"/>
    <w:rsid w:val="0009584B"/>
    <w:rsid w:val="00095881"/>
    <w:rsid w:val="000958BA"/>
    <w:rsid w:val="000958C7"/>
    <w:rsid w:val="00095901"/>
    <w:rsid w:val="00095916"/>
    <w:rsid w:val="00095964"/>
    <w:rsid w:val="0009597A"/>
    <w:rsid w:val="000959A5"/>
    <w:rsid w:val="000959C3"/>
    <w:rsid w:val="00095A0D"/>
    <w:rsid w:val="00095A3E"/>
    <w:rsid w:val="00095A7E"/>
    <w:rsid w:val="00095ADF"/>
    <w:rsid w:val="00095B4A"/>
    <w:rsid w:val="00095BDA"/>
    <w:rsid w:val="00095C39"/>
    <w:rsid w:val="00095CBC"/>
    <w:rsid w:val="00095CDE"/>
    <w:rsid w:val="00095D15"/>
    <w:rsid w:val="00095D67"/>
    <w:rsid w:val="00095DC2"/>
    <w:rsid w:val="00095F0E"/>
    <w:rsid w:val="00095F14"/>
    <w:rsid w:val="00095F61"/>
    <w:rsid w:val="00095FB0"/>
    <w:rsid w:val="00096077"/>
    <w:rsid w:val="000960D5"/>
    <w:rsid w:val="00096111"/>
    <w:rsid w:val="000961E2"/>
    <w:rsid w:val="000961E9"/>
    <w:rsid w:val="00096200"/>
    <w:rsid w:val="00096225"/>
    <w:rsid w:val="0009633B"/>
    <w:rsid w:val="0009638A"/>
    <w:rsid w:val="000963DA"/>
    <w:rsid w:val="000963F4"/>
    <w:rsid w:val="00096412"/>
    <w:rsid w:val="0009648C"/>
    <w:rsid w:val="000964B5"/>
    <w:rsid w:val="00096505"/>
    <w:rsid w:val="0009652C"/>
    <w:rsid w:val="00096584"/>
    <w:rsid w:val="000965B3"/>
    <w:rsid w:val="000965C6"/>
    <w:rsid w:val="00096698"/>
    <w:rsid w:val="000966C2"/>
    <w:rsid w:val="000966EE"/>
    <w:rsid w:val="00096742"/>
    <w:rsid w:val="000967A1"/>
    <w:rsid w:val="0009684A"/>
    <w:rsid w:val="00096877"/>
    <w:rsid w:val="00096902"/>
    <w:rsid w:val="0009697B"/>
    <w:rsid w:val="000969CD"/>
    <w:rsid w:val="00096AEA"/>
    <w:rsid w:val="00096B5C"/>
    <w:rsid w:val="00096C22"/>
    <w:rsid w:val="00096C3B"/>
    <w:rsid w:val="00096C41"/>
    <w:rsid w:val="00096D12"/>
    <w:rsid w:val="00096D2F"/>
    <w:rsid w:val="00096E15"/>
    <w:rsid w:val="00096E1B"/>
    <w:rsid w:val="00096E34"/>
    <w:rsid w:val="00096E51"/>
    <w:rsid w:val="00096E7F"/>
    <w:rsid w:val="00096F67"/>
    <w:rsid w:val="00096FB0"/>
    <w:rsid w:val="00097048"/>
    <w:rsid w:val="00097056"/>
    <w:rsid w:val="000970E8"/>
    <w:rsid w:val="000970E9"/>
    <w:rsid w:val="00097129"/>
    <w:rsid w:val="0009713A"/>
    <w:rsid w:val="0009716D"/>
    <w:rsid w:val="0009719A"/>
    <w:rsid w:val="000971B3"/>
    <w:rsid w:val="0009720C"/>
    <w:rsid w:val="0009720E"/>
    <w:rsid w:val="00097225"/>
    <w:rsid w:val="00097256"/>
    <w:rsid w:val="000972AD"/>
    <w:rsid w:val="000972D6"/>
    <w:rsid w:val="000972FB"/>
    <w:rsid w:val="00097308"/>
    <w:rsid w:val="00097395"/>
    <w:rsid w:val="00097481"/>
    <w:rsid w:val="000974FD"/>
    <w:rsid w:val="00097546"/>
    <w:rsid w:val="000975A6"/>
    <w:rsid w:val="000975EB"/>
    <w:rsid w:val="00097621"/>
    <w:rsid w:val="00097626"/>
    <w:rsid w:val="00097743"/>
    <w:rsid w:val="00097747"/>
    <w:rsid w:val="00097818"/>
    <w:rsid w:val="0009793D"/>
    <w:rsid w:val="00097947"/>
    <w:rsid w:val="00097960"/>
    <w:rsid w:val="00097983"/>
    <w:rsid w:val="00097A0B"/>
    <w:rsid w:val="00097AB4"/>
    <w:rsid w:val="00097AC6"/>
    <w:rsid w:val="00097AF8"/>
    <w:rsid w:val="00097B41"/>
    <w:rsid w:val="00097B7A"/>
    <w:rsid w:val="00097BE9"/>
    <w:rsid w:val="00097C11"/>
    <w:rsid w:val="00097CE2"/>
    <w:rsid w:val="00097CE9"/>
    <w:rsid w:val="00097CEB"/>
    <w:rsid w:val="00097CF2"/>
    <w:rsid w:val="00097D06"/>
    <w:rsid w:val="00097D13"/>
    <w:rsid w:val="00097D94"/>
    <w:rsid w:val="00097E08"/>
    <w:rsid w:val="00097E0F"/>
    <w:rsid w:val="00097EB5"/>
    <w:rsid w:val="00097F66"/>
    <w:rsid w:val="00097F6A"/>
    <w:rsid w:val="00097FD5"/>
    <w:rsid w:val="00097FFD"/>
    <w:rsid w:val="000A0052"/>
    <w:rsid w:val="000A0085"/>
    <w:rsid w:val="000A00EC"/>
    <w:rsid w:val="000A014D"/>
    <w:rsid w:val="000A025F"/>
    <w:rsid w:val="000A026E"/>
    <w:rsid w:val="000A02AF"/>
    <w:rsid w:val="000A02BD"/>
    <w:rsid w:val="000A0377"/>
    <w:rsid w:val="000A037E"/>
    <w:rsid w:val="000A03AF"/>
    <w:rsid w:val="000A03E9"/>
    <w:rsid w:val="000A044B"/>
    <w:rsid w:val="000A045D"/>
    <w:rsid w:val="000A046B"/>
    <w:rsid w:val="000A0541"/>
    <w:rsid w:val="000A0572"/>
    <w:rsid w:val="000A059A"/>
    <w:rsid w:val="000A05B9"/>
    <w:rsid w:val="000A06A7"/>
    <w:rsid w:val="000A078F"/>
    <w:rsid w:val="000A07AA"/>
    <w:rsid w:val="000A07C5"/>
    <w:rsid w:val="000A0841"/>
    <w:rsid w:val="000A087D"/>
    <w:rsid w:val="000A09A4"/>
    <w:rsid w:val="000A09C2"/>
    <w:rsid w:val="000A09F6"/>
    <w:rsid w:val="000A09FE"/>
    <w:rsid w:val="000A0A82"/>
    <w:rsid w:val="000A0AED"/>
    <w:rsid w:val="000A0B0D"/>
    <w:rsid w:val="000A0BBB"/>
    <w:rsid w:val="000A0BE4"/>
    <w:rsid w:val="000A0C35"/>
    <w:rsid w:val="000A0D9F"/>
    <w:rsid w:val="000A0DBB"/>
    <w:rsid w:val="000A0E05"/>
    <w:rsid w:val="000A0E44"/>
    <w:rsid w:val="000A0E7A"/>
    <w:rsid w:val="000A0E9F"/>
    <w:rsid w:val="000A0FE8"/>
    <w:rsid w:val="000A1005"/>
    <w:rsid w:val="000A1045"/>
    <w:rsid w:val="000A10C9"/>
    <w:rsid w:val="000A10F0"/>
    <w:rsid w:val="000A10FC"/>
    <w:rsid w:val="000A111E"/>
    <w:rsid w:val="000A11CB"/>
    <w:rsid w:val="000A12AF"/>
    <w:rsid w:val="000A1306"/>
    <w:rsid w:val="000A1327"/>
    <w:rsid w:val="000A1345"/>
    <w:rsid w:val="000A1369"/>
    <w:rsid w:val="000A1377"/>
    <w:rsid w:val="000A13CC"/>
    <w:rsid w:val="000A13E4"/>
    <w:rsid w:val="000A1488"/>
    <w:rsid w:val="000A1586"/>
    <w:rsid w:val="000A15F1"/>
    <w:rsid w:val="000A163B"/>
    <w:rsid w:val="000A1685"/>
    <w:rsid w:val="000A1693"/>
    <w:rsid w:val="000A16D1"/>
    <w:rsid w:val="000A16E5"/>
    <w:rsid w:val="000A17A7"/>
    <w:rsid w:val="000A17D5"/>
    <w:rsid w:val="000A17E6"/>
    <w:rsid w:val="000A1821"/>
    <w:rsid w:val="000A18FE"/>
    <w:rsid w:val="000A191B"/>
    <w:rsid w:val="000A1923"/>
    <w:rsid w:val="000A194C"/>
    <w:rsid w:val="000A1986"/>
    <w:rsid w:val="000A19E3"/>
    <w:rsid w:val="000A19F1"/>
    <w:rsid w:val="000A19F3"/>
    <w:rsid w:val="000A1A87"/>
    <w:rsid w:val="000A1AC8"/>
    <w:rsid w:val="000A1AEF"/>
    <w:rsid w:val="000A1B17"/>
    <w:rsid w:val="000A1BC3"/>
    <w:rsid w:val="000A1BF9"/>
    <w:rsid w:val="000A1C64"/>
    <w:rsid w:val="000A1C72"/>
    <w:rsid w:val="000A1C7D"/>
    <w:rsid w:val="000A1DB0"/>
    <w:rsid w:val="000A1DF1"/>
    <w:rsid w:val="000A1E23"/>
    <w:rsid w:val="000A1EF1"/>
    <w:rsid w:val="000A1F05"/>
    <w:rsid w:val="000A2010"/>
    <w:rsid w:val="000A2146"/>
    <w:rsid w:val="000A2179"/>
    <w:rsid w:val="000A21B2"/>
    <w:rsid w:val="000A21BB"/>
    <w:rsid w:val="000A21BF"/>
    <w:rsid w:val="000A21E2"/>
    <w:rsid w:val="000A2200"/>
    <w:rsid w:val="000A2232"/>
    <w:rsid w:val="000A2233"/>
    <w:rsid w:val="000A225E"/>
    <w:rsid w:val="000A226D"/>
    <w:rsid w:val="000A22E9"/>
    <w:rsid w:val="000A22F1"/>
    <w:rsid w:val="000A230C"/>
    <w:rsid w:val="000A234C"/>
    <w:rsid w:val="000A23A7"/>
    <w:rsid w:val="000A24E7"/>
    <w:rsid w:val="000A2525"/>
    <w:rsid w:val="000A256C"/>
    <w:rsid w:val="000A258F"/>
    <w:rsid w:val="000A25D5"/>
    <w:rsid w:val="000A267F"/>
    <w:rsid w:val="000A26B6"/>
    <w:rsid w:val="000A2727"/>
    <w:rsid w:val="000A2755"/>
    <w:rsid w:val="000A27A2"/>
    <w:rsid w:val="000A27CB"/>
    <w:rsid w:val="000A27E9"/>
    <w:rsid w:val="000A282E"/>
    <w:rsid w:val="000A2871"/>
    <w:rsid w:val="000A289E"/>
    <w:rsid w:val="000A28A2"/>
    <w:rsid w:val="000A28E2"/>
    <w:rsid w:val="000A28F2"/>
    <w:rsid w:val="000A2914"/>
    <w:rsid w:val="000A292E"/>
    <w:rsid w:val="000A2950"/>
    <w:rsid w:val="000A2984"/>
    <w:rsid w:val="000A298F"/>
    <w:rsid w:val="000A2A35"/>
    <w:rsid w:val="000A2A39"/>
    <w:rsid w:val="000A2A5E"/>
    <w:rsid w:val="000A2A71"/>
    <w:rsid w:val="000A2AAC"/>
    <w:rsid w:val="000A2B86"/>
    <w:rsid w:val="000A2BCF"/>
    <w:rsid w:val="000A2BEB"/>
    <w:rsid w:val="000A2C2E"/>
    <w:rsid w:val="000A2C5B"/>
    <w:rsid w:val="000A2C6E"/>
    <w:rsid w:val="000A2CA0"/>
    <w:rsid w:val="000A2CB3"/>
    <w:rsid w:val="000A2CE2"/>
    <w:rsid w:val="000A2D15"/>
    <w:rsid w:val="000A2D1A"/>
    <w:rsid w:val="000A2D30"/>
    <w:rsid w:val="000A2D91"/>
    <w:rsid w:val="000A2DE9"/>
    <w:rsid w:val="000A2E02"/>
    <w:rsid w:val="000A2E15"/>
    <w:rsid w:val="000A2F0D"/>
    <w:rsid w:val="000A2F92"/>
    <w:rsid w:val="000A2FB6"/>
    <w:rsid w:val="000A3043"/>
    <w:rsid w:val="000A3097"/>
    <w:rsid w:val="000A3150"/>
    <w:rsid w:val="000A318C"/>
    <w:rsid w:val="000A3276"/>
    <w:rsid w:val="000A3278"/>
    <w:rsid w:val="000A328B"/>
    <w:rsid w:val="000A32F0"/>
    <w:rsid w:val="000A34C5"/>
    <w:rsid w:val="000A34ED"/>
    <w:rsid w:val="000A3505"/>
    <w:rsid w:val="000A3649"/>
    <w:rsid w:val="000A36B9"/>
    <w:rsid w:val="000A3713"/>
    <w:rsid w:val="000A375A"/>
    <w:rsid w:val="000A376C"/>
    <w:rsid w:val="000A3799"/>
    <w:rsid w:val="000A383C"/>
    <w:rsid w:val="000A38B3"/>
    <w:rsid w:val="000A38C9"/>
    <w:rsid w:val="000A38CE"/>
    <w:rsid w:val="000A3967"/>
    <w:rsid w:val="000A396F"/>
    <w:rsid w:val="000A39C0"/>
    <w:rsid w:val="000A39E2"/>
    <w:rsid w:val="000A3A00"/>
    <w:rsid w:val="000A3A6E"/>
    <w:rsid w:val="000A3A98"/>
    <w:rsid w:val="000A3AC0"/>
    <w:rsid w:val="000A3AD1"/>
    <w:rsid w:val="000A3B5A"/>
    <w:rsid w:val="000A3B95"/>
    <w:rsid w:val="000A3BC5"/>
    <w:rsid w:val="000A3C35"/>
    <w:rsid w:val="000A3C6A"/>
    <w:rsid w:val="000A3C74"/>
    <w:rsid w:val="000A3CB0"/>
    <w:rsid w:val="000A3D18"/>
    <w:rsid w:val="000A3E38"/>
    <w:rsid w:val="000A3E4F"/>
    <w:rsid w:val="000A3E57"/>
    <w:rsid w:val="000A3EA5"/>
    <w:rsid w:val="000A3F12"/>
    <w:rsid w:val="000A3F30"/>
    <w:rsid w:val="000A3F77"/>
    <w:rsid w:val="000A4032"/>
    <w:rsid w:val="000A409B"/>
    <w:rsid w:val="000A40B4"/>
    <w:rsid w:val="000A40B8"/>
    <w:rsid w:val="000A40E0"/>
    <w:rsid w:val="000A40EF"/>
    <w:rsid w:val="000A4115"/>
    <w:rsid w:val="000A41A9"/>
    <w:rsid w:val="000A41B7"/>
    <w:rsid w:val="000A420C"/>
    <w:rsid w:val="000A4268"/>
    <w:rsid w:val="000A42E0"/>
    <w:rsid w:val="000A43CD"/>
    <w:rsid w:val="000A43DF"/>
    <w:rsid w:val="000A43E3"/>
    <w:rsid w:val="000A446E"/>
    <w:rsid w:val="000A4472"/>
    <w:rsid w:val="000A44E3"/>
    <w:rsid w:val="000A4546"/>
    <w:rsid w:val="000A457C"/>
    <w:rsid w:val="000A45DE"/>
    <w:rsid w:val="000A45DF"/>
    <w:rsid w:val="000A4632"/>
    <w:rsid w:val="000A46A0"/>
    <w:rsid w:val="000A46D5"/>
    <w:rsid w:val="000A47D2"/>
    <w:rsid w:val="000A488B"/>
    <w:rsid w:val="000A48A1"/>
    <w:rsid w:val="000A498E"/>
    <w:rsid w:val="000A4A13"/>
    <w:rsid w:val="000A4AE2"/>
    <w:rsid w:val="000A4B8A"/>
    <w:rsid w:val="000A4C44"/>
    <w:rsid w:val="000A4CFE"/>
    <w:rsid w:val="000A4D61"/>
    <w:rsid w:val="000A4DBF"/>
    <w:rsid w:val="000A4F02"/>
    <w:rsid w:val="000A4F68"/>
    <w:rsid w:val="000A4F6F"/>
    <w:rsid w:val="000A4F94"/>
    <w:rsid w:val="000A4FED"/>
    <w:rsid w:val="000A5018"/>
    <w:rsid w:val="000A504B"/>
    <w:rsid w:val="000A5054"/>
    <w:rsid w:val="000A506D"/>
    <w:rsid w:val="000A5081"/>
    <w:rsid w:val="000A517A"/>
    <w:rsid w:val="000A51DF"/>
    <w:rsid w:val="000A51F8"/>
    <w:rsid w:val="000A5235"/>
    <w:rsid w:val="000A523A"/>
    <w:rsid w:val="000A5281"/>
    <w:rsid w:val="000A52B2"/>
    <w:rsid w:val="000A52CE"/>
    <w:rsid w:val="000A5390"/>
    <w:rsid w:val="000A53B1"/>
    <w:rsid w:val="000A54D9"/>
    <w:rsid w:val="000A54F1"/>
    <w:rsid w:val="000A54F4"/>
    <w:rsid w:val="000A5549"/>
    <w:rsid w:val="000A569F"/>
    <w:rsid w:val="000A56DC"/>
    <w:rsid w:val="000A56F5"/>
    <w:rsid w:val="000A56FF"/>
    <w:rsid w:val="000A5707"/>
    <w:rsid w:val="000A571D"/>
    <w:rsid w:val="000A576A"/>
    <w:rsid w:val="000A57B9"/>
    <w:rsid w:val="000A57FC"/>
    <w:rsid w:val="000A5803"/>
    <w:rsid w:val="000A587B"/>
    <w:rsid w:val="000A58CA"/>
    <w:rsid w:val="000A594B"/>
    <w:rsid w:val="000A5987"/>
    <w:rsid w:val="000A59A3"/>
    <w:rsid w:val="000A5AE6"/>
    <w:rsid w:val="000A5B1B"/>
    <w:rsid w:val="000A5C02"/>
    <w:rsid w:val="000A5C1B"/>
    <w:rsid w:val="000A5C4E"/>
    <w:rsid w:val="000A5C56"/>
    <w:rsid w:val="000A5C94"/>
    <w:rsid w:val="000A5CD2"/>
    <w:rsid w:val="000A5D66"/>
    <w:rsid w:val="000A5DAE"/>
    <w:rsid w:val="000A5DD4"/>
    <w:rsid w:val="000A5E44"/>
    <w:rsid w:val="000A5F4C"/>
    <w:rsid w:val="000A5FCD"/>
    <w:rsid w:val="000A6075"/>
    <w:rsid w:val="000A60C8"/>
    <w:rsid w:val="000A6105"/>
    <w:rsid w:val="000A619B"/>
    <w:rsid w:val="000A61AA"/>
    <w:rsid w:val="000A61B1"/>
    <w:rsid w:val="000A6212"/>
    <w:rsid w:val="000A6271"/>
    <w:rsid w:val="000A6302"/>
    <w:rsid w:val="000A6316"/>
    <w:rsid w:val="000A63A0"/>
    <w:rsid w:val="000A64E0"/>
    <w:rsid w:val="000A653C"/>
    <w:rsid w:val="000A6596"/>
    <w:rsid w:val="000A6637"/>
    <w:rsid w:val="000A670C"/>
    <w:rsid w:val="000A6733"/>
    <w:rsid w:val="000A67B0"/>
    <w:rsid w:val="000A67FB"/>
    <w:rsid w:val="000A681F"/>
    <w:rsid w:val="000A6824"/>
    <w:rsid w:val="000A6831"/>
    <w:rsid w:val="000A68C4"/>
    <w:rsid w:val="000A6B21"/>
    <w:rsid w:val="000A6B49"/>
    <w:rsid w:val="000A6BC1"/>
    <w:rsid w:val="000A6BD7"/>
    <w:rsid w:val="000A6C13"/>
    <w:rsid w:val="000A6D06"/>
    <w:rsid w:val="000A6D40"/>
    <w:rsid w:val="000A6D5D"/>
    <w:rsid w:val="000A6D7C"/>
    <w:rsid w:val="000A6DB8"/>
    <w:rsid w:val="000A6DDB"/>
    <w:rsid w:val="000A6DFE"/>
    <w:rsid w:val="000A6E28"/>
    <w:rsid w:val="000A6E53"/>
    <w:rsid w:val="000A6E69"/>
    <w:rsid w:val="000A6E82"/>
    <w:rsid w:val="000A6E94"/>
    <w:rsid w:val="000A6E97"/>
    <w:rsid w:val="000A6EC5"/>
    <w:rsid w:val="000A6F0E"/>
    <w:rsid w:val="000A6F30"/>
    <w:rsid w:val="000A7030"/>
    <w:rsid w:val="000A7063"/>
    <w:rsid w:val="000A7065"/>
    <w:rsid w:val="000A706A"/>
    <w:rsid w:val="000A7088"/>
    <w:rsid w:val="000A711D"/>
    <w:rsid w:val="000A7145"/>
    <w:rsid w:val="000A714B"/>
    <w:rsid w:val="000A71A7"/>
    <w:rsid w:val="000A722F"/>
    <w:rsid w:val="000A723F"/>
    <w:rsid w:val="000A731E"/>
    <w:rsid w:val="000A733F"/>
    <w:rsid w:val="000A7344"/>
    <w:rsid w:val="000A738F"/>
    <w:rsid w:val="000A73DD"/>
    <w:rsid w:val="000A7478"/>
    <w:rsid w:val="000A74AD"/>
    <w:rsid w:val="000A74CD"/>
    <w:rsid w:val="000A74FC"/>
    <w:rsid w:val="000A750B"/>
    <w:rsid w:val="000A7515"/>
    <w:rsid w:val="000A75A5"/>
    <w:rsid w:val="000A7633"/>
    <w:rsid w:val="000A768D"/>
    <w:rsid w:val="000A7782"/>
    <w:rsid w:val="000A7817"/>
    <w:rsid w:val="000A7829"/>
    <w:rsid w:val="000A7903"/>
    <w:rsid w:val="000A7927"/>
    <w:rsid w:val="000A7979"/>
    <w:rsid w:val="000A798A"/>
    <w:rsid w:val="000A7991"/>
    <w:rsid w:val="000A79CA"/>
    <w:rsid w:val="000A79CD"/>
    <w:rsid w:val="000A7A0E"/>
    <w:rsid w:val="000A7A46"/>
    <w:rsid w:val="000A7A7D"/>
    <w:rsid w:val="000A7AB3"/>
    <w:rsid w:val="000A7AFE"/>
    <w:rsid w:val="000A7B2A"/>
    <w:rsid w:val="000A7B2F"/>
    <w:rsid w:val="000A7C33"/>
    <w:rsid w:val="000A7C8D"/>
    <w:rsid w:val="000A7D35"/>
    <w:rsid w:val="000A7D8E"/>
    <w:rsid w:val="000A7D97"/>
    <w:rsid w:val="000A7E93"/>
    <w:rsid w:val="000A7F22"/>
    <w:rsid w:val="000A7F86"/>
    <w:rsid w:val="000A7F93"/>
    <w:rsid w:val="000A7F98"/>
    <w:rsid w:val="000B0078"/>
    <w:rsid w:val="000B00E1"/>
    <w:rsid w:val="000B0170"/>
    <w:rsid w:val="000B0193"/>
    <w:rsid w:val="000B01D5"/>
    <w:rsid w:val="000B0233"/>
    <w:rsid w:val="000B030A"/>
    <w:rsid w:val="000B03A9"/>
    <w:rsid w:val="000B03B2"/>
    <w:rsid w:val="000B03D5"/>
    <w:rsid w:val="000B05B8"/>
    <w:rsid w:val="000B05F2"/>
    <w:rsid w:val="000B0611"/>
    <w:rsid w:val="000B06AA"/>
    <w:rsid w:val="000B06EE"/>
    <w:rsid w:val="000B070C"/>
    <w:rsid w:val="000B07C8"/>
    <w:rsid w:val="000B0851"/>
    <w:rsid w:val="000B08BC"/>
    <w:rsid w:val="000B08D3"/>
    <w:rsid w:val="000B0A02"/>
    <w:rsid w:val="000B0A07"/>
    <w:rsid w:val="000B0A27"/>
    <w:rsid w:val="000B0A94"/>
    <w:rsid w:val="000B0AA8"/>
    <w:rsid w:val="000B0B8D"/>
    <w:rsid w:val="000B0B95"/>
    <w:rsid w:val="000B0B9C"/>
    <w:rsid w:val="000B0C31"/>
    <w:rsid w:val="000B0C41"/>
    <w:rsid w:val="000B0CDE"/>
    <w:rsid w:val="000B0D2A"/>
    <w:rsid w:val="000B0D6D"/>
    <w:rsid w:val="000B0D7A"/>
    <w:rsid w:val="000B0E3C"/>
    <w:rsid w:val="000B0E42"/>
    <w:rsid w:val="000B0E5B"/>
    <w:rsid w:val="000B0E5E"/>
    <w:rsid w:val="000B0E89"/>
    <w:rsid w:val="000B0F36"/>
    <w:rsid w:val="000B0F3E"/>
    <w:rsid w:val="000B0F5A"/>
    <w:rsid w:val="000B0FEF"/>
    <w:rsid w:val="000B102E"/>
    <w:rsid w:val="000B103E"/>
    <w:rsid w:val="000B10CF"/>
    <w:rsid w:val="000B10E9"/>
    <w:rsid w:val="000B1133"/>
    <w:rsid w:val="000B1146"/>
    <w:rsid w:val="000B1175"/>
    <w:rsid w:val="000B1182"/>
    <w:rsid w:val="000B1188"/>
    <w:rsid w:val="000B11D0"/>
    <w:rsid w:val="000B121E"/>
    <w:rsid w:val="000B1294"/>
    <w:rsid w:val="000B12ED"/>
    <w:rsid w:val="000B131A"/>
    <w:rsid w:val="000B132D"/>
    <w:rsid w:val="000B13BB"/>
    <w:rsid w:val="000B13F3"/>
    <w:rsid w:val="000B1421"/>
    <w:rsid w:val="000B14AE"/>
    <w:rsid w:val="000B1540"/>
    <w:rsid w:val="000B1567"/>
    <w:rsid w:val="000B1576"/>
    <w:rsid w:val="000B15B4"/>
    <w:rsid w:val="000B1600"/>
    <w:rsid w:val="000B16B8"/>
    <w:rsid w:val="000B1769"/>
    <w:rsid w:val="000B17CF"/>
    <w:rsid w:val="000B17D0"/>
    <w:rsid w:val="000B1804"/>
    <w:rsid w:val="000B1831"/>
    <w:rsid w:val="000B1846"/>
    <w:rsid w:val="000B18A3"/>
    <w:rsid w:val="000B1927"/>
    <w:rsid w:val="000B1947"/>
    <w:rsid w:val="000B1959"/>
    <w:rsid w:val="000B195F"/>
    <w:rsid w:val="000B1974"/>
    <w:rsid w:val="000B1990"/>
    <w:rsid w:val="000B19DD"/>
    <w:rsid w:val="000B1AAF"/>
    <w:rsid w:val="000B1B3D"/>
    <w:rsid w:val="000B1B97"/>
    <w:rsid w:val="000B1BE2"/>
    <w:rsid w:val="000B1C16"/>
    <w:rsid w:val="000B1C1B"/>
    <w:rsid w:val="000B1C4F"/>
    <w:rsid w:val="000B1C61"/>
    <w:rsid w:val="000B1CD5"/>
    <w:rsid w:val="000B1D33"/>
    <w:rsid w:val="000B1D62"/>
    <w:rsid w:val="000B1DA8"/>
    <w:rsid w:val="000B1DA9"/>
    <w:rsid w:val="000B1DBA"/>
    <w:rsid w:val="000B1DC1"/>
    <w:rsid w:val="000B1DD5"/>
    <w:rsid w:val="000B1DE5"/>
    <w:rsid w:val="000B1E34"/>
    <w:rsid w:val="000B1E62"/>
    <w:rsid w:val="000B1EC9"/>
    <w:rsid w:val="000B1FCD"/>
    <w:rsid w:val="000B202E"/>
    <w:rsid w:val="000B2031"/>
    <w:rsid w:val="000B209E"/>
    <w:rsid w:val="000B20DC"/>
    <w:rsid w:val="000B20FA"/>
    <w:rsid w:val="000B2107"/>
    <w:rsid w:val="000B2162"/>
    <w:rsid w:val="000B218B"/>
    <w:rsid w:val="000B2190"/>
    <w:rsid w:val="000B21C9"/>
    <w:rsid w:val="000B2205"/>
    <w:rsid w:val="000B234E"/>
    <w:rsid w:val="000B2358"/>
    <w:rsid w:val="000B23F5"/>
    <w:rsid w:val="000B2499"/>
    <w:rsid w:val="000B24DF"/>
    <w:rsid w:val="000B24FC"/>
    <w:rsid w:val="000B250C"/>
    <w:rsid w:val="000B2511"/>
    <w:rsid w:val="000B25D6"/>
    <w:rsid w:val="000B25E1"/>
    <w:rsid w:val="000B2627"/>
    <w:rsid w:val="000B2635"/>
    <w:rsid w:val="000B26C6"/>
    <w:rsid w:val="000B26EE"/>
    <w:rsid w:val="000B2712"/>
    <w:rsid w:val="000B2763"/>
    <w:rsid w:val="000B2779"/>
    <w:rsid w:val="000B27EC"/>
    <w:rsid w:val="000B2858"/>
    <w:rsid w:val="000B2871"/>
    <w:rsid w:val="000B28A1"/>
    <w:rsid w:val="000B28CD"/>
    <w:rsid w:val="000B28DF"/>
    <w:rsid w:val="000B2970"/>
    <w:rsid w:val="000B29A6"/>
    <w:rsid w:val="000B29CD"/>
    <w:rsid w:val="000B2A74"/>
    <w:rsid w:val="000B2AA9"/>
    <w:rsid w:val="000B2ABB"/>
    <w:rsid w:val="000B2AE7"/>
    <w:rsid w:val="000B2BBA"/>
    <w:rsid w:val="000B2BC5"/>
    <w:rsid w:val="000B2CEC"/>
    <w:rsid w:val="000B2D40"/>
    <w:rsid w:val="000B2D46"/>
    <w:rsid w:val="000B2DB9"/>
    <w:rsid w:val="000B2E67"/>
    <w:rsid w:val="000B2E99"/>
    <w:rsid w:val="000B2F35"/>
    <w:rsid w:val="000B2F44"/>
    <w:rsid w:val="000B2F94"/>
    <w:rsid w:val="000B2FC9"/>
    <w:rsid w:val="000B2FD8"/>
    <w:rsid w:val="000B303B"/>
    <w:rsid w:val="000B30A1"/>
    <w:rsid w:val="000B30D3"/>
    <w:rsid w:val="000B30E7"/>
    <w:rsid w:val="000B311C"/>
    <w:rsid w:val="000B317E"/>
    <w:rsid w:val="000B320D"/>
    <w:rsid w:val="000B3240"/>
    <w:rsid w:val="000B3306"/>
    <w:rsid w:val="000B3343"/>
    <w:rsid w:val="000B339B"/>
    <w:rsid w:val="000B33D7"/>
    <w:rsid w:val="000B343B"/>
    <w:rsid w:val="000B34C6"/>
    <w:rsid w:val="000B3504"/>
    <w:rsid w:val="000B351B"/>
    <w:rsid w:val="000B3586"/>
    <w:rsid w:val="000B35BD"/>
    <w:rsid w:val="000B35C8"/>
    <w:rsid w:val="000B36B7"/>
    <w:rsid w:val="000B373E"/>
    <w:rsid w:val="000B37A5"/>
    <w:rsid w:val="000B3812"/>
    <w:rsid w:val="000B3837"/>
    <w:rsid w:val="000B38BB"/>
    <w:rsid w:val="000B3926"/>
    <w:rsid w:val="000B3A40"/>
    <w:rsid w:val="000B3A48"/>
    <w:rsid w:val="000B3A57"/>
    <w:rsid w:val="000B3B17"/>
    <w:rsid w:val="000B3B31"/>
    <w:rsid w:val="000B3C7F"/>
    <w:rsid w:val="000B3CE8"/>
    <w:rsid w:val="000B3D41"/>
    <w:rsid w:val="000B3D6B"/>
    <w:rsid w:val="000B3D9F"/>
    <w:rsid w:val="000B3DFF"/>
    <w:rsid w:val="000B3E47"/>
    <w:rsid w:val="000B3E52"/>
    <w:rsid w:val="000B3ED4"/>
    <w:rsid w:val="000B3F2A"/>
    <w:rsid w:val="000B3FAF"/>
    <w:rsid w:val="000B3FB4"/>
    <w:rsid w:val="000B3FCB"/>
    <w:rsid w:val="000B3FDA"/>
    <w:rsid w:val="000B4027"/>
    <w:rsid w:val="000B404E"/>
    <w:rsid w:val="000B420C"/>
    <w:rsid w:val="000B4250"/>
    <w:rsid w:val="000B4280"/>
    <w:rsid w:val="000B42A9"/>
    <w:rsid w:val="000B42E9"/>
    <w:rsid w:val="000B4406"/>
    <w:rsid w:val="000B445B"/>
    <w:rsid w:val="000B44D7"/>
    <w:rsid w:val="000B452E"/>
    <w:rsid w:val="000B46FC"/>
    <w:rsid w:val="000B4715"/>
    <w:rsid w:val="000B4782"/>
    <w:rsid w:val="000B4878"/>
    <w:rsid w:val="000B48B3"/>
    <w:rsid w:val="000B48C3"/>
    <w:rsid w:val="000B48EA"/>
    <w:rsid w:val="000B4918"/>
    <w:rsid w:val="000B4922"/>
    <w:rsid w:val="000B4987"/>
    <w:rsid w:val="000B49D7"/>
    <w:rsid w:val="000B4A05"/>
    <w:rsid w:val="000B4A08"/>
    <w:rsid w:val="000B4A43"/>
    <w:rsid w:val="000B4AF2"/>
    <w:rsid w:val="000B4BAC"/>
    <w:rsid w:val="000B4BB3"/>
    <w:rsid w:val="000B4C20"/>
    <w:rsid w:val="000B4D4C"/>
    <w:rsid w:val="000B4DCE"/>
    <w:rsid w:val="000B4DD5"/>
    <w:rsid w:val="000B4F1E"/>
    <w:rsid w:val="000B4FE9"/>
    <w:rsid w:val="000B504B"/>
    <w:rsid w:val="000B506F"/>
    <w:rsid w:val="000B5197"/>
    <w:rsid w:val="000B51F1"/>
    <w:rsid w:val="000B5206"/>
    <w:rsid w:val="000B527B"/>
    <w:rsid w:val="000B52A5"/>
    <w:rsid w:val="000B52B1"/>
    <w:rsid w:val="000B5373"/>
    <w:rsid w:val="000B53D2"/>
    <w:rsid w:val="000B547F"/>
    <w:rsid w:val="000B54A5"/>
    <w:rsid w:val="000B54C2"/>
    <w:rsid w:val="000B5540"/>
    <w:rsid w:val="000B5605"/>
    <w:rsid w:val="000B5625"/>
    <w:rsid w:val="000B5650"/>
    <w:rsid w:val="000B5693"/>
    <w:rsid w:val="000B569F"/>
    <w:rsid w:val="000B56D1"/>
    <w:rsid w:val="000B575B"/>
    <w:rsid w:val="000B5761"/>
    <w:rsid w:val="000B577C"/>
    <w:rsid w:val="000B5786"/>
    <w:rsid w:val="000B57A1"/>
    <w:rsid w:val="000B57F2"/>
    <w:rsid w:val="000B58BC"/>
    <w:rsid w:val="000B58BD"/>
    <w:rsid w:val="000B5913"/>
    <w:rsid w:val="000B591E"/>
    <w:rsid w:val="000B5923"/>
    <w:rsid w:val="000B5956"/>
    <w:rsid w:val="000B5971"/>
    <w:rsid w:val="000B59BA"/>
    <w:rsid w:val="000B5A20"/>
    <w:rsid w:val="000B5A41"/>
    <w:rsid w:val="000B5A67"/>
    <w:rsid w:val="000B5A69"/>
    <w:rsid w:val="000B5AD5"/>
    <w:rsid w:val="000B5B57"/>
    <w:rsid w:val="000B5B79"/>
    <w:rsid w:val="000B5BD0"/>
    <w:rsid w:val="000B5C11"/>
    <w:rsid w:val="000B5D49"/>
    <w:rsid w:val="000B5D6E"/>
    <w:rsid w:val="000B5DBB"/>
    <w:rsid w:val="000B5DFA"/>
    <w:rsid w:val="000B5DFF"/>
    <w:rsid w:val="000B5E3B"/>
    <w:rsid w:val="000B5E78"/>
    <w:rsid w:val="000B5ED0"/>
    <w:rsid w:val="000B5F29"/>
    <w:rsid w:val="000B5F30"/>
    <w:rsid w:val="000B605A"/>
    <w:rsid w:val="000B61AE"/>
    <w:rsid w:val="000B61F7"/>
    <w:rsid w:val="000B61FA"/>
    <w:rsid w:val="000B61FB"/>
    <w:rsid w:val="000B627F"/>
    <w:rsid w:val="000B639E"/>
    <w:rsid w:val="000B63E9"/>
    <w:rsid w:val="000B645A"/>
    <w:rsid w:val="000B64ED"/>
    <w:rsid w:val="000B64FE"/>
    <w:rsid w:val="000B651A"/>
    <w:rsid w:val="000B6597"/>
    <w:rsid w:val="000B65A3"/>
    <w:rsid w:val="000B6653"/>
    <w:rsid w:val="000B6749"/>
    <w:rsid w:val="000B6773"/>
    <w:rsid w:val="000B679E"/>
    <w:rsid w:val="000B67C5"/>
    <w:rsid w:val="000B6874"/>
    <w:rsid w:val="000B6878"/>
    <w:rsid w:val="000B68CD"/>
    <w:rsid w:val="000B6950"/>
    <w:rsid w:val="000B6A2D"/>
    <w:rsid w:val="000B6A4C"/>
    <w:rsid w:val="000B6B81"/>
    <w:rsid w:val="000B6B8F"/>
    <w:rsid w:val="000B6B9A"/>
    <w:rsid w:val="000B6CAE"/>
    <w:rsid w:val="000B6D86"/>
    <w:rsid w:val="000B6D96"/>
    <w:rsid w:val="000B6DB6"/>
    <w:rsid w:val="000B6DD4"/>
    <w:rsid w:val="000B6EC7"/>
    <w:rsid w:val="000B6EDE"/>
    <w:rsid w:val="000B6F28"/>
    <w:rsid w:val="000B6F46"/>
    <w:rsid w:val="000B6F5F"/>
    <w:rsid w:val="000B6FB0"/>
    <w:rsid w:val="000B6FD2"/>
    <w:rsid w:val="000B6FE0"/>
    <w:rsid w:val="000B6FFA"/>
    <w:rsid w:val="000B7016"/>
    <w:rsid w:val="000B7032"/>
    <w:rsid w:val="000B70AE"/>
    <w:rsid w:val="000B70C1"/>
    <w:rsid w:val="000B70E4"/>
    <w:rsid w:val="000B712C"/>
    <w:rsid w:val="000B71D8"/>
    <w:rsid w:val="000B7201"/>
    <w:rsid w:val="000B7228"/>
    <w:rsid w:val="000B72D3"/>
    <w:rsid w:val="000B741C"/>
    <w:rsid w:val="000B7453"/>
    <w:rsid w:val="000B745A"/>
    <w:rsid w:val="000B74BA"/>
    <w:rsid w:val="000B75B7"/>
    <w:rsid w:val="000B766E"/>
    <w:rsid w:val="000B76E6"/>
    <w:rsid w:val="000B7721"/>
    <w:rsid w:val="000B7773"/>
    <w:rsid w:val="000B7818"/>
    <w:rsid w:val="000B784D"/>
    <w:rsid w:val="000B78F1"/>
    <w:rsid w:val="000B7AEB"/>
    <w:rsid w:val="000B7BBB"/>
    <w:rsid w:val="000B7BC0"/>
    <w:rsid w:val="000B7BCD"/>
    <w:rsid w:val="000B7C01"/>
    <w:rsid w:val="000B7C1A"/>
    <w:rsid w:val="000B7CDC"/>
    <w:rsid w:val="000B7D59"/>
    <w:rsid w:val="000B7D62"/>
    <w:rsid w:val="000B7E4E"/>
    <w:rsid w:val="000B7E5C"/>
    <w:rsid w:val="000B7E62"/>
    <w:rsid w:val="000B7E85"/>
    <w:rsid w:val="000B7EA8"/>
    <w:rsid w:val="000B7F12"/>
    <w:rsid w:val="000B7F4F"/>
    <w:rsid w:val="000B7F7A"/>
    <w:rsid w:val="000B7F8F"/>
    <w:rsid w:val="000C00DE"/>
    <w:rsid w:val="000C01C8"/>
    <w:rsid w:val="000C021E"/>
    <w:rsid w:val="000C0242"/>
    <w:rsid w:val="000C02B4"/>
    <w:rsid w:val="000C0302"/>
    <w:rsid w:val="000C038C"/>
    <w:rsid w:val="000C03AD"/>
    <w:rsid w:val="000C03D9"/>
    <w:rsid w:val="000C0437"/>
    <w:rsid w:val="000C0486"/>
    <w:rsid w:val="000C048E"/>
    <w:rsid w:val="000C049C"/>
    <w:rsid w:val="000C04BB"/>
    <w:rsid w:val="000C04CC"/>
    <w:rsid w:val="000C04E8"/>
    <w:rsid w:val="000C050C"/>
    <w:rsid w:val="000C05F3"/>
    <w:rsid w:val="000C0669"/>
    <w:rsid w:val="000C0698"/>
    <w:rsid w:val="000C06C8"/>
    <w:rsid w:val="000C06DE"/>
    <w:rsid w:val="000C072C"/>
    <w:rsid w:val="000C07AE"/>
    <w:rsid w:val="000C07CC"/>
    <w:rsid w:val="000C0902"/>
    <w:rsid w:val="000C094E"/>
    <w:rsid w:val="000C09F1"/>
    <w:rsid w:val="000C0A17"/>
    <w:rsid w:val="000C0A2A"/>
    <w:rsid w:val="000C0A7C"/>
    <w:rsid w:val="000C0A86"/>
    <w:rsid w:val="000C0AD1"/>
    <w:rsid w:val="000C0AE8"/>
    <w:rsid w:val="000C0B7F"/>
    <w:rsid w:val="000C0C47"/>
    <w:rsid w:val="000C0CAC"/>
    <w:rsid w:val="000C0CFC"/>
    <w:rsid w:val="000C0D02"/>
    <w:rsid w:val="000C0D59"/>
    <w:rsid w:val="000C0DA8"/>
    <w:rsid w:val="000C0DD5"/>
    <w:rsid w:val="000C0F12"/>
    <w:rsid w:val="000C0F50"/>
    <w:rsid w:val="000C0FEB"/>
    <w:rsid w:val="000C1021"/>
    <w:rsid w:val="000C1113"/>
    <w:rsid w:val="000C1135"/>
    <w:rsid w:val="000C1155"/>
    <w:rsid w:val="000C11E5"/>
    <w:rsid w:val="000C11EF"/>
    <w:rsid w:val="000C121A"/>
    <w:rsid w:val="000C1237"/>
    <w:rsid w:val="000C12C4"/>
    <w:rsid w:val="000C1351"/>
    <w:rsid w:val="000C135D"/>
    <w:rsid w:val="000C13AC"/>
    <w:rsid w:val="000C1415"/>
    <w:rsid w:val="000C1448"/>
    <w:rsid w:val="000C1462"/>
    <w:rsid w:val="000C149B"/>
    <w:rsid w:val="000C158F"/>
    <w:rsid w:val="000C1623"/>
    <w:rsid w:val="000C1710"/>
    <w:rsid w:val="000C1781"/>
    <w:rsid w:val="000C17D9"/>
    <w:rsid w:val="000C17F5"/>
    <w:rsid w:val="000C181B"/>
    <w:rsid w:val="000C185D"/>
    <w:rsid w:val="000C188F"/>
    <w:rsid w:val="000C190C"/>
    <w:rsid w:val="000C1978"/>
    <w:rsid w:val="000C19BE"/>
    <w:rsid w:val="000C19FD"/>
    <w:rsid w:val="000C1B0B"/>
    <w:rsid w:val="000C1B73"/>
    <w:rsid w:val="000C1C6E"/>
    <w:rsid w:val="000C1C6F"/>
    <w:rsid w:val="000C1CE3"/>
    <w:rsid w:val="000C1D6D"/>
    <w:rsid w:val="000C1D70"/>
    <w:rsid w:val="000C1D96"/>
    <w:rsid w:val="000C1DB3"/>
    <w:rsid w:val="000C1EF3"/>
    <w:rsid w:val="000C1F52"/>
    <w:rsid w:val="000C2006"/>
    <w:rsid w:val="000C2016"/>
    <w:rsid w:val="000C202A"/>
    <w:rsid w:val="000C2069"/>
    <w:rsid w:val="000C20C6"/>
    <w:rsid w:val="000C2204"/>
    <w:rsid w:val="000C2207"/>
    <w:rsid w:val="000C22AD"/>
    <w:rsid w:val="000C2352"/>
    <w:rsid w:val="000C2378"/>
    <w:rsid w:val="000C25A0"/>
    <w:rsid w:val="000C25AB"/>
    <w:rsid w:val="000C2617"/>
    <w:rsid w:val="000C268A"/>
    <w:rsid w:val="000C269C"/>
    <w:rsid w:val="000C26D7"/>
    <w:rsid w:val="000C26E2"/>
    <w:rsid w:val="000C270B"/>
    <w:rsid w:val="000C274F"/>
    <w:rsid w:val="000C27C1"/>
    <w:rsid w:val="000C2809"/>
    <w:rsid w:val="000C2868"/>
    <w:rsid w:val="000C28DC"/>
    <w:rsid w:val="000C28E6"/>
    <w:rsid w:val="000C28FD"/>
    <w:rsid w:val="000C2948"/>
    <w:rsid w:val="000C2957"/>
    <w:rsid w:val="000C2A0B"/>
    <w:rsid w:val="000C2AEB"/>
    <w:rsid w:val="000C2B69"/>
    <w:rsid w:val="000C2B8A"/>
    <w:rsid w:val="000C2BB5"/>
    <w:rsid w:val="000C2BC3"/>
    <w:rsid w:val="000C2C33"/>
    <w:rsid w:val="000C2C88"/>
    <w:rsid w:val="000C2CC6"/>
    <w:rsid w:val="000C2CF7"/>
    <w:rsid w:val="000C2DC8"/>
    <w:rsid w:val="000C2E36"/>
    <w:rsid w:val="000C2E54"/>
    <w:rsid w:val="000C2E61"/>
    <w:rsid w:val="000C2ED4"/>
    <w:rsid w:val="000C3030"/>
    <w:rsid w:val="000C3049"/>
    <w:rsid w:val="000C306E"/>
    <w:rsid w:val="000C30B1"/>
    <w:rsid w:val="000C3139"/>
    <w:rsid w:val="000C3162"/>
    <w:rsid w:val="000C31FD"/>
    <w:rsid w:val="000C320B"/>
    <w:rsid w:val="000C3221"/>
    <w:rsid w:val="000C3286"/>
    <w:rsid w:val="000C3291"/>
    <w:rsid w:val="000C330C"/>
    <w:rsid w:val="000C33BC"/>
    <w:rsid w:val="000C33C3"/>
    <w:rsid w:val="000C33EC"/>
    <w:rsid w:val="000C33F7"/>
    <w:rsid w:val="000C3412"/>
    <w:rsid w:val="000C3499"/>
    <w:rsid w:val="000C34D8"/>
    <w:rsid w:val="000C3506"/>
    <w:rsid w:val="000C361C"/>
    <w:rsid w:val="000C3637"/>
    <w:rsid w:val="000C36E7"/>
    <w:rsid w:val="000C36ED"/>
    <w:rsid w:val="000C3798"/>
    <w:rsid w:val="000C37A5"/>
    <w:rsid w:val="000C37C2"/>
    <w:rsid w:val="000C37C5"/>
    <w:rsid w:val="000C37F5"/>
    <w:rsid w:val="000C382C"/>
    <w:rsid w:val="000C382F"/>
    <w:rsid w:val="000C388D"/>
    <w:rsid w:val="000C393B"/>
    <w:rsid w:val="000C3945"/>
    <w:rsid w:val="000C397F"/>
    <w:rsid w:val="000C39BC"/>
    <w:rsid w:val="000C3A31"/>
    <w:rsid w:val="000C3A53"/>
    <w:rsid w:val="000C3A54"/>
    <w:rsid w:val="000C3AB9"/>
    <w:rsid w:val="000C3B7A"/>
    <w:rsid w:val="000C3C88"/>
    <w:rsid w:val="000C3D1C"/>
    <w:rsid w:val="000C3D3C"/>
    <w:rsid w:val="000C3D79"/>
    <w:rsid w:val="000C3D7B"/>
    <w:rsid w:val="000C3DB8"/>
    <w:rsid w:val="000C3DE3"/>
    <w:rsid w:val="000C3E07"/>
    <w:rsid w:val="000C3E25"/>
    <w:rsid w:val="000C3E41"/>
    <w:rsid w:val="000C3E44"/>
    <w:rsid w:val="000C3E52"/>
    <w:rsid w:val="000C3E9C"/>
    <w:rsid w:val="000C3EA6"/>
    <w:rsid w:val="000C3EE5"/>
    <w:rsid w:val="000C3F7F"/>
    <w:rsid w:val="000C3FD7"/>
    <w:rsid w:val="000C3FE9"/>
    <w:rsid w:val="000C3FEB"/>
    <w:rsid w:val="000C403B"/>
    <w:rsid w:val="000C408F"/>
    <w:rsid w:val="000C4140"/>
    <w:rsid w:val="000C4254"/>
    <w:rsid w:val="000C42E2"/>
    <w:rsid w:val="000C4316"/>
    <w:rsid w:val="000C4333"/>
    <w:rsid w:val="000C4360"/>
    <w:rsid w:val="000C43AF"/>
    <w:rsid w:val="000C43E2"/>
    <w:rsid w:val="000C4408"/>
    <w:rsid w:val="000C443F"/>
    <w:rsid w:val="000C444E"/>
    <w:rsid w:val="000C4461"/>
    <w:rsid w:val="000C4478"/>
    <w:rsid w:val="000C4511"/>
    <w:rsid w:val="000C4592"/>
    <w:rsid w:val="000C45D7"/>
    <w:rsid w:val="000C461E"/>
    <w:rsid w:val="000C461F"/>
    <w:rsid w:val="000C4630"/>
    <w:rsid w:val="000C4660"/>
    <w:rsid w:val="000C4664"/>
    <w:rsid w:val="000C46A6"/>
    <w:rsid w:val="000C4707"/>
    <w:rsid w:val="000C470E"/>
    <w:rsid w:val="000C4718"/>
    <w:rsid w:val="000C472F"/>
    <w:rsid w:val="000C4767"/>
    <w:rsid w:val="000C4770"/>
    <w:rsid w:val="000C478B"/>
    <w:rsid w:val="000C482F"/>
    <w:rsid w:val="000C4888"/>
    <w:rsid w:val="000C48E9"/>
    <w:rsid w:val="000C498E"/>
    <w:rsid w:val="000C4A0B"/>
    <w:rsid w:val="000C4AC6"/>
    <w:rsid w:val="000C4AD4"/>
    <w:rsid w:val="000C4AF6"/>
    <w:rsid w:val="000C4B5F"/>
    <w:rsid w:val="000C4BBF"/>
    <w:rsid w:val="000C4C02"/>
    <w:rsid w:val="000C4C36"/>
    <w:rsid w:val="000C4D14"/>
    <w:rsid w:val="000C4D54"/>
    <w:rsid w:val="000C4E66"/>
    <w:rsid w:val="000C4EB0"/>
    <w:rsid w:val="000C4ECE"/>
    <w:rsid w:val="000C4ED1"/>
    <w:rsid w:val="000C4F2F"/>
    <w:rsid w:val="000C4F57"/>
    <w:rsid w:val="000C4FE8"/>
    <w:rsid w:val="000C5002"/>
    <w:rsid w:val="000C5024"/>
    <w:rsid w:val="000C5026"/>
    <w:rsid w:val="000C5060"/>
    <w:rsid w:val="000C5123"/>
    <w:rsid w:val="000C5172"/>
    <w:rsid w:val="000C51E1"/>
    <w:rsid w:val="000C5215"/>
    <w:rsid w:val="000C528A"/>
    <w:rsid w:val="000C52C7"/>
    <w:rsid w:val="000C5324"/>
    <w:rsid w:val="000C5351"/>
    <w:rsid w:val="000C53F6"/>
    <w:rsid w:val="000C5412"/>
    <w:rsid w:val="000C5420"/>
    <w:rsid w:val="000C542B"/>
    <w:rsid w:val="000C544B"/>
    <w:rsid w:val="000C54EF"/>
    <w:rsid w:val="000C54F2"/>
    <w:rsid w:val="000C5598"/>
    <w:rsid w:val="000C55A6"/>
    <w:rsid w:val="000C55E4"/>
    <w:rsid w:val="000C564D"/>
    <w:rsid w:val="000C5709"/>
    <w:rsid w:val="000C5775"/>
    <w:rsid w:val="000C57BE"/>
    <w:rsid w:val="000C57BF"/>
    <w:rsid w:val="000C57DD"/>
    <w:rsid w:val="000C57E4"/>
    <w:rsid w:val="000C5818"/>
    <w:rsid w:val="000C5833"/>
    <w:rsid w:val="000C5A52"/>
    <w:rsid w:val="000C5A5F"/>
    <w:rsid w:val="000C5AC9"/>
    <w:rsid w:val="000C5AD1"/>
    <w:rsid w:val="000C5B03"/>
    <w:rsid w:val="000C5B30"/>
    <w:rsid w:val="000C5BA1"/>
    <w:rsid w:val="000C5BA9"/>
    <w:rsid w:val="000C5C07"/>
    <w:rsid w:val="000C5C1F"/>
    <w:rsid w:val="000C5C83"/>
    <w:rsid w:val="000C5C96"/>
    <w:rsid w:val="000C5DF5"/>
    <w:rsid w:val="000C5E76"/>
    <w:rsid w:val="000C5EA8"/>
    <w:rsid w:val="000C5ED1"/>
    <w:rsid w:val="000C5F83"/>
    <w:rsid w:val="000C5F96"/>
    <w:rsid w:val="000C5FB9"/>
    <w:rsid w:val="000C6006"/>
    <w:rsid w:val="000C6076"/>
    <w:rsid w:val="000C60BF"/>
    <w:rsid w:val="000C6298"/>
    <w:rsid w:val="000C62A9"/>
    <w:rsid w:val="000C62BC"/>
    <w:rsid w:val="000C63C2"/>
    <w:rsid w:val="000C640D"/>
    <w:rsid w:val="000C6453"/>
    <w:rsid w:val="000C65E9"/>
    <w:rsid w:val="000C6613"/>
    <w:rsid w:val="000C6618"/>
    <w:rsid w:val="000C661D"/>
    <w:rsid w:val="000C66D7"/>
    <w:rsid w:val="000C67AC"/>
    <w:rsid w:val="000C6874"/>
    <w:rsid w:val="000C68C6"/>
    <w:rsid w:val="000C68F0"/>
    <w:rsid w:val="000C6A07"/>
    <w:rsid w:val="000C6A72"/>
    <w:rsid w:val="000C6A91"/>
    <w:rsid w:val="000C6A9D"/>
    <w:rsid w:val="000C6B54"/>
    <w:rsid w:val="000C6B73"/>
    <w:rsid w:val="000C6BD2"/>
    <w:rsid w:val="000C6D3B"/>
    <w:rsid w:val="000C6D54"/>
    <w:rsid w:val="000C6DAF"/>
    <w:rsid w:val="000C6DF2"/>
    <w:rsid w:val="000C6E56"/>
    <w:rsid w:val="000C6ED0"/>
    <w:rsid w:val="000C6FB5"/>
    <w:rsid w:val="000C7033"/>
    <w:rsid w:val="000C7045"/>
    <w:rsid w:val="000C7057"/>
    <w:rsid w:val="000C707B"/>
    <w:rsid w:val="000C70C9"/>
    <w:rsid w:val="000C718E"/>
    <w:rsid w:val="000C71BD"/>
    <w:rsid w:val="000C7218"/>
    <w:rsid w:val="000C72A0"/>
    <w:rsid w:val="000C72D8"/>
    <w:rsid w:val="000C730A"/>
    <w:rsid w:val="000C7336"/>
    <w:rsid w:val="000C7395"/>
    <w:rsid w:val="000C73E6"/>
    <w:rsid w:val="000C741C"/>
    <w:rsid w:val="000C7420"/>
    <w:rsid w:val="000C745B"/>
    <w:rsid w:val="000C745F"/>
    <w:rsid w:val="000C7463"/>
    <w:rsid w:val="000C74A2"/>
    <w:rsid w:val="000C74E2"/>
    <w:rsid w:val="000C74FD"/>
    <w:rsid w:val="000C754B"/>
    <w:rsid w:val="000C757B"/>
    <w:rsid w:val="000C758C"/>
    <w:rsid w:val="000C7591"/>
    <w:rsid w:val="000C7677"/>
    <w:rsid w:val="000C770A"/>
    <w:rsid w:val="000C77B3"/>
    <w:rsid w:val="000C7809"/>
    <w:rsid w:val="000C781D"/>
    <w:rsid w:val="000C782E"/>
    <w:rsid w:val="000C7890"/>
    <w:rsid w:val="000C7908"/>
    <w:rsid w:val="000C7951"/>
    <w:rsid w:val="000C7A3F"/>
    <w:rsid w:val="000C7A48"/>
    <w:rsid w:val="000C7A69"/>
    <w:rsid w:val="000C7A98"/>
    <w:rsid w:val="000C7B28"/>
    <w:rsid w:val="000C7B56"/>
    <w:rsid w:val="000C7B73"/>
    <w:rsid w:val="000C7BB5"/>
    <w:rsid w:val="000C7BBF"/>
    <w:rsid w:val="000C7C0E"/>
    <w:rsid w:val="000C7C1C"/>
    <w:rsid w:val="000C7C7B"/>
    <w:rsid w:val="000C7CDE"/>
    <w:rsid w:val="000C7DE0"/>
    <w:rsid w:val="000C7E99"/>
    <w:rsid w:val="000C7EE7"/>
    <w:rsid w:val="000C7F2E"/>
    <w:rsid w:val="000C7F3A"/>
    <w:rsid w:val="000C7F57"/>
    <w:rsid w:val="000C7F63"/>
    <w:rsid w:val="000CBC0E"/>
    <w:rsid w:val="000D00E3"/>
    <w:rsid w:val="000D015D"/>
    <w:rsid w:val="000D0162"/>
    <w:rsid w:val="000D01BB"/>
    <w:rsid w:val="000D01FF"/>
    <w:rsid w:val="000D0265"/>
    <w:rsid w:val="000D02C4"/>
    <w:rsid w:val="000D031C"/>
    <w:rsid w:val="000D0346"/>
    <w:rsid w:val="000D03AC"/>
    <w:rsid w:val="000D044B"/>
    <w:rsid w:val="000D0464"/>
    <w:rsid w:val="000D04B9"/>
    <w:rsid w:val="000D0508"/>
    <w:rsid w:val="000D0533"/>
    <w:rsid w:val="000D0543"/>
    <w:rsid w:val="000D0546"/>
    <w:rsid w:val="000D0560"/>
    <w:rsid w:val="000D0590"/>
    <w:rsid w:val="000D0599"/>
    <w:rsid w:val="000D0603"/>
    <w:rsid w:val="000D061A"/>
    <w:rsid w:val="000D06D3"/>
    <w:rsid w:val="000D06F7"/>
    <w:rsid w:val="000D0768"/>
    <w:rsid w:val="000D0789"/>
    <w:rsid w:val="000D07A2"/>
    <w:rsid w:val="000D0853"/>
    <w:rsid w:val="000D08F0"/>
    <w:rsid w:val="000D0930"/>
    <w:rsid w:val="000D0947"/>
    <w:rsid w:val="000D0983"/>
    <w:rsid w:val="000D0A7D"/>
    <w:rsid w:val="000D0A85"/>
    <w:rsid w:val="000D0ACD"/>
    <w:rsid w:val="000D0ADB"/>
    <w:rsid w:val="000D0B3E"/>
    <w:rsid w:val="000D0B5F"/>
    <w:rsid w:val="000D0BED"/>
    <w:rsid w:val="000D0C84"/>
    <w:rsid w:val="000D0CB1"/>
    <w:rsid w:val="000D0CCE"/>
    <w:rsid w:val="000D0D5D"/>
    <w:rsid w:val="000D0D72"/>
    <w:rsid w:val="000D0DDD"/>
    <w:rsid w:val="000D0E49"/>
    <w:rsid w:val="000D0E76"/>
    <w:rsid w:val="000D0F10"/>
    <w:rsid w:val="000D1003"/>
    <w:rsid w:val="000D100A"/>
    <w:rsid w:val="000D101D"/>
    <w:rsid w:val="000D105D"/>
    <w:rsid w:val="000D1099"/>
    <w:rsid w:val="000D10EB"/>
    <w:rsid w:val="000D115F"/>
    <w:rsid w:val="000D1263"/>
    <w:rsid w:val="000D1287"/>
    <w:rsid w:val="000D1328"/>
    <w:rsid w:val="000D13C6"/>
    <w:rsid w:val="000D1408"/>
    <w:rsid w:val="000D14F4"/>
    <w:rsid w:val="000D150B"/>
    <w:rsid w:val="000D155E"/>
    <w:rsid w:val="000D1561"/>
    <w:rsid w:val="000D1562"/>
    <w:rsid w:val="000D1605"/>
    <w:rsid w:val="000D160A"/>
    <w:rsid w:val="000D1661"/>
    <w:rsid w:val="000D16F8"/>
    <w:rsid w:val="000D16FD"/>
    <w:rsid w:val="000D1718"/>
    <w:rsid w:val="000D17F1"/>
    <w:rsid w:val="000D183A"/>
    <w:rsid w:val="000D1849"/>
    <w:rsid w:val="000D1943"/>
    <w:rsid w:val="000D198A"/>
    <w:rsid w:val="000D19B4"/>
    <w:rsid w:val="000D1A7B"/>
    <w:rsid w:val="000D1A8C"/>
    <w:rsid w:val="000D1AA5"/>
    <w:rsid w:val="000D1BC5"/>
    <w:rsid w:val="000D1BCE"/>
    <w:rsid w:val="000D1C07"/>
    <w:rsid w:val="000D1C5A"/>
    <w:rsid w:val="000D1C84"/>
    <w:rsid w:val="000D1CD2"/>
    <w:rsid w:val="000D1CEB"/>
    <w:rsid w:val="000D1D40"/>
    <w:rsid w:val="000D1D84"/>
    <w:rsid w:val="000D1E1C"/>
    <w:rsid w:val="000D1E63"/>
    <w:rsid w:val="000D1E88"/>
    <w:rsid w:val="000D1EF3"/>
    <w:rsid w:val="000D1EFB"/>
    <w:rsid w:val="000D1FD1"/>
    <w:rsid w:val="000D2040"/>
    <w:rsid w:val="000D2057"/>
    <w:rsid w:val="000D2075"/>
    <w:rsid w:val="000D21E7"/>
    <w:rsid w:val="000D2214"/>
    <w:rsid w:val="000D2224"/>
    <w:rsid w:val="000D22BB"/>
    <w:rsid w:val="000D235D"/>
    <w:rsid w:val="000D23C6"/>
    <w:rsid w:val="000D2408"/>
    <w:rsid w:val="000D2501"/>
    <w:rsid w:val="000D2510"/>
    <w:rsid w:val="000D2608"/>
    <w:rsid w:val="000D2637"/>
    <w:rsid w:val="000D2658"/>
    <w:rsid w:val="000D26AD"/>
    <w:rsid w:val="000D26E1"/>
    <w:rsid w:val="000D2712"/>
    <w:rsid w:val="000D2713"/>
    <w:rsid w:val="000D2791"/>
    <w:rsid w:val="000D27EE"/>
    <w:rsid w:val="000D2812"/>
    <w:rsid w:val="000D284F"/>
    <w:rsid w:val="000D2893"/>
    <w:rsid w:val="000D2968"/>
    <w:rsid w:val="000D29CE"/>
    <w:rsid w:val="000D29D1"/>
    <w:rsid w:val="000D2A67"/>
    <w:rsid w:val="000D2A6A"/>
    <w:rsid w:val="000D2AD5"/>
    <w:rsid w:val="000D2B8F"/>
    <w:rsid w:val="000D2C38"/>
    <w:rsid w:val="000D2CDF"/>
    <w:rsid w:val="000D2D06"/>
    <w:rsid w:val="000D2DAC"/>
    <w:rsid w:val="000D2DB7"/>
    <w:rsid w:val="000D2E3B"/>
    <w:rsid w:val="000D2E55"/>
    <w:rsid w:val="000D2F07"/>
    <w:rsid w:val="000D2FAA"/>
    <w:rsid w:val="000D2FBA"/>
    <w:rsid w:val="000D2FE8"/>
    <w:rsid w:val="000D3068"/>
    <w:rsid w:val="000D3092"/>
    <w:rsid w:val="000D30A9"/>
    <w:rsid w:val="000D3184"/>
    <w:rsid w:val="000D319C"/>
    <w:rsid w:val="000D3226"/>
    <w:rsid w:val="000D327E"/>
    <w:rsid w:val="000D32F0"/>
    <w:rsid w:val="000D334E"/>
    <w:rsid w:val="000D33AF"/>
    <w:rsid w:val="000D33CB"/>
    <w:rsid w:val="000D3417"/>
    <w:rsid w:val="000D3485"/>
    <w:rsid w:val="000D359B"/>
    <w:rsid w:val="000D35D5"/>
    <w:rsid w:val="000D3661"/>
    <w:rsid w:val="000D376E"/>
    <w:rsid w:val="000D37A8"/>
    <w:rsid w:val="000D37AE"/>
    <w:rsid w:val="000D37E5"/>
    <w:rsid w:val="000D3817"/>
    <w:rsid w:val="000D384C"/>
    <w:rsid w:val="000D385F"/>
    <w:rsid w:val="000D388E"/>
    <w:rsid w:val="000D38C1"/>
    <w:rsid w:val="000D393D"/>
    <w:rsid w:val="000D395A"/>
    <w:rsid w:val="000D3970"/>
    <w:rsid w:val="000D3A0C"/>
    <w:rsid w:val="000D3A20"/>
    <w:rsid w:val="000D3A97"/>
    <w:rsid w:val="000D3ACD"/>
    <w:rsid w:val="000D3AD4"/>
    <w:rsid w:val="000D3BA1"/>
    <w:rsid w:val="000D3BED"/>
    <w:rsid w:val="000D3CB5"/>
    <w:rsid w:val="000D3D89"/>
    <w:rsid w:val="000D3DA0"/>
    <w:rsid w:val="000D3E32"/>
    <w:rsid w:val="000D3E3F"/>
    <w:rsid w:val="000D3E71"/>
    <w:rsid w:val="000D3F08"/>
    <w:rsid w:val="000D3F47"/>
    <w:rsid w:val="000D3FB2"/>
    <w:rsid w:val="000D3FDB"/>
    <w:rsid w:val="000D3FE8"/>
    <w:rsid w:val="000D4012"/>
    <w:rsid w:val="000D4041"/>
    <w:rsid w:val="000D4065"/>
    <w:rsid w:val="000D4071"/>
    <w:rsid w:val="000D40A7"/>
    <w:rsid w:val="000D4191"/>
    <w:rsid w:val="000D4204"/>
    <w:rsid w:val="000D4299"/>
    <w:rsid w:val="000D42B1"/>
    <w:rsid w:val="000D4322"/>
    <w:rsid w:val="000D4405"/>
    <w:rsid w:val="000D44B0"/>
    <w:rsid w:val="000D44F9"/>
    <w:rsid w:val="000D4544"/>
    <w:rsid w:val="000D4565"/>
    <w:rsid w:val="000D458D"/>
    <w:rsid w:val="000D45DA"/>
    <w:rsid w:val="000D4711"/>
    <w:rsid w:val="000D47E9"/>
    <w:rsid w:val="000D482A"/>
    <w:rsid w:val="000D4897"/>
    <w:rsid w:val="000D48C2"/>
    <w:rsid w:val="000D49C2"/>
    <w:rsid w:val="000D4A39"/>
    <w:rsid w:val="000D4AA0"/>
    <w:rsid w:val="000D4ABE"/>
    <w:rsid w:val="000D4AC5"/>
    <w:rsid w:val="000D4B15"/>
    <w:rsid w:val="000D4D26"/>
    <w:rsid w:val="000D4D59"/>
    <w:rsid w:val="000D4D77"/>
    <w:rsid w:val="000D4DF8"/>
    <w:rsid w:val="000D4E4B"/>
    <w:rsid w:val="000D4E84"/>
    <w:rsid w:val="000D4EA8"/>
    <w:rsid w:val="000D4F3A"/>
    <w:rsid w:val="000D5016"/>
    <w:rsid w:val="000D5020"/>
    <w:rsid w:val="000D504F"/>
    <w:rsid w:val="000D5154"/>
    <w:rsid w:val="000D51A1"/>
    <w:rsid w:val="000D51C4"/>
    <w:rsid w:val="000D51FD"/>
    <w:rsid w:val="000D5231"/>
    <w:rsid w:val="000D52D2"/>
    <w:rsid w:val="000D53C9"/>
    <w:rsid w:val="000D5454"/>
    <w:rsid w:val="000D5497"/>
    <w:rsid w:val="000D5525"/>
    <w:rsid w:val="000D557D"/>
    <w:rsid w:val="000D5644"/>
    <w:rsid w:val="000D56FF"/>
    <w:rsid w:val="000D571E"/>
    <w:rsid w:val="000D574F"/>
    <w:rsid w:val="000D5756"/>
    <w:rsid w:val="000D577F"/>
    <w:rsid w:val="000D5842"/>
    <w:rsid w:val="000D586F"/>
    <w:rsid w:val="000D58BF"/>
    <w:rsid w:val="000D58E6"/>
    <w:rsid w:val="000D58E9"/>
    <w:rsid w:val="000D594C"/>
    <w:rsid w:val="000D5951"/>
    <w:rsid w:val="000D5953"/>
    <w:rsid w:val="000D59D7"/>
    <w:rsid w:val="000D59F4"/>
    <w:rsid w:val="000D5A19"/>
    <w:rsid w:val="000D5B67"/>
    <w:rsid w:val="000D5BF6"/>
    <w:rsid w:val="000D5C02"/>
    <w:rsid w:val="000D5C77"/>
    <w:rsid w:val="000D5C9A"/>
    <w:rsid w:val="000D5CCE"/>
    <w:rsid w:val="000D5D47"/>
    <w:rsid w:val="000D5DBA"/>
    <w:rsid w:val="000D5DBB"/>
    <w:rsid w:val="000D5E1E"/>
    <w:rsid w:val="000D5E7B"/>
    <w:rsid w:val="000D5FB2"/>
    <w:rsid w:val="000D5FF0"/>
    <w:rsid w:val="000D601A"/>
    <w:rsid w:val="000D6021"/>
    <w:rsid w:val="000D60B6"/>
    <w:rsid w:val="000D60D9"/>
    <w:rsid w:val="000D6234"/>
    <w:rsid w:val="000D6248"/>
    <w:rsid w:val="000D625B"/>
    <w:rsid w:val="000D6281"/>
    <w:rsid w:val="000D6313"/>
    <w:rsid w:val="000D63A4"/>
    <w:rsid w:val="000D6414"/>
    <w:rsid w:val="000D64AA"/>
    <w:rsid w:val="000D6504"/>
    <w:rsid w:val="000D6571"/>
    <w:rsid w:val="000D65B0"/>
    <w:rsid w:val="000D65B1"/>
    <w:rsid w:val="000D65F6"/>
    <w:rsid w:val="000D6646"/>
    <w:rsid w:val="000D6671"/>
    <w:rsid w:val="000D6687"/>
    <w:rsid w:val="000D66E6"/>
    <w:rsid w:val="000D66FE"/>
    <w:rsid w:val="000D67CA"/>
    <w:rsid w:val="000D67FD"/>
    <w:rsid w:val="000D681C"/>
    <w:rsid w:val="000D6845"/>
    <w:rsid w:val="000D688A"/>
    <w:rsid w:val="000D68AA"/>
    <w:rsid w:val="000D68B8"/>
    <w:rsid w:val="000D6900"/>
    <w:rsid w:val="000D69BE"/>
    <w:rsid w:val="000D6A16"/>
    <w:rsid w:val="000D6A51"/>
    <w:rsid w:val="000D6A6D"/>
    <w:rsid w:val="000D6AA9"/>
    <w:rsid w:val="000D6B8F"/>
    <w:rsid w:val="000D6CCA"/>
    <w:rsid w:val="000D6CEF"/>
    <w:rsid w:val="000D6D15"/>
    <w:rsid w:val="000D6D39"/>
    <w:rsid w:val="000D6D76"/>
    <w:rsid w:val="000D6DC5"/>
    <w:rsid w:val="000D6E17"/>
    <w:rsid w:val="000D6E27"/>
    <w:rsid w:val="000D6EA0"/>
    <w:rsid w:val="000D6EC3"/>
    <w:rsid w:val="000D6EDF"/>
    <w:rsid w:val="000D6F1C"/>
    <w:rsid w:val="000D6F47"/>
    <w:rsid w:val="000D6F8D"/>
    <w:rsid w:val="000D6FA7"/>
    <w:rsid w:val="000D6FD2"/>
    <w:rsid w:val="000D6FE4"/>
    <w:rsid w:val="000D7027"/>
    <w:rsid w:val="000D7098"/>
    <w:rsid w:val="000D70B6"/>
    <w:rsid w:val="000D70EF"/>
    <w:rsid w:val="000D70F5"/>
    <w:rsid w:val="000D7112"/>
    <w:rsid w:val="000D714B"/>
    <w:rsid w:val="000D71DF"/>
    <w:rsid w:val="000D7207"/>
    <w:rsid w:val="000D721B"/>
    <w:rsid w:val="000D722E"/>
    <w:rsid w:val="000D7269"/>
    <w:rsid w:val="000D72B1"/>
    <w:rsid w:val="000D72B3"/>
    <w:rsid w:val="000D731C"/>
    <w:rsid w:val="000D7353"/>
    <w:rsid w:val="000D7354"/>
    <w:rsid w:val="000D7366"/>
    <w:rsid w:val="000D7368"/>
    <w:rsid w:val="000D73A2"/>
    <w:rsid w:val="000D740B"/>
    <w:rsid w:val="000D745C"/>
    <w:rsid w:val="000D74AA"/>
    <w:rsid w:val="000D7526"/>
    <w:rsid w:val="000D7530"/>
    <w:rsid w:val="000D7590"/>
    <w:rsid w:val="000D7593"/>
    <w:rsid w:val="000D76A5"/>
    <w:rsid w:val="000D76CB"/>
    <w:rsid w:val="000D76F7"/>
    <w:rsid w:val="000D7704"/>
    <w:rsid w:val="000D7739"/>
    <w:rsid w:val="000D7787"/>
    <w:rsid w:val="000D7793"/>
    <w:rsid w:val="000D77B1"/>
    <w:rsid w:val="000D77C4"/>
    <w:rsid w:val="000D77D6"/>
    <w:rsid w:val="000D7811"/>
    <w:rsid w:val="000D7822"/>
    <w:rsid w:val="000D7874"/>
    <w:rsid w:val="000D7894"/>
    <w:rsid w:val="000D78DE"/>
    <w:rsid w:val="000D7930"/>
    <w:rsid w:val="000D7944"/>
    <w:rsid w:val="000D79BF"/>
    <w:rsid w:val="000D79C0"/>
    <w:rsid w:val="000D7A17"/>
    <w:rsid w:val="000D7AB1"/>
    <w:rsid w:val="000D7B78"/>
    <w:rsid w:val="000D7BFF"/>
    <w:rsid w:val="000D7C17"/>
    <w:rsid w:val="000D7C31"/>
    <w:rsid w:val="000D7C59"/>
    <w:rsid w:val="000D7D26"/>
    <w:rsid w:val="000D7D94"/>
    <w:rsid w:val="000D7DA8"/>
    <w:rsid w:val="000D7DAD"/>
    <w:rsid w:val="000D7DB2"/>
    <w:rsid w:val="000D7E2C"/>
    <w:rsid w:val="000D7E69"/>
    <w:rsid w:val="000D7F00"/>
    <w:rsid w:val="000D7F23"/>
    <w:rsid w:val="000D7F65"/>
    <w:rsid w:val="000D7FBD"/>
    <w:rsid w:val="000D7FCF"/>
    <w:rsid w:val="000E0012"/>
    <w:rsid w:val="000E007E"/>
    <w:rsid w:val="000E00CE"/>
    <w:rsid w:val="000E029C"/>
    <w:rsid w:val="000E029F"/>
    <w:rsid w:val="000E02A5"/>
    <w:rsid w:val="000E02CC"/>
    <w:rsid w:val="000E0334"/>
    <w:rsid w:val="000E0342"/>
    <w:rsid w:val="000E041D"/>
    <w:rsid w:val="000E0455"/>
    <w:rsid w:val="000E04A4"/>
    <w:rsid w:val="000E04D9"/>
    <w:rsid w:val="000E0581"/>
    <w:rsid w:val="000E0605"/>
    <w:rsid w:val="000E060F"/>
    <w:rsid w:val="000E0630"/>
    <w:rsid w:val="000E0676"/>
    <w:rsid w:val="000E0682"/>
    <w:rsid w:val="000E0699"/>
    <w:rsid w:val="000E06D9"/>
    <w:rsid w:val="000E06DA"/>
    <w:rsid w:val="000E07DC"/>
    <w:rsid w:val="000E087E"/>
    <w:rsid w:val="000E08C9"/>
    <w:rsid w:val="000E0902"/>
    <w:rsid w:val="000E0952"/>
    <w:rsid w:val="000E0982"/>
    <w:rsid w:val="000E0A86"/>
    <w:rsid w:val="000E0A94"/>
    <w:rsid w:val="000E0B4E"/>
    <w:rsid w:val="000E0BBE"/>
    <w:rsid w:val="000E0BF8"/>
    <w:rsid w:val="000E0C47"/>
    <w:rsid w:val="000E0C76"/>
    <w:rsid w:val="000E0CF4"/>
    <w:rsid w:val="000E0CF8"/>
    <w:rsid w:val="000E0D4C"/>
    <w:rsid w:val="000E0D98"/>
    <w:rsid w:val="000E0E1D"/>
    <w:rsid w:val="000E0E50"/>
    <w:rsid w:val="000E0E8C"/>
    <w:rsid w:val="000E0EA7"/>
    <w:rsid w:val="000E0EE4"/>
    <w:rsid w:val="000E0F06"/>
    <w:rsid w:val="000E0F6C"/>
    <w:rsid w:val="000E0F8C"/>
    <w:rsid w:val="000E1010"/>
    <w:rsid w:val="000E101E"/>
    <w:rsid w:val="000E1031"/>
    <w:rsid w:val="000E10AF"/>
    <w:rsid w:val="000E113B"/>
    <w:rsid w:val="000E1151"/>
    <w:rsid w:val="000E1172"/>
    <w:rsid w:val="000E11B0"/>
    <w:rsid w:val="000E1205"/>
    <w:rsid w:val="000E120D"/>
    <w:rsid w:val="000E1256"/>
    <w:rsid w:val="000E126D"/>
    <w:rsid w:val="000E127A"/>
    <w:rsid w:val="000E12AD"/>
    <w:rsid w:val="000E12B3"/>
    <w:rsid w:val="000E12E3"/>
    <w:rsid w:val="000E1338"/>
    <w:rsid w:val="000E13B9"/>
    <w:rsid w:val="000E13EF"/>
    <w:rsid w:val="000E1444"/>
    <w:rsid w:val="000E144D"/>
    <w:rsid w:val="000E14BD"/>
    <w:rsid w:val="000E1522"/>
    <w:rsid w:val="000E15C1"/>
    <w:rsid w:val="000E15E3"/>
    <w:rsid w:val="000E15FB"/>
    <w:rsid w:val="000E1610"/>
    <w:rsid w:val="000E1678"/>
    <w:rsid w:val="000E16B4"/>
    <w:rsid w:val="000E1722"/>
    <w:rsid w:val="000E1735"/>
    <w:rsid w:val="000E174F"/>
    <w:rsid w:val="000E1762"/>
    <w:rsid w:val="000E17BE"/>
    <w:rsid w:val="000E1843"/>
    <w:rsid w:val="000E1885"/>
    <w:rsid w:val="000E188D"/>
    <w:rsid w:val="000E19F6"/>
    <w:rsid w:val="000E1A73"/>
    <w:rsid w:val="000E1AE3"/>
    <w:rsid w:val="000E1AFB"/>
    <w:rsid w:val="000E1B1B"/>
    <w:rsid w:val="000E1B21"/>
    <w:rsid w:val="000E1B59"/>
    <w:rsid w:val="000E1B5F"/>
    <w:rsid w:val="000E1B63"/>
    <w:rsid w:val="000E1BC0"/>
    <w:rsid w:val="000E1CB3"/>
    <w:rsid w:val="000E1D4B"/>
    <w:rsid w:val="000E1D5E"/>
    <w:rsid w:val="000E1D6B"/>
    <w:rsid w:val="000E1DA8"/>
    <w:rsid w:val="000E1DCB"/>
    <w:rsid w:val="000E1DD4"/>
    <w:rsid w:val="000E1FB0"/>
    <w:rsid w:val="000E200D"/>
    <w:rsid w:val="000E2020"/>
    <w:rsid w:val="000E206C"/>
    <w:rsid w:val="000E20E5"/>
    <w:rsid w:val="000E2103"/>
    <w:rsid w:val="000E2165"/>
    <w:rsid w:val="000E2181"/>
    <w:rsid w:val="000E21CE"/>
    <w:rsid w:val="000E220F"/>
    <w:rsid w:val="000E226E"/>
    <w:rsid w:val="000E22DE"/>
    <w:rsid w:val="000E22FA"/>
    <w:rsid w:val="000E23A2"/>
    <w:rsid w:val="000E245B"/>
    <w:rsid w:val="000E248B"/>
    <w:rsid w:val="000E2513"/>
    <w:rsid w:val="000E256E"/>
    <w:rsid w:val="000E2626"/>
    <w:rsid w:val="000E2641"/>
    <w:rsid w:val="000E274B"/>
    <w:rsid w:val="000E2759"/>
    <w:rsid w:val="000E276A"/>
    <w:rsid w:val="000E2776"/>
    <w:rsid w:val="000E2796"/>
    <w:rsid w:val="000E288E"/>
    <w:rsid w:val="000E289A"/>
    <w:rsid w:val="000E28BC"/>
    <w:rsid w:val="000E2921"/>
    <w:rsid w:val="000E29C2"/>
    <w:rsid w:val="000E2A3D"/>
    <w:rsid w:val="000E2A85"/>
    <w:rsid w:val="000E2AD1"/>
    <w:rsid w:val="000E2B2B"/>
    <w:rsid w:val="000E2B3F"/>
    <w:rsid w:val="000E2C15"/>
    <w:rsid w:val="000E2C38"/>
    <w:rsid w:val="000E2C4B"/>
    <w:rsid w:val="000E2C54"/>
    <w:rsid w:val="000E2D6E"/>
    <w:rsid w:val="000E2E3B"/>
    <w:rsid w:val="000E2E70"/>
    <w:rsid w:val="000E2E77"/>
    <w:rsid w:val="000E2F01"/>
    <w:rsid w:val="000E2F05"/>
    <w:rsid w:val="000E2F56"/>
    <w:rsid w:val="000E2FCE"/>
    <w:rsid w:val="000E2FD1"/>
    <w:rsid w:val="000E30C4"/>
    <w:rsid w:val="000E30EC"/>
    <w:rsid w:val="000E3101"/>
    <w:rsid w:val="000E311E"/>
    <w:rsid w:val="000E3192"/>
    <w:rsid w:val="000E328D"/>
    <w:rsid w:val="000E32A6"/>
    <w:rsid w:val="000E32AA"/>
    <w:rsid w:val="000E32DA"/>
    <w:rsid w:val="000E330F"/>
    <w:rsid w:val="000E3337"/>
    <w:rsid w:val="000E333B"/>
    <w:rsid w:val="000E333E"/>
    <w:rsid w:val="000E3372"/>
    <w:rsid w:val="000E3460"/>
    <w:rsid w:val="000E3494"/>
    <w:rsid w:val="000E34AA"/>
    <w:rsid w:val="000E34AF"/>
    <w:rsid w:val="000E34D1"/>
    <w:rsid w:val="000E351E"/>
    <w:rsid w:val="000E352F"/>
    <w:rsid w:val="000E3570"/>
    <w:rsid w:val="000E361A"/>
    <w:rsid w:val="000E361B"/>
    <w:rsid w:val="000E3642"/>
    <w:rsid w:val="000E36A6"/>
    <w:rsid w:val="000E3700"/>
    <w:rsid w:val="000E370E"/>
    <w:rsid w:val="000E3727"/>
    <w:rsid w:val="000E3748"/>
    <w:rsid w:val="000E37CC"/>
    <w:rsid w:val="000E389E"/>
    <w:rsid w:val="000E38CA"/>
    <w:rsid w:val="000E394B"/>
    <w:rsid w:val="000E39C2"/>
    <w:rsid w:val="000E39CE"/>
    <w:rsid w:val="000E3A02"/>
    <w:rsid w:val="000E3A5D"/>
    <w:rsid w:val="000E3B1A"/>
    <w:rsid w:val="000E3B42"/>
    <w:rsid w:val="000E3B65"/>
    <w:rsid w:val="000E3D80"/>
    <w:rsid w:val="000E3DBF"/>
    <w:rsid w:val="000E3E8B"/>
    <w:rsid w:val="000E3E9B"/>
    <w:rsid w:val="000E3EAA"/>
    <w:rsid w:val="000E3EED"/>
    <w:rsid w:val="000E3F05"/>
    <w:rsid w:val="000E3F25"/>
    <w:rsid w:val="000E3F33"/>
    <w:rsid w:val="000E3F6A"/>
    <w:rsid w:val="000E3FDF"/>
    <w:rsid w:val="000E3FEC"/>
    <w:rsid w:val="000E3FFB"/>
    <w:rsid w:val="000E4023"/>
    <w:rsid w:val="000E4034"/>
    <w:rsid w:val="000E4047"/>
    <w:rsid w:val="000E40E6"/>
    <w:rsid w:val="000E4102"/>
    <w:rsid w:val="000E410E"/>
    <w:rsid w:val="000E4117"/>
    <w:rsid w:val="000E414B"/>
    <w:rsid w:val="000E4197"/>
    <w:rsid w:val="000E4207"/>
    <w:rsid w:val="000E4336"/>
    <w:rsid w:val="000E4370"/>
    <w:rsid w:val="000E438F"/>
    <w:rsid w:val="000E43EB"/>
    <w:rsid w:val="000E4424"/>
    <w:rsid w:val="000E4435"/>
    <w:rsid w:val="000E4437"/>
    <w:rsid w:val="000E4465"/>
    <w:rsid w:val="000E44DC"/>
    <w:rsid w:val="000E4578"/>
    <w:rsid w:val="000E45A3"/>
    <w:rsid w:val="000E4603"/>
    <w:rsid w:val="000E461F"/>
    <w:rsid w:val="000E4638"/>
    <w:rsid w:val="000E46AA"/>
    <w:rsid w:val="000E46BD"/>
    <w:rsid w:val="000E46CE"/>
    <w:rsid w:val="000E47D4"/>
    <w:rsid w:val="000E47E8"/>
    <w:rsid w:val="000E49AE"/>
    <w:rsid w:val="000E49EA"/>
    <w:rsid w:val="000E4B79"/>
    <w:rsid w:val="000E4BFD"/>
    <w:rsid w:val="000E4C5E"/>
    <w:rsid w:val="000E4C5F"/>
    <w:rsid w:val="000E4CBA"/>
    <w:rsid w:val="000E4D1B"/>
    <w:rsid w:val="000E4DAF"/>
    <w:rsid w:val="000E4E33"/>
    <w:rsid w:val="000E4F6C"/>
    <w:rsid w:val="000E4FA7"/>
    <w:rsid w:val="000E4FAD"/>
    <w:rsid w:val="000E4FC9"/>
    <w:rsid w:val="000E4FF0"/>
    <w:rsid w:val="000E5021"/>
    <w:rsid w:val="000E509F"/>
    <w:rsid w:val="000E50A1"/>
    <w:rsid w:val="000E50EB"/>
    <w:rsid w:val="000E510E"/>
    <w:rsid w:val="000E511E"/>
    <w:rsid w:val="000E51C3"/>
    <w:rsid w:val="000E5209"/>
    <w:rsid w:val="000E526A"/>
    <w:rsid w:val="000E52D3"/>
    <w:rsid w:val="000E535C"/>
    <w:rsid w:val="000E5391"/>
    <w:rsid w:val="000E53C0"/>
    <w:rsid w:val="000E5428"/>
    <w:rsid w:val="000E5429"/>
    <w:rsid w:val="000E54C9"/>
    <w:rsid w:val="000E551A"/>
    <w:rsid w:val="000E5543"/>
    <w:rsid w:val="000E5585"/>
    <w:rsid w:val="000E55CA"/>
    <w:rsid w:val="000E55F6"/>
    <w:rsid w:val="000E561E"/>
    <w:rsid w:val="000E563D"/>
    <w:rsid w:val="000E5679"/>
    <w:rsid w:val="000E56A9"/>
    <w:rsid w:val="000E56C7"/>
    <w:rsid w:val="000E5734"/>
    <w:rsid w:val="000E57A2"/>
    <w:rsid w:val="000E57F5"/>
    <w:rsid w:val="000E598B"/>
    <w:rsid w:val="000E59C8"/>
    <w:rsid w:val="000E5A47"/>
    <w:rsid w:val="000E5A5D"/>
    <w:rsid w:val="000E5A6F"/>
    <w:rsid w:val="000E5A87"/>
    <w:rsid w:val="000E5A8D"/>
    <w:rsid w:val="000E5AC4"/>
    <w:rsid w:val="000E5B40"/>
    <w:rsid w:val="000E5B4E"/>
    <w:rsid w:val="000E5C9E"/>
    <w:rsid w:val="000E5C9F"/>
    <w:rsid w:val="000E5CB1"/>
    <w:rsid w:val="000E5CED"/>
    <w:rsid w:val="000E5D00"/>
    <w:rsid w:val="000E5D18"/>
    <w:rsid w:val="000E5D2A"/>
    <w:rsid w:val="000E5D70"/>
    <w:rsid w:val="000E5DBA"/>
    <w:rsid w:val="000E5DCF"/>
    <w:rsid w:val="000E5DD1"/>
    <w:rsid w:val="000E5E53"/>
    <w:rsid w:val="000E5E63"/>
    <w:rsid w:val="000E5E65"/>
    <w:rsid w:val="000E5FA7"/>
    <w:rsid w:val="000E5FF0"/>
    <w:rsid w:val="000E6003"/>
    <w:rsid w:val="000E60A0"/>
    <w:rsid w:val="000E60FA"/>
    <w:rsid w:val="000E623D"/>
    <w:rsid w:val="000E6275"/>
    <w:rsid w:val="000E62B3"/>
    <w:rsid w:val="000E62F9"/>
    <w:rsid w:val="000E6465"/>
    <w:rsid w:val="000E647D"/>
    <w:rsid w:val="000E64A2"/>
    <w:rsid w:val="000E64B3"/>
    <w:rsid w:val="000E64D5"/>
    <w:rsid w:val="000E6523"/>
    <w:rsid w:val="000E6540"/>
    <w:rsid w:val="000E6579"/>
    <w:rsid w:val="000E65E3"/>
    <w:rsid w:val="000E66BE"/>
    <w:rsid w:val="000E6718"/>
    <w:rsid w:val="000E671D"/>
    <w:rsid w:val="000E6819"/>
    <w:rsid w:val="000E684F"/>
    <w:rsid w:val="000E687B"/>
    <w:rsid w:val="000E68BD"/>
    <w:rsid w:val="000E68C8"/>
    <w:rsid w:val="000E693B"/>
    <w:rsid w:val="000E697E"/>
    <w:rsid w:val="000E69C4"/>
    <w:rsid w:val="000E6A05"/>
    <w:rsid w:val="000E6B08"/>
    <w:rsid w:val="000E6B56"/>
    <w:rsid w:val="000E6B75"/>
    <w:rsid w:val="000E6B9F"/>
    <w:rsid w:val="000E6C3E"/>
    <w:rsid w:val="000E6D68"/>
    <w:rsid w:val="000E6DA9"/>
    <w:rsid w:val="000E6DB0"/>
    <w:rsid w:val="000E6DB6"/>
    <w:rsid w:val="000E6DBE"/>
    <w:rsid w:val="000E6E4F"/>
    <w:rsid w:val="000E6E76"/>
    <w:rsid w:val="000E6E7A"/>
    <w:rsid w:val="000E6EDC"/>
    <w:rsid w:val="000E6F25"/>
    <w:rsid w:val="000E703C"/>
    <w:rsid w:val="000E7099"/>
    <w:rsid w:val="000E7150"/>
    <w:rsid w:val="000E7178"/>
    <w:rsid w:val="000E7267"/>
    <w:rsid w:val="000E7272"/>
    <w:rsid w:val="000E72B9"/>
    <w:rsid w:val="000E72D1"/>
    <w:rsid w:val="000E7306"/>
    <w:rsid w:val="000E7340"/>
    <w:rsid w:val="000E73E6"/>
    <w:rsid w:val="000E73F3"/>
    <w:rsid w:val="000E7404"/>
    <w:rsid w:val="000E74B5"/>
    <w:rsid w:val="000E74F7"/>
    <w:rsid w:val="000E7644"/>
    <w:rsid w:val="000E76CD"/>
    <w:rsid w:val="000E76FA"/>
    <w:rsid w:val="000E778A"/>
    <w:rsid w:val="000E77B3"/>
    <w:rsid w:val="000E783A"/>
    <w:rsid w:val="000E7847"/>
    <w:rsid w:val="000E786A"/>
    <w:rsid w:val="000E78DB"/>
    <w:rsid w:val="000E78EB"/>
    <w:rsid w:val="000E7906"/>
    <w:rsid w:val="000E7923"/>
    <w:rsid w:val="000E793C"/>
    <w:rsid w:val="000E7977"/>
    <w:rsid w:val="000E79C6"/>
    <w:rsid w:val="000E7A11"/>
    <w:rsid w:val="000E7A2D"/>
    <w:rsid w:val="000E7A59"/>
    <w:rsid w:val="000E7B4B"/>
    <w:rsid w:val="000E7BE9"/>
    <w:rsid w:val="000E7CC8"/>
    <w:rsid w:val="000E7D0E"/>
    <w:rsid w:val="000E7D6A"/>
    <w:rsid w:val="000E7DBD"/>
    <w:rsid w:val="000E7DBE"/>
    <w:rsid w:val="000E7DD7"/>
    <w:rsid w:val="000E7E17"/>
    <w:rsid w:val="000E7E74"/>
    <w:rsid w:val="000E7F39"/>
    <w:rsid w:val="000E7F9E"/>
    <w:rsid w:val="000E7FA9"/>
    <w:rsid w:val="000E7FD4"/>
    <w:rsid w:val="000F0020"/>
    <w:rsid w:val="000F005C"/>
    <w:rsid w:val="000F0082"/>
    <w:rsid w:val="000F00AF"/>
    <w:rsid w:val="000F00C1"/>
    <w:rsid w:val="000F0109"/>
    <w:rsid w:val="000F01CE"/>
    <w:rsid w:val="000F01FD"/>
    <w:rsid w:val="000F0225"/>
    <w:rsid w:val="000F0248"/>
    <w:rsid w:val="000F0277"/>
    <w:rsid w:val="000F02FE"/>
    <w:rsid w:val="000F0342"/>
    <w:rsid w:val="000F03BE"/>
    <w:rsid w:val="000F041C"/>
    <w:rsid w:val="000F044E"/>
    <w:rsid w:val="000F0479"/>
    <w:rsid w:val="000F05B2"/>
    <w:rsid w:val="000F0624"/>
    <w:rsid w:val="000F0669"/>
    <w:rsid w:val="000F066F"/>
    <w:rsid w:val="000F077C"/>
    <w:rsid w:val="000F077D"/>
    <w:rsid w:val="000F07C0"/>
    <w:rsid w:val="000F07D5"/>
    <w:rsid w:val="000F0851"/>
    <w:rsid w:val="000F085D"/>
    <w:rsid w:val="000F088F"/>
    <w:rsid w:val="000F08F2"/>
    <w:rsid w:val="000F095C"/>
    <w:rsid w:val="000F0974"/>
    <w:rsid w:val="000F0979"/>
    <w:rsid w:val="000F0A67"/>
    <w:rsid w:val="000F0A68"/>
    <w:rsid w:val="000F0BBA"/>
    <w:rsid w:val="000F0BC3"/>
    <w:rsid w:val="000F0BE2"/>
    <w:rsid w:val="000F0BF1"/>
    <w:rsid w:val="000F0C16"/>
    <w:rsid w:val="000F0CFC"/>
    <w:rsid w:val="000F0D7F"/>
    <w:rsid w:val="000F0DC6"/>
    <w:rsid w:val="000F0E38"/>
    <w:rsid w:val="000F0E3C"/>
    <w:rsid w:val="000F0EB9"/>
    <w:rsid w:val="000F0EC7"/>
    <w:rsid w:val="000F0F8A"/>
    <w:rsid w:val="000F0F9B"/>
    <w:rsid w:val="000F0FEC"/>
    <w:rsid w:val="000F1010"/>
    <w:rsid w:val="000F1056"/>
    <w:rsid w:val="000F105E"/>
    <w:rsid w:val="000F1073"/>
    <w:rsid w:val="000F10D8"/>
    <w:rsid w:val="000F1105"/>
    <w:rsid w:val="000F1128"/>
    <w:rsid w:val="000F112E"/>
    <w:rsid w:val="000F1195"/>
    <w:rsid w:val="000F1297"/>
    <w:rsid w:val="000F12E2"/>
    <w:rsid w:val="000F1302"/>
    <w:rsid w:val="000F1308"/>
    <w:rsid w:val="000F131B"/>
    <w:rsid w:val="000F1389"/>
    <w:rsid w:val="000F139B"/>
    <w:rsid w:val="000F13F7"/>
    <w:rsid w:val="000F1407"/>
    <w:rsid w:val="000F14BE"/>
    <w:rsid w:val="000F14C3"/>
    <w:rsid w:val="000F14DE"/>
    <w:rsid w:val="000F156B"/>
    <w:rsid w:val="000F15B6"/>
    <w:rsid w:val="000F15D1"/>
    <w:rsid w:val="000F15DA"/>
    <w:rsid w:val="000F1698"/>
    <w:rsid w:val="000F1758"/>
    <w:rsid w:val="000F175F"/>
    <w:rsid w:val="000F17C1"/>
    <w:rsid w:val="000F1800"/>
    <w:rsid w:val="000F1836"/>
    <w:rsid w:val="000F189D"/>
    <w:rsid w:val="000F18D6"/>
    <w:rsid w:val="000F19A8"/>
    <w:rsid w:val="000F19EF"/>
    <w:rsid w:val="000F19F7"/>
    <w:rsid w:val="000F1A0A"/>
    <w:rsid w:val="000F1A70"/>
    <w:rsid w:val="000F1A83"/>
    <w:rsid w:val="000F1A92"/>
    <w:rsid w:val="000F1BC9"/>
    <w:rsid w:val="000F1C3B"/>
    <w:rsid w:val="000F1D2D"/>
    <w:rsid w:val="000F1D32"/>
    <w:rsid w:val="000F1D7D"/>
    <w:rsid w:val="000F1D91"/>
    <w:rsid w:val="000F1DB0"/>
    <w:rsid w:val="000F1E67"/>
    <w:rsid w:val="000F1EB2"/>
    <w:rsid w:val="000F1EE1"/>
    <w:rsid w:val="000F1F2D"/>
    <w:rsid w:val="000F1F6A"/>
    <w:rsid w:val="000F1F72"/>
    <w:rsid w:val="000F1F7C"/>
    <w:rsid w:val="000F1F99"/>
    <w:rsid w:val="000F2010"/>
    <w:rsid w:val="000F20CA"/>
    <w:rsid w:val="000F212B"/>
    <w:rsid w:val="000F2175"/>
    <w:rsid w:val="000F2197"/>
    <w:rsid w:val="000F21D3"/>
    <w:rsid w:val="000F22A2"/>
    <w:rsid w:val="000F236B"/>
    <w:rsid w:val="000F256A"/>
    <w:rsid w:val="000F259B"/>
    <w:rsid w:val="000F25DC"/>
    <w:rsid w:val="000F25DF"/>
    <w:rsid w:val="000F2674"/>
    <w:rsid w:val="000F26C7"/>
    <w:rsid w:val="000F270C"/>
    <w:rsid w:val="000F274C"/>
    <w:rsid w:val="000F275A"/>
    <w:rsid w:val="000F277C"/>
    <w:rsid w:val="000F2880"/>
    <w:rsid w:val="000F2882"/>
    <w:rsid w:val="000F2942"/>
    <w:rsid w:val="000F2955"/>
    <w:rsid w:val="000F29AB"/>
    <w:rsid w:val="000F29DA"/>
    <w:rsid w:val="000F2ADE"/>
    <w:rsid w:val="000F2B27"/>
    <w:rsid w:val="000F2C5B"/>
    <w:rsid w:val="000F2C61"/>
    <w:rsid w:val="000F2CC4"/>
    <w:rsid w:val="000F2D2A"/>
    <w:rsid w:val="000F2D44"/>
    <w:rsid w:val="000F2D83"/>
    <w:rsid w:val="000F2DF5"/>
    <w:rsid w:val="000F2E53"/>
    <w:rsid w:val="000F2E60"/>
    <w:rsid w:val="000F2EEE"/>
    <w:rsid w:val="000F2F1B"/>
    <w:rsid w:val="000F2F35"/>
    <w:rsid w:val="000F2F94"/>
    <w:rsid w:val="000F2FE1"/>
    <w:rsid w:val="000F3048"/>
    <w:rsid w:val="000F305F"/>
    <w:rsid w:val="000F30D3"/>
    <w:rsid w:val="000F30E2"/>
    <w:rsid w:val="000F3115"/>
    <w:rsid w:val="000F3189"/>
    <w:rsid w:val="000F3208"/>
    <w:rsid w:val="000F324D"/>
    <w:rsid w:val="000F329D"/>
    <w:rsid w:val="000F3321"/>
    <w:rsid w:val="000F3360"/>
    <w:rsid w:val="000F336A"/>
    <w:rsid w:val="000F3418"/>
    <w:rsid w:val="000F3500"/>
    <w:rsid w:val="000F3591"/>
    <w:rsid w:val="000F35A5"/>
    <w:rsid w:val="000F35DD"/>
    <w:rsid w:val="000F3604"/>
    <w:rsid w:val="000F3633"/>
    <w:rsid w:val="000F3662"/>
    <w:rsid w:val="000F367B"/>
    <w:rsid w:val="000F3688"/>
    <w:rsid w:val="000F3693"/>
    <w:rsid w:val="000F36A6"/>
    <w:rsid w:val="000F36D7"/>
    <w:rsid w:val="000F3845"/>
    <w:rsid w:val="000F3855"/>
    <w:rsid w:val="000F3901"/>
    <w:rsid w:val="000F39A1"/>
    <w:rsid w:val="000F39F1"/>
    <w:rsid w:val="000F3A4A"/>
    <w:rsid w:val="000F3A9E"/>
    <w:rsid w:val="000F3AB6"/>
    <w:rsid w:val="000F3AC3"/>
    <w:rsid w:val="000F3AC4"/>
    <w:rsid w:val="000F3BD3"/>
    <w:rsid w:val="000F3BD6"/>
    <w:rsid w:val="000F3C13"/>
    <w:rsid w:val="000F3C1D"/>
    <w:rsid w:val="000F3C4B"/>
    <w:rsid w:val="000F3C60"/>
    <w:rsid w:val="000F3D91"/>
    <w:rsid w:val="000F3DFA"/>
    <w:rsid w:val="000F3E30"/>
    <w:rsid w:val="000F3E4C"/>
    <w:rsid w:val="000F3EA8"/>
    <w:rsid w:val="000F3F74"/>
    <w:rsid w:val="000F3F87"/>
    <w:rsid w:val="000F3FE2"/>
    <w:rsid w:val="000F3FE5"/>
    <w:rsid w:val="000F4086"/>
    <w:rsid w:val="000F4093"/>
    <w:rsid w:val="000F4140"/>
    <w:rsid w:val="000F414D"/>
    <w:rsid w:val="000F4233"/>
    <w:rsid w:val="000F4299"/>
    <w:rsid w:val="000F42E5"/>
    <w:rsid w:val="000F42FD"/>
    <w:rsid w:val="000F4308"/>
    <w:rsid w:val="000F4309"/>
    <w:rsid w:val="000F434B"/>
    <w:rsid w:val="000F4392"/>
    <w:rsid w:val="000F4454"/>
    <w:rsid w:val="000F4669"/>
    <w:rsid w:val="000F467B"/>
    <w:rsid w:val="000F46E8"/>
    <w:rsid w:val="000F47B8"/>
    <w:rsid w:val="000F47C3"/>
    <w:rsid w:val="000F47E8"/>
    <w:rsid w:val="000F4803"/>
    <w:rsid w:val="000F485C"/>
    <w:rsid w:val="000F486B"/>
    <w:rsid w:val="000F4876"/>
    <w:rsid w:val="000F488A"/>
    <w:rsid w:val="000F4894"/>
    <w:rsid w:val="000F48AC"/>
    <w:rsid w:val="000F48DF"/>
    <w:rsid w:val="000F48FE"/>
    <w:rsid w:val="000F4902"/>
    <w:rsid w:val="000F49A5"/>
    <w:rsid w:val="000F4A47"/>
    <w:rsid w:val="000F4A95"/>
    <w:rsid w:val="000F4AAB"/>
    <w:rsid w:val="000F4AB2"/>
    <w:rsid w:val="000F4ADE"/>
    <w:rsid w:val="000F4B24"/>
    <w:rsid w:val="000F4B3B"/>
    <w:rsid w:val="000F4B5E"/>
    <w:rsid w:val="000F4B7C"/>
    <w:rsid w:val="000F4BBC"/>
    <w:rsid w:val="000F4BD0"/>
    <w:rsid w:val="000F4D42"/>
    <w:rsid w:val="000F4D9B"/>
    <w:rsid w:val="000F4D9E"/>
    <w:rsid w:val="000F4DA5"/>
    <w:rsid w:val="000F4E0E"/>
    <w:rsid w:val="000F4F0D"/>
    <w:rsid w:val="000F4F79"/>
    <w:rsid w:val="000F5019"/>
    <w:rsid w:val="000F5066"/>
    <w:rsid w:val="000F513F"/>
    <w:rsid w:val="000F5144"/>
    <w:rsid w:val="000F5166"/>
    <w:rsid w:val="000F5188"/>
    <w:rsid w:val="000F5222"/>
    <w:rsid w:val="000F5259"/>
    <w:rsid w:val="000F528E"/>
    <w:rsid w:val="000F52A3"/>
    <w:rsid w:val="000F52FC"/>
    <w:rsid w:val="000F532C"/>
    <w:rsid w:val="000F5373"/>
    <w:rsid w:val="000F53BD"/>
    <w:rsid w:val="000F53EF"/>
    <w:rsid w:val="000F5444"/>
    <w:rsid w:val="000F544B"/>
    <w:rsid w:val="000F5459"/>
    <w:rsid w:val="000F5501"/>
    <w:rsid w:val="000F5564"/>
    <w:rsid w:val="000F5569"/>
    <w:rsid w:val="000F5571"/>
    <w:rsid w:val="000F55F4"/>
    <w:rsid w:val="000F5622"/>
    <w:rsid w:val="000F5631"/>
    <w:rsid w:val="000F563B"/>
    <w:rsid w:val="000F5696"/>
    <w:rsid w:val="000F57AC"/>
    <w:rsid w:val="000F57B8"/>
    <w:rsid w:val="000F5829"/>
    <w:rsid w:val="000F5846"/>
    <w:rsid w:val="000F584B"/>
    <w:rsid w:val="000F5898"/>
    <w:rsid w:val="000F5943"/>
    <w:rsid w:val="000F596E"/>
    <w:rsid w:val="000F59A4"/>
    <w:rsid w:val="000F59AD"/>
    <w:rsid w:val="000F59D6"/>
    <w:rsid w:val="000F5A7A"/>
    <w:rsid w:val="000F5B96"/>
    <w:rsid w:val="000F5BD9"/>
    <w:rsid w:val="000F5BE7"/>
    <w:rsid w:val="000F5C09"/>
    <w:rsid w:val="000F5C0F"/>
    <w:rsid w:val="000F5C44"/>
    <w:rsid w:val="000F5C8F"/>
    <w:rsid w:val="000F5DB3"/>
    <w:rsid w:val="000F5E03"/>
    <w:rsid w:val="000F5E12"/>
    <w:rsid w:val="000F5E2E"/>
    <w:rsid w:val="000F5E60"/>
    <w:rsid w:val="000F5E8E"/>
    <w:rsid w:val="000F5FF1"/>
    <w:rsid w:val="000F6006"/>
    <w:rsid w:val="000F600B"/>
    <w:rsid w:val="000F6031"/>
    <w:rsid w:val="000F60DF"/>
    <w:rsid w:val="000F617B"/>
    <w:rsid w:val="000F619F"/>
    <w:rsid w:val="000F61C7"/>
    <w:rsid w:val="000F61E7"/>
    <w:rsid w:val="000F61EE"/>
    <w:rsid w:val="000F61FE"/>
    <w:rsid w:val="000F6218"/>
    <w:rsid w:val="000F6222"/>
    <w:rsid w:val="000F6228"/>
    <w:rsid w:val="000F623F"/>
    <w:rsid w:val="000F625B"/>
    <w:rsid w:val="000F6291"/>
    <w:rsid w:val="000F62D9"/>
    <w:rsid w:val="000F63B9"/>
    <w:rsid w:val="000F642A"/>
    <w:rsid w:val="000F6448"/>
    <w:rsid w:val="000F6455"/>
    <w:rsid w:val="000F649A"/>
    <w:rsid w:val="000F64FD"/>
    <w:rsid w:val="000F6502"/>
    <w:rsid w:val="000F6504"/>
    <w:rsid w:val="000F65F4"/>
    <w:rsid w:val="000F666F"/>
    <w:rsid w:val="000F6737"/>
    <w:rsid w:val="000F6747"/>
    <w:rsid w:val="000F6854"/>
    <w:rsid w:val="000F6883"/>
    <w:rsid w:val="000F688F"/>
    <w:rsid w:val="000F6977"/>
    <w:rsid w:val="000F6991"/>
    <w:rsid w:val="000F699D"/>
    <w:rsid w:val="000F69A1"/>
    <w:rsid w:val="000F6A76"/>
    <w:rsid w:val="000F6ADD"/>
    <w:rsid w:val="000F6CA8"/>
    <w:rsid w:val="000F6CBF"/>
    <w:rsid w:val="000F6CC1"/>
    <w:rsid w:val="000F6CC2"/>
    <w:rsid w:val="000F6D9D"/>
    <w:rsid w:val="000F6DE9"/>
    <w:rsid w:val="000F6E24"/>
    <w:rsid w:val="000F6E31"/>
    <w:rsid w:val="000F6E51"/>
    <w:rsid w:val="000F6E6D"/>
    <w:rsid w:val="000F6F5E"/>
    <w:rsid w:val="000F6F74"/>
    <w:rsid w:val="000F6F7C"/>
    <w:rsid w:val="000F6F7F"/>
    <w:rsid w:val="000F6FC3"/>
    <w:rsid w:val="000F7047"/>
    <w:rsid w:val="000F7056"/>
    <w:rsid w:val="000F70EF"/>
    <w:rsid w:val="000F7114"/>
    <w:rsid w:val="000F7156"/>
    <w:rsid w:val="000F719D"/>
    <w:rsid w:val="000F71FF"/>
    <w:rsid w:val="000F72BB"/>
    <w:rsid w:val="000F72E0"/>
    <w:rsid w:val="000F7302"/>
    <w:rsid w:val="000F73A7"/>
    <w:rsid w:val="000F73E8"/>
    <w:rsid w:val="000F74C6"/>
    <w:rsid w:val="000F74F0"/>
    <w:rsid w:val="000F7526"/>
    <w:rsid w:val="000F7531"/>
    <w:rsid w:val="000F75C5"/>
    <w:rsid w:val="000F75CF"/>
    <w:rsid w:val="000F766C"/>
    <w:rsid w:val="000F7672"/>
    <w:rsid w:val="000F7705"/>
    <w:rsid w:val="000F7784"/>
    <w:rsid w:val="000F7786"/>
    <w:rsid w:val="000F778D"/>
    <w:rsid w:val="000F7828"/>
    <w:rsid w:val="000F78AC"/>
    <w:rsid w:val="000F79E5"/>
    <w:rsid w:val="000F7A62"/>
    <w:rsid w:val="000F7AB1"/>
    <w:rsid w:val="000F7B16"/>
    <w:rsid w:val="000F7B4F"/>
    <w:rsid w:val="000F7BCC"/>
    <w:rsid w:val="000F7BEB"/>
    <w:rsid w:val="000F7C59"/>
    <w:rsid w:val="000F7CC4"/>
    <w:rsid w:val="000F7CEE"/>
    <w:rsid w:val="000F7DE5"/>
    <w:rsid w:val="000F7E04"/>
    <w:rsid w:val="000F7ECE"/>
    <w:rsid w:val="000F7ED7"/>
    <w:rsid w:val="000F7EDC"/>
    <w:rsid w:val="000F7F20"/>
    <w:rsid w:val="000F7F58"/>
    <w:rsid w:val="00100011"/>
    <w:rsid w:val="00100016"/>
    <w:rsid w:val="00100053"/>
    <w:rsid w:val="001001A9"/>
    <w:rsid w:val="00100216"/>
    <w:rsid w:val="00100225"/>
    <w:rsid w:val="0010022C"/>
    <w:rsid w:val="0010023D"/>
    <w:rsid w:val="00100249"/>
    <w:rsid w:val="0010027C"/>
    <w:rsid w:val="0010029A"/>
    <w:rsid w:val="001002F8"/>
    <w:rsid w:val="00100341"/>
    <w:rsid w:val="0010038F"/>
    <w:rsid w:val="001003A5"/>
    <w:rsid w:val="001003AB"/>
    <w:rsid w:val="00100450"/>
    <w:rsid w:val="00100473"/>
    <w:rsid w:val="001004C2"/>
    <w:rsid w:val="001004EF"/>
    <w:rsid w:val="00100543"/>
    <w:rsid w:val="0010054B"/>
    <w:rsid w:val="0010057E"/>
    <w:rsid w:val="0010062C"/>
    <w:rsid w:val="001006C7"/>
    <w:rsid w:val="00100779"/>
    <w:rsid w:val="00100A28"/>
    <w:rsid w:val="00100A8F"/>
    <w:rsid w:val="00100B23"/>
    <w:rsid w:val="00100B69"/>
    <w:rsid w:val="00100BEB"/>
    <w:rsid w:val="00100CD2"/>
    <w:rsid w:val="00100D5A"/>
    <w:rsid w:val="00100DB3"/>
    <w:rsid w:val="00100DC8"/>
    <w:rsid w:val="00100DEC"/>
    <w:rsid w:val="00100E19"/>
    <w:rsid w:val="00100E66"/>
    <w:rsid w:val="00100EB1"/>
    <w:rsid w:val="00100EB2"/>
    <w:rsid w:val="00100EDE"/>
    <w:rsid w:val="00100EE1"/>
    <w:rsid w:val="00100F22"/>
    <w:rsid w:val="00100F37"/>
    <w:rsid w:val="00100F59"/>
    <w:rsid w:val="00100FAB"/>
    <w:rsid w:val="00100FFE"/>
    <w:rsid w:val="00101169"/>
    <w:rsid w:val="00101232"/>
    <w:rsid w:val="00101241"/>
    <w:rsid w:val="001012C2"/>
    <w:rsid w:val="001012D0"/>
    <w:rsid w:val="001013C2"/>
    <w:rsid w:val="0010141E"/>
    <w:rsid w:val="00101451"/>
    <w:rsid w:val="00101458"/>
    <w:rsid w:val="001014F4"/>
    <w:rsid w:val="00101515"/>
    <w:rsid w:val="00101532"/>
    <w:rsid w:val="00101538"/>
    <w:rsid w:val="001015BD"/>
    <w:rsid w:val="00101601"/>
    <w:rsid w:val="00101606"/>
    <w:rsid w:val="0010169C"/>
    <w:rsid w:val="001016EB"/>
    <w:rsid w:val="00101707"/>
    <w:rsid w:val="00101807"/>
    <w:rsid w:val="00101843"/>
    <w:rsid w:val="00101902"/>
    <w:rsid w:val="00101A53"/>
    <w:rsid w:val="00101A7C"/>
    <w:rsid w:val="00101A96"/>
    <w:rsid w:val="00101AEE"/>
    <w:rsid w:val="00101C3E"/>
    <w:rsid w:val="00101CA1"/>
    <w:rsid w:val="00101CB1"/>
    <w:rsid w:val="00101CC6"/>
    <w:rsid w:val="00101CF3"/>
    <w:rsid w:val="00101D38"/>
    <w:rsid w:val="00101D46"/>
    <w:rsid w:val="00101D5D"/>
    <w:rsid w:val="00101E75"/>
    <w:rsid w:val="00101EBF"/>
    <w:rsid w:val="00101EC4"/>
    <w:rsid w:val="00101ECD"/>
    <w:rsid w:val="00101EF5"/>
    <w:rsid w:val="00101F64"/>
    <w:rsid w:val="00101F81"/>
    <w:rsid w:val="00101F89"/>
    <w:rsid w:val="00101F8B"/>
    <w:rsid w:val="00101FD2"/>
    <w:rsid w:val="00101FE2"/>
    <w:rsid w:val="00102011"/>
    <w:rsid w:val="00102052"/>
    <w:rsid w:val="001020A7"/>
    <w:rsid w:val="001020B9"/>
    <w:rsid w:val="001020F4"/>
    <w:rsid w:val="00102139"/>
    <w:rsid w:val="00102143"/>
    <w:rsid w:val="00102183"/>
    <w:rsid w:val="001021B3"/>
    <w:rsid w:val="001021FD"/>
    <w:rsid w:val="001022E2"/>
    <w:rsid w:val="0010234E"/>
    <w:rsid w:val="0010235E"/>
    <w:rsid w:val="001023C6"/>
    <w:rsid w:val="001023CE"/>
    <w:rsid w:val="00102435"/>
    <w:rsid w:val="0010244C"/>
    <w:rsid w:val="001024AD"/>
    <w:rsid w:val="00102563"/>
    <w:rsid w:val="0010268C"/>
    <w:rsid w:val="001026A3"/>
    <w:rsid w:val="001026DD"/>
    <w:rsid w:val="00102714"/>
    <w:rsid w:val="00102762"/>
    <w:rsid w:val="00102775"/>
    <w:rsid w:val="001027E2"/>
    <w:rsid w:val="00102842"/>
    <w:rsid w:val="001028BF"/>
    <w:rsid w:val="00102980"/>
    <w:rsid w:val="00102A30"/>
    <w:rsid w:val="00102A5B"/>
    <w:rsid w:val="00102AC7"/>
    <w:rsid w:val="00102AE7"/>
    <w:rsid w:val="00102B22"/>
    <w:rsid w:val="00102B96"/>
    <w:rsid w:val="00102C15"/>
    <w:rsid w:val="00102C48"/>
    <w:rsid w:val="00102CC2"/>
    <w:rsid w:val="00102CE6"/>
    <w:rsid w:val="00102CFF"/>
    <w:rsid w:val="00102D09"/>
    <w:rsid w:val="00102D20"/>
    <w:rsid w:val="00102D37"/>
    <w:rsid w:val="00102D4B"/>
    <w:rsid w:val="00102D81"/>
    <w:rsid w:val="00102DE2"/>
    <w:rsid w:val="00102DFB"/>
    <w:rsid w:val="00102E13"/>
    <w:rsid w:val="00102E17"/>
    <w:rsid w:val="00102E59"/>
    <w:rsid w:val="00102F87"/>
    <w:rsid w:val="00102F88"/>
    <w:rsid w:val="00102FA9"/>
    <w:rsid w:val="00102FB6"/>
    <w:rsid w:val="00102FDD"/>
    <w:rsid w:val="0010301B"/>
    <w:rsid w:val="0010303B"/>
    <w:rsid w:val="00103074"/>
    <w:rsid w:val="0010315A"/>
    <w:rsid w:val="00103181"/>
    <w:rsid w:val="0010326D"/>
    <w:rsid w:val="0010327C"/>
    <w:rsid w:val="001032D2"/>
    <w:rsid w:val="0010335E"/>
    <w:rsid w:val="00103399"/>
    <w:rsid w:val="00103425"/>
    <w:rsid w:val="0010346E"/>
    <w:rsid w:val="001034A3"/>
    <w:rsid w:val="00103528"/>
    <w:rsid w:val="00103546"/>
    <w:rsid w:val="001035FB"/>
    <w:rsid w:val="00103650"/>
    <w:rsid w:val="00103652"/>
    <w:rsid w:val="00103660"/>
    <w:rsid w:val="00103661"/>
    <w:rsid w:val="0010371B"/>
    <w:rsid w:val="00103722"/>
    <w:rsid w:val="00103724"/>
    <w:rsid w:val="0010373B"/>
    <w:rsid w:val="0010375E"/>
    <w:rsid w:val="001037C3"/>
    <w:rsid w:val="00103833"/>
    <w:rsid w:val="0010386C"/>
    <w:rsid w:val="001038C8"/>
    <w:rsid w:val="0010391D"/>
    <w:rsid w:val="00103945"/>
    <w:rsid w:val="0010394B"/>
    <w:rsid w:val="001039A9"/>
    <w:rsid w:val="00103A68"/>
    <w:rsid w:val="00103A76"/>
    <w:rsid w:val="00103A84"/>
    <w:rsid w:val="00103AA6"/>
    <w:rsid w:val="00103BE7"/>
    <w:rsid w:val="00103C40"/>
    <w:rsid w:val="00103C51"/>
    <w:rsid w:val="00103C9B"/>
    <w:rsid w:val="00103CBE"/>
    <w:rsid w:val="00103D07"/>
    <w:rsid w:val="00103DD6"/>
    <w:rsid w:val="00103DEC"/>
    <w:rsid w:val="00103DF2"/>
    <w:rsid w:val="00103E3B"/>
    <w:rsid w:val="00103F3F"/>
    <w:rsid w:val="00103F45"/>
    <w:rsid w:val="00103FB3"/>
    <w:rsid w:val="00103FE2"/>
    <w:rsid w:val="00104039"/>
    <w:rsid w:val="00104044"/>
    <w:rsid w:val="00104080"/>
    <w:rsid w:val="001040D9"/>
    <w:rsid w:val="0010410F"/>
    <w:rsid w:val="00104139"/>
    <w:rsid w:val="00104143"/>
    <w:rsid w:val="0010415E"/>
    <w:rsid w:val="0010419A"/>
    <w:rsid w:val="001041D7"/>
    <w:rsid w:val="001041FD"/>
    <w:rsid w:val="00104323"/>
    <w:rsid w:val="0010435F"/>
    <w:rsid w:val="00104367"/>
    <w:rsid w:val="00104368"/>
    <w:rsid w:val="00104371"/>
    <w:rsid w:val="001043CE"/>
    <w:rsid w:val="00104403"/>
    <w:rsid w:val="0010441B"/>
    <w:rsid w:val="00104436"/>
    <w:rsid w:val="001044BA"/>
    <w:rsid w:val="0010458D"/>
    <w:rsid w:val="00104610"/>
    <w:rsid w:val="0010462B"/>
    <w:rsid w:val="0010464F"/>
    <w:rsid w:val="001046DD"/>
    <w:rsid w:val="001046EB"/>
    <w:rsid w:val="00104783"/>
    <w:rsid w:val="001047F0"/>
    <w:rsid w:val="00104830"/>
    <w:rsid w:val="00104900"/>
    <w:rsid w:val="00104939"/>
    <w:rsid w:val="00104956"/>
    <w:rsid w:val="00104978"/>
    <w:rsid w:val="00104A8E"/>
    <w:rsid w:val="00104AF4"/>
    <w:rsid w:val="00104B5C"/>
    <w:rsid w:val="00104B62"/>
    <w:rsid w:val="00104B6E"/>
    <w:rsid w:val="00104BDD"/>
    <w:rsid w:val="00104BF8"/>
    <w:rsid w:val="00104C33"/>
    <w:rsid w:val="00104C3D"/>
    <w:rsid w:val="00104C40"/>
    <w:rsid w:val="00104E9B"/>
    <w:rsid w:val="00104EB2"/>
    <w:rsid w:val="00104EC3"/>
    <w:rsid w:val="00104EF6"/>
    <w:rsid w:val="00104F19"/>
    <w:rsid w:val="00104F8A"/>
    <w:rsid w:val="00104F9E"/>
    <w:rsid w:val="00104FC7"/>
    <w:rsid w:val="00104FF7"/>
    <w:rsid w:val="00105001"/>
    <w:rsid w:val="00105030"/>
    <w:rsid w:val="00105079"/>
    <w:rsid w:val="00105087"/>
    <w:rsid w:val="001050FD"/>
    <w:rsid w:val="00105120"/>
    <w:rsid w:val="00105124"/>
    <w:rsid w:val="00105171"/>
    <w:rsid w:val="001051F0"/>
    <w:rsid w:val="001051F7"/>
    <w:rsid w:val="00105201"/>
    <w:rsid w:val="0010521D"/>
    <w:rsid w:val="001052AB"/>
    <w:rsid w:val="0010532D"/>
    <w:rsid w:val="00105394"/>
    <w:rsid w:val="001053AE"/>
    <w:rsid w:val="00105427"/>
    <w:rsid w:val="00105442"/>
    <w:rsid w:val="00105486"/>
    <w:rsid w:val="001054D3"/>
    <w:rsid w:val="00105564"/>
    <w:rsid w:val="00105580"/>
    <w:rsid w:val="001055B0"/>
    <w:rsid w:val="00105622"/>
    <w:rsid w:val="00105650"/>
    <w:rsid w:val="00105675"/>
    <w:rsid w:val="00105688"/>
    <w:rsid w:val="001056CD"/>
    <w:rsid w:val="00105707"/>
    <w:rsid w:val="0010570E"/>
    <w:rsid w:val="00105748"/>
    <w:rsid w:val="001057B6"/>
    <w:rsid w:val="001057DF"/>
    <w:rsid w:val="001057FD"/>
    <w:rsid w:val="00105804"/>
    <w:rsid w:val="0010580A"/>
    <w:rsid w:val="0010582C"/>
    <w:rsid w:val="00105842"/>
    <w:rsid w:val="0010593D"/>
    <w:rsid w:val="00105972"/>
    <w:rsid w:val="001059D2"/>
    <w:rsid w:val="00105B35"/>
    <w:rsid w:val="00105B76"/>
    <w:rsid w:val="00105B95"/>
    <w:rsid w:val="00105BC6"/>
    <w:rsid w:val="00105CAE"/>
    <w:rsid w:val="00105CBA"/>
    <w:rsid w:val="00105D3D"/>
    <w:rsid w:val="00105D98"/>
    <w:rsid w:val="00105DC1"/>
    <w:rsid w:val="00105E02"/>
    <w:rsid w:val="00105E1C"/>
    <w:rsid w:val="00105E41"/>
    <w:rsid w:val="00105E49"/>
    <w:rsid w:val="00105E60"/>
    <w:rsid w:val="00105F17"/>
    <w:rsid w:val="00105F76"/>
    <w:rsid w:val="00105F82"/>
    <w:rsid w:val="00105FA2"/>
    <w:rsid w:val="00105FD4"/>
    <w:rsid w:val="00106055"/>
    <w:rsid w:val="001060B2"/>
    <w:rsid w:val="0010612E"/>
    <w:rsid w:val="00106133"/>
    <w:rsid w:val="00106148"/>
    <w:rsid w:val="0010615E"/>
    <w:rsid w:val="00106245"/>
    <w:rsid w:val="00106252"/>
    <w:rsid w:val="00106283"/>
    <w:rsid w:val="001062F5"/>
    <w:rsid w:val="001062F8"/>
    <w:rsid w:val="00106362"/>
    <w:rsid w:val="0010640D"/>
    <w:rsid w:val="00106455"/>
    <w:rsid w:val="00106457"/>
    <w:rsid w:val="001064B2"/>
    <w:rsid w:val="00106548"/>
    <w:rsid w:val="001065AC"/>
    <w:rsid w:val="001065D9"/>
    <w:rsid w:val="0010662B"/>
    <w:rsid w:val="00106633"/>
    <w:rsid w:val="0010665A"/>
    <w:rsid w:val="00106691"/>
    <w:rsid w:val="001066A0"/>
    <w:rsid w:val="001066A2"/>
    <w:rsid w:val="001066B2"/>
    <w:rsid w:val="001066B9"/>
    <w:rsid w:val="001067A3"/>
    <w:rsid w:val="001067FF"/>
    <w:rsid w:val="00106836"/>
    <w:rsid w:val="0010683B"/>
    <w:rsid w:val="0010686E"/>
    <w:rsid w:val="001069C9"/>
    <w:rsid w:val="00106A4C"/>
    <w:rsid w:val="00106A56"/>
    <w:rsid w:val="00106A5F"/>
    <w:rsid w:val="00106A67"/>
    <w:rsid w:val="00106AD8"/>
    <w:rsid w:val="00106B24"/>
    <w:rsid w:val="00106B69"/>
    <w:rsid w:val="00106B78"/>
    <w:rsid w:val="00106C81"/>
    <w:rsid w:val="00106CDE"/>
    <w:rsid w:val="00106CFD"/>
    <w:rsid w:val="00106D4B"/>
    <w:rsid w:val="00106DC6"/>
    <w:rsid w:val="00106E6E"/>
    <w:rsid w:val="00106EEC"/>
    <w:rsid w:val="00106F03"/>
    <w:rsid w:val="00106FCD"/>
    <w:rsid w:val="00107032"/>
    <w:rsid w:val="001070D6"/>
    <w:rsid w:val="001070E7"/>
    <w:rsid w:val="001070EC"/>
    <w:rsid w:val="001070F5"/>
    <w:rsid w:val="0010712A"/>
    <w:rsid w:val="0010714A"/>
    <w:rsid w:val="00107220"/>
    <w:rsid w:val="00107290"/>
    <w:rsid w:val="001072A2"/>
    <w:rsid w:val="001072B8"/>
    <w:rsid w:val="0010731D"/>
    <w:rsid w:val="001073CB"/>
    <w:rsid w:val="001073EB"/>
    <w:rsid w:val="0010743B"/>
    <w:rsid w:val="001074C9"/>
    <w:rsid w:val="00107524"/>
    <w:rsid w:val="00107567"/>
    <w:rsid w:val="00107642"/>
    <w:rsid w:val="00107674"/>
    <w:rsid w:val="00107693"/>
    <w:rsid w:val="001076A9"/>
    <w:rsid w:val="0010773C"/>
    <w:rsid w:val="0010773D"/>
    <w:rsid w:val="00107753"/>
    <w:rsid w:val="00107767"/>
    <w:rsid w:val="0010777A"/>
    <w:rsid w:val="0010778C"/>
    <w:rsid w:val="001077FD"/>
    <w:rsid w:val="00107816"/>
    <w:rsid w:val="001078B7"/>
    <w:rsid w:val="001079C7"/>
    <w:rsid w:val="00107A1A"/>
    <w:rsid w:val="00107A3C"/>
    <w:rsid w:val="00107AEC"/>
    <w:rsid w:val="00107B47"/>
    <w:rsid w:val="00107C11"/>
    <w:rsid w:val="00107C5B"/>
    <w:rsid w:val="00107CD2"/>
    <w:rsid w:val="00107CEB"/>
    <w:rsid w:val="00107D4B"/>
    <w:rsid w:val="00107D80"/>
    <w:rsid w:val="00107D9F"/>
    <w:rsid w:val="00107DE2"/>
    <w:rsid w:val="00107E26"/>
    <w:rsid w:val="00107E6A"/>
    <w:rsid w:val="00107E7B"/>
    <w:rsid w:val="00107E8E"/>
    <w:rsid w:val="00107F65"/>
    <w:rsid w:val="00107FB0"/>
    <w:rsid w:val="00107FE3"/>
    <w:rsid w:val="0011001F"/>
    <w:rsid w:val="001100AB"/>
    <w:rsid w:val="001101DC"/>
    <w:rsid w:val="001101E3"/>
    <w:rsid w:val="00110261"/>
    <w:rsid w:val="001102D5"/>
    <w:rsid w:val="00110375"/>
    <w:rsid w:val="0011038C"/>
    <w:rsid w:val="001103AB"/>
    <w:rsid w:val="001103E9"/>
    <w:rsid w:val="001103EF"/>
    <w:rsid w:val="001104A2"/>
    <w:rsid w:val="001104BA"/>
    <w:rsid w:val="001104DC"/>
    <w:rsid w:val="001104E0"/>
    <w:rsid w:val="0011056C"/>
    <w:rsid w:val="00110676"/>
    <w:rsid w:val="001106A8"/>
    <w:rsid w:val="00110719"/>
    <w:rsid w:val="0011073A"/>
    <w:rsid w:val="0011089E"/>
    <w:rsid w:val="00110981"/>
    <w:rsid w:val="00110996"/>
    <w:rsid w:val="00110A01"/>
    <w:rsid w:val="00110A1F"/>
    <w:rsid w:val="00110A33"/>
    <w:rsid w:val="00110AAE"/>
    <w:rsid w:val="00110B18"/>
    <w:rsid w:val="00110C2F"/>
    <w:rsid w:val="00110C62"/>
    <w:rsid w:val="00110CF8"/>
    <w:rsid w:val="00110D40"/>
    <w:rsid w:val="00110DA4"/>
    <w:rsid w:val="00110DD6"/>
    <w:rsid w:val="00110E39"/>
    <w:rsid w:val="00110E40"/>
    <w:rsid w:val="00110EA3"/>
    <w:rsid w:val="00110EEF"/>
    <w:rsid w:val="00110F1C"/>
    <w:rsid w:val="00110F5B"/>
    <w:rsid w:val="00110F95"/>
    <w:rsid w:val="00110FA0"/>
    <w:rsid w:val="00110FCA"/>
    <w:rsid w:val="00111032"/>
    <w:rsid w:val="001110C4"/>
    <w:rsid w:val="00111193"/>
    <w:rsid w:val="00111216"/>
    <w:rsid w:val="0011121E"/>
    <w:rsid w:val="001112CC"/>
    <w:rsid w:val="001112D8"/>
    <w:rsid w:val="001112E6"/>
    <w:rsid w:val="0011130D"/>
    <w:rsid w:val="001113D1"/>
    <w:rsid w:val="001113DB"/>
    <w:rsid w:val="001114D4"/>
    <w:rsid w:val="0011150E"/>
    <w:rsid w:val="00111530"/>
    <w:rsid w:val="00111592"/>
    <w:rsid w:val="001115D2"/>
    <w:rsid w:val="001115D8"/>
    <w:rsid w:val="00111643"/>
    <w:rsid w:val="00111658"/>
    <w:rsid w:val="0011165F"/>
    <w:rsid w:val="00111684"/>
    <w:rsid w:val="001116C2"/>
    <w:rsid w:val="001116D0"/>
    <w:rsid w:val="00111727"/>
    <w:rsid w:val="0011176C"/>
    <w:rsid w:val="001117BE"/>
    <w:rsid w:val="00111851"/>
    <w:rsid w:val="0011194F"/>
    <w:rsid w:val="00111972"/>
    <w:rsid w:val="00111A03"/>
    <w:rsid w:val="00111ABB"/>
    <w:rsid w:val="00111B40"/>
    <w:rsid w:val="00111B98"/>
    <w:rsid w:val="00111C31"/>
    <w:rsid w:val="00111C5F"/>
    <w:rsid w:val="00111C74"/>
    <w:rsid w:val="00111C88"/>
    <w:rsid w:val="00111C9E"/>
    <w:rsid w:val="00111D3D"/>
    <w:rsid w:val="00111D79"/>
    <w:rsid w:val="00111E4B"/>
    <w:rsid w:val="00111EDB"/>
    <w:rsid w:val="00111EF1"/>
    <w:rsid w:val="00111FBE"/>
    <w:rsid w:val="00111FD3"/>
    <w:rsid w:val="00111FE7"/>
    <w:rsid w:val="00111FF3"/>
    <w:rsid w:val="00112007"/>
    <w:rsid w:val="0011200E"/>
    <w:rsid w:val="0011201C"/>
    <w:rsid w:val="00112049"/>
    <w:rsid w:val="00112124"/>
    <w:rsid w:val="001121A0"/>
    <w:rsid w:val="0011225D"/>
    <w:rsid w:val="00112289"/>
    <w:rsid w:val="001122A0"/>
    <w:rsid w:val="001122DA"/>
    <w:rsid w:val="001122FC"/>
    <w:rsid w:val="00112310"/>
    <w:rsid w:val="00112383"/>
    <w:rsid w:val="00112397"/>
    <w:rsid w:val="001123E7"/>
    <w:rsid w:val="001123F3"/>
    <w:rsid w:val="0011247C"/>
    <w:rsid w:val="0011254D"/>
    <w:rsid w:val="00112590"/>
    <w:rsid w:val="0011260D"/>
    <w:rsid w:val="00112626"/>
    <w:rsid w:val="00112644"/>
    <w:rsid w:val="00112686"/>
    <w:rsid w:val="001126E7"/>
    <w:rsid w:val="00112722"/>
    <w:rsid w:val="0011276C"/>
    <w:rsid w:val="001127ED"/>
    <w:rsid w:val="0011282F"/>
    <w:rsid w:val="00112836"/>
    <w:rsid w:val="001128FC"/>
    <w:rsid w:val="0011291A"/>
    <w:rsid w:val="001129B7"/>
    <w:rsid w:val="001129C8"/>
    <w:rsid w:val="001129C9"/>
    <w:rsid w:val="001129F2"/>
    <w:rsid w:val="001129FC"/>
    <w:rsid w:val="00112BC7"/>
    <w:rsid w:val="00112C07"/>
    <w:rsid w:val="00112C65"/>
    <w:rsid w:val="00112CA1"/>
    <w:rsid w:val="00112CA2"/>
    <w:rsid w:val="00112D04"/>
    <w:rsid w:val="00112D75"/>
    <w:rsid w:val="00112F01"/>
    <w:rsid w:val="00112F91"/>
    <w:rsid w:val="001130A4"/>
    <w:rsid w:val="0011312F"/>
    <w:rsid w:val="00113168"/>
    <w:rsid w:val="001131C2"/>
    <w:rsid w:val="001131E1"/>
    <w:rsid w:val="00113204"/>
    <w:rsid w:val="0011320F"/>
    <w:rsid w:val="00113216"/>
    <w:rsid w:val="00113249"/>
    <w:rsid w:val="00113296"/>
    <w:rsid w:val="0011329B"/>
    <w:rsid w:val="001132B7"/>
    <w:rsid w:val="001132B9"/>
    <w:rsid w:val="001132E0"/>
    <w:rsid w:val="001132F3"/>
    <w:rsid w:val="00113367"/>
    <w:rsid w:val="00113391"/>
    <w:rsid w:val="001133FD"/>
    <w:rsid w:val="00113420"/>
    <w:rsid w:val="0011342E"/>
    <w:rsid w:val="00113438"/>
    <w:rsid w:val="00113449"/>
    <w:rsid w:val="00113471"/>
    <w:rsid w:val="00113515"/>
    <w:rsid w:val="00113544"/>
    <w:rsid w:val="00113591"/>
    <w:rsid w:val="0011364F"/>
    <w:rsid w:val="00113655"/>
    <w:rsid w:val="00113660"/>
    <w:rsid w:val="001136AD"/>
    <w:rsid w:val="001136D7"/>
    <w:rsid w:val="0011370B"/>
    <w:rsid w:val="00113761"/>
    <w:rsid w:val="001137DA"/>
    <w:rsid w:val="00113820"/>
    <w:rsid w:val="00113925"/>
    <w:rsid w:val="00113932"/>
    <w:rsid w:val="001139CA"/>
    <w:rsid w:val="001139F5"/>
    <w:rsid w:val="00113AF8"/>
    <w:rsid w:val="00113B0C"/>
    <w:rsid w:val="00113B3E"/>
    <w:rsid w:val="00113B4F"/>
    <w:rsid w:val="00113B53"/>
    <w:rsid w:val="00113B5F"/>
    <w:rsid w:val="00113BB9"/>
    <w:rsid w:val="00113BD9"/>
    <w:rsid w:val="00113C12"/>
    <w:rsid w:val="00113CAA"/>
    <w:rsid w:val="00113CE3"/>
    <w:rsid w:val="00113D05"/>
    <w:rsid w:val="00113D0B"/>
    <w:rsid w:val="00113D63"/>
    <w:rsid w:val="00113DDF"/>
    <w:rsid w:val="00113DED"/>
    <w:rsid w:val="00113DF7"/>
    <w:rsid w:val="00113E0C"/>
    <w:rsid w:val="00113F85"/>
    <w:rsid w:val="00113F89"/>
    <w:rsid w:val="00113FAD"/>
    <w:rsid w:val="00114002"/>
    <w:rsid w:val="0011400F"/>
    <w:rsid w:val="0011401B"/>
    <w:rsid w:val="00114030"/>
    <w:rsid w:val="00114103"/>
    <w:rsid w:val="00114194"/>
    <w:rsid w:val="001141B6"/>
    <w:rsid w:val="00114260"/>
    <w:rsid w:val="00114280"/>
    <w:rsid w:val="001142E5"/>
    <w:rsid w:val="001142F1"/>
    <w:rsid w:val="0011433D"/>
    <w:rsid w:val="00114350"/>
    <w:rsid w:val="001143CB"/>
    <w:rsid w:val="0011440F"/>
    <w:rsid w:val="00114488"/>
    <w:rsid w:val="0011448E"/>
    <w:rsid w:val="001144D2"/>
    <w:rsid w:val="001144F7"/>
    <w:rsid w:val="0011451E"/>
    <w:rsid w:val="0011453D"/>
    <w:rsid w:val="00114576"/>
    <w:rsid w:val="00114588"/>
    <w:rsid w:val="001145ED"/>
    <w:rsid w:val="001146BC"/>
    <w:rsid w:val="001146C3"/>
    <w:rsid w:val="00114716"/>
    <w:rsid w:val="00114752"/>
    <w:rsid w:val="00114758"/>
    <w:rsid w:val="0011480B"/>
    <w:rsid w:val="0011482D"/>
    <w:rsid w:val="00114858"/>
    <w:rsid w:val="00114863"/>
    <w:rsid w:val="00114890"/>
    <w:rsid w:val="0011489D"/>
    <w:rsid w:val="001148AB"/>
    <w:rsid w:val="001148DB"/>
    <w:rsid w:val="0011492A"/>
    <w:rsid w:val="0011495B"/>
    <w:rsid w:val="0011496F"/>
    <w:rsid w:val="00114977"/>
    <w:rsid w:val="00114990"/>
    <w:rsid w:val="001149C3"/>
    <w:rsid w:val="001149F5"/>
    <w:rsid w:val="00114A22"/>
    <w:rsid w:val="00114A4F"/>
    <w:rsid w:val="00114AFD"/>
    <w:rsid w:val="00114B25"/>
    <w:rsid w:val="00114B4A"/>
    <w:rsid w:val="00114B55"/>
    <w:rsid w:val="00114B94"/>
    <w:rsid w:val="00114BD1"/>
    <w:rsid w:val="00114BEA"/>
    <w:rsid w:val="00114C84"/>
    <w:rsid w:val="00114DD5"/>
    <w:rsid w:val="00114DF8"/>
    <w:rsid w:val="00114E1B"/>
    <w:rsid w:val="00114E42"/>
    <w:rsid w:val="00114F19"/>
    <w:rsid w:val="00115092"/>
    <w:rsid w:val="0011510C"/>
    <w:rsid w:val="0011514E"/>
    <w:rsid w:val="001151A2"/>
    <w:rsid w:val="0011524F"/>
    <w:rsid w:val="00115299"/>
    <w:rsid w:val="0011531B"/>
    <w:rsid w:val="0011536B"/>
    <w:rsid w:val="0011538F"/>
    <w:rsid w:val="001153AB"/>
    <w:rsid w:val="001153DE"/>
    <w:rsid w:val="001153E9"/>
    <w:rsid w:val="001154A1"/>
    <w:rsid w:val="001154FF"/>
    <w:rsid w:val="00115517"/>
    <w:rsid w:val="0011554D"/>
    <w:rsid w:val="001155E1"/>
    <w:rsid w:val="00115606"/>
    <w:rsid w:val="00115615"/>
    <w:rsid w:val="0011562E"/>
    <w:rsid w:val="00115650"/>
    <w:rsid w:val="0011581D"/>
    <w:rsid w:val="00115829"/>
    <w:rsid w:val="0011585F"/>
    <w:rsid w:val="001158DB"/>
    <w:rsid w:val="00115910"/>
    <w:rsid w:val="0011591C"/>
    <w:rsid w:val="001159A5"/>
    <w:rsid w:val="001159C2"/>
    <w:rsid w:val="00115A9D"/>
    <w:rsid w:val="00115AE4"/>
    <w:rsid w:val="00115AF7"/>
    <w:rsid w:val="00115C10"/>
    <w:rsid w:val="00115CAE"/>
    <w:rsid w:val="00115CB7"/>
    <w:rsid w:val="00115CD3"/>
    <w:rsid w:val="00115CD5"/>
    <w:rsid w:val="00115D8C"/>
    <w:rsid w:val="00115DD7"/>
    <w:rsid w:val="00115E03"/>
    <w:rsid w:val="00115E1B"/>
    <w:rsid w:val="00115E34"/>
    <w:rsid w:val="00115E6F"/>
    <w:rsid w:val="00115EFA"/>
    <w:rsid w:val="00115F49"/>
    <w:rsid w:val="00115FC4"/>
    <w:rsid w:val="00115FCE"/>
    <w:rsid w:val="00115FF5"/>
    <w:rsid w:val="00116020"/>
    <w:rsid w:val="001160BF"/>
    <w:rsid w:val="001160E9"/>
    <w:rsid w:val="001160FF"/>
    <w:rsid w:val="0011610E"/>
    <w:rsid w:val="00116112"/>
    <w:rsid w:val="00116189"/>
    <w:rsid w:val="0011618D"/>
    <w:rsid w:val="00116190"/>
    <w:rsid w:val="00116194"/>
    <w:rsid w:val="001161B8"/>
    <w:rsid w:val="001161D1"/>
    <w:rsid w:val="0011622E"/>
    <w:rsid w:val="001162AC"/>
    <w:rsid w:val="001162C4"/>
    <w:rsid w:val="001162C8"/>
    <w:rsid w:val="001163DA"/>
    <w:rsid w:val="001163ED"/>
    <w:rsid w:val="001164A2"/>
    <w:rsid w:val="001164B1"/>
    <w:rsid w:val="001164EA"/>
    <w:rsid w:val="0011655B"/>
    <w:rsid w:val="001165C0"/>
    <w:rsid w:val="00116619"/>
    <w:rsid w:val="0011669E"/>
    <w:rsid w:val="001166B1"/>
    <w:rsid w:val="001166B5"/>
    <w:rsid w:val="001166BD"/>
    <w:rsid w:val="00116737"/>
    <w:rsid w:val="0011679D"/>
    <w:rsid w:val="001167B1"/>
    <w:rsid w:val="001167ED"/>
    <w:rsid w:val="001167FA"/>
    <w:rsid w:val="0011683E"/>
    <w:rsid w:val="00116861"/>
    <w:rsid w:val="00116868"/>
    <w:rsid w:val="0011688E"/>
    <w:rsid w:val="001168C3"/>
    <w:rsid w:val="001168E7"/>
    <w:rsid w:val="0011693A"/>
    <w:rsid w:val="001169C7"/>
    <w:rsid w:val="00116A30"/>
    <w:rsid w:val="00116A5C"/>
    <w:rsid w:val="00116AEA"/>
    <w:rsid w:val="00116B0B"/>
    <w:rsid w:val="00116B92"/>
    <w:rsid w:val="00116C0E"/>
    <w:rsid w:val="00116C86"/>
    <w:rsid w:val="00116CBC"/>
    <w:rsid w:val="00116D0F"/>
    <w:rsid w:val="00116DD3"/>
    <w:rsid w:val="00116E38"/>
    <w:rsid w:val="00116E3F"/>
    <w:rsid w:val="00116E45"/>
    <w:rsid w:val="00116E7D"/>
    <w:rsid w:val="00116EC0"/>
    <w:rsid w:val="00116ED6"/>
    <w:rsid w:val="00116EEB"/>
    <w:rsid w:val="00116EF0"/>
    <w:rsid w:val="00116F23"/>
    <w:rsid w:val="00116F38"/>
    <w:rsid w:val="00116F4B"/>
    <w:rsid w:val="00116FF8"/>
    <w:rsid w:val="001170CF"/>
    <w:rsid w:val="0011711A"/>
    <w:rsid w:val="00117139"/>
    <w:rsid w:val="001171A6"/>
    <w:rsid w:val="001171BA"/>
    <w:rsid w:val="001171DD"/>
    <w:rsid w:val="00117230"/>
    <w:rsid w:val="00117256"/>
    <w:rsid w:val="0011726E"/>
    <w:rsid w:val="001172B9"/>
    <w:rsid w:val="0011731C"/>
    <w:rsid w:val="00117360"/>
    <w:rsid w:val="00117372"/>
    <w:rsid w:val="0011739F"/>
    <w:rsid w:val="001173EE"/>
    <w:rsid w:val="0011740C"/>
    <w:rsid w:val="0011743B"/>
    <w:rsid w:val="00117455"/>
    <w:rsid w:val="00117457"/>
    <w:rsid w:val="00117458"/>
    <w:rsid w:val="001174A4"/>
    <w:rsid w:val="001174FD"/>
    <w:rsid w:val="00117537"/>
    <w:rsid w:val="00117554"/>
    <w:rsid w:val="00117569"/>
    <w:rsid w:val="001175F8"/>
    <w:rsid w:val="0011763D"/>
    <w:rsid w:val="001176D4"/>
    <w:rsid w:val="0011770A"/>
    <w:rsid w:val="0011772D"/>
    <w:rsid w:val="00117730"/>
    <w:rsid w:val="0011784E"/>
    <w:rsid w:val="00117891"/>
    <w:rsid w:val="0011789A"/>
    <w:rsid w:val="001178A8"/>
    <w:rsid w:val="001178A9"/>
    <w:rsid w:val="001178AF"/>
    <w:rsid w:val="001178E9"/>
    <w:rsid w:val="0011792D"/>
    <w:rsid w:val="00117947"/>
    <w:rsid w:val="0011796C"/>
    <w:rsid w:val="00117986"/>
    <w:rsid w:val="00117993"/>
    <w:rsid w:val="0011799F"/>
    <w:rsid w:val="00117A41"/>
    <w:rsid w:val="00117B53"/>
    <w:rsid w:val="00117B7D"/>
    <w:rsid w:val="00117C3C"/>
    <w:rsid w:val="00117C7C"/>
    <w:rsid w:val="00117CBE"/>
    <w:rsid w:val="00117CDD"/>
    <w:rsid w:val="00117D05"/>
    <w:rsid w:val="00117D97"/>
    <w:rsid w:val="00117DA7"/>
    <w:rsid w:val="00117F00"/>
    <w:rsid w:val="00117F03"/>
    <w:rsid w:val="00117F3E"/>
    <w:rsid w:val="00117FEE"/>
    <w:rsid w:val="0012005B"/>
    <w:rsid w:val="00120100"/>
    <w:rsid w:val="0012010D"/>
    <w:rsid w:val="0012013E"/>
    <w:rsid w:val="00120192"/>
    <w:rsid w:val="001201C4"/>
    <w:rsid w:val="001201D5"/>
    <w:rsid w:val="00120281"/>
    <w:rsid w:val="001202B3"/>
    <w:rsid w:val="001202FE"/>
    <w:rsid w:val="00120359"/>
    <w:rsid w:val="00120384"/>
    <w:rsid w:val="00120482"/>
    <w:rsid w:val="00120536"/>
    <w:rsid w:val="0012057B"/>
    <w:rsid w:val="00120580"/>
    <w:rsid w:val="00120637"/>
    <w:rsid w:val="00120719"/>
    <w:rsid w:val="0012072A"/>
    <w:rsid w:val="00120783"/>
    <w:rsid w:val="0012079B"/>
    <w:rsid w:val="00120836"/>
    <w:rsid w:val="0012083F"/>
    <w:rsid w:val="0012088B"/>
    <w:rsid w:val="00120894"/>
    <w:rsid w:val="001208AA"/>
    <w:rsid w:val="001208BE"/>
    <w:rsid w:val="00120901"/>
    <w:rsid w:val="00120912"/>
    <w:rsid w:val="00120976"/>
    <w:rsid w:val="00120999"/>
    <w:rsid w:val="00120A01"/>
    <w:rsid w:val="00120A1A"/>
    <w:rsid w:val="00120ADE"/>
    <w:rsid w:val="00120B63"/>
    <w:rsid w:val="00120B76"/>
    <w:rsid w:val="00120BB7"/>
    <w:rsid w:val="00120BCE"/>
    <w:rsid w:val="00120BD4"/>
    <w:rsid w:val="00120BF5"/>
    <w:rsid w:val="00120CB9"/>
    <w:rsid w:val="00120DE1"/>
    <w:rsid w:val="00120DF7"/>
    <w:rsid w:val="00120ECA"/>
    <w:rsid w:val="00120EDF"/>
    <w:rsid w:val="00120EE8"/>
    <w:rsid w:val="00120F33"/>
    <w:rsid w:val="00121026"/>
    <w:rsid w:val="0012117E"/>
    <w:rsid w:val="0012129E"/>
    <w:rsid w:val="001212AC"/>
    <w:rsid w:val="001212C4"/>
    <w:rsid w:val="001212F0"/>
    <w:rsid w:val="00121344"/>
    <w:rsid w:val="00121397"/>
    <w:rsid w:val="00121410"/>
    <w:rsid w:val="00121475"/>
    <w:rsid w:val="001214F7"/>
    <w:rsid w:val="00121516"/>
    <w:rsid w:val="0012151A"/>
    <w:rsid w:val="0012152D"/>
    <w:rsid w:val="001215A5"/>
    <w:rsid w:val="001215FE"/>
    <w:rsid w:val="00121653"/>
    <w:rsid w:val="00121658"/>
    <w:rsid w:val="001216B7"/>
    <w:rsid w:val="001216CE"/>
    <w:rsid w:val="001216F1"/>
    <w:rsid w:val="0012171B"/>
    <w:rsid w:val="00121774"/>
    <w:rsid w:val="00121794"/>
    <w:rsid w:val="001217BA"/>
    <w:rsid w:val="00121837"/>
    <w:rsid w:val="001218C9"/>
    <w:rsid w:val="00121910"/>
    <w:rsid w:val="001219A3"/>
    <w:rsid w:val="001219E6"/>
    <w:rsid w:val="001219E9"/>
    <w:rsid w:val="00121B8A"/>
    <w:rsid w:val="00121CDB"/>
    <w:rsid w:val="00121E93"/>
    <w:rsid w:val="00121E97"/>
    <w:rsid w:val="00121F0B"/>
    <w:rsid w:val="00121F3B"/>
    <w:rsid w:val="00121F5F"/>
    <w:rsid w:val="00121F74"/>
    <w:rsid w:val="00121F92"/>
    <w:rsid w:val="0012200B"/>
    <w:rsid w:val="0012202B"/>
    <w:rsid w:val="0012205B"/>
    <w:rsid w:val="00122060"/>
    <w:rsid w:val="00122073"/>
    <w:rsid w:val="00122076"/>
    <w:rsid w:val="001220E6"/>
    <w:rsid w:val="00122161"/>
    <w:rsid w:val="001221A3"/>
    <w:rsid w:val="001221EB"/>
    <w:rsid w:val="00122200"/>
    <w:rsid w:val="0012229A"/>
    <w:rsid w:val="001222DF"/>
    <w:rsid w:val="001222E6"/>
    <w:rsid w:val="0012231E"/>
    <w:rsid w:val="001223D4"/>
    <w:rsid w:val="001223F9"/>
    <w:rsid w:val="001224BC"/>
    <w:rsid w:val="001224BF"/>
    <w:rsid w:val="00122536"/>
    <w:rsid w:val="0012253F"/>
    <w:rsid w:val="0012256C"/>
    <w:rsid w:val="00122603"/>
    <w:rsid w:val="00122616"/>
    <w:rsid w:val="00122624"/>
    <w:rsid w:val="00122676"/>
    <w:rsid w:val="0012273A"/>
    <w:rsid w:val="00122767"/>
    <w:rsid w:val="001227DF"/>
    <w:rsid w:val="001227FF"/>
    <w:rsid w:val="00122913"/>
    <w:rsid w:val="00122921"/>
    <w:rsid w:val="0012294C"/>
    <w:rsid w:val="001229A7"/>
    <w:rsid w:val="00122A37"/>
    <w:rsid w:val="00122A52"/>
    <w:rsid w:val="00122A90"/>
    <w:rsid w:val="00122A9A"/>
    <w:rsid w:val="00122ABC"/>
    <w:rsid w:val="00122B46"/>
    <w:rsid w:val="00122BF7"/>
    <w:rsid w:val="00122C06"/>
    <w:rsid w:val="00122C27"/>
    <w:rsid w:val="00122C3D"/>
    <w:rsid w:val="00122CEA"/>
    <w:rsid w:val="00122D45"/>
    <w:rsid w:val="00122DEB"/>
    <w:rsid w:val="00122E66"/>
    <w:rsid w:val="00122EF5"/>
    <w:rsid w:val="00122F43"/>
    <w:rsid w:val="00122F6D"/>
    <w:rsid w:val="00123040"/>
    <w:rsid w:val="00123090"/>
    <w:rsid w:val="00123094"/>
    <w:rsid w:val="0012318C"/>
    <w:rsid w:val="00123227"/>
    <w:rsid w:val="0012322A"/>
    <w:rsid w:val="0012327A"/>
    <w:rsid w:val="00123285"/>
    <w:rsid w:val="00123295"/>
    <w:rsid w:val="0012329A"/>
    <w:rsid w:val="001232C4"/>
    <w:rsid w:val="001232C6"/>
    <w:rsid w:val="001232E0"/>
    <w:rsid w:val="00123308"/>
    <w:rsid w:val="00123342"/>
    <w:rsid w:val="001233FF"/>
    <w:rsid w:val="00123440"/>
    <w:rsid w:val="00123469"/>
    <w:rsid w:val="00123473"/>
    <w:rsid w:val="00123480"/>
    <w:rsid w:val="001235A1"/>
    <w:rsid w:val="001235AB"/>
    <w:rsid w:val="001235C1"/>
    <w:rsid w:val="0012361D"/>
    <w:rsid w:val="00123621"/>
    <w:rsid w:val="001236D4"/>
    <w:rsid w:val="0012377F"/>
    <w:rsid w:val="001237D5"/>
    <w:rsid w:val="0012381A"/>
    <w:rsid w:val="0012389E"/>
    <w:rsid w:val="001238DB"/>
    <w:rsid w:val="001239A8"/>
    <w:rsid w:val="001239AE"/>
    <w:rsid w:val="001239F4"/>
    <w:rsid w:val="00123AB4"/>
    <w:rsid w:val="00123ABB"/>
    <w:rsid w:val="00123AFA"/>
    <w:rsid w:val="00123B1A"/>
    <w:rsid w:val="00123B9B"/>
    <w:rsid w:val="00123BF0"/>
    <w:rsid w:val="00123D07"/>
    <w:rsid w:val="00123D50"/>
    <w:rsid w:val="00123DA2"/>
    <w:rsid w:val="00123DA3"/>
    <w:rsid w:val="00123E59"/>
    <w:rsid w:val="00123E9B"/>
    <w:rsid w:val="00123F4D"/>
    <w:rsid w:val="00123F90"/>
    <w:rsid w:val="00124001"/>
    <w:rsid w:val="00124005"/>
    <w:rsid w:val="00124054"/>
    <w:rsid w:val="00124191"/>
    <w:rsid w:val="001241BD"/>
    <w:rsid w:val="001241FA"/>
    <w:rsid w:val="00124294"/>
    <w:rsid w:val="0012433F"/>
    <w:rsid w:val="0012437D"/>
    <w:rsid w:val="001243A4"/>
    <w:rsid w:val="001243C3"/>
    <w:rsid w:val="00124408"/>
    <w:rsid w:val="00124414"/>
    <w:rsid w:val="00124437"/>
    <w:rsid w:val="00124472"/>
    <w:rsid w:val="001244A9"/>
    <w:rsid w:val="00124512"/>
    <w:rsid w:val="00124570"/>
    <w:rsid w:val="0012458E"/>
    <w:rsid w:val="0012459D"/>
    <w:rsid w:val="00124747"/>
    <w:rsid w:val="00124784"/>
    <w:rsid w:val="0012487C"/>
    <w:rsid w:val="00124930"/>
    <w:rsid w:val="001249FE"/>
    <w:rsid w:val="00124A1A"/>
    <w:rsid w:val="00124A5B"/>
    <w:rsid w:val="00124ADD"/>
    <w:rsid w:val="00124B0C"/>
    <w:rsid w:val="00124C49"/>
    <w:rsid w:val="00124C7D"/>
    <w:rsid w:val="00124CEA"/>
    <w:rsid w:val="00124D44"/>
    <w:rsid w:val="00124E2F"/>
    <w:rsid w:val="00124E46"/>
    <w:rsid w:val="00124EB9"/>
    <w:rsid w:val="00124EE0"/>
    <w:rsid w:val="00124F5C"/>
    <w:rsid w:val="00124FBE"/>
    <w:rsid w:val="001250F2"/>
    <w:rsid w:val="00125111"/>
    <w:rsid w:val="0012514D"/>
    <w:rsid w:val="0012517A"/>
    <w:rsid w:val="00125191"/>
    <w:rsid w:val="001251AD"/>
    <w:rsid w:val="001251F6"/>
    <w:rsid w:val="001252A6"/>
    <w:rsid w:val="001252B3"/>
    <w:rsid w:val="001252E0"/>
    <w:rsid w:val="001252E8"/>
    <w:rsid w:val="0012538E"/>
    <w:rsid w:val="001253FB"/>
    <w:rsid w:val="00125400"/>
    <w:rsid w:val="00125407"/>
    <w:rsid w:val="00125431"/>
    <w:rsid w:val="00125484"/>
    <w:rsid w:val="001254B8"/>
    <w:rsid w:val="00125520"/>
    <w:rsid w:val="00125562"/>
    <w:rsid w:val="00125654"/>
    <w:rsid w:val="0012566E"/>
    <w:rsid w:val="0012568C"/>
    <w:rsid w:val="001258AE"/>
    <w:rsid w:val="001258DF"/>
    <w:rsid w:val="00125ABA"/>
    <w:rsid w:val="00125B0C"/>
    <w:rsid w:val="00125B67"/>
    <w:rsid w:val="00125BA4"/>
    <w:rsid w:val="00125BF5"/>
    <w:rsid w:val="00125C24"/>
    <w:rsid w:val="00125C2A"/>
    <w:rsid w:val="00125C93"/>
    <w:rsid w:val="00125C95"/>
    <w:rsid w:val="00125D3A"/>
    <w:rsid w:val="00125DC5"/>
    <w:rsid w:val="00125E14"/>
    <w:rsid w:val="00125E15"/>
    <w:rsid w:val="00125E17"/>
    <w:rsid w:val="00125E5F"/>
    <w:rsid w:val="00125E68"/>
    <w:rsid w:val="00125EA6"/>
    <w:rsid w:val="00125F42"/>
    <w:rsid w:val="0012603B"/>
    <w:rsid w:val="001260D1"/>
    <w:rsid w:val="001260E8"/>
    <w:rsid w:val="001260E9"/>
    <w:rsid w:val="0012620F"/>
    <w:rsid w:val="00126225"/>
    <w:rsid w:val="00126261"/>
    <w:rsid w:val="00126273"/>
    <w:rsid w:val="00126278"/>
    <w:rsid w:val="00126283"/>
    <w:rsid w:val="00126290"/>
    <w:rsid w:val="0012634C"/>
    <w:rsid w:val="0012642C"/>
    <w:rsid w:val="0012643D"/>
    <w:rsid w:val="00126478"/>
    <w:rsid w:val="00126555"/>
    <w:rsid w:val="00126579"/>
    <w:rsid w:val="001265E7"/>
    <w:rsid w:val="0012661D"/>
    <w:rsid w:val="00126660"/>
    <w:rsid w:val="0012670C"/>
    <w:rsid w:val="0012673E"/>
    <w:rsid w:val="0012677D"/>
    <w:rsid w:val="00126783"/>
    <w:rsid w:val="001268A1"/>
    <w:rsid w:val="001268F4"/>
    <w:rsid w:val="001268FB"/>
    <w:rsid w:val="0012690B"/>
    <w:rsid w:val="00126913"/>
    <w:rsid w:val="0012699B"/>
    <w:rsid w:val="001269C6"/>
    <w:rsid w:val="00126A2B"/>
    <w:rsid w:val="00126A94"/>
    <w:rsid w:val="00126ABA"/>
    <w:rsid w:val="00126AC9"/>
    <w:rsid w:val="00126ACD"/>
    <w:rsid w:val="00126ADA"/>
    <w:rsid w:val="00126B0C"/>
    <w:rsid w:val="00126B2E"/>
    <w:rsid w:val="00126BBC"/>
    <w:rsid w:val="00126BEA"/>
    <w:rsid w:val="00126CAD"/>
    <w:rsid w:val="00126CD1"/>
    <w:rsid w:val="00126CE2"/>
    <w:rsid w:val="00126D6E"/>
    <w:rsid w:val="00126DCC"/>
    <w:rsid w:val="00126E0B"/>
    <w:rsid w:val="00126E45"/>
    <w:rsid w:val="00126E85"/>
    <w:rsid w:val="00126E95"/>
    <w:rsid w:val="00126F85"/>
    <w:rsid w:val="00127070"/>
    <w:rsid w:val="00127076"/>
    <w:rsid w:val="0012708B"/>
    <w:rsid w:val="001270D6"/>
    <w:rsid w:val="001270E8"/>
    <w:rsid w:val="0012710E"/>
    <w:rsid w:val="001271B2"/>
    <w:rsid w:val="001271BA"/>
    <w:rsid w:val="001271C1"/>
    <w:rsid w:val="001271E7"/>
    <w:rsid w:val="0012724D"/>
    <w:rsid w:val="00127325"/>
    <w:rsid w:val="00127333"/>
    <w:rsid w:val="00127335"/>
    <w:rsid w:val="0012733E"/>
    <w:rsid w:val="00127349"/>
    <w:rsid w:val="001273C1"/>
    <w:rsid w:val="001274C7"/>
    <w:rsid w:val="001274F4"/>
    <w:rsid w:val="00127554"/>
    <w:rsid w:val="00127589"/>
    <w:rsid w:val="0012758E"/>
    <w:rsid w:val="001275B5"/>
    <w:rsid w:val="00127618"/>
    <w:rsid w:val="00127684"/>
    <w:rsid w:val="001276ED"/>
    <w:rsid w:val="00127814"/>
    <w:rsid w:val="00127872"/>
    <w:rsid w:val="00127893"/>
    <w:rsid w:val="001278A8"/>
    <w:rsid w:val="001278AD"/>
    <w:rsid w:val="00127988"/>
    <w:rsid w:val="00127A2C"/>
    <w:rsid w:val="00127A89"/>
    <w:rsid w:val="00127A92"/>
    <w:rsid w:val="00127B62"/>
    <w:rsid w:val="00127BDF"/>
    <w:rsid w:val="00127D1E"/>
    <w:rsid w:val="00127DE9"/>
    <w:rsid w:val="00127E81"/>
    <w:rsid w:val="00127E9F"/>
    <w:rsid w:val="00127EAC"/>
    <w:rsid w:val="00127F29"/>
    <w:rsid w:val="00127F40"/>
    <w:rsid w:val="00127F92"/>
    <w:rsid w:val="001300AB"/>
    <w:rsid w:val="001300FD"/>
    <w:rsid w:val="0013010E"/>
    <w:rsid w:val="00130134"/>
    <w:rsid w:val="0013018F"/>
    <w:rsid w:val="00130190"/>
    <w:rsid w:val="0013019F"/>
    <w:rsid w:val="001302A2"/>
    <w:rsid w:val="00130319"/>
    <w:rsid w:val="001303A5"/>
    <w:rsid w:val="00130412"/>
    <w:rsid w:val="0013049A"/>
    <w:rsid w:val="001304AE"/>
    <w:rsid w:val="00130581"/>
    <w:rsid w:val="001305A0"/>
    <w:rsid w:val="001305AD"/>
    <w:rsid w:val="0013061E"/>
    <w:rsid w:val="001306E0"/>
    <w:rsid w:val="001306EA"/>
    <w:rsid w:val="001306FE"/>
    <w:rsid w:val="00130805"/>
    <w:rsid w:val="0013081A"/>
    <w:rsid w:val="00130868"/>
    <w:rsid w:val="001308BE"/>
    <w:rsid w:val="001308C2"/>
    <w:rsid w:val="001308C7"/>
    <w:rsid w:val="001308C8"/>
    <w:rsid w:val="001308D3"/>
    <w:rsid w:val="00130910"/>
    <w:rsid w:val="00130946"/>
    <w:rsid w:val="00130958"/>
    <w:rsid w:val="0013095E"/>
    <w:rsid w:val="00130999"/>
    <w:rsid w:val="001309FA"/>
    <w:rsid w:val="00130A48"/>
    <w:rsid w:val="00130A49"/>
    <w:rsid w:val="00130AF9"/>
    <w:rsid w:val="00130B3F"/>
    <w:rsid w:val="00130BB2"/>
    <w:rsid w:val="00130BC3"/>
    <w:rsid w:val="00130BDC"/>
    <w:rsid w:val="00130CD0"/>
    <w:rsid w:val="00130CD1"/>
    <w:rsid w:val="00130CE8"/>
    <w:rsid w:val="00130D13"/>
    <w:rsid w:val="00130D2F"/>
    <w:rsid w:val="00130DC2"/>
    <w:rsid w:val="00130DFD"/>
    <w:rsid w:val="00130E84"/>
    <w:rsid w:val="00130F2A"/>
    <w:rsid w:val="00131004"/>
    <w:rsid w:val="00131097"/>
    <w:rsid w:val="00131099"/>
    <w:rsid w:val="0013109A"/>
    <w:rsid w:val="001310AC"/>
    <w:rsid w:val="001310F6"/>
    <w:rsid w:val="0013116F"/>
    <w:rsid w:val="00131192"/>
    <w:rsid w:val="001311BF"/>
    <w:rsid w:val="001311CE"/>
    <w:rsid w:val="001311D6"/>
    <w:rsid w:val="0013121F"/>
    <w:rsid w:val="0013125F"/>
    <w:rsid w:val="00131269"/>
    <w:rsid w:val="0013127D"/>
    <w:rsid w:val="001312AD"/>
    <w:rsid w:val="001312C0"/>
    <w:rsid w:val="001312E2"/>
    <w:rsid w:val="00131366"/>
    <w:rsid w:val="001313BE"/>
    <w:rsid w:val="001313E8"/>
    <w:rsid w:val="0013140A"/>
    <w:rsid w:val="00131420"/>
    <w:rsid w:val="0013144D"/>
    <w:rsid w:val="0013149E"/>
    <w:rsid w:val="001314BD"/>
    <w:rsid w:val="0013155A"/>
    <w:rsid w:val="0013157A"/>
    <w:rsid w:val="00131598"/>
    <w:rsid w:val="001315A3"/>
    <w:rsid w:val="001316B8"/>
    <w:rsid w:val="001316BB"/>
    <w:rsid w:val="0013178A"/>
    <w:rsid w:val="00131819"/>
    <w:rsid w:val="00131884"/>
    <w:rsid w:val="0013191A"/>
    <w:rsid w:val="001319DE"/>
    <w:rsid w:val="00131AD3"/>
    <w:rsid w:val="00131AF6"/>
    <w:rsid w:val="00131B9B"/>
    <w:rsid w:val="00131C11"/>
    <w:rsid w:val="00131C38"/>
    <w:rsid w:val="00131C73"/>
    <w:rsid w:val="00131C7F"/>
    <w:rsid w:val="00131C8A"/>
    <w:rsid w:val="00131CEF"/>
    <w:rsid w:val="00131CFF"/>
    <w:rsid w:val="00131D27"/>
    <w:rsid w:val="00131D28"/>
    <w:rsid w:val="00131D7D"/>
    <w:rsid w:val="00131EC3"/>
    <w:rsid w:val="00131F50"/>
    <w:rsid w:val="00131F62"/>
    <w:rsid w:val="00131FB7"/>
    <w:rsid w:val="00131FE6"/>
    <w:rsid w:val="00132029"/>
    <w:rsid w:val="00132098"/>
    <w:rsid w:val="00132160"/>
    <w:rsid w:val="00132168"/>
    <w:rsid w:val="00132180"/>
    <w:rsid w:val="0013218E"/>
    <w:rsid w:val="001321D7"/>
    <w:rsid w:val="00132235"/>
    <w:rsid w:val="001322FA"/>
    <w:rsid w:val="00132320"/>
    <w:rsid w:val="00132388"/>
    <w:rsid w:val="0013239C"/>
    <w:rsid w:val="001323AA"/>
    <w:rsid w:val="0013241F"/>
    <w:rsid w:val="00132426"/>
    <w:rsid w:val="0013242F"/>
    <w:rsid w:val="0013249B"/>
    <w:rsid w:val="00132584"/>
    <w:rsid w:val="001325C7"/>
    <w:rsid w:val="001325E2"/>
    <w:rsid w:val="0013261D"/>
    <w:rsid w:val="0013271F"/>
    <w:rsid w:val="00132722"/>
    <w:rsid w:val="001327AD"/>
    <w:rsid w:val="001327B7"/>
    <w:rsid w:val="00132819"/>
    <w:rsid w:val="0013287F"/>
    <w:rsid w:val="001328B7"/>
    <w:rsid w:val="00132906"/>
    <w:rsid w:val="00132923"/>
    <w:rsid w:val="00132A01"/>
    <w:rsid w:val="00132A02"/>
    <w:rsid w:val="00132B07"/>
    <w:rsid w:val="00132B55"/>
    <w:rsid w:val="00132C65"/>
    <w:rsid w:val="00132CE5"/>
    <w:rsid w:val="00132E3A"/>
    <w:rsid w:val="00132EAC"/>
    <w:rsid w:val="00132EC5"/>
    <w:rsid w:val="00132EE3"/>
    <w:rsid w:val="00132EED"/>
    <w:rsid w:val="00132F50"/>
    <w:rsid w:val="00132FE4"/>
    <w:rsid w:val="001330C6"/>
    <w:rsid w:val="001330FA"/>
    <w:rsid w:val="00133114"/>
    <w:rsid w:val="00133189"/>
    <w:rsid w:val="001331BF"/>
    <w:rsid w:val="001331DC"/>
    <w:rsid w:val="001331DF"/>
    <w:rsid w:val="001331EA"/>
    <w:rsid w:val="001331FD"/>
    <w:rsid w:val="00133245"/>
    <w:rsid w:val="0013326E"/>
    <w:rsid w:val="00133270"/>
    <w:rsid w:val="001332F3"/>
    <w:rsid w:val="0013337B"/>
    <w:rsid w:val="0013340C"/>
    <w:rsid w:val="0013340F"/>
    <w:rsid w:val="00133423"/>
    <w:rsid w:val="00133445"/>
    <w:rsid w:val="0013350D"/>
    <w:rsid w:val="00133518"/>
    <w:rsid w:val="00133552"/>
    <w:rsid w:val="00133564"/>
    <w:rsid w:val="001335CD"/>
    <w:rsid w:val="001336C0"/>
    <w:rsid w:val="001337A1"/>
    <w:rsid w:val="001337BA"/>
    <w:rsid w:val="001337C3"/>
    <w:rsid w:val="0013385F"/>
    <w:rsid w:val="001338EE"/>
    <w:rsid w:val="00133943"/>
    <w:rsid w:val="0013395B"/>
    <w:rsid w:val="00133983"/>
    <w:rsid w:val="00133991"/>
    <w:rsid w:val="00133A2B"/>
    <w:rsid w:val="00133A7A"/>
    <w:rsid w:val="00133B1E"/>
    <w:rsid w:val="00133B50"/>
    <w:rsid w:val="00133B5B"/>
    <w:rsid w:val="00133BE4"/>
    <w:rsid w:val="00133C18"/>
    <w:rsid w:val="00133E9D"/>
    <w:rsid w:val="00133F01"/>
    <w:rsid w:val="0013400B"/>
    <w:rsid w:val="00134045"/>
    <w:rsid w:val="00134053"/>
    <w:rsid w:val="00134069"/>
    <w:rsid w:val="00134090"/>
    <w:rsid w:val="001340B0"/>
    <w:rsid w:val="0013412F"/>
    <w:rsid w:val="0013413E"/>
    <w:rsid w:val="00134179"/>
    <w:rsid w:val="00134184"/>
    <w:rsid w:val="0013418C"/>
    <w:rsid w:val="00134198"/>
    <w:rsid w:val="001341CD"/>
    <w:rsid w:val="00134216"/>
    <w:rsid w:val="001342F1"/>
    <w:rsid w:val="00134329"/>
    <w:rsid w:val="00134395"/>
    <w:rsid w:val="001343D0"/>
    <w:rsid w:val="001343FB"/>
    <w:rsid w:val="0013442B"/>
    <w:rsid w:val="00134436"/>
    <w:rsid w:val="001344F0"/>
    <w:rsid w:val="001345B2"/>
    <w:rsid w:val="001345CF"/>
    <w:rsid w:val="001346A7"/>
    <w:rsid w:val="00134700"/>
    <w:rsid w:val="00134704"/>
    <w:rsid w:val="00134749"/>
    <w:rsid w:val="0013477A"/>
    <w:rsid w:val="0013480D"/>
    <w:rsid w:val="00134867"/>
    <w:rsid w:val="00134881"/>
    <w:rsid w:val="001348EA"/>
    <w:rsid w:val="0013494D"/>
    <w:rsid w:val="00134966"/>
    <w:rsid w:val="00134A1C"/>
    <w:rsid w:val="00134A65"/>
    <w:rsid w:val="00134AAC"/>
    <w:rsid w:val="00134ADA"/>
    <w:rsid w:val="00134ADD"/>
    <w:rsid w:val="00134AEF"/>
    <w:rsid w:val="00134B2B"/>
    <w:rsid w:val="00134B8E"/>
    <w:rsid w:val="00134C17"/>
    <w:rsid w:val="00134C20"/>
    <w:rsid w:val="00134D35"/>
    <w:rsid w:val="00134D66"/>
    <w:rsid w:val="00134D6D"/>
    <w:rsid w:val="00134D93"/>
    <w:rsid w:val="00134E43"/>
    <w:rsid w:val="00134E9A"/>
    <w:rsid w:val="00134F12"/>
    <w:rsid w:val="00134FBE"/>
    <w:rsid w:val="00135044"/>
    <w:rsid w:val="0013506F"/>
    <w:rsid w:val="0013512E"/>
    <w:rsid w:val="0013513B"/>
    <w:rsid w:val="00135191"/>
    <w:rsid w:val="001351EE"/>
    <w:rsid w:val="0013524B"/>
    <w:rsid w:val="00135251"/>
    <w:rsid w:val="001352EC"/>
    <w:rsid w:val="00135374"/>
    <w:rsid w:val="0013540E"/>
    <w:rsid w:val="0013544D"/>
    <w:rsid w:val="00135540"/>
    <w:rsid w:val="0013554C"/>
    <w:rsid w:val="00135584"/>
    <w:rsid w:val="00135693"/>
    <w:rsid w:val="001356F0"/>
    <w:rsid w:val="0013574A"/>
    <w:rsid w:val="00135752"/>
    <w:rsid w:val="0013575A"/>
    <w:rsid w:val="001357AA"/>
    <w:rsid w:val="001357CC"/>
    <w:rsid w:val="001357EC"/>
    <w:rsid w:val="00135879"/>
    <w:rsid w:val="00135A61"/>
    <w:rsid w:val="00135AA4"/>
    <w:rsid w:val="00135B07"/>
    <w:rsid w:val="00135B21"/>
    <w:rsid w:val="00135B43"/>
    <w:rsid w:val="00135B8E"/>
    <w:rsid w:val="00135BCA"/>
    <w:rsid w:val="00135C25"/>
    <w:rsid w:val="00135C31"/>
    <w:rsid w:val="00135C57"/>
    <w:rsid w:val="00135CD2"/>
    <w:rsid w:val="00135D11"/>
    <w:rsid w:val="00135D22"/>
    <w:rsid w:val="00135DF7"/>
    <w:rsid w:val="00135E5C"/>
    <w:rsid w:val="00135E64"/>
    <w:rsid w:val="00135E6B"/>
    <w:rsid w:val="00135EA4"/>
    <w:rsid w:val="00135ED8"/>
    <w:rsid w:val="00135F0D"/>
    <w:rsid w:val="00135F14"/>
    <w:rsid w:val="00135FA5"/>
    <w:rsid w:val="00136001"/>
    <w:rsid w:val="00136094"/>
    <w:rsid w:val="00136101"/>
    <w:rsid w:val="0013613E"/>
    <w:rsid w:val="00136166"/>
    <w:rsid w:val="0013616A"/>
    <w:rsid w:val="00136234"/>
    <w:rsid w:val="001362CC"/>
    <w:rsid w:val="001362D8"/>
    <w:rsid w:val="001362FB"/>
    <w:rsid w:val="00136316"/>
    <w:rsid w:val="00136394"/>
    <w:rsid w:val="0013640B"/>
    <w:rsid w:val="00136428"/>
    <w:rsid w:val="001364E9"/>
    <w:rsid w:val="00136500"/>
    <w:rsid w:val="00136519"/>
    <w:rsid w:val="001365FA"/>
    <w:rsid w:val="00136602"/>
    <w:rsid w:val="0013660B"/>
    <w:rsid w:val="00136695"/>
    <w:rsid w:val="00136741"/>
    <w:rsid w:val="001367CE"/>
    <w:rsid w:val="0013686B"/>
    <w:rsid w:val="00136874"/>
    <w:rsid w:val="0013687E"/>
    <w:rsid w:val="00136891"/>
    <w:rsid w:val="001368D7"/>
    <w:rsid w:val="0013694A"/>
    <w:rsid w:val="00136A62"/>
    <w:rsid w:val="00136AB3"/>
    <w:rsid w:val="00136B4F"/>
    <w:rsid w:val="00136B55"/>
    <w:rsid w:val="00136BB2"/>
    <w:rsid w:val="00136C98"/>
    <w:rsid w:val="00136CCB"/>
    <w:rsid w:val="00136CD7"/>
    <w:rsid w:val="00136D69"/>
    <w:rsid w:val="00136DDF"/>
    <w:rsid w:val="00136E27"/>
    <w:rsid w:val="00136E7A"/>
    <w:rsid w:val="00136EDC"/>
    <w:rsid w:val="00136EE1"/>
    <w:rsid w:val="00136FE8"/>
    <w:rsid w:val="0013702A"/>
    <w:rsid w:val="001370DF"/>
    <w:rsid w:val="001370F1"/>
    <w:rsid w:val="00137376"/>
    <w:rsid w:val="001373F6"/>
    <w:rsid w:val="001374C9"/>
    <w:rsid w:val="001375CD"/>
    <w:rsid w:val="00137638"/>
    <w:rsid w:val="00137732"/>
    <w:rsid w:val="0013773D"/>
    <w:rsid w:val="00137780"/>
    <w:rsid w:val="0013778B"/>
    <w:rsid w:val="001377A1"/>
    <w:rsid w:val="001377ED"/>
    <w:rsid w:val="0013780D"/>
    <w:rsid w:val="00137815"/>
    <w:rsid w:val="0013781B"/>
    <w:rsid w:val="00137827"/>
    <w:rsid w:val="00137845"/>
    <w:rsid w:val="001378A7"/>
    <w:rsid w:val="001378B8"/>
    <w:rsid w:val="001378C4"/>
    <w:rsid w:val="001378F3"/>
    <w:rsid w:val="00137913"/>
    <w:rsid w:val="00137956"/>
    <w:rsid w:val="00137977"/>
    <w:rsid w:val="00137995"/>
    <w:rsid w:val="001379EB"/>
    <w:rsid w:val="00137A60"/>
    <w:rsid w:val="00137B63"/>
    <w:rsid w:val="00137BB5"/>
    <w:rsid w:val="00137C06"/>
    <w:rsid w:val="00137C35"/>
    <w:rsid w:val="00137D05"/>
    <w:rsid w:val="00137DD7"/>
    <w:rsid w:val="00137E08"/>
    <w:rsid w:val="00137E4F"/>
    <w:rsid w:val="00137E8E"/>
    <w:rsid w:val="00137F1D"/>
    <w:rsid w:val="00137F54"/>
    <w:rsid w:val="00137F71"/>
    <w:rsid w:val="00140096"/>
    <w:rsid w:val="00140178"/>
    <w:rsid w:val="0014020D"/>
    <w:rsid w:val="0014021F"/>
    <w:rsid w:val="0014024E"/>
    <w:rsid w:val="00140269"/>
    <w:rsid w:val="0014041A"/>
    <w:rsid w:val="001404B6"/>
    <w:rsid w:val="0014053F"/>
    <w:rsid w:val="001405C8"/>
    <w:rsid w:val="0014063E"/>
    <w:rsid w:val="00140652"/>
    <w:rsid w:val="001406A7"/>
    <w:rsid w:val="001406E0"/>
    <w:rsid w:val="001406E5"/>
    <w:rsid w:val="001406EE"/>
    <w:rsid w:val="001406F8"/>
    <w:rsid w:val="00140746"/>
    <w:rsid w:val="00140788"/>
    <w:rsid w:val="0014086B"/>
    <w:rsid w:val="00140933"/>
    <w:rsid w:val="001409E8"/>
    <w:rsid w:val="00140BB8"/>
    <w:rsid w:val="00140C4D"/>
    <w:rsid w:val="00140CCB"/>
    <w:rsid w:val="00140CD6"/>
    <w:rsid w:val="00140D5C"/>
    <w:rsid w:val="00140DB3"/>
    <w:rsid w:val="00140EDE"/>
    <w:rsid w:val="00140F12"/>
    <w:rsid w:val="00140F27"/>
    <w:rsid w:val="00140F50"/>
    <w:rsid w:val="00140F93"/>
    <w:rsid w:val="00140FA6"/>
    <w:rsid w:val="00140FE0"/>
    <w:rsid w:val="00141037"/>
    <w:rsid w:val="00141066"/>
    <w:rsid w:val="00141099"/>
    <w:rsid w:val="001410AD"/>
    <w:rsid w:val="001410C0"/>
    <w:rsid w:val="001410E3"/>
    <w:rsid w:val="00141156"/>
    <w:rsid w:val="00141180"/>
    <w:rsid w:val="00141198"/>
    <w:rsid w:val="001411C7"/>
    <w:rsid w:val="001411D1"/>
    <w:rsid w:val="001411EB"/>
    <w:rsid w:val="00141212"/>
    <w:rsid w:val="001412BC"/>
    <w:rsid w:val="001412E2"/>
    <w:rsid w:val="00141322"/>
    <w:rsid w:val="0014142D"/>
    <w:rsid w:val="00141464"/>
    <w:rsid w:val="001414BA"/>
    <w:rsid w:val="00141520"/>
    <w:rsid w:val="00141523"/>
    <w:rsid w:val="0014152D"/>
    <w:rsid w:val="00141638"/>
    <w:rsid w:val="0014171D"/>
    <w:rsid w:val="00141774"/>
    <w:rsid w:val="00141796"/>
    <w:rsid w:val="001417A3"/>
    <w:rsid w:val="001418C6"/>
    <w:rsid w:val="0014197C"/>
    <w:rsid w:val="001419A7"/>
    <w:rsid w:val="00141A57"/>
    <w:rsid w:val="00141A79"/>
    <w:rsid w:val="00141AD2"/>
    <w:rsid w:val="00141B3A"/>
    <w:rsid w:val="00141BBC"/>
    <w:rsid w:val="00141C34"/>
    <w:rsid w:val="00141C6F"/>
    <w:rsid w:val="00141D30"/>
    <w:rsid w:val="00141D38"/>
    <w:rsid w:val="00141D46"/>
    <w:rsid w:val="00141D8D"/>
    <w:rsid w:val="00141DA4"/>
    <w:rsid w:val="00141DC5"/>
    <w:rsid w:val="00141E67"/>
    <w:rsid w:val="00141EDD"/>
    <w:rsid w:val="00141EE8"/>
    <w:rsid w:val="00141FB2"/>
    <w:rsid w:val="00141FD1"/>
    <w:rsid w:val="00142015"/>
    <w:rsid w:val="00142064"/>
    <w:rsid w:val="00142094"/>
    <w:rsid w:val="00142109"/>
    <w:rsid w:val="00142126"/>
    <w:rsid w:val="0014214D"/>
    <w:rsid w:val="0014219C"/>
    <w:rsid w:val="001422F7"/>
    <w:rsid w:val="00142351"/>
    <w:rsid w:val="001423D0"/>
    <w:rsid w:val="001423ED"/>
    <w:rsid w:val="0014247D"/>
    <w:rsid w:val="001424C9"/>
    <w:rsid w:val="00142536"/>
    <w:rsid w:val="00142560"/>
    <w:rsid w:val="0014256A"/>
    <w:rsid w:val="001425DD"/>
    <w:rsid w:val="001425EB"/>
    <w:rsid w:val="001425ED"/>
    <w:rsid w:val="0014261C"/>
    <w:rsid w:val="00142662"/>
    <w:rsid w:val="001426D0"/>
    <w:rsid w:val="0014271D"/>
    <w:rsid w:val="00142725"/>
    <w:rsid w:val="001427F3"/>
    <w:rsid w:val="00142828"/>
    <w:rsid w:val="0014282E"/>
    <w:rsid w:val="00142845"/>
    <w:rsid w:val="00142868"/>
    <w:rsid w:val="0014290F"/>
    <w:rsid w:val="0014292F"/>
    <w:rsid w:val="001429B2"/>
    <w:rsid w:val="001429D0"/>
    <w:rsid w:val="00142A99"/>
    <w:rsid w:val="00142ACB"/>
    <w:rsid w:val="00142B01"/>
    <w:rsid w:val="00142B65"/>
    <w:rsid w:val="00142B91"/>
    <w:rsid w:val="00142BAB"/>
    <w:rsid w:val="00142BC7"/>
    <w:rsid w:val="00142C11"/>
    <w:rsid w:val="00142C23"/>
    <w:rsid w:val="00142CA0"/>
    <w:rsid w:val="00142CCB"/>
    <w:rsid w:val="00142CE5"/>
    <w:rsid w:val="00142D6E"/>
    <w:rsid w:val="00142DA2"/>
    <w:rsid w:val="00142E93"/>
    <w:rsid w:val="00142EC7"/>
    <w:rsid w:val="00142ECB"/>
    <w:rsid w:val="00142F0B"/>
    <w:rsid w:val="00142FA7"/>
    <w:rsid w:val="00142FAA"/>
    <w:rsid w:val="00143049"/>
    <w:rsid w:val="00143058"/>
    <w:rsid w:val="00143084"/>
    <w:rsid w:val="001432C5"/>
    <w:rsid w:val="001433A6"/>
    <w:rsid w:val="001433DA"/>
    <w:rsid w:val="001433DB"/>
    <w:rsid w:val="001433F2"/>
    <w:rsid w:val="0014343B"/>
    <w:rsid w:val="00143520"/>
    <w:rsid w:val="001435BE"/>
    <w:rsid w:val="00143656"/>
    <w:rsid w:val="00143708"/>
    <w:rsid w:val="00143783"/>
    <w:rsid w:val="00143881"/>
    <w:rsid w:val="001438E2"/>
    <w:rsid w:val="0014398E"/>
    <w:rsid w:val="001439E7"/>
    <w:rsid w:val="00143A5B"/>
    <w:rsid w:val="00143A74"/>
    <w:rsid w:val="00143A7E"/>
    <w:rsid w:val="00143B20"/>
    <w:rsid w:val="00143B41"/>
    <w:rsid w:val="00143B85"/>
    <w:rsid w:val="00143BF4"/>
    <w:rsid w:val="00143C80"/>
    <w:rsid w:val="00143CF0"/>
    <w:rsid w:val="00143D18"/>
    <w:rsid w:val="00143DCE"/>
    <w:rsid w:val="00143DF6"/>
    <w:rsid w:val="00143E0D"/>
    <w:rsid w:val="00143F50"/>
    <w:rsid w:val="00143F7D"/>
    <w:rsid w:val="00143FE7"/>
    <w:rsid w:val="00144027"/>
    <w:rsid w:val="0014408F"/>
    <w:rsid w:val="00144094"/>
    <w:rsid w:val="001440DC"/>
    <w:rsid w:val="001441FB"/>
    <w:rsid w:val="00144229"/>
    <w:rsid w:val="00144328"/>
    <w:rsid w:val="0014438E"/>
    <w:rsid w:val="00144443"/>
    <w:rsid w:val="00144462"/>
    <w:rsid w:val="0014446C"/>
    <w:rsid w:val="001444CF"/>
    <w:rsid w:val="00144552"/>
    <w:rsid w:val="001445A9"/>
    <w:rsid w:val="0014467A"/>
    <w:rsid w:val="00144700"/>
    <w:rsid w:val="00144724"/>
    <w:rsid w:val="0014479B"/>
    <w:rsid w:val="001447EF"/>
    <w:rsid w:val="0014480A"/>
    <w:rsid w:val="00144837"/>
    <w:rsid w:val="0014488C"/>
    <w:rsid w:val="001448A7"/>
    <w:rsid w:val="001448D2"/>
    <w:rsid w:val="00144A08"/>
    <w:rsid w:val="00144A19"/>
    <w:rsid w:val="00144A52"/>
    <w:rsid w:val="00144A77"/>
    <w:rsid w:val="00144AF9"/>
    <w:rsid w:val="00144B60"/>
    <w:rsid w:val="00144B79"/>
    <w:rsid w:val="00144B7F"/>
    <w:rsid w:val="00144B80"/>
    <w:rsid w:val="00144BDA"/>
    <w:rsid w:val="00144C58"/>
    <w:rsid w:val="00144C9D"/>
    <w:rsid w:val="00144CE6"/>
    <w:rsid w:val="00144D0E"/>
    <w:rsid w:val="00144D1F"/>
    <w:rsid w:val="00144D65"/>
    <w:rsid w:val="00144DAE"/>
    <w:rsid w:val="00144F49"/>
    <w:rsid w:val="00144F51"/>
    <w:rsid w:val="00144F85"/>
    <w:rsid w:val="00145013"/>
    <w:rsid w:val="00145025"/>
    <w:rsid w:val="00145034"/>
    <w:rsid w:val="00145046"/>
    <w:rsid w:val="001450C0"/>
    <w:rsid w:val="00145115"/>
    <w:rsid w:val="00145177"/>
    <w:rsid w:val="0014518E"/>
    <w:rsid w:val="00145240"/>
    <w:rsid w:val="0014527A"/>
    <w:rsid w:val="0014528D"/>
    <w:rsid w:val="001452C6"/>
    <w:rsid w:val="001452E1"/>
    <w:rsid w:val="0014539D"/>
    <w:rsid w:val="001453AE"/>
    <w:rsid w:val="0014543F"/>
    <w:rsid w:val="00145452"/>
    <w:rsid w:val="001454B2"/>
    <w:rsid w:val="001454EF"/>
    <w:rsid w:val="001455CE"/>
    <w:rsid w:val="0014564D"/>
    <w:rsid w:val="00145664"/>
    <w:rsid w:val="00145675"/>
    <w:rsid w:val="00145706"/>
    <w:rsid w:val="0014570A"/>
    <w:rsid w:val="001457C6"/>
    <w:rsid w:val="0014580D"/>
    <w:rsid w:val="0014585F"/>
    <w:rsid w:val="0014588C"/>
    <w:rsid w:val="001458F2"/>
    <w:rsid w:val="00145939"/>
    <w:rsid w:val="0014597B"/>
    <w:rsid w:val="0014598B"/>
    <w:rsid w:val="001459B2"/>
    <w:rsid w:val="001459BC"/>
    <w:rsid w:val="00145A11"/>
    <w:rsid w:val="00145A12"/>
    <w:rsid w:val="00145A36"/>
    <w:rsid w:val="00145ACE"/>
    <w:rsid w:val="00145B80"/>
    <w:rsid w:val="00145C06"/>
    <w:rsid w:val="00145D9A"/>
    <w:rsid w:val="00145DE7"/>
    <w:rsid w:val="00145E12"/>
    <w:rsid w:val="00145E1C"/>
    <w:rsid w:val="00145E2C"/>
    <w:rsid w:val="00145EAE"/>
    <w:rsid w:val="00145F9E"/>
    <w:rsid w:val="001460B7"/>
    <w:rsid w:val="001460D4"/>
    <w:rsid w:val="001461D1"/>
    <w:rsid w:val="001461D5"/>
    <w:rsid w:val="001461E0"/>
    <w:rsid w:val="0014630E"/>
    <w:rsid w:val="00146385"/>
    <w:rsid w:val="00146458"/>
    <w:rsid w:val="0014654A"/>
    <w:rsid w:val="00146619"/>
    <w:rsid w:val="00146628"/>
    <w:rsid w:val="00146636"/>
    <w:rsid w:val="0014669B"/>
    <w:rsid w:val="001466AB"/>
    <w:rsid w:val="001466B4"/>
    <w:rsid w:val="001466BE"/>
    <w:rsid w:val="001466E6"/>
    <w:rsid w:val="001466FB"/>
    <w:rsid w:val="0014673F"/>
    <w:rsid w:val="0014676B"/>
    <w:rsid w:val="00146785"/>
    <w:rsid w:val="001467E1"/>
    <w:rsid w:val="001467F9"/>
    <w:rsid w:val="0014681F"/>
    <w:rsid w:val="0014683D"/>
    <w:rsid w:val="001468FD"/>
    <w:rsid w:val="00146901"/>
    <w:rsid w:val="0014693A"/>
    <w:rsid w:val="00146AA0"/>
    <w:rsid w:val="00146AB3"/>
    <w:rsid w:val="00146B1C"/>
    <w:rsid w:val="00146B7A"/>
    <w:rsid w:val="00146B8E"/>
    <w:rsid w:val="00146BB0"/>
    <w:rsid w:val="00146BC6"/>
    <w:rsid w:val="00146C00"/>
    <w:rsid w:val="00146C2F"/>
    <w:rsid w:val="00146D3D"/>
    <w:rsid w:val="00146D3E"/>
    <w:rsid w:val="00146D9C"/>
    <w:rsid w:val="00146EC1"/>
    <w:rsid w:val="00146ECD"/>
    <w:rsid w:val="00146F73"/>
    <w:rsid w:val="00146FE0"/>
    <w:rsid w:val="00147001"/>
    <w:rsid w:val="00147065"/>
    <w:rsid w:val="001470C0"/>
    <w:rsid w:val="001470E5"/>
    <w:rsid w:val="001470EF"/>
    <w:rsid w:val="0014711D"/>
    <w:rsid w:val="001471D6"/>
    <w:rsid w:val="001471F9"/>
    <w:rsid w:val="0014721D"/>
    <w:rsid w:val="0014724A"/>
    <w:rsid w:val="001472C0"/>
    <w:rsid w:val="001472FB"/>
    <w:rsid w:val="0014730A"/>
    <w:rsid w:val="00147385"/>
    <w:rsid w:val="0014744D"/>
    <w:rsid w:val="001474D6"/>
    <w:rsid w:val="00147510"/>
    <w:rsid w:val="00147512"/>
    <w:rsid w:val="00147573"/>
    <w:rsid w:val="0014761C"/>
    <w:rsid w:val="0014768D"/>
    <w:rsid w:val="001476CC"/>
    <w:rsid w:val="001476E8"/>
    <w:rsid w:val="001476F6"/>
    <w:rsid w:val="00147779"/>
    <w:rsid w:val="00147792"/>
    <w:rsid w:val="001477DF"/>
    <w:rsid w:val="001477EF"/>
    <w:rsid w:val="00147882"/>
    <w:rsid w:val="001478B0"/>
    <w:rsid w:val="0014794D"/>
    <w:rsid w:val="00147950"/>
    <w:rsid w:val="00147976"/>
    <w:rsid w:val="00147994"/>
    <w:rsid w:val="00147A46"/>
    <w:rsid w:val="00147A9D"/>
    <w:rsid w:val="00147B97"/>
    <w:rsid w:val="00147BA5"/>
    <w:rsid w:val="00147BB4"/>
    <w:rsid w:val="00147D06"/>
    <w:rsid w:val="00147D1E"/>
    <w:rsid w:val="00147D80"/>
    <w:rsid w:val="00147D91"/>
    <w:rsid w:val="00147DC2"/>
    <w:rsid w:val="00147DD7"/>
    <w:rsid w:val="00147DE5"/>
    <w:rsid w:val="00147E7B"/>
    <w:rsid w:val="00147E7D"/>
    <w:rsid w:val="00147EB3"/>
    <w:rsid w:val="00147F50"/>
    <w:rsid w:val="00147FC4"/>
    <w:rsid w:val="00147FCA"/>
    <w:rsid w:val="00150030"/>
    <w:rsid w:val="001500F5"/>
    <w:rsid w:val="00150118"/>
    <w:rsid w:val="0015018F"/>
    <w:rsid w:val="001501A1"/>
    <w:rsid w:val="001501E3"/>
    <w:rsid w:val="00150235"/>
    <w:rsid w:val="001502E7"/>
    <w:rsid w:val="00150361"/>
    <w:rsid w:val="001503C1"/>
    <w:rsid w:val="001503C4"/>
    <w:rsid w:val="00150405"/>
    <w:rsid w:val="00150494"/>
    <w:rsid w:val="001504AC"/>
    <w:rsid w:val="001504C7"/>
    <w:rsid w:val="00150581"/>
    <w:rsid w:val="00150601"/>
    <w:rsid w:val="0015066D"/>
    <w:rsid w:val="00150692"/>
    <w:rsid w:val="001506E1"/>
    <w:rsid w:val="001506E6"/>
    <w:rsid w:val="0015071B"/>
    <w:rsid w:val="001507F1"/>
    <w:rsid w:val="00150809"/>
    <w:rsid w:val="00150852"/>
    <w:rsid w:val="001508BB"/>
    <w:rsid w:val="001508C4"/>
    <w:rsid w:val="001508C9"/>
    <w:rsid w:val="001508D1"/>
    <w:rsid w:val="00150ACB"/>
    <w:rsid w:val="00150B05"/>
    <w:rsid w:val="00150B53"/>
    <w:rsid w:val="00150B62"/>
    <w:rsid w:val="00150CC5"/>
    <w:rsid w:val="00150D19"/>
    <w:rsid w:val="00150D1F"/>
    <w:rsid w:val="00150DC0"/>
    <w:rsid w:val="00150E1C"/>
    <w:rsid w:val="00150F0C"/>
    <w:rsid w:val="00150F1A"/>
    <w:rsid w:val="00150F9E"/>
    <w:rsid w:val="001510EB"/>
    <w:rsid w:val="00151105"/>
    <w:rsid w:val="00151142"/>
    <w:rsid w:val="00151183"/>
    <w:rsid w:val="001511E1"/>
    <w:rsid w:val="0015121A"/>
    <w:rsid w:val="00151240"/>
    <w:rsid w:val="0015130D"/>
    <w:rsid w:val="00151323"/>
    <w:rsid w:val="00151332"/>
    <w:rsid w:val="0015134D"/>
    <w:rsid w:val="0015138A"/>
    <w:rsid w:val="00151390"/>
    <w:rsid w:val="001513A2"/>
    <w:rsid w:val="001513F0"/>
    <w:rsid w:val="00151414"/>
    <w:rsid w:val="001514DC"/>
    <w:rsid w:val="0015151C"/>
    <w:rsid w:val="00151521"/>
    <w:rsid w:val="0015155A"/>
    <w:rsid w:val="001515B0"/>
    <w:rsid w:val="00151627"/>
    <w:rsid w:val="0015175F"/>
    <w:rsid w:val="0015177B"/>
    <w:rsid w:val="00151788"/>
    <w:rsid w:val="001517FC"/>
    <w:rsid w:val="00151826"/>
    <w:rsid w:val="0015193B"/>
    <w:rsid w:val="00151951"/>
    <w:rsid w:val="001519C3"/>
    <w:rsid w:val="001519F0"/>
    <w:rsid w:val="00151A06"/>
    <w:rsid w:val="00151A32"/>
    <w:rsid w:val="00151A3C"/>
    <w:rsid w:val="00151B1C"/>
    <w:rsid w:val="00151B24"/>
    <w:rsid w:val="00151BA9"/>
    <w:rsid w:val="00151BCE"/>
    <w:rsid w:val="00151C1E"/>
    <w:rsid w:val="00151C83"/>
    <w:rsid w:val="00151CBF"/>
    <w:rsid w:val="00151CDC"/>
    <w:rsid w:val="00151D45"/>
    <w:rsid w:val="00151DBE"/>
    <w:rsid w:val="00151E75"/>
    <w:rsid w:val="00151E98"/>
    <w:rsid w:val="00151ED3"/>
    <w:rsid w:val="00151F80"/>
    <w:rsid w:val="00152013"/>
    <w:rsid w:val="0015205E"/>
    <w:rsid w:val="0015206B"/>
    <w:rsid w:val="001520D6"/>
    <w:rsid w:val="0015210E"/>
    <w:rsid w:val="00152192"/>
    <w:rsid w:val="00152198"/>
    <w:rsid w:val="0015219A"/>
    <w:rsid w:val="00152247"/>
    <w:rsid w:val="001522AA"/>
    <w:rsid w:val="001522CB"/>
    <w:rsid w:val="001522D7"/>
    <w:rsid w:val="001522E3"/>
    <w:rsid w:val="00152331"/>
    <w:rsid w:val="00152388"/>
    <w:rsid w:val="001523B2"/>
    <w:rsid w:val="00152453"/>
    <w:rsid w:val="00152509"/>
    <w:rsid w:val="0015251C"/>
    <w:rsid w:val="0015259C"/>
    <w:rsid w:val="001525B7"/>
    <w:rsid w:val="001525D2"/>
    <w:rsid w:val="00152656"/>
    <w:rsid w:val="00152660"/>
    <w:rsid w:val="00152715"/>
    <w:rsid w:val="00152733"/>
    <w:rsid w:val="001528C1"/>
    <w:rsid w:val="001529DE"/>
    <w:rsid w:val="00152A18"/>
    <w:rsid w:val="00152A5A"/>
    <w:rsid w:val="00152AD2"/>
    <w:rsid w:val="00152B0A"/>
    <w:rsid w:val="00152B81"/>
    <w:rsid w:val="00152BCA"/>
    <w:rsid w:val="00152C1F"/>
    <w:rsid w:val="00152C5A"/>
    <w:rsid w:val="00152C78"/>
    <w:rsid w:val="00152D04"/>
    <w:rsid w:val="00152D07"/>
    <w:rsid w:val="00152D79"/>
    <w:rsid w:val="00152E17"/>
    <w:rsid w:val="00152EE9"/>
    <w:rsid w:val="00152EFC"/>
    <w:rsid w:val="00153028"/>
    <w:rsid w:val="0015302E"/>
    <w:rsid w:val="001530DE"/>
    <w:rsid w:val="0015311C"/>
    <w:rsid w:val="00153144"/>
    <w:rsid w:val="00153151"/>
    <w:rsid w:val="001531C0"/>
    <w:rsid w:val="0015321C"/>
    <w:rsid w:val="00153305"/>
    <w:rsid w:val="0015331C"/>
    <w:rsid w:val="00153491"/>
    <w:rsid w:val="001534D1"/>
    <w:rsid w:val="00153511"/>
    <w:rsid w:val="00153547"/>
    <w:rsid w:val="00153595"/>
    <w:rsid w:val="00153648"/>
    <w:rsid w:val="0015368D"/>
    <w:rsid w:val="001536CC"/>
    <w:rsid w:val="001536D3"/>
    <w:rsid w:val="00153703"/>
    <w:rsid w:val="0015371C"/>
    <w:rsid w:val="00153755"/>
    <w:rsid w:val="0015379C"/>
    <w:rsid w:val="001537E0"/>
    <w:rsid w:val="0015389D"/>
    <w:rsid w:val="001538A9"/>
    <w:rsid w:val="001538AC"/>
    <w:rsid w:val="0015391E"/>
    <w:rsid w:val="00153920"/>
    <w:rsid w:val="00153A5B"/>
    <w:rsid w:val="00153B22"/>
    <w:rsid w:val="00153B31"/>
    <w:rsid w:val="00153B35"/>
    <w:rsid w:val="00153B91"/>
    <w:rsid w:val="00153B9A"/>
    <w:rsid w:val="00153C2B"/>
    <w:rsid w:val="00153CCC"/>
    <w:rsid w:val="00153CDB"/>
    <w:rsid w:val="00153D06"/>
    <w:rsid w:val="00153D35"/>
    <w:rsid w:val="00153D7C"/>
    <w:rsid w:val="00153D80"/>
    <w:rsid w:val="00153E2C"/>
    <w:rsid w:val="00153E41"/>
    <w:rsid w:val="00153E7C"/>
    <w:rsid w:val="00153F2E"/>
    <w:rsid w:val="00153F69"/>
    <w:rsid w:val="00153FD5"/>
    <w:rsid w:val="00153FE9"/>
    <w:rsid w:val="00153FFE"/>
    <w:rsid w:val="001540D4"/>
    <w:rsid w:val="001540E5"/>
    <w:rsid w:val="00154126"/>
    <w:rsid w:val="00154162"/>
    <w:rsid w:val="00154247"/>
    <w:rsid w:val="00154255"/>
    <w:rsid w:val="0015425D"/>
    <w:rsid w:val="001542B2"/>
    <w:rsid w:val="001542EB"/>
    <w:rsid w:val="0015435D"/>
    <w:rsid w:val="00154398"/>
    <w:rsid w:val="001543D6"/>
    <w:rsid w:val="0015443D"/>
    <w:rsid w:val="001544D8"/>
    <w:rsid w:val="001545C7"/>
    <w:rsid w:val="00154610"/>
    <w:rsid w:val="00154636"/>
    <w:rsid w:val="00154662"/>
    <w:rsid w:val="0015468F"/>
    <w:rsid w:val="001546C4"/>
    <w:rsid w:val="001546E0"/>
    <w:rsid w:val="001546EB"/>
    <w:rsid w:val="001546ED"/>
    <w:rsid w:val="001547C2"/>
    <w:rsid w:val="00154841"/>
    <w:rsid w:val="00154862"/>
    <w:rsid w:val="00154868"/>
    <w:rsid w:val="001548CD"/>
    <w:rsid w:val="001548E1"/>
    <w:rsid w:val="0015490B"/>
    <w:rsid w:val="00154932"/>
    <w:rsid w:val="0015494C"/>
    <w:rsid w:val="0015497B"/>
    <w:rsid w:val="001549C9"/>
    <w:rsid w:val="001549DC"/>
    <w:rsid w:val="001549E4"/>
    <w:rsid w:val="00154A08"/>
    <w:rsid w:val="00154A66"/>
    <w:rsid w:val="00154A99"/>
    <w:rsid w:val="00154AD9"/>
    <w:rsid w:val="00154B47"/>
    <w:rsid w:val="00154B50"/>
    <w:rsid w:val="00154B65"/>
    <w:rsid w:val="00154B75"/>
    <w:rsid w:val="00154C77"/>
    <w:rsid w:val="00154C98"/>
    <w:rsid w:val="00154D1A"/>
    <w:rsid w:val="00154D9A"/>
    <w:rsid w:val="00154DD5"/>
    <w:rsid w:val="00154E58"/>
    <w:rsid w:val="00154EC2"/>
    <w:rsid w:val="00154EC3"/>
    <w:rsid w:val="00154EE3"/>
    <w:rsid w:val="00154F46"/>
    <w:rsid w:val="00154FE0"/>
    <w:rsid w:val="00154FE3"/>
    <w:rsid w:val="0015502C"/>
    <w:rsid w:val="00155168"/>
    <w:rsid w:val="00155169"/>
    <w:rsid w:val="0015516A"/>
    <w:rsid w:val="00155190"/>
    <w:rsid w:val="00155195"/>
    <w:rsid w:val="001551EF"/>
    <w:rsid w:val="0015524F"/>
    <w:rsid w:val="0015525C"/>
    <w:rsid w:val="001552C1"/>
    <w:rsid w:val="001552EA"/>
    <w:rsid w:val="00155304"/>
    <w:rsid w:val="0015530B"/>
    <w:rsid w:val="00155313"/>
    <w:rsid w:val="001554DB"/>
    <w:rsid w:val="001554FB"/>
    <w:rsid w:val="00155547"/>
    <w:rsid w:val="001555DE"/>
    <w:rsid w:val="00155608"/>
    <w:rsid w:val="0015565A"/>
    <w:rsid w:val="0015566E"/>
    <w:rsid w:val="001556D0"/>
    <w:rsid w:val="001556D6"/>
    <w:rsid w:val="0015570F"/>
    <w:rsid w:val="001557F7"/>
    <w:rsid w:val="00155834"/>
    <w:rsid w:val="00155854"/>
    <w:rsid w:val="00155896"/>
    <w:rsid w:val="00155932"/>
    <w:rsid w:val="0015598A"/>
    <w:rsid w:val="001559CA"/>
    <w:rsid w:val="001559E7"/>
    <w:rsid w:val="00155A55"/>
    <w:rsid w:val="00155A68"/>
    <w:rsid w:val="00155A8B"/>
    <w:rsid w:val="00155B5F"/>
    <w:rsid w:val="00155B94"/>
    <w:rsid w:val="00155B95"/>
    <w:rsid w:val="00155B9A"/>
    <w:rsid w:val="00155BC7"/>
    <w:rsid w:val="00155BDB"/>
    <w:rsid w:val="00155C46"/>
    <w:rsid w:val="00155C5B"/>
    <w:rsid w:val="00155CFF"/>
    <w:rsid w:val="00155DFE"/>
    <w:rsid w:val="00155E4D"/>
    <w:rsid w:val="00155E65"/>
    <w:rsid w:val="00155ED9"/>
    <w:rsid w:val="00155F2F"/>
    <w:rsid w:val="00155F4A"/>
    <w:rsid w:val="00155F4D"/>
    <w:rsid w:val="00155F4F"/>
    <w:rsid w:val="00155FB3"/>
    <w:rsid w:val="00156082"/>
    <w:rsid w:val="001560BA"/>
    <w:rsid w:val="001560C9"/>
    <w:rsid w:val="00156114"/>
    <w:rsid w:val="00156131"/>
    <w:rsid w:val="001561E7"/>
    <w:rsid w:val="00156282"/>
    <w:rsid w:val="00156288"/>
    <w:rsid w:val="0015628C"/>
    <w:rsid w:val="001562A3"/>
    <w:rsid w:val="00156394"/>
    <w:rsid w:val="00156396"/>
    <w:rsid w:val="001563DB"/>
    <w:rsid w:val="001563F1"/>
    <w:rsid w:val="001564E6"/>
    <w:rsid w:val="00156507"/>
    <w:rsid w:val="00156520"/>
    <w:rsid w:val="001565A1"/>
    <w:rsid w:val="001565BF"/>
    <w:rsid w:val="00156948"/>
    <w:rsid w:val="001569F7"/>
    <w:rsid w:val="00156A70"/>
    <w:rsid w:val="00156A72"/>
    <w:rsid w:val="00156A82"/>
    <w:rsid w:val="00156AAC"/>
    <w:rsid w:val="00156B5C"/>
    <w:rsid w:val="00156C00"/>
    <w:rsid w:val="00156C15"/>
    <w:rsid w:val="00156C1A"/>
    <w:rsid w:val="00156C80"/>
    <w:rsid w:val="00156CE3"/>
    <w:rsid w:val="00156CEE"/>
    <w:rsid w:val="00156D70"/>
    <w:rsid w:val="00156D93"/>
    <w:rsid w:val="00156DB0"/>
    <w:rsid w:val="00156DE4"/>
    <w:rsid w:val="00156E78"/>
    <w:rsid w:val="00156E84"/>
    <w:rsid w:val="00156E94"/>
    <w:rsid w:val="00156EBD"/>
    <w:rsid w:val="00156ED8"/>
    <w:rsid w:val="00156EFA"/>
    <w:rsid w:val="00156F1A"/>
    <w:rsid w:val="00156FF2"/>
    <w:rsid w:val="0015704D"/>
    <w:rsid w:val="00157064"/>
    <w:rsid w:val="001570B3"/>
    <w:rsid w:val="001570E0"/>
    <w:rsid w:val="001570FA"/>
    <w:rsid w:val="00157172"/>
    <w:rsid w:val="00157177"/>
    <w:rsid w:val="001571BB"/>
    <w:rsid w:val="001571F2"/>
    <w:rsid w:val="00157221"/>
    <w:rsid w:val="00157223"/>
    <w:rsid w:val="00157295"/>
    <w:rsid w:val="00157313"/>
    <w:rsid w:val="00157351"/>
    <w:rsid w:val="00157378"/>
    <w:rsid w:val="001573B5"/>
    <w:rsid w:val="001574CD"/>
    <w:rsid w:val="00157598"/>
    <w:rsid w:val="00157613"/>
    <w:rsid w:val="00157616"/>
    <w:rsid w:val="0015763F"/>
    <w:rsid w:val="001577E6"/>
    <w:rsid w:val="0015780A"/>
    <w:rsid w:val="0015782B"/>
    <w:rsid w:val="00157866"/>
    <w:rsid w:val="0015793E"/>
    <w:rsid w:val="001579C1"/>
    <w:rsid w:val="00157AA5"/>
    <w:rsid w:val="00157AEE"/>
    <w:rsid w:val="00157AF3"/>
    <w:rsid w:val="00157AFA"/>
    <w:rsid w:val="00157B27"/>
    <w:rsid w:val="00157B5C"/>
    <w:rsid w:val="00157B73"/>
    <w:rsid w:val="00157C10"/>
    <w:rsid w:val="00157C29"/>
    <w:rsid w:val="00157C9B"/>
    <w:rsid w:val="00157CB2"/>
    <w:rsid w:val="00157D40"/>
    <w:rsid w:val="00157D88"/>
    <w:rsid w:val="00157DC3"/>
    <w:rsid w:val="00157DD7"/>
    <w:rsid w:val="00157E65"/>
    <w:rsid w:val="00157ECC"/>
    <w:rsid w:val="00157F06"/>
    <w:rsid w:val="00157F0E"/>
    <w:rsid w:val="00157F25"/>
    <w:rsid w:val="00157F46"/>
    <w:rsid w:val="00157F5C"/>
    <w:rsid w:val="00157F92"/>
    <w:rsid w:val="00157FA3"/>
    <w:rsid w:val="00157FB2"/>
    <w:rsid w:val="00157FC2"/>
    <w:rsid w:val="0015944F"/>
    <w:rsid w:val="001600B5"/>
    <w:rsid w:val="001600D6"/>
    <w:rsid w:val="001600E2"/>
    <w:rsid w:val="00160133"/>
    <w:rsid w:val="0016014B"/>
    <w:rsid w:val="00160172"/>
    <w:rsid w:val="001601D0"/>
    <w:rsid w:val="001601DB"/>
    <w:rsid w:val="001601EC"/>
    <w:rsid w:val="001601FD"/>
    <w:rsid w:val="001602BD"/>
    <w:rsid w:val="001602F0"/>
    <w:rsid w:val="001602F9"/>
    <w:rsid w:val="001603B8"/>
    <w:rsid w:val="001603BE"/>
    <w:rsid w:val="001603E3"/>
    <w:rsid w:val="00160420"/>
    <w:rsid w:val="001604EF"/>
    <w:rsid w:val="0016052B"/>
    <w:rsid w:val="00160546"/>
    <w:rsid w:val="0016057D"/>
    <w:rsid w:val="001605AA"/>
    <w:rsid w:val="001605D4"/>
    <w:rsid w:val="0016061F"/>
    <w:rsid w:val="0016062D"/>
    <w:rsid w:val="00160663"/>
    <w:rsid w:val="0016069B"/>
    <w:rsid w:val="001606B3"/>
    <w:rsid w:val="00160734"/>
    <w:rsid w:val="00160745"/>
    <w:rsid w:val="00160749"/>
    <w:rsid w:val="0016078A"/>
    <w:rsid w:val="0016079A"/>
    <w:rsid w:val="00160829"/>
    <w:rsid w:val="00160840"/>
    <w:rsid w:val="00160841"/>
    <w:rsid w:val="001608AF"/>
    <w:rsid w:val="001608DC"/>
    <w:rsid w:val="001609C9"/>
    <w:rsid w:val="001609E5"/>
    <w:rsid w:val="00160A0A"/>
    <w:rsid w:val="00160A51"/>
    <w:rsid w:val="00160ACE"/>
    <w:rsid w:val="00160B4B"/>
    <w:rsid w:val="00160B54"/>
    <w:rsid w:val="00160C2A"/>
    <w:rsid w:val="00160CDB"/>
    <w:rsid w:val="00160DC1"/>
    <w:rsid w:val="00160E3C"/>
    <w:rsid w:val="00160E6E"/>
    <w:rsid w:val="00160ED1"/>
    <w:rsid w:val="00160F58"/>
    <w:rsid w:val="00160F6D"/>
    <w:rsid w:val="00160FDA"/>
    <w:rsid w:val="00161032"/>
    <w:rsid w:val="001610F1"/>
    <w:rsid w:val="00161102"/>
    <w:rsid w:val="0016112A"/>
    <w:rsid w:val="001611D3"/>
    <w:rsid w:val="00161248"/>
    <w:rsid w:val="001612B0"/>
    <w:rsid w:val="0016132E"/>
    <w:rsid w:val="00161356"/>
    <w:rsid w:val="001613CD"/>
    <w:rsid w:val="0016142A"/>
    <w:rsid w:val="00161519"/>
    <w:rsid w:val="0016159D"/>
    <w:rsid w:val="0016161A"/>
    <w:rsid w:val="0016172E"/>
    <w:rsid w:val="00161751"/>
    <w:rsid w:val="00161776"/>
    <w:rsid w:val="001617AD"/>
    <w:rsid w:val="001617E9"/>
    <w:rsid w:val="001617F0"/>
    <w:rsid w:val="00161957"/>
    <w:rsid w:val="0016195C"/>
    <w:rsid w:val="00161A1E"/>
    <w:rsid w:val="00161A2E"/>
    <w:rsid w:val="00161A6B"/>
    <w:rsid w:val="00161AE7"/>
    <w:rsid w:val="00161AE9"/>
    <w:rsid w:val="00161B00"/>
    <w:rsid w:val="00161BA6"/>
    <w:rsid w:val="00161BC7"/>
    <w:rsid w:val="00161C08"/>
    <w:rsid w:val="00161C19"/>
    <w:rsid w:val="00161C3F"/>
    <w:rsid w:val="00161CFA"/>
    <w:rsid w:val="00161E6D"/>
    <w:rsid w:val="00161FA4"/>
    <w:rsid w:val="00162023"/>
    <w:rsid w:val="00162030"/>
    <w:rsid w:val="00162069"/>
    <w:rsid w:val="001620F0"/>
    <w:rsid w:val="001620F7"/>
    <w:rsid w:val="00162108"/>
    <w:rsid w:val="0016210E"/>
    <w:rsid w:val="00162177"/>
    <w:rsid w:val="001621B4"/>
    <w:rsid w:val="00162218"/>
    <w:rsid w:val="00162262"/>
    <w:rsid w:val="001622A3"/>
    <w:rsid w:val="001622CA"/>
    <w:rsid w:val="001622D2"/>
    <w:rsid w:val="001622FE"/>
    <w:rsid w:val="00162385"/>
    <w:rsid w:val="0016238A"/>
    <w:rsid w:val="001623B0"/>
    <w:rsid w:val="00162453"/>
    <w:rsid w:val="001624B1"/>
    <w:rsid w:val="001624DC"/>
    <w:rsid w:val="00162510"/>
    <w:rsid w:val="0016254D"/>
    <w:rsid w:val="0016256D"/>
    <w:rsid w:val="001625ED"/>
    <w:rsid w:val="0016271D"/>
    <w:rsid w:val="00162877"/>
    <w:rsid w:val="001628A4"/>
    <w:rsid w:val="001628BE"/>
    <w:rsid w:val="001628F1"/>
    <w:rsid w:val="00162962"/>
    <w:rsid w:val="00162A21"/>
    <w:rsid w:val="00162A8F"/>
    <w:rsid w:val="00162AD8"/>
    <w:rsid w:val="00162B12"/>
    <w:rsid w:val="00162B2F"/>
    <w:rsid w:val="00162BD9"/>
    <w:rsid w:val="00162C5C"/>
    <w:rsid w:val="00162C9D"/>
    <w:rsid w:val="00162CE1"/>
    <w:rsid w:val="00162D1A"/>
    <w:rsid w:val="00162D26"/>
    <w:rsid w:val="00162D68"/>
    <w:rsid w:val="00162D8C"/>
    <w:rsid w:val="00162E45"/>
    <w:rsid w:val="00162E94"/>
    <w:rsid w:val="00162F63"/>
    <w:rsid w:val="00162F96"/>
    <w:rsid w:val="001630A4"/>
    <w:rsid w:val="001630BD"/>
    <w:rsid w:val="00163104"/>
    <w:rsid w:val="00163165"/>
    <w:rsid w:val="001631F2"/>
    <w:rsid w:val="00163218"/>
    <w:rsid w:val="001632B4"/>
    <w:rsid w:val="00163340"/>
    <w:rsid w:val="0016337C"/>
    <w:rsid w:val="001633B1"/>
    <w:rsid w:val="0016345F"/>
    <w:rsid w:val="00163469"/>
    <w:rsid w:val="001635AC"/>
    <w:rsid w:val="0016363A"/>
    <w:rsid w:val="00163658"/>
    <w:rsid w:val="00163748"/>
    <w:rsid w:val="001637AB"/>
    <w:rsid w:val="001637F8"/>
    <w:rsid w:val="0016384B"/>
    <w:rsid w:val="0016384E"/>
    <w:rsid w:val="00163886"/>
    <w:rsid w:val="00163908"/>
    <w:rsid w:val="0016391E"/>
    <w:rsid w:val="0016393C"/>
    <w:rsid w:val="001639C2"/>
    <w:rsid w:val="00163ADC"/>
    <w:rsid w:val="00163B8F"/>
    <w:rsid w:val="00163B9B"/>
    <w:rsid w:val="00163BE4"/>
    <w:rsid w:val="00163C80"/>
    <w:rsid w:val="00163CFC"/>
    <w:rsid w:val="00163D06"/>
    <w:rsid w:val="00163DA8"/>
    <w:rsid w:val="00163DB2"/>
    <w:rsid w:val="00163DE4"/>
    <w:rsid w:val="00163DF0"/>
    <w:rsid w:val="00163E37"/>
    <w:rsid w:val="00163E3D"/>
    <w:rsid w:val="00163E6C"/>
    <w:rsid w:val="00163E75"/>
    <w:rsid w:val="00163EC2"/>
    <w:rsid w:val="00163EC8"/>
    <w:rsid w:val="00163F63"/>
    <w:rsid w:val="00163F99"/>
    <w:rsid w:val="00163FED"/>
    <w:rsid w:val="00164022"/>
    <w:rsid w:val="00164046"/>
    <w:rsid w:val="0016408B"/>
    <w:rsid w:val="001640DE"/>
    <w:rsid w:val="001640F5"/>
    <w:rsid w:val="00164155"/>
    <w:rsid w:val="0016418C"/>
    <w:rsid w:val="00164316"/>
    <w:rsid w:val="00164340"/>
    <w:rsid w:val="00164362"/>
    <w:rsid w:val="00164366"/>
    <w:rsid w:val="001643CB"/>
    <w:rsid w:val="001643ED"/>
    <w:rsid w:val="0016441D"/>
    <w:rsid w:val="00164525"/>
    <w:rsid w:val="0016452E"/>
    <w:rsid w:val="0016453A"/>
    <w:rsid w:val="00164564"/>
    <w:rsid w:val="0016458A"/>
    <w:rsid w:val="00164611"/>
    <w:rsid w:val="00164636"/>
    <w:rsid w:val="00164639"/>
    <w:rsid w:val="0016464E"/>
    <w:rsid w:val="00164658"/>
    <w:rsid w:val="0016465D"/>
    <w:rsid w:val="0016468C"/>
    <w:rsid w:val="001646CC"/>
    <w:rsid w:val="00164717"/>
    <w:rsid w:val="0016473A"/>
    <w:rsid w:val="0016480F"/>
    <w:rsid w:val="00164865"/>
    <w:rsid w:val="00164868"/>
    <w:rsid w:val="00164910"/>
    <w:rsid w:val="00164964"/>
    <w:rsid w:val="00164982"/>
    <w:rsid w:val="00164994"/>
    <w:rsid w:val="001649E0"/>
    <w:rsid w:val="001649E8"/>
    <w:rsid w:val="00164A7A"/>
    <w:rsid w:val="00164A7B"/>
    <w:rsid w:val="00164B53"/>
    <w:rsid w:val="00164BE7"/>
    <w:rsid w:val="00164C11"/>
    <w:rsid w:val="00164C3E"/>
    <w:rsid w:val="00164C9D"/>
    <w:rsid w:val="00164CA8"/>
    <w:rsid w:val="00164CE2"/>
    <w:rsid w:val="00164D4D"/>
    <w:rsid w:val="00164E22"/>
    <w:rsid w:val="00164E44"/>
    <w:rsid w:val="00164E91"/>
    <w:rsid w:val="00164EB9"/>
    <w:rsid w:val="00164EF7"/>
    <w:rsid w:val="00164F0C"/>
    <w:rsid w:val="00164F1C"/>
    <w:rsid w:val="00164F41"/>
    <w:rsid w:val="00164F60"/>
    <w:rsid w:val="00164F87"/>
    <w:rsid w:val="00164FEB"/>
    <w:rsid w:val="00165002"/>
    <w:rsid w:val="001650D9"/>
    <w:rsid w:val="001650FB"/>
    <w:rsid w:val="0016511F"/>
    <w:rsid w:val="0016512D"/>
    <w:rsid w:val="00165226"/>
    <w:rsid w:val="00165259"/>
    <w:rsid w:val="00165315"/>
    <w:rsid w:val="0016531A"/>
    <w:rsid w:val="00165369"/>
    <w:rsid w:val="001653B0"/>
    <w:rsid w:val="001653C7"/>
    <w:rsid w:val="0016540E"/>
    <w:rsid w:val="00165467"/>
    <w:rsid w:val="00165544"/>
    <w:rsid w:val="001655AF"/>
    <w:rsid w:val="0016561A"/>
    <w:rsid w:val="001656CB"/>
    <w:rsid w:val="0016571B"/>
    <w:rsid w:val="0016576D"/>
    <w:rsid w:val="0016578D"/>
    <w:rsid w:val="001657C4"/>
    <w:rsid w:val="001657F0"/>
    <w:rsid w:val="00165805"/>
    <w:rsid w:val="001658A7"/>
    <w:rsid w:val="001658C8"/>
    <w:rsid w:val="001658EA"/>
    <w:rsid w:val="001658F0"/>
    <w:rsid w:val="00165901"/>
    <w:rsid w:val="0016590B"/>
    <w:rsid w:val="00165945"/>
    <w:rsid w:val="0016597E"/>
    <w:rsid w:val="001659B3"/>
    <w:rsid w:val="00165A1E"/>
    <w:rsid w:val="00165A4B"/>
    <w:rsid w:val="00165B06"/>
    <w:rsid w:val="00165BF0"/>
    <w:rsid w:val="00165C7A"/>
    <w:rsid w:val="00165C99"/>
    <w:rsid w:val="00165CAE"/>
    <w:rsid w:val="00165D36"/>
    <w:rsid w:val="00165DBA"/>
    <w:rsid w:val="00165DE5"/>
    <w:rsid w:val="00165DF6"/>
    <w:rsid w:val="00165E6D"/>
    <w:rsid w:val="00165E74"/>
    <w:rsid w:val="00165EB4"/>
    <w:rsid w:val="00165F89"/>
    <w:rsid w:val="00165FB7"/>
    <w:rsid w:val="00166082"/>
    <w:rsid w:val="00166088"/>
    <w:rsid w:val="0016615B"/>
    <w:rsid w:val="00166168"/>
    <w:rsid w:val="001661B7"/>
    <w:rsid w:val="001661FA"/>
    <w:rsid w:val="0016621B"/>
    <w:rsid w:val="00166278"/>
    <w:rsid w:val="0016633E"/>
    <w:rsid w:val="001663A3"/>
    <w:rsid w:val="001663D2"/>
    <w:rsid w:val="00166411"/>
    <w:rsid w:val="00166435"/>
    <w:rsid w:val="00166447"/>
    <w:rsid w:val="001665BA"/>
    <w:rsid w:val="0016661A"/>
    <w:rsid w:val="001666BA"/>
    <w:rsid w:val="00166720"/>
    <w:rsid w:val="00166786"/>
    <w:rsid w:val="001667B4"/>
    <w:rsid w:val="001667CE"/>
    <w:rsid w:val="00166820"/>
    <w:rsid w:val="0016682F"/>
    <w:rsid w:val="0016688A"/>
    <w:rsid w:val="001668B3"/>
    <w:rsid w:val="001668B4"/>
    <w:rsid w:val="00166904"/>
    <w:rsid w:val="001669C7"/>
    <w:rsid w:val="001669E1"/>
    <w:rsid w:val="00166A31"/>
    <w:rsid w:val="00166ADB"/>
    <w:rsid w:val="00166AE2"/>
    <w:rsid w:val="00166B25"/>
    <w:rsid w:val="00166BBE"/>
    <w:rsid w:val="00166C0C"/>
    <w:rsid w:val="00166C4D"/>
    <w:rsid w:val="00166CC5"/>
    <w:rsid w:val="00166CC9"/>
    <w:rsid w:val="00166D53"/>
    <w:rsid w:val="00166D5C"/>
    <w:rsid w:val="00166D8C"/>
    <w:rsid w:val="00166DF5"/>
    <w:rsid w:val="00166E51"/>
    <w:rsid w:val="00166E94"/>
    <w:rsid w:val="00166EB0"/>
    <w:rsid w:val="00166F18"/>
    <w:rsid w:val="00166F73"/>
    <w:rsid w:val="00166F87"/>
    <w:rsid w:val="00166FEA"/>
    <w:rsid w:val="00166FF3"/>
    <w:rsid w:val="0016700A"/>
    <w:rsid w:val="00167092"/>
    <w:rsid w:val="001670D6"/>
    <w:rsid w:val="001670E2"/>
    <w:rsid w:val="00167150"/>
    <w:rsid w:val="001671C9"/>
    <w:rsid w:val="00167204"/>
    <w:rsid w:val="00167221"/>
    <w:rsid w:val="00167256"/>
    <w:rsid w:val="001672B6"/>
    <w:rsid w:val="001673C4"/>
    <w:rsid w:val="001674DA"/>
    <w:rsid w:val="001674E0"/>
    <w:rsid w:val="0016751E"/>
    <w:rsid w:val="00167536"/>
    <w:rsid w:val="0016758D"/>
    <w:rsid w:val="00167590"/>
    <w:rsid w:val="001675AD"/>
    <w:rsid w:val="001675BC"/>
    <w:rsid w:val="0016761F"/>
    <w:rsid w:val="00167674"/>
    <w:rsid w:val="001676A3"/>
    <w:rsid w:val="001676BF"/>
    <w:rsid w:val="001676EE"/>
    <w:rsid w:val="00167741"/>
    <w:rsid w:val="0016776B"/>
    <w:rsid w:val="00167785"/>
    <w:rsid w:val="0016778F"/>
    <w:rsid w:val="001677E4"/>
    <w:rsid w:val="0016780F"/>
    <w:rsid w:val="00167861"/>
    <w:rsid w:val="00167889"/>
    <w:rsid w:val="0016788A"/>
    <w:rsid w:val="001678AC"/>
    <w:rsid w:val="0016794B"/>
    <w:rsid w:val="001679C4"/>
    <w:rsid w:val="00167B30"/>
    <w:rsid w:val="00167B6F"/>
    <w:rsid w:val="00167B90"/>
    <w:rsid w:val="00167BF8"/>
    <w:rsid w:val="00167D00"/>
    <w:rsid w:val="00167D49"/>
    <w:rsid w:val="00167D93"/>
    <w:rsid w:val="00167D9E"/>
    <w:rsid w:val="00167E16"/>
    <w:rsid w:val="00167E23"/>
    <w:rsid w:val="00167E39"/>
    <w:rsid w:val="00167E48"/>
    <w:rsid w:val="00167E9E"/>
    <w:rsid w:val="00167EE6"/>
    <w:rsid w:val="00167F2C"/>
    <w:rsid w:val="00167FDC"/>
    <w:rsid w:val="0017003B"/>
    <w:rsid w:val="00170042"/>
    <w:rsid w:val="00170156"/>
    <w:rsid w:val="00170185"/>
    <w:rsid w:val="001701D5"/>
    <w:rsid w:val="001701E0"/>
    <w:rsid w:val="00170326"/>
    <w:rsid w:val="00170353"/>
    <w:rsid w:val="00170371"/>
    <w:rsid w:val="0017037E"/>
    <w:rsid w:val="0017038E"/>
    <w:rsid w:val="001703AC"/>
    <w:rsid w:val="0017040A"/>
    <w:rsid w:val="00170444"/>
    <w:rsid w:val="001704A6"/>
    <w:rsid w:val="001704C1"/>
    <w:rsid w:val="0017050D"/>
    <w:rsid w:val="00170554"/>
    <w:rsid w:val="0017057D"/>
    <w:rsid w:val="00170584"/>
    <w:rsid w:val="00170585"/>
    <w:rsid w:val="0017058C"/>
    <w:rsid w:val="001705B9"/>
    <w:rsid w:val="0017061D"/>
    <w:rsid w:val="001706CF"/>
    <w:rsid w:val="001706DB"/>
    <w:rsid w:val="001706E9"/>
    <w:rsid w:val="001706F3"/>
    <w:rsid w:val="00170708"/>
    <w:rsid w:val="001707E1"/>
    <w:rsid w:val="0017080F"/>
    <w:rsid w:val="00170813"/>
    <w:rsid w:val="0017084C"/>
    <w:rsid w:val="001708C7"/>
    <w:rsid w:val="001708F3"/>
    <w:rsid w:val="00170907"/>
    <w:rsid w:val="00170966"/>
    <w:rsid w:val="0017097E"/>
    <w:rsid w:val="001709BC"/>
    <w:rsid w:val="00170A6B"/>
    <w:rsid w:val="00170AB3"/>
    <w:rsid w:val="00170ADC"/>
    <w:rsid w:val="00170BA6"/>
    <w:rsid w:val="00170BAA"/>
    <w:rsid w:val="00170BC2"/>
    <w:rsid w:val="00170BCD"/>
    <w:rsid w:val="00170BDD"/>
    <w:rsid w:val="00170BFD"/>
    <w:rsid w:val="00170C1C"/>
    <w:rsid w:val="00170C70"/>
    <w:rsid w:val="00170C83"/>
    <w:rsid w:val="00170C89"/>
    <w:rsid w:val="00170DC5"/>
    <w:rsid w:val="00170DD1"/>
    <w:rsid w:val="00170E14"/>
    <w:rsid w:val="00170E29"/>
    <w:rsid w:val="00170E82"/>
    <w:rsid w:val="00170EC0"/>
    <w:rsid w:val="00170EE8"/>
    <w:rsid w:val="00170F32"/>
    <w:rsid w:val="00170F4C"/>
    <w:rsid w:val="00170F59"/>
    <w:rsid w:val="0017107F"/>
    <w:rsid w:val="001710FB"/>
    <w:rsid w:val="00171127"/>
    <w:rsid w:val="0017124F"/>
    <w:rsid w:val="0017125B"/>
    <w:rsid w:val="0017130C"/>
    <w:rsid w:val="00171316"/>
    <w:rsid w:val="0017132F"/>
    <w:rsid w:val="00171377"/>
    <w:rsid w:val="001713A1"/>
    <w:rsid w:val="001713D4"/>
    <w:rsid w:val="001713FE"/>
    <w:rsid w:val="00171400"/>
    <w:rsid w:val="0017143C"/>
    <w:rsid w:val="0017157D"/>
    <w:rsid w:val="001715B2"/>
    <w:rsid w:val="001715D4"/>
    <w:rsid w:val="00171776"/>
    <w:rsid w:val="001717B6"/>
    <w:rsid w:val="001717C1"/>
    <w:rsid w:val="001717CA"/>
    <w:rsid w:val="001717F3"/>
    <w:rsid w:val="001717FA"/>
    <w:rsid w:val="00171855"/>
    <w:rsid w:val="00171864"/>
    <w:rsid w:val="00171893"/>
    <w:rsid w:val="00171942"/>
    <w:rsid w:val="001719AB"/>
    <w:rsid w:val="001719B0"/>
    <w:rsid w:val="001719C7"/>
    <w:rsid w:val="001719FF"/>
    <w:rsid w:val="00171A1D"/>
    <w:rsid w:val="00171A2D"/>
    <w:rsid w:val="00171A37"/>
    <w:rsid w:val="00171A4B"/>
    <w:rsid w:val="00171A4C"/>
    <w:rsid w:val="00171A6B"/>
    <w:rsid w:val="00171A7B"/>
    <w:rsid w:val="00171AE1"/>
    <w:rsid w:val="00171B6C"/>
    <w:rsid w:val="00171BE4"/>
    <w:rsid w:val="00171C07"/>
    <w:rsid w:val="00171C14"/>
    <w:rsid w:val="00171C5A"/>
    <w:rsid w:val="00171D5F"/>
    <w:rsid w:val="00171D74"/>
    <w:rsid w:val="00171D7C"/>
    <w:rsid w:val="00171DC6"/>
    <w:rsid w:val="00171E6F"/>
    <w:rsid w:val="00171E8C"/>
    <w:rsid w:val="00171F9D"/>
    <w:rsid w:val="00171FAC"/>
    <w:rsid w:val="00172006"/>
    <w:rsid w:val="00172033"/>
    <w:rsid w:val="00172039"/>
    <w:rsid w:val="00172081"/>
    <w:rsid w:val="00172093"/>
    <w:rsid w:val="001720D1"/>
    <w:rsid w:val="001721F1"/>
    <w:rsid w:val="0017220C"/>
    <w:rsid w:val="00172235"/>
    <w:rsid w:val="0017225A"/>
    <w:rsid w:val="00172277"/>
    <w:rsid w:val="00172280"/>
    <w:rsid w:val="00172291"/>
    <w:rsid w:val="0017233E"/>
    <w:rsid w:val="00172379"/>
    <w:rsid w:val="001723AF"/>
    <w:rsid w:val="001723F3"/>
    <w:rsid w:val="0017240D"/>
    <w:rsid w:val="0017245C"/>
    <w:rsid w:val="001724C9"/>
    <w:rsid w:val="00172538"/>
    <w:rsid w:val="0017253E"/>
    <w:rsid w:val="00172641"/>
    <w:rsid w:val="0017267B"/>
    <w:rsid w:val="0017270A"/>
    <w:rsid w:val="001727AC"/>
    <w:rsid w:val="00172844"/>
    <w:rsid w:val="0017286C"/>
    <w:rsid w:val="00172872"/>
    <w:rsid w:val="001728C0"/>
    <w:rsid w:val="001729B1"/>
    <w:rsid w:val="001729CC"/>
    <w:rsid w:val="001729E0"/>
    <w:rsid w:val="00172A28"/>
    <w:rsid w:val="00172A48"/>
    <w:rsid w:val="00172A81"/>
    <w:rsid w:val="00172B33"/>
    <w:rsid w:val="00172BB0"/>
    <w:rsid w:val="00172CAF"/>
    <w:rsid w:val="00172D01"/>
    <w:rsid w:val="00172D6B"/>
    <w:rsid w:val="00172DEA"/>
    <w:rsid w:val="00172E34"/>
    <w:rsid w:val="00172E63"/>
    <w:rsid w:val="00172E72"/>
    <w:rsid w:val="00172E9B"/>
    <w:rsid w:val="00172EDE"/>
    <w:rsid w:val="00172F02"/>
    <w:rsid w:val="00172F23"/>
    <w:rsid w:val="00172F5B"/>
    <w:rsid w:val="00172FED"/>
    <w:rsid w:val="0017310E"/>
    <w:rsid w:val="0017311B"/>
    <w:rsid w:val="0017314D"/>
    <w:rsid w:val="0017317F"/>
    <w:rsid w:val="0017318F"/>
    <w:rsid w:val="001731E7"/>
    <w:rsid w:val="00173205"/>
    <w:rsid w:val="001732A0"/>
    <w:rsid w:val="001732F8"/>
    <w:rsid w:val="00173321"/>
    <w:rsid w:val="0017334D"/>
    <w:rsid w:val="001733D8"/>
    <w:rsid w:val="001733E8"/>
    <w:rsid w:val="00173456"/>
    <w:rsid w:val="001734CD"/>
    <w:rsid w:val="00173509"/>
    <w:rsid w:val="0017357B"/>
    <w:rsid w:val="001735E0"/>
    <w:rsid w:val="001736DD"/>
    <w:rsid w:val="0017378A"/>
    <w:rsid w:val="001737E6"/>
    <w:rsid w:val="0017393E"/>
    <w:rsid w:val="00173ACF"/>
    <w:rsid w:val="00173AD7"/>
    <w:rsid w:val="00173B2C"/>
    <w:rsid w:val="00173C86"/>
    <w:rsid w:val="00173CF6"/>
    <w:rsid w:val="00173D0D"/>
    <w:rsid w:val="00173D19"/>
    <w:rsid w:val="00173D45"/>
    <w:rsid w:val="00173D6D"/>
    <w:rsid w:val="00173E19"/>
    <w:rsid w:val="00173E75"/>
    <w:rsid w:val="00173EE9"/>
    <w:rsid w:val="00173FA3"/>
    <w:rsid w:val="00173FBF"/>
    <w:rsid w:val="00174045"/>
    <w:rsid w:val="0017408B"/>
    <w:rsid w:val="001740A7"/>
    <w:rsid w:val="001740C1"/>
    <w:rsid w:val="001740ED"/>
    <w:rsid w:val="001740F6"/>
    <w:rsid w:val="00174109"/>
    <w:rsid w:val="00174160"/>
    <w:rsid w:val="0017416B"/>
    <w:rsid w:val="00174174"/>
    <w:rsid w:val="001741A4"/>
    <w:rsid w:val="00174200"/>
    <w:rsid w:val="00174268"/>
    <w:rsid w:val="00174286"/>
    <w:rsid w:val="001742DD"/>
    <w:rsid w:val="0017430F"/>
    <w:rsid w:val="00174313"/>
    <w:rsid w:val="0017434A"/>
    <w:rsid w:val="001743B8"/>
    <w:rsid w:val="001743FB"/>
    <w:rsid w:val="00174458"/>
    <w:rsid w:val="00174611"/>
    <w:rsid w:val="00174726"/>
    <w:rsid w:val="00174732"/>
    <w:rsid w:val="0017481F"/>
    <w:rsid w:val="001748C8"/>
    <w:rsid w:val="001748CF"/>
    <w:rsid w:val="001748D7"/>
    <w:rsid w:val="0017490D"/>
    <w:rsid w:val="00174932"/>
    <w:rsid w:val="00174950"/>
    <w:rsid w:val="001749BE"/>
    <w:rsid w:val="001749D5"/>
    <w:rsid w:val="00174A76"/>
    <w:rsid w:val="00174A7E"/>
    <w:rsid w:val="00174BF0"/>
    <w:rsid w:val="00174CFE"/>
    <w:rsid w:val="00174D2A"/>
    <w:rsid w:val="00174D3E"/>
    <w:rsid w:val="00174D40"/>
    <w:rsid w:val="00174D90"/>
    <w:rsid w:val="00174DC8"/>
    <w:rsid w:val="00174DF6"/>
    <w:rsid w:val="00174E37"/>
    <w:rsid w:val="00174E97"/>
    <w:rsid w:val="00174F04"/>
    <w:rsid w:val="00174F09"/>
    <w:rsid w:val="00174F0F"/>
    <w:rsid w:val="00174F1F"/>
    <w:rsid w:val="00174F72"/>
    <w:rsid w:val="00174FCD"/>
    <w:rsid w:val="00174FDD"/>
    <w:rsid w:val="00174FF3"/>
    <w:rsid w:val="00175006"/>
    <w:rsid w:val="00175031"/>
    <w:rsid w:val="0017505B"/>
    <w:rsid w:val="00175062"/>
    <w:rsid w:val="0017507B"/>
    <w:rsid w:val="001750EE"/>
    <w:rsid w:val="0017511E"/>
    <w:rsid w:val="00175129"/>
    <w:rsid w:val="00175131"/>
    <w:rsid w:val="00175181"/>
    <w:rsid w:val="001751AC"/>
    <w:rsid w:val="001751F8"/>
    <w:rsid w:val="00175279"/>
    <w:rsid w:val="001753FF"/>
    <w:rsid w:val="0017540A"/>
    <w:rsid w:val="0017541C"/>
    <w:rsid w:val="001754F0"/>
    <w:rsid w:val="001754F5"/>
    <w:rsid w:val="00175513"/>
    <w:rsid w:val="00175529"/>
    <w:rsid w:val="00175557"/>
    <w:rsid w:val="001755E3"/>
    <w:rsid w:val="0017560F"/>
    <w:rsid w:val="00175612"/>
    <w:rsid w:val="0017563A"/>
    <w:rsid w:val="0017567F"/>
    <w:rsid w:val="0017574B"/>
    <w:rsid w:val="00175778"/>
    <w:rsid w:val="001757BF"/>
    <w:rsid w:val="00175857"/>
    <w:rsid w:val="001758B1"/>
    <w:rsid w:val="00175978"/>
    <w:rsid w:val="00175A54"/>
    <w:rsid w:val="00175A88"/>
    <w:rsid w:val="00175AF7"/>
    <w:rsid w:val="00175B3C"/>
    <w:rsid w:val="00175B95"/>
    <w:rsid w:val="00175BB4"/>
    <w:rsid w:val="00175BC2"/>
    <w:rsid w:val="00175BFB"/>
    <w:rsid w:val="00175C0C"/>
    <w:rsid w:val="00175C2C"/>
    <w:rsid w:val="00175C83"/>
    <w:rsid w:val="00175C9F"/>
    <w:rsid w:val="00175D44"/>
    <w:rsid w:val="00175E40"/>
    <w:rsid w:val="00175EBF"/>
    <w:rsid w:val="00175ED5"/>
    <w:rsid w:val="00175F1F"/>
    <w:rsid w:val="00175F6A"/>
    <w:rsid w:val="00175F85"/>
    <w:rsid w:val="00176019"/>
    <w:rsid w:val="0017602B"/>
    <w:rsid w:val="0017602E"/>
    <w:rsid w:val="0017604B"/>
    <w:rsid w:val="00176095"/>
    <w:rsid w:val="001760EE"/>
    <w:rsid w:val="00176184"/>
    <w:rsid w:val="00176194"/>
    <w:rsid w:val="001761D0"/>
    <w:rsid w:val="00176230"/>
    <w:rsid w:val="00176243"/>
    <w:rsid w:val="00176272"/>
    <w:rsid w:val="0017627A"/>
    <w:rsid w:val="0017628C"/>
    <w:rsid w:val="001762FC"/>
    <w:rsid w:val="00176314"/>
    <w:rsid w:val="0017638B"/>
    <w:rsid w:val="001763F0"/>
    <w:rsid w:val="001763FA"/>
    <w:rsid w:val="0017642E"/>
    <w:rsid w:val="00176465"/>
    <w:rsid w:val="00176473"/>
    <w:rsid w:val="001764C0"/>
    <w:rsid w:val="001764C1"/>
    <w:rsid w:val="001764F9"/>
    <w:rsid w:val="00176509"/>
    <w:rsid w:val="0017655D"/>
    <w:rsid w:val="001765F7"/>
    <w:rsid w:val="00176626"/>
    <w:rsid w:val="00176639"/>
    <w:rsid w:val="001766B4"/>
    <w:rsid w:val="0017678C"/>
    <w:rsid w:val="001767B2"/>
    <w:rsid w:val="001767E7"/>
    <w:rsid w:val="00176825"/>
    <w:rsid w:val="00176846"/>
    <w:rsid w:val="00176876"/>
    <w:rsid w:val="001768C9"/>
    <w:rsid w:val="001768D9"/>
    <w:rsid w:val="001768F1"/>
    <w:rsid w:val="00176925"/>
    <w:rsid w:val="00176988"/>
    <w:rsid w:val="00176A0A"/>
    <w:rsid w:val="00176B66"/>
    <w:rsid w:val="00176BF4"/>
    <w:rsid w:val="00176C02"/>
    <w:rsid w:val="00176C63"/>
    <w:rsid w:val="00176CA5"/>
    <w:rsid w:val="00176D59"/>
    <w:rsid w:val="00176D68"/>
    <w:rsid w:val="00176DC0"/>
    <w:rsid w:val="00176DF1"/>
    <w:rsid w:val="00176E0E"/>
    <w:rsid w:val="00176E9A"/>
    <w:rsid w:val="00176EB7"/>
    <w:rsid w:val="00176F50"/>
    <w:rsid w:val="00176F6D"/>
    <w:rsid w:val="00176FB9"/>
    <w:rsid w:val="00176FE4"/>
    <w:rsid w:val="00176FF8"/>
    <w:rsid w:val="00176FFB"/>
    <w:rsid w:val="0017702A"/>
    <w:rsid w:val="00177044"/>
    <w:rsid w:val="0017708C"/>
    <w:rsid w:val="0017709A"/>
    <w:rsid w:val="001770D0"/>
    <w:rsid w:val="001770D9"/>
    <w:rsid w:val="00177123"/>
    <w:rsid w:val="0017713B"/>
    <w:rsid w:val="00177198"/>
    <w:rsid w:val="001771CC"/>
    <w:rsid w:val="001771E0"/>
    <w:rsid w:val="0017729A"/>
    <w:rsid w:val="0017729C"/>
    <w:rsid w:val="001772BB"/>
    <w:rsid w:val="00177353"/>
    <w:rsid w:val="001773A3"/>
    <w:rsid w:val="001773FB"/>
    <w:rsid w:val="00177422"/>
    <w:rsid w:val="0017749A"/>
    <w:rsid w:val="001774DF"/>
    <w:rsid w:val="0017750E"/>
    <w:rsid w:val="0017756D"/>
    <w:rsid w:val="0017760E"/>
    <w:rsid w:val="00177642"/>
    <w:rsid w:val="00177690"/>
    <w:rsid w:val="0017773B"/>
    <w:rsid w:val="0017774E"/>
    <w:rsid w:val="00177792"/>
    <w:rsid w:val="00177794"/>
    <w:rsid w:val="001777A9"/>
    <w:rsid w:val="001777CF"/>
    <w:rsid w:val="001777DC"/>
    <w:rsid w:val="00177836"/>
    <w:rsid w:val="00177894"/>
    <w:rsid w:val="0017791A"/>
    <w:rsid w:val="0017795A"/>
    <w:rsid w:val="00177985"/>
    <w:rsid w:val="001779DF"/>
    <w:rsid w:val="00177AA5"/>
    <w:rsid w:val="00177B31"/>
    <w:rsid w:val="00177BDD"/>
    <w:rsid w:val="00177CCB"/>
    <w:rsid w:val="00177D58"/>
    <w:rsid w:val="00177D9F"/>
    <w:rsid w:val="00177DA4"/>
    <w:rsid w:val="00177DBD"/>
    <w:rsid w:val="00177E41"/>
    <w:rsid w:val="00177E52"/>
    <w:rsid w:val="00177EFC"/>
    <w:rsid w:val="00177F1C"/>
    <w:rsid w:val="00177F25"/>
    <w:rsid w:val="00177F26"/>
    <w:rsid w:val="00177F92"/>
    <w:rsid w:val="00177F9A"/>
    <w:rsid w:val="0018001E"/>
    <w:rsid w:val="0018006B"/>
    <w:rsid w:val="001800F4"/>
    <w:rsid w:val="0018011D"/>
    <w:rsid w:val="00180129"/>
    <w:rsid w:val="00180203"/>
    <w:rsid w:val="00180213"/>
    <w:rsid w:val="00180228"/>
    <w:rsid w:val="0018029D"/>
    <w:rsid w:val="0018035D"/>
    <w:rsid w:val="00180373"/>
    <w:rsid w:val="00180470"/>
    <w:rsid w:val="00180496"/>
    <w:rsid w:val="001804D9"/>
    <w:rsid w:val="00180579"/>
    <w:rsid w:val="001805F3"/>
    <w:rsid w:val="0018066F"/>
    <w:rsid w:val="001806AF"/>
    <w:rsid w:val="001806B6"/>
    <w:rsid w:val="001806CB"/>
    <w:rsid w:val="00180704"/>
    <w:rsid w:val="001807BD"/>
    <w:rsid w:val="00180804"/>
    <w:rsid w:val="00180868"/>
    <w:rsid w:val="0018087F"/>
    <w:rsid w:val="001808FD"/>
    <w:rsid w:val="00180919"/>
    <w:rsid w:val="0018092A"/>
    <w:rsid w:val="001809B9"/>
    <w:rsid w:val="00180A06"/>
    <w:rsid w:val="00180A36"/>
    <w:rsid w:val="00180A75"/>
    <w:rsid w:val="00180B5C"/>
    <w:rsid w:val="00180C0F"/>
    <w:rsid w:val="00180C13"/>
    <w:rsid w:val="00180CBB"/>
    <w:rsid w:val="00180D0B"/>
    <w:rsid w:val="00180D2C"/>
    <w:rsid w:val="00180EAA"/>
    <w:rsid w:val="00180F4D"/>
    <w:rsid w:val="00180F7C"/>
    <w:rsid w:val="00181024"/>
    <w:rsid w:val="00181038"/>
    <w:rsid w:val="00181049"/>
    <w:rsid w:val="00181050"/>
    <w:rsid w:val="001810D6"/>
    <w:rsid w:val="00181122"/>
    <w:rsid w:val="00181144"/>
    <w:rsid w:val="0018117F"/>
    <w:rsid w:val="0018129F"/>
    <w:rsid w:val="001812A5"/>
    <w:rsid w:val="001812C5"/>
    <w:rsid w:val="00181300"/>
    <w:rsid w:val="00181337"/>
    <w:rsid w:val="00181344"/>
    <w:rsid w:val="001813D2"/>
    <w:rsid w:val="0018142E"/>
    <w:rsid w:val="0018147D"/>
    <w:rsid w:val="0018148E"/>
    <w:rsid w:val="001814BD"/>
    <w:rsid w:val="00181535"/>
    <w:rsid w:val="00181563"/>
    <w:rsid w:val="001815C8"/>
    <w:rsid w:val="001816C3"/>
    <w:rsid w:val="00181739"/>
    <w:rsid w:val="001817BC"/>
    <w:rsid w:val="00181815"/>
    <w:rsid w:val="00181856"/>
    <w:rsid w:val="001818D8"/>
    <w:rsid w:val="0018193F"/>
    <w:rsid w:val="001819C7"/>
    <w:rsid w:val="001819C9"/>
    <w:rsid w:val="001819CF"/>
    <w:rsid w:val="00181A45"/>
    <w:rsid w:val="00181A48"/>
    <w:rsid w:val="00181A74"/>
    <w:rsid w:val="00181A97"/>
    <w:rsid w:val="00181BAF"/>
    <w:rsid w:val="00181BC3"/>
    <w:rsid w:val="00181C1C"/>
    <w:rsid w:val="00181C57"/>
    <w:rsid w:val="00181C67"/>
    <w:rsid w:val="00181CF4"/>
    <w:rsid w:val="00181D0B"/>
    <w:rsid w:val="00181DBA"/>
    <w:rsid w:val="00181DCE"/>
    <w:rsid w:val="00181E5C"/>
    <w:rsid w:val="00181E85"/>
    <w:rsid w:val="00181EE7"/>
    <w:rsid w:val="00181EEC"/>
    <w:rsid w:val="00181EF9"/>
    <w:rsid w:val="00181FAB"/>
    <w:rsid w:val="001820BB"/>
    <w:rsid w:val="001820E1"/>
    <w:rsid w:val="0018210B"/>
    <w:rsid w:val="00182123"/>
    <w:rsid w:val="0018213D"/>
    <w:rsid w:val="001821AD"/>
    <w:rsid w:val="001821B4"/>
    <w:rsid w:val="00182210"/>
    <w:rsid w:val="00182232"/>
    <w:rsid w:val="001822C5"/>
    <w:rsid w:val="00182395"/>
    <w:rsid w:val="001823B0"/>
    <w:rsid w:val="0018241D"/>
    <w:rsid w:val="001824C9"/>
    <w:rsid w:val="00182526"/>
    <w:rsid w:val="0018254D"/>
    <w:rsid w:val="00182567"/>
    <w:rsid w:val="001825B7"/>
    <w:rsid w:val="00182617"/>
    <w:rsid w:val="00182636"/>
    <w:rsid w:val="00182670"/>
    <w:rsid w:val="0018267E"/>
    <w:rsid w:val="001826E1"/>
    <w:rsid w:val="0018271A"/>
    <w:rsid w:val="00182802"/>
    <w:rsid w:val="00182892"/>
    <w:rsid w:val="001828A3"/>
    <w:rsid w:val="001828B4"/>
    <w:rsid w:val="001828E6"/>
    <w:rsid w:val="0018290C"/>
    <w:rsid w:val="0018290F"/>
    <w:rsid w:val="0018292B"/>
    <w:rsid w:val="0018296C"/>
    <w:rsid w:val="0018296E"/>
    <w:rsid w:val="00182977"/>
    <w:rsid w:val="00182989"/>
    <w:rsid w:val="00182A07"/>
    <w:rsid w:val="00182A27"/>
    <w:rsid w:val="00182A2B"/>
    <w:rsid w:val="00182A7D"/>
    <w:rsid w:val="00182AA9"/>
    <w:rsid w:val="00182AAF"/>
    <w:rsid w:val="00182AB3"/>
    <w:rsid w:val="00182ACC"/>
    <w:rsid w:val="00182B0A"/>
    <w:rsid w:val="00182BD3"/>
    <w:rsid w:val="00182C14"/>
    <w:rsid w:val="00182C8F"/>
    <w:rsid w:val="00182D2B"/>
    <w:rsid w:val="00182DDF"/>
    <w:rsid w:val="00182E77"/>
    <w:rsid w:val="00182E9A"/>
    <w:rsid w:val="00182F25"/>
    <w:rsid w:val="00182F2B"/>
    <w:rsid w:val="00182F32"/>
    <w:rsid w:val="00182F67"/>
    <w:rsid w:val="00183009"/>
    <w:rsid w:val="00183021"/>
    <w:rsid w:val="00183036"/>
    <w:rsid w:val="00183041"/>
    <w:rsid w:val="001830B6"/>
    <w:rsid w:val="001830D7"/>
    <w:rsid w:val="00183109"/>
    <w:rsid w:val="00183115"/>
    <w:rsid w:val="001831B0"/>
    <w:rsid w:val="0018323E"/>
    <w:rsid w:val="001832F7"/>
    <w:rsid w:val="00183301"/>
    <w:rsid w:val="0018331E"/>
    <w:rsid w:val="00183365"/>
    <w:rsid w:val="00183390"/>
    <w:rsid w:val="001833D9"/>
    <w:rsid w:val="001833F0"/>
    <w:rsid w:val="0018340B"/>
    <w:rsid w:val="00183550"/>
    <w:rsid w:val="00183558"/>
    <w:rsid w:val="0018356D"/>
    <w:rsid w:val="0018357D"/>
    <w:rsid w:val="00183598"/>
    <w:rsid w:val="00183693"/>
    <w:rsid w:val="00183710"/>
    <w:rsid w:val="0018376E"/>
    <w:rsid w:val="00183791"/>
    <w:rsid w:val="001837BF"/>
    <w:rsid w:val="001837F2"/>
    <w:rsid w:val="0018387D"/>
    <w:rsid w:val="001838CB"/>
    <w:rsid w:val="001838F7"/>
    <w:rsid w:val="00183996"/>
    <w:rsid w:val="001839B8"/>
    <w:rsid w:val="001839E5"/>
    <w:rsid w:val="00183A2F"/>
    <w:rsid w:val="00183A38"/>
    <w:rsid w:val="00183A99"/>
    <w:rsid w:val="00183A9A"/>
    <w:rsid w:val="00183ABB"/>
    <w:rsid w:val="00183ABE"/>
    <w:rsid w:val="00183B3D"/>
    <w:rsid w:val="00183C65"/>
    <w:rsid w:val="00183C82"/>
    <w:rsid w:val="00183C97"/>
    <w:rsid w:val="00183CDC"/>
    <w:rsid w:val="00183CE6"/>
    <w:rsid w:val="00183CE8"/>
    <w:rsid w:val="00183CF3"/>
    <w:rsid w:val="00183D4C"/>
    <w:rsid w:val="00183D5D"/>
    <w:rsid w:val="00183DC3"/>
    <w:rsid w:val="00183DFE"/>
    <w:rsid w:val="00183E36"/>
    <w:rsid w:val="00183E71"/>
    <w:rsid w:val="00183F31"/>
    <w:rsid w:val="00183F66"/>
    <w:rsid w:val="00183F97"/>
    <w:rsid w:val="00183FC6"/>
    <w:rsid w:val="00183FF5"/>
    <w:rsid w:val="00184035"/>
    <w:rsid w:val="001840B2"/>
    <w:rsid w:val="0018410C"/>
    <w:rsid w:val="00184165"/>
    <w:rsid w:val="001841DD"/>
    <w:rsid w:val="00184235"/>
    <w:rsid w:val="00184259"/>
    <w:rsid w:val="00184322"/>
    <w:rsid w:val="0018442A"/>
    <w:rsid w:val="001844C9"/>
    <w:rsid w:val="0018452E"/>
    <w:rsid w:val="001845D6"/>
    <w:rsid w:val="001845E4"/>
    <w:rsid w:val="001845ED"/>
    <w:rsid w:val="0018461E"/>
    <w:rsid w:val="0018465E"/>
    <w:rsid w:val="00184665"/>
    <w:rsid w:val="0018466C"/>
    <w:rsid w:val="001846C0"/>
    <w:rsid w:val="00184720"/>
    <w:rsid w:val="00184727"/>
    <w:rsid w:val="0018474A"/>
    <w:rsid w:val="0018475A"/>
    <w:rsid w:val="00184767"/>
    <w:rsid w:val="00184781"/>
    <w:rsid w:val="001847A7"/>
    <w:rsid w:val="00184803"/>
    <w:rsid w:val="0018482A"/>
    <w:rsid w:val="0018484E"/>
    <w:rsid w:val="0018490E"/>
    <w:rsid w:val="001849AD"/>
    <w:rsid w:val="001849DC"/>
    <w:rsid w:val="001849F6"/>
    <w:rsid w:val="00184A07"/>
    <w:rsid w:val="00184AC2"/>
    <w:rsid w:val="00184ACD"/>
    <w:rsid w:val="00184B3C"/>
    <w:rsid w:val="00184B79"/>
    <w:rsid w:val="00184BC7"/>
    <w:rsid w:val="00184BF3"/>
    <w:rsid w:val="00184C4B"/>
    <w:rsid w:val="00184C5A"/>
    <w:rsid w:val="00184C74"/>
    <w:rsid w:val="00184D0C"/>
    <w:rsid w:val="00184D23"/>
    <w:rsid w:val="00184D6F"/>
    <w:rsid w:val="00184DC6"/>
    <w:rsid w:val="00184E48"/>
    <w:rsid w:val="00184E52"/>
    <w:rsid w:val="00184EB9"/>
    <w:rsid w:val="00184EBC"/>
    <w:rsid w:val="00184EBD"/>
    <w:rsid w:val="00184ED4"/>
    <w:rsid w:val="00184F27"/>
    <w:rsid w:val="00184F66"/>
    <w:rsid w:val="00185023"/>
    <w:rsid w:val="00185139"/>
    <w:rsid w:val="00185149"/>
    <w:rsid w:val="0018516C"/>
    <w:rsid w:val="001851B4"/>
    <w:rsid w:val="00185213"/>
    <w:rsid w:val="0018522F"/>
    <w:rsid w:val="001852F0"/>
    <w:rsid w:val="00185330"/>
    <w:rsid w:val="001853CC"/>
    <w:rsid w:val="001853F3"/>
    <w:rsid w:val="00185455"/>
    <w:rsid w:val="0018547E"/>
    <w:rsid w:val="001854C5"/>
    <w:rsid w:val="0018557D"/>
    <w:rsid w:val="0018558C"/>
    <w:rsid w:val="0018568C"/>
    <w:rsid w:val="0018569C"/>
    <w:rsid w:val="001856F0"/>
    <w:rsid w:val="001856F6"/>
    <w:rsid w:val="001857BD"/>
    <w:rsid w:val="0018585C"/>
    <w:rsid w:val="0018587B"/>
    <w:rsid w:val="001858B6"/>
    <w:rsid w:val="001858D3"/>
    <w:rsid w:val="0018595F"/>
    <w:rsid w:val="00185964"/>
    <w:rsid w:val="00185966"/>
    <w:rsid w:val="0018597B"/>
    <w:rsid w:val="00185A43"/>
    <w:rsid w:val="00185A49"/>
    <w:rsid w:val="00185A59"/>
    <w:rsid w:val="00185A61"/>
    <w:rsid w:val="00185AA1"/>
    <w:rsid w:val="00185B5D"/>
    <w:rsid w:val="00185B80"/>
    <w:rsid w:val="00185BAC"/>
    <w:rsid w:val="00185BE9"/>
    <w:rsid w:val="00185C45"/>
    <w:rsid w:val="00185C70"/>
    <w:rsid w:val="00185D30"/>
    <w:rsid w:val="00185D41"/>
    <w:rsid w:val="00185D88"/>
    <w:rsid w:val="00185EE6"/>
    <w:rsid w:val="00185F0A"/>
    <w:rsid w:val="00185F1D"/>
    <w:rsid w:val="00185F62"/>
    <w:rsid w:val="00185FB8"/>
    <w:rsid w:val="00186007"/>
    <w:rsid w:val="00186110"/>
    <w:rsid w:val="00186127"/>
    <w:rsid w:val="0018614C"/>
    <w:rsid w:val="0018617C"/>
    <w:rsid w:val="001861A8"/>
    <w:rsid w:val="001861F1"/>
    <w:rsid w:val="00186217"/>
    <w:rsid w:val="00186298"/>
    <w:rsid w:val="001862DE"/>
    <w:rsid w:val="00186308"/>
    <w:rsid w:val="001864E6"/>
    <w:rsid w:val="001864F0"/>
    <w:rsid w:val="00186509"/>
    <w:rsid w:val="00186573"/>
    <w:rsid w:val="00186632"/>
    <w:rsid w:val="00186640"/>
    <w:rsid w:val="0018665D"/>
    <w:rsid w:val="0018666B"/>
    <w:rsid w:val="00186722"/>
    <w:rsid w:val="0018678D"/>
    <w:rsid w:val="001867AD"/>
    <w:rsid w:val="00186810"/>
    <w:rsid w:val="00186853"/>
    <w:rsid w:val="00186868"/>
    <w:rsid w:val="0018696F"/>
    <w:rsid w:val="001869C2"/>
    <w:rsid w:val="001869D3"/>
    <w:rsid w:val="00186A40"/>
    <w:rsid w:val="00186AA4"/>
    <w:rsid w:val="00186AED"/>
    <w:rsid w:val="00186B92"/>
    <w:rsid w:val="00186B9D"/>
    <w:rsid w:val="00186BDE"/>
    <w:rsid w:val="00186CA6"/>
    <w:rsid w:val="00186D3C"/>
    <w:rsid w:val="00186DBF"/>
    <w:rsid w:val="00186EBD"/>
    <w:rsid w:val="00186EF0"/>
    <w:rsid w:val="00186EFA"/>
    <w:rsid w:val="00186F74"/>
    <w:rsid w:val="001870B8"/>
    <w:rsid w:val="001870F5"/>
    <w:rsid w:val="00187162"/>
    <w:rsid w:val="00187187"/>
    <w:rsid w:val="001871C0"/>
    <w:rsid w:val="0018728F"/>
    <w:rsid w:val="0018731C"/>
    <w:rsid w:val="00187367"/>
    <w:rsid w:val="00187375"/>
    <w:rsid w:val="00187387"/>
    <w:rsid w:val="00187396"/>
    <w:rsid w:val="00187398"/>
    <w:rsid w:val="001873B5"/>
    <w:rsid w:val="001873CB"/>
    <w:rsid w:val="00187441"/>
    <w:rsid w:val="00187445"/>
    <w:rsid w:val="001874B6"/>
    <w:rsid w:val="00187593"/>
    <w:rsid w:val="0018759E"/>
    <w:rsid w:val="0018767D"/>
    <w:rsid w:val="001876F4"/>
    <w:rsid w:val="0018772B"/>
    <w:rsid w:val="00187764"/>
    <w:rsid w:val="0018776B"/>
    <w:rsid w:val="001877B8"/>
    <w:rsid w:val="001877BC"/>
    <w:rsid w:val="001877DC"/>
    <w:rsid w:val="0018795C"/>
    <w:rsid w:val="0018796F"/>
    <w:rsid w:val="00187980"/>
    <w:rsid w:val="001879A1"/>
    <w:rsid w:val="001879A9"/>
    <w:rsid w:val="001879AB"/>
    <w:rsid w:val="00187A09"/>
    <w:rsid w:val="00187B15"/>
    <w:rsid w:val="00187BC9"/>
    <w:rsid w:val="00187C46"/>
    <w:rsid w:val="00187C58"/>
    <w:rsid w:val="00187C60"/>
    <w:rsid w:val="00187CEE"/>
    <w:rsid w:val="00187D0F"/>
    <w:rsid w:val="00187D91"/>
    <w:rsid w:val="00187DAB"/>
    <w:rsid w:val="00187DFA"/>
    <w:rsid w:val="00187E9A"/>
    <w:rsid w:val="00187EA8"/>
    <w:rsid w:val="00187F15"/>
    <w:rsid w:val="00187F38"/>
    <w:rsid w:val="00187F5D"/>
    <w:rsid w:val="00187F8B"/>
    <w:rsid w:val="00187F9F"/>
    <w:rsid w:val="0019000F"/>
    <w:rsid w:val="00190038"/>
    <w:rsid w:val="00190045"/>
    <w:rsid w:val="001900D7"/>
    <w:rsid w:val="00190123"/>
    <w:rsid w:val="00190336"/>
    <w:rsid w:val="001903ED"/>
    <w:rsid w:val="00190585"/>
    <w:rsid w:val="001906F7"/>
    <w:rsid w:val="001907B4"/>
    <w:rsid w:val="001907E7"/>
    <w:rsid w:val="00190878"/>
    <w:rsid w:val="001909F5"/>
    <w:rsid w:val="00190A22"/>
    <w:rsid w:val="00190A7C"/>
    <w:rsid w:val="00190A88"/>
    <w:rsid w:val="00190AA6"/>
    <w:rsid w:val="00190AAC"/>
    <w:rsid w:val="00190AB3"/>
    <w:rsid w:val="00190B04"/>
    <w:rsid w:val="00190B40"/>
    <w:rsid w:val="00190B42"/>
    <w:rsid w:val="00190B8B"/>
    <w:rsid w:val="00190BD8"/>
    <w:rsid w:val="00190C45"/>
    <w:rsid w:val="00190C5D"/>
    <w:rsid w:val="00190CC3"/>
    <w:rsid w:val="00190CD7"/>
    <w:rsid w:val="00190CEA"/>
    <w:rsid w:val="00190CF5"/>
    <w:rsid w:val="00190D4D"/>
    <w:rsid w:val="00190D59"/>
    <w:rsid w:val="00190DE1"/>
    <w:rsid w:val="00190DEC"/>
    <w:rsid w:val="00190DF3"/>
    <w:rsid w:val="00190E23"/>
    <w:rsid w:val="00190E50"/>
    <w:rsid w:val="00190E7F"/>
    <w:rsid w:val="00190EA6"/>
    <w:rsid w:val="00190FF6"/>
    <w:rsid w:val="00191043"/>
    <w:rsid w:val="001910EF"/>
    <w:rsid w:val="001910F5"/>
    <w:rsid w:val="00191109"/>
    <w:rsid w:val="00191122"/>
    <w:rsid w:val="00191130"/>
    <w:rsid w:val="0019114C"/>
    <w:rsid w:val="0019119E"/>
    <w:rsid w:val="001911EF"/>
    <w:rsid w:val="00191217"/>
    <w:rsid w:val="0019124C"/>
    <w:rsid w:val="00191250"/>
    <w:rsid w:val="001912BA"/>
    <w:rsid w:val="001912DC"/>
    <w:rsid w:val="001912E1"/>
    <w:rsid w:val="00191345"/>
    <w:rsid w:val="001913ED"/>
    <w:rsid w:val="001913F4"/>
    <w:rsid w:val="00191440"/>
    <w:rsid w:val="0019145B"/>
    <w:rsid w:val="0019153A"/>
    <w:rsid w:val="00191648"/>
    <w:rsid w:val="00191656"/>
    <w:rsid w:val="00191657"/>
    <w:rsid w:val="00191660"/>
    <w:rsid w:val="00191688"/>
    <w:rsid w:val="0019169B"/>
    <w:rsid w:val="001916FD"/>
    <w:rsid w:val="0019179C"/>
    <w:rsid w:val="00191833"/>
    <w:rsid w:val="0019191B"/>
    <w:rsid w:val="00191934"/>
    <w:rsid w:val="001919FC"/>
    <w:rsid w:val="00191A33"/>
    <w:rsid w:val="00191A93"/>
    <w:rsid w:val="00191B13"/>
    <w:rsid w:val="00191B60"/>
    <w:rsid w:val="00191BA6"/>
    <w:rsid w:val="00191BAB"/>
    <w:rsid w:val="00191CB5"/>
    <w:rsid w:val="00191D6D"/>
    <w:rsid w:val="00191D91"/>
    <w:rsid w:val="00191DAD"/>
    <w:rsid w:val="00191DD7"/>
    <w:rsid w:val="00191E00"/>
    <w:rsid w:val="00191EE5"/>
    <w:rsid w:val="00191FBB"/>
    <w:rsid w:val="00191FBD"/>
    <w:rsid w:val="00192044"/>
    <w:rsid w:val="00192082"/>
    <w:rsid w:val="001920DF"/>
    <w:rsid w:val="0019212C"/>
    <w:rsid w:val="00192144"/>
    <w:rsid w:val="0019218D"/>
    <w:rsid w:val="00192308"/>
    <w:rsid w:val="001923DE"/>
    <w:rsid w:val="00192472"/>
    <w:rsid w:val="00192485"/>
    <w:rsid w:val="001924EA"/>
    <w:rsid w:val="00192577"/>
    <w:rsid w:val="001925CD"/>
    <w:rsid w:val="0019268D"/>
    <w:rsid w:val="001926FD"/>
    <w:rsid w:val="00192704"/>
    <w:rsid w:val="001927C1"/>
    <w:rsid w:val="00192808"/>
    <w:rsid w:val="00192821"/>
    <w:rsid w:val="00192892"/>
    <w:rsid w:val="001928ED"/>
    <w:rsid w:val="00192947"/>
    <w:rsid w:val="001929CD"/>
    <w:rsid w:val="00192A5E"/>
    <w:rsid w:val="00192A60"/>
    <w:rsid w:val="00192A8A"/>
    <w:rsid w:val="00192A9D"/>
    <w:rsid w:val="00192AAA"/>
    <w:rsid w:val="00192B8E"/>
    <w:rsid w:val="00192B9E"/>
    <w:rsid w:val="00192C0C"/>
    <w:rsid w:val="00192C54"/>
    <w:rsid w:val="00192CAD"/>
    <w:rsid w:val="00192D01"/>
    <w:rsid w:val="00192D12"/>
    <w:rsid w:val="00192D15"/>
    <w:rsid w:val="00192D55"/>
    <w:rsid w:val="00192D99"/>
    <w:rsid w:val="00192DC7"/>
    <w:rsid w:val="00192DE9"/>
    <w:rsid w:val="00192E95"/>
    <w:rsid w:val="00192FA4"/>
    <w:rsid w:val="00192FAD"/>
    <w:rsid w:val="00192FCA"/>
    <w:rsid w:val="0019304F"/>
    <w:rsid w:val="00193091"/>
    <w:rsid w:val="00193156"/>
    <w:rsid w:val="0019335D"/>
    <w:rsid w:val="001933DD"/>
    <w:rsid w:val="0019343F"/>
    <w:rsid w:val="00193470"/>
    <w:rsid w:val="00193486"/>
    <w:rsid w:val="001934D1"/>
    <w:rsid w:val="001934DA"/>
    <w:rsid w:val="00193526"/>
    <w:rsid w:val="00193548"/>
    <w:rsid w:val="001935CC"/>
    <w:rsid w:val="00193625"/>
    <w:rsid w:val="00193804"/>
    <w:rsid w:val="0019383E"/>
    <w:rsid w:val="001938D5"/>
    <w:rsid w:val="001938F4"/>
    <w:rsid w:val="0019394B"/>
    <w:rsid w:val="00193A1C"/>
    <w:rsid w:val="00193A39"/>
    <w:rsid w:val="00193A45"/>
    <w:rsid w:val="00193A5B"/>
    <w:rsid w:val="00193A80"/>
    <w:rsid w:val="00193B2C"/>
    <w:rsid w:val="00193B81"/>
    <w:rsid w:val="00193B87"/>
    <w:rsid w:val="00193B8B"/>
    <w:rsid w:val="00193B8F"/>
    <w:rsid w:val="00193BCF"/>
    <w:rsid w:val="00193C1C"/>
    <w:rsid w:val="00193C6D"/>
    <w:rsid w:val="00193CA9"/>
    <w:rsid w:val="00193E5F"/>
    <w:rsid w:val="00193E63"/>
    <w:rsid w:val="00193E69"/>
    <w:rsid w:val="00193F0D"/>
    <w:rsid w:val="00193FA3"/>
    <w:rsid w:val="00193FC0"/>
    <w:rsid w:val="00193FEB"/>
    <w:rsid w:val="001940F1"/>
    <w:rsid w:val="001941AA"/>
    <w:rsid w:val="001941CD"/>
    <w:rsid w:val="001942AF"/>
    <w:rsid w:val="001942E4"/>
    <w:rsid w:val="001943A8"/>
    <w:rsid w:val="0019454A"/>
    <w:rsid w:val="001945A4"/>
    <w:rsid w:val="00194641"/>
    <w:rsid w:val="0019469A"/>
    <w:rsid w:val="0019469B"/>
    <w:rsid w:val="00194715"/>
    <w:rsid w:val="00194782"/>
    <w:rsid w:val="0019480C"/>
    <w:rsid w:val="00194849"/>
    <w:rsid w:val="001948D9"/>
    <w:rsid w:val="0019494F"/>
    <w:rsid w:val="001949D9"/>
    <w:rsid w:val="001949E8"/>
    <w:rsid w:val="00194A43"/>
    <w:rsid w:val="00194A99"/>
    <w:rsid w:val="00194AB4"/>
    <w:rsid w:val="00194B7B"/>
    <w:rsid w:val="00194B93"/>
    <w:rsid w:val="00194BF2"/>
    <w:rsid w:val="00194C80"/>
    <w:rsid w:val="00194CBF"/>
    <w:rsid w:val="00194CF8"/>
    <w:rsid w:val="00194D1C"/>
    <w:rsid w:val="00194DBB"/>
    <w:rsid w:val="00194E50"/>
    <w:rsid w:val="00194E53"/>
    <w:rsid w:val="00194EA7"/>
    <w:rsid w:val="00194EC2"/>
    <w:rsid w:val="00194F1B"/>
    <w:rsid w:val="00194FA5"/>
    <w:rsid w:val="00194FF0"/>
    <w:rsid w:val="00195081"/>
    <w:rsid w:val="0019508E"/>
    <w:rsid w:val="0019508F"/>
    <w:rsid w:val="0019516B"/>
    <w:rsid w:val="001951C6"/>
    <w:rsid w:val="001951E5"/>
    <w:rsid w:val="00195221"/>
    <w:rsid w:val="001952BB"/>
    <w:rsid w:val="001952E9"/>
    <w:rsid w:val="001952FA"/>
    <w:rsid w:val="0019537F"/>
    <w:rsid w:val="00195396"/>
    <w:rsid w:val="00195441"/>
    <w:rsid w:val="0019549D"/>
    <w:rsid w:val="00195576"/>
    <w:rsid w:val="0019557E"/>
    <w:rsid w:val="00195586"/>
    <w:rsid w:val="0019558D"/>
    <w:rsid w:val="001955C8"/>
    <w:rsid w:val="00195622"/>
    <w:rsid w:val="0019564B"/>
    <w:rsid w:val="0019565D"/>
    <w:rsid w:val="00195667"/>
    <w:rsid w:val="00195686"/>
    <w:rsid w:val="00195695"/>
    <w:rsid w:val="001956AC"/>
    <w:rsid w:val="001956FC"/>
    <w:rsid w:val="0019570C"/>
    <w:rsid w:val="0019572F"/>
    <w:rsid w:val="0019575F"/>
    <w:rsid w:val="0019577F"/>
    <w:rsid w:val="001957CE"/>
    <w:rsid w:val="00195833"/>
    <w:rsid w:val="00195843"/>
    <w:rsid w:val="00195872"/>
    <w:rsid w:val="001958C7"/>
    <w:rsid w:val="0019594F"/>
    <w:rsid w:val="0019596F"/>
    <w:rsid w:val="001959BC"/>
    <w:rsid w:val="001959F3"/>
    <w:rsid w:val="00195A37"/>
    <w:rsid w:val="00195A9E"/>
    <w:rsid w:val="00195ADE"/>
    <w:rsid w:val="00195AF4"/>
    <w:rsid w:val="00195C68"/>
    <w:rsid w:val="00195C85"/>
    <w:rsid w:val="00195CD5"/>
    <w:rsid w:val="00195E33"/>
    <w:rsid w:val="00195EC7"/>
    <w:rsid w:val="00195ED7"/>
    <w:rsid w:val="00195F67"/>
    <w:rsid w:val="00195FD2"/>
    <w:rsid w:val="00195FF7"/>
    <w:rsid w:val="0019602A"/>
    <w:rsid w:val="00196061"/>
    <w:rsid w:val="00196084"/>
    <w:rsid w:val="00196086"/>
    <w:rsid w:val="00196099"/>
    <w:rsid w:val="00196117"/>
    <w:rsid w:val="00196141"/>
    <w:rsid w:val="00196153"/>
    <w:rsid w:val="0019620C"/>
    <w:rsid w:val="00196217"/>
    <w:rsid w:val="00196231"/>
    <w:rsid w:val="0019623F"/>
    <w:rsid w:val="0019628C"/>
    <w:rsid w:val="00196342"/>
    <w:rsid w:val="0019637A"/>
    <w:rsid w:val="001963B9"/>
    <w:rsid w:val="001963E0"/>
    <w:rsid w:val="00196444"/>
    <w:rsid w:val="00196485"/>
    <w:rsid w:val="00196496"/>
    <w:rsid w:val="001964B1"/>
    <w:rsid w:val="00196512"/>
    <w:rsid w:val="00196657"/>
    <w:rsid w:val="0019665A"/>
    <w:rsid w:val="001966D4"/>
    <w:rsid w:val="001966F0"/>
    <w:rsid w:val="001966F1"/>
    <w:rsid w:val="0019672C"/>
    <w:rsid w:val="00196757"/>
    <w:rsid w:val="00196859"/>
    <w:rsid w:val="001968AF"/>
    <w:rsid w:val="001968F1"/>
    <w:rsid w:val="0019692A"/>
    <w:rsid w:val="00196975"/>
    <w:rsid w:val="001969B8"/>
    <w:rsid w:val="001969D6"/>
    <w:rsid w:val="00196A87"/>
    <w:rsid w:val="00196B87"/>
    <w:rsid w:val="00196C09"/>
    <w:rsid w:val="00196C0C"/>
    <w:rsid w:val="00196C40"/>
    <w:rsid w:val="00196C4C"/>
    <w:rsid w:val="00196CCC"/>
    <w:rsid w:val="00196D16"/>
    <w:rsid w:val="00196DB9"/>
    <w:rsid w:val="00196EA3"/>
    <w:rsid w:val="00196EF8"/>
    <w:rsid w:val="00196F08"/>
    <w:rsid w:val="00196F71"/>
    <w:rsid w:val="00196FB5"/>
    <w:rsid w:val="00197077"/>
    <w:rsid w:val="00197087"/>
    <w:rsid w:val="00197105"/>
    <w:rsid w:val="00197172"/>
    <w:rsid w:val="00197190"/>
    <w:rsid w:val="001971BA"/>
    <w:rsid w:val="00197207"/>
    <w:rsid w:val="00197235"/>
    <w:rsid w:val="00197294"/>
    <w:rsid w:val="001972A9"/>
    <w:rsid w:val="00197377"/>
    <w:rsid w:val="001973AE"/>
    <w:rsid w:val="001973C6"/>
    <w:rsid w:val="0019740C"/>
    <w:rsid w:val="00197490"/>
    <w:rsid w:val="0019749C"/>
    <w:rsid w:val="001974C5"/>
    <w:rsid w:val="00197529"/>
    <w:rsid w:val="00197606"/>
    <w:rsid w:val="0019761B"/>
    <w:rsid w:val="0019762F"/>
    <w:rsid w:val="00197637"/>
    <w:rsid w:val="00197657"/>
    <w:rsid w:val="00197671"/>
    <w:rsid w:val="0019768E"/>
    <w:rsid w:val="001976B2"/>
    <w:rsid w:val="001976F8"/>
    <w:rsid w:val="00197700"/>
    <w:rsid w:val="00197782"/>
    <w:rsid w:val="001977CA"/>
    <w:rsid w:val="0019782A"/>
    <w:rsid w:val="00197894"/>
    <w:rsid w:val="001978A3"/>
    <w:rsid w:val="001978D3"/>
    <w:rsid w:val="00197907"/>
    <w:rsid w:val="00197932"/>
    <w:rsid w:val="00197971"/>
    <w:rsid w:val="00197998"/>
    <w:rsid w:val="001979AC"/>
    <w:rsid w:val="001979EA"/>
    <w:rsid w:val="00197A2A"/>
    <w:rsid w:val="00197A3E"/>
    <w:rsid w:val="00197B3C"/>
    <w:rsid w:val="00197B76"/>
    <w:rsid w:val="00197CDA"/>
    <w:rsid w:val="00197CE3"/>
    <w:rsid w:val="00197D21"/>
    <w:rsid w:val="00197D5A"/>
    <w:rsid w:val="00197E17"/>
    <w:rsid w:val="00197E81"/>
    <w:rsid w:val="00197F31"/>
    <w:rsid w:val="00197F87"/>
    <w:rsid w:val="00197FD8"/>
    <w:rsid w:val="001A000C"/>
    <w:rsid w:val="001A0035"/>
    <w:rsid w:val="001A0056"/>
    <w:rsid w:val="001A0083"/>
    <w:rsid w:val="001A00B4"/>
    <w:rsid w:val="001A00D2"/>
    <w:rsid w:val="001A010F"/>
    <w:rsid w:val="001A016D"/>
    <w:rsid w:val="001A019D"/>
    <w:rsid w:val="001A0210"/>
    <w:rsid w:val="001A021B"/>
    <w:rsid w:val="001A0257"/>
    <w:rsid w:val="001A026F"/>
    <w:rsid w:val="001A0290"/>
    <w:rsid w:val="001A0297"/>
    <w:rsid w:val="001A0312"/>
    <w:rsid w:val="001A046C"/>
    <w:rsid w:val="001A047F"/>
    <w:rsid w:val="001A04DE"/>
    <w:rsid w:val="001A0564"/>
    <w:rsid w:val="001A05C0"/>
    <w:rsid w:val="001A078F"/>
    <w:rsid w:val="001A0809"/>
    <w:rsid w:val="001A0812"/>
    <w:rsid w:val="001A0836"/>
    <w:rsid w:val="001A084F"/>
    <w:rsid w:val="001A096A"/>
    <w:rsid w:val="001A0A00"/>
    <w:rsid w:val="001A0A25"/>
    <w:rsid w:val="001A0B0A"/>
    <w:rsid w:val="001A0B2C"/>
    <w:rsid w:val="001A0B3D"/>
    <w:rsid w:val="001A0B44"/>
    <w:rsid w:val="001A0B48"/>
    <w:rsid w:val="001A0B51"/>
    <w:rsid w:val="001A0B66"/>
    <w:rsid w:val="001A0BB9"/>
    <w:rsid w:val="001A0C45"/>
    <w:rsid w:val="001A0C50"/>
    <w:rsid w:val="001A0CD1"/>
    <w:rsid w:val="001A0D44"/>
    <w:rsid w:val="001A0D6D"/>
    <w:rsid w:val="001A0DA6"/>
    <w:rsid w:val="001A0E0D"/>
    <w:rsid w:val="001A0E6D"/>
    <w:rsid w:val="001A0FB5"/>
    <w:rsid w:val="001A0FD1"/>
    <w:rsid w:val="001A0FDE"/>
    <w:rsid w:val="001A0FF2"/>
    <w:rsid w:val="001A1033"/>
    <w:rsid w:val="001A1037"/>
    <w:rsid w:val="001A1056"/>
    <w:rsid w:val="001A1061"/>
    <w:rsid w:val="001A1091"/>
    <w:rsid w:val="001A10B8"/>
    <w:rsid w:val="001A10BE"/>
    <w:rsid w:val="001A10E6"/>
    <w:rsid w:val="001A1165"/>
    <w:rsid w:val="001A11DA"/>
    <w:rsid w:val="001A11EB"/>
    <w:rsid w:val="001A1251"/>
    <w:rsid w:val="001A1295"/>
    <w:rsid w:val="001A12D8"/>
    <w:rsid w:val="001A12F7"/>
    <w:rsid w:val="001A1338"/>
    <w:rsid w:val="001A13E6"/>
    <w:rsid w:val="001A13F0"/>
    <w:rsid w:val="001A1476"/>
    <w:rsid w:val="001A1499"/>
    <w:rsid w:val="001A14A1"/>
    <w:rsid w:val="001A14EF"/>
    <w:rsid w:val="001A1551"/>
    <w:rsid w:val="001A1559"/>
    <w:rsid w:val="001A162E"/>
    <w:rsid w:val="001A1682"/>
    <w:rsid w:val="001A1764"/>
    <w:rsid w:val="001A1781"/>
    <w:rsid w:val="001A1875"/>
    <w:rsid w:val="001A188D"/>
    <w:rsid w:val="001A189C"/>
    <w:rsid w:val="001A190B"/>
    <w:rsid w:val="001A193B"/>
    <w:rsid w:val="001A1B50"/>
    <w:rsid w:val="001A1B76"/>
    <w:rsid w:val="001A1BD1"/>
    <w:rsid w:val="001A1C06"/>
    <w:rsid w:val="001A1C07"/>
    <w:rsid w:val="001A1C41"/>
    <w:rsid w:val="001A1C63"/>
    <w:rsid w:val="001A1C8A"/>
    <w:rsid w:val="001A1CC2"/>
    <w:rsid w:val="001A1CEE"/>
    <w:rsid w:val="001A1D1A"/>
    <w:rsid w:val="001A1DE6"/>
    <w:rsid w:val="001A1E41"/>
    <w:rsid w:val="001A1EC8"/>
    <w:rsid w:val="001A1EDF"/>
    <w:rsid w:val="001A1EFD"/>
    <w:rsid w:val="001A1F2E"/>
    <w:rsid w:val="001A1F38"/>
    <w:rsid w:val="001A1F4A"/>
    <w:rsid w:val="001A1F8D"/>
    <w:rsid w:val="001A1FF3"/>
    <w:rsid w:val="001A2011"/>
    <w:rsid w:val="001A2037"/>
    <w:rsid w:val="001A20D6"/>
    <w:rsid w:val="001A213E"/>
    <w:rsid w:val="001A219B"/>
    <w:rsid w:val="001A21DF"/>
    <w:rsid w:val="001A2255"/>
    <w:rsid w:val="001A2274"/>
    <w:rsid w:val="001A22ED"/>
    <w:rsid w:val="001A2305"/>
    <w:rsid w:val="001A246D"/>
    <w:rsid w:val="001A24F0"/>
    <w:rsid w:val="001A25BE"/>
    <w:rsid w:val="001A25F1"/>
    <w:rsid w:val="001A2601"/>
    <w:rsid w:val="001A2615"/>
    <w:rsid w:val="001A267C"/>
    <w:rsid w:val="001A26B1"/>
    <w:rsid w:val="001A26E0"/>
    <w:rsid w:val="001A26F7"/>
    <w:rsid w:val="001A270A"/>
    <w:rsid w:val="001A27F8"/>
    <w:rsid w:val="001A280F"/>
    <w:rsid w:val="001A2933"/>
    <w:rsid w:val="001A2951"/>
    <w:rsid w:val="001A29AF"/>
    <w:rsid w:val="001A2A12"/>
    <w:rsid w:val="001A2A50"/>
    <w:rsid w:val="001A2AAD"/>
    <w:rsid w:val="001A2ABC"/>
    <w:rsid w:val="001A2AC5"/>
    <w:rsid w:val="001A2B16"/>
    <w:rsid w:val="001A2B19"/>
    <w:rsid w:val="001A2B86"/>
    <w:rsid w:val="001A2BD2"/>
    <w:rsid w:val="001A2BD3"/>
    <w:rsid w:val="001A2C2C"/>
    <w:rsid w:val="001A2C3D"/>
    <w:rsid w:val="001A2D82"/>
    <w:rsid w:val="001A2D94"/>
    <w:rsid w:val="001A2E0C"/>
    <w:rsid w:val="001A2E5D"/>
    <w:rsid w:val="001A2E98"/>
    <w:rsid w:val="001A2EAB"/>
    <w:rsid w:val="001A2F08"/>
    <w:rsid w:val="001A2F50"/>
    <w:rsid w:val="001A2FCD"/>
    <w:rsid w:val="001A3001"/>
    <w:rsid w:val="001A308C"/>
    <w:rsid w:val="001A3146"/>
    <w:rsid w:val="001A3166"/>
    <w:rsid w:val="001A3196"/>
    <w:rsid w:val="001A322D"/>
    <w:rsid w:val="001A323C"/>
    <w:rsid w:val="001A326B"/>
    <w:rsid w:val="001A3299"/>
    <w:rsid w:val="001A32DE"/>
    <w:rsid w:val="001A333B"/>
    <w:rsid w:val="001A338F"/>
    <w:rsid w:val="001A33D5"/>
    <w:rsid w:val="001A34A9"/>
    <w:rsid w:val="001A34D4"/>
    <w:rsid w:val="001A34E7"/>
    <w:rsid w:val="001A34FA"/>
    <w:rsid w:val="001A3536"/>
    <w:rsid w:val="001A3563"/>
    <w:rsid w:val="001A35B5"/>
    <w:rsid w:val="001A35F3"/>
    <w:rsid w:val="001A3622"/>
    <w:rsid w:val="001A365B"/>
    <w:rsid w:val="001A3675"/>
    <w:rsid w:val="001A36F9"/>
    <w:rsid w:val="001A377C"/>
    <w:rsid w:val="001A37AF"/>
    <w:rsid w:val="001A37B9"/>
    <w:rsid w:val="001A38AA"/>
    <w:rsid w:val="001A38DB"/>
    <w:rsid w:val="001A38FE"/>
    <w:rsid w:val="001A3909"/>
    <w:rsid w:val="001A3915"/>
    <w:rsid w:val="001A3933"/>
    <w:rsid w:val="001A394E"/>
    <w:rsid w:val="001A395E"/>
    <w:rsid w:val="001A39FC"/>
    <w:rsid w:val="001A3A18"/>
    <w:rsid w:val="001A3A46"/>
    <w:rsid w:val="001A3AA8"/>
    <w:rsid w:val="001A3AF6"/>
    <w:rsid w:val="001A3B1C"/>
    <w:rsid w:val="001A3BD3"/>
    <w:rsid w:val="001A3C5C"/>
    <w:rsid w:val="001A3C5D"/>
    <w:rsid w:val="001A3C70"/>
    <w:rsid w:val="001A3CDB"/>
    <w:rsid w:val="001A3EE4"/>
    <w:rsid w:val="001A3F27"/>
    <w:rsid w:val="001A3FB6"/>
    <w:rsid w:val="001A4003"/>
    <w:rsid w:val="001A4048"/>
    <w:rsid w:val="001A4059"/>
    <w:rsid w:val="001A4084"/>
    <w:rsid w:val="001A408B"/>
    <w:rsid w:val="001A40B1"/>
    <w:rsid w:val="001A40F0"/>
    <w:rsid w:val="001A4107"/>
    <w:rsid w:val="001A4171"/>
    <w:rsid w:val="001A4196"/>
    <w:rsid w:val="001A41CF"/>
    <w:rsid w:val="001A4207"/>
    <w:rsid w:val="001A4215"/>
    <w:rsid w:val="001A425C"/>
    <w:rsid w:val="001A4386"/>
    <w:rsid w:val="001A4390"/>
    <w:rsid w:val="001A43A3"/>
    <w:rsid w:val="001A4442"/>
    <w:rsid w:val="001A4452"/>
    <w:rsid w:val="001A44B4"/>
    <w:rsid w:val="001A44BA"/>
    <w:rsid w:val="001A44C4"/>
    <w:rsid w:val="001A44DE"/>
    <w:rsid w:val="001A450F"/>
    <w:rsid w:val="001A459C"/>
    <w:rsid w:val="001A45B7"/>
    <w:rsid w:val="001A4630"/>
    <w:rsid w:val="001A46A0"/>
    <w:rsid w:val="001A46CB"/>
    <w:rsid w:val="001A4708"/>
    <w:rsid w:val="001A4710"/>
    <w:rsid w:val="001A4748"/>
    <w:rsid w:val="001A475C"/>
    <w:rsid w:val="001A482F"/>
    <w:rsid w:val="001A49AA"/>
    <w:rsid w:val="001A49EC"/>
    <w:rsid w:val="001A49FF"/>
    <w:rsid w:val="001A4B25"/>
    <w:rsid w:val="001A4B41"/>
    <w:rsid w:val="001A4B99"/>
    <w:rsid w:val="001A4BA2"/>
    <w:rsid w:val="001A4BBD"/>
    <w:rsid w:val="001A4BDA"/>
    <w:rsid w:val="001A4C1B"/>
    <w:rsid w:val="001A4C51"/>
    <w:rsid w:val="001A4CAC"/>
    <w:rsid w:val="001A4CCE"/>
    <w:rsid w:val="001A4CE1"/>
    <w:rsid w:val="001A4D70"/>
    <w:rsid w:val="001A4DFD"/>
    <w:rsid w:val="001A4E60"/>
    <w:rsid w:val="001A4E6C"/>
    <w:rsid w:val="001A4EBF"/>
    <w:rsid w:val="001A4EE1"/>
    <w:rsid w:val="001A4F22"/>
    <w:rsid w:val="001A4F73"/>
    <w:rsid w:val="001A4F8C"/>
    <w:rsid w:val="001A4FF5"/>
    <w:rsid w:val="001A5004"/>
    <w:rsid w:val="001A501A"/>
    <w:rsid w:val="001A503F"/>
    <w:rsid w:val="001A508A"/>
    <w:rsid w:val="001A50C6"/>
    <w:rsid w:val="001A50E5"/>
    <w:rsid w:val="001A5101"/>
    <w:rsid w:val="001A5165"/>
    <w:rsid w:val="001A51F3"/>
    <w:rsid w:val="001A5207"/>
    <w:rsid w:val="001A5243"/>
    <w:rsid w:val="001A5288"/>
    <w:rsid w:val="001A52A0"/>
    <w:rsid w:val="001A52CF"/>
    <w:rsid w:val="001A52E4"/>
    <w:rsid w:val="001A5321"/>
    <w:rsid w:val="001A5323"/>
    <w:rsid w:val="001A5341"/>
    <w:rsid w:val="001A5352"/>
    <w:rsid w:val="001A539B"/>
    <w:rsid w:val="001A53A0"/>
    <w:rsid w:val="001A5468"/>
    <w:rsid w:val="001A54FD"/>
    <w:rsid w:val="001A5533"/>
    <w:rsid w:val="001A5544"/>
    <w:rsid w:val="001A5586"/>
    <w:rsid w:val="001A55CD"/>
    <w:rsid w:val="001A55DB"/>
    <w:rsid w:val="001A5755"/>
    <w:rsid w:val="001A577B"/>
    <w:rsid w:val="001A5791"/>
    <w:rsid w:val="001A57B0"/>
    <w:rsid w:val="001A57F2"/>
    <w:rsid w:val="001A5824"/>
    <w:rsid w:val="001A5848"/>
    <w:rsid w:val="001A5849"/>
    <w:rsid w:val="001A58B4"/>
    <w:rsid w:val="001A58BE"/>
    <w:rsid w:val="001A590A"/>
    <w:rsid w:val="001A5917"/>
    <w:rsid w:val="001A59C8"/>
    <w:rsid w:val="001A59DF"/>
    <w:rsid w:val="001A5A0F"/>
    <w:rsid w:val="001A5A49"/>
    <w:rsid w:val="001A5A6B"/>
    <w:rsid w:val="001A5AE3"/>
    <w:rsid w:val="001A5B06"/>
    <w:rsid w:val="001A5B1B"/>
    <w:rsid w:val="001A5B34"/>
    <w:rsid w:val="001A5C28"/>
    <w:rsid w:val="001A5C49"/>
    <w:rsid w:val="001A5D17"/>
    <w:rsid w:val="001A5D80"/>
    <w:rsid w:val="001A5DC3"/>
    <w:rsid w:val="001A5DD1"/>
    <w:rsid w:val="001A5DEE"/>
    <w:rsid w:val="001A5E26"/>
    <w:rsid w:val="001A5EC2"/>
    <w:rsid w:val="001A5ED1"/>
    <w:rsid w:val="001A5F17"/>
    <w:rsid w:val="001A5FFE"/>
    <w:rsid w:val="001A6034"/>
    <w:rsid w:val="001A6041"/>
    <w:rsid w:val="001A60BA"/>
    <w:rsid w:val="001A6271"/>
    <w:rsid w:val="001A6294"/>
    <w:rsid w:val="001A630A"/>
    <w:rsid w:val="001A63CF"/>
    <w:rsid w:val="001A63E2"/>
    <w:rsid w:val="001A6405"/>
    <w:rsid w:val="001A641D"/>
    <w:rsid w:val="001A6599"/>
    <w:rsid w:val="001A659E"/>
    <w:rsid w:val="001A666A"/>
    <w:rsid w:val="001A672B"/>
    <w:rsid w:val="001A67CE"/>
    <w:rsid w:val="001A67F2"/>
    <w:rsid w:val="001A6826"/>
    <w:rsid w:val="001A6834"/>
    <w:rsid w:val="001A684F"/>
    <w:rsid w:val="001A6859"/>
    <w:rsid w:val="001A6891"/>
    <w:rsid w:val="001A690E"/>
    <w:rsid w:val="001A696A"/>
    <w:rsid w:val="001A698C"/>
    <w:rsid w:val="001A6993"/>
    <w:rsid w:val="001A6A3A"/>
    <w:rsid w:val="001A6AA9"/>
    <w:rsid w:val="001A6ADA"/>
    <w:rsid w:val="001A6B01"/>
    <w:rsid w:val="001A6B6C"/>
    <w:rsid w:val="001A6B8A"/>
    <w:rsid w:val="001A6C60"/>
    <w:rsid w:val="001A6C78"/>
    <w:rsid w:val="001A6C88"/>
    <w:rsid w:val="001A6CA3"/>
    <w:rsid w:val="001A6CE1"/>
    <w:rsid w:val="001A6DAD"/>
    <w:rsid w:val="001A6E76"/>
    <w:rsid w:val="001A6E97"/>
    <w:rsid w:val="001A6EF8"/>
    <w:rsid w:val="001A6F1D"/>
    <w:rsid w:val="001A6F29"/>
    <w:rsid w:val="001A7001"/>
    <w:rsid w:val="001A704E"/>
    <w:rsid w:val="001A70C6"/>
    <w:rsid w:val="001A7162"/>
    <w:rsid w:val="001A71AD"/>
    <w:rsid w:val="001A71DF"/>
    <w:rsid w:val="001A71F0"/>
    <w:rsid w:val="001A722E"/>
    <w:rsid w:val="001A7244"/>
    <w:rsid w:val="001A72E5"/>
    <w:rsid w:val="001A72F1"/>
    <w:rsid w:val="001A73F6"/>
    <w:rsid w:val="001A7426"/>
    <w:rsid w:val="001A742D"/>
    <w:rsid w:val="001A743B"/>
    <w:rsid w:val="001A7447"/>
    <w:rsid w:val="001A7589"/>
    <w:rsid w:val="001A7618"/>
    <w:rsid w:val="001A7636"/>
    <w:rsid w:val="001A76D8"/>
    <w:rsid w:val="001A76E9"/>
    <w:rsid w:val="001A76F0"/>
    <w:rsid w:val="001A76F9"/>
    <w:rsid w:val="001A7853"/>
    <w:rsid w:val="001A787B"/>
    <w:rsid w:val="001A7927"/>
    <w:rsid w:val="001A7930"/>
    <w:rsid w:val="001A7973"/>
    <w:rsid w:val="001A79AA"/>
    <w:rsid w:val="001A79B1"/>
    <w:rsid w:val="001A79D4"/>
    <w:rsid w:val="001A79E9"/>
    <w:rsid w:val="001A79F6"/>
    <w:rsid w:val="001A7A7C"/>
    <w:rsid w:val="001A7A7E"/>
    <w:rsid w:val="001A7A93"/>
    <w:rsid w:val="001A7A96"/>
    <w:rsid w:val="001A7ADF"/>
    <w:rsid w:val="001A7B0F"/>
    <w:rsid w:val="001A7B16"/>
    <w:rsid w:val="001A7B1A"/>
    <w:rsid w:val="001A7B31"/>
    <w:rsid w:val="001A7B6F"/>
    <w:rsid w:val="001A7CFD"/>
    <w:rsid w:val="001A7D66"/>
    <w:rsid w:val="001A7D7E"/>
    <w:rsid w:val="001A7DD1"/>
    <w:rsid w:val="001A7E91"/>
    <w:rsid w:val="001A7EAC"/>
    <w:rsid w:val="001A7F44"/>
    <w:rsid w:val="001A7FCE"/>
    <w:rsid w:val="001A7FE6"/>
    <w:rsid w:val="001B004C"/>
    <w:rsid w:val="001B0072"/>
    <w:rsid w:val="001B0108"/>
    <w:rsid w:val="001B012F"/>
    <w:rsid w:val="001B0154"/>
    <w:rsid w:val="001B01B6"/>
    <w:rsid w:val="001B02EC"/>
    <w:rsid w:val="001B0316"/>
    <w:rsid w:val="001B0319"/>
    <w:rsid w:val="001B03AD"/>
    <w:rsid w:val="001B03B0"/>
    <w:rsid w:val="001B03B1"/>
    <w:rsid w:val="001B03B6"/>
    <w:rsid w:val="001B03E9"/>
    <w:rsid w:val="001B041F"/>
    <w:rsid w:val="001B042B"/>
    <w:rsid w:val="001B0450"/>
    <w:rsid w:val="001B0462"/>
    <w:rsid w:val="001B048F"/>
    <w:rsid w:val="001B0491"/>
    <w:rsid w:val="001B04AB"/>
    <w:rsid w:val="001B0523"/>
    <w:rsid w:val="001B0591"/>
    <w:rsid w:val="001B05BF"/>
    <w:rsid w:val="001B05D7"/>
    <w:rsid w:val="001B065E"/>
    <w:rsid w:val="001B06A5"/>
    <w:rsid w:val="001B0788"/>
    <w:rsid w:val="001B0796"/>
    <w:rsid w:val="001B08A0"/>
    <w:rsid w:val="001B08D6"/>
    <w:rsid w:val="001B093F"/>
    <w:rsid w:val="001B09DB"/>
    <w:rsid w:val="001B0A38"/>
    <w:rsid w:val="001B0AE7"/>
    <w:rsid w:val="001B0B10"/>
    <w:rsid w:val="001B0B65"/>
    <w:rsid w:val="001B0B6E"/>
    <w:rsid w:val="001B0BDC"/>
    <w:rsid w:val="001B0CAC"/>
    <w:rsid w:val="001B0CED"/>
    <w:rsid w:val="001B0DC7"/>
    <w:rsid w:val="001B0E36"/>
    <w:rsid w:val="001B0E7D"/>
    <w:rsid w:val="001B0E88"/>
    <w:rsid w:val="001B0ED2"/>
    <w:rsid w:val="001B0EF7"/>
    <w:rsid w:val="001B0F02"/>
    <w:rsid w:val="001B0F5D"/>
    <w:rsid w:val="001B107A"/>
    <w:rsid w:val="001B1103"/>
    <w:rsid w:val="001B112C"/>
    <w:rsid w:val="001B1179"/>
    <w:rsid w:val="001B11C3"/>
    <w:rsid w:val="001B132E"/>
    <w:rsid w:val="001B13AC"/>
    <w:rsid w:val="001B13E0"/>
    <w:rsid w:val="001B143B"/>
    <w:rsid w:val="001B148D"/>
    <w:rsid w:val="001B1543"/>
    <w:rsid w:val="001B1551"/>
    <w:rsid w:val="001B1587"/>
    <w:rsid w:val="001B165C"/>
    <w:rsid w:val="001B1663"/>
    <w:rsid w:val="001B1676"/>
    <w:rsid w:val="001B1692"/>
    <w:rsid w:val="001B1876"/>
    <w:rsid w:val="001B187B"/>
    <w:rsid w:val="001B1926"/>
    <w:rsid w:val="001B1936"/>
    <w:rsid w:val="001B1993"/>
    <w:rsid w:val="001B19BB"/>
    <w:rsid w:val="001B1A12"/>
    <w:rsid w:val="001B1A38"/>
    <w:rsid w:val="001B1A4B"/>
    <w:rsid w:val="001B1A62"/>
    <w:rsid w:val="001B1A71"/>
    <w:rsid w:val="001B1AA1"/>
    <w:rsid w:val="001B1AC2"/>
    <w:rsid w:val="001B1B81"/>
    <w:rsid w:val="001B1BD4"/>
    <w:rsid w:val="001B1C00"/>
    <w:rsid w:val="001B1C58"/>
    <w:rsid w:val="001B1D40"/>
    <w:rsid w:val="001B1D66"/>
    <w:rsid w:val="001B1D72"/>
    <w:rsid w:val="001B1E4E"/>
    <w:rsid w:val="001B1EFA"/>
    <w:rsid w:val="001B1F9C"/>
    <w:rsid w:val="001B1FD7"/>
    <w:rsid w:val="001B1FD9"/>
    <w:rsid w:val="001B2017"/>
    <w:rsid w:val="001B20E6"/>
    <w:rsid w:val="001B2103"/>
    <w:rsid w:val="001B212F"/>
    <w:rsid w:val="001B215D"/>
    <w:rsid w:val="001B2241"/>
    <w:rsid w:val="001B2249"/>
    <w:rsid w:val="001B2273"/>
    <w:rsid w:val="001B2318"/>
    <w:rsid w:val="001B232C"/>
    <w:rsid w:val="001B233A"/>
    <w:rsid w:val="001B2406"/>
    <w:rsid w:val="001B2433"/>
    <w:rsid w:val="001B2462"/>
    <w:rsid w:val="001B2488"/>
    <w:rsid w:val="001B2499"/>
    <w:rsid w:val="001B24D2"/>
    <w:rsid w:val="001B24D9"/>
    <w:rsid w:val="001B25AC"/>
    <w:rsid w:val="001B25B8"/>
    <w:rsid w:val="001B25D2"/>
    <w:rsid w:val="001B261F"/>
    <w:rsid w:val="001B2658"/>
    <w:rsid w:val="001B2784"/>
    <w:rsid w:val="001B27BC"/>
    <w:rsid w:val="001B27FE"/>
    <w:rsid w:val="001B280D"/>
    <w:rsid w:val="001B288C"/>
    <w:rsid w:val="001B28BA"/>
    <w:rsid w:val="001B294A"/>
    <w:rsid w:val="001B2950"/>
    <w:rsid w:val="001B295F"/>
    <w:rsid w:val="001B2964"/>
    <w:rsid w:val="001B29AC"/>
    <w:rsid w:val="001B29EC"/>
    <w:rsid w:val="001B2A1B"/>
    <w:rsid w:val="001B2A22"/>
    <w:rsid w:val="001B2A60"/>
    <w:rsid w:val="001B2AEB"/>
    <w:rsid w:val="001B2B3B"/>
    <w:rsid w:val="001B2B7C"/>
    <w:rsid w:val="001B2BB1"/>
    <w:rsid w:val="001B2BE2"/>
    <w:rsid w:val="001B2D85"/>
    <w:rsid w:val="001B2E28"/>
    <w:rsid w:val="001B2E9B"/>
    <w:rsid w:val="001B2E9E"/>
    <w:rsid w:val="001B2F20"/>
    <w:rsid w:val="001B2F4A"/>
    <w:rsid w:val="001B2F95"/>
    <w:rsid w:val="001B2FDA"/>
    <w:rsid w:val="001B2FDE"/>
    <w:rsid w:val="001B306F"/>
    <w:rsid w:val="001B3111"/>
    <w:rsid w:val="001B318F"/>
    <w:rsid w:val="001B322A"/>
    <w:rsid w:val="001B32DB"/>
    <w:rsid w:val="001B32DC"/>
    <w:rsid w:val="001B3307"/>
    <w:rsid w:val="001B333B"/>
    <w:rsid w:val="001B3370"/>
    <w:rsid w:val="001B337E"/>
    <w:rsid w:val="001B33A1"/>
    <w:rsid w:val="001B33AA"/>
    <w:rsid w:val="001B33BF"/>
    <w:rsid w:val="001B34A2"/>
    <w:rsid w:val="001B3517"/>
    <w:rsid w:val="001B353D"/>
    <w:rsid w:val="001B35F9"/>
    <w:rsid w:val="001B363F"/>
    <w:rsid w:val="001B3669"/>
    <w:rsid w:val="001B3693"/>
    <w:rsid w:val="001B36D7"/>
    <w:rsid w:val="001B3746"/>
    <w:rsid w:val="001B375D"/>
    <w:rsid w:val="001B376D"/>
    <w:rsid w:val="001B3788"/>
    <w:rsid w:val="001B381A"/>
    <w:rsid w:val="001B3889"/>
    <w:rsid w:val="001B38B3"/>
    <w:rsid w:val="001B38CA"/>
    <w:rsid w:val="001B3909"/>
    <w:rsid w:val="001B395A"/>
    <w:rsid w:val="001B3978"/>
    <w:rsid w:val="001B39C1"/>
    <w:rsid w:val="001B3AB9"/>
    <w:rsid w:val="001B3B3F"/>
    <w:rsid w:val="001B3B53"/>
    <w:rsid w:val="001B3B62"/>
    <w:rsid w:val="001B3B70"/>
    <w:rsid w:val="001B3BAB"/>
    <w:rsid w:val="001B3BF7"/>
    <w:rsid w:val="001B3C7C"/>
    <w:rsid w:val="001B3C86"/>
    <w:rsid w:val="001B3CBA"/>
    <w:rsid w:val="001B3D9D"/>
    <w:rsid w:val="001B3DE5"/>
    <w:rsid w:val="001B3E34"/>
    <w:rsid w:val="001B3E4C"/>
    <w:rsid w:val="001B3E70"/>
    <w:rsid w:val="001B3F93"/>
    <w:rsid w:val="001B4089"/>
    <w:rsid w:val="001B409F"/>
    <w:rsid w:val="001B4140"/>
    <w:rsid w:val="001B41DC"/>
    <w:rsid w:val="001B41F0"/>
    <w:rsid w:val="001B4248"/>
    <w:rsid w:val="001B42EF"/>
    <w:rsid w:val="001B431F"/>
    <w:rsid w:val="001B436F"/>
    <w:rsid w:val="001B43CB"/>
    <w:rsid w:val="001B43CD"/>
    <w:rsid w:val="001B43CE"/>
    <w:rsid w:val="001B44C6"/>
    <w:rsid w:val="001B457C"/>
    <w:rsid w:val="001B457E"/>
    <w:rsid w:val="001B457F"/>
    <w:rsid w:val="001B45FF"/>
    <w:rsid w:val="001B4603"/>
    <w:rsid w:val="001B4649"/>
    <w:rsid w:val="001B4690"/>
    <w:rsid w:val="001B474A"/>
    <w:rsid w:val="001B478A"/>
    <w:rsid w:val="001B47B2"/>
    <w:rsid w:val="001B4839"/>
    <w:rsid w:val="001B4840"/>
    <w:rsid w:val="001B4852"/>
    <w:rsid w:val="001B485F"/>
    <w:rsid w:val="001B4874"/>
    <w:rsid w:val="001B48C0"/>
    <w:rsid w:val="001B48CD"/>
    <w:rsid w:val="001B48D4"/>
    <w:rsid w:val="001B4924"/>
    <w:rsid w:val="001B4953"/>
    <w:rsid w:val="001B4961"/>
    <w:rsid w:val="001B4971"/>
    <w:rsid w:val="001B4A4E"/>
    <w:rsid w:val="001B4A5E"/>
    <w:rsid w:val="001B4A70"/>
    <w:rsid w:val="001B4AF2"/>
    <w:rsid w:val="001B4B1A"/>
    <w:rsid w:val="001B4B87"/>
    <w:rsid w:val="001B4C4D"/>
    <w:rsid w:val="001B4CB9"/>
    <w:rsid w:val="001B4D09"/>
    <w:rsid w:val="001B4D96"/>
    <w:rsid w:val="001B4DA2"/>
    <w:rsid w:val="001B4DA9"/>
    <w:rsid w:val="001B4E8D"/>
    <w:rsid w:val="001B4F16"/>
    <w:rsid w:val="001B4F55"/>
    <w:rsid w:val="001B4FD0"/>
    <w:rsid w:val="001B5075"/>
    <w:rsid w:val="001B50D4"/>
    <w:rsid w:val="001B50EC"/>
    <w:rsid w:val="001B5128"/>
    <w:rsid w:val="001B5140"/>
    <w:rsid w:val="001B5170"/>
    <w:rsid w:val="001B5181"/>
    <w:rsid w:val="001B51A4"/>
    <w:rsid w:val="001B5211"/>
    <w:rsid w:val="001B521B"/>
    <w:rsid w:val="001B5236"/>
    <w:rsid w:val="001B5268"/>
    <w:rsid w:val="001B52C2"/>
    <w:rsid w:val="001B532F"/>
    <w:rsid w:val="001B5364"/>
    <w:rsid w:val="001B5399"/>
    <w:rsid w:val="001B53F5"/>
    <w:rsid w:val="001B543D"/>
    <w:rsid w:val="001B5476"/>
    <w:rsid w:val="001B5488"/>
    <w:rsid w:val="001B5489"/>
    <w:rsid w:val="001B54EE"/>
    <w:rsid w:val="001B556D"/>
    <w:rsid w:val="001B56C9"/>
    <w:rsid w:val="001B5719"/>
    <w:rsid w:val="001B5736"/>
    <w:rsid w:val="001B5770"/>
    <w:rsid w:val="001B577B"/>
    <w:rsid w:val="001B577D"/>
    <w:rsid w:val="001B57A8"/>
    <w:rsid w:val="001B57B9"/>
    <w:rsid w:val="001B57EA"/>
    <w:rsid w:val="001B5873"/>
    <w:rsid w:val="001B58A9"/>
    <w:rsid w:val="001B598A"/>
    <w:rsid w:val="001B5A31"/>
    <w:rsid w:val="001B5A5B"/>
    <w:rsid w:val="001B5A87"/>
    <w:rsid w:val="001B5B03"/>
    <w:rsid w:val="001B5B20"/>
    <w:rsid w:val="001B5B57"/>
    <w:rsid w:val="001B5BE7"/>
    <w:rsid w:val="001B5C0B"/>
    <w:rsid w:val="001B5C2E"/>
    <w:rsid w:val="001B5C71"/>
    <w:rsid w:val="001B5CB0"/>
    <w:rsid w:val="001B5CBA"/>
    <w:rsid w:val="001B5D1B"/>
    <w:rsid w:val="001B5D89"/>
    <w:rsid w:val="001B5E2B"/>
    <w:rsid w:val="001B5E6D"/>
    <w:rsid w:val="001B5E76"/>
    <w:rsid w:val="001B5FA1"/>
    <w:rsid w:val="001B600B"/>
    <w:rsid w:val="001B602A"/>
    <w:rsid w:val="001B6056"/>
    <w:rsid w:val="001B60F5"/>
    <w:rsid w:val="001B6262"/>
    <w:rsid w:val="001B630B"/>
    <w:rsid w:val="001B6345"/>
    <w:rsid w:val="001B635A"/>
    <w:rsid w:val="001B635F"/>
    <w:rsid w:val="001B6376"/>
    <w:rsid w:val="001B6396"/>
    <w:rsid w:val="001B63BE"/>
    <w:rsid w:val="001B63E0"/>
    <w:rsid w:val="001B6426"/>
    <w:rsid w:val="001B6441"/>
    <w:rsid w:val="001B6446"/>
    <w:rsid w:val="001B6483"/>
    <w:rsid w:val="001B64C3"/>
    <w:rsid w:val="001B64CF"/>
    <w:rsid w:val="001B64D0"/>
    <w:rsid w:val="001B655F"/>
    <w:rsid w:val="001B6584"/>
    <w:rsid w:val="001B659B"/>
    <w:rsid w:val="001B65FC"/>
    <w:rsid w:val="001B6605"/>
    <w:rsid w:val="001B6615"/>
    <w:rsid w:val="001B6629"/>
    <w:rsid w:val="001B6664"/>
    <w:rsid w:val="001B66A9"/>
    <w:rsid w:val="001B672F"/>
    <w:rsid w:val="001B6773"/>
    <w:rsid w:val="001B68DB"/>
    <w:rsid w:val="001B68F1"/>
    <w:rsid w:val="001B6915"/>
    <w:rsid w:val="001B692D"/>
    <w:rsid w:val="001B6969"/>
    <w:rsid w:val="001B6996"/>
    <w:rsid w:val="001B69E6"/>
    <w:rsid w:val="001B6A1C"/>
    <w:rsid w:val="001B6A42"/>
    <w:rsid w:val="001B6ACD"/>
    <w:rsid w:val="001B6AD7"/>
    <w:rsid w:val="001B6B24"/>
    <w:rsid w:val="001B6B40"/>
    <w:rsid w:val="001B6B5F"/>
    <w:rsid w:val="001B6B9A"/>
    <w:rsid w:val="001B6BC8"/>
    <w:rsid w:val="001B6C18"/>
    <w:rsid w:val="001B6C2C"/>
    <w:rsid w:val="001B6C2F"/>
    <w:rsid w:val="001B6C64"/>
    <w:rsid w:val="001B6CDB"/>
    <w:rsid w:val="001B6D1F"/>
    <w:rsid w:val="001B6D70"/>
    <w:rsid w:val="001B6DDE"/>
    <w:rsid w:val="001B6DF5"/>
    <w:rsid w:val="001B6DFD"/>
    <w:rsid w:val="001B6E0A"/>
    <w:rsid w:val="001B6E96"/>
    <w:rsid w:val="001B6EA7"/>
    <w:rsid w:val="001B6ED1"/>
    <w:rsid w:val="001B6EDE"/>
    <w:rsid w:val="001B6EFE"/>
    <w:rsid w:val="001B6F44"/>
    <w:rsid w:val="001B6FCF"/>
    <w:rsid w:val="001B7002"/>
    <w:rsid w:val="001B7073"/>
    <w:rsid w:val="001B7077"/>
    <w:rsid w:val="001B70C4"/>
    <w:rsid w:val="001B70D0"/>
    <w:rsid w:val="001B711A"/>
    <w:rsid w:val="001B724E"/>
    <w:rsid w:val="001B72B3"/>
    <w:rsid w:val="001B72DE"/>
    <w:rsid w:val="001B733E"/>
    <w:rsid w:val="001B7365"/>
    <w:rsid w:val="001B738B"/>
    <w:rsid w:val="001B73B8"/>
    <w:rsid w:val="001B7467"/>
    <w:rsid w:val="001B74A0"/>
    <w:rsid w:val="001B74BF"/>
    <w:rsid w:val="001B74E6"/>
    <w:rsid w:val="001B74F7"/>
    <w:rsid w:val="001B74FE"/>
    <w:rsid w:val="001B75AE"/>
    <w:rsid w:val="001B767C"/>
    <w:rsid w:val="001B768C"/>
    <w:rsid w:val="001B76F4"/>
    <w:rsid w:val="001B7701"/>
    <w:rsid w:val="001B77B4"/>
    <w:rsid w:val="001B77C8"/>
    <w:rsid w:val="001B77CF"/>
    <w:rsid w:val="001B77E6"/>
    <w:rsid w:val="001B78C8"/>
    <w:rsid w:val="001B791C"/>
    <w:rsid w:val="001B795F"/>
    <w:rsid w:val="001B797F"/>
    <w:rsid w:val="001B7986"/>
    <w:rsid w:val="001B7995"/>
    <w:rsid w:val="001B79C2"/>
    <w:rsid w:val="001B79E1"/>
    <w:rsid w:val="001B7A08"/>
    <w:rsid w:val="001B7A18"/>
    <w:rsid w:val="001B7A2A"/>
    <w:rsid w:val="001B7A39"/>
    <w:rsid w:val="001B7A42"/>
    <w:rsid w:val="001B7A5C"/>
    <w:rsid w:val="001B7A76"/>
    <w:rsid w:val="001B7A78"/>
    <w:rsid w:val="001B7AA3"/>
    <w:rsid w:val="001B7AAC"/>
    <w:rsid w:val="001B7B1A"/>
    <w:rsid w:val="001B7B2E"/>
    <w:rsid w:val="001B7BC7"/>
    <w:rsid w:val="001B7C59"/>
    <w:rsid w:val="001B7C91"/>
    <w:rsid w:val="001B7D0F"/>
    <w:rsid w:val="001B7D11"/>
    <w:rsid w:val="001B7D23"/>
    <w:rsid w:val="001B7D33"/>
    <w:rsid w:val="001B7D4D"/>
    <w:rsid w:val="001B7E54"/>
    <w:rsid w:val="001B7E60"/>
    <w:rsid w:val="001B7E88"/>
    <w:rsid w:val="001B7EA6"/>
    <w:rsid w:val="001B7F10"/>
    <w:rsid w:val="001B7F24"/>
    <w:rsid w:val="001B7F5B"/>
    <w:rsid w:val="001B7FE1"/>
    <w:rsid w:val="001BB1D7"/>
    <w:rsid w:val="001BB769"/>
    <w:rsid w:val="001C000F"/>
    <w:rsid w:val="001C0057"/>
    <w:rsid w:val="001C0060"/>
    <w:rsid w:val="001C0095"/>
    <w:rsid w:val="001C009A"/>
    <w:rsid w:val="001C0129"/>
    <w:rsid w:val="001C01A2"/>
    <w:rsid w:val="001C0204"/>
    <w:rsid w:val="001C030F"/>
    <w:rsid w:val="001C0324"/>
    <w:rsid w:val="001C03F4"/>
    <w:rsid w:val="001C04D7"/>
    <w:rsid w:val="001C051D"/>
    <w:rsid w:val="001C0561"/>
    <w:rsid w:val="001C0644"/>
    <w:rsid w:val="001C06E4"/>
    <w:rsid w:val="001C078B"/>
    <w:rsid w:val="001C07AC"/>
    <w:rsid w:val="001C07EE"/>
    <w:rsid w:val="001C082B"/>
    <w:rsid w:val="001C084C"/>
    <w:rsid w:val="001C0873"/>
    <w:rsid w:val="001C08B9"/>
    <w:rsid w:val="001C09BD"/>
    <w:rsid w:val="001C0A63"/>
    <w:rsid w:val="001C0A9D"/>
    <w:rsid w:val="001C0B49"/>
    <w:rsid w:val="001C0BAB"/>
    <w:rsid w:val="001C0BB7"/>
    <w:rsid w:val="001C0BF9"/>
    <w:rsid w:val="001C0C28"/>
    <w:rsid w:val="001C0C3A"/>
    <w:rsid w:val="001C0C6B"/>
    <w:rsid w:val="001C0C8F"/>
    <w:rsid w:val="001C0C98"/>
    <w:rsid w:val="001C0CB6"/>
    <w:rsid w:val="001C0D90"/>
    <w:rsid w:val="001C0DA0"/>
    <w:rsid w:val="001C0DA4"/>
    <w:rsid w:val="001C0DC2"/>
    <w:rsid w:val="001C0DDF"/>
    <w:rsid w:val="001C0E2A"/>
    <w:rsid w:val="001C0E75"/>
    <w:rsid w:val="001C0E78"/>
    <w:rsid w:val="001C0EC0"/>
    <w:rsid w:val="001C0F35"/>
    <w:rsid w:val="001C0F3D"/>
    <w:rsid w:val="001C0F42"/>
    <w:rsid w:val="001C0F8E"/>
    <w:rsid w:val="001C0FCE"/>
    <w:rsid w:val="001C0FFF"/>
    <w:rsid w:val="001C108C"/>
    <w:rsid w:val="001C11A0"/>
    <w:rsid w:val="001C11A5"/>
    <w:rsid w:val="001C11C1"/>
    <w:rsid w:val="001C11FC"/>
    <w:rsid w:val="001C12B2"/>
    <w:rsid w:val="001C12E5"/>
    <w:rsid w:val="001C13E4"/>
    <w:rsid w:val="001C14E7"/>
    <w:rsid w:val="001C14EB"/>
    <w:rsid w:val="001C152C"/>
    <w:rsid w:val="001C153C"/>
    <w:rsid w:val="001C1573"/>
    <w:rsid w:val="001C15EC"/>
    <w:rsid w:val="001C1685"/>
    <w:rsid w:val="001C16D5"/>
    <w:rsid w:val="001C16FF"/>
    <w:rsid w:val="001C1700"/>
    <w:rsid w:val="001C1856"/>
    <w:rsid w:val="001C1862"/>
    <w:rsid w:val="001C186E"/>
    <w:rsid w:val="001C191F"/>
    <w:rsid w:val="001C192C"/>
    <w:rsid w:val="001C1955"/>
    <w:rsid w:val="001C195F"/>
    <w:rsid w:val="001C1A28"/>
    <w:rsid w:val="001C1ACD"/>
    <w:rsid w:val="001C1B2E"/>
    <w:rsid w:val="001C1B54"/>
    <w:rsid w:val="001C1B5B"/>
    <w:rsid w:val="001C1B69"/>
    <w:rsid w:val="001C1B72"/>
    <w:rsid w:val="001C1B9C"/>
    <w:rsid w:val="001C1BA9"/>
    <w:rsid w:val="001C1BCE"/>
    <w:rsid w:val="001C1BF9"/>
    <w:rsid w:val="001C1C24"/>
    <w:rsid w:val="001C1CF1"/>
    <w:rsid w:val="001C1DE9"/>
    <w:rsid w:val="001C1E85"/>
    <w:rsid w:val="001C1F04"/>
    <w:rsid w:val="001C1FCE"/>
    <w:rsid w:val="001C1FD8"/>
    <w:rsid w:val="001C20EB"/>
    <w:rsid w:val="001C2179"/>
    <w:rsid w:val="001C21C5"/>
    <w:rsid w:val="001C21D6"/>
    <w:rsid w:val="001C21EB"/>
    <w:rsid w:val="001C2254"/>
    <w:rsid w:val="001C2258"/>
    <w:rsid w:val="001C22DB"/>
    <w:rsid w:val="001C2433"/>
    <w:rsid w:val="001C24FE"/>
    <w:rsid w:val="001C2506"/>
    <w:rsid w:val="001C25AE"/>
    <w:rsid w:val="001C25C9"/>
    <w:rsid w:val="001C25E8"/>
    <w:rsid w:val="001C25FE"/>
    <w:rsid w:val="001C2603"/>
    <w:rsid w:val="001C265D"/>
    <w:rsid w:val="001C2662"/>
    <w:rsid w:val="001C2738"/>
    <w:rsid w:val="001C27B2"/>
    <w:rsid w:val="001C27CE"/>
    <w:rsid w:val="001C2856"/>
    <w:rsid w:val="001C2887"/>
    <w:rsid w:val="001C28A0"/>
    <w:rsid w:val="001C28E6"/>
    <w:rsid w:val="001C2AB8"/>
    <w:rsid w:val="001C2AEF"/>
    <w:rsid w:val="001C2B8D"/>
    <w:rsid w:val="001C2BBE"/>
    <w:rsid w:val="001C2C22"/>
    <w:rsid w:val="001C2C92"/>
    <w:rsid w:val="001C2CD1"/>
    <w:rsid w:val="001C2CD9"/>
    <w:rsid w:val="001C2D5E"/>
    <w:rsid w:val="001C2E35"/>
    <w:rsid w:val="001C2EAB"/>
    <w:rsid w:val="001C2F4E"/>
    <w:rsid w:val="001C2F74"/>
    <w:rsid w:val="001C2FA6"/>
    <w:rsid w:val="001C2FE1"/>
    <w:rsid w:val="001C3013"/>
    <w:rsid w:val="001C3079"/>
    <w:rsid w:val="001C30B4"/>
    <w:rsid w:val="001C30E0"/>
    <w:rsid w:val="001C311C"/>
    <w:rsid w:val="001C31D9"/>
    <w:rsid w:val="001C32CC"/>
    <w:rsid w:val="001C32E3"/>
    <w:rsid w:val="001C3335"/>
    <w:rsid w:val="001C33A2"/>
    <w:rsid w:val="001C33DA"/>
    <w:rsid w:val="001C340F"/>
    <w:rsid w:val="001C3451"/>
    <w:rsid w:val="001C34B4"/>
    <w:rsid w:val="001C351F"/>
    <w:rsid w:val="001C352D"/>
    <w:rsid w:val="001C3558"/>
    <w:rsid w:val="001C3572"/>
    <w:rsid w:val="001C3598"/>
    <w:rsid w:val="001C3633"/>
    <w:rsid w:val="001C367C"/>
    <w:rsid w:val="001C36A4"/>
    <w:rsid w:val="001C36F2"/>
    <w:rsid w:val="001C36FF"/>
    <w:rsid w:val="001C375D"/>
    <w:rsid w:val="001C3793"/>
    <w:rsid w:val="001C3889"/>
    <w:rsid w:val="001C3987"/>
    <w:rsid w:val="001C39EB"/>
    <w:rsid w:val="001C3A0D"/>
    <w:rsid w:val="001C3A11"/>
    <w:rsid w:val="001C3A16"/>
    <w:rsid w:val="001C3A59"/>
    <w:rsid w:val="001C3AB1"/>
    <w:rsid w:val="001C3ADC"/>
    <w:rsid w:val="001C3AE9"/>
    <w:rsid w:val="001C3C7C"/>
    <w:rsid w:val="001C3CE9"/>
    <w:rsid w:val="001C3D76"/>
    <w:rsid w:val="001C3D8C"/>
    <w:rsid w:val="001C3DEC"/>
    <w:rsid w:val="001C3E60"/>
    <w:rsid w:val="001C3EDC"/>
    <w:rsid w:val="001C3F2D"/>
    <w:rsid w:val="001C3F30"/>
    <w:rsid w:val="001C3F38"/>
    <w:rsid w:val="001C3F79"/>
    <w:rsid w:val="001C3FDF"/>
    <w:rsid w:val="001C4022"/>
    <w:rsid w:val="001C4082"/>
    <w:rsid w:val="001C4158"/>
    <w:rsid w:val="001C419D"/>
    <w:rsid w:val="001C41AA"/>
    <w:rsid w:val="001C41C7"/>
    <w:rsid w:val="001C423F"/>
    <w:rsid w:val="001C4259"/>
    <w:rsid w:val="001C429F"/>
    <w:rsid w:val="001C42EA"/>
    <w:rsid w:val="001C42FA"/>
    <w:rsid w:val="001C4309"/>
    <w:rsid w:val="001C4332"/>
    <w:rsid w:val="001C4336"/>
    <w:rsid w:val="001C4388"/>
    <w:rsid w:val="001C43BA"/>
    <w:rsid w:val="001C43D3"/>
    <w:rsid w:val="001C4523"/>
    <w:rsid w:val="001C4529"/>
    <w:rsid w:val="001C4552"/>
    <w:rsid w:val="001C4560"/>
    <w:rsid w:val="001C459D"/>
    <w:rsid w:val="001C45AD"/>
    <w:rsid w:val="001C45D5"/>
    <w:rsid w:val="001C460A"/>
    <w:rsid w:val="001C46F6"/>
    <w:rsid w:val="001C46F8"/>
    <w:rsid w:val="001C4707"/>
    <w:rsid w:val="001C4732"/>
    <w:rsid w:val="001C47A7"/>
    <w:rsid w:val="001C47DE"/>
    <w:rsid w:val="001C47F4"/>
    <w:rsid w:val="001C4823"/>
    <w:rsid w:val="001C4870"/>
    <w:rsid w:val="001C488E"/>
    <w:rsid w:val="001C490C"/>
    <w:rsid w:val="001C493B"/>
    <w:rsid w:val="001C4992"/>
    <w:rsid w:val="001C4A84"/>
    <w:rsid w:val="001C4AAA"/>
    <w:rsid w:val="001C4ACA"/>
    <w:rsid w:val="001C4ADB"/>
    <w:rsid w:val="001C4B48"/>
    <w:rsid w:val="001C4C37"/>
    <w:rsid w:val="001C4CA8"/>
    <w:rsid w:val="001C4D69"/>
    <w:rsid w:val="001C4D78"/>
    <w:rsid w:val="001C4D96"/>
    <w:rsid w:val="001C4DF9"/>
    <w:rsid w:val="001C4E17"/>
    <w:rsid w:val="001C4E96"/>
    <w:rsid w:val="001C4EEA"/>
    <w:rsid w:val="001C4F42"/>
    <w:rsid w:val="001C4FBF"/>
    <w:rsid w:val="001C4FD1"/>
    <w:rsid w:val="001C507C"/>
    <w:rsid w:val="001C508E"/>
    <w:rsid w:val="001C50A0"/>
    <w:rsid w:val="001C50E6"/>
    <w:rsid w:val="001C510A"/>
    <w:rsid w:val="001C5156"/>
    <w:rsid w:val="001C51CF"/>
    <w:rsid w:val="001C5222"/>
    <w:rsid w:val="001C5229"/>
    <w:rsid w:val="001C52F3"/>
    <w:rsid w:val="001C53B7"/>
    <w:rsid w:val="001C545A"/>
    <w:rsid w:val="001C553E"/>
    <w:rsid w:val="001C556D"/>
    <w:rsid w:val="001C5590"/>
    <w:rsid w:val="001C560C"/>
    <w:rsid w:val="001C571A"/>
    <w:rsid w:val="001C580F"/>
    <w:rsid w:val="001C583E"/>
    <w:rsid w:val="001C58F9"/>
    <w:rsid w:val="001C5986"/>
    <w:rsid w:val="001C59AF"/>
    <w:rsid w:val="001C5A30"/>
    <w:rsid w:val="001C5B1C"/>
    <w:rsid w:val="001C5B47"/>
    <w:rsid w:val="001C5BBE"/>
    <w:rsid w:val="001C5CE6"/>
    <w:rsid w:val="001C5D15"/>
    <w:rsid w:val="001C5D26"/>
    <w:rsid w:val="001C5D88"/>
    <w:rsid w:val="001C5DAB"/>
    <w:rsid w:val="001C5DDB"/>
    <w:rsid w:val="001C5DF3"/>
    <w:rsid w:val="001C5EE7"/>
    <w:rsid w:val="001C5EF8"/>
    <w:rsid w:val="001C5F5B"/>
    <w:rsid w:val="001C6036"/>
    <w:rsid w:val="001C6089"/>
    <w:rsid w:val="001C60F9"/>
    <w:rsid w:val="001C62CE"/>
    <w:rsid w:val="001C62CF"/>
    <w:rsid w:val="001C631E"/>
    <w:rsid w:val="001C6327"/>
    <w:rsid w:val="001C6351"/>
    <w:rsid w:val="001C63AD"/>
    <w:rsid w:val="001C63CC"/>
    <w:rsid w:val="001C6412"/>
    <w:rsid w:val="001C64B4"/>
    <w:rsid w:val="001C6531"/>
    <w:rsid w:val="001C65B3"/>
    <w:rsid w:val="001C6602"/>
    <w:rsid w:val="001C666F"/>
    <w:rsid w:val="001C66A9"/>
    <w:rsid w:val="001C6716"/>
    <w:rsid w:val="001C671A"/>
    <w:rsid w:val="001C6797"/>
    <w:rsid w:val="001C67B6"/>
    <w:rsid w:val="001C6814"/>
    <w:rsid w:val="001C68D1"/>
    <w:rsid w:val="001C6969"/>
    <w:rsid w:val="001C6971"/>
    <w:rsid w:val="001C69D5"/>
    <w:rsid w:val="001C69F5"/>
    <w:rsid w:val="001C6A12"/>
    <w:rsid w:val="001C6A49"/>
    <w:rsid w:val="001C6B14"/>
    <w:rsid w:val="001C6B3F"/>
    <w:rsid w:val="001C6B41"/>
    <w:rsid w:val="001C6B7B"/>
    <w:rsid w:val="001C6CD2"/>
    <w:rsid w:val="001C6D1A"/>
    <w:rsid w:val="001C6D3F"/>
    <w:rsid w:val="001C6DD5"/>
    <w:rsid w:val="001C6DF6"/>
    <w:rsid w:val="001C6F71"/>
    <w:rsid w:val="001C6F84"/>
    <w:rsid w:val="001C6FBB"/>
    <w:rsid w:val="001C70AC"/>
    <w:rsid w:val="001C710D"/>
    <w:rsid w:val="001C7135"/>
    <w:rsid w:val="001C7158"/>
    <w:rsid w:val="001C7179"/>
    <w:rsid w:val="001C71B0"/>
    <w:rsid w:val="001C71D6"/>
    <w:rsid w:val="001C7212"/>
    <w:rsid w:val="001C7224"/>
    <w:rsid w:val="001C7313"/>
    <w:rsid w:val="001C73E2"/>
    <w:rsid w:val="001C7429"/>
    <w:rsid w:val="001C742F"/>
    <w:rsid w:val="001C751C"/>
    <w:rsid w:val="001C752F"/>
    <w:rsid w:val="001C759B"/>
    <w:rsid w:val="001C75E0"/>
    <w:rsid w:val="001C7694"/>
    <w:rsid w:val="001C7701"/>
    <w:rsid w:val="001C774A"/>
    <w:rsid w:val="001C7777"/>
    <w:rsid w:val="001C77E7"/>
    <w:rsid w:val="001C77F2"/>
    <w:rsid w:val="001C784C"/>
    <w:rsid w:val="001C78F7"/>
    <w:rsid w:val="001C79E1"/>
    <w:rsid w:val="001C79E8"/>
    <w:rsid w:val="001C7A6B"/>
    <w:rsid w:val="001C7AF2"/>
    <w:rsid w:val="001C7B0A"/>
    <w:rsid w:val="001C7B3D"/>
    <w:rsid w:val="001C7B91"/>
    <w:rsid w:val="001C7B98"/>
    <w:rsid w:val="001C7BDC"/>
    <w:rsid w:val="001C7C7E"/>
    <w:rsid w:val="001C7CE8"/>
    <w:rsid w:val="001C7CF4"/>
    <w:rsid w:val="001C7D51"/>
    <w:rsid w:val="001C7D73"/>
    <w:rsid w:val="001C7D86"/>
    <w:rsid w:val="001C7D8A"/>
    <w:rsid w:val="001C7E7B"/>
    <w:rsid w:val="001C7EC0"/>
    <w:rsid w:val="001C7EDA"/>
    <w:rsid w:val="001C7EF9"/>
    <w:rsid w:val="001C7FCF"/>
    <w:rsid w:val="001D0081"/>
    <w:rsid w:val="001D0185"/>
    <w:rsid w:val="001D01D2"/>
    <w:rsid w:val="001D0285"/>
    <w:rsid w:val="001D030E"/>
    <w:rsid w:val="001D0445"/>
    <w:rsid w:val="001D048D"/>
    <w:rsid w:val="001D04A1"/>
    <w:rsid w:val="001D0500"/>
    <w:rsid w:val="001D0575"/>
    <w:rsid w:val="001D063D"/>
    <w:rsid w:val="001D0642"/>
    <w:rsid w:val="001D068A"/>
    <w:rsid w:val="001D068C"/>
    <w:rsid w:val="001D0751"/>
    <w:rsid w:val="001D076E"/>
    <w:rsid w:val="001D0785"/>
    <w:rsid w:val="001D0871"/>
    <w:rsid w:val="001D08A8"/>
    <w:rsid w:val="001D08BB"/>
    <w:rsid w:val="001D090C"/>
    <w:rsid w:val="001D0A43"/>
    <w:rsid w:val="001D0A47"/>
    <w:rsid w:val="001D0B1C"/>
    <w:rsid w:val="001D0BA7"/>
    <w:rsid w:val="001D0C66"/>
    <w:rsid w:val="001D0C7F"/>
    <w:rsid w:val="001D0CB5"/>
    <w:rsid w:val="001D0CD3"/>
    <w:rsid w:val="001D0D2D"/>
    <w:rsid w:val="001D0D75"/>
    <w:rsid w:val="001D0E4A"/>
    <w:rsid w:val="001D0E69"/>
    <w:rsid w:val="001D0F19"/>
    <w:rsid w:val="001D0F47"/>
    <w:rsid w:val="001D0F66"/>
    <w:rsid w:val="001D0F72"/>
    <w:rsid w:val="001D0F7C"/>
    <w:rsid w:val="001D0FCD"/>
    <w:rsid w:val="001D0FD8"/>
    <w:rsid w:val="001D102F"/>
    <w:rsid w:val="001D1038"/>
    <w:rsid w:val="001D109F"/>
    <w:rsid w:val="001D10D4"/>
    <w:rsid w:val="001D10FE"/>
    <w:rsid w:val="001D1177"/>
    <w:rsid w:val="001D119B"/>
    <w:rsid w:val="001D1263"/>
    <w:rsid w:val="001D12AB"/>
    <w:rsid w:val="001D135C"/>
    <w:rsid w:val="001D1364"/>
    <w:rsid w:val="001D140A"/>
    <w:rsid w:val="001D1479"/>
    <w:rsid w:val="001D147E"/>
    <w:rsid w:val="001D1537"/>
    <w:rsid w:val="001D1538"/>
    <w:rsid w:val="001D1566"/>
    <w:rsid w:val="001D156A"/>
    <w:rsid w:val="001D1571"/>
    <w:rsid w:val="001D15AF"/>
    <w:rsid w:val="001D15D0"/>
    <w:rsid w:val="001D1613"/>
    <w:rsid w:val="001D163F"/>
    <w:rsid w:val="001D174E"/>
    <w:rsid w:val="001D176B"/>
    <w:rsid w:val="001D17A5"/>
    <w:rsid w:val="001D189E"/>
    <w:rsid w:val="001D18B2"/>
    <w:rsid w:val="001D18DC"/>
    <w:rsid w:val="001D194B"/>
    <w:rsid w:val="001D1993"/>
    <w:rsid w:val="001D19DD"/>
    <w:rsid w:val="001D1A0E"/>
    <w:rsid w:val="001D1A7E"/>
    <w:rsid w:val="001D1AF9"/>
    <w:rsid w:val="001D1B34"/>
    <w:rsid w:val="001D1C6C"/>
    <w:rsid w:val="001D1D79"/>
    <w:rsid w:val="001D1DF3"/>
    <w:rsid w:val="001D1E53"/>
    <w:rsid w:val="001D1E67"/>
    <w:rsid w:val="001D1EC0"/>
    <w:rsid w:val="001D2050"/>
    <w:rsid w:val="001D2172"/>
    <w:rsid w:val="001D217A"/>
    <w:rsid w:val="001D2183"/>
    <w:rsid w:val="001D21BE"/>
    <w:rsid w:val="001D21C2"/>
    <w:rsid w:val="001D21FE"/>
    <w:rsid w:val="001D2206"/>
    <w:rsid w:val="001D2209"/>
    <w:rsid w:val="001D22AC"/>
    <w:rsid w:val="001D22CD"/>
    <w:rsid w:val="001D22F8"/>
    <w:rsid w:val="001D2376"/>
    <w:rsid w:val="001D2405"/>
    <w:rsid w:val="001D247C"/>
    <w:rsid w:val="001D254A"/>
    <w:rsid w:val="001D2577"/>
    <w:rsid w:val="001D267B"/>
    <w:rsid w:val="001D26D4"/>
    <w:rsid w:val="001D272C"/>
    <w:rsid w:val="001D273C"/>
    <w:rsid w:val="001D2790"/>
    <w:rsid w:val="001D2794"/>
    <w:rsid w:val="001D294B"/>
    <w:rsid w:val="001D29A1"/>
    <w:rsid w:val="001D2A7E"/>
    <w:rsid w:val="001D2AAA"/>
    <w:rsid w:val="001D2ABF"/>
    <w:rsid w:val="001D2BF0"/>
    <w:rsid w:val="001D2C4B"/>
    <w:rsid w:val="001D2C7D"/>
    <w:rsid w:val="001D2C94"/>
    <w:rsid w:val="001D2D7E"/>
    <w:rsid w:val="001D2D8A"/>
    <w:rsid w:val="001D2D8C"/>
    <w:rsid w:val="001D2D91"/>
    <w:rsid w:val="001D2D9F"/>
    <w:rsid w:val="001D2DBC"/>
    <w:rsid w:val="001D2F26"/>
    <w:rsid w:val="001D2F5C"/>
    <w:rsid w:val="001D2F6B"/>
    <w:rsid w:val="001D2F86"/>
    <w:rsid w:val="001D2F91"/>
    <w:rsid w:val="001D3012"/>
    <w:rsid w:val="001D3047"/>
    <w:rsid w:val="001D30A2"/>
    <w:rsid w:val="001D30AE"/>
    <w:rsid w:val="001D30B4"/>
    <w:rsid w:val="001D30D2"/>
    <w:rsid w:val="001D30DB"/>
    <w:rsid w:val="001D3163"/>
    <w:rsid w:val="001D3165"/>
    <w:rsid w:val="001D3169"/>
    <w:rsid w:val="001D3183"/>
    <w:rsid w:val="001D31A9"/>
    <w:rsid w:val="001D3257"/>
    <w:rsid w:val="001D3279"/>
    <w:rsid w:val="001D32BB"/>
    <w:rsid w:val="001D331D"/>
    <w:rsid w:val="001D3467"/>
    <w:rsid w:val="001D346A"/>
    <w:rsid w:val="001D3472"/>
    <w:rsid w:val="001D3485"/>
    <w:rsid w:val="001D35EE"/>
    <w:rsid w:val="001D3627"/>
    <w:rsid w:val="001D367A"/>
    <w:rsid w:val="001D36AE"/>
    <w:rsid w:val="001D36C5"/>
    <w:rsid w:val="001D371C"/>
    <w:rsid w:val="001D376E"/>
    <w:rsid w:val="001D38DD"/>
    <w:rsid w:val="001D3952"/>
    <w:rsid w:val="001D3961"/>
    <w:rsid w:val="001D3A56"/>
    <w:rsid w:val="001D3A70"/>
    <w:rsid w:val="001D3AE1"/>
    <w:rsid w:val="001D3B1B"/>
    <w:rsid w:val="001D3B73"/>
    <w:rsid w:val="001D3B88"/>
    <w:rsid w:val="001D3BBD"/>
    <w:rsid w:val="001D3C01"/>
    <w:rsid w:val="001D3CE2"/>
    <w:rsid w:val="001D3D1A"/>
    <w:rsid w:val="001D3D42"/>
    <w:rsid w:val="001D3D4A"/>
    <w:rsid w:val="001D3D8D"/>
    <w:rsid w:val="001D3D95"/>
    <w:rsid w:val="001D3DB1"/>
    <w:rsid w:val="001D3DBD"/>
    <w:rsid w:val="001D3F1E"/>
    <w:rsid w:val="001D3F40"/>
    <w:rsid w:val="001D3F57"/>
    <w:rsid w:val="001D3FD8"/>
    <w:rsid w:val="001D4000"/>
    <w:rsid w:val="001D4037"/>
    <w:rsid w:val="001D40AC"/>
    <w:rsid w:val="001D41BA"/>
    <w:rsid w:val="001D41C6"/>
    <w:rsid w:val="001D4210"/>
    <w:rsid w:val="001D423F"/>
    <w:rsid w:val="001D4295"/>
    <w:rsid w:val="001D4338"/>
    <w:rsid w:val="001D4342"/>
    <w:rsid w:val="001D43D4"/>
    <w:rsid w:val="001D4434"/>
    <w:rsid w:val="001D4476"/>
    <w:rsid w:val="001D45A3"/>
    <w:rsid w:val="001D45AE"/>
    <w:rsid w:val="001D45CA"/>
    <w:rsid w:val="001D460C"/>
    <w:rsid w:val="001D4643"/>
    <w:rsid w:val="001D4662"/>
    <w:rsid w:val="001D468C"/>
    <w:rsid w:val="001D4692"/>
    <w:rsid w:val="001D4708"/>
    <w:rsid w:val="001D475F"/>
    <w:rsid w:val="001D4785"/>
    <w:rsid w:val="001D4791"/>
    <w:rsid w:val="001D47EF"/>
    <w:rsid w:val="001D47FD"/>
    <w:rsid w:val="001D484A"/>
    <w:rsid w:val="001D486B"/>
    <w:rsid w:val="001D4993"/>
    <w:rsid w:val="001D4AB4"/>
    <w:rsid w:val="001D4B9A"/>
    <w:rsid w:val="001D4C36"/>
    <w:rsid w:val="001D4C9B"/>
    <w:rsid w:val="001D4C9C"/>
    <w:rsid w:val="001D4CAE"/>
    <w:rsid w:val="001D4CF5"/>
    <w:rsid w:val="001D4D72"/>
    <w:rsid w:val="001D4DC8"/>
    <w:rsid w:val="001D4E7A"/>
    <w:rsid w:val="001D4E9A"/>
    <w:rsid w:val="001D4F81"/>
    <w:rsid w:val="001D4F85"/>
    <w:rsid w:val="001D4FC0"/>
    <w:rsid w:val="001D4FFB"/>
    <w:rsid w:val="001D50D4"/>
    <w:rsid w:val="001D5131"/>
    <w:rsid w:val="001D517C"/>
    <w:rsid w:val="001D51F9"/>
    <w:rsid w:val="001D525C"/>
    <w:rsid w:val="001D527E"/>
    <w:rsid w:val="001D5399"/>
    <w:rsid w:val="001D53C4"/>
    <w:rsid w:val="001D5442"/>
    <w:rsid w:val="001D5452"/>
    <w:rsid w:val="001D5593"/>
    <w:rsid w:val="001D55C6"/>
    <w:rsid w:val="001D55D2"/>
    <w:rsid w:val="001D56F0"/>
    <w:rsid w:val="001D56F1"/>
    <w:rsid w:val="001D5815"/>
    <w:rsid w:val="001D5857"/>
    <w:rsid w:val="001D5860"/>
    <w:rsid w:val="001D587E"/>
    <w:rsid w:val="001D58FA"/>
    <w:rsid w:val="001D599A"/>
    <w:rsid w:val="001D5A18"/>
    <w:rsid w:val="001D5A1F"/>
    <w:rsid w:val="001D5A81"/>
    <w:rsid w:val="001D5AA9"/>
    <w:rsid w:val="001D5BBA"/>
    <w:rsid w:val="001D5BDB"/>
    <w:rsid w:val="001D5CF8"/>
    <w:rsid w:val="001D5CFA"/>
    <w:rsid w:val="001D5D23"/>
    <w:rsid w:val="001D5D3D"/>
    <w:rsid w:val="001D5D4B"/>
    <w:rsid w:val="001D5D4C"/>
    <w:rsid w:val="001D5D79"/>
    <w:rsid w:val="001D5E62"/>
    <w:rsid w:val="001D5F7D"/>
    <w:rsid w:val="001D5F9F"/>
    <w:rsid w:val="001D5FC1"/>
    <w:rsid w:val="001D5FF2"/>
    <w:rsid w:val="001D6057"/>
    <w:rsid w:val="001D60E0"/>
    <w:rsid w:val="001D6131"/>
    <w:rsid w:val="001D6153"/>
    <w:rsid w:val="001D62D8"/>
    <w:rsid w:val="001D6358"/>
    <w:rsid w:val="001D63F2"/>
    <w:rsid w:val="001D640F"/>
    <w:rsid w:val="001D6450"/>
    <w:rsid w:val="001D6491"/>
    <w:rsid w:val="001D64D2"/>
    <w:rsid w:val="001D6547"/>
    <w:rsid w:val="001D6559"/>
    <w:rsid w:val="001D6571"/>
    <w:rsid w:val="001D65D5"/>
    <w:rsid w:val="001D6624"/>
    <w:rsid w:val="001D66CF"/>
    <w:rsid w:val="001D66E2"/>
    <w:rsid w:val="001D66EE"/>
    <w:rsid w:val="001D6707"/>
    <w:rsid w:val="001D679E"/>
    <w:rsid w:val="001D67B3"/>
    <w:rsid w:val="001D67ED"/>
    <w:rsid w:val="001D67FD"/>
    <w:rsid w:val="001D6893"/>
    <w:rsid w:val="001D69A5"/>
    <w:rsid w:val="001D69B1"/>
    <w:rsid w:val="001D69BA"/>
    <w:rsid w:val="001D6A40"/>
    <w:rsid w:val="001D6A68"/>
    <w:rsid w:val="001D6A84"/>
    <w:rsid w:val="001D6B14"/>
    <w:rsid w:val="001D6B56"/>
    <w:rsid w:val="001D6B8C"/>
    <w:rsid w:val="001D6BFB"/>
    <w:rsid w:val="001D6C7A"/>
    <w:rsid w:val="001D6CC8"/>
    <w:rsid w:val="001D6CEA"/>
    <w:rsid w:val="001D6D59"/>
    <w:rsid w:val="001D6D9A"/>
    <w:rsid w:val="001D6DB1"/>
    <w:rsid w:val="001D6DB2"/>
    <w:rsid w:val="001D6E3A"/>
    <w:rsid w:val="001D6EB9"/>
    <w:rsid w:val="001D6F46"/>
    <w:rsid w:val="001D7069"/>
    <w:rsid w:val="001D7077"/>
    <w:rsid w:val="001D70A7"/>
    <w:rsid w:val="001D7109"/>
    <w:rsid w:val="001D7113"/>
    <w:rsid w:val="001D7144"/>
    <w:rsid w:val="001D717D"/>
    <w:rsid w:val="001D7238"/>
    <w:rsid w:val="001D725C"/>
    <w:rsid w:val="001D72A7"/>
    <w:rsid w:val="001D72E2"/>
    <w:rsid w:val="001D7354"/>
    <w:rsid w:val="001D745F"/>
    <w:rsid w:val="001D748D"/>
    <w:rsid w:val="001D7531"/>
    <w:rsid w:val="001D753E"/>
    <w:rsid w:val="001D7567"/>
    <w:rsid w:val="001D7633"/>
    <w:rsid w:val="001D771A"/>
    <w:rsid w:val="001D7774"/>
    <w:rsid w:val="001D77C0"/>
    <w:rsid w:val="001D78A8"/>
    <w:rsid w:val="001D799C"/>
    <w:rsid w:val="001D79F4"/>
    <w:rsid w:val="001D7A1B"/>
    <w:rsid w:val="001D7ABC"/>
    <w:rsid w:val="001D7ABF"/>
    <w:rsid w:val="001D7AE5"/>
    <w:rsid w:val="001D7B26"/>
    <w:rsid w:val="001D7B89"/>
    <w:rsid w:val="001D7BA0"/>
    <w:rsid w:val="001D7BBB"/>
    <w:rsid w:val="001D7C22"/>
    <w:rsid w:val="001D7C3A"/>
    <w:rsid w:val="001D7C3B"/>
    <w:rsid w:val="001D7CFD"/>
    <w:rsid w:val="001D7D0E"/>
    <w:rsid w:val="001D7D44"/>
    <w:rsid w:val="001D7D52"/>
    <w:rsid w:val="001D7D6C"/>
    <w:rsid w:val="001D7D99"/>
    <w:rsid w:val="001D7DB5"/>
    <w:rsid w:val="001D7E2D"/>
    <w:rsid w:val="001D7ECE"/>
    <w:rsid w:val="001D7F1F"/>
    <w:rsid w:val="001D7F57"/>
    <w:rsid w:val="001D7F70"/>
    <w:rsid w:val="001D7F9E"/>
    <w:rsid w:val="001D7FB5"/>
    <w:rsid w:val="001D7FEA"/>
    <w:rsid w:val="001E0042"/>
    <w:rsid w:val="001E0043"/>
    <w:rsid w:val="001E007C"/>
    <w:rsid w:val="001E00D2"/>
    <w:rsid w:val="001E00D6"/>
    <w:rsid w:val="001E00EC"/>
    <w:rsid w:val="001E0188"/>
    <w:rsid w:val="001E0203"/>
    <w:rsid w:val="001E0220"/>
    <w:rsid w:val="001E022C"/>
    <w:rsid w:val="001E025F"/>
    <w:rsid w:val="001E02D1"/>
    <w:rsid w:val="001E0347"/>
    <w:rsid w:val="001E0386"/>
    <w:rsid w:val="001E0391"/>
    <w:rsid w:val="001E03A4"/>
    <w:rsid w:val="001E03AE"/>
    <w:rsid w:val="001E03BF"/>
    <w:rsid w:val="001E04E9"/>
    <w:rsid w:val="001E0557"/>
    <w:rsid w:val="001E0676"/>
    <w:rsid w:val="001E069C"/>
    <w:rsid w:val="001E06B9"/>
    <w:rsid w:val="001E06DB"/>
    <w:rsid w:val="001E0739"/>
    <w:rsid w:val="001E0763"/>
    <w:rsid w:val="001E07A3"/>
    <w:rsid w:val="001E07AA"/>
    <w:rsid w:val="001E07B0"/>
    <w:rsid w:val="001E0902"/>
    <w:rsid w:val="001E099D"/>
    <w:rsid w:val="001E09B5"/>
    <w:rsid w:val="001E09DF"/>
    <w:rsid w:val="001E09F9"/>
    <w:rsid w:val="001E0B0C"/>
    <w:rsid w:val="001E0BFE"/>
    <w:rsid w:val="001E0D70"/>
    <w:rsid w:val="001E0DF0"/>
    <w:rsid w:val="001E0E12"/>
    <w:rsid w:val="001E0E5B"/>
    <w:rsid w:val="001E0EC1"/>
    <w:rsid w:val="001E0EC6"/>
    <w:rsid w:val="001E0F38"/>
    <w:rsid w:val="001E1034"/>
    <w:rsid w:val="001E105A"/>
    <w:rsid w:val="001E1084"/>
    <w:rsid w:val="001E108E"/>
    <w:rsid w:val="001E11A5"/>
    <w:rsid w:val="001E11A6"/>
    <w:rsid w:val="001E11F1"/>
    <w:rsid w:val="001E1210"/>
    <w:rsid w:val="001E1222"/>
    <w:rsid w:val="001E1238"/>
    <w:rsid w:val="001E1283"/>
    <w:rsid w:val="001E12CD"/>
    <w:rsid w:val="001E12F1"/>
    <w:rsid w:val="001E1336"/>
    <w:rsid w:val="001E14A7"/>
    <w:rsid w:val="001E14AA"/>
    <w:rsid w:val="001E14EE"/>
    <w:rsid w:val="001E1518"/>
    <w:rsid w:val="001E155C"/>
    <w:rsid w:val="001E156D"/>
    <w:rsid w:val="001E1570"/>
    <w:rsid w:val="001E158E"/>
    <w:rsid w:val="001E15BE"/>
    <w:rsid w:val="001E15E8"/>
    <w:rsid w:val="001E1613"/>
    <w:rsid w:val="001E16B5"/>
    <w:rsid w:val="001E1739"/>
    <w:rsid w:val="001E18F5"/>
    <w:rsid w:val="001E1924"/>
    <w:rsid w:val="001E1939"/>
    <w:rsid w:val="001E1947"/>
    <w:rsid w:val="001E196F"/>
    <w:rsid w:val="001E19A6"/>
    <w:rsid w:val="001E19AE"/>
    <w:rsid w:val="001E19C6"/>
    <w:rsid w:val="001E1A28"/>
    <w:rsid w:val="001E1AEB"/>
    <w:rsid w:val="001E1BCF"/>
    <w:rsid w:val="001E1BE0"/>
    <w:rsid w:val="001E1C0B"/>
    <w:rsid w:val="001E1C43"/>
    <w:rsid w:val="001E1C5B"/>
    <w:rsid w:val="001E1CA0"/>
    <w:rsid w:val="001E1D49"/>
    <w:rsid w:val="001E1D4B"/>
    <w:rsid w:val="001E1D92"/>
    <w:rsid w:val="001E1E7A"/>
    <w:rsid w:val="001E1EC3"/>
    <w:rsid w:val="001E1EDF"/>
    <w:rsid w:val="001E1EFF"/>
    <w:rsid w:val="001E1F1F"/>
    <w:rsid w:val="001E2023"/>
    <w:rsid w:val="001E204A"/>
    <w:rsid w:val="001E21CB"/>
    <w:rsid w:val="001E2209"/>
    <w:rsid w:val="001E2223"/>
    <w:rsid w:val="001E2302"/>
    <w:rsid w:val="001E2309"/>
    <w:rsid w:val="001E233E"/>
    <w:rsid w:val="001E2359"/>
    <w:rsid w:val="001E238A"/>
    <w:rsid w:val="001E23B1"/>
    <w:rsid w:val="001E23E8"/>
    <w:rsid w:val="001E240E"/>
    <w:rsid w:val="001E24E5"/>
    <w:rsid w:val="001E24E9"/>
    <w:rsid w:val="001E252F"/>
    <w:rsid w:val="001E2568"/>
    <w:rsid w:val="001E264A"/>
    <w:rsid w:val="001E265E"/>
    <w:rsid w:val="001E26A2"/>
    <w:rsid w:val="001E2715"/>
    <w:rsid w:val="001E2757"/>
    <w:rsid w:val="001E27E4"/>
    <w:rsid w:val="001E2806"/>
    <w:rsid w:val="001E2813"/>
    <w:rsid w:val="001E28BB"/>
    <w:rsid w:val="001E28C5"/>
    <w:rsid w:val="001E28D5"/>
    <w:rsid w:val="001E293E"/>
    <w:rsid w:val="001E2946"/>
    <w:rsid w:val="001E29DA"/>
    <w:rsid w:val="001E2A07"/>
    <w:rsid w:val="001E2A27"/>
    <w:rsid w:val="001E2A61"/>
    <w:rsid w:val="001E2A6A"/>
    <w:rsid w:val="001E2AAF"/>
    <w:rsid w:val="001E2ACD"/>
    <w:rsid w:val="001E2B2D"/>
    <w:rsid w:val="001E2B5C"/>
    <w:rsid w:val="001E2BCB"/>
    <w:rsid w:val="001E2BF5"/>
    <w:rsid w:val="001E2CDD"/>
    <w:rsid w:val="001E2D9B"/>
    <w:rsid w:val="001E2E42"/>
    <w:rsid w:val="001E2E4A"/>
    <w:rsid w:val="001E2EAD"/>
    <w:rsid w:val="001E2F2D"/>
    <w:rsid w:val="001E2F94"/>
    <w:rsid w:val="001E3032"/>
    <w:rsid w:val="001E3049"/>
    <w:rsid w:val="001E309F"/>
    <w:rsid w:val="001E30B8"/>
    <w:rsid w:val="001E314E"/>
    <w:rsid w:val="001E315E"/>
    <w:rsid w:val="001E3260"/>
    <w:rsid w:val="001E32B2"/>
    <w:rsid w:val="001E32BF"/>
    <w:rsid w:val="001E32E4"/>
    <w:rsid w:val="001E3364"/>
    <w:rsid w:val="001E3384"/>
    <w:rsid w:val="001E339C"/>
    <w:rsid w:val="001E33E9"/>
    <w:rsid w:val="001E34DA"/>
    <w:rsid w:val="001E3527"/>
    <w:rsid w:val="001E3585"/>
    <w:rsid w:val="001E358E"/>
    <w:rsid w:val="001E35A2"/>
    <w:rsid w:val="001E36C2"/>
    <w:rsid w:val="001E36CF"/>
    <w:rsid w:val="001E36EC"/>
    <w:rsid w:val="001E3768"/>
    <w:rsid w:val="001E378C"/>
    <w:rsid w:val="001E3814"/>
    <w:rsid w:val="001E38CA"/>
    <w:rsid w:val="001E39A1"/>
    <w:rsid w:val="001E39B7"/>
    <w:rsid w:val="001E3A44"/>
    <w:rsid w:val="001E3A63"/>
    <w:rsid w:val="001E3AAD"/>
    <w:rsid w:val="001E3B69"/>
    <w:rsid w:val="001E3BE6"/>
    <w:rsid w:val="001E3C0C"/>
    <w:rsid w:val="001E3C1B"/>
    <w:rsid w:val="001E3C31"/>
    <w:rsid w:val="001E3CB2"/>
    <w:rsid w:val="001E3D3E"/>
    <w:rsid w:val="001E3D97"/>
    <w:rsid w:val="001E3DB7"/>
    <w:rsid w:val="001E3DDE"/>
    <w:rsid w:val="001E3DDF"/>
    <w:rsid w:val="001E3E53"/>
    <w:rsid w:val="001E3E5C"/>
    <w:rsid w:val="001E3E67"/>
    <w:rsid w:val="001E3EB8"/>
    <w:rsid w:val="001E3F2E"/>
    <w:rsid w:val="001E402D"/>
    <w:rsid w:val="001E4042"/>
    <w:rsid w:val="001E4177"/>
    <w:rsid w:val="001E41F2"/>
    <w:rsid w:val="001E41FB"/>
    <w:rsid w:val="001E4228"/>
    <w:rsid w:val="001E42B4"/>
    <w:rsid w:val="001E42D5"/>
    <w:rsid w:val="001E4309"/>
    <w:rsid w:val="001E4320"/>
    <w:rsid w:val="001E437E"/>
    <w:rsid w:val="001E4385"/>
    <w:rsid w:val="001E43D1"/>
    <w:rsid w:val="001E43D6"/>
    <w:rsid w:val="001E4468"/>
    <w:rsid w:val="001E44FD"/>
    <w:rsid w:val="001E450C"/>
    <w:rsid w:val="001E455B"/>
    <w:rsid w:val="001E4573"/>
    <w:rsid w:val="001E45BB"/>
    <w:rsid w:val="001E471A"/>
    <w:rsid w:val="001E4745"/>
    <w:rsid w:val="001E4794"/>
    <w:rsid w:val="001E47B2"/>
    <w:rsid w:val="001E486C"/>
    <w:rsid w:val="001E487E"/>
    <w:rsid w:val="001E48D1"/>
    <w:rsid w:val="001E48E4"/>
    <w:rsid w:val="001E48FE"/>
    <w:rsid w:val="001E490A"/>
    <w:rsid w:val="001E49CC"/>
    <w:rsid w:val="001E4A40"/>
    <w:rsid w:val="001E4A9B"/>
    <w:rsid w:val="001E4AA7"/>
    <w:rsid w:val="001E4ABB"/>
    <w:rsid w:val="001E4AC1"/>
    <w:rsid w:val="001E4B4D"/>
    <w:rsid w:val="001E4BD1"/>
    <w:rsid w:val="001E4BEB"/>
    <w:rsid w:val="001E4C3F"/>
    <w:rsid w:val="001E4D1E"/>
    <w:rsid w:val="001E4D4F"/>
    <w:rsid w:val="001E4DD8"/>
    <w:rsid w:val="001E4EAA"/>
    <w:rsid w:val="001E4ED8"/>
    <w:rsid w:val="001E4F32"/>
    <w:rsid w:val="001E4F7C"/>
    <w:rsid w:val="001E4FDB"/>
    <w:rsid w:val="001E4FDC"/>
    <w:rsid w:val="001E4FE8"/>
    <w:rsid w:val="001E5011"/>
    <w:rsid w:val="001E513D"/>
    <w:rsid w:val="001E517A"/>
    <w:rsid w:val="001E51A5"/>
    <w:rsid w:val="001E51E6"/>
    <w:rsid w:val="001E5229"/>
    <w:rsid w:val="001E5234"/>
    <w:rsid w:val="001E523C"/>
    <w:rsid w:val="001E5261"/>
    <w:rsid w:val="001E5322"/>
    <w:rsid w:val="001E5341"/>
    <w:rsid w:val="001E53D9"/>
    <w:rsid w:val="001E53DD"/>
    <w:rsid w:val="001E53F1"/>
    <w:rsid w:val="001E540C"/>
    <w:rsid w:val="001E545E"/>
    <w:rsid w:val="001E54C3"/>
    <w:rsid w:val="001E5527"/>
    <w:rsid w:val="001E5546"/>
    <w:rsid w:val="001E556C"/>
    <w:rsid w:val="001E5644"/>
    <w:rsid w:val="001E5688"/>
    <w:rsid w:val="001E568F"/>
    <w:rsid w:val="001E5728"/>
    <w:rsid w:val="001E572F"/>
    <w:rsid w:val="001E578E"/>
    <w:rsid w:val="001E5800"/>
    <w:rsid w:val="001E5899"/>
    <w:rsid w:val="001E58D8"/>
    <w:rsid w:val="001E58F2"/>
    <w:rsid w:val="001E5961"/>
    <w:rsid w:val="001E5975"/>
    <w:rsid w:val="001E5A06"/>
    <w:rsid w:val="001E5A76"/>
    <w:rsid w:val="001E5AC7"/>
    <w:rsid w:val="001E5AFE"/>
    <w:rsid w:val="001E5B2F"/>
    <w:rsid w:val="001E5C62"/>
    <w:rsid w:val="001E5C70"/>
    <w:rsid w:val="001E5C9D"/>
    <w:rsid w:val="001E5CC4"/>
    <w:rsid w:val="001E5CC9"/>
    <w:rsid w:val="001E5D05"/>
    <w:rsid w:val="001E5D11"/>
    <w:rsid w:val="001E5DF1"/>
    <w:rsid w:val="001E5E39"/>
    <w:rsid w:val="001E5E65"/>
    <w:rsid w:val="001E5EC5"/>
    <w:rsid w:val="001E5ECD"/>
    <w:rsid w:val="001E5F35"/>
    <w:rsid w:val="001E5F46"/>
    <w:rsid w:val="001E5F4F"/>
    <w:rsid w:val="001E602C"/>
    <w:rsid w:val="001E6034"/>
    <w:rsid w:val="001E6055"/>
    <w:rsid w:val="001E60BB"/>
    <w:rsid w:val="001E60CD"/>
    <w:rsid w:val="001E60F9"/>
    <w:rsid w:val="001E6150"/>
    <w:rsid w:val="001E6154"/>
    <w:rsid w:val="001E6178"/>
    <w:rsid w:val="001E6183"/>
    <w:rsid w:val="001E6190"/>
    <w:rsid w:val="001E61E3"/>
    <w:rsid w:val="001E61ED"/>
    <w:rsid w:val="001E61F3"/>
    <w:rsid w:val="001E6222"/>
    <w:rsid w:val="001E62C5"/>
    <w:rsid w:val="001E6346"/>
    <w:rsid w:val="001E6409"/>
    <w:rsid w:val="001E644E"/>
    <w:rsid w:val="001E649B"/>
    <w:rsid w:val="001E64A3"/>
    <w:rsid w:val="001E64B5"/>
    <w:rsid w:val="001E6533"/>
    <w:rsid w:val="001E6559"/>
    <w:rsid w:val="001E65F2"/>
    <w:rsid w:val="001E6617"/>
    <w:rsid w:val="001E6653"/>
    <w:rsid w:val="001E667A"/>
    <w:rsid w:val="001E6683"/>
    <w:rsid w:val="001E673F"/>
    <w:rsid w:val="001E6749"/>
    <w:rsid w:val="001E6761"/>
    <w:rsid w:val="001E676A"/>
    <w:rsid w:val="001E67D6"/>
    <w:rsid w:val="001E67DE"/>
    <w:rsid w:val="001E6821"/>
    <w:rsid w:val="001E6866"/>
    <w:rsid w:val="001E68D3"/>
    <w:rsid w:val="001E6908"/>
    <w:rsid w:val="001E6958"/>
    <w:rsid w:val="001E695C"/>
    <w:rsid w:val="001E6989"/>
    <w:rsid w:val="001E69E8"/>
    <w:rsid w:val="001E6AAC"/>
    <w:rsid w:val="001E6B21"/>
    <w:rsid w:val="001E6B53"/>
    <w:rsid w:val="001E6B5B"/>
    <w:rsid w:val="001E6BE2"/>
    <w:rsid w:val="001E6BF5"/>
    <w:rsid w:val="001E6C50"/>
    <w:rsid w:val="001E6C63"/>
    <w:rsid w:val="001E6C95"/>
    <w:rsid w:val="001E6CFE"/>
    <w:rsid w:val="001E6D31"/>
    <w:rsid w:val="001E6D68"/>
    <w:rsid w:val="001E6D75"/>
    <w:rsid w:val="001E6DE4"/>
    <w:rsid w:val="001E6E6B"/>
    <w:rsid w:val="001E6E6C"/>
    <w:rsid w:val="001E6E90"/>
    <w:rsid w:val="001E6ECB"/>
    <w:rsid w:val="001E6F1B"/>
    <w:rsid w:val="001E6F5C"/>
    <w:rsid w:val="001E7120"/>
    <w:rsid w:val="001E713B"/>
    <w:rsid w:val="001E713C"/>
    <w:rsid w:val="001E717A"/>
    <w:rsid w:val="001E726F"/>
    <w:rsid w:val="001E72F3"/>
    <w:rsid w:val="001E72F4"/>
    <w:rsid w:val="001E72FC"/>
    <w:rsid w:val="001E730C"/>
    <w:rsid w:val="001E7454"/>
    <w:rsid w:val="001E74BE"/>
    <w:rsid w:val="001E74C2"/>
    <w:rsid w:val="001E7570"/>
    <w:rsid w:val="001E7622"/>
    <w:rsid w:val="001E76E6"/>
    <w:rsid w:val="001E7753"/>
    <w:rsid w:val="001E777A"/>
    <w:rsid w:val="001E7811"/>
    <w:rsid w:val="001E78A5"/>
    <w:rsid w:val="001E78B9"/>
    <w:rsid w:val="001E78D4"/>
    <w:rsid w:val="001E7908"/>
    <w:rsid w:val="001E793E"/>
    <w:rsid w:val="001E795D"/>
    <w:rsid w:val="001E79E5"/>
    <w:rsid w:val="001E7A52"/>
    <w:rsid w:val="001E7B2C"/>
    <w:rsid w:val="001E7BFE"/>
    <w:rsid w:val="001E7C26"/>
    <w:rsid w:val="001E7CC0"/>
    <w:rsid w:val="001E7CF5"/>
    <w:rsid w:val="001E7D13"/>
    <w:rsid w:val="001E7D76"/>
    <w:rsid w:val="001E7DC0"/>
    <w:rsid w:val="001E7DF8"/>
    <w:rsid w:val="001E7E4F"/>
    <w:rsid w:val="001E7EB6"/>
    <w:rsid w:val="001E7FA5"/>
    <w:rsid w:val="001E7FB1"/>
    <w:rsid w:val="001F0077"/>
    <w:rsid w:val="001F00B4"/>
    <w:rsid w:val="001F00F4"/>
    <w:rsid w:val="001F014A"/>
    <w:rsid w:val="001F01D6"/>
    <w:rsid w:val="001F0209"/>
    <w:rsid w:val="001F0211"/>
    <w:rsid w:val="001F0255"/>
    <w:rsid w:val="001F02F9"/>
    <w:rsid w:val="001F0370"/>
    <w:rsid w:val="001F03ED"/>
    <w:rsid w:val="001F0401"/>
    <w:rsid w:val="001F04F3"/>
    <w:rsid w:val="001F04FD"/>
    <w:rsid w:val="001F057C"/>
    <w:rsid w:val="001F0846"/>
    <w:rsid w:val="001F0853"/>
    <w:rsid w:val="001F0865"/>
    <w:rsid w:val="001F0889"/>
    <w:rsid w:val="001F08B4"/>
    <w:rsid w:val="001F08EE"/>
    <w:rsid w:val="001F0973"/>
    <w:rsid w:val="001F09BB"/>
    <w:rsid w:val="001F09CC"/>
    <w:rsid w:val="001F0A2C"/>
    <w:rsid w:val="001F0A40"/>
    <w:rsid w:val="001F0AA5"/>
    <w:rsid w:val="001F0B3D"/>
    <w:rsid w:val="001F0B43"/>
    <w:rsid w:val="001F0B5F"/>
    <w:rsid w:val="001F0C00"/>
    <w:rsid w:val="001F0C66"/>
    <w:rsid w:val="001F0CA8"/>
    <w:rsid w:val="001F0CC7"/>
    <w:rsid w:val="001F0CE7"/>
    <w:rsid w:val="001F0DAA"/>
    <w:rsid w:val="001F0E30"/>
    <w:rsid w:val="001F0E44"/>
    <w:rsid w:val="001F0E84"/>
    <w:rsid w:val="001F0E9B"/>
    <w:rsid w:val="001F0EA2"/>
    <w:rsid w:val="001F0F38"/>
    <w:rsid w:val="001F0FA1"/>
    <w:rsid w:val="001F1039"/>
    <w:rsid w:val="001F1094"/>
    <w:rsid w:val="001F10A7"/>
    <w:rsid w:val="001F10D1"/>
    <w:rsid w:val="001F10E2"/>
    <w:rsid w:val="001F1147"/>
    <w:rsid w:val="001F1257"/>
    <w:rsid w:val="001F1286"/>
    <w:rsid w:val="001F1293"/>
    <w:rsid w:val="001F12BB"/>
    <w:rsid w:val="001F1379"/>
    <w:rsid w:val="001F1380"/>
    <w:rsid w:val="001F13C0"/>
    <w:rsid w:val="001F13D8"/>
    <w:rsid w:val="001F13F7"/>
    <w:rsid w:val="001F1476"/>
    <w:rsid w:val="001F1490"/>
    <w:rsid w:val="001F14F0"/>
    <w:rsid w:val="001F1518"/>
    <w:rsid w:val="001F153D"/>
    <w:rsid w:val="001F1554"/>
    <w:rsid w:val="001F15D4"/>
    <w:rsid w:val="001F15F8"/>
    <w:rsid w:val="001F1638"/>
    <w:rsid w:val="001F165E"/>
    <w:rsid w:val="001F168B"/>
    <w:rsid w:val="001F169D"/>
    <w:rsid w:val="001F16C5"/>
    <w:rsid w:val="001F1714"/>
    <w:rsid w:val="001F172F"/>
    <w:rsid w:val="001F1756"/>
    <w:rsid w:val="001F1796"/>
    <w:rsid w:val="001F17A2"/>
    <w:rsid w:val="001F189B"/>
    <w:rsid w:val="001F18AC"/>
    <w:rsid w:val="001F196C"/>
    <w:rsid w:val="001F1983"/>
    <w:rsid w:val="001F198B"/>
    <w:rsid w:val="001F19AD"/>
    <w:rsid w:val="001F19CA"/>
    <w:rsid w:val="001F1A14"/>
    <w:rsid w:val="001F1AC6"/>
    <w:rsid w:val="001F1B3D"/>
    <w:rsid w:val="001F1BE4"/>
    <w:rsid w:val="001F1C14"/>
    <w:rsid w:val="001F1C73"/>
    <w:rsid w:val="001F1D25"/>
    <w:rsid w:val="001F1DBD"/>
    <w:rsid w:val="001F1E05"/>
    <w:rsid w:val="001F1E9A"/>
    <w:rsid w:val="001F1F63"/>
    <w:rsid w:val="001F1F70"/>
    <w:rsid w:val="001F1F9E"/>
    <w:rsid w:val="001F1FEA"/>
    <w:rsid w:val="001F200A"/>
    <w:rsid w:val="001F201C"/>
    <w:rsid w:val="001F2083"/>
    <w:rsid w:val="001F20D0"/>
    <w:rsid w:val="001F20E8"/>
    <w:rsid w:val="001F216A"/>
    <w:rsid w:val="001F2186"/>
    <w:rsid w:val="001F2280"/>
    <w:rsid w:val="001F2299"/>
    <w:rsid w:val="001F2350"/>
    <w:rsid w:val="001F2496"/>
    <w:rsid w:val="001F25C0"/>
    <w:rsid w:val="001F2640"/>
    <w:rsid w:val="001F2773"/>
    <w:rsid w:val="001F27AC"/>
    <w:rsid w:val="001F2869"/>
    <w:rsid w:val="001F2874"/>
    <w:rsid w:val="001F288D"/>
    <w:rsid w:val="001F2926"/>
    <w:rsid w:val="001F2960"/>
    <w:rsid w:val="001F297B"/>
    <w:rsid w:val="001F29B9"/>
    <w:rsid w:val="001F2A15"/>
    <w:rsid w:val="001F2A92"/>
    <w:rsid w:val="001F2AB4"/>
    <w:rsid w:val="001F2AE8"/>
    <w:rsid w:val="001F2B52"/>
    <w:rsid w:val="001F2BCD"/>
    <w:rsid w:val="001F2C5F"/>
    <w:rsid w:val="001F2D6D"/>
    <w:rsid w:val="001F2D73"/>
    <w:rsid w:val="001F2DC7"/>
    <w:rsid w:val="001F2E18"/>
    <w:rsid w:val="001F2E27"/>
    <w:rsid w:val="001F2EE4"/>
    <w:rsid w:val="001F2F8F"/>
    <w:rsid w:val="001F2FB2"/>
    <w:rsid w:val="001F2FB6"/>
    <w:rsid w:val="001F2FC8"/>
    <w:rsid w:val="001F2FCD"/>
    <w:rsid w:val="001F3058"/>
    <w:rsid w:val="001F315B"/>
    <w:rsid w:val="001F3167"/>
    <w:rsid w:val="001F31A4"/>
    <w:rsid w:val="001F31A6"/>
    <w:rsid w:val="001F31BC"/>
    <w:rsid w:val="001F329F"/>
    <w:rsid w:val="001F334D"/>
    <w:rsid w:val="001F33EF"/>
    <w:rsid w:val="001F3413"/>
    <w:rsid w:val="001F3466"/>
    <w:rsid w:val="001F3494"/>
    <w:rsid w:val="001F351E"/>
    <w:rsid w:val="001F3539"/>
    <w:rsid w:val="001F36C1"/>
    <w:rsid w:val="001F36CE"/>
    <w:rsid w:val="001F385B"/>
    <w:rsid w:val="001F3892"/>
    <w:rsid w:val="001F38AA"/>
    <w:rsid w:val="001F38EA"/>
    <w:rsid w:val="001F38F0"/>
    <w:rsid w:val="001F38F3"/>
    <w:rsid w:val="001F38F5"/>
    <w:rsid w:val="001F393A"/>
    <w:rsid w:val="001F3980"/>
    <w:rsid w:val="001F3987"/>
    <w:rsid w:val="001F3A6A"/>
    <w:rsid w:val="001F3A96"/>
    <w:rsid w:val="001F3AAD"/>
    <w:rsid w:val="001F3BFE"/>
    <w:rsid w:val="001F3C6E"/>
    <w:rsid w:val="001F3C74"/>
    <w:rsid w:val="001F3C8D"/>
    <w:rsid w:val="001F3CDC"/>
    <w:rsid w:val="001F3D95"/>
    <w:rsid w:val="001F3DF4"/>
    <w:rsid w:val="001F3E15"/>
    <w:rsid w:val="001F3E52"/>
    <w:rsid w:val="001F3EA6"/>
    <w:rsid w:val="001F3ED0"/>
    <w:rsid w:val="001F3EF7"/>
    <w:rsid w:val="001F3F1F"/>
    <w:rsid w:val="001F3F6A"/>
    <w:rsid w:val="001F3FCE"/>
    <w:rsid w:val="001F4011"/>
    <w:rsid w:val="001F403C"/>
    <w:rsid w:val="001F40E4"/>
    <w:rsid w:val="001F411A"/>
    <w:rsid w:val="001F415F"/>
    <w:rsid w:val="001F425E"/>
    <w:rsid w:val="001F43BB"/>
    <w:rsid w:val="001F43C1"/>
    <w:rsid w:val="001F43C6"/>
    <w:rsid w:val="001F45CA"/>
    <w:rsid w:val="001F4646"/>
    <w:rsid w:val="001F4683"/>
    <w:rsid w:val="001F46E4"/>
    <w:rsid w:val="001F4762"/>
    <w:rsid w:val="001F47B7"/>
    <w:rsid w:val="001F47BC"/>
    <w:rsid w:val="001F4840"/>
    <w:rsid w:val="001F4846"/>
    <w:rsid w:val="001F485E"/>
    <w:rsid w:val="001F498D"/>
    <w:rsid w:val="001F4A14"/>
    <w:rsid w:val="001F4A42"/>
    <w:rsid w:val="001F4AAB"/>
    <w:rsid w:val="001F4ACB"/>
    <w:rsid w:val="001F4B2B"/>
    <w:rsid w:val="001F4C35"/>
    <w:rsid w:val="001F4C8A"/>
    <w:rsid w:val="001F4D0D"/>
    <w:rsid w:val="001F4D3C"/>
    <w:rsid w:val="001F4D4A"/>
    <w:rsid w:val="001F4D77"/>
    <w:rsid w:val="001F4D83"/>
    <w:rsid w:val="001F4DFF"/>
    <w:rsid w:val="001F4E16"/>
    <w:rsid w:val="001F4E4A"/>
    <w:rsid w:val="001F4E53"/>
    <w:rsid w:val="001F4EAC"/>
    <w:rsid w:val="001F4EBB"/>
    <w:rsid w:val="001F4EED"/>
    <w:rsid w:val="001F4F1A"/>
    <w:rsid w:val="001F4F49"/>
    <w:rsid w:val="001F4F5C"/>
    <w:rsid w:val="001F4FA6"/>
    <w:rsid w:val="001F4FDD"/>
    <w:rsid w:val="001F4FE1"/>
    <w:rsid w:val="001F4FE4"/>
    <w:rsid w:val="001F4FFE"/>
    <w:rsid w:val="001F512E"/>
    <w:rsid w:val="001F5138"/>
    <w:rsid w:val="001F5148"/>
    <w:rsid w:val="001F51A8"/>
    <w:rsid w:val="001F51D4"/>
    <w:rsid w:val="001F51ED"/>
    <w:rsid w:val="001F525A"/>
    <w:rsid w:val="001F526C"/>
    <w:rsid w:val="001F5315"/>
    <w:rsid w:val="001F5341"/>
    <w:rsid w:val="001F534B"/>
    <w:rsid w:val="001F53AD"/>
    <w:rsid w:val="001F5405"/>
    <w:rsid w:val="001F55D4"/>
    <w:rsid w:val="001F55DA"/>
    <w:rsid w:val="001F55E0"/>
    <w:rsid w:val="001F56D1"/>
    <w:rsid w:val="001F5719"/>
    <w:rsid w:val="001F578A"/>
    <w:rsid w:val="001F57AF"/>
    <w:rsid w:val="001F57F6"/>
    <w:rsid w:val="001F58AE"/>
    <w:rsid w:val="001F593E"/>
    <w:rsid w:val="001F598E"/>
    <w:rsid w:val="001F59F5"/>
    <w:rsid w:val="001F5A07"/>
    <w:rsid w:val="001F5A0A"/>
    <w:rsid w:val="001F5A53"/>
    <w:rsid w:val="001F5B67"/>
    <w:rsid w:val="001F5C2E"/>
    <w:rsid w:val="001F5C38"/>
    <w:rsid w:val="001F5CDE"/>
    <w:rsid w:val="001F5D4A"/>
    <w:rsid w:val="001F5D51"/>
    <w:rsid w:val="001F5D7F"/>
    <w:rsid w:val="001F5DE8"/>
    <w:rsid w:val="001F5E36"/>
    <w:rsid w:val="001F5E54"/>
    <w:rsid w:val="001F5EB3"/>
    <w:rsid w:val="001F5EC0"/>
    <w:rsid w:val="001F5F0E"/>
    <w:rsid w:val="001F5F77"/>
    <w:rsid w:val="001F5FCA"/>
    <w:rsid w:val="001F6024"/>
    <w:rsid w:val="001F6060"/>
    <w:rsid w:val="001F6149"/>
    <w:rsid w:val="001F6184"/>
    <w:rsid w:val="001F624D"/>
    <w:rsid w:val="001F62A3"/>
    <w:rsid w:val="001F62DC"/>
    <w:rsid w:val="001F6446"/>
    <w:rsid w:val="001F64A6"/>
    <w:rsid w:val="001F64BD"/>
    <w:rsid w:val="001F64D9"/>
    <w:rsid w:val="001F6514"/>
    <w:rsid w:val="001F65CD"/>
    <w:rsid w:val="001F6603"/>
    <w:rsid w:val="001F66E3"/>
    <w:rsid w:val="001F6781"/>
    <w:rsid w:val="001F67FB"/>
    <w:rsid w:val="001F67FD"/>
    <w:rsid w:val="001F680F"/>
    <w:rsid w:val="001F6810"/>
    <w:rsid w:val="001F6844"/>
    <w:rsid w:val="001F688E"/>
    <w:rsid w:val="001F68AA"/>
    <w:rsid w:val="001F68AD"/>
    <w:rsid w:val="001F68EC"/>
    <w:rsid w:val="001F68FE"/>
    <w:rsid w:val="001F6929"/>
    <w:rsid w:val="001F693D"/>
    <w:rsid w:val="001F6996"/>
    <w:rsid w:val="001F6A7C"/>
    <w:rsid w:val="001F6B39"/>
    <w:rsid w:val="001F6B3E"/>
    <w:rsid w:val="001F6B65"/>
    <w:rsid w:val="001F6B67"/>
    <w:rsid w:val="001F6B72"/>
    <w:rsid w:val="001F6B97"/>
    <w:rsid w:val="001F6BB7"/>
    <w:rsid w:val="001F6CF6"/>
    <w:rsid w:val="001F6D96"/>
    <w:rsid w:val="001F6E02"/>
    <w:rsid w:val="001F6E28"/>
    <w:rsid w:val="001F6E94"/>
    <w:rsid w:val="001F6EB5"/>
    <w:rsid w:val="001F6F61"/>
    <w:rsid w:val="001F6FAF"/>
    <w:rsid w:val="001F6FFC"/>
    <w:rsid w:val="001F703B"/>
    <w:rsid w:val="001F7053"/>
    <w:rsid w:val="001F70B9"/>
    <w:rsid w:val="001F70C1"/>
    <w:rsid w:val="001F7149"/>
    <w:rsid w:val="001F715A"/>
    <w:rsid w:val="001F716B"/>
    <w:rsid w:val="001F71D1"/>
    <w:rsid w:val="001F71DD"/>
    <w:rsid w:val="001F7267"/>
    <w:rsid w:val="001F72D4"/>
    <w:rsid w:val="001F72DF"/>
    <w:rsid w:val="001F72E3"/>
    <w:rsid w:val="001F72F8"/>
    <w:rsid w:val="001F7390"/>
    <w:rsid w:val="001F73BD"/>
    <w:rsid w:val="001F73CD"/>
    <w:rsid w:val="001F746B"/>
    <w:rsid w:val="001F74EF"/>
    <w:rsid w:val="001F7572"/>
    <w:rsid w:val="001F760D"/>
    <w:rsid w:val="001F7688"/>
    <w:rsid w:val="001F769F"/>
    <w:rsid w:val="001F770E"/>
    <w:rsid w:val="001F7726"/>
    <w:rsid w:val="001F7768"/>
    <w:rsid w:val="001F7792"/>
    <w:rsid w:val="001F77C9"/>
    <w:rsid w:val="001F7803"/>
    <w:rsid w:val="001F7819"/>
    <w:rsid w:val="001F7832"/>
    <w:rsid w:val="001F7954"/>
    <w:rsid w:val="001F795E"/>
    <w:rsid w:val="001F7964"/>
    <w:rsid w:val="001F7975"/>
    <w:rsid w:val="001F79C6"/>
    <w:rsid w:val="001F79F6"/>
    <w:rsid w:val="001F7A98"/>
    <w:rsid w:val="001F7ABE"/>
    <w:rsid w:val="001F7AC2"/>
    <w:rsid w:val="001F7BAD"/>
    <w:rsid w:val="001F7C1A"/>
    <w:rsid w:val="001F7CA2"/>
    <w:rsid w:val="001F7CF6"/>
    <w:rsid w:val="001F7D4A"/>
    <w:rsid w:val="001F7D93"/>
    <w:rsid w:val="001F7D99"/>
    <w:rsid w:val="001F7DA1"/>
    <w:rsid w:val="001F7DB6"/>
    <w:rsid w:val="001F7DE2"/>
    <w:rsid w:val="001F7E4B"/>
    <w:rsid w:val="001F7EFC"/>
    <w:rsid w:val="001F7F98"/>
    <w:rsid w:val="001F7FB8"/>
    <w:rsid w:val="001FE817"/>
    <w:rsid w:val="0020006D"/>
    <w:rsid w:val="0020007D"/>
    <w:rsid w:val="002000B7"/>
    <w:rsid w:val="00200151"/>
    <w:rsid w:val="0020017B"/>
    <w:rsid w:val="002002B3"/>
    <w:rsid w:val="002002F1"/>
    <w:rsid w:val="00200339"/>
    <w:rsid w:val="0020033D"/>
    <w:rsid w:val="00200377"/>
    <w:rsid w:val="0020044E"/>
    <w:rsid w:val="002004EF"/>
    <w:rsid w:val="00200500"/>
    <w:rsid w:val="00200509"/>
    <w:rsid w:val="0020050A"/>
    <w:rsid w:val="00200523"/>
    <w:rsid w:val="00200549"/>
    <w:rsid w:val="00200557"/>
    <w:rsid w:val="002005DC"/>
    <w:rsid w:val="0020060D"/>
    <w:rsid w:val="002007AF"/>
    <w:rsid w:val="002007CB"/>
    <w:rsid w:val="002007F9"/>
    <w:rsid w:val="002007FF"/>
    <w:rsid w:val="0020080A"/>
    <w:rsid w:val="00200824"/>
    <w:rsid w:val="00200838"/>
    <w:rsid w:val="0020089B"/>
    <w:rsid w:val="002009B4"/>
    <w:rsid w:val="00200A1C"/>
    <w:rsid w:val="00200AF7"/>
    <w:rsid w:val="00200C11"/>
    <w:rsid w:val="00200C1E"/>
    <w:rsid w:val="00200CBC"/>
    <w:rsid w:val="00200DC2"/>
    <w:rsid w:val="00200DDE"/>
    <w:rsid w:val="00200DE2"/>
    <w:rsid w:val="00200DE5"/>
    <w:rsid w:val="00200E71"/>
    <w:rsid w:val="00200E95"/>
    <w:rsid w:val="00201088"/>
    <w:rsid w:val="002010E2"/>
    <w:rsid w:val="00201219"/>
    <w:rsid w:val="0020124E"/>
    <w:rsid w:val="00201257"/>
    <w:rsid w:val="0020129F"/>
    <w:rsid w:val="002012B2"/>
    <w:rsid w:val="002012CB"/>
    <w:rsid w:val="0020131B"/>
    <w:rsid w:val="00201351"/>
    <w:rsid w:val="002013B4"/>
    <w:rsid w:val="002013CA"/>
    <w:rsid w:val="0020142D"/>
    <w:rsid w:val="00201446"/>
    <w:rsid w:val="00201456"/>
    <w:rsid w:val="00201502"/>
    <w:rsid w:val="00201552"/>
    <w:rsid w:val="0020156D"/>
    <w:rsid w:val="002015DE"/>
    <w:rsid w:val="00201681"/>
    <w:rsid w:val="00201744"/>
    <w:rsid w:val="00201758"/>
    <w:rsid w:val="002017A4"/>
    <w:rsid w:val="00201805"/>
    <w:rsid w:val="00201823"/>
    <w:rsid w:val="002018A5"/>
    <w:rsid w:val="002018E4"/>
    <w:rsid w:val="0020196C"/>
    <w:rsid w:val="002019CC"/>
    <w:rsid w:val="002019E7"/>
    <w:rsid w:val="00201A12"/>
    <w:rsid w:val="00201A77"/>
    <w:rsid w:val="00201AE4"/>
    <w:rsid w:val="00201AE5"/>
    <w:rsid w:val="00201BB3"/>
    <w:rsid w:val="00201CCA"/>
    <w:rsid w:val="00201CE7"/>
    <w:rsid w:val="00201CED"/>
    <w:rsid w:val="00201D76"/>
    <w:rsid w:val="00201DA9"/>
    <w:rsid w:val="00201DFC"/>
    <w:rsid w:val="00201E0C"/>
    <w:rsid w:val="00201EF2"/>
    <w:rsid w:val="002020A7"/>
    <w:rsid w:val="002020F9"/>
    <w:rsid w:val="0020212E"/>
    <w:rsid w:val="0020220B"/>
    <w:rsid w:val="00202230"/>
    <w:rsid w:val="0020224A"/>
    <w:rsid w:val="00202279"/>
    <w:rsid w:val="002023FD"/>
    <w:rsid w:val="00202442"/>
    <w:rsid w:val="002024C3"/>
    <w:rsid w:val="002024C5"/>
    <w:rsid w:val="002024CB"/>
    <w:rsid w:val="0020250E"/>
    <w:rsid w:val="00202665"/>
    <w:rsid w:val="0020268F"/>
    <w:rsid w:val="002027F4"/>
    <w:rsid w:val="00202841"/>
    <w:rsid w:val="0020285C"/>
    <w:rsid w:val="002028B8"/>
    <w:rsid w:val="002028BF"/>
    <w:rsid w:val="002028C7"/>
    <w:rsid w:val="002028D8"/>
    <w:rsid w:val="0020295F"/>
    <w:rsid w:val="00202984"/>
    <w:rsid w:val="00202985"/>
    <w:rsid w:val="00202A00"/>
    <w:rsid w:val="00202A2F"/>
    <w:rsid w:val="00202A84"/>
    <w:rsid w:val="00202AE0"/>
    <w:rsid w:val="00202B1A"/>
    <w:rsid w:val="00202B52"/>
    <w:rsid w:val="00202B63"/>
    <w:rsid w:val="00202B74"/>
    <w:rsid w:val="00202C00"/>
    <w:rsid w:val="00202C75"/>
    <w:rsid w:val="00202C94"/>
    <w:rsid w:val="00202D1A"/>
    <w:rsid w:val="00202D6D"/>
    <w:rsid w:val="00202D97"/>
    <w:rsid w:val="00202E3F"/>
    <w:rsid w:val="00202E60"/>
    <w:rsid w:val="00202F4D"/>
    <w:rsid w:val="00202F64"/>
    <w:rsid w:val="00202FFA"/>
    <w:rsid w:val="0020302F"/>
    <w:rsid w:val="00203072"/>
    <w:rsid w:val="002030F0"/>
    <w:rsid w:val="002031A5"/>
    <w:rsid w:val="00203213"/>
    <w:rsid w:val="00203225"/>
    <w:rsid w:val="0020324D"/>
    <w:rsid w:val="002032AC"/>
    <w:rsid w:val="0020338B"/>
    <w:rsid w:val="0020342B"/>
    <w:rsid w:val="00203469"/>
    <w:rsid w:val="0020346B"/>
    <w:rsid w:val="00203478"/>
    <w:rsid w:val="002034C2"/>
    <w:rsid w:val="002034F6"/>
    <w:rsid w:val="00203561"/>
    <w:rsid w:val="0020356D"/>
    <w:rsid w:val="00203586"/>
    <w:rsid w:val="00203601"/>
    <w:rsid w:val="00203647"/>
    <w:rsid w:val="00203655"/>
    <w:rsid w:val="00203670"/>
    <w:rsid w:val="002036A6"/>
    <w:rsid w:val="002036F7"/>
    <w:rsid w:val="00203778"/>
    <w:rsid w:val="002037D9"/>
    <w:rsid w:val="00203809"/>
    <w:rsid w:val="0020381D"/>
    <w:rsid w:val="002038DD"/>
    <w:rsid w:val="00203912"/>
    <w:rsid w:val="0020392F"/>
    <w:rsid w:val="0020395F"/>
    <w:rsid w:val="00203994"/>
    <w:rsid w:val="002039BE"/>
    <w:rsid w:val="002039D0"/>
    <w:rsid w:val="00203A33"/>
    <w:rsid w:val="00203A41"/>
    <w:rsid w:val="00203A52"/>
    <w:rsid w:val="00203B3B"/>
    <w:rsid w:val="00203B4A"/>
    <w:rsid w:val="00203B58"/>
    <w:rsid w:val="00203C1B"/>
    <w:rsid w:val="00203C4A"/>
    <w:rsid w:val="00203C5B"/>
    <w:rsid w:val="00203C68"/>
    <w:rsid w:val="00203CA6"/>
    <w:rsid w:val="00203CEB"/>
    <w:rsid w:val="00203D76"/>
    <w:rsid w:val="00203D7C"/>
    <w:rsid w:val="00203DE2"/>
    <w:rsid w:val="00203DF8"/>
    <w:rsid w:val="00203E17"/>
    <w:rsid w:val="00203E36"/>
    <w:rsid w:val="00203EC0"/>
    <w:rsid w:val="00203F09"/>
    <w:rsid w:val="00203F53"/>
    <w:rsid w:val="00203F5B"/>
    <w:rsid w:val="002040B4"/>
    <w:rsid w:val="002040E0"/>
    <w:rsid w:val="0020417D"/>
    <w:rsid w:val="00204185"/>
    <w:rsid w:val="002041FE"/>
    <w:rsid w:val="0020426D"/>
    <w:rsid w:val="0020427A"/>
    <w:rsid w:val="00204287"/>
    <w:rsid w:val="002042ED"/>
    <w:rsid w:val="00204385"/>
    <w:rsid w:val="002043A3"/>
    <w:rsid w:val="002043DA"/>
    <w:rsid w:val="002043F2"/>
    <w:rsid w:val="0020441F"/>
    <w:rsid w:val="00204458"/>
    <w:rsid w:val="00204470"/>
    <w:rsid w:val="0020448F"/>
    <w:rsid w:val="00204502"/>
    <w:rsid w:val="0020456F"/>
    <w:rsid w:val="00204578"/>
    <w:rsid w:val="002045CE"/>
    <w:rsid w:val="002045F4"/>
    <w:rsid w:val="002045FB"/>
    <w:rsid w:val="0020468E"/>
    <w:rsid w:val="002046C7"/>
    <w:rsid w:val="00204746"/>
    <w:rsid w:val="00204768"/>
    <w:rsid w:val="00204806"/>
    <w:rsid w:val="00204856"/>
    <w:rsid w:val="0020486C"/>
    <w:rsid w:val="002048A1"/>
    <w:rsid w:val="00204961"/>
    <w:rsid w:val="00204964"/>
    <w:rsid w:val="00204984"/>
    <w:rsid w:val="00204987"/>
    <w:rsid w:val="002049A3"/>
    <w:rsid w:val="002049CD"/>
    <w:rsid w:val="002049FF"/>
    <w:rsid w:val="00204A07"/>
    <w:rsid w:val="00204A88"/>
    <w:rsid w:val="00204A90"/>
    <w:rsid w:val="00204A9D"/>
    <w:rsid w:val="00204ABC"/>
    <w:rsid w:val="00204ADE"/>
    <w:rsid w:val="00204AF8"/>
    <w:rsid w:val="00204B12"/>
    <w:rsid w:val="00204B1D"/>
    <w:rsid w:val="00204B64"/>
    <w:rsid w:val="00204C11"/>
    <w:rsid w:val="00204C46"/>
    <w:rsid w:val="00204CAC"/>
    <w:rsid w:val="00204D0F"/>
    <w:rsid w:val="00204D5B"/>
    <w:rsid w:val="00204D8B"/>
    <w:rsid w:val="00204D99"/>
    <w:rsid w:val="00204EEA"/>
    <w:rsid w:val="00204EF8"/>
    <w:rsid w:val="00204FA2"/>
    <w:rsid w:val="00204FA7"/>
    <w:rsid w:val="00204FCB"/>
    <w:rsid w:val="0020509F"/>
    <w:rsid w:val="00205151"/>
    <w:rsid w:val="0020515A"/>
    <w:rsid w:val="002051EC"/>
    <w:rsid w:val="002052AA"/>
    <w:rsid w:val="00205307"/>
    <w:rsid w:val="0020530A"/>
    <w:rsid w:val="0020536A"/>
    <w:rsid w:val="00205415"/>
    <w:rsid w:val="002054CF"/>
    <w:rsid w:val="002054F9"/>
    <w:rsid w:val="002055E3"/>
    <w:rsid w:val="0020561A"/>
    <w:rsid w:val="0020561F"/>
    <w:rsid w:val="00205658"/>
    <w:rsid w:val="00205690"/>
    <w:rsid w:val="002056CB"/>
    <w:rsid w:val="0020570A"/>
    <w:rsid w:val="0020571A"/>
    <w:rsid w:val="00205807"/>
    <w:rsid w:val="0020580D"/>
    <w:rsid w:val="002058CE"/>
    <w:rsid w:val="00205938"/>
    <w:rsid w:val="00205941"/>
    <w:rsid w:val="00205943"/>
    <w:rsid w:val="00205960"/>
    <w:rsid w:val="0020596C"/>
    <w:rsid w:val="00205981"/>
    <w:rsid w:val="00205AE4"/>
    <w:rsid w:val="00205B49"/>
    <w:rsid w:val="00205B56"/>
    <w:rsid w:val="00205BA9"/>
    <w:rsid w:val="00205BB3"/>
    <w:rsid w:val="00205C9D"/>
    <w:rsid w:val="00205CBE"/>
    <w:rsid w:val="00205D3A"/>
    <w:rsid w:val="00205DDB"/>
    <w:rsid w:val="00205EBC"/>
    <w:rsid w:val="00205F89"/>
    <w:rsid w:val="00206188"/>
    <w:rsid w:val="0020625C"/>
    <w:rsid w:val="00206394"/>
    <w:rsid w:val="002063E3"/>
    <w:rsid w:val="00206406"/>
    <w:rsid w:val="0020640D"/>
    <w:rsid w:val="00206442"/>
    <w:rsid w:val="002064D7"/>
    <w:rsid w:val="002064D8"/>
    <w:rsid w:val="002064F8"/>
    <w:rsid w:val="00206575"/>
    <w:rsid w:val="00206582"/>
    <w:rsid w:val="0020659C"/>
    <w:rsid w:val="002065A8"/>
    <w:rsid w:val="002065F8"/>
    <w:rsid w:val="00206641"/>
    <w:rsid w:val="002066E5"/>
    <w:rsid w:val="002067FB"/>
    <w:rsid w:val="002067FF"/>
    <w:rsid w:val="0020684A"/>
    <w:rsid w:val="002068CB"/>
    <w:rsid w:val="00206946"/>
    <w:rsid w:val="00206964"/>
    <w:rsid w:val="00206967"/>
    <w:rsid w:val="002069BB"/>
    <w:rsid w:val="00206A01"/>
    <w:rsid w:val="00206A51"/>
    <w:rsid w:val="00206A80"/>
    <w:rsid w:val="00206A9F"/>
    <w:rsid w:val="00206AC4"/>
    <w:rsid w:val="00206AF4"/>
    <w:rsid w:val="00206B6B"/>
    <w:rsid w:val="00206BDD"/>
    <w:rsid w:val="00206BEF"/>
    <w:rsid w:val="00206C05"/>
    <w:rsid w:val="00206C0A"/>
    <w:rsid w:val="00206C4F"/>
    <w:rsid w:val="00206CB5"/>
    <w:rsid w:val="00206DB4"/>
    <w:rsid w:val="00206E2E"/>
    <w:rsid w:val="00206E37"/>
    <w:rsid w:val="00206E38"/>
    <w:rsid w:val="00206F26"/>
    <w:rsid w:val="00206F5A"/>
    <w:rsid w:val="00206FB4"/>
    <w:rsid w:val="00206FBF"/>
    <w:rsid w:val="00206FDF"/>
    <w:rsid w:val="00206FFD"/>
    <w:rsid w:val="0020706E"/>
    <w:rsid w:val="0020708E"/>
    <w:rsid w:val="00207143"/>
    <w:rsid w:val="00207168"/>
    <w:rsid w:val="002071B4"/>
    <w:rsid w:val="002071CC"/>
    <w:rsid w:val="0020725B"/>
    <w:rsid w:val="00207270"/>
    <w:rsid w:val="002072DF"/>
    <w:rsid w:val="0020730B"/>
    <w:rsid w:val="0020731C"/>
    <w:rsid w:val="00207325"/>
    <w:rsid w:val="00207364"/>
    <w:rsid w:val="00207396"/>
    <w:rsid w:val="002073A9"/>
    <w:rsid w:val="002073B4"/>
    <w:rsid w:val="002073FB"/>
    <w:rsid w:val="0020743E"/>
    <w:rsid w:val="002074C2"/>
    <w:rsid w:val="002074D4"/>
    <w:rsid w:val="00207506"/>
    <w:rsid w:val="0020754F"/>
    <w:rsid w:val="00207608"/>
    <w:rsid w:val="00207617"/>
    <w:rsid w:val="0020768D"/>
    <w:rsid w:val="002077B0"/>
    <w:rsid w:val="002077C8"/>
    <w:rsid w:val="002078CD"/>
    <w:rsid w:val="002078D5"/>
    <w:rsid w:val="002079C6"/>
    <w:rsid w:val="002079ED"/>
    <w:rsid w:val="00207A6D"/>
    <w:rsid w:val="00207ACB"/>
    <w:rsid w:val="00207AEA"/>
    <w:rsid w:val="00207B1F"/>
    <w:rsid w:val="00207B3B"/>
    <w:rsid w:val="00207B53"/>
    <w:rsid w:val="00207C13"/>
    <w:rsid w:val="00207CA7"/>
    <w:rsid w:val="00207CCE"/>
    <w:rsid w:val="00207D1E"/>
    <w:rsid w:val="00207DA8"/>
    <w:rsid w:val="00207DE3"/>
    <w:rsid w:val="00207F96"/>
    <w:rsid w:val="00207FB9"/>
    <w:rsid w:val="00207FC0"/>
    <w:rsid w:val="00207FC8"/>
    <w:rsid w:val="00210007"/>
    <w:rsid w:val="0021001A"/>
    <w:rsid w:val="00210047"/>
    <w:rsid w:val="0021008B"/>
    <w:rsid w:val="0021008E"/>
    <w:rsid w:val="002100B8"/>
    <w:rsid w:val="002100DA"/>
    <w:rsid w:val="00210186"/>
    <w:rsid w:val="002101AD"/>
    <w:rsid w:val="0021024E"/>
    <w:rsid w:val="002102C0"/>
    <w:rsid w:val="002102EA"/>
    <w:rsid w:val="002102ED"/>
    <w:rsid w:val="0021032F"/>
    <w:rsid w:val="0021033F"/>
    <w:rsid w:val="002103A8"/>
    <w:rsid w:val="002103C3"/>
    <w:rsid w:val="002103CE"/>
    <w:rsid w:val="002103E9"/>
    <w:rsid w:val="002103FA"/>
    <w:rsid w:val="00210466"/>
    <w:rsid w:val="00210494"/>
    <w:rsid w:val="00210513"/>
    <w:rsid w:val="00210648"/>
    <w:rsid w:val="0021064D"/>
    <w:rsid w:val="0021065F"/>
    <w:rsid w:val="0021067B"/>
    <w:rsid w:val="0021068E"/>
    <w:rsid w:val="002106FA"/>
    <w:rsid w:val="00210707"/>
    <w:rsid w:val="00210717"/>
    <w:rsid w:val="0021075D"/>
    <w:rsid w:val="00210844"/>
    <w:rsid w:val="0021087D"/>
    <w:rsid w:val="00210964"/>
    <w:rsid w:val="002109AE"/>
    <w:rsid w:val="002109E5"/>
    <w:rsid w:val="00210A49"/>
    <w:rsid w:val="00210A76"/>
    <w:rsid w:val="00210A9D"/>
    <w:rsid w:val="00210AC3"/>
    <w:rsid w:val="00210AF1"/>
    <w:rsid w:val="00210AFE"/>
    <w:rsid w:val="00210B5D"/>
    <w:rsid w:val="00210C18"/>
    <w:rsid w:val="00210C2F"/>
    <w:rsid w:val="00210C43"/>
    <w:rsid w:val="00210CA5"/>
    <w:rsid w:val="00210CE6"/>
    <w:rsid w:val="00210DC0"/>
    <w:rsid w:val="00210DE2"/>
    <w:rsid w:val="00210E13"/>
    <w:rsid w:val="00210E4A"/>
    <w:rsid w:val="00210E85"/>
    <w:rsid w:val="00210EC5"/>
    <w:rsid w:val="00210F0F"/>
    <w:rsid w:val="00210F29"/>
    <w:rsid w:val="00210F6D"/>
    <w:rsid w:val="00210FBB"/>
    <w:rsid w:val="002110DE"/>
    <w:rsid w:val="002110E8"/>
    <w:rsid w:val="002110EF"/>
    <w:rsid w:val="00211136"/>
    <w:rsid w:val="00211153"/>
    <w:rsid w:val="00211167"/>
    <w:rsid w:val="00211175"/>
    <w:rsid w:val="002111A5"/>
    <w:rsid w:val="002111C5"/>
    <w:rsid w:val="002111E7"/>
    <w:rsid w:val="00211342"/>
    <w:rsid w:val="00211361"/>
    <w:rsid w:val="0021138B"/>
    <w:rsid w:val="002114A5"/>
    <w:rsid w:val="002114CA"/>
    <w:rsid w:val="002115C1"/>
    <w:rsid w:val="002115C8"/>
    <w:rsid w:val="002115DC"/>
    <w:rsid w:val="002115E5"/>
    <w:rsid w:val="00211603"/>
    <w:rsid w:val="00211621"/>
    <w:rsid w:val="0021162B"/>
    <w:rsid w:val="0021162E"/>
    <w:rsid w:val="0021166F"/>
    <w:rsid w:val="00211691"/>
    <w:rsid w:val="0021169B"/>
    <w:rsid w:val="0021171B"/>
    <w:rsid w:val="0021173D"/>
    <w:rsid w:val="002117B5"/>
    <w:rsid w:val="002117DC"/>
    <w:rsid w:val="0021180F"/>
    <w:rsid w:val="0021181A"/>
    <w:rsid w:val="00211845"/>
    <w:rsid w:val="00211909"/>
    <w:rsid w:val="0021191D"/>
    <w:rsid w:val="00211A7A"/>
    <w:rsid w:val="00211CD6"/>
    <w:rsid w:val="00211CF5"/>
    <w:rsid w:val="00211D4D"/>
    <w:rsid w:val="00211D73"/>
    <w:rsid w:val="00211D74"/>
    <w:rsid w:val="00211DA7"/>
    <w:rsid w:val="00211DC9"/>
    <w:rsid w:val="00211DF8"/>
    <w:rsid w:val="00211E3F"/>
    <w:rsid w:val="00211E76"/>
    <w:rsid w:val="00211EC2"/>
    <w:rsid w:val="00211ECE"/>
    <w:rsid w:val="00211F69"/>
    <w:rsid w:val="00211F75"/>
    <w:rsid w:val="00211F80"/>
    <w:rsid w:val="00211F91"/>
    <w:rsid w:val="00211F9B"/>
    <w:rsid w:val="0021200F"/>
    <w:rsid w:val="00212015"/>
    <w:rsid w:val="0021205F"/>
    <w:rsid w:val="00212084"/>
    <w:rsid w:val="00212157"/>
    <w:rsid w:val="00212174"/>
    <w:rsid w:val="0021223D"/>
    <w:rsid w:val="0021230D"/>
    <w:rsid w:val="0021242E"/>
    <w:rsid w:val="00212496"/>
    <w:rsid w:val="00212516"/>
    <w:rsid w:val="0021251A"/>
    <w:rsid w:val="00212583"/>
    <w:rsid w:val="002125E5"/>
    <w:rsid w:val="0021260F"/>
    <w:rsid w:val="0021264D"/>
    <w:rsid w:val="0021266D"/>
    <w:rsid w:val="00212804"/>
    <w:rsid w:val="00212881"/>
    <w:rsid w:val="00212981"/>
    <w:rsid w:val="00212998"/>
    <w:rsid w:val="002129B7"/>
    <w:rsid w:val="00212A66"/>
    <w:rsid w:val="00212AA1"/>
    <w:rsid w:val="00212ABB"/>
    <w:rsid w:val="00212B19"/>
    <w:rsid w:val="00212B42"/>
    <w:rsid w:val="00212BE4"/>
    <w:rsid w:val="00212C82"/>
    <w:rsid w:val="00212CA5"/>
    <w:rsid w:val="00212D03"/>
    <w:rsid w:val="00212D06"/>
    <w:rsid w:val="00212D14"/>
    <w:rsid w:val="00212D3F"/>
    <w:rsid w:val="00212D85"/>
    <w:rsid w:val="00212DA1"/>
    <w:rsid w:val="00212ED8"/>
    <w:rsid w:val="00212F72"/>
    <w:rsid w:val="00212F81"/>
    <w:rsid w:val="00213061"/>
    <w:rsid w:val="0021307B"/>
    <w:rsid w:val="002130C0"/>
    <w:rsid w:val="00213112"/>
    <w:rsid w:val="00213196"/>
    <w:rsid w:val="00213226"/>
    <w:rsid w:val="00213270"/>
    <w:rsid w:val="002132DD"/>
    <w:rsid w:val="002132F5"/>
    <w:rsid w:val="00213321"/>
    <w:rsid w:val="00213388"/>
    <w:rsid w:val="0021339A"/>
    <w:rsid w:val="002133A1"/>
    <w:rsid w:val="0021341F"/>
    <w:rsid w:val="00213429"/>
    <w:rsid w:val="0021344C"/>
    <w:rsid w:val="00213457"/>
    <w:rsid w:val="00213489"/>
    <w:rsid w:val="002134B1"/>
    <w:rsid w:val="00213548"/>
    <w:rsid w:val="002135F3"/>
    <w:rsid w:val="00213650"/>
    <w:rsid w:val="002136C1"/>
    <w:rsid w:val="002136F6"/>
    <w:rsid w:val="00213732"/>
    <w:rsid w:val="00213734"/>
    <w:rsid w:val="0021373E"/>
    <w:rsid w:val="00213760"/>
    <w:rsid w:val="0021378C"/>
    <w:rsid w:val="002137E6"/>
    <w:rsid w:val="0021386A"/>
    <w:rsid w:val="0021387D"/>
    <w:rsid w:val="002138C9"/>
    <w:rsid w:val="00213918"/>
    <w:rsid w:val="002139DB"/>
    <w:rsid w:val="002139DC"/>
    <w:rsid w:val="00213ABB"/>
    <w:rsid w:val="00213B13"/>
    <w:rsid w:val="00213C09"/>
    <w:rsid w:val="00213C42"/>
    <w:rsid w:val="00213C69"/>
    <w:rsid w:val="00213C78"/>
    <w:rsid w:val="00213CBC"/>
    <w:rsid w:val="00213D14"/>
    <w:rsid w:val="00213D29"/>
    <w:rsid w:val="00213D3C"/>
    <w:rsid w:val="00213D85"/>
    <w:rsid w:val="00213D8B"/>
    <w:rsid w:val="00213D9F"/>
    <w:rsid w:val="00213DC4"/>
    <w:rsid w:val="00213E02"/>
    <w:rsid w:val="00213E04"/>
    <w:rsid w:val="00213E38"/>
    <w:rsid w:val="00213E39"/>
    <w:rsid w:val="00213E3E"/>
    <w:rsid w:val="00213E51"/>
    <w:rsid w:val="00213E68"/>
    <w:rsid w:val="00213EC7"/>
    <w:rsid w:val="00213EC8"/>
    <w:rsid w:val="00213ED8"/>
    <w:rsid w:val="00213EEA"/>
    <w:rsid w:val="00213F0C"/>
    <w:rsid w:val="00213F41"/>
    <w:rsid w:val="00213F80"/>
    <w:rsid w:val="00214029"/>
    <w:rsid w:val="002140B9"/>
    <w:rsid w:val="00214118"/>
    <w:rsid w:val="0021412A"/>
    <w:rsid w:val="00214158"/>
    <w:rsid w:val="002141E2"/>
    <w:rsid w:val="002141F9"/>
    <w:rsid w:val="0021421F"/>
    <w:rsid w:val="0021424E"/>
    <w:rsid w:val="00214267"/>
    <w:rsid w:val="00214326"/>
    <w:rsid w:val="00214332"/>
    <w:rsid w:val="0021434B"/>
    <w:rsid w:val="0021440B"/>
    <w:rsid w:val="00214411"/>
    <w:rsid w:val="002144A5"/>
    <w:rsid w:val="002144B4"/>
    <w:rsid w:val="002144D5"/>
    <w:rsid w:val="002144DB"/>
    <w:rsid w:val="00214581"/>
    <w:rsid w:val="00214687"/>
    <w:rsid w:val="0021473A"/>
    <w:rsid w:val="00214759"/>
    <w:rsid w:val="0021499A"/>
    <w:rsid w:val="00214A11"/>
    <w:rsid w:val="00214A95"/>
    <w:rsid w:val="00214AB6"/>
    <w:rsid w:val="00214B51"/>
    <w:rsid w:val="00214C5B"/>
    <w:rsid w:val="00214C69"/>
    <w:rsid w:val="00214C9A"/>
    <w:rsid w:val="00214D1E"/>
    <w:rsid w:val="00214D6C"/>
    <w:rsid w:val="00214DF7"/>
    <w:rsid w:val="00214DFE"/>
    <w:rsid w:val="00214E37"/>
    <w:rsid w:val="00214E91"/>
    <w:rsid w:val="00214F0E"/>
    <w:rsid w:val="00214F4C"/>
    <w:rsid w:val="00214F7A"/>
    <w:rsid w:val="00214FB5"/>
    <w:rsid w:val="00214FCD"/>
    <w:rsid w:val="00215069"/>
    <w:rsid w:val="00215075"/>
    <w:rsid w:val="002150B0"/>
    <w:rsid w:val="002150BB"/>
    <w:rsid w:val="002152EC"/>
    <w:rsid w:val="00215310"/>
    <w:rsid w:val="00215351"/>
    <w:rsid w:val="00215352"/>
    <w:rsid w:val="00215385"/>
    <w:rsid w:val="002154AD"/>
    <w:rsid w:val="002154BA"/>
    <w:rsid w:val="0021552C"/>
    <w:rsid w:val="002155D1"/>
    <w:rsid w:val="00215610"/>
    <w:rsid w:val="00215654"/>
    <w:rsid w:val="00215657"/>
    <w:rsid w:val="00215733"/>
    <w:rsid w:val="00215745"/>
    <w:rsid w:val="0021583A"/>
    <w:rsid w:val="00215887"/>
    <w:rsid w:val="00215896"/>
    <w:rsid w:val="0021596A"/>
    <w:rsid w:val="00215AC1"/>
    <w:rsid w:val="00215AC6"/>
    <w:rsid w:val="00215AF2"/>
    <w:rsid w:val="00215CF6"/>
    <w:rsid w:val="00215D2B"/>
    <w:rsid w:val="00215D56"/>
    <w:rsid w:val="00215DB8"/>
    <w:rsid w:val="00215DE0"/>
    <w:rsid w:val="00215E20"/>
    <w:rsid w:val="00215E49"/>
    <w:rsid w:val="00215F0C"/>
    <w:rsid w:val="00215F38"/>
    <w:rsid w:val="00215F67"/>
    <w:rsid w:val="00215F88"/>
    <w:rsid w:val="00215F9B"/>
    <w:rsid w:val="0021601A"/>
    <w:rsid w:val="0021602D"/>
    <w:rsid w:val="00216125"/>
    <w:rsid w:val="00216157"/>
    <w:rsid w:val="00216158"/>
    <w:rsid w:val="002161A8"/>
    <w:rsid w:val="002161B0"/>
    <w:rsid w:val="002161B3"/>
    <w:rsid w:val="002161ED"/>
    <w:rsid w:val="00216222"/>
    <w:rsid w:val="00216276"/>
    <w:rsid w:val="00216299"/>
    <w:rsid w:val="002162BB"/>
    <w:rsid w:val="002162E7"/>
    <w:rsid w:val="002162FB"/>
    <w:rsid w:val="002162FC"/>
    <w:rsid w:val="00216314"/>
    <w:rsid w:val="00216318"/>
    <w:rsid w:val="00216341"/>
    <w:rsid w:val="00216381"/>
    <w:rsid w:val="00216395"/>
    <w:rsid w:val="0021639E"/>
    <w:rsid w:val="002163E9"/>
    <w:rsid w:val="00216407"/>
    <w:rsid w:val="0021642E"/>
    <w:rsid w:val="00216440"/>
    <w:rsid w:val="002164B2"/>
    <w:rsid w:val="002164DD"/>
    <w:rsid w:val="00216560"/>
    <w:rsid w:val="00216588"/>
    <w:rsid w:val="002165D2"/>
    <w:rsid w:val="00216646"/>
    <w:rsid w:val="00216673"/>
    <w:rsid w:val="00216704"/>
    <w:rsid w:val="00216718"/>
    <w:rsid w:val="00216853"/>
    <w:rsid w:val="002168C7"/>
    <w:rsid w:val="00216A01"/>
    <w:rsid w:val="00216AF1"/>
    <w:rsid w:val="00216B28"/>
    <w:rsid w:val="00216B84"/>
    <w:rsid w:val="00216BB8"/>
    <w:rsid w:val="00216BF1"/>
    <w:rsid w:val="00216BF7"/>
    <w:rsid w:val="00216C18"/>
    <w:rsid w:val="00216C49"/>
    <w:rsid w:val="00216CA5"/>
    <w:rsid w:val="00216CC9"/>
    <w:rsid w:val="00216CF7"/>
    <w:rsid w:val="00216D0B"/>
    <w:rsid w:val="00216DA4"/>
    <w:rsid w:val="00216DF4"/>
    <w:rsid w:val="00216EC8"/>
    <w:rsid w:val="00216EF7"/>
    <w:rsid w:val="00216F54"/>
    <w:rsid w:val="00216FED"/>
    <w:rsid w:val="002170C3"/>
    <w:rsid w:val="0021711D"/>
    <w:rsid w:val="00217139"/>
    <w:rsid w:val="00217157"/>
    <w:rsid w:val="002171CF"/>
    <w:rsid w:val="00217256"/>
    <w:rsid w:val="0021725B"/>
    <w:rsid w:val="0021728E"/>
    <w:rsid w:val="002172E1"/>
    <w:rsid w:val="0021735F"/>
    <w:rsid w:val="002173D2"/>
    <w:rsid w:val="002174CF"/>
    <w:rsid w:val="002174DE"/>
    <w:rsid w:val="00217503"/>
    <w:rsid w:val="002175D7"/>
    <w:rsid w:val="002175DC"/>
    <w:rsid w:val="002175DF"/>
    <w:rsid w:val="00217607"/>
    <w:rsid w:val="00217610"/>
    <w:rsid w:val="00217660"/>
    <w:rsid w:val="0021772C"/>
    <w:rsid w:val="00217762"/>
    <w:rsid w:val="0021778F"/>
    <w:rsid w:val="002177AC"/>
    <w:rsid w:val="00217859"/>
    <w:rsid w:val="002178CB"/>
    <w:rsid w:val="00217921"/>
    <w:rsid w:val="0021796C"/>
    <w:rsid w:val="002179AE"/>
    <w:rsid w:val="002179B4"/>
    <w:rsid w:val="00217A7D"/>
    <w:rsid w:val="00217AC5"/>
    <w:rsid w:val="00217B0A"/>
    <w:rsid w:val="00217B2A"/>
    <w:rsid w:val="00217C6A"/>
    <w:rsid w:val="00217C83"/>
    <w:rsid w:val="00217CAB"/>
    <w:rsid w:val="00217D36"/>
    <w:rsid w:val="00217E0D"/>
    <w:rsid w:val="00217E5A"/>
    <w:rsid w:val="00217F0D"/>
    <w:rsid w:val="00217FA7"/>
    <w:rsid w:val="00217FF7"/>
    <w:rsid w:val="002200B3"/>
    <w:rsid w:val="002201F8"/>
    <w:rsid w:val="002201F9"/>
    <w:rsid w:val="00220217"/>
    <w:rsid w:val="002202B7"/>
    <w:rsid w:val="002202BA"/>
    <w:rsid w:val="002202F1"/>
    <w:rsid w:val="002202FE"/>
    <w:rsid w:val="0022032A"/>
    <w:rsid w:val="00220355"/>
    <w:rsid w:val="00220369"/>
    <w:rsid w:val="0022040B"/>
    <w:rsid w:val="00220423"/>
    <w:rsid w:val="00220476"/>
    <w:rsid w:val="002204E0"/>
    <w:rsid w:val="002205E8"/>
    <w:rsid w:val="00220600"/>
    <w:rsid w:val="0022065A"/>
    <w:rsid w:val="002206D2"/>
    <w:rsid w:val="00220747"/>
    <w:rsid w:val="00220753"/>
    <w:rsid w:val="00220889"/>
    <w:rsid w:val="00220925"/>
    <w:rsid w:val="00220937"/>
    <w:rsid w:val="00220A03"/>
    <w:rsid w:val="00220A0E"/>
    <w:rsid w:val="00220A50"/>
    <w:rsid w:val="00220A69"/>
    <w:rsid w:val="00220A8E"/>
    <w:rsid w:val="00220AA2"/>
    <w:rsid w:val="00220AA9"/>
    <w:rsid w:val="00220BD3"/>
    <w:rsid w:val="00220C9D"/>
    <w:rsid w:val="00220D34"/>
    <w:rsid w:val="00220D4D"/>
    <w:rsid w:val="00220D5C"/>
    <w:rsid w:val="00220DC3"/>
    <w:rsid w:val="00220E1B"/>
    <w:rsid w:val="00220E5B"/>
    <w:rsid w:val="00220E71"/>
    <w:rsid w:val="00220F49"/>
    <w:rsid w:val="00220FCF"/>
    <w:rsid w:val="0022100C"/>
    <w:rsid w:val="00221054"/>
    <w:rsid w:val="002210D2"/>
    <w:rsid w:val="00221144"/>
    <w:rsid w:val="0022119B"/>
    <w:rsid w:val="002211B7"/>
    <w:rsid w:val="002211FE"/>
    <w:rsid w:val="002212D6"/>
    <w:rsid w:val="00221340"/>
    <w:rsid w:val="0022136C"/>
    <w:rsid w:val="00221374"/>
    <w:rsid w:val="00221399"/>
    <w:rsid w:val="002213B2"/>
    <w:rsid w:val="0022141B"/>
    <w:rsid w:val="0022141F"/>
    <w:rsid w:val="00221440"/>
    <w:rsid w:val="00221469"/>
    <w:rsid w:val="00221480"/>
    <w:rsid w:val="002214A0"/>
    <w:rsid w:val="002214E4"/>
    <w:rsid w:val="0022151A"/>
    <w:rsid w:val="00221523"/>
    <w:rsid w:val="0022156D"/>
    <w:rsid w:val="002215A1"/>
    <w:rsid w:val="00221623"/>
    <w:rsid w:val="0022164F"/>
    <w:rsid w:val="002216DA"/>
    <w:rsid w:val="0022170F"/>
    <w:rsid w:val="00221719"/>
    <w:rsid w:val="002217F0"/>
    <w:rsid w:val="00221846"/>
    <w:rsid w:val="0022186B"/>
    <w:rsid w:val="0022186D"/>
    <w:rsid w:val="0022189C"/>
    <w:rsid w:val="002218EF"/>
    <w:rsid w:val="00221965"/>
    <w:rsid w:val="002219D7"/>
    <w:rsid w:val="00221A05"/>
    <w:rsid w:val="00221A13"/>
    <w:rsid w:val="00221A1E"/>
    <w:rsid w:val="00221A87"/>
    <w:rsid w:val="00221AB7"/>
    <w:rsid w:val="00221B15"/>
    <w:rsid w:val="00221B22"/>
    <w:rsid w:val="00221BA8"/>
    <w:rsid w:val="00221C06"/>
    <w:rsid w:val="00221C33"/>
    <w:rsid w:val="00221CBB"/>
    <w:rsid w:val="00221CC4"/>
    <w:rsid w:val="00221CD0"/>
    <w:rsid w:val="00221D45"/>
    <w:rsid w:val="00221D56"/>
    <w:rsid w:val="00221DAD"/>
    <w:rsid w:val="00221DC1"/>
    <w:rsid w:val="00221DFB"/>
    <w:rsid w:val="00221E2F"/>
    <w:rsid w:val="00221F20"/>
    <w:rsid w:val="00221F67"/>
    <w:rsid w:val="00221F7C"/>
    <w:rsid w:val="00221FA6"/>
    <w:rsid w:val="00221FAC"/>
    <w:rsid w:val="00221FDB"/>
    <w:rsid w:val="0022200C"/>
    <w:rsid w:val="0022205C"/>
    <w:rsid w:val="0022205D"/>
    <w:rsid w:val="00222066"/>
    <w:rsid w:val="00222068"/>
    <w:rsid w:val="00222070"/>
    <w:rsid w:val="002220B8"/>
    <w:rsid w:val="002220F7"/>
    <w:rsid w:val="00222130"/>
    <w:rsid w:val="00222149"/>
    <w:rsid w:val="00222182"/>
    <w:rsid w:val="002221DA"/>
    <w:rsid w:val="00222208"/>
    <w:rsid w:val="0022243B"/>
    <w:rsid w:val="002224DC"/>
    <w:rsid w:val="0022255E"/>
    <w:rsid w:val="002225C4"/>
    <w:rsid w:val="00222646"/>
    <w:rsid w:val="0022265F"/>
    <w:rsid w:val="002226E5"/>
    <w:rsid w:val="002226FD"/>
    <w:rsid w:val="002227AD"/>
    <w:rsid w:val="002227CD"/>
    <w:rsid w:val="002227E8"/>
    <w:rsid w:val="00222893"/>
    <w:rsid w:val="00222896"/>
    <w:rsid w:val="002228E8"/>
    <w:rsid w:val="00222924"/>
    <w:rsid w:val="0022295C"/>
    <w:rsid w:val="0022297F"/>
    <w:rsid w:val="002229A9"/>
    <w:rsid w:val="002229BC"/>
    <w:rsid w:val="00222AC9"/>
    <w:rsid w:val="00222ADA"/>
    <w:rsid w:val="00222B79"/>
    <w:rsid w:val="00222BF8"/>
    <w:rsid w:val="00222C70"/>
    <w:rsid w:val="00222D04"/>
    <w:rsid w:val="00222D36"/>
    <w:rsid w:val="00222D71"/>
    <w:rsid w:val="00222D7F"/>
    <w:rsid w:val="00222D96"/>
    <w:rsid w:val="00222DC7"/>
    <w:rsid w:val="00222E14"/>
    <w:rsid w:val="00222E45"/>
    <w:rsid w:val="00222E53"/>
    <w:rsid w:val="00222E97"/>
    <w:rsid w:val="00222ECD"/>
    <w:rsid w:val="00222F8A"/>
    <w:rsid w:val="00222F9A"/>
    <w:rsid w:val="00222FA8"/>
    <w:rsid w:val="0022302B"/>
    <w:rsid w:val="00223093"/>
    <w:rsid w:val="002230A2"/>
    <w:rsid w:val="002230AF"/>
    <w:rsid w:val="002230BD"/>
    <w:rsid w:val="00223128"/>
    <w:rsid w:val="00223174"/>
    <w:rsid w:val="002231A2"/>
    <w:rsid w:val="002231AC"/>
    <w:rsid w:val="002231E0"/>
    <w:rsid w:val="00223282"/>
    <w:rsid w:val="002232EB"/>
    <w:rsid w:val="00223322"/>
    <w:rsid w:val="0022335B"/>
    <w:rsid w:val="002233F4"/>
    <w:rsid w:val="002233F5"/>
    <w:rsid w:val="00223422"/>
    <w:rsid w:val="00223481"/>
    <w:rsid w:val="00223484"/>
    <w:rsid w:val="002234A7"/>
    <w:rsid w:val="002235C1"/>
    <w:rsid w:val="002235E0"/>
    <w:rsid w:val="00223604"/>
    <w:rsid w:val="00223669"/>
    <w:rsid w:val="00223702"/>
    <w:rsid w:val="00223743"/>
    <w:rsid w:val="00223791"/>
    <w:rsid w:val="002237AF"/>
    <w:rsid w:val="002237D6"/>
    <w:rsid w:val="00223824"/>
    <w:rsid w:val="002239F6"/>
    <w:rsid w:val="00223A31"/>
    <w:rsid w:val="00223A98"/>
    <w:rsid w:val="00223B65"/>
    <w:rsid w:val="00223B67"/>
    <w:rsid w:val="00223B7F"/>
    <w:rsid w:val="00223BA6"/>
    <w:rsid w:val="00223BFF"/>
    <w:rsid w:val="00223C4C"/>
    <w:rsid w:val="00223E4E"/>
    <w:rsid w:val="00223ED1"/>
    <w:rsid w:val="00223EEF"/>
    <w:rsid w:val="00223F02"/>
    <w:rsid w:val="00223F32"/>
    <w:rsid w:val="00223FA4"/>
    <w:rsid w:val="00223FAA"/>
    <w:rsid w:val="00223FC3"/>
    <w:rsid w:val="00224046"/>
    <w:rsid w:val="002240B8"/>
    <w:rsid w:val="002240FD"/>
    <w:rsid w:val="002241D7"/>
    <w:rsid w:val="002241E4"/>
    <w:rsid w:val="0022424E"/>
    <w:rsid w:val="002242A6"/>
    <w:rsid w:val="00224318"/>
    <w:rsid w:val="0022432B"/>
    <w:rsid w:val="00224332"/>
    <w:rsid w:val="00224349"/>
    <w:rsid w:val="00224388"/>
    <w:rsid w:val="002243ED"/>
    <w:rsid w:val="002244A8"/>
    <w:rsid w:val="00224535"/>
    <w:rsid w:val="00224630"/>
    <w:rsid w:val="00224644"/>
    <w:rsid w:val="00224662"/>
    <w:rsid w:val="002246EB"/>
    <w:rsid w:val="002246F3"/>
    <w:rsid w:val="002246FE"/>
    <w:rsid w:val="00224738"/>
    <w:rsid w:val="00224753"/>
    <w:rsid w:val="002247BF"/>
    <w:rsid w:val="00224802"/>
    <w:rsid w:val="0022480B"/>
    <w:rsid w:val="00224814"/>
    <w:rsid w:val="00224835"/>
    <w:rsid w:val="002248A1"/>
    <w:rsid w:val="00224905"/>
    <w:rsid w:val="00224AAD"/>
    <w:rsid w:val="00224AF4"/>
    <w:rsid w:val="00224B4D"/>
    <w:rsid w:val="00224BA5"/>
    <w:rsid w:val="00224BB5"/>
    <w:rsid w:val="00224BEB"/>
    <w:rsid w:val="00224C16"/>
    <w:rsid w:val="00224CA8"/>
    <w:rsid w:val="00224CC6"/>
    <w:rsid w:val="00224D7A"/>
    <w:rsid w:val="00224DA4"/>
    <w:rsid w:val="00224E72"/>
    <w:rsid w:val="00224EEF"/>
    <w:rsid w:val="00224FAC"/>
    <w:rsid w:val="0022509E"/>
    <w:rsid w:val="00225133"/>
    <w:rsid w:val="0022516B"/>
    <w:rsid w:val="002251E0"/>
    <w:rsid w:val="002251FA"/>
    <w:rsid w:val="0022522D"/>
    <w:rsid w:val="002252EE"/>
    <w:rsid w:val="00225385"/>
    <w:rsid w:val="00225419"/>
    <w:rsid w:val="0022541D"/>
    <w:rsid w:val="00225498"/>
    <w:rsid w:val="002254FC"/>
    <w:rsid w:val="00225501"/>
    <w:rsid w:val="00225534"/>
    <w:rsid w:val="00225583"/>
    <w:rsid w:val="002256BE"/>
    <w:rsid w:val="002256F6"/>
    <w:rsid w:val="00225761"/>
    <w:rsid w:val="00225779"/>
    <w:rsid w:val="002258CC"/>
    <w:rsid w:val="002258F5"/>
    <w:rsid w:val="00225901"/>
    <w:rsid w:val="0022598A"/>
    <w:rsid w:val="00225A18"/>
    <w:rsid w:val="00225A73"/>
    <w:rsid w:val="00225A94"/>
    <w:rsid w:val="00225AB5"/>
    <w:rsid w:val="00225AEF"/>
    <w:rsid w:val="00225AFE"/>
    <w:rsid w:val="00225C06"/>
    <w:rsid w:val="00225C2F"/>
    <w:rsid w:val="00225CC3"/>
    <w:rsid w:val="00225D84"/>
    <w:rsid w:val="00225DA4"/>
    <w:rsid w:val="00225DD9"/>
    <w:rsid w:val="00225E58"/>
    <w:rsid w:val="00225E5D"/>
    <w:rsid w:val="00225F52"/>
    <w:rsid w:val="00225F5D"/>
    <w:rsid w:val="00225FF3"/>
    <w:rsid w:val="00226049"/>
    <w:rsid w:val="00226071"/>
    <w:rsid w:val="00226077"/>
    <w:rsid w:val="00226093"/>
    <w:rsid w:val="002260F3"/>
    <w:rsid w:val="00226103"/>
    <w:rsid w:val="002261E7"/>
    <w:rsid w:val="002261F1"/>
    <w:rsid w:val="00226208"/>
    <w:rsid w:val="0022625A"/>
    <w:rsid w:val="00226329"/>
    <w:rsid w:val="00226340"/>
    <w:rsid w:val="00226387"/>
    <w:rsid w:val="002263B4"/>
    <w:rsid w:val="0022644F"/>
    <w:rsid w:val="0022648F"/>
    <w:rsid w:val="002264CC"/>
    <w:rsid w:val="00226568"/>
    <w:rsid w:val="0022658B"/>
    <w:rsid w:val="00226618"/>
    <w:rsid w:val="002266C7"/>
    <w:rsid w:val="00226703"/>
    <w:rsid w:val="0022670C"/>
    <w:rsid w:val="00226754"/>
    <w:rsid w:val="00226805"/>
    <w:rsid w:val="00226807"/>
    <w:rsid w:val="0022682B"/>
    <w:rsid w:val="00226832"/>
    <w:rsid w:val="002268A7"/>
    <w:rsid w:val="00226A8D"/>
    <w:rsid w:val="00226AA8"/>
    <w:rsid w:val="00226AD5"/>
    <w:rsid w:val="00226AF2"/>
    <w:rsid w:val="00226AF3"/>
    <w:rsid w:val="00226B5C"/>
    <w:rsid w:val="00226B85"/>
    <w:rsid w:val="00226BD0"/>
    <w:rsid w:val="00226C40"/>
    <w:rsid w:val="00226C41"/>
    <w:rsid w:val="00226C82"/>
    <w:rsid w:val="00226CD6"/>
    <w:rsid w:val="00226CE3"/>
    <w:rsid w:val="00226E6D"/>
    <w:rsid w:val="00226E70"/>
    <w:rsid w:val="00226F30"/>
    <w:rsid w:val="00226F61"/>
    <w:rsid w:val="00226F79"/>
    <w:rsid w:val="0022703A"/>
    <w:rsid w:val="00227078"/>
    <w:rsid w:val="002270BC"/>
    <w:rsid w:val="00227148"/>
    <w:rsid w:val="002271C6"/>
    <w:rsid w:val="00227245"/>
    <w:rsid w:val="0022728E"/>
    <w:rsid w:val="00227296"/>
    <w:rsid w:val="00227345"/>
    <w:rsid w:val="00227366"/>
    <w:rsid w:val="00227411"/>
    <w:rsid w:val="00227424"/>
    <w:rsid w:val="0022742E"/>
    <w:rsid w:val="00227495"/>
    <w:rsid w:val="00227512"/>
    <w:rsid w:val="002275A1"/>
    <w:rsid w:val="002275A3"/>
    <w:rsid w:val="002276C4"/>
    <w:rsid w:val="0022781F"/>
    <w:rsid w:val="00227840"/>
    <w:rsid w:val="00227851"/>
    <w:rsid w:val="00227881"/>
    <w:rsid w:val="00227889"/>
    <w:rsid w:val="002278BE"/>
    <w:rsid w:val="002278CC"/>
    <w:rsid w:val="002278F0"/>
    <w:rsid w:val="00227919"/>
    <w:rsid w:val="00227998"/>
    <w:rsid w:val="002279A1"/>
    <w:rsid w:val="002279EC"/>
    <w:rsid w:val="00227A67"/>
    <w:rsid w:val="00227BAD"/>
    <w:rsid w:val="00227C0F"/>
    <w:rsid w:val="00227C73"/>
    <w:rsid w:val="00227CCD"/>
    <w:rsid w:val="00227CF6"/>
    <w:rsid w:val="00227D61"/>
    <w:rsid w:val="00227DC2"/>
    <w:rsid w:val="00227DD0"/>
    <w:rsid w:val="00227DEB"/>
    <w:rsid w:val="00227E21"/>
    <w:rsid w:val="00227EA6"/>
    <w:rsid w:val="00227EF8"/>
    <w:rsid w:val="00227F30"/>
    <w:rsid w:val="00227F3A"/>
    <w:rsid w:val="00227F4D"/>
    <w:rsid w:val="00227F54"/>
    <w:rsid w:val="00227F64"/>
    <w:rsid w:val="00227FFA"/>
    <w:rsid w:val="00230016"/>
    <w:rsid w:val="002300DD"/>
    <w:rsid w:val="0023010E"/>
    <w:rsid w:val="002301AC"/>
    <w:rsid w:val="00230223"/>
    <w:rsid w:val="00230224"/>
    <w:rsid w:val="00230265"/>
    <w:rsid w:val="002302AB"/>
    <w:rsid w:val="00230302"/>
    <w:rsid w:val="00230333"/>
    <w:rsid w:val="002303BF"/>
    <w:rsid w:val="002303E3"/>
    <w:rsid w:val="0023040A"/>
    <w:rsid w:val="002304CE"/>
    <w:rsid w:val="0023057C"/>
    <w:rsid w:val="0023061E"/>
    <w:rsid w:val="002306CC"/>
    <w:rsid w:val="002306DB"/>
    <w:rsid w:val="00230716"/>
    <w:rsid w:val="0023072A"/>
    <w:rsid w:val="002307D5"/>
    <w:rsid w:val="002307E1"/>
    <w:rsid w:val="002307FE"/>
    <w:rsid w:val="002308C2"/>
    <w:rsid w:val="002308C5"/>
    <w:rsid w:val="0023091F"/>
    <w:rsid w:val="0023094A"/>
    <w:rsid w:val="00230A2A"/>
    <w:rsid w:val="00230A78"/>
    <w:rsid w:val="00230AC7"/>
    <w:rsid w:val="00230B2A"/>
    <w:rsid w:val="00230B74"/>
    <w:rsid w:val="00230BB3"/>
    <w:rsid w:val="00230BFD"/>
    <w:rsid w:val="00230C25"/>
    <w:rsid w:val="00230CA4"/>
    <w:rsid w:val="00230CE7"/>
    <w:rsid w:val="00230D4D"/>
    <w:rsid w:val="00230D55"/>
    <w:rsid w:val="00230DCD"/>
    <w:rsid w:val="00230DEE"/>
    <w:rsid w:val="00230E20"/>
    <w:rsid w:val="00230E93"/>
    <w:rsid w:val="00230F7E"/>
    <w:rsid w:val="00230FE6"/>
    <w:rsid w:val="0023104F"/>
    <w:rsid w:val="00231073"/>
    <w:rsid w:val="00231088"/>
    <w:rsid w:val="002310CD"/>
    <w:rsid w:val="00231188"/>
    <w:rsid w:val="00231227"/>
    <w:rsid w:val="002312BF"/>
    <w:rsid w:val="00231379"/>
    <w:rsid w:val="00231391"/>
    <w:rsid w:val="002313B5"/>
    <w:rsid w:val="0023147A"/>
    <w:rsid w:val="0023149C"/>
    <w:rsid w:val="002314E0"/>
    <w:rsid w:val="002314E8"/>
    <w:rsid w:val="00231531"/>
    <w:rsid w:val="002315A9"/>
    <w:rsid w:val="002315C4"/>
    <w:rsid w:val="002316D7"/>
    <w:rsid w:val="0023175A"/>
    <w:rsid w:val="00231770"/>
    <w:rsid w:val="002317DB"/>
    <w:rsid w:val="00231863"/>
    <w:rsid w:val="002318FF"/>
    <w:rsid w:val="00231924"/>
    <w:rsid w:val="00231961"/>
    <w:rsid w:val="00231964"/>
    <w:rsid w:val="00231966"/>
    <w:rsid w:val="00231A07"/>
    <w:rsid w:val="00231A73"/>
    <w:rsid w:val="00231A7E"/>
    <w:rsid w:val="00231A8C"/>
    <w:rsid w:val="00231A9E"/>
    <w:rsid w:val="00231A9F"/>
    <w:rsid w:val="00231AFD"/>
    <w:rsid w:val="00231B6D"/>
    <w:rsid w:val="00231C1C"/>
    <w:rsid w:val="00231D30"/>
    <w:rsid w:val="00231D3A"/>
    <w:rsid w:val="00231D82"/>
    <w:rsid w:val="00231E45"/>
    <w:rsid w:val="00231E4D"/>
    <w:rsid w:val="00231EF4"/>
    <w:rsid w:val="00231F73"/>
    <w:rsid w:val="00231F80"/>
    <w:rsid w:val="00232035"/>
    <w:rsid w:val="00232087"/>
    <w:rsid w:val="002320A1"/>
    <w:rsid w:val="002320EA"/>
    <w:rsid w:val="002320ED"/>
    <w:rsid w:val="0023211C"/>
    <w:rsid w:val="0023212C"/>
    <w:rsid w:val="002321AC"/>
    <w:rsid w:val="0023228B"/>
    <w:rsid w:val="002322A3"/>
    <w:rsid w:val="002322B2"/>
    <w:rsid w:val="002322FB"/>
    <w:rsid w:val="0023235F"/>
    <w:rsid w:val="00232367"/>
    <w:rsid w:val="002323B1"/>
    <w:rsid w:val="002323E9"/>
    <w:rsid w:val="0023248C"/>
    <w:rsid w:val="002324DA"/>
    <w:rsid w:val="0023251B"/>
    <w:rsid w:val="00232556"/>
    <w:rsid w:val="0023258D"/>
    <w:rsid w:val="002325AE"/>
    <w:rsid w:val="00232620"/>
    <w:rsid w:val="00232642"/>
    <w:rsid w:val="00232652"/>
    <w:rsid w:val="0023266A"/>
    <w:rsid w:val="0023268E"/>
    <w:rsid w:val="00232695"/>
    <w:rsid w:val="002326D5"/>
    <w:rsid w:val="0023272F"/>
    <w:rsid w:val="002327AB"/>
    <w:rsid w:val="002327CC"/>
    <w:rsid w:val="00232857"/>
    <w:rsid w:val="00232872"/>
    <w:rsid w:val="002328F7"/>
    <w:rsid w:val="00232959"/>
    <w:rsid w:val="0023296D"/>
    <w:rsid w:val="00232984"/>
    <w:rsid w:val="0023299C"/>
    <w:rsid w:val="002329CD"/>
    <w:rsid w:val="002329F1"/>
    <w:rsid w:val="00232A4C"/>
    <w:rsid w:val="00232A7D"/>
    <w:rsid w:val="00232B30"/>
    <w:rsid w:val="00232C4D"/>
    <w:rsid w:val="00232C56"/>
    <w:rsid w:val="00232C65"/>
    <w:rsid w:val="00232C77"/>
    <w:rsid w:val="00232D41"/>
    <w:rsid w:val="00232D71"/>
    <w:rsid w:val="00232D7B"/>
    <w:rsid w:val="00232D93"/>
    <w:rsid w:val="00232E3E"/>
    <w:rsid w:val="00232EB2"/>
    <w:rsid w:val="00232F07"/>
    <w:rsid w:val="00232F5D"/>
    <w:rsid w:val="00232F94"/>
    <w:rsid w:val="00232FF6"/>
    <w:rsid w:val="00233032"/>
    <w:rsid w:val="0023307C"/>
    <w:rsid w:val="00233092"/>
    <w:rsid w:val="0023309D"/>
    <w:rsid w:val="002330B2"/>
    <w:rsid w:val="002330B7"/>
    <w:rsid w:val="002330C2"/>
    <w:rsid w:val="0023312B"/>
    <w:rsid w:val="0023318F"/>
    <w:rsid w:val="002331ED"/>
    <w:rsid w:val="00233225"/>
    <w:rsid w:val="0023322B"/>
    <w:rsid w:val="00233266"/>
    <w:rsid w:val="00233267"/>
    <w:rsid w:val="00233287"/>
    <w:rsid w:val="002332C0"/>
    <w:rsid w:val="0023337C"/>
    <w:rsid w:val="00233385"/>
    <w:rsid w:val="002333A5"/>
    <w:rsid w:val="0023347D"/>
    <w:rsid w:val="002334FE"/>
    <w:rsid w:val="0023353E"/>
    <w:rsid w:val="002335E7"/>
    <w:rsid w:val="00233625"/>
    <w:rsid w:val="00233647"/>
    <w:rsid w:val="0023376C"/>
    <w:rsid w:val="002337DC"/>
    <w:rsid w:val="002337EA"/>
    <w:rsid w:val="002338AB"/>
    <w:rsid w:val="0023393B"/>
    <w:rsid w:val="002339A4"/>
    <w:rsid w:val="00233A88"/>
    <w:rsid w:val="00233B12"/>
    <w:rsid w:val="00233B40"/>
    <w:rsid w:val="00233B5D"/>
    <w:rsid w:val="00233B60"/>
    <w:rsid w:val="00233B68"/>
    <w:rsid w:val="00233B8E"/>
    <w:rsid w:val="00233C01"/>
    <w:rsid w:val="00233C10"/>
    <w:rsid w:val="00233C6D"/>
    <w:rsid w:val="00233D58"/>
    <w:rsid w:val="00233DCD"/>
    <w:rsid w:val="00233ED8"/>
    <w:rsid w:val="00233EED"/>
    <w:rsid w:val="00233F25"/>
    <w:rsid w:val="00233F32"/>
    <w:rsid w:val="00233F5C"/>
    <w:rsid w:val="00233FB2"/>
    <w:rsid w:val="00233FEB"/>
    <w:rsid w:val="00234023"/>
    <w:rsid w:val="0023404E"/>
    <w:rsid w:val="00234182"/>
    <w:rsid w:val="00234199"/>
    <w:rsid w:val="002341D7"/>
    <w:rsid w:val="002341DA"/>
    <w:rsid w:val="0023426F"/>
    <w:rsid w:val="00234299"/>
    <w:rsid w:val="0023433D"/>
    <w:rsid w:val="00234347"/>
    <w:rsid w:val="002343C3"/>
    <w:rsid w:val="00234416"/>
    <w:rsid w:val="00234428"/>
    <w:rsid w:val="00234463"/>
    <w:rsid w:val="00234468"/>
    <w:rsid w:val="002344DB"/>
    <w:rsid w:val="002344F9"/>
    <w:rsid w:val="00234514"/>
    <w:rsid w:val="0023453C"/>
    <w:rsid w:val="00234576"/>
    <w:rsid w:val="00234660"/>
    <w:rsid w:val="002346DC"/>
    <w:rsid w:val="002347DF"/>
    <w:rsid w:val="002347F2"/>
    <w:rsid w:val="00234829"/>
    <w:rsid w:val="00234848"/>
    <w:rsid w:val="00234849"/>
    <w:rsid w:val="00234851"/>
    <w:rsid w:val="002348ED"/>
    <w:rsid w:val="002349F3"/>
    <w:rsid w:val="00234A8C"/>
    <w:rsid w:val="00234A9C"/>
    <w:rsid w:val="00234AC1"/>
    <w:rsid w:val="00234AE1"/>
    <w:rsid w:val="00234B64"/>
    <w:rsid w:val="00234B86"/>
    <w:rsid w:val="00234B8B"/>
    <w:rsid w:val="00234B97"/>
    <w:rsid w:val="00234C07"/>
    <w:rsid w:val="00234C12"/>
    <w:rsid w:val="00234C6A"/>
    <w:rsid w:val="00234CA2"/>
    <w:rsid w:val="00234D8C"/>
    <w:rsid w:val="00234DC7"/>
    <w:rsid w:val="00234E00"/>
    <w:rsid w:val="00234E29"/>
    <w:rsid w:val="00234E42"/>
    <w:rsid w:val="00234F54"/>
    <w:rsid w:val="00235032"/>
    <w:rsid w:val="00235039"/>
    <w:rsid w:val="00235068"/>
    <w:rsid w:val="00235080"/>
    <w:rsid w:val="0023509C"/>
    <w:rsid w:val="002350CE"/>
    <w:rsid w:val="002350EC"/>
    <w:rsid w:val="00235141"/>
    <w:rsid w:val="0023516E"/>
    <w:rsid w:val="0023517D"/>
    <w:rsid w:val="002351EA"/>
    <w:rsid w:val="0023524A"/>
    <w:rsid w:val="00235278"/>
    <w:rsid w:val="0023527F"/>
    <w:rsid w:val="002352A6"/>
    <w:rsid w:val="002352C6"/>
    <w:rsid w:val="002352EF"/>
    <w:rsid w:val="00235373"/>
    <w:rsid w:val="002353FB"/>
    <w:rsid w:val="0023541A"/>
    <w:rsid w:val="0023543C"/>
    <w:rsid w:val="002354AB"/>
    <w:rsid w:val="002354EA"/>
    <w:rsid w:val="00235562"/>
    <w:rsid w:val="0023556F"/>
    <w:rsid w:val="00235666"/>
    <w:rsid w:val="00235687"/>
    <w:rsid w:val="002356B8"/>
    <w:rsid w:val="002356E5"/>
    <w:rsid w:val="0023570B"/>
    <w:rsid w:val="00235758"/>
    <w:rsid w:val="00235770"/>
    <w:rsid w:val="002357E7"/>
    <w:rsid w:val="0023584D"/>
    <w:rsid w:val="002358CF"/>
    <w:rsid w:val="002358D3"/>
    <w:rsid w:val="002358E0"/>
    <w:rsid w:val="0023592C"/>
    <w:rsid w:val="0023593E"/>
    <w:rsid w:val="00235973"/>
    <w:rsid w:val="002359BE"/>
    <w:rsid w:val="00235A15"/>
    <w:rsid w:val="00235A1A"/>
    <w:rsid w:val="00235AA3"/>
    <w:rsid w:val="00235ACC"/>
    <w:rsid w:val="00235AD9"/>
    <w:rsid w:val="00235B89"/>
    <w:rsid w:val="00235BF4"/>
    <w:rsid w:val="00235C07"/>
    <w:rsid w:val="00235C55"/>
    <w:rsid w:val="00235CD5"/>
    <w:rsid w:val="00235CF4"/>
    <w:rsid w:val="00235D02"/>
    <w:rsid w:val="00235D8C"/>
    <w:rsid w:val="00235DC4"/>
    <w:rsid w:val="00235DF8"/>
    <w:rsid w:val="00235E22"/>
    <w:rsid w:val="00235E36"/>
    <w:rsid w:val="00235E5A"/>
    <w:rsid w:val="00235ED1"/>
    <w:rsid w:val="00235ED4"/>
    <w:rsid w:val="00235F67"/>
    <w:rsid w:val="00235F8D"/>
    <w:rsid w:val="0023603E"/>
    <w:rsid w:val="0023608F"/>
    <w:rsid w:val="0023615B"/>
    <w:rsid w:val="002361D7"/>
    <w:rsid w:val="002361EB"/>
    <w:rsid w:val="0023621A"/>
    <w:rsid w:val="00236310"/>
    <w:rsid w:val="0023645D"/>
    <w:rsid w:val="002364E2"/>
    <w:rsid w:val="00236511"/>
    <w:rsid w:val="00236535"/>
    <w:rsid w:val="00236565"/>
    <w:rsid w:val="00236586"/>
    <w:rsid w:val="0023664E"/>
    <w:rsid w:val="00236671"/>
    <w:rsid w:val="00236682"/>
    <w:rsid w:val="0023670B"/>
    <w:rsid w:val="0023672A"/>
    <w:rsid w:val="0023675E"/>
    <w:rsid w:val="002367C8"/>
    <w:rsid w:val="00236849"/>
    <w:rsid w:val="0023685D"/>
    <w:rsid w:val="00236863"/>
    <w:rsid w:val="00236875"/>
    <w:rsid w:val="0023691A"/>
    <w:rsid w:val="002369FB"/>
    <w:rsid w:val="00236A00"/>
    <w:rsid w:val="00236A1C"/>
    <w:rsid w:val="00236A5D"/>
    <w:rsid w:val="00236A61"/>
    <w:rsid w:val="00236A6A"/>
    <w:rsid w:val="00236B12"/>
    <w:rsid w:val="00236B3F"/>
    <w:rsid w:val="00236B53"/>
    <w:rsid w:val="00236C1C"/>
    <w:rsid w:val="00236C44"/>
    <w:rsid w:val="00236C65"/>
    <w:rsid w:val="00236CD3"/>
    <w:rsid w:val="00236CE5"/>
    <w:rsid w:val="00236D23"/>
    <w:rsid w:val="00236D31"/>
    <w:rsid w:val="00236D5F"/>
    <w:rsid w:val="00236D7A"/>
    <w:rsid w:val="00236E07"/>
    <w:rsid w:val="00236E85"/>
    <w:rsid w:val="00236E8A"/>
    <w:rsid w:val="00236F31"/>
    <w:rsid w:val="00236F4B"/>
    <w:rsid w:val="00236FDE"/>
    <w:rsid w:val="0023701A"/>
    <w:rsid w:val="00237169"/>
    <w:rsid w:val="002371B9"/>
    <w:rsid w:val="0023723E"/>
    <w:rsid w:val="00237246"/>
    <w:rsid w:val="002372A8"/>
    <w:rsid w:val="002372DA"/>
    <w:rsid w:val="002373FB"/>
    <w:rsid w:val="00237561"/>
    <w:rsid w:val="002375F8"/>
    <w:rsid w:val="0023768D"/>
    <w:rsid w:val="00237801"/>
    <w:rsid w:val="00237808"/>
    <w:rsid w:val="00237904"/>
    <w:rsid w:val="00237927"/>
    <w:rsid w:val="0023798C"/>
    <w:rsid w:val="00237A06"/>
    <w:rsid w:val="00237A10"/>
    <w:rsid w:val="00237A42"/>
    <w:rsid w:val="00237A83"/>
    <w:rsid w:val="00237AAF"/>
    <w:rsid w:val="00237B11"/>
    <w:rsid w:val="00237B5F"/>
    <w:rsid w:val="00237B9F"/>
    <w:rsid w:val="00237C05"/>
    <w:rsid w:val="00237C0C"/>
    <w:rsid w:val="00237C3B"/>
    <w:rsid w:val="00237CCD"/>
    <w:rsid w:val="00237CD1"/>
    <w:rsid w:val="00237D1B"/>
    <w:rsid w:val="00237D4E"/>
    <w:rsid w:val="00237DCA"/>
    <w:rsid w:val="00237EA2"/>
    <w:rsid w:val="00237ECD"/>
    <w:rsid w:val="00237F00"/>
    <w:rsid w:val="00237F1D"/>
    <w:rsid w:val="00237F8B"/>
    <w:rsid w:val="00237FA7"/>
    <w:rsid w:val="00237FD3"/>
    <w:rsid w:val="0023FAB2"/>
    <w:rsid w:val="00240007"/>
    <w:rsid w:val="0024010F"/>
    <w:rsid w:val="0024013C"/>
    <w:rsid w:val="002401AD"/>
    <w:rsid w:val="00240256"/>
    <w:rsid w:val="002402B9"/>
    <w:rsid w:val="002403B3"/>
    <w:rsid w:val="002403DA"/>
    <w:rsid w:val="00240431"/>
    <w:rsid w:val="0024044B"/>
    <w:rsid w:val="00240481"/>
    <w:rsid w:val="0024048C"/>
    <w:rsid w:val="002404CC"/>
    <w:rsid w:val="00240555"/>
    <w:rsid w:val="00240565"/>
    <w:rsid w:val="002405F2"/>
    <w:rsid w:val="00240659"/>
    <w:rsid w:val="00240680"/>
    <w:rsid w:val="0024074E"/>
    <w:rsid w:val="002407AA"/>
    <w:rsid w:val="002407D2"/>
    <w:rsid w:val="002408B2"/>
    <w:rsid w:val="00240959"/>
    <w:rsid w:val="00240975"/>
    <w:rsid w:val="0024099D"/>
    <w:rsid w:val="002409A2"/>
    <w:rsid w:val="00240A7F"/>
    <w:rsid w:val="00240C1D"/>
    <w:rsid w:val="00240C2A"/>
    <w:rsid w:val="00240C31"/>
    <w:rsid w:val="00240C96"/>
    <w:rsid w:val="00240CA2"/>
    <w:rsid w:val="00240CB8"/>
    <w:rsid w:val="00240CCF"/>
    <w:rsid w:val="00240CDA"/>
    <w:rsid w:val="00240CED"/>
    <w:rsid w:val="00240D5D"/>
    <w:rsid w:val="00240E6A"/>
    <w:rsid w:val="00240EC4"/>
    <w:rsid w:val="00240EC8"/>
    <w:rsid w:val="00240EDF"/>
    <w:rsid w:val="00240F0A"/>
    <w:rsid w:val="00240F27"/>
    <w:rsid w:val="00240F84"/>
    <w:rsid w:val="00240FB0"/>
    <w:rsid w:val="00241061"/>
    <w:rsid w:val="00241112"/>
    <w:rsid w:val="0024115D"/>
    <w:rsid w:val="00241174"/>
    <w:rsid w:val="002411F0"/>
    <w:rsid w:val="00241227"/>
    <w:rsid w:val="0024123C"/>
    <w:rsid w:val="00241250"/>
    <w:rsid w:val="0024128D"/>
    <w:rsid w:val="0024129C"/>
    <w:rsid w:val="0024139B"/>
    <w:rsid w:val="002413AD"/>
    <w:rsid w:val="002413DB"/>
    <w:rsid w:val="002413DD"/>
    <w:rsid w:val="002413E4"/>
    <w:rsid w:val="00241402"/>
    <w:rsid w:val="00241419"/>
    <w:rsid w:val="00241494"/>
    <w:rsid w:val="00241540"/>
    <w:rsid w:val="00241547"/>
    <w:rsid w:val="00241567"/>
    <w:rsid w:val="002415F7"/>
    <w:rsid w:val="0024161A"/>
    <w:rsid w:val="00241627"/>
    <w:rsid w:val="00241710"/>
    <w:rsid w:val="00241722"/>
    <w:rsid w:val="00241736"/>
    <w:rsid w:val="00241767"/>
    <w:rsid w:val="00241774"/>
    <w:rsid w:val="00241865"/>
    <w:rsid w:val="00241917"/>
    <w:rsid w:val="00241929"/>
    <w:rsid w:val="00241936"/>
    <w:rsid w:val="00241946"/>
    <w:rsid w:val="00241960"/>
    <w:rsid w:val="00241984"/>
    <w:rsid w:val="00241A92"/>
    <w:rsid w:val="00241AA5"/>
    <w:rsid w:val="00241AAD"/>
    <w:rsid w:val="00241ABD"/>
    <w:rsid w:val="00241B0F"/>
    <w:rsid w:val="00241B1C"/>
    <w:rsid w:val="00241B49"/>
    <w:rsid w:val="00241B9B"/>
    <w:rsid w:val="00241BEB"/>
    <w:rsid w:val="00241C02"/>
    <w:rsid w:val="00241C9B"/>
    <w:rsid w:val="00241C9D"/>
    <w:rsid w:val="00241CF5"/>
    <w:rsid w:val="00241D65"/>
    <w:rsid w:val="00241DAA"/>
    <w:rsid w:val="00241DBF"/>
    <w:rsid w:val="00241DF8"/>
    <w:rsid w:val="00241EE3"/>
    <w:rsid w:val="00242100"/>
    <w:rsid w:val="0024212D"/>
    <w:rsid w:val="00242140"/>
    <w:rsid w:val="00242152"/>
    <w:rsid w:val="00242160"/>
    <w:rsid w:val="002421F6"/>
    <w:rsid w:val="0024221C"/>
    <w:rsid w:val="0024228A"/>
    <w:rsid w:val="00242307"/>
    <w:rsid w:val="0024234D"/>
    <w:rsid w:val="00242351"/>
    <w:rsid w:val="0024235E"/>
    <w:rsid w:val="002423A8"/>
    <w:rsid w:val="0024243C"/>
    <w:rsid w:val="0024246E"/>
    <w:rsid w:val="0024251D"/>
    <w:rsid w:val="002425CF"/>
    <w:rsid w:val="002425DA"/>
    <w:rsid w:val="0024264F"/>
    <w:rsid w:val="0024266F"/>
    <w:rsid w:val="002426EA"/>
    <w:rsid w:val="00242744"/>
    <w:rsid w:val="0024275C"/>
    <w:rsid w:val="00242770"/>
    <w:rsid w:val="002427AE"/>
    <w:rsid w:val="00242821"/>
    <w:rsid w:val="002428CA"/>
    <w:rsid w:val="002428EC"/>
    <w:rsid w:val="00242908"/>
    <w:rsid w:val="0024295B"/>
    <w:rsid w:val="00242988"/>
    <w:rsid w:val="002429BF"/>
    <w:rsid w:val="002429EB"/>
    <w:rsid w:val="00242A79"/>
    <w:rsid w:val="00242AB3"/>
    <w:rsid w:val="00242B60"/>
    <w:rsid w:val="00242C1B"/>
    <w:rsid w:val="00242C2B"/>
    <w:rsid w:val="00242C66"/>
    <w:rsid w:val="00242CBA"/>
    <w:rsid w:val="00242CD0"/>
    <w:rsid w:val="00242CE7"/>
    <w:rsid w:val="00242D5A"/>
    <w:rsid w:val="00242DDC"/>
    <w:rsid w:val="00242E33"/>
    <w:rsid w:val="00242E6B"/>
    <w:rsid w:val="00242F43"/>
    <w:rsid w:val="00242FD0"/>
    <w:rsid w:val="002430EE"/>
    <w:rsid w:val="00243105"/>
    <w:rsid w:val="0024313D"/>
    <w:rsid w:val="00243207"/>
    <w:rsid w:val="00243234"/>
    <w:rsid w:val="002432F2"/>
    <w:rsid w:val="0024336A"/>
    <w:rsid w:val="00243409"/>
    <w:rsid w:val="00243469"/>
    <w:rsid w:val="002434B5"/>
    <w:rsid w:val="002434EF"/>
    <w:rsid w:val="002434F6"/>
    <w:rsid w:val="0024352B"/>
    <w:rsid w:val="00243576"/>
    <w:rsid w:val="00243594"/>
    <w:rsid w:val="00243648"/>
    <w:rsid w:val="002436BF"/>
    <w:rsid w:val="002436F2"/>
    <w:rsid w:val="0024375D"/>
    <w:rsid w:val="002437B8"/>
    <w:rsid w:val="002437C3"/>
    <w:rsid w:val="002437E8"/>
    <w:rsid w:val="002437EC"/>
    <w:rsid w:val="00243810"/>
    <w:rsid w:val="002439A5"/>
    <w:rsid w:val="00243A15"/>
    <w:rsid w:val="00243A88"/>
    <w:rsid w:val="00243ABB"/>
    <w:rsid w:val="00243AD8"/>
    <w:rsid w:val="00243B0A"/>
    <w:rsid w:val="00243B19"/>
    <w:rsid w:val="00243B6A"/>
    <w:rsid w:val="00243C1F"/>
    <w:rsid w:val="00243C5C"/>
    <w:rsid w:val="00243D07"/>
    <w:rsid w:val="00243D32"/>
    <w:rsid w:val="00243D64"/>
    <w:rsid w:val="00243D6C"/>
    <w:rsid w:val="00243E02"/>
    <w:rsid w:val="00243EB9"/>
    <w:rsid w:val="00243EC7"/>
    <w:rsid w:val="00243EE7"/>
    <w:rsid w:val="00243F14"/>
    <w:rsid w:val="00243F90"/>
    <w:rsid w:val="00243FA6"/>
    <w:rsid w:val="00243FDE"/>
    <w:rsid w:val="00244035"/>
    <w:rsid w:val="0024405A"/>
    <w:rsid w:val="002440A3"/>
    <w:rsid w:val="002440BE"/>
    <w:rsid w:val="002440EF"/>
    <w:rsid w:val="0024412C"/>
    <w:rsid w:val="002441C7"/>
    <w:rsid w:val="0024422A"/>
    <w:rsid w:val="002442E6"/>
    <w:rsid w:val="0024432B"/>
    <w:rsid w:val="00244341"/>
    <w:rsid w:val="0024437C"/>
    <w:rsid w:val="0024444C"/>
    <w:rsid w:val="00244461"/>
    <w:rsid w:val="00244493"/>
    <w:rsid w:val="002444A0"/>
    <w:rsid w:val="00244569"/>
    <w:rsid w:val="002445C6"/>
    <w:rsid w:val="0024464B"/>
    <w:rsid w:val="00244672"/>
    <w:rsid w:val="002446D5"/>
    <w:rsid w:val="0024473C"/>
    <w:rsid w:val="0024473E"/>
    <w:rsid w:val="002447AF"/>
    <w:rsid w:val="002447B1"/>
    <w:rsid w:val="002448D9"/>
    <w:rsid w:val="0024493F"/>
    <w:rsid w:val="00244995"/>
    <w:rsid w:val="00244AF4"/>
    <w:rsid w:val="00244AF8"/>
    <w:rsid w:val="00244B9D"/>
    <w:rsid w:val="00244BA4"/>
    <w:rsid w:val="00244BFE"/>
    <w:rsid w:val="00244C56"/>
    <w:rsid w:val="00244C77"/>
    <w:rsid w:val="00244D20"/>
    <w:rsid w:val="00244D8B"/>
    <w:rsid w:val="00244DBB"/>
    <w:rsid w:val="00244DE1"/>
    <w:rsid w:val="00244E5F"/>
    <w:rsid w:val="00244EA1"/>
    <w:rsid w:val="00244F10"/>
    <w:rsid w:val="00244F1E"/>
    <w:rsid w:val="00244F91"/>
    <w:rsid w:val="00244FD9"/>
    <w:rsid w:val="00244FE7"/>
    <w:rsid w:val="00244FEC"/>
    <w:rsid w:val="0024500A"/>
    <w:rsid w:val="0024508E"/>
    <w:rsid w:val="002450F8"/>
    <w:rsid w:val="0024510B"/>
    <w:rsid w:val="00245117"/>
    <w:rsid w:val="00245132"/>
    <w:rsid w:val="00245156"/>
    <w:rsid w:val="0024515C"/>
    <w:rsid w:val="002451D7"/>
    <w:rsid w:val="002451D9"/>
    <w:rsid w:val="00245310"/>
    <w:rsid w:val="00245355"/>
    <w:rsid w:val="0024542A"/>
    <w:rsid w:val="002454F5"/>
    <w:rsid w:val="00245508"/>
    <w:rsid w:val="00245610"/>
    <w:rsid w:val="0024569F"/>
    <w:rsid w:val="0024575A"/>
    <w:rsid w:val="0024577F"/>
    <w:rsid w:val="002457DC"/>
    <w:rsid w:val="002457F4"/>
    <w:rsid w:val="00245918"/>
    <w:rsid w:val="0024591B"/>
    <w:rsid w:val="00245954"/>
    <w:rsid w:val="002459DC"/>
    <w:rsid w:val="002459E9"/>
    <w:rsid w:val="00245AE1"/>
    <w:rsid w:val="00245B05"/>
    <w:rsid w:val="00245B38"/>
    <w:rsid w:val="00245B7F"/>
    <w:rsid w:val="00245EAD"/>
    <w:rsid w:val="00245EB4"/>
    <w:rsid w:val="00245EF8"/>
    <w:rsid w:val="00245F1D"/>
    <w:rsid w:val="00245F3D"/>
    <w:rsid w:val="00246015"/>
    <w:rsid w:val="00246051"/>
    <w:rsid w:val="002460B4"/>
    <w:rsid w:val="002460E5"/>
    <w:rsid w:val="002460EB"/>
    <w:rsid w:val="002460FF"/>
    <w:rsid w:val="0024611C"/>
    <w:rsid w:val="002461FF"/>
    <w:rsid w:val="00246222"/>
    <w:rsid w:val="0024623C"/>
    <w:rsid w:val="0024625B"/>
    <w:rsid w:val="002462A5"/>
    <w:rsid w:val="002462B8"/>
    <w:rsid w:val="00246371"/>
    <w:rsid w:val="00246379"/>
    <w:rsid w:val="0024638E"/>
    <w:rsid w:val="00246420"/>
    <w:rsid w:val="00246432"/>
    <w:rsid w:val="00246439"/>
    <w:rsid w:val="00246442"/>
    <w:rsid w:val="00246445"/>
    <w:rsid w:val="00246524"/>
    <w:rsid w:val="0024658E"/>
    <w:rsid w:val="002465D6"/>
    <w:rsid w:val="00246614"/>
    <w:rsid w:val="0024669C"/>
    <w:rsid w:val="002466A4"/>
    <w:rsid w:val="00246775"/>
    <w:rsid w:val="002467FE"/>
    <w:rsid w:val="0024684F"/>
    <w:rsid w:val="00246873"/>
    <w:rsid w:val="002468DD"/>
    <w:rsid w:val="00246927"/>
    <w:rsid w:val="0024694B"/>
    <w:rsid w:val="002469B8"/>
    <w:rsid w:val="00246B5E"/>
    <w:rsid w:val="00246B79"/>
    <w:rsid w:val="00246BBA"/>
    <w:rsid w:val="00246BED"/>
    <w:rsid w:val="00246C9F"/>
    <w:rsid w:val="00246D03"/>
    <w:rsid w:val="00246D3B"/>
    <w:rsid w:val="00246E2A"/>
    <w:rsid w:val="00246E37"/>
    <w:rsid w:val="00246E48"/>
    <w:rsid w:val="00246E59"/>
    <w:rsid w:val="00246EC2"/>
    <w:rsid w:val="00246F37"/>
    <w:rsid w:val="00246F8F"/>
    <w:rsid w:val="00246FC7"/>
    <w:rsid w:val="00246FDC"/>
    <w:rsid w:val="00247023"/>
    <w:rsid w:val="00247064"/>
    <w:rsid w:val="0024709C"/>
    <w:rsid w:val="002470D3"/>
    <w:rsid w:val="0024718C"/>
    <w:rsid w:val="002471A4"/>
    <w:rsid w:val="00247208"/>
    <w:rsid w:val="00247224"/>
    <w:rsid w:val="00247230"/>
    <w:rsid w:val="00247233"/>
    <w:rsid w:val="00247293"/>
    <w:rsid w:val="00247295"/>
    <w:rsid w:val="002472D9"/>
    <w:rsid w:val="0024732E"/>
    <w:rsid w:val="00247356"/>
    <w:rsid w:val="002473FE"/>
    <w:rsid w:val="0024741E"/>
    <w:rsid w:val="002474A6"/>
    <w:rsid w:val="00247605"/>
    <w:rsid w:val="0024760A"/>
    <w:rsid w:val="00247633"/>
    <w:rsid w:val="00247668"/>
    <w:rsid w:val="002476AE"/>
    <w:rsid w:val="002476EB"/>
    <w:rsid w:val="002477A0"/>
    <w:rsid w:val="002477B8"/>
    <w:rsid w:val="00247803"/>
    <w:rsid w:val="00247812"/>
    <w:rsid w:val="0024788B"/>
    <w:rsid w:val="002479B2"/>
    <w:rsid w:val="002479F8"/>
    <w:rsid w:val="00247A0F"/>
    <w:rsid w:val="00247A27"/>
    <w:rsid w:val="00247A28"/>
    <w:rsid w:val="00247AFA"/>
    <w:rsid w:val="00247B20"/>
    <w:rsid w:val="00247B54"/>
    <w:rsid w:val="00247B89"/>
    <w:rsid w:val="00247B92"/>
    <w:rsid w:val="00247BA8"/>
    <w:rsid w:val="00247BCC"/>
    <w:rsid w:val="00247BFD"/>
    <w:rsid w:val="00247BFE"/>
    <w:rsid w:val="00247C4F"/>
    <w:rsid w:val="00247C84"/>
    <w:rsid w:val="00247C86"/>
    <w:rsid w:val="00247D73"/>
    <w:rsid w:val="00247D7E"/>
    <w:rsid w:val="00247D8E"/>
    <w:rsid w:val="00247DB7"/>
    <w:rsid w:val="00247DF1"/>
    <w:rsid w:val="00247E25"/>
    <w:rsid w:val="00247E3C"/>
    <w:rsid w:val="00247E41"/>
    <w:rsid w:val="00247EBE"/>
    <w:rsid w:val="00247EC8"/>
    <w:rsid w:val="00247F35"/>
    <w:rsid w:val="00247F63"/>
    <w:rsid w:val="00247F8A"/>
    <w:rsid w:val="00247FA1"/>
    <w:rsid w:val="00247FCF"/>
    <w:rsid w:val="00250084"/>
    <w:rsid w:val="002500E2"/>
    <w:rsid w:val="002500F1"/>
    <w:rsid w:val="0025010A"/>
    <w:rsid w:val="00250129"/>
    <w:rsid w:val="0025019B"/>
    <w:rsid w:val="00250248"/>
    <w:rsid w:val="00250249"/>
    <w:rsid w:val="00250315"/>
    <w:rsid w:val="00250345"/>
    <w:rsid w:val="00250391"/>
    <w:rsid w:val="002504A3"/>
    <w:rsid w:val="002504B5"/>
    <w:rsid w:val="00250547"/>
    <w:rsid w:val="00250555"/>
    <w:rsid w:val="0025057F"/>
    <w:rsid w:val="002505A6"/>
    <w:rsid w:val="002505DD"/>
    <w:rsid w:val="0025062E"/>
    <w:rsid w:val="0025063A"/>
    <w:rsid w:val="0025063D"/>
    <w:rsid w:val="00250718"/>
    <w:rsid w:val="00250727"/>
    <w:rsid w:val="0025073E"/>
    <w:rsid w:val="00250751"/>
    <w:rsid w:val="00250772"/>
    <w:rsid w:val="002507D0"/>
    <w:rsid w:val="00250862"/>
    <w:rsid w:val="00250889"/>
    <w:rsid w:val="002508CB"/>
    <w:rsid w:val="002508CC"/>
    <w:rsid w:val="002508CD"/>
    <w:rsid w:val="002508E9"/>
    <w:rsid w:val="00250923"/>
    <w:rsid w:val="0025093C"/>
    <w:rsid w:val="00250993"/>
    <w:rsid w:val="002509A1"/>
    <w:rsid w:val="002509A5"/>
    <w:rsid w:val="00250A73"/>
    <w:rsid w:val="00250AA1"/>
    <w:rsid w:val="00250B12"/>
    <w:rsid w:val="00250C41"/>
    <w:rsid w:val="00250CBB"/>
    <w:rsid w:val="00250D10"/>
    <w:rsid w:val="00250D4E"/>
    <w:rsid w:val="00250D55"/>
    <w:rsid w:val="00250D60"/>
    <w:rsid w:val="00250D70"/>
    <w:rsid w:val="00250D86"/>
    <w:rsid w:val="00250D9F"/>
    <w:rsid w:val="00250DBC"/>
    <w:rsid w:val="00250DCA"/>
    <w:rsid w:val="00250DD8"/>
    <w:rsid w:val="00250DE9"/>
    <w:rsid w:val="00250E5D"/>
    <w:rsid w:val="00250E5E"/>
    <w:rsid w:val="00250EA8"/>
    <w:rsid w:val="00250EAA"/>
    <w:rsid w:val="00250EE5"/>
    <w:rsid w:val="00250F4E"/>
    <w:rsid w:val="00250F5E"/>
    <w:rsid w:val="00251136"/>
    <w:rsid w:val="002511CF"/>
    <w:rsid w:val="002511E1"/>
    <w:rsid w:val="00251233"/>
    <w:rsid w:val="0025123C"/>
    <w:rsid w:val="00251247"/>
    <w:rsid w:val="0025127F"/>
    <w:rsid w:val="0025133C"/>
    <w:rsid w:val="0025136C"/>
    <w:rsid w:val="002513E0"/>
    <w:rsid w:val="002513E4"/>
    <w:rsid w:val="0025158B"/>
    <w:rsid w:val="002515D1"/>
    <w:rsid w:val="0025160B"/>
    <w:rsid w:val="00251621"/>
    <w:rsid w:val="00251622"/>
    <w:rsid w:val="0025168A"/>
    <w:rsid w:val="00251690"/>
    <w:rsid w:val="002516A1"/>
    <w:rsid w:val="002516A8"/>
    <w:rsid w:val="002516D9"/>
    <w:rsid w:val="002516F5"/>
    <w:rsid w:val="0025171F"/>
    <w:rsid w:val="0025172B"/>
    <w:rsid w:val="00251790"/>
    <w:rsid w:val="0025180C"/>
    <w:rsid w:val="0025180D"/>
    <w:rsid w:val="002518C5"/>
    <w:rsid w:val="002518E0"/>
    <w:rsid w:val="002518F3"/>
    <w:rsid w:val="00251969"/>
    <w:rsid w:val="00251A1E"/>
    <w:rsid w:val="00251A74"/>
    <w:rsid w:val="00251A7D"/>
    <w:rsid w:val="00251AFF"/>
    <w:rsid w:val="00251B47"/>
    <w:rsid w:val="00251BB7"/>
    <w:rsid w:val="00251BE2"/>
    <w:rsid w:val="00251C30"/>
    <w:rsid w:val="00251C4E"/>
    <w:rsid w:val="00251C56"/>
    <w:rsid w:val="00251C6F"/>
    <w:rsid w:val="00251C9E"/>
    <w:rsid w:val="00251CD1"/>
    <w:rsid w:val="00251D1D"/>
    <w:rsid w:val="00251D89"/>
    <w:rsid w:val="00251D9B"/>
    <w:rsid w:val="00251DC1"/>
    <w:rsid w:val="00251F7F"/>
    <w:rsid w:val="00251F87"/>
    <w:rsid w:val="00251FAB"/>
    <w:rsid w:val="00251FBD"/>
    <w:rsid w:val="00252064"/>
    <w:rsid w:val="00252065"/>
    <w:rsid w:val="0025208A"/>
    <w:rsid w:val="00252116"/>
    <w:rsid w:val="00252147"/>
    <w:rsid w:val="00252150"/>
    <w:rsid w:val="0025222F"/>
    <w:rsid w:val="002522D1"/>
    <w:rsid w:val="002522D3"/>
    <w:rsid w:val="0025230C"/>
    <w:rsid w:val="0025232A"/>
    <w:rsid w:val="00252384"/>
    <w:rsid w:val="002523F6"/>
    <w:rsid w:val="0025243C"/>
    <w:rsid w:val="002524A4"/>
    <w:rsid w:val="002524BB"/>
    <w:rsid w:val="00252574"/>
    <w:rsid w:val="00252595"/>
    <w:rsid w:val="002525CA"/>
    <w:rsid w:val="0025268B"/>
    <w:rsid w:val="002526A0"/>
    <w:rsid w:val="002526AD"/>
    <w:rsid w:val="00252713"/>
    <w:rsid w:val="00252803"/>
    <w:rsid w:val="0025284A"/>
    <w:rsid w:val="0025285E"/>
    <w:rsid w:val="002528BA"/>
    <w:rsid w:val="00252904"/>
    <w:rsid w:val="0025297F"/>
    <w:rsid w:val="00252991"/>
    <w:rsid w:val="002529D2"/>
    <w:rsid w:val="00252A8F"/>
    <w:rsid w:val="00252AAA"/>
    <w:rsid w:val="00252AF8"/>
    <w:rsid w:val="00252BDA"/>
    <w:rsid w:val="00252BE1"/>
    <w:rsid w:val="00252C2B"/>
    <w:rsid w:val="00252C53"/>
    <w:rsid w:val="00252C7A"/>
    <w:rsid w:val="00252DD7"/>
    <w:rsid w:val="00252DF8"/>
    <w:rsid w:val="00252E2C"/>
    <w:rsid w:val="00252E4E"/>
    <w:rsid w:val="00252E61"/>
    <w:rsid w:val="00252E6F"/>
    <w:rsid w:val="00252E85"/>
    <w:rsid w:val="00252ED3"/>
    <w:rsid w:val="00252EEA"/>
    <w:rsid w:val="00252EF7"/>
    <w:rsid w:val="00252F52"/>
    <w:rsid w:val="00253014"/>
    <w:rsid w:val="00253072"/>
    <w:rsid w:val="00253073"/>
    <w:rsid w:val="002530AF"/>
    <w:rsid w:val="002530E0"/>
    <w:rsid w:val="00253171"/>
    <w:rsid w:val="002531BD"/>
    <w:rsid w:val="00253200"/>
    <w:rsid w:val="0025321F"/>
    <w:rsid w:val="00253381"/>
    <w:rsid w:val="002533C3"/>
    <w:rsid w:val="002533CC"/>
    <w:rsid w:val="002533DB"/>
    <w:rsid w:val="00253495"/>
    <w:rsid w:val="00253503"/>
    <w:rsid w:val="00253563"/>
    <w:rsid w:val="0025357F"/>
    <w:rsid w:val="0025358B"/>
    <w:rsid w:val="002535F0"/>
    <w:rsid w:val="00253631"/>
    <w:rsid w:val="00253654"/>
    <w:rsid w:val="0025370F"/>
    <w:rsid w:val="0025371D"/>
    <w:rsid w:val="00253756"/>
    <w:rsid w:val="002537D6"/>
    <w:rsid w:val="0025386D"/>
    <w:rsid w:val="0025388D"/>
    <w:rsid w:val="0025389D"/>
    <w:rsid w:val="002538F7"/>
    <w:rsid w:val="00253948"/>
    <w:rsid w:val="0025394A"/>
    <w:rsid w:val="002539BE"/>
    <w:rsid w:val="00253A97"/>
    <w:rsid w:val="00253AD7"/>
    <w:rsid w:val="00253B22"/>
    <w:rsid w:val="00253B82"/>
    <w:rsid w:val="00253BA1"/>
    <w:rsid w:val="00253BEA"/>
    <w:rsid w:val="00253C0F"/>
    <w:rsid w:val="00253C4B"/>
    <w:rsid w:val="00253C53"/>
    <w:rsid w:val="00253C7C"/>
    <w:rsid w:val="00253D7D"/>
    <w:rsid w:val="00253D86"/>
    <w:rsid w:val="00253E61"/>
    <w:rsid w:val="00253E68"/>
    <w:rsid w:val="00253E94"/>
    <w:rsid w:val="00253EC5"/>
    <w:rsid w:val="00253F24"/>
    <w:rsid w:val="00253FAE"/>
    <w:rsid w:val="00253FB9"/>
    <w:rsid w:val="00253FCF"/>
    <w:rsid w:val="0025402F"/>
    <w:rsid w:val="002540FA"/>
    <w:rsid w:val="002540FD"/>
    <w:rsid w:val="00254164"/>
    <w:rsid w:val="002541A8"/>
    <w:rsid w:val="002541CD"/>
    <w:rsid w:val="002541F9"/>
    <w:rsid w:val="0025421C"/>
    <w:rsid w:val="00254236"/>
    <w:rsid w:val="002542C4"/>
    <w:rsid w:val="0025434D"/>
    <w:rsid w:val="00254358"/>
    <w:rsid w:val="0025435A"/>
    <w:rsid w:val="00254397"/>
    <w:rsid w:val="0025441B"/>
    <w:rsid w:val="00254432"/>
    <w:rsid w:val="00254497"/>
    <w:rsid w:val="002544BD"/>
    <w:rsid w:val="0025452E"/>
    <w:rsid w:val="0025453A"/>
    <w:rsid w:val="00254582"/>
    <w:rsid w:val="00254599"/>
    <w:rsid w:val="002545EB"/>
    <w:rsid w:val="002545FB"/>
    <w:rsid w:val="00254635"/>
    <w:rsid w:val="0025465B"/>
    <w:rsid w:val="002546DF"/>
    <w:rsid w:val="00254767"/>
    <w:rsid w:val="0025479F"/>
    <w:rsid w:val="002547CA"/>
    <w:rsid w:val="00254842"/>
    <w:rsid w:val="0025487F"/>
    <w:rsid w:val="00254883"/>
    <w:rsid w:val="002548E2"/>
    <w:rsid w:val="00254936"/>
    <w:rsid w:val="0025493C"/>
    <w:rsid w:val="002549A3"/>
    <w:rsid w:val="00254A35"/>
    <w:rsid w:val="00254A37"/>
    <w:rsid w:val="00254A3D"/>
    <w:rsid w:val="00254A9D"/>
    <w:rsid w:val="00254AF7"/>
    <w:rsid w:val="00254B1F"/>
    <w:rsid w:val="00254BBB"/>
    <w:rsid w:val="00254BC2"/>
    <w:rsid w:val="00254BF6"/>
    <w:rsid w:val="00254C1F"/>
    <w:rsid w:val="00254C33"/>
    <w:rsid w:val="00254C34"/>
    <w:rsid w:val="00254C3F"/>
    <w:rsid w:val="00254CB2"/>
    <w:rsid w:val="00254CC3"/>
    <w:rsid w:val="00254CC8"/>
    <w:rsid w:val="00254CCE"/>
    <w:rsid w:val="00254D5D"/>
    <w:rsid w:val="00254D5E"/>
    <w:rsid w:val="00254D80"/>
    <w:rsid w:val="00254D9F"/>
    <w:rsid w:val="00254DF9"/>
    <w:rsid w:val="00254E6F"/>
    <w:rsid w:val="00254E8A"/>
    <w:rsid w:val="00254E8C"/>
    <w:rsid w:val="00254E97"/>
    <w:rsid w:val="00254EC9"/>
    <w:rsid w:val="00254EED"/>
    <w:rsid w:val="00254FAE"/>
    <w:rsid w:val="00254FED"/>
    <w:rsid w:val="00255083"/>
    <w:rsid w:val="002550B7"/>
    <w:rsid w:val="002550CD"/>
    <w:rsid w:val="002550DB"/>
    <w:rsid w:val="0025511F"/>
    <w:rsid w:val="00255261"/>
    <w:rsid w:val="00255331"/>
    <w:rsid w:val="0025534E"/>
    <w:rsid w:val="00255365"/>
    <w:rsid w:val="002553D7"/>
    <w:rsid w:val="0025541B"/>
    <w:rsid w:val="0025550D"/>
    <w:rsid w:val="0025552F"/>
    <w:rsid w:val="0025556A"/>
    <w:rsid w:val="002555CA"/>
    <w:rsid w:val="00255600"/>
    <w:rsid w:val="0025564C"/>
    <w:rsid w:val="002556AF"/>
    <w:rsid w:val="002556E3"/>
    <w:rsid w:val="002556EE"/>
    <w:rsid w:val="00255796"/>
    <w:rsid w:val="002557B1"/>
    <w:rsid w:val="002557B4"/>
    <w:rsid w:val="0025585C"/>
    <w:rsid w:val="0025586C"/>
    <w:rsid w:val="00255894"/>
    <w:rsid w:val="002558AD"/>
    <w:rsid w:val="002558E7"/>
    <w:rsid w:val="002558F2"/>
    <w:rsid w:val="002559F3"/>
    <w:rsid w:val="00255A97"/>
    <w:rsid w:val="00255A99"/>
    <w:rsid w:val="00255ACE"/>
    <w:rsid w:val="00255AE5"/>
    <w:rsid w:val="00255AFB"/>
    <w:rsid w:val="00255C37"/>
    <w:rsid w:val="00255CEB"/>
    <w:rsid w:val="00255D40"/>
    <w:rsid w:val="00255D42"/>
    <w:rsid w:val="00255D4C"/>
    <w:rsid w:val="00255DA2"/>
    <w:rsid w:val="00255DD1"/>
    <w:rsid w:val="00255E1B"/>
    <w:rsid w:val="00255E40"/>
    <w:rsid w:val="00255E78"/>
    <w:rsid w:val="00255EB8"/>
    <w:rsid w:val="00255F9C"/>
    <w:rsid w:val="00255FAE"/>
    <w:rsid w:val="00255FB8"/>
    <w:rsid w:val="0025605B"/>
    <w:rsid w:val="00256066"/>
    <w:rsid w:val="00256090"/>
    <w:rsid w:val="0025620B"/>
    <w:rsid w:val="00256237"/>
    <w:rsid w:val="0025624F"/>
    <w:rsid w:val="002562EE"/>
    <w:rsid w:val="0025630B"/>
    <w:rsid w:val="00256405"/>
    <w:rsid w:val="00256473"/>
    <w:rsid w:val="002564FF"/>
    <w:rsid w:val="00256532"/>
    <w:rsid w:val="00256582"/>
    <w:rsid w:val="00256726"/>
    <w:rsid w:val="00256794"/>
    <w:rsid w:val="0025679A"/>
    <w:rsid w:val="0025679E"/>
    <w:rsid w:val="00256847"/>
    <w:rsid w:val="002568DF"/>
    <w:rsid w:val="00256901"/>
    <w:rsid w:val="00256949"/>
    <w:rsid w:val="00256A2E"/>
    <w:rsid w:val="00256A6B"/>
    <w:rsid w:val="00256AEF"/>
    <w:rsid w:val="00256B24"/>
    <w:rsid w:val="00256B63"/>
    <w:rsid w:val="00256C53"/>
    <w:rsid w:val="00256CA9"/>
    <w:rsid w:val="00256CC2"/>
    <w:rsid w:val="00256CC6"/>
    <w:rsid w:val="00256DBC"/>
    <w:rsid w:val="00256DC1"/>
    <w:rsid w:val="00256E8C"/>
    <w:rsid w:val="00256EF6"/>
    <w:rsid w:val="00256F5D"/>
    <w:rsid w:val="00256F67"/>
    <w:rsid w:val="00256F77"/>
    <w:rsid w:val="00256FBF"/>
    <w:rsid w:val="00257011"/>
    <w:rsid w:val="002570B9"/>
    <w:rsid w:val="0025710C"/>
    <w:rsid w:val="002571A6"/>
    <w:rsid w:val="00257386"/>
    <w:rsid w:val="00257532"/>
    <w:rsid w:val="00257535"/>
    <w:rsid w:val="00257545"/>
    <w:rsid w:val="002575A3"/>
    <w:rsid w:val="002575BF"/>
    <w:rsid w:val="002575D4"/>
    <w:rsid w:val="00257616"/>
    <w:rsid w:val="002576C5"/>
    <w:rsid w:val="002576EE"/>
    <w:rsid w:val="0025770F"/>
    <w:rsid w:val="002577AE"/>
    <w:rsid w:val="0025781F"/>
    <w:rsid w:val="00257860"/>
    <w:rsid w:val="00257921"/>
    <w:rsid w:val="0025797A"/>
    <w:rsid w:val="002579D0"/>
    <w:rsid w:val="002579E1"/>
    <w:rsid w:val="00257A34"/>
    <w:rsid w:val="00257A62"/>
    <w:rsid w:val="00257A91"/>
    <w:rsid w:val="00257AAD"/>
    <w:rsid w:val="00257AB5"/>
    <w:rsid w:val="00257AFB"/>
    <w:rsid w:val="00257B7A"/>
    <w:rsid w:val="00257BC5"/>
    <w:rsid w:val="00257CF4"/>
    <w:rsid w:val="00257DB2"/>
    <w:rsid w:val="00257E10"/>
    <w:rsid w:val="00257E59"/>
    <w:rsid w:val="00257E6B"/>
    <w:rsid w:val="00257F90"/>
    <w:rsid w:val="00257FA5"/>
    <w:rsid w:val="00260038"/>
    <w:rsid w:val="00260099"/>
    <w:rsid w:val="002600C2"/>
    <w:rsid w:val="00260111"/>
    <w:rsid w:val="0026012D"/>
    <w:rsid w:val="002601CB"/>
    <w:rsid w:val="0026030C"/>
    <w:rsid w:val="00260392"/>
    <w:rsid w:val="002603A4"/>
    <w:rsid w:val="002603A9"/>
    <w:rsid w:val="002603C1"/>
    <w:rsid w:val="002603FD"/>
    <w:rsid w:val="00260426"/>
    <w:rsid w:val="002604A2"/>
    <w:rsid w:val="00260597"/>
    <w:rsid w:val="002605DB"/>
    <w:rsid w:val="002605E0"/>
    <w:rsid w:val="00260654"/>
    <w:rsid w:val="002606F3"/>
    <w:rsid w:val="0026077B"/>
    <w:rsid w:val="0026078A"/>
    <w:rsid w:val="0026078B"/>
    <w:rsid w:val="00260799"/>
    <w:rsid w:val="002607B0"/>
    <w:rsid w:val="002607D4"/>
    <w:rsid w:val="0026082F"/>
    <w:rsid w:val="002608C2"/>
    <w:rsid w:val="002609B6"/>
    <w:rsid w:val="002609C3"/>
    <w:rsid w:val="00260A59"/>
    <w:rsid w:val="00260BB8"/>
    <w:rsid w:val="00260BD5"/>
    <w:rsid w:val="00260BF9"/>
    <w:rsid w:val="00260C59"/>
    <w:rsid w:val="00260C81"/>
    <w:rsid w:val="00260C90"/>
    <w:rsid w:val="00260D30"/>
    <w:rsid w:val="00260E10"/>
    <w:rsid w:val="00260E55"/>
    <w:rsid w:val="00260EE5"/>
    <w:rsid w:val="00260FFB"/>
    <w:rsid w:val="00261086"/>
    <w:rsid w:val="002610AA"/>
    <w:rsid w:val="002610D9"/>
    <w:rsid w:val="002611C2"/>
    <w:rsid w:val="00261259"/>
    <w:rsid w:val="002612A6"/>
    <w:rsid w:val="002612CF"/>
    <w:rsid w:val="0026134D"/>
    <w:rsid w:val="002613AF"/>
    <w:rsid w:val="002613EE"/>
    <w:rsid w:val="0026141C"/>
    <w:rsid w:val="0026142F"/>
    <w:rsid w:val="00261468"/>
    <w:rsid w:val="0026148A"/>
    <w:rsid w:val="0026148F"/>
    <w:rsid w:val="00261519"/>
    <w:rsid w:val="0026151A"/>
    <w:rsid w:val="00261532"/>
    <w:rsid w:val="0026153B"/>
    <w:rsid w:val="00261558"/>
    <w:rsid w:val="00261599"/>
    <w:rsid w:val="002615DC"/>
    <w:rsid w:val="002615E5"/>
    <w:rsid w:val="0026169F"/>
    <w:rsid w:val="00261715"/>
    <w:rsid w:val="002617CA"/>
    <w:rsid w:val="0026184C"/>
    <w:rsid w:val="0026184D"/>
    <w:rsid w:val="00261862"/>
    <w:rsid w:val="00261887"/>
    <w:rsid w:val="00261969"/>
    <w:rsid w:val="002619AD"/>
    <w:rsid w:val="002619BE"/>
    <w:rsid w:val="00261A0B"/>
    <w:rsid w:val="00261A90"/>
    <w:rsid w:val="00261ABC"/>
    <w:rsid w:val="00261B54"/>
    <w:rsid w:val="00261B57"/>
    <w:rsid w:val="00261BED"/>
    <w:rsid w:val="00261C61"/>
    <w:rsid w:val="00261CB2"/>
    <w:rsid w:val="00261CED"/>
    <w:rsid w:val="00261D8A"/>
    <w:rsid w:val="00261D93"/>
    <w:rsid w:val="00261DD2"/>
    <w:rsid w:val="00261EC3"/>
    <w:rsid w:val="00261EE8"/>
    <w:rsid w:val="00261F4B"/>
    <w:rsid w:val="00261F53"/>
    <w:rsid w:val="00262005"/>
    <w:rsid w:val="00262034"/>
    <w:rsid w:val="00262035"/>
    <w:rsid w:val="0026207C"/>
    <w:rsid w:val="002620CB"/>
    <w:rsid w:val="0026211D"/>
    <w:rsid w:val="00262156"/>
    <w:rsid w:val="00262164"/>
    <w:rsid w:val="00262283"/>
    <w:rsid w:val="00262288"/>
    <w:rsid w:val="002623D8"/>
    <w:rsid w:val="00262424"/>
    <w:rsid w:val="00262450"/>
    <w:rsid w:val="00262465"/>
    <w:rsid w:val="002624A9"/>
    <w:rsid w:val="0026250D"/>
    <w:rsid w:val="002625B0"/>
    <w:rsid w:val="002627D6"/>
    <w:rsid w:val="00262903"/>
    <w:rsid w:val="00262933"/>
    <w:rsid w:val="00262A7F"/>
    <w:rsid w:val="00262BAC"/>
    <w:rsid w:val="00262BF5"/>
    <w:rsid w:val="00262C01"/>
    <w:rsid w:val="00262C2A"/>
    <w:rsid w:val="00262CBA"/>
    <w:rsid w:val="00262D10"/>
    <w:rsid w:val="00262D63"/>
    <w:rsid w:val="00262D69"/>
    <w:rsid w:val="00262D74"/>
    <w:rsid w:val="00262E32"/>
    <w:rsid w:val="00262E65"/>
    <w:rsid w:val="00262EBD"/>
    <w:rsid w:val="00262F18"/>
    <w:rsid w:val="00262F3B"/>
    <w:rsid w:val="00262FEB"/>
    <w:rsid w:val="002630AC"/>
    <w:rsid w:val="00263119"/>
    <w:rsid w:val="0026314B"/>
    <w:rsid w:val="0026322C"/>
    <w:rsid w:val="00263235"/>
    <w:rsid w:val="0026324B"/>
    <w:rsid w:val="00263255"/>
    <w:rsid w:val="0026329C"/>
    <w:rsid w:val="002632D8"/>
    <w:rsid w:val="002632F0"/>
    <w:rsid w:val="00263349"/>
    <w:rsid w:val="0026335E"/>
    <w:rsid w:val="0026335F"/>
    <w:rsid w:val="002633D6"/>
    <w:rsid w:val="002633DC"/>
    <w:rsid w:val="0026341C"/>
    <w:rsid w:val="0026359D"/>
    <w:rsid w:val="00263609"/>
    <w:rsid w:val="002637A2"/>
    <w:rsid w:val="00263809"/>
    <w:rsid w:val="0026387A"/>
    <w:rsid w:val="002638A0"/>
    <w:rsid w:val="00263991"/>
    <w:rsid w:val="00263A0D"/>
    <w:rsid w:val="00263A4E"/>
    <w:rsid w:val="00263AAC"/>
    <w:rsid w:val="00263B5C"/>
    <w:rsid w:val="00263B68"/>
    <w:rsid w:val="00263B81"/>
    <w:rsid w:val="00263B8D"/>
    <w:rsid w:val="00263B93"/>
    <w:rsid w:val="00263B9B"/>
    <w:rsid w:val="00263BB3"/>
    <w:rsid w:val="00263CF0"/>
    <w:rsid w:val="00263D1A"/>
    <w:rsid w:val="00263D3D"/>
    <w:rsid w:val="00263D4C"/>
    <w:rsid w:val="00263D78"/>
    <w:rsid w:val="00263DB2"/>
    <w:rsid w:val="00263DE0"/>
    <w:rsid w:val="00263DE3"/>
    <w:rsid w:val="00263EAC"/>
    <w:rsid w:val="00263EBA"/>
    <w:rsid w:val="00263ED6"/>
    <w:rsid w:val="00263F00"/>
    <w:rsid w:val="00263F9F"/>
    <w:rsid w:val="00264081"/>
    <w:rsid w:val="00264093"/>
    <w:rsid w:val="002640F0"/>
    <w:rsid w:val="002640FA"/>
    <w:rsid w:val="0026411B"/>
    <w:rsid w:val="00264169"/>
    <w:rsid w:val="00264200"/>
    <w:rsid w:val="00264231"/>
    <w:rsid w:val="002642CA"/>
    <w:rsid w:val="002642CE"/>
    <w:rsid w:val="00264315"/>
    <w:rsid w:val="00264359"/>
    <w:rsid w:val="00264380"/>
    <w:rsid w:val="00264391"/>
    <w:rsid w:val="002644B1"/>
    <w:rsid w:val="002644C9"/>
    <w:rsid w:val="002644E1"/>
    <w:rsid w:val="002644E3"/>
    <w:rsid w:val="002644F6"/>
    <w:rsid w:val="00264560"/>
    <w:rsid w:val="002645DD"/>
    <w:rsid w:val="002646CE"/>
    <w:rsid w:val="0026472C"/>
    <w:rsid w:val="00264789"/>
    <w:rsid w:val="0026480F"/>
    <w:rsid w:val="002648A4"/>
    <w:rsid w:val="002648CC"/>
    <w:rsid w:val="002648E8"/>
    <w:rsid w:val="0026493C"/>
    <w:rsid w:val="00264984"/>
    <w:rsid w:val="00264A04"/>
    <w:rsid w:val="00264A18"/>
    <w:rsid w:val="00264A4E"/>
    <w:rsid w:val="00264B2E"/>
    <w:rsid w:val="00264BFC"/>
    <w:rsid w:val="00264C1C"/>
    <w:rsid w:val="00264C20"/>
    <w:rsid w:val="00264C3B"/>
    <w:rsid w:val="00264C42"/>
    <w:rsid w:val="00264CEF"/>
    <w:rsid w:val="00264D00"/>
    <w:rsid w:val="00264D5B"/>
    <w:rsid w:val="00264DF7"/>
    <w:rsid w:val="00264E06"/>
    <w:rsid w:val="00264E3B"/>
    <w:rsid w:val="00264EC7"/>
    <w:rsid w:val="00264EEF"/>
    <w:rsid w:val="00264F01"/>
    <w:rsid w:val="00264FBA"/>
    <w:rsid w:val="00264FD0"/>
    <w:rsid w:val="00264FFD"/>
    <w:rsid w:val="00265039"/>
    <w:rsid w:val="0026503C"/>
    <w:rsid w:val="00265052"/>
    <w:rsid w:val="00265087"/>
    <w:rsid w:val="00265120"/>
    <w:rsid w:val="00265152"/>
    <w:rsid w:val="00265185"/>
    <w:rsid w:val="00265256"/>
    <w:rsid w:val="00265277"/>
    <w:rsid w:val="0026530F"/>
    <w:rsid w:val="0026533C"/>
    <w:rsid w:val="0026535E"/>
    <w:rsid w:val="002653BB"/>
    <w:rsid w:val="002653DD"/>
    <w:rsid w:val="002653E1"/>
    <w:rsid w:val="00265401"/>
    <w:rsid w:val="00265402"/>
    <w:rsid w:val="0026541D"/>
    <w:rsid w:val="0026544D"/>
    <w:rsid w:val="00265476"/>
    <w:rsid w:val="0026548A"/>
    <w:rsid w:val="00265543"/>
    <w:rsid w:val="0026555E"/>
    <w:rsid w:val="0026556A"/>
    <w:rsid w:val="00265595"/>
    <w:rsid w:val="002655A1"/>
    <w:rsid w:val="002655E6"/>
    <w:rsid w:val="0026565C"/>
    <w:rsid w:val="002656AD"/>
    <w:rsid w:val="00265732"/>
    <w:rsid w:val="00265806"/>
    <w:rsid w:val="00265808"/>
    <w:rsid w:val="00265851"/>
    <w:rsid w:val="0026585E"/>
    <w:rsid w:val="002658B3"/>
    <w:rsid w:val="002658FC"/>
    <w:rsid w:val="0026591B"/>
    <w:rsid w:val="0026593F"/>
    <w:rsid w:val="00265989"/>
    <w:rsid w:val="00265990"/>
    <w:rsid w:val="00265A03"/>
    <w:rsid w:val="00265A22"/>
    <w:rsid w:val="00265A9F"/>
    <w:rsid w:val="00265AAD"/>
    <w:rsid w:val="00265AF9"/>
    <w:rsid w:val="00265B22"/>
    <w:rsid w:val="00265B34"/>
    <w:rsid w:val="00265B45"/>
    <w:rsid w:val="00265BBD"/>
    <w:rsid w:val="00265BE7"/>
    <w:rsid w:val="00265C7C"/>
    <w:rsid w:val="00265C8A"/>
    <w:rsid w:val="00265CB7"/>
    <w:rsid w:val="00265D3F"/>
    <w:rsid w:val="00265D73"/>
    <w:rsid w:val="00265DF6"/>
    <w:rsid w:val="00265E0C"/>
    <w:rsid w:val="00265EAD"/>
    <w:rsid w:val="00265EED"/>
    <w:rsid w:val="00265F0A"/>
    <w:rsid w:val="00265F1B"/>
    <w:rsid w:val="00265F60"/>
    <w:rsid w:val="00265F69"/>
    <w:rsid w:val="00265FCF"/>
    <w:rsid w:val="00265FD9"/>
    <w:rsid w:val="00265FE3"/>
    <w:rsid w:val="00266064"/>
    <w:rsid w:val="00266068"/>
    <w:rsid w:val="00266075"/>
    <w:rsid w:val="002660D8"/>
    <w:rsid w:val="002660E6"/>
    <w:rsid w:val="00266180"/>
    <w:rsid w:val="00266199"/>
    <w:rsid w:val="00266239"/>
    <w:rsid w:val="002662AA"/>
    <w:rsid w:val="00266350"/>
    <w:rsid w:val="00266356"/>
    <w:rsid w:val="00266386"/>
    <w:rsid w:val="002663EE"/>
    <w:rsid w:val="0026651E"/>
    <w:rsid w:val="00266533"/>
    <w:rsid w:val="00266586"/>
    <w:rsid w:val="00266592"/>
    <w:rsid w:val="00266594"/>
    <w:rsid w:val="002665DF"/>
    <w:rsid w:val="002665E1"/>
    <w:rsid w:val="0026660B"/>
    <w:rsid w:val="00266647"/>
    <w:rsid w:val="00266729"/>
    <w:rsid w:val="002667AD"/>
    <w:rsid w:val="002667D0"/>
    <w:rsid w:val="002667D7"/>
    <w:rsid w:val="002667D9"/>
    <w:rsid w:val="002667ED"/>
    <w:rsid w:val="00266889"/>
    <w:rsid w:val="002668A8"/>
    <w:rsid w:val="002668F3"/>
    <w:rsid w:val="00266AD4"/>
    <w:rsid w:val="00266AD5"/>
    <w:rsid w:val="00266B14"/>
    <w:rsid w:val="00266B1B"/>
    <w:rsid w:val="00266C52"/>
    <w:rsid w:val="00266D36"/>
    <w:rsid w:val="00266D74"/>
    <w:rsid w:val="00266D7D"/>
    <w:rsid w:val="00266DEC"/>
    <w:rsid w:val="00266E14"/>
    <w:rsid w:val="00266E70"/>
    <w:rsid w:val="00266E81"/>
    <w:rsid w:val="00266E92"/>
    <w:rsid w:val="00266EFB"/>
    <w:rsid w:val="00266F52"/>
    <w:rsid w:val="00266FB2"/>
    <w:rsid w:val="00266FB3"/>
    <w:rsid w:val="00266FCD"/>
    <w:rsid w:val="00266FFE"/>
    <w:rsid w:val="0026705E"/>
    <w:rsid w:val="0026714A"/>
    <w:rsid w:val="00267171"/>
    <w:rsid w:val="00267199"/>
    <w:rsid w:val="002671AB"/>
    <w:rsid w:val="0026724F"/>
    <w:rsid w:val="00267278"/>
    <w:rsid w:val="002674FD"/>
    <w:rsid w:val="00267500"/>
    <w:rsid w:val="00267505"/>
    <w:rsid w:val="0026754F"/>
    <w:rsid w:val="0026761C"/>
    <w:rsid w:val="00267642"/>
    <w:rsid w:val="002676A1"/>
    <w:rsid w:val="002676A9"/>
    <w:rsid w:val="002676B0"/>
    <w:rsid w:val="002676DD"/>
    <w:rsid w:val="0026775A"/>
    <w:rsid w:val="0026775D"/>
    <w:rsid w:val="002677CB"/>
    <w:rsid w:val="00267930"/>
    <w:rsid w:val="002679BF"/>
    <w:rsid w:val="00267AEA"/>
    <w:rsid w:val="00267AF3"/>
    <w:rsid w:val="00267B20"/>
    <w:rsid w:val="00267BF9"/>
    <w:rsid w:val="00267C37"/>
    <w:rsid w:val="00267C46"/>
    <w:rsid w:val="00267D44"/>
    <w:rsid w:val="00267D66"/>
    <w:rsid w:val="00267D6C"/>
    <w:rsid w:val="00267D7A"/>
    <w:rsid w:val="00267DA1"/>
    <w:rsid w:val="00267DCE"/>
    <w:rsid w:val="00267DDC"/>
    <w:rsid w:val="00267DF3"/>
    <w:rsid w:val="00267E6B"/>
    <w:rsid w:val="00267E89"/>
    <w:rsid w:val="00267E8C"/>
    <w:rsid w:val="00267E97"/>
    <w:rsid w:val="00267EA3"/>
    <w:rsid w:val="00267EEE"/>
    <w:rsid w:val="00267F6F"/>
    <w:rsid w:val="00267F7B"/>
    <w:rsid w:val="00270071"/>
    <w:rsid w:val="002700A6"/>
    <w:rsid w:val="0027011C"/>
    <w:rsid w:val="00270153"/>
    <w:rsid w:val="00270165"/>
    <w:rsid w:val="00270191"/>
    <w:rsid w:val="0027021F"/>
    <w:rsid w:val="00270222"/>
    <w:rsid w:val="0027022B"/>
    <w:rsid w:val="0027023F"/>
    <w:rsid w:val="00270243"/>
    <w:rsid w:val="00270261"/>
    <w:rsid w:val="00270269"/>
    <w:rsid w:val="0027028A"/>
    <w:rsid w:val="00270315"/>
    <w:rsid w:val="00270346"/>
    <w:rsid w:val="0027035D"/>
    <w:rsid w:val="002703D1"/>
    <w:rsid w:val="002703E2"/>
    <w:rsid w:val="0027041B"/>
    <w:rsid w:val="0027041D"/>
    <w:rsid w:val="002704A9"/>
    <w:rsid w:val="002704BA"/>
    <w:rsid w:val="00270536"/>
    <w:rsid w:val="00270580"/>
    <w:rsid w:val="002705A5"/>
    <w:rsid w:val="002705FE"/>
    <w:rsid w:val="0027065A"/>
    <w:rsid w:val="002706F4"/>
    <w:rsid w:val="0027070C"/>
    <w:rsid w:val="0027071F"/>
    <w:rsid w:val="0027074F"/>
    <w:rsid w:val="00270761"/>
    <w:rsid w:val="0027076A"/>
    <w:rsid w:val="002707C3"/>
    <w:rsid w:val="002707CD"/>
    <w:rsid w:val="0027083B"/>
    <w:rsid w:val="00270870"/>
    <w:rsid w:val="0027089B"/>
    <w:rsid w:val="002708A4"/>
    <w:rsid w:val="002708C0"/>
    <w:rsid w:val="002709A0"/>
    <w:rsid w:val="002709E7"/>
    <w:rsid w:val="00270AA0"/>
    <w:rsid w:val="00270B98"/>
    <w:rsid w:val="00270BCD"/>
    <w:rsid w:val="00270C4D"/>
    <w:rsid w:val="00270C7C"/>
    <w:rsid w:val="00270C92"/>
    <w:rsid w:val="00270C9B"/>
    <w:rsid w:val="00270CA1"/>
    <w:rsid w:val="00270D40"/>
    <w:rsid w:val="00270D5A"/>
    <w:rsid w:val="00270DD3"/>
    <w:rsid w:val="00270DFC"/>
    <w:rsid w:val="00270E05"/>
    <w:rsid w:val="00270E1E"/>
    <w:rsid w:val="00270E38"/>
    <w:rsid w:val="00270E5D"/>
    <w:rsid w:val="00270F4C"/>
    <w:rsid w:val="00270F5B"/>
    <w:rsid w:val="00270FAC"/>
    <w:rsid w:val="00271078"/>
    <w:rsid w:val="002710E7"/>
    <w:rsid w:val="00271184"/>
    <w:rsid w:val="002711BA"/>
    <w:rsid w:val="002712A7"/>
    <w:rsid w:val="00271305"/>
    <w:rsid w:val="0027138F"/>
    <w:rsid w:val="002713DB"/>
    <w:rsid w:val="00271481"/>
    <w:rsid w:val="002714D1"/>
    <w:rsid w:val="0027150F"/>
    <w:rsid w:val="00271556"/>
    <w:rsid w:val="0027156E"/>
    <w:rsid w:val="00271574"/>
    <w:rsid w:val="002715BA"/>
    <w:rsid w:val="002715CC"/>
    <w:rsid w:val="002715E6"/>
    <w:rsid w:val="002715F3"/>
    <w:rsid w:val="0027165B"/>
    <w:rsid w:val="00271663"/>
    <w:rsid w:val="0027171A"/>
    <w:rsid w:val="00271750"/>
    <w:rsid w:val="00271781"/>
    <w:rsid w:val="0027180A"/>
    <w:rsid w:val="00271853"/>
    <w:rsid w:val="00271868"/>
    <w:rsid w:val="0027186D"/>
    <w:rsid w:val="00271876"/>
    <w:rsid w:val="00271882"/>
    <w:rsid w:val="002718BC"/>
    <w:rsid w:val="002718F7"/>
    <w:rsid w:val="00271922"/>
    <w:rsid w:val="00271942"/>
    <w:rsid w:val="00271949"/>
    <w:rsid w:val="00271981"/>
    <w:rsid w:val="00271998"/>
    <w:rsid w:val="0027199D"/>
    <w:rsid w:val="00271A04"/>
    <w:rsid w:val="00271A71"/>
    <w:rsid w:val="00271AB5"/>
    <w:rsid w:val="00271AD0"/>
    <w:rsid w:val="00271AD2"/>
    <w:rsid w:val="00271B4A"/>
    <w:rsid w:val="00271BE5"/>
    <w:rsid w:val="00271CA9"/>
    <w:rsid w:val="00271CB0"/>
    <w:rsid w:val="00271CD2"/>
    <w:rsid w:val="00271CFE"/>
    <w:rsid w:val="00271D4A"/>
    <w:rsid w:val="00271F24"/>
    <w:rsid w:val="00271F4E"/>
    <w:rsid w:val="00271F99"/>
    <w:rsid w:val="00271FE2"/>
    <w:rsid w:val="00271FEF"/>
    <w:rsid w:val="0027204C"/>
    <w:rsid w:val="002720F1"/>
    <w:rsid w:val="00272140"/>
    <w:rsid w:val="00272167"/>
    <w:rsid w:val="002721B1"/>
    <w:rsid w:val="002721D0"/>
    <w:rsid w:val="0027221E"/>
    <w:rsid w:val="00272224"/>
    <w:rsid w:val="00272272"/>
    <w:rsid w:val="002722CA"/>
    <w:rsid w:val="002722D6"/>
    <w:rsid w:val="00272348"/>
    <w:rsid w:val="002723C7"/>
    <w:rsid w:val="00272459"/>
    <w:rsid w:val="0027246C"/>
    <w:rsid w:val="00272515"/>
    <w:rsid w:val="0027252B"/>
    <w:rsid w:val="00272570"/>
    <w:rsid w:val="00272674"/>
    <w:rsid w:val="002726D5"/>
    <w:rsid w:val="0027271D"/>
    <w:rsid w:val="00272734"/>
    <w:rsid w:val="0027273B"/>
    <w:rsid w:val="002727A7"/>
    <w:rsid w:val="0027286A"/>
    <w:rsid w:val="00272897"/>
    <w:rsid w:val="0027297B"/>
    <w:rsid w:val="00272982"/>
    <w:rsid w:val="002729A6"/>
    <w:rsid w:val="00272A72"/>
    <w:rsid w:val="00272A79"/>
    <w:rsid w:val="00272B0C"/>
    <w:rsid w:val="00272BB6"/>
    <w:rsid w:val="00272BF0"/>
    <w:rsid w:val="00272C99"/>
    <w:rsid w:val="00272CE3"/>
    <w:rsid w:val="00272D15"/>
    <w:rsid w:val="00272D41"/>
    <w:rsid w:val="00272DFC"/>
    <w:rsid w:val="00272E3F"/>
    <w:rsid w:val="00272E4F"/>
    <w:rsid w:val="00272EB0"/>
    <w:rsid w:val="00272EBC"/>
    <w:rsid w:val="00272EE6"/>
    <w:rsid w:val="00272F33"/>
    <w:rsid w:val="00272F50"/>
    <w:rsid w:val="00272F8A"/>
    <w:rsid w:val="00272FA1"/>
    <w:rsid w:val="00272FB3"/>
    <w:rsid w:val="00272FE3"/>
    <w:rsid w:val="00273089"/>
    <w:rsid w:val="00273097"/>
    <w:rsid w:val="00273149"/>
    <w:rsid w:val="00273169"/>
    <w:rsid w:val="002731B8"/>
    <w:rsid w:val="002731BB"/>
    <w:rsid w:val="002731E4"/>
    <w:rsid w:val="002731E7"/>
    <w:rsid w:val="0027328B"/>
    <w:rsid w:val="00273374"/>
    <w:rsid w:val="002734B8"/>
    <w:rsid w:val="00273566"/>
    <w:rsid w:val="0027358A"/>
    <w:rsid w:val="00273620"/>
    <w:rsid w:val="002736FB"/>
    <w:rsid w:val="0027374F"/>
    <w:rsid w:val="00273780"/>
    <w:rsid w:val="00273807"/>
    <w:rsid w:val="00273834"/>
    <w:rsid w:val="00273838"/>
    <w:rsid w:val="00273845"/>
    <w:rsid w:val="0027384D"/>
    <w:rsid w:val="00273868"/>
    <w:rsid w:val="00273897"/>
    <w:rsid w:val="002738BB"/>
    <w:rsid w:val="002738CB"/>
    <w:rsid w:val="002738E1"/>
    <w:rsid w:val="002738F5"/>
    <w:rsid w:val="0027395C"/>
    <w:rsid w:val="0027397C"/>
    <w:rsid w:val="002739A9"/>
    <w:rsid w:val="002739BD"/>
    <w:rsid w:val="00273A1B"/>
    <w:rsid w:val="00273A3B"/>
    <w:rsid w:val="00273AF6"/>
    <w:rsid w:val="00273B58"/>
    <w:rsid w:val="00273B9E"/>
    <w:rsid w:val="00273C45"/>
    <w:rsid w:val="00273C84"/>
    <w:rsid w:val="00273CA4"/>
    <w:rsid w:val="00273D28"/>
    <w:rsid w:val="00273D41"/>
    <w:rsid w:val="00273D50"/>
    <w:rsid w:val="00273D83"/>
    <w:rsid w:val="00273D94"/>
    <w:rsid w:val="00273D96"/>
    <w:rsid w:val="00273DD5"/>
    <w:rsid w:val="00273F01"/>
    <w:rsid w:val="00273F79"/>
    <w:rsid w:val="00273F7E"/>
    <w:rsid w:val="00273FA5"/>
    <w:rsid w:val="0027415A"/>
    <w:rsid w:val="00274239"/>
    <w:rsid w:val="002742A3"/>
    <w:rsid w:val="002742DA"/>
    <w:rsid w:val="002743C7"/>
    <w:rsid w:val="002743D3"/>
    <w:rsid w:val="002744BF"/>
    <w:rsid w:val="00274579"/>
    <w:rsid w:val="002745F7"/>
    <w:rsid w:val="00274669"/>
    <w:rsid w:val="002746AF"/>
    <w:rsid w:val="00274711"/>
    <w:rsid w:val="002747C1"/>
    <w:rsid w:val="002747D6"/>
    <w:rsid w:val="002747DD"/>
    <w:rsid w:val="00274858"/>
    <w:rsid w:val="0027486C"/>
    <w:rsid w:val="002748D8"/>
    <w:rsid w:val="002749A7"/>
    <w:rsid w:val="00274B1E"/>
    <w:rsid w:val="00274BA1"/>
    <w:rsid w:val="00274BD9"/>
    <w:rsid w:val="00274C23"/>
    <w:rsid w:val="00274D94"/>
    <w:rsid w:val="00274DCE"/>
    <w:rsid w:val="00274DD8"/>
    <w:rsid w:val="00274DFB"/>
    <w:rsid w:val="00274E46"/>
    <w:rsid w:val="00274E4D"/>
    <w:rsid w:val="00274E70"/>
    <w:rsid w:val="00274EC6"/>
    <w:rsid w:val="00274EF5"/>
    <w:rsid w:val="00274F6F"/>
    <w:rsid w:val="00274FA0"/>
    <w:rsid w:val="00274FFB"/>
    <w:rsid w:val="0027502F"/>
    <w:rsid w:val="00275062"/>
    <w:rsid w:val="00275064"/>
    <w:rsid w:val="00275075"/>
    <w:rsid w:val="0027527F"/>
    <w:rsid w:val="002752B9"/>
    <w:rsid w:val="0027531D"/>
    <w:rsid w:val="00275357"/>
    <w:rsid w:val="00275363"/>
    <w:rsid w:val="00275366"/>
    <w:rsid w:val="002753B1"/>
    <w:rsid w:val="002753BB"/>
    <w:rsid w:val="002753DE"/>
    <w:rsid w:val="00275423"/>
    <w:rsid w:val="002754E7"/>
    <w:rsid w:val="0027557C"/>
    <w:rsid w:val="00275602"/>
    <w:rsid w:val="002756B8"/>
    <w:rsid w:val="002756E8"/>
    <w:rsid w:val="00275710"/>
    <w:rsid w:val="0027579A"/>
    <w:rsid w:val="002757B0"/>
    <w:rsid w:val="002757B8"/>
    <w:rsid w:val="00275858"/>
    <w:rsid w:val="00275976"/>
    <w:rsid w:val="002759F5"/>
    <w:rsid w:val="00275A3B"/>
    <w:rsid w:val="00275A41"/>
    <w:rsid w:val="00275A65"/>
    <w:rsid w:val="00275A66"/>
    <w:rsid w:val="00275B0D"/>
    <w:rsid w:val="00275B3F"/>
    <w:rsid w:val="00275B9C"/>
    <w:rsid w:val="00275BFF"/>
    <w:rsid w:val="00275C21"/>
    <w:rsid w:val="00275C32"/>
    <w:rsid w:val="00275C40"/>
    <w:rsid w:val="00275C68"/>
    <w:rsid w:val="00275CF1"/>
    <w:rsid w:val="00275CF7"/>
    <w:rsid w:val="00275DAC"/>
    <w:rsid w:val="00275E32"/>
    <w:rsid w:val="00275E59"/>
    <w:rsid w:val="00275E63"/>
    <w:rsid w:val="00275E6B"/>
    <w:rsid w:val="00275ECF"/>
    <w:rsid w:val="00275FF8"/>
    <w:rsid w:val="0027603C"/>
    <w:rsid w:val="00276073"/>
    <w:rsid w:val="002760BF"/>
    <w:rsid w:val="00276121"/>
    <w:rsid w:val="00276221"/>
    <w:rsid w:val="00276269"/>
    <w:rsid w:val="002762AF"/>
    <w:rsid w:val="002762DE"/>
    <w:rsid w:val="00276330"/>
    <w:rsid w:val="002763A8"/>
    <w:rsid w:val="002763B3"/>
    <w:rsid w:val="002763C7"/>
    <w:rsid w:val="002763F4"/>
    <w:rsid w:val="00276485"/>
    <w:rsid w:val="002764B7"/>
    <w:rsid w:val="002764CF"/>
    <w:rsid w:val="0027655C"/>
    <w:rsid w:val="0027658A"/>
    <w:rsid w:val="0027659E"/>
    <w:rsid w:val="002765BA"/>
    <w:rsid w:val="002765E3"/>
    <w:rsid w:val="002765FB"/>
    <w:rsid w:val="00276604"/>
    <w:rsid w:val="00276610"/>
    <w:rsid w:val="00276628"/>
    <w:rsid w:val="00276651"/>
    <w:rsid w:val="00276674"/>
    <w:rsid w:val="00276730"/>
    <w:rsid w:val="00276778"/>
    <w:rsid w:val="002767A5"/>
    <w:rsid w:val="002767CA"/>
    <w:rsid w:val="00276813"/>
    <w:rsid w:val="0027693E"/>
    <w:rsid w:val="002769AF"/>
    <w:rsid w:val="002769C1"/>
    <w:rsid w:val="002769F2"/>
    <w:rsid w:val="002769F3"/>
    <w:rsid w:val="00276A36"/>
    <w:rsid w:val="00276A45"/>
    <w:rsid w:val="00276A67"/>
    <w:rsid w:val="00276AF0"/>
    <w:rsid w:val="00276B20"/>
    <w:rsid w:val="00276BAA"/>
    <w:rsid w:val="00276C14"/>
    <w:rsid w:val="00276D08"/>
    <w:rsid w:val="00276D31"/>
    <w:rsid w:val="00276D7D"/>
    <w:rsid w:val="00276DB6"/>
    <w:rsid w:val="00276DBA"/>
    <w:rsid w:val="00276DFB"/>
    <w:rsid w:val="00276E4D"/>
    <w:rsid w:val="00276EDA"/>
    <w:rsid w:val="00276F18"/>
    <w:rsid w:val="00276F1E"/>
    <w:rsid w:val="00276F7E"/>
    <w:rsid w:val="00276FB7"/>
    <w:rsid w:val="00277013"/>
    <w:rsid w:val="0027704F"/>
    <w:rsid w:val="00277072"/>
    <w:rsid w:val="00277079"/>
    <w:rsid w:val="002770AA"/>
    <w:rsid w:val="002770C5"/>
    <w:rsid w:val="0027710D"/>
    <w:rsid w:val="00277158"/>
    <w:rsid w:val="0027719F"/>
    <w:rsid w:val="002771A8"/>
    <w:rsid w:val="00277252"/>
    <w:rsid w:val="00277271"/>
    <w:rsid w:val="002772CC"/>
    <w:rsid w:val="00277352"/>
    <w:rsid w:val="00277393"/>
    <w:rsid w:val="002773AF"/>
    <w:rsid w:val="002773DE"/>
    <w:rsid w:val="002773E6"/>
    <w:rsid w:val="0027742B"/>
    <w:rsid w:val="0027746B"/>
    <w:rsid w:val="002774AC"/>
    <w:rsid w:val="0027755B"/>
    <w:rsid w:val="00277563"/>
    <w:rsid w:val="00277565"/>
    <w:rsid w:val="0027756A"/>
    <w:rsid w:val="002775C3"/>
    <w:rsid w:val="002775E3"/>
    <w:rsid w:val="002775E7"/>
    <w:rsid w:val="002776A6"/>
    <w:rsid w:val="002776F8"/>
    <w:rsid w:val="00277704"/>
    <w:rsid w:val="002777E3"/>
    <w:rsid w:val="00277807"/>
    <w:rsid w:val="00277845"/>
    <w:rsid w:val="002778C0"/>
    <w:rsid w:val="002778E7"/>
    <w:rsid w:val="0027797A"/>
    <w:rsid w:val="00277998"/>
    <w:rsid w:val="002779E8"/>
    <w:rsid w:val="00277A1F"/>
    <w:rsid w:val="00277ABF"/>
    <w:rsid w:val="00277AFA"/>
    <w:rsid w:val="00277AFE"/>
    <w:rsid w:val="00277B0E"/>
    <w:rsid w:val="00277B5B"/>
    <w:rsid w:val="00277BC1"/>
    <w:rsid w:val="00277BCB"/>
    <w:rsid w:val="00277CD6"/>
    <w:rsid w:val="00277D73"/>
    <w:rsid w:val="00277D80"/>
    <w:rsid w:val="00277D8E"/>
    <w:rsid w:val="00277DA9"/>
    <w:rsid w:val="00277DF4"/>
    <w:rsid w:val="00277EA1"/>
    <w:rsid w:val="00277EF2"/>
    <w:rsid w:val="00277F05"/>
    <w:rsid w:val="00277F06"/>
    <w:rsid w:val="00277F07"/>
    <w:rsid w:val="00277F41"/>
    <w:rsid w:val="00277F53"/>
    <w:rsid w:val="00277F5B"/>
    <w:rsid w:val="00277FC1"/>
    <w:rsid w:val="00277FDD"/>
    <w:rsid w:val="00277FEB"/>
    <w:rsid w:val="00280040"/>
    <w:rsid w:val="0028013F"/>
    <w:rsid w:val="002801F9"/>
    <w:rsid w:val="00280208"/>
    <w:rsid w:val="0028020C"/>
    <w:rsid w:val="0028023B"/>
    <w:rsid w:val="0028025D"/>
    <w:rsid w:val="0028029E"/>
    <w:rsid w:val="002803B3"/>
    <w:rsid w:val="00280428"/>
    <w:rsid w:val="00280463"/>
    <w:rsid w:val="00280502"/>
    <w:rsid w:val="00280549"/>
    <w:rsid w:val="0028055B"/>
    <w:rsid w:val="00280576"/>
    <w:rsid w:val="002805CE"/>
    <w:rsid w:val="002806BE"/>
    <w:rsid w:val="00280719"/>
    <w:rsid w:val="002807B3"/>
    <w:rsid w:val="0028082E"/>
    <w:rsid w:val="00280874"/>
    <w:rsid w:val="0028088C"/>
    <w:rsid w:val="002808F5"/>
    <w:rsid w:val="00280936"/>
    <w:rsid w:val="00280961"/>
    <w:rsid w:val="0028099B"/>
    <w:rsid w:val="00280B07"/>
    <w:rsid w:val="00280B7A"/>
    <w:rsid w:val="00280C0B"/>
    <w:rsid w:val="00280CCA"/>
    <w:rsid w:val="00280D07"/>
    <w:rsid w:val="00280D1E"/>
    <w:rsid w:val="00280D39"/>
    <w:rsid w:val="00280D7C"/>
    <w:rsid w:val="00280D82"/>
    <w:rsid w:val="00280DA8"/>
    <w:rsid w:val="00280DCA"/>
    <w:rsid w:val="00280EA7"/>
    <w:rsid w:val="00280F45"/>
    <w:rsid w:val="00280FD9"/>
    <w:rsid w:val="0028100E"/>
    <w:rsid w:val="0028101E"/>
    <w:rsid w:val="0028103E"/>
    <w:rsid w:val="0028104E"/>
    <w:rsid w:val="002810F3"/>
    <w:rsid w:val="00281157"/>
    <w:rsid w:val="0028119C"/>
    <w:rsid w:val="002811C0"/>
    <w:rsid w:val="0028126E"/>
    <w:rsid w:val="0028129A"/>
    <w:rsid w:val="002812B0"/>
    <w:rsid w:val="002812D1"/>
    <w:rsid w:val="002812EA"/>
    <w:rsid w:val="0028136A"/>
    <w:rsid w:val="002813BC"/>
    <w:rsid w:val="00281442"/>
    <w:rsid w:val="0028149A"/>
    <w:rsid w:val="002814A4"/>
    <w:rsid w:val="002814D6"/>
    <w:rsid w:val="0028153D"/>
    <w:rsid w:val="0028157A"/>
    <w:rsid w:val="0028158D"/>
    <w:rsid w:val="0028162A"/>
    <w:rsid w:val="00281684"/>
    <w:rsid w:val="002816DF"/>
    <w:rsid w:val="00281723"/>
    <w:rsid w:val="002817CF"/>
    <w:rsid w:val="002817EC"/>
    <w:rsid w:val="0028181A"/>
    <w:rsid w:val="0028183B"/>
    <w:rsid w:val="00281862"/>
    <w:rsid w:val="0028186B"/>
    <w:rsid w:val="0028190F"/>
    <w:rsid w:val="0028193C"/>
    <w:rsid w:val="00281958"/>
    <w:rsid w:val="002819BC"/>
    <w:rsid w:val="00281A4D"/>
    <w:rsid w:val="00281A51"/>
    <w:rsid w:val="00281A5B"/>
    <w:rsid w:val="00281A6C"/>
    <w:rsid w:val="00281ADC"/>
    <w:rsid w:val="00281AE5"/>
    <w:rsid w:val="00281B17"/>
    <w:rsid w:val="00281B2E"/>
    <w:rsid w:val="00281B38"/>
    <w:rsid w:val="00281C45"/>
    <w:rsid w:val="00281C7C"/>
    <w:rsid w:val="00281C85"/>
    <w:rsid w:val="00281CB7"/>
    <w:rsid w:val="00281CC3"/>
    <w:rsid w:val="00281CE5"/>
    <w:rsid w:val="00281D45"/>
    <w:rsid w:val="00281DB5"/>
    <w:rsid w:val="00281E24"/>
    <w:rsid w:val="00281E44"/>
    <w:rsid w:val="00281EDD"/>
    <w:rsid w:val="00281F2D"/>
    <w:rsid w:val="00281FB6"/>
    <w:rsid w:val="00281FD2"/>
    <w:rsid w:val="00281FDB"/>
    <w:rsid w:val="00281FE4"/>
    <w:rsid w:val="00281FE5"/>
    <w:rsid w:val="002820B3"/>
    <w:rsid w:val="002820BD"/>
    <w:rsid w:val="002820C8"/>
    <w:rsid w:val="002821B2"/>
    <w:rsid w:val="00282269"/>
    <w:rsid w:val="0028231F"/>
    <w:rsid w:val="0028234C"/>
    <w:rsid w:val="00282401"/>
    <w:rsid w:val="0028240C"/>
    <w:rsid w:val="00282441"/>
    <w:rsid w:val="00282451"/>
    <w:rsid w:val="0028247F"/>
    <w:rsid w:val="00282486"/>
    <w:rsid w:val="002824CA"/>
    <w:rsid w:val="00282595"/>
    <w:rsid w:val="0028259F"/>
    <w:rsid w:val="002826C9"/>
    <w:rsid w:val="002826FA"/>
    <w:rsid w:val="00282754"/>
    <w:rsid w:val="0028284B"/>
    <w:rsid w:val="00282859"/>
    <w:rsid w:val="0028286E"/>
    <w:rsid w:val="002828F8"/>
    <w:rsid w:val="00282945"/>
    <w:rsid w:val="002829F2"/>
    <w:rsid w:val="00282A05"/>
    <w:rsid w:val="00282AC4"/>
    <w:rsid w:val="00282AE8"/>
    <w:rsid w:val="00282B08"/>
    <w:rsid w:val="00282B96"/>
    <w:rsid w:val="00282C09"/>
    <w:rsid w:val="00282C58"/>
    <w:rsid w:val="00282C8E"/>
    <w:rsid w:val="00282D11"/>
    <w:rsid w:val="00282D1E"/>
    <w:rsid w:val="00282DA7"/>
    <w:rsid w:val="00282DFC"/>
    <w:rsid w:val="00282E2C"/>
    <w:rsid w:val="00282E6A"/>
    <w:rsid w:val="00282E8A"/>
    <w:rsid w:val="00282EC1"/>
    <w:rsid w:val="00282F14"/>
    <w:rsid w:val="00282F19"/>
    <w:rsid w:val="00282F86"/>
    <w:rsid w:val="00282F9D"/>
    <w:rsid w:val="00283038"/>
    <w:rsid w:val="0028304A"/>
    <w:rsid w:val="00283056"/>
    <w:rsid w:val="00283090"/>
    <w:rsid w:val="002830CC"/>
    <w:rsid w:val="002830DD"/>
    <w:rsid w:val="002830EA"/>
    <w:rsid w:val="00283162"/>
    <w:rsid w:val="002831E0"/>
    <w:rsid w:val="00283262"/>
    <w:rsid w:val="0028328C"/>
    <w:rsid w:val="002833A9"/>
    <w:rsid w:val="002833E1"/>
    <w:rsid w:val="00283411"/>
    <w:rsid w:val="00283459"/>
    <w:rsid w:val="0028347C"/>
    <w:rsid w:val="002834B8"/>
    <w:rsid w:val="002834F0"/>
    <w:rsid w:val="00283565"/>
    <w:rsid w:val="002835B3"/>
    <w:rsid w:val="002835C7"/>
    <w:rsid w:val="00283633"/>
    <w:rsid w:val="00283690"/>
    <w:rsid w:val="0028370D"/>
    <w:rsid w:val="0028373A"/>
    <w:rsid w:val="00283798"/>
    <w:rsid w:val="002837BB"/>
    <w:rsid w:val="0028382A"/>
    <w:rsid w:val="0028389E"/>
    <w:rsid w:val="002838B7"/>
    <w:rsid w:val="0028393D"/>
    <w:rsid w:val="00283970"/>
    <w:rsid w:val="0028398E"/>
    <w:rsid w:val="002839AC"/>
    <w:rsid w:val="00283A2B"/>
    <w:rsid w:val="00283A42"/>
    <w:rsid w:val="00283AE1"/>
    <w:rsid w:val="00283AF9"/>
    <w:rsid w:val="00283C4D"/>
    <w:rsid w:val="00283C6F"/>
    <w:rsid w:val="00283CC6"/>
    <w:rsid w:val="00283D38"/>
    <w:rsid w:val="00283D66"/>
    <w:rsid w:val="00283E24"/>
    <w:rsid w:val="00283E54"/>
    <w:rsid w:val="00283ED1"/>
    <w:rsid w:val="00283EE1"/>
    <w:rsid w:val="00283F4F"/>
    <w:rsid w:val="00283F6F"/>
    <w:rsid w:val="00283FD1"/>
    <w:rsid w:val="00284035"/>
    <w:rsid w:val="00284069"/>
    <w:rsid w:val="002840F4"/>
    <w:rsid w:val="00284139"/>
    <w:rsid w:val="00284364"/>
    <w:rsid w:val="00284411"/>
    <w:rsid w:val="00284438"/>
    <w:rsid w:val="00284439"/>
    <w:rsid w:val="00284491"/>
    <w:rsid w:val="002844CD"/>
    <w:rsid w:val="002844F6"/>
    <w:rsid w:val="00284522"/>
    <w:rsid w:val="00284575"/>
    <w:rsid w:val="002845D7"/>
    <w:rsid w:val="002845E3"/>
    <w:rsid w:val="00284626"/>
    <w:rsid w:val="0028467C"/>
    <w:rsid w:val="002846CA"/>
    <w:rsid w:val="00284715"/>
    <w:rsid w:val="00284727"/>
    <w:rsid w:val="00284777"/>
    <w:rsid w:val="002847E6"/>
    <w:rsid w:val="002848CF"/>
    <w:rsid w:val="0028494A"/>
    <w:rsid w:val="00284A07"/>
    <w:rsid w:val="00284A3F"/>
    <w:rsid w:val="00284B29"/>
    <w:rsid w:val="00284B3E"/>
    <w:rsid w:val="00284B64"/>
    <w:rsid w:val="00284B7C"/>
    <w:rsid w:val="00284C0B"/>
    <w:rsid w:val="00284C3E"/>
    <w:rsid w:val="00284C4D"/>
    <w:rsid w:val="00284C73"/>
    <w:rsid w:val="00284CBC"/>
    <w:rsid w:val="00284D46"/>
    <w:rsid w:val="00284D61"/>
    <w:rsid w:val="00284DBD"/>
    <w:rsid w:val="00284E64"/>
    <w:rsid w:val="00284E7D"/>
    <w:rsid w:val="00284E93"/>
    <w:rsid w:val="00284E9B"/>
    <w:rsid w:val="00284EE5"/>
    <w:rsid w:val="00284F7B"/>
    <w:rsid w:val="00285017"/>
    <w:rsid w:val="00285024"/>
    <w:rsid w:val="00285048"/>
    <w:rsid w:val="0028512E"/>
    <w:rsid w:val="002851CD"/>
    <w:rsid w:val="002851D1"/>
    <w:rsid w:val="0028525C"/>
    <w:rsid w:val="002853D7"/>
    <w:rsid w:val="002853FA"/>
    <w:rsid w:val="0028551B"/>
    <w:rsid w:val="0028552F"/>
    <w:rsid w:val="00285530"/>
    <w:rsid w:val="00285541"/>
    <w:rsid w:val="0028554E"/>
    <w:rsid w:val="00285555"/>
    <w:rsid w:val="002855FD"/>
    <w:rsid w:val="00285624"/>
    <w:rsid w:val="0028565A"/>
    <w:rsid w:val="002856F1"/>
    <w:rsid w:val="00285745"/>
    <w:rsid w:val="0028575C"/>
    <w:rsid w:val="002857A9"/>
    <w:rsid w:val="002857E4"/>
    <w:rsid w:val="00285821"/>
    <w:rsid w:val="0028582A"/>
    <w:rsid w:val="0028588C"/>
    <w:rsid w:val="00285943"/>
    <w:rsid w:val="0028594B"/>
    <w:rsid w:val="0028595E"/>
    <w:rsid w:val="002859BB"/>
    <w:rsid w:val="002859D7"/>
    <w:rsid w:val="002859DF"/>
    <w:rsid w:val="00285A6A"/>
    <w:rsid w:val="00285A6D"/>
    <w:rsid w:val="00285AD8"/>
    <w:rsid w:val="00285B79"/>
    <w:rsid w:val="00285B92"/>
    <w:rsid w:val="00285BA0"/>
    <w:rsid w:val="00285C2B"/>
    <w:rsid w:val="00285D04"/>
    <w:rsid w:val="00285E60"/>
    <w:rsid w:val="00285E65"/>
    <w:rsid w:val="00285E69"/>
    <w:rsid w:val="00285E9B"/>
    <w:rsid w:val="00285F2E"/>
    <w:rsid w:val="00285FB8"/>
    <w:rsid w:val="00285FBC"/>
    <w:rsid w:val="00285FEB"/>
    <w:rsid w:val="00286022"/>
    <w:rsid w:val="00286036"/>
    <w:rsid w:val="00286042"/>
    <w:rsid w:val="0028605C"/>
    <w:rsid w:val="00286063"/>
    <w:rsid w:val="002860D4"/>
    <w:rsid w:val="002860E7"/>
    <w:rsid w:val="002860F4"/>
    <w:rsid w:val="0028610F"/>
    <w:rsid w:val="00286146"/>
    <w:rsid w:val="0028621F"/>
    <w:rsid w:val="0028623F"/>
    <w:rsid w:val="0028625E"/>
    <w:rsid w:val="0028627F"/>
    <w:rsid w:val="00286293"/>
    <w:rsid w:val="002862C4"/>
    <w:rsid w:val="0028632B"/>
    <w:rsid w:val="0028639F"/>
    <w:rsid w:val="00286408"/>
    <w:rsid w:val="002864CF"/>
    <w:rsid w:val="00286584"/>
    <w:rsid w:val="002865C2"/>
    <w:rsid w:val="0028662C"/>
    <w:rsid w:val="00286655"/>
    <w:rsid w:val="002866C3"/>
    <w:rsid w:val="0028670A"/>
    <w:rsid w:val="002867D3"/>
    <w:rsid w:val="002868BF"/>
    <w:rsid w:val="00286948"/>
    <w:rsid w:val="002869D7"/>
    <w:rsid w:val="002869E2"/>
    <w:rsid w:val="00286B21"/>
    <w:rsid w:val="00286B6E"/>
    <w:rsid w:val="00286BE5"/>
    <w:rsid w:val="00286C20"/>
    <w:rsid w:val="00286C33"/>
    <w:rsid w:val="00286C65"/>
    <w:rsid w:val="00286D0F"/>
    <w:rsid w:val="00286D11"/>
    <w:rsid w:val="00286D39"/>
    <w:rsid w:val="00286D5A"/>
    <w:rsid w:val="00286D9F"/>
    <w:rsid w:val="00286E8F"/>
    <w:rsid w:val="00286EC2"/>
    <w:rsid w:val="00286F39"/>
    <w:rsid w:val="00286F93"/>
    <w:rsid w:val="00286FB8"/>
    <w:rsid w:val="00286FF5"/>
    <w:rsid w:val="002870F6"/>
    <w:rsid w:val="00287109"/>
    <w:rsid w:val="0028717B"/>
    <w:rsid w:val="002871EA"/>
    <w:rsid w:val="002872E1"/>
    <w:rsid w:val="00287335"/>
    <w:rsid w:val="002873FD"/>
    <w:rsid w:val="00287435"/>
    <w:rsid w:val="00287452"/>
    <w:rsid w:val="00287465"/>
    <w:rsid w:val="00287479"/>
    <w:rsid w:val="002874DB"/>
    <w:rsid w:val="0028750B"/>
    <w:rsid w:val="00287578"/>
    <w:rsid w:val="00287590"/>
    <w:rsid w:val="0028759A"/>
    <w:rsid w:val="002875D5"/>
    <w:rsid w:val="002876BA"/>
    <w:rsid w:val="00287711"/>
    <w:rsid w:val="002877B5"/>
    <w:rsid w:val="002877C6"/>
    <w:rsid w:val="002877FC"/>
    <w:rsid w:val="00287822"/>
    <w:rsid w:val="0028785E"/>
    <w:rsid w:val="002878BD"/>
    <w:rsid w:val="002878EC"/>
    <w:rsid w:val="00287944"/>
    <w:rsid w:val="002879AA"/>
    <w:rsid w:val="00287A34"/>
    <w:rsid w:val="00287A93"/>
    <w:rsid w:val="00287A9E"/>
    <w:rsid w:val="00287AE8"/>
    <w:rsid w:val="00287B02"/>
    <w:rsid w:val="00287B7C"/>
    <w:rsid w:val="00287C5F"/>
    <w:rsid w:val="00287CE5"/>
    <w:rsid w:val="00287D13"/>
    <w:rsid w:val="00287D7C"/>
    <w:rsid w:val="00287DE5"/>
    <w:rsid w:val="00287E1F"/>
    <w:rsid w:val="00287E7F"/>
    <w:rsid w:val="00287E84"/>
    <w:rsid w:val="00287E98"/>
    <w:rsid w:val="00287FD5"/>
    <w:rsid w:val="00287FE5"/>
    <w:rsid w:val="0029001C"/>
    <w:rsid w:val="00290033"/>
    <w:rsid w:val="00290135"/>
    <w:rsid w:val="0029015F"/>
    <w:rsid w:val="002901CD"/>
    <w:rsid w:val="002901D9"/>
    <w:rsid w:val="00290243"/>
    <w:rsid w:val="002902B6"/>
    <w:rsid w:val="0029040D"/>
    <w:rsid w:val="00290483"/>
    <w:rsid w:val="002904B1"/>
    <w:rsid w:val="002904E0"/>
    <w:rsid w:val="0029063C"/>
    <w:rsid w:val="00290677"/>
    <w:rsid w:val="002906AC"/>
    <w:rsid w:val="00290732"/>
    <w:rsid w:val="00290736"/>
    <w:rsid w:val="0029074E"/>
    <w:rsid w:val="002907AC"/>
    <w:rsid w:val="002907C3"/>
    <w:rsid w:val="002907E5"/>
    <w:rsid w:val="0029083F"/>
    <w:rsid w:val="0029084C"/>
    <w:rsid w:val="002909EB"/>
    <w:rsid w:val="00290AC3"/>
    <w:rsid w:val="00290AC9"/>
    <w:rsid w:val="00290AF8"/>
    <w:rsid w:val="00290B2B"/>
    <w:rsid w:val="00290BC4"/>
    <w:rsid w:val="00290BE1"/>
    <w:rsid w:val="00290C2B"/>
    <w:rsid w:val="00290C69"/>
    <w:rsid w:val="00290CCB"/>
    <w:rsid w:val="00290CD2"/>
    <w:rsid w:val="00290D1C"/>
    <w:rsid w:val="00290D25"/>
    <w:rsid w:val="00290D8A"/>
    <w:rsid w:val="00290DF3"/>
    <w:rsid w:val="00290E07"/>
    <w:rsid w:val="00290E49"/>
    <w:rsid w:val="00290E64"/>
    <w:rsid w:val="00290E89"/>
    <w:rsid w:val="00290E9B"/>
    <w:rsid w:val="00290EB8"/>
    <w:rsid w:val="00290ECB"/>
    <w:rsid w:val="00290F7B"/>
    <w:rsid w:val="00290FA3"/>
    <w:rsid w:val="00290FAE"/>
    <w:rsid w:val="00290FF7"/>
    <w:rsid w:val="00291024"/>
    <w:rsid w:val="00291032"/>
    <w:rsid w:val="0029105E"/>
    <w:rsid w:val="0029105F"/>
    <w:rsid w:val="00291063"/>
    <w:rsid w:val="002910C8"/>
    <w:rsid w:val="002910D8"/>
    <w:rsid w:val="0029118A"/>
    <w:rsid w:val="002911D7"/>
    <w:rsid w:val="0029121A"/>
    <w:rsid w:val="00291334"/>
    <w:rsid w:val="002913F0"/>
    <w:rsid w:val="002913F1"/>
    <w:rsid w:val="0029140D"/>
    <w:rsid w:val="00291449"/>
    <w:rsid w:val="00291453"/>
    <w:rsid w:val="00291470"/>
    <w:rsid w:val="002914A9"/>
    <w:rsid w:val="002914AA"/>
    <w:rsid w:val="002914E2"/>
    <w:rsid w:val="00291504"/>
    <w:rsid w:val="0029158B"/>
    <w:rsid w:val="00291656"/>
    <w:rsid w:val="0029174C"/>
    <w:rsid w:val="0029179F"/>
    <w:rsid w:val="002917CE"/>
    <w:rsid w:val="002917EB"/>
    <w:rsid w:val="00291900"/>
    <w:rsid w:val="00291926"/>
    <w:rsid w:val="00291989"/>
    <w:rsid w:val="002919A7"/>
    <w:rsid w:val="002919C1"/>
    <w:rsid w:val="00291AED"/>
    <w:rsid w:val="00291B37"/>
    <w:rsid w:val="00291B40"/>
    <w:rsid w:val="00291B9F"/>
    <w:rsid w:val="00291C1E"/>
    <w:rsid w:val="00291CA3"/>
    <w:rsid w:val="00291CB1"/>
    <w:rsid w:val="00291CB5"/>
    <w:rsid w:val="00291CCC"/>
    <w:rsid w:val="00291CF7"/>
    <w:rsid w:val="00291D11"/>
    <w:rsid w:val="00291D83"/>
    <w:rsid w:val="00291DE9"/>
    <w:rsid w:val="00291E12"/>
    <w:rsid w:val="00291E1D"/>
    <w:rsid w:val="00291E22"/>
    <w:rsid w:val="00291E3D"/>
    <w:rsid w:val="00291E8E"/>
    <w:rsid w:val="00291EFC"/>
    <w:rsid w:val="00291F28"/>
    <w:rsid w:val="00291F3F"/>
    <w:rsid w:val="00291FBF"/>
    <w:rsid w:val="00292018"/>
    <w:rsid w:val="00292021"/>
    <w:rsid w:val="0029205F"/>
    <w:rsid w:val="00292082"/>
    <w:rsid w:val="002920DD"/>
    <w:rsid w:val="002920E0"/>
    <w:rsid w:val="002921BD"/>
    <w:rsid w:val="002921F0"/>
    <w:rsid w:val="0029220C"/>
    <w:rsid w:val="00292231"/>
    <w:rsid w:val="00292240"/>
    <w:rsid w:val="002922B1"/>
    <w:rsid w:val="0029231B"/>
    <w:rsid w:val="00292330"/>
    <w:rsid w:val="00292342"/>
    <w:rsid w:val="0029237B"/>
    <w:rsid w:val="0029237D"/>
    <w:rsid w:val="00292396"/>
    <w:rsid w:val="0029252C"/>
    <w:rsid w:val="002925B9"/>
    <w:rsid w:val="002926C3"/>
    <w:rsid w:val="00292703"/>
    <w:rsid w:val="00292750"/>
    <w:rsid w:val="0029277F"/>
    <w:rsid w:val="0029283E"/>
    <w:rsid w:val="002928E2"/>
    <w:rsid w:val="00292927"/>
    <w:rsid w:val="00292977"/>
    <w:rsid w:val="002929B9"/>
    <w:rsid w:val="002929CE"/>
    <w:rsid w:val="00292A01"/>
    <w:rsid w:val="00292A23"/>
    <w:rsid w:val="00292A3F"/>
    <w:rsid w:val="00292A90"/>
    <w:rsid w:val="00292AF3"/>
    <w:rsid w:val="00292B49"/>
    <w:rsid w:val="00292B5A"/>
    <w:rsid w:val="00292B87"/>
    <w:rsid w:val="00292B88"/>
    <w:rsid w:val="00292BE2"/>
    <w:rsid w:val="00292BE9"/>
    <w:rsid w:val="00292C5C"/>
    <w:rsid w:val="00292CC1"/>
    <w:rsid w:val="00292D0B"/>
    <w:rsid w:val="00292D58"/>
    <w:rsid w:val="00292D5C"/>
    <w:rsid w:val="00292D71"/>
    <w:rsid w:val="00292D8E"/>
    <w:rsid w:val="00292EC6"/>
    <w:rsid w:val="00292EE8"/>
    <w:rsid w:val="00292F04"/>
    <w:rsid w:val="00292FD3"/>
    <w:rsid w:val="00293016"/>
    <w:rsid w:val="00293031"/>
    <w:rsid w:val="002930AC"/>
    <w:rsid w:val="002930F9"/>
    <w:rsid w:val="0029312B"/>
    <w:rsid w:val="0029319A"/>
    <w:rsid w:val="0029321C"/>
    <w:rsid w:val="0029322C"/>
    <w:rsid w:val="00293268"/>
    <w:rsid w:val="00293302"/>
    <w:rsid w:val="0029330B"/>
    <w:rsid w:val="00293328"/>
    <w:rsid w:val="00293337"/>
    <w:rsid w:val="00293395"/>
    <w:rsid w:val="0029341C"/>
    <w:rsid w:val="002934E2"/>
    <w:rsid w:val="002935C2"/>
    <w:rsid w:val="002936AD"/>
    <w:rsid w:val="0029379F"/>
    <w:rsid w:val="002937B4"/>
    <w:rsid w:val="002937E9"/>
    <w:rsid w:val="00293808"/>
    <w:rsid w:val="00293813"/>
    <w:rsid w:val="00293823"/>
    <w:rsid w:val="00293833"/>
    <w:rsid w:val="00293846"/>
    <w:rsid w:val="0029391E"/>
    <w:rsid w:val="00293966"/>
    <w:rsid w:val="00293968"/>
    <w:rsid w:val="00293978"/>
    <w:rsid w:val="002939BA"/>
    <w:rsid w:val="002939EA"/>
    <w:rsid w:val="002939FD"/>
    <w:rsid w:val="00293A74"/>
    <w:rsid w:val="00293A80"/>
    <w:rsid w:val="00293A94"/>
    <w:rsid w:val="00293B63"/>
    <w:rsid w:val="00293BA5"/>
    <w:rsid w:val="00293BCE"/>
    <w:rsid w:val="00293C7A"/>
    <w:rsid w:val="00293D23"/>
    <w:rsid w:val="00293D4A"/>
    <w:rsid w:val="00293D64"/>
    <w:rsid w:val="00293D98"/>
    <w:rsid w:val="00293DB4"/>
    <w:rsid w:val="00293E26"/>
    <w:rsid w:val="00293F08"/>
    <w:rsid w:val="00293F66"/>
    <w:rsid w:val="00293F9A"/>
    <w:rsid w:val="00293FD6"/>
    <w:rsid w:val="00294066"/>
    <w:rsid w:val="0029425F"/>
    <w:rsid w:val="00294291"/>
    <w:rsid w:val="0029435C"/>
    <w:rsid w:val="00294368"/>
    <w:rsid w:val="0029436A"/>
    <w:rsid w:val="002943F5"/>
    <w:rsid w:val="00294413"/>
    <w:rsid w:val="0029442C"/>
    <w:rsid w:val="0029444B"/>
    <w:rsid w:val="00294485"/>
    <w:rsid w:val="00294527"/>
    <w:rsid w:val="00294535"/>
    <w:rsid w:val="002945C1"/>
    <w:rsid w:val="00294635"/>
    <w:rsid w:val="00294662"/>
    <w:rsid w:val="002946BE"/>
    <w:rsid w:val="002946E7"/>
    <w:rsid w:val="0029484B"/>
    <w:rsid w:val="00294856"/>
    <w:rsid w:val="0029486C"/>
    <w:rsid w:val="0029494F"/>
    <w:rsid w:val="002949F4"/>
    <w:rsid w:val="00294A3E"/>
    <w:rsid w:val="00294A8F"/>
    <w:rsid w:val="00294A9E"/>
    <w:rsid w:val="00294AC8"/>
    <w:rsid w:val="00294AD4"/>
    <w:rsid w:val="00294AFB"/>
    <w:rsid w:val="00294B82"/>
    <w:rsid w:val="00294BDF"/>
    <w:rsid w:val="00294BEC"/>
    <w:rsid w:val="00294C50"/>
    <w:rsid w:val="00294C8A"/>
    <w:rsid w:val="00294D4F"/>
    <w:rsid w:val="00294D94"/>
    <w:rsid w:val="00294DC8"/>
    <w:rsid w:val="00294DE0"/>
    <w:rsid w:val="00294E23"/>
    <w:rsid w:val="00294E36"/>
    <w:rsid w:val="00294E44"/>
    <w:rsid w:val="00294E82"/>
    <w:rsid w:val="00294EEF"/>
    <w:rsid w:val="00294F61"/>
    <w:rsid w:val="00295118"/>
    <w:rsid w:val="00295143"/>
    <w:rsid w:val="00295153"/>
    <w:rsid w:val="0029516A"/>
    <w:rsid w:val="00295179"/>
    <w:rsid w:val="00295186"/>
    <w:rsid w:val="00295280"/>
    <w:rsid w:val="00295284"/>
    <w:rsid w:val="00295288"/>
    <w:rsid w:val="002952C8"/>
    <w:rsid w:val="00295461"/>
    <w:rsid w:val="002955E6"/>
    <w:rsid w:val="00295617"/>
    <w:rsid w:val="00295640"/>
    <w:rsid w:val="0029566B"/>
    <w:rsid w:val="00295676"/>
    <w:rsid w:val="002956D2"/>
    <w:rsid w:val="002956E6"/>
    <w:rsid w:val="002956F9"/>
    <w:rsid w:val="00295721"/>
    <w:rsid w:val="0029573C"/>
    <w:rsid w:val="002957A7"/>
    <w:rsid w:val="002957C9"/>
    <w:rsid w:val="002957E4"/>
    <w:rsid w:val="0029582A"/>
    <w:rsid w:val="002958BF"/>
    <w:rsid w:val="00295907"/>
    <w:rsid w:val="00295954"/>
    <w:rsid w:val="00295956"/>
    <w:rsid w:val="00295962"/>
    <w:rsid w:val="00295988"/>
    <w:rsid w:val="0029598A"/>
    <w:rsid w:val="002959DE"/>
    <w:rsid w:val="00295A34"/>
    <w:rsid w:val="00295A53"/>
    <w:rsid w:val="00295A68"/>
    <w:rsid w:val="00295B9C"/>
    <w:rsid w:val="00295BA0"/>
    <w:rsid w:val="00295BA3"/>
    <w:rsid w:val="00295BA6"/>
    <w:rsid w:val="00295C50"/>
    <w:rsid w:val="00295D33"/>
    <w:rsid w:val="00295DD7"/>
    <w:rsid w:val="00295DEC"/>
    <w:rsid w:val="00295E1F"/>
    <w:rsid w:val="00295E69"/>
    <w:rsid w:val="00295E9A"/>
    <w:rsid w:val="00295EB4"/>
    <w:rsid w:val="00295F2D"/>
    <w:rsid w:val="00295F51"/>
    <w:rsid w:val="00295FB5"/>
    <w:rsid w:val="00296010"/>
    <w:rsid w:val="00296021"/>
    <w:rsid w:val="0029606C"/>
    <w:rsid w:val="0029608D"/>
    <w:rsid w:val="00296106"/>
    <w:rsid w:val="00296116"/>
    <w:rsid w:val="00296230"/>
    <w:rsid w:val="0029625D"/>
    <w:rsid w:val="00296288"/>
    <w:rsid w:val="0029632C"/>
    <w:rsid w:val="00296350"/>
    <w:rsid w:val="0029645B"/>
    <w:rsid w:val="00296476"/>
    <w:rsid w:val="002964D3"/>
    <w:rsid w:val="00296510"/>
    <w:rsid w:val="002965DF"/>
    <w:rsid w:val="00296617"/>
    <w:rsid w:val="002967FA"/>
    <w:rsid w:val="00296844"/>
    <w:rsid w:val="0029689D"/>
    <w:rsid w:val="0029689F"/>
    <w:rsid w:val="00296992"/>
    <w:rsid w:val="002969A6"/>
    <w:rsid w:val="00296AA9"/>
    <w:rsid w:val="00296B38"/>
    <w:rsid w:val="00296B4E"/>
    <w:rsid w:val="00296CF2"/>
    <w:rsid w:val="00296D0A"/>
    <w:rsid w:val="00296D0C"/>
    <w:rsid w:val="00296D36"/>
    <w:rsid w:val="00296D5A"/>
    <w:rsid w:val="00296DB2"/>
    <w:rsid w:val="00296DD1"/>
    <w:rsid w:val="00296DDC"/>
    <w:rsid w:val="00296E57"/>
    <w:rsid w:val="00296E88"/>
    <w:rsid w:val="00296ED6"/>
    <w:rsid w:val="00296F01"/>
    <w:rsid w:val="00296F19"/>
    <w:rsid w:val="00296F5E"/>
    <w:rsid w:val="00296F8D"/>
    <w:rsid w:val="00296FC7"/>
    <w:rsid w:val="00296FFD"/>
    <w:rsid w:val="00297005"/>
    <w:rsid w:val="0029704D"/>
    <w:rsid w:val="0029705C"/>
    <w:rsid w:val="0029710B"/>
    <w:rsid w:val="0029716E"/>
    <w:rsid w:val="0029719C"/>
    <w:rsid w:val="002971A8"/>
    <w:rsid w:val="002971D1"/>
    <w:rsid w:val="002971F8"/>
    <w:rsid w:val="00297282"/>
    <w:rsid w:val="002972D5"/>
    <w:rsid w:val="002972EB"/>
    <w:rsid w:val="002972F2"/>
    <w:rsid w:val="00297349"/>
    <w:rsid w:val="00297395"/>
    <w:rsid w:val="002974AB"/>
    <w:rsid w:val="002974BD"/>
    <w:rsid w:val="002974E3"/>
    <w:rsid w:val="002974EF"/>
    <w:rsid w:val="00297545"/>
    <w:rsid w:val="0029754D"/>
    <w:rsid w:val="0029764D"/>
    <w:rsid w:val="00297689"/>
    <w:rsid w:val="0029770B"/>
    <w:rsid w:val="0029772F"/>
    <w:rsid w:val="00297745"/>
    <w:rsid w:val="00297784"/>
    <w:rsid w:val="00297789"/>
    <w:rsid w:val="002977A8"/>
    <w:rsid w:val="002977F6"/>
    <w:rsid w:val="0029781C"/>
    <w:rsid w:val="0029786F"/>
    <w:rsid w:val="00297880"/>
    <w:rsid w:val="0029789C"/>
    <w:rsid w:val="002978A0"/>
    <w:rsid w:val="002978C1"/>
    <w:rsid w:val="002978CA"/>
    <w:rsid w:val="002978FA"/>
    <w:rsid w:val="00297902"/>
    <w:rsid w:val="00297982"/>
    <w:rsid w:val="0029798A"/>
    <w:rsid w:val="00297A3E"/>
    <w:rsid w:val="00297AC8"/>
    <w:rsid w:val="00297BC3"/>
    <w:rsid w:val="00297BD6"/>
    <w:rsid w:val="00297BE2"/>
    <w:rsid w:val="00297C06"/>
    <w:rsid w:val="00297C6C"/>
    <w:rsid w:val="00297CCB"/>
    <w:rsid w:val="00297CD4"/>
    <w:rsid w:val="00297CDE"/>
    <w:rsid w:val="00297CED"/>
    <w:rsid w:val="00297CEE"/>
    <w:rsid w:val="00297DFD"/>
    <w:rsid w:val="00297E19"/>
    <w:rsid w:val="00297EEB"/>
    <w:rsid w:val="00297F07"/>
    <w:rsid w:val="00297F31"/>
    <w:rsid w:val="00297FBA"/>
    <w:rsid w:val="00297FF4"/>
    <w:rsid w:val="002A001E"/>
    <w:rsid w:val="002A0029"/>
    <w:rsid w:val="002A00C6"/>
    <w:rsid w:val="002A00F9"/>
    <w:rsid w:val="002A0145"/>
    <w:rsid w:val="002A01A1"/>
    <w:rsid w:val="002A01D6"/>
    <w:rsid w:val="002A01EB"/>
    <w:rsid w:val="002A0227"/>
    <w:rsid w:val="002A028C"/>
    <w:rsid w:val="002A0341"/>
    <w:rsid w:val="002A0344"/>
    <w:rsid w:val="002A0359"/>
    <w:rsid w:val="002A0379"/>
    <w:rsid w:val="002A0398"/>
    <w:rsid w:val="002A03DA"/>
    <w:rsid w:val="002A040E"/>
    <w:rsid w:val="002A0547"/>
    <w:rsid w:val="002A05AB"/>
    <w:rsid w:val="002A0606"/>
    <w:rsid w:val="002A065B"/>
    <w:rsid w:val="002A0678"/>
    <w:rsid w:val="002A06AC"/>
    <w:rsid w:val="002A0760"/>
    <w:rsid w:val="002A07E6"/>
    <w:rsid w:val="002A0906"/>
    <w:rsid w:val="002A090A"/>
    <w:rsid w:val="002A093B"/>
    <w:rsid w:val="002A094D"/>
    <w:rsid w:val="002A0952"/>
    <w:rsid w:val="002A0958"/>
    <w:rsid w:val="002A096B"/>
    <w:rsid w:val="002A09B4"/>
    <w:rsid w:val="002A09E7"/>
    <w:rsid w:val="002A0A58"/>
    <w:rsid w:val="002A0B0A"/>
    <w:rsid w:val="002A0BB0"/>
    <w:rsid w:val="002A0C71"/>
    <w:rsid w:val="002A0D0B"/>
    <w:rsid w:val="002A0D10"/>
    <w:rsid w:val="002A0D26"/>
    <w:rsid w:val="002A0D70"/>
    <w:rsid w:val="002A0DA1"/>
    <w:rsid w:val="002A0E8A"/>
    <w:rsid w:val="002A0EB4"/>
    <w:rsid w:val="002A0EFE"/>
    <w:rsid w:val="002A0F06"/>
    <w:rsid w:val="002A0F0F"/>
    <w:rsid w:val="002A10A7"/>
    <w:rsid w:val="002A10D5"/>
    <w:rsid w:val="002A1114"/>
    <w:rsid w:val="002A1147"/>
    <w:rsid w:val="002A116B"/>
    <w:rsid w:val="002A119C"/>
    <w:rsid w:val="002A11C8"/>
    <w:rsid w:val="002A1369"/>
    <w:rsid w:val="002A13CE"/>
    <w:rsid w:val="002A13E5"/>
    <w:rsid w:val="002A147C"/>
    <w:rsid w:val="002A148A"/>
    <w:rsid w:val="002A14BA"/>
    <w:rsid w:val="002A14CA"/>
    <w:rsid w:val="002A14DC"/>
    <w:rsid w:val="002A14F4"/>
    <w:rsid w:val="002A1516"/>
    <w:rsid w:val="002A1548"/>
    <w:rsid w:val="002A15B9"/>
    <w:rsid w:val="002A1611"/>
    <w:rsid w:val="002A1660"/>
    <w:rsid w:val="002A16DE"/>
    <w:rsid w:val="002A17B3"/>
    <w:rsid w:val="002A1801"/>
    <w:rsid w:val="002A188E"/>
    <w:rsid w:val="002A1905"/>
    <w:rsid w:val="002A1963"/>
    <w:rsid w:val="002A196B"/>
    <w:rsid w:val="002A1983"/>
    <w:rsid w:val="002A19A2"/>
    <w:rsid w:val="002A19D1"/>
    <w:rsid w:val="002A1A0A"/>
    <w:rsid w:val="002A1A31"/>
    <w:rsid w:val="002A1B4B"/>
    <w:rsid w:val="002A1B88"/>
    <w:rsid w:val="002A1BDA"/>
    <w:rsid w:val="002A1C53"/>
    <w:rsid w:val="002A1C9A"/>
    <w:rsid w:val="002A1D5B"/>
    <w:rsid w:val="002A1DC6"/>
    <w:rsid w:val="002A1EE2"/>
    <w:rsid w:val="002A1EE6"/>
    <w:rsid w:val="002A1F05"/>
    <w:rsid w:val="002A1F3F"/>
    <w:rsid w:val="002A1F6D"/>
    <w:rsid w:val="002A1F96"/>
    <w:rsid w:val="002A1FCE"/>
    <w:rsid w:val="002A208D"/>
    <w:rsid w:val="002A2093"/>
    <w:rsid w:val="002A20A9"/>
    <w:rsid w:val="002A20C1"/>
    <w:rsid w:val="002A20D5"/>
    <w:rsid w:val="002A210E"/>
    <w:rsid w:val="002A213D"/>
    <w:rsid w:val="002A2168"/>
    <w:rsid w:val="002A2208"/>
    <w:rsid w:val="002A22C9"/>
    <w:rsid w:val="002A2351"/>
    <w:rsid w:val="002A2386"/>
    <w:rsid w:val="002A23B4"/>
    <w:rsid w:val="002A2421"/>
    <w:rsid w:val="002A24D8"/>
    <w:rsid w:val="002A24E2"/>
    <w:rsid w:val="002A2576"/>
    <w:rsid w:val="002A25EE"/>
    <w:rsid w:val="002A2695"/>
    <w:rsid w:val="002A26C0"/>
    <w:rsid w:val="002A27C7"/>
    <w:rsid w:val="002A2828"/>
    <w:rsid w:val="002A28AE"/>
    <w:rsid w:val="002A28C4"/>
    <w:rsid w:val="002A2946"/>
    <w:rsid w:val="002A29B0"/>
    <w:rsid w:val="002A2A1A"/>
    <w:rsid w:val="002A2AFC"/>
    <w:rsid w:val="002A2B52"/>
    <w:rsid w:val="002A2BCE"/>
    <w:rsid w:val="002A2C94"/>
    <w:rsid w:val="002A2CB4"/>
    <w:rsid w:val="002A2CFB"/>
    <w:rsid w:val="002A2D72"/>
    <w:rsid w:val="002A2D7C"/>
    <w:rsid w:val="002A2D91"/>
    <w:rsid w:val="002A2D97"/>
    <w:rsid w:val="002A2DA0"/>
    <w:rsid w:val="002A2E05"/>
    <w:rsid w:val="002A2EA0"/>
    <w:rsid w:val="002A2EEA"/>
    <w:rsid w:val="002A2EEB"/>
    <w:rsid w:val="002A2F2C"/>
    <w:rsid w:val="002A2F32"/>
    <w:rsid w:val="002A2F35"/>
    <w:rsid w:val="002A2F61"/>
    <w:rsid w:val="002A2F67"/>
    <w:rsid w:val="002A2FC5"/>
    <w:rsid w:val="002A3023"/>
    <w:rsid w:val="002A3093"/>
    <w:rsid w:val="002A3121"/>
    <w:rsid w:val="002A315C"/>
    <w:rsid w:val="002A3208"/>
    <w:rsid w:val="002A323C"/>
    <w:rsid w:val="002A3258"/>
    <w:rsid w:val="002A3292"/>
    <w:rsid w:val="002A3320"/>
    <w:rsid w:val="002A33D8"/>
    <w:rsid w:val="002A33E0"/>
    <w:rsid w:val="002A343A"/>
    <w:rsid w:val="002A34A9"/>
    <w:rsid w:val="002A34E3"/>
    <w:rsid w:val="002A3586"/>
    <w:rsid w:val="002A3684"/>
    <w:rsid w:val="002A36FA"/>
    <w:rsid w:val="002A3737"/>
    <w:rsid w:val="002A377E"/>
    <w:rsid w:val="002A37E9"/>
    <w:rsid w:val="002A3862"/>
    <w:rsid w:val="002A3885"/>
    <w:rsid w:val="002A394E"/>
    <w:rsid w:val="002A3957"/>
    <w:rsid w:val="002A3A19"/>
    <w:rsid w:val="002A3A1E"/>
    <w:rsid w:val="002A3A47"/>
    <w:rsid w:val="002A3A48"/>
    <w:rsid w:val="002A3AB1"/>
    <w:rsid w:val="002A3B4D"/>
    <w:rsid w:val="002A3B5B"/>
    <w:rsid w:val="002A3C05"/>
    <w:rsid w:val="002A3CA0"/>
    <w:rsid w:val="002A3D74"/>
    <w:rsid w:val="002A3D91"/>
    <w:rsid w:val="002A3DC5"/>
    <w:rsid w:val="002A3DC7"/>
    <w:rsid w:val="002A3DDD"/>
    <w:rsid w:val="002A3DF8"/>
    <w:rsid w:val="002A3DFA"/>
    <w:rsid w:val="002A3E27"/>
    <w:rsid w:val="002A3E29"/>
    <w:rsid w:val="002A3E6A"/>
    <w:rsid w:val="002A3E82"/>
    <w:rsid w:val="002A3EAF"/>
    <w:rsid w:val="002A3F3A"/>
    <w:rsid w:val="002A3F49"/>
    <w:rsid w:val="002A3F56"/>
    <w:rsid w:val="002A3FCA"/>
    <w:rsid w:val="002A3FDD"/>
    <w:rsid w:val="002A4030"/>
    <w:rsid w:val="002A4072"/>
    <w:rsid w:val="002A40FB"/>
    <w:rsid w:val="002A4250"/>
    <w:rsid w:val="002A42A5"/>
    <w:rsid w:val="002A42C7"/>
    <w:rsid w:val="002A42D8"/>
    <w:rsid w:val="002A42FB"/>
    <w:rsid w:val="002A43A8"/>
    <w:rsid w:val="002A43E0"/>
    <w:rsid w:val="002A4468"/>
    <w:rsid w:val="002A4475"/>
    <w:rsid w:val="002A44E6"/>
    <w:rsid w:val="002A44EF"/>
    <w:rsid w:val="002A451B"/>
    <w:rsid w:val="002A4529"/>
    <w:rsid w:val="002A4567"/>
    <w:rsid w:val="002A45B2"/>
    <w:rsid w:val="002A4622"/>
    <w:rsid w:val="002A46A8"/>
    <w:rsid w:val="002A46DE"/>
    <w:rsid w:val="002A4753"/>
    <w:rsid w:val="002A4768"/>
    <w:rsid w:val="002A4980"/>
    <w:rsid w:val="002A4991"/>
    <w:rsid w:val="002A49D5"/>
    <w:rsid w:val="002A4AC4"/>
    <w:rsid w:val="002A4B05"/>
    <w:rsid w:val="002A4B7B"/>
    <w:rsid w:val="002A4B85"/>
    <w:rsid w:val="002A4BCB"/>
    <w:rsid w:val="002A4BE9"/>
    <w:rsid w:val="002A4C6F"/>
    <w:rsid w:val="002A4CEF"/>
    <w:rsid w:val="002A4DA1"/>
    <w:rsid w:val="002A4E11"/>
    <w:rsid w:val="002A4E5E"/>
    <w:rsid w:val="002A4E6F"/>
    <w:rsid w:val="002A4E7C"/>
    <w:rsid w:val="002A4F00"/>
    <w:rsid w:val="002A4F9C"/>
    <w:rsid w:val="002A4FE3"/>
    <w:rsid w:val="002A4FE8"/>
    <w:rsid w:val="002A4FFB"/>
    <w:rsid w:val="002A5063"/>
    <w:rsid w:val="002A50BA"/>
    <w:rsid w:val="002A50D0"/>
    <w:rsid w:val="002A514F"/>
    <w:rsid w:val="002A51BB"/>
    <w:rsid w:val="002A51CF"/>
    <w:rsid w:val="002A5206"/>
    <w:rsid w:val="002A524C"/>
    <w:rsid w:val="002A5299"/>
    <w:rsid w:val="002A52C7"/>
    <w:rsid w:val="002A52D8"/>
    <w:rsid w:val="002A53CF"/>
    <w:rsid w:val="002A5430"/>
    <w:rsid w:val="002A5437"/>
    <w:rsid w:val="002A543E"/>
    <w:rsid w:val="002A54CC"/>
    <w:rsid w:val="002A54CF"/>
    <w:rsid w:val="002A54D7"/>
    <w:rsid w:val="002A550C"/>
    <w:rsid w:val="002A5559"/>
    <w:rsid w:val="002A5604"/>
    <w:rsid w:val="002A5639"/>
    <w:rsid w:val="002A56B2"/>
    <w:rsid w:val="002A56C9"/>
    <w:rsid w:val="002A5726"/>
    <w:rsid w:val="002A5729"/>
    <w:rsid w:val="002A5730"/>
    <w:rsid w:val="002A574F"/>
    <w:rsid w:val="002A578D"/>
    <w:rsid w:val="002A57C7"/>
    <w:rsid w:val="002A5873"/>
    <w:rsid w:val="002A5919"/>
    <w:rsid w:val="002A5981"/>
    <w:rsid w:val="002A598C"/>
    <w:rsid w:val="002A59B9"/>
    <w:rsid w:val="002A59DC"/>
    <w:rsid w:val="002A5A90"/>
    <w:rsid w:val="002A5A9D"/>
    <w:rsid w:val="002A5AA4"/>
    <w:rsid w:val="002A5AD2"/>
    <w:rsid w:val="002A5B89"/>
    <w:rsid w:val="002A5BB8"/>
    <w:rsid w:val="002A5C17"/>
    <w:rsid w:val="002A5C40"/>
    <w:rsid w:val="002A5C5E"/>
    <w:rsid w:val="002A5D50"/>
    <w:rsid w:val="002A5D5F"/>
    <w:rsid w:val="002A5D6D"/>
    <w:rsid w:val="002A5D7C"/>
    <w:rsid w:val="002A5DC5"/>
    <w:rsid w:val="002A5DCB"/>
    <w:rsid w:val="002A5E01"/>
    <w:rsid w:val="002A5E37"/>
    <w:rsid w:val="002A5E83"/>
    <w:rsid w:val="002A5ED5"/>
    <w:rsid w:val="002A5EE8"/>
    <w:rsid w:val="002A5EF9"/>
    <w:rsid w:val="002A6035"/>
    <w:rsid w:val="002A606B"/>
    <w:rsid w:val="002A60F4"/>
    <w:rsid w:val="002A6155"/>
    <w:rsid w:val="002A61B5"/>
    <w:rsid w:val="002A625A"/>
    <w:rsid w:val="002A626B"/>
    <w:rsid w:val="002A628F"/>
    <w:rsid w:val="002A62B9"/>
    <w:rsid w:val="002A62E1"/>
    <w:rsid w:val="002A631F"/>
    <w:rsid w:val="002A632B"/>
    <w:rsid w:val="002A63D3"/>
    <w:rsid w:val="002A63DF"/>
    <w:rsid w:val="002A6528"/>
    <w:rsid w:val="002A6689"/>
    <w:rsid w:val="002A66AD"/>
    <w:rsid w:val="002A671A"/>
    <w:rsid w:val="002A67D8"/>
    <w:rsid w:val="002A682A"/>
    <w:rsid w:val="002A687D"/>
    <w:rsid w:val="002A68B9"/>
    <w:rsid w:val="002A6946"/>
    <w:rsid w:val="002A6971"/>
    <w:rsid w:val="002A6990"/>
    <w:rsid w:val="002A699A"/>
    <w:rsid w:val="002A69F9"/>
    <w:rsid w:val="002A6A92"/>
    <w:rsid w:val="002A6AB5"/>
    <w:rsid w:val="002A6ABB"/>
    <w:rsid w:val="002A6BA8"/>
    <w:rsid w:val="002A6C76"/>
    <w:rsid w:val="002A6CF6"/>
    <w:rsid w:val="002A6D3A"/>
    <w:rsid w:val="002A6D71"/>
    <w:rsid w:val="002A6D93"/>
    <w:rsid w:val="002A6E3C"/>
    <w:rsid w:val="002A6E59"/>
    <w:rsid w:val="002A6E65"/>
    <w:rsid w:val="002A6EC5"/>
    <w:rsid w:val="002A702F"/>
    <w:rsid w:val="002A707E"/>
    <w:rsid w:val="002A70CE"/>
    <w:rsid w:val="002A7118"/>
    <w:rsid w:val="002A7139"/>
    <w:rsid w:val="002A7173"/>
    <w:rsid w:val="002A71A9"/>
    <w:rsid w:val="002A7437"/>
    <w:rsid w:val="002A745F"/>
    <w:rsid w:val="002A74A7"/>
    <w:rsid w:val="002A74E2"/>
    <w:rsid w:val="002A74F4"/>
    <w:rsid w:val="002A7501"/>
    <w:rsid w:val="002A757F"/>
    <w:rsid w:val="002A75B6"/>
    <w:rsid w:val="002A75C0"/>
    <w:rsid w:val="002A75E4"/>
    <w:rsid w:val="002A7658"/>
    <w:rsid w:val="002A76B9"/>
    <w:rsid w:val="002A76DA"/>
    <w:rsid w:val="002A76E9"/>
    <w:rsid w:val="002A7740"/>
    <w:rsid w:val="002A77A4"/>
    <w:rsid w:val="002A78DD"/>
    <w:rsid w:val="002A78F2"/>
    <w:rsid w:val="002A79F1"/>
    <w:rsid w:val="002A7A0C"/>
    <w:rsid w:val="002A7A67"/>
    <w:rsid w:val="002A7A6A"/>
    <w:rsid w:val="002A7AFF"/>
    <w:rsid w:val="002A7B0D"/>
    <w:rsid w:val="002A7B1F"/>
    <w:rsid w:val="002A7BFA"/>
    <w:rsid w:val="002A7C34"/>
    <w:rsid w:val="002A7D0F"/>
    <w:rsid w:val="002A7D61"/>
    <w:rsid w:val="002A7D79"/>
    <w:rsid w:val="002A7DB8"/>
    <w:rsid w:val="002A7DE1"/>
    <w:rsid w:val="002A7DE5"/>
    <w:rsid w:val="002A7E93"/>
    <w:rsid w:val="002A7EEC"/>
    <w:rsid w:val="002A7F29"/>
    <w:rsid w:val="002A7F43"/>
    <w:rsid w:val="002AF35B"/>
    <w:rsid w:val="002B0056"/>
    <w:rsid w:val="002B009D"/>
    <w:rsid w:val="002B00E9"/>
    <w:rsid w:val="002B0242"/>
    <w:rsid w:val="002B0249"/>
    <w:rsid w:val="002B0260"/>
    <w:rsid w:val="002B026A"/>
    <w:rsid w:val="002B027E"/>
    <w:rsid w:val="002B0375"/>
    <w:rsid w:val="002B03D3"/>
    <w:rsid w:val="002B0425"/>
    <w:rsid w:val="002B042D"/>
    <w:rsid w:val="002B04C9"/>
    <w:rsid w:val="002B04CE"/>
    <w:rsid w:val="002B04F0"/>
    <w:rsid w:val="002B0519"/>
    <w:rsid w:val="002B0540"/>
    <w:rsid w:val="002B05D0"/>
    <w:rsid w:val="002B06BF"/>
    <w:rsid w:val="002B0765"/>
    <w:rsid w:val="002B0789"/>
    <w:rsid w:val="002B07E3"/>
    <w:rsid w:val="002B0800"/>
    <w:rsid w:val="002B0841"/>
    <w:rsid w:val="002B084C"/>
    <w:rsid w:val="002B0949"/>
    <w:rsid w:val="002B099E"/>
    <w:rsid w:val="002B0A08"/>
    <w:rsid w:val="002B0AFF"/>
    <w:rsid w:val="002B0B7B"/>
    <w:rsid w:val="002B0C7F"/>
    <w:rsid w:val="002B0C94"/>
    <w:rsid w:val="002B0C9F"/>
    <w:rsid w:val="002B0CFB"/>
    <w:rsid w:val="002B0D07"/>
    <w:rsid w:val="002B0D65"/>
    <w:rsid w:val="002B0DDA"/>
    <w:rsid w:val="002B0E1A"/>
    <w:rsid w:val="002B0E59"/>
    <w:rsid w:val="002B0EB7"/>
    <w:rsid w:val="002B0F7F"/>
    <w:rsid w:val="002B0F94"/>
    <w:rsid w:val="002B1030"/>
    <w:rsid w:val="002B10D0"/>
    <w:rsid w:val="002B10E2"/>
    <w:rsid w:val="002B1155"/>
    <w:rsid w:val="002B11B6"/>
    <w:rsid w:val="002B11C2"/>
    <w:rsid w:val="002B1274"/>
    <w:rsid w:val="002B1304"/>
    <w:rsid w:val="002B136A"/>
    <w:rsid w:val="002B1383"/>
    <w:rsid w:val="002B13E4"/>
    <w:rsid w:val="002B1419"/>
    <w:rsid w:val="002B1504"/>
    <w:rsid w:val="002B15CC"/>
    <w:rsid w:val="002B15D9"/>
    <w:rsid w:val="002B15EC"/>
    <w:rsid w:val="002B15FC"/>
    <w:rsid w:val="002B160C"/>
    <w:rsid w:val="002B1693"/>
    <w:rsid w:val="002B169C"/>
    <w:rsid w:val="002B16AC"/>
    <w:rsid w:val="002B16DB"/>
    <w:rsid w:val="002B17D9"/>
    <w:rsid w:val="002B1895"/>
    <w:rsid w:val="002B19BE"/>
    <w:rsid w:val="002B19C8"/>
    <w:rsid w:val="002B1A0B"/>
    <w:rsid w:val="002B1A5C"/>
    <w:rsid w:val="002B1B64"/>
    <w:rsid w:val="002B1C0F"/>
    <w:rsid w:val="002B1C91"/>
    <w:rsid w:val="002B1C9E"/>
    <w:rsid w:val="002B1CBD"/>
    <w:rsid w:val="002B1D67"/>
    <w:rsid w:val="002B1DA7"/>
    <w:rsid w:val="002B1DC0"/>
    <w:rsid w:val="002B1DD0"/>
    <w:rsid w:val="002B1DEA"/>
    <w:rsid w:val="002B1E1D"/>
    <w:rsid w:val="002B1F31"/>
    <w:rsid w:val="002B1F3C"/>
    <w:rsid w:val="002B206B"/>
    <w:rsid w:val="002B215A"/>
    <w:rsid w:val="002B21E8"/>
    <w:rsid w:val="002B2217"/>
    <w:rsid w:val="002B222A"/>
    <w:rsid w:val="002B230B"/>
    <w:rsid w:val="002B235A"/>
    <w:rsid w:val="002B238F"/>
    <w:rsid w:val="002B23B2"/>
    <w:rsid w:val="002B2433"/>
    <w:rsid w:val="002B2435"/>
    <w:rsid w:val="002B247D"/>
    <w:rsid w:val="002B24B6"/>
    <w:rsid w:val="002B2577"/>
    <w:rsid w:val="002B262C"/>
    <w:rsid w:val="002B262E"/>
    <w:rsid w:val="002B2681"/>
    <w:rsid w:val="002B26B9"/>
    <w:rsid w:val="002B26BA"/>
    <w:rsid w:val="002B26F9"/>
    <w:rsid w:val="002B26FB"/>
    <w:rsid w:val="002B274D"/>
    <w:rsid w:val="002B27A7"/>
    <w:rsid w:val="002B27F2"/>
    <w:rsid w:val="002B2806"/>
    <w:rsid w:val="002B2815"/>
    <w:rsid w:val="002B2909"/>
    <w:rsid w:val="002B295D"/>
    <w:rsid w:val="002B29B0"/>
    <w:rsid w:val="002B29F6"/>
    <w:rsid w:val="002B2A60"/>
    <w:rsid w:val="002B2AA8"/>
    <w:rsid w:val="002B2AB0"/>
    <w:rsid w:val="002B2AB1"/>
    <w:rsid w:val="002B2AC6"/>
    <w:rsid w:val="002B2AE5"/>
    <w:rsid w:val="002B2AE8"/>
    <w:rsid w:val="002B2B99"/>
    <w:rsid w:val="002B2BB4"/>
    <w:rsid w:val="002B2C47"/>
    <w:rsid w:val="002B2C82"/>
    <w:rsid w:val="002B2CAF"/>
    <w:rsid w:val="002B2DD2"/>
    <w:rsid w:val="002B2DE8"/>
    <w:rsid w:val="002B2E01"/>
    <w:rsid w:val="002B2E38"/>
    <w:rsid w:val="002B2EBD"/>
    <w:rsid w:val="002B2ECA"/>
    <w:rsid w:val="002B2EE2"/>
    <w:rsid w:val="002B2F49"/>
    <w:rsid w:val="002B2F92"/>
    <w:rsid w:val="002B2FA5"/>
    <w:rsid w:val="002B2FE1"/>
    <w:rsid w:val="002B300C"/>
    <w:rsid w:val="002B3018"/>
    <w:rsid w:val="002B3045"/>
    <w:rsid w:val="002B3052"/>
    <w:rsid w:val="002B3066"/>
    <w:rsid w:val="002B3069"/>
    <w:rsid w:val="002B30A1"/>
    <w:rsid w:val="002B30B6"/>
    <w:rsid w:val="002B30C3"/>
    <w:rsid w:val="002B30FE"/>
    <w:rsid w:val="002B3152"/>
    <w:rsid w:val="002B316F"/>
    <w:rsid w:val="002B31A6"/>
    <w:rsid w:val="002B31D4"/>
    <w:rsid w:val="002B31D5"/>
    <w:rsid w:val="002B3317"/>
    <w:rsid w:val="002B3319"/>
    <w:rsid w:val="002B333B"/>
    <w:rsid w:val="002B334B"/>
    <w:rsid w:val="002B3365"/>
    <w:rsid w:val="002B33BA"/>
    <w:rsid w:val="002B33EF"/>
    <w:rsid w:val="002B3408"/>
    <w:rsid w:val="002B3420"/>
    <w:rsid w:val="002B3451"/>
    <w:rsid w:val="002B3516"/>
    <w:rsid w:val="002B351E"/>
    <w:rsid w:val="002B3552"/>
    <w:rsid w:val="002B3564"/>
    <w:rsid w:val="002B3597"/>
    <w:rsid w:val="002B367F"/>
    <w:rsid w:val="002B36C4"/>
    <w:rsid w:val="002B3715"/>
    <w:rsid w:val="002B3785"/>
    <w:rsid w:val="002B384A"/>
    <w:rsid w:val="002B3850"/>
    <w:rsid w:val="002B389D"/>
    <w:rsid w:val="002B38D8"/>
    <w:rsid w:val="002B3A5E"/>
    <w:rsid w:val="002B3AD2"/>
    <w:rsid w:val="002B3AFB"/>
    <w:rsid w:val="002B3B18"/>
    <w:rsid w:val="002B3BDC"/>
    <w:rsid w:val="002B3BEF"/>
    <w:rsid w:val="002B3C6D"/>
    <w:rsid w:val="002B3C73"/>
    <w:rsid w:val="002B3CC7"/>
    <w:rsid w:val="002B3D3F"/>
    <w:rsid w:val="002B3D4A"/>
    <w:rsid w:val="002B3DFD"/>
    <w:rsid w:val="002B3F42"/>
    <w:rsid w:val="002B3F75"/>
    <w:rsid w:val="002B4024"/>
    <w:rsid w:val="002B4054"/>
    <w:rsid w:val="002B4055"/>
    <w:rsid w:val="002B4094"/>
    <w:rsid w:val="002B40B1"/>
    <w:rsid w:val="002B40B5"/>
    <w:rsid w:val="002B4146"/>
    <w:rsid w:val="002B4180"/>
    <w:rsid w:val="002B4190"/>
    <w:rsid w:val="002B4238"/>
    <w:rsid w:val="002B4268"/>
    <w:rsid w:val="002B426C"/>
    <w:rsid w:val="002B427C"/>
    <w:rsid w:val="002B42A8"/>
    <w:rsid w:val="002B4384"/>
    <w:rsid w:val="002B4410"/>
    <w:rsid w:val="002B4430"/>
    <w:rsid w:val="002B44B0"/>
    <w:rsid w:val="002B44B4"/>
    <w:rsid w:val="002B4561"/>
    <w:rsid w:val="002B456D"/>
    <w:rsid w:val="002B456F"/>
    <w:rsid w:val="002B459F"/>
    <w:rsid w:val="002B45F3"/>
    <w:rsid w:val="002B460C"/>
    <w:rsid w:val="002B4666"/>
    <w:rsid w:val="002B46B8"/>
    <w:rsid w:val="002B47D9"/>
    <w:rsid w:val="002B481A"/>
    <w:rsid w:val="002B4892"/>
    <w:rsid w:val="002B48E4"/>
    <w:rsid w:val="002B4905"/>
    <w:rsid w:val="002B493A"/>
    <w:rsid w:val="002B49B1"/>
    <w:rsid w:val="002B49CC"/>
    <w:rsid w:val="002B49E1"/>
    <w:rsid w:val="002B49FA"/>
    <w:rsid w:val="002B4A65"/>
    <w:rsid w:val="002B4AED"/>
    <w:rsid w:val="002B4B8C"/>
    <w:rsid w:val="002B4B9F"/>
    <w:rsid w:val="002B4BE8"/>
    <w:rsid w:val="002B4C84"/>
    <w:rsid w:val="002B4CAC"/>
    <w:rsid w:val="002B4CBF"/>
    <w:rsid w:val="002B4D22"/>
    <w:rsid w:val="002B4DDB"/>
    <w:rsid w:val="002B4DF2"/>
    <w:rsid w:val="002B4E53"/>
    <w:rsid w:val="002B4E98"/>
    <w:rsid w:val="002B4ED1"/>
    <w:rsid w:val="002B4F0F"/>
    <w:rsid w:val="002B4F46"/>
    <w:rsid w:val="002B4F65"/>
    <w:rsid w:val="002B4F96"/>
    <w:rsid w:val="002B5009"/>
    <w:rsid w:val="002B505D"/>
    <w:rsid w:val="002B50F1"/>
    <w:rsid w:val="002B515E"/>
    <w:rsid w:val="002B521A"/>
    <w:rsid w:val="002B5263"/>
    <w:rsid w:val="002B5299"/>
    <w:rsid w:val="002B52A2"/>
    <w:rsid w:val="002B536A"/>
    <w:rsid w:val="002B53AD"/>
    <w:rsid w:val="002B53B2"/>
    <w:rsid w:val="002B53B5"/>
    <w:rsid w:val="002B545C"/>
    <w:rsid w:val="002B5514"/>
    <w:rsid w:val="002B56D6"/>
    <w:rsid w:val="002B56F2"/>
    <w:rsid w:val="002B5739"/>
    <w:rsid w:val="002B57F6"/>
    <w:rsid w:val="002B5897"/>
    <w:rsid w:val="002B58E4"/>
    <w:rsid w:val="002B590A"/>
    <w:rsid w:val="002B5961"/>
    <w:rsid w:val="002B59E6"/>
    <w:rsid w:val="002B5ABD"/>
    <w:rsid w:val="002B5B9C"/>
    <w:rsid w:val="002B5BB7"/>
    <w:rsid w:val="002B5C51"/>
    <w:rsid w:val="002B5C75"/>
    <w:rsid w:val="002B5C96"/>
    <w:rsid w:val="002B5CE3"/>
    <w:rsid w:val="002B5DDA"/>
    <w:rsid w:val="002B5E13"/>
    <w:rsid w:val="002B5E66"/>
    <w:rsid w:val="002B5E76"/>
    <w:rsid w:val="002B5EAD"/>
    <w:rsid w:val="002B5EC8"/>
    <w:rsid w:val="002B5ECE"/>
    <w:rsid w:val="002B6007"/>
    <w:rsid w:val="002B60C4"/>
    <w:rsid w:val="002B6106"/>
    <w:rsid w:val="002B6168"/>
    <w:rsid w:val="002B6169"/>
    <w:rsid w:val="002B6180"/>
    <w:rsid w:val="002B61C8"/>
    <w:rsid w:val="002B625C"/>
    <w:rsid w:val="002B628A"/>
    <w:rsid w:val="002B6295"/>
    <w:rsid w:val="002B635D"/>
    <w:rsid w:val="002B639A"/>
    <w:rsid w:val="002B640A"/>
    <w:rsid w:val="002B646C"/>
    <w:rsid w:val="002B6493"/>
    <w:rsid w:val="002B66EF"/>
    <w:rsid w:val="002B670F"/>
    <w:rsid w:val="002B6798"/>
    <w:rsid w:val="002B690E"/>
    <w:rsid w:val="002B69E0"/>
    <w:rsid w:val="002B6A11"/>
    <w:rsid w:val="002B6A26"/>
    <w:rsid w:val="002B6A2B"/>
    <w:rsid w:val="002B6A7B"/>
    <w:rsid w:val="002B6A7F"/>
    <w:rsid w:val="002B6ADD"/>
    <w:rsid w:val="002B6AE0"/>
    <w:rsid w:val="002B6B6E"/>
    <w:rsid w:val="002B6BA3"/>
    <w:rsid w:val="002B6BAC"/>
    <w:rsid w:val="002B6BCC"/>
    <w:rsid w:val="002B6C89"/>
    <w:rsid w:val="002B6DAB"/>
    <w:rsid w:val="002B6F6F"/>
    <w:rsid w:val="002B6F92"/>
    <w:rsid w:val="002B6FB5"/>
    <w:rsid w:val="002B6FF7"/>
    <w:rsid w:val="002B7013"/>
    <w:rsid w:val="002B7080"/>
    <w:rsid w:val="002B70E1"/>
    <w:rsid w:val="002B717A"/>
    <w:rsid w:val="002B71B6"/>
    <w:rsid w:val="002B71C1"/>
    <w:rsid w:val="002B72CA"/>
    <w:rsid w:val="002B73C0"/>
    <w:rsid w:val="002B73D5"/>
    <w:rsid w:val="002B7416"/>
    <w:rsid w:val="002B7452"/>
    <w:rsid w:val="002B7477"/>
    <w:rsid w:val="002B7487"/>
    <w:rsid w:val="002B7615"/>
    <w:rsid w:val="002B769B"/>
    <w:rsid w:val="002B76AD"/>
    <w:rsid w:val="002B76C9"/>
    <w:rsid w:val="002B76EA"/>
    <w:rsid w:val="002B76F5"/>
    <w:rsid w:val="002B7700"/>
    <w:rsid w:val="002B7704"/>
    <w:rsid w:val="002B7718"/>
    <w:rsid w:val="002B7734"/>
    <w:rsid w:val="002B773E"/>
    <w:rsid w:val="002B77C8"/>
    <w:rsid w:val="002B78C3"/>
    <w:rsid w:val="002B7932"/>
    <w:rsid w:val="002B7936"/>
    <w:rsid w:val="002B79B5"/>
    <w:rsid w:val="002B7A16"/>
    <w:rsid w:val="002B7A63"/>
    <w:rsid w:val="002B7B02"/>
    <w:rsid w:val="002B7B57"/>
    <w:rsid w:val="002B7BE3"/>
    <w:rsid w:val="002B7C2F"/>
    <w:rsid w:val="002B7C9E"/>
    <w:rsid w:val="002B7CB5"/>
    <w:rsid w:val="002B7E06"/>
    <w:rsid w:val="002B7F17"/>
    <w:rsid w:val="002B7F49"/>
    <w:rsid w:val="002B7F7F"/>
    <w:rsid w:val="002B7FB5"/>
    <w:rsid w:val="002B7FEA"/>
    <w:rsid w:val="002B7FF3"/>
    <w:rsid w:val="002B7FFB"/>
    <w:rsid w:val="002C004D"/>
    <w:rsid w:val="002C0053"/>
    <w:rsid w:val="002C00D3"/>
    <w:rsid w:val="002C0121"/>
    <w:rsid w:val="002C0162"/>
    <w:rsid w:val="002C0333"/>
    <w:rsid w:val="002C03B2"/>
    <w:rsid w:val="002C03BC"/>
    <w:rsid w:val="002C041B"/>
    <w:rsid w:val="002C0541"/>
    <w:rsid w:val="002C0542"/>
    <w:rsid w:val="002C058F"/>
    <w:rsid w:val="002C05D4"/>
    <w:rsid w:val="002C05F3"/>
    <w:rsid w:val="002C0645"/>
    <w:rsid w:val="002C064A"/>
    <w:rsid w:val="002C0689"/>
    <w:rsid w:val="002C06C5"/>
    <w:rsid w:val="002C06CC"/>
    <w:rsid w:val="002C0719"/>
    <w:rsid w:val="002C0721"/>
    <w:rsid w:val="002C077A"/>
    <w:rsid w:val="002C0786"/>
    <w:rsid w:val="002C07C1"/>
    <w:rsid w:val="002C07FA"/>
    <w:rsid w:val="002C0824"/>
    <w:rsid w:val="002C082D"/>
    <w:rsid w:val="002C0905"/>
    <w:rsid w:val="002C09CB"/>
    <w:rsid w:val="002C09E6"/>
    <w:rsid w:val="002C09FC"/>
    <w:rsid w:val="002C0A12"/>
    <w:rsid w:val="002C0AC9"/>
    <w:rsid w:val="002C0C16"/>
    <w:rsid w:val="002C0C2B"/>
    <w:rsid w:val="002C0C51"/>
    <w:rsid w:val="002C0CC5"/>
    <w:rsid w:val="002C0CE9"/>
    <w:rsid w:val="002C0D01"/>
    <w:rsid w:val="002C0D14"/>
    <w:rsid w:val="002C0D4C"/>
    <w:rsid w:val="002C0D56"/>
    <w:rsid w:val="002C0DE2"/>
    <w:rsid w:val="002C0E2C"/>
    <w:rsid w:val="002C0EB4"/>
    <w:rsid w:val="002C0EFB"/>
    <w:rsid w:val="002C0F37"/>
    <w:rsid w:val="002C0F69"/>
    <w:rsid w:val="002C0F77"/>
    <w:rsid w:val="002C0F7C"/>
    <w:rsid w:val="002C0FC0"/>
    <w:rsid w:val="002C0FE5"/>
    <w:rsid w:val="002C1067"/>
    <w:rsid w:val="002C1081"/>
    <w:rsid w:val="002C10DE"/>
    <w:rsid w:val="002C11FE"/>
    <w:rsid w:val="002C123F"/>
    <w:rsid w:val="002C1264"/>
    <w:rsid w:val="002C1267"/>
    <w:rsid w:val="002C1277"/>
    <w:rsid w:val="002C12EB"/>
    <w:rsid w:val="002C136E"/>
    <w:rsid w:val="002C13A9"/>
    <w:rsid w:val="002C1438"/>
    <w:rsid w:val="002C1439"/>
    <w:rsid w:val="002C147E"/>
    <w:rsid w:val="002C148D"/>
    <w:rsid w:val="002C1502"/>
    <w:rsid w:val="002C162A"/>
    <w:rsid w:val="002C16D0"/>
    <w:rsid w:val="002C16D7"/>
    <w:rsid w:val="002C16DD"/>
    <w:rsid w:val="002C1758"/>
    <w:rsid w:val="002C17A3"/>
    <w:rsid w:val="002C17AA"/>
    <w:rsid w:val="002C1819"/>
    <w:rsid w:val="002C1830"/>
    <w:rsid w:val="002C1878"/>
    <w:rsid w:val="002C188D"/>
    <w:rsid w:val="002C189B"/>
    <w:rsid w:val="002C18BB"/>
    <w:rsid w:val="002C18C7"/>
    <w:rsid w:val="002C1907"/>
    <w:rsid w:val="002C199E"/>
    <w:rsid w:val="002C19F2"/>
    <w:rsid w:val="002C19F4"/>
    <w:rsid w:val="002C1A10"/>
    <w:rsid w:val="002C1A3E"/>
    <w:rsid w:val="002C1B8B"/>
    <w:rsid w:val="002C1BAE"/>
    <w:rsid w:val="002C1CE4"/>
    <w:rsid w:val="002C1D41"/>
    <w:rsid w:val="002C1D46"/>
    <w:rsid w:val="002C1D96"/>
    <w:rsid w:val="002C1DDF"/>
    <w:rsid w:val="002C1E4A"/>
    <w:rsid w:val="002C1E81"/>
    <w:rsid w:val="002C1EC5"/>
    <w:rsid w:val="002C1EE3"/>
    <w:rsid w:val="002C1EF4"/>
    <w:rsid w:val="002C1F5C"/>
    <w:rsid w:val="002C1F96"/>
    <w:rsid w:val="002C201A"/>
    <w:rsid w:val="002C20E5"/>
    <w:rsid w:val="002C2180"/>
    <w:rsid w:val="002C2240"/>
    <w:rsid w:val="002C2244"/>
    <w:rsid w:val="002C224F"/>
    <w:rsid w:val="002C22A3"/>
    <w:rsid w:val="002C22B3"/>
    <w:rsid w:val="002C22D1"/>
    <w:rsid w:val="002C2317"/>
    <w:rsid w:val="002C2422"/>
    <w:rsid w:val="002C2439"/>
    <w:rsid w:val="002C24A6"/>
    <w:rsid w:val="002C2540"/>
    <w:rsid w:val="002C2563"/>
    <w:rsid w:val="002C261D"/>
    <w:rsid w:val="002C2725"/>
    <w:rsid w:val="002C2768"/>
    <w:rsid w:val="002C2894"/>
    <w:rsid w:val="002C28BE"/>
    <w:rsid w:val="002C28F4"/>
    <w:rsid w:val="002C2954"/>
    <w:rsid w:val="002C298D"/>
    <w:rsid w:val="002C298F"/>
    <w:rsid w:val="002C29E8"/>
    <w:rsid w:val="002C2A46"/>
    <w:rsid w:val="002C2B81"/>
    <w:rsid w:val="002C2BBE"/>
    <w:rsid w:val="002C2C7B"/>
    <w:rsid w:val="002C2C9E"/>
    <w:rsid w:val="002C2CD2"/>
    <w:rsid w:val="002C2D02"/>
    <w:rsid w:val="002C2D20"/>
    <w:rsid w:val="002C2D7E"/>
    <w:rsid w:val="002C2DA6"/>
    <w:rsid w:val="002C2DDF"/>
    <w:rsid w:val="002C2DED"/>
    <w:rsid w:val="002C2E81"/>
    <w:rsid w:val="002C2F11"/>
    <w:rsid w:val="002C2F35"/>
    <w:rsid w:val="002C2F3A"/>
    <w:rsid w:val="002C2F84"/>
    <w:rsid w:val="002C2FF8"/>
    <w:rsid w:val="002C3100"/>
    <w:rsid w:val="002C3105"/>
    <w:rsid w:val="002C3134"/>
    <w:rsid w:val="002C3139"/>
    <w:rsid w:val="002C319D"/>
    <w:rsid w:val="002C31C3"/>
    <w:rsid w:val="002C33A4"/>
    <w:rsid w:val="002C33C2"/>
    <w:rsid w:val="002C344D"/>
    <w:rsid w:val="002C3471"/>
    <w:rsid w:val="002C349E"/>
    <w:rsid w:val="002C34BE"/>
    <w:rsid w:val="002C34DB"/>
    <w:rsid w:val="002C3512"/>
    <w:rsid w:val="002C3571"/>
    <w:rsid w:val="002C3592"/>
    <w:rsid w:val="002C35F3"/>
    <w:rsid w:val="002C3638"/>
    <w:rsid w:val="002C363E"/>
    <w:rsid w:val="002C3658"/>
    <w:rsid w:val="002C367B"/>
    <w:rsid w:val="002C368B"/>
    <w:rsid w:val="002C36A0"/>
    <w:rsid w:val="002C371B"/>
    <w:rsid w:val="002C37B1"/>
    <w:rsid w:val="002C3830"/>
    <w:rsid w:val="002C38AC"/>
    <w:rsid w:val="002C3902"/>
    <w:rsid w:val="002C3941"/>
    <w:rsid w:val="002C396C"/>
    <w:rsid w:val="002C39FB"/>
    <w:rsid w:val="002C3A23"/>
    <w:rsid w:val="002C3AC7"/>
    <w:rsid w:val="002C3AE5"/>
    <w:rsid w:val="002C3B6E"/>
    <w:rsid w:val="002C3BC4"/>
    <w:rsid w:val="002C3BE9"/>
    <w:rsid w:val="002C3C6F"/>
    <w:rsid w:val="002C3CCE"/>
    <w:rsid w:val="002C3D59"/>
    <w:rsid w:val="002C3E88"/>
    <w:rsid w:val="002C3E90"/>
    <w:rsid w:val="002C3F4D"/>
    <w:rsid w:val="002C3F8C"/>
    <w:rsid w:val="002C4040"/>
    <w:rsid w:val="002C406A"/>
    <w:rsid w:val="002C4088"/>
    <w:rsid w:val="002C40D8"/>
    <w:rsid w:val="002C416E"/>
    <w:rsid w:val="002C41A6"/>
    <w:rsid w:val="002C41A7"/>
    <w:rsid w:val="002C4241"/>
    <w:rsid w:val="002C430E"/>
    <w:rsid w:val="002C430F"/>
    <w:rsid w:val="002C431C"/>
    <w:rsid w:val="002C4469"/>
    <w:rsid w:val="002C44C9"/>
    <w:rsid w:val="002C44E0"/>
    <w:rsid w:val="002C453D"/>
    <w:rsid w:val="002C4587"/>
    <w:rsid w:val="002C45C6"/>
    <w:rsid w:val="002C45DD"/>
    <w:rsid w:val="002C45F1"/>
    <w:rsid w:val="002C4638"/>
    <w:rsid w:val="002C4679"/>
    <w:rsid w:val="002C46D6"/>
    <w:rsid w:val="002C472D"/>
    <w:rsid w:val="002C479F"/>
    <w:rsid w:val="002C47B8"/>
    <w:rsid w:val="002C47E4"/>
    <w:rsid w:val="002C4982"/>
    <w:rsid w:val="002C4A22"/>
    <w:rsid w:val="002C4A5C"/>
    <w:rsid w:val="002C4A5E"/>
    <w:rsid w:val="002C4A68"/>
    <w:rsid w:val="002C4A7D"/>
    <w:rsid w:val="002C4A7F"/>
    <w:rsid w:val="002C4A84"/>
    <w:rsid w:val="002C4A93"/>
    <w:rsid w:val="002C4AA1"/>
    <w:rsid w:val="002C4AC5"/>
    <w:rsid w:val="002C4B49"/>
    <w:rsid w:val="002C4BA2"/>
    <w:rsid w:val="002C4BC7"/>
    <w:rsid w:val="002C4BFC"/>
    <w:rsid w:val="002C4CB2"/>
    <w:rsid w:val="002C4CD9"/>
    <w:rsid w:val="002C4DFA"/>
    <w:rsid w:val="002C4DFD"/>
    <w:rsid w:val="002C4E64"/>
    <w:rsid w:val="002C4EEE"/>
    <w:rsid w:val="002C4EFC"/>
    <w:rsid w:val="002C4F25"/>
    <w:rsid w:val="002C4F31"/>
    <w:rsid w:val="002C4F3D"/>
    <w:rsid w:val="002C4F6F"/>
    <w:rsid w:val="002C4FF0"/>
    <w:rsid w:val="002C50D0"/>
    <w:rsid w:val="002C51FC"/>
    <w:rsid w:val="002C52D9"/>
    <w:rsid w:val="002C52ED"/>
    <w:rsid w:val="002C5332"/>
    <w:rsid w:val="002C548E"/>
    <w:rsid w:val="002C5490"/>
    <w:rsid w:val="002C54E2"/>
    <w:rsid w:val="002C5595"/>
    <w:rsid w:val="002C55EF"/>
    <w:rsid w:val="002C5615"/>
    <w:rsid w:val="002C562D"/>
    <w:rsid w:val="002C5645"/>
    <w:rsid w:val="002C56BD"/>
    <w:rsid w:val="002C56DF"/>
    <w:rsid w:val="002C5712"/>
    <w:rsid w:val="002C5746"/>
    <w:rsid w:val="002C578B"/>
    <w:rsid w:val="002C5795"/>
    <w:rsid w:val="002C579E"/>
    <w:rsid w:val="002C57BF"/>
    <w:rsid w:val="002C57C9"/>
    <w:rsid w:val="002C57DC"/>
    <w:rsid w:val="002C5875"/>
    <w:rsid w:val="002C58F7"/>
    <w:rsid w:val="002C593D"/>
    <w:rsid w:val="002C59A0"/>
    <w:rsid w:val="002C5A03"/>
    <w:rsid w:val="002C5A9E"/>
    <w:rsid w:val="002C5AD0"/>
    <w:rsid w:val="002C5B37"/>
    <w:rsid w:val="002C5B4D"/>
    <w:rsid w:val="002C5C98"/>
    <w:rsid w:val="002C5CBF"/>
    <w:rsid w:val="002C5D4E"/>
    <w:rsid w:val="002C5D77"/>
    <w:rsid w:val="002C5E01"/>
    <w:rsid w:val="002C5E6B"/>
    <w:rsid w:val="002C5EB5"/>
    <w:rsid w:val="002C5EE6"/>
    <w:rsid w:val="002C5F38"/>
    <w:rsid w:val="002C5F79"/>
    <w:rsid w:val="002C5F8B"/>
    <w:rsid w:val="002C5F9E"/>
    <w:rsid w:val="002C6004"/>
    <w:rsid w:val="002C6104"/>
    <w:rsid w:val="002C6114"/>
    <w:rsid w:val="002C61AC"/>
    <w:rsid w:val="002C61BA"/>
    <w:rsid w:val="002C61C3"/>
    <w:rsid w:val="002C6225"/>
    <w:rsid w:val="002C6266"/>
    <w:rsid w:val="002C6312"/>
    <w:rsid w:val="002C6379"/>
    <w:rsid w:val="002C637D"/>
    <w:rsid w:val="002C6450"/>
    <w:rsid w:val="002C6452"/>
    <w:rsid w:val="002C6496"/>
    <w:rsid w:val="002C64F4"/>
    <w:rsid w:val="002C6522"/>
    <w:rsid w:val="002C6580"/>
    <w:rsid w:val="002C660E"/>
    <w:rsid w:val="002C667E"/>
    <w:rsid w:val="002C670D"/>
    <w:rsid w:val="002C6775"/>
    <w:rsid w:val="002C679D"/>
    <w:rsid w:val="002C67D9"/>
    <w:rsid w:val="002C6811"/>
    <w:rsid w:val="002C6816"/>
    <w:rsid w:val="002C68E8"/>
    <w:rsid w:val="002C690B"/>
    <w:rsid w:val="002C6928"/>
    <w:rsid w:val="002C6933"/>
    <w:rsid w:val="002C6943"/>
    <w:rsid w:val="002C6A50"/>
    <w:rsid w:val="002C6A7B"/>
    <w:rsid w:val="002C6A87"/>
    <w:rsid w:val="002C6A99"/>
    <w:rsid w:val="002C6AF3"/>
    <w:rsid w:val="002C6B16"/>
    <w:rsid w:val="002C6B98"/>
    <w:rsid w:val="002C6BC2"/>
    <w:rsid w:val="002C6C80"/>
    <w:rsid w:val="002C6CBA"/>
    <w:rsid w:val="002C6CEC"/>
    <w:rsid w:val="002C6D03"/>
    <w:rsid w:val="002C6D5B"/>
    <w:rsid w:val="002C6D7F"/>
    <w:rsid w:val="002C6E49"/>
    <w:rsid w:val="002C6E8C"/>
    <w:rsid w:val="002C6E98"/>
    <w:rsid w:val="002C6E9C"/>
    <w:rsid w:val="002C6EFE"/>
    <w:rsid w:val="002C6F0C"/>
    <w:rsid w:val="002C6FFA"/>
    <w:rsid w:val="002C700C"/>
    <w:rsid w:val="002C706C"/>
    <w:rsid w:val="002C7082"/>
    <w:rsid w:val="002C709B"/>
    <w:rsid w:val="002C70D8"/>
    <w:rsid w:val="002C70DF"/>
    <w:rsid w:val="002C70FF"/>
    <w:rsid w:val="002C717E"/>
    <w:rsid w:val="002C7196"/>
    <w:rsid w:val="002C7211"/>
    <w:rsid w:val="002C72F9"/>
    <w:rsid w:val="002C739D"/>
    <w:rsid w:val="002C740C"/>
    <w:rsid w:val="002C742B"/>
    <w:rsid w:val="002C743C"/>
    <w:rsid w:val="002C7460"/>
    <w:rsid w:val="002C74DB"/>
    <w:rsid w:val="002C7510"/>
    <w:rsid w:val="002C75CB"/>
    <w:rsid w:val="002C75EA"/>
    <w:rsid w:val="002C7621"/>
    <w:rsid w:val="002C762B"/>
    <w:rsid w:val="002C763A"/>
    <w:rsid w:val="002C7691"/>
    <w:rsid w:val="002C76A4"/>
    <w:rsid w:val="002C76D7"/>
    <w:rsid w:val="002C7708"/>
    <w:rsid w:val="002C770C"/>
    <w:rsid w:val="002C7728"/>
    <w:rsid w:val="002C7802"/>
    <w:rsid w:val="002C7833"/>
    <w:rsid w:val="002C788E"/>
    <w:rsid w:val="002C7913"/>
    <w:rsid w:val="002C794D"/>
    <w:rsid w:val="002C795A"/>
    <w:rsid w:val="002C7971"/>
    <w:rsid w:val="002C79C6"/>
    <w:rsid w:val="002C79C8"/>
    <w:rsid w:val="002C7AF3"/>
    <w:rsid w:val="002C7B8B"/>
    <w:rsid w:val="002C7BC1"/>
    <w:rsid w:val="002C7C44"/>
    <w:rsid w:val="002C7C61"/>
    <w:rsid w:val="002C7DAD"/>
    <w:rsid w:val="002C7E97"/>
    <w:rsid w:val="002C7EEC"/>
    <w:rsid w:val="002C7EFA"/>
    <w:rsid w:val="002C7F4D"/>
    <w:rsid w:val="002C7FA1"/>
    <w:rsid w:val="002C7FE5"/>
    <w:rsid w:val="002C7FEF"/>
    <w:rsid w:val="002D0042"/>
    <w:rsid w:val="002D0045"/>
    <w:rsid w:val="002D00E4"/>
    <w:rsid w:val="002D0167"/>
    <w:rsid w:val="002D017F"/>
    <w:rsid w:val="002D019D"/>
    <w:rsid w:val="002D0212"/>
    <w:rsid w:val="002D02D9"/>
    <w:rsid w:val="002D02E5"/>
    <w:rsid w:val="002D03C3"/>
    <w:rsid w:val="002D040A"/>
    <w:rsid w:val="002D0456"/>
    <w:rsid w:val="002D0497"/>
    <w:rsid w:val="002D04EE"/>
    <w:rsid w:val="002D0505"/>
    <w:rsid w:val="002D0617"/>
    <w:rsid w:val="002D062E"/>
    <w:rsid w:val="002D0631"/>
    <w:rsid w:val="002D06F3"/>
    <w:rsid w:val="002D06FE"/>
    <w:rsid w:val="002D071E"/>
    <w:rsid w:val="002D07B0"/>
    <w:rsid w:val="002D081E"/>
    <w:rsid w:val="002D0850"/>
    <w:rsid w:val="002D087D"/>
    <w:rsid w:val="002D08E3"/>
    <w:rsid w:val="002D0A5F"/>
    <w:rsid w:val="002D0B48"/>
    <w:rsid w:val="002D0BCF"/>
    <w:rsid w:val="002D0C0E"/>
    <w:rsid w:val="002D0C6F"/>
    <w:rsid w:val="002D0C88"/>
    <w:rsid w:val="002D0CA8"/>
    <w:rsid w:val="002D0CC2"/>
    <w:rsid w:val="002D0DF1"/>
    <w:rsid w:val="002D0E53"/>
    <w:rsid w:val="002D0EE1"/>
    <w:rsid w:val="002D0EEA"/>
    <w:rsid w:val="002D0F14"/>
    <w:rsid w:val="002D0F31"/>
    <w:rsid w:val="002D0F67"/>
    <w:rsid w:val="002D0F78"/>
    <w:rsid w:val="002D0F8A"/>
    <w:rsid w:val="002D0F95"/>
    <w:rsid w:val="002D0FCD"/>
    <w:rsid w:val="002D0FEB"/>
    <w:rsid w:val="002D102C"/>
    <w:rsid w:val="002D1037"/>
    <w:rsid w:val="002D1092"/>
    <w:rsid w:val="002D10EB"/>
    <w:rsid w:val="002D110A"/>
    <w:rsid w:val="002D1178"/>
    <w:rsid w:val="002D11A1"/>
    <w:rsid w:val="002D120F"/>
    <w:rsid w:val="002D12B4"/>
    <w:rsid w:val="002D12F7"/>
    <w:rsid w:val="002D138F"/>
    <w:rsid w:val="002D1392"/>
    <w:rsid w:val="002D13D4"/>
    <w:rsid w:val="002D142E"/>
    <w:rsid w:val="002D1436"/>
    <w:rsid w:val="002D1444"/>
    <w:rsid w:val="002D144F"/>
    <w:rsid w:val="002D1503"/>
    <w:rsid w:val="002D157A"/>
    <w:rsid w:val="002D159B"/>
    <w:rsid w:val="002D15A8"/>
    <w:rsid w:val="002D15BB"/>
    <w:rsid w:val="002D15C2"/>
    <w:rsid w:val="002D1619"/>
    <w:rsid w:val="002D1808"/>
    <w:rsid w:val="002D1820"/>
    <w:rsid w:val="002D182C"/>
    <w:rsid w:val="002D1839"/>
    <w:rsid w:val="002D1897"/>
    <w:rsid w:val="002D18BA"/>
    <w:rsid w:val="002D18FB"/>
    <w:rsid w:val="002D197E"/>
    <w:rsid w:val="002D19A5"/>
    <w:rsid w:val="002D19B7"/>
    <w:rsid w:val="002D1A4D"/>
    <w:rsid w:val="002D1AA0"/>
    <w:rsid w:val="002D1ACC"/>
    <w:rsid w:val="002D1AD5"/>
    <w:rsid w:val="002D1B70"/>
    <w:rsid w:val="002D1B81"/>
    <w:rsid w:val="002D1BBF"/>
    <w:rsid w:val="002D1C2B"/>
    <w:rsid w:val="002D1CE2"/>
    <w:rsid w:val="002D1CE7"/>
    <w:rsid w:val="002D1E16"/>
    <w:rsid w:val="002D1E7F"/>
    <w:rsid w:val="002D1EA1"/>
    <w:rsid w:val="002D1F1C"/>
    <w:rsid w:val="002D1FE3"/>
    <w:rsid w:val="002D1FFD"/>
    <w:rsid w:val="002D200E"/>
    <w:rsid w:val="002D2074"/>
    <w:rsid w:val="002D20B0"/>
    <w:rsid w:val="002D2121"/>
    <w:rsid w:val="002D2154"/>
    <w:rsid w:val="002D23DD"/>
    <w:rsid w:val="002D2431"/>
    <w:rsid w:val="002D245D"/>
    <w:rsid w:val="002D247D"/>
    <w:rsid w:val="002D24CA"/>
    <w:rsid w:val="002D24D0"/>
    <w:rsid w:val="002D2559"/>
    <w:rsid w:val="002D2636"/>
    <w:rsid w:val="002D2651"/>
    <w:rsid w:val="002D2677"/>
    <w:rsid w:val="002D267F"/>
    <w:rsid w:val="002D26E6"/>
    <w:rsid w:val="002D279C"/>
    <w:rsid w:val="002D27B9"/>
    <w:rsid w:val="002D27D7"/>
    <w:rsid w:val="002D27ED"/>
    <w:rsid w:val="002D27F0"/>
    <w:rsid w:val="002D2829"/>
    <w:rsid w:val="002D28C6"/>
    <w:rsid w:val="002D292D"/>
    <w:rsid w:val="002D29F6"/>
    <w:rsid w:val="002D2A4D"/>
    <w:rsid w:val="002D2A51"/>
    <w:rsid w:val="002D2A74"/>
    <w:rsid w:val="002D2AB8"/>
    <w:rsid w:val="002D2AFD"/>
    <w:rsid w:val="002D2B1E"/>
    <w:rsid w:val="002D2B8A"/>
    <w:rsid w:val="002D2BAE"/>
    <w:rsid w:val="002D2D48"/>
    <w:rsid w:val="002D2D7F"/>
    <w:rsid w:val="002D2E43"/>
    <w:rsid w:val="002D2E50"/>
    <w:rsid w:val="002D2E92"/>
    <w:rsid w:val="002D2F00"/>
    <w:rsid w:val="002D2F04"/>
    <w:rsid w:val="002D2F1F"/>
    <w:rsid w:val="002D2F30"/>
    <w:rsid w:val="002D2F31"/>
    <w:rsid w:val="002D2F62"/>
    <w:rsid w:val="002D2FB8"/>
    <w:rsid w:val="002D3050"/>
    <w:rsid w:val="002D309F"/>
    <w:rsid w:val="002D30AC"/>
    <w:rsid w:val="002D30F1"/>
    <w:rsid w:val="002D3153"/>
    <w:rsid w:val="002D31DE"/>
    <w:rsid w:val="002D327A"/>
    <w:rsid w:val="002D3291"/>
    <w:rsid w:val="002D32B5"/>
    <w:rsid w:val="002D335C"/>
    <w:rsid w:val="002D3380"/>
    <w:rsid w:val="002D33A7"/>
    <w:rsid w:val="002D33AE"/>
    <w:rsid w:val="002D33CB"/>
    <w:rsid w:val="002D3409"/>
    <w:rsid w:val="002D343F"/>
    <w:rsid w:val="002D3478"/>
    <w:rsid w:val="002D348F"/>
    <w:rsid w:val="002D34C1"/>
    <w:rsid w:val="002D34CC"/>
    <w:rsid w:val="002D35EE"/>
    <w:rsid w:val="002D3640"/>
    <w:rsid w:val="002D3696"/>
    <w:rsid w:val="002D36A2"/>
    <w:rsid w:val="002D3788"/>
    <w:rsid w:val="002D378B"/>
    <w:rsid w:val="002D37A8"/>
    <w:rsid w:val="002D3810"/>
    <w:rsid w:val="002D38AC"/>
    <w:rsid w:val="002D38FB"/>
    <w:rsid w:val="002D3928"/>
    <w:rsid w:val="002D3982"/>
    <w:rsid w:val="002D39A0"/>
    <w:rsid w:val="002D3A37"/>
    <w:rsid w:val="002D3A4A"/>
    <w:rsid w:val="002D3A53"/>
    <w:rsid w:val="002D3AA3"/>
    <w:rsid w:val="002D3ACA"/>
    <w:rsid w:val="002D3B08"/>
    <w:rsid w:val="002D3BBE"/>
    <w:rsid w:val="002D3C31"/>
    <w:rsid w:val="002D3D51"/>
    <w:rsid w:val="002D3D8F"/>
    <w:rsid w:val="002D3DF9"/>
    <w:rsid w:val="002D3DFF"/>
    <w:rsid w:val="002D3E09"/>
    <w:rsid w:val="002D3EA5"/>
    <w:rsid w:val="002D3EB8"/>
    <w:rsid w:val="002D3EC7"/>
    <w:rsid w:val="002D3F15"/>
    <w:rsid w:val="002D3FA8"/>
    <w:rsid w:val="002D3FE4"/>
    <w:rsid w:val="002D405E"/>
    <w:rsid w:val="002D40F9"/>
    <w:rsid w:val="002D4110"/>
    <w:rsid w:val="002D4144"/>
    <w:rsid w:val="002D41E7"/>
    <w:rsid w:val="002D424B"/>
    <w:rsid w:val="002D43B7"/>
    <w:rsid w:val="002D43CC"/>
    <w:rsid w:val="002D43E7"/>
    <w:rsid w:val="002D45B4"/>
    <w:rsid w:val="002D45D4"/>
    <w:rsid w:val="002D4632"/>
    <w:rsid w:val="002D468B"/>
    <w:rsid w:val="002D472F"/>
    <w:rsid w:val="002D4760"/>
    <w:rsid w:val="002D4786"/>
    <w:rsid w:val="002D4790"/>
    <w:rsid w:val="002D482E"/>
    <w:rsid w:val="002D483A"/>
    <w:rsid w:val="002D484D"/>
    <w:rsid w:val="002D487B"/>
    <w:rsid w:val="002D48BA"/>
    <w:rsid w:val="002D499A"/>
    <w:rsid w:val="002D49B5"/>
    <w:rsid w:val="002D4A12"/>
    <w:rsid w:val="002D4AA0"/>
    <w:rsid w:val="002D4AAA"/>
    <w:rsid w:val="002D4B46"/>
    <w:rsid w:val="002D4B83"/>
    <w:rsid w:val="002D4B89"/>
    <w:rsid w:val="002D4C09"/>
    <w:rsid w:val="002D4C38"/>
    <w:rsid w:val="002D4CD3"/>
    <w:rsid w:val="002D4D55"/>
    <w:rsid w:val="002D4D56"/>
    <w:rsid w:val="002D4E24"/>
    <w:rsid w:val="002D4ECA"/>
    <w:rsid w:val="002D4F18"/>
    <w:rsid w:val="002D4F41"/>
    <w:rsid w:val="002D4F7E"/>
    <w:rsid w:val="002D4FC8"/>
    <w:rsid w:val="002D509A"/>
    <w:rsid w:val="002D5109"/>
    <w:rsid w:val="002D5157"/>
    <w:rsid w:val="002D5165"/>
    <w:rsid w:val="002D51AE"/>
    <w:rsid w:val="002D51ED"/>
    <w:rsid w:val="002D51EE"/>
    <w:rsid w:val="002D5271"/>
    <w:rsid w:val="002D5276"/>
    <w:rsid w:val="002D52E5"/>
    <w:rsid w:val="002D534B"/>
    <w:rsid w:val="002D5385"/>
    <w:rsid w:val="002D5388"/>
    <w:rsid w:val="002D5395"/>
    <w:rsid w:val="002D543E"/>
    <w:rsid w:val="002D5599"/>
    <w:rsid w:val="002D55D7"/>
    <w:rsid w:val="002D55DC"/>
    <w:rsid w:val="002D5621"/>
    <w:rsid w:val="002D5792"/>
    <w:rsid w:val="002D5822"/>
    <w:rsid w:val="002D5861"/>
    <w:rsid w:val="002D588C"/>
    <w:rsid w:val="002D58BE"/>
    <w:rsid w:val="002D593E"/>
    <w:rsid w:val="002D5945"/>
    <w:rsid w:val="002D596B"/>
    <w:rsid w:val="002D5977"/>
    <w:rsid w:val="002D597E"/>
    <w:rsid w:val="002D59C1"/>
    <w:rsid w:val="002D5A3B"/>
    <w:rsid w:val="002D5A98"/>
    <w:rsid w:val="002D5B0E"/>
    <w:rsid w:val="002D5B4A"/>
    <w:rsid w:val="002D5B67"/>
    <w:rsid w:val="002D5B8D"/>
    <w:rsid w:val="002D5BDB"/>
    <w:rsid w:val="002D5BE5"/>
    <w:rsid w:val="002D5BFA"/>
    <w:rsid w:val="002D5BFF"/>
    <w:rsid w:val="002D5C09"/>
    <w:rsid w:val="002D5C17"/>
    <w:rsid w:val="002D5C35"/>
    <w:rsid w:val="002D5C94"/>
    <w:rsid w:val="002D5CD2"/>
    <w:rsid w:val="002D5D41"/>
    <w:rsid w:val="002D5DEF"/>
    <w:rsid w:val="002D5E5A"/>
    <w:rsid w:val="002D5E5B"/>
    <w:rsid w:val="002D5E61"/>
    <w:rsid w:val="002D5E7A"/>
    <w:rsid w:val="002D5ECC"/>
    <w:rsid w:val="002D5EF9"/>
    <w:rsid w:val="002D5F80"/>
    <w:rsid w:val="002D5F8F"/>
    <w:rsid w:val="002D604B"/>
    <w:rsid w:val="002D6093"/>
    <w:rsid w:val="002D60D5"/>
    <w:rsid w:val="002D615C"/>
    <w:rsid w:val="002D617F"/>
    <w:rsid w:val="002D61FA"/>
    <w:rsid w:val="002D6269"/>
    <w:rsid w:val="002D627B"/>
    <w:rsid w:val="002D628A"/>
    <w:rsid w:val="002D62A4"/>
    <w:rsid w:val="002D62B2"/>
    <w:rsid w:val="002D6360"/>
    <w:rsid w:val="002D6417"/>
    <w:rsid w:val="002D641C"/>
    <w:rsid w:val="002D64A2"/>
    <w:rsid w:val="002D64BC"/>
    <w:rsid w:val="002D657A"/>
    <w:rsid w:val="002D6597"/>
    <w:rsid w:val="002D660C"/>
    <w:rsid w:val="002D66FF"/>
    <w:rsid w:val="002D6773"/>
    <w:rsid w:val="002D67A8"/>
    <w:rsid w:val="002D67DB"/>
    <w:rsid w:val="002D67DF"/>
    <w:rsid w:val="002D6818"/>
    <w:rsid w:val="002D683A"/>
    <w:rsid w:val="002D6856"/>
    <w:rsid w:val="002D6909"/>
    <w:rsid w:val="002D6A0D"/>
    <w:rsid w:val="002D6A0F"/>
    <w:rsid w:val="002D6A14"/>
    <w:rsid w:val="002D6AB0"/>
    <w:rsid w:val="002D6AC3"/>
    <w:rsid w:val="002D6B53"/>
    <w:rsid w:val="002D6C03"/>
    <w:rsid w:val="002D6C07"/>
    <w:rsid w:val="002D6C2C"/>
    <w:rsid w:val="002D6C6B"/>
    <w:rsid w:val="002D6CA0"/>
    <w:rsid w:val="002D6D13"/>
    <w:rsid w:val="002D6D1B"/>
    <w:rsid w:val="002D6D62"/>
    <w:rsid w:val="002D6E3C"/>
    <w:rsid w:val="002D6F82"/>
    <w:rsid w:val="002D6FEA"/>
    <w:rsid w:val="002D6FEE"/>
    <w:rsid w:val="002D7025"/>
    <w:rsid w:val="002D7081"/>
    <w:rsid w:val="002D7141"/>
    <w:rsid w:val="002D7238"/>
    <w:rsid w:val="002D7290"/>
    <w:rsid w:val="002D72A7"/>
    <w:rsid w:val="002D7342"/>
    <w:rsid w:val="002D7347"/>
    <w:rsid w:val="002D73F7"/>
    <w:rsid w:val="002D74C4"/>
    <w:rsid w:val="002D7531"/>
    <w:rsid w:val="002D7595"/>
    <w:rsid w:val="002D75D8"/>
    <w:rsid w:val="002D760D"/>
    <w:rsid w:val="002D7638"/>
    <w:rsid w:val="002D7693"/>
    <w:rsid w:val="002D76AA"/>
    <w:rsid w:val="002D76BB"/>
    <w:rsid w:val="002D771A"/>
    <w:rsid w:val="002D772F"/>
    <w:rsid w:val="002D77FB"/>
    <w:rsid w:val="002D7842"/>
    <w:rsid w:val="002D784E"/>
    <w:rsid w:val="002D7851"/>
    <w:rsid w:val="002D789B"/>
    <w:rsid w:val="002D78FB"/>
    <w:rsid w:val="002D791B"/>
    <w:rsid w:val="002D7981"/>
    <w:rsid w:val="002D79C9"/>
    <w:rsid w:val="002D79D7"/>
    <w:rsid w:val="002D7A08"/>
    <w:rsid w:val="002D7A4B"/>
    <w:rsid w:val="002D7AB2"/>
    <w:rsid w:val="002D7B41"/>
    <w:rsid w:val="002D7B4F"/>
    <w:rsid w:val="002D7BB6"/>
    <w:rsid w:val="002D7C4B"/>
    <w:rsid w:val="002D7CB4"/>
    <w:rsid w:val="002D7DB1"/>
    <w:rsid w:val="002D7DB4"/>
    <w:rsid w:val="002D7E0C"/>
    <w:rsid w:val="002D7EA1"/>
    <w:rsid w:val="002D7EE0"/>
    <w:rsid w:val="002D7F63"/>
    <w:rsid w:val="002D7F7C"/>
    <w:rsid w:val="002D7F8F"/>
    <w:rsid w:val="002D7FAF"/>
    <w:rsid w:val="002D7FF3"/>
    <w:rsid w:val="002D7FFB"/>
    <w:rsid w:val="002E0043"/>
    <w:rsid w:val="002E0189"/>
    <w:rsid w:val="002E01C5"/>
    <w:rsid w:val="002E01FE"/>
    <w:rsid w:val="002E02F2"/>
    <w:rsid w:val="002E030D"/>
    <w:rsid w:val="002E030F"/>
    <w:rsid w:val="002E0312"/>
    <w:rsid w:val="002E03F4"/>
    <w:rsid w:val="002E0476"/>
    <w:rsid w:val="002E0477"/>
    <w:rsid w:val="002E0490"/>
    <w:rsid w:val="002E04E8"/>
    <w:rsid w:val="002E0634"/>
    <w:rsid w:val="002E0651"/>
    <w:rsid w:val="002E0674"/>
    <w:rsid w:val="002E06AA"/>
    <w:rsid w:val="002E06D4"/>
    <w:rsid w:val="002E06FE"/>
    <w:rsid w:val="002E0737"/>
    <w:rsid w:val="002E07CA"/>
    <w:rsid w:val="002E081A"/>
    <w:rsid w:val="002E0831"/>
    <w:rsid w:val="002E0862"/>
    <w:rsid w:val="002E08C8"/>
    <w:rsid w:val="002E093F"/>
    <w:rsid w:val="002E097D"/>
    <w:rsid w:val="002E09B4"/>
    <w:rsid w:val="002E0A0F"/>
    <w:rsid w:val="002E0A35"/>
    <w:rsid w:val="002E0A72"/>
    <w:rsid w:val="002E0AE0"/>
    <w:rsid w:val="002E0B23"/>
    <w:rsid w:val="002E0B3F"/>
    <w:rsid w:val="002E0BDC"/>
    <w:rsid w:val="002E0CA4"/>
    <w:rsid w:val="002E0CBB"/>
    <w:rsid w:val="002E0D80"/>
    <w:rsid w:val="002E0DAA"/>
    <w:rsid w:val="002E0DDF"/>
    <w:rsid w:val="002E0E65"/>
    <w:rsid w:val="002E0EB3"/>
    <w:rsid w:val="002E0EEB"/>
    <w:rsid w:val="002E0F1D"/>
    <w:rsid w:val="002E0F41"/>
    <w:rsid w:val="002E0F47"/>
    <w:rsid w:val="002E0F8B"/>
    <w:rsid w:val="002E0FFF"/>
    <w:rsid w:val="002E1065"/>
    <w:rsid w:val="002E107F"/>
    <w:rsid w:val="002E108F"/>
    <w:rsid w:val="002E10AD"/>
    <w:rsid w:val="002E10D5"/>
    <w:rsid w:val="002E10F1"/>
    <w:rsid w:val="002E1121"/>
    <w:rsid w:val="002E113F"/>
    <w:rsid w:val="002E11FE"/>
    <w:rsid w:val="002E1246"/>
    <w:rsid w:val="002E12AC"/>
    <w:rsid w:val="002E12F9"/>
    <w:rsid w:val="002E1335"/>
    <w:rsid w:val="002E139F"/>
    <w:rsid w:val="002E13D5"/>
    <w:rsid w:val="002E13F0"/>
    <w:rsid w:val="002E1435"/>
    <w:rsid w:val="002E14C7"/>
    <w:rsid w:val="002E1568"/>
    <w:rsid w:val="002E163B"/>
    <w:rsid w:val="002E166D"/>
    <w:rsid w:val="002E166F"/>
    <w:rsid w:val="002E167E"/>
    <w:rsid w:val="002E1686"/>
    <w:rsid w:val="002E168D"/>
    <w:rsid w:val="002E16FD"/>
    <w:rsid w:val="002E177B"/>
    <w:rsid w:val="002E1787"/>
    <w:rsid w:val="002E179E"/>
    <w:rsid w:val="002E17B6"/>
    <w:rsid w:val="002E17B9"/>
    <w:rsid w:val="002E1884"/>
    <w:rsid w:val="002E1888"/>
    <w:rsid w:val="002E18A0"/>
    <w:rsid w:val="002E18EC"/>
    <w:rsid w:val="002E1940"/>
    <w:rsid w:val="002E1A34"/>
    <w:rsid w:val="002E1A57"/>
    <w:rsid w:val="002E1A7D"/>
    <w:rsid w:val="002E1A83"/>
    <w:rsid w:val="002E1A9E"/>
    <w:rsid w:val="002E1AD6"/>
    <w:rsid w:val="002E1B89"/>
    <w:rsid w:val="002E1B9E"/>
    <w:rsid w:val="002E1BA3"/>
    <w:rsid w:val="002E1C06"/>
    <w:rsid w:val="002E1C3E"/>
    <w:rsid w:val="002E1CE2"/>
    <w:rsid w:val="002E1D2D"/>
    <w:rsid w:val="002E1DC1"/>
    <w:rsid w:val="002E1DDA"/>
    <w:rsid w:val="002E1E68"/>
    <w:rsid w:val="002E1EA4"/>
    <w:rsid w:val="002E1EE2"/>
    <w:rsid w:val="002E1F00"/>
    <w:rsid w:val="002E2105"/>
    <w:rsid w:val="002E210B"/>
    <w:rsid w:val="002E21C8"/>
    <w:rsid w:val="002E2214"/>
    <w:rsid w:val="002E2272"/>
    <w:rsid w:val="002E22B5"/>
    <w:rsid w:val="002E22FE"/>
    <w:rsid w:val="002E234A"/>
    <w:rsid w:val="002E2363"/>
    <w:rsid w:val="002E2376"/>
    <w:rsid w:val="002E2408"/>
    <w:rsid w:val="002E248C"/>
    <w:rsid w:val="002E24EF"/>
    <w:rsid w:val="002E2552"/>
    <w:rsid w:val="002E2605"/>
    <w:rsid w:val="002E2606"/>
    <w:rsid w:val="002E260F"/>
    <w:rsid w:val="002E276B"/>
    <w:rsid w:val="002E27D9"/>
    <w:rsid w:val="002E2803"/>
    <w:rsid w:val="002E28A9"/>
    <w:rsid w:val="002E2924"/>
    <w:rsid w:val="002E297C"/>
    <w:rsid w:val="002E2983"/>
    <w:rsid w:val="002E29DD"/>
    <w:rsid w:val="002E2A27"/>
    <w:rsid w:val="002E2AA2"/>
    <w:rsid w:val="002E2AF9"/>
    <w:rsid w:val="002E2B6B"/>
    <w:rsid w:val="002E2B7B"/>
    <w:rsid w:val="002E2BC8"/>
    <w:rsid w:val="002E2BCA"/>
    <w:rsid w:val="002E2CE6"/>
    <w:rsid w:val="002E2D89"/>
    <w:rsid w:val="002E2DC5"/>
    <w:rsid w:val="002E2DCE"/>
    <w:rsid w:val="002E2DD3"/>
    <w:rsid w:val="002E2E65"/>
    <w:rsid w:val="002E2EF4"/>
    <w:rsid w:val="002E2F5D"/>
    <w:rsid w:val="002E2FAA"/>
    <w:rsid w:val="002E2FDE"/>
    <w:rsid w:val="002E2FF3"/>
    <w:rsid w:val="002E2FFD"/>
    <w:rsid w:val="002E301F"/>
    <w:rsid w:val="002E3066"/>
    <w:rsid w:val="002E30C0"/>
    <w:rsid w:val="002E3167"/>
    <w:rsid w:val="002E3181"/>
    <w:rsid w:val="002E3193"/>
    <w:rsid w:val="002E31DB"/>
    <w:rsid w:val="002E31E9"/>
    <w:rsid w:val="002E3245"/>
    <w:rsid w:val="002E33E3"/>
    <w:rsid w:val="002E3434"/>
    <w:rsid w:val="002E34AA"/>
    <w:rsid w:val="002E3521"/>
    <w:rsid w:val="002E3561"/>
    <w:rsid w:val="002E357F"/>
    <w:rsid w:val="002E35D2"/>
    <w:rsid w:val="002E35DD"/>
    <w:rsid w:val="002E36EF"/>
    <w:rsid w:val="002E371B"/>
    <w:rsid w:val="002E374E"/>
    <w:rsid w:val="002E37A2"/>
    <w:rsid w:val="002E383E"/>
    <w:rsid w:val="002E3852"/>
    <w:rsid w:val="002E3935"/>
    <w:rsid w:val="002E3961"/>
    <w:rsid w:val="002E3989"/>
    <w:rsid w:val="002E39B9"/>
    <w:rsid w:val="002E39E0"/>
    <w:rsid w:val="002E39E3"/>
    <w:rsid w:val="002E3A16"/>
    <w:rsid w:val="002E3A93"/>
    <w:rsid w:val="002E3B00"/>
    <w:rsid w:val="002E3B15"/>
    <w:rsid w:val="002E3B3E"/>
    <w:rsid w:val="002E3B5A"/>
    <w:rsid w:val="002E3B9E"/>
    <w:rsid w:val="002E3BAE"/>
    <w:rsid w:val="002E3BE5"/>
    <w:rsid w:val="002E3CEE"/>
    <w:rsid w:val="002E3D30"/>
    <w:rsid w:val="002E3D33"/>
    <w:rsid w:val="002E3D92"/>
    <w:rsid w:val="002E3EA8"/>
    <w:rsid w:val="002E3EBB"/>
    <w:rsid w:val="002E3EDB"/>
    <w:rsid w:val="002E3F71"/>
    <w:rsid w:val="002E3F97"/>
    <w:rsid w:val="002E4027"/>
    <w:rsid w:val="002E4034"/>
    <w:rsid w:val="002E4062"/>
    <w:rsid w:val="002E4090"/>
    <w:rsid w:val="002E40E1"/>
    <w:rsid w:val="002E416D"/>
    <w:rsid w:val="002E4190"/>
    <w:rsid w:val="002E41FD"/>
    <w:rsid w:val="002E422D"/>
    <w:rsid w:val="002E4239"/>
    <w:rsid w:val="002E4360"/>
    <w:rsid w:val="002E4388"/>
    <w:rsid w:val="002E43A5"/>
    <w:rsid w:val="002E43AC"/>
    <w:rsid w:val="002E43D7"/>
    <w:rsid w:val="002E4403"/>
    <w:rsid w:val="002E4407"/>
    <w:rsid w:val="002E4472"/>
    <w:rsid w:val="002E44DE"/>
    <w:rsid w:val="002E450C"/>
    <w:rsid w:val="002E4526"/>
    <w:rsid w:val="002E4598"/>
    <w:rsid w:val="002E45FC"/>
    <w:rsid w:val="002E4692"/>
    <w:rsid w:val="002E471B"/>
    <w:rsid w:val="002E471D"/>
    <w:rsid w:val="002E4741"/>
    <w:rsid w:val="002E47FC"/>
    <w:rsid w:val="002E48F8"/>
    <w:rsid w:val="002E490B"/>
    <w:rsid w:val="002E4962"/>
    <w:rsid w:val="002E4984"/>
    <w:rsid w:val="002E498A"/>
    <w:rsid w:val="002E49E6"/>
    <w:rsid w:val="002E4CEA"/>
    <w:rsid w:val="002E4D0E"/>
    <w:rsid w:val="002E4D96"/>
    <w:rsid w:val="002E4DA2"/>
    <w:rsid w:val="002E4DA5"/>
    <w:rsid w:val="002E4DF4"/>
    <w:rsid w:val="002E4E57"/>
    <w:rsid w:val="002E4EC9"/>
    <w:rsid w:val="002E4ECF"/>
    <w:rsid w:val="002E4EEB"/>
    <w:rsid w:val="002E4EFD"/>
    <w:rsid w:val="002E4F1E"/>
    <w:rsid w:val="002E4F20"/>
    <w:rsid w:val="002E5017"/>
    <w:rsid w:val="002E5090"/>
    <w:rsid w:val="002E50C5"/>
    <w:rsid w:val="002E50E8"/>
    <w:rsid w:val="002E5121"/>
    <w:rsid w:val="002E51E8"/>
    <w:rsid w:val="002E52A4"/>
    <w:rsid w:val="002E52BA"/>
    <w:rsid w:val="002E5305"/>
    <w:rsid w:val="002E534E"/>
    <w:rsid w:val="002E5404"/>
    <w:rsid w:val="002E5418"/>
    <w:rsid w:val="002E5509"/>
    <w:rsid w:val="002E550D"/>
    <w:rsid w:val="002E5566"/>
    <w:rsid w:val="002E558C"/>
    <w:rsid w:val="002E55F5"/>
    <w:rsid w:val="002E5681"/>
    <w:rsid w:val="002E5779"/>
    <w:rsid w:val="002E5780"/>
    <w:rsid w:val="002E579F"/>
    <w:rsid w:val="002E57FB"/>
    <w:rsid w:val="002E5820"/>
    <w:rsid w:val="002E58CA"/>
    <w:rsid w:val="002E58CC"/>
    <w:rsid w:val="002E5920"/>
    <w:rsid w:val="002E599A"/>
    <w:rsid w:val="002E5A64"/>
    <w:rsid w:val="002E5AE4"/>
    <w:rsid w:val="002E5AEF"/>
    <w:rsid w:val="002E5B8F"/>
    <w:rsid w:val="002E5C09"/>
    <w:rsid w:val="002E5C68"/>
    <w:rsid w:val="002E5CB6"/>
    <w:rsid w:val="002E5D08"/>
    <w:rsid w:val="002E5D1F"/>
    <w:rsid w:val="002E5D21"/>
    <w:rsid w:val="002E5D99"/>
    <w:rsid w:val="002E5E38"/>
    <w:rsid w:val="002E5F31"/>
    <w:rsid w:val="002E5F70"/>
    <w:rsid w:val="002E5F7D"/>
    <w:rsid w:val="002E60E1"/>
    <w:rsid w:val="002E615F"/>
    <w:rsid w:val="002E6169"/>
    <w:rsid w:val="002E6221"/>
    <w:rsid w:val="002E6266"/>
    <w:rsid w:val="002E62F2"/>
    <w:rsid w:val="002E6302"/>
    <w:rsid w:val="002E6305"/>
    <w:rsid w:val="002E633C"/>
    <w:rsid w:val="002E63C5"/>
    <w:rsid w:val="002E6438"/>
    <w:rsid w:val="002E643E"/>
    <w:rsid w:val="002E6458"/>
    <w:rsid w:val="002E645E"/>
    <w:rsid w:val="002E6477"/>
    <w:rsid w:val="002E6495"/>
    <w:rsid w:val="002E64B8"/>
    <w:rsid w:val="002E64DF"/>
    <w:rsid w:val="002E653B"/>
    <w:rsid w:val="002E655F"/>
    <w:rsid w:val="002E6596"/>
    <w:rsid w:val="002E65B1"/>
    <w:rsid w:val="002E65C5"/>
    <w:rsid w:val="002E65C9"/>
    <w:rsid w:val="002E664C"/>
    <w:rsid w:val="002E67BB"/>
    <w:rsid w:val="002E67D5"/>
    <w:rsid w:val="002E6890"/>
    <w:rsid w:val="002E689C"/>
    <w:rsid w:val="002E6902"/>
    <w:rsid w:val="002E694F"/>
    <w:rsid w:val="002E6A5C"/>
    <w:rsid w:val="002E6AE7"/>
    <w:rsid w:val="002E6B4E"/>
    <w:rsid w:val="002E6B59"/>
    <w:rsid w:val="002E6B66"/>
    <w:rsid w:val="002E6C4C"/>
    <w:rsid w:val="002E6C63"/>
    <w:rsid w:val="002E6CB9"/>
    <w:rsid w:val="002E6CCE"/>
    <w:rsid w:val="002E6CF6"/>
    <w:rsid w:val="002E6D15"/>
    <w:rsid w:val="002E6D43"/>
    <w:rsid w:val="002E6D5F"/>
    <w:rsid w:val="002E6D81"/>
    <w:rsid w:val="002E6D8A"/>
    <w:rsid w:val="002E6DC6"/>
    <w:rsid w:val="002E6E04"/>
    <w:rsid w:val="002E6E24"/>
    <w:rsid w:val="002E6E57"/>
    <w:rsid w:val="002E6E73"/>
    <w:rsid w:val="002E6EA3"/>
    <w:rsid w:val="002E6EB1"/>
    <w:rsid w:val="002E6EF0"/>
    <w:rsid w:val="002E6F4D"/>
    <w:rsid w:val="002E6F81"/>
    <w:rsid w:val="002E6FDC"/>
    <w:rsid w:val="002E7000"/>
    <w:rsid w:val="002E7052"/>
    <w:rsid w:val="002E7092"/>
    <w:rsid w:val="002E70B3"/>
    <w:rsid w:val="002E70C9"/>
    <w:rsid w:val="002E7100"/>
    <w:rsid w:val="002E71A8"/>
    <w:rsid w:val="002E71C8"/>
    <w:rsid w:val="002E71E5"/>
    <w:rsid w:val="002E71EA"/>
    <w:rsid w:val="002E71EE"/>
    <w:rsid w:val="002E7371"/>
    <w:rsid w:val="002E7451"/>
    <w:rsid w:val="002E7454"/>
    <w:rsid w:val="002E74E1"/>
    <w:rsid w:val="002E751D"/>
    <w:rsid w:val="002E75E8"/>
    <w:rsid w:val="002E7673"/>
    <w:rsid w:val="002E77E8"/>
    <w:rsid w:val="002E780C"/>
    <w:rsid w:val="002E782E"/>
    <w:rsid w:val="002E7866"/>
    <w:rsid w:val="002E78D1"/>
    <w:rsid w:val="002E7986"/>
    <w:rsid w:val="002E79C1"/>
    <w:rsid w:val="002E79C4"/>
    <w:rsid w:val="002E7A6C"/>
    <w:rsid w:val="002E7AFC"/>
    <w:rsid w:val="002E7B00"/>
    <w:rsid w:val="002E7B19"/>
    <w:rsid w:val="002E7BB5"/>
    <w:rsid w:val="002E7BC5"/>
    <w:rsid w:val="002E7CAC"/>
    <w:rsid w:val="002E7CD5"/>
    <w:rsid w:val="002E7D75"/>
    <w:rsid w:val="002E7D86"/>
    <w:rsid w:val="002E7E98"/>
    <w:rsid w:val="002E7F53"/>
    <w:rsid w:val="002E7FA6"/>
    <w:rsid w:val="002E7FC6"/>
    <w:rsid w:val="002E7FF9"/>
    <w:rsid w:val="002F0003"/>
    <w:rsid w:val="002F000B"/>
    <w:rsid w:val="002F010C"/>
    <w:rsid w:val="002F010D"/>
    <w:rsid w:val="002F0197"/>
    <w:rsid w:val="002F0209"/>
    <w:rsid w:val="002F02BA"/>
    <w:rsid w:val="002F02CE"/>
    <w:rsid w:val="002F02EA"/>
    <w:rsid w:val="002F0399"/>
    <w:rsid w:val="002F039F"/>
    <w:rsid w:val="002F03F4"/>
    <w:rsid w:val="002F0491"/>
    <w:rsid w:val="002F049D"/>
    <w:rsid w:val="002F04E1"/>
    <w:rsid w:val="002F0595"/>
    <w:rsid w:val="002F059C"/>
    <w:rsid w:val="002F05AB"/>
    <w:rsid w:val="002F05F9"/>
    <w:rsid w:val="002F061B"/>
    <w:rsid w:val="002F0637"/>
    <w:rsid w:val="002F06BB"/>
    <w:rsid w:val="002F06F6"/>
    <w:rsid w:val="002F07AC"/>
    <w:rsid w:val="002F07AE"/>
    <w:rsid w:val="002F07E5"/>
    <w:rsid w:val="002F0844"/>
    <w:rsid w:val="002F0876"/>
    <w:rsid w:val="002F0919"/>
    <w:rsid w:val="002F094B"/>
    <w:rsid w:val="002F09AD"/>
    <w:rsid w:val="002F09B9"/>
    <w:rsid w:val="002F0A0A"/>
    <w:rsid w:val="002F0A28"/>
    <w:rsid w:val="002F0A50"/>
    <w:rsid w:val="002F0B3C"/>
    <w:rsid w:val="002F0B81"/>
    <w:rsid w:val="002F0BB8"/>
    <w:rsid w:val="002F0BD6"/>
    <w:rsid w:val="002F0BD8"/>
    <w:rsid w:val="002F0C29"/>
    <w:rsid w:val="002F0C58"/>
    <w:rsid w:val="002F0CA2"/>
    <w:rsid w:val="002F0CA5"/>
    <w:rsid w:val="002F0D0C"/>
    <w:rsid w:val="002F0D45"/>
    <w:rsid w:val="002F0D99"/>
    <w:rsid w:val="002F0E22"/>
    <w:rsid w:val="002F0E36"/>
    <w:rsid w:val="002F0E4D"/>
    <w:rsid w:val="002F0E63"/>
    <w:rsid w:val="002F0ED3"/>
    <w:rsid w:val="002F0F23"/>
    <w:rsid w:val="002F0FB7"/>
    <w:rsid w:val="002F0FC5"/>
    <w:rsid w:val="002F10F5"/>
    <w:rsid w:val="002F1156"/>
    <w:rsid w:val="002F11B2"/>
    <w:rsid w:val="002F11CC"/>
    <w:rsid w:val="002F1239"/>
    <w:rsid w:val="002F12B0"/>
    <w:rsid w:val="002F12C8"/>
    <w:rsid w:val="002F12D9"/>
    <w:rsid w:val="002F12F2"/>
    <w:rsid w:val="002F1308"/>
    <w:rsid w:val="002F132B"/>
    <w:rsid w:val="002F1347"/>
    <w:rsid w:val="002F13CB"/>
    <w:rsid w:val="002F13EA"/>
    <w:rsid w:val="002F1478"/>
    <w:rsid w:val="002F1488"/>
    <w:rsid w:val="002F14B4"/>
    <w:rsid w:val="002F14FE"/>
    <w:rsid w:val="002F155D"/>
    <w:rsid w:val="002F1628"/>
    <w:rsid w:val="002F16DE"/>
    <w:rsid w:val="002F170A"/>
    <w:rsid w:val="002F1763"/>
    <w:rsid w:val="002F17B5"/>
    <w:rsid w:val="002F18D6"/>
    <w:rsid w:val="002F197D"/>
    <w:rsid w:val="002F19DF"/>
    <w:rsid w:val="002F19E9"/>
    <w:rsid w:val="002F19FB"/>
    <w:rsid w:val="002F1A13"/>
    <w:rsid w:val="002F1A3B"/>
    <w:rsid w:val="002F1A4E"/>
    <w:rsid w:val="002F1A6F"/>
    <w:rsid w:val="002F1AE3"/>
    <w:rsid w:val="002F1B31"/>
    <w:rsid w:val="002F1B66"/>
    <w:rsid w:val="002F1C4A"/>
    <w:rsid w:val="002F1DA0"/>
    <w:rsid w:val="002F1DA4"/>
    <w:rsid w:val="002F1DEE"/>
    <w:rsid w:val="002F1E7E"/>
    <w:rsid w:val="002F1E82"/>
    <w:rsid w:val="002F1F42"/>
    <w:rsid w:val="002F1F56"/>
    <w:rsid w:val="002F1F5D"/>
    <w:rsid w:val="002F1F64"/>
    <w:rsid w:val="002F1FDF"/>
    <w:rsid w:val="002F2042"/>
    <w:rsid w:val="002F2211"/>
    <w:rsid w:val="002F227B"/>
    <w:rsid w:val="002F2290"/>
    <w:rsid w:val="002F2297"/>
    <w:rsid w:val="002F22A1"/>
    <w:rsid w:val="002F23F3"/>
    <w:rsid w:val="002F2487"/>
    <w:rsid w:val="002F2497"/>
    <w:rsid w:val="002F24CC"/>
    <w:rsid w:val="002F24E0"/>
    <w:rsid w:val="002F24E7"/>
    <w:rsid w:val="002F251E"/>
    <w:rsid w:val="002F2562"/>
    <w:rsid w:val="002F25A3"/>
    <w:rsid w:val="002F25E1"/>
    <w:rsid w:val="002F25F5"/>
    <w:rsid w:val="002F2633"/>
    <w:rsid w:val="002F26A8"/>
    <w:rsid w:val="002F2751"/>
    <w:rsid w:val="002F277D"/>
    <w:rsid w:val="002F27A6"/>
    <w:rsid w:val="002F27AB"/>
    <w:rsid w:val="002F2802"/>
    <w:rsid w:val="002F28B9"/>
    <w:rsid w:val="002F28D9"/>
    <w:rsid w:val="002F290B"/>
    <w:rsid w:val="002F292E"/>
    <w:rsid w:val="002F2932"/>
    <w:rsid w:val="002F2976"/>
    <w:rsid w:val="002F29CB"/>
    <w:rsid w:val="002F29E6"/>
    <w:rsid w:val="002F2A1F"/>
    <w:rsid w:val="002F2ADD"/>
    <w:rsid w:val="002F2AE2"/>
    <w:rsid w:val="002F2B18"/>
    <w:rsid w:val="002F2C19"/>
    <w:rsid w:val="002F2C92"/>
    <w:rsid w:val="002F2C93"/>
    <w:rsid w:val="002F2CB6"/>
    <w:rsid w:val="002F2DDE"/>
    <w:rsid w:val="002F2E66"/>
    <w:rsid w:val="002F2E7C"/>
    <w:rsid w:val="002F2EBF"/>
    <w:rsid w:val="002F2F21"/>
    <w:rsid w:val="002F2F71"/>
    <w:rsid w:val="002F3054"/>
    <w:rsid w:val="002F3073"/>
    <w:rsid w:val="002F3160"/>
    <w:rsid w:val="002F316B"/>
    <w:rsid w:val="002F31B4"/>
    <w:rsid w:val="002F32AA"/>
    <w:rsid w:val="002F3336"/>
    <w:rsid w:val="002F333B"/>
    <w:rsid w:val="002F3356"/>
    <w:rsid w:val="002F3413"/>
    <w:rsid w:val="002F3430"/>
    <w:rsid w:val="002F344C"/>
    <w:rsid w:val="002F3552"/>
    <w:rsid w:val="002F3590"/>
    <w:rsid w:val="002F35E6"/>
    <w:rsid w:val="002F367F"/>
    <w:rsid w:val="002F3699"/>
    <w:rsid w:val="002F36DC"/>
    <w:rsid w:val="002F3705"/>
    <w:rsid w:val="002F37C3"/>
    <w:rsid w:val="002F37F0"/>
    <w:rsid w:val="002F3807"/>
    <w:rsid w:val="002F381B"/>
    <w:rsid w:val="002F3833"/>
    <w:rsid w:val="002F3841"/>
    <w:rsid w:val="002F38A4"/>
    <w:rsid w:val="002F38A9"/>
    <w:rsid w:val="002F3905"/>
    <w:rsid w:val="002F3926"/>
    <w:rsid w:val="002F3940"/>
    <w:rsid w:val="002F3978"/>
    <w:rsid w:val="002F3B12"/>
    <w:rsid w:val="002F3B5B"/>
    <w:rsid w:val="002F3B8E"/>
    <w:rsid w:val="002F3BA0"/>
    <w:rsid w:val="002F3BE8"/>
    <w:rsid w:val="002F3C13"/>
    <w:rsid w:val="002F3C19"/>
    <w:rsid w:val="002F3C8D"/>
    <w:rsid w:val="002F3CDD"/>
    <w:rsid w:val="002F3CE9"/>
    <w:rsid w:val="002F3CFD"/>
    <w:rsid w:val="002F3D2F"/>
    <w:rsid w:val="002F3D78"/>
    <w:rsid w:val="002F3DA8"/>
    <w:rsid w:val="002F3DD3"/>
    <w:rsid w:val="002F3DF0"/>
    <w:rsid w:val="002F3DF7"/>
    <w:rsid w:val="002F3E21"/>
    <w:rsid w:val="002F3E7E"/>
    <w:rsid w:val="002F3E7F"/>
    <w:rsid w:val="002F3F51"/>
    <w:rsid w:val="002F4049"/>
    <w:rsid w:val="002F4060"/>
    <w:rsid w:val="002F406B"/>
    <w:rsid w:val="002F40A7"/>
    <w:rsid w:val="002F40FF"/>
    <w:rsid w:val="002F4138"/>
    <w:rsid w:val="002F4186"/>
    <w:rsid w:val="002F41CA"/>
    <w:rsid w:val="002F41E1"/>
    <w:rsid w:val="002F41F5"/>
    <w:rsid w:val="002F4252"/>
    <w:rsid w:val="002F4256"/>
    <w:rsid w:val="002F4285"/>
    <w:rsid w:val="002F43A7"/>
    <w:rsid w:val="002F43A8"/>
    <w:rsid w:val="002F441C"/>
    <w:rsid w:val="002F444A"/>
    <w:rsid w:val="002F4473"/>
    <w:rsid w:val="002F44D6"/>
    <w:rsid w:val="002F455B"/>
    <w:rsid w:val="002F4597"/>
    <w:rsid w:val="002F45AD"/>
    <w:rsid w:val="002F465A"/>
    <w:rsid w:val="002F4676"/>
    <w:rsid w:val="002F467D"/>
    <w:rsid w:val="002F46AA"/>
    <w:rsid w:val="002F46AE"/>
    <w:rsid w:val="002F46B5"/>
    <w:rsid w:val="002F46C0"/>
    <w:rsid w:val="002F470B"/>
    <w:rsid w:val="002F4719"/>
    <w:rsid w:val="002F478D"/>
    <w:rsid w:val="002F47FF"/>
    <w:rsid w:val="002F482A"/>
    <w:rsid w:val="002F4848"/>
    <w:rsid w:val="002F4862"/>
    <w:rsid w:val="002F489F"/>
    <w:rsid w:val="002F48C5"/>
    <w:rsid w:val="002F48C9"/>
    <w:rsid w:val="002F48DD"/>
    <w:rsid w:val="002F48EB"/>
    <w:rsid w:val="002F48FA"/>
    <w:rsid w:val="002F4956"/>
    <w:rsid w:val="002F49A0"/>
    <w:rsid w:val="002F49C0"/>
    <w:rsid w:val="002F49C9"/>
    <w:rsid w:val="002F4B2F"/>
    <w:rsid w:val="002F4B33"/>
    <w:rsid w:val="002F4BBC"/>
    <w:rsid w:val="002F4BC1"/>
    <w:rsid w:val="002F4C11"/>
    <w:rsid w:val="002F4C34"/>
    <w:rsid w:val="002F4CA7"/>
    <w:rsid w:val="002F4D16"/>
    <w:rsid w:val="002F4D26"/>
    <w:rsid w:val="002F4D81"/>
    <w:rsid w:val="002F4E04"/>
    <w:rsid w:val="002F4E40"/>
    <w:rsid w:val="002F4E9F"/>
    <w:rsid w:val="002F4ECC"/>
    <w:rsid w:val="002F4F63"/>
    <w:rsid w:val="002F4F7D"/>
    <w:rsid w:val="002F4F85"/>
    <w:rsid w:val="002F4FC1"/>
    <w:rsid w:val="002F4FD8"/>
    <w:rsid w:val="002F5093"/>
    <w:rsid w:val="002F5095"/>
    <w:rsid w:val="002F50B7"/>
    <w:rsid w:val="002F50F7"/>
    <w:rsid w:val="002F5105"/>
    <w:rsid w:val="002F510F"/>
    <w:rsid w:val="002F5119"/>
    <w:rsid w:val="002F513C"/>
    <w:rsid w:val="002F5158"/>
    <w:rsid w:val="002F515B"/>
    <w:rsid w:val="002F5173"/>
    <w:rsid w:val="002F51CE"/>
    <w:rsid w:val="002F51D9"/>
    <w:rsid w:val="002F52F3"/>
    <w:rsid w:val="002F5300"/>
    <w:rsid w:val="002F5320"/>
    <w:rsid w:val="002F5364"/>
    <w:rsid w:val="002F5368"/>
    <w:rsid w:val="002F5372"/>
    <w:rsid w:val="002F53B6"/>
    <w:rsid w:val="002F53C8"/>
    <w:rsid w:val="002F541D"/>
    <w:rsid w:val="002F5433"/>
    <w:rsid w:val="002F5437"/>
    <w:rsid w:val="002F5545"/>
    <w:rsid w:val="002F5564"/>
    <w:rsid w:val="002F557D"/>
    <w:rsid w:val="002F55C7"/>
    <w:rsid w:val="002F55ED"/>
    <w:rsid w:val="002F5666"/>
    <w:rsid w:val="002F56A1"/>
    <w:rsid w:val="002F576C"/>
    <w:rsid w:val="002F579F"/>
    <w:rsid w:val="002F57FE"/>
    <w:rsid w:val="002F5842"/>
    <w:rsid w:val="002F595A"/>
    <w:rsid w:val="002F59F1"/>
    <w:rsid w:val="002F5A01"/>
    <w:rsid w:val="002F5BCD"/>
    <w:rsid w:val="002F5BE0"/>
    <w:rsid w:val="002F5BE4"/>
    <w:rsid w:val="002F5BF7"/>
    <w:rsid w:val="002F5C10"/>
    <w:rsid w:val="002F5C34"/>
    <w:rsid w:val="002F5C4E"/>
    <w:rsid w:val="002F5C69"/>
    <w:rsid w:val="002F5CAF"/>
    <w:rsid w:val="002F5DF6"/>
    <w:rsid w:val="002F5E4F"/>
    <w:rsid w:val="002F5EE1"/>
    <w:rsid w:val="002F5EEB"/>
    <w:rsid w:val="002F5F52"/>
    <w:rsid w:val="002F5FFB"/>
    <w:rsid w:val="002F603D"/>
    <w:rsid w:val="002F6044"/>
    <w:rsid w:val="002F6046"/>
    <w:rsid w:val="002F60D4"/>
    <w:rsid w:val="002F612D"/>
    <w:rsid w:val="002F626F"/>
    <w:rsid w:val="002F639D"/>
    <w:rsid w:val="002F63E1"/>
    <w:rsid w:val="002F640C"/>
    <w:rsid w:val="002F6476"/>
    <w:rsid w:val="002F64B6"/>
    <w:rsid w:val="002F6503"/>
    <w:rsid w:val="002F6516"/>
    <w:rsid w:val="002F6550"/>
    <w:rsid w:val="002F6556"/>
    <w:rsid w:val="002F658C"/>
    <w:rsid w:val="002F6618"/>
    <w:rsid w:val="002F66B3"/>
    <w:rsid w:val="002F66C3"/>
    <w:rsid w:val="002F6781"/>
    <w:rsid w:val="002F6864"/>
    <w:rsid w:val="002F695B"/>
    <w:rsid w:val="002F696B"/>
    <w:rsid w:val="002F6986"/>
    <w:rsid w:val="002F69C4"/>
    <w:rsid w:val="002F6BE8"/>
    <w:rsid w:val="002F6C02"/>
    <w:rsid w:val="002F6CD5"/>
    <w:rsid w:val="002F6D2C"/>
    <w:rsid w:val="002F6D80"/>
    <w:rsid w:val="002F6DE6"/>
    <w:rsid w:val="002F6DF1"/>
    <w:rsid w:val="002F6E26"/>
    <w:rsid w:val="002F6E49"/>
    <w:rsid w:val="002F6E56"/>
    <w:rsid w:val="002F6E70"/>
    <w:rsid w:val="002F6E78"/>
    <w:rsid w:val="002F6E7C"/>
    <w:rsid w:val="002F6E9D"/>
    <w:rsid w:val="002F6EBE"/>
    <w:rsid w:val="002F6EBF"/>
    <w:rsid w:val="002F6F70"/>
    <w:rsid w:val="002F6FE7"/>
    <w:rsid w:val="002F7056"/>
    <w:rsid w:val="002F70B7"/>
    <w:rsid w:val="002F7198"/>
    <w:rsid w:val="002F71B0"/>
    <w:rsid w:val="002F71CD"/>
    <w:rsid w:val="002F71D7"/>
    <w:rsid w:val="002F72CE"/>
    <w:rsid w:val="002F72FD"/>
    <w:rsid w:val="002F7349"/>
    <w:rsid w:val="002F738A"/>
    <w:rsid w:val="002F74B0"/>
    <w:rsid w:val="002F74BE"/>
    <w:rsid w:val="002F7507"/>
    <w:rsid w:val="002F75E6"/>
    <w:rsid w:val="002F764B"/>
    <w:rsid w:val="002F76C6"/>
    <w:rsid w:val="002F7709"/>
    <w:rsid w:val="002F7787"/>
    <w:rsid w:val="002F7816"/>
    <w:rsid w:val="002F7839"/>
    <w:rsid w:val="002F785F"/>
    <w:rsid w:val="002F7872"/>
    <w:rsid w:val="002F79A6"/>
    <w:rsid w:val="002F79A9"/>
    <w:rsid w:val="002F79D0"/>
    <w:rsid w:val="002F79E4"/>
    <w:rsid w:val="002F7A8C"/>
    <w:rsid w:val="002F7BDC"/>
    <w:rsid w:val="002F7C59"/>
    <w:rsid w:val="002F7CAA"/>
    <w:rsid w:val="002F7CB7"/>
    <w:rsid w:val="002F7CE5"/>
    <w:rsid w:val="002F7D56"/>
    <w:rsid w:val="002F7DFA"/>
    <w:rsid w:val="002F7E4F"/>
    <w:rsid w:val="002F7F20"/>
    <w:rsid w:val="002F7F33"/>
    <w:rsid w:val="002F7F4E"/>
    <w:rsid w:val="002F7FA9"/>
    <w:rsid w:val="002F7FF2"/>
    <w:rsid w:val="002FB215"/>
    <w:rsid w:val="00300049"/>
    <w:rsid w:val="003000A2"/>
    <w:rsid w:val="00300106"/>
    <w:rsid w:val="0030010E"/>
    <w:rsid w:val="0030012C"/>
    <w:rsid w:val="00300195"/>
    <w:rsid w:val="003001E0"/>
    <w:rsid w:val="003001E9"/>
    <w:rsid w:val="003001F8"/>
    <w:rsid w:val="00300336"/>
    <w:rsid w:val="003003B5"/>
    <w:rsid w:val="00300480"/>
    <w:rsid w:val="00300481"/>
    <w:rsid w:val="003004AE"/>
    <w:rsid w:val="003004D2"/>
    <w:rsid w:val="003004E8"/>
    <w:rsid w:val="0030052A"/>
    <w:rsid w:val="00300601"/>
    <w:rsid w:val="0030066E"/>
    <w:rsid w:val="003006A1"/>
    <w:rsid w:val="0030072D"/>
    <w:rsid w:val="00300745"/>
    <w:rsid w:val="00300768"/>
    <w:rsid w:val="00300784"/>
    <w:rsid w:val="003007B0"/>
    <w:rsid w:val="003007E6"/>
    <w:rsid w:val="003007EE"/>
    <w:rsid w:val="00300876"/>
    <w:rsid w:val="0030089C"/>
    <w:rsid w:val="003008BE"/>
    <w:rsid w:val="003008F8"/>
    <w:rsid w:val="00300927"/>
    <w:rsid w:val="00300953"/>
    <w:rsid w:val="00300954"/>
    <w:rsid w:val="00300955"/>
    <w:rsid w:val="00300976"/>
    <w:rsid w:val="00300A56"/>
    <w:rsid w:val="00300A87"/>
    <w:rsid w:val="00300B09"/>
    <w:rsid w:val="00300B28"/>
    <w:rsid w:val="00300B44"/>
    <w:rsid w:val="00300BDD"/>
    <w:rsid w:val="00300BE0"/>
    <w:rsid w:val="00300BF2"/>
    <w:rsid w:val="00300C37"/>
    <w:rsid w:val="00300C73"/>
    <w:rsid w:val="00300CBB"/>
    <w:rsid w:val="00300CFF"/>
    <w:rsid w:val="00300DB4"/>
    <w:rsid w:val="00300E17"/>
    <w:rsid w:val="00300F11"/>
    <w:rsid w:val="00300F7F"/>
    <w:rsid w:val="00300F88"/>
    <w:rsid w:val="00300FF4"/>
    <w:rsid w:val="00301051"/>
    <w:rsid w:val="0030107E"/>
    <w:rsid w:val="003010E5"/>
    <w:rsid w:val="003010EC"/>
    <w:rsid w:val="003011E1"/>
    <w:rsid w:val="00301202"/>
    <w:rsid w:val="0030123C"/>
    <w:rsid w:val="00301277"/>
    <w:rsid w:val="003012B5"/>
    <w:rsid w:val="00301305"/>
    <w:rsid w:val="00301311"/>
    <w:rsid w:val="003013B2"/>
    <w:rsid w:val="00301416"/>
    <w:rsid w:val="00301436"/>
    <w:rsid w:val="003014A3"/>
    <w:rsid w:val="003014A4"/>
    <w:rsid w:val="003014AE"/>
    <w:rsid w:val="003014C1"/>
    <w:rsid w:val="003014C8"/>
    <w:rsid w:val="00301507"/>
    <w:rsid w:val="0030151C"/>
    <w:rsid w:val="00301599"/>
    <w:rsid w:val="003015AC"/>
    <w:rsid w:val="003015DA"/>
    <w:rsid w:val="00301665"/>
    <w:rsid w:val="0030169F"/>
    <w:rsid w:val="003016B7"/>
    <w:rsid w:val="003016BC"/>
    <w:rsid w:val="0030172B"/>
    <w:rsid w:val="0030173F"/>
    <w:rsid w:val="003018ED"/>
    <w:rsid w:val="00301A54"/>
    <w:rsid w:val="00301A6E"/>
    <w:rsid w:val="00301A71"/>
    <w:rsid w:val="00301AD1"/>
    <w:rsid w:val="00301ADF"/>
    <w:rsid w:val="00301B6F"/>
    <w:rsid w:val="00301B8C"/>
    <w:rsid w:val="00301BF3"/>
    <w:rsid w:val="00301C0D"/>
    <w:rsid w:val="00301C43"/>
    <w:rsid w:val="00301C7D"/>
    <w:rsid w:val="00301CA8"/>
    <w:rsid w:val="00301CB0"/>
    <w:rsid w:val="00301D1A"/>
    <w:rsid w:val="00301E23"/>
    <w:rsid w:val="00301ECA"/>
    <w:rsid w:val="00301F29"/>
    <w:rsid w:val="00301F40"/>
    <w:rsid w:val="00301F45"/>
    <w:rsid w:val="00301FB3"/>
    <w:rsid w:val="00302007"/>
    <w:rsid w:val="00302068"/>
    <w:rsid w:val="00302093"/>
    <w:rsid w:val="003020E9"/>
    <w:rsid w:val="003020EC"/>
    <w:rsid w:val="00302188"/>
    <w:rsid w:val="0030218E"/>
    <w:rsid w:val="0030219E"/>
    <w:rsid w:val="003021AD"/>
    <w:rsid w:val="003021F8"/>
    <w:rsid w:val="00302230"/>
    <w:rsid w:val="00302252"/>
    <w:rsid w:val="0030239E"/>
    <w:rsid w:val="00302469"/>
    <w:rsid w:val="00302568"/>
    <w:rsid w:val="0030256C"/>
    <w:rsid w:val="003025C2"/>
    <w:rsid w:val="00302638"/>
    <w:rsid w:val="0030268B"/>
    <w:rsid w:val="00302695"/>
    <w:rsid w:val="003026A7"/>
    <w:rsid w:val="003026F8"/>
    <w:rsid w:val="003026FF"/>
    <w:rsid w:val="00302730"/>
    <w:rsid w:val="00302738"/>
    <w:rsid w:val="003027B5"/>
    <w:rsid w:val="00302813"/>
    <w:rsid w:val="0030289B"/>
    <w:rsid w:val="003028FC"/>
    <w:rsid w:val="00302902"/>
    <w:rsid w:val="00302979"/>
    <w:rsid w:val="003029E0"/>
    <w:rsid w:val="00302A27"/>
    <w:rsid w:val="00302A30"/>
    <w:rsid w:val="00302A51"/>
    <w:rsid w:val="00302A68"/>
    <w:rsid w:val="00302B0D"/>
    <w:rsid w:val="00302B3F"/>
    <w:rsid w:val="00302BA3"/>
    <w:rsid w:val="00302BE2"/>
    <w:rsid w:val="00302BF6"/>
    <w:rsid w:val="00302C0B"/>
    <w:rsid w:val="00302C91"/>
    <w:rsid w:val="00302C9E"/>
    <w:rsid w:val="00302CA1"/>
    <w:rsid w:val="00302D5C"/>
    <w:rsid w:val="00302D64"/>
    <w:rsid w:val="00302E39"/>
    <w:rsid w:val="00302E6B"/>
    <w:rsid w:val="00302E9E"/>
    <w:rsid w:val="00302F6D"/>
    <w:rsid w:val="00302FD6"/>
    <w:rsid w:val="00302FE1"/>
    <w:rsid w:val="00303079"/>
    <w:rsid w:val="003030A2"/>
    <w:rsid w:val="003030D8"/>
    <w:rsid w:val="003030F0"/>
    <w:rsid w:val="0030310F"/>
    <w:rsid w:val="00303199"/>
    <w:rsid w:val="003031C4"/>
    <w:rsid w:val="00303213"/>
    <w:rsid w:val="0030322B"/>
    <w:rsid w:val="00303234"/>
    <w:rsid w:val="00303247"/>
    <w:rsid w:val="003032F5"/>
    <w:rsid w:val="00303323"/>
    <w:rsid w:val="0030333E"/>
    <w:rsid w:val="0030335B"/>
    <w:rsid w:val="0030339D"/>
    <w:rsid w:val="00303437"/>
    <w:rsid w:val="0030344D"/>
    <w:rsid w:val="00303476"/>
    <w:rsid w:val="0030351B"/>
    <w:rsid w:val="003035E7"/>
    <w:rsid w:val="0030366D"/>
    <w:rsid w:val="00303677"/>
    <w:rsid w:val="003036A0"/>
    <w:rsid w:val="003036A5"/>
    <w:rsid w:val="00303768"/>
    <w:rsid w:val="003037AF"/>
    <w:rsid w:val="00303805"/>
    <w:rsid w:val="00303844"/>
    <w:rsid w:val="003038C7"/>
    <w:rsid w:val="00303956"/>
    <w:rsid w:val="00303974"/>
    <w:rsid w:val="00303A10"/>
    <w:rsid w:val="00303A6C"/>
    <w:rsid w:val="00303B2A"/>
    <w:rsid w:val="00303C08"/>
    <w:rsid w:val="00303C2C"/>
    <w:rsid w:val="00303C31"/>
    <w:rsid w:val="00303CFA"/>
    <w:rsid w:val="00303D0A"/>
    <w:rsid w:val="00303D7A"/>
    <w:rsid w:val="00303D89"/>
    <w:rsid w:val="00303D94"/>
    <w:rsid w:val="00303DCF"/>
    <w:rsid w:val="00303DD0"/>
    <w:rsid w:val="00303E4D"/>
    <w:rsid w:val="00303E84"/>
    <w:rsid w:val="00303E85"/>
    <w:rsid w:val="00303EDE"/>
    <w:rsid w:val="00303EE5"/>
    <w:rsid w:val="00303EF2"/>
    <w:rsid w:val="00303F01"/>
    <w:rsid w:val="00303F48"/>
    <w:rsid w:val="00303F7D"/>
    <w:rsid w:val="00303FCE"/>
    <w:rsid w:val="00303FE8"/>
    <w:rsid w:val="00303FEA"/>
    <w:rsid w:val="0030408C"/>
    <w:rsid w:val="003040D3"/>
    <w:rsid w:val="003040E6"/>
    <w:rsid w:val="003040FD"/>
    <w:rsid w:val="003041F3"/>
    <w:rsid w:val="00304232"/>
    <w:rsid w:val="0030432F"/>
    <w:rsid w:val="00304331"/>
    <w:rsid w:val="0030433E"/>
    <w:rsid w:val="00304359"/>
    <w:rsid w:val="0030436F"/>
    <w:rsid w:val="0030437F"/>
    <w:rsid w:val="003043CE"/>
    <w:rsid w:val="00304448"/>
    <w:rsid w:val="0030445C"/>
    <w:rsid w:val="0030453B"/>
    <w:rsid w:val="00304560"/>
    <w:rsid w:val="003045DA"/>
    <w:rsid w:val="003045E4"/>
    <w:rsid w:val="003045F1"/>
    <w:rsid w:val="00304624"/>
    <w:rsid w:val="0030467F"/>
    <w:rsid w:val="0030469E"/>
    <w:rsid w:val="00304823"/>
    <w:rsid w:val="0030489E"/>
    <w:rsid w:val="00304A15"/>
    <w:rsid w:val="00304A62"/>
    <w:rsid w:val="00304A75"/>
    <w:rsid w:val="00304A78"/>
    <w:rsid w:val="00304A90"/>
    <w:rsid w:val="00304A91"/>
    <w:rsid w:val="00304A9D"/>
    <w:rsid w:val="00304ABA"/>
    <w:rsid w:val="00304ACF"/>
    <w:rsid w:val="00304C33"/>
    <w:rsid w:val="00304CD1"/>
    <w:rsid w:val="00304CE2"/>
    <w:rsid w:val="00304D75"/>
    <w:rsid w:val="00304DBD"/>
    <w:rsid w:val="00304E63"/>
    <w:rsid w:val="00304E8B"/>
    <w:rsid w:val="00304F12"/>
    <w:rsid w:val="00304FF0"/>
    <w:rsid w:val="00305062"/>
    <w:rsid w:val="00305068"/>
    <w:rsid w:val="00305099"/>
    <w:rsid w:val="003050AF"/>
    <w:rsid w:val="003050D7"/>
    <w:rsid w:val="003050FC"/>
    <w:rsid w:val="003050FE"/>
    <w:rsid w:val="0030511B"/>
    <w:rsid w:val="00305132"/>
    <w:rsid w:val="00305167"/>
    <w:rsid w:val="00305189"/>
    <w:rsid w:val="0030519C"/>
    <w:rsid w:val="003051AD"/>
    <w:rsid w:val="0030520D"/>
    <w:rsid w:val="00305227"/>
    <w:rsid w:val="003052D2"/>
    <w:rsid w:val="003052F7"/>
    <w:rsid w:val="0030532E"/>
    <w:rsid w:val="00305438"/>
    <w:rsid w:val="00305450"/>
    <w:rsid w:val="003054E4"/>
    <w:rsid w:val="003054F1"/>
    <w:rsid w:val="003054F4"/>
    <w:rsid w:val="00305525"/>
    <w:rsid w:val="00305530"/>
    <w:rsid w:val="00305540"/>
    <w:rsid w:val="003055DC"/>
    <w:rsid w:val="003055E2"/>
    <w:rsid w:val="00305603"/>
    <w:rsid w:val="00305675"/>
    <w:rsid w:val="00305690"/>
    <w:rsid w:val="003056D3"/>
    <w:rsid w:val="003058E8"/>
    <w:rsid w:val="003058F2"/>
    <w:rsid w:val="00305911"/>
    <w:rsid w:val="0030592C"/>
    <w:rsid w:val="00305933"/>
    <w:rsid w:val="003059F2"/>
    <w:rsid w:val="00305A29"/>
    <w:rsid w:val="00305AF6"/>
    <w:rsid w:val="00305BD4"/>
    <w:rsid w:val="00305BD5"/>
    <w:rsid w:val="00305BDF"/>
    <w:rsid w:val="00305C1C"/>
    <w:rsid w:val="00305D44"/>
    <w:rsid w:val="00305E27"/>
    <w:rsid w:val="00305E58"/>
    <w:rsid w:val="00305E7A"/>
    <w:rsid w:val="00305E9A"/>
    <w:rsid w:val="00305F46"/>
    <w:rsid w:val="00305F65"/>
    <w:rsid w:val="00306057"/>
    <w:rsid w:val="003060BE"/>
    <w:rsid w:val="003060EE"/>
    <w:rsid w:val="00306104"/>
    <w:rsid w:val="0030614B"/>
    <w:rsid w:val="00306198"/>
    <w:rsid w:val="003061EA"/>
    <w:rsid w:val="00306245"/>
    <w:rsid w:val="003062EE"/>
    <w:rsid w:val="00306304"/>
    <w:rsid w:val="00306412"/>
    <w:rsid w:val="0030641A"/>
    <w:rsid w:val="0030645D"/>
    <w:rsid w:val="0030647A"/>
    <w:rsid w:val="003065F1"/>
    <w:rsid w:val="003065F6"/>
    <w:rsid w:val="00306625"/>
    <w:rsid w:val="00306660"/>
    <w:rsid w:val="003066C0"/>
    <w:rsid w:val="003066CC"/>
    <w:rsid w:val="003066F8"/>
    <w:rsid w:val="00306743"/>
    <w:rsid w:val="00306747"/>
    <w:rsid w:val="003067F3"/>
    <w:rsid w:val="003069F6"/>
    <w:rsid w:val="003069FA"/>
    <w:rsid w:val="00306A3A"/>
    <w:rsid w:val="00306A72"/>
    <w:rsid w:val="00306AE9"/>
    <w:rsid w:val="00306B48"/>
    <w:rsid w:val="00306B74"/>
    <w:rsid w:val="00306BF0"/>
    <w:rsid w:val="00306C5D"/>
    <w:rsid w:val="00306C7C"/>
    <w:rsid w:val="00306C84"/>
    <w:rsid w:val="00306CB1"/>
    <w:rsid w:val="00306D21"/>
    <w:rsid w:val="00306D4F"/>
    <w:rsid w:val="00306D75"/>
    <w:rsid w:val="00306D82"/>
    <w:rsid w:val="00306D86"/>
    <w:rsid w:val="00306DCA"/>
    <w:rsid w:val="00306DFC"/>
    <w:rsid w:val="00306EA9"/>
    <w:rsid w:val="00306ECA"/>
    <w:rsid w:val="00306ED9"/>
    <w:rsid w:val="00306F00"/>
    <w:rsid w:val="00306FBE"/>
    <w:rsid w:val="00306FE9"/>
    <w:rsid w:val="00307006"/>
    <w:rsid w:val="00307009"/>
    <w:rsid w:val="00307096"/>
    <w:rsid w:val="003070B4"/>
    <w:rsid w:val="003071A2"/>
    <w:rsid w:val="003071B6"/>
    <w:rsid w:val="003071C1"/>
    <w:rsid w:val="003071FE"/>
    <w:rsid w:val="00307249"/>
    <w:rsid w:val="0030724C"/>
    <w:rsid w:val="0030726F"/>
    <w:rsid w:val="003072AE"/>
    <w:rsid w:val="003072BB"/>
    <w:rsid w:val="003072ED"/>
    <w:rsid w:val="0030748A"/>
    <w:rsid w:val="003074EF"/>
    <w:rsid w:val="00307501"/>
    <w:rsid w:val="00307519"/>
    <w:rsid w:val="00307522"/>
    <w:rsid w:val="0030755F"/>
    <w:rsid w:val="003075D9"/>
    <w:rsid w:val="00307695"/>
    <w:rsid w:val="00307726"/>
    <w:rsid w:val="00307733"/>
    <w:rsid w:val="003077E4"/>
    <w:rsid w:val="003077F2"/>
    <w:rsid w:val="0030780B"/>
    <w:rsid w:val="00307935"/>
    <w:rsid w:val="0030794C"/>
    <w:rsid w:val="00307987"/>
    <w:rsid w:val="003079EC"/>
    <w:rsid w:val="003079F5"/>
    <w:rsid w:val="00307A22"/>
    <w:rsid w:val="00307AA5"/>
    <w:rsid w:val="00307B23"/>
    <w:rsid w:val="00307B2C"/>
    <w:rsid w:val="00307BC2"/>
    <w:rsid w:val="00307BEA"/>
    <w:rsid w:val="00307C01"/>
    <w:rsid w:val="00307C90"/>
    <w:rsid w:val="00307CD6"/>
    <w:rsid w:val="00307DFB"/>
    <w:rsid w:val="00307E03"/>
    <w:rsid w:val="00307E3A"/>
    <w:rsid w:val="00307E67"/>
    <w:rsid w:val="00307EA9"/>
    <w:rsid w:val="00307EE5"/>
    <w:rsid w:val="00307F43"/>
    <w:rsid w:val="003100F0"/>
    <w:rsid w:val="0031017B"/>
    <w:rsid w:val="003101FC"/>
    <w:rsid w:val="0031021A"/>
    <w:rsid w:val="0031028F"/>
    <w:rsid w:val="003103A3"/>
    <w:rsid w:val="003103F1"/>
    <w:rsid w:val="0031048D"/>
    <w:rsid w:val="003104D8"/>
    <w:rsid w:val="003104FD"/>
    <w:rsid w:val="0031055E"/>
    <w:rsid w:val="0031058B"/>
    <w:rsid w:val="0031058E"/>
    <w:rsid w:val="00310593"/>
    <w:rsid w:val="00310616"/>
    <w:rsid w:val="00310635"/>
    <w:rsid w:val="00310703"/>
    <w:rsid w:val="003107C9"/>
    <w:rsid w:val="003107DF"/>
    <w:rsid w:val="003107E9"/>
    <w:rsid w:val="00310839"/>
    <w:rsid w:val="0031087D"/>
    <w:rsid w:val="00310883"/>
    <w:rsid w:val="00310894"/>
    <w:rsid w:val="00310948"/>
    <w:rsid w:val="0031095E"/>
    <w:rsid w:val="00310995"/>
    <w:rsid w:val="00310998"/>
    <w:rsid w:val="003109EA"/>
    <w:rsid w:val="003109F3"/>
    <w:rsid w:val="00310B25"/>
    <w:rsid w:val="00310B37"/>
    <w:rsid w:val="00310B9A"/>
    <w:rsid w:val="00310BE7"/>
    <w:rsid w:val="00310BFC"/>
    <w:rsid w:val="00310C15"/>
    <w:rsid w:val="00310C22"/>
    <w:rsid w:val="00310C9A"/>
    <w:rsid w:val="00310CD1"/>
    <w:rsid w:val="00310CE2"/>
    <w:rsid w:val="00310D05"/>
    <w:rsid w:val="00310D08"/>
    <w:rsid w:val="00310D4F"/>
    <w:rsid w:val="00310E4B"/>
    <w:rsid w:val="00310E66"/>
    <w:rsid w:val="00310EE5"/>
    <w:rsid w:val="00310EF4"/>
    <w:rsid w:val="00310F0E"/>
    <w:rsid w:val="00310F5A"/>
    <w:rsid w:val="00311036"/>
    <w:rsid w:val="003110A9"/>
    <w:rsid w:val="003110B2"/>
    <w:rsid w:val="00311148"/>
    <w:rsid w:val="003111CA"/>
    <w:rsid w:val="003111E9"/>
    <w:rsid w:val="00311221"/>
    <w:rsid w:val="003112CC"/>
    <w:rsid w:val="0031133F"/>
    <w:rsid w:val="00311378"/>
    <w:rsid w:val="003113FC"/>
    <w:rsid w:val="0031143C"/>
    <w:rsid w:val="0031147F"/>
    <w:rsid w:val="00311480"/>
    <w:rsid w:val="003114BF"/>
    <w:rsid w:val="003114E3"/>
    <w:rsid w:val="0031150B"/>
    <w:rsid w:val="00311526"/>
    <w:rsid w:val="00311538"/>
    <w:rsid w:val="0031153F"/>
    <w:rsid w:val="0031158D"/>
    <w:rsid w:val="003115EB"/>
    <w:rsid w:val="00311687"/>
    <w:rsid w:val="003116C0"/>
    <w:rsid w:val="003116EC"/>
    <w:rsid w:val="003116F3"/>
    <w:rsid w:val="00311726"/>
    <w:rsid w:val="00311786"/>
    <w:rsid w:val="0031178A"/>
    <w:rsid w:val="003117D0"/>
    <w:rsid w:val="003117E2"/>
    <w:rsid w:val="00311819"/>
    <w:rsid w:val="0031183F"/>
    <w:rsid w:val="00311850"/>
    <w:rsid w:val="003118A6"/>
    <w:rsid w:val="003118B3"/>
    <w:rsid w:val="003118F3"/>
    <w:rsid w:val="0031191B"/>
    <w:rsid w:val="00311933"/>
    <w:rsid w:val="0031193A"/>
    <w:rsid w:val="0031193D"/>
    <w:rsid w:val="00311AAC"/>
    <w:rsid w:val="00311BE4"/>
    <w:rsid w:val="00311BF7"/>
    <w:rsid w:val="00311C28"/>
    <w:rsid w:val="00311C6E"/>
    <w:rsid w:val="00311CDB"/>
    <w:rsid w:val="00311D1F"/>
    <w:rsid w:val="00311D7F"/>
    <w:rsid w:val="00311DFA"/>
    <w:rsid w:val="00311E73"/>
    <w:rsid w:val="00311EAD"/>
    <w:rsid w:val="00311EDB"/>
    <w:rsid w:val="00311F6D"/>
    <w:rsid w:val="00311F90"/>
    <w:rsid w:val="003120D9"/>
    <w:rsid w:val="003120EB"/>
    <w:rsid w:val="0031211A"/>
    <w:rsid w:val="003121B7"/>
    <w:rsid w:val="003121ED"/>
    <w:rsid w:val="00312226"/>
    <w:rsid w:val="0031223A"/>
    <w:rsid w:val="0031227C"/>
    <w:rsid w:val="003122B9"/>
    <w:rsid w:val="003122DE"/>
    <w:rsid w:val="00312321"/>
    <w:rsid w:val="0031232B"/>
    <w:rsid w:val="0031238A"/>
    <w:rsid w:val="003123A4"/>
    <w:rsid w:val="003123DC"/>
    <w:rsid w:val="003123EE"/>
    <w:rsid w:val="00312438"/>
    <w:rsid w:val="003124E2"/>
    <w:rsid w:val="00312510"/>
    <w:rsid w:val="003125AD"/>
    <w:rsid w:val="003125DC"/>
    <w:rsid w:val="003125E9"/>
    <w:rsid w:val="0031260B"/>
    <w:rsid w:val="00312744"/>
    <w:rsid w:val="003127A5"/>
    <w:rsid w:val="003127AE"/>
    <w:rsid w:val="003127F2"/>
    <w:rsid w:val="003127FE"/>
    <w:rsid w:val="00312880"/>
    <w:rsid w:val="003129AD"/>
    <w:rsid w:val="003129CE"/>
    <w:rsid w:val="00312A26"/>
    <w:rsid w:val="00312B15"/>
    <w:rsid w:val="00312B35"/>
    <w:rsid w:val="00312B72"/>
    <w:rsid w:val="00312C3D"/>
    <w:rsid w:val="00312D2C"/>
    <w:rsid w:val="00312D2F"/>
    <w:rsid w:val="00312D72"/>
    <w:rsid w:val="00312DDE"/>
    <w:rsid w:val="00312E4F"/>
    <w:rsid w:val="00312E5E"/>
    <w:rsid w:val="00312EA0"/>
    <w:rsid w:val="00312EB8"/>
    <w:rsid w:val="00312F44"/>
    <w:rsid w:val="00312F45"/>
    <w:rsid w:val="00312F5A"/>
    <w:rsid w:val="00313027"/>
    <w:rsid w:val="0031307F"/>
    <w:rsid w:val="003130AE"/>
    <w:rsid w:val="003130EB"/>
    <w:rsid w:val="00313112"/>
    <w:rsid w:val="003131A7"/>
    <w:rsid w:val="003131FA"/>
    <w:rsid w:val="0031321D"/>
    <w:rsid w:val="0031324D"/>
    <w:rsid w:val="0031326B"/>
    <w:rsid w:val="0031326D"/>
    <w:rsid w:val="0031333C"/>
    <w:rsid w:val="00313391"/>
    <w:rsid w:val="003133BE"/>
    <w:rsid w:val="00313435"/>
    <w:rsid w:val="003134D4"/>
    <w:rsid w:val="003134E1"/>
    <w:rsid w:val="003134EB"/>
    <w:rsid w:val="00313543"/>
    <w:rsid w:val="00313578"/>
    <w:rsid w:val="0031357E"/>
    <w:rsid w:val="0031358D"/>
    <w:rsid w:val="0031358F"/>
    <w:rsid w:val="00313669"/>
    <w:rsid w:val="0031377D"/>
    <w:rsid w:val="003137BA"/>
    <w:rsid w:val="003138F8"/>
    <w:rsid w:val="00313910"/>
    <w:rsid w:val="00313932"/>
    <w:rsid w:val="00313936"/>
    <w:rsid w:val="00313AC5"/>
    <w:rsid w:val="00313ACB"/>
    <w:rsid w:val="00313B0C"/>
    <w:rsid w:val="00313BBA"/>
    <w:rsid w:val="00313BE1"/>
    <w:rsid w:val="00313BE8"/>
    <w:rsid w:val="00313C73"/>
    <w:rsid w:val="00313CA5"/>
    <w:rsid w:val="00313CC5"/>
    <w:rsid w:val="00313D2C"/>
    <w:rsid w:val="00313D3A"/>
    <w:rsid w:val="00313DB8"/>
    <w:rsid w:val="00313E7A"/>
    <w:rsid w:val="00313F72"/>
    <w:rsid w:val="00314009"/>
    <w:rsid w:val="00314028"/>
    <w:rsid w:val="003140B7"/>
    <w:rsid w:val="003140BF"/>
    <w:rsid w:val="00314212"/>
    <w:rsid w:val="00314275"/>
    <w:rsid w:val="00314292"/>
    <w:rsid w:val="003142B4"/>
    <w:rsid w:val="003142E0"/>
    <w:rsid w:val="00314313"/>
    <w:rsid w:val="0031435E"/>
    <w:rsid w:val="003143BA"/>
    <w:rsid w:val="00314401"/>
    <w:rsid w:val="00314444"/>
    <w:rsid w:val="003144D4"/>
    <w:rsid w:val="0031454B"/>
    <w:rsid w:val="00314591"/>
    <w:rsid w:val="00314592"/>
    <w:rsid w:val="003145F7"/>
    <w:rsid w:val="003146E3"/>
    <w:rsid w:val="00314783"/>
    <w:rsid w:val="00314786"/>
    <w:rsid w:val="003147A4"/>
    <w:rsid w:val="003148A5"/>
    <w:rsid w:val="00314918"/>
    <w:rsid w:val="003149E2"/>
    <w:rsid w:val="00314B02"/>
    <w:rsid w:val="00314B5B"/>
    <w:rsid w:val="00314B7F"/>
    <w:rsid w:val="00314C27"/>
    <w:rsid w:val="00314C36"/>
    <w:rsid w:val="00314C46"/>
    <w:rsid w:val="00314C5D"/>
    <w:rsid w:val="00314C89"/>
    <w:rsid w:val="00314C9B"/>
    <w:rsid w:val="00314CCF"/>
    <w:rsid w:val="00314D0F"/>
    <w:rsid w:val="00314D11"/>
    <w:rsid w:val="00314D1A"/>
    <w:rsid w:val="00314E3C"/>
    <w:rsid w:val="00314E54"/>
    <w:rsid w:val="00314E77"/>
    <w:rsid w:val="00314FE5"/>
    <w:rsid w:val="0031502F"/>
    <w:rsid w:val="00315039"/>
    <w:rsid w:val="0031505C"/>
    <w:rsid w:val="00315073"/>
    <w:rsid w:val="00315084"/>
    <w:rsid w:val="00315088"/>
    <w:rsid w:val="003150B8"/>
    <w:rsid w:val="00315114"/>
    <w:rsid w:val="00315167"/>
    <w:rsid w:val="00315218"/>
    <w:rsid w:val="0031523F"/>
    <w:rsid w:val="0031527F"/>
    <w:rsid w:val="003152CA"/>
    <w:rsid w:val="003152FB"/>
    <w:rsid w:val="00315308"/>
    <w:rsid w:val="00315342"/>
    <w:rsid w:val="00315372"/>
    <w:rsid w:val="003153D2"/>
    <w:rsid w:val="00315455"/>
    <w:rsid w:val="003154C7"/>
    <w:rsid w:val="003154E9"/>
    <w:rsid w:val="00315519"/>
    <w:rsid w:val="00315572"/>
    <w:rsid w:val="00315588"/>
    <w:rsid w:val="003155FF"/>
    <w:rsid w:val="0031563D"/>
    <w:rsid w:val="0031566C"/>
    <w:rsid w:val="003156BD"/>
    <w:rsid w:val="003156DB"/>
    <w:rsid w:val="003156ED"/>
    <w:rsid w:val="00315755"/>
    <w:rsid w:val="003157E2"/>
    <w:rsid w:val="00315848"/>
    <w:rsid w:val="00315863"/>
    <w:rsid w:val="00315866"/>
    <w:rsid w:val="0031591B"/>
    <w:rsid w:val="00315934"/>
    <w:rsid w:val="00315939"/>
    <w:rsid w:val="00315943"/>
    <w:rsid w:val="00315A36"/>
    <w:rsid w:val="00315A72"/>
    <w:rsid w:val="00315AA9"/>
    <w:rsid w:val="00315B65"/>
    <w:rsid w:val="00315B94"/>
    <w:rsid w:val="00315B9E"/>
    <w:rsid w:val="00315BA6"/>
    <w:rsid w:val="00315BAF"/>
    <w:rsid w:val="00315BEB"/>
    <w:rsid w:val="00315C22"/>
    <w:rsid w:val="00315C2C"/>
    <w:rsid w:val="00315C82"/>
    <w:rsid w:val="00315CE3"/>
    <w:rsid w:val="00315D20"/>
    <w:rsid w:val="00315DAB"/>
    <w:rsid w:val="00315DC2"/>
    <w:rsid w:val="00315E1B"/>
    <w:rsid w:val="00315E7E"/>
    <w:rsid w:val="00315E85"/>
    <w:rsid w:val="00315F19"/>
    <w:rsid w:val="00315F35"/>
    <w:rsid w:val="00315FA3"/>
    <w:rsid w:val="00315FF0"/>
    <w:rsid w:val="0031609C"/>
    <w:rsid w:val="003160C5"/>
    <w:rsid w:val="0031611E"/>
    <w:rsid w:val="0031626E"/>
    <w:rsid w:val="003162C0"/>
    <w:rsid w:val="003162DF"/>
    <w:rsid w:val="00316314"/>
    <w:rsid w:val="00316316"/>
    <w:rsid w:val="00316362"/>
    <w:rsid w:val="003163FF"/>
    <w:rsid w:val="00316412"/>
    <w:rsid w:val="003164A7"/>
    <w:rsid w:val="003164FC"/>
    <w:rsid w:val="0031652E"/>
    <w:rsid w:val="00316563"/>
    <w:rsid w:val="00316573"/>
    <w:rsid w:val="00316574"/>
    <w:rsid w:val="003166AE"/>
    <w:rsid w:val="003166F5"/>
    <w:rsid w:val="00316716"/>
    <w:rsid w:val="00316746"/>
    <w:rsid w:val="00316767"/>
    <w:rsid w:val="003167F2"/>
    <w:rsid w:val="0031680A"/>
    <w:rsid w:val="00316861"/>
    <w:rsid w:val="00316883"/>
    <w:rsid w:val="00316899"/>
    <w:rsid w:val="00316954"/>
    <w:rsid w:val="00316989"/>
    <w:rsid w:val="003169F2"/>
    <w:rsid w:val="00316A21"/>
    <w:rsid w:val="00316A53"/>
    <w:rsid w:val="00316A5B"/>
    <w:rsid w:val="00316A87"/>
    <w:rsid w:val="00316A90"/>
    <w:rsid w:val="00316B68"/>
    <w:rsid w:val="00316C02"/>
    <w:rsid w:val="00316C96"/>
    <w:rsid w:val="00316C99"/>
    <w:rsid w:val="00316CC5"/>
    <w:rsid w:val="00316DC4"/>
    <w:rsid w:val="00316DD5"/>
    <w:rsid w:val="00316DEB"/>
    <w:rsid w:val="00316E6C"/>
    <w:rsid w:val="00316EFF"/>
    <w:rsid w:val="00316F23"/>
    <w:rsid w:val="00316F2C"/>
    <w:rsid w:val="00316FA9"/>
    <w:rsid w:val="00316FC8"/>
    <w:rsid w:val="00317009"/>
    <w:rsid w:val="00317063"/>
    <w:rsid w:val="003170BB"/>
    <w:rsid w:val="0031711A"/>
    <w:rsid w:val="0031719F"/>
    <w:rsid w:val="003171AB"/>
    <w:rsid w:val="003171D5"/>
    <w:rsid w:val="0031721C"/>
    <w:rsid w:val="00317253"/>
    <w:rsid w:val="003172BD"/>
    <w:rsid w:val="0031737B"/>
    <w:rsid w:val="0031738F"/>
    <w:rsid w:val="003173F0"/>
    <w:rsid w:val="00317515"/>
    <w:rsid w:val="0031756F"/>
    <w:rsid w:val="00317684"/>
    <w:rsid w:val="003176D4"/>
    <w:rsid w:val="00317705"/>
    <w:rsid w:val="00317763"/>
    <w:rsid w:val="0031777E"/>
    <w:rsid w:val="003177BA"/>
    <w:rsid w:val="003177D8"/>
    <w:rsid w:val="003177F2"/>
    <w:rsid w:val="003178D2"/>
    <w:rsid w:val="003178E6"/>
    <w:rsid w:val="0031791C"/>
    <w:rsid w:val="0031798C"/>
    <w:rsid w:val="0031798E"/>
    <w:rsid w:val="00317990"/>
    <w:rsid w:val="00317A0E"/>
    <w:rsid w:val="00317A74"/>
    <w:rsid w:val="00317AC2"/>
    <w:rsid w:val="00317BBF"/>
    <w:rsid w:val="00317C44"/>
    <w:rsid w:val="00317C6D"/>
    <w:rsid w:val="00317C7A"/>
    <w:rsid w:val="00317DAF"/>
    <w:rsid w:val="00317DB1"/>
    <w:rsid w:val="00317DC1"/>
    <w:rsid w:val="00317E85"/>
    <w:rsid w:val="00317EBF"/>
    <w:rsid w:val="00317EED"/>
    <w:rsid w:val="00317F57"/>
    <w:rsid w:val="00317F81"/>
    <w:rsid w:val="00317FA1"/>
    <w:rsid w:val="00317FCB"/>
    <w:rsid w:val="00317FE5"/>
    <w:rsid w:val="00317FE9"/>
    <w:rsid w:val="0031BD28"/>
    <w:rsid w:val="0032002E"/>
    <w:rsid w:val="003201AB"/>
    <w:rsid w:val="00320213"/>
    <w:rsid w:val="00320233"/>
    <w:rsid w:val="00320247"/>
    <w:rsid w:val="00320249"/>
    <w:rsid w:val="00320275"/>
    <w:rsid w:val="00320350"/>
    <w:rsid w:val="00320388"/>
    <w:rsid w:val="003203F3"/>
    <w:rsid w:val="003203F7"/>
    <w:rsid w:val="0032040E"/>
    <w:rsid w:val="00320477"/>
    <w:rsid w:val="003204DC"/>
    <w:rsid w:val="003204F0"/>
    <w:rsid w:val="003204FD"/>
    <w:rsid w:val="00320523"/>
    <w:rsid w:val="003205DF"/>
    <w:rsid w:val="003206E9"/>
    <w:rsid w:val="00320719"/>
    <w:rsid w:val="00320742"/>
    <w:rsid w:val="003207F8"/>
    <w:rsid w:val="0032097F"/>
    <w:rsid w:val="00320ACB"/>
    <w:rsid w:val="00320BAF"/>
    <w:rsid w:val="00320BB4"/>
    <w:rsid w:val="00320BB6"/>
    <w:rsid w:val="00320BFA"/>
    <w:rsid w:val="00320C2C"/>
    <w:rsid w:val="00320C35"/>
    <w:rsid w:val="00320C59"/>
    <w:rsid w:val="00320CA3"/>
    <w:rsid w:val="00320CFB"/>
    <w:rsid w:val="00320D3F"/>
    <w:rsid w:val="00320DA3"/>
    <w:rsid w:val="00320DB9"/>
    <w:rsid w:val="00320DC5"/>
    <w:rsid w:val="00320E66"/>
    <w:rsid w:val="00320F2E"/>
    <w:rsid w:val="00320F6E"/>
    <w:rsid w:val="00320F96"/>
    <w:rsid w:val="00320FAF"/>
    <w:rsid w:val="00320FE1"/>
    <w:rsid w:val="00321025"/>
    <w:rsid w:val="0032105F"/>
    <w:rsid w:val="003210C5"/>
    <w:rsid w:val="003210D3"/>
    <w:rsid w:val="003210D7"/>
    <w:rsid w:val="003210DA"/>
    <w:rsid w:val="003210E2"/>
    <w:rsid w:val="003210F0"/>
    <w:rsid w:val="00321129"/>
    <w:rsid w:val="0032114E"/>
    <w:rsid w:val="00321189"/>
    <w:rsid w:val="003211A8"/>
    <w:rsid w:val="003211C8"/>
    <w:rsid w:val="003211CE"/>
    <w:rsid w:val="00321275"/>
    <w:rsid w:val="00321282"/>
    <w:rsid w:val="00321299"/>
    <w:rsid w:val="0032130A"/>
    <w:rsid w:val="0032130E"/>
    <w:rsid w:val="00321318"/>
    <w:rsid w:val="00321384"/>
    <w:rsid w:val="00321442"/>
    <w:rsid w:val="0032146D"/>
    <w:rsid w:val="00321481"/>
    <w:rsid w:val="003214D8"/>
    <w:rsid w:val="003214DB"/>
    <w:rsid w:val="003214FA"/>
    <w:rsid w:val="003215C7"/>
    <w:rsid w:val="003215D3"/>
    <w:rsid w:val="00321603"/>
    <w:rsid w:val="00321607"/>
    <w:rsid w:val="0032161B"/>
    <w:rsid w:val="0032162B"/>
    <w:rsid w:val="0032165E"/>
    <w:rsid w:val="00321670"/>
    <w:rsid w:val="003216AA"/>
    <w:rsid w:val="003217BF"/>
    <w:rsid w:val="003217EC"/>
    <w:rsid w:val="00321829"/>
    <w:rsid w:val="00321891"/>
    <w:rsid w:val="0032189C"/>
    <w:rsid w:val="003218AA"/>
    <w:rsid w:val="003218CD"/>
    <w:rsid w:val="00321954"/>
    <w:rsid w:val="0032195A"/>
    <w:rsid w:val="0032196B"/>
    <w:rsid w:val="003219A0"/>
    <w:rsid w:val="00321A03"/>
    <w:rsid w:val="00321A24"/>
    <w:rsid w:val="00321A78"/>
    <w:rsid w:val="00321B1B"/>
    <w:rsid w:val="00321B50"/>
    <w:rsid w:val="00321C0D"/>
    <w:rsid w:val="00321C5A"/>
    <w:rsid w:val="00321CCC"/>
    <w:rsid w:val="00321D2A"/>
    <w:rsid w:val="00321D31"/>
    <w:rsid w:val="00321DC8"/>
    <w:rsid w:val="00321E26"/>
    <w:rsid w:val="00321E36"/>
    <w:rsid w:val="00322036"/>
    <w:rsid w:val="003220E0"/>
    <w:rsid w:val="003220E7"/>
    <w:rsid w:val="003221F9"/>
    <w:rsid w:val="003221FD"/>
    <w:rsid w:val="00322213"/>
    <w:rsid w:val="0032223F"/>
    <w:rsid w:val="0032227B"/>
    <w:rsid w:val="003222E0"/>
    <w:rsid w:val="003222E3"/>
    <w:rsid w:val="00322300"/>
    <w:rsid w:val="00322353"/>
    <w:rsid w:val="003223A8"/>
    <w:rsid w:val="00322464"/>
    <w:rsid w:val="003224A2"/>
    <w:rsid w:val="003224AE"/>
    <w:rsid w:val="003224AF"/>
    <w:rsid w:val="0032253A"/>
    <w:rsid w:val="003225FA"/>
    <w:rsid w:val="00322629"/>
    <w:rsid w:val="0032266B"/>
    <w:rsid w:val="00322754"/>
    <w:rsid w:val="00322785"/>
    <w:rsid w:val="0032281D"/>
    <w:rsid w:val="00322963"/>
    <w:rsid w:val="00322971"/>
    <w:rsid w:val="003229B3"/>
    <w:rsid w:val="003229CA"/>
    <w:rsid w:val="00322A34"/>
    <w:rsid w:val="00322A63"/>
    <w:rsid w:val="00322A7B"/>
    <w:rsid w:val="00322B38"/>
    <w:rsid w:val="00322B70"/>
    <w:rsid w:val="00322C81"/>
    <w:rsid w:val="00322CA5"/>
    <w:rsid w:val="00322CA6"/>
    <w:rsid w:val="00322D2D"/>
    <w:rsid w:val="00322D68"/>
    <w:rsid w:val="00322D9E"/>
    <w:rsid w:val="00322DAA"/>
    <w:rsid w:val="00322DCF"/>
    <w:rsid w:val="00322DE8"/>
    <w:rsid w:val="00322E5F"/>
    <w:rsid w:val="00322E76"/>
    <w:rsid w:val="00322E9B"/>
    <w:rsid w:val="00322EA5"/>
    <w:rsid w:val="00322F05"/>
    <w:rsid w:val="00322F38"/>
    <w:rsid w:val="00322F3D"/>
    <w:rsid w:val="00323063"/>
    <w:rsid w:val="0032307F"/>
    <w:rsid w:val="003230A6"/>
    <w:rsid w:val="003230C5"/>
    <w:rsid w:val="00323141"/>
    <w:rsid w:val="00323145"/>
    <w:rsid w:val="0032314F"/>
    <w:rsid w:val="00323173"/>
    <w:rsid w:val="003231CD"/>
    <w:rsid w:val="00323233"/>
    <w:rsid w:val="00323297"/>
    <w:rsid w:val="003232A6"/>
    <w:rsid w:val="003232E5"/>
    <w:rsid w:val="0032338E"/>
    <w:rsid w:val="003233C5"/>
    <w:rsid w:val="003233DE"/>
    <w:rsid w:val="0032342F"/>
    <w:rsid w:val="00323446"/>
    <w:rsid w:val="0032344C"/>
    <w:rsid w:val="003234B1"/>
    <w:rsid w:val="00323555"/>
    <w:rsid w:val="0032358A"/>
    <w:rsid w:val="00323636"/>
    <w:rsid w:val="00323673"/>
    <w:rsid w:val="003236B1"/>
    <w:rsid w:val="00323754"/>
    <w:rsid w:val="00323836"/>
    <w:rsid w:val="00323839"/>
    <w:rsid w:val="0032386B"/>
    <w:rsid w:val="00323892"/>
    <w:rsid w:val="003238B8"/>
    <w:rsid w:val="003238C9"/>
    <w:rsid w:val="0032394D"/>
    <w:rsid w:val="00323956"/>
    <w:rsid w:val="0032399E"/>
    <w:rsid w:val="003239D5"/>
    <w:rsid w:val="00323A45"/>
    <w:rsid w:val="00323A6C"/>
    <w:rsid w:val="00323AD2"/>
    <w:rsid w:val="00323B92"/>
    <w:rsid w:val="00323BC2"/>
    <w:rsid w:val="00323BF4"/>
    <w:rsid w:val="00323BFF"/>
    <w:rsid w:val="00323CEA"/>
    <w:rsid w:val="00323D04"/>
    <w:rsid w:val="00323D95"/>
    <w:rsid w:val="00323E03"/>
    <w:rsid w:val="00323E10"/>
    <w:rsid w:val="00323E1B"/>
    <w:rsid w:val="00323E2E"/>
    <w:rsid w:val="00323E73"/>
    <w:rsid w:val="00323E87"/>
    <w:rsid w:val="00323EA5"/>
    <w:rsid w:val="00323EA6"/>
    <w:rsid w:val="00323F2E"/>
    <w:rsid w:val="00323F46"/>
    <w:rsid w:val="00323FB0"/>
    <w:rsid w:val="00323FB4"/>
    <w:rsid w:val="00324020"/>
    <w:rsid w:val="0032404D"/>
    <w:rsid w:val="00324058"/>
    <w:rsid w:val="00324087"/>
    <w:rsid w:val="0032413E"/>
    <w:rsid w:val="003241AF"/>
    <w:rsid w:val="0032424D"/>
    <w:rsid w:val="003242FC"/>
    <w:rsid w:val="003243B3"/>
    <w:rsid w:val="003243F2"/>
    <w:rsid w:val="003243F3"/>
    <w:rsid w:val="0032447B"/>
    <w:rsid w:val="00324486"/>
    <w:rsid w:val="003244C3"/>
    <w:rsid w:val="003244CC"/>
    <w:rsid w:val="003244F4"/>
    <w:rsid w:val="00324504"/>
    <w:rsid w:val="0032450D"/>
    <w:rsid w:val="003245C3"/>
    <w:rsid w:val="003245CF"/>
    <w:rsid w:val="0032461E"/>
    <w:rsid w:val="00324667"/>
    <w:rsid w:val="00324748"/>
    <w:rsid w:val="003247AA"/>
    <w:rsid w:val="00324832"/>
    <w:rsid w:val="00324842"/>
    <w:rsid w:val="0032484E"/>
    <w:rsid w:val="00324948"/>
    <w:rsid w:val="00324ACC"/>
    <w:rsid w:val="00324ADC"/>
    <w:rsid w:val="00324B08"/>
    <w:rsid w:val="00324B21"/>
    <w:rsid w:val="00324B52"/>
    <w:rsid w:val="00324C09"/>
    <w:rsid w:val="00324C37"/>
    <w:rsid w:val="00324C45"/>
    <w:rsid w:val="00324D36"/>
    <w:rsid w:val="00324D67"/>
    <w:rsid w:val="00324E14"/>
    <w:rsid w:val="00324ED6"/>
    <w:rsid w:val="00324F3D"/>
    <w:rsid w:val="00324FAE"/>
    <w:rsid w:val="00324FEA"/>
    <w:rsid w:val="00324FF6"/>
    <w:rsid w:val="0032500F"/>
    <w:rsid w:val="00325027"/>
    <w:rsid w:val="00325047"/>
    <w:rsid w:val="00325092"/>
    <w:rsid w:val="003250A4"/>
    <w:rsid w:val="003250D3"/>
    <w:rsid w:val="00325162"/>
    <w:rsid w:val="0032524D"/>
    <w:rsid w:val="00325274"/>
    <w:rsid w:val="00325298"/>
    <w:rsid w:val="003252B9"/>
    <w:rsid w:val="0032530C"/>
    <w:rsid w:val="0032538A"/>
    <w:rsid w:val="0032540A"/>
    <w:rsid w:val="00325421"/>
    <w:rsid w:val="00325465"/>
    <w:rsid w:val="0032546B"/>
    <w:rsid w:val="0032546D"/>
    <w:rsid w:val="00325470"/>
    <w:rsid w:val="00325497"/>
    <w:rsid w:val="003255EC"/>
    <w:rsid w:val="00325611"/>
    <w:rsid w:val="00325629"/>
    <w:rsid w:val="00325696"/>
    <w:rsid w:val="0032579B"/>
    <w:rsid w:val="00325853"/>
    <w:rsid w:val="003258BD"/>
    <w:rsid w:val="003258D9"/>
    <w:rsid w:val="00325934"/>
    <w:rsid w:val="00325955"/>
    <w:rsid w:val="0032595D"/>
    <w:rsid w:val="00325964"/>
    <w:rsid w:val="00325A35"/>
    <w:rsid w:val="00325ACB"/>
    <w:rsid w:val="00325ACC"/>
    <w:rsid w:val="00325BDD"/>
    <w:rsid w:val="00325C17"/>
    <w:rsid w:val="00325D22"/>
    <w:rsid w:val="00325D99"/>
    <w:rsid w:val="00325DC4"/>
    <w:rsid w:val="00325DED"/>
    <w:rsid w:val="00325E2D"/>
    <w:rsid w:val="00325E4A"/>
    <w:rsid w:val="00325FF6"/>
    <w:rsid w:val="00326025"/>
    <w:rsid w:val="0032607F"/>
    <w:rsid w:val="003260BF"/>
    <w:rsid w:val="0032610E"/>
    <w:rsid w:val="0032611E"/>
    <w:rsid w:val="00326123"/>
    <w:rsid w:val="00326241"/>
    <w:rsid w:val="0032626A"/>
    <w:rsid w:val="003262C4"/>
    <w:rsid w:val="003262EC"/>
    <w:rsid w:val="00326365"/>
    <w:rsid w:val="003263DD"/>
    <w:rsid w:val="00326450"/>
    <w:rsid w:val="00326493"/>
    <w:rsid w:val="003264F8"/>
    <w:rsid w:val="00326521"/>
    <w:rsid w:val="0032652C"/>
    <w:rsid w:val="00326619"/>
    <w:rsid w:val="00326682"/>
    <w:rsid w:val="003266A3"/>
    <w:rsid w:val="003266B3"/>
    <w:rsid w:val="003266BD"/>
    <w:rsid w:val="003266C9"/>
    <w:rsid w:val="003266DB"/>
    <w:rsid w:val="0032672E"/>
    <w:rsid w:val="0032673A"/>
    <w:rsid w:val="00326763"/>
    <w:rsid w:val="00326798"/>
    <w:rsid w:val="0032680D"/>
    <w:rsid w:val="00326906"/>
    <w:rsid w:val="00326A49"/>
    <w:rsid w:val="00326A6D"/>
    <w:rsid w:val="00326A87"/>
    <w:rsid w:val="00326AAB"/>
    <w:rsid w:val="00326B3A"/>
    <w:rsid w:val="00326B48"/>
    <w:rsid w:val="00326C72"/>
    <w:rsid w:val="00326CD2"/>
    <w:rsid w:val="00326D04"/>
    <w:rsid w:val="00326D29"/>
    <w:rsid w:val="00326DA0"/>
    <w:rsid w:val="00326DB8"/>
    <w:rsid w:val="00326DC5"/>
    <w:rsid w:val="00326E3F"/>
    <w:rsid w:val="00326E44"/>
    <w:rsid w:val="00326E9A"/>
    <w:rsid w:val="00326F35"/>
    <w:rsid w:val="00326FDC"/>
    <w:rsid w:val="00327066"/>
    <w:rsid w:val="003271C2"/>
    <w:rsid w:val="00327208"/>
    <w:rsid w:val="00327211"/>
    <w:rsid w:val="0032728C"/>
    <w:rsid w:val="00327358"/>
    <w:rsid w:val="00327445"/>
    <w:rsid w:val="003274F7"/>
    <w:rsid w:val="0032767D"/>
    <w:rsid w:val="00327695"/>
    <w:rsid w:val="003276AC"/>
    <w:rsid w:val="0032779A"/>
    <w:rsid w:val="00327890"/>
    <w:rsid w:val="00327896"/>
    <w:rsid w:val="003278B7"/>
    <w:rsid w:val="00327914"/>
    <w:rsid w:val="00327919"/>
    <w:rsid w:val="0032792B"/>
    <w:rsid w:val="00327934"/>
    <w:rsid w:val="00327B13"/>
    <w:rsid w:val="00327B70"/>
    <w:rsid w:val="00327BC6"/>
    <w:rsid w:val="00327BE5"/>
    <w:rsid w:val="00327C76"/>
    <w:rsid w:val="00327CAE"/>
    <w:rsid w:val="00327CB1"/>
    <w:rsid w:val="00327CFE"/>
    <w:rsid w:val="00327D9C"/>
    <w:rsid w:val="00327DD6"/>
    <w:rsid w:val="00327E9A"/>
    <w:rsid w:val="00327F0C"/>
    <w:rsid w:val="0033006B"/>
    <w:rsid w:val="00330099"/>
    <w:rsid w:val="003300F5"/>
    <w:rsid w:val="00330168"/>
    <w:rsid w:val="00330216"/>
    <w:rsid w:val="00330286"/>
    <w:rsid w:val="0033035C"/>
    <w:rsid w:val="00330372"/>
    <w:rsid w:val="00330383"/>
    <w:rsid w:val="003303D6"/>
    <w:rsid w:val="0033048D"/>
    <w:rsid w:val="003304DF"/>
    <w:rsid w:val="003304E2"/>
    <w:rsid w:val="00330525"/>
    <w:rsid w:val="003305A5"/>
    <w:rsid w:val="003305FF"/>
    <w:rsid w:val="00330680"/>
    <w:rsid w:val="00330694"/>
    <w:rsid w:val="003308FF"/>
    <w:rsid w:val="0033092F"/>
    <w:rsid w:val="003309B2"/>
    <w:rsid w:val="00330A11"/>
    <w:rsid w:val="00330A80"/>
    <w:rsid w:val="00330BAC"/>
    <w:rsid w:val="00330BD8"/>
    <w:rsid w:val="00330BF6"/>
    <w:rsid w:val="00330C09"/>
    <w:rsid w:val="00330C38"/>
    <w:rsid w:val="00330C4B"/>
    <w:rsid w:val="00330DD7"/>
    <w:rsid w:val="00330DD9"/>
    <w:rsid w:val="00330EC2"/>
    <w:rsid w:val="00330EF0"/>
    <w:rsid w:val="00330F68"/>
    <w:rsid w:val="00330F8F"/>
    <w:rsid w:val="00330FAC"/>
    <w:rsid w:val="00330FB8"/>
    <w:rsid w:val="00330FE8"/>
    <w:rsid w:val="0033102F"/>
    <w:rsid w:val="00331045"/>
    <w:rsid w:val="003310C2"/>
    <w:rsid w:val="003310C3"/>
    <w:rsid w:val="003311C7"/>
    <w:rsid w:val="00331235"/>
    <w:rsid w:val="00331247"/>
    <w:rsid w:val="00331268"/>
    <w:rsid w:val="00331290"/>
    <w:rsid w:val="00331298"/>
    <w:rsid w:val="0033134C"/>
    <w:rsid w:val="00331361"/>
    <w:rsid w:val="0033139A"/>
    <w:rsid w:val="0033139C"/>
    <w:rsid w:val="0033140E"/>
    <w:rsid w:val="0033153B"/>
    <w:rsid w:val="00331579"/>
    <w:rsid w:val="0033159E"/>
    <w:rsid w:val="003316B7"/>
    <w:rsid w:val="003316F1"/>
    <w:rsid w:val="0033174E"/>
    <w:rsid w:val="00331852"/>
    <w:rsid w:val="0033199A"/>
    <w:rsid w:val="00331A3F"/>
    <w:rsid w:val="00331A6C"/>
    <w:rsid w:val="00331AD3"/>
    <w:rsid w:val="00331BC2"/>
    <w:rsid w:val="00331C18"/>
    <w:rsid w:val="00331C51"/>
    <w:rsid w:val="00331C8A"/>
    <w:rsid w:val="00331CC6"/>
    <w:rsid w:val="00331CDD"/>
    <w:rsid w:val="00331D18"/>
    <w:rsid w:val="00331D31"/>
    <w:rsid w:val="00331E34"/>
    <w:rsid w:val="00331E40"/>
    <w:rsid w:val="00331E64"/>
    <w:rsid w:val="00331F36"/>
    <w:rsid w:val="00331F5E"/>
    <w:rsid w:val="00331F8D"/>
    <w:rsid w:val="00331FD1"/>
    <w:rsid w:val="00332009"/>
    <w:rsid w:val="00332034"/>
    <w:rsid w:val="0033209D"/>
    <w:rsid w:val="00332138"/>
    <w:rsid w:val="00332151"/>
    <w:rsid w:val="003321BF"/>
    <w:rsid w:val="0033223E"/>
    <w:rsid w:val="003323C7"/>
    <w:rsid w:val="00332467"/>
    <w:rsid w:val="0033255C"/>
    <w:rsid w:val="003325AD"/>
    <w:rsid w:val="003325AE"/>
    <w:rsid w:val="003325DE"/>
    <w:rsid w:val="0033272D"/>
    <w:rsid w:val="00332745"/>
    <w:rsid w:val="0033278C"/>
    <w:rsid w:val="003327A6"/>
    <w:rsid w:val="00332807"/>
    <w:rsid w:val="00332818"/>
    <w:rsid w:val="00332860"/>
    <w:rsid w:val="00332867"/>
    <w:rsid w:val="003328B5"/>
    <w:rsid w:val="00332924"/>
    <w:rsid w:val="00332939"/>
    <w:rsid w:val="00332A8F"/>
    <w:rsid w:val="00332BBF"/>
    <w:rsid w:val="00332C07"/>
    <w:rsid w:val="00332CD6"/>
    <w:rsid w:val="00332D76"/>
    <w:rsid w:val="00332D78"/>
    <w:rsid w:val="00332E19"/>
    <w:rsid w:val="00332E30"/>
    <w:rsid w:val="00332E6E"/>
    <w:rsid w:val="00332EE4"/>
    <w:rsid w:val="00332F0F"/>
    <w:rsid w:val="00332FC4"/>
    <w:rsid w:val="00332FCD"/>
    <w:rsid w:val="003330C6"/>
    <w:rsid w:val="00333140"/>
    <w:rsid w:val="00333164"/>
    <w:rsid w:val="003332AA"/>
    <w:rsid w:val="0033333B"/>
    <w:rsid w:val="00333374"/>
    <w:rsid w:val="00333497"/>
    <w:rsid w:val="00333498"/>
    <w:rsid w:val="003334E8"/>
    <w:rsid w:val="00333597"/>
    <w:rsid w:val="00333636"/>
    <w:rsid w:val="00333683"/>
    <w:rsid w:val="003336C1"/>
    <w:rsid w:val="00333777"/>
    <w:rsid w:val="003337EC"/>
    <w:rsid w:val="003338AA"/>
    <w:rsid w:val="0033395F"/>
    <w:rsid w:val="00333A79"/>
    <w:rsid w:val="00333A89"/>
    <w:rsid w:val="00333AD4"/>
    <w:rsid w:val="00333B4D"/>
    <w:rsid w:val="00333B58"/>
    <w:rsid w:val="00333B9D"/>
    <w:rsid w:val="00333BE9"/>
    <w:rsid w:val="00333C4D"/>
    <w:rsid w:val="00333CC8"/>
    <w:rsid w:val="00333D3A"/>
    <w:rsid w:val="00333D6D"/>
    <w:rsid w:val="00333DF6"/>
    <w:rsid w:val="00333E15"/>
    <w:rsid w:val="00333E4C"/>
    <w:rsid w:val="00333E95"/>
    <w:rsid w:val="00333F82"/>
    <w:rsid w:val="00333FB2"/>
    <w:rsid w:val="003340C8"/>
    <w:rsid w:val="003340DB"/>
    <w:rsid w:val="00334157"/>
    <w:rsid w:val="00334296"/>
    <w:rsid w:val="003342B3"/>
    <w:rsid w:val="00334350"/>
    <w:rsid w:val="00334378"/>
    <w:rsid w:val="003343A6"/>
    <w:rsid w:val="00334431"/>
    <w:rsid w:val="00334434"/>
    <w:rsid w:val="003344A6"/>
    <w:rsid w:val="003344B6"/>
    <w:rsid w:val="003344D4"/>
    <w:rsid w:val="00334599"/>
    <w:rsid w:val="0033459B"/>
    <w:rsid w:val="00334639"/>
    <w:rsid w:val="003347B1"/>
    <w:rsid w:val="00334805"/>
    <w:rsid w:val="0033483D"/>
    <w:rsid w:val="00334841"/>
    <w:rsid w:val="00334924"/>
    <w:rsid w:val="0033498C"/>
    <w:rsid w:val="003349A3"/>
    <w:rsid w:val="003349A9"/>
    <w:rsid w:val="003349BF"/>
    <w:rsid w:val="00334A07"/>
    <w:rsid w:val="00334A3F"/>
    <w:rsid w:val="00334A55"/>
    <w:rsid w:val="00334C13"/>
    <w:rsid w:val="00334C28"/>
    <w:rsid w:val="00334C59"/>
    <w:rsid w:val="00334C9B"/>
    <w:rsid w:val="00334D05"/>
    <w:rsid w:val="00334D9F"/>
    <w:rsid w:val="00334E57"/>
    <w:rsid w:val="00334ED2"/>
    <w:rsid w:val="00334EF2"/>
    <w:rsid w:val="00334F04"/>
    <w:rsid w:val="00334F89"/>
    <w:rsid w:val="00334F90"/>
    <w:rsid w:val="00335010"/>
    <w:rsid w:val="003350C8"/>
    <w:rsid w:val="003350F3"/>
    <w:rsid w:val="003351BD"/>
    <w:rsid w:val="003351BF"/>
    <w:rsid w:val="003351DA"/>
    <w:rsid w:val="003352DB"/>
    <w:rsid w:val="003352EE"/>
    <w:rsid w:val="00335343"/>
    <w:rsid w:val="003353D2"/>
    <w:rsid w:val="003353E9"/>
    <w:rsid w:val="0033543A"/>
    <w:rsid w:val="00335487"/>
    <w:rsid w:val="003354A5"/>
    <w:rsid w:val="00335575"/>
    <w:rsid w:val="00335593"/>
    <w:rsid w:val="0033569C"/>
    <w:rsid w:val="00335707"/>
    <w:rsid w:val="003357E4"/>
    <w:rsid w:val="0033588B"/>
    <w:rsid w:val="0033588C"/>
    <w:rsid w:val="003358AB"/>
    <w:rsid w:val="00335949"/>
    <w:rsid w:val="00335957"/>
    <w:rsid w:val="00335963"/>
    <w:rsid w:val="0033598C"/>
    <w:rsid w:val="00335B00"/>
    <w:rsid w:val="00335B13"/>
    <w:rsid w:val="00335D93"/>
    <w:rsid w:val="00335DA7"/>
    <w:rsid w:val="00335DB3"/>
    <w:rsid w:val="00335DD6"/>
    <w:rsid w:val="00335E08"/>
    <w:rsid w:val="00335E2C"/>
    <w:rsid w:val="00335E2D"/>
    <w:rsid w:val="00335EE6"/>
    <w:rsid w:val="00335EF3"/>
    <w:rsid w:val="00335F6C"/>
    <w:rsid w:val="00335F7C"/>
    <w:rsid w:val="00335F8E"/>
    <w:rsid w:val="0033607B"/>
    <w:rsid w:val="003360BD"/>
    <w:rsid w:val="003360C3"/>
    <w:rsid w:val="003360EA"/>
    <w:rsid w:val="0033610E"/>
    <w:rsid w:val="00336129"/>
    <w:rsid w:val="003361B5"/>
    <w:rsid w:val="00336222"/>
    <w:rsid w:val="00336265"/>
    <w:rsid w:val="003362B6"/>
    <w:rsid w:val="003362DD"/>
    <w:rsid w:val="0033633B"/>
    <w:rsid w:val="0033633C"/>
    <w:rsid w:val="00336414"/>
    <w:rsid w:val="00336476"/>
    <w:rsid w:val="0033647E"/>
    <w:rsid w:val="003364BB"/>
    <w:rsid w:val="003364EC"/>
    <w:rsid w:val="003364F3"/>
    <w:rsid w:val="00336508"/>
    <w:rsid w:val="003365B4"/>
    <w:rsid w:val="003365DC"/>
    <w:rsid w:val="003366A3"/>
    <w:rsid w:val="003366CA"/>
    <w:rsid w:val="00336709"/>
    <w:rsid w:val="0033674A"/>
    <w:rsid w:val="003367FF"/>
    <w:rsid w:val="00336841"/>
    <w:rsid w:val="003368A1"/>
    <w:rsid w:val="00336906"/>
    <w:rsid w:val="003369D7"/>
    <w:rsid w:val="00336A16"/>
    <w:rsid w:val="00336A3F"/>
    <w:rsid w:val="00336A6F"/>
    <w:rsid w:val="00336A74"/>
    <w:rsid w:val="00336A90"/>
    <w:rsid w:val="00336AC6"/>
    <w:rsid w:val="00336AD2"/>
    <w:rsid w:val="00336B2B"/>
    <w:rsid w:val="00336BB6"/>
    <w:rsid w:val="00336BFA"/>
    <w:rsid w:val="00336BFE"/>
    <w:rsid w:val="00336CDA"/>
    <w:rsid w:val="00336D14"/>
    <w:rsid w:val="00336D99"/>
    <w:rsid w:val="00336F06"/>
    <w:rsid w:val="00336F2C"/>
    <w:rsid w:val="00336F32"/>
    <w:rsid w:val="00336F49"/>
    <w:rsid w:val="00336F72"/>
    <w:rsid w:val="00336FB5"/>
    <w:rsid w:val="00336FC3"/>
    <w:rsid w:val="0033706C"/>
    <w:rsid w:val="00337070"/>
    <w:rsid w:val="0033713F"/>
    <w:rsid w:val="003371AA"/>
    <w:rsid w:val="003371F4"/>
    <w:rsid w:val="003372BD"/>
    <w:rsid w:val="0033730E"/>
    <w:rsid w:val="00337348"/>
    <w:rsid w:val="003373C3"/>
    <w:rsid w:val="003373D4"/>
    <w:rsid w:val="003374FF"/>
    <w:rsid w:val="00337533"/>
    <w:rsid w:val="00337555"/>
    <w:rsid w:val="00337589"/>
    <w:rsid w:val="003375E3"/>
    <w:rsid w:val="00337721"/>
    <w:rsid w:val="003377D0"/>
    <w:rsid w:val="0033782B"/>
    <w:rsid w:val="00337847"/>
    <w:rsid w:val="003378DB"/>
    <w:rsid w:val="003378E8"/>
    <w:rsid w:val="0033791A"/>
    <w:rsid w:val="00337952"/>
    <w:rsid w:val="00337953"/>
    <w:rsid w:val="00337960"/>
    <w:rsid w:val="0033799C"/>
    <w:rsid w:val="00337A5F"/>
    <w:rsid w:val="00337A82"/>
    <w:rsid w:val="00337A99"/>
    <w:rsid w:val="00337B37"/>
    <w:rsid w:val="00337B39"/>
    <w:rsid w:val="00337BD5"/>
    <w:rsid w:val="00337C2F"/>
    <w:rsid w:val="00337CF3"/>
    <w:rsid w:val="00337D4C"/>
    <w:rsid w:val="00337E18"/>
    <w:rsid w:val="00337E1F"/>
    <w:rsid w:val="00337E2D"/>
    <w:rsid w:val="00337EAC"/>
    <w:rsid w:val="00337EE4"/>
    <w:rsid w:val="00337F8A"/>
    <w:rsid w:val="00337FC5"/>
    <w:rsid w:val="00340004"/>
    <w:rsid w:val="0034005B"/>
    <w:rsid w:val="0034006E"/>
    <w:rsid w:val="00340126"/>
    <w:rsid w:val="00340143"/>
    <w:rsid w:val="00340160"/>
    <w:rsid w:val="003401A6"/>
    <w:rsid w:val="00340261"/>
    <w:rsid w:val="0034027C"/>
    <w:rsid w:val="003402F4"/>
    <w:rsid w:val="0034035D"/>
    <w:rsid w:val="003403BB"/>
    <w:rsid w:val="00340410"/>
    <w:rsid w:val="003404F5"/>
    <w:rsid w:val="00340515"/>
    <w:rsid w:val="00340548"/>
    <w:rsid w:val="0034059C"/>
    <w:rsid w:val="003405A7"/>
    <w:rsid w:val="003405F8"/>
    <w:rsid w:val="0034060F"/>
    <w:rsid w:val="00340635"/>
    <w:rsid w:val="00340641"/>
    <w:rsid w:val="003406B5"/>
    <w:rsid w:val="003406C5"/>
    <w:rsid w:val="0034071E"/>
    <w:rsid w:val="0034076E"/>
    <w:rsid w:val="0034085B"/>
    <w:rsid w:val="00340907"/>
    <w:rsid w:val="0034091C"/>
    <w:rsid w:val="00340978"/>
    <w:rsid w:val="003409AB"/>
    <w:rsid w:val="003409F9"/>
    <w:rsid w:val="00340A1E"/>
    <w:rsid w:val="00340A61"/>
    <w:rsid w:val="00340AE4"/>
    <w:rsid w:val="00340B27"/>
    <w:rsid w:val="00340B45"/>
    <w:rsid w:val="00340B5B"/>
    <w:rsid w:val="00340BA5"/>
    <w:rsid w:val="00340BE3"/>
    <w:rsid w:val="00340C1D"/>
    <w:rsid w:val="00340CAB"/>
    <w:rsid w:val="00340CCE"/>
    <w:rsid w:val="00340D92"/>
    <w:rsid w:val="00340DD6"/>
    <w:rsid w:val="00340ED3"/>
    <w:rsid w:val="00340EDA"/>
    <w:rsid w:val="00340F1A"/>
    <w:rsid w:val="00340F4C"/>
    <w:rsid w:val="00340F6F"/>
    <w:rsid w:val="00340FAA"/>
    <w:rsid w:val="00341001"/>
    <w:rsid w:val="00341087"/>
    <w:rsid w:val="00341189"/>
    <w:rsid w:val="003411DA"/>
    <w:rsid w:val="003411F6"/>
    <w:rsid w:val="00341270"/>
    <w:rsid w:val="003412C9"/>
    <w:rsid w:val="003412DA"/>
    <w:rsid w:val="00341404"/>
    <w:rsid w:val="0034148E"/>
    <w:rsid w:val="00341491"/>
    <w:rsid w:val="003414BC"/>
    <w:rsid w:val="00341560"/>
    <w:rsid w:val="003415A3"/>
    <w:rsid w:val="003415BA"/>
    <w:rsid w:val="003415BF"/>
    <w:rsid w:val="0034167F"/>
    <w:rsid w:val="00341713"/>
    <w:rsid w:val="00341773"/>
    <w:rsid w:val="003417A2"/>
    <w:rsid w:val="003417AA"/>
    <w:rsid w:val="003417B4"/>
    <w:rsid w:val="003417D3"/>
    <w:rsid w:val="00341802"/>
    <w:rsid w:val="003418EB"/>
    <w:rsid w:val="00341A3B"/>
    <w:rsid w:val="00341B57"/>
    <w:rsid w:val="00341B76"/>
    <w:rsid w:val="00341B91"/>
    <w:rsid w:val="00341BD3"/>
    <w:rsid w:val="00341C08"/>
    <w:rsid w:val="00341C5B"/>
    <w:rsid w:val="00341C9F"/>
    <w:rsid w:val="00341CA5"/>
    <w:rsid w:val="00341D05"/>
    <w:rsid w:val="00341D7B"/>
    <w:rsid w:val="00341E09"/>
    <w:rsid w:val="00341E0B"/>
    <w:rsid w:val="00341E19"/>
    <w:rsid w:val="00341E62"/>
    <w:rsid w:val="00341E6F"/>
    <w:rsid w:val="00341E94"/>
    <w:rsid w:val="00341EE0"/>
    <w:rsid w:val="00341EF9"/>
    <w:rsid w:val="00341F01"/>
    <w:rsid w:val="00341FDF"/>
    <w:rsid w:val="00341FF1"/>
    <w:rsid w:val="0034213A"/>
    <w:rsid w:val="00342143"/>
    <w:rsid w:val="0034220C"/>
    <w:rsid w:val="00342214"/>
    <w:rsid w:val="0034221B"/>
    <w:rsid w:val="00342227"/>
    <w:rsid w:val="00342327"/>
    <w:rsid w:val="00342352"/>
    <w:rsid w:val="0034235E"/>
    <w:rsid w:val="003423C6"/>
    <w:rsid w:val="0034241E"/>
    <w:rsid w:val="0034246B"/>
    <w:rsid w:val="00342474"/>
    <w:rsid w:val="003424ED"/>
    <w:rsid w:val="003425C9"/>
    <w:rsid w:val="00342640"/>
    <w:rsid w:val="0034265B"/>
    <w:rsid w:val="00342682"/>
    <w:rsid w:val="003427F9"/>
    <w:rsid w:val="00342833"/>
    <w:rsid w:val="003428B3"/>
    <w:rsid w:val="00342949"/>
    <w:rsid w:val="00342955"/>
    <w:rsid w:val="00342962"/>
    <w:rsid w:val="00342974"/>
    <w:rsid w:val="00342982"/>
    <w:rsid w:val="0034298A"/>
    <w:rsid w:val="003429A0"/>
    <w:rsid w:val="003429E5"/>
    <w:rsid w:val="00342A08"/>
    <w:rsid w:val="00342A22"/>
    <w:rsid w:val="00342B54"/>
    <w:rsid w:val="00342B6A"/>
    <w:rsid w:val="00342BA5"/>
    <w:rsid w:val="00342BE3"/>
    <w:rsid w:val="00342C91"/>
    <w:rsid w:val="00342D05"/>
    <w:rsid w:val="00342D25"/>
    <w:rsid w:val="00342D28"/>
    <w:rsid w:val="00342E11"/>
    <w:rsid w:val="00342E54"/>
    <w:rsid w:val="00342E60"/>
    <w:rsid w:val="00342E8A"/>
    <w:rsid w:val="00342EE6"/>
    <w:rsid w:val="00342EED"/>
    <w:rsid w:val="00342EF1"/>
    <w:rsid w:val="00342F46"/>
    <w:rsid w:val="00342FF2"/>
    <w:rsid w:val="003430AC"/>
    <w:rsid w:val="003430E8"/>
    <w:rsid w:val="0034315E"/>
    <w:rsid w:val="00343191"/>
    <w:rsid w:val="0034325E"/>
    <w:rsid w:val="0034332A"/>
    <w:rsid w:val="00343352"/>
    <w:rsid w:val="003433DA"/>
    <w:rsid w:val="003433E7"/>
    <w:rsid w:val="0034342A"/>
    <w:rsid w:val="0034343C"/>
    <w:rsid w:val="00343484"/>
    <w:rsid w:val="003434ED"/>
    <w:rsid w:val="003435A3"/>
    <w:rsid w:val="003435DF"/>
    <w:rsid w:val="003435F9"/>
    <w:rsid w:val="00343628"/>
    <w:rsid w:val="00343643"/>
    <w:rsid w:val="0034365C"/>
    <w:rsid w:val="003436AA"/>
    <w:rsid w:val="00343758"/>
    <w:rsid w:val="0034376E"/>
    <w:rsid w:val="003437CD"/>
    <w:rsid w:val="00343814"/>
    <w:rsid w:val="003438C6"/>
    <w:rsid w:val="003438DC"/>
    <w:rsid w:val="00343910"/>
    <w:rsid w:val="00343944"/>
    <w:rsid w:val="00343963"/>
    <w:rsid w:val="00343970"/>
    <w:rsid w:val="0034398A"/>
    <w:rsid w:val="003439DC"/>
    <w:rsid w:val="00343A23"/>
    <w:rsid w:val="00343AB1"/>
    <w:rsid w:val="00343B62"/>
    <w:rsid w:val="00343B8D"/>
    <w:rsid w:val="00343BA4"/>
    <w:rsid w:val="00343BAC"/>
    <w:rsid w:val="00343BB0"/>
    <w:rsid w:val="00343BD6"/>
    <w:rsid w:val="00343C04"/>
    <w:rsid w:val="00343C07"/>
    <w:rsid w:val="00343C3F"/>
    <w:rsid w:val="00343C4F"/>
    <w:rsid w:val="00343CC3"/>
    <w:rsid w:val="00343D37"/>
    <w:rsid w:val="00343DCD"/>
    <w:rsid w:val="00343E1E"/>
    <w:rsid w:val="00343E22"/>
    <w:rsid w:val="00343E35"/>
    <w:rsid w:val="00343E57"/>
    <w:rsid w:val="00343E5D"/>
    <w:rsid w:val="00343EAB"/>
    <w:rsid w:val="00343F47"/>
    <w:rsid w:val="0034402C"/>
    <w:rsid w:val="0034403C"/>
    <w:rsid w:val="00344057"/>
    <w:rsid w:val="0034405E"/>
    <w:rsid w:val="003440A0"/>
    <w:rsid w:val="003440BB"/>
    <w:rsid w:val="003440DA"/>
    <w:rsid w:val="003440DD"/>
    <w:rsid w:val="00344124"/>
    <w:rsid w:val="003442B4"/>
    <w:rsid w:val="00344393"/>
    <w:rsid w:val="00344452"/>
    <w:rsid w:val="0034447B"/>
    <w:rsid w:val="003444CD"/>
    <w:rsid w:val="00344530"/>
    <w:rsid w:val="00344554"/>
    <w:rsid w:val="00344558"/>
    <w:rsid w:val="003445D4"/>
    <w:rsid w:val="003445EC"/>
    <w:rsid w:val="00344607"/>
    <w:rsid w:val="0034469B"/>
    <w:rsid w:val="003446DF"/>
    <w:rsid w:val="0034471F"/>
    <w:rsid w:val="003447B5"/>
    <w:rsid w:val="003447B8"/>
    <w:rsid w:val="003447F6"/>
    <w:rsid w:val="00344815"/>
    <w:rsid w:val="00344836"/>
    <w:rsid w:val="0034487A"/>
    <w:rsid w:val="00344884"/>
    <w:rsid w:val="003448A0"/>
    <w:rsid w:val="003448B1"/>
    <w:rsid w:val="003448D5"/>
    <w:rsid w:val="003448E3"/>
    <w:rsid w:val="003448FB"/>
    <w:rsid w:val="00344927"/>
    <w:rsid w:val="0034497A"/>
    <w:rsid w:val="003449EE"/>
    <w:rsid w:val="00344ABB"/>
    <w:rsid w:val="00344AD3"/>
    <w:rsid w:val="00344B2A"/>
    <w:rsid w:val="00344B99"/>
    <w:rsid w:val="00344C18"/>
    <w:rsid w:val="00344C5F"/>
    <w:rsid w:val="00344C98"/>
    <w:rsid w:val="00344CBE"/>
    <w:rsid w:val="00344D24"/>
    <w:rsid w:val="00344D52"/>
    <w:rsid w:val="00344D6F"/>
    <w:rsid w:val="00344DAB"/>
    <w:rsid w:val="00344DE6"/>
    <w:rsid w:val="00344E2F"/>
    <w:rsid w:val="00344F13"/>
    <w:rsid w:val="00344F6C"/>
    <w:rsid w:val="00344FC0"/>
    <w:rsid w:val="00345021"/>
    <w:rsid w:val="00345024"/>
    <w:rsid w:val="00345078"/>
    <w:rsid w:val="00345094"/>
    <w:rsid w:val="00345110"/>
    <w:rsid w:val="00345117"/>
    <w:rsid w:val="0034512E"/>
    <w:rsid w:val="0034520A"/>
    <w:rsid w:val="00345239"/>
    <w:rsid w:val="00345259"/>
    <w:rsid w:val="0034528B"/>
    <w:rsid w:val="00345307"/>
    <w:rsid w:val="00345327"/>
    <w:rsid w:val="00345342"/>
    <w:rsid w:val="0034536C"/>
    <w:rsid w:val="003453C2"/>
    <w:rsid w:val="00345440"/>
    <w:rsid w:val="00345510"/>
    <w:rsid w:val="0034552A"/>
    <w:rsid w:val="00345546"/>
    <w:rsid w:val="0034557C"/>
    <w:rsid w:val="003455C7"/>
    <w:rsid w:val="00345627"/>
    <w:rsid w:val="0034563A"/>
    <w:rsid w:val="00345677"/>
    <w:rsid w:val="003456E6"/>
    <w:rsid w:val="0034571D"/>
    <w:rsid w:val="00345720"/>
    <w:rsid w:val="003457C2"/>
    <w:rsid w:val="0034589F"/>
    <w:rsid w:val="003458DE"/>
    <w:rsid w:val="0034590F"/>
    <w:rsid w:val="00345922"/>
    <w:rsid w:val="0034592A"/>
    <w:rsid w:val="003459A9"/>
    <w:rsid w:val="00345AEE"/>
    <w:rsid w:val="00345BB5"/>
    <w:rsid w:val="00345BD6"/>
    <w:rsid w:val="00345C22"/>
    <w:rsid w:val="00345CC6"/>
    <w:rsid w:val="00345D7F"/>
    <w:rsid w:val="00345EA6"/>
    <w:rsid w:val="00345EFB"/>
    <w:rsid w:val="00345FA6"/>
    <w:rsid w:val="0034601A"/>
    <w:rsid w:val="0034604A"/>
    <w:rsid w:val="003460E1"/>
    <w:rsid w:val="0034619A"/>
    <w:rsid w:val="003462CF"/>
    <w:rsid w:val="003462E4"/>
    <w:rsid w:val="003462EE"/>
    <w:rsid w:val="00346335"/>
    <w:rsid w:val="00346358"/>
    <w:rsid w:val="003463EA"/>
    <w:rsid w:val="003463F4"/>
    <w:rsid w:val="00346472"/>
    <w:rsid w:val="003464CF"/>
    <w:rsid w:val="003464E3"/>
    <w:rsid w:val="003464EF"/>
    <w:rsid w:val="0034654A"/>
    <w:rsid w:val="003465C5"/>
    <w:rsid w:val="00346696"/>
    <w:rsid w:val="003466A9"/>
    <w:rsid w:val="003466F0"/>
    <w:rsid w:val="003466F7"/>
    <w:rsid w:val="00346767"/>
    <w:rsid w:val="003467AE"/>
    <w:rsid w:val="003467D0"/>
    <w:rsid w:val="003467E7"/>
    <w:rsid w:val="00346853"/>
    <w:rsid w:val="00346897"/>
    <w:rsid w:val="003468D0"/>
    <w:rsid w:val="00346918"/>
    <w:rsid w:val="0034693F"/>
    <w:rsid w:val="00346946"/>
    <w:rsid w:val="00346966"/>
    <w:rsid w:val="00346997"/>
    <w:rsid w:val="0034699C"/>
    <w:rsid w:val="003469BF"/>
    <w:rsid w:val="00346A46"/>
    <w:rsid w:val="00346B13"/>
    <w:rsid w:val="00346B94"/>
    <w:rsid w:val="00346BA5"/>
    <w:rsid w:val="00346BB5"/>
    <w:rsid w:val="00346BBD"/>
    <w:rsid w:val="00346BEC"/>
    <w:rsid w:val="00346D1F"/>
    <w:rsid w:val="00346D86"/>
    <w:rsid w:val="00346D98"/>
    <w:rsid w:val="00346DA2"/>
    <w:rsid w:val="00346DAD"/>
    <w:rsid w:val="00346DCB"/>
    <w:rsid w:val="00346E15"/>
    <w:rsid w:val="00346F18"/>
    <w:rsid w:val="00346F60"/>
    <w:rsid w:val="00346F66"/>
    <w:rsid w:val="00346F82"/>
    <w:rsid w:val="00346FD2"/>
    <w:rsid w:val="00346FE9"/>
    <w:rsid w:val="00346FEC"/>
    <w:rsid w:val="0034701A"/>
    <w:rsid w:val="0034714E"/>
    <w:rsid w:val="0034715C"/>
    <w:rsid w:val="00347189"/>
    <w:rsid w:val="003471A2"/>
    <w:rsid w:val="003471EF"/>
    <w:rsid w:val="00347378"/>
    <w:rsid w:val="00347380"/>
    <w:rsid w:val="00347406"/>
    <w:rsid w:val="003474C9"/>
    <w:rsid w:val="00347512"/>
    <w:rsid w:val="00347519"/>
    <w:rsid w:val="0034757D"/>
    <w:rsid w:val="00347590"/>
    <w:rsid w:val="003475CE"/>
    <w:rsid w:val="003475DF"/>
    <w:rsid w:val="0034769D"/>
    <w:rsid w:val="003476B7"/>
    <w:rsid w:val="00347737"/>
    <w:rsid w:val="003477C5"/>
    <w:rsid w:val="0034780B"/>
    <w:rsid w:val="00347841"/>
    <w:rsid w:val="0034786A"/>
    <w:rsid w:val="003478BC"/>
    <w:rsid w:val="003478D1"/>
    <w:rsid w:val="003478F8"/>
    <w:rsid w:val="003479C2"/>
    <w:rsid w:val="003479DA"/>
    <w:rsid w:val="00347A1C"/>
    <w:rsid w:val="00347A89"/>
    <w:rsid w:val="00347AC3"/>
    <w:rsid w:val="00347ACC"/>
    <w:rsid w:val="00347B2C"/>
    <w:rsid w:val="00347B57"/>
    <w:rsid w:val="00347BAD"/>
    <w:rsid w:val="00347C37"/>
    <w:rsid w:val="00347C59"/>
    <w:rsid w:val="00347D12"/>
    <w:rsid w:val="00347DA0"/>
    <w:rsid w:val="00347DB3"/>
    <w:rsid w:val="00347DD0"/>
    <w:rsid w:val="00347E7F"/>
    <w:rsid w:val="00347EAA"/>
    <w:rsid w:val="00347F7D"/>
    <w:rsid w:val="00347FC1"/>
    <w:rsid w:val="00350009"/>
    <w:rsid w:val="003500AB"/>
    <w:rsid w:val="00350122"/>
    <w:rsid w:val="00350189"/>
    <w:rsid w:val="003501A7"/>
    <w:rsid w:val="00350302"/>
    <w:rsid w:val="003503F2"/>
    <w:rsid w:val="00350456"/>
    <w:rsid w:val="0035045C"/>
    <w:rsid w:val="003504C0"/>
    <w:rsid w:val="003504D9"/>
    <w:rsid w:val="00350575"/>
    <w:rsid w:val="003505B7"/>
    <w:rsid w:val="003505BE"/>
    <w:rsid w:val="003505FD"/>
    <w:rsid w:val="0035060F"/>
    <w:rsid w:val="0035066C"/>
    <w:rsid w:val="00350678"/>
    <w:rsid w:val="003506A6"/>
    <w:rsid w:val="003506A8"/>
    <w:rsid w:val="003506CD"/>
    <w:rsid w:val="003507F2"/>
    <w:rsid w:val="00350853"/>
    <w:rsid w:val="00350865"/>
    <w:rsid w:val="0035089E"/>
    <w:rsid w:val="003508AD"/>
    <w:rsid w:val="003508C4"/>
    <w:rsid w:val="003508E3"/>
    <w:rsid w:val="00350901"/>
    <w:rsid w:val="0035095D"/>
    <w:rsid w:val="0035096E"/>
    <w:rsid w:val="00350987"/>
    <w:rsid w:val="0035099B"/>
    <w:rsid w:val="003509B6"/>
    <w:rsid w:val="003509BD"/>
    <w:rsid w:val="00350A0E"/>
    <w:rsid w:val="00350A37"/>
    <w:rsid w:val="00350A38"/>
    <w:rsid w:val="00350ACE"/>
    <w:rsid w:val="00350AED"/>
    <w:rsid w:val="00350B38"/>
    <w:rsid w:val="00350BB0"/>
    <w:rsid w:val="00350C23"/>
    <w:rsid w:val="00350C7B"/>
    <w:rsid w:val="00350CEE"/>
    <w:rsid w:val="00350D02"/>
    <w:rsid w:val="00350D57"/>
    <w:rsid w:val="00350DB3"/>
    <w:rsid w:val="00350E0A"/>
    <w:rsid w:val="00350E19"/>
    <w:rsid w:val="00350E77"/>
    <w:rsid w:val="00350FAD"/>
    <w:rsid w:val="0035101D"/>
    <w:rsid w:val="0035102C"/>
    <w:rsid w:val="00351103"/>
    <w:rsid w:val="0035110A"/>
    <w:rsid w:val="00351168"/>
    <w:rsid w:val="0035117E"/>
    <w:rsid w:val="003511F2"/>
    <w:rsid w:val="00351208"/>
    <w:rsid w:val="0035135F"/>
    <w:rsid w:val="00351370"/>
    <w:rsid w:val="00351383"/>
    <w:rsid w:val="0035138D"/>
    <w:rsid w:val="003513C4"/>
    <w:rsid w:val="00351441"/>
    <w:rsid w:val="003514C1"/>
    <w:rsid w:val="003514F5"/>
    <w:rsid w:val="003514F7"/>
    <w:rsid w:val="0035150D"/>
    <w:rsid w:val="003515CE"/>
    <w:rsid w:val="00351604"/>
    <w:rsid w:val="00351631"/>
    <w:rsid w:val="00351647"/>
    <w:rsid w:val="003516C4"/>
    <w:rsid w:val="003516DF"/>
    <w:rsid w:val="0035172A"/>
    <w:rsid w:val="00351793"/>
    <w:rsid w:val="00351818"/>
    <w:rsid w:val="0035186B"/>
    <w:rsid w:val="0035191F"/>
    <w:rsid w:val="0035199A"/>
    <w:rsid w:val="003519BF"/>
    <w:rsid w:val="003519E3"/>
    <w:rsid w:val="00351A50"/>
    <w:rsid w:val="00351ADE"/>
    <w:rsid w:val="00351B1E"/>
    <w:rsid w:val="00351B47"/>
    <w:rsid w:val="00351BE9"/>
    <w:rsid w:val="00351C0D"/>
    <w:rsid w:val="00351C5C"/>
    <w:rsid w:val="00351CC6"/>
    <w:rsid w:val="00351CF9"/>
    <w:rsid w:val="00351D48"/>
    <w:rsid w:val="00351DB8"/>
    <w:rsid w:val="00351E62"/>
    <w:rsid w:val="00351E64"/>
    <w:rsid w:val="00351E8F"/>
    <w:rsid w:val="00351EE2"/>
    <w:rsid w:val="00351EE8"/>
    <w:rsid w:val="00351F1E"/>
    <w:rsid w:val="00351F20"/>
    <w:rsid w:val="00351FA3"/>
    <w:rsid w:val="0035207D"/>
    <w:rsid w:val="0035207E"/>
    <w:rsid w:val="00352107"/>
    <w:rsid w:val="00352154"/>
    <w:rsid w:val="003521AF"/>
    <w:rsid w:val="003521DD"/>
    <w:rsid w:val="003521DE"/>
    <w:rsid w:val="00352211"/>
    <w:rsid w:val="0035228B"/>
    <w:rsid w:val="003522AA"/>
    <w:rsid w:val="003522C2"/>
    <w:rsid w:val="003522F8"/>
    <w:rsid w:val="003523CA"/>
    <w:rsid w:val="003523E1"/>
    <w:rsid w:val="003523FF"/>
    <w:rsid w:val="003524D2"/>
    <w:rsid w:val="0035255F"/>
    <w:rsid w:val="0035259A"/>
    <w:rsid w:val="003525E6"/>
    <w:rsid w:val="00352648"/>
    <w:rsid w:val="003526E2"/>
    <w:rsid w:val="003526E7"/>
    <w:rsid w:val="00352754"/>
    <w:rsid w:val="003527D3"/>
    <w:rsid w:val="00352863"/>
    <w:rsid w:val="0035289F"/>
    <w:rsid w:val="003528F0"/>
    <w:rsid w:val="003529BD"/>
    <w:rsid w:val="003529CA"/>
    <w:rsid w:val="003529DA"/>
    <w:rsid w:val="00352A1C"/>
    <w:rsid w:val="00352A35"/>
    <w:rsid w:val="00352AA9"/>
    <w:rsid w:val="00352AB8"/>
    <w:rsid w:val="00352B4D"/>
    <w:rsid w:val="00352BF8"/>
    <w:rsid w:val="00352C06"/>
    <w:rsid w:val="00352C5A"/>
    <w:rsid w:val="00352CAE"/>
    <w:rsid w:val="00352CC8"/>
    <w:rsid w:val="00352CF8"/>
    <w:rsid w:val="00352D29"/>
    <w:rsid w:val="00352D9B"/>
    <w:rsid w:val="00352E18"/>
    <w:rsid w:val="00352E8A"/>
    <w:rsid w:val="00352F06"/>
    <w:rsid w:val="00352F28"/>
    <w:rsid w:val="00352F73"/>
    <w:rsid w:val="00352F86"/>
    <w:rsid w:val="00352F8C"/>
    <w:rsid w:val="0035306F"/>
    <w:rsid w:val="003530BC"/>
    <w:rsid w:val="003530C6"/>
    <w:rsid w:val="00353111"/>
    <w:rsid w:val="00353117"/>
    <w:rsid w:val="00353138"/>
    <w:rsid w:val="0035314B"/>
    <w:rsid w:val="0035317A"/>
    <w:rsid w:val="0035318A"/>
    <w:rsid w:val="003531EA"/>
    <w:rsid w:val="003533DE"/>
    <w:rsid w:val="003533F0"/>
    <w:rsid w:val="00353493"/>
    <w:rsid w:val="003534BD"/>
    <w:rsid w:val="0035350F"/>
    <w:rsid w:val="0035351B"/>
    <w:rsid w:val="0035363B"/>
    <w:rsid w:val="00353664"/>
    <w:rsid w:val="00353672"/>
    <w:rsid w:val="003536BF"/>
    <w:rsid w:val="003536C2"/>
    <w:rsid w:val="003536FC"/>
    <w:rsid w:val="00353724"/>
    <w:rsid w:val="003537DF"/>
    <w:rsid w:val="00353879"/>
    <w:rsid w:val="003539CD"/>
    <w:rsid w:val="003539DE"/>
    <w:rsid w:val="003539E2"/>
    <w:rsid w:val="00353A34"/>
    <w:rsid w:val="00353A48"/>
    <w:rsid w:val="00353A8C"/>
    <w:rsid w:val="00353B19"/>
    <w:rsid w:val="00353B46"/>
    <w:rsid w:val="00353B85"/>
    <w:rsid w:val="00353B94"/>
    <w:rsid w:val="00353BB3"/>
    <w:rsid w:val="00353BE5"/>
    <w:rsid w:val="00353C3D"/>
    <w:rsid w:val="00353CDB"/>
    <w:rsid w:val="00353CE4"/>
    <w:rsid w:val="00353DBF"/>
    <w:rsid w:val="00353DC7"/>
    <w:rsid w:val="00353E1E"/>
    <w:rsid w:val="00353ED7"/>
    <w:rsid w:val="00353F6D"/>
    <w:rsid w:val="00353F83"/>
    <w:rsid w:val="00354018"/>
    <w:rsid w:val="0035401F"/>
    <w:rsid w:val="0035403A"/>
    <w:rsid w:val="0035403F"/>
    <w:rsid w:val="0035404E"/>
    <w:rsid w:val="00354060"/>
    <w:rsid w:val="00354072"/>
    <w:rsid w:val="003540B6"/>
    <w:rsid w:val="00354105"/>
    <w:rsid w:val="00354178"/>
    <w:rsid w:val="003541D2"/>
    <w:rsid w:val="003541D8"/>
    <w:rsid w:val="003541E1"/>
    <w:rsid w:val="0035424E"/>
    <w:rsid w:val="0035425B"/>
    <w:rsid w:val="0035425C"/>
    <w:rsid w:val="0035427A"/>
    <w:rsid w:val="003542BD"/>
    <w:rsid w:val="0035433A"/>
    <w:rsid w:val="003543EA"/>
    <w:rsid w:val="00354519"/>
    <w:rsid w:val="003546B6"/>
    <w:rsid w:val="00354718"/>
    <w:rsid w:val="0035478D"/>
    <w:rsid w:val="00354798"/>
    <w:rsid w:val="003547C0"/>
    <w:rsid w:val="003547F4"/>
    <w:rsid w:val="00354812"/>
    <w:rsid w:val="00354845"/>
    <w:rsid w:val="00354885"/>
    <w:rsid w:val="003548D3"/>
    <w:rsid w:val="0035499C"/>
    <w:rsid w:val="003549A0"/>
    <w:rsid w:val="00354A8F"/>
    <w:rsid w:val="00354B4C"/>
    <w:rsid w:val="00354BF4"/>
    <w:rsid w:val="00354C8A"/>
    <w:rsid w:val="00354CA0"/>
    <w:rsid w:val="00354D21"/>
    <w:rsid w:val="00354D5A"/>
    <w:rsid w:val="00354DC6"/>
    <w:rsid w:val="00354E09"/>
    <w:rsid w:val="00354E6C"/>
    <w:rsid w:val="00354E88"/>
    <w:rsid w:val="00354F48"/>
    <w:rsid w:val="00354F57"/>
    <w:rsid w:val="00354FB4"/>
    <w:rsid w:val="00354FC9"/>
    <w:rsid w:val="00354FDA"/>
    <w:rsid w:val="00355005"/>
    <w:rsid w:val="0035501D"/>
    <w:rsid w:val="00355047"/>
    <w:rsid w:val="003550A3"/>
    <w:rsid w:val="0035510A"/>
    <w:rsid w:val="00355395"/>
    <w:rsid w:val="003553B6"/>
    <w:rsid w:val="00355441"/>
    <w:rsid w:val="003554D6"/>
    <w:rsid w:val="003554E5"/>
    <w:rsid w:val="00355572"/>
    <w:rsid w:val="003555DA"/>
    <w:rsid w:val="003555E1"/>
    <w:rsid w:val="00355677"/>
    <w:rsid w:val="003556AA"/>
    <w:rsid w:val="003556AB"/>
    <w:rsid w:val="003556CE"/>
    <w:rsid w:val="003556D8"/>
    <w:rsid w:val="003556DF"/>
    <w:rsid w:val="00355777"/>
    <w:rsid w:val="00355797"/>
    <w:rsid w:val="003557DB"/>
    <w:rsid w:val="00355815"/>
    <w:rsid w:val="00355851"/>
    <w:rsid w:val="00355883"/>
    <w:rsid w:val="003558E3"/>
    <w:rsid w:val="003558FD"/>
    <w:rsid w:val="00355910"/>
    <w:rsid w:val="003559D3"/>
    <w:rsid w:val="00355A0E"/>
    <w:rsid w:val="00355A3F"/>
    <w:rsid w:val="00355B4D"/>
    <w:rsid w:val="00355B94"/>
    <w:rsid w:val="00355BC4"/>
    <w:rsid w:val="00355BD9"/>
    <w:rsid w:val="00355C83"/>
    <w:rsid w:val="00355C98"/>
    <w:rsid w:val="00355D37"/>
    <w:rsid w:val="00355E0F"/>
    <w:rsid w:val="00355E11"/>
    <w:rsid w:val="00355E13"/>
    <w:rsid w:val="00355E2B"/>
    <w:rsid w:val="00355E74"/>
    <w:rsid w:val="00355E77"/>
    <w:rsid w:val="00355EC6"/>
    <w:rsid w:val="00355F7C"/>
    <w:rsid w:val="00355F7D"/>
    <w:rsid w:val="00355FCA"/>
    <w:rsid w:val="00355FD5"/>
    <w:rsid w:val="0035600F"/>
    <w:rsid w:val="00356032"/>
    <w:rsid w:val="003560EE"/>
    <w:rsid w:val="0035610E"/>
    <w:rsid w:val="003561AA"/>
    <w:rsid w:val="003561B4"/>
    <w:rsid w:val="003561C0"/>
    <w:rsid w:val="00356218"/>
    <w:rsid w:val="003562E2"/>
    <w:rsid w:val="003562F3"/>
    <w:rsid w:val="003563E3"/>
    <w:rsid w:val="00356408"/>
    <w:rsid w:val="0035640D"/>
    <w:rsid w:val="0035643C"/>
    <w:rsid w:val="00356487"/>
    <w:rsid w:val="003564EA"/>
    <w:rsid w:val="00356510"/>
    <w:rsid w:val="00356526"/>
    <w:rsid w:val="00356532"/>
    <w:rsid w:val="0035659D"/>
    <w:rsid w:val="00356620"/>
    <w:rsid w:val="00356674"/>
    <w:rsid w:val="00356681"/>
    <w:rsid w:val="003566B1"/>
    <w:rsid w:val="00356715"/>
    <w:rsid w:val="0035676B"/>
    <w:rsid w:val="003567A3"/>
    <w:rsid w:val="00356809"/>
    <w:rsid w:val="0035690B"/>
    <w:rsid w:val="00356957"/>
    <w:rsid w:val="00356994"/>
    <w:rsid w:val="003569C9"/>
    <w:rsid w:val="003569D5"/>
    <w:rsid w:val="003569E2"/>
    <w:rsid w:val="003569FD"/>
    <w:rsid w:val="00356A06"/>
    <w:rsid w:val="00356A0A"/>
    <w:rsid w:val="00356A3B"/>
    <w:rsid w:val="00356A8B"/>
    <w:rsid w:val="00356B38"/>
    <w:rsid w:val="00356B3B"/>
    <w:rsid w:val="00356B53"/>
    <w:rsid w:val="00356BC2"/>
    <w:rsid w:val="00356C04"/>
    <w:rsid w:val="00356CBC"/>
    <w:rsid w:val="00356CC9"/>
    <w:rsid w:val="00356CCB"/>
    <w:rsid w:val="00356D28"/>
    <w:rsid w:val="00356D30"/>
    <w:rsid w:val="00356DEF"/>
    <w:rsid w:val="00356E91"/>
    <w:rsid w:val="00356EFD"/>
    <w:rsid w:val="00356F84"/>
    <w:rsid w:val="00357009"/>
    <w:rsid w:val="00357098"/>
    <w:rsid w:val="003570AE"/>
    <w:rsid w:val="003570B1"/>
    <w:rsid w:val="0035714E"/>
    <w:rsid w:val="0035716F"/>
    <w:rsid w:val="0035724F"/>
    <w:rsid w:val="0035726D"/>
    <w:rsid w:val="003572B0"/>
    <w:rsid w:val="0035732E"/>
    <w:rsid w:val="00357441"/>
    <w:rsid w:val="0035747A"/>
    <w:rsid w:val="0035747C"/>
    <w:rsid w:val="003574D3"/>
    <w:rsid w:val="0035753C"/>
    <w:rsid w:val="0035756F"/>
    <w:rsid w:val="0035757E"/>
    <w:rsid w:val="003575AB"/>
    <w:rsid w:val="00357611"/>
    <w:rsid w:val="0035761A"/>
    <w:rsid w:val="003576A0"/>
    <w:rsid w:val="003576AC"/>
    <w:rsid w:val="003576BE"/>
    <w:rsid w:val="00357733"/>
    <w:rsid w:val="00357767"/>
    <w:rsid w:val="00357782"/>
    <w:rsid w:val="0035782B"/>
    <w:rsid w:val="00357875"/>
    <w:rsid w:val="003578B8"/>
    <w:rsid w:val="003578BA"/>
    <w:rsid w:val="00357AC6"/>
    <w:rsid w:val="00357AD2"/>
    <w:rsid w:val="00357AE5"/>
    <w:rsid w:val="00357BA1"/>
    <w:rsid w:val="00357BC8"/>
    <w:rsid w:val="00357D3D"/>
    <w:rsid w:val="00357D62"/>
    <w:rsid w:val="00357D69"/>
    <w:rsid w:val="00357D70"/>
    <w:rsid w:val="00357D78"/>
    <w:rsid w:val="00357DE3"/>
    <w:rsid w:val="00357E30"/>
    <w:rsid w:val="00357E39"/>
    <w:rsid w:val="00357E7A"/>
    <w:rsid w:val="00357E8B"/>
    <w:rsid w:val="00357EA2"/>
    <w:rsid w:val="00357EE8"/>
    <w:rsid w:val="00357EF2"/>
    <w:rsid w:val="00357FDC"/>
    <w:rsid w:val="00357FE1"/>
    <w:rsid w:val="00360047"/>
    <w:rsid w:val="003600C5"/>
    <w:rsid w:val="00360120"/>
    <w:rsid w:val="00360126"/>
    <w:rsid w:val="00360144"/>
    <w:rsid w:val="00360146"/>
    <w:rsid w:val="00360201"/>
    <w:rsid w:val="0036020F"/>
    <w:rsid w:val="00360271"/>
    <w:rsid w:val="00360276"/>
    <w:rsid w:val="00360277"/>
    <w:rsid w:val="00360309"/>
    <w:rsid w:val="003603F7"/>
    <w:rsid w:val="00360433"/>
    <w:rsid w:val="0036047E"/>
    <w:rsid w:val="003604AB"/>
    <w:rsid w:val="003604B2"/>
    <w:rsid w:val="00360513"/>
    <w:rsid w:val="00360522"/>
    <w:rsid w:val="00360571"/>
    <w:rsid w:val="00360576"/>
    <w:rsid w:val="003606EB"/>
    <w:rsid w:val="003607B7"/>
    <w:rsid w:val="003608B8"/>
    <w:rsid w:val="003608CE"/>
    <w:rsid w:val="003608D9"/>
    <w:rsid w:val="003608FD"/>
    <w:rsid w:val="00360A1E"/>
    <w:rsid w:val="00360A79"/>
    <w:rsid w:val="00360A9C"/>
    <w:rsid w:val="00360AAD"/>
    <w:rsid w:val="00360AD2"/>
    <w:rsid w:val="00360AD8"/>
    <w:rsid w:val="00360B47"/>
    <w:rsid w:val="00360B78"/>
    <w:rsid w:val="00360BEE"/>
    <w:rsid w:val="00360BFF"/>
    <w:rsid w:val="00360C67"/>
    <w:rsid w:val="00360C8F"/>
    <w:rsid w:val="00360D6F"/>
    <w:rsid w:val="00360DB5"/>
    <w:rsid w:val="00360E08"/>
    <w:rsid w:val="00360E30"/>
    <w:rsid w:val="00360EF8"/>
    <w:rsid w:val="00360EFF"/>
    <w:rsid w:val="00360F0F"/>
    <w:rsid w:val="00360F33"/>
    <w:rsid w:val="00360F57"/>
    <w:rsid w:val="00360FB9"/>
    <w:rsid w:val="0036103E"/>
    <w:rsid w:val="003610B2"/>
    <w:rsid w:val="003610D0"/>
    <w:rsid w:val="003610EB"/>
    <w:rsid w:val="00361233"/>
    <w:rsid w:val="00361237"/>
    <w:rsid w:val="00361278"/>
    <w:rsid w:val="003612A0"/>
    <w:rsid w:val="003612BB"/>
    <w:rsid w:val="003612C9"/>
    <w:rsid w:val="003612CD"/>
    <w:rsid w:val="00361375"/>
    <w:rsid w:val="00361432"/>
    <w:rsid w:val="00361455"/>
    <w:rsid w:val="0036147C"/>
    <w:rsid w:val="003614E4"/>
    <w:rsid w:val="003614E8"/>
    <w:rsid w:val="0036156C"/>
    <w:rsid w:val="003615F0"/>
    <w:rsid w:val="00361680"/>
    <w:rsid w:val="003616BD"/>
    <w:rsid w:val="00361719"/>
    <w:rsid w:val="00361870"/>
    <w:rsid w:val="00361883"/>
    <w:rsid w:val="003618C2"/>
    <w:rsid w:val="003619D7"/>
    <w:rsid w:val="00361A01"/>
    <w:rsid w:val="00361A84"/>
    <w:rsid w:val="00361AA6"/>
    <w:rsid w:val="00361B3C"/>
    <w:rsid w:val="00361B55"/>
    <w:rsid w:val="00361B69"/>
    <w:rsid w:val="00361C55"/>
    <w:rsid w:val="00361C91"/>
    <w:rsid w:val="00361CE2"/>
    <w:rsid w:val="00361D73"/>
    <w:rsid w:val="00361D8C"/>
    <w:rsid w:val="00361DD4"/>
    <w:rsid w:val="00361DE1"/>
    <w:rsid w:val="00361E85"/>
    <w:rsid w:val="00361F74"/>
    <w:rsid w:val="00361F87"/>
    <w:rsid w:val="00361F96"/>
    <w:rsid w:val="00361FBA"/>
    <w:rsid w:val="00361FE1"/>
    <w:rsid w:val="0036201D"/>
    <w:rsid w:val="00362077"/>
    <w:rsid w:val="003620D0"/>
    <w:rsid w:val="003620F0"/>
    <w:rsid w:val="003621A0"/>
    <w:rsid w:val="003621C4"/>
    <w:rsid w:val="003621DC"/>
    <w:rsid w:val="003621F3"/>
    <w:rsid w:val="003622A6"/>
    <w:rsid w:val="003622BB"/>
    <w:rsid w:val="003623B7"/>
    <w:rsid w:val="003623D3"/>
    <w:rsid w:val="0036242D"/>
    <w:rsid w:val="00362535"/>
    <w:rsid w:val="00362586"/>
    <w:rsid w:val="00362645"/>
    <w:rsid w:val="00362658"/>
    <w:rsid w:val="003626B0"/>
    <w:rsid w:val="003626B9"/>
    <w:rsid w:val="003626F2"/>
    <w:rsid w:val="003626F9"/>
    <w:rsid w:val="00362705"/>
    <w:rsid w:val="0036276C"/>
    <w:rsid w:val="00362795"/>
    <w:rsid w:val="003627F7"/>
    <w:rsid w:val="003627F9"/>
    <w:rsid w:val="0036284E"/>
    <w:rsid w:val="0036284F"/>
    <w:rsid w:val="0036289A"/>
    <w:rsid w:val="003628CA"/>
    <w:rsid w:val="0036296A"/>
    <w:rsid w:val="003629D1"/>
    <w:rsid w:val="00362A29"/>
    <w:rsid w:val="00362AA7"/>
    <w:rsid w:val="00362AAD"/>
    <w:rsid w:val="00362AE2"/>
    <w:rsid w:val="00362AF5"/>
    <w:rsid w:val="00362B52"/>
    <w:rsid w:val="00362BEE"/>
    <w:rsid w:val="00362C15"/>
    <w:rsid w:val="00362C21"/>
    <w:rsid w:val="00362C2C"/>
    <w:rsid w:val="00362C5F"/>
    <w:rsid w:val="00362CB1"/>
    <w:rsid w:val="00362CD7"/>
    <w:rsid w:val="00362D20"/>
    <w:rsid w:val="00362D9C"/>
    <w:rsid w:val="00362DAB"/>
    <w:rsid w:val="00362E2D"/>
    <w:rsid w:val="00362F80"/>
    <w:rsid w:val="0036312C"/>
    <w:rsid w:val="00363155"/>
    <w:rsid w:val="00363164"/>
    <w:rsid w:val="0036319C"/>
    <w:rsid w:val="003631B8"/>
    <w:rsid w:val="0036320E"/>
    <w:rsid w:val="003632A3"/>
    <w:rsid w:val="003632AF"/>
    <w:rsid w:val="003632B8"/>
    <w:rsid w:val="003632D7"/>
    <w:rsid w:val="00363375"/>
    <w:rsid w:val="0036337A"/>
    <w:rsid w:val="0036338A"/>
    <w:rsid w:val="003633EA"/>
    <w:rsid w:val="00363465"/>
    <w:rsid w:val="0036350F"/>
    <w:rsid w:val="00363534"/>
    <w:rsid w:val="00363584"/>
    <w:rsid w:val="00363607"/>
    <w:rsid w:val="003636E1"/>
    <w:rsid w:val="0036371D"/>
    <w:rsid w:val="00363751"/>
    <w:rsid w:val="003637A6"/>
    <w:rsid w:val="003637D8"/>
    <w:rsid w:val="00363856"/>
    <w:rsid w:val="003638E0"/>
    <w:rsid w:val="00363935"/>
    <w:rsid w:val="003639AD"/>
    <w:rsid w:val="003639AF"/>
    <w:rsid w:val="003639D4"/>
    <w:rsid w:val="003639F9"/>
    <w:rsid w:val="00363A05"/>
    <w:rsid w:val="00363A2D"/>
    <w:rsid w:val="00363A43"/>
    <w:rsid w:val="00363A4F"/>
    <w:rsid w:val="00363ADB"/>
    <w:rsid w:val="00363AEA"/>
    <w:rsid w:val="00363B96"/>
    <w:rsid w:val="00363BC9"/>
    <w:rsid w:val="00363C7B"/>
    <w:rsid w:val="00363D97"/>
    <w:rsid w:val="00363DB5"/>
    <w:rsid w:val="00363DB7"/>
    <w:rsid w:val="00363DCE"/>
    <w:rsid w:val="00363E1E"/>
    <w:rsid w:val="00363F69"/>
    <w:rsid w:val="00363F92"/>
    <w:rsid w:val="00363FC5"/>
    <w:rsid w:val="00364005"/>
    <w:rsid w:val="00364007"/>
    <w:rsid w:val="00364029"/>
    <w:rsid w:val="0036409B"/>
    <w:rsid w:val="003640B9"/>
    <w:rsid w:val="00364117"/>
    <w:rsid w:val="0036418A"/>
    <w:rsid w:val="003641E6"/>
    <w:rsid w:val="003641F8"/>
    <w:rsid w:val="00364381"/>
    <w:rsid w:val="00364393"/>
    <w:rsid w:val="003643F0"/>
    <w:rsid w:val="0036443B"/>
    <w:rsid w:val="00364517"/>
    <w:rsid w:val="00364526"/>
    <w:rsid w:val="00364577"/>
    <w:rsid w:val="003646E6"/>
    <w:rsid w:val="003647C8"/>
    <w:rsid w:val="003648ED"/>
    <w:rsid w:val="00364900"/>
    <w:rsid w:val="00364927"/>
    <w:rsid w:val="0036496F"/>
    <w:rsid w:val="003649D8"/>
    <w:rsid w:val="00364A0D"/>
    <w:rsid w:val="00364A40"/>
    <w:rsid w:val="00364A51"/>
    <w:rsid w:val="00364B26"/>
    <w:rsid w:val="00364BD9"/>
    <w:rsid w:val="00364C1F"/>
    <w:rsid w:val="00364CD2"/>
    <w:rsid w:val="00364D32"/>
    <w:rsid w:val="00364D43"/>
    <w:rsid w:val="00364D54"/>
    <w:rsid w:val="00364DA0"/>
    <w:rsid w:val="00364E0D"/>
    <w:rsid w:val="00364E4C"/>
    <w:rsid w:val="00364E8D"/>
    <w:rsid w:val="00364F23"/>
    <w:rsid w:val="00364F2F"/>
    <w:rsid w:val="00364F32"/>
    <w:rsid w:val="00364F34"/>
    <w:rsid w:val="00364F39"/>
    <w:rsid w:val="00364F70"/>
    <w:rsid w:val="00364F8B"/>
    <w:rsid w:val="00364F9C"/>
    <w:rsid w:val="00365094"/>
    <w:rsid w:val="003650BD"/>
    <w:rsid w:val="003650F6"/>
    <w:rsid w:val="00365172"/>
    <w:rsid w:val="0036521D"/>
    <w:rsid w:val="003652A0"/>
    <w:rsid w:val="003652A8"/>
    <w:rsid w:val="0036534A"/>
    <w:rsid w:val="0036541D"/>
    <w:rsid w:val="0036544B"/>
    <w:rsid w:val="00365465"/>
    <w:rsid w:val="00365472"/>
    <w:rsid w:val="00365499"/>
    <w:rsid w:val="003654C8"/>
    <w:rsid w:val="00365516"/>
    <w:rsid w:val="00365519"/>
    <w:rsid w:val="00365522"/>
    <w:rsid w:val="0036554B"/>
    <w:rsid w:val="00365617"/>
    <w:rsid w:val="00365736"/>
    <w:rsid w:val="00365740"/>
    <w:rsid w:val="00365806"/>
    <w:rsid w:val="0036581C"/>
    <w:rsid w:val="0036584F"/>
    <w:rsid w:val="00365873"/>
    <w:rsid w:val="00365878"/>
    <w:rsid w:val="0036587A"/>
    <w:rsid w:val="00365887"/>
    <w:rsid w:val="003658ED"/>
    <w:rsid w:val="00365915"/>
    <w:rsid w:val="0036596D"/>
    <w:rsid w:val="003659AB"/>
    <w:rsid w:val="00365A01"/>
    <w:rsid w:val="00365A21"/>
    <w:rsid w:val="00365A4A"/>
    <w:rsid w:val="00365A59"/>
    <w:rsid w:val="00365A80"/>
    <w:rsid w:val="00365A9B"/>
    <w:rsid w:val="00365AA8"/>
    <w:rsid w:val="00365AB4"/>
    <w:rsid w:val="00365B8A"/>
    <w:rsid w:val="00365BF5"/>
    <w:rsid w:val="00365C40"/>
    <w:rsid w:val="00365C68"/>
    <w:rsid w:val="00365C90"/>
    <w:rsid w:val="00365C9F"/>
    <w:rsid w:val="00365D9A"/>
    <w:rsid w:val="00365DBA"/>
    <w:rsid w:val="00365DCE"/>
    <w:rsid w:val="00365DF2"/>
    <w:rsid w:val="00365F6B"/>
    <w:rsid w:val="00365F87"/>
    <w:rsid w:val="00365FA4"/>
    <w:rsid w:val="00366011"/>
    <w:rsid w:val="0036601F"/>
    <w:rsid w:val="0036603D"/>
    <w:rsid w:val="0036607E"/>
    <w:rsid w:val="003660E5"/>
    <w:rsid w:val="0036611B"/>
    <w:rsid w:val="003661A4"/>
    <w:rsid w:val="003661BD"/>
    <w:rsid w:val="003661CF"/>
    <w:rsid w:val="0036631C"/>
    <w:rsid w:val="0036635A"/>
    <w:rsid w:val="0036640A"/>
    <w:rsid w:val="003664B2"/>
    <w:rsid w:val="0036656C"/>
    <w:rsid w:val="00366576"/>
    <w:rsid w:val="003665FA"/>
    <w:rsid w:val="00366603"/>
    <w:rsid w:val="00366735"/>
    <w:rsid w:val="003667A3"/>
    <w:rsid w:val="0036685B"/>
    <w:rsid w:val="003668A0"/>
    <w:rsid w:val="003668FC"/>
    <w:rsid w:val="00366953"/>
    <w:rsid w:val="00366987"/>
    <w:rsid w:val="003669C3"/>
    <w:rsid w:val="003669C7"/>
    <w:rsid w:val="00366A1A"/>
    <w:rsid w:val="00366A36"/>
    <w:rsid w:val="00366A71"/>
    <w:rsid w:val="00366B50"/>
    <w:rsid w:val="00366B73"/>
    <w:rsid w:val="00366BC0"/>
    <w:rsid w:val="00366BF1"/>
    <w:rsid w:val="00366C95"/>
    <w:rsid w:val="00366CF3"/>
    <w:rsid w:val="00366D04"/>
    <w:rsid w:val="00366DA4"/>
    <w:rsid w:val="00366DA8"/>
    <w:rsid w:val="00366DD2"/>
    <w:rsid w:val="00366DF3"/>
    <w:rsid w:val="00366E2A"/>
    <w:rsid w:val="00366E41"/>
    <w:rsid w:val="00366EED"/>
    <w:rsid w:val="00366F55"/>
    <w:rsid w:val="00366F5A"/>
    <w:rsid w:val="00367082"/>
    <w:rsid w:val="0036708B"/>
    <w:rsid w:val="003670B3"/>
    <w:rsid w:val="003670BC"/>
    <w:rsid w:val="0036712D"/>
    <w:rsid w:val="00367165"/>
    <w:rsid w:val="003671A9"/>
    <w:rsid w:val="00367288"/>
    <w:rsid w:val="0036729E"/>
    <w:rsid w:val="003672C4"/>
    <w:rsid w:val="003672C9"/>
    <w:rsid w:val="003672EC"/>
    <w:rsid w:val="00367324"/>
    <w:rsid w:val="00367387"/>
    <w:rsid w:val="0036739F"/>
    <w:rsid w:val="0036741C"/>
    <w:rsid w:val="00367590"/>
    <w:rsid w:val="003675B8"/>
    <w:rsid w:val="003675DE"/>
    <w:rsid w:val="0036767D"/>
    <w:rsid w:val="003676A6"/>
    <w:rsid w:val="003676F0"/>
    <w:rsid w:val="0036775F"/>
    <w:rsid w:val="003677A8"/>
    <w:rsid w:val="003677BD"/>
    <w:rsid w:val="0036787B"/>
    <w:rsid w:val="003678AB"/>
    <w:rsid w:val="003678B3"/>
    <w:rsid w:val="003678C2"/>
    <w:rsid w:val="003678C7"/>
    <w:rsid w:val="003678DF"/>
    <w:rsid w:val="003679B7"/>
    <w:rsid w:val="00367A60"/>
    <w:rsid w:val="00367A79"/>
    <w:rsid w:val="00367ACD"/>
    <w:rsid w:val="00367ADE"/>
    <w:rsid w:val="00367AE5"/>
    <w:rsid w:val="00367B98"/>
    <w:rsid w:val="00367BCD"/>
    <w:rsid w:val="00367C27"/>
    <w:rsid w:val="00367C5B"/>
    <w:rsid w:val="00367C5D"/>
    <w:rsid w:val="00367C73"/>
    <w:rsid w:val="00367CE0"/>
    <w:rsid w:val="00367CEC"/>
    <w:rsid w:val="00367D09"/>
    <w:rsid w:val="00367D71"/>
    <w:rsid w:val="00367D8D"/>
    <w:rsid w:val="00367DA3"/>
    <w:rsid w:val="00367E0E"/>
    <w:rsid w:val="00367E14"/>
    <w:rsid w:val="00367E54"/>
    <w:rsid w:val="00367E76"/>
    <w:rsid w:val="00367EE4"/>
    <w:rsid w:val="00367EEC"/>
    <w:rsid w:val="00367F18"/>
    <w:rsid w:val="00367F2D"/>
    <w:rsid w:val="00367F52"/>
    <w:rsid w:val="00367F9F"/>
    <w:rsid w:val="00367FEF"/>
    <w:rsid w:val="00370072"/>
    <w:rsid w:val="003700CB"/>
    <w:rsid w:val="00370105"/>
    <w:rsid w:val="00370178"/>
    <w:rsid w:val="00370188"/>
    <w:rsid w:val="003701D9"/>
    <w:rsid w:val="003701E5"/>
    <w:rsid w:val="00370203"/>
    <w:rsid w:val="00370239"/>
    <w:rsid w:val="0037024B"/>
    <w:rsid w:val="00370271"/>
    <w:rsid w:val="0037027C"/>
    <w:rsid w:val="0037027E"/>
    <w:rsid w:val="00370285"/>
    <w:rsid w:val="00370382"/>
    <w:rsid w:val="003703B5"/>
    <w:rsid w:val="003703E2"/>
    <w:rsid w:val="003703FB"/>
    <w:rsid w:val="00370400"/>
    <w:rsid w:val="00370417"/>
    <w:rsid w:val="0037047C"/>
    <w:rsid w:val="003704B1"/>
    <w:rsid w:val="00370541"/>
    <w:rsid w:val="003705D8"/>
    <w:rsid w:val="003705D9"/>
    <w:rsid w:val="00370606"/>
    <w:rsid w:val="0037061A"/>
    <w:rsid w:val="00370654"/>
    <w:rsid w:val="003706B9"/>
    <w:rsid w:val="003706E0"/>
    <w:rsid w:val="00370723"/>
    <w:rsid w:val="0037074A"/>
    <w:rsid w:val="00370851"/>
    <w:rsid w:val="00370858"/>
    <w:rsid w:val="0037086F"/>
    <w:rsid w:val="003708A9"/>
    <w:rsid w:val="0037091A"/>
    <w:rsid w:val="0037098F"/>
    <w:rsid w:val="003709A1"/>
    <w:rsid w:val="003709FA"/>
    <w:rsid w:val="00370A07"/>
    <w:rsid w:val="00370A08"/>
    <w:rsid w:val="00370A42"/>
    <w:rsid w:val="00370B0D"/>
    <w:rsid w:val="00370B17"/>
    <w:rsid w:val="00370B43"/>
    <w:rsid w:val="00370C37"/>
    <w:rsid w:val="00370D2A"/>
    <w:rsid w:val="00370D3A"/>
    <w:rsid w:val="00370D70"/>
    <w:rsid w:val="00370DB1"/>
    <w:rsid w:val="00370E18"/>
    <w:rsid w:val="00370FB1"/>
    <w:rsid w:val="00371096"/>
    <w:rsid w:val="003710DB"/>
    <w:rsid w:val="00371137"/>
    <w:rsid w:val="0037119D"/>
    <w:rsid w:val="003711BF"/>
    <w:rsid w:val="003711DE"/>
    <w:rsid w:val="003711F1"/>
    <w:rsid w:val="003712D7"/>
    <w:rsid w:val="00371305"/>
    <w:rsid w:val="0037130F"/>
    <w:rsid w:val="0037134A"/>
    <w:rsid w:val="00371373"/>
    <w:rsid w:val="003713B4"/>
    <w:rsid w:val="0037143A"/>
    <w:rsid w:val="0037149E"/>
    <w:rsid w:val="003714C3"/>
    <w:rsid w:val="003714E4"/>
    <w:rsid w:val="0037150A"/>
    <w:rsid w:val="00371585"/>
    <w:rsid w:val="00371589"/>
    <w:rsid w:val="003715C0"/>
    <w:rsid w:val="003715D2"/>
    <w:rsid w:val="003715DE"/>
    <w:rsid w:val="00371612"/>
    <w:rsid w:val="0037166F"/>
    <w:rsid w:val="003716AF"/>
    <w:rsid w:val="003716D4"/>
    <w:rsid w:val="003716E6"/>
    <w:rsid w:val="003716F0"/>
    <w:rsid w:val="00371778"/>
    <w:rsid w:val="00371785"/>
    <w:rsid w:val="003717FB"/>
    <w:rsid w:val="0037183E"/>
    <w:rsid w:val="00371840"/>
    <w:rsid w:val="00371991"/>
    <w:rsid w:val="00371A7F"/>
    <w:rsid w:val="00371A87"/>
    <w:rsid w:val="00371BB3"/>
    <w:rsid w:val="00371BBC"/>
    <w:rsid w:val="00371BD9"/>
    <w:rsid w:val="00371C82"/>
    <w:rsid w:val="00371C8B"/>
    <w:rsid w:val="00371D0B"/>
    <w:rsid w:val="00371D0C"/>
    <w:rsid w:val="00371D71"/>
    <w:rsid w:val="00371D7E"/>
    <w:rsid w:val="00371D94"/>
    <w:rsid w:val="00371DCA"/>
    <w:rsid w:val="00371E84"/>
    <w:rsid w:val="00371EA6"/>
    <w:rsid w:val="00371EAA"/>
    <w:rsid w:val="00371F26"/>
    <w:rsid w:val="00371F86"/>
    <w:rsid w:val="00371FDC"/>
    <w:rsid w:val="00372023"/>
    <w:rsid w:val="00372051"/>
    <w:rsid w:val="0037205B"/>
    <w:rsid w:val="003720B7"/>
    <w:rsid w:val="003720BF"/>
    <w:rsid w:val="00372135"/>
    <w:rsid w:val="00372164"/>
    <w:rsid w:val="00372172"/>
    <w:rsid w:val="003721C6"/>
    <w:rsid w:val="003721E4"/>
    <w:rsid w:val="00372210"/>
    <w:rsid w:val="00372222"/>
    <w:rsid w:val="0037229F"/>
    <w:rsid w:val="003722FD"/>
    <w:rsid w:val="00372319"/>
    <w:rsid w:val="00372339"/>
    <w:rsid w:val="003723C9"/>
    <w:rsid w:val="0037242B"/>
    <w:rsid w:val="0037245B"/>
    <w:rsid w:val="0037250C"/>
    <w:rsid w:val="0037256F"/>
    <w:rsid w:val="003725EF"/>
    <w:rsid w:val="00372627"/>
    <w:rsid w:val="0037262C"/>
    <w:rsid w:val="0037263E"/>
    <w:rsid w:val="003726C5"/>
    <w:rsid w:val="003726EE"/>
    <w:rsid w:val="0037270C"/>
    <w:rsid w:val="00372756"/>
    <w:rsid w:val="00372769"/>
    <w:rsid w:val="003727DB"/>
    <w:rsid w:val="00372839"/>
    <w:rsid w:val="003728A0"/>
    <w:rsid w:val="00372938"/>
    <w:rsid w:val="0037297D"/>
    <w:rsid w:val="0037299C"/>
    <w:rsid w:val="00372A4D"/>
    <w:rsid w:val="00372AD3"/>
    <w:rsid w:val="00372AED"/>
    <w:rsid w:val="00372B34"/>
    <w:rsid w:val="00372D03"/>
    <w:rsid w:val="00372D2E"/>
    <w:rsid w:val="00372DB0"/>
    <w:rsid w:val="00372DD8"/>
    <w:rsid w:val="00372E65"/>
    <w:rsid w:val="00372EAD"/>
    <w:rsid w:val="00372EB9"/>
    <w:rsid w:val="00372EC8"/>
    <w:rsid w:val="00372ECD"/>
    <w:rsid w:val="00372F06"/>
    <w:rsid w:val="00372FEE"/>
    <w:rsid w:val="00373000"/>
    <w:rsid w:val="00373023"/>
    <w:rsid w:val="00373031"/>
    <w:rsid w:val="00373076"/>
    <w:rsid w:val="0037308A"/>
    <w:rsid w:val="003730E3"/>
    <w:rsid w:val="00373128"/>
    <w:rsid w:val="0037316B"/>
    <w:rsid w:val="003731F3"/>
    <w:rsid w:val="003731FC"/>
    <w:rsid w:val="003732FA"/>
    <w:rsid w:val="00373345"/>
    <w:rsid w:val="00373390"/>
    <w:rsid w:val="003733AD"/>
    <w:rsid w:val="0037348C"/>
    <w:rsid w:val="0037353C"/>
    <w:rsid w:val="00373550"/>
    <w:rsid w:val="0037355B"/>
    <w:rsid w:val="00373589"/>
    <w:rsid w:val="00373591"/>
    <w:rsid w:val="003736B8"/>
    <w:rsid w:val="0037373B"/>
    <w:rsid w:val="003737F0"/>
    <w:rsid w:val="0037381A"/>
    <w:rsid w:val="00373830"/>
    <w:rsid w:val="00373868"/>
    <w:rsid w:val="00373876"/>
    <w:rsid w:val="0037388D"/>
    <w:rsid w:val="003738E3"/>
    <w:rsid w:val="00373950"/>
    <w:rsid w:val="0037398F"/>
    <w:rsid w:val="003739C0"/>
    <w:rsid w:val="003739C5"/>
    <w:rsid w:val="00373A24"/>
    <w:rsid w:val="00373A27"/>
    <w:rsid w:val="00373A49"/>
    <w:rsid w:val="00373AFF"/>
    <w:rsid w:val="00373C34"/>
    <w:rsid w:val="00373C9F"/>
    <w:rsid w:val="00373CA9"/>
    <w:rsid w:val="00373CFC"/>
    <w:rsid w:val="00373D69"/>
    <w:rsid w:val="00373D79"/>
    <w:rsid w:val="00373ECE"/>
    <w:rsid w:val="00373F00"/>
    <w:rsid w:val="00373FF5"/>
    <w:rsid w:val="00374044"/>
    <w:rsid w:val="003740A1"/>
    <w:rsid w:val="00374110"/>
    <w:rsid w:val="0037418D"/>
    <w:rsid w:val="003741A0"/>
    <w:rsid w:val="003741B1"/>
    <w:rsid w:val="003741F0"/>
    <w:rsid w:val="00374276"/>
    <w:rsid w:val="0037430F"/>
    <w:rsid w:val="00374338"/>
    <w:rsid w:val="0037433F"/>
    <w:rsid w:val="00374352"/>
    <w:rsid w:val="003743BA"/>
    <w:rsid w:val="003743C0"/>
    <w:rsid w:val="003743D9"/>
    <w:rsid w:val="00374481"/>
    <w:rsid w:val="00374511"/>
    <w:rsid w:val="00374557"/>
    <w:rsid w:val="003745C0"/>
    <w:rsid w:val="0037461F"/>
    <w:rsid w:val="0037462A"/>
    <w:rsid w:val="00374678"/>
    <w:rsid w:val="00374691"/>
    <w:rsid w:val="003746B4"/>
    <w:rsid w:val="0037474F"/>
    <w:rsid w:val="003747A3"/>
    <w:rsid w:val="0037487E"/>
    <w:rsid w:val="003748AC"/>
    <w:rsid w:val="003748FD"/>
    <w:rsid w:val="00374906"/>
    <w:rsid w:val="00374950"/>
    <w:rsid w:val="0037497E"/>
    <w:rsid w:val="0037499E"/>
    <w:rsid w:val="003749F2"/>
    <w:rsid w:val="00374A36"/>
    <w:rsid w:val="00374A73"/>
    <w:rsid w:val="00374B54"/>
    <w:rsid w:val="00374BC0"/>
    <w:rsid w:val="00374C15"/>
    <w:rsid w:val="00374C56"/>
    <w:rsid w:val="00374C5A"/>
    <w:rsid w:val="00374CC6"/>
    <w:rsid w:val="00374CC7"/>
    <w:rsid w:val="00374CD7"/>
    <w:rsid w:val="00374D15"/>
    <w:rsid w:val="00374D3C"/>
    <w:rsid w:val="00374E09"/>
    <w:rsid w:val="00374E23"/>
    <w:rsid w:val="00374F31"/>
    <w:rsid w:val="00374FB9"/>
    <w:rsid w:val="00374FBB"/>
    <w:rsid w:val="0037504A"/>
    <w:rsid w:val="003750C8"/>
    <w:rsid w:val="00375155"/>
    <w:rsid w:val="0037521D"/>
    <w:rsid w:val="00375237"/>
    <w:rsid w:val="003752AE"/>
    <w:rsid w:val="003752C6"/>
    <w:rsid w:val="003752D6"/>
    <w:rsid w:val="003752E4"/>
    <w:rsid w:val="003752F8"/>
    <w:rsid w:val="00375339"/>
    <w:rsid w:val="003753EC"/>
    <w:rsid w:val="00375435"/>
    <w:rsid w:val="00375441"/>
    <w:rsid w:val="00375499"/>
    <w:rsid w:val="0037551A"/>
    <w:rsid w:val="0037558F"/>
    <w:rsid w:val="003755AC"/>
    <w:rsid w:val="0037562A"/>
    <w:rsid w:val="00375698"/>
    <w:rsid w:val="003756C6"/>
    <w:rsid w:val="00375732"/>
    <w:rsid w:val="0037582E"/>
    <w:rsid w:val="0037583A"/>
    <w:rsid w:val="00375887"/>
    <w:rsid w:val="00375995"/>
    <w:rsid w:val="00375AC8"/>
    <w:rsid w:val="00375BA6"/>
    <w:rsid w:val="00375BF0"/>
    <w:rsid w:val="00375C1D"/>
    <w:rsid w:val="00375C52"/>
    <w:rsid w:val="00375C66"/>
    <w:rsid w:val="00375C9F"/>
    <w:rsid w:val="00375CA5"/>
    <w:rsid w:val="00375CC3"/>
    <w:rsid w:val="00375D3C"/>
    <w:rsid w:val="00375D67"/>
    <w:rsid w:val="00375D68"/>
    <w:rsid w:val="00375D6A"/>
    <w:rsid w:val="00375D78"/>
    <w:rsid w:val="00375DAA"/>
    <w:rsid w:val="00375DAC"/>
    <w:rsid w:val="00375DF2"/>
    <w:rsid w:val="00375E74"/>
    <w:rsid w:val="00375FEA"/>
    <w:rsid w:val="00376022"/>
    <w:rsid w:val="00376070"/>
    <w:rsid w:val="003760AA"/>
    <w:rsid w:val="003760BB"/>
    <w:rsid w:val="003760E4"/>
    <w:rsid w:val="00376189"/>
    <w:rsid w:val="0037626B"/>
    <w:rsid w:val="003762AB"/>
    <w:rsid w:val="00376309"/>
    <w:rsid w:val="0037634C"/>
    <w:rsid w:val="00376390"/>
    <w:rsid w:val="003763C9"/>
    <w:rsid w:val="003763ED"/>
    <w:rsid w:val="00376431"/>
    <w:rsid w:val="0037664E"/>
    <w:rsid w:val="00376666"/>
    <w:rsid w:val="00376682"/>
    <w:rsid w:val="003766D4"/>
    <w:rsid w:val="0037672E"/>
    <w:rsid w:val="00376787"/>
    <w:rsid w:val="00376790"/>
    <w:rsid w:val="003767A9"/>
    <w:rsid w:val="00376803"/>
    <w:rsid w:val="00376835"/>
    <w:rsid w:val="00376876"/>
    <w:rsid w:val="00376879"/>
    <w:rsid w:val="003768C7"/>
    <w:rsid w:val="00376973"/>
    <w:rsid w:val="00376A12"/>
    <w:rsid w:val="00376A1D"/>
    <w:rsid w:val="00376B9F"/>
    <w:rsid w:val="00376BF6"/>
    <w:rsid w:val="00376C8F"/>
    <w:rsid w:val="00376D45"/>
    <w:rsid w:val="00376D51"/>
    <w:rsid w:val="00376D7D"/>
    <w:rsid w:val="00376D8C"/>
    <w:rsid w:val="00376DDD"/>
    <w:rsid w:val="00376E3D"/>
    <w:rsid w:val="00376E61"/>
    <w:rsid w:val="00376E76"/>
    <w:rsid w:val="00376F10"/>
    <w:rsid w:val="00376F6F"/>
    <w:rsid w:val="00376F89"/>
    <w:rsid w:val="00376FA2"/>
    <w:rsid w:val="0037701C"/>
    <w:rsid w:val="0037705E"/>
    <w:rsid w:val="00377090"/>
    <w:rsid w:val="003771C4"/>
    <w:rsid w:val="003771EF"/>
    <w:rsid w:val="00377201"/>
    <w:rsid w:val="003772AB"/>
    <w:rsid w:val="003772C0"/>
    <w:rsid w:val="003772E9"/>
    <w:rsid w:val="00377352"/>
    <w:rsid w:val="00377354"/>
    <w:rsid w:val="0037736E"/>
    <w:rsid w:val="003773D8"/>
    <w:rsid w:val="00377414"/>
    <w:rsid w:val="00377440"/>
    <w:rsid w:val="00377479"/>
    <w:rsid w:val="0037748B"/>
    <w:rsid w:val="0037748F"/>
    <w:rsid w:val="003774FE"/>
    <w:rsid w:val="00377504"/>
    <w:rsid w:val="00377602"/>
    <w:rsid w:val="0037762E"/>
    <w:rsid w:val="0037763A"/>
    <w:rsid w:val="00377656"/>
    <w:rsid w:val="003777FC"/>
    <w:rsid w:val="00377868"/>
    <w:rsid w:val="00377877"/>
    <w:rsid w:val="00377897"/>
    <w:rsid w:val="003778F6"/>
    <w:rsid w:val="00377938"/>
    <w:rsid w:val="0037797C"/>
    <w:rsid w:val="003779EB"/>
    <w:rsid w:val="003779F8"/>
    <w:rsid w:val="00377A2B"/>
    <w:rsid w:val="00377B96"/>
    <w:rsid w:val="00377C3C"/>
    <w:rsid w:val="00377C85"/>
    <w:rsid w:val="00377CAE"/>
    <w:rsid w:val="00377CE1"/>
    <w:rsid w:val="00377DB6"/>
    <w:rsid w:val="00377DEF"/>
    <w:rsid w:val="00377E6F"/>
    <w:rsid w:val="00377F12"/>
    <w:rsid w:val="00377F1F"/>
    <w:rsid w:val="00377F78"/>
    <w:rsid w:val="00377F9D"/>
    <w:rsid w:val="00377FFC"/>
    <w:rsid w:val="00380010"/>
    <w:rsid w:val="0038006B"/>
    <w:rsid w:val="003800BE"/>
    <w:rsid w:val="003800E0"/>
    <w:rsid w:val="003800ED"/>
    <w:rsid w:val="00380102"/>
    <w:rsid w:val="00380140"/>
    <w:rsid w:val="00380149"/>
    <w:rsid w:val="003801A5"/>
    <w:rsid w:val="0038021A"/>
    <w:rsid w:val="00380228"/>
    <w:rsid w:val="00380239"/>
    <w:rsid w:val="003802DD"/>
    <w:rsid w:val="00380351"/>
    <w:rsid w:val="0038037F"/>
    <w:rsid w:val="00380471"/>
    <w:rsid w:val="0038049A"/>
    <w:rsid w:val="0038052E"/>
    <w:rsid w:val="00380546"/>
    <w:rsid w:val="003805C8"/>
    <w:rsid w:val="003805EC"/>
    <w:rsid w:val="00380653"/>
    <w:rsid w:val="00380667"/>
    <w:rsid w:val="003806A2"/>
    <w:rsid w:val="00380753"/>
    <w:rsid w:val="00380762"/>
    <w:rsid w:val="00380772"/>
    <w:rsid w:val="00380786"/>
    <w:rsid w:val="00380867"/>
    <w:rsid w:val="0038092D"/>
    <w:rsid w:val="00380978"/>
    <w:rsid w:val="003809E8"/>
    <w:rsid w:val="00380A33"/>
    <w:rsid w:val="00380A4B"/>
    <w:rsid w:val="00380A5C"/>
    <w:rsid w:val="00380A8F"/>
    <w:rsid w:val="00380A9A"/>
    <w:rsid w:val="00380ABE"/>
    <w:rsid w:val="00380B2B"/>
    <w:rsid w:val="00380CC9"/>
    <w:rsid w:val="00380D58"/>
    <w:rsid w:val="00380DEE"/>
    <w:rsid w:val="00380E3A"/>
    <w:rsid w:val="00380E4E"/>
    <w:rsid w:val="00380F6B"/>
    <w:rsid w:val="00380FC2"/>
    <w:rsid w:val="00380FE9"/>
    <w:rsid w:val="00381005"/>
    <w:rsid w:val="0038107A"/>
    <w:rsid w:val="00381099"/>
    <w:rsid w:val="00381171"/>
    <w:rsid w:val="0038117D"/>
    <w:rsid w:val="00381218"/>
    <w:rsid w:val="003812B4"/>
    <w:rsid w:val="0038131F"/>
    <w:rsid w:val="00381399"/>
    <w:rsid w:val="00381405"/>
    <w:rsid w:val="00381417"/>
    <w:rsid w:val="0038143E"/>
    <w:rsid w:val="0038146B"/>
    <w:rsid w:val="00381487"/>
    <w:rsid w:val="0038149A"/>
    <w:rsid w:val="0038149B"/>
    <w:rsid w:val="003814AE"/>
    <w:rsid w:val="00381524"/>
    <w:rsid w:val="00381547"/>
    <w:rsid w:val="003815EB"/>
    <w:rsid w:val="00381600"/>
    <w:rsid w:val="00381647"/>
    <w:rsid w:val="0038165A"/>
    <w:rsid w:val="00381718"/>
    <w:rsid w:val="00381730"/>
    <w:rsid w:val="0038173E"/>
    <w:rsid w:val="00381886"/>
    <w:rsid w:val="0038197D"/>
    <w:rsid w:val="00381A14"/>
    <w:rsid w:val="00381A2D"/>
    <w:rsid w:val="00381A43"/>
    <w:rsid w:val="00381A75"/>
    <w:rsid w:val="00381ABB"/>
    <w:rsid w:val="00381ACA"/>
    <w:rsid w:val="00381B33"/>
    <w:rsid w:val="00381BD3"/>
    <w:rsid w:val="00381BEE"/>
    <w:rsid w:val="00381C23"/>
    <w:rsid w:val="00381D33"/>
    <w:rsid w:val="00381D3E"/>
    <w:rsid w:val="00381D87"/>
    <w:rsid w:val="00381E28"/>
    <w:rsid w:val="00381F11"/>
    <w:rsid w:val="00381F17"/>
    <w:rsid w:val="00381F27"/>
    <w:rsid w:val="00381F64"/>
    <w:rsid w:val="00381FEF"/>
    <w:rsid w:val="00382014"/>
    <w:rsid w:val="0038203B"/>
    <w:rsid w:val="0038211E"/>
    <w:rsid w:val="00382145"/>
    <w:rsid w:val="00382170"/>
    <w:rsid w:val="003821D5"/>
    <w:rsid w:val="0038226F"/>
    <w:rsid w:val="00382279"/>
    <w:rsid w:val="00382280"/>
    <w:rsid w:val="0038228B"/>
    <w:rsid w:val="0038230E"/>
    <w:rsid w:val="0038231E"/>
    <w:rsid w:val="00382360"/>
    <w:rsid w:val="003823B5"/>
    <w:rsid w:val="003823BE"/>
    <w:rsid w:val="003823F6"/>
    <w:rsid w:val="00382480"/>
    <w:rsid w:val="0038248D"/>
    <w:rsid w:val="003824CD"/>
    <w:rsid w:val="003824E6"/>
    <w:rsid w:val="00382505"/>
    <w:rsid w:val="003825A7"/>
    <w:rsid w:val="003825A8"/>
    <w:rsid w:val="003825C8"/>
    <w:rsid w:val="00382639"/>
    <w:rsid w:val="00382676"/>
    <w:rsid w:val="003826C5"/>
    <w:rsid w:val="00382721"/>
    <w:rsid w:val="0038275B"/>
    <w:rsid w:val="0038275E"/>
    <w:rsid w:val="00382816"/>
    <w:rsid w:val="003828AE"/>
    <w:rsid w:val="003828F1"/>
    <w:rsid w:val="00382954"/>
    <w:rsid w:val="003829DA"/>
    <w:rsid w:val="00382A0B"/>
    <w:rsid w:val="00382A13"/>
    <w:rsid w:val="00382A29"/>
    <w:rsid w:val="00382ACE"/>
    <w:rsid w:val="00382AD4"/>
    <w:rsid w:val="00382B3C"/>
    <w:rsid w:val="00382B7F"/>
    <w:rsid w:val="00382BA1"/>
    <w:rsid w:val="00382C1C"/>
    <w:rsid w:val="00382C5B"/>
    <w:rsid w:val="00382C7C"/>
    <w:rsid w:val="00382CA1"/>
    <w:rsid w:val="00382D6E"/>
    <w:rsid w:val="00382DBB"/>
    <w:rsid w:val="00382DD5"/>
    <w:rsid w:val="00382E6F"/>
    <w:rsid w:val="00382F24"/>
    <w:rsid w:val="00382FE7"/>
    <w:rsid w:val="00382FF6"/>
    <w:rsid w:val="0038301E"/>
    <w:rsid w:val="00383061"/>
    <w:rsid w:val="0038309A"/>
    <w:rsid w:val="003830ED"/>
    <w:rsid w:val="00383155"/>
    <w:rsid w:val="00383163"/>
    <w:rsid w:val="003831F5"/>
    <w:rsid w:val="003831F7"/>
    <w:rsid w:val="003832F1"/>
    <w:rsid w:val="00383355"/>
    <w:rsid w:val="00383363"/>
    <w:rsid w:val="003833A2"/>
    <w:rsid w:val="00383414"/>
    <w:rsid w:val="00383453"/>
    <w:rsid w:val="003834DA"/>
    <w:rsid w:val="003834F7"/>
    <w:rsid w:val="0038350B"/>
    <w:rsid w:val="00383520"/>
    <w:rsid w:val="00383529"/>
    <w:rsid w:val="00383546"/>
    <w:rsid w:val="0038354C"/>
    <w:rsid w:val="00383556"/>
    <w:rsid w:val="0038356B"/>
    <w:rsid w:val="00383576"/>
    <w:rsid w:val="0038358D"/>
    <w:rsid w:val="00383679"/>
    <w:rsid w:val="0038369D"/>
    <w:rsid w:val="003836C4"/>
    <w:rsid w:val="00383734"/>
    <w:rsid w:val="003837B9"/>
    <w:rsid w:val="0038394A"/>
    <w:rsid w:val="0038394B"/>
    <w:rsid w:val="00383960"/>
    <w:rsid w:val="00383985"/>
    <w:rsid w:val="00383989"/>
    <w:rsid w:val="00383A14"/>
    <w:rsid w:val="00383A1F"/>
    <w:rsid w:val="00383A98"/>
    <w:rsid w:val="00383BB0"/>
    <w:rsid w:val="00383BB6"/>
    <w:rsid w:val="00383BDB"/>
    <w:rsid w:val="00383C0E"/>
    <w:rsid w:val="00383C1C"/>
    <w:rsid w:val="00383C75"/>
    <w:rsid w:val="00383CFE"/>
    <w:rsid w:val="00383DA9"/>
    <w:rsid w:val="00383E23"/>
    <w:rsid w:val="00383E2B"/>
    <w:rsid w:val="00383E46"/>
    <w:rsid w:val="00383E4B"/>
    <w:rsid w:val="00383ED2"/>
    <w:rsid w:val="00383F1B"/>
    <w:rsid w:val="00383FEA"/>
    <w:rsid w:val="0038404D"/>
    <w:rsid w:val="00384119"/>
    <w:rsid w:val="00384135"/>
    <w:rsid w:val="0038413D"/>
    <w:rsid w:val="00384156"/>
    <w:rsid w:val="00384217"/>
    <w:rsid w:val="00384391"/>
    <w:rsid w:val="003843A5"/>
    <w:rsid w:val="003843EB"/>
    <w:rsid w:val="00384444"/>
    <w:rsid w:val="00384469"/>
    <w:rsid w:val="003844DC"/>
    <w:rsid w:val="003845E0"/>
    <w:rsid w:val="003845EB"/>
    <w:rsid w:val="003845FD"/>
    <w:rsid w:val="00384600"/>
    <w:rsid w:val="003846FB"/>
    <w:rsid w:val="00384721"/>
    <w:rsid w:val="0038473D"/>
    <w:rsid w:val="00384744"/>
    <w:rsid w:val="0038474D"/>
    <w:rsid w:val="0038477E"/>
    <w:rsid w:val="00384784"/>
    <w:rsid w:val="003847A6"/>
    <w:rsid w:val="003847FA"/>
    <w:rsid w:val="00384845"/>
    <w:rsid w:val="00384858"/>
    <w:rsid w:val="00384861"/>
    <w:rsid w:val="0038489A"/>
    <w:rsid w:val="003848FE"/>
    <w:rsid w:val="0038496A"/>
    <w:rsid w:val="00384994"/>
    <w:rsid w:val="003849A2"/>
    <w:rsid w:val="003849F7"/>
    <w:rsid w:val="00384A53"/>
    <w:rsid w:val="00384C2A"/>
    <w:rsid w:val="00384CE4"/>
    <w:rsid w:val="00384D18"/>
    <w:rsid w:val="00384D40"/>
    <w:rsid w:val="00384D7D"/>
    <w:rsid w:val="00384D98"/>
    <w:rsid w:val="00384E36"/>
    <w:rsid w:val="00384E9C"/>
    <w:rsid w:val="00384EE9"/>
    <w:rsid w:val="00384F03"/>
    <w:rsid w:val="00384F43"/>
    <w:rsid w:val="00384F76"/>
    <w:rsid w:val="00384FD7"/>
    <w:rsid w:val="003850BC"/>
    <w:rsid w:val="003850D0"/>
    <w:rsid w:val="00385115"/>
    <w:rsid w:val="00385119"/>
    <w:rsid w:val="0038511E"/>
    <w:rsid w:val="00385183"/>
    <w:rsid w:val="0038518F"/>
    <w:rsid w:val="003851D3"/>
    <w:rsid w:val="003851F5"/>
    <w:rsid w:val="00385209"/>
    <w:rsid w:val="0038520F"/>
    <w:rsid w:val="0038523E"/>
    <w:rsid w:val="00385258"/>
    <w:rsid w:val="00385269"/>
    <w:rsid w:val="00385281"/>
    <w:rsid w:val="003852A5"/>
    <w:rsid w:val="003852C5"/>
    <w:rsid w:val="003852EA"/>
    <w:rsid w:val="0038532B"/>
    <w:rsid w:val="0038536F"/>
    <w:rsid w:val="003854F8"/>
    <w:rsid w:val="00385518"/>
    <w:rsid w:val="0038551C"/>
    <w:rsid w:val="00385521"/>
    <w:rsid w:val="00385529"/>
    <w:rsid w:val="00385591"/>
    <w:rsid w:val="003855AB"/>
    <w:rsid w:val="003855EB"/>
    <w:rsid w:val="00385638"/>
    <w:rsid w:val="0038570B"/>
    <w:rsid w:val="00385733"/>
    <w:rsid w:val="003857F6"/>
    <w:rsid w:val="0038585E"/>
    <w:rsid w:val="003858E4"/>
    <w:rsid w:val="00385916"/>
    <w:rsid w:val="00385975"/>
    <w:rsid w:val="00385A05"/>
    <w:rsid w:val="00385A0F"/>
    <w:rsid w:val="00385A19"/>
    <w:rsid w:val="00385A3E"/>
    <w:rsid w:val="00385A5C"/>
    <w:rsid w:val="00385A97"/>
    <w:rsid w:val="00385AD0"/>
    <w:rsid w:val="00385B1C"/>
    <w:rsid w:val="00385B42"/>
    <w:rsid w:val="00385C98"/>
    <w:rsid w:val="00385CCE"/>
    <w:rsid w:val="00385D02"/>
    <w:rsid w:val="00385DC4"/>
    <w:rsid w:val="00385E06"/>
    <w:rsid w:val="00385F8C"/>
    <w:rsid w:val="00385F9E"/>
    <w:rsid w:val="00385FCD"/>
    <w:rsid w:val="00385FFD"/>
    <w:rsid w:val="0038601B"/>
    <w:rsid w:val="00386025"/>
    <w:rsid w:val="0038603D"/>
    <w:rsid w:val="003860B3"/>
    <w:rsid w:val="003860F4"/>
    <w:rsid w:val="00386111"/>
    <w:rsid w:val="00386171"/>
    <w:rsid w:val="00386282"/>
    <w:rsid w:val="003862D8"/>
    <w:rsid w:val="00386330"/>
    <w:rsid w:val="0038636C"/>
    <w:rsid w:val="0038638A"/>
    <w:rsid w:val="003863B8"/>
    <w:rsid w:val="003863D8"/>
    <w:rsid w:val="00386425"/>
    <w:rsid w:val="00386486"/>
    <w:rsid w:val="003864E9"/>
    <w:rsid w:val="00386535"/>
    <w:rsid w:val="0038656B"/>
    <w:rsid w:val="0038657F"/>
    <w:rsid w:val="00386680"/>
    <w:rsid w:val="003866D3"/>
    <w:rsid w:val="003866D8"/>
    <w:rsid w:val="0038670F"/>
    <w:rsid w:val="00386714"/>
    <w:rsid w:val="00386722"/>
    <w:rsid w:val="0038674A"/>
    <w:rsid w:val="0038675F"/>
    <w:rsid w:val="0038678A"/>
    <w:rsid w:val="003867E7"/>
    <w:rsid w:val="003868C7"/>
    <w:rsid w:val="003868F6"/>
    <w:rsid w:val="003869C3"/>
    <w:rsid w:val="00386A47"/>
    <w:rsid w:val="00386A7B"/>
    <w:rsid w:val="00386AE6"/>
    <w:rsid w:val="00386B08"/>
    <w:rsid w:val="00386B50"/>
    <w:rsid w:val="00386B61"/>
    <w:rsid w:val="00386C3C"/>
    <w:rsid w:val="00386C45"/>
    <w:rsid w:val="00386CBA"/>
    <w:rsid w:val="00386DB6"/>
    <w:rsid w:val="00386E66"/>
    <w:rsid w:val="00386EF0"/>
    <w:rsid w:val="00386F45"/>
    <w:rsid w:val="00386FCF"/>
    <w:rsid w:val="00387024"/>
    <w:rsid w:val="003870A6"/>
    <w:rsid w:val="003870FE"/>
    <w:rsid w:val="0038711D"/>
    <w:rsid w:val="00387131"/>
    <w:rsid w:val="003871E6"/>
    <w:rsid w:val="003871F2"/>
    <w:rsid w:val="00387292"/>
    <w:rsid w:val="003872B9"/>
    <w:rsid w:val="003872C5"/>
    <w:rsid w:val="0038736B"/>
    <w:rsid w:val="003873AE"/>
    <w:rsid w:val="0038742B"/>
    <w:rsid w:val="0038745A"/>
    <w:rsid w:val="003874F4"/>
    <w:rsid w:val="0038750D"/>
    <w:rsid w:val="0038759E"/>
    <w:rsid w:val="0038776F"/>
    <w:rsid w:val="00387827"/>
    <w:rsid w:val="00387879"/>
    <w:rsid w:val="00387969"/>
    <w:rsid w:val="00387998"/>
    <w:rsid w:val="00387A41"/>
    <w:rsid w:val="00387AC2"/>
    <w:rsid w:val="00387AF8"/>
    <w:rsid w:val="00387B18"/>
    <w:rsid w:val="00387B2F"/>
    <w:rsid w:val="00387C3E"/>
    <w:rsid w:val="00387D17"/>
    <w:rsid w:val="00387D5E"/>
    <w:rsid w:val="00387E27"/>
    <w:rsid w:val="00387ED1"/>
    <w:rsid w:val="00387FC9"/>
    <w:rsid w:val="00390029"/>
    <w:rsid w:val="00390031"/>
    <w:rsid w:val="00390046"/>
    <w:rsid w:val="0039014C"/>
    <w:rsid w:val="0039015F"/>
    <w:rsid w:val="0039017F"/>
    <w:rsid w:val="003901C7"/>
    <w:rsid w:val="00390331"/>
    <w:rsid w:val="0039034F"/>
    <w:rsid w:val="00390394"/>
    <w:rsid w:val="003903B9"/>
    <w:rsid w:val="00390430"/>
    <w:rsid w:val="003904DB"/>
    <w:rsid w:val="003905E4"/>
    <w:rsid w:val="003905F0"/>
    <w:rsid w:val="0039064F"/>
    <w:rsid w:val="00390683"/>
    <w:rsid w:val="0039072B"/>
    <w:rsid w:val="003907E4"/>
    <w:rsid w:val="00390804"/>
    <w:rsid w:val="00390808"/>
    <w:rsid w:val="0039080F"/>
    <w:rsid w:val="00390887"/>
    <w:rsid w:val="003908B7"/>
    <w:rsid w:val="003908C4"/>
    <w:rsid w:val="003908E9"/>
    <w:rsid w:val="003909A2"/>
    <w:rsid w:val="003909BE"/>
    <w:rsid w:val="00390A06"/>
    <w:rsid w:val="00390A48"/>
    <w:rsid w:val="00390A4B"/>
    <w:rsid w:val="00390A8C"/>
    <w:rsid w:val="00390AC3"/>
    <w:rsid w:val="00390B05"/>
    <w:rsid w:val="00390B5B"/>
    <w:rsid w:val="00390C35"/>
    <w:rsid w:val="00390C77"/>
    <w:rsid w:val="00390C9D"/>
    <w:rsid w:val="00390D06"/>
    <w:rsid w:val="00390D57"/>
    <w:rsid w:val="00390D93"/>
    <w:rsid w:val="00390DB3"/>
    <w:rsid w:val="00390DB4"/>
    <w:rsid w:val="00390DFD"/>
    <w:rsid w:val="00390E20"/>
    <w:rsid w:val="00390FA0"/>
    <w:rsid w:val="00390FA2"/>
    <w:rsid w:val="00390FC7"/>
    <w:rsid w:val="00391022"/>
    <w:rsid w:val="00391147"/>
    <w:rsid w:val="003911AA"/>
    <w:rsid w:val="003911B6"/>
    <w:rsid w:val="003911D8"/>
    <w:rsid w:val="003911DD"/>
    <w:rsid w:val="00391206"/>
    <w:rsid w:val="00391226"/>
    <w:rsid w:val="00391252"/>
    <w:rsid w:val="00391320"/>
    <w:rsid w:val="003913D1"/>
    <w:rsid w:val="003913EF"/>
    <w:rsid w:val="003913F3"/>
    <w:rsid w:val="0039141D"/>
    <w:rsid w:val="003914A2"/>
    <w:rsid w:val="003914DA"/>
    <w:rsid w:val="003915AD"/>
    <w:rsid w:val="00391603"/>
    <w:rsid w:val="00391661"/>
    <w:rsid w:val="003916AE"/>
    <w:rsid w:val="003917D5"/>
    <w:rsid w:val="003917DD"/>
    <w:rsid w:val="00391809"/>
    <w:rsid w:val="0039184A"/>
    <w:rsid w:val="003918D5"/>
    <w:rsid w:val="003918E0"/>
    <w:rsid w:val="00391925"/>
    <w:rsid w:val="00391949"/>
    <w:rsid w:val="0039194B"/>
    <w:rsid w:val="0039198B"/>
    <w:rsid w:val="003919DB"/>
    <w:rsid w:val="00391A8F"/>
    <w:rsid w:val="00391ADB"/>
    <w:rsid w:val="00391ADC"/>
    <w:rsid w:val="00391B31"/>
    <w:rsid w:val="00391B73"/>
    <w:rsid w:val="00391C1B"/>
    <w:rsid w:val="00391C74"/>
    <w:rsid w:val="00391C86"/>
    <w:rsid w:val="00391CB8"/>
    <w:rsid w:val="00391CDA"/>
    <w:rsid w:val="00391CF6"/>
    <w:rsid w:val="00391D74"/>
    <w:rsid w:val="00391DD3"/>
    <w:rsid w:val="00391E5D"/>
    <w:rsid w:val="00391E8A"/>
    <w:rsid w:val="00391EDF"/>
    <w:rsid w:val="00391F21"/>
    <w:rsid w:val="00391F3D"/>
    <w:rsid w:val="00391F74"/>
    <w:rsid w:val="00391FEA"/>
    <w:rsid w:val="00391FFF"/>
    <w:rsid w:val="00392060"/>
    <w:rsid w:val="00392190"/>
    <w:rsid w:val="003921C6"/>
    <w:rsid w:val="0039220C"/>
    <w:rsid w:val="0039225C"/>
    <w:rsid w:val="00392342"/>
    <w:rsid w:val="00392358"/>
    <w:rsid w:val="00392367"/>
    <w:rsid w:val="003923C9"/>
    <w:rsid w:val="00392452"/>
    <w:rsid w:val="00392479"/>
    <w:rsid w:val="00392489"/>
    <w:rsid w:val="003924AA"/>
    <w:rsid w:val="003924E2"/>
    <w:rsid w:val="0039258E"/>
    <w:rsid w:val="003925C8"/>
    <w:rsid w:val="0039263D"/>
    <w:rsid w:val="00392713"/>
    <w:rsid w:val="00392719"/>
    <w:rsid w:val="00392778"/>
    <w:rsid w:val="0039285A"/>
    <w:rsid w:val="0039287D"/>
    <w:rsid w:val="0039289A"/>
    <w:rsid w:val="003928BD"/>
    <w:rsid w:val="003928EE"/>
    <w:rsid w:val="00392950"/>
    <w:rsid w:val="0039297C"/>
    <w:rsid w:val="003929B6"/>
    <w:rsid w:val="003929BB"/>
    <w:rsid w:val="003929DF"/>
    <w:rsid w:val="00392A2C"/>
    <w:rsid w:val="00392A2D"/>
    <w:rsid w:val="00392A37"/>
    <w:rsid w:val="00392ABF"/>
    <w:rsid w:val="00392AFE"/>
    <w:rsid w:val="00392B31"/>
    <w:rsid w:val="00392C1F"/>
    <w:rsid w:val="00392C32"/>
    <w:rsid w:val="00392C38"/>
    <w:rsid w:val="00392C76"/>
    <w:rsid w:val="00392CDE"/>
    <w:rsid w:val="00392D08"/>
    <w:rsid w:val="00392D35"/>
    <w:rsid w:val="00392D67"/>
    <w:rsid w:val="00392D95"/>
    <w:rsid w:val="00392E01"/>
    <w:rsid w:val="00392E56"/>
    <w:rsid w:val="00392E81"/>
    <w:rsid w:val="00392E8D"/>
    <w:rsid w:val="00392EAC"/>
    <w:rsid w:val="00392ED7"/>
    <w:rsid w:val="00392F5B"/>
    <w:rsid w:val="00392F5E"/>
    <w:rsid w:val="00392F8A"/>
    <w:rsid w:val="00392FA5"/>
    <w:rsid w:val="00392FB8"/>
    <w:rsid w:val="00393007"/>
    <w:rsid w:val="003930A6"/>
    <w:rsid w:val="003930DE"/>
    <w:rsid w:val="003930F4"/>
    <w:rsid w:val="00393117"/>
    <w:rsid w:val="00393145"/>
    <w:rsid w:val="003931E4"/>
    <w:rsid w:val="003931EE"/>
    <w:rsid w:val="00393278"/>
    <w:rsid w:val="003932AA"/>
    <w:rsid w:val="003932B8"/>
    <w:rsid w:val="003932BB"/>
    <w:rsid w:val="00393367"/>
    <w:rsid w:val="00393403"/>
    <w:rsid w:val="00393433"/>
    <w:rsid w:val="0039347B"/>
    <w:rsid w:val="00393483"/>
    <w:rsid w:val="003934A3"/>
    <w:rsid w:val="003934B5"/>
    <w:rsid w:val="003934BE"/>
    <w:rsid w:val="00393601"/>
    <w:rsid w:val="00393635"/>
    <w:rsid w:val="0039367E"/>
    <w:rsid w:val="00393691"/>
    <w:rsid w:val="003936AB"/>
    <w:rsid w:val="0039374E"/>
    <w:rsid w:val="00393784"/>
    <w:rsid w:val="003937BE"/>
    <w:rsid w:val="003937FF"/>
    <w:rsid w:val="0039381B"/>
    <w:rsid w:val="003938BE"/>
    <w:rsid w:val="003938D1"/>
    <w:rsid w:val="003939E8"/>
    <w:rsid w:val="003939FD"/>
    <w:rsid w:val="00393A21"/>
    <w:rsid w:val="00393ADD"/>
    <w:rsid w:val="00393B0C"/>
    <w:rsid w:val="00393B53"/>
    <w:rsid w:val="00393BA3"/>
    <w:rsid w:val="00393BC6"/>
    <w:rsid w:val="00393BFE"/>
    <w:rsid w:val="00393C3C"/>
    <w:rsid w:val="00393D05"/>
    <w:rsid w:val="00393D29"/>
    <w:rsid w:val="00393D87"/>
    <w:rsid w:val="00393D9F"/>
    <w:rsid w:val="00393E21"/>
    <w:rsid w:val="00393E83"/>
    <w:rsid w:val="00393E8E"/>
    <w:rsid w:val="00393EA0"/>
    <w:rsid w:val="00393F31"/>
    <w:rsid w:val="00393F38"/>
    <w:rsid w:val="00393F71"/>
    <w:rsid w:val="00393F72"/>
    <w:rsid w:val="00393F87"/>
    <w:rsid w:val="00393FDB"/>
    <w:rsid w:val="00394016"/>
    <w:rsid w:val="00394018"/>
    <w:rsid w:val="00394062"/>
    <w:rsid w:val="00394068"/>
    <w:rsid w:val="0039411F"/>
    <w:rsid w:val="0039416F"/>
    <w:rsid w:val="003941D1"/>
    <w:rsid w:val="003941DF"/>
    <w:rsid w:val="00394258"/>
    <w:rsid w:val="00394267"/>
    <w:rsid w:val="00394295"/>
    <w:rsid w:val="003942AD"/>
    <w:rsid w:val="003942C3"/>
    <w:rsid w:val="00394387"/>
    <w:rsid w:val="003943A7"/>
    <w:rsid w:val="00394429"/>
    <w:rsid w:val="0039444E"/>
    <w:rsid w:val="0039449A"/>
    <w:rsid w:val="003944A9"/>
    <w:rsid w:val="003944D0"/>
    <w:rsid w:val="003944D6"/>
    <w:rsid w:val="00394583"/>
    <w:rsid w:val="003945A4"/>
    <w:rsid w:val="003945DA"/>
    <w:rsid w:val="0039464A"/>
    <w:rsid w:val="0039467A"/>
    <w:rsid w:val="003946D5"/>
    <w:rsid w:val="00394707"/>
    <w:rsid w:val="0039472C"/>
    <w:rsid w:val="00394752"/>
    <w:rsid w:val="0039476F"/>
    <w:rsid w:val="003947E6"/>
    <w:rsid w:val="003948C4"/>
    <w:rsid w:val="003948C6"/>
    <w:rsid w:val="00394935"/>
    <w:rsid w:val="00394977"/>
    <w:rsid w:val="003949D2"/>
    <w:rsid w:val="00394A35"/>
    <w:rsid w:val="00394B0C"/>
    <w:rsid w:val="00394B62"/>
    <w:rsid w:val="00394B8F"/>
    <w:rsid w:val="00394B94"/>
    <w:rsid w:val="00394BB4"/>
    <w:rsid w:val="00394BE6"/>
    <w:rsid w:val="00394BEB"/>
    <w:rsid w:val="00394C6F"/>
    <w:rsid w:val="00394D3B"/>
    <w:rsid w:val="00394D4A"/>
    <w:rsid w:val="00394EDF"/>
    <w:rsid w:val="00394FBF"/>
    <w:rsid w:val="003950A1"/>
    <w:rsid w:val="003950BB"/>
    <w:rsid w:val="003950F1"/>
    <w:rsid w:val="00395186"/>
    <w:rsid w:val="00395189"/>
    <w:rsid w:val="00395201"/>
    <w:rsid w:val="0039531B"/>
    <w:rsid w:val="003953A9"/>
    <w:rsid w:val="003953F1"/>
    <w:rsid w:val="0039540B"/>
    <w:rsid w:val="0039545D"/>
    <w:rsid w:val="003954FA"/>
    <w:rsid w:val="0039554B"/>
    <w:rsid w:val="00395591"/>
    <w:rsid w:val="0039563E"/>
    <w:rsid w:val="00395678"/>
    <w:rsid w:val="00395692"/>
    <w:rsid w:val="003956A1"/>
    <w:rsid w:val="003956C9"/>
    <w:rsid w:val="003957C4"/>
    <w:rsid w:val="003957EB"/>
    <w:rsid w:val="0039582F"/>
    <w:rsid w:val="00395882"/>
    <w:rsid w:val="003958EC"/>
    <w:rsid w:val="0039594D"/>
    <w:rsid w:val="003959CA"/>
    <w:rsid w:val="00395AC6"/>
    <w:rsid w:val="00395AED"/>
    <w:rsid w:val="00395B11"/>
    <w:rsid w:val="00395B29"/>
    <w:rsid w:val="00395B89"/>
    <w:rsid w:val="00395BDA"/>
    <w:rsid w:val="00395BDE"/>
    <w:rsid w:val="00395CEF"/>
    <w:rsid w:val="00395CFE"/>
    <w:rsid w:val="00395D29"/>
    <w:rsid w:val="00395D60"/>
    <w:rsid w:val="00395D99"/>
    <w:rsid w:val="00395DCD"/>
    <w:rsid w:val="00395FEF"/>
    <w:rsid w:val="00396037"/>
    <w:rsid w:val="00396057"/>
    <w:rsid w:val="003960D0"/>
    <w:rsid w:val="00396137"/>
    <w:rsid w:val="003961DF"/>
    <w:rsid w:val="0039621A"/>
    <w:rsid w:val="003962B2"/>
    <w:rsid w:val="003962B6"/>
    <w:rsid w:val="00396358"/>
    <w:rsid w:val="00396399"/>
    <w:rsid w:val="003963E0"/>
    <w:rsid w:val="0039642C"/>
    <w:rsid w:val="0039645F"/>
    <w:rsid w:val="0039646E"/>
    <w:rsid w:val="003964FF"/>
    <w:rsid w:val="00396510"/>
    <w:rsid w:val="00396527"/>
    <w:rsid w:val="0039658C"/>
    <w:rsid w:val="003965BA"/>
    <w:rsid w:val="00396636"/>
    <w:rsid w:val="0039668E"/>
    <w:rsid w:val="003966A2"/>
    <w:rsid w:val="003967AE"/>
    <w:rsid w:val="0039682F"/>
    <w:rsid w:val="0039688B"/>
    <w:rsid w:val="0039693C"/>
    <w:rsid w:val="0039694F"/>
    <w:rsid w:val="0039697F"/>
    <w:rsid w:val="00396A5A"/>
    <w:rsid w:val="00396A71"/>
    <w:rsid w:val="00396A79"/>
    <w:rsid w:val="00396AC6"/>
    <w:rsid w:val="00396ACA"/>
    <w:rsid w:val="00396AE3"/>
    <w:rsid w:val="00396AE7"/>
    <w:rsid w:val="00396B1C"/>
    <w:rsid w:val="00396B93"/>
    <w:rsid w:val="00396B99"/>
    <w:rsid w:val="00396C1F"/>
    <w:rsid w:val="00396C3A"/>
    <w:rsid w:val="00396C4F"/>
    <w:rsid w:val="00396C5F"/>
    <w:rsid w:val="00396C96"/>
    <w:rsid w:val="00396CB0"/>
    <w:rsid w:val="00396D16"/>
    <w:rsid w:val="00396D17"/>
    <w:rsid w:val="00396D1F"/>
    <w:rsid w:val="00396D26"/>
    <w:rsid w:val="00396D31"/>
    <w:rsid w:val="00396DBC"/>
    <w:rsid w:val="00396DC0"/>
    <w:rsid w:val="00396E19"/>
    <w:rsid w:val="00396E96"/>
    <w:rsid w:val="00396E98"/>
    <w:rsid w:val="00396EA8"/>
    <w:rsid w:val="00396F2E"/>
    <w:rsid w:val="00396F7A"/>
    <w:rsid w:val="00396FA7"/>
    <w:rsid w:val="0039705C"/>
    <w:rsid w:val="003970E3"/>
    <w:rsid w:val="0039710F"/>
    <w:rsid w:val="00397187"/>
    <w:rsid w:val="0039725F"/>
    <w:rsid w:val="00397375"/>
    <w:rsid w:val="0039739B"/>
    <w:rsid w:val="003973A4"/>
    <w:rsid w:val="003973B0"/>
    <w:rsid w:val="00397403"/>
    <w:rsid w:val="0039740B"/>
    <w:rsid w:val="00397410"/>
    <w:rsid w:val="00397422"/>
    <w:rsid w:val="00397536"/>
    <w:rsid w:val="0039757D"/>
    <w:rsid w:val="00397587"/>
    <w:rsid w:val="00397596"/>
    <w:rsid w:val="003975A6"/>
    <w:rsid w:val="003975B2"/>
    <w:rsid w:val="00397656"/>
    <w:rsid w:val="00397678"/>
    <w:rsid w:val="003976AC"/>
    <w:rsid w:val="0039787C"/>
    <w:rsid w:val="0039789F"/>
    <w:rsid w:val="0039791A"/>
    <w:rsid w:val="0039799D"/>
    <w:rsid w:val="003979B6"/>
    <w:rsid w:val="00397A42"/>
    <w:rsid w:val="00397AB0"/>
    <w:rsid w:val="00397ACE"/>
    <w:rsid w:val="00397B19"/>
    <w:rsid w:val="00397B1F"/>
    <w:rsid w:val="00397B9E"/>
    <w:rsid w:val="00397BFB"/>
    <w:rsid w:val="00397D19"/>
    <w:rsid w:val="00397D59"/>
    <w:rsid w:val="00397D72"/>
    <w:rsid w:val="00397E60"/>
    <w:rsid w:val="00397E61"/>
    <w:rsid w:val="00397EC9"/>
    <w:rsid w:val="00397F2C"/>
    <w:rsid w:val="00397F70"/>
    <w:rsid w:val="00397F88"/>
    <w:rsid w:val="00397FD2"/>
    <w:rsid w:val="00397FE1"/>
    <w:rsid w:val="003A005C"/>
    <w:rsid w:val="003A0099"/>
    <w:rsid w:val="003A00D4"/>
    <w:rsid w:val="003A0115"/>
    <w:rsid w:val="003A019E"/>
    <w:rsid w:val="003A0203"/>
    <w:rsid w:val="003A0335"/>
    <w:rsid w:val="003A036A"/>
    <w:rsid w:val="003A039C"/>
    <w:rsid w:val="003A048C"/>
    <w:rsid w:val="003A04C1"/>
    <w:rsid w:val="003A04CE"/>
    <w:rsid w:val="003A0521"/>
    <w:rsid w:val="003A055F"/>
    <w:rsid w:val="003A05B7"/>
    <w:rsid w:val="003A063F"/>
    <w:rsid w:val="003A065C"/>
    <w:rsid w:val="003A0676"/>
    <w:rsid w:val="003A068C"/>
    <w:rsid w:val="003A068D"/>
    <w:rsid w:val="003A069C"/>
    <w:rsid w:val="003A06A3"/>
    <w:rsid w:val="003A06AA"/>
    <w:rsid w:val="003A06BA"/>
    <w:rsid w:val="003A06ED"/>
    <w:rsid w:val="003A0726"/>
    <w:rsid w:val="003A0789"/>
    <w:rsid w:val="003A0791"/>
    <w:rsid w:val="003A07F5"/>
    <w:rsid w:val="003A083D"/>
    <w:rsid w:val="003A0907"/>
    <w:rsid w:val="003A0988"/>
    <w:rsid w:val="003A09EB"/>
    <w:rsid w:val="003A0A52"/>
    <w:rsid w:val="003A0A65"/>
    <w:rsid w:val="003A0A6B"/>
    <w:rsid w:val="003A0B0B"/>
    <w:rsid w:val="003A0B47"/>
    <w:rsid w:val="003A0BB4"/>
    <w:rsid w:val="003A0BC0"/>
    <w:rsid w:val="003A0BDA"/>
    <w:rsid w:val="003A0C49"/>
    <w:rsid w:val="003A0C73"/>
    <w:rsid w:val="003A0D22"/>
    <w:rsid w:val="003A0D39"/>
    <w:rsid w:val="003A0F32"/>
    <w:rsid w:val="003A0FDD"/>
    <w:rsid w:val="003A1038"/>
    <w:rsid w:val="003A1061"/>
    <w:rsid w:val="003A10DB"/>
    <w:rsid w:val="003A10F4"/>
    <w:rsid w:val="003A1195"/>
    <w:rsid w:val="003A11BA"/>
    <w:rsid w:val="003A1208"/>
    <w:rsid w:val="003A1223"/>
    <w:rsid w:val="003A1236"/>
    <w:rsid w:val="003A124F"/>
    <w:rsid w:val="003A129C"/>
    <w:rsid w:val="003A130C"/>
    <w:rsid w:val="003A1318"/>
    <w:rsid w:val="003A131B"/>
    <w:rsid w:val="003A136A"/>
    <w:rsid w:val="003A141F"/>
    <w:rsid w:val="003A1553"/>
    <w:rsid w:val="003A1555"/>
    <w:rsid w:val="003A158A"/>
    <w:rsid w:val="003A1596"/>
    <w:rsid w:val="003A15B0"/>
    <w:rsid w:val="003A15B8"/>
    <w:rsid w:val="003A15F2"/>
    <w:rsid w:val="003A1600"/>
    <w:rsid w:val="003A1681"/>
    <w:rsid w:val="003A1698"/>
    <w:rsid w:val="003A170F"/>
    <w:rsid w:val="003A1775"/>
    <w:rsid w:val="003A17C8"/>
    <w:rsid w:val="003A18AD"/>
    <w:rsid w:val="003A1919"/>
    <w:rsid w:val="003A1961"/>
    <w:rsid w:val="003A1A9D"/>
    <w:rsid w:val="003A1B41"/>
    <w:rsid w:val="003A1B63"/>
    <w:rsid w:val="003A1B9D"/>
    <w:rsid w:val="003A1BC7"/>
    <w:rsid w:val="003A1C00"/>
    <w:rsid w:val="003A1C74"/>
    <w:rsid w:val="003A1C7E"/>
    <w:rsid w:val="003A1D97"/>
    <w:rsid w:val="003A1DB3"/>
    <w:rsid w:val="003A1E26"/>
    <w:rsid w:val="003A1E2F"/>
    <w:rsid w:val="003A1E32"/>
    <w:rsid w:val="003A1F29"/>
    <w:rsid w:val="003A1F30"/>
    <w:rsid w:val="003A1F92"/>
    <w:rsid w:val="003A1FC8"/>
    <w:rsid w:val="003A20AF"/>
    <w:rsid w:val="003A20BB"/>
    <w:rsid w:val="003A20CA"/>
    <w:rsid w:val="003A20D4"/>
    <w:rsid w:val="003A20ED"/>
    <w:rsid w:val="003A20F2"/>
    <w:rsid w:val="003A20F3"/>
    <w:rsid w:val="003A214F"/>
    <w:rsid w:val="003A2251"/>
    <w:rsid w:val="003A22DC"/>
    <w:rsid w:val="003A23B1"/>
    <w:rsid w:val="003A248F"/>
    <w:rsid w:val="003A262F"/>
    <w:rsid w:val="003A2642"/>
    <w:rsid w:val="003A2654"/>
    <w:rsid w:val="003A2677"/>
    <w:rsid w:val="003A2692"/>
    <w:rsid w:val="003A2712"/>
    <w:rsid w:val="003A2728"/>
    <w:rsid w:val="003A2799"/>
    <w:rsid w:val="003A27CC"/>
    <w:rsid w:val="003A27D6"/>
    <w:rsid w:val="003A280A"/>
    <w:rsid w:val="003A2837"/>
    <w:rsid w:val="003A2859"/>
    <w:rsid w:val="003A28F7"/>
    <w:rsid w:val="003A2979"/>
    <w:rsid w:val="003A2985"/>
    <w:rsid w:val="003A2999"/>
    <w:rsid w:val="003A2A00"/>
    <w:rsid w:val="003A2AC8"/>
    <w:rsid w:val="003A2AEB"/>
    <w:rsid w:val="003A2B0E"/>
    <w:rsid w:val="003A2B49"/>
    <w:rsid w:val="003A2B79"/>
    <w:rsid w:val="003A2B80"/>
    <w:rsid w:val="003A2B8F"/>
    <w:rsid w:val="003A2BC8"/>
    <w:rsid w:val="003A2BDB"/>
    <w:rsid w:val="003A2D34"/>
    <w:rsid w:val="003A2D8D"/>
    <w:rsid w:val="003A2DC1"/>
    <w:rsid w:val="003A2DCA"/>
    <w:rsid w:val="003A2DE4"/>
    <w:rsid w:val="003A2E0C"/>
    <w:rsid w:val="003A2E2D"/>
    <w:rsid w:val="003A2FD4"/>
    <w:rsid w:val="003A3024"/>
    <w:rsid w:val="003A3034"/>
    <w:rsid w:val="003A3036"/>
    <w:rsid w:val="003A3073"/>
    <w:rsid w:val="003A30A9"/>
    <w:rsid w:val="003A30E1"/>
    <w:rsid w:val="003A31A7"/>
    <w:rsid w:val="003A31C5"/>
    <w:rsid w:val="003A31C7"/>
    <w:rsid w:val="003A31D0"/>
    <w:rsid w:val="003A3204"/>
    <w:rsid w:val="003A3207"/>
    <w:rsid w:val="003A3239"/>
    <w:rsid w:val="003A32DE"/>
    <w:rsid w:val="003A3331"/>
    <w:rsid w:val="003A336B"/>
    <w:rsid w:val="003A3397"/>
    <w:rsid w:val="003A339D"/>
    <w:rsid w:val="003A33AA"/>
    <w:rsid w:val="003A3460"/>
    <w:rsid w:val="003A3483"/>
    <w:rsid w:val="003A348C"/>
    <w:rsid w:val="003A35C0"/>
    <w:rsid w:val="003A3644"/>
    <w:rsid w:val="003A3678"/>
    <w:rsid w:val="003A36DF"/>
    <w:rsid w:val="003A375B"/>
    <w:rsid w:val="003A37C7"/>
    <w:rsid w:val="003A3801"/>
    <w:rsid w:val="003A3872"/>
    <w:rsid w:val="003A3885"/>
    <w:rsid w:val="003A38C9"/>
    <w:rsid w:val="003A397B"/>
    <w:rsid w:val="003A3A21"/>
    <w:rsid w:val="003A3A59"/>
    <w:rsid w:val="003A3B5E"/>
    <w:rsid w:val="003A3BD4"/>
    <w:rsid w:val="003A3BEE"/>
    <w:rsid w:val="003A3D13"/>
    <w:rsid w:val="003A3DAC"/>
    <w:rsid w:val="003A3DC9"/>
    <w:rsid w:val="003A3DE3"/>
    <w:rsid w:val="003A3E0F"/>
    <w:rsid w:val="003A3EDB"/>
    <w:rsid w:val="003A3EDF"/>
    <w:rsid w:val="003A3F95"/>
    <w:rsid w:val="003A3F96"/>
    <w:rsid w:val="003A3FB4"/>
    <w:rsid w:val="003A3FDA"/>
    <w:rsid w:val="003A4034"/>
    <w:rsid w:val="003A4038"/>
    <w:rsid w:val="003A40A6"/>
    <w:rsid w:val="003A40B4"/>
    <w:rsid w:val="003A41B3"/>
    <w:rsid w:val="003A41E9"/>
    <w:rsid w:val="003A42D1"/>
    <w:rsid w:val="003A4436"/>
    <w:rsid w:val="003A4449"/>
    <w:rsid w:val="003A446B"/>
    <w:rsid w:val="003A449C"/>
    <w:rsid w:val="003A44BD"/>
    <w:rsid w:val="003A4509"/>
    <w:rsid w:val="003A450E"/>
    <w:rsid w:val="003A4512"/>
    <w:rsid w:val="003A45A7"/>
    <w:rsid w:val="003A4655"/>
    <w:rsid w:val="003A46DD"/>
    <w:rsid w:val="003A477E"/>
    <w:rsid w:val="003A4807"/>
    <w:rsid w:val="003A4848"/>
    <w:rsid w:val="003A486B"/>
    <w:rsid w:val="003A4883"/>
    <w:rsid w:val="003A48F8"/>
    <w:rsid w:val="003A492F"/>
    <w:rsid w:val="003A496E"/>
    <w:rsid w:val="003A49E8"/>
    <w:rsid w:val="003A4AE3"/>
    <w:rsid w:val="003A4B51"/>
    <w:rsid w:val="003A4C06"/>
    <w:rsid w:val="003A4CC8"/>
    <w:rsid w:val="003A4CC9"/>
    <w:rsid w:val="003A4CCA"/>
    <w:rsid w:val="003A4DF2"/>
    <w:rsid w:val="003A4E7F"/>
    <w:rsid w:val="003A4E8B"/>
    <w:rsid w:val="003A4EBF"/>
    <w:rsid w:val="003A4EE0"/>
    <w:rsid w:val="003A4F38"/>
    <w:rsid w:val="003A4F5E"/>
    <w:rsid w:val="003A4FCE"/>
    <w:rsid w:val="003A5014"/>
    <w:rsid w:val="003A5073"/>
    <w:rsid w:val="003A509E"/>
    <w:rsid w:val="003A50BF"/>
    <w:rsid w:val="003A50E7"/>
    <w:rsid w:val="003A5150"/>
    <w:rsid w:val="003A535C"/>
    <w:rsid w:val="003A538D"/>
    <w:rsid w:val="003A5394"/>
    <w:rsid w:val="003A548C"/>
    <w:rsid w:val="003A54B1"/>
    <w:rsid w:val="003A54BB"/>
    <w:rsid w:val="003A5560"/>
    <w:rsid w:val="003A5567"/>
    <w:rsid w:val="003A5599"/>
    <w:rsid w:val="003A56D5"/>
    <w:rsid w:val="003A57AA"/>
    <w:rsid w:val="003A57DD"/>
    <w:rsid w:val="003A5840"/>
    <w:rsid w:val="003A584E"/>
    <w:rsid w:val="003A5872"/>
    <w:rsid w:val="003A597C"/>
    <w:rsid w:val="003A5988"/>
    <w:rsid w:val="003A59B3"/>
    <w:rsid w:val="003A59EA"/>
    <w:rsid w:val="003A59F2"/>
    <w:rsid w:val="003A5AA2"/>
    <w:rsid w:val="003A5B0C"/>
    <w:rsid w:val="003A5B21"/>
    <w:rsid w:val="003A5B2E"/>
    <w:rsid w:val="003A5B5A"/>
    <w:rsid w:val="003A5B94"/>
    <w:rsid w:val="003A5BB8"/>
    <w:rsid w:val="003A5BE0"/>
    <w:rsid w:val="003A5C1D"/>
    <w:rsid w:val="003A5C6F"/>
    <w:rsid w:val="003A5D60"/>
    <w:rsid w:val="003A5D73"/>
    <w:rsid w:val="003A5DD2"/>
    <w:rsid w:val="003A5DF5"/>
    <w:rsid w:val="003A5E19"/>
    <w:rsid w:val="003A5ED1"/>
    <w:rsid w:val="003A5F6F"/>
    <w:rsid w:val="003A5F7E"/>
    <w:rsid w:val="003A6010"/>
    <w:rsid w:val="003A6042"/>
    <w:rsid w:val="003A605E"/>
    <w:rsid w:val="003A606E"/>
    <w:rsid w:val="003A6076"/>
    <w:rsid w:val="003A607B"/>
    <w:rsid w:val="003A61EF"/>
    <w:rsid w:val="003A6234"/>
    <w:rsid w:val="003A6261"/>
    <w:rsid w:val="003A62C9"/>
    <w:rsid w:val="003A6337"/>
    <w:rsid w:val="003A633B"/>
    <w:rsid w:val="003A63A1"/>
    <w:rsid w:val="003A64FC"/>
    <w:rsid w:val="003A650B"/>
    <w:rsid w:val="003A653A"/>
    <w:rsid w:val="003A656C"/>
    <w:rsid w:val="003A65CC"/>
    <w:rsid w:val="003A65E4"/>
    <w:rsid w:val="003A6600"/>
    <w:rsid w:val="003A6670"/>
    <w:rsid w:val="003A66E5"/>
    <w:rsid w:val="003A66E7"/>
    <w:rsid w:val="003A67C1"/>
    <w:rsid w:val="003A67F3"/>
    <w:rsid w:val="003A6853"/>
    <w:rsid w:val="003A68A1"/>
    <w:rsid w:val="003A68B2"/>
    <w:rsid w:val="003A690D"/>
    <w:rsid w:val="003A69D0"/>
    <w:rsid w:val="003A69F9"/>
    <w:rsid w:val="003A6ABE"/>
    <w:rsid w:val="003A6AD5"/>
    <w:rsid w:val="003A6B14"/>
    <w:rsid w:val="003A6B36"/>
    <w:rsid w:val="003A6B3D"/>
    <w:rsid w:val="003A6B58"/>
    <w:rsid w:val="003A6B6A"/>
    <w:rsid w:val="003A6B75"/>
    <w:rsid w:val="003A6B8F"/>
    <w:rsid w:val="003A6BBF"/>
    <w:rsid w:val="003A6BE4"/>
    <w:rsid w:val="003A6C20"/>
    <w:rsid w:val="003A6C26"/>
    <w:rsid w:val="003A6CD9"/>
    <w:rsid w:val="003A6CE6"/>
    <w:rsid w:val="003A6CF0"/>
    <w:rsid w:val="003A6D2A"/>
    <w:rsid w:val="003A6D43"/>
    <w:rsid w:val="003A6D7F"/>
    <w:rsid w:val="003A6D94"/>
    <w:rsid w:val="003A6DAE"/>
    <w:rsid w:val="003A6F90"/>
    <w:rsid w:val="003A702F"/>
    <w:rsid w:val="003A705A"/>
    <w:rsid w:val="003A70CB"/>
    <w:rsid w:val="003A7179"/>
    <w:rsid w:val="003A71F8"/>
    <w:rsid w:val="003A722C"/>
    <w:rsid w:val="003A7286"/>
    <w:rsid w:val="003A7299"/>
    <w:rsid w:val="003A7352"/>
    <w:rsid w:val="003A7391"/>
    <w:rsid w:val="003A7392"/>
    <w:rsid w:val="003A740D"/>
    <w:rsid w:val="003A7584"/>
    <w:rsid w:val="003A7588"/>
    <w:rsid w:val="003A7673"/>
    <w:rsid w:val="003A76B1"/>
    <w:rsid w:val="003A76C1"/>
    <w:rsid w:val="003A7717"/>
    <w:rsid w:val="003A773A"/>
    <w:rsid w:val="003A773B"/>
    <w:rsid w:val="003A7841"/>
    <w:rsid w:val="003A7847"/>
    <w:rsid w:val="003A785D"/>
    <w:rsid w:val="003A78AE"/>
    <w:rsid w:val="003A78D6"/>
    <w:rsid w:val="003A794D"/>
    <w:rsid w:val="003A798C"/>
    <w:rsid w:val="003A7A25"/>
    <w:rsid w:val="003A7A7E"/>
    <w:rsid w:val="003A7AEA"/>
    <w:rsid w:val="003A7B78"/>
    <w:rsid w:val="003A7BF5"/>
    <w:rsid w:val="003A7CFF"/>
    <w:rsid w:val="003A7D62"/>
    <w:rsid w:val="003A7DCF"/>
    <w:rsid w:val="003A7DE6"/>
    <w:rsid w:val="003A7E6B"/>
    <w:rsid w:val="003A7E6F"/>
    <w:rsid w:val="003A7E94"/>
    <w:rsid w:val="003A7EA2"/>
    <w:rsid w:val="003A7EAD"/>
    <w:rsid w:val="003A7EDA"/>
    <w:rsid w:val="003A7F4B"/>
    <w:rsid w:val="003A7F7A"/>
    <w:rsid w:val="003A7FD9"/>
    <w:rsid w:val="003B0012"/>
    <w:rsid w:val="003B0024"/>
    <w:rsid w:val="003B00B5"/>
    <w:rsid w:val="003B0108"/>
    <w:rsid w:val="003B0189"/>
    <w:rsid w:val="003B01AD"/>
    <w:rsid w:val="003B01F9"/>
    <w:rsid w:val="003B0263"/>
    <w:rsid w:val="003B0291"/>
    <w:rsid w:val="003B0294"/>
    <w:rsid w:val="003B02A4"/>
    <w:rsid w:val="003B02A9"/>
    <w:rsid w:val="003B02AB"/>
    <w:rsid w:val="003B031F"/>
    <w:rsid w:val="003B032F"/>
    <w:rsid w:val="003B0382"/>
    <w:rsid w:val="003B0390"/>
    <w:rsid w:val="003B040B"/>
    <w:rsid w:val="003B042C"/>
    <w:rsid w:val="003B043B"/>
    <w:rsid w:val="003B048E"/>
    <w:rsid w:val="003B04B9"/>
    <w:rsid w:val="003B0542"/>
    <w:rsid w:val="003B0565"/>
    <w:rsid w:val="003B0572"/>
    <w:rsid w:val="003B0622"/>
    <w:rsid w:val="003B0641"/>
    <w:rsid w:val="003B0646"/>
    <w:rsid w:val="003B0666"/>
    <w:rsid w:val="003B0692"/>
    <w:rsid w:val="003B071A"/>
    <w:rsid w:val="003B0746"/>
    <w:rsid w:val="003B07A2"/>
    <w:rsid w:val="003B07BD"/>
    <w:rsid w:val="003B0841"/>
    <w:rsid w:val="003B0864"/>
    <w:rsid w:val="003B0874"/>
    <w:rsid w:val="003B092C"/>
    <w:rsid w:val="003B0947"/>
    <w:rsid w:val="003B09AC"/>
    <w:rsid w:val="003B09DD"/>
    <w:rsid w:val="003B09F1"/>
    <w:rsid w:val="003B0A3C"/>
    <w:rsid w:val="003B0A6F"/>
    <w:rsid w:val="003B0AC7"/>
    <w:rsid w:val="003B0B2F"/>
    <w:rsid w:val="003B0B5B"/>
    <w:rsid w:val="003B0B5E"/>
    <w:rsid w:val="003B0BB7"/>
    <w:rsid w:val="003B0BEE"/>
    <w:rsid w:val="003B0D37"/>
    <w:rsid w:val="003B0D7A"/>
    <w:rsid w:val="003B0D7C"/>
    <w:rsid w:val="003B0D8C"/>
    <w:rsid w:val="003B0DB4"/>
    <w:rsid w:val="003B0E4B"/>
    <w:rsid w:val="003B0E4E"/>
    <w:rsid w:val="003B0EA6"/>
    <w:rsid w:val="003B0EB0"/>
    <w:rsid w:val="003B0EC3"/>
    <w:rsid w:val="003B0EF4"/>
    <w:rsid w:val="003B0F0E"/>
    <w:rsid w:val="003B1052"/>
    <w:rsid w:val="003B10A3"/>
    <w:rsid w:val="003B10D2"/>
    <w:rsid w:val="003B1170"/>
    <w:rsid w:val="003B1218"/>
    <w:rsid w:val="003B1285"/>
    <w:rsid w:val="003B12BB"/>
    <w:rsid w:val="003B12D9"/>
    <w:rsid w:val="003B12E4"/>
    <w:rsid w:val="003B12F7"/>
    <w:rsid w:val="003B1306"/>
    <w:rsid w:val="003B133C"/>
    <w:rsid w:val="003B1350"/>
    <w:rsid w:val="003B137C"/>
    <w:rsid w:val="003B13E8"/>
    <w:rsid w:val="003B1433"/>
    <w:rsid w:val="003B1449"/>
    <w:rsid w:val="003B14AB"/>
    <w:rsid w:val="003B14CF"/>
    <w:rsid w:val="003B15AB"/>
    <w:rsid w:val="003B160C"/>
    <w:rsid w:val="003B1624"/>
    <w:rsid w:val="003B16D2"/>
    <w:rsid w:val="003B1718"/>
    <w:rsid w:val="003B171B"/>
    <w:rsid w:val="003B172D"/>
    <w:rsid w:val="003B1735"/>
    <w:rsid w:val="003B18A4"/>
    <w:rsid w:val="003B18E7"/>
    <w:rsid w:val="003B1922"/>
    <w:rsid w:val="003B193F"/>
    <w:rsid w:val="003B1967"/>
    <w:rsid w:val="003B19B8"/>
    <w:rsid w:val="003B1A02"/>
    <w:rsid w:val="003B1A98"/>
    <w:rsid w:val="003B1B09"/>
    <w:rsid w:val="003B1B98"/>
    <w:rsid w:val="003B1BAD"/>
    <w:rsid w:val="003B1C7F"/>
    <w:rsid w:val="003B1CB4"/>
    <w:rsid w:val="003B1D5D"/>
    <w:rsid w:val="003B1D76"/>
    <w:rsid w:val="003B1E53"/>
    <w:rsid w:val="003B1E99"/>
    <w:rsid w:val="003B1F15"/>
    <w:rsid w:val="003B1F2F"/>
    <w:rsid w:val="003B1F71"/>
    <w:rsid w:val="003B1FA1"/>
    <w:rsid w:val="003B1FE3"/>
    <w:rsid w:val="003B2048"/>
    <w:rsid w:val="003B2069"/>
    <w:rsid w:val="003B20E7"/>
    <w:rsid w:val="003B218E"/>
    <w:rsid w:val="003B21B2"/>
    <w:rsid w:val="003B21D7"/>
    <w:rsid w:val="003B21F7"/>
    <w:rsid w:val="003B222F"/>
    <w:rsid w:val="003B2297"/>
    <w:rsid w:val="003B2318"/>
    <w:rsid w:val="003B23CA"/>
    <w:rsid w:val="003B2406"/>
    <w:rsid w:val="003B24B5"/>
    <w:rsid w:val="003B257F"/>
    <w:rsid w:val="003B2595"/>
    <w:rsid w:val="003B2619"/>
    <w:rsid w:val="003B2665"/>
    <w:rsid w:val="003B2668"/>
    <w:rsid w:val="003B2672"/>
    <w:rsid w:val="003B2737"/>
    <w:rsid w:val="003B2762"/>
    <w:rsid w:val="003B27F2"/>
    <w:rsid w:val="003B2813"/>
    <w:rsid w:val="003B2847"/>
    <w:rsid w:val="003B2858"/>
    <w:rsid w:val="003B2882"/>
    <w:rsid w:val="003B28B7"/>
    <w:rsid w:val="003B28C0"/>
    <w:rsid w:val="003B28CB"/>
    <w:rsid w:val="003B29A8"/>
    <w:rsid w:val="003B2A37"/>
    <w:rsid w:val="003B2A95"/>
    <w:rsid w:val="003B2A9B"/>
    <w:rsid w:val="003B2AA7"/>
    <w:rsid w:val="003B2B5E"/>
    <w:rsid w:val="003B2B7C"/>
    <w:rsid w:val="003B2BFF"/>
    <w:rsid w:val="003B2C0D"/>
    <w:rsid w:val="003B2C40"/>
    <w:rsid w:val="003B2C79"/>
    <w:rsid w:val="003B2C8F"/>
    <w:rsid w:val="003B2C92"/>
    <w:rsid w:val="003B2D1E"/>
    <w:rsid w:val="003B2D91"/>
    <w:rsid w:val="003B2DB4"/>
    <w:rsid w:val="003B2E99"/>
    <w:rsid w:val="003B2F05"/>
    <w:rsid w:val="003B2F52"/>
    <w:rsid w:val="003B2FC1"/>
    <w:rsid w:val="003B2FD6"/>
    <w:rsid w:val="003B3063"/>
    <w:rsid w:val="003B309F"/>
    <w:rsid w:val="003B30E8"/>
    <w:rsid w:val="003B3156"/>
    <w:rsid w:val="003B31DF"/>
    <w:rsid w:val="003B32B8"/>
    <w:rsid w:val="003B3350"/>
    <w:rsid w:val="003B3377"/>
    <w:rsid w:val="003B337F"/>
    <w:rsid w:val="003B3399"/>
    <w:rsid w:val="003B340C"/>
    <w:rsid w:val="003B3410"/>
    <w:rsid w:val="003B3459"/>
    <w:rsid w:val="003B3465"/>
    <w:rsid w:val="003B346C"/>
    <w:rsid w:val="003B34E7"/>
    <w:rsid w:val="003B34FD"/>
    <w:rsid w:val="003B354A"/>
    <w:rsid w:val="003B36E0"/>
    <w:rsid w:val="003B370B"/>
    <w:rsid w:val="003B3712"/>
    <w:rsid w:val="003B3723"/>
    <w:rsid w:val="003B3789"/>
    <w:rsid w:val="003B3904"/>
    <w:rsid w:val="003B39D6"/>
    <w:rsid w:val="003B39E2"/>
    <w:rsid w:val="003B3A2D"/>
    <w:rsid w:val="003B3A3B"/>
    <w:rsid w:val="003B3B21"/>
    <w:rsid w:val="003B3B7A"/>
    <w:rsid w:val="003B3B88"/>
    <w:rsid w:val="003B3BF6"/>
    <w:rsid w:val="003B3DDA"/>
    <w:rsid w:val="003B3E48"/>
    <w:rsid w:val="003B3EA2"/>
    <w:rsid w:val="003B3EE3"/>
    <w:rsid w:val="003B3EE4"/>
    <w:rsid w:val="003B3F83"/>
    <w:rsid w:val="003B3F98"/>
    <w:rsid w:val="003B4038"/>
    <w:rsid w:val="003B4082"/>
    <w:rsid w:val="003B4086"/>
    <w:rsid w:val="003B40BA"/>
    <w:rsid w:val="003B40DC"/>
    <w:rsid w:val="003B4175"/>
    <w:rsid w:val="003B4199"/>
    <w:rsid w:val="003B41D0"/>
    <w:rsid w:val="003B423A"/>
    <w:rsid w:val="003B42AC"/>
    <w:rsid w:val="003B42CF"/>
    <w:rsid w:val="003B4308"/>
    <w:rsid w:val="003B4355"/>
    <w:rsid w:val="003B43BA"/>
    <w:rsid w:val="003B43CB"/>
    <w:rsid w:val="003B43F0"/>
    <w:rsid w:val="003B45EC"/>
    <w:rsid w:val="003B45F7"/>
    <w:rsid w:val="003B45FF"/>
    <w:rsid w:val="003B4605"/>
    <w:rsid w:val="003B4613"/>
    <w:rsid w:val="003B4630"/>
    <w:rsid w:val="003B4694"/>
    <w:rsid w:val="003B46AD"/>
    <w:rsid w:val="003B4719"/>
    <w:rsid w:val="003B4720"/>
    <w:rsid w:val="003B4752"/>
    <w:rsid w:val="003B47D7"/>
    <w:rsid w:val="003B4802"/>
    <w:rsid w:val="003B4806"/>
    <w:rsid w:val="003B483F"/>
    <w:rsid w:val="003B486B"/>
    <w:rsid w:val="003B48CF"/>
    <w:rsid w:val="003B48FE"/>
    <w:rsid w:val="003B495D"/>
    <w:rsid w:val="003B49AF"/>
    <w:rsid w:val="003B4A09"/>
    <w:rsid w:val="003B4A39"/>
    <w:rsid w:val="003B4ACA"/>
    <w:rsid w:val="003B4B82"/>
    <w:rsid w:val="003B4BA0"/>
    <w:rsid w:val="003B4BC1"/>
    <w:rsid w:val="003B4BF5"/>
    <w:rsid w:val="003B4C1E"/>
    <w:rsid w:val="003B4C73"/>
    <w:rsid w:val="003B4C76"/>
    <w:rsid w:val="003B4D84"/>
    <w:rsid w:val="003B4E7C"/>
    <w:rsid w:val="003B4EB9"/>
    <w:rsid w:val="003B4F21"/>
    <w:rsid w:val="003B4F43"/>
    <w:rsid w:val="003B4FD4"/>
    <w:rsid w:val="003B4FFC"/>
    <w:rsid w:val="003B500A"/>
    <w:rsid w:val="003B5063"/>
    <w:rsid w:val="003B508A"/>
    <w:rsid w:val="003B51DB"/>
    <w:rsid w:val="003B51F2"/>
    <w:rsid w:val="003B5280"/>
    <w:rsid w:val="003B52B0"/>
    <w:rsid w:val="003B52D6"/>
    <w:rsid w:val="003B52E3"/>
    <w:rsid w:val="003B5335"/>
    <w:rsid w:val="003B5402"/>
    <w:rsid w:val="003B5424"/>
    <w:rsid w:val="003B542C"/>
    <w:rsid w:val="003B5452"/>
    <w:rsid w:val="003B54E6"/>
    <w:rsid w:val="003B55DE"/>
    <w:rsid w:val="003B569B"/>
    <w:rsid w:val="003B56B6"/>
    <w:rsid w:val="003B56E7"/>
    <w:rsid w:val="003B56ED"/>
    <w:rsid w:val="003B570F"/>
    <w:rsid w:val="003B57DC"/>
    <w:rsid w:val="003B58CE"/>
    <w:rsid w:val="003B5918"/>
    <w:rsid w:val="003B591A"/>
    <w:rsid w:val="003B593F"/>
    <w:rsid w:val="003B5969"/>
    <w:rsid w:val="003B5A43"/>
    <w:rsid w:val="003B5A7D"/>
    <w:rsid w:val="003B5A98"/>
    <w:rsid w:val="003B5AE1"/>
    <w:rsid w:val="003B5AF8"/>
    <w:rsid w:val="003B5B36"/>
    <w:rsid w:val="003B5B7E"/>
    <w:rsid w:val="003B5B85"/>
    <w:rsid w:val="003B5C1E"/>
    <w:rsid w:val="003B5CAF"/>
    <w:rsid w:val="003B5D20"/>
    <w:rsid w:val="003B5D84"/>
    <w:rsid w:val="003B5D9F"/>
    <w:rsid w:val="003B5DF3"/>
    <w:rsid w:val="003B5E00"/>
    <w:rsid w:val="003B5E01"/>
    <w:rsid w:val="003B5EAC"/>
    <w:rsid w:val="003B5EDB"/>
    <w:rsid w:val="003B5F05"/>
    <w:rsid w:val="003B5F44"/>
    <w:rsid w:val="003B5F78"/>
    <w:rsid w:val="003B5F80"/>
    <w:rsid w:val="003B5F99"/>
    <w:rsid w:val="003B5FA8"/>
    <w:rsid w:val="003B5FF3"/>
    <w:rsid w:val="003B603B"/>
    <w:rsid w:val="003B6121"/>
    <w:rsid w:val="003B6148"/>
    <w:rsid w:val="003B6167"/>
    <w:rsid w:val="003B617C"/>
    <w:rsid w:val="003B6180"/>
    <w:rsid w:val="003B6186"/>
    <w:rsid w:val="003B6253"/>
    <w:rsid w:val="003B6260"/>
    <w:rsid w:val="003B62E5"/>
    <w:rsid w:val="003B631C"/>
    <w:rsid w:val="003B6361"/>
    <w:rsid w:val="003B63EE"/>
    <w:rsid w:val="003B63F5"/>
    <w:rsid w:val="003B63FD"/>
    <w:rsid w:val="003B64A3"/>
    <w:rsid w:val="003B64E0"/>
    <w:rsid w:val="003B6531"/>
    <w:rsid w:val="003B6578"/>
    <w:rsid w:val="003B657C"/>
    <w:rsid w:val="003B65AE"/>
    <w:rsid w:val="003B6623"/>
    <w:rsid w:val="003B664B"/>
    <w:rsid w:val="003B671B"/>
    <w:rsid w:val="003B672D"/>
    <w:rsid w:val="003B67BB"/>
    <w:rsid w:val="003B67BF"/>
    <w:rsid w:val="003B67DA"/>
    <w:rsid w:val="003B680E"/>
    <w:rsid w:val="003B6813"/>
    <w:rsid w:val="003B6814"/>
    <w:rsid w:val="003B6895"/>
    <w:rsid w:val="003B68D1"/>
    <w:rsid w:val="003B68DC"/>
    <w:rsid w:val="003B6908"/>
    <w:rsid w:val="003B6A06"/>
    <w:rsid w:val="003B6A56"/>
    <w:rsid w:val="003B6B1A"/>
    <w:rsid w:val="003B6B3B"/>
    <w:rsid w:val="003B6C28"/>
    <w:rsid w:val="003B6C3C"/>
    <w:rsid w:val="003B6CDD"/>
    <w:rsid w:val="003B6CF6"/>
    <w:rsid w:val="003B6D51"/>
    <w:rsid w:val="003B6D71"/>
    <w:rsid w:val="003B6D9A"/>
    <w:rsid w:val="003B6E54"/>
    <w:rsid w:val="003B6EAE"/>
    <w:rsid w:val="003B6F19"/>
    <w:rsid w:val="003B6F46"/>
    <w:rsid w:val="003B6F8C"/>
    <w:rsid w:val="003B6FBF"/>
    <w:rsid w:val="003B7067"/>
    <w:rsid w:val="003B70C2"/>
    <w:rsid w:val="003B7104"/>
    <w:rsid w:val="003B723F"/>
    <w:rsid w:val="003B7294"/>
    <w:rsid w:val="003B72AB"/>
    <w:rsid w:val="003B72C3"/>
    <w:rsid w:val="003B72C4"/>
    <w:rsid w:val="003B72FA"/>
    <w:rsid w:val="003B73C5"/>
    <w:rsid w:val="003B73F2"/>
    <w:rsid w:val="003B7432"/>
    <w:rsid w:val="003B7457"/>
    <w:rsid w:val="003B749F"/>
    <w:rsid w:val="003B74F6"/>
    <w:rsid w:val="003B7535"/>
    <w:rsid w:val="003B756F"/>
    <w:rsid w:val="003B759C"/>
    <w:rsid w:val="003B762A"/>
    <w:rsid w:val="003B76AE"/>
    <w:rsid w:val="003B76BD"/>
    <w:rsid w:val="003B76D8"/>
    <w:rsid w:val="003B76E0"/>
    <w:rsid w:val="003B76EC"/>
    <w:rsid w:val="003B773B"/>
    <w:rsid w:val="003B77F6"/>
    <w:rsid w:val="003B78E3"/>
    <w:rsid w:val="003B792F"/>
    <w:rsid w:val="003B7965"/>
    <w:rsid w:val="003B796A"/>
    <w:rsid w:val="003B7976"/>
    <w:rsid w:val="003B7A09"/>
    <w:rsid w:val="003B7A0C"/>
    <w:rsid w:val="003B7A59"/>
    <w:rsid w:val="003B7A9C"/>
    <w:rsid w:val="003B7AC7"/>
    <w:rsid w:val="003B7AFB"/>
    <w:rsid w:val="003B7B18"/>
    <w:rsid w:val="003B7B42"/>
    <w:rsid w:val="003B7BDD"/>
    <w:rsid w:val="003B7BE9"/>
    <w:rsid w:val="003B7C6C"/>
    <w:rsid w:val="003B7CC4"/>
    <w:rsid w:val="003B7CC5"/>
    <w:rsid w:val="003B7CD5"/>
    <w:rsid w:val="003B7CD8"/>
    <w:rsid w:val="003B7D6C"/>
    <w:rsid w:val="003B7D6F"/>
    <w:rsid w:val="003B7D89"/>
    <w:rsid w:val="003B7DD1"/>
    <w:rsid w:val="003B7E2F"/>
    <w:rsid w:val="003B7E5A"/>
    <w:rsid w:val="003B7EB1"/>
    <w:rsid w:val="003B7F84"/>
    <w:rsid w:val="003B7F9C"/>
    <w:rsid w:val="003B7FAF"/>
    <w:rsid w:val="003C0076"/>
    <w:rsid w:val="003C0122"/>
    <w:rsid w:val="003C0166"/>
    <w:rsid w:val="003C018A"/>
    <w:rsid w:val="003C01AF"/>
    <w:rsid w:val="003C01EC"/>
    <w:rsid w:val="003C0321"/>
    <w:rsid w:val="003C0376"/>
    <w:rsid w:val="003C039F"/>
    <w:rsid w:val="003C0425"/>
    <w:rsid w:val="003C044E"/>
    <w:rsid w:val="003C0468"/>
    <w:rsid w:val="003C04D0"/>
    <w:rsid w:val="003C052B"/>
    <w:rsid w:val="003C0553"/>
    <w:rsid w:val="003C0554"/>
    <w:rsid w:val="003C055B"/>
    <w:rsid w:val="003C0572"/>
    <w:rsid w:val="003C05E0"/>
    <w:rsid w:val="003C06A1"/>
    <w:rsid w:val="003C06A8"/>
    <w:rsid w:val="003C06C0"/>
    <w:rsid w:val="003C06E5"/>
    <w:rsid w:val="003C0705"/>
    <w:rsid w:val="003C072F"/>
    <w:rsid w:val="003C0815"/>
    <w:rsid w:val="003C081C"/>
    <w:rsid w:val="003C089F"/>
    <w:rsid w:val="003C08E2"/>
    <w:rsid w:val="003C08F3"/>
    <w:rsid w:val="003C0904"/>
    <w:rsid w:val="003C091E"/>
    <w:rsid w:val="003C091F"/>
    <w:rsid w:val="003C09FC"/>
    <w:rsid w:val="003C0A0B"/>
    <w:rsid w:val="003C0A35"/>
    <w:rsid w:val="003C0B52"/>
    <w:rsid w:val="003C0C54"/>
    <w:rsid w:val="003C0C59"/>
    <w:rsid w:val="003C0CD6"/>
    <w:rsid w:val="003C0D12"/>
    <w:rsid w:val="003C0D1D"/>
    <w:rsid w:val="003C0DA0"/>
    <w:rsid w:val="003C0DA2"/>
    <w:rsid w:val="003C0DD1"/>
    <w:rsid w:val="003C0DE5"/>
    <w:rsid w:val="003C0E77"/>
    <w:rsid w:val="003C0EAA"/>
    <w:rsid w:val="003C0F05"/>
    <w:rsid w:val="003C0F39"/>
    <w:rsid w:val="003C0FA8"/>
    <w:rsid w:val="003C0FAD"/>
    <w:rsid w:val="003C0FF6"/>
    <w:rsid w:val="003C100F"/>
    <w:rsid w:val="003C10AD"/>
    <w:rsid w:val="003C10D0"/>
    <w:rsid w:val="003C10FD"/>
    <w:rsid w:val="003C114B"/>
    <w:rsid w:val="003C116D"/>
    <w:rsid w:val="003C118B"/>
    <w:rsid w:val="003C11A3"/>
    <w:rsid w:val="003C1203"/>
    <w:rsid w:val="003C1237"/>
    <w:rsid w:val="003C129C"/>
    <w:rsid w:val="003C12B6"/>
    <w:rsid w:val="003C12C9"/>
    <w:rsid w:val="003C133C"/>
    <w:rsid w:val="003C1353"/>
    <w:rsid w:val="003C1366"/>
    <w:rsid w:val="003C144C"/>
    <w:rsid w:val="003C1466"/>
    <w:rsid w:val="003C1532"/>
    <w:rsid w:val="003C1657"/>
    <w:rsid w:val="003C1704"/>
    <w:rsid w:val="003C1741"/>
    <w:rsid w:val="003C176C"/>
    <w:rsid w:val="003C17CB"/>
    <w:rsid w:val="003C17F5"/>
    <w:rsid w:val="003C1974"/>
    <w:rsid w:val="003C199F"/>
    <w:rsid w:val="003C19FB"/>
    <w:rsid w:val="003C19FD"/>
    <w:rsid w:val="003C1A6A"/>
    <w:rsid w:val="003C1AAF"/>
    <w:rsid w:val="003C1ABC"/>
    <w:rsid w:val="003C1B1E"/>
    <w:rsid w:val="003C1B9F"/>
    <w:rsid w:val="003C1BC0"/>
    <w:rsid w:val="003C1C88"/>
    <w:rsid w:val="003C1C9A"/>
    <w:rsid w:val="003C1D14"/>
    <w:rsid w:val="003C1E04"/>
    <w:rsid w:val="003C1E36"/>
    <w:rsid w:val="003C1E7D"/>
    <w:rsid w:val="003C1E8E"/>
    <w:rsid w:val="003C1EB9"/>
    <w:rsid w:val="003C1EC2"/>
    <w:rsid w:val="003C1EEB"/>
    <w:rsid w:val="003C1F0A"/>
    <w:rsid w:val="003C1F16"/>
    <w:rsid w:val="003C1F45"/>
    <w:rsid w:val="003C1FCD"/>
    <w:rsid w:val="003C1FDA"/>
    <w:rsid w:val="003C1FF6"/>
    <w:rsid w:val="003C21AB"/>
    <w:rsid w:val="003C2219"/>
    <w:rsid w:val="003C2315"/>
    <w:rsid w:val="003C2337"/>
    <w:rsid w:val="003C248E"/>
    <w:rsid w:val="003C2525"/>
    <w:rsid w:val="003C259E"/>
    <w:rsid w:val="003C25C4"/>
    <w:rsid w:val="003C2614"/>
    <w:rsid w:val="003C2679"/>
    <w:rsid w:val="003C2697"/>
    <w:rsid w:val="003C26D3"/>
    <w:rsid w:val="003C2705"/>
    <w:rsid w:val="003C2718"/>
    <w:rsid w:val="003C273C"/>
    <w:rsid w:val="003C275D"/>
    <w:rsid w:val="003C27D5"/>
    <w:rsid w:val="003C281C"/>
    <w:rsid w:val="003C2855"/>
    <w:rsid w:val="003C2874"/>
    <w:rsid w:val="003C287F"/>
    <w:rsid w:val="003C28E1"/>
    <w:rsid w:val="003C291E"/>
    <w:rsid w:val="003C29BA"/>
    <w:rsid w:val="003C29BD"/>
    <w:rsid w:val="003C2A03"/>
    <w:rsid w:val="003C2A23"/>
    <w:rsid w:val="003C2A7A"/>
    <w:rsid w:val="003C2A8D"/>
    <w:rsid w:val="003C2B32"/>
    <w:rsid w:val="003C2B53"/>
    <w:rsid w:val="003C2BC3"/>
    <w:rsid w:val="003C2BFC"/>
    <w:rsid w:val="003C2C74"/>
    <w:rsid w:val="003C2C8D"/>
    <w:rsid w:val="003C2CA4"/>
    <w:rsid w:val="003C2D11"/>
    <w:rsid w:val="003C2D36"/>
    <w:rsid w:val="003C2D68"/>
    <w:rsid w:val="003C2D92"/>
    <w:rsid w:val="003C2DBF"/>
    <w:rsid w:val="003C2DCB"/>
    <w:rsid w:val="003C2DED"/>
    <w:rsid w:val="003C2E79"/>
    <w:rsid w:val="003C2E94"/>
    <w:rsid w:val="003C2F23"/>
    <w:rsid w:val="003C2F6E"/>
    <w:rsid w:val="003C2FFF"/>
    <w:rsid w:val="003C301E"/>
    <w:rsid w:val="003C3042"/>
    <w:rsid w:val="003C30A1"/>
    <w:rsid w:val="003C30DF"/>
    <w:rsid w:val="003C310A"/>
    <w:rsid w:val="003C3205"/>
    <w:rsid w:val="003C3244"/>
    <w:rsid w:val="003C329C"/>
    <w:rsid w:val="003C332A"/>
    <w:rsid w:val="003C333C"/>
    <w:rsid w:val="003C334E"/>
    <w:rsid w:val="003C3389"/>
    <w:rsid w:val="003C33B2"/>
    <w:rsid w:val="003C343F"/>
    <w:rsid w:val="003C3463"/>
    <w:rsid w:val="003C346E"/>
    <w:rsid w:val="003C350F"/>
    <w:rsid w:val="003C3564"/>
    <w:rsid w:val="003C3674"/>
    <w:rsid w:val="003C3749"/>
    <w:rsid w:val="003C375D"/>
    <w:rsid w:val="003C386F"/>
    <w:rsid w:val="003C38B7"/>
    <w:rsid w:val="003C38DA"/>
    <w:rsid w:val="003C3913"/>
    <w:rsid w:val="003C3941"/>
    <w:rsid w:val="003C395C"/>
    <w:rsid w:val="003C399F"/>
    <w:rsid w:val="003C39D1"/>
    <w:rsid w:val="003C3A15"/>
    <w:rsid w:val="003C3A47"/>
    <w:rsid w:val="003C3A69"/>
    <w:rsid w:val="003C3A7C"/>
    <w:rsid w:val="003C3AD5"/>
    <w:rsid w:val="003C3B26"/>
    <w:rsid w:val="003C3B50"/>
    <w:rsid w:val="003C3B94"/>
    <w:rsid w:val="003C3BAB"/>
    <w:rsid w:val="003C3BD7"/>
    <w:rsid w:val="003C3C50"/>
    <w:rsid w:val="003C3D5C"/>
    <w:rsid w:val="003C3D89"/>
    <w:rsid w:val="003C3E0B"/>
    <w:rsid w:val="003C3E19"/>
    <w:rsid w:val="003C3FBD"/>
    <w:rsid w:val="003C3FD7"/>
    <w:rsid w:val="003C4017"/>
    <w:rsid w:val="003C4042"/>
    <w:rsid w:val="003C4071"/>
    <w:rsid w:val="003C408C"/>
    <w:rsid w:val="003C409D"/>
    <w:rsid w:val="003C410F"/>
    <w:rsid w:val="003C415B"/>
    <w:rsid w:val="003C422B"/>
    <w:rsid w:val="003C430D"/>
    <w:rsid w:val="003C435E"/>
    <w:rsid w:val="003C4391"/>
    <w:rsid w:val="003C440D"/>
    <w:rsid w:val="003C442A"/>
    <w:rsid w:val="003C4469"/>
    <w:rsid w:val="003C44A7"/>
    <w:rsid w:val="003C44FF"/>
    <w:rsid w:val="003C4541"/>
    <w:rsid w:val="003C457B"/>
    <w:rsid w:val="003C45A2"/>
    <w:rsid w:val="003C45AE"/>
    <w:rsid w:val="003C45CB"/>
    <w:rsid w:val="003C4619"/>
    <w:rsid w:val="003C4653"/>
    <w:rsid w:val="003C4688"/>
    <w:rsid w:val="003C46FE"/>
    <w:rsid w:val="003C47A3"/>
    <w:rsid w:val="003C47AB"/>
    <w:rsid w:val="003C47E1"/>
    <w:rsid w:val="003C4880"/>
    <w:rsid w:val="003C48F3"/>
    <w:rsid w:val="003C4937"/>
    <w:rsid w:val="003C494D"/>
    <w:rsid w:val="003C49CE"/>
    <w:rsid w:val="003C4A0B"/>
    <w:rsid w:val="003C4A45"/>
    <w:rsid w:val="003C4AB6"/>
    <w:rsid w:val="003C4AE1"/>
    <w:rsid w:val="003C4AED"/>
    <w:rsid w:val="003C4AF6"/>
    <w:rsid w:val="003C4B29"/>
    <w:rsid w:val="003C4B34"/>
    <w:rsid w:val="003C4B56"/>
    <w:rsid w:val="003C4B66"/>
    <w:rsid w:val="003C4B71"/>
    <w:rsid w:val="003C4BBA"/>
    <w:rsid w:val="003C4C62"/>
    <w:rsid w:val="003C4C6E"/>
    <w:rsid w:val="003C4CB0"/>
    <w:rsid w:val="003C4D1A"/>
    <w:rsid w:val="003C4D6E"/>
    <w:rsid w:val="003C4E30"/>
    <w:rsid w:val="003C4E77"/>
    <w:rsid w:val="003C4EBE"/>
    <w:rsid w:val="003C4F19"/>
    <w:rsid w:val="003C4F30"/>
    <w:rsid w:val="003C4F63"/>
    <w:rsid w:val="003C4F91"/>
    <w:rsid w:val="003C4FA5"/>
    <w:rsid w:val="003C4FAD"/>
    <w:rsid w:val="003C4FF8"/>
    <w:rsid w:val="003C5078"/>
    <w:rsid w:val="003C508E"/>
    <w:rsid w:val="003C50B1"/>
    <w:rsid w:val="003C50E8"/>
    <w:rsid w:val="003C5100"/>
    <w:rsid w:val="003C5107"/>
    <w:rsid w:val="003C5159"/>
    <w:rsid w:val="003C51D7"/>
    <w:rsid w:val="003C526A"/>
    <w:rsid w:val="003C52EF"/>
    <w:rsid w:val="003C534C"/>
    <w:rsid w:val="003C53C7"/>
    <w:rsid w:val="003C5407"/>
    <w:rsid w:val="003C546E"/>
    <w:rsid w:val="003C54B5"/>
    <w:rsid w:val="003C5516"/>
    <w:rsid w:val="003C5552"/>
    <w:rsid w:val="003C55AA"/>
    <w:rsid w:val="003C55B8"/>
    <w:rsid w:val="003C5618"/>
    <w:rsid w:val="003C568C"/>
    <w:rsid w:val="003C5706"/>
    <w:rsid w:val="003C57D8"/>
    <w:rsid w:val="003C583B"/>
    <w:rsid w:val="003C5849"/>
    <w:rsid w:val="003C5897"/>
    <w:rsid w:val="003C58FD"/>
    <w:rsid w:val="003C5953"/>
    <w:rsid w:val="003C5995"/>
    <w:rsid w:val="003C5A90"/>
    <w:rsid w:val="003C5AFE"/>
    <w:rsid w:val="003C5B39"/>
    <w:rsid w:val="003C5B3D"/>
    <w:rsid w:val="003C5B5A"/>
    <w:rsid w:val="003C5B73"/>
    <w:rsid w:val="003C5BAC"/>
    <w:rsid w:val="003C5C5E"/>
    <w:rsid w:val="003C5C72"/>
    <w:rsid w:val="003C5C97"/>
    <w:rsid w:val="003C5CD0"/>
    <w:rsid w:val="003C5CE8"/>
    <w:rsid w:val="003C5D3C"/>
    <w:rsid w:val="003C5D9C"/>
    <w:rsid w:val="003C5DE4"/>
    <w:rsid w:val="003C5EEC"/>
    <w:rsid w:val="003C5F0A"/>
    <w:rsid w:val="003C5F8B"/>
    <w:rsid w:val="003C5FA8"/>
    <w:rsid w:val="003C5FC5"/>
    <w:rsid w:val="003C5FD8"/>
    <w:rsid w:val="003C6052"/>
    <w:rsid w:val="003C60BC"/>
    <w:rsid w:val="003C61DD"/>
    <w:rsid w:val="003C62CD"/>
    <w:rsid w:val="003C6348"/>
    <w:rsid w:val="003C63F0"/>
    <w:rsid w:val="003C6487"/>
    <w:rsid w:val="003C64F4"/>
    <w:rsid w:val="003C658C"/>
    <w:rsid w:val="003C66EC"/>
    <w:rsid w:val="003C679C"/>
    <w:rsid w:val="003C67D6"/>
    <w:rsid w:val="003C6812"/>
    <w:rsid w:val="003C684E"/>
    <w:rsid w:val="003C691B"/>
    <w:rsid w:val="003C6949"/>
    <w:rsid w:val="003C6990"/>
    <w:rsid w:val="003C6AA0"/>
    <w:rsid w:val="003C6AB8"/>
    <w:rsid w:val="003C6AE3"/>
    <w:rsid w:val="003C6B02"/>
    <w:rsid w:val="003C6B71"/>
    <w:rsid w:val="003C6B97"/>
    <w:rsid w:val="003C6C06"/>
    <w:rsid w:val="003C6C17"/>
    <w:rsid w:val="003C6C94"/>
    <w:rsid w:val="003C6CCC"/>
    <w:rsid w:val="003C6CDA"/>
    <w:rsid w:val="003C6D05"/>
    <w:rsid w:val="003C6D63"/>
    <w:rsid w:val="003C6D7C"/>
    <w:rsid w:val="003C6D8C"/>
    <w:rsid w:val="003C6E77"/>
    <w:rsid w:val="003C6E79"/>
    <w:rsid w:val="003C6E95"/>
    <w:rsid w:val="003C6EEF"/>
    <w:rsid w:val="003C6F50"/>
    <w:rsid w:val="003C6F70"/>
    <w:rsid w:val="003C6FB6"/>
    <w:rsid w:val="003C7000"/>
    <w:rsid w:val="003C7042"/>
    <w:rsid w:val="003C706E"/>
    <w:rsid w:val="003C70F0"/>
    <w:rsid w:val="003C7119"/>
    <w:rsid w:val="003C7145"/>
    <w:rsid w:val="003C7173"/>
    <w:rsid w:val="003C71A5"/>
    <w:rsid w:val="003C726B"/>
    <w:rsid w:val="003C729A"/>
    <w:rsid w:val="003C72B3"/>
    <w:rsid w:val="003C72FE"/>
    <w:rsid w:val="003C7332"/>
    <w:rsid w:val="003C740D"/>
    <w:rsid w:val="003C7514"/>
    <w:rsid w:val="003C7548"/>
    <w:rsid w:val="003C7566"/>
    <w:rsid w:val="003C7602"/>
    <w:rsid w:val="003C7633"/>
    <w:rsid w:val="003C773C"/>
    <w:rsid w:val="003C77B8"/>
    <w:rsid w:val="003C77C2"/>
    <w:rsid w:val="003C784A"/>
    <w:rsid w:val="003C786D"/>
    <w:rsid w:val="003C78E6"/>
    <w:rsid w:val="003C7990"/>
    <w:rsid w:val="003C7A5B"/>
    <w:rsid w:val="003C7A8D"/>
    <w:rsid w:val="003C7A96"/>
    <w:rsid w:val="003C7ABA"/>
    <w:rsid w:val="003C7AF1"/>
    <w:rsid w:val="003C7B36"/>
    <w:rsid w:val="003C7B4C"/>
    <w:rsid w:val="003C7BAF"/>
    <w:rsid w:val="003C7BFF"/>
    <w:rsid w:val="003C7C5E"/>
    <w:rsid w:val="003C7CCC"/>
    <w:rsid w:val="003C7CFE"/>
    <w:rsid w:val="003C7D11"/>
    <w:rsid w:val="003C7D49"/>
    <w:rsid w:val="003C7D9E"/>
    <w:rsid w:val="003C7DBC"/>
    <w:rsid w:val="003C7DE5"/>
    <w:rsid w:val="003C7DE9"/>
    <w:rsid w:val="003C7E5C"/>
    <w:rsid w:val="003C7E9E"/>
    <w:rsid w:val="003C7EB4"/>
    <w:rsid w:val="003C7F81"/>
    <w:rsid w:val="003D014D"/>
    <w:rsid w:val="003D018A"/>
    <w:rsid w:val="003D019A"/>
    <w:rsid w:val="003D01C2"/>
    <w:rsid w:val="003D02D5"/>
    <w:rsid w:val="003D0321"/>
    <w:rsid w:val="003D0440"/>
    <w:rsid w:val="003D0451"/>
    <w:rsid w:val="003D049F"/>
    <w:rsid w:val="003D04DE"/>
    <w:rsid w:val="003D04ED"/>
    <w:rsid w:val="003D050B"/>
    <w:rsid w:val="003D05A4"/>
    <w:rsid w:val="003D067F"/>
    <w:rsid w:val="003D06C6"/>
    <w:rsid w:val="003D06F0"/>
    <w:rsid w:val="003D06F4"/>
    <w:rsid w:val="003D0726"/>
    <w:rsid w:val="003D0819"/>
    <w:rsid w:val="003D08B7"/>
    <w:rsid w:val="003D08F6"/>
    <w:rsid w:val="003D0928"/>
    <w:rsid w:val="003D095B"/>
    <w:rsid w:val="003D0970"/>
    <w:rsid w:val="003D097E"/>
    <w:rsid w:val="003D09A7"/>
    <w:rsid w:val="003D09D3"/>
    <w:rsid w:val="003D09E4"/>
    <w:rsid w:val="003D09F2"/>
    <w:rsid w:val="003D0A27"/>
    <w:rsid w:val="003D0B6D"/>
    <w:rsid w:val="003D0C3D"/>
    <w:rsid w:val="003D0C9A"/>
    <w:rsid w:val="003D0CC5"/>
    <w:rsid w:val="003D0D4F"/>
    <w:rsid w:val="003D0DD8"/>
    <w:rsid w:val="003D0E66"/>
    <w:rsid w:val="003D0E72"/>
    <w:rsid w:val="003D0EF5"/>
    <w:rsid w:val="003D0F29"/>
    <w:rsid w:val="003D0FE1"/>
    <w:rsid w:val="003D10C7"/>
    <w:rsid w:val="003D10ED"/>
    <w:rsid w:val="003D118F"/>
    <w:rsid w:val="003D11F7"/>
    <w:rsid w:val="003D11FE"/>
    <w:rsid w:val="003D1246"/>
    <w:rsid w:val="003D1257"/>
    <w:rsid w:val="003D1271"/>
    <w:rsid w:val="003D127D"/>
    <w:rsid w:val="003D1323"/>
    <w:rsid w:val="003D13B4"/>
    <w:rsid w:val="003D13E3"/>
    <w:rsid w:val="003D1470"/>
    <w:rsid w:val="003D14CD"/>
    <w:rsid w:val="003D1504"/>
    <w:rsid w:val="003D1505"/>
    <w:rsid w:val="003D1517"/>
    <w:rsid w:val="003D1529"/>
    <w:rsid w:val="003D152C"/>
    <w:rsid w:val="003D1549"/>
    <w:rsid w:val="003D155C"/>
    <w:rsid w:val="003D15A8"/>
    <w:rsid w:val="003D16F6"/>
    <w:rsid w:val="003D170A"/>
    <w:rsid w:val="003D176D"/>
    <w:rsid w:val="003D1774"/>
    <w:rsid w:val="003D1830"/>
    <w:rsid w:val="003D189C"/>
    <w:rsid w:val="003D1936"/>
    <w:rsid w:val="003D19B7"/>
    <w:rsid w:val="003D1A66"/>
    <w:rsid w:val="003D1A9F"/>
    <w:rsid w:val="003D1B17"/>
    <w:rsid w:val="003D1BBC"/>
    <w:rsid w:val="003D1C48"/>
    <w:rsid w:val="003D1C69"/>
    <w:rsid w:val="003D1C6B"/>
    <w:rsid w:val="003D1CC1"/>
    <w:rsid w:val="003D1D4E"/>
    <w:rsid w:val="003D1D62"/>
    <w:rsid w:val="003D1DD3"/>
    <w:rsid w:val="003D1DE9"/>
    <w:rsid w:val="003D1DEE"/>
    <w:rsid w:val="003D1E4A"/>
    <w:rsid w:val="003D1F87"/>
    <w:rsid w:val="003D1F89"/>
    <w:rsid w:val="003D1F98"/>
    <w:rsid w:val="003D1FD5"/>
    <w:rsid w:val="003D1FE6"/>
    <w:rsid w:val="003D202F"/>
    <w:rsid w:val="003D203C"/>
    <w:rsid w:val="003D2043"/>
    <w:rsid w:val="003D206F"/>
    <w:rsid w:val="003D2117"/>
    <w:rsid w:val="003D2119"/>
    <w:rsid w:val="003D216D"/>
    <w:rsid w:val="003D2172"/>
    <w:rsid w:val="003D21D5"/>
    <w:rsid w:val="003D22B7"/>
    <w:rsid w:val="003D232E"/>
    <w:rsid w:val="003D2346"/>
    <w:rsid w:val="003D2432"/>
    <w:rsid w:val="003D2475"/>
    <w:rsid w:val="003D2572"/>
    <w:rsid w:val="003D2576"/>
    <w:rsid w:val="003D2641"/>
    <w:rsid w:val="003D2661"/>
    <w:rsid w:val="003D2663"/>
    <w:rsid w:val="003D275A"/>
    <w:rsid w:val="003D278C"/>
    <w:rsid w:val="003D279E"/>
    <w:rsid w:val="003D27B4"/>
    <w:rsid w:val="003D27C7"/>
    <w:rsid w:val="003D286D"/>
    <w:rsid w:val="003D2907"/>
    <w:rsid w:val="003D2972"/>
    <w:rsid w:val="003D2978"/>
    <w:rsid w:val="003D29C4"/>
    <w:rsid w:val="003D2A9F"/>
    <w:rsid w:val="003D2C17"/>
    <w:rsid w:val="003D2C64"/>
    <w:rsid w:val="003D2C6F"/>
    <w:rsid w:val="003D2D43"/>
    <w:rsid w:val="003D2D77"/>
    <w:rsid w:val="003D2DAC"/>
    <w:rsid w:val="003D2DD7"/>
    <w:rsid w:val="003D2DEB"/>
    <w:rsid w:val="003D2DF4"/>
    <w:rsid w:val="003D2E2B"/>
    <w:rsid w:val="003D2E31"/>
    <w:rsid w:val="003D2E74"/>
    <w:rsid w:val="003D2EBB"/>
    <w:rsid w:val="003D2F13"/>
    <w:rsid w:val="003D2F3D"/>
    <w:rsid w:val="003D3072"/>
    <w:rsid w:val="003D30A5"/>
    <w:rsid w:val="003D314E"/>
    <w:rsid w:val="003D3196"/>
    <w:rsid w:val="003D3197"/>
    <w:rsid w:val="003D3211"/>
    <w:rsid w:val="003D3255"/>
    <w:rsid w:val="003D32AA"/>
    <w:rsid w:val="003D32B3"/>
    <w:rsid w:val="003D32B7"/>
    <w:rsid w:val="003D32E0"/>
    <w:rsid w:val="003D3369"/>
    <w:rsid w:val="003D33A9"/>
    <w:rsid w:val="003D33F5"/>
    <w:rsid w:val="003D3450"/>
    <w:rsid w:val="003D346C"/>
    <w:rsid w:val="003D3479"/>
    <w:rsid w:val="003D34B7"/>
    <w:rsid w:val="003D34EA"/>
    <w:rsid w:val="003D3523"/>
    <w:rsid w:val="003D3593"/>
    <w:rsid w:val="003D35B5"/>
    <w:rsid w:val="003D35EC"/>
    <w:rsid w:val="003D3607"/>
    <w:rsid w:val="003D3849"/>
    <w:rsid w:val="003D384C"/>
    <w:rsid w:val="003D384D"/>
    <w:rsid w:val="003D385D"/>
    <w:rsid w:val="003D39DE"/>
    <w:rsid w:val="003D39EF"/>
    <w:rsid w:val="003D3AB5"/>
    <w:rsid w:val="003D3AFF"/>
    <w:rsid w:val="003D3B1D"/>
    <w:rsid w:val="003D3B54"/>
    <w:rsid w:val="003D3B76"/>
    <w:rsid w:val="003D3B7F"/>
    <w:rsid w:val="003D3C09"/>
    <w:rsid w:val="003D3C28"/>
    <w:rsid w:val="003D3C5D"/>
    <w:rsid w:val="003D3D58"/>
    <w:rsid w:val="003D3E1C"/>
    <w:rsid w:val="003D3E29"/>
    <w:rsid w:val="003D3F05"/>
    <w:rsid w:val="003D3F06"/>
    <w:rsid w:val="003D3F37"/>
    <w:rsid w:val="003D3F97"/>
    <w:rsid w:val="003D3FE9"/>
    <w:rsid w:val="003D4009"/>
    <w:rsid w:val="003D40B4"/>
    <w:rsid w:val="003D40B7"/>
    <w:rsid w:val="003D40F1"/>
    <w:rsid w:val="003D4120"/>
    <w:rsid w:val="003D4123"/>
    <w:rsid w:val="003D4133"/>
    <w:rsid w:val="003D4144"/>
    <w:rsid w:val="003D4161"/>
    <w:rsid w:val="003D41E5"/>
    <w:rsid w:val="003D429E"/>
    <w:rsid w:val="003D42B0"/>
    <w:rsid w:val="003D43BF"/>
    <w:rsid w:val="003D448A"/>
    <w:rsid w:val="003D4585"/>
    <w:rsid w:val="003D4644"/>
    <w:rsid w:val="003D471F"/>
    <w:rsid w:val="003D476C"/>
    <w:rsid w:val="003D4782"/>
    <w:rsid w:val="003D478F"/>
    <w:rsid w:val="003D47C5"/>
    <w:rsid w:val="003D4801"/>
    <w:rsid w:val="003D48A9"/>
    <w:rsid w:val="003D48AC"/>
    <w:rsid w:val="003D4B1D"/>
    <w:rsid w:val="003D4C09"/>
    <w:rsid w:val="003D4C37"/>
    <w:rsid w:val="003D4C49"/>
    <w:rsid w:val="003D4C53"/>
    <w:rsid w:val="003D4C54"/>
    <w:rsid w:val="003D4C84"/>
    <w:rsid w:val="003D4C86"/>
    <w:rsid w:val="003D4C8F"/>
    <w:rsid w:val="003D4CB0"/>
    <w:rsid w:val="003D4CDC"/>
    <w:rsid w:val="003D4D23"/>
    <w:rsid w:val="003D4E98"/>
    <w:rsid w:val="003D4E99"/>
    <w:rsid w:val="003D4EEB"/>
    <w:rsid w:val="003D4F01"/>
    <w:rsid w:val="003D4F13"/>
    <w:rsid w:val="003D4F26"/>
    <w:rsid w:val="003D4F2C"/>
    <w:rsid w:val="003D4F58"/>
    <w:rsid w:val="003D4F6C"/>
    <w:rsid w:val="003D500C"/>
    <w:rsid w:val="003D502C"/>
    <w:rsid w:val="003D50F2"/>
    <w:rsid w:val="003D5218"/>
    <w:rsid w:val="003D522B"/>
    <w:rsid w:val="003D5328"/>
    <w:rsid w:val="003D533E"/>
    <w:rsid w:val="003D5385"/>
    <w:rsid w:val="003D53A6"/>
    <w:rsid w:val="003D53D3"/>
    <w:rsid w:val="003D53DD"/>
    <w:rsid w:val="003D5473"/>
    <w:rsid w:val="003D54BE"/>
    <w:rsid w:val="003D5507"/>
    <w:rsid w:val="003D5562"/>
    <w:rsid w:val="003D55A3"/>
    <w:rsid w:val="003D5620"/>
    <w:rsid w:val="003D5648"/>
    <w:rsid w:val="003D5703"/>
    <w:rsid w:val="003D5795"/>
    <w:rsid w:val="003D581C"/>
    <w:rsid w:val="003D5820"/>
    <w:rsid w:val="003D5841"/>
    <w:rsid w:val="003D58A5"/>
    <w:rsid w:val="003D58AC"/>
    <w:rsid w:val="003D5917"/>
    <w:rsid w:val="003D593C"/>
    <w:rsid w:val="003D5946"/>
    <w:rsid w:val="003D596E"/>
    <w:rsid w:val="003D59B1"/>
    <w:rsid w:val="003D59D8"/>
    <w:rsid w:val="003D5A31"/>
    <w:rsid w:val="003D5A81"/>
    <w:rsid w:val="003D5AD8"/>
    <w:rsid w:val="003D5C19"/>
    <w:rsid w:val="003D5C36"/>
    <w:rsid w:val="003D5CBA"/>
    <w:rsid w:val="003D5CBD"/>
    <w:rsid w:val="003D5CF9"/>
    <w:rsid w:val="003D5D5C"/>
    <w:rsid w:val="003D5D5D"/>
    <w:rsid w:val="003D5D69"/>
    <w:rsid w:val="003D5D85"/>
    <w:rsid w:val="003D5E11"/>
    <w:rsid w:val="003D5ED1"/>
    <w:rsid w:val="003D5EF1"/>
    <w:rsid w:val="003D613F"/>
    <w:rsid w:val="003D6187"/>
    <w:rsid w:val="003D61C7"/>
    <w:rsid w:val="003D627A"/>
    <w:rsid w:val="003D62C7"/>
    <w:rsid w:val="003D62CF"/>
    <w:rsid w:val="003D63AE"/>
    <w:rsid w:val="003D6487"/>
    <w:rsid w:val="003D649D"/>
    <w:rsid w:val="003D6528"/>
    <w:rsid w:val="003D652C"/>
    <w:rsid w:val="003D65E9"/>
    <w:rsid w:val="003D662D"/>
    <w:rsid w:val="003D663D"/>
    <w:rsid w:val="003D6642"/>
    <w:rsid w:val="003D66FA"/>
    <w:rsid w:val="003D6794"/>
    <w:rsid w:val="003D67EA"/>
    <w:rsid w:val="003D6801"/>
    <w:rsid w:val="003D684C"/>
    <w:rsid w:val="003D6885"/>
    <w:rsid w:val="003D6983"/>
    <w:rsid w:val="003D6A20"/>
    <w:rsid w:val="003D6B3A"/>
    <w:rsid w:val="003D6BE2"/>
    <w:rsid w:val="003D6CA7"/>
    <w:rsid w:val="003D6CB3"/>
    <w:rsid w:val="003D6CEE"/>
    <w:rsid w:val="003D6D18"/>
    <w:rsid w:val="003D6D5A"/>
    <w:rsid w:val="003D6DFC"/>
    <w:rsid w:val="003D6E52"/>
    <w:rsid w:val="003D6EA5"/>
    <w:rsid w:val="003D6FA7"/>
    <w:rsid w:val="003D6FD7"/>
    <w:rsid w:val="003D6FDC"/>
    <w:rsid w:val="003D7066"/>
    <w:rsid w:val="003D7084"/>
    <w:rsid w:val="003D70BD"/>
    <w:rsid w:val="003D7158"/>
    <w:rsid w:val="003D715D"/>
    <w:rsid w:val="003D7193"/>
    <w:rsid w:val="003D71DC"/>
    <w:rsid w:val="003D7258"/>
    <w:rsid w:val="003D725E"/>
    <w:rsid w:val="003D7289"/>
    <w:rsid w:val="003D72CD"/>
    <w:rsid w:val="003D72D9"/>
    <w:rsid w:val="003D7326"/>
    <w:rsid w:val="003D7351"/>
    <w:rsid w:val="003D7386"/>
    <w:rsid w:val="003D7539"/>
    <w:rsid w:val="003D756B"/>
    <w:rsid w:val="003D7577"/>
    <w:rsid w:val="003D75A3"/>
    <w:rsid w:val="003D7669"/>
    <w:rsid w:val="003D76B1"/>
    <w:rsid w:val="003D76E1"/>
    <w:rsid w:val="003D76E5"/>
    <w:rsid w:val="003D7705"/>
    <w:rsid w:val="003D7770"/>
    <w:rsid w:val="003D7799"/>
    <w:rsid w:val="003D7858"/>
    <w:rsid w:val="003D7897"/>
    <w:rsid w:val="003D78D0"/>
    <w:rsid w:val="003D78D9"/>
    <w:rsid w:val="003D78F1"/>
    <w:rsid w:val="003D794C"/>
    <w:rsid w:val="003D79CA"/>
    <w:rsid w:val="003D7B5F"/>
    <w:rsid w:val="003D7B9A"/>
    <w:rsid w:val="003D7BF1"/>
    <w:rsid w:val="003D7C6F"/>
    <w:rsid w:val="003D7CD0"/>
    <w:rsid w:val="003D7CD2"/>
    <w:rsid w:val="003D7CE3"/>
    <w:rsid w:val="003D7D12"/>
    <w:rsid w:val="003D7D31"/>
    <w:rsid w:val="003D7EAB"/>
    <w:rsid w:val="003D7EDE"/>
    <w:rsid w:val="003D7F01"/>
    <w:rsid w:val="003D7F2D"/>
    <w:rsid w:val="003D7F7B"/>
    <w:rsid w:val="003DC78F"/>
    <w:rsid w:val="003E0019"/>
    <w:rsid w:val="003E0091"/>
    <w:rsid w:val="003E014A"/>
    <w:rsid w:val="003E0181"/>
    <w:rsid w:val="003E01A9"/>
    <w:rsid w:val="003E01BC"/>
    <w:rsid w:val="003E01C6"/>
    <w:rsid w:val="003E01D7"/>
    <w:rsid w:val="003E020F"/>
    <w:rsid w:val="003E0214"/>
    <w:rsid w:val="003E0216"/>
    <w:rsid w:val="003E0243"/>
    <w:rsid w:val="003E027E"/>
    <w:rsid w:val="003E0293"/>
    <w:rsid w:val="003E02B4"/>
    <w:rsid w:val="003E02C9"/>
    <w:rsid w:val="003E0305"/>
    <w:rsid w:val="003E030C"/>
    <w:rsid w:val="003E031A"/>
    <w:rsid w:val="003E034C"/>
    <w:rsid w:val="003E03A5"/>
    <w:rsid w:val="003E042D"/>
    <w:rsid w:val="003E047B"/>
    <w:rsid w:val="003E04A1"/>
    <w:rsid w:val="003E0547"/>
    <w:rsid w:val="003E0550"/>
    <w:rsid w:val="003E0608"/>
    <w:rsid w:val="003E0612"/>
    <w:rsid w:val="003E06F6"/>
    <w:rsid w:val="003E0728"/>
    <w:rsid w:val="003E079F"/>
    <w:rsid w:val="003E07CE"/>
    <w:rsid w:val="003E07F2"/>
    <w:rsid w:val="003E0896"/>
    <w:rsid w:val="003E091E"/>
    <w:rsid w:val="003E093A"/>
    <w:rsid w:val="003E09E0"/>
    <w:rsid w:val="003E0A0C"/>
    <w:rsid w:val="003E0A2B"/>
    <w:rsid w:val="003E0A8B"/>
    <w:rsid w:val="003E0A97"/>
    <w:rsid w:val="003E0AA4"/>
    <w:rsid w:val="003E0B39"/>
    <w:rsid w:val="003E0B7A"/>
    <w:rsid w:val="003E0BFD"/>
    <w:rsid w:val="003E0C02"/>
    <w:rsid w:val="003E0CDB"/>
    <w:rsid w:val="003E0CF9"/>
    <w:rsid w:val="003E0D5B"/>
    <w:rsid w:val="003E0DDF"/>
    <w:rsid w:val="003E0EAA"/>
    <w:rsid w:val="003E0ECD"/>
    <w:rsid w:val="003E0ED9"/>
    <w:rsid w:val="003E0F08"/>
    <w:rsid w:val="003E0F54"/>
    <w:rsid w:val="003E0F74"/>
    <w:rsid w:val="003E0FF4"/>
    <w:rsid w:val="003E1031"/>
    <w:rsid w:val="003E1052"/>
    <w:rsid w:val="003E105E"/>
    <w:rsid w:val="003E10FB"/>
    <w:rsid w:val="003E1103"/>
    <w:rsid w:val="003E111A"/>
    <w:rsid w:val="003E1165"/>
    <w:rsid w:val="003E11B4"/>
    <w:rsid w:val="003E11D9"/>
    <w:rsid w:val="003E1320"/>
    <w:rsid w:val="003E1433"/>
    <w:rsid w:val="003E1444"/>
    <w:rsid w:val="003E1472"/>
    <w:rsid w:val="003E14C5"/>
    <w:rsid w:val="003E14CE"/>
    <w:rsid w:val="003E14EB"/>
    <w:rsid w:val="003E1514"/>
    <w:rsid w:val="003E1633"/>
    <w:rsid w:val="003E1713"/>
    <w:rsid w:val="003E1740"/>
    <w:rsid w:val="003E17A5"/>
    <w:rsid w:val="003E17B2"/>
    <w:rsid w:val="003E183B"/>
    <w:rsid w:val="003E1861"/>
    <w:rsid w:val="003E187A"/>
    <w:rsid w:val="003E18BA"/>
    <w:rsid w:val="003E18E3"/>
    <w:rsid w:val="003E1922"/>
    <w:rsid w:val="003E19B4"/>
    <w:rsid w:val="003E19C7"/>
    <w:rsid w:val="003E19D0"/>
    <w:rsid w:val="003E1A16"/>
    <w:rsid w:val="003E1A25"/>
    <w:rsid w:val="003E1ABB"/>
    <w:rsid w:val="003E1B09"/>
    <w:rsid w:val="003E1BBB"/>
    <w:rsid w:val="003E1BF9"/>
    <w:rsid w:val="003E1C71"/>
    <w:rsid w:val="003E1CF5"/>
    <w:rsid w:val="003E1D52"/>
    <w:rsid w:val="003E1D63"/>
    <w:rsid w:val="003E1DFF"/>
    <w:rsid w:val="003E1E4C"/>
    <w:rsid w:val="003E1EBB"/>
    <w:rsid w:val="003E1F35"/>
    <w:rsid w:val="003E1FC7"/>
    <w:rsid w:val="003E20AA"/>
    <w:rsid w:val="003E20F1"/>
    <w:rsid w:val="003E213C"/>
    <w:rsid w:val="003E21C1"/>
    <w:rsid w:val="003E222C"/>
    <w:rsid w:val="003E2324"/>
    <w:rsid w:val="003E2362"/>
    <w:rsid w:val="003E236B"/>
    <w:rsid w:val="003E2406"/>
    <w:rsid w:val="003E2514"/>
    <w:rsid w:val="003E255D"/>
    <w:rsid w:val="003E25C4"/>
    <w:rsid w:val="003E2611"/>
    <w:rsid w:val="003E2630"/>
    <w:rsid w:val="003E2687"/>
    <w:rsid w:val="003E270B"/>
    <w:rsid w:val="003E2740"/>
    <w:rsid w:val="003E2742"/>
    <w:rsid w:val="003E276E"/>
    <w:rsid w:val="003E277B"/>
    <w:rsid w:val="003E27B2"/>
    <w:rsid w:val="003E2879"/>
    <w:rsid w:val="003E293B"/>
    <w:rsid w:val="003E29B3"/>
    <w:rsid w:val="003E29F9"/>
    <w:rsid w:val="003E2A66"/>
    <w:rsid w:val="003E2A67"/>
    <w:rsid w:val="003E2AD5"/>
    <w:rsid w:val="003E2B03"/>
    <w:rsid w:val="003E2B4B"/>
    <w:rsid w:val="003E2B76"/>
    <w:rsid w:val="003E2BAC"/>
    <w:rsid w:val="003E2BBF"/>
    <w:rsid w:val="003E2BF1"/>
    <w:rsid w:val="003E2C64"/>
    <w:rsid w:val="003E2C66"/>
    <w:rsid w:val="003E2CCE"/>
    <w:rsid w:val="003E2CFD"/>
    <w:rsid w:val="003E2DA6"/>
    <w:rsid w:val="003E2DA8"/>
    <w:rsid w:val="003E2DEA"/>
    <w:rsid w:val="003E2DED"/>
    <w:rsid w:val="003E2E00"/>
    <w:rsid w:val="003E2E1E"/>
    <w:rsid w:val="003E2E60"/>
    <w:rsid w:val="003E2E88"/>
    <w:rsid w:val="003E2EAE"/>
    <w:rsid w:val="003E2EFA"/>
    <w:rsid w:val="003E2F0A"/>
    <w:rsid w:val="003E2F2C"/>
    <w:rsid w:val="003E2FF1"/>
    <w:rsid w:val="003E30A2"/>
    <w:rsid w:val="003E30BD"/>
    <w:rsid w:val="003E30DF"/>
    <w:rsid w:val="003E318B"/>
    <w:rsid w:val="003E3241"/>
    <w:rsid w:val="003E325E"/>
    <w:rsid w:val="003E328E"/>
    <w:rsid w:val="003E32CB"/>
    <w:rsid w:val="003E32D5"/>
    <w:rsid w:val="003E32FC"/>
    <w:rsid w:val="003E3330"/>
    <w:rsid w:val="003E3387"/>
    <w:rsid w:val="003E340A"/>
    <w:rsid w:val="003E349B"/>
    <w:rsid w:val="003E34A2"/>
    <w:rsid w:val="003E3588"/>
    <w:rsid w:val="003E3640"/>
    <w:rsid w:val="003E3713"/>
    <w:rsid w:val="003E374D"/>
    <w:rsid w:val="003E3826"/>
    <w:rsid w:val="003E3845"/>
    <w:rsid w:val="003E38D3"/>
    <w:rsid w:val="003E38E5"/>
    <w:rsid w:val="003E3945"/>
    <w:rsid w:val="003E3A14"/>
    <w:rsid w:val="003E3A1D"/>
    <w:rsid w:val="003E3A29"/>
    <w:rsid w:val="003E3A81"/>
    <w:rsid w:val="003E3A89"/>
    <w:rsid w:val="003E3AA6"/>
    <w:rsid w:val="003E3ACF"/>
    <w:rsid w:val="003E3AF0"/>
    <w:rsid w:val="003E3AFD"/>
    <w:rsid w:val="003E3B7C"/>
    <w:rsid w:val="003E3C04"/>
    <w:rsid w:val="003E3C1A"/>
    <w:rsid w:val="003E3C72"/>
    <w:rsid w:val="003E3CB6"/>
    <w:rsid w:val="003E3D10"/>
    <w:rsid w:val="003E3E9F"/>
    <w:rsid w:val="003E3EAD"/>
    <w:rsid w:val="003E3F04"/>
    <w:rsid w:val="003E3F7D"/>
    <w:rsid w:val="003E4053"/>
    <w:rsid w:val="003E4121"/>
    <w:rsid w:val="003E4189"/>
    <w:rsid w:val="003E4202"/>
    <w:rsid w:val="003E4248"/>
    <w:rsid w:val="003E4252"/>
    <w:rsid w:val="003E430F"/>
    <w:rsid w:val="003E4312"/>
    <w:rsid w:val="003E4324"/>
    <w:rsid w:val="003E4342"/>
    <w:rsid w:val="003E43CD"/>
    <w:rsid w:val="003E442C"/>
    <w:rsid w:val="003E4474"/>
    <w:rsid w:val="003E4515"/>
    <w:rsid w:val="003E4547"/>
    <w:rsid w:val="003E456A"/>
    <w:rsid w:val="003E456C"/>
    <w:rsid w:val="003E4590"/>
    <w:rsid w:val="003E45C7"/>
    <w:rsid w:val="003E45E8"/>
    <w:rsid w:val="003E4625"/>
    <w:rsid w:val="003E4643"/>
    <w:rsid w:val="003E4664"/>
    <w:rsid w:val="003E4673"/>
    <w:rsid w:val="003E4674"/>
    <w:rsid w:val="003E47B2"/>
    <w:rsid w:val="003E48FC"/>
    <w:rsid w:val="003E491F"/>
    <w:rsid w:val="003E495E"/>
    <w:rsid w:val="003E499F"/>
    <w:rsid w:val="003E49F2"/>
    <w:rsid w:val="003E4A13"/>
    <w:rsid w:val="003E4A33"/>
    <w:rsid w:val="003E4BAA"/>
    <w:rsid w:val="003E4BE5"/>
    <w:rsid w:val="003E4CDE"/>
    <w:rsid w:val="003E4D35"/>
    <w:rsid w:val="003E4DB4"/>
    <w:rsid w:val="003E4E13"/>
    <w:rsid w:val="003E4E1F"/>
    <w:rsid w:val="003E4E5B"/>
    <w:rsid w:val="003E4E60"/>
    <w:rsid w:val="003E4ECD"/>
    <w:rsid w:val="003E4F83"/>
    <w:rsid w:val="003E4F89"/>
    <w:rsid w:val="003E4F9A"/>
    <w:rsid w:val="003E4FD6"/>
    <w:rsid w:val="003E503D"/>
    <w:rsid w:val="003E504D"/>
    <w:rsid w:val="003E5057"/>
    <w:rsid w:val="003E50B3"/>
    <w:rsid w:val="003E5113"/>
    <w:rsid w:val="003E5123"/>
    <w:rsid w:val="003E5141"/>
    <w:rsid w:val="003E51A8"/>
    <w:rsid w:val="003E51CD"/>
    <w:rsid w:val="003E51FC"/>
    <w:rsid w:val="003E5225"/>
    <w:rsid w:val="003E522B"/>
    <w:rsid w:val="003E52FC"/>
    <w:rsid w:val="003E533B"/>
    <w:rsid w:val="003E538A"/>
    <w:rsid w:val="003E53D3"/>
    <w:rsid w:val="003E5423"/>
    <w:rsid w:val="003E5447"/>
    <w:rsid w:val="003E545D"/>
    <w:rsid w:val="003E5477"/>
    <w:rsid w:val="003E547A"/>
    <w:rsid w:val="003E5491"/>
    <w:rsid w:val="003E5557"/>
    <w:rsid w:val="003E55B4"/>
    <w:rsid w:val="003E5608"/>
    <w:rsid w:val="003E562E"/>
    <w:rsid w:val="003E5635"/>
    <w:rsid w:val="003E578A"/>
    <w:rsid w:val="003E585C"/>
    <w:rsid w:val="003E585F"/>
    <w:rsid w:val="003E5877"/>
    <w:rsid w:val="003E588E"/>
    <w:rsid w:val="003E58B4"/>
    <w:rsid w:val="003E593D"/>
    <w:rsid w:val="003E595A"/>
    <w:rsid w:val="003E5A66"/>
    <w:rsid w:val="003E5A6B"/>
    <w:rsid w:val="003E5AE7"/>
    <w:rsid w:val="003E5C25"/>
    <w:rsid w:val="003E5CA8"/>
    <w:rsid w:val="003E5D2D"/>
    <w:rsid w:val="003E5D61"/>
    <w:rsid w:val="003E5E01"/>
    <w:rsid w:val="003E5E12"/>
    <w:rsid w:val="003E5E1E"/>
    <w:rsid w:val="003E5E2C"/>
    <w:rsid w:val="003E5E8B"/>
    <w:rsid w:val="003E5EBD"/>
    <w:rsid w:val="003E5EE9"/>
    <w:rsid w:val="003E5EF7"/>
    <w:rsid w:val="003E5F3C"/>
    <w:rsid w:val="003E5F66"/>
    <w:rsid w:val="003E5FD1"/>
    <w:rsid w:val="003E5FDD"/>
    <w:rsid w:val="003E600E"/>
    <w:rsid w:val="003E601D"/>
    <w:rsid w:val="003E60AA"/>
    <w:rsid w:val="003E60B5"/>
    <w:rsid w:val="003E60DC"/>
    <w:rsid w:val="003E6104"/>
    <w:rsid w:val="003E6110"/>
    <w:rsid w:val="003E6228"/>
    <w:rsid w:val="003E626F"/>
    <w:rsid w:val="003E62DD"/>
    <w:rsid w:val="003E637D"/>
    <w:rsid w:val="003E63FD"/>
    <w:rsid w:val="003E642B"/>
    <w:rsid w:val="003E6473"/>
    <w:rsid w:val="003E6599"/>
    <w:rsid w:val="003E66FF"/>
    <w:rsid w:val="003E671B"/>
    <w:rsid w:val="003E67EB"/>
    <w:rsid w:val="003E6826"/>
    <w:rsid w:val="003E6854"/>
    <w:rsid w:val="003E6892"/>
    <w:rsid w:val="003E68F8"/>
    <w:rsid w:val="003E68FA"/>
    <w:rsid w:val="003E6987"/>
    <w:rsid w:val="003E69AD"/>
    <w:rsid w:val="003E69B5"/>
    <w:rsid w:val="003E6A41"/>
    <w:rsid w:val="003E6A92"/>
    <w:rsid w:val="003E6AE3"/>
    <w:rsid w:val="003E6B8D"/>
    <w:rsid w:val="003E6BA2"/>
    <w:rsid w:val="003E6BBD"/>
    <w:rsid w:val="003E6BBF"/>
    <w:rsid w:val="003E6C13"/>
    <w:rsid w:val="003E6C15"/>
    <w:rsid w:val="003E6C31"/>
    <w:rsid w:val="003E6C61"/>
    <w:rsid w:val="003E6CC6"/>
    <w:rsid w:val="003E6CD5"/>
    <w:rsid w:val="003E6CF2"/>
    <w:rsid w:val="003E6CF9"/>
    <w:rsid w:val="003E6E0C"/>
    <w:rsid w:val="003E6E71"/>
    <w:rsid w:val="003E6E86"/>
    <w:rsid w:val="003E6F18"/>
    <w:rsid w:val="003E6F46"/>
    <w:rsid w:val="003E6F7A"/>
    <w:rsid w:val="003E7010"/>
    <w:rsid w:val="003E7099"/>
    <w:rsid w:val="003E70D7"/>
    <w:rsid w:val="003E7128"/>
    <w:rsid w:val="003E714A"/>
    <w:rsid w:val="003E71BF"/>
    <w:rsid w:val="003E71CA"/>
    <w:rsid w:val="003E71DE"/>
    <w:rsid w:val="003E71E8"/>
    <w:rsid w:val="003E721D"/>
    <w:rsid w:val="003E722B"/>
    <w:rsid w:val="003E72D6"/>
    <w:rsid w:val="003E72EC"/>
    <w:rsid w:val="003E7385"/>
    <w:rsid w:val="003E74C0"/>
    <w:rsid w:val="003E74C5"/>
    <w:rsid w:val="003E7567"/>
    <w:rsid w:val="003E759A"/>
    <w:rsid w:val="003E75B8"/>
    <w:rsid w:val="003E764D"/>
    <w:rsid w:val="003E76B2"/>
    <w:rsid w:val="003E76D3"/>
    <w:rsid w:val="003E76F1"/>
    <w:rsid w:val="003E76FC"/>
    <w:rsid w:val="003E7717"/>
    <w:rsid w:val="003E772D"/>
    <w:rsid w:val="003E776A"/>
    <w:rsid w:val="003E7827"/>
    <w:rsid w:val="003E7870"/>
    <w:rsid w:val="003E7881"/>
    <w:rsid w:val="003E7882"/>
    <w:rsid w:val="003E78CF"/>
    <w:rsid w:val="003E78F8"/>
    <w:rsid w:val="003E7960"/>
    <w:rsid w:val="003E7979"/>
    <w:rsid w:val="003E7980"/>
    <w:rsid w:val="003E79B7"/>
    <w:rsid w:val="003E79D9"/>
    <w:rsid w:val="003E7A34"/>
    <w:rsid w:val="003E7A98"/>
    <w:rsid w:val="003E7B4A"/>
    <w:rsid w:val="003E7CB5"/>
    <w:rsid w:val="003E7CE9"/>
    <w:rsid w:val="003E7D2E"/>
    <w:rsid w:val="003E7D4E"/>
    <w:rsid w:val="003E7D8A"/>
    <w:rsid w:val="003E7E09"/>
    <w:rsid w:val="003E7EB5"/>
    <w:rsid w:val="003E7F23"/>
    <w:rsid w:val="003E7F4F"/>
    <w:rsid w:val="003E7F63"/>
    <w:rsid w:val="003E7FA1"/>
    <w:rsid w:val="003E7FDC"/>
    <w:rsid w:val="003F0065"/>
    <w:rsid w:val="003F0074"/>
    <w:rsid w:val="003F00AB"/>
    <w:rsid w:val="003F00EC"/>
    <w:rsid w:val="003F0106"/>
    <w:rsid w:val="003F01A0"/>
    <w:rsid w:val="003F01AA"/>
    <w:rsid w:val="003F02C1"/>
    <w:rsid w:val="003F0316"/>
    <w:rsid w:val="003F031C"/>
    <w:rsid w:val="003F0362"/>
    <w:rsid w:val="003F037A"/>
    <w:rsid w:val="003F0396"/>
    <w:rsid w:val="003F03BD"/>
    <w:rsid w:val="003F046D"/>
    <w:rsid w:val="003F049A"/>
    <w:rsid w:val="003F0530"/>
    <w:rsid w:val="003F0549"/>
    <w:rsid w:val="003F054A"/>
    <w:rsid w:val="003F05EB"/>
    <w:rsid w:val="003F060D"/>
    <w:rsid w:val="003F0649"/>
    <w:rsid w:val="003F069C"/>
    <w:rsid w:val="003F06F2"/>
    <w:rsid w:val="003F0711"/>
    <w:rsid w:val="003F07B1"/>
    <w:rsid w:val="003F08E6"/>
    <w:rsid w:val="003F0962"/>
    <w:rsid w:val="003F0969"/>
    <w:rsid w:val="003F096F"/>
    <w:rsid w:val="003F0A03"/>
    <w:rsid w:val="003F0A3D"/>
    <w:rsid w:val="003F0AD7"/>
    <w:rsid w:val="003F0AE9"/>
    <w:rsid w:val="003F0B4C"/>
    <w:rsid w:val="003F0B91"/>
    <w:rsid w:val="003F0B94"/>
    <w:rsid w:val="003F0BC9"/>
    <w:rsid w:val="003F0C59"/>
    <w:rsid w:val="003F0C66"/>
    <w:rsid w:val="003F0D11"/>
    <w:rsid w:val="003F0D45"/>
    <w:rsid w:val="003F0D4C"/>
    <w:rsid w:val="003F0D73"/>
    <w:rsid w:val="003F0DEC"/>
    <w:rsid w:val="003F0E1B"/>
    <w:rsid w:val="003F0E39"/>
    <w:rsid w:val="003F0E7E"/>
    <w:rsid w:val="003F0E87"/>
    <w:rsid w:val="003F0F7B"/>
    <w:rsid w:val="003F0F90"/>
    <w:rsid w:val="003F0FC8"/>
    <w:rsid w:val="003F0FF8"/>
    <w:rsid w:val="003F10B2"/>
    <w:rsid w:val="003F10E8"/>
    <w:rsid w:val="003F10F7"/>
    <w:rsid w:val="003F1107"/>
    <w:rsid w:val="003F110A"/>
    <w:rsid w:val="003F1129"/>
    <w:rsid w:val="003F1235"/>
    <w:rsid w:val="003F12CB"/>
    <w:rsid w:val="003F12D7"/>
    <w:rsid w:val="003F1306"/>
    <w:rsid w:val="003F1329"/>
    <w:rsid w:val="003F138C"/>
    <w:rsid w:val="003F138D"/>
    <w:rsid w:val="003F13A0"/>
    <w:rsid w:val="003F149D"/>
    <w:rsid w:val="003F14EB"/>
    <w:rsid w:val="003F14FB"/>
    <w:rsid w:val="003F1573"/>
    <w:rsid w:val="003F15B5"/>
    <w:rsid w:val="003F15EE"/>
    <w:rsid w:val="003F1616"/>
    <w:rsid w:val="003F1618"/>
    <w:rsid w:val="003F1648"/>
    <w:rsid w:val="003F1687"/>
    <w:rsid w:val="003F169C"/>
    <w:rsid w:val="003F16AD"/>
    <w:rsid w:val="003F170E"/>
    <w:rsid w:val="003F171F"/>
    <w:rsid w:val="003F17C8"/>
    <w:rsid w:val="003F1995"/>
    <w:rsid w:val="003F19BD"/>
    <w:rsid w:val="003F1A0F"/>
    <w:rsid w:val="003F1A50"/>
    <w:rsid w:val="003F1A70"/>
    <w:rsid w:val="003F1AFD"/>
    <w:rsid w:val="003F1B79"/>
    <w:rsid w:val="003F1B8D"/>
    <w:rsid w:val="003F1C07"/>
    <w:rsid w:val="003F1C91"/>
    <w:rsid w:val="003F1CC9"/>
    <w:rsid w:val="003F1EDB"/>
    <w:rsid w:val="003F1F17"/>
    <w:rsid w:val="003F1F30"/>
    <w:rsid w:val="003F1F59"/>
    <w:rsid w:val="003F1F9D"/>
    <w:rsid w:val="003F200A"/>
    <w:rsid w:val="003F2017"/>
    <w:rsid w:val="003F2023"/>
    <w:rsid w:val="003F20B3"/>
    <w:rsid w:val="003F20C2"/>
    <w:rsid w:val="003F2230"/>
    <w:rsid w:val="003F224C"/>
    <w:rsid w:val="003F22F2"/>
    <w:rsid w:val="003F2354"/>
    <w:rsid w:val="003F2358"/>
    <w:rsid w:val="003F235E"/>
    <w:rsid w:val="003F23DD"/>
    <w:rsid w:val="003F23FB"/>
    <w:rsid w:val="003F2423"/>
    <w:rsid w:val="003F2439"/>
    <w:rsid w:val="003F2472"/>
    <w:rsid w:val="003F2486"/>
    <w:rsid w:val="003F250D"/>
    <w:rsid w:val="003F2533"/>
    <w:rsid w:val="003F25A9"/>
    <w:rsid w:val="003F2603"/>
    <w:rsid w:val="003F2610"/>
    <w:rsid w:val="003F26AB"/>
    <w:rsid w:val="003F26F4"/>
    <w:rsid w:val="003F2706"/>
    <w:rsid w:val="003F270B"/>
    <w:rsid w:val="003F2716"/>
    <w:rsid w:val="003F27F0"/>
    <w:rsid w:val="003F2808"/>
    <w:rsid w:val="003F2882"/>
    <w:rsid w:val="003F2889"/>
    <w:rsid w:val="003F2A0C"/>
    <w:rsid w:val="003F2A31"/>
    <w:rsid w:val="003F2B8D"/>
    <w:rsid w:val="003F2BA1"/>
    <w:rsid w:val="003F2BB5"/>
    <w:rsid w:val="003F2BBA"/>
    <w:rsid w:val="003F2BBE"/>
    <w:rsid w:val="003F2BCD"/>
    <w:rsid w:val="003F2C30"/>
    <w:rsid w:val="003F2CAF"/>
    <w:rsid w:val="003F2CC6"/>
    <w:rsid w:val="003F2CCF"/>
    <w:rsid w:val="003F2CEE"/>
    <w:rsid w:val="003F2D00"/>
    <w:rsid w:val="003F2D4C"/>
    <w:rsid w:val="003F2E16"/>
    <w:rsid w:val="003F2E1E"/>
    <w:rsid w:val="003F2E45"/>
    <w:rsid w:val="003F2E4E"/>
    <w:rsid w:val="003F2E83"/>
    <w:rsid w:val="003F2EBA"/>
    <w:rsid w:val="003F2EBE"/>
    <w:rsid w:val="003F2F2A"/>
    <w:rsid w:val="003F2FF9"/>
    <w:rsid w:val="003F3071"/>
    <w:rsid w:val="003F30C4"/>
    <w:rsid w:val="003F31A2"/>
    <w:rsid w:val="003F31AC"/>
    <w:rsid w:val="003F322B"/>
    <w:rsid w:val="003F324F"/>
    <w:rsid w:val="003F32AF"/>
    <w:rsid w:val="003F32D4"/>
    <w:rsid w:val="003F3344"/>
    <w:rsid w:val="003F335A"/>
    <w:rsid w:val="003F33A0"/>
    <w:rsid w:val="003F33BE"/>
    <w:rsid w:val="003F33EA"/>
    <w:rsid w:val="003F341E"/>
    <w:rsid w:val="003F3460"/>
    <w:rsid w:val="003F3484"/>
    <w:rsid w:val="003F34A4"/>
    <w:rsid w:val="003F34A7"/>
    <w:rsid w:val="003F34C5"/>
    <w:rsid w:val="003F3568"/>
    <w:rsid w:val="003F3593"/>
    <w:rsid w:val="003F35CE"/>
    <w:rsid w:val="003F35CF"/>
    <w:rsid w:val="003F364A"/>
    <w:rsid w:val="003F365D"/>
    <w:rsid w:val="003F36AC"/>
    <w:rsid w:val="003F36AE"/>
    <w:rsid w:val="003F36CC"/>
    <w:rsid w:val="003F373F"/>
    <w:rsid w:val="003F37B9"/>
    <w:rsid w:val="003F3891"/>
    <w:rsid w:val="003F3893"/>
    <w:rsid w:val="003F3958"/>
    <w:rsid w:val="003F39EA"/>
    <w:rsid w:val="003F39ED"/>
    <w:rsid w:val="003F39F6"/>
    <w:rsid w:val="003F3A20"/>
    <w:rsid w:val="003F3A3D"/>
    <w:rsid w:val="003F3AD5"/>
    <w:rsid w:val="003F3B67"/>
    <w:rsid w:val="003F3B99"/>
    <w:rsid w:val="003F3BBE"/>
    <w:rsid w:val="003F3C35"/>
    <w:rsid w:val="003F3C41"/>
    <w:rsid w:val="003F3C4D"/>
    <w:rsid w:val="003F3CAC"/>
    <w:rsid w:val="003F3CE4"/>
    <w:rsid w:val="003F3D7B"/>
    <w:rsid w:val="003F3D8D"/>
    <w:rsid w:val="003F3DB5"/>
    <w:rsid w:val="003F3DF8"/>
    <w:rsid w:val="003F3E3D"/>
    <w:rsid w:val="003F3E62"/>
    <w:rsid w:val="003F3EA4"/>
    <w:rsid w:val="003F3EA8"/>
    <w:rsid w:val="003F3EA9"/>
    <w:rsid w:val="003F3F4D"/>
    <w:rsid w:val="003F3F6B"/>
    <w:rsid w:val="003F3FA4"/>
    <w:rsid w:val="003F3FA8"/>
    <w:rsid w:val="003F3FCC"/>
    <w:rsid w:val="003F400B"/>
    <w:rsid w:val="003F40B8"/>
    <w:rsid w:val="003F40E1"/>
    <w:rsid w:val="003F4269"/>
    <w:rsid w:val="003F428F"/>
    <w:rsid w:val="003F4390"/>
    <w:rsid w:val="003F4414"/>
    <w:rsid w:val="003F4447"/>
    <w:rsid w:val="003F4478"/>
    <w:rsid w:val="003F44AF"/>
    <w:rsid w:val="003F44BD"/>
    <w:rsid w:val="003F44ED"/>
    <w:rsid w:val="003F4512"/>
    <w:rsid w:val="003F4517"/>
    <w:rsid w:val="003F452F"/>
    <w:rsid w:val="003F4586"/>
    <w:rsid w:val="003F45C1"/>
    <w:rsid w:val="003F45C7"/>
    <w:rsid w:val="003F4646"/>
    <w:rsid w:val="003F466E"/>
    <w:rsid w:val="003F46B2"/>
    <w:rsid w:val="003F4902"/>
    <w:rsid w:val="003F4942"/>
    <w:rsid w:val="003F4A06"/>
    <w:rsid w:val="003F4A14"/>
    <w:rsid w:val="003F4A25"/>
    <w:rsid w:val="003F4A26"/>
    <w:rsid w:val="003F4A73"/>
    <w:rsid w:val="003F4A9B"/>
    <w:rsid w:val="003F4AB1"/>
    <w:rsid w:val="003F4BA4"/>
    <w:rsid w:val="003F4BF3"/>
    <w:rsid w:val="003F4BF9"/>
    <w:rsid w:val="003F4BFE"/>
    <w:rsid w:val="003F4C2C"/>
    <w:rsid w:val="003F4C76"/>
    <w:rsid w:val="003F4C85"/>
    <w:rsid w:val="003F4D39"/>
    <w:rsid w:val="003F4DA4"/>
    <w:rsid w:val="003F4E10"/>
    <w:rsid w:val="003F4EDF"/>
    <w:rsid w:val="003F4F27"/>
    <w:rsid w:val="003F4FD3"/>
    <w:rsid w:val="003F4FEE"/>
    <w:rsid w:val="003F5091"/>
    <w:rsid w:val="003F50CB"/>
    <w:rsid w:val="003F50EE"/>
    <w:rsid w:val="003F5166"/>
    <w:rsid w:val="003F5178"/>
    <w:rsid w:val="003F5181"/>
    <w:rsid w:val="003F5185"/>
    <w:rsid w:val="003F51FD"/>
    <w:rsid w:val="003F5291"/>
    <w:rsid w:val="003F52BE"/>
    <w:rsid w:val="003F5357"/>
    <w:rsid w:val="003F53AA"/>
    <w:rsid w:val="003F53AB"/>
    <w:rsid w:val="003F53ED"/>
    <w:rsid w:val="003F54F9"/>
    <w:rsid w:val="003F550A"/>
    <w:rsid w:val="003F5510"/>
    <w:rsid w:val="003F5659"/>
    <w:rsid w:val="003F5672"/>
    <w:rsid w:val="003F5682"/>
    <w:rsid w:val="003F568A"/>
    <w:rsid w:val="003F569F"/>
    <w:rsid w:val="003F56A2"/>
    <w:rsid w:val="003F570F"/>
    <w:rsid w:val="003F573B"/>
    <w:rsid w:val="003F589A"/>
    <w:rsid w:val="003F58F4"/>
    <w:rsid w:val="003F5900"/>
    <w:rsid w:val="003F5977"/>
    <w:rsid w:val="003F59AA"/>
    <w:rsid w:val="003F5A33"/>
    <w:rsid w:val="003F5A54"/>
    <w:rsid w:val="003F5A58"/>
    <w:rsid w:val="003F5AC6"/>
    <w:rsid w:val="003F5B7F"/>
    <w:rsid w:val="003F5B9B"/>
    <w:rsid w:val="003F5BD1"/>
    <w:rsid w:val="003F5C5A"/>
    <w:rsid w:val="003F5C8E"/>
    <w:rsid w:val="003F5D0A"/>
    <w:rsid w:val="003F5DE7"/>
    <w:rsid w:val="003F5DEF"/>
    <w:rsid w:val="003F5E45"/>
    <w:rsid w:val="003F5E46"/>
    <w:rsid w:val="003F5EC5"/>
    <w:rsid w:val="003F5F13"/>
    <w:rsid w:val="003F6045"/>
    <w:rsid w:val="003F605F"/>
    <w:rsid w:val="003F60CA"/>
    <w:rsid w:val="003F60D0"/>
    <w:rsid w:val="003F60F7"/>
    <w:rsid w:val="003F61A4"/>
    <w:rsid w:val="003F61D0"/>
    <w:rsid w:val="003F61EB"/>
    <w:rsid w:val="003F6218"/>
    <w:rsid w:val="003F6251"/>
    <w:rsid w:val="003F6268"/>
    <w:rsid w:val="003F6281"/>
    <w:rsid w:val="003F6293"/>
    <w:rsid w:val="003F62A7"/>
    <w:rsid w:val="003F63C8"/>
    <w:rsid w:val="003F6467"/>
    <w:rsid w:val="003F647A"/>
    <w:rsid w:val="003F64EF"/>
    <w:rsid w:val="003F6533"/>
    <w:rsid w:val="003F663D"/>
    <w:rsid w:val="003F663E"/>
    <w:rsid w:val="003F6657"/>
    <w:rsid w:val="003F665C"/>
    <w:rsid w:val="003F66B0"/>
    <w:rsid w:val="003F678A"/>
    <w:rsid w:val="003F67CB"/>
    <w:rsid w:val="003F67E6"/>
    <w:rsid w:val="003F686C"/>
    <w:rsid w:val="003F6902"/>
    <w:rsid w:val="003F6930"/>
    <w:rsid w:val="003F6A0F"/>
    <w:rsid w:val="003F6B0D"/>
    <w:rsid w:val="003F6BB2"/>
    <w:rsid w:val="003F6BD5"/>
    <w:rsid w:val="003F6BFD"/>
    <w:rsid w:val="003F6C0C"/>
    <w:rsid w:val="003F6C84"/>
    <w:rsid w:val="003F6CCA"/>
    <w:rsid w:val="003F6CDD"/>
    <w:rsid w:val="003F6D6F"/>
    <w:rsid w:val="003F6D82"/>
    <w:rsid w:val="003F6D9D"/>
    <w:rsid w:val="003F6DBF"/>
    <w:rsid w:val="003F6E30"/>
    <w:rsid w:val="003F6E4C"/>
    <w:rsid w:val="003F6EFC"/>
    <w:rsid w:val="003F6F37"/>
    <w:rsid w:val="003F6F9A"/>
    <w:rsid w:val="003F7094"/>
    <w:rsid w:val="003F70E3"/>
    <w:rsid w:val="003F70EE"/>
    <w:rsid w:val="003F7100"/>
    <w:rsid w:val="003F712A"/>
    <w:rsid w:val="003F712E"/>
    <w:rsid w:val="003F712F"/>
    <w:rsid w:val="003F7183"/>
    <w:rsid w:val="003F71A6"/>
    <w:rsid w:val="003F71AA"/>
    <w:rsid w:val="003F71E8"/>
    <w:rsid w:val="003F722C"/>
    <w:rsid w:val="003F7299"/>
    <w:rsid w:val="003F72CF"/>
    <w:rsid w:val="003F7479"/>
    <w:rsid w:val="003F74EF"/>
    <w:rsid w:val="003F74FA"/>
    <w:rsid w:val="003F7501"/>
    <w:rsid w:val="003F750E"/>
    <w:rsid w:val="003F754F"/>
    <w:rsid w:val="003F7658"/>
    <w:rsid w:val="003F76CF"/>
    <w:rsid w:val="003F76D2"/>
    <w:rsid w:val="003F7744"/>
    <w:rsid w:val="003F7756"/>
    <w:rsid w:val="003F7765"/>
    <w:rsid w:val="003F77C9"/>
    <w:rsid w:val="003F77E4"/>
    <w:rsid w:val="003F782A"/>
    <w:rsid w:val="003F7896"/>
    <w:rsid w:val="003F78EA"/>
    <w:rsid w:val="003F7A14"/>
    <w:rsid w:val="003F7A79"/>
    <w:rsid w:val="003F7B37"/>
    <w:rsid w:val="003F7BC9"/>
    <w:rsid w:val="003F7BD9"/>
    <w:rsid w:val="003F7BFA"/>
    <w:rsid w:val="003F7C63"/>
    <w:rsid w:val="003F7C87"/>
    <w:rsid w:val="003F7CCC"/>
    <w:rsid w:val="003F7CD9"/>
    <w:rsid w:val="003F7D00"/>
    <w:rsid w:val="003F7DA0"/>
    <w:rsid w:val="003F7DB8"/>
    <w:rsid w:val="003F7DE5"/>
    <w:rsid w:val="003F7E36"/>
    <w:rsid w:val="003F7E43"/>
    <w:rsid w:val="003F7F74"/>
    <w:rsid w:val="003F7F83"/>
    <w:rsid w:val="003F7FC3"/>
    <w:rsid w:val="0040000B"/>
    <w:rsid w:val="0040001D"/>
    <w:rsid w:val="0040002D"/>
    <w:rsid w:val="00400055"/>
    <w:rsid w:val="004000AA"/>
    <w:rsid w:val="004000B6"/>
    <w:rsid w:val="0040013E"/>
    <w:rsid w:val="00400161"/>
    <w:rsid w:val="0040018A"/>
    <w:rsid w:val="004001BC"/>
    <w:rsid w:val="004001CF"/>
    <w:rsid w:val="0040022F"/>
    <w:rsid w:val="00400247"/>
    <w:rsid w:val="004002B5"/>
    <w:rsid w:val="004002E5"/>
    <w:rsid w:val="0040034E"/>
    <w:rsid w:val="00400372"/>
    <w:rsid w:val="0040040B"/>
    <w:rsid w:val="00400473"/>
    <w:rsid w:val="004004B1"/>
    <w:rsid w:val="0040053D"/>
    <w:rsid w:val="0040054D"/>
    <w:rsid w:val="004005CF"/>
    <w:rsid w:val="00400645"/>
    <w:rsid w:val="00400725"/>
    <w:rsid w:val="00400758"/>
    <w:rsid w:val="004007C6"/>
    <w:rsid w:val="004007C8"/>
    <w:rsid w:val="004007D9"/>
    <w:rsid w:val="00400810"/>
    <w:rsid w:val="00400902"/>
    <w:rsid w:val="00400928"/>
    <w:rsid w:val="0040095B"/>
    <w:rsid w:val="0040097B"/>
    <w:rsid w:val="004009A6"/>
    <w:rsid w:val="00400AA4"/>
    <w:rsid w:val="00400ACE"/>
    <w:rsid w:val="00400B31"/>
    <w:rsid w:val="00400BC4"/>
    <w:rsid w:val="00400C42"/>
    <w:rsid w:val="00400D0B"/>
    <w:rsid w:val="00400D0F"/>
    <w:rsid w:val="00400D40"/>
    <w:rsid w:val="00400D6A"/>
    <w:rsid w:val="00400DA7"/>
    <w:rsid w:val="00400DD1"/>
    <w:rsid w:val="00400E31"/>
    <w:rsid w:val="00400E4B"/>
    <w:rsid w:val="00400E55"/>
    <w:rsid w:val="00400E59"/>
    <w:rsid w:val="00400E7C"/>
    <w:rsid w:val="00400EF2"/>
    <w:rsid w:val="00401013"/>
    <w:rsid w:val="004010BE"/>
    <w:rsid w:val="004010DA"/>
    <w:rsid w:val="00401183"/>
    <w:rsid w:val="00401213"/>
    <w:rsid w:val="00401238"/>
    <w:rsid w:val="00401275"/>
    <w:rsid w:val="00401282"/>
    <w:rsid w:val="004012F4"/>
    <w:rsid w:val="004012FC"/>
    <w:rsid w:val="00401326"/>
    <w:rsid w:val="00401358"/>
    <w:rsid w:val="00401389"/>
    <w:rsid w:val="004013C0"/>
    <w:rsid w:val="004013C1"/>
    <w:rsid w:val="00401474"/>
    <w:rsid w:val="004015C0"/>
    <w:rsid w:val="004015F1"/>
    <w:rsid w:val="0040160D"/>
    <w:rsid w:val="00401612"/>
    <w:rsid w:val="0040167D"/>
    <w:rsid w:val="00401726"/>
    <w:rsid w:val="00401786"/>
    <w:rsid w:val="00401794"/>
    <w:rsid w:val="004017EF"/>
    <w:rsid w:val="0040183B"/>
    <w:rsid w:val="004018E3"/>
    <w:rsid w:val="00401941"/>
    <w:rsid w:val="00401973"/>
    <w:rsid w:val="00401A33"/>
    <w:rsid w:val="00401A40"/>
    <w:rsid w:val="00401A5B"/>
    <w:rsid w:val="00401AB2"/>
    <w:rsid w:val="00401B24"/>
    <w:rsid w:val="00401B60"/>
    <w:rsid w:val="00401C0C"/>
    <w:rsid w:val="00401C14"/>
    <w:rsid w:val="00401E73"/>
    <w:rsid w:val="00401E87"/>
    <w:rsid w:val="00401E91"/>
    <w:rsid w:val="00401EE6"/>
    <w:rsid w:val="00401F15"/>
    <w:rsid w:val="00401F9B"/>
    <w:rsid w:val="00401FD7"/>
    <w:rsid w:val="00402062"/>
    <w:rsid w:val="004020D3"/>
    <w:rsid w:val="004021DC"/>
    <w:rsid w:val="00402219"/>
    <w:rsid w:val="0040224A"/>
    <w:rsid w:val="004022CB"/>
    <w:rsid w:val="004022D5"/>
    <w:rsid w:val="004023B3"/>
    <w:rsid w:val="004023DC"/>
    <w:rsid w:val="00402499"/>
    <w:rsid w:val="0040259D"/>
    <w:rsid w:val="00402604"/>
    <w:rsid w:val="0040269D"/>
    <w:rsid w:val="004026D1"/>
    <w:rsid w:val="004026E9"/>
    <w:rsid w:val="0040273E"/>
    <w:rsid w:val="00402757"/>
    <w:rsid w:val="0040278E"/>
    <w:rsid w:val="004028EC"/>
    <w:rsid w:val="0040290D"/>
    <w:rsid w:val="0040294E"/>
    <w:rsid w:val="0040295D"/>
    <w:rsid w:val="0040299D"/>
    <w:rsid w:val="004029C7"/>
    <w:rsid w:val="004029DA"/>
    <w:rsid w:val="00402B37"/>
    <w:rsid w:val="00402C59"/>
    <w:rsid w:val="00402CC0"/>
    <w:rsid w:val="00402D8B"/>
    <w:rsid w:val="00402DC3"/>
    <w:rsid w:val="00402DD2"/>
    <w:rsid w:val="00402DE9"/>
    <w:rsid w:val="00402E5F"/>
    <w:rsid w:val="00402EC0"/>
    <w:rsid w:val="00402F9E"/>
    <w:rsid w:val="00402FBE"/>
    <w:rsid w:val="00402FD2"/>
    <w:rsid w:val="00403000"/>
    <w:rsid w:val="00403020"/>
    <w:rsid w:val="0040306D"/>
    <w:rsid w:val="004030C4"/>
    <w:rsid w:val="0040317D"/>
    <w:rsid w:val="00403180"/>
    <w:rsid w:val="00403189"/>
    <w:rsid w:val="0040319E"/>
    <w:rsid w:val="004031BB"/>
    <w:rsid w:val="004031CC"/>
    <w:rsid w:val="004031DD"/>
    <w:rsid w:val="00403208"/>
    <w:rsid w:val="0040323C"/>
    <w:rsid w:val="0040324D"/>
    <w:rsid w:val="00403308"/>
    <w:rsid w:val="004033D0"/>
    <w:rsid w:val="00403406"/>
    <w:rsid w:val="0040343B"/>
    <w:rsid w:val="0040344C"/>
    <w:rsid w:val="00403457"/>
    <w:rsid w:val="00403468"/>
    <w:rsid w:val="004034AB"/>
    <w:rsid w:val="00403500"/>
    <w:rsid w:val="0040356B"/>
    <w:rsid w:val="004035E4"/>
    <w:rsid w:val="00403621"/>
    <w:rsid w:val="00403622"/>
    <w:rsid w:val="00403667"/>
    <w:rsid w:val="0040368B"/>
    <w:rsid w:val="0040369A"/>
    <w:rsid w:val="004036A8"/>
    <w:rsid w:val="004036C0"/>
    <w:rsid w:val="004036DE"/>
    <w:rsid w:val="00403723"/>
    <w:rsid w:val="00403730"/>
    <w:rsid w:val="00403798"/>
    <w:rsid w:val="004037AD"/>
    <w:rsid w:val="00403846"/>
    <w:rsid w:val="00403878"/>
    <w:rsid w:val="0040388E"/>
    <w:rsid w:val="004038DC"/>
    <w:rsid w:val="004038DE"/>
    <w:rsid w:val="00403926"/>
    <w:rsid w:val="00403994"/>
    <w:rsid w:val="004039B6"/>
    <w:rsid w:val="00403A2F"/>
    <w:rsid w:val="00403A58"/>
    <w:rsid w:val="00403ADD"/>
    <w:rsid w:val="00403B22"/>
    <w:rsid w:val="00403B55"/>
    <w:rsid w:val="00403B61"/>
    <w:rsid w:val="00403B75"/>
    <w:rsid w:val="00403BCC"/>
    <w:rsid w:val="00403BCF"/>
    <w:rsid w:val="00403C57"/>
    <w:rsid w:val="00403CB1"/>
    <w:rsid w:val="00403CBC"/>
    <w:rsid w:val="00403EA6"/>
    <w:rsid w:val="00403EBE"/>
    <w:rsid w:val="00403F93"/>
    <w:rsid w:val="00404004"/>
    <w:rsid w:val="00404055"/>
    <w:rsid w:val="0040405F"/>
    <w:rsid w:val="0040407B"/>
    <w:rsid w:val="00404094"/>
    <w:rsid w:val="0040416C"/>
    <w:rsid w:val="004041A1"/>
    <w:rsid w:val="004042B3"/>
    <w:rsid w:val="004042D9"/>
    <w:rsid w:val="00404305"/>
    <w:rsid w:val="00404350"/>
    <w:rsid w:val="00404359"/>
    <w:rsid w:val="0040435E"/>
    <w:rsid w:val="00404367"/>
    <w:rsid w:val="0040441E"/>
    <w:rsid w:val="0040444C"/>
    <w:rsid w:val="0040445D"/>
    <w:rsid w:val="004044DF"/>
    <w:rsid w:val="00404524"/>
    <w:rsid w:val="004045BD"/>
    <w:rsid w:val="004045C1"/>
    <w:rsid w:val="00404604"/>
    <w:rsid w:val="00404702"/>
    <w:rsid w:val="0040474E"/>
    <w:rsid w:val="0040475B"/>
    <w:rsid w:val="0040480A"/>
    <w:rsid w:val="00404826"/>
    <w:rsid w:val="00404926"/>
    <w:rsid w:val="00404959"/>
    <w:rsid w:val="00404A28"/>
    <w:rsid w:val="00404A3A"/>
    <w:rsid w:val="00404A3E"/>
    <w:rsid w:val="00404A57"/>
    <w:rsid w:val="00404AD1"/>
    <w:rsid w:val="00404AFB"/>
    <w:rsid w:val="00404AFE"/>
    <w:rsid w:val="00404B33"/>
    <w:rsid w:val="00404B68"/>
    <w:rsid w:val="00404BD9"/>
    <w:rsid w:val="00404C8C"/>
    <w:rsid w:val="00404D8E"/>
    <w:rsid w:val="00404DC6"/>
    <w:rsid w:val="00404EA3"/>
    <w:rsid w:val="00404F0C"/>
    <w:rsid w:val="00404F14"/>
    <w:rsid w:val="00404F32"/>
    <w:rsid w:val="00404F40"/>
    <w:rsid w:val="00404F5F"/>
    <w:rsid w:val="00404FC4"/>
    <w:rsid w:val="00405041"/>
    <w:rsid w:val="00405097"/>
    <w:rsid w:val="004050E0"/>
    <w:rsid w:val="0040510F"/>
    <w:rsid w:val="00405187"/>
    <w:rsid w:val="0040518D"/>
    <w:rsid w:val="004051ED"/>
    <w:rsid w:val="0040527A"/>
    <w:rsid w:val="004053FB"/>
    <w:rsid w:val="00405419"/>
    <w:rsid w:val="00405463"/>
    <w:rsid w:val="00405480"/>
    <w:rsid w:val="004054BA"/>
    <w:rsid w:val="004054DB"/>
    <w:rsid w:val="00405503"/>
    <w:rsid w:val="0040551C"/>
    <w:rsid w:val="00405610"/>
    <w:rsid w:val="00405724"/>
    <w:rsid w:val="004057AC"/>
    <w:rsid w:val="00405829"/>
    <w:rsid w:val="00405877"/>
    <w:rsid w:val="004058D4"/>
    <w:rsid w:val="0040599A"/>
    <w:rsid w:val="004059B1"/>
    <w:rsid w:val="00405A26"/>
    <w:rsid w:val="00405A4B"/>
    <w:rsid w:val="00405A4D"/>
    <w:rsid w:val="00405A50"/>
    <w:rsid w:val="00405ACB"/>
    <w:rsid w:val="00405B0E"/>
    <w:rsid w:val="00405B16"/>
    <w:rsid w:val="00405B50"/>
    <w:rsid w:val="00405B75"/>
    <w:rsid w:val="00405C1D"/>
    <w:rsid w:val="00405C23"/>
    <w:rsid w:val="00405CE4"/>
    <w:rsid w:val="00405CE8"/>
    <w:rsid w:val="00405D06"/>
    <w:rsid w:val="00405E20"/>
    <w:rsid w:val="00405E8A"/>
    <w:rsid w:val="00405F26"/>
    <w:rsid w:val="00405F67"/>
    <w:rsid w:val="00405FBD"/>
    <w:rsid w:val="004060BA"/>
    <w:rsid w:val="0040612F"/>
    <w:rsid w:val="00406197"/>
    <w:rsid w:val="004061D6"/>
    <w:rsid w:val="0040622C"/>
    <w:rsid w:val="00406259"/>
    <w:rsid w:val="004063BB"/>
    <w:rsid w:val="0040641B"/>
    <w:rsid w:val="0040647E"/>
    <w:rsid w:val="004064DB"/>
    <w:rsid w:val="004064F8"/>
    <w:rsid w:val="0040654D"/>
    <w:rsid w:val="004065E3"/>
    <w:rsid w:val="0040661C"/>
    <w:rsid w:val="00406728"/>
    <w:rsid w:val="00406796"/>
    <w:rsid w:val="004067CC"/>
    <w:rsid w:val="00406896"/>
    <w:rsid w:val="004068B4"/>
    <w:rsid w:val="00406910"/>
    <w:rsid w:val="00406936"/>
    <w:rsid w:val="00406972"/>
    <w:rsid w:val="0040698B"/>
    <w:rsid w:val="004069B2"/>
    <w:rsid w:val="00406A47"/>
    <w:rsid w:val="00406A6C"/>
    <w:rsid w:val="00406A80"/>
    <w:rsid w:val="00406B49"/>
    <w:rsid w:val="00406B7B"/>
    <w:rsid w:val="00406B8D"/>
    <w:rsid w:val="00406BB5"/>
    <w:rsid w:val="00406BBA"/>
    <w:rsid w:val="00406BE5"/>
    <w:rsid w:val="00406C7B"/>
    <w:rsid w:val="00406C7E"/>
    <w:rsid w:val="00406CFC"/>
    <w:rsid w:val="00406D2C"/>
    <w:rsid w:val="00406DBB"/>
    <w:rsid w:val="00406DE4"/>
    <w:rsid w:val="00406E2F"/>
    <w:rsid w:val="00406E66"/>
    <w:rsid w:val="00406F11"/>
    <w:rsid w:val="00406F98"/>
    <w:rsid w:val="00407004"/>
    <w:rsid w:val="00407071"/>
    <w:rsid w:val="004070BE"/>
    <w:rsid w:val="00407161"/>
    <w:rsid w:val="004071F4"/>
    <w:rsid w:val="00407238"/>
    <w:rsid w:val="0040723B"/>
    <w:rsid w:val="00407241"/>
    <w:rsid w:val="00407284"/>
    <w:rsid w:val="004072A2"/>
    <w:rsid w:val="004072E7"/>
    <w:rsid w:val="00407323"/>
    <w:rsid w:val="00407369"/>
    <w:rsid w:val="00407399"/>
    <w:rsid w:val="00407430"/>
    <w:rsid w:val="0040744C"/>
    <w:rsid w:val="004074DD"/>
    <w:rsid w:val="00407533"/>
    <w:rsid w:val="00407598"/>
    <w:rsid w:val="004075B3"/>
    <w:rsid w:val="0040763B"/>
    <w:rsid w:val="0040767E"/>
    <w:rsid w:val="004076D6"/>
    <w:rsid w:val="00407713"/>
    <w:rsid w:val="004077F9"/>
    <w:rsid w:val="00407853"/>
    <w:rsid w:val="00407862"/>
    <w:rsid w:val="004078F4"/>
    <w:rsid w:val="00407A82"/>
    <w:rsid w:val="00407AE3"/>
    <w:rsid w:val="00407B03"/>
    <w:rsid w:val="00407B5D"/>
    <w:rsid w:val="00407BA4"/>
    <w:rsid w:val="00407BAE"/>
    <w:rsid w:val="00407BC5"/>
    <w:rsid w:val="00407C2E"/>
    <w:rsid w:val="00407C3F"/>
    <w:rsid w:val="00407C48"/>
    <w:rsid w:val="00407CA9"/>
    <w:rsid w:val="00407CCC"/>
    <w:rsid w:val="00407D34"/>
    <w:rsid w:val="00407D72"/>
    <w:rsid w:val="00407D7B"/>
    <w:rsid w:val="00407D7D"/>
    <w:rsid w:val="00407DA4"/>
    <w:rsid w:val="00407E1D"/>
    <w:rsid w:val="00407EC7"/>
    <w:rsid w:val="00407F79"/>
    <w:rsid w:val="00407FF1"/>
    <w:rsid w:val="00407FFC"/>
    <w:rsid w:val="00410010"/>
    <w:rsid w:val="00410033"/>
    <w:rsid w:val="0041012B"/>
    <w:rsid w:val="00410168"/>
    <w:rsid w:val="0041020C"/>
    <w:rsid w:val="004102B8"/>
    <w:rsid w:val="00410345"/>
    <w:rsid w:val="0041034B"/>
    <w:rsid w:val="0041037B"/>
    <w:rsid w:val="004103FD"/>
    <w:rsid w:val="00410493"/>
    <w:rsid w:val="004104E5"/>
    <w:rsid w:val="0041057A"/>
    <w:rsid w:val="0041057C"/>
    <w:rsid w:val="00410652"/>
    <w:rsid w:val="00410657"/>
    <w:rsid w:val="00410672"/>
    <w:rsid w:val="00410732"/>
    <w:rsid w:val="00410750"/>
    <w:rsid w:val="0041085D"/>
    <w:rsid w:val="0041086B"/>
    <w:rsid w:val="00410875"/>
    <w:rsid w:val="00410959"/>
    <w:rsid w:val="00410978"/>
    <w:rsid w:val="0041097F"/>
    <w:rsid w:val="004109BD"/>
    <w:rsid w:val="004109F2"/>
    <w:rsid w:val="00410A49"/>
    <w:rsid w:val="00410A9C"/>
    <w:rsid w:val="00410AE8"/>
    <w:rsid w:val="00410B43"/>
    <w:rsid w:val="00410C4C"/>
    <w:rsid w:val="00410C9D"/>
    <w:rsid w:val="00410D38"/>
    <w:rsid w:val="00410D4B"/>
    <w:rsid w:val="00410E12"/>
    <w:rsid w:val="00410E1F"/>
    <w:rsid w:val="00410E5D"/>
    <w:rsid w:val="00410EB0"/>
    <w:rsid w:val="00410EE1"/>
    <w:rsid w:val="00410EF4"/>
    <w:rsid w:val="00410F48"/>
    <w:rsid w:val="00410FBA"/>
    <w:rsid w:val="00411013"/>
    <w:rsid w:val="00411025"/>
    <w:rsid w:val="004110DA"/>
    <w:rsid w:val="004110DF"/>
    <w:rsid w:val="004111EA"/>
    <w:rsid w:val="00411263"/>
    <w:rsid w:val="004113BD"/>
    <w:rsid w:val="004113CC"/>
    <w:rsid w:val="00411481"/>
    <w:rsid w:val="00411532"/>
    <w:rsid w:val="00411551"/>
    <w:rsid w:val="00411558"/>
    <w:rsid w:val="0041156D"/>
    <w:rsid w:val="004115A5"/>
    <w:rsid w:val="004115FB"/>
    <w:rsid w:val="00411607"/>
    <w:rsid w:val="00411668"/>
    <w:rsid w:val="00411669"/>
    <w:rsid w:val="00411679"/>
    <w:rsid w:val="00411757"/>
    <w:rsid w:val="00411787"/>
    <w:rsid w:val="004117A4"/>
    <w:rsid w:val="004118EE"/>
    <w:rsid w:val="0041194E"/>
    <w:rsid w:val="00411A19"/>
    <w:rsid w:val="00411A93"/>
    <w:rsid w:val="00411AD3"/>
    <w:rsid w:val="00411AEA"/>
    <w:rsid w:val="00411B2C"/>
    <w:rsid w:val="00411B9F"/>
    <w:rsid w:val="00411BCE"/>
    <w:rsid w:val="00411BFD"/>
    <w:rsid w:val="00411C01"/>
    <w:rsid w:val="00411C9F"/>
    <w:rsid w:val="00411DC4"/>
    <w:rsid w:val="00411E3B"/>
    <w:rsid w:val="00411ED6"/>
    <w:rsid w:val="00411EED"/>
    <w:rsid w:val="00411F05"/>
    <w:rsid w:val="00411F3F"/>
    <w:rsid w:val="00411F8F"/>
    <w:rsid w:val="00412025"/>
    <w:rsid w:val="00412052"/>
    <w:rsid w:val="0041212A"/>
    <w:rsid w:val="004121BC"/>
    <w:rsid w:val="004121DC"/>
    <w:rsid w:val="00412216"/>
    <w:rsid w:val="00412257"/>
    <w:rsid w:val="004122E8"/>
    <w:rsid w:val="00412384"/>
    <w:rsid w:val="004123B3"/>
    <w:rsid w:val="00412403"/>
    <w:rsid w:val="0041242E"/>
    <w:rsid w:val="0041243A"/>
    <w:rsid w:val="004124EB"/>
    <w:rsid w:val="004125A2"/>
    <w:rsid w:val="004125C9"/>
    <w:rsid w:val="004126A7"/>
    <w:rsid w:val="004126BC"/>
    <w:rsid w:val="0041274D"/>
    <w:rsid w:val="00412751"/>
    <w:rsid w:val="00412775"/>
    <w:rsid w:val="004127B1"/>
    <w:rsid w:val="004127D9"/>
    <w:rsid w:val="00412816"/>
    <w:rsid w:val="0041288B"/>
    <w:rsid w:val="00412900"/>
    <w:rsid w:val="00412945"/>
    <w:rsid w:val="004129CB"/>
    <w:rsid w:val="004129DF"/>
    <w:rsid w:val="00412A61"/>
    <w:rsid w:val="00412AC7"/>
    <w:rsid w:val="00412B40"/>
    <w:rsid w:val="00412B46"/>
    <w:rsid w:val="00412B5A"/>
    <w:rsid w:val="00412B63"/>
    <w:rsid w:val="00412B95"/>
    <w:rsid w:val="00412BB4"/>
    <w:rsid w:val="00412C31"/>
    <w:rsid w:val="00412C38"/>
    <w:rsid w:val="00412D3D"/>
    <w:rsid w:val="00412D86"/>
    <w:rsid w:val="00412DF4"/>
    <w:rsid w:val="00412DF7"/>
    <w:rsid w:val="00412E3E"/>
    <w:rsid w:val="00412E45"/>
    <w:rsid w:val="00412E65"/>
    <w:rsid w:val="00412F2D"/>
    <w:rsid w:val="00412F50"/>
    <w:rsid w:val="00412FD8"/>
    <w:rsid w:val="00412FEB"/>
    <w:rsid w:val="0041300B"/>
    <w:rsid w:val="0041304F"/>
    <w:rsid w:val="0041307E"/>
    <w:rsid w:val="004130A1"/>
    <w:rsid w:val="004130C1"/>
    <w:rsid w:val="00413133"/>
    <w:rsid w:val="00413247"/>
    <w:rsid w:val="00413324"/>
    <w:rsid w:val="004133A3"/>
    <w:rsid w:val="00413409"/>
    <w:rsid w:val="00413435"/>
    <w:rsid w:val="00413485"/>
    <w:rsid w:val="004134BE"/>
    <w:rsid w:val="004134C4"/>
    <w:rsid w:val="00413572"/>
    <w:rsid w:val="004135AB"/>
    <w:rsid w:val="004135D9"/>
    <w:rsid w:val="004135FE"/>
    <w:rsid w:val="00413659"/>
    <w:rsid w:val="00413680"/>
    <w:rsid w:val="00413683"/>
    <w:rsid w:val="00413742"/>
    <w:rsid w:val="0041377A"/>
    <w:rsid w:val="0041378C"/>
    <w:rsid w:val="00413792"/>
    <w:rsid w:val="004137CA"/>
    <w:rsid w:val="00413810"/>
    <w:rsid w:val="00413866"/>
    <w:rsid w:val="00413890"/>
    <w:rsid w:val="0041395D"/>
    <w:rsid w:val="0041396E"/>
    <w:rsid w:val="00413985"/>
    <w:rsid w:val="00413A09"/>
    <w:rsid w:val="00413A0C"/>
    <w:rsid w:val="00413A31"/>
    <w:rsid w:val="00413A61"/>
    <w:rsid w:val="00413A80"/>
    <w:rsid w:val="00413B5C"/>
    <w:rsid w:val="00413B67"/>
    <w:rsid w:val="00413B9F"/>
    <w:rsid w:val="00413BB1"/>
    <w:rsid w:val="00413C0F"/>
    <w:rsid w:val="00413C32"/>
    <w:rsid w:val="00413C45"/>
    <w:rsid w:val="00413C49"/>
    <w:rsid w:val="00413C51"/>
    <w:rsid w:val="00413C69"/>
    <w:rsid w:val="00413C8E"/>
    <w:rsid w:val="00413CB0"/>
    <w:rsid w:val="00413E1E"/>
    <w:rsid w:val="00413E4B"/>
    <w:rsid w:val="00413E7A"/>
    <w:rsid w:val="00413E98"/>
    <w:rsid w:val="00413F38"/>
    <w:rsid w:val="00413F3E"/>
    <w:rsid w:val="00413F83"/>
    <w:rsid w:val="00413FC0"/>
    <w:rsid w:val="00413FFD"/>
    <w:rsid w:val="00414147"/>
    <w:rsid w:val="0041416F"/>
    <w:rsid w:val="00414184"/>
    <w:rsid w:val="00414198"/>
    <w:rsid w:val="004141A7"/>
    <w:rsid w:val="004141C3"/>
    <w:rsid w:val="00414309"/>
    <w:rsid w:val="0041436B"/>
    <w:rsid w:val="00414376"/>
    <w:rsid w:val="00414390"/>
    <w:rsid w:val="0041446D"/>
    <w:rsid w:val="00414540"/>
    <w:rsid w:val="00414553"/>
    <w:rsid w:val="0041456A"/>
    <w:rsid w:val="004145F4"/>
    <w:rsid w:val="0041461C"/>
    <w:rsid w:val="0041464E"/>
    <w:rsid w:val="00414668"/>
    <w:rsid w:val="0041469B"/>
    <w:rsid w:val="00414718"/>
    <w:rsid w:val="0041475B"/>
    <w:rsid w:val="00414764"/>
    <w:rsid w:val="00414783"/>
    <w:rsid w:val="004147C8"/>
    <w:rsid w:val="0041480D"/>
    <w:rsid w:val="0041486F"/>
    <w:rsid w:val="004148DF"/>
    <w:rsid w:val="0041492D"/>
    <w:rsid w:val="0041494F"/>
    <w:rsid w:val="004149C2"/>
    <w:rsid w:val="004149EB"/>
    <w:rsid w:val="00414A54"/>
    <w:rsid w:val="00414A5C"/>
    <w:rsid w:val="00414A7D"/>
    <w:rsid w:val="00414A90"/>
    <w:rsid w:val="00414AF5"/>
    <w:rsid w:val="00414AFB"/>
    <w:rsid w:val="00414B11"/>
    <w:rsid w:val="00414B90"/>
    <w:rsid w:val="00414B95"/>
    <w:rsid w:val="00414C35"/>
    <w:rsid w:val="00414C4B"/>
    <w:rsid w:val="00414C62"/>
    <w:rsid w:val="00414C89"/>
    <w:rsid w:val="00414C8C"/>
    <w:rsid w:val="00414CF2"/>
    <w:rsid w:val="00414CFE"/>
    <w:rsid w:val="00414D81"/>
    <w:rsid w:val="00414D87"/>
    <w:rsid w:val="00414E36"/>
    <w:rsid w:val="00414E46"/>
    <w:rsid w:val="00414E51"/>
    <w:rsid w:val="00414E92"/>
    <w:rsid w:val="00414EDE"/>
    <w:rsid w:val="00414F25"/>
    <w:rsid w:val="00414F4E"/>
    <w:rsid w:val="00414F68"/>
    <w:rsid w:val="0041506A"/>
    <w:rsid w:val="00415134"/>
    <w:rsid w:val="0041515C"/>
    <w:rsid w:val="00415240"/>
    <w:rsid w:val="0041528D"/>
    <w:rsid w:val="004152F1"/>
    <w:rsid w:val="004152FB"/>
    <w:rsid w:val="00415313"/>
    <w:rsid w:val="00415336"/>
    <w:rsid w:val="00415375"/>
    <w:rsid w:val="004153B1"/>
    <w:rsid w:val="004153B7"/>
    <w:rsid w:val="004153FF"/>
    <w:rsid w:val="0041541A"/>
    <w:rsid w:val="0041541B"/>
    <w:rsid w:val="00415610"/>
    <w:rsid w:val="00415686"/>
    <w:rsid w:val="00415690"/>
    <w:rsid w:val="004156C4"/>
    <w:rsid w:val="004156CB"/>
    <w:rsid w:val="004156DB"/>
    <w:rsid w:val="004156E8"/>
    <w:rsid w:val="0041571A"/>
    <w:rsid w:val="0041576C"/>
    <w:rsid w:val="004157F4"/>
    <w:rsid w:val="00415849"/>
    <w:rsid w:val="00415881"/>
    <w:rsid w:val="00415890"/>
    <w:rsid w:val="004158DB"/>
    <w:rsid w:val="00415909"/>
    <w:rsid w:val="0041590A"/>
    <w:rsid w:val="00415922"/>
    <w:rsid w:val="0041596C"/>
    <w:rsid w:val="00415974"/>
    <w:rsid w:val="00415A63"/>
    <w:rsid w:val="00415AB4"/>
    <w:rsid w:val="00415AE2"/>
    <w:rsid w:val="00415AEE"/>
    <w:rsid w:val="00415AFE"/>
    <w:rsid w:val="00415B05"/>
    <w:rsid w:val="00415B25"/>
    <w:rsid w:val="00415B4C"/>
    <w:rsid w:val="00415B88"/>
    <w:rsid w:val="00415BB7"/>
    <w:rsid w:val="00415C38"/>
    <w:rsid w:val="00415C64"/>
    <w:rsid w:val="00415C74"/>
    <w:rsid w:val="00415CC3"/>
    <w:rsid w:val="00415CFF"/>
    <w:rsid w:val="00415D0A"/>
    <w:rsid w:val="00415DC7"/>
    <w:rsid w:val="00415E6D"/>
    <w:rsid w:val="00415EA1"/>
    <w:rsid w:val="00415EC1"/>
    <w:rsid w:val="00415EE0"/>
    <w:rsid w:val="00415F31"/>
    <w:rsid w:val="00415F75"/>
    <w:rsid w:val="00415F78"/>
    <w:rsid w:val="00416048"/>
    <w:rsid w:val="004160B2"/>
    <w:rsid w:val="00416110"/>
    <w:rsid w:val="0041611C"/>
    <w:rsid w:val="004161B3"/>
    <w:rsid w:val="004161C8"/>
    <w:rsid w:val="00416208"/>
    <w:rsid w:val="004162C5"/>
    <w:rsid w:val="00416356"/>
    <w:rsid w:val="0041635D"/>
    <w:rsid w:val="00416374"/>
    <w:rsid w:val="0041639F"/>
    <w:rsid w:val="004163DF"/>
    <w:rsid w:val="00416423"/>
    <w:rsid w:val="0041646E"/>
    <w:rsid w:val="004164FD"/>
    <w:rsid w:val="004165A1"/>
    <w:rsid w:val="004165BE"/>
    <w:rsid w:val="004165C3"/>
    <w:rsid w:val="004165DB"/>
    <w:rsid w:val="004166BF"/>
    <w:rsid w:val="00416807"/>
    <w:rsid w:val="00416823"/>
    <w:rsid w:val="00416824"/>
    <w:rsid w:val="00416842"/>
    <w:rsid w:val="00416859"/>
    <w:rsid w:val="00416863"/>
    <w:rsid w:val="00416873"/>
    <w:rsid w:val="0041688F"/>
    <w:rsid w:val="004168B0"/>
    <w:rsid w:val="0041694F"/>
    <w:rsid w:val="00416A10"/>
    <w:rsid w:val="00416A26"/>
    <w:rsid w:val="00416A2A"/>
    <w:rsid w:val="00416A73"/>
    <w:rsid w:val="00416A75"/>
    <w:rsid w:val="00416B5F"/>
    <w:rsid w:val="00416B97"/>
    <w:rsid w:val="00416BDF"/>
    <w:rsid w:val="00416C07"/>
    <w:rsid w:val="00416C11"/>
    <w:rsid w:val="00416C63"/>
    <w:rsid w:val="00416CD5"/>
    <w:rsid w:val="00416CE1"/>
    <w:rsid w:val="00416D0B"/>
    <w:rsid w:val="00416D1F"/>
    <w:rsid w:val="00416D59"/>
    <w:rsid w:val="00416D5D"/>
    <w:rsid w:val="00416E15"/>
    <w:rsid w:val="00416E4B"/>
    <w:rsid w:val="00416ED5"/>
    <w:rsid w:val="00416F11"/>
    <w:rsid w:val="00416F29"/>
    <w:rsid w:val="00416F89"/>
    <w:rsid w:val="00416FE1"/>
    <w:rsid w:val="00417075"/>
    <w:rsid w:val="004170B8"/>
    <w:rsid w:val="0041713E"/>
    <w:rsid w:val="00417199"/>
    <w:rsid w:val="004171FE"/>
    <w:rsid w:val="0041725E"/>
    <w:rsid w:val="00417277"/>
    <w:rsid w:val="00417369"/>
    <w:rsid w:val="0041739A"/>
    <w:rsid w:val="004173BD"/>
    <w:rsid w:val="004173BE"/>
    <w:rsid w:val="004173CF"/>
    <w:rsid w:val="004173FD"/>
    <w:rsid w:val="00417410"/>
    <w:rsid w:val="0041744B"/>
    <w:rsid w:val="00417477"/>
    <w:rsid w:val="0041748A"/>
    <w:rsid w:val="0041749C"/>
    <w:rsid w:val="00417546"/>
    <w:rsid w:val="0041754F"/>
    <w:rsid w:val="004175A0"/>
    <w:rsid w:val="004175E2"/>
    <w:rsid w:val="0041765F"/>
    <w:rsid w:val="004176DC"/>
    <w:rsid w:val="0041772C"/>
    <w:rsid w:val="00417747"/>
    <w:rsid w:val="004177A2"/>
    <w:rsid w:val="004177AA"/>
    <w:rsid w:val="00417828"/>
    <w:rsid w:val="004178EB"/>
    <w:rsid w:val="0041795C"/>
    <w:rsid w:val="0041795F"/>
    <w:rsid w:val="00417973"/>
    <w:rsid w:val="004179A1"/>
    <w:rsid w:val="00417A69"/>
    <w:rsid w:val="00417AD5"/>
    <w:rsid w:val="00417AE1"/>
    <w:rsid w:val="00417B47"/>
    <w:rsid w:val="00417B50"/>
    <w:rsid w:val="00417BA3"/>
    <w:rsid w:val="00417BB9"/>
    <w:rsid w:val="00417C14"/>
    <w:rsid w:val="00417C51"/>
    <w:rsid w:val="00417C63"/>
    <w:rsid w:val="00417C7B"/>
    <w:rsid w:val="00417D18"/>
    <w:rsid w:val="00417D89"/>
    <w:rsid w:val="00417DB4"/>
    <w:rsid w:val="00417E18"/>
    <w:rsid w:val="00417E33"/>
    <w:rsid w:val="00417E77"/>
    <w:rsid w:val="00417E86"/>
    <w:rsid w:val="00417ED1"/>
    <w:rsid w:val="00417F40"/>
    <w:rsid w:val="00417FAD"/>
    <w:rsid w:val="00417FD1"/>
    <w:rsid w:val="00417FF2"/>
    <w:rsid w:val="00420028"/>
    <w:rsid w:val="00420042"/>
    <w:rsid w:val="00420050"/>
    <w:rsid w:val="004200F6"/>
    <w:rsid w:val="0042011C"/>
    <w:rsid w:val="0042026E"/>
    <w:rsid w:val="0042028B"/>
    <w:rsid w:val="004202CE"/>
    <w:rsid w:val="0042030D"/>
    <w:rsid w:val="004203BD"/>
    <w:rsid w:val="004203EE"/>
    <w:rsid w:val="00420400"/>
    <w:rsid w:val="00420458"/>
    <w:rsid w:val="004204EC"/>
    <w:rsid w:val="00420511"/>
    <w:rsid w:val="0042052A"/>
    <w:rsid w:val="00420535"/>
    <w:rsid w:val="004205F6"/>
    <w:rsid w:val="004205F7"/>
    <w:rsid w:val="00420610"/>
    <w:rsid w:val="00420613"/>
    <w:rsid w:val="004206E1"/>
    <w:rsid w:val="00420763"/>
    <w:rsid w:val="004207D4"/>
    <w:rsid w:val="00420B0C"/>
    <w:rsid w:val="00420B70"/>
    <w:rsid w:val="00420BCE"/>
    <w:rsid w:val="00420C18"/>
    <w:rsid w:val="00420D59"/>
    <w:rsid w:val="00420D75"/>
    <w:rsid w:val="00420EC7"/>
    <w:rsid w:val="00420EDA"/>
    <w:rsid w:val="00420EF2"/>
    <w:rsid w:val="00420F3A"/>
    <w:rsid w:val="00421007"/>
    <w:rsid w:val="00421018"/>
    <w:rsid w:val="004210C2"/>
    <w:rsid w:val="004210EC"/>
    <w:rsid w:val="00421148"/>
    <w:rsid w:val="0042121D"/>
    <w:rsid w:val="00421349"/>
    <w:rsid w:val="00421356"/>
    <w:rsid w:val="004214EA"/>
    <w:rsid w:val="00421529"/>
    <w:rsid w:val="00421613"/>
    <w:rsid w:val="00421614"/>
    <w:rsid w:val="0042162B"/>
    <w:rsid w:val="004216B5"/>
    <w:rsid w:val="004216C2"/>
    <w:rsid w:val="00421700"/>
    <w:rsid w:val="0042170A"/>
    <w:rsid w:val="004217A9"/>
    <w:rsid w:val="004217AB"/>
    <w:rsid w:val="00421817"/>
    <w:rsid w:val="0042182A"/>
    <w:rsid w:val="00421864"/>
    <w:rsid w:val="004218C2"/>
    <w:rsid w:val="00421922"/>
    <w:rsid w:val="00421986"/>
    <w:rsid w:val="004219A0"/>
    <w:rsid w:val="00421A4E"/>
    <w:rsid w:val="00421AF4"/>
    <w:rsid w:val="00421BC5"/>
    <w:rsid w:val="00421C4F"/>
    <w:rsid w:val="00421C51"/>
    <w:rsid w:val="00421CB7"/>
    <w:rsid w:val="00421CEF"/>
    <w:rsid w:val="00421DCA"/>
    <w:rsid w:val="00421DCC"/>
    <w:rsid w:val="00421DF4"/>
    <w:rsid w:val="00421E22"/>
    <w:rsid w:val="00421E7B"/>
    <w:rsid w:val="00421EDC"/>
    <w:rsid w:val="00421F23"/>
    <w:rsid w:val="00421F99"/>
    <w:rsid w:val="00422053"/>
    <w:rsid w:val="004220CE"/>
    <w:rsid w:val="004220EB"/>
    <w:rsid w:val="00422161"/>
    <w:rsid w:val="00422179"/>
    <w:rsid w:val="004221CF"/>
    <w:rsid w:val="00422240"/>
    <w:rsid w:val="0042230E"/>
    <w:rsid w:val="00422322"/>
    <w:rsid w:val="0042237D"/>
    <w:rsid w:val="004223A1"/>
    <w:rsid w:val="00422453"/>
    <w:rsid w:val="00422458"/>
    <w:rsid w:val="0042245B"/>
    <w:rsid w:val="00422470"/>
    <w:rsid w:val="004224C7"/>
    <w:rsid w:val="004224CD"/>
    <w:rsid w:val="0042252F"/>
    <w:rsid w:val="0042255D"/>
    <w:rsid w:val="004225E7"/>
    <w:rsid w:val="004225F5"/>
    <w:rsid w:val="00422605"/>
    <w:rsid w:val="0042261B"/>
    <w:rsid w:val="00422743"/>
    <w:rsid w:val="00422774"/>
    <w:rsid w:val="00422779"/>
    <w:rsid w:val="004227B5"/>
    <w:rsid w:val="004227D6"/>
    <w:rsid w:val="00422825"/>
    <w:rsid w:val="0042282C"/>
    <w:rsid w:val="00422932"/>
    <w:rsid w:val="004229B6"/>
    <w:rsid w:val="00422A6C"/>
    <w:rsid w:val="00422B18"/>
    <w:rsid w:val="00422BBC"/>
    <w:rsid w:val="00422C0B"/>
    <w:rsid w:val="00422CC0"/>
    <w:rsid w:val="00422D16"/>
    <w:rsid w:val="00422DC7"/>
    <w:rsid w:val="00422EC2"/>
    <w:rsid w:val="00422EE3"/>
    <w:rsid w:val="00422F01"/>
    <w:rsid w:val="00422F18"/>
    <w:rsid w:val="00422F94"/>
    <w:rsid w:val="00422FB8"/>
    <w:rsid w:val="0042304E"/>
    <w:rsid w:val="00423074"/>
    <w:rsid w:val="004230C4"/>
    <w:rsid w:val="004230CE"/>
    <w:rsid w:val="004230D6"/>
    <w:rsid w:val="0042313D"/>
    <w:rsid w:val="004231A6"/>
    <w:rsid w:val="004231F4"/>
    <w:rsid w:val="0042327E"/>
    <w:rsid w:val="00423330"/>
    <w:rsid w:val="004233C1"/>
    <w:rsid w:val="004233D1"/>
    <w:rsid w:val="004233EF"/>
    <w:rsid w:val="0042342B"/>
    <w:rsid w:val="00423444"/>
    <w:rsid w:val="00423475"/>
    <w:rsid w:val="004234C1"/>
    <w:rsid w:val="004234CE"/>
    <w:rsid w:val="004234DF"/>
    <w:rsid w:val="00423518"/>
    <w:rsid w:val="00423563"/>
    <w:rsid w:val="00423570"/>
    <w:rsid w:val="004235A5"/>
    <w:rsid w:val="004235C0"/>
    <w:rsid w:val="0042363B"/>
    <w:rsid w:val="00423648"/>
    <w:rsid w:val="0042369C"/>
    <w:rsid w:val="004236FB"/>
    <w:rsid w:val="0042373C"/>
    <w:rsid w:val="00423762"/>
    <w:rsid w:val="00423789"/>
    <w:rsid w:val="00423806"/>
    <w:rsid w:val="00423860"/>
    <w:rsid w:val="004238B8"/>
    <w:rsid w:val="004238BD"/>
    <w:rsid w:val="004238D3"/>
    <w:rsid w:val="004238EC"/>
    <w:rsid w:val="00423925"/>
    <w:rsid w:val="00423940"/>
    <w:rsid w:val="00423973"/>
    <w:rsid w:val="0042397C"/>
    <w:rsid w:val="004239C7"/>
    <w:rsid w:val="00423A19"/>
    <w:rsid w:val="00423AE0"/>
    <w:rsid w:val="00423AE2"/>
    <w:rsid w:val="00423B7B"/>
    <w:rsid w:val="00423BEC"/>
    <w:rsid w:val="00423C83"/>
    <w:rsid w:val="00423C93"/>
    <w:rsid w:val="00423D02"/>
    <w:rsid w:val="00423D13"/>
    <w:rsid w:val="00423D4F"/>
    <w:rsid w:val="00423D96"/>
    <w:rsid w:val="00423DFE"/>
    <w:rsid w:val="00423ED8"/>
    <w:rsid w:val="00423EE5"/>
    <w:rsid w:val="00423F18"/>
    <w:rsid w:val="00423FCB"/>
    <w:rsid w:val="00423FFD"/>
    <w:rsid w:val="0042406A"/>
    <w:rsid w:val="00424156"/>
    <w:rsid w:val="0042426D"/>
    <w:rsid w:val="004242DF"/>
    <w:rsid w:val="00424345"/>
    <w:rsid w:val="00424382"/>
    <w:rsid w:val="004243A0"/>
    <w:rsid w:val="004243C4"/>
    <w:rsid w:val="004243CB"/>
    <w:rsid w:val="00424406"/>
    <w:rsid w:val="00424440"/>
    <w:rsid w:val="004244E5"/>
    <w:rsid w:val="00424546"/>
    <w:rsid w:val="00424575"/>
    <w:rsid w:val="004245EA"/>
    <w:rsid w:val="00424605"/>
    <w:rsid w:val="0042464C"/>
    <w:rsid w:val="00424724"/>
    <w:rsid w:val="00424729"/>
    <w:rsid w:val="0042480C"/>
    <w:rsid w:val="00424827"/>
    <w:rsid w:val="00424839"/>
    <w:rsid w:val="0042488D"/>
    <w:rsid w:val="004248BE"/>
    <w:rsid w:val="00424907"/>
    <w:rsid w:val="00424985"/>
    <w:rsid w:val="0042498E"/>
    <w:rsid w:val="004249E7"/>
    <w:rsid w:val="00424A96"/>
    <w:rsid w:val="00424AFE"/>
    <w:rsid w:val="00424BF7"/>
    <w:rsid w:val="00424C5C"/>
    <w:rsid w:val="00424C65"/>
    <w:rsid w:val="00424CB2"/>
    <w:rsid w:val="00424CD3"/>
    <w:rsid w:val="00424CFD"/>
    <w:rsid w:val="00424D29"/>
    <w:rsid w:val="00424D51"/>
    <w:rsid w:val="00424DEA"/>
    <w:rsid w:val="00424E53"/>
    <w:rsid w:val="00424EA9"/>
    <w:rsid w:val="00424F06"/>
    <w:rsid w:val="00424F53"/>
    <w:rsid w:val="00424F8D"/>
    <w:rsid w:val="00424FB7"/>
    <w:rsid w:val="00425001"/>
    <w:rsid w:val="00425029"/>
    <w:rsid w:val="0042503A"/>
    <w:rsid w:val="00425046"/>
    <w:rsid w:val="00425097"/>
    <w:rsid w:val="004250A2"/>
    <w:rsid w:val="004250B7"/>
    <w:rsid w:val="004250CD"/>
    <w:rsid w:val="00425194"/>
    <w:rsid w:val="00425196"/>
    <w:rsid w:val="004251A0"/>
    <w:rsid w:val="004251C0"/>
    <w:rsid w:val="004251FF"/>
    <w:rsid w:val="0042524A"/>
    <w:rsid w:val="0042529D"/>
    <w:rsid w:val="004252C6"/>
    <w:rsid w:val="00425364"/>
    <w:rsid w:val="0042539A"/>
    <w:rsid w:val="0042541B"/>
    <w:rsid w:val="00425447"/>
    <w:rsid w:val="004254C9"/>
    <w:rsid w:val="0042554F"/>
    <w:rsid w:val="004255F7"/>
    <w:rsid w:val="00425611"/>
    <w:rsid w:val="0042564E"/>
    <w:rsid w:val="0042565E"/>
    <w:rsid w:val="004256DC"/>
    <w:rsid w:val="004256E3"/>
    <w:rsid w:val="004256FD"/>
    <w:rsid w:val="00425728"/>
    <w:rsid w:val="004257DA"/>
    <w:rsid w:val="0042584F"/>
    <w:rsid w:val="00425851"/>
    <w:rsid w:val="004258FC"/>
    <w:rsid w:val="0042592D"/>
    <w:rsid w:val="0042596C"/>
    <w:rsid w:val="00425997"/>
    <w:rsid w:val="004259E5"/>
    <w:rsid w:val="00425A12"/>
    <w:rsid w:val="00425A3A"/>
    <w:rsid w:val="00425A42"/>
    <w:rsid w:val="00425AB6"/>
    <w:rsid w:val="00425ACE"/>
    <w:rsid w:val="00425B06"/>
    <w:rsid w:val="00425B1E"/>
    <w:rsid w:val="00425C0D"/>
    <w:rsid w:val="00425C8E"/>
    <w:rsid w:val="00425CB5"/>
    <w:rsid w:val="00425CD6"/>
    <w:rsid w:val="00425D0F"/>
    <w:rsid w:val="00425D12"/>
    <w:rsid w:val="00425D6A"/>
    <w:rsid w:val="00425DBE"/>
    <w:rsid w:val="00425DC5"/>
    <w:rsid w:val="00425DC8"/>
    <w:rsid w:val="00425E65"/>
    <w:rsid w:val="00425E89"/>
    <w:rsid w:val="00425EDC"/>
    <w:rsid w:val="00425EF1"/>
    <w:rsid w:val="00425F58"/>
    <w:rsid w:val="00425F7C"/>
    <w:rsid w:val="00425FE5"/>
    <w:rsid w:val="0042601C"/>
    <w:rsid w:val="004260B9"/>
    <w:rsid w:val="00426139"/>
    <w:rsid w:val="0042616A"/>
    <w:rsid w:val="00426178"/>
    <w:rsid w:val="00426184"/>
    <w:rsid w:val="004261BC"/>
    <w:rsid w:val="004261CB"/>
    <w:rsid w:val="004261DB"/>
    <w:rsid w:val="00426247"/>
    <w:rsid w:val="0042624E"/>
    <w:rsid w:val="00426273"/>
    <w:rsid w:val="0042639F"/>
    <w:rsid w:val="004263F9"/>
    <w:rsid w:val="0042645F"/>
    <w:rsid w:val="0042647D"/>
    <w:rsid w:val="0042648F"/>
    <w:rsid w:val="004264E2"/>
    <w:rsid w:val="0042651D"/>
    <w:rsid w:val="00426546"/>
    <w:rsid w:val="0042659D"/>
    <w:rsid w:val="00426604"/>
    <w:rsid w:val="0042663A"/>
    <w:rsid w:val="00426689"/>
    <w:rsid w:val="00426789"/>
    <w:rsid w:val="00426845"/>
    <w:rsid w:val="0042686E"/>
    <w:rsid w:val="004268FC"/>
    <w:rsid w:val="0042691F"/>
    <w:rsid w:val="00426931"/>
    <w:rsid w:val="00426935"/>
    <w:rsid w:val="00426970"/>
    <w:rsid w:val="00426974"/>
    <w:rsid w:val="00426986"/>
    <w:rsid w:val="004269A7"/>
    <w:rsid w:val="004269ED"/>
    <w:rsid w:val="00426A65"/>
    <w:rsid w:val="00426A79"/>
    <w:rsid w:val="00426AC4"/>
    <w:rsid w:val="00426AC7"/>
    <w:rsid w:val="00426AF1"/>
    <w:rsid w:val="00426AF2"/>
    <w:rsid w:val="00426B21"/>
    <w:rsid w:val="00426B36"/>
    <w:rsid w:val="00426B64"/>
    <w:rsid w:val="00426BE7"/>
    <w:rsid w:val="00426C7F"/>
    <w:rsid w:val="00426CED"/>
    <w:rsid w:val="00426CF6"/>
    <w:rsid w:val="00426D0E"/>
    <w:rsid w:val="00426D31"/>
    <w:rsid w:val="00426E97"/>
    <w:rsid w:val="00426EDD"/>
    <w:rsid w:val="00427021"/>
    <w:rsid w:val="00427022"/>
    <w:rsid w:val="00427067"/>
    <w:rsid w:val="00427071"/>
    <w:rsid w:val="00427087"/>
    <w:rsid w:val="0042713F"/>
    <w:rsid w:val="00427159"/>
    <w:rsid w:val="004271F0"/>
    <w:rsid w:val="0042721B"/>
    <w:rsid w:val="004272C1"/>
    <w:rsid w:val="004272F9"/>
    <w:rsid w:val="00427354"/>
    <w:rsid w:val="00427358"/>
    <w:rsid w:val="00427376"/>
    <w:rsid w:val="00427398"/>
    <w:rsid w:val="004274B9"/>
    <w:rsid w:val="00427531"/>
    <w:rsid w:val="0042753C"/>
    <w:rsid w:val="00427660"/>
    <w:rsid w:val="00427690"/>
    <w:rsid w:val="004276A9"/>
    <w:rsid w:val="00427747"/>
    <w:rsid w:val="00427873"/>
    <w:rsid w:val="004278A3"/>
    <w:rsid w:val="004278D2"/>
    <w:rsid w:val="004278E5"/>
    <w:rsid w:val="0042796E"/>
    <w:rsid w:val="004279F2"/>
    <w:rsid w:val="00427A21"/>
    <w:rsid w:val="00427A26"/>
    <w:rsid w:val="00427A59"/>
    <w:rsid w:val="00427B1F"/>
    <w:rsid w:val="00427BA4"/>
    <w:rsid w:val="00427CC1"/>
    <w:rsid w:val="00427D1A"/>
    <w:rsid w:val="00427D27"/>
    <w:rsid w:val="00427D4A"/>
    <w:rsid w:val="00427DA9"/>
    <w:rsid w:val="00427E01"/>
    <w:rsid w:val="00427EDF"/>
    <w:rsid w:val="00427F13"/>
    <w:rsid w:val="00427F3E"/>
    <w:rsid w:val="00427F4F"/>
    <w:rsid w:val="00427FD2"/>
    <w:rsid w:val="00427FDC"/>
    <w:rsid w:val="004300F8"/>
    <w:rsid w:val="0043012A"/>
    <w:rsid w:val="0043016A"/>
    <w:rsid w:val="0043018E"/>
    <w:rsid w:val="004301B9"/>
    <w:rsid w:val="004301BF"/>
    <w:rsid w:val="004301D0"/>
    <w:rsid w:val="004301E8"/>
    <w:rsid w:val="004302D9"/>
    <w:rsid w:val="004302F0"/>
    <w:rsid w:val="004303C4"/>
    <w:rsid w:val="004303E1"/>
    <w:rsid w:val="004304B6"/>
    <w:rsid w:val="0043050D"/>
    <w:rsid w:val="00430579"/>
    <w:rsid w:val="004305DB"/>
    <w:rsid w:val="0043062D"/>
    <w:rsid w:val="004306D1"/>
    <w:rsid w:val="004307B6"/>
    <w:rsid w:val="0043081D"/>
    <w:rsid w:val="00430837"/>
    <w:rsid w:val="00430885"/>
    <w:rsid w:val="00430894"/>
    <w:rsid w:val="0043089D"/>
    <w:rsid w:val="004308C1"/>
    <w:rsid w:val="00430931"/>
    <w:rsid w:val="00430933"/>
    <w:rsid w:val="00430963"/>
    <w:rsid w:val="00430994"/>
    <w:rsid w:val="0043099B"/>
    <w:rsid w:val="00430A74"/>
    <w:rsid w:val="00430B27"/>
    <w:rsid w:val="00430B66"/>
    <w:rsid w:val="00430BB0"/>
    <w:rsid w:val="00430BD4"/>
    <w:rsid w:val="00430C9E"/>
    <w:rsid w:val="00430CF8"/>
    <w:rsid w:val="00430DE7"/>
    <w:rsid w:val="00430E83"/>
    <w:rsid w:val="00430F1D"/>
    <w:rsid w:val="00430F29"/>
    <w:rsid w:val="00430F2A"/>
    <w:rsid w:val="00430F5E"/>
    <w:rsid w:val="00430FD6"/>
    <w:rsid w:val="00430FFF"/>
    <w:rsid w:val="0043102A"/>
    <w:rsid w:val="0043104D"/>
    <w:rsid w:val="00431087"/>
    <w:rsid w:val="004310C5"/>
    <w:rsid w:val="004310F1"/>
    <w:rsid w:val="004311A0"/>
    <w:rsid w:val="004312A3"/>
    <w:rsid w:val="004312EE"/>
    <w:rsid w:val="004312FD"/>
    <w:rsid w:val="0043131D"/>
    <w:rsid w:val="0043133B"/>
    <w:rsid w:val="0043135E"/>
    <w:rsid w:val="004313A1"/>
    <w:rsid w:val="004313AC"/>
    <w:rsid w:val="004313FF"/>
    <w:rsid w:val="00431408"/>
    <w:rsid w:val="00431483"/>
    <w:rsid w:val="0043153A"/>
    <w:rsid w:val="00431541"/>
    <w:rsid w:val="00431583"/>
    <w:rsid w:val="004315AF"/>
    <w:rsid w:val="00431612"/>
    <w:rsid w:val="00431626"/>
    <w:rsid w:val="0043162B"/>
    <w:rsid w:val="004316A0"/>
    <w:rsid w:val="004316B5"/>
    <w:rsid w:val="00431743"/>
    <w:rsid w:val="004317BF"/>
    <w:rsid w:val="004317E4"/>
    <w:rsid w:val="0043182B"/>
    <w:rsid w:val="0043185B"/>
    <w:rsid w:val="00431964"/>
    <w:rsid w:val="0043198C"/>
    <w:rsid w:val="004319B4"/>
    <w:rsid w:val="004319D8"/>
    <w:rsid w:val="00431AAF"/>
    <w:rsid w:val="00431B5A"/>
    <w:rsid w:val="00431BFD"/>
    <w:rsid w:val="00431C2E"/>
    <w:rsid w:val="00431D0D"/>
    <w:rsid w:val="00431D40"/>
    <w:rsid w:val="00431D74"/>
    <w:rsid w:val="00431D84"/>
    <w:rsid w:val="00431DC2"/>
    <w:rsid w:val="00431DFC"/>
    <w:rsid w:val="00431E49"/>
    <w:rsid w:val="00431E84"/>
    <w:rsid w:val="00431EF9"/>
    <w:rsid w:val="00431F60"/>
    <w:rsid w:val="00431F96"/>
    <w:rsid w:val="00431FF7"/>
    <w:rsid w:val="00431FFF"/>
    <w:rsid w:val="00432020"/>
    <w:rsid w:val="00432083"/>
    <w:rsid w:val="004320EB"/>
    <w:rsid w:val="004320ED"/>
    <w:rsid w:val="0043214D"/>
    <w:rsid w:val="004321A6"/>
    <w:rsid w:val="004322C3"/>
    <w:rsid w:val="00432334"/>
    <w:rsid w:val="004323B5"/>
    <w:rsid w:val="004323D7"/>
    <w:rsid w:val="0043243A"/>
    <w:rsid w:val="0043245F"/>
    <w:rsid w:val="0043246B"/>
    <w:rsid w:val="00432495"/>
    <w:rsid w:val="004324ED"/>
    <w:rsid w:val="0043252E"/>
    <w:rsid w:val="00432536"/>
    <w:rsid w:val="00432539"/>
    <w:rsid w:val="004325F9"/>
    <w:rsid w:val="00432670"/>
    <w:rsid w:val="00432697"/>
    <w:rsid w:val="004326E2"/>
    <w:rsid w:val="00432710"/>
    <w:rsid w:val="0043277E"/>
    <w:rsid w:val="0043286D"/>
    <w:rsid w:val="0043289D"/>
    <w:rsid w:val="004328B5"/>
    <w:rsid w:val="004328CC"/>
    <w:rsid w:val="00432947"/>
    <w:rsid w:val="0043298B"/>
    <w:rsid w:val="0043299A"/>
    <w:rsid w:val="004329B2"/>
    <w:rsid w:val="004329C5"/>
    <w:rsid w:val="00432AC5"/>
    <w:rsid w:val="00432AF8"/>
    <w:rsid w:val="00432B34"/>
    <w:rsid w:val="00432BA3"/>
    <w:rsid w:val="00432C32"/>
    <w:rsid w:val="00432CAA"/>
    <w:rsid w:val="00432D08"/>
    <w:rsid w:val="00432D99"/>
    <w:rsid w:val="00432DA8"/>
    <w:rsid w:val="00432E49"/>
    <w:rsid w:val="00432F67"/>
    <w:rsid w:val="00432F79"/>
    <w:rsid w:val="00432F90"/>
    <w:rsid w:val="0043303E"/>
    <w:rsid w:val="00433052"/>
    <w:rsid w:val="004330D7"/>
    <w:rsid w:val="004331C6"/>
    <w:rsid w:val="0043320C"/>
    <w:rsid w:val="0043321A"/>
    <w:rsid w:val="0043328D"/>
    <w:rsid w:val="004332A7"/>
    <w:rsid w:val="00433350"/>
    <w:rsid w:val="00433369"/>
    <w:rsid w:val="004333BC"/>
    <w:rsid w:val="004333C2"/>
    <w:rsid w:val="00433468"/>
    <w:rsid w:val="004334AD"/>
    <w:rsid w:val="00433507"/>
    <w:rsid w:val="00433638"/>
    <w:rsid w:val="0043366B"/>
    <w:rsid w:val="00433768"/>
    <w:rsid w:val="0043376A"/>
    <w:rsid w:val="004337C8"/>
    <w:rsid w:val="004338B6"/>
    <w:rsid w:val="004338D2"/>
    <w:rsid w:val="0043390A"/>
    <w:rsid w:val="0043390D"/>
    <w:rsid w:val="00433999"/>
    <w:rsid w:val="004339F2"/>
    <w:rsid w:val="00433A1B"/>
    <w:rsid w:val="00433A2E"/>
    <w:rsid w:val="00433A6C"/>
    <w:rsid w:val="00433A77"/>
    <w:rsid w:val="00433B04"/>
    <w:rsid w:val="00433B14"/>
    <w:rsid w:val="00433B2D"/>
    <w:rsid w:val="00433B87"/>
    <w:rsid w:val="00433BFC"/>
    <w:rsid w:val="00433C31"/>
    <w:rsid w:val="00433C4D"/>
    <w:rsid w:val="00433C6B"/>
    <w:rsid w:val="00433D61"/>
    <w:rsid w:val="00433DBB"/>
    <w:rsid w:val="00433E34"/>
    <w:rsid w:val="00433E8C"/>
    <w:rsid w:val="00433EC0"/>
    <w:rsid w:val="00433F20"/>
    <w:rsid w:val="00433F97"/>
    <w:rsid w:val="00433FB2"/>
    <w:rsid w:val="00433FC4"/>
    <w:rsid w:val="00433FE4"/>
    <w:rsid w:val="004340BC"/>
    <w:rsid w:val="004340D7"/>
    <w:rsid w:val="0043417F"/>
    <w:rsid w:val="00434191"/>
    <w:rsid w:val="0043419D"/>
    <w:rsid w:val="00434213"/>
    <w:rsid w:val="0043421C"/>
    <w:rsid w:val="004343EE"/>
    <w:rsid w:val="00434463"/>
    <w:rsid w:val="004344D8"/>
    <w:rsid w:val="00434722"/>
    <w:rsid w:val="0043472F"/>
    <w:rsid w:val="00434736"/>
    <w:rsid w:val="00434742"/>
    <w:rsid w:val="0043474C"/>
    <w:rsid w:val="0043477B"/>
    <w:rsid w:val="00434784"/>
    <w:rsid w:val="004347E4"/>
    <w:rsid w:val="0043489E"/>
    <w:rsid w:val="0043489F"/>
    <w:rsid w:val="004348BF"/>
    <w:rsid w:val="004348D3"/>
    <w:rsid w:val="004348F7"/>
    <w:rsid w:val="00434936"/>
    <w:rsid w:val="00434948"/>
    <w:rsid w:val="00434955"/>
    <w:rsid w:val="00434977"/>
    <w:rsid w:val="00434996"/>
    <w:rsid w:val="00434A0D"/>
    <w:rsid w:val="00434A16"/>
    <w:rsid w:val="00434A2D"/>
    <w:rsid w:val="00434A32"/>
    <w:rsid w:val="00434A9A"/>
    <w:rsid w:val="00434B1D"/>
    <w:rsid w:val="00434B74"/>
    <w:rsid w:val="00434B9D"/>
    <w:rsid w:val="00434BB1"/>
    <w:rsid w:val="00434C0D"/>
    <w:rsid w:val="00434CCB"/>
    <w:rsid w:val="00434D11"/>
    <w:rsid w:val="00434D14"/>
    <w:rsid w:val="00434E23"/>
    <w:rsid w:val="00434E8B"/>
    <w:rsid w:val="00434F4B"/>
    <w:rsid w:val="00435037"/>
    <w:rsid w:val="00435128"/>
    <w:rsid w:val="0043513C"/>
    <w:rsid w:val="00435142"/>
    <w:rsid w:val="004351D2"/>
    <w:rsid w:val="0043522B"/>
    <w:rsid w:val="00435296"/>
    <w:rsid w:val="00435315"/>
    <w:rsid w:val="00435360"/>
    <w:rsid w:val="0043538D"/>
    <w:rsid w:val="004353E2"/>
    <w:rsid w:val="004353EB"/>
    <w:rsid w:val="004353F6"/>
    <w:rsid w:val="0043542E"/>
    <w:rsid w:val="00435516"/>
    <w:rsid w:val="0043553B"/>
    <w:rsid w:val="00435542"/>
    <w:rsid w:val="00435559"/>
    <w:rsid w:val="00435600"/>
    <w:rsid w:val="00435644"/>
    <w:rsid w:val="0043565C"/>
    <w:rsid w:val="004356E0"/>
    <w:rsid w:val="00435778"/>
    <w:rsid w:val="0043579E"/>
    <w:rsid w:val="00435827"/>
    <w:rsid w:val="0043589F"/>
    <w:rsid w:val="00435981"/>
    <w:rsid w:val="00435994"/>
    <w:rsid w:val="004359D3"/>
    <w:rsid w:val="004359EA"/>
    <w:rsid w:val="00435A60"/>
    <w:rsid w:val="00435AEB"/>
    <w:rsid w:val="00435B01"/>
    <w:rsid w:val="00435B4A"/>
    <w:rsid w:val="00435BCB"/>
    <w:rsid w:val="00435BFE"/>
    <w:rsid w:val="00435C23"/>
    <w:rsid w:val="00435CD9"/>
    <w:rsid w:val="00435CFC"/>
    <w:rsid w:val="00435D6F"/>
    <w:rsid w:val="00435E3C"/>
    <w:rsid w:val="00435E74"/>
    <w:rsid w:val="00435EFD"/>
    <w:rsid w:val="00435EFE"/>
    <w:rsid w:val="00435F07"/>
    <w:rsid w:val="00435F98"/>
    <w:rsid w:val="00436052"/>
    <w:rsid w:val="0043613D"/>
    <w:rsid w:val="00436209"/>
    <w:rsid w:val="00436211"/>
    <w:rsid w:val="00436237"/>
    <w:rsid w:val="0043624B"/>
    <w:rsid w:val="004362A1"/>
    <w:rsid w:val="00436308"/>
    <w:rsid w:val="00436334"/>
    <w:rsid w:val="004363A1"/>
    <w:rsid w:val="00436452"/>
    <w:rsid w:val="004364AF"/>
    <w:rsid w:val="004364B9"/>
    <w:rsid w:val="004364EB"/>
    <w:rsid w:val="00436576"/>
    <w:rsid w:val="004365C8"/>
    <w:rsid w:val="004365F1"/>
    <w:rsid w:val="00436656"/>
    <w:rsid w:val="00436684"/>
    <w:rsid w:val="00436692"/>
    <w:rsid w:val="0043680C"/>
    <w:rsid w:val="0043687E"/>
    <w:rsid w:val="0043689E"/>
    <w:rsid w:val="004368AC"/>
    <w:rsid w:val="00436A20"/>
    <w:rsid w:val="00436A49"/>
    <w:rsid w:val="00436AF4"/>
    <w:rsid w:val="00436B53"/>
    <w:rsid w:val="00436B8F"/>
    <w:rsid w:val="00436BCF"/>
    <w:rsid w:val="00436C15"/>
    <w:rsid w:val="00436C54"/>
    <w:rsid w:val="00436C59"/>
    <w:rsid w:val="00436C80"/>
    <w:rsid w:val="00436C9E"/>
    <w:rsid w:val="00436D23"/>
    <w:rsid w:val="00436D5B"/>
    <w:rsid w:val="00436DC5"/>
    <w:rsid w:val="00436DE8"/>
    <w:rsid w:val="00436EA6"/>
    <w:rsid w:val="00436EDE"/>
    <w:rsid w:val="00437146"/>
    <w:rsid w:val="0043715A"/>
    <w:rsid w:val="004371A8"/>
    <w:rsid w:val="004371BF"/>
    <w:rsid w:val="004371C7"/>
    <w:rsid w:val="004371F7"/>
    <w:rsid w:val="0043723E"/>
    <w:rsid w:val="004372C4"/>
    <w:rsid w:val="00437345"/>
    <w:rsid w:val="00437348"/>
    <w:rsid w:val="00437350"/>
    <w:rsid w:val="00437358"/>
    <w:rsid w:val="00437373"/>
    <w:rsid w:val="00437387"/>
    <w:rsid w:val="00437425"/>
    <w:rsid w:val="00437449"/>
    <w:rsid w:val="00437459"/>
    <w:rsid w:val="00437463"/>
    <w:rsid w:val="0043748C"/>
    <w:rsid w:val="004374A2"/>
    <w:rsid w:val="00437536"/>
    <w:rsid w:val="00437553"/>
    <w:rsid w:val="00437577"/>
    <w:rsid w:val="004375C2"/>
    <w:rsid w:val="004375E7"/>
    <w:rsid w:val="0043760A"/>
    <w:rsid w:val="0043766F"/>
    <w:rsid w:val="004376FC"/>
    <w:rsid w:val="0043774B"/>
    <w:rsid w:val="0043774D"/>
    <w:rsid w:val="004377B0"/>
    <w:rsid w:val="00437826"/>
    <w:rsid w:val="004378AC"/>
    <w:rsid w:val="004378B5"/>
    <w:rsid w:val="00437964"/>
    <w:rsid w:val="00437968"/>
    <w:rsid w:val="00437975"/>
    <w:rsid w:val="00437AC9"/>
    <w:rsid w:val="00437ACC"/>
    <w:rsid w:val="00437BA1"/>
    <w:rsid w:val="00437BAC"/>
    <w:rsid w:val="00437BBC"/>
    <w:rsid w:val="00437BDB"/>
    <w:rsid w:val="00437C07"/>
    <w:rsid w:val="00437C3D"/>
    <w:rsid w:val="00437C86"/>
    <w:rsid w:val="00437CFB"/>
    <w:rsid w:val="00437D51"/>
    <w:rsid w:val="00437E1E"/>
    <w:rsid w:val="00437E20"/>
    <w:rsid w:val="00437E90"/>
    <w:rsid w:val="00437F50"/>
    <w:rsid w:val="00437F95"/>
    <w:rsid w:val="00437F9B"/>
    <w:rsid w:val="00437FE5"/>
    <w:rsid w:val="00440032"/>
    <w:rsid w:val="00440033"/>
    <w:rsid w:val="0044004A"/>
    <w:rsid w:val="0044006B"/>
    <w:rsid w:val="00440081"/>
    <w:rsid w:val="0044008B"/>
    <w:rsid w:val="004400CB"/>
    <w:rsid w:val="004400D5"/>
    <w:rsid w:val="00440114"/>
    <w:rsid w:val="0044017A"/>
    <w:rsid w:val="004401C4"/>
    <w:rsid w:val="004402E4"/>
    <w:rsid w:val="004402FD"/>
    <w:rsid w:val="0044038F"/>
    <w:rsid w:val="004403A8"/>
    <w:rsid w:val="004403C2"/>
    <w:rsid w:val="00440423"/>
    <w:rsid w:val="00440463"/>
    <w:rsid w:val="0044050E"/>
    <w:rsid w:val="00440550"/>
    <w:rsid w:val="0044056B"/>
    <w:rsid w:val="004405B1"/>
    <w:rsid w:val="004405E5"/>
    <w:rsid w:val="00440682"/>
    <w:rsid w:val="004406CD"/>
    <w:rsid w:val="004406DC"/>
    <w:rsid w:val="00440722"/>
    <w:rsid w:val="00440766"/>
    <w:rsid w:val="004407FE"/>
    <w:rsid w:val="00440836"/>
    <w:rsid w:val="00440916"/>
    <w:rsid w:val="0044097E"/>
    <w:rsid w:val="004409D4"/>
    <w:rsid w:val="004409EC"/>
    <w:rsid w:val="00440A29"/>
    <w:rsid w:val="00440B22"/>
    <w:rsid w:val="00440B30"/>
    <w:rsid w:val="00440B55"/>
    <w:rsid w:val="00440B67"/>
    <w:rsid w:val="00440BB2"/>
    <w:rsid w:val="00440D4E"/>
    <w:rsid w:val="00440DC5"/>
    <w:rsid w:val="00440FEF"/>
    <w:rsid w:val="00441034"/>
    <w:rsid w:val="00441066"/>
    <w:rsid w:val="0044111D"/>
    <w:rsid w:val="004412F8"/>
    <w:rsid w:val="00441360"/>
    <w:rsid w:val="00441384"/>
    <w:rsid w:val="00441388"/>
    <w:rsid w:val="004413D0"/>
    <w:rsid w:val="0044141C"/>
    <w:rsid w:val="00441517"/>
    <w:rsid w:val="00441523"/>
    <w:rsid w:val="0044158C"/>
    <w:rsid w:val="004415FE"/>
    <w:rsid w:val="00441635"/>
    <w:rsid w:val="004416C2"/>
    <w:rsid w:val="0044171E"/>
    <w:rsid w:val="0044181B"/>
    <w:rsid w:val="00441853"/>
    <w:rsid w:val="0044195C"/>
    <w:rsid w:val="004419CF"/>
    <w:rsid w:val="00441A1C"/>
    <w:rsid w:val="00441BB7"/>
    <w:rsid w:val="00441D02"/>
    <w:rsid w:val="00441D48"/>
    <w:rsid w:val="00441D4C"/>
    <w:rsid w:val="00441D8E"/>
    <w:rsid w:val="00441DB5"/>
    <w:rsid w:val="00441DEB"/>
    <w:rsid w:val="00441E09"/>
    <w:rsid w:val="00441E43"/>
    <w:rsid w:val="00441E8C"/>
    <w:rsid w:val="00441F16"/>
    <w:rsid w:val="00441F5A"/>
    <w:rsid w:val="00441F94"/>
    <w:rsid w:val="00442005"/>
    <w:rsid w:val="00442014"/>
    <w:rsid w:val="0044203E"/>
    <w:rsid w:val="004420A3"/>
    <w:rsid w:val="004420A4"/>
    <w:rsid w:val="004420BA"/>
    <w:rsid w:val="004421FC"/>
    <w:rsid w:val="0044230A"/>
    <w:rsid w:val="00442358"/>
    <w:rsid w:val="00442392"/>
    <w:rsid w:val="004423E0"/>
    <w:rsid w:val="004423FF"/>
    <w:rsid w:val="004424C7"/>
    <w:rsid w:val="004424E9"/>
    <w:rsid w:val="004425BB"/>
    <w:rsid w:val="00442620"/>
    <w:rsid w:val="00442635"/>
    <w:rsid w:val="004426A6"/>
    <w:rsid w:val="00442716"/>
    <w:rsid w:val="00442724"/>
    <w:rsid w:val="00442725"/>
    <w:rsid w:val="00442737"/>
    <w:rsid w:val="0044273D"/>
    <w:rsid w:val="00442768"/>
    <w:rsid w:val="0044279E"/>
    <w:rsid w:val="004427E2"/>
    <w:rsid w:val="0044280D"/>
    <w:rsid w:val="0044282A"/>
    <w:rsid w:val="0044284B"/>
    <w:rsid w:val="00442890"/>
    <w:rsid w:val="004428AC"/>
    <w:rsid w:val="004428C8"/>
    <w:rsid w:val="004428D0"/>
    <w:rsid w:val="004428F8"/>
    <w:rsid w:val="00442914"/>
    <w:rsid w:val="0044296E"/>
    <w:rsid w:val="004429CA"/>
    <w:rsid w:val="00442A06"/>
    <w:rsid w:val="00442AB2"/>
    <w:rsid w:val="00442AB9"/>
    <w:rsid w:val="00442B1F"/>
    <w:rsid w:val="00442B5E"/>
    <w:rsid w:val="00442B83"/>
    <w:rsid w:val="00442B93"/>
    <w:rsid w:val="00442B9E"/>
    <w:rsid w:val="00442BA2"/>
    <w:rsid w:val="00442BB2"/>
    <w:rsid w:val="00442BC3"/>
    <w:rsid w:val="00442BC8"/>
    <w:rsid w:val="00442CC7"/>
    <w:rsid w:val="00442D12"/>
    <w:rsid w:val="00442E8A"/>
    <w:rsid w:val="00442F60"/>
    <w:rsid w:val="00443131"/>
    <w:rsid w:val="00443136"/>
    <w:rsid w:val="0044314A"/>
    <w:rsid w:val="004431D2"/>
    <w:rsid w:val="00443222"/>
    <w:rsid w:val="0044322D"/>
    <w:rsid w:val="004432D5"/>
    <w:rsid w:val="004433AA"/>
    <w:rsid w:val="00443426"/>
    <w:rsid w:val="00443448"/>
    <w:rsid w:val="004434A8"/>
    <w:rsid w:val="004434BC"/>
    <w:rsid w:val="0044350C"/>
    <w:rsid w:val="0044350E"/>
    <w:rsid w:val="00443539"/>
    <w:rsid w:val="00443553"/>
    <w:rsid w:val="00443586"/>
    <w:rsid w:val="004435F2"/>
    <w:rsid w:val="0044360A"/>
    <w:rsid w:val="00443799"/>
    <w:rsid w:val="004437D5"/>
    <w:rsid w:val="00443868"/>
    <w:rsid w:val="0044386A"/>
    <w:rsid w:val="004438B7"/>
    <w:rsid w:val="004438BD"/>
    <w:rsid w:val="004438C9"/>
    <w:rsid w:val="00443A09"/>
    <w:rsid w:val="00443A41"/>
    <w:rsid w:val="00443AC2"/>
    <w:rsid w:val="00443B1F"/>
    <w:rsid w:val="00443B47"/>
    <w:rsid w:val="00443B50"/>
    <w:rsid w:val="00443BDC"/>
    <w:rsid w:val="00443C82"/>
    <w:rsid w:val="00443C93"/>
    <w:rsid w:val="00443CB9"/>
    <w:rsid w:val="00443CBB"/>
    <w:rsid w:val="00443D4B"/>
    <w:rsid w:val="00443D5F"/>
    <w:rsid w:val="00443D71"/>
    <w:rsid w:val="00443D78"/>
    <w:rsid w:val="00443EDA"/>
    <w:rsid w:val="00443EF1"/>
    <w:rsid w:val="00443EF5"/>
    <w:rsid w:val="00443FAF"/>
    <w:rsid w:val="00443FFA"/>
    <w:rsid w:val="0044401B"/>
    <w:rsid w:val="00444048"/>
    <w:rsid w:val="00444066"/>
    <w:rsid w:val="004440A3"/>
    <w:rsid w:val="004440C6"/>
    <w:rsid w:val="0044411A"/>
    <w:rsid w:val="00444156"/>
    <w:rsid w:val="00444165"/>
    <w:rsid w:val="004441F7"/>
    <w:rsid w:val="0044425E"/>
    <w:rsid w:val="004442AB"/>
    <w:rsid w:val="00444320"/>
    <w:rsid w:val="00444343"/>
    <w:rsid w:val="00444449"/>
    <w:rsid w:val="0044445D"/>
    <w:rsid w:val="004444D7"/>
    <w:rsid w:val="0044451B"/>
    <w:rsid w:val="00444590"/>
    <w:rsid w:val="004445D0"/>
    <w:rsid w:val="00444653"/>
    <w:rsid w:val="00444661"/>
    <w:rsid w:val="004446B9"/>
    <w:rsid w:val="00444713"/>
    <w:rsid w:val="00444722"/>
    <w:rsid w:val="00444732"/>
    <w:rsid w:val="00444799"/>
    <w:rsid w:val="004447B1"/>
    <w:rsid w:val="00444847"/>
    <w:rsid w:val="004448AA"/>
    <w:rsid w:val="004448D9"/>
    <w:rsid w:val="004448F6"/>
    <w:rsid w:val="0044492F"/>
    <w:rsid w:val="00444959"/>
    <w:rsid w:val="00444A20"/>
    <w:rsid w:val="00444A92"/>
    <w:rsid w:val="00444AA1"/>
    <w:rsid w:val="00444AFA"/>
    <w:rsid w:val="00444B51"/>
    <w:rsid w:val="00444B7C"/>
    <w:rsid w:val="00444CA1"/>
    <w:rsid w:val="00444DA9"/>
    <w:rsid w:val="00444E20"/>
    <w:rsid w:val="00444EB6"/>
    <w:rsid w:val="00444F20"/>
    <w:rsid w:val="00444F53"/>
    <w:rsid w:val="00444FBD"/>
    <w:rsid w:val="00445038"/>
    <w:rsid w:val="004450A0"/>
    <w:rsid w:val="0044513D"/>
    <w:rsid w:val="00445154"/>
    <w:rsid w:val="004451B1"/>
    <w:rsid w:val="004452B9"/>
    <w:rsid w:val="004452C5"/>
    <w:rsid w:val="00445380"/>
    <w:rsid w:val="0044542D"/>
    <w:rsid w:val="0044547F"/>
    <w:rsid w:val="00445520"/>
    <w:rsid w:val="00445558"/>
    <w:rsid w:val="004455AF"/>
    <w:rsid w:val="00445602"/>
    <w:rsid w:val="00445624"/>
    <w:rsid w:val="00445644"/>
    <w:rsid w:val="004456A8"/>
    <w:rsid w:val="004456ED"/>
    <w:rsid w:val="00445727"/>
    <w:rsid w:val="00445732"/>
    <w:rsid w:val="004458BA"/>
    <w:rsid w:val="00445954"/>
    <w:rsid w:val="00445990"/>
    <w:rsid w:val="004459B1"/>
    <w:rsid w:val="004459FE"/>
    <w:rsid w:val="00445A4F"/>
    <w:rsid w:val="00445A70"/>
    <w:rsid w:val="00445AD5"/>
    <w:rsid w:val="00445AED"/>
    <w:rsid w:val="00445AF2"/>
    <w:rsid w:val="00445AFE"/>
    <w:rsid w:val="00445B3F"/>
    <w:rsid w:val="00445B95"/>
    <w:rsid w:val="00445BA0"/>
    <w:rsid w:val="00445C91"/>
    <w:rsid w:val="00445CAF"/>
    <w:rsid w:val="00445D1F"/>
    <w:rsid w:val="00445DDB"/>
    <w:rsid w:val="00445E30"/>
    <w:rsid w:val="00445E33"/>
    <w:rsid w:val="00445E8B"/>
    <w:rsid w:val="00445F95"/>
    <w:rsid w:val="00445FB2"/>
    <w:rsid w:val="00445FE0"/>
    <w:rsid w:val="00445FE5"/>
    <w:rsid w:val="004460B3"/>
    <w:rsid w:val="004460D9"/>
    <w:rsid w:val="004460DF"/>
    <w:rsid w:val="004460EE"/>
    <w:rsid w:val="004461C8"/>
    <w:rsid w:val="004461D3"/>
    <w:rsid w:val="004461E5"/>
    <w:rsid w:val="004462EA"/>
    <w:rsid w:val="004463E3"/>
    <w:rsid w:val="00446576"/>
    <w:rsid w:val="00446591"/>
    <w:rsid w:val="004465FE"/>
    <w:rsid w:val="0044665F"/>
    <w:rsid w:val="0044666E"/>
    <w:rsid w:val="004466A5"/>
    <w:rsid w:val="004466B6"/>
    <w:rsid w:val="00446704"/>
    <w:rsid w:val="00446748"/>
    <w:rsid w:val="004467EC"/>
    <w:rsid w:val="004467FE"/>
    <w:rsid w:val="0044680E"/>
    <w:rsid w:val="00446815"/>
    <w:rsid w:val="0044686F"/>
    <w:rsid w:val="0044698F"/>
    <w:rsid w:val="004469A5"/>
    <w:rsid w:val="004469BF"/>
    <w:rsid w:val="004469C0"/>
    <w:rsid w:val="00446A2A"/>
    <w:rsid w:val="00446ACC"/>
    <w:rsid w:val="00446B76"/>
    <w:rsid w:val="00446BC8"/>
    <w:rsid w:val="00446BD7"/>
    <w:rsid w:val="00446BE9"/>
    <w:rsid w:val="00446C2F"/>
    <w:rsid w:val="00446C32"/>
    <w:rsid w:val="00446C3A"/>
    <w:rsid w:val="00446CA9"/>
    <w:rsid w:val="00446D14"/>
    <w:rsid w:val="00446D16"/>
    <w:rsid w:val="00446D26"/>
    <w:rsid w:val="00446D34"/>
    <w:rsid w:val="00446DB4"/>
    <w:rsid w:val="00446E1B"/>
    <w:rsid w:val="00446E20"/>
    <w:rsid w:val="00446E69"/>
    <w:rsid w:val="00446ECE"/>
    <w:rsid w:val="00446F2B"/>
    <w:rsid w:val="00446F2E"/>
    <w:rsid w:val="00446FA9"/>
    <w:rsid w:val="00446FC5"/>
    <w:rsid w:val="00447084"/>
    <w:rsid w:val="004470E9"/>
    <w:rsid w:val="004470ED"/>
    <w:rsid w:val="004470F9"/>
    <w:rsid w:val="00447201"/>
    <w:rsid w:val="00447207"/>
    <w:rsid w:val="0044720F"/>
    <w:rsid w:val="0044731D"/>
    <w:rsid w:val="0044736A"/>
    <w:rsid w:val="00447372"/>
    <w:rsid w:val="00447446"/>
    <w:rsid w:val="004474AC"/>
    <w:rsid w:val="00447531"/>
    <w:rsid w:val="004475CA"/>
    <w:rsid w:val="0044767F"/>
    <w:rsid w:val="00447683"/>
    <w:rsid w:val="004476E2"/>
    <w:rsid w:val="004476FA"/>
    <w:rsid w:val="00447703"/>
    <w:rsid w:val="00447704"/>
    <w:rsid w:val="00447713"/>
    <w:rsid w:val="0044780F"/>
    <w:rsid w:val="00447842"/>
    <w:rsid w:val="0044786F"/>
    <w:rsid w:val="004478B8"/>
    <w:rsid w:val="004478CE"/>
    <w:rsid w:val="004478F0"/>
    <w:rsid w:val="00447925"/>
    <w:rsid w:val="00447AB3"/>
    <w:rsid w:val="00447AF0"/>
    <w:rsid w:val="00447B3E"/>
    <w:rsid w:val="00447B8C"/>
    <w:rsid w:val="00447BE8"/>
    <w:rsid w:val="00447C30"/>
    <w:rsid w:val="00447C36"/>
    <w:rsid w:val="00447CE1"/>
    <w:rsid w:val="00447CF9"/>
    <w:rsid w:val="00447D36"/>
    <w:rsid w:val="00447DA3"/>
    <w:rsid w:val="00447E00"/>
    <w:rsid w:val="00447E0D"/>
    <w:rsid w:val="00447E39"/>
    <w:rsid w:val="00447EA3"/>
    <w:rsid w:val="00447ED7"/>
    <w:rsid w:val="00447EF4"/>
    <w:rsid w:val="00447F12"/>
    <w:rsid w:val="00447F13"/>
    <w:rsid w:val="00447F23"/>
    <w:rsid w:val="00447F41"/>
    <w:rsid w:val="00447F88"/>
    <w:rsid w:val="00450005"/>
    <w:rsid w:val="00450057"/>
    <w:rsid w:val="004500C6"/>
    <w:rsid w:val="004501A1"/>
    <w:rsid w:val="0045026A"/>
    <w:rsid w:val="00450278"/>
    <w:rsid w:val="0045035D"/>
    <w:rsid w:val="0045038A"/>
    <w:rsid w:val="004503AE"/>
    <w:rsid w:val="004503F3"/>
    <w:rsid w:val="00450401"/>
    <w:rsid w:val="00450444"/>
    <w:rsid w:val="00450471"/>
    <w:rsid w:val="004505D8"/>
    <w:rsid w:val="00450600"/>
    <w:rsid w:val="0045064E"/>
    <w:rsid w:val="004506C3"/>
    <w:rsid w:val="00450705"/>
    <w:rsid w:val="00450774"/>
    <w:rsid w:val="00450782"/>
    <w:rsid w:val="0045087C"/>
    <w:rsid w:val="00450996"/>
    <w:rsid w:val="004509ED"/>
    <w:rsid w:val="00450A5A"/>
    <w:rsid w:val="00450AB0"/>
    <w:rsid w:val="00450B46"/>
    <w:rsid w:val="00450B58"/>
    <w:rsid w:val="00450C9F"/>
    <w:rsid w:val="00450CE3"/>
    <w:rsid w:val="00450DEC"/>
    <w:rsid w:val="00450E62"/>
    <w:rsid w:val="00450E7F"/>
    <w:rsid w:val="00450EC7"/>
    <w:rsid w:val="00450ED7"/>
    <w:rsid w:val="00450F16"/>
    <w:rsid w:val="00450F46"/>
    <w:rsid w:val="00450F50"/>
    <w:rsid w:val="00450F52"/>
    <w:rsid w:val="00450FF4"/>
    <w:rsid w:val="00451058"/>
    <w:rsid w:val="00451100"/>
    <w:rsid w:val="00451119"/>
    <w:rsid w:val="00451126"/>
    <w:rsid w:val="0045113F"/>
    <w:rsid w:val="004511C0"/>
    <w:rsid w:val="004511FA"/>
    <w:rsid w:val="004512A3"/>
    <w:rsid w:val="00451333"/>
    <w:rsid w:val="004513B8"/>
    <w:rsid w:val="0045143C"/>
    <w:rsid w:val="00451506"/>
    <w:rsid w:val="00451534"/>
    <w:rsid w:val="0045165C"/>
    <w:rsid w:val="0045169A"/>
    <w:rsid w:val="004516EB"/>
    <w:rsid w:val="004516EC"/>
    <w:rsid w:val="00451719"/>
    <w:rsid w:val="00451735"/>
    <w:rsid w:val="00451741"/>
    <w:rsid w:val="0045176E"/>
    <w:rsid w:val="004517A8"/>
    <w:rsid w:val="004517CA"/>
    <w:rsid w:val="004517D0"/>
    <w:rsid w:val="004517E4"/>
    <w:rsid w:val="00451814"/>
    <w:rsid w:val="0045186C"/>
    <w:rsid w:val="00451894"/>
    <w:rsid w:val="004518E7"/>
    <w:rsid w:val="00451974"/>
    <w:rsid w:val="0045198D"/>
    <w:rsid w:val="00451A30"/>
    <w:rsid w:val="00451A93"/>
    <w:rsid w:val="00451A98"/>
    <w:rsid w:val="00451B5B"/>
    <w:rsid w:val="00451B65"/>
    <w:rsid w:val="00451BA6"/>
    <w:rsid w:val="00451BB9"/>
    <w:rsid w:val="00451BD3"/>
    <w:rsid w:val="00451BFB"/>
    <w:rsid w:val="00451C2A"/>
    <w:rsid w:val="00451C41"/>
    <w:rsid w:val="00451CA8"/>
    <w:rsid w:val="00451CB2"/>
    <w:rsid w:val="00451CB6"/>
    <w:rsid w:val="00451D24"/>
    <w:rsid w:val="00451D3E"/>
    <w:rsid w:val="00451D53"/>
    <w:rsid w:val="00451D6E"/>
    <w:rsid w:val="00451D9F"/>
    <w:rsid w:val="00451DFF"/>
    <w:rsid w:val="00451E1D"/>
    <w:rsid w:val="00451E2B"/>
    <w:rsid w:val="00451E61"/>
    <w:rsid w:val="00452043"/>
    <w:rsid w:val="00452079"/>
    <w:rsid w:val="0045208E"/>
    <w:rsid w:val="004520F3"/>
    <w:rsid w:val="004520F6"/>
    <w:rsid w:val="00452121"/>
    <w:rsid w:val="0045213F"/>
    <w:rsid w:val="00452173"/>
    <w:rsid w:val="004521B6"/>
    <w:rsid w:val="004521C4"/>
    <w:rsid w:val="004521CE"/>
    <w:rsid w:val="00452289"/>
    <w:rsid w:val="004522D9"/>
    <w:rsid w:val="0045231F"/>
    <w:rsid w:val="0045233E"/>
    <w:rsid w:val="00452369"/>
    <w:rsid w:val="0045237A"/>
    <w:rsid w:val="00452409"/>
    <w:rsid w:val="00452460"/>
    <w:rsid w:val="00452474"/>
    <w:rsid w:val="004525A8"/>
    <w:rsid w:val="0045264E"/>
    <w:rsid w:val="00452658"/>
    <w:rsid w:val="004526CC"/>
    <w:rsid w:val="00452740"/>
    <w:rsid w:val="00452795"/>
    <w:rsid w:val="004527B8"/>
    <w:rsid w:val="0045283B"/>
    <w:rsid w:val="0045286E"/>
    <w:rsid w:val="00452880"/>
    <w:rsid w:val="004528B8"/>
    <w:rsid w:val="004528F6"/>
    <w:rsid w:val="00452908"/>
    <w:rsid w:val="00452946"/>
    <w:rsid w:val="00452A42"/>
    <w:rsid w:val="00452A9A"/>
    <w:rsid w:val="00452ABD"/>
    <w:rsid w:val="00452B12"/>
    <w:rsid w:val="00452B2D"/>
    <w:rsid w:val="00452B2F"/>
    <w:rsid w:val="00452B40"/>
    <w:rsid w:val="00452B57"/>
    <w:rsid w:val="00452BAA"/>
    <w:rsid w:val="00452BAB"/>
    <w:rsid w:val="00452BFD"/>
    <w:rsid w:val="00452C5F"/>
    <w:rsid w:val="00452D1C"/>
    <w:rsid w:val="00452D20"/>
    <w:rsid w:val="00452D74"/>
    <w:rsid w:val="00452D92"/>
    <w:rsid w:val="00452DB6"/>
    <w:rsid w:val="00452DCF"/>
    <w:rsid w:val="00452DEF"/>
    <w:rsid w:val="00452E09"/>
    <w:rsid w:val="00452E25"/>
    <w:rsid w:val="00452E4E"/>
    <w:rsid w:val="00452E7B"/>
    <w:rsid w:val="00452E81"/>
    <w:rsid w:val="00452ECA"/>
    <w:rsid w:val="00452F3E"/>
    <w:rsid w:val="00452F77"/>
    <w:rsid w:val="00452F7C"/>
    <w:rsid w:val="00452FE9"/>
    <w:rsid w:val="00453009"/>
    <w:rsid w:val="00453026"/>
    <w:rsid w:val="004530DE"/>
    <w:rsid w:val="004530E6"/>
    <w:rsid w:val="00453116"/>
    <w:rsid w:val="00453168"/>
    <w:rsid w:val="00453195"/>
    <w:rsid w:val="00453197"/>
    <w:rsid w:val="00453232"/>
    <w:rsid w:val="004532C2"/>
    <w:rsid w:val="004532ED"/>
    <w:rsid w:val="0045333B"/>
    <w:rsid w:val="00453383"/>
    <w:rsid w:val="00453612"/>
    <w:rsid w:val="00453678"/>
    <w:rsid w:val="004536E4"/>
    <w:rsid w:val="0045372C"/>
    <w:rsid w:val="004537DB"/>
    <w:rsid w:val="00453860"/>
    <w:rsid w:val="0045393B"/>
    <w:rsid w:val="00453954"/>
    <w:rsid w:val="0045398C"/>
    <w:rsid w:val="00453991"/>
    <w:rsid w:val="004539C5"/>
    <w:rsid w:val="00453A09"/>
    <w:rsid w:val="00453A9D"/>
    <w:rsid w:val="00453AA5"/>
    <w:rsid w:val="00453B29"/>
    <w:rsid w:val="00453B44"/>
    <w:rsid w:val="00453B6E"/>
    <w:rsid w:val="00453B81"/>
    <w:rsid w:val="00453C1D"/>
    <w:rsid w:val="00453C65"/>
    <w:rsid w:val="00453C67"/>
    <w:rsid w:val="00453C8D"/>
    <w:rsid w:val="00453CFE"/>
    <w:rsid w:val="00453D36"/>
    <w:rsid w:val="00453D6E"/>
    <w:rsid w:val="00453DD7"/>
    <w:rsid w:val="00453E48"/>
    <w:rsid w:val="00453E94"/>
    <w:rsid w:val="00453F16"/>
    <w:rsid w:val="00453F5B"/>
    <w:rsid w:val="00453FEB"/>
    <w:rsid w:val="0045402A"/>
    <w:rsid w:val="00454074"/>
    <w:rsid w:val="004540AC"/>
    <w:rsid w:val="004540FD"/>
    <w:rsid w:val="0045413C"/>
    <w:rsid w:val="00454219"/>
    <w:rsid w:val="0045427E"/>
    <w:rsid w:val="004542B9"/>
    <w:rsid w:val="004542D6"/>
    <w:rsid w:val="0045438F"/>
    <w:rsid w:val="0045440B"/>
    <w:rsid w:val="0045445D"/>
    <w:rsid w:val="00454489"/>
    <w:rsid w:val="0045449C"/>
    <w:rsid w:val="004544AB"/>
    <w:rsid w:val="004544C2"/>
    <w:rsid w:val="004544D0"/>
    <w:rsid w:val="00454544"/>
    <w:rsid w:val="0045456C"/>
    <w:rsid w:val="004545A1"/>
    <w:rsid w:val="00454629"/>
    <w:rsid w:val="004546B4"/>
    <w:rsid w:val="00454710"/>
    <w:rsid w:val="0045473E"/>
    <w:rsid w:val="00454780"/>
    <w:rsid w:val="004547D6"/>
    <w:rsid w:val="004547EC"/>
    <w:rsid w:val="0045492A"/>
    <w:rsid w:val="00454977"/>
    <w:rsid w:val="004549A5"/>
    <w:rsid w:val="00454A12"/>
    <w:rsid w:val="00454AE1"/>
    <w:rsid w:val="00454B57"/>
    <w:rsid w:val="00454C28"/>
    <w:rsid w:val="00454CBB"/>
    <w:rsid w:val="00454D47"/>
    <w:rsid w:val="00454E88"/>
    <w:rsid w:val="00454E8C"/>
    <w:rsid w:val="00454E99"/>
    <w:rsid w:val="00454EE4"/>
    <w:rsid w:val="00454F45"/>
    <w:rsid w:val="00454FD9"/>
    <w:rsid w:val="00454FF8"/>
    <w:rsid w:val="00455010"/>
    <w:rsid w:val="00455046"/>
    <w:rsid w:val="00455049"/>
    <w:rsid w:val="0045515D"/>
    <w:rsid w:val="004551D8"/>
    <w:rsid w:val="004551F7"/>
    <w:rsid w:val="004551F8"/>
    <w:rsid w:val="0045523F"/>
    <w:rsid w:val="0045526F"/>
    <w:rsid w:val="004552C0"/>
    <w:rsid w:val="004552EC"/>
    <w:rsid w:val="00455344"/>
    <w:rsid w:val="004554AA"/>
    <w:rsid w:val="004554DB"/>
    <w:rsid w:val="00455501"/>
    <w:rsid w:val="0045550D"/>
    <w:rsid w:val="00455547"/>
    <w:rsid w:val="00455560"/>
    <w:rsid w:val="004555C6"/>
    <w:rsid w:val="0045562D"/>
    <w:rsid w:val="004556A0"/>
    <w:rsid w:val="004556E9"/>
    <w:rsid w:val="004556FF"/>
    <w:rsid w:val="00455768"/>
    <w:rsid w:val="00455819"/>
    <w:rsid w:val="00455822"/>
    <w:rsid w:val="0045583C"/>
    <w:rsid w:val="004558AC"/>
    <w:rsid w:val="00455915"/>
    <w:rsid w:val="004559BB"/>
    <w:rsid w:val="004559EA"/>
    <w:rsid w:val="00455A28"/>
    <w:rsid w:val="00455A5E"/>
    <w:rsid w:val="00455A96"/>
    <w:rsid w:val="00455AB7"/>
    <w:rsid w:val="00455B9B"/>
    <w:rsid w:val="00455BD1"/>
    <w:rsid w:val="00455BED"/>
    <w:rsid w:val="00455BF4"/>
    <w:rsid w:val="00455C00"/>
    <w:rsid w:val="00455C0C"/>
    <w:rsid w:val="00455C8D"/>
    <w:rsid w:val="00455CC8"/>
    <w:rsid w:val="00455D20"/>
    <w:rsid w:val="00455D2C"/>
    <w:rsid w:val="00455D3E"/>
    <w:rsid w:val="00455D3F"/>
    <w:rsid w:val="00455D47"/>
    <w:rsid w:val="00455D9C"/>
    <w:rsid w:val="00455E66"/>
    <w:rsid w:val="00455E7D"/>
    <w:rsid w:val="00455ED3"/>
    <w:rsid w:val="00455F07"/>
    <w:rsid w:val="00455F30"/>
    <w:rsid w:val="00455F7F"/>
    <w:rsid w:val="0045606A"/>
    <w:rsid w:val="004560D6"/>
    <w:rsid w:val="004561A1"/>
    <w:rsid w:val="004561E6"/>
    <w:rsid w:val="0045626C"/>
    <w:rsid w:val="00456293"/>
    <w:rsid w:val="00456336"/>
    <w:rsid w:val="00456382"/>
    <w:rsid w:val="004563B5"/>
    <w:rsid w:val="0045644F"/>
    <w:rsid w:val="00456466"/>
    <w:rsid w:val="00456484"/>
    <w:rsid w:val="004564F4"/>
    <w:rsid w:val="00456530"/>
    <w:rsid w:val="00456567"/>
    <w:rsid w:val="004565F1"/>
    <w:rsid w:val="00456767"/>
    <w:rsid w:val="004567DC"/>
    <w:rsid w:val="0045680D"/>
    <w:rsid w:val="00456887"/>
    <w:rsid w:val="004568DF"/>
    <w:rsid w:val="004568F6"/>
    <w:rsid w:val="0045690D"/>
    <w:rsid w:val="00456918"/>
    <w:rsid w:val="004569A3"/>
    <w:rsid w:val="004569D9"/>
    <w:rsid w:val="00456A0E"/>
    <w:rsid w:val="00456A89"/>
    <w:rsid w:val="00456ACE"/>
    <w:rsid w:val="00456AE1"/>
    <w:rsid w:val="00456BAD"/>
    <w:rsid w:val="00456BC0"/>
    <w:rsid w:val="00456BD0"/>
    <w:rsid w:val="00456BF2"/>
    <w:rsid w:val="00456BFC"/>
    <w:rsid w:val="00456C49"/>
    <w:rsid w:val="00456CA5"/>
    <w:rsid w:val="00456D18"/>
    <w:rsid w:val="00456D31"/>
    <w:rsid w:val="00456D6E"/>
    <w:rsid w:val="00456D71"/>
    <w:rsid w:val="00456E63"/>
    <w:rsid w:val="00456EFD"/>
    <w:rsid w:val="00456EFF"/>
    <w:rsid w:val="00456FEE"/>
    <w:rsid w:val="00456FF9"/>
    <w:rsid w:val="0045700A"/>
    <w:rsid w:val="0045709F"/>
    <w:rsid w:val="00457101"/>
    <w:rsid w:val="00457124"/>
    <w:rsid w:val="0045716F"/>
    <w:rsid w:val="00457183"/>
    <w:rsid w:val="0045723A"/>
    <w:rsid w:val="004572EB"/>
    <w:rsid w:val="0045745A"/>
    <w:rsid w:val="004574DA"/>
    <w:rsid w:val="00457528"/>
    <w:rsid w:val="00457588"/>
    <w:rsid w:val="0045758D"/>
    <w:rsid w:val="0045759D"/>
    <w:rsid w:val="004575F1"/>
    <w:rsid w:val="00457667"/>
    <w:rsid w:val="0045766F"/>
    <w:rsid w:val="0045768D"/>
    <w:rsid w:val="0045775C"/>
    <w:rsid w:val="004577F9"/>
    <w:rsid w:val="00457860"/>
    <w:rsid w:val="0045786A"/>
    <w:rsid w:val="004578D1"/>
    <w:rsid w:val="00457911"/>
    <w:rsid w:val="0045792F"/>
    <w:rsid w:val="004579DE"/>
    <w:rsid w:val="004579E0"/>
    <w:rsid w:val="004579E8"/>
    <w:rsid w:val="00457A58"/>
    <w:rsid w:val="00457A6C"/>
    <w:rsid w:val="00457B27"/>
    <w:rsid w:val="00457BBD"/>
    <w:rsid w:val="00457C8F"/>
    <w:rsid w:val="00457CF5"/>
    <w:rsid w:val="00457DBD"/>
    <w:rsid w:val="00457E20"/>
    <w:rsid w:val="00457E39"/>
    <w:rsid w:val="00457E4D"/>
    <w:rsid w:val="00457E70"/>
    <w:rsid w:val="00457ECA"/>
    <w:rsid w:val="00457EDF"/>
    <w:rsid w:val="00457F55"/>
    <w:rsid w:val="00457FA9"/>
    <w:rsid w:val="0046007B"/>
    <w:rsid w:val="004600B6"/>
    <w:rsid w:val="004600F8"/>
    <w:rsid w:val="00460177"/>
    <w:rsid w:val="004601D2"/>
    <w:rsid w:val="004601D6"/>
    <w:rsid w:val="00460218"/>
    <w:rsid w:val="00460250"/>
    <w:rsid w:val="0046026D"/>
    <w:rsid w:val="0046044E"/>
    <w:rsid w:val="0046047C"/>
    <w:rsid w:val="004604ED"/>
    <w:rsid w:val="004605C7"/>
    <w:rsid w:val="0046061C"/>
    <w:rsid w:val="004606AF"/>
    <w:rsid w:val="004606B5"/>
    <w:rsid w:val="004606C4"/>
    <w:rsid w:val="004606D6"/>
    <w:rsid w:val="004606DD"/>
    <w:rsid w:val="0046072F"/>
    <w:rsid w:val="0046073E"/>
    <w:rsid w:val="0046076F"/>
    <w:rsid w:val="004607C9"/>
    <w:rsid w:val="0046082D"/>
    <w:rsid w:val="0046095B"/>
    <w:rsid w:val="00460991"/>
    <w:rsid w:val="00460A34"/>
    <w:rsid w:val="00460A4E"/>
    <w:rsid w:val="00460ACB"/>
    <w:rsid w:val="00460AD8"/>
    <w:rsid w:val="00460ADA"/>
    <w:rsid w:val="00460B7D"/>
    <w:rsid w:val="00460BD0"/>
    <w:rsid w:val="00460BEA"/>
    <w:rsid w:val="00460C2D"/>
    <w:rsid w:val="00460C4C"/>
    <w:rsid w:val="00460C94"/>
    <w:rsid w:val="00460CB6"/>
    <w:rsid w:val="00460CBD"/>
    <w:rsid w:val="00460DAE"/>
    <w:rsid w:val="00460DB7"/>
    <w:rsid w:val="00460E14"/>
    <w:rsid w:val="00460E2C"/>
    <w:rsid w:val="00460F38"/>
    <w:rsid w:val="00460F97"/>
    <w:rsid w:val="00460FD1"/>
    <w:rsid w:val="00460FF3"/>
    <w:rsid w:val="00461011"/>
    <w:rsid w:val="00461034"/>
    <w:rsid w:val="00461035"/>
    <w:rsid w:val="00461046"/>
    <w:rsid w:val="004610C4"/>
    <w:rsid w:val="004610DE"/>
    <w:rsid w:val="004610EF"/>
    <w:rsid w:val="00461109"/>
    <w:rsid w:val="0046112C"/>
    <w:rsid w:val="0046117D"/>
    <w:rsid w:val="00461180"/>
    <w:rsid w:val="0046127E"/>
    <w:rsid w:val="004612EE"/>
    <w:rsid w:val="00461347"/>
    <w:rsid w:val="00461353"/>
    <w:rsid w:val="00461390"/>
    <w:rsid w:val="004613EA"/>
    <w:rsid w:val="004613FF"/>
    <w:rsid w:val="00461409"/>
    <w:rsid w:val="00461412"/>
    <w:rsid w:val="004615B4"/>
    <w:rsid w:val="00461604"/>
    <w:rsid w:val="00461615"/>
    <w:rsid w:val="00461661"/>
    <w:rsid w:val="0046166C"/>
    <w:rsid w:val="004616CF"/>
    <w:rsid w:val="004617F7"/>
    <w:rsid w:val="004617FC"/>
    <w:rsid w:val="004618EF"/>
    <w:rsid w:val="004618F5"/>
    <w:rsid w:val="0046194B"/>
    <w:rsid w:val="004619E0"/>
    <w:rsid w:val="004619E4"/>
    <w:rsid w:val="00461A26"/>
    <w:rsid w:val="00461A2C"/>
    <w:rsid w:val="00461AE6"/>
    <w:rsid w:val="00461B33"/>
    <w:rsid w:val="00461B6A"/>
    <w:rsid w:val="00461B87"/>
    <w:rsid w:val="00461C64"/>
    <w:rsid w:val="00461CD3"/>
    <w:rsid w:val="00461D14"/>
    <w:rsid w:val="00461DAF"/>
    <w:rsid w:val="00461DD2"/>
    <w:rsid w:val="00461DFD"/>
    <w:rsid w:val="00461E5D"/>
    <w:rsid w:val="00461E68"/>
    <w:rsid w:val="00461EB1"/>
    <w:rsid w:val="00461F34"/>
    <w:rsid w:val="00462070"/>
    <w:rsid w:val="004620AA"/>
    <w:rsid w:val="0046213B"/>
    <w:rsid w:val="0046215F"/>
    <w:rsid w:val="00462183"/>
    <w:rsid w:val="0046219B"/>
    <w:rsid w:val="00462266"/>
    <w:rsid w:val="004622FB"/>
    <w:rsid w:val="004623C5"/>
    <w:rsid w:val="004623E5"/>
    <w:rsid w:val="0046246A"/>
    <w:rsid w:val="004624C2"/>
    <w:rsid w:val="00462549"/>
    <w:rsid w:val="00462560"/>
    <w:rsid w:val="00462587"/>
    <w:rsid w:val="004625B7"/>
    <w:rsid w:val="0046265E"/>
    <w:rsid w:val="00462675"/>
    <w:rsid w:val="00462679"/>
    <w:rsid w:val="00462778"/>
    <w:rsid w:val="00462836"/>
    <w:rsid w:val="00462846"/>
    <w:rsid w:val="004628DC"/>
    <w:rsid w:val="00462950"/>
    <w:rsid w:val="004629AD"/>
    <w:rsid w:val="00462A28"/>
    <w:rsid w:val="00462A64"/>
    <w:rsid w:val="00462A97"/>
    <w:rsid w:val="00462AA8"/>
    <w:rsid w:val="00462ACF"/>
    <w:rsid w:val="00462AFE"/>
    <w:rsid w:val="00462B1D"/>
    <w:rsid w:val="00462B5E"/>
    <w:rsid w:val="00462BA5"/>
    <w:rsid w:val="00462C6B"/>
    <w:rsid w:val="00462CEC"/>
    <w:rsid w:val="00462D1E"/>
    <w:rsid w:val="00462D4D"/>
    <w:rsid w:val="00462DA2"/>
    <w:rsid w:val="00462DDF"/>
    <w:rsid w:val="00462E83"/>
    <w:rsid w:val="00462ECC"/>
    <w:rsid w:val="00462EDB"/>
    <w:rsid w:val="00462F3A"/>
    <w:rsid w:val="00462FB7"/>
    <w:rsid w:val="00462FEB"/>
    <w:rsid w:val="00462FF3"/>
    <w:rsid w:val="0046300E"/>
    <w:rsid w:val="004630C6"/>
    <w:rsid w:val="004630E0"/>
    <w:rsid w:val="004630F5"/>
    <w:rsid w:val="00463107"/>
    <w:rsid w:val="00463121"/>
    <w:rsid w:val="00463230"/>
    <w:rsid w:val="004632A1"/>
    <w:rsid w:val="004632C1"/>
    <w:rsid w:val="004632F6"/>
    <w:rsid w:val="00463349"/>
    <w:rsid w:val="00463355"/>
    <w:rsid w:val="0046335E"/>
    <w:rsid w:val="00463406"/>
    <w:rsid w:val="0046342D"/>
    <w:rsid w:val="00463442"/>
    <w:rsid w:val="0046349E"/>
    <w:rsid w:val="004634B3"/>
    <w:rsid w:val="00463522"/>
    <w:rsid w:val="0046355F"/>
    <w:rsid w:val="0046358E"/>
    <w:rsid w:val="004635C8"/>
    <w:rsid w:val="004636CC"/>
    <w:rsid w:val="00463720"/>
    <w:rsid w:val="0046378B"/>
    <w:rsid w:val="004637B3"/>
    <w:rsid w:val="004637F3"/>
    <w:rsid w:val="004637F9"/>
    <w:rsid w:val="0046381C"/>
    <w:rsid w:val="004638FC"/>
    <w:rsid w:val="0046393D"/>
    <w:rsid w:val="0046394D"/>
    <w:rsid w:val="004639D4"/>
    <w:rsid w:val="00463A04"/>
    <w:rsid w:val="00463A41"/>
    <w:rsid w:val="00463BD2"/>
    <w:rsid w:val="00463C53"/>
    <w:rsid w:val="00463C62"/>
    <w:rsid w:val="00463E83"/>
    <w:rsid w:val="00463F03"/>
    <w:rsid w:val="00463F65"/>
    <w:rsid w:val="00463F75"/>
    <w:rsid w:val="00463FC3"/>
    <w:rsid w:val="00463FCC"/>
    <w:rsid w:val="00463FD3"/>
    <w:rsid w:val="00464031"/>
    <w:rsid w:val="00464051"/>
    <w:rsid w:val="004640F2"/>
    <w:rsid w:val="00464140"/>
    <w:rsid w:val="004641DF"/>
    <w:rsid w:val="004641F9"/>
    <w:rsid w:val="004642BB"/>
    <w:rsid w:val="004642F9"/>
    <w:rsid w:val="00464303"/>
    <w:rsid w:val="0046438A"/>
    <w:rsid w:val="004643DF"/>
    <w:rsid w:val="0046443D"/>
    <w:rsid w:val="00464481"/>
    <w:rsid w:val="004644A1"/>
    <w:rsid w:val="00464542"/>
    <w:rsid w:val="00464551"/>
    <w:rsid w:val="004645BE"/>
    <w:rsid w:val="004645CB"/>
    <w:rsid w:val="00464621"/>
    <w:rsid w:val="0046462D"/>
    <w:rsid w:val="00464665"/>
    <w:rsid w:val="004646CD"/>
    <w:rsid w:val="004646D9"/>
    <w:rsid w:val="00464763"/>
    <w:rsid w:val="00464801"/>
    <w:rsid w:val="00464866"/>
    <w:rsid w:val="0046486A"/>
    <w:rsid w:val="0046487C"/>
    <w:rsid w:val="004648C9"/>
    <w:rsid w:val="00464904"/>
    <w:rsid w:val="00464987"/>
    <w:rsid w:val="00464991"/>
    <w:rsid w:val="00464A4B"/>
    <w:rsid w:val="00464A7C"/>
    <w:rsid w:val="00464B0E"/>
    <w:rsid w:val="00464B3A"/>
    <w:rsid w:val="00464C1E"/>
    <w:rsid w:val="00464C26"/>
    <w:rsid w:val="00464C4C"/>
    <w:rsid w:val="00464D9B"/>
    <w:rsid w:val="00464DA4"/>
    <w:rsid w:val="00464DCD"/>
    <w:rsid w:val="00464E68"/>
    <w:rsid w:val="00464EAB"/>
    <w:rsid w:val="00464F24"/>
    <w:rsid w:val="00464F9C"/>
    <w:rsid w:val="00464FD3"/>
    <w:rsid w:val="00465022"/>
    <w:rsid w:val="00465027"/>
    <w:rsid w:val="00465095"/>
    <w:rsid w:val="004650A5"/>
    <w:rsid w:val="0046510A"/>
    <w:rsid w:val="00465179"/>
    <w:rsid w:val="004651B4"/>
    <w:rsid w:val="004651DB"/>
    <w:rsid w:val="004651E6"/>
    <w:rsid w:val="00465294"/>
    <w:rsid w:val="00465329"/>
    <w:rsid w:val="0046532C"/>
    <w:rsid w:val="0046534C"/>
    <w:rsid w:val="0046536B"/>
    <w:rsid w:val="0046539E"/>
    <w:rsid w:val="004653C3"/>
    <w:rsid w:val="0046541F"/>
    <w:rsid w:val="00465474"/>
    <w:rsid w:val="00465513"/>
    <w:rsid w:val="0046554A"/>
    <w:rsid w:val="004655F4"/>
    <w:rsid w:val="00465677"/>
    <w:rsid w:val="004656A0"/>
    <w:rsid w:val="004656A7"/>
    <w:rsid w:val="004656B4"/>
    <w:rsid w:val="004657A3"/>
    <w:rsid w:val="004657AE"/>
    <w:rsid w:val="004657D8"/>
    <w:rsid w:val="004657FC"/>
    <w:rsid w:val="00465826"/>
    <w:rsid w:val="0046586D"/>
    <w:rsid w:val="0046587F"/>
    <w:rsid w:val="004658B9"/>
    <w:rsid w:val="0046591F"/>
    <w:rsid w:val="00465A13"/>
    <w:rsid w:val="00465A74"/>
    <w:rsid w:val="00465A7B"/>
    <w:rsid w:val="00465A8D"/>
    <w:rsid w:val="00465B44"/>
    <w:rsid w:val="00465B6D"/>
    <w:rsid w:val="00465C24"/>
    <w:rsid w:val="00465CA7"/>
    <w:rsid w:val="00465CF7"/>
    <w:rsid w:val="00465D35"/>
    <w:rsid w:val="00465D66"/>
    <w:rsid w:val="00465D73"/>
    <w:rsid w:val="00465DC8"/>
    <w:rsid w:val="00465DCD"/>
    <w:rsid w:val="00465DDD"/>
    <w:rsid w:val="00465DEE"/>
    <w:rsid w:val="00465E90"/>
    <w:rsid w:val="00465F35"/>
    <w:rsid w:val="00465F38"/>
    <w:rsid w:val="00465F6C"/>
    <w:rsid w:val="00465F96"/>
    <w:rsid w:val="00465FD0"/>
    <w:rsid w:val="00466085"/>
    <w:rsid w:val="004660BB"/>
    <w:rsid w:val="00466114"/>
    <w:rsid w:val="00466257"/>
    <w:rsid w:val="004662B9"/>
    <w:rsid w:val="00466368"/>
    <w:rsid w:val="00466389"/>
    <w:rsid w:val="004663B4"/>
    <w:rsid w:val="0046646D"/>
    <w:rsid w:val="00466486"/>
    <w:rsid w:val="0046648B"/>
    <w:rsid w:val="004665DC"/>
    <w:rsid w:val="0046663A"/>
    <w:rsid w:val="004666C8"/>
    <w:rsid w:val="0046672C"/>
    <w:rsid w:val="00466790"/>
    <w:rsid w:val="004667C3"/>
    <w:rsid w:val="004667D1"/>
    <w:rsid w:val="004667F3"/>
    <w:rsid w:val="00466878"/>
    <w:rsid w:val="00466934"/>
    <w:rsid w:val="00466943"/>
    <w:rsid w:val="004669FC"/>
    <w:rsid w:val="00466A07"/>
    <w:rsid w:val="00466A17"/>
    <w:rsid w:val="00466A4E"/>
    <w:rsid w:val="00466A8D"/>
    <w:rsid w:val="00466AC1"/>
    <w:rsid w:val="00466AF6"/>
    <w:rsid w:val="00466B73"/>
    <w:rsid w:val="00466B78"/>
    <w:rsid w:val="00466BBB"/>
    <w:rsid w:val="00466BC8"/>
    <w:rsid w:val="00466BCA"/>
    <w:rsid w:val="00466C57"/>
    <w:rsid w:val="00466CEC"/>
    <w:rsid w:val="00466CF3"/>
    <w:rsid w:val="00466D15"/>
    <w:rsid w:val="00466DC9"/>
    <w:rsid w:val="00466E1C"/>
    <w:rsid w:val="00466E6C"/>
    <w:rsid w:val="00466EB5"/>
    <w:rsid w:val="00466EEB"/>
    <w:rsid w:val="00466F68"/>
    <w:rsid w:val="00466F6F"/>
    <w:rsid w:val="00466FB2"/>
    <w:rsid w:val="004670AC"/>
    <w:rsid w:val="0046711F"/>
    <w:rsid w:val="0046717E"/>
    <w:rsid w:val="004671CE"/>
    <w:rsid w:val="004671EF"/>
    <w:rsid w:val="0046720D"/>
    <w:rsid w:val="0046725C"/>
    <w:rsid w:val="00467357"/>
    <w:rsid w:val="0046736D"/>
    <w:rsid w:val="00467391"/>
    <w:rsid w:val="004673C7"/>
    <w:rsid w:val="00467439"/>
    <w:rsid w:val="00467452"/>
    <w:rsid w:val="00467495"/>
    <w:rsid w:val="00467496"/>
    <w:rsid w:val="004674F7"/>
    <w:rsid w:val="004674F9"/>
    <w:rsid w:val="00467588"/>
    <w:rsid w:val="004676EB"/>
    <w:rsid w:val="00467730"/>
    <w:rsid w:val="00467747"/>
    <w:rsid w:val="004677BD"/>
    <w:rsid w:val="004677BE"/>
    <w:rsid w:val="0046782D"/>
    <w:rsid w:val="004678BE"/>
    <w:rsid w:val="004678D0"/>
    <w:rsid w:val="004678E8"/>
    <w:rsid w:val="0046795B"/>
    <w:rsid w:val="004679B8"/>
    <w:rsid w:val="00467A34"/>
    <w:rsid w:val="00467B06"/>
    <w:rsid w:val="00467B69"/>
    <w:rsid w:val="00467BEE"/>
    <w:rsid w:val="00467C1E"/>
    <w:rsid w:val="00467C3B"/>
    <w:rsid w:val="00467C97"/>
    <w:rsid w:val="00467C9A"/>
    <w:rsid w:val="00467CAD"/>
    <w:rsid w:val="00467D4C"/>
    <w:rsid w:val="00467DF0"/>
    <w:rsid w:val="00467EAD"/>
    <w:rsid w:val="00467EFE"/>
    <w:rsid w:val="00467F10"/>
    <w:rsid w:val="00467F36"/>
    <w:rsid w:val="00467F39"/>
    <w:rsid w:val="00470005"/>
    <w:rsid w:val="0047000B"/>
    <w:rsid w:val="0047007F"/>
    <w:rsid w:val="004700C6"/>
    <w:rsid w:val="00470118"/>
    <w:rsid w:val="00470191"/>
    <w:rsid w:val="0047022D"/>
    <w:rsid w:val="00470256"/>
    <w:rsid w:val="0047026C"/>
    <w:rsid w:val="004702F2"/>
    <w:rsid w:val="0047032C"/>
    <w:rsid w:val="00470370"/>
    <w:rsid w:val="0047037F"/>
    <w:rsid w:val="0047065F"/>
    <w:rsid w:val="004706C1"/>
    <w:rsid w:val="00470840"/>
    <w:rsid w:val="004708C5"/>
    <w:rsid w:val="004708D3"/>
    <w:rsid w:val="0047097F"/>
    <w:rsid w:val="00470AC6"/>
    <w:rsid w:val="00470AFD"/>
    <w:rsid w:val="00470B33"/>
    <w:rsid w:val="00470B4C"/>
    <w:rsid w:val="00470B51"/>
    <w:rsid w:val="00470B87"/>
    <w:rsid w:val="00470BA3"/>
    <w:rsid w:val="00470C17"/>
    <w:rsid w:val="00470C79"/>
    <w:rsid w:val="00470CEA"/>
    <w:rsid w:val="00470CF1"/>
    <w:rsid w:val="00470D44"/>
    <w:rsid w:val="00470DA3"/>
    <w:rsid w:val="00470E5C"/>
    <w:rsid w:val="00470E66"/>
    <w:rsid w:val="00470E75"/>
    <w:rsid w:val="00470E8D"/>
    <w:rsid w:val="00470F01"/>
    <w:rsid w:val="00470F0B"/>
    <w:rsid w:val="00470F58"/>
    <w:rsid w:val="00470F7E"/>
    <w:rsid w:val="00470F95"/>
    <w:rsid w:val="00470FCF"/>
    <w:rsid w:val="00471132"/>
    <w:rsid w:val="0047114C"/>
    <w:rsid w:val="0047118F"/>
    <w:rsid w:val="004711BF"/>
    <w:rsid w:val="004711DB"/>
    <w:rsid w:val="00471211"/>
    <w:rsid w:val="004712A2"/>
    <w:rsid w:val="0047134F"/>
    <w:rsid w:val="004713FB"/>
    <w:rsid w:val="004714CB"/>
    <w:rsid w:val="0047153B"/>
    <w:rsid w:val="00471556"/>
    <w:rsid w:val="004715AB"/>
    <w:rsid w:val="004715B0"/>
    <w:rsid w:val="00471620"/>
    <w:rsid w:val="00471634"/>
    <w:rsid w:val="0047163F"/>
    <w:rsid w:val="0047167B"/>
    <w:rsid w:val="004716BE"/>
    <w:rsid w:val="004717BC"/>
    <w:rsid w:val="0047188A"/>
    <w:rsid w:val="004718A9"/>
    <w:rsid w:val="0047190D"/>
    <w:rsid w:val="00471910"/>
    <w:rsid w:val="0047192C"/>
    <w:rsid w:val="00471957"/>
    <w:rsid w:val="004719BB"/>
    <w:rsid w:val="00471A5E"/>
    <w:rsid w:val="00471A7B"/>
    <w:rsid w:val="00471A8F"/>
    <w:rsid w:val="00471A93"/>
    <w:rsid w:val="00471B25"/>
    <w:rsid w:val="00471B6B"/>
    <w:rsid w:val="00471B86"/>
    <w:rsid w:val="00471C04"/>
    <w:rsid w:val="00471C06"/>
    <w:rsid w:val="00471C5F"/>
    <w:rsid w:val="00471C64"/>
    <w:rsid w:val="00471C67"/>
    <w:rsid w:val="00471C8B"/>
    <w:rsid w:val="00471CC8"/>
    <w:rsid w:val="00471D7C"/>
    <w:rsid w:val="00471D98"/>
    <w:rsid w:val="00471DB1"/>
    <w:rsid w:val="00471DF0"/>
    <w:rsid w:val="00471E65"/>
    <w:rsid w:val="00471EDF"/>
    <w:rsid w:val="00471F4F"/>
    <w:rsid w:val="00471F80"/>
    <w:rsid w:val="00471F88"/>
    <w:rsid w:val="00471FA7"/>
    <w:rsid w:val="00471FB2"/>
    <w:rsid w:val="00471FEE"/>
    <w:rsid w:val="0047201D"/>
    <w:rsid w:val="0047207A"/>
    <w:rsid w:val="004720F6"/>
    <w:rsid w:val="00472142"/>
    <w:rsid w:val="004721AA"/>
    <w:rsid w:val="004721E3"/>
    <w:rsid w:val="00472230"/>
    <w:rsid w:val="0047223E"/>
    <w:rsid w:val="0047224F"/>
    <w:rsid w:val="00472260"/>
    <w:rsid w:val="004722B9"/>
    <w:rsid w:val="004722CC"/>
    <w:rsid w:val="0047231E"/>
    <w:rsid w:val="004723E4"/>
    <w:rsid w:val="004723FC"/>
    <w:rsid w:val="00472417"/>
    <w:rsid w:val="0047259C"/>
    <w:rsid w:val="00472640"/>
    <w:rsid w:val="004726A6"/>
    <w:rsid w:val="004726C0"/>
    <w:rsid w:val="00472706"/>
    <w:rsid w:val="0047271E"/>
    <w:rsid w:val="00472733"/>
    <w:rsid w:val="00472747"/>
    <w:rsid w:val="0047280F"/>
    <w:rsid w:val="00472831"/>
    <w:rsid w:val="0047285B"/>
    <w:rsid w:val="0047286D"/>
    <w:rsid w:val="00472896"/>
    <w:rsid w:val="00472963"/>
    <w:rsid w:val="00472997"/>
    <w:rsid w:val="00472ACC"/>
    <w:rsid w:val="00472ADA"/>
    <w:rsid w:val="00472B62"/>
    <w:rsid w:val="00472B9F"/>
    <w:rsid w:val="00472C5D"/>
    <w:rsid w:val="00472C89"/>
    <w:rsid w:val="00472D42"/>
    <w:rsid w:val="00472DEB"/>
    <w:rsid w:val="00472E44"/>
    <w:rsid w:val="00472E45"/>
    <w:rsid w:val="00472E5D"/>
    <w:rsid w:val="00472E95"/>
    <w:rsid w:val="00472EA9"/>
    <w:rsid w:val="00472ED5"/>
    <w:rsid w:val="00472F6E"/>
    <w:rsid w:val="00472FFF"/>
    <w:rsid w:val="00473015"/>
    <w:rsid w:val="00473094"/>
    <w:rsid w:val="004730B4"/>
    <w:rsid w:val="00473114"/>
    <w:rsid w:val="00473192"/>
    <w:rsid w:val="004731E9"/>
    <w:rsid w:val="0047321E"/>
    <w:rsid w:val="004732A9"/>
    <w:rsid w:val="00473346"/>
    <w:rsid w:val="004733DE"/>
    <w:rsid w:val="004735C8"/>
    <w:rsid w:val="004735F1"/>
    <w:rsid w:val="00473600"/>
    <w:rsid w:val="0047366D"/>
    <w:rsid w:val="0047378A"/>
    <w:rsid w:val="004737B4"/>
    <w:rsid w:val="00473844"/>
    <w:rsid w:val="00473879"/>
    <w:rsid w:val="00473881"/>
    <w:rsid w:val="004738F3"/>
    <w:rsid w:val="00473968"/>
    <w:rsid w:val="004739A6"/>
    <w:rsid w:val="00473A01"/>
    <w:rsid w:val="00473A2E"/>
    <w:rsid w:val="00473B34"/>
    <w:rsid w:val="00473B40"/>
    <w:rsid w:val="00473BA1"/>
    <w:rsid w:val="00473C6C"/>
    <w:rsid w:val="00473CEF"/>
    <w:rsid w:val="00473D07"/>
    <w:rsid w:val="00473DA4"/>
    <w:rsid w:val="00473DD9"/>
    <w:rsid w:val="00473E5B"/>
    <w:rsid w:val="00473E8E"/>
    <w:rsid w:val="00473E97"/>
    <w:rsid w:val="00473EF2"/>
    <w:rsid w:val="00473F94"/>
    <w:rsid w:val="00473FC1"/>
    <w:rsid w:val="00474016"/>
    <w:rsid w:val="0047403F"/>
    <w:rsid w:val="0047404C"/>
    <w:rsid w:val="00474130"/>
    <w:rsid w:val="0047423C"/>
    <w:rsid w:val="00474264"/>
    <w:rsid w:val="0047430D"/>
    <w:rsid w:val="0047439B"/>
    <w:rsid w:val="004743FA"/>
    <w:rsid w:val="00474447"/>
    <w:rsid w:val="00474496"/>
    <w:rsid w:val="004744BB"/>
    <w:rsid w:val="00474588"/>
    <w:rsid w:val="004745DE"/>
    <w:rsid w:val="00474633"/>
    <w:rsid w:val="0047463C"/>
    <w:rsid w:val="00474696"/>
    <w:rsid w:val="0047469F"/>
    <w:rsid w:val="004746DD"/>
    <w:rsid w:val="00474739"/>
    <w:rsid w:val="00474747"/>
    <w:rsid w:val="004747BE"/>
    <w:rsid w:val="0047480D"/>
    <w:rsid w:val="0047484F"/>
    <w:rsid w:val="00474854"/>
    <w:rsid w:val="004748AC"/>
    <w:rsid w:val="00474907"/>
    <w:rsid w:val="00474912"/>
    <w:rsid w:val="00474916"/>
    <w:rsid w:val="00474951"/>
    <w:rsid w:val="004749C7"/>
    <w:rsid w:val="004749CB"/>
    <w:rsid w:val="004749E8"/>
    <w:rsid w:val="00474A14"/>
    <w:rsid w:val="00474A25"/>
    <w:rsid w:val="00474A3D"/>
    <w:rsid w:val="00474A48"/>
    <w:rsid w:val="00474AAD"/>
    <w:rsid w:val="00474BCD"/>
    <w:rsid w:val="00474C70"/>
    <w:rsid w:val="00474CCC"/>
    <w:rsid w:val="00474D47"/>
    <w:rsid w:val="00474D88"/>
    <w:rsid w:val="00474E60"/>
    <w:rsid w:val="00474E7F"/>
    <w:rsid w:val="00474F3E"/>
    <w:rsid w:val="00474F4F"/>
    <w:rsid w:val="00474F5D"/>
    <w:rsid w:val="00474F77"/>
    <w:rsid w:val="00474F7C"/>
    <w:rsid w:val="0047500C"/>
    <w:rsid w:val="00475034"/>
    <w:rsid w:val="004750CA"/>
    <w:rsid w:val="004750EF"/>
    <w:rsid w:val="0047518D"/>
    <w:rsid w:val="00475212"/>
    <w:rsid w:val="00475218"/>
    <w:rsid w:val="00475256"/>
    <w:rsid w:val="004752CA"/>
    <w:rsid w:val="004753D5"/>
    <w:rsid w:val="00475487"/>
    <w:rsid w:val="0047550F"/>
    <w:rsid w:val="0047552E"/>
    <w:rsid w:val="0047555B"/>
    <w:rsid w:val="004755CD"/>
    <w:rsid w:val="00475613"/>
    <w:rsid w:val="00475681"/>
    <w:rsid w:val="004756BE"/>
    <w:rsid w:val="00475756"/>
    <w:rsid w:val="004757CC"/>
    <w:rsid w:val="004757FC"/>
    <w:rsid w:val="0047598A"/>
    <w:rsid w:val="00475997"/>
    <w:rsid w:val="004759FA"/>
    <w:rsid w:val="00475A21"/>
    <w:rsid w:val="00475A39"/>
    <w:rsid w:val="00475AB3"/>
    <w:rsid w:val="00475AC5"/>
    <w:rsid w:val="00475AD1"/>
    <w:rsid w:val="00475B11"/>
    <w:rsid w:val="00475B21"/>
    <w:rsid w:val="00475B49"/>
    <w:rsid w:val="00475B94"/>
    <w:rsid w:val="00475BA6"/>
    <w:rsid w:val="00475BB4"/>
    <w:rsid w:val="00475C19"/>
    <w:rsid w:val="00475D2B"/>
    <w:rsid w:val="00475FD9"/>
    <w:rsid w:val="00475FF2"/>
    <w:rsid w:val="00476027"/>
    <w:rsid w:val="00476123"/>
    <w:rsid w:val="00476124"/>
    <w:rsid w:val="0047619D"/>
    <w:rsid w:val="004761CF"/>
    <w:rsid w:val="004761D5"/>
    <w:rsid w:val="00476296"/>
    <w:rsid w:val="004762C5"/>
    <w:rsid w:val="0047634C"/>
    <w:rsid w:val="004763BC"/>
    <w:rsid w:val="0047647A"/>
    <w:rsid w:val="004764CF"/>
    <w:rsid w:val="004764E0"/>
    <w:rsid w:val="004764E8"/>
    <w:rsid w:val="0047650E"/>
    <w:rsid w:val="00476597"/>
    <w:rsid w:val="004765C0"/>
    <w:rsid w:val="004765D3"/>
    <w:rsid w:val="004765ED"/>
    <w:rsid w:val="00476649"/>
    <w:rsid w:val="004766C4"/>
    <w:rsid w:val="004766C5"/>
    <w:rsid w:val="004767CC"/>
    <w:rsid w:val="004767EC"/>
    <w:rsid w:val="004768C7"/>
    <w:rsid w:val="004768CA"/>
    <w:rsid w:val="004768D3"/>
    <w:rsid w:val="00476923"/>
    <w:rsid w:val="0047697E"/>
    <w:rsid w:val="004769A2"/>
    <w:rsid w:val="00476A03"/>
    <w:rsid w:val="00476A5D"/>
    <w:rsid w:val="00476A5F"/>
    <w:rsid w:val="00476AEA"/>
    <w:rsid w:val="00476B46"/>
    <w:rsid w:val="00476C6E"/>
    <w:rsid w:val="00476D0F"/>
    <w:rsid w:val="00476D11"/>
    <w:rsid w:val="00476D16"/>
    <w:rsid w:val="00476D1C"/>
    <w:rsid w:val="00476D23"/>
    <w:rsid w:val="00476D6B"/>
    <w:rsid w:val="00476DA1"/>
    <w:rsid w:val="00476DB5"/>
    <w:rsid w:val="00476E1F"/>
    <w:rsid w:val="00476ECE"/>
    <w:rsid w:val="00476F6C"/>
    <w:rsid w:val="00476FCD"/>
    <w:rsid w:val="0047702F"/>
    <w:rsid w:val="0047706A"/>
    <w:rsid w:val="0047713A"/>
    <w:rsid w:val="00477162"/>
    <w:rsid w:val="00477165"/>
    <w:rsid w:val="004771B3"/>
    <w:rsid w:val="00477265"/>
    <w:rsid w:val="00477283"/>
    <w:rsid w:val="0047729A"/>
    <w:rsid w:val="00477300"/>
    <w:rsid w:val="00477344"/>
    <w:rsid w:val="004773F6"/>
    <w:rsid w:val="00477479"/>
    <w:rsid w:val="004774BB"/>
    <w:rsid w:val="004774CC"/>
    <w:rsid w:val="004774CD"/>
    <w:rsid w:val="004776A8"/>
    <w:rsid w:val="004776B0"/>
    <w:rsid w:val="004776E9"/>
    <w:rsid w:val="0047770D"/>
    <w:rsid w:val="0047776E"/>
    <w:rsid w:val="004777AE"/>
    <w:rsid w:val="00477922"/>
    <w:rsid w:val="00477986"/>
    <w:rsid w:val="00477AAD"/>
    <w:rsid w:val="00477B5A"/>
    <w:rsid w:val="00477BEF"/>
    <w:rsid w:val="00477BFB"/>
    <w:rsid w:val="00477CA8"/>
    <w:rsid w:val="00477D0B"/>
    <w:rsid w:val="00477D52"/>
    <w:rsid w:val="00477D68"/>
    <w:rsid w:val="00477D8E"/>
    <w:rsid w:val="00477DCE"/>
    <w:rsid w:val="00477DE4"/>
    <w:rsid w:val="00477E18"/>
    <w:rsid w:val="00477E4D"/>
    <w:rsid w:val="00477EF1"/>
    <w:rsid w:val="00477F9F"/>
    <w:rsid w:val="00477FC6"/>
    <w:rsid w:val="00477FD8"/>
    <w:rsid w:val="0048000E"/>
    <w:rsid w:val="0048003B"/>
    <w:rsid w:val="0048005B"/>
    <w:rsid w:val="00480063"/>
    <w:rsid w:val="00480087"/>
    <w:rsid w:val="004800A0"/>
    <w:rsid w:val="004800A7"/>
    <w:rsid w:val="00480113"/>
    <w:rsid w:val="00480190"/>
    <w:rsid w:val="00480213"/>
    <w:rsid w:val="0048022D"/>
    <w:rsid w:val="0048027E"/>
    <w:rsid w:val="00480292"/>
    <w:rsid w:val="00480375"/>
    <w:rsid w:val="0048038A"/>
    <w:rsid w:val="0048038E"/>
    <w:rsid w:val="004803EE"/>
    <w:rsid w:val="0048042B"/>
    <w:rsid w:val="0048046B"/>
    <w:rsid w:val="00480488"/>
    <w:rsid w:val="004804D9"/>
    <w:rsid w:val="004804F3"/>
    <w:rsid w:val="00480544"/>
    <w:rsid w:val="004805CF"/>
    <w:rsid w:val="004805D6"/>
    <w:rsid w:val="0048068B"/>
    <w:rsid w:val="00480691"/>
    <w:rsid w:val="004806A7"/>
    <w:rsid w:val="004806F9"/>
    <w:rsid w:val="00480738"/>
    <w:rsid w:val="00480788"/>
    <w:rsid w:val="00480881"/>
    <w:rsid w:val="0048089E"/>
    <w:rsid w:val="004808D3"/>
    <w:rsid w:val="004809FD"/>
    <w:rsid w:val="00480A26"/>
    <w:rsid w:val="00480A55"/>
    <w:rsid w:val="00480A5E"/>
    <w:rsid w:val="00480AA9"/>
    <w:rsid w:val="00480AB6"/>
    <w:rsid w:val="00480B2B"/>
    <w:rsid w:val="00480B3B"/>
    <w:rsid w:val="00480B5A"/>
    <w:rsid w:val="00480C19"/>
    <w:rsid w:val="00480C6D"/>
    <w:rsid w:val="00480C82"/>
    <w:rsid w:val="00480C98"/>
    <w:rsid w:val="00480D4B"/>
    <w:rsid w:val="00480DB7"/>
    <w:rsid w:val="00480DF1"/>
    <w:rsid w:val="00480E25"/>
    <w:rsid w:val="00480EA9"/>
    <w:rsid w:val="00480F56"/>
    <w:rsid w:val="00480FA9"/>
    <w:rsid w:val="00480FF6"/>
    <w:rsid w:val="0048106A"/>
    <w:rsid w:val="004810AA"/>
    <w:rsid w:val="004810BE"/>
    <w:rsid w:val="004810EC"/>
    <w:rsid w:val="004810EE"/>
    <w:rsid w:val="004810FD"/>
    <w:rsid w:val="0048115B"/>
    <w:rsid w:val="00481177"/>
    <w:rsid w:val="00481254"/>
    <w:rsid w:val="00481318"/>
    <w:rsid w:val="0048132D"/>
    <w:rsid w:val="004813FE"/>
    <w:rsid w:val="00481446"/>
    <w:rsid w:val="00481466"/>
    <w:rsid w:val="004814AC"/>
    <w:rsid w:val="004814B8"/>
    <w:rsid w:val="00481555"/>
    <w:rsid w:val="0048158A"/>
    <w:rsid w:val="00481597"/>
    <w:rsid w:val="004815A2"/>
    <w:rsid w:val="004815D9"/>
    <w:rsid w:val="0048161F"/>
    <w:rsid w:val="00481683"/>
    <w:rsid w:val="004816BC"/>
    <w:rsid w:val="00481802"/>
    <w:rsid w:val="00481818"/>
    <w:rsid w:val="004818D9"/>
    <w:rsid w:val="004818F6"/>
    <w:rsid w:val="004819DA"/>
    <w:rsid w:val="00481A71"/>
    <w:rsid w:val="00481A76"/>
    <w:rsid w:val="00481ACC"/>
    <w:rsid w:val="00481AD7"/>
    <w:rsid w:val="00481B87"/>
    <w:rsid w:val="00481B8E"/>
    <w:rsid w:val="00481BDD"/>
    <w:rsid w:val="00481C1B"/>
    <w:rsid w:val="00481C35"/>
    <w:rsid w:val="00481C56"/>
    <w:rsid w:val="00481CC8"/>
    <w:rsid w:val="00481CD8"/>
    <w:rsid w:val="00481CF0"/>
    <w:rsid w:val="00481D11"/>
    <w:rsid w:val="00481D33"/>
    <w:rsid w:val="00481DA4"/>
    <w:rsid w:val="00481DA5"/>
    <w:rsid w:val="00481DA7"/>
    <w:rsid w:val="00481DED"/>
    <w:rsid w:val="00481E02"/>
    <w:rsid w:val="00481E87"/>
    <w:rsid w:val="00481EA0"/>
    <w:rsid w:val="00481F12"/>
    <w:rsid w:val="00481F50"/>
    <w:rsid w:val="00481F79"/>
    <w:rsid w:val="00481FEB"/>
    <w:rsid w:val="00482020"/>
    <w:rsid w:val="004820AD"/>
    <w:rsid w:val="004820E1"/>
    <w:rsid w:val="004820EF"/>
    <w:rsid w:val="0048210E"/>
    <w:rsid w:val="004821B0"/>
    <w:rsid w:val="004821B4"/>
    <w:rsid w:val="004821C7"/>
    <w:rsid w:val="004822A2"/>
    <w:rsid w:val="004822C5"/>
    <w:rsid w:val="0048236E"/>
    <w:rsid w:val="004823DC"/>
    <w:rsid w:val="004823DD"/>
    <w:rsid w:val="00482427"/>
    <w:rsid w:val="00482432"/>
    <w:rsid w:val="0048250F"/>
    <w:rsid w:val="0048256C"/>
    <w:rsid w:val="0048259C"/>
    <w:rsid w:val="0048259F"/>
    <w:rsid w:val="004825FF"/>
    <w:rsid w:val="0048262C"/>
    <w:rsid w:val="00482687"/>
    <w:rsid w:val="00482691"/>
    <w:rsid w:val="004826D7"/>
    <w:rsid w:val="004826E9"/>
    <w:rsid w:val="00482736"/>
    <w:rsid w:val="004827B8"/>
    <w:rsid w:val="004827DF"/>
    <w:rsid w:val="00482822"/>
    <w:rsid w:val="0048284B"/>
    <w:rsid w:val="00482892"/>
    <w:rsid w:val="0048293E"/>
    <w:rsid w:val="0048299A"/>
    <w:rsid w:val="00482A43"/>
    <w:rsid w:val="00482A4B"/>
    <w:rsid w:val="00482A67"/>
    <w:rsid w:val="00482B99"/>
    <w:rsid w:val="00482BE7"/>
    <w:rsid w:val="00482C9B"/>
    <w:rsid w:val="00482DA5"/>
    <w:rsid w:val="00482E16"/>
    <w:rsid w:val="00482E33"/>
    <w:rsid w:val="00482EA6"/>
    <w:rsid w:val="00482EC4"/>
    <w:rsid w:val="00482ECC"/>
    <w:rsid w:val="00482ED9"/>
    <w:rsid w:val="00482F64"/>
    <w:rsid w:val="00482FDC"/>
    <w:rsid w:val="0048301A"/>
    <w:rsid w:val="0048316D"/>
    <w:rsid w:val="00483197"/>
    <w:rsid w:val="00483215"/>
    <w:rsid w:val="00483291"/>
    <w:rsid w:val="0048329B"/>
    <w:rsid w:val="004832FB"/>
    <w:rsid w:val="00483324"/>
    <w:rsid w:val="0048335A"/>
    <w:rsid w:val="004833D4"/>
    <w:rsid w:val="0048342C"/>
    <w:rsid w:val="004834F5"/>
    <w:rsid w:val="00483502"/>
    <w:rsid w:val="0048350D"/>
    <w:rsid w:val="00483512"/>
    <w:rsid w:val="004835E6"/>
    <w:rsid w:val="00483715"/>
    <w:rsid w:val="00483752"/>
    <w:rsid w:val="00483763"/>
    <w:rsid w:val="004837AD"/>
    <w:rsid w:val="004837CF"/>
    <w:rsid w:val="004837DD"/>
    <w:rsid w:val="00483880"/>
    <w:rsid w:val="0048394E"/>
    <w:rsid w:val="00483956"/>
    <w:rsid w:val="00483970"/>
    <w:rsid w:val="00483986"/>
    <w:rsid w:val="00483A49"/>
    <w:rsid w:val="00483A6C"/>
    <w:rsid w:val="00483AF9"/>
    <w:rsid w:val="00483BA8"/>
    <w:rsid w:val="00483BFB"/>
    <w:rsid w:val="00483C60"/>
    <w:rsid w:val="00483CDD"/>
    <w:rsid w:val="00483DEE"/>
    <w:rsid w:val="00483DF1"/>
    <w:rsid w:val="00483F24"/>
    <w:rsid w:val="00483F28"/>
    <w:rsid w:val="00483FE2"/>
    <w:rsid w:val="00483FFE"/>
    <w:rsid w:val="0048403C"/>
    <w:rsid w:val="0048405D"/>
    <w:rsid w:val="00484090"/>
    <w:rsid w:val="00484193"/>
    <w:rsid w:val="004841BB"/>
    <w:rsid w:val="0048429E"/>
    <w:rsid w:val="004842ED"/>
    <w:rsid w:val="00484302"/>
    <w:rsid w:val="0048431E"/>
    <w:rsid w:val="004843AF"/>
    <w:rsid w:val="00484404"/>
    <w:rsid w:val="00484413"/>
    <w:rsid w:val="00484430"/>
    <w:rsid w:val="0048444F"/>
    <w:rsid w:val="004845B6"/>
    <w:rsid w:val="004845BF"/>
    <w:rsid w:val="004845D7"/>
    <w:rsid w:val="004845E1"/>
    <w:rsid w:val="0048465C"/>
    <w:rsid w:val="00484699"/>
    <w:rsid w:val="004846BE"/>
    <w:rsid w:val="004846FC"/>
    <w:rsid w:val="00484701"/>
    <w:rsid w:val="00484703"/>
    <w:rsid w:val="00484705"/>
    <w:rsid w:val="0048472C"/>
    <w:rsid w:val="0048473D"/>
    <w:rsid w:val="00484784"/>
    <w:rsid w:val="004847E6"/>
    <w:rsid w:val="0048482D"/>
    <w:rsid w:val="004848BD"/>
    <w:rsid w:val="00484934"/>
    <w:rsid w:val="0048493F"/>
    <w:rsid w:val="00484980"/>
    <w:rsid w:val="004849CC"/>
    <w:rsid w:val="00484A9F"/>
    <w:rsid w:val="00484B50"/>
    <w:rsid w:val="00484B75"/>
    <w:rsid w:val="00484B79"/>
    <w:rsid w:val="00484BE1"/>
    <w:rsid w:val="00484C2C"/>
    <w:rsid w:val="00484C88"/>
    <w:rsid w:val="00484D21"/>
    <w:rsid w:val="00484D78"/>
    <w:rsid w:val="00484D8F"/>
    <w:rsid w:val="00484EAF"/>
    <w:rsid w:val="00484EB6"/>
    <w:rsid w:val="00484F73"/>
    <w:rsid w:val="00484F99"/>
    <w:rsid w:val="00484FB4"/>
    <w:rsid w:val="004850BE"/>
    <w:rsid w:val="004850D2"/>
    <w:rsid w:val="004850EB"/>
    <w:rsid w:val="004850F9"/>
    <w:rsid w:val="00485108"/>
    <w:rsid w:val="00485172"/>
    <w:rsid w:val="00485355"/>
    <w:rsid w:val="004853C4"/>
    <w:rsid w:val="0048544B"/>
    <w:rsid w:val="0048544F"/>
    <w:rsid w:val="00485471"/>
    <w:rsid w:val="004854AA"/>
    <w:rsid w:val="00485523"/>
    <w:rsid w:val="0048554B"/>
    <w:rsid w:val="0048554D"/>
    <w:rsid w:val="00485625"/>
    <w:rsid w:val="004856C5"/>
    <w:rsid w:val="0048585C"/>
    <w:rsid w:val="0048587D"/>
    <w:rsid w:val="004858E6"/>
    <w:rsid w:val="00485911"/>
    <w:rsid w:val="00485922"/>
    <w:rsid w:val="00485986"/>
    <w:rsid w:val="0048598B"/>
    <w:rsid w:val="00485A04"/>
    <w:rsid w:val="00485A30"/>
    <w:rsid w:val="00485AA0"/>
    <w:rsid w:val="00485B67"/>
    <w:rsid w:val="00485C8F"/>
    <w:rsid w:val="00485CCD"/>
    <w:rsid w:val="00485CE2"/>
    <w:rsid w:val="00485CFB"/>
    <w:rsid w:val="00485D1B"/>
    <w:rsid w:val="00485D5C"/>
    <w:rsid w:val="00485DA9"/>
    <w:rsid w:val="00485DBF"/>
    <w:rsid w:val="00485E24"/>
    <w:rsid w:val="00485E40"/>
    <w:rsid w:val="00485EDC"/>
    <w:rsid w:val="00485F0E"/>
    <w:rsid w:val="00485F88"/>
    <w:rsid w:val="00485FC2"/>
    <w:rsid w:val="004860D1"/>
    <w:rsid w:val="00486157"/>
    <w:rsid w:val="0048615E"/>
    <w:rsid w:val="004861C8"/>
    <w:rsid w:val="004861EC"/>
    <w:rsid w:val="004861EE"/>
    <w:rsid w:val="00486229"/>
    <w:rsid w:val="0048629B"/>
    <w:rsid w:val="004862E4"/>
    <w:rsid w:val="0048636D"/>
    <w:rsid w:val="00486395"/>
    <w:rsid w:val="004863DF"/>
    <w:rsid w:val="00486415"/>
    <w:rsid w:val="0048642F"/>
    <w:rsid w:val="0048643A"/>
    <w:rsid w:val="004864B9"/>
    <w:rsid w:val="004864C7"/>
    <w:rsid w:val="004864ED"/>
    <w:rsid w:val="004865E5"/>
    <w:rsid w:val="004866BA"/>
    <w:rsid w:val="0048675B"/>
    <w:rsid w:val="00486768"/>
    <w:rsid w:val="004867F2"/>
    <w:rsid w:val="0048686A"/>
    <w:rsid w:val="00486872"/>
    <w:rsid w:val="00486921"/>
    <w:rsid w:val="0048695E"/>
    <w:rsid w:val="00486997"/>
    <w:rsid w:val="00486B20"/>
    <w:rsid w:val="00486B5D"/>
    <w:rsid w:val="00486B81"/>
    <w:rsid w:val="00486C17"/>
    <w:rsid w:val="00486C30"/>
    <w:rsid w:val="00486CA0"/>
    <w:rsid w:val="00486D1A"/>
    <w:rsid w:val="00486D3B"/>
    <w:rsid w:val="00486D53"/>
    <w:rsid w:val="00486D6D"/>
    <w:rsid w:val="00486DB3"/>
    <w:rsid w:val="00486DE1"/>
    <w:rsid w:val="00486E2A"/>
    <w:rsid w:val="00486E99"/>
    <w:rsid w:val="00486F03"/>
    <w:rsid w:val="00486F49"/>
    <w:rsid w:val="00486FAE"/>
    <w:rsid w:val="00486FCB"/>
    <w:rsid w:val="00486FCD"/>
    <w:rsid w:val="0048701F"/>
    <w:rsid w:val="004870B1"/>
    <w:rsid w:val="00487144"/>
    <w:rsid w:val="00487181"/>
    <w:rsid w:val="004871AF"/>
    <w:rsid w:val="00487230"/>
    <w:rsid w:val="00487240"/>
    <w:rsid w:val="0048725D"/>
    <w:rsid w:val="00487292"/>
    <w:rsid w:val="004872DF"/>
    <w:rsid w:val="00487358"/>
    <w:rsid w:val="0048738E"/>
    <w:rsid w:val="0048741A"/>
    <w:rsid w:val="0048746C"/>
    <w:rsid w:val="004874CB"/>
    <w:rsid w:val="004874D4"/>
    <w:rsid w:val="0048750B"/>
    <w:rsid w:val="00487566"/>
    <w:rsid w:val="00487584"/>
    <w:rsid w:val="0048759B"/>
    <w:rsid w:val="0048765C"/>
    <w:rsid w:val="00487683"/>
    <w:rsid w:val="004876B5"/>
    <w:rsid w:val="00487741"/>
    <w:rsid w:val="004877A5"/>
    <w:rsid w:val="004877AF"/>
    <w:rsid w:val="004877D2"/>
    <w:rsid w:val="004877E5"/>
    <w:rsid w:val="00487859"/>
    <w:rsid w:val="0048786B"/>
    <w:rsid w:val="00487872"/>
    <w:rsid w:val="004878C8"/>
    <w:rsid w:val="0048796B"/>
    <w:rsid w:val="00487A46"/>
    <w:rsid w:val="00487A83"/>
    <w:rsid w:val="00487A99"/>
    <w:rsid w:val="00487AA1"/>
    <w:rsid w:val="00487B28"/>
    <w:rsid w:val="00487B2D"/>
    <w:rsid w:val="00487C16"/>
    <w:rsid w:val="00487C99"/>
    <w:rsid w:val="00487CC2"/>
    <w:rsid w:val="00487D34"/>
    <w:rsid w:val="00487D9C"/>
    <w:rsid w:val="00487DCE"/>
    <w:rsid w:val="00487DD7"/>
    <w:rsid w:val="00487E24"/>
    <w:rsid w:val="00487E34"/>
    <w:rsid w:val="00487ED6"/>
    <w:rsid w:val="00487F72"/>
    <w:rsid w:val="00487FBC"/>
    <w:rsid w:val="00490014"/>
    <w:rsid w:val="00490111"/>
    <w:rsid w:val="00490123"/>
    <w:rsid w:val="0049016B"/>
    <w:rsid w:val="004901A4"/>
    <w:rsid w:val="00490215"/>
    <w:rsid w:val="0049023B"/>
    <w:rsid w:val="004902E0"/>
    <w:rsid w:val="0049038B"/>
    <w:rsid w:val="00490566"/>
    <w:rsid w:val="004905DC"/>
    <w:rsid w:val="00490641"/>
    <w:rsid w:val="00490644"/>
    <w:rsid w:val="0049066D"/>
    <w:rsid w:val="004906EC"/>
    <w:rsid w:val="004906F7"/>
    <w:rsid w:val="00490721"/>
    <w:rsid w:val="0049072E"/>
    <w:rsid w:val="00490759"/>
    <w:rsid w:val="004907AC"/>
    <w:rsid w:val="00490819"/>
    <w:rsid w:val="004908C8"/>
    <w:rsid w:val="00490902"/>
    <w:rsid w:val="00490904"/>
    <w:rsid w:val="00490945"/>
    <w:rsid w:val="0049094C"/>
    <w:rsid w:val="00490961"/>
    <w:rsid w:val="0049099B"/>
    <w:rsid w:val="004909C5"/>
    <w:rsid w:val="004909F4"/>
    <w:rsid w:val="00490A27"/>
    <w:rsid w:val="00490A6F"/>
    <w:rsid w:val="00490AEF"/>
    <w:rsid w:val="00490B04"/>
    <w:rsid w:val="00490B08"/>
    <w:rsid w:val="00490BD9"/>
    <w:rsid w:val="00490BF7"/>
    <w:rsid w:val="00490C57"/>
    <w:rsid w:val="00490CAD"/>
    <w:rsid w:val="00490D79"/>
    <w:rsid w:val="00490D7B"/>
    <w:rsid w:val="00490DCB"/>
    <w:rsid w:val="00490DFB"/>
    <w:rsid w:val="00490EDB"/>
    <w:rsid w:val="00490EEB"/>
    <w:rsid w:val="00490F00"/>
    <w:rsid w:val="00491138"/>
    <w:rsid w:val="0049118B"/>
    <w:rsid w:val="0049120D"/>
    <w:rsid w:val="00491265"/>
    <w:rsid w:val="0049127A"/>
    <w:rsid w:val="004912C0"/>
    <w:rsid w:val="004912D3"/>
    <w:rsid w:val="004912E8"/>
    <w:rsid w:val="004912FB"/>
    <w:rsid w:val="00491333"/>
    <w:rsid w:val="00491342"/>
    <w:rsid w:val="004913A6"/>
    <w:rsid w:val="004914ED"/>
    <w:rsid w:val="0049151B"/>
    <w:rsid w:val="00491527"/>
    <w:rsid w:val="0049156E"/>
    <w:rsid w:val="00491579"/>
    <w:rsid w:val="004915A0"/>
    <w:rsid w:val="004915A8"/>
    <w:rsid w:val="00491656"/>
    <w:rsid w:val="00491673"/>
    <w:rsid w:val="0049168C"/>
    <w:rsid w:val="0049169A"/>
    <w:rsid w:val="004916DE"/>
    <w:rsid w:val="004916F8"/>
    <w:rsid w:val="0049179D"/>
    <w:rsid w:val="004917DE"/>
    <w:rsid w:val="0049184C"/>
    <w:rsid w:val="00491865"/>
    <w:rsid w:val="0049186E"/>
    <w:rsid w:val="004918AB"/>
    <w:rsid w:val="00491989"/>
    <w:rsid w:val="0049199A"/>
    <w:rsid w:val="00491A1D"/>
    <w:rsid w:val="00491A83"/>
    <w:rsid w:val="00491B0E"/>
    <w:rsid w:val="00491B31"/>
    <w:rsid w:val="00491BA4"/>
    <w:rsid w:val="00491BDF"/>
    <w:rsid w:val="00491C0B"/>
    <w:rsid w:val="00491CC0"/>
    <w:rsid w:val="00491CC6"/>
    <w:rsid w:val="00491D6C"/>
    <w:rsid w:val="00491DAD"/>
    <w:rsid w:val="00491DEE"/>
    <w:rsid w:val="00491E48"/>
    <w:rsid w:val="00491F55"/>
    <w:rsid w:val="00491F83"/>
    <w:rsid w:val="00491FAC"/>
    <w:rsid w:val="00491FFA"/>
    <w:rsid w:val="0049201C"/>
    <w:rsid w:val="00492041"/>
    <w:rsid w:val="004920B6"/>
    <w:rsid w:val="00492106"/>
    <w:rsid w:val="00492169"/>
    <w:rsid w:val="0049228C"/>
    <w:rsid w:val="004922CF"/>
    <w:rsid w:val="0049231E"/>
    <w:rsid w:val="00492401"/>
    <w:rsid w:val="00492458"/>
    <w:rsid w:val="0049247A"/>
    <w:rsid w:val="0049249D"/>
    <w:rsid w:val="004924A8"/>
    <w:rsid w:val="004924E4"/>
    <w:rsid w:val="00492500"/>
    <w:rsid w:val="004925D0"/>
    <w:rsid w:val="00492625"/>
    <w:rsid w:val="004926AE"/>
    <w:rsid w:val="004927A6"/>
    <w:rsid w:val="0049282A"/>
    <w:rsid w:val="00492906"/>
    <w:rsid w:val="00492955"/>
    <w:rsid w:val="00492992"/>
    <w:rsid w:val="00492997"/>
    <w:rsid w:val="004929BB"/>
    <w:rsid w:val="004929FE"/>
    <w:rsid w:val="00492A39"/>
    <w:rsid w:val="00492A68"/>
    <w:rsid w:val="00492ABC"/>
    <w:rsid w:val="00492B31"/>
    <w:rsid w:val="00492B5E"/>
    <w:rsid w:val="00492BD9"/>
    <w:rsid w:val="00492C30"/>
    <w:rsid w:val="00492D39"/>
    <w:rsid w:val="00492DA8"/>
    <w:rsid w:val="00492F04"/>
    <w:rsid w:val="00492F4A"/>
    <w:rsid w:val="00492F77"/>
    <w:rsid w:val="00493039"/>
    <w:rsid w:val="00493062"/>
    <w:rsid w:val="0049309A"/>
    <w:rsid w:val="004930C5"/>
    <w:rsid w:val="0049316F"/>
    <w:rsid w:val="0049319F"/>
    <w:rsid w:val="004931BD"/>
    <w:rsid w:val="004932C1"/>
    <w:rsid w:val="004932E5"/>
    <w:rsid w:val="004932EA"/>
    <w:rsid w:val="00493462"/>
    <w:rsid w:val="00493482"/>
    <w:rsid w:val="004935BC"/>
    <w:rsid w:val="004935CD"/>
    <w:rsid w:val="00493645"/>
    <w:rsid w:val="004936EA"/>
    <w:rsid w:val="00493709"/>
    <w:rsid w:val="00493721"/>
    <w:rsid w:val="0049383B"/>
    <w:rsid w:val="00493891"/>
    <w:rsid w:val="004938A7"/>
    <w:rsid w:val="004938CC"/>
    <w:rsid w:val="0049395B"/>
    <w:rsid w:val="00493982"/>
    <w:rsid w:val="004939A9"/>
    <w:rsid w:val="004939DB"/>
    <w:rsid w:val="00493A8A"/>
    <w:rsid w:val="00493AA5"/>
    <w:rsid w:val="00493B0A"/>
    <w:rsid w:val="00493BBE"/>
    <w:rsid w:val="00493BC7"/>
    <w:rsid w:val="00493BD9"/>
    <w:rsid w:val="00493BFA"/>
    <w:rsid w:val="00493BFE"/>
    <w:rsid w:val="00493C47"/>
    <w:rsid w:val="00493C6C"/>
    <w:rsid w:val="00493C97"/>
    <w:rsid w:val="00493CC0"/>
    <w:rsid w:val="00493CD0"/>
    <w:rsid w:val="00493CEF"/>
    <w:rsid w:val="00493D54"/>
    <w:rsid w:val="00493DA3"/>
    <w:rsid w:val="00493DE6"/>
    <w:rsid w:val="00493E11"/>
    <w:rsid w:val="00493E9D"/>
    <w:rsid w:val="00493EC7"/>
    <w:rsid w:val="00493EE6"/>
    <w:rsid w:val="00493F09"/>
    <w:rsid w:val="00493F55"/>
    <w:rsid w:val="00493F6B"/>
    <w:rsid w:val="00493FB2"/>
    <w:rsid w:val="00493FC2"/>
    <w:rsid w:val="00493FC8"/>
    <w:rsid w:val="00493FF0"/>
    <w:rsid w:val="00494083"/>
    <w:rsid w:val="004941BA"/>
    <w:rsid w:val="004941C4"/>
    <w:rsid w:val="004941F4"/>
    <w:rsid w:val="00494201"/>
    <w:rsid w:val="0049426E"/>
    <w:rsid w:val="0049427A"/>
    <w:rsid w:val="00494286"/>
    <w:rsid w:val="00494364"/>
    <w:rsid w:val="00494449"/>
    <w:rsid w:val="004944C6"/>
    <w:rsid w:val="004944CB"/>
    <w:rsid w:val="00494612"/>
    <w:rsid w:val="0049462F"/>
    <w:rsid w:val="004946A8"/>
    <w:rsid w:val="004946BA"/>
    <w:rsid w:val="00494702"/>
    <w:rsid w:val="0049474C"/>
    <w:rsid w:val="00494756"/>
    <w:rsid w:val="0049476E"/>
    <w:rsid w:val="00494771"/>
    <w:rsid w:val="0049478C"/>
    <w:rsid w:val="004947FD"/>
    <w:rsid w:val="00494818"/>
    <w:rsid w:val="0049485E"/>
    <w:rsid w:val="0049485F"/>
    <w:rsid w:val="00494887"/>
    <w:rsid w:val="004948D0"/>
    <w:rsid w:val="004948F5"/>
    <w:rsid w:val="00494905"/>
    <w:rsid w:val="00494988"/>
    <w:rsid w:val="00494A58"/>
    <w:rsid w:val="00494AD3"/>
    <w:rsid w:val="00494B07"/>
    <w:rsid w:val="00494B16"/>
    <w:rsid w:val="00494B70"/>
    <w:rsid w:val="00494B79"/>
    <w:rsid w:val="00494BD1"/>
    <w:rsid w:val="00494C3D"/>
    <w:rsid w:val="00494C71"/>
    <w:rsid w:val="00494C86"/>
    <w:rsid w:val="00494CC4"/>
    <w:rsid w:val="00494D4E"/>
    <w:rsid w:val="00494E12"/>
    <w:rsid w:val="00494F59"/>
    <w:rsid w:val="00494F98"/>
    <w:rsid w:val="00495059"/>
    <w:rsid w:val="0049506E"/>
    <w:rsid w:val="00495082"/>
    <w:rsid w:val="00495087"/>
    <w:rsid w:val="004950BA"/>
    <w:rsid w:val="0049517B"/>
    <w:rsid w:val="004951AF"/>
    <w:rsid w:val="004951DE"/>
    <w:rsid w:val="0049524C"/>
    <w:rsid w:val="0049524D"/>
    <w:rsid w:val="00495313"/>
    <w:rsid w:val="0049543F"/>
    <w:rsid w:val="0049546C"/>
    <w:rsid w:val="004954F0"/>
    <w:rsid w:val="00495563"/>
    <w:rsid w:val="0049564A"/>
    <w:rsid w:val="004956A0"/>
    <w:rsid w:val="004956D9"/>
    <w:rsid w:val="00495731"/>
    <w:rsid w:val="0049581D"/>
    <w:rsid w:val="00495828"/>
    <w:rsid w:val="00495846"/>
    <w:rsid w:val="0049587B"/>
    <w:rsid w:val="004958D7"/>
    <w:rsid w:val="004958EB"/>
    <w:rsid w:val="00495930"/>
    <w:rsid w:val="0049593B"/>
    <w:rsid w:val="0049593E"/>
    <w:rsid w:val="00495986"/>
    <w:rsid w:val="004959CB"/>
    <w:rsid w:val="004959E1"/>
    <w:rsid w:val="00495B46"/>
    <w:rsid w:val="00495BA0"/>
    <w:rsid w:val="00495BDE"/>
    <w:rsid w:val="00495C0B"/>
    <w:rsid w:val="00495C5E"/>
    <w:rsid w:val="00495C61"/>
    <w:rsid w:val="00495C82"/>
    <w:rsid w:val="00495CEB"/>
    <w:rsid w:val="00495D58"/>
    <w:rsid w:val="00495D6A"/>
    <w:rsid w:val="00495DD2"/>
    <w:rsid w:val="00495DD5"/>
    <w:rsid w:val="00495E39"/>
    <w:rsid w:val="00495E51"/>
    <w:rsid w:val="00495EAA"/>
    <w:rsid w:val="0049600B"/>
    <w:rsid w:val="0049605D"/>
    <w:rsid w:val="00496100"/>
    <w:rsid w:val="00496142"/>
    <w:rsid w:val="00496361"/>
    <w:rsid w:val="0049639D"/>
    <w:rsid w:val="004963BF"/>
    <w:rsid w:val="0049642D"/>
    <w:rsid w:val="00496458"/>
    <w:rsid w:val="00496459"/>
    <w:rsid w:val="00496504"/>
    <w:rsid w:val="00496507"/>
    <w:rsid w:val="00496558"/>
    <w:rsid w:val="004965CF"/>
    <w:rsid w:val="00496653"/>
    <w:rsid w:val="004966EB"/>
    <w:rsid w:val="0049675F"/>
    <w:rsid w:val="004967E6"/>
    <w:rsid w:val="00496818"/>
    <w:rsid w:val="00496825"/>
    <w:rsid w:val="00496853"/>
    <w:rsid w:val="004968FA"/>
    <w:rsid w:val="00496901"/>
    <w:rsid w:val="00496991"/>
    <w:rsid w:val="004969CD"/>
    <w:rsid w:val="00496AD2"/>
    <w:rsid w:val="00496AEA"/>
    <w:rsid w:val="00496B4D"/>
    <w:rsid w:val="00496B62"/>
    <w:rsid w:val="00496B9D"/>
    <w:rsid w:val="00496BD7"/>
    <w:rsid w:val="00496BF8"/>
    <w:rsid w:val="00496C13"/>
    <w:rsid w:val="00496C5D"/>
    <w:rsid w:val="00496C8F"/>
    <w:rsid w:val="00496CEA"/>
    <w:rsid w:val="00496CFB"/>
    <w:rsid w:val="00496D2E"/>
    <w:rsid w:val="00496D7F"/>
    <w:rsid w:val="00496D9A"/>
    <w:rsid w:val="00496E18"/>
    <w:rsid w:val="00496E30"/>
    <w:rsid w:val="00496EC4"/>
    <w:rsid w:val="00496F65"/>
    <w:rsid w:val="00496FDB"/>
    <w:rsid w:val="00497009"/>
    <w:rsid w:val="004971D6"/>
    <w:rsid w:val="004971F3"/>
    <w:rsid w:val="0049721C"/>
    <w:rsid w:val="0049723D"/>
    <w:rsid w:val="00497322"/>
    <w:rsid w:val="0049732E"/>
    <w:rsid w:val="004973F8"/>
    <w:rsid w:val="00497404"/>
    <w:rsid w:val="0049744B"/>
    <w:rsid w:val="00497462"/>
    <w:rsid w:val="00497507"/>
    <w:rsid w:val="0049754E"/>
    <w:rsid w:val="004975A5"/>
    <w:rsid w:val="004975C6"/>
    <w:rsid w:val="004975CC"/>
    <w:rsid w:val="004976BE"/>
    <w:rsid w:val="004976FC"/>
    <w:rsid w:val="00497734"/>
    <w:rsid w:val="0049775A"/>
    <w:rsid w:val="004977AC"/>
    <w:rsid w:val="004977D3"/>
    <w:rsid w:val="004977E4"/>
    <w:rsid w:val="00497802"/>
    <w:rsid w:val="0049782C"/>
    <w:rsid w:val="00497842"/>
    <w:rsid w:val="00497892"/>
    <w:rsid w:val="0049789A"/>
    <w:rsid w:val="004978EC"/>
    <w:rsid w:val="00497900"/>
    <w:rsid w:val="0049792A"/>
    <w:rsid w:val="0049797A"/>
    <w:rsid w:val="00497A3D"/>
    <w:rsid w:val="00497A5D"/>
    <w:rsid w:val="00497A88"/>
    <w:rsid w:val="00497A92"/>
    <w:rsid w:val="00497ACE"/>
    <w:rsid w:val="00497AF6"/>
    <w:rsid w:val="00497B1B"/>
    <w:rsid w:val="00497B48"/>
    <w:rsid w:val="00497BAC"/>
    <w:rsid w:val="00497C1A"/>
    <w:rsid w:val="00497C4F"/>
    <w:rsid w:val="00497C57"/>
    <w:rsid w:val="00497D01"/>
    <w:rsid w:val="00497D50"/>
    <w:rsid w:val="00497DAB"/>
    <w:rsid w:val="00497DD6"/>
    <w:rsid w:val="00497DF9"/>
    <w:rsid w:val="00497E0D"/>
    <w:rsid w:val="00497E14"/>
    <w:rsid w:val="00497E42"/>
    <w:rsid w:val="00497E59"/>
    <w:rsid w:val="00497EBD"/>
    <w:rsid w:val="00497F04"/>
    <w:rsid w:val="00497F11"/>
    <w:rsid w:val="00497F16"/>
    <w:rsid w:val="00497F25"/>
    <w:rsid w:val="00497F99"/>
    <w:rsid w:val="00497FA8"/>
    <w:rsid w:val="00497FEF"/>
    <w:rsid w:val="004A0033"/>
    <w:rsid w:val="004A00BB"/>
    <w:rsid w:val="004A00C1"/>
    <w:rsid w:val="004A0175"/>
    <w:rsid w:val="004A0237"/>
    <w:rsid w:val="004A027C"/>
    <w:rsid w:val="004A02AC"/>
    <w:rsid w:val="004A02AE"/>
    <w:rsid w:val="004A02F8"/>
    <w:rsid w:val="004A03DF"/>
    <w:rsid w:val="004A03E4"/>
    <w:rsid w:val="004A0487"/>
    <w:rsid w:val="004A04AD"/>
    <w:rsid w:val="004A04F9"/>
    <w:rsid w:val="004A0507"/>
    <w:rsid w:val="004A050A"/>
    <w:rsid w:val="004A05CC"/>
    <w:rsid w:val="004A05DF"/>
    <w:rsid w:val="004A06E2"/>
    <w:rsid w:val="004A06F1"/>
    <w:rsid w:val="004A074F"/>
    <w:rsid w:val="004A0769"/>
    <w:rsid w:val="004A07DD"/>
    <w:rsid w:val="004A0823"/>
    <w:rsid w:val="004A0879"/>
    <w:rsid w:val="004A0934"/>
    <w:rsid w:val="004A09A1"/>
    <w:rsid w:val="004A09C9"/>
    <w:rsid w:val="004A09DD"/>
    <w:rsid w:val="004A0A03"/>
    <w:rsid w:val="004A0A20"/>
    <w:rsid w:val="004A0A28"/>
    <w:rsid w:val="004A0A71"/>
    <w:rsid w:val="004A0B98"/>
    <w:rsid w:val="004A0BB9"/>
    <w:rsid w:val="004A0BCD"/>
    <w:rsid w:val="004A0C1B"/>
    <w:rsid w:val="004A0C2E"/>
    <w:rsid w:val="004A0C86"/>
    <w:rsid w:val="004A0C90"/>
    <w:rsid w:val="004A0C98"/>
    <w:rsid w:val="004A0CAE"/>
    <w:rsid w:val="004A0CB0"/>
    <w:rsid w:val="004A0CF1"/>
    <w:rsid w:val="004A0D47"/>
    <w:rsid w:val="004A0E94"/>
    <w:rsid w:val="004A0F9A"/>
    <w:rsid w:val="004A0FBA"/>
    <w:rsid w:val="004A104C"/>
    <w:rsid w:val="004A107C"/>
    <w:rsid w:val="004A10B4"/>
    <w:rsid w:val="004A10CE"/>
    <w:rsid w:val="004A1133"/>
    <w:rsid w:val="004A1158"/>
    <w:rsid w:val="004A1159"/>
    <w:rsid w:val="004A1163"/>
    <w:rsid w:val="004A117D"/>
    <w:rsid w:val="004A1193"/>
    <w:rsid w:val="004A128B"/>
    <w:rsid w:val="004A144B"/>
    <w:rsid w:val="004A1450"/>
    <w:rsid w:val="004A145C"/>
    <w:rsid w:val="004A1486"/>
    <w:rsid w:val="004A1523"/>
    <w:rsid w:val="004A15D6"/>
    <w:rsid w:val="004A160C"/>
    <w:rsid w:val="004A1641"/>
    <w:rsid w:val="004A1661"/>
    <w:rsid w:val="004A1666"/>
    <w:rsid w:val="004A1698"/>
    <w:rsid w:val="004A16E9"/>
    <w:rsid w:val="004A1747"/>
    <w:rsid w:val="004A1752"/>
    <w:rsid w:val="004A176E"/>
    <w:rsid w:val="004A17B0"/>
    <w:rsid w:val="004A17B9"/>
    <w:rsid w:val="004A1810"/>
    <w:rsid w:val="004A189C"/>
    <w:rsid w:val="004A18B3"/>
    <w:rsid w:val="004A1913"/>
    <w:rsid w:val="004A1944"/>
    <w:rsid w:val="004A197B"/>
    <w:rsid w:val="004A1A25"/>
    <w:rsid w:val="004A1A4C"/>
    <w:rsid w:val="004A1A76"/>
    <w:rsid w:val="004A1ACE"/>
    <w:rsid w:val="004A1B1C"/>
    <w:rsid w:val="004A1B46"/>
    <w:rsid w:val="004A1B78"/>
    <w:rsid w:val="004A1B94"/>
    <w:rsid w:val="004A1C26"/>
    <w:rsid w:val="004A1C5F"/>
    <w:rsid w:val="004A1C74"/>
    <w:rsid w:val="004A1CA8"/>
    <w:rsid w:val="004A1DEE"/>
    <w:rsid w:val="004A1E46"/>
    <w:rsid w:val="004A1E47"/>
    <w:rsid w:val="004A1E6A"/>
    <w:rsid w:val="004A1E7F"/>
    <w:rsid w:val="004A1E98"/>
    <w:rsid w:val="004A1F14"/>
    <w:rsid w:val="004A1F2A"/>
    <w:rsid w:val="004A1FC0"/>
    <w:rsid w:val="004A1FFA"/>
    <w:rsid w:val="004A2003"/>
    <w:rsid w:val="004A2027"/>
    <w:rsid w:val="004A2094"/>
    <w:rsid w:val="004A20C8"/>
    <w:rsid w:val="004A211B"/>
    <w:rsid w:val="004A2388"/>
    <w:rsid w:val="004A23E9"/>
    <w:rsid w:val="004A2497"/>
    <w:rsid w:val="004A24A5"/>
    <w:rsid w:val="004A24AF"/>
    <w:rsid w:val="004A24C9"/>
    <w:rsid w:val="004A24D3"/>
    <w:rsid w:val="004A24DC"/>
    <w:rsid w:val="004A2507"/>
    <w:rsid w:val="004A2560"/>
    <w:rsid w:val="004A256C"/>
    <w:rsid w:val="004A2588"/>
    <w:rsid w:val="004A2597"/>
    <w:rsid w:val="004A25BB"/>
    <w:rsid w:val="004A268A"/>
    <w:rsid w:val="004A268F"/>
    <w:rsid w:val="004A269D"/>
    <w:rsid w:val="004A269F"/>
    <w:rsid w:val="004A26A5"/>
    <w:rsid w:val="004A26C5"/>
    <w:rsid w:val="004A2776"/>
    <w:rsid w:val="004A27CD"/>
    <w:rsid w:val="004A2800"/>
    <w:rsid w:val="004A2816"/>
    <w:rsid w:val="004A2824"/>
    <w:rsid w:val="004A282B"/>
    <w:rsid w:val="004A2882"/>
    <w:rsid w:val="004A2889"/>
    <w:rsid w:val="004A28B8"/>
    <w:rsid w:val="004A29A0"/>
    <w:rsid w:val="004A29F7"/>
    <w:rsid w:val="004A2A32"/>
    <w:rsid w:val="004A2A77"/>
    <w:rsid w:val="004A2A89"/>
    <w:rsid w:val="004A2B4D"/>
    <w:rsid w:val="004A2C39"/>
    <w:rsid w:val="004A2CCE"/>
    <w:rsid w:val="004A2D66"/>
    <w:rsid w:val="004A2D84"/>
    <w:rsid w:val="004A2D86"/>
    <w:rsid w:val="004A2DA4"/>
    <w:rsid w:val="004A2E4C"/>
    <w:rsid w:val="004A2E66"/>
    <w:rsid w:val="004A2EE8"/>
    <w:rsid w:val="004A2F69"/>
    <w:rsid w:val="004A2FA1"/>
    <w:rsid w:val="004A2FB2"/>
    <w:rsid w:val="004A30AA"/>
    <w:rsid w:val="004A310D"/>
    <w:rsid w:val="004A3127"/>
    <w:rsid w:val="004A3174"/>
    <w:rsid w:val="004A31ED"/>
    <w:rsid w:val="004A31F5"/>
    <w:rsid w:val="004A3211"/>
    <w:rsid w:val="004A327D"/>
    <w:rsid w:val="004A32F7"/>
    <w:rsid w:val="004A33BB"/>
    <w:rsid w:val="004A33D9"/>
    <w:rsid w:val="004A3454"/>
    <w:rsid w:val="004A34E5"/>
    <w:rsid w:val="004A3519"/>
    <w:rsid w:val="004A3522"/>
    <w:rsid w:val="004A3576"/>
    <w:rsid w:val="004A35BB"/>
    <w:rsid w:val="004A36C9"/>
    <w:rsid w:val="004A36E6"/>
    <w:rsid w:val="004A379F"/>
    <w:rsid w:val="004A389C"/>
    <w:rsid w:val="004A38A9"/>
    <w:rsid w:val="004A38AD"/>
    <w:rsid w:val="004A38C3"/>
    <w:rsid w:val="004A3913"/>
    <w:rsid w:val="004A397C"/>
    <w:rsid w:val="004A399D"/>
    <w:rsid w:val="004A39DE"/>
    <w:rsid w:val="004A39E2"/>
    <w:rsid w:val="004A3AA2"/>
    <w:rsid w:val="004A3B7C"/>
    <w:rsid w:val="004A3C0C"/>
    <w:rsid w:val="004A3C68"/>
    <w:rsid w:val="004A3C77"/>
    <w:rsid w:val="004A3D41"/>
    <w:rsid w:val="004A3DCA"/>
    <w:rsid w:val="004A3E0E"/>
    <w:rsid w:val="004A3E15"/>
    <w:rsid w:val="004A3E9E"/>
    <w:rsid w:val="004A3EB7"/>
    <w:rsid w:val="004A3F64"/>
    <w:rsid w:val="004A3F80"/>
    <w:rsid w:val="004A3FB6"/>
    <w:rsid w:val="004A4016"/>
    <w:rsid w:val="004A403B"/>
    <w:rsid w:val="004A4074"/>
    <w:rsid w:val="004A408A"/>
    <w:rsid w:val="004A40B5"/>
    <w:rsid w:val="004A40BD"/>
    <w:rsid w:val="004A40C5"/>
    <w:rsid w:val="004A4133"/>
    <w:rsid w:val="004A41B6"/>
    <w:rsid w:val="004A41B8"/>
    <w:rsid w:val="004A41D5"/>
    <w:rsid w:val="004A4201"/>
    <w:rsid w:val="004A4324"/>
    <w:rsid w:val="004A437E"/>
    <w:rsid w:val="004A43B9"/>
    <w:rsid w:val="004A4435"/>
    <w:rsid w:val="004A445D"/>
    <w:rsid w:val="004A44A7"/>
    <w:rsid w:val="004A4564"/>
    <w:rsid w:val="004A45D9"/>
    <w:rsid w:val="004A462C"/>
    <w:rsid w:val="004A4639"/>
    <w:rsid w:val="004A4643"/>
    <w:rsid w:val="004A4688"/>
    <w:rsid w:val="004A46DD"/>
    <w:rsid w:val="004A46EB"/>
    <w:rsid w:val="004A479C"/>
    <w:rsid w:val="004A47FD"/>
    <w:rsid w:val="004A4813"/>
    <w:rsid w:val="004A481E"/>
    <w:rsid w:val="004A4826"/>
    <w:rsid w:val="004A490F"/>
    <w:rsid w:val="004A4935"/>
    <w:rsid w:val="004A493D"/>
    <w:rsid w:val="004A4945"/>
    <w:rsid w:val="004A49EA"/>
    <w:rsid w:val="004A4A2F"/>
    <w:rsid w:val="004A4A6D"/>
    <w:rsid w:val="004A4BAC"/>
    <w:rsid w:val="004A4BF5"/>
    <w:rsid w:val="004A4BF9"/>
    <w:rsid w:val="004A4C27"/>
    <w:rsid w:val="004A4C2F"/>
    <w:rsid w:val="004A4C39"/>
    <w:rsid w:val="004A4C8B"/>
    <w:rsid w:val="004A4D35"/>
    <w:rsid w:val="004A4D69"/>
    <w:rsid w:val="004A4DA7"/>
    <w:rsid w:val="004A4DBF"/>
    <w:rsid w:val="004A4DD2"/>
    <w:rsid w:val="004A4DF4"/>
    <w:rsid w:val="004A4E37"/>
    <w:rsid w:val="004A4E47"/>
    <w:rsid w:val="004A4F10"/>
    <w:rsid w:val="004A4F7E"/>
    <w:rsid w:val="004A4F9E"/>
    <w:rsid w:val="004A4FCC"/>
    <w:rsid w:val="004A4FDD"/>
    <w:rsid w:val="004A5001"/>
    <w:rsid w:val="004A5008"/>
    <w:rsid w:val="004A501D"/>
    <w:rsid w:val="004A502F"/>
    <w:rsid w:val="004A5050"/>
    <w:rsid w:val="004A5144"/>
    <w:rsid w:val="004A5151"/>
    <w:rsid w:val="004A52A3"/>
    <w:rsid w:val="004A5327"/>
    <w:rsid w:val="004A534C"/>
    <w:rsid w:val="004A53AA"/>
    <w:rsid w:val="004A548C"/>
    <w:rsid w:val="004A549A"/>
    <w:rsid w:val="004A54B3"/>
    <w:rsid w:val="004A5591"/>
    <w:rsid w:val="004A5607"/>
    <w:rsid w:val="004A5636"/>
    <w:rsid w:val="004A565B"/>
    <w:rsid w:val="004A5745"/>
    <w:rsid w:val="004A57B1"/>
    <w:rsid w:val="004A5871"/>
    <w:rsid w:val="004A5879"/>
    <w:rsid w:val="004A58D5"/>
    <w:rsid w:val="004A598D"/>
    <w:rsid w:val="004A59DB"/>
    <w:rsid w:val="004A5A21"/>
    <w:rsid w:val="004A5B21"/>
    <w:rsid w:val="004A5B23"/>
    <w:rsid w:val="004A5B49"/>
    <w:rsid w:val="004A5BC3"/>
    <w:rsid w:val="004A5BEA"/>
    <w:rsid w:val="004A5C08"/>
    <w:rsid w:val="004A5CA8"/>
    <w:rsid w:val="004A5D98"/>
    <w:rsid w:val="004A5D9E"/>
    <w:rsid w:val="004A5DD4"/>
    <w:rsid w:val="004A5E16"/>
    <w:rsid w:val="004A5F99"/>
    <w:rsid w:val="004A6028"/>
    <w:rsid w:val="004A604A"/>
    <w:rsid w:val="004A605D"/>
    <w:rsid w:val="004A60B1"/>
    <w:rsid w:val="004A60EB"/>
    <w:rsid w:val="004A60F2"/>
    <w:rsid w:val="004A614F"/>
    <w:rsid w:val="004A6183"/>
    <w:rsid w:val="004A6202"/>
    <w:rsid w:val="004A62E6"/>
    <w:rsid w:val="004A62EC"/>
    <w:rsid w:val="004A634F"/>
    <w:rsid w:val="004A6385"/>
    <w:rsid w:val="004A6388"/>
    <w:rsid w:val="004A641E"/>
    <w:rsid w:val="004A64D6"/>
    <w:rsid w:val="004A64E2"/>
    <w:rsid w:val="004A65C0"/>
    <w:rsid w:val="004A660F"/>
    <w:rsid w:val="004A6710"/>
    <w:rsid w:val="004A6775"/>
    <w:rsid w:val="004A6792"/>
    <w:rsid w:val="004A682F"/>
    <w:rsid w:val="004A683B"/>
    <w:rsid w:val="004A68C8"/>
    <w:rsid w:val="004A68F1"/>
    <w:rsid w:val="004A6971"/>
    <w:rsid w:val="004A69A5"/>
    <w:rsid w:val="004A6A96"/>
    <w:rsid w:val="004A6AA3"/>
    <w:rsid w:val="004A6ACA"/>
    <w:rsid w:val="004A6AE1"/>
    <w:rsid w:val="004A6B02"/>
    <w:rsid w:val="004A6B55"/>
    <w:rsid w:val="004A6C1B"/>
    <w:rsid w:val="004A6CB0"/>
    <w:rsid w:val="004A6CF9"/>
    <w:rsid w:val="004A6D67"/>
    <w:rsid w:val="004A6D79"/>
    <w:rsid w:val="004A6DA3"/>
    <w:rsid w:val="004A6DBB"/>
    <w:rsid w:val="004A6DBF"/>
    <w:rsid w:val="004A6E10"/>
    <w:rsid w:val="004A6E95"/>
    <w:rsid w:val="004A6EA8"/>
    <w:rsid w:val="004A6F6E"/>
    <w:rsid w:val="004A705A"/>
    <w:rsid w:val="004A70B3"/>
    <w:rsid w:val="004A70E8"/>
    <w:rsid w:val="004A7104"/>
    <w:rsid w:val="004A7186"/>
    <w:rsid w:val="004A71BE"/>
    <w:rsid w:val="004A71E6"/>
    <w:rsid w:val="004A72AD"/>
    <w:rsid w:val="004A72DF"/>
    <w:rsid w:val="004A7316"/>
    <w:rsid w:val="004A734D"/>
    <w:rsid w:val="004A73FE"/>
    <w:rsid w:val="004A749B"/>
    <w:rsid w:val="004A74C5"/>
    <w:rsid w:val="004A74D6"/>
    <w:rsid w:val="004A7572"/>
    <w:rsid w:val="004A7596"/>
    <w:rsid w:val="004A75E4"/>
    <w:rsid w:val="004A7603"/>
    <w:rsid w:val="004A7664"/>
    <w:rsid w:val="004A7688"/>
    <w:rsid w:val="004A77C6"/>
    <w:rsid w:val="004A7873"/>
    <w:rsid w:val="004A78BF"/>
    <w:rsid w:val="004A7905"/>
    <w:rsid w:val="004A791E"/>
    <w:rsid w:val="004A792A"/>
    <w:rsid w:val="004A794E"/>
    <w:rsid w:val="004A7969"/>
    <w:rsid w:val="004A79D2"/>
    <w:rsid w:val="004A7ADF"/>
    <w:rsid w:val="004A7AE7"/>
    <w:rsid w:val="004A7AFE"/>
    <w:rsid w:val="004A7BA5"/>
    <w:rsid w:val="004A7BBF"/>
    <w:rsid w:val="004A7BE9"/>
    <w:rsid w:val="004A7C13"/>
    <w:rsid w:val="004A7C4A"/>
    <w:rsid w:val="004A7CC7"/>
    <w:rsid w:val="004A7CF6"/>
    <w:rsid w:val="004A7D21"/>
    <w:rsid w:val="004A7D30"/>
    <w:rsid w:val="004A7D7B"/>
    <w:rsid w:val="004A7E28"/>
    <w:rsid w:val="004A7E35"/>
    <w:rsid w:val="004A7E63"/>
    <w:rsid w:val="004A7EBF"/>
    <w:rsid w:val="004A7ECB"/>
    <w:rsid w:val="004A7F48"/>
    <w:rsid w:val="004A7F6B"/>
    <w:rsid w:val="004A7F94"/>
    <w:rsid w:val="004A7FFE"/>
    <w:rsid w:val="004B000A"/>
    <w:rsid w:val="004B0043"/>
    <w:rsid w:val="004B009B"/>
    <w:rsid w:val="004B00D6"/>
    <w:rsid w:val="004B00FC"/>
    <w:rsid w:val="004B01FD"/>
    <w:rsid w:val="004B0212"/>
    <w:rsid w:val="004B029F"/>
    <w:rsid w:val="004B0309"/>
    <w:rsid w:val="004B0352"/>
    <w:rsid w:val="004B03B8"/>
    <w:rsid w:val="004B03CB"/>
    <w:rsid w:val="004B0427"/>
    <w:rsid w:val="004B0444"/>
    <w:rsid w:val="004B0507"/>
    <w:rsid w:val="004B050E"/>
    <w:rsid w:val="004B0511"/>
    <w:rsid w:val="004B054F"/>
    <w:rsid w:val="004B05CE"/>
    <w:rsid w:val="004B0682"/>
    <w:rsid w:val="004B06E9"/>
    <w:rsid w:val="004B0762"/>
    <w:rsid w:val="004B0805"/>
    <w:rsid w:val="004B0866"/>
    <w:rsid w:val="004B086A"/>
    <w:rsid w:val="004B090A"/>
    <w:rsid w:val="004B09A6"/>
    <w:rsid w:val="004B0A4F"/>
    <w:rsid w:val="004B0A8F"/>
    <w:rsid w:val="004B0BBC"/>
    <w:rsid w:val="004B0BBE"/>
    <w:rsid w:val="004B0BDD"/>
    <w:rsid w:val="004B0C12"/>
    <w:rsid w:val="004B0CAA"/>
    <w:rsid w:val="004B0CAB"/>
    <w:rsid w:val="004B0CF9"/>
    <w:rsid w:val="004B0D04"/>
    <w:rsid w:val="004B0D54"/>
    <w:rsid w:val="004B0D8B"/>
    <w:rsid w:val="004B0D8D"/>
    <w:rsid w:val="004B0DA1"/>
    <w:rsid w:val="004B0DEB"/>
    <w:rsid w:val="004B0EF5"/>
    <w:rsid w:val="004B0F0A"/>
    <w:rsid w:val="004B0F1C"/>
    <w:rsid w:val="004B0F2A"/>
    <w:rsid w:val="004B0F49"/>
    <w:rsid w:val="004B0F9B"/>
    <w:rsid w:val="004B0FD3"/>
    <w:rsid w:val="004B102D"/>
    <w:rsid w:val="004B104E"/>
    <w:rsid w:val="004B108D"/>
    <w:rsid w:val="004B1136"/>
    <w:rsid w:val="004B11A2"/>
    <w:rsid w:val="004B11F1"/>
    <w:rsid w:val="004B145D"/>
    <w:rsid w:val="004B14E6"/>
    <w:rsid w:val="004B1520"/>
    <w:rsid w:val="004B1550"/>
    <w:rsid w:val="004B1562"/>
    <w:rsid w:val="004B1593"/>
    <w:rsid w:val="004B1664"/>
    <w:rsid w:val="004B1678"/>
    <w:rsid w:val="004B16C0"/>
    <w:rsid w:val="004B171E"/>
    <w:rsid w:val="004B1778"/>
    <w:rsid w:val="004B17D2"/>
    <w:rsid w:val="004B17DC"/>
    <w:rsid w:val="004B183F"/>
    <w:rsid w:val="004B197A"/>
    <w:rsid w:val="004B1983"/>
    <w:rsid w:val="004B198F"/>
    <w:rsid w:val="004B1A50"/>
    <w:rsid w:val="004B1A5E"/>
    <w:rsid w:val="004B1A72"/>
    <w:rsid w:val="004B1AC5"/>
    <w:rsid w:val="004B1B33"/>
    <w:rsid w:val="004B1C58"/>
    <w:rsid w:val="004B1C69"/>
    <w:rsid w:val="004B1DA4"/>
    <w:rsid w:val="004B1DDF"/>
    <w:rsid w:val="004B1E14"/>
    <w:rsid w:val="004B1EA4"/>
    <w:rsid w:val="004B1ED6"/>
    <w:rsid w:val="004B1F8E"/>
    <w:rsid w:val="004B1FEB"/>
    <w:rsid w:val="004B2109"/>
    <w:rsid w:val="004B2179"/>
    <w:rsid w:val="004B2185"/>
    <w:rsid w:val="004B21A8"/>
    <w:rsid w:val="004B21B1"/>
    <w:rsid w:val="004B21CF"/>
    <w:rsid w:val="004B21DA"/>
    <w:rsid w:val="004B227D"/>
    <w:rsid w:val="004B22FC"/>
    <w:rsid w:val="004B2346"/>
    <w:rsid w:val="004B2362"/>
    <w:rsid w:val="004B249D"/>
    <w:rsid w:val="004B252F"/>
    <w:rsid w:val="004B2604"/>
    <w:rsid w:val="004B2614"/>
    <w:rsid w:val="004B26A3"/>
    <w:rsid w:val="004B270B"/>
    <w:rsid w:val="004B2716"/>
    <w:rsid w:val="004B275C"/>
    <w:rsid w:val="004B2776"/>
    <w:rsid w:val="004B278D"/>
    <w:rsid w:val="004B279B"/>
    <w:rsid w:val="004B27F1"/>
    <w:rsid w:val="004B28F6"/>
    <w:rsid w:val="004B28F8"/>
    <w:rsid w:val="004B2932"/>
    <w:rsid w:val="004B294E"/>
    <w:rsid w:val="004B2974"/>
    <w:rsid w:val="004B2993"/>
    <w:rsid w:val="004B2999"/>
    <w:rsid w:val="004B29A8"/>
    <w:rsid w:val="004B29BA"/>
    <w:rsid w:val="004B2A2B"/>
    <w:rsid w:val="004B2AE4"/>
    <w:rsid w:val="004B2B48"/>
    <w:rsid w:val="004B2BC4"/>
    <w:rsid w:val="004B2C14"/>
    <w:rsid w:val="004B2C98"/>
    <w:rsid w:val="004B2D3B"/>
    <w:rsid w:val="004B2D57"/>
    <w:rsid w:val="004B2DDD"/>
    <w:rsid w:val="004B2DE0"/>
    <w:rsid w:val="004B2E22"/>
    <w:rsid w:val="004B2E6A"/>
    <w:rsid w:val="004B2E70"/>
    <w:rsid w:val="004B2EC4"/>
    <w:rsid w:val="004B2ED6"/>
    <w:rsid w:val="004B2EDA"/>
    <w:rsid w:val="004B2F5D"/>
    <w:rsid w:val="004B2F8D"/>
    <w:rsid w:val="004B300F"/>
    <w:rsid w:val="004B3066"/>
    <w:rsid w:val="004B3071"/>
    <w:rsid w:val="004B3139"/>
    <w:rsid w:val="004B313D"/>
    <w:rsid w:val="004B314C"/>
    <w:rsid w:val="004B31B4"/>
    <w:rsid w:val="004B3249"/>
    <w:rsid w:val="004B3269"/>
    <w:rsid w:val="004B329A"/>
    <w:rsid w:val="004B32BA"/>
    <w:rsid w:val="004B3321"/>
    <w:rsid w:val="004B3334"/>
    <w:rsid w:val="004B336A"/>
    <w:rsid w:val="004B337E"/>
    <w:rsid w:val="004B3467"/>
    <w:rsid w:val="004B34E5"/>
    <w:rsid w:val="004B3529"/>
    <w:rsid w:val="004B3700"/>
    <w:rsid w:val="004B3758"/>
    <w:rsid w:val="004B3854"/>
    <w:rsid w:val="004B3951"/>
    <w:rsid w:val="004B39B3"/>
    <w:rsid w:val="004B39DA"/>
    <w:rsid w:val="004B39F6"/>
    <w:rsid w:val="004B3AB2"/>
    <w:rsid w:val="004B3B08"/>
    <w:rsid w:val="004B3B14"/>
    <w:rsid w:val="004B3B63"/>
    <w:rsid w:val="004B3B68"/>
    <w:rsid w:val="004B3B80"/>
    <w:rsid w:val="004B3BAC"/>
    <w:rsid w:val="004B3C20"/>
    <w:rsid w:val="004B3CC0"/>
    <w:rsid w:val="004B3D21"/>
    <w:rsid w:val="004B3D50"/>
    <w:rsid w:val="004B3E7F"/>
    <w:rsid w:val="004B3EBA"/>
    <w:rsid w:val="004B3EC2"/>
    <w:rsid w:val="004B3F24"/>
    <w:rsid w:val="004B3F3D"/>
    <w:rsid w:val="004B3FDF"/>
    <w:rsid w:val="004B402E"/>
    <w:rsid w:val="004B404F"/>
    <w:rsid w:val="004B4087"/>
    <w:rsid w:val="004B40B6"/>
    <w:rsid w:val="004B40E8"/>
    <w:rsid w:val="004B4376"/>
    <w:rsid w:val="004B43CF"/>
    <w:rsid w:val="004B4509"/>
    <w:rsid w:val="004B450A"/>
    <w:rsid w:val="004B4525"/>
    <w:rsid w:val="004B45B1"/>
    <w:rsid w:val="004B45C5"/>
    <w:rsid w:val="004B45E3"/>
    <w:rsid w:val="004B465C"/>
    <w:rsid w:val="004B46A1"/>
    <w:rsid w:val="004B46AB"/>
    <w:rsid w:val="004B477D"/>
    <w:rsid w:val="004B47A1"/>
    <w:rsid w:val="004B47AA"/>
    <w:rsid w:val="004B481A"/>
    <w:rsid w:val="004B483A"/>
    <w:rsid w:val="004B4855"/>
    <w:rsid w:val="004B4869"/>
    <w:rsid w:val="004B4889"/>
    <w:rsid w:val="004B48C9"/>
    <w:rsid w:val="004B4903"/>
    <w:rsid w:val="004B4905"/>
    <w:rsid w:val="004B49B0"/>
    <w:rsid w:val="004B49D0"/>
    <w:rsid w:val="004B4A0A"/>
    <w:rsid w:val="004B4A3A"/>
    <w:rsid w:val="004B4A3E"/>
    <w:rsid w:val="004B4A58"/>
    <w:rsid w:val="004B4AC1"/>
    <w:rsid w:val="004B4AC6"/>
    <w:rsid w:val="004B4B35"/>
    <w:rsid w:val="004B4B76"/>
    <w:rsid w:val="004B4BBC"/>
    <w:rsid w:val="004B4BDD"/>
    <w:rsid w:val="004B4BF5"/>
    <w:rsid w:val="004B4C0D"/>
    <w:rsid w:val="004B4CAF"/>
    <w:rsid w:val="004B4CE9"/>
    <w:rsid w:val="004B4D23"/>
    <w:rsid w:val="004B4D51"/>
    <w:rsid w:val="004B4D6D"/>
    <w:rsid w:val="004B4DAA"/>
    <w:rsid w:val="004B4DD7"/>
    <w:rsid w:val="004B4EC9"/>
    <w:rsid w:val="004B4F30"/>
    <w:rsid w:val="004B4F4E"/>
    <w:rsid w:val="004B4F56"/>
    <w:rsid w:val="004B4F61"/>
    <w:rsid w:val="004B4F7A"/>
    <w:rsid w:val="004B4F98"/>
    <w:rsid w:val="004B4FC9"/>
    <w:rsid w:val="004B4FEB"/>
    <w:rsid w:val="004B4FF4"/>
    <w:rsid w:val="004B502E"/>
    <w:rsid w:val="004B506C"/>
    <w:rsid w:val="004B5088"/>
    <w:rsid w:val="004B50A9"/>
    <w:rsid w:val="004B50AE"/>
    <w:rsid w:val="004B50BC"/>
    <w:rsid w:val="004B5123"/>
    <w:rsid w:val="004B512D"/>
    <w:rsid w:val="004B5175"/>
    <w:rsid w:val="004B51AD"/>
    <w:rsid w:val="004B51EF"/>
    <w:rsid w:val="004B5253"/>
    <w:rsid w:val="004B5277"/>
    <w:rsid w:val="004B543F"/>
    <w:rsid w:val="004B5453"/>
    <w:rsid w:val="004B545B"/>
    <w:rsid w:val="004B5473"/>
    <w:rsid w:val="004B5514"/>
    <w:rsid w:val="004B561A"/>
    <w:rsid w:val="004B56C8"/>
    <w:rsid w:val="004B5773"/>
    <w:rsid w:val="004B57B3"/>
    <w:rsid w:val="004B5842"/>
    <w:rsid w:val="004B5979"/>
    <w:rsid w:val="004B5993"/>
    <w:rsid w:val="004B5A27"/>
    <w:rsid w:val="004B5A65"/>
    <w:rsid w:val="004B5B5E"/>
    <w:rsid w:val="004B5B76"/>
    <w:rsid w:val="004B5B90"/>
    <w:rsid w:val="004B5BCB"/>
    <w:rsid w:val="004B5C15"/>
    <w:rsid w:val="004B5C28"/>
    <w:rsid w:val="004B5C83"/>
    <w:rsid w:val="004B5CEC"/>
    <w:rsid w:val="004B5D18"/>
    <w:rsid w:val="004B5D34"/>
    <w:rsid w:val="004B5D67"/>
    <w:rsid w:val="004B5D9D"/>
    <w:rsid w:val="004B5DC7"/>
    <w:rsid w:val="004B5DE9"/>
    <w:rsid w:val="004B5E69"/>
    <w:rsid w:val="004B5F2E"/>
    <w:rsid w:val="004B6022"/>
    <w:rsid w:val="004B6076"/>
    <w:rsid w:val="004B6084"/>
    <w:rsid w:val="004B609E"/>
    <w:rsid w:val="004B6114"/>
    <w:rsid w:val="004B61A0"/>
    <w:rsid w:val="004B6206"/>
    <w:rsid w:val="004B6210"/>
    <w:rsid w:val="004B622E"/>
    <w:rsid w:val="004B623C"/>
    <w:rsid w:val="004B6274"/>
    <w:rsid w:val="004B6297"/>
    <w:rsid w:val="004B62C5"/>
    <w:rsid w:val="004B630B"/>
    <w:rsid w:val="004B638D"/>
    <w:rsid w:val="004B6472"/>
    <w:rsid w:val="004B64A3"/>
    <w:rsid w:val="004B64D6"/>
    <w:rsid w:val="004B653A"/>
    <w:rsid w:val="004B6540"/>
    <w:rsid w:val="004B65AF"/>
    <w:rsid w:val="004B6619"/>
    <w:rsid w:val="004B66B5"/>
    <w:rsid w:val="004B66CC"/>
    <w:rsid w:val="004B67D6"/>
    <w:rsid w:val="004B67E2"/>
    <w:rsid w:val="004B681F"/>
    <w:rsid w:val="004B6878"/>
    <w:rsid w:val="004B688D"/>
    <w:rsid w:val="004B692A"/>
    <w:rsid w:val="004B6932"/>
    <w:rsid w:val="004B6955"/>
    <w:rsid w:val="004B696A"/>
    <w:rsid w:val="004B69C8"/>
    <w:rsid w:val="004B69CB"/>
    <w:rsid w:val="004B69D4"/>
    <w:rsid w:val="004B69FA"/>
    <w:rsid w:val="004B6A01"/>
    <w:rsid w:val="004B6AA4"/>
    <w:rsid w:val="004B6ADB"/>
    <w:rsid w:val="004B6AF3"/>
    <w:rsid w:val="004B6B0C"/>
    <w:rsid w:val="004B6B4C"/>
    <w:rsid w:val="004B6C89"/>
    <w:rsid w:val="004B6CD4"/>
    <w:rsid w:val="004B6DDD"/>
    <w:rsid w:val="004B6E4E"/>
    <w:rsid w:val="004B6E67"/>
    <w:rsid w:val="004B6E99"/>
    <w:rsid w:val="004B6EE9"/>
    <w:rsid w:val="004B6F65"/>
    <w:rsid w:val="004B6FE9"/>
    <w:rsid w:val="004B7012"/>
    <w:rsid w:val="004B705A"/>
    <w:rsid w:val="004B7130"/>
    <w:rsid w:val="004B722F"/>
    <w:rsid w:val="004B7234"/>
    <w:rsid w:val="004B7236"/>
    <w:rsid w:val="004B7354"/>
    <w:rsid w:val="004B7371"/>
    <w:rsid w:val="004B738C"/>
    <w:rsid w:val="004B7393"/>
    <w:rsid w:val="004B7399"/>
    <w:rsid w:val="004B73A7"/>
    <w:rsid w:val="004B73C0"/>
    <w:rsid w:val="004B73DD"/>
    <w:rsid w:val="004B742A"/>
    <w:rsid w:val="004B744F"/>
    <w:rsid w:val="004B7470"/>
    <w:rsid w:val="004B7488"/>
    <w:rsid w:val="004B74C9"/>
    <w:rsid w:val="004B74E6"/>
    <w:rsid w:val="004B74F9"/>
    <w:rsid w:val="004B7556"/>
    <w:rsid w:val="004B75A6"/>
    <w:rsid w:val="004B7624"/>
    <w:rsid w:val="004B768E"/>
    <w:rsid w:val="004B76CC"/>
    <w:rsid w:val="004B77C9"/>
    <w:rsid w:val="004B783D"/>
    <w:rsid w:val="004B786E"/>
    <w:rsid w:val="004B7889"/>
    <w:rsid w:val="004B7966"/>
    <w:rsid w:val="004B79A7"/>
    <w:rsid w:val="004B79AF"/>
    <w:rsid w:val="004B79B5"/>
    <w:rsid w:val="004B79FD"/>
    <w:rsid w:val="004B7A59"/>
    <w:rsid w:val="004B7ABA"/>
    <w:rsid w:val="004B7AD2"/>
    <w:rsid w:val="004B7AD3"/>
    <w:rsid w:val="004B7B15"/>
    <w:rsid w:val="004B7B95"/>
    <w:rsid w:val="004B7B99"/>
    <w:rsid w:val="004B7C2D"/>
    <w:rsid w:val="004B7CC7"/>
    <w:rsid w:val="004B7D08"/>
    <w:rsid w:val="004B7D0C"/>
    <w:rsid w:val="004B7D39"/>
    <w:rsid w:val="004B7D3E"/>
    <w:rsid w:val="004B7E18"/>
    <w:rsid w:val="004B7E2F"/>
    <w:rsid w:val="004B7E5D"/>
    <w:rsid w:val="004B7EE3"/>
    <w:rsid w:val="004B7FA0"/>
    <w:rsid w:val="004B7FC5"/>
    <w:rsid w:val="004C0016"/>
    <w:rsid w:val="004C0032"/>
    <w:rsid w:val="004C0038"/>
    <w:rsid w:val="004C004C"/>
    <w:rsid w:val="004C006B"/>
    <w:rsid w:val="004C0076"/>
    <w:rsid w:val="004C0078"/>
    <w:rsid w:val="004C009C"/>
    <w:rsid w:val="004C012E"/>
    <w:rsid w:val="004C01E8"/>
    <w:rsid w:val="004C01EB"/>
    <w:rsid w:val="004C01F4"/>
    <w:rsid w:val="004C020E"/>
    <w:rsid w:val="004C0231"/>
    <w:rsid w:val="004C0259"/>
    <w:rsid w:val="004C0267"/>
    <w:rsid w:val="004C02D3"/>
    <w:rsid w:val="004C02E4"/>
    <w:rsid w:val="004C0403"/>
    <w:rsid w:val="004C047D"/>
    <w:rsid w:val="004C04E4"/>
    <w:rsid w:val="004C05CA"/>
    <w:rsid w:val="004C05CC"/>
    <w:rsid w:val="004C0616"/>
    <w:rsid w:val="004C062F"/>
    <w:rsid w:val="004C06F5"/>
    <w:rsid w:val="004C0755"/>
    <w:rsid w:val="004C0775"/>
    <w:rsid w:val="004C0777"/>
    <w:rsid w:val="004C07D4"/>
    <w:rsid w:val="004C07DF"/>
    <w:rsid w:val="004C0814"/>
    <w:rsid w:val="004C0844"/>
    <w:rsid w:val="004C0852"/>
    <w:rsid w:val="004C0854"/>
    <w:rsid w:val="004C08B0"/>
    <w:rsid w:val="004C0AB5"/>
    <w:rsid w:val="004C0C8E"/>
    <w:rsid w:val="004C0D37"/>
    <w:rsid w:val="004C0D86"/>
    <w:rsid w:val="004C0DE1"/>
    <w:rsid w:val="004C0E4E"/>
    <w:rsid w:val="004C0F13"/>
    <w:rsid w:val="004C0F4C"/>
    <w:rsid w:val="004C0F8F"/>
    <w:rsid w:val="004C0FFC"/>
    <w:rsid w:val="004C1014"/>
    <w:rsid w:val="004C1077"/>
    <w:rsid w:val="004C109E"/>
    <w:rsid w:val="004C11B4"/>
    <w:rsid w:val="004C11D9"/>
    <w:rsid w:val="004C1236"/>
    <w:rsid w:val="004C123F"/>
    <w:rsid w:val="004C12D4"/>
    <w:rsid w:val="004C130D"/>
    <w:rsid w:val="004C1360"/>
    <w:rsid w:val="004C1392"/>
    <w:rsid w:val="004C13D0"/>
    <w:rsid w:val="004C1439"/>
    <w:rsid w:val="004C1485"/>
    <w:rsid w:val="004C14C5"/>
    <w:rsid w:val="004C14CA"/>
    <w:rsid w:val="004C14E6"/>
    <w:rsid w:val="004C1525"/>
    <w:rsid w:val="004C1529"/>
    <w:rsid w:val="004C15D8"/>
    <w:rsid w:val="004C15DD"/>
    <w:rsid w:val="004C163A"/>
    <w:rsid w:val="004C1703"/>
    <w:rsid w:val="004C173C"/>
    <w:rsid w:val="004C1771"/>
    <w:rsid w:val="004C17DC"/>
    <w:rsid w:val="004C1835"/>
    <w:rsid w:val="004C183A"/>
    <w:rsid w:val="004C1892"/>
    <w:rsid w:val="004C189A"/>
    <w:rsid w:val="004C1938"/>
    <w:rsid w:val="004C1981"/>
    <w:rsid w:val="004C1A39"/>
    <w:rsid w:val="004C1A40"/>
    <w:rsid w:val="004C1A95"/>
    <w:rsid w:val="004C1AAF"/>
    <w:rsid w:val="004C1B6A"/>
    <w:rsid w:val="004C1BBC"/>
    <w:rsid w:val="004C1BE2"/>
    <w:rsid w:val="004C1C3B"/>
    <w:rsid w:val="004C1C53"/>
    <w:rsid w:val="004C1D41"/>
    <w:rsid w:val="004C1DB4"/>
    <w:rsid w:val="004C1E02"/>
    <w:rsid w:val="004C1E22"/>
    <w:rsid w:val="004C1E84"/>
    <w:rsid w:val="004C1EBF"/>
    <w:rsid w:val="004C1ED2"/>
    <w:rsid w:val="004C1F03"/>
    <w:rsid w:val="004C1F28"/>
    <w:rsid w:val="004C1FC2"/>
    <w:rsid w:val="004C1FD7"/>
    <w:rsid w:val="004C1FFD"/>
    <w:rsid w:val="004C2069"/>
    <w:rsid w:val="004C2072"/>
    <w:rsid w:val="004C2103"/>
    <w:rsid w:val="004C2136"/>
    <w:rsid w:val="004C222E"/>
    <w:rsid w:val="004C22AA"/>
    <w:rsid w:val="004C22C7"/>
    <w:rsid w:val="004C22FE"/>
    <w:rsid w:val="004C2371"/>
    <w:rsid w:val="004C2372"/>
    <w:rsid w:val="004C2376"/>
    <w:rsid w:val="004C23BA"/>
    <w:rsid w:val="004C256C"/>
    <w:rsid w:val="004C25DC"/>
    <w:rsid w:val="004C25F4"/>
    <w:rsid w:val="004C2610"/>
    <w:rsid w:val="004C266B"/>
    <w:rsid w:val="004C266C"/>
    <w:rsid w:val="004C2732"/>
    <w:rsid w:val="004C27B6"/>
    <w:rsid w:val="004C2841"/>
    <w:rsid w:val="004C28F1"/>
    <w:rsid w:val="004C28F7"/>
    <w:rsid w:val="004C2900"/>
    <w:rsid w:val="004C290C"/>
    <w:rsid w:val="004C2932"/>
    <w:rsid w:val="004C2959"/>
    <w:rsid w:val="004C297A"/>
    <w:rsid w:val="004C2998"/>
    <w:rsid w:val="004C2A0F"/>
    <w:rsid w:val="004C2A3D"/>
    <w:rsid w:val="004C2A98"/>
    <w:rsid w:val="004C2AA5"/>
    <w:rsid w:val="004C2AEA"/>
    <w:rsid w:val="004C2B11"/>
    <w:rsid w:val="004C2B12"/>
    <w:rsid w:val="004C2BCE"/>
    <w:rsid w:val="004C2BDA"/>
    <w:rsid w:val="004C2BEA"/>
    <w:rsid w:val="004C2C8B"/>
    <w:rsid w:val="004C2CD4"/>
    <w:rsid w:val="004C2D1D"/>
    <w:rsid w:val="004C2DEF"/>
    <w:rsid w:val="004C2E82"/>
    <w:rsid w:val="004C2EBD"/>
    <w:rsid w:val="004C2EEF"/>
    <w:rsid w:val="004C2F6A"/>
    <w:rsid w:val="004C2FA9"/>
    <w:rsid w:val="004C2FC2"/>
    <w:rsid w:val="004C306B"/>
    <w:rsid w:val="004C3098"/>
    <w:rsid w:val="004C30F0"/>
    <w:rsid w:val="004C3114"/>
    <w:rsid w:val="004C3145"/>
    <w:rsid w:val="004C315B"/>
    <w:rsid w:val="004C315D"/>
    <w:rsid w:val="004C3162"/>
    <w:rsid w:val="004C3163"/>
    <w:rsid w:val="004C31EA"/>
    <w:rsid w:val="004C3258"/>
    <w:rsid w:val="004C327B"/>
    <w:rsid w:val="004C32B4"/>
    <w:rsid w:val="004C330D"/>
    <w:rsid w:val="004C332B"/>
    <w:rsid w:val="004C3344"/>
    <w:rsid w:val="004C335F"/>
    <w:rsid w:val="004C3381"/>
    <w:rsid w:val="004C33B3"/>
    <w:rsid w:val="004C33F8"/>
    <w:rsid w:val="004C3417"/>
    <w:rsid w:val="004C353E"/>
    <w:rsid w:val="004C3580"/>
    <w:rsid w:val="004C358C"/>
    <w:rsid w:val="004C359F"/>
    <w:rsid w:val="004C35AA"/>
    <w:rsid w:val="004C380E"/>
    <w:rsid w:val="004C383E"/>
    <w:rsid w:val="004C3854"/>
    <w:rsid w:val="004C3863"/>
    <w:rsid w:val="004C38D2"/>
    <w:rsid w:val="004C38FF"/>
    <w:rsid w:val="004C3949"/>
    <w:rsid w:val="004C395B"/>
    <w:rsid w:val="004C3966"/>
    <w:rsid w:val="004C3974"/>
    <w:rsid w:val="004C398E"/>
    <w:rsid w:val="004C39BF"/>
    <w:rsid w:val="004C3A0A"/>
    <w:rsid w:val="004C3A38"/>
    <w:rsid w:val="004C3A62"/>
    <w:rsid w:val="004C3A8C"/>
    <w:rsid w:val="004C3AC3"/>
    <w:rsid w:val="004C3ADF"/>
    <w:rsid w:val="004C3AF4"/>
    <w:rsid w:val="004C3B1E"/>
    <w:rsid w:val="004C3B80"/>
    <w:rsid w:val="004C3BC2"/>
    <w:rsid w:val="004C3C0A"/>
    <w:rsid w:val="004C3C5B"/>
    <w:rsid w:val="004C3C7F"/>
    <w:rsid w:val="004C3C81"/>
    <w:rsid w:val="004C3D79"/>
    <w:rsid w:val="004C3D88"/>
    <w:rsid w:val="004C3DDF"/>
    <w:rsid w:val="004C3E23"/>
    <w:rsid w:val="004C3E66"/>
    <w:rsid w:val="004C3E7F"/>
    <w:rsid w:val="004C3E8C"/>
    <w:rsid w:val="004C3EE9"/>
    <w:rsid w:val="004C3F1B"/>
    <w:rsid w:val="004C3FC8"/>
    <w:rsid w:val="004C4040"/>
    <w:rsid w:val="004C408B"/>
    <w:rsid w:val="004C40B4"/>
    <w:rsid w:val="004C40E9"/>
    <w:rsid w:val="004C410F"/>
    <w:rsid w:val="004C4166"/>
    <w:rsid w:val="004C41BD"/>
    <w:rsid w:val="004C41EB"/>
    <w:rsid w:val="004C43D8"/>
    <w:rsid w:val="004C4405"/>
    <w:rsid w:val="004C4559"/>
    <w:rsid w:val="004C4561"/>
    <w:rsid w:val="004C4579"/>
    <w:rsid w:val="004C4596"/>
    <w:rsid w:val="004C45DD"/>
    <w:rsid w:val="004C45F1"/>
    <w:rsid w:val="004C4616"/>
    <w:rsid w:val="004C462F"/>
    <w:rsid w:val="004C463A"/>
    <w:rsid w:val="004C4689"/>
    <w:rsid w:val="004C46D3"/>
    <w:rsid w:val="004C4710"/>
    <w:rsid w:val="004C4722"/>
    <w:rsid w:val="004C474E"/>
    <w:rsid w:val="004C4816"/>
    <w:rsid w:val="004C4848"/>
    <w:rsid w:val="004C4879"/>
    <w:rsid w:val="004C487F"/>
    <w:rsid w:val="004C489B"/>
    <w:rsid w:val="004C49A4"/>
    <w:rsid w:val="004C4A16"/>
    <w:rsid w:val="004C4A6F"/>
    <w:rsid w:val="004C4A89"/>
    <w:rsid w:val="004C4AC1"/>
    <w:rsid w:val="004C4AE4"/>
    <w:rsid w:val="004C4B8C"/>
    <w:rsid w:val="004C4BA5"/>
    <w:rsid w:val="004C4C05"/>
    <w:rsid w:val="004C4C14"/>
    <w:rsid w:val="004C4CD9"/>
    <w:rsid w:val="004C4CE2"/>
    <w:rsid w:val="004C4D4A"/>
    <w:rsid w:val="004C4D73"/>
    <w:rsid w:val="004C4D7B"/>
    <w:rsid w:val="004C4DDC"/>
    <w:rsid w:val="004C4E05"/>
    <w:rsid w:val="004C4E42"/>
    <w:rsid w:val="004C4EAA"/>
    <w:rsid w:val="004C4EFC"/>
    <w:rsid w:val="004C4F4E"/>
    <w:rsid w:val="004C4F51"/>
    <w:rsid w:val="004C4FEF"/>
    <w:rsid w:val="004C504A"/>
    <w:rsid w:val="004C5069"/>
    <w:rsid w:val="004C506A"/>
    <w:rsid w:val="004C5072"/>
    <w:rsid w:val="004C5109"/>
    <w:rsid w:val="004C5172"/>
    <w:rsid w:val="004C5218"/>
    <w:rsid w:val="004C52DE"/>
    <w:rsid w:val="004C539E"/>
    <w:rsid w:val="004C53EE"/>
    <w:rsid w:val="004C5499"/>
    <w:rsid w:val="004C54B1"/>
    <w:rsid w:val="004C54B8"/>
    <w:rsid w:val="004C54E8"/>
    <w:rsid w:val="004C554D"/>
    <w:rsid w:val="004C5565"/>
    <w:rsid w:val="004C5621"/>
    <w:rsid w:val="004C56AD"/>
    <w:rsid w:val="004C56F9"/>
    <w:rsid w:val="004C56FA"/>
    <w:rsid w:val="004C5768"/>
    <w:rsid w:val="004C576F"/>
    <w:rsid w:val="004C58DC"/>
    <w:rsid w:val="004C5969"/>
    <w:rsid w:val="004C5991"/>
    <w:rsid w:val="004C59A7"/>
    <w:rsid w:val="004C5ADF"/>
    <w:rsid w:val="004C5B20"/>
    <w:rsid w:val="004C5BFB"/>
    <w:rsid w:val="004C5C29"/>
    <w:rsid w:val="004C5CBF"/>
    <w:rsid w:val="004C5CF6"/>
    <w:rsid w:val="004C5D16"/>
    <w:rsid w:val="004C5D98"/>
    <w:rsid w:val="004C5EAE"/>
    <w:rsid w:val="004C5EDF"/>
    <w:rsid w:val="004C5F2B"/>
    <w:rsid w:val="004C6042"/>
    <w:rsid w:val="004C6048"/>
    <w:rsid w:val="004C606E"/>
    <w:rsid w:val="004C6165"/>
    <w:rsid w:val="004C61B0"/>
    <w:rsid w:val="004C626B"/>
    <w:rsid w:val="004C62C5"/>
    <w:rsid w:val="004C6300"/>
    <w:rsid w:val="004C63C9"/>
    <w:rsid w:val="004C63F8"/>
    <w:rsid w:val="004C6401"/>
    <w:rsid w:val="004C647E"/>
    <w:rsid w:val="004C6492"/>
    <w:rsid w:val="004C64BB"/>
    <w:rsid w:val="004C6548"/>
    <w:rsid w:val="004C658A"/>
    <w:rsid w:val="004C65A2"/>
    <w:rsid w:val="004C65E5"/>
    <w:rsid w:val="004C6609"/>
    <w:rsid w:val="004C6663"/>
    <w:rsid w:val="004C6674"/>
    <w:rsid w:val="004C66E7"/>
    <w:rsid w:val="004C6704"/>
    <w:rsid w:val="004C6759"/>
    <w:rsid w:val="004C6773"/>
    <w:rsid w:val="004C6949"/>
    <w:rsid w:val="004C695F"/>
    <w:rsid w:val="004C6ACB"/>
    <w:rsid w:val="004C6AFB"/>
    <w:rsid w:val="004C6B2D"/>
    <w:rsid w:val="004C6B87"/>
    <w:rsid w:val="004C6BE2"/>
    <w:rsid w:val="004C6C37"/>
    <w:rsid w:val="004C6C39"/>
    <w:rsid w:val="004C6C3B"/>
    <w:rsid w:val="004C6C68"/>
    <w:rsid w:val="004C6C9A"/>
    <w:rsid w:val="004C6CC8"/>
    <w:rsid w:val="004C6CCC"/>
    <w:rsid w:val="004C6D2C"/>
    <w:rsid w:val="004C6E1B"/>
    <w:rsid w:val="004C6E3C"/>
    <w:rsid w:val="004C6E55"/>
    <w:rsid w:val="004C6E8B"/>
    <w:rsid w:val="004C6EFA"/>
    <w:rsid w:val="004C6F10"/>
    <w:rsid w:val="004C6F16"/>
    <w:rsid w:val="004C6F38"/>
    <w:rsid w:val="004C6F40"/>
    <w:rsid w:val="004C6F5C"/>
    <w:rsid w:val="004C6FEF"/>
    <w:rsid w:val="004C6FF4"/>
    <w:rsid w:val="004C7011"/>
    <w:rsid w:val="004C7041"/>
    <w:rsid w:val="004C70BE"/>
    <w:rsid w:val="004C70FA"/>
    <w:rsid w:val="004C726F"/>
    <w:rsid w:val="004C72BB"/>
    <w:rsid w:val="004C7306"/>
    <w:rsid w:val="004C730C"/>
    <w:rsid w:val="004C739E"/>
    <w:rsid w:val="004C73AF"/>
    <w:rsid w:val="004C7461"/>
    <w:rsid w:val="004C7482"/>
    <w:rsid w:val="004C74C5"/>
    <w:rsid w:val="004C74EF"/>
    <w:rsid w:val="004C754E"/>
    <w:rsid w:val="004C75C9"/>
    <w:rsid w:val="004C76DA"/>
    <w:rsid w:val="004C76E9"/>
    <w:rsid w:val="004C7725"/>
    <w:rsid w:val="004C7757"/>
    <w:rsid w:val="004C7759"/>
    <w:rsid w:val="004C7764"/>
    <w:rsid w:val="004C77F9"/>
    <w:rsid w:val="004C7852"/>
    <w:rsid w:val="004C7966"/>
    <w:rsid w:val="004C79A4"/>
    <w:rsid w:val="004C7A3D"/>
    <w:rsid w:val="004C7A60"/>
    <w:rsid w:val="004C7B88"/>
    <w:rsid w:val="004C7C26"/>
    <w:rsid w:val="004C7C45"/>
    <w:rsid w:val="004C7C4D"/>
    <w:rsid w:val="004C7C65"/>
    <w:rsid w:val="004C7C70"/>
    <w:rsid w:val="004C7C89"/>
    <w:rsid w:val="004C7CA5"/>
    <w:rsid w:val="004C7CD1"/>
    <w:rsid w:val="004C7CF4"/>
    <w:rsid w:val="004C7D08"/>
    <w:rsid w:val="004C7D7A"/>
    <w:rsid w:val="004C7D85"/>
    <w:rsid w:val="004C7DBD"/>
    <w:rsid w:val="004C7DEB"/>
    <w:rsid w:val="004C7E1B"/>
    <w:rsid w:val="004C7E47"/>
    <w:rsid w:val="004C7F28"/>
    <w:rsid w:val="004C7F53"/>
    <w:rsid w:val="004D0012"/>
    <w:rsid w:val="004D00CE"/>
    <w:rsid w:val="004D00DC"/>
    <w:rsid w:val="004D0143"/>
    <w:rsid w:val="004D0175"/>
    <w:rsid w:val="004D0247"/>
    <w:rsid w:val="004D02DB"/>
    <w:rsid w:val="004D0391"/>
    <w:rsid w:val="004D03A0"/>
    <w:rsid w:val="004D0472"/>
    <w:rsid w:val="004D055A"/>
    <w:rsid w:val="004D056F"/>
    <w:rsid w:val="004D05CD"/>
    <w:rsid w:val="004D06A5"/>
    <w:rsid w:val="004D06D8"/>
    <w:rsid w:val="004D079F"/>
    <w:rsid w:val="004D0801"/>
    <w:rsid w:val="004D080A"/>
    <w:rsid w:val="004D090B"/>
    <w:rsid w:val="004D091C"/>
    <w:rsid w:val="004D09EE"/>
    <w:rsid w:val="004D0A30"/>
    <w:rsid w:val="004D0A53"/>
    <w:rsid w:val="004D0B7A"/>
    <w:rsid w:val="004D0B83"/>
    <w:rsid w:val="004D0BB8"/>
    <w:rsid w:val="004D0C2A"/>
    <w:rsid w:val="004D0C2D"/>
    <w:rsid w:val="004D0C67"/>
    <w:rsid w:val="004D0CC4"/>
    <w:rsid w:val="004D0CD9"/>
    <w:rsid w:val="004D0CEA"/>
    <w:rsid w:val="004D0D95"/>
    <w:rsid w:val="004D0DCD"/>
    <w:rsid w:val="004D0E31"/>
    <w:rsid w:val="004D0EAB"/>
    <w:rsid w:val="004D0EB6"/>
    <w:rsid w:val="004D0EC8"/>
    <w:rsid w:val="004D0ED0"/>
    <w:rsid w:val="004D0F21"/>
    <w:rsid w:val="004D0F86"/>
    <w:rsid w:val="004D0F8D"/>
    <w:rsid w:val="004D0FB0"/>
    <w:rsid w:val="004D1011"/>
    <w:rsid w:val="004D10A8"/>
    <w:rsid w:val="004D10B9"/>
    <w:rsid w:val="004D10DF"/>
    <w:rsid w:val="004D114D"/>
    <w:rsid w:val="004D116F"/>
    <w:rsid w:val="004D1177"/>
    <w:rsid w:val="004D118B"/>
    <w:rsid w:val="004D11A3"/>
    <w:rsid w:val="004D122A"/>
    <w:rsid w:val="004D1236"/>
    <w:rsid w:val="004D1259"/>
    <w:rsid w:val="004D1276"/>
    <w:rsid w:val="004D1278"/>
    <w:rsid w:val="004D12A3"/>
    <w:rsid w:val="004D1377"/>
    <w:rsid w:val="004D138F"/>
    <w:rsid w:val="004D13AF"/>
    <w:rsid w:val="004D13C7"/>
    <w:rsid w:val="004D13E6"/>
    <w:rsid w:val="004D140A"/>
    <w:rsid w:val="004D143E"/>
    <w:rsid w:val="004D1443"/>
    <w:rsid w:val="004D1477"/>
    <w:rsid w:val="004D14B2"/>
    <w:rsid w:val="004D150A"/>
    <w:rsid w:val="004D152A"/>
    <w:rsid w:val="004D1586"/>
    <w:rsid w:val="004D15C5"/>
    <w:rsid w:val="004D15D7"/>
    <w:rsid w:val="004D1645"/>
    <w:rsid w:val="004D164B"/>
    <w:rsid w:val="004D1672"/>
    <w:rsid w:val="004D1678"/>
    <w:rsid w:val="004D168D"/>
    <w:rsid w:val="004D179D"/>
    <w:rsid w:val="004D181E"/>
    <w:rsid w:val="004D185F"/>
    <w:rsid w:val="004D18EB"/>
    <w:rsid w:val="004D18FC"/>
    <w:rsid w:val="004D1966"/>
    <w:rsid w:val="004D1970"/>
    <w:rsid w:val="004D197C"/>
    <w:rsid w:val="004D1A16"/>
    <w:rsid w:val="004D1A3F"/>
    <w:rsid w:val="004D1A51"/>
    <w:rsid w:val="004D1A85"/>
    <w:rsid w:val="004D1AE5"/>
    <w:rsid w:val="004D1B09"/>
    <w:rsid w:val="004D1B58"/>
    <w:rsid w:val="004D1B73"/>
    <w:rsid w:val="004D1BF0"/>
    <w:rsid w:val="004D1C05"/>
    <w:rsid w:val="004D1C7D"/>
    <w:rsid w:val="004D1CAE"/>
    <w:rsid w:val="004D1CCB"/>
    <w:rsid w:val="004D1D7F"/>
    <w:rsid w:val="004D1E0C"/>
    <w:rsid w:val="004D1E15"/>
    <w:rsid w:val="004D1E4C"/>
    <w:rsid w:val="004D1E87"/>
    <w:rsid w:val="004D1F58"/>
    <w:rsid w:val="004D209C"/>
    <w:rsid w:val="004D20A4"/>
    <w:rsid w:val="004D20DE"/>
    <w:rsid w:val="004D20EC"/>
    <w:rsid w:val="004D210A"/>
    <w:rsid w:val="004D2123"/>
    <w:rsid w:val="004D21BA"/>
    <w:rsid w:val="004D2202"/>
    <w:rsid w:val="004D22C2"/>
    <w:rsid w:val="004D22E3"/>
    <w:rsid w:val="004D234A"/>
    <w:rsid w:val="004D23A8"/>
    <w:rsid w:val="004D243F"/>
    <w:rsid w:val="004D2451"/>
    <w:rsid w:val="004D247C"/>
    <w:rsid w:val="004D25AE"/>
    <w:rsid w:val="004D25EF"/>
    <w:rsid w:val="004D2661"/>
    <w:rsid w:val="004D2682"/>
    <w:rsid w:val="004D26DF"/>
    <w:rsid w:val="004D2704"/>
    <w:rsid w:val="004D2789"/>
    <w:rsid w:val="004D279D"/>
    <w:rsid w:val="004D27E9"/>
    <w:rsid w:val="004D2859"/>
    <w:rsid w:val="004D288D"/>
    <w:rsid w:val="004D28DE"/>
    <w:rsid w:val="004D2902"/>
    <w:rsid w:val="004D2916"/>
    <w:rsid w:val="004D297E"/>
    <w:rsid w:val="004D29D9"/>
    <w:rsid w:val="004D2A7F"/>
    <w:rsid w:val="004D2ACA"/>
    <w:rsid w:val="004D2ADD"/>
    <w:rsid w:val="004D2B92"/>
    <w:rsid w:val="004D2BD4"/>
    <w:rsid w:val="004D2BD6"/>
    <w:rsid w:val="004D2C4E"/>
    <w:rsid w:val="004D2DB5"/>
    <w:rsid w:val="004D2E96"/>
    <w:rsid w:val="004D2EE6"/>
    <w:rsid w:val="004D2F8E"/>
    <w:rsid w:val="004D3049"/>
    <w:rsid w:val="004D3057"/>
    <w:rsid w:val="004D305D"/>
    <w:rsid w:val="004D30F9"/>
    <w:rsid w:val="004D3139"/>
    <w:rsid w:val="004D3141"/>
    <w:rsid w:val="004D3154"/>
    <w:rsid w:val="004D31C4"/>
    <w:rsid w:val="004D3229"/>
    <w:rsid w:val="004D3238"/>
    <w:rsid w:val="004D3268"/>
    <w:rsid w:val="004D32C2"/>
    <w:rsid w:val="004D3386"/>
    <w:rsid w:val="004D33D8"/>
    <w:rsid w:val="004D33E5"/>
    <w:rsid w:val="004D3403"/>
    <w:rsid w:val="004D3473"/>
    <w:rsid w:val="004D34B9"/>
    <w:rsid w:val="004D35A3"/>
    <w:rsid w:val="004D363E"/>
    <w:rsid w:val="004D36FA"/>
    <w:rsid w:val="004D3709"/>
    <w:rsid w:val="004D3728"/>
    <w:rsid w:val="004D373C"/>
    <w:rsid w:val="004D3769"/>
    <w:rsid w:val="004D3848"/>
    <w:rsid w:val="004D3895"/>
    <w:rsid w:val="004D38A5"/>
    <w:rsid w:val="004D38FC"/>
    <w:rsid w:val="004D3921"/>
    <w:rsid w:val="004D3943"/>
    <w:rsid w:val="004D3959"/>
    <w:rsid w:val="004D3A41"/>
    <w:rsid w:val="004D3A7F"/>
    <w:rsid w:val="004D3AF0"/>
    <w:rsid w:val="004D3B81"/>
    <w:rsid w:val="004D3BB6"/>
    <w:rsid w:val="004D3BBC"/>
    <w:rsid w:val="004D3BDB"/>
    <w:rsid w:val="004D3C1B"/>
    <w:rsid w:val="004D3C36"/>
    <w:rsid w:val="004D3C56"/>
    <w:rsid w:val="004D3C5C"/>
    <w:rsid w:val="004D3C6C"/>
    <w:rsid w:val="004D3CC4"/>
    <w:rsid w:val="004D3D00"/>
    <w:rsid w:val="004D3D21"/>
    <w:rsid w:val="004D3D3D"/>
    <w:rsid w:val="004D3DBB"/>
    <w:rsid w:val="004D3E30"/>
    <w:rsid w:val="004D3E3F"/>
    <w:rsid w:val="004D3ED4"/>
    <w:rsid w:val="004D3ED6"/>
    <w:rsid w:val="004D3F26"/>
    <w:rsid w:val="004D3F35"/>
    <w:rsid w:val="004D3F71"/>
    <w:rsid w:val="004D3F84"/>
    <w:rsid w:val="004D3FA4"/>
    <w:rsid w:val="004D3FE4"/>
    <w:rsid w:val="004D3FF2"/>
    <w:rsid w:val="004D403F"/>
    <w:rsid w:val="004D405F"/>
    <w:rsid w:val="004D4076"/>
    <w:rsid w:val="004D409C"/>
    <w:rsid w:val="004D40CF"/>
    <w:rsid w:val="004D4114"/>
    <w:rsid w:val="004D41EF"/>
    <w:rsid w:val="004D4237"/>
    <w:rsid w:val="004D4240"/>
    <w:rsid w:val="004D4249"/>
    <w:rsid w:val="004D42C2"/>
    <w:rsid w:val="004D42E5"/>
    <w:rsid w:val="004D43B1"/>
    <w:rsid w:val="004D43C8"/>
    <w:rsid w:val="004D43DB"/>
    <w:rsid w:val="004D43E2"/>
    <w:rsid w:val="004D4404"/>
    <w:rsid w:val="004D445C"/>
    <w:rsid w:val="004D4484"/>
    <w:rsid w:val="004D4495"/>
    <w:rsid w:val="004D453A"/>
    <w:rsid w:val="004D4558"/>
    <w:rsid w:val="004D4570"/>
    <w:rsid w:val="004D45DA"/>
    <w:rsid w:val="004D460F"/>
    <w:rsid w:val="004D4786"/>
    <w:rsid w:val="004D479F"/>
    <w:rsid w:val="004D47B7"/>
    <w:rsid w:val="004D47CF"/>
    <w:rsid w:val="004D4918"/>
    <w:rsid w:val="004D4945"/>
    <w:rsid w:val="004D4977"/>
    <w:rsid w:val="004D4A70"/>
    <w:rsid w:val="004D4A93"/>
    <w:rsid w:val="004D4B01"/>
    <w:rsid w:val="004D4B1E"/>
    <w:rsid w:val="004D4B20"/>
    <w:rsid w:val="004D4B65"/>
    <w:rsid w:val="004D4B73"/>
    <w:rsid w:val="004D4C11"/>
    <w:rsid w:val="004D4C3C"/>
    <w:rsid w:val="004D4C6F"/>
    <w:rsid w:val="004D4C85"/>
    <w:rsid w:val="004D4CBC"/>
    <w:rsid w:val="004D4CC9"/>
    <w:rsid w:val="004D4E63"/>
    <w:rsid w:val="004D4E6C"/>
    <w:rsid w:val="004D4E89"/>
    <w:rsid w:val="004D4E8B"/>
    <w:rsid w:val="004D4F0C"/>
    <w:rsid w:val="004D4F24"/>
    <w:rsid w:val="004D4F27"/>
    <w:rsid w:val="004D4F49"/>
    <w:rsid w:val="004D506B"/>
    <w:rsid w:val="004D508E"/>
    <w:rsid w:val="004D50A4"/>
    <w:rsid w:val="004D50CC"/>
    <w:rsid w:val="004D510F"/>
    <w:rsid w:val="004D516F"/>
    <w:rsid w:val="004D518A"/>
    <w:rsid w:val="004D5204"/>
    <w:rsid w:val="004D52DA"/>
    <w:rsid w:val="004D52FB"/>
    <w:rsid w:val="004D5308"/>
    <w:rsid w:val="004D53E1"/>
    <w:rsid w:val="004D5459"/>
    <w:rsid w:val="004D55DF"/>
    <w:rsid w:val="004D55F6"/>
    <w:rsid w:val="004D56B6"/>
    <w:rsid w:val="004D56C1"/>
    <w:rsid w:val="004D56C2"/>
    <w:rsid w:val="004D56F6"/>
    <w:rsid w:val="004D5785"/>
    <w:rsid w:val="004D578C"/>
    <w:rsid w:val="004D57E6"/>
    <w:rsid w:val="004D5833"/>
    <w:rsid w:val="004D5844"/>
    <w:rsid w:val="004D585D"/>
    <w:rsid w:val="004D597E"/>
    <w:rsid w:val="004D59B5"/>
    <w:rsid w:val="004D5A71"/>
    <w:rsid w:val="004D5A8D"/>
    <w:rsid w:val="004D5AAE"/>
    <w:rsid w:val="004D5B43"/>
    <w:rsid w:val="004D5B8F"/>
    <w:rsid w:val="004D5BCC"/>
    <w:rsid w:val="004D5BFE"/>
    <w:rsid w:val="004D5C21"/>
    <w:rsid w:val="004D5C6A"/>
    <w:rsid w:val="004D5CA5"/>
    <w:rsid w:val="004D5CE8"/>
    <w:rsid w:val="004D5CF6"/>
    <w:rsid w:val="004D5D2C"/>
    <w:rsid w:val="004D5DD1"/>
    <w:rsid w:val="004D5DD3"/>
    <w:rsid w:val="004D5DFC"/>
    <w:rsid w:val="004D5E3A"/>
    <w:rsid w:val="004D5EE1"/>
    <w:rsid w:val="004D5F56"/>
    <w:rsid w:val="004D5F9D"/>
    <w:rsid w:val="004D5FC9"/>
    <w:rsid w:val="004D602D"/>
    <w:rsid w:val="004D6044"/>
    <w:rsid w:val="004D6051"/>
    <w:rsid w:val="004D6063"/>
    <w:rsid w:val="004D6133"/>
    <w:rsid w:val="004D6196"/>
    <w:rsid w:val="004D61A7"/>
    <w:rsid w:val="004D61C4"/>
    <w:rsid w:val="004D61C8"/>
    <w:rsid w:val="004D6237"/>
    <w:rsid w:val="004D6256"/>
    <w:rsid w:val="004D629A"/>
    <w:rsid w:val="004D6331"/>
    <w:rsid w:val="004D6337"/>
    <w:rsid w:val="004D6370"/>
    <w:rsid w:val="004D6397"/>
    <w:rsid w:val="004D6441"/>
    <w:rsid w:val="004D6478"/>
    <w:rsid w:val="004D6486"/>
    <w:rsid w:val="004D64FA"/>
    <w:rsid w:val="004D6511"/>
    <w:rsid w:val="004D6566"/>
    <w:rsid w:val="004D65B5"/>
    <w:rsid w:val="004D65C4"/>
    <w:rsid w:val="004D663B"/>
    <w:rsid w:val="004D664A"/>
    <w:rsid w:val="004D669B"/>
    <w:rsid w:val="004D66CC"/>
    <w:rsid w:val="004D66DD"/>
    <w:rsid w:val="004D671D"/>
    <w:rsid w:val="004D6755"/>
    <w:rsid w:val="004D6783"/>
    <w:rsid w:val="004D6794"/>
    <w:rsid w:val="004D67A2"/>
    <w:rsid w:val="004D67C5"/>
    <w:rsid w:val="004D693D"/>
    <w:rsid w:val="004D69A4"/>
    <w:rsid w:val="004D69C6"/>
    <w:rsid w:val="004D6AA5"/>
    <w:rsid w:val="004D6B42"/>
    <w:rsid w:val="004D6B8B"/>
    <w:rsid w:val="004D6BDC"/>
    <w:rsid w:val="004D6C0E"/>
    <w:rsid w:val="004D6C26"/>
    <w:rsid w:val="004D6CE7"/>
    <w:rsid w:val="004D6D74"/>
    <w:rsid w:val="004D6DBB"/>
    <w:rsid w:val="004D6DE5"/>
    <w:rsid w:val="004D6DF1"/>
    <w:rsid w:val="004D6E17"/>
    <w:rsid w:val="004D6E5E"/>
    <w:rsid w:val="004D6E77"/>
    <w:rsid w:val="004D6EDB"/>
    <w:rsid w:val="004D6F5A"/>
    <w:rsid w:val="004D6F81"/>
    <w:rsid w:val="004D6FBE"/>
    <w:rsid w:val="004D704F"/>
    <w:rsid w:val="004D706F"/>
    <w:rsid w:val="004D70F3"/>
    <w:rsid w:val="004D7191"/>
    <w:rsid w:val="004D7232"/>
    <w:rsid w:val="004D72CE"/>
    <w:rsid w:val="004D733E"/>
    <w:rsid w:val="004D7391"/>
    <w:rsid w:val="004D73FF"/>
    <w:rsid w:val="004D746A"/>
    <w:rsid w:val="004D7484"/>
    <w:rsid w:val="004D7496"/>
    <w:rsid w:val="004D7505"/>
    <w:rsid w:val="004D755B"/>
    <w:rsid w:val="004D75EE"/>
    <w:rsid w:val="004D75FB"/>
    <w:rsid w:val="004D7625"/>
    <w:rsid w:val="004D762F"/>
    <w:rsid w:val="004D76CB"/>
    <w:rsid w:val="004D781A"/>
    <w:rsid w:val="004D7856"/>
    <w:rsid w:val="004D78D6"/>
    <w:rsid w:val="004D78F7"/>
    <w:rsid w:val="004D78F9"/>
    <w:rsid w:val="004D7924"/>
    <w:rsid w:val="004D7944"/>
    <w:rsid w:val="004D7A8C"/>
    <w:rsid w:val="004D7B2D"/>
    <w:rsid w:val="004D7B5F"/>
    <w:rsid w:val="004D7BDB"/>
    <w:rsid w:val="004D7BFA"/>
    <w:rsid w:val="004D7C08"/>
    <w:rsid w:val="004D7CAB"/>
    <w:rsid w:val="004D7CCB"/>
    <w:rsid w:val="004D7D5F"/>
    <w:rsid w:val="004D7DFD"/>
    <w:rsid w:val="004D7E44"/>
    <w:rsid w:val="004D7F07"/>
    <w:rsid w:val="004E0015"/>
    <w:rsid w:val="004E002D"/>
    <w:rsid w:val="004E00E1"/>
    <w:rsid w:val="004E0120"/>
    <w:rsid w:val="004E0125"/>
    <w:rsid w:val="004E0183"/>
    <w:rsid w:val="004E01AF"/>
    <w:rsid w:val="004E01BB"/>
    <w:rsid w:val="004E0214"/>
    <w:rsid w:val="004E022F"/>
    <w:rsid w:val="004E02A5"/>
    <w:rsid w:val="004E0337"/>
    <w:rsid w:val="004E03FA"/>
    <w:rsid w:val="004E04E9"/>
    <w:rsid w:val="004E0554"/>
    <w:rsid w:val="004E065E"/>
    <w:rsid w:val="004E06E2"/>
    <w:rsid w:val="004E06EF"/>
    <w:rsid w:val="004E0770"/>
    <w:rsid w:val="004E0837"/>
    <w:rsid w:val="004E083E"/>
    <w:rsid w:val="004E0850"/>
    <w:rsid w:val="004E08B4"/>
    <w:rsid w:val="004E091E"/>
    <w:rsid w:val="004E0981"/>
    <w:rsid w:val="004E099F"/>
    <w:rsid w:val="004E09A8"/>
    <w:rsid w:val="004E0A03"/>
    <w:rsid w:val="004E0A0E"/>
    <w:rsid w:val="004E0A62"/>
    <w:rsid w:val="004E0A78"/>
    <w:rsid w:val="004E0A92"/>
    <w:rsid w:val="004E0B50"/>
    <w:rsid w:val="004E0B71"/>
    <w:rsid w:val="004E0C6B"/>
    <w:rsid w:val="004E0C82"/>
    <w:rsid w:val="004E0C83"/>
    <w:rsid w:val="004E0D14"/>
    <w:rsid w:val="004E0D1B"/>
    <w:rsid w:val="004E0D8E"/>
    <w:rsid w:val="004E0DB0"/>
    <w:rsid w:val="004E0DCE"/>
    <w:rsid w:val="004E0DEB"/>
    <w:rsid w:val="004E0DFE"/>
    <w:rsid w:val="004E0F47"/>
    <w:rsid w:val="004E102C"/>
    <w:rsid w:val="004E105D"/>
    <w:rsid w:val="004E105F"/>
    <w:rsid w:val="004E1064"/>
    <w:rsid w:val="004E10A9"/>
    <w:rsid w:val="004E10D0"/>
    <w:rsid w:val="004E10DF"/>
    <w:rsid w:val="004E1110"/>
    <w:rsid w:val="004E1134"/>
    <w:rsid w:val="004E1152"/>
    <w:rsid w:val="004E115F"/>
    <w:rsid w:val="004E1209"/>
    <w:rsid w:val="004E1218"/>
    <w:rsid w:val="004E123E"/>
    <w:rsid w:val="004E125D"/>
    <w:rsid w:val="004E128E"/>
    <w:rsid w:val="004E12A5"/>
    <w:rsid w:val="004E12A7"/>
    <w:rsid w:val="004E1350"/>
    <w:rsid w:val="004E1358"/>
    <w:rsid w:val="004E1393"/>
    <w:rsid w:val="004E13BF"/>
    <w:rsid w:val="004E13CD"/>
    <w:rsid w:val="004E145E"/>
    <w:rsid w:val="004E14C0"/>
    <w:rsid w:val="004E1561"/>
    <w:rsid w:val="004E15AB"/>
    <w:rsid w:val="004E1624"/>
    <w:rsid w:val="004E176D"/>
    <w:rsid w:val="004E179D"/>
    <w:rsid w:val="004E17F2"/>
    <w:rsid w:val="004E181F"/>
    <w:rsid w:val="004E1830"/>
    <w:rsid w:val="004E192E"/>
    <w:rsid w:val="004E1ABC"/>
    <w:rsid w:val="004E1AE3"/>
    <w:rsid w:val="004E1AE8"/>
    <w:rsid w:val="004E1AFD"/>
    <w:rsid w:val="004E1B36"/>
    <w:rsid w:val="004E1B41"/>
    <w:rsid w:val="004E1B5A"/>
    <w:rsid w:val="004E1B7A"/>
    <w:rsid w:val="004E1BC5"/>
    <w:rsid w:val="004E1BD4"/>
    <w:rsid w:val="004E1BFA"/>
    <w:rsid w:val="004E1C06"/>
    <w:rsid w:val="004E1C13"/>
    <w:rsid w:val="004E1C21"/>
    <w:rsid w:val="004E1C25"/>
    <w:rsid w:val="004E1C30"/>
    <w:rsid w:val="004E1C65"/>
    <w:rsid w:val="004E1C75"/>
    <w:rsid w:val="004E1C9D"/>
    <w:rsid w:val="004E1CFE"/>
    <w:rsid w:val="004E1D01"/>
    <w:rsid w:val="004E1D1E"/>
    <w:rsid w:val="004E1D94"/>
    <w:rsid w:val="004E1DC1"/>
    <w:rsid w:val="004E1E52"/>
    <w:rsid w:val="004E1EE1"/>
    <w:rsid w:val="004E2070"/>
    <w:rsid w:val="004E2143"/>
    <w:rsid w:val="004E21EF"/>
    <w:rsid w:val="004E2227"/>
    <w:rsid w:val="004E2250"/>
    <w:rsid w:val="004E2274"/>
    <w:rsid w:val="004E2277"/>
    <w:rsid w:val="004E22B5"/>
    <w:rsid w:val="004E22D1"/>
    <w:rsid w:val="004E231E"/>
    <w:rsid w:val="004E234C"/>
    <w:rsid w:val="004E2476"/>
    <w:rsid w:val="004E24C1"/>
    <w:rsid w:val="004E2519"/>
    <w:rsid w:val="004E2649"/>
    <w:rsid w:val="004E26A8"/>
    <w:rsid w:val="004E2724"/>
    <w:rsid w:val="004E2864"/>
    <w:rsid w:val="004E286E"/>
    <w:rsid w:val="004E2877"/>
    <w:rsid w:val="004E298B"/>
    <w:rsid w:val="004E29B0"/>
    <w:rsid w:val="004E29B8"/>
    <w:rsid w:val="004E2A77"/>
    <w:rsid w:val="004E2AA3"/>
    <w:rsid w:val="004E2AE2"/>
    <w:rsid w:val="004E2B23"/>
    <w:rsid w:val="004E2B49"/>
    <w:rsid w:val="004E2B54"/>
    <w:rsid w:val="004E2BC1"/>
    <w:rsid w:val="004E2BC8"/>
    <w:rsid w:val="004E2BD1"/>
    <w:rsid w:val="004E2BDF"/>
    <w:rsid w:val="004E2C0E"/>
    <w:rsid w:val="004E2C71"/>
    <w:rsid w:val="004E2C83"/>
    <w:rsid w:val="004E2D3B"/>
    <w:rsid w:val="004E2D7F"/>
    <w:rsid w:val="004E2DB4"/>
    <w:rsid w:val="004E2E34"/>
    <w:rsid w:val="004E2E7C"/>
    <w:rsid w:val="004E2F35"/>
    <w:rsid w:val="004E2F3C"/>
    <w:rsid w:val="004E30A6"/>
    <w:rsid w:val="004E3105"/>
    <w:rsid w:val="004E3128"/>
    <w:rsid w:val="004E319C"/>
    <w:rsid w:val="004E323A"/>
    <w:rsid w:val="004E32C5"/>
    <w:rsid w:val="004E3397"/>
    <w:rsid w:val="004E3402"/>
    <w:rsid w:val="004E348C"/>
    <w:rsid w:val="004E34E1"/>
    <w:rsid w:val="004E3574"/>
    <w:rsid w:val="004E3592"/>
    <w:rsid w:val="004E35D8"/>
    <w:rsid w:val="004E35F5"/>
    <w:rsid w:val="004E361E"/>
    <w:rsid w:val="004E36CA"/>
    <w:rsid w:val="004E3757"/>
    <w:rsid w:val="004E377F"/>
    <w:rsid w:val="004E37AE"/>
    <w:rsid w:val="004E37C9"/>
    <w:rsid w:val="004E38C3"/>
    <w:rsid w:val="004E38CB"/>
    <w:rsid w:val="004E38E0"/>
    <w:rsid w:val="004E39CB"/>
    <w:rsid w:val="004E39FE"/>
    <w:rsid w:val="004E3A02"/>
    <w:rsid w:val="004E3A8D"/>
    <w:rsid w:val="004E3A99"/>
    <w:rsid w:val="004E3A9D"/>
    <w:rsid w:val="004E3B19"/>
    <w:rsid w:val="004E3B45"/>
    <w:rsid w:val="004E3BD6"/>
    <w:rsid w:val="004E3C60"/>
    <w:rsid w:val="004E3C64"/>
    <w:rsid w:val="004E3C70"/>
    <w:rsid w:val="004E3D0D"/>
    <w:rsid w:val="004E3DCB"/>
    <w:rsid w:val="004E3E2A"/>
    <w:rsid w:val="004E3E51"/>
    <w:rsid w:val="004E3EBA"/>
    <w:rsid w:val="004E3F02"/>
    <w:rsid w:val="004E3F20"/>
    <w:rsid w:val="004E3F54"/>
    <w:rsid w:val="004E3FC4"/>
    <w:rsid w:val="004E4016"/>
    <w:rsid w:val="004E41DB"/>
    <w:rsid w:val="004E41DE"/>
    <w:rsid w:val="004E4259"/>
    <w:rsid w:val="004E43C4"/>
    <w:rsid w:val="004E43DA"/>
    <w:rsid w:val="004E4476"/>
    <w:rsid w:val="004E4496"/>
    <w:rsid w:val="004E449F"/>
    <w:rsid w:val="004E4513"/>
    <w:rsid w:val="004E45B2"/>
    <w:rsid w:val="004E4649"/>
    <w:rsid w:val="004E4652"/>
    <w:rsid w:val="004E465C"/>
    <w:rsid w:val="004E4671"/>
    <w:rsid w:val="004E469D"/>
    <w:rsid w:val="004E46B4"/>
    <w:rsid w:val="004E46DC"/>
    <w:rsid w:val="004E46E3"/>
    <w:rsid w:val="004E47A6"/>
    <w:rsid w:val="004E47E3"/>
    <w:rsid w:val="004E4822"/>
    <w:rsid w:val="004E484C"/>
    <w:rsid w:val="004E485A"/>
    <w:rsid w:val="004E48C7"/>
    <w:rsid w:val="004E48EC"/>
    <w:rsid w:val="004E498F"/>
    <w:rsid w:val="004E49C2"/>
    <w:rsid w:val="004E49F9"/>
    <w:rsid w:val="004E4A75"/>
    <w:rsid w:val="004E4AAB"/>
    <w:rsid w:val="004E4B3C"/>
    <w:rsid w:val="004E4BCF"/>
    <w:rsid w:val="004E4C44"/>
    <w:rsid w:val="004E4CD5"/>
    <w:rsid w:val="004E4D1B"/>
    <w:rsid w:val="004E4D82"/>
    <w:rsid w:val="004E4D8F"/>
    <w:rsid w:val="004E4DDA"/>
    <w:rsid w:val="004E4E09"/>
    <w:rsid w:val="004E4E9F"/>
    <w:rsid w:val="004E4EF4"/>
    <w:rsid w:val="004E50C8"/>
    <w:rsid w:val="004E5103"/>
    <w:rsid w:val="004E512B"/>
    <w:rsid w:val="004E51C4"/>
    <w:rsid w:val="004E51F3"/>
    <w:rsid w:val="004E5212"/>
    <w:rsid w:val="004E5245"/>
    <w:rsid w:val="004E525A"/>
    <w:rsid w:val="004E53AE"/>
    <w:rsid w:val="004E5443"/>
    <w:rsid w:val="004E54D7"/>
    <w:rsid w:val="004E5556"/>
    <w:rsid w:val="004E556B"/>
    <w:rsid w:val="004E559C"/>
    <w:rsid w:val="004E55B5"/>
    <w:rsid w:val="004E5654"/>
    <w:rsid w:val="004E56E0"/>
    <w:rsid w:val="004E5714"/>
    <w:rsid w:val="004E576D"/>
    <w:rsid w:val="004E57DD"/>
    <w:rsid w:val="004E57FA"/>
    <w:rsid w:val="004E5821"/>
    <w:rsid w:val="004E58A9"/>
    <w:rsid w:val="004E58DE"/>
    <w:rsid w:val="004E58FB"/>
    <w:rsid w:val="004E594E"/>
    <w:rsid w:val="004E5AD4"/>
    <w:rsid w:val="004E5B04"/>
    <w:rsid w:val="004E5B38"/>
    <w:rsid w:val="004E5B4E"/>
    <w:rsid w:val="004E5BB6"/>
    <w:rsid w:val="004E5C51"/>
    <w:rsid w:val="004E5C54"/>
    <w:rsid w:val="004E5CAD"/>
    <w:rsid w:val="004E5CC3"/>
    <w:rsid w:val="004E5CD7"/>
    <w:rsid w:val="004E5D3A"/>
    <w:rsid w:val="004E5D5A"/>
    <w:rsid w:val="004E5E2D"/>
    <w:rsid w:val="004E5E81"/>
    <w:rsid w:val="004E5F1B"/>
    <w:rsid w:val="004E5F1D"/>
    <w:rsid w:val="004E5F52"/>
    <w:rsid w:val="004E600D"/>
    <w:rsid w:val="004E6031"/>
    <w:rsid w:val="004E60AB"/>
    <w:rsid w:val="004E6129"/>
    <w:rsid w:val="004E6189"/>
    <w:rsid w:val="004E61A8"/>
    <w:rsid w:val="004E61C9"/>
    <w:rsid w:val="004E6210"/>
    <w:rsid w:val="004E6281"/>
    <w:rsid w:val="004E62E0"/>
    <w:rsid w:val="004E634F"/>
    <w:rsid w:val="004E6390"/>
    <w:rsid w:val="004E6399"/>
    <w:rsid w:val="004E645F"/>
    <w:rsid w:val="004E6472"/>
    <w:rsid w:val="004E64F1"/>
    <w:rsid w:val="004E6571"/>
    <w:rsid w:val="004E6599"/>
    <w:rsid w:val="004E665D"/>
    <w:rsid w:val="004E6732"/>
    <w:rsid w:val="004E675F"/>
    <w:rsid w:val="004E6801"/>
    <w:rsid w:val="004E68F6"/>
    <w:rsid w:val="004E6A0E"/>
    <w:rsid w:val="004E6A32"/>
    <w:rsid w:val="004E6A7E"/>
    <w:rsid w:val="004E6AEC"/>
    <w:rsid w:val="004E6C36"/>
    <w:rsid w:val="004E6CB9"/>
    <w:rsid w:val="004E6D06"/>
    <w:rsid w:val="004E6D66"/>
    <w:rsid w:val="004E6DE8"/>
    <w:rsid w:val="004E6E29"/>
    <w:rsid w:val="004E6E2E"/>
    <w:rsid w:val="004E6F05"/>
    <w:rsid w:val="004E6F2E"/>
    <w:rsid w:val="004E6F96"/>
    <w:rsid w:val="004E6F9F"/>
    <w:rsid w:val="004E7009"/>
    <w:rsid w:val="004E702D"/>
    <w:rsid w:val="004E70A9"/>
    <w:rsid w:val="004E70B5"/>
    <w:rsid w:val="004E70D1"/>
    <w:rsid w:val="004E70E1"/>
    <w:rsid w:val="004E7135"/>
    <w:rsid w:val="004E715A"/>
    <w:rsid w:val="004E71FB"/>
    <w:rsid w:val="004E7249"/>
    <w:rsid w:val="004E725D"/>
    <w:rsid w:val="004E72CF"/>
    <w:rsid w:val="004E72E0"/>
    <w:rsid w:val="004E7361"/>
    <w:rsid w:val="004E739C"/>
    <w:rsid w:val="004E7423"/>
    <w:rsid w:val="004E7460"/>
    <w:rsid w:val="004E7486"/>
    <w:rsid w:val="004E7493"/>
    <w:rsid w:val="004E74AD"/>
    <w:rsid w:val="004E74D6"/>
    <w:rsid w:val="004E7508"/>
    <w:rsid w:val="004E7529"/>
    <w:rsid w:val="004E752B"/>
    <w:rsid w:val="004E7553"/>
    <w:rsid w:val="004E756C"/>
    <w:rsid w:val="004E756E"/>
    <w:rsid w:val="004E75AC"/>
    <w:rsid w:val="004E764A"/>
    <w:rsid w:val="004E765A"/>
    <w:rsid w:val="004E765F"/>
    <w:rsid w:val="004E7671"/>
    <w:rsid w:val="004E767D"/>
    <w:rsid w:val="004E7688"/>
    <w:rsid w:val="004E7730"/>
    <w:rsid w:val="004E7735"/>
    <w:rsid w:val="004E77AD"/>
    <w:rsid w:val="004E77BF"/>
    <w:rsid w:val="004E780D"/>
    <w:rsid w:val="004E7851"/>
    <w:rsid w:val="004E7898"/>
    <w:rsid w:val="004E78E9"/>
    <w:rsid w:val="004E7AC7"/>
    <w:rsid w:val="004E7ACA"/>
    <w:rsid w:val="004E7B05"/>
    <w:rsid w:val="004E7CA3"/>
    <w:rsid w:val="004E7CAB"/>
    <w:rsid w:val="004E7D82"/>
    <w:rsid w:val="004E7D9D"/>
    <w:rsid w:val="004E7DC8"/>
    <w:rsid w:val="004E7DE0"/>
    <w:rsid w:val="004E7ED9"/>
    <w:rsid w:val="004E7EE1"/>
    <w:rsid w:val="004E7F02"/>
    <w:rsid w:val="004E7F45"/>
    <w:rsid w:val="004E7F4E"/>
    <w:rsid w:val="004E7F68"/>
    <w:rsid w:val="004E7F7A"/>
    <w:rsid w:val="004F0008"/>
    <w:rsid w:val="004F000F"/>
    <w:rsid w:val="004F0025"/>
    <w:rsid w:val="004F0056"/>
    <w:rsid w:val="004F00A5"/>
    <w:rsid w:val="004F00F1"/>
    <w:rsid w:val="004F015D"/>
    <w:rsid w:val="004F017C"/>
    <w:rsid w:val="004F0198"/>
    <w:rsid w:val="004F022E"/>
    <w:rsid w:val="004F0294"/>
    <w:rsid w:val="004F0371"/>
    <w:rsid w:val="004F03FB"/>
    <w:rsid w:val="004F0446"/>
    <w:rsid w:val="004F04F5"/>
    <w:rsid w:val="004F04FE"/>
    <w:rsid w:val="004F0510"/>
    <w:rsid w:val="004F05DA"/>
    <w:rsid w:val="004F05EB"/>
    <w:rsid w:val="004F0609"/>
    <w:rsid w:val="004F066A"/>
    <w:rsid w:val="004F066C"/>
    <w:rsid w:val="004F0716"/>
    <w:rsid w:val="004F0749"/>
    <w:rsid w:val="004F07A5"/>
    <w:rsid w:val="004F07E9"/>
    <w:rsid w:val="004F082F"/>
    <w:rsid w:val="004F0869"/>
    <w:rsid w:val="004F08F5"/>
    <w:rsid w:val="004F095D"/>
    <w:rsid w:val="004F0963"/>
    <w:rsid w:val="004F0A0B"/>
    <w:rsid w:val="004F0A1F"/>
    <w:rsid w:val="004F0A7B"/>
    <w:rsid w:val="004F0A90"/>
    <w:rsid w:val="004F0AFD"/>
    <w:rsid w:val="004F0AFF"/>
    <w:rsid w:val="004F0BA0"/>
    <w:rsid w:val="004F0BC3"/>
    <w:rsid w:val="004F0BC9"/>
    <w:rsid w:val="004F0BCE"/>
    <w:rsid w:val="004F0BE3"/>
    <w:rsid w:val="004F0C00"/>
    <w:rsid w:val="004F0C27"/>
    <w:rsid w:val="004F0C36"/>
    <w:rsid w:val="004F0CBC"/>
    <w:rsid w:val="004F0D79"/>
    <w:rsid w:val="004F0DB4"/>
    <w:rsid w:val="004F0DC4"/>
    <w:rsid w:val="004F0DEE"/>
    <w:rsid w:val="004F0E39"/>
    <w:rsid w:val="004F0E4D"/>
    <w:rsid w:val="004F0E54"/>
    <w:rsid w:val="004F0ED3"/>
    <w:rsid w:val="004F0EFC"/>
    <w:rsid w:val="004F0F38"/>
    <w:rsid w:val="004F1031"/>
    <w:rsid w:val="004F105A"/>
    <w:rsid w:val="004F1099"/>
    <w:rsid w:val="004F10C4"/>
    <w:rsid w:val="004F1145"/>
    <w:rsid w:val="004F1224"/>
    <w:rsid w:val="004F127A"/>
    <w:rsid w:val="004F12FB"/>
    <w:rsid w:val="004F1308"/>
    <w:rsid w:val="004F13B6"/>
    <w:rsid w:val="004F13C5"/>
    <w:rsid w:val="004F13C8"/>
    <w:rsid w:val="004F141C"/>
    <w:rsid w:val="004F151F"/>
    <w:rsid w:val="004F1595"/>
    <w:rsid w:val="004F15C0"/>
    <w:rsid w:val="004F1651"/>
    <w:rsid w:val="004F1666"/>
    <w:rsid w:val="004F16CE"/>
    <w:rsid w:val="004F1716"/>
    <w:rsid w:val="004F177B"/>
    <w:rsid w:val="004F1856"/>
    <w:rsid w:val="004F18BD"/>
    <w:rsid w:val="004F195B"/>
    <w:rsid w:val="004F1964"/>
    <w:rsid w:val="004F1999"/>
    <w:rsid w:val="004F199C"/>
    <w:rsid w:val="004F19CE"/>
    <w:rsid w:val="004F19D5"/>
    <w:rsid w:val="004F19E1"/>
    <w:rsid w:val="004F1A0F"/>
    <w:rsid w:val="004F1AD4"/>
    <w:rsid w:val="004F1B70"/>
    <w:rsid w:val="004F1CC3"/>
    <w:rsid w:val="004F1CD9"/>
    <w:rsid w:val="004F1CE8"/>
    <w:rsid w:val="004F1D1B"/>
    <w:rsid w:val="004F1DFF"/>
    <w:rsid w:val="004F1E62"/>
    <w:rsid w:val="004F1E9B"/>
    <w:rsid w:val="004F201A"/>
    <w:rsid w:val="004F206A"/>
    <w:rsid w:val="004F206C"/>
    <w:rsid w:val="004F208A"/>
    <w:rsid w:val="004F20B1"/>
    <w:rsid w:val="004F20C8"/>
    <w:rsid w:val="004F212D"/>
    <w:rsid w:val="004F2183"/>
    <w:rsid w:val="004F2205"/>
    <w:rsid w:val="004F2242"/>
    <w:rsid w:val="004F228B"/>
    <w:rsid w:val="004F22B7"/>
    <w:rsid w:val="004F2378"/>
    <w:rsid w:val="004F251F"/>
    <w:rsid w:val="004F253C"/>
    <w:rsid w:val="004F25AD"/>
    <w:rsid w:val="004F25DD"/>
    <w:rsid w:val="004F2610"/>
    <w:rsid w:val="004F2678"/>
    <w:rsid w:val="004F26D9"/>
    <w:rsid w:val="004F2719"/>
    <w:rsid w:val="004F271E"/>
    <w:rsid w:val="004F2788"/>
    <w:rsid w:val="004F279B"/>
    <w:rsid w:val="004F27B8"/>
    <w:rsid w:val="004F27D4"/>
    <w:rsid w:val="004F286B"/>
    <w:rsid w:val="004F2898"/>
    <w:rsid w:val="004F28A2"/>
    <w:rsid w:val="004F28FE"/>
    <w:rsid w:val="004F2A95"/>
    <w:rsid w:val="004F2B29"/>
    <w:rsid w:val="004F2B69"/>
    <w:rsid w:val="004F2B7E"/>
    <w:rsid w:val="004F2BA5"/>
    <w:rsid w:val="004F2C24"/>
    <w:rsid w:val="004F2CEB"/>
    <w:rsid w:val="004F2D9A"/>
    <w:rsid w:val="004F2DB4"/>
    <w:rsid w:val="004F2DDE"/>
    <w:rsid w:val="004F2DE2"/>
    <w:rsid w:val="004F2DF5"/>
    <w:rsid w:val="004F2E66"/>
    <w:rsid w:val="004F2E9D"/>
    <w:rsid w:val="004F2EB0"/>
    <w:rsid w:val="004F2F19"/>
    <w:rsid w:val="004F2FAD"/>
    <w:rsid w:val="004F2FC4"/>
    <w:rsid w:val="004F3061"/>
    <w:rsid w:val="004F3079"/>
    <w:rsid w:val="004F308B"/>
    <w:rsid w:val="004F3131"/>
    <w:rsid w:val="004F31D8"/>
    <w:rsid w:val="004F32D8"/>
    <w:rsid w:val="004F32E8"/>
    <w:rsid w:val="004F33D1"/>
    <w:rsid w:val="004F346F"/>
    <w:rsid w:val="004F3495"/>
    <w:rsid w:val="004F354C"/>
    <w:rsid w:val="004F35C2"/>
    <w:rsid w:val="004F3720"/>
    <w:rsid w:val="004F3760"/>
    <w:rsid w:val="004F3797"/>
    <w:rsid w:val="004F37FB"/>
    <w:rsid w:val="004F39CD"/>
    <w:rsid w:val="004F39CE"/>
    <w:rsid w:val="004F39FE"/>
    <w:rsid w:val="004F3A6C"/>
    <w:rsid w:val="004F3A9C"/>
    <w:rsid w:val="004F3AFD"/>
    <w:rsid w:val="004F3B0A"/>
    <w:rsid w:val="004F3B0E"/>
    <w:rsid w:val="004F3B44"/>
    <w:rsid w:val="004F3B51"/>
    <w:rsid w:val="004F3B58"/>
    <w:rsid w:val="004F3B5F"/>
    <w:rsid w:val="004F3BEC"/>
    <w:rsid w:val="004F3BF7"/>
    <w:rsid w:val="004F3C6A"/>
    <w:rsid w:val="004F3CC7"/>
    <w:rsid w:val="004F3CD0"/>
    <w:rsid w:val="004F3CE8"/>
    <w:rsid w:val="004F3E00"/>
    <w:rsid w:val="004F3E95"/>
    <w:rsid w:val="004F3E97"/>
    <w:rsid w:val="004F3EE6"/>
    <w:rsid w:val="004F3EFE"/>
    <w:rsid w:val="004F3F51"/>
    <w:rsid w:val="004F3F5F"/>
    <w:rsid w:val="004F3FFE"/>
    <w:rsid w:val="004F406C"/>
    <w:rsid w:val="004F40D8"/>
    <w:rsid w:val="004F4147"/>
    <w:rsid w:val="004F42BD"/>
    <w:rsid w:val="004F42C1"/>
    <w:rsid w:val="004F42D4"/>
    <w:rsid w:val="004F43A1"/>
    <w:rsid w:val="004F43B1"/>
    <w:rsid w:val="004F440A"/>
    <w:rsid w:val="004F44C7"/>
    <w:rsid w:val="004F44EE"/>
    <w:rsid w:val="004F458C"/>
    <w:rsid w:val="004F4599"/>
    <w:rsid w:val="004F45C2"/>
    <w:rsid w:val="004F45ED"/>
    <w:rsid w:val="004F4618"/>
    <w:rsid w:val="004F464F"/>
    <w:rsid w:val="004F46AE"/>
    <w:rsid w:val="004F470B"/>
    <w:rsid w:val="004F4745"/>
    <w:rsid w:val="004F4776"/>
    <w:rsid w:val="004F47E9"/>
    <w:rsid w:val="004F47F1"/>
    <w:rsid w:val="004F47FD"/>
    <w:rsid w:val="004F48D3"/>
    <w:rsid w:val="004F48DF"/>
    <w:rsid w:val="004F4920"/>
    <w:rsid w:val="004F4984"/>
    <w:rsid w:val="004F4B04"/>
    <w:rsid w:val="004F4B30"/>
    <w:rsid w:val="004F4B34"/>
    <w:rsid w:val="004F4B74"/>
    <w:rsid w:val="004F4B93"/>
    <w:rsid w:val="004F4B99"/>
    <w:rsid w:val="004F4CCA"/>
    <w:rsid w:val="004F4D83"/>
    <w:rsid w:val="004F4D95"/>
    <w:rsid w:val="004F4E1F"/>
    <w:rsid w:val="004F4EB6"/>
    <w:rsid w:val="004F4ED7"/>
    <w:rsid w:val="004F4F2D"/>
    <w:rsid w:val="004F4F55"/>
    <w:rsid w:val="004F4F73"/>
    <w:rsid w:val="004F4F7B"/>
    <w:rsid w:val="004F5014"/>
    <w:rsid w:val="004F501A"/>
    <w:rsid w:val="004F5026"/>
    <w:rsid w:val="004F50E5"/>
    <w:rsid w:val="004F50E6"/>
    <w:rsid w:val="004F513D"/>
    <w:rsid w:val="004F514D"/>
    <w:rsid w:val="004F5181"/>
    <w:rsid w:val="004F5189"/>
    <w:rsid w:val="004F51D4"/>
    <w:rsid w:val="004F522B"/>
    <w:rsid w:val="004F5230"/>
    <w:rsid w:val="004F52A0"/>
    <w:rsid w:val="004F52D0"/>
    <w:rsid w:val="004F5300"/>
    <w:rsid w:val="004F5368"/>
    <w:rsid w:val="004F5384"/>
    <w:rsid w:val="004F5426"/>
    <w:rsid w:val="004F5442"/>
    <w:rsid w:val="004F544D"/>
    <w:rsid w:val="004F54B0"/>
    <w:rsid w:val="004F54DC"/>
    <w:rsid w:val="004F5515"/>
    <w:rsid w:val="004F5542"/>
    <w:rsid w:val="004F5555"/>
    <w:rsid w:val="004F56F6"/>
    <w:rsid w:val="004F56FB"/>
    <w:rsid w:val="004F5707"/>
    <w:rsid w:val="004F5787"/>
    <w:rsid w:val="004F579C"/>
    <w:rsid w:val="004F589E"/>
    <w:rsid w:val="004F58D3"/>
    <w:rsid w:val="004F58EA"/>
    <w:rsid w:val="004F592D"/>
    <w:rsid w:val="004F5978"/>
    <w:rsid w:val="004F5979"/>
    <w:rsid w:val="004F597D"/>
    <w:rsid w:val="004F5AD5"/>
    <w:rsid w:val="004F5AE5"/>
    <w:rsid w:val="004F5B65"/>
    <w:rsid w:val="004F5BC7"/>
    <w:rsid w:val="004F5BE0"/>
    <w:rsid w:val="004F5BF2"/>
    <w:rsid w:val="004F5C1A"/>
    <w:rsid w:val="004F5C91"/>
    <w:rsid w:val="004F5C97"/>
    <w:rsid w:val="004F5CDA"/>
    <w:rsid w:val="004F5D19"/>
    <w:rsid w:val="004F5EBF"/>
    <w:rsid w:val="004F5F8A"/>
    <w:rsid w:val="004F5FE2"/>
    <w:rsid w:val="004F600D"/>
    <w:rsid w:val="004F6010"/>
    <w:rsid w:val="004F6028"/>
    <w:rsid w:val="004F6062"/>
    <w:rsid w:val="004F6070"/>
    <w:rsid w:val="004F60DD"/>
    <w:rsid w:val="004F6112"/>
    <w:rsid w:val="004F614C"/>
    <w:rsid w:val="004F61B3"/>
    <w:rsid w:val="004F627D"/>
    <w:rsid w:val="004F6285"/>
    <w:rsid w:val="004F6301"/>
    <w:rsid w:val="004F6328"/>
    <w:rsid w:val="004F632F"/>
    <w:rsid w:val="004F6412"/>
    <w:rsid w:val="004F6444"/>
    <w:rsid w:val="004F6453"/>
    <w:rsid w:val="004F6524"/>
    <w:rsid w:val="004F6567"/>
    <w:rsid w:val="004F65B4"/>
    <w:rsid w:val="004F65EA"/>
    <w:rsid w:val="004F6616"/>
    <w:rsid w:val="004F664B"/>
    <w:rsid w:val="004F6666"/>
    <w:rsid w:val="004F6684"/>
    <w:rsid w:val="004F6709"/>
    <w:rsid w:val="004F6737"/>
    <w:rsid w:val="004F674D"/>
    <w:rsid w:val="004F677E"/>
    <w:rsid w:val="004F6796"/>
    <w:rsid w:val="004F67B1"/>
    <w:rsid w:val="004F6854"/>
    <w:rsid w:val="004F68CA"/>
    <w:rsid w:val="004F68CF"/>
    <w:rsid w:val="004F68D1"/>
    <w:rsid w:val="004F68E5"/>
    <w:rsid w:val="004F6941"/>
    <w:rsid w:val="004F695F"/>
    <w:rsid w:val="004F697C"/>
    <w:rsid w:val="004F6A0B"/>
    <w:rsid w:val="004F6A40"/>
    <w:rsid w:val="004F6AE4"/>
    <w:rsid w:val="004F6AF6"/>
    <w:rsid w:val="004F6B18"/>
    <w:rsid w:val="004F6B27"/>
    <w:rsid w:val="004F6C98"/>
    <w:rsid w:val="004F6CA7"/>
    <w:rsid w:val="004F6CAF"/>
    <w:rsid w:val="004F6CCC"/>
    <w:rsid w:val="004F6D3F"/>
    <w:rsid w:val="004F6DE6"/>
    <w:rsid w:val="004F6E64"/>
    <w:rsid w:val="004F6E6C"/>
    <w:rsid w:val="004F6EB2"/>
    <w:rsid w:val="004F7036"/>
    <w:rsid w:val="004F708F"/>
    <w:rsid w:val="004F710E"/>
    <w:rsid w:val="004F7117"/>
    <w:rsid w:val="004F7154"/>
    <w:rsid w:val="004F71AC"/>
    <w:rsid w:val="004F71E6"/>
    <w:rsid w:val="004F7213"/>
    <w:rsid w:val="004F727D"/>
    <w:rsid w:val="004F72DF"/>
    <w:rsid w:val="004F72FD"/>
    <w:rsid w:val="004F7346"/>
    <w:rsid w:val="004F736E"/>
    <w:rsid w:val="004F738C"/>
    <w:rsid w:val="004F73E5"/>
    <w:rsid w:val="004F7428"/>
    <w:rsid w:val="004F743F"/>
    <w:rsid w:val="004F74D1"/>
    <w:rsid w:val="004F757A"/>
    <w:rsid w:val="004F757D"/>
    <w:rsid w:val="004F759E"/>
    <w:rsid w:val="004F75D7"/>
    <w:rsid w:val="004F7659"/>
    <w:rsid w:val="004F76AE"/>
    <w:rsid w:val="004F76B2"/>
    <w:rsid w:val="004F76B8"/>
    <w:rsid w:val="004F76C9"/>
    <w:rsid w:val="004F76D6"/>
    <w:rsid w:val="004F778A"/>
    <w:rsid w:val="004F7819"/>
    <w:rsid w:val="004F7832"/>
    <w:rsid w:val="004F7870"/>
    <w:rsid w:val="004F7876"/>
    <w:rsid w:val="004F787A"/>
    <w:rsid w:val="004F787B"/>
    <w:rsid w:val="004F78F1"/>
    <w:rsid w:val="004F7936"/>
    <w:rsid w:val="004F7953"/>
    <w:rsid w:val="004F797B"/>
    <w:rsid w:val="004F7981"/>
    <w:rsid w:val="004F79DE"/>
    <w:rsid w:val="004F79F5"/>
    <w:rsid w:val="004F7A1C"/>
    <w:rsid w:val="004F7A24"/>
    <w:rsid w:val="004F7A55"/>
    <w:rsid w:val="004F7B34"/>
    <w:rsid w:val="004F7B42"/>
    <w:rsid w:val="004F7B86"/>
    <w:rsid w:val="004F7B91"/>
    <w:rsid w:val="004F7BB7"/>
    <w:rsid w:val="004F7BC9"/>
    <w:rsid w:val="004F7C0E"/>
    <w:rsid w:val="004F7C4B"/>
    <w:rsid w:val="004F7CEC"/>
    <w:rsid w:val="004F7DF4"/>
    <w:rsid w:val="004F7EA0"/>
    <w:rsid w:val="004F7ECD"/>
    <w:rsid w:val="004F7F67"/>
    <w:rsid w:val="004F7FF9"/>
    <w:rsid w:val="004FD458"/>
    <w:rsid w:val="005000A8"/>
    <w:rsid w:val="005000B9"/>
    <w:rsid w:val="00500141"/>
    <w:rsid w:val="00500164"/>
    <w:rsid w:val="00500245"/>
    <w:rsid w:val="00500297"/>
    <w:rsid w:val="00500360"/>
    <w:rsid w:val="00500374"/>
    <w:rsid w:val="005003F0"/>
    <w:rsid w:val="0050041A"/>
    <w:rsid w:val="00500421"/>
    <w:rsid w:val="00500494"/>
    <w:rsid w:val="005004B4"/>
    <w:rsid w:val="005004EE"/>
    <w:rsid w:val="00500514"/>
    <w:rsid w:val="0050051F"/>
    <w:rsid w:val="0050055A"/>
    <w:rsid w:val="00500570"/>
    <w:rsid w:val="00500631"/>
    <w:rsid w:val="0050063F"/>
    <w:rsid w:val="00500673"/>
    <w:rsid w:val="005006FC"/>
    <w:rsid w:val="00500741"/>
    <w:rsid w:val="005007DE"/>
    <w:rsid w:val="0050088E"/>
    <w:rsid w:val="005008AC"/>
    <w:rsid w:val="005008EB"/>
    <w:rsid w:val="00500933"/>
    <w:rsid w:val="0050095F"/>
    <w:rsid w:val="005009BE"/>
    <w:rsid w:val="005009DD"/>
    <w:rsid w:val="00500A65"/>
    <w:rsid w:val="00500AF1"/>
    <w:rsid w:val="00500B0D"/>
    <w:rsid w:val="00500B58"/>
    <w:rsid w:val="00500BFD"/>
    <w:rsid w:val="00500C5E"/>
    <w:rsid w:val="00500CAB"/>
    <w:rsid w:val="00500CC9"/>
    <w:rsid w:val="00500D01"/>
    <w:rsid w:val="00500D05"/>
    <w:rsid w:val="00500D34"/>
    <w:rsid w:val="00500DE5"/>
    <w:rsid w:val="00500DFE"/>
    <w:rsid w:val="00500F20"/>
    <w:rsid w:val="00500F61"/>
    <w:rsid w:val="00500FD2"/>
    <w:rsid w:val="0050116F"/>
    <w:rsid w:val="00501256"/>
    <w:rsid w:val="00501259"/>
    <w:rsid w:val="00501301"/>
    <w:rsid w:val="00501444"/>
    <w:rsid w:val="00501448"/>
    <w:rsid w:val="00501493"/>
    <w:rsid w:val="0050158E"/>
    <w:rsid w:val="005015D4"/>
    <w:rsid w:val="0050161A"/>
    <w:rsid w:val="00501666"/>
    <w:rsid w:val="00501697"/>
    <w:rsid w:val="0050169A"/>
    <w:rsid w:val="00501721"/>
    <w:rsid w:val="0050174E"/>
    <w:rsid w:val="0050183E"/>
    <w:rsid w:val="00501864"/>
    <w:rsid w:val="005018C7"/>
    <w:rsid w:val="005018E5"/>
    <w:rsid w:val="005019F4"/>
    <w:rsid w:val="00501A48"/>
    <w:rsid w:val="00501A4F"/>
    <w:rsid w:val="00501AA9"/>
    <w:rsid w:val="00501AEF"/>
    <w:rsid w:val="00501B2F"/>
    <w:rsid w:val="00501B43"/>
    <w:rsid w:val="00501B59"/>
    <w:rsid w:val="00501B82"/>
    <w:rsid w:val="00501CB1"/>
    <w:rsid w:val="00501CC7"/>
    <w:rsid w:val="00501CCE"/>
    <w:rsid w:val="00501D15"/>
    <w:rsid w:val="00501DBB"/>
    <w:rsid w:val="00501F2C"/>
    <w:rsid w:val="00501F6F"/>
    <w:rsid w:val="00501FCB"/>
    <w:rsid w:val="00501FCD"/>
    <w:rsid w:val="00502011"/>
    <w:rsid w:val="00502019"/>
    <w:rsid w:val="00502149"/>
    <w:rsid w:val="0050217D"/>
    <w:rsid w:val="005022A0"/>
    <w:rsid w:val="005022AB"/>
    <w:rsid w:val="005022E4"/>
    <w:rsid w:val="00502379"/>
    <w:rsid w:val="005023F7"/>
    <w:rsid w:val="0050242F"/>
    <w:rsid w:val="00502433"/>
    <w:rsid w:val="00502437"/>
    <w:rsid w:val="00502440"/>
    <w:rsid w:val="00502448"/>
    <w:rsid w:val="0050245F"/>
    <w:rsid w:val="005024C7"/>
    <w:rsid w:val="005024DE"/>
    <w:rsid w:val="005024ED"/>
    <w:rsid w:val="00502563"/>
    <w:rsid w:val="00502597"/>
    <w:rsid w:val="0050260F"/>
    <w:rsid w:val="0050262D"/>
    <w:rsid w:val="0050262F"/>
    <w:rsid w:val="00502649"/>
    <w:rsid w:val="0050271B"/>
    <w:rsid w:val="0050272B"/>
    <w:rsid w:val="005027DA"/>
    <w:rsid w:val="005027EE"/>
    <w:rsid w:val="00502809"/>
    <w:rsid w:val="0050281C"/>
    <w:rsid w:val="0050288C"/>
    <w:rsid w:val="0050293C"/>
    <w:rsid w:val="00502964"/>
    <w:rsid w:val="00502A82"/>
    <w:rsid w:val="00502A83"/>
    <w:rsid w:val="00502B10"/>
    <w:rsid w:val="00502BA8"/>
    <w:rsid w:val="00502BD5"/>
    <w:rsid w:val="00502C46"/>
    <w:rsid w:val="00502C71"/>
    <w:rsid w:val="00502CA7"/>
    <w:rsid w:val="00502D37"/>
    <w:rsid w:val="00502E29"/>
    <w:rsid w:val="00502E6C"/>
    <w:rsid w:val="00502EAF"/>
    <w:rsid w:val="00502F3D"/>
    <w:rsid w:val="00502F9F"/>
    <w:rsid w:val="00502FA3"/>
    <w:rsid w:val="00502FB9"/>
    <w:rsid w:val="0050303B"/>
    <w:rsid w:val="00503048"/>
    <w:rsid w:val="005030B9"/>
    <w:rsid w:val="005030CD"/>
    <w:rsid w:val="00503109"/>
    <w:rsid w:val="00503157"/>
    <w:rsid w:val="0050316E"/>
    <w:rsid w:val="00503269"/>
    <w:rsid w:val="005032B1"/>
    <w:rsid w:val="005032BE"/>
    <w:rsid w:val="0050337E"/>
    <w:rsid w:val="005033FA"/>
    <w:rsid w:val="00503400"/>
    <w:rsid w:val="0050345D"/>
    <w:rsid w:val="00503475"/>
    <w:rsid w:val="0050347A"/>
    <w:rsid w:val="0050349C"/>
    <w:rsid w:val="005034C5"/>
    <w:rsid w:val="005034E4"/>
    <w:rsid w:val="00503514"/>
    <w:rsid w:val="00503576"/>
    <w:rsid w:val="005035B4"/>
    <w:rsid w:val="005035B5"/>
    <w:rsid w:val="005035C5"/>
    <w:rsid w:val="0050364C"/>
    <w:rsid w:val="005036B4"/>
    <w:rsid w:val="005036BD"/>
    <w:rsid w:val="005036C0"/>
    <w:rsid w:val="005036D8"/>
    <w:rsid w:val="005037B8"/>
    <w:rsid w:val="005038FA"/>
    <w:rsid w:val="00503A31"/>
    <w:rsid w:val="00503ADC"/>
    <w:rsid w:val="00503B0C"/>
    <w:rsid w:val="00503B53"/>
    <w:rsid w:val="00503BB2"/>
    <w:rsid w:val="00503BB6"/>
    <w:rsid w:val="00503BD6"/>
    <w:rsid w:val="00503CFC"/>
    <w:rsid w:val="00503D3C"/>
    <w:rsid w:val="00503D40"/>
    <w:rsid w:val="00503D71"/>
    <w:rsid w:val="00503DD3"/>
    <w:rsid w:val="00503ED7"/>
    <w:rsid w:val="00503EE1"/>
    <w:rsid w:val="00503F64"/>
    <w:rsid w:val="00503FBA"/>
    <w:rsid w:val="0050408A"/>
    <w:rsid w:val="00504099"/>
    <w:rsid w:val="005040D0"/>
    <w:rsid w:val="00504116"/>
    <w:rsid w:val="00504258"/>
    <w:rsid w:val="00504290"/>
    <w:rsid w:val="0050429A"/>
    <w:rsid w:val="005042E4"/>
    <w:rsid w:val="00504370"/>
    <w:rsid w:val="0050439F"/>
    <w:rsid w:val="005043C7"/>
    <w:rsid w:val="0050448D"/>
    <w:rsid w:val="005044B2"/>
    <w:rsid w:val="005044BC"/>
    <w:rsid w:val="00504576"/>
    <w:rsid w:val="005045AA"/>
    <w:rsid w:val="005045EB"/>
    <w:rsid w:val="00504616"/>
    <w:rsid w:val="00504642"/>
    <w:rsid w:val="0050481E"/>
    <w:rsid w:val="00504877"/>
    <w:rsid w:val="00504995"/>
    <w:rsid w:val="00504A8F"/>
    <w:rsid w:val="00504A91"/>
    <w:rsid w:val="00504AB6"/>
    <w:rsid w:val="00504AC5"/>
    <w:rsid w:val="00504B8B"/>
    <w:rsid w:val="00504C5D"/>
    <w:rsid w:val="00504C71"/>
    <w:rsid w:val="00504C92"/>
    <w:rsid w:val="00504CCF"/>
    <w:rsid w:val="00504D15"/>
    <w:rsid w:val="00504D62"/>
    <w:rsid w:val="00504D84"/>
    <w:rsid w:val="00504DF7"/>
    <w:rsid w:val="00504EEF"/>
    <w:rsid w:val="00504F20"/>
    <w:rsid w:val="00504F2A"/>
    <w:rsid w:val="00504F9B"/>
    <w:rsid w:val="00504FBA"/>
    <w:rsid w:val="00505018"/>
    <w:rsid w:val="00505051"/>
    <w:rsid w:val="0050513B"/>
    <w:rsid w:val="0050513C"/>
    <w:rsid w:val="00505223"/>
    <w:rsid w:val="00505292"/>
    <w:rsid w:val="005052A0"/>
    <w:rsid w:val="005052BA"/>
    <w:rsid w:val="005052F6"/>
    <w:rsid w:val="00505331"/>
    <w:rsid w:val="00505349"/>
    <w:rsid w:val="0050539F"/>
    <w:rsid w:val="00505423"/>
    <w:rsid w:val="00505462"/>
    <w:rsid w:val="0050548F"/>
    <w:rsid w:val="005054D1"/>
    <w:rsid w:val="00505528"/>
    <w:rsid w:val="0050553F"/>
    <w:rsid w:val="00505547"/>
    <w:rsid w:val="005055F8"/>
    <w:rsid w:val="00505617"/>
    <w:rsid w:val="00505633"/>
    <w:rsid w:val="00505645"/>
    <w:rsid w:val="00505755"/>
    <w:rsid w:val="005057A3"/>
    <w:rsid w:val="005057C6"/>
    <w:rsid w:val="00505898"/>
    <w:rsid w:val="005058DA"/>
    <w:rsid w:val="005058E3"/>
    <w:rsid w:val="0050599D"/>
    <w:rsid w:val="005059DA"/>
    <w:rsid w:val="00505A0D"/>
    <w:rsid w:val="00505A16"/>
    <w:rsid w:val="00505A71"/>
    <w:rsid w:val="00505A97"/>
    <w:rsid w:val="00505BB2"/>
    <w:rsid w:val="00505BBB"/>
    <w:rsid w:val="00505BF4"/>
    <w:rsid w:val="00505CDD"/>
    <w:rsid w:val="00505D14"/>
    <w:rsid w:val="00505DAC"/>
    <w:rsid w:val="00505DDC"/>
    <w:rsid w:val="00505E28"/>
    <w:rsid w:val="00505E60"/>
    <w:rsid w:val="00505E64"/>
    <w:rsid w:val="00505F29"/>
    <w:rsid w:val="00505F89"/>
    <w:rsid w:val="00505FE2"/>
    <w:rsid w:val="00505FF2"/>
    <w:rsid w:val="0050602E"/>
    <w:rsid w:val="00506049"/>
    <w:rsid w:val="0050604D"/>
    <w:rsid w:val="00506072"/>
    <w:rsid w:val="00506125"/>
    <w:rsid w:val="005061E9"/>
    <w:rsid w:val="005062A3"/>
    <w:rsid w:val="00506322"/>
    <w:rsid w:val="005063D0"/>
    <w:rsid w:val="00506484"/>
    <w:rsid w:val="005064F0"/>
    <w:rsid w:val="005064FA"/>
    <w:rsid w:val="0050651E"/>
    <w:rsid w:val="00506534"/>
    <w:rsid w:val="0050658F"/>
    <w:rsid w:val="005065CA"/>
    <w:rsid w:val="0050661F"/>
    <w:rsid w:val="0050663E"/>
    <w:rsid w:val="005066CD"/>
    <w:rsid w:val="0050670C"/>
    <w:rsid w:val="00506728"/>
    <w:rsid w:val="00506798"/>
    <w:rsid w:val="005067FB"/>
    <w:rsid w:val="00506841"/>
    <w:rsid w:val="0050689D"/>
    <w:rsid w:val="005068FB"/>
    <w:rsid w:val="00506971"/>
    <w:rsid w:val="00506973"/>
    <w:rsid w:val="0050698A"/>
    <w:rsid w:val="005069E4"/>
    <w:rsid w:val="00506A19"/>
    <w:rsid w:val="00506AFE"/>
    <w:rsid w:val="00506B33"/>
    <w:rsid w:val="00506BDF"/>
    <w:rsid w:val="00506C28"/>
    <w:rsid w:val="00506C59"/>
    <w:rsid w:val="00506D0B"/>
    <w:rsid w:val="00506DF7"/>
    <w:rsid w:val="00506E4D"/>
    <w:rsid w:val="00506E72"/>
    <w:rsid w:val="00506EAD"/>
    <w:rsid w:val="00506F2D"/>
    <w:rsid w:val="00506F60"/>
    <w:rsid w:val="00506FAD"/>
    <w:rsid w:val="00506FF7"/>
    <w:rsid w:val="00506FFE"/>
    <w:rsid w:val="00507031"/>
    <w:rsid w:val="0050709E"/>
    <w:rsid w:val="00507120"/>
    <w:rsid w:val="0050717E"/>
    <w:rsid w:val="005071CD"/>
    <w:rsid w:val="0050724E"/>
    <w:rsid w:val="0050725F"/>
    <w:rsid w:val="005072C7"/>
    <w:rsid w:val="005072D3"/>
    <w:rsid w:val="00507340"/>
    <w:rsid w:val="00507381"/>
    <w:rsid w:val="005073FB"/>
    <w:rsid w:val="0050740D"/>
    <w:rsid w:val="00507424"/>
    <w:rsid w:val="0050745E"/>
    <w:rsid w:val="005074B5"/>
    <w:rsid w:val="00507504"/>
    <w:rsid w:val="0050761B"/>
    <w:rsid w:val="00507667"/>
    <w:rsid w:val="00507677"/>
    <w:rsid w:val="005076D0"/>
    <w:rsid w:val="005076F1"/>
    <w:rsid w:val="005077CD"/>
    <w:rsid w:val="005077E1"/>
    <w:rsid w:val="00507805"/>
    <w:rsid w:val="00507826"/>
    <w:rsid w:val="00507865"/>
    <w:rsid w:val="00507944"/>
    <w:rsid w:val="00507958"/>
    <w:rsid w:val="00507987"/>
    <w:rsid w:val="00507989"/>
    <w:rsid w:val="0050799C"/>
    <w:rsid w:val="005079B9"/>
    <w:rsid w:val="005079EB"/>
    <w:rsid w:val="00507A96"/>
    <w:rsid w:val="00507AA5"/>
    <w:rsid w:val="00507ABF"/>
    <w:rsid w:val="00507B7C"/>
    <w:rsid w:val="00507B8B"/>
    <w:rsid w:val="00507BA5"/>
    <w:rsid w:val="00507C2A"/>
    <w:rsid w:val="00507D05"/>
    <w:rsid w:val="00507E6B"/>
    <w:rsid w:val="00507E81"/>
    <w:rsid w:val="00507EAD"/>
    <w:rsid w:val="00507ED8"/>
    <w:rsid w:val="00507EDA"/>
    <w:rsid w:val="00507EED"/>
    <w:rsid w:val="00507EFF"/>
    <w:rsid w:val="00507F59"/>
    <w:rsid w:val="00507F6B"/>
    <w:rsid w:val="00507F79"/>
    <w:rsid w:val="00507F7E"/>
    <w:rsid w:val="00507FB8"/>
    <w:rsid w:val="00507FDF"/>
    <w:rsid w:val="0051002F"/>
    <w:rsid w:val="0051007C"/>
    <w:rsid w:val="005100D6"/>
    <w:rsid w:val="00510199"/>
    <w:rsid w:val="00510219"/>
    <w:rsid w:val="00510233"/>
    <w:rsid w:val="005102B0"/>
    <w:rsid w:val="005102B9"/>
    <w:rsid w:val="005102D4"/>
    <w:rsid w:val="005102F6"/>
    <w:rsid w:val="0051035C"/>
    <w:rsid w:val="0051038E"/>
    <w:rsid w:val="00510413"/>
    <w:rsid w:val="00510486"/>
    <w:rsid w:val="005104B1"/>
    <w:rsid w:val="005104B4"/>
    <w:rsid w:val="0051065F"/>
    <w:rsid w:val="0051066C"/>
    <w:rsid w:val="005106B0"/>
    <w:rsid w:val="00510741"/>
    <w:rsid w:val="00510868"/>
    <w:rsid w:val="005108C4"/>
    <w:rsid w:val="005108CD"/>
    <w:rsid w:val="005108D2"/>
    <w:rsid w:val="00510903"/>
    <w:rsid w:val="00510948"/>
    <w:rsid w:val="00510949"/>
    <w:rsid w:val="0051094A"/>
    <w:rsid w:val="00510979"/>
    <w:rsid w:val="005109EB"/>
    <w:rsid w:val="00510B3C"/>
    <w:rsid w:val="00510B45"/>
    <w:rsid w:val="00510B97"/>
    <w:rsid w:val="00510BD6"/>
    <w:rsid w:val="00510BEF"/>
    <w:rsid w:val="00510CDA"/>
    <w:rsid w:val="00510CDD"/>
    <w:rsid w:val="00510D0F"/>
    <w:rsid w:val="00510D4E"/>
    <w:rsid w:val="00510D9B"/>
    <w:rsid w:val="00510DCD"/>
    <w:rsid w:val="00510E37"/>
    <w:rsid w:val="00510E41"/>
    <w:rsid w:val="00510E51"/>
    <w:rsid w:val="00510E5C"/>
    <w:rsid w:val="00510E70"/>
    <w:rsid w:val="00510ED2"/>
    <w:rsid w:val="00510F66"/>
    <w:rsid w:val="00510FF2"/>
    <w:rsid w:val="00511026"/>
    <w:rsid w:val="005110B7"/>
    <w:rsid w:val="005110EF"/>
    <w:rsid w:val="00511139"/>
    <w:rsid w:val="00511168"/>
    <w:rsid w:val="0051118C"/>
    <w:rsid w:val="005111D5"/>
    <w:rsid w:val="005111EC"/>
    <w:rsid w:val="00511202"/>
    <w:rsid w:val="00511278"/>
    <w:rsid w:val="0051131A"/>
    <w:rsid w:val="005113F7"/>
    <w:rsid w:val="00511402"/>
    <w:rsid w:val="005114F3"/>
    <w:rsid w:val="005114FC"/>
    <w:rsid w:val="00511529"/>
    <w:rsid w:val="00511629"/>
    <w:rsid w:val="005116CB"/>
    <w:rsid w:val="005117E6"/>
    <w:rsid w:val="005118D2"/>
    <w:rsid w:val="00511929"/>
    <w:rsid w:val="0051193E"/>
    <w:rsid w:val="00511984"/>
    <w:rsid w:val="0051199B"/>
    <w:rsid w:val="00511A1B"/>
    <w:rsid w:val="00511A3C"/>
    <w:rsid w:val="00511A41"/>
    <w:rsid w:val="00511B78"/>
    <w:rsid w:val="00511B97"/>
    <w:rsid w:val="00511BC8"/>
    <w:rsid w:val="00511BE7"/>
    <w:rsid w:val="00511C56"/>
    <w:rsid w:val="00511C87"/>
    <w:rsid w:val="00511C92"/>
    <w:rsid w:val="00511CB3"/>
    <w:rsid w:val="00511CCD"/>
    <w:rsid w:val="00511CE0"/>
    <w:rsid w:val="00511CE4"/>
    <w:rsid w:val="00511CE5"/>
    <w:rsid w:val="00511CFD"/>
    <w:rsid w:val="00511CFE"/>
    <w:rsid w:val="00511D06"/>
    <w:rsid w:val="00511D45"/>
    <w:rsid w:val="00511D94"/>
    <w:rsid w:val="00511DDE"/>
    <w:rsid w:val="00511E21"/>
    <w:rsid w:val="00511E22"/>
    <w:rsid w:val="00511ED8"/>
    <w:rsid w:val="00511F5A"/>
    <w:rsid w:val="00511FA2"/>
    <w:rsid w:val="00511FAF"/>
    <w:rsid w:val="00512010"/>
    <w:rsid w:val="005120BB"/>
    <w:rsid w:val="005120D7"/>
    <w:rsid w:val="0051210E"/>
    <w:rsid w:val="00512125"/>
    <w:rsid w:val="005121A5"/>
    <w:rsid w:val="005121BC"/>
    <w:rsid w:val="005121DD"/>
    <w:rsid w:val="0051224F"/>
    <w:rsid w:val="005122B2"/>
    <w:rsid w:val="005122C0"/>
    <w:rsid w:val="00512308"/>
    <w:rsid w:val="005123CF"/>
    <w:rsid w:val="005123E2"/>
    <w:rsid w:val="0051240B"/>
    <w:rsid w:val="0051243C"/>
    <w:rsid w:val="0051245B"/>
    <w:rsid w:val="005124A8"/>
    <w:rsid w:val="005124D8"/>
    <w:rsid w:val="005124DA"/>
    <w:rsid w:val="00512500"/>
    <w:rsid w:val="0051253F"/>
    <w:rsid w:val="00512572"/>
    <w:rsid w:val="005125DF"/>
    <w:rsid w:val="00512625"/>
    <w:rsid w:val="0051265C"/>
    <w:rsid w:val="00512660"/>
    <w:rsid w:val="005126D4"/>
    <w:rsid w:val="005127E4"/>
    <w:rsid w:val="00512850"/>
    <w:rsid w:val="00512879"/>
    <w:rsid w:val="005128DD"/>
    <w:rsid w:val="00512907"/>
    <w:rsid w:val="005129D3"/>
    <w:rsid w:val="00512AC8"/>
    <w:rsid w:val="00512AD2"/>
    <w:rsid w:val="00512B7C"/>
    <w:rsid w:val="00512BDD"/>
    <w:rsid w:val="00512BFC"/>
    <w:rsid w:val="00512CFE"/>
    <w:rsid w:val="00512D40"/>
    <w:rsid w:val="00512DA6"/>
    <w:rsid w:val="00512DB5"/>
    <w:rsid w:val="00512E22"/>
    <w:rsid w:val="00512E39"/>
    <w:rsid w:val="00512E6A"/>
    <w:rsid w:val="00512F3B"/>
    <w:rsid w:val="00512F5A"/>
    <w:rsid w:val="00513025"/>
    <w:rsid w:val="005130D1"/>
    <w:rsid w:val="0051313C"/>
    <w:rsid w:val="00513171"/>
    <w:rsid w:val="00513182"/>
    <w:rsid w:val="00513188"/>
    <w:rsid w:val="00513194"/>
    <w:rsid w:val="005131BA"/>
    <w:rsid w:val="00513233"/>
    <w:rsid w:val="00513243"/>
    <w:rsid w:val="00513255"/>
    <w:rsid w:val="0051333F"/>
    <w:rsid w:val="005133AB"/>
    <w:rsid w:val="005133D1"/>
    <w:rsid w:val="005133EA"/>
    <w:rsid w:val="00513477"/>
    <w:rsid w:val="0051347A"/>
    <w:rsid w:val="005134FF"/>
    <w:rsid w:val="00513620"/>
    <w:rsid w:val="005136E1"/>
    <w:rsid w:val="00513705"/>
    <w:rsid w:val="00513751"/>
    <w:rsid w:val="00513756"/>
    <w:rsid w:val="005137A9"/>
    <w:rsid w:val="005137AC"/>
    <w:rsid w:val="005137D3"/>
    <w:rsid w:val="005137EA"/>
    <w:rsid w:val="00513800"/>
    <w:rsid w:val="00513827"/>
    <w:rsid w:val="00513879"/>
    <w:rsid w:val="00513911"/>
    <w:rsid w:val="00513916"/>
    <w:rsid w:val="0051398D"/>
    <w:rsid w:val="00513992"/>
    <w:rsid w:val="005139C6"/>
    <w:rsid w:val="005139E9"/>
    <w:rsid w:val="00513A68"/>
    <w:rsid w:val="00513AA4"/>
    <w:rsid w:val="00513AAC"/>
    <w:rsid w:val="00513B3C"/>
    <w:rsid w:val="00513BB0"/>
    <w:rsid w:val="00513BCA"/>
    <w:rsid w:val="00513C9B"/>
    <w:rsid w:val="00513CA2"/>
    <w:rsid w:val="00513CC4"/>
    <w:rsid w:val="00513D4D"/>
    <w:rsid w:val="00513E27"/>
    <w:rsid w:val="00513E2F"/>
    <w:rsid w:val="00513E3F"/>
    <w:rsid w:val="00513E47"/>
    <w:rsid w:val="00513ECB"/>
    <w:rsid w:val="00513EDE"/>
    <w:rsid w:val="00514009"/>
    <w:rsid w:val="0051402B"/>
    <w:rsid w:val="005140D3"/>
    <w:rsid w:val="0051413B"/>
    <w:rsid w:val="0051415C"/>
    <w:rsid w:val="0051428E"/>
    <w:rsid w:val="005142E0"/>
    <w:rsid w:val="0051437E"/>
    <w:rsid w:val="005143F3"/>
    <w:rsid w:val="0051446A"/>
    <w:rsid w:val="00514490"/>
    <w:rsid w:val="0051449B"/>
    <w:rsid w:val="005144BC"/>
    <w:rsid w:val="005144DD"/>
    <w:rsid w:val="0051451A"/>
    <w:rsid w:val="0051455A"/>
    <w:rsid w:val="0051458E"/>
    <w:rsid w:val="00514598"/>
    <w:rsid w:val="005145BC"/>
    <w:rsid w:val="00514641"/>
    <w:rsid w:val="00514692"/>
    <w:rsid w:val="005146DC"/>
    <w:rsid w:val="005146E1"/>
    <w:rsid w:val="0051479F"/>
    <w:rsid w:val="005147BC"/>
    <w:rsid w:val="00514854"/>
    <w:rsid w:val="00514875"/>
    <w:rsid w:val="0051492A"/>
    <w:rsid w:val="005149DB"/>
    <w:rsid w:val="00514AB3"/>
    <w:rsid w:val="00514AF9"/>
    <w:rsid w:val="00514B47"/>
    <w:rsid w:val="00514B8E"/>
    <w:rsid w:val="00514BF7"/>
    <w:rsid w:val="00514C65"/>
    <w:rsid w:val="00514C7D"/>
    <w:rsid w:val="00514C94"/>
    <w:rsid w:val="00514C98"/>
    <w:rsid w:val="00514DB0"/>
    <w:rsid w:val="00514DB7"/>
    <w:rsid w:val="00514E0E"/>
    <w:rsid w:val="00514E7C"/>
    <w:rsid w:val="00514E81"/>
    <w:rsid w:val="00514ED6"/>
    <w:rsid w:val="00514EF3"/>
    <w:rsid w:val="00514EF4"/>
    <w:rsid w:val="00514EF9"/>
    <w:rsid w:val="00514F18"/>
    <w:rsid w:val="00514F54"/>
    <w:rsid w:val="0051502A"/>
    <w:rsid w:val="00515041"/>
    <w:rsid w:val="005150C7"/>
    <w:rsid w:val="00515118"/>
    <w:rsid w:val="00515149"/>
    <w:rsid w:val="00515157"/>
    <w:rsid w:val="005151C4"/>
    <w:rsid w:val="005151F2"/>
    <w:rsid w:val="00515219"/>
    <w:rsid w:val="0051521A"/>
    <w:rsid w:val="005152E1"/>
    <w:rsid w:val="00515366"/>
    <w:rsid w:val="0051548E"/>
    <w:rsid w:val="005154B7"/>
    <w:rsid w:val="00515504"/>
    <w:rsid w:val="00515542"/>
    <w:rsid w:val="00515595"/>
    <w:rsid w:val="005155D4"/>
    <w:rsid w:val="005155E6"/>
    <w:rsid w:val="0051561F"/>
    <w:rsid w:val="0051562E"/>
    <w:rsid w:val="005156F4"/>
    <w:rsid w:val="0051577A"/>
    <w:rsid w:val="00515790"/>
    <w:rsid w:val="005157B9"/>
    <w:rsid w:val="00515838"/>
    <w:rsid w:val="00515854"/>
    <w:rsid w:val="0051586E"/>
    <w:rsid w:val="0051594E"/>
    <w:rsid w:val="00515975"/>
    <w:rsid w:val="00515989"/>
    <w:rsid w:val="0051599F"/>
    <w:rsid w:val="005159AE"/>
    <w:rsid w:val="005159DB"/>
    <w:rsid w:val="00515A83"/>
    <w:rsid w:val="00515AE6"/>
    <w:rsid w:val="00515B0D"/>
    <w:rsid w:val="00515BB0"/>
    <w:rsid w:val="00515BCE"/>
    <w:rsid w:val="00515C48"/>
    <w:rsid w:val="00515C92"/>
    <w:rsid w:val="00515CD8"/>
    <w:rsid w:val="00515CEA"/>
    <w:rsid w:val="00515D33"/>
    <w:rsid w:val="00515D93"/>
    <w:rsid w:val="00515E58"/>
    <w:rsid w:val="00515F80"/>
    <w:rsid w:val="00516023"/>
    <w:rsid w:val="005160B1"/>
    <w:rsid w:val="005160C0"/>
    <w:rsid w:val="0051613A"/>
    <w:rsid w:val="005161E6"/>
    <w:rsid w:val="00516315"/>
    <w:rsid w:val="00516340"/>
    <w:rsid w:val="0051637F"/>
    <w:rsid w:val="005163CF"/>
    <w:rsid w:val="00516412"/>
    <w:rsid w:val="0051652D"/>
    <w:rsid w:val="0051655A"/>
    <w:rsid w:val="0051658A"/>
    <w:rsid w:val="0051664D"/>
    <w:rsid w:val="00516650"/>
    <w:rsid w:val="0051668B"/>
    <w:rsid w:val="00516782"/>
    <w:rsid w:val="0051679F"/>
    <w:rsid w:val="005167BE"/>
    <w:rsid w:val="005167C6"/>
    <w:rsid w:val="005167E8"/>
    <w:rsid w:val="0051681D"/>
    <w:rsid w:val="0051684D"/>
    <w:rsid w:val="0051686E"/>
    <w:rsid w:val="005168EC"/>
    <w:rsid w:val="005169A0"/>
    <w:rsid w:val="005169A1"/>
    <w:rsid w:val="005169F3"/>
    <w:rsid w:val="00516A18"/>
    <w:rsid w:val="00516A49"/>
    <w:rsid w:val="00516A51"/>
    <w:rsid w:val="00516AD3"/>
    <w:rsid w:val="00516B26"/>
    <w:rsid w:val="00516B62"/>
    <w:rsid w:val="00516BF1"/>
    <w:rsid w:val="00516C0E"/>
    <w:rsid w:val="00516C0F"/>
    <w:rsid w:val="00516C1A"/>
    <w:rsid w:val="00516D02"/>
    <w:rsid w:val="00516D20"/>
    <w:rsid w:val="00516D50"/>
    <w:rsid w:val="00516FBD"/>
    <w:rsid w:val="00516FED"/>
    <w:rsid w:val="00517016"/>
    <w:rsid w:val="00517129"/>
    <w:rsid w:val="0051719F"/>
    <w:rsid w:val="005172DE"/>
    <w:rsid w:val="005172F6"/>
    <w:rsid w:val="005172FC"/>
    <w:rsid w:val="0051730E"/>
    <w:rsid w:val="00517317"/>
    <w:rsid w:val="00517319"/>
    <w:rsid w:val="0051736F"/>
    <w:rsid w:val="0051745D"/>
    <w:rsid w:val="005174C0"/>
    <w:rsid w:val="00517554"/>
    <w:rsid w:val="00517619"/>
    <w:rsid w:val="00517677"/>
    <w:rsid w:val="0051771D"/>
    <w:rsid w:val="005177C8"/>
    <w:rsid w:val="005178C7"/>
    <w:rsid w:val="005178F9"/>
    <w:rsid w:val="00517919"/>
    <w:rsid w:val="00517927"/>
    <w:rsid w:val="0051792A"/>
    <w:rsid w:val="00517948"/>
    <w:rsid w:val="0051795A"/>
    <w:rsid w:val="0051796D"/>
    <w:rsid w:val="0051798E"/>
    <w:rsid w:val="005179BC"/>
    <w:rsid w:val="00517A05"/>
    <w:rsid w:val="00517A3F"/>
    <w:rsid w:val="00517A43"/>
    <w:rsid w:val="00517A6A"/>
    <w:rsid w:val="00517B34"/>
    <w:rsid w:val="00517BC5"/>
    <w:rsid w:val="00517BFB"/>
    <w:rsid w:val="00517C3A"/>
    <w:rsid w:val="00517CEB"/>
    <w:rsid w:val="00517D35"/>
    <w:rsid w:val="00517D47"/>
    <w:rsid w:val="00517DCD"/>
    <w:rsid w:val="00517E49"/>
    <w:rsid w:val="00517E73"/>
    <w:rsid w:val="00517EA3"/>
    <w:rsid w:val="00517EB3"/>
    <w:rsid w:val="00517ED2"/>
    <w:rsid w:val="00517F48"/>
    <w:rsid w:val="00517FA1"/>
    <w:rsid w:val="0052003D"/>
    <w:rsid w:val="00520043"/>
    <w:rsid w:val="005201B2"/>
    <w:rsid w:val="005201B7"/>
    <w:rsid w:val="00520248"/>
    <w:rsid w:val="005202CE"/>
    <w:rsid w:val="00520302"/>
    <w:rsid w:val="00520365"/>
    <w:rsid w:val="005203C6"/>
    <w:rsid w:val="00520404"/>
    <w:rsid w:val="0052040E"/>
    <w:rsid w:val="00520416"/>
    <w:rsid w:val="00520440"/>
    <w:rsid w:val="00520490"/>
    <w:rsid w:val="005204BC"/>
    <w:rsid w:val="00520514"/>
    <w:rsid w:val="00520548"/>
    <w:rsid w:val="0052055A"/>
    <w:rsid w:val="005205A0"/>
    <w:rsid w:val="00520680"/>
    <w:rsid w:val="005206B3"/>
    <w:rsid w:val="00520742"/>
    <w:rsid w:val="0052079A"/>
    <w:rsid w:val="005207EA"/>
    <w:rsid w:val="00520824"/>
    <w:rsid w:val="0052087E"/>
    <w:rsid w:val="0052087F"/>
    <w:rsid w:val="005208DA"/>
    <w:rsid w:val="005208E6"/>
    <w:rsid w:val="00520920"/>
    <w:rsid w:val="0052096F"/>
    <w:rsid w:val="00520A2A"/>
    <w:rsid w:val="00520A50"/>
    <w:rsid w:val="00520A99"/>
    <w:rsid w:val="00520AAD"/>
    <w:rsid w:val="00520C33"/>
    <w:rsid w:val="00520C4A"/>
    <w:rsid w:val="00520CA7"/>
    <w:rsid w:val="00520CF1"/>
    <w:rsid w:val="00520DC1"/>
    <w:rsid w:val="00520E02"/>
    <w:rsid w:val="00520E20"/>
    <w:rsid w:val="00520E98"/>
    <w:rsid w:val="00520EB2"/>
    <w:rsid w:val="00520F42"/>
    <w:rsid w:val="00520F87"/>
    <w:rsid w:val="00520FE3"/>
    <w:rsid w:val="005210F3"/>
    <w:rsid w:val="00521137"/>
    <w:rsid w:val="00521171"/>
    <w:rsid w:val="005211D9"/>
    <w:rsid w:val="005211F3"/>
    <w:rsid w:val="00521212"/>
    <w:rsid w:val="0052126D"/>
    <w:rsid w:val="00521299"/>
    <w:rsid w:val="0052130B"/>
    <w:rsid w:val="0052134C"/>
    <w:rsid w:val="0052136B"/>
    <w:rsid w:val="0052138D"/>
    <w:rsid w:val="005213A1"/>
    <w:rsid w:val="00521408"/>
    <w:rsid w:val="0052146A"/>
    <w:rsid w:val="0052147B"/>
    <w:rsid w:val="0052149D"/>
    <w:rsid w:val="005216F3"/>
    <w:rsid w:val="005216FA"/>
    <w:rsid w:val="00521743"/>
    <w:rsid w:val="00521780"/>
    <w:rsid w:val="005217DA"/>
    <w:rsid w:val="005217DD"/>
    <w:rsid w:val="00521928"/>
    <w:rsid w:val="00521946"/>
    <w:rsid w:val="00521978"/>
    <w:rsid w:val="005219C3"/>
    <w:rsid w:val="005219E6"/>
    <w:rsid w:val="00521A60"/>
    <w:rsid w:val="00521B26"/>
    <w:rsid w:val="00521BE2"/>
    <w:rsid w:val="00521C3B"/>
    <w:rsid w:val="00521C54"/>
    <w:rsid w:val="00521CF1"/>
    <w:rsid w:val="00521D32"/>
    <w:rsid w:val="00521D7D"/>
    <w:rsid w:val="00521D82"/>
    <w:rsid w:val="00521E6C"/>
    <w:rsid w:val="00521E7F"/>
    <w:rsid w:val="00521EB5"/>
    <w:rsid w:val="00521EB8"/>
    <w:rsid w:val="00521ED7"/>
    <w:rsid w:val="00521EEC"/>
    <w:rsid w:val="00521F36"/>
    <w:rsid w:val="00521F48"/>
    <w:rsid w:val="0052201D"/>
    <w:rsid w:val="005220EF"/>
    <w:rsid w:val="005221D5"/>
    <w:rsid w:val="00522247"/>
    <w:rsid w:val="0052226B"/>
    <w:rsid w:val="00522381"/>
    <w:rsid w:val="00522476"/>
    <w:rsid w:val="005224AB"/>
    <w:rsid w:val="005224D8"/>
    <w:rsid w:val="0052253E"/>
    <w:rsid w:val="0052254A"/>
    <w:rsid w:val="00522595"/>
    <w:rsid w:val="005225A5"/>
    <w:rsid w:val="005226B9"/>
    <w:rsid w:val="0052271A"/>
    <w:rsid w:val="0052275C"/>
    <w:rsid w:val="0052281A"/>
    <w:rsid w:val="005228B5"/>
    <w:rsid w:val="00522A1E"/>
    <w:rsid w:val="00522ABC"/>
    <w:rsid w:val="00522AC9"/>
    <w:rsid w:val="00522B12"/>
    <w:rsid w:val="00522BCE"/>
    <w:rsid w:val="00522C39"/>
    <w:rsid w:val="00522CDD"/>
    <w:rsid w:val="00522CE1"/>
    <w:rsid w:val="00522CE8"/>
    <w:rsid w:val="00522D25"/>
    <w:rsid w:val="00522D81"/>
    <w:rsid w:val="00522D9F"/>
    <w:rsid w:val="00522DD3"/>
    <w:rsid w:val="00522E18"/>
    <w:rsid w:val="00522E2C"/>
    <w:rsid w:val="00522E38"/>
    <w:rsid w:val="00522E3C"/>
    <w:rsid w:val="00522E4E"/>
    <w:rsid w:val="00522EB2"/>
    <w:rsid w:val="00522F75"/>
    <w:rsid w:val="00522F83"/>
    <w:rsid w:val="00522FBD"/>
    <w:rsid w:val="00522FC3"/>
    <w:rsid w:val="00522FC6"/>
    <w:rsid w:val="005230C3"/>
    <w:rsid w:val="00523162"/>
    <w:rsid w:val="00523163"/>
    <w:rsid w:val="0052316A"/>
    <w:rsid w:val="00523196"/>
    <w:rsid w:val="005231D7"/>
    <w:rsid w:val="00523217"/>
    <w:rsid w:val="0052323D"/>
    <w:rsid w:val="005232CA"/>
    <w:rsid w:val="005232FD"/>
    <w:rsid w:val="00523353"/>
    <w:rsid w:val="0052341B"/>
    <w:rsid w:val="005234B0"/>
    <w:rsid w:val="005234B9"/>
    <w:rsid w:val="005234F3"/>
    <w:rsid w:val="00523518"/>
    <w:rsid w:val="00523635"/>
    <w:rsid w:val="00523650"/>
    <w:rsid w:val="00523724"/>
    <w:rsid w:val="0052385A"/>
    <w:rsid w:val="005238B5"/>
    <w:rsid w:val="00523924"/>
    <w:rsid w:val="0052392D"/>
    <w:rsid w:val="00523994"/>
    <w:rsid w:val="0052399F"/>
    <w:rsid w:val="005239B1"/>
    <w:rsid w:val="005239B7"/>
    <w:rsid w:val="005239C1"/>
    <w:rsid w:val="00523A05"/>
    <w:rsid w:val="00523A34"/>
    <w:rsid w:val="00523A85"/>
    <w:rsid w:val="00523A98"/>
    <w:rsid w:val="00523AF2"/>
    <w:rsid w:val="00523AF3"/>
    <w:rsid w:val="00523B17"/>
    <w:rsid w:val="00523B3A"/>
    <w:rsid w:val="00523BA4"/>
    <w:rsid w:val="00523BD5"/>
    <w:rsid w:val="00523C3A"/>
    <w:rsid w:val="00523C5D"/>
    <w:rsid w:val="00523C9E"/>
    <w:rsid w:val="00523CDD"/>
    <w:rsid w:val="00523D53"/>
    <w:rsid w:val="00523DE0"/>
    <w:rsid w:val="00523E69"/>
    <w:rsid w:val="00523E76"/>
    <w:rsid w:val="00523F30"/>
    <w:rsid w:val="00523F50"/>
    <w:rsid w:val="00523F54"/>
    <w:rsid w:val="00523F67"/>
    <w:rsid w:val="00523FB5"/>
    <w:rsid w:val="00524012"/>
    <w:rsid w:val="00524022"/>
    <w:rsid w:val="0052403F"/>
    <w:rsid w:val="0052404F"/>
    <w:rsid w:val="00524063"/>
    <w:rsid w:val="005240F7"/>
    <w:rsid w:val="00524129"/>
    <w:rsid w:val="005241AE"/>
    <w:rsid w:val="00524200"/>
    <w:rsid w:val="0052424E"/>
    <w:rsid w:val="005242BA"/>
    <w:rsid w:val="005242F2"/>
    <w:rsid w:val="00524344"/>
    <w:rsid w:val="00524373"/>
    <w:rsid w:val="0052438B"/>
    <w:rsid w:val="005243B4"/>
    <w:rsid w:val="005243D7"/>
    <w:rsid w:val="00524473"/>
    <w:rsid w:val="00524483"/>
    <w:rsid w:val="00524487"/>
    <w:rsid w:val="0052452C"/>
    <w:rsid w:val="0052456C"/>
    <w:rsid w:val="00524592"/>
    <w:rsid w:val="005245F2"/>
    <w:rsid w:val="00524601"/>
    <w:rsid w:val="00524678"/>
    <w:rsid w:val="00524700"/>
    <w:rsid w:val="00524735"/>
    <w:rsid w:val="00524823"/>
    <w:rsid w:val="00524862"/>
    <w:rsid w:val="00524905"/>
    <w:rsid w:val="00524935"/>
    <w:rsid w:val="00524981"/>
    <w:rsid w:val="005249BB"/>
    <w:rsid w:val="005249DC"/>
    <w:rsid w:val="00524A2B"/>
    <w:rsid w:val="00524A7B"/>
    <w:rsid w:val="00524A81"/>
    <w:rsid w:val="00524B51"/>
    <w:rsid w:val="00524B5C"/>
    <w:rsid w:val="00524B80"/>
    <w:rsid w:val="00524BA8"/>
    <w:rsid w:val="00524BD2"/>
    <w:rsid w:val="00524C28"/>
    <w:rsid w:val="00524C50"/>
    <w:rsid w:val="00524C57"/>
    <w:rsid w:val="00524C62"/>
    <w:rsid w:val="00524CEF"/>
    <w:rsid w:val="00524D4D"/>
    <w:rsid w:val="00524D7E"/>
    <w:rsid w:val="00524DF6"/>
    <w:rsid w:val="00524E0D"/>
    <w:rsid w:val="00524E54"/>
    <w:rsid w:val="00524E91"/>
    <w:rsid w:val="00524E98"/>
    <w:rsid w:val="00524EAD"/>
    <w:rsid w:val="00524F2C"/>
    <w:rsid w:val="00524F98"/>
    <w:rsid w:val="00524F9E"/>
    <w:rsid w:val="00524FA5"/>
    <w:rsid w:val="00524FCD"/>
    <w:rsid w:val="00525014"/>
    <w:rsid w:val="00525030"/>
    <w:rsid w:val="00525050"/>
    <w:rsid w:val="00525072"/>
    <w:rsid w:val="005250AE"/>
    <w:rsid w:val="005250D9"/>
    <w:rsid w:val="00525100"/>
    <w:rsid w:val="0052510C"/>
    <w:rsid w:val="00525157"/>
    <w:rsid w:val="00525178"/>
    <w:rsid w:val="005251ED"/>
    <w:rsid w:val="00525348"/>
    <w:rsid w:val="00525435"/>
    <w:rsid w:val="005254B1"/>
    <w:rsid w:val="005254D7"/>
    <w:rsid w:val="0052554F"/>
    <w:rsid w:val="0052559F"/>
    <w:rsid w:val="00525618"/>
    <w:rsid w:val="0052568B"/>
    <w:rsid w:val="005256AE"/>
    <w:rsid w:val="005256B3"/>
    <w:rsid w:val="00525715"/>
    <w:rsid w:val="00525731"/>
    <w:rsid w:val="00525795"/>
    <w:rsid w:val="005257D9"/>
    <w:rsid w:val="0052583D"/>
    <w:rsid w:val="005258B7"/>
    <w:rsid w:val="005258E4"/>
    <w:rsid w:val="00525A77"/>
    <w:rsid w:val="00525B34"/>
    <w:rsid w:val="00525BB0"/>
    <w:rsid w:val="00525C01"/>
    <w:rsid w:val="00525C6D"/>
    <w:rsid w:val="00525CDC"/>
    <w:rsid w:val="00525D16"/>
    <w:rsid w:val="00525D28"/>
    <w:rsid w:val="00525D7F"/>
    <w:rsid w:val="00525E8D"/>
    <w:rsid w:val="00525F21"/>
    <w:rsid w:val="00525F49"/>
    <w:rsid w:val="00525FD9"/>
    <w:rsid w:val="00525FE7"/>
    <w:rsid w:val="00526009"/>
    <w:rsid w:val="00526043"/>
    <w:rsid w:val="00526050"/>
    <w:rsid w:val="00526059"/>
    <w:rsid w:val="00526099"/>
    <w:rsid w:val="005260CE"/>
    <w:rsid w:val="0052617C"/>
    <w:rsid w:val="00526359"/>
    <w:rsid w:val="00526366"/>
    <w:rsid w:val="0052645B"/>
    <w:rsid w:val="0052646E"/>
    <w:rsid w:val="005264B3"/>
    <w:rsid w:val="005264CC"/>
    <w:rsid w:val="005264CE"/>
    <w:rsid w:val="005264D5"/>
    <w:rsid w:val="005264F1"/>
    <w:rsid w:val="0052650E"/>
    <w:rsid w:val="0052653D"/>
    <w:rsid w:val="00526595"/>
    <w:rsid w:val="005265C8"/>
    <w:rsid w:val="0052661E"/>
    <w:rsid w:val="0052662E"/>
    <w:rsid w:val="0052668F"/>
    <w:rsid w:val="005266D2"/>
    <w:rsid w:val="00526746"/>
    <w:rsid w:val="0052679F"/>
    <w:rsid w:val="005267C0"/>
    <w:rsid w:val="0052681E"/>
    <w:rsid w:val="00526822"/>
    <w:rsid w:val="0052698E"/>
    <w:rsid w:val="005269C6"/>
    <w:rsid w:val="005269E2"/>
    <w:rsid w:val="00526A4B"/>
    <w:rsid w:val="00526AA6"/>
    <w:rsid w:val="00526B33"/>
    <w:rsid w:val="00526B6A"/>
    <w:rsid w:val="00526B6C"/>
    <w:rsid w:val="00526B71"/>
    <w:rsid w:val="00526C32"/>
    <w:rsid w:val="00526C6C"/>
    <w:rsid w:val="00526D07"/>
    <w:rsid w:val="00526D48"/>
    <w:rsid w:val="00526D86"/>
    <w:rsid w:val="00526DD6"/>
    <w:rsid w:val="00526DFA"/>
    <w:rsid w:val="00526E6B"/>
    <w:rsid w:val="00526EBE"/>
    <w:rsid w:val="00526F63"/>
    <w:rsid w:val="00526FA0"/>
    <w:rsid w:val="00526FC9"/>
    <w:rsid w:val="00526FE5"/>
    <w:rsid w:val="00526FF5"/>
    <w:rsid w:val="0052706D"/>
    <w:rsid w:val="00527086"/>
    <w:rsid w:val="00527107"/>
    <w:rsid w:val="00527170"/>
    <w:rsid w:val="00527176"/>
    <w:rsid w:val="00527196"/>
    <w:rsid w:val="005271A4"/>
    <w:rsid w:val="005271AB"/>
    <w:rsid w:val="00527212"/>
    <w:rsid w:val="00527242"/>
    <w:rsid w:val="005272AC"/>
    <w:rsid w:val="005272E2"/>
    <w:rsid w:val="00527372"/>
    <w:rsid w:val="00527381"/>
    <w:rsid w:val="005273A3"/>
    <w:rsid w:val="005274BB"/>
    <w:rsid w:val="0052756D"/>
    <w:rsid w:val="00527577"/>
    <w:rsid w:val="00527579"/>
    <w:rsid w:val="005275AB"/>
    <w:rsid w:val="005275B4"/>
    <w:rsid w:val="005275C6"/>
    <w:rsid w:val="0052760D"/>
    <w:rsid w:val="0052761D"/>
    <w:rsid w:val="00527634"/>
    <w:rsid w:val="00527635"/>
    <w:rsid w:val="0052767A"/>
    <w:rsid w:val="0052769A"/>
    <w:rsid w:val="00527700"/>
    <w:rsid w:val="00527733"/>
    <w:rsid w:val="0052778E"/>
    <w:rsid w:val="005277C3"/>
    <w:rsid w:val="005277D8"/>
    <w:rsid w:val="005277FE"/>
    <w:rsid w:val="00527844"/>
    <w:rsid w:val="0052788F"/>
    <w:rsid w:val="005278AD"/>
    <w:rsid w:val="00527924"/>
    <w:rsid w:val="00527933"/>
    <w:rsid w:val="00527989"/>
    <w:rsid w:val="00527A5C"/>
    <w:rsid w:val="00527AA9"/>
    <w:rsid w:val="00527AB1"/>
    <w:rsid w:val="00527AD3"/>
    <w:rsid w:val="00527B73"/>
    <w:rsid w:val="00527BAB"/>
    <w:rsid w:val="00527BD0"/>
    <w:rsid w:val="00527C09"/>
    <w:rsid w:val="00527CA3"/>
    <w:rsid w:val="00527CCD"/>
    <w:rsid w:val="00527DD5"/>
    <w:rsid w:val="00527E73"/>
    <w:rsid w:val="00527ED1"/>
    <w:rsid w:val="00527EF5"/>
    <w:rsid w:val="00527EFE"/>
    <w:rsid w:val="005300A5"/>
    <w:rsid w:val="005300EF"/>
    <w:rsid w:val="00530120"/>
    <w:rsid w:val="005301E0"/>
    <w:rsid w:val="00530267"/>
    <w:rsid w:val="005302C2"/>
    <w:rsid w:val="005302F7"/>
    <w:rsid w:val="0053032A"/>
    <w:rsid w:val="0053037C"/>
    <w:rsid w:val="005303BC"/>
    <w:rsid w:val="005303C8"/>
    <w:rsid w:val="00530440"/>
    <w:rsid w:val="00530468"/>
    <w:rsid w:val="0053048D"/>
    <w:rsid w:val="005304CE"/>
    <w:rsid w:val="0053051F"/>
    <w:rsid w:val="0053052E"/>
    <w:rsid w:val="0053053F"/>
    <w:rsid w:val="0053055F"/>
    <w:rsid w:val="00530577"/>
    <w:rsid w:val="005305AC"/>
    <w:rsid w:val="005305D9"/>
    <w:rsid w:val="005305EF"/>
    <w:rsid w:val="00530684"/>
    <w:rsid w:val="005306FF"/>
    <w:rsid w:val="00530726"/>
    <w:rsid w:val="00530735"/>
    <w:rsid w:val="00530768"/>
    <w:rsid w:val="005307D9"/>
    <w:rsid w:val="0053080F"/>
    <w:rsid w:val="00530887"/>
    <w:rsid w:val="005308A7"/>
    <w:rsid w:val="00530907"/>
    <w:rsid w:val="005309D1"/>
    <w:rsid w:val="005309F1"/>
    <w:rsid w:val="00530A30"/>
    <w:rsid w:val="00530A85"/>
    <w:rsid w:val="00530A96"/>
    <w:rsid w:val="00530AAA"/>
    <w:rsid w:val="00530ADD"/>
    <w:rsid w:val="00530BB1"/>
    <w:rsid w:val="00530BCA"/>
    <w:rsid w:val="00530BEC"/>
    <w:rsid w:val="00530C03"/>
    <w:rsid w:val="00530C84"/>
    <w:rsid w:val="00530C88"/>
    <w:rsid w:val="00530C94"/>
    <w:rsid w:val="00530CB7"/>
    <w:rsid w:val="00530CD3"/>
    <w:rsid w:val="00530CEB"/>
    <w:rsid w:val="00530D02"/>
    <w:rsid w:val="00530D22"/>
    <w:rsid w:val="00530D73"/>
    <w:rsid w:val="00530DC9"/>
    <w:rsid w:val="00530E3C"/>
    <w:rsid w:val="00530E87"/>
    <w:rsid w:val="00530F04"/>
    <w:rsid w:val="00530FE6"/>
    <w:rsid w:val="0053100C"/>
    <w:rsid w:val="00531054"/>
    <w:rsid w:val="00531079"/>
    <w:rsid w:val="00531121"/>
    <w:rsid w:val="0053114B"/>
    <w:rsid w:val="0053116F"/>
    <w:rsid w:val="005311AB"/>
    <w:rsid w:val="005311DC"/>
    <w:rsid w:val="005311E0"/>
    <w:rsid w:val="00531277"/>
    <w:rsid w:val="005312BD"/>
    <w:rsid w:val="005312E9"/>
    <w:rsid w:val="0053135E"/>
    <w:rsid w:val="005313A1"/>
    <w:rsid w:val="005313F5"/>
    <w:rsid w:val="0053147F"/>
    <w:rsid w:val="005314F2"/>
    <w:rsid w:val="005314F6"/>
    <w:rsid w:val="00531513"/>
    <w:rsid w:val="00531518"/>
    <w:rsid w:val="00531550"/>
    <w:rsid w:val="005315F7"/>
    <w:rsid w:val="0053161E"/>
    <w:rsid w:val="00531683"/>
    <w:rsid w:val="005316ED"/>
    <w:rsid w:val="005316F7"/>
    <w:rsid w:val="00531707"/>
    <w:rsid w:val="00531765"/>
    <w:rsid w:val="00531795"/>
    <w:rsid w:val="005317A0"/>
    <w:rsid w:val="00531843"/>
    <w:rsid w:val="00531860"/>
    <w:rsid w:val="00531876"/>
    <w:rsid w:val="00531894"/>
    <w:rsid w:val="0053194D"/>
    <w:rsid w:val="005319D2"/>
    <w:rsid w:val="00531B09"/>
    <w:rsid w:val="00531B57"/>
    <w:rsid w:val="00531B9F"/>
    <w:rsid w:val="00531BE1"/>
    <w:rsid w:val="00531C11"/>
    <w:rsid w:val="00531CA3"/>
    <w:rsid w:val="00531D15"/>
    <w:rsid w:val="00531D22"/>
    <w:rsid w:val="00531D52"/>
    <w:rsid w:val="00531DDA"/>
    <w:rsid w:val="00531E03"/>
    <w:rsid w:val="00531E19"/>
    <w:rsid w:val="00531EA7"/>
    <w:rsid w:val="00531EDC"/>
    <w:rsid w:val="00531EF3"/>
    <w:rsid w:val="00531F64"/>
    <w:rsid w:val="00531F89"/>
    <w:rsid w:val="00532045"/>
    <w:rsid w:val="00532048"/>
    <w:rsid w:val="0053206F"/>
    <w:rsid w:val="0053212A"/>
    <w:rsid w:val="005321D5"/>
    <w:rsid w:val="005321F8"/>
    <w:rsid w:val="0053224E"/>
    <w:rsid w:val="0053228C"/>
    <w:rsid w:val="005322B9"/>
    <w:rsid w:val="005322E7"/>
    <w:rsid w:val="0053236C"/>
    <w:rsid w:val="005323AF"/>
    <w:rsid w:val="005323C3"/>
    <w:rsid w:val="005323FA"/>
    <w:rsid w:val="00532429"/>
    <w:rsid w:val="00532462"/>
    <w:rsid w:val="00532622"/>
    <w:rsid w:val="00532686"/>
    <w:rsid w:val="00532696"/>
    <w:rsid w:val="005326A2"/>
    <w:rsid w:val="00532719"/>
    <w:rsid w:val="005327A8"/>
    <w:rsid w:val="005327B2"/>
    <w:rsid w:val="005328F1"/>
    <w:rsid w:val="005328FB"/>
    <w:rsid w:val="00532913"/>
    <w:rsid w:val="0053291F"/>
    <w:rsid w:val="00532926"/>
    <w:rsid w:val="005329A1"/>
    <w:rsid w:val="00532BD4"/>
    <w:rsid w:val="00532BEF"/>
    <w:rsid w:val="00532BF5"/>
    <w:rsid w:val="00532C14"/>
    <w:rsid w:val="00532C19"/>
    <w:rsid w:val="00532C83"/>
    <w:rsid w:val="00532C8E"/>
    <w:rsid w:val="00532D43"/>
    <w:rsid w:val="00532D4B"/>
    <w:rsid w:val="00532E88"/>
    <w:rsid w:val="00532EA8"/>
    <w:rsid w:val="00532EB8"/>
    <w:rsid w:val="00532FA8"/>
    <w:rsid w:val="00532FB0"/>
    <w:rsid w:val="00533077"/>
    <w:rsid w:val="005330F2"/>
    <w:rsid w:val="005330F4"/>
    <w:rsid w:val="005331CF"/>
    <w:rsid w:val="00533232"/>
    <w:rsid w:val="0053324F"/>
    <w:rsid w:val="00533256"/>
    <w:rsid w:val="005332BD"/>
    <w:rsid w:val="005332F2"/>
    <w:rsid w:val="00533301"/>
    <w:rsid w:val="0053339E"/>
    <w:rsid w:val="00533424"/>
    <w:rsid w:val="0053345B"/>
    <w:rsid w:val="0053346E"/>
    <w:rsid w:val="005334D8"/>
    <w:rsid w:val="005334F6"/>
    <w:rsid w:val="00533555"/>
    <w:rsid w:val="0053355F"/>
    <w:rsid w:val="005335A8"/>
    <w:rsid w:val="005335B8"/>
    <w:rsid w:val="00533785"/>
    <w:rsid w:val="005337B0"/>
    <w:rsid w:val="005337F8"/>
    <w:rsid w:val="00533831"/>
    <w:rsid w:val="0053383C"/>
    <w:rsid w:val="0053385F"/>
    <w:rsid w:val="0053388C"/>
    <w:rsid w:val="005338C7"/>
    <w:rsid w:val="0053391B"/>
    <w:rsid w:val="005339F8"/>
    <w:rsid w:val="00533A53"/>
    <w:rsid w:val="00533ADE"/>
    <w:rsid w:val="00533B1A"/>
    <w:rsid w:val="00533B1F"/>
    <w:rsid w:val="00533B49"/>
    <w:rsid w:val="00533BB6"/>
    <w:rsid w:val="00533C15"/>
    <w:rsid w:val="00533C3E"/>
    <w:rsid w:val="00533CB9"/>
    <w:rsid w:val="00533CFD"/>
    <w:rsid w:val="00533E0B"/>
    <w:rsid w:val="00533E1E"/>
    <w:rsid w:val="00533EC4"/>
    <w:rsid w:val="00533F83"/>
    <w:rsid w:val="00534022"/>
    <w:rsid w:val="00534052"/>
    <w:rsid w:val="005340DA"/>
    <w:rsid w:val="00534130"/>
    <w:rsid w:val="00534151"/>
    <w:rsid w:val="0053428C"/>
    <w:rsid w:val="0053435A"/>
    <w:rsid w:val="0053435B"/>
    <w:rsid w:val="00534373"/>
    <w:rsid w:val="0053440B"/>
    <w:rsid w:val="00534459"/>
    <w:rsid w:val="00534466"/>
    <w:rsid w:val="005344AA"/>
    <w:rsid w:val="005344D7"/>
    <w:rsid w:val="00534511"/>
    <w:rsid w:val="00534548"/>
    <w:rsid w:val="0053457F"/>
    <w:rsid w:val="005345B1"/>
    <w:rsid w:val="00534601"/>
    <w:rsid w:val="005346E9"/>
    <w:rsid w:val="00534717"/>
    <w:rsid w:val="00534722"/>
    <w:rsid w:val="00534788"/>
    <w:rsid w:val="0053482C"/>
    <w:rsid w:val="0053488E"/>
    <w:rsid w:val="005348E2"/>
    <w:rsid w:val="005349F8"/>
    <w:rsid w:val="00534A0A"/>
    <w:rsid w:val="00534A1E"/>
    <w:rsid w:val="00534A57"/>
    <w:rsid w:val="00534A87"/>
    <w:rsid w:val="00534AC4"/>
    <w:rsid w:val="00534AC8"/>
    <w:rsid w:val="00534AE7"/>
    <w:rsid w:val="00534B7E"/>
    <w:rsid w:val="00534BB3"/>
    <w:rsid w:val="00534C0B"/>
    <w:rsid w:val="00534C3C"/>
    <w:rsid w:val="00534C41"/>
    <w:rsid w:val="00534C8E"/>
    <w:rsid w:val="00534C8F"/>
    <w:rsid w:val="00534CFE"/>
    <w:rsid w:val="00534D1B"/>
    <w:rsid w:val="00534D65"/>
    <w:rsid w:val="00534D70"/>
    <w:rsid w:val="00534DA1"/>
    <w:rsid w:val="00534DAE"/>
    <w:rsid w:val="00534DBC"/>
    <w:rsid w:val="00534DCE"/>
    <w:rsid w:val="00534E34"/>
    <w:rsid w:val="00534E74"/>
    <w:rsid w:val="00534ECA"/>
    <w:rsid w:val="00534EDD"/>
    <w:rsid w:val="00534F18"/>
    <w:rsid w:val="00534F31"/>
    <w:rsid w:val="00534F75"/>
    <w:rsid w:val="00534FAD"/>
    <w:rsid w:val="00535010"/>
    <w:rsid w:val="0053502E"/>
    <w:rsid w:val="00535049"/>
    <w:rsid w:val="00535086"/>
    <w:rsid w:val="0053508D"/>
    <w:rsid w:val="0053513A"/>
    <w:rsid w:val="0053516F"/>
    <w:rsid w:val="005351B3"/>
    <w:rsid w:val="005351CD"/>
    <w:rsid w:val="00535252"/>
    <w:rsid w:val="005352A4"/>
    <w:rsid w:val="005352DB"/>
    <w:rsid w:val="00535345"/>
    <w:rsid w:val="00535416"/>
    <w:rsid w:val="005354EA"/>
    <w:rsid w:val="00535562"/>
    <w:rsid w:val="0053556F"/>
    <w:rsid w:val="00535576"/>
    <w:rsid w:val="00535617"/>
    <w:rsid w:val="00535629"/>
    <w:rsid w:val="0053567B"/>
    <w:rsid w:val="005356E1"/>
    <w:rsid w:val="005356FC"/>
    <w:rsid w:val="005357BF"/>
    <w:rsid w:val="005357E7"/>
    <w:rsid w:val="005357F5"/>
    <w:rsid w:val="00535817"/>
    <w:rsid w:val="00535826"/>
    <w:rsid w:val="0053585D"/>
    <w:rsid w:val="00535872"/>
    <w:rsid w:val="005358B2"/>
    <w:rsid w:val="00535950"/>
    <w:rsid w:val="005359A4"/>
    <w:rsid w:val="005359E4"/>
    <w:rsid w:val="00535A6F"/>
    <w:rsid w:val="00535B6A"/>
    <w:rsid w:val="00535BAC"/>
    <w:rsid w:val="00535BCA"/>
    <w:rsid w:val="00535C1B"/>
    <w:rsid w:val="00535C2E"/>
    <w:rsid w:val="00535CF8"/>
    <w:rsid w:val="00535DA2"/>
    <w:rsid w:val="00535DCC"/>
    <w:rsid w:val="00535DD7"/>
    <w:rsid w:val="00535E21"/>
    <w:rsid w:val="00535E2C"/>
    <w:rsid w:val="00535E3D"/>
    <w:rsid w:val="00535E7A"/>
    <w:rsid w:val="00535EEA"/>
    <w:rsid w:val="00535F4A"/>
    <w:rsid w:val="00535F56"/>
    <w:rsid w:val="00535F5C"/>
    <w:rsid w:val="00535F90"/>
    <w:rsid w:val="00535FC0"/>
    <w:rsid w:val="00536002"/>
    <w:rsid w:val="0053601B"/>
    <w:rsid w:val="0053605A"/>
    <w:rsid w:val="00536075"/>
    <w:rsid w:val="00536127"/>
    <w:rsid w:val="00536134"/>
    <w:rsid w:val="005361FF"/>
    <w:rsid w:val="0053624A"/>
    <w:rsid w:val="0053632C"/>
    <w:rsid w:val="00536408"/>
    <w:rsid w:val="0053656C"/>
    <w:rsid w:val="005365CB"/>
    <w:rsid w:val="005365D1"/>
    <w:rsid w:val="005365DF"/>
    <w:rsid w:val="005365EA"/>
    <w:rsid w:val="0053663D"/>
    <w:rsid w:val="0053665D"/>
    <w:rsid w:val="005366BD"/>
    <w:rsid w:val="005366E1"/>
    <w:rsid w:val="0053675B"/>
    <w:rsid w:val="00536760"/>
    <w:rsid w:val="00536864"/>
    <w:rsid w:val="005368EB"/>
    <w:rsid w:val="005368F9"/>
    <w:rsid w:val="0053693E"/>
    <w:rsid w:val="00536940"/>
    <w:rsid w:val="005369EA"/>
    <w:rsid w:val="005369F4"/>
    <w:rsid w:val="00536A06"/>
    <w:rsid w:val="00536AEA"/>
    <w:rsid w:val="00536B06"/>
    <w:rsid w:val="00536B2D"/>
    <w:rsid w:val="00536B78"/>
    <w:rsid w:val="00536B9B"/>
    <w:rsid w:val="00536BE5"/>
    <w:rsid w:val="00536C83"/>
    <w:rsid w:val="00536C8C"/>
    <w:rsid w:val="00536C9A"/>
    <w:rsid w:val="00536CD1"/>
    <w:rsid w:val="00536CD9"/>
    <w:rsid w:val="00536D00"/>
    <w:rsid w:val="00536DE5"/>
    <w:rsid w:val="00536ECC"/>
    <w:rsid w:val="00536F1A"/>
    <w:rsid w:val="00536F62"/>
    <w:rsid w:val="00536FDD"/>
    <w:rsid w:val="00537013"/>
    <w:rsid w:val="00537023"/>
    <w:rsid w:val="00537073"/>
    <w:rsid w:val="00537088"/>
    <w:rsid w:val="00537163"/>
    <w:rsid w:val="00537186"/>
    <w:rsid w:val="00537192"/>
    <w:rsid w:val="005371CE"/>
    <w:rsid w:val="005371DF"/>
    <w:rsid w:val="0053724F"/>
    <w:rsid w:val="00537297"/>
    <w:rsid w:val="005372AC"/>
    <w:rsid w:val="00537308"/>
    <w:rsid w:val="0053734C"/>
    <w:rsid w:val="00537358"/>
    <w:rsid w:val="00537418"/>
    <w:rsid w:val="005374FB"/>
    <w:rsid w:val="00537553"/>
    <w:rsid w:val="00537584"/>
    <w:rsid w:val="0053758C"/>
    <w:rsid w:val="005375A1"/>
    <w:rsid w:val="005375D8"/>
    <w:rsid w:val="00537694"/>
    <w:rsid w:val="0053772B"/>
    <w:rsid w:val="0053774A"/>
    <w:rsid w:val="00537767"/>
    <w:rsid w:val="00537793"/>
    <w:rsid w:val="005377B9"/>
    <w:rsid w:val="00537805"/>
    <w:rsid w:val="0053785D"/>
    <w:rsid w:val="0053788E"/>
    <w:rsid w:val="005378DB"/>
    <w:rsid w:val="005378E5"/>
    <w:rsid w:val="005378FE"/>
    <w:rsid w:val="00537906"/>
    <w:rsid w:val="00537935"/>
    <w:rsid w:val="005379AD"/>
    <w:rsid w:val="005379CC"/>
    <w:rsid w:val="00537A58"/>
    <w:rsid w:val="00537A97"/>
    <w:rsid w:val="00537B72"/>
    <w:rsid w:val="00537B73"/>
    <w:rsid w:val="00537BCE"/>
    <w:rsid w:val="00537CBA"/>
    <w:rsid w:val="00537D82"/>
    <w:rsid w:val="00537DF2"/>
    <w:rsid w:val="00537ED2"/>
    <w:rsid w:val="00537FD8"/>
    <w:rsid w:val="0054009B"/>
    <w:rsid w:val="005400E2"/>
    <w:rsid w:val="005401A3"/>
    <w:rsid w:val="00540236"/>
    <w:rsid w:val="0054025D"/>
    <w:rsid w:val="005402D5"/>
    <w:rsid w:val="00540341"/>
    <w:rsid w:val="00540367"/>
    <w:rsid w:val="00540402"/>
    <w:rsid w:val="00540440"/>
    <w:rsid w:val="0054046B"/>
    <w:rsid w:val="00540492"/>
    <w:rsid w:val="005405B2"/>
    <w:rsid w:val="005405E8"/>
    <w:rsid w:val="005405ED"/>
    <w:rsid w:val="0054062B"/>
    <w:rsid w:val="005406BA"/>
    <w:rsid w:val="00540735"/>
    <w:rsid w:val="0054076F"/>
    <w:rsid w:val="00540785"/>
    <w:rsid w:val="00540789"/>
    <w:rsid w:val="0054079A"/>
    <w:rsid w:val="005407A4"/>
    <w:rsid w:val="005407EF"/>
    <w:rsid w:val="005407FE"/>
    <w:rsid w:val="0054080C"/>
    <w:rsid w:val="00540856"/>
    <w:rsid w:val="00540882"/>
    <w:rsid w:val="0054092F"/>
    <w:rsid w:val="00540A15"/>
    <w:rsid w:val="00540A30"/>
    <w:rsid w:val="00540A54"/>
    <w:rsid w:val="00540A60"/>
    <w:rsid w:val="00540ACA"/>
    <w:rsid w:val="00540B9D"/>
    <w:rsid w:val="00540BA4"/>
    <w:rsid w:val="00540BE9"/>
    <w:rsid w:val="00540C28"/>
    <w:rsid w:val="00540C56"/>
    <w:rsid w:val="00540CAE"/>
    <w:rsid w:val="00540CCB"/>
    <w:rsid w:val="00540D2A"/>
    <w:rsid w:val="00540E0E"/>
    <w:rsid w:val="00540E5D"/>
    <w:rsid w:val="00540E5E"/>
    <w:rsid w:val="00540F35"/>
    <w:rsid w:val="00540FC9"/>
    <w:rsid w:val="00541003"/>
    <w:rsid w:val="0054100C"/>
    <w:rsid w:val="0054100F"/>
    <w:rsid w:val="0054101D"/>
    <w:rsid w:val="005410EB"/>
    <w:rsid w:val="005410F5"/>
    <w:rsid w:val="00541101"/>
    <w:rsid w:val="00541319"/>
    <w:rsid w:val="0054136A"/>
    <w:rsid w:val="005413E0"/>
    <w:rsid w:val="005414AF"/>
    <w:rsid w:val="00541522"/>
    <w:rsid w:val="00541539"/>
    <w:rsid w:val="00541552"/>
    <w:rsid w:val="00541619"/>
    <w:rsid w:val="0054161E"/>
    <w:rsid w:val="005416AE"/>
    <w:rsid w:val="005416E3"/>
    <w:rsid w:val="005417D8"/>
    <w:rsid w:val="005417D9"/>
    <w:rsid w:val="005417FE"/>
    <w:rsid w:val="00541835"/>
    <w:rsid w:val="005418CF"/>
    <w:rsid w:val="005418DA"/>
    <w:rsid w:val="005418F9"/>
    <w:rsid w:val="00541919"/>
    <w:rsid w:val="00541957"/>
    <w:rsid w:val="005419B4"/>
    <w:rsid w:val="005419C1"/>
    <w:rsid w:val="005419C2"/>
    <w:rsid w:val="00541A05"/>
    <w:rsid w:val="00541A55"/>
    <w:rsid w:val="00541A57"/>
    <w:rsid w:val="00541A66"/>
    <w:rsid w:val="00541A6C"/>
    <w:rsid w:val="00541A7A"/>
    <w:rsid w:val="00541ACC"/>
    <w:rsid w:val="00541B11"/>
    <w:rsid w:val="00541C5B"/>
    <w:rsid w:val="00541C77"/>
    <w:rsid w:val="00541C86"/>
    <w:rsid w:val="00541D34"/>
    <w:rsid w:val="00541EDE"/>
    <w:rsid w:val="00541EE6"/>
    <w:rsid w:val="00541EEE"/>
    <w:rsid w:val="00541F3B"/>
    <w:rsid w:val="00541FE2"/>
    <w:rsid w:val="00541FF4"/>
    <w:rsid w:val="00542005"/>
    <w:rsid w:val="0054206B"/>
    <w:rsid w:val="00542070"/>
    <w:rsid w:val="005420D3"/>
    <w:rsid w:val="005421A3"/>
    <w:rsid w:val="005421A6"/>
    <w:rsid w:val="005421FE"/>
    <w:rsid w:val="00542208"/>
    <w:rsid w:val="005422A0"/>
    <w:rsid w:val="005422EC"/>
    <w:rsid w:val="005422FB"/>
    <w:rsid w:val="0054231B"/>
    <w:rsid w:val="00542386"/>
    <w:rsid w:val="005423EB"/>
    <w:rsid w:val="005424AB"/>
    <w:rsid w:val="005424C9"/>
    <w:rsid w:val="00542506"/>
    <w:rsid w:val="0054253A"/>
    <w:rsid w:val="005425A3"/>
    <w:rsid w:val="005425F4"/>
    <w:rsid w:val="00542601"/>
    <w:rsid w:val="00542777"/>
    <w:rsid w:val="005427F4"/>
    <w:rsid w:val="0054289F"/>
    <w:rsid w:val="005428E6"/>
    <w:rsid w:val="005428F0"/>
    <w:rsid w:val="005428F2"/>
    <w:rsid w:val="00542931"/>
    <w:rsid w:val="0054299B"/>
    <w:rsid w:val="005429B4"/>
    <w:rsid w:val="00542A2E"/>
    <w:rsid w:val="00542A6C"/>
    <w:rsid w:val="00542ACF"/>
    <w:rsid w:val="00542BA0"/>
    <w:rsid w:val="00542C52"/>
    <w:rsid w:val="00542C81"/>
    <w:rsid w:val="00542CEF"/>
    <w:rsid w:val="00542DED"/>
    <w:rsid w:val="00542E17"/>
    <w:rsid w:val="00542E20"/>
    <w:rsid w:val="00542E3E"/>
    <w:rsid w:val="00542E8A"/>
    <w:rsid w:val="00542E99"/>
    <w:rsid w:val="00542EA2"/>
    <w:rsid w:val="00542EB1"/>
    <w:rsid w:val="00542EDA"/>
    <w:rsid w:val="00542EEE"/>
    <w:rsid w:val="00542F47"/>
    <w:rsid w:val="0054300E"/>
    <w:rsid w:val="00543074"/>
    <w:rsid w:val="0054307A"/>
    <w:rsid w:val="005431EE"/>
    <w:rsid w:val="00543202"/>
    <w:rsid w:val="0054324E"/>
    <w:rsid w:val="00543273"/>
    <w:rsid w:val="0054337F"/>
    <w:rsid w:val="005433F0"/>
    <w:rsid w:val="005433FF"/>
    <w:rsid w:val="005434A6"/>
    <w:rsid w:val="005435D2"/>
    <w:rsid w:val="005435E1"/>
    <w:rsid w:val="00543672"/>
    <w:rsid w:val="00543683"/>
    <w:rsid w:val="0054371B"/>
    <w:rsid w:val="0054371C"/>
    <w:rsid w:val="0054386B"/>
    <w:rsid w:val="005438A8"/>
    <w:rsid w:val="005438AB"/>
    <w:rsid w:val="0054390B"/>
    <w:rsid w:val="00543ACE"/>
    <w:rsid w:val="00543B16"/>
    <w:rsid w:val="00543B33"/>
    <w:rsid w:val="00543B3D"/>
    <w:rsid w:val="00543BAF"/>
    <w:rsid w:val="00543C1B"/>
    <w:rsid w:val="00543C46"/>
    <w:rsid w:val="00543C5E"/>
    <w:rsid w:val="00543C94"/>
    <w:rsid w:val="00543CAD"/>
    <w:rsid w:val="00543D5E"/>
    <w:rsid w:val="00543DE6"/>
    <w:rsid w:val="00543E0D"/>
    <w:rsid w:val="00543E27"/>
    <w:rsid w:val="00543F90"/>
    <w:rsid w:val="00543F92"/>
    <w:rsid w:val="00543FF0"/>
    <w:rsid w:val="00544010"/>
    <w:rsid w:val="00544064"/>
    <w:rsid w:val="005440A6"/>
    <w:rsid w:val="005440BB"/>
    <w:rsid w:val="00544135"/>
    <w:rsid w:val="00544159"/>
    <w:rsid w:val="005441A5"/>
    <w:rsid w:val="005441EC"/>
    <w:rsid w:val="00544240"/>
    <w:rsid w:val="0054424E"/>
    <w:rsid w:val="005442EE"/>
    <w:rsid w:val="0054436B"/>
    <w:rsid w:val="00544375"/>
    <w:rsid w:val="005443E6"/>
    <w:rsid w:val="0054440C"/>
    <w:rsid w:val="00544473"/>
    <w:rsid w:val="005444CE"/>
    <w:rsid w:val="005444F2"/>
    <w:rsid w:val="00544511"/>
    <w:rsid w:val="0054455B"/>
    <w:rsid w:val="005445B1"/>
    <w:rsid w:val="005445B5"/>
    <w:rsid w:val="005445FF"/>
    <w:rsid w:val="00544676"/>
    <w:rsid w:val="00544731"/>
    <w:rsid w:val="0054473E"/>
    <w:rsid w:val="0054476E"/>
    <w:rsid w:val="00544786"/>
    <w:rsid w:val="00544826"/>
    <w:rsid w:val="005448AC"/>
    <w:rsid w:val="00544904"/>
    <w:rsid w:val="0054495B"/>
    <w:rsid w:val="005449AE"/>
    <w:rsid w:val="005449EF"/>
    <w:rsid w:val="00544A65"/>
    <w:rsid w:val="00544A90"/>
    <w:rsid w:val="00544ACC"/>
    <w:rsid w:val="00544B69"/>
    <w:rsid w:val="00544B94"/>
    <w:rsid w:val="00544B96"/>
    <w:rsid w:val="00544C24"/>
    <w:rsid w:val="00544C6B"/>
    <w:rsid w:val="00544C81"/>
    <w:rsid w:val="00544CAE"/>
    <w:rsid w:val="00544CD0"/>
    <w:rsid w:val="00544CD8"/>
    <w:rsid w:val="00544CE2"/>
    <w:rsid w:val="00544CEF"/>
    <w:rsid w:val="00544D47"/>
    <w:rsid w:val="00544D58"/>
    <w:rsid w:val="00544D67"/>
    <w:rsid w:val="00544D6E"/>
    <w:rsid w:val="00544D70"/>
    <w:rsid w:val="00544DAB"/>
    <w:rsid w:val="00544DCC"/>
    <w:rsid w:val="00544DD3"/>
    <w:rsid w:val="00544E0E"/>
    <w:rsid w:val="00544E30"/>
    <w:rsid w:val="00544EDF"/>
    <w:rsid w:val="00544EE4"/>
    <w:rsid w:val="00544EFA"/>
    <w:rsid w:val="00544F1B"/>
    <w:rsid w:val="00544F7C"/>
    <w:rsid w:val="00544F87"/>
    <w:rsid w:val="00544F91"/>
    <w:rsid w:val="00544FFD"/>
    <w:rsid w:val="0054500C"/>
    <w:rsid w:val="00545022"/>
    <w:rsid w:val="00545082"/>
    <w:rsid w:val="005450F7"/>
    <w:rsid w:val="005450FE"/>
    <w:rsid w:val="00545143"/>
    <w:rsid w:val="0054518A"/>
    <w:rsid w:val="005451FD"/>
    <w:rsid w:val="00545202"/>
    <w:rsid w:val="00545240"/>
    <w:rsid w:val="0054528F"/>
    <w:rsid w:val="005452AF"/>
    <w:rsid w:val="0054536C"/>
    <w:rsid w:val="0054538C"/>
    <w:rsid w:val="0054540E"/>
    <w:rsid w:val="0054541B"/>
    <w:rsid w:val="005455AF"/>
    <w:rsid w:val="0054569E"/>
    <w:rsid w:val="005456B3"/>
    <w:rsid w:val="005456E9"/>
    <w:rsid w:val="005456F5"/>
    <w:rsid w:val="005457B7"/>
    <w:rsid w:val="00545904"/>
    <w:rsid w:val="00545A33"/>
    <w:rsid w:val="00545A46"/>
    <w:rsid w:val="00545B3A"/>
    <w:rsid w:val="00545B54"/>
    <w:rsid w:val="00545B66"/>
    <w:rsid w:val="00545C2B"/>
    <w:rsid w:val="00545C56"/>
    <w:rsid w:val="00545C9E"/>
    <w:rsid w:val="00545CA7"/>
    <w:rsid w:val="00545CAC"/>
    <w:rsid w:val="00545CC4"/>
    <w:rsid w:val="00545D29"/>
    <w:rsid w:val="00545DC3"/>
    <w:rsid w:val="00545E11"/>
    <w:rsid w:val="00545E2C"/>
    <w:rsid w:val="00545E38"/>
    <w:rsid w:val="00545E4D"/>
    <w:rsid w:val="00545EA1"/>
    <w:rsid w:val="00545F76"/>
    <w:rsid w:val="00545FC0"/>
    <w:rsid w:val="00546012"/>
    <w:rsid w:val="00546078"/>
    <w:rsid w:val="005460A4"/>
    <w:rsid w:val="005460D9"/>
    <w:rsid w:val="005460EB"/>
    <w:rsid w:val="0054610E"/>
    <w:rsid w:val="00546155"/>
    <w:rsid w:val="00546192"/>
    <w:rsid w:val="005461B4"/>
    <w:rsid w:val="00546208"/>
    <w:rsid w:val="005462C9"/>
    <w:rsid w:val="00546346"/>
    <w:rsid w:val="005463C3"/>
    <w:rsid w:val="005463D4"/>
    <w:rsid w:val="00546458"/>
    <w:rsid w:val="0054645E"/>
    <w:rsid w:val="0054646F"/>
    <w:rsid w:val="00546508"/>
    <w:rsid w:val="00546548"/>
    <w:rsid w:val="0054656E"/>
    <w:rsid w:val="0054657C"/>
    <w:rsid w:val="005465C3"/>
    <w:rsid w:val="0054663C"/>
    <w:rsid w:val="005466B0"/>
    <w:rsid w:val="0054674E"/>
    <w:rsid w:val="0054683C"/>
    <w:rsid w:val="00546848"/>
    <w:rsid w:val="0054690A"/>
    <w:rsid w:val="00546946"/>
    <w:rsid w:val="00546950"/>
    <w:rsid w:val="0054695F"/>
    <w:rsid w:val="00546982"/>
    <w:rsid w:val="00546989"/>
    <w:rsid w:val="005469D6"/>
    <w:rsid w:val="00546A9D"/>
    <w:rsid w:val="00546ADC"/>
    <w:rsid w:val="00546AEA"/>
    <w:rsid w:val="00546B5E"/>
    <w:rsid w:val="00546B74"/>
    <w:rsid w:val="00546B9C"/>
    <w:rsid w:val="00546BAC"/>
    <w:rsid w:val="00546C07"/>
    <w:rsid w:val="00546C9E"/>
    <w:rsid w:val="00546D79"/>
    <w:rsid w:val="00546D88"/>
    <w:rsid w:val="00546E3F"/>
    <w:rsid w:val="00546E65"/>
    <w:rsid w:val="00546E84"/>
    <w:rsid w:val="00546E9C"/>
    <w:rsid w:val="00546EC7"/>
    <w:rsid w:val="00546EE5"/>
    <w:rsid w:val="00546F85"/>
    <w:rsid w:val="00547008"/>
    <w:rsid w:val="0054702A"/>
    <w:rsid w:val="00547042"/>
    <w:rsid w:val="00547071"/>
    <w:rsid w:val="0054707B"/>
    <w:rsid w:val="0054710A"/>
    <w:rsid w:val="005471A9"/>
    <w:rsid w:val="005471B7"/>
    <w:rsid w:val="00547278"/>
    <w:rsid w:val="005473B7"/>
    <w:rsid w:val="005473B9"/>
    <w:rsid w:val="00547412"/>
    <w:rsid w:val="00547499"/>
    <w:rsid w:val="0054749B"/>
    <w:rsid w:val="005474A9"/>
    <w:rsid w:val="00547546"/>
    <w:rsid w:val="00547627"/>
    <w:rsid w:val="0054773A"/>
    <w:rsid w:val="00547806"/>
    <w:rsid w:val="005478E3"/>
    <w:rsid w:val="00547934"/>
    <w:rsid w:val="005479C2"/>
    <w:rsid w:val="005479FC"/>
    <w:rsid w:val="005479FD"/>
    <w:rsid w:val="00547AF5"/>
    <w:rsid w:val="00547B3A"/>
    <w:rsid w:val="00547B3C"/>
    <w:rsid w:val="00547C24"/>
    <w:rsid w:val="00547CE9"/>
    <w:rsid w:val="00547D6F"/>
    <w:rsid w:val="00547D80"/>
    <w:rsid w:val="00547DAA"/>
    <w:rsid w:val="00547E16"/>
    <w:rsid w:val="00547E25"/>
    <w:rsid w:val="00547E48"/>
    <w:rsid w:val="00547E7D"/>
    <w:rsid w:val="00547EB1"/>
    <w:rsid w:val="00547EC0"/>
    <w:rsid w:val="00547EF2"/>
    <w:rsid w:val="00547F00"/>
    <w:rsid w:val="00547F0E"/>
    <w:rsid w:val="00547F53"/>
    <w:rsid w:val="00547F71"/>
    <w:rsid w:val="00547F7F"/>
    <w:rsid w:val="00547F86"/>
    <w:rsid w:val="00547F98"/>
    <w:rsid w:val="00547F9B"/>
    <w:rsid w:val="00547FA4"/>
    <w:rsid w:val="00547FD6"/>
    <w:rsid w:val="00550002"/>
    <w:rsid w:val="0055004D"/>
    <w:rsid w:val="0055007A"/>
    <w:rsid w:val="00550093"/>
    <w:rsid w:val="005500F1"/>
    <w:rsid w:val="005500F2"/>
    <w:rsid w:val="0055017E"/>
    <w:rsid w:val="00550242"/>
    <w:rsid w:val="0055026C"/>
    <w:rsid w:val="0055027F"/>
    <w:rsid w:val="00550313"/>
    <w:rsid w:val="005503D2"/>
    <w:rsid w:val="005503EF"/>
    <w:rsid w:val="0055044E"/>
    <w:rsid w:val="00550493"/>
    <w:rsid w:val="00550558"/>
    <w:rsid w:val="005505B2"/>
    <w:rsid w:val="00550600"/>
    <w:rsid w:val="00550713"/>
    <w:rsid w:val="0055072F"/>
    <w:rsid w:val="00550759"/>
    <w:rsid w:val="005507AB"/>
    <w:rsid w:val="005507C9"/>
    <w:rsid w:val="005508AF"/>
    <w:rsid w:val="005508CB"/>
    <w:rsid w:val="005508CD"/>
    <w:rsid w:val="005508E9"/>
    <w:rsid w:val="0055096B"/>
    <w:rsid w:val="005509A5"/>
    <w:rsid w:val="00550AE9"/>
    <w:rsid w:val="00550B70"/>
    <w:rsid w:val="00550B77"/>
    <w:rsid w:val="00550B94"/>
    <w:rsid w:val="00550BB9"/>
    <w:rsid w:val="00550C0F"/>
    <w:rsid w:val="00550C7A"/>
    <w:rsid w:val="00550CCD"/>
    <w:rsid w:val="00550D35"/>
    <w:rsid w:val="00550E68"/>
    <w:rsid w:val="00550FAE"/>
    <w:rsid w:val="00550FEB"/>
    <w:rsid w:val="00550FFD"/>
    <w:rsid w:val="0055100F"/>
    <w:rsid w:val="005510C9"/>
    <w:rsid w:val="005510D5"/>
    <w:rsid w:val="005510DF"/>
    <w:rsid w:val="005510E1"/>
    <w:rsid w:val="00551155"/>
    <w:rsid w:val="00551184"/>
    <w:rsid w:val="005511C4"/>
    <w:rsid w:val="00551243"/>
    <w:rsid w:val="00551259"/>
    <w:rsid w:val="0055126D"/>
    <w:rsid w:val="00551299"/>
    <w:rsid w:val="00551315"/>
    <w:rsid w:val="0055139C"/>
    <w:rsid w:val="005513CE"/>
    <w:rsid w:val="005513DA"/>
    <w:rsid w:val="005513EA"/>
    <w:rsid w:val="005513F8"/>
    <w:rsid w:val="00551408"/>
    <w:rsid w:val="00551420"/>
    <w:rsid w:val="0055149D"/>
    <w:rsid w:val="005514F6"/>
    <w:rsid w:val="00551532"/>
    <w:rsid w:val="00551552"/>
    <w:rsid w:val="0055155E"/>
    <w:rsid w:val="00551592"/>
    <w:rsid w:val="005515BE"/>
    <w:rsid w:val="00551611"/>
    <w:rsid w:val="005516A4"/>
    <w:rsid w:val="005516A9"/>
    <w:rsid w:val="005516D0"/>
    <w:rsid w:val="005517BD"/>
    <w:rsid w:val="0055184C"/>
    <w:rsid w:val="005518B0"/>
    <w:rsid w:val="005518E0"/>
    <w:rsid w:val="0055195C"/>
    <w:rsid w:val="00551A17"/>
    <w:rsid w:val="00551AA3"/>
    <w:rsid w:val="00551C6E"/>
    <w:rsid w:val="00551C8D"/>
    <w:rsid w:val="00551D4E"/>
    <w:rsid w:val="00551D62"/>
    <w:rsid w:val="00551D87"/>
    <w:rsid w:val="00551E9C"/>
    <w:rsid w:val="00551EC5"/>
    <w:rsid w:val="00551F3B"/>
    <w:rsid w:val="00551F59"/>
    <w:rsid w:val="00551FA5"/>
    <w:rsid w:val="00551FD3"/>
    <w:rsid w:val="00551FEC"/>
    <w:rsid w:val="00551FED"/>
    <w:rsid w:val="00552005"/>
    <w:rsid w:val="0055201C"/>
    <w:rsid w:val="0055204B"/>
    <w:rsid w:val="00552077"/>
    <w:rsid w:val="00552095"/>
    <w:rsid w:val="005520C3"/>
    <w:rsid w:val="005520E1"/>
    <w:rsid w:val="00552129"/>
    <w:rsid w:val="0055212A"/>
    <w:rsid w:val="00552153"/>
    <w:rsid w:val="0055217F"/>
    <w:rsid w:val="00552180"/>
    <w:rsid w:val="005521F3"/>
    <w:rsid w:val="005521FB"/>
    <w:rsid w:val="00552210"/>
    <w:rsid w:val="005523ED"/>
    <w:rsid w:val="0055246C"/>
    <w:rsid w:val="00552499"/>
    <w:rsid w:val="005524FA"/>
    <w:rsid w:val="00552553"/>
    <w:rsid w:val="0055259C"/>
    <w:rsid w:val="005525BB"/>
    <w:rsid w:val="005525C4"/>
    <w:rsid w:val="005525F0"/>
    <w:rsid w:val="005525F4"/>
    <w:rsid w:val="00552605"/>
    <w:rsid w:val="00552626"/>
    <w:rsid w:val="00552628"/>
    <w:rsid w:val="0055263E"/>
    <w:rsid w:val="0055266B"/>
    <w:rsid w:val="00552699"/>
    <w:rsid w:val="005526AD"/>
    <w:rsid w:val="005526DB"/>
    <w:rsid w:val="005526F7"/>
    <w:rsid w:val="00552748"/>
    <w:rsid w:val="00552761"/>
    <w:rsid w:val="00552798"/>
    <w:rsid w:val="00552899"/>
    <w:rsid w:val="005528A7"/>
    <w:rsid w:val="005528BE"/>
    <w:rsid w:val="005528E5"/>
    <w:rsid w:val="00552946"/>
    <w:rsid w:val="0055294D"/>
    <w:rsid w:val="00552954"/>
    <w:rsid w:val="0055295B"/>
    <w:rsid w:val="005529A9"/>
    <w:rsid w:val="00552A7E"/>
    <w:rsid w:val="00552AD3"/>
    <w:rsid w:val="00552B18"/>
    <w:rsid w:val="00552B32"/>
    <w:rsid w:val="00552BBE"/>
    <w:rsid w:val="00552C58"/>
    <w:rsid w:val="00552C60"/>
    <w:rsid w:val="00552CC2"/>
    <w:rsid w:val="00552CC8"/>
    <w:rsid w:val="00552CED"/>
    <w:rsid w:val="00552D51"/>
    <w:rsid w:val="00552DBF"/>
    <w:rsid w:val="00552E4F"/>
    <w:rsid w:val="00552E70"/>
    <w:rsid w:val="00552E71"/>
    <w:rsid w:val="00552E75"/>
    <w:rsid w:val="00552E78"/>
    <w:rsid w:val="00552E92"/>
    <w:rsid w:val="00552E9A"/>
    <w:rsid w:val="00552F88"/>
    <w:rsid w:val="00552FDD"/>
    <w:rsid w:val="00553013"/>
    <w:rsid w:val="00553041"/>
    <w:rsid w:val="00553099"/>
    <w:rsid w:val="00553116"/>
    <w:rsid w:val="00553138"/>
    <w:rsid w:val="00553147"/>
    <w:rsid w:val="00553169"/>
    <w:rsid w:val="0055318F"/>
    <w:rsid w:val="005531AA"/>
    <w:rsid w:val="005531C9"/>
    <w:rsid w:val="00553229"/>
    <w:rsid w:val="0055322F"/>
    <w:rsid w:val="0055324B"/>
    <w:rsid w:val="005532A2"/>
    <w:rsid w:val="005532EB"/>
    <w:rsid w:val="00553335"/>
    <w:rsid w:val="0055340D"/>
    <w:rsid w:val="00553472"/>
    <w:rsid w:val="0055350C"/>
    <w:rsid w:val="00553563"/>
    <w:rsid w:val="0055357E"/>
    <w:rsid w:val="00553693"/>
    <w:rsid w:val="005536DB"/>
    <w:rsid w:val="005537F0"/>
    <w:rsid w:val="00553866"/>
    <w:rsid w:val="00553886"/>
    <w:rsid w:val="005538BA"/>
    <w:rsid w:val="005538BF"/>
    <w:rsid w:val="005538D6"/>
    <w:rsid w:val="00553913"/>
    <w:rsid w:val="0055391B"/>
    <w:rsid w:val="00553965"/>
    <w:rsid w:val="005539D3"/>
    <w:rsid w:val="00553AB5"/>
    <w:rsid w:val="00553B14"/>
    <w:rsid w:val="00553B1B"/>
    <w:rsid w:val="00553B56"/>
    <w:rsid w:val="00553B5A"/>
    <w:rsid w:val="00553BBD"/>
    <w:rsid w:val="00553C69"/>
    <w:rsid w:val="00553C8E"/>
    <w:rsid w:val="00553C9B"/>
    <w:rsid w:val="00553CA8"/>
    <w:rsid w:val="00553CE6"/>
    <w:rsid w:val="00553D33"/>
    <w:rsid w:val="00553DD5"/>
    <w:rsid w:val="00553E3F"/>
    <w:rsid w:val="00553E42"/>
    <w:rsid w:val="00553E63"/>
    <w:rsid w:val="00553E72"/>
    <w:rsid w:val="00553EFF"/>
    <w:rsid w:val="00553F2C"/>
    <w:rsid w:val="00553FBA"/>
    <w:rsid w:val="00554024"/>
    <w:rsid w:val="0055409D"/>
    <w:rsid w:val="00554255"/>
    <w:rsid w:val="005542D5"/>
    <w:rsid w:val="00554327"/>
    <w:rsid w:val="00554361"/>
    <w:rsid w:val="005543A8"/>
    <w:rsid w:val="005543DC"/>
    <w:rsid w:val="0055442A"/>
    <w:rsid w:val="0055443D"/>
    <w:rsid w:val="0055448E"/>
    <w:rsid w:val="00554525"/>
    <w:rsid w:val="005545A9"/>
    <w:rsid w:val="005545C3"/>
    <w:rsid w:val="00554626"/>
    <w:rsid w:val="00554654"/>
    <w:rsid w:val="005546D9"/>
    <w:rsid w:val="005546F2"/>
    <w:rsid w:val="00554709"/>
    <w:rsid w:val="00554761"/>
    <w:rsid w:val="00554802"/>
    <w:rsid w:val="00554826"/>
    <w:rsid w:val="00554837"/>
    <w:rsid w:val="0055483E"/>
    <w:rsid w:val="0055485E"/>
    <w:rsid w:val="0055486A"/>
    <w:rsid w:val="0055489C"/>
    <w:rsid w:val="005548B4"/>
    <w:rsid w:val="005548DE"/>
    <w:rsid w:val="00554930"/>
    <w:rsid w:val="005549E4"/>
    <w:rsid w:val="005549F0"/>
    <w:rsid w:val="00554A05"/>
    <w:rsid w:val="00554AD3"/>
    <w:rsid w:val="00554CD4"/>
    <w:rsid w:val="00554D6D"/>
    <w:rsid w:val="00554D82"/>
    <w:rsid w:val="00554DAD"/>
    <w:rsid w:val="00554DC2"/>
    <w:rsid w:val="00554E14"/>
    <w:rsid w:val="00554E24"/>
    <w:rsid w:val="00554E3F"/>
    <w:rsid w:val="00554EA8"/>
    <w:rsid w:val="00554ED6"/>
    <w:rsid w:val="00554EDF"/>
    <w:rsid w:val="00554F22"/>
    <w:rsid w:val="00554F95"/>
    <w:rsid w:val="00554FD9"/>
    <w:rsid w:val="00555013"/>
    <w:rsid w:val="00555082"/>
    <w:rsid w:val="0055509F"/>
    <w:rsid w:val="005550A3"/>
    <w:rsid w:val="005550B2"/>
    <w:rsid w:val="00555135"/>
    <w:rsid w:val="005551C9"/>
    <w:rsid w:val="005551EF"/>
    <w:rsid w:val="005551FE"/>
    <w:rsid w:val="00555209"/>
    <w:rsid w:val="0055524F"/>
    <w:rsid w:val="005552A1"/>
    <w:rsid w:val="005552CD"/>
    <w:rsid w:val="00555412"/>
    <w:rsid w:val="00555425"/>
    <w:rsid w:val="00555547"/>
    <w:rsid w:val="00555564"/>
    <w:rsid w:val="00555584"/>
    <w:rsid w:val="00555588"/>
    <w:rsid w:val="0055559B"/>
    <w:rsid w:val="005555D0"/>
    <w:rsid w:val="00555670"/>
    <w:rsid w:val="00555710"/>
    <w:rsid w:val="0055573F"/>
    <w:rsid w:val="00555805"/>
    <w:rsid w:val="0055580E"/>
    <w:rsid w:val="00555846"/>
    <w:rsid w:val="005558B2"/>
    <w:rsid w:val="005559A0"/>
    <w:rsid w:val="005559A3"/>
    <w:rsid w:val="005559C4"/>
    <w:rsid w:val="005559E1"/>
    <w:rsid w:val="005559E9"/>
    <w:rsid w:val="005559FB"/>
    <w:rsid w:val="00555A50"/>
    <w:rsid w:val="00555A5B"/>
    <w:rsid w:val="00555AB4"/>
    <w:rsid w:val="00555B5D"/>
    <w:rsid w:val="00555B86"/>
    <w:rsid w:val="00555B9C"/>
    <w:rsid w:val="00555D85"/>
    <w:rsid w:val="00555DC7"/>
    <w:rsid w:val="00555E23"/>
    <w:rsid w:val="00555F1E"/>
    <w:rsid w:val="00555F7E"/>
    <w:rsid w:val="00555F82"/>
    <w:rsid w:val="00555FEC"/>
    <w:rsid w:val="00555FF9"/>
    <w:rsid w:val="0055600A"/>
    <w:rsid w:val="00556053"/>
    <w:rsid w:val="00556096"/>
    <w:rsid w:val="0055613D"/>
    <w:rsid w:val="00556170"/>
    <w:rsid w:val="005561E7"/>
    <w:rsid w:val="005561E8"/>
    <w:rsid w:val="0055628D"/>
    <w:rsid w:val="0055632C"/>
    <w:rsid w:val="005563A0"/>
    <w:rsid w:val="00556407"/>
    <w:rsid w:val="0055649A"/>
    <w:rsid w:val="005564F1"/>
    <w:rsid w:val="005564FD"/>
    <w:rsid w:val="00556540"/>
    <w:rsid w:val="00556572"/>
    <w:rsid w:val="005565D4"/>
    <w:rsid w:val="00556701"/>
    <w:rsid w:val="0055676A"/>
    <w:rsid w:val="005567D1"/>
    <w:rsid w:val="00556832"/>
    <w:rsid w:val="00556884"/>
    <w:rsid w:val="00556895"/>
    <w:rsid w:val="005568C2"/>
    <w:rsid w:val="005568D9"/>
    <w:rsid w:val="00556925"/>
    <w:rsid w:val="0055694F"/>
    <w:rsid w:val="005569D6"/>
    <w:rsid w:val="00556A31"/>
    <w:rsid w:val="00556A5A"/>
    <w:rsid w:val="00556A89"/>
    <w:rsid w:val="00556B97"/>
    <w:rsid w:val="00556C19"/>
    <w:rsid w:val="00556C23"/>
    <w:rsid w:val="00556C58"/>
    <w:rsid w:val="00556C86"/>
    <w:rsid w:val="00556C8E"/>
    <w:rsid w:val="00556C9C"/>
    <w:rsid w:val="00556D6D"/>
    <w:rsid w:val="00556D7E"/>
    <w:rsid w:val="00556E60"/>
    <w:rsid w:val="00556E81"/>
    <w:rsid w:val="00556EBB"/>
    <w:rsid w:val="00556F85"/>
    <w:rsid w:val="0055702F"/>
    <w:rsid w:val="0055709E"/>
    <w:rsid w:val="005570B0"/>
    <w:rsid w:val="005570B7"/>
    <w:rsid w:val="0055711D"/>
    <w:rsid w:val="00557121"/>
    <w:rsid w:val="005571AC"/>
    <w:rsid w:val="005571FA"/>
    <w:rsid w:val="00557224"/>
    <w:rsid w:val="0055722A"/>
    <w:rsid w:val="005572D0"/>
    <w:rsid w:val="00557331"/>
    <w:rsid w:val="0055733A"/>
    <w:rsid w:val="0055739D"/>
    <w:rsid w:val="005573D0"/>
    <w:rsid w:val="00557497"/>
    <w:rsid w:val="005574B4"/>
    <w:rsid w:val="005574D6"/>
    <w:rsid w:val="005574FC"/>
    <w:rsid w:val="00557592"/>
    <w:rsid w:val="005575B5"/>
    <w:rsid w:val="005575BD"/>
    <w:rsid w:val="005575C1"/>
    <w:rsid w:val="00557668"/>
    <w:rsid w:val="00557691"/>
    <w:rsid w:val="005576A3"/>
    <w:rsid w:val="0055772E"/>
    <w:rsid w:val="0055772F"/>
    <w:rsid w:val="00557772"/>
    <w:rsid w:val="005577EA"/>
    <w:rsid w:val="00557813"/>
    <w:rsid w:val="00557853"/>
    <w:rsid w:val="0055785E"/>
    <w:rsid w:val="0055787D"/>
    <w:rsid w:val="0055797A"/>
    <w:rsid w:val="005579AB"/>
    <w:rsid w:val="005579C0"/>
    <w:rsid w:val="00557A11"/>
    <w:rsid w:val="00557B08"/>
    <w:rsid w:val="00557B6B"/>
    <w:rsid w:val="00557BDC"/>
    <w:rsid w:val="00557D0E"/>
    <w:rsid w:val="00557D56"/>
    <w:rsid w:val="00557E60"/>
    <w:rsid w:val="00557EC5"/>
    <w:rsid w:val="00557F6D"/>
    <w:rsid w:val="00557FCE"/>
    <w:rsid w:val="00557FE8"/>
    <w:rsid w:val="005600E3"/>
    <w:rsid w:val="005600EB"/>
    <w:rsid w:val="005600EF"/>
    <w:rsid w:val="0056013F"/>
    <w:rsid w:val="00560225"/>
    <w:rsid w:val="0056023D"/>
    <w:rsid w:val="0056026D"/>
    <w:rsid w:val="005602E0"/>
    <w:rsid w:val="00560364"/>
    <w:rsid w:val="005603BD"/>
    <w:rsid w:val="00560452"/>
    <w:rsid w:val="00560516"/>
    <w:rsid w:val="00560559"/>
    <w:rsid w:val="00560568"/>
    <w:rsid w:val="0056056B"/>
    <w:rsid w:val="005605D0"/>
    <w:rsid w:val="005605E8"/>
    <w:rsid w:val="005605F7"/>
    <w:rsid w:val="005606B2"/>
    <w:rsid w:val="005606F1"/>
    <w:rsid w:val="00560744"/>
    <w:rsid w:val="005607A0"/>
    <w:rsid w:val="00560801"/>
    <w:rsid w:val="00560859"/>
    <w:rsid w:val="00560861"/>
    <w:rsid w:val="005608A3"/>
    <w:rsid w:val="005608C3"/>
    <w:rsid w:val="00560952"/>
    <w:rsid w:val="0056097C"/>
    <w:rsid w:val="0056097E"/>
    <w:rsid w:val="00560996"/>
    <w:rsid w:val="005609A7"/>
    <w:rsid w:val="005609BD"/>
    <w:rsid w:val="00560A4B"/>
    <w:rsid w:val="00560A73"/>
    <w:rsid w:val="00560A8B"/>
    <w:rsid w:val="00560ADB"/>
    <w:rsid w:val="00560C0C"/>
    <w:rsid w:val="00560C7F"/>
    <w:rsid w:val="00560CC5"/>
    <w:rsid w:val="00560CC7"/>
    <w:rsid w:val="00560D28"/>
    <w:rsid w:val="00560D35"/>
    <w:rsid w:val="00560D51"/>
    <w:rsid w:val="00560DA3"/>
    <w:rsid w:val="00560DEA"/>
    <w:rsid w:val="00560E0C"/>
    <w:rsid w:val="00560E4E"/>
    <w:rsid w:val="00560E5E"/>
    <w:rsid w:val="00560E71"/>
    <w:rsid w:val="00560EAE"/>
    <w:rsid w:val="00560F66"/>
    <w:rsid w:val="00560F6C"/>
    <w:rsid w:val="00560F7C"/>
    <w:rsid w:val="00560FA2"/>
    <w:rsid w:val="0056105A"/>
    <w:rsid w:val="005610B7"/>
    <w:rsid w:val="0056111E"/>
    <w:rsid w:val="0056114D"/>
    <w:rsid w:val="0056118D"/>
    <w:rsid w:val="00561192"/>
    <w:rsid w:val="005611EC"/>
    <w:rsid w:val="0056129A"/>
    <w:rsid w:val="00561398"/>
    <w:rsid w:val="005613AC"/>
    <w:rsid w:val="005613C3"/>
    <w:rsid w:val="005613CF"/>
    <w:rsid w:val="0056140D"/>
    <w:rsid w:val="005614A4"/>
    <w:rsid w:val="005614A6"/>
    <w:rsid w:val="005614D4"/>
    <w:rsid w:val="005614EC"/>
    <w:rsid w:val="00561589"/>
    <w:rsid w:val="005615DC"/>
    <w:rsid w:val="005616C8"/>
    <w:rsid w:val="005616EF"/>
    <w:rsid w:val="0056170E"/>
    <w:rsid w:val="00561777"/>
    <w:rsid w:val="0056178F"/>
    <w:rsid w:val="005617C0"/>
    <w:rsid w:val="00561817"/>
    <w:rsid w:val="00561821"/>
    <w:rsid w:val="005618BF"/>
    <w:rsid w:val="005618D9"/>
    <w:rsid w:val="005618EF"/>
    <w:rsid w:val="00561A08"/>
    <w:rsid w:val="00561B21"/>
    <w:rsid w:val="00561B69"/>
    <w:rsid w:val="00561BA1"/>
    <w:rsid w:val="00561C28"/>
    <w:rsid w:val="00561C65"/>
    <w:rsid w:val="00561CBB"/>
    <w:rsid w:val="00561CE7"/>
    <w:rsid w:val="00561D1A"/>
    <w:rsid w:val="00561D66"/>
    <w:rsid w:val="00561D8B"/>
    <w:rsid w:val="00561DC1"/>
    <w:rsid w:val="00561E17"/>
    <w:rsid w:val="00561E5D"/>
    <w:rsid w:val="00561EE4"/>
    <w:rsid w:val="00561FCB"/>
    <w:rsid w:val="0056207F"/>
    <w:rsid w:val="005620B6"/>
    <w:rsid w:val="005620C9"/>
    <w:rsid w:val="00562136"/>
    <w:rsid w:val="0056217D"/>
    <w:rsid w:val="005621E7"/>
    <w:rsid w:val="00562214"/>
    <w:rsid w:val="00562244"/>
    <w:rsid w:val="0056224D"/>
    <w:rsid w:val="005622D2"/>
    <w:rsid w:val="0056234B"/>
    <w:rsid w:val="005623C7"/>
    <w:rsid w:val="005623FB"/>
    <w:rsid w:val="00562431"/>
    <w:rsid w:val="005625DF"/>
    <w:rsid w:val="005626D2"/>
    <w:rsid w:val="005626F6"/>
    <w:rsid w:val="0056274F"/>
    <w:rsid w:val="00562766"/>
    <w:rsid w:val="0056276E"/>
    <w:rsid w:val="00562779"/>
    <w:rsid w:val="005627B7"/>
    <w:rsid w:val="00562839"/>
    <w:rsid w:val="0056284D"/>
    <w:rsid w:val="0056285C"/>
    <w:rsid w:val="00562880"/>
    <w:rsid w:val="005628AD"/>
    <w:rsid w:val="00562964"/>
    <w:rsid w:val="005629A0"/>
    <w:rsid w:val="00562A48"/>
    <w:rsid w:val="00562B0A"/>
    <w:rsid w:val="00562B8C"/>
    <w:rsid w:val="00562CDB"/>
    <w:rsid w:val="00562CE2"/>
    <w:rsid w:val="00562D12"/>
    <w:rsid w:val="00562DBA"/>
    <w:rsid w:val="00562DC8"/>
    <w:rsid w:val="00562DF1"/>
    <w:rsid w:val="00562E22"/>
    <w:rsid w:val="00562E3D"/>
    <w:rsid w:val="00562EBD"/>
    <w:rsid w:val="00562ED2"/>
    <w:rsid w:val="00562FFA"/>
    <w:rsid w:val="00562FFD"/>
    <w:rsid w:val="00563004"/>
    <w:rsid w:val="00563019"/>
    <w:rsid w:val="0056303B"/>
    <w:rsid w:val="0056305C"/>
    <w:rsid w:val="00563081"/>
    <w:rsid w:val="0056308B"/>
    <w:rsid w:val="005630AC"/>
    <w:rsid w:val="005630CC"/>
    <w:rsid w:val="005630F0"/>
    <w:rsid w:val="00563212"/>
    <w:rsid w:val="0056323B"/>
    <w:rsid w:val="005632A6"/>
    <w:rsid w:val="00563309"/>
    <w:rsid w:val="00563337"/>
    <w:rsid w:val="005633BD"/>
    <w:rsid w:val="005633EE"/>
    <w:rsid w:val="005633F4"/>
    <w:rsid w:val="005634C2"/>
    <w:rsid w:val="005634D5"/>
    <w:rsid w:val="005634ED"/>
    <w:rsid w:val="00563505"/>
    <w:rsid w:val="00563577"/>
    <w:rsid w:val="005635E6"/>
    <w:rsid w:val="00563639"/>
    <w:rsid w:val="005636D3"/>
    <w:rsid w:val="005636E7"/>
    <w:rsid w:val="005637AF"/>
    <w:rsid w:val="00563892"/>
    <w:rsid w:val="005638B1"/>
    <w:rsid w:val="00563913"/>
    <w:rsid w:val="0056392F"/>
    <w:rsid w:val="0056393F"/>
    <w:rsid w:val="00563946"/>
    <w:rsid w:val="00563979"/>
    <w:rsid w:val="00563A31"/>
    <w:rsid w:val="00563A3E"/>
    <w:rsid w:val="00563B12"/>
    <w:rsid w:val="00563B64"/>
    <w:rsid w:val="00563B6B"/>
    <w:rsid w:val="00563C20"/>
    <w:rsid w:val="00563C21"/>
    <w:rsid w:val="00563C80"/>
    <w:rsid w:val="00563D2D"/>
    <w:rsid w:val="00563D92"/>
    <w:rsid w:val="00563DCE"/>
    <w:rsid w:val="00563E69"/>
    <w:rsid w:val="00563EB8"/>
    <w:rsid w:val="00563FD3"/>
    <w:rsid w:val="00564020"/>
    <w:rsid w:val="00564045"/>
    <w:rsid w:val="005640C2"/>
    <w:rsid w:val="005641A3"/>
    <w:rsid w:val="005641B5"/>
    <w:rsid w:val="00564244"/>
    <w:rsid w:val="00564254"/>
    <w:rsid w:val="005642A8"/>
    <w:rsid w:val="0056430B"/>
    <w:rsid w:val="00564313"/>
    <w:rsid w:val="0056431D"/>
    <w:rsid w:val="0056439D"/>
    <w:rsid w:val="005643BB"/>
    <w:rsid w:val="005643D9"/>
    <w:rsid w:val="0056446A"/>
    <w:rsid w:val="00564486"/>
    <w:rsid w:val="005644B9"/>
    <w:rsid w:val="005644D7"/>
    <w:rsid w:val="005644F4"/>
    <w:rsid w:val="005644FF"/>
    <w:rsid w:val="00564535"/>
    <w:rsid w:val="005645A5"/>
    <w:rsid w:val="005645CF"/>
    <w:rsid w:val="00564632"/>
    <w:rsid w:val="00564639"/>
    <w:rsid w:val="0056464A"/>
    <w:rsid w:val="00564733"/>
    <w:rsid w:val="00564748"/>
    <w:rsid w:val="0056488A"/>
    <w:rsid w:val="0056489C"/>
    <w:rsid w:val="005648A4"/>
    <w:rsid w:val="005648DB"/>
    <w:rsid w:val="00564926"/>
    <w:rsid w:val="00564940"/>
    <w:rsid w:val="00564AB5"/>
    <w:rsid w:val="00564AEC"/>
    <w:rsid w:val="00564B1B"/>
    <w:rsid w:val="00564BC3"/>
    <w:rsid w:val="00564BCA"/>
    <w:rsid w:val="00564C2B"/>
    <w:rsid w:val="00564CAA"/>
    <w:rsid w:val="00564D67"/>
    <w:rsid w:val="00564DA4"/>
    <w:rsid w:val="00564DD0"/>
    <w:rsid w:val="00564DDD"/>
    <w:rsid w:val="00564E54"/>
    <w:rsid w:val="00564FCA"/>
    <w:rsid w:val="00564FDD"/>
    <w:rsid w:val="00564FFA"/>
    <w:rsid w:val="00565024"/>
    <w:rsid w:val="0056502B"/>
    <w:rsid w:val="00565030"/>
    <w:rsid w:val="00565073"/>
    <w:rsid w:val="00565082"/>
    <w:rsid w:val="0056508C"/>
    <w:rsid w:val="005650D7"/>
    <w:rsid w:val="0056512C"/>
    <w:rsid w:val="0056521A"/>
    <w:rsid w:val="0056528E"/>
    <w:rsid w:val="005652AD"/>
    <w:rsid w:val="005652AF"/>
    <w:rsid w:val="00565348"/>
    <w:rsid w:val="00565390"/>
    <w:rsid w:val="005653B9"/>
    <w:rsid w:val="00565448"/>
    <w:rsid w:val="00565481"/>
    <w:rsid w:val="00565482"/>
    <w:rsid w:val="005654B7"/>
    <w:rsid w:val="005654DE"/>
    <w:rsid w:val="00565504"/>
    <w:rsid w:val="0056551B"/>
    <w:rsid w:val="00565577"/>
    <w:rsid w:val="005655DC"/>
    <w:rsid w:val="00565611"/>
    <w:rsid w:val="0056563C"/>
    <w:rsid w:val="005656B6"/>
    <w:rsid w:val="005656DF"/>
    <w:rsid w:val="00565867"/>
    <w:rsid w:val="005658F8"/>
    <w:rsid w:val="00565976"/>
    <w:rsid w:val="00565A3B"/>
    <w:rsid w:val="00565A83"/>
    <w:rsid w:val="00565AE2"/>
    <w:rsid w:val="00565AE8"/>
    <w:rsid w:val="00565AF3"/>
    <w:rsid w:val="00565B37"/>
    <w:rsid w:val="00565BB8"/>
    <w:rsid w:val="00565BE0"/>
    <w:rsid w:val="00565BF1"/>
    <w:rsid w:val="00565BF8"/>
    <w:rsid w:val="00565CB7"/>
    <w:rsid w:val="00565D9D"/>
    <w:rsid w:val="00565DAA"/>
    <w:rsid w:val="00565DFF"/>
    <w:rsid w:val="00565E5F"/>
    <w:rsid w:val="00565E8B"/>
    <w:rsid w:val="00565EA5"/>
    <w:rsid w:val="00565F60"/>
    <w:rsid w:val="0056605E"/>
    <w:rsid w:val="00566064"/>
    <w:rsid w:val="00566072"/>
    <w:rsid w:val="00566076"/>
    <w:rsid w:val="005660A3"/>
    <w:rsid w:val="005660C8"/>
    <w:rsid w:val="005660DC"/>
    <w:rsid w:val="005660F4"/>
    <w:rsid w:val="005661B5"/>
    <w:rsid w:val="00566202"/>
    <w:rsid w:val="005662AE"/>
    <w:rsid w:val="00566326"/>
    <w:rsid w:val="0056645B"/>
    <w:rsid w:val="0056646D"/>
    <w:rsid w:val="005664DC"/>
    <w:rsid w:val="0056654F"/>
    <w:rsid w:val="0056655A"/>
    <w:rsid w:val="005665A0"/>
    <w:rsid w:val="005665DE"/>
    <w:rsid w:val="00566633"/>
    <w:rsid w:val="00566693"/>
    <w:rsid w:val="005666E2"/>
    <w:rsid w:val="00566727"/>
    <w:rsid w:val="00566743"/>
    <w:rsid w:val="00566765"/>
    <w:rsid w:val="0056676D"/>
    <w:rsid w:val="0056677C"/>
    <w:rsid w:val="00566879"/>
    <w:rsid w:val="0056688F"/>
    <w:rsid w:val="00566954"/>
    <w:rsid w:val="00566969"/>
    <w:rsid w:val="00566A19"/>
    <w:rsid w:val="00566A27"/>
    <w:rsid w:val="00566A4B"/>
    <w:rsid w:val="00566A9A"/>
    <w:rsid w:val="00566AB0"/>
    <w:rsid w:val="00566AC0"/>
    <w:rsid w:val="00566B28"/>
    <w:rsid w:val="00566B4D"/>
    <w:rsid w:val="00566B58"/>
    <w:rsid w:val="00566BB1"/>
    <w:rsid w:val="00566BD4"/>
    <w:rsid w:val="00566BE4"/>
    <w:rsid w:val="00566BEE"/>
    <w:rsid w:val="00566C44"/>
    <w:rsid w:val="00566C49"/>
    <w:rsid w:val="00566CC7"/>
    <w:rsid w:val="00566D38"/>
    <w:rsid w:val="00566D4B"/>
    <w:rsid w:val="00566D7A"/>
    <w:rsid w:val="00566DFF"/>
    <w:rsid w:val="00566EE6"/>
    <w:rsid w:val="00566EE8"/>
    <w:rsid w:val="00566F04"/>
    <w:rsid w:val="00566F88"/>
    <w:rsid w:val="00566F9B"/>
    <w:rsid w:val="00566FA6"/>
    <w:rsid w:val="00566FFE"/>
    <w:rsid w:val="00567004"/>
    <w:rsid w:val="0056700B"/>
    <w:rsid w:val="0056703E"/>
    <w:rsid w:val="0056704A"/>
    <w:rsid w:val="0056706E"/>
    <w:rsid w:val="00567092"/>
    <w:rsid w:val="0056709D"/>
    <w:rsid w:val="005671D7"/>
    <w:rsid w:val="0056724E"/>
    <w:rsid w:val="0056726A"/>
    <w:rsid w:val="005672CE"/>
    <w:rsid w:val="0056731E"/>
    <w:rsid w:val="00567323"/>
    <w:rsid w:val="005673CC"/>
    <w:rsid w:val="0056742A"/>
    <w:rsid w:val="005674BC"/>
    <w:rsid w:val="005674C5"/>
    <w:rsid w:val="005674F2"/>
    <w:rsid w:val="00567565"/>
    <w:rsid w:val="00567606"/>
    <w:rsid w:val="00567637"/>
    <w:rsid w:val="00567676"/>
    <w:rsid w:val="0056768B"/>
    <w:rsid w:val="005676C3"/>
    <w:rsid w:val="005676D4"/>
    <w:rsid w:val="00567702"/>
    <w:rsid w:val="00567782"/>
    <w:rsid w:val="005677BA"/>
    <w:rsid w:val="005677C4"/>
    <w:rsid w:val="005677CE"/>
    <w:rsid w:val="00567864"/>
    <w:rsid w:val="005678E7"/>
    <w:rsid w:val="005678F6"/>
    <w:rsid w:val="00567960"/>
    <w:rsid w:val="005679D6"/>
    <w:rsid w:val="00567A6A"/>
    <w:rsid w:val="00567A96"/>
    <w:rsid w:val="00567ACC"/>
    <w:rsid w:val="00567B3F"/>
    <w:rsid w:val="00567B6C"/>
    <w:rsid w:val="00567B8E"/>
    <w:rsid w:val="00567BC0"/>
    <w:rsid w:val="00567BDE"/>
    <w:rsid w:val="00567BEA"/>
    <w:rsid w:val="00567C10"/>
    <w:rsid w:val="00567CBA"/>
    <w:rsid w:val="00567D7A"/>
    <w:rsid w:val="00567D88"/>
    <w:rsid w:val="00567E78"/>
    <w:rsid w:val="00567E93"/>
    <w:rsid w:val="00567EB1"/>
    <w:rsid w:val="00567EF3"/>
    <w:rsid w:val="00567F8C"/>
    <w:rsid w:val="00567F92"/>
    <w:rsid w:val="00567F99"/>
    <w:rsid w:val="00570000"/>
    <w:rsid w:val="00570056"/>
    <w:rsid w:val="0057007B"/>
    <w:rsid w:val="005700C1"/>
    <w:rsid w:val="005700F2"/>
    <w:rsid w:val="00570102"/>
    <w:rsid w:val="0057015A"/>
    <w:rsid w:val="005701C2"/>
    <w:rsid w:val="00570286"/>
    <w:rsid w:val="0057029E"/>
    <w:rsid w:val="005702B0"/>
    <w:rsid w:val="005702B3"/>
    <w:rsid w:val="0057032B"/>
    <w:rsid w:val="0057039A"/>
    <w:rsid w:val="00570412"/>
    <w:rsid w:val="00570444"/>
    <w:rsid w:val="00570477"/>
    <w:rsid w:val="005704BC"/>
    <w:rsid w:val="005704EA"/>
    <w:rsid w:val="0057066F"/>
    <w:rsid w:val="005706DE"/>
    <w:rsid w:val="0057072C"/>
    <w:rsid w:val="00570747"/>
    <w:rsid w:val="00570794"/>
    <w:rsid w:val="005707AC"/>
    <w:rsid w:val="005707C1"/>
    <w:rsid w:val="00570880"/>
    <w:rsid w:val="00570913"/>
    <w:rsid w:val="00570938"/>
    <w:rsid w:val="00570973"/>
    <w:rsid w:val="00570A42"/>
    <w:rsid w:val="00570AB5"/>
    <w:rsid w:val="00570B21"/>
    <w:rsid w:val="00570B65"/>
    <w:rsid w:val="00570BE8"/>
    <w:rsid w:val="00570C15"/>
    <w:rsid w:val="00570C28"/>
    <w:rsid w:val="00570C2B"/>
    <w:rsid w:val="00570C37"/>
    <w:rsid w:val="00570C81"/>
    <w:rsid w:val="00570CCF"/>
    <w:rsid w:val="00570CE8"/>
    <w:rsid w:val="00570D6E"/>
    <w:rsid w:val="00570D9B"/>
    <w:rsid w:val="00570E52"/>
    <w:rsid w:val="00570E62"/>
    <w:rsid w:val="00570E6B"/>
    <w:rsid w:val="00570E7C"/>
    <w:rsid w:val="00570F1B"/>
    <w:rsid w:val="00570F79"/>
    <w:rsid w:val="00570FC8"/>
    <w:rsid w:val="0057102C"/>
    <w:rsid w:val="00571035"/>
    <w:rsid w:val="00571038"/>
    <w:rsid w:val="005710B8"/>
    <w:rsid w:val="005710F0"/>
    <w:rsid w:val="0057111F"/>
    <w:rsid w:val="0057118E"/>
    <w:rsid w:val="005713A3"/>
    <w:rsid w:val="00571403"/>
    <w:rsid w:val="005714A6"/>
    <w:rsid w:val="005714CF"/>
    <w:rsid w:val="005714DE"/>
    <w:rsid w:val="005715B2"/>
    <w:rsid w:val="005715F8"/>
    <w:rsid w:val="00571662"/>
    <w:rsid w:val="00571700"/>
    <w:rsid w:val="005717A8"/>
    <w:rsid w:val="0057187D"/>
    <w:rsid w:val="00571908"/>
    <w:rsid w:val="00571994"/>
    <w:rsid w:val="00571999"/>
    <w:rsid w:val="005719B9"/>
    <w:rsid w:val="00571A61"/>
    <w:rsid w:val="00571ADD"/>
    <w:rsid w:val="00571B7C"/>
    <w:rsid w:val="00571C05"/>
    <w:rsid w:val="00571C75"/>
    <w:rsid w:val="00571C88"/>
    <w:rsid w:val="00571CA4"/>
    <w:rsid w:val="00571D00"/>
    <w:rsid w:val="00571D19"/>
    <w:rsid w:val="00571D35"/>
    <w:rsid w:val="00571DA7"/>
    <w:rsid w:val="00571DF9"/>
    <w:rsid w:val="00571E8B"/>
    <w:rsid w:val="00571E8F"/>
    <w:rsid w:val="00571EE1"/>
    <w:rsid w:val="00571F4D"/>
    <w:rsid w:val="00571FEC"/>
    <w:rsid w:val="00572015"/>
    <w:rsid w:val="005720C4"/>
    <w:rsid w:val="00572215"/>
    <w:rsid w:val="00572300"/>
    <w:rsid w:val="00572436"/>
    <w:rsid w:val="0057244B"/>
    <w:rsid w:val="00572458"/>
    <w:rsid w:val="00572488"/>
    <w:rsid w:val="005724C8"/>
    <w:rsid w:val="0057250C"/>
    <w:rsid w:val="0057253F"/>
    <w:rsid w:val="0057255B"/>
    <w:rsid w:val="00572579"/>
    <w:rsid w:val="0057258A"/>
    <w:rsid w:val="0057258B"/>
    <w:rsid w:val="00572606"/>
    <w:rsid w:val="00572667"/>
    <w:rsid w:val="0057266C"/>
    <w:rsid w:val="00572695"/>
    <w:rsid w:val="005726CC"/>
    <w:rsid w:val="00572706"/>
    <w:rsid w:val="0057275F"/>
    <w:rsid w:val="00572792"/>
    <w:rsid w:val="005727CB"/>
    <w:rsid w:val="0057285E"/>
    <w:rsid w:val="00572888"/>
    <w:rsid w:val="005728C8"/>
    <w:rsid w:val="005728FB"/>
    <w:rsid w:val="0057290F"/>
    <w:rsid w:val="00572A16"/>
    <w:rsid w:val="00572BD4"/>
    <w:rsid w:val="00572C17"/>
    <w:rsid w:val="00572C20"/>
    <w:rsid w:val="00572C38"/>
    <w:rsid w:val="00572C5D"/>
    <w:rsid w:val="00572CD5"/>
    <w:rsid w:val="00572D28"/>
    <w:rsid w:val="00572DB5"/>
    <w:rsid w:val="00572E69"/>
    <w:rsid w:val="00572E86"/>
    <w:rsid w:val="00572E94"/>
    <w:rsid w:val="00572E9F"/>
    <w:rsid w:val="00572ECF"/>
    <w:rsid w:val="00572EF8"/>
    <w:rsid w:val="0057302D"/>
    <w:rsid w:val="0057304B"/>
    <w:rsid w:val="005730A6"/>
    <w:rsid w:val="005730D1"/>
    <w:rsid w:val="005730E9"/>
    <w:rsid w:val="005730FE"/>
    <w:rsid w:val="00573129"/>
    <w:rsid w:val="005731C9"/>
    <w:rsid w:val="0057322C"/>
    <w:rsid w:val="00573246"/>
    <w:rsid w:val="00573392"/>
    <w:rsid w:val="00573420"/>
    <w:rsid w:val="0057342D"/>
    <w:rsid w:val="0057344F"/>
    <w:rsid w:val="005734AA"/>
    <w:rsid w:val="005734D0"/>
    <w:rsid w:val="0057354C"/>
    <w:rsid w:val="00573552"/>
    <w:rsid w:val="0057360C"/>
    <w:rsid w:val="00573610"/>
    <w:rsid w:val="005736EF"/>
    <w:rsid w:val="005736F9"/>
    <w:rsid w:val="005737A0"/>
    <w:rsid w:val="005737AE"/>
    <w:rsid w:val="005737B6"/>
    <w:rsid w:val="0057380F"/>
    <w:rsid w:val="005738D2"/>
    <w:rsid w:val="0057397D"/>
    <w:rsid w:val="005739C2"/>
    <w:rsid w:val="005739D4"/>
    <w:rsid w:val="005739E1"/>
    <w:rsid w:val="00573A0C"/>
    <w:rsid w:val="00573B2F"/>
    <w:rsid w:val="00573BCC"/>
    <w:rsid w:val="00573C97"/>
    <w:rsid w:val="00573D1F"/>
    <w:rsid w:val="00573E23"/>
    <w:rsid w:val="00573E4C"/>
    <w:rsid w:val="00573EA1"/>
    <w:rsid w:val="00573EB9"/>
    <w:rsid w:val="00573ECF"/>
    <w:rsid w:val="00573F51"/>
    <w:rsid w:val="00573F71"/>
    <w:rsid w:val="00573FBF"/>
    <w:rsid w:val="00574053"/>
    <w:rsid w:val="00574065"/>
    <w:rsid w:val="00574086"/>
    <w:rsid w:val="00574107"/>
    <w:rsid w:val="00574146"/>
    <w:rsid w:val="00574184"/>
    <w:rsid w:val="0057421D"/>
    <w:rsid w:val="0057427D"/>
    <w:rsid w:val="005742EC"/>
    <w:rsid w:val="0057435E"/>
    <w:rsid w:val="00574362"/>
    <w:rsid w:val="00574368"/>
    <w:rsid w:val="00574394"/>
    <w:rsid w:val="005743EE"/>
    <w:rsid w:val="00574460"/>
    <w:rsid w:val="0057446C"/>
    <w:rsid w:val="005744B0"/>
    <w:rsid w:val="00574569"/>
    <w:rsid w:val="0057457B"/>
    <w:rsid w:val="0057458C"/>
    <w:rsid w:val="005745EF"/>
    <w:rsid w:val="00574634"/>
    <w:rsid w:val="0057463E"/>
    <w:rsid w:val="00574668"/>
    <w:rsid w:val="00574672"/>
    <w:rsid w:val="005746FA"/>
    <w:rsid w:val="00574755"/>
    <w:rsid w:val="0057478A"/>
    <w:rsid w:val="005747B8"/>
    <w:rsid w:val="005747E2"/>
    <w:rsid w:val="00574828"/>
    <w:rsid w:val="0057486B"/>
    <w:rsid w:val="0057488C"/>
    <w:rsid w:val="005748FE"/>
    <w:rsid w:val="00574912"/>
    <w:rsid w:val="00574A3F"/>
    <w:rsid w:val="00574A5B"/>
    <w:rsid w:val="00574A61"/>
    <w:rsid w:val="00574A70"/>
    <w:rsid w:val="00574AE6"/>
    <w:rsid w:val="00574BA6"/>
    <w:rsid w:val="00574C15"/>
    <w:rsid w:val="00574C1F"/>
    <w:rsid w:val="00574C5A"/>
    <w:rsid w:val="00574C78"/>
    <w:rsid w:val="00574CAF"/>
    <w:rsid w:val="00574D4D"/>
    <w:rsid w:val="00574D6E"/>
    <w:rsid w:val="00574DA4"/>
    <w:rsid w:val="00574EC5"/>
    <w:rsid w:val="00574ED7"/>
    <w:rsid w:val="00574F27"/>
    <w:rsid w:val="00574F41"/>
    <w:rsid w:val="00574F42"/>
    <w:rsid w:val="0057509D"/>
    <w:rsid w:val="005750A1"/>
    <w:rsid w:val="005750E0"/>
    <w:rsid w:val="005750EF"/>
    <w:rsid w:val="005750F8"/>
    <w:rsid w:val="00575159"/>
    <w:rsid w:val="00575187"/>
    <w:rsid w:val="0057521F"/>
    <w:rsid w:val="005752B4"/>
    <w:rsid w:val="005752BD"/>
    <w:rsid w:val="00575385"/>
    <w:rsid w:val="005753B7"/>
    <w:rsid w:val="00575431"/>
    <w:rsid w:val="0057543E"/>
    <w:rsid w:val="00575482"/>
    <w:rsid w:val="00575573"/>
    <w:rsid w:val="00575587"/>
    <w:rsid w:val="00575590"/>
    <w:rsid w:val="00575597"/>
    <w:rsid w:val="00575598"/>
    <w:rsid w:val="0057560F"/>
    <w:rsid w:val="00575659"/>
    <w:rsid w:val="00575661"/>
    <w:rsid w:val="00575682"/>
    <w:rsid w:val="005756A2"/>
    <w:rsid w:val="0057570A"/>
    <w:rsid w:val="00575730"/>
    <w:rsid w:val="00575750"/>
    <w:rsid w:val="00575784"/>
    <w:rsid w:val="0057588F"/>
    <w:rsid w:val="005758A3"/>
    <w:rsid w:val="00575947"/>
    <w:rsid w:val="00575959"/>
    <w:rsid w:val="0057597D"/>
    <w:rsid w:val="00575A13"/>
    <w:rsid w:val="00575A44"/>
    <w:rsid w:val="00575A80"/>
    <w:rsid w:val="00575AB2"/>
    <w:rsid w:val="00575B73"/>
    <w:rsid w:val="00575BBA"/>
    <w:rsid w:val="00575BBF"/>
    <w:rsid w:val="00575C83"/>
    <w:rsid w:val="00575CC7"/>
    <w:rsid w:val="00575CDC"/>
    <w:rsid w:val="00575CE7"/>
    <w:rsid w:val="00575D0E"/>
    <w:rsid w:val="00575D33"/>
    <w:rsid w:val="00575D79"/>
    <w:rsid w:val="00575E01"/>
    <w:rsid w:val="00575F0A"/>
    <w:rsid w:val="00575F0F"/>
    <w:rsid w:val="00575F16"/>
    <w:rsid w:val="00575F2B"/>
    <w:rsid w:val="00575F4B"/>
    <w:rsid w:val="00575F90"/>
    <w:rsid w:val="00576042"/>
    <w:rsid w:val="005760AA"/>
    <w:rsid w:val="00576119"/>
    <w:rsid w:val="00576179"/>
    <w:rsid w:val="005761B4"/>
    <w:rsid w:val="005761C9"/>
    <w:rsid w:val="00576202"/>
    <w:rsid w:val="0057621A"/>
    <w:rsid w:val="0057625F"/>
    <w:rsid w:val="005762AD"/>
    <w:rsid w:val="005762CB"/>
    <w:rsid w:val="00576346"/>
    <w:rsid w:val="0057640A"/>
    <w:rsid w:val="00576435"/>
    <w:rsid w:val="00576436"/>
    <w:rsid w:val="0057650E"/>
    <w:rsid w:val="0057652B"/>
    <w:rsid w:val="00576544"/>
    <w:rsid w:val="00576644"/>
    <w:rsid w:val="00576696"/>
    <w:rsid w:val="005766BD"/>
    <w:rsid w:val="005767B0"/>
    <w:rsid w:val="005768A4"/>
    <w:rsid w:val="005768C0"/>
    <w:rsid w:val="005768CF"/>
    <w:rsid w:val="00576903"/>
    <w:rsid w:val="00576921"/>
    <w:rsid w:val="00576942"/>
    <w:rsid w:val="00576964"/>
    <w:rsid w:val="00576978"/>
    <w:rsid w:val="00576983"/>
    <w:rsid w:val="00576987"/>
    <w:rsid w:val="0057698E"/>
    <w:rsid w:val="005769DA"/>
    <w:rsid w:val="00576A1B"/>
    <w:rsid w:val="00576A34"/>
    <w:rsid w:val="00576B16"/>
    <w:rsid w:val="00576B91"/>
    <w:rsid w:val="00576BD5"/>
    <w:rsid w:val="00576C68"/>
    <w:rsid w:val="00576CAE"/>
    <w:rsid w:val="00576CC5"/>
    <w:rsid w:val="00576E28"/>
    <w:rsid w:val="00576E65"/>
    <w:rsid w:val="00576E7E"/>
    <w:rsid w:val="00576ECC"/>
    <w:rsid w:val="00576F06"/>
    <w:rsid w:val="00576F68"/>
    <w:rsid w:val="00576FE0"/>
    <w:rsid w:val="00576FF4"/>
    <w:rsid w:val="0057701A"/>
    <w:rsid w:val="00577025"/>
    <w:rsid w:val="00577052"/>
    <w:rsid w:val="00577057"/>
    <w:rsid w:val="0057706E"/>
    <w:rsid w:val="005770BA"/>
    <w:rsid w:val="005771F7"/>
    <w:rsid w:val="00577343"/>
    <w:rsid w:val="005773AA"/>
    <w:rsid w:val="005773DA"/>
    <w:rsid w:val="0057741E"/>
    <w:rsid w:val="0057747C"/>
    <w:rsid w:val="0057748D"/>
    <w:rsid w:val="005775D5"/>
    <w:rsid w:val="00577662"/>
    <w:rsid w:val="00577670"/>
    <w:rsid w:val="005776A4"/>
    <w:rsid w:val="005776C1"/>
    <w:rsid w:val="005776CB"/>
    <w:rsid w:val="00577718"/>
    <w:rsid w:val="0057775E"/>
    <w:rsid w:val="00577783"/>
    <w:rsid w:val="005777AE"/>
    <w:rsid w:val="005777C5"/>
    <w:rsid w:val="00577843"/>
    <w:rsid w:val="00577896"/>
    <w:rsid w:val="00577971"/>
    <w:rsid w:val="005779BD"/>
    <w:rsid w:val="005779F6"/>
    <w:rsid w:val="00577A2E"/>
    <w:rsid w:val="00577A77"/>
    <w:rsid w:val="00577A9C"/>
    <w:rsid w:val="00577B0C"/>
    <w:rsid w:val="00577B9E"/>
    <w:rsid w:val="00577BCD"/>
    <w:rsid w:val="00577BD5"/>
    <w:rsid w:val="00577BFB"/>
    <w:rsid w:val="00577C0D"/>
    <w:rsid w:val="00577C12"/>
    <w:rsid w:val="00577C16"/>
    <w:rsid w:val="00577D6B"/>
    <w:rsid w:val="00577DA6"/>
    <w:rsid w:val="00577EE8"/>
    <w:rsid w:val="00577FDE"/>
    <w:rsid w:val="00580039"/>
    <w:rsid w:val="0058010A"/>
    <w:rsid w:val="0058011F"/>
    <w:rsid w:val="0058012F"/>
    <w:rsid w:val="005801D8"/>
    <w:rsid w:val="005801ED"/>
    <w:rsid w:val="005801F3"/>
    <w:rsid w:val="0058022C"/>
    <w:rsid w:val="00580234"/>
    <w:rsid w:val="0058023E"/>
    <w:rsid w:val="005802F9"/>
    <w:rsid w:val="005802FF"/>
    <w:rsid w:val="0058031C"/>
    <w:rsid w:val="00580358"/>
    <w:rsid w:val="00580374"/>
    <w:rsid w:val="0058038B"/>
    <w:rsid w:val="0058051F"/>
    <w:rsid w:val="00580598"/>
    <w:rsid w:val="00580602"/>
    <w:rsid w:val="0058061E"/>
    <w:rsid w:val="00580622"/>
    <w:rsid w:val="0058070B"/>
    <w:rsid w:val="00580742"/>
    <w:rsid w:val="0058077C"/>
    <w:rsid w:val="00580787"/>
    <w:rsid w:val="005809DD"/>
    <w:rsid w:val="00580A1C"/>
    <w:rsid w:val="00580A7E"/>
    <w:rsid w:val="00580A8B"/>
    <w:rsid w:val="00580B1D"/>
    <w:rsid w:val="00580B2A"/>
    <w:rsid w:val="00580B9A"/>
    <w:rsid w:val="00580C94"/>
    <w:rsid w:val="00580DF7"/>
    <w:rsid w:val="00580E3D"/>
    <w:rsid w:val="00580E3E"/>
    <w:rsid w:val="00580E98"/>
    <w:rsid w:val="00580EB3"/>
    <w:rsid w:val="00580EDF"/>
    <w:rsid w:val="00580F59"/>
    <w:rsid w:val="00581007"/>
    <w:rsid w:val="0058104E"/>
    <w:rsid w:val="00581075"/>
    <w:rsid w:val="0058110E"/>
    <w:rsid w:val="0058113F"/>
    <w:rsid w:val="00581187"/>
    <w:rsid w:val="00581230"/>
    <w:rsid w:val="00581284"/>
    <w:rsid w:val="005812CA"/>
    <w:rsid w:val="00581326"/>
    <w:rsid w:val="0058139C"/>
    <w:rsid w:val="005813A3"/>
    <w:rsid w:val="005813FD"/>
    <w:rsid w:val="00581414"/>
    <w:rsid w:val="00581424"/>
    <w:rsid w:val="00581452"/>
    <w:rsid w:val="0058145A"/>
    <w:rsid w:val="00581477"/>
    <w:rsid w:val="0058148F"/>
    <w:rsid w:val="005814B9"/>
    <w:rsid w:val="00581545"/>
    <w:rsid w:val="00581548"/>
    <w:rsid w:val="00581574"/>
    <w:rsid w:val="0058160E"/>
    <w:rsid w:val="00581636"/>
    <w:rsid w:val="00581801"/>
    <w:rsid w:val="0058189F"/>
    <w:rsid w:val="005818A5"/>
    <w:rsid w:val="0058192E"/>
    <w:rsid w:val="00581B00"/>
    <w:rsid w:val="00581B7C"/>
    <w:rsid w:val="00581C19"/>
    <w:rsid w:val="00581C30"/>
    <w:rsid w:val="00581C32"/>
    <w:rsid w:val="00581C3B"/>
    <w:rsid w:val="00581C6D"/>
    <w:rsid w:val="00581CBA"/>
    <w:rsid w:val="00581CF3"/>
    <w:rsid w:val="00581D45"/>
    <w:rsid w:val="00581E0D"/>
    <w:rsid w:val="00581E97"/>
    <w:rsid w:val="00581EB2"/>
    <w:rsid w:val="00581F19"/>
    <w:rsid w:val="0058206C"/>
    <w:rsid w:val="00582144"/>
    <w:rsid w:val="00582221"/>
    <w:rsid w:val="005822A0"/>
    <w:rsid w:val="00582316"/>
    <w:rsid w:val="00582343"/>
    <w:rsid w:val="0058234F"/>
    <w:rsid w:val="005823BA"/>
    <w:rsid w:val="005823BE"/>
    <w:rsid w:val="00582456"/>
    <w:rsid w:val="00582463"/>
    <w:rsid w:val="00582481"/>
    <w:rsid w:val="005824C9"/>
    <w:rsid w:val="00582529"/>
    <w:rsid w:val="00582550"/>
    <w:rsid w:val="00582559"/>
    <w:rsid w:val="00582575"/>
    <w:rsid w:val="00582664"/>
    <w:rsid w:val="005826AE"/>
    <w:rsid w:val="005827B2"/>
    <w:rsid w:val="005827EC"/>
    <w:rsid w:val="00582845"/>
    <w:rsid w:val="005828FC"/>
    <w:rsid w:val="0058294F"/>
    <w:rsid w:val="00582988"/>
    <w:rsid w:val="005829AE"/>
    <w:rsid w:val="00582A3B"/>
    <w:rsid w:val="00582B7A"/>
    <w:rsid w:val="00582B97"/>
    <w:rsid w:val="00582DCD"/>
    <w:rsid w:val="00582DD5"/>
    <w:rsid w:val="00582E2B"/>
    <w:rsid w:val="00582E46"/>
    <w:rsid w:val="00582E48"/>
    <w:rsid w:val="00582E5F"/>
    <w:rsid w:val="00582E72"/>
    <w:rsid w:val="00582E74"/>
    <w:rsid w:val="00582EB6"/>
    <w:rsid w:val="00582F1F"/>
    <w:rsid w:val="00583012"/>
    <w:rsid w:val="00583057"/>
    <w:rsid w:val="00583101"/>
    <w:rsid w:val="00583216"/>
    <w:rsid w:val="005832A1"/>
    <w:rsid w:val="005832F7"/>
    <w:rsid w:val="005833C7"/>
    <w:rsid w:val="005833DB"/>
    <w:rsid w:val="00583466"/>
    <w:rsid w:val="00583486"/>
    <w:rsid w:val="005834F8"/>
    <w:rsid w:val="00583500"/>
    <w:rsid w:val="005835C5"/>
    <w:rsid w:val="005835DD"/>
    <w:rsid w:val="005835FB"/>
    <w:rsid w:val="00583635"/>
    <w:rsid w:val="005836C8"/>
    <w:rsid w:val="005836E2"/>
    <w:rsid w:val="005836EC"/>
    <w:rsid w:val="005836F8"/>
    <w:rsid w:val="0058372D"/>
    <w:rsid w:val="00583756"/>
    <w:rsid w:val="0058381C"/>
    <w:rsid w:val="0058382D"/>
    <w:rsid w:val="00583856"/>
    <w:rsid w:val="005838E9"/>
    <w:rsid w:val="00583954"/>
    <w:rsid w:val="0058395A"/>
    <w:rsid w:val="00583A11"/>
    <w:rsid w:val="00583A7C"/>
    <w:rsid w:val="00583AB7"/>
    <w:rsid w:val="00583B65"/>
    <w:rsid w:val="00583BC7"/>
    <w:rsid w:val="00583BDB"/>
    <w:rsid w:val="00583BF8"/>
    <w:rsid w:val="00583C16"/>
    <w:rsid w:val="00583C39"/>
    <w:rsid w:val="00583C85"/>
    <w:rsid w:val="00583CC1"/>
    <w:rsid w:val="00583CFD"/>
    <w:rsid w:val="00583D26"/>
    <w:rsid w:val="00583D54"/>
    <w:rsid w:val="00583D71"/>
    <w:rsid w:val="00583DDD"/>
    <w:rsid w:val="00583E20"/>
    <w:rsid w:val="00583EB6"/>
    <w:rsid w:val="00583F4C"/>
    <w:rsid w:val="00583FB1"/>
    <w:rsid w:val="00584044"/>
    <w:rsid w:val="00584162"/>
    <w:rsid w:val="0058416D"/>
    <w:rsid w:val="005841FE"/>
    <w:rsid w:val="00584202"/>
    <w:rsid w:val="00584222"/>
    <w:rsid w:val="005842A0"/>
    <w:rsid w:val="005842A6"/>
    <w:rsid w:val="005842A8"/>
    <w:rsid w:val="0058433D"/>
    <w:rsid w:val="0058435F"/>
    <w:rsid w:val="005843AE"/>
    <w:rsid w:val="005843CF"/>
    <w:rsid w:val="00584427"/>
    <w:rsid w:val="00584486"/>
    <w:rsid w:val="005844B1"/>
    <w:rsid w:val="005844D2"/>
    <w:rsid w:val="00584583"/>
    <w:rsid w:val="00584598"/>
    <w:rsid w:val="005845C3"/>
    <w:rsid w:val="00584683"/>
    <w:rsid w:val="0058469E"/>
    <w:rsid w:val="0058470F"/>
    <w:rsid w:val="005847CE"/>
    <w:rsid w:val="005847E2"/>
    <w:rsid w:val="005847F4"/>
    <w:rsid w:val="00584857"/>
    <w:rsid w:val="005848A3"/>
    <w:rsid w:val="00584922"/>
    <w:rsid w:val="005849BE"/>
    <w:rsid w:val="00584A2A"/>
    <w:rsid w:val="00584A8C"/>
    <w:rsid w:val="00584AA0"/>
    <w:rsid w:val="00584ADF"/>
    <w:rsid w:val="00584B32"/>
    <w:rsid w:val="00584B6F"/>
    <w:rsid w:val="00584BEC"/>
    <w:rsid w:val="00584BFF"/>
    <w:rsid w:val="00584C06"/>
    <w:rsid w:val="00584CBD"/>
    <w:rsid w:val="00584CCA"/>
    <w:rsid w:val="00584D05"/>
    <w:rsid w:val="00584DA1"/>
    <w:rsid w:val="00584DA8"/>
    <w:rsid w:val="00584DC6"/>
    <w:rsid w:val="00584DC7"/>
    <w:rsid w:val="00584DD1"/>
    <w:rsid w:val="00584DFE"/>
    <w:rsid w:val="00584E59"/>
    <w:rsid w:val="00584E98"/>
    <w:rsid w:val="00584EB7"/>
    <w:rsid w:val="00584EE0"/>
    <w:rsid w:val="00584F2B"/>
    <w:rsid w:val="00584FE2"/>
    <w:rsid w:val="0058507D"/>
    <w:rsid w:val="00585155"/>
    <w:rsid w:val="0058518B"/>
    <w:rsid w:val="0058518D"/>
    <w:rsid w:val="0058520C"/>
    <w:rsid w:val="005852B5"/>
    <w:rsid w:val="005852DA"/>
    <w:rsid w:val="00585304"/>
    <w:rsid w:val="00585345"/>
    <w:rsid w:val="005853A3"/>
    <w:rsid w:val="005853C8"/>
    <w:rsid w:val="0058545D"/>
    <w:rsid w:val="0058547C"/>
    <w:rsid w:val="005854AF"/>
    <w:rsid w:val="005854C3"/>
    <w:rsid w:val="00585581"/>
    <w:rsid w:val="005855C0"/>
    <w:rsid w:val="005855F0"/>
    <w:rsid w:val="005855F2"/>
    <w:rsid w:val="00585606"/>
    <w:rsid w:val="00585674"/>
    <w:rsid w:val="00585696"/>
    <w:rsid w:val="005856AC"/>
    <w:rsid w:val="005856AE"/>
    <w:rsid w:val="005856F9"/>
    <w:rsid w:val="00585707"/>
    <w:rsid w:val="00585725"/>
    <w:rsid w:val="0058577A"/>
    <w:rsid w:val="005857BC"/>
    <w:rsid w:val="005857FB"/>
    <w:rsid w:val="00585818"/>
    <w:rsid w:val="005858BC"/>
    <w:rsid w:val="00585941"/>
    <w:rsid w:val="00585988"/>
    <w:rsid w:val="005859E0"/>
    <w:rsid w:val="00585A56"/>
    <w:rsid w:val="00585A82"/>
    <w:rsid w:val="00585A9C"/>
    <w:rsid w:val="00585AC3"/>
    <w:rsid w:val="00585B9A"/>
    <w:rsid w:val="00585BF3"/>
    <w:rsid w:val="00585C15"/>
    <w:rsid w:val="00585C56"/>
    <w:rsid w:val="00585CA9"/>
    <w:rsid w:val="00585CAF"/>
    <w:rsid w:val="00585CB8"/>
    <w:rsid w:val="00585CBA"/>
    <w:rsid w:val="00585CDE"/>
    <w:rsid w:val="00585CE7"/>
    <w:rsid w:val="00585D0B"/>
    <w:rsid w:val="00585D23"/>
    <w:rsid w:val="00585D86"/>
    <w:rsid w:val="00585EAD"/>
    <w:rsid w:val="00585ECB"/>
    <w:rsid w:val="00585F92"/>
    <w:rsid w:val="00585F9F"/>
    <w:rsid w:val="00585FA0"/>
    <w:rsid w:val="00585FCD"/>
    <w:rsid w:val="00586051"/>
    <w:rsid w:val="00586110"/>
    <w:rsid w:val="00586136"/>
    <w:rsid w:val="0058614F"/>
    <w:rsid w:val="005861C1"/>
    <w:rsid w:val="005861D8"/>
    <w:rsid w:val="0058624E"/>
    <w:rsid w:val="0058626E"/>
    <w:rsid w:val="00586280"/>
    <w:rsid w:val="005862F9"/>
    <w:rsid w:val="0058630D"/>
    <w:rsid w:val="00586381"/>
    <w:rsid w:val="005863C2"/>
    <w:rsid w:val="00586512"/>
    <w:rsid w:val="00586527"/>
    <w:rsid w:val="0058652A"/>
    <w:rsid w:val="005865E5"/>
    <w:rsid w:val="005865ED"/>
    <w:rsid w:val="0058673D"/>
    <w:rsid w:val="0058677E"/>
    <w:rsid w:val="00586780"/>
    <w:rsid w:val="0058678C"/>
    <w:rsid w:val="0058678E"/>
    <w:rsid w:val="005867FA"/>
    <w:rsid w:val="005868AD"/>
    <w:rsid w:val="005868F3"/>
    <w:rsid w:val="005869CA"/>
    <w:rsid w:val="00586A38"/>
    <w:rsid w:val="00586A69"/>
    <w:rsid w:val="00586AAD"/>
    <w:rsid w:val="00586AF7"/>
    <w:rsid w:val="00586B8D"/>
    <w:rsid w:val="00586C46"/>
    <w:rsid w:val="00586C7B"/>
    <w:rsid w:val="00586CBA"/>
    <w:rsid w:val="00586DAA"/>
    <w:rsid w:val="00586DFA"/>
    <w:rsid w:val="00586E2C"/>
    <w:rsid w:val="00586E30"/>
    <w:rsid w:val="00586E47"/>
    <w:rsid w:val="00586E67"/>
    <w:rsid w:val="00586E71"/>
    <w:rsid w:val="00586E88"/>
    <w:rsid w:val="00586EAA"/>
    <w:rsid w:val="00586F60"/>
    <w:rsid w:val="00586F8E"/>
    <w:rsid w:val="00586FA4"/>
    <w:rsid w:val="00586FBD"/>
    <w:rsid w:val="00586FDC"/>
    <w:rsid w:val="0058702C"/>
    <w:rsid w:val="00587076"/>
    <w:rsid w:val="005870B7"/>
    <w:rsid w:val="005870D4"/>
    <w:rsid w:val="005870DF"/>
    <w:rsid w:val="005870E3"/>
    <w:rsid w:val="00587141"/>
    <w:rsid w:val="0058719F"/>
    <w:rsid w:val="005872A1"/>
    <w:rsid w:val="005872DC"/>
    <w:rsid w:val="00587343"/>
    <w:rsid w:val="00587385"/>
    <w:rsid w:val="005873EB"/>
    <w:rsid w:val="00587423"/>
    <w:rsid w:val="0058747E"/>
    <w:rsid w:val="0058751B"/>
    <w:rsid w:val="00587706"/>
    <w:rsid w:val="00587727"/>
    <w:rsid w:val="00587762"/>
    <w:rsid w:val="0058777D"/>
    <w:rsid w:val="00587784"/>
    <w:rsid w:val="005878A6"/>
    <w:rsid w:val="0058793C"/>
    <w:rsid w:val="00587954"/>
    <w:rsid w:val="00587AFE"/>
    <w:rsid w:val="00587B08"/>
    <w:rsid w:val="00587B53"/>
    <w:rsid w:val="00587BB9"/>
    <w:rsid w:val="00587BED"/>
    <w:rsid w:val="00587BFF"/>
    <w:rsid w:val="00587C49"/>
    <w:rsid w:val="00587C7E"/>
    <w:rsid w:val="00587C90"/>
    <w:rsid w:val="00587CD0"/>
    <w:rsid w:val="00587D02"/>
    <w:rsid w:val="00587D15"/>
    <w:rsid w:val="00587D37"/>
    <w:rsid w:val="00587D38"/>
    <w:rsid w:val="00587D54"/>
    <w:rsid w:val="00587D57"/>
    <w:rsid w:val="00587DC8"/>
    <w:rsid w:val="00587DEB"/>
    <w:rsid w:val="00587E0E"/>
    <w:rsid w:val="00587E9C"/>
    <w:rsid w:val="00587F9F"/>
    <w:rsid w:val="00590020"/>
    <w:rsid w:val="005900D6"/>
    <w:rsid w:val="00590147"/>
    <w:rsid w:val="0059014B"/>
    <w:rsid w:val="0059019F"/>
    <w:rsid w:val="005901B8"/>
    <w:rsid w:val="00590203"/>
    <w:rsid w:val="00590219"/>
    <w:rsid w:val="00590258"/>
    <w:rsid w:val="00590298"/>
    <w:rsid w:val="005902BE"/>
    <w:rsid w:val="005902D4"/>
    <w:rsid w:val="00590325"/>
    <w:rsid w:val="00590336"/>
    <w:rsid w:val="00590395"/>
    <w:rsid w:val="005903F4"/>
    <w:rsid w:val="005903FA"/>
    <w:rsid w:val="0059047D"/>
    <w:rsid w:val="0059049A"/>
    <w:rsid w:val="0059049B"/>
    <w:rsid w:val="0059056D"/>
    <w:rsid w:val="0059057A"/>
    <w:rsid w:val="005905A1"/>
    <w:rsid w:val="005906C5"/>
    <w:rsid w:val="005906F8"/>
    <w:rsid w:val="005907B0"/>
    <w:rsid w:val="005907CB"/>
    <w:rsid w:val="005907F7"/>
    <w:rsid w:val="00590873"/>
    <w:rsid w:val="00590893"/>
    <w:rsid w:val="005908C7"/>
    <w:rsid w:val="00590917"/>
    <w:rsid w:val="005909AA"/>
    <w:rsid w:val="005909D4"/>
    <w:rsid w:val="005909D6"/>
    <w:rsid w:val="00590A2E"/>
    <w:rsid w:val="00590A95"/>
    <w:rsid w:val="00590B20"/>
    <w:rsid w:val="00590CAE"/>
    <w:rsid w:val="00590CB8"/>
    <w:rsid w:val="00590CC4"/>
    <w:rsid w:val="00590D24"/>
    <w:rsid w:val="00590D7F"/>
    <w:rsid w:val="00590D95"/>
    <w:rsid w:val="00590DC6"/>
    <w:rsid w:val="00590DCA"/>
    <w:rsid w:val="00590DDC"/>
    <w:rsid w:val="00590DFB"/>
    <w:rsid w:val="00590E5F"/>
    <w:rsid w:val="00590EA3"/>
    <w:rsid w:val="00590EDB"/>
    <w:rsid w:val="00590F34"/>
    <w:rsid w:val="00590FA3"/>
    <w:rsid w:val="00590FA5"/>
    <w:rsid w:val="00590FAC"/>
    <w:rsid w:val="00590FCA"/>
    <w:rsid w:val="00590FD5"/>
    <w:rsid w:val="00591080"/>
    <w:rsid w:val="00591093"/>
    <w:rsid w:val="00591216"/>
    <w:rsid w:val="00591320"/>
    <w:rsid w:val="005913B3"/>
    <w:rsid w:val="005913D8"/>
    <w:rsid w:val="0059143A"/>
    <w:rsid w:val="00591479"/>
    <w:rsid w:val="005914D4"/>
    <w:rsid w:val="005914F6"/>
    <w:rsid w:val="00591508"/>
    <w:rsid w:val="00591512"/>
    <w:rsid w:val="00591575"/>
    <w:rsid w:val="0059157F"/>
    <w:rsid w:val="0059158F"/>
    <w:rsid w:val="005915D0"/>
    <w:rsid w:val="0059160D"/>
    <w:rsid w:val="005916BF"/>
    <w:rsid w:val="005916CA"/>
    <w:rsid w:val="00591735"/>
    <w:rsid w:val="005917E5"/>
    <w:rsid w:val="005918AE"/>
    <w:rsid w:val="00591923"/>
    <w:rsid w:val="005919B3"/>
    <w:rsid w:val="00591A03"/>
    <w:rsid w:val="00591A06"/>
    <w:rsid w:val="00591A2B"/>
    <w:rsid w:val="00591A30"/>
    <w:rsid w:val="00591AC7"/>
    <w:rsid w:val="00591AEB"/>
    <w:rsid w:val="00591B35"/>
    <w:rsid w:val="00591BB9"/>
    <w:rsid w:val="00591BE6"/>
    <w:rsid w:val="00591BF5"/>
    <w:rsid w:val="00591BFF"/>
    <w:rsid w:val="00591C4D"/>
    <w:rsid w:val="00591C70"/>
    <w:rsid w:val="00591D18"/>
    <w:rsid w:val="00591D23"/>
    <w:rsid w:val="00591DBE"/>
    <w:rsid w:val="00591EC8"/>
    <w:rsid w:val="00591ED6"/>
    <w:rsid w:val="00591F7D"/>
    <w:rsid w:val="00591F81"/>
    <w:rsid w:val="0059212A"/>
    <w:rsid w:val="00592149"/>
    <w:rsid w:val="0059215B"/>
    <w:rsid w:val="005921A3"/>
    <w:rsid w:val="005921F3"/>
    <w:rsid w:val="00592208"/>
    <w:rsid w:val="005922BB"/>
    <w:rsid w:val="005922DC"/>
    <w:rsid w:val="005922EA"/>
    <w:rsid w:val="0059233F"/>
    <w:rsid w:val="00592345"/>
    <w:rsid w:val="005923C4"/>
    <w:rsid w:val="005923CB"/>
    <w:rsid w:val="005923D5"/>
    <w:rsid w:val="005923EE"/>
    <w:rsid w:val="0059241E"/>
    <w:rsid w:val="0059245D"/>
    <w:rsid w:val="005924D1"/>
    <w:rsid w:val="005925CF"/>
    <w:rsid w:val="005925E2"/>
    <w:rsid w:val="0059269C"/>
    <w:rsid w:val="005926C9"/>
    <w:rsid w:val="005926DD"/>
    <w:rsid w:val="00592745"/>
    <w:rsid w:val="00592796"/>
    <w:rsid w:val="0059279C"/>
    <w:rsid w:val="005927C5"/>
    <w:rsid w:val="00592802"/>
    <w:rsid w:val="0059282C"/>
    <w:rsid w:val="005928E0"/>
    <w:rsid w:val="005928EA"/>
    <w:rsid w:val="005928EE"/>
    <w:rsid w:val="005928FF"/>
    <w:rsid w:val="00592946"/>
    <w:rsid w:val="0059295F"/>
    <w:rsid w:val="005929C8"/>
    <w:rsid w:val="00592A7C"/>
    <w:rsid w:val="00592B15"/>
    <w:rsid w:val="00592B49"/>
    <w:rsid w:val="00592C3C"/>
    <w:rsid w:val="00592C55"/>
    <w:rsid w:val="00592CC0"/>
    <w:rsid w:val="00592CE7"/>
    <w:rsid w:val="00592D21"/>
    <w:rsid w:val="00592D23"/>
    <w:rsid w:val="00592D46"/>
    <w:rsid w:val="00592E70"/>
    <w:rsid w:val="00592E80"/>
    <w:rsid w:val="00592FAE"/>
    <w:rsid w:val="00592FF8"/>
    <w:rsid w:val="00593009"/>
    <w:rsid w:val="00593083"/>
    <w:rsid w:val="005930E2"/>
    <w:rsid w:val="005930FB"/>
    <w:rsid w:val="00593101"/>
    <w:rsid w:val="00593153"/>
    <w:rsid w:val="00593165"/>
    <w:rsid w:val="005931B5"/>
    <w:rsid w:val="0059326F"/>
    <w:rsid w:val="005932A5"/>
    <w:rsid w:val="005932F1"/>
    <w:rsid w:val="005932F4"/>
    <w:rsid w:val="00593310"/>
    <w:rsid w:val="0059337D"/>
    <w:rsid w:val="0059343A"/>
    <w:rsid w:val="005934F6"/>
    <w:rsid w:val="005934F9"/>
    <w:rsid w:val="0059356E"/>
    <w:rsid w:val="005935BD"/>
    <w:rsid w:val="005935C3"/>
    <w:rsid w:val="00593628"/>
    <w:rsid w:val="0059366D"/>
    <w:rsid w:val="005936BF"/>
    <w:rsid w:val="00593712"/>
    <w:rsid w:val="00593743"/>
    <w:rsid w:val="005937BE"/>
    <w:rsid w:val="00593849"/>
    <w:rsid w:val="0059387B"/>
    <w:rsid w:val="005938BC"/>
    <w:rsid w:val="0059397B"/>
    <w:rsid w:val="005939ED"/>
    <w:rsid w:val="00593A46"/>
    <w:rsid w:val="00593AB5"/>
    <w:rsid w:val="00593AC1"/>
    <w:rsid w:val="00593B43"/>
    <w:rsid w:val="00593B4A"/>
    <w:rsid w:val="00593BAF"/>
    <w:rsid w:val="00593BE6"/>
    <w:rsid w:val="00593C4C"/>
    <w:rsid w:val="00593C56"/>
    <w:rsid w:val="00593CA6"/>
    <w:rsid w:val="00593CD9"/>
    <w:rsid w:val="00593D3D"/>
    <w:rsid w:val="00593DAB"/>
    <w:rsid w:val="00593DCF"/>
    <w:rsid w:val="00593E22"/>
    <w:rsid w:val="00593F2A"/>
    <w:rsid w:val="00593F6F"/>
    <w:rsid w:val="00593FE6"/>
    <w:rsid w:val="0059400F"/>
    <w:rsid w:val="00594011"/>
    <w:rsid w:val="0059401A"/>
    <w:rsid w:val="00594091"/>
    <w:rsid w:val="005940CB"/>
    <w:rsid w:val="00594112"/>
    <w:rsid w:val="00594116"/>
    <w:rsid w:val="0059411A"/>
    <w:rsid w:val="0059413A"/>
    <w:rsid w:val="005941B9"/>
    <w:rsid w:val="005941E9"/>
    <w:rsid w:val="00594207"/>
    <w:rsid w:val="0059422F"/>
    <w:rsid w:val="005942A6"/>
    <w:rsid w:val="0059436B"/>
    <w:rsid w:val="00594379"/>
    <w:rsid w:val="0059438C"/>
    <w:rsid w:val="005943C2"/>
    <w:rsid w:val="005943E3"/>
    <w:rsid w:val="00594477"/>
    <w:rsid w:val="00594482"/>
    <w:rsid w:val="0059448A"/>
    <w:rsid w:val="00594493"/>
    <w:rsid w:val="0059452B"/>
    <w:rsid w:val="00594531"/>
    <w:rsid w:val="005945C8"/>
    <w:rsid w:val="005945D6"/>
    <w:rsid w:val="005945EB"/>
    <w:rsid w:val="00594600"/>
    <w:rsid w:val="005946A1"/>
    <w:rsid w:val="005946B2"/>
    <w:rsid w:val="005946C4"/>
    <w:rsid w:val="005946C5"/>
    <w:rsid w:val="005946FF"/>
    <w:rsid w:val="0059470B"/>
    <w:rsid w:val="00594734"/>
    <w:rsid w:val="0059478B"/>
    <w:rsid w:val="005947A2"/>
    <w:rsid w:val="00594837"/>
    <w:rsid w:val="005948DD"/>
    <w:rsid w:val="00594917"/>
    <w:rsid w:val="00594925"/>
    <w:rsid w:val="00594933"/>
    <w:rsid w:val="005949CA"/>
    <w:rsid w:val="005949DA"/>
    <w:rsid w:val="00594A78"/>
    <w:rsid w:val="00594ACD"/>
    <w:rsid w:val="00594B14"/>
    <w:rsid w:val="00594B9E"/>
    <w:rsid w:val="00594BE0"/>
    <w:rsid w:val="00594C35"/>
    <w:rsid w:val="00594C70"/>
    <w:rsid w:val="00594C7E"/>
    <w:rsid w:val="00594CBA"/>
    <w:rsid w:val="00594DCD"/>
    <w:rsid w:val="00594E56"/>
    <w:rsid w:val="00594EB1"/>
    <w:rsid w:val="00594EBB"/>
    <w:rsid w:val="00594F8C"/>
    <w:rsid w:val="00595006"/>
    <w:rsid w:val="00595008"/>
    <w:rsid w:val="00595010"/>
    <w:rsid w:val="00595083"/>
    <w:rsid w:val="005950C3"/>
    <w:rsid w:val="0059512A"/>
    <w:rsid w:val="00595153"/>
    <w:rsid w:val="00595232"/>
    <w:rsid w:val="005953C3"/>
    <w:rsid w:val="0059540F"/>
    <w:rsid w:val="00595437"/>
    <w:rsid w:val="0059547D"/>
    <w:rsid w:val="005954B7"/>
    <w:rsid w:val="0059557E"/>
    <w:rsid w:val="005955B2"/>
    <w:rsid w:val="005955CD"/>
    <w:rsid w:val="005955D4"/>
    <w:rsid w:val="005955FF"/>
    <w:rsid w:val="00595616"/>
    <w:rsid w:val="00595738"/>
    <w:rsid w:val="00595742"/>
    <w:rsid w:val="00595907"/>
    <w:rsid w:val="0059596F"/>
    <w:rsid w:val="00595A8F"/>
    <w:rsid w:val="00595B15"/>
    <w:rsid w:val="00595B61"/>
    <w:rsid w:val="00595BC9"/>
    <w:rsid w:val="00595BFF"/>
    <w:rsid w:val="00595C0D"/>
    <w:rsid w:val="00595C83"/>
    <w:rsid w:val="00595C92"/>
    <w:rsid w:val="00595CA9"/>
    <w:rsid w:val="00595CC2"/>
    <w:rsid w:val="00595D47"/>
    <w:rsid w:val="00595DA4"/>
    <w:rsid w:val="00595E98"/>
    <w:rsid w:val="00595F23"/>
    <w:rsid w:val="00595F50"/>
    <w:rsid w:val="00595F66"/>
    <w:rsid w:val="00595F6E"/>
    <w:rsid w:val="00595FE5"/>
    <w:rsid w:val="00595FF6"/>
    <w:rsid w:val="00596007"/>
    <w:rsid w:val="00596059"/>
    <w:rsid w:val="00596071"/>
    <w:rsid w:val="005961D9"/>
    <w:rsid w:val="005962B9"/>
    <w:rsid w:val="00596314"/>
    <w:rsid w:val="0059634C"/>
    <w:rsid w:val="005963F6"/>
    <w:rsid w:val="00596419"/>
    <w:rsid w:val="0059647F"/>
    <w:rsid w:val="005964B8"/>
    <w:rsid w:val="005964BD"/>
    <w:rsid w:val="00596560"/>
    <w:rsid w:val="0059657D"/>
    <w:rsid w:val="005965B0"/>
    <w:rsid w:val="00596635"/>
    <w:rsid w:val="005966A6"/>
    <w:rsid w:val="005967CD"/>
    <w:rsid w:val="0059682C"/>
    <w:rsid w:val="00596882"/>
    <w:rsid w:val="0059693B"/>
    <w:rsid w:val="0059694E"/>
    <w:rsid w:val="005969E9"/>
    <w:rsid w:val="00596AD7"/>
    <w:rsid w:val="00596B2A"/>
    <w:rsid w:val="00596B3B"/>
    <w:rsid w:val="00596B3E"/>
    <w:rsid w:val="00596B8F"/>
    <w:rsid w:val="00596C39"/>
    <w:rsid w:val="00596C47"/>
    <w:rsid w:val="00596C77"/>
    <w:rsid w:val="00596D29"/>
    <w:rsid w:val="00596D6C"/>
    <w:rsid w:val="00596EA9"/>
    <w:rsid w:val="00596EC5"/>
    <w:rsid w:val="00596EED"/>
    <w:rsid w:val="00596FBB"/>
    <w:rsid w:val="00597080"/>
    <w:rsid w:val="00597081"/>
    <w:rsid w:val="00597093"/>
    <w:rsid w:val="0059710B"/>
    <w:rsid w:val="0059712B"/>
    <w:rsid w:val="0059719D"/>
    <w:rsid w:val="005971F4"/>
    <w:rsid w:val="0059722E"/>
    <w:rsid w:val="005973E7"/>
    <w:rsid w:val="005973FA"/>
    <w:rsid w:val="00597409"/>
    <w:rsid w:val="00597477"/>
    <w:rsid w:val="0059747A"/>
    <w:rsid w:val="0059747C"/>
    <w:rsid w:val="005974C3"/>
    <w:rsid w:val="005974E0"/>
    <w:rsid w:val="00597556"/>
    <w:rsid w:val="00597586"/>
    <w:rsid w:val="005975BE"/>
    <w:rsid w:val="005975CD"/>
    <w:rsid w:val="005975CF"/>
    <w:rsid w:val="005975DD"/>
    <w:rsid w:val="0059764D"/>
    <w:rsid w:val="0059765A"/>
    <w:rsid w:val="0059769A"/>
    <w:rsid w:val="005976A1"/>
    <w:rsid w:val="00597711"/>
    <w:rsid w:val="0059786B"/>
    <w:rsid w:val="00597890"/>
    <w:rsid w:val="005978BF"/>
    <w:rsid w:val="005978F9"/>
    <w:rsid w:val="0059790E"/>
    <w:rsid w:val="0059793E"/>
    <w:rsid w:val="005979BA"/>
    <w:rsid w:val="005979EF"/>
    <w:rsid w:val="00597A24"/>
    <w:rsid w:val="00597A7B"/>
    <w:rsid w:val="00597BB0"/>
    <w:rsid w:val="00597C4A"/>
    <w:rsid w:val="00597C98"/>
    <w:rsid w:val="00597CCD"/>
    <w:rsid w:val="00597CDA"/>
    <w:rsid w:val="00597CFB"/>
    <w:rsid w:val="00597D56"/>
    <w:rsid w:val="00597E1B"/>
    <w:rsid w:val="00597E2A"/>
    <w:rsid w:val="00597ED3"/>
    <w:rsid w:val="00597F0E"/>
    <w:rsid w:val="00597F1A"/>
    <w:rsid w:val="00597FD4"/>
    <w:rsid w:val="00597FDA"/>
    <w:rsid w:val="00597FF6"/>
    <w:rsid w:val="005A0026"/>
    <w:rsid w:val="005A005F"/>
    <w:rsid w:val="005A007C"/>
    <w:rsid w:val="005A0097"/>
    <w:rsid w:val="005A00C7"/>
    <w:rsid w:val="005A00CF"/>
    <w:rsid w:val="005A0108"/>
    <w:rsid w:val="005A0112"/>
    <w:rsid w:val="005A0113"/>
    <w:rsid w:val="005A0122"/>
    <w:rsid w:val="005A021D"/>
    <w:rsid w:val="005A0288"/>
    <w:rsid w:val="005A031C"/>
    <w:rsid w:val="005A033E"/>
    <w:rsid w:val="005A038A"/>
    <w:rsid w:val="005A039E"/>
    <w:rsid w:val="005A03AC"/>
    <w:rsid w:val="005A03B7"/>
    <w:rsid w:val="005A03F6"/>
    <w:rsid w:val="005A0411"/>
    <w:rsid w:val="005A0449"/>
    <w:rsid w:val="005A0452"/>
    <w:rsid w:val="005A04A2"/>
    <w:rsid w:val="005A04C0"/>
    <w:rsid w:val="005A05BA"/>
    <w:rsid w:val="005A05EB"/>
    <w:rsid w:val="005A066B"/>
    <w:rsid w:val="005A06B0"/>
    <w:rsid w:val="005A0741"/>
    <w:rsid w:val="005A087C"/>
    <w:rsid w:val="005A0915"/>
    <w:rsid w:val="005A096A"/>
    <w:rsid w:val="005A0A74"/>
    <w:rsid w:val="005A0AA7"/>
    <w:rsid w:val="005A0B27"/>
    <w:rsid w:val="005A0B28"/>
    <w:rsid w:val="005A0B32"/>
    <w:rsid w:val="005A0B91"/>
    <w:rsid w:val="005A0BC4"/>
    <w:rsid w:val="005A0C6A"/>
    <w:rsid w:val="005A0C6E"/>
    <w:rsid w:val="005A0C7B"/>
    <w:rsid w:val="005A0D7B"/>
    <w:rsid w:val="005A0E7E"/>
    <w:rsid w:val="005A0F26"/>
    <w:rsid w:val="005A0F48"/>
    <w:rsid w:val="005A0F8A"/>
    <w:rsid w:val="005A0FC7"/>
    <w:rsid w:val="005A0FDD"/>
    <w:rsid w:val="005A0FE4"/>
    <w:rsid w:val="005A0FE8"/>
    <w:rsid w:val="005A1012"/>
    <w:rsid w:val="005A102C"/>
    <w:rsid w:val="005A1075"/>
    <w:rsid w:val="005A10D7"/>
    <w:rsid w:val="005A11CD"/>
    <w:rsid w:val="005A11DE"/>
    <w:rsid w:val="005A11E3"/>
    <w:rsid w:val="005A1233"/>
    <w:rsid w:val="005A124E"/>
    <w:rsid w:val="005A1281"/>
    <w:rsid w:val="005A12C6"/>
    <w:rsid w:val="005A12E5"/>
    <w:rsid w:val="005A1301"/>
    <w:rsid w:val="005A140E"/>
    <w:rsid w:val="005A1414"/>
    <w:rsid w:val="005A14DC"/>
    <w:rsid w:val="005A14FC"/>
    <w:rsid w:val="005A152C"/>
    <w:rsid w:val="005A1541"/>
    <w:rsid w:val="005A1581"/>
    <w:rsid w:val="005A1595"/>
    <w:rsid w:val="005A15BE"/>
    <w:rsid w:val="005A15C0"/>
    <w:rsid w:val="005A1620"/>
    <w:rsid w:val="005A1630"/>
    <w:rsid w:val="005A1662"/>
    <w:rsid w:val="005A1751"/>
    <w:rsid w:val="005A1752"/>
    <w:rsid w:val="005A1757"/>
    <w:rsid w:val="005A1857"/>
    <w:rsid w:val="005A18B0"/>
    <w:rsid w:val="005A18CA"/>
    <w:rsid w:val="005A1973"/>
    <w:rsid w:val="005A197A"/>
    <w:rsid w:val="005A198F"/>
    <w:rsid w:val="005A19C6"/>
    <w:rsid w:val="005A19E0"/>
    <w:rsid w:val="005A1A14"/>
    <w:rsid w:val="005A1A27"/>
    <w:rsid w:val="005A1AA5"/>
    <w:rsid w:val="005A1B04"/>
    <w:rsid w:val="005A1B0F"/>
    <w:rsid w:val="005A1BAC"/>
    <w:rsid w:val="005A1C94"/>
    <w:rsid w:val="005A1CAD"/>
    <w:rsid w:val="005A1CB2"/>
    <w:rsid w:val="005A1CE2"/>
    <w:rsid w:val="005A1DC2"/>
    <w:rsid w:val="005A1E07"/>
    <w:rsid w:val="005A1F01"/>
    <w:rsid w:val="005A1F7E"/>
    <w:rsid w:val="005A2085"/>
    <w:rsid w:val="005A21C0"/>
    <w:rsid w:val="005A21FF"/>
    <w:rsid w:val="005A222F"/>
    <w:rsid w:val="005A2257"/>
    <w:rsid w:val="005A226C"/>
    <w:rsid w:val="005A234C"/>
    <w:rsid w:val="005A23F8"/>
    <w:rsid w:val="005A24B2"/>
    <w:rsid w:val="005A24B4"/>
    <w:rsid w:val="005A24C7"/>
    <w:rsid w:val="005A24EF"/>
    <w:rsid w:val="005A251A"/>
    <w:rsid w:val="005A2568"/>
    <w:rsid w:val="005A2572"/>
    <w:rsid w:val="005A2623"/>
    <w:rsid w:val="005A2627"/>
    <w:rsid w:val="005A26A1"/>
    <w:rsid w:val="005A2742"/>
    <w:rsid w:val="005A274B"/>
    <w:rsid w:val="005A2777"/>
    <w:rsid w:val="005A27E2"/>
    <w:rsid w:val="005A2828"/>
    <w:rsid w:val="005A284E"/>
    <w:rsid w:val="005A289F"/>
    <w:rsid w:val="005A28B2"/>
    <w:rsid w:val="005A291B"/>
    <w:rsid w:val="005A297C"/>
    <w:rsid w:val="005A29AA"/>
    <w:rsid w:val="005A29C8"/>
    <w:rsid w:val="005A2A1A"/>
    <w:rsid w:val="005A2A24"/>
    <w:rsid w:val="005A2A2D"/>
    <w:rsid w:val="005A2A48"/>
    <w:rsid w:val="005A2B1A"/>
    <w:rsid w:val="005A2BAA"/>
    <w:rsid w:val="005A2D37"/>
    <w:rsid w:val="005A2D64"/>
    <w:rsid w:val="005A2DE1"/>
    <w:rsid w:val="005A2DF8"/>
    <w:rsid w:val="005A2E08"/>
    <w:rsid w:val="005A2E14"/>
    <w:rsid w:val="005A2E7C"/>
    <w:rsid w:val="005A2F1A"/>
    <w:rsid w:val="005A2F31"/>
    <w:rsid w:val="005A2FD7"/>
    <w:rsid w:val="005A3090"/>
    <w:rsid w:val="005A3196"/>
    <w:rsid w:val="005A3216"/>
    <w:rsid w:val="005A325F"/>
    <w:rsid w:val="005A32A5"/>
    <w:rsid w:val="005A3376"/>
    <w:rsid w:val="005A339A"/>
    <w:rsid w:val="005A33DF"/>
    <w:rsid w:val="005A3493"/>
    <w:rsid w:val="005A34DE"/>
    <w:rsid w:val="005A353C"/>
    <w:rsid w:val="005A3573"/>
    <w:rsid w:val="005A35E4"/>
    <w:rsid w:val="005A35E9"/>
    <w:rsid w:val="005A3602"/>
    <w:rsid w:val="005A3700"/>
    <w:rsid w:val="005A3735"/>
    <w:rsid w:val="005A3751"/>
    <w:rsid w:val="005A3795"/>
    <w:rsid w:val="005A37A5"/>
    <w:rsid w:val="005A3856"/>
    <w:rsid w:val="005A39E8"/>
    <w:rsid w:val="005A3A29"/>
    <w:rsid w:val="005A3AC9"/>
    <w:rsid w:val="005A3AD9"/>
    <w:rsid w:val="005A3B02"/>
    <w:rsid w:val="005A3B5C"/>
    <w:rsid w:val="005A3BCF"/>
    <w:rsid w:val="005A3BDD"/>
    <w:rsid w:val="005A3C68"/>
    <w:rsid w:val="005A3C93"/>
    <w:rsid w:val="005A3CF7"/>
    <w:rsid w:val="005A3D87"/>
    <w:rsid w:val="005A3DC5"/>
    <w:rsid w:val="005A3E1B"/>
    <w:rsid w:val="005A3E65"/>
    <w:rsid w:val="005A3EBD"/>
    <w:rsid w:val="005A3ED9"/>
    <w:rsid w:val="005A3EE1"/>
    <w:rsid w:val="005A3FB5"/>
    <w:rsid w:val="005A400A"/>
    <w:rsid w:val="005A4045"/>
    <w:rsid w:val="005A406C"/>
    <w:rsid w:val="005A4078"/>
    <w:rsid w:val="005A4188"/>
    <w:rsid w:val="005A41CA"/>
    <w:rsid w:val="005A41DA"/>
    <w:rsid w:val="005A42CF"/>
    <w:rsid w:val="005A4395"/>
    <w:rsid w:val="005A4424"/>
    <w:rsid w:val="005A4452"/>
    <w:rsid w:val="005A4472"/>
    <w:rsid w:val="005A44A9"/>
    <w:rsid w:val="005A451B"/>
    <w:rsid w:val="005A459D"/>
    <w:rsid w:val="005A4626"/>
    <w:rsid w:val="005A468F"/>
    <w:rsid w:val="005A46FD"/>
    <w:rsid w:val="005A4745"/>
    <w:rsid w:val="005A4775"/>
    <w:rsid w:val="005A48AA"/>
    <w:rsid w:val="005A4981"/>
    <w:rsid w:val="005A49BB"/>
    <w:rsid w:val="005A49DA"/>
    <w:rsid w:val="005A4A6E"/>
    <w:rsid w:val="005A4A76"/>
    <w:rsid w:val="005A4A90"/>
    <w:rsid w:val="005A4AA5"/>
    <w:rsid w:val="005A4AB3"/>
    <w:rsid w:val="005A4C50"/>
    <w:rsid w:val="005A4CB3"/>
    <w:rsid w:val="005A4CF5"/>
    <w:rsid w:val="005A4D02"/>
    <w:rsid w:val="005A4D5F"/>
    <w:rsid w:val="005A4E85"/>
    <w:rsid w:val="005A4E87"/>
    <w:rsid w:val="005A4F2F"/>
    <w:rsid w:val="005A4F38"/>
    <w:rsid w:val="005A4F7B"/>
    <w:rsid w:val="005A502E"/>
    <w:rsid w:val="005A5064"/>
    <w:rsid w:val="005A5206"/>
    <w:rsid w:val="005A5216"/>
    <w:rsid w:val="005A5313"/>
    <w:rsid w:val="005A5337"/>
    <w:rsid w:val="005A5368"/>
    <w:rsid w:val="005A54A8"/>
    <w:rsid w:val="005A54CD"/>
    <w:rsid w:val="005A552E"/>
    <w:rsid w:val="005A55C6"/>
    <w:rsid w:val="005A5657"/>
    <w:rsid w:val="005A5665"/>
    <w:rsid w:val="005A56A6"/>
    <w:rsid w:val="005A56ED"/>
    <w:rsid w:val="005A5733"/>
    <w:rsid w:val="005A5741"/>
    <w:rsid w:val="005A5778"/>
    <w:rsid w:val="005A57EC"/>
    <w:rsid w:val="005A5845"/>
    <w:rsid w:val="005A5853"/>
    <w:rsid w:val="005A5882"/>
    <w:rsid w:val="005A5931"/>
    <w:rsid w:val="005A5934"/>
    <w:rsid w:val="005A5982"/>
    <w:rsid w:val="005A598E"/>
    <w:rsid w:val="005A5A0B"/>
    <w:rsid w:val="005A5A20"/>
    <w:rsid w:val="005A5A77"/>
    <w:rsid w:val="005A5AE8"/>
    <w:rsid w:val="005A5AFE"/>
    <w:rsid w:val="005A5B03"/>
    <w:rsid w:val="005A5B18"/>
    <w:rsid w:val="005A5B60"/>
    <w:rsid w:val="005A5B70"/>
    <w:rsid w:val="005A5B89"/>
    <w:rsid w:val="005A5B8F"/>
    <w:rsid w:val="005A5BFC"/>
    <w:rsid w:val="005A5C28"/>
    <w:rsid w:val="005A5D5B"/>
    <w:rsid w:val="005A5E3C"/>
    <w:rsid w:val="005A5E6C"/>
    <w:rsid w:val="005A5EF5"/>
    <w:rsid w:val="005A5F85"/>
    <w:rsid w:val="005A5F99"/>
    <w:rsid w:val="005A603C"/>
    <w:rsid w:val="005A60C0"/>
    <w:rsid w:val="005A611B"/>
    <w:rsid w:val="005A61A9"/>
    <w:rsid w:val="005A61C7"/>
    <w:rsid w:val="005A624B"/>
    <w:rsid w:val="005A624F"/>
    <w:rsid w:val="005A6262"/>
    <w:rsid w:val="005A631C"/>
    <w:rsid w:val="005A633B"/>
    <w:rsid w:val="005A6348"/>
    <w:rsid w:val="005A635F"/>
    <w:rsid w:val="005A63AD"/>
    <w:rsid w:val="005A645F"/>
    <w:rsid w:val="005A64FE"/>
    <w:rsid w:val="005A6575"/>
    <w:rsid w:val="005A658C"/>
    <w:rsid w:val="005A65A0"/>
    <w:rsid w:val="005A65BA"/>
    <w:rsid w:val="005A6617"/>
    <w:rsid w:val="005A661C"/>
    <w:rsid w:val="005A66B3"/>
    <w:rsid w:val="005A66ED"/>
    <w:rsid w:val="005A6771"/>
    <w:rsid w:val="005A6772"/>
    <w:rsid w:val="005A67AA"/>
    <w:rsid w:val="005A67BF"/>
    <w:rsid w:val="005A6879"/>
    <w:rsid w:val="005A6918"/>
    <w:rsid w:val="005A693E"/>
    <w:rsid w:val="005A6965"/>
    <w:rsid w:val="005A69BE"/>
    <w:rsid w:val="005A69DA"/>
    <w:rsid w:val="005A6AA5"/>
    <w:rsid w:val="005A6ADA"/>
    <w:rsid w:val="005A6AE8"/>
    <w:rsid w:val="005A6B0E"/>
    <w:rsid w:val="005A6B7B"/>
    <w:rsid w:val="005A6B7C"/>
    <w:rsid w:val="005A6C4E"/>
    <w:rsid w:val="005A6CC3"/>
    <w:rsid w:val="005A6CC8"/>
    <w:rsid w:val="005A6CD0"/>
    <w:rsid w:val="005A6CDB"/>
    <w:rsid w:val="005A6D42"/>
    <w:rsid w:val="005A6D92"/>
    <w:rsid w:val="005A6D9E"/>
    <w:rsid w:val="005A6DA4"/>
    <w:rsid w:val="005A6E2F"/>
    <w:rsid w:val="005A6E9E"/>
    <w:rsid w:val="005A6EA3"/>
    <w:rsid w:val="005A6EB9"/>
    <w:rsid w:val="005A6EF4"/>
    <w:rsid w:val="005A6EFC"/>
    <w:rsid w:val="005A6EFF"/>
    <w:rsid w:val="005A6F52"/>
    <w:rsid w:val="005A6F6E"/>
    <w:rsid w:val="005A6F75"/>
    <w:rsid w:val="005A7061"/>
    <w:rsid w:val="005A70A5"/>
    <w:rsid w:val="005A70DB"/>
    <w:rsid w:val="005A711D"/>
    <w:rsid w:val="005A7126"/>
    <w:rsid w:val="005A713E"/>
    <w:rsid w:val="005A71D4"/>
    <w:rsid w:val="005A722D"/>
    <w:rsid w:val="005A725A"/>
    <w:rsid w:val="005A7392"/>
    <w:rsid w:val="005A73BA"/>
    <w:rsid w:val="005A7489"/>
    <w:rsid w:val="005A74A0"/>
    <w:rsid w:val="005A74AB"/>
    <w:rsid w:val="005A7502"/>
    <w:rsid w:val="005A75B1"/>
    <w:rsid w:val="005A75CB"/>
    <w:rsid w:val="005A763C"/>
    <w:rsid w:val="005A7645"/>
    <w:rsid w:val="005A766E"/>
    <w:rsid w:val="005A76DE"/>
    <w:rsid w:val="005A76EB"/>
    <w:rsid w:val="005A7767"/>
    <w:rsid w:val="005A779A"/>
    <w:rsid w:val="005A77A9"/>
    <w:rsid w:val="005A77BF"/>
    <w:rsid w:val="005A77D8"/>
    <w:rsid w:val="005A786F"/>
    <w:rsid w:val="005A7899"/>
    <w:rsid w:val="005A78B4"/>
    <w:rsid w:val="005A78DC"/>
    <w:rsid w:val="005A7903"/>
    <w:rsid w:val="005A790C"/>
    <w:rsid w:val="005A79E2"/>
    <w:rsid w:val="005A79EF"/>
    <w:rsid w:val="005A7A61"/>
    <w:rsid w:val="005A7B50"/>
    <w:rsid w:val="005A7B51"/>
    <w:rsid w:val="005A7B68"/>
    <w:rsid w:val="005A7CEE"/>
    <w:rsid w:val="005A7D4C"/>
    <w:rsid w:val="005A7D4D"/>
    <w:rsid w:val="005A7D7C"/>
    <w:rsid w:val="005A7DB0"/>
    <w:rsid w:val="005A7E78"/>
    <w:rsid w:val="005A7E7B"/>
    <w:rsid w:val="005A7F12"/>
    <w:rsid w:val="005A7F44"/>
    <w:rsid w:val="005A7F45"/>
    <w:rsid w:val="005A7F96"/>
    <w:rsid w:val="005A7FCA"/>
    <w:rsid w:val="005A7FCB"/>
    <w:rsid w:val="005A7FE4"/>
    <w:rsid w:val="005B007E"/>
    <w:rsid w:val="005B00F5"/>
    <w:rsid w:val="005B0106"/>
    <w:rsid w:val="005B018D"/>
    <w:rsid w:val="005B01B1"/>
    <w:rsid w:val="005B01B8"/>
    <w:rsid w:val="005B01BB"/>
    <w:rsid w:val="005B01D0"/>
    <w:rsid w:val="005B0265"/>
    <w:rsid w:val="005B027B"/>
    <w:rsid w:val="005B02E4"/>
    <w:rsid w:val="005B030A"/>
    <w:rsid w:val="005B033B"/>
    <w:rsid w:val="005B035E"/>
    <w:rsid w:val="005B0468"/>
    <w:rsid w:val="005B04A7"/>
    <w:rsid w:val="005B04F2"/>
    <w:rsid w:val="005B0553"/>
    <w:rsid w:val="005B0595"/>
    <w:rsid w:val="005B05EB"/>
    <w:rsid w:val="005B06FD"/>
    <w:rsid w:val="005B0718"/>
    <w:rsid w:val="005B072B"/>
    <w:rsid w:val="005B07F4"/>
    <w:rsid w:val="005B0800"/>
    <w:rsid w:val="005B08AE"/>
    <w:rsid w:val="005B08B2"/>
    <w:rsid w:val="005B08C9"/>
    <w:rsid w:val="005B08D3"/>
    <w:rsid w:val="005B08F3"/>
    <w:rsid w:val="005B096E"/>
    <w:rsid w:val="005B0975"/>
    <w:rsid w:val="005B0A0A"/>
    <w:rsid w:val="005B0A16"/>
    <w:rsid w:val="005B0AAE"/>
    <w:rsid w:val="005B0AC6"/>
    <w:rsid w:val="005B0AFC"/>
    <w:rsid w:val="005B0B0E"/>
    <w:rsid w:val="005B0B7F"/>
    <w:rsid w:val="005B0B9A"/>
    <w:rsid w:val="005B0C55"/>
    <w:rsid w:val="005B0D98"/>
    <w:rsid w:val="005B0E0D"/>
    <w:rsid w:val="005B0E49"/>
    <w:rsid w:val="005B0E4D"/>
    <w:rsid w:val="005B0E73"/>
    <w:rsid w:val="005B0E79"/>
    <w:rsid w:val="005B0EA0"/>
    <w:rsid w:val="005B0EEF"/>
    <w:rsid w:val="005B0F97"/>
    <w:rsid w:val="005B0FFA"/>
    <w:rsid w:val="005B1017"/>
    <w:rsid w:val="005B101B"/>
    <w:rsid w:val="005B10BD"/>
    <w:rsid w:val="005B10D3"/>
    <w:rsid w:val="005B119C"/>
    <w:rsid w:val="005B11B0"/>
    <w:rsid w:val="005B11CC"/>
    <w:rsid w:val="005B1238"/>
    <w:rsid w:val="005B123F"/>
    <w:rsid w:val="005B127E"/>
    <w:rsid w:val="005B128B"/>
    <w:rsid w:val="005B12A6"/>
    <w:rsid w:val="005B12C0"/>
    <w:rsid w:val="005B1419"/>
    <w:rsid w:val="005B149B"/>
    <w:rsid w:val="005B14D3"/>
    <w:rsid w:val="005B14E0"/>
    <w:rsid w:val="005B14E8"/>
    <w:rsid w:val="005B15AC"/>
    <w:rsid w:val="005B15C5"/>
    <w:rsid w:val="005B1609"/>
    <w:rsid w:val="005B175B"/>
    <w:rsid w:val="005B1779"/>
    <w:rsid w:val="005B1785"/>
    <w:rsid w:val="005B17C4"/>
    <w:rsid w:val="005B17CC"/>
    <w:rsid w:val="005B1813"/>
    <w:rsid w:val="005B181B"/>
    <w:rsid w:val="005B1831"/>
    <w:rsid w:val="005B185D"/>
    <w:rsid w:val="005B18A6"/>
    <w:rsid w:val="005B1913"/>
    <w:rsid w:val="005B192A"/>
    <w:rsid w:val="005B1944"/>
    <w:rsid w:val="005B1A2A"/>
    <w:rsid w:val="005B1A5E"/>
    <w:rsid w:val="005B1B77"/>
    <w:rsid w:val="005B1C4A"/>
    <w:rsid w:val="005B1D08"/>
    <w:rsid w:val="005B1D75"/>
    <w:rsid w:val="005B1D7B"/>
    <w:rsid w:val="005B1E2B"/>
    <w:rsid w:val="005B1E5E"/>
    <w:rsid w:val="005B1E62"/>
    <w:rsid w:val="005B1E76"/>
    <w:rsid w:val="005B1EDF"/>
    <w:rsid w:val="005B1F1A"/>
    <w:rsid w:val="005B1FC5"/>
    <w:rsid w:val="005B1FC7"/>
    <w:rsid w:val="005B204C"/>
    <w:rsid w:val="005B207E"/>
    <w:rsid w:val="005B20D9"/>
    <w:rsid w:val="005B20FF"/>
    <w:rsid w:val="005B2115"/>
    <w:rsid w:val="005B214B"/>
    <w:rsid w:val="005B2196"/>
    <w:rsid w:val="005B21A3"/>
    <w:rsid w:val="005B21FE"/>
    <w:rsid w:val="005B224B"/>
    <w:rsid w:val="005B2261"/>
    <w:rsid w:val="005B22C3"/>
    <w:rsid w:val="005B2389"/>
    <w:rsid w:val="005B23A7"/>
    <w:rsid w:val="005B23BA"/>
    <w:rsid w:val="005B23E2"/>
    <w:rsid w:val="005B2415"/>
    <w:rsid w:val="005B2467"/>
    <w:rsid w:val="005B2470"/>
    <w:rsid w:val="005B2497"/>
    <w:rsid w:val="005B2544"/>
    <w:rsid w:val="005B2590"/>
    <w:rsid w:val="005B25A5"/>
    <w:rsid w:val="005B25E9"/>
    <w:rsid w:val="005B263D"/>
    <w:rsid w:val="005B2672"/>
    <w:rsid w:val="005B268A"/>
    <w:rsid w:val="005B2699"/>
    <w:rsid w:val="005B26D9"/>
    <w:rsid w:val="005B26EA"/>
    <w:rsid w:val="005B2747"/>
    <w:rsid w:val="005B2795"/>
    <w:rsid w:val="005B27C7"/>
    <w:rsid w:val="005B28F4"/>
    <w:rsid w:val="005B293A"/>
    <w:rsid w:val="005B294A"/>
    <w:rsid w:val="005B297F"/>
    <w:rsid w:val="005B2999"/>
    <w:rsid w:val="005B29F4"/>
    <w:rsid w:val="005B2A09"/>
    <w:rsid w:val="005B2A28"/>
    <w:rsid w:val="005B2AEB"/>
    <w:rsid w:val="005B2AF9"/>
    <w:rsid w:val="005B2BB8"/>
    <w:rsid w:val="005B2BD3"/>
    <w:rsid w:val="005B2C0F"/>
    <w:rsid w:val="005B2C19"/>
    <w:rsid w:val="005B2C79"/>
    <w:rsid w:val="005B2D5D"/>
    <w:rsid w:val="005B2D92"/>
    <w:rsid w:val="005B2DEC"/>
    <w:rsid w:val="005B2E2E"/>
    <w:rsid w:val="005B2EA0"/>
    <w:rsid w:val="005B2EA4"/>
    <w:rsid w:val="005B2EF1"/>
    <w:rsid w:val="005B2F58"/>
    <w:rsid w:val="005B2F6D"/>
    <w:rsid w:val="005B2FBA"/>
    <w:rsid w:val="005B2FF4"/>
    <w:rsid w:val="005B3069"/>
    <w:rsid w:val="005B3091"/>
    <w:rsid w:val="005B30A4"/>
    <w:rsid w:val="005B30EE"/>
    <w:rsid w:val="005B316D"/>
    <w:rsid w:val="005B31AF"/>
    <w:rsid w:val="005B31CB"/>
    <w:rsid w:val="005B31D3"/>
    <w:rsid w:val="005B31D7"/>
    <w:rsid w:val="005B32AE"/>
    <w:rsid w:val="005B32DD"/>
    <w:rsid w:val="005B3383"/>
    <w:rsid w:val="005B3439"/>
    <w:rsid w:val="005B3538"/>
    <w:rsid w:val="005B358E"/>
    <w:rsid w:val="005B3607"/>
    <w:rsid w:val="005B3611"/>
    <w:rsid w:val="005B3630"/>
    <w:rsid w:val="005B367E"/>
    <w:rsid w:val="005B3683"/>
    <w:rsid w:val="005B368E"/>
    <w:rsid w:val="005B36A7"/>
    <w:rsid w:val="005B3739"/>
    <w:rsid w:val="005B3822"/>
    <w:rsid w:val="005B3828"/>
    <w:rsid w:val="005B39AF"/>
    <w:rsid w:val="005B39DF"/>
    <w:rsid w:val="005B3A58"/>
    <w:rsid w:val="005B3B69"/>
    <w:rsid w:val="005B3C03"/>
    <w:rsid w:val="005B3C14"/>
    <w:rsid w:val="005B3C43"/>
    <w:rsid w:val="005B3C7B"/>
    <w:rsid w:val="005B3CA8"/>
    <w:rsid w:val="005B3CC3"/>
    <w:rsid w:val="005B3D1C"/>
    <w:rsid w:val="005B3D23"/>
    <w:rsid w:val="005B3D33"/>
    <w:rsid w:val="005B3DE9"/>
    <w:rsid w:val="005B3E5C"/>
    <w:rsid w:val="005B3E7E"/>
    <w:rsid w:val="005B3EF7"/>
    <w:rsid w:val="005B3F63"/>
    <w:rsid w:val="005B3F81"/>
    <w:rsid w:val="005B3F9A"/>
    <w:rsid w:val="005B4088"/>
    <w:rsid w:val="005B408A"/>
    <w:rsid w:val="005B40F2"/>
    <w:rsid w:val="005B4126"/>
    <w:rsid w:val="005B414B"/>
    <w:rsid w:val="005B41B5"/>
    <w:rsid w:val="005B4227"/>
    <w:rsid w:val="005B4297"/>
    <w:rsid w:val="005B42A9"/>
    <w:rsid w:val="005B42C3"/>
    <w:rsid w:val="005B42C6"/>
    <w:rsid w:val="005B4307"/>
    <w:rsid w:val="005B436B"/>
    <w:rsid w:val="005B4395"/>
    <w:rsid w:val="005B444B"/>
    <w:rsid w:val="005B452D"/>
    <w:rsid w:val="005B4539"/>
    <w:rsid w:val="005B4571"/>
    <w:rsid w:val="005B4591"/>
    <w:rsid w:val="005B4673"/>
    <w:rsid w:val="005B46B6"/>
    <w:rsid w:val="005B46DF"/>
    <w:rsid w:val="005B473D"/>
    <w:rsid w:val="005B47B4"/>
    <w:rsid w:val="005B47BA"/>
    <w:rsid w:val="005B4818"/>
    <w:rsid w:val="005B4843"/>
    <w:rsid w:val="005B48B6"/>
    <w:rsid w:val="005B48F6"/>
    <w:rsid w:val="005B4995"/>
    <w:rsid w:val="005B49B5"/>
    <w:rsid w:val="005B4A3D"/>
    <w:rsid w:val="005B4A59"/>
    <w:rsid w:val="005B4A83"/>
    <w:rsid w:val="005B4A97"/>
    <w:rsid w:val="005B4B1B"/>
    <w:rsid w:val="005B4B40"/>
    <w:rsid w:val="005B4B47"/>
    <w:rsid w:val="005B4B8D"/>
    <w:rsid w:val="005B4B91"/>
    <w:rsid w:val="005B4BFF"/>
    <w:rsid w:val="005B4C06"/>
    <w:rsid w:val="005B4CFF"/>
    <w:rsid w:val="005B4D4D"/>
    <w:rsid w:val="005B4D68"/>
    <w:rsid w:val="005B4DE5"/>
    <w:rsid w:val="005B4DF8"/>
    <w:rsid w:val="005B4E67"/>
    <w:rsid w:val="005B4EDD"/>
    <w:rsid w:val="005B4F24"/>
    <w:rsid w:val="005B4F6A"/>
    <w:rsid w:val="005B4F7E"/>
    <w:rsid w:val="005B50A5"/>
    <w:rsid w:val="005B50BC"/>
    <w:rsid w:val="005B50CF"/>
    <w:rsid w:val="005B50FE"/>
    <w:rsid w:val="005B5155"/>
    <w:rsid w:val="005B523D"/>
    <w:rsid w:val="005B5276"/>
    <w:rsid w:val="005B52C5"/>
    <w:rsid w:val="005B5323"/>
    <w:rsid w:val="005B539A"/>
    <w:rsid w:val="005B53C8"/>
    <w:rsid w:val="005B5569"/>
    <w:rsid w:val="005B55FF"/>
    <w:rsid w:val="005B56A9"/>
    <w:rsid w:val="005B56C1"/>
    <w:rsid w:val="005B56C5"/>
    <w:rsid w:val="005B5740"/>
    <w:rsid w:val="005B578D"/>
    <w:rsid w:val="005B57B0"/>
    <w:rsid w:val="005B57C3"/>
    <w:rsid w:val="005B57C6"/>
    <w:rsid w:val="005B5816"/>
    <w:rsid w:val="005B5863"/>
    <w:rsid w:val="005B58BD"/>
    <w:rsid w:val="005B5904"/>
    <w:rsid w:val="005B5923"/>
    <w:rsid w:val="005B5974"/>
    <w:rsid w:val="005B5AA8"/>
    <w:rsid w:val="005B5B53"/>
    <w:rsid w:val="005B5BA4"/>
    <w:rsid w:val="005B5BD7"/>
    <w:rsid w:val="005B5CA6"/>
    <w:rsid w:val="005B5CA7"/>
    <w:rsid w:val="005B5D1F"/>
    <w:rsid w:val="005B5D39"/>
    <w:rsid w:val="005B5DEF"/>
    <w:rsid w:val="005B5E1A"/>
    <w:rsid w:val="005B5E5D"/>
    <w:rsid w:val="005B5ED3"/>
    <w:rsid w:val="005B5EF0"/>
    <w:rsid w:val="005B5EF6"/>
    <w:rsid w:val="005B5EF9"/>
    <w:rsid w:val="005B5F96"/>
    <w:rsid w:val="005B5F9C"/>
    <w:rsid w:val="005B5FDD"/>
    <w:rsid w:val="005B6048"/>
    <w:rsid w:val="005B6053"/>
    <w:rsid w:val="005B60AE"/>
    <w:rsid w:val="005B60E7"/>
    <w:rsid w:val="005B611D"/>
    <w:rsid w:val="005B6133"/>
    <w:rsid w:val="005B6135"/>
    <w:rsid w:val="005B614C"/>
    <w:rsid w:val="005B61A0"/>
    <w:rsid w:val="005B61C1"/>
    <w:rsid w:val="005B6347"/>
    <w:rsid w:val="005B6371"/>
    <w:rsid w:val="005B63CC"/>
    <w:rsid w:val="005B63D4"/>
    <w:rsid w:val="005B6420"/>
    <w:rsid w:val="005B64D6"/>
    <w:rsid w:val="005B6512"/>
    <w:rsid w:val="005B6575"/>
    <w:rsid w:val="005B657C"/>
    <w:rsid w:val="005B658E"/>
    <w:rsid w:val="005B65A1"/>
    <w:rsid w:val="005B6681"/>
    <w:rsid w:val="005B6731"/>
    <w:rsid w:val="005B6747"/>
    <w:rsid w:val="005B675E"/>
    <w:rsid w:val="005B6771"/>
    <w:rsid w:val="005B67D7"/>
    <w:rsid w:val="005B67DF"/>
    <w:rsid w:val="005B6819"/>
    <w:rsid w:val="005B682E"/>
    <w:rsid w:val="005B6837"/>
    <w:rsid w:val="005B6858"/>
    <w:rsid w:val="005B69C6"/>
    <w:rsid w:val="005B6B4E"/>
    <w:rsid w:val="005B6B50"/>
    <w:rsid w:val="005B6BC2"/>
    <w:rsid w:val="005B6BCD"/>
    <w:rsid w:val="005B6C0A"/>
    <w:rsid w:val="005B6C62"/>
    <w:rsid w:val="005B6CE7"/>
    <w:rsid w:val="005B6DB3"/>
    <w:rsid w:val="005B6DDC"/>
    <w:rsid w:val="005B6E01"/>
    <w:rsid w:val="005B6E3C"/>
    <w:rsid w:val="005B6EB2"/>
    <w:rsid w:val="005B6F38"/>
    <w:rsid w:val="005B6F61"/>
    <w:rsid w:val="005B6F6F"/>
    <w:rsid w:val="005B6FBD"/>
    <w:rsid w:val="005B6FCB"/>
    <w:rsid w:val="005B6FE2"/>
    <w:rsid w:val="005B7022"/>
    <w:rsid w:val="005B7045"/>
    <w:rsid w:val="005B714F"/>
    <w:rsid w:val="005B7157"/>
    <w:rsid w:val="005B7178"/>
    <w:rsid w:val="005B7266"/>
    <w:rsid w:val="005B729B"/>
    <w:rsid w:val="005B72AF"/>
    <w:rsid w:val="005B72FC"/>
    <w:rsid w:val="005B7363"/>
    <w:rsid w:val="005B736C"/>
    <w:rsid w:val="005B73A2"/>
    <w:rsid w:val="005B7415"/>
    <w:rsid w:val="005B7453"/>
    <w:rsid w:val="005B7485"/>
    <w:rsid w:val="005B74D8"/>
    <w:rsid w:val="005B753B"/>
    <w:rsid w:val="005B7561"/>
    <w:rsid w:val="005B7596"/>
    <w:rsid w:val="005B75C1"/>
    <w:rsid w:val="005B75C7"/>
    <w:rsid w:val="005B7628"/>
    <w:rsid w:val="005B762F"/>
    <w:rsid w:val="005B7677"/>
    <w:rsid w:val="005B769E"/>
    <w:rsid w:val="005B76A7"/>
    <w:rsid w:val="005B771D"/>
    <w:rsid w:val="005B7775"/>
    <w:rsid w:val="005B77DF"/>
    <w:rsid w:val="005B7808"/>
    <w:rsid w:val="005B781C"/>
    <w:rsid w:val="005B7830"/>
    <w:rsid w:val="005B799E"/>
    <w:rsid w:val="005B79B3"/>
    <w:rsid w:val="005B7A5D"/>
    <w:rsid w:val="005B7A7D"/>
    <w:rsid w:val="005B7AC0"/>
    <w:rsid w:val="005B7B41"/>
    <w:rsid w:val="005B7B52"/>
    <w:rsid w:val="005B7BC3"/>
    <w:rsid w:val="005B7C00"/>
    <w:rsid w:val="005B7C84"/>
    <w:rsid w:val="005B7CC0"/>
    <w:rsid w:val="005B7CF5"/>
    <w:rsid w:val="005B7D13"/>
    <w:rsid w:val="005B7D15"/>
    <w:rsid w:val="005B7D37"/>
    <w:rsid w:val="005B7DCF"/>
    <w:rsid w:val="005B7E01"/>
    <w:rsid w:val="005B7E0E"/>
    <w:rsid w:val="005B7E20"/>
    <w:rsid w:val="005B7E2F"/>
    <w:rsid w:val="005B7E38"/>
    <w:rsid w:val="005B7EE8"/>
    <w:rsid w:val="005B7EF9"/>
    <w:rsid w:val="005B7F7D"/>
    <w:rsid w:val="005B7FD6"/>
    <w:rsid w:val="005B7FF2"/>
    <w:rsid w:val="005B87E6"/>
    <w:rsid w:val="005BF908"/>
    <w:rsid w:val="005C003B"/>
    <w:rsid w:val="005C003D"/>
    <w:rsid w:val="005C004C"/>
    <w:rsid w:val="005C0178"/>
    <w:rsid w:val="005C0187"/>
    <w:rsid w:val="005C018C"/>
    <w:rsid w:val="005C01BE"/>
    <w:rsid w:val="005C01D0"/>
    <w:rsid w:val="005C02F7"/>
    <w:rsid w:val="005C0358"/>
    <w:rsid w:val="005C0374"/>
    <w:rsid w:val="005C0392"/>
    <w:rsid w:val="005C03A5"/>
    <w:rsid w:val="005C0502"/>
    <w:rsid w:val="005C0634"/>
    <w:rsid w:val="005C0682"/>
    <w:rsid w:val="005C06A6"/>
    <w:rsid w:val="005C06AE"/>
    <w:rsid w:val="005C06D8"/>
    <w:rsid w:val="005C06E7"/>
    <w:rsid w:val="005C0708"/>
    <w:rsid w:val="005C072A"/>
    <w:rsid w:val="005C0741"/>
    <w:rsid w:val="005C07FC"/>
    <w:rsid w:val="005C0811"/>
    <w:rsid w:val="005C0842"/>
    <w:rsid w:val="005C0850"/>
    <w:rsid w:val="005C0878"/>
    <w:rsid w:val="005C087F"/>
    <w:rsid w:val="005C08A2"/>
    <w:rsid w:val="005C08D8"/>
    <w:rsid w:val="005C08E3"/>
    <w:rsid w:val="005C08E6"/>
    <w:rsid w:val="005C0AC0"/>
    <w:rsid w:val="005C0ADA"/>
    <w:rsid w:val="005C0B37"/>
    <w:rsid w:val="005C0BB7"/>
    <w:rsid w:val="005C0BE0"/>
    <w:rsid w:val="005C0BFA"/>
    <w:rsid w:val="005C0C4B"/>
    <w:rsid w:val="005C0C5A"/>
    <w:rsid w:val="005C0D35"/>
    <w:rsid w:val="005C0D73"/>
    <w:rsid w:val="005C0D81"/>
    <w:rsid w:val="005C0E24"/>
    <w:rsid w:val="005C0E28"/>
    <w:rsid w:val="005C0E47"/>
    <w:rsid w:val="005C0E68"/>
    <w:rsid w:val="005C0E6B"/>
    <w:rsid w:val="005C0E7C"/>
    <w:rsid w:val="005C0EC9"/>
    <w:rsid w:val="005C0F24"/>
    <w:rsid w:val="005C0F3E"/>
    <w:rsid w:val="005C0F4C"/>
    <w:rsid w:val="005C0FD8"/>
    <w:rsid w:val="005C102D"/>
    <w:rsid w:val="005C1039"/>
    <w:rsid w:val="005C1059"/>
    <w:rsid w:val="005C10C3"/>
    <w:rsid w:val="005C110F"/>
    <w:rsid w:val="005C1171"/>
    <w:rsid w:val="005C1187"/>
    <w:rsid w:val="005C1193"/>
    <w:rsid w:val="005C11E0"/>
    <w:rsid w:val="005C11E2"/>
    <w:rsid w:val="005C1270"/>
    <w:rsid w:val="005C1272"/>
    <w:rsid w:val="005C12FC"/>
    <w:rsid w:val="005C1302"/>
    <w:rsid w:val="005C1366"/>
    <w:rsid w:val="005C140E"/>
    <w:rsid w:val="005C1479"/>
    <w:rsid w:val="005C14D1"/>
    <w:rsid w:val="005C152F"/>
    <w:rsid w:val="005C15D8"/>
    <w:rsid w:val="005C162B"/>
    <w:rsid w:val="005C1685"/>
    <w:rsid w:val="005C16FB"/>
    <w:rsid w:val="005C1709"/>
    <w:rsid w:val="005C1725"/>
    <w:rsid w:val="005C1774"/>
    <w:rsid w:val="005C1776"/>
    <w:rsid w:val="005C17F5"/>
    <w:rsid w:val="005C17FA"/>
    <w:rsid w:val="005C1852"/>
    <w:rsid w:val="005C18DC"/>
    <w:rsid w:val="005C197D"/>
    <w:rsid w:val="005C19AA"/>
    <w:rsid w:val="005C19E1"/>
    <w:rsid w:val="005C1A03"/>
    <w:rsid w:val="005C1A19"/>
    <w:rsid w:val="005C1A2E"/>
    <w:rsid w:val="005C1AE0"/>
    <w:rsid w:val="005C1B34"/>
    <w:rsid w:val="005C1B47"/>
    <w:rsid w:val="005C1BFC"/>
    <w:rsid w:val="005C1C4D"/>
    <w:rsid w:val="005C1C5C"/>
    <w:rsid w:val="005C1C64"/>
    <w:rsid w:val="005C1C79"/>
    <w:rsid w:val="005C1C84"/>
    <w:rsid w:val="005C1D13"/>
    <w:rsid w:val="005C1D40"/>
    <w:rsid w:val="005C1D9F"/>
    <w:rsid w:val="005C1DC0"/>
    <w:rsid w:val="005C1EA5"/>
    <w:rsid w:val="005C1ED4"/>
    <w:rsid w:val="005C1F44"/>
    <w:rsid w:val="005C1F46"/>
    <w:rsid w:val="005C1F55"/>
    <w:rsid w:val="005C21B9"/>
    <w:rsid w:val="005C21DB"/>
    <w:rsid w:val="005C21ED"/>
    <w:rsid w:val="005C21FF"/>
    <w:rsid w:val="005C222E"/>
    <w:rsid w:val="005C223B"/>
    <w:rsid w:val="005C227C"/>
    <w:rsid w:val="005C2318"/>
    <w:rsid w:val="005C231C"/>
    <w:rsid w:val="005C2399"/>
    <w:rsid w:val="005C23AF"/>
    <w:rsid w:val="005C23B2"/>
    <w:rsid w:val="005C23D4"/>
    <w:rsid w:val="005C246F"/>
    <w:rsid w:val="005C24A6"/>
    <w:rsid w:val="005C252B"/>
    <w:rsid w:val="005C256B"/>
    <w:rsid w:val="005C257A"/>
    <w:rsid w:val="005C2581"/>
    <w:rsid w:val="005C25AD"/>
    <w:rsid w:val="005C2625"/>
    <w:rsid w:val="005C26F8"/>
    <w:rsid w:val="005C273F"/>
    <w:rsid w:val="005C27E2"/>
    <w:rsid w:val="005C282B"/>
    <w:rsid w:val="005C28F7"/>
    <w:rsid w:val="005C2901"/>
    <w:rsid w:val="005C292C"/>
    <w:rsid w:val="005C293D"/>
    <w:rsid w:val="005C29AD"/>
    <w:rsid w:val="005C29E4"/>
    <w:rsid w:val="005C29EE"/>
    <w:rsid w:val="005C2A17"/>
    <w:rsid w:val="005C2A49"/>
    <w:rsid w:val="005C2A51"/>
    <w:rsid w:val="005C2A52"/>
    <w:rsid w:val="005C2AC7"/>
    <w:rsid w:val="005C2ACF"/>
    <w:rsid w:val="005C2B6F"/>
    <w:rsid w:val="005C2BA3"/>
    <w:rsid w:val="005C2C4C"/>
    <w:rsid w:val="005C2C80"/>
    <w:rsid w:val="005C2CCF"/>
    <w:rsid w:val="005C2D0F"/>
    <w:rsid w:val="005C2D20"/>
    <w:rsid w:val="005C2D2A"/>
    <w:rsid w:val="005C2D7B"/>
    <w:rsid w:val="005C2DA0"/>
    <w:rsid w:val="005C2DCA"/>
    <w:rsid w:val="005C2DFA"/>
    <w:rsid w:val="005C2E11"/>
    <w:rsid w:val="005C2E4E"/>
    <w:rsid w:val="005C2E6D"/>
    <w:rsid w:val="005C2EC5"/>
    <w:rsid w:val="005C2ECC"/>
    <w:rsid w:val="005C2EE0"/>
    <w:rsid w:val="005C2EE8"/>
    <w:rsid w:val="005C2F0F"/>
    <w:rsid w:val="005C2F35"/>
    <w:rsid w:val="005C2F46"/>
    <w:rsid w:val="005C2F93"/>
    <w:rsid w:val="005C2FBD"/>
    <w:rsid w:val="005C300A"/>
    <w:rsid w:val="005C3088"/>
    <w:rsid w:val="005C3200"/>
    <w:rsid w:val="005C3232"/>
    <w:rsid w:val="005C329D"/>
    <w:rsid w:val="005C330B"/>
    <w:rsid w:val="005C3335"/>
    <w:rsid w:val="005C33A6"/>
    <w:rsid w:val="005C34E8"/>
    <w:rsid w:val="005C362F"/>
    <w:rsid w:val="005C369E"/>
    <w:rsid w:val="005C3716"/>
    <w:rsid w:val="005C3723"/>
    <w:rsid w:val="005C388A"/>
    <w:rsid w:val="005C395D"/>
    <w:rsid w:val="005C3973"/>
    <w:rsid w:val="005C39C2"/>
    <w:rsid w:val="005C39E1"/>
    <w:rsid w:val="005C39FC"/>
    <w:rsid w:val="005C3A04"/>
    <w:rsid w:val="005C3A22"/>
    <w:rsid w:val="005C3A30"/>
    <w:rsid w:val="005C3A6A"/>
    <w:rsid w:val="005C3A79"/>
    <w:rsid w:val="005C3A80"/>
    <w:rsid w:val="005C3AAE"/>
    <w:rsid w:val="005C3ABA"/>
    <w:rsid w:val="005C3B1D"/>
    <w:rsid w:val="005C3B36"/>
    <w:rsid w:val="005C3BFB"/>
    <w:rsid w:val="005C3C2C"/>
    <w:rsid w:val="005C3C8B"/>
    <w:rsid w:val="005C3CEC"/>
    <w:rsid w:val="005C3D1B"/>
    <w:rsid w:val="005C3D87"/>
    <w:rsid w:val="005C3DD9"/>
    <w:rsid w:val="005C3E2C"/>
    <w:rsid w:val="005C3EBC"/>
    <w:rsid w:val="005C3EFE"/>
    <w:rsid w:val="005C3F66"/>
    <w:rsid w:val="005C3FAC"/>
    <w:rsid w:val="005C4010"/>
    <w:rsid w:val="005C403E"/>
    <w:rsid w:val="005C404A"/>
    <w:rsid w:val="005C406B"/>
    <w:rsid w:val="005C4085"/>
    <w:rsid w:val="005C411A"/>
    <w:rsid w:val="005C4140"/>
    <w:rsid w:val="005C4157"/>
    <w:rsid w:val="005C4226"/>
    <w:rsid w:val="005C4293"/>
    <w:rsid w:val="005C42AF"/>
    <w:rsid w:val="005C431E"/>
    <w:rsid w:val="005C4333"/>
    <w:rsid w:val="005C437C"/>
    <w:rsid w:val="005C4391"/>
    <w:rsid w:val="005C43CB"/>
    <w:rsid w:val="005C43E6"/>
    <w:rsid w:val="005C4473"/>
    <w:rsid w:val="005C44C1"/>
    <w:rsid w:val="005C4580"/>
    <w:rsid w:val="005C45CA"/>
    <w:rsid w:val="005C45E9"/>
    <w:rsid w:val="005C4643"/>
    <w:rsid w:val="005C4670"/>
    <w:rsid w:val="005C4707"/>
    <w:rsid w:val="005C473E"/>
    <w:rsid w:val="005C474C"/>
    <w:rsid w:val="005C47B6"/>
    <w:rsid w:val="005C47BD"/>
    <w:rsid w:val="005C47F3"/>
    <w:rsid w:val="005C4826"/>
    <w:rsid w:val="005C4861"/>
    <w:rsid w:val="005C48FD"/>
    <w:rsid w:val="005C492C"/>
    <w:rsid w:val="005C4962"/>
    <w:rsid w:val="005C49FA"/>
    <w:rsid w:val="005C4B28"/>
    <w:rsid w:val="005C4B53"/>
    <w:rsid w:val="005C4B55"/>
    <w:rsid w:val="005C4BBC"/>
    <w:rsid w:val="005C4BD1"/>
    <w:rsid w:val="005C4BE8"/>
    <w:rsid w:val="005C4C14"/>
    <w:rsid w:val="005C4C56"/>
    <w:rsid w:val="005C4C67"/>
    <w:rsid w:val="005C4C9F"/>
    <w:rsid w:val="005C4DA3"/>
    <w:rsid w:val="005C4DA6"/>
    <w:rsid w:val="005C4E11"/>
    <w:rsid w:val="005C4E63"/>
    <w:rsid w:val="005C4F7A"/>
    <w:rsid w:val="005C4FD5"/>
    <w:rsid w:val="005C4FF3"/>
    <w:rsid w:val="005C501F"/>
    <w:rsid w:val="005C5055"/>
    <w:rsid w:val="005C50B9"/>
    <w:rsid w:val="005C5137"/>
    <w:rsid w:val="005C517B"/>
    <w:rsid w:val="005C5218"/>
    <w:rsid w:val="005C521B"/>
    <w:rsid w:val="005C5244"/>
    <w:rsid w:val="005C52B7"/>
    <w:rsid w:val="005C5347"/>
    <w:rsid w:val="005C5362"/>
    <w:rsid w:val="005C5367"/>
    <w:rsid w:val="005C53C5"/>
    <w:rsid w:val="005C543F"/>
    <w:rsid w:val="005C544A"/>
    <w:rsid w:val="005C5457"/>
    <w:rsid w:val="005C550F"/>
    <w:rsid w:val="005C55DC"/>
    <w:rsid w:val="005C5640"/>
    <w:rsid w:val="005C5661"/>
    <w:rsid w:val="005C5665"/>
    <w:rsid w:val="005C566C"/>
    <w:rsid w:val="005C56C1"/>
    <w:rsid w:val="005C5707"/>
    <w:rsid w:val="005C5786"/>
    <w:rsid w:val="005C57EE"/>
    <w:rsid w:val="005C586B"/>
    <w:rsid w:val="005C5938"/>
    <w:rsid w:val="005C597D"/>
    <w:rsid w:val="005C59CF"/>
    <w:rsid w:val="005C5A09"/>
    <w:rsid w:val="005C5A84"/>
    <w:rsid w:val="005C5ABB"/>
    <w:rsid w:val="005C5B02"/>
    <w:rsid w:val="005C5B77"/>
    <w:rsid w:val="005C5B89"/>
    <w:rsid w:val="005C5C4B"/>
    <w:rsid w:val="005C5C89"/>
    <w:rsid w:val="005C5CAB"/>
    <w:rsid w:val="005C5CDC"/>
    <w:rsid w:val="005C5DB1"/>
    <w:rsid w:val="005C5DCD"/>
    <w:rsid w:val="005C5DD4"/>
    <w:rsid w:val="005C5E10"/>
    <w:rsid w:val="005C5E25"/>
    <w:rsid w:val="005C5E57"/>
    <w:rsid w:val="005C5E87"/>
    <w:rsid w:val="005C5EB1"/>
    <w:rsid w:val="005C5EC1"/>
    <w:rsid w:val="005C5EE5"/>
    <w:rsid w:val="005C5F37"/>
    <w:rsid w:val="005C5F45"/>
    <w:rsid w:val="005C5F49"/>
    <w:rsid w:val="005C5F6B"/>
    <w:rsid w:val="005C5FF1"/>
    <w:rsid w:val="005C6038"/>
    <w:rsid w:val="005C603D"/>
    <w:rsid w:val="005C6040"/>
    <w:rsid w:val="005C605D"/>
    <w:rsid w:val="005C60C4"/>
    <w:rsid w:val="005C60D0"/>
    <w:rsid w:val="005C6130"/>
    <w:rsid w:val="005C6139"/>
    <w:rsid w:val="005C6146"/>
    <w:rsid w:val="005C6162"/>
    <w:rsid w:val="005C61A6"/>
    <w:rsid w:val="005C61BF"/>
    <w:rsid w:val="005C61F3"/>
    <w:rsid w:val="005C6209"/>
    <w:rsid w:val="005C628A"/>
    <w:rsid w:val="005C62C7"/>
    <w:rsid w:val="005C62D8"/>
    <w:rsid w:val="005C63B6"/>
    <w:rsid w:val="005C63C2"/>
    <w:rsid w:val="005C63C5"/>
    <w:rsid w:val="005C6402"/>
    <w:rsid w:val="005C6440"/>
    <w:rsid w:val="005C6486"/>
    <w:rsid w:val="005C650F"/>
    <w:rsid w:val="005C653F"/>
    <w:rsid w:val="005C6596"/>
    <w:rsid w:val="005C65D5"/>
    <w:rsid w:val="005C6616"/>
    <w:rsid w:val="005C661B"/>
    <w:rsid w:val="005C662A"/>
    <w:rsid w:val="005C6677"/>
    <w:rsid w:val="005C66D2"/>
    <w:rsid w:val="005C66D5"/>
    <w:rsid w:val="005C6836"/>
    <w:rsid w:val="005C68A2"/>
    <w:rsid w:val="005C68A7"/>
    <w:rsid w:val="005C68CE"/>
    <w:rsid w:val="005C690E"/>
    <w:rsid w:val="005C6996"/>
    <w:rsid w:val="005C6A14"/>
    <w:rsid w:val="005C6A37"/>
    <w:rsid w:val="005C6A48"/>
    <w:rsid w:val="005C6A53"/>
    <w:rsid w:val="005C6AB0"/>
    <w:rsid w:val="005C6ACE"/>
    <w:rsid w:val="005C6B3A"/>
    <w:rsid w:val="005C6C0C"/>
    <w:rsid w:val="005C6C2C"/>
    <w:rsid w:val="005C6CE5"/>
    <w:rsid w:val="005C6D93"/>
    <w:rsid w:val="005C6DF4"/>
    <w:rsid w:val="005C6E32"/>
    <w:rsid w:val="005C6E6B"/>
    <w:rsid w:val="005C6F3E"/>
    <w:rsid w:val="005C6F9E"/>
    <w:rsid w:val="005C6FB6"/>
    <w:rsid w:val="005C6FF6"/>
    <w:rsid w:val="005C7018"/>
    <w:rsid w:val="005C7044"/>
    <w:rsid w:val="005C70C6"/>
    <w:rsid w:val="005C70D5"/>
    <w:rsid w:val="005C7165"/>
    <w:rsid w:val="005C716F"/>
    <w:rsid w:val="005C7199"/>
    <w:rsid w:val="005C719A"/>
    <w:rsid w:val="005C71B5"/>
    <w:rsid w:val="005C71C6"/>
    <w:rsid w:val="005C722C"/>
    <w:rsid w:val="005C7261"/>
    <w:rsid w:val="005C72BC"/>
    <w:rsid w:val="005C72C6"/>
    <w:rsid w:val="005C72DD"/>
    <w:rsid w:val="005C72FA"/>
    <w:rsid w:val="005C734B"/>
    <w:rsid w:val="005C7351"/>
    <w:rsid w:val="005C73D1"/>
    <w:rsid w:val="005C73DA"/>
    <w:rsid w:val="005C742A"/>
    <w:rsid w:val="005C7481"/>
    <w:rsid w:val="005C7492"/>
    <w:rsid w:val="005C74B6"/>
    <w:rsid w:val="005C755E"/>
    <w:rsid w:val="005C7663"/>
    <w:rsid w:val="005C766C"/>
    <w:rsid w:val="005C7685"/>
    <w:rsid w:val="005C76B9"/>
    <w:rsid w:val="005C76D8"/>
    <w:rsid w:val="005C772E"/>
    <w:rsid w:val="005C7764"/>
    <w:rsid w:val="005C77A6"/>
    <w:rsid w:val="005C77D8"/>
    <w:rsid w:val="005C7875"/>
    <w:rsid w:val="005C78A8"/>
    <w:rsid w:val="005C7919"/>
    <w:rsid w:val="005C7928"/>
    <w:rsid w:val="005C7957"/>
    <w:rsid w:val="005C795F"/>
    <w:rsid w:val="005C7A68"/>
    <w:rsid w:val="005C7AA4"/>
    <w:rsid w:val="005C7B11"/>
    <w:rsid w:val="005C7B13"/>
    <w:rsid w:val="005C7B3C"/>
    <w:rsid w:val="005C7B58"/>
    <w:rsid w:val="005C7BCE"/>
    <w:rsid w:val="005C7BDA"/>
    <w:rsid w:val="005C7CAC"/>
    <w:rsid w:val="005C7D05"/>
    <w:rsid w:val="005C7D06"/>
    <w:rsid w:val="005C7D70"/>
    <w:rsid w:val="005C7E2D"/>
    <w:rsid w:val="005C7EF4"/>
    <w:rsid w:val="005C7EF6"/>
    <w:rsid w:val="005C7F4B"/>
    <w:rsid w:val="005C7F5B"/>
    <w:rsid w:val="005C7FD9"/>
    <w:rsid w:val="005D002C"/>
    <w:rsid w:val="005D0130"/>
    <w:rsid w:val="005D015F"/>
    <w:rsid w:val="005D0186"/>
    <w:rsid w:val="005D01E0"/>
    <w:rsid w:val="005D01FB"/>
    <w:rsid w:val="005D0211"/>
    <w:rsid w:val="005D0276"/>
    <w:rsid w:val="005D03D4"/>
    <w:rsid w:val="005D04C5"/>
    <w:rsid w:val="005D04E2"/>
    <w:rsid w:val="005D0671"/>
    <w:rsid w:val="005D0689"/>
    <w:rsid w:val="005D0704"/>
    <w:rsid w:val="005D0797"/>
    <w:rsid w:val="005D07EF"/>
    <w:rsid w:val="005D0800"/>
    <w:rsid w:val="005D0802"/>
    <w:rsid w:val="005D08F1"/>
    <w:rsid w:val="005D094E"/>
    <w:rsid w:val="005D0964"/>
    <w:rsid w:val="005D09E2"/>
    <w:rsid w:val="005D0B13"/>
    <w:rsid w:val="005D0B23"/>
    <w:rsid w:val="005D0B90"/>
    <w:rsid w:val="005D0C5F"/>
    <w:rsid w:val="005D0CA1"/>
    <w:rsid w:val="005D0D46"/>
    <w:rsid w:val="005D0D50"/>
    <w:rsid w:val="005D0E17"/>
    <w:rsid w:val="005D0E22"/>
    <w:rsid w:val="005D0E31"/>
    <w:rsid w:val="005D0E40"/>
    <w:rsid w:val="005D0E6F"/>
    <w:rsid w:val="005D0E70"/>
    <w:rsid w:val="005D0E77"/>
    <w:rsid w:val="005D0E9F"/>
    <w:rsid w:val="005D0F14"/>
    <w:rsid w:val="005D0F2D"/>
    <w:rsid w:val="005D0F52"/>
    <w:rsid w:val="005D1058"/>
    <w:rsid w:val="005D108C"/>
    <w:rsid w:val="005D1197"/>
    <w:rsid w:val="005D11B0"/>
    <w:rsid w:val="005D11C3"/>
    <w:rsid w:val="005D123C"/>
    <w:rsid w:val="005D1257"/>
    <w:rsid w:val="005D1298"/>
    <w:rsid w:val="005D12E3"/>
    <w:rsid w:val="005D12FC"/>
    <w:rsid w:val="005D134D"/>
    <w:rsid w:val="005D13C6"/>
    <w:rsid w:val="005D13E7"/>
    <w:rsid w:val="005D1448"/>
    <w:rsid w:val="005D1477"/>
    <w:rsid w:val="005D1512"/>
    <w:rsid w:val="005D1528"/>
    <w:rsid w:val="005D1549"/>
    <w:rsid w:val="005D1550"/>
    <w:rsid w:val="005D155D"/>
    <w:rsid w:val="005D159A"/>
    <w:rsid w:val="005D159B"/>
    <w:rsid w:val="005D1749"/>
    <w:rsid w:val="005D1773"/>
    <w:rsid w:val="005D17B7"/>
    <w:rsid w:val="005D17C6"/>
    <w:rsid w:val="005D17C8"/>
    <w:rsid w:val="005D1845"/>
    <w:rsid w:val="005D1875"/>
    <w:rsid w:val="005D18BB"/>
    <w:rsid w:val="005D18FE"/>
    <w:rsid w:val="005D192E"/>
    <w:rsid w:val="005D1952"/>
    <w:rsid w:val="005D199B"/>
    <w:rsid w:val="005D19C0"/>
    <w:rsid w:val="005D19E8"/>
    <w:rsid w:val="005D1A11"/>
    <w:rsid w:val="005D1AC7"/>
    <w:rsid w:val="005D1B79"/>
    <w:rsid w:val="005D1BA8"/>
    <w:rsid w:val="005D1C12"/>
    <w:rsid w:val="005D1C35"/>
    <w:rsid w:val="005D1C71"/>
    <w:rsid w:val="005D1C72"/>
    <w:rsid w:val="005D1C8C"/>
    <w:rsid w:val="005D1CE2"/>
    <w:rsid w:val="005D1D53"/>
    <w:rsid w:val="005D1D8C"/>
    <w:rsid w:val="005D1D93"/>
    <w:rsid w:val="005D1E2B"/>
    <w:rsid w:val="005D1E7D"/>
    <w:rsid w:val="005D1EAA"/>
    <w:rsid w:val="005D1EB1"/>
    <w:rsid w:val="005D1F77"/>
    <w:rsid w:val="005D1F8D"/>
    <w:rsid w:val="005D203D"/>
    <w:rsid w:val="005D2096"/>
    <w:rsid w:val="005D2097"/>
    <w:rsid w:val="005D20B8"/>
    <w:rsid w:val="005D2140"/>
    <w:rsid w:val="005D218C"/>
    <w:rsid w:val="005D21BD"/>
    <w:rsid w:val="005D2245"/>
    <w:rsid w:val="005D22C2"/>
    <w:rsid w:val="005D22C3"/>
    <w:rsid w:val="005D22D8"/>
    <w:rsid w:val="005D2316"/>
    <w:rsid w:val="005D2383"/>
    <w:rsid w:val="005D2399"/>
    <w:rsid w:val="005D241B"/>
    <w:rsid w:val="005D243A"/>
    <w:rsid w:val="005D243B"/>
    <w:rsid w:val="005D2464"/>
    <w:rsid w:val="005D24CD"/>
    <w:rsid w:val="005D253A"/>
    <w:rsid w:val="005D25CC"/>
    <w:rsid w:val="005D261E"/>
    <w:rsid w:val="005D2688"/>
    <w:rsid w:val="005D26A7"/>
    <w:rsid w:val="005D2772"/>
    <w:rsid w:val="005D283D"/>
    <w:rsid w:val="005D2863"/>
    <w:rsid w:val="005D286A"/>
    <w:rsid w:val="005D289A"/>
    <w:rsid w:val="005D2921"/>
    <w:rsid w:val="005D295B"/>
    <w:rsid w:val="005D2985"/>
    <w:rsid w:val="005D29B8"/>
    <w:rsid w:val="005D2A0D"/>
    <w:rsid w:val="005D2A0E"/>
    <w:rsid w:val="005D2B30"/>
    <w:rsid w:val="005D2B95"/>
    <w:rsid w:val="005D2BD1"/>
    <w:rsid w:val="005D2BE9"/>
    <w:rsid w:val="005D2C00"/>
    <w:rsid w:val="005D2C0F"/>
    <w:rsid w:val="005D2C66"/>
    <w:rsid w:val="005D2CC3"/>
    <w:rsid w:val="005D2DA2"/>
    <w:rsid w:val="005D2E80"/>
    <w:rsid w:val="005D2F2A"/>
    <w:rsid w:val="005D2F80"/>
    <w:rsid w:val="005D2FC8"/>
    <w:rsid w:val="005D3014"/>
    <w:rsid w:val="005D3092"/>
    <w:rsid w:val="005D309F"/>
    <w:rsid w:val="005D30BB"/>
    <w:rsid w:val="005D30E4"/>
    <w:rsid w:val="005D31FF"/>
    <w:rsid w:val="005D3231"/>
    <w:rsid w:val="005D32F0"/>
    <w:rsid w:val="005D33C7"/>
    <w:rsid w:val="005D33D0"/>
    <w:rsid w:val="005D34C1"/>
    <w:rsid w:val="005D34FA"/>
    <w:rsid w:val="005D3508"/>
    <w:rsid w:val="005D3653"/>
    <w:rsid w:val="005D369F"/>
    <w:rsid w:val="005D36DE"/>
    <w:rsid w:val="005D36F1"/>
    <w:rsid w:val="005D374B"/>
    <w:rsid w:val="005D37BD"/>
    <w:rsid w:val="005D37DE"/>
    <w:rsid w:val="005D38E1"/>
    <w:rsid w:val="005D39A2"/>
    <w:rsid w:val="005D39DA"/>
    <w:rsid w:val="005D39F7"/>
    <w:rsid w:val="005D3A00"/>
    <w:rsid w:val="005D3A26"/>
    <w:rsid w:val="005D3A3F"/>
    <w:rsid w:val="005D3ADC"/>
    <w:rsid w:val="005D3B3E"/>
    <w:rsid w:val="005D3B9A"/>
    <w:rsid w:val="005D3BF1"/>
    <w:rsid w:val="005D3C85"/>
    <w:rsid w:val="005D3CA7"/>
    <w:rsid w:val="005D3D38"/>
    <w:rsid w:val="005D3D9A"/>
    <w:rsid w:val="005D3D9F"/>
    <w:rsid w:val="005D3DA1"/>
    <w:rsid w:val="005D3DE7"/>
    <w:rsid w:val="005D3E09"/>
    <w:rsid w:val="005D3E93"/>
    <w:rsid w:val="005D3EC7"/>
    <w:rsid w:val="005D3EC9"/>
    <w:rsid w:val="005D3F24"/>
    <w:rsid w:val="005D3F2C"/>
    <w:rsid w:val="005D402A"/>
    <w:rsid w:val="005D406A"/>
    <w:rsid w:val="005D408F"/>
    <w:rsid w:val="005D40B4"/>
    <w:rsid w:val="005D414C"/>
    <w:rsid w:val="005D4168"/>
    <w:rsid w:val="005D4172"/>
    <w:rsid w:val="005D4212"/>
    <w:rsid w:val="005D4261"/>
    <w:rsid w:val="005D431D"/>
    <w:rsid w:val="005D4355"/>
    <w:rsid w:val="005D435F"/>
    <w:rsid w:val="005D4391"/>
    <w:rsid w:val="005D43C4"/>
    <w:rsid w:val="005D43DD"/>
    <w:rsid w:val="005D4450"/>
    <w:rsid w:val="005D4498"/>
    <w:rsid w:val="005D44AB"/>
    <w:rsid w:val="005D44F9"/>
    <w:rsid w:val="005D4596"/>
    <w:rsid w:val="005D45CF"/>
    <w:rsid w:val="005D45EE"/>
    <w:rsid w:val="005D46B7"/>
    <w:rsid w:val="005D46BD"/>
    <w:rsid w:val="005D46F3"/>
    <w:rsid w:val="005D4745"/>
    <w:rsid w:val="005D4753"/>
    <w:rsid w:val="005D47DD"/>
    <w:rsid w:val="005D47EE"/>
    <w:rsid w:val="005D48F4"/>
    <w:rsid w:val="005D49E5"/>
    <w:rsid w:val="005D49E7"/>
    <w:rsid w:val="005D4A49"/>
    <w:rsid w:val="005D4B02"/>
    <w:rsid w:val="005D4C31"/>
    <w:rsid w:val="005D4C88"/>
    <w:rsid w:val="005D4D12"/>
    <w:rsid w:val="005D4D98"/>
    <w:rsid w:val="005D4DA0"/>
    <w:rsid w:val="005D4DDA"/>
    <w:rsid w:val="005D4E22"/>
    <w:rsid w:val="005D4E71"/>
    <w:rsid w:val="005D4EDF"/>
    <w:rsid w:val="005D4F03"/>
    <w:rsid w:val="005D4FA3"/>
    <w:rsid w:val="005D5116"/>
    <w:rsid w:val="005D5184"/>
    <w:rsid w:val="005D5216"/>
    <w:rsid w:val="005D52B9"/>
    <w:rsid w:val="005D538F"/>
    <w:rsid w:val="005D5391"/>
    <w:rsid w:val="005D53A6"/>
    <w:rsid w:val="005D544B"/>
    <w:rsid w:val="005D5471"/>
    <w:rsid w:val="005D54FD"/>
    <w:rsid w:val="005D551F"/>
    <w:rsid w:val="005D556A"/>
    <w:rsid w:val="005D557A"/>
    <w:rsid w:val="005D558D"/>
    <w:rsid w:val="005D5597"/>
    <w:rsid w:val="005D55C5"/>
    <w:rsid w:val="005D55E9"/>
    <w:rsid w:val="005D56F3"/>
    <w:rsid w:val="005D5723"/>
    <w:rsid w:val="005D575A"/>
    <w:rsid w:val="005D5763"/>
    <w:rsid w:val="005D5767"/>
    <w:rsid w:val="005D577F"/>
    <w:rsid w:val="005D5792"/>
    <w:rsid w:val="005D5796"/>
    <w:rsid w:val="005D57F3"/>
    <w:rsid w:val="005D581F"/>
    <w:rsid w:val="005D5993"/>
    <w:rsid w:val="005D59DA"/>
    <w:rsid w:val="005D5A2C"/>
    <w:rsid w:val="005D5A6A"/>
    <w:rsid w:val="005D5A9E"/>
    <w:rsid w:val="005D5AB7"/>
    <w:rsid w:val="005D5AFC"/>
    <w:rsid w:val="005D5B84"/>
    <w:rsid w:val="005D5BBD"/>
    <w:rsid w:val="005D5BDF"/>
    <w:rsid w:val="005D5BEC"/>
    <w:rsid w:val="005D5C0F"/>
    <w:rsid w:val="005D5C32"/>
    <w:rsid w:val="005D5CEB"/>
    <w:rsid w:val="005D5CF8"/>
    <w:rsid w:val="005D5D75"/>
    <w:rsid w:val="005D5D7D"/>
    <w:rsid w:val="005D5D92"/>
    <w:rsid w:val="005D5DC8"/>
    <w:rsid w:val="005D5E87"/>
    <w:rsid w:val="005D5E92"/>
    <w:rsid w:val="005D5EF3"/>
    <w:rsid w:val="005D5F8E"/>
    <w:rsid w:val="005D6018"/>
    <w:rsid w:val="005D6089"/>
    <w:rsid w:val="005D60B3"/>
    <w:rsid w:val="005D60B9"/>
    <w:rsid w:val="005D60BD"/>
    <w:rsid w:val="005D60D0"/>
    <w:rsid w:val="005D6187"/>
    <w:rsid w:val="005D61A0"/>
    <w:rsid w:val="005D6229"/>
    <w:rsid w:val="005D62A6"/>
    <w:rsid w:val="005D6339"/>
    <w:rsid w:val="005D6342"/>
    <w:rsid w:val="005D637E"/>
    <w:rsid w:val="005D6466"/>
    <w:rsid w:val="005D64A9"/>
    <w:rsid w:val="005D64C5"/>
    <w:rsid w:val="005D64CB"/>
    <w:rsid w:val="005D64E0"/>
    <w:rsid w:val="005D6511"/>
    <w:rsid w:val="005D6573"/>
    <w:rsid w:val="005D657B"/>
    <w:rsid w:val="005D668D"/>
    <w:rsid w:val="005D668F"/>
    <w:rsid w:val="005D669F"/>
    <w:rsid w:val="005D66B3"/>
    <w:rsid w:val="005D6724"/>
    <w:rsid w:val="005D672E"/>
    <w:rsid w:val="005D6822"/>
    <w:rsid w:val="005D682D"/>
    <w:rsid w:val="005D68C1"/>
    <w:rsid w:val="005D6948"/>
    <w:rsid w:val="005D6980"/>
    <w:rsid w:val="005D6982"/>
    <w:rsid w:val="005D69C6"/>
    <w:rsid w:val="005D6A23"/>
    <w:rsid w:val="005D6A3D"/>
    <w:rsid w:val="005D6A50"/>
    <w:rsid w:val="005D6ACB"/>
    <w:rsid w:val="005D6B4D"/>
    <w:rsid w:val="005D6B9C"/>
    <w:rsid w:val="005D6BB1"/>
    <w:rsid w:val="005D6BDB"/>
    <w:rsid w:val="005D6C8E"/>
    <w:rsid w:val="005D6C91"/>
    <w:rsid w:val="005D6D02"/>
    <w:rsid w:val="005D6D2C"/>
    <w:rsid w:val="005D6D4F"/>
    <w:rsid w:val="005D6D6F"/>
    <w:rsid w:val="005D6DA0"/>
    <w:rsid w:val="005D6DB3"/>
    <w:rsid w:val="005D6DDC"/>
    <w:rsid w:val="005D6E20"/>
    <w:rsid w:val="005D6FA4"/>
    <w:rsid w:val="005D6FC8"/>
    <w:rsid w:val="005D6FFC"/>
    <w:rsid w:val="005D7026"/>
    <w:rsid w:val="005D702E"/>
    <w:rsid w:val="005D7090"/>
    <w:rsid w:val="005D70BC"/>
    <w:rsid w:val="005D714A"/>
    <w:rsid w:val="005D71DE"/>
    <w:rsid w:val="005D7246"/>
    <w:rsid w:val="005D724B"/>
    <w:rsid w:val="005D725E"/>
    <w:rsid w:val="005D7281"/>
    <w:rsid w:val="005D7309"/>
    <w:rsid w:val="005D7387"/>
    <w:rsid w:val="005D741E"/>
    <w:rsid w:val="005D74B6"/>
    <w:rsid w:val="005D74D1"/>
    <w:rsid w:val="005D7557"/>
    <w:rsid w:val="005D768F"/>
    <w:rsid w:val="005D772D"/>
    <w:rsid w:val="005D7769"/>
    <w:rsid w:val="005D779D"/>
    <w:rsid w:val="005D77AA"/>
    <w:rsid w:val="005D782A"/>
    <w:rsid w:val="005D784C"/>
    <w:rsid w:val="005D7860"/>
    <w:rsid w:val="005D78B7"/>
    <w:rsid w:val="005D78C7"/>
    <w:rsid w:val="005D78DD"/>
    <w:rsid w:val="005D7987"/>
    <w:rsid w:val="005D79E7"/>
    <w:rsid w:val="005D7A3B"/>
    <w:rsid w:val="005D7B46"/>
    <w:rsid w:val="005D7B55"/>
    <w:rsid w:val="005D7B8F"/>
    <w:rsid w:val="005D7B97"/>
    <w:rsid w:val="005D7C9C"/>
    <w:rsid w:val="005D7C9E"/>
    <w:rsid w:val="005D7CC1"/>
    <w:rsid w:val="005D7CEE"/>
    <w:rsid w:val="005D7D1C"/>
    <w:rsid w:val="005D7D74"/>
    <w:rsid w:val="005D7F1C"/>
    <w:rsid w:val="005D7F32"/>
    <w:rsid w:val="005D7F41"/>
    <w:rsid w:val="005D7FFC"/>
    <w:rsid w:val="005E0017"/>
    <w:rsid w:val="005E0034"/>
    <w:rsid w:val="005E0056"/>
    <w:rsid w:val="005E00B9"/>
    <w:rsid w:val="005E014B"/>
    <w:rsid w:val="005E01FC"/>
    <w:rsid w:val="005E0296"/>
    <w:rsid w:val="005E02D3"/>
    <w:rsid w:val="005E02DC"/>
    <w:rsid w:val="005E033C"/>
    <w:rsid w:val="005E034E"/>
    <w:rsid w:val="005E039A"/>
    <w:rsid w:val="005E03A7"/>
    <w:rsid w:val="005E03BE"/>
    <w:rsid w:val="005E0474"/>
    <w:rsid w:val="005E0475"/>
    <w:rsid w:val="005E04A4"/>
    <w:rsid w:val="005E052D"/>
    <w:rsid w:val="005E0633"/>
    <w:rsid w:val="005E0648"/>
    <w:rsid w:val="005E06CA"/>
    <w:rsid w:val="005E06F8"/>
    <w:rsid w:val="005E0756"/>
    <w:rsid w:val="005E08D8"/>
    <w:rsid w:val="005E0B04"/>
    <w:rsid w:val="005E0B3F"/>
    <w:rsid w:val="005E0B92"/>
    <w:rsid w:val="005E0B9E"/>
    <w:rsid w:val="005E0C3C"/>
    <w:rsid w:val="005E0C76"/>
    <w:rsid w:val="005E0C89"/>
    <w:rsid w:val="005E0CAE"/>
    <w:rsid w:val="005E0CF6"/>
    <w:rsid w:val="005E0D3D"/>
    <w:rsid w:val="005E0D5B"/>
    <w:rsid w:val="005E0D60"/>
    <w:rsid w:val="005E0DC5"/>
    <w:rsid w:val="005E0DF5"/>
    <w:rsid w:val="005E0E34"/>
    <w:rsid w:val="005E0E89"/>
    <w:rsid w:val="005E0E8E"/>
    <w:rsid w:val="005E0EE1"/>
    <w:rsid w:val="005E0EEC"/>
    <w:rsid w:val="005E0F44"/>
    <w:rsid w:val="005E0F61"/>
    <w:rsid w:val="005E100F"/>
    <w:rsid w:val="005E1057"/>
    <w:rsid w:val="005E1087"/>
    <w:rsid w:val="005E1158"/>
    <w:rsid w:val="005E11E3"/>
    <w:rsid w:val="005E124A"/>
    <w:rsid w:val="005E12C1"/>
    <w:rsid w:val="005E1329"/>
    <w:rsid w:val="005E136E"/>
    <w:rsid w:val="005E13A9"/>
    <w:rsid w:val="005E13E2"/>
    <w:rsid w:val="005E1420"/>
    <w:rsid w:val="005E149A"/>
    <w:rsid w:val="005E149F"/>
    <w:rsid w:val="005E160E"/>
    <w:rsid w:val="005E1641"/>
    <w:rsid w:val="005E165E"/>
    <w:rsid w:val="005E1662"/>
    <w:rsid w:val="005E16B1"/>
    <w:rsid w:val="005E180E"/>
    <w:rsid w:val="005E1819"/>
    <w:rsid w:val="005E182E"/>
    <w:rsid w:val="005E1877"/>
    <w:rsid w:val="005E18BD"/>
    <w:rsid w:val="005E191B"/>
    <w:rsid w:val="005E1934"/>
    <w:rsid w:val="005E1988"/>
    <w:rsid w:val="005E1A29"/>
    <w:rsid w:val="005E1AE7"/>
    <w:rsid w:val="005E1B21"/>
    <w:rsid w:val="005E1B35"/>
    <w:rsid w:val="005E1B49"/>
    <w:rsid w:val="005E1B61"/>
    <w:rsid w:val="005E1BCF"/>
    <w:rsid w:val="005E1C93"/>
    <w:rsid w:val="005E1CB4"/>
    <w:rsid w:val="005E1CBB"/>
    <w:rsid w:val="005E1CE1"/>
    <w:rsid w:val="005E1CE7"/>
    <w:rsid w:val="005E1D20"/>
    <w:rsid w:val="005E1DBC"/>
    <w:rsid w:val="005E1DE0"/>
    <w:rsid w:val="005E1E57"/>
    <w:rsid w:val="005E1EBC"/>
    <w:rsid w:val="005E1F6E"/>
    <w:rsid w:val="005E1F90"/>
    <w:rsid w:val="005E1FA6"/>
    <w:rsid w:val="005E1FD4"/>
    <w:rsid w:val="005E2010"/>
    <w:rsid w:val="005E205F"/>
    <w:rsid w:val="005E2142"/>
    <w:rsid w:val="005E2149"/>
    <w:rsid w:val="005E2150"/>
    <w:rsid w:val="005E2162"/>
    <w:rsid w:val="005E21A7"/>
    <w:rsid w:val="005E2287"/>
    <w:rsid w:val="005E2356"/>
    <w:rsid w:val="005E2369"/>
    <w:rsid w:val="005E238D"/>
    <w:rsid w:val="005E239C"/>
    <w:rsid w:val="005E244F"/>
    <w:rsid w:val="005E246E"/>
    <w:rsid w:val="005E2484"/>
    <w:rsid w:val="005E24FB"/>
    <w:rsid w:val="005E2529"/>
    <w:rsid w:val="005E2554"/>
    <w:rsid w:val="005E2570"/>
    <w:rsid w:val="005E259C"/>
    <w:rsid w:val="005E25AE"/>
    <w:rsid w:val="005E265B"/>
    <w:rsid w:val="005E26EF"/>
    <w:rsid w:val="005E2704"/>
    <w:rsid w:val="005E270A"/>
    <w:rsid w:val="005E2774"/>
    <w:rsid w:val="005E2814"/>
    <w:rsid w:val="005E2849"/>
    <w:rsid w:val="005E286A"/>
    <w:rsid w:val="005E29B4"/>
    <w:rsid w:val="005E29E1"/>
    <w:rsid w:val="005E2A72"/>
    <w:rsid w:val="005E2B73"/>
    <w:rsid w:val="005E2B85"/>
    <w:rsid w:val="005E2C30"/>
    <w:rsid w:val="005E2CC1"/>
    <w:rsid w:val="005E2D5F"/>
    <w:rsid w:val="005E2E02"/>
    <w:rsid w:val="005E2E59"/>
    <w:rsid w:val="005E2E95"/>
    <w:rsid w:val="005E2E96"/>
    <w:rsid w:val="005E2EBB"/>
    <w:rsid w:val="005E2F15"/>
    <w:rsid w:val="005E2FA4"/>
    <w:rsid w:val="005E2FD3"/>
    <w:rsid w:val="005E3053"/>
    <w:rsid w:val="005E30D3"/>
    <w:rsid w:val="005E30E2"/>
    <w:rsid w:val="005E30F2"/>
    <w:rsid w:val="005E3119"/>
    <w:rsid w:val="005E3143"/>
    <w:rsid w:val="005E316A"/>
    <w:rsid w:val="005E3175"/>
    <w:rsid w:val="005E31DB"/>
    <w:rsid w:val="005E31EE"/>
    <w:rsid w:val="005E3220"/>
    <w:rsid w:val="005E32D5"/>
    <w:rsid w:val="005E334E"/>
    <w:rsid w:val="005E3378"/>
    <w:rsid w:val="005E345A"/>
    <w:rsid w:val="005E3465"/>
    <w:rsid w:val="005E3488"/>
    <w:rsid w:val="005E34DA"/>
    <w:rsid w:val="005E351E"/>
    <w:rsid w:val="005E3520"/>
    <w:rsid w:val="005E3536"/>
    <w:rsid w:val="005E3559"/>
    <w:rsid w:val="005E3635"/>
    <w:rsid w:val="005E3643"/>
    <w:rsid w:val="005E36CA"/>
    <w:rsid w:val="005E36F8"/>
    <w:rsid w:val="005E3845"/>
    <w:rsid w:val="005E3891"/>
    <w:rsid w:val="005E38C2"/>
    <w:rsid w:val="005E3952"/>
    <w:rsid w:val="005E3982"/>
    <w:rsid w:val="005E39B8"/>
    <w:rsid w:val="005E39D7"/>
    <w:rsid w:val="005E3A17"/>
    <w:rsid w:val="005E3A25"/>
    <w:rsid w:val="005E3A26"/>
    <w:rsid w:val="005E3A4A"/>
    <w:rsid w:val="005E3A58"/>
    <w:rsid w:val="005E3A89"/>
    <w:rsid w:val="005E3A98"/>
    <w:rsid w:val="005E3AB1"/>
    <w:rsid w:val="005E3AB9"/>
    <w:rsid w:val="005E3AE7"/>
    <w:rsid w:val="005E3B29"/>
    <w:rsid w:val="005E3B5D"/>
    <w:rsid w:val="005E3BCF"/>
    <w:rsid w:val="005E3BF8"/>
    <w:rsid w:val="005E3BFD"/>
    <w:rsid w:val="005E3C4C"/>
    <w:rsid w:val="005E3C54"/>
    <w:rsid w:val="005E3CAF"/>
    <w:rsid w:val="005E3CE2"/>
    <w:rsid w:val="005E3CFE"/>
    <w:rsid w:val="005E3D71"/>
    <w:rsid w:val="005E3E11"/>
    <w:rsid w:val="005E3E4E"/>
    <w:rsid w:val="005E3F86"/>
    <w:rsid w:val="005E3F9A"/>
    <w:rsid w:val="005E3FEB"/>
    <w:rsid w:val="005E4057"/>
    <w:rsid w:val="005E4088"/>
    <w:rsid w:val="005E408E"/>
    <w:rsid w:val="005E40A2"/>
    <w:rsid w:val="005E4106"/>
    <w:rsid w:val="005E4112"/>
    <w:rsid w:val="005E412A"/>
    <w:rsid w:val="005E415C"/>
    <w:rsid w:val="005E41B2"/>
    <w:rsid w:val="005E41BA"/>
    <w:rsid w:val="005E41D1"/>
    <w:rsid w:val="005E4227"/>
    <w:rsid w:val="005E424A"/>
    <w:rsid w:val="005E4383"/>
    <w:rsid w:val="005E4386"/>
    <w:rsid w:val="005E43BA"/>
    <w:rsid w:val="005E43D5"/>
    <w:rsid w:val="005E440A"/>
    <w:rsid w:val="005E441C"/>
    <w:rsid w:val="005E4421"/>
    <w:rsid w:val="005E4453"/>
    <w:rsid w:val="005E4580"/>
    <w:rsid w:val="005E45A4"/>
    <w:rsid w:val="005E45BC"/>
    <w:rsid w:val="005E45C6"/>
    <w:rsid w:val="005E45DB"/>
    <w:rsid w:val="005E45E6"/>
    <w:rsid w:val="005E45EA"/>
    <w:rsid w:val="005E45FF"/>
    <w:rsid w:val="005E4633"/>
    <w:rsid w:val="005E46E7"/>
    <w:rsid w:val="005E472C"/>
    <w:rsid w:val="005E4743"/>
    <w:rsid w:val="005E4767"/>
    <w:rsid w:val="005E476D"/>
    <w:rsid w:val="005E4789"/>
    <w:rsid w:val="005E4793"/>
    <w:rsid w:val="005E48EB"/>
    <w:rsid w:val="005E4923"/>
    <w:rsid w:val="005E4928"/>
    <w:rsid w:val="005E4A60"/>
    <w:rsid w:val="005E4ADE"/>
    <w:rsid w:val="005E4ADF"/>
    <w:rsid w:val="005E4B18"/>
    <w:rsid w:val="005E4BCE"/>
    <w:rsid w:val="005E4BE5"/>
    <w:rsid w:val="005E4C32"/>
    <w:rsid w:val="005E4CA6"/>
    <w:rsid w:val="005E4CB2"/>
    <w:rsid w:val="005E4CBD"/>
    <w:rsid w:val="005E4D14"/>
    <w:rsid w:val="005E4D3D"/>
    <w:rsid w:val="005E4D5F"/>
    <w:rsid w:val="005E4DE0"/>
    <w:rsid w:val="005E4EB7"/>
    <w:rsid w:val="005E4F12"/>
    <w:rsid w:val="005E4F1B"/>
    <w:rsid w:val="005E4F34"/>
    <w:rsid w:val="005E4F66"/>
    <w:rsid w:val="005E4F7E"/>
    <w:rsid w:val="005E4F89"/>
    <w:rsid w:val="005E4F98"/>
    <w:rsid w:val="005E5031"/>
    <w:rsid w:val="005E5129"/>
    <w:rsid w:val="005E5131"/>
    <w:rsid w:val="005E5189"/>
    <w:rsid w:val="005E518B"/>
    <w:rsid w:val="005E5254"/>
    <w:rsid w:val="005E525E"/>
    <w:rsid w:val="005E52DA"/>
    <w:rsid w:val="005E5303"/>
    <w:rsid w:val="005E5319"/>
    <w:rsid w:val="005E5385"/>
    <w:rsid w:val="005E53CB"/>
    <w:rsid w:val="005E53E0"/>
    <w:rsid w:val="005E5453"/>
    <w:rsid w:val="005E54A0"/>
    <w:rsid w:val="005E55D2"/>
    <w:rsid w:val="005E55E5"/>
    <w:rsid w:val="005E5637"/>
    <w:rsid w:val="005E567F"/>
    <w:rsid w:val="005E568D"/>
    <w:rsid w:val="005E5749"/>
    <w:rsid w:val="005E57D6"/>
    <w:rsid w:val="005E5802"/>
    <w:rsid w:val="005E5837"/>
    <w:rsid w:val="005E5871"/>
    <w:rsid w:val="005E58A8"/>
    <w:rsid w:val="005E58CD"/>
    <w:rsid w:val="005E58EC"/>
    <w:rsid w:val="005E5903"/>
    <w:rsid w:val="005E59AC"/>
    <w:rsid w:val="005E59F9"/>
    <w:rsid w:val="005E5AAA"/>
    <w:rsid w:val="005E5AC4"/>
    <w:rsid w:val="005E5B2E"/>
    <w:rsid w:val="005E5B37"/>
    <w:rsid w:val="005E5B79"/>
    <w:rsid w:val="005E5B7A"/>
    <w:rsid w:val="005E5C31"/>
    <w:rsid w:val="005E5C4B"/>
    <w:rsid w:val="005E5CF7"/>
    <w:rsid w:val="005E5D48"/>
    <w:rsid w:val="005E5E4C"/>
    <w:rsid w:val="005E5E50"/>
    <w:rsid w:val="005E5E69"/>
    <w:rsid w:val="005E5EF1"/>
    <w:rsid w:val="005E5EFE"/>
    <w:rsid w:val="005E5F10"/>
    <w:rsid w:val="005E5F49"/>
    <w:rsid w:val="005E5F58"/>
    <w:rsid w:val="005E5F5A"/>
    <w:rsid w:val="005E5F6E"/>
    <w:rsid w:val="005E5F74"/>
    <w:rsid w:val="005E5FDB"/>
    <w:rsid w:val="005E601D"/>
    <w:rsid w:val="005E6084"/>
    <w:rsid w:val="005E6095"/>
    <w:rsid w:val="005E609F"/>
    <w:rsid w:val="005E616B"/>
    <w:rsid w:val="005E61AD"/>
    <w:rsid w:val="005E61F3"/>
    <w:rsid w:val="005E6216"/>
    <w:rsid w:val="005E6257"/>
    <w:rsid w:val="005E62C7"/>
    <w:rsid w:val="005E62EC"/>
    <w:rsid w:val="005E62EE"/>
    <w:rsid w:val="005E6307"/>
    <w:rsid w:val="005E6366"/>
    <w:rsid w:val="005E63C0"/>
    <w:rsid w:val="005E6421"/>
    <w:rsid w:val="005E648E"/>
    <w:rsid w:val="005E65B1"/>
    <w:rsid w:val="005E65C8"/>
    <w:rsid w:val="005E6601"/>
    <w:rsid w:val="005E6602"/>
    <w:rsid w:val="005E660F"/>
    <w:rsid w:val="005E6637"/>
    <w:rsid w:val="005E663E"/>
    <w:rsid w:val="005E6642"/>
    <w:rsid w:val="005E667D"/>
    <w:rsid w:val="005E6713"/>
    <w:rsid w:val="005E6725"/>
    <w:rsid w:val="005E67E7"/>
    <w:rsid w:val="005E6813"/>
    <w:rsid w:val="005E6827"/>
    <w:rsid w:val="005E6879"/>
    <w:rsid w:val="005E68CF"/>
    <w:rsid w:val="005E6A04"/>
    <w:rsid w:val="005E6A36"/>
    <w:rsid w:val="005E6AAE"/>
    <w:rsid w:val="005E6AB3"/>
    <w:rsid w:val="005E6B3E"/>
    <w:rsid w:val="005E6B51"/>
    <w:rsid w:val="005E6B5A"/>
    <w:rsid w:val="005E6B64"/>
    <w:rsid w:val="005E6BEF"/>
    <w:rsid w:val="005E6D0D"/>
    <w:rsid w:val="005E6D12"/>
    <w:rsid w:val="005E6D3E"/>
    <w:rsid w:val="005E6D47"/>
    <w:rsid w:val="005E6D70"/>
    <w:rsid w:val="005E6D7D"/>
    <w:rsid w:val="005E6E08"/>
    <w:rsid w:val="005E6E41"/>
    <w:rsid w:val="005E6F29"/>
    <w:rsid w:val="005E6F5B"/>
    <w:rsid w:val="005E6F72"/>
    <w:rsid w:val="005E6F73"/>
    <w:rsid w:val="005E6F7D"/>
    <w:rsid w:val="005E70C6"/>
    <w:rsid w:val="005E70D3"/>
    <w:rsid w:val="005E70DF"/>
    <w:rsid w:val="005E7130"/>
    <w:rsid w:val="005E7146"/>
    <w:rsid w:val="005E7293"/>
    <w:rsid w:val="005E729B"/>
    <w:rsid w:val="005E7323"/>
    <w:rsid w:val="005E7347"/>
    <w:rsid w:val="005E734C"/>
    <w:rsid w:val="005E7360"/>
    <w:rsid w:val="005E737C"/>
    <w:rsid w:val="005E73AC"/>
    <w:rsid w:val="005E7452"/>
    <w:rsid w:val="005E74F0"/>
    <w:rsid w:val="005E750B"/>
    <w:rsid w:val="005E7527"/>
    <w:rsid w:val="005E7574"/>
    <w:rsid w:val="005E75AE"/>
    <w:rsid w:val="005E7601"/>
    <w:rsid w:val="005E776F"/>
    <w:rsid w:val="005E7792"/>
    <w:rsid w:val="005E77D3"/>
    <w:rsid w:val="005E77DB"/>
    <w:rsid w:val="005E78A6"/>
    <w:rsid w:val="005E792E"/>
    <w:rsid w:val="005E7947"/>
    <w:rsid w:val="005E795E"/>
    <w:rsid w:val="005E796C"/>
    <w:rsid w:val="005E798A"/>
    <w:rsid w:val="005E7993"/>
    <w:rsid w:val="005E7A3C"/>
    <w:rsid w:val="005E7A77"/>
    <w:rsid w:val="005E7AAB"/>
    <w:rsid w:val="005E7ACD"/>
    <w:rsid w:val="005E7B31"/>
    <w:rsid w:val="005E7B6B"/>
    <w:rsid w:val="005E7B6D"/>
    <w:rsid w:val="005E7B91"/>
    <w:rsid w:val="005E7C60"/>
    <w:rsid w:val="005E7C8C"/>
    <w:rsid w:val="005E7CFF"/>
    <w:rsid w:val="005E7DD4"/>
    <w:rsid w:val="005E7DE5"/>
    <w:rsid w:val="005E7DFE"/>
    <w:rsid w:val="005E7E06"/>
    <w:rsid w:val="005E7E77"/>
    <w:rsid w:val="005E7E99"/>
    <w:rsid w:val="005E7E9F"/>
    <w:rsid w:val="005E7EA7"/>
    <w:rsid w:val="005E7EE0"/>
    <w:rsid w:val="005E7F68"/>
    <w:rsid w:val="005E7FAD"/>
    <w:rsid w:val="005E7FCF"/>
    <w:rsid w:val="005E7FD4"/>
    <w:rsid w:val="005F0028"/>
    <w:rsid w:val="005F0056"/>
    <w:rsid w:val="005F00BC"/>
    <w:rsid w:val="005F00C5"/>
    <w:rsid w:val="005F00FE"/>
    <w:rsid w:val="005F016C"/>
    <w:rsid w:val="005F018D"/>
    <w:rsid w:val="005F0192"/>
    <w:rsid w:val="005F022D"/>
    <w:rsid w:val="005F02A2"/>
    <w:rsid w:val="005F031E"/>
    <w:rsid w:val="005F0335"/>
    <w:rsid w:val="005F0377"/>
    <w:rsid w:val="005F038F"/>
    <w:rsid w:val="005F048F"/>
    <w:rsid w:val="005F049C"/>
    <w:rsid w:val="005F0518"/>
    <w:rsid w:val="005F054D"/>
    <w:rsid w:val="005F05BA"/>
    <w:rsid w:val="005F05DE"/>
    <w:rsid w:val="005F05F9"/>
    <w:rsid w:val="005F0612"/>
    <w:rsid w:val="005F0691"/>
    <w:rsid w:val="005F06C7"/>
    <w:rsid w:val="005F06E3"/>
    <w:rsid w:val="005F0786"/>
    <w:rsid w:val="005F08AC"/>
    <w:rsid w:val="005F08C0"/>
    <w:rsid w:val="005F0908"/>
    <w:rsid w:val="005F090C"/>
    <w:rsid w:val="005F0A01"/>
    <w:rsid w:val="005F0A99"/>
    <w:rsid w:val="005F0B38"/>
    <w:rsid w:val="005F0BC2"/>
    <w:rsid w:val="005F0BC7"/>
    <w:rsid w:val="005F0BD7"/>
    <w:rsid w:val="005F0BF9"/>
    <w:rsid w:val="005F0C4A"/>
    <w:rsid w:val="005F0C55"/>
    <w:rsid w:val="005F0C72"/>
    <w:rsid w:val="005F0D36"/>
    <w:rsid w:val="005F0DDD"/>
    <w:rsid w:val="005F0EC6"/>
    <w:rsid w:val="005F0FDD"/>
    <w:rsid w:val="005F1019"/>
    <w:rsid w:val="005F102C"/>
    <w:rsid w:val="005F109E"/>
    <w:rsid w:val="005F10BC"/>
    <w:rsid w:val="005F11BE"/>
    <w:rsid w:val="005F11BF"/>
    <w:rsid w:val="005F126B"/>
    <w:rsid w:val="005F1284"/>
    <w:rsid w:val="005F1295"/>
    <w:rsid w:val="005F1355"/>
    <w:rsid w:val="005F1401"/>
    <w:rsid w:val="005F1457"/>
    <w:rsid w:val="005F1472"/>
    <w:rsid w:val="005F14B3"/>
    <w:rsid w:val="005F1524"/>
    <w:rsid w:val="005F15BE"/>
    <w:rsid w:val="005F15D7"/>
    <w:rsid w:val="005F169B"/>
    <w:rsid w:val="005F17B3"/>
    <w:rsid w:val="005F17F8"/>
    <w:rsid w:val="005F184F"/>
    <w:rsid w:val="005F18D2"/>
    <w:rsid w:val="005F1935"/>
    <w:rsid w:val="005F1971"/>
    <w:rsid w:val="005F198C"/>
    <w:rsid w:val="005F19B4"/>
    <w:rsid w:val="005F1A25"/>
    <w:rsid w:val="005F1B27"/>
    <w:rsid w:val="005F1B77"/>
    <w:rsid w:val="005F1B90"/>
    <w:rsid w:val="005F1CAD"/>
    <w:rsid w:val="005F1D10"/>
    <w:rsid w:val="005F1D5C"/>
    <w:rsid w:val="005F1E04"/>
    <w:rsid w:val="005F1E07"/>
    <w:rsid w:val="005F1F70"/>
    <w:rsid w:val="005F1F89"/>
    <w:rsid w:val="005F1FA9"/>
    <w:rsid w:val="005F1FD7"/>
    <w:rsid w:val="005F2074"/>
    <w:rsid w:val="005F207B"/>
    <w:rsid w:val="005F20B8"/>
    <w:rsid w:val="005F215B"/>
    <w:rsid w:val="005F216C"/>
    <w:rsid w:val="005F2177"/>
    <w:rsid w:val="005F21C9"/>
    <w:rsid w:val="005F21CE"/>
    <w:rsid w:val="005F21F5"/>
    <w:rsid w:val="005F2200"/>
    <w:rsid w:val="005F224C"/>
    <w:rsid w:val="005F225E"/>
    <w:rsid w:val="005F2347"/>
    <w:rsid w:val="005F234A"/>
    <w:rsid w:val="005F2373"/>
    <w:rsid w:val="005F2379"/>
    <w:rsid w:val="005F23B4"/>
    <w:rsid w:val="005F2401"/>
    <w:rsid w:val="005F2413"/>
    <w:rsid w:val="005F242D"/>
    <w:rsid w:val="005F2493"/>
    <w:rsid w:val="005F24C7"/>
    <w:rsid w:val="005F2511"/>
    <w:rsid w:val="005F2518"/>
    <w:rsid w:val="005F25AD"/>
    <w:rsid w:val="005F25CB"/>
    <w:rsid w:val="005F2704"/>
    <w:rsid w:val="005F271D"/>
    <w:rsid w:val="005F27A7"/>
    <w:rsid w:val="005F27B6"/>
    <w:rsid w:val="005F282C"/>
    <w:rsid w:val="005F282E"/>
    <w:rsid w:val="005F284B"/>
    <w:rsid w:val="005F28A0"/>
    <w:rsid w:val="005F28D3"/>
    <w:rsid w:val="005F292A"/>
    <w:rsid w:val="005F292B"/>
    <w:rsid w:val="005F2959"/>
    <w:rsid w:val="005F2977"/>
    <w:rsid w:val="005F29CE"/>
    <w:rsid w:val="005F29CF"/>
    <w:rsid w:val="005F29E9"/>
    <w:rsid w:val="005F29EC"/>
    <w:rsid w:val="005F2A25"/>
    <w:rsid w:val="005F2ADB"/>
    <w:rsid w:val="005F2AEB"/>
    <w:rsid w:val="005F2B1B"/>
    <w:rsid w:val="005F2B54"/>
    <w:rsid w:val="005F2BAA"/>
    <w:rsid w:val="005F2BF6"/>
    <w:rsid w:val="005F2BFB"/>
    <w:rsid w:val="005F2CEC"/>
    <w:rsid w:val="005F2D41"/>
    <w:rsid w:val="005F2DDE"/>
    <w:rsid w:val="005F2E14"/>
    <w:rsid w:val="005F2E8E"/>
    <w:rsid w:val="005F2EAB"/>
    <w:rsid w:val="005F2F03"/>
    <w:rsid w:val="005F2F76"/>
    <w:rsid w:val="005F2F7D"/>
    <w:rsid w:val="005F2FC7"/>
    <w:rsid w:val="005F304C"/>
    <w:rsid w:val="005F3072"/>
    <w:rsid w:val="005F3076"/>
    <w:rsid w:val="005F3082"/>
    <w:rsid w:val="005F30A1"/>
    <w:rsid w:val="005F314D"/>
    <w:rsid w:val="005F3167"/>
    <w:rsid w:val="005F3173"/>
    <w:rsid w:val="005F31F4"/>
    <w:rsid w:val="005F31FF"/>
    <w:rsid w:val="005F32BE"/>
    <w:rsid w:val="005F32D8"/>
    <w:rsid w:val="005F339C"/>
    <w:rsid w:val="005F34C5"/>
    <w:rsid w:val="005F34D3"/>
    <w:rsid w:val="005F3517"/>
    <w:rsid w:val="005F3653"/>
    <w:rsid w:val="005F3712"/>
    <w:rsid w:val="005F377B"/>
    <w:rsid w:val="005F37CF"/>
    <w:rsid w:val="005F37E3"/>
    <w:rsid w:val="005F37F3"/>
    <w:rsid w:val="005F38A5"/>
    <w:rsid w:val="005F39FA"/>
    <w:rsid w:val="005F39FE"/>
    <w:rsid w:val="005F3A36"/>
    <w:rsid w:val="005F3A38"/>
    <w:rsid w:val="005F3A55"/>
    <w:rsid w:val="005F3A6C"/>
    <w:rsid w:val="005F3ACE"/>
    <w:rsid w:val="005F3B0A"/>
    <w:rsid w:val="005F3B3D"/>
    <w:rsid w:val="005F3CB9"/>
    <w:rsid w:val="005F3D55"/>
    <w:rsid w:val="005F3D5D"/>
    <w:rsid w:val="005F3D87"/>
    <w:rsid w:val="005F3E20"/>
    <w:rsid w:val="005F3EF6"/>
    <w:rsid w:val="005F3F09"/>
    <w:rsid w:val="005F3F43"/>
    <w:rsid w:val="005F3FB0"/>
    <w:rsid w:val="005F3FE0"/>
    <w:rsid w:val="005F3FE3"/>
    <w:rsid w:val="005F4006"/>
    <w:rsid w:val="005F404F"/>
    <w:rsid w:val="005F40A3"/>
    <w:rsid w:val="005F40C2"/>
    <w:rsid w:val="005F40E1"/>
    <w:rsid w:val="005F40F6"/>
    <w:rsid w:val="005F414B"/>
    <w:rsid w:val="005F419C"/>
    <w:rsid w:val="005F424B"/>
    <w:rsid w:val="005F4263"/>
    <w:rsid w:val="005F434F"/>
    <w:rsid w:val="005F437A"/>
    <w:rsid w:val="005F4484"/>
    <w:rsid w:val="005F44EB"/>
    <w:rsid w:val="005F44F9"/>
    <w:rsid w:val="005F45A8"/>
    <w:rsid w:val="005F45CA"/>
    <w:rsid w:val="005F4628"/>
    <w:rsid w:val="005F4656"/>
    <w:rsid w:val="005F46CB"/>
    <w:rsid w:val="005F47D3"/>
    <w:rsid w:val="005F47DE"/>
    <w:rsid w:val="005F4892"/>
    <w:rsid w:val="005F48B1"/>
    <w:rsid w:val="005F48D1"/>
    <w:rsid w:val="005F48D2"/>
    <w:rsid w:val="005F48E0"/>
    <w:rsid w:val="005F4939"/>
    <w:rsid w:val="005F4999"/>
    <w:rsid w:val="005F49E4"/>
    <w:rsid w:val="005F4A77"/>
    <w:rsid w:val="005F4AB1"/>
    <w:rsid w:val="005F4ABA"/>
    <w:rsid w:val="005F4C74"/>
    <w:rsid w:val="005F4D21"/>
    <w:rsid w:val="005F4D3E"/>
    <w:rsid w:val="005F4D63"/>
    <w:rsid w:val="005F4D8F"/>
    <w:rsid w:val="005F4D9D"/>
    <w:rsid w:val="005F4DA3"/>
    <w:rsid w:val="005F4DCA"/>
    <w:rsid w:val="005F4DF7"/>
    <w:rsid w:val="005F4EDF"/>
    <w:rsid w:val="005F4EED"/>
    <w:rsid w:val="005F4EFE"/>
    <w:rsid w:val="005F4F6A"/>
    <w:rsid w:val="005F4FE2"/>
    <w:rsid w:val="005F4FF8"/>
    <w:rsid w:val="005F5018"/>
    <w:rsid w:val="005F5030"/>
    <w:rsid w:val="005F50C1"/>
    <w:rsid w:val="005F50E4"/>
    <w:rsid w:val="005F50FB"/>
    <w:rsid w:val="005F50FE"/>
    <w:rsid w:val="005F520A"/>
    <w:rsid w:val="005F5264"/>
    <w:rsid w:val="005F52A6"/>
    <w:rsid w:val="005F532E"/>
    <w:rsid w:val="005F540D"/>
    <w:rsid w:val="005F542A"/>
    <w:rsid w:val="005F5493"/>
    <w:rsid w:val="005F54CB"/>
    <w:rsid w:val="005F5529"/>
    <w:rsid w:val="005F5557"/>
    <w:rsid w:val="005F555C"/>
    <w:rsid w:val="005F5565"/>
    <w:rsid w:val="005F557C"/>
    <w:rsid w:val="005F55CA"/>
    <w:rsid w:val="005F55CD"/>
    <w:rsid w:val="005F55D8"/>
    <w:rsid w:val="005F55EC"/>
    <w:rsid w:val="005F5620"/>
    <w:rsid w:val="005F5621"/>
    <w:rsid w:val="005F56E3"/>
    <w:rsid w:val="005F56FD"/>
    <w:rsid w:val="005F571F"/>
    <w:rsid w:val="005F5770"/>
    <w:rsid w:val="005F57B1"/>
    <w:rsid w:val="005F57C7"/>
    <w:rsid w:val="005F5866"/>
    <w:rsid w:val="005F58D4"/>
    <w:rsid w:val="005F58F9"/>
    <w:rsid w:val="005F59FA"/>
    <w:rsid w:val="005F5A18"/>
    <w:rsid w:val="005F5A9A"/>
    <w:rsid w:val="005F5A9C"/>
    <w:rsid w:val="005F5AAC"/>
    <w:rsid w:val="005F5AF1"/>
    <w:rsid w:val="005F5B53"/>
    <w:rsid w:val="005F5B6F"/>
    <w:rsid w:val="005F5C40"/>
    <w:rsid w:val="005F5C82"/>
    <w:rsid w:val="005F5D01"/>
    <w:rsid w:val="005F5DEC"/>
    <w:rsid w:val="005F5E2B"/>
    <w:rsid w:val="005F5E41"/>
    <w:rsid w:val="005F5F10"/>
    <w:rsid w:val="005F5FDB"/>
    <w:rsid w:val="005F6042"/>
    <w:rsid w:val="005F6077"/>
    <w:rsid w:val="005F60BB"/>
    <w:rsid w:val="005F6130"/>
    <w:rsid w:val="005F6137"/>
    <w:rsid w:val="005F615A"/>
    <w:rsid w:val="005F6181"/>
    <w:rsid w:val="005F61D9"/>
    <w:rsid w:val="005F61DC"/>
    <w:rsid w:val="005F6225"/>
    <w:rsid w:val="005F62EC"/>
    <w:rsid w:val="005F6315"/>
    <w:rsid w:val="005F632B"/>
    <w:rsid w:val="005F633B"/>
    <w:rsid w:val="005F6343"/>
    <w:rsid w:val="005F634E"/>
    <w:rsid w:val="005F636A"/>
    <w:rsid w:val="005F63F9"/>
    <w:rsid w:val="005F6432"/>
    <w:rsid w:val="005F6476"/>
    <w:rsid w:val="005F64AF"/>
    <w:rsid w:val="005F6527"/>
    <w:rsid w:val="005F6531"/>
    <w:rsid w:val="005F6539"/>
    <w:rsid w:val="005F6573"/>
    <w:rsid w:val="005F6613"/>
    <w:rsid w:val="005F662C"/>
    <w:rsid w:val="005F6631"/>
    <w:rsid w:val="005F6741"/>
    <w:rsid w:val="005F67A4"/>
    <w:rsid w:val="005F67E0"/>
    <w:rsid w:val="005F680C"/>
    <w:rsid w:val="005F68C1"/>
    <w:rsid w:val="005F68F7"/>
    <w:rsid w:val="005F690C"/>
    <w:rsid w:val="005F691D"/>
    <w:rsid w:val="005F6960"/>
    <w:rsid w:val="005F6998"/>
    <w:rsid w:val="005F69BE"/>
    <w:rsid w:val="005F69DB"/>
    <w:rsid w:val="005F6A2A"/>
    <w:rsid w:val="005F6ABF"/>
    <w:rsid w:val="005F6B34"/>
    <w:rsid w:val="005F6B53"/>
    <w:rsid w:val="005F6C62"/>
    <w:rsid w:val="005F6CD4"/>
    <w:rsid w:val="005F6CF9"/>
    <w:rsid w:val="005F6D97"/>
    <w:rsid w:val="005F6DCE"/>
    <w:rsid w:val="005F6DF3"/>
    <w:rsid w:val="005F6EB0"/>
    <w:rsid w:val="005F6EEF"/>
    <w:rsid w:val="005F6EFE"/>
    <w:rsid w:val="005F6F0D"/>
    <w:rsid w:val="005F6F3D"/>
    <w:rsid w:val="005F6F5A"/>
    <w:rsid w:val="005F6F6C"/>
    <w:rsid w:val="005F6FA1"/>
    <w:rsid w:val="005F7080"/>
    <w:rsid w:val="005F710F"/>
    <w:rsid w:val="005F716C"/>
    <w:rsid w:val="005F7172"/>
    <w:rsid w:val="005F726A"/>
    <w:rsid w:val="005F72DC"/>
    <w:rsid w:val="005F730A"/>
    <w:rsid w:val="005F7337"/>
    <w:rsid w:val="005F746B"/>
    <w:rsid w:val="005F7475"/>
    <w:rsid w:val="005F747A"/>
    <w:rsid w:val="005F7487"/>
    <w:rsid w:val="005F74AD"/>
    <w:rsid w:val="005F74CA"/>
    <w:rsid w:val="005F74F5"/>
    <w:rsid w:val="005F74F7"/>
    <w:rsid w:val="005F7523"/>
    <w:rsid w:val="005F75BC"/>
    <w:rsid w:val="005F75BF"/>
    <w:rsid w:val="005F75D5"/>
    <w:rsid w:val="005F75DC"/>
    <w:rsid w:val="005F7672"/>
    <w:rsid w:val="005F7691"/>
    <w:rsid w:val="005F771B"/>
    <w:rsid w:val="005F77D6"/>
    <w:rsid w:val="005F7831"/>
    <w:rsid w:val="005F7870"/>
    <w:rsid w:val="005F78A1"/>
    <w:rsid w:val="005F78E5"/>
    <w:rsid w:val="005F7915"/>
    <w:rsid w:val="005F7932"/>
    <w:rsid w:val="005F79A0"/>
    <w:rsid w:val="005F7A1A"/>
    <w:rsid w:val="005F7AAE"/>
    <w:rsid w:val="005F7C40"/>
    <w:rsid w:val="005F7CB0"/>
    <w:rsid w:val="005F7CC7"/>
    <w:rsid w:val="005F7D67"/>
    <w:rsid w:val="005F7DE5"/>
    <w:rsid w:val="005F7E09"/>
    <w:rsid w:val="005F7E15"/>
    <w:rsid w:val="005F7E4F"/>
    <w:rsid w:val="005F7E79"/>
    <w:rsid w:val="005F7F24"/>
    <w:rsid w:val="005F7F7C"/>
    <w:rsid w:val="005F7FC4"/>
    <w:rsid w:val="005F7FF1"/>
    <w:rsid w:val="00600061"/>
    <w:rsid w:val="0060009B"/>
    <w:rsid w:val="006000D6"/>
    <w:rsid w:val="0060014E"/>
    <w:rsid w:val="00600160"/>
    <w:rsid w:val="006001E6"/>
    <w:rsid w:val="00600200"/>
    <w:rsid w:val="00600293"/>
    <w:rsid w:val="006002AD"/>
    <w:rsid w:val="0060032F"/>
    <w:rsid w:val="006003A0"/>
    <w:rsid w:val="0060048E"/>
    <w:rsid w:val="00600505"/>
    <w:rsid w:val="00600561"/>
    <w:rsid w:val="00600590"/>
    <w:rsid w:val="006005BC"/>
    <w:rsid w:val="00600663"/>
    <w:rsid w:val="00600695"/>
    <w:rsid w:val="006007BE"/>
    <w:rsid w:val="006007D5"/>
    <w:rsid w:val="006007EA"/>
    <w:rsid w:val="00600808"/>
    <w:rsid w:val="0060081E"/>
    <w:rsid w:val="00600915"/>
    <w:rsid w:val="00600972"/>
    <w:rsid w:val="006009C0"/>
    <w:rsid w:val="006009D2"/>
    <w:rsid w:val="00600A3B"/>
    <w:rsid w:val="00600B0B"/>
    <w:rsid w:val="00600B91"/>
    <w:rsid w:val="00600C42"/>
    <w:rsid w:val="00600C9C"/>
    <w:rsid w:val="00600CD2"/>
    <w:rsid w:val="00600EDF"/>
    <w:rsid w:val="00600EF0"/>
    <w:rsid w:val="00600F54"/>
    <w:rsid w:val="00600F91"/>
    <w:rsid w:val="00600F94"/>
    <w:rsid w:val="00600FA2"/>
    <w:rsid w:val="00600FC7"/>
    <w:rsid w:val="00601032"/>
    <w:rsid w:val="00601075"/>
    <w:rsid w:val="00601092"/>
    <w:rsid w:val="00601095"/>
    <w:rsid w:val="006010D7"/>
    <w:rsid w:val="006010FF"/>
    <w:rsid w:val="0060116F"/>
    <w:rsid w:val="006011DF"/>
    <w:rsid w:val="00601223"/>
    <w:rsid w:val="00601240"/>
    <w:rsid w:val="00601247"/>
    <w:rsid w:val="00601295"/>
    <w:rsid w:val="0060133D"/>
    <w:rsid w:val="00601340"/>
    <w:rsid w:val="0060135F"/>
    <w:rsid w:val="00601450"/>
    <w:rsid w:val="0060148D"/>
    <w:rsid w:val="006014A6"/>
    <w:rsid w:val="006014EC"/>
    <w:rsid w:val="00601554"/>
    <w:rsid w:val="00601567"/>
    <w:rsid w:val="0060158C"/>
    <w:rsid w:val="006015E2"/>
    <w:rsid w:val="006015F3"/>
    <w:rsid w:val="006015FC"/>
    <w:rsid w:val="00601691"/>
    <w:rsid w:val="006016C5"/>
    <w:rsid w:val="00601729"/>
    <w:rsid w:val="00601730"/>
    <w:rsid w:val="00601745"/>
    <w:rsid w:val="00601775"/>
    <w:rsid w:val="00601782"/>
    <w:rsid w:val="0060183D"/>
    <w:rsid w:val="0060184E"/>
    <w:rsid w:val="00601892"/>
    <w:rsid w:val="0060194D"/>
    <w:rsid w:val="00601952"/>
    <w:rsid w:val="0060199D"/>
    <w:rsid w:val="0060199E"/>
    <w:rsid w:val="006019EA"/>
    <w:rsid w:val="00601A69"/>
    <w:rsid w:val="00601ACD"/>
    <w:rsid w:val="00601BEB"/>
    <w:rsid w:val="00601C1B"/>
    <w:rsid w:val="00601C30"/>
    <w:rsid w:val="00601C31"/>
    <w:rsid w:val="00601C85"/>
    <w:rsid w:val="00601CEA"/>
    <w:rsid w:val="00601CEE"/>
    <w:rsid w:val="00601D07"/>
    <w:rsid w:val="00601D81"/>
    <w:rsid w:val="00601D94"/>
    <w:rsid w:val="00601DCB"/>
    <w:rsid w:val="00601E02"/>
    <w:rsid w:val="00601E7D"/>
    <w:rsid w:val="00602080"/>
    <w:rsid w:val="006020A2"/>
    <w:rsid w:val="00602123"/>
    <w:rsid w:val="00602175"/>
    <w:rsid w:val="00602181"/>
    <w:rsid w:val="0060218E"/>
    <w:rsid w:val="00602237"/>
    <w:rsid w:val="0060223E"/>
    <w:rsid w:val="0060231D"/>
    <w:rsid w:val="0060232F"/>
    <w:rsid w:val="0060234F"/>
    <w:rsid w:val="00602383"/>
    <w:rsid w:val="006023F3"/>
    <w:rsid w:val="00602419"/>
    <w:rsid w:val="0060242E"/>
    <w:rsid w:val="00602453"/>
    <w:rsid w:val="0060248A"/>
    <w:rsid w:val="00602496"/>
    <w:rsid w:val="006024CF"/>
    <w:rsid w:val="006024D6"/>
    <w:rsid w:val="006025BC"/>
    <w:rsid w:val="00602620"/>
    <w:rsid w:val="006026E9"/>
    <w:rsid w:val="006026FE"/>
    <w:rsid w:val="00602732"/>
    <w:rsid w:val="00602753"/>
    <w:rsid w:val="006027B0"/>
    <w:rsid w:val="006027E5"/>
    <w:rsid w:val="006028B8"/>
    <w:rsid w:val="006028BC"/>
    <w:rsid w:val="006028EA"/>
    <w:rsid w:val="00602911"/>
    <w:rsid w:val="00602943"/>
    <w:rsid w:val="00602A7D"/>
    <w:rsid w:val="00602AC9"/>
    <w:rsid w:val="00602B25"/>
    <w:rsid w:val="00602B84"/>
    <w:rsid w:val="00602BA4"/>
    <w:rsid w:val="00602BB5"/>
    <w:rsid w:val="00602BD4"/>
    <w:rsid w:val="00602C63"/>
    <w:rsid w:val="00602C78"/>
    <w:rsid w:val="00602C85"/>
    <w:rsid w:val="00602CEF"/>
    <w:rsid w:val="00602D7D"/>
    <w:rsid w:val="00602D88"/>
    <w:rsid w:val="00602D8B"/>
    <w:rsid w:val="00602DD7"/>
    <w:rsid w:val="00602DF6"/>
    <w:rsid w:val="00602E42"/>
    <w:rsid w:val="00602E4A"/>
    <w:rsid w:val="00602EBB"/>
    <w:rsid w:val="00602F23"/>
    <w:rsid w:val="00602F64"/>
    <w:rsid w:val="00602F74"/>
    <w:rsid w:val="00602F89"/>
    <w:rsid w:val="0060304F"/>
    <w:rsid w:val="00603098"/>
    <w:rsid w:val="00603123"/>
    <w:rsid w:val="00603189"/>
    <w:rsid w:val="006031A5"/>
    <w:rsid w:val="0060327D"/>
    <w:rsid w:val="006032A0"/>
    <w:rsid w:val="00603366"/>
    <w:rsid w:val="006033E7"/>
    <w:rsid w:val="006033FC"/>
    <w:rsid w:val="0060340B"/>
    <w:rsid w:val="00603419"/>
    <w:rsid w:val="00603673"/>
    <w:rsid w:val="00603727"/>
    <w:rsid w:val="0060372C"/>
    <w:rsid w:val="0060373A"/>
    <w:rsid w:val="006037C7"/>
    <w:rsid w:val="00603817"/>
    <w:rsid w:val="0060388F"/>
    <w:rsid w:val="0060389C"/>
    <w:rsid w:val="006039F2"/>
    <w:rsid w:val="00603A2C"/>
    <w:rsid w:val="00603A41"/>
    <w:rsid w:val="00603A75"/>
    <w:rsid w:val="00603B36"/>
    <w:rsid w:val="00603B61"/>
    <w:rsid w:val="00603BB4"/>
    <w:rsid w:val="00603C0E"/>
    <w:rsid w:val="00603C1E"/>
    <w:rsid w:val="00603C39"/>
    <w:rsid w:val="00603C3E"/>
    <w:rsid w:val="00603C53"/>
    <w:rsid w:val="00603C71"/>
    <w:rsid w:val="00603C8C"/>
    <w:rsid w:val="00603CCA"/>
    <w:rsid w:val="00603D2D"/>
    <w:rsid w:val="00603DDB"/>
    <w:rsid w:val="00603E11"/>
    <w:rsid w:val="00603E58"/>
    <w:rsid w:val="00603E77"/>
    <w:rsid w:val="00603ED8"/>
    <w:rsid w:val="00603F43"/>
    <w:rsid w:val="00603F44"/>
    <w:rsid w:val="00604002"/>
    <w:rsid w:val="0060401F"/>
    <w:rsid w:val="00604113"/>
    <w:rsid w:val="0060418B"/>
    <w:rsid w:val="0060424C"/>
    <w:rsid w:val="006042C7"/>
    <w:rsid w:val="0060434B"/>
    <w:rsid w:val="00604360"/>
    <w:rsid w:val="00604362"/>
    <w:rsid w:val="0060436E"/>
    <w:rsid w:val="0060437B"/>
    <w:rsid w:val="006044CE"/>
    <w:rsid w:val="006045BB"/>
    <w:rsid w:val="006045E7"/>
    <w:rsid w:val="006046EB"/>
    <w:rsid w:val="0060470C"/>
    <w:rsid w:val="0060473A"/>
    <w:rsid w:val="00604769"/>
    <w:rsid w:val="0060476B"/>
    <w:rsid w:val="00604780"/>
    <w:rsid w:val="00604831"/>
    <w:rsid w:val="00604887"/>
    <w:rsid w:val="0060489D"/>
    <w:rsid w:val="006048C6"/>
    <w:rsid w:val="006048EB"/>
    <w:rsid w:val="00604929"/>
    <w:rsid w:val="0060495F"/>
    <w:rsid w:val="00604993"/>
    <w:rsid w:val="00604A59"/>
    <w:rsid w:val="00604A6E"/>
    <w:rsid w:val="00604A9C"/>
    <w:rsid w:val="00604AB4"/>
    <w:rsid w:val="00604ACF"/>
    <w:rsid w:val="00604C3A"/>
    <w:rsid w:val="00604C88"/>
    <w:rsid w:val="00604CCE"/>
    <w:rsid w:val="00604D7E"/>
    <w:rsid w:val="00604DB1"/>
    <w:rsid w:val="00604F0E"/>
    <w:rsid w:val="00604FBD"/>
    <w:rsid w:val="006050A8"/>
    <w:rsid w:val="006050E8"/>
    <w:rsid w:val="006050FD"/>
    <w:rsid w:val="00605100"/>
    <w:rsid w:val="0060515C"/>
    <w:rsid w:val="0060515F"/>
    <w:rsid w:val="0060524D"/>
    <w:rsid w:val="006052F2"/>
    <w:rsid w:val="0060531D"/>
    <w:rsid w:val="006053A5"/>
    <w:rsid w:val="006053FD"/>
    <w:rsid w:val="006054C3"/>
    <w:rsid w:val="006054D4"/>
    <w:rsid w:val="006055A4"/>
    <w:rsid w:val="006055D0"/>
    <w:rsid w:val="006055F8"/>
    <w:rsid w:val="006056CF"/>
    <w:rsid w:val="00605737"/>
    <w:rsid w:val="006057DB"/>
    <w:rsid w:val="00605821"/>
    <w:rsid w:val="00605828"/>
    <w:rsid w:val="0060582D"/>
    <w:rsid w:val="006058D7"/>
    <w:rsid w:val="006058E0"/>
    <w:rsid w:val="00605A43"/>
    <w:rsid w:val="00605AC5"/>
    <w:rsid w:val="00605B97"/>
    <w:rsid w:val="00605BA9"/>
    <w:rsid w:val="00605BB8"/>
    <w:rsid w:val="00605C20"/>
    <w:rsid w:val="00605C96"/>
    <w:rsid w:val="00605CC1"/>
    <w:rsid w:val="00605D7C"/>
    <w:rsid w:val="00605DE0"/>
    <w:rsid w:val="00605DEB"/>
    <w:rsid w:val="00605DEC"/>
    <w:rsid w:val="00605EAD"/>
    <w:rsid w:val="00605ECF"/>
    <w:rsid w:val="00605F0B"/>
    <w:rsid w:val="0060611B"/>
    <w:rsid w:val="00606124"/>
    <w:rsid w:val="0060618D"/>
    <w:rsid w:val="0060625F"/>
    <w:rsid w:val="006062AC"/>
    <w:rsid w:val="006062EF"/>
    <w:rsid w:val="00606458"/>
    <w:rsid w:val="006064FC"/>
    <w:rsid w:val="0060650A"/>
    <w:rsid w:val="00606513"/>
    <w:rsid w:val="0060655E"/>
    <w:rsid w:val="0060657A"/>
    <w:rsid w:val="00606610"/>
    <w:rsid w:val="0060663D"/>
    <w:rsid w:val="006066E7"/>
    <w:rsid w:val="0060671F"/>
    <w:rsid w:val="0060674B"/>
    <w:rsid w:val="00606760"/>
    <w:rsid w:val="006067AD"/>
    <w:rsid w:val="006068A6"/>
    <w:rsid w:val="006068B2"/>
    <w:rsid w:val="0060699B"/>
    <w:rsid w:val="0060699F"/>
    <w:rsid w:val="006069D7"/>
    <w:rsid w:val="00606A3B"/>
    <w:rsid w:val="00606A5F"/>
    <w:rsid w:val="00606A87"/>
    <w:rsid w:val="00606AFB"/>
    <w:rsid w:val="00606B34"/>
    <w:rsid w:val="00606BAE"/>
    <w:rsid w:val="00606C45"/>
    <w:rsid w:val="00606C84"/>
    <w:rsid w:val="00606CBB"/>
    <w:rsid w:val="00606CF1"/>
    <w:rsid w:val="00606D15"/>
    <w:rsid w:val="00606D38"/>
    <w:rsid w:val="00606DF5"/>
    <w:rsid w:val="00606DFC"/>
    <w:rsid w:val="00606E99"/>
    <w:rsid w:val="00606EFA"/>
    <w:rsid w:val="00606F83"/>
    <w:rsid w:val="00606F9E"/>
    <w:rsid w:val="00607007"/>
    <w:rsid w:val="0060701F"/>
    <w:rsid w:val="00607056"/>
    <w:rsid w:val="006070C1"/>
    <w:rsid w:val="006070C4"/>
    <w:rsid w:val="00607192"/>
    <w:rsid w:val="006071C3"/>
    <w:rsid w:val="006071FB"/>
    <w:rsid w:val="00607263"/>
    <w:rsid w:val="00607280"/>
    <w:rsid w:val="006072B1"/>
    <w:rsid w:val="006072C2"/>
    <w:rsid w:val="006072EF"/>
    <w:rsid w:val="00607300"/>
    <w:rsid w:val="00607346"/>
    <w:rsid w:val="0060734E"/>
    <w:rsid w:val="006073BB"/>
    <w:rsid w:val="0060740F"/>
    <w:rsid w:val="00607475"/>
    <w:rsid w:val="00607533"/>
    <w:rsid w:val="0060753C"/>
    <w:rsid w:val="00607566"/>
    <w:rsid w:val="00607573"/>
    <w:rsid w:val="0060759F"/>
    <w:rsid w:val="00607607"/>
    <w:rsid w:val="00607620"/>
    <w:rsid w:val="00607641"/>
    <w:rsid w:val="0060764A"/>
    <w:rsid w:val="006076B7"/>
    <w:rsid w:val="006076E9"/>
    <w:rsid w:val="00607778"/>
    <w:rsid w:val="00607780"/>
    <w:rsid w:val="006078D4"/>
    <w:rsid w:val="006078DB"/>
    <w:rsid w:val="006078E6"/>
    <w:rsid w:val="00607939"/>
    <w:rsid w:val="0060797F"/>
    <w:rsid w:val="006079BC"/>
    <w:rsid w:val="00607A18"/>
    <w:rsid w:val="00607A44"/>
    <w:rsid w:val="00607A78"/>
    <w:rsid w:val="00607AD3"/>
    <w:rsid w:val="00607BBE"/>
    <w:rsid w:val="00607BCA"/>
    <w:rsid w:val="00607C6F"/>
    <w:rsid w:val="00607D3B"/>
    <w:rsid w:val="00607D66"/>
    <w:rsid w:val="00607DCD"/>
    <w:rsid w:val="00607DDF"/>
    <w:rsid w:val="00607DE1"/>
    <w:rsid w:val="00607E19"/>
    <w:rsid w:val="00607E67"/>
    <w:rsid w:val="00607E7E"/>
    <w:rsid w:val="00607EED"/>
    <w:rsid w:val="00607F2B"/>
    <w:rsid w:val="00607FD1"/>
    <w:rsid w:val="006100B4"/>
    <w:rsid w:val="006100B9"/>
    <w:rsid w:val="006100EC"/>
    <w:rsid w:val="00610128"/>
    <w:rsid w:val="006101E0"/>
    <w:rsid w:val="00610270"/>
    <w:rsid w:val="00610277"/>
    <w:rsid w:val="0061027B"/>
    <w:rsid w:val="00610287"/>
    <w:rsid w:val="0061030F"/>
    <w:rsid w:val="00610372"/>
    <w:rsid w:val="0061041C"/>
    <w:rsid w:val="00610451"/>
    <w:rsid w:val="006104F6"/>
    <w:rsid w:val="00610505"/>
    <w:rsid w:val="00610514"/>
    <w:rsid w:val="0061051A"/>
    <w:rsid w:val="0061059D"/>
    <w:rsid w:val="006105A0"/>
    <w:rsid w:val="00610610"/>
    <w:rsid w:val="00610632"/>
    <w:rsid w:val="00610643"/>
    <w:rsid w:val="00610652"/>
    <w:rsid w:val="00610675"/>
    <w:rsid w:val="006106BD"/>
    <w:rsid w:val="006106CC"/>
    <w:rsid w:val="006106EB"/>
    <w:rsid w:val="00610725"/>
    <w:rsid w:val="00610733"/>
    <w:rsid w:val="006107C2"/>
    <w:rsid w:val="006107F1"/>
    <w:rsid w:val="006108DA"/>
    <w:rsid w:val="006108DD"/>
    <w:rsid w:val="00610909"/>
    <w:rsid w:val="00610916"/>
    <w:rsid w:val="0061094F"/>
    <w:rsid w:val="00610965"/>
    <w:rsid w:val="00610993"/>
    <w:rsid w:val="006109DE"/>
    <w:rsid w:val="00610A5B"/>
    <w:rsid w:val="00610A6A"/>
    <w:rsid w:val="00610AA8"/>
    <w:rsid w:val="00610ACA"/>
    <w:rsid w:val="00610B28"/>
    <w:rsid w:val="00610BD8"/>
    <w:rsid w:val="00610C19"/>
    <w:rsid w:val="00610C7E"/>
    <w:rsid w:val="00610CA1"/>
    <w:rsid w:val="00610D19"/>
    <w:rsid w:val="00610D1B"/>
    <w:rsid w:val="00610DC0"/>
    <w:rsid w:val="00610EA8"/>
    <w:rsid w:val="00610EDD"/>
    <w:rsid w:val="00610EE6"/>
    <w:rsid w:val="00610FF3"/>
    <w:rsid w:val="00611070"/>
    <w:rsid w:val="006110BB"/>
    <w:rsid w:val="006110E1"/>
    <w:rsid w:val="0061111A"/>
    <w:rsid w:val="00611129"/>
    <w:rsid w:val="0061120C"/>
    <w:rsid w:val="00611387"/>
    <w:rsid w:val="00611394"/>
    <w:rsid w:val="006114CF"/>
    <w:rsid w:val="00611577"/>
    <w:rsid w:val="0061157E"/>
    <w:rsid w:val="0061158E"/>
    <w:rsid w:val="006115BE"/>
    <w:rsid w:val="006115C6"/>
    <w:rsid w:val="0061161C"/>
    <w:rsid w:val="00611624"/>
    <w:rsid w:val="00611675"/>
    <w:rsid w:val="0061169B"/>
    <w:rsid w:val="006116A1"/>
    <w:rsid w:val="0061171E"/>
    <w:rsid w:val="006117AB"/>
    <w:rsid w:val="006118FC"/>
    <w:rsid w:val="00611975"/>
    <w:rsid w:val="006119D8"/>
    <w:rsid w:val="006119EF"/>
    <w:rsid w:val="00611A7B"/>
    <w:rsid w:val="00611A9D"/>
    <w:rsid w:val="00611AC0"/>
    <w:rsid w:val="00611B39"/>
    <w:rsid w:val="00611B4B"/>
    <w:rsid w:val="00611B71"/>
    <w:rsid w:val="00611B76"/>
    <w:rsid w:val="00611BB3"/>
    <w:rsid w:val="00611C0A"/>
    <w:rsid w:val="00611C23"/>
    <w:rsid w:val="00611C80"/>
    <w:rsid w:val="00611CAF"/>
    <w:rsid w:val="00611D17"/>
    <w:rsid w:val="00611D2B"/>
    <w:rsid w:val="00611D68"/>
    <w:rsid w:val="00611D6C"/>
    <w:rsid w:val="00611D6D"/>
    <w:rsid w:val="00611DD8"/>
    <w:rsid w:val="00611E02"/>
    <w:rsid w:val="00611E3B"/>
    <w:rsid w:val="00611E5A"/>
    <w:rsid w:val="00611EE7"/>
    <w:rsid w:val="00611FE2"/>
    <w:rsid w:val="0061211A"/>
    <w:rsid w:val="00612159"/>
    <w:rsid w:val="0061224B"/>
    <w:rsid w:val="0061228D"/>
    <w:rsid w:val="006122F6"/>
    <w:rsid w:val="00612325"/>
    <w:rsid w:val="00612344"/>
    <w:rsid w:val="00612369"/>
    <w:rsid w:val="00612377"/>
    <w:rsid w:val="006123CD"/>
    <w:rsid w:val="00612479"/>
    <w:rsid w:val="006124BE"/>
    <w:rsid w:val="006124E0"/>
    <w:rsid w:val="00612501"/>
    <w:rsid w:val="006125DC"/>
    <w:rsid w:val="006125E8"/>
    <w:rsid w:val="00612623"/>
    <w:rsid w:val="00612628"/>
    <w:rsid w:val="006126CF"/>
    <w:rsid w:val="00612709"/>
    <w:rsid w:val="00612765"/>
    <w:rsid w:val="00612768"/>
    <w:rsid w:val="00612797"/>
    <w:rsid w:val="006127C4"/>
    <w:rsid w:val="006128E8"/>
    <w:rsid w:val="00612919"/>
    <w:rsid w:val="0061292C"/>
    <w:rsid w:val="00612934"/>
    <w:rsid w:val="00612A28"/>
    <w:rsid w:val="00612A50"/>
    <w:rsid w:val="00612BB5"/>
    <w:rsid w:val="00612BBB"/>
    <w:rsid w:val="00612BFB"/>
    <w:rsid w:val="00612C05"/>
    <w:rsid w:val="00612CBD"/>
    <w:rsid w:val="00612CFC"/>
    <w:rsid w:val="00612D7E"/>
    <w:rsid w:val="00612DB4"/>
    <w:rsid w:val="00612E41"/>
    <w:rsid w:val="00612F3E"/>
    <w:rsid w:val="00612FEB"/>
    <w:rsid w:val="0061301E"/>
    <w:rsid w:val="00613161"/>
    <w:rsid w:val="006131A7"/>
    <w:rsid w:val="006131D8"/>
    <w:rsid w:val="006132B3"/>
    <w:rsid w:val="006132C1"/>
    <w:rsid w:val="00613309"/>
    <w:rsid w:val="00613349"/>
    <w:rsid w:val="0061337F"/>
    <w:rsid w:val="006133A3"/>
    <w:rsid w:val="006133B2"/>
    <w:rsid w:val="006133F6"/>
    <w:rsid w:val="00613493"/>
    <w:rsid w:val="006134C6"/>
    <w:rsid w:val="00613553"/>
    <w:rsid w:val="00613601"/>
    <w:rsid w:val="00613627"/>
    <w:rsid w:val="0061370A"/>
    <w:rsid w:val="00613816"/>
    <w:rsid w:val="00613831"/>
    <w:rsid w:val="0061383C"/>
    <w:rsid w:val="00613871"/>
    <w:rsid w:val="00613891"/>
    <w:rsid w:val="00613906"/>
    <w:rsid w:val="00613909"/>
    <w:rsid w:val="0061396B"/>
    <w:rsid w:val="006139E7"/>
    <w:rsid w:val="00613A2E"/>
    <w:rsid w:val="00613A3B"/>
    <w:rsid w:val="00613AEE"/>
    <w:rsid w:val="00613AF0"/>
    <w:rsid w:val="00613B30"/>
    <w:rsid w:val="00613B35"/>
    <w:rsid w:val="00613C12"/>
    <w:rsid w:val="00613C4A"/>
    <w:rsid w:val="00613C79"/>
    <w:rsid w:val="00613CAE"/>
    <w:rsid w:val="00613CF5"/>
    <w:rsid w:val="00613CFA"/>
    <w:rsid w:val="00613D2B"/>
    <w:rsid w:val="00613D3A"/>
    <w:rsid w:val="00613D72"/>
    <w:rsid w:val="00613D7A"/>
    <w:rsid w:val="00613DCE"/>
    <w:rsid w:val="00613DF8"/>
    <w:rsid w:val="00613E66"/>
    <w:rsid w:val="00613EA5"/>
    <w:rsid w:val="00613EAE"/>
    <w:rsid w:val="00613F59"/>
    <w:rsid w:val="00614000"/>
    <w:rsid w:val="0061409D"/>
    <w:rsid w:val="0061409F"/>
    <w:rsid w:val="006140CA"/>
    <w:rsid w:val="006140DE"/>
    <w:rsid w:val="00614156"/>
    <w:rsid w:val="0061426A"/>
    <w:rsid w:val="006142CF"/>
    <w:rsid w:val="006142F7"/>
    <w:rsid w:val="00614306"/>
    <w:rsid w:val="00614331"/>
    <w:rsid w:val="00614354"/>
    <w:rsid w:val="00614371"/>
    <w:rsid w:val="00614375"/>
    <w:rsid w:val="006143BC"/>
    <w:rsid w:val="00614453"/>
    <w:rsid w:val="00614474"/>
    <w:rsid w:val="006144A0"/>
    <w:rsid w:val="006144BE"/>
    <w:rsid w:val="00614501"/>
    <w:rsid w:val="00614509"/>
    <w:rsid w:val="0061451B"/>
    <w:rsid w:val="00614549"/>
    <w:rsid w:val="00614599"/>
    <w:rsid w:val="0061463D"/>
    <w:rsid w:val="0061466E"/>
    <w:rsid w:val="006146EC"/>
    <w:rsid w:val="006146FB"/>
    <w:rsid w:val="0061474A"/>
    <w:rsid w:val="0061474F"/>
    <w:rsid w:val="00614778"/>
    <w:rsid w:val="0061484A"/>
    <w:rsid w:val="0061484C"/>
    <w:rsid w:val="00614859"/>
    <w:rsid w:val="00614876"/>
    <w:rsid w:val="0061487E"/>
    <w:rsid w:val="0061488E"/>
    <w:rsid w:val="006148A6"/>
    <w:rsid w:val="006148BD"/>
    <w:rsid w:val="006148CA"/>
    <w:rsid w:val="006148F8"/>
    <w:rsid w:val="006149C5"/>
    <w:rsid w:val="006149D1"/>
    <w:rsid w:val="00614A70"/>
    <w:rsid w:val="00614AA9"/>
    <w:rsid w:val="00614B96"/>
    <w:rsid w:val="00614BE5"/>
    <w:rsid w:val="00614C2A"/>
    <w:rsid w:val="00614CC2"/>
    <w:rsid w:val="00614D0C"/>
    <w:rsid w:val="00614D98"/>
    <w:rsid w:val="00614DDF"/>
    <w:rsid w:val="00614E9B"/>
    <w:rsid w:val="00614EE4"/>
    <w:rsid w:val="00614EF0"/>
    <w:rsid w:val="00614FB3"/>
    <w:rsid w:val="00615017"/>
    <w:rsid w:val="0061508A"/>
    <w:rsid w:val="00615095"/>
    <w:rsid w:val="006150F6"/>
    <w:rsid w:val="006150FD"/>
    <w:rsid w:val="0061516F"/>
    <w:rsid w:val="006151EC"/>
    <w:rsid w:val="00615259"/>
    <w:rsid w:val="0061529B"/>
    <w:rsid w:val="006152B0"/>
    <w:rsid w:val="006152D1"/>
    <w:rsid w:val="006152E7"/>
    <w:rsid w:val="00615311"/>
    <w:rsid w:val="006153A1"/>
    <w:rsid w:val="006153AB"/>
    <w:rsid w:val="00615499"/>
    <w:rsid w:val="006154A4"/>
    <w:rsid w:val="006154AB"/>
    <w:rsid w:val="006154D8"/>
    <w:rsid w:val="00615518"/>
    <w:rsid w:val="00615573"/>
    <w:rsid w:val="006155F2"/>
    <w:rsid w:val="0061562F"/>
    <w:rsid w:val="00615675"/>
    <w:rsid w:val="006156CD"/>
    <w:rsid w:val="00615700"/>
    <w:rsid w:val="00615728"/>
    <w:rsid w:val="00615757"/>
    <w:rsid w:val="006157A2"/>
    <w:rsid w:val="0061582C"/>
    <w:rsid w:val="0061583C"/>
    <w:rsid w:val="006158AC"/>
    <w:rsid w:val="006158D1"/>
    <w:rsid w:val="006158D9"/>
    <w:rsid w:val="00615917"/>
    <w:rsid w:val="00615927"/>
    <w:rsid w:val="00615948"/>
    <w:rsid w:val="0061595E"/>
    <w:rsid w:val="0061599D"/>
    <w:rsid w:val="00615A0B"/>
    <w:rsid w:val="00615A57"/>
    <w:rsid w:val="00615A98"/>
    <w:rsid w:val="00615AC0"/>
    <w:rsid w:val="00615B04"/>
    <w:rsid w:val="00615B26"/>
    <w:rsid w:val="00615BED"/>
    <w:rsid w:val="00615C60"/>
    <w:rsid w:val="00615CE2"/>
    <w:rsid w:val="00615D0A"/>
    <w:rsid w:val="00615D92"/>
    <w:rsid w:val="00615DD4"/>
    <w:rsid w:val="00615E0C"/>
    <w:rsid w:val="00615E11"/>
    <w:rsid w:val="00615E48"/>
    <w:rsid w:val="00615E4A"/>
    <w:rsid w:val="00615E6E"/>
    <w:rsid w:val="00615E70"/>
    <w:rsid w:val="00615F4C"/>
    <w:rsid w:val="00616008"/>
    <w:rsid w:val="00616026"/>
    <w:rsid w:val="0061604F"/>
    <w:rsid w:val="00616063"/>
    <w:rsid w:val="00616181"/>
    <w:rsid w:val="006161E8"/>
    <w:rsid w:val="00616217"/>
    <w:rsid w:val="00616222"/>
    <w:rsid w:val="00616254"/>
    <w:rsid w:val="00616684"/>
    <w:rsid w:val="006166AD"/>
    <w:rsid w:val="006166C1"/>
    <w:rsid w:val="006166D4"/>
    <w:rsid w:val="006167AB"/>
    <w:rsid w:val="00616821"/>
    <w:rsid w:val="006168E1"/>
    <w:rsid w:val="00616906"/>
    <w:rsid w:val="0061698D"/>
    <w:rsid w:val="0061699D"/>
    <w:rsid w:val="006169BA"/>
    <w:rsid w:val="00616A68"/>
    <w:rsid w:val="00616A94"/>
    <w:rsid w:val="00616B57"/>
    <w:rsid w:val="00616BEF"/>
    <w:rsid w:val="00616C0C"/>
    <w:rsid w:val="00616C22"/>
    <w:rsid w:val="00616C38"/>
    <w:rsid w:val="00616D5C"/>
    <w:rsid w:val="00616E8C"/>
    <w:rsid w:val="00616F22"/>
    <w:rsid w:val="00616F98"/>
    <w:rsid w:val="00617002"/>
    <w:rsid w:val="0061701D"/>
    <w:rsid w:val="00617094"/>
    <w:rsid w:val="006170C2"/>
    <w:rsid w:val="0061720C"/>
    <w:rsid w:val="00617228"/>
    <w:rsid w:val="00617252"/>
    <w:rsid w:val="00617281"/>
    <w:rsid w:val="006172CF"/>
    <w:rsid w:val="00617363"/>
    <w:rsid w:val="00617456"/>
    <w:rsid w:val="00617494"/>
    <w:rsid w:val="00617496"/>
    <w:rsid w:val="00617512"/>
    <w:rsid w:val="00617670"/>
    <w:rsid w:val="006176B6"/>
    <w:rsid w:val="0061777B"/>
    <w:rsid w:val="006177A1"/>
    <w:rsid w:val="006177B8"/>
    <w:rsid w:val="006177F3"/>
    <w:rsid w:val="00617803"/>
    <w:rsid w:val="00617845"/>
    <w:rsid w:val="00617983"/>
    <w:rsid w:val="0061798D"/>
    <w:rsid w:val="0061799B"/>
    <w:rsid w:val="006179AB"/>
    <w:rsid w:val="00617A47"/>
    <w:rsid w:val="00617A77"/>
    <w:rsid w:val="00617A86"/>
    <w:rsid w:val="00617B4B"/>
    <w:rsid w:val="00617B7D"/>
    <w:rsid w:val="00617C7B"/>
    <w:rsid w:val="00617C9A"/>
    <w:rsid w:val="00617CCE"/>
    <w:rsid w:val="00617D0E"/>
    <w:rsid w:val="00617D21"/>
    <w:rsid w:val="00617D87"/>
    <w:rsid w:val="00617E20"/>
    <w:rsid w:val="00617E5E"/>
    <w:rsid w:val="00617E90"/>
    <w:rsid w:val="00617EFC"/>
    <w:rsid w:val="00617F4D"/>
    <w:rsid w:val="00617F7B"/>
    <w:rsid w:val="00620004"/>
    <w:rsid w:val="0062000D"/>
    <w:rsid w:val="0062006F"/>
    <w:rsid w:val="006200D1"/>
    <w:rsid w:val="006200E1"/>
    <w:rsid w:val="00620109"/>
    <w:rsid w:val="00620137"/>
    <w:rsid w:val="00620168"/>
    <w:rsid w:val="00620205"/>
    <w:rsid w:val="00620294"/>
    <w:rsid w:val="006202FA"/>
    <w:rsid w:val="00620301"/>
    <w:rsid w:val="00620399"/>
    <w:rsid w:val="006203EE"/>
    <w:rsid w:val="00620415"/>
    <w:rsid w:val="0062048D"/>
    <w:rsid w:val="00620498"/>
    <w:rsid w:val="0062055F"/>
    <w:rsid w:val="0062060F"/>
    <w:rsid w:val="0062069B"/>
    <w:rsid w:val="00620846"/>
    <w:rsid w:val="00620900"/>
    <w:rsid w:val="00620A21"/>
    <w:rsid w:val="00620B56"/>
    <w:rsid w:val="00620B64"/>
    <w:rsid w:val="00620B95"/>
    <w:rsid w:val="00620BDC"/>
    <w:rsid w:val="00620C30"/>
    <w:rsid w:val="00620C70"/>
    <w:rsid w:val="00620CA3"/>
    <w:rsid w:val="00620D90"/>
    <w:rsid w:val="00620DDF"/>
    <w:rsid w:val="00620E28"/>
    <w:rsid w:val="00620EC8"/>
    <w:rsid w:val="00620EF3"/>
    <w:rsid w:val="00620F1E"/>
    <w:rsid w:val="00620F2D"/>
    <w:rsid w:val="00620F4C"/>
    <w:rsid w:val="00620F70"/>
    <w:rsid w:val="00620F8D"/>
    <w:rsid w:val="00620FAC"/>
    <w:rsid w:val="00621083"/>
    <w:rsid w:val="006210BB"/>
    <w:rsid w:val="006211A7"/>
    <w:rsid w:val="00621200"/>
    <w:rsid w:val="006212F4"/>
    <w:rsid w:val="006212F5"/>
    <w:rsid w:val="00621307"/>
    <w:rsid w:val="0062131A"/>
    <w:rsid w:val="00621395"/>
    <w:rsid w:val="006213A6"/>
    <w:rsid w:val="006213DA"/>
    <w:rsid w:val="00621405"/>
    <w:rsid w:val="00621414"/>
    <w:rsid w:val="0062141B"/>
    <w:rsid w:val="0062144B"/>
    <w:rsid w:val="0062147C"/>
    <w:rsid w:val="0062148F"/>
    <w:rsid w:val="006215C1"/>
    <w:rsid w:val="006216A3"/>
    <w:rsid w:val="006216B5"/>
    <w:rsid w:val="006216C3"/>
    <w:rsid w:val="00621724"/>
    <w:rsid w:val="006217CF"/>
    <w:rsid w:val="006217FF"/>
    <w:rsid w:val="00621824"/>
    <w:rsid w:val="00621826"/>
    <w:rsid w:val="0062182B"/>
    <w:rsid w:val="006218C2"/>
    <w:rsid w:val="00621921"/>
    <w:rsid w:val="00621942"/>
    <w:rsid w:val="00621944"/>
    <w:rsid w:val="006219CA"/>
    <w:rsid w:val="006219E2"/>
    <w:rsid w:val="00621A47"/>
    <w:rsid w:val="00621A69"/>
    <w:rsid w:val="00621AA7"/>
    <w:rsid w:val="00621AAF"/>
    <w:rsid w:val="00621ADB"/>
    <w:rsid w:val="00621BE7"/>
    <w:rsid w:val="00621C61"/>
    <w:rsid w:val="00621C7A"/>
    <w:rsid w:val="00621C7D"/>
    <w:rsid w:val="00621D2F"/>
    <w:rsid w:val="00621D59"/>
    <w:rsid w:val="00621D70"/>
    <w:rsid w:val="00621D76"/>
    <w:rsid w:val="00621DBB"/>
    <w:rsid w:val="00621DCA"/>
    <w:rsid w:val="00621E62"/>
    <w:rsid w:val="00621E9F"/>
    <w:rsid w:val="00621F32"/>
    <w:rsid w:val="00621F49"/>
    <w:rsid w:val="00621F7C"/>
    <w:rsid w:val="00621FA4"/>
    <w:rsid w:val="00622012"/>
    <w:rsid w:val="00622031"/>
    <w:rsid w:val="00622034"/>
    <w:rsid w:val="0062208B"/>
    <w:rsid w:val="0062208D"/>
    <w:rsid w:val="0062208E"/>
    <w:rsid w:val="0062210F"/>
    <w:rsid w:val="00622129"/>
    <w:rsid w:val="00622149"/>
    <w:rsid w:val="00622163"/>
    <w:rsid w:val="00622168"/>
    <w:rsid w:val="0062216E"/>
    <w:rsid w:val="006221E7"/>
    <w:rsid w:val="006221EB"/>
    <w:rsid w:val="0062220A"/>
    <w:rsid w:val="0062220B"/>
    <w:rsid w:val="0062237A"/>
    <w:rsid w:val="006224A5"/>
    <w:rsid w:val="006224D8"/>
    <w:rsid w:val="00622538"/>
    <w:rsid w:val="00622542"/>
    <w:rsid w:val="00622554"/>
    <w:rsid w:val="006225B5"/>
    <w:rsid w:val="0062278C"/>
    <w:rsid w:val="006227C2"/>
    <w:rsid w:val="006227E8"/>
    <w:rsid w:val="0062283C"/>
    <w:rsid w:val="00622875"/>
    <w:rsid w:val="006228B0"/>
    <w:rsid w:val="006228F9"/>
    <w:rsid w:val="00622956"/>
    <w:rsid w:val="006229AE"/>
    <w:rsid w:val="006229BD"/>
    <w:rsid w:val="006229C9"/>
    <w:rsid w:val="006229F8"/>
    <w:rsid w:val="00622A2B"/>
    <w:rsid w:val="00622A2C"/>
    <w:rsid w:val="00622A33"/>
    <w:rsid w:val="00622A56"/>
    <w:rsid w:val="00622A96"/>
    <w:rsid w:val="00622AC6"/>
    <w:rsid w:val="00622AE4"/>
    <w:rsid w:val="00622B7C"/>
    <w:rsid w:val="00622BA1"/>
    <w:rsid w:val="00622BE6"/>
    <w:rsid w:val="00622C4F"/>
    <w:rsid w:val="00622C54"/>
    <w:rsid w:val="00622CAD"/>
    <w:rsid w:val="00622CF8"/>
    <w:rsid w:val="00622D2F"/>
    <w:rsid w:val="00622D41"/>
    <w:rsid w:val="00622D56"/>
    <w:rsid w:val="00622D7A"/>
    <w:rsid w:val="00622DEE"/>
    <w:rsid w:val="00622E46"/>
    <w:rsid w:val="00622EF0"/>
    <w:rsid w:val="00622FAE"/>
    <w:rsid w:val="00622FC2"/>
    <w:rsid w:val="00622FF0"/>
    <w:rsid w:val="00623018"/>
    <w:rsid w:val="00623068"/>
    <w:rsid w:val="0062310D"/>
    <w:rsid w:val="0062314D"/>
    <w:rsid w:val="006231A4"/>
    <w:rsid w:val="006231A7"/>
    <w:rsid w:val="006231C0"/>
    <w:rsid w:val="006231F8"/>
    <w:rsid w:val="0062326F"/>
    <w:rsid w:val="00623280"/>
    <w:rsid w:val="006232C0"/>
    <w:rsid w:val="006232EC"/>
    <w:rsid w:val="00623313"/>
    <w:rsid w:val="0062334B"/>
    <w:rsid w:val="00623362"/>
    <w:rsid w:val="0062338E"/>
    <w:rsid w:val="0062339D"/>
    <w:rsid w:val="006233DE"/>
    <w:rsid w:val="00623432"/>
    <w:rsid w:val="00623473"/>
    <w:rsid w:val="00623474"/>
    <w:rsid w:val="0062349A"/>
    <w:rsid w:val="006234BD"/>
    <w:rsid w:val="006234DD"/>
    <w:rsid w:val="00623506"/>
    <w:rsid w:val="00623514"/>
    <w:rsid w:val="0062358F"/>
    <w:rsid w:val="006235C8"/>
    <w:rsid w:val="00623662"/>
    <w:rsid w:val="0062366F"/>
    <w:rsid w:val="006236F0"/>
    <w:rsid w:val="00623746"/>
    <w:rsid w:val="00623764"/>
    <w:rsid w:val="00623794"/>
    <w:rsid w:val="0062382D"/>
    <w:rsid w:val="006238B4"/>
    <w:rsid w:val="0062391A"/>
    <w:rsid w:val="0062394F"/>
    <w:rsid w:val="00623989"/>
    <w:rsid w:val="00623991"/>
    <w:rsid w:val="00623A85"/>
    <w:rsid w:val="00623A8F"/>
    <w:rsid w:val="00623AB5"/>
    <w:rsid w:val="00623AED"/>
    <w:rsid w:val="00623B21"/>
    <w:rsid w:val="00623B32"/>
    <w:rsid w:val="00623BB7"/>
    <w:rsid w:val="00623C9B"/>
    <w:rsid w:val="00623CF9"/>
    <w:rsid w:val="00623D1F"/>
    <w:rsid w:val="00623D23"/>
    <w:rsid w:val="00623D4F"/>
    <w:rsid w:val="00623D74"/>
    <w:rsid w:val="00623DA2"/>
    <w:rsid w:val="00623DA9"/>
    <w:rsid w:val="00623DB6"/>
    <w:rsid w:val="00623DFD"/>
    <w:rsid w:val="00623E0D"/>
    <w:rsid w:val="00623E63"/>
    <w:rsid w:val="00623E78"/>
    <w:rsid w:val="00623EF0"/>
    <w:rsid w:val="00623F94"/>
    <w:rsid w:val="006240C7"/>
    <w:rsid w:val="0062411B"/>
    <w:rsid w:val="0062416B"/>
    <w:rsid w:val="0062416D"/>
    <w:rsid w:val="00624175"/>
    <w:rsid w:val="0062422E"/>
    <w:rsid w:val="00624260"/>
    <w:rsid w:val="006242FF"/>
    <w:rsid w:val="00624300"/>
    <w:rsid w:val="0062433A"/>
    <w:rsid w:val="0062433D"/>
    <w:rsid w:val="00624419"/>
    <w:rsid w:val="00624497"/>
    <w:rsid w:val="006245CB"/>
    <w:rsid w:val="00624623"/>
    <w:rsid w:val="006246CF"/>
    <w:rsid w:val="006246E4"/>
    <w:rsid w:val="006246F1"/>
    <w:rsid w:val="00624727"/>
    <w:rsid w:val="00624771"/>
    <w:rsid w:val="006247AB"/>
    <w:rsid w:val="006247B2"/>
    <w:rsid w:val="00624844"/>
    <w:rsid w:val="006248CF"/>
    <w:rsid w:val="00624929"/>
    <w:rsid w:val="006249E4"/>
    <w:rsid w:val="00624AF6"/>
    <w:rsid w:val="00624B33"/>
    <w:rsid w:val="00624B55"/>
    <w:rsid w:val="00624B6B"/>
    <w:rsid w:val="00624B7A"/>
    <w:rsid w:val="00624C3C"/>
    <w:rsid w:val="00624C53"/>
    <w:rsid w:val="00624C55"/>
    <w:rsid w:val="00624C70"/>
    <w:rsid w:val="00624CC0"/>
    <w:rsid w:val="00624D4B"/>
    <w:rsid w:val="00624D7E"/>
    <w:rsid w:val="00624D96"/>
    <w:rsid w:val="00624D97"/>
    <w:rsid w:val="00624DA4"/>
    <w:rsid w:val="00624DAE"/>
    <w:rsid w:val="00624DCE"/>
    <w:rsid w:val="00624E17"/>
    <w:rsid w:val="00624E9D"/>
    <w:rsid w:val="00624F0B"/>
    <w:rsid w:val="00624F26"/>
    <w:rsid w:val="00624F3C"/>
    <w:rsid w:val="00624F44"/>
    <w:rsid w:val="00624F55"/>
    <w:rsid w:val="00624FC6"/>
    <w:rsid w:val="00625058"/>
    <w:rsid w:val="00625077"/>
    <w:rsid w:val="00625089"/>
    <w:rsid w:val="00625093"/>
    <w:rsid w:val="00625094"/>
    <w:rsid w:val="006250A8"/>
    <w:rsid w:val="006251EF"/>
    <w:rsid w:val="00625264"/>
    <w:rsid w:val="0062530A"/>
    <w:rsid w:val="00625368"/>
    <w:rsid w:val="0062537F"/>
    <w:rsid w:val="0062539A"/>
    <w:rsid w:val="006253C3"/>
    <w:rsid w:val="006254F5"/>
    <w:rsid w:val="00625524"/>
    <w:rsid w:val="00625535"/>
    <w:rsid w:val="00625540"/>
    <w:rsid w:val="00625560"/>
    <w:rsid w:val="0062559E"/>
    <w:rsid w:val="006255C3"/>
    <w:rsid w:val="006255CF"/>
    <w:rsid w:val="00625644"/>
    <w:rsid w:val="0062569E"/>
    <w:rsid w:val="006256A2"/>
    <w:rsid w:val="006256CC"/>
    <w:rsid w:val="006256D4"/>
    <w:rsid w:val="00625802"/>
    <w:rsid w:val="00625812"/>
    <w:rsid w:val="00625822"/>
    <w:rsid w:val="0062583B"/>
    <w:rsid w:val="00625868"/>
    <w:rsid w:val="00625872"/>
    <w:rsid w:val="0062589C"/>
    <w:rsid w:val="006258AE"/>
    <w:rsid w:val="006258F2"/>
    <w:rsid w:val="006258FC"/>
    <w:rsid w:val="00625954"/>
    <w:rsid w:val="00625955"/>
    <w:rsid w:val="00625A0B"/>
    <w:rsid w:val="00625A5A"/>
    <w:rsid w:val="00625A62"/>
    <w:rsid w:val="00625A68"/>
    <w:rsid w:val="00625AE8"/>
    <w:rsid w:val="00625AE9"/>
    <w:rsid w:val="00625AF4"/>
    <w:rsid w:val="00625BF3"/>
    <w:rsid w:val="00625C42"/>
    <w:rsid w:val="00625C51"/>
    <w:rsid w:val="00625CB9"/>
    <w:rsid w:val="00625CC6"/>
    <w:rsid w:val="00625D22"/>
    <w:rsid w:val="00625D36"/>
    <w:rsid w:val="00625DE7"/>
    <w:rsid w:val="00625E34"/>
    <w:rsid w:val="00625E4B"/>
    <w:rsid w:val="00625F00"/>
    <w:rsid w:val="00625FBE"/>
    <w:rsid w:val="00625FD6"/>
    <w:rsid w:val="00625FD9"/>
    <w:rsid w:val="00625FDA"/>
    <w:rsid w:val="00626053"/>
    <w:rsid w:val="006260AF"/>
    <w:rsid w:val="0062614E"/>
    <w:rsid w:val="006261B9"/>
    <w:rsid w:val="006261E6"/>
    <w:rsid w:val="0062622F"/>
    <w:rsid w:val="0062624E"/>
    <w:rsid w:val="006262A8"/>
    <w:rsid w:val="00626303"/>
    <w:rsid w:val="0062631F"/>
    <w:rsid w:val="00626330"/>
    <w:rsid w:val="00626337"/>
    <w:rsid w:val="00626342"/>
    <w:rsid w:val="006263A1"/>
    <w:rsid w:val="006263F0"/>
    <w:rsid w:val="006263FD"/>
    <w:rsid w:val="0062643D"/>
    <w:rsid w:val="0062644B"/>
    <w:rsid w:val="0062646D"/>
    <w:rsid w:val="00626489"/>
    <w:rsid w:val="0062648F"/>
    <w:rsid w:val="00626492"/>
    <w:rsid w:val="006264FE"/>
    <w:rsid w:val="00626528"/>
    <w:rsid w:val="00626550"/>
    <w:rsid w:val="00626589"/>
    <w:rsid w:val="0062662C"/>
    <w:rsid w:val="00626664"/>
    <w:rsid w:val="00626686"/>
    <w:rsid w:val="0062669F"/>
    <w:rsid w:val="006266E3"/>
    <w:rsid w:val="0062671C"/>
    <w:rsid w:val="00626756"/>
    <w:rsid w:val="00626764"/>
    <w:rsid w:val="0062683A"/>
    <w:rsid w:val="0062683D"/>
    <w:rsid w:val="00626889"/>
    <w:rsid w:val="006268D0"/>
    <w:rsid w:val="006269F2"/>
    <w:rsid w:val="00626A20"/>
    <w:rsid w:val="00626B19"/>
    <w:rsid w:val="00626B57"/>
    <w:rsid w:val="00626B60"/>
    <w:rsid w:val="00626BC0"/>
    <w:rsid w:val="00626C22"/>
    <w:rsid w:val="00626C2A"/>
    <w:rsid w:val="00626C3C"/>
    <w:rsid w:val="00626C76"/>
    <w:rsid w:val="00626C92"/>
    <w:rsid w:val="00626D58"/>
    <w:rsid w:val="00626D64"/>
    <w:rsid w:val="00626DB3"/>
    <w:rsid w:val="00626E51"/>
    <w:rsid w:val="00626E63"/>
    <w:rsid w:val="00626E8A"/>
    <w:rsid w:val="00626EF1"/>
    <w:rsid w:val="00626F53"/>
    <w:rsid w:val="00626F5E"/>
    <w:rsid w:val="00626F6A"/>
    <w:rsid w:val="00626FAE"/>
    <w:rsid w:val="00626FFE"/>
    <w:rsid w:val="00627076"/>
    <w:rsid w:val="0062714A"/>
    <w:rsid w:val="006271C0"/>
    <w:rsid w:val="006271F8"/>
    <w:rsid w:val="00627319"/>
    <w:rsid w:val="006273D0"/>
    <w:rsid w:val="00627445"/>
    <w:rsid w:val="006274B3"/>
    <w:rsid w:val="006274E4"/>
    <w:rsid w:val="00627650"/>
    <w:rsid w:val="0062765E"/>
    <w:rsid w:val="006276AB"/>
    <w:rsid w:val="006276B9"/>
    <w:rsid w:val="0062771B"/>
    <w:rsid w:val="00627775"/>
    <w:rsid w:val="0062788B"/>
    <w:rsid w:val="006278C7"/>
    <w:rsid w:val="006278E1"/>
    <w:rsid w:val="0062790D"/>
    <w:rsid w:val="00627A80"/>
    <w:rsid w:val="00627AC9"/>
    <w:rsid w:val="00627AF6"/>
    <w:rsid w:val="00627BF2"/>
    <w:rsid w:val="00627C6C"/>
    <w:rsid w:val="00627CAB"/>
    <w:rsid w:val="00627D35"/>
    <w:rsid w:val="00627D49"/>
    <w:rsid w:val="00627DE5"/>
    <w:rsid w:val="00627E5B"/>
    <w:rsid w:val="00627EAE"/>
    <w:rsid w:val="00627F73"/>
    <w:rsid w:val="00630044"/>
    <w:rsid w:val="00630052"/>
    <w:rsid w:val="00630065"/>
    <w:rsid w:val="0063008A"/>
    <w:rsid w:val="006300BF"/>
    <w:rsid w:val="006300DE"/>
    <w:rsid w:val="00630175"/>
    <w:rsid w:val="006301C3"/>
    <w:rsid w:val="006301DA"/>
    <w:rsid w:val="00630233"/>
    <w:rsid w:val="006302A6"/>
    <w:rsid w:val="006302CC"/>
    <w:rsid w:val="006302ED"/>
    <w:rsid w:val="00630350"/>
    <w:rsid w:val="006303C2"/>
    <w:rsid w:val="00630452"/>
    <w:rsid w:val="0063047D"/>
    <w:rsid w:val="006304AF"/>
    <w:rsid w:val="006304F4"/>
    <w:rsid w:val="00630508"/>
    <w:rsid w:val="00630530"/>
    <w:rsid w:val="00630551"/>
    <w:rsid w:val="00630582"/>
    <w:rsid w:val="006305F0"/>
    <w:rsid w:val="00630630"/>
    <w:rsid w:val="0063068B"/>
    <w:rsid w:val="0063068C"/>
    <w:rsid w:val="006306EB"/>
    <w:rsid w:val="00630748"/>
    <w:rsid w:val="006307AC"/>
    <w:rsid w:val="006307B5"/>
    <w:rsid w:val="006307D6"/>
    <w:rsid w:val="00630879"/>
    <w:rsid w:val="006308A8"/>
    <w:rsid w:val="006308B3"/>
    <w:rsid w:val="006308DE"/>
    <w:rsid w:val="00630997"/>
    <w:rsid w:val="006309D6"/>
    <w:rsid w:val="006309E1"/>
    <w:rsid w:val="00630AA8"/>
    <w:rsid w:val="00630B4D"/>
    <w:rsid w:val="00630B82"/>
    <w:rsid w:val="00630B83"/>
    <w:rsid w:val="00630BAC"/>
    <w:rsid w:val="00630C04"/>
    <w:rsid w:val="00630C06"/>
    <w:rsid w:val="00630C32"/>
    <w:rsid w:val="00630C5F"/>
    <w:rsid w:val="00630C83"/>
    <w:rsid w:val="00630CA8"/>
    <w:rsid w:val="00630CF6"/>
    <w:rsid w:val="00630CF8"/>
    <w:rsid w:val="00630D1F"/>
    <w:rsid w:val="00630D9F"/>
    <w:rsid w:val="00630DEB"/>
    <w:rsid w:val="00630DEC"/>
    <w:rsid w:val="00630F08"/>
    <w:rsid w:val="00630F25"/>
    <w:rsid w:val="00630FA8"/>
    <w:rsid w:val="00630FF9"/>
    <w:rsid w:val="0063104D"/>
    <w:rsid w:val="00631121"/>
    <w:rsid w:val="0063112E"/>
    <w:rsid w:val="0063115F"/>
    <w:rsid w:val="00631176"/>
    <w:rsid w:val="006311AB"/>
    <w:rsid w:val="00631237"/>
    <w:rsid w:val="00631245"/>
    <w:rsid w:val="0063130B"/>
    <w:rsid w:val="006313FD"/>
    <w:rsid w:val="0063145F"/>
    <w:rsid w:val="0063147B"/>
    <w:rsid w:val="00631489"/>
    <w:rsid w:val="006314D6"/>
    <w:rsid w:val="006314F4"/>
    <w:rsid w:val="00631513"/>
    <w:rsid w:val="00631569"/>
    <w:rsid w:val="0063165B"/>
    <w:rsid w:val="00631698"/>
    <w:rsid w:val="006316D2"/>
    <w:rsid w:val="00631715"/>
    <w:rsid w:val="00631742"/>
    <w:rsid w:val="006317E2"/>
    <w:rsid w:val="00631821"/>
    <w:rsid w:val="0063183D"/>
    <w:rsid w:val="00631858"/>
    <w:rsid w:val="00631905"/>
    <w:rsid w:val="00631920"/>
    <w:rsid w:val="00631957"/>
    <w:rsid w:val="006319FF"/>
    <w:rsid w:val="00631A00"/>
    <w:rsid w:val="00631A13"/>
    <w:rsid w:val="00631A27"/>
    <w:rsid w:val="00631A31"/>
    <w:rsid w:val="00631A38"/>
    <w:rsid w:val="00631A75"/>
    <w:rsid w:val="00631A95"/>
    <w:rsid w:val="00631ADD"/>
    <w:rsid w:val="00631B0B"/>
    <w:rsid w:val="00631B26"/>
    <w:rsid w:val="00631B84"/>
    <w:rsid w:val="00631C80"/>
    <w:rsid w:val="00631D19"/>
    <w:rsid w:val="00631DCD"/>
    <w:rsid w:val="00631E7C"/>
    <w:rsid w:val="00631E97"/>
    <w:rsid w:val="00631EFF"/>
    <w:rsid w:val="00631F4D"/>
    <w:rsid w:val="00631F4F"/>
    <w:rsid w:val="00631FB2"/>
    <w:rsid w:val="00631FCE"/>
    <w:rsid w:val="00632042"/>
    <w:rsid w:val="0063204D"/>
    <w:rsid w:val="006320CF"/>
    <w:rsid w:val="0063218B"/>
    <w:rsid w:val="006321B9"/>
    <w:rsid w:val="006321F2"/>
    <w:rsid w:val="00632219"/>
    <w:rsid w:val="00632271"/>
    <w:rsid w:val="00632288"/>
    <w:rsid w:val="00632319"/>
    <w:rsid w:val="00632329"/>
    <w:rsid w:val="006323AE"/>
    <w:rsid w:val="00632454"/>
    <w:rsid w:val="00632476"/>
    <w:rsid w:val="006324D7"/>
    <w:rsid w:val="00632545"/>
    <w:rsid w:val="0063256F"/>
    <w:rsid w:val="006325EE"/>
    <w:rsid w:val="0063263D"/>
    <w:rsid w:val="00632652"/>
    <w:rsid w:val="006326AF"/>
    <w:rsid w:val="0063272D"/>
    <w:rsid w:val="00632760"/>
    <w:rsid w:val="00632776"/>
    <w:rsid w:val="006327F5"/>
    <w:rsid w:val="0063281C"/>
    <w:rsid w:val="006328BD"/>
    <w:rsid w:val="0063293F"/>
    <w:rsid w:val="006329DB"/>
    <w:rsid w:val="00632AA7"/>
    <w:rsid w:val="00632B26"/>
    <w:rsid w:val="00632B2B"/>
    <w:rsid w:val="00632B89"/>
    <w:rsid w:val="00632C21"/>
    <w:rsid w:val="00632C57"/>
    <w:rsid w:val="00632C62"/>
    <w:rsid w:val="00632CD6"/>
    <w:rsid w:val="00632D1B"/>
    <w:rsid w:val="00632E50"/>
    <w:rsid w:val="00632FD8"/>
    <w:rsid w:val="00632FDA"/>
    <w:rsid w:val="00633002"/>
    <w:rsid w:val="00633031"/>
    <w:rsid w:val="0063303A"/>
    <w:rsid w:val="00633122"/>
    <w:rsid w:val="0063312C"/>
    <w:rsid w:val="0063312D"/>
    <w:rsid w:val="0063312E"/>
    <w:rsid w:val="00633174"/>
    <w:rsid w:val="006331AF"/>
    <w:rsid w:val="0063323E"/>
    <w:rsid w:val="00633292"/>
    <w:rsid w:val="006332D1"/>
    <w:rsid w:val="00633369"/>
    <w:rsid w:val="0063337F"/>
    <w:rsid w:val="006333B3"/>
    <w:rsid w:val="006333EF"/>
    <w:rsid w:val="0063345B"/>
    <w:rsid w:val="0063350E"/>
    <w:rsid w:val="00633568"/>
    <w:rsid w:val="0063356E"/>
    <w:rsid w:val="006335BD"/>
    <w:rsid w:val="006335EE"/>
    <w:rsid w:val="00633639"/>
    <w:rsid w:val="0063365A"/>
    <w:rsid w:val="0063366D"/>
    <w:rsid w:val="00633688"/>
    <w:rsid w:val="00633700"/>
    <w:rsid w:val="0063370D"/>
    <w:rsid w:val="0063376A"/>
    <w:rsid w:val="0063379B"/>
    <w:rsid w:val="006337EB"/>
    <w:rsid w:val="0063384B"/>
    <w:rsid w:val="006338AA"/>
    <w:rsid w:val="00633910"/>
    <w:rsid w:val="006339CE"/>
    <w:rsid w:val="006339DE"/>
    <w:rsid w:val="00633A12"/>
    <w:rsid w:val="00633A45"/>
    <w:rsid w:val="00633A66"/>
    <w:rsid w:val="00633A68"/>
    <w:rsid w:val="00633B37"/>
    <w:rsid w:val="00633C08"/>
    <w:rsid w:val="00633C5C"/>
    <w:rsid w:val="00633C65"/>
    <w:rsid w:val="00633C9D"/>
    <w:rsid w:val="00633CA4"/>
    <w:rsid w:val="00633CB9"/>
    <w:rsid w:val="00633CBA"/>
    <w:rsid w:val="00633CD1"/>
    <w:rsid w:val="00633D05"/>
    <w:rsid w:val="00633DBA"/>
    <w:rsid w:val="00633DDD"/>
    <w:rsid w:val="00633E06"/>
    <w:rsid w:val="00633E35"/>
    <w:rsid w:val="00633E5E"/>
    <w:rsid w:val="00633F32"/>
    <w:rsid w:val="00633F42"/>
    <w:rsid w:val="00633F69"/>
    <w:rsid w:val="00633FE6"/>
    <w:rsid w:val="00634007"/>
    <w:rsid w:val="006340B1"/>
    <w:rsid w:val="006340DD"/>
    <w:rsid w:val="006340E4"/>
    <w:rsid w:val="00634139"/>
    <w:rsid w:val="00634165"/>
    <w:rsid w:val="006341B3"/>
    <w:rsid w:val="006341DC"/>
    <w:rsid w:val="00634261"/>
    <w:rsid w:val="00634286"/>
    <w:rsid w:val="006342EF"/>
    <w:rsid w:val="00634353"/>
    <w:rsid w:val="0063437E"/>
    <w:rsid w:val="006343BD"/>
    <w:rsid w:val="006343DC"/>
    <w:rsid w:val="0063440A"/>
    <w:rsid w:val="006344A0"/>
    <w:rsid w:val="006344CA"/>
    <w:rsid w:val="006344DF"/>
    <w:rsid w:val="00634536"/>
    <w:rsid w:val="0063456B"/>
    <w:rsid w:val="006345BE"/>
    <w:rsid w:val="006345C1"/>
    <w:rsid w:val="006345E0"/>
    <w:rsid w:val="0063464D"/>
    <w:rsid w:val="00634698"/>
    <w:rsid w:val="006346BC"/>
    <w:rsid w:val="006346F8"/>
    <w:rsid w:val="00634788"/>
    <w:rsid w:val="006347D8"/>
    <w:rsid w:val="006347D9"/>
    <w:rsid w:val="006347E4"/>
    <w:rsid w:val="0063487D"/>
    <w:rsid w:val="00634905"/>
    <w:rsid w:val="00634974"/>
    <w:rsid w:val="006349B9"/>
    <w:rsid w:val="006349DD"/>
    <w:rsid w:val="006349E3"/>
    <w:rsid w:val="00634A3F"/>
    <w:rsid w:val="00634AD8"/>
    <w:rsid w:val="00634B03"/>
    <w:rsid w:val="00634B90"/>
    <w:rsid w:val="00634B9D"/>
    <w:rsid w:val="00634C29"/>
    <w:rsid w:val="00634C4B"/>
    <w:rsid w:val="00634C52"/>
    <w:rsid w:val="00634C82"/>
    <w:rsid w:val="00634CEF"/>
    <w:rsid w:val="00634DDD"/>
    <w:rsid w:val="00634EAB"/>
    <w:rsid w:val="00634EE8"/>
    <w:rsid w:val="00634F34"/>
    <w:rsid w:val="00634F3D"/>
    <w:rsid w:val="00635005"/>
    <w:rsid w:val="00635035"/>
    <w:rsid w:val="0063506A"/>
    <w:rsid w:val="0063507A"/>
    <w:rsid w:val="0063511F"/>
    <w:rsid w:val="0063514F"/>
    <w:rsid w:val="006351E7"/>
    <w:rsid w:val="006351FC"/>
    <w:rsid w:val="00635228"/>
    <w:rsid w:val="00635246"/>
    <w:rsid w:val="006352BF"/>
    <w:rsid w:val="006352CE"/>
    <w:rsid w:val="006352EC"/>
    <w:rsid w:val="00635416"/>
    <w:rsid w:val="00635492"/>
    <w:rsid w:val="0063552E"/>
    <w:rsid w:val="00635575"/>
    <w:rsid w:val="00635578"/>
    <w:rsid w:val="006355AA"/>
    <w:rsid w:val="00635622"/>
    <w:rsid w:val="006356C4"/>
    <w:rsid w:val="006356D2"/>
    <w:rsid w:val="006356F5"/>
    <w:rsid w:val="00635716"/>
    <w:rsid w:val="00635742"/>
    <w:rsid w:val="00635744"/>
    <w:rsid w:val="00635755"/>
    <w:rsid w:val="00635796"/>
    <w:rsid w:val="00635880"/>
    <w:rsid w:val="00635887"/>
    <w:rsid w:val="006358C1"/>
    <w:rsid w:val="006358E3"/>
    <w:rsid w:val="006358F2"/>
    <w:rsid w:val="00635913"/>
    <w:rsid w:val="0063594E"/>
    <w:rsid w:val="00635981"/>
    <w:rsid w:val="006359FC"/>
    <w:rsid w:val="00635A5B"/>
    <w:rsid w:val="00635A93"/>
    <w:rsid w:val="00635AB5"/>
    <w:rsid w:val="00635ACD"/>
    <w:rsid w:val="00635AD9"/>
    <w:rsid w:val="00635AE4"/>
    <w:rsid w:val="00635AEB"/>
    <w:rsid w:val="00635B6F"/>
    <w:rsid w:val="00635B8D"/>
    <w:rsid w:val="00635BF6"/>
    <w:rsid w:val="00635C63"/>
    <w:rsid w:val="00635C80"/>
    <w:rsid w:val="00635CC7"/>
    <w:rsid w:val="00635DB5"/>
    <w:rsid w:val="00635DCD"/>
    <w:rsid w:val="00635E14"/>
    <w:rsid w:val="00635E1A"/>
    <w:rsid w:val="00635E30"/>
    <w:rsid w:val="00635E54"/>
    <w:rsid w:val="00635EDB"/>
    <w:rsid w:val="00635F23"/>
    <w:rsid w:val="00635FEA"/>
    <w:rsid w:val="00636094"/>
    <w:rsid w:val="006360A5"/>
    <w:rsid w:val="006360EC"/>
    <w:rsid w:val="0063617F"/>
    <w:rsid w:val="00636196"/>
    <w:rsid w:val="006361A0"/>
    <w:rsid w:val="00636253"/>
    <w:rsid w:val="0063632D"/>
    <w:rsid w:val="0063635E"/>
    <w:rsid w:val="0063639A"/>
    <w:rsid w:val="006363A5"/>
    <w:rsid w:val="00636424"/>
    <w:rsid w:val="00636450"/>
    <w:rsid w:val="006365E6"/>
    <w:rsid w:val="006365F3"/>
    <w:rsid w:val="00636628"/>
    <w:rsid w:val="00636674"/>
    <w:rsid w:val="006366A6"/>
    <w:rsid w:val="00636743"/>
    <w:rsid w:val="00636799"/>
    <w:rsid w:val="006367C1"/>
    <w:rsid w:val="00636834"/>
    <w:rsid w:val="006368D6"/>
    <w:rsid w:val="006368DB"/>
    <w:rsid w:val="00636964"/>
    <w:rsid w:val="00636980"/>
    <w:rsid w:val="006369BA"/>
    <w:rsid w:val="006369EC"/>
    <w:rsid w:val="00636A63"/>
    <w:rsid w:val="00636A81"/>
    <w:rsid w:val="00636A8F"/>
    <w:rsid w:val="00636AE0"/>
    <w:rsid w:val="00636B73"/>
    <w:rsid w:val="00636C2E"/>
    <w:rsid w:val="00636C96"/>
    <w:rsid w:val="00636D10"/>
    <w:rsid w:val="00636D36"/>
    <w:rsid w:val="00636E01"/>
    <w:rsid w:val="00636E15"/>
    <w:rsid w:val="00636EA4"/>
    <w:rsid w:val="00636F47"/>
    <w:rsid w:val="00636F71"/>
    <w:rsid w:val="00636F8D"/>
    <w:rsid w:val="00636FE2"/>
    <w:rsid w:val="006370CF"/>
    <w:rsid w:val="006370F0"/>
    <w:rsid w:val="00637190"/>
    <w:rsid w:val="0063724A"/>
    <w:rsid w:val="006372A4"/>
    <w:rsid w:val="00637322"/>
    <w:rsid w:val="00637346"/>
    <w:rsid w:val="00637373"/>
    <w:rsid w:val="00637374"/>
    <w:rsid w:val="00637398"/>
    <w:rsid w:val="00637473"/>
    <w:rsid w:val="006374D1"/>
    <w:rsid w:val="00637541"/>
    <w:rsid w:val="006375EE"/>
    <w:rsid w:val="00637636"/>
    <w:rsid w:val="00637887"/>
    <w:rsid w:val="00637889"/>
    <w:rsid w:val="0063789D"/>
    <w:rsid w:val="006378B0"/>
    <w:rsid w:val="0063798B"/>
    <w:rsid w:val="00637A64"/>
    <w:rsid w:val="00637AB8"/>
    <w:rsid w:val="00637AE5"/>
    <w:rsid w:val="00637B15"/>
    <w:rsid w:val="00637B39"/>
    <w:rsid w:val="00637B48"/>
    <w:rsid w:val="00637B70"/>
    <w:rsid w:val="00637BC9"/>
    <w:rsid w:val="00637D2C"/>
    <w:rsid w:val="00637DAA"/>
    <w:rsid w:val="00637DAF"/>
    <w:rsid w:val="00637DC9"/>
    <w:rsid w:val="00637DE1"/>
    <w:rsid w:val="00637E63"/>
    <w:rsid w:val="00637E8E"/>
    <w:rsid w:val="00637E9C"/>
    <w:rsid w:val="00637F2B"/>
    <w:rsid w:val="00637F60"/>
    <w:rsid w:val="00637FA2"/>
    <w:rsid w:val="00637FED"/>
    <w:rsid w:val="00637FF1"/>
    <w:rsid w:val="00640022"/>
    <w:rsid w:val="00640122"/>
    <w:rsid w:val="0064016D"/>
    <w:rsid w:val="00640203"/>
    <w:rsid w:val="0064024D"/>
    <w:rsid w:val="006402F6"/>
    <w:rsid w:val="0064032A"/>
    <w:rsid w:val="0064035F"/>
    <w:rsid w:val="00640360"/>
    <w:rsid w:val="00640366"/>
    <w:rsid w:val="00640398"/>
    <w:rsid w:val="00640443"/>
    <w:rsid w:val="006404EA"/>
    <w:rsid w:val="0064053B"/>
    <w:rsid w:val="006405FB"/>
    <w:rsid w:val="00640642"/>
    <w:rsid w:val="00640685"/>
    <w:rsid w:val="006406BF"/>
    <w:rsid w:val="0064083E"/>
    <w:rsid w:val="0064084F"/>
    <w:rsid w:val="00640895"/>
    <w:rsid w:val="006409C1"/>
    <w:rsid w:val="006409C6"/>
    <w:rsid w:val="00640AE8"/>
    <w:rsid w:val="00640AFB"/>
    <w:rsid w:val="00640BF8"/>
    <w:rsid w:val="00640C22"/>
    <w:rsid w:val="00640C33"/>
    <w:rsid w:val="00640EB8"/>
    <w:rsid w:val="00640ED8"/>
    <w:rsid w:val="00640F0B"/>
    <w:rsid w:val="00640FA4"/>
    <w:rsid w:val="00641011"/>
    <w:rsid w:val="00641055"/>
    <w:rsid w:val="006410CC"/>
    <w:rsid w:val="00641134"/>
    <w:rsid w:val="00641174"/>
    <w:rsid w:val="006411AB"/>
    <w:rsid w:val="0064120E"/>
    <w:rsid w:val="0064123C"/>
    <w:rsid w:val="006412A7"/>
    <w:rsid w:val="006412BB"/>
    <w:rsid w:val="006412E9"/>
    <w:rsid w:val="006412FE"/>
    <w:rsid w:val="00641300"/>
    <w:rsid w:val="00641328"/>
    <w:rsid w:val="00641504"/>
    <w:rsid w:val="00641529"/>
    <w:rsid w:val="0064154A"/>
    <w:rsid w:val="00641573"/>
    <w:rsid w:val="0064159A"/>
    <w:rsid w:val="0064167E"/>
    <w:rsid w:val="006416EE"/>
    <w:rsid w:val="006417CF"/>
    <w:rsid w:val="006417E0"/>
    <w:rsid w:val="006418B1"/>
    <w:rsid w:val="006418BB"/>
    <w:rsid w:val="00641943"/>
    <w:rsid w:val="0064194A"/>
    <w:rsid w:val="00641A00"/>
    <w:rsid w:val="00641A3C"/>
    <w:rsid w:val="00641AE1"/>
    <w:rsid w:val="00641AED"/>
    <w:rsid w:val="00641AF7"/>
    <w:rsid w:val="00641AFF"/>
    <w:rsid w:val="00641B19"/>
    <w:rsid w:val="00641BA0"/>
    <w:rsid w:val="00641BA3"/>
    <w:rsid w:val="00641BCC"/>
    <w:rsid w:val="00641C1C"/>
    <w:rsid w:val="00641C3B"/>
    <w:rsid w:val="00641C5A"/>
    <w:rsid w:val="00641CE7"/>
    <w:rsid w:val="00641D11"/>
    <w:rsid w:val="00641D8F"/>
    <w:rsid w:val="00641E57"/>
    <w:rsid w:val="00641E68"/>
    <w:rsid w:val="00641E6F"/>
    <w:rsid w:val="00641E77"/>
    <w:rsid w:val="00641EE2"/>
    <w:rsid w:val="00641F0F"/>
    <w:rsid w:val="00641F35"/>
    <w:rsid w:val="00641FD5"/>
    <w:rsid w:val="0064203E"/>
    <w:rsid w:val="006420B3"/>
    <w:rsid w:val="006420C2"/>
    <w:rsid w:val="0064212C"/>
    <w:rsid w:val="00642193"/>
    <w:rsid w:val="006421EC"/>
    <w:rsid w:val="006422CF"/>
    <w:rsid w:val="00642312"/>
    <w:rsid w:val="0064233B"/>
    <w:rsid w:val="00642375"/>
    <w:rsid w:val="00642383"/>
    <w:rsid w:val="006423F1"/>
    <w:rsid w:val="00642402"/>
    <w:rsid w:val="0064247D"/>
    <w:rsid w:val="00642524"/>
    <w:rsid w:val="0064256C"/>
    <w:rsid w:val="006425AE"/>
    <w:rsid w:val="006425D8"/>
    <w:rsid w:val="00642626"/>
    <w:rsid w:val="00642628"/>
    <w:rsid w:val="0064265B"/>
    <w:rsid w:val="006426B3"/>
    <w:rsid w:val="006426CD"/>
    <w:rsid w:val="00642744"/>
    <w:rsid w:val="00642749"/>
    <w:rsid w:val="0064274D"/>
    <w:rsid w:val="00642771"/>
    <w:rsid w:val="0064279A"/>
    <w:rsid w:val="0064279B"/>
    <w:rsid w:val="006427A7"/>
    <w:rsid w:val="006427FA"/>
    <w:rsid w:val="00642841"/>
    <w:rsid w:val="00642892"/>
    <w:rsid w:val="00642897"/>
    <w:rsid w:val="006428C4"/>
    <w:rsid w:val="0064299B"/>
    <w:rsid w:val="006429AA"/>
    <w:rsid w:val="006429CA"/>
    <w:rsid w:val="00642B52"/>
    <w:rsid w:val="00642BBE"/>
    <w:rsid w:val="00642C74"/>
    <w:rsid w:val="00642CBA"/>
    <w:rsid w:val="00642CDD"/>
    <w:rsid w:val="00642CEF"/>
    <w:rsid w:val="00642D11"/>
    <w:rsid w:val="00642D1B"/>
    <w:rsid w:val="00642D48"/>
    <w:rsid w:val="00642D8F"/>
    <w:rsid w:val="00642DE9"/>
    <w:rsid w:val="00642DF4"/>
    <w:rsid w:val="00642E7E"/>
    <w:rsid w:val="00642EAE"/>
    <w:rsid w:val="00642F64"/>
    <w:rsid w:val="00642F77"/>
    <w:rsid w:val="00642FB3"/>
    <w:rsid w:val="00643005"/>
    <w:rsid w:val="00643031"/>
    <w:rsid w:val="00643091"/>
    <w:rsid w:val="006430FB"/>
    <w:rsid w:val="00643124"/>
    <w:rsid w:val="006431E6"/>
    <w:rsid w:val="0064322D"/>
    <w:rsid w:val="00643234"/>
    <w:rsid w:val="00643241"/>
    <w:rsid w:val="0064324A"/>
    <w:rsid w:val="00643306"/>
    <w:rsid w:val="00643348"/>
    <w:rsid w:val="0064334B"/>
    <w:rsid w:val="0064335A"/>
    <w:rsid w:val="006433BD"/>
    <w:rsid w:val="00643412"/>
    <w:rsid w:val="006434E1"/>
    <w:rsid w:val="006434F7"/>
    <w:rsid w:val="00643528"/>
    <w:rsid w:val="00643576"/>
    <w:rsid w:val="006435AD"/>
    <w:rsid w:val="006435C0"/>
    <w:rsid w:val="006435C6"/>
    <w:rsid w:val="006435C9"/>
    <w:rsid w:val="00643618"/>
    <w:rsid w:val="0064363E"/>
    <w:rsid w:val="00643640"/>
    <w:rsid w:val="00643641"/>
    <w:rsid w:val="006436B5"/>
    <w:rsid w:val="0064376B"/>
    <w:rsid w:val="00643794"/>
    <w:rsid w:val="0064383A"/>
    <w:rsid w:val="006438E1"/>
    <w:rsid w:val="0064391D"/>
    <w:rsid w:val="0064391E"/>
    <w:rsid w:val="00643928"/>
    <w:rsid w:val="00643932"/>
    <w:rsid w:val="00643946"/>
    <w:rsid w:val="006439C8"/>
    <w:rsid w:val="00643AED"/>
    <w:rsid w:val="00643B1F"/>
    <w:rsid w:val="00643B52"/>
    <w:rsid w:val="00643B67"/>
    <w:rsid w:val="00643BBF"/>
    <w:rsid w:val="00643BCC"/>
    <w:rsid w:val="00643BD2"/>
    <w:rsid w:val="00643BD6"/>
    <w:rsid w:val="00643C1A"/>
    <w:rsid w:val="00643D34"/>
    <w:rsid w:val="00643D3B"/>
    <w:rsid w:val="00643E3E"/>
    <w:rsid w:val="00643E47"/>
    <w:rsid w:val="00643E88"/>
    <w:rsid w:val="00643EE1"/>
    <w:rsid w:val="00643F18"/>
    <w:rsid w:val="0064406B"/>
    <w:rsid w:val="00644085"/>
    <w:rsid w:val="00644172"/>
    <w:rsid w:val="00644198"/>
    <w:rsid w:val="0064426A"/>
    <w:rsid w:val="006442C0"/>
    <w:rsid w:val="006442CD"/>
    <w:rsid w:val="00644316"/>
    <w:rsid w:val="00644319"/>
    <w:rsid w:val="00644336"/>
    <w:rsid w:val="0064437A"/>
    <w:rsid w:val="006443FA"/>
    <w:rsid w:val="0064442E"/>
    <w:rsid w:val="0064449D"/>
    <w:rsid w:val="0064449F"/>
    <w:rsid w:val="006444AB"/>
    <w:rsid w:val="006444AF"/>
    <w:rsid w:val="006444D8"/>
    <w:rsid w:val="00644559"/>
    <w:rsid w:val="00644583"/>
    <w:rsid w:val="006445F1"/>
    <w:rsid w:val="0064460D"/>
    <w:rsid w:val="0064462E"/>
    <w:rsid w:val="00644630"/>
    <w:rsid w:val="0064468F"/>
    <w:rsid w:val="0064475F"/>
    <w:rsid w:val="0064481B"/>
    <w:rsid w:val="00644882"/>
    <w:rsid w:val="006448FF"/>
    <w:rsid w:val="0064496A"/>
    <w:rsid w:val="00644998"/>
    <w:rsid w:val="00644A82"/>
    <w:rsid w:val="00644A89"/>
    <w:rsid w:val="00644AAB"/>
    <w:rsid w:val="00644AB5"/>
    <w:rsid w:val="00644B4F"/>
    <w:rsid w:val="00644B62"/>
    <w:rsid w:val="00644B8D"/>
    <w:rsid w:val="00644B9A"/>
    <w:rsid w:val="00644BA4"/>
    <w:rsid w:val="00644BB8"/>
    <w:rsid w:val="00644BC9"/>
    <w:rsid w:val="00644C36"/>
    <w:rsid w:val="00644C5A"/>
    <w:rsid w:val="00644CC6"/>
    <w:rsid w:val="00644CCD"/>
    <w:rsid w:val="00644CF7"/>
    <w:rsid w:val="00644D47"/>
    <w:rsid w:val="00644D66"/>
    <w:rsid w:val="00644DAE"/>
    <w:rsid w:val="00644E39"/>
    <w:rsid w:val="00644E4F"/>
    <w:rsid w:val="00644E52"/>
    <w:rsid w:val="00644F7D"/>
    <w:rsid w:val="00644FBF"/>
    <w:rsid w:val="00644FDC"/>
    <w:rsid w:val="00644FF9"/>
    <w:rsid w:val="0064504A"/>
    <w:rsid w:val="00645089"/>
    <w:rsid w:val="0064508D"/>
    <w:rsid w:val="006450CC"/>
    <w:rsid w:val="0064518C"/>
    <w:rsid w:val="006451A7"/>
    <w:rsid w:val="006451F9"/>
    <w:rsid w:val="006452AE"/>
    <w:rsid w:val="00645327"/>
    <w:rsid w:val="0064537D"/>
    <w:rsid w:val="006453D4"/>
    <w:rsid w:val="006454F7"/>
    <w:rsid w:val="00645509"/>
    <w:rsid w:val="00645556"/>
    <w:rsid w:val="0064557F"/>
    <w:rsid w:val="0064559F"/>
    <w:rsid w:val="006455B7"/>
    <w:rsid w:val="00645653"/>
    <w:rsid w:val="0064565A"/>
    <w:rsid w:val="00645762"/>
    <w:rsid w:val="006457F5"/>
    <w:rsid w:val="006458AA"/>
    <w:rsid w:val="006458F9"/>
    <w:rsid w:val="00645904"/>
    <w:rsid w:val="00645920"/>
    <w:rsid w:val="00645927"/>
    <w:rsid w:val="006459AC"/>
    <w:rsid w:val="006459FB"/>
    <w:rsid w:val="00645A08"/>
    <w:rsid w:val="00645A54"/>
    <w:rsid w:val="00645AC7"/>
    <w:rsid w:val="00645AF7"/>
    <w:rsid w:val="00645BC6"/>
    <w:rsid w:val="00645BF1"/>
    <w:rsid w:val="00645BF8"/>
    <w:rsid w:val="00645C0F"/>
    <w:rsid w:val="00645C1B"/>
    <w:rsid w:val="00645D34"/>
    <w:rsid w:val="00645D8B"/>
    <w:rsid w:val="00645ECF"/>
    <w:rsid w:val="00645FF8"/>
    <w:rsid w:val="00646000"/>
    <w:rsid w:val="0064600D"/>
    <w:rsid w:val="00646081"/>
    <w:rsid w:val="006461D4"/>
    <w:rsid w:val="006462B9"/>
    <w:rsid w:val="0064631F"/>
    <w:rsid w:val="00646385"/>
    <w:rsid w:val="006463D5"/>
    <w:rsid w:val="006463F1"/>
    <w:rsid w:val="0064644A"/>
    <w:rsid w:val="0064648D"/>
    <w:rsid w:val="006464A9"/>
    <w:rsid w:val="00646500"/>
    <w:rsid w:val="00646514"/>
    <w:rsid w:val="00646580"/>
    <w:rsid w:val="00646581"/>
    <w:rsid w:val="00646708"/>
    <w:rsid w:val="0064670C"/>
    <w:rsid w:val="00646723"/>
    <w:rsid w:val="00646851"/>
    <w:rsid w:val="00646863"/>
    <w:rsid w:val="00646928"/>
    <w:rsid w:val="0064693D"/>
    <w:rsid w:val="006469F6"/>
    <w:rsid w:val="00646A76"/>
    <w:rsid w:val="00646A7F"/>
    <w:rsid w:val="00646A88"/>
    <w:rsid w:val="00646AA9"/>
    <w:rsid w:val="00646ADD"/>
    <w:rsid w:val="00646AED"/>
    <w:rsid w:val="00646B4B"/>
    <w:rsid w:val="00646B7D"/>
    <w:rsid w:val="00646BA3"/>
    <w:rsid w:val="00646BF0"/>
    <w:rsid w:val="00646CCC"/>
    <w:rsid w:val="00646D5B"/>
    <w:rsid w:val="00646DD5"/>
    <w:rsid w:val="00646E0E"/>
    <w:rsid w:val="00646E11"/>
    <w:rsid w:val="00646E2A"/>
    <w:rsid w:val="00646E86"/>
    <w:rsid w:val="00646EE7"/>
    <w:rsid w:val="00646F71"/>
    <w:rsid w:val="00646F88"/>
    <w:rsid w:val="00646FA3"/>
    <w:rsid w:val="00646FD2"/>
    <w:rsid w:val="00646FEF"/>
    <w:rsid w:val="00647001"/>
    <w:rsid w:val="00647043"/>
    <w:rsid w:val="006472FB"/>
    <w:rsid w:val="00647347"/>
    <w:rsid w:val="0064735E"/>
    <w:rsid w:val="00647383"/>
    <w:rsid w:val="006473AB"/>
    <w:rsid w:val="00647445"/>
    <w:rsid w:val="006474DE"/>
    <w:rsid w:val="00647500"/>
    <w:rsid w:val="00647594"/>
    <w:rsid w:val="006475D8"/>
    <w:rsid w:val="0064760E"/>
    <w:rsid w:val="006476EF"/>
    <w:rsid w:val="0064772E"/>
    <w:rsid w:val="00647734"/>
    <w:rsid w:val="006477F8"/>
    <w:rsid w:val="00647879"/>
    <w:rsid w:val="00647952"/>
    <w:rsid w:val="0064795B"/>
    <w:rsid w:val="00647AEA"/>
    <w:rsid w:val="00647B2F"/>
    <w:rsid w:val="00647B44"/>
    <w:rsid w:val="00647B4F"/>
    <w:rsid w:val="00647B59"/>
    <w:rsid w:val="00647B77"/>
    <w:rsid w:val="00647BBF"/>
    <w:rsid w:val="00647C00"/>
    <w:rsid w:val="00647CD0"/>
    <w:rsid w:val="00647D1C"/>
    <w:rsid w:val="00647D28"/>
    <w:rsid w:val="00647D66"/>
    <w:rsid w:val="00647DC8"/>
    <w:rsid w:val="00647DCF"/>
    <w:rsid w:val="00647E6A"/>
    <w:rsid w:val="00647F64"/>
    <w:rsid w:val="00647F94"/>
    <w:rsid w:val="0065006F"/>
    <w:rsid w:val="0065007B"/>
    <w:rsid w:val="00650083"/>
    <w:rsid w:val="006500BE"/>
    <w:rsid w:val="006500C7"/>
    <w:rsid w:val="006500CF"/>
    <w:rsid w:val="006500D0"/>
    <w:rsid w:val="0065010B"/>
    <w:rsid w:val="006501B2"/>
    <w:rsid w:val="006501E7"/>
    <w:rsid w:val="00650219"/>
    <w:rsid w:val="0065023A"/>
    <w:rsid w:val="00650251"/>
    <w:rsid w:val="00650268"/>
    <w:rsid w:val="00650288"/>
    <w:rsid w:val="00650292"/>
    <w:rsid w:val="006503C6"/>
    <w:rsid w:val="006503FA"/>
    <w:rsid w:val="00650469"/>
    <w:rsid w:val="006504F5"/>
    <w:rsid w:val="006505C5"/>
    <w:rsid w:val="0065069C"/>
    <w:rsid w:val="006506A3"/>
    <w:rsid w:val="00650728"/>
    <w:rsid w:val="0065073F"/>
    <w:rsid w:val="00650756"/>
    <w:rsid w:val="0065076B"/>
    <w:rsid w:val="0065079F"/>
    <w:rsid w:val="006507DE"/>
    <w:rsid w:val="00650812"/>
    <w:rsid w:val="0065081B"/>
    <w:rsid w:val="0065093D"/>
    <w:rsid w:val="0065096F"/>
    <w:rsid w:val="006509BB"/>
    <w:rsid w:val="006509D6"/>
    <w:rsid w:val="00650AB6"/>
    <w:rsid w:val="00650B0C"/>
    <w:rsid w:val="00650B54"/>
    <w:rsid w:val="00650B71"/>
    <w:rsid w:val="00650B8C"/>
    <w:rsid w:val="00650C56"/>
    <w:rsid w:val="00650CDD"/>
    <w:rsid w:val="00650D21"/>
    <w:rsid w:val="00650D66"/>
    <w:rsid w:val="00650D71"/>
    <w:rsid w:val="00650E71"/>
    <w:rsid w:val="00650E90"/>
    <w:rsid w:val="00650ED2"/>
    <w:rsid w:val="00650FAE"/>
    <w:rsid w:val="006510F9"/>
    <w:rsid w:val="00651185"/>
    <w:rsid w:val="006511DE"/>
    <w:rsid w:val="0065121B"/>
    <w:rsid w:val="006512B2"/>
    <w:rsid w:val="006512E5"/>
    <w:rsid w:val="00651306"/>
    <w:rsid w:val="00651414"/>
    <w:rsid w:val="00651452"/>
    <w:rsid w:val="00651466"/>
    <w:rsid w:val="006514E6"/>
    <w:rsid w:val="006514F3"/>
    <w:rsid w:val="006514FA"/>
    <w:rsid w:val="00651537"/>
    <w:rsid w:val="00651603"/>
    <w:rsid w:val="0065164A"/>
    <w:rsid w:val="00651715"/>
    <w:rsid w:val="00651809"/>
    <w:rsid w:val="0065183F"/>
    <w:rsid w:val="0065186E"/>
    <w:rsid w:val="00651877"/>
    <w:rsid w:val="00651884"/>
    <w:rsid w:val="006518B0"/>
    <w:rsid w:val="006518C9"/>
    <w:rsid w:val="006518D3"/>
    <w:rsid w:val="00651943"/>
    <w:rsid w:val="00651947"/>
    <w:rsid w:val="006519B4"/>
    <w:rsid w:val="00651A05"/>
    <w:rsid w:val="00651A68"/>
    <w:rsid w:val="00651A78"/>
    <w:rsid w:val="00651A7B"/>
    <w:rsid w:val="00651B28"/>
    <w:rsid w:val="00651B81"/>
    <w:rsid w:val="00651BC3"/>
    <w:rsid w:val="00651BE9"/>
    <w:rsid w:val="00651C30"/>
    <w:rsid w:val="00651C4B"/>
    <w:rsid w:val="00651CBE"/>
    <w:rsid w:val="00651CF2"/>
    <w:rsid w:val="00651D09"/>
    <w:rsid w:val="00651D49"/>
    <w:rsid w:val="00651DB6"/>
    <w:rsid w:val="00651E5E"/>
    <w:rsid w:val="00651E9E"/>
    <w:rsid w:val="00651F52"/>
    <w:rsid w:val="006520B1"/>
    <w:rsid w:val="0065224E"/>
    <w:rsid w:val="00652255"/>
    <w:rsid w:val="0065226A"/>
    <w:rsid w:val="006522B0"/>
    <w:rsid w:val="00652306"/>
    <w:rsid w:val="006523F4"/>
    <w:rsid w:val="006523FD"/>
    <w:rsid w:val="0065243E"/>
    <w:rsid w:val="00652443"/>
    <w:rsid w:val="006524E2"/>
    <w:rsid w:val="00652508"/>
    <w:rsid w:val="006525D2"/>
    <w:rsid w:val="0065261A"/>
    <w:rsid w:val="0065264F"/>
    <w:rsid w:val="00652682"/>
    <w:rsid w:val="006526A0"/>
    <w:rsid w:val="006526C3"/>
    <w:rsid w:val="0065270F"/>
    <w:rsid w:val="00652710"/>
    <w:rsid w:val="00652736"/>
    <w:rsid w:val="00652738"/>
    <w:rsid w:val="006528C4"/>
    <w:rsid w:val="006528D5"/>
    <w:rsid w:val="00652909"/>
    <w:rsid w:val="0065292C"/>
    <w:rsid w:val="00652943"/>
    <w:rsid w:val="00652971"/>
    <w:rsid w:val="006529CC"/>
    <w:rsid w:val="00652AC3"/>
    <w:rsid w:val="00652AE7"/>
    <w:rsid w:val="00652B4E"/>
    <w:rsid w:val="00652B93"/>
    <w:rsid w:val="00652BB5"/>
    <w:rsid w:val="00652BC0"/>
    <w:rsid w:val="00652C26"/>
    <w:rsid w:val="00652C2F"/>
    <w:rsid w:val="00652C47"/>
    <w:rsid w:val="00652CB9"/>
    <w:rsid w:val="00652CBD"/>
    <w:rsid w:val="00652CEF"/>
    <w:rsid w:val="00652DBE"/>
    <w:rsid w:val="00652DC3"/>
    <w:rsid w:val="00652DF6"/>
    <w:rsid w:val="00652EBA"/>
    <w:rsid w:val="00652ED4"/>
    <w:rsid w:val="00652F72"/>
    <w:rsid w:val="00652F8B"/>
    <w:rsid w:val="00652FD5"/>
    <w:rsid w:val="00652FEF"/>
    <w:rsid w:val="00653008"/>
    <w:rsid w:val="0065306E"/>
    <w:rsid w:val="00653082"/>
    <w:rsid w:val="00653083"/>
    <w:rsid w:val="006530C2"/>
    <w:rsid w:val="006530CA"/>
    <w:rsid w:val="006530E3"/>
    <w:rsid w:val="00653123"/>
    <w:rsid w:val="0065326F"/>
    <w:rsid w:val="0065328F"/>
    <w:rsid w:val="00653299"/>
    <w:rsid w:val="006532D9"/>
    <w:rsid w:val="0065338C"/>
    <w:rsid w:val="00653393"/>
    <w:rsid w:val="006533AF"/>
    <w:rsid w:val="006533B0"/>
    <w:rsid w:val="006533C1"/>
    <w:rsid w:val="006533DA"/>
    <w:rsid w:val="00653450"/>
    <w:rsid w:val="00653474"/>
    <w:rsid w:val="00653487"/>
    <w:rsid w:val="006534CC"/>
    <w:rsid w:val="006535AA"/>
    <w:rsid w:val="00653641"/>
    <w:rsid w:val="00653683"/>
    <w:rsid w:val="006536A8"/>
    <w:rsid w:val="006536FE"/>
    <w:rsid w:val="006537EB"/>
    <w:rsid w:val="00653837"/>
    <w:rsid w:val="0065385C"/>
    <w:rsid w:val="00653969"/>
    <w:rsid w:val="006539A7"/>
    <w:rsid w:val="006539E3"/>
    <w:rsid w:val="00653A8B"/>
    <w:rsid w:val="00653AEC"/>
    <w:rsid w:val="00653B85"/>
    <w:rsid w:val="00653C26"/>
    <w:rsid w:val="00653C84"/>
    <w:rsid w:val="00653CA0"/>
    <w:rsid w:val="00653CA8"/>
    <w:rsid w:val="00653CB0"/>
    <w:rsid w:val="00653CEC"/>
    <w:rsid w:val="00653CEE"/>
    <w:rsid w:val="00653E3F"/>
    <w:rsid w:val="00653EA7"/>
    <w:rsid w:val="00653F54"/>
    <w:rsid w:val="00653F92"/>
    <w:rsid w:val="00653FE7"/>
    <w:rsid w:val="0065400F"/>
    <w:rsid w:val="0065404E"/>
    <w:rsid w:val="00654095"/>
    <w:rsid w:val="00654127"/>
    <w:rsid w:val="00654158"/>
    <w:rsid w:val="006541A4"/>
    <w:rsid w:val="00654220"/>
    <w:rsid w:val="0065423D"/>
    <w:rsid w:val="006542C1"/>
    <w:rsid w:val="006542DD"/>
    <w:rsid w:val="006542E5"/>
    <w:rsid w:val="006542F5"/>
    <w:rsid w:val="00654334"/>
    <w:rsid w:val="006543BC"/>
    <w:rsid w:val="006543E9"/>
    <w:rsid w:val="006544A9"/>
    <w:rsid w:val="006544B8"/>
    <w:rsid w:val="006545AD"/>
    <w:rsid w:val="006546B1"/>
    <w:rsid w:val="006546C1"/>
    <w:rsid w:val="0065472F"/>
    <w:rsid w:val="0065476E"/>
    <w:rsid w:val="0065477E"/>
    <w:rsid w:val="00654798"/>
    <w:rsid w:val="006547B1"/>
    <w:rsid w:val="006547B8"/>
    <w:rsid w:val="006547D2"/>
    <w:rsid w:val="0065480B"/>
    <w:rsid w:val="00654827"/>
    <w:rsid w:val="00654845"/>
    <w:rsid w:val="0065485F"/>
    <w:rsid w:val="006548F5"/>
    <w:rsid w:val="00654911"/>
    <w:rsid w:val="0065492E"/>
    <w:rsid w:val="00654967"/>
    <w:rsid w:val="006549CA"/>
    <w:rsid w:val="00654A26"/>
    <w:rsid w:val="00654A34"/>
    <w:rsid w:val="00654A7A"/>
    <w:rsid w:val="00654A81"/>
    <w:rsid w:val="00654ACB"/>
    <w:rsid w:val="00654BE2"/>
    <w:rsid w:val="00654BE8"/>
    <w:rsid w:val="00654CCF"/>
    <w:rsid w:val="00654D0F"/>
    <w:rsid w:val="00654DD1"/>
    <w:rsid w:val="00654E00"/>
    <w:rsid w:val="00654E1C"/>
    <w:rsid w:val="00654E56"/>
    <w:rsid w:val="00654F0B"/>
    <w:rsid w:val="00654F15"/>
    <w:rsid w:val="00654FAE"/>
    <w:rsid w:val="00654FE8"/>
    <w:rsid w:val="00655085"/>
    <w:rsid w:val="006550C7"/>
    <w:rsid w:val="00655103"/>
    <w:rsid w:val="0065511E"/>
    <w:rsid w:val="00655128"/>
    <w:rsid w:val="00655386"/>
    <w:rsid w:val="006553AD"/>
    <w:rsid w:val="006553EE"/>
    <w:rsid w:val="0065540E"/>
    <w:rsid w:val="0065545B"/>
    <w:rsid w:val="006554AA"/>
    <w:rsid w:val="006554BB"/>
    <w:rsid w:val="006554D5"/>
    <w:rsid w:val="006555AA"/>
    <w:rsid w:val="006555CD"/>
    <w:rsid w:val="006555D0"/>
    <w:rsid w:val="00655637"/>
    <w:rsid w:val="00655669"/>
    <w:rsid w:val="006556C4"/>
    <w:rsid w:val="006556D3"/>
    <w:rsid w:val="006557CB"/>
    <w:rsid w:val="006557E4"/>
    <w:rsid w:val="00655829"/>
    <w:rsid w:val="00655830"/>
    <w:rsid w:val="0065589A"/>
    <w:rsid w:val="006558AC"/>
    <w:rsid w:val="006558B1"/>
    <w:rsid w:val="006558B8"/>
    <w:rsid w:val="006558E0"/>
    <w:rsid w:val="0065591D"/>
    <w:rsid w:val="0065592F"/>
    <w:rsid w:val="00655990"/>
    <w:rsid w:val="006559DA"/>
    <w:rsid w:val="006559FE"/>
    <w:rsid w:val="00655A48"/>
    <w:rsid w:val="00655AE7"/>
    <w:rsid w:val="00655B57"/>
    <w:rsid w:val="00655B5A"/>
    <w:rsid w:val="00655B71"/>
    <w:rsid w:val="00655BA9"/>
    <w:rsid w:val="00655C1C"/>
    <w:rsid w:val="00655D2A"/>
    <w:rsid w:val="00655D9E"/>
    <w:rsid w:val="00655D9F"/>
    <w:rsid w:val="00655E36"/>
    <w:rsid w:val="00655F0D"/>
    <w:rsid w:val="00655F7D"/>
    <w:rsid w:val="00655FC7"/>
    <w:rsid w:val="00656036"/>
    <w:rsid w:val="00656063"/>
    <w:rsid w:val="00656097"/>
    <w:rsid w:val="00656182"/>
    <w:rsid w:val="0065618A"/>
    <w:rsid w:val="0065625A"/>
    <w:rsid w:val="006562BD"/>
    <w:rsid w:val="0065632A"/>
    <w:rsid w:val="00656380"/>
    <w:rsid w:val="006563A6"/>
    <w:rsid w:val="006563BD"/>
    <w:rsid w:val="0065641F"/>
    <w:rsid w:val="0065646E"/>
    <w:rsid w:val="006564C1"/>
    <w:rsid w:val="006564EF"/>
    <w:rsid w:val="0065652C"/>
    <w:rsid w:val="00656585"/>
    <w:rsid w:val="00656596"/>
    <w:rsid w:val="0065666C"/>
    <w:rsid w:val="006566C1"/>
    <w:rsid w:val="006566D8"/>
    <w:rsid w:val="006566E5"/>
    <w:rsid w:val="00656731"/>
    <w:rsid w:val="006567BC"/>
    <w:rsid w:val="006567EE"/>
    <w:rsid w:val="00656828"/>
    <w:rsid w:val="00656833"/>
    <w:rsid w:val="006568BD"/>
    <w:rsid w:val="00656971"/>
    <w:rsid w:val="006569B4"/>
    <w:rsid w:val="00656AB7"/>
    <w:rsid w:val="00656B28"/>
    <w:rsid w:val="00656B4A"/>
    <w:rsid w:val="00656B52"/>
    <w:rsid w:val="00656B5A"/>
    <w:rsid w:val="00656CFC"/>
    <w:rsid w:val="00656D38"/>
    <w:rsid w:val="00656DC6"/>
    <w:rsid w:val="00656E27"/>
    <w:rsid w:val="00656E61"/>
    <w:rsid w:val="00656E8E"/>
    <w:rsid w:val="00656EEF"/>
    <w:rsid w:val="00656EF4"/>
    <w:rsid w:val="00656F26"/>
    <w:rsid w:val="00656F2D"/>
    <w:rsid w:val="00656F91"/>
    <w:rsid w:val="00656FDC"/>
    <w:rsid w:val="00656FE7"/>
    <w:rsid w:val="00657039"/>
    <w:rsid w:val="00657056"/>
    <w:rsid w:val="006570EB"/>
    <w:rsid w:val="00657130"/>
    <w:rsid w:val="00657152"/>
    <w:rsid w:val="00657154"/>
    <w:rsid w:val="006571FF"/>
    <w:rsid w:val="0065720B"/>
    <w:rsid w:val="00657255"/>
    <w:rsid w:val="00657297"/>
    <w:rsid w:val="006572B8"/>
    <w:rsid w:val="0065730B"/>
    <w:rsid w:val="0065739C"/>
    <w:rsid w:val="006573AA"/>
    <w:rsid w:val="006573B0"/>
    <w:rsid w:val="0065741F"/>
    <w:rsid w:val="00657420"/>
    <w:rsid w:val="00657459"/>
    <w:rsid w:val="006574F0"/>
    <w:rsid w:val="00657516"/>
    <w:rsid w:val="00657547"/>
    <w:rsid w:val="006575DC"/>
    <w:rsid w:val="006575F3"/>
    <w:rsid w:val="0065763B"/>
    <w:rsid w:val="00657671"/>
    <w:rsid w:val="00657682"/>
    <w:rsid w:val="006577D9"/>
    <w:rsid w:val="00657859"/>
    <w:rsid w:val="00657905"/>
    <w:rsid w:val="0065794D"/>
    <w:rsid w:val="00657954"/>
    <w:rsid w:val="00657989"/>
    <w:rsid w:val="006579F9"/>
    <w:rsid w:val="00657A74"/>
    <w:rsid w:val="00657AB0"/>
    <w:rsid w:val="00657B1B"/>
    <w:rsid w:val="00657BAA"/>
    <w:rsid w:val="00657BC3"/>
    <w:rsid w:val="00657BEA"/>
    <w:rsid w:val="00657CA4"/>
    <w:rsid w:val="00657CEC"/>
    <w:rsid w:val="00657D0C"/>
    <w:rsid w:val="00657D3F"/>
    <w:rsid w:val="00657DAA"/>
    <w:rsid w:val="00657E2D"/>
    <w:rsid w:val="00657E82"/>
    <w:rsid w:val="00657E87"/>
    <w:rsid w:val="00657ED1"/>
    <w:rsid w:val="00657F0A"/>
    <w:rsid w:val="00657F21"/>
    <w:rsid w:val="00657F43"/>
    <w:rsid w:val="00657F9F"/>
    <w:rsid w:val="00657FA5"/>
    <w:rsid w:val="00657FC7"/>
    <w:rsid w:val="00657FC8"/>
    <w:rsid w:val="006600CD"/>
    <w:rsid w:val="00660188"/>
    <w:rsid w:val="006601A0"/>
    <w:rsid w:val="006601BB"/>
    <w:rsid w:val="006601E8"/>
    <w:rsid w:val="0066024C"/>
    <w:rsid w:val="00660253"/>
    <w:rsid w:val="0066036B"/>
    <w:rsid w:val="00660459"/>
    <w:rsid w:val="006604AE"/>
    <w:rsid w:val="00660566"/>
    <w:rsid w:val="006605F2"/>
    <w:rsid w:val="00660645"/>
    <w:rsid w:val="00660670"/>
    <w:rsid w:val="00660671"/>
    <w:rsid w:val="00660681"/>
    <w:rsid w:val="006606A1"/>
    <w:rsid w:val="006606EC"/>
    <w:rsid w:val="00660738"/>
    <w:rsid w:val="006607DB"/>
    <w:rsid w:val="006607EB"/>
    <w:rsid w:val="0066086A"/>
    <w:rsid w:val="006608B9"/>
    <w:rsid w:val="006608F2"/>
    <w:rsid w:val="0066095D"/>
    <w:rsid w:val="00660A23"/>
    <w:rsid w:val="00660A4A"/>
    <w:rsid w:val="00660A59"/>
    <w:rsid w:val="00660A89"/>
    <w:rsid w:val="00660AC6"/>
    <w:rsid w:val="00660B71"/>
    <w:rsid w:val="00660B97"/>
    <w:rsid w:val="00660BB3"/>
    <w:rsid w:val="00660C07"/>
    <w:rsid w:val="00660CC2"/>
    <w:rsid w:val="00660CFD"/>
    <w:rsid w:val="00660DC3"/>
    <w:rsid w:val="00660DF5"/>
    <w:rsid w:val="00660E48"/>
    <w:rsid w:val="00660EB6"/>
    <w:rsid w:val="00660EB9"/>
    <w:rsid w:val="00660EF3"/>
    <w:rsid w:val="00660F33"/>
    <w:rsid w:val="00660F39"/>
    <w:rsid w:val="00660F7F"/>
    <w:rsid w:val="00660FEC"/>
    <w:rsid w:val="0066101A"/>
    <w:rsid w:val="0066104F"/>
    <w:rsid w:val="006610E2"/>
    <w:rsid w:val="006610E5"/>
    <w:rsid w:val="00661149"/>
    <w:rsid w:val="006611D7"/>
    <w:rsid w:val="00661229"/>
    <w:rsid w:val="006613DB"/>
    <w:rsid w:val="00661490"/>
    <w:rsid w:val="00661496"/>
    <w:rsid w:val="006615BD"/>
    <w:rsid w:val="006615C0"/>
    <w:rsid w:val="00661691"/>
    <w:rsid w:val="0066170C"/>
    <w:rsid w:val="00661779"/>
    <w:rsid w:val="006617A8"/>
    <w:rsid w:val="0066180F"/>
    <w:rsid w:val="00661842"/>
    <w:rsid w:val="00661881"/>
    <w:rsid w:val="006618BE"/>
    <w:rsid w:val="006618EB"/>
    <w:rsid w:val="006619B9"/>
    <w:rsid w:val="00661AB7"/>
    <w:rsid w:val="00661B2A"/>
    <w:rsid w:val="00661B3C"/>
    <w:rsid w:val="00661BAD"/>
    <w:rsid w:val="00661BD5"/>
    <w:rsid w:val="00661D2D"/>
    <w:rsid w:val="00661D5A"/>
    <w:rsid w:val="00661D8D"/>
    <w:rsid w:val="00661DBF"/>
    <w:rsid w:val="00661E4D"/>
    <w:rsid w:val="00661E5B"/>
    <w:rsid w:val="00661ED3"/>
    <w:rsid w:val="00661EDE"/>
    <w:rsid w:val="00661F25"/>
    <w:rsid w:val="006620AC"/>
    <w:rsid w:val="00662127"/>
    <w:rsid w:val="00662199"/>
    <w:rsid w:val="0066219A"/>
    <w:rsid w:val="006621B4"/>
    <w:rsid w:val="006622DC"/>
    <w:rsid w:val="006623BB"/>
    <w:rsid w:val="00662441"/>
    <w:rsid w:val="0066244B"/>
    <w:rsid w:val="006624E9"/>
    <w:rsid w:val="006625AB"/>
    <w:rsid w:val="006625B6"/>
    <w:rsid w:val="00662659"/>
    <w:rsid w:val="00662677"/>
    <w:rsid w:val="006626A8"/>
    <w:rsid w:val="00662710"/>
    <w:rsid w:val="0066276C"/>
    <w:rsid w:val="006627B2"/>
    <w:rsid w:val="0066282F"/>
    <w:rsid w:val="00662847"/>
    <w:rsid w:val="00662891"/>
    <w:rsid w:val="006628BD"/>
    <w:rsid w:val="006628F5"/>
    <w:rsid w:val="0066291C"/>
    <w:rsid w:val="00662961"/>
    <w:rsid w:val="006629BB"/>
    <w:rsid w:val="006629DA"/>
    <w:rsid w:val="00662A08"/>
    <w:rsid w:val="00662AA5"/>
    <w:rsid w:val="00662B91"/>
    <w:rsid w:val="00662BC7"/>
    <w:rsid w:val="00662C1E"/>
    <w:rsid w:val="00662C22"/>
    <w:rsid w:val="00662C64"/>
    <w:rsid w:val="00662CAA"/>
    <w:rsid w:val="00662D85"/>
    <w:rsid w:val="00662D8B"/>
    <w:rsid w:val="00662DB7"/>
    <w:rsid w:val="00662E55"/>
    <w:rsid w:val="00662EB1"/>
    <w:rsid w:val="00662EE2"/>
    <w:rsid w:val="00662FC0"/>
    <w:rsid w:val="006630E2"/>
    <w:rsid w:val="0066324F"/>
    <w:rsid w:val="0066327B"/>
    <w:rsid w:val="00663312"/>
    <w:rsid w:val="0066336C"/>
    <w:rsid w:val="0066337C"/>
    <w:rsid w:val="00663395"/>
    <w:rsid w:val="00663396"/>
    <w:rsid w:val="0066342F"/>
    <w:rsid w:val="0066343E"/>
    <w:rsid w:val="00663470"/>
    <w:rsid w:val="00663506"/>
    <w:rsid w:val="00663507"/>
    <w:rsid w:val="00663536"/>
    <w:rsid w:val="00663549"/>
    <w:rsid w:val="0066354F"/>
    <w:rsid w:val="006635B7"/>
    <w:rsid w:val="006635C5"/>
    <w:rsid w:val="0066368A"/>
    <w:rsid w:val="006636F6"/>
    <w:rsid w:val="0066381A"/>
    <w:rsid w:val="00663842"/>
    <w:rsid w:val="006638CA"/>
    <w:rsid w:val="006638E5"/>
    <w:rsid w:val="006639DC"/>
    <w:rsid w:val="00663ABD"/>
    <w:rsid w:val="00663C05"/>
    <w:rsid w:val="00663C07"/>
    <w:rsid w:val="00663C6E"/>
    <w:rsid w:val="00663D28"/>
    <w:rsid w:val="00663D8F"/>
    <w:rsid w:val="00663DEA"/>
    <w:rsid w:val="00663E38"/>
    <w:rsid w:val="00663E3F"/>
    <w:rsid w:val="00663E87"/>
    <w:rsid w:val="00663EA6"/>
    <w:rsid w:val="00663F62"/>
    <w:rsid w:val="00664027"/>
    <w:rsid w:val="0066406A"/>
    <w:rsid w:val="006640A1"/>
    <w:rsid w:val="006640C5"/>
    <w:rsid w:val="006640EE"/>
    <w:rsid w:val="00664101"/>
    <w:rsid w:val="00664179"/>
    <w:rsid w:val="0066419B"/>
    <w:rsid w:val="0066419F"/>
    <w:rsid w:val="0066421A"/>
    <w:rsid w:val="0066421D"/>
    <w:rsid w:val="00664273"/>
    <w:rsid w:val="00664310"/>
    <w:rsid w:val="00664356"/>
    <w:rsid w:val="00664398"/>
    <w:rsid w:val="006643E6"/>
    <w:rsid w:val="00664429"/>
    <w:rsid w:val="00664467"/>
    <w:rsid w:val="0066446D"/>
    <w:rsid w:val="00664518"/>
    <w:rsid w:val="00664557"/>
    <w:rsid w:val="006645C2"/>
    <w:rsid w:val="006645C7"/>
    <w:rsid w:val="0066463D"/>
    <w:rsid w:val="006646B0"/>
    <w:rsid w:val="006646F1"/>
    <w:rsid w:val="006646F5"/>
    <w:rsid w:val="0066471B"/>
    <w:rsid w:val="00664766"/>
    <w:rsid w:val="00664795"/>
    <w:rsid w:val="006647CD"/>
    <w:rsid w:val="00664866"/>
    <w:rsid w:val="0066487B"/>
    <w:rsid w:val="00664880"/>
    <w:rsid w:val="0066488D"/>
    <w:rsid w:val="006648BD"/>
    <w:rsid w:val="00664942"/>
    <w:rsid w:val="006649A5"/>
    <w:rsid w:val="00664A39"/>
    <w:rsid w:val="00664A96"/>
    <w:rsid w:val="00664B9C"/>
    <w:rsid w:val="00664C1B"/>
    <w:rsid w:val="00664C6C"/>
    <w:rsid w:val="00664C89"/>
    <w:rsid w:val="00664CC3"/>
    <w:rsid w:val="00664CCB"/>
    <w:rsid w:val="00664D72"/>
    <w:rsid w:val="00664D80"/>
    <w:rsid w:val="00664DA0"/>
    <w:rsid w:val="00664E14"/>
    <w:rsid w:val="00664E2B"/>
    <w:rsid w:val="00664E4D"/>
    <w:rsid w:val="00664F15"/>
    <w:rsid w:val="00664F54"/>
    <w:rsid w:val="00664FB0"/>
    <w:rsid w:val="00665000"/>
    <w:rsid w:val="0066500C"/>
    <w:rsid w:val="00665011"/>
    <w:rsid w:val="006650DD"/>
    <w:rsid w:val="00665109"/>
    <w:rsid w:val="0066517B"/>
    <w:rsid w:val="00665201"/>
    <w:rsid w:val="00665295"/>
    <w:rsid w:val="006652BA"/>
    <w:rsid w:val="00665307"/>
    <w:rsid w:val="00665369"/>
    <w:rsid w:val="00665382"/>
    <w:rsid w:val="006653BA"/>
    <w:rsid w:val="006653D9"/>
    <w:rsid w:val="00665464"/>
    <w:rsid w:val="0066547E"/>
    <w:rsid w:val="00665481"/>
    <w:rsid w:val="00665490"/>
    <w:rsid w:val="006654D0"/>
    <w:rsid w:val="00665549"/>
    <w:rsid w:val="006655B1"/>
    <w:rsid w:val="00665606"/>
    <w:rsid w:val="00665686"/>
    <w:rsid w:val="006656AE"/>
    <w:rsid w:val="006656BB"/>
    <w:rsid w:val="00665703"/>
    <w:rsid w:val="00665720"/>
    <w:rsid w:val="0066578D"/>
    <w:rsid w:val="006657A2"/>
    <w:rsid w:val="00665839"/>
    <w:rsid w:val="00665857"/>
    <w:rsid w:val="00665898"/>
    <w:rsid w:val="0066589B"/>
    <w:rsid w:val="006658DA"/>
    <w:rsid w:val="00665951"/>
    <w:rsid w:val="0066595D"/>
    <w:rsid w:val="0066599A"/>
    <w:rsid w:val="006659DD"/>
    <w:rsid w:val="006659F3"/>
    <w:rsid w:val="00665AA8"/>
    <w:rsid w:val="00665AAE"/>
    <w:rsid w:val="00665AAF"/>
    <w:rsid w:val="00665ABA"/>
    <w:rsid w:val="00665AD5"/>
    <w:rsid w:val="00665AD8"/>
    <w:rsid w:val="00665AF4"/>
    <w:rsid w:val="00665B07"/>
    <w:rsid w:val="00665B2C"/>
    <w:rsid w:val="00665C2B"/>
    <w:rsid w:val="00665C96"/>
    <w:rsid w:val="00665CB4"/>
    <w:rsid w:val="00665D8E"/>
    <w:rsid w:val="00665E2B"/>
    <w:rsid w:val="00665E42"/>
    <w:rsid w:val="00665E55"/>
    <w:rsid w:val="00665E5A"/>
    <w:rsid w:val="00665E5E"/>
    <w:rsid w:val="00665EE6"/>
    <w:rsid w:val="00665EE9"/>
    <w:rsid w:val="00665EF6"/>
    <w:rsid w:val="00665F06"/>
    <w:rsid w:val="00665F8D"/>
    <w:rsid w:val="00666115"/>
    <w:rsid w:val="0066615F"/>
    <w:rsid w:val="00666190"/>
    <w:rsid w:val="006661A9"/>
    <w:rsid w:val="006661AC"/>
    <w:rsid w:val="006661AD"/>
    <w:rsid w:val="00666225"/>
    <w:rsid w:val="00666270"/>
    <w:rsid w:val="0066627E"/>
    <w:rsid w:val="006662A2"/>
    <w:rsid w:val="006662A9"/>
    <w:rsid w:val="0066630A"/>
    <w:rsid w:val="006663CB"/>
    <w:rsid w:val="0066649E"/>
    <w:rsid w:val="006664D1"/>
    <w:rsid w:val="006664FE"/>
    <w:rsid w:val="0066653D"/>
    <w:rsid w:val="0066656C"/>
    <w:rsid w:val="00666572"/>
    <w:rsid w:val="0066659F"/>
    <w:rsid w:val="006665BA"/>
    <w:rsid w:val="0066660C"/>
    <w:rsid w:val="00666637"/>
    <w:rsid w:val="0066664C"/>
    <w:rsid w:val="00666721"/>
    <w:rsid w:val="00666779"/>
    <w:rsid w:val="006667C6"/>
    <w:rsid w:val="006667CF"/>
    <w:rsid w:val="00666859"/>
    <w:rsid w:val="006668C7"/>
    <w:rsid w:val="006668D5"/>
    <w:rsid w:val="006668E8"/>
    <w:rsid w:val="00666906"/>
    <w:rsid w:val="0066691B"/>
    <w:rsid w:val="00666A69"/>
    <w:rsid w:val="00666A78"/>
    <w:rsid w:val="00666AB1"/>
    <w:rsid w:val="00666AB4"/>
    <w:rsid w:val="00666ACF"/>
    <w:rsid w:val="00666AD7"/>
    <w:rsid w:val="00666AFC"/>
    <w:rsid w:val="00666B8A"/>
    <w:rsid w:val="00666BA5"/>
    <w:rsid w:val="00666C8E"/>
    <w:rsid w:val="00666CA4"/>
    <w:rsid w:val="00666CB9"/>
    <w:rsid w:val="00666DA0"/>
    <w:rsid w:val="00666E03"/>
    <w:rsid w:val="00666E0C"/>
    <w:rsid w:val="00666E41"/>
    <w:rsid w:val="00666E45"/>
    <w:rsid w:val="00666E68"/>
    <w:rsid w:val="00666EA6"/>
    <w:rsid w:val="00666F24"/>
    <w:rsid w:val="00666F59"/>
    <w:rsid w:val="00666F9F"/>
    <w:rsid w:val="0066700D"/>
    <w:rsid w:val="00667027"/>
    <w:rsid w:val="006670BA"/>
    <w:rsid w:val="006670C5"/>
    <w:rsid w:val="006671B7"/>
    <w:rsid w:val="0066726E"/>
    <w:rsid w:val="006672ED"/>
    <w:rsid w:val="006672FE"/>
    <w:rsid w:val="0066733F"/>
    <w:rsid w:val="00667423"/>
    <w:rsid w:val="0066744A"/>
    <w:rsid w:val="0066744E"/>
    <w:rsid w:val="0066746D"/>
    <w:rsid w:val="0066748B"/>
    <w:rsid w:val="006674CA"/>
    <w:rsid w:val="00667546"/>
    <w:rsid w:val="006675DE"/>
    <w:rsid w:val="006675E3"/>
    <w:rsid w:val="0066760A"/>
    <w:rsid w:val="006676EB"/>
    <w:rsid w:val="0066771B"/>
    <w:rsid w:val="0066775A"/>
    <w:rsid w:val="006677E1"/>
    <w:rsid w:val="006677F5"/>
    <w:rsid w:val="0066781C"/>
    <w:rsid w:val="00667876"/>
    <w:rsid w:val="006678CB"/>
    <w:rsid w:val="006678EE"/>
    <w:rsid w:val="00667908"/>
    <w:rsid w:val="0066791F"/>
    <w:rsid w:val="00667A0B"/>
    <w:rsid w:val="00667A66"/>
    <w:rsid w:val="00667A76"/>
    <w:rsid w:val="00667AD6"/>
    <w:rsid w:val="00667AF9"/>
    <w:rsid w:val="00667B99"/>
    <w:rsid w:val="00667C16"/>
    <w:rsid w:val="00667DC6"/>
    <w:rsid w:val="00667DEC"/>
    <w:rsid w:val="00667DED"/>
    <w:rsid w:val="00667E97"/>
    <w:rsid w:val="00667EAA"/>
    <w:rsid w:val="00667EB0"/>
    <w:rsid w:val="00667EE1"/>
    <w:rsid w:val="00667F00"/>
    <w:rsid w:val="00667F1B"/>
    <w:rsid w:val="00667F1F"/>
    <w:rsid w:val="00667F49"/>
    <w:rsid w:val="00667F7B"/>
    <w:rsid w:val="00667F88"/>
    <w:rsid w:val="00667F98"/>
    <w:rsid w:val="00667FDE"/>
    <w:rsid w:val="00667FED"/>
    <w:rsid w:val="00670023"/>
    <w:rsid w:val="00670038"/>
    <w:rsid w:val="0067003B"/>
    <w:rsid w:val="00670068"/>
    <w:rsid w:val="00670082"/>
    <w:rsid w:val="006700B8"/>
    <w:rsid w:val="006700C5"/>
    <w:rsid w:val="00670110"/>
    <w:rsid w:val="00670154"/>
    <w:rsid w:val="00670170"/>
    <w:rsid w:val="00670196"/>
    <w:rsid w:val="006701B6"/>
    <w:rsid w:val="006701D6"/>
    <w:rsid w:val="00670217"/>
    <w:rsid w:val="00670222"/>
    <w:rsid w:val="00670261"/>
    <w:rsid w:val="006702BE"/>
    <w:rsid w:val="0067031B"/>
    <w:rsid w:val="00670331"/>
    <w:rsid w:val="00670347"/>
    <w:rsid w:val="0067036C"/>
    <w:rsid w:val="006703AA"/>
    <w:rsid w:val="00670484"/>
    <w:rsid w:val="00670542"/>
    <w:rsid w:val="00670560"/>
    <w:rsid w:val="00670591"/>
    <w:rsid w:val="006705A7"/>
    <w:rsid w:val="006705C3"/>
    <w:rsid w:val="006705C6"/>
    <w:rsid w:val="0067064F"/>
    <w:rsid w:val="0067073F"/>
    <w:rsid w:val="0067082D"/>
    <w:rsid w:val="006708CB"/>
    <w:rsid w:val="0067096D"/>
    <w:rsid w:val="006709BB"/>
    <w:rsid w:val="006709D7"/>
    <w:rsid w:val="006709EB"/>
    <w:rsid w:val="00670A03"/>
    <w:rsid w:val="00670A17"/>
    <w:rsid w:val="00670A56"/>
    <w:rsid w:val="00670A8F"/>
    <w:rsid w:val="00670AB2"/>
    <w:rsid w:val="00670AC3"/>
    <w:rsid w:val="00670BC7"/>
    <w:rsid w:val="00670BD7"/>
    <w:rsid w:val="00670BEE"/>
    <w:rsid w:val="00670BFA"/>
    <w:rsid w:val="00670C4F"/>
    <w:rsid w:val="00670C66"/>
    <w:rsid w:val="00670CD9"/>
    <w:rsid w:val="00670D0F"/>
    <w:rsid w:val="00670D4F"/>
    <w:rsid w:val="00670D56"/>
    <w:rsid w:val="00670D59"/>
    <w:rsid w:val="00670D87"/>
    <w:rsid w:val="00670E0E"/>
    <w:rsid w:val="00670E1E"/>
    <w:rsid w:val="00670E8A"/>
    <w:rsid w:val="00670E8F"/>
    <w:rsid w:val="00670EBD"/>
    <w:rsid w:val="00670FD6"/>
    <w:rsid w:val="00671006"/>
    <w:rsid w:val="00671012"/>
    <w:rsid w:val="00671050"/>
    <w:rsid w:val="006710B9"/>
    <w:rsid w:val="006710D6"/>
    <w:rsid w:val="00671104"/>
    <w:rsid w:val="00671143"/>
    <w:rsid w:val="00671190"/>
    <w:rsid w:val="006711AA"/>
    <w:rsid w:val="0067121D"/>
    <w:rsid w:val="00671236"/>
    <w:rsid w:val="006712AF"/>
    <w:rsid w:val="006712FD"/>
    <w:rsid w:val="006713C1"/>
    <w:rsid w:val="006713CF"/>
    <w:rsid w:val="0067141D"/>
    <w:rsid w:val="00671434"/>
    <w:rsid w:val="0067144B"/>
    <w:rsid w:val="00671538"/>
    <w:rsid w:val="00671652"/>
    <w:rsid w:val="006716AA"/>
    <w:rsid w:val="00671710"/>
    <w:rsid w:val="00671742"/>
    <w:rsid w:val="006717B1"/>
    <w:rsid w:val="006717FE"/>
    <w:rsid w:val="00671836"/>
    <w:rsid w:val="00671903"/>
    <w:rsid w:val="0067191C"/>
    <w:rsid w:val="006719EF"/>
    <w:rsid w:val="00671B23"/>
    <w:rsid w:val="00671B8E"/>
    <w:rsid w:val="00671BDF"/>
    <w:rsid w:val="00671BE0"/>
    <w:rsid w:val="00671CBA"/>
    <w:rsid w:val="00671DCB"/>
    <w:rsid w:val="00671DDC"/>
    <w:rsid w:val="00671E93"/>
    <w:rsid w:val="00671F06"/>
    <w:rsid w:val="00671F41"/>
    <w:rsid w:val="00671F57"/>
    <w:rsid w:val="00671FB5"/>
    <w:rsid w:val="00672014"/>
    <w:rsid w:val="00672095"/>
    <w:rsid w:val="006720D3"/>
    <w:rsid w:val="006721A0"/>
    <w:rsid w:val="00672212"/>
    <w:rsid w:val="00672297"/>
    <w:rsid w:val="00672323"/>
    <w:rsid w:val="00672346"/>
    <w:rsid w:val="00672364"/>
    <w:rsid w:val="00672376"/>
    <w:rsid w:val="00672383"/>
    <w:rsid w:val="00672404"/>
    <w:rsid w:val="00672428"/>
    <w:rsid w:val="006724BF"/>
    <w:rsid w:val="006724E9"/>
    <w:rsid w:val="00672538"/>
    <w:rsid w:val="0067255B"/>
    <w:rsid w:val="0067257C"/>
    <w:rsid w:val="0067257E"/>
    <w:rsid w:val="0067259E"/>
    <w:rsid w:val="006725F2"/>
    <w:rsid w:val="00672706"/>
    <w:rsid w:val="0067276D"/>
    <w:rsid w:val="00672770"/>
    <w:rsid w:val="006727BD"/>
    <w:rsid w:val="006727C1"/>
    <w:rsid w:val="006727F3"/>
    <w:rsid w:val="00672898"/>
    <w:rsid w:val="006728A3"/>
    <w:rsid w:val="006728C3"/>
    <w:rsid w:val="00672950"/>
    <w:rsid w:val="0067295B"/>
    <w:rsid w:val="0067298F"/>
    <w:rsid w:val="006729EA"/>
    <w:rsid w:val="00672A66"/>
    <w:rsid w:val="00672A89"/>
    <w:rsid w:val="00672B19"/>
    <w:rsid w:val="00672B37"/>
    <w:rsid w:val="00672B48"/>
    <w:rsid w:val="00672BD2"/>
    <w:rsid w:val="00672BF0"/>
    <w:rsid w:val="00672CDF"/>
    <w:rsid w:val="00672D1B"/>
    <w:rsid w:val="00672D51"/>
    <w:rsid w:val="00672D5C"/>
    <w:rsid w:val="00672E7D"/>
    <w:rsid w:val="00672E80"/>
    <w:rsid w:val="00672ECE"/>
    <w:rsid w:val="00672EFF"/>
    <w:rsid w:val="00672F13"/>
    <w:rsid w:val="00672F91"/>
    <w:rsid w:val="00672FC0"/>
    <w:rsid w:val="00672FC3"/>
    <w:rsid w:val="00673005"/>
    <w:rsid w:val="0067302F"/>
    <w:rsid w:val="00673085"/>
    <w:rsid w:val="006730C0"/>
    <w:rsid w:val="00673108"/>
    <w:rsid w:val="0067310A"/>
    <w:rsid w:val="0067311B"/>
    <w:rsid w:val="00673127"/>
    <w:rsid w:val="006732DA"/>
    <w:rsid w:val="006732E0"/>
    <w:rsid w:val="0067341F"/>
    <w:rsid w:val="00673429"/>
    <w:rsid w:val="00673440"/>
    <w:rsid w:val="00673448"/>
    <w:rsid w:val="00673470"/>
    <w:rsid w:val="006734E0"/>
    <w:rsid w:val="00673597"/>
    <w:rsid w:val="006735B9"/>
    <w:rsid w:val="006735DA"/>
    <w:rsid w:val="0067369C"/>
    <w:rsid w:val="006736AC"/>
    <w:rsid w:val="006736EA"/>
    <w:rsid w:val="00673792"/>
    <w:rsid w:val="006737D1"/>
    <w:rsid w:val="006737EA"/>
    <w:rsid w:val="006738C1"/>
    <w:rsid w:val="0067394F"/>
    <w:rsid w:val="00673973"/>
    <w:rsid w:val="00673A3B"/>
    <w:rsid w:val="00673A74"/>
    <w:rsid w:val="00673A9A"/>
    <w:rsid w:val="00673B2C"/>
    <w:rsid w:val="00673B44"/>
    <w:rsid w:val="00673B5B"/>
    <w:rsid w:val="00673B66"/>
    <w:rsid w:val="00673B7D"/>
    <w:rsid w:val="00673B97"/>
    <w:rsid w:val="00673BDF"/>
    <w:rsid w:val="00673D06"/>
    <w:rsid w:val="00673D5C"/>
    <w:rsid w:val="00673D69"/>
    <w:rsid w:val="00673D6B"/>
    <w:rsid w:val="00673D89"/>
    <w:rsid w:val="00673D90"/>
    <w:rsid w:val="00673D91"/>
    <w:rsid w:val="00673DEA"/>
    <w:rsid w:val="00673DEF"/>
    <w:rsid w:val="00673E6B"/>
    <w:rsid w:val="00673E7F"/>
    <w:rsid w:val="006740DD"/>
    <w:rsid w:val="00674167"/>
    <w:rsid w:val="006741D8"/>
    <w:rsid w:val="006741FE"/>
    <w:rsid w:val="00674234"/>
    <w:rsid w:val="00674348"/>
    <w:rsid w:val="0067434B"/>
    <w:rsid w:val="006743AB"/>
    <w:rsid w:val="0067443D"/>
    <w:rsid w:val="006744A1"/>
    <w:rsid w:val="006744FD"/>
    <w:rsid w:val="00674509"/>
    <w:rsid w:val="0067452A"/>
    <w:rsid w:val="00674558"/>
    <w:rsid w:val="006745DC"/>
    <w:rsid w:val="006746DE"/>
    <w:rsid w:val="00674789"/>
    <w:rsid w:val="0067480D"/>
    <w:rsid w:val="006748FA"/>
    <w:rsid w:val="00674974"/>
    <w:rsid w:val="006749AE"/>
    <w:rsid w:val="006749B4"/>
    <w:rsid w:val="006749D7"/>
    <w:rsid w:val="006749FC"/>
    <w:rsid w:val="00674AA3"/>
    <w:rsid w:val="00674BAD"/>
    <w:rsid w:val="00674BB3"/>
    <w:rsid w:val="00674BDC"/>
    <w:rsid w:val="00674C03"/>
    <w:rsid w:val="00674C2D"/>
    <w:rsid w:val="00674C4C"/>
    <w:rsid w:val="00674CE1"/>
    <w:rsid w:val="00674D27"/>
    <w:rsid w:val="00674D4F"/>
    <w:rsid w:val="00674DBD"/>
    <w:rsid w:val="00674DDB"/>
    <w:rsid w:val="00674F13"/>
    <w:rsid w:val="00674FDD"/>
    <w:rsid w:val="0067505D"/>
    <w:rsid w:val="006750F2"/>
    <w:rsid w:val="006751E0"/>
    <w:rsid w:val="006752CB"/>
    <w:rsid w:val="00675339"/>
    <w:rsid w:val="0067538D"/>
    <w:rsid w:val="00675439"/>
    <w:rsid w:val="0067545B"/>
    <w:rsid w:val="0067550B"/>
    <w:rsid w:val="0067553F"/>
    <w:rsid w:val="0067554C"/>
    <w:rsid w:val="006755A5"/>
    <w:rsid w:val="00675643"/>
    <w:rsid w:val="0067564D"/>
    <w:rsid w:val="00675692"/>
    <w:rsid w:val="006756E6"/>
    <w:rsid w:val="0067571E"/>
    <w:rsid w:val="00675745"/>
    <w:rsid w:val="006757E0"/>
    <w:rsid w:val="006757E1"/>
    <w:rsid w:val="006757F9"/>
    <w:rsid w:val="00675840"/>
    <w:rsid w:val="0067584D"/>
    <w:rsid w:val="006758EF"/>
    <w:rsid w:val="006758FF"/>
    <w:rsid w:val="00675901"/>
    <w:rsid w:val="00675933"/>
    <w:rsid w:val="00675939"/>
    <w:rsid w:val="0067596F"/>
    <w:rsid w:val="0067597F"/>
    <w:rsid w:val="006759CA"/>
    <w:rsid w:val="00675AA5"/>
    <w:rsid w:val="00675AC0"/>
    <w:rsid w:val="00675B31"/>
    <w:rsid w:val="00675B49"/>
    <w:rsid w:val="00675B54"/>
    <w:rsid w:val="00675BF4"/>
    <w:rsid w:val="00675C1E"/>
    <w:rsid w:val="00675C1F"/>
    <w:rsid w:val="00675C96"/>
    <w:rsid w:val="00675CC8"/>
    <w:rsid w:val="00675CFA"/>
    <w:rsid w:val="00675E11"/>
    <w:rsid w:val="00675E62"/>
    <w:rsid w:val="00675E9C"/>
    <w:rsid w:val="00675FC3"/>
    <w:rsid w:val="00675FD7"/>
    <w:rsid w:val="006761B7"/>
    <w:rsid w:val="00676201"/>
    <w:rsid w:val="0067621D"/>
    <w:rsid w:val="0067623C"/>
    <w:rsid w:val="0067625E"/>
    <w:rsid w:val="00676277"/>
    <w:rsid w:val="00676343"/>
    <w:rsid w:val="0067637E"/>
    <w:rsid w:val="006763A5"/>
    <w:rsid w:val="006763F7"/>
    <w:rsid w:val="0067647E"/>
    <w:rsid w:val="006764EE"/>
    <w:rsid w:val="00676522"/>
    <w:rsid w:val="0067652A"/>
    <w:rsid w:val="0067652E"/>
    <w:rsid w:val="0067652F"/>
    <w:rsid w:val="00676558"/>
    <w:rsid w:val="00676569"/>
    <w:rsid w:val="00676577"/>
    <w:rsid w:val="00676588"/>
    <w:rsid w:val="006766FF"/>
    <w:rsid w:val="00676770"/>
    <w:rsid w:val="00676795"/>
    <w:rsid w:val="0067683B"/>
    <w:rsid w:val="0067683F"/>
    <w:rsid w:val="0067687A"/>
    <w:rsid w:val="006768DB"/>
    <w:rsid w:val="00676989"/>
    <w:rsid w:val="006769E3"/>
    <w:rsid w:val="006769FA"/>
    <w:rsid w:val="00676A36"/>
    <w:rsid w:val="00676A97"/>
    <w:rsid w:val="00676AC4"/>
    <w:rsid w:val="00676B3F"/>
    <w:rsid w:val="00676C2A"/>
    <w:rsid w:val="00676CE5"/>
    <w:rsid w:val="00676CF9"/>
    <w:rsid w:val="00676CFF"/>
    <w:rsid w:val="00676D0E"/>
    <w:rsid w:val="00676D13"/>
    <w:rsid w:val="00676D32"/>
    <w:rsid w:val="00676D3B"/>
    <w:rsid w:val="00676E08"/>
    <w:rsid w:val="00676E5C"/>
    <w:rsid w:val="00676E87"/>
    <w:rsid w:val="00676EBA"/>
    <w:rsid w:val="00676F24"/>
    <w:rsid w:val="00676F25"/>
    <w:rsid w:val="00676F63"/>
    <w:rsid w:val="00676F95"/>
    <w:rsid w:val="00677102"/>
    <w:rsid w:val="0067711B"/>
    <w:rsid w:val="00677128"/>
    <w:rsid w:val="00677134"/>
    <w:rsid w:val="006771A0"/>
    <w:rsid w:val="006771C1"/>
    <w:rsid w:val="006771D5"/>
    <w:rsid w:val="006771ED"/>
    <w:rsid w:val="0067729B"/>
    <w:rsid w:val="006772BE"/>
    <w:rsid w:val="00677305"/>
    <w:rsid w:val="0067730F"/>
    <w:rsid w:val="0067734A"/>
    <w:rsid w:val="00677375"/>
    <w:rsid w:val="006773F0"/>
    <w:rsid w:val="006773F2"/>
    <w:rsid w:val="006773F5"/>
    <w:rsid w:val="0067749A"/>
    <w:rsid w:val="006774BB"/>
    <w:rsid w:val="006774E7"/>
    <w:rsid w:val="00677578"/>
    <w:rsid w:val="006775C2"/>
    <w:rsid w:val="006775CF"/>
    <w:rsid w:val="00677600"/>
    <w:rsid w:val="00677621"/>
    <w:rsid w:val="0067766B"/>
    <w:rsid w:val="0067771B"/>
    <w:rsid w:val="0067776E"/>
    <w:rsid w:val="00677782"/>
    <w:rsid w:val="00677868"/>
    <w:rsid w:val="0067787A"/>
    <w:rsid w:val="006778C0"/>
    <w:rsid w:val="00677922"/>
    <w:rsid w:val="00677955"/>
    <w:rsid w:val="006779B6"/>
    <w:rsid w:val="00677A1E"/>
    <w:rsid w:val="00677A33"/>
    <w:rsid w:val="00677A4C"/>
    <w:rsid w:val="00677A5B"/>
    <w:rsid w:val="00677A73"/>
    <w:rsid w:val="00677A92"/>
    <w:rsid w:val="00677B08"/>
    <w:rsid w:val="00677BB9"/>
    <w:rsid w:val="00677BCE"/>
    <w:rsid w:val="00677C0E"/>
    <w:rsid w:val="00677C11"/>
    <w:rsid w:val="00677C2C"/>
    <w:rsid w:val="00677DF1"/>
    <w:rsid w:val="00677E32"/>
    <w:rsid w:val="00677F15"/>
    <w:rsid w:val="00677F9F"/>
    <w:rsid w:val="00677FF0"/>
    <w:rsid w:val="00680050"/>
    <w:rsid w:val="0068005F"/>
    <w:rsid w:val="0068006E"/>
    <w:rsid w:val="00680094"/>
    <w:rsid w:val="006800C6"/>
    <w:rsid w:val="006800CC"/>
    <w:rsid w:val="00680174"/>
    <w:rsid w:val="006802A4"/>
    <w:rsid w:val="006802A8"/>
    <w:rsid w:val="006802B1"/>
    <w:rsid w:val="00680331"/>
    <w:rsid w:val="00680387"/>
    <w:rsid w:val="00680401"/>
    <w:rsid w:val="006804C3"/>
    <w:rsid w:val="006804FB"/>
    <w:rsid w:val="0068051B"/>
    <w:rsid w:val="006805A6"/>
    <w:rsid w:val="00680657"/>
    <w:rsid w:val="00680685"/>
    <w:rsid w:val="00680719"/>
    <w:rsid w:val="006808CA"/>
    <w:rsid w:val="006808D0"/>
    <w:rsid w:val="006808FD"/>
    <w:rsid w:val="0068098A"/>
    <w:rsid w:val="006809DC"/>
    <w:rsid w:val="006809FD"/>
    <w:rsid w:val="00680A4B"/>
    <w:rsid w:val="00680B04"/>
    <w:rsid w:val="00680BB6"/>
    <w:rsid w:val="00680C0F"/>
    <w:rsid w:val="00680C5D"/>
    <w:rsid w:val="00680CA2"/>
    <w:rsid w:val="00680CAD"/>
    <w:rsid w:val="00680CE6"/>
    <w:rsid w:val="00680DAA"/>
    <w:rsid w:val="00680DB8"/>
    <w:rsid w:val="00680DCB"/>
    <w:rsid w:val="00680DD6"/>
    <w:rsid w:val="00680E70"/>
    <w:rsid w:val="00680ECD"/>
    <w:rsid w:val="00680FFE"/>
    <w:rsid w:val="00681034"/>
    <w:rsid w:val="006810AD"/>
    <w:rsid w:val="006810F9"/>
    <w:rsid w:val="006811CF"/>
    <w:rsid w:val="0068128C"/>
    <w:rsid w:val="00681307"/>
    <w:rsid w:val="00681309"/>
    <w:rsid w:val="0068134F"/>
    <w:rsid w:val="006813C2"/>
    <w:rsid w:val="006813CF"/>
    <w:rsid w:val="006813D2"/>
    <w:rsid w:val="00681457"/>
    <w:rsid w:val="00681467"/>
    <w:rsid w:val="006814D2"/>
    <w:rsid w:val="00681580"/>
    <w:rsid w:val="006815BF"/>
    <w:rsid w:val="006815D8"/>
    <w:rsid w:val="00681603"/>
    <w:rsid w:val="00681643"/>
    <w:rsid w:val="00681673"/>
    <w:rsid w:val="00681675"/>
    <w:rsid w:val="00681686"/>
    <w:rsid w:val="00681725"/>
    <w:rsid w:val="00681784"/>
    <w:rsid w:val="006817B4"/>
    <w:rsid w:val="006817B6"/>
    <w:rsid w:val="00681823"/>
    <w:rsid w:val="00681972"/>
    <w:rsid w:val="00681A05"/>
    <w:rsid w:val="00681A94"/>
    <w:rsid w:val="00681B2B"/>
    <w:rsid w:val="00681B53"/>
    <w:rsid w:val="00681B74"/>
    <w:rsid w:val="00681C3A"/>
    <w:rsid w:val="00681C85"/>
    <w:rsid w:val="00681C8C"/>
    <w:rsid w:val="00681CFA"/>
    <w:rsid w:val="00681D27"/>
    <w:rsid w:val="00681D31"/>
    <w:rsid w:val="00681D9D"/>
    <w:rsid w:val="00681E31"/>
    <w:rsid w:val="00681E3B"/>
    <w:rsid w:val="00681E67"/>
    <w:rsid w:val="00681E9F"/>
    <w:rsid w:val="00681EE1"/>
    <w:rsid w:val="00681EF0"/>
    <w:rsid w:val="00681F63"/>
    <w:rsid w:val="00681FD6"/>
    <w:rsid w:val="00682095"/>
    <w:rsid w:val="006820C8"/>
    <w:rsid w:val="00682167"/>
    <w:rsid w:val="0068217D"/>
    <w:rsid w:val="00682251"/>
    <w:rsid w:val="006822B9"/>
    <w:rsid w:val="00682322"/>
    <w:rsid w:val="00682328"/>
    <w:rsid w:val="00682333"/>
    <w:rsid w:val="00682335"/>
    <w:rsid w:val="006823CA"/>
    <w:rsid w:val="00682403"/>
    <w:rsid w:val="00682406"/>
    <w:rsid w:val="00682423"/>
    <w:rsid w:val="00682481"/>
    <w:rsid w:val="00682569"/>
    <w:rsid w:val="00682592"/>
    <w:rsid w:val="006825C4"/>
    <w:rsid w:val="00682620"/>
    <w:rsid w:val="00682652"/>
    <w:rsid w:val="00682684"/>
    <w:rsid w:val="0068269B"/>
    <w:rsid w:val="0068278D"/>
    <w:rsid w:val="0068279B"/>
    <w:rsid w:val="006827E2"/>
    <w:rsid w:val="006828BF"/>
    <w:rsid w:val="006828C7"/>
    <w:rsid w:val="006828CE"/>
    <w:rsid w:val="006828D4"/>
    <w:rsid w:val="006828FB"/>
    <w:rsid w:val="00682901"/>
    <w:rsid w:val="0068292E"/>
    <w:rsid w:val="0068297F"/>
    <w:rsid w:val="00682994"/>
    <w:rsid w:val="00682A9F"/>
    <w:rsid w:val="00682AA6"/>
    <w:rsid w:val="00682AC6"/>
    <w:rsid w:val="00682AEA"/>
    <w:rsid w:val="00682B2B"/>
    <w:rsid w:val="00682B30"/>
    <w:rsid w:val="00682B40"/>
    <w:rsid w:val="00682BFA"/>
    <w:rsid w:val="00682C26"/>
    <w:rsid w:val="00682C4C"/>
    <w:rsid w:val="00682C61"/>
    <w:rsid w:val="00682D0B"/>
    <w:rsid w:val="00682DA5"/>
    <w:rsid w:val="00682E1F"/>
    <w:rsid w:val="00682E64"/>
    <w:rsid w:val="0068301B"/>
    <w:rsid w:val="00683089"/>
    <w:rsid w:val="00683103"/>
    <w:rsid w:val="00683132"/>
    <w:rsid w:val="00683156"/>
    <w:rsid w:val="00683199"/>
    <w:rsid w:val="006831A4"/>
    <w:rsid w:val="006831B6"/>
    <w:rsid w:val="0068320C"/>
    <w:rsid w:val="00683298"/>
    <w:rsid w:val="006832FF"/>
    <w:rsid w:val="00683303"/>
    <w:rsid w:val="00683308"/>
    <w:rsid w:val="00683324"/>
    <w:rsid w:val="0068336C"/>
    <w:rsid w:val="006834A3"/>
    <w:rsid w:val="006834EC"/>
    <w:rsid w:val="00683587"/>
    <w:rsid w:val="006835CA"/>
    <w:rsid w:val="006835E8"/>
    <w:rsid w:val="00683637"/>
    <w:rsid w:val="0068370F"/>
    <w:rsid w:val="0068380A"/>
    <w:rsid w:val="0068386A"/>
    <w:rsid w:val="0068389C"/>
    <w:rsid w:val="006838EC"/>
    <w:rsid w:val="0068397E"/>
    <w:rsid w:val="006839AC"/>
    <w:rsid w:val="00683A8C"/>
    <w:rsid w:val="00683A8E"/>
    <w:rsid w:val="00683AD0"/>
    <w:rsid w:val="00683AF4"/>
    <w:rsid w:val="00683B16"/>
    <w:rsid w:val="00683B34"/>
    <w:rsid w:val="00683BFB"/>
    <w:rsid w:val="00683C4A"/>
    <w:rsid w:val="00683D3F"/>
    <w:rsid w:val="00683D6F"/>
    <w:rsid w:val="00683DC4"/>
    <w:rsid w:val="00683DCC"/>
    <w:rsid w:val="00683DFB"/>
    <w:rsid w:val="00683E69"/>
    <w:rsid w:val="00683E87"/>
    <w:rsid w:val="00683E91"/>
    <w:rsid w:val="00683F8E"/>
    <w:rsid w:val="0068405F"/>
    <w:rsid w:val="006840AB"/>
    <w:rsid w:val="006840D4"/>
    <w:rsid w:val="006841A7"/>
    <w:rsid w:val="0068422A"/>
    <w:rsid w:val="0068424F"/>
    <w:rsid w:val="006843E1"/>
    <w:rsid w:val="00684424"/>
    <w:rsid w:val="00684449"/>
    <w:rsid w:val="00684460"/>
    <w:rsid w:val="00684474"/>
    <w:rsid w:val="006844E4"/>
    <w:rsid w:val="00684536"/>
    <w:rsid w:val="006845BA"/>
    <w:rsid w:val="006845F7"/>
    <w:rsid w:val="00684628"/>
    <w:rsid w:val="006846C7"/>
    <w:rsid w:val="006846C9"/>
    <w:rsid w:val="006846D9"/>
    <w:rsid w:val="006846F5"/>
    <w:rsid w:val="00684715"/>
    <w:rsid w:val="0068477C"/>
    <w:rsid w:val="006847D9"/>
    <w:rsid w:val="006848EE"/>
    <w:rsid w:val="00684980"/>
    <w:rsid w:val="00684A2E"/>
    <w:rsid w:val="00684A4A"/>
    <w:rsid w:val="00684A4D"/>
    <w:rsid w:val="00684AA2"/>
    <w:rsid w:val="00684B78"/>
    <w:rsid w:val="00684C40"/>
    <w:rsid w:val="00684C45"/>
    <w:rsid w:val="00684C5D"/>
    <w:rsid w:val="00684CB3"/>
    <w:rsid w:val="00684CBA"/>
    <w:rsid w:val="00684CDF"/>
    <w:rsid w:val="00684D2D"/>
    <w:rsid w:val="00684DA1"/>
    <w:rsid w:val="00684E52"/>
    <w:rsid w:val="00684E62"/>
    <w:rsid w:val="00684F37"/>
    <w:rsid w:val="00684F56"/>
    <w:rsid w:val="0068503A"/>
    <w:rsid w:val="00685084"/>
    <w:rsid w:val="00685085"/>
    <w:rsid w:val="006850BD"/>
    <w:rsid w:val="00685126"/>
    <w:rsid w:val="00685148"/>
    <w:rsid w:val="00685175"/>
    <w:rsid w:val="0068518E"/>
    <w:rsid w:val="006851BF"/>
    <w:rsid w:val="006851C4"/>
    <w:rsid w:val="00685217"/>
    <w:rsid w:val="00685271"/>
    <w:rsid w:val="006852B2"/>
    <w:rsid w:val="006852DD"/>
    <w:rsid w:val="00685330"/>
    <w:rsid w:val="00685336"/>
    <w:rsid w:val="00685337"/>
    <w:rsid w:val="00685397"/>
    <w:rsid w:val="00685471"/>
    <w:rsid w:val="0068548F"/>
    <w:rsid w:val="00685601"/>
    <w:rsid w:val="00685611"/>
    <w:rsid w:val="00685638"/>
    <w:rsid w:val="0068564F"/>
    <w:rsid w:val="006856BD"/>
    <w:rsid w:val="006856BF"/>
    <w:rsid w:val="0068578C"/>
    <w:rsid w:val="0068586D"/>
    <w:rsid w:val="0068590D"/>
    <w:rsid w:val="006859C1"/>
    <w:rsid w:val="006859D5"/>
    <w:rsid w:val="00685A19"/>
    <w:rsid w:val="00685A20"/>
    <w:rsid w:val="00685AA5"/>
    <w:rsid w:val="00685ACE"/>
    <w:rsid w:val="00685AE6"/>
    <w:rsid w:val="00685AEF"/>
    <w:rsid w:val="00685B4D"/>
    <w:rsid w:val="00685BB3"/>
    <w:rsid w:val="00685BE4"/>
    <w:rsid w:val="00685C22"/>
    <w:rsid w:val="00685CF1"/>
    <w:rsid w:val="00685D43"/>
    <w:rsid w:val="00685F0F"/>
    <w:rsid w:val="00685FBF"/>
    <w:rsid w:val="00685FD2"/>
    <w:rsid w:val="00685FFC"/>
    <w:rsid w:val="00686042"/>
    <w:rsid w:val="0068605C"/>
    <w:rsid w:val="006860E4"/>
    <w:rsid w:val="0068615F"/>
    <w:rsid w:val="00686177"/>
    <w:rsid w:val="006861A9"/>
    <w:rsid w:val="00686238"/>
    <w:rsid w:val="0068625F"/>
    <w:rsid w:val="00686274"/>
    <w:rsid w:val="006862CF"/>
    <w:rsid w:val="006863A1"/>
    <w:rsid w:val="006863EB"/>
    <w:rsid w:val="0068640D"/>
    <w:rsid w:val="00686436"/>
    <w:rsid w:val="0068643D"/>
    <w:rsid w:val="00686478"/>
    <w:rsid w:val="006864A8"/>
    <w:rsid w:val="006864CB"/>
    <w:rsid w:val="0068652E"/>
    <w:rsid w:val="00686562"/>
    <w:rsid w:val="00686572"/>
    <w:rsid w:val="006865CD"/>
    <w:rsid w:val="0068660D"/>
    <w:rsid w:val="006866A4"/>
    <w:rsid w:val="006866D7"/>
    <w:rsid w:val="006866DD"/>
    <w:rsid w:val="006867B3"/>
    <w:rsid w:val="006867EF"/>
    <w:rsid w:val="00686896"/>
    <w:rsid w:val="006868A8"/>
    <w:rsid w:val="006868BB"/>
    <w:rsid w:val="00686997"/>
    <w:rsid w:val="006869AF"/>
    <w:rsid w:val="00686A31"/>
    <w:rsid w:val="00686A6D"/>
    <w:rsid w:val="00686A8C"/>
    <w:rsid w:val="00686BE1"/>
    <w:rsid w:val="00686C12"/>
    <w:rsid w:val="00686C13"/>
    <w:rsid w:val="00686C45"/>
    <w:rsid w:val="00686D5D"/>
    <w:rsid w:val="00686DE0"/>
    <w:rsid w:val="00686E0E"/>
    <w:rsid w:val="00686EE4"/>
    <w:rsid w:val="00686F31"/>
    <w:rsid w:val="00686F33"/>
    <w:rsid w:val="00686F50"/>
    <w:rsid w:val="00686F92"/>
    <w:rsid w:val="00686FA8"/>
    <w:rsid w:val="0068701F"/>
    <w:rsid w:val="00687068"/>
    <w:rsid w:val="006870A3"/>
    <w:rsid w:val="006871E3"/>
    <w:rsid w:val="006871FF"/>
    <w:rsid w:val="0068722E"/>
    <w:rsid w:val="0068723A"/>
    <w:rsid w:val="00687305"/>
    <w:rsid w:val="0068730E"/>
    <w:rsid w:val="006873BF"/>
    <w:rsid w:val="00687446"/>
    <w:rsid w:val="006874F2"/>
    <w:rsid w:val="0068751E"/>
    <w:rsid w:val="00687547"/>
    <w:rsid w:val="0068757B"/>
    <w:rsid w:val="006875CC"/>
    <w:rsid w:val="006875D6"/>
    <w:rsid w:val="006875E6"/>
    <w:rsid w:val="00687616"/>
    <w:rsid w:val="00687644"/>
    <w:rsid w:val="00687681"/>
    <w:rsid w:val="0068768F"/>
    <w:rsid w:val="006876A2"/>
    <w:rsid w:val="006876C3"/>
    <w:rsid w:val="006876D7"/>
    <w:rsid w:val="00687762"/>
    <w:rsid w:val="00687784"/>
    <w:rsid w:val="00687788"/>
    <w:rsid w:val="00687806"/>
    <w:rsid w:val="0068780C"/>
    <w:rsid w:val="0068782A"/>
    <w:rsid w:val="006878C1"/>
    <w:rsid w:val="006878D6"/>
    <w:rsid w:val="006878ED"/>
    <w:rsid w:val="00687967"/>
    <w:rsid w:val="006879AD"/>
    <w:rsid w:val="006879BC"/>
    <w:rsid w:val="00687A36"/>
    <w:rsid w:val="00687A4D"/>
    <w:rsid w:val="00687ABD"/>
    <w:rsid w:val="00687B9E"/>
    <w:rsid w:val="00687BFD"/>
    <w:rsid w:val="00687C5A"/>
    <w:rsid w:val="00687C98"/>
    <w:rsid w:val="00687D55"/>
    <w:rsid w:val="00687D85"/>
    <w:rsid w:val="00687DA4"/>
    <w:rsid w:val="00687E70"/>
    <w:rsid w:val="00687ECA"/>
    <w:rsid w:val="00687FFA"/>
    <w:rsid w:val="00687FFC"/>
    <w:rsid w:val="006900B5"/>
    <w:rsid w:val="006900E3"/>
    <w:rsid w:val="00690124"/>
    <w:rsid w:val="006901A5"/>
    <w:rsid w:val="006901C4"/>
    <w:rsid w:val="00690218"/>
    <w:rsid w:val="00690221"/>
    <w:rsid w:val="006902AF"/>
    <w:rsid w:val="0069038A"/>
    <w:rsid w:val="006903C9"/>
    <w:rsid w:val="006903FB"/>
    <w:rsid w:val="00690400"/>
    <w:rsid w:val="0069043F"/>
    <w:rsid w:val="006904A1"/>
    <w:rsid w:val="006904A4"/>
    <w:rsid w:val="006904BB"/>
    <w:rsid w:val="006904C8"/>
    <w:rsid w:val="0069050F"/>
    <w:rsid w:val="0069051D"/>
    <w:rsid w:val="00690615"/>
    <w:rsid w:val="00690646"/>
    <w:rsid w:val="00690647"/>
    <w:rsid w:val="006906BF"/>
    <w:rsid w:val="0069071C"/>
    <w:rsid w:val="00690752"/>
    <w:rsid w:val="00690790"/>
    <w:rsid w:val="006907C9"/>
    <w:rsid w:val="006907DA"/>
    <w:rsid w:val="006907FA"/>
    <w:rsid w:val="0069080A"/>
    <w:rsid w:val="00690926"/>
    <w:rsid w:val="00690939"/>
    <w:rsid w:val="00690983"/>
    <w:rsid w:val="006909DF"/>
    <w:rsid w:val="006909F4"/>
    <w:rsid w:val="006909F9"/>
    <w:rsid w:val="00690A29"/>
    <w:rsid w:val="00690AAF"/>
    <w:rsid w:val="00690B0F"/>
    <w:rsid w:val="00690B57"/>
    <w:rsid w:val="00690B9D"/>
    <w:rsid w:val="00690BB3"/>
    <w:rsid w:val="00690BDD"/>
    <w:rsid w:val="00690BF5"/>
    <w:rsid w:val="00690BFF"/>
    <w:rsid w:val="00690C5A"/>
    <w:rsid w:val="00690CB7"/>
    <w:rsid w:val="00690CC4"/>
    <w:rsid w:val="00690D60"/>
    <w:rsid w:val="00690D8D"/>
    <w:rsid w:val="00690DF0"/>
    <w:rsid w:val="00690FAE"/>
    <w:rsid w:val="00690FC9"/>
    <w:rsid w:val="00691043"/>
    <w:rsid w:val="006910AB"/>
    <w:rsid w:val="0069113A"/>
    <w:rsid w:val="006911E1"/>
    <w:rsid w:val="00691216"/>
    <w:rsid w:val="00691219"/>
    <w:rsid w:val="0069122F"/>
    <w:rsid w:val="006913E9"/>
    <w:rsid w:val="00691418"/>
    <w:rsid w:val="0069143A"/>
    <w:rsid w:val="00691445"/>
    <w:rsid w:val="00691485"/>
    <w:rsid w:val="00691518"/>
    <w:rsid w:val="0069153A"/>
    <w:rsid w:val="00691587"/>
    <w:rsid w:val="006915AB"/>
    <w:rsid w:val="006915B5"/>
    <w:rsid w:val="0069161D"/>
    <w:rsid w:val="00691637"/>
    <w:rsid w:val="006916AB"/>
    <w:rsid w:val="006916C2"/>
    <w:rsid w:val="006916DB"/>
    <w:rsid w:val="0069174A"/>
    <w:rsid w:val="006917A6"/>
    <w:rsid w:val="00691862"/>
    <w:rsid w:val="00691890"/>
    <w:rsid w:val="006918AF"/>
    <w:rsid w:val="006918EA"/>
    <w:rsid w:val="0069199B"/>
    <w:rsid w:val="00691A27"/>
    <w:rsid w:val="00691A55"/>
    <w:rsid w:val="00691A88"/>
    <w:rsid w:val="00691BCC"/>
    <w:rsid w:val="00691C0A"/>
    <w:rsid w:val="00691C9E"/>
    <w:rsid w:val="00691CE0"/>
    <w:rsid w:val="00691CE1"/>
    <w:rsid w:val="00691E00"/>
    <w:rsid w:val="00691E0C"/>
    <w:rsid w:val="00691EFB"/>
    <w:rsid w:val="00691FF6"/>
    <w:rsid w:val="00692060"/>
    <w:rsid w:val="006920DE"/>
    <w:rsid w:val="006920F2"/>
    <w:rsid w:val="0069217D"/>
    <w:rsid w:val="0069217F"/>
    <w:rsid w:val="00692187"/>
    <w:rsid w:val="00692198"/>
    <w:rsid w:val="006922A3"/>
    <w:rsid w:val="006922FA"/>
    <w:rsid w:val="006923AE"/>
    <w:rsid w:val="00692437"/>
    <w:rsid w:val="00692496"/>
    <w:rsid w:val="006924ED"/>
    <w:rsid w:val="00692561"/>
    <w:rsid w:val="0069256F"/>
    <w:rsid w:val="0069257A"/>
    <w:rsid w:val="00692687"/>
    <w:rsid w:val="00692706"/>
    <w:rsid w:val="0069271B"/>
    <w:rsid w:val="00692735"/>
    <w:rsid w:val="00692766"/>
    <w:rsid w:val="00692796"/>
    <w:rsid w:val="006927E7"/>
    <w:rsid w:val="006927E8"/>
    <w:rsid w:val="00692828"/>
    <w:rsid w:val="0069286E"/>
    <w:rsid w:val="00692887"/>
    <w:rsid w:val="006928CA"/>
    <w:rsid w:val="006928E3"/>
    <w:rsid w:val="006928EE"/>
    <w:rsid w:val="00692991"/>
    <w:rsid w:val="00692AF2"/>
    <w:rsid w:val="00692B37"/>
    <w:rsid w:val="00692B6D"/>
    <w:rsid w:val="00692BD8"/>
    <w:rsid w:val="00692BD9"/>
    <w:rsid w:val="00692BDD"/>
    <w:rsid w:val="00692C1B"/>
    <w:rsid w:val="00692C44"/>
    <w:rsid w:val="00692C5B"/>
    <w:rsid w:val="00692CB3"/>
    <w:rsid w:val="00692D35"/>
    <w:rsid w:val="00692D3C"/>
    <w:rsid w:val="00692D73"/>
    <w:rsid w:val="00692DB3"/>
    <w:rsid w:val="00692DB6"/>
    <w:rsid w:val="00692DE3"/>
    <w:rsid w:val="00692E02"/>
    <w:rsid w:val="00692E04"/>
    <w:rsid w:val="00692F2A"/>
    <w:rsid w:val="00692F5B"/>
    <w:rsid w:val="00692F8C"/>
    <w:rsid w:val="00692FC4"/>
    <w:rsid w:val="00693065"/>
    <w:rsid w:val="0069308E"/>
    <w:rsid w:val="006930D4"/>
    <w:rsid w:val="006930E2"/>
    <w:rsid w:val="0069313C"/>
    <w:rsid w:val="00693188"/>
    <w:rsid w:val="006931C5"/>
    <w:rsid w:val="00693284"/>
    <w:rsid w:val="006932BD"/>
    <w:rsid w:val="00693350"/>
    <w:rsid w:val="0069336A"/>
    <w:rsid w:val="00693377"/>
    <w:rsid w:val="0069338D"/>
    <w:rsid w:val="006933A3"/>
    <w:rsid w:val="006933CA"/>
    <w:rsid w:val="0069348E"/>
    <w:rsid w:val="00693516"/>
    <w:rsid w:val="00693528"/>
    <w:rsid w:val="00693552"/>
    <w:rsid w:val="00693627"/>
    <w:rsid w:val="006936BF"/>
    <w:rsid w:val="00693702"/>
    <w:rsid w:val="00693708"/>
    <w:rsid w:val="00693732"/>
    <w:rsid w:val="00693739"/>
    <w:rsid w:val="006937CA"/>
    <w:rsid w:val="0069391D"/>
    <w:rsid w:val="00693A22"/>
    <w:rsid w:val="00693A6F"/>
    <w:rsid w:val="00693AA3"/>
    <w:rsid w:val="00693AAA"/>
    <w:rsid w:val="00693ADE"/>
    <w:rsid w:val="00693B2D"/>
    <w:rsid w:val="00693BA6"/>
    <w:rsid w:val="00693BB0"/>
    <w:rsid w:val="00693C39"/>
    <w:rsid w:val="00693C43"/>
    <w:rsid w:val="00693C6E"/>
    <w:rsid w:val="00693C73"/>
    <w:rsid w:val="00693DA7"/>
    <w:rsid w:val="00693DAF"/>
    <w:rsid w:val="00693E2B"/>
    <w:rsid w:val="00693E42"/>
    <w:rsid w:val="00693E4C"/>
    <w:rsid w:val="00693E6F"/>
    <w:rsid w:val="00693EA4"/>
    <w:rsid w:val="00693EDB"/>
    <w:rsid w:val="00694048"/>
    <w:rsid w:val="006940B5"/>
    <w:rsid w:val="006940F4"/>
    <w:rsid w:val="0069414B"/>
    <w:rsid w:val="0069417C"/>
    <w:rsid w:val="00694181"/>
    <w:rsid w:val="006941A5"/>
    <w:rsid w:val="006941CA"/>
    <w:rsid w:val="006941EF"/>
    <w:rsid w:val="006941F9"/>
    <w:rsid w:val="00694209"/>
    <w:rsid w:val="00694217"/>
    <w:rsid w:val="00694280"/>
    <w:rsid w:val="006942D1"/>
    <w:rsid w:val="006942F4"/>
    <w:rsid w:val="00694300"/>
    <w:rsid w:val="00694330"/>
    <w:rsid w:val="00694434"/>
    <w:rsid w:val="0069444D"/>
    <w:rsid w:val="00694467"/>
    <w:rsid w:val="006944B8"/>
    <w:rsid w:val="00694504"/>
    <w:rsid w:val="006945E2"/>
    <w:rsid w:val="00694635"/>
    <w:rsid w:val="006946D9"/>
    <w:rsid w:val="00694760"/>
    <w:rsid w:val="00694772"/>
    <w:rsid w:val="006947AF"/>
    <w:rsid w:val="006947CB"/>
    <w:rsid w:val="00694814"/>
    <w:rsid w:val="0069483A"/>
    <w:rsid w:val="00694985"/>
    <w:rsid w:val="00694986"/>
    <w:rsid w:val="006949E6"/>
    <w:rsid w:val="006949E7"/>
    <w:rsid w:val="00694A5F"/>
    <w:rsid w:val="00694ABB"/>
    <w:rsid w:val="00694B90"/>
    <w:rsid w:val="00694BCA"/>
    <w:rsid w:val="00694BD5"/>
    <w:rsid w:val="00694C02"/>
    <w:rsid w:val="00694C3B"/>
    <w:rsid w:val="00694CAE"/>
    <w:rsid w:val="00694D26"/>
    <w:rsid w:val="00694D6F"/>
    <w:rsid w:val="00694DD6"/>
    <w:rsid w:val="00694DF0"/>
    <w:rsid w:val="00694DF4"/>
    <w:rsid w:val="00694E13"/>
    <w:rsid w:val="00694E45"/>
    <w:rsid w:val="0069505F"/>
    <w:rsid w:val="00695097"/>
    <w:rsid w:val="00695115"/>
    <w:rsid w:val="006951A4"/>
    <w:rsid w:val="006951BE"/>
    <w:rsid w:val="00695229"/>
    <w:rsid w:val="00695231"/>
    <w:rsid w:val="00695233"/>
    <w:rsid w:val="006952E4"/>
    <w:rsid w:val="0069530D"/>
    <w:rsid w:val="00695314"/>
    <w:rsid w:val="00695367"/>
    <w:rsid w:val="00695375"/>
    <w:rsid w:val="006953DB"/>
    <w:rsid w:val="006953E9"/>
    <w:rsid w:val="00695466"/>
    <w:rsid w:val="006955E3"/>
    <w:rsid w:val="006955ED"/>
    <w:rsid w:val="0069561C"/>
    <w:rsid w:val="00695640"/>
    <w:rsid w:val="0069564F"/>
    <w:rsid w:val="00695695"/>
    <w:rsid w:val="006956C0"/>
    <w:rsid w:val="00695748"/>
    <w:rsid w:val="006957A3"/>
    <w:rsid w:val="00695856"/>
    <w:rsid w:val="0069586F"/>
    <w:rsid w:val="00695881"/>
    <w:rsid w:val="00695884"/>
    <w:rsid w:val="006958D6"/>
    <w:rsid w:val="00695961"/>
    <w:rsid w:val="0069599B"/>
    <w:rsid w:val="006959AB"/>
    <w:rsid w:val="006959EA"/>
    <w:rsid w:val="00695A87"/>
    <w:rsid w:val="00695A8D"/>
    <w:rsid w:val="00695ADD"/>
    <w:rsid w:val="00695B21"/>
    <w:rsid w:val="00695BA7"/>
    <w:rsid w:val="00695BF2"/>
    <w:rsid w:val="00695BFE"/>
    <w:rsid w:val="00695CE5"/>
    <w:rsid w:val="00695D84"/>
    <w:rsid w:val="00695DDC"/>
    <w:rsid w:val="00695E1B"/>
    <w:rsid w:val="00695E58"/>
    <w:rsid w:val="00695F17"/>
    <w:rsid w:val="00695F41"/>
    <w:rsid w:val="00695F46"/>
    <w:rsid w:val="00695F47"/>
    <w:rsid w:val="00695F5D"/>
    <w:rsid w:val="00695FA3"/>
    <w:rsid w:val="00695FDD"/>
    <w:rsid w:val="0069601F"/>
    <w:rsid w:val="00696031"/>
    <w:rsid w:val="00696062"/>
    <w:rsid w:val="006960F0"/>
    <w:rsid w:val="00696146"/>
    <w:rsid w:val="0069616B"/>
    <w:rsid w:val="006961AC"/>
    <w:rsid w:val="006961CE"/>
    <w:rsid w:val="00696302"/>
    <w:rsid w:val="006963D4"/>
    <w:rsid w:val="006963E6"/>
    <w:rsid w:val="00696425"/>
    <w:rsid w:val="00696432"/>
    <w:rsid w:val="0069647A"/>
    <w:rsid w:val="0069647F"/>
    <w:rsid w:val="00696523"/>
    <w:rsid w:val="00696559"/>
    <w:rsid w:val="00696573"/>
    <w:rsid w:val="006965A6"/>
    <w:rsid w:val="0069660B"/>
    <w:rsid w:val="00696627"/>
    <w:rsid w:val="0069664F"/>
    <w:rsid w:val="006967A7"/>
    <w:rsid w:val="006967DD"/>
    <w:rsid w:val="006967DE"/>
    <w:rsid w:val="00696863"/>
    <w:rsid w:val="006968D4"/>
    <w:rsid w:val="0069691C"/>
    <w:rsid w:val="00696965"/>
    <w:rsid w:val="0069696F"/>
    <w:rsid w:val="0069697B"/>
    <w:rsid w:val="00696A4D"/>
    <w:rsid w:val="00696B26"/>
    <w:rsid w:val="00696B87"/>
    <w:rsid w:val="00696C30"/>
    <w:rsid w:val="00696C9F"/>
    <w:rsid w:val="00696CEC"/>
    <w:rsid w:val="00696D56"/>
    <w:rsid w:val="00696D96"/>
    <w:rsid w:val="00696DD7"/>
    <w:rsid w:val="00696DF2"/>
    <w:rsid w:val="00696E06"/>
    <w:rsid w:val="00696E1D"/>
    <w:rsid w:val="00696E44"/>
    <w:rsid w:val="00696F4E"/>
    <w:rsid w:val="00696F6F"/>
    <w:rsid w:val="00696F93"/>
    <w:rsid w:val="00696FA4"/>
    <w:rsid w:val="00696FFC"/>
    <w:rsid w:val="0069702B"/>
    <w:rsid w:val="00697047"/>
    <w:rsid w:val="00697089"/>
    <w:rsid w:val="006970DB"/>
    <w:rsid w:val="006970E6"/>
    <w:rsid w:val="0069710E"/>
    <w:rsid w:val="006971E6"/>
    <w:rsid w:val="00697248"/>
    <w:rsid w:val="006972D8"/>
    <w:rsid w:val="00697454"/>
    <w:rsid w:val="0069745A"/>
    <w:rsid w:val="00697548"/>
    <w:rsid w:val="0069757E"/>
    <w:rsid w:val="006975E0"/>
    <w:rsid w:val="006975E5"/>
    <w:rsid w:val="0069760E"/>
    <w:rsid w:val="00697635"/>
    <w:rsid w:val="00697658"/>
    <w:rsid w:val="006976B1"/>
    <w:rsid w:val="006976EF"/>
    <w:rsid w:val="0069770C"/>
    <w:rsid w:val="00697759"/>
    <w:rsid w:val="0069778C"/>
    <w:rsid w:val="006977F3"/>
    <w:rsid w:val="0069783F"/>
    <w:rsid w:val="00697840"/>
    <w:rsid w:val="00697861"/>
    <w:rsid w:val="0069786C"/>
    <w:rsid w:val="0069788B"/>
    <w:rsid w:val="006978E6"/>
    <w:rsid w:val="00697957"/>
    <w:rsid w:val="0069796A"/>
    <w:rsid w:val="006979C3"/>
    <w:rsid w:val="006979F9"/>
    <w:rsid w:val="00697A7B"/>
    <w:rsid w:val="00697A9E"/>
    <w:rsid w:val="00697AA7"/>
    <w:rsid w:val="00697AC3"/>
    <w:rsid w:val="00697ACF"/>
    <w:rsid w:val="00697B03"/>
    <w:rsid w:val="00697B44"/>
    <w:rsid w:val="00697BA8"/>
    <w:rsid w:val="00697BC9"/>
    <w:rsid w:val="00697CBC"/>
    <w:rsid w:val="00697CE0"/>
    <w:rsid w:val="00697D06"/>
    <w:rsid w:val="00697E09"/>
    <w:rsid w:val="00697E10"/>
    <w:rsid w:val="00697E60"/>
    <w:rsid w:val="00697EB5"/>
    <w:rsid w:val="00697EE1"/>
    <w:rsid w:val="00697F37"/>
    <w:rsid w:val="00697FA4"/>
    <w:rsid w:val="0069D8D0"/>
    <w:rsid w:val="006A0092"/>
    <w:rsid w:val="006A014E"/>
    <w:rsid w:val="006A0193"/>
    <w:rsid w:val="006A026E"/>
    <w:rsid w:val="006A0290"/>
    <w:rsid w:val="006A029D"/>
    <w:rsid w:val="006A03EC"/>
    <w:rsid w:val="006A0470"/>
    <w:rsid w:val="006A049C"/>
    <w:rsid w:val="006A04E1"/>
    <w:rsid w:val="006A04F6"/>
    <w:rsid w:val="006A04F8"/>
    <w:rsid w:val="006A0579"/>
    <w:rsid w:val="006A057D"/>
    <w:rsid w:val="006A05A7"/>
    <w:rsid w:val="006A05C3"/>
    <w:rsid w:val="006A067D"/>
    <w:rsid w:val="006A0681"/>
    <w:rsid w:val="006A06F0"/>
    <w:rsid w:val="006A06F4"/>
    <w:rsid w:val="006A070F"/>
    <w:rsid w:val="006A07D0"/>
    <w:rsid w:val="006A0853"/>
    <w:rsid w:val="006A08B6"/>
    <w:rsid w:val="006A08D0"/>
    <w:rsid w:val="006A08D9"/>
    <w:rsid w:val="006A0949"/>
    <w:rsid w:val="006A0A7D"/>
    <w:rsid w:val="006A0A8F"/>
    <w:rsid w:val="006A0AE0"/>
    <w:rsid w:val="006A0B59"/>
    <w:rsid w:val="006A0BEF"/>
    <w:rsid w:val="006A0C52"/>
    <w:rsid w:val="006A0D23"/>
    <w:rsid w:val="006A0D40"/>
    <w:rsid w:val="006A0D9A"/>
    <w:rsid w:val="006A0DBF"/>
    <w:rsid w:val="006A0E3F"/>
    <w:rsid w:val="006A0F45"/>
    <w:rsid w:val="006A0F4F"/>
    <w:rsid w:val="006A0FB6"/>
    <w:rsid w:val="006A0FC4"/>
    <w:rsid w:val="006A0FD4"/>
    <w:rsid w:val="006A1087"/>
    <w:rsid w:val="006A10C7"/>
    <w:rsid w:val="006A1137"/>
    <w:rsid w:val="006A1146"/>
    <w:rsid w:val="006A1147"/>
    <w:rsid w:val="006A11DE"/>
    <w:rsid w:val="006A123B"/>
    <w:rsid w:val="006A1275"/>
    <w:rsid w:val="006A12E2"/>
    <w:rsid w:val="006A12FC"/>
    <w:rsid w:val="006A1323"/>
    <w:rsid w:val="006A138C"/>
    <w:rsid w:val="006A13DB"/>
    <w:rsid w:val="006A148B"/>
    <w:rsid w:val="006A1555"/>
    <w:rsid w:val="006A1624"/>
    <w:rsid w:val="006A16A4"/>
    <w:rsid w:val="006A16D2"/>
    <w:rsid w:val="006A1751"/>
    <w:rsid w:val="006A181C"/>
    <w:rsid w:val="006A1822"/>
    <w:rsid w:val="006A1867"/>
    <w:rsid w:val="006A1889"/>
    <w:rsid w:val="006A189E"/>
    <w:rsid w:val="006A18B0"/>
    <w:rsid w:val="006A18C9"/>
    <w:rsid w:val="006A18CE"/>
    <w:rsid w:val="006A1939"/>
    <w:rsid w:val="006A19B6"/>
    <w:rsid w:val="006A19DB"/>
    <w:rsid w:val="006A19E1"/>
    <w:rsid w:val="006A19E6"/>
    <w:rsid w:val="006A19F9"/>
    <w:rsid w:val="006A1A00"/>
    <w:rsid w:val="006A1A7E"/>
    <w:rsid w:val="006A1A95"/>
    <w:rsid w:val="006A1AD6"/>
    <w:rsid w:val="006A1AF6"/>
    <w:rsid w:val="006A1B4F"/>
    <w:rsid w:val="006A1B6D"/>
    <w:rsid w:val="006A1BAE"/>
    <w:rsid w:val="006A1C70"/>
    <w:rsid w:val="006A1C71"/>
    <w:rsid w:val="006A1CB5"/>
    <w:rsid w:val="006A1CC1"/>
    <w:rsid w:val="006A1D1C"/>
    <w:rsid w:val="006A1D22"/>
    <w:rsid w:val="006A1DB8"/>
    <w:rsid w:val="006A1DC6"/>
    <w:rsid w:val="006A1E08"/>
    <w:rsid w:val="006A1E4B"/>
    <w:rsid w:val="006A1E58"/>
    <w:rsid w:val="006A1E7D"/>
    <w:rsid w:val="006A1EEF"/>
    <w:rsid w:val="006A1F25"/>
    <w:rsid w:val="006A1FC3"/>
    <w:rsid w:val="006A1FD8"/>
    <w:rsid w:val="006A1FFF"/>
    <w:rsid w:val="006A2002"/>
    <w:rsid w:val="006A201B"/>
    <w:rsid w:val="006A20C9"/>
    <w:rsid w:val="006A2103"/>
    <w:rsid w:val="006A2143"/>
    <w:rsid w:val="006A216F"/>
    <w:rsid w:val="006A21DA"/>
    <w:rsid w:val="006A2275"/>
    <w:rsid w:val="006A2297"/>
    <w:rsid w:val="006A22A9"/>
    <w:rsid w:val="006A231A"/>
    <w:rsid w:val="006A233D"/>
    <w:rsid w:val="006A2374"/>
    <w:rsid w:val="006A2381"/>
    <w:rsid w:val="006A23C3"/>
    <w:rsid w:val="006A23CE"/>
    <w:rsid w:val="006A241F"/>
    <w:rsid w:val="006A2492"/>
    <w:rsid w:val="006A2522"/>
    <w:rsid w:val="006A2556"/>
    <w:rsid w:val="006A25A8"/>
    <w:rsid w:val="006A2600"/>
    <w:rsid w:val="006A2628"/>
    <w:rsid w:val="006A2882"/>
    <w:rsid w:val="006A28B0"/>
    <w:rsid w:val="006A28BB"/>
    <w:rsid w:val="006A291F"/>
    <w:rsid w:val="006A297D"/>
    <w:rsid w:val="006A29E1"/>
    <w:rsid w:val="006A29E7"/>
    <w:rsid w:val="006A2A25"/>
    <w:rsid w:val="006A2A36"/>
    <w:rsid w:val="006A2AB7"/>
    <w:rsid w:val="006A2ABA"/>
    <w:rsid w:val="006A2ACD"/>
    <w:rsid w:val="006A2ADD"/>
    <w:rsid w:val="006A2B04"/>
    <w:rsid w:val="006A2C00"/>
    <w:rsid w:val="006A2C57"/>
    <w:rsid w:val="006A2CAF"/>
    <w:rsid w:val="006A2CE0"/>
    <w:rsid w:val="006A2D5C"/>
    <w:rsid w:val="006A2D85"/>
    <w:rsid w:val="006A2DAC"/>
    <w:rsid w:val="006A2DBA"/>
    <w:rsid w:val="006A2DDD"/>
    <w:rsid w:val="006A2E4E"/>
    <w:rsid w:val="006A2EC9"/>
    <w:rsid w:val="006A2F0F"/>
    <w:rsid w:val="006A2F23"/>
    <w:rsid w:val="006A2F2B"/>
    <w:rsid w:val="006A2F76"/>
    <w:rsid w:val="006A2FAE"/>
    <w:rsid w:val="006A300F"/>
    <w:rsid w:val="006A301C"/>
    <w:rsid w:val="006A3069"/>
    <w:rsid w:val="006A30E2"/>
    <w:rsid w:val="006A3170"/>
    <w:rsid w:val="006A3272"/>
    <w:rsid w:val="006A3301"/>
    <w:rsid w:val="006A3328"/>
    <w:rsid w:val="006A3400"/>
    <w:rsid w:val="006A3423"/>
    <w:rsid w:val="006A346B"/>
    <w:rsid w:val="006A3478"/>
    <w:rsid w:val="006A3485"/>
    <w:rsid w:val="006A34EF"/>
    <w:rsid w:val="006A3530"/>
    <w:rsid w:val="006A3581"/>
    <w:rsid w:val="006A359A"/>
    <w:rsid w:val="006A35BA"/>
    <w:rsid w:val="006A363F"/>
    <w:rsid w:val="006A3688"/>
    <w:rsid w:val="006A36B1"/>
    <w:rsid w:val="006A36BA"/>
    <w:rsid w:val="006A376E"/>
    <w:rsid w:val="006A37B9"/>
    <w:rsid w:val="006A3819"/>
    <w:rsid w:val="006A3867"/>
    <w:rsid w:val="006A38AF"/>
    <w:rsid w:val="006A38BB"/>
    <w:rsid w:val="006A38C0"/>
    <w:rsid w:val="006A38CC"/>
    <w:rsid w:val="006A38E5"/>
    <w:rsid w:val="006A38ED"/>
    <w:rsid w:val="006A398C"/>
    <w:rsid w:val="006A39A1"/>
    <w:rsid w:val="006A3B71"/>
    <w:rsid w:val="006A3C24"/>
    <w:rsid w:val="006A3C7B"/>
    <w:rsid w:val="006A3C92"/>
    <w:rsid w:val="006A3CB1"/>
    <w:rsid w:val="006A3CCB"/>
    <w:rsid w:val="006A3CD8"/>
    <w:rsid w:val="006A3D71"/>
    <w:rsid w:val="006A3DEC"/>
    <w:rsid w:val="006A3DF6"/>
    <w:rsid w:val="006A3DF8"/>
    <w:rsid w:val="006A3E63"/>
    <w:rsid w:val="006A3E6C"/>
    <w:rsid w:val="006A3EF3"/>
    <w:rsid w:val="006A3F07"/>
    <w:rsid w:val="006A3F1C"/>
    <w:rsid w:val="006A3F33"/>
    <w:rsid w:val="006A3F72"/>
    <w:rsid w:val="006A400B"/>
    <w:rsid w:val="006A4029"/>
    <w:rsid w:val="006A40AD"/>
    <w:rsid w:val="006A40F9"/>
    <w:rsid w:val="006A4102"/>
    <w:rsid w:val="006A4105"/>
    <w:rsid w:val="006A4117"/>
    <w:rsid w:val="006A4164"/>
    <w:rsid w:val="006A422B"/>
    <w:rsid w:val="006A423F"/>
    <w:rsid w:val="006A4253"/>
    <w:rsid w:val="006A4267"/>
    <w:rsid w:val="006A42C9"/>
    <w:rsid w:val="006A42D8"/>
    <w:rsid w:val="006A430A"/>
    <w:rsid w:val="006A4320"/>
    <w:rsid w:val="006A4376"/>
    <w:rsid w:val="006A4397"/>
    <w:rsid w:val="006A4411"/>
    <w:rsid w:val="006A4424"/>
    <w:rsid w:val="006A44F0"/>
    <w:rsid w:val="006A454D"/>
    <w:rsid w:val="006A46BE"/>
    <w:rsid w:val="006A4757"/>
    <w:rsid w:val="006A4798"/>
    <w:rsid w:val="006A47EA"/>
    <w:rsid w:val="006A485A"/>
    <w:rsid w:val="006A4872"/>
    <w:rsid w:val="006A48A3"/>
    <w:rsid w:val="006A495A"/>
    <w:rsid w:val="006A496A"/>
    <w:rsid w:val="006A497F"/>
    <w:rsid w:val="006A4A92"/>
    <w:rsid w:val="006A4AA7"/>
    <w:rsid w:val="006A4B4F"/>
    <w:rsid w:val="006A4BE3"/>
    <w:rsid w:val="006A4BF0"/>
    <w:rsid w:val="006A4BF9"/>
    <w:rsid w:val="006A4C96"/>
    <w:rsid w:val="006A4D72"/>
    <w:rsid w:val="006A4DB1"/>
    <w:rsid w:val="006A4EC9"/>
    <w:rsid w:val="006A4F1A"/>
    <w:rsid w:val="006A4F2E"/>
    <w:rsid w:val="006A4F43"/>
    <w:rsid w:val="006A4F8B"/>
    <w:rsid w:val="006A4F93"/>
    <w:rsid w:val="006A4FA8"/>
    <w:rsid w:val="006A4FD1"/>
    <w:rsid w:val="006A5091"/>
    <w:rsid w:val="006A50E4"/>
    <w:rsid w:val="006A50E7"/>
    <w:rsid w:val="006A512A"/>
    <w:rsid w:val="006A512F"/>
    <w:rsid w:val="006A5132"/>
    <w:rsid w:val="006A5162"/>
    <w:rsid w:val="006A5189"/>
    <w:rsid w:val="006A51EE"/>
    <w:rsid w:val="006A528F"/>
    <w:rsid w:val="006A5297"/>
    <w:rsid w:val="006A5299"/>
    <w:rsid w:val="006A52A8"/>
    <w:rsid w:val="006A52D3"/>
    <w:rsid w:val="006A52F6"/>
    <w:rsid w:val="006A5358"/>
    <w:rsid w:val="006A53B2"/>
    <w:rsid w:val="006A54BD"/>
    <w:rsid w:val="006A5513"/>
    <w:rsid w:val="006A551A"/>
    <w:rsid w:val="006A5577"/>
    <w:rsid w:val="006A55C2"/>
    <w:rsid w:val="006A55E5"/>
    <w:rsid w:val="006A55E8"/>
    <w:rsid w:val="006A55ED"/>
    <w:rsid w:val="006A55EE"/>
    <w:rsid w:val="006A5605"/>
    <w:rsid w:val="006A5699"/>
    <w:rsid w:val="006A57A5"/>
    <w:rsid w:val="006A57CC"/>
    <w:rsid w:val="006A57DF"/>
    <w:rsid w:val="006A57F1"/>
    <w:rsid w:val="006A57F7"/>
    <w:rsid w:val="006A5803"/>
    <w:rsid w:val="006A5816"/>
    <w:rsid w:val="006A5844"/>
    <w:rsid w:val="006A58D0"/>
    <w:rsid w:val="006A59C6"/>
    <w:rsid w:val="006A5A14"/>
    <w:rsid w:val="006A5ADB"/>
    <w:rsid w:val="006A5B05"/>
    <w:rsid w:val="006A5B1C"/>
    <w:rsid w:val="006A5B5A"/>
    <w:rsid w:val="006A5B86"/>
    <w:rsid w:val="006A5BA2"/>
    <w:rsid w:val="006A5BEB"/>
    <w:rsid w:val="006A5BFF"/>
    <w:rsid w:val="006A5C10"/>
    <w:rsid w:val="006A5C1F"/>
    <w:rsid w:val="006A5D10"/>
    <w:rsid w:val="006A5D94"/>
    <w:rsid w:val="006A5EFE"/>
    <w:rsid w:val="006A6003"/>
    <w:rsid w:val="006A6032"/>
    <w:rsid w:val="006A6054"/>
    <w:rsid w:val="006A6112"/>
    <w:rsid w:val="006A61CC"/>
    <w:rsid w:val="006A62F2"/>
    <w:rsid w:val="006A6351"/>
    <w:rsid w:val="006A6377"/>
    <w:rsid w:val="006A6398"/>
    <w:rsid w:val="006A649F"/>
    <w:rsid w:val="006A64D8"/>
    <w:rsid w:val="006A64D9"/>
    <w:rsid w:val="006A6526"/>
    <w:rsid w:val="006A656F"/>
    <w:rsid w:val="006A6572"/>
    <w:rsid w:val="006A65EA"/>
    <w:rsid w:val="006A662A"/>
    <w:rsid w:val="006A664E"/>
    <w:rsid w:val="006A669B"/>
    <w:rsid w:val="006A66AC"/>
    <w:rsid w:val="006A66FC"/>
    <w:rsid w:val="006A6730"/>
    <w:rsid w:val="006A6735"/>
    <w:rsid w:val="006A6806"/>
    <w:rsid w:val="006A682A"/>
    <w:rsid w:val="006A6834"/>
    <w:rsid w:val="006A6841"/>
    <w:rsid w:val="006A684E"/>
    <w:rsid w:val="006A6864"/>
    <w:rsid w:val="006A68AC"/>
    <w:rsid w:val="006A6951"/>
    <w:rsid w:val="006A6960"/>
    <w:rsid w:val="006A6979"/>
    <w:rsid w:val="006A6AAA"/>
    <w:rsid w:val="006A6AF0"/>
    <w:rsid w:val="006A6AF4"/>
    <w:rsid w:val="006A6AF7"/>
    <w:rsid w:val="006A6B0C"/>
    <w:rsid w:val="006A6B12"/>
    <w:rsid w:val="006A6B2E"/>
    <w:rsid w:val="006A6B4C"/>
    <w:rsid w:val="006A6BF0"/>
    <w:rsid w:val="006A6BF6"/>
    <w:rsid w:val="006A6C17"/>
    <w:rsid w:val="006A6C52"/>
    <w:rsid w:val="006A6C68"/>
    <w:rsid w:val="006A6CB2"/>
    <w:rsid w:val="006A6D07"/>
    <w:rsid w:val="006A6D4F"/>
    <w:rsid w:val="006A6D57"/>
    <w:rsid w:val="006A6D9E"/>
    <w:rsid w:val="006A6E4E"/>
    <w:rsid w:val="006A6E70"/>
    <w:rsid w:val="006A6F4F"/>
    <w:rsid w:val="006A6F8E"/>
    <w:rsid w:val="006A6FA6"/>
    <w:rsid w:val="006A705C"/>
    <w:rsid w:val="006A7069"/>
    <w:rsid w:val="006A70C3"/>
    <w:rsid w:val="006A713B"/>
    <w:rsid w:val="006A715A"/>
    <w:rsid w:val="006A7161"/>
    <w:rsid w:val="006A72AE"/>
    <w:rsid w:val="006A72D2"/>
    <w:rsid w:val="006A731A"/>
    <w:rsid w:val="006A73D3"/>
    <w:rsid w:val="006A7429"/>
    <w:rsid w:val="006A749E"/>
    <w:rsid w:val="006A74D1"/>
    <w:rsid w:val="006A7533"/>
    <w:rsid w:val="006A759F"/>
    <w:rsid w:val="006A75E3"/>
    <w:rsid w:val="006A7648"/>
    <w:rsid w:val="006A766C"/>
    <w:rsid w:val="006A76B6"/>
    <w:rsid w:val="006A76EE"/>
    <w:rsid w:val="006A7794"/>
    <w:rsid w:val="006A779E"/>
    <w:rsid w:val="006A77BF"/>
    <w:rsid w:val="006A78BF"/>
    <w:rsid w:val="006A793F"/>
    <w:rsid w:val="006A7940"/>
    <w:rsid w:val="006A79F5"/>
    <w:rsid w:val="006A7A3D"/>
    <w:rsid w:val="006A7A6A"/>
    <w:rsid w:val="006A7A76"/>
    <w:rsid w:val="006A7AEE"/>
    <w:rsid w:val="006A7C76"/>
    <w:rsid w:val="006A7C9F"/>
    <w:rsid w:val="006A7CBD"/>
    <w:rsid w:val="006A7D00"/>
    <w:rsid w:val="006A7D0B"/>
    <w:rsid w:val="006A7D24"/>
    <w:rsid w:val="006A7D2A"/>
    <w:rsid w:val="006A7D3B"/>
    <w:rsid w:val="006A7D40"/>
    <w:rsid w:val="006A7D50"/>
    <w:rsid w:val="006A7DA1"/>
    <w:rsid w:val="006A7DFB"/>
    <w:rsid w:val="006A7E1E"/>
    <w:rsid w:val="006A7F08"/>
    <w:rsid w:val="006A7F28"/>
    <w:rsid w:val="006A7F4A"/>
    <w:rsid w:val="006A7F4B"/>
    <w:rsid w:val="006AFE62"/>
    <w:rsid w:val="006B002D"/>
    <w:rsid w:val="006B00B4"/>
    <w:rsid w:val="006B0105"/>
    <w:rsid w:val="006B0174"/>
    <w:rsid w:val="006B0200"/>
    <w:rsid w:val="006B024A"/>
    <w:rsid w:val="006B0298"/>
    <w:rsid w:val="006B02D2"/>
    <w:rsid w:val="006B0334"/>
    <w:rsid w:val="006B0385"/>
    <w:rsid w:val="006B045F"/>
    <w:rsid w:val="006B046E"/>
    <w:rsid w:val="006B04AF"/>
    <w:rsid w:val="006B0522"/>
    <w:rsid w:val="006B05A8"/>
    <w:rsid w:val="006B0606"/>
    <w:rsid w:val="006B060D"/>
    <w:rsid w:val="006B0694"/>
    <w:rsid w:val="006B06B5"/>
    <w:rsid w:val="006B06EF"/>
    <w:rsid w:val="006B06F3"/>
    <w:rsid w:val="006B0700"/>
    <w:rsid w:val="006B0708"/>
    <w:rsid w:val="006B075D"/>
    <w:rsid w:val="006B07A7"/>
    <w:rsid w:val="006B07E3"/>
    <w:rsid w:val="006B085F"/>
    <w:rsid w:val="006B0888"/>
    <w:rsid w:val="006B09C4"/>
    <w:rsid w:val="006B0A1B"/>
    <w:rsid w:val="006B0A44"/>
    <w:rsid w:val="006B0AC3"/>
    <w:rsid w:val="006B0ACA"/>
    <w:rsid w:val="006B0B1A"/>
    <w:rsid w:val="006B0BC8"/>
    <w:rsid w:val="006B0D2C"/>
    <w:rsid w:val="006B0DE0"/>
    <w:rsid w:val="006B0DEF"/>
    <w:rsid w:val="006B0E58"/>
    <w:rsid w:val="006B0FD3"/>
    <w:rsid w:val="006B0FF5"/>
    <w:rsid w:val="006B1078"/>
    <w:rsid w:val="006B10CE"/>
    <w:rsid w:val="006B1115"/>
    <w:rsid w:val="006B1153"/>
    <w:rsid w:val="006B1173"/>
    <w:rsid w:val="006B11B4"/>
    <w:rsid w:val="006B1239"/>
    <w:rsid w:val="006B125F"/>
    <w:rsid w:val="006B13E5"/>
    <w:rsid w:val="006B1414"/>
    <w:rsid w:val="006B1426"/>
    <w:rsid w:val="006B151D"/>
    <w:rsid w:val="006B1541"/>
    <w:rsid w:val="006B1552"/>
    <w:rsid w:val="006B160D"/>
    <w:rsid w:val="006B1670"/>
    <w:rsid w:val="006B16D4"/>
    <w:rsid w:val="006B1707"/>
    <w:rsid w:val="006B172B"/>
    <w:rsid w:val="006B174E"/>
    <w:rsid w:val="006B18C6"/>
    <w:rsid w:val="006B18F0"/>
    <w:rsid w:val="006B19BF"/>
    <w:rsid w:val="006B1A08"/>
    <w:rsid w:val="006B1ABF"/>
    <w:rsid w:val="006B1B01"/>
    <w:rsid w:val="006B1B84"/>
    <w:rsid w:val="006B1BC4"/>
    <w:rsid w:val="006B1C1E"/>
    <w:rsid w:val="006B1C29"/>
    <w:rsid w:val="006B1CF7"/>
    <w:rsid w:val="006B1D02"/>
    <w:rsid w:val="006B1D0E"/>
    <w:rsid w:val="006B1D2D"/>
    <w:rsid w:val="006B1D3A"/>
    <w:rsid w:val="006B1D7F"/>
    <w:rsid w:val="006B1D98"/>
    <w:rsid w:val="006B1DB9"/>
    <w:rsid w:val="006B1DE3"/>
    <w:rsid w:val="006B1E09"/>
    <w:rsid w:val="006B1E39"/>
    <w:rsid w:val="006B1E5A"/>
    <w:rsid w:val="006B1E6A"/>
    <w:rsid w:val="006B1E72"/>
    <w:rsid w:val="006B1E78"/>
    <w:rsid w:val="006B1E81"/>
    <w:rsid w:val="006B1E98"/>
    <w:rsid w:val="006B1EA4"/>
    <w:rsid w:val="006B1F58"/>
    <w:rsid w:val="006B1FA2"/>
    <w:rsid w:val="006B1FC7"/>
    <w:rsid w:val="006B1FCF"/>
    <w:rsid w:val="006B20EA"/>
    <w:rsid w:val="006B20FB"/>
    <w:rsid w:val="006B2186"/>
    <w:rsid w:val="006B21DC"/>
    <w:rsid w:val="006B22AB"/>
    <w:rsid w:val="006B22DE"/>
    <w:rsid w:val="006B22EF"/>
    <w:rsid w:val="006B2354"/>
    <w:rsid w:val="006B2359"/>
    <w:rsid w:val="006B2396"/>
    <w:rsid w:val="006B23B1"/>
    <w:rsid w:val="006B2419"/>
    <w:rsid w:val="006B24EE"/>
    <w:rsid w:val="006B2536"/>
    <w:rsid w:val="006B258F"/>
    <w:rsid w:val="006B25E7"/>
    <w:rsid w:val="006B25F9"/>
    <w:rsid w:val="006B2629"/>
    <w:rsid w:val="006B273F"/>
    <w:rsid w:val="006B275F"/>
    <w:rsid w:val="006B2783"/>
    <w:rsid w:val="006B27E9"/>
    <w:rsid w:val="006B283A"/>
    <w:rsid w:val="006B283D"/>
    <w:rsid w:val="006B2963"/>
    <w:rsid w:val="006B2A1B"/>
    <w:rsid w:val="006B2AC3"/>
    <w:rsid w:val="006B2BF3"/>
    <w:rsid w:val="006B2BF7"/>
    <w:rsid w:val="006B2C28"/>
    <w:rsid w:val="006B2C2C"/>
    <w:rsid w:val="006B2C46"/>
    <w:rsid w:val="006B2C6B"/>
    <w:rsid w:val="006B2C89"/>
    <w:rsid w:val="006B2CEE"/>
    <w:rsid w:val="006B2DAA"/>
    <w:rsid w:val="006B2DC9"/>
    <w:rsid w:val="006B2DEC"/>
    <w:rsid w:val="006B2E37"/>
    <w:rsid w:val="006B2E67"/>
    <w:rsid w:val="006B2EF0"/>
    <w:rsid w:val="006B2F92"/>
    <w:rsid w:val="006B2FD0"/>
    <w:rsid w:val="006B2FEE"/>
    <w:rsid w:val="006B301D"/>
    <w:rsid w:val="006B3163"/>
    <w:rsid w:val="006B31D3"/>
    <w:rsid w:val="006B334E"/>
    <w:rsid w:val="006B3423"/>
    <w:rsid w:val="006B3451"/>
    <w:rsid w:val="006B34BA"/>
    <w:rsid w:val="006B34DE"/>
    <w:rsid w:val="006B34F1"/>
    <w:rsid w:val="006B3547"/>
    <w:rsid w:val="006B3556"/>
    <w:rsid w:val="006B3582"/>
    <w:rsid w:val="006B35DC"/>
    <w:rsid w:val="006B36AD"/>
    <w:rsid w:val="006B36C0"/>
    <w:rsid w:val="006B38A4"/>
    <w:rsid w:val="006B38C6"/>
    <w:rsid w:val="006B3999"/>
    <w:rsid w:val="006B39D1"/>
    <w:rsid w:val="006B39D9"/>
    <w:rsid w:val="006B3A1A"/>
    <w:rsid w:val="006B3A4C"/>
    <w:rsid w:val="006B3A74"/>
    <w:rsid w:val="006B3AD9"/>
    <w:rsid w:val="006B3AE3"/>
    <w:rsid w:val="006B3AE5"/>
    <w:rsid w:val="006B3BEB"/>
    <w:rsid w:val="006B3DFE"/>
    <w:rsid w:val="006B3E18"/>
    <w:rsid w:val="006B3E50"/>
    <w:rsid w:val="006B3F13"/>
    <w:rsid w:val="006B3F36"/>
    <w:rsid w:val="006B3F46"/>
    <w:rsid w:val="006B3FE5"/>
    <w:rsid w:val="006B4007"/>
    <w:rsid w:val="006B4034"/>
    <w:rsid w:val="006B40A5"/>
    <w:rsid w:val="006B40B6"/>
    <w:rsid w:val="006B412C"/>
    <w:rsid w:val="006B4136"/>
    <w:rsid w:val="006B4294"/>
    <w:rsid w:val="006B4299"/>
    <w:rsid w:val="006B42EF"/>
    <w:rsid w:val="006B4370"/>
    <w:rsid w:val="006B43A2"/>
    <w:rsid w:val="006B441F"/>
    <w:rsid w:val="006B4457"/>
    <w:rsid w:val="006B4490"/>
    <w:rsid w:val="006B44B0"/>
    <w:rsid w:val="006B4526"/>
    <w:rsid w:val="006B453C"/>
    <w:rsid w:val="006B45B5"/>
    <w:rsid w:val="006B461B"/>
    <w:rsid w:val="006B47AD"/>
    <w:rsid w:val="006B47BF"/>
    <w:rsid w:val="006B47E7"/>
    <w:rsid w:val="006B4843"/>
    <w:rsid w:val="006B48BA"/>
    <w:rsid w:val="006B48DF"/>
    <w:rsid w:val="006B4913"/>
    <w:rsid w:val="006B4928"/>
    <w:rsid w:val="006B49BD"/>
    <w:rsid w:val="006B49C4"/>
    <w:rsid w:val="006B4A44"/>
    <w:rsid w:val="006B4A6F"/>
    <w:rsid w:val="006B4A82"/>
    <w:rsid w:val="006B4B9F"/>
    <w:rsid w:val="006B4BB0"/>
    <w:rsid w:val="006B4C28"/>
    <w:rsid w:val="006B4D0F"/>
    <w:rsid w:val="006B4E4A"/>
    <w:rsid w:val="006B4E5C"/>
    <w:rsid w:val="006B4E66"/>
    <w:rsid w:val="006B4EBF"/>
    <w:rsid w:val="006B4EDB"/>
    <w:rsid w:val="006B4F2A"/>
    <w:rsid w:val="006B4FB3"/>
    <w:rsid w:val="006B4FCC"/>
    <w:rsid w:val="006B4FE8"/>
    <w:rsid w:val="006B4FEA"/>
    <w:rsid w:val="006B4FF7"/>
    <w:rsid w:val="006B500E"/>
    <w:rsid w:val="006B5027"/>
    <w:rsid w:val="006B5031"/>
    <w:rsid w:val="006B507E"/>
    <w:rsid w:val="006B50A5"/>
    <w:rsid w:val="006B50D5"/>
    <w:rsid w:val="006B520E"/>
    <w:rsid w:val="006B521D"/>
    <w:rsid w:val="006B52C3"/>
    <w:rsid w:val="006B52DB"/>
    <w:rsid w:val="006B537C"/>
    <w:rsid w:val="006B53DB"/>
    <w:rsid w:val="006B53F1"/>
    <w:rsid w:val="006B53F7"/>
    <w:rsid w:val="006B5404"/>
    <w:rsid w:val="006B5480"/>
    <w:rsid w:val="006B553E"/>
    <w:rsid w:val="006B55A0"/>
    <w:rsid w:val="006B566D"/>
    <w:rsid w:val="006B5674"/>
    <w:rsid w:val="006B5680"/>
    <w:rsid w:val="006B56D5"/>
    <w:rsid w:val="006B573F"/>
    <w:rsid w:val="006B5746"/>
    <w:rsid w:val="006B5766"/>
    <w:rsid w:val="006B576E"/>
    <w:rsid w:val="006B5798"/>
    <w:rsid w:val="006B583E"/>
    <w:rsid w:val="006B586C"/>
    <w:rsid w:val="006B5883"/>
    <w:rsid w:val="006B5893"/>
    <w:rsid w:val="006B58F5"/>
    <w:rsid w:val="006B593F"/>
    <w:rsid w:val="006B5943"/>
    <w:rsid w:val="006B5970"/>
    <w:rsid w:val="006B59DB"/>
    <w:rsid w:val="006B59FE"/>
    <w:rsid w:val="006B5A13"/>
    <w:rsid w:val="006B5A21"/>
    <w:rsid w:val="006B5A26"/>
    <w:rsid w:val="006B5A9D"/>
    <w:rsid w:val="006B5AA0"/>
    <w:rsid w:val="006B5AEF"/>
    <w:rsid w:val="006B5C00"/>
    <w:rsid w:val="006B5C14"/>
    <w:rsid w:val="006B5C40"/>
    <w:rsid w:val="006B5CAC"/>
    <w:rsid w:val="006B5CED"/>
    <w:rsid w:val="006B5D37"/>
    <w:rsid w:val="006B5E06"/>
    <w:rsid w:val="006B5EDC"/>
    <w:rsid w:val="006B5EFF"/>
    <w:rsid w:val="006B5F09"/>
    <w:rsid w:val="006B5F3A"/>
    <w:rsid w:val="006B5F6D"/>
    <w:rsid w:val="006B5F94"/>
    <w:rsid w:val="006B5FA9"/>
    <w:rsid w:val="006B5FE9"/>
    <w:rsid w:val="006B605B"/>
    <w:rsid w:val="006B605E"/>
    <w:rsid w:val="006B6095"/>
    <w:rsid w:val="006B6180"/>
    <w:rsid w:val="006B61E9"/>
    <w:rsid w:val="006B61FA"/>
    <w:rsid w:val="006B62E7"/>
    <w:rsid w:val="006B62E8"/>
    <w:rsid w:val="006B62F5"/>
    <w:rsid w:val="006B6355"/>
    <w:rsid w:val="006B636C"/>
    <w:rsid w:val="006B63AE"/>
    <w:rsid w:val="006B6404"/>
    <w:rsid w:val="006B646F"/>
    <w:rsid w:val="006B64F6"/>
    <w:rsid w:val="006B64FB"/>
    <w:rsid w:val="006B64FF"/>
    <w:rsid w:val="006B6503"/>
    <w:rsid w:val="006B656E"/>
    <w:rsid w:val="006B65E3"/>
    <w:rsid w:val="006B65F4"/>
    <w:rsid w:val="006B6643"/>
    <w:rsid w:val="006B6677"/>
    <w:rsid w:val="006B667A"/>
    <w:rsid w:val="006B667D"/>
    <w:rsid w:val="006B66A3"/>
    <w:rsid w:val="006B66C1"/>
    <w:rsid w:val="006B6728"/>
    <w:rsid w:val="006B67FC"/>
    <w:rsid w:val="006B68B6"/>
    <w:rsid w:val="006B699C"/>
    <w:rsid w:val="006B69A1"/>
    <w:rsid w:val="006B69BC"/>
    <w:rsid w:val="006B69FD"/>
    <w:rsid w:val="006B6A8F"/>
    <w:rsid w:val="006B6B0B"/>
    <w:rsid w:val="006B6B6A"/>
    <w:rsid w:val="006B6C83"/>
    <w:rsid w:val="006B6C95"/>
    <w:rsid w:val="006B6CB8"/>
    <w:rsid w:val="006B6CBC"/>
    <w:rsid w:val="006B6CC3"/>
    <w:rsid w:val="006B6CFF"/>
    <w:rsid w:val="006B6D18"/>
    <w:rsid w:val="006B6D2C"/>
    <w:rsid w:val="006B6D7E"/>
    <w:rsid w:val="006B6DCC"/>
    <w:rsid w:val="006B6DE5"/>
    <w:rsid w:val="006B6E06"/>
    <w:rsid w:val="006B6E61"/>
    <w:rsid w:val="006B6E76"/>
    <w:rsid w:val="006B6EA2"/>
    <w:rsid w:val="006B6EB7"/>
    <w:rsid w:val="006B6ED3"/>
    <w:rsid w:val="006B6F43"/>
    <w:rsid w:val="006B6F53"/>
    <w:rsid w:val="006B6F72"/>
    <w:rsid w:val="006B70F1"/>
    <w:rsid w:val="006B716F"/>
    <w:rsid w:val="006B71F2"/>
    <w:rsid w:val="006B722E"/>
    <w:rsid w:val="006B726B"/>
    <w:rsid w:val="006B72F3"/>
    <w:rsid w:val="006B7362"/>
    <w:rsid w:val="006B736D"/>
    <w:rsid w:val="006B7376"/>
    <w:rsid w:val="006B7380"/>
    <w:rsid w:val="006B739F"/>
    <w:rsid w:val="006B74CB"/>
    <w:rsid w:val="006B7574"/>
    <w:rsid w:val="006B7596"/>
    <w:rsid w:val="006B759E"/>
    <w:rsid w:val="006B75AE"/>
    <w:rsid w:val="006B760A"/>
    <w:rsid w:val="006B768B"/>
    <w:rsid w:val="006B771D"/>
    <w:rsid w:val="006B7728"/>
    <w:rsid w:val="006B7765"/>
    <w:rsid w:val="006B7790"/>
    <w:rsid w:val="006B77A8"/>
    <w:rsid w:val="006B77B4"/>
    <w:rsid w:val="006B77BB"/>
    <w:rsid w:val="006B77CD"/>
    <w:rsid w:val="006B7800"/>
    <w:rsid w:val="006B781E"/>
    <w:rsid w:val="006B7834"/>
    <w:rsid w:val="006B7898"/>
    <w:rsid w:val="006B78EC"/>
    <w:rsid w:val="006B78EE"/>
    <w:rsid w:val="006B78FA"/>
    <w:rsid w:val="006B7902"/>
    <w:rsid w:val="006B7910"/>
    <w:rsid w:val="006B796F"/>
    <w:rsid w:val="006B79B9"/>
    <w:rsid w:val="006B79EB"/>
    <w:rsid w:val="006B7BB5"/>
    <w:rsid w:val="006B7BF1"/>
    <w:rsid w:val="006B7C32"/>
    <w:rsid w:val="006B7C6F"/>
    <w:rsid w:val="006B7C79"/>
    <w:rsid w:val="006B7D09"/>
    <w:rsid w:val="006B7D79"/>
    <w:rsid w:val="006B7DBA"/>
    <w:rsid w:val="006B7DF3"/>
    <w:rsid w:val="006B7E58"/>
    <w:rsid w:val="006B7E64"/>
    <w:rsid w:val="006B7E78"/>
    <w:rsid w:val="006B7F28"/>
    <w:rsid w:val="006B7F44"/>
    <w:rsid w:val="006B7F60"/>
    <w:rsid w:val="006B7F7F"/>
    <w:rsid w:val="006B7F89"/>
    <w:rsid w:val="006B7FA0"/>
    <w:rsid w:val="006B7FB1"/>
    <w:rsid w:val="006B7FFB"/>
    <w:rsid w:val="006C0007"/>
    <w:rsid w:val="006C0025"/>
    <w:rsid w:val="006C0099"/>
    <w:rsid w:val="006C00B8"/>
    <w:rsid w:val="006C00DC"/>
    <w:rsid w:val="006C0194"/>
    <w:rsid w:val="006C01CE"/>
    <w:rsid w:val="006C01DB"/>
    <w:rsid w:val="006C01F4"/>
    <w:rsid w:val="006C0212"/>
    <w:rsid w:val="006C02CD"/>
    <w:rsid w:val="006C033D"/>
    <w:rsid w:val="006C0441"/>
    <w:rsid w:val="006C050A"/>
    <w:rsid w:val="006C0519"/>
    <w:rsid w:val="006C05A0"/>
    <w:rsid w:val="006C05A5"/>
    <w:rsid w:val="006C05C6"/>
    <w:rsid w:val="006C05C8"/>
    <w:rsid w:val="006C05CF"/>
    <w:rsid w:val="006C061F"/>
    <w:rsid w:val="006C06A4"/>
    <w:rsid w:val="006C0732"/>
    <w:rsid w:val="006C0791"/>
    <w:rsid w:val="006C092D"/>
    <w:rsid w:val="006C0966"/>
    <w:rsid w:val="006C09A4"/>
    <w:rsid w:val="006C0A20"/>
    <w:rsid w:val="006C0A23"/>
    <w:rsid w:val="006C0A4E"/>
    <w:rsid w:val="006C0A55"/>
    <w:rsid w:val="006C0AAA"/>
    <w:rsid w:val="006C0AD6"/>
    <w:rsid w:val="006C0AE2"/>
    <w:rsid w:val="006C0AE8"/>
    <w:rsid w:val="006C0BA3"/>
    <w:rsid w:val="006C0CC1"/>
    <w:rsid w:val="006C0D71"/>
    <w:rsid w:val="006C0D8A"/>
    <w:rsid w:val="006C0E66"/>
    <w:rsid w:val="006C0EF5"/>
    <w:rsid w:val="006C0F34"/>
    <w:rsid w:val="006C10D6"/>
    <w:rsid w:val="006C1189"/>
    <w:rsid w:val="006C11A1"/>
    <w:rsid w:val="006C1209"/>
    <w:rsid w:val="006C121C"/>
    <w:rsid w:val="006C1273"/>
    <w:rsid w:val="006C12C2"/>
    <w:rsid w:val="006C138D"/>
    <w:rsid w:val="006C1398"/>
    <w:rsid w:val="006C13EF"/>
    <w:rsid w:val="006C1417"/>
    <w:rsid w:val="006C1467"/>
    <w:rsid w:val="006C14DB"/>
    <w:rsid w:val="006C1565"/>
    <w:rsid w:val="006C1594"/>
    <w:rsid w:val="006C15DA"/>
    <w:rsid w:val="006C16DB"/>
    <w:rsid w:val="006C16E1"/>
    <w:rsid w:val="006C16FE"/>
    <w:rsid w:val="006C176A"/>
    <w:rsid w:val="006C179D"/>
    <w:rsid w:val="006C17E7"/>
    <w:rsid w:val="006C1828"/>
    <w:rsid w:val="006C190E"/>
    <w:rsid w:val="006C19BD"/>
    <w:rsid w:val="006C1A15"/>
    <w:rsid w:val="006C1A1E"/>
    <w:rsid w:val="006C1A36"/>
    <w:rsid w:val="006C1B5B"/>
    <w:rsid w:val="006C1B77"/>
    <w:rsid w:val="006C1B91"/>
    <w:rsid w:val="006C1B97"/>
    <w:rsid w:val="006C1BCF"/>
    <w:rsid w:val="006C1BEB"/>
    <w:rsid w:val="006C1C21"/>
    <w:rsid w:val="006C1C35"/>
    <w:rsid w:val="006C1D6F"/>
    <w:rsid w:val="006C1DD9"/>
    <w:rsid w:val="006C1DDC"/>
    <w:rsid w:val="006C1DF4"/>
    <w:rsid w:val="006C1F37"/>
    <w:rsid w:val="006C1F95"/>
    <w:rsid w:val="006C20A5"/>
    <w:rsid w:val="006C20AA"/>
    <w:rsid w:val="006C210A"/>
    <w:rsid w:val="006C211D"/>
    <w:rsid w:val="006C2147"/>
    <w:rsid w:val="006C2176"/>
    <w:rsid w:val="006C2303"/>
    <w:rsid w:val="006C237E"/>
    <w:rsid w:val="006C23E1"/>
    <w:rsid w:val="006C2446"/>
    <w:rsid w:val="006C244B"/>
    <w:rsid w:val="006C24AB"/>
    <w:rsid w:val="006C250E"/>
    <w:rsid w:val="006C2643"/>
    <w:rsid w:val="006C2676"/>
    <w:rsid w:val="006C26C4"/>
    <w:rsid w:val="006C26D5"/>
    <w:rsid w:val="006C26D7"/>
    <w:rsid w:val="006C26F6"/>
    <w:rsid w:val="006C2731"/>
    <w:rsid w:val="006C2840"/>
    <w:rsid w:val="006C285F"/>
    <w:rsid w:val="006C2893"/>
    <w:rsid w:val="006C28A8"/>
    <w:rsid w:val="006C2ADD"/>
    <w:rsid w:val="006C2AF4"/>
    <w:rsid w:val="006C2AFF"/>
    <w:rsid w:val="006C2B4F"/>
    <w:rsid w:val="006C2B76"/>
    <w:rsid w:val="006C2B7F"/>
    <w:rsid w:val="006C2C1C"/>
    <w:rsid w:val="006C2CCC"/>
    <w:rsid w:val="006C2DD8"/>
    <w:rsid w:val="006C2E51"/>
    <w:rsid w:val="006C2EDF"/>
    <w:rsid w:val="006C2EE6"/>
    <w:rsid w:val="006C2FEB"/>
    <w:rsid w:val="006C2FEE"/>
    <w:rsid w:val="006C2FFF"/>
    <w:rsid w:val="006C3127"/>
    <w:rsid w:val="006C3150"/>
    <w:rsid w:val="006C31AA"/>
    <w:rsid w:val="006C31DC"/>
    <w:rsid w:val="006C3237"/>
    <w:rsid w:val="006C328F"/>
    <w:rsid w:val="006C32E8"/>
    <w:rsid w:val="006C330A"/>
    <w:rsid w:val="006C332A"/>
    <w:rsid w:val="006C3482"/>
    <w:rsid w:val="006C3490"/>
    <w:rsid w:val="006C34E4"/>
    <w:rsid w:val="006C34F3"/>
    <w:rsid w:val="006C3593"/>
    <w:rsid w:val="006C363B"/>
    <w:rsid w:val="006C3771"/>
    <w:rsid w:val="006C37AB"/>
    <w:rsid w:val="006C37B9"/>
    <w:rsid w:val="006C37D4"/>
    <w:rsid w:val="006C384E"/>
    <w:rsid w:val="006C38C5"/>
    <w:rsid w:val="006C390A"/>
    <w:rsid w:val="006C39E4"/>
    <w:rsid w:val="006C3A44"/>
    <w:rsid w:val="006C3A5C"/>
    <w:rsid w:val="006C3A8F"/>
    <w:rsid w:val="006C3A90"/>
    <w:rsid w:val="006C3AC6"/>
    <w:rsid w:val="006C3AFA"/>
    <w:rsid w:val="006C3B0E"/>
    <w:rsid w:val="006C3BB7"/>
    <w:rsid w:val="006C3BBF"/>
    <w:rsid w:val="006C3C27"/>
    <w:rsid w:val="006C3C8D"/>
    <w:rsid w:val="006C3D01"/>
    <w:rsid w:val="006C3D65"/>
    <w:rsid w:val="006C3D68"/>
    <w:rsid w:val="006C3DCE"/>
    <w:rsid w:val="006C3E1F"/>
    <w:rsid w:val="006C3E87"/>
    <w:rsid w:val="006C3EBB"/>
    <w:rsid w:val="006C3F2F"/>
    <w:rsid w:val="006C3F56"/>
    <w:rsid w:val="006C3FAA"/>
    <w:rsid w:val="006C3FE6"/>
    <w:rsid w:val="006C408D"/>
    <w:rsid w:val="006C40A5"/>
    <w:rsid w:val="006C40F0"/>
    <w:rsid w:val="006C4191"/>
    <w:rsid w:val="006C41A7"/>
    <w:rsid w:val="006C41B9"/>
    <w:rsid w:val="006C423D"/>
    <w:rsid w:val="006C4290"/>
    <w:rsid w:val="006C42CC"/>
    <w:rsid w:val="006C42D5"/>
    <w:rsid w:val="006C42E8"/>
    <w:rsid w:val="006C440D"/>
    <w:rsid w:val="006C454A"/>
    <w:rsid w:val="006C4687"/>
    <w:rsid w:val="006C46B0"/>
    <w:rsid w:val="006C46C4"/>
    <w:rsid w:val="006C4761"/>
    <w:rsid w:val="006C4797"/>
    <w:rsid w:val="006C4801"/>
    <w:rsid w:val="006C4806"/>
    <w:rsid w:val="006C4828"/>
    <w:rsid w:val="006C4853"/>
    <w:rsid w:val="006C488F"/>
    <w:rsid w:val="006C48D1"/>
    <w:rsid w:val="006C48D8"/>
    <w:rsid w:val="006C48F2"/>
    <w:rsid w:val="006C4900"/>
    <w:rsid w:val="006C492B"/>
    <w:rsid w:val="006C4933"/>
    <w:rsid w:val="006C4AA6"/>
    <w:rsid w:val="006C4AA7"/>
    <w:rsid w:val="006C4AD7"/>
    <w:rsid w:val="006C4B06"/>
    <w:rsid w:val="006C4BA6"/>
    <w:rsid w:val="006C4BE7"/>
    <w:rsid w:val="006C4C22"/>
    <w:rsid w:val="006C4C37"/>
    <w:rsid w:val="006C4C4D"/>
    <w:rsid w:val="006C4CD5"/>
    <w:rsid w:val="006C4CF5"/>
    <w:rsid w:val="006C4DD3"/>
    <w:rsid w:val="006C4DD9"/>
    <w:rsid w:val="006C4E19"/>
    <w:rsid w:val="006C4E2C"/>
    <w:rsid w:val="006C4F1C"/>
    <w:rsid w:val="006C4F2C"/>
    <w:rsid w:val="006C4F87"/>
    <w:rsid w:val="006C4F9D"/>
    <w:rsid w:val="006C4FBB"/>
    <w:rsid w:val="006C4FBE"/>
    <w:rsid w:val="006C5004"/>
    <w:rsid w:val="006C5013"/>
    <w:rsid w:val="006C507C"/>
    <w:rsid w:val="006C5081"/>
    <w:rsid w:val="006C50F8"/>
    <w:rsid w:val="006C5129"/>
    <w:rsid w:val="006C522A"/>
    <w:rsid w:val="006C52A0"/>
    <w:rsid w:val="006C5302"/>
    <w:rsid w:val="006C536F"/>
    <w:rsid w:val="006C5383"/>
    <w:rsid w:val="006C53C5"/>
    <w:rsid w:val="006C5438"/>
    <w:rsid w:val="006C5478"/>
    <w:rsid w:val="006C54CE"/>
    <w:rsid w:val="006C54DD"/>
    <w:rsid w:val="006C552B"/>
    <w:rsid w:val="006C5552"/>
    <w:rsid w:val="006C559F"/>
    <w:rsid w:val="006C55B9"/>
    <w:rsid w:val="006C55BC"/>
    <w:rsid w:val="006C55EC"/>
    <w:rsid w:val="006C56D9"/>
    <w:rsid w:val="006C5745"/>
    <w:rsid w:val="006C57D1"/>
    <w:rsid w:val="006C58CB"/>
    <w:rsid w:val="006C5940"/>
    <w:rsid w:val="006C595E"/>
    <w:rsid w:val="006C59C4"/>
    <w:rsid w:val="006C59C7"/>
    <w:rsid w:val="006C5AB2"/>
    <w:rsid w:val="006C5B0A"/>
    <w:rsid w:val="006C5B0F"/>
    <w:rsid w:val="006C5B96"/>
    <w:rsid w:val="006C5B9A"/>
    <w:rsid w:val="006C5BAC"/>
    <w:rsid w:val="006C5BD5"/>
    <w:rsid w:val="006C5C18"/>
    <w:rsid w:val="006C5C82"/>
    <w:rsid w:val="006C5D06"/>
    <w:rsid w:val="006C5D41"/>
    <w:rsid w:val="006C5E2D"/>
    <w:rsid w:val="006C5EC5"/>
    <w:rsid w:val="006C5F2C"/>
    <w:rsid w:val="006C5FD4"/>
    <w:rsid w:val="006C600E"/>
    <w:rsid w:val="006C6018"/>
    <w:rsid w:val="006C6051"/>
    <w:rsid w:val="006C60AA"/>
    <w:rsid w:val="006C61A0"/>
    <w:rsid w:val="006C6216"/>
    <w:rsid w:val="006C6283"/>
    <w:rsid w:val="006C62F9"/>
    <w:rsid w:val="006C6307"/>
    <w:rsid w:val="006C6460"/>
    <w:rsid w:val="006C64CC"/>
    <w:rsid w:val="006C653C"/>
    <w:rsid w:val="006C65FF"/>
    <w:rsid w:val="006C665D"/>
    <w:rsid w:val="006C6660"/>
    <w:rsid w:val="006C667F"/>
    <w:rsid w:val="006C67B5"/>
    <w:rsid w:val="006C6890"/>
    <w:rsid w:val="006C6897"/>
    <w:rsid w:val="006C68C9"/>
    <w:rsid w:val="006C68DC"/>
    <w:rsid w:val="006C692A"/>
    <w:rsid w:val="006C69BE"/>
    <w:rsid w:val="006C6A22"/>
    <w:rsid w:val="006C6A4C"/>
    <w:rsid w:val="006C6A90"/>
    <w:rsid w:val="006C6AC5"/>
    <w:rsid w:val="006C6B38"/>
    <w:rsid w:val="006C6B60"/>
    <w:rsid w:val="006C6BB9"/>
    <w:rsid w:val="006C6BBB"/>
    <w:rsid w:val="006C6BC8"/>
    <w:rsid w:val="006C6C04"/>
    <w:rsid w:val="006C6C45"/>
    <w:rsid w:val="006C6C6B"/>
    <w:rsid w:val="006C6C74"/>
    <w:rsid w:val="006C6C83"/>
    <w:rsid w:val="006C6CA8"/>
    <w:rsid w:val="006C6CD4"/>
    <w:rsid w:val="006C6CD8"/>
    <w:rsid w:val="006C6D0E"/>
    <w:rsid w:val="006C6DD0"/>
    <w:rsid w:val="006C6E02"/>
    <w:rsid w:val="006C6E0F"/>
    <w:rsid w:val="006C6E49"/>
    <w:rsid w:val="006C6E52"/>
    <w:rsid w:val="006C6E6A"/>
    <w:rsid w:val="006C6E9E"/>
    <w:rsid w:val="006C6F0F"/>
    <w:rsid w:val="006C702C"/>
    <w:rsid w:val="006C7077"/>
    <w:rsid w:val="006C708C"/>
    <w:rsid w:val="006C70E0"/>
    <w:rsid w:val="006C71B1"/>
    <w:rsid w:val="006C7211"/>
    <w:rsid w:val="006C724C"/>
    <w:rsid w:val="006C7273"/>
    <w:rsid w:val="006C7279"/>
    <w:rsid w:val="006C7353"/>
    <w:rsid w:val="006C7414"/>
    <w:rsid w:val="006C7484"/>
    <w:rsid w:val="006C74A5"/>
    <w:rsid w:val="006C74BE"/>
    <w:rsid w:val="006C75BD"/>
    <w:rsid w:val="006C761B"/>
    <w:rsid w:val="006C7624"/>
    <w:rsid w:val="006C764D"/>
    <w:rsid w:val="006C76C3"/>
    <w:rsid w:val="006C76D5"/>
    <w:rsid w:val="006C7731"/>
    <w:rsid w:val="006C775C"/>
    <w:rsid w:val="006C7767"/>
    <w:rsid w:val="006C7775"/>
    <w:rsid w:val="006C77A8"/>
    <w:rsid w:val="006C77D2"/>
    <w:rsid w:val="006C77DC"/>
    <w:rsid w:val="006C781C"/>
    <w:rsid w:val="006C78AD"/>
    <w:rsid w:val="006C7954"/>
    <w:rsid w:val="006C795B"/>
    <w:rsid w:val="006C7996"/>
    <w:rsid w:val="006C79B1"/>
    <w:rsid w:val="006C79FF"/>
    <w:rsid w:val="006C7A04"/>
    <w:rsid w:val="006C7A16"/>
    <w:rsid w:val="006C7A53"/>
    <w:rsid w:val="006C7A54"/>
    <w:rsid w:val="006C7AA0"/>
    <w:rsid w:val="006C7AFD"/>
    <w:rsid w:val="006C7B9A"/>
    <w:rsid w:val="006C7BC8"/>
    <w:rsid w:val="006C7CFA"/>
    <w:rsid w:val="006C7D19"/>
    <w:rsid w:val="006C7D7D"/>
    <w:rsid w:val="006C7D99"/>
    <w:rsid w:val="006C7DD1"/>
    <w:rsid w:val="006C7DDE"/>
    <w:rsid w:val="006C7DEF"/>
    <w:rsid w:val="006C7E8D"/>
    <w:rsid w:val="006C7EEE"/>
    <w:rsid w:val="006C7F15"/>
    <w:rsid w:val="006C7F8C"/>
    <w:rsid w:val="006C7FF4"/>
    <w:rsid w:val="006D0081"/>
    <w:rsid w:val="006D009E"/>
    <w:rsid w:val="006D00C2"/>
    <w:rsid w:val="006D00EB"/>
    <w:rsid w:val="006D0167"/>
    <w:rsid w:val="006D016C"/>
    <w:rsid w:val="006D01E0"/>
    <w:rsid w:val="006D0220"/>
    <w:rsid w:val="006D0308"/>
    <w:rsid w:val="006D032B"/>
    <w:rsid w:val="006D0389"/>
    <w:rsid w:val="006D03B6"/>
    <w:rsid w:val="006D0454"/>
    <w:rsid w:val="006D0568"/>
    <w:rsid w:val="006D0585"/>
    <w:rsid w:val="006D05AF"/>
    <w:rsid w:val="006D0616"/>
    <w:rsid w:val="006D0657"/>
    <w:rsid w:val="006D066B"/>
    <w:rsid w:val="006D067E"/>
    <w:rsid w:val="006D06F1"/>
    <w:rsid w:val="006D073A"/>
    <w:rsid w:val="006D082F"/>
    <w:rsid w:val="006D0883"/>
    <w:rsid w:val="006D08B3"/>
    <w:rsid w:val="006D08C0"/>
    <w:rsid w:val="006D08C8"/>
    <w:rsid w:val="006D08F6"/>
    <w:rsid w:val="006D097F"/>
    <w:rsid w:val="006D09F3"/>
    <w:rsid w:val="006D0A4E"/>
    <w:rsid w:val="006D0A74"/>
    <w:rsid w:val="006D0A8C"/>
    <w:rsid w:val="006D0AA0"/>
    <w:rsid w:val="006D0AB5"/>
    <w:rsid w:val="006D0B11"/>
    <w:rsid w:val="006D0B28"/>
    <w:rsid w:val="006D0B6E"/>
    <w:rsid w:val="006D0BA6"/>
    <w:rsid w:val="006D0BD6"/>
    <w:rsid w:val="006D0C3E"/>
    <w:rsid w:val="006D0CAB"/>
    <w:rsid w:val="006D0CEE"/>
    <w:rsid w:val="006D0D8C"/>
    <w:rsid w:val="006D0DFC"/>
    <w:rsid w:val="006D0E9D"/>
    <w:rsid w:val="006D0F3F"/>
    <w:rsid w:val="006D0FC6"/>
    <w:rsid w:val="006D1006"/>
    <w:rsid w:val="006D105A"/>
    <w:rsid w:val="006D10A6"/>
    <w:rsid w:val="006D1167"/>
    <w:rsid w:val="006D119C"/>
    <w:rsid w:val="006D122C"/>
    <w:rsid w:val="006D1249"/>
    <w:rsid w:val="006D129C"/>
    <w:rsid w:val="006D12B2"/>
    <w:rsid w:val="006D12E3"/>
    <w:rsid w:val="006D12FD"/>
    <w:rsid w:val="006D13AD"/>
    <w:rsid w:val="006D13CA"/>
    <w:rsid w:val="006D13D9"/>
    <w:rsid w:val="006D13FB"/>
    <w:rsid w:val="006D1400"/>
    <w:rsid w:val="006D1460"/>
    <w:rsid w:val="006D14A9"/>
    <w:rsid w:val="006D1515"/>
    <w:rsid w:val="006D151D"/>
    <w:rsid w:val="006D156C"/>
    <w:rsid w:val="006D158B"/>
    <w:rsid w:val="006D15AD"/>
    <w:rsid w:val="006D1620"/>
    <w:rsid w:val="006D1731"/>
    <w:rsid w:val="006D17B4"/>
    <w:rsid w:val="006D17FF"/>
    <w:rsid w:val="006D181A"/>
    <w:rsid w:val="006D1826"/>
    <w:rsid w:val="006D1845"/>
    <w:rsid w:val="006D18F0"/>
    <w:rsid w:val="006D1977"/>
    <w:rsid w:val="006D19BE"/>
    <w:rsid w:val="006D19CC"/>
    <w:rsid w:val="006D1A36"/>
    <w:rsid w:val="006D1B5C"/>
    <w:rsid w:val="006D1C8A"/>
    <w:rsid w:val="006D1D58"/>
    <w:rsid w:val="006D1DC8"/>
    <w:rsid w:val="006D1DE3"/>
    <w:rsid w:val="006D1E07"/>
    <w:rsid w:val="006D1EE0"/>
    <w:rsid w:val="006D20E9"/>
    <w:rsid w:val="006D20F1"/>
    <w:rsid w:val="006D2121"/>
    <w:rsid w:val="006D217D"/>
    <w:rsid w:val="006D2217"/>
    <w:rsid w:val="006D2267"/>
    <w:rsid w:val="006D22F1"/>
    <w:rsid w:val="006D2339"/>
    <w:rsid w:val="006D236C"/>
    <w:rsid w:val="006D23C6"/>
    <w:rsid w:val="006D23D6"/>
    <w:rsid w:val="006D2432"/>
    <w:rsid w:val="006D243B"/>
    <w:rsid w:val="006D24DC"/>
    <w:rsid w:val="006D2627"/>
    <w:rsid w:val="006D26C8"/>
    <w:rsid w:val="006D26D4"/>
    <w:rsid w:val="006D2787"/>
    <w:rsid w:val="006D27B2"/>
    <w:rsid w:val="006D27F7"/>
    <w:rsid w:val="006D2842"/>
    <w:rsid w:val="006D289E"/>
    <w:rsid w:val="006D28B0"/>
    <w:rsid w:val="006D296B"/>
    <w:rsid w:val="006D2975"/>
    <w:rsid w:val="006D29A5"/>
    <w:rsid w:val="006D29EE"/>
    <w:rsid w:val="006D2A6B"/>
    <w:rsid w:val="006D2AB3"/>
    <w:rsid w:val="006D2AE7"/>
    <w:rsid w:val="006D2AE9"/>
    <w:rsid w:val="006D2AFD"/>
    <w:rsid w:val="006D2B48"/>
    <w:rsid w:val="006D2B5E"/>
    <w:rsid w:val="006D2B61"/>
    <w:rsid w:val="006D2BEE"/>
    <w:rsid w:val="006D2C46"/>
    <w:rsid w:val="006D2C4D"/>
    <w:rsid w:val="006D2CEA"/>
    <w:rsid w:val="006D2CEC"/>
    <w:rsid w:val="006D2D62"/>
    <w:rsid w:val="006D2DF6"/>
    <w:rsid w:val="006D2E40"/>
    <w:rsid w:val="006D2E8C"/>
    <w:rsid w:val="006D2EE8"/>
    <w:rsid w:val="006D2F63"/>
    <w:rsid w:val="006D2F68"/>
    <w:rsid w:val="006D2FDB"/>
    <w:rsid w:val="006D3002"/>
    <w:rsid w:val="006D302C"/>
    <w:rsid w:val="006D3083"/>
    <w:rsid w:val="006D30C3"/>
    <w:rsid w:val="006D310B"/>
    <w:rsid w:val="006D32F0"/>
    <w:rsid w:val="006D3351"/>
    <w:rsid w:val="006D3357"/>
    <w:rsid w:val="006D33BC"/>
    <w:rsid w:val="006D33BD"/>
    <w:rsid w:val="006D349E"/>
    <w:rsid w:val="006D34D3"/>
    <w:rsid w:val="006D352C"/>
    <w:rsid w:val="006D354C"/>
    <w:rsid w:val="006D356A"/>
    <w:rsid w:val="006D3587"/>
    <w:rsid w:val="006D360B"/>
    <w:rsid w:val="006D363D"/>
    <w:rsid w:val="006D365D"/>
    <w:rsid w:val="006D3689"/>
    <w:rsid w:val="006D36B3"/>
    <w:rsid w:val="006D37DE"/>
    <w:rsid w:val="006D3849"/>
    <w:rsid w:val="006D38AF"/>
    <w:rsid w:val="006D38FC"/>
    <w:rsid w:val="006D393A"/>
    <w:rsid w:val="006D3975"/>
    <w:rsid w:val="006D397D"/>
    <w:rsid w:val="006D3A20"/>
    <w:rsid w:val="006D3B24"/>
    <w:rsid w:val="006D3B69"/>
    <w:rsid w:val="006D3BEE"/>
    <w:rsid w:val="006D3BF7"/>
    <w:rsid w:val="006D3CC4"/>
    <w:rsid w:val="006D3D6A"/>
    <w:rsid w:val="006D3DA3"/>
    <w:rsid w:val="006D3E1E"/>
    <w:rsid w:val="006D3EB7"/>
    <w:rsid w:val="006D3F87"/>
    <w:rsid w:val="006D4033"/>
    <w:rsid w:val="006D4036"/>
    <w:rsid w:val="006D403A"/>
    <w:rsid w:val="006D404B"/>
    <w:rsid w:val="006D4061"/>
    <w:rsid w:val="006D40E9"/>
    <w:rsid w:val="006D40EC"/>
    <w:rsid w:val="006D40F1"/>
    <w:rsid w:val="006D414B"/>
    <w:rsid w:val="006D415F"/>
    <w:rsid w:val="006D423B"/>
    <w:rsid w:val="006D4327"/>
    <w:rsid w:val="006D4333"/>
    <w:rsid w:val="006D4352"/>
    <w:rsid w:val="006D443A"/>
    <w:rsid w:val="006D4467"/>
    <w:rsid w:val="006D4537"/>
    <w:rsid w:val="006D4538"/>
    <w:rsid w:val="006D458E"/>
    <w:rsid w:val="006D468B"/>
    <w:rsid w:val="006D46AC"/>
    <w:rsid w:val="006D46FF"/>
    <w:rsid w:val="006D4714"/>
    <w:rsid w:val="006D4790"/>
    <w:rsid w:val="006D4863"/>
    <w:rsid w:val="006D4883"/>
    <w:rsid w:val="006D48C9"/>
    <w:rsid w:val="006D4901"/>
    <w:rsid w:val="006D491D"/>
    <w:rsid w:val="006D49D1"/>
    <w:rsid w:val="006D49DA"/>
    <w:rsid w:val="006D49E0"/>
    <w:rsid w:val="006D4A56"/>
    <w:rsid w:val="006D4A73"/>
    <w:rsid w:val="006D4AF1"/>
    <w:rsid w:val="006D4B0C"/>
    <w:rsid w:val="006D4B15"/>
    <w:rsid w:val="006D4B20"/>
    <w:rsid w:val="006D4B36"/>
    <w:rsid w:val="006D4B5F"/>
    <w:rsid w:val="006D4B74"/>
    <w:rsid w:val="006D4BBA"/>
    <w:rsid w:val="006D4CFA"/>
    <w:rsid w:val="006D4D8F"/>
    <w:rsid w:val="006D4DE5"/>
    <w:rsid w:val="006D4EA3"/>
    <w:rsid w:val="006D4ED2"/>
    <w:rsid w:val="006D4F09"/>
    <w:rsid w:val="006D4F3D"/>
    <w:rsid w:val="006D4FE1"/>
    <w:rsid w:val="006D4FFF"/>
    <w:rsid w:val="006D5054"/>
    <w:rsid w:val="006D50EB"/>
    <w:rsid w:val="006D5119"/>
    <w:rsid w:val="006D5142"/>
    <w:rsid w:val="006D51D4"/>
    <w:rsid w:val="006D5208"/>
    <w:rsid w:val="006D5210"/>
    <w:rsid w:val="006D5214"/>
    <w:rsid w:val="006D5220"/>
    <w:rsid w:val="006D52A6"/>
    <w:rsid w:val="006D52A8"/>
    <w:rsid w:val="006D52B4"/>
    <w:rsid w:val="006D5351"/>
    <w:rsid w:val="006D5357"/>
    <w:rsid w:val="006D5369"/>
    <w:rsid w:val="006D537F"/>
    <w:rsid w:val="006D54E7"/>
    <w:rsid w:val="006D558A"/>
    <w:rsid w:val="006D55F6"/>
    <w:rsid w:val="006D56A3"/>
    <w:rsid w:val="006D56AE"/>
    <w:rsid w:val="006D56FB"/>
    <w:rsid w:val="006D571A"/>
    <w:rsid w:val="006D5755"/>
    <w:rsid w:val="006D578E"/>
    <w:rsid w:val="006D57FA"/>
    <w:rsid w:val="006D584F"/>
    <w:rsid w:val="006D5886"/>
    <w:rsid w:val="006D594F"/>
    <w:rsid w:val="006D597D"/>
    <w:rsid w:val="006D59F8"/>
    <w:rsid w:val="006D5A1B"/>
    <w:rsid w:val="006D5A5F"/>
    <w:rsid w:val="006D5A60"/>
    <w:rsid w:val="006D5AF4"/>
    <w:rsid w:val="006D5B39"/>
    <w:rsid w:val="006D5B47"/>
    <w:rsid w:val="006D5B49"/>
    <w:rsid w:val="006D5B62"/>
    <w:rsid w:val="006D5B96"/>
    <w:rsid w:val="006D5BA2"/>
    <w:rsid w:val="006D5C23"/>
    <w:rsid w:val="006D5CA8"/>
    <w:rsid w:val="006D5CD2"/>
    <w:rsid w:val="006D5D15"/>
    <w:rsid w:val="006D5D74"/>
    <w:rsid w:val="006D5E4A"/>
    <w:rsid w:val="006D5E71"/>
    <w:rsid w:val="006D5E7F"/>
    <w:rsid w:val="006D5E83"/>
    <w:rsid w:val="006D5F5D"/>
    <w:rsid w:val="006D5F7A"/>
    <w:rsid w:val="006D5F82"/>
    <w:rsid w:val="006D5FDE"/>
    <w:rsid w:val="006D6022"/>
    <w:rsid w:val="006D6077"/>
    <w:rsid w:val="006D6089"/>
    <w:rsid w:val="006D60D9"/>
    <w:rsid w:val="006D60E9"/>
    <w:rsid w:val="006D60F8"/>
    <w:rsid w:val="006D61AB"/>
    <w:rsid w:val="006D61C3"/>
    <w:rsid w:val="006D61E6"/>
    <w:rsid w:val="006D61E7"/>
    <w:rsid w:val="006D6241"/>
    <w:rsid w:val="006D6272"/>
    <w:rsid w:val="006D62D9"/>
    <w:rsid w:val="006D63A4"/>
    <w:rsid w:val="006D64C0"/>
    <w:rsid w:val="006D64ED"/>
    <w:rsid w:val="006D650B"/>
    <w:rsid w:val="006D6534"/>
    <w:rsid w:val="006D6542"/>
    <w:rsid w:val="006D6553"/>
    <w:rsid w:val="006D6595"/>
    <w:rsid w:val="006D6599"/>
    <w:rsid w:val="006D65B2"/>
    <w:rsid w:val="006D65C3"/>
    <w:rsid w:val="006D66B0"/>
    <w:rsid w:val="006D66D8"/>
    <w:rsid w:val="006D6747"/>
    <w:rsid w:val="006D67C3"/>
    <w:rsid w:val="006D67D2"/>
    <w:rsid w:val="006D67FA"/>
    <w:rsid w:val="006D680A"/>
    <w:rsid w:val="006D6892"/>
    <w:rsid w:val="006D68D8"/>
    <w:rsid w:val="006D68FB"/>
    <w:rsid w:val="006D6920"/>
    <w:rsid w:val="006D692F"/>
    <w:rsid w:val="006D69CA"/>
    <w:rsid w:val="006D6A96"/>
    <w:rsid w:val="006D6B96"/>
    <w:rsid w:val="006D6BC2"/>
    <w:rsid w:val="006D6C07"/>
    <w:rsid w:val="006D6C4D"/>
    <w:rsid w:val="006D6D1A"/>
    <w:rsid w:val="006D6D38"/>
    <w:rsid w:val="006D6DC7"/>
    <w:rsid w:val="006D6E0F"/>
    <w:rsid w:val="006D6E29"/>
    <w:rsid w:val="006D6E35"/>
    <w:rsid w:val="006D6EB4"/>
    <w:rsid w:val="006D6F0C"/>
    <w:rsid w:val="006D6FC1"/>
    <w:rsid w:val="006D7076"/>
    <w:rsid w:val="006D7098"/>
    <w:rsid w:val="006D7148"/>
    <w:rsid w:val="006D7164"/>
    <w:rsid w:val="006D718A"/>
    <w:rsid w:val="006D7283"/>
    <w:rsid w:val="006D72D5"/>
    <w:rsid w:val="006D73A8"/>
    <w:rsid w:val="006D73EC"/>
    <w:rsid w:val="006D7415"/>
    <w:rsid w:val="006D7421"/>
    <w:rsid w:val="006D74C5"/>
    <w:rsid w:val="006D7548"/>
    <w:rsid w:val="006D764B"/>
    <w:rsid w:val="006D764E"/>
    <w:rsid w:val="006D76A4"/>
    <w:rsid w:val="006D76DB"/>
    <w:rsid w:val="006D7752"/>
    <w:rsid w:val="006D77B1"/>
    <w:rsid w:val="006D77F6"/>
    <w:rsid w:val="006D78A9"/>
    <w:rsid w:val="006D78F0"/>
    <w:rsid w:val="006D7914"/>
    <w:rsid w:val="006D7916"/>
    <w:rsid w:val="006D792E"/>
    <w:rsid w:val="006D794D"/>
    <w:rsid w:val="006D7AD0"/>
    <w:rsid w:val="006D7AEF"/>
    <w:rsid w:val="006D7AF9"/>
    <w:rsid w:val="006D7BA9"/>
    <w:rsid w:val="006D7BD0"/>
    <w:rsid w:val="006D7C4C"/>
    <w:rsid w:val="006D7D30"/>
    <w:rsid w:val="006D7D82"/>
    <w:rsid w:val="006D7D8D"/>
    <w:rsid w:val="006D7DA1"/>
    <w:rsid w:val="006D7DF9"/>
    <w:rsid w:val="006D7E34"/>
    <w:rsid w:val="006D7E67"/>
    <w:rsid w:val="006D7E6B"/>
    <w:rsid w:val="006D7E75"/>
    <w:rsid w:val="006D7F26"/>
    <w:rsid w:val="006D7F3C"/>
    <w:rsid w:val="006D7F77"/>
    <w:rsid w:val="006D7FC9"/>
    <w:rsid w:val="006E0009"/>
    <w:rsid w:val="006E007C"/>
    <w:rsid w:val="006E00A6"/>
    <w:rsid w:val="006E00C0"/>
    <w:rsid w:val="006E00C3"/>
    <w:rsid w:val="006E0240"/>
    <w:rsid w:val="006E0267"/>
    <w:rsid w:val="006E0325"/>
    <w:rsid w:val="006E0392"/>
    <w:rsid w:val="006E03B8"/>
    <w:rsid w:val="006E03C6"/>
    <w:rsid w:val="006E03DA"/>
    <w:rsid w:val="006E042F"/>
    <w:rsid w:val="006E043F"/>
    <w:rsid w:val="006E0443"/>
    <w:rsid w:val="006E046D"/>
    <w:rsid w:val="006E0526"/>
    <w:rsid w:val="006E057C"/>
    <w:rsid w:val="006E0600"/>
    <w:rsid w:val="006E0601"/>
    <w:rsid w:val="006E0607"/>
    <w:rsid w:val="006E0639"/>
    <w:rsid w:val="006E06A8"/>
    <w:rsid w:val="006E06B1"/>
    <w:rsid w:val="006E070F"/>
    <w:rsid w:val="006E073E"/>
    <w:rsid w:val="006E077D"/>
    <w:rsid w:val="006E081A"/>
    <w:rsid w:val="006E082D"/>
    <w:rsid w:val="006E08CA"/>
    <w:rsid w:val="006E0922"/>
    <w:rsid w:val="006E0947"/>
    <w:rsid w:val="006E0955"/>
    <w:rsid w:val="006E0A1D"/>
    <w:rsid w:val="006E0A3D"/>
    <w:rsid w:val="006E0A81"/>
    <w:rsid w:val="006E0AA1"/>
    <w:rsid w:val="006E0AEA"/>
    <w:rsid w:val="006E0AF9"/>
    <w:rsid w:val="006E0B02"/>
    <w:rsid w:val="006E0B2B"/>
    <w:rsid w:val="006E0B42"/>
    <w:rsid w:val="006E0B8B"/>
    <w:rsid w:val="006E0BB7"/>
    <w:rsid w:val="006E0C59"/>
    <w:rsid w:val="006E0C92"/>
    <w:rsid w:val="006E0CB2"/>
    <w:rsid w:val="006E0CB7"/>
    <w:rsid w:val="006E0D08"/>
    <w:rsid w:val="006E0D1A"/>
    <w:rsid w:val="006E0D6B"/>
    <w:rsid w:val="006E0D91"/>
    <w:rsid w:val="006E0DE9"/>
    <w:rsid w:val="006E0DFD"/>
    <w:rsid w:val="006E0E1B"/>
    <w:rsid w:val="006E0E54"/>
    <w:rsid w:val="006E0E64"/>
    <w:rsid w:val="006E0EEB"/>
    <w:rsid w:val="006E0F7A"/>
    <w:rsid w:val="006E0FA5"/>
    <w:rsid w:val="006E0FE7"/>
    <w:rsid w:val="006E1017"/>
    <w:rsid w:val="006E104B"/>
    <w:rsid w:val="006E10FE"/>
    <w:rsid w:val="006E1153"/>
    <w:rsid w:val="006E1155"/>
    <w:rsid w:val="006E1271"/>
    <w:rsid w:val="006E1288"/>
    <w:rsid w:val="006E131B"/>
    <w:rsid w:val="006E1385"/>
    <w:rsid w:val="006E13B0"/>
    <w:rsid w:val="006E13CF"/>
    <w:rsid w:val="006E13DA"/>
    <w:rsid w:val="006E1450"/>
    <w:rsid w:val="006E151A"/>
    <w:rsid w:val="006E1536"/>
    <w:rsid w:val="006E158D"/>
    <w:rsid w:val="006E15D2"/>
    <w:rsid w:val="006E15D6"/>
    <w:rsid w:val="006E15D9"/>
    <w:rsid w:val="006E15F9"/>
    <w:rsid w:val="006E1635"/>
    <w:rsid w:val="006E1674"/>
    <w:rsid w:val="006E168C"/>
    <w:rsid w:val="006E16E7"/>
    <w:rsid w:val="006E1712"/>
    <w:rsid w:val="006E1727"/>
    <w:rsid w:val="006E17BA"/>
    <w:rsid w:val="006E17BD"/>
    <w:rsid w:val="006E1806"/>
    <w:rsid w:val="006E1808"/>
    <w:rsid w:val="006E1846"/>
    <w:rsid w:val="006E1853"/>
    <w:rsid w:val="006E18C4"/>
    <w:rsid w:val="006E18F8"/>
    <w:rsid w:val="006E18FA"/>
    <w:rsid w:val="006E1900"/>
    <w:rsid w:val="006E190F"/>
    <w:rsid w:val="006E1916"/>
    <w:rsid w:val="006E191E"/>
    <w:rsid w:val="006E1945"/>
    <w:rsid w:val="006E1982"/>
    <w:rsid w:val="006E19FE"/>
    <w:rsid w:val="006E1BAC"/>
    <w:rsid w:val="006E1C9B"/>
    <w:rsid w:val="006E1D36"/>
    <w:rsid w:val="006E1D3A"/>
    <w:rsid w:val="006E1DCE"/>
    <w:rsid w:val="006E1DD2"/>
    <w:rsid w:val="006E1E22"/>
    <w:rsid w:val="006E1E44"/>
    <w:rsid w:val="006E1E5E"/>
    <w:rsid w:val="006E1ED6"/>
    <w:rsid w:val="006E1F2A"/>
    <w:rsid w:val="006E1FE4"/>
    <w:rsid w:val="006E2003"/>
    <w:rsid w:val="006E200B"/>
    <w:rsid w:val="006E20D0"/>
    <w:rsid w:val="006E20F3"/>
    <w:rsid w:val="006E2129"/>
    <w:rsid w:val="006E215B"/>
    <w:rsid w:val="006E2177"/>
    <w:rsid w:val="006E21A7"/>
    <w:rsid w:val="006E21AA"/>
    <w:rsid w:val="006E21BE"/>
    <w:rsid w:val="006E21C3"/>
    <w:rsid w:val="006E2297"/>
    <w:rsid w:val="006E229D"/>
    <w:rsid w:val="006E232A"/>
    <w:rsid w:val="006E2348"/>
    <w:rsid w:val="006E2381"/>
    <w:rsid w:val="006E2389"/>
    <w:rsid w:val="006E23B0"/>
    <w:rsid w:val="006E23EE"/>
    <w:rsid w:val="006E2432"/>
    <w:rsid w:val="006E24AB"/>
    <w:rsid w:val="006E24FE"/>
    <w:rsid w:val="006E24FF"/>
    <w:rsid w:val="006E2529"/>
    <w:rsid w:val="006E25BA"/>
    <w:rsid w:val="006E25BD"/>
    <w:rsid w:val="006E2624"/>
    <w:rsid w:val="006E263D"/>
    <w:rsid w:val="006E269E"/>
    <w:rsid w:val="006E272F"/>
    <w:rsid w:val="006E2766"/>
    <w:rsid w:val="006E2878"/>
    <w:rsid w:val="006E288A"/>
    <w:rsid w:val="006E28E3"/>
    <w:rsid w:val="006E2943"/>
    <w:rsid w:val="006E29A1"/>
    <w:rsid w:val="006E29AD"/>
    <w:rsid w:val="006E29CA"/>
    <w:rsid w:val="006E29F7"/>
    <w:rsid w:val="006E2A16"/>
    <w:rsid w:val="006E2A3D"/>
    <w:rsid w:val="006E2B19"/>
    <w:rsid w:val="006E2BA6"/>
    <w:rsid w:val="006E2BBC"/>
    <w:rsid w:val="006E2C0B"/>
    <w:rsid w:val="006E2C51"/>
    <w:rsid w:val="006E2CC0"/>
    <w:rsid w:val="006E2D5C"/>
    <w:rsid w:val="006E2E09"/>
    <w:rsid w:val="006E2E17"/>
    <w:rsid w:val="006E2E1C"/>
    <w:rsid w:val="006E2E96"/>
    <w:rsid w:val="006E2EEE"/>
    <w:rsid w:val="006E2F4C"/>
    <w:rsid w:val="006E3025"/>
    <w:rsid w:val="006E304B"/>
    <w:rsid w:val="006E305A"/>
    <w:rsid w:val="006E3079"/>
    <w:rsid w:val="006E30F2"/>
    <w:rsid w:val="006E312B"/>
    <w:rsid w:val="006E3245"/>
    <w:rsid w:val="006E3282"/>
    <w:rsid w:val="006E329F"/>
    <w:rsid w:val="006E32F6"/>
    <w:rsid w:val="006E3363"/>
    <w:rsid w:val="006E3468"/>
    <w:rsid w:val="006E34B7"/>
    <w:rsid w:val="006E34EC"/>
    <w:rsid w:val="006E355C"/>
    <w:rsid w:val="006E35D5"/>
    <w:rsid w:val="006E3675"/>
    <w:rsid w:val="006E3678"/>
    <w:rsid w:val="006E36EB"/>
    <w:rsid w:val="006E36EF"/>
    <w:rsid w:val="006E3726"/>
    <w:rsid w:val="006E37B1"/>
    <w:rsid w:val="006E381E"/>
    <w:rsid w:val="006E3852"/>
    <w:rsid w:val="006E3912"/>
    <w:rsid w:val="006E394F"/>
    <w:rsid w:val="006E3976"/>
    <w:rsid w:val="006E39A6"/>
    <w:rsid w:val="006E3A3D"/>
    <w:rsid w:val="006E3AB3"/>
    <w:rsid w:val="006E3AC4"/>
    <w:rsid w:val="006E3BBA"/>
    <w:rsid w:val="006E3BDA"/>
    <w:rsid w:val="006E3C7F"/>
    <w:rsid w:val="006E3D51"/>
    <w:rsid w:val="006E3E14"/>
    <w:rsid w:val="006E3E19"/>
    <w:rsid w:val="006E3E1D"/>
    <w:rsid w:val="006E3E55"/>
    <w:rsid w:val="006E3E67"/>
    <w:rsid w:val="006E3E73"/>
    <w:rsid w:val="006E3E9E"/>
    <w:rsid w:val="006E3F73"/>
    <w:rsid w:val="006E3FBA"/>
    <w:rsid w:val="006E4016"/>
    <w:rsid w:val="006E40A7"/>
    <w:rsid w:val="006E414D"/>
    <w:rsid w:val="006E4161"/>
    <w:rsid w:val="006E41A8"/>
    <w:rsid w:val="006E41BB"/>
    <w:rsid w:val="006E41E4"/>
    <w:rsid w:val="006E420C"/>
    <w:rsid w:val="006E421B"/>
    <w:rsid w:val="006E425B"/>
    <w:rsid w:val="006E427F"/>
    <w:rsid w:val="006E42D2"/>
    <w:rsid w:val="006E42E1"/>
    <w:rsid w:val="006E4301"/>
    <w:rsid w:val="006E430D"/>
    <w:rsid w:val="006E433E"/>
    <w:rsid w:val="006E4347"/>
    <w:rsid w:val="006E4348"/>
    <w:rsid w:val="006E438F"/>
    <w:rsid w:val="006E4397"/>
    <w:rsid w:val="006E4455"/>
    <w:rsid w:val="006E44EA"/>
    <w:rsid w:val="006E4539"/>
    <w:rsid w:val="006E4547"/>
    <w:rsid w:val="006E45EF"/>
    <w:rsid w:val="006E461B"/>
    <w:rsid w:val="006E461D"/>
    <w:rsid w:val="006E46E1"/>
    <w:rsid w:val="006E46FA"/>
    <w:rsid w:val="006E4755"/>
    <w:rsid w:val="006E47EB"/>
    <w:rsid w:val="006E4828"/>
    <w:rsid w:val="006E48E6"/>
    <w:rsid w:val="006E4935"/>
    <w:rsid w:val="006E4973"/>
    <w:rsid w:val="006E49A4"/>
    <w:rsid w:val="006E49E9"/>
    <w:rsid w:val="006E4A07"/>
    <w:rsid w:val="006E4ADD"/>
    <w:rsid w:val="006E4B08"/>
    <w:rsid w:val="006E4B4C"/>
    <w:rsid w:val="006E4B64"/>
    <w:rsid w:val="006E4BAE"/>
    <w:rsid w:val="006E4C01"/>
    <w:rsid w:val="006E4C48"/>
    <w:rsid w:val="006E4C53"/>
    <w:rsid w:val="006E4C5D"/>
    <w:rsid w:val="006E4CFE"/>
    <w:rsid w:val="006E4D34"/>
    <w:rsid w:val="006E4D81"/>
    <w:rsid w:val="006E4E64"/>
    <w:rsid w:val="006E4EDB"/>
    <w:rsid w:val="006E4EDD"/>
    <w:rsid w:val="006E4EFC"/>
    <w:rsid w:val="006E4F05"/>
    <w:rsid w:val="006E4F77"/>
    <w:rsid w:val="006E4F87"/>
    <w:rsid w:val="006E4F90"/>
    <w:rsid w:val="006E4FD1"/>
    <w:rsid w:val="006E5006"/>
    <w:rsid w:val="006E506D"/>
    <w:rsid w:val="006E5070"/>
    <w:rsid w:val="006E50DC"/>
    <w:rsid w:val="006E510F"/>
    <w:rsid w:val="006E5196"/>
    <w:rsid w:val="006E5289"/>
    <w:rsid w:val="006E52BF"/>
    <w:rsid w:val="006E52C8"/>
    <w:rsid w:val="006E52D6"/>
    <w:rsid w:val="006E53A6"/>
    <w:rsid w:val="006E53D3"/>
    <w:rsid w:val="006E541A"/>
    <w:rsid w:val="006E5423"/>
    <w:rsid w:val="006E5465"/>
    <w:rsid w:val="006E546B"/>
    <w:rsid w:val="006E54F1"/>
    <w:rsid w:val="006E555B"/>
    <w:rsid w:val="006E556B"/>
    <w:rsid w:val="006E557B"/>
    <w:rsid w:val="006E559D"/>
    <w:rsid w:val="006E560B"/>
    <w:rsid w:val="006E56C5"/>
    <w:rsid w:val="006E56CC"/>
    <w:rsid w:val="006E56D3"/>
    <w:rsid w:val="006E56F8"/>
    <w:rsid w:val="006E57DC"/>
    <w:rsid w:val="006E5824"/>
    <w:rsid w:val="006E58C8"/>
    <w:rsid w:val="006E58CF"/>
    <w:rsid w:val="006E58F4"/>
    <w:rsid w:val="006E58FA"/>
    <w:rsid w:val="006E598C"/>
    <w:rsid w:val="006E59A4"/>
    <w:rsid w:val="006E5B27"/>
    <w:rsid w:val="006E5B4E"/>
    <w:rsid w:val="006E5B52"/>
    <w:rsid w:val="006E5B76"/>
    <w:rsid w:val="006E5BA5"/>
    <w:rsid w:val="006E5BB7"/>
    <w:rsid w:val="006E5BCC"/>
    <w:rsid w:val="006E5C46"/>
    <w:rsid w:val="006E5C63"/>
    <w:rsid w:val="006E5C6F"/>
    <w:rsid w:val="006E5CD5"/>
    <w:rsid w:val="006E5CE6"/>
    <w:rsid w:val="006E5D2E"/>
    <w:rsid w:val="006E5D36"/>
    <w:rsid w:val="006E5D79"/>
    <w:rsid w:val="006E5E02"/>
    <w:rsid w:val="006E5E06"/>
    <w:rsid w:val="006E5E2F"/>
    <w:rsid w:val="006E5E6E"/>
    <w:rsid w:val="006E5E8D"/>
    <w:rsid w:val="006E5EB6"/>
    <w:rsid w:val="006E5EDE"/>
    <w:rsid w:val="006E5F6E"/>
    <w:rsid w:val="006E6035"/>
    <w:rsid w:val="006E605B"/>
    <w:rsid w:val="006E609F"/>
    <w:rsid w:val="006E6133"/>
    <w:rsid w:val="006E61AA"/>
    <w:rsid w:val="006E61B9"/>
    <w:rsid w:val="006E61E4"/>
    <w:rsid w:val="006E62DA"/>
    <w:rsid w:val="006E62E1"/>
    <w:rsid w:val="006E63C9"/>
    <w:rsid w:val="006E63F0"/>
    <w:rsid w:val="006E63FF"/>
    <w:rsid w:val="006E6411"/>
    <w:rsid w:val="006E6458"/>
    <w:rsid w:val="006E6501"/>
    <w:rsid w:val="006E6509"/>
    <w:rsid w:val="006E6528"/>
    <w:rsid w:val="006E6576"/>
    <w:rsid w:val="006E6586"/>
    <w:rsid w:val="006E65AA"/>
    <w:rsid w:val="006E664F"/>
    <w:rsid w:val="006E66E8"/>
    <w:rsid w:val="006E6729"/>
    <w:rsid w:val="006E6731"/>
    <w:rsid w:val="006E6746"/>
    <w:rsid w:val="006E6777"/>
    <w:rsid w:val="006E67BF"/>
    <w:rsid w:val="006E68E2"/>
    <w:rsid w:val="006E69B2"/>
    <w:rsid w:val="006E69FB"/>
    <w:rsid w:val="006E6A21"/>
    <w:rsid w:val="006E6A80"/>
    <w:rsid w:val="006E6A94"/>
    <w:rsid w:val="006E6A97"/>
    <w:rsid w:val="006E6AED"/>
    <w:rsid w:val="006E6B8E"/>
    <w:rsid w:val="006E6BF6"/>
    <w:rsid w:val="006E6C0C"/>
    <w:rsid w:val="006E6C14"/>
    <w:rsid w:val="006E6CD4"/>
    <w:rsid w:val="006E6D5F"/>
    <w:rsid w:val="006E6D76"/>
    <w:rsid w:val="006E6E00"/>
    <w:rsid w:val="006E6E81"/>
    <w:rsid w:val="006E6EBA"/>
    <w:rsid w:val="006E6EF2"/>
    <w:rsid w:val="006E6F39"/>
    <w:rsid w:val="006E6F6D"/>
    <w:rsid w:val="006E6F8D"/>
    <w:rsid w:val="006E6FA1"/>
    <w:rsid w:val="006E6FD8"/>
    <w:rsid w:val="006E7043"/>
    <w:rsid w:val="006E7046"/>
    <w:rsid w:val="006E7070"/>
    <w:rsid w:val="006E7088"/>
    <w:rsid w:val="006E713A"/>
    <w:rsid w:val="006E7147"/>
    <w:rsid w:val="006E7153"/>
    <w:rsid w:val="006E7160"/>
    <w:rsid w:val="006E71BA"/>
    <w:rsid w:val="006E7207"/>
    <w:rsid w:val="006E7228"/>
    <w:rsid w:val="006E7281"/>
    <w:rsid w:val="006E728E"/>
    <w:rsid w:val="006E7317"/>
    <w:rsid w:val="006E734B"/>
    <w:rsid w:val="006E7359"/>
    <w:rsid w:val="006E735D"/>
    <w:rsid w:val="006E739C"/>
    <w:rsid w:val="006E7435"/>
    <w:rsid w:val="006E759E"/>
    <w:rsid w:val="006E7687"/>
    <w:rsid w:val="006E76EF"/>
    <w:rsid w:val="006E777F"/>
    <w:rsid w:val="006E7783"/>
    <w:rsid w:val="006E789C"/>
    <w:rsid w:val="006E78EE"/>
    <w:rsid w:val="006E7982"/>
    <w:rsid w:val="006E79A2"/>
    <w:rsid w:val="006E79B3"/>
    <w:rsid w:val="006E7A6B"/>
    <w:rsid w:val="006E7AA9"/>
    <w:rsid w:val="006E7AC6"/>
    <w:rsid w:val="006E7AC8"/>
    <w:rsid w:val="006E7AE7"/>
    <w:rsid w:val="006E7AEA"/>
    <w:rsid w:val="006E7AFB"/>
    <w:rsid w:val="006E7AFD"/>
    <w:rsid w:val="006E7B03"/>
    <w:rsid w:val="006E7B15"/>
    <w:rsid w:val="006E7B78"/>
    <w:rsid w:val="006E7C0E"/>
    <w:rsid w:val="006E7C76"/>
    <w:rsid w:val="006E7CBB"/>
    <w:rsid w:val="006E7D10"/>
    <w:rsid w:val="006E7D18"/>
    <w:rsid w:val="006E7D20"/>
    <w:rsid w:val="006E7D49"/>
    <w:rsid w:val="006E7DE2"/>
    <w:rsid w:val="006E7DE6"/>
    <w:rsid w:val="006E7EAA"/>
    <w:rsid w:val="006E7ECE"/>
    <w:rsid w:val="006E7ED2"/>
    <w:rsid w:val="006F0000"/>
    <w:rsid w:val="006F006F"/>
    <w:rsid w:val="006F0085"/>
    <w:rsid w:val="006F0087"/>
    <w:rsid w:val="006F0139"/>
    <w:rsid w:val="006F017C"/>
    <w:rsid w:val="006F019D"/>
    <w:rsid w:val="006F02E0"/>
    <w:rsid w:val="006F02EF"/>
    <w:rsid w:val="006F0332"/>
    <w:rsid w:val="006F033C"/>
    <w:rsid w:val="006F037B"/>
    <w:rsid w:val="006F0388"/>
    <w:rsid w:val="006F0391"/>
    <w:rsid w:val="006F0417"/>
    <w:rsid w:val="006F043F"/>
    <w:rsid w:val="006F0451"/>
    <w:rsid w:val="006F04F5"/>
    <w:rsid w:val="006F0591"/>
    <w:rsid w:val="006F05CB"/>
    <w:rsid w:val="006F05ED"/>
    <w:rsid w:val="006F0603"/>
    <w:rsid w:val="006F0648"/>
    <w:rsid w:val="006F06C9"/>
    <w:rsid w:val="006F0715"/>
    <w:rsid w:val="006F0736"/>
    <w:rsid w:val="006F073F"/>
    <w:rsid w:val="006F075D"/>
    <w:rsid w:val="006F076C"/>
    <w:rsid w:val="006F07D8"/>
    <w:rsid w:val="006F0822"/>
    <w:rsid w:val="006F08D5"/>
    <w:rsid w:val="006F0942"/>
    <w:rsid w:val="006F0998"/>
    <w:rsid w:val="006F09A6"/>
    <w:rsid w:val="006F09FF"/>
    <w:rsid w:val="006F0A1C"/>
    <w:rsid w:val="006F0A1F"/>
    <w:rsid w:val="006F0A31"/>
    <w:rsid w:val="006F0A5D"/>
    <w:rsid w:val="006F0AD2"/>
    <w:rsid w:val="006F0AEF"/>
    <w:rsid w:val="006F0B18"/>
    <w:rsid w:val="006F0C12"/>
    <w:rsid w:val="006F0C3A"/>
    <w:rsid w:val="006F0C49"/>
    <w:rsid w:val="006F0CE7"/>
    <w:rsid w:val="006F0D2D"/>
    <w:rsid w:val="006F0DA8"/>
    <w:rsid w:val="006F0DAA"/>
    <w:rsid w:val="006F0DCA"/>
    <w:rsid w:val="006F0E7F"/>
    <w:rsid w:val="006F0EB1"/>
    <w:rsid w:val="006F0EDD"/>
    <w:rsid w:val="006F0F69"/>
    <w:rsid w:val="006F0F9C"/>
    <w:rsid w:val="006F1027"/>
    <w:rsid w:val="006F107E"/>
    <w:rsid w:val="006F1097"/>
    <w:rsid w:val="006F10C7"/>
    <w:rsid w:val="006F114F"/>
    <w:rsid w:val="006F11E8"/>
    <w:rsid w:val="006F1211"/>
    <w:rsid w:val="006F122B"/>
    <w:rsid w:val="006F124C"/>
    <w:rsid w:val="006F1268"/>
    <w:rsid w:val="006F1294"/>
    <w:rsid w:val="006F12A7"/>
    <w:rsid w:val="006F12B4"/>
    <w:rsid w:val="006F13C5"/>
    <w:rsid w:val="006F13FB"/>
    <w:rsid w:val="006F1423"/>
    <w:rsid w:val="006F145C"/>
    <w:rsid w:val="006F1530"/>
    <w:rsid w:val="006F1586"/>
    <w:rsid w:val="006F159C"/>
    <w:rsid w:val="006F1615"/>
    <w:rsid w:val="006F16AC"/>
    <w:rsid w:val="006F16B4"/>
    <w:rsid w:val="006F174C"/>
    <w:rsid w:val="006F1770"/>
    <w:rsid w:val="006F179B"/>
    <w:rsid w:val="006F17C0"/>
    <w:rsid w:val="006F17C5"/>
    <w:rsid w:val="006F17DE"/>
    <w:rsid w:val="006F17E5"/>
    <w:rsid w:val="006F184F"/>
    <w:rsid w:val="006F18B6"/>
    <w:rsid w:val="006F18DD"/>
    <w:rsid w:val="006F18E8"/>
    <w:rsid w:val="006F18EE"/>
    <w:rsid w:val="006F193A"/>
    <w:rsid w:val="006F194C"/>
    <w:rsid w:val="006F199F"/>
    <w:rsid w:val="006F19AF"/>
    <w:rsid w:val="006F19F8"/>
    <w:rsid w:val="006F1A33"/>
    <w:rsid w:val="006F1A70"/>
    <w:rsid w:val="006F1A83"/>
    <w:rsid w:val="006F1B3F"/>
    <w:rsid w:val="006F1B77"/>
    <w:rsid w:val="006F1B93"/>
    <w:rsid w:val="006F1C70"/>
    <w:rsid w:val="006F1C92"/>
    <w:rsid w:val="006F1CA7"/>
    <w:rsid w:val="006F1CCB"/>
    <w:rsid w:val="006F1CD7"/>
    <w:rsid w:val="006F1CF1"/>
    <w:rsid w:val="006F1D2D"/>
    <w:rsid w:val="006F1D46"/>
    <w:rsid w:val="006F1D7A"/>
    <w:rsid w:val="006F1DA6"/>
    <w:rsid w:val="006F1E0E"/>
    <w:rsid w:val="006F1ECB"/>
    <w:rsid w:val="006F1EE3"/>
    <w:rsid w:val="006F1F36"/>
    <w:rsid w:val="006F1F7E"/>
    <w:rsid w:val="006F1FFB"/>
    <w:rsid w:val="006F2026"/>
    <w:rsid w:val="006F2073"/>
    <w:rsid w:val="006F20FE"/>
    <w:rsid w:val="006F214D"/>
    <w:rsid w:val="006F21AB"/>
    <w:rsid w:val="006F21F9"/>
    <w:rsid w:val="006F2237"/>
    <w:rsid w:val="006F2245"/>
    <w:rsid w:val="006F2289"/>
    <w:rsid w:val="006F229F"/>
    <w:rsid w:val="006F22A7"/>
    <w:rsid w:val="006F2344"/>
    <w:rsid w:val="006F2351"/>
    <w:rsid w:val="006F2392"/>
    <w:rsid w:val="006F2409"/>
    <w:rsid w:val="006F2497"/>
    <w:rsid w:val="006F2557"/>
    <w:rsid w:val="006F258F"/>
    <w:rsid w:val="006F25D1"/>
    <w:rsid w:val="006F2626"/>
    <w:rsid w:val="006F264A"/>
    <w:rsid w:val="006F26BD"/>
    <w:rsid w:val="006F272D"/>
    <w:rsid w:val="006F2753"/>
    <w:rsid w:val="006F279F"/>
    <w:rsid w:val="006F2855"/>
    <w:rsid w:val="006F2878"/>
    <w:rsid w:val="006F2891"/>
    <w:rsid w:val="006F28FB"/>
    <w:rsid w:val="006F2924"/>
    <w:rsid w:val="006F2972"/>
    <w:rsid w:val="006F29A3"/>
    <w:rsid w:val="006F29CE"/>
    <w:rsid w:val="006F2A0F"/>
    <w:rsid w:val="006F2A75"/>
    <w:rsid w:val="006F2ABF"/>
    <w:rsid w:val="006F2B59"/>
    <w:rsid w:val="006F2C19"/>
    <w:rsid w:val="006F2C28"/>
    <w:rsid w:val="006F2C32"/>
    <w:rsid w:val="006F2C43"/>
    <w:rsid w:val="006F2C7C"/>
    <w:rsid w:val="006F2C8A"/>
    <w:rsid w:val="006F2CF2"/>
    <w:rsid w:val="006F2D0B"/>
    <w:rsid w:val="006F2D8D"/>
    <w:rsid w:val="006F2E53"/>
    <w:rsid w:val="006F2E73"/>
    <w:rsid w:val="006F2EA0"/>
    <w:rsid w:val="006F2EC1"/>
    <w:rsid w:val="006F2EE7"/>
    <w:rsid w:val="006F2F33"/>
    <w:rsid w:val="006F2F45"/>
    <w:rsid w:val="006F2F51"/>
    <w:rsid w:val="006F304C"/>
    <w:rsid w:val="006F30AF"/>
    <w:rsid w:val="006F30B2"/>
    <w:rsid w:val="006F31A2"/>
    <w:rsid w:val="006F31FA"/>
    <w:rsid w:val="006F3245"/>
    <w:rsid w:val="006F3458"/>
    <w:rsid w:val="006F3463"/>
    <w:rsid w:val="006F3469"/>
    <w:rsid w:val="006F347C"/>
    <w:rsid w:val="006F34CA"/>
    <w:rsid w:val="006F34D3"/>
    <w:rsid w:val="006F355A"/>
    <w:rsid w:val="006F3652"/>
    <w:rsid w:val="006F36E2"/>
    <w:rsid w:val="006F36F9"/>
    <w:rsid w:val="006F36FE"/>
    <w:rsid w:val="006F3779"/>
    <w:rsid w:val="006F3782"/>
    <w:rsid w:val="006F3798"/>
    <w:rsid w:val="006F37CB"/>
    <w:rsid w:val="006F37D7"/>
    <w:rsid w:val="006F380A"/>
    <w:rsid w:val="006F383B"/>
    <w:rsid w:val="006F3870"/>
    <w:rsid w:val="006F38B3"/>
    <w:rsid w:val="006F3901"/>
    <w:rsid w:val="006F3A82"/>
    <w:rsid w:val="006F3AA3"/>
    <w:rsid w:val="006F3ABD"/>
    <w:rsid w:val="006F3BF8"/>
    <w:rsid w:val="006F3C55"/>
    <w:rsid w:val="006F3C5E"/>
    <w:rsid w:val="006F3CDA"/>
    <w:rsid w:val="006F3D96"/>
    <w:rsid w:val="006F3DF8"/>
    <w:rsid w:val="006F3E72"/>
    <w:rsid w:val="006F3F44"/>
    <w:rsid w:val="006F3F49"/>
    <w:rsid w:val="006F3F70"/>
    <w:rsid w:val="006F3F85"/>
    <w:rsid w:val="006F3FDC"/>
    <w:rsid w:val="006F4067"/>
    <w:rsid w:val="006F415A"/>
    <w:rsid w:val="006F4171"/>
    <w:rsid w:val="006F4269"/>
    <w:rsid w:val="006F42BB"/>
    <w:rsid w:val="006F43D4"/>
    <w:rsid w:val="006F43D9"/>
    <w:rsid w:val="006F4563"/>
    <w:rsid w:val="006F45AA"/>
    <w:rsid w:val="006F4616"/>
    <w:rsid w:val="006F4650"/>
    <w:rsid w:val="006F4697"/>
    <w:rsid w:val="006F46DD"/>
    <w:rsid w:val="006F479C"/>
    <w:rsid w:val="006F4806"/>
    <w:rsid w:val="006F48F6"/>
    <w:rsid w:val="006F491D"/>
    <w:rsid w:val="006F492B"/>
    <w:rsid w:val="006F497F"/>
    <w:rsid w:val="006F4A54"/>
    <w:rsid w:val="006F4AB0"/>
    <w:rsid w:val="006F4ABC"/>
    <w:rsid w:val="006F4ADB"/>
    <w:rsid w:val="006F4B47"/>
    <w:rsid w:val="006F4C6D"/>
    <w:rsid w:val="006F4CE6"/>
    <w:rsid w:val="006F4D30"/>
    <w:rsid w:val="006F4D65"/>
    <w:rsid w:val="006F4DD9"/>
    <w:rsid w:val="006F4E49"/>
    <w:rsid w:val="006F4E71"/>
    <w:rsid w:val="006F4E9C"/>
    <w:rsid w:val="006F4F8F"/>
    <w:rsid w:val="006F4F9A"/>
    <w:rsid w:val="006F4F9C"/>
    <w:rsid w:val="006F5052"/>
    <w:rsid w:val="006F50D2"/>
    <w:rsid w:val="006F511F"/>
    <w:rsid w:val="006F5167"/>
    <w:rsid w:val="006F524A"/>
    <w:rsid w:val="006F5259"/>
    <w:rsid w:val="006F5296"/>
    <w:rsid w:val="006F52C5"/>
    <w:rsid w:val="006F52CD"/>
    <w:rsid w:val="006F5319"/>
    <w:rsid w:val="006F5344"/>
    <w:rsid w:val="006F53F5"/>
    <w:rsid w:val="006F53FA"/>
    <w:rsid w:val="006F54DF"/>
    <w:rsid w:val="006F5539"/>
    <w:rsid w:val="006F5543"/>
    <w:rsid w:val="006F554A"/>
    <w:rsid w:val="006F5571"/>
    <w:rsid w:val="006F5573"/>
    <w:rsid w:val="006F55B2"/>
    <w:rsid w:val="006F55B7"/>
    <w:rsid w:val="006F55D1"/>
    <w:rsid w:val="006F55EA"/>
    <w:rsid w:val="006F565F"/>
    <w:rsid w:val="006F5736"/>
    <w:rsid w:val="006F5749"/>
    <w:rsid w:val="006F581F"/>
    <w:rsid w:val="006F588E"/>
    <w:rsid w:val="006F596E"/>
    <w:rsid w:val="006F5AB5"/>
    <w:rsid w:val="006F5AC2"/>
    <w:rsid w:val="006F5AFA"/>
    <w:rsid w:val="006F5B64"/>
    <w:rsid w:val="006F5C11"/>
    <w:rsid w:val="006F5C1E"/>
    <w:rsid w:val="006F5CA7"/>
    <w:rsid w:val="006F5E24"/>
    <w:rsid w:val="006F5E59"/>
    <w:rsid w:val="006F5ED9"/>
    <w:rsid w:val="006F5EE1"/>
    <w:rsid w:val="006F5F0F"/>
    <w:rsid w:val="006F5F38"/>
    <w:rsid w:val="006F5F4E"/>
    <w:rsid w:val="006F5F55"/>
    <w:rsid w:val="006F5F91"/>
    <w:rsid w:val="006F5F96"/>
    <w:rsid w:val="006F5FBF"/>
    <w:rsid w:val="006F6025"/>
    <w:rsid w:val="006F603A"/>
    <w:rsid w:val="006F60D9"/>
    <w:rsid w:val="006F60DF"/>
    <w:rsid w:val="006F6125"/>
    <w:rsid w:val="006F6188"/>
    <w:rsid w:val="006F61C1"/>
    <w:rsid w:val="006F620B"/>
    <w:rsid w:val="006F6218"/>
    <w:rsid w:val="006F6261"/>
    <w:rsid w:val="006F628E"/>
    <w:rsid w:val="006F62A1"/>
    <w:rsid w:val="006F62A8"/>
    <w:rsid w:val="006F6383"/>
    <w:rsid w:val="006F6389"/>
    <w:rsid w:val="006F6419"/>
    <w:rsid w:val="006F6477"/>
    <w:rsid w:val="006F64C4"/>
    <w:rsid w:val="006F665F"/>
    <w:rsid w:val="006F6668"/>
    <w:rsid w:val="006F6682"/>
    <w:rsid w:val="006F6692"/>
    <w:rsid w:val="006F66B0"/>
    <w:rsid w:val="006F66F8"/>
    <w:rsid w:val="006F6714"/>
    <w:rsid w:val="006F6755"/>
    <w:rsid w:val="006F675F"/>
    <w:rsid w:val="006F6772"/>
    <w:rsid w:val="006F6783"/>
    <w:rsid w:val="006F6841"/>
    <w:rsid w:val="006F6984"/>
    <w:rsid w:val="006F699D"/>
    <w:rsid w:val="006F6A01"/>
    <w:rsid w:val="006F6A23"/>
    <w:rsid w:val="006F6A27"/>
    <w:rsid w:val="006F6A3D"/>
    <w:rsid w:val="006F6A45"/>
    <w:rsid w:val="006F6A78"/>
    <w:rsid w:val="006F6A8E"/>
    <w:rsid w:val="006F6AEB"/>
    <w:rsid w:val="006F6BA5"/>
    <w:rsid w:val="006F6BC1"/>
    <w:rsid w:val="006F6BC3"/>
    <w:rsid w:val="006F6C18"/>
    <w:rsid w:val="006F6C1B"/>
    <w:rsid w:val="006F6CA7"/>
    <w:rsid w:val="006F6D26"/>
    <w:rsid w:val="006F6DC2"/>
    <w:rsid w:val="006F6E62"/>
    <w:rsid w:val="006F6E92"/>
    <w:rsid w:val="006F6EE1"/>
    <w:rsid w:val="006F6EE8"/>
    <w:rsid w:val="006F6F00"/>
    <w:rsid w:val="006F6F42"/>
    <w:rsid w:val="006F6F60"/>
    <w:rsid w:val="006F6FA9"/>
    <w:rsid w:val="006F6FC6"/>
    <w:rsid w:val="006F6FFD"/>
    <w:rsid w:val="006F7090"/>
    <w:rsid w:val="006F70A4"/>
    <w:rsid w:val="006F70C9"/>
    <w:rsid w:val="006F717C"/>
    <w:rsid w:val="006F71F5"/>
    <w:rsid w:val="006F7284"/>
    <w:rsid w:val="006F72A1"/>
    <w:rsid w:val="006F72BD"/>
    <w:rsid w:val="006F7313"/>
    <w:rsid w:val="006F7322"/>
    <w:rsid w:val="006F73D6"/>
    <w:rsid w:val="006F7465"/>
    <w:rsid w:val="006F74C9"/>
    <w:rsid w:val="006F75E3"/>
    <w:rsid w:val="006F766E"/>
    <w:rsid w:val="006F76BE"/>
    <w:rsid w:val="006F76D3"/>
    <w:rsid w:val="006F76FC"/>
    <w:rsid w:val="006F7758"/>
    <w:rsid w:val="006F77B4"/>
    <w:rsid w:val="006F7873"/>
    <w:rsid w:val="006F78A5"/>
    <w:rsid w:val="006F78A8"/>
    <w:rsid w:val="006F793A"/>
    <w:rsid w:val="006F795F"/>
    <w:rsid w:val="006F7A2D"/>
    <w:rsid w:val="006F7AD0"/>
    <w:rsid w:val="006F7B88"/>
    <w:rsid w:val="006F7D47"/>
    <w:rsid w:val="006F7DCF"/>
    <w:rsid w:val="006F7E66"/>
    <w:rsid w:val="006F7EC6"/>
    <w:rsid w:val="006F7ED1"/>
    <w:rsid w:val="006F7EF5"/>
    <w:rsid w:val="006F7F05"/>
    <w:rsid w:val="007000E4"/>
    <w:rsid w:val="0070011B"/>
    <w:rsid w:val="007001B4"/>
    <w:rsid w:val="0070026A"/>
    <w:rsid w:val="00700375"/>
    <w:rsid w:val="007003B2"/>
    <w:rsid w:val="00700419"/>
    <w:rsid w:val="00700457"/>
    <w:rsid w:val="00700467"/>
    <w:rsid w:val="0070046D"/>
    <w:rsid w:val="00700516"/>
    <w:rsid w:val="00700524"/>
    <w:rsid w:val="007005F8"/>
    <w:rsid w:val="0070063A"/>
    <w:rsid w:val="0070066A"/>
    <w:rsid w:val="007006AE"/>
    <w:rsid w:val="007006D4"/>
    <w:rsid w:val="00700718"/>
    <w:rsid w:val="00700821"/>
    <w:rsid w:val="0070087B"/>
    <w:rsid w:val="007008D7"/>
    <w:rsid w:val="00700914"/>
    <w:rsid w:val="007009AB"/>
    <w:rsid w:val="007009CE"/>
    <w:rsid w:val="007009D6"/>
    <w:rsid w:val="007009EB"/>
    <w:rsid w:val="007009FF"/>
    <w:rsid w:val="00700A66"/>
    <w:rsid w:val="00700AB2"/>
    <w:rsid w:val="00700AF5"/>
    <w:rsid w:val="00700B2E"/>
    <w:rsid w:val="00700B67"/>
    <w:rsid w:val="00700D18"/>
    <w:rsid w:val="00700D42"/>
    <w:rsid w:val="00700D6C"/>
    <w:rsid w:val="00700D79"/>
    <w:rsid w:val="00700E50"/>
    <w:rsid w:val="00700E51"/>
    <w:rsid w:val="00700EAC"/>
    <w:rsid w:val="00700EB3"/>
    <w:rsid w:val="00700EDA"/>
    <w:rsid w:val="00700EE1"/>
    <w:rsid w:val="00700EED"/>
    <w:rsid w:val="00700F41"/>
    <w:rsid w:val="00700F92"/>
    <w:rsid w:val="00700F9D"/>
    <w:rsid w:val="00700FF5"/>
    <w:rsid w:val="00701025"/>
    <w:rsid w:val="0070117E"/>
    <w:rsid w:val="007011D8"/>
    <w:rsid w:val="00701222"/>
    <w:rsid w:val="00701263"/>
    <w:rsid w:val="007012C0"/>
    <w:rsid w:val="007012E2"/>
    <w:rsid w:val="0070131C"/>
    <w:rsid w:val="0070135E"/>
    <w:rsid w:val="00701378"/>
    <w:rsid w:val="0070144D"/>
    <w:rsid w:val="0070156A"/>
    <w:rsid w:val="0070162F"/>
    <w:rsid w:val="0070167B"/>
    <w:rsid w:val="00701695"/>
    <w:rsid w:val="007016E9"/>
    <w:rsid w:val="007017D8"/>
    <w:rsid w:val="007017F6"/>
    <w:rsid w:val="00701816"/>
    <w:rsid w:val="007018E0"/>
    <w:rsid w:val="007018ED"/>
    <w:rsid w:val="007019F6"/>
    <w:rsid w:val="00701A15"/>
    <w:rsid w:val="00701B51"/>
    <w:rsid w:val="00701B66"/>
    <w:rsid w:val="00701C66"/>
    <w:rsid w:val="00701CBF"/>
    <w:rsid w:val="00701CE5"/>
    <w:rsid w:val="00701D00"/>
    <w:rsid w:val="00701D0D"/>
    <w:rsid w:val="00701DC0"/>
    <w:rsid w:val="00701FD8"/>
    <w:rsid w:val="00702015"/>
    <w:rsid w:val="00702031"/>
    <w:rsid w:val="00702103"/>
    <w:rsid w:val="00702194"/>
    <w:rsid w:val="007021CC"/>
    <w:rsid w:val="00702244"/>
    <w:rsid w:val="00702272"/>
    <w:rsid w:val="00702295"/>
    <w:rsid w:val="00702367"/>
    <w:rsid w:val="00702399"/>
    <w:rsid w:val="007023B6"/>
    <w:rsid w:val="007023F4"/>
    <w:rsid w:val="00702405"/>
    <w:rsid w:val="0070241F"/>
    <w:rsid w:val="00702439"/>
    <w:rsid w:val="00702448"/>
    <w:rsid w:val="00702462"/>
    <w:rsid w:val="007024EF"/>
    <w:rsid w:val="00702540"/>
    <w:rsid w:val="00702582"/>
    <w:rsid w:val="007025A5"/>
    <w:rsid w:val="007026C8"/>
    <w:rsid w:val="0070270F"/>
    <w:rsid w:val="007028AA"/>
    <w:rsid w:val="007028E1"/>
    <w:rsid w:val="007028E3"/>
    <w:rsid w:val="007028F1"/>
    <w:rsid w:val="007028F3"/>
    <w:rsid w:val="0070290E"/>
    <w:rsid w:val="007029AA"/>
    <w:rsid w:val="00702A0A"/>
    <w:rsid w:val="00702A0E"/>
    <w:rsid w:val="00702A23"/>
    <w:rsid w:val="00702A74"/>
    <w:rsid w:val="00702A9C"/>
    <w:rsid w:val="00702AB6"/>
    <w:rsid w:val="00702B1D"/>
    <w:rsid w:val="00702B24"/>
    <w:rsid w:val="00702B56"/>
    <w:rsid w:val="00702BA8"/>
    <w:rsid w:val="00702BCA"/>
    <w:rsid w:val="00702C7B"/>
    <w:rsid w:val="00702D1B"/>
    <w:rsid w:val="00702E06"/>
    <w:rsid w:val="00702E4C"/>
    <w:rsid w:val="00702EC2"/>
    <w:rsid w:val="00702F16"/>
    <w:rsid w:val="00702F4C"/>
    <w:rsid w:val="007030E6"/>
    <w:rsid w:val="0070310F"/>
    <w:rsid w:val="00703145"/>
    <w:rsid w:val="007031B3"/>
    <w:rsid w:val="007031E5"/>
    <w:rsid w:val="00703222"/>
    <w:rsid w:val="0070326A"/>
    <w:rsid w:val="00703437"/>
    <w:rsid w:val="007034C9"/>
    <w:rsid w:val="00703535"/>
    <w:rsid w:val="00703582"/>
    <w:rsid w:val="00703598"/>
    <w:rsid w:val="007035C9"/>
    <w:rsid w:val="0070362A"/>
    <w:rsid w:val="00703701"/>
    <w:rsid w:val="00703722"/>
    <w:rsid w:val="0070372E"/>
    <w:rsid w:val="00703764"/>
    <w:rsid w:val="00703767"/>
    <w:rsid w:val="00703791"/>
    <w:rsid w:val="007037AE"/>
    <w:rsid w:val="00703811"/>
    <w:rsid w:val="00703847"/>
    <w:rsid w:val="00703865"/>
    <w:rsid w:val="0070389E"/>
    <w:rsid w:val="0070391C"/>
    <w:rsid w:val="00703949"/>
    <w:rsid w:val="00703993"/>
    <w:rsid w:val="0070399D"/>
    <w:rsid w:val="00703A41"/>
    <w:rsid w:val="00703A7E"/>
    <w:rsid w:val="00703B1B"/>
    <w:rsid w:val="00703BA7"/>
    <w:rsid w:val="00703D16"/>
    <w:rsid w:val="00703D66"/>
    <w:rsid w:val="00703E3E"/>
    <w:rsid w:val="00703E5F"/>
    <w:rsid w:val="00703F1F"/>
    <w:rsid w:val="00703F21"/>
    <w:rsid w:val="00703F44"/>
    <w:rsid w:val="00703F92"/>
    <w:rsid w:val="00704034"/>
    <w:rsid w:val="0070408B"/>
    <w:rsid w:val="00704092"/>
    <w:rsid w:val="00704098"/>
    <w:rsid w:val="007040CD"/>
    <w:rsid w:val="00704165"/>
    <w:rsid w:val="00704206"/>
    <w:rsid w:val="00704398"/>
    <w:rsid w:val="00704430"/>
    <w:rsid w:val="0070448F"/>
    <w:rsid w:val="00704585"/>
    <w:rsid w:val="00704618"/>
    <w:rsid w:val="00704770"/>
    <w:rsid w:val="007047AA"/>
    <w:rsid w:val="007047F4"/>
    <w:rsid w:val="0070484D"/>
    <w:rsid w:val="00704929"/>
    <w:rsid w:val="00704A4B"/>
    <w:rsid w:val="00704B47"/>
    <w:rsid w:val="00704B6D"/>
    <w:rsid w:val="00704BA0"/>
    <w:rsid w:val="00704BC5"/>
    <w:rsid w:val="00704BE4"/>
    <w:rsid w:val="00704C00"/>
    <w:rsid w:val="00704C0C"/>
    <w:rsid w:val="00704C9D"/>
    <w:rsid w:val="00704D0F"/>
    <w:rsid w:val="00704E7A"/>
    <w:rsid w:val="00704EBA"/>
    <w:rsid w:val="00704EF2"/>
    <w:rsid w:val="00704F4E"/>
    <w:rsid w:val="00705003"/>
    <w:rsid w:val="0070508A"/>
    <w:rsid w:val="00705098"/>
    <w:rsid w:val="0070509D"/>
    <w:rsid w:val="007050B4"/>
    <w:rsid w:val="0070511A"/>
    <w:rsid w:val="00705146"/>
    <w:rsid w:val="007051DB"/>
    <w:rsid w:val="0070521B"/>
    <w:rsid w:val="007052B8"/>
    <w:rsid w:val="00705306"/>
    <w:rsid w:val="0070532F"/>
    <w:rsid w:val="00705333"/>
    <w:rsid w:val="0070535A"/>
    <w:rsid w:val="007053D0"/>
    <w:rsid w:val="007053EB"/>
    <w:rsid w:val="0070540E"/>
    <w:rsid w:val="0070543E"/>
    <w:rsid w:val="0070547F"/>
    <w:rsid w:val="007054E2"/>
    <w:rsid w:val="00705566"/>
    <w:rsid w:val="007055BC"/>
    <w:rsid w:val="007055C1"/>
    <w:rsid w:val="007055DB"/>
    <w:rsid w:val="00705633"/>
    <w:rsid w:val="007057FB"/>
    <w:rsid w:val="00705829"/>
    <w:rsid w:val="007058D6"/>
    <w:rsid w:val="007058F2"/>
    <w:rsid w:val="0070599F"/>
    <w:rsid w:val="007059F3"/>
    <w:rsid w:val="00705A64"/>
    <w:rsid w:val="00705B22"/>
    <w:rsid w:val="00705BB4"/>
    <w:rsid w:val="00705BC7"/>
    <w:rsid w:val="00705C82"/>
    <w:rsid w:val="00705C9D"/>
    <w:rsid w:val="00705D34"/>
    <w:rsid w:val="00705D6C"/>
    <w:rsid w:val="00705DF0"/>
    <w:rsid w:val="00705E0C"/>
    <w:rsid w:val="00705E6F"/>
    <w:rsid w:val="00705EA8"/>
    <w:rsid w:val="00705EB0"/>
    <w:rsid w:val="00705EC6"/>
    <w:rsid w:val="00705F74"/>
    <w:rsid w:val="0070606B"/>
    <w:rsid w:val="0070607E"/>
    <w:rsid w:val="0070611C"/>
    <w:rsid w:val="007061A5"/>
    <w:rsid w:val="007061D7"/>
    <w:rsid w:val="00706289"/>
    <w:rsid w:val="007062BC"/>
    <w:rsid w:val="007062FE"/>
    <w:rsid w:val="007063A9"/>
    <w:rsid w:val="007063B3"/>
    <w:rsid w:val="00706466"/>
    <w:rsid w:val="007064BC"/>
    <w:rsid w:val="0070653C"/>
    <w:rsid w:val="007065F1"/>
    <w:rsid w:val="00706677"/>
    <w:rsid w:val="00706696"/>
    <w:rsid w:val="00706721"/>
    <w:rsid w:val="0070673F"/>
    <w:rsid w:val="00706881"/>
    <w:rsid w:val="0070688F"/>
    <w:rsid w:val="007068D0"/>
    <w:rsid w:val="00706912"/>
    <w:rsid w:val="007069B5"/>
    <w:rsid w:val="007069C5"/>
    <w:rsid w:val="007069E5"/>
    <w:rsid w:val="00706A08"/>
    <w:rsid w:val="00706A17"/>
    <w:rsid w:val="00706A28"/>
    <w:rsid w:val="00706A71"/>
    <w:rsid w:val="00706AE3"/>
    <w:rsid w:val="00706B80"/>
    <w:rsid w:val="00706BBA"/>
    <w:rsid w:val="00706C43"/>
    <w:rsid w:val="00706C6B"/>
    <w:rsid w:val="00706C6C"/>
    <w:rsid w:val="00706C6F"/>
    <w:rsid w:val="00706CA2"/>
    <w:rsid w:val="00706CDD"/>
    <w:rsid w:val="00706CE5"/>
    <w:rsid w:val="00706D6B"/>
    <w:rsid w:val="00706D6F"/>
    <w:rsid w:val="00706D86"/>
    <w:rsid w:val="00706E17"/>
    <w:rsid w:val="00706E68"/>
    <w:rsid w:val="00706E90"/>
    <w:rsid w:val="00706EBF"/>
    <w:rsid w:val="00706F3D"/>
    <w:rsid w:val="00706F40"/>
    <w:rsid w:val="00706F53"/>
    <w:rsid w:val="00706FCF"/>
    <w:rsid w:val="0070700B"/>
    <w:rsid w:val="0070709C"/>
    <w:rsid w:val="007070C2"/>
    <w:rsid w:val="0070710D"/>
    <w:rsid w:val="00707188"/>
    <w:rsid w:val="00707196"/>
    <w:rsid w:val="007071C5"/>
    <w:rsid w:val="00707259"/>
    <w:rsid w:val="0070725C"/>
    <w:rsid w:val="0070728A"/>
    <w:rsid w:val="007072AC"/>
    <w:rsid w:val="007072D6"/>
    <w:rsid w:val="00707344"/>
    <w:rsid w:val="00707370"/>
    <w:rsid w:val="00707376"/>
    <w:rsid w:val="007073B4"/>
    <w:rsid w:val="0070742D"/>
    <w:rsid w:val="007074EB"/>
    <w:rsid w:val="00707596"/>
    <w:rsid w:val="007075C8"/>
    <w:rsid w:val="007075CA"/>
    <w:rsid w:val="007075DF"/>
    <w:rsid w:val="007075E6"/>
    <w:rsid w:val="00707623"/>
    <w:rsid w:val="00707679"/>
    <w:rsid w:val="007076DE"/>
    <w:rsid w:val="007076E7"/>
    <w:rsid w:val="007076F2"/>
    <w:rsid w:val="007076FC"/>
    <w:rsid w:val="00707749"/>
    <w:rsid w:val="00707758"/>
    <w:rsid w:val="00707769"/>
    <w:rsid w:val="0070778A"/>
    <w:rsid w:val="0070779C"/>
    <w:rsid w:val="007077DF"/>
    <w:rsid w:val="00707853"/>
    <w:rsid w:val="0070786A"/>
    <w:rsid w:val="00707887"/>
    <w:rsid w:val="007078B8"/>
    <w:rsid w:val="00707973"/>
    <w:rsid w:val="00707A6E"/>
    <w:rsid w:val="00707B63"/>
    <w:rsid w:val="00707C01"/>
    <w:rsid w:val="00707C29"/>
    <w:rsid w:val="00707CBE"/>
    <w:rsid w:val="00707CF7"/>
    <w:rsid w:val="00707D0D"/>
    <w:rsid w:val="00707D98"/>
    <w:rsid w:val="00707E04"/>
    <w:rsid w:val="00707E14"/>
    <w:rsid w:val="00707E5A"/>
    <w:rsid w:val="00707E62"/>
    <w:rsid w:val="00707EEA"/>
    <w:rsid w:val="00707F2C"/>
    <w:rsid w:val="00707F3C"/>
    <w:rsid w:val="00707F69"/>
    <w:rsid w:val="00707F8F"/>
    <w:rsid w:val="00707FCA"/>
    <w:rsid w:val="007101F4"/>
    <w:rsid w:val="0071021D"/>
    <w:rsid w:val="00710286"/>
    <w:rsid w:val="007102C8"/>
    <w:rsid w:val="007102DC"/>
    <w:rsid w:val="0071031B"/>
    <w:rsid w:val="00710383"/>
    <w:rsid w:val="007103AC"/>
    <w:rsid w:val="007103FF"/>
    <w:rsid w:val="0071046D"/>
    <w:rsid w:val="00710471"/>
    <w:rsid w:val="00710475"/>
    <w:rsid w:val="007104DB"/>
    <w:rsid w:val="00710513"/>
    <w:rsid w:val="007105DB"/>
    <w:rsid w:val="007105FD"/>
    <w:rsid w:val="00710629"/>
    <w:rsid w:val="00710684"/>
    <w:rsid w:val="007106F6"/>
    <w:rsid w:val="007106FB"/>
    <w:rsid w:val="00710723"/>
    <w:rsid w:val="007107E9"/>
    <w:rsid w:val="00710821"/>
    <w:rsid w:val="007108CD"/>
    <w:rsid w:val="007108DE"/>
    <w:rsid w:val="00710A3D"/>
    <w:rsid w:val="00710AA9"/>
    <w:rsid w:val="00710B26"/>
    <w:rsid w:val="00710C1F"/>
    <w:rsid w:val="00710C6D"/>
    <w:rsid w:val="00710C6F"/>
    <w:rsid w:val="00710C8F"/>
    <w:rsid w:val="00710CC1"/>
    <w:rsid w:val="00710D13"/>
    <w:rsid w:val="00710D24"/>
    <w:rsid w:val="00710DBC"/>
    <w:rsid w:val="00710DC0"/>
    <w:rsid w:val="00710DFA"/>
    <w:rsid w:val="00710E1E"/>
    <w:rsid w:val="00710E65"/>
    <w:rsid w:val="00710F12"/>
    <w:rsid w:val="00710F23"/>
    <w:rsid w:val="00710F85"/>
    <w:rsid w:val="00710FA9"/>
    <w:rsid w:val="0071103B"/>
    <w:rsid w:val="0071118E"/>
    <w:rsid w:val="00711221"/>
    <w:rsid w:val="00711260"/>
    <w:rsid w:val="00711285"/>
    <w:rsid w:val="007112DB"/>
    <w:rsid w:val="007112E3"/>
    <w:rsid w:val="0071139D"/>
    <w:rsid w:val="007113C7"/>
    <w:rsid w:val="007113E4"/>
    <w:rsid w:val="007114BE"/>
    <w:rsid w:val="00711536"/>
    <w:rsid w:val="00711593"/>
    <w:rsid w:val="00711595"/>
    <w:rsid w:val="007115C1"/>
    <w:rsid w:val="00711603"/>
    <w:rsid w:val="00711612"/>
    <w:rsid w:val="007116B9"/>
    <w:rsid w:val="007116E3"/>
    <w:rsid w:val="00711717"/>
    <w:rsid w:val="00711785"/>
    <w:rsid w:val="00711846"/>
    <w:rsid w:val="007118BD"/>
    <w:rsid w:val="0071193A"/>
    <w:rsid w:val="00711942"/>
    <w:rsid w:val="007119C3"/>
    <w:rsid w:val="007119CA"/>
    <w:rsid w:val="007119CF"/>
    <w:rsid w:val="007119D7"/>
    <w:rsid w:val="007119EA"/>
    <w:rsid w:val="007119F7"/>
    <w:rsid w:val="00711A5A"/>
    <w:rsid w:val="00711A7A"/>
    <w:rsid w:val="00711AD8"/>
    <w:rsid w:val="00711B1D"/>
    <w:rsid w:val="00711B22"/>
    <w:rsid w:val="00711BAE"/>
    <w:rsid w:val="00711C1C"/>
    <w:rsid w:val="00711C2B"/>
    <w:rsid w:val="00711C78"/>
    <w:rsid w:val="00711CC5"/>
    <w:rsid w:val="00711D18"/>
    <w:rsid w:val="00711D69"/>
    <w:rsid w:val="00711D82"/>
    <w:rsid w:val="00711DC4"/>
    <w:rsid w:val="00711DE5"/>
    <w:rsid w:val="00711E1C"/>
    <w:rsid w:val="00711E32"/>
    <w:rsid w:val="00711E47"/>
    <w:rsid w:val="00711EB3"/>
    <w:rsid w:val="00711EDF"/>
    <w:rsid w:val="00711F07"/>
    <w:rsid w:val="00711F71"/>
    <w:rsid w:val="00711F94"/>
    <w:rsid w:val="00711FC1"/>
    <w:rsid w:val="00712006"/>
    <w:rsid w:val="00712068"/>
    <w:rsid w:val="00712073"/>
    <w:rsid w:val="00712074"/>
    <w:rsid w:val="007120BE"/>
    <w:rsid w:val="007120D4"/>
    <w:rsid w:val="00712115"/>
    <w:rsid w:val="0071212F"/>
    <w:rsid w:val="007121E3"/>
    <w:rsid w:val="0071223B"/>
    <w:rsid w:val="00712264"/>
    <w:rsid w:val="007122B6"/>
    <w:rsid w:val="00712376"/>
    <w:rsid w:val="007123AA"/>
    <w:rsid w:val="00712425"/>
    <w:rsid w:val="00712457"/>
    <w:rsid w:val="00712487"/>
    <w:rsid w:val="0071248E"/>
    <w:rsid w:val="00712490"/>
    <w:rsid w:val="00712496"/>
    <w:rsid w:val="007124C8"/>
    <w:rsid w:val="00712527"/>
    <w:rsid w:val="00712528"/>
    <w:rsid w:val="00712533"/>
    <w:rsid w:val="007125DC"/>
    <w:rsid w:val="00712607"/>
    <w:rsid w:val="00712699"/>
    <w:rsid w:val="007126B9"/>
    <w:rsid w:val="00712707"/>
    <w:rsid w:val="00712710"/>
    <w:rsid w:val="0071271F"/>
    <w:rsid w:val="00712773"/>
    <w:rsid w:val="007127CA"/>
    <w:rsid w:val="00712848"/>
    <w:rsid w:val="00712948"/>
    <w:rsid w:val="00712985"/>
    <w:rsid w:val="0071299E"/>
    <w:rsid w:val="007129F1"/>
    <w:rsid w:val="00712A27"/>
    <w:rsid w:val="00712A2C"/>
    <w:rsid w:val="00712A45"/>
    <w:rsid w:val="00712A94"/>
    <w:rsid w:val="00712AAA"/>
    <w:rsid w:val="00712AB0"/>
    <w:rsid w:val="00712B44"/>
    <w:rsid w:val="00712C13"/>
    <w:rsid w:val="00712CEF"/>
    <w:rsid w:val="00712D33"/>
    <w:rsid w:val="00712D87"/>
    <w:rsid w:val="00712E01"/>
    <w:rsid w:val="00712E07"/>
    <w:rsid w:val="00712E67"/>
    <w:rsid w:val="00712E6C"/>
    <w:rsid w:val="00712EA5"/>
    <w:rsid w:val="00712EE3"/>
    <w:rsid w:val="00712F32"/>
    <w:rsid w:val="00713001"/>
    <w:rsid w:val="0071302C"/>
    <w:rsid w:val="007130A1"/>
    <w:rsid w:val="007130F7"/>
    <w:rsid w:val="00713110"/>
    <w:rsid w:val="00713155"/>
    <w:rsid w:val="00713190"/>
    <w:rsid w:val="0071322B"/>
    <w:rsid w:val="00713242"/>
    <w:rsid w:val="00713266"/>
    <w:rsid w:val="007132EC"/>
    <w:rsid w:val="00713305"/>
    <w:rsid w:val="00713311"/>
    <w:rsid w:val="007133C8"/>
    <w:rsid w:val="007133D1"/>
    <w:rsid w:val="00713477"/>
    <w:rsid w:val="007134F1"/>
    <w:rsid w:val="007135B2"/>
    <w:rsid w:val="007135B7"/>
    <w:rsid w:val="00713641"/>
    <w:rsid w:val="0071366F"/>
    <w:rsid w:val="007136C1"/>
    <w:rsid w:val="007136FD"/>
    <w:rsid w:val="007137FE"/>
    <w:rsid w:val="0071392C"/>
    <w:rsid w:val="007139D1"/>
    <w:rsid w:val="00713A4B"/>
    <w:rsid w:val="00713AE9"/>
    <w:rsid w:val="00713C6D"/>
    <w:rsid w:val="00713CB7"/>
    <w:rsid w:val="00713CDD"/>
    <w:rsid w:val="00713CED"/>
    <w:rsid w:val="00713D1C"/>
    <w:rsid w:val="00713D2F"/>
    <w:rsid w:val="00713D5A"/>
    <w:rsid w:val="00713DB3"/>
    <w:rsid w:val="00713E14"/>
    <w:rsid w:val="00713E3B"/>
    <w:rsid w:val="00713E83"/>
    <w:rsid w:val="00713EB9"/>
    <w:rsid w:val="00713EBF"/>
    <w:rsid w:val="00713FD8"/>
    <w:rsid w:val="00714123"/>
    <w:rsid w:val="00714144"/>
    <w:rsid w:val="007141F5"/>
    <w:rsid w:val="00714251"/>
    <w:rsid w:val="007142FA"/>
    <w:rsid w:val="007142FD"/>
    <w:rsid w:val="00714326"/>
    <w:rsid w:val="0071432E"/>
    <w:rsid w:val="00714337"/>
    <w:rsid w:val="0071435E"/>
    <w:rsid w:val="00714392"/>
    <w:rsid w:val="007143D6"/>
    <w:rsid w:val="0071441A"/>
    <w:rsid w:val="007144B7"/>
    <w:rsid w:val="007144C7"/>
    <w:rsid w:val="007144CB"/>
    <w:rsid w:val="007144EF"/>
    <w:rsid w:val="00714502"/>
    <w:rsid w:val="0071454B"/>
    <w:rsid w:val="0071458A"/>
    <w:rsid w:val="00714594"/>
    <w:rsid w:val="007145CF"/>
    <w:rsid w:val="007145DF"/>
    <w:rsid w:val="00714613"/>
    <w:rsid w:val="00714620"/>
    <w:rsid w:val="007146A7"/>
    <w:rsid w:val="007146B3"/>
    <w:rsid w:val="00714773"/>
    <w:rsid w:val="00714799"/>
    <w:rsid w:val="007147EA"/>
    <w:rsid w:val="00714805"/>
    <w:rsid w:val="00714913"/>
    <w:rsid w:val="0071491D"/>
    <w:rsid w:val="00714974"/>
    <w:rsid w:val="007149F8"/>
    <w:rsid w:val="00714B84"/>
    <w:rsid w:val="00714BE3"/>
    <w:rsid w:val="00714C7B"/>
    <w:rsid w:val="00714CCA"/>
    <w:rsid w:val="00714CE0"/>
    <w:rsid w:val="00714D11"/>
    <w:rsid w:val="00714D3D"/>
    <w:rsid w:val="00714D3F"/>
    <w:rsid w:val="00714D60"/>
    <w:rsid w:val="00714D61"/>
    <w:rsid w:val="00714D6A"/>
    <w:rsid w:val="00714E3C"/>
    <w:rsid w:val="00714E4D"/>
    <w:rsid w:val="00714EE5"/>
    <w:rsid w:val="00714F37"/>
    <w:rsid w:val="00714F9F"/>
    <w:rsid w:val="00714FC2"/>
    <w:rsid w:val="00714FC8"/>
    <w:rsid w:val="00714FE7"/>
    <w:rsid w:val="00715050"/>
    <w:rsid w:val="00715098"/>
    <w:rsid w:val="007150DD"/>
    <w:rsid w:val="007150DE"/>
    <w:rsid w:val="0071512B"/>
    <w:rsid w:val="007151A1"/>
    <w:rsid w:val="007151D3"/>
    <w:rsid w:val="0071524D"/>
    <w:rsid w:val="00715286"/>
    <w:rsid w:val="007152BB"/>
    <w:rsid w:val="0071533E"/>
    <w:rsid w:val="00715379"/>
    <w:rsid w:val="007153FF"/>
    <w:rsid w:val="00715417"/>
    <w:rsid w:val="0071542D"/>
    <w:rsid w:val="007154EB"/>
    <w:rsid w:val="00715505"/>
    <w:rsid w:val="00715523"/>
    <w:rsid w:val="00715577"/>
    <w:rsid w:val="007155FD"/>
    <w:rsid w:val="00715602"/>
    <w:rsid w:val="0071560E"/>
    <w:rsid w:val="0071566E"/>
    <w:rsid w:val="00715695"/>
    <w:rsid w:val="007156D2"/>
    <w:rsid w:val="007156F2"/>
    <w:rsid w:val="007157A2"/>
    <w:rsid w:val="007157DF"/>
    <w:rsid w:val="00715878"/>
    <w:rsid w:val="007158B9"/>
    <w:rsid w:val="0071593E"/>
    <w:rsid w:val="0071596A"/>
    <w:rsid w:val="0071598D"/>
    <w:rsid w:val="00715996"/>
    <w:rsid w:val="00715A84"/>
    <w:rsid w:val="00715AB8"/>
    <w:rsid w:val="00715AEA"/>
    <w:rsid w:val="00715AF4"/>
    <w:rsid w:val="00715B6F"/>
    <w:rsid w:val="00715B92"/>
    <w:rsid w:val="00715BCB"/>
    <w:rsid w:val="00715BDE"/>
    <w:rsid w:val="00715C34"/>
    <w:rsid w:val="00715C8C"/>
    <w:rsid w:val="00715CDA"/>
    <w:rsid w:val="00715D3C"/>
    <w:rsid w:val="00715D97"/>
    <w:rsid w:val="00715DA4"/>
    <w:rsid w:val="00715E49"/>
    <w:rsid w:val="00715EB4"/>
    <w:rsid w:val="00715EB6"/>
    <w:rsid w:val="00715F7B"/>
    <w:rsid w:val="00715FAC"/>
    <w:rsid w:val="00716058"/>
    <w:rsid w:val="0071609F"/>
    <w:rsid w:val="007160BD"/>
    <w:rsid w:val="007160E1"/>
    <w:rsid w:val="007161D7"/>
    <w:rsid w:val="0071628B"/>
    <w:rsid w:val="007162AB"/>
    <w:rsid w:val="007162B0"/>
    <w:rsid w:val="007162E3"/>
    <w:rsid w:val="00716332"/>
    <w:rsid w:val="00716433"/>
    <w:rsid w:val="00716472"/>
    <w:rsid w:val="0071647F"/>
    <w:rsid w:val="0071649D"/>
    <w:rsid w:val="00716500"/>
    <w:rsid w:val="00716501"/>
    <w:rsid w:val="00716509"/>
    <w:rsid w:val="00716588"/>
    <w:rsid w:val="007165E1"/>
    <w:rsid w:val="0071660A"/>
    <w:rsid w:val="00716615"/>
    <w:rsid w:val="00716637"/>
    <w:rsid w:val="00716658"/>
    <w:rsid w:val="00716668"/>
    <w:rsid w:val="0071668E"/>
    <w:rsid w:val="007166E0"/>
    <w:rsid w:val="00716731"/>
    <w:rsid w:val="00716777"/>
    <w:rsid w:val="00716789"/>
    <w:rsid w:val="007167F4"/>
    <w:rsid w:val="007167FA"/>
    <w:rsid w:val="00716860"/>
    <w:rsid w:val="00716867"/>
    <w:rsid w:val="00716872"/>
    <w:rsid w:val="007168D9"/>
    <w:rsid w:val="007168F6"/>
    <w:rsid w:val="00716915"/>
    <w:rsid w:val="0071695D"/>
    <w:rsid w:val="00716993"/>
    <w:rsid w:val="007169A0"/>
    <w:rsid w:val="007169DB"/>
    <w:rsid w:val="00716A0B"/>
    <w:rsid w:val="00716A3B"/>
    <w:rsid w:val="00716ABD"/>
    <w:rsid w:val="00716AEE"/>
    <w:rsid w:val="00716B64"/>
    <w:rsid w:val="00716BE9"/>
    <w:rsid w:val="00716C69"/>
    <w:rsid w:val="00716CB0"/>
    <w:rsid w:val="00716CEE"/>
    <w:rsid w:val="00716D17"/>
    <w:rsid w:val="00716D2D"/>
    <w:rsid w:val="00716D5D"/>
    <w:rsid w:val="00716D96"/>
    <w:rsid w:val="00716DC9"/>
    <w:rsid w:val="00716E04"/>
    <w:rsid w:val="00716EC3"/>
    <w:rsid w:val="00716EC9"/>
    <w:rsid w:val="00716F1D"/>
    <w:rsid w:val="00716F80"/>
    <w:rsid w:val="00716F98"/>
    <w:rsid w:val="00716FB4"/>
    <w:rsid w:val="00716FFD"/>
    <w:rsid w:val="00717029"/>
    <w:rsid w:val="00717036"/>
    <w:rsid w:val="00717073"/>
    <w:rsid w:val="007170F1"/>
    <w:rsid w:val="00717163"/>
    <w:rsid w:val="00717176"/>
    <w:rsid w:val="0071717A"/>
    <w:rsid w:val="007171C8"/>
    <w:rsid w:val="007171F2"/>
    <w:rsid w:val="007172A0"/>
    <w:rsid w:val="00717367"/>
    <w:rsid w:val="007173DB"/>
    <w:rsid w:val="0071745F"/>
    <w:rsid w:val="00717464"/>
    <w:rsid w:val="0071746E"/>
    <w:rsid w:val="00717479"/>
    <w:rsid w:val="007174FF"/>
    <w:rsid w:val="00717580"/>
    <w:rsid w:val="0071759C"/>
    <w:rsid w:val="007175C2"/>
    <w:rsid w:val="007175DD"/>
    <w:rsid w:val="00717608"/>
    <w:rsid w:val="0071775C"/>
    <w:rsid w:val="007177C1"/>
    <w:rsid w:val="007177C5"/>
    <w:rsid w:val="007177F7"/>
    <w:rsid w:val="007178EB"/>
    <w:rsid w:val="00717915"/>
    <w:rsid w:val="00717920"/>
    <w:rsid w:val="0071795D"/>
    <w:rsid w:val="00717A55"/>
    <w:rsid w:val="00717AB7"/>
    <w:rsid w:val="00717B28"/>
    <w:rsid w:val="00717BAE"/>
    <w:rsid w:val="00717BEC"/>
    <w:rsid w:val="00717BF5"/>
    <w:rsid w:val="00717C41"/>
    <w:rsid w:val="00717D94"/>
    <w:rsid w:val="00717DA6"/>
    <w:rsid w:val="00717E31"/>
    <w:rsid w:val="00717E9A"/>
    <w:rsid w:val="00717EE2"/>
    <w:rsid w:val="00717EE9"/>
    <w:rsid w:val="00717FC7"/>
    <w:rsid w:val="00720052"/>
    <w:rsid w:val="007200A1"/>
    <w:rsid w:val="007200AA"/>
    <w:rsid w:val="007200B6"/>
    <w:rsid w:val="0072015D"/>
    <w:rsid w:val="007201A6"/>
    <w:rsid w:val="00720283"/>
    <w:rsid w:val="0072043C"/>
    <w:rsid w:val="007204BE"/>
    <w:rsid w:val="007204FE"/>
    <w:rsid w:val="00720583"/>
    <w:rsid w:val="0072059A"/>
    <w:rsid w:val="007205DF"/>
    <w:rsid w:val="007205FA"/>
    <w:rsid w:val="00720617"/>
    <w:rsid w:val="007206D2"/>
    <w:rsid w:val="007206D4"/>
    <w:rsid w:val="007206F3"/>
    <w:rsid w:val="0072079C"/>
    <w:rsid w:val="007207C9"/>
    <w:rsid w:val="007207D4"/>
    <w:rsid w:val="0072080C"/>
    <w:rsid w:val="00720823"/>
    <w:rsid w:val="00720862"/>
    <w:rsid w:val="007208F6"/>
    <w:rsid w:val="00720958"/>
    <w:rsid w:val="0072099C"/>
    <w:rsid w:val="007209F2"/>
    <w:rsid w:val="00720A25"/>
    <w:rsid w:val="00720A4C"/>
    <w:rsid w:val="00720A5C"/>
    <w:rsid w:val="00720AB4"/>
    <w:rsid w:val="00720ABE"/>
    <w:rsid w:val="00720C37"/>
    <w:rsid w:val="00720C9F"/>
    <w:rsid w:val="00720CEC"/>
    <w:rsid w:val="00720CF7"/>
    <w:rsid w:val="00720D12"/>
    <w:rsid w:val="00720D2B"/>
    <w:rsid w:val="00720DA2"/>
    <w:rsid w:val="00720E30"/>
    <w:rsid w:val="00720E66"/>
    <w:rsid w:val="00720E6D"/>
    <w:rsid w:val="00720E98"/>
    <w:rsid w:val="00720ED8"/>
    <w:rsid w:val="00720EE2"/>
    <w:rsid w:val="00720F0A"/>
    <w:rsid w:val="00720F17"/>
    <w:rsid w:val="00720F62"/>
    <w:rsid w:val="00720F7C"/>
    <w:rsid w:val="00721052"/>
    <w:rsid w:val="00721091"/>
    <w:rsid w:val="007210A7"/>
    <w:rsid w:val="007210E7"/>
    <w:rsid w:val="00721165"/>
    <w:rsid w:val="007211EE"/>
    <w:rsid w:val="0072128F"/>
    <w:rsid w:val="007212C3"/>
    <w:rsid w:val="00721326"/>
    <w:rsid w:val="00721351"/>
    <w:rsid w:val="007213BC"/>
    <w:rsid w:val="0072142C"/>
    <w:rsid w:val="007214EA"/>
    <w:rsid w:val="00721506"/>
    <w:rsid w:val="00721507"/>
    <w:rsid w:val="0072155E"/>
    <w:rsid w:val="00721692"/>
    <w:rsid w:val="007216F1"/>
    <w:rsid w:val="007216F7"/>
    <w:rsid w:val="00721717"/>
    <w:rsid w:val="00721732"/>
    <w:rsid w:val="007218B0"/>
    <w:rsid w:val="007218B8"/>
    <w:rsid w:val="007218D9"/>
    <w:rsid w:val="0072191C"/>
    <w:rsid w:val="007219A9"/>
    <w:rsid w:val="00721A20"/>
    <w:rsid w:val="00721AF6"/>
    <w:rsid w:val="00721B00"/>
    <w:rsid w:val="00721B11"/>
    <w:rsid w:val="00721B97"/>
    <w:rsid w:val="00721BC3"/>
    <w:rsid w:val="00721C32"/>
    <w:rsid w:val="00721CA6"/>
    <w:rsid w:val="00721CE2"/>
    <w:rsid w:val="00721CF4"/>
    <w:rsid w:val="00721D86"/>
    <w:rsid w:val="00721DEB"/>
    <w:rsid w:val="00721E75"/>
    <w:rsid w:val="00721F27"/>
    <w:rsid w:val="00721FA8"/>
    <w:rsid w:val="00721FAE"/>
    <w:rsid w:val="00721FDC"/>
    <w:rsid w:val="00722021"/>
    <w:rsid w:val="0072202E"/>
    <w:rsid w:val="0072204D"/>
    <w:rsid w:val="007220B5"/>
    <w:rsid w:val="007220D9"/>
    <w:rsid w:val="0072217D"/>
    <w:rsid w:val="00722194"/>
    <w:rsid w:val="0072219C"/>
    <w:rsid w:val="007221B1"/>
    <w:rsid w:val="007221CF"/>
    <w:rsid w:val="00722241"/>
    <w:rsid w:val="00722303"/>
    <w:rsid w:val="00722316"/>
    <w:rsid w:val="007223B1"/>
    <w:rsid w:val="007223BB"/>
    <w:rsid w:val="007223E2"/>
    <w:rsid w:val="00722449"/>
    <w:rsid w:val="00722462"/>
    <w:rsid w:val="0072247F"/>
    <w:rsid w:val="007224C2"/>
    <w:rsid w:val="0072254B"/>
    <w:rsid w:val="0072256D"/>
    <w:rsid w:val="007225AA"/>
    <w:rsid w:val="007225E6"/>
    <w:rsid w:val="00722605"/>
    <w:rsid w:val="00722681"/>
    <w:rsid w:val="00722693"/>
    <w:rsid w:val="007226F0"/>
    <w:rsid w:val="0072276D"/>
    <w:rsid w:val="00722864"/>
    <w:rsid w:val="00722931"/>
    <w:rsid w:val="00722978"/>
    <w:rsid w:val="007229C6"/>
    <w:rsid w:val="00722A6A"/>
    <w:rsid w:val="00722A91"/>
    <w:rsid w:val="00722AD9"/>
    <w:rsid w:val="00722AE4"/>
    <w:rsid w:val="00722B78"/>
    <w:rsid w:val="00722B92"/>
    <w:rsid w:val="00722C0D"/>
    <w:rsid w:val="00722C5C"/>
    <w:rsid w:val="00722C61"/>
    <w:rsid w:val="00722C69"/>
    <w:rsid w:val="00722CC9"/>
    <w:rsid w:val="00722CEF"/>
    <w:rsid w:val="00722D0B"/>
    <w:rsid w:val="00722D12"/>
    <w:rsid w:val="00722D46"/>
    <w:rsid w:val="00722D5E"/>
    <w:rsid w:val="00722D7F"/>
    <w:rsid w:val="00722DEA"/>
    <w:rsid w:val="00722E33"/>
    <w:rsid w:val="00722E39"/>
    <w:rsid w:val="00722E6D"/>
    <w:rsid w:val="00722E8D"/>
    <w:rsid w:val="00722E9C"/>
    <w:rsid w:val="007230A0"/>
    <w:rsid w:val="007231B7"/>
    <w:rsid w:val="00723211"/>
    <w:rsid w:val="00723236"/>
    <w:rsid w:val="00723241"/>
    <w:rsid w:val="0072327C"/>
    <w:rsid w:val="00723290"/>
    <w:rsid w:val="007232FE"/>
    <w:rsid w:val="0072337F"/>
    <w:rsid w:val="007233A3"/>
    <w:rsid w:val="00723415"/>
    <w:rsid w:val="00723417"/>
    <w:rsid w:val="0072349F"/>
    <w:rsid w:val="007234C8"/>
    <w:rsid w:val="007234CC"/>
    <w:rsid w:val="0072350B"/>
    <w:rsid w:val="00723571"/>
    <w:rsid w:val="00723597"/>
    <w:rsid w:val="00723641"/>
    <w:rsid w:val="0072365A"/>
    <w:rsid w:val="0072369C"/>
    <w:rsid w:val="007236C5"/>
    <w:rsid w:val="00723774"/>
    <w:rsid w:val="00723818"/>
    <w:rsid w:val="00723862"/>
    <w:rsid w:val="007238C8"/>
    <w:rsid w:val="00723967"/>
    <w:rsid w:val="007239A9"/>
    <w:rsid w:val="007239E1"/>
    <w:rsid w:val="00723A30"/>
    <w:rsid w:val="00723AD2"/>
    <w:rsid w:val="00723B55"/>
    <w:rsid w:val="00723C25"/>
    <w:rsid w:val="00723D14"/>
    <w:rsid w:val="00723DED"/>
    <w:rsid w:val="00723E9C"/>
    <w:rsid w:val="00723F57"/>
    <w:rsid w:val="0072400D"/>
    <w:rsid w:val="00724041"/>
    <w:rsid w:val="00724049"/>
    <w:rsid w:val="0072405A"/>
    <w:rsid w:val="007240CB"/>
    <w:rsid w:val="00724144"/>
    <w:rsid w:val="0072418D"/>
    <w:rsid w:val="00724200"/>
    <w:rsid w:val="00724232"/>
    <w:rsid w:val="007242BF"/>
    <w:rsid w:val="00724309"/>
    <w:rsid w:val="00724354"/>
    <w:rsid w:val="00724363"/>
    <w:rsid w:val="00724439"/>
    <w:rsid w:val="0072451A"/>
    <w:rsid w:val="00724539"/>
    <w:rsid w:val="00724552"/>
    <w:rsid w:val="007245C2"/>
    <w:rsid w:val="007245C7"/>
    <w:rsid w:val="007246FD"/>
    <w:rsid w:val="00724759"/>
    <w:rsid w:val="00724774"/>
    <w:rsid w:val="00724794"/>
    <w:rsid w:val="007247D7"/>
    <w:rsid w:val="00724820"/>
    <w:rsid w:val="0072483A"/>
    <w:rsid w:val="00724842"/>
    <w:rsid w:val="00724965"/>
    <w:rsid w:val="0072499F"/>
    <w:rsid w:val="007249C2"/>
    <w:rsid w:val="007249E8"/>
    <w:rsid w:val="00724A1A"/>
    <w:rsid w:val="00724A24"/>
    <w:rsid w:val="00724A69"/>
    <w:rsid w:val="00724B08"/>
    <w:rsid w:val="00724B2F"/>
    <w:rsid w:val="00724B58"/>
    <w:rsid w:val="00724B99"/>
    <w:rsid w:val="00724BB0"/>
    <w:rsid w:val="00724C01"/>
    <w:rsid w:val="00724C68"/>
    <w:rsid w:val="00724D89"/>
    <w:rsid w:val="00724D8D"/>
    <w:rsid w:val="00724DF4"/>
    <w:rsid w:val="00724F9C"/>
    <w:rsid w:val="00724FAF"/>
    <w:rsid w:val="0072505D"/>
    <w:rsid w:val="007250D1"/>
    <w:rsid w:val="00725199"/>
    <w:rsid w:val="00725208"/>
    <w:rsid w:val="0072524D"/>
    <w:rsid w:val="00725264"/>
    <w:rsid w:val="00725275"/>
    <w:rsid w:val="00725368"/>
    <w:rsid w:val="007253B7"/>
    <w:rsid w:val="0072540C"/>
    <w:rsid w:val="00725412"/>
    <w:rsid w:val="00725423"/>
    <w:rsid w:val="00725473"/>
    <w:rsid w:val="00725517"/>
    <w:rsid w:val="0072556D"/>
    <w:rsid w:val="007255AC"/>
    <w:rsid w:val="007255D1"/>
    <w:rsid w:val="00725628"/>
    <w:rsid w:val="00725639"/>
    <w:rsid w:val="0072567D"/>
    <w:rsid w:val="007256BE"/>
    <w:rsid w:val="007256CF"/>
    <w:rsid w:val="00725736"/>
    <w:rsid w:val="0072573E"/>
    <w:rsid w:val="007257D3"/>
    <w:rsid w:val="00725886"/>
    <w:rsid w:val="00725900"/>
    <w:rsid w:val="00725917"/>
    <w:rsid w:val="00725962"/>
    <w:rsid w:val="00725979"/>
    <w:rsid w:val="007259B0"/>
    <w:rsid w:val="00725A1B"/>
    <w:rsid w:val="00725AE7"/>
    <w:rsid w:val="00725B98"/>
    <w:rsid w:val="00725BCD"/>
    <w:rsid w:val="00725C1F"/>
    <w:rsid w:val="00725C70"/>
    <w:rsid w:val="00725CAB"/>
    <w:rsid w:val="00725D0D"/>
    <w:rsid w:val="00725D2E"/>
    <w:rsid w:val="00725D7A"/>
    <w:rsid w:val="00725D82"/>
    <w:rsid w:val="00725DC9"/>
    <w:rsid w:val="00725DDB"/>
    <w:rsid w:val="00725E29"/>
    <w:rsid w:val="00725EB5"/>
    <w:rsid w:val="00725F12"/>
    <w:rsid w:val="0072603F"/>
    <w:rsid w:val="0072609B"/>
    <w:rsid w:val="007260A0"/>
    <w:rsid w:val="007260B7"/>
    <w:rsid w:val="007260DF"/>
    <w:rsid w:val="007260E7"/>
    <w:rsid w:val="00726119"/>
    <w:rsid w:val="00726139"/>
    <w:rsid w:val="00726194"/>
    <w:rsid w:val="007261FA"/>
    <w:rsid w:val="0072621B"/>
    <w:rsid w:val="00726250"/>
    <w:rsid w:val="0072625E"/>
    <w:rsid w:val="007262D2"/>
    <w:rsid w:val="007262E9"/>
    <w:rsid w:val="00726329"/>
    <w:rsid w:val="0072634D"/>
    <w:rsid w:val="0072637A"/>
    <w:rsid w:val="007263BE"/>
    <w:rsid w:val="007263C9"/>
    <w:rsid w:val="007264C0"/>
    <w:rsid w:val="007264CA"/>
    <w:rsid w:val="00726518"/>
    <w:rsid w:val="007265B1"/>
    <w:rsid w:val="007266C8"/>
    <w:rsid w:val="007266F6"/>
    <w:rsid w:val="007266F9"/>
    <w:rsid w:val="00726749"/>
    <w:rsid w:val="0072674E"/>
    <w:rsid w:val="007267B4"/>
    <w:rsid w:val="00726849"/>
    <w:rsid w:val="0072686A"/>
    <w:rsid w:val="007268B5"/>
    <w:rsid w:val="007269CA"/>
    <w:rsid w:val="007269EF"/>
    <w:rsid w:val="00726A02"/>
    <w:rsid w:val="00726B2E"/>
    <w:rsid w:val="00726B4C"/>
    <w:rsid w:val="00726BA8"/>
    <w:rsid w:val="00726BE0"/>
    <w:rsid w:val="00726C3D"/>
    <w:rsid w:val="00726D80"/>
    <w:rsid w:val="00726DB5"/>
    <w:rsid w:val="00726DBA"/>
    <w:rsid w:val="00726E34"/>
    <w:rsid w:val="00726E4F"/>
    <w:rsid w:val="00726EC8"/>
    <w:rsid w:val="00726F13"/>
    <w:rsid w:val="00726F3E"/>
    <w:rsid w:val="00726F63"/>
    <w:rsid w:val="00726FC8"/>
    <w:rsid w:val="00727001"/>
    <w:rsid w:val="007270CE"/>
    <w:rsid w:val="00727115"/>
    <w:rsid w:val="0072711C"/>
    <w:rsid w:val="00727150"/>
    <w:rsid w:val="0072718C"/>
    <w:rsid w:val="007271B1"/>
    <w:rsid w:val="007271B8"/>
    <w:rsid w:val="00727255"/>
    <w:rsid w:val="00727258"/>
    <w:rsid w:val="007272B5"/>
    <w:rsid w:val="0072733A"/>
    <w:rsid w:val="00727342"/>
    <w:rsid w:val="00727433"/>
    <w:rsid w:val="00727446"/>
    <w:rsid w:val="00727486"/>
    <w:rsid w:val="00727499"/>
    <w:rsid w:val="0072749C"/>
    <w:rsid w:val="00727512"/>
    <w:rsid w:val="00727539"/>
    <w:rsid w:val="00727540"/>
    <w:rsid w:val="00727541"/>
    <w:rsid w:val="0072755A"/>
    <w:rsid w:val="0072756A"/>
    <w:rsid w:val="0072762F"/>
    <w:rsid w:val="00727653"/>
    <w:rsid w:val="0072768A"/>
    <w:rsid w:val="0072768E"/>
    <w:rsid w:val="007276C6"/>
    <w:rsid w:val="007276E2"/>
    <w:rsid w:val="007276ED"/>
    <w:rsid w:val="007276F2"/>
    <w:rsid w:val="00727708"/>
    <w:rsid w:val="0072770D"/>
    <w:rsid w:val="00727799"/>
    <w:rsid w:val="007277DD"/>
    <w:rsid w:val="0072780C"/>
    <w:rsid w:val="0072787F"/>
    <w:rsid w:val="00727884"/>
    <w:rsid w:val="007278D3"/>
    <w:rsid w:val="007278EF"/>
    <w:rsid w:val="00727929"/>
    <w:rsid w:val="007279DC"/>
    <w:rsid w:val="00727A16"/>
    <w:rsid w:val="00727A2E"/>
    <w:rsid w:val="00727A86"/>
    <w:rsid w:val="00727AB0"/>
    <w:rsid w:val="00727B43"/>
    <w:rsid w:val="00727B61"/>
    <w:rsid w:val="00727B92"/>
    <w:rsid w:val="00727B9C"/>
    <w:rsid w:val="00727BC7"/>
    <w:rsid w:val="00727CFD"/>
    <w:rsid w:val="00727D71"/>
    <w:rsid w:val="00727D9A"/>
    <w:rsid w:val="00727E3F"/>
    <w:rsid w:val="00727E64"/>
    <w:rsid w:val="00727EAC"/>
    <w:rsid w:val="00727ED9"/>
    <w:rsid w:val="00727EFF"/>
    <w:rsid w:val="00727F14"/>
    <w:rsid w:val="00727FC6"/>
    <w:rsid w:val="00727FE7"/>
    <w:rsid w:val="00730020"/>
    <w:rsid w:val="007300AA"/>
    <w:rsid w:val="00730118"/>
    <w:rsid w:val="00730171"/>
    <w:rsid w:val="007301C2"/>
    <w:rsid w:val="007301CE"/>
    <w:rsid w:val="007301F4"/>
    <w:rsid w:val="00730294"/>
    <w:rsid w:val="007302E6"/>
    <w:rsid w:val="00730351"/>
    <w:rsid w:val="007303BE"/>
    <w:rsid w:val="00730419"/>
    <w:rsid w:val="0073041F"/>
    <w:rsid w:val="0073042C"/>
    <w:rsid w:val="00730464"/>
    <w:rsid w:val="00730472"/>
    <w:rsid w:val="00730497"/>
    <w:rsid w:val="007304CF"/>
    <w:rsid w:val="00730526"/>
    <w:rsid w:val="007305EA"/>
    <w:rsid w:val="007306B4"/>
    <w:rsid w:val="007306D0"/>
    <w:rsid w:val="007306F5"/>
    <w:rsid w:val="00730730"/>
    <w:rsid w:val="0073074B"/>
    <w:rsid w:val="0073076C"/>
    <w:rsid w:val="00730789"/>
    <w:rsid w:val="00730791"/>
    <w:rsid w:val="007307B6"/>
    <w:rsid w:val="007307DC"/>
    <w:rsid w:val="00730802"/>
    <w:rsid w:val="00730812"/>
    <w:rsid w:val="00730880"/>
    <w:rsid w:val="007308A9"/>
    <w:rsid w:val="007308E6"/>
    <w:rsid w:val="00730944"/>
    <w:rsid w:val="00730A03"/>
    <w:rsid w:val="00730A5E"/>
    <w:rsid w:val="00730AFE"/>
    <w:rsid w:val="00730B62"/>
    <w:rsid w:val="00730BE3"/>
    <w:rsid w:val="00730C71"/>
    <w:rsid w:val="00730CBF"/>
    <w:rsid w:val="00730CFF"/>
    <w:rsid w:val="00730E56"/>
    <w:rsid w:val="00730E74"/>
    <w:rsid w:val="00730EF2"/>
    <w:rsid w:val="00730F59"/>
    <w:rsid w:val="00730F92"/>
    <w:rsid w:val="00730FE5"/>
    <w:rsid w:val="0073101B"/>
    <w:rsid w:val="00731085"/>
    <w:rsid w:val="00731089"/>
    <w:rsid w:val="007310B1"/>
    <w:rsid w:val="0073111F"/>
    <w:rsid w:val="00731158"/>
    <w:rsid w:val="0073116B"/>
    <w:rsid w:val="0073119B"/>
    <w:rsid w:val="007311A2"/>
    <w:rsid w:val="007311B9"/>
    <w:rsid w:val="007311C0"/>
    <w:rsid w:val="007311F3"/>
    <w:rsid w:val="00731275"/>
    <w:rsid w:val="0073128D"/>
    <w:rsid w:val="0073129C"/>
    <w:rsid w:val="0073139E"/>
    <w:rsid w:val="007313A6"/>
    <w:rsid w:val="007313C0"/>
    <w:rsid w:val="007313F9"/>
    <w:rsid w:val="0073147C"/>
    <w:rsid w:val="007314C5"/>
    <w:rsid w:val="00731507"/>
    <w:rsid w:val="00731526"/>
    <w:rsid w:val="00731592"/>
    <w:rsid w:val="00731622"/>
    <w:rsid w:val="00731628"/>
    <w:rsid w:val="007316C9"/>
    <w:rsid w:val="007316D6"/>
    <w:rsid w:val="00731756"/>
    <w:rsid w:val="00731767"/>
    <w:rsid w:val="007317A8"/>
    <w:rsid w:val="007317AD"/>
    <w:rsid w:val="007317B6"/>
    <w:rsid w:val="007318E7"/>
    <w:rsid w:val="0073194B"/>
    <w:rsid w:val="0073196D"/>
    <w:rsid w:val="007319D2"/>
    <w:rsid w:val="00731AC6"/>
    <w:rsid w:val="00731B43"/>
    <w:rsid w:val="00731BFF"/>
    <w:rsid w:val="00731C21"/>
    <w:rsid w:val="00731C99"/>
    <w:rsid w:val="00731CF0"/>
    <w:rsid w:val="00731D12"/>
    <w:rsid w:val="00731D9F"/>
    <w:rsid w:val="00731E6D"/>
    <w:rsid w:val="00731EB8"/>
    <w:rsid w:val="00731EE7"/>
    <w:rsid w:val="00731EF3"/>
    <w:rsid w:val="00731F03"/>
    <w:rsid w:val="00731F31"/>
    <w:rsid w:val="00732004"/>
    <w:rsid w:val="00732088"/>
    <w:rsid w:val="007320E0"/>
    <w:rsid w:val="007320E8"/>
    <w:rsid w:val="007321D3"/>
    <w:rsid w:val="00732214"/>
    <w:rsid w:val="0073226B"/>
    <w:rsid w:val="00732295"/>
    <w:rsid w:val="0073233D"/>
    <w:rsid w:val="00732389"/>
    <w:rsid w:val="0073251A"/>
    <w:rsid w:val="00732554"/>
    <w:rsid w:val="0073262B"/>
    <w:rsid w:val="0073266D"/>
    <w:rsid w:val="0073268D"/>
    <w:rsid w:val="007326C0"/>
    <w:rsid w:val="007326D0"/>
    <w:rsid w:val="007326F0"/>
    <w:rsid w:val="00732703"/>
    <w:rsid w:val="00732764"/>
    <w:rsid w:val="007327BE"/>
    <w:rsid w:val="007327D0"/>
    <w:rsid w:val="0073281C"/>
    <w:rsid w:val="0073293D"/>
    <w:rsid w:val="00732968"/>
    <w:rsid w:val="00732994"/>
    <w:rsid w:val="007329B7"/>
    <w:rsid w:val="007329C4"/>
    <w:rsid w:val="00732A04"/>
    <w:rsid w:val="00732B72"/>
    <w:rsid w:val="00732B88"/>
    <w:rsid w:val="00732C01"/>
    <w:rsid w:val="00732D44"/>
    <w:rsid w:val="00732D77"/>
    <w:rsid w:val="00732D98"/>
    <w:rsid w:val="00732DBC"/>
    <w:rsid w:val="00732DD2"/>
    <w:rsid w:val="00732DE4"/>
    <w:rsid w:val="00732E96"/>
    <w:rsid w:val="00732EA0"/>
    <w:rsid w:val="00732EB8"/>
    <w:rsid w:val="00732F3C"/>
    <w:rsid w:val="00732F4E"/>
    <w:rsid w:val="00732FC2"/>
    <w:rsid w:val="00733026"/>
    <w:rsid w:val="00733039"/>
    <w:rsid w:val="00733096"/>
    <w:rsid w:val="007330A4"/>
    <w:rsid w:val="007331AF"/>
    <w:rsid w:val="007331F0"/>
    <w:rsid w:val="0073322F"/>
    <w:rsid w:val="00733351"/>
    <w:rsid w:val="007334B6"/>
    <w:rsid w:val="007334FD"/>
    <w:rsid w:val="00733501"/>
    <w:rsid w:val="00733637"/>
    <w:rsid w:val="00733670"/>
    <w:rsid w:val="007336AB"/>
    <w:rsid w:val="007336F1"/>
    <w:rsid w:val="0073371D"/>
    <w:rsid w:val="00733797"/>
    <w:rsid w:val="0073382B"/>
    <w:rsid w:val="0073383D"/>
    <w:rsid w:val="0073387C"/>
    <w:rsid w:val="007338BD"/>
    <w:rsid w:val="00733918"/>
    <w:rsid w:val="0073394A"/>
    <w:rsid w:val="00733A5F"/>
    <w:rsid w:val="00733AD8"/>
    <w:rsid w:val="00733ADE"/>
    <w:rsid w:val="00733BB3"/>
    <w:rsid w:val="00733BEE"/>
    <w:rsid w:val="00733C1F"/>
    <w:rsid w:val="00733C90"/>
    <w:rsid w:val="00733DEB"/>
    <w:rsid w:val="00733E02"/>
    <w:rsid w:val="00733E30"/>
    <w:rsid w:val="00733E36"/>
    <w:rsid w:val="00733F61"/>
    <w:rsid w:val="00733FED"/>
    <w:rsid w:val="00733FFE"/>
    <w:rsid w:val="0073402C"/>
    <w:rsid w:val="0073402D"/>
    <w:rsid w:val="0073405D"/>
    <w:rsid w:val="00734111"/>
    <w:rsid w:val="00734119"/>
    <w:rsid w:val="00734170"/>
    <w:rsid w:val="00734176"/>
    <w:rsid w:val="007341DC"/>
    <w:rsid w:val="0073421B"/>
    <w:rsid w:val="0073426D"/>
    <w:rsid w:val="00734322"/>
    <w:rsid w:val="00734398"/>
    <w:rsid w:val="007343D2"/>
    <w:rsid w:val="007343D3"/>
    <w:rsid w:val="007343EE"/>
    <w:rsid w:val="00734403"/>
    <w:rsid w:val="0073443A"/>
    <w:rsid w:val="0073446F"/>
    <w:rsid w:val="0073447F"/>
    <w:rsid w:val="007344C2"/>
    <w:rsid w:val="007344E0"/>
    <w:rsid w:val="007344FC"/>
    <w:rsid w:val="00734542"/>
    <w:rsid w:val="00734580"/>
    <w:rsid w:val="007345AE"/>
    <w:rsid w:val="007345EC"/>
    <w:rsid w:val="007345FD"/>
    <w:rsid w:val="0073462E"/>
    <w:rsid w:val="00734659"/>
    <w:rsid w:val="00734696"/>
    <w:rsid w:val="00734774"/>
    <w:rsid w:val="007347D0"/>
    <w:rsid w:val="007347E3"/>
    <w:rsid w:val="0073481A"/>
    <w:rsid w:val="0073484E"/>
    <w:rsid w:val="007348C9"/>
    <w:rsid w:val="0073493B"/>
    <w:rsid w:val="00734948"/>
    <w:rsid w:val="00734957"/>
    <w:rsid w:val="00734968"/>
    <w:rsid w:val="00734A10"/>
    <w:rsid w:val="00734A3F"/>
    <w:rsid w:val="00734C3F"/>
    <w:rsid w:val="00734C6B"/>
    <w:rsid w:val="00734CC6"/>
    <w:rsid w:val="00734D00"/>
    <w:rsid w:val="00734D50"/>
    <w:rsid w:val="00734DB1"/>
    <w:rsid w:val="00734E92"/>
    <w:rsid w:val="00734E9A"/>
    <w:rsid w:val="00734ED3"/>
    <w:rsid w:val="00734F5D"/>
    <w:rsid w:val="00734F7D"/>
    <w:rsid w:val="0073502F"/>
    <w:rsid w:val="00735038"/>
    <w:rsid w:val="0073505E"/>
    <w:rsid w:val="00735071"/>
    <w:rsid w:val="007350C1"/>
    <w:rsid w:val="007350C6"/>
    <w:rsid w:val="007350CA"/>
    <w:rsid w:val="007350CF"/>
    <w:rsid w:val="00735160"/>
    <w:rsid w:val="00735189"/>
    <w:rsid w:val="0073522F"/>
    <w:rsid w:val="00735246"/>
    <w:rsid w:val="007352B4"/>
    <w:rsid w:val="00735329"/>
    <w:rsid w:val="0073534D"/>
    <w:rsid w:val="007353D1"/>
    <w:rsid w:val="007354A3"/>
    <w:rsid w:val="007354F5"/>
    <w:rsid w:val="007354F6"/>
    <w:rsid w:val="00735558"/>
    <w:rsid w:val="007355EE"/>
    <w:rsid w:val="00735685"/>
    <w:rsid w:val="007356A0"/>
    <w:rsid w:val="007356FA"/>
    <w:rsid w:val="0073575E"/>
    <w:rsid w:val="0073576D"/>
    <w:rsid w:val="007357A7"/>
    <w:rsid w:val="00735889"/>
    <w:rsid w:val="00735904"/>
    <w:rsid w:val="00735923"/>
    <w:rsid w:val="0073598D"/>
    <w:rsid w:val="007359C3"/>
    <w:rsid w:val="00735AA9"/>
    <w:rsid w:val="00735B02"/>
    <w:rsid w:val="00735B1C"/>
    <w:rsid w:val="00735B6B"/>
    <w:rsid w:val="00735B82"/>
    <w:rsid w:val="00735BEB"/>
    <w:rsid w:val="00735C2B"/>
    <w:rsid w:val="00735D31"/>
    <w:rsid w:val="00735D49"/>
    <w:rsid w:val="00735D4D"/>
    <w:rsid w:val="00735DE3"/>
    <w:rsid w:val="00735E7B"/>
    <w:rsid w:val="00735ED1"/>
    <w:rsid w:val="00735EF8"/>
    <w:rsid w:val="00735F38"/>
    <w:rsid w:val="00735F8C"/>
    <w:rsid w:val="00735FCE"/>
    <w:rsid w:val="00735FEA"/>
    <w:rsid w:val="00736051"/>
    <w:rsid w:val="0073606D"/>
    <w:rsid w:val="007360B1"/>
    <w:rsid w:val="00736156"/>
    <w:rsid w:val="00736305"/>
    <w:rsid w:val="007363B8"/>
    <w:rsid w:val="00736466"/>
    <w:rsid w:val="007364CC"/>
    <w:rsid w:val="007364EF"/>
    <w:rsid w:val="00736541"/>
    <w:rsid w:val="007365A4"/>
    <w:rsid w:val="00736702"/>
    <w:rsid w:val="0073673F"/>
    <w:rsid w:val="0073677B"/>
    <w:rsid w:val="007367C0"/>
    <w:rsid w:val="00736854"/>
    <w:rsid w:val="00736894"/>
    <w:rsid w:val="0073689B"/>
    <w:rsid w:val="007368B5"/>
    <w:rsid w:val="00736977"/>
    <w:rsid w:val="00736992"/>
    <w:rsid w:val="00736A08"/>
    <w:rsid w:val="00736A14"/>
    <w:rsid w:val="00736A56"/>
    <w:rsid w:val="00736AD0"/>
    <w:rsid w:val="00736AD3"/>
    <w:rsid w:val="00736ADC"/>
    <w:rsid w:val="00736B65"/>
    <w:rsid w:val="00736BA8"/>
    <w:rsid w:val="00736BAF"/>
    <w:rsid w:val="00736C1C"/>
    <w:rsid w:val="00736C9C"/>
    <w:rsid w:val="00736CBB"/>
    <w:rsid w:val="00736D47"/>
    <w:rsid w:val="00736D6C"/>
    <w:rsid w:val="00736D83"/>
    <w:rsid w:val="00736D85"/>
    <w:rsid w:val="00736D8A"/>
    <w:rsid w:val="00736DC5"/>
    <w:rsid w:val="00736DE0"/>
    <w:rsid w:val="00736E0F"/>
    <w:rsid w:val="00736E31"/>
    <w:rsid w:val="00736EEA"/>
    <w:rsid w:val="00736F90"/>
    <w:rsid w:val="00736FB2"/>
    <w:rsid w:val="00736FD7"/>
    <w:rsid w:val="00736FF9"/>
    <w:rsid w:val="0073709A"/>
    <w:rsid w:val="007370A1"/>
    <w:rsid w:val="007370BB"/>
    <w:rsid w:val="00737157"/>
    <w:rsid w:val="0073717F"/>
    <w:rsid w:val="007371B6"/>
    <w:rsid w:val="007371DD"/>
    <w:rsid w:val="007372DA"/>
    <w:rsid w:val="007372FE"/>
    <w:rsid w:val="00737481"/>
    <w:rsid w:val="007374B8"/>
    <w:rsid w:val="00737522"/>
    <w:rsid w:val="00737532"/>
    <w:rsid w:val="00737582"/>
    <w:rsid w:val="007375A7"/>
    <w:rsid w:val="00737664"/>
    <w:rsid w:val="00737725"/>
    <w:rsid w:val="00737774"/>
    <w:rsid w:val="0073778D"/>
    <w:rsid w:val="00737797"/>
    <w:rsid w:val="007377A2"/>
    <w:rsid w:val="007377DC"/>
    <w:rsid w:val="007377F6"/>
    <w:rsid w:val="00737872"/>
    <w:rsid w:val="0073789B"/>
    <w:rsid w:val="007378BB"/>
    <w:rsid w:val="007378BD"/>
    <w:rsid w:val="007378D1"/>
    <w:rsid w:val="007378D7"/>
    <w:rsid w:val="00737919"/>
    <w:rsid w:val="0073792B"/>
    <w:rsid w:val="0073797B"/>
    <w:rsid w:val="00737A1E"/>
    <w:rsid w:val="00737AB7"/>
    <w:rsid w:val="00737B29"/>
    <w:rsid w:val="00737D0F"/>
    <w:rsid w:val="00737D53"/>
    <w:rsid w:val="00737D9F"/>
    <w:rsid w:val="00737DBB"/>
    <w:rsid w:val="00737E09"/>
    <w:rsid w:val="00737E3C"/>
    <w:rsid w:val="00737EF0"/>
    <w:rsid w:val="00737F88"/>
    <w:rsid w:val="00737FA4"/>
    <w:rsid w:val="0074006D"/>
    <w:rsid w:val="0074007F"/>
    <w:rsid w:val="00740095"/>
    <w:rsid w:val="00740163"/>
    <w:rsid w:val="0074017A"/>
    <w:rsid w:val="00740195"/>
    <w:rsid w:val="007401DE"/>
    <w:rsid w:val="007401F5"/>
    <w:rsid w:val="007402B9"/>
    <w:rsid w:val="00740409"/>
    <w:rsid w:val="0074049E"/>
    <w:rsid w:val="0074052C"/>
    <w:rsid w:val="0074067A"/>
    <w:rsid w:val="007406D9"/>
    <w:rsid w:val="007406DB"/>
    <w:rsid w:val="00740704"/>
    <w:rsid w:val="00740777"/>
    <w:rsid w:val="007407E1"/>
    <w:rsid w:val="00740805"/>
    <w:rsid w:val="007408B9"/>
    <w:rsid w:val="007408ED"/>
    <w:rsid w:val="0074090F"/>
    <w:rsid w:val="00740920"/>
    <w:rsid w:val="00740923"/>
    <w:rsid w:val="00740924"/>
    <w:rsid w:val="007409A1"/>
    <w:rsid w:val="00740A11"/>
    <w:rsid w:val="00740A48"/>
    <w:rsid w:val="00740A82"/>
    <w:rsid w:val="00740A99"/>
    <w:rsid w:val="00740AA3"/>
    <w:rsid w:val="00740AAE"/>
    <w:rsid w:val="00740ABF"/>
    <w:rsid w:val="00740B14"/>
    <w:rsid w:val="00740B33"/>
    <w:rsid w:val="00740CCE"/>
    <w:rsid w:val="00740D31"/>
    <w:rsid w:val="00740D32"/>
    <w:rsid w:val="00740D40"/>
    <w:rsid w:val="00740D41"/>
    <w:rsid w:val="00740E55"/>
    <w:rsid w:val="00740E90"/>
    <w:rsid w:val="00740F1C"/>
    <w:rsid w:val="0074109E"/>
    <w:rsid w:val="007410BE"/>
    <w:rsid w:val="007410D6"/>
    <w:rsid w:val="007411A9"/>
    <w:rsid w:val="007411E2"/>
    <w:rsid w:val="00741265"/>
    <w:rsid w:val="007412B1"/>
    <w:rsid w:val="00741307"/>
    <w:rsid w:val="00741377"/>
    <w:rsid w:val="007413E6"/>
    <w:rsid w:val="00741406"/>
    <w:rsid w:val="007414CA"/>
    <w:rsid w:val="00741526"/>
    <w:rsid w:val="007415F0"/>
    <w:rsid w:val="00741609"/>
    <w:rsid w:val="00741670"/>
    <w:rsid w:val="007416A1"/>
    <w:rsid w:val="007416DE"/>
    <w:rsid w:val="007416EB"/>
    <w:rsid w:val="007416FE"/>
    <w:rsid w:val="0074179B"/>
    <w:rsid w:val="007417A4"/>
    <w:rsid w:val="007417E7"/>
    <w:rsid w:val="0074188B"/>
    <w:rsid w:val="007418EF"/>
    <w:rsid w:val="00741900"/>
    <w:rsid w:val="0074192D"/>
    <w:rsid w:val="00741932"/>
    <w:rsid w:val="00741A0E"/>
    <w:rsid w:val="00741AE9"/>
    <w:rsid w:val="00741AF0"/>
    <w:rsid w:val="00741AF3"/>
    <w:rsid w:val="00741BB7"/>
    <w:rsid w:val="00741BEE"/>
    <w:rsid w:val="00741BFD"/>
    <w:rsid w:val="00741C26"/>
    <w:rsid w:val="00741C48"/>
    <w:rsid w:val="00741C55"/>
    <w:rsid w:val="00741CDF"/>
    <w:rsid w:val="00741D69"/>
    <w:rsid w:val="00741E00"/>
    <w:rsid w:val="00741E5D"/>
    <w:rsid w:val="00741E88"/>
    <w:rsid w:val="00741EB2"/>
    <w:rsid w:val="00741EFF"/>
    <w:rsid w:val="00741F6C"/>
    <w:rsid w:val="00741FAD"/>
    <w:rsid w:val="00741FE8"/>
    <w:rsid w:val="0074203E"/>
    <w:rsid w:val="00742053"/>
    <w:rsid w:val="00742059"/>
    <w:rsid w:val="007420A2"/>
    <w:rsid w:val="007420A8"/>
    <w:rsid w:val="007420EE"/>
    <w:rsid w:val="0074210C"/>
    <w:rsid w:val="00742177"/>
    <w:rsid w:val="00742199"/>
    <w:rsid w:val="007421C0"/>
    <w:rsid w:val="007422E3"/>
    <w:rsid w:val="007422F3"/>
    <w:rsid w:val="007422F9"/>
    <w:rsid w:val="00742304"/>
    <w:rsid w:val="0074235E"/>
    <w:rsid w:val="007423EF"/>
    <w:rsid w:val="007423F5"/>
    <w:rsid w:val="00742426"/>
    <w:rsid w:val="00742483"/>
    <w:rsid w:val="007424B8"/>
    <w:rsid w:val="00742570"/>
    <w:rsid w:val="00742588"/>
    <w:rsid w:val="00742601"/>
    <w:rsid w:val="0074260B"/>
    <w:rsid w:val="0074261C"/>
    <w:rsid w:val="00742671"/>
    <w:rsid w:val="0074269B"/>
    <w:rsid w:val="007426CB"/>
    <w:rsid w:val="007426D0"/>
    <w:rsid w:val="007426FF"/>
    <w:rsid w:val="0074273B"/>
    <w:rsid w:val="0074279D"/>
    <w:rsid w:val="007427E6"/>
    <w:rsid w:val="0074291A"/>
    <w:rsid w:val="00742926"/>
    <w:rsid w:val="0074298D"/>
    <w:rsid w:val="007429C3"/>
    <w:rsid w:val="00742A21"/>
    <w:rsid w:val="00742ACF"/>
    <w:rsid w:val="00742AFB"/>
    <w:rsid w:val="00742BE4"/>
    <w:rsid w:val="00742BF2"/>
    <w:rsid w:val="00742C7B"/>
    <w:rsid w:val="00742D2D"/>
    <w:rsid w:val="00742D45"/>
    <w:rsid w:val="00742D4F"/>
    <w:rsid w:val="00742D9B"/>
    <w:rsid w:val="00742DA3"/>
    <w:rsid w:val="00742DA6"/>
    <w:rsid w:val="00742DD5"/>
    <w:rsid w:val="00742E58"/>
    <w:rsid w:val="00742F08"/>
    <w:rsid w:val="00742FBC"/>
    <w:rsid w:val="00742FF3"/>
    <w:rsid w:val="00743010"/>
    <w:rsid w:val="0074307A"/>
    <w:rsid w:val="0074308F"/>
    <w:rsid w:val="0074312F"/>
    <w:rsid w:val="0074314B"/>
    <w:rsid w:val="0074315E"/>
    <w:rsid w:val="00743180"/>
    <w:rsid w:val="007431A9"/>
    <w:rsid w:val="007431C1"/>
    <w:rsid w:val="007431EA"/>
    <w:rsid w:val="00743232"/>
    <w:rsid w:val="00743278"/>
    <w:rsid w:val="007432EC"/>
    <w:rsid w:val="007432F4"/>
    <w:rsid w:val="00743342"/>
    <w:rsid w:val="007433C1"/>
    <w:rsid w:val="007433D3"/>
    <w:rsid w:val="007433DA"/>
    <w:rsid w:val="00743435"/>
    <w:rsid w:val="00743444"/>
    <w:rsid w:val="00743486"/>
    <w:rsid w:val="007434A8"/>
    <w:rsid w:val="007434DF"/>
    <w:rsid w:val="007434E0"/>
    <w:rsid w:val="00743522"/>
    <w:rsid w:val="00743592"/>
    <w:rsid w:val="007435B7"/>
    <w:rsid w:val="007435D3"/>
    <w:rsid w:val="00743653"/>
    <w:rsid w:val="0074389C"/>
    <w:rsid w:val="007438FB"/>
    <w:rsid w:val="00743964"/>
    <w:rsid w:val="00743A1B"/>
    <w:rsid w:val="00743A1D"/>
    <w:rsid w:val="00743AF7"/>
    <w:rsid w:val="00743B33"/>
    <w:rsid w:val="00743B99"/>
    <w:rsid w:val="00743BA4"/>
    <w:rsid w:val="00743BF0"/>
    <w:rsid w:val="00743C5A"/>
    <w:rsid w:val="00743C79"/>
    <w:rsid w:val="00743C95"/>
    <w:rsid w:val="00743CF2"/>
    <w:rsid w:val="00743D1D"/>
    <w:rsid w:val="00743DF0"/>
    <w:rsid w:val="00743DFF"/>
    <w:rsid w:val="00743E7A"/>
    <w:rsid w:val="00743F75"/>
    <w:rsid w:val="00743FCD"/>
    <w:rsid w:val="00743FDB"/>
    <w:rsid w:val="0074404F"/>
    <w:rsid w:val="0074405B"/>
    <w:rsid w:val="007440E5"/>
    <w:rsid w:val="0074412C"/>
    <w:rsid w:val="00744145"/>
    <w:rsid w:val="007441B0"/>
    <w:rsid w:val="007441B8"/>
    <w:rsid w:val="00744308"/>
    <w:rsid w:val="0074434B"/>
    <w:rsid w:val="007443B6"/>
    <w:rsid w:val="007443D1"/>
    <w:rsid w:val="007443FC"/>
    <w:rsid w:val="0074444E"/>
    <w:rsid w:val="0074445F"/>
    <w:rsid w:val="007444A0"/>
    <w:rsid w:val="0074452A"/>
    <w:rsid w:val="00744585"/>
    <w:rsid w:val="007445EE"/>
    <w:rsid w:val="00744614"/>
    <w:rsid w:val="0074461E"/>
    <w:rsid w:val="007446DA"/>
    <w:rsid w:val="0074471A"/>
    <w:rsid w:val="00744757"/>
    <w:rsid w:val="00744787"/>
    <w:rsid w:val="007447D9"/>
    <w:rsid w:val="007447DE"/>
    <w:rsid w:val="007447F0"/>
    <w:rsid w:val="00744804"/>
    <w:rsid w:val="0074480F"/>
    <w:rsid w:val="00744879"/>
    <w:rsid w:val="0074494E"/>
    <w:rsid w:val="00744954"/>
    <w:rsid w:val="0074496C"/>
    <w:rsid w:val="00744977"/>
    <w:rsid w:val="00744986"/>
    <w:rsid w:val="007449C5"/>
    <w:rsid w:val="00744AA7"/>
    <w:rsid w:val="00744ABE"/>
    <w:rsid w:val="00744B24"/>
    <w:rsid w:val="00744B4F"/>
    <w:rsid w:val="00744BE1"/>
    <w:rsid w:val="00744C92"/>
    <w:rsid w:val="00744CB8"/>
    <w:rsid w:val="00744D0C"/>
    <w:rsid w:val="00744D53"/>
    <w:rsid w:val="00744D73"/>
    <w:rsid w:val="00744D86"/>
    <w:rsid w:val="00744DF7"/>
    <w:rsid w:val="00744E00"/>
    <w:rsid w:val="00744E86"/>
    <w:rsid w:val="00744F24"/>
    <w:rsid w:val="00744F27"/>
    <w:rsid w:val="00744FFF"/>
    <w:rsid w:val="0074501E"/>
    <w:rsid w:val="00745028"/>
    <w:rsid w:val="0074506B"/>
    <w:rsid w:val="0074511A"/>
    <w:rsid w:val="00745122"/>
    <w:rsid w:val="00745137"/>
    <w:rsid w:val="007451A0"/>
    <w:rsid w:val="007451B3"/>
    <w:rsid w:val="007451C8"/>
    <w:rsid w:val="007451C9"/>
    <w:rsid w:val="00745223"/>
    <w:rsid w:val="00745382"/>
    <w:rsid w:val="007453BE"/>
    <w:rsid w:val="00745489"/>
    <w:rsid w:val="007454A0"/>
    <w:rsid w:val="0074556F"/>
    <w:rsid w:val="00745588"/>
    <w:rsid w:val="007455DE"/>
    <w:rsid w:val="00745736"/>
    <w:rsid w:val="00745796"/>
    <w:rsid w:val="007457E3"/>
    <w:rsid w:val="007457EE"/>
    <w:rsid w:val="007457F7"/>
    <w:rsid w:val="007458DA"/>
    <w:rsid w:val="00745960"/>
    <w:rsid w:val="00745988"/>
    <w:rsid w:val="007459BB"/>
    <w:rsid w:val="007459E3"/>
    <w:rsid w:val="00745A32"/>
    <w:rsid w:val="00745A9E"/>
    <w:rsid w:val="00745ABB"/>
    <w:rsid w:val="00745C01"/>
    <w:rsid w:val="00745C23"/>
    <w:rsid w:val="00745C43"/>
    <w:rsid w:val="00745C82"/>
    <w:rsid w:val="00745D65"/>
    <w:rsid w:val="00745E2F"/>
    <w:rsid w:val="00745ED7"/>
    <w:rsid w:val="00745F07"/>
    <w:rsid w:val="00745F13"/>
    <w:rsid w:val="00745FE5"/>
    <w:rsid w:val="00746024"/>
    <w:rsid w:val="0074602A"/>
    <w:rsid w:val="0074605B"/>
    <w:rsid w:val="0074605F"/>
    <w:rsid w:val="0074606A"/>
    <w:rsid w:val="00746077"/>
    <w:rsid w:val="00746118"/>
    <w:rsid w:val="00746119"/>
    <w:rsid w:val="00746134"/>
    <w:rsid w:val="007461E6"/>
    <w:rsid w:val="0074627F"/>
    <w:rsid w:val="0074628B"/>
    <w:rsid w:val="0074639F"/>
    <w:rsid w:val="007463E3"/>
    <w:rsid w:val="00746457"/>
    <w:rsid w:val="00746468"/>
    <w:rsid w:val="0074648A"/>
    <w:rsid w:val="0074651C"/>
    <w:rsid w:val="00746562"/>
    <w:rsid w:val="0074659F"/>
    <w:rsid w:val="00746614"/>
    <w:rsid w:val="00746662"/>
    <w:rsid w:val="00746689"/>
    <w:rsid w:val="0074669C"/>
    <w:rsid w:val="0074675B"/>
    <w:rsid w:val="007467EE"/>
    <w:rsid w:val="007468B2"/>
    <w:rsid w:val="007468BF"/>
    <w:rsid w:val="0074695E"/>
    <w:rsid w:val="00746969"/>
    <w:rsid w:val="00746998"/>
    <w:rsid w:val="007469B4"/>
    <w:rsid w:val="007469DD"/>
    <w:rsid w:val="00746A64"/>
    <w:rsid w:val="00746A73"/>
    <w:rsid w:val="00746A78"/>
    <w:rsid w:val="00746A83"/>
    <w:rsid w:val="00746B22"/>
    <w:rsid w:val="00746B39"/>
    <w:rsid w:val="00746B93"/>
    <w:rsid w:val="00746B9C"/>
    <w:rsid w:val="00746BB7"/>
    <w:rsid w:val="00746C88"/>
    <w:rsid w:val="00746CB2"/>
    <w:rsid w:val="00746CF6"/>
    <w:rsid w:val="00746D04"/>
    <w:rsid w:val="00746D23"/>
    <w:rsid w:val="00746D6A"/>
    <w:rsid w:val="00746D9B"/>
    <w:rsid w:val="00746DB3"/>
    <w:rsid w:val="00746DD6"/>
    <w:rsid w:val="00746DF1"/>
    <w:rsid w:val="00746DF9"/>
    <w:rsid w:val="00746E3B"/>
    <w:rsid w:val="00746E3D"/>
    <w:rsid w:val="00746EEF"/>
    <w:rsid w:val="00746F8D"/>
    <w:rsid w:val="00746FEE"/>
    <w:rsid w:val="00747029"/>
    <w:rsid w:val="007470C4"/>
    <w:rsid w:val="0074720A"/>
    <w:rsid w:val="007472AA"/>
    <w:rsid w:val="00747311"/>
    <w:rsid w:val="00747331"/>
    <w:rsid w:val="007473DD"/>
    <w:rsid w:val="00747484"/>
    <w:rsid w:val="007474AD"/>
    <w:rsid w:val="007474CB"/>
    <w:rsid w:val="0074750E"/>
    <w:rsid w:val="00747511"/>
    <w:rsid w:val="0074754C"/>
    <w:rsid w:val="0074756F"/>
    <w:rsid w:val="007475DA"/>
    <w:rsid w:val="00747655"/>
    <w:rsid w:val="00747671"/>
    <w:rsid w:val="00747674"/>
    <w:rsid w:val="00747707"/>
    <w:rsid w:val="00747755"/>
    <w:rsid w:val="0074778C"/>
    <w:rsid w:val="007477AC"/>
    <w:rsid w:val="00747825"/>
    <w:rsid w:val="007478C1"/>
    <w:rsid w:val="007478EB"/>
    <w:rsid w:val="007479E6"/>
    <w:rsid w:val="00747ACD"/>
    <w:rsid w:val="00747B0B"/>
    <w:rsid w:val="00747B2D"/>
    <w:rsid w:val="00747B34"/>
    <w:rsid w:val="00747C04"/>
    <w:rsid w:val="00747C9A"/>
    <w:rsid w:val="00747CDA"/>
    <w:rsid w:val="00747D3B"/>
    <w:rsid w:val="00747E70"/>
    <w:rsid w:val="00747EA0"/>
    <w:rsid w:val="00747EAB"/>
    <w:rsid w:val="00747EDE"/>
    <w:rsid w:val="00747EF6"/>
    <w:rsid w:val="00747F0E"/>
    <w:rsid w:val="00747F3B"/>
    <w:rsid w:val="00747F5F"/>
    <w:rsid w:val="00747F87"/>
    <w:rsid w:val="00747FA4"/>
    <w:rsid w:val="00750050"/>
    <w:rsid w:val="00750091"/>
    <w:rsid w:val="00750208"/>
    <w:rsid w:val="0075024F"/>
    <w:rsid w:val="0075027D"/>
    <w:rsid w:val="0075028A"/>
    <w:rsid w:val="007502A2"/>
    <w:rsid w:val="007502AB"/>
    <w:rsid w:val="00750300"/>
    <w:rsid w:val="00750323"/>
    <w:rsid w:val="00750324"/>
    <w:rsid w:val="00750394"/>
    <w:rsid w:val="00750445"/>
    <w:rsid w:val="0075045E"/>
    <w:rsid w:val="007504D6"/>
    <w:rsid w:val="00750569"/>
    <w:rsid w:val="0075056C"/>
    <w:rsid w:val="0075060A"/>
    <w:rsid w:val="00750623"/>
    <w:rsid w:val="00750627"/>
    <w:rsid w:val="0075069F"/>
    <w:rsid w:val="007506E3"/>
    <w:rsid w:val="007506F8"/>
    <w:rsid w:val="00750712"/>
    <w:rsid w:val="00750763"/>
    <w:rsid w:val="00750765"/>
    <w:rsid w:val="00750774"/>
    <w:rsid w:val="007507CB"/>
    <w:rsid w:val="007508C1"/>
    <w:rsid w:val="007508F7"/>
    <w:rsid w:val="0075093A"/>
    <w:rsid w:val="007509E9"/>
    <w:rsid w:val="00750A43"/>
    <w:rsid w:val="00750A5D"/>
    <w:rsid w:val="00750A87"/>
    <w:rsid w:val="00750AEB"/>
    <w:rsid w:val="00750B20"/>
    <w:rsid w:val="00750B61"/>
    <w:rsid w:val="00750BC6"/>
    <w:rsid w:val="00750BFB"/>
    <w:rsid w:val="00750C4D"/>
    <w:rsid w:val="00750C7E"/>
    <w:rsid w:val="00750C8A"/>
    <w:rsid w:val="00750CA4"/>
    <w:rsid w:val="00750CAF"/>
    <w:rsid w:val="00750E7E"/>
    <w:rsid w:val="00750EBE"/>
    <w:rsid w:val="00750F3B"/>
    <w:rsid w:val="00751014"/>
    <w:rsid w:val="007511B5"/>
    <w:rsid w:val="007511B9"/>
    <w:rsid w:val="007511DB"/>
    <w:rsid w:val="007511E1"/>
    <w:rsid w:val="007511F8"/>
    <w:rsid w:val="00751271"/>
    <w:rsid w:val="0075127E"/>
    <w:rsid w:val="00751280"/>
    <w:rsid w:val="0075129B"/>
    <w:rsid w:val="007512C1"/>
    <w:rsid w:val="007512DD"/>
    <w:rsid w:val="00751308"/>
    <w:rsid w:val="00751339"/>
    <w:rsid w:val="007513A1"/>
    <w:rsid w:val="007513EC"/>
    <w:rsid w:val="00751407"/>
    <w:rsid w:val="0075141E"/>
    <w:rsid w:val="0075146F"/>
    <w:rsid w:val="007514BF"/>
    <w:rsid w:val="00751580"/>
    <w:rsid w:val="00751589"/>
    <w:rsid w:val="007515E5"/>
    <w:rsid w:val="00751628"/>
    <w:rsid w:val="007516C6"/>
    <w:rsid w:val="007517EA"/>
    <w:rsid w:val="007517F7"/>
    <w:rsid w:val="00751811"/>
    <w:rsid w:val="00751884"/>
    <w:rsid w:val="00751896"/>
    <w:rsid w:val="007518C5"/>
    <w:rsid w:val="00751906"/>
    <w:rsid w:val="0075190D"/>
    <w:rsid w:val="00751998"/>
    <w:rsid w:val="00751A14"/>
    <w:rsid w:val="00751A41"/>
    <w:rsid w:val="00751A48"/>
    <w:rsid w:val="00751AAB"/>
    <w:rsid w:val="00751AD0"/>
    <w:rsid w:val="00751B08"/>
    <w:rsid w:val="00751B98"/>
    <w:rsid w:val="00751BC8"/>
    <w:rsid w:val="00751C16"/>
    <w:rsid w:val="00751C71"/>
    <w:rsid w:val="00751C73"/>
    <w:rsid w:val="00751CE0"/>
    <w:rsid w:val="00751D18"/>
    <w:rsid w:val="00751D4E"/>
    <w:rsid w:val="00751D65"/>
    <w:rsid w:val="00751E0B"/>
    <w:rsid w:val="00751E54"/>
    <w:rsid w:val="00751E79"/>
    <w:rsid w:val="00751E81"/>
    <w:rsid w:val="00751FDA"/>
    <w:rsid w:val="00752050"/>
    <w:rsid w:val="0075212C"/>
    <w:rsid w:val="00752135"/>
    <w:rsid w:val="0075215C"/>
    <w:rsid w:val="00752164"/>
    <w:rsid w:val="007521A0"/>
    <w:rsid w:val="007522E0"/>
    <w:rsid w:val="00752334"/>
    <w:rsid w:val="00752351"/>
    <w:rsid w:val="007523AF"/>
    <w:rsid w:val="00752414"/>
    <w:rsid w:val="00752458"/>
    <w:rsid w:val="00752482"/>
    <w:rsid w:val="0075251B"/>
    <w:rsid w:val="00752536"/>
    <w:rsid w:val="0075254B"/>
    <w:rsid w:val="007525C1"/>
    <w:rsid w:val="00752604"/>
    <w:rsid w:val="00752658"/>
    <w:rsid w:val="00752678"/>
    <w:rsid w:val="007526D2"/>
    <w:rsid w:val="00752717"/>
    <w:rsid w:val="00752727"/>
    <w:rsid w:val="007527D5"/>
    <w:rsid w:val="00752820"/>
    <w:rsid w:val="007528A2"/>
    <w:rsid w:val="00752912"/>
    <w:rsid w:val="00752936"/>
    <w:rsid w:val="00752942"/>
    <w:rsid w:val="0075297D"/>
    <w:rsid w:val="007529F4"/>
    <w:rsid w:val="00752A98"/>
    <w:rsid w:val="00752AE2"/>
    <w:rsid w:val="00752AEF"/>
    <w:rsid w:val="00752B1E"/>
    <w:rsid w:val="00752B55"/>
    <w:rsid w:val="00752B6A"/>
    <w:rsid w:val="00752B87"/>
    <w:rsid w:val="00752BC8"/>
    <w:rsid w:val="00752BCE"/>
    <w:rsid w:val="00752C21"/>
    <w:rsid w:val="00752C86"/>
    <w:rsid w:val="00752CA0"/>
    <w:rsid w:val="00752CB1"/>
    <w:rsid w:val="00752D47"/>
    <w:rsid w:val="00752DDE"/>
    <w:rsid w:val="00752E14"/>
    <w:rsid w:val="00752E8C"/>
    <w:rsid w:val="00752F26"/>
    <w:rsid w:val="00752FA1"/>
    <w:rsid w:val="00753019"/>
    <w:rsid w:val="0075305F"/>
    <w:rsid w:val="00753072"/>
    <w:rsid w:val="0075307D"/>
    <w:rsid w:val="00753091"/>
    <w:rsid w:val="007530F3"/>
    <w:rsid w:val="0075310A"/>
    <w:rsid w:val="007531A2"/>
    <w:rsid w:val="0075320F"/>
    <w:rsid w:val="00753250"/>
    <w:rsid w:val="007533A3"/>
    <w:rsid w:val="007533D4"/>
    <w:rsid w:val="00753407"/>
    <w:rsid w:val="00753459"/>
    <w:rsid w:val="0075347D"/>
    <w:rsid w:val="007534BC"/>
    <w:rsid w:val="007535D5"/>
    <w:rsid w:val="007535DE"/>
    <w:rsid w:val="0075361F"/>
    <w:rsid w:val="0075364B"/>
    <w:rsid w:val="00753688"/>
    <w:rsid w:val="00753718"/>
    <w:rsid w:val="00753728"/>
    <w:rsid w:val="00753756"/>
    <w:rsid w:val="0075375B"/>
    <w:rsid w:val="0075375D"/>
    <w:rsid w:val="007537C2"/>
    <w:rsid w:val="00753852"/>
    <w:rsid w:val="00753913"/>
    <w:rsid w:val="007539C9"/>
    <w:rsid w:val="007539DC"/>
    <w:rsid w:val="00753A53"/>
    <w:rsid w:val="00753B43"/>
    <w:rsid w:val="00753B8D"/>
    <w:rsid w:val="00753BCC"/>
    <w:rsid w:val="00753C42"/>
    <w:rsid w:val="00753CBA"/>
    <w:rsid w:val="00753D13"/>
    <w:rsid w:val="00753D78"/>
    <w:rsid w:val="00753DB7"/>
    <w:rsid w:val="00753DF4"/>
    <w:rsid w:val="00753E32"/>
    <w:rsid w:val="00753E70"/>
    <w:rsid w:val="00753F10"/>
    <w:rsid w:val="00753F41"/>
    <w:rsid w:val="00753F9C"/>
    <w:rsid w:val="00753FBC"/>
    <w:rsid w:val="00753FEB"/>
    <w:rsid w:val="00753FEE"/>
    <w:rsid w:val="00754026"/>
    <w:rsid w:val="0075402A"/>
    <w:rsid w:val="00754081"/>
    <w:rsid w:val="0075419E"/>
    <w:rsid w:val="007541C0"/>
    <w:rsid w:val="007541DA"/>
    <w:rsid w:val="0075426A"/>
    <w:rsid w:val="007542CE"/>
    <w:rsid w:val="0075430F"/>
    <w:rsid w:val="007543BB"/>
    <w:rsid w:val="0075445E"/>
    <w:rsid w:val="00754462"/>
    <w:rsid w:val="0075447D"/>
    <w:rsid w:val="007544E8"/>
    <w:rsid w:val="00754502"/>
    <w:rsid w:val="00754567"/>
    <w:rsid w:val="00754577"/>
    <w:rsid w:val="00754579"/>
    <w:rsid w:val="007545E6"/>
    <w:rsid w:val="007545FB"/>
    <w:rsid w:val="00754640"/>
    <w:rsid w:val="00754644"/>
    <w:rsid w:val="00754677"/>
    <w:rsid w:val="0075467E"/>
    <w:rsid w:val="007546C2"/>
    <w:rsid w:val="007546D4"/>
    <w:rsid w:val="0075471F"/>
    <w:rsid w:val="00754787"/>
    <w:rsid w:val="007547B7"/>
    <w:rsid w:val="007547C4"/>
    <w:rsid w:val="00754874"/>
    <w:rsid w:val="007548DC"/>
    <w:rsid w:val="007549EB"/>
    <w:rsid w:val="007549EF"/>
    <w:rsid w:val="007549FA"/>
    <w:rsid w:val="00754A15"/>
    <w:rsid w:val="00754A31"/>
    <w:rsid w:val="00754AD1"/>
    <w:rsid w:val="00754B06"/>
    <w:rsid w:val="00754B2E"/>
    <w:rsid w:val="00754BB9"/>
    <w:rsid w:val="00754BC7"/>
    <w:rsid w:val="00754BED"/>
    <w:rsid w:val="00754C3A"/>
    <w:rsid w:val="00754C46"/>
    <w:rsid w:val="00754C74"/>
    <w:rsid w:val="00754CE9"/>
    <w:rsid w:val="00754E7C"/>
    <w:rsid w:val="00754EEA"/>
    <w:rsid w:val="00754F1C"/>
    <w:rsid w:val="00754F4B"/>
    <w:rsid w:val="00754F75"/>
    <w:rsid w:val="00754FD7"/>
    <w:rsid w:val="007550A4"/>
    <w:rsid w:val="007551C0"/>
    <w:rsid w:val="007551CF"/>
    <w:rsid w:val="0075521F"/>
    <w:rsid w:val="00755260"/>
    <w:rsid w:val="0075529D"/>
    <w:rsid w:val="007552BE"/>
    <w:rsid w:val="007552D1"/>
    <w:rsid w:val="00755330"/>
    <w:rsid w:val="00755393"/>
    <w:rsid w:val="00755395"/>
    <w:rsid w:val="00755434"/>
    <w:rsid w:val="0075544E"/>
    <w:rsid w:val="0075545C"/>
    <w:rsid w:val="007554C1"/>
    <w:rsid w:val="007554E9"/>
    <w:rsid w:val="007554F6"/>
    <w:rsid w:val="00755504"/>
    <w:rsid w:val="00755510"/>
    <w:rsid w:val="00755603"/>
    <w:rsid w:val="00755613"/>
    <w:rsid w:val="0075563B"/>
    <w:rsid w:val="00755749"/>
    <w:rsid w:val="0075574A"/>
    <w:rsid w:val="0075577E"/>
    <w:rsid w:val="007557D7"/>
    <w:rsid w:val="00755817"/>
    <w:rsid w:val="00755856"/>
    <w:rsid w:val="00755921"/>
    <w:rsid w:val="007559C5"/>
    <w:rsid w:val="007559DB"/>
    <w:rsid w:val="00755A26"/>
    <w:rsid w:val="00755A45"/>
    <w:rsid w:val="00755A9E"/>
    <w:rsid w:val="00755AB9"/>
    <w:rsid w:val="00755ABC"/>
    <w:rsid w:val="00755B54"/>
    <w:rsid w:val="00755B56"/>
    <w:rsid w:val="00755BEB"/>
    <w:rsid w:val="00755C81"/>
    <w:rsid w:val="00755C9E"/>
    <w:rsid w:val="00755CBE"/>
    <w:rsid w:val="00755CE7"/>
    <w:rsid w:val="00755CFC"/>
    <w:rsid w:val="00755D0F"/>
    <w:rsid w:val="00755D40"/>
    <w:rsid w:val="00755D5E"/>
    <w:rsid w:val="00755D6C"/>
    <w:rsid w:val="00755DDA"/>
    <w:rsid w:val="00755E53"/>
    <w:rsid w:val="00755F01"/>
    <w:rsid w:val="00755F2D"/>
    <w:rsid w:val="00755F32"/>
    <w:rsid w:val="00755F3B"/>
    <w:rsid w:val="00755F41"/>
    <w:rsid w:val="00755F5A"/>
    <w:rsid w:val="00755F7C"/>
    <w:rsid w:val="00755FCA"/>
    <w:rsid w:val="00756016"/>
    <w:rsid w:val="00756083"/>
    <w:rsid w:val="00756087"/>
    <w:rsid w:val="007560A2"/>
    <w:rsid w:val="007560C8"/>
    <w:rsid w:val="007560DF"/>
    <w:rsid w:val="007561AD"/>
    <w:rsid w:val="007561C5"/>
    <w:rsid w:val="007561EA"/>
    <w:rsid w:val="00756205"/>
    <w:rsid w:val="00756259"/>
    <w:rsid w:val="00756303"/>
    <w:rsid w:val="00756331"/>
    <w:rsid w:val="00756374"/>
    <w:rsid w:val="00756383"/>
    <w:rsid w:val="007563C7"/>
    <w:rsid w:val="007563EA"/>
    <w:rsid w:val="007563F5"/>
    <w:rsid w:val="00756574"/>
    <w:rsid w:val="0075659D"/>
    <w:rsid w:val="007565BB"/>
    <w:rsid w:val="0075668C"/>
    <w:rsid w:val="0075668E"/>
    <w:rsid w:val="007566BF"/>
    <w:rsid w:val="0075678C"/>
    <w:rsid w:val="007567BD"/>
    <w:rsid w:val="007567CF"/>
    <w:rsid w:val="007567E3"/>
    <w:rsid w:val="007567E6"/>
    <w:rsid w:val="007567E8"/>
    <w:rsid w:val="007567EC"/>
    <w:rsid w:val="0075680A"/>
    <w:rsid w:val="00756866"/>
    <w:rsid w:val="007568D5"/>
    <w:rsid w:val="007568E0"/>
    <w:rsid w:val="00756918"/>
    <w:rsid w:val="00756933"/>
    <w:rsid w:val="007569C6"/>
    <w:rsid w:val="00756B88"/>
    <w:rsid w:val="00756BAF"/>
    <w:rsid w:val="00756C04"/>
    <w:rsid w:val="00756CAA"/>
    <w:rsid w:val="00756CD6"/>
    <w:rsid w:val="00756D13"/>
    <w:rsid w:val="00756DBD"/>
    <w:rsid w:val="00756E0D"/>
    <w:rsid w:val="00756E0F"/>
    <w:rsid w:val="00756E5F"/>
    <w:rsid w:val="00756EEE"/>
    <w:rsid w:val="00756F75"/>
    <w:rsid w:val="00756FA9"/>
    <w:rsid w:val="00757009"/>
    <w:rsid w:val="00757042"/>
    <w:rsid w:val="00757045"/>
    <w:rsid w:val="00757057"/>
    <w:rsid w:val="00757088"/>
    <w:rsid w:val="0075709D"/>
    <w:rsid w:val="007570E8"/>
    <w:rsid w:val="00757155"/>
    <w:rsid w:val="00757166"/>
    <w:rsid w:val="00757180"/>
    <w:rsid w:val="007571B2"/>
    <w:rsid w:val="007571C5"/>
    <w:rsid w:val="007572A9"/>
    <w:rsid w:val="00757330"/>
    <w:rsid w:val="00757384"/>
    <w:rsid w:val="007573D6"/>
    <w:rsid w:val="00757421"/>
    <w:rsid w:val="00757456"/>
    <w:rsid w:val="00757477"/>
    <w:rsid w:val="00757606"/>
    <w:rsid w:val="00757623"/>
    <w:rsid w:val="00757795"/>
    <w:rsid w:val="007578A3"/>
    <w:rsid w:val="0075790C"/>
    <w:rsid w:val="00757983"/>
    <w:rsid w:val="007579B5"/>
    <w:rsid w:val="007579BB"/>
    <w:rsid w:val="00757A07"/>
    <w:rsid w:val="00757A42"/>
    <w:rsid w:val="00757AC0"/>
    <w:rsid w:val="00757B7B"/>
    <w:rsid w:val="00757BCA"/>
    <w:rsid w:val="00757BDA"/>
    <w:rsid w:val="00757CCF"/>
    <w:rsid w:val="00757CE8"/>
    <w:rsid w:val="00757CFA"/>
    <w:rsid w:val="00757D1E"/>
    <w:rsid w:val="00757D22"/>
    <w:rsid w:val="00757E18"/>
    <w:rsid w:val="00757EAA"/>
    <w:rsid w:val="00757F64"/>
    <w:rsid w:val="00757FA0"/>
    <w:rsid w:val="00757FB5"/>
    <w:rsid w:val="00760033"/>
    <w:rsid w:val="007600B5"/>
    <w:rsid w:val="0076016C"/>
    <w:rsid w:val="00760178"/>
    <w:rsid w:val="00760189"/>
    <w:rsid w:val="007601D9"/>
    <w:rsid w:val="007602A2"/>
    <w:rsid w:val="00760394"/>
    <w:rsid w:val="00760423"/>
    <w:rsid w:val="00760534"/>
    <w:rsid w:val="007605B8"/>
    <w:rsid w:val="007605CA"/>
    <w:rsid w:val="007605E4"/>
    <w:rsid w:val="0076069E"/>
    <w:rsid w:val="00760727"/>
    <w:rsid w:val="0076078B"/>
    <w:rsid w:val="0076078C"/>
    <w:rsid w:val="007607AA"/>
    <w:rsid w:val="007607F2"/>
    <w:rsid w:val="00760847"/>
    <w:rsid w:val="00760856"/>
    <w:rsid w:val="0076088D"/>
    <w:rsid w:val="007608B3"/>
    <w:rsid w:val="007608CB"/>
    <w:rsid w:val="0076091E"/>
    <w:rsid w:val="00760939"/>
    <w:rsid w:val="00760958"/>
    <w:rsid w:val="0076095C"/>
    <w:rsid w:val="00760980"/>
    <w:rsid w:val="007609B9"/>
    <w:rsid w:val="00760A14"/>
    <w:rsid w:val="00760A38"/>
    <w:rsid w:val="00760AAC"/>
    <w:rsid w:val="00760AD6"/>
    <w:rsid w:val="00760AFE"/>
    <w:rsid w:val="00760B3B"/>
    <w:rsid w:val="00760B63"/>
    <w:rsid w:val="00760BB1"/>
    <w:rsid w:val="00760BFC"/>
    <w:rsid w:val="00760C9F"/>
    <w:rsid w:val="00760CA2"/>
    <w:rsid w:val="00760CC2"/>
    <w:rsid w:val="00760D64"/>
    <w:rsid w:val="00760D85"/>
    <w:rsid w:val="00760D8D"/>
    <w:rsid w:val="00760E5C"/>
    <w:rsid w:val="00760F86"/>
    <w:rsid w:val="00760FDF"/>
    <w:rsid w:val="00760FFA"/>
    <w:rsid w:val="0076104E"/>
    <w:rsid w:val="0076111D"/>
    <w:rsid w:val="0076113F"/>
    <w:rsid w:val="007611EA"/>
    <w:rsid w:val="0076122C"/>
    <w:rsid w:val="00761265"/>
    <w:rsid w:val="007612A9"/>
    <w:rsid w:val="007612C3"/>
    <w:rsid w:val="007613CD"/>
    <w:rsid w:val="007613F0"/>
    <w:rsid w:val="00761419"/>
    <w:rsid w:val="00761423"/>
    <w:rsid w:val="007614E0"/>
    <w:rsid w:val="007614F9"/>
    <w:rsid w:val="00761526"/>
    <w:rsid w:val="007615CE"/>
    <w:rsid w:val="007615D8"/>
    <w:rsid w:val="00761632"/>
    <w:rsid w:val="0076163D"/>
    <w:rsid w:val="00761668"/>
    <w:rsid w:val="007616E1"/>
    <w:rsid w:val="00761713"/>
    <w:rsid w:val="00761721"/>
    <w:rsid w:val="00761745"/>
    <w:rsid w:val="00761839"/>
    <w:rsid w:val="0076185F"/>
    <w:rsid w:val="007618DA"/>
    <w:rsid w:val="00761903"/>
    <w:rsid w:val="0076194B"/>
    <w:rsid w:val="00761956"/>
    <w:rsid w:val="007619AD"/>
    <w:rsid w:val="007619C0"/>
    <w:rsid w:val="00761A2C"/>
    <w:rsid w:val="00761B67"/>
    <w:rsid w:val="00761B6F"/>
    <w:rsid w:val="00761BFE"/>
    <w:rsid w:val="00761D03"/>
    <w:rsid w:val="00761D25"/>
    <w:rsid w:val="00761D7B"/>
    <w:rsid w:val="00761DD9"/>
    <w:rsid w:val="00761E0D"/>
    <w:rsid w:val="00761E44"/>
    <w:rsid w:val="00761F3B"/>
    <w:rsid w:val="00761F75"/>
    <w:rsid w:val="00761F80"/>
    <w:rsid w:val="00762012"/>
    <w:rsid w:val="0076209B"/>
    <w:rsid w:val="007620F1"/>
    <w:rsid w:val="00762187"/>
    <w:rsid w:val="0076218B"/>
    <w:rsid w:val="007621CC"/>
    <w:rsid w:val="007622C3"/>
    <w:rsid w:val="007623BF"/>
    <w:rsid w:val="007623CE"/>
    <w:rsid w:val="0076258E"/>
    <w:rsid w:val="00762612"/>
    <w:rsid w:val="00762624"/>
    <w:rsid w:val="0076267E"/>
    <w:rsid w:val="0076269B"/>
    <w:rsid w:val="007626AD"/>
    <w:rsid w:val="00762702"/>
    <w:rsid w:val="00762770"/>
    <w:rsid w:val="007627F9"/>
    <w:rsid w:val="00762800"/>
    <w:rsid w:val="00762841"/>
    <w:rsid w:val="00762866"/>
    <w:rsid w:val="007628BC"/>
    <w:rsid w:val="007628D6"/>
    <w:rsid w:val="00762999"/>
    <w:rsid w:val="007629FF"/>
    <w:rsid w:val="00762A24"/>
    <w:rsid w:val="00762A76"/>
    <w:rsid w:val="00762B31"/>
    <w:rsid w:val="00762BC2"/>
    <w:rsid w:val="00762BDD"/>
    <w:rsid w:val="00762C15"/>
    <w:rsid w:val="00762CAA"/>
    <w:rsid w:val="00762D4B"/>
    <w:rsid w:val="00762D50"/>
    <w:rsid w:val="00762D9D"/>
    <w:rsid w:val="00762DD0"/>
    <w:rsid w:val="00762DE0"/>
    <w:rsid w:val="00762E0E"/>
    <w:rsid w:val="00762E1B"/>
    <w:rsid w:val="00762E68"/>
    <w:rsid w:val="00762E8C"/>
    <w:rsid w:val="00762EB9"/>
    <w:rsid w:val="00762F0D"/>
    <w:rsid w:val="00762F15"/>
    <w:rsid w:val="00762F54"/>
    <w:rsid w:val="00762F61"/>
    <w:rsid w:val="00762F6E"/>
    <w:rsid w:val="00762FDC"/>
    <w:rsid w:val="00762FE5"/>
    <w:rsid w:val="00762FEC"/>
    <w:rsid w:val="00763063"/>
    <w:rsid w:val="0076306A"/>
    <w:rsid w:val="007630D4"/>
    <w:rsid w:val="0076319D"/>
    <w:rsid w:val="007631C2"/>
    <w:rsid w:val="007631DC"/>
    <w:rsid w:val="00763204"/>
    <w:rsid w:val="0076321A"/>
    <w:rsid w:val="00763240"/>
    <w:rsid w:val="0076328A"/>
    <w:rsid w:val="00763352"/>
    <w:rsid w:val="0076336B"/>
    <w:rsid w:val="007633C5"/>
    <w:rsid w:val="007633FA"/>
    <w:rsid w:val="00763426"/>
    <w:rsid w:val="0076342E"/>
    <w:rsid w:val="0076347B"/>
    <w:rsid w:val="007634B1"/>
    <w:rsid w:val="007634BC"/>
    <w:rsid w:val="007634CF"/>
    <w:rsid w:val="007634EA"/>
    <w:rsid w:val="00763515"/>
    <w:rsid w:val="007635C7"/>
    <w:rsid w:val="00763622"/>
    <w:rsid w:val="00763630"/>
    <w:rsid w:val="00763699"/>
    <w:rsid w:val="0076369C"/>
    <w:rsid w:val="007636C0"/>
    <w:rsid w:val="007637C7"/>
    <w:rsid w:val="007637CB"/>
    <w:rsid w:val="00763860"/>
    <w:rsid w:val="00763874"/>
    <w:rsid w:val="007638F4"/>
    <w:rsid w:val="00763903"/>
    <w:rsid w:val="0076393B"/>
    <w:rsid w:val="0076395E"/>
    <w:rsid w:val="007639F8"/>
    <w:rsid w:val="00763A08"/>
    <w:rsid w:val="00763A0C"/>
    <w:rsid w:val="00763A9D"/>
    <w:rsid w:val="00763AEA"/>
    <w:rsid w:val="00763B00"/>
    <w:rsid w:val="00763B7F"/>
    <w:rsid w:val="00763BDC"/>
    <w:rsid w:val="00763C0D"/>
    <w:rsid w:val="00763C10"/>
    <w:rsid w:val="00763C66"/>
    <w:rsid w:val="00763C7D"/>
    <w:rsid w:val="00763D08"/>
    <w:rsid w:val="00763DFC"/>
    <w:rsid w:val="00763E53"/>
    <w:rsid w:val="00763E6D"/>
    <w:rsid w:val="00763E70"/>
    <w:rsid w:val="00763E89"/>
    <w:rsid w:val="00763E9D"/>
    <w:rsid w:val="00763EE5"/>
    <w:rsid w:val="00763F44"/>
    <w:rsid w:val="00763FDB"/>
    <w:rsid w:val="00763FF8"/>
    <w:rsid w:val="0076401C"/>
    <w:rsid w:val="00764037"/>
    <w:rsid w:val="00764097"/>
    <w:rsid w:val="0076409A"/>
    <w:rsid w:val="0076409E"/>
    <w:rsid w:val="007640CF"/>
    <w:rsid w:val="007641A4"/>
    <w:rsid w:val="007641C9"/>
    <w:rsid w:val="0076420B"/>
    <w:rsid w:val="00764258"/>
    <w:rsid w:val="0076428F"/>
    <w:rsid w:val="00764308"/>
    <w:rsid w:val="00764321"/>
    <w:rsid w:val="007643AC"/>
    <w:rsid w:val="00764408"/>
    <w:rsid w:val="00764443"/>
    <w:rsid w:val="00764454"/>
    <w:rsid w:val="007644BB"/>
    <w:rsid w:val="00764509"/>
    <w:rsid w:val="0076451B"/>
    <w:rsid w:val="00764547"/>
    <w:rsid w:val="0076456C"/>
    <w:rsid w:val="007645AA"/>
    <w:rsid w:val="00764647"/>
    <w:rsid w:val="00764731"/>
    <w:rsid w:val="00764774"/>
    <w:rsid w:val="0076478F"/>
    <w:rsid w:val="007647A3"/>
    <w:rsid w:val="007647BF"/>
    <w:rsid w:val="007647DF"/>
    <w:rsid w:val="00764832"/>
    <w:rsid w:val="00764857"/>
    <w:rsid w:val="00764866"/>
    <w:rsid w:val="007648CA"/>
    <w:rsid w:val="00764948"/>
    <w:rsid w:val="00764974"/>
    <w:rsid w:val="007649EF"/>
    <w:rsid w:val="007649F2"/>
    <w:rsid w:val="00764A20"/>
    <w:rsid w:val="00764A9C"/>
    <w:rsid w:val="00764A9F"/>
    <w:rsid w:val="00764B1F"/>
    <w:rsid w:val="00764B22"/>
    <w:rsid w:val="00764B8F"/>
    <w:rsid w:val="00764BB4"/>
    <w:rsid w:val="00764BBC"/>
    <w:rsid w:val="00764BC2"/>
    <w:rsid w:val="00764BDF"/>
    <w:rsid w:val="00764C2D"/>
    <w:rsid w:val="00764C2F"/>
    <w:rsid w:val="00764C6E"/>
    <w:rsid w:val="00764C91"/>
    <w:rsid w:val="00764CA9"/>
    <w:rsid w:val="00764CFA"/>
    <w:rsid w:val="00764CFB"/>
    <w:rsid w:val="00764D57"/>
    <w:rsid w:val="00764D6C"/>
    <w:rsid w:val="00764D80"/>
    <w:rsid w:val="00764E0A"/>
    <w:rsid w:val="00764EDA"/>
    <w:rsid w:val="00764EDF"/>
    <w:rsid w:val="00764F63"/>
    <w:rsid w:val="00764F6D"/>
    <w:rsid w:val="007650A8"/>
    <w:rsid w:val="007650F4"/>
    <w:rsid w:val="0076510A"/>
    <w:rsid w:val="007651D2"/>
    <w:rsid w:val="00765267"/>
    <w:rsid w:val="0076528E"/>
    <w:rsid w:val="00765291"/>
    <w:rsid w:val="007652F1"/>
    <w:rsid w:val="007653BC"/>
    <w:rsid w:val="007653DF"/>
    <w:rsid w:val="00765424"/>
    <w:rsid w:val="007654D3"/>
    <w:rsid w:val="00765515"/>
    <w:rsid w:val="0076551F"/>
    <w:rsid w:val="0076555A"/>
    <w:rsid w:val="007655B1"/>
    <w:rsid w:val="007655B5"/>
    <w:rsid w:val="007655F8"/>
    <w:rsid w:val="00765662"/>
    <w:rsid w:val="0076577B"/>
    <w:rsid w:val="007657AF"/>
    <w:rsid w:val="007657F3"/>
    <w:rsid w:val="0076584E"/>
    <w:rsid w:val="0076588E"/>
    <w:rsid w:val="0076589F"/>
    <w:rsid w:val="007658FD"/>
    <w:rsid w:val="00765A35"/>
    <w:rsid w:val="00765A79"/>
    <w:rsid w:val="00765A89"/>
    <w:rsid w:val="00765A9E"/>
    <w:rsid w:val="00765AA8"/>
    <w:rsid w:val="00765B3B"/>
    <w:rsid w:val="00765B7C"/>
    <w:rsid w:val="00765CE2"/>
    <w:rsid w:val="00765CEA"/>
    <w:rsid w:val="00765D1A"/>
    <w:rsid w:val="00765D63"/>
    <w:rsid w:val="00765D7B"/>
    <w:rsid w:val="00765E8F"/>
    <w:rsid w:val="00765ECC"/>
    <w:rsid w:val="00765ED2"/>
    <w:rsid w:val="00765F6E"/>
    <w:rsid w:val="00765FA4"/>
    <w:rsid w:val="00766022"/>
    <w:rsid w:val="00766026"/>
    <w:rsid w:val="00766098"/>
    <w:rsid w:val="0076612A"/>
    <w:rsid w:val="00766190"/>
    <w:rsid w:val="0076620E"/>
    <w:rsid w:val="00766244"/>
    <w:rsid w:val="00766296"/>
    <w:rsid w:val="007662C4"/>
    <w:rsid w:val="007662CE"/>
    <w:rsid w:val="007662D8"/>
    <w:rsid w:val="00766309"/>
    <w:rsid w:val="0076636B"/>
    <w:rsid w:val="00766404"/>
    <w:rsid w:val="00766452"/>
    <w:rsid w:val="00766472"/>
    <w:rsid w:val="007664A4"/>
    <w:rsid w:val="007664DA"/>
    <w:rsid w:val="0076655D"/>
    <w:rsid w:val="00766568"/>
    <w:rsid w:val="007665BF"/>
    <w:rsid w:val="007665C7"/>
    <w:rsid w:val="0076662E"/>
    <w:rsid w:val="00766656"/>
    <w:rsid w:val="0076665B"/>
    <w:rsid w:val="00766695"/>
    <w:rsid w:val="007666C2"/>
    <w:rsid w:val="007666E8"/>
    <w:rsid w:val="0076671A"/>
    <w:rsid w:val="00766756"/>
    <w:rsid w:val="0076678D"/>
    <w:rsid w:val="0076679C"/>
    <w:rsid w:val="0076687B"/>
    <w:rsid w:val="00766916"/>
    <w:rsid w:val="00766975"/>
    <w:rsid w:val="00766990"/>
    <w:rsid w:val="007669DB"/>
    <w:rsid w:val="00766A66"/>
    <w:rsid w:val="00766AD4"/>
    <w:rsid w:val="00766B63"/>
    <w:rsid w:val="00766B7A"/>
    <w:rsid w:val="00766C2E"/>
    <w:rsid w:val="00766C65"/>
    <w:rsid w:val="00766CDE"/>
    <w:rsid w:val="00766D96"/>
    <w:rsid w:val="00766DB2"/>
    <w:rsid w:val="00766DEA"/>
    <w:rsid w:val="00766DF0"/>
    <w:rsid w:val="00766E8B"/>
    <w:rsid w:val="00766E8F"/>
    <w:rsid w:val="00766EB2"/>
    <w:rsid w:val="00766EB8"/>
    <w:rsid w:val="00766ED5"/>
    <w:rsid w:val="00766F0D"/>
    <w:rsid w:val="00766F2E"/>
    <w:rsid w:val="00766F69"/>
    <w:rsid w:val="00766F97"/>
    <w:rsid w:val="00766FAA"/>
    <w:rsid w:val="00766FB6"/>
    <w:rsid w:val="00766FE0"/>
    <w:rsid w:val="00767002"/>
    <w:rsid w:val="00767004"/>
    <w:rsid w:val="00767030"/>
    <w:rsid w:val="00767102"/>
    <w:rsid w:val="00767113"/>
    <w:rsid w:val="00767180"/>
    <w:rsid w:val="0076725E"/>
    <w:rsid w:val="00767352"/>
    <w:rsid w:val="007673AF"/>
    <w:rsid w:val="0076740E"/>
    <w:rsid w:val="0076742D"/>
    <w:rsid w:val="0076744A"/>
    <w:rsid w:val="0076746B"/>
    <w:rsid w:val="007674B2"/>
    <w:rsid w:val="007674E9"/>
    <w:rsid w:val="0076752F"/>
    <w:rsid w:val="0076759A"/>
    <w:rsid w:val="007675B5"/>
    <w:rsid w:val="007675DD"/>
    <w:rsid w:val="00767607"/>
    <w:rsid w:val="00767650"/>
    <w:rsid w:val="00767679"/>
    <w:rsid w:val="007676AD"/>
    <w:rsid w:val="0076771A"/>
    <w:rsid w:val="00767756"/>
    <w:rsid w:val="007677F0"/>
    <w:rsid w:val="0076780C"/>
    <w:rsid w:val="0076783E"/>
    <w:rsid w:val="00767843"/>
    <w:rsid w:val="0076787D"/>
    <w:rsid w:val="007679BB"/>
    <w:rsid w:val="007679E6"/>
    <w:rsid w:val="00767A03"/>
    <w:rsid w:val="00767A8F"/>
    <w:rsid w:val="00767AD7"/>
    <w:rsid w:val="00767AF2"/>
    <w:rsid w:val="00767B38"/>
    <w:rsid w:val="00767B3A"/>
    <w:rsid w:val="00767B66"/>
    <w:rsid w:val="00767C43"/>
    <w:rsid w:val="00767C73"/>
    <w:rsid w:val="00767CD8"/>
    <w:rsid w:val="00767E6C"/>
    <w:rsid w:val="00767F5E"/>
    <w:rsid w:val="00767FAD"/>
    <w:rsid w:val="00767FB5"/>
    <w:rsid w:val="00767FE0"/>
    <w:rsid w:val="00767FFD"/>
    <w:rsid w:val="00770026"/>
    <w:rsid w:val="00770097"/>
    <w:rsid w:val="007700B2"/>
    <w:rsid w:val="007700B5"/>
    <w:rsid w:val="00770176"/>
    <w:rsid w:val="00770196"/>
    <w:rsid w:val="007701BD"/>
    <w:rsid w:val="007701E7"/>
    <w:rsid w:val="0077020B"/>
    <w:rsid w:val="00770229"/>
    <w:rsid w:val="00770230"/>
    <w:rsid w:val="00770237"/>
    <w:rsid w:val="00770299"/>
    <w:rsid w:val="007703B6"/>
    <w:rsid w:val="00770434"/>
    <w:rsid w:val="007704C5"/>
    <w:rsid w:val="0077052B"/>
    <w:rsid w:val="00770541"/>
    <w:rsid w:val="007705F7"/>
    <w:rsid w:val="0077060A"/>
    <w:rsid w:val="00770651"/>
    <w:rsid w:val="007706B2"/>
    <w:rsid w:val="00770716"/>
    <w:rsid w:val="00770727"/>
    <w:rsid w:val="007707B8"/>
    <w:rsid w:val="00770800"/>
    <w:rsid w:val="00770801"/>
    <w:rsid w:val="00770836"/>
    <w:rsid w:val="0077084D"/>
    <w:rsid w:val="0077092E"/>
    <w:rsid w:val="0077096D"/>
    <w:rsid w:val="007709BD"/>
    <w:rsid w:val="007709D8"/>
    <w:rsid w:val="00770A72"/>
    <w:rsid w:val="00770AE0"/>
    <w:rsid w:val="00770B18"/>
    <w:rsid w:val="00770B2B"/>
    <w:rsid w:val="00770B30"/>
    <w:rsid w:val="00770BE7"/>
    <w:rsid w:val="00770C2A"/>
    <w:rsid w:val="00770C54"/>
    <w:rsid w:val="00770CED"/>
    <w:rsid w:val="00770D01"/>
    <w:rsid w:val="00770D78"/>
    <w:rsid w:val="00770E33"/>
    <w:rsid w:val="00770F0F"/>
    <w:rsid w:val="00770F13"/>
    <w:rsid w:val="00771026"/>
    <w:rsid w:val="007710B2"/>
    <w:rsid w:val="0077110E"/>
    <w:rsid w:val="00771110"/>
    <w:rsid w:val="00771143"/>
    <w:rsid w:val="0077117F"/>
    <w:rsid w:val="0077118D"/>
    <w:rsid w:val="007711B1"/>
    <w:rsid w:val="007711C0"/>
    <w:rsid w:val="0077124D"/>
    <w:rsid w:val="00771257"/>
    <w:rsid w:val="0077125D"/>
    <w:rsid w:val="007712CC"/>
    <w:rsid w:val="00771322"/>
    <w:rsid w:val="00771366"/>
    <w:rsid w:val="007713AD"/>
    <w:rsid w:val="007713E4"/>
    <w:rsid w:val="007713FB"/>
    <w:rsid w:val="00771430"/>
    <w:rsid w:val="00771486"/>
    <w:rsid w:val="00771538"/>
    <w:rsid w:val="00771584"/>
    <w:rsid w:val="0077162B"/>
    <w:rsid w:val="00771698"/>
    <w:rsid w:val="0077170A"/>
    <w:rsid w:val="007717A4"/>
    <w:rsid w:val="00771896"/>
    <w:rsid w:val="007719CD"/>
    <w:rsid w:val="007719F9"/>
    <w:rsid w:val="007719FE"/>
    <w:rsid w:val="00771A29"/>
    <w:rsid w:val="00771A5D"/>
    <w:rsid w:val="00771A6E"/>
    <w:rsid w:val="00771A9E"/>
    <w:rsid w:val="00771BCF"/>
    <w:rsid w:val="00771C08"/>
    <w:rsid w:val="00771C79"/>
    <w:rsid w:val="00771CBD"/>
    <w:rsid w:val="00771E23"/>
    <w:rsid w:val="00771E52"/>
    <w:rsid w:val="00771EC5"/>
    <w:rsid w:val="00771EE1"/>
    <w:rsid w:val="00771F03"/>
    <w:rsid w:val="00771F39"/>
    <w:rsid w:val="00771F84"/>
    <w:rsid w:val="00772013"/>
    <w:rsid w:val="00772074"/>
    <w:rsid w:val="00772097"/>
    <w:rsid w:val="007720CC"/>
    <w:rsid w:val="007720D6"/>
    <w:rsid w:val="0077219D"/>
    <w:rsid w:val="007721A4"/>
    <w:rsid w:val="00772262"/>
    <w:rsid w:val="0077229E"/>
    <w:rsid w:val="00772311"/>
    <w:rsid w:val="00772319"/>
    <w:rsid w:val="00772376"/>
    <w:rsid w:val="00772421"/>
    <w:rsid w:val="00772495"/>
    <w:rsid w:val="007724AE"/>
    <w:rsid w:val="00772534"/>
    <w:rsid w:val="0077253F"/>
    <w:rsid w:val="00772567"/>
    <w:rsid w:val="0077259A"/>
    <w:rsid w:val="007725AE"/>
    <w:rsid w:val="007725BF"/>
    <w:rsid w:val="0077260C"/>
    <w:rsid w:val="00772611"/>
    <w:rsid w:val="007726E0"/>
    <w:rsid w:val="00772746"/>
    <w:rsid w:val="00772774"/>
    <w:rsid w:val="0077294C"/>
    <w:rsid w:val="00772980"/>
    <w:rsid w:val="007729A6"/>
    <w:rsid w:val="00772A29"/>
    <w:rsid w:val="00772A3F"/>
    <w:rsid w:val="00772A5C"/>
    <w:rsid w:val="00772A7E"/>
    <w:rsid w:val="00772B0D"/>
    <w:rsid w:val="00772BD4"/>
    <w:rsid w:val="00772CCE"/>
    <w:rsid w:val="00772CD8"/>
    <w:rsid w:val="00772D34"/>
    <w:rsid w:val="00772DC4"/>
    <w:rsid w:val="00772E2B"/>
    <w:rsid w:val="00772F3A"/>
    <w:rsid w:val="00772F56"/>
    <w:rsid w:val="00772F63"/>
    <w:rsid w:val="00772FC6"/>
    <w:rsid w:val="00772FD4"/>
    <w:rsid w:val="007730C1"/>
    <w:rsid w:val="007730F3"/>
    <w:rsid w:val="0077314D"/>
    <w:rsid w:val="00773239"/>
    <w:rsid w:val="007732D4"/>
    <w:rsid w:val="0077330A"/>
    <w:rsid w:val="0077333E"/>
    <w:rsid w:val="00773355"/>
    <w:rsid w:val="0077337F"/>
    <w:rsid w:val="007733B2"/>
    <w:rsid w:val="007733C7"/>
    <w:rsid w:val="007733E5"/>
    <w:rsid w:val="00773434"/>
    <w:rsid w:val="00773517"/>
    <w:rsid w:val="0077361F"/>
    <w:rsid w:val="00773678"/>
    <w:rsid w:val="00773682"/>
    <w:rsid w:val="0077375E"/>
    <w:rsid w:val="007737BA"/>
    <w:rsid w:val="007737CB"/>
    <w:rsid w:val="007737DC"/>
    <w:rsid w:val="0077381F"/>
    <w:rsid w:val="0077384B"/>
    <w:rsid w:val="0077386A"/>
    <w:rsid w:val="0077397E"/>
    <w:rsid w:val="0077399B"/>
    <w:rsid w:val="007739DC"/>
    <w:rsid w:val="00773A23"/>
    <w:rsid w:val="00773A24"/>
    <w:rsid w:val="00773A2D"/>
    <w:rsid w:val="00773A5C"/>
    <w:rsid w:val="00773A7F"/>
    <w:rsid w:val="00773B14"/>
    <w:rsid w:val="00773BF3"/>
    <w:rsid w:val="00773C34"/>
    <w:rsid w:val="00773CA3"/>
    <w:rsid w:val="00773CDA"/>
    <w:rsid w:val="00773CE1"/>
    <w:rsid w:val="00773CE3"/>
    <w:rsid w:val="00773D03"/>
    <w:rsid w:val="00773D64"/>
    <w:rsid w:val="00773DA6"/>
    <w:rsid w:val="00773DE8"/>
    <w:rsid w:val="00773E10"/>
    <w:rsid w:val="00773E2C"/>
    <w:rsid w:val="00773E6B"/>
    <w:rsid w:val="00773E84"/>
    <w:rsid w:val="00773E9E"/>
    <w:rsid w:val="00773EA4"/>
    <w:rsid w:val="00773EC7"/>
    <w:rsid w:val="00773FB6"/>
    <w:rsid w:val="00773FF4"/>
    <w:rsid w:val="00774067"/>
    <w:rsid w:val="007741E8"/>
    <w:rsid w:val="00774235"/>
    <w:rsid w:val="00774265"/>
    <w:rsid w:val="00774272"/>
    <w:rsid w:val="007743C9"/>
    <w:rsid w:val="007744B7"/>
    <w:rsid w:val="007744F0"/>
    <w:rsid w:val="00774596"/>
    <w:rsid w:val="00774646"/>
    <w:rsid w:val="00774668"/>
    <w:rsid w:val="0077467B"/>
    <w:rsid w:val="0077468B"/>
    <w:rsid w:val="007746A4"/>
    <w:rsid w:val="007746C2"/>
    <w:rsid w:val="00774791"/>
    <w:rsid w:val="007747A7"/>
    <w:rsid w:val="0077482B"/>
    <w:rsid w:val="007748BF"/>
    <w:rsid w:val="007748E2"/>
    <w:rsid w:val="00774909"/>
    <w:rsid w:val="0077491F"/>
    <w:rsid w:val="00774944"/>
    <w:rsid w:val="0077494A"/>
    <w:rsid w:val="00774A7E"/>
    <w:rsid w:val="00774A9F"/>
    <w:rsid w:val="00774AC5"/>
    <w:rsid w:val="00774AE7"/>
    <w:rsid w:val="00774B88"/>
    <w:rsid w:val="00774BFB"/>
    <w:rsid w:val="00774C28"/>
    <w:rsid w:val="00774C9E"/>
    <w:rsid w:val="00774CE6"/>
    <w:rsid w:val="00774D0F"/>
    <w:rsid w:val="00774D53"/>
    <w:rsid w:val="00774D83"/>
    <w:rsid w:val="00774D95"/>
    <w:rsid w:val="00774E16"/>
    <w:rsid w:val="00774E41"/>
    <w:rsid w:val="00774E5D"/>
    <w:rsid w:val="00774F6F"/>
    <w:rsid w:val="00774FDA"/>
    <w:rsid w:val="0077507D"/>
    <w:rsid w:val="00775105"/>
    <w:rsid w:val="00775175"/>
    <w:rsid w:val="00775181"/>
    <w:rsid w:val="007751F0"/>
    <w:rsid w:val="0077525F"/>
    <w:rsid w:val="0077526A"/>
    <w:rsid w:val="007752AC"/>
    <w:rsid w:val="0077532F"/>
    <w:rsid w:val="00775339"/>
    <w:rsid w:val="0077537E"/>
    <w:rsid w:val="007754D0"/>
    <w:rsid w:val="00775507"/>
    <w:rsid w:val="0077562F"/>
    <w:rsid w:val="007756CE"/>
    <w:rsid w:val="0077580F"/>
    <w:rsid w:val="00775826"/>
    <w:rsid w:val="00775839"/>
    <w:rsid w:val="0077585A"/>
    <w:rsid w:val="0077587B"/>
    <w:rsid w:val="007758D5"/>
    <w:rsid w:val="007758FA"/>
    <w:rsid w:val="00775920"/>
    <w:rsid w:val="00775923"/>
    <w:rsid w:val="007759CD"/>
    <w:rsid w:val="00775A1B"/>
    <w:rsid w:val="00775AEB"/>
    <w:rsid w:val="00775B4E"/>
    <w:rsid w:val="00775B6D"/>
    <w:rsid w:val="00775BB9"/>
    <w:rsid w:val="00775BED"/>
    <w:rsid w:val="00775C17"/>
    <w:rsid w:val="00775C2C"/>
    <w:rsid w:val="00775C5A"/>
    <w:rsid w:val="00775C6A"/>
    <w:rsid w:val="00775C85"/>
    <w:rsid w:val="00775CC7"/>
    <w:rsid w:val="00775CD4"/>
    <w:rsid w:val="00775D7B"/>
    <w:rsid w:val="00775E3D"/>
    <w:rsid w:val="00775E67"/>
    <w:rsid w:val="00775EAD"/>
    <w:rsid w:val="00775EDF"/>
    <w:rsid w:val="00775F23"/>
    <w:rsid w:val="00775F54"/>
    <w:rsid w:val="00775FD0"/>
    <w:rsid w:val="00775FE1"/>
    <w:rsid w:val="00775FF4"/>
    <w:rsid w:val="00776092"/>
    <w:rsid w:val="007760D6"/>
    <w:rsid w:val="007760EE"/>
    <w:rsid w:val="007760F3"/>
    <w:rsid w:val="007760F4"/>
    <w:rsid w:val="00776113"/>
    <w:rsid w:val="00776192"/>
    <w:rsid w:val="007761A8"/>
    <w:rsid w:val="0077621C"/>
    <w:rsid w:val="007762EE"/>
    <w:rsid w:val="00776337"/>
    <w:rsid w:val="007763A0"/>
    <w:rsid w:val="007763BA"/>
    <w:rsid w:val="007763DD"/>
    <w:rsid w:val="00776474"/>
    <w:rsid w:val="00776504"/>
    <w:rsid w:val="00776529"/>
    <w:rsid w:val="00776641"/>
    <w:rsid w:val="00776664"/>
    <w:rsid w:val="007766BA"/>
    <w:rsid w:val="00776724"/>
    <w:rsid w:val="00776788"/>
    <w:rsid w:val="00776790"/>
    <w:rsid w:val="007767ED"/>
    <w:rsid w:val="00776809"/>
    <w:rsid w:val="00776826"/>
    <w:rsid w:val="00776883"/>
    <w:rsid w:val="00776908"/>
    <w:rsid w:val="0077698B"/>
    <w:rsid w:val="007769AE"/>
    <w:rsid w:val="00776B80"/>
    <w:rsid w:val="00776BE4"/>
    <w:rsid w:val="00776CAB"/>
    <w:rsid w:val="00776CCA"/>
    <w:rsid w:val="00776CCB"/>
    <w:rsid w:val="00776CE1"/>
    <w:rsid w:val="00776D08"/>
    <w:rsid w:val="00776D35"/>
    <w:rsid w:val="00776D4D"/>
    <w:rsid w:val="00776DAA"/>
    <w:rsid w:val="00776E57"/>
    <w:rsid w:val="00776F20"/>
    <w:rsid w:val="00776F38"/>
    <w:rsid w:val="00777016"/>
    <w:rsid w:val="00777134"/>
    <w:rsid w:val="00777147"/>
    <w:rsid w:val="00777179"/>
    <w:rsid w:val="0077720C"/>
    <w:rsid w:val="0077727D"/>
    <w:rsid w:val="007772F8"/>
    <w:rsid w:val="0077733E"/>
    <w:rsid w:val="00777344"/>
    <w:rsid w:val="007773C3"/>
    <w:rsid w:val="00777406"/>
    <w:rsid w:val="0077745B"/>
    <w:rsid w:val="00777513"/>
    <w:rsid w:val="0077751B"/>
    <w:rsid w:val="0077752C"/>
    <w:rsid w:val="0077752D"/>
    <w:rsid w:val="00777562"/>
    <w:rsid w:val="00777567"/>
    <w:rsid w:val="007775D7"/>
    <w:rsid w:val="0077760D"/>
    <w:rsid w:val="00777620"/>
    <w:rsid w:val="007776B7"/>
    <w:rsid w:val="007776BB"/>
    <w:rsid w:val="007776BD"/>
    <w:rsid w:val="0077778C"/>
    <w:rsid w:val="007777B5"/>
    <w:rsid w:val="0077781B"/>
    <w:rsid w:val="0077783B"/>
    <w:rsid w:val="00777899"/>
    <w:rsid w:val="0077798D"/>
    <w:rsid w:val="007779E8"/>
    <w:rsid w:val="00777A5E"/>
    <w:rsid w:val="00777AE5"/>
    <w:rsid w:val="00777B44"/>
    <w:rsid w:val="00777BB4"/>
    <w:rsid w:val="00777BCB"/>
    <w:rsid w:val="00777BD4"/>
    <w:rsid w:val="00777C26"/>
    <w:rsid w:val="00777CCA"/>
    <w:rsid w:val="00777D11"/>
    <w:rsid w:val="00777D24"/>
    <w:rsid w:val="00777D3B"/>
    <w:rsid w:val="00777D4C"/>
    <w:rsid w:val="00777D5F"/>
    <w:rsid w:val="00777E8B"/>
    <w:rsid w:val="00777EBA"/>
    <w:rsid w:val="00777EEC"/>
    <w:rsid w:val="00777F1F"/>
    <w:rsid w:val="00777F98"/>
    <w:rsid w:val="00777FFE"/>
    <w:rsid w:val="00780010"/>
    <w:rsid w:val="00780015"/>
    <w:rsid w:val="007800E6"/>
    <w:rsid w:val="00780157"/>
    <w:rsid w:val="00780174"/>
    <w:rsid w:val="007801AF"/>
    <w:rsid w:val="007801D4"/>
    <w:rsid w:val="007801E2"/>
    <w:rsid w:val="0078020A"/>
    <w:rsid w:val="0078030C"/>
    <w:rsid w:val="0078030E"/>
    <w:rsid w:val="00780420"/>
    <w:rsid w:val="00780422"/>
    <w:rsid w:val="007804B5"/>
    <w:rsid w:val="007804EF"/>
    <w:rsid w:val="0078052B"/>
    <w:rsid w:val="007805B5"/>
    <w:rsid w:val="007805D7"/>
    <w:rsid w:val="00780627"/>
    <w:rsid w:val="00780644"/>
    <w:rsid w:val="0078083C"/>
    <w:rsid w:val="00780867"/>
    <w:rsid w:val="00780869"/>
    <w:rsid w:val="00780916"/>
    <w:rsid w:val="007809DE"/>
    <w:rsid w:val="00780A75"/>
    <w:rsid w:val="00780A86"/>
    <w:rsid w:val="00780ACE"/>
    <w:rsid w:val="00780AEA"/>
    <w:rsid w:val="00780B9D"/>
    <w:rsid w:val="00780BD0"/>
    <w:rsid w:val="00780CF3"/>
    <w:rsid w:val="00780D0E"/>
    <w:rsid w:val="00780D5C"/>
    <w:rsid w:val="00780D76"/>
    <w:rsid w:val="00780D82"/>
    <w:rsid w:val="00780D90"/>
    <w:rsid w:val="00780E82"/>
    <w:rsid w:val="00780F8D"/>
    <w:rsid w:val="00780F99"/>
    <w:rsid w:val="00781024"/>
    <w:rsid w:val="0078105F"/>
    <w:rsid w:val="0078107C"/>
    <w:rsid w:val="007810EA"/>
    <w:rsid w:val="00781301"/>
    <w:rsid w:val="00781314"/>
    <w:rsid w:val="00781316"/>
    <w:rsid w:val="0078139A"/>
    <w:rsid w:val="007813B6"/>
    <w:rsid w:val="00781523"/>
    <w:rsid w:val="0078154C"/>
    <w:rsid w:val="0078158A"/>
    <w:rsid w:val="007815EC"/>
    <w:rsid w:val="007815FE"/>
    <w:rsid w:val="0078163A"/>
    <w:rsid w:val="0078168A"/>
    <w:rsid w:val="0078168C"/>
    <w:rsid w:val="0078169C"/>
    <w:rsid w:val="00781768"/>
    <w:rsid w:val="0078179F"/>
    <w:rsid w:val="007817A3"/>
    <w:rsid w:val="007817E4"/>
    <w:rsid w:val="00781810"/>
    <w:rsid w:val="00781884"/>
    <w:rsid w:val="007818D7"/>
    <w:rsid w:val="007818E8"/>
    <w:rsid w:val="0078192A"/>
    <w:rsid w:val="0078197D"/>
    <w:rsid w:val="00781A61"/>
    <w:rsid w:val="00781A6A"/>
    <w:rsid w:val="00781A6F"/>
    <w:rsid w:val="00781B13"/>
    <w:rsid w:val="00781B21"/>
    <w:rsid w:val="00781BB4"/>
    <w:rsid w:val="00781CB7"/>
    <w:rsid w:val="00781D44"/>
    <w:rsid w:val="00781D4F"/>
    <w:rsid w:val="00781E00"/>
    <w:rsid w:val="00781E7E"/>
    <w:rsid w:val="00781E8C"/>
    <w:rsid w:val="00781F17"/>
    <w:rsid w:val="00781F6B"/>
    <w:rsid w:val="00781F85"/>
    <w:rsid w:val="00781F97"/>
    <w:rsid w:val="00781F9F"/>
    <w:rsid w:val="00781FF3"/>
    <w:rsid w:val="00782050"/>
    <w:rsid w:val="00782181"/>
    <w:rsid w:val="007821D3"/>
    <w:rsid w:val="007821F9"/>
    <w:rsid w:val="00782269"/>
    <w:rsid w:val="00782272"/>
    <w:rsid w:val="00782280"/>
    <w:rsid w:val="007822CA"/>
    <w:rsid w:val="00782351"/>
    <w:rsid w:val="00782362"/>
    <w:rsid w:val="0078239D"/>
    <w:rsid w:val="007823BD"/>
    <w:rsid w:val="007823C5"/>
    <w:rsid w:val="007823CB"/>
    <w:rsid w:val="00782444"/>
    <w:rsid w:val="0078245C"/>
    <w:rsid w:val="0078246D"/>
    <w:rsid w:val="007824A1"/>
    <w:rsid w:val="007825BD"/>
    <w:rsid w:val="007825C3"/>
    <w:rsid w:val="007825E3"/>
    <w:rsid w:val="0078260E"/>
    <w:rsid w:val="0078261E"/>
    <w:rsid w:val="0078265E"/>
    <w:rsid w:val="007826BA"/>
    <w:rsid w:val="007826E7"/>
    <w:rsid w:val="0078272D"/>
    <w:rsid w:val="0078275B"/>
    <w:rsid w:val="007827C0"/>
    <w:rsid w:val="007827C6"/>
    <w:rsid w:val="00782842"/>
    <w:rsid w:val="00782849"/>
    <w:rsid w:val="0078287C"/>
    <w:rsid w:val="007828BF"/>
    <w:rsid w:val="007828F0"/>
    <w:rsid w:val="00782924"/>
    <w:rsid w:val="00782926"/>
    <w:rsid w:val="00782A0D"/>
    <w:rsid w:val="00782A30"/>
    <w:rsid w:val="00782A87"/>
    <w:rsid w:val="00782AAC"/>
    <w:rsid w:val="00782AAD"/>
    <w:rsid w:val="00782AC6"/>
    <w:rsid w:val="00782D75"/>
    <w:rsid w:val="00782D9D"/>
    <w:rsid w:val="00782DFA"/>
    <w:rsid w:val="00782EB8"/>
    <w:rsid w:val="00782F05"/>
    <w:rsid w:val="00782F0B"/>
    <w:rsid w:val="00782F0E"/>
    <w:rsid w:val="00782F2D"/>
    <w:rsid w:val="00782F49"/>
    <w:rsid w:val="007830E0"/>
    <w:rsid w:val="00783146"/>
    <w:rsid w:val="00783175"/>
    <w:rsid w:val="0078319B"/>
    <w:rsid w:val="007832FF"/>
    <w:rsid w:val="00783423"/>
    <w:rsid w:val="0078346D"/>
    <w:rsid w:val="00783475"/>
    <w:rsid w:val="00783511"/>
    <w:rsid w:val="00783619"/>
    <w:rsid w:val="007836AB"/>
    <w:rsid w:val="00783794"/>
    <w:rsid w:val="00783883"/>
    <w:rsid w:val="007838A3"/>
    <w:rsid w:val="007838CF"/>
    <w:rsid w:val="0078392D"/>
    <w:rsid w:val="00783953"/>
    <w:rsid w:val="0078398E"/>
    <w:rsid w:val="00783A1E"/>
    <w:rsid w:val="00783B1C"/>
    <w:rsid w:val="00783B45"/>
    <w:rsid w:val="00783B8D"/>
    <w:rsid w:val="00783BC1"/>
    <w:rsid w:val="00783C05"/>
    <w:rsid w:val="00783C06"/>
    <w:rsid w:val="00783C2E"/>
    <w:rsid w:val="00783C6A"/>
    <w:rsid w:val="00783CAC"/>
    <w:rsid w:val="00783CCB"/>
    <w:rsid w:val="00783CE1"/>
    <w:rsid w:val="00783CE4"/>
    <w:rsid w:val="00783D11"/>
    <w:rsid w:val="00783D89"/>
    <w:rsid w:val="00783DC5"/>
    <w:rsid w:val="00783E20"/>
    <w:rsid w:val="00783E6B"/>
    <w:rsid w:val="00783E74"/>
    <w:rsid w:val="00783E7E"/>
    <w:rsid w:val="00783ECE"/>
    <w:rsid w:val="00783F06"/>
    <w:rsid w:val="00783F0A"/>
    <w:rsid w:val="00783F87"/>
    <w:rsid w:val="00783FB6"/>
    <w:rsid w:val="00784052"/>
    <w:rsid w:val="00784095"/>
    <w:rsid w:val="007840C5"/>
    <w:rsid w:val="00784140"/>
    <w:rsid w:val="00784177"/>
    <w:rsid w:val="00784190"/>
    <w:rsid w:val="007841EA"/>
    <w:rsid w:val="0078427A"/>
    <w:rsid w:val="00784346"/>
    <w:rsid w:val="007843E8"/>
    <w:rsid w:val="00784498"/>
    <w:rsid w:val="007844F4"/>
    <w:rsid w:val="00784543"/>
    <w:rsid w:val="007845B8"/>
    <w:rsid w:val="00784629"/>
    <w:rsid w:val="0078468A"/>
    <w:rsid w:val="007846FC"/>
    <w:rsid w:val="007847E3"/>
    <w:rsid w:val="0078489A"/>
    <w:rsid w:val="0078490B"/>
    <w:rsid w:val="007849AC"/>
    <w:rsid w:val="007849FD"/>
    <w:rsid w:val="00784A3A"/>
    <w:rsid w:val="00784A79"/>
    <w:rsid w:val="00784ABC"/>
    <w:rsid w:val="00784AE3"/>
    <w:rsid w:val="00784BF0"/>
    <w:rsid w:val="00784C26"/>
    <w:rsid w:val="00784C58"/>
    <w:rsid w:val="00784C67"/>
    <w:rsid w:val="00784C78"/>
    <w:rsid w:val="00784D64"/>
    <w:rsid w:val="00784DBB"/>
    <w:rsid w:val="00784E48"/>
    <w:rsid w:val="00784F7D"/>
    <w:rsid w:val="00784FE6"/>
    <w:rsid w:val="00785029"/>
    <w:rsid w:val="00785032"/>
    <w:rsid w:val="00785036"/>
    <w:rsid w:val="007850A9"/>
    <w:rsid w:val="007850D0"/>
    <w:rsid w:val="007850D7"/>
    <w:rsid w:val="007850EF"/>
    <w:rsid w:val="00785143"/>
    <w:rsid w:val="00785218"/>
    <w:rsid w:val="0078526F"/>
    <w:rsid w:val="007852AE"/>
    <w:rsid w:val="007852F6"/>
    <w:rsid w:val="00785343"/>
    <w:rsid w:val="00785376"/>
    <w:rsid w:val="00785428"/>
    <w:rsid w:val="00785552"/>
    <w:rsid w:val="007855E8"/>
    <w:rsid w:val="0078561D"/>
    <w:rsid w:val="007856D1"/>
    <w:rsid w:val="00785747"/>
    <w:rsid w:val="0078580C"/>
    <w:rsid w:val="00785818"/>
    <w:rsid w:val="0078581C"/>
    <w:rsid w:val="00785898"/>
    <w:rsid w:val="00785964"/>
    <w:rsid w:val="007859BA"/>
    <w:rsid w:val="007859EC"/>
    <w:rsid w:val="007859ED"/>
    <w:rsid w:val="00785A0F"/>
    <w:rsid w:val="00785A22"/>
    <w:rsid w:val="00785A44"/>
    <w:rsid w:val="00785A7D"/>
    <w:rsid w:val="00785A9B"/>
    <w:rsid w:val="00785B05"/>
    <w:rsid w:val="00785B3F"/>
    <w:rsid w:val="00785B5B"/>
    <w:rsid w:val="00785BD2"/>
    <w:rsid w:val="00785C0B"/>
    <w:rsid w:val="00785CA2"/>
    <w:rsid w:val="00785D00"/>
    <w:rsid w:val="00785D4B"/>
    <w:rsid w:val="00785D71"/>
    <w:rsid w:val="00785DA5"/>
    <w:rsid w:val="00785DA8"/>
    <w:rsid w:val="00785E6D"/>
    <w:rsid w:val="00785F2B"/>
    <w:rsid w:val="00785F2D"/>
    <w:rsid w:val="00785F49"/>
    <w:rsid w:val="00785FDB"/>
    <w:rsid w:val="007860F6"/>
    <w:rsid w:val="00786113"/>
    <w:rsid w:val="00786178"/>
    <w:rsid w:val="0078617C"/>
    <w:rsid w:val="00786181"/>
    <w:rsid w:val="007861C2"/>
    <w:rsid w:val="0078626E"/>
    <w:rsid w:val="00786309"/>
    <w:rsid w:val="00786317"/>
    <w:rsid w:val="0078646D"/>
    <w:rsid w:val="0078647B"/>
    <w:rsid w:val="007864AB"/>
    <w:rsid w:val="007864F8"/>
    <w:rsid w:val="00786576"/>
    <w:rsid w:val="007865B4"/>
    <w:rsid w:val="007865B5"/>
    <w:rsid w:val="007865EC"/>
    <w:rsid w:val="007865F1"/>
    <w:rsid w:val="00786620"/>
    <w:rsid w:val="00786696"/>
    <w:rsid w:val="007866A2"/>
    <w:rsid w:val="007866E7"/>
    <w:rsid w:val="007867C7"/>
    <w:rsid w:val="007867D0"/>
    <w:rsid w:val="007867ED"/>
    <w:rsid w:val="00786928"/>
    <w:rsid w:val="00786957"/>
    <w:rsid w:val="00786998"/>
    <w:rsid w:val="007869D8"/>
    <w:rsid w:val="007869F5"/>
    <w:rsid w:val="00786A30"/>
    <w:rsid w:val="00786AAF"/>
    <w:rsid w:val="00786AB9"/>
    <w:rsid w:val="00786AD5"/>
    <w:rsid w:val="00786B9F"/>
    <w:rsid w:val="00786BB5"/>
    <w:rsid w:val="00786BC8"/>
    <w:rsid w:val="00786C12"/>
    <w:rsid w:val="00786C15"/>
    <w:rsid w:val="00786C8E"/>
    <w:rsid w:val="00786CE5"/>
    <w:rsid w:val="00786D12"/>
    <w:rsid w:val="00786D75"/>
    <w:rsid w:val="00786DB8"/>
    <w:rsid w:val="00786DF9"/>
    <w:rsid w:val="00786E43"/>
    <w:rsid w:val="00786E82"/>
    <w:rsid w:val="00786EDE"/>
    <w:rsid w:val="00786F1E"/>
    <w:rsid w:val="00786F31"/>
    <w:rsid w:val="00786F72"/>
    <w:rsid w:val="00786F97"/>
    <w:rsid w:val="00787027"/>
    <w:rsid w:val="00787068"/>
    <w:rsid w:val="00787090"/>
    <w:rsid w:val="007871DA"/>
    <w:rsid w:val="00787202"/>
    <w:rsid w:val="00787207"/>
    <w:rsid w:val="00787298"/>
    <w:rsid w:val="007872B0"/>
    <w:rsid w:val="00787321"/>
    <w:rsid w:val="00787359"/>
    <w:rsid w:val="00787476"/>
    <w:rsid w:val="007874D9"/>
    <w:rsid w:val="00787587"/>
    <w:rsid w:val="007875DF"/>
    <w:rsid w:val="0078764D"/>
    <w:rsid w:val="00787773"/>
    <w:rsid w:val="007877D1"/>
    <w:rsid w:val="007877D3"/>
    <w:rsid w:val="007877E5"/>
    <w:rsid w:val="0078780E"/>
    <w:rsid w:val="0078786C"/>
    <w:rsid w:val="007878A6"/>
    <w:rsid w:val="00787902"/>
    <w:rsid w:val="007879B2"/>
    <w:rsid w:val="007879E0"/>
    <w:rsid w:val="00787A8C"/>
    <w:rsid w:val="00787B4D"/>
    <w:rsid w:val="00787B9F"/>
    <w:rsid w:val="00787BC0"/>
    <w:rsid w:val="00787C68"/>
    <w:rsid w:val="00787C77"/>
    <w:rsid w:val="00787C85"/>
    <w:rsid w:val="00787CA0"/>
    <w:rsid w:val="00787D2A"/>
    <w:rsid w:val="00787D2C"/>
    <w:rsid w:val="00787D38"/>
    <w:rsid w:val="00787D3B"/>
    <w:rsid w:val="00787D71"/>
    <w:rsid w:val="00787D73"/>
    <w:rsid w:val="00787E3D"/>
    <w:rsid w:val="00787E50"/>
    <w:rsid w:val="00787ED0"/>
    <w:rsid w:val="00787EF0"/>
    <w:rsid w:val="00787F2F"/>
    <w:rsid w:val="00787F3D"/>
    <w:rsid w:val="0078C892"/>
    <w:rsid w:val="0079005D"/>
    <w:rsid w:val="0079009F"/>
    <w:rsid w:val="007900E3"/>
    <w:rsid w:val="0079010C"/>
    <w:rsid w:val="0079010E"/>
    <w:rsid w:val="0079023C"/>
    <w:rsid w:val="007902BE"/>
    <w:rsid w:val="0079033A"/>
    <w:rsid w:val="00790364"/>
    <w:rsid w:val="00790442"/>
    <w:rsid w:val="00790474"/>
    <w:rsid w:val="0079047B"/>
    <w:rsid w:val="007904C8"/>
    <w:rsid w:val="00790530"/>
    <w:rsid w:val="00790665"/>
    <w:rsid w:val="0079066E"/>
    <w:rsid w:val="00790673"/>
    <w:rsid w:val="00790712"/>
    <w:rsid w:val="00790771"/>
    <w:rsid w:val="007907DA"/>
    <w:rsid w:val="00790822"/>
    <w:rsid w:val="0079082A"/>
    <w:rsid w:val="007908DB"/>
    <w:rsid w:val="00790911"/>
    <w:rsid w:val="0079093E"/>
    <w:rsid w:val="007909B4"/>
    <w:rsid w:val="007909C5"/>
    <w:rsid w:val="00790A02"/>
    <w:rsid w:val="00790A4B"/>
    <w:rsid w:val="00790A7B"/>
    <w:rsid w:val="00790AC0"/>
    <w:rsid w:val="00790B08"/>
    <w:rsid w:val="00790B72"/>
    <w:rsid w:val="00790BB3"/>
    <w:rsid w:val="00790C15"/>
    <w:rsid w:val="00790C5C"/>
    <w:rsid w:val="00790C7C"/>
    <w:rsid w:val="00790C83"/>
    <w:rsid w:val="00790CAA"/>
    <w:rsid w:val="00790D03"/>
    <w:rsid w:val="00790D3A"/>
    <w:rsid w:val="00790D99"/>
    <w:rsid w:val="00790DD8"/>
    <w:rsid w:val="00790DEC"/>
    <w:rsid w:val="00790DF8"/>
    <w:rsid w:val="00790E37"/>
    <w:rsid w:val="00790EE2"/>
    <w:rsid w:val="00790EED"/>
    <w:rsid w:val="00790F02"/>
    <w:rsid w:val="00790F6C"/>
    <w:rsid w:val="00790FE9"/>
    <w:rsid w:val="0079105B"/>
    <w:rsid w:val="0079106F"/>
    <w:rsid w:val="00791083"/>
    <w:rsid w:val="007910C3"/>
    <w:rsid w:val="007910E1"/>
    <w:rsid w:val="007911DF"/>
    <w:rsid w:val="007911E9"/>
    <w:rsid w:val="007912CB"/>
    <w:rsid w:val="007912D0"/>
    <w:rsid w:val="00791307"/>
    <w:rsid w:val="0079130E"/>
    <w:rsid w:val="0079132A"/>
    <w:rsid w:val="00791356"/>
    <w:rsid w:val="00791362"/>
    <w:rsid w:val="007913ED"/>
    <w:rsid w:val="00791402"/>
    <w:rsid w:val="00791413"/>
    <w:rsid w:val="00791430"/>
    <w:rsid w:val="007914CE"/>
    <w:rsid w:val="0079151F"/>
    <w:rsid w:val="007915CB"/>
    <w:rsid w:val="00791602"/>
    <w:rsid w:val="00791626"/>
    <w:rsid w:val="007916EF"/>
    <w:rsid w:val="007916F2"/>
    <w:rsid w:val="00791717"/>
    <w:rsid w:val="00791729"/>
    <w:rsid w:val="00791733"/>
    <w:rsid w:val="00791834"/>
    <w:rsid w:val="0079183C"/>
    <w:rsid w:val="00791855"/>
    <w:rsid w:val="007918FD"/>
    <w:rsid w:val="0079195E"/>
    <w:rsid w:val="0079198B"/>
    <w:rsid w:val="007919CB"/>
    <w:rsid w:val="007919D4"/>
    <w:rsid w:val="00791A53"/>
    <w:rsid w:val="00791A87"/>
    <w:rsid w:val="00791ABC"/>
    <w:rsid w:val="00791AC4"/>
    <w:rsid w:val="00791B40"/>
    <w:rsid w:val="00791B57"/>
    <w:rsid w:val="00791B9E"/>
    <w:rsid w:val="00791BF6"/>
    <w:rsid w:val="00791C5D"/>
    <w:rsid w:val="00791D3D"/>
    <w:rsid w:val="00791D42"/>
    <w:rsid w:val="00791DB6"/>
    <w:rsid w:val="00791DBB"/>
    <w:rsid w:val="00791E1F"/>
    <w:rsid w:val="00791E75"/>
    <w:rsid w:val="00791F86"/>
    <w:rsid w:val="00791FC5"/>
    <w:rsid w:val="00792007"/>
    <w:rsid w:val="0079200E"/>
    <w:rsid w:val="0079203D"/>
    <w:rsid w:val="00792046"/>
    <w:rsid w:val="0079210B"/>
    <w:rsid w:val="00792192"/>
    <w:rsid w:val="00792224"/>
    <w:rsid w:val="0079224A"/>
    <w:rsid w:val="007922C3"/>
    <w:rsid w:val="007922F6"/>
    <w:rsid w:val="00792311"/>
    <w:rsid w:val="00792378"/>
    <w:rsid w:val="007923DB"/>
    <w:rsid w:val="00792412"/>
    <w:rsid w:val="00792437"/>
    <w:rsid w:val="00792452"/>
    <w:rsid w:val="00792466"/>
    <w:rsid w:val="0079247A"/>
    <w:rsid w:val="007924AD"/>
    <w:rsid w:val="007924B7"/>
    <w:rsid w:val="007924EC"/>
    <w:rsid w:val="007924FC"/>
    <w:rsid w:val="00792543"/>
    <w:rsid w:val="00792568"/>
    <w:rsid w:val="007925F7"/>
    <w:rsid w:val="0079265A"/>
    <w:rsid w:val="0079269A"/>
    <w:rsid w:val="0079269D"/>
    <w:rsid w:val="0079276B"/>
    <w:rsid w:val="007927AD"/>
    <w:rsid w:val="0079281B"/>
    <w:rsid w:val="0079281E"/>
    <w:rsid w:val="00792821"/>
    <w:rsid w:val="00792842"/>
    <w:rsid w:val="00792973"/>
    <w:rsid w:val="00792982"/>
    <w:rsid w:val="007929B4"/>
    <w:rsid w:val="00792A31"/>
    <w:rsid w:val="00792A44"/>
    <w:rsid w:val="00792A6D"/>
    <w:rsid w:val="00792A8C"/>
    <w:rsid w:val="00792A94"/>
    <w:rsid w:val="00792A98"/>
    <w:rsid w:val="00792AE2"/>
    <w:rsid w:val="00792B88"/>
    <w:rsid w:val="00792BE1"/>
    <w:rsid w:val="00792BE2"/>
    <w:rsid w:val="00792BF5"/>
    <w:rsid w:val="00792C86"/>
    <w:rsid w:val="00792C8A"/>
    <w:rsid w:val="00792CAE"/>
    <w:rsid w:val="00792CB6"/>
    <w:rsid w:val="00792D32"/>
    <w:rsid w:val="00792D77"/>
    <w:rsid w:val="00792EAC"/>
    <w:rsid w:val="00792ECB"/>
    <w:rsid w:val="00792ED4"/>
    <w:rsid w:val="00792EE0"/>
    <w:rsid w:val="00792F47"/>
    <w:rsid w:val="0079305E"/>
    <w:rsid w:val="0079307B"/>
    <w:rsid w:val="00793084"/>
    <w:rsid w:val="007930C1"/>
    <w:rsid w:val="00793150"/>
    <w:rsid w:val="007931C7"/>
    <w:rsid w:val="00793208"/>
    <w:rsid w:val="00793277"/>
    <w:rsid w:val="00793289"/>
    <w:rsid w:val="007932D8"/>
    <w:rsid w:val="007932D9"/>
    <w:rsid w:val="00793345"/>
    <w:rsid w:val="0079335B"/>
    <w:rsid w:val="0079336D"/>
    <w:rsid w:val="0079337F"/>
    <w:rsid w:val="0079349D"/>
    <w:rsid w:val="007934C8"/>
    <w:rsid w:val="00793502"/>
    <w:rsid w:val="00793536"/>
    <w:rsid w:val="00793537"/>
    <w:rsid w:val="0079359D"/>
    <w:rsid w:val="0079360A"/>
    <w:rsid w:val="0079361D"/>
    <w:rsid w:val="00793633"/>
    <w:rsid w:val="00793634"/>
    <w:rsid w:val="00793698"/>
    <w:rsid w:val="007937A5"/>
    <w:rsid w:val="00793839"/>
    <w:rsid w:val="00793898"/>
    <w:rsid w:val="007938EC"/>
    <w:rsid w:val="00793936"/>
    <w:rsid w:val="00793954"/>
    <w:rsid w:val="007939B4"/>
    <w:rsid w:val="007939C9"/>
    <w:rsid w:val="007939CC"/>
    <w:rsid w:val="00793A3F"/>
    <w:rsid w:val="00793B55"/>
    <w:rsid w:val="00793B85"/>
    <w:rsid w:val="00793B87"/>
    <w:rsid w:val="00793B93"/>
    <w:rsid w:val="00793BDA"/>
    <w:rsid w:val="00793C39"/>
    <w:rsid w:val="00793C54"/>
    <w:rsid w:val="00793CE5"/>
    <w:rsid w:val="00793D27"/>
    <w:rsid w:val="00793DD2"/>
    <w:rsid w:val="00793DD6"/>
    <w:rsid w:val="00793E1C"/>
    <w:rsid w:val="00793E3A"/>
    <w:rsid w:val="00793E45"/>
    <w:rsid w:val="00793EB9"/>
    <w:rsid w:val="00793F04"/>
    <w:rsid w:val="00793F0C"/>
    <w:rsid w:val="00793F92"/>
    <w:rsid w:val="00793FB6"/>
    <w:rsid w:val="00794076"/>
    <w:rsid w:val="007940B8"/>
    <w:rsid w:val="007940EB"/>
    <w:rsid w:val="007940FB"/>
    <w:rsid w:val="0079413B"/>
    <w:rsid w:val="0079418F"/>
    <w:rsid w:val="00794190"/>
    <w:rsid w:val="00794223"/>
    <w:rsid w:val="00794287"/>
    <w:rsid w:val="0079428D"/>
    <w:rsid w:val="007942BF"/>
    <w:rsid w:val="00794309"/>
    <w:rsid w:val="0079431D"/>
    <w:rsid w:val="00794345"/>
    <w:rsid w:val="007943A5"/>
    <w:rsid w:val="007943F3"/>
    <w:rsid w:val="007943FA"/>
    <w:rsid w:val="00794496"/>
    <w:rsid w:val="007944D2"/>
    <w:rsid w:val="00794552"/>
    <w:rsid w:val="0079458E"/>
    <w:rsid w:val="007945DA"/>
    <w:rsid w:val="00794605"/>
    <w:rsid w:val="00794653"/>
    <w:rsid w:val="007946BA"/>
    <w:rsid w:val="007946E7"/>
    <w:rsid w:val="007946FC"/>
    <w:rsid w:val="0079471F"/>
    <w:rsid w:val="00794735"/>
    <w:rsid w:val="0079473E"/>
    <w:rsid w:val="00794753"/>
    <w:rsid w:val="00794785"/>
    <w:rsid w:val="00794794"/>
    <w:rsid w:val="007947C1"/>
    <w:rsid w:val="007947C3"/>
    <w:rsid w:val="00794813"/>
    <w:rsid w:val="00794875"/>
    <w:rsid w:val="00794891"/>
    <w:rsid w:val="007948B2"/>
    <w:rsid w:val="007948C3"/>
    <w:rsid w:val="007948CF"/>
    <w:rsid w:val="007948DA"/>
    <w:rsid w:val="007948E7"/>
    <w:rsid w:val="00794959"/>
    <w:rsid w:val="00794A5F"/>
    <w:rsid w:val="00794A69"/>
    <w:rsid w:val="00794A76"/>
    <w:rsid w:val="00794A89"/>
    <w:rsid w:val="00794AFE"/>
    <w:rsid w:val="00794B0B"/>
    <w:rsid w:val="00794B0F"/>
    <w:rsid w:val="00794B29"/>
    <w:rsid w:val="00794B43"/>
    <w:rsid w:val="00794B75"/>
    <w:rsid w:val="00794BCF"/>
    <w:rsid w:val="00794C27"/>
    <w:rsid w:val="00794CB4"/>
    <w:rsid w:val="00794CE5"/>
    <w:rsid w:val="00794CF4"/>
    <w:rsid w:val="00794D22"/>
    <w:rsid w:val="00794D8F"/>
    <w:rsid w:val="00794DCA"/>
    <w:rsid w:val="00794DDE"/>
    <w:rsid w:val="00794EE7"/>
    <w:rsid w:val="00794EFE"/>
    <w:rsid w:val="00794F47"/>
    <w:rsid w:val="00794F59"/>
    <w:rsid w:val="00794FB7"/>
    <w:rsid w:val="00794FC9"/>
    <w:rsid w:val="00794FDB"/>
    <w:rsid w:val="00795038"/>
    <w:rsid w:val="00795051"/>
    <w:rsid w:val="00795055"/>
    <w:rsid w:val="0079506B"/>
    <w:rsid w:val="007950C1"/>
    <w:rsid w:val="00795143"/>
    <w:rsid w:val="00795171"/>
    <w:rsid w:val="00795188"/>
    <w:rsid w:val="00795195"/>
    <w:rsid w:val="00795197"/>
    <w:rsid w:val="007952C1"/>
    <w:rsid w:val="007952E6"/>
    <w:rsid w:val="007953B7"/>
    <w:rsid w:val="007953F3"/>
    <w:rsid w:val="00795406"/>
    <w:rsid w:val="00795458"/>
    <w:rsid w:val="0079549F"/>
    <w:rsid w:val="007954F2"/>
    <w:rsid w:val="00795501"/>
    <w:rsid w:val="007955DB"/>
    <w:rsid w:val="00795602"/>
    <w:rsid w:val="00795612"/>
    <w:rsid w:val="0079571C"/>
    <w:rsid w:val="0079572E"/>
    <w:rsid w:val="00795751"/>
    <w:rsid w:val="0079579F"/>
    <w:rsid w:val="0079586A"/>
    <w:rsid w:val="007958D1"/>
    <w:rsid w:val="007958EE"/>
    <w:rsid w:val="007958FF"/>
    <w:rsid w:val="00795971"/>
    <w:rsid w:val="00795A05"/>
    <w:rsid w:val="00795A78"/>
    <w:rsid w:val="00795B8B"/>
    <w:rsid w:val="00795BAE"/>
    <w:rsid w:val="00795C35"/>
    <w:rsid w:val="00795C53"/>
    <w:rsid w:val="00795C83"/>
    <w:rsid w:val="00795CC6"/>
    <w:rsid w:val="00795D60"/>
    <w:rsid w:val="00795D79"/>
    <w:rsid w:val="00795D99"/>
    <w:rsid w:val="00795DD1"/>
    <w:rsid w:val="00795E02"/>
    <w:rsid w:val="00795E0B"/>
    <w:rsid w:val="00795E55"/>
    <w:rsid w:val="00795ECD"/>
    <w:rsid w:val="00795F27"/>
    <w:rsid w:val="00795F28"/>
    <w:rsid w:val="00796056"/>
    <w:rsid w:val="0079608D"/>
    <w:rsid w:val="007960E3"/>
    <w:rsid w:val="007960EF"/>
    <w:rsid w:val="0079619B"/>
    <w:rsid w:val="007961A1"/>
    <w:rsid w:val="0079628B"/>
    <w:rsid w:val="007962D0"/>
    <w:rsid w:val="00796326"/>
    <w:rsid w:val="0079633D"/>
    <w:rsid w:val="00796359"/>
    <w:rsid w:val="0079647D"/>
    <w:rsid w:val="00796491"/>
    <w:rsid w:val="007964D9"/>
    <w:rsid w:val="00796556"/>
    <w:rsid w:val="0079655F"/>
    <w:rsid w:val="00796579"/>
    <w:rsid w:val="007965B2"/>
    <w:rsid w:val="007965E6"/>
    <w:rsid w:val="007965F8"/>
    <w:rsid w:val="00796626"/>
    <w:rsid w:val="00796637"/>
    <w:rsid w:val="00796673"/>
    <w:rsid w:val="00796710"/>
    <w:rsid w:val="007967C1"/>
    <w:rsid w:val="00796804"/>
    <w:rsid w:val="007968BB"/>
    <w:rsid w:val="0079693E"/>
    <w:rsid w:val="00796978"/>
    <w:rsid w:val="00796A29"/>
    <w:rsid w:val="00796A86"/>
    <w:rsid w:val="00796AF4"/>
    <w:rsid w:val="00796B36"/>
    <w:rsid w:val="00796B45"/>
    <w:rsid w:val="00796B81"/>
    <w:rsid w:val="00796CD5"/>
    <w:rsid w:val="00796D16"/>
    <w:rsid w:val="00796D1B"/>
    <w:rsid w:val="00796D7A"/>
    <w:rsid w:val="00796DE1"/>
    <w:rsid w:val="00796DEC"/>
    <w:rsid w:val="00796E70"/>
    <w:rsid w:val="00796EA9"/>
    <w:rsid w:val="00796EB4"/>
    <w:rsid w:val="00796F4B"/>
    <w:rsid w:val="00796F4D"/>
    <w:rsid w:val="00796FB1"/>
    <w:rsid w:val="00796FED"/>
    <w:rsid w:val="00796FFB"/>
    <w:rsid w:val="0079700A"/>
    <w:rsid w:val="00797136"/>
    <w:rsid w:val="00797138"/>
    <w:rsid w:val="007971AA"/>
    <w:rsid w:val="00797220"/>
    <w:rsid w:val="00797359"/>
    <w:rsid w:val="007973AF"/>
    <w:rsid w:val="007973BA"/>
    <w:rsid w:val="007973D8"/>
    <w:rsid w:val="007973F9"/>
    <w:rsid w:val="00797417"/>
    <w:rsid w:val="00797457"/>
    <w:rsid w:val="00797493"/>
    <w:rsid w:val="00797609"/>
    <w:rsid w:val="00797671"/>
    <w:rsid w:val="007976C9"/>
    <w:rsid w:val="007976CC"/>
    <w:rsid w:val="007976F4"/>
    <w:rsid w:val="0079773C"/>
    <w:rsid w:val="00797746"/>
    <w:rsid w:val="00797799"/>
    <w:rsid w:val="007977B6"/>
    <w:rsid w:val="007977C2"/>
    <w:rsid w:val="007977DB"/>
    <w:rsid w:val="007977F4"/>
    <w:rsid w:val="007977F6"/>
    <w:rsid w:val="00797836"/>
    <w:rsid w:val="00797838"/>
    <w:rsid w:val="007978E4"/>
    <w:rsid w:val="007978F0"/>
    <w:rsid w:val="0079793C"/>
    <w:rsid w:val="0079797F"/>
    <w:rsid w:val="0079798A"/>
    <w:rsid w:val="007979FE"/>
    <w:rsid w:val="00797A2D"/>
    <w:rsid w:val="00797AFE"/>
    <w:rsid w:val="00797B7E"/>
    <w:rsid w:val="00797BD9"/>
    <w:rsid w:val="00797C8A"/>
    <w:rsid w:val="00797C93"/>
    <w:rsid w:val="00797CF0"/>
    <w:rsid w:val="00797D24"/>
    <w:rsid w:val="00797D44"/>
    <w:rsid w:val="00797D7D"/>
    <w:rsid w:val="00797E3F"/>
    <w:rsid w:val="00797ECA"/>
    <w:rsid w:val="00797F1D"/>
    <w:rsid w:val="00797F30"/>
    <w:rsid w:val="00797F61"/>
    <w:rsid w:val="00797F83"/>
    <w:rsid w:val="007A0043"/>
    <w:rsid w:val="007A00DE"/>
    <w:rsid w:val="007A01AA"/>
    <w:rsid w:val="007A0217"/>
    <w:rsid w:val="007A0294"/>
    <w:rsid w:val="007A02A3"/>
    <w:rsid w:val="007A02AA"/>
    <w:rsid w:val="007A02D3"/>
    <w:rsid w:val="007A02FB"/>
    <w:rsid w:val="007A0370"/>
    <w:rsid w:val="007A044E"/>
    <w:rsid w:val="007A048A"/>
    <w:rsid w:val="007A049F"/>
    <w:rsid w:val="007A04D6"/>
    <w:rsid w:val="007A04DD"/>
    <w:rsid w:val="007A0575"/>
    <w:rsid w:val="007A067E"/>
    <w:rsid w:val="007A079B"/>
    <w:rsid w:val="007A07BE"/>
    <w:rsid w:val="007A07CF"/>
    <w:rsid w:val="007A0812"/>
    <w:rsid w:val="007A082F"/>
    <w:rsid w:val="007A086E"/>
    <w:rsid w:val="007A0878"/>
    <w:rsid w:val="007A0882"/>
    <w:rsid w:val="007A0950"/>
    <w:rsid w:val="007A0979"/>
    <w:rsid w:val="007A0996"/>
    <w:rsid w:val="007A0A0E"/>
    <w:rsid w:val="007A0A58"/>
    <w:rsid w:val="007A0A77"/>
    <w:rsid w:val="007A0A8A"/>
    <w:rsid w:val="007A0ACC"/>
    <w:rsid w:val="007A0AD0"/>
    <w:rsid w:val="007A0ADC"/>
    <w:rsid w:val="007A0ADD"/>
    <w:rsid w:val="007A0B5C"/>
    <w:rsid w:val="007A0B67"/>
    <w:rsid w:val="007A0C8B"/>
    <w:rsid w:val="007A0CAD"/>
    <w:rsid w:val="007A0CC3"/>
    <w:rsid w:val="007A0CE6"/>
    <w:rsid w:val="007A0CF3"/>
    <w:rsid w:val="007A0D87"/>
    <w:rsid w:val="007A0E13"/>
    <w:rsid w:val="007A0E1D"/>
    <w:rsid w:val="007A0E6A"/>
    <w:rsid w:val="007A0E6F"/>
    <w:rsid w:val="007A0E9B"/>
    <w:rsid w:val="007A0EAA"/>
    <w:rsid w:val="007A0EC2"/>
    <w:rsid w:val="007A0F65"/>
    <w:rsid w:val="007A0FCE"/>
    <w:rsid w:val="007A1007"/>
    <w:rsid w:val="007A1011"/>
    <w:rsid w:val="007A1036"/>
    <w:rsid w:val="007A10C0"/>
    <w:rsid w:val="007A10DC"/>
    <w:rsid w:val="007A11B9"/>
    <w:rsid w:val="007A12AE"/>
    <w:rsid w:val="007A12F8"/>
    <w:rsid w:val="007A134F"/>
    <w:rsid w:val="007A1360"/>
    <w:rsid w:val="007A13CE"/>
    <w:rsid w:val="007A1422"/>
    <w:rsid w:val="007A1424"/>
    <w:rsid w:val="007A1497"/>
    <w:rsid w:val="007A1557"/>
    <w:rsid w:val="007A15F3"/>
    <w:rsid w:val="007A166E"/>
    <w:rsid w:val="007A1791"/>
    <w:rsid w:val="007A1872"/>
    <w:rsid w:val="007A18C5"/>
    <w:rsid w:val="007A1915"/>
    <w:rsid w:val="007A192F"/>
    <w:rsid w:val="007A1975"/>
    <w:rsid w:val="007A19D1"/>
    <w:rsid w:val="007A19E9"/>
    <w:rsid w:val="007A1A37"/>
    <w:rsid w:val="007A1A3F"/>
    <w:rsid w:val="007A1A4F"/>
    <w:rsid w:val="007A1A85"/>
    <w:rsid w:val="007A1AAC"/>
    <w:rsid w:val="007A1AD8"/>
    <w:rsid w:val="007A1AE2"/>
    <w:rsid w:val="007A1B10"/>
    <w:rsid w:val="007A1B20"/>
    <w:rsid w:val="007A1B62"/>
    <w:rsid w:val="007A1BB7"/>
    <w:rsid w:val="007A1BBB"/>
    <w:rsid w:val="007A1BE9"/>
    <w:rsid w:val="007A1C7C"/>
    <w:rsid w:val="007A1CAD"/>
    <w:rsid w:val="007A1D3F"/>
    <w:rsid w:val="007A1D47"/>
    <w:rsid w:val="007A1D70"/>
    <w:rsid w:val="007A1DD8"/>
    <w:rsid w:val="007A1E44"/>
    <w:rsid w:val="007A1E84"/>
    <w:rsid w:val="007A1EAB"/>
    <w:rsid w:val="007A1EB4"/>
    <w:rsid w:val="007A1EED"/>
    <w:rsid w:val="007A2079"/>
    <w:rsid w:val="007A21C9"/>
    <w:rsid w:val="007A2238"/>
    <w:rsid w:val="007A22D9"/>
    <w:rsid w:val="007A22E7"/>
    <w:rsid w:val="007A2335"/>
    <w:rsid w:val="007A2357"/>
    <w:rsid w:val="007A238E"/>
    <w:rsid w:val="007A2402"/>
    <w:rsid w:val="007A2484"/>
    <w:rsid w:val="007A2518"/>
    <w:rsid w:val="007A2549"/>
    <w:rsid w:val="007A255B"/>
    <w:rsid w:val="007A2571"/>
    <w:rsid w:val="007A2683"/>
    <w:rsid w:val="007A26F0"/>
    <w:rsid w:val="007A27B8"/>
    <w:rsid w:val="007A2809"/>
    <w:rsid w:val="007A283A"/>
    <w:rsid w:val="007A283F"/>
    <w:rsid w:val="007A2851"/>
    <w:rsid w:val="007A28D5"/>
    <w:rsid w:val="007A28F5"/>
    <w:rsid w:val="007A2A3D"/>
    <w:rsid w:val="007A2A65"/>
    <w:rsid w:val="007A2ABE"/>
    <w:rsid w:val="007A2B0C"/>
    <w:rsid w:val="007A2B29"/>
    <w:rsid w:val="007A2B2A"/>
    <w:rsid w:val="007A2B84"/>
    <w:rsid w:val="007A2BFA"/>
    <w:rsid w:val="007A2C00"/>
    <w:rsid w:val="007A2C87"/>
    <w:rsid w:val="007A2CD5"/>
    <w:rsid w:val="007A2D4D"/>
    <w:rsid w:val="007A2D88"/>
    <w:rsid w:val="007A2E02"/>
    <w:rsid w:val="007A2E39"/>
    <w:rsid w:val="007A2EA4"/>
    <w:rsid w:val="007A2F3A"/>
    <w:rsid w:val="007A2F85"/>
    <w:rsid w:val="007A2F8D"/>
    <w:rsid w:val="007A30D6"/>
    <w:rsid w:val="007A30DC"/>
    <w:rsid w:val="007A30FF"/>
    <w:rsid w:val="007A31FF"/>
    <w:rsid w:val="007A322C"/>
    <w:rsid w:val="007A3292"/>
    <w:rsid w:val="007A334F"/>
    <w:rsid w:val="007A33BF"/>
    <w:rsid w:val="007A33E2"/>
    <w:rsid w:val="007A33E8"/>
    <w:rsid w:val="007A3437"/>
    <w:rsid w:val="007A3489"/>
    <w:rsid w:val="007A34C8"/>
    <w:rsid w:val="007A34CD"/>
    <w:rsid w:val="007A3543"/>
    <w:rsid w:val="007A3599"/>
    <w:rsid w:val="007A35AF"/>
    <w:rsid w:val="007A3629"/>
    <w:rsid w:val="007A3652"/>
    <w:rsid w:val="007A36A0"/>
    <w:rsid w:val="007A36F9"/>
    <w:rsid w:val="007A371C"/>
    <w:rsid w:val="007A3768"/>
    <w:rsid w:val="007A37A6"/>
    <w:rsid w:val="007A3870"/>
    <w:rsid w:val="007A3884"/>
    <w:rsid w:val="007A3894"/>
    <w:rsid w:val="007A3895"/>
    <w:rsid w:val="007A38B5"/>
    <w:rsid w:val="007A38BD"/>
    <w:rsid w:val="007A38C8"/>
    <w:rsid w:val="007A38DE"/>
    <w:rsid w:val="007A3908"/>
    <w:rsid w:val="007A3954"/>
    <w:rsid w:val="007A3BD7"/>
    <w:rsid w:val="007A3BE3"/>
    <w:rsid w:val="007A3BEE"/>
    <w:rsid w:val="007A3C20"/>
    <w:rsid w:val="007A3C39"/>
    <w:rsid w:val="007A3D00"/>
    <w:rsid w:val="007A3D57"/>
    <w:rsid w:val="007A3E1F"/>
    <w:rsid w:val="007A3E30"/>
    <w:rsid w:val="007A3EC3"/>
    <w:rsid w:val="007A3F6A"/>
    <w:rsid w:val="007A4058"/>
    <w:rsid w:val="007A405A"/>
    <w:rsid w:val="007A4066"/>
    <w:rsid w:val="007A40F8"/>
    <w:rsid w:val="007A40FB"/>
    <w:rsid w:val="007A4107"/>
    <w:rsid w:val="007A413E"/>
    <w:rsid w:val="007A4144"/>
    <w:rsid w:val="007A41F8"/>
    <w:rsid w:val="007A425B"/>
    <w:rsid w:val="007A4260"/>
    <w:rsid w:val="007A428C"/>
    <w:rsid w:val="007A42D1"/>
    <w:rsid w:val="007A42E8"/>
    <w:rsid w:val="007A43D6"/>
    <w:rsid w:val="007A451B"/>
    <w:rsid w:val="007A4541"/>
    <w:rsid w:val="007A4546"/>
    <w:rsid w:val="007A456A"/>
    <w:rsid w:val="007A4660"/>
    <w:rsid w:val="007A4667"/>
    <w:rsid w:val="007A46C0"/>
    <w:rsid w:val="007A4710"/>
    <w:rsid w:val="007A47E9"/>
    <w:rsid w:val="007A4806"/>
    <w:rsid w:val="007A48CB"/>
    <w:rsid w:val="007A48D6"/>
    <w:rsid w:val="007A4902"/>
    <w:rsid w:val="007A4908"/>
    <w:rsid w:val="007A4989"/>
    <w:rsid w:val="007A49FC"/>
    <w:rsid w:val="007A4A65"/>
    <w:rsid w:val="007A4AB0"/>
    <w:rsid w:val="007A4B9B"/>
    <w:rsid w:val="007A4BCD"/>
    <w:rsid w:val="007A4C53"/>
    <w:rsid w:val="007A4C72"/>
    <w:rsid w:val="007A4D67"/>
    <w:rsid w:val="007A4DA5"/>
    <w:rsid w:val="007A4EE7"/>
    <w:rsid w:val="007A4EEF"/>
    <w:rsid w:val="007A4F10"/>
    <w:rsid w:val="007A4F5F"/>
    <w:rsid w:val="007A5110"/>
    <w:rsid w:val="007A515B"/>
    <w:rsid w:val="007A5177"/>
    <w:rsid w:val="007A5234"/>
    <w:rsid w:val="007A524B"/>
    <w:rsid w:val="007A5343"/>
    <w:rsid w:val="007A536B"/>
    <w:rsid w:val="007A538D"/>
    <w:rsid w:val="007A538E"/>
    <w:rsid w:val="007A5398"/>
    <w:rsid w:val="007A543F"/>
    <w:rsid w:val="007A547A"/>
    <w:rsid w:val="007A5491"/>
    <w:rsid w:val="007A5547"/>
    <w:rsid w:val="007A556C"/>
    <w:rsid w:val="007A55F0"/>
    <w:rsid w:val="007A5602"/>
    <w:rsid w:val="007A564C"/>
    <w:rsid w:val="007A56AC"/>
    <w:rsid w:val="007A56EB"/>
    <w:rsid w:val="007A57C3"/>
    <w:rsid w:val="007A580A"/>
    <w:rsid w:val="007A582A"/>
    <w:rsid w:val="007A585A"/>
    <w:rsid w:val="007A5878"/>
    <w:rsid w:val="007A58A3"/>
    <w:rsid w:val="007A5970"/>
    <w:rsid w:val="007A59B2"/>
    <w:rsid w:val="007A59D8"/>
    <w:rsid w:val="007A59FC"/>
    <w:rsid w:val="007A5A91"/>
    <w:rsid w:val="007A5B13"/>
    <w:rsid w:val="007A5B27"/>
    <w:rsid w:val="007A5B73"/>
    <w:rsid w:val="007A5C9C"/>
    <w:rsid w:val="007A5C9F"/>
    <w:rsid w:val="007A5CA1"/>
    <w:rsid w:val="007A5D40"/>
    <w:rsid w:val="007A5D6C"/>
    <w:rsid w:val="007A5D6D"/>
    <w:rsid w:val="007A5D77"/>
    <w:rsid w:val="007A5DF1"/>
    <w:rsid w:val="007A5E18"/>
    <w:rsid w:val="007A5E36"/>
    <w:rsid w:val="007A5E51"/>
    <w:rsid w:val="007A5E96"/>
    <w:rsid w:val="007A5F06"/>
    <w:rsid w:val="007A5F31"/>
    <w:rsid w:val="007A6023"/>
    <w:rsid w:val="007A6061"/>
    <w:rsid w:val="007A6075"/>
    <w:rsid w:val="007A607B"/>
    <w:rsid w:val="007A60B1"/>
    <w:rsid w:val="007A61B9"/>
    <w:rsid w:val="007A61C5"/>
    <w:rsid w:val="007A6261"/>
    <w:rsid w:val="007A6281"/>
    <w:rsid w:val="007A6291"/>
    <w:rsid w:val="007A6337"/>
    <w:rsid w:val="007A6341"/>
    <w:rsid w:val="007A634F"/>
    <w:rsid w:val="007A644F"/>
    <w:rsid w:val="007A6456"/>
    <w:rsid w:val="007A6495"/>
    <w:rsid w:val="007A657A"/>
    <w:rsid w:val="007A6594"/>
    <w:rsid w:val="007A6646"/>
    <w:rsid w:val="007A668B"/>
    <w:rsid w:val="007A66DC"/>
    <w:rsid w:val="007A6731"/>
    <w:rsid w:val="007A67E2"/>
    <w:rsid w:val="007A68B5"/>
    <w:rsid w:val="007A68CE"/>
    <w:rsid w:val="007A68D2"/>
    <w:rsid w:val="007A6953"/>
    <w:rsid w:val="007A6986"/>
    <w:rsid w:val="007A6A41"/>
    <w:rsid w:val="007A6AAB"/>
    <w:rsid w:val="007A6AAD"/>
    <w:rsid w:val="007A6ACC"/>
    <w:rsid w:val="007A6C08"/>
    <w:rsid w:val="007A6C30"/>
    <w:rsid w:val="007A6C33"/>
    <w:rsid w:val="007A6C7C"/>
    <w:rsid w:val="007A6CA8"/>
    <w:rsid w:val="007A6CD2"/>
    <w:rsid w:val="007A6CEB"/>
    <w:rsid w:val="007A6D50"/>
    <w:rsid w:val="007A6F7A"/>
    <w:rsid w:val="007A6F7D"/>
    <w:rsid w:val="007A6F83"/>
    <w:rsid w:val="007A6FC4"/>
    <w:rsid w:val="007A70AB"/>
    <w:rsid w:val="007A7240"/>
    <w:rsid w:val="007A729D"/>
    <w:rsid w:val="007A72FC"/>
    <w:rsid w:val="007A735A"/>
    <w:rsid w:val="007A739D"/>
    <w:rsid w:val="007A73CB"/>
    <w:rsid w:val="007A7423"/>
    <w:rsid w:val="007A749C"/>
    <w:rsid w:val="007A756B"/>
    <w:rsid w:val="007A75B2"/>
    <w:rsid w:val="007A75D8"/>
    <w:rsid w:val="007A75EE"/>
    <w:rsid w:val="007A76C7"/>
    <w:rsid w:val="007A7721"/>
    <w:rsid w:val="007A7821"/>
    <w:rsid w:val="007A7867"/>
    <w:rsid w:val="007A789C"/>
    <w:rsid w:val="007A78BC"/>
    <w:rsid w:val="007A7956"/>
    <w:rsid w:val="007A7968"/>
    <w:rsid w:val="007A7977"/>
    <w:rsid w:val="007A79DD"/>
    <w:rsid w:val="007A7A0D"/>
    <w:rsid w:val="007A7ABB"/>
    <w:rsid w:val="007A7AED"/>
    <w:rsid w:val="007A7B17"/>
    <w:rsid w:val="007A7B83"/>
    <w:rsid w:val="007A7C55"/>
    <w:rsid w:val="007A7C64"/>
    <w:rsid w:val="007A7CAE"/>
    <w:rsid w:val="007A7D0D"/>
    <w:rsid w:val="007A7D40"/>
    <w:rsid w:val="007A7E28"/>
    <w:rsid w:val="007A7E2F"/>
    <w:rsid w:val="007A7E50"/>
    <w:rsid w:val="007A7EB6"/>
    <w:rsid w:val="007A7F10"/>
    <w:rsid w:val="007B0025"/>
    <w:rsid w:val="007B0033"/>
    <w:rsid w:val="007B006D"/>
    <w:rsid w:val="007B0089"/>
    <w:rsid w:val="007B00E0"/>
    <w:rsid w:val="007B010A"/>
    <w:rsid w:val="007B018F"/>
    <w:rsid w:val="007B0296"/>
    <w:rsid w:val="007B0320"/>
    <w:rsid w:val="007B03E2"/>
    <w:rsid w:val="007B0482"/>
    <w:rsid w:val="007B04A7"/>
    <w:rsid w:val="007B04AC"/>
    <w:rsid w:val="007B04CF"/>
    <w:rsid w:val="007B052B"/>
    <w:rsid w:val="007B0538"/>
    <w:rsid w:val="007B0561"/>
    <w:rsid w:val="007B0611"/>
    <w:rsid w:val="007B066F"/>
    <w:rsid w:val="007B07A1"/>
    <w:rsid w:val="007B0833"/>
    <w:rsid w:val="007B087A"/>
    <w:rsid w:val="007B0894"/>
    <w:rsid w:val="007B08D3"/>
    <w:rsid w:val="007B0994"/>
    <w:rsid w:val="007B099E"/>
    <w:rsid w:val="007B0A62"/>
    <w:rsid w:val="007B0AC2"/>
    <w:rsid w:val="007B0AF3"/>
    <w:rsid w:val="007B0B01"/>
    <w:rsid w:val="007B0B39"/>
    <w:rsid w:val="007B0B99"/>
    <w:rsid w:val="007B0C54"/>
    <w:rsid w:val="007B0C58"/>
    <w:rsid w:val="007B0CA6"/>
    <w:rsid w:val="007B0CA9"/>
    <w:rsid w:val="007B0CD0"/>
    <w:rsid w:val="007B0CF9"/>
    <w:rsid w:val="007B0D22"/>
    <w:rsid w:val="007B0D58"/>
    <w:rsid w:val="007B0D75"/>
    <w:rsid w:val="007B0E96"/>
    <w:rsid w:val="007B0F94"/>
    <w:rsid w:val="007B102F"/>
    <w:rsid w:val="007B10A7"/>
    <w:rsid w:val="007B118A"/>
    <w:rsid w:val="007B11EF"/>
    <w:rsid w:val="007B11F0"/>
    <w:rsid w:val="007B123F"/>
    <w:rsid w:val="007B12CA"/>
    <w:rsid w:val="007B12EF"/>
    <w:rsid w:val="007B12FF"/>
    <w:rsid w:val="007B134B"/>
    <w:rsid w:val="007B1414"/>
    <w:rsid w:val="007B142E"/>
    <w:rsid w:val="007B14D5"/>
    <w:rsid w:val="007B1507"/>
    <w:rsid w:val="007B1562"/>
    <w:rsid w:val="007B15B3"/>
    <w:rsid w:val="007B1665"/>
    <w:rsid w:val="007B16C2"/>
    <w:rsid w:val="007B16D3"/>
    <w:rsid w:val="007B170D"/>
    <w:rsid w:val="007B17F5"/>
    <w:rsid w:val="007B17FD"/>
    <w:rsid w:val="007B1812"/>
    <w:rsid w:val="007B1828"/>
    <w:rsid w:val="007B1874"/>
    <w:rsid w:val="007B1882"/>
    <w:rsid w:val="007B18D7"/>
    <w:rsid w:val="007B18EC"/>
    <w:rsid w:val="007B1908"/>
    <w:rsid w:val="007B196B"/>
    <w:rsid w:val="007B198F"/>
    <w:rsid w:val="007B1A20"/>
    <w:rsid w:val="007B1A2E"/>
    <w:rsid w:val="007B1A45"/>
    <w:rsid w:val="007B1A4A"/>
    <w:rsid w:val="007B1AA5"/>
    <w:rsid w:val="007B1B04"/>
    <w:rsid w:val="007B1BB4"/>
    <w:rsid w:val="007B1BD5"/>
    <w:rsid w:val="007B1BF5"/>
    <w:rsid w:val="007B1C29"/>
    <w:rsid w:val="007B1C4F"/>
    <w:rsid w:val="007B1C63"/>
    <w:rsid w:val="007B1C68"/>
    <w:rsid w:val="007B1C77"/>
    <w:rsid w:val="007B1CA6"/>
    <w:rsid w:val="007B1CD2"/>
    <w:rsid w:val="007B1CE8"/>
    <w:rsid w:val="007B1D32"/>
    <w:rsid w:val="007B1D74"/>
    <w:rsid w:val="007B1DA7"/>
    <w:rsid w:val="007B1E85"/>
    <w:rsid w:val="007B1EC8"/>
    <w:rsid w:val="007B1F42"/>
    <w:rsid w:val="007B1F64"/>
    <w:rsid w:val="007B1FA0"/>
    <w:rsid w:val="007B200F"/>
    <w:rsid w:val="007B206F"/>
    <w:rsid w:val="007B2080"/>
    <w:rsid w:val="007B20DC"/>
    <w:rsid w:val="007B211B"/>
    <w:rsid w:val="007B213E"/>
    <w:rsid w:val="007B216A"/>
    <w:rsid w:val="007B21B1"/>
    <w:rsid w:val="007B21C2"/>
    <w:rsid w:val="007B2344"/>
    <w:rsid w:val="007B238C"/>
    <w:rsid w:val="007B23D9"/>
    <w:rsid w:val="007B2413"/>
    <w:rsid w:val="007B2495"/>
    <w:rsid w:val="007B24B5"/>
    <w:rsid w:val="007B24FC"/>
    <w:rsid w:val="007B253F"/>
    <w:rsid w:val="007B2593"/>
    <w:rsid w:val="007B2611"/>
    <w:rsid w:val="007B2658"/>
    <w:rsid w:val="007B26D5"/>
    <w:rsid w:val="007B2712"/>
    <w:rsid w:val="007B27C5"/>
    <w:rsid w:val="007B2850"/>
    <w:rsid w:val="007B28B2"/>
    <w:rsid w:val="007B28CB"/>
    <w:rsid w:val="007B2A25"/>
    <w:rsid w:val="007B2ABE"/>
    <w:rsid w:val="007B2ADA"/>
    <w:rsid w:val="007B2AE3"/>
    <w:rsid w:val="007B2B48"/>
    <w:rsid w:val="007B2BAE"/>
    <w:rsid w:val="007B2BDD"/>
    <w:rsid w:val="007B2BF5"/>
    <w:rsid w:val="007B2CA5"/>
    <w:rsid w:val="007B2CB6"/>
    <w:rsid w:val="007B2CF5"/>
    <w:rsid w:val="007B2D0D"/>
    <w:rsid w:val="007B2D2A"/>
    <w:rsid w:val="007B2D47"/>
    <w:rsid w:val="007B2E56"/>
    <w:rsid w:val="007B2F11"/>
    <w:rsid w:val="007B2FFB"/>
    <w:rsid w:val="007B302C"/>
    <w:rsid w:val="007B302E"/>
    <w:rsid w:val="007B3085"/>
    <w:rsid w:val="007B3128"/>
    <w:rsid w:val="007B31E1"/>
    <w:rsid w:val="007B32EC"/>
    <w:rsid w:val="007B3311"/>
    <w:rsid w:val="007B3334"/>
    <w:rsid w:val="007B334F"/>
    <w:rsid w:val="007B335E"/>
    <w:rsid w:val="007B3384"/>
    <w:rsid w:val="007B33A3"/>
    <w:rsid w:val="007B3454"/>
    <w:rsid w:val="007B34BC"/>
    <w:rsid w:val="007B354E"/>
    <w:rsid w:val="007B3556"/>
    <w:rsid w:val="007B3564"/>
    <w:rsid w:val="007B35BB"/>
    <w:rsid w:val="007B35E5"/>
    <w:rsid w:val="007B360E"/>
    <w:rsid w:val="007B363F"/>
    <w:rsid w:val="007B3648"/>
    <w:rsid w:val="007B3731"/>
    <w:rsid w:val="007B379B"/>
    <w:rsid w:val="007B37F2"/>
    <w:rsid w:val="007B3914"/>
    <w:rsid w:val="007B3923"/>
    <w:rsid w:val="007B3972"/>
    <w:rsid w:val="007B39A8"/>
    <w:rsid w:val="007B39DE"/>
    <w:rsid w:val="007B3A41"/>
    <w:rsid w:val="007B3AE5"/>
    <w:rsid w:val="007B3B5A"/>
    <w:rsid w:val="007B3B81"/>
    <w:rsid w:val="007B3B9F"/>
    <w:rsid w:val="007B3BAD"/>
    <w:rsid w:val="007B3BB9"/>
    <w:rsid w:val="007B3C99"/>
    <w:rsid w:val="007B3D3B"/>
    <w:rsid w:val="007B3D49"/>
    <w:rsid w:val="007B3D83"/>
    <w:rsid w:val="007B3E72"/>
    <w:rsid w:val="007B3EFF"/>
    <w:rsid w:val="007B3F25"/>
    <w:rsid w:val="007B4055"/>
    <w:rsid w:val="007B406F"/>
    <w:rsid w:val="007B40E9"/>
    <w:rsid w:val="007B40FA"/>
    <w:rsid w:val="007B4164"/>
    <w:rsid w:val="007B41BC"/>
    <w:rsid w:val="007B41E5"/>
    <w:rsid w:val="007B41F0"/>
    <w:rsid w:val="007B41FC"/>
    <w:rsid w:val="007B4244"/>
    <w:rsid w:val="007B4267"/>
    <w:rsid w:val="007B432D"/>
    <w:rsid w:val="007B4339"/>
    <w:rsid w:val="007B43BD"/>
    <w:rsid w:val="007B442F"/>
    <w:rsid w:val="007B4462"/>
    <w:rsid w:val="007B44A2"/>
    <w:rsid w:val="007B44BA"/>
    <w:rsid w:val="007B44BF"/>
    <w:rsid w:val="007B44DD"/>
    <w:rsid w:val="007B44F6"/>
    <w:rsid w:val="007B4540"/>
    <w:rsid w:val="007B45B7"/>
    <w:rsid w:val="007B45C0"/>
    <w:rsid w:val="007B4618"/>
    <w:rsid w:val="007B46BF"/>
    <w:rsid w:val="007B46D1"/>
    <w:rsid w:val="007B47A5"/>
    <w:rsid w:val="007B47B6"/>
    <w:rsid w:val="007B47F3"/>
    <w:rsid w:val="007B480D"/>
    <w:rsid w:val="007B4874"/>
    <w:rsid w:val="007B4967"/>
    <w:rsid w:val="007B49F1"/>
    <w:rsid w:val="007B4B0C"/>
    <w:rsid w:val="007B4B51"/>
    <w:rsid w:val="007B4B97"/>
    <w:rsid w:val="007B4BD3"/>
    <w:rsid w:val="007B4C0E"/>
    <w:rsid w:val="007B4C6B"/>
    <w:rsid w:val="007B4D39"/>
    <w:rsid w:val="007B4DC7"/>
    <w:rsid w:val="007B4E47"/>
    <w:rsid w:val="007B4E61"/>
    <w:rsid w:val="007B4EB7"/>
    <w:rsid w:val="007B4F47"/>
    <w:rsid w:val="007B4F89"/>
    <w:rsid w:val="007B4FB4"/>
    <w:rsid w:val="007B5012"/>
    <w:rsid w:val="007B503F"/>
    <w:rsid w:val="007B504D"/>
    <w:rsid w:val="007B513A"/>
    <w:rsid w:val="007B518F"/>
    <w:rsid w:val="007B51D1"/>
    <w:rsid w:val="007B5276"/>
    <w:rsid w:val="007B5282"/>
    <w:rsid w:val="007B5290"/>
    <w:rsid w:val="007B5294"/>
    <w:rsid w:val="007B52CC"/>
    <w:rsid w:val="007B52D5"/>
    <w:rsid w:val="007B533E"/>
    <w:rsid w:val="007B5369"/>
    <w:rsid w:val="007B5385"/>
    <w:rsid w:val="007B5388"/>
    <w:rsid w:val="007B5394"/>
    <w:rsid w:val="007B53E8"/>
    <w:rsid w:val="007B5407"/>
    <w:rsid w:val="007B547E"/>
    <w:rsid w:val="007B5505"/>
    <w:rsid w:val="007B556E"/>
    <w:rsid w:val="007B5581"/>
    <w:rsid w:val="007B55BE"/>
    <w:rsid w:val="007B567E"/>
    <w:rsid w:val="007B5689"/>
    <w:rsid w:val="007B56C6"/>
    <w:rsid w:val="007B56F4"/>
    <w:rsid w:val="007B5769"/>
    <w:rsid w:val="007B577C"/>
    <w:rsid w:val="007B5826"/>
    <w:rsid w:val="007B5840"/>
    <w:rsid w:val="007B5877"/>
    <w:rsid w:val="007B5905"/>
    <w:rsid w:val="007B5997"/>
    <w:rsid w:val="007B59AD"/>
    <w:rsid w:val="007B5A50"/>
    <w:rsid w:val="007B5B42"/>
    <w:rsid w:val="007B5BAD"/>
    <w:rsid w:val="007B5C42"/>
    <w:rsid w:val="007B5CBE"/>
    <w:rsid w:val="007B5D18"/>
    <w:rsid w:val="007B5D6A"/>
    <w:rsid w:val="007B5DB5"/>
    <w:rsid w:val="007B5DB9"/>
    <w:rsid w:val="007B5DE5"/>
    <w:rsid w:val="007B5DF6"/>
    <w:rsid w:val="007B5E75"/>
    <w:rsid w:val="007B603C"/>
    <w:rsid w:val="007B6059"/>
    <w:rsid w:val="007B61CD"/>
    <w:rsid w:val="007B620A"/>
    <w:rsid w:val="007B620C"/>
    <w:rsid w:val="007B6294"/>
    <w:rsid w:val="007B62C4"/>
    <w:rsid w:val="007B6349"/>
    <w:rsid w:val="007B637B"/>
    <w:rsid w:val="007B6415"/>
    <w:rsid w:val="007B6418"/>
    <w:rsid w:val="007B6482"/>
    <w:rsid w:val="007B64C7"/>
    <w:rsid w:val="007B654C"/>
    <w:rsid w:val="007B6570"/>
    <w:rsid w:val="007B65BD"/>
    <w:rsid w:val="007B6620"/>
    <w:rsid w:val="007B662F"/>
    <w:rsid w:val="007B6695"/>
    <w:rsid w:val="007B6697"/>
    <w:rsid w:val="007B66A7"/>
    <w:rsid w:val="007B677C"/>
    <w:rsid w:val="007B67C3"/>
    <w:rsid w:val="007B67C8"/>
    <w:rsid w:val="007B6808"/>
    <w:rsid w:val="007B681A"/>
    <w:rsid w:val="007B6831"/>
    <w:rsid w:val="007B683B"/>
    <w:rsid w:val="007B6866"/>
    <w:rsid w:val="007B6872"/>
    <w:rsid w:val="007B6905"/>
    <w:rsid w:val="007B6971"/>
    <w:rsid w:val="007B69A9"/>
    <w:rsid w:val="007B6A41"/>
    <w:rsid w:val="007B6AD6"/>
    <w:rsid w:val="007B6B05"/>
    <w:rsid w:val="007B6B17"/>
    <w:rsid w:val="007B6CD1"/>
    <w:rsid w:val="007B6CF1"/>
    <w:rsid w:val="007B6D51"/>
    <w:rsid w:val="007B6D74"/>
    <w:rsid w:val="007B6D81"/>
    <w:rsid w:val="007B6D97"/>
    <w:rsid w:val="007B6D9D"/>
    <w:rsid w:val="007B6E3B"/>
    <w:rsid w:val="007B6F1A"/>
    <w:rsid w:val="007B6FAF"/>
    <w:rsid w:val="007B7025"/>
    <w:rsid w:val="007B709C"/>
    <w:rsid w:val="007B70A5"/>
    <w:rsid w:val="007B70BE"/>
    <w:rsid w:val="007B70DF"/>
    <w:rsid w:val="007B71CB"/>
    <w:rsid w:val="007B7224"/>
    <w:rsid w:val="007B724E"/>
    <w:rsid w:val="007B7426"/>
    <w:rsid w:val="007B7485"/>
    <w:rsid w:val="007B74E6"/>
    <w:rsid w:val="007B754A"/>
    <w:rsid w:val="007B75C3"/>
    <w:rsid w:val="007B75F1"/>
    <w:rsid w:val="007B760D"/>
    <w:rsid w:val="007B7627"/>
    <w:rsid w:val="007B7707"/>
    <w:rsid w:val="007B77EB"/>
    <w:rsid w:val="007B77ED"/>
    <w:rsid w:val="007B783C"/>
    <w:rsid w:val="007B7866"/>
    <w:rsid w:val="007B7869"/>
    <w:rsid w:val="007B7884"/>
    <w:rsid w:val="007B78BA"/>
    <w:rsid w:val="007B791A"/>
    <w:rsid w:val="007B7975"/>
    <w:rsid w:val="007B79E0"/>
    <w:rsid w:val="007B7A2C"/>
    <w:rsid w:val="007B7A94"/>
    <w:rsid w:val="007B7AD3"/>
    <w:rsid w:val="007B7AEE"/>
    <w:rsid w:val="007B7B0E"/>
    <w:rsid w:val="007B7B7C"/>
    <w:rsid w:val="007B7C49"/>
    <w:rsid w:val="007B7C53"/>
    <w:rsid w:val="007B7CB1"/>
    <w:rsid w:val="007B7CCD"/>
    <w:rsid w:val="007B7CEB"/>
    <w:rsid w:val="007B7D07"/>
    <w:rsid w:val="007B7DBE"/>
    <w:rsid w:val="007B7DF1"/>
    <w:rsid w:val="007B7E22"/>
    <w:rsid w:val="007B7E72"/>
    <w:rsid w:val="007B7EF4"/>
    <w:rsid w:val="007B7F31"/>
    <w:rsid w:val="007B7F7F"/>
    <w:rsid w:val="007B7FAA"/>
    <w:rsid w:val="007C0017"/>
    <w:rsid w:val="007C00B4"/>
    <w:rsid w:val="007C00B5"/>
    <w:rsid w:val="007C01D2"/>
    <w:rsid w:val="007C01E0"/>
    <w:rsid w:val="007C028B"/>
    <w:rsid w:val="007C02BB"/>
    <w:rsid w:val="007C02D3"/>
    <w:rsid w:val="007C02DF"/>
    <w:rsid w:val="007C031C"/>
    <w:rsid w:val="007C0371"/>
    <w:rsid w:val="007C038A"/>
    <w:rsid w:val="007C03A0"/>
    <w:rsid w:val="007C03CB"/>
    <w:rsid w:val="007C04FA"/>
    <w:rsid w:val="007C04FE"/>
    <w:rsid w:val="007C0599"/>
    <w:rsid w:val="007C05C3"/>
    <w:rsid w:val="007C060C"/>
    <w:rsid w:val="007C06E8"/>
    <w:rsid w:val="007C0790"/>
    <w:rsid w:val="007C0795"/>
    <w:rsid w:val="007C081E"/>
    <w:rsid w:val="007C0820"/>
    <w:rsid w:val="007C0825"/>
    <w:rsid w:val="007C0826"/>
    <w:rsid w:val="007C084A"/>
    <w:rsid w:val="007C0899"/>
    <w:rsid w:val="007C08A5"/>
    <w:rsid w:val="007C08D8"/>
    <w:rsid w:val="007C08DC"/>
    <w:rsid w:val="007C0936"/>
    <w:rsid w:val="007C095F"/>
    <w:rsid w:val="007C0A37"/>
    <w:rsid w:val="007C0A9D"/>
    <w:rsid w:val="007C0AAF"/>
    <w:rsid w:val="007C0B29"/>
    <w:rsid w:val="007C0C2A"/>
    <w:rsid w:val="007C0C2E"/>
    <w:rsid w:val="007C0CCD"/>
    <w:rsid w:val="007C0DBB"/>
    <w:rsid w:val="007C0DD8"/>
    <w:rsid w:val="007C0DE0"/>
    <w:rsid w:val="007C0E34"/>
    <w:rsid w:val="007C0E5D"/>
    <w:rsid w:val="007C0E67"/>
    <w:rsid w:val="007C0EC5"/>
    <w:rsid w:val="007C0EFE"/>
    <w:rsid w:val="007C0F0C"/>
    <w:rsid w:val="007C0F91"/>
    <w:rsid w:val="007C1027"/>
    <w:rsid w:val="007C1084"/>
    <w:rsid w:val="007C10AD"/>
    <w:rsid w:val="007C1112"/>
    <w:rsid w:val="007C117E"/>
    <w:rsid w:val="007C11BA"/>
    <w:rsid w:val="007C11C7"/>
    <w:rsid w:val="007C11DA"/>
    <w:rsid w:val="007C11E4"/>
    <w:rsid w:val="007C1205"/>
    <w:rsid w:val="007C1226"/>
    <w:rsid w:val="007C1232"/>
    <w:rsid w:val="007C12AF"/>
    <w:rsid w:val="007C12B1"/>
    <w:rsid w:val="007C12EC"/>
    <w:rsid w:val="007C12F1"/>
    <w:rsid w:val="007C134A"/>
    <w:rsid w:val="007C134C"/>
    <w:rsid w:val="007C139F"/>
    <w:rsid w:val="007C13F3"/>
    <w:rsid w:val="007C140B"/>
    <w:rsid w:val="007C1416"/>
    <w:rsid w:val="007C142E"/>
    <w:rsid w:val="007C146E"/>
    <w:rsid w:val="007C1499"/>
    <w:rsid w:val="007C14AD"/>
    <w:rsid w:val="007C14CF"/>
    <w:rsid w:val="007C1648"/>
    <w:rsid w:val="007C1661"/>
    <w:rsid w:val="007C16E4"/>
    <w:rsid w:val="007C1758"/>
    <w:rsid w:val="007C1827"/>
    <w:rsid w:val="007C18FD"/>
    <w:rsid w:val="007C1947"/>
    <w:rsid w:val="007C194F"/>
    <w:rsid w:val="007C1956"/>
    <w:rsid w:val="007C1AA2"/>
    <w:rsid w:val="007C1ABA"/>
    <w:rsid w:val="007C1C61"/>
    <w:rsid w:val="007C1CD4"/>
    <w:rsid w:val="007C1D0F"/>
    <w:rsid w:val="007C1D72"/>
    <w:rsid w:val="007C1DA1"/>
    <w:rsid w:val="007C1DBB"/>
    <w:rsid w:val="007C1FA7"/>
    <w:rsid w:val="007C2011"/>
    <w:rsid w:val="007C207F"/>
    <w:rsid w:val="007C20B7"/>
    <w:rsid w:val="007C213D"/>
    <w:rsid w:val="007C220A"/>
    <w:rsid w:val="007C2210"/>
    <w:rsid w:val="007C222E"/>
    <w:rsid w:val="007C2234"/>
    <w:rsid w:val="007C2266"/>
    <w:rsid w:val="007C22B9"/>
    <w:rsid w:val="007C2369"/>
    <w:rsid w:val="007C23CF"/>
    <w:rsid w:val="007C246B"/>
    <w:rsid w:val="007C2588"/>
    <w:rsid w:val="007C2589"/>
    <w:rsid w:val="007C258D"/>
    <w:rsid w:val="007C259F"/>
    <w:rsid w:val="007C25B0"/>
    <w:rsid w:val="007C2648"/>
    <w:rsid w:val="007C2680"/>
    <w:rsid w:val="007C26CD"/>
    <w:rsid w:val="007C273A"/>
    <w:rsid w:val="007C2748"/>
    <w:rsid w:val="007C2756"/>
    <w:rsid w:val="007C2787"/>
    <w:rsid w:val="007C27E4"/>
    <w:rsid w:val="007C27EE"/>
    <w:rsid w:val="007C288F"/>
    <w:rsid w:val="007C28F0"/>
    <w:rsid w:val="007C294E"/>
    <w:rsid w:val="007C295D"/>
    <w:rsid w:val="007C2966"/>
    <w:rsid w:val="007C296B"/>
    <w:rsid w:val="007C29BA"/>
    <w:rsid w:val="007C29CC"/>
    <w:rsid w:val="007C2A37"/>
    <w:rsid w:val="007C2AC8"/>
    <w:rsid w:val="007C2AD9"/>
    <w:rsid w:val="007C2B28"/>
    <w:rsid w:val="007C2B4A"/>
    <w:rsid w:val="007C2BEA"/>
    <w:rsid w:val="007C2C27"/>
    <w:rsid w:val="007C2C75"/>
    <w:rsid w:val="007C2D05"/>
    <w:rsid w:val="007C2D46"/>
    <w:rsid w:val="007C2D5C"/>
    <w:rsid w:val="007C2DAC"/>
    <w:rsid w:val="007C2DE3"/>
    <w:rsid w:val="007C2DF5"/>
    <w:rsid w:val="007C2EB8"/>
    <w:rsid w:val="007C2F17"/>
    <w:rsid w:val="007C2F81"/>
    <w:rsid w:val="007C2FB9"/>
    <w:rsid w:val="007C2FBC"/>
    <w:rsid w:val="007C2FDA"/>
    <w:rsid w:val="007C30D9"/>
    <w:rsid w:val="007C3134"/>
    <w:rsid w:val="007C3149"/>
    <w:rsid w:val="007C3153"/>
    <w:rsid w:val="007C32C2"/>
    <w:rsid w:val="007C32DA"/>
    <w:rsid w:val="007C32FC"/>
    <w:rsid w:val="007C3364"/>
    <w:rsid w:val="007C336A"/>
    <w:rsid w:val="007C338E"/>
    <w:rsid w:val="007C3395"/>
    <w:rsid w:val="007C340D"/>
    <w:rsid w:val="007C342C"/>
    <w:rsid w:val="007C345A"/>
    <w:rsid w:val="007C34F8"/>
    <w:rsid w:val="007C34FA"/>
    <w:rsid w:val="007C3508"/>
    <w:rsid w:val="007C355A"/>
    <w:rsid w:val="007C357E"/>
    <w:rsid w:val="007C35A7"/>
    <w:rsid w:val="007C35AD"/>
    <w:rsid w:val="007C35F5"/>
    <w:rsid w:val="007C3674"/>
    <w:rsid w:val="007C36AB"/>
    <w:rsid w:val="007C3777"/>
    <w:rsid w:val="007C378B"/>
    <w:rsid w:val="007C37F4"/>
    <w:rsid w:val="007C3820"/>
    <w:rsid w:val="007C383F"/>
    <w:rsid w:val="007C388F"/>
    <w:rsid w:val="007C38CF"/>
    <w:rsid w:val="007C38E2"/>
    <w:rsid w:val="007C38E8"/>
    <w:rsid w:val="007C3921"/>
    <w:rsid w:val="007C39CB"/>
    <w:rsid w:val="007C39F0"/>
    <w:rsid w:val="007C3A37"/>
    <w:rsid w:val="007C3AC8"/>
    <w:rsid w:val="007C3B15"/>
    <w:rsid w:val="007C3BA5"/>
    <w:rsid w:val="007C3C03"/>
    <w:rsid w:val="007C3C0B"/>
    <w:rsid w:val="007C3C7B"/>
    <w:rsid w:val="007C3C82"/>
    <w:rsid w:val="007C3CF9"/>
    <w:rsid w:val="007C3D94"/>
    <w:rsid w:val="007C3E46"/>
    <w:rsid w:val="007C3E4D"/>
    <w:rsid w:val="007C3E5C"/>
    <w:rsid w:val="007C3EB6"/>
    <w:rsid w:val="007C3ED0"/>
    <w:rsid w:val="007C3F19"/>
    <w:rsid w:val="007C3FC1"/>
    <w:rsid w:val="007C3FDF"/>
    <w:rsid w:val="007C4029"/>
    <w:rsid w:val="007C402A"/>
    <w:rsid w:val="007C4051"/>
    <w:rsid w:val="007C40A4"/>
    <w:rsid w:val="007C4118"/>
    <w:rsid w:val="007C419D"/>
    <w:rsid w:val="007C4233"/>
    <w:rsid w:val="007C4265"/>
    <w:rsid w:val="007C429B"/>
    <w:rsid w:val="007C42C1"/>
    <w:rsid w:val="007C4331"/>
    <w:rsid w:val="007C43D6"/>
    <w:rsid w:val="007C4417"/>
    <w:rsid w:val="007C4444"/>
    <w:rsid w:val="007C456A"/>
    <w:rsid w:val="007C457F"/>
    <w:rsid w:val="007C45AF"/>
    <w:rsid w:val="007C45BD"/>
    <w:rsid w:val="007C45E9"/>
    <w:rsid w:val="007C45F1"/>
    <w:rsid w:val="007C46C1"/>
    <w:rsid w:val="007C47ED"/>
    <w:rsid w:val="007C47F6"/>
    <w:rsid w:val="007C4810"/>
    <w:rsid w:val="007C484D"/>
    <w:rsid w:val="007C4897"/>
    <w:rsid w:val="007C48C0"/>
    <w:rsid w:val="007C4900"/>
    <w:rsid w:val="007C4964"/>
    <w:rsid w:val="007C4A6D"/>
    <w:rsid w:val="007C4AF4"/>
    <w:rsid w:val="007C4B1D"/>
    <w:rsid w:val="007C4B76"/>
    <w:rsid w:val="007C4B94"/>
    <w:rsid w:val="007C4BA0"/>
    <w:rsid w:val="007C4BBD"/>
    <w:rsid w:val="007C4C83"/>
    <w:rsid w:val="007C4D58"/>
    <w:rsid w:val="007C4E12"/>
    <w:rsid w:val="007C4E14"/>
    <w:rsid w:val="007C4F7D"/>
    <w:rsid w:val="007C4F88"/>
    <w:rsid w:val="007C500A"/>
    <w:rsid w:val="007C500C"/>
    <w:rsid w:val="007C5093"/>
    <w:rsid w:val="007C50A2"/>
    <w:rsid w:val="007C50F6"/>
    <w:rsid w:val="007C5127"/>
    <w:rsid w:val="007C5142"/>
    <w:rsid w:val="007C51AB"/>
    <w:rsid w:val="007C5249"/>
    <w:rsid w:val="007C52CC"/>
    <w:rsid w:val="007C538E"/>
    <w:rsid w:val="007C53D9"/>
    <w:rsid w:val="007C53E7"/>
    <w:rsid w:val="007C53FB"/>
    <w:rsid w:val="007C541F"/>
    <w:rsid w:val="007C5423"/>
    <w:rsid w:val="007C5429"/>
    <w:rsid w:val="007C5436"/>
    <w:rsid w:val="007C54F6"/>
    <w:rsid w:val="007C54FE"/>
    <w:rsid w:val="007C550C"/>
    <w:rsid w:val="007C554F"/>
    <w:rsid w:val="007C55E3"/>
    <w:rsid w:val="007C567E"/>
    <w:rsid w:val="007C56A4"/>
    <w:rsid w:val="007C575A"/>
    <w:rsid w:val="007C5773"/>
    <w:rsid w:val="007C578B"/>
    <w:rsid w:val="007C57FD"/>
    <w:rsid w:val="007C5801"/>
    <w:rsid w:val="007C5832"/>
    <w:rsid w:val="007C58FF"/>
    <w:rsid w:val="007C596B"/>
    <w:rsid w:val="007C5970"/>
    <w:rsid w:val="007C59A6"/>
    <w:rsid w:val="007C59F8"/>
    <w:rsid w:val="007C5A1A"/>
    <w:rsid w:val="007C5B39"/>
    <w:rsid w:val="007C5B8D"/>
    <w:rsid w:val="007C5D53"/>
    <w:rsid w:val="007C5DA3"/>
    <w:rsid w:val="007C5E02"/>
    <w:rsid w:val="007C5E53"/>
    <w:rsid w:val="007C5F73"/>
    <w:rsid w:val="007C5FE8"/>
    <w:rsid w:val="007C6061"/>
    <w:rsid w:val="007C60E4"/>
    <w:rsid w:val="007C60EB"/>
    <w:rsid w:val="007C6182"/>
    <w:rsid w:val="007C61D8"/>
    <w:rsid w:val="007C628B"/>
    <w:rsid w:val="007C63BB"/>
    <w:rsid w:val="007C6476"/>
    <w:rsid w:val="007C6548"/>
    <w:rsid w:val="007C655E"/>
    <w:rsid w:val="007C65F6"/>
    <w:rsid w:val="007C6634"/>
    <w:rsid w:val="007C6637"/>
    <w:rsid w:val="007C6708"/>
    <w:rsid w:val="007C6741"/>
    <w:rsid w:val="007C67DA"/>
    <w:rsid w:val="007C6828"/>
    <w:rsid w:val="007C68DF"/>
    <w:rsid w:val="007C68FE"/>
    <w:rsid w:val="007C6958"/>
    <w:rsid w:val="007C695E"/>
    <w:rsid w:val="007C6A10"/>
    <w:rsid w:val="007C6A1A"/>
    <w:rsid w:val="007C6AA6"/>
    <w:rsid w:val="007C6AF3"/>
    <w:rsid w:val="007C6B25"/>
    <w:rsid w:val="007C6B56"/>
    <w:rsid w:val="007C6B95"/>
    <w:rsid w:val="007C6BA5"/>
    <w:rsid w:val="007C6BB3"/>
    <w:rsid w:val="007C6D09"/>
    <w:rsid w:val="007C6D29"/>
    <w:rsid w:val="007C6D56"/>
    <w:rsid w:val="007C6D59"/>
    <w:rsid w:val="007C6DC8"/>
    <w:rsid w:val="007C6E0A"/>
    <w:rsid w:val="007C6E2D"/>
    <w:rsid w:val="007C6EB4"/>
    <w:rsid w:val="007C6F06"/>
    <w:rsid w:val="007C6F9B"/>
    <w:rsid w:val="007C707F"/>
    <w:rsid w:val="007C7082"/>
    <w:rsid w:val="007C7102"/>
    <w:rsid w:val="007C7112"/>
    <w:rsid w:val="007C712D"/>
    <w:rsid w:val="007C71B0"/>
    <w:rsid w:val="007C7254"/>
    <w:rsid w:val="007C7273"/>
    <w:rsid w:val="007C7311"/>
    <w:rsid w:val="007C73AA"/>
    <w:rsid w:val="007C7402"/>
    <w:rsid w:val="007C740B"/>
    <w:rsid w:val="007C741D"/>
    <w:rsid w:val="007C74B2"/>
    <w:rsid w:val="007C74E8"/>
    <w:rsid w:val="007C752B"/>
    <w:rsid w:val="007C752F"/>
    <w:rsid w:val="007C75A7"/>
    <w:rsid w:val="007C7610"/>
    <w:rsid w:val="007C7625"/>
    <w:rsid w:val="007C7693"/>
    <w:rsid w:val="007C76D9"/>
    <w:rsid w:val="007C775F"/>
    <w:rsid w:val="007C77E3"/>
    <w:rsid w:val="007C781B"/>
    <w:rsid w:val="007C78B0"/>
    <w:rsid w:val="007C7A03"/>
    <w:rsid w:val="007C7A19"/>
    <w:rsid w:val="007C7A3B"/>
    <w:rsid w:val="007C7A6E"/>
    <w:rsid w:val="007C7AA6"/>
    <w:rsid w:val="007C7B16"/>
    <w:rsid w:val="007C7B40"/>
    <w:rsid w:val="007C7C60"/>
    <w:rsid w:val="007C7C74"/>
    <w:rsid w:val="007C7C90"/>
    <w:rsid w:val="007C7D25"/>
    <w:rsid w:val="007C7DF1"/>
    <w:rsid w:val="007C7E14"/>
    <w:rsid w:val="007C7E20"/>
    <w:rsid w:val="007C7E4A"/>
    <w:rsid w:val="007C7E8A"/>
    <w:rsid w:val="007C7EA4"/>
    <w:rsid w:val="007C7EDB"/>
    <w:rsid w:val="007C7F29"/>
    <w:rsid w:val="007C7F61"/>
    <w:rsid w:val="007D001E"/>
    <w:rsid w:val="007D003F"/>
    <w:rsid w:val="007D007D"/>
    <w:rsid w:val="007D00F7"/>
    <w:rsid w:val="007D018D"/>
    <w:rsid w:val="007D0198"/>
    <w:rsid w:val="007D01B9"/>
    <w:rsid w:val="007D01CB"/>
    <w:rsid w:val="007D01E9"/>
    <w:rsid w:val="007D0231"/>
    <w:rsid w:val="007D0292"/>
    <w:rsid w:val="007D02BE"/>
    <w:rsid w:val="007D033C"/>
    <w:rsid w:val="007D0376"/>
    <w:rsid w:val="007D0399"/>
    <w:rsid w:val="007D03E6"/>
    <w:rsid w:val="007D041D"/>
    <w:rsid w:val="007D044B"/>
    <w:rsid w:val="007D0477"/>
    <w:rsid w:val="007D04B8"/>
    <w:rsid w:val="007D04C3"/>
    <w:rsid w:val="007D04D3"/>
    <w:rsid w:val="007D057C"/>
    <w:rsid w:val="007D0592"/>
    <w:rsid w:val="007D0633"/>
    <w:rsid w:val="007D077E"/>
    <w:rsid w:val="007D0798"/>
    <w:rsid w:val="007D07A5"/>
    <w:rsid w:val="007D07CB"/>
    <w:rsid w:val="007D07F6"/>
    <w:rsid w:val="007D0824"/>
    <w:rsid w:val="007D0936"/>
    <w:rsid w:val="007D0939"/>
    <w:rsid w:val="007D097C"/>
    <w:rsid w:val="007D098D"/>
    <w:rsid w:val="007D0AA0"/>
    <w:rsid w:val="007D0B29"/>
    <w:rsid w:val="007D0C29"/>
    <w:rsid w:val="007D0C6E"/>
    <w:rsid w:val="007D0C93"/>
    <w:rsid w:val="007D0D5F"/>
    <w:rsid w:val="007D0DD5"/>
    <w:rsid w:val="007D0DEA"/>
    <w:rsid w:val="007D0DF2"/>
    <w:rsid w:val="007D0F04"/>
    <w:rsid w:val="007D0F15"/>
    <w:rsid w:val="007D0F46"/>
    <w:rsid w:val="007D102E"/>
    <w:rsid w:val="007D1182"/>
    <w:rsid w:val="007D1187"/>
    <w:rsid w:val="007D11DB"/>
    <w:rsid w:val="007D11EA"/>
    <w:rsid w:val="007D1226"/>
    <w:rsid w:val="007D1239"/>
    <w:rsid w:val="007D124F"/>
    <w:rsid w:val="007D1278"/>
    <w:rsid w:val="007D12B2"/>
    <w:rsid w:val="007D12CE"/>
    <w:rsid w:val="007D12EE"/>
    <w:rsid w:val="007D1322"/>
    <w:rsid w:val="007D1394"/>
    <w:rsid w:val="007D143E"/>
    <w:rsid w:val="007D148F"/>
    <w:rsid w:val="007D1490"/>
    <w:rsid w:val="007D14F1"/>
    <w:rsid w:val="007D1511"/>
    <w:rsid w:val="007D1561"/>
    <w:rsid w:val="007D1595"/>
    <w:rsid w:val="007D165C"/>
    <w:rsid w:val="007D166A"/>
    <w:rsid w:val="007D16D8"/>
    <w:rsid w:val="007D1753"/>
    <w:rsid w:val="007D195F"/>
    <w:rsid w:val="007D199F"/>
    <w:rsid w:val="007D19CB"/>
    <w:rsid w:val="007D1A12"/>
    <w:rsid w:val="007D1A6A"/>
    <w:rsid w:val="007D1A75"/>
    <w:rsid w:val="007D1A8B"/>
    <w:rsid w:val="007D1BB7"/>
    <w:rsid w:val="007D1C06"/>
    <w:rsid w:val="007D1C3B"/>
    <w:rsid w:val="007D1DF0"/>
    <w:rsid w:val="007D1E12"/>
    <w:rsid w:val="007D1EFD"/>
    <w:rsid w:val="007D1F68"/>
    <w:rsid w:val="007D1F6B"/>
    <w:rsid w:val="007D1FAF"/>
    <w:rsid w:val="007D202F"/>
    <w:rsid w:val="007D207C"/>
    <w:rsid w:val="007D20AD"/>
    <w:rsid w:val="007D20BC"/>
    <w:rsid w:val="007D21B0"/>
    <w:rsid w:val="007D21D5"/>
    <w:rsid w:val="007D2218"/>
    <w:rsid w:val="007D237B"/>
    <w:rsid w:val="007D23D3"/>
    <w:rsid w:val="007D23E3"/>
    <w:rsid w:val="007D23F7"/>
    <w:rsid w:val="007D23FB"/>
    <w:rsid w:val="007D241A"/>
    <w:rsid w:val="007D241D"/>
    <w:rsid w:val="007D24C6"/>
    <w:rsid w:val="007D2539"/>
    <w:rsid w:val="007D253E"/>
    <w:rsid w:val="007D258C"/>
    <w:rsid w:val="007D25E5"/>
    <w:rsid w:val="007D26C0"/>
    <w:rsid w:val="007D26D2"/>
    <w:rsid w:val="007D26F0"/>
    <w:rsid w:val="007D2703"/>
    <w:rsid w:val="007D277B"/>
    <w:rsid w:val="007D27DF"/>
    <w:rsid w:val="007D2802"/>
    <w:rsid w:val="007D2840"/>
    <w:rsid w:val="007D2844"/>
    <w:rsid w:val="007D287D"/>
    <w:rsid w:val="007D288F"/>
    <w:rsid w:val="007D28DB"/>
    <w:rsid w:val="007D28F2"/>
    <w:rsid w:val="007D28FF"/>
    <w:rsid w:val="007D291D"/>
    <w:rsid w:val="007D2950"/>
    <w:rsid w:val="007D299E"/>
    <w:rsid w:val="007D29D4"/>
    <w:rsid w:val="007D2A4E"/>
    <w:rsid w:val="007D2A4F"/>
    <w:rsid w:val="007D2A92"/>
    <w:rsid w:val="007D2AC8"/>
    <w:rsid w:val="007D2BD2"/>
    <w:rsid w:val="007D2E75"/>
    <w:rsid w:val="007D2EBF"/>
    <w:rsid w:val="007D2EE2"/>
    <w:rsid w:val="007D2EF2"/>
    <w:rsid w:val="007D2F5D"/>
    <w:rsid w:val="007D2F72"/>
    <w:rsid w:val="007D2F78"/>
    <w:rsid w:val="007D2FC6"/>
    <w:rsid w:val="007D2FCC"/>
    <w:rsid w:val="007D2FE3"/>
    <w:rsid w:val="007D2FFA"/>
    <w:rsid w:val="007D3029"/>
    <w:rsid w:val="007D308A"/>
    <w:rsid w:val="007D30A4"/>
    <w:rsid w:val="007D30C5"/>
    <w:rsid w:val="007D3103"/>
    <w:rsid w:val="007D312A"/>
    <w:rsid w:val="007D313A"/>
    <w:rsid w:val="007D314E"/>
    <w:rsid w:val="007D318B"/>
    <w:rsid w:val="007D326A"/>
    <w:rsid w:val="007D332C"/>
    <w:rsid w:val="007D334B"/>
    <w:rsid w:val="007D334D"/>
    <w:rsid w:val="007D33BC"/>
    <w:rsid w:val="007D33E6"/>
    <w:rsid w:val="007D3403"/>
    <w:rsid w:val="007D3463"/>
    <w:rsid w:val="007D34D3"/>
    <w:rsid w:val="007D350D"/>
    <w:rsid w:val="007D3530"/>
    <w:rsid w:val="007D3536"/>
    <w:rsid w:val="007D35B7"/>
    <w:rsid w:val="007D35CB"/>
    <w:rsid w:val="007D35D9"/>
    <w:rsid w:val="007D35F7"/>
    <w:rsid w:val="007D3668"/>
    <w:rsid w:val="007D3672"/>
    <w:rsid w:val="007D3680"/>
    <w:rsid w:val="007D36D9"/>
    <w:rsid w:val="007D3711"/>
    <w:rsid w:val="007D3736"/>
    <w:rsid w:val="007D373D"/>
    <w:rsid w:val="007D37BF"/>
    <w:rsid w:val="007D3801"/>
    <w:rsid w:val="007D38C4"/>
    <w:rsid w:val="007D38D0"/>
    <w:rsid w:val="007D38E1"/>
    <w:rsid w:val="007D3940"/>
    <w:rsid w:val="007D3AC1"/>
    <w:rsid w:val="007D3B2E"/>
    <w:rsid w:val="007D3BC5"/>
    <w:rsid w:val="007D3BFE"/>
    <w:rsid w:val="007D3C65"/>
    <w:rsid w:val="007D3CC6"/>
    <w:rsid w:val="007D3CC7"/>
    <w:rsid w:val="007D3CCA"/>
    <w:rsid w:val="007D3CF5"/>
    <w:rsid w:val="007D3DD1"/>
    <w:rsid w:val="007D3DEC"/>
    <w:rsid w:val="007D3E62"/>
    <w:rsid w:val="007D3E76"/>
    <w:rsid w:val="007D3E89"/>
    <w:rsid w:val="007D3E8E"/>
    <w:rsid w:val="007D3EC2"/>
    <w:rsid w:val="007D3EFD"/>
    <w:rsid w:val="007D3F82"/>
    <w:rsid w:val="007D3FAF"/>
    <w:rsid w:val="007D4007"/>
    <w:rsid w:val="007D4096"/>
    <w:rsid w:val="007D40AD"/>
    <w:rsid w:val="007D410C"/>
    <w:rsid w:val="007D416B"/>
    <w:rsid w:val="007D4180"/>
    <w:rsid w:val="007D41BC"/>
    <w:rsid w:val="007D41E5"/>
    <w:rsid w:val="007D4361"/>
    <w:rsid w:val="007D439D"/>
    <w:rsid w:val="007D43AF"/>
    <w:rsid w:val="007D43C2"/>
    <w:rsid w:val="007D43CF"/>
    <w:rsid w:val="007D448D"/>
    <w:rsid w:val="007D44B4"/>
    <w:rsid w:val="007D44EA"/>
    <w:rsid w:val="007D4557"/>
    <w:rsid w:val="007D460D"/>
    <w:rsid w:val="007D4665"/>
    <w:rsid w:val="007D4780"/>
    <w:rsid w:val="007D47DD"/>
    <w:rsid w:val="007D4913"/>
    <w:rsid w:val="007D4AA8"/>
    <w:rsid w:val="007D4AD2"/>
    <w:rsid w:val="007D4B32"/>
    <w:rsid w:val="007D4BCA"/>
    <w:rsid w:val="007D4C19"/>
    <w:rsid w:val="007D4C87"/>
    <w:rsid w:val="007D4CCB"/>
    <w:rsid w:val="007D4CEA"/>
    <w:rsid w:val="007D4D48"/>
    <w:rsid w:val="007D4DEF"/>
    <w:rsid w:val="007D4DF7"/>
    <w:rsid w:val="007D4E07"/>
    <w:rsid w:val="007D4E81"/>
    <w:rsid w:val="007D4E8A"/>
    <w:rsid w:val="007D4EDA"/>
    <w:rsid w:val="007D4F27"/>
    <w:rsid w:val="007D4F80"/>
    <w:rsid w:val="007D4F93"/>
    <w:rsid w:val="007D50BC"/>
    <w:rsid w:val="007D5185"/>
    <w:rsid w:val="007D51B6"/>
    <w:rsid w:val="007D524E"/>
    <w:rsid w:val="007D52B1"/>
    <w:rsid w:val="007D52B9"/>
    <w:rsid w:val="007D52DF"/>
    <w:rsid w:val="007D52FA"/>
    <w:rsid w:val="007D5321"/>
    <w:rsid w:val="007D5361"/>
    <w:rsid w:val="007D539C"/>
    <w:rsid w:val="007D53BE"/>
    <w:rsid w:val="007D53E2"/>
    <w:rsid w:val="007D5411"/>
    <w:rsid w:val="007D5416"/>
    <w:rsid w:val="007D5420"/>
    <w:rsid w:val="007D543D"/>
    <w:rsid w:val="007D54E2"/>
    <w:rsid w:val="007D54F1"/>
    <w:rsid w:val="007D5506"/>
    <w:rsid w:val="007D559D"/>
    <w:rsid w:val="007D55A7"/>
    <w:rsid w:val="007D55CA"/>
    <w:rsid w:val="007D55D3"/>
    <w:rsid w:val="007D55FE"/>
    <w:rsid w:val="007D560F"/>
    <w:rsid w:val="007D5625"/>
    <w:rsid w:val="007D56E8"/>
    <w:rsid w:val="007D578D"/>
    <w:rsid w:val="007D57F4"/>
    <w:rsid w:val="007D5802"/>
    <w:rsid w:val="007D5838"/>
    <w:rsid w:val="007D5907"/>
    <w:rsid w:val="007D5931"/>
    <w:rsid w:val="007D594B"/>
    <w:rsid w:val="007D59BF"/>
    <w:rsid w:val="007D59C0"/>
    <w:rsid w:val="007D5AFC"/>
    <w:rsid w:val="007D5C24"/>
    <w:rsid w:val="007D5C94"/>
    <w:rsid w:val="007D5C9F"/>
    <w:rsid w:val="007D5CF5"/>
    <w:rsid w:val="007D5D8A"/>
    <w:rsid w:val="007D5D93"/>
    <w:rsid w:val="007D5F40"/>
    <w:rsid w:val="007D5F82"/>
    <w:rsid w:val="007D5F93"/>
    <w:rsid w:val="007D5FEB"/>
    <w:rsid w:val="007D6199"/>
    <w:rsid w:val="007D62CB"/>
    <w:rsid w:val="007D62EC"/>
    <w:rsid w:val="007D630C"/>
    <w:rsid w:val="007D6381"/>
    <w:rsid w:val="007D63A0"/>
    <w:rsid w:val="007D63D8"/>
    <w:rsid w:val="007D6420"/>
    <w:rsid w:val="007D6486"/>
    <w:rsid w:val="007D6490"/>
    <w:rsid w:val="007D649E"/>
    <w:rsid w:val="007D64A6"/>
    <w:rsid w:val="007D650B"/>
    <w:rsid w:val="007D65E8"/>
    <w:rsid w:val="007D6654"/>
    <w:rsid w:val="007D6773"/>
    <w:rsid w:val="007D67A4"/>
    <w:rsid w:val="007D67D3"/>
    <w:rsid w:val="007D6801"/>
    <w:rsid w:val="007D680C"/>
    <w:rsid w:val="007D686B"/>
    <w:rsid w:val="007D690C"/>
    <w:rsid w:val="007D692A"/>
    <w:rsid w:val="007D693C"/>
    <w:rsid w:val="007D69B1"/>
    <w:rsid w:val="007D69D2"/>
    <w:rsid w:val="007D69D9"/>
    <w:rsid w:val="007D69F0"/>
    <w:rsid w:val="007D69F9"/>
    <w:rsid w:val="007D6A7A"/>
    <w:rsid w:val="007D6AEC"/>
    <w:rsid w:val="007D6AEE"/>
    <w:rsid w:val="007D6AF4"/>
    <w:rsid w:val="007D6BA3"/>
    <w:rsid w:val="007D6D70"/>
    <w:rsid w:val="007D6D7C"/>
    <w:rsid w:val="007D6DAE"/>
    <w:rsid w:val="007D6DFE"/>
    <w:rsid w:val="007D6E34"/>
    <w:rsid w:val="007D6E7B"/>
    <w:rsid w:val="007D6EE0"/>
    <w:rsid w:val="007D6F26"/>
    <w:rsid w:val="007D7028"/>
    <w:rsid w:val="007D70D4"/>
    <w:rsid w:val="007D7111"/>
    <w:rsid w:val="007D717D"/>
    <w:rsid w:val="007D7234"/>
    <w:rsid w:val="007D7269"/>
    <w:rsid w:val="007D7290"/>
    <w:rsid w:val="007D72AA"/>
    <w:rsid w:val="007D72D0"/>
    <w:rsid w:val="007D72E2"/>
    <w:rsid w:val="007D7377"/>
    <w:rsid w:val="007D73E7"/>
    <w:rsid w:val="007D7511"/>
    <w:rsid w:val="007D7597"/>
    <w:rsid w:val="007D75B6"/>
    <w:rsid w:val="007D75CB"/>
    <w:rsid w:val="007D75DE"/>
    <w:rsid w:val="007D7652"/>
    <w:rsid w:val="007D7677"/>
    <w:rsid w:val="007D7680"/>
    <w:rsid w:val="007D76A5"/>
    <w:rsid w:val="007D76B3"/>
    <w:rsid w:val="007D7758"/>
    <w:rsid w:val="007D777C"/>
    <w:rsid w:val="007D7878"/>
    <w:rsid w:val="007D78DE"/>
    <w:rsid w:val="007D792E"/>
    <w:rsid w:val="007D794D"/>
    <w:rsid w:val="007D79A6"/>
    <w:rsid w:val="007D79E5"/>
    <w:rsid w:val="007D7A60"/>
    <w:rsid w:val="007D7BB2"/>
    <w:rsid w:val="007D7BC1"/>
    <w:rsid w:val="007D7BD1"/>
    <w:rsid w:val="007D7C13"/>
    <w:rsid w:val="007D7D13"/>
    <w:rsid w:val="007D7D5A"/>
    <w:rsid w:val="007D7F4F"/>
    <w:rsid w:val="007D7F98"/>
    <w:rsid w:val="007D7FBC"/>
    <w:rsid w:val="007E0015"/>
    <w:rsid w:val="007E002F"/>
    <w:rsid w:val="007E0059"/>
    <w:rsid w:val="007E00DB"/>
    <w:rsid w:val="007E00DC"/>
    <w:rsid w:val="007E0151"/>
    <w:rsid w:val="007E01FA"/>
    <w:rsid w:val="007E0251"/>
    <w:rsid w:val="007E02BF"/>
    <w:rsid w:val="007E0340"/>
    <w:rsid w:val="007E0481"/>
    <w:rsid w:val="007E0486"/>
    <w:rsid w:val="007E05D7"/>
    <w:rsid w:val="007E0655"/>
    <w:rsid w:val="007E0677"/>
    <w:rsid w:val="007E0707"/>
    <w:rsid w:val="007E070F"/>
    <w:rsid w:val="007E0754"/>
    <w:rsid w:val="007E07CC"/>
    <w:rsid w:val="007E0801"/>
    <w:rsid w:val="007E0837"/>
    <w:rsid w:val="007E0898"/>
    <w:rsid w:val="007E0998"/>
    <w:rsid w:val="007E0999"/>
    <w:rsid w:val="007E09F7"/>
    <w:rsid w:val="007E09FC"/>
    <w:rsid w:val="007E0ACC"/>
    <w:rsid w:val="007E0AF5"/>
    <w:rsid w:val="007E0AF7"/>
    <w:rsid w:val="007E0B78"/>
    <w:rsid w:val="007E0C16"/>
    <w:rsid w:val="007E0C32"/>
    <w:rsid w:val="007E0CBD"/>
    <w:rsid w:val="007E0CEC"/>
    <w:rsid w:val="007E0CFD"/>
    <w:rsid w:val="007E0D15"/>
    <w:rsid w:val="007E0D20"/>
    <w:rsid w:val="007E0D30"/>
    <w:rsid w:val="007E0D54"/>
    <w:rsid w:val="007E0D8A"/>
    <w:rsid w:val="007E0DB2"/>
    <w:rsid w:val="007E0E21"/>
    <w:rsid w:val="007E0E31"/>
    <w:rsid w:val="007E0EB8"/>
    <w:rsid w:val="007E0ECD"/>
    <w:rsid w:val="007E0F29"/>
    <w:rsid w:val="007E0F57"/>
    <w:rsid w:val="007E0F59"/>
    <w:rsid w:val="007E121C"/>
    <w:rsid w:val="007E123F"/>
    <w:rsid w:val="007E124A"/>
    <w:rsid w:val="007E124E"/>
    <w:rsid w:val="007E1312"/>
    <w:rsid w:val="007E1352"/>
    <w:rsid w:val="007E1354"/>
    <w:rsid w:val="007E1376"/>
    <w:rsid w:val="007E13F5"/>
    <w:rsid w:val="007E1525"/>
    <w:rsid w:val="007E1535"/>
    <w:rsid w:val="007E1550"/>
    <w:rsid w:val="007E1553"/>
    <w:rsid w:val="007E1590"/>
    <w:rsid w:val="007E159D"/>
    <w:rsid w:val="007E15C2"/>
    <w:rsid w:val="007E160B"/>
    <w:rsid w:val="007E1638"/>
    <w:rsid w:val="007E1666"/>
    <w:rsid w:val="007E16A9"/>
    <w:rsid w:val="007E16BE"/>
    <w:rsid w:val="007E16E4"/>
    <w:rsid w:val="007E1704"/>
    <w:rsid w:val="007E1713"/>
    <w:rsid w:val="007E1788"/>
    <w:rsid w:val="007E182B"/>
    <w:rsid w:val="007E1867"/>
    <w:rsid w:val="007E18C8"/>
    <w:rsid w:val="007E1A5F"/>
    <w:rsid w:val="007E1AAE"/>
    <w:rsid w:val="007E1B7B"/>
    <w:rsid w:val="007E1BC5"/>
    <w:rsid w:val="007E1BF7"/>
    <w:rsid w:val="007E1C7B"/>
    <w:rsid w:val="007E1C8D"/>
    <w:rsid w:val="007E1CA6"/>
    <w:rsid w:val="007E1CDA"/>
    <w:rsid w:val="007E1CF8"/>
    <w:rsid w:val="007E1D30"/>
    <w:rsid w:val="007E1DE7"/>
    <w:rsid w:val="007E1E0C"/>
    <w:rsid w:val="007E1F02"/>
    <w:rsid w:val="007E1F54"/>
    <w:rsid w:val="007E1F8D"/>
    <w:rsid w:val="007E1FC3"/>
    <w:rsid w:val="007E1FD6"/>
    <w:rsid w:val="007E1FE3"/>
    <w:rsid w:val="007E206B"/>
    <w:rsid w:val="007E208C"/>
    <w:rsid w:val="007E2090"/>
    <w:rsid w:val="007E21AA"/>
    <w:rsid w:val="007E2231"/>
    <w:rsid w:val="007E2262"/>
    <w:rsid w:val="007E228F"/>
    <w:rsid w:val="007E22C9"/>
    <w:rsid w:val="007E22D5"/>
    <w:rsid w:val="007E239C"/>
    <w:rsid w:val="007E23C3"/>
    <w:rsid w:val="007E242F"/>
    <w:rsid w:val="007E24F1"/>
    <w:rsid w:val="007E2518"/>
    <w:rsid w:val="007E259E"/>
    <w:rsid w:val="007E263E"/>
    <w:rsid w:val="007E26A6"/>
    <w:rsid w:val="007E26B3"/>
    <w:rsid w:val="007E26BC"/>
    <w:rsid w:val="007E273D"/>
    <w:rsid w:val="007E27EA"/>
    <w:rsid w:val="007E27F4"/>
    <w:rsid w:val="007E2873"/>
    <w:rsid w:val="007E28B8"/>
    <w:rsid w:val="007E2A54"/>
    <w:rsid w:val="007E2ACF"/>
    <w:rsid w:val="007E2AFC"/>
    <w:rsid w:val="007E2B25"/>
    <w:rsid w:val="007E2B36"/>
    <w:rsid w:val="007E2B3E"/>
    <w:rsid w:val="007E2B4D"/>
    <w:rsid w:val="007E2B7B"/>
    <w:rsid w:val="007E2BB8"/>
    <w:rsid w:val="007E2BC2"/>
    <w:rsid w:val="007E2BD3"/>
    <w:rsid w:val="007E2BD9"/>
    <w:rsid w:val="007E2BDA"/>
    <w:rsid w:val="007E2C0C"/>
    <w:rsid w:val="007E2D1B"/>
    <w:rsid w:val="007E2D1D"/>
    <w:rsid w:val="007E2D2C"/>
    <w:rsid w:val="007E2D47"/>
    <w:rsid w:val="007E2D6E"/>
    <w:rsid w:val="007E2D8A"/>
    <w:rsid w:val="007E2DB9"/>
    <w:rsid w:val="007E2E05"/>
    <w:rsid w:val="007E2E4A"/>
    <w:rsid w:val="007E2EBE"/>
    <w:rsid w:val="007E2F5D"/>
    <w:rsid w:val="007E302B"/>
    <w:rsid w:val="007E3038"/>
    <w:rsid w:val="007E30AB"/>
    <w:rsid w:val="007E30CC"/>
    <w:rsid w:val="007E30E7"/>
    <w:rsid w:val="007E3242"/>
    <w:rsid w:val="007E327C"/>
    <w:rsid w:val="007E328B"/>
    <w:rsid w:val="007E32B4"/>
    <w:rsid w:val="007E3317"/>
    <w:rsid w:val="007E335E"/>
    <w:rsid w:val="007E33A1"/>
    <w:rsid w:val="007E33D5"/>
    <w:rsid w:val="007E349F"/>
    <w:rsid w:val="007E3522"/>
    <w:rsid w:val="007E3563"/>
    <w:rsid w:val="007E35F9"/>
    <w:rsid w:val="007E363E"/>
    <w:rsid w:val="007E3662"/>
    <w:rsid w:val="007E36D4"/>
    <w:rsid w:val="007E36E2"/>
    <w:rsid w:val="007E371E"/>
    <w:rsid w:val="007E3774"/>
    <w:rsid w:val="007E394E"/>
    <w:rsid w:val="007E398C"/>
    <w:rsid w:val="007E39D4"/>
    <w:rsid w:val="007E3A7F"/>
    <w:rsid w:val="007E3B2B"/>
    <w:rsid w:val="007E3BE2"/>
    <w:rsid w:val="007E3BFA"/>
    <w:rsid w:val="007E3C77"/>
    <w:rsid w:val="007E3CA7"/>
    <w:rsid w:val="007E3CB2"/>
    <w:rsid w:val="007E3CDF"/>
    <w:rsid w:val="007E3CE4"/>
    <w:rsid w:val="007E3E6F"/>
    <w:rsid w:val="007E3ECF"/>
    <w:rsid w:val="007E3F2D"/>
    <w:rsid w:val="007E3F2E"/>
    <w:rsid w:val="007E3FA2"/>
    <w:rsid w:val="007E404B"/>
    <w:rsid w:val="007E40D4"/>
    <w:rsid w:val="007E412E"/>
    <w:rsid w:val="007E4153"/>
    <w:rsid w:val="007E4204"/>
    <w:rsid w:val="007E427E"/>
    <w:rsid w:val="007E4295"/>
    <w:rsid w:val="007E42A5"/>
    <w:rsid w:val="007E4341"/>
    <w:rsid w:val="007E4363"/>
    <w:rsid w:val="007E4393"/>
    <w:rsid w:val="007E43B0"/>
    <w:rsid w:val="007E445E"/>
    <w:rsid w:val="007E4521"/>
    <w:rsid w:val="007E4533"/>
    <w:rsid w:val="007E4551"/>
    <w:rsid w:val="007E458B"/>
    <w:rsid w:val="007E45C7"/>
    <w:rsid w:val="007E4634"/>
    <w:rsid w:val="007E46EE"/>
    <w:rsid w:val="007E4771"/>
    <w:rsid w:val="007E4772"/>
    <w:rsid w:val="007E47BA"/>
    <w:rsid w:val="007E47D7"/>
    <w:rsid w:val="007E48B9"/>
    <w:rsid w:val="007E49F2"/>
    <w:rsid w:val="007E4A25"/>
    <w:rsid w:val="007E4A37"/>
    <w:rsid w:val="007E4A57"/>
    <w:rsid w:val="007E4A91"/>
    <w:rsid w:val="007E4B62"/>
    <w:rsid w:val="007E4B7E"/>
    <w:rsid w:val="007E4B9B"/>
    <w:rsid w:val="007E4BE8"/>
    <w:rsid w:val="007E4C7C"/>
    <w:rsid w:val="007E4CDD"/>
    <w:rsid w:val="007E4D3B"/>
    <w:rsid w:val="007E4DB6"/>
    <w:rsid w:val="007E4DD3"/>
    <w:rsid w:val="007E4DEC"/>
    <w:rsid w:val="007E4E26"/>
    <w:rsid w:val="007E4EC7"/>
    <w:rsid w:val="007E4F2E"/>
    <w:rsid w:val="007E4F54"/>
    <w:rsid w:val="007E4F9A"/>
    <w:rsid w:val="007E4FDE"/>
    <w:rsid w:val="007E50EC"/>
    <w:rsid w:val="007E5131"/>
    <w:rsid w:val="007E5158"/>
    <w:rsid w:val="007E5164"/>
    <w:rsid w:val="007E518D"/>
    <w:rsid w:val="007E51FA"/>
    <w:rsid w:val="007E5248"/>
    <w:rsid w:val="007E5263"/>
    <w:rsid w:val="007E52C2"/>
    <w:rsid w:val="007E52C3"/>
    <w:rsid w:val="007E52D2"/>
    <w:rsid w:val="007E53EE"/>
    <w:rsid w:val="007E53FC"/>
    <w:rsid w:val="007E541B"/>
    <w:rsid w:val="007E5466"/>
    <w:rsid w:val="007E54A3"/>
    <w:rsid w:val="007E5531"/>
    <w:rsid w:val="007E55E9"/>
    <w:rsid w:val="007E563B"/>
    <w:rsid w:val="007E5680"/>
    <w:rsid w:val="007E56C3"/>
    <w:rsid w:val="007E56EF"/>
    <w:rsid w:val="007E5741"/>
    <w:rsid w:val="007E5786"/>
    <w:rsid w:val="007E579E"/>
    <w:rsid w:val="007E57C2"/>
    <w:rsid w:val="007E5831"/>
    <w:rsid w:val="007E585C"/>
    <w:rsid w:val="007E5865"/>
    <w:rsid w:val="007E58B6"/>
    <w:rsid w:val="007E58EE"/>
    <w:rsid w:val="007E59CD"/>
    <w:rsid w:val="007E5A0C"/>
    <w:rsid w:val="007E5A1E"/>
    <w:rsid w:val="007E5A31"/>
    <w:rsid w:val="007E5A90"/>
    <w:rsid w:val="007E5B41"/>
    <w:rsid w:val="007E5B47"/>
    <w:rsid w:val="007E5BAA"/>
    <w:rsid w:val="007E5BBF"/>
    <w:rsid w:val="007E5BE2"/>
    <w:rsid w:val="007E5C47"/>
    <w:rsid w:val="007E5CB1"/>
    <w:rsid w:val="007E5CC3"/>
    <w:rsid w:val="007E5CE4"/>
    <w:rsid w:val="007E5D70"/>
    <w:rsid w:val="007E5D93"/>
    <w:rsid w:val="007E5DB0"/>
    <w:rsid w:val="007E5DC0"/>
    <w:rsid w:val="007E5E14"/>
    <w:rsid w:val="007E5E43"/>
    <w:rsid w:val="007E5E58"/>
    <w:rsid w:val="007E5EB9"/>
    <w:rsid w:val="007E5F06"/>
    <w:rsid w:val="007E5F25"/>
    <w:rsid w:val="007E5F66"/>
    <w:rsid w:val="007E5F7D"/>
    <w:rsid w:val="007E6082"/>
    <w:rsid w:val="007E60CD"/>
    <w:rsid w:val="007E60D1"/>
    <w:rsid w:val="007E610F"/>
    <w:rsid w:val="007E613D"/>
    <w:rsid w:val="007E615A"/>
    <w:rsid w:val="007E619C"/>
    <w:rsid w:val="007E6249"/>
    <w:rsid w:val="007E628C"/>
    <w:rsid w:val="007E62BC"/>
    <w:rsid w:val="007E6358"/>
    <w:rsid w:val="007E635A"/>
    <w:rsid w:val="007E6370"/>
    <w:rsid w:val="007E639F"/>
    <w:rsid w:val="007E63AB"/>
    <w:rsid w:val="007E63B0"/>
    <w:rsid w:val="007E641E"/>
    <w:rsid w:val="007E642C"/>
    <w:rsid w:val="007E6457"/>
    <w:rsid w:val="007E6594"/>
    <w:rsid w:val="007E663D"/>
    <w:rsid w:val="007E66E9"/>
    <w:rsid w:val="007E6708"/>
    <w:rsid w:val="007E672A"/>
    <w:rsid w:val="007E679F"/>
    <w:rsid w:val="007E67F9"/>
    <w:rsid w:val="007E67FE"/>
    <w:rsid w:val="007E6837"/>
    <w:rsid w:val="007E6868"/>
    <w:rsid w:val="007E6910"/>
    <w:rsid w:val="007E694F"/>
    <w:rsid w:val="007E6955"/>
    <w:rsid w:val="007E6993"/>
    <w:rsid w:val="007E69CA"/>
    <w:rsid w:val="007E6A28"/>
    <w:rsid w:val="007E6A35"/>
    <w:rsid w:val="007E6A40"/>
    <w:rsid w:val="007E6B14"/>
    <w:rsid w:val="007E6B1B"/>
    <w:rsid w:val="007E6BB0"/>
    <w:rsid w:val="007E6C16"/>
    <w:rsid w:val="007E6C58"/>
    <w:rsid w:val="007E6CA9"/>
    <w:rsid w:val="007E6D1D"/>
    <w:rsid w:val="007E6D54"/>
    <w:rsid w:val="007E6D7E"/>
    <w:rsid w:val="007E6E1E"/>
    <w:rsid w:val="007E6E53"/>
    <w:rsid w:val="007E6E8D"/>
    <w:rsid w:val="007E6E95"/>
    <w:rsid w:val="007E6EF8"/>
    <w:rsid w:val="007E6F3E"/>
    <w:rsid w:val="007E6F78"/>
    <w:rsid w:val="007E6F79"/>
    <w:rsid w:val="007E700A"/>
    <w:rsid w:val="007E7013"/>
    <w:rsid w:val="007E7073"/>
    <w:rsid w:val="007E707D"/>
    <w:rsid w:val="007E709C"/>
    <w:rsid w:val="007E7136"/>
    <w:rsid w:val="007E713C"/>
    <w:rsid w:val="007E717C"/>
    <w:rsid w:val="007E7198"/>
    <w:rsid w:val="007E71B7"/>
    <w:rsid w:val="007E71BE"/>
    <w:rsid w:val="007E71E8"/>
    <w:rsid w:val="007E7239"/>
    <w:rsid w:val="007E7267"/>
    <w:rsid w:val="007E72B8"/>
    <w:rsid w:val="007E7369"/>
    <w:rsid w:val="007E73E7"/>
    <w:rsid w:val="007E7418"/>
    <w:rsid w:val="007E7442"/>
    <w:rsid w:val="007E745F"/>
    <w:rsid w:val="007E74AF"/>
    <w:rsid w:val="007E74B1"/>
    <w:rsid w:val="007E751A"/>
    <w:rsid w:val="007E75CE"/>
    <w:rsid w:val="007E760A"/>
    <w:rsid w:val="007E769E"/>
    <w:rsid w:val="007E76C1"/>
    <w:rsid w:val="007E76CE"/>
    <w:rsid w:val="007E7789"/>
    <w:rsid w:val="007E7809"/>
    <w:rsid w:val="007E7840"/>
    <w:rsid w:val="007E789E"/>
    <w:rsid w:val="007E78BD"/>
    <w:rsid w:val="007E7950"/>
    <w:rsid w:val="007E795C"/>
    <w:rsid w:val="007E79B9"/>
    <w:rsid w:val="007E79C5"/>
    <w:rsid w:val="007E79D9"/>
    <w:rsid w:val="007E79E5"/>
    <w:rsid w:val="007E79F7"/>
    <w:rsid w:val="007E7A48"/>
    <w:rsid w:val="007E7A63"/>
    <w:rsid w:val="007E7BD2"/>
    <w:rsid w:val="007E7C05"/>
    <w:rsid w:val="007E7C7C"/>
    <w:rsid w:val="007E7C84"/>
    <w:rsid w:val="007E7CB2"/>
    <w:rsid w:val="007E7CDB"/>
    <w:rsid w:val="007E7D1C"/>
    <w:rsid w:val="007E7D37"/>
    <w:rsid w:val="007E7D6A"/>
    <w:rsid w:val="007E7D86"/>
    <w:rsid w:val="007E7DD1"/>
    <w:rsid w:val="007E7EAA"/>
    <w:rsid w:val="007E7ECB"/>
    <w:rsid w:val="007E7F97"/>
    <w:rsid w:val="007E7FBF"/>
    <w:rsid w:val="007F0028"/>
    <w:rsid w:val="007F0036"/>
    <w:rsid w:val="007F006C"/>
    <w:rsid w:val="007F00B5"/>
    <w:rsid w:val="007F00CB"/>
    <w:rsid w:val="007F0120"/>
    <w:rsid w:val="007F012F"/>
    <w:rsid w:val="007F014A"/>
    <w:rsid w:val="007F01BD"/>
    <w:rsid w:val="007F01C6"/>
    <w:rsid w:val="007F0257"/>
    <w:rsid w:val="007F028C"/>
    <w:rsid w:val="007F0342"/>
    <w:rsid w:val="007F0362"/>
    <w:rsid w:val="007F037D"/>
    <w:rsid w:val="007F0384"/>
    <w:rsid w:val="007F038A"/>
    <w:rsid w:val="007F038E"/>
    <w:rsid w:val="007F03AE"/>
    <w:rsid w:val="007F03C3"/>
    <w:rsid w:val="007F03E9"/>
    <w:rsid w:val="007F0477"/>
    <w:rsid w:val="007F04CC"/>
    <w:rsid w:val="007F04FE"/>
    <w:rsid w:val="007F053C"/>
    <w:rsid w:val="007F0544"/>
    <w:rsid w:val="007F054E"/>
    <w:rsid w:val="007F0597"/>
    <w:rsid w:val="007F0616"/>
    <w:rsid w:val="007F0647"/>
    <w:rsid w:val="007F0676"/>
    <w:rsid w:val="007F0759"/>
    <w:rsid w:val="007F0788"/>
    <w:rsid w:val="007F082A"/>
    <w:rsid w:val="007F082C"/>
    <w:rsid w:val="007F0862"/>
    <w:rsid w:val="007F0A26"/>
    <w:rsid w:val="007F0B2F"/>
    <w:rsid w:val="007F0B4D"/>
    <w:rsid w:val="007F0B5D"/>
    <w:rsid w:val="007F0B85"/>
    <w:rsid w:val="007F0BC5"/>
    <w:rsid w:val="007F0C22"/>
    <w:rsid w:val="007F0C47"/>
    <w:rsid w:val="007F0C68"/>
    <w:rsid w:val="007F0CF5"/>
    <w:rsid w:val="007F0DB2"/>
    <w:rsid w:val="007F0DCE"/>
    <w:rsid w:val="007F0DE2"/>
    <w:rsid w:val="007F0E10"/>
    <w:rsid w:val="007F0E1D"/>
    <w:rsid w:val="007F0E28"/>
    <w:rsid w:val="007F0F2E"/>
    <w:rsid w:val="007F0F8D"/>
    <w:rsid w:val="007F0F99"/>
    <w:rsid w:val="007F1054"/>
    <w:rsid w:val="007F11AA"/>
    <w:rsid w:val="007F11EE"/>
    <w:rsid w:val="007F1261"/>
    <w:rsid w:val="007F127B"/>
    <w:rsid w:val="007F1309"/>
    <w:rsid w:val="007F1355"/>
    <w:rsid w:val="007F13FB"/>
    <w:rsid w:val="007F1401"/>
    <w:rsid w:val="007F143D"/>
    <w:rsid w:val="007F14FA"/>
    <w:rsid w:val="007F1587"/>
    <w:rsid w:val="007F15B4"/>
    <w:rsid w:val="007F1611"/>
    <w:rsid w:val="007F1648"/>
    <w:rsid w:val="007F1715"/>
    <w:rsid w:val="007F17AF"/>
    <w:rsid w:val="007F186C"/>
    <w:rsid w:val="007F1908"/>
    <w:rsid w:val="007F194C"/>
    <w:rsid w:val="007F19AF"/>
    <w:rsid w:val="007F1A30"/>
    <w:rsid w:val="007F1AE6"/>
    <w:rsid w:val="007F1B03"/>
    <w:rsid w:val="007F1B68"/>
    <w:rsid w:val="007F1BAE"/>
    <w:rsid w:val="007F1BEC"/>
    <w:rsid w:val="007F1C80"/>
    <w:rsid w:val="007F1CA0"/>
    <w:rsid w:val="007F1CCF"/>
    <w:rsid w:val="007F1D30"/>
    <w:rsid w:val="007F1DC8"/>
    <w:rsid w:val="007F1E06"/>
    <w:rsid w:val="007F1E5D"/>
    <w:rsid w:val="007F1E72"/>
    <w:rsid w:val="007F1E73"/>
    <w:rsid w:val="007F1EC0"/>
    <w:rsid w:val="007F1ECF"/>
    <w:rsid w:val="007F1F78"/>
    <w:rsid w:val="007F1FA5"/>
    <w:rsid w:val="007F2029"/>
    <w:rsid w:val="007F2081"/>
    <w:rsid w:val="007F20AC"/>
    <w:rsid w:val="007F20C7"/>
    <w:rsid w:val="007F20E9"/>
    <w:rsid w:val="007F2114"/>
    <w:rsid w:val="007F211F"/>
    <w:rsid w:val="007F2152"/>
    <w:rsid w:val="007F215F"/>
    <w:rsid w:val="007F216C"/>
    <w:rsid w:val="007F217E"/>
    <w:rsid w:val="007F21E0"/>
    <w:rsid w:val="007F2258"/>
    <w:rsid w:val="007F226D"/>
    <w:rsid w:val="007F230C"/>
    <w:rsid w:val="007F241E"/>
    <w:rsid w:val="007F243D"/>
    <w:rsid w:val="007F24B8"/>
    <w:rsid w:val="007F24F2"/>
    <w:rsid w:val="007F250C"/>
    <w:rsid w:val="007F259A"/>
    <w:rsid w:val="007F25A7"/>
    <w:rsid w:val="007F2647"/>
    <w:rsid w:val="007F264F"/>
    <w:rsid w:val="007F271D"/>
    <w:rsid w:val="007F27B0"/>
    <w:rsid w:val="007F27ED"/>
    <w:rsid w:val="007F27FA"/>
    <w:rsid w:val="007F2801"/>
    <w:rsid w:val="007F28A9"/>
    <w:rsid w:val="007F28F3"/>
    <w:rsid w:val="007F29BE"/>
    <w:rsid w:val="007F29F6"/>
    <w:rsid w:val="007F2A26"/>
    <w:rsid w:val="007F2A6C"/>
    <w:rsid w:val="007F2AEA"/>
    <w:rsid w:val="007F2B03"/>
    <w:rsid w:val="007F2B72"/>
    <w:rsid w:val="007F2B74"/>
    <w:rsid w:val="007F2B84"/>
    <w:rsid w:val="007F2BB1"/>
    <w:rsid w:val="007F2C60"/>
    <w:rsid w:val="007F2C6A"/>
    <w:rsid w:val="007F2CC1"/>
    <w:rsid w:val="007F2CD9"/>
    <w:rsid w:val="007F2CDF"/>
    <w:rsid w:val="007F2D1F"/>
    <w:rsid w:val="007F2D4F"/>
    <w:rsid w:val="007F2DF9"/>
    <w:rsid w:val="007F2E00"/>
    <w:rsid w:val="007F2E8D"/>
    <w:rsid w:val="007F2EEF"/>
    <w:rsid w:val="007F2F31"/>
    <w:rsid w:val="007F2FB6"/>
    <w:rsid w:val="007F300D"/>
    <w:rsid w:val="007F3022"/>
    <w:rsid w:val="007F30E1"/>
    <w:rsid w:val="007F314B"/>
    <w:rsid w:val="007F3160"/>
    <w:rsid w:val="007F3178"/>
    <w:rsid w:val="007F31C1"/>
    <w:rsid w:val="007F32BD"/>
    <w:rsid w:val="007F32C9"/>
    <w:rsid w:val="007F3349"/>
    <w:rsid w:val="007F3421"/>
    <w:rsid w:val="007F349B"/>
    <w:rsid w:val="007F358C"/>
    <w:rsid w:val="007F360B"/>
    <w:rsid w:val="007F361D"/>
    <w:rsid w:val="007F364A"/>
    <w:rsid w:val="007F3676"/>
    <w:rsid w:val="007F3762"/>
    <w:rsid w:val="007F376B"/>
    <w:rsid w:val="007F3787"/>
    <w:rsid w:val="007F37A1"/>
    <w:rsid w:val="007F37DE"/>
    <w:rsid w:val="007F3810"/>
    <w:rsid w:val="007F3811"/>
    <w:rsid w:val="007F389E"/>
    <w:rsid w:val="007F397F"/>
    <w:rsid w:val="007F3A16"/>
    <w:rsid w:val="007F3AB3"/>
    <w:rsid w:val="007F3AB9"/>
    <w:rsid w:val="007F3ABA"/>
    <w:rsid w:val="007F3AC6"/>
    <w:rsid w:val="007F3BFF"/>
    <w:rsid w:val="007F3C27"/>
    <w:rsid w:val="007F3C29"/>
    <w:rsid w:val="007F3C50"/>
    <w:rsid w:val="007F3C6A"/>
    <w:rsid w:val="007F3C7C"/>
    <w:rsid w:val="007F3C7E"/>
    <w:rsid w:val="007F3C86"/>
    <w:rsid w:val="007F3CA7"/>
    <w:rsid w:val="007F3CD0"/>
    <w:rsid w:val="007F3D24"/>
    <w:rsid w:val="007F3D45"/>
    <w:rsid w:val="007F3DCA"/>
    <w:rsid w:val="007F3DD4"/>
    <w:rsid w:val="007F3E92"/>
    <w:rsid w:val="007F3EA1"/>
    <w:rsid w:val="007F3EE0"/>
    <w:rsid w:val="007F3EF5"/>
    <w:rsid w:val="007F3F09"/>
    <w:rsid w:val="007F3FAE"/>
    <w:rsid w:val="007F3FDC"/>
    <w:rsid w:val="007F4077"/>
    <w:rsid w:val="007F410A"/>
    <w:rsid w:val="007F4114"/>
    <w:rsid w:val="007F4178"/>
    <w:rsid w:val="007F41C6"/>
    <w:rsid w:val="007F4203"/>
    <w:rsid w:val="007F422D"/>
    <w:rsid w:val="007F4238"/>
    <w:rsid w:val="007F42E8"/>
    <w:rsid w:val="007F43FC"/>
    <w:rsid w:val="007F4403"/>
    <w:rsid w:val="007F4411"/>
    <w:rsid w:val="007F442D"/>
    <w:rsid w:val="007F4431"/>
    <w:rsid w:val="007F445E"/>
    <w:rsid w:val="007F446E"/>
    <w:rsid w:val="007F44CB"/>
    <w:rsid w:val="007F4528"/>
    <w:rsid w:val="007F458A"/>
    <w:rsid w:val="007F463C"/>
    <w:rsid w:val="007F465A"/>
    <w:rsid w:val="007F4756"/>
    <w:rsid w:val="007F4758"/>
    <w:rsid w:val="007F4765"/>
    <w:rsid w:val="007F485F"/>
    <w:rsid w:val="007F4864"/>
    <w:rsid w:val="007F48B6"/>
    <w:rsid w:val="007F48E9"/>
    <w:rsid w:val="007F4902"/>
    <w:rsid w:val="007F4934"/>
    <w:rsid w:val="007F4984"/>
    <w:rsid w:val="007F49A5"/>
    <w:rsid w:val="007F49D1"/>
    <w:rsid w:val="007F49EB"/>
    <w:rsid w:val="007F4A8F"/>
    <w:rsid w:val="007F4B3B"/>
    <w:rsid w:val="007F4B92"/>
    <w:rsid w:val="007F4BC4"/>
    <w:rsid w:val="007F4C1E"/>
    <w:rsid w:val="007F4D15"/>
    <w:rsid w:val="007F4D23"/>
    <w:rsid w:val="007F4D88"/>
    <w:rsid w:val="007F4F45"/>
    <w:rsid w:val="007F4F72"/>
    <w:rsid w:val="007F4F73"/>
    <w:rsid w:val="007F50B5"/>
    <w:rsid w:val="007F50F1"/>
    <w:rsid w:val="007F5113"/>
    <w:rsid w:val="007F5130"/>
    <w:rsid w:val="007F518B"/>
    <w:rsid w:val="007F5226"/>
    <w:rsid w:val="007F52A6"/>
    <w:rsid w:val="007F52BE"/>
    <w:rsid w:val="007F52E8"/>
    <w:rsid w:val="007F533D"/>
    <w:rsid w:val="007F5379"/>
    <w:rsid w:val="007F542B"/>
    <w:rsid w:val="007F5494"/>
    <w:rsid w:val="007F54D4"/>
    <w:rsid w:val="007F54EF"/>
    <w:rsid w:val="007F5572"/>
    <w:rsid w:val="007F55D8"/>
    <w:rsid w:val="007F562B"/>
    <w:rsid w:val="007F5637"/>
    <w:rsid w:val="007F56AB"/>
    <w:rsid w:val="007F56BA"/>
    <w:rsid w:val="007F56FF"/>
    <w:rsid w:val="007F5768"/>
    <w:rsid w:val="007F57AB"/>
    <w:rsid w:val="007F581C"/>
    <w:rsid w:val="007F5821"/>
    <w:rsid w:val="007F5842"/>
    <w:rsid w:val="007F587E"/>
    <w:rsid w:val="007F5889"/>
    <w:rsid w:val="007F58E3"/>
    <w:rsid w:val="007F591B"/>
    <w:rsid w:val="007F591C"/>
    <w:rsid w:val="007F5938"/>
    <w:rsid w:val="007F59C3"/>
    <w:rsid w:val="007F59E6"/>
    <w:rsid w:val="007F5A92"/>
    <w:rsid w:val="007F5AC9"/>
    <w:rsid w:val="007F5ADB"/>
    <w:rsid w:val="007F5ADC"/>
    <w:rsid w:val="007F5B12"/>
    <w:rsid w:val="007F5B59"/>
    <w:rsid w:val="007F5C10"/>
    <w:rsid w:val="007F5CAC"/>
    <w:rsid w:val="007F5CB7"/>
    <w:rsid w:val="007F5CB9"/>
    <w:rsid w:val="007F5CD8"/>
    <w:rsid w:val="007F5DDA"/>
    <w:rsid w:val="007F5EAE"/>
    <w:rsid w:val="007F5F0B"/>
    <w:rsid w:val="007F5F24"/>
    <w:rsid w:val="007F5FB9"/>
    <w:rsid w:val="007F5FF6"/>
    <w:rsid w:val="007F6004"/>
    <w:rsid w:val="007F604F"/>
    <w:rsid w:val="007F60DE"/>
    <w:rsid w:val="007F617E"/>
    <w:rsid w:val="007F6223"/>
    <w:rsid w:val="007F62D2"/>
    <w:rsid w:val="007F62EC"/>
    <w:rsid w:val="007F6326"/>
    <w:rsid w:val="007F639B"/>
    <w:rsid w:val="007F641D"/>
    <w:rsid w:val="007F6428"/>
    <w:rsid w:val="007F6476"/>
    <w:rsid w:val="007F647E"/>
    <w:rsid w:val="007F6486"/>
    <w:rsid w:val="007F64C0"/>
    <w:rsid w:val="007F64C3"/>
    <w:rsid w:val="007F64C9"/>
    <w:rsid w:val="007F6582"/>
    <w:rsid w:val="007F660F"/>
    <w:rsid w:val="007F665F"/>
    <w:rsid w:val="007F66E3"/>
    <w:rsid w:val="007F6709"/>
    <w:rsid w:val="007F675F"/>
    <w:rsid w:val="007F6763"/>
    <w:rsid w:val="007F67ED"/>
    <w:rsid w:val="007F67FF"/>
    <w:rsid w:val="007F6858"/>
    <w:rsid w:val="007F6911"/>
    <w:rsid w:val="007F6924"/>
    <w:rsid w:val="007F6928"/>
    <w:rsid w:val="007F6950"/>
    <w:rsid w:val="007F69DB"/>
    <w:rsid w:val="007F6A43"/>
    <w:rsid w:val="007F6A87"/>
    <w:rsid w:val="007F6C5C"/>
    <w:rsid w:val="007F6C81"/>
    <w:rsid w:val="007F6DE0"/>
    <w:rsid w:val="007F6E54"/>
    <w:rsid w:val="007F6E58"/>
    <w:rsid w:val="007F6E86"/>
    <w:rsid w:val="007F6E97"/>
    <w:rsid w:val="007F6F1A"/>
    <w:rsid w:val="007F6F2F"/>
    <w:rsid w:val="007F6F47"/>
    <w:rsid w:val="007F6F67"/>
    <w:rsid w:val="007F6FD4"/>
    <w:rsid w:val="007F702C"/>
    <w:rsid w:val="007F7041"/>
    <w:rsid w:val="007F7066"/>
    <w:rsid w:val="007F706D"/>
    <w:rsid w:val="007F70CE"/>
    <w:rsid w:val="007F7126"/>
    <w:rsid w:val="007F7193"/>
    <w:rsid w:val="007F719F"/>
    <w:rsid w:val="007F721C"/>
    <w:rsid w:val="007F730F"/>
    <w:rsid w:val="007F7313"/>
    <w:rsid w:val="007F73AA"/>
    <w:rsid w:val="007F7447"/>
    <w:rsid w:val="007F745D"/>
    <w:rsid w:val="007F745E"/>
    <w:rsid w:val="007F7484"/>
    <w:rsid w:val="007F749B"/>
    <w:rsid w:val="007F74CB"/>
    <w:rsid w:val="007F74F9"/>
    <w:rsid w:val="007F7517"/>
    <w:rsid w:val="007F7560"/>
    <w:rsid w:val="007F7572"/>
    <w:rsid w:val="007F75A1"/>
    <w:rsid w:val="007F76AD"/>
    <w:rsid w:val="007F76E4"/>
    <w:rsid w:val="007F7740"/>
    <w:rsid w:val="007F77FF"/>
    <w:rsid w:val="007F7801"/>
    <w:rsid w:val="007F788F"/>
    <w:rsid w:val="007F78C8"/>
    <w:rsid w:val="007F78DA"/>
    <w:rsid w:val="007F7914"/>
    <w:rsid w:val="007F7924"/>
    <w:rsid w:val="007F7929"/>
    <w:rsid w:val="007F7A2B"/>
    <w:rsid w:val="007F7AB9"/>
    <w:rsid w:val="007F7ADF"/>
    <w:rsid w:val="007F7C69"/>
    <w:rsid w:val="007F7C6B"/>
    <w:rsid w:val="007F7C84"/>
    <w:rsid w:val="007F7DD3"/>
    <w:rsid w:val="007F7DD4"/>
    <w:rsid w:val="007F7E0C"/>
    <w:rsid w:val="007F7E57"/>
    <w:rsid w:val="007F7F43"/>
    <w:rsid w:val="007F7F67"/>
    <w:rsid w:val="007F7F69"/>
    <w:rsid w:val="007F7F85"/>
    <w:rsid w:val="007F7FEB"/>
    <w:rsid w:val="007F7FFA"/>
    <w:rsid w:val="0080001A"/>
    <w:rsid w:val="008000DF"/>
    <w:rsid w:val="008000E4"/>
    <w:rsid w:val="0080012F"/>
    <w:rsid w:val="0080014E"/>
    <w:rsid w:val="00800165"/>
    <w:rsid w:val="008001B7"/>
    <w:rsid w:val="008001BD"/>
    <w:rsid w:val="00800212"/>
    <w:rsid w:val="00800216"/>
    <w:rsid w:val="0080025D"/>
    <w:rsid w:val="0080028D"/>
    <w:rsid w:val="008002AB"/>
    <w:rsid w:val="008002B1"/>
    <w:rsid w:val="008002BA"/>
    <w:rsid w:val="008002C4"/>
    <w:rsid w:val="00800379"/>
    <w:rsid w:val="008003CC"/>
    <w:rsid w:val="00800457"/>
    <w:rsid w:val="0080046D"/>
    <w:rsid w:val="008004B1"/>
    <w:rsid w:val="00800521"/>
    <w:rsid w:val="008005A5"/>
    <w:rsid w:val="00800661"/>
    <w:rsid w:val="00800714"/>
    <w:rsid w:val="00800760"/>
    <w:rsid w:val="008007CC"/>
    <w:rsid w:val="00800831"/>
    <w:rsid w:val="00800839"/>
    <w:rsid w:val="00800875"/>
    <w:rsid w:val="008008FF"/>
    <w:rsid w:val="0080093B"/>
    <w:rsid w:val="0080096F"/>
    <w:rsid w:val="008009E0"/>
    <w:rsid w:val="00800A1B"/>
    <w:rsid w:val="00800AC0"/>
    <w:rsid w:val="00800B3B"/>
    <w:rsid w:val="00800B85"/>
    <w:rsid w:val="00800B86"/>
    <w:rsid w:val="00800B8D"/>
    <w:rsid w:val="00800D1D"/>
    <w:rsid w:val="00800D39"/>
    <w:rsid w:val="00800D64"/>
    <w:rsid w:val="00800F61"/>
    <w:rsid w:val="00800F6A"/>
    <w:rsid w:val="00800F78"/>
    <w:rsid w:val="00801009"/>
    <w:rsid w:val="0080100B"/>
    <w:rsid w:val="0080105C"/>
    <w:rsid w:val="008010CD"/>
    <w:rsid w:val="00801209"/>
    <w:rsid w:val="00801251"/>
    <w:rsid w:val="00801275"/>
    <w:rsid w:val="00801297"/>
    <w:rsid w:val="0080139B"/>
    <w:rsid w:val="008013D5"/>
    <w:rsid w:val="0080144D"/>
    <w:rsid w:val="008014E7"/>
    <w:rsid w:val="00801574"/>
    <w:rsid w:val="0080162B"/>
    <w:rsid w:val="00801668"/>
    <w:rsid w:val="008016BA"/>
    <w:rsid w:val="0080172D"/>
    <w:rsid w:val="00801743"/>
    <w:rsid w:val="00801751"/>
    <w:rsid w:val="008017F8"/>
    <w:rsid w:val="00801809"/>
    <w:rsid w:val="00801869"/>
    <w:rsid w:val="0080197C"/>
    <w:rsid w:val="008019C6"/>
    <w:rsid w:val="008019D9"/>
    <w:rsid w:val="00801A0A"/>
    <w:rsid w:val="00801A9E"/>
    <w:rsid w:val="00801AF4"/>
    <w:rsid w:val="00801B68"/>
    <w:rsid w:val="00801B6B"/>
    <w:rsid w:val="00801B87"/>
    <w:rsid w:val="00801BA5"/>
    <w:rsid w:val="00801BA8"/>
    <w:rsid w:val="00801BD6"/>
    <w:rsid w:val="00801C47"/>
    <w:rsid w:val="00801CFE"/>
    <w:rsid w:val="00801D3C"/>
    <w:rsid w:val="00801D7D"/>
    <w:rsid w:val="00801D94"/>
    <w:rsid w:val="00801DB0"/>
    <w:rsid w:val="00801DF0"/>
    <w:rsid w:val="00801E79"/>
    <w:rsid w:val="00801E85"/>
    <w:rsid w:val="00801E89"/>
    <w:rsid w:val="00801EC5"/>
    <w:rsid w:val="00801F03"/>
    <w:rsid w:val="00801F06"/>
    <w:rsid w:val="00801F1F"/>
    <w:rsid w:val="00801FE4"/>
    <w:rsid w:val="0080202A"/>
    <w:rsid w:val="008020B2"/>
    <w:rsid w:val="008020D2"/>
    <w:rsid w:val="0080216A"/>
    <w:rsid w:val="00802191"/>
    <w:rsid w:val="008021B0"/>
    <w:rsid w:val="0080226E"/>
    <w:rsid w:val="00802286"/>
    <w:rsid w:val="008022AF"/>
    <w:rsid w:val="008022B2"/>
    <w:rsid w:val="008022C8"/>
    <w:rsid w:val="00802315"/>
    <w:rsid w:val="00802347"/>
    <w:rsid w:val="0080235B"/>
    <w:rsid w:val="00802367"/>
    <w:rsid w:val="0080241C"/>
    <w:rsid w:val="008024AE"/>
    <w:rsid w:val="008024CD"/>
    <w:rsid w:val="008024F8"/>
    <w:rsid w:val="008024FC"/>
    <w:rsid w:val="0080262E"/>
    <w:rsid w:val="00802651"/>
    <w:rsid w:val="00802673"/>
    <w:rsid w:val="00802674"/>
    <w:rsid w:val="0080267F"/>
    <w:rsid w:val="0080268F"/>
    <w:rsid w:val="008026A0"/>
    <w:rsid w:val="008026E6"/>
    <w:rsid w:val="008026EA"/>
    <w:rsid w:val="0080272C"/>
    <w:rsid w:val="00802732"/>
    <w:rsid w:val="00802774"/>
    <w:rsid w:val="008027CA"/>
    <w:rsid w:val="008027FD"/>
    <w:rsid w:val="00802874"/>
    <w:rsid w:val="00802965"/>
    <w:rsid w:val="008029BA"/>
    <w:rsid w:val="008029D3"/>
    <w:rsid w:val="008029DC"/>
    <w:rsid w:val="008029E0"/>
    <w:rsid w:val="00802A1A"/>
    <w:rsid w:val="00802A4E"/>
    <w:rsid w:val="00802AC9"/>
    <w:rsid w:val="00802ACB"/>
    <w:rsid w:val="00802B18"/>
    <w:rsid w:val="00802B2A"/>
    <w:rsid w:val="00802B4E"/>
    <w:rsid w:val="00802BAC"/>
    <w:rsid w:val="00802C24"/>
    <w:rsid w:val="00802C44"/>
    <w:rsid w:val="00802C52"/>
    <w:rsid w:val="00802CAB"/>
    <w:rsid w:val="00802D66"/>
    <w:rsid w:val="00802D6D"/>
    <w:rsid w:val="00802D73"/>
    <w:rsid w:val="00802D8E"/>
    <w:rsid w:val="00802DB4"/>
    <w:rsid w:val="00802E8A"/>
    <w:rsid w:val="00802EC4"/>
    <w:rsid w:val="00802ED1"/>
    <w:rsid w:val="00802F00"/>
    <w:rsid w:val="00802FF0"/>
    <w:rsid w:val="00802FFE"/>
    <w:rsid w:val="0080301B"/>
    <w:rsid w:val="00803041"/>
    <w:rsid w:val="00803136"/>
    <w:rsid w:val="0080321C"/>
    <w:rsid w:val="008032BE"/>
    <w:rsid w:val="00803311"/>
    <w:rsid w:val="008033E0"/>
    <w:rsid w:val="008033E6"/>
    <w:rsid w:val="00803466"/>
    <w:rsid w:val="008034A1"/>
    <w:rsid w:val="00803561"/>
    <w:rsid w:val="00803571"/>
    <w:rsid w:val="00803594"/>
    <w:rsid w:val="008035FF"/>
    <w:rsid w:val="00803621"/>
    <w:rsid w:val="0080362E"/>
    <w:rsid w:val="008036BD"/>
    <w:rsid w:val="008037BE"/>
    <w:rsid w:val="008037F0"/>
    <w:rsid w:val="00803825"/>
    <w:rsid w:val="008038AA"/>
    <w:rsid w:val="00803914"/>
    <w:rsid w:val="0080392B"/>
    <w:rsid w:val="00803A2E"/>
    <w:rsid w:val="00803A6A"/>
    <w:rsid w:val="00803A97"/>
    <w:rsid w:val="00803B15"/>
    <w:rsid w:val="00803B67"/>
    <w:rsid w:val="00803BEB"/>
    <w:rsid w:val="00803C23"/>
    <w:rsid w:val="00803CA5"/>
    <w:rsid w:val="00803CF5"/>
    <w:rsid w:val="00803D2D"/>
    <w:rsid w:val="00803D31"/>
    <w:rsid w:val="00803D79"/>
    <w:rsid w:val="00803D94"/>
    <w:rsid w:val="00803DC1"/>
    <w:rsid w:val="00803E01"/>
    <w:rsid w:val="00803E54"/>
    <w:rsid w:val="00803E59"/>
    <w:rsid w:val="00803E8C"/>
    <w:rsid w:val="00803F24"/>
    <w:rsid w:val="00803F81"/>
    <w:rsid w:val="00803FBF"/>
    <w:rsid w:val="00803FD4"/>
    <w:rsid w:val="00803FF9"/>
    <w:rsid w:val="00804027"/>
    <w:rsid w:val="008040A3"/>
    <w:rsid w:val="00804135"/>
    <w:rsid w:val="0080414A"/>
    <w:rsid w:val="00804195"/>
    <w:rsid w:val="00804248"/>
    <w:rsid w:val="00804256"/>
    <w:rsid w:val="008042DB"/>
    <w:rsid w:val="008042EB"/>
    <w:rsid w:val="00804370"/>
    <w:rsid w:val="008043B7"/>
    <w:rsid w:val="00804467"/>
    <w:rsid w:val="00804587"/>
    <w:rsid w:val="008045BA"/>
    <w:rsid w:val="008045CA"/>
    <w:rsid w:val="008045D2"/>
    <w:rsid w:val="008046BA"/>
    <w:rsid w:val="00804733"/>
    <w:rsid w:val="0080479B"/>
    <w:rsid w:val="008047CD"/>
    <w:rsid w:val="00804809"/>
    <w:rsid w:val="0080486B"/>
    <w:rsid w:val="0080489D"/>
    <w:rsid w:val="0080492C"/>
    <w:rsid w:val="0080493B"/>
    <w:rsid w:val="00804940"/>
    <w:rsid w:val="0080497E"/>
    <w:rsid w:val="008049BB"/>
    <w:rsid w:val="008049D8"/>
    <w:rsid w:val="00804A66"/>
    <w:rsid w:val="00804C1B"/>
    <w:rsid w:val="00804C30"/>
    <w:rsid w:val="00804C6E"/>
    <w:rsid w:val="00804C7D"/>
    <w:rsid w:val="00804C89"/>
    <w:rsid w:val="00804C94"/>
    <w:rsid w:val="00804C9D"/>
    <w:rsid w:val="00804CDD"/>
    <w:rsid w:val="00804CE2"/>
    <w:rsid w:val="00804CEA"/>
    <w:rsid w:val="00804D62"/>
    <w:rsid w:val="00804D65"/>
    <w:rsid w:val="00804D7A"/>
    <w:rsid w:val="00804D8E"/>
    <w:rsid w:val="00804DB7"/>
    <w:rsid w:val="00804DD1"/>
    <w:rsid w:val="00804E77"/>
    <w:rsid w:val="00804F3E"/>
    <w:rsid w:val="00804F85"/>
    <w:rsid w:val="00804FD4"/>
    <w:rsid w:val="00804FF1"/>
    <w:rsid w:val="0080505C"/>
    <w:rsid w:val="008050DF"/>
    <w:rsid w:val="008050F6"/>
    <w:rsid w:val="008051AC"/>
    <w:rsid w:val="00805246"/>
    <w:rsid w:val="00805270"/>
    <w:rsid w:val="00805286"/>
    <w:rsid w:val="008052C4"/>
    <w:rsid w:val="008052C5"/>
    <w:rsid w:val="00805340"/>
    <w:rsid w:val="00805346"/>
    <w:rsid w:val="00805389"/>
    <w:rsid w:val="008053C4"/>
    <w:rsid w:val="00805401"/>
    <w:rsid w:val="00805435"/>
    <w:rsid w:val="0080544A"/>
    <w:rsid w:val="008054F3"/>
    <w:rsid w:val="00805549"/>
    <w:rsid w:val="00805551"/>
    <w:rsid w:val="008055CD"/>
    <w:rsid w:val="0080562C"/>
    <w:rsid w:val="00805650"/>
    <w:rsid w:val="0080566E"/>
    <w:rsid w:val="0080567A"/>
    <w:rsid w:val="008056F3"/>
    <w:rsid w:val="00805741"/>
    <w:rsid w:val="0080576B"/>
    <w:rsid w:val="008057A9"/>
    <w:rsid w:val="008057F9"/>
    <w:rsid w:val="00805800"/>
    <w:rsid w:val="0080583C"/>
    <w:rsid w:val="008058A2"/>
    <w:rsid w:val="00805961"/>
    <w:rsid w:val="008059DE"/>
    <w:rsid w:val="00805A14"/>
    <w:rsid w:val="00805A5C"/>
    <w:rsid w:val="00805A5E"/>
    <w:rsid w:val="00805AE0"/>
    <w:rsid w:val="00805B10"/>
    <w:rsid w:val="00805B43"/>
    <w:rsid w:val="00805B54"/>
    <w:rsid w:val="00805B5F"/>
    <w:rsid w:val="00805BBA"/>
    <w:rsid w:val="00805CAE"/>
    <w:rsid w:val="00805D0A"/>
    <w:rsid w:val="00805D3C"/>
    <w:rsid w:val="00805D96"/>
    <w:rsid w:val="00805E72"/>
    <w:rsid w:val="00805E87"/>
    <w:rsid w:val="00805EFA"/>
    <w:rsid w:val="00805F26"/>
    <w:rsid w:val="00805F50"/>
    <w:rsid w:val="00805F7C"/>
    <w:rsid w:val="00805FB6"/>
    <w:rsid w:val="00805FE1"/>
    <w:rsid w:val="00806019"/>
    <w:rsid w:val="0080603A"/>
    <w:rsid w:val="0080604C"/>
    <w:rsid w:val="00806080"/>
    <w:rsid w:val="008060FB"/>
    <w:rsid w:val="0080610E"/>
    <w:rsid w:val="00806118"/>
    <w:rsid w:val="0080612C"/>
    <w:rsid w:val="00806179"/>
    <w:rsid w:val="0080621B"/>
    <w:rsid w:val="00806298"/>
    <w:rsid w:val="0080631E"/>
    <w:rsid w:val="00806333"/>
    <w:rsid w:val="0080638A"/>
    <w:rsid w:val="00806397"/>
    <w:rsid w:val="0080649A"/>
    <w:rsid w:val="008065A6"/>
    <w:rsid w:val="008065BF"/>
    <w:rsid w:val="008065CF"/>
    <w:rsid w:val="008065E5"/>
    <w:rsid w:val="0080663D"/>
    <w:rsid w:val="0080666F"/>
    <w:rsid w:val="0080668A"/>
    <w:rsid w:val="008066A0"/>
    <w:rsid w:val="008066A2"/>
    <w:rsid w:val="00806704"/>
    <w:rsid w:val="0080676A"/>
    <w:rsid w:val="008067CC"/>
    <w:rsid w:val="008067D2"/>
    <w:rsid w:val="008067EA"/>
    <w:rsid w:val="00806811"/>
    <w:rsid w:val="00806813"/>
    <w:rsid w:val="00806864"/>
    <w:rsid w:val="0080689A"/>
    <w:rsid w:val="00806971"/>
    <w:rsid w:val="00806A50"/>
    <w:rsid w:val="00806A60"/>
    <w:rsid w:val="00806AC4"/>
    <w:rsid w:val="00806AD5"/>
    <w:rsid w:val="00806B69"/>
    <w:rsid w:val="00806C36"/>
    <w:rsid w:val="00806CB9"/>
    <w:rsid w:val="00806D02"/>
    <w:rsid w:val="00806D34"/>
    <w:rsid w:val="00806DDF"/>
    <w:rsid w:val="00806DE2"/>
    <w:rsid w:val="00806DFC"/>
    <w:rsid w:val="00806E24"/>
    <w:rsid w:val="00806F25"/>
    <w:rsid w:val="00806F4E"/>
    <w:rsid w:val="00806F7E"/>
    <w:rsid w:val="00806FD7"/>
    <w:rsid w:val="0080704B"/>
    <w:rsid w:val="0080705F"/>
    <w:rsid w:val="00807072"/>
    <w:rsid w:val="008070B4"/>
    <w:rsid w:val="008070EB"/>
    <w:rsid w:val="00807106"/>
    <w:rsid w:val="0080710D"/>
    <w:rsid w:val="00807141"/>
    <w:rsid w:val="008071B5"/>
    <w:rsid w:val="00807239"/>
    <w:rsid w:val="008072C7"/>
    <w:rsid w:val="008072ED"/>
    <w:rsid w:val="0080738D"/>
    <w:rsid w:val="00807397"/>
    <w:rsid w:val="008073E1"/>
    <w:rsid w:val="00807401"/>
    <w:rsid w:val="0080743E"/>
    <w:rsid w:val="0080747D"/>
    <w:rsid w:val="008074E1"/>
    <w:rsid w:val="0080755F"/>
    <w:rsid w:val="008075F3"/>
    <w:rsid w:val="00807623"/>
    <w:rsid w:val="00807657"/>
    <w:rsid w:val="00807675"/>
    <w:rsid w:val="0080769D"/>
    <w:rsid w:val="008076AC"/>
    <w:rsid w:val="00807735"/>
    <w:rsid w:val="008077B4"/>
    <w:rsid w:val="00807870"/>
    <w:rsid w:val="00807970"/>
    <w:rsid w:val="008079AA"/>
    <w:rsid w:val="008079B5"/>
    <w:rsid w:val="008079B8"/>
    <w:rsid w:val="008079C5"/>
    <w:rsid w:val="008079CF"/>
    <w:rsid w:val="00807A04"/>
    <w:rsid w:val="00807A22"/>
    <w:rsid w:val="00807A34"/>
    <w:rsid w:val="00807A3F"/>
    <w:rsid w:val="00807A74"/>
    <w:rsid w:val="00807AD7"/>
    <w:rsid w:val="00807B2A"/>
    <w:rsid w:val="00807B97"/>
    <w:rsid w:val="00807B99"/>
    <w:rsid w:val="00807BD5"/>
    <w:rsid w:val="00807BDD"/>
    <w:rsid w:val="00807C00"/>
    <w:rsid w:val="00807C71"/>
    <w:rsid w:val="00807C87"/>
    <w:rsid w:val="00807C8B"/>
    <w:rsid w:val="00807CAF"/>
    <w:rsid w:val="00807CB5"/>
    <w:rsid w:val="00807D29"/>
    <w:rsid w:val="00807D34"/>
    <w:rsid w:val="00807D5D"/>
    <w:rsid w:val="00807E11"/>
    <w:rsid w:val="00807E3B"/>
    <w:rsid w:val="00807E8F"/>
    <w:rsid w:val="00807E97"/>
    <w:rsid w:val="00807EBD"/>
    <w:rsid w:val="00807F0B"/>
    <w:rsid w:val="00807F3E"/>
    <w:rsid w:val="00807F41"/>
    <w:rsid w:val="00807FDE"/>
    <w:rsid w:val="00810000"/>
    <w:rsid w:val="0081000B"/>
    <w:rsid w:val="00810039"/>
    <w:rsid w:val="00810041"/>
    <w:rsid w:val="00810050"/>
    <w:rsid w:val="00810073"/>
    <w:rsid w:val="0081009A"/>
    <w:rsid w:val="008100DA"/>
    <w:rsid w:val="00810113"/>
    <w:rsid w:val="00810172"/>
    <w:rsid w:val="008101F5"/>
    <w:rsid w:val="00810242"/>
    <w:rsid w:val="00810282"/>
    <w:rsid w:val="008102A9"/>
    <w:rsid w:val="008102EC"/>
    <w:rsid w:val="00810380"/>
    <w:rsid w:val="008103B6"/>
    <w:rsid w:val="008103CA"/>
    <w:rsid w:val="0081042E"/>
    <w:rsid w:val="0081047C"/>
    <w:rsid w:val="008104A9"/>
    <w:rsid w:val="008104FE"/>
    <w:rsid w:val="008105D3"/>
    <w:rsid w:val="00810604"/>
    <w:rsid w:val="0081067B"/>
    <w:rsid w:val="00810738"/>
    <w:rsid w:val="0081073E"/>
    <w:rsid w:val="00810752"/>
    <w:rsid w:val="0081075C"/>
    <w:rsid w:val="00810762"/>
    <w:rsid w:val="00810798"/>
    <w:rsid w:val="008107BE"/>
    <w:rsid w:val="008107E9"/>
    <w:rsid w:val="00810994"/>
    <w:rsid w:val="008109C5"/>
    <w:rsid w:val="008109D7"/>
    <w:rsid w:val="008109F4"/>
    <w:rsid w:val="00810A00"/>
    <w:rsid w:val="00810A29"/>
    <w:rsid w:val="00810A3C"/>
    <w:rsid w:val="00810A69"/>
    <w:rsid w:val="00810B3B"/>
    <w:rsid w:val="00810C14"/>
    <w:rsid w:val="00810C22"/>
    <w:rsid w:val="00810C54"/>
    <w:rsid w:val="00810C71"/>
    <w:rsid w:val="00810D2D"/>
    <w:rsid w:val="00810D56"/>
    <w:rsid w:val="00810D6E"/>
    <w:rsid w:val="00810DCD"/>
    <w:rsid w:val="00810EB3"/>
    <w:rsid w:val="00810F6B"/>
    <w:rsid w:val="00810FD2"/>
    <w:rsid w:val="00810FD9"/>
    <w:rsid w:val="00811017"/>
    <w:rsid w:val="00811019"/>
    <w:rsid w:val="00811023"/>
    <w:rsid w:val="0081108D"/>
    <w:rsid w:val="00811105"/>
    <w:rsid w:val="00811133"/>
    <w:rsid w:val="00811158"/>
    <w:rsid w:val="0081115B"/>
    <w:rsid w:val="008112AA"/>
    <w:rsid w:val="00811311"/>
    <w:rsid w:val="0081138A"/>
    <w:rsid w:val="00811391"/>
    <w:rsid w:val="008113B8"/>
    <w:rsid w:val="008113DE"/>
    <w:rsid w:val="008113F4"/>
    <w:rsid w:val="0081145C"/>
    <w:rsid w:val="0081146B"/>
    <w:rsid w:val="008114E0"/>
    <w:rsid w:val="008114F5"/>
    <w:rsid w:val="00811518"/>
    <w:rsid w:val="00811547"/>
    <w:rsid w:val="00811565"/>
    <w:rsid w:val="00811601"/>
    <w:rsid w:val="008116EB"/>
    <w:rsid w:val="00811731"/>
    <w:rsid w:val="0081178E"/>
    <w:rsid w:val="00811796"/>
    <w:rsid w:val="008117AE"/>
    <w:rsid w:val="008117F7"/>
    <w:rsid w:val="0081196B"/>
    <w:rsid w:val="0081196F"/>
    <w:rsid w:val="008119BE"/>
    <w:rsid w:val="008119C5"/>
    <w:rsid w:val="008119F4"/>
    <w:rsid w:val="00811A54"/>
    <w:rsid w:val="00811A8B"/>
    <w:rsid w:val="00811AA3"/>
    <w:rsid w:val="00811B7A"/>
    <w:rsid w:val="00811C3C"/>
    <w:rsid w:val="00811C92"/>
    <w:rsid w:val="00811D31"/>
    <w:rsid w:val="00811DA4"/>
    <w:rsid w:val="00811E41"/>
    <w:rsid w:val="00811E53"/>
    <w:rsid w:val="00811EFE"/>
    <w:rsid w:val="00811F4E"/>
    <w:rsid w:val="00811F7F"/>
    <w:rsid w:val="00811FAE"/>
    <w:rsid w:val="00812038"/>
    <w:rsid w:val="00812118"/>
    <w:rsid w:val="008121AA"/>
    <w:rsid w:val="00812319"/>
    <w:rsid w:val="00812348"/>
    <w:rsid w:val="008123D9"/>
    <w:rsid w:val="0081245B"/>
    <w:rsid w:val="00812484"/>
    <w:rsid w:val="00812491"/>
    <w:rsid w:val="008124A7"/>
    <w:rsid w:val="008124EC"/>
    <w:rsid w:val="008124FD"/>
    <w:rsid w:val="00812546"/>
    <w:rsid w:val="008125B3"/>
    <w:rsid w:val="00812628"/>
    <w:rsid w:val="00812658"/>
    <w:rsid w:val="00812688"/>
    <w:rsid w:val="008126A4"/>
    <w:rsid w:val="008126D4"/>
    <w:rsid w:val="008126DB"/>
    <w:rsid w:val="008126E7"/>
    <w:rsid w:val="00812746"/>
    <w:rsid w:val="00812768"/>
    <w:rsid w:val="00812846"/>
    <w:rsid w:val="008128B1"/>
    <w:rsid w:val="008128B4"/>
    <w:rsid w:val="008128F6"/>
    <w:rsid w:val="008128FD"/>
    <w:rsid w:val="00812940"/>
    <w:rsid w:val="0081296A"/>
    <w:rsid w:val="00812A07"/>
    <w:rsid w:val="00812A89"/>
    <w:rsid w:val="00812AD1"/>
    <w:rsid w:val="00812B49"/>
    <w:rsid w:val="00812C06"/>
    <w:rsid w:val="00812C16"/>
    <w:rsid w:val="00812C25"/>
    <w:rsid w:val="00812C69"/>
    <w:rsid w:val="00812CBB"/>
    <w:rsid w:val="00812D91"/>
    <w:rsid w:val="00812DEF"/>
    <w:rsid w:val="00812E01"/>
    <w:rsid w:val="00812E35"/>
    <w:rsid w:val="00812ECB"/>
    <w:rsid w:val="00812EE4"/>
    <w:rsid w:val="00812FAD"/>
    <w:rsid w:val="00813021"/>
    <w:rsid w:val="0081305D"/>
    <w:rsid w:val="00813114"/>
    <w:rsid w:val="0081311F"/>
    <w:rsid w:val="0081313A"/>
    <w:rsid w:val="0081319E"/>
    <w:rsid w:val="008131DA"/>
    <w:rsid w:val="008131ED"/>
    <w:rsid w:val="00813215"/>
    <w:rsid w:val="0081321F"/>
    <w:rsid w:val="00813230"/>
    <w:rsid w:val="00813346"/>
    <w:rsid w:val="00813350"/>
    <w:rsid w:val="008133C2"/>
    <w:rsid w:val="00813418"/>
    <w:rsid w:val="00813571"/>
    <w:rsid w:val="0081358A"/>
    <w:rsid w:val="0081358D"/>
    <w:rsid w:val="00813646"/>
    <w:rsid w:val="0081365A"/>
    <w:rsid w:val="00813669"/>
    <w:rsid w:val="0081367E"/>
    <w:rsid w:val="0081369B"/>
    <w:rsid w:val="008136A7"/>
    <w:rsid w:val="00813769"/>
    <w:rsid w:val="008137A8"/>
    <w:rsid w:val="008137FB"/>
    <w:rsid w:val="00813820"/>
    <w:rsid w:val="00813842"/>
    <w:rsid w:val="00813867"/>
    <w:rsid w:val="008138FA"/>
    <w:rsid w:val="00813A1D"/>
    <w:rsid w:val="00813A33"/>
    <w:rsid w:val="00813AE2"/>
    <w:rsid w:val="00813B1B"/>
    <w:rsid w:val="00813B2B"/>
    <w:rsid w:val="00813BF7"/>
    <w:rsid w:val="00813C17"/>
    <w:rsid w:val="00813C91"/>
    <w:rsid w:val="00813DAA"/>
    <w:rsid w:val="00813DF3"/>
    <w:rsid w:val="00813E7A"/>
    <w:rsid w:val="00813ED5"/>
    <w:rsid w:val="00813FE4"/>
    <w:rsid w:val="0081403F"/>
    <w:rsid w:val="0081406B"/>
    <w:rsid w:val="008140AC"/>
    <w:rsid w:val="00814112"/>
    <w:rsid w:val="0081417E"/>
    <w:rsid w:val="0081418A"/>
    <w:rsid w:val="008141D1"/>
    <w:rsid w:val="008141F1"/>
    <w:rsid w:val="00814269"/>
    <w:rsid w:val="00814294"/>
    <w:rsid w:val="008142DE"/>
    <w:rsid w:val="00814355"/>
    <w:rsid w:val="00814378"/>
    <w:rsid w:val="00814381"/>
    <w:rsid w:val="0081447F"/>
    <w:rsid w:val="00814565"/>
    <w:rsid w:val="008145C9"/>
    <w:rsid w:val="00814628"/>
    <w:rsid w:val="0081467E"/>
    <w:rsid w:val="008146AC"/>
    <w:rsid w:val="008146DE"/>
    <w:rsid w:val="00814704"/>
    <w:rsid w:val="0081477A"/>
    <w:rsid w:val="008147D7"/>
    <w:rsid w:val="0081480F"/>
    <w:rsid w:val="0081487D"/>
    <w:rsid w:val="00814880"/>
    <w:rsid w:val="008148FC"/>
    <w:rsid w:val="008149DD"/>
    <w:rsid w:val="008149E4"/>
    <w:rsid w:val="00814A82"/>
    <w:rsid w:val="00814AE2"/>
    <w:rsid w:val="00814B5E"/>
    <w:rsid w:val="00814BE2"/>
    <w:rsid w:val="00814C66"/>
    <w:rsid w:val="00814C9B"/>
    <w:rsid w:val="00814D8B"/>
    <w:rsid w:val="00814DB1"/>
    <w:rsid w:val="00814E0E"/>
    <w:rsid w:val="00814E3C"/>
    <w:rsid w:val="00814E87"/>
    <w:rsid w:val="00814ECA"/>
    <w:rsid w:val="00814ECB"/>
    <w:rsid w:val="00814F0D"/>
    <w:rsid w:val="00814F95"/>
    <w:rsid w:val="00815049"/>
    <w:rsid w:val="00815073"/>
    <w:rsid w:val="0081507B"/>
    <w:rsid w:val="008150DC"/>
    <w:rsid w:val="008150EC"/>
    <w:rsid w:val="00815115"/>
    <w:rsid w:val="00815118"/>
    <w:rsid w:val="00815124"/>
    <w:rsid w:val="00815146"/>
    <w:rsid w:val="0081521C"/>
    <w:rsid w:val="00815295"/>
    <w:rsid w:val="008153F0"/>
    <w:rsid w:val="00815400"/>
    <w:rsid w:val="00815436"/>
    <w:rsid w:val="0081546B"/>
    <w:rsid w:val="008154C2"/>
    <w:rsid w:val="0081552C"/>
    <w:rsid w:val="008155CE"/>
    <w:rsid w:val="008156B9"/>
    <w:rsid w:val="008156D5"/>
    <w:rsid w:val="008156DB"/>
    <w:rsid w:val="008156E7"/>
    <w:rsid w:val="008156F4"/>
    <w:rsid w:val="00815743"/>
    <w:rsid w:val="0081574D"/>
    <w:rsid w:val="00815807"/>
    <w:rsid w:val="00815842"/>
    <w:rsid w:val="00815891"/>
    <w:rsid w:val="0081599F"/>
    <w:rsid w:val="008159C2"/>
    <w:rsid w:val="008159DF"/>
    <w:rsid w:val="00815A02"/>
    <w:rsid w:val="00815A21"/>
    <w:rsid w:val="00815ADE"/>
    <w:rsid w:val="00815AEB"/>
    <w:rsid w:val="00815B29"/>
    <w:rsid w:val="00815BD4"/>
    <w:rsid w:val="00815BD5"/>
    <w:rsid w:val="00815BE1"/>
    <w:rsid w:val="00815C0C"/>
    <w:rsid w:val="00815C26"/>
    <w:rsid w:val="00815CB9"/>
    <w:rsid w:val="00815CE1"/>
    <w:rsid w:val="00815D40"/>
    <w:rsid w:val="00815D70"/>
    <w:rsid w:val="00815D99"/>
    <w:rsid w:val="00815E2D"/>
    <w:rsid w:val="00815E4A"/>
    <w:rsid w:val="00815E87"/>
    <w:rsid w:val="00815ECD"/>
    <w:rsid w:val="00815EFC"/>
    <w:rsid w:val="00815F5C"/>
    <w:rsid w:val="00815F91"/>
    <w:rsid w:val="00815FAB"/>
    <w:rsid w:val="00815FBB"/>
    <w:rsid w:val="008160A7"/>
    <w:rsid w:val="008160EB"/>
    <w:rsid w:val="0081621D"/>
    <w:rsid w:val="00816265"/>
    <w:rsid w:val="0081627C"/>
    <w:rsid w:val="008163DF"/>
    <w:rsid w:val="008163F1"/>
    <w:rsid w:val="00816563"/>
    <w:rsid w:val="00816581"/>
    <w:rsid w:val="008165A1"/>
    <w:rsid w:val="008165C7"/>
    <w:rsid w:val="008165E3"/>
    <w:rsid w:val="008165F9"/>
    <w:rsid w:val="00816710"/>
    <w:rsid w:val="00816749"/>
    <w:rsid w:val="0081675C"/>
    <w:rsid w:val="00816786"/>
    <w:rsid w:val="008167B2"/>
    <w:rsid w:val="008167BF"/>
    <w:rsid w:val="008167D0"/>
    <w:rsid w:val="00816900"/>
    <w:rsid w:val="0081690F"/>
    <w:rsid w:val="00816936"/>
    <w:rsid w:val="00816950"/>
    <w:rsid w:val="0081695C"/>
    <w:rsid w:val="0081698A"/>
    <w:rsid w:val="00816990"/>
    <w:rsid w:val="008169E3"/>
    <w:rsid w:val="008169ED"/>
    <w:rsid w:val="00816A4A"/>
    <w:rsid w:val="00816A7A"/>
    <w:rsid w:val="00816B14"/>
    <w:rsid w:val="00816B2F"/>
    <w:rsid w:val="00816BB9"/>
    <w:rsid w:val="00816BED"/>
    <w:rsid w:val="00816C51"/>
    <w:rsid w:val="00816C54"/>
    <w:rsid w:val="00816CEC"/>
    <w:rsid w:val="00816D1D"/>
    <w:rsid w:val="00816D1F"/>
    <w:rsid w:val="00816D47"/>
    <w:rsid w:val="00816DBF"/>
    <w:rsid w:val="00816DC8"/>
    <w:rsid w:val="00816E6E"/>
    <w:rsid w:val="00816F34"/>
    <w:rsid w:val="00816FC4"/>
    <w:rsid w:val="00817005"/>
    <w:rsid w:val="00817057"/>
    <w:rsid w:val="008170DC"/>
    <w:rsid w:val="0081710E"/>
    <w:rsid w:val="00817142"/>
    <w:rsid w:val="008171FD"/>
    <w:rsid w:val="0081722A"/>
    <w:rsid w:val="008172B2"/>
    <w:rsid w:val="00817354"/>
    <w:rsid w:val="008173F3"/>
    <w:rsid w:val="00817431"/>
    <w:rsid w:val="00817465"/>
    <w:rsid w:val="008174A9"/>
    <w:rsid w:val="00817507"/>
    <w:rsid w:val="00817546"/>
    <w:rsid w:val="00817558"/>
    <w:rsid w:val="008175CA"/>
    <w:rsid w:val="008175FB"/>
    <w:rsid w:val="00817642"/>
    <w:rsid w:val="00817664"/>
    <w:rsid w:val="00817667"/>
    <w:rsid w:val="008176C8"/>
    <w:rsid w:val="008176D5"/>
    <w:rsid w:val="008176F5"/>
    <w:rsid w:val="00817790"/>
    <w:rsid w:val="00817826"/>
    <w:rsid w:val="008178F1"/>
    <w:rsid w:val="008179EB"/>
    <w:rsid w:val="00817A09"/>
    <w:rsid w:val="00817A46"/>
    <w:rsid w:val="00817A7B"/>
    <w:rsid w:val="00817B43"/>
    <w:rsid w:val="00817B44"/>
    <w:rsid w:val="00817B61"/>
    <w:rsid w:val="00817B68"/>
    <w:rsid w:val="00817B8E"/>
    <w:rsid w:val="00817B9F"/>
    <w:rsid w:val="00817BE2"/>
    <w:rsid w:val="00817BE8"/>
    <w:rsid w:val="00817BF0"/>
    <w:rsid w:val="00817C21"/>
    <w:rsid w:val="00817C37"/>
    <w:rsid w:val="00817C3E"/>
    <w:rsid w:val="00817C9A"/>
    <w:rsid w:val="00817D07"/>
    <w:rsid w:val="00817D92"/>
    <w:rsid w:val="00817DA9"/>
    <w:rsid w:val="00817DE2"/>
    <w:rsid w:val="00817E35"/>
    <w:rsid w:val="00817E92"/>
    <w:rsid w:val="00817F94"/>
    <w:rsid w:val="00820020"/>
    <w:rsid w:val="00820034"/>
    <w:rsid w:val="0082004B"/>
    <w:rsid w:val="0082008F"/>
    <w:rsid w:val="008200B1"/>
    <w:rsid w:val="008200E6"/>
    <w:rsid w:val="00820261"/>
    <w:rsid w:val="00820277"/>
    <w:rsid w:val="00820286"/>
    <w:rsid w:val="0082029A"/>
    <w:rsid w:val="0082032B"/>
    <w:rsid w:val="0082035A"/>
    <w:rsid w:val="00820370"/>
    <w:rsid w:val="00820374"/>
    <w:rsid w:val="0082043E"/>
    <w:rsid w:val="00820468"/>
    <w:rsid w:val="00820499"/>
    <w:rsid w:val="008204C1"/>
    <w:rsid w:val="008204E0"/>
    <w:rsid w:val="00820569"/>
    <w:rsid w:val="00820570"/>
    <w:rsid w:val="0082057A"/>
    <w:rsid w:val="0082062B"/>
    <w:rsid w:val="00820637"/>
    <w:rsid w:val="0082064C"/>
    <w:rsid w:val="008206AA"/>
    <w:rsid w:val="00820751"/>
    <w:rsid w:val="00820798"/>
    <w:rsid w:val="0082084D"/>
    <w:rsid w:val="00820950"/>
    <w:rsid w:val="008209CE"/>
    <w:rsid w:val="00820A6B"/>
    <w:rsid w:val="00820A8D"/>
    <w:rsid w:val="00820A92"/>
    <w:rsid w:val="00820AD1"/>
    <w:rsid w:val="00820AE8"/>
    <w:rsid w:val="00820AE9"/>
    <w:rsid w:val="00820B69"/>
    <w:rsid w:val="00820B76"/>
    <w:rsid w:val="00820B78"/>
    <w:rsid w:val="00820BA3"/>
    <w:rsid w:val="00820BC8"/>
    <w:rsid w:val="00820BF3"/>
    <w:rsid w:val="00820CCC"/>
    <w:rsid w:val="00820D4E"/>
    <w:rsid w:val="00820D93"/>
    <w:rsid w:val="00820DC1"/>
    <w:rsid w:val="00820DE3"/>
    <w:rsid w:val="00820DE5"/>
    <w:rsid w:val="00820E15"/>
    <w:rsid w:val="00820E4B"/>
    <w:rsid w:val="00820E78"/>
    <w:rsid w:val="00820EC3"/>
    <w:rsid w:val="00820EEE"/>
    <w:rsid w:val="00820F3F"/>
    <w:rsid w:val="00820F80"/>
    <w:rsid w:val="00820FA3"/>
    <w:rsid w:val="00820FD4"/>
    <w:rsid w:val="0082108B"/>
    <w:rsid w:val="00821093"/>
    <w:rsid w:val="008210CF"/>
    <w:rsid w:val="0082110A"/>
    <w:rsid w:val="0082110F"/>
    <w:rsid w:val="00821183"/>
    <w:rsid w:val="008211A1"/>
    <w:rsid w:val="008211A5"/>
    <w:rsid w:val="00821237"/>
    <w:rsid w:val="00821242"/>
    <w:rsid w:val="008213B6"/>
    <w:rsid w:val="008213C9"/>
    <w:rsid w:val="008213F7"/>
    <w:rsid w:val="00821477"/>
    <w:rsid w:val="00821484"/>
    <w:rsid w:val="0082151F"/>
    <w:rsid w:val="00821592"/>
    <w:rsid w:val="008215AA"/>
    <w:rsid w:val="0082164E"/>
    <w:rsid w:val="008217AB"/>
    <w:rsid w:val="0082180F"/>
    <w:rsid w:val="00821832"/>
    <w:rsid w:val="00821853"/>
    <w:rsid w:val="00821934"/>
    <w:rsid w:val="008219E5"/>
    <w:rsid w:val="008219F8"/>
    <w:rsid w:val="00821A22"/>
    <w:rsid w:val="00821A26"/>
    <w:rsid w:val="00821A5A"/>
    <w:rsid w:val="00821A9C"/>
    <w:rsid w:val="00821B09"/>
    <w:rsid w:val="00821B21"/>
    <w:rsid w:val="00821B39"/>
    <w:rsid w:val="00821B75"/>
    <w:rsid w:val="00821BCD"/>
    <w:rsid w:val="00821BDA"/>
    <w:rsid w:val="00821C33"/>
    <w:rsid w:val="00821CA2"/>
    <w:rsid w:val="00821CDA"/>
    <w:rsid w:val="00821D56"/>
    <w:rsid w:val="00821E02"/>
    <w:rsid w:val="00821E23"/>
    <w:rsid w:val="00821E54"/>
    <w:rsid w:val="00821FE6"/>
    <w:rsid w:val="0082202F"/>
    <w:rsid w:val="008220EB"/>
    <w:rsid w:val="00822106"/>
    <w:rsid w:val="00822149"/>
    <w:rsid w:val="008221D8"/>
    <w:rsid w:val="008222B8"/>
    <w:rsid w:val="008222C1"/>
    <w:rsid w:val="00822319"/>
    <w:rsid w:val="0082234A"/>
    <w:rsid w:val="00822392"/>
    <w:rsid w:val="008223C9"/>
    <w:rsid w:val="0082247E"/>
    <w:rsid w:val="008224A5"/>
    <w:rsid w:val="008224C3"/>
    <w:rsid w:val="00822537"/>
    <w:rsid w:val="00822541"/>
    <w:rsid w:val="00822608"/>
    <w:rsid w:val="00822618"/>
    <w:rsid w:val="008226DC"/>
    <w:rsid w:val="0082275B"/>
    <w:rsid w:val="008227BF"/>
    <w:rsid w:val="00822847"/>
    <w:rsid w:val="0082284E"/>
    <w:rsid w:val="0082286E"/>
    <w:rsid w:val="008228ED"/>
    <w:rsid w:val="00822954"/>
    <w:rsid w:val="00822A45"/>
    <w:rsid w:val="00822A50"/>
    <w:rsid w:val="00822A65"/>
    <w:rsid w:val="00822A82"/>
    <w:rsid w:val="00822ACB"/>
    <w:rsid w:val="00822B8D"/>
    <w:rsid w:val="00822B95"/>
    <w:rsid w:val="00822C1B"/>
    <w:rsid w:val="00822CDD"/>
    <w:rsid w:val="00822D74"/>
    <w:rsid w:val="00822DD1"/>
    <w:rsid w:val="00822F18"/>
    <w:rsid w:val="00822F57"/>
    <w:rsid w:val="00822F9F"/>
    <w:rsid w:val="00823064"/>
    <w:rsid w:val="008230D5"/>
    <w:rsid w:val="00823100"/>
    <w:rsid w:val="0082313C"/>
    <w:rsid w:val="00823159"/>
    <w:rsid w:val="008231A7"/>
    <w:rsid w:val="008231AA"/>
    <w:rsid w:val="0082321E"/>
    <w:rsid w:val="00823261"/>
    <w:rsid w:val="00823279"/>
    <w:rsid w:val="0082328A"/>
    <w:rsid w:val="008232AF"/>
    <w:rsid w:val="008232E0"/>
    <w:rsid w:val="0082332F"/>
    <w:rsid w:val="00823380"/>
    <w:rsid w:val="0082341B"/>
    <w:rsid w:val="00823429"/>
    <w:rsid w:val="0082358B"/>
    <w:rsid w:val="0082358F"/>
    <w:rsid w:val="008235C9"/>
    <w:rsid w:val="00823618"/>
    <w:rsid w:val="0082363C"/>
    <w:rsid w:val="0082373E"/>
    <w:rsid w:val="00823779"/>
    <w:rsid w:val="0082377D"/>
    <w:rsid w:val="0082395C"/>
    <w:rsid w:val="008239B5"/>
    <w:rsid w:val="008239B6"/>
    <w:rsid w:val="008239B8"/>
    <w:rsid w:val="008239DB"/>
    <w:rsid w:val="00823A47"/>
    <w:rsid w:val="00823A88"/>
    <w:rsid w:val="00823AF2"/>
    <w:rsid w:val="00823B73"/>
    <w:rsid w:val="00823BBC"/>
    <w:rsid w:val="00823C0C"/>
    <w:rsid w:val="00823C44"/>
    <w:rsid w:val="00823CDB"/>
    <w:rsid w:val="00823D03"/>
    <w:rsid w:val="00823DAA"/>
    <w:rsid w:val="00823E36"/>
    <w:rsid w:val="00823E40"/>
    <w:rsid w:val="00823F4E"/>
    <w:rsid w:val="00823FFD"/>
    <w:rsid w:val="008240AE"/>
    <w:rsid w:val="00824125"/>
    <w:rsid w:val="008241D3"/>
    <w:rsid w:val="0082426C"/>
    <w:rsid w:val="00824280"/>
    <w:rsid w:val="008242AC"/>
    <w:rsid w:val="00824302"/>
    <w:rsid w:val="0082430F"/>
    <w:rsid w:val="00824346"/>
    <w:rsid w:val="008243BC"/>
    <w:rsid w:val="008243C9"/>
    <w:rsid w:val="008243E6"/>
    <w:rsid w:val="00824408"/>
    <w:rsid w:val="0082441B"/>
    <w:rsid w:val="0082442A"/>
    <w:rsid w:val="0082445C"/>
    <w:rsid w:val="00824464"/>
    <w:rsid w:val="008244ED"/>
    <w:rsid w:val="0082452D"/>
    <w:rsid w:val="0082469F"/>
    <w:rsid w:val="008246D0"/>
    <w:rsid w:val="00824834"/>
    <w:rsid w:val="008248DB"/>
    <w:rsid w:val="0082495D"/>
    <w:rsid w:val="00824A20"/>
    <w:rsid w:val="00824AA1"/>
    <w:rsid w:val="00824B15"/>
    <w:rsid w:val="00824B4A"/>
    <w:rsid w:val="00824B8C"/>
    <w:rsid w:val="00824BA2"/>
    <w:rsid w:val="00824BA3"/>
    <w:rsid w:val="00824C11"/>
    <w:rsid w:val="00824C1E"/>
    <w:rsid w:val="00824C48"/>
    <w:rsid w:val="00824C9B"/>
    <w:rsid w:val="00824CED"/>
    <w:rsid w:val="00824D3B"/>
    <w:rsid w:val="00824D61"/>
    <w:rsid w:val="00824DAF"/>
    <w:rsid w:val="00824DC8"/>
    <w:rsid w:val="00824DDF"/>
    <w:rsid w:val="00824E07"/>
    <w:rsid w:val="00824E77"/>
    <w:rsid w:val="00824EAE"/>
    <w:rsid w:val="00824EDF"/>
    <w:rsid w:val="00824EEE"/>
    <w:rsid w:val="00824F17"/>
    <w:rsid w:val="00824F34"/>
    <w:rsid w:val="00824F9E"/>
    <w:rsid w:val="00825019"/>
    <w:rsid w:val="00825069"/>
    <w:rsid w:val="008250E0"/>
    <w:rsid w:val="00825147"/>
    <w:rsid w:val="0082517A"/>
    <w:rsid w:val="00825182"/>
    <w:rsid w:val="008251BC"/>
    <w:rsid w:val="008252CE"/>
    <w:rsid w:val="008252F6"/>
    <w:rsid w:val="00825308"/>
    <w:rsid w:val="00825382"/>
    <w:rsid w:val="008253CB"/>
    <w:rsid w:val="008253EF"/>
    <w:rsid w:val="00825415"/>
    <w:rsid w:val="00825449"/>
    <w:rsid w:val="0082546F"/>
    <w:rsid w:val="0082548A"/>
    <w:rsid w:val="008254A9"/>
    <w:rsid w:val="00825574"/>
    <w:rsid w:val="008255A6"/>
    <w:rsid w:val="008255D0"/>
    <w:rsid w:val="00825741"/>
    <w:rsid w:val="0082574F"/>
    <w:rsid w:val="008257F4"/>
    <w:rsid w:val="00825869"/>
    <w:rsid w:val="0082588D"/>
    <w:rsid w:val="008258CF"/>
    <w:rsid w:val="008258D0"/>
    <w:rsid w:val="008258D6"/>
    <w:rsid w:val="0082598B"/>
    <w:rsid w:val="00825992"/>
    <w:rsid w:val="008259C1"/>
    <w:rsid w:val="00825A25"/>
    <w:rsid w:val="00825BE6"/>
    <w:rsid w:val="00825CE5"/>
    <w:rsid w:val="00825CEB"/>
    <w:rsid w:val="00825CEC"/>
    <w:rsid w:val="00825D9B"/>
    <w:rsid w:val="00825E04"/>
    <w:rsid w:val="00825E44"/>
    <w:rsid w:val="00825EAC"/>
    <w:rsid w:val="00825F69"/>
    <w:rsid w:val="00825F71"/>
    <w:rsid w:val="00825FF1"/>
    <w:rsid w:val="00825FFF"/>
    <w:rsid w:val="00826011"/>
    <w:rsid w:val="0082602A"/>
    <w:rsid w:val="0082603D"/>
    <w:rsid w:val="0082610D"/>
    <w:rsid w:val="00826118"/>
    <w:rsid w:val="00826172"/>
    <w:rsid w:val="00826263"/>
    <w:rsid w:val="0082627A"/>
    <w:rsid w:val="0082631F"/>
    <w:rsid w:val="0082632B"/>
    <w:rsid w:val="008263F8"/>
    <w:rsid w:val="00826483"/>
    <w:rsid w:val="00826486"/>
    <w:rsid w:val="008264A0"/>
    <w:rsid w:val="0082652B"/>
    <w:rsid w:val="00826531"/>
    <w:rsid w:val="0082653B"/>
    <w:rsid w:val="00826540"/>
    <w:rsid w:val="00826560"/>
    <w:rsid w:val="00826564"/>
    <w:rsid w:val="008265A0"/>
    <w:rsid w:val="00826633"/>
    <w:rsid w:val="00826773"/>
    <w:rsid w:val="0082678A"/>
    <w:rsid w:val="0082678C"/>
    <w:rsid w:val="0082678E"/>
    <w:rsid w:val="008267B5"/>
    <w:rsid w:val="0082685C"/>
    <w:rsid w:val="0082686E"/>
    <w:rsid w:val="008268A3"/>
    <w:rsid w:val="0082690F"/>
    <w:rsid w:val="0082692B"/>
    <w:rsid w:val="0082699F"/>
    <w:rsid w:val="008269AE"/>
    <w:rsid w:val="008269CF"/>
    <w:rsid w:val="008269DB"/>
    <w:rsid w:val="00826A31"/>
    <w:rsid w:val="00826A5C"/>
    <w:rsid w:val="00826A6D"/>
    <w:rsid w:val="00826A9A"/>
    <w:rsid w:val="00826B77"/>
    <w:rsid w:val="00826BBA"/>
    <w:rsid w:val="00826BCE"/>
    <w:rsid w:val="00826BF8"/>
    <w:rsid w:val="00826C04"/>
    <w:rsid w:val="00826CAB"/>
    <w:rsid w:val="00826D0F"/>
    <w:rsid w:val="00826D57"/>
    <w:rsid w:val="00826D65"/>
    <w:rsid w:val="00826D93"/>
    <w:rsid w:val="00826DC3"/>
    <w:rsid w:val="00826DEC"/>
    <w:rsid w:val="00826DF5"/>
    <w:rsid w:val="00826E02"/>
    <w:rsid w:val="00826E54"/>
    <w:rsid w:val="00826F57"/>
    <w:rsid w:val="00826FAF"/>
    <w:rsid w:val="00826FB9"/>
    <w:rsid w:val="00826FCC"/>
    <w:rsid w:val="0082716E"/>
    <w:rsid w:val="0082718D"/>
    <w:rsid w:val="0082719A"/>
    <w:rsid w:val="008271AF"/>
    <w:rsid w:val="008271CF"/>
    <w:rsid w:val="008271FF"/>
    <w:rsid w:val="0082723E"/>
    <w:rsid w:val="008272C2"/>
    <w:rsid w:val="008272C8"/>
    <w:rsid w:val="008272CD"/>
    <w:rsid w:val="008272F3"/>
    <w:rsid w:val="008272FB"/>
    <w:rsid w:val="0082735B"/>
    <w:rsid w:val="008273C5"/>
    <w:rsid w:val="00827448"/>
    <w:rsid w:val="008274EF"/>
    <w:rsid w:val="00827575"/>
    <w:rsid w:val="00827585"/>
    <w:rsid w:val="00827627"/>
    <w:rsid w:val="00827662"/>
    <w:rsid w:val="0082766F"/>
    <w:rsid w:val="008276AD"/>
    <w:rsid w:val="008276DC"/>
    <w:rsid w:val="00827717"/>
    <w:rsid w:val="00827719"/>
    <w:rsid w:val="0082774F"/>
    <w:rsid w:val="008277B3"/>
    <w:rsid w:val="0082785D"/>
    <w:rsid w:val="00827A11"/>
    <w:rsid w:val="00827A44"/>
    <w:rsid w:val="00827A6D"/>
    <w:rsid w:val="00827A6E"/>
    <w:rsid w:val="00827A7A"/>
    <w:rsid w:val="00827A83"/>
    <w:rsid w:val="00827AB0"/>
    <w:rsid w:val="00827AB4"/>
    <w:rsid w:val="00827AF5"/>
    <w:rsid w:val="00827B57"/>
    <w:rsid w:val="00827B5C"/>
    <w:rsid w:val="00827B63"/>
    <w:rsid w:val="00827B71"/>
    <w:rsid w:val="00827B7E"/>
    <w:rsid w:val="00827B84"/>
    <w:rsid w:val="00827BFA"/>
    <w:rsid w:val="00827C3D"/>
    <w:rsid w:val="00827C7F"/>
    <w:rsid w:val="00827C96"/>
    <w:rsid w:val="00827D29"/>
    <w:rsid w:val="00827D50"/>
    <w:rsid w:val="00827D8D"/>
    <w:rsid w:val="00827E7B"/>
    <w:rsid w:val="00827F64"/>
    <w:rsid w:val="00827FFE"/>
    <w:rsid w:val="0083000D"/>
    <w:rsid w:val="0083003D"/>
    <w:rsid w:val="0083006A"/>
    <w:rsid w:val="008300F1"/>
    <w:rsid w:val="00830120"/>
    <w:rsid w:val="00830181"/>
    <w:rsid w:val="008301AB"/>
    <w:rsid w:val="0083027E"/>
    <w:rsid w:val="00830280"/>
    <w:rsid w:val="00830344"/>
    <w:rsid w:val="00830493"/>
    <w:rsid w:val="008304BB"/>
    <w:rsid w:val="0083053F"/>
    <w:rsid w:val="008305F2"/>
    <w:rsid w:val="00830646"/>
    <w:rsid w:val="0083069F"/>
    <w:rsid w:val="00830779"/>
    <w:rsid w:val="00830847"/>
    <w:rsid w:val="0083087F"/>
    <w:rsid w:val="00830897"/>
    <w:rsid w:val="00830923"/>
    <w:rsid w:val="00830925"/>
    <w:rsid w:val="00830968"/>
    <w:rsid w:val="00830996"/>
    <w:rsid w:val="008309B2"/>
    <w:rsid w:val="00830A22"/>
    <w:rsid w:val="00830A23"/>
    <w:rsid w:val="00830A75"/>
    <w:rsid w:val="00830B86"/>
    <w:rsid w:val="00830B8E"/>
    <w:rsid w:val="00830BCE"/>
    <w:rsid w:val="00830BFD"/>
    <w:rsid w:val="00830C36"/>
    <w:rsid w:val="00830C6F"/>
    <w:rsid w:val="00830C97"/>
    <w:rsid w:val="00830D05"/>
    <w:rsid w:val="00830D1C"/>
    <w:rsid w:val="00830D96"/>
    <w:rsid w:val="00830DAA"/>
    <w:rsid w:val="00830DDF"/>
    <w:rsid w:val="00830E5A"/>
    <w:rsid w:val="00830E6E"/>
    <w:rsid w:val="00830F7D"/>
    <w:rsid w:val="00831015"/>
    <w:rsid w:val="00831062"/>
    <w:rsid w:val="008310B7"/>
    <w:rsid w:val="00831118"/>
    <w:rsid w:val="00831147"/>
    <w:rsid w:val="00831188"/>
    <w:rsid w:val="0083118D"/>
    <w:rsid w:val="008311B8"/>
    <w:rsid w:val="00831226"/>
    <w:rsid w:val="0083122B"/>
    <w:rsid w:val="0083124C"/>
    <w:rsid w:val="0083127D"/>
    <w:rsid w:val="00831282"/>
    <w:rsid w:val="008312F8"/>
    <w:rsid w:val="0083132A"/>
    <w:rsid w:val="0083135D"/>
    <w:rsid w:val="00831369"/>
    <w:rsid w:val="008313C1"/>
    <w:rsid w:val="008313E4"/>
    <w:rsid w:val="008313E6"/>
    <w:rsid w:val="008314E1"/>
    <w:rsid w:val="0083155E"/>
    <w:rsid w:val="00831571"/>
    <w:rsid w:val="00831587"/>
    <w:rsid w:val="0083165D"/>
    <w:rsid w:val="00831692"/>
    <w:rsid w:val="008317E8"/>
    <w:rsid w:val="008317F8"/>
    <w:rsid w:val="00831818"/>
    <w:rsid w:val="008318A1"/>
    <w:rsid w:val="008318E1"/>
    <w:rsid w:val="00831956"/>
    <w:rsid w:val="0083195E"/>
    <w:rsid w:val="00831984"/>
    <w:rsid w:val="0083199B"/>
    <w:rsid w:val="008319AC"/>
    <w:rsid w:val="008319F1"/>
    <w:rsid w:val="00831AA6"/>
    <w:rsid w:val="00831AC7"/>
    <w:rsid w:val="00831C0A"/>
    <w:rsid w:val="00831C23"/>
    <w:rsid w:val="00831C33"/>
    <w:rsid w:val="00831C58"/>
    <w:rsid w:val="00831CA3"/>
    <w:rsid w:val="00831DDC"/>
    <w:rsid w:val="00831EE0"/>
    <w:rsid w:val="00831F55"/>
    <w:rsid w:val="00831F6D"/>
    <w:rsid w:val="00831F96"/>
    <w:rsid w:val="00831FC7"/>
    <w:rsid w:val="0083205B"/>
    <w:rsid w:val="00832084"/>
    <w:rsid w:val="008320B6"/>
    <w:rsid w:val="008321BA"/>
    <w:rsid w:val="008321EA"/>
    <w:rsid w:val="00832232"/>
    <w:rsid w:val="00832234"/>
    <w:rsid w:val="008322B9"/>
    <w:rsid w:val="008322C1"/>
    <w:rsid w:val="0083238E"/>
    <w:rsid w:val="008323F2"/>
    <w:rsid w:val="00832426"/>
    <w:rsid w:val="0083242B"/>
    <w:rsid w:val="008324E9"/>
    <w:rsid w:val="008324FC"/>
    <w:rsid w:val="008325BB"/>
    <w:rsid w:val="008325D8"/>
    <w:rsid w:val="008325F9"/>
    <w:rsid w:val="00832622"/>
    <w:rsid w:val="00832696"/>
    <w:rsid w:val="008326B7"/>
    <w:rsid w:val="0083272F"/>
    <w:rsid w:val="00832744"/>
    <w:rsid w:val="008327B0"/>
    <w:rsid w:val="008327B2"/>
    <w:rsid w:val="008327E1"/>
    <w:rsid w:val="0083285A"/>
    <w:rsid w:val="0083285D"/>
    <w:rsid w:val="00832876"/>
    <w:rsid w:val="00832882"/>
    <w:rsid w:val="0083288F"/>
    <w:rsid w:val="00832921"/>
    <w:rsid w:val="0083295A"/>
    <w:rsid w:val="008329A4"/>
    <w:rsid w:val="008329E0"/>
    <w:rsid w:val="008329F3"/>
    <w:rsid w:val="008329FC"/>
    <w:rsid w:val="00832A03"/>
    <w:rsid w:val="00832A5C"/>
    <w:rsid w:val="00832AF5"/>
    <w:rsid w:val="00832C23"/>
    <w:rsid w:val="00832C81"/>
    <w:rsid w:val="00832C9E"/>
    <w:rsid w:val="00832CA8"/>
    <w:rsid w:val="00832D62"/>
    <w:rsid w:val="00832DBA"/>
    <w:rsid w:val="00832DC8"/>
    <w:rsid w:val="00832E2C"/>
    <w:rsid w:val="00832E3C"/>
    <w:rsid w:val="00832EA1"/>
    <w:rsid w:val="00832ED6"/>
    <w:rsid w:val="00832EF5"/>
    <w:rsid w:val="00832F91"/>
    <w:rsid w:val="0083300C"/>
    <w:rsid w:val="00833028"/>
    <w:rsid w:val="008330AB"/>
    <w:rsid w:val="008330AF"/>
    <w:rsid w:val="00833103"/>
    <w:rsid w:val="00833161"/>
    <w:rsid w:val="00833167"/>
    <w:rsid w:val="008331C4"/>
    <w:rsid w:val="008331DC"/>
    <w:rsid w:val="0083325A"/>
    <w:rsid w:val="0083326C"/>
    <w:rsid w:val="008332BF"/>
    <w:rsid w:val="0083330B"/>
    <w:rsid w:val="0083333F"/>
    <w:rsid w:val="00833346"/>
    <w:rsid w:val="00833380"/>
    <w:rsid w:val="00833390"/>
    <w:rsid w:val="008333F5"/>
    <w:rsid w:val="00833404"/>
    <w:rsid w:val="00833411"/>
    <w:rsid w:val="008334C8"/>
    <w:rsid w:val="00833551"/>
    <w:rsid w:val="00833580"/>
    <w:rsid w:val="008335A8"/>
    <w:rsid w:val="00833638"/>
    <w:rsid w:val="008336E3"/>
    <w:rsid w:val="0083375B"/>
    <w:rsid w:val="00833765"/>
    <w:rsid w:val="008337F4"/>
    <w:rsid w:val="008339D1"/>
    <w:rsid w:val="00833A3B"/>
    <w:rsid w:val="00833A4A"/>
    <w:rsid w:val="00833B0E"/>
    <w:rsid w:val="00833B7F"/>
    <w:rsid w:val="00833C25"/>
    <w:rsid w:val="00833D16"/>
    <w:rsid w:val="00833D2F"/>
    <w:rsid w:val="00833D51"/>
    <w:rsid w:val="00833DC2"/>
    <w:rsid w:val="00833DE4"/>
    <w:rsid w:val="00833E3A"/>
    <w:rsid w:val="00833E3D"/>
    <w:rsid w:val="00833E51"/>
    <w:rsid w:val="00833EB3"/>
    <w:rsid w:val="00833EC0"/>
    <w:rsid w:val="00833EF2"/>
    <w:rsid w:val="00833F0C"/>
    <w:rsid w:val="00833F96"/>
    <w:rsid w:val="00833F9C"/>
    <w:rsid w:val="00834025"/>
    <w:rsid w:val="008340AB"/>
    <w:rsid w:val="00834164"/>
    <w:rsid w:val="00834182"/>
    <w:rsid w:val="00834183"/>
    <w:rsid w:val="00834215"/>
    <w:rsid w:val="008342A5"/>
    <w:rsid w:val="008342CC"/>
    <w:rsid w:val="0083430F"/>
    <w:rsid w:val="0083431F"/>
    <w:rsid w:val="00834363"/>
    <w:rsid w:val="00834382"/>
    <w:rsid w:val="00834394"/>
    <w:rsid w:val="008343E5"/>
    <w:rsid w:val="008344B2"/>
    <w:rsid w:val="008345DA"/>
    <w:rsid w:val="008345DE"/>
    <w:rsid w:val="008346EA"/>
    <w:rsid w:val="008347A8"/>
    <w:rsid w:val="008347B8"/>
    <w:rsid w:val="0083484C"/>
    <w:rsid w:val="00834936"/>
    <w:rsid w:val="00834953"/>
    <w:rsid w:val="008349DC"/>
    <w:rsid w:val="00834A01"/>
    <w:rsid w:val="00834A10"/>
    <w:rsid w:val="00834A17"/>
    <w:rsid w:val="00834A1C"/>
    <w:rsid w:val="00834A66"/>
    <w:rsid w:val="00834A89"/>
    <w:rsid w:val="00834AFD"/>
    <w:rsid w:val="00834B05"/>
    <w:rsid w:val="00834BDA"/>
    <w:rsid w:val="00834C68"/>
    <w:rsid w:val="00834D01"/>
    <w:rsid w:val="00834D05"/>
    <w:rsid w:val="00834D24"/>
    <w:rsid w:val="00834D44"/>
    <w:rsid w:val="00834D88"/>
    <w:rsid w:val="00834D92"/>
    <w:rsid w:val="00834D97"/>
    <w:rsid w:val="00834DD2"/>
    <w:rsid w:val="00834DE8"/>
    <w:rsid w:val="00834E43"/>
    <w:rsid w:val="00834E57"/>
    <w:rsid w:val="00834E6D"/>
    <w:rsid w:val="00834E79"/>
    <w:rsid w:val="00834EF8"/>
    <w:rsid w:val="00834F95"/>
    <w:rsid w:val="00835007"/>
    <w:rsid w:val="00835044"/>
    <w:rsid w:val="0083507A"/>
    <w:rsid w:val="008350BD"/>
    <w:rsid w:val="008350C0"/>
    <w:rsid w:val="008350D7"/>
    <w:rsid w:val="0083510D"/>
    <w:rsid w:val="0083514E"/>
    <w:rsid w:val="008351B3"/>
    <w:rsid w:val="00835228"/>
    <w:rsid w:val="00835257"/>
    <w:rsid w:val="0083545A"/>
    <w:rsid w:val="0083548C"/>
    <w:rsid w:val="008354B6"/>
    <w:rsid w:val="0083556C"/>
    <w:rsid w:val="00835602"/>
    <w:rsid w:val="00835633"/>
    <w:rsid w:val="0083563E"/>
    <w:rsid w:val="00835767"/>
    <w:rsid w:val="008357A7"/>
    <w:rsid w:val="00835810"/>
    <w:rsid w:val="0083581A"/>
    <w:rsid w:val="00835839"/>
    <w:rsid w:val="008358FB"/>
    <w:rsid w:val="00835927"/>
    <w:rsid w:val="00835958"/>
    <w:rsid w:val="00835993"/>
    <w:rsid w:val="008359DB"/>
    <w:rsid w:val="00835A0D"/>
    <w:rsid w:val="00835A51"/>
    <w:rsid w:val="00835A67"/>
    <w:rsid w:val="00835A9B"/>
    <w:rsid w:val="00835AF1"/>
    <w:rsid w:val="00835BCF"/>
    <w:rsid w:val="00835BDE"/>
    <w:rsid w:val="00835C0B"/>
    <w:rsid w:val="00835C47"/>
    <w:rsid w:val="00835D25"/>
    <w:rsid w:val="00835E5C"/>
    <w:rsid w:val="00835E69"/>
    <w:rsid w:val="00835ECE"/>
    <w:rsid w:val="00835F95"/>
    <w:rsid w:val="00835FAA"/>
    <w:rsid w:val="00836111"/>
    <w:rsid w:val="0083615C"/>
    <w:rsid w:val="008361EA"/>
    <w:rsid w:val="008361FD"/>
    <w:rsid w:val="0083629E"/>
    <w:rsid w:val="008362AE"/>
    <w:rsid w:val="00836326"/>
    <w:rsid w:val="00836339"/>
    <w:rsid w:val="00836369"/>
    <w:rsid w:val="00836378"/>
    <w:rsid w:val="0083637A"/>
    <w:rsid w:val="008363C9"/>
    <w:rsid w:val="008363CE"/>
    <w:rsid w:val="008363E8"/>
    <w:rsid w:val="0083651C"/>
    <w:rsid w:val="00836539"/>
    <w:rsid w:val="0083658E"/>
    <w:rsid w:val="008365CC"/>
    <w:rsid w:val="0083668C"/>
    <w:rsid w:val="00836695"/>
    <w:rsid w:val="008366CF"/>
    <w:rsid w:val="008366F4"/>
    <w:rsid w:val="008366F5"/>
    <w:rsid w:val="00836704"/>
    <w:rsid w:val="0083676E"/>
    <w:rsid w:val="008367A8"/>
    <w:rsid w:val="008367E5"/>
    <w:rsid w:val="008368D6"/>
    <w:rsid w:val="008369A1"/>
    <w:rsid w:val="008369DC"/>
    <w:rsid w:val="00836A41"/>
    <w:rsid w:val="00836A91"/>
    <w:rsid w:val="00836AAF"/>
    <w:rsid w:val="00836ADC"/>
    <w:rsid w:val="00836AE7"/>
    <w:rsid w:val="00836B41"/>
    <w:rsid w:val="00836C1C"/>
    <w:rsid w:val="00836C2F"/>
    <w:rsid w:val="00836C54"/>
    <w:rsid w:val="00836C73"/>
    <w:rsid w:val="00836CDE"/>
    <w:rsid w:val="00836CFE"/>
    <w:rsid w:val="00836D0B"/>
    <w:rsid w:val="00836D19"/>
    <w:rsid w:val="00836D9B"/>
    <w:rsid w:val="00836D9C"/>
    <w:rsid w:val="00836E01"/>
    <w:rsid w:val="00836E13"/>
    <w:rsid w:val="00836E24"/>
    <w:rsid w:val="00836E2C"/>
    <w:rsid w:val="00836E57"/>
    <w:rsid w:val="00836F08"/>
    <w:rsid w:val="00836F70"/>
    <w:rsid w:val="00836FAC"/>
    <w:rsid w:val="008370AF"/>
    <w:rsid w:val="008370EF"/>
    <w:rsid w:val="008370F3"/>
    <w:rsid w:val="0083710E"/>
    <w:rsid w:val="008371EB"/>
    <w:rsid w:val="00837258"/>
    <w:rsid w:val="008372A3"/>
    <w:rsid w:val="00837310"/>
    <w:rsid w:val="00837347"/>
    <w:rsid w:val="00837384"/>
    <w:rsid w:val="0083744F"/>
    <w:rsid w:val="008374E2"/>
    <w:rsid w:val="008375BF"/>
    <w:rsid w:val="008375DD"/>
    <w:rsid w:val="00837674"/>
    <w:rsid w:val="00837680"/>
    <w:rsid w:val="008376EE"/>
    <w:rsid w:val="00837722"/>
    <w:rsid w:val="00837763"/>
    <w:rsid w:val="00837767"/>
    <w:rsid w:val="0083777A"/>
    <w:rsid w:val="00837780"/>
    <w:rsid w:val="008377D6"/>
    <w:rsid w:val="008377F2"/>
    <w:rsid w:val="0083781B"/>
    <w:rsid w:val="008378B4"/>
    <w:rsid w:val="008379C8"/>
    <w:rsid w:val="00837A0F"/>
    <w:rsid w:val="00837AB9"/>
    <w:rsid w:val="00837AE8"/>
    <w:rsid w:val="00837B9E"/>
    <w:rsid w:val="00837BD3"/>
    <w:rsid w:val="00837C63"/>
    <w:rsid w:val="00837D27"/>
    <w:rsid w:val="00837D37"/>
    <w:rsid w:val="00837D9C"/>
    <w:rsid w:val="00837F57"/>
    <w:rsid w:val="00837FC0"/>
    <w:rsid w:val="00837FF9"/>
    <w:rsid w:val="0084002E"/>
    <w:rsid w:val="00840088"/>
    <w:rsid w:val="008400D3"/>
    <w:rsid w:val="0084015B"/>
    <w:rsid w:val="008401EE"/>
    <w:rsid w:val="0084021C"/>
    <w:rsid w:val="00840226"/>
    <w:rsid w:val="0084038B"/>
    <w:rsid w:val="0084040F"/>
    <w:rsid w:val="00840417"/>
    <w:rsid w:val="00840422"/>
    <w:rsid w:val="0084046C"/>
    <w:rsid w:val="00840470"/>
    <w:rsid w:val="00840487"/>
    <w:rsid w:val="008404DC"/>
    <w:rsid w:val="00840520"/>
    <w:rsid w:val="00840531"/>
    <w:rsid w:val="008405D3"/>
    <w:rsid w:val="00840629"/>
    <w:rsid w:val="00840699"/>
    <w:rsid w:val="008407C4"/>
    <w:rsid w:val="00840843"/>
    <w:rsid w:val="00840893"/>
    <w:rsid w:val="008408F6"/>
    <w:rsid w:val="00840922"/>
    <w:rsid w:val="00840967"/>
    <w:rsid w:val="0084096C"/>
    <w:rsid w:val="008409C8"/>
    <w:rsid w:val="008409E1"/>
    <w:rsid w:val="00840A74"/>
    <w:rsid w:val="00840A7C"/>
    <w:rsid w:val="00840A8F"/>
    <w:rsid w:val="00840AB6"/>
    <w:rsid w:val="00840B89"/>
    <w:rsid w:val="00840B9A"/>
    <w:rsid w:val="00840BB4"/>
    <w:rsid w:val="00840C71"/>
    <w:rsid w:val="00840C81"/>
    <w:rsid w:val="00840CC9"/>
    <w:rsid w:val="00840D44"/>
    <w:rsid w:val="00840DE2"/>
    <w:rsid w:val="00840E36"/>
    <w:rsid w:val="00840E3B"/>
    <w:rsid w:val="00840E4F"/>
    <w:rsid w:val="00840EDA"/>
    <w:rsid w:val="00840F7C"/>
    <w:rsid w:val="008410F1"/>
    <w:rsid w:val="00841174"/>
    <w:rsid w:val="008411F4"/>
    <w:rsid w:val="0084120B"/>
    <w:rsid w:val="00841288"/>
    <w:rsid w:val="008412A1"/>
    <w:rsid w:val="008412AF"/>
    <w:rsid w:val="00841333"/>
    <w:rsid w:val="0084133A"/>
    <w:rsid w:val="00841460"/>
    <w:rsid w:val="00841465"/>
    <w:rsid w:val="008414A5"/>
    <w:rsid w:val="008414BD"/>
    <w:rsid w:val="008414F9"/>
    <w:rsid w:val="0084156F"/>
    <w:rsid w:val="00841615"/>
    <w:rsid w:val="0084165A"/>
    <w:rsid w:val="008416DA"/>
    <w:rsid w:val="00841793"/>
    <w:rsid w:val="008417CB"/>
    <w:rsid w:val="008417DC"/>
    <w:rsid w:val="00841809"/>
    <w:rsid w:val="0084188A"/>
    <w:rsid w:val="00841987"/>
    <w:rsid w:val="008419EE"/>
    <w:rsid w:val="00841A0E"/>
    <w:rsid w:val="00841ACA"/>
    <w:rsid w:val="00841ACC"/>
    <w:rsid w:val="00841AFB"/>
    <w:rsid w:val="00841B1E"/>
    <w:rsid w:val="00841B9B"/>
    <w:rsid w:val="00841BB5"/>
    <w:rsid w:val="00841D13"/>
    <w:rsid w:val="00841D3F"/>
    <w:rsid w:val="00841D76"/>
    <w:rsid w:val="00841D87"/>
    <w:rsid w:val="00841DB3"/>
    <w:rsid w:val="00841DD9"/>
    <w:rsid w:val="00841DF9"/>
    <w:rsid w:val="00841E06"/>
    <w:rsid w:val="00841E1E"/>
    <w:rsid w:val="00841E3E"/>
    <w:rsid w:val="00841E3F"/>
    <w:rsid w:val="00841EFF"/>
    <w:rsid w:val="00841F04"/>
    <w:rsid w:val="00841F16"/>
    <w:rsid w:val="00841F17"/>
    <w:rsid w:val="00841F3B"/>
    <w:rsid w:val="00841F81"/>
    <w:rsid w:val="00841FCE"/>
    <w:rsid w:val="00841FDA"/>
    <w:rsid w:val="00841FE5"/>
    <w:rsid w:val="00841FFA"/>
    <w:rsid w:val="00842027"/>
    <w:rsid w:val="008420D4"/>
    <w:rsid w:val="00842106"/>
    <w:rsid w:val="00842142"/>
    <w:rsid w:val="008421BF"/>
    <w:rsid w:val="008421D9"/>
    <w:rsid w:val="008421E8"/>
    <w:rsid w:val="00842201"/>
    <w:rsid w:val="0084224A"/>
    <w:rsid w:val="008422F5"/>
    <w:rsid w:val="008422F7"/>
    <w:rsid w:val="00842476"/>
    <w:rsid w:val="008425AD"/>
    <w:rsid w:val="00842658"/>
    <w:rsid w:val="008426D8"/>
    <w:rsid w:val="00842732"/>
    <w:rsid w:val="008427A3"/>
    <w:rsid w:val="008428A3"/>
    <w:rsid w:val="00842934"/>
    <w:rsid w:val="008429A4"/>
    <w:rsid w:val="008429A7"/>
    <w:rsid w:val="008429F2"/>
    <w:rsid w:val="00842A45"/>
    <w:rsid w:val="00842B3D"/>
    <w:rsid w:val="00842BE2"/>
    <w:rsid w:val="00842CBC"/>
    <w:rsid w:val="00842CEA"/>
    <w:rsid w:val="00842CF2"/>
    <w:rsid w:val="00842D1A"/>
    <w:rsid w:val="00842D59"/>
    <w:rsid w:val="00842DE6"/>
    <w:rsid w:val="00842DF6"/>
    <w:rsid w:val="00842F17"/>
    <w:rsid w:val="00842FA1"/>
    <w:rsid w:val="00842FA4"/>
    <w:rsid w:val="00842FA8"/>
    <w:rsid w:val="0084304D"/>
    <w:rsid w:val="00843086"/>
    <w:rsid w:val="00843126"/>
    <w:rsid w:val="00843137"/>
    <w:rsid w:val="008431C8"/>
    <w:rsid w:val="00843254"/>
    <w:rsid w:val="0084330D"/>
    <w:rsid w:val="00843327"/>
    <w:rsid w:val="00843335"/>
    <w:rsid w:val="008433E1"/>
    <w:rsid w:val="00843465"/>
    <w:rsid w:val="0084352A"/>
    <w:rsid w:val="0084354E"/>
    <w:rsid w:val="00843553"/>
    <w:rsid w:val="0084358F"/>
    <w:rsid w:val="008435D2"/>
    <w:rsid w:val="00843646"/>
    <w:rsid w:val="00843662"/>
    <w:rsid w:val="008436AB"/>
    <w:rsid w:val="0084372E"/>
    <w:rsid w:val="008437C3"/>
    <w:rsid w:val="00843865"/>
    <w:rsid w:val="00843870"/>
    <w:rsid w:val="008438B4"/>
    <w:rsid w:val="00843958"/>
    <w:rsid w:val="00843A04"/>
    <w:rsid w:val="00843AF8"/>
    <w:rsid w:val="00843BBB"/>
    <w:rsid w:val="00843BBE"/>
    <w:rsid w:val="00843BFA"/>
    <w:rsid w:val="00843C2E"/>
    <w:rsid w:val="00843C36"/>
    <w:rsid w:val="00843C43"/>
    <w:rsid w:val="00843D61"/>
    <w:rsid w:val="00843D6E"/>
    <w:rsid w:val="00843D73"/>
    <w:rsid w:val="00843DA6"/>
    <w:rsid w:val="00843DB7"/>
    <w:rsid w:val="00843DD4"/>
    <w:rsid w:val="00843F0A"/>
    <w:rsid w:val="00843F34"/>
    <w:rsid w:val="00843F9F"/>
    <w:rsid w:val="0084401F"/>
    <w:rsid w:val="0084408F"/>
    <w:rsid w:val="008440E9"/>
    <w:rsid w:val="0084412A"/>
    <w:rsid w:val="0084416D"/>
    <w:rsid w:val="008441A1"/>
    <w:rsid w:val="008441D1"/>
    <w:rsid w:val="008441E4"/>
    <w:rsid w:val="0084425D"/>
    <w:rsid w:val="008442C7"/>
    <w:rsid w:val="008442DB"/>
    <w:rsid w:val="00844380"/>
    <w:rsid w:val="008443B6"/>
    <w:rsid w:val="00844410"/>
    <w:rsid w:val="00844411"/>
    <w:rsid w:val="008444C7"/>
    <w:rsid w:val="008444DC"/>
    <w:rsid w:val="008445B1"/>
    <w:rsid w:val="0084460F"/>
    <w:rsid w:val="0084463A"/>
    <w:rsid w:val="0084470E"/>
    <w:rsid w:val="008447B3"/>
    <w:rsid w:val="00844818"/>
    <w:rsid w:val="0084489E"/>
    <w:rsid w:val="008449E3"/>
    <w:rsid w:val="00844A1D"/>
    <w:rsid w:val="00844A23"/>
    <w:rsid w:val="00844A37"/>
    <w:rsid w:val="00844ABB"/>
    <w:rsid w:val="00844B24"/>
    <w:rsid w:val="00844B2A"/>
    <w:rsid w:val="00844B56"/>
    <w:rsid w:val="00844B88"/>
    <w:rsid w:val="00844C4A"/>
    <w:rsid w:val="00844C7E"/>
    <w:rsid w:val="00844D1D"/>
    <w:rsid w:val="00844D36"/>
    <w:rsid w:val="00844D49"/>
    <w:rsid w:val="00844DF3"/>
    <w:rsid w:val="00844E08"/>
    <w:rsid w:val="00844E64"/>
    <w:rsid w:val="00844E77"/>
    <w:rsid w:val="00844F27"/>
    <w:rsid w:val="00844F9E"/>
    <w:rsid w:val="00844FAD"/>
    <w:rsid w:val="00844FB6"/>
    <w:rsid w:val="00844FB9"/>
    <w:rsid w:val="00844FFC"/>
    <w:rsid w:val="008450DA"/>
    <w:rsid w:val="00845197"/>
    <w:rsid w:val="00845221"/>
    <w:rsid w:val="00845308"/>
    <w:rsid w:val="00845348"/>
    <w:rsid w:val="00845474"/>
    <w:rsid w:val="00845480"/>
    <w:rsid w:val="008454C2"/>
    <w:rsid w:val="0084550A"/>
    <w:rsid w:val="0084558B"/>
    <w:rsid w:val="00845597"/>
    <w:rsid w:val="00845654"/>
    <w:rsid w:val="008456E3"/>
    <w:rsid w:val="008456ED"/>
    <w:rsid w:val="00845814"/>
    <w:rsid w:val="0084587F"/>
    <w:rsid w:val="008458FE"/>
    <w:rsid w:val="0084591E"/>
    <w:rsid w:val="008459EF"/>
    <w:rsid w:val="00845A35"/>
    <w:rsid w:val="00845A89"/>
    <w:rsid w:val="00845B41"/>
    <w:rsid w:val="00845BBF"/>
    <w:rsid w:val="00845C39"/>
    <w:rsid w:val="00845C6E"/>
    <w:rsid w:val="00845CAE"/>
    <w:rsid w:val="00845CFB"/>
    <w:rsid w:val="00845D27"/>
    <w:rsid w:val="00845D91"/>
    <w:rsid w:val="00845DD3"/>
    <w:rsid w:val="00845DD6"/>
    <w:rsid w:val="00845E2A"/>
    <w:rsid w:val="00845E5A"/>
    <w:rsid w:val="00845EBF"/>
    <w:rsid w:val="00845ECE"/>
    <w:rsid w:val="00845EDA"/>
    <w:rsid w:val="00845F93"/>
    <w:rsid w:val="00845FBE"/>
    <w:rsid w:val="00845FC3"/>
    <w:rsid w:val="00845FC5"/>
    <w:rsid w:val="0084601D"/>
    <w:rsid w:val="008460A2"/>
    <w:rsid w:val="0084614E"/>
    <w:rsid w:val="0084625A"/>
    <w:rsid w:val="008462B2"/>
    <w:rsid w:val="008462F5"/>
    <w:rsid w:val="00846461"/>
    <w:rsid w:val="0084646A"/>
    <w:rsid w:val="008464CB"/>
    <w:rsid w:val="008464E7"/>
    <w:rsid w:val="00846622"/>
    <w:rsid w:val="00846642"/>
    <w:rsid w:val="00846688"/>
    <w:rsid w:val="008466C8"/>
    <w:rsid w:val="008466E6"/>
    <w:rsid w:val="00846733"/>
    <w:rsid w:val="008467A2"/>
    <w:rsid w:val="008467D3"/>
    <w:rsid w:val="008467DB"/>
    <w:rsid w:val="008467FE"/>
    <w:rsid w:val="00846847"/>
    <w:rsid w:val="0084687C"/>
    <w:rsid w:val="008468D5"/>
    <w:rsid w:val="008468E0"/>
    <w:rsid w:val="00846973"/>
    <w:rsid w:val="00846978"/>
    <w:rsid w:val="00846993"/>
    <w:rsid w:val="008469B6"/>
    <w:rsid w:val="00846B6E"/>
    <w:rsid w:val="00846C00"/>
    <w:rsid w:val="00846C62"/>
    <w:rsid w:val="00846CA0"/>
    <w:rsid w:val="00846D03"/>
    <w:rsid w:val="00846D5D"/>
    <w:rsid w:val="00846D92"/>
    <w:rsid w:val="00846E10"/>
    <w:rsid w:val="00846E57"/>
    <w:rsid w:val="00846E96"/>
    <w:rsid w:val="00846EC7"/>
    <w:rsid w:val="00846EC8"/>
    <w:rsid w:val="00846F0F"/>
    <w:rsid w:val="00846F2A"/>
    <w:rsid w:val="00846FDE"/>
    <w:rsid w:val="00847017"/>
    <w:rsid w:val="0084708B"/>
    <w:rsid w:val="0084709A"/>
    <w:rsid w:val="008470DF"/>
    <w:rsid w:val="008470E5"/>
    <w:rsid w:val="0084713E"/>
    <w:rsid w:val="0084718F"/>
    <w:rsid w:val="008471F9"/>
    <w:rsid w:val="00847278"/>
    <w:rsid w:val="0084727C"/>
    <w:rsid w:val="0084728A"/>
    <w:rsid w:val="00847295"/>
    <w:rsid w:val="00847354"/>
    <w:rsid w:val="008473C2"/>
    <w:rsid w:val="008473F2"/>
    <w:rsid w:val="0084749E"/>
    <w:rsid w:val="008474E8"/>
    <w:rsid w:val="0084756B"/>
    <w:rsid w:val="0084758A"/>
    <w:rsid w:val="0084762D"/>
    <w:rsid w:val="0084769C"/>
    <w:rsid w:val="008476B3"/>
    <w:rsid w:val="008476BD"/>
    <w:rsid w:val="008476C8"/>
    <w:rsid w:val="0084777E"/>
    <w:rsid w:val="008477BD"/>
    <w:rsid w:val="00847819"/>
    <w:rsid w:val="00847905"/>
    <w:rsid w:val="00847926"/>
    <w:rsid w:val="0084798C"/>
    <w:rsid w:val="008479A2"/>
    <w:rsid w:val="008479E9"/>
    <w:rsid w:val="00847A15"/>
    <w:rsid w:val="00847A53"/>
    <w:rsid w:val="00847A80"/>
    <w:rsid w:val="00847AA1"/>
    <w:rsid w:val="00847B11"/>
    <w:rsid w:val="00847B6E"/>
    <w:rsid w:val="00847BC9"/>
    <w:rsid w:val="00847BE8"/>
    <w:rsid w:val="00847C2D"/>
    <w:rsid w:val="00847C2F"/>
    <w:rsid w:val="00847CA2"/>
    <w:rsid w:val="00847CAF"/>
    <w:rsid w:val="00847CCF"/>
    <w:rsid w:val="00847CD2"/>
    <w:rsid w:val="00847D24"/>
    <w:rsid w:val="00847D54"/>
    <w:rsid w:val="00847D8D"/>
    <w:rsid w:val="00847DFA"/>
    <w:rsid w:val="00847E4C"/>
    <w:rsid w:val="00847E51"/>
    <w:rsid w:val="00847EE4"/>
    <w:rsid w:val="00847F3E"/>
    <w:rsid w:val="00847FAC"/>
    <w:rsid w:val="00847FD2"/>
    <w:rsid w:val="00847FD9"/>
    <w:rsid w:val="00850018"/>
    <w:rsid w:val="00850047"/>
    <w:rsid w:val="0085005F"/>
    <w:rsid w:val="00850082"/>
    <w:rsid w:val="00850188"/>
    <w:rsid w:val="00850190"/>
    <w:rsid w:val="008501A2"/>
    <w:rsid w:val="008501CC"/>
    <w:rsid w:val="0085022B"/>
    <w:rsid w:val="00850238"/>
    <w:rsid w:val="00850254"/>
    <w:rsid w:val="00850273"/>
    <w:rsid w:val="0085041E"/>
    <w:rsid w:val="00850433"/>
    <w:rsid w:val="0085044C"/>
    <w:rsid w:val="0085046C"/>
    <w:rsid w:val="00850473"/>
    <w:rsid w:val="008504F3"/>
    <w:rsid w:val="00850514"/>
    <w:rsid w:val="0085054B"/>
    <w:rsid w:val="008505A9"/>
    <w:rsid w:val="008505F5"/>
    <w:rsid w:val="00850617"/>
    <w:rsid w:val="008506EC"/>
    <w:rsid w:val="00850770"/>
    <w:rsid w:val="008507A0"/>
    <w:rsid w:val="0085087C"/>
    <w:rsid w:val="0085087D"/>
    <w:rsid w:val="008508A9"/>
    <w:rsid w:val="008508B1"/>
    <w:rsid w:val="008508EE"/>
    <w:rsid w:val="0085098A"/>
    <w:rsid w:val="008509C7"/>
    <w:rsid w:val="00850A19"/>
    <w:rsid w:val="00850A48"/>
    <w:rsid w:val="00850A54"/>
    <w:rsid w:val="00850A5E"/>
    <w:rsid w:val="00850AA6"/>
    <w:rsid w:val="00850AD1"/>
    <w:rsid w:val="00850AEE"/>
    <w:rsid w:val="00850B21"/>
    <w:rsid w:val="00850B60"/>
    <w:rsid w:val="00850BA1"/>
    <w:rsid w:val="00850BCF"/>
    <w:rsid w:val="00850BDF"/>
    <w:rsid w:val="00850BE0"/>
    <w:rsid w:val="00850C00"/>
    <w:rsid w:val="00850C0C"/>
    <w:rsid w:val="00850C12"/>
    <w:rsid w:val="00850C87"/>
    <w:rsid w:val="00850CF2"/>
    <w:rsid w:val="00850D4F"/>
    <w:rsid w:val="00850D83"/>
    <w:rsid w:val="00850DB4"/>
    <w:rsid w:val="00850E3F"/>
    <w:rsid w:val="00850E44"/>
    <w:rsid w:val="00850E59"/>
    <w:rsid w:val="00850F65"/>
    <w:rsid w:val="00850FC6"/>
    <w:rsid w:val="00851029"/>
    <w:rsid w:val="0085104B"/>
    <w:rsid w:val="0085105A"/>
    <w:rsid w:val="0085105D"/>
    <w:rsid w:val="00851076"/>
    <w:rsid w:val="008510AE"/>
    <w:rsid w:val="008510FE"/>
    <w:rsid w:val="00851197"/>
    <w:rsid w:val="00851249"/>
    <w:rsid w:val="008512FD"/>
    <w:rsid w:val="00851355"/>
    <w:rsid w:val="00851441"/>
    <w:rsid w:val="00851445"/>
    <w:rsid w:val="00851466"/>
    <w:rsid w:val="008514D2"/>
    <w:rsid w:val="008514F7"/>
    <w:rsid w:val="00851504"/>
    <w:rsid w:val="00851515"/>
    <w:rsid w:val="00851547"/>
    <w:rsid w:val="008515FB"/>
    <w:rsid w:val="0085160F"/>
    <w:rsid w:val="0085166D"/>
    <w:rsid w:val="008517A1"/>
    <w:rsid w:val="008517D2"/>
    <w:rsid w:val="008517FB"/>
    <w:rsid w:val="00851847"/>
    <w:rsid w:val="0085187D"/>
    <w:rsid w:val="008518DA"/>
    <w:rsid w:val="008518E4"/>
    <w:rsid w:val="00851912"/>
    <w:rsid w:val="0085193C"/>
    <w:rsid w:val="0085195A"/>
    <w:rsid w:val="00851A22"/>
    <w:rsid w:val="00851A40"/>
    <w:rsid w:val="00851A48"/>
    <w:rsid w:val="00851A5A"/>
    <w:rsid w:val="00851AC8"/>
    <w:rsid w:val="00851B12"/>
    <w:rsid w:val="00851B21"/>
    <w:rsid w:val="00851B6B"/>
    <w:rsid w:val="00851B92"/>
    <w:rsid w:val="00851C24"/>
    <w:rsid w:val="00851C28"/>
    <w:rsid w:val="00851CC5"/>
    <w:rsid w:val="00851D22"/>
    <w:rsid w:val="00851D8B"/>
    <w:rsid w:val="00851DE0"/>
    <w:rsid w:val="00851E2A"/>
    <w:rsid w:val="00851E4B"/>
    <w:rsid w:val="00851EA7"/>
    <w:rsid w:val="00851EC0"/>
    <w:rsid w:val="00851EFD"/>
    <w:rsid w:val="00851F0B"/>
    <w:rsid w:val="00851F3C"/>
    <w:rsid w:val="00851F52"/>
    <w:rsid w:val="00851F81"/>
    <w:rsid w:val="00851F93"/>
    <w:rsid w:val="00851FA6"/>
    <w:rsid w:val="008521B7"/>
    <w:rsid w:val="008521EF"/>
    <w:rsid w:val="008522EC"/>
    <w:rsid w:val="0085230B"/>
    <w:rsid w:val="00852321"/>
    <w:rsid w:val="008523D4"/>
    <w:rsid w:val="00852410"/>
    <w:rsid w:val="00852425"/>
    <w:rsid w:val="00852453"/>
    <w:rsid w:val="008524E5"/>
    <w:rsid w:val="00852504"/>
    <w:rsid w:val="0085250E"/>
    <w:rsid w:val="0085256A"/>
    <w:rsid w:val="00852590"/>
    <w:rsid w:val="008525DA"/>
    <w:rsid w:val="008525E1"/>
    <w:rsid w:val="0085260C"/>
    <w:rsid w:val="00852616"/>
    <w:rsid w:val="0085265E"/>
    <w:rsid w:val="008526FE"/>
    <w:rsid w:val="00852704"/>
    <w:rsid w:val="0085275E"/>
    <w:rsid w:val="008527F6"/>
    <w:rsid w:val="00852832"/>
    <w:rsid w:val="00852867"/>
    <w:rsid w:val="0085286D"/>
    <w:rsid w:val="0085288A"/>
    <w:rsid w:val="008528C4"/>
    <w:rsid w:val="00852957"/>
    <w:rsid w:val="008529A3"/>
    <w:rsid w:val="008529F5"/>
    <w:rsid w:val="00852AA9"/>
    <w:rsid w:val="00852AF1"/>
    <w:rsid w:val="00852AF4"/>
    <w:rsid w:val="00852B03"/>
    <w:rsid w:val="00852B1A"/>
    <w:rsid w:val="00852B4E"/>
    <w:rsid w:val="00852BAD"/>
    <w:rsid w:val="00852C27"/>
    <w:rsid w:val="00852C48"/>
    <w:rsid w:val="00852C5A"/>
    <w:rsid w:val="00852C79"/>
    <w:rsid w:val="00852CC3"/>
    <w:rsid w:val="00852DCB"/>
    <w:rsid w:val="00852E64"/>
    <w:rsid w:val="00852E84"/>
    <w:rsid w:val="00852EC4"/>
    <w:rsid w:val="00852F2C"/>
    <w:rsid w:val="00852F43"/>
    <w:rsid w:val="00852F99"/>
    <w:rsid w:val="00852FF3"/>
    <w:rsid w:val="00853068"/>
    <w:rsid w:val="008530AB"/>
    <w:rsid w:val="0085313F"/>
    <w:rsid w:val="00853238"/>
    <w:rsid w:val="008532A9"/>
    <w:rsid w:val="00853304"/>
    <w:rsid w:val="0085334F"/>
    <w:rsid w:val="00853357"/>
    <w:rsid w:val="0085336F"/>
    <w:rsid w:val="008533D1"/>
    <w:rsid w:val="0085358B"/>
    <w:rsid w:val="008535CC"/>
    <w:rsid w:val="008535F8"/>
    <w:rsid w:val="0085366F"/>
    <w:rsid w:val="00853677"/>
    <w:rsid w:val="0085369B"/>
    <w:rsid w:val="0085369D"/>
    <w:rsid w:val="008536C0"/>
    <w:rsid w:val="008536DE"/>
    <w:rsid w:val="00853741"/>
    <w:rsid w:val="0085385A"/>
    <w:rsid w:val="00853907"/>
    <w:rsid w:val="00853912"/>
    <w:rsid w:val="00853923"/>
    <w:rsid w:val="008539AB"/>
    <w:rsid w:val="008539F4"/>
    <w:rsid w:val="00853A2B"/>
    <w:rsid w:val="00853B62"/>
    <w:rsid w:val="00853C68"/>
    <w:rsid w:val="00853C9F"/>
    <w:rsid w:val="00853CD8"/>
    <w:rsid w:val="00853CE5"/>
    <w:rsid w:val="00853D3B"/>
    <w:rsid w:val="00853DCC"/>
    <w:rsid w:val="00853DDB"/>
    <w:rsid w:val="00853DDE"/>
    <w:rsid w:val="00853DE0"/>
    <w:rsid w:val="00853E02"/>
    <w:rsid w:val="00853E9A"/>
    <w:rsid w:val="00853F0D"/>
    <w:rsid w:val="00853FA8"/>
    <w:rsid w:val="0085403E"/>
    <w:rsid w:val="0085411E"/>
    <w:rsid w:val="0085415A"/>
    <w:rsid w:val="008541E3"/>
    <w:rsid w:val="00854263"/>
    <w:rsid w:val="008542CD"/>
    <w:rsid w:val="00854314"/>
    <w:rsid w:val="00854323"/>
    <w:rsid w:val="00854489"/>
    <w:rsid w:val="008544A2"/>
    <w:rsid w:val="00854515"/>
    <w:rsid w:val="00854541"/>
    <w:rsid w:val="00854585"/>
    <w:rsid w:val="008545AD"/>
    <w:rsid w:val="008545C6"/>
    <w:rsid w:val="00854601"/>
    <w:rsid w:val="0085460A"/>
    <w:rsid w:val="0085462A"/>
    <w:rsid w:val="00854692"/>
    <w:rsid w:val="008546B3"/>
    <w:rsid w:val="008546B6"/>
    <w:rsid w:val="0085475A"/>
    <w:rsid w:val="00854780"/>
    <w:rsid w:val="00854889"/>
    <w:rsid w:val="00854978"/>
    <w:rsid w:val="00854A01"/>
    <w:rsid w:val="00854A50"/>
    <w:rsid w:val="00854A51"/>
    <w:rsid w:val="00854AA2"/>
    <w:rsid w:val="00854AAD"/>
    <w:rsid w:val="00854B7A"/>
    <w:rsid w:val="00854BA5"/>
    <w:rsid w:val="00854C39"/>
    <w:rsid w:val="00854CA2"/>
    <w:rsid w:val="00854D82"/>
    <w:rsid w:val="00854DC3"/>
    <w:rsid w:val="00854E99"/>
    <w:rsid w:val="00854EAB"/>
    <w:rsid w:val="00854F51"/>
    <w:rsid w:val="00854FC5"/>
    <w:rsid w:val="00855094"/>
    <w:rsid w:val="00855106"/>
    <w:rsid w:val="0085529E"/>
    <w:rsid w:val="00855398"/>
    <w:rsid w:val="008553EB"/>
    <w:rsid w:val="00855407"/>
    <w:rsid w:val="00855422"/>
    <w:rsid w:val="00855431"/>
    <w:rsid w:val="00855466"/>
    <w:rsid w:val="0085554E"/>
    <w:rsid w:val="00855661"/>
    <w:rsid w:val="008556B9"/>
    <w:rsid w:val="0085571F"/>
    <w:rsid w:val="0085572E"/>
    <w:rsid w:val="00855784"/>
    <w:rsid w:val="00855791"/>
    <w:rsid w:val="008557B9"/>
    <w:rsid w:val="008557DC"/>
    <w:rsid w:val="008557FC"/>
    <w:rsid w:val="00855856"/>
    <w:rsid w:val="00855867"/>
    <w:rsid w:val="008558F2"/>
    <w:rsid w:val="008558F6"/>
    <w:rsid w:val="00855911"/>
    <w:rsid w:val="0085593D"/>
    <w:rsid w:val="008559F3"/>
    <w:rsid w:val="00855A1D"/>
    <w:rsid w:val="00855A2E"/>
    <w:rsid w:val="00855A4F"/>
    <w:rsid w:val="00855AF0"/>
    <w:rsid w:val="00855C87"/>
    <w:rsid w:val="00855CCD"/>
    <w:rsid w:val="00855CD7"/>
    <w:rsid w:val="00855E7E"/>
    <w:rsid w:val="00855F76"/>
    <w:rsid w:val="00855F83"/>
    <w:rsid w:val="00855FC7"/>
    <w:rsid w:val="00855FFF"/>
    <w:rsid w:val="00856005"/>
    <w:rsid w:val="00856035"/>
    <w:rsid w:val="0085603A"/>
    <w:rsid w:val="00856098"/>
    <w:rsid w:val="008560AF"/>
    <w:rsid w:val="008560C1"/>
    <w:rsid w:val="008560D0"/>
    <w:rsid w:val="008560E5"/>
    <w:rsid w:val="00856134"/>
    <w:rsid w:val="008561E7"/>
    <w:rsid w:val="00856244"/>
    <w:rsid w:val="0085626D"/>
    <w:rsid w:val="0085630C"/>
    <w:rsid w:val="00856310"/>
    <w:rsid w:val="00856385"/>
    <w:rsid w:val="008563D1"/>
    <w:rsid w:val="00856433"/>
    <w:rsid w:val="0085644E"/>
    <w:rsid w:val="008564E5"/>
    <w:rsid w:val="00856516"/>
    <w:rsid w:val="00856539"/>
    <w:rsid w:val="008565A8"/>
    <w:rsid w:val="008566A9"/>
    <w:rsid w:val="008566F2"/>
    <w:rsid w:val="0085671F"/>
    <w:rsid w:val="00856749"/>
    <w:rsid w:val="008567C0"/>
    <w:rsid w:val="00856800"/>
    <w:rsid w:val="0085681B"/>
    <w:rsid w:val="00856859"/>
    <w:rsid w:val="00856873"/>
    <w:rsid w:val="0085689B"/>
    <w:rsid w:val="008568B5"/>
    <w:rsid w:val="008569DB"/>
    <w:rsid w:val="008569EF"/>
    <w:rsid w:val="00856A72"/>
    <w:rsid w:val="00856A91"/>
    <w:rsid w:val="00856AAC"/>
    <w:rsid w:val="00856B0D"/>
    <w:rsid w:val="00856B17"/>
    <w:rsid w:val="00856B3E"/>
    <w:rsid w:val="00856C3A"/>
    <w:rsid w:val="00856C68"/>
    <w:rsid w:val="00856C6C"/>
    <w:rsid w:val="00856CD8"/>
    <w:rsid w:val="00856DA9"/>
    <w:rsid w:val="00856DE4"/>
    <w:rsid w:val="00856E3A"/>
    <w:rsid w:val="00856E3E"/>
    <w:rsid w:val="00856E8A"/>
    <w:rsid w:val="00856E8C"/>
    <w:rsid w:val="00856EAD"/>
    <w:rsid w:val="00856ED8"/>
    <w:rsid w:val="00856F05"/>
    <w:rsid w:val="00857017"/>
    <w:rsid w:val="00857046"/>
    <w:rsid w:val="00857072"/>
    <w:rsid w:val="00857077"/>
    <w:rsid w:val="0085709D"/>
    <w:rsid w:val="00857124"/>
    <w:rsid w:val="00857173"/>
    <w:rsid w:val="00857267"/>
    <w:rsid w:val="00857272"/>
    <w:rsid w:val="008572D4"/>
    <w:rsid w:val="008572FF"/>
    <w:rsid w:val="00857381"/>
    <w:rsid w:val="008573B8"/>
    <w:rsid w:val="0085744E"/>
    <w:rsid w:val="0085751D"/>
    <w:rsid w:val="0085751F"/>
    <w:rsid w:val="0085755F"/>
    <w:rsid w:val="00857564"/>
    <w:rsid w:val="0085757D"/>
    <w:rsid w:val="008575A6"/>
    <w:rsid w:val="008575AE"/>
    <w:rsid w:val="00857607"/>
    <w:rsid w:val="0085761A"/>
    <w:rsid w:val="008576E7"/>
    <w:rsid w:val="0085775F"/>
    <w:rsid w:val="008577A3"/>
    <w:rsid w:val="00857954"/>
    <w:rsid w:val="00857962"/>
    <w:rsid w:val="00857968"/>
    <w:rsid w:val="0085796A"/>
    <w:rsid w:val="00857985"/>
    <w:rsid w:val="008579DA"/>
    <w:rsid w:val="00857AAB"/>
    <w:rsid w:val="00857ABF"/>
    <w:rsid w:val="00857AF2"/>
    <w:rsid w:val="00857BA1"/>
    <w:rsid w:val="00857BC6"/>
    <w:rsid w:val="00857BCF"/>
    <w:rsid w:val="00857BF4"/>
    <w:rsid w:val="00857C7B"/>
    <w:rsid w:val="00857D15"/>
    <w:rsid w:val="00857D1E"/>
    <w:rsid w:val="00857D69"/>
    <w:rsid w:val="00857DFF"/>
    <w:rsid w:val="00857E2B"/>
    <w:rsid w:val="00857E61"/>
    <w:rsid w:val="00857E6C"/>
    <w:rsid w:val="00857E76"/>
    <w:rsid w:val="00857E78"/>
    <w:rsid w:val="00857ED8"/>
    <w:rsid w:val="00857FA0"/>
    <w:rsid w:val="00857FEA"/>
    <w:rsid w:val="00860046"/>
    <w:rsid w:val="0086007D"/>
    <w:rsid w:val="0086009D"/>
    <w:rsid w:val="00860169"/>
    <w:rsid w:val="008601BA"/>
    <w:rsid w:val="0086028D"/>
    <w:rsid w:val="00860292"/>
    <w:rsid w:val="008602A7"/>
    <w:rsid w:val="00860359"/>
    <w:rsid w:val="00860384"/>
    <w:rsid w:val="008603B4"/>
    <w:rsid w:val="008603CE"/>
    <w:rsid w:val="008603E7"/>
    <w:rsid w:val="008604FA"/>
    <w:rsid w:val="008604FF"/>
    <w:rsid w:val="0086053E"/>
    <w:rsid w:val="0086064B"/>
    <w:rsid w:val="00860745"/>
    <w:rsid w:val="0086079E"/>
    <w:rsid w:val="008607B4"/>
    <w:rsid w:val="0086080D"/>
    <w:rsid w:val="008608A6"/>
    <w:rsid w:val="008608BA"/>
    <w:rsid w:val="008608DA"/>
    <w:rsid w:val="00860902"/>
    <w:rsid w:val="00860937"/>
    <w:rsid w:val="00860950"/>
    <w:rsid w:val="0086095F"/>
    <w:rsid w:val="008609A1"/>
    <w:rsid w:val="00860A45"/>
    <w:rsid w:val="00860A5A"/>
    <w:rsid w:val="00860AC4"/>
    <w:rsid w:val="00860B44"/>
    <w:rsid w:val="00860B4F"/>
    <w:rsid w:val="00860C25"/>
    <w:rsid w:val="00860C70"/>
    <w:rsid w:val="00860D56"/>
    <w:rsid w:val="00860DC4"/>
    <w:rsid w:val="00860E53"/>
    <w:rsid w:val="00860F33"/>
    <w:rsid w:val="00860F4B"/>
    <w:rsid w:val="0086106C"/>
    <w:rsid w:val="008610BC"/>
    <w:rsid w:val="008610F3"/>
    <w:rsid w:val="008611E6"/>
    <w:rsid w:val="00861220"/>
    <w:rsid w:val="0086126E"/>
    <w:rsid w:val="00861284"/>
    <w:rsid w:val="0086128E"/>
    <w:rsid w:val="008612AA"/>
    <w:rsid w:val="008612E5"/>
    <w:rsid w:val="0086133D"/>
    <w:rsid w:val="0086136D"/>
    <w:rsid w:val="008613AB"/>
    <w:rsid w:val="0086148A"/>
    <w:rsid w:val="008614AC"/>
    <w:rsid w:val="00861527"/>
    <w:rsid w:val="00861543"/>
    <w:rsid w:val="008615EA"/>
    <w:rsid w:val="00861697"/>
    <w:rsid w:val="008616B1"/>
    <w:rsid w:val="008616D8"/>
    <w:rsid w:val="00861702"/>
    <w:rsid w:val="00861776"/>
    <w:rsid w:val="00861797"/>
    <w:rsid w:val="008617BC"/>
    <w:rsid w:val="00861867"/>
    <w:rsid w:val="0086189E"/>
    <w:rsid w:val="008618B1"/>
    <w:rsid w:val="00861933"/>
    <w:rsid w:val="00861946"/>
    <w:rsid w:val="00861987"/>
    <w:rsid w:val="008619A4"/>
    <w:rsid w:val="008619CB"/>
    <w:rsid w:val="00861A06"/>
    <w:rsid w:val="00861A07"/>
    <w:rsid w:val="00861A32"/>
    <w:rsid w:val="00861AE9"/>
    <w:rsid w:val="00861B03"/>
    <w:rsid w:val="00861B1F"/>
    <w:rsid w:val="00861B28"/>
    <w:rsid w:val="00861B30"/>
    <w:rsid w:val="00861B53"/>
    <w:rsid w:val="00861B78"/>
    <w:rsid w:val="00861BC0"/>
    <w:rsid w:val="00861BFA"/>
    <w:rsid w:val="00861C1E"/>
    <w:rsid w:val="00861D57"/>
    <w:rsid w:val="00861DA7"/>
    <w:rsid w:val="00861DB2"/>
    <w:rsid w:val="00861DD5"/>
    <w:rsid w:val="00861DF4"/>
    <w:rsid w:val="00861E0E"/>
    <w:rsid w:val="00861E70"/>
    <w:rsid w:val="00861ECA"/>
    <w:rsid w:val="00861F2A"/>
    <w:rsid w:val="00861F9F"/>
    <w:rsid w:val="0086202B"/>
    <w:rsid w:val="008620AD"/>
    <w:rsid w:val="008620FE"/>
    <w:rsid w:val="00862256"/>
    <w:rsid w:val="008623EF"/>
    <w:rsid w:val="0086243A"/>
    <w:rsid w:val="00862496"/>
    <w:rsid w:val="008624B7"/>
    <w:rsid w:val="00862513"/>
    <w:rsid w:val="008625E7"/>
    <w:rsid w:val="00862647"/>
    <w:rsid w:val="00862787"/>
    <w:rsid w:val="008628A1"/>
    <w:rsid w:val="008628D8"/>
    <w:rsid w:val="00862954"/>
    <w:rsid w:val="008629C4"/>
    <w:rsid w:val="008629C5"/>
    <w:rsid w:val="00862A28"/>
    <w:rsid w:val="00862A6A"/>
    <w:rsid w:val="00862B61"/>
    <w:rsid w:val="00862B66"/>
    <w:rsid w:val="00862BB3"/>
    <w:rsid w:val="00862BC6"/>
    <w:rsid w:val="00862BFC"/>
    <w:rsid w:val="00862C2E"/>
    <w:rsid w:val="00862D0B"/>
    <w:rsid w:val="00862D33"/>
    <w:rsid w:val="00862D45"/>
    <w:rsid w:val="00862DE0"/>
    <w:rsid w:val="00862E85"/>
    <w:rsid w:val="00862E9C"/>
    <w:rsid w:val="00862EC5"/>
    <w:rsid w:val="00862F06"/>
    <w:rsid w:val="00862F0B"/>
    <w:rsid w:val="00862F62"/>
    <w:rsid w:val="00862F6B"/>
    <w:rsid w:val="00862F9C"/>
    <w:rsid w:val="00863021"/>
    <w:rsid w:val="0086303E"/>
    <w:rsid w:val="00863176"/>
    <w:rsid w:val="0086318F"/>
    <w:rsid w:val="00863208"/>
    <w:rsid w:val="00863220"/>
    <w:rsid w:val="008632C7"/>
    <w:rsid w:val="008632C8"/>
    <w:rsid w:val="0086332D"/>
    <w:rsid w:val="0086332E"/>
    <w:rsid w:val="0086333C"/>
    <w:rsid w:val="008633AE"/>
    <w:rsid w:val="008633F1"/>
    <w:rsid w:val="008633F2"/>
    <w:rsid w:val="008633F9"/>
    <w:rsid w:val="008634DE"/>
    <w:rsid w:val="008634EB"/>
    <w:rsid w:val="008634EE"/>
    <w:rsid w:val="008634FC"/>
    <w:rsid w:val="0086353F"/>
    <w:rsid w:val="00863558"/>
    <w:rsid w:val="00863646"/>
    <w:rsid w:val="00863657"/>
    <w:rsid w:val="008636FB"/>
    <w:rsid w:val="00863713"/>
    <w:rsid w:val="0086377D"/>
    <w:rsid w:val="0086378C"/>
    <w:rsid w:val="008637A9"/>
    <w:rsid w:val="008637E4"/>
    <w:rsid w:val="008638A8"/>
    <w:rsid w:val="00863921"/>
    <w:rsid w:val="0086393F"/>
    <w:rsid w:val="00863959"/>
    <w:rsid w:val="00863985"/>
    <w:rsid w:val="0086399F"/>
    <w:rsid w:val="008639E4"/>
    <w:rsid w:val="00863A33"/>
    <w:rsid w:val="00863B8E"/>
    <w:rsid w:val="00863BBB"/>
    <w:rsid w:val="00863BBD"/>
    <w:rsid w:val="00863CE8"/>
    <w:rsid w:val="00863DCD"/>
    <w:rsid w:val="00863ECD"/>
    <w:rsid w:val="00863F2B"/>
    <w:rsid w:val="00863F64"/>
    <w:rsid w:val="00863F93"/>
    <w:rsid w:val="00863FE2"/>
    <w:rsid w:val="00864110"/>
    <w:rsid w:val="00864118"/>
    <w:rsid w:val="0086411A"/>
    <w:rsid w:val="00864128"/>
    <w:rsid w:val="008641D3"/>
    <w:rsid w:val="008641DF"/>
    <w:rsid w:val="00864200"/>
    <w:rsid w:val="00864251"/>
    <w:rsid w:val="008642A7"/>
    <w:rsid w:val="008642A8"/>
    <w:rsid w:val="008642BA"/>
    <w:rsid w:val="008642C2"/>
    <w:rsid w:val="00864313"/>
    <w:rsid w:val="008643BE"/>
    <w:rsid w:val="008643C5"/>
    <w:rsid w:val="0086446D"/>
    <w:rsid w:val="008644F9"/>
    <w:rsid w:val="00864525"/>
    <w:rsid w:val="00864571"/>
    <w:rsid w:val="0086461B"/>
    <w:rsid w:val="00864647"/>
    <w:rsid w:val="0086465D"/>
    <w:rsid w:val="008646C7"/>
    <w:rsid w:val="00864710"/>
    <w:rsid w:val="00864751"/>
    <w:rsid w:val="008647E5"/>
    <w:rsid w:val="0086485B"/>
    <w:rsid w:val="008648CB"/>
    <w:rsid w:val="008648DD"/>
    <w:rsid w:val="00864922"/>
    <w:rsid w:val="00864956"/>
    <w:rsid w:val="00864966"/>
    <w:rsid w:val="0086499E"/>
    <w:rsid w:val="0086499F"/>
    <w:rsid w:val="008649A3"/>
    <w:rsid w:val="00864A06"/>
    <w:rsid w:val="00864A11"/>
    <w:rsid w:val="00864A65"/>
    <w:rsid w:val="00864A8F"/>
    <w:rsid w:val="00864AE4"/>
    <w:rsid w:val="00864B05"/>
    <w:rsid w:val="00864B43"/>
    <w:rsid w:val="00864B6B"/>
    <w:rsid w:val="00864BD3"/>
    <w:rsid w:val="00864BE4"/>
    <w:rsid w:val="00864BF4"/>
    <w:rsid w:val="00864C3B"/>
    <w:rsid w:val="00864C3D"/>
    <w:rsid w:val="00864DB9"/>
    <w:rsid w:val="00864DDC"/>
    <w:rsid w:val="00864E35"/>
    <w:rsid w:val="00864F83"/>
    <w:rsid w:val="00864FD5"/>
    <w:rsid w:val="00864FEE"/>
    <w:rsid w:val="00865033"/>
    <w:rsid w:val="0086505B"/>
    <w:rsid w:val="00865086"/>
    <w:rsid w:val="0086517C"/>
    <w:rsid w:val="008651B7"/>
    <w:rsid w:val="00865266"/>
    <w:rsid w:val="00865312"/>
    <w:rsid w:val="00865318"/>
    <w:rsid w:val="008653C6"/>
    <w:rsid w:val="0086548F"/>
    <w:rsid w:val="008654F6"/>
    <w:rsid w:val="0086550A"/>
    <w:rsid w:val="0086552E"/>
    <w:rsid w:val="00865571"/>
    <w:rsid w:val="0086557A"/>
    <w:rsid w:val="008655A8"/>
    <w:rsid w:val="008655F6"/>
    <w:rsid w:val="00865612"/>
    <w:rsid w:val="00865622"/>
    <w:rsid w:val="00865640"/>
    <w:rsid w:val="008656D0"/>
    <w:rsid w:val="008656E9"/>
    <w:rsid w:val="0086571C"/>
    <w:rsid w:val="008657B4"/>
    <w:rsid w:val="00865887"/>
    <w:rsid w:val="00865899"/>
    <w:rsid w:val="0086594C"/>
    <w:rsid w:val="00865957"/>
    <w:rsid w:val="0086599F"/>
    <w:rsid w:val="008659E2"/>
    <w:rsid w:val="008659FD"/>
    <w:rsid w:val="00865A09"/>
    <w:rsid w:val="00865AA4"/>
    <w:rsid w:val="00865B1A"/>
    <w:rsid w:val="00865B5D"/>
    <w:rsid w:val="00865BBB"/>
    <w:rsid w:val="00865BFD"/>
    <w:rsid w:val="00865C06"/>
    <w:rsid w:val="00865C27"/>
    <w:rsid w:val="00865C9A"/>
    <w:rsid w:val="00865CA3"/>
    <w:rsid w:val="00865CF6"/>
    <w:rsid w:val="00865D2F"/>
    <w:rsid w:val="00865D30"/>
    <w:rsid w:val="00865DEE"/>
    <w:rsid w:val="00865E19"/>
    <w:rsid w:val="00865F5D"/>
    <w:rsid w:val="00865F64"/>
    <w:rsid w:val="00865F76"/>
    <w:rsid w:val="00866007"/>
    <w:rsid w:val="0086600A"/>
    <w:rsid w:val="0086606F"/>
    <w:rsid w:val="008660FA"/>
    <w:rsid w:val="00866117"/>
    <w:rsid w:val="0086615B"/>
    <w:rsid w:val="00866196"/>
    <w:rsid w:val="008661D8"/>
    <w:rsid w:val="00866214"/>
    <w:rsid w:val="00866234"/>
    <w:rsid w:val="00866239"/>
    <w:rsid w:val="008662E1"/>
    <w:rsid w:val="00866318"/>
    <w:rsid w:val="008664B3"/>
    <w:rsid w:val="008664B5"/>
    <w:rsid w:val="008664C5"/>
    <w:rsid w:val="008664F3"/>
    <w:rsid w:val="00866563"/>
    <w:rsid w:val="00866635"/>
    <w:rsid w:val="00866637"/>
    <w:rsid w:val="00866665"/>
    <w:rsid w:val="0086666D"/>
    <w:rsid w:val="00866678"/>
    <w:rsid w:val="0086669E"/>
    <w:rsid w:val="00866770"/>
    <w:rsid w:val="008667B9"/>
    <w:rsid w:val="008668B2"/>
    <w:rsid w:val="008668C2"/>
    <w:rsid w:val="008668DD"/>
    <w:rsid w:val="0086694F"/>
    <w:rsid w:val="00866A26"/>
    <w:rsid w:val="00866A2F"/>
    <w:rsid w:val="00866A56"/>
    <w:rsid w:val="00866A7A"/>
    <w:rsid w:val="00866B2E"/>
    <w:rsid w:val="00866B5C"/>
    <w:rsid w:val="00866BC6"/>
    <w:rsid w:val="00866C75"/>
    <w:rsid w:val="00866D69"/>
    <w:rsid w:val="00866D9A"/>
    <w:rsid w:val="00866E49"/>
    <w:rsid w:val="00866EB2"/>
    <w:rsid w:val="00866F05"/>
    <w:rsid w:val="00866F3B"/>
    <w:rsid w:val="00866F51"/>
    <w:rsid w:val="00866F93"/>
    <w:rsid w:val="00866FE4"/>
    <w:rsid w:val="00866FF5"/>
    <w:rsid w:val="008670D0"/>
    <w:rsid w:val="008670EC"/>
    <w:rsid w:val="00867121"/>
    <w:rsid w:val="0086714F"/>
    <w:rsid w:val="008671AB"/>
    <w:rsid w:val="008671B9"/>
    <w:rsid w:val="00867302"/>
    <w:rsid w:val="0086731B"/>
    <w:rsid w:val="00867365"/>
    <w:rsid w:val="008673A8"/>
    <w:rsid w:val="00867416"/>
    <w:rsid w:val="0086746A"/>
    <w:rsid w:val="008674DC"/>
    <w:rsid w:val="008674DD"/>
    <w:rsid w:val="0086750A"/>
    <w:rsid w:val="00867539"/>
    <w:rsid w:val="00867545"/>
    <w:rsid w:val="00867549"/>
    <w:rsid w:val="00867550"/>
    <w:rsid w:val="0086755D"/>
    <w:rsid w:val="00867582"/>
    <w:rsid w:val="00867615"/>
    <w:rsid w:val="0086763E"/>
    <w:rsid w:val="008676AD"/>
    <w:rsid w:val="008676D2"/>
    <w:rsid w:val="00867742"/>
    <w:rsid w:val="008677D8"/>
    <w:rsid w:val="00867824"/>
    <w:rsid w:val="0086783F"/>
    <w:rsid w:val="0086784B"/>
    <w:rsid w:val="008678AA"/>
    <w:rsid w:val="0086798C"/>
    <w:rsid w:val="008679B3"/>
    <w:rsid w:val="00867A59"/>
    <w:rsid w:val="00867B6B"/>
    <w:rsid w:val="00867C86"/>
    <w:rsid w:val="00867CB4"/>
    <w:rsid w:val="00867D4C"/>
    <w:rsid w:val="00867D80"/>
    <w:rsid w:val="00867D90"/>
    <w:rsid w:val="00867E0A"/>
    <w:rsid w:val="00867EA5"/>
    <w:rsid w:val="00867EB4"/>
    <w:rsid w:val="00867EEF"/>
    <w:rsid w:val="00867F3A"/>
    <w:rsid w:val="00867FCF"/>
    <w:rsid w:val="00870013"/>
    <w:rsid w:val="00870067"/>
    <w:rsid w:val="00870095"/>
    <w:rsid w:val="00870164"/>
    <w:rsid w:val="008701AB"/>
    <w:rsid w:val="008701B6"/>
    <w:rsid w:val="008701DD"/>
    <w:rsid w:val="008701E6"/>
    <w:rsid w:val="00870256"/>
    <w:rsid w:val="0087026C"/>
    <w:rsid w:val="008702B9"/>
    <w:rsid w:val="008702F6"/>
    <w:rsid w:val="00870318"/>
    <w:rsid w:val="0087036A"/>
    <w:rsid w:val="00870435"/>
    <w:rsid w:val="00870494"/>
    <w:rsid w:val="0087049B"/>
    <w:rsid w:val="008704AF"/>
    <w:rsid w:val="008704F8"/>
    <w:rsid w:val="0087054F"/>
    <w:rsid w:val="008705A1"/>
    <w:rsid w:val="008706AA"/>
    <w:rsid w:val="0087071C"/>
    <w:rsid w:val="0087071F"/>
    <w:rsid w:val="00870730"/>
    <w:rsid w:val="0087073B"/>
    <w:rsid w:val="0087073C"/>
    <w:rsid w:val="0087077E"/>
    <w:rsid w:val="008707B5"/>
    <w:rsid w:val="008707C3"/>
    <w:rsid w:val="008707F6"/>
    <w:rsid w:val="0087094F"/>
    <w:rsid w:val="00870969"/>
    <w:rsid w:val="00870998"/>
    <w:rsid w:val="00870A6D"/>
    <w:rsid w:val="00870B4A"/>
    <w:rsid w:val="00870BCE"/>
    <w:rsid w:val="00870BFF"/>
    <w:rsid w:val="00870C17"/>
    <w:rsid w:val="00870C9C"/>
    <w:rsid w:val="00870CB5"/>
    <w:rsid w:val="00870CBA"/>
    <w:rsid w:val="00870CCB"/>
    <w:rsid w:val="00870CF9"/>
    <w:rsid w:val="00870D65"/>
    <w:rsid w:val="00870D99"/>
    <w:rsid w:val="00870E10"/>
    <w:rsid w:val="00870EC2"/>
    <w:rsid w:val="00870EED"/>
    <w:rsid w:val="00870EF3"/>
    <w:rsid w:val="00870F2E"/>
    <w:rsid w:val="00870F44"/>
    <w:rsid w:val="00870FA8"/>
    <w:rsid w:val="00870FF6"/>
    <w:rsid w:val="00871067"/>
    <w:rsid w:val="008710D3"/>
    <w:rsid w:val="008710D7"/>
    <w:rsid w:val="008710F1"/>
    <w:rsid w:val="0087111A"/>
    <w:rsid w:val="00871129"/>
    <w:rsid w:val="0087112A"/>
    <w:rsid w:val="0087117E"/>
    <w:rsid w:val="008711AD"/>
    <w:rsid w:val="00871202"/>
    <w:rsid w:val="00871247"/>
    <w:rsid w:val="008712A5"/>
    <w:rsid w:val="0087139C"/>
    <w:rsid w:val="00871464"/>
    <w:rsid w:val="008714B4"/>
    <w:rsid w:val="008714CB"/>
    <w:rsid w:val="0087152D"/>
    <w:rsid w:val="00871570"/>
    <w:rsid w:val="008715A5"/>
    <w:rsid w:val="00871611"/>
    <w:rsid w:val="008716C8"/>
    <w:rsid w:val="008717CF"/>
    <w:rsid w:val="008717EE"/>
    <w:rsid w:val="00871833"/>
    <w:rsid w:val="00871844"/>
    <w:rsid w:val="00871883"/>
    <w:rsid w:val="00871896"/>
    <w:rsid w:val="0087191F"/>
    <w:rsid w:val="00871950"/>
    <w:rsid w:val="00871997"/>
    <w:rsid w:val="008719AA"/>
    <w:rsid w:val="008719B3"/>
    <w:rsid w:val="008719D2"/>
    <w:rsid w:val="00871A46"/>
    <w:rsid w:val="00871A5B"/>
    <w:rsid w:val="00871B45"/>
    <w:rsid w:val="00871B48"/>
    <w:rsid w:val="00871BB7"/>
    <w:rsid w:val="00871C41"/>
    <w:rsid w:val="00871C8B"/>
    <w:rsid w:val="00871C9A"/>
    <w:rsid w:val="00871CC9"/>
    <w:rsid w:val="00871CD3"/>
    <w:rsid w:val="00871CF9"/>
    <w:rsid w:val="00871D07"/>
    <w:rsid w:val="00871D18"/>
    <w:rsid w:val="00871D3F"/>
    <w:rsid w:val="00871DD2"/>
    <w:rsid w:val="00871E94"/>
    <w:rsid w:val="00871EB0"/>
    <w:rsid w:val="00871EEB"/>
    <w:rsid w:val="00871FA4"/>
    <w:rsid w:val="00871FBA"/>
    <w:rsid w:val="00872088"/>
    <w:rsid w:val="008720DC"/>
    <w:rsid w:val="008720E1"/>
    <w:rsid w:val="008720EB"/>
    <w:rsid w:val="00872186"/>
    <w:rsid w:val="008721B5"/>
    <w:rsid w:val="008721EE"/>
    <w:rsid w:val="008721F3"/>
    <w:rsid w:val="008722D5"/>
    <w:rsid w:val="008722DA"/>
    <w:rsid w:val="008722DB"/>
    <w:rsid w:val="00872398"/>
    <w:rsid w:val="008724CA"/>
    <w:rsid w:val="0087257E"/>
    <w:rsid w:val="0087258B"/>
    <w:rsid w:val="008725B7"/>
    <w:rsid w:val="0087262F"/>
    <w:rsid w:val="0087265F"/>
    <w:rsid w:val="008726B5"/>
    <w:rsid w:val="008726B6"/>
    <w:rsid w:val="00872703"/>
    <w:rsid w:val="0087270D"/>
    <w:rsid w:val="00872895"/>
    <w:rsid w:val="008728C5"/>
    <w:rsid w:val="0087290D"/>
    <w:rsid w:val="00872A17"/>
    <w:rsid w:val="00872A58"/>
    <w:rsid w:val="00872AF4"/>
    <w:rsid w:val="00872AF5"/>
    <w:rsid w:val="00872B05"/>
    <w:rsid w:val="00872BD0"/>
    <w:rsid w:val="00872BF7"/>
    <w:rsid w:val="00872C6A"/>
    <w:rsid w:val="00872CF3"/>
    <w:rsid w:val="00872D41"/>
    <w:rsid w:val="00872D89"/>
    <w:rsid w:val="00872DB5"/>
    <w:rsid w:val="00872DF4"/>
    <w:rsid w:val="00872DFA"/>
    <w:rsid w:val="00872E2C"/>
    <w:rsid w:val="00872EE2"/>
    <w:rsid w:val="00872F36"/>
    <w:rsid w:val="00872F7C"/>
    <w:rsid w:val="00872FB4"/>
    <w:rsid w:val="00872FD7"/>
    <w:rsid w:val="008730BB"/>
    <w:rsid w:val="008730BE"/>
    <w:rsid w:val="008730CF"/>
    <w:rsid w:val="008730E4"/>
    <w:rsid w:val="0087318A"/>
    <w:rsid w:val="008731D4"/>
    <w:rsid w:val="0087327D"/>
    <w:rsid w:val="00873319"/>
    <w:rsid w:val="00873432"/>
    <w:rsid w:val="00873451"/>
    <w:rsid w:val="008734C5"/>
    <w:rsid w:val="00873562"/>
    <w:rsid w:val="00873589"/>
    <w:rsid w:val="008735F1"/>
    <w:rsid w:val="00873779"/>
    <w:rsid w:val="00873789"/>
    <w:rsid w:val="0087379F"/>
    <w:rsid w:val="0087381D"/>
    <w:rsid w:val="00873859"/>
    <w:rsid w:val="00873868"/>
    <w:rsid w:val="00873888"/>
    <w:rsid w:val="00873963"/>
    <w:rsid w:val="008739BA"/>
    <w:rsid w:val="008739D2"/>
    <w:rsid w:val="008739D6"/>
    <w:rsid w:val="00873A4B"/>
    <w:rsid w:val="00873A7D"/>
    <w:rsid w:val="00873ACA"/>
    <w:rsid w:val="00873B28"/>
    <w:rsid w:val="00873B52"/>
    <w:rsid w:val="00873C13"/>
    <w:rsid w:val="00873C17"/>
    <w:rsid w:val="00873D54"/>
    <w:rsid w:val="00873D72"/>
    <w:rsid w:val="00873D9F"/>
    <w:rsid w:val="00873E17"/>
    <w:rsid w:val="00873EDE"/>
    <w:rsid w:val="00873F01"/>
    <w:rsid w:val="00873FF3"/>
    <w:rsid w:val="00874024"/>
    <w:rsid w:val="008740B2"/>
    <w:rsid w:val="00874108"/>
    <w:rsid w:val="00874118"/>
    <w:rsid w:val="00874149"/>
    <w:rsid w:val="00874163"/>
    <w:rsid w:val="00874169"/>
    <w:rsid w:val="008741DB"/>
    <w:rsid w:val="008741E1"/>
    <w:rsid w:val="008742EE"/>
    <w:rsid w:val="00874442"/>
    <w:rsid w:val="0087446D"/>
    <w:rsid w:val="0087452B"/>
    <w:rsid w:val="0087454D"/>
    <w:rsid w:val="008745AB"/>
    <w:rsid w:val="008745DA"/>
    <w:rsid w:val="008745DC"/>
    <w:rsid w:val="0087461F"/>
    <w:rsid w:val="0087464F"/>
    <w:rsid w:val="0087465E"/>
    <w:rsid w:val="0087469C"/>
    <w:rsid w:val="008746C6"/>
    <w:rsid w:val="008746FF"/>
    <w:rsid w:val="008747E3"/>
    <w:rsid w:val="008747EA"/>
    <w:rsid w:val="0087493D"/>
    <w:rsid w:val="00874A3D"/>
    <w:rsid w:val="00874A58"/>
    <w:rsid w:val="00874A63"/>
    <w:rsid w:val="00874A9F"/>
    <w:rsid w:val="00874B74"/>
    <w:rsid w:val="00874BFA"/>
    <w:rsid w:val="00874C10"/>
    <w:rsid w:val="00874CA4"/>
    <w:rsid w:val="00874CE1"/>
    <w:rsid w:val="00874CFD"/>
    <w:rsid w:val="00874CFF"/>
    <w:rsid w:val="00874D20"/>
    <w:rsid w:val="00874DA2"/>
    <w:rsid w:val="00874DA4"/>
    <w:rsid w:val="00874E88"/>
    <w:rsid w:val="00874EC3"/>
    <w:rsid w:val="00874ED4"/>
    <w:rsid w:val="00874EE8"/>
    <w:rsid w:val="00874F37"/>
    <w:rsid w:val="00874FED"/>
    <w:rsid w:val="00874FF6"/>
    <w:rsid w:val="0087508F"/>
    <w:rsid w:val="00875121"/>
    <w:rsid w:val="0087516A"/>
    <w:rsid w:val="008751AA"/>
    <w:rsid w:val="008751C5"/>
    <w:rsid w:val="008751D3"/>
    <w:rsid w:val="0087529B"/>
    <w:rsid w:val="008752CF"/>
    <w:rsid w:val="0087539F"/>
    <w:rsid w:val="008753A3"/>
    <w:rsid w:val="008753AB"/>
    <w:rsid w:val="008753F9"/>
    <w:rsid w:val="008753FB"/>
    <w:rsid w:val="0087542F"/>
    <w:rsid w:val="00875495"/>
    <w:rsid w:val="0087549B"/>
    <w:rsid w:val="008754C6"/>
    <w:rsid w:val="00875541"/>
    <w:rsid w:val="00875542"/>
    <w:rsid w:val="008755C5"/>
    <w:rsid w:val="0087562F"/>
    <w:rsid w:val="008756A2"/>
    <w:rsid w:val="008756CE"/>
    <w:rsid w:val="008756DA"/>
    <w:rsid w:val="00875729"/>
    <w:rsid w:val="00875732"/>
    <w:rsid w:val="008757AF"/>
    <w:rsid w:val="008757B9"/>
    <w:rsid w:val="0087580D"/>
    <w:rsid w:val="00875811"/>
    <w:rsid w:val="0087585B"/>
    <w:rsid w:val="008758F7"/>
    <w:rsid w:val="008758FE"/>
    <w:rsid w:val="008759C2"/>
    <w:rsid w:val="00875A07"/>
    <w:rsid w:val="00875A93"/>
    <w:rsid w:val="00875AA9"/>
    <w:rsid w:val="00875B41"/>
    <w:rsid w:val="00875B9D"/>
    <w:rsid w:val="00875BF6"/>
    <w:rsid w:val="00875C1E"/>
    <w:rsid w:val="00875C68"/>
    <w:rsid w:val="00875C9D"/>
    <w:rsid w:val="00875CD9"/>
    <w:rsid w:val="00875CEA"/>
    <w:rsid w:val="00875DBD"/>
    <w:rsid w:val="00875E01"/>
    <w:rsid w:val="00875E06"/>
    <w:rsid w:val="00875E59"/>
    <w:rsid w:val="00875E71"/>
    <w:rsid w:val="00875F36"/>
    <w:rsid w:val="0087603B"/>
    <w:rsid w:val="0087603D"/>
    <w:rsid w:val="00876150"/>
    <w:rsid w:val="0087618F"/>
    <w:rsid w:val="008761AD"/>
    <w:rsid w:val="008761CF"/>
    <w:rsid w:val="00876213"/>
    <w:rsid w:val="008763E0"/>
    <w:rsid w:val="00876485"/>
    <w:rsid w:val="008764FB"/>
    <w:rsid w:val="0087653A"/>
    <w:rsid w:val="00876548"/>
    <w:rsid w:val="008765CB"/>
    <w:rsid w:val="008766CE"/>
    <w:rsid w:val="008766F3"/>
    <w:rsid w:val="00876791"/>
    <w:rsid w:val="008767C9"/>
    <w:rsid w:val="008767EB"/>
    <w:rsid w:val="00876887"/>
    <w:rsid w:val="00876891"/>
    <w:rsid w:val="00876912"/>
    <w:rsid w:val="00876931"/>
    <w:rsid w:val="008769C5"/>
    <w:rsid w:val="008769E8"/>
    <w:rsid w:val="008769F9"/>
    <w:rsid w:val="008769FA"/>
    <w:rsid w:val="00876A08"/>
    <w:rsid w:val="00876A33"/>
    <w:rsid w:val="00876A75"/>
    <w:rsid w:val="00876A91"/>
    <w:rsid w:val="00876B1B"/>
    <w:rsid w:val="00876BB0"/>
    <w:rsid w:val="00876C4A"/>
    <w:rsid w:val="00876C79"/>
    <w:rsid w:val="00876C96"/>
    <w:rsid w:val="00876CBB"/>
    <w:rsid w:val="00876D76"/>
    <w:rsid w:val="00876DEE"/>
    <w:rsid w:val="00876E49"/>
    <w:rsid w:val="00876F25"/>
    <w:rsid w:val="00876FD7"/>
    <w:rsid w:val="00877049"/>
    <w:rsid w:val="0087705A"/>
    <w:rsid w:val="00877070"/>
    <w:rsid w:val="008770A8"/>
    <w:rsid w:val="008770AD"/>
    <w:rsid w:val="008770C7"/>
    <w:rsid w:val="008770F0"/>
    <w:rsid w:val="0087728E"/>
    <w:rsid w:val="0087732E"/>
    <w:rsid w:val="008773BB"/>
    <w:rsid w:val="008773ED"/>
    <w:rsid w:val="008774DE"/>
    <w:rsid w:val="00877505"/>
    <w:rsid w:val="0087753A"/>
    <w:rsid w:val="0087756E"/>
    <w:rsid w:val="008775D0"/>
    <w:rsid w:val="00877603"/>
    <w:rsid w:val="00877616"/>
    <w:rsid w:val="0087770E"/>
    <w:rsid w:val="0087775A"/>
    <w:rsid w:val="0087776C"/>
    <w:rsid w:val="0087776E"/>
    <w:rsid w:val="00877784"/>
    <w:rsid w:val="00877798"/>
    <w:rsid w:val="008777A5"/>
    <w:rsid w:val="008777A6"/>
    <w:rsid w:val="008777C1"/>
    <w:rsid w:val="00877820"/>
    <w:rsid w:val="00877830"/>
    <w:rsid w:val="00877875"/>
    <w:rsid w:val="0087787F"/>
    <w:rsid w:val="008778E7"/>
    <w:rsid w:val="0087791A"/>
    <w:rsid w:val="008779F5"/>
    <w:rsid w:val="00877A29"/>
    <w:rsid w:val="00877A4D"/>
    <w:rsid w:val="00877AA8"/>
    <w:rsid w:val="00877B16"/>
    <w:rsid w:val="00877C4E"/>
    <w:rsid w:val="00877C51"/>
    <w:rsid w:val="00877CAD"/>
    <w:rsid w:val="00877DAA"/>
    <w:rsid w:val="00877E0A"/>
    <w:rsid w:val="00877E33"/>
    <w:rsid w:val="00877E69"/>
    <w:rsid w:val="00877EB4"/>
    <w:rsid w:val="00877EC6"/>
    <w:rsid w:val="00877EC8"/>
    <w:rsid w:val="00877F23"/>
    <w:rsid w:val="00877F46"/>
    <w:rsid w:val="00877FB2"/>
    <w:rsid w:val="00880051"/>
    <w:rsid w:val="008800AE"/>
    <w:rsid w:val="008800B1"/>
    <w:rsid w:val="0088013A"/>
    <w:rsid w:val="0088015F"/>
    <w:rsid w:val="0088019A"/>
    <w:rsid w:val="0088021C"/>
    <w:rsid w:val="0088022F"/>
    <w:rsid w:val="00880231"/>
    <w:rsid w:val="00880260"/>
    <w:rsid w:val="0088026F"/>
    <w:rsid w:val="0088028D"/>
    <w:rsid w:val="00880336"/>
    <w:rsid w:val="0088036D"/>
    <w:rsid w:val="0088040D"/>
    <w:rsid w:val="00880483"/>
    <w:rsid w:val="008804E0"/>
    <w:rsid w:val="008804FB"/>
    <w:rsid w:val="00880554"/>
    <w:rsid w:val="00880586"/>
    <w:rsid w:val="0088064F"/>
    <w:rsid w:val="0088065A"/>
    <w:rsid w:val="00880721"/>
    <w:rsid w:val="0088072C"/>
    <w:rsid w:val="00880766"/>
    <w:rsid w:val="00880767"/>
    <w:rsid w:val="008807F6"/>
    <w:rsid w:val="00880870"/>
    <w:rsid w:val="008808F5"/>
    <w:rsid w:val="00880922"/>
    <w:rsid w:val="00880A25"/>
    <w:rsid w:val="00880B0B"/>
    <w:rsid w:val="00880B34"/>
    <w:rsid w:val="00880BEE"/>
    <w:rsid w:val="00880C18"/>
    <w:rsid w:val="00880C51"/>
    <w:rsid w:val="00880C61"/>
    <w:rsid w:val="00880CFD"/>
    <w:rsid w:val="00880D75"/>
    <w:rsid w:val="00880D89"/>
    <w:rsid w:val="00880DF4"/>
    <w:rsid w:val="00880E03"/>
    <w:rsid w:val="00880E0C"/>
    <w:rsid w:val="00880E0F"/>
    <w:rsid w:val="00880E88"/>
    <w:rsid w:val="00880E98"/>
    <w:rsid w:val="00880F02"/>
    <w:rsid w:val="00880FE6"/>
    <w:rsid w:val="00881171"/>
    <w:rsid w:val="0088122C"/>
    <w:rsid w:val="0088123C"/>
    <w:rsid w:val="0088124D"/>
    <w:rsid w:val="00881262"/>
    <w:rsid w:val="0088127F"/>
    <w:rsid w:val="0088129A"/>
    <w:rsid w:val="0088133C"/>
    <w:rsid w:val="00881382"/>
    <w:rsid w:val="008813A6"/>
    <w:rsid w:val="00881471"/>
    <w:rsid w:val="008814C3"/>
    <w:rsid w:val="00881589"/>
    <w:rsid w:val="0088159C"/>
    <w:rsid w:val="008815BF"/>
    <w:rsid w:val="008815F8"/>
    <w:rsid w:val="00881666"/>
    <w:rsid w:val="00881687"/>
    <w:rsid w:val="008816E4"/>
    <w:rsid w:val="0088177E"/>
    <w:rsid w:val="00881796"/>
    <w:rsid w:val="008817E1"/>
    <w:rsid w:val="008817ED"/>
    <w:rsid w:val="008817F9"/>
    <w:rsid w:val="00881877"/>
    <w:rsid w:val="008818A9"/>
    <w:rsid w:val="008818D7"/>
    <w:rsid w:val="0088191D"/>
    <w:rsid w:val="00881998"/>
    <w:rsid w:val="008819A2"/>
    <w:rsid w:val="008819AB"/>
    <w:rsid w:val="00881A07"/>
    <w:rsid w:val="00881A64"/>
    <w:rsid w:val="00881A7A"/>
    <w:rsid w:val="00881BCA"/>
    <w:rsid w:val="00881BCF"/>
    <w:rsid w:val="00881BD6"/>
    <w:rsid w:val="00881C2F"/>
    <w:rsid w:val="00881C4E"/>
    <w:rsid w:val="00881C6F"/>
    <w:rsid w:val="00881D2F"/>
    <w:rsid w:val="00881D32"/>
    <w:rsid w:val="00881D3F"/>
    <w:rsid w:val="00881D88"/>
    <w:rsid w:val="00881E01"/>
    <w:rsid w:val="00881E13"/>
    <w:rsid w:val="00881E2D"/>
    <w:rsid w:val="00881F8F"/>
    <w:rsid w:val="00882015"/>
    <w:rsid w:val="0088201C"/>
    <w:rsid w:val="008820AC"/>
    <w:rsid w:val="008820F5"/>
    <w:rsid w:val="0088211D"/>
    <w:rsid w:val="008821E1"/>
    <w:rsid w:val="00882210"/>
    <w:rsid w:val="0088225F"/>
    <w:rsid w:val="00882286"/>
    <w:rsid w:val="008822C7"/>
    <w:rsid w:val="0088238F"/>
    <w:rsid w:val="008823CB"/>
    <w:rsid w:val="008823F2"/>
    <w:rsid w:val="0088240E"/>
    <w:rsid w:val="0088247F"/>
    <w:rsid w:val="00882488"/>
    <w:rsid w:val="008824EB"/>
    <w:rsid w:val="008825E9"/>
    <w:rsid w:val="008825F2"/>
    <w:rsid w:val="00882645"/>
    <w:rsid w:val="00882727"/>
    <w:rsid w:val="0088274B"/>
    <w:rsid w:val="008827D0"/>
    <w:rsid w:val="0088283C"/>
    <w:rsid w:val="008828FE"/>
    <w:rsid w:val="0088291C"/>
    <w:rsid w:val="00882930"/>
    <w:rsid w:val="00882938"/>
    <w:rsid w:val="00882954"/>
    <w:rsid w:val="0088296E"/>
    <w:rsid w:val="0088297D"/>
    <w:rsid w:val="00882A20"/>
    <w:rsid w:val="00882A29"/>
    <w:rsid w:val="00882A2C"/>
    <w:rsid w:val="00882A8B"/>
    <w:rsid w:val="00882AB1"/>
    <w:rsid w:val="00882AED"/>
    <w:rsid w:val="00882B45"/>
    <w:rsid w:val="00882B70"/>
    <w:rsid w:val="00882BF7"/>
    <w:rsid w:val="00882C89"/>
    <w:rsid w:val="00882CDB"/>
    <w:rsid w:val="00882DCD"/>
    <w:rsid w:val="00882DDA"/>
    <w:rsid w:val="00882DF1"/>
    <w:rsid w:val="00882DF7"/>
    <w:rsid w:val="00882E38"/>
    <w:rsid w:val="00882E62"/>
    <w:rsid w:val="00882F1F"/>
    <w:rsid w:val="00883017"/>
    <w:rsid w:val="0088304A"/>
    <w:rsid w:val="00883091"/>
    <w:rsid w:val="00883098"/>
    <w:rsid w:val="008830A6"/>
    <w:rsid w:val="00883116"/>
    <w:rsid w:val="008831A2"/>
    <w:rsid w:val="008831FB"/>
    <w:rsid w:val="00883229"/>
    <w:rsid w:val="0088325C"/>
    <w:rsid w:val="0088326D"/>
    <w:rsid w:val="0088330B"/>
    <w:rsid w:val="0088335D"/>
    <w:rsid w:val="008833AB"/>
    <w:rsid w:val="00883400"/>
    <w:rsid w:val="008834D1"/>
    <w:rsid w:val="00883517"/>
    <w:rsid w:val="00883546"/>
    <w:rsid w:val="0088364B"/>
    <w:rsid w:val="0088365E"/>
    <w:rsid w:val="008836F6"/>
    <w:rsid w:val="00883748"/>
    <w:rsid w:val="00883785"/>
    <w:rsid w:val="008837DA"/>
    <w:rsid w:val="00883833"/>
    <w:rsid w:val="008838E4"/>
    <w:rsid w:val="008838F9"/>
    <w:rsid w:val="00883935"/>
    <w:rsid w:val="0088398B"/>
    <w:rsid w:val="008839F2"/>
    <w:rsid w:val="00883A5B"/>
    <w:rsid w:val="00883A5D"/>
    <w:rsid w:val="00883B09"/>
    <w:rsid w:val="00883B0A"/>
    <w:rsid w:val="00883B10"/>
    <w:rsid w:val="00883B39"/>
    <w:rsid w:val="00883B81"/>
    <w:rsid w:val="00883BD7"/>
    <w:rsid w:val="00883C0E"/>
    <w:rsid w:val="00883C3F"/>
    <w:rsid w:val="00883C43"/>
    <w:rsid w:val="00883CBF"/>
    <w:rsid w:val="00883CEA"/>
    <w:rsid w:val="00883D9D"/>
    <w:rsid w:val="00883DAE"/>
    <w:rsid w:val="00883DB0"/>
    <w:rsid w:val="00883DCE"/>
    <w:rsid w:val="00883E7F"/>
    <w:rsid w:val="00883E9E"/>
    <w:rsid w:val="008840E4"/>
    <w:rsid w:val="008840FA"/>
    <w:rsid w:val="00884120"/>
    <w:rsid w:val="0088412E"/>
    <w:rsid w:val="0088414F"/>
    <w:rsid w:val="008841DA"/>
    <w:rsid w:val="008841F6"/>
    <w:rsid w:val="0088420F"/>
    <w:rsid w:val="0088422F"/>
    <w:rsid w:val="00884252"/>
    <w:rsid w:val="00884270"/>
    <w:rsid w:val="008842E1"/>
    <w:rsid w:val="00884305"/>
    <w:rsid w:val="00884325"/>
    <w:rsid w:val="00884394"/>
    <w:rsid w:val="008843A5"/>
    <w:rsid w:val="008843B8"/>
    <w:rsid w:val="00884404"/>
    <w:rsid w:val="00884443"/>
    <w:rsid w:val="0088444B"/>
    <w:rsid w:val="008844AC"/>
    <w:rsid w:val="008844C5"/>
    <w:rsid w:val="00884654"/>
    <w:rsid w:val="008846BF"/>
    <w:rsid w:val="00884783"/>
    <w:rsid w:val="008847ED"/>
    <w:rsid w:val="0088482D"/>
    <w:rsid w:val="008848F9"/>
    <w:rsid w:val="00884915"/>
    <w:rsid w:val="00884963"/>
    <w:rsid w:val="008849A7"/>
    <w:rsid w:val="008849B7"/>
    <w:rsid w:val="008849B8"/>
    <w:rsid w:val="008849C4"/>
    <w:rsid w:val="008849E2"/>
    <w:rsid w:val="00884ABD"/>
    <w:rsid w:val="00884B1B"/>
    <w:rsid w:val="00884BFE"/>
    <w:rsid w:val="00884C32"/>
    <w:rsid w:val="00884C4E"/>
    <w:rsid w:val="00884C5C"/>
    <w:rsid w:val="00884CB8"/>
    <w:rsid w:val="00884CD9"/>
    <w:rsid w:val="00884D26"/>
    <w:rsid w:val="00884D6C"/>
    <w:rsid w:val="00884DC9"/>
    <w:rsid w:val="00884E56"/>
    <w:rsid w:val="00884E8F"/>
    <w:rsid w:val="00884EB5"/>
    <w:rsid w:val="00884F9F"/>
    <w:rsid w:val="00884FDB"/>
    <w:rsid w:val="00884FE6"/>
    <w:rsid w:val="00884FEB"/>
    <w:rsid w:val="008850C7"/>
    <w:rsid w:val="00885129"/>
    <w:rsid w:val="00885157"/>
    <w:rsid w:val="00885214"/>
    <w:rsid w:val="00885315"/>
    <w:rsid w:val="0088532E"/>
    <w:rsid w:val="008853C5"/>
    <w:rsid w:val="008853E2"/>
    <w:rsid w:val="008853FA"/>
    <w:rsid w:val="0088541E"/>
    <w:rsid w:val="00885429"/>
    <w:rsid w:val="00885471"/>
    <w:rsid w:val="00885478"/>
    <w:rsid w:val="008854D1"/>
    <w:rsid w:val="008854D4"/>
    <w:rsid w:val="0088553E"/>
    <w:rsid w:val="0088558F"/>
    <w:rsid w:val="00885619"/>
    <w:rsid w:val="00885724"/>
    <w:rsid w:val="00885730"/>
    <w:rsid w:val="00885871"/>
    <w:rsid w:val="00885879"/>
    <w:rsid w:val="00885899"/>
    <w:rsid w:val="00885982"/>
    <w:rsid w:val="008859A7"/>
    <w:rsid w:val="008859D5"/>
    <w:rsid w:val="008859DC"/>
    <w:rsid w:val="00885A3B"/>
    <w:rsid w:val="00885AB3"/>
    <w:rsid w:val="00885B07"/>
    <w:rsid w:val="00885B1B"/>
    <w:rsid w:val="00885B3B"/>
    <w:rsid w:val="00885B5F"/>
    <w:rsid w:val="00885B68"/>
    <w:rsid w:val="00885C11"/>
    <w:rsid w:val="00885C12"/>
    <w:rsid w:val="00885C1F"/>
    <w:rsid w:val="00885C8B"/>
    <w:rsid w:val="00885CC8"/>
    <w:rsid w:val="00885CF3"/>
    <w:rsid w:val="00885D30"/>
    <w:rsid w:val="00885D4E"/>
    <w:rsid w:val="00885DA0"/>
    <w:rsid w:val="00885DAF"/>
    <w:rsid w:val="00885DC0"/>
    <w:rsid w:val="00885E1E"/>
    <w:rsid w:val="00885E5B"/>
    <w:rsid w:val="00885E5E"/>
    <w:rsid w:val="00885E6C"/>
    <w:rsid w:val="00885ECB"/>
    <w:rsid w:val="00885EE7"/>
    <w:rsid w:val="00885F3C"/>
    <w:rsid w:val="00886001"/>
    <w:rsid w:val="00886024"/>
    <w:rsid w:val="0088607B"/>
    <w:rsid w:val="00886118"/>
    <w:rsid w:val="00886150"/>
    <w:rsid w:val="00886152"/>
    <w:rsid w:val="0088615A"/>
    <w:rsid w:val="008861EF"/>
    <w:rsid w:val="00886205"/>
    <w:rsid w:val="00886231"/>
    <w:rsid w:val="008862A2"/>
    <w:rsid w:val="008862D8"/>
    <w:rsid w:val="00886310"/>
    <w:rsid w:val="00886325"/>
    <w:rsid w:val="00886331"/>
    <w:rsid w:val="00886344"/>
    <w:rsid w:val="00886421"/>
    <w:rsid w:val="00886430"/>
    <w:rsid w:val="0088646D"/>
    <w:rsid w:val="008864BE"/>
    <w:rsid w:val="008865B4"/>
    <w:rsid w:val="008865CD"/>
    <w:rsid w:val="008865D1"/>
    <w:rsid w:val="008865D6"/>
    <w:rsid w:val="00886640"/>
    <w:rsid w:val="008866EE"/>
    <w:rsid w:val="008866F5"/>
    <w:rsid w:val="0088675D"/>
    <w:rsid w:val="0088678C"/>
    <w:rsid w:val="008867D6"/>
    <w:rsid w:val="008867FE"/>
    <w:rsid w:val="0088682E"/>
    <w:rsid w:val="00886862"/>
    <w:rsid w:val="00886903"/>
    <w:rsid w:val="0088696B"/>
    <w:rsid w:val="00886996"/>
    <w:rsid w:val="00886A06"/>
    <w:rsid w:val="00886A5B"/>
    <w:rsid w:val="00886A67"/>
    <w:rsid w:val="00886A7B"/>
    <w:rsid w:val="00886AD8"/>
    <w:rsid w:val="00886AEF"/>
    <w:rsid w:val="00886B21"/>
    <w:rsid w:val="00886B78"/>
    <w:rsid w:val="00886BB1"/>
    <w:rsid w:val="00886C33"/>
    <w:rsid w:val="00886C6B"/>
    <w:rsid w:val="00886CF5"/>
    <w:rsid w:val="00886D19"/>
    <w:rsid w:val="00886D3D"/>
    <w:rsid w:val="00886D52"/>
    <w:rsid w:val="00886D7F"/>
    <w:rsid w:val="00886D8A"/>
    <w:rsid w:val="00886DA1"/>
    <w:rsid w:val="00886DF3"/>
    <w:rsid w:val="00886E38"/>
    <w:rsid w:val="00886E8C"/>
    <w:rsid w:val="00886ECD"/>
    <w:rsid w:val="00887099"/>
    <w:rsid w:val="008870C7"/>
    <w:rsid w:val="008870CD"/>
    <w:rsid w:val="008870EA"/>
    <w:rsid w:val="00887141"/>
    <w:rsid w:val="0088714D"/>
    <w:rsid w:val="0088716A"/>
    <w:rsid w:val="00887191"/>
    <w:rsid w:val="008871B0"/>
    <w:rsid w:val="008871E0"/>
    <w:rsid w:val="008872A8"/>
    <w:rsid w:val="008872B1"/>
    <w:rsid w:val="00887369"/>
    <w:rsid w:val="00887393"/>
    <w:rsid w:val="008873BF"/>
    <w:rsid w:val="008873D1"/>
    <w:rsid w:val="008873EF"/>
    <w:rsid w:val="00887413"/>
    <w:rsid w:val="0088749E"/>
    <w:rsid w:val="008874C2"/>
    <w:rsid w:val="008874E0"/>
    <w:rsid w:val="0088754D"/>
    <w:rsid w:val="00887558"/>
    <w:rsid w:val="00887589"/>
    <w:rsid w:val="00887594"/>
    <w:rsid w:val="008875DB"/>
    <w:rsid w:val="00887677"/>
    <w:rsid w:val="008876DB"/>
    <w:rsid w:val="0088778A"/>
    <w:rsid w:val="0088778C"/>
    <w:rsid w:val="00887798"/>
    <w:rsid w:val="008877A4"/>
    <w:rsid w:val="00887829"/>
    <w:rsid w:val="0088787B"/>
    <w:rsid w:val="008878F6"/>
    <w:rsid w:val="00887949"/>
    <w:rsid w:val="008879DA"/>
    <w:rsid w:val="008879E6"/>
    <w:rsid w:val="00887A52"/>
    <w:rsid w:val="00887A7C"/>
    <w:rsid w:val="00887A91"/>
    <w:rsid w:val="00887AA1"/>
    <w:rsid w:val="00887B06"/>
    <w:rsid w:val="00887B94"/>
    <w:rsid w:val="00887BD3"/>
    <w:rsid w:val="00887C4E"/>
    <w:rsid w:val="00887C74"/>
    <w:rsid w:val="00887CDA"/>
    <w:rsid w:val="00887D0B"/>
    <w:rsid w:val="00887E58"/>
    <w:rsid w:val="00887F2D"/>
    <w:rsid w:val="00887F58"/>
    <w:rsid w:val="00887F7B"/>
    <w:rsid w:val="00887FAD"/>
    <w:rsid w:val="00890035"/>
    <w:rsid w:val="00890080"/>
    <w:rsid w:val="008900BE"/>
    <w:rsid w:val="008900D6"/>
    <w:rsid w:val="00890141"/>
    <w:rsid w:val="00890150"/>
    <w:rsid w:val="00890155"/>
    <w:rsid w:val="008901C0"/>
    <w:rsid w:val="008901C3"/>
    <w:rsid w:val="008901F8"/>
    <w:rsid w:val="00890294"/>
    <w:rsid w:val="00890329"/>
    <w:rsid w:val="00890366"/>
    <w:rsid w:val="0089037C"/>
    <w:rsid w:val="00890382"/>
    <w:rsid w:val="00890386"/>
    <w:rsid w:val="00890393"/>
    <w:rsid w:val="00890414"/>
    <w:rsid w:val="00890446"/>
    <w:rsid w:val="0089048E"/>
    <w:rsid w:val="008904E7"/>
    <w:rsid w:val="0089051F"/>
    <w:rsid w:val="008905C2"/>
    <w:rsid w:val="008905CC"/>
    <w:rsid w:val="0089062C"/>
    <w:rsid w:val="008906C7"/>
    <w:rsid w:val="00890729"/>
    <w:rsid w:val="008907F2"/>
    <w:rsid w:val="008907FC"/>
    <w:rsid w:val="00890804"/>
    <w:rsid w:val="0089084B"/>
    <w:rsid w:val="008908D1"/>
    <w:rsid w:val="008908EE"/>
    <w:rsid w:val="00890905"/>
    <w:rsid w:val="00890912"/>
    <w:rsid w:val="00890915"/>
    <w:rsid w:val="008909C4"/>
    <w:rsid w:val="00890A3D"/>
    <w:rsid w:val="00890ABD"/>
    <w:rsid w:val="00890AD3"/>
    <w:rsid w:val="00890AF6"/>
    <w:rsid w:val="00890B01"/>
    <w:rsid w:val="00890B60"/>
    <w:rsid w:val="00890B9E"/>
    <w:rsid w:val="00890BAC"/>
    <w:rsid w:val="00890C4E"/>
    <w:rsid w:val="00890D33"/>
    <w:rsid w:val="00890D80"/>
    <w:rsid w:val="00890DAB"/>
    <w:rsid w:val="00890E75"/>
    <w:rsid w:val="00890E7C"/>
    <w:rsid w:val="00890F6A"/>
    <w:rsid w:val="00890FC4"/>
    <w:rsid w:val="0089105C"/>
    <w:rsid w:val="008910C3"/>
    <w:rsid w:val="008910E1"/>
    <w:rsid w:val="008910E9"/>
    <w:rsid w:val="00891163"/>
    <w:rsid w:val="00891181"/>
    <w:rsid w:val="008911CF"/>
    <w:rsid w:val="008911FE"/>
    <w:rsid w:val="00891204"/>
    <w:rsid w:val="0089122A"/>
    <w:rsid w:val="0089133F"/>
    <w:rsid w:val="008913C8"/>
    <w:rsid w:val="00891418"/>
    <w:rsid w:val="00891421"/>
    <w:rsid w:val="00891477"/>
    <w:rsid w:val="0089148A"/>
    <w:rsid w:val="00891506"/>
    <w:rsid w:val="00891507"/>
    <w:rsid w:val="00891522"/>
    <w:rsid w:val="00891605"/>
    <w:rsid w:val="008916CF"/>
    <w:rsid w:val="00891781"/>
    <w:rsid w:val="008917C7"/>
    <w:rsid w:val="008917DC"/>
    <w:rsid w:val="00891827"/>
    <w:rsid w:val="00891879"/>
    <w:rsid w:val="008918BC"/>
    <w:rsid w:val="008918FA"/>
    <w:rsid w:val="00891955"/>
    <w:rsid w:val="0089197B"/>
    <w:rsid w:val="0089199A"/>
    <w:rsid w:val="008919E6"/>
    <w:rsid w:val="00891AD7"/>
    <w:rsid w:val="00891AF9"/>
    <w:rsid w:val="00891B45"/>
    <w:rsid w:val="00891C42"/>
    <w:rsid w:val="00891C48"/>
    <w:rsid w:val="00891C4A"/>
    <w:rsid w:val="00891CA6"/>
    <w:rsid w:val="00891D26"/>
    <w:rsid w:val="00891D29"/>
    <w:rsid w:val="00891D57"/>
    <w:rsid w:val="00891D88"/>
    <w:rsid w:val="00891DB1"/>
    <w:rsid w:val="00891F09"/>
    <w:rsid w:val="00891F21"/>
    <w:rsid w:val="00891F37"/>
    <w:rsid w:val="00892047"/>
    <w:rsid w:val="0089209C"/>
    <w:rsid w:val="008920BE"/>
    <w:rsid w:val="008920F0"/>
    <w:rsid w:val="00892196"/>
    <w:rsid w:val="0089219D"/>
    <w:rsid w:val="00892208"/>
    <w:rsid w:val="00892223"/>
    <w:rsid w:val="00892237"/>
    <w:rsid w:val="00892262"/>
    <w:rsid w:val="00892394"/>
    <w:rsid w:val="008923DF"/>
    <w:rsid w:val="008923EC"/>
    <w:rsid w:val="008924BA"/>
    <w:rsid w:val="008924DE"/>
    <w:rsid w:val="008924E8"/>
    <w:rsid w:val="00892530"/>
    <w:rsid w:val="00892573"/>
    <w:rsid w:val="00892627"/>
    <w:rsid w:val="00892655"/>
    <w:rsid w:val="00892665"/>
    <w:rsid w:val="0089270B"/>
    <w:rsid w:val="008928E2"/>
    <w:rsid w:val="0089292D"/>
    <w:rsid w:val="008929A4"/>
    <w:rsid w:val="008929B4"/>
    <w:rsid w:val="008929CE"/>
    <w:rsid w:val="00892A2C"/>
    <w:rsid w:val="00892B1C"/>
    <w:rsid w:val="00892B1E"/>
    <w:rsid w:val="00892B48"/>
    <w:rsid w:val="00892BBE"/>
    <w:rsid w:val="00892BD8"/>
    <w:rsid w:val="00892BE1"/>
    <w:rsid w:val="00892C0B"/>
    <w:rsid w:val="00892C25"/>
    <w:rsid w:val="00892C69"/>
    <w:rsid w:val="00892DBF"/>
    <w:rsid w:val="00892DFF"/>
    <w:rsid w:val="00892E22"/>
    <w:rsid w:val="00892E56"/>
    <w:rsid w:val="00892EF0"/>
    <w:rsid w:val="00892F1C"/>
    <w:rsid w:val="00892F65"/>
    <w:rsid w:val="00892F80"/>
    <w:rsid w:val="0089305B"/>
    <w:rsid w:val="00893062"/>
    <w:rsid w:val="00893068"/>
    <w:rsid w:val="00893098"/>
    <w:rsid w:val="008930CB"/>
    <w:rsid w:val="008930E3"/>
    <w:rsid w:val="00893184"/>
    <w:rsid w:val="008931B7"/>
    <w:rsid w:val="008931C0"/>
    <w:rsid w:val="008931DF"/>
    <w:rsid w:val="00893255"/>
    <w:rsid w:val="00893270"/>
    <w:rsid w:val="00893272"/>
    <w:rsid w:val="008932EA"/>
    <w:rsid w:val="0089333A"/>
    <w:rsid w:val="0089338D"/>
    <w:rsid w:val="008933B9"/>
    <w:rsid w:val="00893459"/>
    <w:rsid w:val="0089349E"/>
    <w:rsid w:val="008935D1"/>
    <w:rsid w:val="008935DA"/>
    <w:rsid w:val="00893635"/>
    <w:rsid w:val="00893642"/>
    <w:rsid w:val="00893660"/>
    <w:rsid w:val="0089368D"/>
    <w:rsid w:val="008936A7"/>
    <w:rsid w:val="008936BA"/>
    <w:rsid w:val="008937B7"/>
    <w:rsid w:val="008937CC"/>
    <w:rsid w:val="008938B0"/>
    <w:rsid w:val="008938F0"/>
    <w:rsid w:val="00893952"/>
    <w:rsid w:val="00893977"/>
    <w:rsid w:val="008939E5"/>
    <w:rsid w:val="008939E8"/>
    <w:rsid w:val="00893A1B"/>
    <w:rsid w:val="00893A37"/>
    <w:rsid w:val="00893AC7"/>
    <w:rsid w:val="00893BBD"/>
    <w:rsid w:val="00893C4D"/>
    <w:rsid w:val="00893C5E"/>
    <w:rsid w:val="00893CB2"/>
    <w:rsid w:val="00893CF9"/>
    <w:rsid w:val="00893D85"/>
    <w:rsid w:val="00893D8C"/>
    <w:rsid w:val="00893E2B"/>
    <w:rsid w:val="00893F1C"/>
    <w:rsid w:val="00893F68"/>
    <w:rsid w:val="00894055"/>
    <w:rsid w:val="008940D5"/>
    <w:rsid w:val="00894140"/>
    <w:rsid w:val="008941B4"/>
    <w:rsid w:val="0089425A"/>
    <w:rsid w:val="008942BF"/>
    <w:rsid w:val="008942D1"/>
    <w:rsid w:val="00894357"/>
    <w:rsid w:val="00894366"/>
    <w:rsid w:val="0089437E"/>
    <w:rsid w:val="00894382"/>
    <w:rsid w:val="0089439C"/>
    <w:rsid w:val="008943BD"/>
    <w:rsid w:val="00894468"/>
    <w:rsid w:val="008944D8"/>
    <w:rsid w:val="0089459F"/>
    <w:rsid w:val="008945A9"/>
    <w:rsid w:val="008945B7"/>
    <w:rsid w:val="0089460A"/>
    <w:rsid w:val="00894646"/>
    <w:rsid w:val="008946F1"/>
    <w:rsid w:val="0089471E"/>
    <w:rsid w:val="00894725"/>
    <w:rsid w:val="00894756"/>
    <w:rsid w:val="0089476B"/>
    <w:rsid w:val="008947DE"/>
    <w:rsid w:val="00894812"/>
    <w:rsid w:val="0089481D"/>
    <w:rsid w:val="008948A6"/>
    <w:rsid w:val="008948F8"/>
    <w:rsid w:val="00894939"/>
    <w:rsid w:val="0089493C"/>
    <w:rsid w:val="0089494F"/>
    <w:rsid w:val="00894959"/>
    <w:rsid w:val="00894986"/>
    <w:rsid w:val="00894994"/>
    <w:rsid w:val="008949BA"/>
    <w:rsid w:val="008949EC"/>
    <w:rsid w:val="00894A0F"/>
    <w:rsid w:val="00894A18"/>
    <w:rsid w:val="00894A5F"/>
    <w:rsid w:val="00894AAF"/>
    <w:rsid w:val="00894BB0"/>
    <w:rsid w:val="00894BDA"/>
    <w:rsid w:val="00894C20"/>
    <w:rsid w:val="00894D8D"/>
    <w:rsid w:val="00894D96"/>
    <w:rsid w:val="00894DCB"/>
    <w:rsid w:val="00894DDE"/>
    <w:rsid w:val="00894E1A"/>
    <w:rsid w:val="00894E2D"/>
    <w:rsid w:val="00894F1F"/>
    <w:rsid w:val="00894F82"/>
    <w:rsid w:val="00894F8E"/>
    <w:rsid w:val="00894FAC"/>
    <w:rsid w:val="0089500D"/>
    <w:rsid w:val="0089501F"/>
    <w:rsid w:val="0089509C"/>
    <w:rsid w:val="0089509D"/>
    <w:rsid w:val="008950C4"/>
    <w:rsid w:val="008950D6"/>
    <w:rsid w:val="00895137"/>
    <w:rsid w:val="0089514F"/>
    <w:rsid w:val="008951E0"/>
    <w:rsid w:val="00895253"/>
    <w:rsid w:val="00895262"/>
    <w:rsid w:val="0089526F"/>
    <w:rsid w:val="0089542E"/>
    <w:rsid w:val="0089545D"/>
    <w:rsid w:val="00895469"/>
    <w:rsid w:val="008954F6"/>
    <w:rsid w:val="0089550C"/>
    <w:rsid w:val="0089553E"/>
    <w:rsid w:val="00895569"/>
    <w:rsid w:val="008955D9"/>
    <w:rsid w:val="0089560E"/>
    <w:rsid w:val="00895632"/>
    <w:rsid w:val="00895633"/>
    <w:rsid w:val="0089564B"/>
    <w:rsid w:val="00895672"/>
    <w:rsid w:val="0089569E"/>
    <w:rsid w:val="00895749"/>
    <w:rsid w:val="008957A3"/>
    <w:rsid w:val="008957BB"/>
    <w:rsid w:val="008957F2"/>
    <w:rsid w:val="0089589D"/>
    <w:rsid w:val="008958C8"/>
    <w:rsid w:val="00895942"/>
    <w:rsid w:val="00895949"/>
    <w:rsid w:val="008959BF"/>
    <w:rsid w:val="00895A0C"/>
    <w:rsid w:val="00895A37"/>
    <w:rsid w:val="00895AB3"/>
    <w:rsid w:val="00895B25"/>
    <w:rsid w:val="00895B27"/>
    <w:rsid w:val="00895BAA"/>
    <w:rsid w:val="00895BB5"/>
    <w:rsid w:val="00895BB9"/>
    <w:rsid w:val="00895BFD"/>
    <w:rsid w:val="00895C41"/>
    <w:rsid w:val="00895C8B"/>
    <w:rsid w:val="00895E10"/>
    <w:rsid w:val="00895E51"/>
    <w:rsid w:val="00895ECE"/>
    <w:rsid w:val="00895F0E"/>
    <w:rsid w:val="00896011"/>
    <w:rsid w:val="00896099"/>
    <w:rsid w:val="008960FC"/>
    <w:rsid w:val="00896105"/>
    <w:rsid w:val="008961F1"/>
    <w:rsid w:val="008961FD"/>
    <w:rsid w:val="0089620C"/>
    <w:rsid w:val="00896237"/>
    <w:rsid w:val="0089628F"/>
    <w:rsid w:val="0089631F"/>
    <w:rsid w:val="00896346"/>
    <w:rsid w:val="00896354"/>
    <w:rsid w:val="00896357"/>
    <w:rsid w:val="00896366"/>
    <w:rsid w:val="0089637D"/>
    <w:rsid w:val="00896381"/>
    <w:rsid w:val="00896399"/>
    <w:rsid w:val="008963F2"/>
    <w:rsid w:val="0089642E"/>
    <w:rsid w:val="00896470"/>
    <w:rsid w:val="008964A7"/>
    <w:rsid w:val="008964C7"/>
    <w:rsid w:val="008965AA"/>
    <w:rsid w:val="008967AA"/>
    <w:rsid w:val="0089682B"/>
    <w:rsid w:val="008968D4"/>
    <w:rsid w:val="008968D5"/>
    <w:rsid w:val="0089690A"/>
    <w:rsid w:val="0089699B"/>
    <w:rsid w:val="008969FE"/>
    <w:rsid w:val="00896AEF"/>
    <w:rsid w:val="00896B02"/>
    <w:rsid w:val="00896BEA"/>
    <w:rsid w:val="00896BEE"/>
    <w:rsid w:val="00896CDA"/>
    <w:rsid w:val="00896D63"/>
    <w:rsid w:val="00896D67"/>
    <w:rsid w:val="00896D73"/>
    <w:rsid w:val="00896DED"/>
    <w:rsid w:val="00896E13"/>
    <w:rsid w:val="00896E60"/>
    <w:rsid w:val="00896EC1"/>
    <w:rsid w:val="00896FD9"/>
    <w:rsid w:val="00896FE3"/>
    <w:rsid w:val="00897007"/>
    <w:rsid w:val="0089703F"/>
    <w:rsid w:val="00897127"/>
    <w:rsid w:val="008971BF"/>
    <w:rsid w:val="008971CE"/>
    <w:rsid w:val="008971CF"/>
    <w:rsid w:val="00897277"/>
    <w:rsid w:val="008972BD"/>
    <w:rsid w:val="008972CE"/>
    <w:rsid w:val="008973D3"/>
    <w:rsid w:val="0089743F"/>
    <w:rsid w:val="008974A2"/>
    <w:rsid w:val="008974BC"/>
    <w:rsid w:val="008974D1"/>
    <w:rsid w:val="00897548"/>
    <w:rsid w:val="008975FB"/>
    <w:rsid w:val="0089760C"/>
    <w:rsid w:val="00897644"/>
    <w:rsid w:val="0089767B"/>
    <w:rsid w:val="00897727"/>
    <w:rsid w:val="00897752"/>
    <w:rsid w:val="00897808"/>
    <w:rsid w:val="00897829"/>
    <w:rsid w:val="008978DA"/>
    <w:rsid w:val="008978E5"/>
    <w:rsid w:val="00897980"/>
    <w:rsid w:val="00897999"/>
    <w:rsid w:val="008979A4"/>
    <w:rsid w:val="00897A6B"/>
    <w:rsid w:val="00897A7C"/>
    <w:rsid w:val="00897B40"/>
    <w:rsid w:val="00897B9F"/>
    <w:rsid w:val="00897BA8"/>
    <w:rsid w:val="00897D17"/>
    <w:rsid w:val="00897D5F"/>
    <w:rsid w:val="00897D71"/>
    <w:rsid w:val="00897DD4"/>
    <w:rsid w:val="00897E06"/>
    <w:rsid w:val="00897E81"/>
    <w:rsid w:val="00897F3C"/>
    <w:rsid w:val="00897F7B"/>
    <w:rsid w:val="008A0034"/>
    <w:rsid w:val="008A0092"/>
    <w:rsid w:val="008A0178"/>
    <w:rsid w:val="008A0186"/>
    <w:rsid w:val="008A01BD"/>
    <w:rsid w:val="008A01C6"/>
    <w:rsid w:val="008A021F"/>
    <w:rsid w:val="008A0285"/>
    <w:rsid w:val="008A0367"/>
    <w:rsid w:val="008A0376"/>
    <w:rsid w:val="008A040E"/>
    <w:rsid w:val="008A0431"/>
    <w:rsid w:val="008A0450"/>
    <w:rsid w:val="008A047A"/>
    <w:rsid w:val="008A04D9"/>
    <w:rsid w:val="008A051F"/>
    <w:rsid w:val="008A058F"/>
    <w:rsid w:val="008A05A4"/>
    <w:rsid w:val="008A05F7"/>
    <w:rsid w:val="008A062E"/>
    <w:rsid w:val="008A06A3"/>
    <w:rsid w:val="008A06DE"/>
    <w:rsid w:val="008A079B"/>
    <w:rsid w:val="008A0812"/>
    <w:rsid w:val="008A0839"/>
    <w:rsid w:val="008A08D2"/>
    <w:rsid w:val="008A0908"/>
    <w:rsid w:val="008A0914"/>
    <w:rsid w:val="008A0946"/>
    <w:rsid w:val="008A0964"/>
    <w:rsid w:val="008A09F5"/>
    <w:rsid w:val="008A0A7D"/>
    <w:rsid w:val="008A0ACA"/>
    <w:rsid w:val="008A0AE2"/>
    <w:rsid w:val="008A0B3F"/>
    <w:rsid w:val="008A0B9E"/>
    <w:rsid w:val="008A0BB6"/>
    <w:rsid w:val="008A0CA8"/>
    <w:rsid w:val="008A0CD3"/>
    <w:rsid w:val="008A0CDB"/>
    <w:rsid w:val="008A0D2A"/>
    <w:rsid w:val="008A0DC4"/>
    <w:rsid w:val="008A0E41"/>
    <w:rsid w:val="008A0E4A"/>
    <w:rsid w:val="008A0E81"/>
    <w:rsid w:val="008A0E87"/>
    <w:rsid w:val="008A0E91"/>
    <w:rsid w:val="008A0E98"/>
    <w:rsid w:val="008A0F1D"/>
    <w:rsid w:val="008A0F1F"/>
    <w:rsid w:val="008A0F20"/>
    <w:rsid w:val="008A0FCE"/>
    <w:rsid w:val="008A0FD2"/>
    <w:rsid w:val="008A101F"/>
    <w:rsid w:val="008A10F6"/>
    <w:rsid w:val="008A1121"/>
    <w:rsid w:val="008A11B7"/>
    <w:rsid w:val="008A1293"/>
    <w:rsid w:val="008A12C7"/>
    <w:rsid w:val="008A1350"/>
    <w:rsid w:val="008A138B"/>
    <w:rsid w:val="008A13DD"/>
    <w:rsid w:val="008A1434"/>
    <w:rsid w:val="008A1498"/>
    <w:rsid w:val="008A149B"/>
    <w:rsid w:val="008A14AF"/>
    <w:rsid w:val="008A152F"/>
    <w:rsid w:val="008A1545"/>
    <w:rsid w:val="008A1557"/>
    <w:rsid w:val="008A1616"/>
    <w:rsid w:val="008A179D"/>
    <w:rsid w:val="008A1842"/>
    <w:rsid w:val="008A18AA"/>
    <w:rsid w:val="008A1971"/>
    <w:rsid w:val="008A1975"/>
    <w:rsid w:val="008A1980"/>
    <w:rsid w:val="008A19D1"/>
    <w:rsid w:val="008A1A4F"/>
    <w:rsid w:val="008A1A79"/>
    <w:rsid w:val="008A1AEF"/>
    <w:rsid w:val="008A1B3E"/>
    <w:rsid w:val="008A1B43"/>
    <w:rsid w:val="008A1C4F"/>
    <w:rsid w:val="008A1C58"/>
    <w:rsid w:val="008A1CB6"/>
    <w:rsid w:val="008A1D6F"/>
    <w:rsid w:val="008A1DC7"/>
    <w:rsid w:val="008A1DC9"/>
    <w:rsid w:val="008A1EAF"/>
    <w:rsid w:val="008A1FEB"/>
    <w:rsid w:val="008A2012"/>
    <w:rsid w:val="008A2049"/>
    <w:rsid w:val="008A20EE"/>
    <w:rsid w:val="008A2137"/>
    <w:rsid w:val="008A2184"/>
    <w:rsid w:val="008A2220"/>
    <w:rsid w:val="008A2252"/>
    <w:rsid w:val="008A226D"/>
    <w:rsid w:val="008A229C"/>
    <w:rsid w:val="008A233C"/>
    <w:rsid w:val="008A2354"/>
    <w:rsid w:val="008A23DE"/>
    <w:rsid w:val="008A245B"/>
    <w:rsid w:val="008A24C7"/>
    <w:rsid w:val="008A24F3"/>
    <w:rsid w:val="008A256B"/>
    <w:rsid w:val="008A2572"/>
    <w:rsid w:val="008A2586"/>
    <w:rsid w:val="008A259C"/>
    <w:rsid w:val="008A25A6"/>
    <w:rsid w:val="008A25CA"/>
    <w:rsid w:val="008A25F6"/>
    <w:rsid w:val="008A2647"/>
    <w:rsid w:val="008A26FF"/>
    <w:rsid w:val="008A2788"/>
    <w:rsid w:val="008A27DD"/>
    <w:rsid w:val="008A284E"/>
    <w:rsid w:val="008A2861"/>
    <w:rsid w:val="008A2893"/>
    <w:rsid w:val="008A28F0"/>
    <w:rsid w:val="008A28FF"/>
    <w:rsid w:val="008A2938"/>
    <w:rsid w:val="008A293C"/>
    <w:rsid w:val="008A29E4"/>
    <w:rsid w:val="008A29FF"/>
    <w:rsid w:val="008A2A64"/>
    <w:rsid w:val="008A2AA5"/>
    <w:rsid w:val="008A2AB6"/>
    <w:rsid w:val="008A2B01"/>
    <w:rsid w:val="008A2B28"/>
    <w:rsid w:val="008A2B85"/>
    <w:rsid w:val="008A2BCF"/>
    <w:rsid w:val="008A2BDD"/>
    <w:rsid w:val="008A2C06"/>
    <w:rsid w:val="008A2C53"/>
    <w:rsid w:val="008A2C59"/>
    <w:rsid w:val="008A2CC4"/>
    <w:rsid w:val="008A2D23"/>
    <w:rsid w:val="008A2DE9"/>
    <w:rsid w:val="008A2E65"/>
    <w:rsid w:val="008A2E69"/>
    <w:rsid w:val="008A2E90"/>
    <w:rsid w:val="008A2EB1"/>
    <w:rsid w:val="008A2F42"/>
    <w:rsid w:val="008A2FB3"/>
    <w:rsid w:val="008A2FD8"/>
    <w:rsid w:val="008A300B"/>
    <w:rsid w:val="008A3040"/>
    <w:rsid w:val="008A309E"/>
    <w:rsid w:val="008A30B8"/>
    <w:rsid w:val="008A3140"/>
    <w:rsid w:val="008A3201"/>
    <w:rsid w:val="008A3207"/>
    <w:rsid w:val="008A320C"/>
    <w:rsid w:val="008A3225"/>
    <w:rsid w:val="008A325F"/>
    <w:rsid w:val="008A32B1"/>
    <w:rsid w:val="008A32C5"/>
    <w:rsid w:val="008A3310"/>
    <w:rsid w:val="008A3313"/>
    <w:rsid w:val="008A331B"/>
    <w:rsid w:val="008A335D"/>
    <w:rsid w:val="008A339A"/>
    <w:rsid w:val="008A3408"/>
    <w:rsid w:val="008A3412"/>
    <w:rsid w:val="008A3420"/>
    <w:rsid w:val="008A3441"/>
    <w:rsid w:val="008A347F"/>
    <w:rsid w:val="008A34A1"/>
    <w:rsid w:val="008A35D4"/>
    <w:rsid w:val="008A363E"/>
    <w:rsid w:val="008A3651"/>
    <w:rsid w:val="008A36C0"/>
    <w:rsid w:val="008A372B"/>
    <w:rsid w:val="008A374B"/>
    <w:rsid w:val="008A3790"/>
    <w:rsid w:val="008A37A8"/>
    <w:rsid w:val="008A37EA"/>
    <w:rsid w:val="008A382E"/>
    <w:rsid w:val="008A3830"/>
    <w:rsid w:val="008A3841"/>
    <w:rsid w:val="008A388B"/>
    <w:rsid w:val="008A38EE"/>
    <w:rsid w:val="008A3909"/>
    <w:rsid w:val="008A3A02"/>
    <w:rsid w:val="008A3A05"/>
    <w:rsid w:val="008A3A87"/>
    <w:rsid w:val="008A3AF4"/>
    <w:rsid w:val="008A3BA5"/>
    <w:rsid w:val="008A3BE9"/>
    <w:rsid w:val="008A3CC0"/>
    <w:rsid w:val="008A3D1A"/>
    <w:rsid w:val="008A3D9D"/>
    <w:rsid w:val="008A3E50"/>
    <w:rsid w:val="008A3E63"/>
    <w:rsid w:val="008A3FC7"/>
    <w:rsid w:val="008A4064"/>
    <w:rsid w:val="008A416D"/>
    <w:rsid w:val="008A41A9"/>
    <w:rsid w:val="008A423A"/>
    <w:rsid w:val="008A4245"/>
    <w:rsid w:val="008A427E"/>
    <w:rsid w:val="008A42BE"/>
    <w:rsid w:val="008A43B3"/>
    <w:rsid w:val="008A43ED"/>
    <w:rsid w:val="008A43FF"/>
    <w:rsid w:val="008A441E"/>
    <w:rsid w:val="008A4426"/>
    <w:rsid w:val="008A449C"/>
    <w:rsid w:val="008A449D"/>
    <w:rsid w:val="008A44C9"/>
    <w:rsid w:val="008A44DF"/>
    <w:rsid w:val="008A4539"/>
    <w:rsid w:val="008A4546"/>
    <w:rsid w:val="008A456B"/>
    <w:rsid w:val="008A45E3"/>
    <w:rsid w:val="008A45EE"/>
    <w:rsid w:val="008A467C"/>
    <w:rsid w:val="008A46C7"/>
    <w:rsid w:val="008A46DB"/>
    <w:rsid w:val="008A473E"/>
    <w:rsid w:val="008A4795"/>
    <w:rsid w:val="008A47AA"/>
    <w:rsid w:val="008A48D9"/>
    <w:rsid w:val="008A4912"/>
    <w:rsid w:val="008A4A18"/>
    <w:rsid w:val="008A4AC3"/>
    <w:rsid w:val="008A4B74"/>
    <w:rsid w:val="008A4C25"/>
    <w:rsid w:val="008A4C4D"/>
    <w:rsid w:val="008A4C4F"/>
    <w:rsid w:val="008A4C85"/>
    <w:rsid w:val="008A4D18"/>
    <w:rsid w:val="008A4D54"/>
    <w:rsid w:val="008A4D80"/>
    <w:rsid w:val="008A4D84"/>
    <w:rsid w:val="008A4D9B"/>
    <w:rsid w:val="008A4DB1"/>
    <w:rsid w:val="008A4DC3"/>
    <w:rsid w:val="008A4DDF"/>
    <w:rsid w:val="008A4DEC"/>
    <w:rsid w:val="008A4EA6"/>
    <w:rsid w:val="008A4EF2"/>
    <w:rsid w:val="008A4F58"/>
    <w:rsid w:val="008A4F5F"/>
    <w:rsid w:val="008A4F8C"/>
    <w:rsid w:val="008A4FC2"/>
    <w:rsid w:val="008A500A"/>
    <w:rsid w:val="008A507A"/>
    <w:rsid w:val="008A509C"/>
    <w:rsid w:val="008A50AF"/>
    <w:rsid w:val="008A50DD"/>
    <w:rsid w:val="008A512F"/>
    <w:rsid w:val="008A5171"/>
    <w:rsid w:val="008A51BE"/>
    <w:rsid w:val="008A51D8"/>
    <w:rsid w:val="008A5331"/>
    <w:rsid w:val="008A534D"/>
    <w:rsid w:val="008A5376"/>
    <w:rsid w:val="008A537C"/>
    <w:rsid w:val="008A5438"/>
    <w:rsid w:val="008A5480"/>
    <w:rsid w:val="008A5554"/>
    <w:rsid w:val="008A5566"/>
    <w:rsid w:val="008A55AF"/>
    <w:rsid w:val="008A5636"/>
    <w:rsid w:val="008A5651"/>
    <w:rsid w:val="008A571B"/>
    <w:rsid w:val="008A57DB"/>
    <w:rsid w:val="008A5839"/>
    <w:rsid w:val="008A58E2"/>
    <w:rsid w:val="008A5926"/>
    <w:rsid w:val="008A5A42"/>
    <w:rsid w:val="008A5A52"/>
    <w:rsid w:val="008A5A6C"/>
    <w:rsid w:val="008A5AA9"/>
    <w:rsid w:val="008A5AF8"/>
    <w:rsid w:val="008A5B2C"/>
    <w:rsid w:val="008A5BCF"/>
    <w:rsid w:val="008A5C19"/>
    <w:rsid w:val="008A5C21"/>
    <w:rsid w:val="008A5C76"/>
    <w:rsid w:val="008A5C78"/>
    <w:rsid w:val="008A5CB1"/>
    <w:rsid w:val="008A5CB9"/>
    <w:rsid w:val="008A5D0D"/>
    <w:rsid w:val="008A5DC3"/>
    <w:rsid w:val="008A5DEB"/>
    <w:rsid w:val="008A5DF8"/>
    <w:rsid w:val="008A5E09"/>
    <w:rsid w:val="008A5E44"/>
    <w:rsid w:val="008A5EB2"/>
    <w:rsid w:val="008A5F43"/>
    <w:rsid w:val="008A5F7F"/>
    <w:rsid w:val="008A5FC7"/>
    <w:rsid w:val="008A6028"/>
    <w:rsid w:val="008A60A5"/>
    <w:rsid w:val="008A60E1"/>
    <w:rsid w:val="008A60E9"/>
    <w:rsid w:val="008A612B"/>
    <w:rsid w:val="008A61A9"/>
    <w:rsid w:val="008A626E"/>
    <w:rsid w:val="008A62CD"/>
    <w:rsid w:val="008A637B"/>
    <w:rsid w:val="008A63C7"/>
    <w:rsid w:val="008A63E9"/>
    <w:rsid w:val="008A6428"/>
    <w:rsid w:val="008A642C"/>
    <w:rsid w:val="008A6486"/>
    <w:rsid w:val="008A64ED"/>
    <w:rsid w:val="008A6561"/>
    <w:rsid w:val="008A657E"/>
    <w:rsid w:val="008A65E9"/>
    <w:rsid w:val="008A668B"/>
    <w:rsid w:val="008A66CA"/>
    <w:rsid w:val="008A6758"/>
    <w:rsid w:val="008A678F"/>
    <w:rsid w:val="008A6927"/>
    <w:rsid w:val="008A69ED"/>
    <w:rsid w:val="008A6B17"/>
    <w:rsid w:val="008A6B7A"/>
    <w:rsid w:val="008A6BF9"/>
    <w:rsid w:val="008A6BFF"/>
    <w:rsid w:val="008A6C88"/>
    <w:rsid w:val="008A6CB4"/>
    <w:rsid w:val="008A6CE4"/>
    <w:rsid w:val="008A6D7A"/>
    <w:rsid w:val="008A6DFC"/>
    <w:rsid w:val="008A6E1B"/>
    <w:rsid w:val="008A6E22"/>
    <w:rsid w:val="008A6E9D"/>
    <w:rsid w:val="008A6F25"/>
    <w:rsid w:val="008A6F2E"/>
    <w:rsid w:val="008A6FD5"/>
    <w:rsid w:val="008A701C"/>
    <w:rsid w:val="008A706A"/>
    <w:rsid w:val="008A7074"/>
    <w:rsid w:val="008A70CB"/>
    <w:rsid w:val="008A7104"/>
    <w:rsid w:val="008A7162"/>
    <w:rsid w:val="008A71B7"/>
    <w:rsid w:val="008A71BF"/>
    <w:rsid w:val="008A71F0"/>
    <w:rsid w:val="008A7242"/>
    <w:rsid w:val="008A728F"/>
    <w:rsid w:val="008A7294"/>
    <w:rsid w:val="008A7342"/>
    <w:rsid w:val="008A7484"/>
    <w:rsid w:val="008A74CF"/>
    <w:rsid w:val="008A755C"/>
    <w:rsid w:val="008A7633"/>
    <w:rsid w:val="008A763E"/>
    <w:rsid w:val="008A765F"/>
    <w:rsid w:val="008A76ED"/>
    <w:rsid w:val="008A7787"/>
    <w:rsid w:val="008A7795"/>
    <w:rsid w:val="008A77CD"/>
    <w:rsid w:val="008A7898"/>
    <w:rsid w:val="008A78C5"/>
    <w:rsid w:val="008A78E3"/>
    <w:rsid w:val="008A7993"/>
    <w:rsid w:val="008A7B4A"/>
    <w:rsid w:val="008A7C36"/>
    <w:rsid w:val="008A7D27"/>
    <w:rsid w:val="008A7D59"/>
    <w:rsid w:val="008A7D5A"/>
    <w:rsid w:val="008A7DBA"/>
    <w:rsid w:val="008A7DCF"/>
    <w:rsid w:val="008A7E37"/>
    <w:rsid w:val="008A7E47"/>
    <w:rsid w:val="008A7E58"/>
    <w:rsid w:val="008A7E87"/>
    <w:rsid w:val="008A7EE4"/>
    <w:rsid w:val="008A7F3A"/>
    <w:rsid w:val="008AEB30"/>
    <w:rsid w:val="008B0004"/>
    <w:rsid w:val="008B0024"/>
    <w:rsid w:val="008B003A"/>
    <w:rsid w:val="008B004B"/>
    <w:rsid w:val="008B00EB"/>
    <w:rsid w:val="008B0121"/>
    <w:rsid w:val="008B0176"/>
    <w:rsid w:val="008B0197"/>
    <w:rsid w:val="008B01BC"/>
    <w:rsid w:val="008B022E"/>
    <w:rsid w:val="008B03A9"/>
    <w:rsid w:val="008B03B7"/>
    <w:rsid w:val="008B03D8"/>
    <w:rsid w:val="008B041F"/>
    <w:rsid w:val="008B0479"/>
    <w:rsid w:val="008B0547"/>
    <w:rsid w:val="008B0604"/>
    <w:rsid w:val="008B0616"/>
    <w:rsid w:val="008B067D"/>
    <w:rsid w:val="008B06C0"/>
    <w:rsid w:val="008B06CB"/>
    <w:rsid w:val="008B06CC"/>
    <w:rsid w:val="008B06D9"/>
    <w:rsid w:val="008B071E"/>
    <w:rsid w:val="008B0724"/>
    <w:rsid w:val="008B07AD"/>
    <w:rsid w:val="008B07D7"/>
    <w:rsid w:val="008B07F1"/>
    <w:rsid w:val="008B07FE"/>
    <w:rsid w:val="008B0827"/>
    <w:rsid w:val="008B082B"/>
    <w:rsid w:val="008B08F9"/>
    <w:rsid w:val="008B0917"/>
    <w:rsid w:val="008B0A3B"/>
    <w:rsid w:val="008B0A52"/>
    <w:rsid w:val="008B0A98"/>
    <w:rsid w:val="008B0A9E"/>
    <w:rsid w:val="008B0ACE"/>
    <w:rsid w:val="008B0AE4"/>
    <w:rsid w:val="008B0B33"/>
    <w:rsid w:val="008B0BDA"/>
    <w:rsid w:val="008B0C02"/>
    <w:rsid w:val="008B0C22"/>
    <w:rsid w:val="008B0C26"/>
    <w:rsid w:val="008B0C99"/>
    <w:rsid w:val="008B0CF0"/>
    <w:rsid w:val="008B0D0E"/>
    <w:rsid w:val="008B0D42"/>
    <w:rsid w:val="008B0D8A"/>
    <w:rsid w:val="008B0D8C"/>
    <w:rsid w:val="008B0D8D"/>
    <w:rsid w:val="008B0D95"/>
    <w:rsid w:val="008B0D9A"/>
    <w:rsid w:val="008B0D9E"/>
    <w:rsid w:val="008B0DC5"/>
    <w:rsid w:val="008B0E4E"/>
    <w:rsid w:val="008B0E5D"/>
    <w:rsid w:val="008B0EED"/>
    <w:rsid w:val="008B1020"/>
    <w:rsid w:val="008B102C"/>
    <w:rsid w:val="008B1071"/>
    <w:rsid w:val="008B10E1"/>
    <w:rsid w:val="008B111F"/>
    <w:rsid w:val="008B112D"/>
    <w:rsid w:val="008B1151"/>
    <w:rsid w:val="008B1189"/>
    <w:rsid w:val="008B1313"/>
    <w:rsid w:val="008B1383"/>
    <w:rsid w:val="008B13C7"/>
    <w:rsid w:val="008B1406"/>
    <w:rsid w:val="008B1410"/>
    <w:rsid w:val="008B1422"/>
    <w:rsid w:val="008B1424"/>
    <w:rsid w:val="008B1433"/>
    <w:rsid w:val="008B14CD"/>
    <w:rsid w:val="008B1512"/>
    <w:rsid w:val="008B1542"/>
    <w:rsid w:val="008B1588"/>
    <w:rsid w:val="008B160D"/>
    <w:rsid w:val="008B16D4"/>
    <w:rsid w:val="008B1707"/>
    <w:rsid w:val="008B1730"/>
    <w:rsid w:val="008B1794"/>
    <w:rsid w:val="008B17C8"/>
    <w:rsid w:val="008B180A"/>
    <w:rsid w:val="008B180B"/>
    <w:rsid w:val="008B1814"/>
    <w:rsid w:val="008B1887"/>
    <w:rsid w:val="008B18B3"/>
    <w:rsid w:val="008B18E9"/>
    <w:rsid w:val="008B1978"/>
    <w:rsid w:val="008B1991"/>
    <w:rsid w:val="008B19C4"/>
    <w:rsid w:val="008B1A28"/>
    <w:rsid w:val="008B1A98"/>
    <w:rsid w:val="008B1ADD"/>
    <w:rsid w:val="008B1B85"/>
    <w:rsid w:val="008B1BE8"/>
    <w:rsid w:val="008B1DEE"/>
    <w:rsid w:val="008B1DFF"/>
    <w:rsid w:val="008B1EC1"/>
    <w:rsid w:val="008B1F1B"/>
    <w:rsid w:val="008B1F95"/>
    <w:rsid w:val="008B200D"/>
    <w:rsid w:val="008B20E0"/>
    <w:rsid w:val="008B20FD"/>
    <w:rsid w:val="008B2201"/>
    <w:rsid w:val="008B2225"/>
    <w:rsid w:val="008B2241"/>
    <w:rsid w:val="008B22C2"/>
    <w:rsid w:val="008B22D9"/>
    <w:rsid w:val="008B22E7"/>
    <w:rsid w:val="008B2311"/>
    <w:rsid w:val="008B232B"/>
    <w:rsid w:val="008B23AB"/>
    <w:rsid w:val="008B2451"/>
    <w:rsid w:val="008B246E"/>
    <w:rsid w:val="008B24B9"/>
    <w:rsid w:val="008B2546"/>
    <w:rsid w:val="008B2643"/>
    <w:rsid w:val="008B269B"/>
    <w:rsid w:val="008B2709"/>
    <w:rsid w:val="008B2733"/>
    <w:rsid w:val="008B273E"/>
    <w:rsid w:val="008B2746"/>
    <w:rsid w:val="008B27B1"/>
    <w:rsid w:val="008B27E1"/>
    <w:rsid w:val="008B28F4"/>
    <w:rsid w:val="008B28F9"/>
    <w:rsid w:val="008B2911"/>
    <w:rsid w:val="008B2940"/>
    <w:rsid w:val="008B2995"/>
    <w:rsid w:val="008B29CB"/>
    <w:rsid w:val="008B29D5"/>
    <w:rsid w:val="008B29EE"/>
    <w:rsid w:val="008B2A48"/>
    <w:rsid w:val="008B2A60"/>
    <w:rsid w:val="008B2A70"/>
    <w:rsid w:val="008B2B77"/>
    <w:rsid w:val="008B2B9F"/>
    <w:rsid w:val="008B2C2E"/>
    <w:rsid w:val="008B2C37"/>
    <w:rsid w:val="008B2C73"/>
    <w:rsid w:val="008B2C9A"/>
    <w:rsid w:val="008B2CD7"/>
    <w:rsid w:val="008B2CEB"/>
    <w:rsid w:val="008B2DA5"/>
    <w:rsid w:val="008B2DE7"/>
    <w:rsid w:val="008B2DEE"/>
    <w:rsid w:val="008B2EA0"/>
    <w:rsid w:val="008B2ECD"/>
    <w:rsid w:val="008B3081"/>
    <w:rsid w:val="008B30C9"/>
    <w:rsid w:val="008B30D4"/>
    <w:rsid w:val="008B30DF"/>
    <w:rsid w:val="008B3190"/>
    <w:rsid w:val="008B324C"/>
    <w:rsid w:val="008B328A"/>
    <w:rsid w:val="008B3302"/>
    <w:rsid w:val="008B3354"/>
    <w:rsid w:val="008B339C"/>
    <w:rsid w:val="008B33D1"/>
    <w:rsid w:val="008B3449"/>
    <w:rsid w:val="008B349D"/>
    <w:rsid w:val="008B34F5"/>
    <w:rsid w:val="008B3515"/>
    <w:rsid w:val="008B3526"/>
    <w:rsid w:val="008B3549"/>
    <w:rsid w:val="008B3561"/>
    <w:rsid w:val="008B3582"/>
    <w:rsid w:val="008B35D3"/>
    <w:rsid w:val="008B3672"/>
    <w:rsid w:val="008B36CF"/>
    <w:rsid w:val="008B36F4"/>
    <w:rsid w:val="008B370B"/>
    <w:rsid w:val="008B3745"/>
    <w:rsid w:val="008B3813"/>
    <w:rsid w:val="008B3A65"/>
    <w:rsid w:val="008B3AE7"/>
    <w:rsid w:val="008B3AF3"/>
    <w:rsid w:val="008B3B23"/>
    <w:rsid w:val="008B3B99"/>
    <w:rsid w:val="008B3BCA"/>
    <w:rsid w:val="008B3BE5"/>
    <w:rsid w:val="008B3CA4"/>
    <w:rsid w:val="008B3CDA"/>
    <w:rsid w:val="008B3D47"/>
    <w:rsid w:val="008B3D4C"/>
    <w:rsid w:val="008B3DBA"/>
    <w:rsid w:val="008B3DFF"/>
    <w:rsid w:val="008B3E2B"/>
    <w:rsid w:val="008B3E37"/>
    <w:rsid w:val="008B3E88"/>
    <w:rsid w:val="008B3F74"/>
    <w:rsid w:val="008B3F8F"/>
    <w:rsid w:val="008B3FA8"/>
    <w:rsid w:val="008B3FB2"/>
    <w:rsid w:val="008B3FBE"/>
    <w:rsid w:val="008B3FD8"/>
    <w:rsid w:val="008B3FD9"/>
    <w:rsid w:val="008B4055"/>
    <w:rsid w:val="008B4136"/>
    <w:rsid w:val="008B419E"/>
    <w:rsid w:val="008B41FA"/>
    <w:rsid w:val="008B427A"/>
    <w:rsid w:val="008B4379"/>
    <w:rsid w:val="008B437D"/>
    <w:rsid w:val="008B443F"/>
    <w:rsid w:val="008B444B"/>
    <w:rsid w:val="008B44BE"/>
    <w:rsid w:val="008B4582"/>
    <w:rsid w:val="008B45D4"/>
    <w:rsid w:val="008B45F9"/>
    <w:rsid w:val="008B467F"/>
    <w:rsid w:val="008B4709"/>
    <w:rsid w:val="008B4776"/>
    <w:rsid w:val="008B47AF"/>
    <w:rsid w:val="008B47D0"/>
    <w:rsid w:val="008B47D4"/>
    <w:rsid w:val="008B4963"/>
    <w:rsid w:val="008B4A84"/>
    <w:rsid w:val="008B4AEF"/>
    <w:rsid w:val="008B4B2C"/>
    <w:rsid w:val="008B4B46"/>
    <w:rsid w:val="008B4BC1"/>
    <w:rsid w:val="008B4CA6"/>
    <w:rsid w:val="008B4CF4"/>
    <w:rsid w:val="008B4D85"/>
    <w:rsid w:val="008B4DAB"/>
    <w:rsid w:val="008B4DBE"/>
    <w:rsid w:val="008B4DC0"/>
    <w:rsid w:val="008B4DDF"/>
    <w:rsid w:val="008B4E76"/>
    <w:rsid w:val="008B4EF0"/>
    <w:rsid w:val="008B4F8E"/>
    <w:rsid w:val="008B4F9A"/>
    <w:rsid w:val="008B4FC9"/>
    <w:rsid w:val="008B5032"/>
    <w:rsid w:val="008B5046"/>
    <w:rsid w:val="008B505F"/>
    <w:rsid w:val="008B50BB"/>
    <w:rsid w:val="008B50C5"/>
    <w:rsid w:val="008B510A"/>
    <w:rsid w:val="008B51B2"/>
    <w:rsid w:val="008B51ED"/>
    <w:rsid w:val="008B5282"/>
    <w:rsid w:val="008B5290"/>
    <w:rsid w:val="008B52F1"/>
    <w:rsid w:val="008B52FE"/>
    <w:rsid w:val="008B5397"/>
    <w:rsid w:val="008B539D"/>
    <w:rsid w:val="008B53BD"/>
    <w:rsid w:val="008B54F0"/>
    <w:rsid w:val="008B55F3"/>
    <w:rsid w:val="008B5683"/>
    <w:rsid w:val="008B56E3"/>
    <w:rsid w:val="008B56E7"/>
    <w:rsid w:val="008B5735"/>
    <w:rsid w:val="008B57B6"/>
    <w:rsid w:val="008B57B7"/>
    <w:rsid w:val="008B57CB"/>
    <w:rsid w:val="008B580E"/>
    <w:rsid w:val="008B5893"/>
    <w:rsid w:val="008B5926"/>
    <w:rsid w:val="008B5932"/>
    <w:rsid w:val="008B596D"/>
    <w:rsid w:val="008B5988"/>
    <w:rsid w:val="008B59CA"/>
    <w:rsid w:val="008B59D7"/>
    <w:rsid w:val="008B59F8"/>
    <w:rsid w:val="008B5A2F"/>
    <w:rsid w:val="008B5AD2"/>
    <w:rsid w:val="008B5B50"/>
    <w:rsid w:val="008B5C08"/>
    <w:rsid w:val="008B5C46"/>
    <w:rsid w:val="008B5CCC"/>
    <w:rsid w:val="008B5CCD"/>
    <w:rsid w:val="008B5DDE"/>
    <w:rsid w:val="008B5DE6"/>
    <w:rsid w:val="008B5E28"/>
    <w:rsid w:val="008B5E36"/>
    <w:rsid w:val="008B5EBB"/>
    <w:rsid w:val="008B5ED2"/>
    <w:rsid w:val="008B5F32"/>
    <w:rsid w:val="008B5F80"/>
    <w:rsid w:val="008B5F8C"/>
    <w:rsid w:val="008B5F9E"/>
    <w:rsid w:val="008B5FA8"/>
    <w:rsid w:val="008B6053"/>
    <w:rsid w:val="008B609D"/>
    <w:rsid w:val="008B60B5"/>
    <w:rsid w:val="008B60D2"/>
    <w:rsid w:val="008B60D9"/>
    <w:rsid w:val="008B6184"/>
    <w:rsid w:val="008B6189"/>
    <w:rsid w:val="008B6223"/>
    <w:rsid w:val="008B62DB"/>
    <w:rsid w:val="008B62F2"/>
    <w:rsid w:val="008B642B"/>
    <w:rsid w:val="008B6435"/>
    <w:rsid w:val="008B6476"/>
    <w:rsid w:val="008B64D2"/>
    <w:rsid w:val="008B6597"/>
    <w:rsid w:val="008B65AB"/>
    <w:rsid w:val="008B65B7"/>
    <w:rsid w:val="008B6616"/>
    <w:rsid w:val="008B6654"/>
    <w:rsid w:val="008B66BE"/>
    <w:rsid w:val="008B66F0"/>
    <w:rsid w:val="008B66FF"/>
    <w:rsid w:val="008B672A"/>
    <w:rsid w:val="008B67BB"/>
    <w:rsid w:val="008B685F"/>
    <w:rsid w:val="008B694B"/>
    <w:rsid w:val="008B6970"/>
    <w:rsid w:val="008B698B"/>
    <w:rsid w:val="008B69A9"/>
    <w:rsid w:val="008B69EA"/>
    <w:rsid w:val="008B6A4A"/>
    <w:rsid w:val="008B6A5C"/>
    <w:rsid w:val="008B6A8F"/>
    <w:rsid w:val="008B6ABA"/>
    <w:rsid w:val="008B6ACD"/>
    <w:rsid w:val="008B6B22"/>
    <w:rsid w:val="008B6B73"/>
    <w:rsid w:val="008B6BF6"/>
    <w:rsid w:val="008B6C2A"/>
    <w:rsid w:val="008B6CE3"/>
    <w:rsid w:val="008B6D7C"/>
    <w:rsid w:val="008B6E98"/>
    <w:rsid w:val="008B6E9B"/>
    <w:rsid w:val="008B6F8E"/>
    <w:rsid w:val="008B702C"/>
    <w:rsid w:val="008B703B"/>
    <w:rsid w:val="008B70F1"/>
    <w:rsid w:val="008B7166"/>
    <w:rsid w:val="008B7187"/>
    <w:rsid w:val="008B719B"/>
    <w:rsid w:val="008B71CC"/>
    <w:rsid w:val="008B7216"/>
    <w:rsid w:val="008B725B"/>
    <w:rsid w:val="008B72A1"/>
    <w:rsid w:val="008B7307"/>
    <w:rsid w:val="008B736B"/>
    <w:rsid w:val="008B7410"/>
    <w:rsid w:val="008B7411"/>
    <w:rsid w:val="008B7416"/>
    <w:rsid w:val="008B74DA"/>
    <w:rsid w:val="008B74F1"/>
    <w:rsid w:val="008B7601"/>
    <w:rsid w:val="008B7667"/>
    <w:rsid w:val="008B76F8"/>
    <w:rsid w:val="008B7728"/>
    <w:rsid w:val="008B77C1"/>
    <w:rsid w:val="008B77D5"/>
    <w:rsid w:val="008B77FF"/>
    <w:rsid w:val="008B780F"/>
    <w:rsid w:val="008B7814"/>
    <w:rsid w:val="008B7836"/>
    <w:rsid w:val="008B785B"/>
    <w:rsid w:val="008B7919"/>
    <w:rsid w:val="008B793E"/>
    <w:rsid w:val="008B79DA"/>
    <w:rsid w:val="008B79DD"/>
    <w:rsid w:val="008B7A64"/>
    <w:rsid w:val="008B7ADD"/>
    <w:rsid w:val="008B7AFB"/>
    <w:rsid w:val="008B7B58"/>
    <w:rsid w:val="008B7B84"/>
    <w:rsid w:val="008B7BC4"/>
    <w:rsid w:val="008B7BF6"/>
    <w:rsid w:val="008B7CE4"/>
    <w:rsid w:val="008B7D23"/>
    <w:rsid w:val="008B7D32"/>
    <w:rsid w:val="008B7D4D"/>
    <w:rsid w:val="008B7D55"/>
    <w:rsid w:val="008B7E23"/>
    <w:rsid w:val="008B7E35"/>
    <w:rsid w:val="008B7E63"/>
    <w:rsid w:val="008B7ED9"/>
    <w:rsid w:val="008B7EEE"/>
    <w:rsid w:val="008B7F14"/>
    <w:rsid w:val="008B7F3F"/>
    <w:rsid w:val="008B7F52"/>
    <w:rsid w:val="008B7F83"/>
    <w:rsid w:val="008C0038"/>
    <w:rsid w:val="008C004E"/>
    <w:rsid w:val="008C0067"/>
    <w:rsid w:val="008C010D"/>
    <w:rsid w:val="008C013A"/>
    <w:rsid w:val="008C018E"/>
    <w:rsid w:val="008C024F"/>
    <w:rsid w:val="008C0279"/>
    <w:rsid w:val="008C02BE"/>
    <w:rsid w:val="008C02E1"/>
    <w:rsid w:val="008C03E9"/>
    <w:rsid w:val="008C048D"/>
    <w:rsid w:val="008C0530"/>
    <w:rsid w:val="008C053A"/>
    <w:rsid w:val="008C0541"/>
    <w:rsid w:val="008C059C"/>
    <w:rsid w:val="008C0606"/>
    <w:rsid w:val="008C061D"/>
    <w:rsid w:val="008C068B"/>
    <w:rsid w:val="008C074F"/>
    <w:rsid w:val="008C0750"/>
    <w:rsid w:val="008C075A"/>
    <w:rsid w:val="008C0780"/>
    <w:rsid w:val="008C07C8"/>
    <w:rsid w:val="008C0888"/>
    <w:rsid w:val="008C0962"/>
    <w:rsid w:val="008C097C"/>
    <w:rsid w:val="008C0998"/>
    <w:rsid w:val="008C09B8"/>
    <w:rsid w:val="008C0A4E"/>
    <w:rsid w:val="008C0ACD"/>
    <w:rsid w:val="008C0B54"/>
    <w:rsid w:val="008C0BB3"/>
    <w:rsid w:val="008C0BC2"/>
    <w:rsid w:val="008C0BCA"/>
    <w:rsid w:val="008C0C38"/>
    <w:rsid w:val="008C0C80"/>
    <w:rsid w:val="008C0CA9"/>
    <w:rsid w:val="008C0D5F"/>
    <w:rsid w:val="008C0D73"/>
    <w:rsid w:val="008C0DB4"/>
    <w:rsid w:val="008C0DBA"/>
    <w:rsid w:val="008C0DDE"/>
    <w:rsid w:val="008C0DE8"/>
    <w:rsid w:val="008C0E39"/>
    <w:rsid w:val="008C0E9F"/>
    <w:rsid w:val="008C0EF7"/>
    <w:rsid w:val="008C0F33"/>
    <w:rsid w:val="008C0FD1"/>
    <w:rsid w:val="008C0FF7"/>
    <w:rsid w:val="008C1012"/>
    <w:rsid w:val="008C1040"/>
    <w:rsid w:val="008C11A4"/>
    <w:rsid w:val="008C11CE"/>
    <w:rsid w:val="008C1271"/>
    <w:rsid w:val="008C12CE"/>
    <w:rsid w:val="008C132C"/>
    <w:rsid w:val="008C1370"/>
    <w:rsid w:val="008C1391"/>
    <w:rsid w:val="008C149D"/>
    <w:rsid w:val="008C14CE"/>
    <w:rsid w:val="008C14D8"/>
    <w:rsid w:val="008C162B"/>
    <w:rsid w:val="008C1632"/>
    <w:rsid w:val="008C165F"/>
    <w:rsid w:val="008C16AF"/>
    <w:rsid w:val="008C1803"/>
    <w:rsid w:val="008C1817"/>
    <w:rsid w:val="008C182B"/>
    <w:rsid w:val="008C1835"/>
    <w:rsid w:val="008C186E"/>
    <w:rsid w:val="008C1887"/>
    <w:rsid w:val="008C18A9"/>
    <w:rsid w:val="008C18D2"/>
    <w:rsid w:val="008C1951"/>
    <w:rsid w:val="008C1ACD"/>
    <w:rsid w:val="008C1B22"/>
    <w:rsid w:val="008C1B61"/>
    <w:rsid w:val="008C1B93"/>
    <w:rsid w:val="008C1C05"/>
    <w:rsid w:val="008C1CB0"/>
    <w:rsid w:val="008C1D18"/>
    <w:rsid w:val="008C1EB2"/>
    <w:rsid w:val="008C1ECE"/>
    <w:rsid w:val="008C1EDB"/>
    <w:rsid w:val="008C1EED"/>
    <w:rsid w:val="008C1F17"/>
    <w:rsid w:val="008C1F87"/>
    <w:rsid w:val="008C1FC2"/>
    <w:rsid w:val="008C2020"/>
    <w:rsid w:val="008C2081"/>
    <w:rsid w:val="008C2088"/>
    <w:rsid w:val="008C20A8"/>
    <w:rsid w:val="008C210A"/>
    <w:rsid w:val="008C2129"/>
    <w:rsid w:val="008C215F"/>
    <w:rsid w:val="008C2207"/>
    <w:rsid w:val="008C220F"/>
    <w:rsid w:val="008C2380"/>
    <w:rsid w:val="008C239E"/>
    <w:rsid w:val="008C23A2"/>
    <w:rsid w:val="008C2416"/>
    <w:rsid w:val="008C24D4"/>
    <w:rsid w:val="008C250C"/>
    <w:rsid w:val="008C2524"/>
    <w:rsid w:val="008C2553"/>
    <w:rsid w:val="008C25C4"/>
    <w:rsid w:val="008C2737"/>
    <w:rsid w:val="008C27B7"/>
    <w:rsid w:val="008C2822"/>
    <w:rsid w:val="008C2867"/>
    <w:rsid w:val="008C28A7"/>
    <w:rsid w:val="008C28A8"/>
    <w:rsid w:val="008C28B0"/>
    <w:rsid w:val="008C28F3"/>
    <w:rsid w:val="008C29CD"/>
    <w:rsid w:val="008C2AA9"/>
    <w:rsid w:val="008C2B18"/>
    <w:rsid w:val="008C2B33"/>
    <w:rsid w:val="008C2B35"/>
    <w:rsid w:val="008C2B63"/>
    <w:rsid w:val="008C2B68"/>
    <w:rsid w:val="008C2B94"/>
    <w:rsid w:val="008C2BB2"/>
    <w:rsid w:val="008C2DAD"/>
    <w:rsid w:val="008C2E3D"/>
    <w:rsid w:val="008C2EE0"/>
    <w:rsid w:val="008C2F82"/>
    <w:rsid w:val="008C2F8C"/>
    <w:rsid w:val="008C2FB9"/>
    <w:rsid w:val="008C3010"/>
    <w:rsid w:val="008C3035"/>
    <w:rsid w:val="008C30A3"/>
    <w:rsid w:val="008C30BB"/>
    <w:rsid w:val="008C30D2"/>
    <w:rsid w:val="008C30D5"/>
    <w:rsid w:val="008C3178"/>
    <w:rsid w:val="008C320E"/>
    <w:rsid w:val="008C32A9"/>
    <w:rsid w:val="008C339D"/>
    <w:rsid w:val="008C33AE"/>
    <w:rsid w:val="008C33B2"/>
    <w:rsid w:val="008C33F2"/>
    <w:rsid w:val="008C3426"/>
    <w:rsid w:val="008C3468"/>
    <w:rsid w:val="008C34B8"/>
    <w:rsid w:val="008C34D9"/>
    <w:rsid w:val="008C34E2"/>
    <w:rsid w:val="008C351A"/>
    <w:rsid w:val="008C35A6"/>
    <w:rsid w:val="008C35C5"/>
    <w:rsid w:val="008C364E"/>
    <w:rsid w:val="008C3651"/>
    <w:rsid w:val="008C366C"/>
    <w:rsid w:val="008C3676"/>
    <w:rsid w:val="008C36FB"/>
    <w:rsid w:val="008C37B0"/>
    <w:rsid w:val="008C37D3"/>
    <w:rsid w:val="008C37DD"/>
    <w:rsid w:val="008C3823"/>
    <w:rsid w:val="008C38B0"/>
    <w:rsid w:val="008C38FC"/>
    <w:rsid w:val="008C3914"/>
    <w:rsid w:val="008C393A"/>
    <w:rsid w:val="008C394C"/>
    <w:rsid w:val="008C39E0"/>
    <w:rsid w:val="008C39FE"/>
    <w:rsid w:val="008C3B06"/>
    <w:rsid w:val="008C3B19"/>
    <w:rsid w:val="008C3B7A"/>
    <w:rsid w:val="008C3BB1"/>
    <w:rsid w:val="008C3C3C"/>
    <w:rsid w:val="008C3C6D"/>
    <w:rsid w:val="008C3C73"/>
    <w:rsid w:val="008C3C94"/>
    <w:rsid w:val="008C3D5D"/>
    <w:rsid w:val="008C3E5B"/>
    <w:rsid w:val="008C3E66"/>
    <w:rsid w:val="008C3E77"/>
    <w:rsid w:val="008C3F86"/>
    <w:rsid w:val="008C3F88"/>
    <w:rsid w:val="008C3FC9"/>
    <w:rsid w:val="008C3FCE"/>
    <w:rsid w:val="008C4014"/>
    <w:rsid w:val="008C402D"/>
    <w:rsid w:val="008C404E"/>
    <w:rsid w:val="008C4082"/>
    <w:rsid w:val="008C408F"/>
    <w:rsid w:val="008C41BC"/>
    <w:rsid w:val="008C421A"/>
    <w:rsid w:val="008C424F"/>
    <w:rsid w:val="008C4299"/>
    <w:rsid w:val="008C42B3"/>
    <w:rsid w:val="008C42DB"/>
    <w:rsid w:val="008C42F1"/>
    <w:rsid w:val="008C42FC"/>
    <w:rsid w:val="008C438F"/>
    <w:rsid w:val="008C43B7"/>
    <w:rsid w:val="008C4441"/>
    <w:rsid w:val="008C44BE"/>
    <w:rsid w:val="008C44CC"/>
    <w:rsid w:val="008C4599"/>
    <w:rsid w:val="008C45AA"/>
    <w:rsid w:val="008C460E"/>
    <w:rsid w:val="008C4613"/>
    <w:rsid w:val="008C4630"/>
    <w:rsid w:val="008C4638"/>
    <w:rsid w:val="008C46FF"/>
    <w:rsid w:val="008C471F"/>
    <w:rsid w:val="008C479D"/>
    <w:rsid w:val="008C479E"/>
    <w:rsid w:val="008C4892"/>
    <w:rsid w:val="008C497A"/>
    <w:rsid w:val="008C4986"/>
    <w:rsid w:val="008C4A22"/>
    <w:rsid w:val="008C4AF9"/>
    <w:rsid w:val="008C4B40"/>
    <w:rsid w:val="008C4B5C"/>
    <w:rsid w:val="008C4BB8"/>
    <w:rsid w:val="008C4BC7"/>
    <w:rsid w:val="008C4C42"/>
    <w:rsid w:val="008C4C53"/>
    <w:rsid w:val="008C4C8C"/>
    <w:rsid w:val="008C4CB8"/>
    <w:rsid w:val="008C4D03"/>
    <w:rsid w:val="008C4D13"/>
    <w:rsid w:val="008C4D2C"/>
    <w:rsid w:val="008C4D41"/>
    <w:rsid w:val="008C4D4A"/>
    <w:rsid w:val="008C4D4C"/>
    <w:rsid w:val="008C4D5B"/>
    <w:rsid w:val="008C4E23"/>
    <w:rsid w:val="008C4E3B"/>
    <w:rsid w:val="008C4E4B"/>
    <w:rsid w:val="008C4E71"/>
    <w:rsid w:val="008C4E73"/>
    <w:rsid w:val="008C4E91"/>
    <w:rsid w:val="008C4ECC"/>
    <w:rsid w:val="008C4F84"/>
    <w:rsid w:val="008C5057"/>
    <w:rsid w:val="008C50A6"/>
    <w:rsid w:val="008C50AA"/>
    <w:rsid w:val="008C519A"/>
    <w:rsid w:val="008C51D6"/>
    <w:rsid w:val="008C5234"/>
    <w:rsid w:val="008C524C"/>
    <w:rsid w:val="008C5278"/>
    <w:rsid w:val="008C52BA"/>
    <w:rsid w:val="008C546F"/>
    <w:rsid w:val="008C54B6"/>
    <w:rsid w:val="008C5515"/>
    <w:rsid w:val="008C5523"/>
    <w:rsid w:val="008C5548"/>
    <w:rsid w:val="008C5559"/>
    <w:rsid w:val="008C55EE"/>
    <w:rsid w:val="008C5643"/>
    <w:rsid w:val="008C568F"/>
    <w:rsid w:val="008C5749"/>
    <w:rsid w:val="008C5785"/>
    <w:rsid w:val="008C5816"/>
    <w:rsid w:val="008C588C"/>
    <w:rsid w:val="008C5A45"/>
    <w:rsid w:val="008C5A76"/>
    <w:rsid w:val="008C5B0A"/>
    <w:rsid w:val="008C5BB2"/>
    <w:rsid w:val="008C5CDB"/>
    <w:rsid w:val="008C5CF0"/>
    <w:rsid w:val="008C5DA8"/>
    <w:rsid w:val="008C5E00"/>
    <w:rsid w:val="008C5E20"/>
    <w:rsid w:val="008C5E7E"/>
    <w:rsid w:val="008C5F1E"/>
    <w:rsid w:val="008C5F47"/>
    <w:rsid w:val="008C5FAF"/>
    <w:rsid w:val="008C603F"/>
    <w:rsid w:val="008C6080"/>
    <w:rsid w:val="008C60A4"/>
    <w:rsid w:val="008C60D5"/>
    <w:rsid w:val="008C60DA"/>
    <w:rsid w:val="008C6107"/>
    <w:rsid w:val="008C619F"/>
    <w:rsid w:val="008C6242"/>
    <w:rsid w:val="008C6294"/>
    <w:rsid w:val="008C629B"/>
    <w:rsid w:val="008C62B5"/>
    <w:rsid w:val="008C62BC"/>
    <w:rsid w:val="008C62DA"/>
    <w:rsid w:val="008C6309"/>
    <w:rsid w:val="008C631C"/>
    <w:rsid w:val="008C631F"/>
    <w:rsid w:val="008C634A"/>
    <w:rsid w:val="008C6376"/>
    <w:rsid w:val="008C63FA"/>
    <w:rsid w:val="008C643B"/>
    <w:rsid w:val="008C645E"/>
    <w:rsid w:val="008C64BC"/>
    <w:rsid w:val="008C6505"/>
    <w:rsid w:val="008C6528"/>
    <w:rsid w:val="008C6595"/>
    <w:rsid w:val="008C65CD"/>
    <w:rsid w:val="008C6685"/>
    <w:rsid w:val="008C6691"/>
    <w:rsid w:val="008C66D1"/>
    <w:rsid w:val="008C66D5"/>
    <w:rsid w:val="008C6744"/>
    <w:rsid w:val="008C676E"/>
    <w:rsid w:val="008C67A6"/>
    <w:rsid w:val="008C67E5"/>
    <w:rsid w:val="008C680E"/>
    <w:rsid w:val="008C6820"/>
    <w:rsid w:val="008C687C"/>
    <w:rsid w:val="008C68CF"/>
    <w:rsid w:val="008C696B"/>
    <w:rsid w:val="008C6987"/>
    <w:rsid w:val="008C69B9"/>
    <w:rsid w:val="008C69F2"/>
    <w:rsid w:val="008C6A5C"/>
    <w:rsid w:val="008C6AC9"/>
    <w:rsid w:val="008C6ADC"/>
    <w:rsid w:val="008C6AED"/>
    <w:rsid w:val="008C6B05"/>
    <w:rsid w:val="008C6B4D"/>
    <w:rsid w:val="008C6DCF"/>
    <w:rsid w:val="008C6DD5"/>
    <w:rsid w:val="008C6E30"/>
    <w:rsid w:val="008C6E32"/>
    <w:rsid w:val="008C6F2C"/>
    <w:rsid w:val="008C6F51"/>
    <w:rsid w:val="008C6F71"/>
    <w:rsid w:val="008C6F72"/>
    <w:rsid w:val="008C6FC0"/>
    <w:rsid w:val="008C6FDE"/>
    <w:rsid w:val="008C7014"/>
    <w:rsid w:val="008C7044"/>
    <w:rsid w:val="008C70EC"/>
    <w:rsid w:val="008C713E"/>
    <w:rsid w:val="008C7189"/>
    <w:rsid w:val="008C71A2"/>
    <w:rsid w:val="008C7254"/>
    <w:rsid w:val="008C7269"/>
    <w:rsid w:val="008C726B"/>
    <w:rsid w:val="008C726D"/>
    <w:rsid w:val="008C734F"/>
    <w:rsid w:val="008C7373"/>
    <w:rsid w:val="008C73C2"/>
    <w:rsid w:val="008C73E1"/>
    <w:rsid w:val="008C73FC"/>
    <w:rsid w:val="008C745F"/>
    <w:rsid w:val="008C746B"/>
    <w:rsid w:val="008C7485"/>
    <w:rsid w:val="008C74AA"/>
    <w:rsid w:val="008C74F4"/>
    <w:rsid w:val="008C74F9"/>
    <w:rsid w:val="008C7520"/>
    <w:rsid w:val="008C752A"/>
    <w:rsid w:val="008C755A"/>
    <w:rsid w:val="008C7566"/>
    <w:rsid w:val="008C75AC"/>
    <w:rsid w:val="008C7600"/>
    <w:rsid w:val="008C7672"/>
    <w:rsid w:val="008C7687"/>
    <w:rsid w:val="008C76AA"/>
    <w:rsid w:val="008C76E8"/>
    <w:rsid w:val="008C7716"/>
    <w:rsid w:val="008C779F"/>
    <w:rsid w:val="008C77A0"/>
    <w:rsid w:val="008C77AD"/>
    <w:rsid w:val="008C77EC"/>
    <w:rsid w:val="008C7810"/>
    <w:rsid w:val="008C787E"/>
    <w:rsid w:val="008C79BC"/>
    <w:rsid w:val="008C7A2A"/>
    <w:rsid w:val="008C7A74"/>
    <w:rsid w:val="008C7AC5"/>
    <w:rsid w:val="008C7AC9"/>
    <w:rsid w:val="008C7AE4"/>
    <w:rsid w:val="008C7B18"/>
    <w:rsid w:val="008C7BB9"/>
    <w:rsid w:val="008C7C28"/>
    <w:rsid w:val="008C7D11"/>
    <w:rsid w:val="008C7D38"/>
    <w:rsid w:val="008C7D3F"/>
    <w:rsid w:val="008C7D5D"/>
    <w:rsid w:val="008C7E2F"/>
    <w:rsid w:val="008C7E6A"/>
    <w:rsid w:val="008C7ED6"/>
    <w:rsid w:val="008C7F4C"/>
    <w:rsid w:val="008C7F59"/>
    <w:rsid w:val="008C7FB6"/>
    <w:rsid w:val="008D00B5"/>
    <w:rsid w:val="008D00C7"/>
    <w:rsid w:val="008D0123"/>
    <w:rsid w:val="008D0216"/>
    <w:rsid w:val="008D028F"/>
    <w:rsid w:val="008D037F"/>
    <w:rsid w:val="008D0511"/>
    <w:rsid w:val="008D0623"/>
    <w:rsid w:val="008D0628"/>
    <w:rsid w:val="008D065B"/>
    <w:rsid w:val="008D0681"/>
    <w:rsid w:val="008D068F"/>
    <w:rsid w:val="008D06E9"/>
    <w:rsid w:val="008D07A7"/>
    <w:rsid w:val="008D07AC"/>
    <w:rsid w:val="008D07C6"/>
    <w:rsid w:val="008D07E2"/>
    <w:rsid w:val="008D0807"/>
    <w:rsid w:val="008D081E"/>
    <w:rsid w:val="008D0895"/>
    <w:rsid w:val="008D08E1"/>
    <w:rsid w:val="008D094E"/>
    <w:rsid w:val="008D094F"/>
    <w:rsid w:val="008D0971"/>
    <w:rsid w:val="008D098C"/>
    <w:rsid w:val="008D09E7"/>
    <w:rsid w:val="008D09F4"/>
    <w:rsid w:val="008D0A65"/>
    <w:rsid w:val="008D0AAD"/>
    <w:rsid w:val="008D0B72"/>
    <w:rsid w:val="008D0B95"/>
    <w:rsid w:val="008D0BCF"/>
    <w:rsid w:val="008D0BEF"/>
    <w:rsid w:val="008D0C4F"/>
    <w:rsid w:val="008D0CF1"/>
    <w:rsid w:val="008D0CF5"/>
    <w:rsid w:val="008D0D72"/>
    <w:rsid w:val="008D0DA6"/>
    <w:rsid w:val="008D0DDE"/>
    <w:rsid w:val="008D0E21"/>
    <w:rsid w:val="008D0E25"/>
    <w:rsid w:val="008D0E46"/>
    <w:rsid w:val="008D0E4C"/>
    <w:rsid w:val="008D0ECE"/>
    <w:rsid w:val="008D0F19"/>
    <w:rsid w:val="008D0F65"/>
    <w:rsid w:val="008D0F9D"/>
    <w:rsid w:val="008D0FC8"/>
    <w:rsid w:val="008D0FCC"/>
    <w:rsid w:val="008D0FD2"/>
    <w:rsid w:val="008D1130"/>
    <w:rsid w:val="008D1174"/>
    <w:rsid w:val="008D1205"/>
    <w:rsid w:val="008D1208"/>
    <w:rsid w:val="008D128C"/>
    <w:rsid w:val="008D12A6"/>
    <w:rsid w:val="008D12D3"/>
    <w:rsid w:val="008D12D7"/>
    <w:rsid w:val="008D12EF"/>
    <w:rsid w:val="008D1336"/>
    <w:rsid w:val="008D138D"/>
    <w:rsid w:val="008D13AD"/>
    <w:rsid w:val="008D13B8"/>
    <w:rsid w:val="008D13C4"/>
    <w:rsid w:val="008D1466"/>
    <w:rsid w:val="008D1485"/>
    <w:rsid w:val="008D148A"/>
    <w:rsid w:val="008D1496"/>
    <w:rsid w:val="008D14EE"/>
    <w:rsid w:val="008D1576"/>
    <w:rsid w:val="008D1591"/>
    <w:rsid w:val="008D15AF"/>
    <w:rsid w:val="008D15B1"/>
    <w:rsid w:val="008D15B4"/>
    <w:rsid w:val="008D174A"/>
    <w:rsid w:val="008D174F"/>
    <w:rsid w:val="008D177E"/>
    <w:rsid w:val="008D17B4"/>
    <w:rsid w:val="008D17CF"/>
    <w:rsid w:val="008D1809"/>
    <w:rsid w:val="008D181F"/>
    <w:rsid w:val="008D1836"/>
    <w:rsid w:val="008D1837"/>
    <w:rsid w:val="008D1856"/>
    <w:rsid w:val="008D1987"/>
    <w:rsid w:val="008D19E2"/>
    <w:rsid w:val="008D1A0F"/>
    <w:rsid w:val="008D1A7F"/>
    <w:rsid w:val="008D1A9E"/>
    <w:rsid w:val="008D1AD0"/>
    <w:rsid w:val="008D1B2B"/>
    <w:rsid w:val="008D1BE3"/>
    <w:rsid w:val="008D1C31"/>
    <w:rsid w:val="008D1C9A"/>
    <w:rsid w:val="008D1CF3"/>
    <w:rsid w:val="008D1D43"/>
    <w:rsid w:val="008D1E10"/>
    <w:rsid w:val="008D1E42"/>
    <w:rsid w:val="008D1E7D"/>
    <w:rsid w:val="008D1EA9"/>
    <w:rsid w:val="008D1EE6"/>
    <w:rsid w:val="008D1F78"/>
    <w:rsid w:val="008D1F80"/>
    <w:rsid w:val="008D1F9D"/>
    <w:rsid w:val="008D1FA4"/>
    <w:rsid w:val="008D1FA8"/>
    <w:rsid w:val="008D1FC5"/>
    <w:rsid w:val="008D1FDD"/>
    <w:rsid w:val="008D1FFB"/>
    <w:rsid w:val="008D204C"/>
    <w:rsid w:val="008D206B"/>
    <w:rsid w:val="008D207C"/>
    <w:rsid w:val="008D2092"/>
    <w:rsid w:val="008D20BD"/>
    <w:rsid w:val="008D210A"/>
    <w:rsid w:val="008D210C"/>
    <w:rsid w:val="008D21F3"/>
    <w:rsid w:val="008D223C"/>
    <w:rsid w:val="008D2262"/>
    <w:rsid w:val="008D2386"/>
    <w:rsid w:val="008D23B8"/>
    <w:rsid w:val="008D23E7"/>
    <w:rsid w:val="008D242F"/>
    <w:rsid w:val="008D2442"/>
    <w:rsid w:val="008D2474"/>
    <w:rsid w:val="008D249D"/>
    <w:rsid w:val="008D24FB"/>
    <w:rsid w:val="008D2542"/>
    <w:rsid w:val="008D254A"/>
    <w:rsid w:val="008D2574"/>
    <w:rsid w:val="008D2607"/>
    <w:rsid w:val="008D260D"/>
    <w:rsid w:val="008D2610"/>
    <w:rsid w:val="008D2612"/>
    <w:rsid w:val="008D263C"/>
    <w:rsid w:val="008D2659"/>
    <w:rsid w:val="008D2674"/>
    <w:rsid w:val="008D2723"/>
    <w:rsid w:val="008D2738"/>
    <w:rsid w:val="008D27DC"/>
    <w:rsid w:val="008D298C"/>
    <w:rsid w:val="008D2A13"/>
    <w:rsid w:val="008D2A6A"/>
    <w:rsid w:val="008D2A6D"/>
    <w:rsid w:val="008D2A77"/>
    <w:rsid w:val="008D2AFE"/>
    <w:rsid w:val="008D2B25"/>
    <w:rsid w:val="008D2B6B"/>
    <w:rsid w:val="008D2BFF"/>
    <w:rsid w:val="008D2C10"/>
    <w:rsid w:val="008D2C6F"/>
    <w:rsid w:val="008D2C79"/>
    <w:rsid w:val="008D2C89"/>
    <w:rsid w:val="008D2CCC"/>
    <w:rsid w:val="008D2E41"/>
    <w:rsid w:val="008D2E63"/>
    <w:rsid w:val="008D2E9C"/>
    <w:rsid w:val="008D2EE9"/>
    <w:rsid w:val="008D2F68"/>
    <w:rsid w:val="008D2F93"/>
    <w:rsid w:val="008D3091"/>
    <w:rsid w:val="008D30B4"/>
    <w:rsid w:val="008D315E"/>
    <w:rsid w:val="008D316B"/>
    <w:rsid w:val="008D31E6"/>
    <w:rsid w:val="008D320D"/>
    <w:rsid w:val="008D3221"/>
    <w:rsid w:val="008D3274"/>
    <w:rsid w:val="008D32AA"/>
    <w:rsid w:val="008D336E"/>
    <w:rsid w:val="008D3390"/>
    <w:rsid w:val="008D3392"/>
    <w:rsid w:val="008D33A1"/>
    <w:rsid w:val="008D33D8"/>
    <w:rsid w:val="008D34C7"/>
    <w:rsid w:val="008D35A9"/>
    <w:rsid w:val="008D3641"/>
    <w:rsid w:val="008D365F"/>
    <w:rsid w:val="008D3696"/>
    <w:rsid w:val="008D3723"/>
    <w:rsid w:val="008D3729"/>
    <w:rsid w:val="008D37D9"/>
    <w:rsid w:val="008D3814"/>
    <w:rsid w:val="008D3851"/>
    <w:rsid w:val="008D38CC"/>
    <w:rsid w:val="008D38FC"/>
    <w:rsid w:val="008D3945"/>
    <w:rsid w:val="008D399C"/>
    <w:rsid w:val="008D39A2"/>
    <w:rsid w:val="008D39EE"/>
    <w:rsid w:val="008D3A25"/>
    <w:rsid w:val="008D3AC3"/>
    <w:rsid w:val="008D3AC9"/>
    <w:rsid w:val="008D3B30"/>
    <w:rsid w:val="008D3B5C"/>
    <w:rsid w:val="008D3B63"/>
    <w:rsid w:val="008D3B6D"/>
    <w:rsid w:val="008D3B7E"/>
    <w:rsid w:val="008D3BF4"/>
    <w:rsid w:val="008D3C7F"/>
    <w:rsid w:val="008D3C88"/>
    <w:rsid w:val="008D3D0B"/>
    <w:rsid w:val="008D3D9E"/>
    <w:rsid w:val="008D3DA7"/>
    <w:rsid w:val="008D3DB7"/>
    <w:rsid w:val="008D3F1C"/>
    <w:rsid w:val="008D3F4D"/>
    <w:rsid w:val="008D3FD4"/>
    <w:rsid w:val="008D3FE8"/>
    <w:rsid w:val="008D3FED"/>
    <w:rsid w:val="008D401E"/>
    <w:rsid w:val="008D40A6"/>
    <w:rsid w:val="008D427B"/>
    <w:rsid w:val="008D427E"/>
    <w:rsid w:val="008D42CA"/>
    <w:rsid w:val="008D42E7"/>
    <w:rsid w:val="008D430D"/>
    <w:rsid w:val="008D4325"/>
    <w:rsid w:val="008D4387"/>
    <w:rsid w:val="008D438D"/>
    <w:rsid w:val="008D4485"/>
    <w:rsid w:val="008D44B7"/>
    <w:rsid w:val="008D4526"/>
    <w:rsid w:val="008D4569"/>
    <w:rsid w:val="008D456C"/>
    <w:rsid w:val="008D4636"/>
    <w:rsid w:val="008D4646"/>
    <w:rsid w:val="008D464D"/>
    <w:rsid w:val="008D465D"/>
    <w:rsid w:val="008D4696"/>
    <w:rsid w:val="008D46CA"/>
    <w:rsid w:val="008D46E8"/>
    <w:rsid w:val="008D47A5"/>
    <w:rsid w:val="008D47B2"/>
    <w:rsid w:val="008D486A"/>
    <w:rsid w:val="008D4879"/>
    <w:rsid w:val="008D48AA"/>
    <w:rsid w:val="008D48C3"/>
    <w:rsid w:val="008D48ED"/>
    <w:rsid w:val="008D4933"/>
    <w:rsid w:val="008D4A15"/>
    <w:rsid w:val="008D4A22"/>
    <w:rsid w:val="008D4A4F"/>
    <w:rsid w:val="008D4A91"/>
    <w:rsid w:val="008D4B7F"/>
    <w:rsid w:val="008D4BB0"/>
    <w:rsid w:val="008D4BCD"/>
    <w:rsid w:val="008D4BF9"/>
    <w:rsid w:val="008D4C63"/>
    <w:rsid w:val="008D4CE0"/>
    <w:rsid w:val="008D4D19"/>
    <w:rsid w:val="008D4D2E"/>
    <w:rsid w:val="008D4D6B"/>
    <w:rsid w:val="008D4DCE"/>
    <w:rsid w:val="008D4DE8"/>
    <w:rsid w:val="008D4DFF"/>
    <w:rsid w:val="008D4E3B"/>
    <w:rsid w:val="008D4E65"/>
    <w:rsid w:val="008D4F1F"/>
    <w:rsid w:val="008D4F89"/>
    <w:rsid w:val="008D4FCF"/>
    <w:rsid w:val="008D4FDC"/>
    <w:rsid w:val="008D5051"/>
    <w:rsid w:val="008D5071"/>
    <w:rsid w:val="008D5087"/>
    <w:rsid w:val="008D50D6"/>
    <w:rsid w:val="008D513F"/>
    <w:rsid w:val="008D5143"/>
    <w:rsid w:val="008D5244"/>
    <w:rsid w:val="008D5299"/>
    <w:rsid w:val="008D52F4"/>
    <w:rsid w:val="008D541E"/>
    <w:rsid w:val="008D54E7"/>
    <w:rsid w:val="008D5527"/>
    <w:rsid w:val="008D5596"/>
    <w:rsid w:val="008D55D0"/>
    <w:rsid w:val="008D5631"/>
    <w:rsid w:val="008D563C"/>
    <w:rsid w:val="008D566C"/>
    <w:rsid w:val="008D5691"/>
    <w:rsid w:val="008D5709"/>
    <w:rsid w:val="008D573E"/>
    <w:rsid w:val="008D5829"/>
    <w:rsid w:val="008D5833"/>
    <w:rsid w:val="008D5864"/>
    <w:rsid w:val="008D587A"/>
    <w:rsid w:val="008D587B"/>
    <w:rsid w:val="008D5895"/>
    <w:rsid w:val="008D58A5"/>
    <w:rsid w:val="008D5920"/>
    <w:rsid w:val="008D5A77"/>
    <w:rsid w:val="008D5ACD"/>
    <w:rsid w:val="008D5B1F"/>
    <w:rsid w:val="008D5B22"/>
    <w:rsid w:val="008D5B87"/>
    <w:rsid w:val="008D5BAF"/>
    <w:rsid w:val="008D5BB2"/>
    <w:rsid w:val="008D5C0E"/>
    <w:rsid w:val="008D5C15"/>
    <w:rsid w:val="008D5C2C"/>
    <w:rsid w:val="008D5C2D"/>
    <w:rsid w:val="008D5CB2"/>
    <w:rsid w:val="008D5D07"/>
    <w:rsid w:val="008D5D2A"/>
    <w:rsid w:val="008D5E0E"/>
    <w:rsid w:val="008D5E7A"/>
    <w:rsid w:val="008D5E82"/>
    <w:rsid w:val="008D5EAF"/>
    <w:rsid w:val="008D5EBF"/>
    <w:rsid w:val="008D5EEB"/>
    <w:rsid w:val="008D5F62"/>
    <w:rsid w:val="008D5FA5"/>
    <w:rsid w:val="008D6064"/>
    <w:rsid w:val="008D60E6"/>
    <w:rsid w:val="008D617D"/>
    <w:rsid w:val="008D61D1"/>
    <w:rsid w:val="008D61D3"/>
    <w:rsid w:val="008D61F0"/>
    <w:rsid w:val="008D627D"/>
    <w:rsid w:val="008D628D"/>
    <w:rsid w:val="008D62E6"/>
    <w:rsid w:val="008D6300"/>
    <w:rsid w:val="008D6311"/>
    <w:rsid w:val="008D631E"/>
    <w:rsid w:val="008D632B"/>
    <w:rsid w:val="008D6360"/>
    <w:rsid w:val="008D6392"/>
    <w:rsid w:val="008D63C3"/>
    <w:rsid w:val="008D63CC"/>
    <w:rsid w:val="008D63FF"/>
    <w:rsid w:val="008D6469"/>
    <w:rsid w:val="008D648A"/>
    <w:rsid w:val="008D65A5"/>
    <w:rsid w:val="008D65AC"/>
    <w:rsid w:val="008D65D3"/>
    <w:rsid w:val="008D6629"/>
    <w:rsid w:val="008D6665"/>
    <w:rsid w:val="008D6714"/>
    <w:rsid w:val="008D6722"/>
    <w:rsid w:val="008D67A6"/>
    <w:rsid w:val="008D684D"/>
    <w:rsid w:val="008D6858"/>
    <w:rsid w:val="008D68A2"/>
    <w:rsid w:val="008D68CA"/>
    <w:rsid w:val="008D6943"/>
    <w:rsid w:val="008D6952"/>
    <w:rsid w:val="008D69A7"/>
    <w:rsid w:val="008D6A0B"/>
    <w:rsid w:val="008D6A91"/>
    <w:rsid w:val="008D6AF8"/>
    <w:rsid w:val="008D6B1C"/>
    <w:rsid w:val="008D6C30"/>
    <w:rsid w:val="008D6C7C"/>
    <w:rsid w:val="008D6C8F"/>
    <w:rsid w:val="008D6CFE"/>
    <w:rsid w:val="008D6E34"/>
    <w:rsid w:val="008D6F22"/>
    <w:rsid w:val="008D6F70"/>
    <w:rsid w:val="008D6F9F"/>
    <w:rsid w:val="008D6FA3"/>
    <w:rsid w:val="008D6FBF"/>
    <w:rsid w:val="008D6FE8"/>
    <w:rsid w:val="008D7006"/>
    <w:rsid w:val="008D70E5"/>
    <w:rsid w:val="008D7138"/>
    <w:rsid w:val="008D7144"/>
    <w:rsid w:val="008D714A"/>
    <w:rsid w:val="008D7171"/>
    <w:rsid w:val="008D71C4"/>
    <w:rsid w:val="008D71DE"/>
    <w:rsid w:val="008D7204"/>
    <w:rsid w:val="008D727E"/>
    <w:rsid w:val="008D72B3"/>
    <w:rsid w:val="008D72B5"/>
    <w:rsid w:val="008D7534"/>
    <w:rsid w:val="008D75B2"/>
    <w:rsid w:val="008D76AE"/>
    <w:rsid w:val="008D771A"/>
    <w:rsid w:val="008D7737"/>
    <w:rsid w:val="008D77A9"/>
    <w:rsid w:val="008D77E1"/>
    <w:rsid w:val="008D77E5"/>
    <w:rsid w:val="008D78CD"/>
    <w:rsid w:val="008D7943"/>
    <w:rsid w:val="008D794F"/>
    <w:rsid w:val="008D7B55"/>
    <w:rsid w:val="008D7C84"/>
    <w:rsid w:val="008D7C88"/>
    <w:rsid w:val="008D7C94"/>
    <w:rsid w:val="008D7CB2"/>
    <w:rsid w:val="008D7D0E"/>
    <w:rsid w:val="008D7D4E"/>
    <w:rsid w:val="008D7D5E"/>
    <w:rsid w:val="008D7E3C"/>
    <w:rsid w:val="008D7E98"/>
    <w:rsid w:val="008D7F92"/>
    <w:rsid w:val="008D7FE3"/>
    <w:rsid w:val="008E0010"/>
    <w:rsid w:val="008E005F"/>
    <w:rsid w:val="008E00A7"/>
    <w:rsid w:val="008E00F4"/>
    <w:rsid w:val="008E01E0"/>
    <w:rsid w:val="008E0234"/>
    <w:rsid w:val="008E023D"/>
    <w:rsid w:val="008E024C"/>
    <w:rsid w:val="008E0273"/>
    <w:rsid w:val="008E027E"/>
    <w:rsid w:val="008E02BC"/>
    <w:rsid w:val="008E034B"/>
    <w:rsid w:val="008E034C"/>
    <w:rsid w:val="008E0356"/>
    <w:rsid w:val="008E03D3"/>
    <w:rsid w:val="008E0432"/>
    <w:rsid w:val="008E045B"/>
    <w:rsid w:val="008E04B4"/>
    <w:rsid w:val="008E04CC"/>
    <w:rsid w:val="008E04DC"/>
    <w:rsid w:val="008E053E"/>
    <w:rsid w:val="008E055F"/>
    <w:rsid w:val="008E0593"/>
    <w:rsid w:val="008E05E0"/>
    <w:rsid w:val="008E0671"/>
    <w:rsid w:val="008E06B1"/>
    <w:rsid w:val="008E06F8"/>
    <w:rsid w:val="008E07AE"/>
    <w:rsid w:val="008E07D6"/>
    <w:rsid w:val="008E07FE"/>
    <w:rsid w:val="008E0836"/>
    <w:rsid w:val="008E087F"/>
    <w:rsid w:val="008E0897"/>
    <w:rsid w:val="008E08F1"/>
    <w:rsid w:val="008E08FA"/>
    <w:rsid w:val="008E0993"/>
    <w:rsid w:val="008E0A38"/>
    <w:rsid w:val="008E0A7A"/>
    <w:rsid w:val="008E0AB6"/>
    <w:rsid w:val="008E0AEB"/>
    <w:rsid w:val="008E0B4D"/>
    <w:rsid w:val="008E0B6A"/>
    <w:rsid w:val="008E0CA9"/>
    <w:rsid w:val="008E0CAE"/>
    <w:rsid w:val="008E0CC5"/>
    <w:rsid w:val="008E0D18"/>
    <w:rsid w:val="008E0DC5"/>
    <w:rsid w:val="008E0DDF"/>
    <w:rsid w:val="008E0DF3"/>
    <w:rsid w:val="008E0DF5"/>
    <w:rsid w:val="008E0E1E"/>
    <w:rsid w:val="008E0E2B"/>
    <w:rsid w:val="008E102D"/>
    <w:rsid w:val="008E1041"/>
    <w:rsid w:val="008E107E"/>
    <w:rsid w:val="008E10A0"/>
    <w:rsid w:val="008E10CD"/>
    <w:rsid w:val="008E10DB"/>
    <w:rsid w:val="008E1141"/>
    <w:rsid w:val="008E114F"/>
    <w:rsid w:val="008E11DF"/>
    <w:rsid w:val="008E11E4"/>
    <w:rsid w:val="008E13E8"/>
    <w:rsid w:val="008E13FE"/>
    <w:rsid w:val="008E1443"/>
    <w:rsid w:val="008E151A"/>
    <w:rsid w:val="008E152C"/>
    <w:rsid w:val="008E1539"/>
    <w:rsid w:val="008E1598"/>
    <w:rsid w:val="008E15BC"/>
    <w:rsid w:val="008E1663"/>
    <w:rsid w:val="008E16BC"/>
    <w:rsid w:val="008E16C0"/>
    <w:rsid w:val="008E1791"/>
    <w:rsid w:val="008E18D2"/>
    <w:rsid w:val="008E18E7"/>
    <w:rsid w:val="008E190E"/>
    <w:rsid w:val="008E19D8"/>
    <w:rsid w:val="008E1A0E"/>
    <w:rsid w:val="008E1AAC"/>
    <w:rsid w:val="008E1B3B"/>
    <w:rsid w:val="008E1B8A"/>
    <w:rsid w:val="008E1BA7"/>
    <w:rsid w:val="008E1C19"/>
    <w:rsid w:val="008E1D62"/>
    <w:rsid w:val="008E1D78"/>
    <w:rsid w:val="008E1D96"/>
    <w:rsid w:val="008E1E2F"/>
    <w:rsid w:val="008E1E4A"/>
    <w:rsid w:val="008E1E9E"/>
    <w:rsid w:val="008E1EC3"/>
    <w:rsid w:val="008E1F0F"/>
    <w:rsid w:val="008E1F20"/>
    <w:rsid w:val="008E1F3A"/>
    <w:rsid w:val="008E1FB0"/>
    <w:rsid w:val="008E1FC9"/>
    <w:rsid w:val="008E20A6"/>
    <w:rsid w:val="008E20EB"/>
    <w:rsid w:val="008E2157"/>
    <w:rsid w:val="008E2231"/>
    <w:rsid w:val="008E2298"/>
    <w:rsid w:val="008E22AA"/>
    <w:rsid w:val="008E22E9"/>
    <w:rsid w:val="008E235A"/>
    <w:rsid w:val="008E236B"/>
    <w:rsid w:val="008E236F"/>
    <w:rsid w:val="008E23E3"/>
    <w:rsid w:val="008E2437"/>
    <w:rsid w:val="008E2452"/>
    <w:rsid w:val="008E2471"/>
    <w:rsid w:val="008E24D7"/>
    <w:rsid w:val="008E2543"/>
    <w:rsid w:val="008E25B3"/>
    <w:rsid w:val="008E25B4"/>
    <w:rsid w:val="008E2620"/>
    <w:rsid w:val="008E2639"/>
    <w:rsid w:val="008E266A"/>
    <w:rsid w:val="008E2682"/>
    <w:rsid w:val="008E26B6"/>
    <w:rsid w:val="008E270D"/>
    <w:rsid w:val="008E2779"/>
    <w:rsid w:val="008E2780"/>
    <w:rsid w:val="008E27A9"/>
    <w:rsid w:val="008E27D2"/>
    <w:rsid w:val="008E27DD"/>
    <w:rsid w:val="008E2820"/>
    <w:rsid w:val="008E2829"/>
    <w:rsid w:val="008E282A"/>
    <w:rsid w:val="008E283A"/>
    <w:rsid w:val="008E288E"/>
    <w:rsid w:val="008E288F"/>
    <w:rsid w:val="008E2893"/>
    <w:rsid w:val="008E28B1"/>
    <w:rsid w:val="008E28EC"/>
    <w:rsid w:val="008E29A8"/>
    <w:rsid w:val="008E29DA"/>
    <w:rsid w:val="008E2A51"/>
    <w:rsid w:val="008E2A68"/>
    <w:rsid w:val="008E2AA7"/>
    <w:rsid w:val="008E2AF8"/>
    <w:rsid w:val="008E2B51"/>
    <w:rsid w:val="008E2CF0"/>
    <w:rsid w:val="008E2D40"/>
    <w:rsid w:val="008E2D47"/>
    <w:rsid w:val="008E2D69"/>
    <w:rsid w:val="008E2D8F"/>
    <w:rsid w:val="008E2DEF"/>
    <w:rsid w:val="008E2E44"/>
    <w:rsid w:val="008E2F13"/>
    <w:rsid w:val="008E2FEC"/>
    <w:rsid w:val="008E3033"/>
    <w:rsid w:val="008E306F"/>
    <w:rsid w:val="008E3086"/>
    <w:rsid w:val="008E3091"/>
    <w:rsid w:val="008E3095"/>
    <w:rsid w:val="008E30EE"/>
    <w:rsid w:val="008E317C"/>
    <w:rsid w:val="008E31E3"/>
    <w:rsid w:val="008E32AC"/>
    <w:rsid w:val="008E32DD"/>
    <w:rsid w:val="008E32FA"/>
    <w:rsid w:val="008E33F2"/>
    <w:rsid w:val="008E341C"/>
    <w:rsid w:val="008E343E"/>
    <w:rsid w:val="008E3448"/>
    <w:rsid w:val="008E3452"/>
    <w:rsid w:val="008E3483"/>
    <w:rsid w:val="008E34D5"/>
    <w:rsid w:val="008E352C"/>
    <w:rsid w:val="008E3554"/>
    <w:rsid w:val="008E3577"/>
    <w:rsid w:val="008E3593"/>
    <w:rsid w:val="008E359C"/>
    <w:rsid w:val="008E35BD"/>
    <w:rsid w:val="008E35DF"/>
    <w:rsid w:val="008E3709"/>
    <w:rsid w:val="008E378F"/>
    <w:rsid w:val="008E38F3"/>
    <w:rsid w:val="008E3904"/>
    <w:rsid w:val="008E39A3"/>
    <w:rsid w:val="008E39F3"/>
    <w:rsid w:val="008E3A03"/>
    <w:rsid w:val="008E3A09"/>
    <w:rsid w:val="008E3AB1"/>
    <w:rsid w:val="008E3B87"/>
    <w:rsid w:val="008E3BFD"/>
    <w:rsid w:val="008E3C25"/>
    <w:rsid w:val="008E3D00"/>
    <w:rsid w:val="008E3D06"/>
    <w:rsid w:val="008E3DCB"/>
    <w:rsid w:val="008E3E2F"/>
    <w:rsid w:val="008E3E6F"/>
    <w:rsid w:val="008E3F18"/>
    <w:rsid w:val="008E3F61"/>
    <w:rsid w:val="008E3F93"/>
    <w:rsid w:val="008E4025"/>
    <w:rsid w:val="008E407A"/>
    <w:rsid w:val="008E41AC"/>
    <w:rsid w:val="008E41C8"/>
    <w:rsid w:val="008E41DE"/>
    <w:rsid w:val="008E4238"/>
    <w:rsid w:val="008E4280"/>
    <w:rsid w:val="008E4284"/>
    <w:rsid w:val="008E42BB"/>
    <w:rsid w:val="008E42E4"/>
    <w:rsid w:val="008E4346"/>
    <w:rsid w:val="008E434A"/>
    <w:rsid w:val="008E4395"/>
    <w:rsid w:val="008E43D5"/>
    <w:rsid w:val="008E4449"/>
    <w:rsid w:val="008E444B"/>
    <w:rsid w:val="008E4610"/>
    <w:rsid w:val="008E463D"/>
    <w:rsid w:val="008E470D"/>
    <w:rsid w:val="008E479C"/>
    <w:rsid w:val="008E47F7"/>
    <w:rsid w:val="008E4808"/>
    <w:rsid w:val="008E484C"/>
    <w:rsid w:val="008E484F"/>
    <w:rsid w:val="008E4852"/>
    <w:rsid w:val="008E48EC"/>
    <w:rsid w:val="008E4903"/>
    <w:rsid w:val="008E4919"/>
    <w:rsid w:val="008E4993"/>
    <w:rsid w:val="008E4995"/>
    <w:rsid w:val="008E499E"/>
    <w:rsid w:val="008E49DF"/>
    <w:rsid w:val="008E49FD"/>
    <w:rsid w:val="008E4A15"/>
    <w:rsid w:val="008E4A1C"/>
    <w:rsid w:val="008E4A23"/>
    <w:rsid w:val="008E4A33"/>
    <w:rsid w:val="008E4AB6"/>
    <w:rsid w:val="008E4AF1"/>
    <w:rsid w:val="008E4B0E"/>
    <w:rsid w:val="008E4B33"/>
    <w:rsid w:val="008E4B99"/>
    <w:rsid w:val="008E4BE5"/>
    <w:rsid w:val="008E4C55"/>
    <w:rsid w:val="008E4C94"/>
    <w:rsid w:val="008E4D69"/>
    <w:rsid w:val="008E4E4B"/>
    <w:rsid w:val="008E4E82"/>
    <w:rsid w:val="008E4E93"/>
    <w:rsid w:val="008E4E9D"/>
    <w:rsid w:val="008E4ED0"/>
    <w:rsid w:val="008E4EE2"/>
    <w:rsid w:val="008E4F44"/>
    <w:rsid w:val="008E4FC7"/>
    <w:rsid w:val="008E504D"/>
    <w:rsid w:val="008E505F"/>
    <w:rsid w:val="008E5176"/>
    <w:rsid w:val="008E517A"/>
    <w:rsid w:val="008E51C7"/>
    <w:rsid w:val="008E51CF"/>
    <w:rsid w:val="008E5234"/>
    <w:rsid w:val="008E5253"/>
    <w:rsid w:val="008E5285"/>
    <w:rsid w:val="008E52C5"/>
    <w:rsid w:val="008E52CA"/>
    <w:rsid w:val="008E5439"/>
    <w:rsid w:val="008E544D"/>
    <w:rsid w:val="008E5457"/>
    <w:rsid w:val="008E5509"/>
    <w:rsid w:val="008E5535"/>
    <w:rsid w:val="008E557F"/>
    <w:rsid w:val="008E558E"/>
    <w:rsid w:val="008E55B6"/>
    <w:rsid w:val="008E5600"/>
    <w:rsid w:val="008E568C"/>
    <w:rsid w:val="008E56AF"/>
    <w:rsid w:val="008E5754"/>
    <w:rsid w:val="008E5785"/>
    <w:rsid w:val="008E5799"/>
    <w:rsid w:val="008E57BF"/>
    <w:rsid w:val="008E5820"/>
    <w:rsid w:val="008E5821"/>
    <w:rsid w:val="008E5A00"/>
    <w:rsid w:val="008E5A45"/>
    <w:rsid w:val="008E5A7E"/>
    <w:rsid w:val="008E5A8D"/>
    <w:rsid w:val="008E5B15"/>
    <w:rsid w:val="008E5B46"/>
    <w:rsid w:val="008E5B5E"/>
    <w:rsid w:val="008E5B7F"/>
    <w:rsid w:val="008E5B91"/>
    <w:rsid w:val="008E5BC0"/>
    <w:rsid w:val="008E5BC4"/>
    <w:rsid w:val="008E5C13"/>
    <w:rsid w:val="008E5CDC"/>
    <w:rsid w:val="008E5CEC"/>
    <w:rsid w:val="008E5D8A"/>
    <w:rsid w:val="008E5DD2"/>
    <w:rsid w:val="008E5DF2"/>
    <w:rsid w:val="008E5E62"/>
    <w:rsid w:val="008E5E7D"/>
    <w:rsid w:val="008E5EB4"/>
    <w:rsid w:val="008E5F1E"/>
    <w:rsid w:val="008E5FB3"/>
    <w:rsid w:val="008E5FDA"/>
    <w:rsid w:val="008E5FF6"/>
    <w:rsid w:val="008E5FFC"/>
    <w:rsid w:val="008E6033"/>
    <w:rsid w:val="008E6076"/>
    <w:rsid w:val="008E6084"/>
    <w:rsid w:val="008E610C"/>
    <w:rsid w:val="008E6158"/>
    <w:rsid w:val="008E6208"/>
    <w:rsid w:val="008E6282"/>
    <w:rsid w:val="008E63E2"/>
    <w:rsid w:val="008E6457"/>
    <w:rsid w:val="008E64B2"/>
    <w:rsid w:val="008E64C4"/>
    <w:rsid w:val="008E650F"/>
    <w:rsid w:val="008E651B"/>
    <w:rsid w:val="008E6552"/>
    <w:rsid w:val="008E6602"/>
    <w:rsid w:val="008E6629"/>
    <w:rsid w:val="008E666D"/>
    <w:rsid w:val="008E66F8"/>
    <w:rsid w:val="008E6705"/>
    <w:rsid w:val="008E6717"/>
    <w:rsid w:val="008E671A"/>
    <w:rsid w:val="008E6725"/>
    <w:rsid w:val="008E673F"/>
    <w:rsid w:val="008E6787"/>
    <w:rsid w:val="008E682A"/>
    <w:rsid w:val="008E68C2"/>
    <w:rsid w:val="008E68EE"/>
    <w:rsid w:val="008E697C"/>
    <w:rsid w:val="008E69A0"/>
    <w:rsid w:val="008E6A04"/>
    <w:rsid w:val="008E6A6C"/>
    <w:rsid w:val="008E6A8F"/>
    <w:rsid w:val="008E6B3D"/>
    <w:rsid w:val="008E6C4E"/>
    <w:rsid w:val="008E6C56"/>
    <w:rsid w:val="008E6C6F"/>
    <w:rsid w:val="008E6C81"/>
    <w:rsid w:val="008E6CD6"/>
    <w:rsid w:val="008E6D54"/>
    <w:rsid w:val="008E6D62"/>
    <w:rsid w:val="008E6D84"/>
    <w:rsid w:val="008E6DC1"/>
    <w:rsid w:val="008E6DC7"/>
    <w:rsid w:val="008E6DE6"/>
    <w:rsid w:val="008E6E2E"/>
    <w:rsid w:val="008E6E32"/>
    <w:rsid w:val="008E6E4E"/>
    <w:rsid w:val="008E6EA3"/>
    <w:rsid w:val="008E6ED6"/>
    <w:rsid w:val="008E6F6F"/>
    <w:rsid w:val="008E6FF9"/>
    <w:rsid w:val="008E7002"/>
    <w:rsid w:val="008E705E"/>
    <w:rsid w:val="008E706F"/>
    <w:rsid w:val="008E70F6"/>
    <w:rsid w:val="008E7160"/>
    <w:rsid w:val="008E71CE"/>
    <w:rsid w:val="008E71E3"/>
    <w:rsid w:val="008E7211"/>
    <w:rsid w:val="008E72A9"/>
    <w:rsid w:val="008E73D1"/>
    <w:rsid w:val="008E7467"/>
    <w:rsid w:val="008E764C"/>
    <w:rsid w:val="008E76D9"/>
    <w:rsid w:val="008E77C0"/>
    <w:rsid w:val="008E77CA"/>
    <w:rsid w:val="008E77F9"/>
    <w:rsid w:val="008E7864"/>
    <w:rsid w:val="008E795E"/>
    <w:rsid w:val="008E7AA6"/>
    <w:rsid w:val="008E7BD1"/>
    <w:rsid w:val="008E7BE3"/>
    <w:rsid w:val="008E7C60"/>
    <w:rsid w:val="008E7C7E"/>
    <w:rsid w:val="008E7C7F"/>
    <w:rsid w:val="008E7C91"/>
    <w:rsid w:val="008E7D21"/>
    <w:rsid w:val="008E7D81"/>
    <w:rsid w:val="008E7E59"/>
    <w:rsid w:val="008E7E5E"/>
    <w:rsid w:val="008E7E9D"/>
    <w:rsid w:val="008E7F05"/>
    <w:rsid w:val="008E7F15"/>
    <w:rsid w:val="008E7F46"/>
    <w:rsid w:val="008E7F88"/>
    <w:rsid w:val="008F0023"/>
    <w:rsid w:val="008F006F"/>
    <w:rsid w:val="008F00DC"/>
    <w:rsid w:val="008F0173"/>
    <w:rsid w:val="008F01C3"/>
    <w:rsid w:val="008F01CA"/>
    <w:rsid w:val="008F02FE"/>
    <w:rsid w:val="008F0328"/>
    <w:rsid w:val="008F03A3"/>
    <w:rsid w:val="008F03CA"/>
    <w:rsid w:val="008F0440"/>
    <w:rsid w:val="008F0445"/>
    <w:rsid w:val="008F0449"/>
    <w:rsid w:val="008F04A4"/>
    <w:rsid w:val="008F04C2"/>
    <w:rsid w:val="008F0581"/>
    <w:rsid w:val="008F05EC"/>
    <w:rsid w:val="008F0670"/>
    <w:rsid w:val="008F067B"/>
    <w:rsid w:val="008F0691"/>
    <w:rsid w:val="008F06B1"/>
    <w:rsid w:val="008F0732"/>
    <w:rsid w:val="008F07B1"/>
    <w:rsid w:val="008F07B6"/>
    <w:rsid w:val="008F0867"/>
    <w:rsid w:val="008F0918"/>
    <w:rsid w:val="008F091B"/>
    <w:rsid w:val="008F092A"/>
    <w:rsid w:val="008F0A6E"/>
    <w:rsid w:val="008F0AAA"/>
    <w:rsid w:val="008F0C04"/>
    <w:rsid w:val="008F0C1B"/>
    <w:rsid w:val="008F0D16"/>
    <w:rsid w:val="008F0D98"/>
    <w:rsid w:val="008F0DAC"/>
    <w:rsid w:val="008F0DAE"/>
    <w:rsid w:val="008F0E01"/>
    <w:rsid w:val="008F0E03"/>
    <w:rsid w:val="008F0E21"/>
    <w:rsid w:val="008F0E49"/>
    <w:rsid w:val="008F0E5F"/>
    <w:rsid w:val="008F0EEC"/>
    <w:rsid w:val="008F0F57"/>
    <w:rsid w:val="008F0FAF"/>
    <w:rsid w:val="008F1209"/>
    <w:rsid w:val="008F132A"/>
    <w:rsid w:val="008F135F"/>
    <w:rsid w:val="008F13D3"/>
    <w:rsid w:val="008F140A"/>
    <w:rsid w:val="008F14C0"/>
    <w:rsid w:val="008F15C6"/>
    <w:rsid w:val="008F16AB"/>
    <w:rsid w:val="008F170F"/>
    <w:rsid w:val="008F173B"/>
    <w:rsid w:val="008F17ED"/>
    <w:rsid w:val="008F17FF"/>
    <w:rsid w:val="008F1844"/>
    <w:rsid w:val="008F1885"/>
    <w:rsid w:val="008F18B8"/>
    <w:rsid w:val="008F1917"/>
    <w:rsid w:val="008F193A"/>
    <w:rsid w:val="008F1968"/>
    <w:rsid w:val="008F19EA"/>
    <w:rsid w:val="008F1AD3"/>
    <w:rsid w:val="008F1AEB"/>
    <w:rsid w:val="008F1B4B"/>
    <w:rsid w:val="008F1C19"/>
    <w:rsid w:val="008F1CDE"/>
    <w:rsid w:val="008F1D21"/>
    <w:rsid w:val="008F1D4E"/>
    <w:rsid w:val="008F1D5B"/>
    <w:rsid w:val="008F1D6D"/>
    <w:rsid w:val="008F1D74"/>
    <w:rsid w:val="008F1D87"/>
    <w:rsid w:val="008F1DA0"/>
    <w:rsid w:val="008F1DB9"/>
    <w:rsid w:val="008F1DDD"/>
    <w:rsid w:val="008F1DEA"/>
    <w:rsid w:val="008F1DF5"/>
    <w:rsid w:val="008F1E2B"/>
    <w:rsid w:val="008F1E79"/>
    <w:rsid w:val="008F1EA1"/>
    <w:rsid w:val="008F1F3C"/>
    <w:rsid w:val="008F1FB9"/>
    <w:rsid w:val="008F1FDD"/>
    <w:rsid w:val="008F206B"/>
    <w:rsid w:val="008F218E"/>
    <w:rsid w:val="008F2273"/>
    <w:rsid w:val="008F22B7"/>
    <w:rsid w:val="008F22CD"/>
    <w:rsid w:val="008F234C"/>
    <w:rsid w:val="008F23E0"/>
    <w:rsid w:val="008F23FA"/>
    <w:rsid w:val="008F2478"/>
    <w:rsid w:val="008F2487"/>
    <w:rsid w:val="008F24AD"/>
    <w:rsid w:val="008F24B3"/>
    <w:rsid w:val="008F24B9"/>
    <w:rsid w:val="008F24C8"/>
    <w:rsid w:val="008F24E8"/>
    <w:rsid w:val="008F24FF"/>
    <w:rsid w:val="008F2521"/>
    <w:rsid w:val="008F253D"/>
    <w:rsid w:val="008F253F"/>
    <w:rsid w:val="008F25B7"/>
    <w:rsid w:val="008F260F"/>
    <w:rsid w:val="008F2664"/>
    <w:rsid w:val="008F2671"/>
    <w:rsid w:val="008F2680"/>
    <w:rsid w:val="008F2753"/>
    <w:rsid w:val="008F27A8"/>
    <w:rsid w:val="008F281A"/>
    <w:rsid w:val="008F2834"/>
    <w:rsid w:val="008F2839"/>
    <w:rsid w:val="008F285A"/>
    <w:rsid w:val="008F287F"/>
    <w:rsid w:val="008F28E7"/>
    <w:rsid w:val="008F2924"/>
    <w:rsid w:val="008F29AB"/>
    <w:rsid w:val="008F29AE"/>
    <w:rsid w:val="008F29C6"/>
    <w:rsid w:val="008F29C7"/>
    <w:rsid w:val="008F2A10"/>
    <w:rsid w:val="008F2A75"/>
    <w:rsid w:val="008F2AC2"/>
    <w:rsid w:val="008F2AD9"/>
    <w:rsid w:val="008F2B0F"/>
    <w:rsid w:val="008F2B11"/>
    <w:rsid w:val="008F2B4A"/>
    <w:rsid w:val="008F2C0D"/>
    <w:rsid w:val="008F2C2D"/>
    <w:rsid w:val="008F2D6F"/>
    <w:rsid w:val="008F2D7E"/>
    <w:rsid w:val="008F2D87"/>
    <w:rsid w:val="008F2E39"/>
    <w:rsid w:val="008F2E72"/>
    <w:rsid w:val="008F2EFF"/>
    <w:rsid w:val="008F2FBA"/>
    <w:rsid w:val="008F302C"/>
    <w:rsid w:val="008F306E"/>
    <w:rsid w:val="008F307F"/>
    <w:rsid w:val="008F309C"/>
    <w:rsid w:val="008F309F"/>
    <w:rsid w:val="008F30C3"/>
    <w:rsid w:val="008F3113"/>
    <w:rsid w:val="008F3136"/>
    <w:rsid w:val="008F319A"/>
    <w:rsid w:val="008F31E6"/>
    <w:rsid w:val="008F32FB"/>
    <w:rsid w:val="008F34BC"/>
    <w:rsid w:val="008F34D2"/>
    <w:rsid w:val="008F3573"/>
    <w:rsid w:val="008F35A1"/>
    <w:rsid w:val="008F35E9"/>
    <w:rsid w:val="008F360E"/>
    <w:rsid w:val="008F3661"/>
    <w:rsid w:val="008F3690"/>
    <w:rsid w:val="008F3694"/>
    <w:rsid w:val="008F378E"/>
    <w:rsid w:val="008F3792"/>
    <w:rsid w:val="008F37FB"/>
    <w:rsid w:val="008F3808"/>
    <w:rsid w:val="008F38A7"/>
    <w:rsid w:val="008F38E6"/>
    <w:rsid w:val="008F3941"/>
    <w:rsid w:val="008F398A"/>
    <w:rsid w:val="008F39C8"/>
    <w:rsid w:val="008F3BE9"/>
    <w:rsid w:val="008F3C07"/>
    <w:rsid w:val="008F3C97"/>
    <w:rsid w:val="008F3CF5"/>
    <w:rsid w:val="008F3D76"/>
    <w:rsid w:val="008F3E19"/>
    <w:rsid w:val="008F3E78"/>
    <w:rsid w:val="008F3EBB"/>
    <w:rsid w:val="008F3EC0"/>
    <w:rsid w:val="008F3EDE"/>
    <w:rsid w:val="008F3EFB"/>
    <w:rsid w:val="008F3F41"/>
    <w:rsid w:val="008F3F54"/>
    <w:rsid w:val="008F3F90"/>
    <w:rsid w:val="008F3FD3"/>
    <w:rsid w:val="008F3FED"/>
    <w:rsid w:val="008F401A"/>
    <w:rsid w:val="008F401E"/>
    <w:rsid w:val="008F40B1"/>
    <w:rsid w:val="008F4107"/>
    <w:rsid w:val="008F4179"/>
    <w:rsid w:val="008F41C3"/>
    <w:rsid w:val="008F448E"/>
    <w:rsid w:val="008F44F7"/>
    <w:rsid w:val="008F4567"/>
    <w:rsid w:val="008F45D4"/>
    <w:rsid w:val="008F4729"/>
    <w:rsid w:val="008F4790"/>
    <w:rsid w:val="008F4794"/>
    <w:rsid w:val="008F47AD"/>
    <w:rsid w:val="008F47B5"/>
    <w:rsid w:val="008F482B"/>
    <w:rsid w:val="008F4938"/>
    <w:rsid w:val="008F4977"/>
    <w:rsid w:val="008F49BA"/>
    <w:rsid w:val="008F49F5"/>
    <w:rsid w:val="008F4A07"/>
    <w:rsid w:val="008F4A18"/>
    <w:rsid w:val="008F4A33"/>
    <w:rsid w:val="008F4B4A"/>
    <w:rsid w:val="008F4D2D"/>
    <w:rsid w:val="008F4D50"/>
    <w:rsid w:val="008F4DAB"/>
    <w:rsid w:val="008F4DC6"/>
    <w:rsid w:val="008F4DEC"/>
    <w:rsid w:val="008F4E36"/>
    <w:rsid w:val="008F4E59"/>
    <w:rsid w:val="008F4EB6"/>
    <w:rsid w:val="008F4EBE"/>
    <w:rsid w:val="008F4EF3"/>
    <w:rsid w:val="008F4F32"/>
    <w:rsid w:val="008F5092"/>
    <w:rsid w:val="008F514C"/>
    <w:rsid w:val="008F51D9"/>
    <w:rsid w:val="008F51EC"/>
    <w:rsid w:val="008F524C"/>
    <w:rsid w:val="008F5298"/>
    <w:rsid w:val="008F52EB"/>
    <w:rsid w:val="008F5377"/>
    <w:rsid w:val="008F537C"/>
    <w:rsid w:val="008F5388"/>
    <w:rsid w:val="008F5442"/>
    <w:rsid w:val="008F5448"/>
    <w:rsid w:val="008F5484"/>
    <w:rsid w:val="008F54AD"/>
    <w:rsid w:val="008F5552"/>
    <w:rsid w:val="008F558D"/>
    <w:rsid w:val="008F564F"/>
    <w:rsid w:val="008F5651"/>
    <w:rsid w:val="008F5653"/>
    <w:rsid w:val="008F566A"/>
    <w:rsid w:val="008F5680"/>
    <w:rsid w:val="008F569F"/>
    <w:rsid w:val="008F56A8"/>
    <w:rsid w:val="008F56BD"/>
    <w:rsid w:val="008F56C7"/>
    <w:rsid w:val="008F5711"/>
    <w:rsid w:val="008F57AE"/>
    <w:rsid w:val="008F57CA"/>
    <w:rsid w:val="008F57EB"/>
    <w:rsid w:val="008F5876"/>
    <w:rsid w:val="008F58A0"/>
    <w:rsid w:val="008F5901"/>
    <w:rsid w:val="008F598E"/>
    <w:rsid w:val="008F599D"/>
    <w:rsid w:val="008F5ACB"/>
    <w:rsid w:val="008F5B47"/>
    <w:rsid w:val="008F5B4F"/>
    <w:rsid w:val="008F5B92"/>
    <w:rsid w:val="008F5BAB"/>
    <w:rsid w:val="008F5BE1"/>
    <w:rsid w:val="008F5BF3"/>
    <w:rsid w:val="008F5C2B"/>
    <w:rsid w:val="008F5C53"/>
    <w:rsid w:val="008F5CD8"/>
    <w:rsid w:val="008F5D3B"/>
    <w:rsid w:val="008F5D6A"/>
    <w:rsid w:val="008F5E5A"/>
    <w:rsid w:val="008F5E67"/>
    <w:rsid w:val="008F5F27"/>
    <w:rsid w:val="008F5F4B"/>
    <w:rsid w:val="008F5FF3"/>
    <w:rsid w:val="008F6010"/>
    <w:rsid w:val="008F603E"/>
    <w:rsid w:val="008F6043"/>
    <w:rsid w:val="008F60D5"/>
    <w:rsid w:val="008F612D"/>
    <w:rsid w:val="008F6152"/>
    <w:rsid w:val="008F6259"/>
    <w:rsid w:val="008F625E"/>
    <w:rsid w:val="008F62C0"/>
    <w:rsid w:val="008F62D4"/>
    <w:rsid w:val="008F62EF"/>
    <w:rsid w:val="008F62FF"/>
    <w:rsid w:val="008F632D"/>
    <w:rsid w:val="008F634E"/>
    <w:rsid w:val="008F6464"/>
    <w:rsid w:val="008F648E"/>
    <w:rsid w:val="008F6512"/>
    <w:rsid w:val="008F65C2"/>
    <w:rsid w:val="008F660F"/>
    <w:rsid w:val="008F661D"/>
    <w:rsid w:val="008F6743"/>
    <w:rsid w:val="008F67BE"/>
    <w:rsid w:val="008F67CB"/>
    <w:rsid w:val="008F6800"/>
    <w:rsid w:val="008F680A"/>
    <w:rsid w:val="008F6859"/>
    <w:rsid w:val="008F6879"/>
    <w:rsid w:val="008F68DC"/>
    <w:rsid w:val="008F68DE"/>
    <w:rsid w:val="008F6912"/>
    <w:rsid w:val="008F692E"/>
    <w:rsid w:val="008F695B"/>
    <w:rsid w:val="008F6972"/>
    <w:rsid w:val="008F69E5"/>
    <w:rsid w:val="008F69E6"/>
    <w:rsid w:val="008F6A9A"/>
    <w:rsid w:val="008F6AE1"/>
    <w:rsid w:val="008F6B40"/>
    <w:rsid w:val="008F6B7E"/>
    <w:rsid w:val="008F6BC5"/>
    <w:rsid w:val="008F6BDC"/>
    <w:rsid w:val="008F6C0B"/>
    <w:rsid w:val="008F6C1B"/>
    <w:rsid w:val="008F6C1C"/>
    <w:rsid w:val="008F6C83"/>
    <w:rsid w:val="008F6CCE"/>
    <w:rsid w:val="008F6D41"/>
    <w:rsid w:val="008F6DBC"/>
    <w:rsid w:val="008F6DBF"/>
    <w:rsid w:val="008F6E2B"/>
    <w:rsid w:val="008F6EAE"/>
    <w:rsid w:val="008F6FD9"/>
    <w:rsid w:val="008F6FE0"/>
    <w:rsid w:val="008F6FE8"/>
    <w:rsid w:val="008F6FF6"/>
    <w:rsid w:val="008F7077"/>
    <w:rsid w:val="008F7091"/>
    <w:rsid w:val="008F70D5"/>
    <w:rsid w:val="008F7105"/>
    <w:rsid w:val="008F7122"/>
    <w:rsid w:val="008F712A"/>
    <w:rsid w:val="008F7137"/>
    <w:rsid w:val="008F714D"/>
    <w:rsid w:val="008F7170"/>
    <w:rsid w:val="008F71D7"/>
    <w:rsid w:val="008F7277"/>
    <w:rsid w:val="008F72A6"/>
    <w:rsid w:val="008F734F"/>
    <w:rsid w:val="008F738E"/>
    <w:rsid w:val="008F73C4"/>
    <w:rsid w:val="008F7424"/>
    <w:rsid w:val="008F7430"/>
    <w:rsid w:val="008F744B"/>
    <w:rsid w:val="008F745A"/>
    <w:rsid w:val="008F7479"/>
    <w:rsid w:val="008F74E4"/>
    <w:rsid w:val="008F75A9"/>
    <w:rsid w:val="008F75C1"/>
    <w:rsid w:val="008F769E"/>
    <w:rsid w:val="008F76A1"/>
    <w:rsid w:val="008F76C8"/>
    <w:rsid w:val="008F779F"/>
    <w:rsid w:val="008F77B1"/>
    <w:rsid w:val="008F787C"/>
    <w:rsid w:val="008F78EC"/>
    <w:rsid w:val="008F791E"/>
    <w:rsid w:val="008F7937"/>
    <w:rsid w:val="008F796D"/>
    <w:rsid w:val="008F7ADA"/>
    <w:rsid w:val="008F7B49"/>
    <w:rsid w:val="008F7B4E"/>
    <w:rsid w:val="008F7C34"/>
    <w:rsid w:val="008F7D53"/>
    <w:rsid w:val="008F7D61"/>
    <w:rsid w:val="008F7D6C"/>
    <w:rsid w:val="008F7EBB"/>
    <w:rsid w:val="008F7EF6"/>
    <w:rsid w:val="008F7F2A"/>
    <w:rsid w:val="00900070"/>
    <w:rsid w:val="009000A5"/>
    <w:rsid w:val="009000C8"/>
    <w:rsid w:val="009000D3"/>
    <w:rsid w:val="00900122"/>
    <w:rsid w:val="00900125"/>
    <w:rsid w:val="00900184"/>
    <w:rsid w:val="009001CB"/>
    <w:rsid w:val="009001ED"/>
    <w:rsid w:val="00900201"/>
    <w:rsid w:val="00900255"/>
    <w:rsid w:val="00900267"/>
    <w:rsid w:val="00900287"/>
    <w:rsid w:val="009002A9"/>
    <w:rsid w:val="0090034B"/>
    <w:rsid w:val="00900381"/>
    <w:rsid w:val="009003D8"/>
    <w:rsid w:val="00900408"/>
    <w:rsid w:val="00900444"/>
    <w:rsid w:val="00900476"/>
    <w:rsid w:val="0090049A"/>
    <w:rsid w:val="009004B2"/>
    <w:rsid w:val="009004B4"/>
    <w:rsid w:val="009005F4"/>
    <w:rsid w:val="00900619"/>
    <w:rsid w:val="0090061B"/>
    <w:rsid w:val="00900633"/>
    <w:rsid w:val="009006EE"/>
    <w:rsid w:val="00900785"/>
    <w:rsid w:val="00900796"/>
    <w:rsid w:val="009007D5"/>
    <w:rsid w:val="0090084D"/>
    <w:rsid w:val="0090086D"/>
    <w:rsid w:val="00900890"/>
    <w:rsid w:val="009008D5"/>
    <w:rsid w:val="00900928"/>
    <w:rsid w:val="00900A44"/>
    <w:rsid w:val="00900AA7"/>
    <w:rsid w:val="00900AB9"/>
    <w:rsid w:val="00900B19"/>
    <w:rsid w:val="00900BA9"/>
    <w:rsid w:val="00900BE6"/>
    <w:rsid w:val="00900C52"/>
    <w:rsid w:val="00900C88"/>
    <w:rsid w:val="00900D73"/>
    <w:rsid w:val="00900DA5"/>
    <w:rsid w:val="00900E66"/>
    <w:rsid w:val="00900E9A"/>
    <w:rsid w:val="00900EAA"/>
    <w:rsid w:val="00900F35"/>
    <w:rsid w:val="00900F4A"/>
    <w:rsid w:val="00900F72"/>
    <w:rsid w:val="00900FE2"/>
    <w:rsid w:val="00900FE8"/>
    <w:rsid w:val="00901005"/>
    <w:rsid w:val="00901016"/>
    <w:rsid w:val="00901021"/>
    <w:rsid w:val="00901034"/>
    <w:rsid w:val="009010FC"/>
    <w:rsid w:val="009012B3"/>
    <w:rsid w:val="009012EE"/>
    <w:rsid w:val="0090136B"/>
    <w:rsid w:val="0090137B"/>
    <w:rsid w:val="00901398"/>
    <w:rsid w:val="009013BC"/>
    <w:rsid w:val="009013C9"/>
    <w:rsid w:val="009013DA"/>
    <w:rsid w:val="009013DE"/>
    <w:rsid w:val="009013F8"/>
    <w:rsid w:val="009014DD"/>
    <w:rsid w:val="00901542"/>
    <w:rsid w:val="00901555"/>
    <w:rsid w:val="009015A8"/>
    <w:rsid w:val="009015F1"/>
    <w:rsid w:val="0090168E"/>
    <w:rsid w:val="009016C6"/>
    <w:rsid w:val="00901704"/>
    <w:rsid w:val="0090177F"/>
    <w:rsid w:val="0090180C"/>
    <w:rsid w:val="00901817"/>
    <w:rsid w:val="00901838"/>
    <w:rsid w:val="00901893"/>
    <w:rsid w:val="0090199D"/>
    <w:rsid w:val="009019F0"/>
    <w:rsid w:val="00901A37"/>
    <w:rsid w:val="00901A5D"/>
    <w:rsid w:val="00901A66"/>
    <w:rsid w:val="00901AFF"/>
    <w:rsid w:val="00901B0D"/>
    <w:rsid w:val="00901B8D"/>
    <w:rsid w:val="00901C2A"/>
    <w:rsid w:val="00901C85"/>
    <w:rsid w:val="00901C8F"/>
    <w:rsid w:val="00901CAA"/>
    <w:rsid w:val="00901CC9"/>
    <w:rsid w:val="00901CD4"/>
    <w:rsid w:val="00901D30"/>
    <w:rsid w:val="00901DA7"/>
    <w:rsid w:val="00901DB4"/>
    <w:rsid w:val="00901E9B"/>
    <w:rsid w:val="00901ECB"/>
    <w:rsid w:val="00901F5A"/>
    <w:rsid w:val="00901FAB"/>
    <w:rsid w:val="00901FC9"/>
    <w:rsid w:val="00902141"/>
    <w:rsid w:val="0090214B"/>
    <w:rsid w:val="00902150"/>
    <w:rsid w:val="00902206"/>
    <w:rsid w:val="0090224E"/>
    <w:rsid w:val="0090229D"/>
    <w:rsid w:val="009022BA"/>
    <w:rsid w:val="009022CF"/>
    <w:rsid w:val="009022E4"/>
    <w:rsid w:val="0090231E"/>
    <w:rsid w:val="00902323"/>
    <w:rsid w:val="0090235E"/>
    <w:rsid w:val="00902360"/>
    <w:rsid w:val="009023C6"/>
    <w:rsid w:val="009023C8"/>
    <w:rsid w:val="00902489"/>
    <w:rsid w:val="009024D7"/>
    <w:rsid w:val="00902517"/>
    <w:rsid w:val="0090251F"/>
    <w:rsid w:val="00902599"/>
    <w:rsid w:val="009025BF"/>
    <w:rsid w:val="009025D2"/>
    <w:rsid w:val="00902609"/>
    <w:rsid w:val="0090260C"/>
    <w:rsid w:val="00902625"/>
    <w:rsid w:val="00902645"/>
    <w:rsid w:val="0090266D"/>
    <w:rsid w:val="00902729"/>
    <w:rsid w:val="00902788"/>
    <w:rsid w:val="009027D0"/>
    <w:rsid w:val="009027DD"/>
    <w:rsid w:val="0090297B"/>
    <w:rsid w:val="009029E7"/>
    <w:rsid w:val="00902A0E"/>
    <w:rsid w:val="00902A5E"/>
    <w:rsid w:val="00902A5F"/>
    <w:rsid w:val="00902A76"/>
    <w:rsid w:val="00902AB4"/>
    <w:rsid w:val="00902AB6"/>
    <w:rsid w:val="00902BF2"/>
    <w:rsid w:val="00902BF5"/>
    <w:rsid w:val="00902C03"/>
    <w:rsid w:val="00902CC6"/>
    <w:rsid w:val="00902CFB"/>
    <w:rsid w:val="00902CFE"/>
    <w:rsid w:val="00902D26"/>
    <w:rsid w:val="00902D2F"/>
    <w:rsid w:val="00902D75"/>
    <w:rsid w:val="00902D8B"/>
    <w:rsid w:val="00902E73"/>
    <w:rsid w:val="00902E9B"/>
    <w:rsid w:val="00902F79"/>
    <w:rsid w:val="00902F87"/>
    <w:rsid w:val="00902FC0"/>
    <w:rsid w:val="00903065"/>
    <w:rsid w:val="009030AD"/>
    <w:rsid w:val="009032C8"/>
    <w:rsid w:val="00903417"/>
    <w:rsid w:val="00903488"/>
    <w:rsid w:val="009034A0"/>
    <w:rsid w:val="009034B7"/>
    <w:rsid w:val="009034D5"/>
    <w:rsid w:val="0090350E"/>
    <w:rsid w:val="0090358A"/>
    <w:rsid w:val="0090358B"/>
    <w:rsid w:val="0090359D"/>
    <w:rsid w:val="009035B8"/>
    <w:rsid w:val="0090364E"/>
    <w:rsid w:val="00903655"/>
    <w:rsid w:val="0090369D"/>
    <w:rsid w:val="00903737"/>
    <w:rsid w:val="009037D0"/>
    <w:rsid w:val="0090380C"/>
    <w:rsid w:val="0090385B"/>
    <w:rsid w:val="00903884"/>
    <w:rsid w:val="009038CA"/>
    <w:rsid w:val="009038F9"/>
    <w:rsid w:val="0090393C"/>
    <w:rsid w:val="00903944"/>
    <w:rsid w:val="00903A7D"/>
    <w:rsid w:val="00903AAB"/>
    <w:rsid w:val="00903B21"/>
    <w:rsid w:val="00903B24"/>
    <w:rsid w:val="00903B6D"/>
    <w:rsid w:val="00903B78"/>
    <w:rsid w:val="00903B99"/>
    <w:rsid w:val="00903C3D"/>
    <w:rsid w:val="00903C60"/>
    <w:rsid w:val="00903C88"/>
    <w:rsid w:val="00903CE2"/>
    <w:rsid w:val="00903CE8"/>
    <w:rsid w:val="00903CEB"/>
    <w:rsid w:val="00903D22"/>
    <w:rsid w:val="00903D91"/>
    <w:rsid w:val="00903D9B"/>
    <w:rsid w:val="00903E7B"/>
    <w:rsid w:val="00903EC4"/>
    <w:rsid w:val="00903ED8"/>
    <w:rsid w:val="00903EFE"/>
    <w:rsid w:val="00903F34"/>
    <w:rsid w:val="00903FA9"/>
    <w:rsid w:val="00903FD9"/>
    <w:rsid w:val="00903FE9"/>
    <w:rsid w:val="00904015"/>
    <w:rsid w:val="0090403F"/>
    <w:rsid w:val="00904084"/>
    <w:rsid w:val="009040FD"/>
    <w:rsid w:val="0090416B"/>
    <w:rsid w:val="009041AC"/>
    <w:rsid w:val="00904229"/>
    <w:rsid w:val="009042F1"/>
    <w:rsid w:val="009042FB"/>
    <w:rsid w:val="00904326"/>
    <w:rsid w:val="00904473"/>
    <w:rsid w:val="0090448C"/>
    <w:rsid w:val="009044EC"/>
    <w:rsid w:val="009044FF"/>
    <w:rsid w:val="00904549"/>
    <w:rsid w:val="009045B8"/>
    <w:rsid w:val="009045D7"/>
    <w:rsid w:val="009045FC"/>
    <w:rsid w:val="009046C4"/>
    <w:rsid w:val="009046DE"/>
    <w:rsid w:val="009047D0"/>
    <w:rsid w:val="0090480E"/>
    <w:rsid w:val="00904843"/>
    <w:rsid w:val="0090484F"/>
    <w:rsid w:val="00904986"/>
    <w:rsid w:val="00904A15"/>
    <w:rsid w:val="00904A35"/>
    <w:rsid w:val="00904A9F"/>
    <w:rsid w:val="00904AB6"/>
    <w:rsid w:val="00904B1B"/>
    <w:rsid w:val="00904B94"/>
    <w:rsid w:val="00904C8B"/>
    <w:rsid w:val="00904DBE"/>
    <w:rsid w:val="00904DC8"/>
    <w:rsid w:val="00904E1F"/>
    <w:rsid w:val="00904E54"/>
    <w:rsid w:val="00904E8C"/>
    <w:rsid w:val="00904F5D"/>
    <w:rsid w:val="00904FC1"/>
    <w:rsid w:val="00905012"/>
    <w:rsid w:val="00905101"/>
    <w:rsid w:val="0090511F"/>
    <w:rsid w:val="009052D0"/>
    <w:rsid w:val="00905388"/>
    <w:rsid w:val="009053E3"/>
    <w:rsid w:val="00905425"/>
    <w:rsid w:val="0090545A"/>
    <w:rsid w:val="00905467"/>
    <w:rsid w:val="009054A7"/>
    <w:rsid w:val="009054E6"/>
    <w:rsid w:val="00905500"/>
    <w:rsid w:val="00905605"/>
    <w:rsid w:val="009056F6"/>
    <w:rsid w:val="00905709"/>
    <w:rsid w:val="00905739"/>
    <w:rsid w:val="009057E3"/>
    <w:rsid w:val="00905814"/>
    <w:rsid w:val="0090588B"/>
    <w:rsid w:val="009058BC"/>
    <w:rsid w:val="00905921"/>
    <w:rsid w:val="009059EC"/>
    <w:rsid w:val="00905A7E"/>
    <w:rsid w:val="00905AAD"/>
    <w:rsid w:val="00905B9B"/>
    <w:rsid w:val="00905C32"/>
    <w:rsid w:val="00905C3B"/>
    <w:rsid w:val="00905CA5"/>
    <w:rsid w:val="00905D4C"/>
    <w:rsid w:val="00905D9D"/>
    <w:rsid w:val="00905EA6"/>
    <w:rsid w:val="00905F0B"/>
    <w:rsid w:val="00905F69"/>
    <w:rsid w:val="00905F95"/>
    <w:rsid w:val="00905FF1"/>
    <w:rsid w:val="00906027"/>
    <w:rsid w:val="0090602C"/>
    <w:rsid w:val="009060B0"/>
    <w:rsid w:val="0090610A"/>
    <w:rsid w:val="00906125"/>
    <w:rsid w:val="0090613F"/>
    <w:rsid w:val="00906155"/>
    <w:rsid w:val="00906189"/>
    <w:rsid w:val="009061AE"/>
    <w:rsid w:val="00906216"/>
    <w:rsid w:val="00906238"/>
    <w:rsid w:val="00906244"/>
    <w:rsid w:val="00906298"/>
    <w:rsid w:val="009062B4"/>
    <w:rsid w:val="0090637C"/>
    <w:rsid w:val="009063A3"/>
    <w:rsid w:val="009063DA"/>
    <w:rsid w:val="009063FB"/>
    <w:rsid w:val="00906404"/>
    <w:rsid w:val="0090649E"/>
    <w:rsid w:val="009064C5"/>
    <w:rsid w:val="009064F1"/>
    <w:rsid w:val="009065E9"/>
    <w:rsid w:val="0090662F"/>
    <w:rsid w:val="009066A4"/>
    <w:rsid w:val="009066B2"/>
    <w:rsid w:val="009066B5"/>
    <w:rsid w:val="009066C0"/>
    <w:rsid w:val="00906785"/>
    <w:rsid w:val="009067B0"/>
    <w:rsid w:val="009067BB"/>
    <w:rsid w:val="00906847"/>
    <w:rsid w:val="00906850"/>
    <w:rsid w:val="00906887"/>
    <w:rsid w:val="009068A3"/>
    <w:rsid w:val="009068ED"/>
    <w:rsid w:val="00906954"/>
    <w:rsid w:val="00906959"/>
    <w:rsid w:val="0090695D"/>
    <w:rsid w:val="0090699F"/>
    <w:rsid w:val="00906A6F"/>
    <w:rsid w:val="00906AA3"/>
    <w:rsid w:val="00906AC4"/>
    <w:rsid w:val="00906B20"/>
    <w:rsid w:val="00906B77"/>
    <w:rsid w:val="00906B9C"/>
    <w:rsid w:val="00906BAA"/>
    <w:rsid w:val="00906C0E"/>
    <w:rsid w:val="00906C55"/>
    <w:rsid w:val="00906CB0"/>
    <w:rsid w:val="00906D1E"/>
    <w:rsid w:val="00906D3B"/>
    <w:rsid w:val="00906E2E"/>
    <w:rsid w:val="00906E7B"/>
    <w:rsid w:val="00906FB2"/>
    <w:rsid w:val="0090707F"/>
    <w:rsid w:val="00907185"/>
    <w:rsid w:val="009071C4"/>
    <w:rsid w:val="009071D2"/>
    <w:rsid w:val="009071DC"/>
    <w:rsid w:val="009071F2"/>
    <w:rsid w:val="00907216"/>
    <w:rsid w:val="00907237"/>
    <w:rsid w:val="0090729F"/>
    <w:rsid w:val="00907324"/>
    <w:rsid w:val="0090738A"/>
    <w:rsid w:val="009073B2"/>
    <w:rsid w:val="009073BD"/>
    <w:rsid w:val="00907435"/>
    <w:rsid w:val="009074CB"/>
    <w:rsid w:val="009074D6"/>
    <w:rsid w:val="009074DD"/>
    <w:rsid w:val="00907505"/>
    <w:rsid w:val="00907510"/>
    <w:rsid w:val="00907634"/>
    <w:rsid w:val="0090764E"/>
    <w:rsid w:val="00907652"/>
    <w:rsid w:val="00907677"/>
    <w:rsid w:val="0090768E"/>
    <w:rsid w:val="009076E3"/>
    <w:rsid w:val="009076FC"/>
    <w:rsid w:val="00907709"/>
    <w:rsid w:val="009077A9"/>
    <w:rsid w:val="00907812"/>
    <w:rsid w:val="00907832"/>
    <w:rsid w:val="0090784B"/>
    <w:rsid w:val="00907877"/>
    <w:rsid w:val="009078A0"/>
    <w:rsid w:val="009078AD"/>
    <w:rsid w:val="009078B3"/>
    <w:rsid w:val="009078F9"/>
    <w:rsid w:val="00907900"/>
    <w:rsid w:val="00907914"/>
    <w:rsid w:val="00907A03"/>
    <w:rsid w:val="00907A78"/>
    <w:rsid w:val="00907BA0"/>
    <w:rsid w:val="00907CE0"/>
    <w:rsid w:val="00907DAC"/>
    <w:rsid w:val="00907E46"/>
    <w:rsid w:val="00907EC1"/>
    <w:rsid w:val="00907FFA"/>
    <w:rsid w:val="0091004C"/>
    <w:rsid w:val="0091007D"/>
    <w:rsid w:val="00910191"/>
    <w:rsid w:val="00910193"/>
    <w:rsid w:val="009101A7"/>
    <w:rsid w:val="009101CA"/>
    <w:rsid w:val="009101CF"/>
    <w:rsid w:val="009101D3"/>
    <w:rsid w:val="00910215"/>
    <w:rsid w:val="00910277"/>
    <w:rsid w:val="009102BA"/>
    <w:rsid w:val="009102D5"/>
    <w:rsid w:val="0091039A"/>
    <w:rsid w:val="009103B2"/>
    <w:rsid w:val="009103B7"/>
    <w:rsid w:val="009103C7"/>
    <w:rsid w:val="009104D2"/>
    <w:rsid w:val="009104D7"/>
    <w:rsid w:val="00910537"/>
    <w:rsid w:val="0091055A"/>
    <w:rsid w:val="00910582"/>
    <w:rsid w:val="00910598"/>
    <w:rsid w:val="009105D4"/>
    <w:rsid w:val="009105EC"/>
    <w:rsid w:val="00910649"/>
    <w:rsid w:val="00910681"/>
    <w:rsid w:val="009106A9"/>
    <w:rsid w:val="009106AF"/>
    <w:rsid w:val="009107C7"/>
    <w:rsid w:val="00910827"/>
    <w:rsid w:val="00910829"/>
    <w:rsid w:val="0091087D"/>
    <w:rsid w:val="009108A9"/>
    <w:rsid w:val="009108AF"/>
    <w:rsid w:val="009108D3"/>
    <w:rsid w:val="0091092D"/>
    <w:rsid w:val="00910970"/>
    <w:rsid w:val="00910992"/>
    <w:rsid w:val="009109EA"/>
    <w:rsid w:val="00910A81"/>
    <w:rsid w:val="00910A96"/>
    <w:rsid w:val="00910ABC"/>
    <w:rsid w:val="00910BA7"/>
    <w:rsid w:val="00910BBE"/>
    <w:rsid w:val="00910BCB"/>
    <w:rsid w:val="00910BE0"/>
    <w:rsid w:val="00910C22"/>
    <w:rsid w:val="00910C96"/>
    <w:rsid w:val="00910CB5"/>
    <w:rsid w:val="00910CC5"/>
    <w:rsid w:val="00910D05"/>
    <w:rsid w:val="00910D3C"/>
    <w:rsid w:val="00910DC3"/>
    <w:rsid w:val="00910DD6"/>
    <w:rsid w:val="00910DDA"/>
    <w:rsid w:val="00910DF3"/>
    <w:rsid w:val="00910E10"/>
    <w:rsid w:val="00910E7C"/>
    <w:rsid w:val="00910F00"/>
    <w:rsid w:val="00910FB7"/>
    <w:rsid w:val="00910FBA"/>
    <w:rsid w:val="00911028"/>
    <w:rsid w:val="009110B6"/>
    <w:rsid w:val="009111B5"/>
    <w:rsid w:val="009111E5"/>
    <w:rsid w:val="00911203"/>
    <w:rsid w:val="0091121B"/>
    <w:rsid w:val="0091124B"/>
    <w:rsid w:val="00911269"/>
    <w:rsid w:val="009112E6"/>
    <w:rsid w:val="00911326"/>
    <w:rsid w:val="009113BA"/>
    <w:rsid w:val="00911443"/>
    <w:rsid w:val="009114A2"/>
    <w:rsid w:val="009114E7"/>
    <w:rsid w:val="009114F1"/>
    <w:rsid w:val="00911501"/>
    <w:rsid w:val="00911586"/>
    <w:rsid w:val="00911605"/>
    <w:rsid w:val="00911641"/>
    <w:rsid w:val="00911654"/>
    <w:rsid w:val="0091167D"/>
    <w:rsid w:val="009116F1"/>
    <w:rsid w:val="009117EC"/>
    <w:rsid w:val="009118CE"/>
    <w:rsid w:val="0091192F"/>
    <w:rsid w:val="00911977"/>
    <w:rsid w:val="009119D1"/>
    <w:rsid w:val="009119D4"/>
    <w:rsid w:val="00911A40"/>
    <w:rsid w:val="00911A48"/>
    <w:rsid w:val="00911B15"/>
    <w:rsid w:val="00911BF9"/>
    <w:rsid w:val="00911C0D"/>
    <w:rsid w:val="00911D0C"/>
    <w:rsid w:val="00911D11"/>
    <w:rsid w:val="00911D4F"/>
    <w:rsid w:val="00911D74"/>
    <w:rsid w:val="00911DC5"/>
    <w:rsid w:val="00911E17"/>
    <w:rsid w:val="00911E2E"/>
    <w:rsid w:val="00911E47"/>
    <w:rsid w:val="00911E50"/>
    <w:rsid w:val="00911EA7"/>
    <w:rsid w:val="00911F1A"/>
    <w:rsid w:val="00911FE0"/>
    <w:rsid w:val="00912021"/>
    <w:rsid w:val="00912043"/>
    <w:rsid w:val="0091208F"/>
    <w:rsid w:val="00912105"/>
    <w:rsid w:val="009121F4"/>
    <w:rsid w:val="00912314"/>
    <w:rsid w:val="00912318"/>
    <w:rsid w:val="00912358"/>
    <w:rsid w:val="0091236D"/>
    <w:rsid w:val="009123FC"/>
    <w:rsid w:val="009123FD"/>
    <w:rsid w:val="00912475"/>
    <w:rsid w:val="00912481"/>
    <w:rsid w:val="00912499"/>
    <w:rsid w:val="009124AD"/>
    <w:rsid w:val="009124C0"/>
    <w:rsid w:val="009125C8"/>
    <w:rsid w:val="0091260D"/>
    <w:rsid w:val="00912670"/>
    <w:rsid w:val="00912745"/>
    <w:rsid w:val="0091276D"/>
    <w:rsid w:val="009127CE"/>
    <w:rsid w:val="009127E8"/>
    <w:rsid w:val="0091281C"/>
    <w:rsid w:val="009128C5"/>
    <w:rsid w:val="0091293F"/>
    <w:rsid w:val="0091298B"/>
    <w:rsid w:val="00912A17"/>
    <w:rsid w:val="00912AA4"/>
    <w:rsid w:val="00912AC4"/>
    <w:rsid w:val="00912B33"/>
    <w:rsid w:val="00912B3E"/>
    <w:rsid w:val="00912B82"/>
    <w:rsid w:val="00912BFB"/>
    <w:rsid w:val="00912C31"/>
    <w:rsid w:val="00912CC2"/>
    <w:rsid w:val="00912CC5"/>
    <w:rsid w:val="00912CE6"/>
    <w:rsid w:val="00912CFC"/>
    <w:rsid w:val="00912D6C"/>
    <w:rsid w:val="00912E29"/>
    <w:rsid w:val="00912E56"/>
    <w:rsid w:val="00912F85"/>
    <w:rsid w:val="009130AE"/>
    <w:rsid w:val="009130B8"/>
    <w:rsid w:val="009130C4"/>
    <w:rsid w:val="009130C6"/>
    <w:rsid w:val="00913107"/>
    <w:rsid w:val="0091310C"/>
    <w:rsid w:val="00913168"/>
    <w:rsid w:val="00913216"/>
    <w:rsid w:val="0091322C"/>
    <w:rsid w:val="00913277"/>
    <w:rsid w:val="00913394"/>
    <w:rsid w:val="009133A2"/>
    <w:rsid w:val="00913404"/>
    <w:rsid w:val="00913409"/>
    <w:rsid w:val="00913442"/>
    <w:rsid w:val="009134A7"/>
    <w:rsid w:val="009134CC"/>
    <w:rsid w:val="00913559"/>
    <w:rsid w:val="00913566"/>
    <w:rsid w:val="009135E9"/>
    <w:rsid w:val="00913628"/>
    <w:rsid w:val="009136A0"/>
    <w:rsid w:val="009136D8"/>
    <w:rsid w:val="009136E9"/>
    <w:rsid w:val="009137AE"/>
    <w:rsid w:val="00913804"/>
    <w:rsid w:val="0091380C"/>
    <w:rsid w:val="00913896"/>
    <w:rsid w:val="009138E7"/>
    <w:rsid w:val="0091397A"/>
    <w:rsid w:val="00913991"/>
    <w:rsid w:val="009139CE"/>
    <w:rsid w:val="009139CF"/>
    <w:rsid w:val="009139E0"/>
    <w:rsid w:val="009139E7"/>
    <w:rsid w:val="00913A3E"/>
    <w:rsid w:val="00913A8B"/>
    <w:rsid w:val="00913AA0"/>
    <w:rsid w:val="00913ABB"/>
    <w:rsid w:val="00913B6B"/>
    <w:rsid w:val="00913B8C"/>
    <w:rsid w:val="00913D1C"/>
    <w:rsid w:val="00913D90"/>
    <w:rsid w:val="00913E9D"/>
    <w:rsid w:val="00913EE8"/>
    <w:rsid w:val="00913F01"/>
    <w:rsid w:val="00913F44"/>
    <w:rsid w:val="00913F74"/>
    <w:rsid w:val="0091409E"/>
    <w:rsid w:val="009140BF"/>
    <w:rsid w:val="009140DB"/>
    <w:rsid w:val="00914112"/>
    <w:rsid w:val="0091423A"/>
    <w:rsid w:val="0091429D"/>
    <w:rsid w:val="00914319"/>
    <w:rsid w:val="009143EB"/>
    <w:rsid w:val="00914420"/>
    <w:rsid w:val="009144A8"/>
    <w:rsid w:val="009144C6"/>
    <w:rsid w:val="009145DD"/>
    <w:rsid w:val="00914615"/>
    <w:rsid w:val="0091466D"/>
    <w:rsid w:val="009146AE"/>
    <w:rsid w:val="00914702"/>
    <w:rsid w:val="00914736"/>
    <w:rsid w:val="00914769"/>
    <w:rsid w:val="009147A1"/>
    <w:rsid w:val="009147F1"/>
    <w:rsid w:val="00914838"/>
    <w:rsid w:val="009148DF"/>
    <w:rsid w:val="009149A7"/>
    <w:rsid w:val="009149B9"/>
    <w:rsid w:val="009149FA"/>
    <w:rsid w:val="00914A09"/>
    <w:rsid w:val="00914A30"/>
    <w:rsid w:val="00914A64"/>
    <w:rsid w:val="00914AA6"/>
    <w:rsid w:val="00914B00"/>
    <w:rsid w:val="00914BAA"/>
    <w:rsid w:val="00914C6B"/>
    <w:rsid w:val="00914C7C"/>
    <w:rsid w:val="00914C9D"/>
    <w:rsid w:val="00914CA8"/>
    <w:rsid w:val="00914CEB"/>
    <w:rsid w:val="00914DB1"/>
    <w:rsid w:val="00914DB8"/>
    <w:rsid w:val="00914E6C"/>
    <w:rsid w:val="00914EA4"/>
    <w:rsid w:val="00914EC9"/>
    <w:rsid w:val="00914ED4"/>
    <w:rsid w:val="00914ED9"/>
    <w:rsid w:val="00914EDC"/>
    <w:rsid w:val="00914EFF"/>
    <w:rsid w:val="00914FBA"/>
    <w:rsid w:val="00914FF3"/>
    <w:rsid w:val="0091502E"/>
    <w:rsid w:val="009150CD"/>
    <w:rsid w:val="009150FF"/>
    <w:rsid w:val="00915116"/>
    <w:rsid w:val="0091512D"/>
    <w:rsid w:val="0091513D"/>
    <w:rsid w:val="00915178"/>
    <w:rsid w:val="009151A7"/>
    <w:rsid w:val="009151F6"/>
    <w:rsid w:val="009151FA"/>
    <w:rsid w:val="00915214"/>
    <w:rsid w:val="0091522C"/>
    <w:rsid w:val="00915294"/>
    <w:rsid w:val="00915299"/>
    <w:rsid w:val="00915322"/>
    <w:rsid w:val="00915324"/>
    <w:rsid w:val="009153F6"/>
    <w:rsid w:val="0091545B"/>
    <w:rsid w:val="00915492"/>
    <w:rsid w:val="009154D9"/>
    <w:rsid w:val="009154E6"/>
    <w:rsid w:val="009154F7"/>
    <w:rsid w:val="00915679"/>
    <w:rsid w:val="009156AC"/>
    <w:rsid w:val="009156B7"/>
    <w:rsid w:val="009156EC"/>
    <w:rsid w:val="009156FC"/>
    <w:rsid w:val="009156FE"/>
    <w:rsid w:val="00915792"/>
    <w:rsid w:val="009157D6"/>
    <w:rsid w:val="009157E6"/>
    <w:rsid w:val="009157FA"/>
    <w:rsid w:val="009158C7"/>
    <w:rsid w:val="009158FC"/>
    <w:rsid w:val="0091595D"/>
    <w:rsid w:val="00915981"/>
    <w:rsid w:val="009159A0"/>
    <w:rsid w:val="00915AAC"/>
    <w:rsid w:val="00915BBA"/>
    <w:rsid w:val="00915BF1"/>
    <w:rsid w:val="00915C06"/>
    <w:rsid w:val="00915C19"/>
    <w:rsid w:val="00915C26"/>
    <w:rsid w:val="00915C40"/>
    <w:rsid w:val="00915C4B"/>
    <w:rsid w:val="00915C71"/>
    <w:rsid w:val="00915C81"/>
    <w:rsid w:val="00915CBF"/>
    <w:rsid w:val="00915CC1"/>
    <w:rsid w:val="00915D48"/>
    <w:rsid w:val="00915D70"/>
    <w:rsid w:val="00915DAB"/>
    <w:rsid w:val="00915DC7"/>
    <w:rsid w:val="00915EAD"/>
    <w:rsid w:val="00915EF4"/>
    <w:rsid w:val="00915F6B"/>
    <w:rsid w:val="00915FB9"/>
    <w:rsid w:val="00915FEF"/>
    <w:rsid w:val="0091605B"/>
    <w:rsid w:val="0091605F"/>
    <w:rsid w:val="00916074"/>
    <w:rsid w:val="0091607F"/>
    <w:rsid w:val="009160E9"/>
    <w:rsid w:val="009161DE"/>
    <w:rsid w:val="0091620A"/>
    <w:rsid w:val="00916249"/>
    <w:rsid w:val="00916266"/>
    <w:rsid w:val="00916269"/>
    <w:rsid w:val="009162A1"/>
    <w:rsid w:val="00916314"/>
    <w:rsid w:val="00916337"/>
    <w:rsid w:val="00916397"/>
    <w:rsid w:val="009163A6"/>
    <w:rsid w:val="009163FB"/>
    <w:rsid w:val="0091642B"/>
    <w:rsid w:val="0091644E"/>
    <w:rsid w:val="00916456"/>
    <w:rsid w:val="009164AF"/>
    <w:rsid w:val="009164FA"/>
    <w:rsid w:val="009165B0"/>
    <w:rsid w:val="009165C3"/>
    <w:rsid w:val="009165D0"/>
    <w:rsid w:val="009165DB"/>
    <w:rsid w:val="009165FE"/>
    <w:rsid w:val="00916627"/>
    <w:rsid w:val="00916650"/>
    <w:rsid w:val="009166C8"/>
    <w:rsid w:val="009166E2"/>
    <w:rsid w:val="009166F5"/>
    <w:rsid w:val="009167A7"/>
    <w:rsid w:val="009167B7"/>
    <w:rsid w:val="009167C8"/>
    <w:rsid w:val="009167CD"/>
    <w:rsid w:val="009167D0"/>
    <w:rsid w:val="009167E7"/>
    <w:rsid w:val="009167ED"/>
    <w:rsid w:val="00916811"/>
    <w:rsid w:val="00916819"/>
    <w:rsid w:val="00916871"/>
    <w:rsid w:val="0091689D"/>
    <w:rsid w:val="009168B9"/>
    <w:rsid w:val="00916982"/>
    <w:rsid w:val="009169A6"/>
    <w:rsid w:val="00916A14"/>
    <w:rsid w:val="00916A4C"/>
    <w:rsid w:val="00916A83"/>
    <w:rsid w:val="00916AC4"/>
    <w:rsid w:val="00916B25"/>
    <w:rsid w:val="00916B26"/>
    <w:rsid w:val="00916B5F"/>
    <w:rsid w:val="00916BBE"/>
    <w:rsid w:val="00916BD8"/>
    <w:rsid w:val="00916C1B"/>
    <w:rsid w:val="00916C67"/>
    <w:rsid w:val="00916E69"/>
    <w:rsid w:val="00916E76"/>
    <w:rsid w:val="00916F3D"/>
    <w:rsid w:val="00916F4C"/>
    <w:rsid w:val="00916FE6"/>
    <w:rsid w:val="009170AF"/>
    <w:rsid w:val="009171B9"/>
    <w:rsid w:val="009171F6"/>
    <w:rsid w:val="00917263"/>
    <w:rsid w:val="00917282"/>
    <w:rsid w:val="009172B1"/>
    <w:rsid w:val="009172E5"/>
    <w:rsid w:val="0091735F"/>
    <w:rsid w:val="009173B4"/>
    <w:rsid w:val="009173E9"/>
    <w:rsid w:val="009174A3"/>
    <w:rsid w:val="0091755F"/>
    <w:rsid w:val="009175C5"/>
    <w:rsid w:val="00917608"/>
    <w:rsid w:val="00917643"/>
    <w:rsid w:val="0091767E"/>
    <w:rsid w:val="00917683"/>
    <w:rsid w:val="00917694"/>
    <w:rsid w:val="00917699"/>
    <w:rsid w:val="009176BF"/>
    <w:rsid w:val="009176CC"/>
    <w:rsid w:val="009176FF"/>
    <w:rsid w:val="009177AA"/>
    <w:rsid w:val="00917839"/>
    <w:rsid w:val="0091785B"/>
    <w:rsid w:val="0091785F"/>
    <w:rsid w:val="00917877"/>
    <w:rsid w:val="009178D9"/>
    <w:rsid w:val="00917951"/>
    <w:rsid w:val="00917963"/>
    <w:rsid w:val="009179C4"/>
    <w:rsid w:val="00917A2B"/>
    <w:rsid w:val="00917A69"/>
    <w:rsid w:val="00917A7D"/>
    <w:rsid w:val="00917ACE"/>
    <w:rsid w:val="00917B43"/>
    <w:rsid w:val="00917B4E"/>
    <w:rsid w:val="00917B7F"/>
    <w:rsid w:val="00917C1B"/>
    <w:rsid w:val="00917C2E"/>
    <w:rsid w:val="00917C75"/>
    <w:rsid w:val="00917D05"/>
    <w:rsid w:val="00917DD3"/>
    <w:rsid w:val="00917DD6"/>
    <w:rsid w:val="00917DE4"/>
    <w:rsid w:val="00917E40"/>
    <w:rsid w:val="00917E8B"/>
    <w:rsid w:val="00917E8C"/>
    <w:rsid w:val="00917F9B"/>
    <w:rsid w:val="00917FB7"/>
    <w:rsid w:val="00920090"/>
    <w:rsid w:val="00920098"/>
    <w:rsid w:val="00920128"/>
    <w:rsid w:val="009201E9"/>
    <w:rsid w:val="0092023B"/>
    <w:rsid w:val="00920291"/>
    <w:rsid w:val="009202E9"/>
    <w:rsid w:val="00920320"/>
    <w:rsid w:val="009203F4"/>
    <w:rsid w:val="00920407"/>
    <w:rsid w:val="00920444"/>
    <w:rsid w:val="009204BA"/>
    <w:rsid w:val="009204EE"/>
    <w:rsid w:val="00920547"/>
    <w:rsid w:val="00920634"/>
    <w:rsid w:val="009206AA"/>
    <w:rsid w:val="009206B7"/>
    <w:rsid w:val="00920730"/>
    <w:rsid w:val="00920747"/>
    <w:rsid w:val="00920755"/>
    <w:rsid w:val="0092079B"/>
    <w:rsid w:val="0092079F"/>
    <w:rsid w:val="009207B4"/>
    <w:rsid w:val="009207B6"/>
    <w:rsid w:val="00920800"/>
    <w:rsid w:val="0092085E"/>
    <w:rsid w:val="00920888"/>
    <w:rsid w:val="009208CF"/>
    <w:rsid w:val="009208F4"/>
    <w:rsid w:val="0092098A"/>
    <w:rsid w:val="009209AE"/>
    <w:rsid w:val="009209AF"/>
    <w:rsid w:val="009209BD"/>
    <w:rsid w:val="00920A2B"/>
    <w:rsid w:val="00920A74"/>
    <w:rsid w:val="00920ABB"/>
    <w:rsid w:val="00920B3B"/>
    <w:rsid w:val="00920B7F"/>
    <w:rsid w:val="00920C5B"/>
    <w:rsid w:val="00920C77"/>
    <w:rsid w:val="00920CFE"/>
    <w:rsid w:val="00920D66"/>
    <w:rsid w:val="00920D98"/>
    <w:rsid w:val="00920DA6"/>
    <w:rsid w:val="00920E15"/>
    <w:rsid w:val="00920E61"/>
    <w:rsid w:val="00920F71"/>
    <w:rsid w:val="00920F74"/>
    <w:rsid w:val="00920F9D"/>
    <w:rsid w:val="00921113"/>
    <w:rsid w:val="00921128"/>
    <w:rsid w:val="00921158"/>
    <w:rsid w:val="00921175"/>
    <w:rsid w:val="00921190"/>
    <w:rsid w:val="00921208"/>
    <w:rsid w:val="00921218"/>
    <w:rsid w:val="00921251"/>
    <w:rsid w:val="00921275"/>
    <w:rsid w:val="00921279"/>
    <w:rsid w:val="00921293"/>
    <w:rsid w:val="009212A5"/>
    <w:rsid w:val="009212E6"/>
    <w:rsid w:val="009212FB"/>
    <w:rsid w:val="0092138C"/>
    <w:rsid w:val="0092139F"/>
    <w:rsid w:val="0092140F"/>
    <w:rsid w:val="00921422"/>
    <w:rsid w:val="00921433"/>
    <w:rsid w:val="0092148C"/>
    <w:rsid w:val="009214C0"/>
    <w:rsid w:val="0092151A"/>
    <w:rsid w:val="0092159D"/>
    <w:rsid w:val="009215A5"/>
    <w:rsid w:val="009215E0"/>
    <w:rsid w:val="0092168B"/>
    <w:rsid w:val="009216AE"/>
    <w:rsid w:val="009216B6"/>
    <w:rsid w:val="009216D0"/>
    <w:rsid w:val="00921709"/>
    <w:rsid w:val="00921758"/>
    <w:rsid w:val="009217FE"/>
    <w:rsid w:val="00921856"/>
    <w:rsid w:val="00921873"/>
    <w:rsid w:val="009218EB"/>
    <w:rsid w:val="00921938"/>
    <w:rsid w:val="009219B4"/>
    <w:rsid w:val="009219E3"/>
    <w:rsid w:val="00921A7C"/>
    <w:rsid w:val="00921A8A"/>
    <w:rsid w:val="00921B1D"/>
    <w:rsid w:val="00921BA4"/>
    <w:rsid w:val="00921C45"/>
    <w:rsid w:val="00921C91"/>
    <w:rsid w:val="00921CDB"/>
    <w:rsid w:val="00921CF7"/>
    <w:rsid w:val="00921D5F"/>
    <w:rsid w:val="00921D86"/>
    <w:rsid w:val="00921D9C"/>
    <w:rsid w:val="00921DD6"/>
    <w:rsid w:val="00921E0B"/>
    <w:rsid w:val="00921E42"/>
    <w:rsid w:val="00921E54"/>
    <w:rsid w:val="00921E5E"/>
    <w:rsid w:val="00921EC3"/>
    <w:rsid w:val="00921F58"/>
    <w:rsid w:val="00921F87"/>
    <w:rsid w:val="00921FE4"/>
    <w:rsid w:val="00922112"/>
    <w:rsid w:val="0092213E"/>
    <w:rsid w:val="0092215B"/>
    <w:rsid w:val="009221F1"/>
    <w:rsid w:val="009221FA"/>
    <w:rsid w:val="00922210"/>
    <w:rsid w:val="00922231"/>
    <w:rsid w:val="00922271"/>
    <w:rsid w:val="0092228F"/>
    <w:rsid w:val="0092229A"/>
    <w:rsid w:val="00922486"/>
    <w:rsid w:val="0092260B"/>
    <w:rsid w:val="0092260E"/>
    <w:rsid w:val="00922622"/>
    <w:rsid w:val="00922647"/>
    <w:rsid w:val="009226C0"/>
    <w:rsid w:val="00922860"/>
    <w:rsid w:val="00922863"/>
    <w:rsid w:val="009228B3"/>
    <w:rsid w:val="009228EE"/>
    <w:rsid w:val="009228F8"/>
    <w:rsid w:val="00922955"/>
    <w:rsid w:val="00922993"/>
    <w:rsid w:val="00922994"/>
    <w:rsid w:val="009229FB"/>
    <w:rsid w:val="00922A17"/>
    <w:rsid w:val="00922A4C"/>
    <w:rsid w:val="00922A70"/>
    <w:rsid w:val="00922A94"/>
    <w:rsid w:val="00922B24"/>
    <w:rsid w:val="00922B2B"/>
    <w:rsid w:val="00922C17"/>
    <w:rsid w:val="00922C40"/>
    <w:rsid w:val="00922C53"/>
    <w:rsid w:val="00922D42"/>
    <w:rsid w:val="00922DE4"/>
    <w:rsid w:val="00922EB4"/>
    <w:rsid w:val="00922EC6"/>
    <w:rsid w:val="00922F0A"/>
    <w:rsid w:val="00922F49"/>
    <w:rsid w:val="00922F61"/>
    <w:rsid w:val="0092300A"/>
    <w:rsid w:val="00923015"/>
    <w:rsid w:val="00923026"/>
    <w:rsid w:val="009231F5"/>
    <w:rsid w:val="00923221"/>
    <w:rsid w:val="00923258"/>
    <w:rsid w:val="009232F8"/>
    <w:rsid w:val="00923305"/>
    <w:rsid w:val="0092333D"/>
    <w:rsid w:val="0092335E"/>
    <w:rsid w:val="0092338D"/>
    <w:rsid w:val="009233C4"/>
    <w:rsid w:val="00923400"/>
    <w:rsid w:val="00923405"/>
    <w:rsid w:val="0092344B"/>
    <w:rsid w:val="00923466"/>
    <w:rsid w:val="0092352D"/>
    <w:rsid w:val="00923532"/>
    <w:rsid w:val="009235CB"/>
    <w:rsid w:val="00923604"/>
    <w:rsid w:val="0092363A"/>
    <w:rsid w:val="0092364A"/>
    <w:rsid w:val="0092366B"/>
    <w:rsid w:val="0092370C"/>
    <w:rsid w:val="00923749"/>
    <w:rsid w:val="00923829"/>
    <w:rsid w:val="0092382D"/>
    <w:rsid w:val="0092389A"/>
    <w:rsid w:val="009238FD"/>
    <w:rsid w:val="00923952"/>
    <w:rsid w:val="009239BF"/>
    <w:rsid w:val="00923A0C"/>
    <w:rsid w:val="00923A2C"/>
    <w:rsid w:val="00923AA7"/>
    <w:rsid w:val="00923ADF"/>
    <w:rsid w:val="00923AF8"/>
    <w:rsid w:val="00923B13"/>
    <w:rsid w:val="00923B28"/>
    <w:rsid w:val="00923BF3"/>
    <w:rsid w:val="00923D1F"/>
    <w:rsid w:val="00923D49"/>
    <w:rsid w:val="00923D56"/>
    <w:rsid w:val="00923DCB"/>
    <w:rsid w:val="00923E02"/>
    <w:rsid w:val="00923E8B"/>
    <w:rsid w:val="00923EDB"/>
    <w:rsid w:val="00923FA1"/>
    <w:rsid w:val="009240E4"/>
    <w:rsid w:val="00924116"/>
    <w:rsid w:val="00924124"/>
    <w:rsid w:val="00924136"/>
    <w:rsid w:val="009241AA"/>
    <w:rsid w:val="009241E3"/>
    <w:rsid w:val="0092425B"/>
    <w:rsid w:val="00924269"/>
    <w:rsid w:val="009243BE"/>
    <w:rsid w:val="009243F8"/>
    <w:rsid w:val="00924437"/>
    <w:rsid w:val="009244D9"/>
    <w:rsid w:val="00924512"/>
    <w:rsid w:val="0092452B"/>
    <w:rsid w:val="0092454C"/>
    <w:rsid w:val="00924596"/>
    <w:rsid w:val="00924674"/>
    <w:rsid w:val="0092468C"/>
    <w:rsid w:val="009246ED"/>
    <w:rsid w:val="009247BA"/>
    <w:rsid w:val="009247C4"/>
    <w:rsid w:val="009247DD"/>
    <w:rsid w:val="009247FB"/>
    <w:rsid w:val="00924812"/>
    <w:rsid w:val="00924821"/>
    <w:rsid w:val="009248F4"/>
    <w:rsid w:val="009248FC"/>
    <w:rsid w:val="00924983"/>
    <w:rsid w:val="009249B5"/>
    <w:rsid w:val="00924A10"/>
    <w:rsid w:val="00924ACC"/>
    <w:rsid w:val="00924AFA"/>
    <w:rsid w:val="00924B98"/>
    <w:rsid w:val="00924BAB"/>
    <w:rsid w:val="00924BFA"/>
    <w:rsid w:val="00924C4F"/>
    <w:rsid w:val="00924C99"/>
    <w:rsid w:val="00924CE6"/>
    <w:rsid w:val="00924D62"/>
    <w:rsid w:val="00924DD4"/>
    <w:rsid w:val="00924E48"/>
    <w:rsid w:val="00924EB2"/>
    <w:rsid w:val="00924EDC"/>
    <w:rsid w:val="00924FC7"/>
    <w:rsid w:val="00924FF2"/>
    <w:rsid w:val="00925000"/>
    <w:rsid w:val="00925038"/>
    <w:rsid w:val="00925101"/>
    <w:rsid w:val="00925149"/>
    <w:rsid w:val="00925176"/>
    <w:rsid w:val="00925227"/>
    <w:rsid w:val="0092528A"/>
    <w:rsid w:val="009252D0"/>
    <w:rsid w:val="009252D7"/>
    <w:rsid w:val="00925305"/>
    <w:rsid w:val="00925383"/>
    <w:rsid w:val="009253A9"/>
    <w:rsid w:val="009253B6"/>
    <w:rsid w:val="0092540F"/>
    <w:rsid w:val="00925421"/>
    <w:rsid w:val="0092545E"/>
    <w:rsid w:val="0092548E"/>
    <w:rsid w:val="00925545"/>
    <w:rsid w:val="0092555B"/>
    <w:rsid w:val="0092557C"/>
    <w:rsid w:val="0092561D"/>
    <w:rsid w:val="00925668"/>
    <w:rsid w:val="0092567F"/>
    <w:rsid w:val="0092569E"/>
    <w:rsid w:val="009256BE"/>
    <w:rsid w:val="0092573A"/>
    <w:rsid w:val="009257C5"/>
    <w:rsid w:val="009257DD"/>
    <w:rsid w:val="00925853"/>
    <w:rsid w:val="009258B0"/>
    <w:rsid w:val="009258C8"/>
    <w:rsid w:val="009258D2"/>
    <w:rsid w:val="009258E4"/>
    <w:rsid w:val="009258FC"/>
    <w:rsid w:val="00925927"/>
    <w:rsid w:val="0092594B"/>
    <w:rsid w:val="009259BD"/>
    <w:rsid w:val="009259C3"/>
    <w:rsid w:val="009259F2"/>
    <w:rsid w:val="00925A2D"/>
    <w:rsid w:val="00925A33"/>
    <w:rsid w:val="00925A6A"/>
    <w:rsid w:val="00925AA8"/>
    <w:rsid w:val="00925B27"/>
    <w:rsid w:val="00925C01"/>
    <w:rsid w:val="00925C40"/>
    <w:rsid w:val="00925D5F"/>
    <w:rsid w:val="00925DCE"/>
    <w:rsid w:val="00925DF9"/>
    <w:rsid w:val="00925E31"/>
    <w:rsid w:val="00925E43"/>
    <w:rsid w:val="00925E74"/>
    <w:rsid w:val="00925E97"/>
    <w:rsid w:val="00925EF4"/>
    <w:rsid w:val="00925F0B"/>
    <w:rsid w:val="00925F27"/>
    <w:rsid w:val="00925F3A"/>
    <w:rsid w:val="00925F3F"/>
    <w:rsid w:val="00925F9F"/>
    <w:rsid w:val="00925FB4"/>
    <w:rsid w:val="0092601E"/>
    <w:rsid w:val="00926056"/>
    <w:rsid w:val="0092608A"/>
    <w:rsid w:val="009260C0"/>
    <w:rsid w:val="00926119"/>
    <w:rsid w:val="0092611B"/>
    <w:rsid w:val="0092614C"/>
    <w:rsid w:val="00926175"/>
    <w:rsid w:val="0092617E"/>
    <w:rsid w:val="009261FC"/>
    <w:rsid w:val="00926257"/>
    <w:rsid w:val="0092625F"/>
    <w:rsid w:val="0092627C"/>
    <w:rsid w:val="00926293"/>
    <w:rsid w:val="009262CC"/>
    <w:rsid w:val="00926305"/>
    <w:rsid w:val="0092632B"/>
    <w:rsid w:val="009263BD"/>
    <w:rsid w:val="009263C9"/>
    <w:rsid w:val="009263D3"/>
    <w:rsid w:val="009263D6"/>
    <w:rsid w:val="0092641C"/>
    <w:rsid w:val="009264B4"/>
    <w:rsid w:val="00926500"/>
    <w:rsid w:val="00926565"/>
    <w:rsid w:val="00926597"/>
    <w:rsid w:val="00926628"/>
    <w:rsid w:val="0092662E"/>
    <w:rsid w:val="00926639"/>
    <w:rsid w:val="0092663B"/>
    <w:rsid w:val="009267D5"/>
    <w:rsid w:val="0092680D"/>
    <w:rsid w:val="00926831"/>
    <w:rsid w:val="00926886"/>
    <w:rsid w:val="009268A1"/>
    <w:rsid w:val="009268AA"/>
    <w:rsid w:val="009268BC"/>
    <w:rsid w:val="00926934"/>
    <w:rsid w:val="00926A3E"/>
    <w:rsid w:val="00926A70"/>
    <w:rsid w:val="00926BAE"/>
    <w:rsid w:val="00926C27"/>
    <w:rsid w:val="00926C7D"/>
    <w:rsid w:val="00926C7F"/>
    <w:rsid w:val="00926C92"/>
    <w:rsid w:val="00926D82"/>
    <w:rsid w:val="00926D99"/>
    <w:rsid w:val="00926DCC"/>
    <w:rsid w:val="00926DD0"/>
    <w:rsid w:val="00926DE9"/>
    <w:rsid w:val="00926E0E"/>
    <w:rsid w:val="00926E18"/>
    <w:rsid w:val="00926E36"/>
    <w:rsid w:val="00926F13"/>
    <w:rsid w:val="00926F59"/>
    <w:rsid w:val="00926F5D"/>
    <w:rsid w:val="00926F65"/>
    <w:rsid w:val="00926F9A"/>
    <w:rsid w:val="00926FDA"/>
    <w:rsid w:val="0092700C"/>
    <w:rsid w:val="00927014"/>
    <w:rsid w:val="009270DC"/>
    <w:rsid w:val="009270E2"/>
    <w:rsid w:val="009271DD"/>
    <w:rsid w:val="009271F8"/>
    <w:rsid w:val="00927272"/>
    <w:rsid w:val="00927287"/>
    <w:rsid w:val="00927338"/>
    <w:rsid w:val="00927418"/>
    <w:rsid w:val="009274DF"/>
    <w:rsid w:val="009274EC"/>
    <w:rsid w:val="0092759F"/>
    <w:rsid w:val="009275E0"/>
    <w:rsid w:val="0092760B"/>
    <w:rsid w:val="00927677"/>
    <w:rsid w:val="009276C5"/>
    <w:rsid w:val="00927779"/>
    <w:rsid w:val="009277B3"/>
    <w:rsid w:val="009277E2"/>
    <w:rsid w:val="0092789D"/>
    <w:rsid w:val="009278B6"/>
    <w:rsid w:val="0092799C"/>
    <w:rsid w:val="009279A6"/>
    <w:rsid w:val="00927B32"/>
    <w:rsid w:val="00927B48"/>
    <w:rsid w:val="00927B5C"/>
    <w:rsid w:val="00927B83"/>
    <w:rsid w:val="00927B8E"/>
    <w:rsid w:val="00927BAC"/>
    <w:rsid w:val="00927C6D"/>
    <w:rsid w:val="00927CB7"/>
    <w:rsid w:val="00927CF8"/>
    <w:rsid w:val="00927D0E"/>
    <w:rsid w:val="00927D64"/>
    <w:rsid w:val="00927D71"/>
    <w:rsid w:val="00927D93"/>
    <w:rsid w:val="00927DCE"/>
    <w:rsid w:val="00927DD5"/>
    <w:rsid w:val="00927DE2"/>
    <w:rsid w:val="00927E37"/>
    <w:rsid w:val="00927E58"/>
    <w:rsid w:val="00927EAA"/>
    <w:rsid w:val="00927F34"/>
    <w:rsid w:val="00927FCC"/>
    <w:rsid w:val="0093001E"/>
    <w:rsid w:val="0093005B"/>
    <w:rsid w:val="00930078"/>
    <w:rsid w:val="009300C2"/>
    <w:rsid w:val="009301C8"/>
    <w:rsid w:val="00930204"/>
    <w:rsid w:val="009302A3"/>
    <w:rsid w:val="009302AE"/>
    <w:rsid w:val="009302F8"/>
    <w:rsid w:val="00930329"/>
    <w:rsid w:val="00930395"/>
    <w:rsid w:val="009303FA"/>
    <w:rsid w:val="009304A7"/>
    <w:rsid w:val="009304DC"/>
    <w:rsid w:val="009304EC"/>
    <w:rsid w:val="0093063C"/>
    <w:rsid w:val="0093063D"/>
    <w:rsid w:val="00930824"/>
    <w:rsid w:val="0093083B"/>
    <w:rsid w:val="0093092F"/>
    <w:rsid w:val="00930996"/>
    <w:rsid w:val="009309BE"/>
    <w:rsid w:val="00930A8A"/>
    <w:rsid w:val="00930ADB"/>
    <w:rsid w:val="00930B7D"/>
    <w:rsid w:val="00930B93"/>
    <w:rsid w:val="00930B95"/>
    <w:rsid w:val="00930BB0"/>
    <w:rsid w:val="00930C0A"/>
    <w:rsid w:val="00930CA1"/>
    <w:rsid w:val="00930D03"/>
    <w:rsid w:val="00930D1D"/>
    <w:rsid w:val="00930D38"/>
    <w:rsid w:val="00930D9C"/>
    <w:rsid w:val="00930DA5"/>
    <w:rsid w:val="00930DB3"/>
    <w:rsid w:val="00930E37"/>
    <w:rsid w:val="00930E97"/>
    <w:rsid w:val="00930F60"/>
    <w:rsid w:val="00930FC2"/>
    <w:rsid w:val="0093100B"/>
    <w:rsid w:val="0093100D"/>
    <w:rsid w:val="00931017"/>
    <w:rsid w:val="00931031"/>
    <w:rsid w:val="00931040"/>
    <w:rsid w:val="00931068"/>
    <w:rsid w:val="00931081"/>
    <w:rsid w:val="009310D2"/>
    <w:rsid w:val="009310E6"/>
    <w:rsid w:val="009310FD"/>
    <w:rsid w:val="00931108"/>
    <w:rsid w:val="00931119"/>
    <w:rsid w:val="0093112C"/>
    <w:rsid w:val="00931151"/>
    <w:rsid w:val="00931167"/>
    <w:rsid w:val="009311B0"/>
    <w:rsid w:val="00931270"/>
    <w:rsid w:val="00931278"/>
    <w:rsid w:val="0093127F"/>
    <w:rsid w:val="0093128E"/>
    <w:rsid w:val="00931294"/>
    <w:rsid w:val="00931323"/>
    <w:rsid w:val="009313A9"/>
    <w:rsid w:val="009313EC"/>
    <w:rsid w:val="0093149F"/>
    <w:rsid w:val="00931515"/>
    <w:rsid w:val="00931617"/>
    <w:rsid w:val="0093164E"/>
    <w:rsid w:val="009316C8"/>
    <w:rsid w:val="009317D5"/>
    <w:rsid w:val="00931812"/>
    <w:rsid w:val="00931820"/>
    <w:rsid w:val="0093184F"/>
    <w:rsid w:val="00931873"/>
    <w:rsid w:val="00931876"/>
    <w:rsid w:val="0093189E"/>
    <w:rsid w:val="009318B5"/>
    <w:rsid w:val="009319FD"/>
    <w:rsid w:val="00931A21"/>
    <w:rsid w:val="00931A29"/>
    <w:rsid w:val="00931A59"/>
    <w:rsid w:val="00931A6A"/>
    <w:rsid w:val="00931ABE"/>
    <w:rsid w:val="00931AE2"/>
    <w:rsid w:val="00931B5E"/>
    <w:rsid w:val="00931BAB"/>
    <w:rsid w:val="00931C56"/>
    <w:rsid w:val="00931C70"/>
    <w:rsid w:val="00931C76"/>
    <w:rsid w:val="00931C7D"/>
    <w:rsid w:val="00931CC1"/>
    <w:rsid w:val="00931CF8"/>
    <w:rsid w:val="00931D05"/>
    <w:rsid w:val="00931D49"/>
    <w:rsid w:val="00931DD3"/>
    <w:rsid w:val="00931E82"/>
    <w:rsid w:val="00931E9F"/>
    <w:rsid w:val="00931F7F"/>
    <w:rsid w:val="00931FA7"/>
    <w:rsid w:val="00932055"/>
    <w:rsid w:val="009320DC"/>
    <w:rsid w:val="009320E2"/>
    <w:rsid w:val="00932102"/>
    <w:rsid w:val="0093210E"/>
    <w:rsid w:val="00932160"/>
    <w:rsid w:val="0093222B"/>
    <w:rsid w:val="0093222E"/>
    <w:rsid w:val="009322AB"/>
    <w:rsid w:val="0093236F"/>
    <w:rsid w:val="0093243E"/>
    <w:rsid w:val="0093245F"/>
    <w:rsid w:val="00932461"/>
    <w:rsid w:val="009324BD"/>
    <w:rsid w:val="00932551"/>
    <w:rsid w:val="00932561"/>
    <w:rsid w:val="009325AC"/>
    <w:rsid w:val="009325E1"/>
    <w:rsid w:val="009325FD"/>
    <w:rsid w:val="0093265E"/>
    <w:rsid w:val="009326A9"/>
    <w:rsid w:val="0093278A"/>
    <w:rsid w:val="009328E4"/>
    <w:rsid w:val="009328FF"/>
    <w:rsid w:val="00932990"/>
    <w:rsid w:val="0093299A"/>
    <w:rsid w:val="00932A1F"/>
    <w:rsid w:val="00932B8F"/>
    <w:rsid w:val="00932BB2"/>
    <w:rsid w:val="00932C05"/>
    <w:rsid w:val="00932C6A"/>
    <w:rsid w:val="00932C6F"/>
    <w:rsid w:val="00932C83"/>
    <w:rsid w:val="00932CF0"/>
    <w:rsid w:val="00932CFF"/>
    <w:rsid w:val="00932D0C"/>
    <w:rsid w:val="00932D56"/>
    <w:rsid w:val="00932DA6"/>
    <w:rsid w:val="00932EA9"/>
    <w:rsid w:val="00932EB1"/>
    <w:rsid w:val="00932ED1"/>
    <w:rsid w:val="00932F09"/>
    <w:rsid w:val="00932F71"/>
    <w:rsid w:val="00932FBD"/>
    <w:rsid w:val="00933065"/>
    <w:rsid w:val="00933093"/>
    <w:rsid w:val="009330E7"/>
    <w:rsid w:val="009331E1"/>
    <w:rsid w:val="009331EE"/>
    <w:rsid w:val="00933272"/>
    <w:rsid w:val="009332D3"/>
    <w:rsid w:val="0093332E"/>
    <w:rsid w:val="00933346"/>
    <w:rsid w:val="00933366"/>
    <w:rsid w:val="0093337D"/>
    <w:rsid w:val="0093339C"/>
    <w:rsid w:val="009333AD"/>
    <w:rsid w:val="009333AF"/>
    <w:rsid w:val="009333E7"/>
    <w:rsid w:val="0093342F"/>
    <w:rsid w:val="00933444"/>
    <w:rsid w:val="00933488"/>
    <w:rsid w:val="009334A6"/>
    <w:rsid w:val="009334C5"/>
    <w:rsid w:val="0093350D"/>
    <w:rsid w:val="00933522"/>
    <w:rsid w:val="009335D9"/>
    <w:rsid w:val="00933611"/>
    <w:rsid w:val="00933616"/>
    <w:rsid w:val="00933653"/>
    <w:rsid w:val="009336B6"/>
    <w:rsid w:val="009336C8"/>
    <w:rsid w:val="009337A5"/>
    <w:rsid w:val="009338CA"/>
    <w:rsid w:val="00933933"/>
    <w:rsid w:val="0093395A"/>
    <w:rsid w:val="00933961"/>
    <w:rsid w:val="00933A31"/>
    <w:rsid w:val="00933A5F"/>
    <w:rsid w:val="00933B1D"/>
    <w:rsid w:val="00933B7E"/>
    <w:rsid w:val="00933BA4"/>
    <w:rsid w:val="00933BA6"/>
    <w:rsid w:val="00933BD3"/>
    <w:rsid w:val="00933CA3"/>
    <w:rsid w:val="00933D56"/>
    <w:rsid w:val="00933DD1"/>
    <w:rsid w:val="00933DF4"/>
    <w:rsid w:val="00933DF6"/>
    <w:rsid w:val="00933E34"/>
    <w:rsid w:val="00933E4E"/>
    <w:rsid w:val="00933E53"/>
    <w:rsid w:val="00933F2D"/>
    <w:rsid w:val="00933F5B"/>
    <w:rsid w:val="00933F68"/>
    <w:rsid w:val="00933FE6"/>
    <w:rsid w:val="00934011"/>
    <w:rsid w:val="00934015"/>
    <w:rsid w:val="00934057"/>
    <w:rsid w:val="00934092"/>
    <w:rsid w:val="009340A3"/>
    <w:rsid w:val="009340A4"/>
    <w:rsid w:val="0093415B"/>
    <w:rsid w:val="009341E1"/>
    <w:rsid w:val="009342E8"/>
    <w:rsid w:val="0093435E"/>
    <w:rsid w:val="009343C5"/>
    <w:rsid w:val="009343D0"/>
    <w:rsid w:val="009343D6"/>
    <w:rsid w:val="00934448"/>
    <w:rsid w:val="00934516"/>
    <w:rsid w:val="00934570"/>
    <w:rsid w:val="00934582"/>
    <w:rsid w:val="009346B6"/>
    <w:rsid w:val="00934707"/>
    <w:rsid w:val="00934784"/>
    <w:rsid w:val="009347D0"/>
    <w:rsid w:val="0093496C"/>
    <w:rsid w:val="0093499F"/>
    <w:rsid w:val="00934A2A"/>
    <w:rsid w:val="00934A70"/>
    <w:rsid w:val="00934AA8"/>
    <w:rsid w:val="00934BA5"/>
    <w:rsid w:val="00934BBA"/>
    <w:rsid w:val="00934BCE"/>
    <w:rsid w:val="00934C0B"/>
    <w:rsid w:val="00934C2F"/>
    <w:rsid w:val="00934C68"/>
    <w:rsid w:val="00934C93"/>
    <w:rsid w:val="00934CBD"/>
    <w:rsid w:val="00934D6C"/>
    <w:rsid w:val="00934DAB"/>
    <w:rsid w:val="00934DC1"/>
    <w:rsid w:val="00934DD2"/>
    <w:rsid w:val="00934E1A"/>
    <w:rsid w:val="00934F25"/>
    <w:rsid w:val="00934F4E"/>
    <w:rsid w:val="009350FC"/>
    <w:rsid w:val="00935104"/>
    <w:rsid w:val="0093512B"/>
    <w:rsid w:val="009351C7"/>
    <w:rsid w:val="009351CF"/>
    <w:rsid w:val="009351F9"/>
    <w:rsid w:val="00935252"/>
    <w:rsid w:val="0093537F"/>
    <w:rsid w:val="00935387"/>
    <w:rsid w:val="009353B7"/>
    <w:rsid w:val="009353D8"/>
    <w:rsid w:val="00935439"/>
    <w:rsid w:val="009354EF"/>
    <w:rsid w:val="0093552A"/>
    <w:rsid w:val="009355F8"/>
    <w:rsid w:val="00935626"/>
    <w:rsid w:val="0093565E"/>
    <w:rsid w:val="0093567B"/>
    <w:rsid w:val="009356CC"/>
    <w:rsid w:val="00935745"/>
    <w:rsid w:val="009357C9"/>
    <w:rsid w:val="009357E7"/>
    <w:rsid w:val="00935831"/>
    <w:rsid w:val="00935862"/>
    <w:rsid w:val="0093587F"/>
    <w:rsid w:val="009359E2"/>
    <w:rsid w:val="009359E6"/>
    <w:rsid w:val="009359E7"/>
    <w:rsid w:val="00935AA7"/>
    <w:rsid w:val="00935B45"/>
    <w:rsid w:val="00935BA9"/>
    <w:rsid w:val="00935BC5"/>
    <w:rsid w:val="00935CE7"/>
    <w:rsid w:val="00935CF0"/>
    <w:rsid w:val="00935D58"/>
    <w:rsid w:val="00935DC0"/>
    <w:rsid w:val="00935DC3"/>
    <w:rsid w:val="00935E9C"/>
    <w:rsid w:val="00935ED7"/>
    <w:rsid w:val="00935FD3"/>
    <w:rsid w:val="00935FF1"/>
    <w:rsid w:val="0093601C"/>
    <w:rsid w:val="00936108"/>
    <w:rsid w:val="00936109"/>
    <w:rsid w:val="0093612D"/>
    <w:rsid w:val="009361A6"/>
    <w:rsid w:val="009361B3"/>
    <w:rsid w:val="0093620A"/>
    <w:rsid w:val="00936210"/>
    <w:rsid w:val="00936279"/>
    <w:rsid w:val="0093629C"/>
    <w:rsid w:val="009362C0"/>
    <w:rsid w:val="009362E6"/>
    <w:rsid w:val="00936309"/>
    <w:rsid w:val="00936320"/>
    <w:rsid w:val="00936323"/>
    <w:rsid w:val="00936378"/>
    <w:rsid w:val="0093638C"/>
    <w:rsid w:val="009363BE"/>
    <w:rsid w:val="0093643D"/>
    <w:rsid w:val="0093644F"/>
    <w:rsid w:val="00936484"/>
    <w:rsid w:val="009364A2"/>
    <w:rsid w:val="009364B2"/>
    <w:rsid w:val="009364CB"/>
    <w:rsid w:val="0093654B"/>
    <w:rsid w:val="0093663F"/>
    <w:rsid w:val="0093668D"/>
    <w:rsid w:val="00936698"/>
    <w:rsid w:val="0093669F"/>
    <w:rsid w:val="009366B6"/>
    <w:rsid w:val="009366BB"/>
    <w:rsid w:val="009366DE"/>
    <w:rsid w:val="00936743"/>
    <w:rsid w:val="00936747"/>
    <w:rsid w:val="00936778"/>
    <w:rsid w:val="009367CF"/>
    <w:rsid w:val="0093681C"/>
    <w:rsid w:val="00936840"/>
    <w:rsid w:val="00936872"/>
    <w:rsid w:val="00936893"/>
    <w:rsid w:val="009369DD"/>
    <w:rsid w:val="00936ADD"/>
    <w:rsid w:val="00936B12"/>
    <w:rsid w:val="00936C24"/>
    <w:rsid w:val="00936C43"/>
    <w:rsid w:val="00936CFE"/>
    <w:rsid w:val="00936D41"/>
    <w:rsid w:val="00936D5C"/>
    <w:rsid w:val="00936D63"/>
    <w:rsid w:val="00936D7A"/>
    <w:rsid w:val="00936E1F"/>
    <w:rsid w:val="00936EDB"/>
    <w:rsid w:val="00936F07"/>
    <w:rsid w:val="00936FB1"/>
    <w:rsid w:val="00936FDA"/>
    <w:rsid w:val="00936FFA"/>
    <w:rsid w:val="00937049"/>
    <w:rsid w:val="0093706A"/>
    <w:rsid w:val="00937086"/>
    <w:rsid w:val="0093711F"/>
    <w:rsid w:val="00937137"/>
    <w:rsid w:val="00937171"/>
    <w:rsid w:val="009371C4"/>
    <w:rsid w:val="0093722A"/>
    <w:rsid w:val="00937264"/>
    <w:rsid w:val="009373BC"/>
    <w:rsid w:val="00937574"/>
    <w:rsid w:val="00937680"/>
    <w:rsid w:val="009376CA"/>
    <w:rsid w:val="00937717"/>
    <w:rsid w:val="00937739"/>
    <w:rsid w:val="00937797"/>
    <w:rsid w:val="009377EE"/>
    <w:rsid w:val="00937834"/>
    <w:rsid w:val="00937877"/>
    <w:rsid w:val="00937885"/>
    <w:rsid w:val="009378A6"/>
    <w:rsid w:val="0093791A"/>
    <w:rsid w:val="0093796D"/>
    <w:rsid w:val="00937984"/>
    <w:rsid w:val="009379CD"/>
    <w:rsid w:val="009379E7"/>
    <w:rsid w:val="009379F9"/>
    <w:rsid w:val="00937A5A"/>
    <w:rsid w:val="00937AD9"/>
    <w:rsid w:val="00937B23"/>
    <w:rsid w:val="00937B64"/>
    <w:rsid w:val="00937B75"/>
    <w:rsid w:val="00937BA0"/>
    <w:rsid w:val="00937BA8"/>
    <w:rsid w:val="00937BAC"/>
    <w:rsid w:val="00937C16"/>
    <w:rsid w:val="00937C92"/>
    <w:rsid w:val="00937C9E"/>
    <w:rsid w:val="00937CAD"/>
    <w:rsid w:val="00937CCB"/>
    <w:rsid w:val="00937D23"/>
    <w:rsid w:val="00937DB8"/>
    <w:rsid w:val="00937DDC"/>
    <w:rsid w:val="00937E34"/>
    <w:rsid w:val="00937E55"/>
    <w:rsid w:val="00937E64"/>
    <w:rsid w:val="00937E7D"/>
    <w:rsid w:val="00937F3B"/>
    <w:rsid w:val="00937FAA"/>
    <w:rsid w:val="00937FAF"/>
    <w:rsid w:val="00937FCD"/>
    <w:rsid w:val="0094002C"/>
    <w:rsid w:val="00940054"/>
    <w:rsid w:val="009400FC"/>
    <w:rsid w:val="00940145"/>
    <w:rsid w:val="00940160"/>
    <w:rsid w:val="00940186"/>
    <w:rsid w:val="00940191"/>
    <w:rsid w:val="0094029F"/>
    <w:rsid w:val="009402C4"/>
    <w:rsid w:val="0094031E"/>
    <w:rsid w:val="00940360"/>
    <w:rsid w:val="00940361"/>
    <w:rsid w:val="00940393"/>
    <w:rsid w:val="009403A5"/>
    <w:rsid w:val="009403E3"/>
    <w:rsid w:val="009403F8"/>
    <w:rsid w:val="00940485"/>
    <w:rsid w:val="009404C7"/>
    <w:rsid w:val="0094052E"/>
    <w:rsid w:val="00940601"/>
    <w:rsid w:val="00940605"/>
    <w:rsid w:val="009406A9"/>
    <w:rsid w:val="009406F4"/>
    <w:rsid w:val="0094078C"/>
    <w:rsid w:val="0094078D"/>
    <w:rsid w:val="009407CA"/>
    <w:rsid w:val="009407EE"/>
    <w:rsid w:val="0094087F"/>
    <w:rsid w:val="009408B2"/>
    <w:rsid w:val="009408DE"/>
    <w:rsid w:val="00940A10"/>
    <w:rsid w:val="00940A59"/>
    <w:rsid w:val="00940A5F"/>
    <w:rsid w:val="00940A74"/>
    <w:rsid w:val="00940B64"/>
    <w:rsid w:val="00940DED"/>
    <w:rsid w:val="00940E52"/>
    <w:rsid w:val="00940F13"/>
    <w:rsid w:val="00940F47"/>
    <w:rsid w:val="00940F9F"/>
    <w:rsid w:val="00940FAF"/>
    <w:rsid w:val="0094102E"/>
    <w:rsid w:val="0094103E"/>
    <w:rsid w:val="00941097"/>
    <w:rsid w:val="009410BA"/>
    <w:rsid w:val="00941118"/>
    <w:rsid w:val="00941122"/>
    <w:rsid w:val="00941159"/>
    <w:rsid w:val="0094116D"/>
    <w:rsid w:val="009411CD"/>
    <w:rsid w:val="009412CA"/>
    <w:rsid w:val="0094131D"/>
    <w:rsid w:val="0094132A"/>
    <w:rsid w:val="00941356"/>
    <w:rsid w:val="0094135F"/>
    <w:rsid w:val="00941370"/>
    <w:rsid w:val="009413A2"/>
    <w:rsid w:val="009413FE"/>
    <w:rsid w:val="0094145F"/>
    <w:rsid w:val="0094146C"/>
    <w:rsid w:val="00941552"/>
    <w:rsid w:val="009415AC"/>
    <w:rsid w:val="0094167E"/>
    <w:rsid w:val="00941761"/>
    <w:rsid w:val="0094179D"/>
    <w:rsid w:val="009417D0"/>
    <w:rsid w:val="00941802"/>
    <w:rsid w:val="00941835"/>
    <w:rsid w:val="009418AF"/>
    <w:rsid w:val="009418BB"/>
    <w:rsid w:val="0094194B"/>
    <w:rsid w:val="0094197F"/>
    <w:rsid w:val="009419A5"/>
    <w:rsid w:val="00941A40"/>
    <w:rsid w:val="00941B72"/>
    <w:rsid w:val="00941CB5"/>
    <w:rsid w:val="00941CE2"/>
    <w:rsid w:val="00941D2E"/>
    <w:rsid w:val="00941D5D"/>
    <w:rsid w:val="00941DE5"/>
    <w:rsid w:val="00941DE7"/>
    <w:rsid w:val="00941E0C"/>
    <w:rsid w:val="00941F17"/>
    <w:rsid w:val="009420BA"/>
    <w:rsid w:val="00942114"/>
    <w:rsid w:val="00942188"/>
    <w:rsid w:val="009421B0"/>
    <w:rsid w:val="009421B1"/>
    <w:rsid w:val="0094225D"/>
    <w:rsid w:val="00942277"/>
    <w:rsid w:val="00942328"/>
    <w:rsid w:val="0094232A"/>
    <w:rsid w:val="009423A4"/>
    <w:rsid w:val="009423E5"/>
    <w:rsid w:val="00942472"/>
    <w:rsid w:val="00942497"/>
    <w:rsid w:val="00942581"/>
    <w:rsid w:val="0094258D"/>
    <w:rsid w:val="0094258F"/>
    <w:rsid w:val="00942630"/>
    <w:rsid w:val="00942646"/>
    <w:rsid w:val="00942680"/>
    <w:rsid w:val="009426B1"/>
    <w:rsid w:val="0094271A"/>
    <w:rsid w:val="00942730"/>
    <w:rsid w:val="009427A7"/>
    <w:rsid w:val="009427BD"/>
    <w:rsid w:val="00942886"/>
    <w:rsid w:val="009428B4"/>
    <w:rsid w:val="00942945"/>
    <w:rsid w:val="0094297A"/>
    <w:rsid w:val="009429E4"/>
    <w:rsid w:val="00942A12"/>
    <w:rsid w:val="00942A40"/>
    <w:rsid w:val="00942B16"/>
    <w:rsid w:val="00942B22"/>
    <w:rsid w:val="00942BAA"/>
    <w:rsid w:val="00942BBB"/>
    <w:rsid w:val="00942C39"/>
    <w:rsid w:val="00942C50"/>
    <w:rsid w:val="00942D82"/>
    <w:rsid w:val="00942DB0"/>
    <w:rsid w:val="00942DD6"/>
    <w:rsid w:val="00942DEA"/>
    <w:rsid w:val="00942E25"/>
    <w:rsid w:val="00942E6D"/>
    <w:rsid w:val="00942F18"/>
    <w:rsid w:val="00942F61"/>
    <w:rsid w:val="00942FD4"/>
    <w:rsid w:val="0094306B"/>
    <w:rsid w:val="009430C7"/>
    <w:rsid w:val="009430D6"/>
    <w:rsid w:val="009430EE"/>
    <w:rsid w:val="00943142"/>
    <w:rsid w:val="0094319B"/>
    <w:rsid w:val="009431A5"/>
    <w:rsid w:val="009431AE"/>
    <w:rsid w:val="009431EC"/>
    <w:rsid w:val="0094320C"/>
    <w:rsid w:val="0094321A"/>
    <w:rsid w:val="00943254"/>
    <w:rsid w:val="009432B0"/>
    <w:rsid w:val="009432EE"/>
    <w:rsid w:val="0094332C"/>
    <w:rsid w:val="009433FA"/>
    <w:rsid w:val="009433FB"/>
    <w:rsid w:val="0094341E"/>
    <w:rsid w:val="00943425"/>
    <w:rsid w:val="00943470"/>
    <w:rsid w:val="0094347D"/>
    <w:rsid w:val="009434B4"/>
    <w:rsid w:val="009434F2"/>
    <w:rsid w:val="00943504"/>
    <w:rsid w:val="0094350F"/>
    <w:rsid w:val="00943590"/>
    <w:rsid w:val="009435DC"/>
    <w:rsid w:val="009436BB"/>
    <w:rsid w:val="0094374C"/>
    <w:rsid w:val="00943765"/>
    <w:rsid w:val="009437A7"/>
    <w:rsid w:val="009437D6"/>
    <w:rsid w:val="0094390C"/>
    <w:rsid w:val="00943923"/>
    <w:rsid w:val="009439EB"/>
    <w:rsid w:val="00943A14"/>
    <w:rsid w:val="00943B02"/>
    <w:rsid w:val="00943B3C"/>
    <w:rsid w:val="00943B69"/>
    <w:rsid w:val="00943B6D"/>
    <w:rsid w:val="00943BB0"/>
    <w:rsid w:val="00943BD8"/>
    <w:rsid w:val="00943C08"/>
    <w:rsid w:val="00943C48"/>
    <w:rsid w:val="00943C74"/>
    <w:rsid w:val="00943CF5"/>
    <w:rsid w:val="00943DFA"/>
    <w:rsid w:val="00943E1D"/>
    <w:rsid w:val="00943E4A"/>
    <w:rsid w:val="00943E54"/>
    <w:rsid w:val="00943F80"/>
    <w:rsid w:val="00943F92"/>
    <w:rsid w:val="00943FAE"/>
    <w:rsid w:val="00943FBB"/>
    <w:rsid w:val="0094403A"/>
    <w:rsid w:val="0094406C"/>
    <w:rsid w:val="00944095"/>
    <w:rsid w:val="009440C4"/>
    <w:rsid w:val="009440E2"/>
    <w:rsid w:val="00944123"/>
    <w:rsid w:val="00944157"/>
    <w:rsid w:val="009441E0"/>
    <w:rsid w:val="00944210"/>
    <w:rsid w:val="009442D4"/>
    <w:rsid w:val="009442F3"/>
    <w:rsid w:val="00944371"/>
    <w:rsid w:val="009443A5"/>
    <w:rsid w:val="009443EA"/>
    <w:rsid w:val="00944457"/>
    <w:rsid w:val="00944496"/>
    <w:rsid w:val="009444C3"/>
    <w:rsid w:val="009444C6"/>
    <w:rsid w:val="009444D5"/>
    <w:rsid w:val="009444F9"/>
    <w:rsid w:val="0094454E"/>
    <w:rsid w:val="00944552"/>
    <w:rsid w:val="009445CF"/>
    <w:rsid w:val="00944601"/>
    <w:rsid w:val="0094460E"/>
    <w:rsid w:val="0094461F"/>
    <w:rsid w:val="00944627"/>
    <w:rsid w:val="0094463E"/>
    <w:rsid w:val="00944657"/>
    <w:rsid w:val="0094465D"/>
    <w:rsid w:val="00944687"/>
    <w:rsid w:val="009446C6"/>
    <w:rsid w:val="0094472B"/>
    <w:rsid w:val="00944743"/>
    <w:rsid w:val="00944764"/>
    <w:rsid w:val="00944785"/>
    <w:rsid w:val="009447B3"/>
    <w:rsid w:val="009447B7"/>
    <w:rsid w:val="009447C8"/>
    <w:rsid w:val="009447DE"/>
    <w:rsid w:val="00944877"/>
    <w:rsid w:val="009448A9"/>
    <w:rsid w:val="00944902"/>
    <w:rsid w:val="009449BA"/>
    <w:rsid w:val="009449CB"/>
    <w:rsid w:val="00944A25"/>
    <w:rsid w:val="00944A2E"/>
    <w:rsid w:val="00944A4F"/>
    <w:rsid w:val="00944AAC"/>
    <w:rsid w:val="00944B1D"/>
    <w:rsid w:val="00944B1F"/>
    <w:rsid w:val="00944B52"/>
    <w:rsid w:val="00944C34"/>
    <w:rsid w:val="00944CD1"/>
    <w:rsid w:val="00944D38"/>
    <w:rsid w:val="00944D8E"/>
    <w:rsid w:val="00944DA9"/>
    <w:rsid w:val="00944DD8"/>
    <w:rsid w:val="00944DEE"/>
    <w:rsid w:val="00944E2C"/>
    <w:rsid w:val="00944EE5"/>
    <w:rsid w:val="00944F09"/>
    <w:rsid w:val="00944F60"/>
    <w:rsid w:val="00944F6D"/>
    <w:rsid w:val="00944F8E"/>
    <w:rsid w:val="00944FA2"/>
    <w:rsid w:val="0094501E"/>
    <w:rsid w:val="0094502F"/>
    <w:rsid w:val="009450E2"/>
    <w:rsid w:val="00945105"/>
    <w:rsid w:val="00945173"/>
    <w:rsid w:val="0094519F"/>
    <w:rsid w:val="009451CC"/>
    <w:rsid w:val="00945217"/>
    <w:rsid w:val="00945290"/>
    <w:rsid w:val="009452E9"/>
    <w:rsid w:val="00945363"/>
    <w:rsid w:val="00945435"/>
    <w:rsid w:val="0094549D"/>
    <w:rsid w:val="009455B5"/>
    <w:rsid w:val="009455DF"/>
    <w:rsid w:val="0094561A"/>
    <w:rsid w:val="009456BB"/>
    <w:rsid w:val="009457F6"/>
    <w:rsid w:val="0094588B"/>
    <w:rsid w:val="009458A6"/>
    <w:rsid w:val="009458CF"/>
    <w:rsid w:val="0094598C"/>
    <w:rsid w:val="0094599C"/>
    <w:rsid w:val="009459E4"/>
    <w:rsid w:val="009459E5"/>
    <w:rsid w:val="00945A03"/>
    <w:rsid w:val="00945A1A"/>
    <w:rsid w:val="00945A32"/>
    <w:rsid w:val="00945A70"/>
    <w:rsid w:val="00945A76"/>
    <w:rsid w:val="00945B2D"/>
    <w:rsid w:val="00945B81"/>
    <w:rsid w:val="00945BB0"/>
    <w:rsid w:val="00945BE7"/>
    <w:rsid w:val="00945C09"/>
    <w:rsid w:val="00945C0E"/>
    <w:rsid w:val="00945C32"/>
    <w:rsid w:val="00945C65"/>
    <w:rsid w:val="00945C7A"/>
    <w:rsid w:val="00945D24"/>
    <w:rsid w:val="00945DED"/>
    <w:rsid w:val="00945E01"/>
    <w:rsid w:val="00945E59"/>
    <w:rsid w:val="00945E67"/>
    <w:rsid w:val="00945E6F"/>
    <w:rsid w:val="00945E79"/>
    <w:rsid w:val="00945E7B"/>
    <w:rsid w:val="00945EA3"/>
    <w:rsid w:val="00945F5E"/>
    <w:rsid w:val="00945FFE"/>
    <w:rsid w:val="00946034"/>
    <w:rsid w:val="009460BB"/>
    <w:rsid w:val="009460D9"/>
    <w:rsid w:val="00946119"/>
    <w:rsid w:val="00946137"/>
    <w:rsid w:val="00946173"/>
    <w:rsid w:val="00946176"/>
    <w:rsid w:val="009461BD"/>
    <w:rsid w:val="009461C4"/>
    <w:rsid w:val="009461E2"/>
    <w:rsid w:val="009462B1"/>
    <w:rsid w:val="009462BF"/>
    <w:rsid w:val="00946362"/>
    <w:rsid w:val="0094637A"/>
    <w:rsid w:val="009464A3"/>
    <w:rsid w:val="009465BA"/>
    <w:rsid w:val="009465C6"/>
    <w:rsid w:val="009465DB"/>
    <w:rsid w:val="009465E9"/>
    <w:rsid w:val="00946644"/>
    <w:rsid w:val="00946655"/>
    <w:rsid w:val="00946673"/>
    <w:rsid w:val="00946690"/>
    <w:rsid w:val="009466A3"/>
    <w:rsid w:val="00946752"/>
    <w:rsid w:val="0094675C"/>
    <w:rsid w:val="00946791"/>
    <w:rsid w:val="009467BE"/>
    <w:rsid w:val="009467E2"/>
    <w:rsid w:val="009467F9"/>
    <w:rsid w:val="00946823"/>
    <w:rsid w:val="0094683F"/>
    <w:rsid w:val="0094684E"/>
    <w:rsid w:val="009468E7"/>
    <w:rsid w:val="0094697A"/>
    <w:rsid w:val="009469CB"/>
    <w:rsid w:val="00946A0A"/>
    <w:rsid w:val="00946A18"/>
    <w:rsid w:val="00946A52"/>
    <w:rsid w:val="00946B5A"/>
    <w:rsid w:val="00946B8C"/>
    <w:rsid w:val="00946BAA"/>
    <w:rsid w:val="00946BC3"/>
    <w:rsid w:val="00946C33"/>
    <w:rsid w:val="00946C55"/>
    <w:rsid w:val="00946CCE"/>
    <w:rsid w:val="00946CF2"/>
    <w:rsid w:val="00946D0A"/>
    <w:rsid w:val="00946D5C"/>
    <w:rsid w:val="00946D64"/>
    <w:rsid w:val="00946D81"/>
    <w:rsid w:val="00946DBA"/>
    <w:rsid w:val="00946E76"/>
    <w:rsid w:val="00946EA1"/>
    <w:rsid w:val="00946EBB"/>
    <w:rsid w:val="00946EBE"/>
    <w:rsid w:val="00946EC8"/>
    <w:rsid w:val="00946EEB"/>
    <w:rsid w:val="00946F23"/>
    <w:rsid w:val="00946F91"/>
    <w:rsid w:val="00946F96"/>
    <w:rsid w:val="00946FFF"/>
    <w:rsid w:val="00947040"/>
    <w:rsid w:val="0094710E"/>
    <w:rsid w:val="00947142"/>
    <w:rsid w:val="0094719F"/>
    <w:rsid w:val="009472AE"/>
    <w:rsid w:val="009472EF"/>
    <w:rsid w:val="00947423"/>
    <w:rsid w:val="00947469"/>
    <w:rsid w:val="0094746E"/>
    <w:rsid w:val="00947476"/>
    <w:rsid w:val="00947526"/>
    <w:rsid w:val="0094755B"/>
    <w:rsid w:val="009475E8"/>
    <w:rsid w:val="009476E1"/>
    <w:rsid w:val="00947702"/>
    <w:rsid w:val="00947789"/>
    <w:rsid w:val="0094778E"/>
    <w:rsid w:val="009477AE"/>
    <w:rsid w:val="0094780E"/>
    <w:rsid w:val="0094783F"/>
    <w:rsid w:val="009478D5"/>
    <w:rsid w:val="00947994"/>
    <w:rsid w:val="0094799F"/>
    <w:rsid w:val="009479AB"/>
    <w:rsid w:val="00947A88"/>
    <w:rsid w:val="00947A8E"/>
    <w:rsid w:val="00947AC8"/>
    <w:rsid w:val="00947BCB"/>
    <w:rsid w:val="00947BFD"/>
    <w:rsid w:val="00947CBC"/>
    <w:rsid w:val="00947CEF"/>
    <w:rsid w:val="00947D1D"/>
    <w:rsid w:val="00947D78"/>
    <w:rsid w:val="00947DEF"/>
    <w:rsid w:val="00947E21"/>
    <w:rsid w:val="00947E6C"/>
    <w:rsid w:val="00947E77"/>
    <w:rsid w:val="00947EC7"/>
    <w:rsid w:val="00947ED0"/>
    <w:rsid w:val="00947F08"/>
    <w:rsid w:val="00947F8A"/>
    <w:rsid w:val="00950028"/>
    <w:rsid w:val="0095003E"/>
    <w:rsid w:val="00950069"/>
    <w:rsid w:val="00950072"/>
    <w:rsid w:val="00950084"/>
    <w:rsid w:val="009500F0"/>
    <w:rsid w:val="00950115"/>
    <w:rsid w:val="0095011D"/>
    <w:rsid w:val="00950183"/>
    <w:rsid w:val="00950272"/>
    <w:rsid w:val="00950363"/>
    <w:rsid w:val="00950367"/>
    <w:rsid w:val="00950401"/>
    <w:rsid w:val="00950411"/>
    <w:rsid w:val="00950475"/>
    <w:rsid w:val="009504DD"/>
    <w:rsid w:val="009504FB"/>
    <w:rsid w:val="0095051A"/>
    <w:rsid w:val="00950554"/>
    <w:rsid w:val="00950562"/>
    <w:rsid w:val="00950627"/>
    <w:rsid w:val="00950669"/>
    <w:rsid w:val="0095074A"/>
    <w:rsid w:val="00950786"/>
    <w:rsid w:val="00950797"/>
    <w:rsid w:val="00950808"/>
    <w:rsid w:val="00950838"/>
    <w:rsid w:val="0095092A"/>
    <w:rsid w:val="0095096E"/>
    <w:rsid w:val="00950986"/>
    <w:rsid w:val="0095098D"/>
    <w:rsid w:val="00950A6E"/>
    <w:rsid w:val="00950B3B"/>
    <w:rsid w:val="00950B55"/>
    <w:rsid w:val="00950B6E"/>
    <w:rsid w:val="00950BD1"/>
    <w:rsid w:val="00950C0D"/>
    <w:rsid w:val="00950C58"/>
    <w:rsid w:val="00950C66"/>
    <w:rsid w:val="00950C8A"/>
    <w:rsid w:val="00950CA4"/>
    <w:rsid w:val="00950CCD"/>
    <w:rsid w:val="00950E1C"/>
    <w:rsid w:val="00950E91"/>
    <w:rsid w:val="00950EA1"/>
    <w:rsid w:val="00950FB0"/>
    <w:rsid w:val="00951089"/>
    <w:rsid w:val="0095112D"/>
    <w:rsid w:val="00951161"/>
    <w:rsid w:val="0095129B"/>
    <w:rsid w:val="009513CF"/>
    <w:rsid w:val="009513E0"/>
    <w:rsid w:val="00951420"/>
    <w:rsid w:val="00951573"/>
    <w:rsid w:val="009515DB"/>
    <w:rsid w:val="009515F6"/>
    <w:rsid w:val="00951652"/>
    <w:rsid w:val="00951779"/>
    <w:rsid w:val="009517C4"/>
    <w:rsid w:val="00951860"/>
    <w:rsid w:val="00951873"/>
    <w:rsid w:val="0095187E"/>
    <w:rsid w:val="009518A5"/>
    <w:rsid w:val="009518BC"/>
    <w:rsid w:val="009518BD"/>
    <w:rsid w:val="009518DF"/>
    <w:rsid w:val="0095195C"/>
    <w:rsid w:val="00951967"/>
    <w:rsid w:val="0095196C"/>
    <w:rsid w:val="00951A3B"/>
    <w:rsid w:val="00951A8B"/>
    <w:rsid w:val="00951B2D"/>
    <w:rsid w:val="00951BD0"/>
    <w:rsid w:val="00951BD4"/>
    <w:rsid w:val="00951C03"/>
    <w:rsid w:val="00951C43"/>
    <w:rsid w:val="00951CC1"/>
    <w:rsid w:val="00951CE3"/>
    <w:rsid w:val="00951D58"/>
    <w:rsid w:val="00951D97"/>
    <w:rsid w:val="00951DE3"/>
    <w:rsid w:val="00951DE6"/>
    <w:rsid w:val="00951DF9"/>
    <w:rsid w:val="00951E0B"/>
    <w:rsid w:val="00951EDE"/>
    <w:rsid w:val="00951EF1"/>
    <w:rsid w:val="00951EFB"/>
    <w:rsid w:val="00951F05"/>
    <w:rsid w:val="00951F5A"/>
    <w:rsid w:val="00951FB3"/>
    <w:rsid w:val="00951FE5"/>
    <w:rsid w:val="00951FFB"/>
    <w:rsid w:val="00952017"/>
    <w:rsid w:val="00952053"/>
    <w:rsid w:val="0095206F"/>
    <w:rsid w:val="00952193"/>
    <w:rsid w:val="009521B1"/>
    <w:rsid w:val="0095223A"/>
    <w:rsid w:val="0095227B"/>
    <w:rsid w:val="0095229C"/>
    <w:rsid w:val="009522B8"/>
    <w:rsid w:val="0095240C"/>
    <w:rsid w:val="00952415"/>
    <w:rsid w:val="00952478"/>
    <w:rsid w:val="00952486"/>
    <w:rsid w:val="00952566"/>
    <w:rsid w:val="00952597"/>
    <w:rsid w:val="009525CC"/>
    <w:rsid w:val="00952659"/>
    <w:rsid w:val="009526A8"/>
    <w:rsid w:val="009526BA"/>
    <w:rsid w:val="009526ED"/>
    <w:rsid w:val="009526F4"/>
    <w:rsid w:val="0095270B"/>
    <w:rsid w:val="00952785"/>
    <w:rsid w:val="009527A2"/>
    <w:rsid w:val="009527CC"/>
    <w:rsid w:val="0095282A"/>
    <w:rsid w:val="00952845"/>
    <w:rsid w:val="009528D0"/>
    <w:rsid w:val="009528DD"/>
    <w:rsid w:val="0095292F"/>
    <w:rsid w:val="00952944"/>
    <w:rsid w:val="00952946"/>
    <w:rsid w:val="00952949"/>
    <w:rsid w:val="009529A0"/>
    <w:rsid w:val="00952A17"/>
    <w:rsid w:val="00952A69"/>
    <w:rsid w:val="00952AB1"/>
    <w:rsid w:val="00952AD2"/>
    <w:rsid w:val="00952AF3"/>
    <w:rsid w:val="00952B12"/>
    <w:rsid w:val="00952BF7"/>
    <w:rsid w:val="00952C88"/>
    <w:rsid w:val="00952CFD"/>
    <w:rsid w:val="00952D31"/>
    <w:rsid w:val="00952D39"/>
    <w:rsid w:val="00952DB1"/>
    <w:rsid w:val="00952E69"/>
    <w:rsid w:val="00952E6B"/>
    <w:rsid w:val="00952ECF"/>
    <w:rsid w:val="00952EE5"/>
    <w:rsid w:val="00952F08"/>
    <w:rsid w:val="00952F50"/>
    <w:rsid w:val="00952F5F"/>
    <w:rsid w:val="00952F8E"/>
    <w:rsid w:val="0095301A"/>
    <w:rsid w:val="009530BA"/>
    <w:rsid w:val="009530DB"/>
    <w:rsid w:val="00953252"/>
    <w:rsid w:val="0095326C"/>
    <w:rsid w:val="00953296"/>
    <w:rsid w:val="0095332C"/>
    <w:rsid w:val="00953335"/>
    <w:rsid w:val="009533E0"/>
    <w:rsid w:val="00953411"/>
    <w:rsid w:val="00953413"/>
    <w:rsid w:val="00953425"/>
    <w:rsid w:val="00953441"/>
    <w:rsid w:val="009534FD"/>
    <w:rsid w:val="0095350B"/>
    <w:rsid w:val="00953595"/>
    <w:rsid w:val="009536EC"/>
    <w:rsid w:val="00953726"/>
    <w:rsid w:val="00953729"/>
    <w:rsid w:val="009537C4"/>
    <w:rsid w:val="009537FA"/>
    <w:rsid w:val="0095384E"/>
    <w:rsid w:val="0095395A"/>
    <w:rsid w:val="00953975"/>
    <w:rsid w:val="0095398E"/>
    <w:rsid w:val="00953996"/>
    <w:rsid w:val="00953A19"/>
    <w:rsid w:val="00953A53"/>
    <w:rsid w:val="00953B6F"/>
    <w:rsid w:val="00953BED"/>
    <w:rsid w:val="00953BFF"/>
    <w:rsid w:val="00953CAD"/>
    <w:rsid w:val="00953CFE"/>
    <w:rsid w:val="00953D0B"/>
    <w:rsid w:val="00953D0C"/>
    <w:rsid w:val="00953D26"/>
    <w:rsid w:val="00953DD0"/>
    <w:rsid w:val="00953E20"/>
    <w:rsid w:val="00953E92"/>
    <w:rsid w:val="00953EE2"/>
    <w:rsid w:val="00953EF5"/>
    <w:rsid w:val="00953F34"/>
    <w:rsid w:val="00953FBF"/>
    <w:rsid w:val="0095402D"/>
    <w:rsid w:val="00954141"/>
    <w:rsid w:val="00954152"/>
    <w:rsid w:val="00954169"/>
    <w:rsid w:val="009541BD"/>
    <w:rsid w:val="009541D0"/>
    <w:rsid w:val="00954212"/>
    <w:rsid w:val="00954248"/>
    <w:rsid w:val="009542B2"/>
    <w:rsid w:val="0095430A"/>
    <w:rsid w:val="00954345"/>
    <w:rsid w:val="00954368"/>
    <w:rsid w:val="009543D4"/>
    <w:rsid w:val="00954402"/>
    <w:rsid w:val="00954433"/>
    <w:rsid w:val="009544C8"/>
    <w:rsid w:val="00954524"/>
    <w:rsid w:val="0095467A"/>
    <w:rsid w:val="009546D7"/>
    <w:rsid w:val="009546DC"/>
    <w:rsid w:val="00954708"/>
    <w:rsid w:val="0095473B"/>
    <w:rsid w:val="00954883"/>
    <w:rsid w:val="0095488A"/>
    <w:rsid w:val="0095491F"/>
    <w:rsid w:val="0095494C"/>
    <w:rsid w:val="00954956"/>
    <w:rsid w:val="0095495F"/>
    <w:rsid w:val="00954960"/>
    <w:rsid w:val="00954990"/>
    <w:rsid w:val="009549B0"/>
    <w:rsid w:val="00954A3E"/>
    <w:rsid w:val="00954A42"/>
    <w:rsid w:val="00954AD0"/>
    <w:rsid w:val="00954B3F"/>
    <w:rsid w:val="00954BB0"/>
    <w:rsid w:val="00954C09"/>
    <w:rsid w:val="00954C4A"/>
    <w:rsid w:val="00954C66"/>
    <w:rsid w:val="00954D25"/>
    <w:rsid w:val="00954D78"/>
    <w:rsid w:val="00954DD9"/>
    <w:rsid w:val="00954DF6"/>
    <w:rsid w:val="00954E72"/>
    <w:rsid w:val="00954E7F"/>
    <w:rsid w:val="00954E88"/>
    <w:rsid w:val="00954EBB"/>
    <w:rsid w:val="00954FB5"/>
    <w:rsid w:val="00954FEB"/>
    <w:rsid w:val="009550A7"/>
    <w:rsid w:val="00955117"/>
    <w:rsid w:val="009551C1"/>
    <w:rsid w:val="009551C3"/>
    <w:rsid w:val="009551E7"/>
    <w:rsid w:val="00955210"/>
    <w:rsid w:val="00955266"/>
    <w:rsid w:val="00955286"/>
    <w:rsid w:val="0095528B"/>
    <w:rsid w:val="00955396"/>
    <w:rsid w:val="0095541B"/>
    <w:rsid w:val="0095542F"/>
    <w:rsid w:val="00955449"/>
    <w:rsid w:val="00955464"/>
    <w:rsid w:val="0095546A"/>
    <w:rsid w:val="00955489"/>
    <w:rsid w:val="009554A6"/>
    <w:rsid w:val="009554F6"/>
    <w:rsid w:val="00955547"/>
    <w:rsid w:val="009555C3"/>
    <w:rsid w:val="009555E2"/>
    <w:rsid w:val="009555E8"/>
    <w:rsid w:val="00955612"/>
    <w:rsid w:val="00955681"/>
    <w:rsid w:val="009556CE"/>
    <w:rsid w:val="0095570C"/>
    <w:rsid w:val="0095571B"/>
    <w:rsid w:val="009557B4"/>
    <w:rsid w:val="00955812"/>
    <w:rsid w:val="009558A2"/>
    <w:rsid w:val="00955901"/>
    <w:rsid w:val="00955905"/>
    <w:rsid w:val="00955909"/>
    <w:rsid w:val="009559D2"/>
    <w:rsid w:val="00955A30"/>
    <w:rsid w:val="00955A37"/>
    <w:rsid w:val="00955A4B"/>
    <w:rsid w:val="00955A76"/>
    <w:rsid w:val="00955AC1"/>
    <w:rsid w:val="00955ADF"/>
    <w:rsid w:val="00955B17"/>
    <w:rsid w:val="00955B64"/>
    <w:rsid w:val="00955BAA"/>
    <w:rsid w:val="00955BC7"/>
    <w:rsid w:val="00955BFF"/>
    <w:rsid w:val="00955C3F"/>
    <w:rsid w:val="00955C74"/>
    <w:rsid w:val="00955CD0"/>
    <w:rsid w:val="00955D37"/>
    <w:rsid w:val="00955D80"/>
    <w:rsid w:val="00955DF2"/>
    <w:rsid w:val="00955F08"/>
    <w:rsid w:val="00955F4D"/>
    <w:rsid w:val="00956024"/>
    <w:rsid w:val="00956027"/>
    <w:rsid w:val="00956114"/>
    <w:rsid w:val="0095616E"/>
    <w:rsid w:val="009561AB"/>
    <w:rsid w:val="009561C8"/>
    <w:rsid w:val="009561E8"/>
    <w:rsid w:val="009561F5"/>
    <w:rsid w:val="0095622B"/>
    <w:rsid w:val="009562E6"/>
    <w:rsid w:val="00956392"/>
    <w:rsid w:val="00956402"/>
    <w:rsid w:val="0095643D"/>
    <w:rsid w:val="00956485"/>
    <w:rsid w:val="0095650E"/>
    <w:rsid w:val="0095651C"/>
    <w:rsid w:val="00956556"/>
    <w:rsid w:val="00956562"/>
    <w:rsid w:val="00956563"/>
    <w:rsid w:val="009565A5"/>
    <w:rsid w:val="0095660E"/>
    <w:rsid w:val="00956638"/>
    <w:rsid w:val="009566FB"/>
    <w:rsid w:val="00956748"/>
    <w:rsid w:val="009567DC"/>
    <w:rsid w:val="0095682E"/>
    <w:rsid w:val="00956890"/>
    <w:rsid w:val="00956987"/>
    <w:rsid w:val="009569BE"/>
    <w:rsid w:val="009569EB"/>
    <w:rsid w:val="00956A48"/>
    <w:rsid w:val="00956A5C"/>
    <w:rsid w:val="00956A5F"/>
    <w:rsid w:val="00956AD0"/>
    <w:rsid w:val="00956BA4"/>
    <w:rsid w:val="00956CB4"/>
    <w:rsid w:val="00956D12"/>
    <w:rsid w:val="00956D44"/>
    <w:rsid w:val="00956D6F"/>
    <w:rsid w:val="00956D8A"/>
    <w:rsid w:val="00956E42"/>
    <w:rsid w:val="00956E85"/>
    <w:rsid w:val="00956F61"/>
    <w:rsid w:val="009570A9"/>
    <w:rsid w:val="009570D7"/>
    <w:rsid w:val="0095712B"/>
    <w:rsid w:val="00957144"/>
    <w:rsid w:val="0095725C"/>
    <w:rsid w:val="00957286"/>
    <w:rsid w:val="009572BB"/>
    <w:rsid w:val="009573BB"/>
    <w:rsid w:val="009573F7"/>
    <w:rsid w:val="00957424"/>
    <w:rsid w:val="0095745A"/>
    <w:rsid w:val="00957463"/>
    <w:rsid w:val="00957483"/>
    <w:rsid w:val="00957486"/>
    <w:rsid w:val="009574B7"/>
    <w:rsid w:val="009574DF"/>
    <w:rsid w:val="00957531"/>
    <w:rsid w:val="009575BD"/>
    <w:rsid w:val="0095760C"/>
    <w:rsid w:val="00957647"/>
    <w:rsid w:val="00957669"/>
    <w:rsid w:val="0095769C"/>
    <w:rsid w:val="0095770D"/>
    <w:rsid w:val="00957730"/>
    <w:rsid w:val="00957734"/>
    <w:rsid w:val="00957753"/>
    <w:rsid w:val="00957775"/>
    <w:rsid w:val="00957788"/>
    <w:rsid w:val="009577A1"/>
    <w:rsid w:val="009577B2"/>
    <w:rsid w:val="00957815"/>
    <w:rsid w:val="009578C5"/>
    <w:rsid w:val="009578E8"/>
    <w:rsid w:val="00957932"/>
    <w:rsid w:val="009579DA"/>
    <w:rsid w:val="009579E5"/>
    <w:rsid w:val="00957B14"/>
    <w:rsid w:val="00957B59"/>
    <w:rsid w:val="00957BDF"/>
    <w:rsid w:val="00957C2C"/>
    <w:rsid w:val="00957C71"/>
    <w:rsid w:val="00957C78"/>
    <w:rsid w:val="00957D3A"/>
    <w:rsid w:val="00957DCE"/>
    <w:rsid w:val="00957E24"/>
    <w:rsid w:val="00957E8E"/>
    <w:rsid w:val="00957F01"/>
    <w:rsid w:val="00957F95"/>
    <w:rsid w:val="00957FB7"/>
    <w:rsid w:val="00957FC8"/>
    <w:rsid w:val="00957FD0"/>
    <w:rsid w:val="00957FEB"/>
    <w:rsid w:val="00960032"/>
    <w:rsid w:val="00960122"/>
    <w:rsid w:val="00960150"/>
    <w:rsid w:val="00960171"/>
    <w:rsid w:val="009601BB"/>
    <w:rsid w:val="009601E0"/>
    <w:rsid w:val="00960213"/>
    <w:rsid w:val="009602FC"/>
    <w:rsid w:val="00960360"/>
    <w:rsid w:val="00960361"/>
    <w:rsid w:val="009603D6"/>
    <w:rsid w:val="009603EB"/>
    <w:rsid w:val="0096040C"/>
    <w:rsid w:val="0096042E"/>
    <w:rsid w:val="00960435"/>
    <w:rsid w:val="00960462"/>
    <w:rsid w:val="00960479"/>
    <w:rsid w:val="009604C1"/>
    <w:rsid w:val="0096050A"/>
    <w:rsid w:val="00960624"/>
    <w:rsid w:val="00960641"/>
    <w:rsid w:val="00960657"/>
    <w:rsid w:val="00960706"/>
    <w:rsid w:val="0096075D"/>
    <w:rsid w:val="009607FA"/>
    <w:rsid w:val="009607FD"/>
    <w:rsid w:val="00960898"/>
    <w:rsid w:val="00960971"/>
    <w:rsid w:val="009609D0"/>
    <w:rsid w:val="009609E7"/>
    <w:rsid w:val="00960A4B"/>
    <w:rsid w:val="00960AD9"/>
    <w:rsid w:val="00960BBF"/>
    <w:rsid w:val="00960BC7"/>
    <w:rsid w:val="00960BCE"/>
    <w:rsid w:val="00960BD4"/>
    <w:rsid w:val="00960BE6"/>
    <w:rsid w:val="00960BE9"/>
    <w:rsid w:val="00960C2C"/>
    <w:rsid w:val="00960CC8"/>
    <w:rsid w:val="00960D23"/>
    <w:rsid w:val="00960DCF"/>
    <w:rsid w:val="00960E22"/>
    <w:rsid w:val="00960E2F"/>
    <w:rsid w:val="00960EA5"/>
    <w:rsid w:val="00960F53"/>
    <w:rsid w:val="00960F58"/>
    <w:rsid w:val="00960FBE"/>
    <w:rsid w:val="00960FC0"/>
    <w:rsid w:val="00960FE1"/>
    <w:rsid w:val="0096106D"/>
    <w:rsid w:val="0096109F"/>
    <w:rsid w:val="009610E4"/>
    <w:rsid w:val="009611A0"/>
    <w:rsid w:val="009611B7"/>
    <w:rsid w:val="009611BC"/>
    <w:rsid w:val="009611CA"/>
    <w:rsid w:val="00961251"/>
    <w:rsid w:val="009612F5"/>
    <w:rsid w:val="00961345"/>
    <w:rsid w:val="00961354"/>
    <w:rsid w:val="0096146C"/>
    <w:rsid w:val="009616B2"/>
    <w:rsid w:val="00961872"/>
    <w:rsid w:val="00961906"/>
    <w:rsid w:val="009619BD"/>
    <w:rsid w:val="009619D1"/>
    <w:rsid w:val="009619D5"/>
    <w:rsid w:val="00961A54"/>
    <w:rsid w:val="00961AFE"/>
    <w:rsid w:val="00961B2F"/>
    <w:rsid w:val="00961BAB"/>
    <w:rsid w:val="00961C08"/>
    <w:rsid w:val="00961CB8"/>
    <w:rsid w:val="00961CD0"/>
    <w:rsid w:val="00961D57"/>
    <w:rsid w:val="00961D87"/>
    <w:rsid w:val="00961D88"/>
    <w:rsid w:val="00961DB8"/>
    <w:rsid w:val="00961E2A"/>
    <w:rsid w:val="00961E46"/>
    <w:rsid w:val="00961F60"/>
    <w:rsid w:val="00962046"/>
    <w:rsid w:val="00962084"/>
    <w:rsid w:val="00962196"/>
    <w:rsid w:val="00962234"/>
    <w:rsid w:val="00962388"/>
    <w:rsid w:val="009623E1"/>
    <w:rsid w:val="009623F9"/>
    <w:rsid w:val="00962431"/>
    <w:rsid w:val="00962482"/>
    <w:rsid w:val="009624B3"/>
    <w:rsid w:val="00962575"/>
    <w:rsid w:val="0096271C"/>
    <w:rsid w:val="0096277A"/>
    <w:rsid w:val="00962839"/>
    <w:rsid w:val="00962850"/>
    <w:rsid w:val="00962877"/>
    <w:rsid w:val="009628E0"/>
    <w:rsid w:val="009628E5"/>
    <w:rsid w:val="009628F0"/>
    <w:rsid w:val="00962913"/>
    <w:rsid w:val="0096292C"/>
    <w:rsid w:val="009629DE"/>
    <w:rsid w:val="009629EB"/>
    <w:rsid w:val="00962A22"/>
    <w:rsid w:val="00962A24"/>
    <w:rsid w:val="00962B4C"/>
    <w:rsid w:val="00962BBD"/>
    <w:rsid w:val="00962C19"/>
    <w:rsid w:val="00962CA2"/>
    <w:rsid w:val="00962DD4"/>
    <w:rsid w:val="00962F96"/>
    <w:rsid w:val="00962FB6"/>
    <w:rsid w:val="00963082"/>
    <w:rsid w:val="009630DF"/>
    <w:rsid w:val="0096313A"/>
    <w:rsid w:val="00963185"/>
    <w:rsid w:val="0096319C"/>
    <w:rsid w:val="009631D8"/>
    <w:rsid w:val="00963239"/>
    <w:rsid w:val="009633D0"/>
    <w:rsid w:val="00963488"/>
    <w:rsid w:val="009634E4"/>
    <w:rsid w:val="009634EC"/>
    <w:rsid w:val="009635BF"/>
    <w:rsid w:val="009635F1"/>
    <w:rsid w:val="009635F7"/>
    <w:rsid w:val="0096370B"/>
    <w:rsid w:val="009637A4"/>
    <w:rsid w:val="009637D3"/>
    <w:rsid w:val="00963820"/>
    <w:rsid w:val="00963A02"/>
    <w:rsid w:val="00963A83"/>
    <w:rsid w:val="00963AA5"/>
    <w:rsid w:val="00963B0C"/>
    <w:rsid w:val="00963B4A"/>
    <w:rsid w:val="00963C47"/>
    <w:rsid w:val="00963D0E"/>
    <w:rsid w:val="00963D37"/>
    <w:rsid w:val="00963D6A"/>
    <w:rsid w:val="00963DB5"/>
    <w:rsid w:val="00963DE7"/>
    <w:rsid w:val="00963E8C"/>
    <w:rsid w:val="00963ED0"/>
    <w:rsid w:val="00963ED2"/>
    <w:rsid w:val="00963EDD"/>
    <w:rsid w:val="00963FBB"/>
    <w:rsid w:val="00963FEB"/>
    <w:rsid w:val="0096403B"/>
    <w:rsid w:val="009640EC"/>
    <w:rsid w:val="0096410E"/>
    <w:rsid w:val="00964180"/>
    <w:rsid w:val="00964184"/>
    <w:rsid w:val="00964280"/>
    <w:rsid w:val="0096441F"/>
    <w:rsid w:val="00964464"/>
    <w:rsid w:val="009644BE"/>
    <w:rsid w:val="0096452B"/>
    <w:rsid w:val="0096455A"/>
    <w:rsid w:val="009645A7"/>
    <w:rsid w:val="00964725"/>
    <w:rsid w:val="0096472F"/>
    <w:rsid w:val="00964868"/>
    <w:rsid w:val="00964896"/>
    <w:rsid w:val="009648C5"/>
    <w:rsid w:val="00964920"/>
    <w:rsid w:val="0096492C"/>
    <w:rsid w:val="00964A33"/>
    <w:rsid w:val="00964AA3"/>
    <w:rsid w:val="00964AAF"/>
    <w:rsid w:val="00964B30"/>
    <w:rsid w:val="00964B5F"/>
    <w:rsid w:val="00964BAB"/>
    <w:rsid w:val="00964BAE"/>
    <w:rsid w:val="00964BF8"/>
    <w:rsid w:val="00964C4D"/>
    <w:rsid w:val="00964C84"/>
    <w:rsid w:val="00964CF0"/>
    <w:rsid w:val="00964D4E"/>
    <w:rsid w:val="00964DA2"/>
    <w:rsid w:val="00964DD2"/>
    <w:rsid w:val="00964E1B"/>
    <w:rsid w:val="00964E1E"/>
    <w:rsid w:val="00964E5C"/>
    <w:rsid w:val="00964E83"/>
    <w:rsid w:val="00964E95"/>
    <w:rsid w:val="00964EAD"/>
    <w:rsid w:val="00964F14"/>
    <w:rsid w:val="0096516B"/>
    <w:rsid w:val="009651CC"/>
    <w:rsid w:val="00965344"/>
    <w:rsid w:val="0096534D"/>
    <w:rsid w:val="0096536D"/>
    <w:rsid w:val="0096536F"/>
    <w:rsid w:val="00965371"/>
    <w:rsid w:val="009653EE"/>
    <w:rsid w:val="0096542B"/>
    <w:rsid w:val="00965454"/>
    <w:rsid w:val="009654A1"/>
    <w:rsid w:val="009654C6"/>
    <w:rsid w:val="009654E2"/>
    <w:rsid w:val="009654EE"/>
    <w:rsid w:val="0096551B"/>
    <w:rsid w:val="00965583"/>
    <w:rsid w:val="00965602"/>
    <w:rsid w:val="0096561B"/>
    <w:rsid w:val="00965706"/>
    <w:rsid w:val="0096571D"/>
    <w:rsid w:val="0096572B"/>
    <w:rsid w:val="00965748"/>
    <w:rsid w:val="0096579E"/>
    <w:rsid w:val="00965810"/>
    <w:rsid w:val="00965836"/>
    <w:rsid w:val="0096586D"/>
    <w:rsid w:val="009658D8"/>
    <w:rsid w:val="00965911"/>
    <w:rsid w:val="00965919"/>
    <w:rsid w:val="00965964"/>
    <w:rsid w:val="00965991"/>
    <w:rsid w:val="009659F0"/>
    <w:rsid w:val="00965AA3"/>
    <w:rsid w:val="00965ADE"/>
    <w:rsid w:val="00965B23"/>
    <w:rsid w:val="00965B3A"/>
    <w:rsid w:val="00965B61"/>
    <w:rsid w:val="00965C12"/>
    <w:rsid w:val="00965CF1"/>
    <w:rsid w:val="00965D5E"/>
    <w:rsid w:val="00965E10"/>
    <w:rsid w:val="00965E14"/>
    <w:rsid w:val="00965E88"/>
    <w:rsid w:val="00965EDE"/>
    <w:rsid w:val="00965F74"/>
    <w:rsid w:val="00966006"/>
    <w:rsid w:val="0096602F"/>
    <w:rsid w:val="00966046"/>
    <w:rsid w:val="0096604C"/>
    <w:rsid w:val="00966074"/>
    <w:rsid w:val="00966093"/>
    <w:rsid w:val="009660BA"/>
    <w:rsid w:val="00966159"/>
    <w:rsid w:val="00966278"/>
    <w:rsid w:val="0096629A"/>
    <w:rsid w:val="009662D5"/>
    <w:rsid w:val="009662E2"/>
    <w:rsid w:val="009662F7"/>
    <w:rsid w:val="0096640F"/>
    <w:rsid w:val="00966415"/>
    <w:rsid w:val="00966466"/>
    <w:rsid w:val="009664DC"/>
    <w:rsid w:val="00966539"/>
    <w:rsid w:val="009665DD"/>
    <w:rsid w:val="009665FA"/>
    <w:rsid w:val="00966743"/>
    <w:rsid w:val="0096674D"/>
    <w:rsid w:val="00966764"/>
    <w:rsid w:val="00966790"/>
    <w:rsid w:val="00966797"/>
    <w:rsid w:val="00966808"/>
    <w:rsid w:val="0096683F"/>
    <w:rsid w:val="00966890"/>
    <w:rsid w:val="0096692E"/>
    <w:rsid w:val="009669D7"/>
    <w:rsid w:val="009669E0"/>
    <w:rsid w:val="00966BA5"/>
    <w:rsid w:val="00966C15"/>
    <w:rsid w:val="00966C5A"/>
    <w:rsid w:val="00966C66"/>
    <w:rsid w:val="00966D14"/>
    <w:rsid w:val="00966D29"/>
    <w:rsid w:val="00966D4A"/>
    <w:rsid w:val="00966DB1"/>
    <w:rsid w:val="00966F63"/>
    <w:rsid w:val="00966F74"/>
    <w:rsid w:val="0096703D"/>
    <w:rsid w:val="00967074"/>
    <w:rsid w:val="009670B3"/>
    <w:rsid w:val="009670E8"/>
    <w:rsid w:val="0096716C"/>
    <w:rsid w:val="009671B0"/>
    <w:rsid w:val="009671BA"/>
    <w:rsid w:val="0096720A"/>
    <w:rsid w:val="0096721F"/>
    <w:rsid w:val="0096725C"/>
    <w:rsid w:val="00967314"/>
    <w:rsid w:val="00967389"/>
    <w:rsid w:val="009673C8"/>
    <w:rsid w:val="009673E6"/>
    <w:rsid w:val="009673F1"/>
    <w:rsid w:val="0096741C"/>
    <w:rsid w:val="009674BE"/>
    <w:rsid w:val="0096750D"/>
    <w:rsid w:val="00967558"/>
    <w:rsid w:val="0096755E"/>
    <w:rsid w:val="00967659"/>
    <w:rsid w:val="00967702"/>
    <w:rsid w:val="00967769"/>
    <w:rsid w:val="009677F0"/>
    <w:rsid w:val="00967832"/>
    <w:rsid w:val="00967889"/>
    <w:rsid w:val="0096788C"/>
    <w:rsid w:val="009678BF"/>
    <w:rsid w:val="009678CC"/>
    <w:rsid w:val="009678E5"/>
    <w:rsid w:val="0096796D"/>
    <w:rsid w:val="0096797B"/>
    <w:rsid w:val="00967A65"/>
    <w:rsid w:val="00967AB0"/>
    <w:rsid w:val="00967AD1"/>
    <w:rsid w:val="00967B3E"/>
    <w:rsid w:val="00967B47"/>
    <w:rsid w:val="00967C2B"/>
    <w:rsid w:val="00967C4C"/>
    <w:rsid w:val="00967D51"/>
    <w:rsid w:val="00967DA8"/>
    <w:rsid w:val="00967DEC"/>
    <w:rsid w:val="00967E35"/>
    <w:rsid w:val="00967E49"/>
    <w:rsid w:val="00967EDA"/>
    <w:rsid w:val="00967F81"/>
    <w:rsid w:val="0096B9CA"/>
    <w:rsid w:val="00970019"/>
    <w:rsid w:val="009700C0"/>
    <w:rsid w:val="009700C3"/>
    <w:rsid w:val="009700F3"/>
    <w:rsid w:val="00970109"/>
    <w:rsid w:val="00970164"/>
    <w:rsid w:val="00970171"/>
    <w:rsid w:val="00970193"/>
    <w:rsid w:val="00970203"/>
    <w:rsid w:val="00970284"/>
    <w:rsid w:val="0097035B"/>
    <w:rsid w:val="009703C8"/>
    <w:rsid w:val="009704FF"/>
    <w:rsid w:val="0097052D"/>
    <w:rsid w:val="00970609"/>
    <w:rsid w:val="00970640"/>
    <w:rsid w:val="00970659"/>
    <w:rsid w:val="009706AA"/>
    <w:rsid w:val="009706D5"/>
    <w:rsid w:val="009706DF"/>
    <w:rsid w:val="00970727"/>
    <w:rsid w:val="00970743"/>
    <w:rsid w:val="009707CF"/>
    <w:rsid w:val="009707E3"/>
    <w:rsid w:val="00970834"/>
    <w:rsid w:val="00970845"/>
    <w:rsid w:val="009708C2"/>
    <w:rsid w:val="00970950"/>
    <w:rsid w:val="009709A5"/>
    <w:rsid w:val="009709DE"/>
    <w:rsid w:val="00970A06"/>
    <w:rsid w:val="00970A09"/>
    <w:rsid w:val="00970A66"/>
    <w:rsid w:val="00970A80"/>
    <w:rsid w:val="00970B06"/>
    <w:rsid w:val="00970B8F"/>
    <w:rsid w:val="00970C79"/>
    <w:rsid w:val="00970CB6"/>
    <w:rsid w:val="00970D0C"/>
    <w:rsid w:val="00970D53"/>
    <w:rsid w:val="00970D98"/>
    <w:rsid w:val="00970DB8"/>
    <w:rsid w:val="00970E7F"/>
    <w:rsid w:val="00970EDF"/>
    <w:rsid w:val="00970F08"/>
    <w:rsid w:val="00970F76"/>
    <w:rsid w:val="00970F7D"/>
    <w:rsid w:val="00970FB1"/>
    <w:rsid w:val="00970FF3"/>
    <w:rsid w:val="0097101B"/>
    <w:rsid w:val="00971091"/>
    <w:rsid w:val="009711CD"/>
    <w:rsid w:val="0097122E"/>
    <w:rsid w:val="00971282"/>
    <w:rsid w:val="0097128D"/>
    <w:rsid w:val="0097130F"/>
    <w:rsid w:val="00971338"/>
    <w:rsid w:val="00971352"/>
    <w:rsid w:val="009713A5"/>
    <w:rsid w:val="009713C2"/>
    <w:rsid w:val="009713DC"/>
    <w:rsid w:val="009714B8"/>
    <w:rsid w:val="009714DD"/>
    <w:rsid w:val="0097150E"/>
    <w:rsid w:val="00971578"/>
    <w:rsid w:val="0097159A"/>
    <w:rsid w:val="00971698"/>
    <w:rsid w:val="009716BC"/>
    <w:rsid w:val="009716D5"/>
    <w:rsid w:val="00971724"/>
    <w:rsid w:val="00971895"/>
    <w:rsid w:val="009718D3"/>
    <w:rsid w:val="009718FE"/>
    <w:rsid w:val="00971971"/>
    <w:rsid w:val="00971996"/>
    <w:rsid w:val="009719CB"/>
    <w:rsid w:val="009719E3"/>
    <w:rsid w:val="00971A1A"/>
    <w:rsid w:val="00971A3B"/>
    <w:rsid w:val="00971AA5"/>
    <w:rsid w:val="00971AAE"/>
    <w:rsid w:val="00971AD2"/>
    <w:rsid w:val="00971B0B"/>
    <w:rsid w:val="00971BA0"/>
    <w:rsid w:val="00971BBC"/>
    <w:rsid w:val="00971BF5"/>
    <w:rsid w:val="00971BFB"/>
    <w:rsid w:val="00971CA9"/>
    <w:rsid w:val="00971CAF"/>
    <w:rsid w:val="00971D0A"/>
    <w:rsid w:val="00971D36"/>
    <w:rsid w:val="00971D5B"/>
    <w:rsid w:val="00971DEA"/>
    <w:rsid w:val="00971E76"/>
    <w:rsid w:val="00971F99"/>
    <w:rsid w:val="00971FAF"/>
    <w:rsid w:val="00971FC9"/>
    <w:rsid w:val="00971FE3"/>
    <w:rsid w:val="00972032"/>
    <w:rsid w:val="0097206F"/>
    <w:rsid w:val="0097207C"/>
    <w:rsid w:val="00972183"/>
    <w:rsid w:val="009721AB"/>
    <w:rsid w:val="0097221D"/>
    <w:rsid w:val="0097224F"/>
    <w:rsid w:val="0097226A"/>
    <w:rsid w:val="0097234D"/>
    <w:rsid w:val="00972355"/>
    <w:rsid w:val="0097239A"/>
    <w:rsid w:val="009723A0"/>
    <w:rsid w:val="009723E1"/>
    <w:rsid w:val="00972433"/>
    <w:rsid w:val="00972466"/>
    <w:rsid w:val="00972469"/>
    <w:rsid w:val="00972478"/>
    <w:rsid w:val="0097248F"/>
    <w:rsid w:val="009724FB"/>
    <w:rsid w:val="00972517"/>
    <w:rsid w:val="009725DC"/>
    <w:rsid w:val="00972627"/>
    <w:rsid w:val="00972664"/>
    <w:rsid w:val="00972665"/>
    <w:rsid w:val="0097266B"/>
    <w:rsid w:val="009726B6"/>
    <w:rsid w:val="009726F4"/>
    <w:rsid w:val="00972731"/>
    <w:rsid w:val="009727B0"/>
    <w:rsid w:val="009727DD"/>
    <w:rsid w:val="00972829"/>
    <w:rsid w:val="00972840"/>
    <w:rsid w:val="0097289C"/>
    <w:rsid w:val="00972910"/>
    <w:rsid w:val="00972930"/>
    <w:rsid w:val="00972939"/>
    <w:rsid w:val="0097293E"/>
    <w:rsid w:val="0097294B"/>
    <w:rsid w:val="0097294D"/>
    <w:rsid w:val="00972955"/>
    <w:rsid w:val="00972978"/>
    <w:rsid w:val="009729E2"/>
    <w:rsid w:val="00972A2F"/>
    <w:rsid w:val="00972A3A"/>
    <w:rsid w:val="00972A47"/>
    <w:rsid w:val="00972A5E"/>
    <w:rsid w:val="00972C23"/>
    <w:rsid w:val="00972C25"/>
    <w:rsid w:val="00972C40"/>
    <w:rsid w:val="00972C9E"/>
    <w:rsid w:val="00972CB6"/>
    <w:rsid w:val="00972CC0"/>
    <w:rsid w:val="00972CE5"/>
    <w:rsid w:val="00972D70"/>
    <w:rsid w:val="00972D7F"/>
    <w:rsid w:val="00972DD6"/>
    <w:rsid w:val="00972E3B"/>
    <w:rsid w:val="00972E4C"/>
    <w:rsid w:val="00972E92"/>
    <w:rsid w:val="00972EFD"/>
    <w:rsid w:val="00972F2F"/>
    <w:rsid w:val="00972FA4"/>
    <w:rsid w:val="00972FAA"/>
    <w:rsid w:val="00972FCA"/>
    <w:rsid w:val="00972FF5"/>
    <w:rsid w:val="00973055"/>
    <w:rsid w:val="0097306C"/>
    <w:rsid w:val="00973115"/>
    <w:rsid w:val="0097313E"/>
    <w:rsid w:val="00973145"/>
    <w:rsid w:val="00973158"/>
    <w:rsid w:val="0097315A"/>
    <w:rsid w:val="009731D0"/>
    <w:rsid w:val="0097321D"/>
    <w:rsid w:val="00973243"/>
    <w:rsid w:val="00973264"/>
    <w:rsid w:val="00973287"/>
    <w:rsid w:val="009732AD"/>
    <w:rsid w:val="009733AE"/>
    <w:rsid w:val="00973439"/>
    <w:rsid w:val="009734CA"/>
    <w:rsid w:val="0097352D"/>
    <w:rsid w:val="00973532"/>
    <w:rsid w:val="00973582"/>
    <w:rsid w:val="009735AE"/>
    <w:rsid w:val="009735FC"/>
    <w:rsid w:val="009736A9"/>
    <w:rsid w:val="009736E3"/>
    <w:rsid w:val="009736E8"/>
    <w:rsid w:val="009736F7"/>
    <w:rsid w:val="00973791"/>
    <w:rsid w:val="009737B4"/>
    <w:rsid w:val="00973867"/>
    <w:rsid w:val="009738AF"/>
    <w:rsid w:val="009738F9"/>
    <w:rsid w:val="00973961"/>
    <w:rsid w:val="009739A4"/>
    <w:rsid w:val="009739F6"/>
    <w:rsid w:val="00973A2B"/>
    <w:rsid w:val="00973A32"/>
    <w:rsid w:val="00973AFA"/>
    <w:rsid w:val="00973B11"/>
    <w:rsid w:val="00973B40"/>
    <w:rsid w:val="00973BA3"/>
    <w:rsid w:val="00973BEB"/>
    <w:rsid w:val="00973BFB"/>
    <w:rsid w:val="00973C3A"/>
    <w:rsid w:val="00973C81"/>
    <w:rsid w:val="00973CCE"/>
    <w:rsid w:val="00973D55"/>
    <w:rsid w:val="00973DE6"/>
    <w:rsid w:val="00973E29"/>
    <w:rsid w:val="00973E53"/>
    <w:rsid w:val="00973F24"/>
    <w:rsid w:val="00973F7C"/>
    <w:rsid w:val="00973F8E"/>
    <w:rsid w:val="0097403F"/>
    <w:rsid w:val="0097408C"/>
    <w:rsid w:val="00974107"/>
    <w:rsid w:val="00974243"/>
    <w:rsid w:val="0097426B"/>
    <w:rsid w:val="009742AD"/>
    <w:rsid w:val="009742FC"/>
    <w:rsid w:val="00974304"/>
    <w:rsid w:val="00974478"/>
    <w:rsid w:val="009744C3"/>
    <w:rsid w:val="009744F7"/>
    <w:rsid w:val="009745AF"/>
    <w:rsid w:val="009745D0"/>
    <w:rsid w:val="009745D6"/>
    <w:rsid w:val="00974684"/>
    <w:rsid w:val="009746BA"/>
    <w:rsid w:val="00974729"/>
    <w:rsid w:val="0097474F"/>
    <w:rsid w:val="0097478C"/>
    <w:rsid w:val="009748BF"/>
    <w:rsid w:val="00974927"/>
    <w:rsid w:val="0097494F"/>
    <w:rsid w:val="0097495C"/>
    <w:rsid w:val="009749A1"/>
    <w:rsid w:val="00974A92"/>
    <w:rsid w:val="00974AA9"/>
    <w:rsid w:val="00974AAF"/>
    <w:rsid w:val="00974ADB"/>
    <w:rsid w:val="00974ADF"/>
    <w:rsid w:val="00974B2D"/>
    <w:rsid w:val="00974B32"/>
    <w:rsid w:val="00974B7D"/>
    <w:rsid w:val="00974BA3"/>
    <w:rsid w:val="00974BA6"/>
    <w:rsid w:val="00974BB0"/>
    <w:rsid w:val="00974C27"/>
    <w:rsid w:val="00974C74"/>
    <w:rsid w:val="00974C88"/>
    <w:rsid w:val="00974C8B"/>
    <w:rsid w:val="00974CA0"/>
    <w:rsid w:val="00974D28"/>
    <w:rsid w:val="00974E4A"/>
    <w:rsid w:val="00974E8C"/>
    <w:rsid w:val="00974EBA"/>
    <w:rsid w:val="00974F2F"/>
    <w:rsid w:val="00974F30"/>
    <w:rsid w:val="00974F61"/>
    <w:rsid w:val="00974F89"/>
    <w:rsid w:val="00974FA4"/>
    <w:rsid w:val="00975009"/>
    <w:rsid w:val="0097509C"/>
    <w:rsid w:val="009750C9"/>
    <w:rsid w:val="00975109"/>
    <w:rsid w:val="0097517B"/>
    <w:rsid w:val="00975180"/>
    <w:rsid w:val="009751E8"/>
    <w:rsid w:val="009751EB"/>
    <w:rsid w:val="009751F0"/>
    <w:rsid w:val="00975203"/>
    <w:rsid w:val="0097520C"/>
    <w:rsid w:val="0097522F"/>
    <w:rsid w:val="00975333"/>
    <w:rsid w:val="0097535D"/>
    <w:rsid w:val="009753A4"/>
    <w:rsid w:val="009753E0"/>
    <w:rsid w:val="00975419"/>
    <w:rsid w:val="00975472"/>
    <w:rsid w:val="00975475"/>
    <w:rsid w:val="0097550A"/>
    <w:rsid w:val="00975580"/>
    <w:rsid w:val="009755E1"/>
    <w:rsid w:val="0097560F"/>
    <w:rsid w:val="00975616"/>
    <w:rsid w:val="0097563A"/>
    <w:rsid w:val="00975640"/>
    <w:rsid w:val="00975715"/>
    <w:rsid w:val="0097572E"/>
    <w:rsid w:val="009757BB"/>
    <w:rsid w:val="0097586E"/>
    <w:rsid w:val="009758CB"/>
    <w:rsid w:val="009758DC"/>
    <w:rsid w:val="00975988"/>
    <w:rsid w:val="00975A22"/>
    <w:rsid w:val="00975A82"/>
    <w:rsid w:val="00975A86"/>
    <w:rsid w:val="00975AAE"/>
    <w:rsid w:val="00975AE9"/>
    <w:rsid w:val="00975AFF"/>
    <w:rsid w:val="00975B21"/>
    <w:rsid w:val="00975C1F"/>
    <w:rsid w:val="00975D3F"/>
    <w:rsid w:val="00975E2E"/>
    <w:rsid w:val="00975EEA"/>
    <w:rsid w:val="00975EEF"/>
    <w:rsid w:val="00975F23"/>
    <w:rsid w:val="00975FCB"/>
    <w:rsid w:val="00975FDA"/>
    <w:rsid w:val="00975FEC"/>
    <w:rsid w:val="00976030"/>
    <w:rsid w:val="00976063"/>
    <w:rsid w:val="0097617D"/>
    <w:rsid w:val="0097622B"/>
    <w:rsid w:val="00976242"/>
    <w:rsid w:val="009762A2"/>
    <w:rsid w:val="009762B8"/>
    <w:rsid w:val="00976366"/>
    <w:rsid w:val="00976390"/>
    <w:rsid w:val="009763B2"/>
    <w:rsid w:val="009763D5"/>
    <w:rsid w:val="009763E0"/>
    <w:rsid w:val="009763EF"/>
    <w:rsid w:val="009763F4"/>
    <w:rsid w:val="0097647A"/>
    <w:rsid w:val="00976488"/>
    <w:rsid w:val="009764DF"/>
    <w:rsid w:val="00976549"/>
    <w:rsid w:val="009765E0"/>
    <w:rsid w:val="0097668A"/>
    <w:rsid w:val="009767E4"/>
    <w:rsid w:val="00976849"/>
    <w:rsid w:val="00976856"/>
    <w:rsid w:val="00976950"/>
    <w:rsid w:val="0097697C"/>
    <w:rsid w:val="00976A49"/>
    <w:rsid w:val="00976A96"/>
    <w:rsid w:val="00976AEB"/>
    <w:rsid w:val="00976BF6"/>
    <w:rsid w:val="00976C5C"/>
    <w:rsid w:val="00976CCD"/>
    <w:rsid w:val="00976CF1"/>
    <w:rsid w:val="00976D16"/>
    <w:rsid w:val="00976D1D"/>
    <w:rsid w:val="00976D21"/>
    <w:rsid w:val="00976D27"/>
    <w:rsid w:val="00976DB7"/>
    <w:rsid w:val="00976E3C"/>
    <w:rsid w:val="00976E92"/>
    <w:rsid w:val="00976EBC"/>
    <w:rsid w:val="00976EDF"/>
    <w:rsid w:val="00976F21"/>
    <w:rsid w:val="00976F75"/>
    <w:rsid w:val="00976FB6"/>
    <w:rsid w:val="00977019"/>
    <w:rsid w:val="0097711C"/>
    <w:rsid w:val="00977151"/>
    <w:rsid w:val="00977172"/>
    <w:rsid w:val="009771B2"/>
    <w:rsid w:val="009771E3"/>
    <w:rsid w:val="00977286"/>
    <w:rsid w:val="009772A2"/>
    <w:rsid w:val="009772F9"/>
    <w:rsid w:val="0097731B"/>
    <w:rsid w:val="0097733B"/>
    <w:rsid w:val="0097736B"/>
    <w:rsid w:val="00977384"/>
    <w:rsid w:val="009773A5"/>
    <w:rsid w:val="0097747B"/>
    <w:rsid w:val="009774AE"/>
    <w:rsid w:val="009774B1"/>
    <w:rsid w:val="009774D6"/>
    <w:rsid w:val="0097750C"/>
    <w:rsid w:val="009775AD"/>
    <w:rsid w:val="009775CC"/>
    <w:rsid w:val="009775D1"/>
    <w:rsid w:val="009775DC"/>
    <w:rsid w:val="00977604"/>
    <w:rsid w:val="00977682"/>
    <w:rsid w:val="009776CE"/>
    <w:rsid w:val="009776DC"/>
    <w:rsid w:val="009776E5"/>
    <w:rsid w:val="0097775C"/>
    <w:rsid w:val="0097779B"/>
    <w:rsid w:val="009777C8"/>
    <w:rsid w:val="0097789A"/>
    <w:rsid w:val="00977997"/>
    <w:rsid w:val="00977A73"/>
    <w:rsid w:val="00977A98"/>
    <w:rsid w:val="00977AF6"/>
    <w:rsid w:val="00977B06"/>
    <w:rsid w:val="00977B20"/>
    <w:rsid w:val="00977B25"/>
    <w:rsid w:val="00977B44"/>
    <w:rsid w:val="00977B4C"/>
    <w:rsid w:val="00977BCB"/>
    <w:rsid w:val="00977C00"/>
    <w:rsid w:val="00977C50"/>
    <w:rsid w:val="00977CCC"/>
    <w:rsid w:val="00977D06"/>
    <w:rsid w:val="00977D0F"/>
    <w:rsid w:val="00977D62"/>
    <w:rsid w:val="00977D93"/>
    <w:rsid w:val="00977E36"/>
    <w:rsid w:val="00977E3D"/>
    <w:rsid w:val="00977E72"/>
    <w:rsid w:val="00977F6A"/>
    <w:rsid w:val="00977FE6"/>
    <w:rsid w:val="00977FE7"/>
    <w:rsid w:val="0098005A"/>
    <w:rsid w:val="00980072"/>
    <w:rsid w:val="00980097"/>
    <w:rsid w:val="009800A1"/>
    <w:rsid w:val="009800AF"/>
    <w:rsid w:val="009800B7"/>
    <w:rsid w:val="009800E6"/>
    <w:rsid w:val="00980106"/>
    <w:rsid w:val="009801D1"/>
    <w:rsid w:val="009801F8"/>
    <w:rsid w:val="0098029F"/>
    <w:rsid w:val="009802D6"/>
    <w:rsid w:val="009802E9"/>
    <w:rsid w:val="009803DC"/>
    <w:rsid w:val="00980400"/>
    <w:rsid w:val="00980437"/>
    <w:rsid w:val="00980447"/>
    <w:rsid w:val="009804E8"/>
    <w:rsid w:val="00980536"/>
    <w:rsid w:val="0098055F"/>
    <w:rsid w:val="00980565"/>
    <w:rsid w:val="009805BA"/>
    <w:rsid w:val="0098060B"/>
    <w:rsid w:val="00980635"/>
    <w:rsid w:val="00980638"/>
    <w:rsid w:val="0098064F"/>
    <w:rsid w:val="00980659"/>
    <w:rsid w:val="0098066E"/>
    <w:rsid w:val="00980671"/>
    <w:rsid w:val="009806AD"/>
    <w:rsid w:val="00980738"/>
    <w:rsid w:val="009807B9"/>
    <w:rsid w:val="00980805"/>
    <w:rsid w:val="00980823"/>
    <w:rsid w:val="00980829"/>
    <w:rsid w:val="009808F8"/>
    <w:rsid w:val="0098094B"/>
    <w:rsid w:val="009809CC"/>
    <w:rsid w:val="00980A39"/>
    <w:rsid w:val="00980A55"/>
    <w:rsid w:val="00980B6E"/>
    <w:rsid w:val="00980C12"/>
    <w:rsid w:val="00980C47"/>
    <w:rsid w:val="00980D05"/>
    <w:rsid w:val="00980D1D"/>
    <w:rsid w:val="00980D99"/>
    <w:rsid w:val="00980DDA"/>
    <w:rsid w:val="00980ECA"/>
    <w:rsid w:val="00980EE6"/>
    <w:rsid w:val="00980FE3"/>
    <w:rsid w:val="00981007"/>
    <w:rsid w:val="009810FF"/>
    <w:rsid w:val="009811BB"/>
    <w:rsid w:val="009811D5"/>
    <w:rsid w:val="00981224"/>
    <w:rsid w:val="0098122A"/>
    <w:rsid w:val="0098124C"/>
    <w:rsid w:val="00981265"/>
    <w:rsid w:val="0098128D"/>
    <w:rsid w:val="009812DE"/>
    <w:rsid w:val="0098133B"/>
    <w:rsid w:val="0098134E"/>
    <w:rsid w:val="0098139D"/>
    <w:rsid w:val="009813FA"/>
    <w:rsid w:val="009814A4"/>
    <w:rsid w:val="009814DF"/>
    <w:rsid w:val="0098152C"/>
    <w:rsid w:val="00981565"/>
    <w:rsid w:val="00981569"/>
    <w:rsid w:val="0098156E"/>
    <w:rsid w:val="009815C8"/>
    <w:rsid w:val="0098163C"/>
    <w:rsid w:val="00981643"/>
    <w:rsid w:val="00981674"/>
    <w:rsid w:val="009816A3"/>
    <w:rsid w:val="00981776"/>
    <w:rsid w:val="0098178E"/>
    <w:rsid w:val="009817DB"/>
    <w:rsid w:val="0098186B"/>
    <w:rsid w:val="009818AF"/>
    <w:rsid w:val="009818D9"/>
    <w:rsid w:val="00981AD7"/>
    <w:rsid w:val="00981BCA"/>
    <w:rsid w:val="00981BCF"/>
    <w:rsid w:val="00981BF9"/>
    <w:rsid w:val="00981C14"/>
    <w:rsid w:val="00981C22"/>
    <w:rsid w:val="00981C72"/>
    <w:rsid w:val="00981C7E"/>
    <w:rsid w:val="00981E05"/>
    <w:rsid w:val="00981E1C"/>
    <w:rsid w:val="00981E37"/>
    <w:rsid w:val="00981EEC"/>
    <w:rsid w:val="00981F8A"/>
    <w:rsid w:val="00982045"/>
    <w:rsid w:val="00982080"/>
    <w:rsid w:val="0098208E"/>
    <w:rsid w:val="00982118"/>
    <w:rsid w:val="0098217C"/>
    <w:rsid w:val="00982207"/>
    <w:rsid w:val="009822B2"/>
    <w:rsid w:val="009822D3"/>
    <w:rsid w:val="0098231B"/>
    <w:rsid w:val="00982334"/>
    <w:rsid w:val="009823D9"/>
    <w:rsid w:val="0098245F"/>
    <w:rsid w:val="009824D4"/>
    <w:rsid w:val="009825ED"/>
    <w:rsid w:val="00982645"/>
    <w:rsid w:val="009826BF"/>
    <w:rsid w:val="009826EF"/>
    <w:rsid w:val="00982763"/>
    <w:rsid w:val="009827FA"/>
    <w:rsid w:val="00982828"/>
    <w:rsid w:val="0098288D"/>
    <w:rsid w:val="00982899"/>
    <w:rsid w:val="0098289E"/>
    <w:rsid w:val="009828B3"/>
    <w:rsid w:val="00982924"/>
    <w:rsid w:val="00982953"/>
    <w:rsid w:val="0098298C"/>
    <w:rsid w:val="009829DA"/>
    <w:rsid w:val="009829DD"/>
    <w:rsid w:val="00982A9F"/>
    <w:rsid w:val="00982B12"/>
    <w:rsid w:val="00982B7E"/>
    <w:rsid w:val="00982B8E"/>
    <w:rsid w:val="00982BB1"/>
    <w:rsid w:val="00982BB7"/>
    <w:rsid w:val="00982BE4"/>
    <w:rsid w:val="00982C4A"/>
    <w:rsid w:val="00982CF0"/>
    <w:rsid w:val="00982CF1"/>
    <w:rsid w:val="00982D9A"/>
    <w:rsid w:val="00982DD5"/>
    <w:rsid w:val="00982DD8"/>
    <w:rsid w:val="00982DE5"/>
    <w:rsid w:val="00982DF0"/>
    <w:rsid w:val="00982E1B"/>
    <w:rsid w:val="00982E26"/>
    <w:rsid w:val="00982E2E"/>
    <w:rsid w:val="00982E81"/>
    <w:rsid w:val="00982EEC"/>
    <w:rsid w:val="00982F0C"/>
    <w:rsid w:val="00982F59"/>
    <w:rsid w:val="00983057"/>
    <w:rsid w:val="0098308F"/>
    <w:rsid w:val="009830B5"/>
    <w:rsid w:val="009830D4"/>
    <w:rsid w:val="00983136"/>
    <w:rsid w:val="009831D1"/>
    <w:rsid w:val="0098323C"/>
    <w:rsid w:val="009832BE"/>
    <w:rsid w:val="009832C5"/>
    <w:rsid w:val="009833DC"/>
    <w:rsid w:val="00983417"/>
    <w:rsid w:val="00983429"/>
    <w:rsid w:val="009834B1"/>
    <w:rsid w:val="009834E1"/>
    <w:rsid w:val="00983566"/>
    <w:rsid w:val="009835D2"/>
    <w:rsid w:val="0098365F"/>
    <w:rsid w:val="00983715"/>
    <w:rsid w:val="00983737"/>
    <w:rsid w:val="00983743"/>
    <w:rsid w:val="00983748"/>
    <w:rsid w:val="009837F1"/>
    <w:rsid w:val="00983893"/>
    <w:rsid w:val="009838F9"/>
    <w:rsid w:val="0098392A"/>
    <w:rsid w:val="009839B2"/>
    <w:rsid w:val="009839FF"/>
    <w:rsid w:val="00983A41"/>
    <w:rsid w:val="00983AF4"/>
    <w:rsid w:val="00983B5E"/>
    <w:rsid w:val="00983B68"/>
    <w:rsid w:val="00983BA1"/>
    <w:rsid w:val="00983BCC"/>
    <w:rsid w:val="00983C64"/>
    <w:rsid w:val="00983C6E"/>
    <w:rsid w:val="00983DA4"/>
    <w:rsid w:val="00983DED"/>
    <w:rsid w:val="00983F9C"/>
    <w:rsid w:val="0098400F"/>
    <w:rsid w:val="00984167"/>
    <w:rsid w:val="009841DA"/>
    <w:rsid w:val="009841FB"/>
    <w:rsid w:val="00984260"/>
    <w:rsid w:val="0098428C"/>
    <w:rsid w:val="009842C9"/>
    <w:rsid w:val="0098430A"/>
    <w:rsid w:val="00984317"/>
    <w:rsid w:val="0098433D"/>
    <w:rsid w:val="0098435D"/>
    <w:rsid w:val="009843BF"/>
    <w:rsid w:val="00984416"/>
    <w:rsid w:val="00984436"/>
    <w:rsid w:val="0098443D"/>
    <w:rsid w:val="0098445D"/>
    <w:rsid w:val="00984499"/>
    <w:rsid w:val="009844B7"/>
    <w:rsid w:val="009844F8"/>
    <w:rsid w:val="00984625"/>
    <w:rsid w:val="0098464D"/>
    <w:rsid w:val="009846CE"/>
    <w:rsid w:val="009846E2"/>
    <w:rsid w:val="009846E8"/>
    <w:rsid w:val="00984712"/>
    <w:rsid w:val="0098472A"/>
    <w:rsid w:val="00984737"/>
    <w:rsid w:val="00984781"/>
    <w:rsid w:val="009847A4"/>
    <w:rsid w:val="009847F7"/>
    <w:rsid w:val="0098481A"/>
    <w:rsid w:val="00984870"/>
    <w:rsid w:val="009848CA"/>
    <w:rsid w:val="009848EA"/>
    <w:rsid w:val="00984BA8"/>
    <w:rsid w:val="00984C56"/>
    <w:rsid w:val="00984C79"/>
    <w:rsid w:val="00984CB3"/>
    <w:rsid w:val="00984CD4"/>
    <w:rsid w:val="00984D89"/>
    <w:rsid w:val="00984D8C"/>
    <w:rsid w:val="00984D91"/>
    <w:rsid w:val="00984D9D"/>
    <w:rsid w:val="00984DA2"/>
    <w:rsid w:val="00984E56"/>
    <w:rsid w:val="00984EBF"/>
    <w:rsid w:val="00984EE4"/>
    <w:rsid w:val="00984EEA"/>
    <w:rsid w:val="00984EEB"/>
    <w:rsid w:val="00984F49"/>
    <w:rsid w:val="00984FC7"/>
    <w:rsid w:val="00984FDF"/>
    <w:rsid w:val="00984FFD"/>
    <w:rsid w:val="00985004"/>
    <w:rsid w:val="00985009"/>
    <w:rsid w:val="00985017"/>
    <w:rsid w:val="009850A4"/>
    <w:rsid w:val="009851FE"/>
    <w:rsid w:val="00985231"/>
    <w:rsid w:val="00985252"/>
    <w:rsid w:val="009852D7"/>
    <w:rsid w:val="009852FB"/>
    <w:rsid w:val="00985308"/>
    <w:rsid w:val="0098537F"/>
    <w:rsid w:val="009853D8"/>
    <w:rsid w:val="009853F0"/>
    <w:rsid w:val="00985409"/>
    <w:rsid w:val="00985452"/>
    <w:rsid w:val="00985455"/>
    <w:rsid w:val="00985534"/>
    <w:rsid w:val="00985589"/>
    <w:rsid w:val="009855A0"/>
    <w:rsid w:val="00985610"/>
    <w:rsid w:val="0098564A"/>
    <w:rsid w:val="00985679"/>
    <w:rsid w:val="009856A5"/>
    <w:rsid w:val="0098577C"/>
    <w:rsid w:val="009857F2"/>
    <w:rsid w:val="00985813"/>
    <w:rsid w:val="00985832"/>
    <w:rsid w:val="00985879"/>
    <w:rsid w:val="009858A0"/>
    <w:rsid w:val="009858B6"/>
    <w:rsid w:val="009858C6"/>
    <w:rsid w:val="009858EE"/>
    <w:rsid w:val="00985929"/>
    <w:rsid w:val="0098598A"/>
    <w:rsid w:val="00985A15"/>
    <w:rsid w:val="00985A5B"/>
    <w:rsid w:val="00985A90"/>
    <w:rsid w:val="00985ADC"/>
    <w:rsid w:val="00985AEE"/>
    <w:rsid w:val="00985B6E"/>
    <w:rsid w:val="00985B70"/>
    <w:rsid w:val="00985BD7"/>
    <w:rsid w:val="00985C0C"/>
    <w:rsid w:val="00985C40"/>
    <w:rsid w:val="00985CD0"/>
    <w:rsid w:val="00985D23"/>
    <w:rsid w:val="00985E38"/>
    <w:rsid w:val="00985EE8"/>
    <w:rsid w:val="00985F16"/>
    <w:rsid w:val="00985F7B"/>
    <w:rsid w:val="00985F97"/>
    <w:rsid w:val="00985FEF"/>
    <w:rsid w:val="00986005"/>
    <w:rsid w:val="00986145"/>
    <w:rsid w:val="0098615A"/>
    <w:rsid w:val="00986185"/>
    <w:rsid w:val="0098628D"/>
    <w:rsid w:val="00986293"/>
    <w:rsid w:val="009862C5"/>
    <w:rsid w:val="0098630C"/>
    <w:rsid w:val="00986376"/>
    <w:rsid w:val="009863EE"/>
    <w:rsid w:val="00986432"/>
    <w:rsid w:val="00986448"/>
    <w:rsid w:val="00986485"/>
    <w:rsid w:val="009864D4"/>
    <w:rsid w:val="009864F5"/>
    <w:rsid w:val="00986506"/>
    <w:rsid w:val="0098652A"/>
    <w:rsid w:val="009865EF"/>
    <w:rsid w:val="009865F1"/>
    <w:rsid w:val="009866DC"/>
    <w:rsid w:val="00986740"/>
    <w:rsid w:val="0098675B"/>
    <w:rsid w:val="00986773"/>
    <w:rsid w:val="009867A4"/>
    <w:rsid w:val="009867D7"/>
    <w:rsid w:val="009867E6"/>
    <w:rsid w:val="009867E7"/>
    <w:rsid w:val="009868C8"/>
    <w:rsid w:val="00986933"/>
    <w:rsid w:val="0098696A"/>
    <w:rsid w:val="00986985"/>
    <w:rsid w:val="009869F9"/>
    <w:rsid w:val="00986A1D"/>
    <w:rsid w:val="00986A4C"/>
    <w:rsid w:val="00986A9F"/>
    <w:rsid w:val="00986ACF"/>
    <w:rsid w:val="00986B1D"/>
    <w:rsid w:val="00986BDA"/>
    <w:rsid w:val="00986CC2"/>
    <w:rsid w:val="00986CD1"/>
    <w:rsid w:val="00986D32"/>
    <w:rsid w:val="00986D86"/>
    <w:rsid w:val="00986DA6"/>
    <w:rsid w:val="00986E24"/>
    <w:rsid w:val="00986E62"/>
    <w:rsid w:val="00986E65"/>
    <w:rsid w:val="00986EDE"/>
    <w:rsid w:val="00986F75"/>
    <w:rsid w:val="00986F87"/>
    <w:rsid w:val="00986FAD"/>
    <w:rsid w:val="00986FB2"/>
    <w:rsid w:val="00986FE4"/>
    <w:rsid w:val="00986FF1"/>
    <w:rsid w:val="00987040"/>
    <w:rsid w:val="00987139"/>
    <w:rsid w:val="00987173"/>
    <w:rsid w:val="00987181"/>
    <w:rsid w:val="0098721F"/>
    <w:rsid w:val="009872E5"/>
    <w:rsid w:val="0098736B"/>
    <w:rsid w:val="009873A4"/>
    <w:rsid w:val="009873E2"/>
    <w:rsid w:val="00987426"/>
    <w:rsid w:val="00987481"/>
    <w:rsid w:val="00987484"/>
    <w:rsid w:val="009874F9"/>
    <w:rsid w:val="0098752F"/>
    <w:rsid w:val="00987560"/>
    <w:rsid w:val="00987570"/>
    <w:rsid w:val="009875B2"/>
    <w:rsid w:val="0098774D"/>
    <w:rsid w:val="00987866"/>
    <w:rsid w:val="0098789A"/>
    <w:rsid w:val="00987911"/>
    <w:rsid w:val="009879A2"/>
    <w:rsid w:val="009879AB"/>
    <w:rsid w:val="009879BF"/>
    <w:rsid w:val="009879C9"/>
    <w:rsid w:val="00987AD6"/>
    <w:rsid w:val="00987B0E"/>
    <w:rsid w:val="00987B99"/>
    <w:rsid w:val="00987BF7"/>
    <w:rsid w:val="00987C2D"/>
    <w:rsid w:val="00987C3C"/>
    <w:rsid w:val="00987C66"/>
    <w:rsid w:val="00987C74"/>
    <w:rsid w:val="00987C86"/>
    <w:rsid w:val="00987CD4"/>
    <w:rsid w:val="00987D8B"/>
    <w:rsid w:val="00987DEF"/>
    <w:rsid w:val="00987E0E"/>
    <w:rsid w:val="00987E27"/>
    <w:rsid w:val="00987E51"/>
    <w:rsid w:val="00987E72"/>
    <w:rsid w:val="00987EB5"/>
    <w:rsid w:val="00987EDC"/>
    <w:rsid w:val="00987EEA"/>
    <w:rsid w:val="00987F06"/>
    <w:rsid w:val="00987F0A"/>
    <w:rsid w:val="00987F6A"/>
    <w:rsid w:val="00987F8B"/>
    <w:rsid w:val="00987FF8"/>
    <w:rsid w:val="00987FFA"/>
    <w:rsid w:val="0099005F"/>
    <w:rsid w:val="0099009F"/>
    <w:rsid w:val="009900CC"/>
    <w:rsid w:val="009900F3"/>
    <w:rsid w:val="009901B2"/>
    <w:rsid w:val="00990208"/>
    <w:rsid w:val="0099027B"/>
    <w:rsid w:val="009902FA"/>
    <w:rsid w:val="009903ED"/>
    <w:rsid w:val="009903FC"/>
    <w:rsid w:val="00990403"/>
    <w:rsid w:val="00990453"/>
    <w:rsid w:val="009904A3"/>
    <w:rsid w:val="009904AD"/>
    <w:rsid w:val="009904C0"/>
    <w:rsid w:val="009904CF"/>
    <w:rsid w:val="009904EA"/>
    <w:rsid w:val="0099053C"/>
    <w:rsid w:val="009905D9"/>
    <w:rsid w:val="00990675"/>
    <w:rsid w:val="00990686"/>
    <w:rsid w:val="009906E4"/>
    <w:rsid w:val="00990761"/>
    <w:rsid w:val="00990795"/>
    <w:rsid w:val="00990796"/>
    <w:rsid w:val="0099079D"/>
    <w:rsid w:val="009907E7"/>
    <w:rsid w:val="00990822"/>
    <w:rsid w:val="009908EE"/>
    <w:rsid w:val="009908FF"/>
    <w:rsid w:val="0099098E"/>
    <w:rsid w:val="00990A01"/>
    <w:rsid w:val="00990A5B"/>
    <w:rsid w:val="00990A66"/>
    <w:rsid w:val="00990AAD"/>
    <w:rsid w:val="00990AF3"/>
    <w:rsid w:val="00990B56"/>
    <w:rsid w:val="00990B86"/>
    <w:rsid w:val="00990BD4"/>
    <w:rsid w:val="00990C22"/>
    <w:rsid w:val="00990C33"/>
    <w:rsid w:val="00990C66"/>
    <w:rsid w:val="00990C74"/>
    <w:rsid w:val="00990C85"/>
    <w:rsid w:val="00990CA4"/>
    <w:rsid w:val="00990CE7"/>
    <w:rsid w:val="00990CF4"/>
    <w:rsid w:val="00990D7C"/>
    <w:rsid w:val="00990DA1"/>
    <w:rsid w:val="00990DB9"/>
    <w:rsid w:val="00990DC5"/>
    <w:rsid w:val="00990DE4"/>
    <w:rsid w:val="00990DF8"/>
    <w:rsid w:val="00990DFE"/>
    <w:rsid w:val="00990EFE"/>
    <w:rsid w:val="00990F3F"/>
    <w:rsid w:val="00990F77"/>
    <w:rsid w:val="00990FB8"/>
    <w:rsid w:val="00991065"/>
    <w:rsid w:val="00991098"/>
    <w:rsid w:val="009910B8"/>
    <w:rsid w:val="0099110B"/>
    <w:rsid w:val="009911B8"/>
    <w:rsid w:val="00991269"/>
    <w:rsid w:val="00991282"/>
    <w:rsid w:val="009913B2"/>
    <w:rsid w:val="0099145B"/>
    <w:rsid w:val="00991469"/>
    <w:rsid w:val="00991480"/>
    <w:rsid w:val="009914E6"/>
    <w:rsid w:val="00991502"/>
    <w:rsid w:val="00991544"/>
    <w:rsid w:val="00991597"/>
    <w:rsid w:val="009915A2"/>
    <w:rsid w:val="009915C1"/>
    <w:rsid w:val="009915E2"/>
    <w:rsid w:val="00991613"/>
    <w:rsid w:val="009916A7"/>
    <w:rsid w:val="009916AD"/>
    <w:rsid w:val="009916E6"/>
    <w:rsid w:val="00991740"/>
    <w:rsid w:val="00991753"/>
    <w:rsid w:val="0099176A"/>
    <w:rsid w:val="00991858"/>
    <w:rsid w:val="009918C6"/>
    <w:rsid w:val="0099191A"/>
    <w:rsid w:val="00991A29"/>
    <w:rsid w:val="00991A55"/>
    <w:rsid w:val="00991A75"/>
    <w:rsid w:val="00991A9F"/>
    <w:rsid w:val="00991AB3"/>
    <w:rsid w:val="00991AC8"/>
    <w:rsid w:val="00991B4E"/>
    <w:rsid w:val="00991B70"/>
    <w:rsid w:val="00991BB0"/>
    <w:rsid w:val="00991C15"/>
    <w:rsid w:val="00991C89"/>
    <w:rsid w:val="00991CE7"/>
    <w:rsid w:val="00991CFB"/>
    <w:rsid w:val="00991D6F"/>
    <w:rsid w:val="00991D95"/>
    <w:rsid w:val="00991DA9"/>
    <w:rsid w:val="00991DBC"/>
    <w:rsid w:val="00991DC4"/>
    <w:rsid w:val="00991E38"/>
    <w:rsid w:val="00991E77"/>
    <w:rsid w:val="00991E7F"/>
    <w:rsid w:val="00991EC9"/>
    <w:rsid w:val="00991F1B"/>
    <w:rsid w:val="00991F7D"/>
    <w:rsid w:val="00991FE7"/>
    <w:rsid w:val="009920C6"/>
    <w:rsid w:val="009920CC"/>
    <w:rsid w:val="009920D5"/>
    <w:rsid w:val="009920E0"/>
    <w:rsid w:val="00992185"/>
    <w:rsid w:val="0099219D"/>
    <w:rsid w:val="009921F9"/>
    <w:rsid w:val="00992219"/>
    <w:rsid w:val="009922BA"/>
    <w:rsid w:val="009922CB"/>
    <w:rsid w:val="0099234C"/>
    <w:rsid w:val="009923C1"/>
    <w:rsid w:val="009924E3"/>
    <w:rsid w:val="00992517"/>
    <w:rsid w:val="00992583"/>
    <w:rsid w:val="009925AC"/>
    <w:rsid w:val="00992626"/>
    <w:rsid w:val="009926B1"/>
    <w:rsid w:val="009926C6"/>
    <w:rsid w:val="0099271B"/>
    <w:rsid w:val="00992759"/>
    <w:rsid w:val="00992792"/>
    <w:rsid w:val="009927C4"/>
    <w:rsid w:val="009928FE"/>
    <w:rsid w:val="0099296F"/>
    <w:rsid w:val="00992A3B"/>
    <w:rsid w:val="00992A48"/>
    <w:rsid w:val="00992A4E"/>
    <w:rsid w:val="00992A62"/>
    <w:rsid w:val="00992A6E"/>
    <w:rsid w:val="00992A99"/>
    <w:rsid w:val="00992AB9"/>
    <w:rsid w:val="00992BCA"/>
    <w:rsid w:val="00992C13"/>
    <w:rsid w:val="00992D3F"/>
    <w:rsid w:val="00992E0E"/>
    <w:rsid w:val="00992E2E"/>
    <w:rsid w:val="00992E46"/>
    <w:rsid w:val="00992EE2"/>
    <w:rsid w:val="00992F30"/>
    <w:rsid w:val="00992F81"/>
    <w:rsid w:val="00992FC2"/>
    <w:rsid w:val="0099305B"/>
    <w:rsid w:val="009930A7"/>
    <w:rsid w:val="009930A9"/>
    <w:rsid w:val="00993140"/>
    <w:rsid w:val="0099317B"/>
    <w:rsid w:val="009931EB"/>
    <w:rsid w:val="0099326B"/>
    <w:rsid w:val="0099327B"/>
    <w:rsid w:val="00993370"/>
    <w:rsid w:val="00993397"/>
    <w:rsid w:val="009934AF"/>
    <w:rsid w:val="00993518"/>
    <w:rsid w:val="00993562"/>
    <w:rsid w:val="00993646"/>
    <w:rsid w:val="0099365B"/>
    <w:rsid w:val="009936B1"/>
    <w:rsid w:val="009936B6"/>
    <w:rsid w:val="009936CF"/>
    <w:rsid w:val="009936F2"/>
    <w:rsid w:val="0099372F"/>
    <w:rsid w:val="00993764"/>
    <w:rsid w:val="009937A2"/>
    <w:rsid w:val="009937B0"/>
    <w:rsid w:val="009937C9"/>
    <w:rsid w:val="00993838"/>
    <w:rsid w:val="00993882"/>
    <w:rsid w:val="009938E9"/>
    <w:rsid w:val="00993918"/>
    <w:rsid w:val="00993972"/>
    <w:rsid w:val="0099397A"/>
    <w:rsid w:val="009939DB"/>
    <w:rsid w:val="00993A1A"/>
    <w:rsid w:val="00993ABF"/>
    <w:rsid w:val="00993CC1"/>
    <w:rsid w:val="00993CE2"/>
    <w:rsid w:val="00993D32"/>
    <w:rsid w:val="00993DEC"/>
    <w:rsid w:val="00993E05"/>
    <w:rsid w:val="00993E6F"/>
    <w:rsid w:val="00993F1D"/>
    <w:rsid w:val="00994017"/>
    <w:rsid w:val="0099401A"/>
    <w:rsid w:val="0099404C"/>
    <w:rsid w:val="00994091"/>
    <w:rsid w:val="009940D5"/>
    <w:rsid w:val="0099413A"/>
    <w:rsid w:val="009941B2"/>
    <w:rsid w:val="009941B9"/>
    <w:rsid w:val="009941C0"/>
    <w:rsid w:val="009941E1"/>
    <w:rsid w:val="009942DB"/>
    <w:rsid w:val="00994364"/>
    <w:rsid w:val="0099436E"/>
    <w:rsid w:val="00994393"/>
    <w:rsid w:val="009943A1"/>
    <w:rsid w:val="009943B5"/>
    <w:rsid w:val="009943ED"/>
    <w:rsid w:val="0099441F"/>
    <w:rsid w:val="00994421"/>
    <w:rsid w:val="0099442D"/>
    <w:rsid w:val="00994435"/>
    <w:rsid w:val="00994500"/>
    <w:rsid w:val="00994505"/>
    <w:rsid w:val="00994556"/>
    <w:rsid w:val="009945B2"/>
    <w:rsid w:val="00994630"/>
    <w:rsid w:val="00994664"/>
    <w:rsid w:val="009946BE"/>
    <w:rsid w:val="009947DC"/>
    <w:rsid w:val="00994851"/>
    <w:rsid w:val="0099498D"/>
    <w:rsid w:val="00994A0C"/>
    <w:rsid w:val="00994AC9"/>
    <w:rsid w:val="00994B4F"/>
    <w:rsid w:val="00994C0C"/>
    <w:rsid w:val="00994C40"/>
    <w:rsid w:val="00994CE0"/>
    <w:rsid w:val="00994DE8"/>
    <w:rsid w:val="00994DF7"/>
    <w:rsid w:val="00994EA5"/>
    <w:rsid w:val="00994F12"/>
    <w:rsid w:val="00994F15"/>
    <w:rsid w:val="00994F1F"/>
    <w:rsid w:val="00994F5B"/>
    <w:rsid w:val="00995008"/>
    <w:rsid w:val="0099503C"/>
    <w:rsid w:val="0099503E"/>
    <w:rsid w:val="00995083"/>
    <w:rsid w:val="009950BF"/>
    <w:rsid w:val="009950D2"/>
    <w:rsid w:val="0099512D"/>
    <w:rsid w:val="009951BB"/>
    <w:rsid w:val="00995218"/>
    <w:rsid w:val="0099524B"/>
    <w:rsid w:val="009952A0"/>
    <w:rsid w:val="009952CA"/>
    <w:rsid w:val="00995452"/>
    <w:rsid w:val="009954A4"/>
    <w:rsid w:val="0099550A"/>
    <w:rsid w:val="00995524"/>
    <w:rsid w:val="00995653"/>
    <w:rsid w:val="0099568B"/>
    <w:rsid w:val="009956EF"/>
    <w:rsid w:val="00995720"/>
    <w:rsid w:val="009957CF"/>
    <w:rsid w:val="009957DE"/>
    <w:rsid w:val="009957F9"/>
    <w:rsid w:val="0099586C"/>
    <w:rsid w:val="0099589A"/>
    <w:rsid w:val="009958C7"/>
    <w:rsid w:val="00995978"/>
    <w:rsid w:val="00995992"/>
    <w:rsid w:val="00995999"/>
    <w:rsid w:val="009959E3"/>
    <w:rsid w:val="00995A0C"/>
    <w:rsid w:val="00995A55"/>
    <w:rsid w:val="00995BA9"/>
    <w:rsid w:val="00995C6C"/>
    <w:rsid w:val="00995D9F"/>
    <w:rsid w:val="00995DC5"/>
    <w:rsid w:val="00995DDB"/>
    <w:rsid w:val="00995E1B"/>
    <w:rsid w:val="00995E6A"/>
    <w:rsid w:val="00995E9E"/>
    <w:rsid w:val="00995F0E"/>
    <w:rsid w:val="00995F2C"/>
    <w:rsid w:val="00995F5F"/>
    <w:rsid w:val="00996001"/>
    <w:rsid w:val="00996013"/>
    <w:rsid w:val="0099607C"/>
    <w:rsid w:val="00996087"/>
    <w:rsid w:val="009960D1"/>
    <w:rsid w:val="009960E4"/>
    <w:rsid w:val="00996205"/>
    <w:rsid w:val="00996212"/>
    <w:rsid w:val="00996314"/>
    <w:rsid w:val="00996378"/>
    <w:rsid w:val="009963E6"/>
    <w:rsid w:val="0099642D"/>
    <w:rsid w:val="00996463"/>
    <w:rsid w:val="0099648F"/>
    <w:rsid w:val="009964DE"/>
    <w:rsid w:val="009964F5"/>
    <w:rsid w:val="00996583"/>
    <w:rsid w:val="009966CE"/>
    <w:rsid w:val="009966E9"/>
    <w:rsid w:val="00996713"/>
    <w:rsid w:val="00996741"/>
    <w:rsid w:val="00996788"/>
    <w:rsid w:val="009967A0"/>
    <w:rsid w:val="009967D3"/>
    <w:rsid w:val="00996809"/>
    <w:rsid w:val="0099680F"/>
    <w:rsid w:val="00996823"/>
    <w:rsid w:val="00996877"/>
    <w:rsid w:val="00996880"/>
    <w:rsid w:val="009968A2"/>
    <w:rsid w:val="009968A9"/>
    <w:rsid w:val="009968F0"/>
    <w:rsid w:val="0099690D"/>
    <w:rsid w:val="0099691B"/>
    <w:rsid w:val="009969AD"/>
    <w:rsid w:val="00996A08"/>
    <w:rsid w:val="00996A0D"/>
    <w:rsid w:val="00996A45"/>
    <w:rsid w:val="00996A46"/>
    <w:rsid w:val="00996A9B"/>
    <w:rsid w:val="00996B83"/>
    <w:rsid w:val="00996B8B"/>
    <w:rsid w:val="00996C00"/>
    <w:rsid w:val="00996C44"/>
    <w:rsid w:val="00996C61"/>
    <w:rsid w:val="00996C8C"/>
    <w:rsid w:val="00996D81"/>
    <w:rsid w:val="00996E16"/>
    <w:rsid w:val="00996F24"/>
    <w:rsid w:val="00996F2F"/>
    <w:rsid w:val="00996F83"/>
    <w:rsid w:val="00996F8E"/>
    <w:rsid w:val="00996F95"/>
    <w:rsid w:val="00997051"/>
    <w:rsid w:val="009970E1"/>
    <w:rsid w:val="0099710B"/>
    <w:rsid w:val="00997116"/>
    <w:rsid w:val="0099721C"/>
    <w:rsid w:val="00997288"/>
    <w:rsid w:val="00997289"/>
    <w:rsid w:val="009972F2"/>
    <w:rsid w:val="009973A6"/>
    <w:rsid w:val="0099749F"/>
    <w:rsid w:val="009974B0"/>
    <w:rsid w:val="009974E1"/>
    <w:rsid w:val="009974FA"/>
    <w:rsid w:val="00997542"/>
    <w:rsid w:val="00997576"/>
    <w:rsid w:val="0099763F"/>
    <w:rsid w:val="0099765A"/>
    <w:rsid w:val="0099765E"/>
    <w:rsid w:val="00997666"/>
    <w:rsid w:val="00997684"/>
    <w:rsid w:val="00997724"/>
    <w:rsid w:val="00997889"/>
    <w:rsid w:val="0099788D"/>
    <w:rsid w:val="009978EE"/>
    <w:rsid w:val="009978F0"/>
    <w:rsid w:val="0099791E"/>
    <w:rsid w:val="00997940"/>
    <w:rsid w:val="009979F9"/>
    <w:rsid w:val="00997A09"/>
    <w:rsid w:val="00997A0C"/>
    <w:rsid w:val="00997A33"/>
    <w:rsid w:val="00997ADD"/>
    <w:rsid w:val="00997AF2"/>
    <w:rsid w:val="00997B37"/>
    <w:rsid w:val="00997BDF"/>
    <w:rsid w:val="00997BF9"/>
    <w:rsid w:val="00997C39"/>
    <w:rsid w:val="00997C46"/>
    <w:rsid w:val="00997C65"/>
    <w:rsid w:val="00997CBE"/>
    <w:rsid w:val="00997CE8"/>
    <w:rsid w:val="00997E3E"/>
    <w:rsid w:val="00997EDA"/>
    <w:rsid w:val="00997F4F"/>
    <w:rsid w:val="00997F5F"/>
    <w:rsid w:val="00997F6B"/>
    <w:rsid w:val="00997F8A"/>
    <w:rsid w:val="00997FA8"/>
    <w:rsid w:val="009A001D"/>
    <w:rsid w:val="009A0020"/>
    <w:rsid w:val="009A0029"/>
    <w:rsid w:val="009A003D"/>
    <w:rsid w:val="009A0055"/>
    <w:rsid w:val="009A00A7"/>
    <w:rsid w:val="009A0102"/>
    <w:rsid w:val="009A0169"/>
    <w:rsid w:val="009A017F"/>
    <w:rsid w:val="009A0194"/>
    <w:rsid w:val="009A0199"/>
    <w:rsid w:val="009A01A0"/>
    <w:rsid w:val="009A01A7"/>
    <w:rsid w:val="009A01E5"/>
    <w:rsid w:val="009A026E"/>
    <w:rsid w:val="009A02EB"/>
    <w:rsid w:val="009A0360"/>
    <w:rsid w:val="009A0379"/>
    <w:rsid w:val="009A0491"/>
    <w:rsid w:val="009A04AC"/>
    <w:rsid w:val="009A04B3"/>
    <w:rsid w:val="009A04FD"/>
    <w:rsid w:val="009A055E"/>
    <w:rsid w:val="009A05AF"/>
    <w:rsid w:val="009A05EE"/>
    <w:rsid w:val="009A05FC"/>
    <w:rsid w:val="009A061D"/>
    <w:rsid w:val="009A0637"/>
    <w:rsid w:val="009A066F"/>
    <w:rsid w:val="009A073C"/>
    <w:rsid w:val="009A07EA"/>
    <w:rsid w:val="009A0872"/>
    <w:rsid w:val="009A08D4"/>
    <w:rsid w:val="009A098E"/>
    <w:rsid w:val="009A0A0B"/>
    <w:rsid w:val="009A0A3F"/>
    <w:rsid w:val="009A0A49"/>
    <w:rsid w:val="009A0A5C"/>
    <w:rsid w:val="009A0A7A"/>
    <w:rsid w:val="009A0A7D"/>
    <w:rsid w:val="009A0A8C"/>
    <w:rsid w:val="009A0AB4"/>
    <w:rsid w:val="009A0B07"/>
    <w:rsid w:val="009A0B0B"/>
    <w:rsid w:val="009A0B8F"/>
    <w:rsid w:val="009A0BF2"/>
    <w:rsid w:val="009A0C45"/>
    <w:rsid w:val="009A0CBE"/>
    <w:rsid w:val="009A0D6C"/>
    <w:rsid w:val="009A0E62"/>
    <w:rsid w:val="009A0E8B"/>
    <w:rsid w:val="009A0E99"/>
    <w:rsid w:val="009A0ECA"/>
    <w:rsid w:val="009A0EDF"/>
    <w:rsid w:val="009A0F41"/>
    <w:rsid w:val="009A100D"/>
    <w:rsid w:val="009A11CA"/>
    <w:rsid w:val="009A12E4"/>
    <w:rsid w:val="009A131E"/>
    <w:rsid w:val="009A135C"/>
    <w:rsid w:val="009A144C"/>
    <w:rsid w:val="009A1594"/>
    <w:rsid w:val="009A1611"/>
    <w:rsid w:val="009A162D"/>
    <w:rsid w:val="009A1757"/>
    <w:rsid w:val="009A1858"/>
    <w:rsid w:val="009A1887"/>
    <w:rsid w:val="009A188C"/>
    <w:rsid w:val="009A18CD"/>
    <w:rsid w:val="009A1953"/>
    <w:rsid w:val="009A1A2D"/>
    <w:rsid w:val="009A1B85"/>
    <w:rsid w:val="009A1B8F"/>
    <w:rsid w:val="009A1C03"/>
    <w:rsid w:val="009A1C83"/>
    <w:rsid w:val="009A1CB3"/>
    <w:rsid w:val="009A1CDA"/>
    <w:rsid w:val="009A1CEF"/>
    <w:rsid w:val="009A1DFA"/>
    <w:rsid w:val="009A1EA7"/>
    <w:rsid w:val="009A1EB9"/>
    <w:rsid w:val="009A1EEF"/>
    <w:rsid w:val="009A1EF9"/>
    <w:rsid w:val="009A1F3B"/>
    <w:rsid w:val="009A1F42"/>
    <w:rsid w:val="009A1F5D"/>
    <w:rsid w:val="009A20B1"/>
    <w:rsid w:val="009A2144"/>
    <w:rsid w:val="009A2165"/>
    <w:rsid w:val="009A2192"/>
    <w:rsid w:val="009A2198"/>
    <w:rsid w:val="009A21A3"/>
    <w:rsid w:val="009A21A5"/>
    <w:rsid w:val="009A22DE"/>
    <w:rsid w:val="009A237D"/>
    <w:rsid w:val="009A243D"/>
    <w:rsid w:val="009A2504"/>
    <w:rsid w:val="009A2541"/>
    <w:rsid w:val="009A2560"/>
    <w:rsid w:val="009A25AA"/>
    <w:rsid w:val="009A2756"/>
    <w:rsid w:val="009A286E"/>
    <w:rsid w:val="009A28AA"/>
    <w:rsid w:val="009A28E5"/>
    <w:rsid w:val="009A2947"/>
    <w:rsid w:val="009A2964"/>
    <w:rsid w:val="009A29B7"/>
    <w:rsid w:val="009A29DC"/>
    <w:rsid w:val="009A29F1"/>
    <w:rsid w:val="009A2A2C"/>
    <w:rsid w:val="009A2A4C"/>
    <w:rsid w:val="009A2A96"/>
    <w:rsid w:val="009A2B22"/>
    <w:rsid w:val="009A2B60"/>
    <w:rsid w:val="009A2B7A"/>
    <w:rsid w:val="009A2BF2"/>
    <w:rsid w:val="009A2C22"/>
    <w:rsid w:val="009A2C53"/>
    <w:rsid w:val="009A2C71"/>
    <w:rsid w:val="009A2C83"/>
    <w:rsid w:val="009A2D28"/>
    <w:rsid w:val="009A2DFD"/>
    <w:rsid w:val="009A2E32"/>
    <w:rsid w:val="009A2E35"/>
    <w:rsid w:val="009A2F2A"/>
    <w:rsid w:val="009A2FB3"/>
    <w:rsid w:val="009A301B"/>
    <w:rsid w:val="009A3048"/>
    <w:rsid w:val="009A3096"/>
    <w:rsid w:val="009A30C7"/>
    <w:rsid w:val="009A3195"/>
    <w:rsid w:val="009A31B6"/>
    <w:rsid w:val="009A31D9"/>
    <w:rsid w:val="009A31EA"/>
    <w:rsid w:val="009A3242"/>
    <w:rsid w:val="009A327C"/>
    <w:rsid w:val="009A329F"/>
    <w:rsid w:val="009A32CA"/>
    <w:rsid w:val="009A32D1"/>
    <w:rsid w:val="009A32E0"/>
    <w:rsid w:val="009A32E3"/>
    <w:rsid w:val="009A32F9"/>
    <w:rsid w:val="009A335F"/>
    <w:rsid w:val="009A33DD"/>
    <w:rsid w:val="009A33E2"/>
    <w:rsid w:val="009A33EB"/>
    <w:rsid w:val="009A3452"/>
    <w:rsid w:val="009A3470"/>
    <w:rsid w:val="009A34A4"/>
    <w:rsid w:val="009A34C0"/>
    <w:rsid w:val="009A34DC"/>
    <w:rsid w:val="009A356B"/>
    <w:rsid w:val="009A3619"/>
    <w:rsid w:val="009A3738"/>
    <w:rsid w:val="009A3798"/>
    <w:rsid w:val="009A37FB"/>
    <w:rsid w:val="009A3847"/>
    <w:rsid w:val="009A386B"/>
    <w:rsid w:val="009A39EC"/>
    <w:rsid w:val="009A3A04"/>
    <w:rsid w:val="009A3A5D"/>
    <w:rsid w:val="009A3A62"/>
    <w:rsid w:val="009A3A73"/>
    <w:rsid w:val="009A3A7B"/>
    <w:rsid w:val="009A3B1A"/>
    <w:rsid w:val="009A3B83"/>
    <w:rsid w:val="009A3C39"/>
    <w:rsid w:val="009A3C7C"/>
    <w:rsid w:val="009A3CB4"/>
    <w:rsid w:val="009A3CD4"/>
    <w:rsid w:val="009A3D2B"/>
    <w:rsid w:val="009A3DEB"/>
    <w:rsid w:val="009A3EA7"/>
    <w:rsid w:val="009A3EB6"/>
    <w:rsid w:val="009A3EDB"/>
    <w:rsid w:val="009A3F38"/>
    <w:rsid w:val="009A3F3A"/>
    <w:rsid w:val="009A3F48"/>
    <w:rsid w:val="009A3F9C"/>
    <w:rsid w:val="009A3FA3"/>
    <w:rsid w:val="009A4039"/>
    <w:rsid w:val="009A409C"/>
    <w:rsid w:val="009A40AA"/>
    <w:rsid w:val="009A4104"/>
    <w:rsid w:val="009A411E"/>
    <w:rsid w:val="009A4133"/>
    <w:rsid w:val="009A4141"/>
    <w:rsid w:val="009A41C2"/>
    <w:rsid w:val="009A41FF"/>
    <w:rsid w:val="009A427B"/>
    <w:rsid w:val="009A42C1"/>
    <w:rsid w:val="009A42CA"/>
    <w:rsid w:val="009A430D"/>
    <w:rsid w:val="009A430E"/>
    <w:rsid w:val="009A4355"/>
    <w:rsid w:val="009A4390"/>
    <w:rsid w:val="009A43B6"/>
    <w:rsid w:val="009A43C9"/>
    <w:rsid w:val="009A4461"/>
    <w:rsid w:val="009A4471"/>
    <w:rsid w:val="009A459D"/>
    <w:rsid w:val="009A45BE"/>
    <w:rsid w:val="009A4640"/>
    <w:rsid w:val="009A47D2"/>
    <w:rsid w:val="009A47FF"/>
    <w:rsid w:val="009A485C"/>
    <w:rsid w:val="009A48D1"/>
    <w:rsid w:val="009A4949"/>
    <w:rsid w:val="009A499E"/>
    <w:rsid w:val="009A49B0"/>
    <w:rsid w:val="009A49C4"/>
    <w:rsid w:val="009A49EE"/>
    <w:rsid w:val="009A4A72"/>
    <w:rsid w:val="009A4AB0"/>
    <w:rsid w:val="009A4CEE"/>
    <w:rsid w:val="009A4D53"/>
    <w:rsid w:val="009A4DF0"/>
    <w:rsid w:val="009A4F2F"/>
    <w:rsid w:val="009A4F5C"/>
    <w:rsid w:val="009A4F71"/>
    <w:rsid w:val="009A4F7D"/>
    <w:rsid w:val="009A4F90"/>
    <w:rsid w:val="009A4FA1"/>
    <w:rsid w:val="009A4FA6"/>
    <w:rsid w:val="009A513D"/>
    <w:rsid w:val="009A5273"/>
    <w:rsid w:val="009A5306"/>
    <w:rsid w:val="009A5330"/>
    <w:rsid w:val="009A5388"/>
    <w:rsid w:val="009A53E4"/>
    <w:rsid w:val="009A53E7"/>
    <w:rsid w:val="009A53F9"/>
    <w:rsid w:val="009A53FA"/>
    <w:rsid w:val="009A5429"/>
    <w:rsid w:val="009A5434"/>
    <w:rsid w:val="009A5436"/>
    <w:rsid w:val="009A5537"/>
    <w:rsid w:val="009A5568"/>
    <w:rsid w:val="009A5595"/>
    <w:rsid w:val="009A55D4"/>
    <w:rsid w:val="009A5618"/>
    <w:rsid w:val="009A5652"/>
    <w:rsid w:val="009A5680"/>
    <w:rsid w:val="009A56D2"/>
    <w:rsid w:val="009A56E6"/>
    <w:rsid w:val="009A5816"/>
    <w:rsid w:val="009A5881"/>
    <w:rsid w:val="009A5882"/>
    <w:rsid w:val="009A58CC"/>
    <w:rsid w:val="009A5BC4"/>
    <w:rsid w:val="009A5BEB"/>
    <w:rsid w:val="009A5C3B"/>
    <w:rsid w:val="009A5C4E"/>
    <w:rsid w:val="009A5C8B"/>
    <w:rsid w:val="009A5D41"/>
    <w:rsid w:val="009A5D4D"/>
    <w:rsid w:val="009A5D7E"/>
    <w:rsid w:val="009A5D82"/>
    <w:rsid w:val="009A5DD2"/>
    <w:rsid w:val="009A5E23"/>
    <w:rsid w:val="009A5E93"/>
    <w:rsid w:val="009A5EA0"/>
    <w:rsid w:val="009A5F02"/>
    <w:rsid w:val="009A5F2D"/>
    <w:rsid w:val="009A5F3C"/>
    <w:rsid w:val="009A5F43"/>
    <w:rsid w:val="009A5F52"/>
    <w:rsid w:val="009A5F7B"/>
    <w:rsid w:val="009A6059"/>
    <w:rsid w:val="009A60AC"/>
    <w:rsid w:val="009A6110"/>
    <w:rsid w:val="009A6147"/>
    <w:rsid w:val="009A615D"/>
    <w:rsid w:val="009A6195"/>
    <w:rsid w:val="009A61C7"/>
    <w:rsid w:val="009A6213"/>
    <w:rsid w:val="009A6257"/>
    <w:rsid w:val="009A62C9"/>
    <w:rsid w:val="009A62D3"/>
    <w:rsid w:val="009A637C"/>
    <w:rsid w:val="009A6399"/>
    <w:rsid w:val="009A63B4"/>
    <w:rsid w:val="009A63F7"/>
    <w:rsid w:val="009A63FD"/>
    <w:rsid w:val="009A64DF"/>
    <w:rsid w:val="009A6543"/>
    <w:rsid w:val="009A6553"/>
    <w:rsid w:val="009A6564"/>
    <w:rsid w:val="009A6565"/>
    <w:rsid w:val="009A660D"/>
    <w:rsid w:val="009A6679"/>
    <w:rsid w:val="009A6769"/>
    <w:rsid w:val="009A67E1"/>
    <w:rsid w:val="009A6827"/>
    <w:rsid w:val="009A682C"/>
    <w:rsid w:val="009A68A0"/>
    <w:rsid w:val="009A6984"/>
    <w:rsid w:val="009A69C3"/>
    <w:rsid w:val="009A69CA"/>
    <w:rsid w:val="009A69D3"/>
    <w:rsid w:val="009A69FF"/>
    <w:rsid w:val="009A6A51"/>
    <w:rsid w:val="009A6AB5"/>
    <w:rsid w:val="009A6AF5"/>
    <w:rsid w:val="009A6B84"/>
    <w:rsid w:val="009A6BDE"/>
    <w:rsid w:val="009A6D0D"/>
    <w:rsid w:val="009A6E1C"/>
    <w:rsid w:val="009A6E22"/>
    <w:rsid w:val="009A6E5A"/>
    <w:rsid w:val="009A6E75"/>
    <w:rsid w:val="009A6EA0"/>
    <w:rsid w:val="009A6EB8"/>
    <w:rsid w:val="009A6EE2"/>
    <w:rsid w:val="009A6EF5"/>
    <w:rsid w:val="009A6F5B"/>
    <w:rsid w:val="009A7028"/>
    <w:rsid w:val="009A7039"/>
    <w:rsid w:val="009A70C4"/>
    <w:rsid w:val="009A712C"/>
    <w:rsid w:val="009A713C"/>
    <w:rsid w:val="009A714B"/>
    <w:rsid w:val="009A716F"/>
    <w:rsid w:val="009A71E5"/>
    <w:rsid w:val="009A71EC"/>
    <w:rsid w:val="009A71F3"/>
    <w:rsid w:val="009A727B"/>
    <w:rsid w:val="009A7297"/>
    <w:rsid w:val="009A72C1"/>
    <w:rsid w:val="009A72F9"/>
    <w:rsid w:val="009A7328"/>
    <w:rsid w:val="009A7471"/>
    <w:rsid w:val="009A7499"/>
    <w:rsid w:val="009A74A4"/>
    <w:rsid w:val="009A74BB"/>
    <w:rsid w:val="009A74DD"/>
    <w:rsid w:val="009A7508"/>
    <w:rsid w:val="009A75C5"/>
    <w:rsid w:val="009A7727"/>
    <w:rsid w:val="009A7756"/>
    <w:rsid w:val="009A77E7"/>
    <w:rsid w:val="009A7855"/>
    <w:rsid w:val="009A78A5"/>
    <w:rsid w:val="009A78C4"/>
    <w:rsid w:val="009A78E3"/>
    <w:rsid w:val="009A78F3"/>
    <w:rsid w:val="009A78F4"/>
    <w:rsid w:val="009A794B"/>
    <w:rsid w:val="009A7A06"/>
    <w:rsid w:val="009A7AA7"/>
    <w:rsid w:val="009A7B3B"/>
    <w:rsid w:val="009A7B5D"/>
    <w:rsid w:val="009A7C55"/>
    <w:rsid w:val="009A7C61"/>
    <w:rsid w:val="009A7C8B"/>
    <w:rsid w:val="009A7D62"/>
    <w:rsid w:val="009A7E2D"/>
    <w:rsid w:val="009A7E84"/>
    <w:rsid w:val="009A7EDB"/>
    <w:rsid w:val="009A7F0E"/>
    <w:rsid w:val="009A7F19"/>
    <w:rsid w:val="009A7F36"/>
    <w:rsid w:val="009A7F44"/>
    <w:rsid w:val="009A7F59"/>
    <w:rsid w:val="009A7FDC"/>
    <w:rsid w:val="009B0070"/>
    <w:rsid w:val="009B0080"/>
    <w:rsid w:val="009B008A"/>
    <w:rsid w:val="009B0099"/>
    <w:rsid w:val="009B00DA"/>
    <w:rsid w:val="009B0174"/>
    <w:rsid w:val="009B0286"/>
    <w:rsid w:val="009B02B0"/>
    <w:rsid w:val="009B0347"/>
    <w:rsid w:val="009B03A1"/>
    <w:rsid w:val="009B043E"/>
    <w:rsid w:val="009B0459"/>
    <w:rsid w:val="009B0487"/>
    <w:rsid w:val="009B04B6"/>
    <w:rsid w:val="009B04E4"/>
    <w:rsid w:val="009B051F"/>
    <w:rsid w:val="009B0567"/>
    <w:rsid w:val="009B05B2"/>
    <w:rsid w:val="009B05DF"/>
    <w:rsid w:val="009B06E5"/>
    <w:rsid w:val="009B072E"/>
    <w:rsid w:val="009B07A1"/>
    <w:rsid w:val="009B07D4"/>
    <w:rsid w:val="009B07F8"/>
    <w:rsid w:val="009B0905"/>
    <w:rsid w:val="009B0944"/>
    <w:rsid w:val="009B096F"/>
    <w:rsid w:val="009B0983"/>
    <w:rsid w:val="009B09AC"/>
    <w:rsid w:val="009B09B6"/>
    <w:rsid w:val="009B0A24"/>
    <w:rsid w:val="009B0A5F"/>
    <w:rsid w:val="009B0A77"/>
    <w:rsid w:val="009B0A7A"/>
    <w:rsid w:val="009B0AB2"/>
    <w:rsid w:val="009B0B39"/>
    <w:rsid w:val="009B0BC6"/>
    <w:rsid w:val="009B0BEA"/>
    <w:rsid w:val="009B0D81"/>
    <w:rsid w:val="009B0D94"/>
    <w:rsid w:val="009B0DE0"/>
    <w:rsid w:val="009B0E40"/>
    <w:rsid w:val="009B0F26"/>
    <w:rsid w:val="009B0FA0"/>
    <w:rsid w:val="009B1001"/>
    <w:rsid w:val="009B1004"/>
    <w:rsid w:val="009B101C"/>
    <w:rsid w:val="009B10F4"/>
    <w:rsid w:val="009B1150"/>
    <w:rsid w:val="009B117D"/>
    <w:rsid w:val="009B11CE"/>
    <w:rsid w:val="009B12BD"/>
    <w:rsid w:val="009B1340"/>
    <w:rsid w:val="009B13A9"/>
    <w:rsid w:val="009B1452"/>
    <w:rsid w:val="009B149B"/>
    <w:rsid w:val="009B14CF"/>
    <w:rsid w:val="009B14EB"/>
    <w:rsid w:val="009B14EE"/>
    <w:rsid w:val="009B1507"/>
    <w:rsid w:val="009B1539"/>
    <w:rsid w:val="009B156D"/>
    <w:rsid w:val="009B1588"/>
    <w:rsid w:val="009B1630"/>
    <w:rsid w:val="009B16C3"/>
    <w:rsid w:val="009B16D7"/>
    <w:rsid w:val="009B1701"/>
    <w:rsid w:val="009B176E"/>
    <w:rsid w:val="009B17F5"/>
    <w:rsid w:val="009B18D9"/>
    <w:rsid w:val="009B1966"/>
    <w:rsid w:val="009B1989"/>
    <w:rsid w:val="009B199A"/>
    <w:rsid w:val="009B19CE"/>
    <w:rsid w:val="009B19D7"/>
    <w:rsid w:val="009B19E7"/>
    <w:rsid w:val="009B1A1A"/>
    <w:rsid w:val="009B1B0F"/>
    <w:rsid w:val="009B1B9C"/>
    <w:rsid w:val="009B1BBD"/>
    <w:rsid w:val="009B1BD2"/>
    <w:rsid w:val="009B1D7C"/>
    <w:rsid w:val="009B1DAB"/>
    <w:rsid w:val="009B1E74"/>
    <w:rsid w:val="009B1E80"/>
    <w:rsid w:val="009B1EAE"/>
    <w:rsid w:val="009B1F8A"/>
    <w:rsid w:val="009B200C"/>
    <w:rsid w:val="009B202A"/>
    <w:rsid w:val="009B2043"/>
    <w:rsid w:val="009B2067"/>
    <w:rsid w:val="009B20AC"/>
    <w:rsid w:val="009B20B6"/>
    <w:rsid w:val="009B20C3"/>
    <w:rsid w:val="009B20DB"/>
    <w:rsid w:val="009B2154"/>
    <w:rsid w:val="009B21D8"/>
    <w:rsid w:val="009B2228"/>
    <w:rsid w:val="009B2231"/>
    <w:rsid w:val="009B2292"/>
    <w:rsid w:val="009B22C0"/>
    <w:rsid w:val="009B22E1"/>
    <w:rsid w:val="009B2345"/>
    <w:rsid w:val="009B23B3"/>
    <w:rsid w:val="009B23F8"/>
    <w:rsid w:val="009B24A8"/>
    <w:rsid w:val="009B24EA"/>
    <w:rsid w:val="009B2503"/>
    <w:rsid w:val="009B25D9"/>
    <w:rsid w:val="009B25F2"/>
    <w:rsid w:val="009B25FF"/>
    <w:rsid w:val="009B2656"/>
    <w:rsid w:val="009B26DA"/>
    <w:rsid w:val="009B26ED"/>
    <w:rsid w:val="009B26FB"/>
    <w:rsid w:val="009B26FC"/>
    <w:rsid w:val="009B2737"/>
    <w:rsid w:val="009B2794"/>
    <w:rsid w:val="009B2798"/>
    <w:rsid w:val="009B27B2"/>
    <w:rsid w:val="009B27E0"/>
    <w:rsid w:val="009B27FC"/>
    <w:rsid w:val="009B2802"/>
    <w:rsid w:val="009B2808"/>
    <w:rsid w:val="009B2813"/>
    <w:rsid w:val="009B2880"/>
    <w:rsid w:val="009B28BF"/>
    <w:rsid w:val="009B29BB"/>
    <w:rsid w:val="009B2A29"/>
    <w:rsid w:val="009B2A35"/>
    <w:rsid w:val="009B2AC9"/>
    <w:rsid w:val="009B2AD0"/>
    <w:rsid w:val="009B2B9A"/>
    <w:rsid w:val="009B2BFC"/>
    <w:rsid w:val="009B2C6A"/>
    <w:rsid w:val="009B2CDF"/>
    <w:rsid w:val="009B2D07"/>
    <w:rsid w:val="009B2D60"/>
    <w:rsid w:val="009B2D82"/>
    <w:rsid w:val="009B2D88"/>
    <w:rsid w:val="009B2DE5"/>
    <w:rsid w:val="009B2E8D"/>
    <w:rsid w:val="009B2E9A"/>
    <w:rsid w:val="009B2EE8"/>
    <w:rsid w:val="009B2F07"/>
    <w:rsid w:val="009B2F3E"/>
    <w:rsid w:val="009B2FE6"/>
    <w:rsid w:val="009B3001"/>
    <w:rsid w:val="009B3053"/>
    <w:rsid w:val="009B3073"/>
    <w:rsid w:val="009B30B9"/>
    <w:rsid w:val="009B30DF"/>
    <w:rsid w:val="009B30F4"/>
    <w:rsid w:val="009B3172"/>
    <w:rsid w:val="009B3203"/>
    <w:rsid w:val="009B320D"/>
    <w:rsid w:val="009B3266"/>
    <w:rsid w:val="009B3279"/>
    <w:rsid w:val="009B32A8"/>
    <w:rsid w:val="009B32FC"/>
    <w:rsid w:val="009B3310"/>
    <w:rsid w:val="009B3320"/>
    <w:rsid w:val="009B332A"/>
    <w:rsid w:val="009B337A"/>
    <w:rsid w:val="009B337B"/>
    <w:rsid w:val="009B337F"/>
    <w:rsid w:val="009B33DB"/>
    <w:rsid w:val="009B33FE"/>
    <w:rsid w:val="009B3402"/>
    <w:rsid w:val="009B3404"/>
    <w:rsid w:val="009B344A"/>
    <w:rsid w:val="009B3495"/>
    <w:rsid w:val="009B34D9"/>
    <w:rsid w:val="009B34DF"/>
    <w:rsid w:val="009B34FA"/>
    <w:rsid w:val="009B3585"/>
    <w:rsid w:val="009B3721"/>
    <w:rsid w:val="009B376D"/>
    <w:rsid w:val="009B376E"/>
    <w:rsid w:val="009B37B4"/>
    <w:rsid w:val="009B3810"/>
    <w:rsid w:val="009B389C"/>
    <w:rsid w:val="009B395C"/>
    <w:rsid w:val="009B3992"/>
    <w:rsid w:val="009B39CF"/>
    <w:rsid w:val="009B3A9D"/>
    <w:rsid w:val="009B3AB9"/>
    <w:rsid w:val="009B3ABA"/>
    <w:rsid w:val="009B3AC2"/>
    <w:rsid w:val="009B3B2A"/>
    <w:rsid w:val="009B3B46"/>
    <w:rsid w:val="009B3B49"/>
    <w:rsid w:val="009B3B9C"/>
    <w:rsid w:val="009B3C48"/>
    <w:rsid w:val="009B3C7F"/>
    <w:rsid w:val="009B3CD8"/>
    <w:rsid w:val="009B3D70"/>
    <w:rsid w:val="009B3DD4"/>
    <w:rsid w:val="009B3E38"/>
    <w:rsid w:val="009B3E9B"/>
    <w:rsid w:val="009B3F9D"/>
    <w:rsid w:val="009B3FED"/>
    <w:rsid w:val="009B400A"/>
    <w:rsid w:val="009B4019"/>
    <w:rsid w:val="009B4040"/>
    <w:rsid w:val="009B4094"/>
    <w:rsid w:val="009B40B2"/>
    <w:rsid w:val="009B4158"/>
    <w:rsid w:val="009B41A6"/>
    <w:rsid w:val="009B41FB"/>
    <w:rsid w:val="009B4244"/>
    <w:rsid w:val="009B424E"/>
    <w:rsid w:val="009B425B"/>
    <w:rsid w:val="009B429A"/>
    <w:rsid w:val="009B4315"/>
    <w:rsid w:val="009B4319"/>
    <w:rsid w:val="009B432C"/>
    <w:rsid w:val="009B4375"/>
    <w:rsid w:val="009B43D6"/>
    <w:rsid w:val="009B4585"/>
    <w:rsid w:val="009B4650"/>
    <w:rsid w:val="009B466A"/>
    <w:rsid w:val="009B46A1"/>
    <w:rsid w:val="009B46EB"/>
    <w:rsid w:val="009B47A6"/>
    <w:rsid w:val="009B481E"/>
    <w:rsid w:val="009B48BF"/>
    <w:rsid w:val="009B48E6"/>
    <w:rsid w:val="009B4969"/>
    <w:rsid w:val="009B49A7"/>
    <w:rsid w:val="009B4A3B"/>
    <w:rsid w:val="009B4B25"/>
    <w:rsid w:val="009B4B80"/>
    <w:rsid w:val="009B4B8E"/>
    <w:rsid w:val="009B4B9E"/>
    <w:rsid w:val="009B4C0D"/>
    <w:rsid w:val="009B4C29"/>
    <w:rsid w:val="009B4C7B"/>
    <w:rsid w:val="009B4C9B"/>
    <w:rsid w:val="009B4CC3"/>
    <w:rsid w:val="009B4D14"/>
    <w:rsid w:val="009B4DA8"/>
    <w:rsid w:val="009B4DF7"/>
    <w:rsid w:val="009B4F1C"/>
    <w:rsid w:val="009B4F21"/>
    <w:rsid w:val="009B4F2D"/>
    <w:rsid w:val="009B4F58"/>
    <w:rsid w:val="009B4F70"/>
    <w:rsid w:val="009B4F88"/>
    <w:rsid w:val="009B4FE5"/>
    <w:rsid w:val="009B5037"/>
    <w:rsid w:val="009B5145"/>
    <w:rsid w:val="009B5155"/>
    <w:rsid w:val="009B515A"/>
    <w:rsid w:val="009B5193"/>
    <w:rsid w:val="009B51B8"/>
    <w:rsid w:val="009B5243"/>
    <w:rsid w:val="009B5257"/>
    <w:rsid w:val="009B5260"/>
    <w:rsid w:val="009B5284"/>
    <w:rsid w:val="009B52DD"/>
    <w:rsid w:val="009B52E1"/>
    <w:rsid w:val="009B535D"/>
    <w:rsid w:val="009B53E2"/>
    <w:rsid w:val="009B541F"/>
    <w:rsid w:val="009B5484"/>
    <w:rsid w:val="009B548E"/>
    <w:rsid w:val="009B5508"/>
    <w:rsid w:val="009B551A"/>
    <w:rsid w:val="009B5571"/>
    <w:rsid w:val="009B5578"/>
    <w:rsid w:val="009B5648"/>
    <w:rsid w:val="009B56E5"/>
    <w:rsid w:val="009B572D"/>
    <w:rsid w:val="009B573C"/>
    <w:rsid w:val="009B57E1"/>
    <w:rsid w:val="009B580B"/>
    <w:rsid w:val="009B5832"/>
    <w:rsid w:val="009B5837"/>
    <w:rsid w:val="009B589C"/>
    <w:rsid w:val="009B58B7"/>
    <w:rsid w:val="009B5945"/>
    <w:rsid w:val="009B5946"/>
    <w:rsid w:val="009B594F"/>
    <w:rsid w:val="009B596D"/>
    <w:rsid w:val="009B59C7"/>
    <w:rsid w:val="009B5A6C"/>
    <w:rsid w:val="009B5B5D"/>
    <w:rsid w:val="009B5B5F"/>
    <w:rsid w:val="009B5C2A"/>
    <w:rsid w:val="009B5C44"/>
    <w:rsid w:val="009B5D6E"/>
    <w:rsid w:val="009B5D9C"/>
    <w:rsid w:val="009B5DDB"/>
    <w:rsid w:val="009B5E24"/>
    <w:rsid w:val="009B5E3A"/>
    <w:rsid w:val="009B5E55"/>
    <w:rsid w:val="009B5E94"/>
    <w:rsid w:val="009B5EAD"/>
    <w:rsid w:val="009B6018"/>
    <w:rsid w:val="009B601E"/>
    <w:rsid w:val="009B604A"/>
    <w:rsid w:val="009B6151"/>
    <w:rsid w:val="009B61BE"/>
    <w:rsid w:val="009B61C9"/>
    <w:rsid w:val="009B61F0"/>
    <w:rsid w:val="009B62A9"/>
    <w:rsid w:val="009B6357"/>
    <w:rsid w:val="009B639B"/>
    <w:rsid w:val="009B63CC"/>
    <w:rsid w:val="009B63CF"/>
    <w:rsid w:val="009B63E8"/>
    <w:rsid w:val="009B6448"/>
    <w:rsid w:val="009B6475"/>
    <w:rsid w:val="009B6486"/>
    <w:rsid w:val="009B64BA"/>
    <w:rsid w:val="009B64C8"/>
    <w:rsid w:val="009B6509"/>
    <w:rsid w:val="009B6563"/>
    <w:rsid w:val="009B65E9"/>
    <w:rsid w:val="009B6631"/>
    <w:rsid w:val="009B665A"/>
    <w:rsid w:val="009B66EF"/>
    <w:rsid w:val="009B6715"/>
    <w:rsid w:val="009B674D"/>
    <w:rsid w:val="009B6783"/>
    <w:rsid w:val="009B67E3"/>
    <w:rsid w:val="009B6842"/>
    <w:rsid w:val="009B6895"/>
    <w:rsid w:val="009B693D"/>
    <w:rsid w:val="009B69FE"/>
    <w:rsid w:val="009B6A99"/>
    <w:rsid w:val="009B6AA6"/>
    <w:rsid w:val="009B6AB3"/>
    <w:rsid w:val="009B6AB9"/>
    <w:rsid w:val="009B6AEA"/>
    <w:rsid w:val="009B6AEB"/>
    <w:rsid w:val="009B6C6B"/>
    <w:rsid w:val="009B6D18"/>
    <w:rsid w:val="009B6D80"/>
    <w:rsid w:val="009B6D85"/>
    <w:rsid w:val="009B6DC5"/>
    <w:rsid w:val="009B6ED0"/>
    <w:rsid w:val="009B6ED5"/>
    <w:rsid w:val="009B6F45"/>
    <w:rsid w:val="009B6F58"/>
    <w:rsid w:val="009B6FE6"/>
    <w:rsid w:val="009B7137"/>
    <w:rsid w:val="009B714C"/>
    <w:rsid w:val="009B71C9"/>
    <w:rsid w:val="009B71CB"/>
    <w:rsid w:val="009B7211"/>
    <w:rsid w:val="009B728C"/>
    <w:rsid w:val="009B7290"/>
    <w:rsid w:val="009B72EA"/>
    <w:rsid w:val="009B734D"/>
    <w:rsid w:val="009B73D3"/>
    <w:rsid w:val="009B73E4"/>
    <w:rsid w:val="009B7447"/>
    <w:rsid w:val="009B7451"/>
    <w:rsid w:val="009B7539"/>
    <w:rsid w:val="009B754B"/>
    <w:rsid w:val="009B7556"/>
    <w:rsid w:val="009B75CE"/>
    <w:rsid w:val="009B75DB"/>
    <w:rsid w:val="009B75F9"/>
    <w:rsid w:val="009B75FB"/>
    <w:rsid w:val="009B7658"/>
    <w:rsid w:val="009B76B9"/>
    <w:rsid w:val="009B76C3"/>
    <w:rsid w:val="009B7711"/>
    <w:rsid w:val="009B7801"/>
    <w:rsid w:val="009B7886"/>
    <w:rsid w:val="009B78C9"/>
    <w:rsid w:val="009B78CE"/>
    <w:rsid w:val="009B78D9"/>
    <w:rsid w:val="009B79E2"/>
    <w:rsid w:val="009B7A61"/>
    <w:rsid w:val="009B7A7E"/>
    <w:rsid w:val="009B7A81"/>
    <w:rsid w:val="009B7B3F"/>
    <w:rsid w:val="009B7B97"/>
    <w:rsid w:val="009B7B9E"/>
    <w:rsid w:val="009B7BBE"/>
    <w:rsid w:val="009B7BD2"/>
    <w:rsid w:val="009B7C7D"/>
    <w:rsid w:val="009B7CD8"/>
    <w:rsid w:val="009B7E39"/>
    <w:rsid w:val="009B7E6D"/>
    <w:rsid w:val="009B7EE8"/>
    <w:rsid w:val="009B7F0A"/>
    <w:rsid w:val="009B7F83"/>
    <w:rsid w:val="009C0025"/>
    <w:rsid w:val="009C00B6"/>
    <w:rsid w:val="009C00E4"/>
    <w:rsid w:val="009C0127"/>
    <w:rsid w:val="009C014F"/>
    <w:rsid w:val="009C01F0"/>
    <w:rsid w:val="009C01F7"/>
    <w:rsid w:val="009C022F"/>
    <w:rsid w:val="009C024A"/>
    <w:rsid w:val="009C02AB"/>
    <w:rsid w:val="009C02B3"/>
    <w:rsid w:val="009C02F3"/>
    <w:rsid w:val="009C0307"/>
    <w:rsid w:val="009C0395"/>
    <w:rsid w:val="009C0396"/>
    <w:rsid w:val="009C03DD"/>
    <w:rsid w:val="009C0427"/>
    <w:rsid w:val="009C04BE"/>
    <w:rsid w:val="009C04C4"/>
    <w:rsid w:val="009C04C6"/>
    <w:rsid w:val="009C04F9"/>
    <w:rsid w:val="009C0668"/>
    <w:rsid w:val="009C06A9"/>
    <w:rsid w:val="009C0724"/>
    <w:rsid w:val="009C07A2"/>
    <w:rsid w:val="009C07A5"/>
    <w:rsid w:val="009C07EF"/>
    <w:rsid w:val="009C081A"/>
    <w:rsid w:val="009C08DA"/>
    <w:rsid w:val="009C0937"/>
    <w:rsid w:val="009C0967"/>
    <w:rsid w:val="009C0A27"/>
    <w:rsid w:val="009C0A94"/>
    <w:rsid w:val="009C0ABF"/>
    <w:rsid w:val="009C0B99"/>
    <w:rsid w:val="009C0BC0"/>
    <w:rsid w:val="009C0C11"/>
    <w:rsid w:val="009C0CA7"/>
    <w:rsid w:val="009C0D83"/>
    <w:rsid w:val="009C0D8B"/>
    <w:rsid w:val="009C0E0A"/>
    <w:rsid w:val="009C0E41"/>
    <w:rsid w:val="009C0E81"/>
    <w:rsid w:val="009C0FB6"/>
    <w:rsid w:val="009C102D"/>
    <w:rsid w:val="009C102E"/>
    <w:rsid w:val="009C10A9"/>
    <w:rsid w:val="009C10BE"/>
    <w:rsid w:val="009C10C2"/>
    <w:rsid w:val="009C10D7"/>
    <w:rsid w:val="009C11E0"/>
    <w:rsid w:val="009C1250"/>
    <w:rsid w:val="009C126C"/>
    <w:rsid w:val="009C12B5"/>
    <w:rsid w:val="009C12DE"/>
    <w:rsid w:val="009C12EE"/>
    <w:rsid w:val="009C1301"/>
    <w:rsid w:val="009C13C3"/>
    <w:rsid w:val="009C13F9"/>
    <w:rsid w:val="009C141A"/>
    <w:rsid w:val="009C145B"/>
    <w:rsid w:val="009C1466"/>
    <w:rsid w:val="009C150F"/>
    <w:rsid w:val="009C1518"/>
    <w:rsid w:val="009C1621"/>
    <w:rsid w:val="009C1650"/>
    <w:rsid w:val="009C16A7"/>
    <w:rsid w:val="009C16FA"/>
    <w:rsid w:val="009C1709"/>
    <w:rsid w:val="009C170F"/>
    <w:rsid w:val="009C17AB"/>
    <w:rsid w:val="009C17B3"/>
    <w:rsid w:val="009C1813"/>
    <w:rsid w:val="009C1846"/>
    <w:rsid w:val="009C1891"/>
    <w:rsid w:val="009C18A7"/>
    <w:rsid w:val="009C18B2"/>
    <w:rsid w:val="009C19DA"/>
    <w:rsid w:val="009C1A68"/>
    <w:rsid w:val="009C1A6D"/>
    <w:rsid w:val="009C1A8C"/>
    <w:rsid w:val="009C1BAA"/>
    <w:rsid w:val="009C1BE0"/>
    <w:rsid w:val="009C1C31"/>
    <w:rsid w:val="009C1C46"/>
    <w:rsid w:val="009C1C57"/>
    <w:rsid w:val="009C1C68"/>
    <w:rsid w:val="009C1CED"/>
    <w:rsid w:val="009C1D31"/>
    <w:rsid w:val="009C1DA6"/>
    <w:rsid w:val="009C1ECF"/>
    <w:rsid w:val="009C1ED9"/>
    <w:rsid w:val="009C1EDF"/>
    <w:rsid w:val="009C1FAD"/>
    <w:rsid w:val="009C1FC2"/>
    <w:rsid w:val="009C1FE0"/>
    <w:rsid w:val="009C203A"/>
    <w:rsid w:val="009C2065"/>
    <w:rsid w:val="009C2073"/>
    <w:rsid w:val="009C207E"/>
    <w:rsid w:val="009C210C"/>
    <w:rsid w:val="009C2114"/>
    <w:rsid w:val="009C2120"/>
    <w:rsid w:val="009C2175"/>
    <w:rsid w:val="009C21D9"/>
    <w:rsid w:val="009C2217"/>
    <w:rsid w:val="009C2270"/>
    <w:rsid w:val="009C22A3"/>
    <w:rsid w:val="009C22C1"/>
    <w:rsid w:val="009C22EF"/>
    <w:rsid w:val="009C231C"/>
    <w:rsid w:val="009C234E"/>
    <w:rsid w:val="009C23B0"/>
    <w:rsid w:val="009C23C6"/>
    <w:rsid w:val="009C23DD"/>
    <w:rsid w:val="009C23E2"/>
    <w:rsid w:val="009C23F7"/>
    <w:rsid w:val="009C2510"/>
    <w:rsid w:val="009C255B"/>
    <w:rsid w:val="009C264F"/>
    <w:rsid w:val="009C265A"/>
    <w:rsid w:val="009C2682"/>
    <w:rsid w:val="009C26AF"/>
    <w:rsid w:val="009C271B"/>
    <w:rsid w:val="009C2762"/>
    <w:rsid w:val="009C282A"/>
    <w:rsid w:val="009C286F"/>
    <w:rsid w:val="009C2878"/>
    <w:rsid w:val="009C298F"/>
    <w:rsid w:val="009C2A7F"/>
    <w:rsid w:val="009C2A80"/>
    <w:rsid w:val="009C2AD4"/>
    <w:rsid w:val="009C2B02"/>
    <w:rsid w:val="009C2B75"/>
    <w:rsid w:val="009C2B84"/>
    <w:rsid w:val="009C2BC6"/>
    <w:rsid w:val="009C2BCB"/>
    <w:rsid w:val="009C2C22"/>
    <w:rsid w:val="009C2C46"/>
    <w:rsid w:val="009C2D47"/>
    <w:rsid w:val="009C2D6E"/>
    <w:rsid w:val="009C2D70"/>
    <w:rsid w:val="009C2D96"/>
    <w:rsid w:val="009C2DF7"/>
    <w:rsid w:val="009C2DFD"/>
    <w:rsid w:val="009C2EB3"/>
    <w:rsid w:val="009C2F08"/>
    <w:rsid w:val="009C2F21"/>
    <w:rsid w:val="009C2F62"/>
    <w:rsid w:val="009C2F65"/>
    <w:rsid w:val="009C2FE1"/>
    <w:rsid w:val="009C2FF7"/>
    <w:rsid w:val="009C3078"/>
    <w:rsid w:val="009C3092"/>
    <w:rsid w:val="009C309D"/>
    <w:rsid w:val="009C3109"/>
    <w:rsid w:val="009C32B9"/>
    <w:rsid w:val="009C3372"/>
    <w:rsid w:val="009C33CD"/>
    <w:rsid w:val="009C33D5"/>
    <w:rsid w:val="009C33DC"/>
    <w:rsid w:val="009C3405"/>
    <w:rsid w:val="009C34A0"/>
    <w:rsid w:val="009C34C3"/>
    <w:rsid w:val="009C34C6"/>
    <w:rsid w:val="009C35A7"/>
    <w:rsid w:val="009C3646"/>
    <w:rsid w:val="009C3732"/>
    <w:rsid w:val="009C374A"/>
    <w:rsid w:val="009C3821"/>
    <w:rsid w:val="009C3866"/>
    <w:rsid w:val="009C38D1"/>
    <w:rsid w:val="009C3912"/>
    <w:rsid w:val="009C3939"/>
    <w:rsid w:val="009C3950"/>
    <w:rsid w:val="009C3AC4"/>
    <w:rsid w:val="009C3AE2"/>
    <w:rsid w:val="009C3B2F"/>
    <w:rsid w:val="009C3B72"/>
    <w:rsid w:val="009C3B75"/>
    <w:rsid w:val="009C3B76"/>
    <w:rsid w:val="009C3BB0"/>
    <w:rsid w:val="009C3C88"/>
    <w:rsid w:val="009C3CA9"/>
    <w:rsid w:val="009C3CDD"/>
    <w:rsid w:val="009C3CF2"/>
    <w:rsid w:val="009C3D0A"/>
    <w:rsid w:val="009C3D61"/>
    <w:rsid w:val="009C3D78"/>
    <w:rsid w:val="009C3DD5"/>
    <w:rsid w:val="009C3DE5"/>
    <w:rsid w:val="009C3E49"/>
    <w:rsid w:val="009C3E73"/>
    <w:rsid w:val="009C3EDA"/>
    <w:rsid w:val="009C3F66"/>
    <w:rsid w:val="009C3FEF"/>
    <w:rsid w:val="009C4104"/>
    <w:rsid w:val="009C4189"/>
    <w:rsid w:val="009C4243"/>
    <w:rsid w:val="009C42FB"/>
    <w:rsid w:val="009C4336"/>
    <w:rsid w:val="009C4351"/>
    <w:rsid w:val="009C4354"/>
    <w:rsid w:val="009C43A9"/>
    <w:rsid w:val="009C43B2"/>
    <w:rsid w:val="009C43D0"/>
    <w:rsid w:val="009C43D1"/>
    <w:rsid w:val="009C4450"/>
    <w:rsid w:val="009C447A"/>
    <w:rsid w:val="009C449B"/>
    <w:rsid w:val="009C44A5"/>
    <w:rsid w:val="009C44A7"/>
    <w:rsid w:val="009C44B6"/>
    <w:rsid w:val="009C450D"/>
    <w:rsid w:val="009C459E"/>
    <w:rsid w:val="009C45AB"/>
    <w:rsid w:val="009C463D"/>
    <w:rsid w:val="009C46A2"/>
    <w:rsid w:val="009C46C2"/>
    <w:rsid w:val="009C4737"/>
    <w:rsid w:val="009C4739"/>
    <w:rsid w:val="009C4777"/>
    <w:rsid w:val="009C4814"/>
    <w:rsid w:val="009C4830"/>
    <w:rsid w:val="009C48B0"/>
    <w:rsid w:val="009C48CA"/>
    <w:rsid w:val="009C4940"/>
    <w:rsid w:val="009C49AC"/>
    <w:rsid w:val="009C49D1"/>
    <w:rsid w:val="009C4A6E"/>
    <w:rsid w:val="009C4A8F"/>
    <w:rsid w:val="009C4AF8"/>
    <w:rsid w:val="009C4B2C"/>
    <w:rsid w:val="009C4C62"/>
    <w:rsid w:val="009C4C6F"/>
    <w:rsid w:val="009C4CD3"/>
    <w:rsid w:val="009C4CEA"/>
    <w:rsid w:val="009C4D18"/>
    <w:rsid w:val="009C4D2E"/>
    <w:rsid w:val="009C4D8F"/>
    <w:rsid w:val="009C4E89"/>
    <w:rsid w:val="009C4E95"/>
    <w:rsid w:val="009C4E96"/>
    <w:rsid w:val="009C4F01"/>
    <w:rsid w:val="009C4F05"/>
    <w:rsid w:val="009C4F0C"/>
    <w:rsid w:val="009C4F20"/>
    <w:rsid w:val="009C4F35"/>
    <w:rsid w:val="009C4F5F"/>
    <w:rsid w:val="009C4FF5"/>
    <w:rsid w:val="009C4FFB"/>
    <w:rsid w:val="009C5018"/>
    <w:rsid w:val="009C5036"/>
    <w:rsid w:val="009C50CE"/>
    <w:rsid w:val="009C50FA"/>
    <w:rsid w:val="009C5110"/>
    <w:rsid w:val="009C5168"/>
    <w:rsid w:val="009C518B"/>
    <w:rsid w:val="009C5205"/>
    <w:rsid w:val="009C52EF"/>
    <w:rsid w:val="009C5379"/>
    <w:rsid w:val="009C539F"/>
    <w:rsid w:val="009C53DE"/>
    <w:rsid w:val="009C54D4"/>
    <w:rsid w:val="009C5502"/>
    <w:rsid w:val="009C5548"/>
    <w:rsid w:val="009C554E"/>
    <w:rsid w:val="009C556C"/>
    <w:rsid w:val="009C55E5"/>
    <w:rsid w:val="009C55FD"/>
    <w:rsid w:val="009C566A"/>
    <w:rsid w:val="009C566E"/>
    <w:rsid w:val="009C5686"/>
    <w:rsid w:val="009C570F"/>
    <w:rsid w:val="009C580E"/>
    <w:rsid w:val="009C585A"/>
    <w:rsid w:val="009C5884"/>
    <w:rsid w:val="009C590B"/>
    <w:rsid w:val="009C59C1"/>
    <w:rsid w:val="009C59FF"/>
    <w:rsid w:val="009C5A52"/>
    <w:rsid w:val="009C5A68"/>
    <w:rsid w:val="009C5A76"/>
    <w:rsid w:val="009C5A84"/>
    <w:rsid w:val="009C5A99"/>
    <w:rsid w:val="009C5A9A"/>
    <w:rsid w:val="009C5AD2"/>
    <w:rsid w:val="009C5B76"/>
    <w:rsid w:val="009C5B7D"/>
    <w:rsid w:val="009C5C02"/>
    <w:rsid w:val="009C5C3E"/>
    <w:rsid w:val="009C5C60"/>
    <w:rsid w:val="009C5C88"/>
    <w:rsid w:val="009C5CC0"/>
    <w:rsid w:val="009C5CCE"/>
    <w:rsid w:val="009C5D03"/>
    <w:rsid w:val="009C5D05"/>
    <w:rsid w:val="009C5D4D"/>
    <w:rsid w:val="009C5D8A"/>
    <w:rsid w:val="009C5E49"/>
    <w:rsid w:val="009C5E5F"/>
    <w:rsid w:val="009C5EF1"/>
    <w:rsid w:val="009C5F64"/>
    <w:rsid w:val="009C5FC0"/>
    <w:rsid w:val="009C5FE0"/>
    <w:rsid w:val="009C5FFC"/>
    <w:rsid w:val="009C6026"/>
    <w:rsid w:val="009C602F"/>
    <w:rsid w:val="009C6073"/>
    <w:rsid w:val="009C607D"/>
    <w:rsid w:val="009C60E6"/>
    <w:rsid w:val="009C614F"/>
    <w:rsid w:val="009C6167"/>
    <w:rsid w:val="009C6168"/>
    <w:rsid w:val="009C6171"/>
    <w:rsid w:val="009C61CD"/>
    <w:rsid w:val="009C61EB"/>
    <w:rsid w:val="009C621D"/>
    <w:rsid w:val="009C6243"/>
    <w:rsid w:val="009C624B"/>
    <w:rsid w:val="009C625E"/>
    <w:rsid w:val="009C62AA"/>
    <w:rsid w:val="009C6303"/>
    <w:rsid w:val="009C6309"/>
    <w:rsid w:val="009C630F"/>
    <w:rsid w:val="009C631D"/>
    <w:rsid w:val="009C6320"/>
    <w:rsid w:val="009C6338"/>
    <w:rsid w:val="009C6363"/>
    <w:rsid w:val="009C63E4"/>
    <w:rsid w:val="009C64EB"/>
    <w:rsid w:val="009C6515"/>
    <w:rsid w:val="009C6519"/>
    <w:rsid w:val="009C659E"/>
    <w:rsid w:val="009C65B8"/>
    <w:rsid w:val="009C65D8"/>
    <w:rsid w:val="009C65E6"/>
    <w:rsid w:val="009C65FA"/>
    <w:rsid w:val="009C6632"/>
    <w:rsid w:val="009C6694"/>
    <w:rsid w:val="009C66AA"/>
    <w:rsid w:val="009C6828"/>
    <w:rsid w:val="009C684F"/>
    <w:rsid w:val="009C68E8"/>
    <w:rsid w:val="009C6972"/>
    <w:rsid w:val="009C6989"/>
    <w:rsid w:val="009C69AF"/>
    <w:rsid w:val="009C69CD"/>
    <w:rsid w:val="009C6A82"/>
    <w:rsid w:val="009C6ACE"/>
    <w:rsid w:val="009C6B0E"/>
    <w:rsid w:val="009C6BB1"/>
    <w:rsid w:val="009C6BC7"/>
    <w:rsid w:val="009C6C94"/>
    <w:rsid w:val="009C6C9C"/>
    <w:rsid w:val="009C6C9E"/>
    <w:rsid w:val="009C6D03"/>
    <w:rsid w:val="009C6DAC"/>
    <w:rsid w:val="009C6DC2"/>
    <w:rsid w:val="009C6DEF"/>
    <w:rsid w:val="009C6E3C"/>
    <w:rsid w:val="009C6E96"/>
    <w:rsid w:val="009C6EF0"/>
    <w:rsid w:val="009C6EF7"/>
    <w:rsid w:val="009C6F27"/>
    <w:rsid w:val="009C6F44"/>
    <w:rsid w:val="009C6F74"/>
    <w:rsid w:val="009C6FD2"/>
    <w:rsid w:val="009C7002"/>
    <w:rsid w:val="009C701D"/>
    <w:rsid w:val="009C7046"/>
    <w:rsid w:val="009C70D9"/>
    <w:rsid w:val="009C711B"/>
    <w:rsid w:val="009C7172"/>
    <w:rsid w:val="009C71B1"/>
    <w:rsid w:val="009C72FB"/>
    <w:rsid w:val="009C736C"/>
    <w:rsid w:val="009C73CB"/>
    <w:rsid w:val="009C7408"/>
    <w:rsid w:val="009C743C"/>
    <w:rsid w:val="009C7454"/>
    <w:rsid w:val="009C75AE"/>
    <w:rsid w:val="009C75C5"/>
    <w:rsid w:val="009C766D"/>
    <w:rsid w:val="009C766F"/>
    <w:rsid w:val="009C76A9"/>
    <w:rsid w:val="009C76EA"/>
    <w:rsid w:val="009C7717"/>
    <w:rsid w:val="009C771B"/>
    <w:rsid w:val="009C775F"/>
    <w:rsid w:val="009C77B5"/>
    <w:rsid w:val="009C77E3"/>
    <w:rsid w:val="009C7870"/>
    <w:rsid w:val="009C794D"/>
    <w:rsid w:val="009C794F"/>
    <w:rsid w:val="009C7A20"/>
    <w:rsid w:val="009C7BBC"/>
    <w:rsid w:val="009C7C70"/>
    <w:rsid w:val="009C7CF7"/>
    <w:rsid w:val="009C7DFB"/>
    <w:rsid w:val="009C7E8C"/>
    <w:rsid w:val="009C7E92"/>
    <w:rsid w:val="009C7F59"/>
    <w:rsid w:val="009C7F5C"/>
    <w:rsid w:val="009C7F73"/>
    <w:rsid w:val="009C7F89"/>
    <w:rsid w:val="009C7F9C"/>
    <w:rsid w:val="009C7FA4"/>
    <w:rsid w:val="009C7FB9"/>
    <w:rsid w:val="009C7FE6"/>
    <w:rsid w:val="009C7FF0"/>
    <w:rsid w:val="009CFCF0"/>
    <w:rsid w:val="009D0026"/>
    <w:rsid w:val="009D005B"/>
    <w:rsid w:val="009D005E"/>
    <w:rsid w:val="009D01BF"/>
    <w:rsid w:val="009D022A"/>
    <w:rsid w:val="009D0249"/>
    <w:rsid w:val="009D0258"/>
    <w:rsid w:val="009D02A2"/>
    <w:rsid w:val="009D033F"/>
    <w:rsid w:val="009D040C"/>
    <w:rsid w:val="009D041A"/>
    <w:rsid w:val="009D0484"/>
    <w:rsid w:val="009D05F9"/>
    <w:rsid w:val="009D0608"/>
    <w:rsid w:val="009D066B"/>
    <w:rsid w:val="009D0731"/>
    <w:rsid w:val="009D074B"/>
    <w:rsid w:val="009D07D0"/>
    <w:rsid w:val="009D0829"/>
    <w:rsid w:val="009D08CB"/>
    <w:rsid w:val="009D08DA"/>
    <w:rsid w:val="009D0967"/>
    <w:rsid w:val="009D0991"/>
    <w:rsid w:val="009D09B6"/>
    <w:rsid w:val="009D09D9"/>
    <w:rsid w:val="009D0A7C"/>
    <w:rsid w:val="009D0B6A"/>
    <w:rsid w:val="009D0B82"/>
    <w:rsid w:val="009D0C9A"/>
    <w:rsid w:val="009D0CC7"/>
    <w:rsid w:val="009D0CCC"/>
    <w:rsid w:val="009D0D28"/>
    <w:rsid w:val="009D0D31"/>
    <w:rsid w:val="009D0DBE"/>
    <w:rsid w:val="009D0DEA"/>
    <w:rsid w:val="009D0DFE"/>
    <w:rsid w:val="009D0E1C"/>
    <w:rsid w:val="009D0E24"/>
    <w:rsid w:val="009D0EDA"/>
    <w:rsid w:val="009D0F76"/>
    <w:rsid w:val="009D0F98"/>
    <w:rsid w:val="009D0FAA"/>
    <w:rsid w:val="009D0FD4"/>
    <w:rsid w:val="009D0FE9"/>
    <w:rsid w:val="009D1029"/>
    <w:rsid w:val="009D105D"/>
    <w:rsid w:val="009D10BB"/>
    <w:rsid w:val="009D1128"/>
    <w:rsid w:val="009D1135"/>
    <w:rsid w:val="009D126C"/>
    <w:rsid w:val="009D12B6"/>
    <w:rsid w:val="009D12CC"/>
    <w:rsid w:val="009D12D6"/>
    <w:rsid w:val="009D137F"/>
    <w:rsid w:val="009D13C1"/>
    <w:rsid w:val="009D1406"/>
    <w:rsid w:val="009D1441"/>
    <w:rsid w:val="009D1443"/>
    <w:rsid w:val="009D1455"/>
    <w:rsid w:val="009D145E"/>
    <w:rsid w:val="009D14FD"/>
    <w:rsid w:val="009D152B"/>
    <w:rsid w:val="009D15CA"/>
    <w:rsid w:val="009D1608"/>
    <w:rsid w:val="009D1694"/>
    <w:rsid w:val="009D16A7"/>
    <w:rsid w:val="009D16AE"/>
    <w:rsid w:val="009D16D0"/>
    <w:rsid w:val="009D17CF"/>
    <w:rsid w:val="009D1811"/>
    <w:rsid w:val="009D1879"/>
    <w:rsid w:val="009D188C"/>
    <w:rsid w:val="009D18A3"/>
    <w:rsid w:val="009D18B2"/>
    <w:rsid w:val="009D18C0"/>
    <w:rsid w:val="009D1907"/>
    <w:rsid w:val="009D1916"/>
    <w:rsid w:val="009D1978"/>
    <w:rsid w:val="009D1A2A"/>
    <w:rsid w:val="009D1A58"/>
    <w:rsid w:val="009D1B11"/>
    <w:rsid w:val="009D1B8E"/>
    <w:rsid w:val="009D1BF5"/>
    <w:rsid w:val="009D1C27"/>
    <w:rsid w:val="009D1C3F"/>
    <w:rsid w:val="009D1C47"/>
    <w:rsid w:val="009D1C52"/>
    <w:rsid w:val="009D1C53"/>
    <w:rsid w:val="009D1C7B"/>
    <w:rsid w:val="009D1C81"/>
    <w:rsid w:val="009D1CAD"/>
    <w:rsid w:val="009D1D2F"/>
    <w:rsid w:val="009D1D30"/>
    <w:rsid w:val="009D1D49"/>
    <w:rsid w:val="009D1D5C"/>
    <w:rsid w:val="009D1D66"/>
    <w:rsid w:val="009D1D68"/>
    <w:rsid w:val="009D1EB8"/>
    <w:rsid w:val="009D1FDD"/>
    <w:rsid w:val="009D2095"/>
    <w:rsid w:val="009D20F0"/>
    <w:rsid w:val="009D21A1"/>
    <w:rsid w:val="009D21D2"/>
    <w:rsid w:val="009D21F0"/>
    <w:rsid w:val="009D2277"/>
    <w:rsid w:val="009D2282"/>
    <w:rsid w:val="009D22AA"/>
    <w:rsid w:val="009D22B7"/>
    <w:rsid w:val="009D22E1"/>
    <w:rsid w:val="009D232E"/>
    <w:rsid w:val="009D2335"/>
    <w:rsid w:val="009D235A"/>
    <w:rsid w:val="009D2363"/>
    <w:rsid w:val="009D23CE"/>
    <w:rsid w:val="009D23DF"/>
    <w:rsid w:val="009D241C"/>
    <w:rsid w:val="009D2463"/>
    <w:rsid w:val="009D2481"/>
    <w:rsid w:val="009D24CC"/>
    <w:rsid w:val="009D24F7"/>
    <w:rsid w:val="009D2568"/>
    <w:rsid w:val="009D25B5"/>
    <w:rsid w:val="009D261A"/>
    <w:rsid w:val="009D2627"/>
    <w:rsid w:val="009D26DB"/>
    <w:rsid w:val="009D26E9"/>
    <w:rsid w:val="009D273B"/>
    <w:rsid w:val="009D2777"/>
    <w:rsid w:val="009D277B"/>
    <w:rsid w:val="009D2793"/>
    <w:rsid w:val="009D27DC"/>
    <w:rsid w:val="009D2854"/>
    <w:rsid w:val="009D2866"/>
    <w:rsid w:val="009D28D7"/>
    <w:rsid w:val="009D2967"/>
    <w:rsid w:val="009D2979"/>
    <w:rsid w:val="009D29E6"/>
    <w:rsid w:val="009D2A01"/>
    <w:rsid w:val="009D2B5C"/>
    <w:rsid w:val="009D2C1F"/>
    <w:rsid w:val="009D2C3D"/>
    <w:rsid w:val="009D2CB1"/>
    <w:rsid w:val="009D2DEB"/>
    <w:rsid w:val="009D2EA3"/>
    <w:rsid w:val="009D2ED6"/>
    <w:rsid w:val="009D2F6C"/>
    <w:rsid w:val="009D3001"/>
    <w:rsid w:val="009D303F"/>
    <w:rsid w:val="009D30A0"/>
    <w:rsid w:val="009D30EF"/>
    <w:rsid w:val="009D30FC"/>
    <w:rsid w:val="009D3189"/>
    <w:rsid w:val="009D31F3"/>
    <w:rsid w:val="009D3201"/>
    <w:rsid w:val="009D3229"/>
    <w:rsid w:val="009D32AB"/>
    <w:rsid w:val="009D32BE"/>
    <w:rsid w:val="009D331F"/>
    <w:rsid w:val="009D339D"/>
    <w:rsid w:val="009D33A8"/>
    <w:rsid w:val="009D34F2"/>
    <w:rsid w:val="009D3503"/>
    <w:rsid w:val="009D35B6"/>
    <w:rsid w:val="009D35C6"/>
    <w:rsid w:val="009D35D1"/>
    <w:rsid w:val="009D35E6"/>
    <w:rsid w:val="009D364B"/>
    <w:rsid w:val="009D369E"/>
    <w:rsid w:val="009D37D2"/>
    <w:rsid w:val="009D37DC"/>
    <w:rsid w:val="009D3837"/>
    <w:rsid w:val="009D3856"/>
    <w:rsid w:val="009D3919"/>
    <w:rsid w:val="009D3945"/>
    <w:rsid w:val="009D3993"/>
    <w:rsid w:val="009D39CC"/>
    <w:rsid w:val="009D39F0"/>
    <w:rsid w:val="009D3A24"/>
    <w:rsid w:val="009D3A8C"/>
    <w:rsid w:val="009D3AC7"/>
    <w:rsid w:val="009D3ACF"/>
    <w:rsid w:val="009D3AEE"/>
    <w:rsid w:val="009D3AF5"/>
    <w:rsid w:val="009D3B1C"/>
    <w:rsid w:val="009D3BE9"/>
    <w:rsid w:val="009D3C7D"/>
    <w:rsid w:val="009D3D26"/>
    <w:rsid w:val="009D3D7A"/>
    <w:rsid w:val="009D3D7E"/>
    <w:rsid w:val="009D3D84"/>
    <w:rsid w:val="009D3D90"/>
    <w:rsid w:val="009D3E09"/>
    <w:rsid w:val="009D3E3A"/>
    <w:rsid w:val="009D3E80"/>
    <w:rsid w:val="009D3F2B"/>
    <w:rsid w:val="009D3F47"/>
    <w:rsid w:val="009D3F48"/>
    <w:rsid w:val="009D3F4C"/>
    <w:rsid w:val="009D3F71"/>
    <w:rsid w:val="009D3F7F"/>
    <w:rsid w:val="009D3FF2"/>
    <w:rsid w:val="009D4061"/>
    <w:rsid w:val="009D40EA"/>
    <w:rsid w:val="009D4109"/>
    <w:rsid w:val="009D4187"/>
    <w:rsid w:val="009D41A3"/>
    <w:rsid w:val="009D41BD"/>
    <w:rsid w:val="009D4226"/>
    <w:rsid w:val="009D423A"/>
    <w:rsid w:val="009D426E"/>
    <w:rsid w:val="009D4277"/>
    <w:rsid w:val="009D42E0"/>
    <w:rsid w:val="009D42F9"/>
    <w:rsid w:val="009D4300"/>
    <w:rsid w:val="009D4311"/>
    <w:rsid w:val="009D4401"/>
    <w:rsid w:val="009D4452"/>
    <w:rsid w:val="009D4502"/>
    <w:rsid w:val="009D45A9"/>
    <w:rsid w:val="009D45B3"/>
    <w:rsid w:val="009D45E6"/>
    <w:rsid w:val="009D462C"/>
    <w:rsid w:val="009D4644"/>
    <w:rsid w:val="009D4675"/>
    <w:rsid w:val="009D46AA"/>
    <w:rsid w:val="009D4754"/>
    <w:rsid w:val="009D47B3"/>
    <w:rsid w:val="009D47D3"/>
    <w:rsid w:val="009D47E2"/>
    <w:rsid w:val="009D47F5"/>
    <w:rsid w:val="009D4809"/>
    <w:rsid w:val="009D4833"/>
    <w:rsid w:val="009D48A2"/>
    <w:rsid w:val="009D48CA"/>
    <w:rsid w:val="009D493A"/>
    <w:rsid w:val="009D493E"/>
    <w:rsid w:val="009D4988"/>
    <w:rsid w:val="009D4996"/>
    <w:rsid w:val="009D4998"/>
    <w:rsid w:val="009D49AB"/>
    <w:rsid w:val="009D4AAB"/>
    <w:rsid w:val="009D4AD4"/>
    <w:rsid w:val="009D4B0F"/>
    <w:rsid w:val="009D4B1C"/>
    <w:rsid w:val="009D4B36"/>
    <w:rsid w:val="009D4B3E"/>
    <w:rsid w:val="009D4B83"/>
    <w:rsid w:val="009D4B91"/>
    <w:rsid w:val="009D4BFE"/>
    <w:rsid w:val="009D4C35"/>
    <w:rsid w:val="009D4C7C"/>
    <w:rsid w:val="009D4D21"/>
    <w:rsid w:val="009D4D4C"/>
    <w:rsid w:val="009D4D70"/>
    <w:rsid w:val="009D4D95"/>
    <w:rsid w:val="009D4DAA"/>
    <w:rsid w:val="009D4E50"/>
    <w:rsid w:val="009D4F6F"/>
    <w:rsid w:val="009D4F99"/>
    <w:rsid w:val="009D4FC1"/>
    <w:rsid w:val="009D4FEC"/>
    <w:rsid w:val="009D50ED"/>
    <w:rsid w:val="009D510A"/>
    <w:rsid w:val="009D51DD"/>
    <w:rsid w:val="009D5245"/>
    <w:rsid w:val="009D5274"/>
    <w:rsid w:val="009D5331"/>
    <w:rsid w:val="009D5358"/>
    <w:rsid w:val="009D53A2"/>
    <w:rsid w:val="009D5470"/>
    <w:rsid w:val="009D548E"/>
    <w:rsid w:val="009D5496"/>
    <w:rsid w:val="009D54F6"/>
    <w:rsid w:val="009D551D"/>
    <w:rsid w:val="009D5546"/>
    <w:rsid w:val="009D554D"/>
    <w:rsid w:val="009D55ED"/>
    <w:rsid w:val="009D5663"/>
    <w:rsid w:val="009D567D"/>
    <w:rsid w:val="009D5753"/>
    <w:rsid w:val="009D57AD"/>
    <w:rsid w:val="009D58A2"/>
    <w:rsid w:val="009D5935"/>
    <w:rsid w:val="009D5943"/>
    <w:rsid w:val="009D597B"/>
    <w:rsid w:val="009D5995"/>
    <w:rsid w:val="009D59F5"/>
    <w:rsid w:val="009D5A3F"/>
    <w:rsid w:val="009D5A55"/>
    <w:rsid w:val="009D5A78"/>
    <w:rsid w:val="009D5ABC"/>
    <w:rsid w:val="009D5AFF"/>
    <w:rsid w:val="009D5B15"/>
    <w:rsid w:val="009D5BBB"/>
    <w:rsid w:val="009D5BD5"/>
    <w:rsid w:val="009D5BD9"/>
    <w:rsid w:val="009D5C14"/>
    <w:rsid w:val="009D5C1A"/>
    <w:rsid w:val="009D5C43"/>
    <w:rsid w:val="009D5C53"/>
    <w:rsid w:val="009D5D4E"/>
    <w:rsid w:val="009D5DD7"/>
    <w:rsid w:val="009D5DE3"/>
    <w:rsid w:val="009D5E15"/>
    <w:rsid w:val="009D5EC6"/>
    <w:rsid w:val="009D5F9C"/>
    <w:rsid w:val="009D60C4"/>
    <w:rsid w:val="009D60D7"/>
    <w:rsid w:val="009D61BE"/>
    <w:rsid w:val="009D620C"/>
    <w:rsid w:val="009D6210"/>
    <w:rsid w:val="009D62A8"/>
    <w:rsid w:val="009D62FC"/>
    <w:rsid w:val="009D63FA"/>
    <w:rsid w:val="009D6408"/>
    <w:rsid w:val="009D6461"/>
    <w:rsid w:val="009D64A1"/>
    <w:rsid w:val="009D64F8"/>
    <w:rsid w:val="009D65A6"/>
    <w:rsid w:val="009D6651"/>
    <w:rsid w:val="009D66D6"/>
    <w:rsid w:val="009D66D8"/>
    <w:rsid w:val="009D6799"/>
    <w:rsid w:val="009D67EE"/>
    <w:rsid w:val="009D691E"/>
    <w:rsid w:val="009D693E"/>
    <w:rsid w:val="009D6978"/>
    <w:rsid w:val="009D69B1"/>
    <w:rsid w:val="009D6A13"/>
    <w:rsid w:val="009D6AD7"/>
    <w:rsid w:val="009D6AE3"/>
    <w:rsid w:val="009D6AE5"/>
    <w:rsid w:val="009D6B44"/>
    <w:rsid w:val="009D6B96"/>
    <w:rsid w:val="009D6BAA"/>
    <w:rsid w:val="009D6C55"/>
    <w:rsid w:val="009D6C6B"/>
    <w:rsid w:val="009D6CED"/>
    <w:rsid w:val="009D6D15"/>
    <w:rsid w:val="009D6DC0"/>
    <w:rsid w:val="009D6DC5"/>
    <w:rsid w:val="009D6DFF"/>
    <w:rsid w:val="009D6E1E"/>
    <w:rsid w:val="009D6F9A"/>
    <w:rsid w:val="009D6FCE"/>
    <w:rsid w:val="009D6FE9"/>
    <w:rsid w:val="009D7010"/>
    <w:rsid w:val="009D7011"/>
    <w:rsid w:val="009D7025"/>
    <w:rsid w:val="009D7052"/>
    <w:rsid w:val="009D7098"/>
    <w:rsid w:val="009D70D0"/>
    <w:rsid w:val="009D7127"/>
    <w:rsid w:val="009D716A"/>
    <w:rsid w:val="009D717D"/>
    <w:rsid w:val="009D717F"/>
    <w:rsid w:val="009D719F"/>
    <w:rsid w:val="009D71C1"/>
    <w:rsid w:val="009D7217"/>
    <w:rsid w:val="009D7227"/>
    <w:rsid w:val="009D728E"/>
    <w:rsid w:val="009D7296"/>
    <w:rsid w:val="009D729F"/>
    <w:rsid w:val="009D72CA"/>
    <w:rsid w:val="009D72EB"/>
    <w:rsid w:val="009D730F"/>
    <w:rsid w:val="009D732E"/>
    <w:rsid w:val="009D737B"/>
    <w:rsid w:val="009D7419"/>
    <w:rsid w:val="009D743A"/>
    <w:rsid w:val="009D7498"/>
    <w:rsid w:val="009D751E"/>
    <w:rsid w:val="009D753E"/>
    <w:rsid w:val="009D761A"/>
    <w:rsid w:val="009D7671"/>
    <w:rsid w:val="009D768F"/>
    <w:rsid w:val="009D7730"/>
    <w:rsid w:val="009D77C8"/>
    <w:rsid w:val="009D77DD"/>
    <w:rsid w:val="009D7863"/>
    <w:rsid w:val="009D7875"/>
    <w:rsid w:val="009D78EC"/>
    <w:rsid w:val="009D7966"/>
    <w:rsid w:val="009D7A1A"/>
    <w:rsid w:val="009D7AA2"/>
    <w:rsid w:val="009D7AE2"/>
    <w:rsid w:val="009D7AEB"/>
    <w:rsid w:val="009D7AF1"/>
    <w:rsid w:val="009D7B75"/>
    <w:rsid w:val="009D7BDD"/>
    <w:rsid w:val="009D7D5C"/>
    <w:rsid w:val="009D7DBA"/>
    <w:rsid w:val="009D7DBB"/>
    <w:rsid w:val="009D7E20"/>
    <w:rsid w:val="009D7ED8"/>
    <w:rsid w:val="009D7EEC"/>
    <w:rsid w:val="009D7FE6"/>
    <w:rsid w:val="009E0123"/>
    <w:rsid w:val="009E0155"/>
    <w:rsid w:val="009E019E"/>
    <w:rsid w:val="009E0240"/>
    <w:rsid w:val="009E026B"/>
    <w:rsid w:val="009E02DE"/>
    <w:rsid w:val="009E030B"/>
    <w:rsid w:val="009E0331"/>
    <w:rsid w:val="009E0351"/>
    <w:rsid w:val="009E03A1"/>
    <w:rsid w:val="009E03C7"/>
    <w:rsid w:val="009E043A"/>
    <w:rsid w:val="009E0475"/>
    <w:rsid w:val="009E04A2"/>
    <w:rsid w:val="009E04C7"/>
    <w:rsid w:val="009E04DB"/>
    <w:rsid w:val="009E0508"/>
    <w:rsid w:val="009E0532"/>
    <w:rsid w:val="009E0573"/>
    <w:rsid w:val="009E05A9"/>
    <w:rsid w:val="009E060E"/>
    <w:rsid w:val="009E077D"/>
    <w:rsid w:val="009E0808"/>
    <w:rsid w:val="009E0862"/>
    <w:rsid w:val="009E0871"/>
    <w:rsid w:val="009E0893"/>
    <w:rsid w:val="009E0897"/>
    <w:rsid w:val="009E0A6D"/>
    <w:rsid w:val="009E0AC5"/>
    <w:rsid w:val="009E0AE4"/>
    <w:rsid w:val="009E0B18"/>
    <w:rsid w:val="009E0B1F"/>
    <w:rsid w:val="009E0B32"/>
    <w:rsid w:val="009E0C52"/>
    <w:rsid w:val="009E0C76"/>
    <w:rsid w:val="009E0CB3"/>
    <w:rsid w:val="009E0D09"/>
    <w:rsid w:val="009E0D55"/>
    <w:rsid w:val="009E0D79"/>
    <w:rsid w:val="009E0E8E"/>
    <w:rsid w:val="009E0E92"/>
    <w:rsid w:val="009E0EF2"/>
    <w:rsid w:val="009E0F2B"/>
    <w:rsid w:val="009E0F46"/>
    <w:rsid w:val="009E0F7F"/>
    <w:rsid w:val="009E0F98"/>
    <w:rsid w:val="009E0FB5"/>
    <w:rsid w:val="009E1009"/>
    <w:rsid w:val="009E1023"/>
    <w:rsid w:val="009E1068"/>
    <w:rsid w:val="009E1069"/>
    <w:rsid w:val="009E1093"/>
    <w:rsid w:val="009E10B2"/>
    <w:rsid w:val="009E1169"/>
    <w:rsid w:val="009E118B"/>
    <w:rsid w:val="009E11AB"/>
    <w:rsid w:val="009E1243"/>
    <w:rsid w:val="009E126B"/>
    <w:rsid w:val="009E1277"/>
    <w:rsid w:val="009E1291"/>
    <w:rsid w:val="009E12F9"/>
    <w:rsid w:val="009E1300"/>
    <w:rsid w:val="009E1334"/>
    <w:rsid w:val="009E13AA"/>
    <w:rsid w:val="009E13E7"/>
    <w:rsid w:val="009E148F"/>
    <w:rsid w:val="009E14E4"/>
    <w:rsid w:val="009E14E8"/>
    <w:rsid w:val="009E155F"/>
    <w:rsid w:val="009E1575"/>
    <w:rsid w:val="009E15C9"/>
    <w:rsid w:val="009E1616"/>
    <w:rsid w:val="009E16D0"/>
    <w:rsid w:val="009E16E6"/>
    <w:rsid w:val="009E1742"/>
    <w:rsid w:val="009E178C"/>
    <w:rsid w:val="009E17B0"/>
    <w:rsid w:val="009E186A"/>
    <w:rsid w:val="009E1876"/>
    <w:rsid w:val="009E18D0"/>
    <w:rsid w:val="009E1958"/>
    <w:rsid w:val="009E1961"/>
    <w:rsid w:val="009E197C"/>
    <w:rsid w:val="009E1999"/>
    <w:rsid w:val="009E19B5"/>
    <w:rsid w:val="009E19B7"/>
    <w:rsid w:val="009E19D8"/>
    <w:rsid w:val="009E19DB"/>
    <w:rsid w:val="009E1A8F"/>
    <w:rsid w:val="009E1B91"/>
    <w:rsid w:val="009E1BB7"/>
    <w:rsid w:val="009E1BF2"/>
    <w:rsid w:val="009E1C44"/>
    <w:rsid w:val="009E1C4F"/>
    <w:rsid w:val="009E1C63"/>
    <w:rsid w:val="009E1C91"/>
    <w:rsid w:val="009E1CE3"/>
    <w:rsid w:val="009E1D6B"/>
    <w:rsid w:val="009E1D9A"/>
    <w:rsid w:val="009E1E59"/>
    <w:rsid w:val="009E1E8E"/>
    <w:rsid w:val="009E1EAA"/>
    <w:rsid w:val="009E1EAC"/>
    <w:rsid w:val="009E1F1F"/>
    <w:rsid w:val="009E1F2E"/>
    <w:rsid w:val="009E1FBF"/>
    <w:rsid w:val="009E1FD0"/>
    <w:rsid w:val="009E204F"/>
    <w:rsid w:val="009E2069"/>
    <w:rsid w:val="009E2090"/>
    <w:rsid w:val="009E2093"/>
    <w:rsid w:val="009E2105"/>
    <w:rsid w:val="009E216F"/>
    <w:rsid w:val="009E21B8"/>
    <w:rsid w:val="009E21CB"/>
    <w:rsid w:val="009E21F7"/>
    <w:rsid w:val="009E240F"/>
    <w:rsid w:val="009E2410"/>
    <w:rsid w:val="009E2423"/>
    <w:rsid w:val="009E245C"/>
    <w:rsid w:val="009E24CA"/>
    <w:rsid w:val="009E250A"/>
    <w:rsid w:val="009E25EB"/>
    <w:rsid w:val="009E25EF"/>
    <w:rsid w:val="009E25FE"/>
    <w:rsid w:val="009E260A"/>
    <w:rsid w:val="009E260C"/>
    <w:rsid w:val="009E2678"/>
    <w:rsid w:val="009E269E"/>
    <w:rsid w:val="009E272C"/>
    <w:rsid w:val="009E275F"/>
    <w:rsid w:val="009E2855"/>
    <w:rsid w:val="009E28A0"/>
    <w:rsid w:val="009E28B0"/>
    <w:rsid w:val="009E29BC"/>
    <w:rsid w:val="009E29BD"/>
    <w:rsid w:val="009E29F6"/>
    <w:rsid w:val="009E2A2F"/>
    <w:rsid w:val="009E2A67"/>
    <w:rsid w:val="009E2C50"/>
    <w:rsid w:val="009E2C94"/>
    <w:rsid w:val="009E2CA7"/>
    <w:rsid w:val="009E2CE7"/>
    <w:rsid w:val="009E2DE7"/>
    <w:rsid w:val="009E2E35"/>
    <w:rsid w:val="009E2E52"/>
    <w:rsid w:val="009E2E97"/>
    <w:rsid w:val="009E2F4D"/>
    <w:rsid w:val="009E2F50"/>
    <w:rsid w:val="009E2FD7"/>
    <w:rsid w:val="009E2FDF"/>
    <w:rsid w:val="009E3111"/>
    <w:rsid w:val="009E3129"/>
    <w:rsid w:val="009E313F"/>
    <w:rsid w:val="009E3150"/>
    <w:rsid w:val="009E3157"/>
    <w:rsid w:val="009E31E4"/>
    <w:rsid w:val="009E324D"/>
    <w:rsid w:val="009E3265"/>
    <w:rsid w:val="009E32BF"/>
    <w:rsid w:val="009E32EF"/>
    <w:rsid w:val="009E3358"/>
    <w:rsid w:val="009E33F4"/>
    <w:rsid w:val="009E33F6"/>
    <w:rsid w:val="009E3402"/>
    <w:rsid w:val="009E340C"/>
    <w:rsid w:val="009E340D"/>
    <w:rsid w:val="009E3420"/>
    <w:rsid w:val="009E347F"/>
    <w:rsid w:val="009E34B4"/>
    <w:rsid w:val="009E34DA"/>
    <w:rsid w:val="009E34DF"/>
    <w:rsid w:val="009E34E3"/>
    <w:rsid w:val="009E350A"/>
    <w:rsid w:val="009E354C"/>
    <w:rsid w:val="009E362D"/>
    <w:rsid w:val="009E3653"/>
    <w:rsid w:val="009E3655"/>
    <w:rsid w:val="009E36AA"/>
    <w:rsid w:val="009E3721"/>
    <w:rsid w:val="009E3738"/>
    <w:rsid w:val="009E3833"/>
    <w:rsid w:val="009E3862"/>
    <w:rsid w:val="009E3898"/>
    <w:rsid w:val="009E396E"/>
    <w:rsid w:val="009E39C6"/>
    <w:rsid w:val="009E39DA"/>
    <w:rsid w:val="009E3A68"/>
    <w:rsid w:val="009E3B1C"/>
    <w:rsid w:val="009E3B32"/>
    <w:rsid w:val="009E3B99"/>
    <w:rsid w:val="009E3C6F"/>
    <w:rsid w:val="009E3CA1"/>
    <w:rsid w:val="009E3CE7"/>
    <w:rsid w:val="009E3D2E"/>
    <w:rsid w:val="009E3D3D"/>
    <w:rsid w:val="009E3D40"/>
    <w:rsid w:val="009E3D54"/>
    <w:rsid w:val="009E3DF0"/>
    <w:rsid w:val="009E3E73"/>
    <w:rsid w:val="009E3E97"/>
    <w:rsid w:val="009E3ECB"/>
    <w:rsid w:val="009E3ED0"/>
    <w:rsid w:val="009E3F3A"/>
    <w:rsid w:val="009E3F71"/>
    <w:rsid w:val="009E3F9A"/>
    <w:rsid w:val="009E402B"/>
    <w:rsid w:val="009E4032"/>
    <w:rsid w:val="009E40C2"/>
    <w:rsid w:val="009E4148"/>
    <w:rsid w:val="009E4334"/>
    <w:rsid w:val="009E437B"/>
    <w:rsid w:val="009E4447"/>
    <w:rsid w:val="009E444A"/>
    <w:rsid w:val="009E4461"/>
    <w:rsid w:val="009E44D3"/>
    <w:rsid w:val="009E44ED"/>
    <w:rsid w:val="009E459F"/>
    <w:rsid w:val="009E45C2"/>
    <w:rsid w:val="009E45E4"/>
    <w:rsid w:val="009E461D"/>
    <w:rsid w:val="009E4658"/>
    <w:rsid w:val="009E468C"/>
    <w:rsid w:val="009E46AD"/>
    <w:rsid w:val="009E46B3"/>
    <w:rsid w:val="009E46ED"/>
    <w:rsid w:val="009E46FA"/>
    <w:rsid w:val="009E4711"/>
    <w:rsid w:val="009E4765"/>
    <w:rsid w:val="009E477D"/>
    <w:rsid w:val="009E4793"/>
    <w:rsid w:val="009E479E"/>
    <w:rsid w:val="009E4953"/>
    <w:rsid w:val="009E4992"/>
    <w:rsid w:val="009E499E"/>
    <w:rsid w:val="009E49AA"/>
    <w:rsid w:val="009E49AE"/>
    <w:rsid w:val="009E49F9"/>
    <w:rsid w:val="009E4A03"/>
    <w:rsid w:val="009E4AE3"/>
    <w:rsid w:val="009E4AEE"/>
    <w:rsid w:val="009E4B8B"/>
    <w:rsid w:val="009E4BAC"/>
    <w:rsid w:val="009E4BBF"/>
    <w:rsid w:val="009E4C08"/>
    <w:rsid w:val="009E4C4D"/>
    <w:rsid w:val="009E4C60"/>
    <w:rsid w:val="009E4D22"/>
    <w:rsid w:val="009E4D2C"/>
    <w:rsid w:val="009E4D6C"/>
    <w:rsid w:val="009E4DCE"/>
    <w:rsid w:val="009E4E1F"/>
    <w:rsid w:val="009E4E28"/>
    <w:rsid w:val="009E4E2E"/>
    <w:rsid w:val="009E4E44"/>
    <w:rsid w:val="009E4E95"/>
    <w:rsid w:val="009E4E96"/>
    <w:rsid w:val="009E4EA8"/>
    <w:rsid w:val="009E4ECE"/>
    <w:rsid w:val="009E4EE7"/>
    <w:rsid w:val="009E4EF3"/>
    <w:rsid w:val="009E4F3D"/>
    <w:rsid w:val="009E4F63"/>
    <w:rsid w:val="009E4F79"/>
    <w:rsid w:val="009E4F95"/>
    <w:rsid w:val="009E4F96"/>
    <w:rsid w:val="009E4FDB"/>
    <w:rsid w:val="009E5015"/>
    <w:rsid w:val="009E5028"/>
    <w:rsid w:val="009E5110"/>
    <w:rsid w:val="009E513E"/>
    <w:rsid w:val="009E51C0"/>
    <w:rsid w:val="009E51EE"/>
    <w:rsid w:val="009E523D"/>
    <w:rsid w:val="009E5279"/>
    <w:rsid w:val="009E52BF"/>
    <w:rsid w:val="009E530B"/>
    <w:rsid w:val="009E5397"/>
    <w:rsid w:val="009E53A9"/>
    <w:rsid w:val="009E53F5"/>
    <w:rsid w:val="009E5438"/>
    <w:rsid w:val="009E543C"/>
    <w:rsid w:val="009E54A6"/>
    <w:rsid w:val="009E559C"/>
    <w:rsid w:val="009E5667"/>
    <w:rsid w:val="009E56FA"/>
    <w:rsid w:val="009E5714"/>
    <w:rsid w:val="009E5734"/>
    <w:rsid w:val="009E5739"/>
    <w:rsid w:val="009E57BE"/>
    <w:rsid w:val="009E57F0"/>
    <w:rsid w:val="009E57FC"/>
    <w:rsid w:val="009E58A7"/>
    <w:rsid w:val="009E58AD"/>
    <w:rsid w:val="009E58BE"/>
    <w:rsid w:val="009E58DD"/>
    <w:rsid w:val="009E58ED"/>
    <w:rsid w:val="009E59AB"/>
    <w:rsid w:val="009E5A48"/>
    <w:rsid w:val="009E5A9E"/>
    <w:rsid w:val="009E5AC7"/>
    <w:rsid w:val="009E5B3C"/>
    <w:rsid w:val="009E5B5D"/>
    <w:rsid w:val="009E5BAF"/>
    <w:rsid w:val="009E5C0E"/>
    <w:rsid w:val="009E5C6F"/>
    <w:rsid w:val="009E5C90"/>
    <w:rsid w:val="009E5CA6"/>
    <w:rsid w:val="009E5D34"/>
    <w:rsid w:val="009E5E29"/>
    <w:rsid w:val="009E5E46"/>
    <w:rsid w:val="009E5F1F"/>
    <w:rsid w:val="009E5F39"/>
    <w:rsid w:val="009E5FC6"/>
    <w:rsid w:val="009E607E"/>
    <w:rsid w:val="009E60C7"/>
    <w:rsid w:val="009E60D2"/>
    <w:rsid w:val="009E619A"/>
    <w:rsid w:val="009E61C1"/>
    <w:rsid w:val="009E621E"/>
    <w:rsid w:val="009E62E6"/>
    <w:rsid w:val="009E635F"/>
    <w:rsid w:val="009E637A"/>
    <w:rsid w:val="009E63D9"/>
    <w:rsid w:val="009E63F9"/>
    <w:rsid w:val="009E642E"/>
    <w:rsid w:val="009E6458"/>
    <w:rsid w:val="009E6468"/>
    <w:rsid w:val="009E649E"/>
    <w:rsid w:val="009E64BB"/>
    <w:rsid w:val="009E652F"/>
    <w:rsid w:val="009E6581"/>
    <w:rsid w:val="009E6713"/>
    <w:rsid w:val="009E6726"/>
    <w:rsid w:val="009E6799"/>
    <w:rsid w:val="009E67AF"/>
    <w:rsid w:val="009E67D8"/>
    <w:rsid w:val="009E682C"/>
    <w:rsid w:val="009E68B6"/>
    <w:rsid w:val="009E68CF"/>
    <w:rsid w:val="009E693B"/>
    <w:rsid w:val="009E694F"/>
    <w:rsid w:val="009E69C5"/>
    <w:rsid w:val="009E6B06"/>
    <w:rsid w:val="009E6BCC"/>
    <w:rsid w:val="009E6C3D"/>
    <w:rsid w:val="009E6C72"/>
    <w:rsid w:val="009E6CE8"/>
    <w:rsid w:val="009E6CF5"/>
    <w:rsid w:val="009E6E12"/>
    <w:rsid w:val="009E6E91"/>
    <w:rsid w:val="009E6EAB"/>
    <w:rsid w:val="009E6EC3"/>
    <w:rsid w:val="009E6EFA"/>
    <w:rsid w:val="009E6F0D"/>
    <w:rsid w:val="009E6F93"/>
    <w:rsid w:val="009E6FF9"/>
    <w:rsid w:val="009E701D"/>
    <w:rsid w:val="009E7122"/>
    <w:rsid w:val="009E7180"/>
    <w:rsid w:val="009E7187"/>
    <w:rsid w:val="009E71A1"/>
    <w:rsid w:val="009E7260"/>
    <w:rsid w:val="009E72AC"/>
    <w:rsid w:val="009E7343"/>
    <w:rsid w:val="009E7350"/>
    <w:rsid w:val="009E736A"/>
    <w:rsid w:val="009E738C"/>
    <w:rsid w:val="009E740A"/>
    <w:rsid w:val="009E741B"/>
    <w:rsid w:val="009E7428"/>
    <w:rsid w:val="009E747A"/>
    <w:rsid w:val="009E747B"/>
    <w:rsid w:val="009E74A5"/>
    <w:rsid w:val="009E74CA"/>
    <w:rsid w:val="009E7506"/>
    <w:rsid w:val="009E7588"/>
    <w:rsid w:val="009E75AC"/>
    <w:rsid w:val="009E75DF"/>
    <w:rsid w:val="009E75E7"/>
    <w:rsid w:val="009E7646"/>
    <w:rsid w:val="009E7667"/>
    <w:rsid w:val="009E7707"/>
    <w:rsid w:val="009E772D"/>
    <w:rsid w:val="009E775E"/>
    <w:rsid w:val="009E77EB"/>
    <w:rsid w:val="009E7815"/>
    <w:rsid w:val="009E783C"/>
    <w:rsid w:val="009E7847"/>
    <w:rsid w:val="009E78C8"/>
    <w:rsid w:val="009E78DF"/>
    <w:rsid w:val="009E790B"/>
    <w:rsid w:val="009E7916"/>
    <w:rsid w:val="009E7925"/>
    <w:rsid w:val="009E79DD"/>
    <w:rsid w:val="009E7A22"/>
    <w:rsid w:val="009E7A66"/>
    <w:rsid w:val="009E7A83"/>
    <w:rsid w:val="009E7B62"/>
    <w:rsid w:val="009E7B69"/>
    <w:rsid w:val="009E7B7D"/>
    <w:rsid w:val="009E7BA5"/>
    <w:rsid w:val="009E7BAD"/>
    <w:rsid w:val="009E7BD7"/>
    <w:rsid w:val="009E7C27"/>
    <w:rsid w:val="009E7C33"/>
    <w:rsid w:val="009E7C63"/>
    <w:rsid w:val="009E7C78"/>
    <w:rsid w:val="009E7C9B"/>
    <w:rsid w:val="009E7CCE"/>
    <w:rsid w:val="009E7D09"/>
    <w:rsid w:val="009E7D21"/>
    <w:rsid w:val="009E7DAF"/>
    <w:rsid w:val="009E7E34"/>
    <w:rsid w:val="009E7E67"/>
    <w:rsid w:val="009E7F06"/>
    <w:rsid w:val="009E7F27"/>
    <w:rsid w:val="009F006B"/>
    <w:rsid w:val="009F00C0"/>
    <w:rsid w:val="009F0107"/>
    <w:rsid w:val="009F014C"/>
    <w:rsid w:val="009F01B4"/>
    <w:rsid w:val="009F01C9"/>
    <w:rsid w:val="009F01DF"/>
    <w:rsid w:val="009F01FC"/>
    <w:rsid w:val="009F0332"/>
    <w:rsid w:val="009F0353"/>
    <w:rsid w:val="009F03CC"/>
    <w:rsid w:val="009F03DC"/>
    <w:rsid w:val="009F0466"/>
    <w:rsid w:val="009F0472"/>
    <w:rsid w:val="009F0484"/>
    <w:rsid w:val="009F0491"/>
    <w:rsid w:val="009F051B"/>
    <w:rsid w:val="009F05C5"/>
    <w:rsid w:val="009F0658"/>
    <w:rsid w:val="009F0764"/>
    <w:rsid w:val="009F07AC"/>
    <w:rsid w:val="009F07DA"/>
    <w:rsid w:val="009F07FC"/>
    <w:rsid w:val="009F080F"/>
    <w:rsid w:val="009F082C"/>
    <w:rsid w:val="009F08A8"/>
    <w:rsid w:val="009F08E0"/>
    <w:rsid w:val="009F0945"/>
    <w:rsid w:val="009F0965"/>
    <w:rsid w:val="009F097B"/>
    <w:rsid w:val="009F0991"/>
    <w:rsid w:val="009F09A6"/>
    <w:rsid w:val="009F09FD"/>
    <w:rsid w:val="009F0AFF"/>
    <w:rsid w:val="009F0B31"/>
    <w:rsid w:val="009F0B93"/>
    <w:rsid w:val="009F0C05"/>
    <w:rsid w:val="009F0C16"/>
    <w:rsid w:val="009F0CD5"/>
    <w:rsid w:val="009F0D32"/>
    <w:rsid w:val="009F0D4C"/>
    <w:rsid w:val="009F0D67"/>
    <w:rsid w:val="009F0D76"/>
    <w:rsid w:val="009F0DAB"/>
    <w:rsid w:val="009F0DC8"/>
    <w:rsid w:val="009F0E49"/>
    <w:rsid w:val="009F0E74"/>
    <w:rsid w:val="009F0E83"/>
    <w:rsid w:val="009F0E89"/>
    <w:rsid w:val="009F0EB2"/>
    <w:rsid w:val="009F0EB7"/>
    <w:rsid w:val="009F0EDF"/>
    <w:rsid w:val="009F0EEB"/>
    <w:rsid w:val="009F0FF6"/>
    <w:rsid w:val="009F10E6"/>
    <w:rsid w:val="009F10F1"/>
    <w:rsid w:val="009F1163"/>
    <w:rsid w:val="009F116C"/>
    <w:rsid w:val="009F1185"/>
    <w:rsid w:val="009F11C4"/>
    <w:rsid w:val="009F122D"/>
    <w:rsid w:val="009F13B8"/>
    <w:rsid w:val="009F143B"/>
    <w:rsid w:val="009F1450"/>
    <w:rsid w:val="009F1460"/>
    <w:rsid w:val="009F15C5"/>
    <w:rsid w:val="009F163B"/>
    <w:rsid w:val="009F1662"/>
    <w:rsid w:val="009F16AB"/>
    <w:rsid w:val="009F1738"/>
    <w:rsid w:val="009F174A"/>
    <w:rsid w:val="009F17F0"/>
    <w:rsid w:val="009F1835"/>
    <w:rsid w:val="009F1856"/>
    <w:rsid w:val="009F1880"/>
    <w:rsid w:val="009F188B"/>
    <w:rsid w:val="009F18D1"/>
    <w:rsid w:val="009F19D7"/>
    <w:rsid w:val="009F19E0"/>
    <w:rsid w:val="009F19F6"/>
    <w:rsid w:val="009F1A3A"/>
    <w:rsid w:val="009F1AC6"/>
    <w:rsid w:val="009F1B19"/>
    <w:rsid w:val="009F1B25"/>
    <w:rsid w:val="009F1C1B"/>
    <w:rsid w:val="009F1C2C"/>
    <w:rsid w:val="009F1C98"/>
    <w:rsid w:val="009F1CED"/>
    <w:rsid w:val="009F1D47"/>
    <w:rsid w:val="009F1DA9"/>
    <w:rsid w:val="009F1E13"/>
    <w:rsid w:val="009F1E2E"/>
    <w:rsid w:val="009F1E52"/>
    <w:rsid w:val="009F1E7E"/>
    <w:rsid w:val="009F1ED8"/>
    <w:rsid w:val="009F1F60"/>
    <w:rsid w:val="009F1F9B"/>
    <w:rsid w:val="009F207E"/>
    <w:rsid w:val="009F20FF"/>
    <w:rsid w:val="009F2153"/>
    <w:rsid w:val="009F2158"/>
    <w:rsid w:val="009F2167"/>
    <w:rsid w:val="009F21A7"/>
    <w:rsid w:val="009F21FD"/>
    <w:rsid w:val="009F2263"/>
    <w:rsid w:val="009F2271"/>
    <w:rsid w:val="009F2301"/>
    <w:rsid w:val="009F237E"/>
    <w:rsid w:val="009F23A8"/>
    <w:rsid w:val="009F2403"/>
    <w:rsid w:val="009F2458"/>
    <w:rsid w:val="009F248A"/>
    <w:rsid w:val="009F24C9"/>
    <w:rsid w:val="009F2555"/>
    <w:rsid w:val="009F258E"/>
    <w:rsid w:val="009F25E7"/>
    <w:rsid w:val="009F2659"/>
    <w:rsid w:val="009F2755"/>
    <w:rsid w:val="009F285F"/>
    <w:rsid w:val="009F286D"/>
    <w:rsid w:val="009F28CB"/>
    <w:rsid w:val="009F28E2"/>
    <w:rsid w:val="009F29E7"/>
    <w:rsid w:val="009F29EB"/>
    <w:rsid w:val="009F2A42"/>
    <w:rsid w:val="009F2AD0"/>
    <w:rsid w:val="009F2B3E"/>
    <w:rsid w:val="009F2B54"/>
    <w:rsid w:val="009F2C35"/>
    <w:rsid w:val="009F2C41"/>
    <w:rsid w:val="009F2D37"/>
    <w:rsid w:val="009F2D7C"/>
    <w:rsid w:val="009F2DE3"/>
    <w:rsid w:val="009F2F77"/>
    <w:rsid w:val="009F2FF1"/>
    <w:rsid w:val="009F30AD"/>
    <w:rsid w:val="009F30BE"/>
    <w:rsid w:val="009F30FA"/>
    <w:rsid w:val="009F3112"/>
    <w:rsid w:val="009F33D5"/>
    <w:rsid w:val="009F33F8"/>
    <w:rsid w:val="009F3571"/>
    <w:rsid w:val="009F358B"/>
    <w:rsid w:val="009F35E5"/>
    <w:rsid w:val="009F3622"/>
    <w:rsid w:val="009F3646"/>
    <w:rsid w:val="009F369F"/>
    <w:rsid w:val="009F374C"/>
    <w:rsid w:val="009F3797"/>
    <w:rsid w:val="009F37DF"/>
    <w:rsid w:val="009F37FB"/>
    <w:rsid w:val="009F382A"/>
    <w:rsid w:val="009F38D2"/>
    <w:rsid w:val="009F390B"/>
    <w:rsid w:val="009F3940"/>
    <w:rsid w:val="009F39F2"/>
    <w:rsid w:val="009F3AFD"/>
    <w:rsid w:val="009F3B4A"/>
    <w:rsid w:val="009F3BEB"/>
    <w:rsid w:val="009F3BF1"/>
    <w:rsid w:val="009F3C77"/>
    <w:rsid w:val="009F3D55"/>
    <w:rsid w:val="009F3D6E"/>
    <w:rsid w:val="009F3D95"/>
    <w:rsid w:val="009F3D98"/>
    <w:rsid w:val="009F3DB6"/>
    <w:rsid w:val="009F3DBE"/>
    <w:rsid w:val="009F3DFB"/>
    <w:rsid w:val="009F3E14"/>
    <w:rsid w:val="009F3F41"/>
    <w:rsid w:val="009F3FA0"/>
    <w:rsid w:val="009F3FA4"/>
    <w:rsid w:val="009F410C"/>
    <w:rsid w:val="009F4121"/>
    <w:rsid w:val="009F412B"/>
    <w:rsid w:val="009F4157"/>
    <w:rsid w:val="009F4170"/>
    <w:rsid w:val="009F41FC"/>
    <w:rsid w:val="009F420E"/>
    <w:rsid w:val="009F423A"/>
    <w:rsid w:val="009F4309"/>
    <w:rsid w:val="009F437E"/>
    <w:rsid w:val="009F4383"/>
    <w:rsid w:val="009F43B2"/>
    <w:rsid w:val="009F452E"/>
    <w:rsid w:val="009F45CA"/>
    <w:rsid w:val="009F45DB"/>
    <w:rsid w:val="009F4637"/>
    <w:rsid w:val="009F46B2"/>
    <w:rsid w:val="009F4735"/>
    <w:rsid w:val="009F4785"/>
    <w:rsid w:val="009F47C7"/>
    <w:rsid w:val="009F47FA"/>
    <w:rsid w:val="009F481C"/>
    <w:rsid w:val="009F481E"/>
    <w:rsid w:val="009F48D2"/>
    <w:rsid w:val="009F49A6"/>
    <w:rsid w:val="009F49C0"/>
    <w:rsid w:val="009F49E0"/>
    <w:rsid w:val="009F4A15"/>
    <w:rsid w:val="009F4A2B"/>
    <w:rsid w:val="009F4A43"/>
    <w:rsid w:val="009F4C6F"/>
    <w:rsid w:val="009F4C90"/>
    <w:rsid w:val="009F4D02"/>
    <w:rsid w:val="009F4D48"/>
    <w:rsid w:val="009F4D53"/>
    <w:rsid w:val="009F4D99"/>
    <w:rsid w:val="009F4DB4"/>
    <w:rsid w:val="009F4DE1"/>
    <w:rsid w:val="009F4EBB"/>
    <w:rsid w:val="009F4EDC"/>
    <w:rsid w:val="009F4EEF"/>
    <w:rsid w:val="009F4F34"/>
    <w:rsid w:val="009F4F7D"/>
    <w:rsid w:val="009F4FD1"/>
    <w:rsid w:val="009F5085"/>
    <w:rsid w:val="009F50C9"/>
    <w:rsid w:val="009F50CC"/>
    <w:rsid w:val="009F512D"/>
    <w:rsid w:val="009F51AD"/>
    <w:rsid w:val="009F521E"/>
    <w:rsid w:val="009F5235"/>
    <w:rsid w:val="009F52DA"/>
    <w:rsid w:val="009F530E"/>
    <w:rsid w:val="009F5353"/>
    <w:rsid w:val="009F53D1"/>
    <w:rsid w:val="009F5426"/>
    <w:rsid w:val="009F5469"/>
    <w:rsid w:val="009F546E"/>
    <w:rsid w:val="009F54A2"/>
    <w:rsid w:val="009F54D4"/>
    <w:rsid w:val="009F5579"/>
    <w:rsid w:val="009F5601"/>
    <w:rsid w:val="009F560D"/>
    <w:rsid w:val="009F566B"/>
    <w:rsid w:val="009F56AA"/>
    <w:rsid w:val="009F56BC"/>
    <w:rsid w:val="009F56E5"/>
    <w:rsid w:val="009F56E9"/>
    <w:rsid w:val="009F572E"/>
    <w:rsid w:val="009F574B"/>
    <w:rsid w:val="009F5846"/>
    <w:rsid w:val="009F586A"/>
    <w:rsid w:val="009F5871"/>
    <w:rsid w:val="009F5995"/>
    <w:rsid w:val="009F59E8"/>
    <w:rsid w:val="009F5AA2"/>
    <w:rsid w:val="009F5AC4"/>
    <w:rsid w:val="009F5B51"/>
    <w:rsid w:val="009F5CEF"/>
    <w:rsid w:val="009F5D54"/>
    <w:rsid w:val="009F5D7D"/>
    <w:rsid w:val="009F5D9B"/>
    <w:rsid w:val="009F5DB0"/>
    <w:rsid w:val="009F5DB9"/>
    <w:rsid w:val="009F5DC5"/>
    <w:rsid w:val="009F5DD3"/>
    <w:rsid w:val="009F5DF5"/>
    <w:rsid w:val="009F5DFB"/>
    <w:rsid w:val="009F5E6F"/>
    <w:rsid w:val="009F5E88"/>
    <w:rsid w:val="009F5F17"/>
    <w:rsid w:val="009F5F60"/>
    <w:rsid w:val="009F5F79"/>
    <w:rsid w:val="009F6024"/>
    <w:rsid w:val="009F6047"/>
    <w:rsid w:val="009F6128"/>
    <w:rsid w:val="009F613D"/>
    <w:rsid w:val="009F61EA"/>
    <w:rsid w:val="009F6253"/>
    <w:rsid w:val="009F62D3"/>
    <w:rsid w:val="009F62FD"/>
    <w:rsid w:val="009F6382"/>
    <w:rsid w:val="009F6423"/>
    <w:rsid w:val="009F6428"/>
    <w:rsid w:val="009F643A"/>
    <w:rsid w:val="009F644B"/>
    <w:rsid w:val="009F6470"/>
    <w:rsid w:val="009F6490"/>
    <w:rsid w:val="009F649B"/>
    <w:rsid w:val="009F649E"/>
    <w:rsid w:val="009F649F"/>
    <w:rsid w:val="009F64AB"/>
    <w:rsid w:val="009F64BE"/>
    <w:rsid w:val="009F64C5"/>
    <w:rsid w:val="009F64D3"/>
    <w:rsid w:val="009F64F6"/>
    <w:rsid w:val="009F653A"/>
    <w:rsid w:val="009F654A"/>
    <w:rsid w:val="009F656A"/>
    <w:rsid w:val="009F6599"/>
    <w:rsid w:val="009F66C8"/>
    <w:rsid w:val="009F670F"/>
    <w:rsid w:val="009F6776"/>
    <w:rsid w:val="009F6798"/>
    <w:rsid w:val="009F6799"/>
    <w:rsid w:val="009F680F"/>
    <w:rsid w:val="009F686C"/>
    <w:rsid w:val="009F6876"/>
    <w:rsid w:val="009F68B3"/>
    <w:rsid w:val="009F68C0"/>
    <w:rsid w:val="009F6951"/>
    <w:rsid w:val="009F699A"/>
    <w:rsid w:val="009F69E6"/>
    <w:rsid w:val="009F6A27"/>
    <w:rsid w:val="009F6AEA"/>
    <w:rsid w:val="009F6AF7"/>
    <w:rsid w:val="009F6B04"/>
    <w:rsid w:val="009F6C39"/>
    <w:rsid w:val="009F6CD9"/>
    <w:rsid w:val="009F6CEE"/>
    <w:rsid w:val="009F6D14"/>
    <w:rsid w:val="009F6D5A"/>
    <w:rsid w:val="009F6D5B"/>
    <w:rsid w:val="009F6D92"/>
    <w:rsid w:val="009F6DB0"/>
    <w:rsid w:val="009F6DD5"/>
    <w:rsid w:val="009F6DEE"/>
    <w:rsid w:val="009F6E52"/>
    <w:rsid w:val="009F6F06"/>
    <w:rsid w:val="009F6F0E"/>
    <w:rsid w:val="009F6F99"/>
    <w:rsid w:val="009F7036"/>
    <w:rsid w:val="009F7038"/>
    <w:rsid w:val="009F7080"/>
    <w:rsid w:val="009F70A3"/>
    <w:rsid w:val="009F70DA"/>
    <w:rsid w:val="009F70FB"/>
    <w:rsid w:val="009F7102"/>
    <w:rsid w:val="009F7108"/>
    <w:rsid w:val="009F71B9"/>
    <w:rsid w:val="009F71F7"/>
    <w:rsid w:val="009F71FE"/>
    <w:rsid w:val="009F727A"/>
    <w:rsid w:val="009F72D2"/>
    <w:rsid w:val="009F7327"/>
    <w:rsid w:val="009F743D"/>
    <w:rsid w:val="009F744F"/>
    <w:rsid w:val="009F7458"/>
    <w:rsid w:val="009F7518"/>
    <w:rsid w:val="009F7519"/>
    <w:rsid w:val="009F756B"/>
    <w:rsid w:val="009F7574"/>
    <w:rsid w:val="009F75AE"/>
    <w:rsid w:val="009F75B0"/>
    <w:rsid w:val="009F75B4"/>
    <w:rsid w:val="009F75C8"/>
    <w:rsid w:val="009F7600"/>
    <w:rsid w:val="009F7652"/>
    <w:rsid w:val="009F7668"/>
    <w:rsid w:val="009F76D6"/>
    <w:rsid w:val="009F7793"/>
    <w:rsid w:val="009F77F9"/>
    <w:rsid w:val="009F786A"/>
    <w:rsid w:val="009F7879"/>
    <w:rsid w:val="009F788D"/>
    <w:rsid w:val="009F78BC"/>
    <w:rsid w:val="009F793A"/>
    <w:rsid w:val="009F793F"/>
    <w:rsid w:val="009F79B6"/>
    <w:rsid w:val="009F79CB"/>
    <w:rsid w:val="009F79CE"/>
    <w:rsid w:val="009F7A8F"/>
    <w:rsid w:val="009F7AA8"/>
    <w:rsid w:val="009F7ACF"/>
    <w:rsid w:val="009F7AD2"/>
    <w:rsid w:val="009F7AD9"/>
    <w:rsid w:val="009F7ADA"/>
    <w:rsid w:val="009F7B63"/>
    <w:rsid w:val="009F7B76"/>
    <w:rsid w:val="009F7BDE"/>
    <w:rsid w:val="009F7BF4"/>
    <w:rsid w:val="009F7C91"/>
    <w:rsid w:val="009F7E19"/>
    <w:rsid w:val="009F7E2C"/>
    <w:rsid w:val="009F7E3A"/>
    <w:rsid w:val="009F7E50"/>
    <w:rsid w:val="009F7EC2"/>
    <w:rsid w:val="009F7EC8"/>
    <w:rsid w:val="009F7ED7"/>
    <w:rsid w:val="009F7F3C"/>
    <w:rsid w:val="009F7F97"/>
    <w:rsid w:val="00A00009"/>
    <w:rsid w:val="00A000AA"/>
    <w:rsid w:val="00A000C8"/>
    <w:rsid w:val="00A000C9"/>
    <w:rsid w:val="00A001C3"/>
    <w:rsid w:val="00A001C7"/>
    <w:rsid w:val="00A001E2"/>
    <w:rsid w:val="00A0020A"/>
    <w:rsid w:val="00A00240"/>
    <w:rsid w:val="00A00281"/>
    <w:rsid w:val="00A002F7"/>
    <w:rsid w:val="00A0034C"/>
    <w:rsid w:val="00A00360"/>
    <w:rsid w:val="00A00389"/>
    <w:rsid w:val="00A00430"/>
    <w:rsid w:val="00A0049B"/>
    <w:rsid w:val="00A00522"/>
    <w:rsid w:val="00A00596"/>
    <w:rsid w:val="00A005B7"/>
    <w:rsid w:val="00A005B8"/>
    <w:rsid w:val="00A005D0"/>
    <w:rsid w:val="00A00624"/>
    <w:rsid w:val="00A0065C"/>
    <w:rsid w:val="00A00669"/>
    <w:rsid w:val="00A00694"/>
    <w:rsid w:val="00A006A3"/>
    <w:rsid w:val="00A006A8"/>
    <w:rsid w:val="00A006E4"/>
    <w:rsid w:val="00A0074A"/>
    <w:rsid w:val="00A00790"/>
    <w:rsid w:val="00A0080D"/>
    <w:rsid w:val="00A008E6"/>
    <w:rsid w:val="00A0096B"/>
    <w:rsid w:val="00A009CE"/>
    <w:rsid w:val="00A00A1C"/>
    <w:rsid w:val="00A00A41"/>
    <w:rsid w:val="00A00A52"/>
    <w:rsid w:val="00A00C87"/>
    <w:rsid w:val="00A00D42"/>
    <w:rsid w:val="00A00E12"/>
    <w:rsid w:val="00A00E4C"/>
    <w:rsid w:val="00A00E74"/>
    <w:rsid w:val="00A00E88"/>
    <w:rsid w:val="00A00EB3"/>
    <w:rsid w:val="00A00F0B"/>
    <w:rsid w:val="00A00F3F"/>
    <w:rsid w:val="00A00FC4"/>
    <w:rsid w:val="00A0100C"/>
    <w:rsid w:val="00A01011"/>
    <w:rsid w:val="00A01058"/>
    <w:rsid w:val="00A01090"/>
    <w:rsid w:val="00A0109D"/>
    <w:rsid w:val="00A010CE"/>
    <w:rsid w:val="00A010EB"/>
    <w:rsid w:val="00A01131"/>
    <w:rsid w:val="00A01246"/>
    <w:rsid w:val="00A01259"/>
    <w:rsid w:val="00A0126A"/>
    <w:rsid w:val="00A0127B"/>
    <w:rsid w:val="00A012CA"/>
    <w:rsid w:val="00A012DC"/>
    <w:rsid w:val="00A013BA"/>
    <w:rsid w:val="00A0143B"/>
    <w:rsid w:val="00A01443"/>
    <w:rsid w:val="00A0145A"/>
    <w:rsid w:val="00A01481"/>
    <w:rsid w:val="00A014CF"/>
    <w:rsid w:val="00A014D3"/>
    <w:rsid w:val="00A014EF"/>
    <w:rsid w:val="00A01551"/>
    <w:rsid w:val="00A015F6"/>
    <w:rsid w:val="00A01653"/>
    <w:rsid w:val="00A016DB"/>
    <w:rsid w:val="00A0173E"/>
    <w:rsid w:val="00A017E6"/>
    <w:rsid w:val="00A01801"/>
    <w:rsid w:val="00A0186D"/>
    <w:rsid w:val="00A01888"/>
    <w:rsid w:val="00A018C4"/>
    <w:rsid w:val="00A019B7"/>
    <w:rsid w:val="00A01AB2"/>
    <w:rsid w:val="00A01ACD"/>
    <w:rsid w:val="00A01B0A"/>
    <w:rsid w:val="00A01CDE"/>
    <w:rsid w:val="00A01DF4"/>
    <w:rsid w:val="00A01E44"/>
    <w:rsid w:val="00A01F97"/>
    <w:rsid w:val="00A01FA4"/>
    <w:rsid w:val="00A01FEB"/>
    <w:rsid w:val="00A02071"/>
    <w:rsid w:val="00A020F7"/>
    <w:rsid w:val="00A02117"/>
    <w:rsid w:val="00A0212A"/>
    <w:rsid w:val="00A02140"/>
    <w:rsid w:val="00A021BC"/>
    <w:rsid w:val="00A02262"/>
    <w:rsid w:val="00A022FF"/>
    <w:rsid w:val="00A02316"/>
    <w:rsid w:val="00A02364"/>
    <w:rsid w:val="00A023AF"/>
    <w:rsid w:val="00A023F3"/>
    <w:rsid w:val="00A02403"/>
    <w:rsid w:val="00A0244F"/>
    <w:rsid w:val="00A0245D"/>
    <w:rsid w:val="00A024AF"/>
    <w:rsid w:val="00A024CC"/>
    <w:rsid w:val="00A0252E"/>
    <w:rsid w:val="00A0255E"/>
    <w:rsid w:val="00A02574"/>
    <w:rsid w:val="00A025B2"/>
    <w:rsid w:val="00A026B7"/>
    <w:rsid w:val="00A02796"/>
    <w:rsid w:val="00A027B4"/>
    <w:rsid w:val="00A02864"/>
    <w:rsid w:val="00A028F4"/>
    <w:rsid w:val="00A02995"/>
    <w:rsid w:val="00A029A7"/>
    <w:rsid w:val="00A02AD9"/>
    <w:rsid w:val="00A02B10"/>
    <w:rsid w:val="00A02B37"/>
    <w:rsid w:val="00A02B45"/>
    <w:rsid w:val="00A02B4D"/>
    <w:rsid w:val="00A02BE7"/>
    <w:rsid w:val="00A02C1D"/>
    <w:rsid w:val="00A02C83"/>
    <w:rsid w:val="00A02D26"/>
    <w:rsid w:val="00A02D3F"/>
    <w:rsid w:val="00A02D42"/>
    <w:rsid w:val="00A02D8D"/>
    <w:rsid w:val="00A02E4A"/>
    <w:rsid w:val="00A02E6B"/>
    <w:rsid w:val="00A02F16"/>
    <w:rsid w:val="00A02F2D"/>
    <w:rsid w:val="00A02F76"/>
    <w:rsid w:val="00A02F98"/>
    <w:rsid w:val="00A03048"/>
    <w:rsid w:val="00A0305A"/>
    <w:rsid w:val="00A03128"/>
    <w:rsid w:val="00A03146"/>
    <w:rsid w:val="00A03183"/>
    <w:rsid w:val="00A031A7"/>
    <w:rsid w:val="00A031C3"/>
    <w:rsid w:val="00A031C4"/>
    <w:rsid w:val="00A0321C"/>
    <w:rsid w:val="00A032B8"/>
    <w:rsid w:val="00A0332C"/>
    <w:rsid w:val="00A03352"/>
    <w:rsid w:val="00A03374"/>
    <w:rsid w:val="00A0343E"/>
    <w:rsid w:val="00A034E8"/>
    <w:rsid w:val="00A03540"/>
    <w:rsid w:val="00A03549"/>
    <w:rsid w:val="00A0354F"/>
    <w:rsid w:val="00A03553"/>
    <w:rsid w:val="00A035AE"/>
    <w:rsid w:val="00A0363A"/>
    <w:rsid w:val="00A03679"/>
    <w:rsid w:val="00A0373F"/>
    <w:rsid w:val="00A0374E"/>
    <w:rsid w:val="00A03897"/>
    <w:rsid w:val="00A03929"/>
    <w:rsid w:val="00A0394D"/>
    <w:rsid w:val="00A039A0"/>
    <w:rsid w:val="00A039B1"/>
    <w:rsid w:val="00A03A77"/>
    <w:rsid w:val="00A03AC7"/>
    <w:rsid w:val="00A03B44"/>
    <w:rsid w:val="00A03B52"/>
    <w:rsid w:val="00A03B54"/>
    <w:rsid w:val="00A03B58"/>
    <w:rsid w:val="00A03B6D"/>
    <w:rsid w:val="00A03BD5"/>
    <w:rsid w:val="00A03C21"/>
    <w:rsid w:val="00A03C6D"/>
    <w:rsid w:val="00A03C85"/>
    <w:rsid w:val="00A03D14"/>
    <w:rsid w:val="00A03D62"/>
    <w:rsid w:val="00A03D67"/>
    <w:rsid w:val="00A03DCF"/>
    <w:rsid w:val="00A03EBC"/>
    <w:rsid w:val="00A03EDB"/>
    <w:rsid w:val="00A03EF3"/>
    <w:rsid w:val="00A03F0C"/>
    <w:rsid w:val="00A03F91"/>
    <w:rsid w:val="00A03FAD"/>
    <w:rsid w:val="00A03FE3"/>
    <w:rsid w:val="00A0404F"/>
    <w:rsid w:val="00A040E3"/>
    <w:rsid w:val="00A0415D"/>
    <w:rsid w:val="00A0423B"/>
    <w:rsid w:val="00A0424F"/>
    <w:rsid w:val="00A04253"/>
    <w:rsid w:val="00A04300"/>
    <w:rsid w:val="00A0430F"/>
    <w:rsid w:val="00A04379"/>
    <w:rsid w:val="00A043A2"/>
    <w:rsid w:val="00A043AD"/>
    <w:rsid w:val="00A04421"/>
    <w:rsid w:val="00A04460"/>
    <w:rsid w:val="00A04471"/>
    <w:rsid w:val="00A04569"/>
    <w:rsid w:val="00A0456A"/>
    <w:rsid w:val="00A045BC"/>
    <w:rsid w:val="00A04687"/>
    <w:rsid w:val="00A0468B"/>
    <w:rsid w:val="00A046AB"/>
    <w:rsid w:val="00A0481D"/>
    <w:rsid w:val="00A04834"/>
    <w:rsid w:val="00A048F3"/>
    <w:rsid w:val="00A049B9"/>
    <w:rsid w:val="00A049CA"/>
    <w:rsid w:val="00A04A0C"/>
    <w:rsid w:val="00A04A82"/>
    <w:rsid w:val="00A04A99"/>
    <w:rsid w:val="00A04AE4"/>
    <w:rsid w:val="00A04BB2"/>
    <w:rsid w:val="00A04BCC"/>
    <w:rsid w:val="00A04C3F"/>
    <w:rsid w:val="00A04C59"/>
    <w:rsid w:val="00A04C73"/>
    <w:rsid w:val="00A04D06"/>
    <w:rsid w:val="00A04D9E"/>
    <w:rsid w:val="00A04E19"/>
    <w:rsid w:val="00A04EC2"/>
    <w:rsid w:val="00A04EF4"/>
    <w:rsid w:val="00A05057"/>
    <w:rsid w:val="00A050B7"/>
    <w:rsid w:val="00A05100"/>
    <w:rsid w:val="00A051A0"/>
    <w:rsid w:val="00A051B3"/>
    <w:rsid w:val="00A051F2"/>
    <w:rsid w:val="00A05205"/>
    <w:rsid w:val="00A052C5"/>
    <w:rsid w:val="00A052FA"/>
    <w:rsid w:val="00A05329"/>
    <w:rsid w:val="00A0535D"/>
    <w:rsid w:val="00A0535F"/>
    <w:rsid w:val="00A053CF"/>
    <w:rsid w:val="00A05447"/>
    <w:rsid w:val="00A054B9"/>
    <w:rsid w:val="00A054C6"/>
    <w:rsid w:val="00A05530"/>
    <w:rsid w:val="00A05531"/>
    <w:rsid w:val="00A05546"/>
    <w:rsid w:val="00A0558B"/>
    <w:rsid w:val="00A055C3"/>
    <w:rsid w:val="00A055E4"/>
    <w:rsid w:val="00A0562A"/>
    <w:rsid w:val="00A056A1"/>
    <w:rsid w:val="00A05748"/>
    <w:rsid w:val="00A05866"/>
    <w:rsid w:val="00A058A1"/>
    <w:rsid w:val="00A058C2"/>
    <w:rsid w:val="00A058CE"/>
    <w:rsid w:val="00A05A83"/>
    <w:rsid w:val="00A05A87"/>
    <w:rsid w:val="00A05A92"/>
    <w:rsid w:val="00A05B39"/>
    <w:rsid w:val="00A05B40"/>
    <w:rsid w:val="00A05B4F"/>
    <w:rsid w:val="00A05BDB"/>
    <w:rsid w:val="00A05C70"/>
    <w:rsid w:val="00A05C98"/>
    <w:rsid w:val="00A05CE1"/>
    <w:rsid w:val="00A05D10"/>
    <w:rsid w:val="00A05DEC"/>
    <w:rsid w:val="00A05E15"/>
    <w:rsid w:val="00A05E3C"/>
    <w:rsid w:val="00A05E49"/>
    <w:rsid w:val="00A05EF7"/>
    <w:rsid w:val="00A05EFD"/>
    <w:rsid w:val="00A05F84"/>
    <w:rsid w:val="00A05F8D"/>
    <w:rsid w:val="00A06013"/>
    <w:rsid w:val="00A06015"/>
    <w:rsid w:val="00A06031"/>
    <w:rsid w:val="00A06033"/>
    <w:rsid w:val="00A0606F"/>
    <w:rsid w:val="00A06070"/>
    <w:rsid w:val="00A060D8"/>
    <w:rsid w:val="00A06113"/>
    <w:rsid w:val="00A0616E"/>
    <w:rsid w:val="00A06216"/>
    <w:rsid w:val="00A06222"/>
    <w:rsid w:val="00A06235"/>
    <w:rsid w:val="00A0627C"/>
    <w:rsid w:val="00A06343"/>
    <w:rsid w:val="00A06353"/>
    <w:rsid w:val="00A06381"/>
    <w:rsid w:val="00A0639C"/>
    <w:rsid w:val="00A063D7"/>
    <w:rsid w:val="00A0641F"/>
    <w:rsid w:val="00A064B6"/>
    <w:rsid w:val="00A06524"/>
    <w:rsid w:val="00A0652D"/>
    <w:rsid w:val="00A06555"/>
    <w:rsid w:val="00A06570"/>
    <w:rsid w:val="00A06594"/>
    <w:rsid w:val="00A065F2"/>
    <w:rsid w:val="00A065FB"/>
    <w:rsid w:val="00A066A0"/>
    <w:rsid w:val="00A066B8"/>
    <w:rsid w:val="00A066E9"/>
    <w:rsid w:val="00A06796"/>
    <w:rsid w:val="00A06833"/>
    <w:rsid w:val="00A0684C"/>
    <w:rsid w:val="00A06887"/>
    <w:rsid w:val="00A068B1"/>
    <w:rsid w:val="00A068BE"/>
    <w:rsid w:val="00A06902"/>
    <w:rsid w:val="00A0699C"/>
    <w:rsid w:val="00A069AC"/>
    <w:rsid w:val="00A06AE4"/>
    <w:rsid w:val="00A06AFC"/>
    <w:rsid w:val="00A06B35"/>
    <w:rsid w:val="00A06B37"/>
    <w:rsid w:val="00A06B85"/>
    <w:rsid w:val="00A06CA1"/>
    <w:rsid w:val="00A06CD8"/>
    <w:rsid w:val="00A06CE8"/>
    <w:rsid w:val="00A06D02"/>
    <w:rsid w:val="00A06D45"/>
    <w:rsid w:val="00A06E39"/>
    <w:rsid w:val="00A06E7F"/>
    <w:rsid w:val="00A06EDD"/>
    <w:rsid w:val="00A06F28"/>
    <w:rsid w:val="00A06F84"/>
    <w:rsid w:val="00A06F8F"/>
    <w:rsid w:val="00A06F96"/>
    <w:rsid w:val="00A07035"/>
    <w:rsid w:val="00A0703E"/>
    <w:rsid w:val="00A07120"/>
    <w:rsid w:val="00A07160"/>
    <w:rsid w:val="00A071B9"/>
    <w:rsid w:val="00A071EB"/>
    <w:rsid w:val="00A07224"/>
    <w:rsid w:val="00A072BC"/>
    <w:rsid w:val="00A072F4"/>
    <w:rsid w:val="00A07380"/>
    <w:rsid w:val="00A0739C"/>
    <w:rsid w:val="00A073A6"/>
    <w:rsid w:val="00A073C4"/>
    <w:rsid w:val="00A07437"/>
    <w:rsid w:val="00A07475"/>
    <w:rsid w:val="00A074C3"/>
    <w:rsid w:val="00A074D7"/>
    <w:rsid w:val="00A074E0"/>
    <w:rsid w:val="00A075B7"/>
    <w:rsid w:val="00A075CE"/>
    <w:rsid w:val="00A075CF"/>
    <w:rsid w:val="00A075EA"/>
    <w:rsid w:val="00A0768B"/>
    <w:rsid w:val="00A0769D"/>
    <w:rsid w:val="00A076BF"/>
    <w:rsid w:val="00A07794"/>
    <w:rsid w:val="00A077A7"/>
    <w:rsid w:val="00A0780D"/>
    <w:rsid w:val="00A0795B"/>
    <w:rsid w:val="00A07972"/>
    <w:rsid w:val="00A079B2"/>
    <w:rsid w:val="00A07A29"/>
    <w:rsid w:val="00A07A6A"/>
    <w:rsid w:val="00A07A7E"/>
    <w:rsid w:val="00A07A83"/>
    <w:rsid w:val="00A07AE3"/>
    <w:rsid w:val="00A07BF8"/>
    <w:rsid w:val="00A07C93"/>
    <w:rsid w:val="00A07CBC"/>
    <w:rsid w:val="00A07CC9"/>
    <w:rsid w:val="00A07CCC"/>
    <w:rsid w:val="00A07CF6"/>
    <w:rsid w:val="00A07D04"/>
    <w:rsid w:val="00A07D69"/>
    <w:rsid w:val="00A07D7C"/>
    <w:rsid w:val="00A07D89"/>
    <w:rsid w:val="00A07DBE"/>
    <w:rsid w:val="00A07DC3"/>
    <w:rsid w:val="00A07E32"/>
    <w:rsid w:val="00A07E7E"/>
    <w:rsid w:val="00A07EF0"/>
    <w:rsid w:val="00A07F6B"/>
    <w:rsid w:val="00A07FC8"/>
    <w:rsid w:val="00A07FCC"/>
    <w:rsid w:val="00A07FD7"/>
    <w:rsid w:val="00A07FE0"/>
    <w:rsid w:val="00A07FE5"/>
    <w:rsid w:val="00A10041"/>
    <w:rsid w:val="00A1007D"/>
    <w:rsid w:val="00A10087"/>
    <w:rsid w:val="00A10121"/>
    <w:rsid w:val="00A10146"/>
    <w:rsid w:val="00A1024A"/>
    <w:rsid w:val="00A1028A"/>
    <w:rsid w:val="00A102A9"/>
    <w:rsid w:val="00A102C1"/>
    <w:rsid w:val="00A10305"/>
    <w:rsid w:val="00A10307"/>
    <w:rsid w:val="00A1033E"/>
    <w:rsid w:val="00A10362"/>
    <w:rsid w:val="00A103B5"/>
    <w:rsid w:val="00A10429"/>
    <w:rsid w:val="00A104FD"/>
    <w:rsid w:val="00A1050A"/>
    <w:rsid w:val="00A1057E"/>
    <w:rsid w:val="00A10598"/>
    <w:rsid w:val="00A105C7"/>
    <w:rsid w:val="00A10722"/>
    <w:rsid w:val="00A10732"/>
    <w:rsid w:val="00A10736"/>
    <w:rsid w:val="00A107C3"/>
    <w:rsid w:val="00A1087E"/>
    <w:rsid w:val="00A10893"/>
    <w:rsid w:val="00A108C2"/>
    <w:rsid w:val="00A108EC"/>
    <w:rsid w:val="00A1091F"/>
    <w:rsid w:val="00A10A53"/>
    <w:rsid w:val="00A10A7E"/>
    <w:rsid w:val="00A10AD9"/>
    <w:rsid w:val="00A10AE7"/>
    <w:rsid w:val="00A10B45"/>
    <w:rsid w:val="00A10BB1"/>
    <w:rsid w:val="00A10C69"/>
    <w:rsid w:val="00A10E12"/>
    <w:rsid w:val="00A10E47"/>
    <w:rsid w:val="00A10E76"/>
    <w:rsid w:val="00A10E8C"/>
    <w:rsid w:val="00A10EDA"/>
    <w:rsid w:val="00A10FE3"/>
    <w:rsid w:val="00A10FEB"/>
    <w:rsid w:val="00A11067"/>
    <w:rsid w:val="00A110A5"/>
    <w:rsid w:val="00A110BC"/>
    <w:rsid w:val="00A110C0"/>
    <w:rsid w:val="00A110DF"/>
    <w:rsid w:val="00A11184"/>
    <w:rsid w:val="00A111B0"/>
    <w:rsid w:val="00A111C7"/>
    <w:rsid w:val="00A11233"/>
    <w:rsid w:val="00A11263"/>
    <w:rsid w:val="00A11264"/>
    <w:rsid w:val="00A112C6"/>
    <w:rsid w:val="00A1135A"/>
    <w:rsid w:val="00A1139F"/>
    <w:rsid w:val="00A11448"/>
    <w:rsid w:val="00A1144B"/>
    <w:rsid w:val="00A1146B"/>
    <w:rsid w:val="00A11532"/>
    <w:rsid w:val="00A11582"/>
    <w:rsid w:val="00A115E4"/>
    <w:rsid w:val="00A115F0"/>
    <w:rsid w:val="00A11620"/>
    <w:rsid w:val="00A1168D"/>
    <w:rsid w:val="00A11757"/>
    <w:rsid w:val="00A117A3"/>
    <w:rsid w:val="00A117BA"/>
    <w:rsid w:val="00A117D8"/>
    <w:rsid w:val="00A117EC"/>
    <w:rsid w:val="00A1180E"/>
    <w:rsid w:val="00A1183A"/>
    <w:rsid w:val="00A11865"/>
    <w:rsid w:val="00A11874"/>
    <w:rsid w:val="00A11896"/>
    <w:rsid w:val="00A118B7"/>
    <w:rsid w:val="00A118C8"/>
    <w:rsid w:val="00A118CC"/>
    <w:rsid w:val="00A118F9"/>
    <w:rsid w:val="00A11A7F"/>
    <w:rsid w:val="00A11ACB"/>
    <w:rsid w:val="00A11B12"/>
    <w:rsid w:val="00A11B76"/>
    <w:rsid w:val="00A11B8F"/>
    <w:rsid w:val="00A11BA1"/>
    <w:rsid w:val="00A11BA3"/>
    <w:rsid w:val="00A11BD7"/>
    <w:rsid w:val="00A11C90"/>
    <w:rsid w:val="00A11CD0"/>
    <w:rsid w:val="00A11CF0"/>
    <w:rsid w:val="00A11DA7"/>
    <w:rsid w:val="00A11E17"/>
    <w:rsid w:val="00A11EA5"/>
    <w:rsid w:val="00A11EB9"/>
    <w:rsid w:val="00A11EC7"/>
    <w:rsid w:val="00A11F31"/>
    <w:rsid w:val="00A11F6D"/>
    <w:rsid w:val="00A11FAC"/>
    <w:rsid w:val="00A120FD"/>
    <w:rsid w:val="00A121AA"/>
    <w:rsid w:val="00A121C5"/>
    <w:rsid w:val="00A121CD"/>
    <w:rsid w:val="00A1227A"/>
    <w:rsid w:val="00A1228F"/>
    <w:rsid w:val="00A12293"/>
    <w:rsid w:val="00A122BB"/>
    <w:rsid w:val="00A122D2"/>
    <w:rsid w:val="00A122E1"/>
    <w:rsid w:val="00A122ED"/>
    <w:rsid w:val="00A1241E"/>
    <w:rsid w:val="00A12504"/>
    <w:rsid w:val="00A12522"/>
    <w:rsid w:val="00A12526"/>
    <w:rsid w:val="00A12646"/>
    <w:rsid w:val="00A1266C"/>
    <w:rsid w:val="00A126C0"/>
    <w:rsid w:val="00A126EC"/>
    <w:rsid w:val="00A12712"/>
    <w:rsid w:val="00A1271A"/>
    <w:rsid w:val="00A127B7"/>
    <w:rsid w:val="00A127F6"/>
    <w:rsid w:val="00A128B6"/>
    <w:rsid w:val="00A128D0"/>
    <w:rsid w:val="00A12A69"/>
    <w:rsid w:val="00A12A88"/>
    <w:rsid w:val="00A12ACF"/>
    <w:rsid w:val="00A12C03"/>
    <w:rsid w:val="00A12CBC"/>
    <w:rsid w:val="00A12CFE"/>
    <w:rsid w:val="00A12D56"/>
    <w:rsid w:val="00A12D80"/>
    <w:rsid w:val="00A12DA9"/>
    <w:rsid w:val="00A12E33"/>
    <w:rsid w:val="00A12E45"/>
    <w:rsid w:val="00A12E6C"/>
    <w:rsid w:val="00A12F5D"/>
    <w:rsid w:val="00A13002"/>
    <w:rsid w:val="00A1306C"/>
    <w:rsid w:val="00A13096"/>
    <w:rsid w:val="00A13104"/>
    <w:rsid w:val="00A1311E"/>
    <w:rsid w:val="00A13189"/>
    <w:rsid w:val="00A131B4"/>
    <w:rsid w:val="00A1322E"/>
    <w:rsid w:val="00A13274"/>
    <w:rsid w:val="00A13279"/>
    <w:rsid w:val="00A13288"/>
    <w:rsid w:val="00A132A0"/>
    <w:rsid w:val="00A1333C"/>
    <w:rsid w:val="00A1334C"/>
    <w:rsid w:val="00A1335B"/>
    <w:rsid w:val="00A13371"/>
    <w:rsid w:val="00A133BC"/>
    <w:rsid w:val="00A133D1"/>
    <w:rsid w:val="00A133EF"/>
    <w:rsid w:val="00A1345A"/>
    <w:rsid w:val="00A134AF"/>
    <w:rsid w:val="00A13570"/>
    <w:rsid w:val="00A135B8"/>
    <w:rsid w:val="00A1361E"/>
    <w:rsid w:val="00A13627"/>
    <w:rsid w:val="00A13665"/>
    <w:rsid w:val="00A136FB"/>
    <w:rsid w:val="00A136FF"/>
    <w:rsid w:val="00A13734"/>
    <w:rsid w:val="00A13753"/>
    <w:rsid w:val="00A1379A"/>
    <w:rsid w:val="00A137D9"/>
    <w:rsid w:val="00A137DB"/>
    <w:rsid w:val="00A137F5"/>
    <w:rsid w:val="00A13832"/>
    <w:rsid w:val="00A1385E"/>
    <w:rsid w:val="00A138C9"/>
    <w:rsid w:val="00A13915"/>
    <w:rsid w:val="00A13985"/>
    <w:rsid w:val="00A139B9"/>
    <w:rsid w:val="00A139D0"/>
    <w:rsid w:val="00A13A50"/>
    <w:rsid w:val="00A13AC7"/>
    <w:rsid w:val="00A13ACD"/>
    <w:rsid w:val="00A13B9B"/>
    <w:rsid w:val="00A13B9F"/>
    <w:rsid w:val="00A13C2F"/>
    <w:rsid w:val="00A13D03"/>
    <w:rsid w:val="00A13D69"/>
    <w:rsid w:val="00A13DC7"/>
    <w:rsid w:val="00A13E6A"/>
    <w:rsid w:val="00A13FC9"/>
    <w:rsid w:val="00A1405E"/>
    <w:rsid w:val="00A1407E"/>
    <w:rsid w:val="00A14098"/>
    <w:rsid w:val="00A14149"/>
    <w:rsid w:val="00A141B0"/>
    <w:rsid w:val="00A141C5"/>
    <w:rsid w:val="00A141D5"/>
    <w:rsid w:val="00A1427D"/>
    <w:rsid w:val="00A14280"/>
    <w:rsid w:val="00A1429F"/>
    <w:rsid w:val="00A142B0"/>
    <w:rsid w:val="00A142FA"/>
    <w:rsid w:val="00A14357"/>
    <w:rsid w:val="00A14366"/>
    <w:rsid w:val="00A143CC"/>
    <w:rsid w:val="00A143E5"/>
    <w:rsid w:val="00A1447C"/>
    <w:rsid w:val="00A144AB"/>
    <w:rsid w:val="00A144AE"/>
    <w:rsid w:val="00A14541"/>
    <w:rsid w:val="00A145C4"/>
    <w:rsid w:val="00A145D9"/>
    <w:rsid w:val="00A145EE"/>
    <w:rsid w:val="00A14618"/>
    <w:rsid w:val="00A14638"/>
    <w:rsid w:val="00A1468D"/>
    <w:rsid w:val="00A146F0"/>
    <w:rsid w:val="00A147C9"/>
    <w:rsid w:val="00A14868"/>
    <w:rsid w:val="00A14909"/>
    <w:rsid w:val="00A149E5"/>
    <w:rsid w:val="00A149EE"/>
    <w:rsid w:val="00A14A45"/>
    <w:rsid w:val="00A14AC0"/>
    <w:rsid w:val="00A14AF7"/>
    <w:rsid w:val="00A14B0F"/>
    <w:rsid w:val="00A14B20"/>
    <w:rsid w:val="00A14B64"/>
    <w:rsid w:val="00A14BA7"/>
    <w:rsid w:val="00A14BA8"/>
    <w:rsid w:val="00A14C0B"/>
    <w:rsid w:val="00A14C44"/>
    <w:rsid w:val="00A14C6F"/>
    <w:rsid w:val="00A14CA0"/>
    <w:rsid w:val="00A14CBD"/>
    <w:rsid w:val="00A14D04"/>
    <w:rsid w:val="00A14D11"/>
    <w:rsid w:val="00A14D45"/>
    <w:rsid w:val="00A14D7C"/>
    <w:rsid w:val="00A14E0C"/>
    <w:rsid w:val="00A14E0E"/>
    <w:rsid w:val="00A14EB7"/>
    <w:rsid w:val="00A14EB9"/>
    <w:rsid w:val="00A14F6F"/>
    <w:rsid w:val="00A14FBC"/>
    <w:rsid w:val="00A15029"/>
    <w:rsid w:val="00A1511A"/>
    <w:rsid w:val="00A1512F"/>
    <w:rsid w:val="00A1514F"/>
    <w:rsid w:val="00A15155"/>
    <w:rsid w:val="00A152B8"/>
    <w:rsid w:val="00A152C4"/>
    <w:rsid w:val="00A152EC"/>
    <w:rsid w:val="00A1533B"/>
    <w:rsid w:val="00A15378"/>
    <w:rsid w:val="00A15379"/>
    <w:rsid w:val="00A153D8"/>
    <w:rsid w:val="00A15441"/>
    <w:rsid w:val="00A15508"/>
    <w:rsid w:val="00A1557A"/>
    <w:rsid w:val="00A1558A"/>
    <w:rsid w:val="00A155C6"/>
    <w:rsid w:val="00A1567F"/>
    <w:rsid w:val="00A156C1"/>
    <w:rsid w:val="00A156D5"/>
    <w:rsid w:val="00A15765"/>
    <w:rsid w:val="00A157B7"/>
    <w:rsid w:val="00A157F0"/>
    <w:rsid w:val="00A15982"/>
    <w:rsid w:val="00A15983"/>
    <w:rsid w:val="00A15A53"/>
    <w:rsid w:val="00A15A90"/>
    <w:rsid w:val="00A15AF9"/>
    <w:rsid w:val="00A15B7B"/>
    <w:rsid w:val="00A15CF7"/>
    <w:rsid w:val="00A15D26"/>
    <w:rsid w:val="00A15D2A"/>
    <w:rsid w:val="00A15D70"/>
    <w:rsid w:val="00A15E0D"/>
    <w:rsid w:val="00A15E87"/>
    <w:rsid w:val="00A15EDF"/>
    <w:rsid w:val="00A15EF5"/>
    <w:rsid w:val="00A15F38"/>
    <w:rsid w:val="00A15F7A"/>
    <w:rsid w:val="00A15FB5"/>
    <w:rsid w:val="00A15FC8"/>
    <w:rsid w:val="00A1604F"/>
    <w:rsid w:val="00A1607E"/>
    <w:rsid w:val="00A160C7"/>
    <w:rsid w:val="00A161EC"/>
    <w:rsid w:val="00A1621A"/>
    <w:rsid w:val="00A16223"/>
    <w:rsid w:val="00A16245"/>
    <w:rsid w:val="00A162C8"/>
    <w:rsid w:val="00A16305"/>
    <w:rsid w:val="00A16356"/>
    <w:rsid w:val="00A16403"/>
    <w:rsid w:val="00A1647B"/>
    <w:rsid w:val="00A1650E"/>
    <w:rsid w:val="00A16545"/>
    <w:rsid w:val="00A1656F"/>
    <w:rsid w:val="00A165EC"/>
    <w:rsid w:val="00A1661D"/>
    <w:rsid w:val="00A1663D"/>
    <w:rsid w:val="00A16667"/>
    <w:rsid w:val="00A1668F"/>
    <w:rsid w:val="00A16748"/>
    <w:rsid w:val="00A1676A"/>
    <w:rsid w:val="00A16783"/>
    <w:rsid w:val="00A1678B"/>
    <w:rsid w:val="00A16909"/>
    <w:rsid w:val="00A16935"/>
    <w:rsid w:val="00A1693A"/>
    <w:rsid w:val="00A16953"/>
    <w:rsid w:val="00A16960"/>
    <w:rsid w:val="00A1697F"/>
    <w:rsid w:val="00A16A97"/>
    <w:rsid w:val="00A16B01"/>
    <w:rsid w:val="00A16B36"/>
    <w:rsid w:val="00A16B7A"/>
    <w:rsid w:val="00A16B9F"/>
    <w:rsid w:val="00A16BCE"/>
    <w:rsid w:val="00A16C13"/>
    <w:rsid w:val="00A16C1D"/>
    <w:rsid w:val="00A16C43"/>
    <w:rsid w:val="00A16C7F"/>
    <w:rsid w:val="00A16D52"/>
    <w:rsid w:val="00A16D6F"/>
    <w:rsid w:val="00A16D94"/>
    <w:rsid w:val="00A16DCB"/>
    <w:rsid w:val="00A16DF1"/>
    <w:rsid w:val="00A16DFB"/>
    <w:rsid w:val="00A16E3A"/>
    <w:rsid w:val="00A16ECA"/>
    <w:rsid w:val="00A16FBB"/>
    <w:rsid w:val="00A16FC1"/>
    <w:rsid w:val="00A16FD9"/>
    <w:rsid w:val="00A16FE2"/>
    <w:rsid w:val="00A16FF8"/>
    <w:rsid w:val="00A17025"/>
    <w:rsid w:val="00A17041"/>
    <w:rsid w:val="00A170BB"/>
    <w:rsid w:val="00A170F4"/>
    <w:rsid w:val="00A1711D"/>
    <w:rsid w:val="00A17136"/>
    <w:rsid w:val="00A17144"/>
    <w:rsid w:val="00A17188"/>
    <w:rsid w:val="00A1718E"/>
    <w:rsid w:val="00A171AD"/>
    <w:rsid w:val="00A172B0"/>
    <w:rsid w:val="00A1732B"/>
    <w:rsid w:val="00A1739A"/>
    <w:rsid w:val="00A173C1"/>
    <w:rsid w:val="00A173DC"/>
    <w:rsid w:val="00A1741B"/>
    <w:rsid w:val="00A1743E"/>
    <w:rsid w:val="00A17458"/>
    <w:rsid w:val="00A17514"/>
    <w:rsid w:val="00A175EF"/>
    <w:rsid w:val="00A17695"/>
    <w:rsid w:val="00A176D4"/>
    <w:rsid w:val="00A176E0"/>
    <w:rsid w:val="00A17762"/>
    <w:rsid w:val="00A17769"/>
    <w:rsid w:val="00A17787"/>
    <w:rsid w:val="00A177D1"/>
    <w:rsid w:val="00A1781D"/>
    <w:rsid w:val="00A178B2"/>
    <w:rsid w:val="00A17903"/>
    <w:rsid w:val="00A1794B"/>
    <w:rsid w:val="00A17984"/>
    <w:rsid w:val="00A1798D"/>
    <w:rsid w:val="00A179BF"/>
    <w:rsid w:val="00A179DC"/>
    <w:rsid w:val="00A17A8F"/>
    <w:rsid w:val="00A17A95"/>
    <w:rsid w:val="00A17B97"/>
    <w:rsid w:val="00A17BBD"/>
    <w:rsid w:val="00A17BE5"/>
    <w:rsid w:val="00A17C3E"/>
    <w:rsid w:val="00A17C4C"/>
    <w:rsid w:val="00A17D13"/>
    <w:rsid w:val="00A17D18"/>
    <w:rsid w:val="00A17D59"/>
    <w:rsid w:val="00A17E01"/>
    <w:rsid w:val="00A17E60"/>
    <w:rsid w:val="00A17F0B"/>
    <w:rsid w:val="00A17F4D"/>
    <w:rsid w:val="00A17F97"/>
    <w:rsid w:val="00A20093"/>
    <w:rsid w:val="00A200A7"/>
    <w:rsid w:val="00A200EF"/>
    <w:rsid w:val="00A20178"/>
    <w:rsid w:val="00A2023F"/>
    <w:rsid w:val="00A202B1"/>
    <w:rsid w:val="00A20389"/>
    <w:rsid w:val="00A203EC"/>
    <w:rsid w:val="00A20439"/>
    <w:rsid w:val="00A20526"/>
    <w:rsid w:val="00A2054B"/>
    <w:rsid w:val="00A20572"/>
    <w:rsid w:val="00A205A9"/>
    <w:rsid w:val="00A205E3"/>
    <w:rsid w:val="00A206F5"/>
    <w:rsid w:val="00A2070E"/>
    <w:rsid w:val="00A2073D"/>
    <w:rsid w:val="00A20792"/>
    <w:rsid w:val="00A207AD"/>
    <w:rsid w:val="00A2081C"/>
    <w:rsid w:val="00A20829"/>
    <w:rsid w:val="00A20872"/>
    <w:rsid w:val="00A20954"/>
    <w:rsid w:val="00A209D4"/>
    <w:rsid w:val="00A209FE"/>
    <w:rsid w:val="00A20A22"/>
    <w:rsid w:val="00A20A53"/>
    <w:rsid w:val="00A20A77"/>
    <w:rsid w:val="00A20B04"/>
    <w:rsid w:val="00A20B0E"/>
    <w:rsid w:val="00A20B74"/>
    <w:rsid w:val="00A20BB7"/>
    <w:rsid w:val="00A20BDC"/>
    <w:rsid w:val="00A20C35"/>
    <w:rsid w:val="00A20C3B"/>
    <w:rsid w:val="00A20C5B"/>
    <w:rsid w:val="00A20CBD"/>
    <w:rsid w:val="00A20CE7"/>
    <w:rsid w:val="00A20D2F"/>
    <w:rsid w:val="00A20E53"/>
    <w:rsid w:val="00A20E70"/>
    <w:rsid w:val="00A20EDC"/>
    <w:rsid w:val="00A20EEE"/>
    <w:rsid w:val="00A20F05"/>
    <w:rsid w:val="00A20F85"/>
    <w:rsid w:val="00A20FF8"/>
    <w:rsid w:val="00A2101F"/>
    <w:rsid w:val="00A210A1"/>
    <w:rsid w:val="00A210B5"/>
    <w:rsid w:val="00A210D8"/>
    <w:rsid w:val="00A210DF"/>
    <w:rsid w:val="00A2114F"/>
    <w:rsid w:val="00A21201"/>
    <w:rsid w:val="00A2124B"/>
    <w:rsid w:val="00A21259"/>
    <w:rsid w:val="00A212D1"/>
    <w:rsid w:val="00A2136A"/>
    <w:rsid w:val="00A2139B"/>
    <w:rsid w:val="00A213AA"/>
    <w:rsid w:val="00A2140C"/>
    <w:rsid w:val="00A2140F"/>
    <w:rsid w:val="00A2155D"/>
    <w:rsid w:val="00A21726"/>
    <w:rsid w:val="00A2177F"/>
    <w:rsid w:val="00A217AC"/>
    <w:rsid w:val="00A217E2"/>
    <w:rsid w:val="00A2184D"/>
    <w:rsid w:val="00A21879"/>
    <w:rsid w:val="00A2189D"/>
    <w:rsid w:val="00A218F7"/>
    <w:rsid w:val="00A21963"/>
    <w:rsid w:val="00A219D8"/>
    <w:rsid w:val="00A21AC6"/>
    <w:rsid w:val="00A21ACA"/>
    <w:rsid w:val="00A21AEA"/>
    <w:rsid w:val="00A21AF2"/>
    <w:rsid w:val="00A21B2B"/>
    <w:rsid w:val="00A21B59"/>
    <w:rsid w:val="00A21B6F"/>
    <w:rsid w:val="00A21BF8"/>
    <w:rsid w:val="00A21C2A"/>
    <w:rsid w:val="00A21C3B"/>
    <w:rsid w:val="00A21C89"/>
    <w:rsid w:val="00A21CC5"/>
    <w:rsid w:val="00A21CF2"/>
    <w:rsid w:val="00A21D3B"/>
    <w:rsid w:val="00A21D81"/>
    <w:rsid w:val="00A21DEA"/>
    <w:rsid w:val="00A21E2B"/>
    <w:rsid w:val="00A21E5A"/>
    <w:rsid w:val="00A21E95"/>
    <w:rsid w:val="00A21EB2"/>
    <w:rsid w:val="00A21F08"/>
    <w:rsid w:val="00A21FA4"/>
    <w:rsid w:val="00A22027"/>
    <w:rsid w:val="00A22095"/>
    <w:rsid w:val="00A220EE"/>
    <w:rsid w:val="00A221CA"/>
    <w:rsid w:val="00A221E4"/>
    <w:rsid w:val="00A221E9"/>
    <w:rsid w:val="00A2221D"/>
    <w:rsid w:val="00A22268"/>
    <w:rsid w:val="00A2226F"/>
    <w:rsid w:val="00A222D4"/>
    <w:rsid w:val="00A222D7"/>
    <w:rsid w:val="00A223C4"/>
    <w:rsid w:val="00A22524"/>
    <w:rsid w:val="00A22525"/>
    <w:rsid w:val="00A22562"/>
    <w:rsid w:val="00A2259A"/>
    <w:rsid w:val="00A22645"/>
    <w:rsid w:val="00A22659"/>
    <w:rsid w:val="00A226A8"/>
    <w:rsid w:val="00A226AA"/>
    <w:rsid w:val="00A226E1"/>
    <w:rsid w:val="00A227AA"/>
    <w:rsid w:val="00A2292E"/>
    <w:rsid w:val="00A2299A"/>
    <w:rsid w:val="00A229AA"/>
    <w:rsid w:val="00A229FE"/>
    <w:rsid w:val="00A22AAB"/>
    <w:rsid w:val="00A22AB3"/>
    <w:rsid w:val="00A22AE4"/>
    <w:rsid w:val="00A22AE5"/>
    <w:rsid w:val="00A22B50"/>
    <w:rsid w:val="00A22B62"/>
    <w:rsid w:val="00A22B64"/>
    <w:rsid w:val="00A22C22"/>
    <w:rsid w:val="00A22C90"/>
    <w:rsid w:val="00A22CCE"/>
    <w:rsid w:val="00A22D72"/>
    <w:rsid w:val="00A22DA7"/>
    <w:rsid w:val="00A22E83"/>
    <w:rsid w:val="00A22E8C"/>
    <w:rsid w:val="00A22F6B"/>
    <w:rsid w:val="00A22FD5"/>
    <w:rsid w:val="00A23002"/>
    <w:rsid w:val="00A230EA"/>
    <w:rsid w:val="00A230FF"/>
    <w:rsid w:val="00A2310F"/>
    <w:rsid w:val="00A231CD"/>
    <w:rsid w:val="00A231EA"/>
    <w:rsid w:val="00A23259"/>
    <w:rsid w:val="00A2326B"/>
    <w:rsid w:val="00A232AB"/>
    <w:rsid w:val="00A23313"/>
    <w:rsid w:val="00A2331B"/>
    <w:rsid w:val="00A23355"/>
    <w:rsid w:val="00A23363"/>
    <w:rsid w:val="00A2336B"/>
    <w:rsid w:val="00A233A9"/>
    <w:rsid w:val="00A233C4"/>
    <w:rsid w:val="00A23433"/>
    <w:rsid w:val="00A23491"/>
    <w:rsid w:val="00A2351F"/>
    <w:rsid w:val="00A23546"/>
    <w:rsid w:val="00A23561"/>
    <w:rsid w:val="00A23585"/>
    <w:rsid w:val="00A2365E"/>
    <w:rsid w:val="00A23679"/>
    <w:rsid w:val="00A236D2"/>
    <w:rsid w:val="00A2374B"/>
    <w:rsid w:val="00A2375E"/>
    <w:rsid w:val="00A237BE"/>
    <w:rsid w:val="00A238A9"/>
    <w:rsid w:val="00A23947"/>
    <w:rsid w:val="00A23993"/>
    <w:rsid w:val="00A2399D"/>
    <w:rsid w:val="00A23AA3"/>
    <w:rsid w:val="00A23AE7"/>
    <w:rsid w:val="00A23B38"/>
    <w:rsid w:val="00A23B86"/>
    <w:rsid w:val="00A23B93"/>
    <w:rsid w:val="00A23BB1"/>
    <w:rsid w:val="00A23BBD"/>
    <w:rsid w:val="00A23C21"/>
    <w:rsid w:val="00A23C64"/>
    <w:rsid w:val="00A23CFB"/>
    <w:rsid w:val="00A23D14"/>
    <w:rsid w:val="00A23D34"/>
    <w:rsid w:val="00A23D37"/>
    <w:rsid w:val="00A23E63"/>
    <w:rsid w:val="00A23E8D"/>
    <w:rsid w:val="00A23EB5"/>
    <w:rsid w:val="00A23ED7"/>
    <w:rsid w:val="00A23F20"/>
    <w:rsid w:val="00A23F25"/>
    <w:rsid w:val="00A2404A"/>
    <w:rsid w:val="00A24070"/>
    <w:rsid w:val="00A24078"/>
    <w:rsid w:val="00A24085"/>
    <w:rsid w:val="00A240DC"/>
    <w:rsid w:val="00A24117"/>
    <w:rsid w:val="00A2412A"/>
    <w:rsid w:val="00A24130"/>
    <w:rsid w:val="00A2413A"/>
    <w:rsid w:val="00A24145"/>
    <w:rsid w:val="00A241B2"/>
    <w:rsid w:val="00A241D2"/>
    <w:rsid w:val="00A241FB"/>
    <w:rsid w:val="00A2424E"/>
    <w:rsid w:val="00A24251"/>
    <w:rsid w:val="00A24293"/>
    <w:rsid w:val="00A2431F"/>
    <w:rsid w:val="00A243CF"/>
    <w:rsid w:val="00A243D9"/>
    <w:rsid w:val="00A24452"/>
    <w:rsid w:val="00A244D4"/>
    <w:rsid w:val="00A244E9"/>
    <w:rsid w:val="00A24514"/>
    <w:rsid w:val="00A24516"/>
    <w:rsid w:val="00A24536"/>
    <w:rsid w:val="00A2458F"/>
    <w:rsid w:val="00A245B6"/>
    <w:rsid w:val="00A245E4"/>
    <w:rsid w:val="00A246A3"/>
    <w:rsid w:val="00A246A9"/>
    <w:rsid w:val="00A246F8"/>
    <w:rsid w:val="00A24719"/>
    <w:rsid w:val="00A24724"/>
    <w:rsid w:val="00A24756"/>
    <w:rsid w:val="00A24773"/>
    <w:rsid w:val="00A247FE"/>
    <w:rsid w:val="00A248C1"/>
    <w:rsid w:val="00A248F4"/>
    <w:rsid w:val="00A2496F"/>
    <w:rsid w:val="00A249C6"/>
    <w:rsid w:val="00A24A68"/>
    <w:rsid w:val="00A24ACF"/>
    <w:rsid w:val="00A24CCA"/>
    <w:rsid w:val="00A24D61"/>
    <w:rsid w:val="00A24D7B"/>
    <w:rsid w:val="00A24D80"/>
    <w:rsid w:val="00A24DBA"/>
    <w:rsid w:val="00A24E2A"/>
    <w:rsid w:val="00A24E49"/>
    <w:rsid w:val="00A24E61"/>
    <w:rsid w:val="00A24E82"/>
    <w:rsid w:val="00A24F2D"/>
    <w:rsid w:val="00A24F52"/>
    <w:rsid w:val="00A24FDA"/>
    <w:rsid w:val="00A2503E"/>
    <w:rsid w:val="00A25052"/>
    <w:rsid w:val="00A250BE"/>
    <w:rsid w:val="00A2521D"/>
    <w:rsid w:val="00A25271"/>
    <w:rsid w:val="00A252B2"/>
    <w:rsid w:val="00A252BE"/>
    <w:rsid w:val="00A253BD"/>
    <w:rsid w:val="00A2543C"/>
    <w:rsid w:val="00A25458"/>
    <w:rsid w:val="00A2548A"/>
    <w:rsid w:val="00A2549E"/>
    <w:rsid w:val="00A254D9"/>
    <w:rsid w:val="00A25602"/>
    <w:rsid w:val="00A25623"/>
    <w:rsid w:val="00A25638"/>
    <w:rsid w:val="00A2566F"/>
    <w:rsid w:val="00A25777"/>
    <w:rsid w:val="00A257AF"/>
    <w:rsid w:val="00A257EA"/>
    <w:rsid w:val="00A257EF"/>
    <w:rsid w:val="00A25852"/>
    <w:rsid w:val="00A258A1"/>
    <w:rsid w:val="00A25956"/>
    <w:rsid w:val="00A2597C"/>
    <w:rsid w:val="00A259A7"/>
    <w:rsid w:val="00A25A49"/>
    <w:rsid w:val="00A25B1D"/>
    <w:rsid w:val="00A25B41"/>
    <w:rsid w:val="00A25B61"/>
    <w:rsid w:val="00A25C91"/>
    <w:rsid w:val="00A25CDA"/>
    <w:rsid w:val="00A25D25"/>
    <w:rsid w:val="00A25D3F"/>
    <w:rsid w:val="00A25D4B"/>
    <w:rsid w:val="00A25D66"/>
    <w:rsid w:val="00A25DA5"/>
    <w:rsid w:val="00A25E07"/>
    <w:rsid w:val="00A25E3D"/>
    <w:rsid w:val="00A25E5D"/>
    <w:rsid w:val="00A25E76"/>
    <w:rsid w:val="00A25E7F"/>
    <w:rsid w:val="00A25F03"/>
    <w:rsid w:val="00A25FBF"/>
    <w:rsid w:val="00A25FDB"/>
    <w:rsid w:val="00A26020"/>
    <w:rsid w:val="00A2603C"/>
    <w:rsid w:val="00A26040"/>
    <w:rsid w:val="00A260F6"/>
    <w:rsid w:val="00A26152"/>
    <w:rsid w:val="00A26159"/>
    <w:rsid w:val="00A2618A"/>
    <w:rsid w:val="00A26209"/>
    <w:rsid w:val="00A2625E"/>
    <w:rsid w:val="00A2627F"/>
    <w:rsid w:val="00A26439"/>
    <w:rsid w:val="00A26503"/>
    <w:rsid w:val="00A2659F"/>
    <w:rsid w:val="00A265DD"/>
    <w:rsid w:val="00A265E6"/>
    <w:rsid w:val="00A265EE"/>
    <w:rsid w:val="00A265F6"/>
    <w:rsid w:val="00A26615"/>
    <w:rsid w:val="00A26691"/>
    <w:rsid w:val="00A266CE"/>
    <w:rsid w:val="00A2671C"/>
    <w:rsid w:val="00A2677A"/>
    <w:rsid w:val="00A2677D"/>
    <w:rsid w:val="00A267E0"/>
    <w:rsid w:val="00A267F8"/>
    <w:rsid w:val="00A26949"/>
    <w:rsid w:val="00A26969"/>
    <w:rsid w:val="00A269BD"/>
    <w:rsid w:val="00A269C8"/>
    <w:rsid w:val="00A26A4C"/>
    <w:rsid w:val="00A26AF6"/>
    <w:rsid w:val="00A26B28"/>
    <w:rsid w:val="00A26B9B"/>
    <w:rsid w:val="00A26BD2"/>
    <w:rsid w:val="00A26BE4"/>
    <w:rsid w:val="00A26CBA"/>
    <w:rsid w:val="00A26DCF"/>
    <w:rsid w:val="00A26E36"/>
    <w:rsid w:val="00A26E4A"/>
    <w:rsid w:val="00A26EED"/>
    <w:rsid w:val="00A26F2A"/>
    <w:rsid w:val="00A26F5E"/>
    <w:rsid w:val="00A26F62"/>
    <w:rsid w:val="00A26F6A"/>
    <w:rsid w:val="00A26F73"/>
    <w:rsid w:val="00A2703E"/>
    <w:rsid w:val="00A2704D"/>
    <w:rsid w:val="00A270BF"/>
    <w:rsid w:val="00A2713A"/>
    <w:rsid w:val="00A27153"/>
    <w:rsid w:val="00A2719E"/>
    <w:rsid w:val="00A271A2"/>
    <w:rsid w:val="00A271A8"/>
    <w:rsid w:val="00A271B2"/>
    <w:rsid w:val="00A271C3"/>
    <w:rsid w:val="00A271FF"/>
    <w:rsid w:val="00A27243"/>
    <w:rsid w:val="00A27248"/>
    <w:rsid w:val="00A27297"/>
    <w:rsid w:val="00A272F0"/>
    <w:rsid w:val="00A2733D"/>
    <w:rsid w:val="00A27431"/>
    <w:rsid w:val="00A2747A"/>
    <w:rsid w:val="00A274A9"/>
    <w:rsid w:val="00A274AD"/>
    <w:rsid w:val="00A275B7"/>
    <w:rsid w:val="00A275C1"/>
    <w:rsid w:val="00A275E6"/>
    <w:rsid w:val="00A27600"/>
    <w:rsid w:val="00A2762B"/>
    <w:rsid w:val="00A27646"/>
    <w:rsid w:val="00A27657"/>
    <w:rsid w:val="00A276DF"/>
    <w:rsid w:val="00A27806"/>
    <w:rsid w:val="00A278C2"/>
    <w:rsid w:val="00A278C5"/>
    <w:rsid w:val="00A278EB"/>
    <w:rsid w:val="00A279F0"/>
    <w:rsid w:val="00A27A65"/>
    <w:rsid w:val="00A27AB4"/>
    <w:rsid w:val="00A27AB7"/>
    <w:rsid w:val="00A27B8F"/>
    <w:rsid w:val="00A27C48"/>
    <w:rsid w:val="00A27C77"/>
    <w:rsid w:val="00A27D1C"/>
    <w:rsid w:val="00A27D20"/>
    <w:rsid w:val="00A27D88"/>
    <w:rsid w:val="00A27D90"/>
    <w:rsid w:val="00A27DB0"/>
    <w:rsid w:val="00A27DD8"/>
    <w:rsid w:val="00A27E0C"/>
    <w:rsid w:val="00A27F30"/>
    <w:rsid w:val="00A27F89"/>
    <w:rsid w:val="00A27FAD"/>
    <w:rsid w:val="00A27FCA"/>
    <w:rsid w:val="00A27FDA"/>
    <w:rsid w:val="00A27FF2"/>
    <w:rsid w:val="00A2867F"/>
    <w:rsid w:val="00A30008"/>
    <w:rsid w:val="00A30082"/>
    <w:rsid w:val="00A30090"/>
    <w:rsid w:val="00A300EF"/>
    <w:rsid w:val="00A301A4"/>
    <w:rsid w:val="00A30227"/>
    <w:rsid w:val="00A3029E"/>
    <w:rsid w:val="00A302C9"/>
    <w:rsid w:val="00A30300"/>
    <w:rsid w:val="00A304AD"/>
    <w:rsid w:val="00A30501"/>
    <w:rsid w:val="00A30519"/>
    <w:rsid w:val="00A3053C"/>
    <w:rsid w:val="00A305E2"/>
    <w:rsid w:val="00A3072E"/>
    <w:rsid w:val="00A307B0"/>
    <w:rsid w:val="00A307C3"/>
    <w:rsid w:val="00A307D5"/>
    <w:rsid w:val="00A307F6"/>
    <w:rsid w:val="00A3086E"/>
    <w:rsid w:val="00A30870"/>
    <w:rsid w:val="00A30876"/>
    <w:rsid w:val="00A3088D"/>
    <w:rsid w:val="00A3089E"/>
    <w:rsid w:val="00A308D3"/>
    <w:rsid w:val="00A308DF"/>
    <w:rsid w:val="00A30901"/>
    <w:rsid w:val="00A30922"/>
    <w:rsid w:val="00A309E5"/>
    <w:rsid w:val="00A30AB1"/>
    <w:rsid w:val="00A30AF1"/>
    <w:rsid w:val="00A30B16"/>
    <w:rsid w:val="00A30B2A"/>
    <w:rsid w:val="00A30BB3"/>
    <w:rsid w:val="00A30BE8"/>
    <w:rsid w:val="00A30C7B"/>
    <w:rsid w:val="00A30C8F"/>
    <w:rsid w:val="00A30CDB"/>
    <w:rsid w:val="00A30DCD"/>
    <w:rsid w:val="00A30E14"/>
    <w:rsid w:val="00A30E46"/>
    <w:rsid w:val="00A30E91"/>
    <w:rsid w:val="00A30EA4"/>
    <w:rsid w:val="00A30ED9"/>
    <w:rsid w:val="00A30F0E"/>
    <w:rsid w:val="00A30F20"/>
    <w:rsid w:val="00A30F48"/>
    <w:rsid w:val="00A30F7E"/>
    <w:rsid w:val="00A30F8C"/>
    <w:rsid w:val="00A30FA2"/>
    <w:rsid w:val="00A30FB5"/>
    <w:rsid w:val="00A30FE8"/>
    <w:rsid w:val="00A31012"/>
    <w:rsid w:val="00A31084"/>
    <w:rsid w:val="00A31093"/>
    <w:rsid w:val="00A310E1"/>
    <w:rsid w:val="00A31163"/>
    <w:rsid w:val="00A311B8"/>
    <w:rsid w:val="00A311BD"/>
    <w:rsid w:val="00A311CE"/>
    <w:rsid w:val="00A311F1"/>
    <w:rsid w:val="00A31234"/>
    <w:rsid w:val="00A31269"/>
    <w:rsid w:val="00A312D3"/>
    <w:rsid w:val="00A312F3"/>
    <w:rsid w:val="00A31358"/>
    <w:rsid w:val="00A313BE"/>
    <w:rsid w:val="00A31473"/>
    <w:rsid w:val="00A31491"/>
    <w:rsid w:val="00A314D7"/>
    <w:rsid w:val="00A314DD"/>
    <w:rsid w:val="00A3158A"/>
    <w:rsid w:val="00A315F3"/>
    <w:rsid w:val="00A3168B"/>
    <w:rsid w:val="00A316A8"/>
    <w:rsid w:val="00A31712"/>
    <w:rsid w:val="00A31718"/>
    <w:rsid w:val="00A31769"/>
    <w:rsid w:val="00A3176A"/>
    <w:rsid w:val="00A31793"/>
    <w:rsid w:val="00A317A7"/>
    <w:rsid w:val="00A3189A"/>
    <w:rsid w:val="00A31924"/>
    <w:rsid w:val="00A3194D"/>
    <w:rsid w:val="00A31980"/>
    <w:rsid w:val="00A31997"/>
    <w:rsid w:val="00A31AE1"/>
    <w:rsid w:val="00A31B17"/>
    <w:rsid w:val="00A31B27"/>
    <w:rsid w:val="00A31B4F"/>
    <w:rsid w:val="00A31B7D"/>
    <w:rsid w:val="00A31C11"/>
    <w:rsid w:val="00A31C28"/>
    <w:rsid w:val="00A31C3A"/>
    <w:rsid w:val="00A31C42"/>
    <w:rsid w:val="00A31C8E"/>
    <w:rsid w:val="00A31C95"/>
    <w:rsid w:val="00A31CCA"/>
    <w:rsid w:val="00A31D7A"/>
    <w:rsid w:val="00A31DC5"/>
    <w:rsid w:val="00A31DEE"/>
    <w:rsid w:val="00A31E6B"/>
    <w:rsid w:val="00A31EB7"/>
    <w:rsid w:val="00A31EC4"/>
    <w:rsid w:val="00A31F03"/>
    <w:rsid w:val="00A31F32"/>
    <w:rsid w:val="00A31F4D"/>
    <w:rsid w:val="00A31F67"/>
    <w:rsid w:val="00A31FC0"/>
    <w:rsid w:val="00A3207B"/>
    <w:rsid w:val="00A3208C"/>
    <w:rsid w:val="00A320DE"/>
    <w:rsid w:val="00A32162"/>
    <w:rsid w:val="00A3218A"/>
    <w:rsid w:val="00A321A2"/>
    <w:rsid w:val="00A3226B"/>
    <w:rsid w:val="00A32331"/>
    <w:rsid w:val="00A32350"/>
    <w:rsid w:val="00A3235C"/>
    <w:rsid w:val="00A323A2"/>
    <w:rsid w:val="00A323AF"/>
    <w:rsid w:val="00A323DE"/>
    <w:rsid w:val="00A32400"/>
    <w:rsid w:val="00A3246C"/>
    <w:rsid w:val="00A32478"/>
    <w:rsid w:val="00A324CD"/>
    <w:rsid w:val="00A324CF"/>
    <w:rsid w:val="00A32517"/>
    <w:rsid w:val="00A32520"/>
    <w:rsid w:val="00A32577"/>
    <w:rsid w:val="00A3257F"/>
    <w:rsid w:val="00A325CB"/>
    <w:rsid w:val="00A325EB"/>
    <w:rsid w:val="00A326A5"/>
    <w:rsid w:val="00A326CC"/>
    <w:rsid w:val="00A32824"/>
    <w:rsid w:val="00A32860"/>
    <w:rsid w:val="00A3286B"/>
    <w:rsid w:val="00A3290F"/>
    <w:rsid w:val="00A32918"/>
    <w:rsid w:val="00A32A3D"/>
    <w:rsid w:val="00A32A4D"/>
    <w:rsid w:val="00A32AF5"/>
    <w:rsid w:val="00A32B94"/>
    <w:rsid w:val="00A32BB9"/>
    <w:rsid w:val="00A32BCC"/>
    <w:rsid w:val="00A32BD5"/>
    <w:rsid w:val="00A32BEA"/>
    <w:rsid w:val="00A32BFE"/>
    <w:rsid w:val="00A32C40"/>
    <w:rsid w:val="00A32C51"/>
    <w:rsid w:val="00A32CB6"/>
    <w:rsid w:val="00A32D0E"/>
    <w:rsid w:val="00A32D3A"/>
    <w:rsid w:val="00A32D5D"/>
    <w:rsid w:val="00A32D73"/>
    <w:rsid w:val="00A32D7B"/>
    <w:rsid w:val="00A32D87"/>
    <w:rsid w:val="00A32D8D"/>
    <w:rsid w:val="00A32D9D"/>
    <w:rsid w:val="00A32DBC"/>
    <w:rsid w:val="00A32DBF"/>
    <w:rsid w:val="00A32DF5"/>
    <w:rsid w:val="00A32DF6"/>
    <w:rsid w:val="00A32E30"/>
    <w:rsid w:val="00A32E94"/>
    <w:rsid w:val="00A32EB6"/>
    <w:rsid w:val="00A32F83"/>
    <w:rsid w:val="00A32FA7"/>
    <w:rsid w:val="00A32FFB"/>
    <w:rsid w:val="00A33065"/>
    <w:rsid w:val="00A330EE"/>
    <w:rsid w:val="00A330F3"/>
    <w:rsid w:val="00A3314D"/>
    <w:rsid w:val="00A33153"/>
    <w:rsid w:val="00A33218"/>
    <w:rsid w:val="00A33234"/>
    <w:rsid w:val="00A33247"/>
    <w:rsid w:val="00A3332F"/>
    <w:rsid w:val="00A333A8"/>
    <w:rsid w:val="00A333BD"/>
    <w:rsid w:val="00A33455"/>
    <w:rsid w:val="00A33478"/>
    <w:rsid w:val="00A33488"/>
    <w:rsid w:val="00A3348D"/>
    <w:rsid w:val="00A3352E"/>
    <w:rsid w:val="00A335AD"/>
    <w:rsid w:val="00A33675"/>
    <w:rsid w:val="00A336D4"/>
    <w:rsid w:val="00A33754"/>
    <w:rsid w:val="00A3379C"/>
    <w:rsid w:val="00A337E1"/>
    <w:rsid w:val="00A33849"/>
    <w:rsid w:val="00A33853"/>
    <w:rsid w:val="00A33864"/>
    <w:rsid w:val="00A33928"/>
    <w:rsid w:val="00A3397E"/>
    <w:rsid w:val="00A3398C"/>
    <w:rsid w:val="00A339A1"/>
    <w:rsid w:val="00A33A84"/>
    <w:rsid w:val="00A33AE8"/>
    <w:rsid w:val="00A33BA8"/>
    <w:rsid w:val="00A33BF5"/>
    <w:rsid w:val="00A33C40"/>
    <w:rsid w:val="00A33CA4"/>
    <w:rsid w:val="00A33CA7"/>
    <w:rsid w:val="00A33CBA"/>
    <w:rsid w:val="00A33CFD"/>
    <w:rsid w:val="00A33D2E"/>
    <w:rsid w:val="00A33D6D"/>
    <w:rsid w:val="00A33D9F"/>
    <w:rsid w:val="00A33DBE"/>
    <w:rsid w:val="00A33E3F"/>
    <w:rsid w:val="00A33E60"/>
    <w:rsid w:val="00A33E88"/>
    <w:rsid w:val="00A33E97"/>
    <w:rsid w:val="00A33EFD"/>
    <w:rsid w:val="00A33FD9"/>
    <w:rsid w:val="00A340BF"/>
    <w:rsid w:val="00A34197"/>
    <w:rsid w:val="00A341FA"/>
    <w:rsid w:val="00A34274"/>
    <w:rsid w:val="00A342E9"/>
    <w:rsid w:val="00A34305"/>
    <w:rsid w:val="00A3432B"/>
    <w:rsid w:val="00A3435F"/>
    <w:rsid w:val="00A3439F"/>
    <w:rsid w:val="00A3449E"/>
    <w:rsid w:val="00A344B6"/>
    <w:rsid w:val="00A344B9"/>
    <w:rsid w:val="00A344D7"/>
    <w:rsid w:val="00A3455D"/>
    <w:rsid w:val="00A345A3"/>
    <w:rsid w:val="00A345BD"/>
    <w:rsid w:val="00A3465B"/>
    <w:rsid w:val="00A3466E"/>
    <w:rsid w:val="00A346A2"/>
    <w:rsid w:val="00A3477D"/>
    <w:rsid w:val="00A3483B"/>
    <w:rsid w:val="00A34884"/>
    <w:rsid w:val="00A348BE"/>
    <w:rsid w:val="00A349C8"/>
    <w:rsid w:val="00A34AF8"/>
    <w:rsid w:val="00A34B0A"/>
    <w:rsid w:val="00A34B1E"/>
    <w:rsid w:val="00A34BD0"/>
    <w:rsid w:val="00A34BF3"/>
    <w:rsid w:val="00A34C13"/>
    <w:rsid w:val="00A34C16"/>
    <w:rsid w:val="00A34D99"/>
    <w:rsid w:val="00A34E14"/>
    <w:rsid w:val="00A34EA2"/>
    <w:rsid w:val="00A34EE6"/>
    <w:rsid w:val="00A34EFF"/>
    <w:rsid w:val="00A34F12"/>
    <w:rsid w:val="00A34FE9"/>
    <w:rsid w:val="00A3501F"/>
    <w:rsid w:val="00A35024"/>
    <w:rsid w:val="00A35037"/>
    <w:rsid w:val="00A3507F"/>
    <w:rsid w:val="00A35089"/>
    <w:rsid w:val="00A350C6"/>
    <w:rsid w:val="00A35311"/>
    <w:rsid w:val="00A35330"/>
    <w:rsid w:val="00A35360"/>
    <w:rsid w:val="00A35423"/>
    <w:rsid w:val="00A3544A"/>
    <w:rsid w:val="00A3546E"/>
    <w:rsid w:val="00A354E7"/>
    <w:rsid w:val="00A35560"/>
    <w:rsid w:val="00A35565"/>
    <w:rsid w:val="00A356E9"/>
    <w:rsid w:val="00A35738"/>
    <w:rsid w:val="00A35779"/>
    <w:rsid w:val="00A35822"/>
    <w:rsid w:val="00A3582F"/>
    <w:rsid w:val="00A3583D"/>
    <w:rsid w:val="00A35893"/>
    <w:rsid w:val="00A358F1"/>
    <w:rsid w:val="00A35902"/>
    <w:rsid w:val="00A35921"/>
    <w:rsid w:val="00A35923"/>
    <w:rsid w:val="00A35B3C"/>
    <w:rsid w:val="00A35BDD"/>
    <w:rsid w:val="00A35BDF"/>
    <w:rsid w:val="00A35BEE"/>
    <w:rsid w:val="00A35BF8"/>
    <w:rsid w:val="00A35C23"/>
    <w:rsid w:val="00A35C56"/>
    <w:rsid w:val="00A35CC4"/>
    <w:rsid w:val="00A35CD7"/>
    <w:rsid w:val="00A35E40"/>
    <w:rsid w:val="00A35E7B"/>
    <w:rsid w:val="00A35EAB"/>
    <w:rsid w:val="00A35F21"/>
    <w:rsid w:val="00A35F2B"/>
    <w:rsid w:val="00A35FB0"/>
    <w:rsid w:val="00A35FFA"/>
    <w:rsid w:val="00A36003"/>
    <w:rsid w:val="00A36038"/>
    <w:rsid w:val="00A361BC"/>
    <w:rsid w:val="00A3623B"/>
    <w:rsid w:val="00A362F9"/>
    <w:rsid w:val="00A362FB"/>
    <w:rsid w:val="00A363E8"/>
    <w:rsid w:val="00A36449"/>
    <w:rsid w:val="00A364D5"/>
    <w:rsid w:val="00A364FD"/>
    <w:rsid w:val="00A365D3"/>
    <w:rsid w:val="00A366E1"/>
    <w:rsid w:val="00A3688F"/>
    <w:rsid w:val="00A368D8"/>
    <w:rsid w:val="00A3694B"/>
    <w:rsid w:val="00A3695A"/>
    <w:rsid w:val="00A36964"/>
    <w:rsid w:val="00A36976"/>
    <w:rsid w:val="00A36992"/>
    <w:rsid w:val="00A369E5"/>
    <w:rsid w:val="00A36A4A"/>
    <w:rsid w:val="00A36A61"/>
    <w:rsid w:val="00A36B25"/>
    <w:rsid w:val="00A36B73"/>
    <w:rsid w:val="00A36B78"/>
    <w:rsid w:val="00A36BE0"/>
    <w:rsid w:val="00A36BF3"/>
    <w:rsid w:val="00A36C20"/>
    <w:rsid w:val="00A36C50"/>
    <w:rsid w:val="00A36C7A"/>
    <w:rsid w:val="00A36CFF"/>
    <w:rsid w:val="00A36DB5"/>
    <w:rsid w:val="00A36E21"/>
    <w:rsid w:val="00A36E66"/>
    <w:rsid w:val="00A36E79"/>
    <w:rsid w:val="00A36E86"/>
    <w:rsid w:val="00A36EBC"/>
    <w:rsid w:val="00A36EBD"/>
    <w:rsid w:val="00A36F8E"/>
    <w:rsid w:val="00A36FE9"/>
    <w:rsid w:val="00A36FF6"/>
    <w:rsid w:val="00A37032"/>
    <w:rsid w:val="00A3707D"/>
    <w:rsid w:val="00A3717A"/>
    <w:rsid w:val="00A371C1"/>
    <w:rsid w:val="00A37343"/>
    <w:rsid w:val="00A373B8"/>
    <w:rsid w:val="00A373BF"/>
    <w:rsid w:val="00A37424"/>
    <w:rsid w:val="00A37475"/>
    <w:rsid w:val="00A374EE"/>
    <w:rsid w:val="00A374F3"/>
    <w:rsid w:val="00A3756E"/>
    <w:rsid w:val="00A37589"/>
    <w:rsid w:val="00A375AC"/>
    <w:rsid w:val="00A3764E"/>
    <w:rsid w:val="00A37652"/>
    <w:rsid w:val="00A376B5"/>
    <w:rsid w:val="00A376B7"/>
    <w:rsid w:val="00A376E7"/>
    <w:rsid w:val="00A37727"/>
    <w:rsid w:val="00A37893"/>
    <w:rsid w:val="00A378C0"/>
    <w:rsid w:val="00A3790C"/>
    <w:rsid w:val="00A37932"/>
    <w:rsid w:val="00A37967"/>
    <w:rsid w:val="00A379DE"/>
    <w:rsid w:val="00A379E7"/>
    <w:rsid w:val="00A37A59"/>
    <w:rsid w:val="00A37AC4"/>
    <w:rsid w:val="00A37B47"/>
    <w:rsid w:val="00A37B6A"/>
    <w:rsid w:val="00A37B8A"/>
    <w:rsid w:val="00A37BF8"/>
    <w:rsid w:val="00A37CAF"/>
    <w:rsid w:val="00A37CDD"/>
    <w:rsid w:val="00A37D4F"/>
    <w:rsid w:val="00A37D97"/>
    <w:rsid w:val="00A37E25"/>
    <w:rsid w:val="00A37E4E"/>
    <w:rsid w:val="00A37E5A"/>
    <w:rsid w:val="00A37E9D"/>
    <w:rsid w:val="00A37EE3"/>
    <w:rsid w:val="00A37EEE"/>
    <w:rsid w:val="00A37EF1"/>
    <w:rsid w:val="00A37EFA"/>
    <w:rsid w:val="00A37F0C"/>
    <w:rsid w:val="00A37F2F"/>
    <w:rsid w:val="00A37F32"/>
    <w:rsid w:val="00A37F92"/>
    <w:rsid w:val="00A37FE7"/>
    <w:rsid w:val="00A400E0"/>
    <w:rsid w:val="00A4013A"/>
    <w:rsid w:val="00A40199"/>
    <w:rsid w:val="00A4022A"/>
    <w:rsid w:val="00A402BA"/>
    <w:rsid w:val="00A402CB"/>
    <w:rsid w:val="00A402D5"/>
    <w:rsid w:val="00A402E0"/>
    <w:rsid w:val="00A40312"/>
    <w:rsid w:val="00A403D6"/>
    <w:rsid w:val="00A4040F"/>
    <w:rsid w:val="00A40435"/>
    <w:rsid w:val="00A40487"/>
    <w:rsid w:val="00A40507"/>
    <w:rsid w:val="00A40516"/>
    <w:rsid w:val="00A40552"/>
    <w:rsid w:val="00A40563"/>
    <w:rsid w:val="00A40596"/>
    <w:rsid w:val="00A405A1"/>
    <w:rsid w:val="00A405CB"/>
    <w:rsid w:val="00A405D4"/>
    <w:rsid w:val="00A405E4"/>
    <w:rsid w:val="00A405EB"/>
    <w:rsid w:val="00A40616"/>
    <w:rsid w:val="00A4064E"/>
    <w:rsid w:val="00A40663"/>
    <w:rsid w:val="00A4066E"/>
    <w:rsid w:val="00A406AB"/>
    <w:rsid w:val="00A406B6"/>
    <w:rsid w:val="00A4073E"/>
    <w:rsid w:val="00A40790"/>
    <w:rsid w:val="00A40871"/>
    <w:rsid w:val="00A408A3"/>
    <w:rsid w:val="00A408BB"/>
    <w:rsid w:val="00A408FA"/>
    <w:rsid w:val="00A4091F"/>
    <w:rsid w:val="00A40945"/>
    <w:rsid w:val="00A4097A"/>
    <w:rsid w:val="00A409E2"/>
    <w:rsid w:val="00A40A13"/>
    <w:rsid w:val="00A40AB0"/>
    <w:rsid w:val="00A40B45"/>
    <w:rsid w:val="00A40B4A"/>
    <w:rsid w:val="00A40B8A"/>
    <w:rsid w:val="00A40BA8"/>
    <w:rsid w:val="00A40BFF"/>
    <w:rsid w:val="00A40C7B"/>
    <w:rsid w:val="00A40C94"/>
    <w:rsid w:val="00A40CD1"/>
    <w:rsid w:val="00A40D1E"/>
    <w:rsid w:val="00A40D6A"/>
    <w:rsid w:val="00A40D99"/>
    <w:rsid w:val="00A40DEF"/>
    <w:rsid w:val="00A40F09"/>
    <w:rsid w:val="00A40F33"/>
    <w:rsid w:val="00A40F56"/>
    <w:rsid w:val="00A410C6"/>
    <w:rsid w:val="00A41155"/>
    <w:rsid w:val="00A4115A"/>
    <w:rsid w:val="00A4118D"/>
    <w:rsid w:val="00A411A1"/>
    <w:rsid w:val="00A41230"/>
    <w:rsid w:val="00A41239"/>
    <w:rsid w:val="00A41295"/>
    <w:rsid w:val="00A41301"/>
    <w:rsid w:val="00A4133A"/>
    <w:rsid w:val="00A4133B"/>
    <w:rsid w:val="00A4136F"/>
    <w:rsid w:val="00A413F1"/>
    <w:rsid w:val="00A41431"/>
    <w:rsid w:val="00A41442"/>
    <w:rsid w:val="00A41463"/>
    <w:rsid w:val="00A41478"/>
    <w:rsid w:val="00A41486"/>
    <w:rsid w:val="00A41494"/>
    <w:rsid w:val="00A41519"/>
    <w:rsid w:val="00A41564"/>
    <w:rsid w:val="00A41573"/>
    <w:rsid w:val="00A415E5"/>
    <w:rsid w:val="00A4164C"/>
    <w:rsid w:val="00A41677"/>
    <w:rsid w:val="00A4169C"/>
    <w:rsid w:val="00A416A5"/>
    <w:rsid w:val="00A416A7"/>
    <w:rsid w:val="00A416E5"/>
    <w:rsid w:val="00A41754"/>
    <w:rsid w:val="00A417FF"/>
    <w:rsid w:val="00A41854"/>
    <w:rsid w:val="00A418A3"/>
    <w:rsid w:val="00A41939"/>
    <w:rsid w:val="00A4196B"/>
    <w:rsid w:val="00A41A05"/>
    <w:rsid w:val="00A41A11"/>
    <w:rsid w:val="00A41B83"/>
    <w:rsid w:val="00A41B89"/>
    <w:rsid w:val="00A41BA5"/>
    <w:rsid w:val="00A41BC9"/>
    <w:rsid w:val="00A41C5C"/>
    <w:rsid w:val="00A41CC2"/>
    <w:rsid w:val="00A41CFC"/>
    <w:rsid w:val="00A41E36"/>
    <w:rsid w:val="00A41E44"/>
    <w:rsid w:val="00A41E5F"/>
    <w:rsid w:val="00A41E77"/>
    <w:rsid w:val="00A41EC3"/>
    <w:rsid w:val="00A41F2C"/>
    <w:rsid w:val="00A41F74"/>
    <w:rsid w:val="00A41FA5"/>
    <w:rsid w:val="00A41FFD"/>
    <w:rsid w:val="00A4203C"/>
    <w:rsid w:val="00A420B0"/>
    <w:rsid w:val="00A420DC"/>
    <w:rsid w:val="00A420E9"/>
    <w:rsid w:val="00A420FB"/>
    <w:rsid w:val="00A4211A"/>
    <w:rsid w:val="00A421DF"/>
    <w:rsid w:val="00A421F8"/>
    <w:rsid w:val="00A42214"/>
    <w:rsid w:val="00A42220"/>
    <w:rsid w:val="00A42241"/>
    <w:rsid w:val="00A4225C"/>
    <w:rsid w:val="00A42288"/>
    <w:rsid w:val="00A422C9"/>
    <w:rsid w:val="00A423BF"/>
    <w:rsid w:val="00A4240B"/>
    <w:rsid w:val="00A4243A"/>
    <w:rsid w:val="00A42451"/>
    <w:rsid w:val="00A4266E"/>
    <w:rsid w:val="00A426A8"/>
    <w:rsid w:val="00A426F8"/>
    <w:rsid w:val="00A42781"/>
    <w:rsid w:val="00A427BD"/>
    <w:rsid w:val="00A42822"/>
    <w:rsid w:val="00A428DC"/>
    <w:rsid w:val="00A42AAF"/>
    <w:rsid w:val="00A42B38"/>
    <w:rsid w:val="00A42B77"/>
    <w:rsid w:val="00A42BA7"/>
    <w:rsid w:val="00A42BAB"/>
    <w:rsid w:val="00A42C56"/>
    <w:rsid w:val="00A42CCF"/>
    <w:rsid w:val="00A42E06"/>
    <w:rsid w:val="00A42E58"/>
    <w:rsid w:val="00A42E75"/>
    <w:rsid w:val="00A42E91"/>
    <w:rsid w:val="00A42EB4"/>
    <w:rsid w:val="00A42F5D"/>
    <w:rsid w:val="00A42F6C"/>
    <w:rsid w:val="00A42F78"/>
    <w:rsid w:val="00A42F8D"/>
    <w:rsid w:val="00A42FCB"/>
    <w:rsid w:val="00A4306D"/>
    <w:rsid w:val="00A430E8"/>
    <w:rsid w:val="00A430EE"/>
    <w:rsid w:val="00A43151"/>
    <w:rsid w:val="00A4318F"/>
    <w:rsid w:val="00A4320C"/>
    <w:rsid w:val="00A43260"/>
    <w:rsid w:val="00A4329C"/>
    <w:rsid w:val="00A432F4"/>
    <w:rsid w:val="00A432F6"/>
    <w:rsid w:val="00A43330"/>
    <w:rsid w:val="00A43332"/>
    <w:rsid w:val="00A43338"/>
    <w:rsid w:val="00A4342D"/>
    <w:rsid w:val="00A43466"/>
    <w:rsid w:val="00A434CF"/>
    <w:rsid w:val="00A434E1"/>
    <w:rsid w:val="00A43525"/>
    <w:rsid w:val="00A43531"/>
    <w:rsid w:val="00A4355B"/>
    <w:rsid w:val="00A43609"/>
    <w:rsid w:val="00A4363A"/>
    <w:rsid w:val="00A436C2"/>
    <w:rsid w:val="00A436C6"/>
    <w:rsid w:val="00A43707"/>
    <w:rsid w:val="00A43749"/>
    <w:rsid w:val="00A43754"/>
    <w:rsid w:val="00A437D2"/>
    <w:rsid w:val="00A43805"/>
    <w:rsid w:val="00A4381B"/>
    <w:rsid w:val="00A43854"/>
    <w:rsid w:val="00A438DE"/>
    <w:rsid w:val="00A4390A"/>
    <w:rsid w:val="00A43918"/>
    <w:rsid w:val="00A43951"/>
    <w:rsid w:val="00A43965"/>
    <w:rsid w:val="00A439CE"/>
    <w:rsid w:val="00A43A05"/>
    <w:rsid w:val="00A43A15"/>
    <w:rsid w:val="00A43AFC"/>
    <w:rsid w:val="00A43CF1"/>
    <w:rsid w:val="00A43D03"/>
    <w:rsid w:val="00A43DE3"/>
    <w:rsid w:val="00A43E0A"/>
    <w:rsid w:val="00A43E14"/>
    <w:rsid w:val="00A43EF5"/>
    <w:rsid w:val="00A43F9E"/>
    <w:rsid w:val="00A43FD3"/>
    <w:rsid w:val="00A44067"/>
    <w:rsid w:val="00A440AA"/>
    <w:rsid w:val="00A44146"/>
    <w:rsid w:val="00A44198"/>
    <w:rsid w:val="00A44287"/>
    <w:rsid w:val="00A44325"/>
    <w:rsid w:val="00A4433F"/>
    <w:rsid w:val="00A4438B"/>
    <w:rsid w:val="00A4452A"/>
    <w:rsid w:val="00A4457A"/>
    <w:rsid w:val="00A4464C"/>
    <w:rsid w:val="00A446B8"/>
    <w:rsid w:val="00A446FE"/>
    <w:rsid w:val="00A44773"/>
    <w:rsid w:val="00A447A0"/>
    <w:rsid w:val="00A447AE"/>
    <w:rsid w:val="00A447F6"/>
    <w:rsid w:val="00A44838"/>
    <w:rsid w:val="00A4487E"/>
    <w:rsid w:val="00A448C1"/>
    <w:rsid w:val="00A44954"/>
    <w:rsid w:val="00A4495B"/>
    <w:rsid w:val="00A44988"/>
    <w:rsid w:val="00A449A2"/>
    <w:rsid w:val="00A449CD"/>
    <w:rsid w:val="00A44A69"/>
    <w:rsid w:val="00A44A74"/>
    <w:rsid w:val="00A44B77"/>
    <w:rsid w:val="00A44BB3"/>
    <w:rsid w:val="00A44BBA"/>
    <w:rsid w:val="00A44C77"/>
    <w:rsid w:val="00A44C7E"/>
    <w:rsid w:val="00A44CAA"/>
    <w:rsid w:val="00A44DEA"/>
    <w:rsid w:val="00A44E73"/>
    <w:rsid w:val="00A44EFD"/>
    <w:rsid w:val="00A44F06"/>
    <w:rsid w:val="00A44F23"/>
    <w:rsid w:val="00A44F2A"/>
    <w:rsid w:val="00A44F2E"/>
    <w:rsid w:val="00A44F80"/>
    <w:rsid w:val="00A44FF9"/>
    <w:rsid w:val="00A45003"/>
    <w:rsid w:val="00A45096"/>
    <w:rsid w:val="00A450A5"/>
    <w:rsid w:val="00A4518A"/>
    <w:rsid w:val="00A451A3"/>
    <w:rsid w:val="00A451A8"/>
    <w:rsid w:val="00A451A9"/>
    <w:rsid w:val="00A45286"/>
    <w:rsid w:val="00A452D8"/>
    <w:rsid w:val="00A4539D"/>
    <w:rsid w:val="00A453EF"/>
    <w:rsid w:val="00A45416"/>
    <w:rsid w:val="00A45467"/>
    <w:rsid w:val="00A4549A"/>
    <w:rsid w:val="00A45503"/>
    <w:rsid w:val="00A4555D"/>
    <w:rsid w:val="00A455C0"/>
    <w:rsid w:val="00A45635"/>
    <w:rsid w:val="00A456D6"/>
    <w:rsid w:val="00A45723"/>
    <w:rsid w:val="00A45764"/>
    <w:rsid w:val="00A45768"/>
    <w:rsid w:val="00A4577C"/>
    <w:rsid w:val="00A4579C"/>
    <w:rsid w:val="00A457B9"/>
    <w:rsid w:val="00A45813"/>
    <w:rsid w:val="00A4584F"/>
    <w:rsid w:val="00A45861"/>
    <w:rsid w:val="00A458B7"/>
    <w:rsid w:val="00A4590D"/>
    <w:rsid w:val="00A4591E"/>
    <w:rsid w:val="00A4595A"/>
    <w:rsid w:val="00A4598C"/>
    <w:rsid w:val="00A459B1"/>
    <w:rsid w:val="00A459D9"/>
    <w:rsid w:val="00A45A14"/>
    <w:rsid w:val="00A45A2D"/>
    <w:rsid w:val="00A45A73"/>
    <w:rsid w:val="00A45AFA"/>
    <w:rsid w:val="00A45AFC"/>
    <w:rsid w:val="00A45B8F"/>
    <w:rsid w:val="00A45BE1"/>
    <w:rsid w:val="00A45BF3"/>
    <w:rsid w:val="00A45C21"/>
    <w:rsid w:val="00A45C5E"/>
    <w:rsid w:val="00A45D6E"/>
    <w:rsid w:val="00A45E01"/>
    <w:rsid w:val="00A45E1B"/>
    <w:rsid w:val="00A45E1D"/>
    <w:rsid w:val="00A45E70"/>
    <w:rsid w:val="00A45E74"/>
    <w:rsid w:val="00A45EA0"/>
    <w:rsid w:val="00A46033"/>
    <w:rsid w:val="00A46090"/>
    <w:rsid w:val="00A46097"/>
    <w:rsid w:val="00A46146"/>
    <w:rsid w:val="00A4622D"/>
    <w:rsid w:val="00A46265"/>
    <w:rsid w:val="00A462D1"/>
    <w:rsid w:val="00A462EF"/>
    <w:rsid w:val="00A4635D"/>
    <w:rsid w:val="00A463E1"/>
    <w:rsid w:val="00A46451"/>
    <w:rsid w:val="00A4645D"/>
    <w:rsid w:val="00A4649F"/>
    <w:rsid w:val="00A46563"/>
    <w:rsid w:val="00A465F8"/>
    <w:rsid w:val="00A46654"/>
    <w:rsid w:val="00A46662"/>
    <w:rsid w:val="00A46674"/>
    <w:rsid w:val="00A466C7"/>
    <w:rsid w:val="00A46700"/>
    <w:rsid w:val="00A46721"/>
    <w:rsid w:val="00A468F1"/>
    <w:rsid w:val="00A46911"/>
    <w:rsid w:val="00A4695F"/>
    <w:rsid w:val="00A4696C"/>
    <w:rsid w:val="00A4699F"/>
    <w:rsid w:val="00A469B8"/>
    <w:rsid w:val="00A469BB"/>
    <w:rsid w:val="00A469E4"/>
    <w:rsid w:val="00A46A96"/>
    <w:rsid w:val="00A46AC5"/>
    <w:rsid w:val="00A46B16"/>
    <w:rsid w:val="00A46B5C"/>
    <w:rsid w:val="00A46B96"/>
    <w:rsid w:val="00A46BA6"/>
    <w:rsid w:val="00A46BAE"/>
    <w:rsid w:val="00A46BD8"/>
    <w:rsid w:val="00A46BFB"/>
    <w:rsid w:val="00A46C3A"/>
    <w:rsid w:val="00A46CD3"/>
    <w:rsid w:val="00A46D5B"/>
    <w:rsid w:val="00A46DC4"/>
    <w:rsid w:val="00A46DF3"/>
    <w:rsid w:val="00A46E09"/>
    <w:rsid w:val="00A46E38"/>
    <w:rsid w:val="00A46E5B"/>
    <w:rsid w:val="00A46E70"/>
    <w:rsid w:val="00A46E8D"/>
    <w:rsid w:val="00A46EC8"/>
    <w:rsid w:val="00A46F5B"/>
    <w:rsid w:val="00A46F8E"/>
    <w:rsid w:val="00A46FF5"/>
    <w:rsid w:val="00A47024"/>
    <w:rsid w:val="00A4702E"/>
    <w:rsid w:val="00A470F9"/>
    <w:rsid w:val="00A47140"/>
    <w:rsid w:val="00A47159"/>
    <w:rsid w:val="00A471B9"/>
    <w:rsid w:val="00A471BB"/>
    <w:rsid w:val="00A4720A"/>
    <w:rsid w:val="00A4724F"/>
    <w:rsid w:val="00A472FA"/>
    <w:rsid w:val="00A4735D"/>
    <w:rsid w:val="00A47380"/>
    <w:rsid w:val="00A47398"/>
    <w:rsid w:val="00A473E1"/>
    <w:rsid w:val="00A473FF"/>
    <w:rsid w:val="00A47428"/>
    <w:rsid w:val="00A47440"/>
    <w:rsid w:val="00A474C8"/>
    <w:rsid w:val="00A474D2"/>
    <w:rsid w:val="00A47522"/>
    <w:rsid w:val="00A475AE"/>
    <w:rsid w:val="00A475BE"/>
    <w:rsid w:val="00A475F2"/>
    <w:rsid w:val="00A47624"/>
    <w:rsid w:val="00A476FD"/>
    <w:rsid w:val="00A4774D"/>
    <w:rsid w:val="00A47779"/>
    <w:rsid w:val="00A47784"/>
    <w:rsid w:val="00A477A8"/>
    <w:rsid w:val="00A477D8"/>
    <w:rsid w:val="00A4782C"/>
    <w:rsid w:val="00A47838"/>
    <w:rsid w:val="00A4784C"/>
    <w:rsid w:val="00A478F8"/>
    <w:rsid w:val="00A479A5"/>
    <w:rsid w:val="00A479C7"/>
    <w:rsid w:val="00A479E1"/>
    <w:rsid w:val="00A47AF5"/>
    <w:rsid w:val="00A47AF6"/>
    <w:rsid w:val="00A47B6D"/>
    <w:rsid w:val="00A47BBA"/>
    <w:rsid w:val="00A47BF8"/>
    <w:rsid w:val="00A47C13"/>
    <w:rsid w:val="00A47C15"/>
    <w:rsid w:val="00A47C79"/>
    <w:rsid w:val="00A47D32"/>
    <w:rsid w:val="00A47DE7"/>
    <w:rsid w:val="00A47DF5"/>
    <w:rsid w:val="00A47E7D"/>
    <w:rsid w:val="00A47EC5"/>
    <w:rsid w:val="00A47ED0"/>
    <w:rsid w:val="00A47F27"/>
    <w:rsid w:val="00A47F40"/>
    <w:rsid w:val="00A47F6F"/>
    <w:rsid w:val="00A47F86"/>
    <w:rsid w:val="00A47F87"/>
    <w:rsid w:val="00A47FD0"/>
    <w:rsid w:val="00A5002F"/>
    <w:rsid w:val="00A5006E"/>
    <w:rsid w:val="00A50078"/>
    <w:rsid w:val="00A500B1"/>
    <w:rsid w:val="00A500B8"/>
    <w:rsid w:val="00A50161"/>
    <w:rsid w:val="00A501F5"/>
    <w:rsid w:val="00A50249"/>
    <w:rsid w:val="00A5024C"/>
    <w:rsid w:val="00A50278"/>
    <w:rsid w:val="00A502D2"/>
    <w:rsid w:val="00A5030A"/>
    <w:rsid w:val="00A50406"/>
    <w:rsid w:val="00A50463"/>
    <w:rsid w:val="00A504D9"/>
    <w:rsid w:val="00A504DD"/>
    <w:rsid w:val="00A504F6"/>
    <w:rsid w:val="00A50591"/>
    <w:rsid w:val="00A505DD"/>
    <w:rsid w:val="00A505E8"/>
    <w:rsid w:val="00A50643"/>
    <w:rsid w:val="00A50685"/>
    <w:rsid w:val="00A506B6"/>
    <w:rsid w:val="00A50749"/>
    <w:rsid w:val="00A50772"/>
    <w:rsid w:val="00A5081B"/>
    <w:rsid w:val="00A50881"/>
    <w:rsid w:val="00A508A5"/>
    <w:rsid w:val="00A508ED"/>
    <w:rsid w:val="00A50974"/>
    <w:rsid w:val="00A5099F"/>
    <w:rsid w:val="00A509A5"/>
    <w:rsid w:val="00A50AA1"/>
    <w:rsid w:val="00A50ADB"/>
    <w:rsid w:val="00A50ADE"/>
    <w:rsid w:val="00A50AF0"/>
    <w:rsid w:val="00A50B04"/>
    <w:rsid w:val="00A50B15"/>
    <w:rsid w:val="00A50B1E"/>
    <w:rsid w:val="00A50B24"/>
    <w:rsid w:val="00A50B33"/>
    <w:rsid w:val="00A50B70"/>
    <w:rsid w:val="00A50BBF"/>
    <w:rsid w:val="00A50BDF"/>
    <w:rsid w:val="00A50D05"/>
    <w:rsid w:val="00A50D33"/>
    <w:rsid w:val="00A50DDB"/>
    <w:rsid w:val="00A50E5A"/>
    <w:rsid w:val="00A50E61"/>
    <w:rsid w:val="00A50EBC"/>
    <w:rsid w:val="00A50FBE"/>
    <w:rsid w:val="00A50FCB"/>
    <w:rsid w:val="00A5104A"/>
    <w:rsid w:val="00A51062"/>
    <w:rsid w:val="00A51083"/>
    <w:rsid w:val="00A5109F"/>
    <w:rsid w:val="00A51107"/>
    <w:rsid w:val="00A51120"/>
    <w:rsid w:val="00A51122"/>
    <w:rsid w:val="00A51194"/>
    <w:rsid w:val="00A51242"/>
    <w:rsid w:val="00A5124E"/>
    <w:rsid w:val="00A512E2"/>
    <w:rsid w:val="00A5138F"/>
    <w:rsid w:val="00A513D6"/>
    <w:rsid w:val="00A514B0"/>
    <w:rsid w:val="00A514C7"/>
    <w:rsid w:val="00A5155A"/>
    <w:rsid w:val="00A51584"/>
    <w:rsid w:val="00A515F1"/>
    <w:rsid w:val="00A51614"/>
    <w:rsid w:val="00A5174C"/>
    <w:rsid w:val="00A517D2"/>
    <w:rsid w:val="00A517E7"/>
    <w:rsid w:val="00A517EF"/>
    <w:rsid w:val="00A518B4"/>
    <w:rsid w:val="00A518E9"/>
    <w:rsid w:val="00A5194B"/>
    <w:rsid w:val="00A519EF"/>
    <w:rsid w:val="00A519FC"/>
    <w:rsid w:val="00A51A1F"/>
    <w:rsid w:val="00A51A56"/>
    <w:rsid w:val="00A51B06"/>
    <w:rsid w:val="00A51CD1"/>
    <w:rsid w:val="00A51CEF"/>
    <w:rsid w:val="00A51D2E"/>
    <w:rsid w:val="00A51D3E"/>
    <w:rsid w:val="00A51D70"/>
    <w:rsid w:val="00A51D7C"/>
    <w:rsid w:val="00A51E05"/>
    <w:rsid w:val="00A51E18"/>
    <w:rsid w:val="00A51E6C"/>
    <w:rsid w:val="00A51E7D"/>
    <w:rsid w:val="00A51E9B"/>
    <w:rsid w:val="00A51EBC"/>
    <w:rsid w:val="00A51EBF"/>
    <w:rsid w:val="00A51F76"/>
    <w:rsid w:val="00A51F80"/>
    <w:rsid w:val="00A51FD0"/>
    <w:rsid w:val="00A51FE6"/>
    <w:rsid w:val="00A52044"/>
    <w:rsid w:val="00A520A7"/>
    <w:rsid w:val="00A520B4"/>
    <w:rsid w:val="00A5214E"/>
    <w:rsid w:val="00A521AF"/>
    <w:rsid w:val="00A521E0"/>
    <w:rsid w:val="00A52230"/>
    <w:rsid w:val="00A52270"/>
    <w:rsid w:val="00A52288"/>
    <w:rsid w:val="00A5228A"/>
    <w:rsid w:val="00A522A7"/>
    <w:rsid w:val="00A522C8"/>
    <w:rsid w:val="00A5231C"/>
    <w:rsid w:val="00A52346"/>
    <w:rsid w:val="00A52425"/>
    <w:rsid w:val="00A52463"/>
    <w:rsid w:val="00A52498"/>
    <w:rsid w:val="00A524FB"/>
    <w:rsid w:val="00A5251B"/>
    <w:rsid w:val="00A52620"/>
    <w:rsid w:val="00A5268D"/>
    <w:rsid w:val="00A526B0"/>
    <w:rsid w:val="00A526E4"/>
    <w:rsid w:val="00A5270E"/>
    <w:rsid w:val="00A52710"/>
    <w:rsid w:val="00A52772"/>
    <w:rsid w:val="00A52876"/>
    <w:rsid w:val="00A52884"/>
    <w:rsid w:val="00A528BE"/>
    <w:rsid w:val="00A528C3"/>
    <w:rsid w:val="00A52973"/>
    <w:rsid w:val="00A529A6"/>
    <w:rsid w:val="00A529DA"/>
    <w:rsid w:val="00A529F6"/>
    <w:rsid w:val="00A52A21"/>
    <w:rsid w:val="00A52A7F"/>
    <w:rsid w:val="00A52AAF"/>
    <w:rsid w:val="00A52AE5"/>
    <w:rsid w:val="00A52AF6"/>
    <w:rsid w:val="00A52AFF"/>
    <w:rsid w:val="00A52B53"/>
    <w:rsid w:val="00A52B9A"/>
    <w:rsid w:val="00A52BE4"/>
    <w:rsid w:val="00A52BE5"/>
    <w:rsid w:val="00A52CED"/>
    <w:rsid w:val="00A52D59"/>
    <w:rsid w:val="00A52D75"/>
    <w:rsid w:val="00A52DFA"/>
    <w:rsid w:val="00A52EF4"/>
    <w:rsid w:val="00A52F09"/>
    <w:rsid w:val="00A52F68"/>
    <w:rsid w:val="00A52F72"/>
    <w:rsid w:val="00A52F83"/>
    <w:rsid w:val="00A52F8C"/>
    <w:rsid w:val="00A52FE8"/>
    <w:rsid w:val="00A53050"/>
    <w:rsid w:val="00A53058"/>
    <w:rsid w:val="00A53075"/>
    <w:rsid w:val="00A530DA"/>
    <w:rsid w:val="00A530FA"/>
    <w:rsid w:val="00A53124"/>
    <w:rsid w:val="00A5313C"/>
    <w:rsid w:val="00A5314A"/>
    <w:rsid w:val="00A53176"/>
    <w:rsid w:val="00A531CC"/>
    <w:rsid w:val="00A531FA"/>
    <w:rsid w:val="00A53266"/>
    <w:rsid w:val="00A532EC"/>
    <w:rsid w:val="00A5335E"/>
    <w:rsid w:val="00A5335F"/>
    <w:rsid w:val="00A53432"/>
    <w:rsid w:val="00A5346B"/>
    <w:rsid w:val="00A53516"/>
    <w:rsid w:val="00A53535"/>
    <w:rsid w:val="00A5353F"/>
    <w:rsid w:val="00A5366C"/>
    <w:rsid w:val="00A536B4"/>
    <w:rsid w:val="00A536D1"/>
    <w:rsid w:val="00A53753"/>
    <w:rsid w:val="00A5375D"/>
    <w:rsid w:val="00A53784"/>
    <w:rsid w:val="00A53799"/>
    <w:rsid w:val="00A537F6"/>
    <w:rsid w:val="00A537F7"/>
    <w:rsid w:val="00A53809"/>
    <w:rsid w:val="00A53885"/>
    <w:rsid w:val="00A538BA"/>
    <w:rsid w:val="00A539D3"/>
    <w:rsid w:val="00A53B22"/>
    <w:rsid w:val="00A53B67"/>
    <w:rsid w:val="00A53BA2"/>
    <w:rsid w:val="00A53BE7"/>
    <w:rsid w:val="00A53DAC"/>
    <w:rsid w:val="00A53DDB"/>
    <w:rsid w:val="00A53E6F"/>
    <w:rsid w:val="00A53EE8"/>
    <w:rsid w:val="00A53EFF"/>
    <w:rsid w:val="00A53F41"/>
    <w:rsid w:val="00A54023"/>
    <w:rsid w:val="00A54069"/>
    <w:rsid w:val="00A5416A"/>
    <w:rsid w:val="00A54183"/>
    <w:rsid w:val="00A54194"/>
    <w:rsid w:val="00A541A4"/>
    <w:rsid w:val="00A541CC"/>
    <w:rsid w:val="00A542A9"/>
    <w:rsid w:val="00A542CC"/>
    <w:rsid w:val="00A542CE"/>
    <w:rsid w:val="00A5438A"/>
    <w:rsid w:val="00A54393"/>
    <w:rsid w:val="00A543B7"/>
    <w:rsid w:val="00A544C8"/>
    <w:rsid w:val="00A54524"/>
    <w:rsid w:val="00A54566"/>
    <w:rsid w:val="00A545C4"/>
    <w:rsid w:val="00A54691"/>
    <w:rsid w:val="00A546BD"/>
    <w:rsid w:val="00A54797"/>
    <w:rsid w:val="00A547D7"/>
    <w:rsid w:val="00A54839"/>
    <w:rsid w:val="00A5486D"/>
    <w:rsid w:val="00A548C4"/>
    <w:rsid w:val="00A548E9"/>
    <w:rsid w:val="00A54984"/>
    <w:rsid w:val="00A54A41"/>
    <w:rsid w:val="00A54A94"/>
    <w:rsid w:val="00A54AC1"/>
    <w:rsid w:val="00A54ADE"/>
    <w:rsid w:val="00A54B1E"/>
    <w:rsid w:val="00A54B6A"/>
    <w:rsid w:val="00A54B91"/>
    <w:rsid w:val="00A54B95"/>
    <w:rsid w:val="00A54C1C"/>
    <w:rsid w:val="00A54C42"/>
    <w:rsid w:val="00A54C68"/>
    <w:rsid w:val="00A54C70"/>
    <w:rsid w:val="00A54CDF"/>
    <w:rsid w:val="00A54CF1"/>
    <w:rsid w:val="00A54CFD"/>
    <w:rsid w:val="00A54CFF"/>
    <w:rsid w:val="00A54DC5"/>
    <w:rsid w:val="00A54DEC"/>
    <w:rsid w:val="00A54E7F"/>
    <w:rsid w:val="00A54EED"/>
    <w:rsid w:val="00A55069"/>
    <w:rsid w:val="00A550CB"/>
    <w:rsid w:val="00A550E3"/>
    <w:rsid w:val="00A55101"/>
    <w:rsid w:val="00A551AA"/>
    <w:rsid w:val="00A551C9"/>
    <w:rsid w:val="00A551DB"/>
    <w:rsid w:val="00A551EB"/>
    <w:rsid w:val="00A5522E"/>
    <w:rsid w:val="00A552F2"/>
    <w:rsid w:val="00A55307"/>
    <w:rsid w:val="00A5530B"/>
    <w:rsid w:val="00A553C7"/>
    <w:rsid w:val="00A553DE"/>
    <w:rsid w:val="00A55418"/>
    <w:rsid w:val="00A5542D"/>
    <w:rsid w:val="00A55430"/>
    <w:rsid w:val="00A554E4"/>
    <w:rsid w:val="00A554F9"/>
    <w:rsid w:val="00A55549"/>
    <w:rsid w:val="00A556AA"/>
    <w:rsid w:val="00A556B7"/>
    <w:rsid w:val="00A556BA"/>
    <w:rsid w:val="00A556C3"/>
    <w:rsid w:val="00A55711"/>
    <w:rsid w:val="00A557F6"/>
    <w:rsid w:val="00A557FD"/>
    <w:rsid w:val="00A55819"/>
    <w:rsid w:val="00A55835"/>
    <w:rsid w:val="00A55880"/>
    <w:rsid w:val="00A55926"/>
    <w:rsid w:val="00A55986"/>
    <w:rsid w:val="00A559C8"/>
    <w:rsid w:val="00A559D2"/>
    <w:rsid w:val="00A559DD"/>
    <w:rsid w:val="00A55AAA"/>
    <w:rsid w:val="00A55AE6"/>
    <w:rsid w:val="00A55B1C"/>
    <w:rsid w:val="00A55BC3"/>
    <w:rsid w:val="00A55C05"/>
    <w:rsid w:val="00A55C21"/>
    <w:rsid w:val="00A55C61"/>
    <w:rsid w:val="00A55C70"/>
    <w:rsid w:val="00A55CBA"/>
    <w:rsid w:val="00A55CCE"/>
    <w:rsid w:val="00A55D02"/>
    <w:rsid w:val="00A55D22"/>
    <w:rsid w:val="00A55EE6"/>
    <w:rsid w:val="00A55EF0"/>
    <w:rsid w:val="00A55F16"/>
    <w:rsid w:val="00A55FA7"/>
    <w:rsid w:val="00A56034"/>
    <w:rsid w:val="00A5604E"/>
    <w:rsid w:val="00A561B3"/>
    <w:rsid w:val="00A561E1"/>
    <w:rsid w:val="00A5622D"/>
    <w:rsid w:val="00A5641F"/>
    <w:rsid w:val="00A56507"/>
    <w:rsid w:val="00A56518"/>
    <w:rsid w:val="00A5654D"/>
    <w:rsid w:val="00A56556"/>
    <w:rsid w:val="00A565A2"/>
    <w:rsid w:val="00A566D0"/>
    <w:rsid w:val="00A567F4"/>
    <w:rsid w:val="00A56806"/>
    <w:rsid w:val="00A56961"/>
    <w:rsid w:val="00A56964"/>
    <w:rsid w:val="00A56972"/>
    <w:rsid w:val="00A569EB"/>
    <w:rsid w:val="00A56A21"/>
    <w:rsid w:val="00A56A69"/>
    <w:rsid w:val="00A56B3F"/>
    <w:rsid w:val="00A56B72"/>
    <w:rsid w:val="00A56BAF"/>
    <w:rsid w:val="00A56C38"/>
    <w:rsid w:val="00A56C45"/>
    <w:rsid w:val="00A56C6E"/>
    <w:rsid w:val="00A56CC1"/>
    <w:rsid w:val="00A56EDB"/>
    <w:rsid w:val="00A56F40"/>
    <w:rsid w:val="00A56F45"/>
    <w:rsid w:val="00A56FA4"/>
    <w:rsid w:val="00A56FB5"/>
    <w:rsid w:val="00A56FF3"/>
    <w:rsid w:val="00A5701E"/>
    <w:rsid w:val="00A57085"/>
    <w:rsid w:val="00A570CE"/>
    <w:rsid w:val="00A57166"/>
    <w:rsid w:val="00A572A6"/>
    <w:rsid w:val="00A57398"/>
    <w:rsid w:val="00A57439"/>
    <w:rsid w:val="00A57507"/>
    <w:rsid w:val="00A5751D"/>
    <w:rsid w:val="00A5754C"/>
    <w:rsid w:val="00A57586"/>
    <w:rsid w:val="00A5758F"/>
    <w:rsid w:val="00A57591"/>
    <w:rsid w:val="00A57610"/>
    <w:rsid w:val="00A57650"/>
    <w:rsid w:val="00A57672"/>
    <w:rsid w:val="00A576A7"/>
    <w:rsid w:val="00A576C0"/>
    <w:rsid w:val="00A576ED"/>
    <w:rsid w:val="00A57746"/>
    <w:rsid w:val="00A57796"/>
    <w:rsid w:val="00A577AF"/>
    <w:rsid w:val="00A577C5"/>
    <w:rsid w:val="00A5785D"/>
    <w:rsid w:val="00A57A49"/>
    <w:rsid w:val="00A57A62"/>
    <w:rsid w:val="00A57AD4"/>
    <w:rsid w:val="00A57C39"/>
    <w:rsid w:val="00A57C51"/>
    <w:rsid w:val="00A57C8A"/>
    <w:rsid w:val="00A57CAC"/>
    <w:rsid w:val="00A57D7B"/>
    <w:rsid w:val="00A57DE3"/>
    <w:rsid w:val="00A57DF1"/>
    <w:rsid w:val="00A57E96"/>
    <w:rsid w:val="00A57EFD"/>
    <w:rsid w:val="00A57FEB"/>
    <w:rsid w:val="00A600CF"/>
    <w:rsid w:val="00A60175"/>
    <w:rsid w:val="00A601A8"/>
    <w:rsid w:val="00A601FE"/>
    <w:rsid w:val="00A60210"/>
    <w:rsid w:val="00A60228"/>
    <w:rsid w:val="00A6022C"/>
    <w:rsid w:val="00A602CD"/>
    <w:rsid w:val="00A60397"/>
    <w:rsid w:val="00A60424"/>
    <w:rsid w:val="00A60499"/>
    <w:rsid w:val="00A605BE"/>
    <w:rsid w:val="00A6062F"/>
    <w:rsid w:val="00A606CA"/>
    <w:rsid w:val="00A606DA"/>
    <w:rsid w:val="00A6073A"/>
    <w:rsid w:val="00A60748"/>
    <w:rsid w:val="00A607C4"/>
    <w:rsid w:val="00A607DF"/>
    <w:rsid w:val="00A6080D"/>
    <w:rsid w:val="00A6083C"/>
    <w:rsid w:val="00A608A1"/>
    <w:rsid w:val="00A609C9"/>
    <w:rsid w:val="00A60A0B"/>
    <w:rsid w:val="00A60A13"/>
    <w:rsid w:val="00A60A60"/>
    <w:rsid w:val="00A60A6F"/>
    <w:rsid w:val="00A60AB3"/>
    <w:rsid w:val="00A60AC2"/>
    <w:rsid w:val="00A60AC6"/>
    <w:rsid w:val="00A60B08"/>
    <w:rsid w:val="00A60B86"/>
    <w:rsid w:val="00A60B8A"/>
    <w:rsid w:val="00A60BB0"/>
    <w:rsid w:val="00A60BB1"/>
    <w:rsid w:val="00A60BC7"/>
    <w:rsid w:val="00A60BE2"/>
    <w:rsid w:val="00A60C0E"/>
    <w:rsid w:val="00A60C1A"/>
    <w:rsid w:val="00A60C46"/>
    <w:rsid w:val="00A60C57"/>
    <w:rsid w:val="00A60CB5"/>
    <w:rsid w:val="00A60CD8"/>
    <w:rsid w:val="00A60CFF"/>
    <w:rsid w:val="00A60D06"/>
    <w:rsid w:val="00A60D0B"/>
    <w:rsid w:val="00A60D4A"/>
    <w:rsid w:val="00A60D4E"/>
    <w:rsid w:val="00A60D9C"/>
    <w:rsid w:val="00A60DAF"/>
    <w:rsid w:val="00A60DDC"/>
    <w:rsid w:val="00A60E5E"/>
    <w:rsid w:val="00A60F3C"/>
    <w:rsid w:val="00A60FC5"/>
    <w:rsid w:val="00A60FC9"/>
    <w:rsid w:val="00A60FF7"/>
    <w:rsid w:val="00A61030"/>
    <w:rsid w:val="00A610B2"/>
    <w:rsid w:val="00A610E7"/>
    <w:rsid w:val="00A6110C"/>
    <w:rsid w:val="00A61126"/>
    <w:rsid w:val="00A612B9"/>
    <w:rsid w:val="00A612BB"/>
    <w:rsid w:val="00A612F5"/>
    <w:rsid w:val="00A6133E"/>
    <w:rsid w:val="00A6145C"/>
    <w:rsid w:val="00A61460"/>
    <w:rsid w:val="00A614F9"/>
    <w:rsid w:val="00A61527"/>
    <w:rsid w:val="00A61558"/>
    <w:rsid w:val="00A61571"/>
    <w:rsid w:val="00A6158B"/>
    <w:rsid w:val="00A615DC"/>
    <w:rsid w:val="00A61675"/>
    <w:rsid w:val="00A61687"/>
    <w:rsid w:val="00A616BF"/>
    <w:rsid w:val="00A616C7"/>
    <w:rsid w:val="00A616DC"/>
    <w:rsid w:val="00A6176E"/>
    <w:rsid w:val="00A619D3"/>
    <w:rsid w:val="00A61A30"/>
    <w:rsid w:val="00A61A66"/>
    <w:rsid w:val="00A61AD3"/>
    <w:rsid w:val="00A61AF5"/>
    <w:rsid w:val="00A61B4E"/>
    <w:rsid w:val="00A61BBE"/>
    <w:rsid w:val="00A61C09"/>
    <w:rsid w:val="00A61C26"/>
    <w:rsid w:val="00A61C47"/>
    <w:rsid w:val="00A61C5F"/>
    <w:rsid w:val="00A61C6E"/>
    <w:rsid w:val="00A61C83"/>
    <w:rsid w:val="00A61CA7"/>
    <w:rsid w:val="00A61CEA"/>
    <w:rsid w:val="00A61D0D"/>
    <w:rsid w:val="00A61D24"/>
    <w:rsid w:val="00A61D6C"/>
    <w:rsid w:val="00A61D6D"/>
    <w:rsid w:val="00A61DA7"/>
    <w:rsid w:val="00A61E25"/>
    <w:rsid w:val="00A61E58"/>
    <w:rsid w:val="00A61E96"/>
    <w:rsid w:val="00A61EC1"/>
    <w:rsid w:val="00A62029"/>
    <w:rsid w:val="00A62061"/>
    <w:rsid w:val="00A6207A"/>
    <w:rsid w:val="00A620F3"/>
    <w:rsid w:val="00A620FA"/>
    <w:rsid w:val="00A62182"/>
    <w:rsid w:val="00A621AC"/>
    <w:rsid w:val="00A62219"/>
    <w:rsid w:val="00A622C6"/>
    <w:rsid w:val="00A62347"/>
    <w:rsid w:val="00A62468"/>
    <w:rsid w:val="00A62517"/>
    <w:rsid w:val="00A62572"/>
    <w:rsid w:val="00A625CB"/>
    <w:rsid w:val="00A625FB"/>
    <w:rsid w:val="00A62682"/>
    <w:rsid w:val="00A6269D"/>
    <w:rsid w:val="00A62753"/>
    <w:rsid w:val="00A6279B"/>
    <w:rsid w:val="00A627EC"/>
    <w:rsid w:val="00A6281B"/>
    <w:rsid w:val="00A62897"/>
    <w:rsid w:val="00A628B9"/>
    <w:rsid w:val="00A6291A"/>
    <w:rsid w:val="00A6291C"/>
    <w:rsid w:val="00A62946"/>
    <w:rsid w:val="00A6294C"/>
    <w:rsid w:val="00A62954"/>
    <w:rsid w:val="00A62964"/>
    <w:rsid w:val="00A62995"/>
    <w:rsid w:val="00A62998"/>
    <w:rsid w:val="00A6299A"/>
    <w:rsid w:val="00A629AC"/>
    <w:rsid w:val="00A629D4"/>
    <w:rsid w:val="00A629ED"/>
    <w:rsid w:val="00A62A69"/>
    <w:rsid w:val="00A62B16"/>
    <w:rsid w:val="00A62B26"/>
    <w:rsid w:val="00A62D46"/>
    <w:rsid w:val="00A62D82"/>
    <w:rsid w:val="00A62E1E"/>
    <w:rsid w:val="00A62E39"/>
    <w:rsid w:val="00A62E6F"/>
    <w:rsid w:val="00A62E71"/>
    <w:rsid w:val="00A62E98"/>
    <w:rsid w:val="00A62F36"/>
    <w:rsid w:val="00A62FEC"/>
    <w:rsid w:val="00A63017"/>
    <w:rsid w:val="00A6306D"/>
    <w:rsid w:val="00A631DA"/>
    <w:rsid w:val="00A631DB"/>
    <w:rsid w:val="00A631EB"/>
    <w:rsid w:val="00A63201"/>
    <w:rsid w:val="00A63275"/>
    <w:rsid w:val="00A63299"/>
    <w:rsid w:val="00A63308"/>
    <w:rsid w:val="00A63317"/>
    <w:rsid w:val="00A6334C"/>
    <w:rsid w:val="00A63373"/>
    <w:rsid w:val="00A63393"/>
    <w:rsid w:val="00A63396"/>
    <w:rsid w:val="00A633D7"/>
    <w:rsid w:val="00A6341C"/>
    <w:rsid w:val="00A63422"/>
    <w:rsid w:val="00A634EF"/>
    <w:rsid w:val="00A63596"/>
    <w:rsid w:val="00A635C7"/>
    <w:rsid w:val="00A63633"/>
    <w:rsid w:val="00A6365B"/>
    <w:rsid w:val="00A63697"/>
    <w:rsid w:val="00A637C1"/>
    <w:rsid w:val="00A6382A"/>
    <w:rsid w:val="00A6383C"/>
    <w:rsid w:val="00A63909"/>
    <w:rsid w:val="00A63917"/>
    <w:rsid w:val="00A63921"/>
    <w:rsid w:val="00A63932"/>
    <w:rsid w:val="00A63950"/>
    <w:rsid w:val="00A63976"/>
    <w:rsid w:val="00A639AB"/>
    <w:rsid w:val="00A639EF"/>
    <w:rsid w:val="00A639FF"/>
    <w:rsid w:val="00A63A2F"/>
    <w:rsid w:val="00A63AB3"/>
    <w:rsid w:val="00A63B43"/>
    <w:rsid w:val="00A63B5F"/>
    <w:rsid w:val="00A63CD9"/>
    <w:rsid w:val="00A63DF0"/>
    <w:rsid w:val="00A63E7E"/>
    <w:rsid w:val="00A63EB0"/>
    <w:rsid w:val="00A63EC9"/>
    <w:rsid w:val="00A64026"/>
    <w:rsid w:val="00A640BE"/>
    <w:rsid w:val="00A64100"/>
    <w:rsid w:val="00A6411A"/>
    <w:rsid w:val="00A641DE"/>
    <w:rsid w:val="00A641E6"/>
    <w:rsid w:val="00A641F7"/>
    <w:rsid w:val="00A64221"/>
    <w:rsid w:val="00A6422C"/>
    <w:rsid w:val="00A64253"/>
    <w:rsid w:val="00A6432F"/>
    <w:rsid w:val="00A643E6"/>
    <w:rsid w:val="00A64415"/>
    <w:rsid w:val="00A644A4"/>
    <w:rsid w:val="00A64505"/>
    <w:rsid w:val="00A6451D"/>
    <w:rsid w:val="00A64572"/>
    <w:rsid w:val="00A64582"/>
    <w:rsid w:val="00A645B2"/>
    <w:rsid w:val="00A645B5"/>
    <w:rsid w:val="00A6461F"/>
    <w:rsid w:val="00A64640"/>
    <w:rsid w:val="00A64657"/>
    <w:rsid w:val="00A647E2"/>
    <w:rsid w:val="00A64827"/>
    <w:rsid w:val="00A64937"/>
    <w:rsid w:val="00A6494D"/>
    <w:rsid w:val="00A649E8"/>
    <w:rsid w:val="00A64A9B"/>
    <w:rsid w:val="00A64B26"/>
    <w:rsid w:val="00A64B54"/>
    <w:rsid w:val="00A64B59"/>
    <w:rsid w:val="00A64B6D"/>
    <w:rsid w:val="00A64BAB"/>
    <w:rsid w:val="00A64C0C"/>
    <w:rsid w:val="00A64CA9"/>
    <w:rsid w:val="00A64CC6"/>
    <w:rsid w:val="00A64CFA"/>
    <w:rsid w:val="00A64D16"/>
    <w:rsid w:val="00A64E01"/>
    <w:rsid w:val="00A64E58"/>
    <w:rsid w:val="00A64E65"/>
    <w:rsid w:val="00A64E78"/>
    <w:rsid w:val="00A64EE5"/>
    <w:rsid w:val="00A64F05"/>
    <w:rsid w:val="00A64F24"/>
    <w:rsid w:val="00A64F40"/>
    <w:rsid w:val="00A64F98"/>
    <w:rsid w:val="00A65024"/>
    <w:rsid w:val="00A65060"/>
    <w:rsid w:val="00A650CE"/>
    <w:rsid w:val="00A65128"/>
    <w:rsid w:val="00A6514B"/>
    <w:rsid w:val="00A651A2"/>
    <w:rsid w:val="00A651AB"/>
    <w:rsid w:val="00A65205"/>
    <w:rsid w:val="00A65213"/>
    <w:rsid w:val="00A65257"/>
    <w:rsid w:val="00A65262"/>
    <w:rsid w:val="00A652B8"/>
    <w:rsid w:val="00A652D7"/>
    <w:rsid w:val="00A652EE"/>
    <w:rsid w:val="00A65300"/>
    <w:rsid w:val="00A65329"/>
    <w:rsid w:val="00A6538D"/>
    <w:rsid w:val="00A65426"/>
    <w:rsid w:val="00A654A7"/>
    <w:rsid w:val="00A654B3"/>
    <w:rsid w:val="00A654CD"/>
    <w:rsid w:val="00A654D8"/>
    <w:rsid w:val="00A65541"/>
    <w:rsid w:val="00A65596"/>
    <w:rsid w:val="00A655A8"/>
    <w:rsid w:val="00A65626"/>
    <w:rsid w:val="00A65670"/>
    <w:rsid w:val="00A6568D"/>
    <w:rsid w:val="00A6568F"/>
    <w:rsid w:val="00A656B3"/>
    <w:rsid w:val="00A6572D"/>
    <w:rsid w:val="00A65746"/>
    <w:rsid w:val="00A65818"/>
    <w:rsid w:val="00A658A5"/>
    <w:rsid w:val="00A6598E"/>
    <w:rsid w:val="00A65AA4"/>
    <w:rsid w:val="00A65B4B"/>
    <w:rsid w:val="00A65BF3"/>
    <w:rsid w:val="00A65C25"/>
    <w:rsid w:val="00A65C57"/>
    <w:rsid w:val="00A65CD7"/>
    <w:rsid w:val="00A65CED"/>
    <w:rsid w:val="00A65D02"/>
    <w:rsid w:val="00A65D2B"/>
    <w:rsid w:val="00A65DA2"/>
    <w:rsid w:val="00A65E22"/>
    <w:rsid w:val="00A65E30"/>
    <w:rsid w:val="00A65E49"/>
    <w:rsid w:val="00A65EAA"/>
    <w:rsid w:val="00A65EF1"/>
    <w:rsid w:val="00A65F30"/>
    <w:rsid w:val="00A65F6F"/>
    <w:rsid w:val="00A65F71"/>
    <w:rsid w:val="00A66035"/>
    <w:rsid w:val="00A660B2"/>
    <w:rsid w:val="00A660E8"/>
    <w:rsid w:val="00A66101"/>
    <w:rsid w:val="00A6611F"/>
    <w:rsid w:val="00A66125"/>
    <w:rsid w:val="00A6615F"/>
    <w:rsid w:val="00A661ED"/>
    <w:rsid w:val="00A66289"/>
    <w:rsid w:val="00A662D8"/>
    <w:rsid w:val="00A66302"/>
    <w:rsid w:val="00A663FC"/>
    <w:rsid w:val="00A6642D"/>
    <w:rsid w:val="00A66488"/>
    <w:rsid w:val="00A664FE"/>
    <w:rsid w:val="00A6650B"/>
    <w:rsid w:val="00A6653F"/>
    <w:rsid w:val="00A665CC"/>
    <w:rsid w:val="00A6663B"/>
    <w:rsid w:val="00A666BA"/>
    <w:rsid w:val="00A66767"/>
    <w:rsid w:val="00A667AB"/>
    <w:rsid w:val="00A667C3"/>
    <w:rsid w:val="00A667D0"/>
    <w:rsid w:val="00A66853"/>
    <w:rsid w:val="00A6686B"/>
    <w:rsid w:val="00A6694C"/>
    <w:rsid w:val="00A66998"/>
    <w:rsid w:val="00A66A4F"/>
    <w:rsid w:val="00A66AD0"/>
    <w:rsid w:val="00A66B27"/>
    <w:rsid w:val="00A66CEB"/>
    <w:rsid w:val="00A66D59"/>
    <w:rsid w:val="00A66E0C"/>
    <w:rsid w:val="00A66E28"/>
    <w:rsid w:val="00A66E5E"/>
    <w:rsid w:val="00A66E6D"/>
    <w:rsid w:val="00A66E96"/>
    <w:rsid w:val="00A66F3F"/>
    <w:rsid w:val="00A66F93"/>
    <w:rsid w:val="00A6701C"/>
    <w:rsid w:val="00A6704D"/>
    <w:rsid w:val="00A6707A"/>
    <w:rsid w:val="00A67180"/>
    <w:rsid w:val="00A6719C"/>
    <w:rsid w:val="00A671BC"/>
    <w:rsid w:val="00A671C5"/>
    <w:rsid w:val="00A67256"/>
    <w:rsid w:val="00A67274"/>
    <w:rsid w:val="00A6729F"/>
    <w:rsid w:val="00A672B6"/>
    <w:rsid w:val="00A672EA"/>
    <w:rsid w:val="00A67309"/>
    <w:rsid w:val="00A67313"/>
    <w:rsid w:val="00A67330"/>
    <w:rsid w:val="00A6739F"/>
    <w:rsid w:val="00A673AB"/>
    <w:rsid w:val="00A673E6"/>
    <w:rsid w:val="00A67446"/>
    <w:rsid w:val="00A674FB"/>
    <w:rsid w:val="00A67523"/>
    <w:rsid w:val="00A675A5"/>
    <w:rsid w:val="00A675C2"/>
    <w:rsid w:val="00A67604"/>
    <w:rsid w:val="00A67620"/>
    <w:rsid w:val="00A67699"/>
    <w:rsid w:val="00A676DC"/>
    <w:rsid w:val="00A6776D"/>
    <w:rsid w:val="00A67805"/>
    <w:rsid w:val="00A678AF"/>
    <w:rsid w:val="00A678D3"/>
    <w:rsid w:val="00A6798F"/>
    <w:rsid w:val="00A679A4"/>
    <w:rsid w:val="00A679AC"/>
    <w:rsid w:val="00A679B2"/>
    <w:rsid w:val="00A679B7"/>
    <w:rsid w:val="00A679D1"/>
    <w:rsid w:val="00A679FA"/>
    <w:rsid w:val="00A67A22"/>
    <w:rsid w:val="00A67A77"/>
    <w:rsid w:val="00A67A78"/>
    <w:rsid w:val="00A67B92"/>
    <w:rsid w:val="00A67BCF"/>
    <w:rsid w:val="00A67C00"/>
    <w:rsid w:val="00A67C05"/>
    <w:rsid w:val="00A67CB9"/>
    <w:rsid w:val="00A67D45"/>
    <w:rsid w:val="00A67DD1"/>
    <w:rsid w:val="00A67E28"/>
    <w:rsid w:val="00A67E74"/>
    <w:rsid w:val="00A67ECD"/>
    <w:rsid w:val="00A67F16"/>
    <w:rsid w:val="00A67F34"/>
    <w:rsid w:val="00A67FAA"/>
    <w:rsid w:val="00A67FAD"/>
    <w:rsid w:val="00A70150"/>
    <w:rsid w:val="00A701A1"/>
    <w:rsid w:val="00A701A6"/>
    <w:rsid w:val="00A701C5"/>
    <w:rsid w:val="00A701D7"/>
    <w:rsid w:val="00A70286"/>
    <w:rsid w:val="00A7030D"/>
    <w:rsid w:val="00A70331"/>
    <w:rsid w:val="00A70357"/>
    <w:rsid w:val="00A70379"/>
    <w:rsid w:val="00A7038B"/>
    <w:rsid w:val="00A703AA"/>
    <w:rsid w:val="00A704B6"/>
    <w:rsid w:val="00A7062E"/>
    <w:rsid w:val="00A70654"/>
    <w:rsid w:val="00A70661"/>
    <w:rsid w:val="00A7067F"/>
    <w:rsid w:val="00A70681"/>
    <w:rsid w:val="00A70699"/>
    <w:rsid w:val="00A70772"/>
    <w:rsid w:val="00A707D6"/>
    <w:rsid w:val="00A70938"/>
    <w:rsid w:val="00A70955"/>
    <w:rsid w:val="00A70985"/>
    <w:rsid w:val="00A7098A"/>
    <w:rsid w:val="00A709CA"/>
    <w:rsid w:val="00A709F5"/>
    <w:rsid w:val="00A70A08"/>
    <w:rsid w:val="00A70AC9"/>
    <w:rsid w:val="00A70B02"/>
    <w:rsid w:val="00A70B57"/>
    <w:rsid w:val="00A70BEB"/>
    <w:rsid w:val="00A70C21"/>
    <w:rsid w:val="00A70C6E"/>
    <w:rsid w:val="00A70C87"/>
    <w:rsid w:val="00A70C9C"/>
    <w:rsid w:val="00A70D15"/>
    <w:rsid w:val="00A70D85"/>
    <w:rsid w:val="00A70DBC"/>
    <w:rsid w:val="00A70DCE"/>
    <w:rsid w:val="00A70E0B"/>
    <w:rsid w:val="00A70E68"/>
    <w:rsid w:val="00A70E75"/>
    <w:rsid w:val="00A70EB5"/>
    <w:rsid w:val="00A70EBA"/>
    <w:rsid w:val="00A70F23"/>
    <w:rsid w:val="00A70FB3"/>
    <w:rsid w:val="00A70FF7"/>
    <w:rsid w:val="00A70FFD"/>
    <w:rsid w:val="00A710E8"/>
    <w:rsid w:val="00A71109"/>
    <w:rsid w:val="00A711DC"/>
    <w:rsid w:val="00A7122E"/>
    <w:rsid w:val="00A7123C"/>
    <w:rsid w:val="00A7128C"/>
    <w:rsid w:val="00A7128D"/>
    <w:rsid w:val="00A712E1"/>
    <w:rsid w:val="00A71304"/>
    <w:rsid w:val="00A71313"/>
    <w:rsid w:val="00A713BE"/>
    <w:rsid w:val="00A714AA"/>
    <w:rsid w:val="00A714FA"/>
    <w:rsid w:val="00A714FB"/>
    <w:rsid w:val="00A715F8"/>
    <w:rsid w:val="00A715F9"/>
    <w:rsid w:val="00A7168A"/>
    <w:rsid w:val="00A716A3"/>
    <w:rsid w:val="00A716F1"/>
    <w:rsid w:val="00A71759"/>
    <w:rsid w:val="00A7177A"/>
    <w:rsid w:val="00A71782"/>
    <w:rsid w:val="00A7180A"/>
    <w:rsid w:val="00A718B8"/>
    <w:rsid w:val="00A719CE"/>
    <w:rsid w:val="00A71A86"/>
    <w:rsid w:val="00A71A9B"/>
    <w:rsid w:val="00A71B34"/>
    <w:rsid w:val="00A71B4B"/>
    <w:rsid w:val="00A71B69"/>
    <w:rsid w:val="00A71BB5"/>
    <w:rsid w:val="00A71BCE"/>
    <w:rsid w:val="00A71BCF"/>
    <w:rsid w:val="00A71C11"/>
    <w:rsid w:val="00A71D60"/>
    <w:rsid w:val="00A71D86"/>
    <w:rsid w:val="00A71DB1"/>
    <w:rsid w:val="00A71E56"/>
    <w:rsid w:val="00A71E5E"/>
    <w:rsid w:val="00A71F40"/>
    <w:rsid w:val="00A71F9B"/>
    <w:rsid w:val="00A71FD2"/>
    <w:rsid w:val="00A72023"/>
    <w:rsid w:val="00A72051"/>
    <w:rsid w:val="00A7205C"/>
    <w:rsid w:val="00A72087"/>
    <w:rsid w:val="00A7208B"/>
    <w:rsid w:val="00A7210B"/>
    <w:rsid w:val="00A7217C"/>
    <w:rsid w:val="00A72181"/>
    <w:rsid w:val="00A721AE"/>
    <w:rsid w:val="00A721D1"/>
    <w:rsid w:val="00A7225E"/>
    <w:rsid w:val="00A722B5"/>
    <w:rsid w:val="00A722B7"/>
    <w:rsid w:val="00A722E5"/>
    <w:rsid w:val="00A722F2"/>
    <w:rsid w:val="00A72342"/>
    <w:rsid w:val="00A7237A"/>
    <w:rsid w:val="00A723B3"/>
    <w:rsid w:val="00A7242F"/>
    <w:rsid w:val="00A72463"/>
    <w:rsid w:val="00A7246F"/>
    <w:rsid w:val="00A72528"/>
    <w:rsid w:val="00A72579"/>
    <w:rsid w:val="00A725AF"/>
    <w:rsid w:val="00A725E5"/>
    <w:rsid w:val="00A72693"/>
    <w:rsid w:val="00A726CD"/>
    <w:rsid w:val="00A72703"/>
    <w:rsid w:val="00A7274B"/>
    <w:rsid w:val="00A7275B"/>
    <w:rsid w:val="00A7277D"/>
    <w:rsid w:val="00A7277E"/>
    <w:rsid w:val="00A7280D"/>
    <w:rsid w:val="00A72836"/>
    <w:rsid w:val="00A72986"/>
    <w:rsid w:val="00A72990"/>
    <w:rsid w:val="00A72AD0"/>
    <w:rsid w:val="00A72AE0"/>
    <w:rsid w:val="00A72B66"/>
    <w:rsid w:val="00A72BD9"/>
    <w:rsid w:val="00A72BE9"/>
    <w:rsid w:val="00A72C08"/>
    <w:rsid w:val="00A72C09"/>
    <w:rsid w:val="00A72C29"/>
    <w:rsid w:val="00A72C38"/>
    <w:rsid w:val="00A72C6D"/>
    <w:rsid w:val="00A72C8D"/>
    <w:rsid w:val="00A72CCC"/>
    <w:rsid w:val="00A72D84"/>
    <w:rsid w:val="00A72D96"/>
    <w:rsid w:val="00A72E63"/>
    <w:rsid w:val="00A72FAE"/>
    <w:rsid w:val="00A73032"/>
    <w:rsid w:val="00A730E2"/>
    <w:rsid w:val="00A73167"/>
    <w:rsid w:val="00A731A3"/>
    <w:rsid w:val="00A7321A"/>
    <w:rsid w:val="00A7323C"/>
    <w:rsid w:val="00A73255"/>
    <w:rsid w:val="00A73306"/>
    <w:rsid w:val="00A7332D"/>
    <w:rsid w:val="00A73340"/>
    <w:rsid w:val="00A73361"/>
    <w:rsid w:val="00A7338E"/>
    <w:rsid w:val="00A734A3"/>
    <w:rsid w:val="00A73515"/>
    <w:rsid w:val="00A73544"/>
    <w:rsid w:val="00A73568"/>
    <w:rsid w:val="00A736A6"/>
    <w:rsid w:val="00A73724"/>
    <w:rsid w:val="00A73777"/>
    <w:rsid w:val="00A737E5"/>
    <w:rsid w:val="00A737EC"/>
    <w:rsid w:val="00A738F5"/>
    <w:rsid w:val="00A739F2"/>
    <w:rsid w:val="00A73A27"/>
    <w:rsid w:val="00A73A4E"/>
    <w:rsid w:val="00A73A51"/>
    <w:rsid w:val="00A73A7A"/>
    <w:rsid w:val="00A73BDD"/>
    <w:rsid w:val="00A73BFE"/>
    <w:rsid w:val="00A73C29"/>
    <w:rsid w:val="00A73CA0"/>
    <w:rsid w:val="00A73CBE"/>
    <w:rsid w:val="00A73CE5"/>
    <w:rsid w:val="00A73D09"/>
    <w:rsid w:val="00A73D39"/>
    <w:rsid w:val="00A73D4F"/>
    <w:rsid w:val="00A73D78"/>
    <w:rsid w:val="00A73D82"/>
    <w:rsid w:val="00A73EAC"/>
    <w:rsid w:val="00A73F37"/>
    <w:rsid w:val="00A73F74"/>
    <w:rsid w:val="00A73FF1"/>
    <w:rsid w:val="00A74071"/>
    <w:rsid w:val="00A74085"/>
    <w:rsid w:val="00A740A2"/>
    <w:rsid w:val="00A740A9"/>
    <w:rsid w:val="00A740AD"/>
    <w:rsid w:val="00A740F4"/>
    <w:rsid w:val="00A741C1"/>
    <w:rsid w:val="00A741C3"/>
    <w:rsid w:val="00A741F2"/>
    <w:rsid w:val="00A742EA"/>
    <w:rsid w:val="00A742EC"/>
    <w:rsid w:val="00A743A2"/>
    <w:rsid w:val="00A743F3"/>
    <w:rsid w:val="00A7449D"/>
    <w:rsid w:val="00A744B5"/>
    <w:rsid w:val="00A74557"/>
    <w:rsid w:val="00A74588"/>
    <w:rsid w:val="00A7462C"/>
    <w:rsid w:val="00A74654"/>
    <w:rsid w:val="00A746C7"/>
    <w:rsid w:val="00A746E2"/>
    <w:rsid w:val="00A74703"/>
    <w:rsid w:val="00A7477F"/>
    <w:rsid w:val="00A747E5"/>
    <w:rsid w:val="00A74843"/>
    <w:rsid w:val="00A74857"/>
    <w:rsid w:val="00A7486B"/>
    <w:rsid w:val="00A74873"/>
    <w:rsid w:val="00A748ED"/>
    <w:rsid w:val="00A74911"/>
    <w:rsid w:val="00A7491B"/>
    <w:rsid w:val="00A74962"/>
    <w:rsid w:val="00A7498E"/>
    <w:rsid w:val="00A7499D"/>
    <w:rsid w:val="00A749F0"/>
    <w:rsid w:val="00A74A27"/>
    <w:rsid w:val="00A74A57"/>
    <w:rsid w:val="00A74B13"/>
    <w:rsid w:val="00A74B19"/>
    <w:rsid w:val="00A74C6F"/>
    <w:rsid w:val="00A74C85"/>
    <w:rsid w:val="00A74CDB"/>
    <w:rsid w:val="00A74D10"/>
    <w:rsid w:val="00A74DD0"/>
    <w:rsid w:val="00A74E06"/>
    <w:rsid w:val="00A74E07"/>
    <w:rsid w:val="00A74E54"/>
    <w:rsid w:val="00A74EB7"/>
    <w:rsid w:val="00A74EC2"/>
    <w:rsid w:val="00A74ED4"/>
    <w:rsid w:val="00A74F0C"/>
    <w:rsid w:val="00A74F4D"/>
    <w:rsid w:val="00A74FD7"/>
    <w:rsid w:val="00A74FF9"/>
    <w:rsid w:val="00A7501A"/>
    <w:rsid w:val="00A7505E"/>
    <w:rsid w:val="00A75064"/>
    <w:rsid w:val="00A750F1"/>
    <w:rsid w:val="00A75157"/>
    <w:rsid w:val="00A75188"/>
    <w:rsid w:val="00A751E2"/>
    <w:rsid w:val="00A75246"/>
    <w:rsid w:val="00A75255"/>
    <w:rsid w:val="00A75271"/>
    <w:rsid w:val="00A75299"/>
    <w:rsid w:val="00A75309"/>
    <w:rsid w:val="00A7532F"/>
    <w:rsid w:val="00A75422"/>
    <w:rsid w:val="00A75427"/>
    <w:rsid w:val="00A75479"/>
    <w:rsid w:val="00A75481"/>
    <w:rsid w:val="00A75483"/>
    <w:rsid w:val="00A75496"/>
    <w:rsid w:val="00A754A2"/>
    <w:rsid w:val="00A754DE"/>
    <w:rsid w:val="00A75649"/>
    <w:rsid w:val="00A75728"/>
    <w:rsid w:val="00A7573B"/>
    <w:rsid w:val="00A75771"/>
    <w:rsid w:val="00A757FB"/>
    <w:rsid w:val="00A7581D"/>
    <w:rsid w:val="00A75845"/>
    <w:rsid w:val="00A7587B"/>
    <w:rsid w:val="00A7589E"/>
    <w:rsid w:val="00A758E0"/>
    <w:rsid w:val="00A759BF"/>
    <w:rsid w:val="00A75A1B"/>
    <w:rsid w:val="00A75A20"/>
    <w:rsid w:val="00A75A21"/>
    <w:rsid w:val="00A75ACB"/>
    <w:rsid w:val="00A75AF1"/>
    <w:rsid w:val="00A75B63"/>
    <w:rsid w:val="00A75B7C"/>
    <w:rsid w:val="00A75BD7"/>
    <w:rsid w:val="00A75BF3"/>
    <w:rsid w:val="00A75C1C"/>
    <w:rsid w:val="00A75C3F"/>
    <w:rsid w:val="00A75C78"/>
    <w:rsid w:val="00A75C80"/>
    <w:rsid w:val="00A75C89"/>
    <w:rsid w:val="00A75D04"/>
    <w:rsid w:val="00A75D7F"/>
    <w:rsid w:val="00A75D88"/>
    <w:rsid w:val="00A75D99"/>
    <w:rsid w:val="00A75D9D"/>
    <w:rsid w:val="00A75DCF"/>
    <w:rsid w:val="00A75EC0"/>
    <w:rsid w:val="00A75ED7"/>
    <w:rsid w:val="00A75F83"/>
    <w:rsid w:val="00A75FBC"/>
    <w:rsid w:val="00A75FD5"/>
    <w:rsid w:val="00A7600A"/>
    <w:rsid w:val="00A7603E"/>
    <w:rsid w:val="00A760A6"/>
    <w:rsid w:val="00A76123"/>
    <w:rsid w:val="00A76202"/>
    <w:rsid w:val="00A76255"/>
    <w:rsid w:val="00A76279"/>
    <w:rsid w:val="00A762FF"/>
    <w:rsid w:val="00A76328"/>
    <w:rsid w:val="00A76352"/>
    <w:rsid w:val="00A7639D"/>
    <w:rsid w:val="00A7641F"/>
    <w:rsid w:val="00A764CE"/>
    <w:rsid w:val="00A765BF"/>
    <w:rsid w:val="00A765CC"/>
    <w:rsid w:val="00A765F2"/>
    <w:rsid w:val="00A765FE"/>
    <w:rsid w:val="00A7668A"/>
    <w:rsid w:val="00A766B1"/>
    <w:rsid w:val="00A767C9"/>
    <w:rsid w:val="00A76849"/>
    <w:rsid w:val="00A76876"/>
    <w:rsid w:val="00A768B8"/>
    <w:rsid w:val="00A76973"/>
    <w:rsid w:val="00A769C4"/>
    <w:rsid w:val="00A769E4"/>
    <w:rsid w:val="00A76A13"/>
    <w:rsid w:val="00A76A62"/>
    <w:rsid w:val="00A76AA9"/>
    <w:rsid w:val="00A76AAE"/>
    <w:rsid w:val="00A76AFF"/>
    <w:rsid w:val="00A76B01"/>
    <w:rsid w:val="00A76B2B"/>
    <w:rsid w:val="00A76B3E"/>
    <w:rsid w:val="00A76B52"/>
    <w:rsid w:val="00A76BD5"/>
    <w:rsid w:val="00A76CFB"/>
    <w:rsid w:val="00A76D0D"/>
    <w:rsid w:val="00A76DE2"/>
    <w:rsid w:val="00A76E03"/>
    <w:rsid w:val="00A76E17"/>
    <w:rsid w:val="00A76F3D"/>
    <w:rsid w:val="00A76FED"/>
    <w:rsid w:val="00A77001"/>
    <w:rsid w:val="00A7705B"/>
    <w:rsid w:val="00A77079"/>
    <w:rsid w:val="00A770C9"/>
    <w:rsid w:val="00A770D5"/>
    <w:rsid w:val="00A770E9"/>
    <w:rsid w:val="00A7710C"/>
    <w:rsid w:val="00A77126"/>
    <w:rsid w:val="00A771BD"/>
    <w:rsid w:val="00A771F8"/>
    <w:rsid w:val="00A77223"/>
    <w:rsid w:val="00A77244"/>
    <w:rsid w:val="00A77258"/>
    <w:rsid w:val="00A7728B"/>
    <w:rsid w:val="00A77298"/>
    <w:rsid w:val="00A772BC"/>
    <w:rsid w:val="00A77323"/>
    <w:rsid w:val="00A77385"/>
    <w:rsid w:val="00A773F7"/>
    <w:rsid w:val="00A77409"/>
    <w:rsid w:val="00A77463"/>
    <w:rsid w:val="00A77470"/>
    <w:rsid w:val="00A774F3"/>
    <w:rsid w:val="00A775D9"/>
    <w:rsid w:val="00A775DC"/>
    <w:rsid w:val="00A7763A"/>
    <w:rsid w:val="00A7777C"/>
    <w:rsid w:val="00A777A0"/>
    <w:rsid w:val="00A777A1"/>
    <w:rsid w:val="00A777A6"/>
    <w:rsid w:val="00A777EC"/>
    <w:rsid w:val="00A777EE"/>
    <w:rsid w:val="00A777F7"/>
    <w:rsid w:val="00A77802"/>
    <w:rsid w:val="00A7781B"/>
    <w:rsid w:val="00A7783F"/>
    <w:rsid w:val="00A778FA"/>
    <w:rsid w:val="00A778FB"/>
    <w:rsid w:val="00A77906"/>
    <w:rsid w:val="00A779BC"/>
    <w:rsid w:val="00A779C7"/>
    <w:rsid w:val="00A779ED"/>
    <w:rsid w:val="00A77A22"/>
    <w:rsid w:val="00A77AAF"/>
    <w:rsid w:val="00A77B09"/>
    <w:rsid w:val="00A77B9C"/>
    <w:rsid w:val="00A77BA3"/>
    <w:rsid w:val="00A77BE6"/>
    <w:rsid w:val="00A77C14"/>
    <w:rsid w:val="00A77CC6"/>
    <w:rsid w:val="00A77D49"/>
    <w:rsid w:val="00A77E40"/>
    <w:rsid w:val="00A77E47"/>
    <w:rsid w:val="00A77E5F"/>
    <w:rsid w:val="00A77E69"/>
    <w:rsid w:val="00A77ECC"/>
    <w:rsid w:val="00A77FAD"/>
    <w:rsid w:val="00A77FCD"/>
    <w:rsid w:val="00A77FD7"/>
    <w:rsid w:val="00A77FEE"/>
    <w:rsid w:val="00A8003F"/>
    <w:rsid w:val="00A8005E"/>
    <w:rsid w:val="00A800C4"/>
    <w:rsid w:val="00A80137"/>
    <w:rsid w:val="00A801A8"/>
    <w:rsid w:val="00A801AB"/>
    <w:rsid w:val="00A8026A"/>
    <w:rsid w:val="00A802EE"/>
    <w:rsid w:val="00A803EE"/>
    <w:rsid w:val="00A8043E"/>
    <w:rsid w:val="00A80454"/>
    <w:rsid w:val="00A804B5"/>
    <w:rsid w:val="00A80510"/>
    <w:rsid w:val="00A8057F"/>
    <w:rsid w:val="00A805F6"/>
    <w:rsid w:val="00A80605"/>
    <w:rsid w:val="00A8067B"/>
    <w:rsid w:val="00A806F7"/>
    <w:rsid w:val="00A807F8"/>
    <w:rsid w:val="00A80861"/>
    <w:rsid w:val="00A8086F"/>
    <w:rsid w:val="00A80947"/>
    <w:rsid w:val="00A809CA"/>
    <w:rsid w:val="00A80A13"/>
    <w:rsid w:val="00A80ADF"/>
    <w:rsid w:val="00A80B04"/>
    <w:rsid w:val="00A80BA2"/>
    <w:rsid w:val="00A80BAE"/>
    <w:rsid w:val="00A80CAA"/>
    <w:rsid w:val="00A80CDF"/>
    <w:rsid w:val="00A80D6D"/>
    <w:rsid w:val="00A80DF2"/>
    <w:rsid w:val="00A80F85"/>
    <w:rsid w:val="00A80FD3"/>
    <w:rsid w:val="00A81042"/>
    <w:rsid w:val="00A81102"/>
    <w:rsid w:val="00A8115B"/>
    <w:rsid w:val="00A81169"/>
    <w:rsid w:val="00A8116E"/>
    <w:rsid w:val="00A8117E"/>
    <w:rsid w:val="00A81199"/>
    <w:rsid w:val="00A811D7"/>
    <w:rsid w:val="00A812B5"/>
    <w:rsid w:val="00A8130F"/>
    <w:rsid w:val="00A81320"/>
    <w:rsid w:val="00A8132D"/>
    <w:rsid w:val="00A81370"/>
    <w:rsid w:val="00A813AF"/>
    <w:rsid w:val="00A81436"/>
    <w:rsid w:val="00A81447"/>
    <w:rsid w:val="00A8152C"/>
    <w:rsid w:val="00A8158A"/>
    <w:rsid w:val="00A815AC"/>
    <w:rsid w:val="00A815C4"/>
    <w:rsid w:val="00A81652"/>
    <w:rsid w:val="00A81664"/>
    <w:rsid w:val="00A81687"/>
    <w:rsid w:val="00A816ED"/>
    <w:rsid w:val="00A816F6"/>
    <w:rsid w:val="00A8171A"/>
    <w:rsid w:val="00A817BC"/>
    <w:rsid w:val="00A817F8"/>
    <w:rsid w:val="00A818D5"/>
    <w:rsid w:val="00A81912"/>
    <w:rsid w:val="00A81923"/>
    <w:rsid w:val="00A81932"/>
    <w:rsid w:val="00A81975"/>
    <w:rsid w:val="00A819A2"/>
    <w:rsid w:val="00A819A5"/>
    <w:rsid w:val="00A819AD"/>
    <w:rsid w:val="00A819CE"/>
    <w:rsid w:val="00A819DC"/>
    <w:rsid w:val="00A819F8"/>
    <w:rsid w:val="00A81AA3"/>
    <w:rsid w:val="00A81AA7"/>
    <w:rsid w:val="00A81AB7"/>
    <w:rsid w:val="00A81AEC"/>
    <w:rsid w:val="00A81B6D"/>
    <w:rsid w:val="00A81BA1"/>
    <w:rsid w:val="00A81BBE"/>
    <w:rsid w:val="00A81C0C"/>
    <w:rsid w:val="00A81C16"/>
    <w:rsid w:val="00A81C24"/>
    <w:rsid w:val="00A81C51"/>
    <w:rsid w:val="00A81C57"/>
    <w:rsid w:val="00A81C63"/>
    <w:rsid w:val="00A81C64"/>
    <w:rsid w:val="00A81CB7"/>
    <w:rsid w:val="00A81DD1"/>
    <w:rsid w:val="00A81DED"/>
    <w:rsid w:val="00A81DFA"/>
    <w:rsid w:val="00A81E1A"/>
    <w:rsid w:val="00A81E74"/>
    <w:rsid w:val="00A81E96"/>
    <w:rsid w:val="00A81EA2"/>
    <w:rsid w:val="00A81EFC"/>
    <w:rsid w:val="00A81F0B"/>
    <w:rsid w:val="00A81F10"/>
    <w:rsid w:val="00A81F28"/>
    <w:rsid w:val="00A81F43"/>
    <w:rsid w:val="00A81FBA"/>
    <w:rsid w:val="00A81FDC"/>
    <w:rsid w:val="00A8208C"/>
    <w:rsid w:val="00A82131"/>
    <w:rsid w:val="00A821F9"/>
    <w:rsid w:val="00A82258"/>
    <w:rsid w:val="00A822A2"/>
    <w:rsid w:val="00A822DB"/>
    <w:rsid w:val="00A823B8"/>
    <w:rsid w:val="00A823E1"/>
    <w:rsid w:val="00A82420"/>
    <w:rsid w:val="00A82439"/>
    <w:rsid w:val="00A8244F"/>
    <w:rsid w:val="00A82482"/>
    <w:rsid w:val="00A824AD"/>
    <w:rsid w:val="00A824AE"/>
    <w:rsid w:val="00A82598"/>
    <w:rsid w:val="00A825AA"/>
    <w:rsid w:val="00A82617"/>
    <w:rsid w:val="00A82698"/>
    <w:rsid w:val="00A82704"/>
    <w:rsid w:val="00A8273D"/>
    <w:rsid w:val="00A827EA"/>
    <w:rsid w:val="00A8289F"/>
    <w:rsid w:val="00A8294B"/>
    <w:rsid w:val="00A82974"/>
    <w:rsid w:val="00A829A4"/>
    <w:rsid w:val="00A829A9"/>
    <w:rsid w:val="00A829B6"/>
    <w:rsid w:val="00A82A38"/>
    <w:rsid w:val="00A82B9F"/>
    <w:rsid w:val="00A82C51"/>
    <w:rsid w:val="00A82C9A"/>
    <w:rsid w:val="00A82D4A"/>
    <w:rsid w:val="00A82D8E"/>
    <w:rsid w:val="00A82DDC"/>
    <w:rsid w:val="00A82DFA"/>
    <w:rsid w:val="00A82EBA"/>
    <w:rsid w:val="00A82ED2"/>
    <w:rsid w:val="00A82F84"/>
    <w:rsid w:val="00A831D0"/>
    <w:rsid w:val="00A8323A"/>
    <w:rsid w:val="00A8324E"/>
    <w:rsid w:val="00A83263"/>
    <w:rsid w:val="00A83286"/>
    <w:rsid w:val="00A83417"/>
    <w:rsid w:val="00A834A4"/>
    <w:rsid w:val="00A8351D"/>
    <w:rsid w:val="00A8352C"/>
    <w:rsid w:val="00A83595"/>
    <w:rsid w:val="00A835E6"/>
    <w:rsid w:val="00A83606"/>
    <w:rsid w:val="00A8364B"/>
    <w:rsid w:val="00A8367C"/>
    <w:rsid w:val="00A836BB"/>
    <w:rsid w:val="00A836E5"/>
    <w:rsid w:val="00A83795"/>
    <w:rsid w:val="00A837F9"/>
    <w:rsid w:val="00A83836"/>
    <w:rsid w:val="00A83864"/>
    <w:rsid w:val="00A83891"/>
    <w:rsid w:val="00A838C9"/>
    <w:rsid w:val="00A83917"/>
    <w:rsid w:val="00A83920"/>
    <w:rsid w:val="00A8392A"/>
    <w:rsid w:val="00A83963"/>
    <w:rsid w:val="00A83A02"/>
    <w:rsid w:val="00A83A65"/>
    <w:rsid w:val="00A83A9D"/>
    <w:rsid w:val="00A83B14"/>
    <w:rsid w:val="00A83B34"/>
    <w:rsid w:val="00A83B88"/>
    <w:rsid w:val="00A83BE2"/>
    <w:rsid w:val="00A83C0A"/>
    <w:rsid w:val="00A83C47"/>
    <w:rsid w:val="00A83C6E"/>
    <w:rsid w:val="00A83CA4"/>
    <w:rsid w:val="00A83CAA"/>
    <w:rsid w:val="00A83CB7"/>
    <w:rsid w:val="00A83CE8"/>
    <w:rsid w:val="00A83D07"/>
    <w:rsid w:val="00A83D51"/>
    <w:rsid w:val="00A83E06"/>
    <w:rsid w:val="00A83E60"/>
    <w:rsid w:val="00A83EF7"/>
    <w:rsid w:val="00A83EFD"/>
    <w:rsid w:val="00A83F7D"/>
    <w:rsid w:val="00A83F95"/>
    <w:rsid w:val="00A83FBA"/>
    <w:rsid w:val="00A84035"/>
    <w:rsid w:val="00A84051"/>
    <w:rsid w:val="00A8405E"/>
    <w:rsid w:val="00A8405F"/>
    <w:rsid w:val="00A8409C"/>
    <w:rsid w:val="00A840B2"/>
    <w:rsid w:val="00A840F2"/>
    <w:rsid w:val="00A84154"/>
    <w:rsid w:val="00A8415E"/>
    <w:rsid w:val="00A84165"/>
    <w:rsid w:val="00A8416E"/>
    <w:rsid w:val="00A84172"/>
    <w:rsid w:val="00A841E5"/>
    <w:rsid w:val="00A84203"/>
    <w:rsid w:val="00A8423A"/>
    <w:rsid w:val="00A84241"/>
    <w:rsid w:val="00A84276"/>
    <w:rsid w:val="00A842BB"/>
    <w:rsid w:val="00A8433C"/>
    <w:rsid w:val="00A84364"/>
    <w:rsid w:val="00A84423"/>
    <w:rsid w:val="00A844B8"/>
    <w:rsid w:val="00A844BE"/>
    <w:rsid w:val="00A844EF"/>
    <w:rsid w:val="00A8450F"/>
    <w:rsid w:val="00A84554"/>
    <w:rsid w:val="00A84609"/>
    <w:rsid w:val="00A84640"/>
    <w:rsid w:val="00A84706"/>
    <w:rsid w:val="00A8470A"/>
    <w:rsid w:val="00A8477B"/>
    <w:rsid w:val="00A847AD"/>
    <w:rsid w:val="00A8483B"/>
    <w:rsid w:val="00A8483C"/>
    <w:rsid w:val="00A84853"/>
    <w:rsid w:val="00A848B4"/>
    <w:rsid w:val="00A848BC"/>
    <w:rsid w:val="00A849B9"/>
    <w:rsid w:val="00A84A2B"/>
    <w:rsid w:val="00A84A63"/>
    <w:rsid w:val="00A84A78"/>
    <w:rsid w:val="00A84A97"/>
    <w:rsid w:val="00A84ACB"/>
    <w:rsid w:val="00A84AFC"/>
    <w:rsid w:val="00A84B0C"/>
    <w:rsid w:val="00A84B19"/>
    <w:rsid w:val="00A84B5C"/>
    <w:rsid w:val="00A84C1F"/>
    <w:rsid w:val="00A84C40"/>
    <w:rsid w:val="00A84C4C"/>
    <w:rsid w:val="00A84CDB"/>
    <w:rsid w:val="00A84D05"/>
    <w:rsid w:val="00A84D4D"/>
    <w:rsid w:val="00A84DE0"/>
    <w:rsid w:val="00A84E5E"/>
    <w:rsid w:val="00A84E67"/>
    <w:rsid w:val="00A84EA8"/>
    <w:rsid w:val="00A84F14"/>
    <w:rsid w:val="00A84F30"/>
    <w:rsid w:val="00A84F42"/>
    <w:rsid w:val="00A84F5A"/>
    <w:rsid w:val="00A84F73"/>
    <w:rsid w:val="00A84FD8"/>
    <w:rsid w:val="00A84FEC"/>
    <w:rsid w:val="00A850FC"/>
    <w:rsid w:val="00A85170"/>
    <w:rsid w:val="00A851AF"/>
    <w:rsid w:val="00A85238"/>
    <w:rsid w:val="00A85254"/>
    <w:rsid w:val="00A852E8"/>
    <w:rsid w:val="00A85324"/>
    <w:rsid w:val="00A8543F"/>
    <w:rsid w:val="00A85526"/>
    <w:rsid w:val="00A8558F"/>
    <w:rsid w:val="00A855B6"/>
    <w:rsid w:val="00A85698"/>
    <w:rsid w:val="00A856EE"/>
    <w:rsid w:val="00A8573C"/>
    <w:rsid w:val="00A85769"/>
    <w:rsid w:val="00A857C8"/>
    <w:rsid w:val="00A857FF"/>
    <w:rsid w:val="00A8581B"/>
    <w:rsid w:val="00A8582D"/>
    <w:rsid w:val="00A85849"/>
    <w:rsid w:val="00A858E0"/>
    <w:rsid w:val="00A85901"/>
    <w:rsid w:val="00A85980"/>
    <w:rsid w:val="00A85A96"/>
    <w:rsid w:val="00A85ADC"/>
    <w:rsid w:val="00A85B29"/>
    <w:rsid w:val="00A85B53"/>
    <w:rsid w:val="00A85B6B"/>
    <w:rsid w:val="00A85CE5"/>
    <w:rsid w:val="00A85D10"/>
    <w:rsid w:val="00A85D36"/>
    <w:rsid w:val="00A85D43"/>
    <w:rsid w:val="00A85D99"/>
    <w:rsid w:val="00A85DAF"/>
    <w:rsid w:val="00A85DC1"/>
    <w:rsid w:val="00A85E07"/>
    <w:rsid w:val="00A85E35"/>
    <w:rsid w:val="00A85E3E"/>
    <w:rsid w:val="00A85E62"/>
    <w:rsid w:val="00A85E72"/>
    <w:rsid w:val="00A85EA1"/>
    <w:rsid w:val="00A86027"/>
    <w:rsid w:val="00A86087"/>
    <w:rsid w:val="00A860B1"/>
    <w:rsid w:val="00A8610B"/>
    <w:rsid w:val="00A861E3"/>
    <w:rsid w:val="00A8623A"/>
    <w:rsid w:val="00A86274"/>
    <w:rsid w:val="00A862E9"/>
    <w:rsid w:val="00A862F0"/>
    <w:rsid w:val="00A86380"/>
    <w:rsid w:val="00A864BD"/>
    <w:rsid w:val="00A864FA"/>
    <w:rsid w:val="00A86500"/>
    <w:rsid w:val="00A86532"/>
    <w:rsid w:val="00A865E1"/>
    <w:rsid w:val="00A865E8"/>
    <w:rsid w:val="00A865EE"/>
    <w:rsid w:val="00A86641"/>
    <w:rsid w:val="00A86691"/>
    <w:rsid w:val="00A866A8"/>
    <w:rsid w:val="00A86797"/>
    <w:rsid w:val="00A867C8"/>
    <w:rsid w:val="00A867D1"/>
    <w:rsid w:val="00A867DF"/>
    <w:rsid w:val="00A86834"/>
    <w:rsid w:val="00A8683E"/>
    <w:rsid w:val="00A8686A"/>
    <w:rsid w:val="00A86892"/>
    <w:rsid w:val="00A868E5"/>
    <w:rsid w:val="00A869CB"/>
    <w:rsid w:val="00A869DC"/>
    <w:rsid w:val="00A869F2"/>
    <w:rsid w:val="00A86A4D"/>
    <w:rsid w:val="00A86A8A"/>
    <w:rsid w:val="00A86B44"/>
    <w:rsid w:val="00A86B48"/>
    <w:rsid w:val="00A86B90"/>
    <w:rsid w:val="00A86BA3"/>
    <w:rsid w:val="00A86BB8"/>
    <w:rsid w:val="00A86BC2"/>
    <w:rsid w:val="00A86C55"/>
    <w:rsid w:val="00A86C65"/>
    <w:rsid w:val="00A86C80"/>
    <w:rsid w:val="00A86D52"/>
    <w:rsid w:val="00A86D6A"/>
    <w:rsid w:val="00A86DC7"/>
    <w:rsid w:val="00A86DDA"/>
    <w:rsid w:val="00A86DF7"/>
    <w:rsid w:val="00A86F36"/>
    <w:rsid w:val="00A86FEA"/>
    <w:rsid w:val="00A8702E"/>
    <w:rsid w:val="00A8707F"/>
    <w:rsid w:val="00A870B8"/>
    <w:rsid w:val="00A870C6"/>
    <w:rsid w:val="00A870D9"/>
    <w:rsid w:val="00A870F5"/>
    <w:rsid w:val="00A8712B"/>
    <w:rsid w:val="00A87188"/>
    <w:rsid w:val="00A871B4"/>
    <w:rsid w:val="00A871DA"/>
    <w:rsid w:val="00A872ED"/>
    <w:rsid w:val="00A872F7"/>
    <w:rsid w:val="00A8733F"/>
    <w:rsid w:val="00A87405"/>
    <w:rsid w:val="00A87476"/>
    <w:rsid w:val="00A87483"/>
    <w:rsid w:val="00A874A5"/>
    <w:rsid w:val="00A874E7"/>
    <w:rsid w:val="00A87524"/>
    <w:rsid w:val="00A8752A"/>
    <w:rsid w:val="00A87582"/>
    <w:rsid w:val="00A875B4"/>
    <w:rsid w:val="00A875CE"/>
    <w:rsid w:val="00A875D6"/>
    <w:rsid w:val="00A8760A"/>
    <w:rsid w:val="00A87698"/>
    <w:rsid w:val="00A87790"/>
    <w:rsid w:val="00A87796"/>
    <w:rsid w:val="00A877DC"/>
    <w:rsid w:val="00A8786B"/>
    <w:rsid w:val="00A878C6"/>
    <w:rsid w:val="00A879CB"/>
    <w:rsid w:val="00A87A14"/>
    <w:rsid w:val="00A87A45"/>
    <w:rsid w:val="00A87B3F"/>
    <w:rsid w:val="00A87B6E"/>
    <w:rsid w:val="00A87BD6"/>
    <w:rsid w:val="00A87C86"/>
    <w:rsid w:val="00A87CC4"/>
    <w:rsid w:val="00A87D05"/>
    <w:rsid w:val="00A87D62"/>
    <w:rsid w:val="00A87D78"/>
    <w:rsid w:val="00A87DA2"/>
    <w:rsid w:val="00A87DFD"/>
    <w:rsid w:val="00A87E26"/>
    <w:rsid w:val="00A87E37"/>
    <w:rsid w:val="00A87E3B"/>
    <w:rsid w:val="00A87EA3"/>
    <w:rsid w:val="00A87EE7"/>
    <w:rsid w:val="00A87F28"/>
    <w:rsid w:val="00A87F45"/>
    <w:rsid w:val="00A87F4B"/>
    <w:rsid w:val="00A9000D"/>
    <w:rsid w:val="00A9002D"/>
    <w:rsid w:val="00A90068"/>
    <w:rsid w:val="00A90160"/>
    <w:rsid w:val="00A9016F"/>
    <w:rsid w:val="00A9017E"/>
    <w:rsid w:val="00A901B8"/>
    <w:rsid w:val="00A90315"/>
    <w:rsid w:val="00A9033B"/>
    <w:rsid w:val="00A90382"/>
    <w:rsid w:val="00A90399"/>
    <w:rsid w:val="00A903D7"/>
    <w:rsid w:val="00A90523"/>
    <w:rsid w:val="00A9052A"/>
    <w:rsid w:val="00A905B7"/>
    <w:rsid w:val="00A905C3"/>
    <w:rsid w:val="00A905EC"/>
    <w:rsid w:val="00A90603"/>
    <w:rsid w:val="00A9060C"/>
    <w:rsid w:val="00A90613"/>
    <w:rsid w:val="00A90650"/>
    <w:rsid w:val="00A90668"/>
    <w:rsid w:val="00A9067A"/>
    <w:rsid w:val="00A90775"/>
    <w:rsid w:val="00A907DA"/>
    <w:rsid w:val="00A907F6"/>
    <w:rsid w:val="00A90801"/>
    <w:rsid w:val="00A908E6"/>
    <w:rsid w:val="00A908FA"/>
    <w:rsid w:val="00A90A1E"/>
    <w:rsid w:val="00A90A22"/>
    <w:rsid w:val="00A90A6A"/>
    <w:rsid w:val="00A90A78"/>
    <w:rsid w:val="00A90A82"/>
    <w:rsid w:val="00A90A86"/>
    <w:rsid w:val="00A90AA2"/>
    <w:rsid w:val="00A90AB8"/>
    <w:rsid w:val="00A90ACA"/>
    <w:rsid w:val="00A90B03"/>
    <w:rsid w:val="00A90B20"/>
    <w:rsid w:val="00A90B3A"/>
    <w:rsid w:val="00A90BBB"/>
    <w:rsid w:val="00A90C8C"/>
    <w:rsid w:val="00A90C93"/>
    <w:rsid w:val="00A90CDF"/>
    <w:rsid w:val="00A90CEF"/>
    <w:rsid w:val="00A90E69"/>
    <w:rsid w:val="00A90E97"/>
    <w:rsid w:val="00A90EEC"/>
    <w:rsid w:val="00A90F52"/>
    <w:rsid w:val="00A90F5A"/>
    <w:rsid w:val="00A90F98"/>
    <w:rsid w:val="00A90F9C"/>
    <w:rsid w:val="00A90FB1"/>
    <w:rsid w:val="00A90FC3"/>
    <w:rsid w:val="00A90FEA"/>
    <w:rsid w:val="00A9106F"/>
    <w:rsid w:val="00A91079"/>
    <w:rsid w:val="00A910C8"/>
    <w:rsid w:val="00A9115E"/>
    <w:rsid w:val="00A911C3"/>
    <w:rsid w:val="00A91307"/>
    <w:rsid w:val="00A91368"/>
    <w:rsid w:val="00A91388"/>
    <w:rsid w:val="00A913E9"/>
    <w:rsid w:val="00A91414"/>
    <w:rsid w:val="00A914BD"/>
    <w:rsid w:val="00A91518"/>
    <w:rsid w:val="00A915BC"/>
    <w:rsid w:val="00A915C8"/>
    <w:rsid w:val="00A91631"/>
    <w:rsid w:val="00A916BA"/>
    <w:rsid w:val="00A91701"/>
    <w:rsid w:val="00A91717"/>
    <w:rsid w:val="00A9174B"/>
    <w:rsid w:val="00A91756"/>
    <w:rsid w:val="00A91761"/>
    <w:rsid w:val="00A9176D"/>
    <w:rsid w:val="00A9181C"/>
    <w:rsid w:val="00A91842"/>
    <w:rsid w:val="00A919EC"/>
    <w:rsid w:val="00A91A11"/>
    <w:rsid w:val="00A91A22"/>
    <w:rsid w:val="00A91A78"/>
    <w:rsid w:val="00A91AC7"/>
    <w:rsid w:val="00A91AD6"/>
    <w:rsid w:val="00A91B39"/>
    <w:rsid w:val="00A91B7B"/>
    <w:rsid w:val="00A91B7C"/>
    <w:rsid w:val="00A91BEC"/>
    <w:rsid w:val="00A91CAD"/>
    <w:rsid w:val="00A91D3A"/>
    <w:rsid w:val="00A91DD8"/>
    <w:rsid w:val="00A91DF5"/>
    <w:rsid w:val="00A91E44"/>
    <w:rsid w:val="00A91EA3"/>
    <w:rsid w:val="00A91F65"/>
    <w:rsid w:val="00A91FAC"/>
    <w:rsid w:val="00A91FAF"/>
    <w:rsid w:val="00A91FB4"/>
    <w:rsid w:val="00A91FCF"/>
    <w:rsid w:val="00A91FFC"/>
    <w:rsid w:val="00A92075"/>
    <w:rsid w:val="00A920D7"/>
    <w:rsid w:val="00A92110"/>
    <w:rsid w:val="00A92113"/>
    <w:rsid w:val="00A9211F"/>
    <w:rsid w:val="00A922A9"/>
    <w:rsid w:val="00A922BC"/>
    <w:rsid w:val="00A922CC"/>
    <w:rsid w:val="00A92367"/>
    <w:rsid w:val="00A923A3"/>
    <w:rsid w:val="00A923A4"/>
    <w:rsid w:val="00A923FD"/>
    <w:rsid w:val="00A92486"/>
    <w:rsid w:val="00A924B7"/>
    <w:rsid w:val="00A925A4"/>
    <w:rsid w:val="00A925BA"/>
    <w:rsid w:val="00A92634"/>
    <w:rsid w:val="00A926A4"/>
    <w:rsid w:val="00A92736"/>
    <w:rsid w:val="00A92762"/>
    <w:rsid w:val="00A92770"/>
    <w:rsid w:val="00A927AA"/>
    <w:rsid w:val="00A927EC"/>
    <w:rsid w:val="00A92878"/>
    <w:rsid w:val="00A928A4"/>
    <w:rsid w:val="00A928F9"/>
    <w:rsid w:val="00A92948"/>
    <w:rsid w:val="00A92966"/>
    <w:rsid w:val="00A929A3"/>
    <w:rsid w:val="00A929EA"/>
    <w:rsid w:val="00A92A43"/>
    <w:rsid w:val="00A92B05"/>
    <w:rsid w:val="00A92B75"/>
    <w:rsid w:val="00A92B9C"/>
    <w:rsid w:val="00A92BC1"/>
    <w:rsid w:val="00A92C71"/>
    <w:rsid w:val="00A92C90"/>
    <w:rsid w:val="00A92CF1"/>
    <w:rsid w:val="00A92D45"/>
    <w:rsid w:val="00A92F37"/>
    <w:rsid w:val="00A92FD7"/>
    <w:rsid w:val="00A92FF5"/>
    <w:rsid w:val="00A930D0"/>
    <w:rsid w:val="00A93124"/>
    <w:rsid w:val="00A9314F"/>
    <w:rsid w:val="00A93187"/>
    <w:rsid w:val="00A933A8"/>
    <w:rsid w:val="00A933A9"/>
    <w:rsid w:val="00A933BA"/>
    <w:rsid w:val="00A93400"/>
    <w:rsid w:val="00A9343C"/>
    <w:rsid w:val="00A9346F"/>
    <w:rsid w:val="00A934E9"/>
    <w:rsid w:val="00A934FC"/>
    <w:rsid w:val="00A935E0"/>
    <w:rsid w:val="00A935EF"/>
    <w:rsid w:val="00A9360E"/>
    <w:rsid w:val="00A936A7"/>
    <w:rsid w:val="00A93733"/>
    <w:rsid w:val="00A93787"/>
    <w:rsid w:val="00A937CA"/>
    <w:rsid w:val="00A937D1"/>
    <w:rsid w:val="00A937DE"/>
    <w:rsid w:val="00A93808"/>
    <w:rsid w:val="00A938B0"/>
    <w:rsid w:val="00A9393B"/>
    <w:rsid w:val="00A939A8"/>
    <w:rsid w:val="00A939CD"/>
    <w:rsid w:val="00A939E7"/>
    <w:rsid w:val="00A93A3A"/>
    <w:rsid w:val="00A93A6B"/>
    <w:rsid w:val="00A93A85"/>
    <w:rsid w:val="00A93AE1"/>
    <w:rsid w:val="00A93B44"/>
    <w:rsid w:val="00A93C11"/>
    <w:rsid w:val="00A93CA2"/>
    <w:rsid w:val="00A93CD9"/>
    <w:rsid w:val="00A93D2C"/>
    <w:rsid w:val="00A93D86"/>
    <w:rsid w:val="00A93DE5"/>
    <w:rsid w:val="00A93E24"/>
    <w:rsid w:val="00A93E2E"/>
    <w:rsid w:val="00A93E34"/>
    <w:rsid w:val="00A93E81"/>
    <w:rsid w:val="00A93EB0"/>
    <w:rsid w:val="00A93EBE"/>
    <w:rsid w:val="00A93ECB"/>
    <w:rsid w:val="00A93F4E"/>
    <w:rsid w:val="00A93F7F"/>
    <w:rsid w:val="00A93FAF"/>
    <w:rsid w:val="00A93FE7"/>
    <w:rsid w:val="00A9402D"/>
    <w:rsid w:val="00A940A8"/>
    <w:rsid w:val="00A940D8"/>
    <w:rsid w:val="00A94111"/>
    <w:rsid w:val="00A941FF"/>
    <w:rsid w:val="00A94252"/>
    <w:rsid w:val="00A94267"/>
    <w:rsid w:val="00A942E3"/>
    <w:rsid w:val="00A9437E"/>
    <w:rsid w:val="00A94383"/>
    <w:rsid w:val="00A9441B"/>
    <w:rsid w:val="00A94428"/>
    <w:rsid w:val="00A94449"/>
    <w:rsid w:val="00A9449C"/>
    <w:rsid w:val="00A944CF"/>
    <w:rsid w:val="00A9457B"/>
    <w:rsid w:val="00A94596"/>
    <w:rsid w:val="00A945D7"/>
    <w:rsid w:val="00A9460A"/>
    <w:rsid w:val="00A94615"/>
    <w:rsid w:val="00A94670"/>
    <w:rsid w:val="00A946A6"/>
    <w:rsid w:val="00A94718"/>
    <w:rsid w:val="00A94736"/>
    <w:rsid w:val="00A9473E"/>
    <w:rsid w:val="00A947F5"/>
    <w:rsid w:val="00A94861"/>
    <w:rsid w:val="00A94912"/>
    <w:rsid w:val="00A94917"/>
    <w:rsid w:val="00A94937"/>
    <w:rsid w:val="00A94964"/>
    <w:rsid w:val="00A949A8"/>
    <w:rsid w:val="00A949E3"/>
    <w:rsid w:val="00A94A1A"/>
    <w:rsid w:val="00A94A21"/>
    <w:rsid w:val="00A94A2F"/>
    <w:rsid w:val="00A94A6D"/>
    <w:rsid w:val="00A94A83"/>
    <w:rsid w:val="00A94AAF"/>
    <w:rsid w:val="00A94AEA"/>
    <w:rsid w:val="00A94B30"/>
    <w:rsid w:val="00A94C4A"/>
    <w:rsid w:val="00A94D18"/>
    <w:rsid w:val="00A94D22"/>
    <w:rsid w:val="00A94D26"/>
    <w:rsid w:val="00A94D5D"/>
    <w:rsid w:val="00A94D85"/>
    <w:rsid w:val="00A94DF6"/>
    <w:rsid w:val="00A94E8C"/>
    <w:rsid w:val="00A94EBE"/>
    <w:rsid w:val="00A94EDF"/>
    <w:rsid w:val="00A94EE2"/>
    <w:rsid w:val="00A94F7E"/>
    <w:rsid w:val="00A94FF6"/>
    <w:rsid w:val="00A9502C"/>
    <w:rsid w:val="00A950AB"/>
    <w:rsid w:val="00A950DC"/>
    <w:rsid w:val="00A9514D"/>
    <w:rsid w:val="00A9521B"/>
    <w:rsid w:val="00A95258"/>
    <w:rsid w:val="00A95295"/>
    <w:rsid w:val="00A95354"/>
    <w:rsid w:val="00A953EF"/>
    <w:rsid w:val="00A954AD"/>
    <w:rsid w:val="00A954CB"/>
    <w:rsid w:val="00A95672"/>
    <w:rsid w:val="00A956BA"/>
    <w:rsid w:val="00A956EE"/>
    <w:rsid w:val="00A956FD"/>
    <w:rsid w:val="00A95738"/>
    <w:rsid w:val="00A958D5"/>
    <w:rsid w:val="00A958E2"/>
    <w:rsid w:val="00A958EC"/>
    <w:rsid w:val="00A958FE"/>
    <w:rsid w:val="00A9590C"/>
    <w:rsid w:val="00A9592E"/>
    <w:rsid w:val="00A959E8"/>
    <w:rsid w:val="00A959F3"/>
    <w:rsid w:val="00A95A0E"/>
    <w:rsid w:val="00A95A9C"/>
    <w:rsid w:val="00A95AEB"/>
    <w:rsid w:val="00A95BB3"/>
    <w:rsid w:val="00A95C4C"/>
    <w:rsid w:val="00A95C52"/>
    <w:rsid w:val="00A95CF0"/>
    <w:rsid w:val="00A95CF7"/>
    <w:rsid w:val="00A95CFD"/>
    <w:rsid w:val="00A95D51"/>
    <w:rsid w:val="00A95DB0"/>
    <w:rsid w:val="00A95DCB"/>
    <w:rsid w:val="00A95DF7"/>
    <w:rsid w:val="00A95E0C"/>
    <w:rsid w:val="00A95E8D"/>
    <w:rsid w:val="00A95E98"/>
    <w:rsid w:val="00A95EB2"/>
    <w:rsid w:val="00A95F3A"/>
    <w:rsid w:val="00A95F95"/>
    <w:rsid w:val="00A96024"/>
    <w:rsid w:val="00A9609B"/>
    <w:rsid w:val="00A960A4"/>
    <w:rsid w:val="00A96284"/>
    <w:rsid w:val="00A962DB"/>
    <w:rsid w:val="00A962E5"/>
    <w:rsid w:val="00A96315"/>
    <w:rsid w:val="00A96342"/>
    <w:rsid w:val="00A96371"/>
    <w:rsid w:val="00A963AC"/>
    <w:rsid w:val="00A964BE"/>
    <w:rsid w:val="00A964E6"/>
    <w:rsid w:val="00A965BD"/>
    <w:rsid w:val="00A965C3"/>
    <w:rsid w:val="00A965D1"/>
    <w:rsid w:val="00A96602"/>
    <w:rsid w:val="00A9668F"/>
    <w:rsid w:val="00A966AE"/>
    <w:rsid w:val="00A966B0"/>
    <w:rsid w:val="00A966F9"/>
    <w:rsid w:val="00A96725"/>
    <w:rsid w:val="00A96790"/>
    <w:rsid w:val="00A96803"/>
    <w:rsid w:val="00A96867"/>
    <w:rsid w:val="00A9687F"/>
    <w:rsid w:val="00A9688C"/>
    <w:rsid w:val="00A968C7"/>
    <w:rsid w:val="00A968ED"/>
    <w:rsid w:val="00A96940"/>
    <w:rsid w:val="00A9697D"/>
    <w:rsid w:val="00A969AE"/>
    <w:rsid w:val="00A969CF"/>
    <w:rsid w:val="00A969E4"/>
    <w:rsid w:val="00A96A07"/>
    <w:rsid w:val="00A96A8B"/>
    <w:rsid w:val="00A96AB8"/>
    <w:rsid w:val="00A96AC5"/>
    <w:rsid w:val="00A96AD2"/>
    <w:rsid w:val="00A96B1C"/>
    <w:rsid w:val="00A96B1D"/>
    <w:rsid w:val="00A96B27"/>
    <w:rsid w:val="00A96B2B"/>
    <w:rsid w:val="00A96B39"/>
    <w:rsid w:val="00A96B9D"/>
    <w:rsid w:val="00A96BB7"/>
    <w:rsid w:val="00A96BC7"/>
    <w:rsid w:val="00A96BCB"/>
    <w:rsid w:val="00A96BE6"/>
    <w:rsid w:val="00A96D11"/>
    <w:rsid w:val="00A96D9D"/>
    <w:rsid w:val="00A96DBA"/>
    <w:rsid w:val="00A96DCC"/>
    <w:rsid w:val="00A96F33"/>
    <w:rsid w:val="00A9700E"/>
    <w:rsid w:val="00A97012"/>
    <w:rsid w:val="00A9708C"/>
    <w:rsid w:val="00A9711A"/>
    <w:rsid w:val="00A9712B"/>
    <w:rsid w:val="00A971EE"/>
    <w:rsid w:val="00A97323"/>
    <w:rsid w:val="00A973CD"/>
    <w:rsid w:val="00A9744C"/>
    <w:rsid w:val="00A9748B"/>
    <w:rsid w:val="00A9753D"/>
    <w:rsid w:val="00A9755F"/>
    <w:rsid w:val="00A9759F"/>
    <w:rsid w:val="00A975BC"/>
    <w:rsid w:val="00A9760A"/>
    <w:rsid w:val="00A9761D"/>
    <w:rsid w:val="00A977CA"/>
    <w:rsid w:val="00A97861"/>
    <w:rsid w:val="00A97890"/>
    <w:rsid w:val="00A97893"/>
    <w:rsid w:val="00A978B9"/>
    <w:rsid w:val="00A978F9"/>
    <w:rsid w:val="00A97929"/>
    <w:rsid w:val="00A97992"/>
    <w:rsid w:val="00A979B9"/>
    <w:rsid w:val="00A97A01"/>
    <w:rsid w:val="00A97A0A"/>
    <w:rsid w:val="00A97A85"/>
    <w:rsid w:val="00A97AE7"/>
    <w:rsid w:val="00A97B0A"/>
    <w:rsid w:val="00A97B40"/>
    <w:rsid w:val="00A97BDE"/>
    <w:rsid w:val="00A97CC9"/>
    <w:rsid w:val="00A97DC5"/>
    <w:rsid w:val="00A97DF0"/>
    <w:rsid w:val="00A97DF6"/>
    <w:rsid w:val="00A97E0C"/>
    <w:rsid w:val="00A97EAA"/>
    <w:rsid w:val="00A97F47"/>
    <w:rsid w:val="00A97F59"/>
    <w:rsid w:val="00A97FBB"/>
    <w:rsid w:val="00AA000F"/>
    <w:rsid w:val="00AA0097"/>
    <w:rsid w:val="00AA012E"/>
    <w:rsid w:val="00AA01DD"/>
    <w:rsid w:val="00AA022D"/>
    <w:rsid w:val="00AA02F9"/>
    <w:rsid w:val="00AA031C"/>
    <w:rsid w:val="00AA0324"/>
    <w:rsid w:val="00AA0362"/>
    <w:rsid w:val="00AA03AA"/>
    <w:rsid w:val="00AA03FA"/>
    <w:rsid w:val="00AA04C6"/>
    <w:rsid w:val="00AA0512"/>
    <w:rsid w:val="00AA0546"/>
    <w:rsid w:val="00AA0557"/>
    <w:rsid w:val="00AA0572"/>
    <w:rsid w:val="00AA0579"/>
    <w:rsid w:val="00AA0598"/>
    <w:rsid w:val="00AA05BA"/>
    <w:rsid w:val="00AA05BB"/>
    <w:rsid w:val="00AA05F7"/>
    <w:rsid w:val="00AA079A"/>
    <w:rsid w:val="00AA07C9"/>
    <w:rsid w:val="00AA0887"/>
    <w:rsid w:val="00AA08A1"/>
    <w:rsid w:val="00AA08E7"/>
    <w:rsid w:val="00AA08EF"/>
    <w:rsid w:val="00AA093A"/>
    <w:rsid w:val="00AA096A"/>
    <w:rsid w:val="00AA0995"/>
    <w:rsid w:val="00AA09A2"/>
    <w:rsid w:val="00AA09D7"/>
    <w:rsid w:val="00AA09EE"/>
    <w:rsid w:val="00AA0A04"/>
    <w:rsid w:val="00AA0A42"/>
    <w:rsid w:val="00AA0A5F"/>
    <w:rsid w:val="00AA0A67"/>
    <w:rsid w:val="00AA0AC2"/>
    <w:rsid w:val="00AA0ACC"/>
    <w:rsid w:val="00AA0AED"/>
    <w:rsid w:val="00AA0B59"/>
    <w:rsid w:val="00AA0BDA"/>
    <w:rsid w:val="00AA0BE4"/>
    <w:rsid w:val="00AA0BEA"/>
    <w:rsid w:val="00AA0BF6"/>
    <w:rsid w:val="00AA0C67"/>
    <w:rsid w:val="00AA0C87"/>
    <w:rsid w:val="00AA0D3A"/>
    <w:rsid w:val="00AA0D3C"/>
    <w:rsid w:val="00AA0D67"/>
    <w:rsid w:val="00AA0D9C"/>
    <w:rsid w:val="00AA0DAD"/>
    <w:rsid w:val="00AA0DB3"/>
    <w:rsid w:val="00AA0DC5"/>
    <w:rsid w:val="00AA0DDD"/>
    <w:rsid w:val="00AA0DE7"/>
    <w:rsid w:val="00AA0E2E"/>
    <w:rsid w:val="00AA0E95"/>
    <w:rsid w:val="00AA0F71"/>
    <w:rsid w:val="00AA0F95"/>
    <w:rsid w:val="00AA0FB3"/>
    <w:rsid w:val="00AA0FE5"/>
    <w:rsid w:val="00AA108B"/>
    <w:rsid w:val="00AA1126"/>
    <w:rsid w:val="00AA1189"/>
    <w:rsid w:val="00AA11BE"/>
    <w:rsid w:val="00AA1255"/>
    <w:rsid w:val="00AA1273"/>
    <w:rsid w:val="00AA1367"/>
    <w:rsid w:val="00AA1373"/>
    <w:rsid w:val="00AA13A1"/>
    <w:rsid w:val="00AA142E"/>
    <w:rsid w:val="00AA14DC"/>
    <w:rsid w:val="00AA14EB"/>
    <w:rsid w:val="00AA1530"/>
    <w:rsid w:val="00AA1565"/>
    <w:rsid w:val="00AA156B"/>
    <w:rsid w:val="00AA1668"/>
    <w:rsid w:val="00AA167B"/>
    <w:rsid w:val="00AA16F8"/>
    <w:rsid w:val="00AA1720"/>
    <w:rsid w:val="00AA1752"/>
    <w:rsid w:val="00AA178C"/>
    <w:rsid w:val="00AA17A1"/>
    <w:rsid w:val="00AA1824"/>
    <w:rsid w:val="00AA18BB"/>
    <w:rsid w:val="00AA18D6"/>
    <w:rsid w:val="00AA19C5"/>
    <w:rsid w:val="00AA1B94"/>
    <w:rsid w:val="00AA1BA5"/>
    <w:rsid w:val="00AA1C35"/>
    <w:rsid w:val="00AA1CBC"/>
    <w:rsid w:val="00AA1D08"/>
    <w:rsid w:val="00AA1E12"/>
    <w:rsid w:val="00AA1E36"/>
    <w:rsid w:val="00AA1E3D"/>
    <w:rsid w:val="00AA1EAA"/>
    <w:rsid w:val="00AA1EEF"/>
    <w:rsid w:val="00AA1F47"/>
    <w:rsid w:val="00AA1F79"/>
    <w:rsid w:val="00AA2049"/>
    <w:rsid w:val="00AA20C7"/>
    <w:rsid w:val="00AA2128"/>
    <w:rsid w:val="00AA21A1"/>
    <w:rsid w:val="00AA21A4"/>
    <w:rsid w:val="00AA21AA"/>
    <w:rsid w:val="00AA21D8"/>
    <w:rsid w:val="00AA21F4"/>
    <w:rsid w:val="00AA2212"/>
    <w:rsid w:val="00AA2213"/>
    <w:rsid w:val="00AA224E"/>
    <w:rsid w:val="00AA22C3"/>
    <w:rsid w:val="00AA22E3"/>
    <w:rsid w:val="00AA2379"/>
    <w:rsid w:val="00AA23B1"/>
    <w:rsid w:val="00AA2412"/>
    <w:rsid w:val="00AA245C"/>
    <w:rsid w:val="00AA2483"/>
    <w:rsid w:val="00AA2495"/>
    <w:rsid w:val="00AA2522"/>
    <w:rsid w:val="00AA2531"/>
    <w:rsid w:val="00AA2547"/>
    <w:rsid w:val="00AA2560"/>
    <w:rsid w:val="00AA258E"/>
    <w:rsid w:val="00AA25D3"/>
    <w:rsid w:val="00AA25E8"/>
    <w:rsid w:val="00AA25F2"/>
    <w:rsid w:val="00AA2636"/>
    <w:rsid w:val="00AA26AA"/>
    <w:rsid w:val="00AA2707"/>
    <w:rsid w:val="00AA273D"/>
    <w:rsid w:val="00AA27CD"/>
    <w:rsid w:val="00AA27E3"/>
    <w:rsid w:val="00AA2800"/>
    <w:rsid w:val="00AA2892"/>
    <w:rsid w:val="00AA2908"/>
    <w:rsid w:val="00AA295A"/>
    <w:rsid w:val="00AA2995"/>
    <w:rsid w:val="00AA2A71"/>
    <w:rsid w:val="00AA2A91"/>
    <w:rsid w:val="00AA2B13"/>
    <w:rsid w:val="00AA2B1F"/>
    <w:rsid w:val="00AA2BFE"/>
    <w:rsid w:val="00AA2C0D"/>
    <w:rsid w:val="00AA2C48"/>
    <w:rsid w:val="00AA2C8F"/>
    <w:rsid w:val="00AA2CB6"/>
    <w:rsid w:val="00AA2CC1"/>
    <w:rsid w:val="00AA2CCB"/>
    <w:rsid w:val="00AA2D13"/>
    <w:rsid w:val="00AA2D39"/>
    <w:rsid w:val="00AA2DA2"/>
    <w:rsid w:val="00AA2DB3"/>
    <w:rsid w:val="00AA2DDC"/>
    <w:rsid w:val="00AA2F23"/>
    <w:rsid w:val="00AA2F79"/>
    <w:rsid w:val="00AA2FDF"/>
    <w:rsid w:val="00AA2FF7"/>
    <w:rsid w:val="00AA3008"/>
    <w:rsid w:val="00AA300E"/>
    <w:rsid w:val="00AA3034"/>
    <w:rsid w:val="00AA3079"/>
    <w:rsid w:val="00AA309B"/>
    <w:rsid w:val="00AA30AA"/>
    <w:rsid w:val="00AA3179"/>
    <w:rsid w:val="00AA31BF"/>
    <w:rsid w:val="00AA3240"/>
    <w:rsid w:val="00AA327F"/>
    <w:rsid w:val="00AA3284"/>
    <w:rsid w:val="00AA33FC"/>
    <w:rsid w:val="00AA3446"/>
    <w:rsid w:val="00AA3485"/>
    <w:rsid w:val="00AA34AA"/>
    <w:rsid w:val="00AA34D3"/>
    <w:rsid w:val="00AA350E"/>
    <w:rsid w:val="00AA3512"/>
    <w:rsid w:val="00AA3555"/>
    <w:rsid w:val="00AA363F"/>
    <w:rsid w:val="00AA36DC"/>
    <w:rsid w:val="00AA36FE"/>
    <w:rsid w:val="00AA3720"/>
    <w:rsid w:val="00AA3726"/>
    <w:rsid w:val="00AA3752"/>
    <w:rsid w:val="00AA377D"/>
    <w:rsid w:val="00AA37AC"/>
    <w:rsid w:val="00AA37FB"/>
    <w:rsid w:val="00AA389C"/>
    <w:rsid w:val="00AA38D1"/>
    <w:rsid w:val="00AA3909"/>
    <w:rsid w:val="00AA3945"/>
    <w:rsid w:val="00AA3955"/>
    <w:rsid w:val="00AA397D"/>
    <w:rsid w:val="00AA3981"/>
    <w:rsid w:val="00AA39A3"/>
    <w:rsid w:val="00AA39BB"/>
    <w:rsid w:val="00AA39D2"/>
    <w:rsid w:val="00AA3A1A"/>
    <w:rsid w:val="00AA3A5B"/>
    <w:rsid w:val="00AA3A9E"/>
    <w:rsid w:val="00AA3AF1"/>
    <w:rsid w:val="00AA3B8F"/>
    <w:rsid w:val="00AA3B9E"/>
    <w:rsid w:val="00AA3BA4"/>
    <w:rsid w:val="00AA3BA8"/>
    <w:rsid w:val="00AA3CE9"/>
    <w:rsid w:val="00AA3D80"/>
    <w:rsid w:val="00AA3DD2"/>
    <w:rsid w:val="00AA3E15"/>
    <w:rsid w:val="00AA3E26"/>
    <w:rsid w:val="00AA3E44"/>
    <w:rsid w:val="00AA3EFB"/>
    <w:rsid w:val="00AA3F61"/>
    <w:rsid w:val="00AA3FDB"/>
    <w:rsid w:val="00AA4022"/>
    <w:rsid w:val="00AA4036"/>
    <w:rsid w:val="00AA4038"/>
    <w:rsid w:val="00AA4083"/>
    <w:rsid w:val="00AA4090"/>
    <w:rsid w:val="00AA40A4"/>
    <w:rsid w:val="00AA40E7"/>
    <w:rsid w:val="00AA40F0"/>
    <w:rsid w:val="00AA4112"/>
    <w:rsid w:val="00AA4118"/>
    <w:rsid w:val="00AA4165"/>
    <w:rsid w:val="00AA4189"/>
    <w:rsid w:val="00AA41A1"/>
    <w:rsid w:val="00AA423F"/>
    <w:rsid w:val="00AA4250"/>
    <w:rsid w:val="00AA4284"/>
    <w:rsid w:val="00AA42CB"/>
    <w:rsid w:val="00AA4408"/>
    <w:rsid w:val="00AA44D4"/>
    <w:rsid w:val="00AA44EF"/>
    <w:rsid w:val="00AA44FE"/>
    <w:rsid w:val="00AA4503"/>
    <w:rsid w:val="00AA452C"/>
    <w:rsid w:val="00AA4606"/>
    <w:rsid w:val="00AA4619"/>
    <w:rsid w:val="00AA4630"/>
    <w:rsid w:val="00AA467D"/>
    <w:rsid w:val="00AA46B1"/>
    <w:rsid w:val="00AA4783"/>
    <w:rsid w:val="00AA47F6"/>
    <w:rsid w:val="00AA47FB"/>
    <w:rsid w:val="00AA4800"/>
    <w:rsid w:val="00AA4822"/>
    <w:rsid w:val="00AA48D1"/>
    <w:rsid w:val="00AA4941"/>
    <w:rsid w:val="00AA494A"/>
    <w:rsid w:val="00AA4958"/>
    <w:rsid w:val="00AA4A12"/>
    <w:rsid w:val="00AA4B0C"/>
    <w:rsid w:val="00AA4B17"/>
    <w:rsid w:val="00AA4B48"/>
    <w:rsid w:val="00AA4B6B"/>
    <w:rsid w:val="00AA4B90"/>
    <w:rsid w:val="00AA4BA0"/>
    <w:rsid w:val="00AA4C57"/>
    <w:rsid w:val="00AA4CF8"/>
    <w:rsid w:val="00AA4CFA"/>
    <w:rsid w:val="00AA4D99"/>
    <w:rsid w:val="00AA4E63"/>
    <w:rsid w:val="00AA4E6A"/>
    <w:rsid w:val="00AA4EC3"/>
    <w:rsid w:val="00AA4F08"/>
    <w:rsid w:val="00AA4F80"/>
    <w:rsid w:val="00AA4FB5"/>
    <w:rsid w:val="00AA4FDB"/>
    <w:rsid w:val="00AA4FDD"/>
    <w:rsid w:val="00AA500F"/>
    <w:rsid w:val="00AA502D"/>
    <w:rsid w:val="00AA5085"/>
    <w:rsid w:val="00AA511B"/>
    <w:rsid w:val="00AA5154"/>
    <w:rsid w:val="00AA51F4"/>
    <w:rsid w:val="00AA5205"/>
    <w:rsid w:val="00AA5241"/>
    <w:rsid w:val="00AA52E5"/>
    <w:rsid w:val="00AA5335"/>
    <w:rsid w:val="00AA534B"/>
    <w:rsid w:val="00AA5425"/>
    <w:rsid w:val="00AA542E"/>
    <w:rsid w:val="00AA5498"/>
    <w:rsid w:val="00AA54A0"/>
    <w:rsid w:val="00AA5540"/>
    <w:rsid w:val="00AA557B"/>
    <w:rsid w:val="00AA55B0"/>
    <w:rsid w:val="00AA5698"/>
    <w:rsid w:val="00AA56F4"/>
    <w:rsid w:val="00AA56F8"/>
    <w:rsid w:val="00AA5715"/>
    <w:rsid w:val="00AA57D0"/>
    <w:rsid w:val="00AA57E9"/>
    <w:rsid w:val="00AA5906"/>
    <w:rsid w:val="00AA5945"/>
    <w:rsid w:val="00AA5A15"/>
    <w:rsid w:val="00AA5A36"/>
    <w:rsid w:val="00AA5A3D"/>
    <w:rsid w:val="00AA5A5C"/>
    <w:rsid w:val="00AA5A73"/>
    <w:rsid w:val="00AA5A91"/>
    <w:rsid w:val="00AA5AB8"/>
    <w:rsid w:val="00AA5AFF"/>
    <w:rsid w:val="00AA5B1A"/>
    <w:rsid w:val="00AA5B42"/>
    <w:rsid w:val="00AA5BEA"/>
    <w:rsid w:val="00AA5BEB"/>
    <w:rsid w:val="00AA5BF5"/>
    <w:rsid w:val="00AA5BFA"/>
    <w:rsid w:val="00AA5C04"/>
    <w:rsid w:val="00AA5C05"/>
    <w:rsid w:val="00AA5C34"/>
    <w:rsid w:val="00AA5D3E"/>
    <w:rsid w:val="00AA5D5D"/>
    <w:rsid w:val="00AA5D9D"/>
    <w:rsid w:val="00AA5E20"/>
    <w:rsid w:val="00AA5E87"/>
    <w:rsid w:val="00AA5E8A"/>
    <w:rsid w:val="00AA5F06"/>
    <w:rsid w:val="00AA5FA6"/>
    <w:rsid w:val="00AA613D"/>
    <w:rsid w:val="00AA61E5"/>
    <w:rsid w:val="00AA6223"/>
    <w:rsid w:val="00AA6279"/>
    <w:rsid w:val="00AA629F"/>
    <w:rsid w:val="00AA6424"/>
    <w:rsid w:val="00AA6458"/>
    <w:rsid w:val="00AA6476"/>
    <w:rsid w:val="00AA64E4"/>
    <w:rsid w:val="00AA6549"/>
    <w:rsid w:val="00AA65F0"/>
    <w:rsid w:val="00AA65FE"/>
    <w:rsid w:val="00AA661C"/>
    <w:rsid w:val="00AA6686"/>
    <w:rsid w:val="00AA66BD"/>
    <w:rsid w:val="00AA66C4"/>
    <w:rsid w:val="00AA66EB"/>
    <w:rsid w:val="00AA682A"/>
    <w:rsid w:val="00AA685E"/>
    <w:rsid w:val="00AA6880"/>
    <w:rsid w:val="00AA68B1"/>
    <w:rsid w:val="00AA68BC"/>
    <w:rsid w:val="00AA68FD"/>
    <w:rsid w:val="00AA690C"/>
    <w:rsid w:val="00AA6923"/>
    <w:rsid w:val="00AA6924"/>
    <w:rsid w:val="00AA69EF"/>
    <w:rsid w:val="00AA6A5A"/>
    <w:rsid w:val="00AA6A7A"/>
    <w:rsid w:val="00AA6B30"/>
    <w:rsid w:val="00AA6B46"/>
    <w:rsid w:val="00AA6B6C"/>
    <w:rsid w:val="00AA6C56"/>
    <w:rsid w:val="00AA6CE6"/>
    <w:rsid w:val="00AA6DE7"/>
    <w:rsid w:val="00AA6E36"/>
    <w:rsid w:val="00AA6E96"/>
    <w:rsid w:val="00AA6F58"/>
    <w:rsid w:val="00AA6FBB"/>
    <w:rsid w:val="00AA709E"/>
    <w:rsid w:val="00AA7269"/>
    <w:rsid w:val="00AA737D"/>
    <w:rsid w:val="00AA739A"/>
    <w:rsid w:val="00AA73A3"/>
    <w:rsid w:val="00AA73BB"/>
    <w:rsid w:val="00AA7449"/>
    <w:rsid w:val="00AA748B"/>
    <w:rsid w:val="00AA74BD"/>
    <w:rsid w:val="00AA7521"/>
    <w:rsid w:val="00AA75C2"/>
    <w:rsid w:val="00AA761C"/>
    <w:rsid w:val="00AA76B6"/>
    <w:rsid w:val="00AA777E"/>
    <w:rsid w:val="00AA780A"/>
    <w:rsid w:val="00AA78C6"/>
    <w:rsid w:val="00AA78C7"/>
    <w:rsid w:val="00AA78F6"/>
    <w:rsid w:val="00AA7921"/>
    <w:rsid w:val="00AA794F"/>
    <w:rsid w:val="00AA7960"/>
    <w:rsid w:val="00AA7995"/>
    <w:rsid w:val="00AA7A46"/>
    <w:rsid w:val="00AA7AA3"/>
    <w:rsid w:val="00AA7B14"/>
    <w:rsid w:val="00AA7B3B"/>
    <w:rsid w:val="00AA7B77"/>
    <w:rsid w:val="00AA7BC6"/>
    <w:rsid w:val="00AA7BD9"/>
    <w:rsid w:val="00AA7C0D"/>
    <w:rsid w:val="00AA7C43"/>
    <w:rsid w:val="00AA7C78"/>
    <w:rsid w:val="00AA7CBE"/>
    <w:rsid w:val="00AA7CDA"/>
    <w:rsid w:val="00AA7D13"/>
    <w:rsid w:val="00AA7D45"/>
    <w:rsid w:val="00AA7DA6"/>
    <w:rsid w:val="00AA7DAC"/>
    <w:rsid w:val="00AA7E0A"/>
    <w:rsid w:val="00AA7E61"/>
    <w:rsid w:val="00AA7EE1"/>
    <w:rsid w:val="00AA7EE5"/>
    <w:rsid w:val="00AA7F35"/>
    <w:rsid w:val="00AA7FCB"/>
    <w:rsid w:val="00AB0125"/>
    <w:rsid w:val="00AB0182"/>
    <w:rsid w:val="00AB01B1"/>
    <w:rsid w:val="00AB0237"/>
    <w:rsid w:val="00AB026F"/>
    <w:rsid w:val="00AB0284"/>
    <w:rsid w:val="00AB02A7"/>
    <w:rsid w:val="00AB02BE"/>
    <w:rsid w:val="00AB0335"/>
    <w:rsid w:val="00AB04AA"/>
    <w:rsid w:val="00AB0508"/>
    <w:rsid w:val="00AB0599"/>
    <w:rsid w:val="00AB0657"/>
    <w:rsid w:val="00AB0723"/>
    <w:rsid w:val="00AB0728"/>
    <w:rsid w:val="00AB080C"/>
    <w:rsid w:val="00AB082F"/>
    <w:rsid w:val="00AB0856"/>
    <w:rsid w:val="00AB0898"/>
    <w:rsid w:val="00AB090B"/>
    <w:rsid w:val="00AB0921"/>
    <w:rsid w:val="00AB0942"/>
    <w:rsid w:val="00AB0980"/>
    <w:rsid w:val="00AB09BB"/>
    <w:rsid w:val="00AB09D2"/>
    <w:rsid w:val="00AB0A8F"/>
    <w:rsid w:val="00AB0AD1"/>
    <w:rsid w:val="00AB0B8E"/>
    <w:rsid w:val="00AB0B9F"/>
    <w:rsid w:val="00AB0C6A"/>
    <w:rsid w:val="00AB0CA7"/>
    <w:rsid w:val="00AB0D3C"/>
    <w:rsid w:val="00AB0D59"/>
    <w:rsid w:val="00AB0D82"/>
    <w:rsid w:val="00AB0DFF"/>
    <w:rsid w:val="00AB0E81"/>
    <w:rsid w:val="00AB0EAC"/>
    <w:rsid w:val="00AB0F55"/>
    <w:rsid w:val="00AB0F90"/>
    <w:rsid w:val="00AB0F91"/>
    <w:rsid w:val="00AB0FAE"/>
    <w:rsid w:val="00AB0FBB"/>
    <w:rsid w:val="00AB1010"/>
    <w:rsid w:val="00AB1056"/>
    <w:rsid w:val="00AB1057"/>
    <w:rsid w:val="00AB10E1"/>
    <w:rsid w:val="00AB1148"/>
    <w:rsid w:val="00AB114B"/>
    <w:rsid w:val="00AB11AC"/>
    <w:rsid w:val="00AB11CE"/>
    <w:rsid w:val="00AB11D3"/>
    <w:rsid w:val="00AB1202"/>
    <w:rsid w:val="00AB1206"/>
    <w:rsid w:val="00AB1275"/>
    <w:rsid w:val="00AB12B3"/>
    <w:rsid w:val="00AB12C5"/>
    <w:rsid w:val="00AB1362"/>
    <w:rsid w:val="00AB1366"/>
    <w:rsid w:val="00AB1396"/>
    <w:rsid w:val="00AB143C"/>
    <w:rsid w:val="00AB1464"/>
    <w:rsid w:val="00AB1472"/>
    <w:rsid w:val="00AB14AA"/>
    <w:rsid w:val="00AB14C3"/>
    <w:rsid w:val="00AB151B"/>
    <w:rsid w:val="00AB1532"/>
    <w:rsid w:val="00AB1559"/>
    <w:rsid w:val="00AB15B1"/>
    <w:rsid w:val="00AB15C4"/>
    <w:rsid w:val="00AB1626"/>
    <w:rsid w:val="00AB1669"/>
    <w:rsid w:val="00AB1671"/>
    <w:rsid w:val="00AB16F2"/>
    <w:rsid w:val="00AB1714"/>
    <w:rsid w:val="00AB1770"/>
    <w:rsid w:val="00AB1779"/>
    <w:rsid w:val="00AB17B3"/>
    <w:rsid w:val="00AB17C4"/>
    <w:rsid w:val="00AB17E5"/>
    <w:rsid w:val="00AB1890"/>
    <w:rsid w:val="00AB18C3"/>
    <w:rsid w:val="00AB18EE"/>
    <w:rsid w:val="00AB190D"/>
    <w:rsid w:val="00AB193E"/>
    <w:rsid w:val="00AB1951"/>
    <w:rsid w:val="00AB19DB"/>
    <w:rsid w:val="00AB1A08"/>
    <w:rsid w:val="00AB1A17"/>
    <w:rsid w:val="00AB1A99"/>
    <w:rsid w:val="00AB1BC2"/>
    <w:rsid w:val="00AB1C07"/>
    <w:rsid w:val="00AB1C75"/>
    <w:rsid w:val="00AB1D36"/>
    <w:rsid w:val="00AB1D66"/>
    <w:rsid w:val="00AB1DCD"/>
    <w:rsid w:val="00AB1E87"/>
    <w:rsid w:val="00AB1EB3"/>
    <w:rsid w:val="00AB1F16"/>
    <w:rsid w:val="00AB1F20"/>
    <w:rsid w:val="00AB1F52"/>
    <w:rsid w:val="00AB1FB2"/>
    <w:rsid w:val="00AB1FB3"/>
    <w:rsid w:val="00AB2142"/>
    <w:rsid w:val="00AB2193"/>
    <w:rsid w:val="00AB21D4"/>
    <w:rsid w:val="00AB21D5"/>
    <w:rsid w:val="00AB225C"/>
    <w:rsid w:val="00AB2322"/>
    <w:rsid w:val="00AB232E"/>
    <w:rsid w:val="00AB2336"/>
    <w:rsid w:val="00AB2378"/>
    <w:rsid w:val="00AB23A6"/>
    <w:rsid w:val="00AB23B1"/>
    <w:rsid w:val="00AB2418"/>
    <w:rsid w:val="00AB2480"/>
    <w:rsid w:val="00AB24A8"/>
    <w:rsid w:val="00AB24B1"/>
    <w:rsid w:val="00AB24DB"/>
    <w:rsid w:val="00AB2502"/>
    <w:rsid w:val="00AB2536"/>
    <w:rsid w:val="00AB25BB"/>
    <w:rsid w:val="00AB2620"/>
    <w:rsid w:val="00AB2653"/>
    <w:rsid w:val="00AB2685"/>
    <w:rsid w:val="00AB2704"/>
    <w:rsid w:val="00AB2773"/>
    <w:rsid w:val="00AB278B"/>
    <w:rsid w:val="00AB27C8"/>
    <w:rsid w:val="00AB28C8"/>
    <w:rsid w:val="00AB297A"/>
    <w:rsid w:val="00AB2A69"/>
    <w:rsid w:val="00AB2BA8"/>
    <w:rsid w:val="00AB2BF7"/>
    <w:rsid w:val="00AB2C0F"/>
    <w:rsid w:val="00AB2CAE"/>
    <w:rsid w:val="00AB2CC1"/>
    <w:rsid w:val="00AB2D19"/>
    <w:rsid w:val="00AB2E5F"/>
    <w:rsid w:val="00AB2E8A"/>
    <w:rsid w:val="00AB2ECB"/>
    <w:rsid w:val="00AB2F2A"/>
    <w:rsid w:val="00AB2F4F"/>
    <w:rsid w:val="00AB2F6B"/>
    <w:rsid w:val="00AB2F7C"/>
    <w:rsid w:val="00AB2FCD"/>
    <w:rsid w:val="00AB30A4"/>
    <w:rsid w:val="00AB3113"/>
    <w:rsid w:val="00AB3148"/>
    <w:rsid w:val="00AB3186"/>
    <w:rsid w:val="00AB3207"/>
    <w:rsid w:val="00AB3214"/>
    <w:rsid w:val="00AB3220"/>
    <w:rsid w:val="00AB327C"/>
    <w:rsid w:val="00AB3293"/>
    <w:rsid w:val="00AB32AE"/>
    <w:rsid w:val="00AB3359"/>
    <w:rsid w:val="00AB339E"/>
    <w:rsid w:val="00AB33B8"/>
    <w:rsid w:val="00AB3407"/>
    <w:rsid w:val="00AB340C"/>
    <w:rsid w:val="00AB3469"/>
    <w:rsid w:val="00AB347F"/>
    <w:rsid w:val="00AB3486"/>
    <w:rsid w:val="00AB349E"/>
    <w:rsid w:val="00AB34C5"/>
    <w:rsid w:val="00AB34FB"/>
    <w:rsid w:val="00AB3526"/>
    <w:rsid w:val="00AB3560"/>
    <w:rsid w:val="00AB358C"/>
    <w:rsid w:val="00AB35CC"/>
    <w:rsid w:val="00AB362A"/>
    <w:rsid w:val="00AB36B7"/>
    <w:rsid w:val="00AB374A"/>
    <w:rsid w:val="00AB3751"/>
    <w:rsid w:val="00AB37BA"/>
    <w:rsid w:val="00AB3802"/>
    <w:rsid w:val="00AB38F2"/>
    <w:rsid w:val="00AB390A"/>
    <w:rsid w:val="00AB392F"/>
    <w:rsid w:val="00AB3943"/>
    <w:rsid w:val="00AB39E9"/>
    <w:rsid w:val="00AB3A17"/>
    <w:rsid w:val="00AB3A33"/>
    <w:rsid w:val="00AB3AF5"/>
    <w:rsid w:val="00AB3B14"/>
    <w:rsid w:val="00AB3B3C"/>
    <w:rsid w:val="00AB3B73"/>
    <w:rsid w:val="00AB3B84"/>
    <w:rsid w:val="00AB3BE9"/>
    <w:rsid w:val="00AB3C3F"/>
    <w:rsid w:val="00AB3C77"/>
    <w:rsid w:val="00AB3CFF"/>
    <w:rsid w:val="00AB3D3E"/>
    <w:rsid w:val="00AB3D7E"/>
    <w:rsid w:val="00AB3D9F"/>
    <w:rsid w:val="00AB3DA2"/>
    <w:rsid w:val="00AB3ED4"/>
    <w:rsid w:val="00AB3EF1"/>
    <w:rsid w:val="00AB3F20"/>
    <w:rsid w:val="00AB3F4B"/>
    <w:rsid w:val="00AB3F52"/>
    <w:rsid w:val="00AB3FB5"/>
    <w:rsid w:val="00AB404E"/>
    <w:rsid w:val="00AB404F"/>
    <w:rsid w:val="00AB4152"/>
    <w:rsid w:val="00AB41F4"/>
    <w:rsid w:val="00AB4224"/>
    <w:rsid w:val="00AB42B6"/>
    <w:rsid w:val="00AB42E2"/>
    <w:rsid w:val="00AB42E3"/>
    <w:rsid w:val="00AB4345"/>
    <w:rsid w:val="00AB43A7"/>
    <w:rsid w:val="00AB43FE"/>
    <w:rsid w:val="00AB4427"/>
    <w:rsid w:val="00AB4440"/>
    <w:rsid w:val="00AB450E"/>
    <w:rsid w:val="00AB45A1"/>
    <w:rsid w:val="00AB4637"/>
    <w:rsid w:val="00AB4657"/>
    <w:rsid w:val="00AB46E3"/>
    <w:rsid w:val="00AB4735"/>
    <w:rsid w:val="00AB47E2"/>
    <w:rsid w:val="00AB47E5"/>
    <w:rsid w:val="00AB482F"/>
    <w:rsid w:val="00AB4838"/>
    <w:rsid w:val="00AB4851"/>
    <w:rsid w:val="00AB485C"/>
    <w:rsid w:val="00AB48E7"/>
    <w:rsid w:val="00AB48F7"/>
    <w:rsid w:val="00AB4955"/>
    <w:rsid w:val="00AB4957"/>
    <w:rsid w:val="00AB49F7"/>
    <w:rsid w:val="00AB4A55"/>
    <w:rsid w:val="00AB4A7F"/>
    <w:rsid w:val="00AB4A90"/>
    <w:rsid w:val="00AB4B1F"/>
    <w:rsid w:val="00AB4B82"/>
    <w:rsid w:val="00AB4BE1"/>
    <w:rsid w:val="00AB4C02"/>
    <w:rsid w:val="00AB4C06"/>
    <w:rsid w:val="00AB4CB2"/>
    <w:rsid w:val="00AB4D0B"/>
    <w:rsid w:val="00AB4DFE"/>
    <w:rsid w:val="00AB4E03"/>
    <w:rsid w:val="00AB4E36"/>
    <w:rsid w:val="00AB4E38"/>
    <w:rsid w:val="00AB4E56"/>
    <w:rsid w:val="00AB4EAD"/>
    <w:rsid w:val="00AB4F45"/>
    <w:rsid w:val="00AB4F5E"/>
    <w:rsid w:val="00AB4FAA"/>
    <w:rsid w:val="00AB50C1"/>
    <w:rsid w:val="00AB5149"/>
    <w:rsid w:val="00AB5157"/>
    <w:rsid w:val="00AB5159"/>
    <w:rsid w:val="00AB51C2"/>
    <w:rsid w:val="00AB51DC"/>
    <w:rsid w:val="00AB521B"/>
    <w:rsid w:val="00AB522E"/>
    <w:rsid w:val="00AB5236"/>
    <w:rsid w:val="00AB52A1"/>
    <w:rsid w:val="00AB52EF"/>
    <w:rsid w:val="00AB52F5"/>
    <w:rsid w:val="00AB534D"/>
    <w:rsid w:val="00AB5352"/>
    <w:rsid w:val="00AB5369"/>
    <w:rsid w:val="00AB538E"/>
    <w:rsid w:val="00AB5413"/>
    <w:rsid w:val="00AB54A4"/>
    <w:rsid w:val="00AB54C7"/>
    <w:rsid w:val="00AB54CC"/>
    <w:rsid w:val="00AB5516"/>
    <w:rsid w:val="00AB55AE"/>
    <w:rsid w:val="00AB566B"/>
    <w:rsid w:val="00AB56BE"/>
    <w:rsid w:val="00AB5780"/>
    <w:rsid w:val="00AB57BF"/>
    <w:rsid w:val="00AB57E3"/>
    <w:rsid w:val="00AB5863"/>
    <w:rsid w:val="00AB591A"/>
    <w:rsid w:val="00AB59BE"/>
    <w:rsid w:val="00AB5A8B"/>
    <w:rsid w:val="00AB5BB6"/>
    <w:rsid w:val="00AB5C22"/>
    <w:rsid w:val="00AB5C55"/>
    <w:rsid w:val="00AB5DBA"/>
    <w:rsid w:val="00AB5E4F"/>
    <w:rsid w:val="00AB5E50"/>
    <w:rsid w:val="00AB5EA9"/>
    <w:rsid w:val="00AB5F11"/>
    <w:rsid w:val="00AB5F17"/>
    <w:rsid w:val="00AB5FB5"/>
    <w:rsid w:val="00AB600E"/>
    <w:rsid w:val="00AB6035"/>
    <w:rsid w:val="00AB6036"/>
    <w:rsid w:val="00AB6075"/>
    <w:rsid w:val="00AB60D1"/>
    <w:rsid w:val="00AB6102"/>
    <w:rsid w:val="00AB61CE"/>
    <w:rsid w:val="00AB62B8"/>
    <w:rsid w:val="00AB62E6"/>
    <w:rsid w:val="00AB636A"/>
    <w:rsid w:val="00AB6372"/>
    <w:rsid w:val="00AB6374"/>
    <w:rsid w:val="00AB63BC"/>
    <w:rsid w:val="00AB63C9"/>
    <w:rsid w:val="00AB6505"/>
    <w:rsid w:val="00AB6514"/>
    <w:rsid w:val="00AB66DF"/>
    <w:rsid w:val="00AB6761"/>
    <w:rsid w:val="00AB677D"/>
    <w:rsid w:val="00AB67FF"/>
    <w:rsid w:val="00AB6825"/>
    <w:rsid w:val="00AB68BB"/>
    <w:rsid w:val="00AB6975"/>
    <w:rsid w:val="00AB69AB"/>
    <w:rsid w:val="00AB69C1"/>
    <w:rsid w:val="00AB6ADE"/>
    <w:rsid w:val="00AB6B25"/>
    <w:rsid w:val="00AB6B35"/>
    <w:rsid w:val="00AB6BE9"/>
    <w:rsid w:val="00AB6C18"/>
    <w:rsid w:val="00AB6C46"/>
    <w:rsid w:val="00AB6C72"/>
    <w:rsid w:val="00AB6CA6"/>
    <w:rsid w:val="00AB6D26"/>
    <w:rsid w:val="00AB6D54"/>
    <w:rsid w:val="00AB6E7B"/>
    <w:rsid w:val="00AB6EBC"/>
    <w:rsid w:val="00AB6ED4"/>
    <w:rsid w:val="00AB6EFC"/>
    <w:rsid w:val="00AB6F20"/>
    <w:rsid w:val="00AB70B1"/>
    <w:rsid w:val="00AB70BE"/>
    <w:rsid w:val="00AB7132"/>
    <w:rsid w:val="00AB7169"/>
    <w:rsid w:val="00AB7179"/>
    <w:rsid w:val="00AB717D"/>
    <w:rsid w:val="00AB7184"/>
    <w:rsid w:val="00AB71C4"/>
    <w:rsid w:val="00AB7202"/>
    <w:rsid w:val="00AB725C"/>
    <w:rsid w:val="00AB72D0"/>
    <w:rsid w:val="00AB72D2"/>
    <w:rsid w:val="00AB7333"/>
    <w:rsid w:val="00AB735E"/>
    <w:rsid w:val="00AB7362"/>
    <w:rsid w:val="00AB736E"/>
    <w:rsid w:val="00AB73C4"/>
    <w:rsid w:val="00AB73DE"/>
    <w:rsid w:val="00AB747F"/>
    <w:rsid w:val="00AB7564"/>
    <w:rsid w:val="00AB75E3"/>
    <w:rsid w:val="00AB764E"/>
    <w:rsid w:val="00AB7675"/>
    <w:rsid w:val="00AB76C2"/>
    <w:rsid w:val="00AB76F9"/>
    <w:rsid w:val="00AB7742"/>
    <w:rsid w:val="00AB7785"/>
    <w:rsid w:val="00AB77E5"/>
    <w:rsid w:val="00AB7840"/>
    <w:rsid w:val="00AB7885"/>
    <w:rsid w:val="00AB7890"/>
    <w:rsid w:val="00AB7896"/>
    <w:rsid w:val="00AB7950"/>
    <w:rsid w:val="00AB7A17"/>
    <w:rsid w:val="00AB7AA3"/>
    <w:rsid w:val="00AB7B9D"/>
    <w:rsid w:val="00AB7C35"/>
    <w:rsid w:val="00AB7CEE"/>
    <w:rsid w:val="00AB7CF8"/>
    <w:rsid w:val="00AB7DFB"/>
    <w:rsid w:val="00AB7EEE"/>
    <w:rsid w:val="00AB7F2E"/>
    <w:rsid w:val="00AB7F8D"/>
    <w:rsid w:val="00AC000D"/>
    <w:rsid w:val="00AC0069"/>
    <w:rsid w:val="00AC00B1"/>
    <w:rsid w:val="00AC00E2"/>
    <w:rsid w:val="00AC00FA"/>
    <w:rsid w:val="00AC017B"/>
    <w:rsid w:val="00AC023B"/>
    <w:rsid w:val="00AC0250"/>
    <w:rsid w:val="00AC026D"/>
    <w:rsid w:val="00AC028D"/>
    <w:rsid w:val="00AC02F3"/>
    <w:rsid w:val="00AC039C"/>
    <w:rsid w:val="00AC03FE"/>
    <w:rsid w:val="00AC041C"/>
    <w:rsid w:val="00AC0447"/>
    <w:rsid w:val="00AC048B"/>
    <w:rsid w:val="00AC04F4"/>
    <w:rsid w:val="00AC051E"/>
    <w:rsid w:val="00AC056F"/>
    <w:rsid w:val="00AC0574"/>
    <w:rsid w:val="00AC0590"/>
    <w:rsid w:val="00AC05B5"/>
    <w:rsid w:val="00AC05D5"/>
    <w:rsid w:val="00AC05FB"/>
    <w:rsid w:val="00AC0604"/>
    <w:rsid w:val="00AC0621"/>
    <w:rsid w:val="00AC0644"/>
    <w:rsid w:val="00AC0794"/>
    <w:rsid w:val="00AC0802"/>
    <w:rsid w:val="00AC0820"/>
    <w:rsid w:val="00AC087F"/>
    <w:rsid w:val="00AC089B"/>
    <w:rsid w:val="00AC08A9"/>
    <w:rsid w:val="00AC0900"/>
    <w:rsid w:val="00AC09F2"/>
    <w:rsid w:val="00AC09FF"/>
    <w:rsid w:val="00AC0B6F"/>
    <w:rsid w:val="00AC0CF3"/>
    <w:rsid w:val="00AC0D09"/>
    <w:rsid w:val="00AC0D25"/>
    <w:rsid w:val="00AC0DAB"/>
    <w:rsid w:val="00AC0DB3"/>
    <w:rsid w:val="00AC0E8B"/>
    <w:rsid w:val="00AC0EC6"/>
    <w:rsid w:val="00AC0FFA"/>
    <w:rsid w:val="00AC1049"/>
    <w:rsid w:val="00AC1053"/>
    <w:rsid w:val="00AC10C5"/>
    <w:rsid w:val="00AC1131"/>
    <w:rsid w:val="00AC11B2"/>
    <w:rsid w:val="00AC1281"/>
    <w:rsid w:val="00AC12C3"/>
    <w:rsid w:val="00AC12C6"/>
    <w:rsid w:val="00AC12F0"/>
    <w:rsid w:val="00AC130C"/>
    <w:rsid w:val="00AC1321"/>
    <w:rsid w:val="00AC1323"/>
    <w:rsid w:val="00AC13E9"/>
    <w:rsid w:val="00AC143D"/>
    <w:rsid w:val="00AC145A"/>
    <w:rsid w:val="00AC14EA"/>
    <w:rsid w:val="00AC14FA"/>
    <w:rsid w:val="00AC156D"/>
    <w:rsid w:val="00AC157C"/>
    <w:rsid w:val="00AC1663"/>
    <w:rsid w:val="00AC1705"/>
    <w:rsid w:val="00AC17E0"/>
    <w:rsid w:val="00AC17FE"/>
    <w:rsid w:val="00AC18B3"/>
    <w:rsid w:val="00AC18CE"/>
    <w:rsid w:val="00AC19B0"/>
    <w:rsid w:val="00AC1A1C"/>
    <w:rsid w:val="00AC1A90"/>
    <w:rsid w:val="00AC1AA4"/>
    <w:rsid w:val="00AC1AC1"/>
    <w:rsid w:val="00AC1B45"/>
    <w:rsid w:val="00AC1B4A"/>
    <w:rsid w:val="00AC1BF9"/>
    <w:rsid w:val="00AC1CAF"/>
    <w:rsid w:val="00AC1DCF"/>
    <w:rsid w:val="00AC1E36"/>
    <w:rsid w:val="00AC1E61"/>
    <w:rsid w:val="00AC1EC6"/>
    <w:rsid w:val="00AC1F3C"/>
    <w:rsid w:val="00AC1F48"/>
    <w:rsid w:val="00AC1FE0"/>
    <w:rsid w:val="00AC1FFE"/>
    <w:rsid w:val="00AC201D"/>
    <w:rsid w:val="00AC204A"/>
    <w:rsid w:val="00AC2073"/>
    <w:rsid w:val="00AC20BD"/>
    <w:rsid w:val="00AC2101"/>
    <w:rsid w:val="00AC21A6"/>
    <w:rsid w:val="00AC21EE"/>
    <w:rsid w:val="00AC2223"/>
    <w:rsid w:val="00AC224E"/>
    <w:rsid w:val="00AC22B4"/>
    <w:rsid w:val="00AC233A"/>
    <w:rsid w:val="00AC2345"/>
    <w:rsid w:val="00AC2367"/>
    <w:rsid w:val="00AC24ED"/>
    <w:rsid w:val="00AC2556"/>
    <w:rsid w:val="00AC2586"/>
    <w:rsid w:val="00AC25B2"/>
    <w:rsid w:val="00AC2656"/>
    <w:rsid w:val="00AC267F"/>
    <w:rsid w:val="00AC26DC"/>
    <w:rsid w:val="00AC27BB"/>
    <w:rsid w:val="00AC2804"/>
    <w:rsid w:val="00AC2859"/>
    <w:rsid w:val="00AC285D"/>
    <w:rsid w:val="00AC295E"/>
    <w:rsid w:val="00AC29BD"/>
    <w:rsid w:val="00AC29ED"/>
    <w:rsid w:val="00AC2A18"/>
    <w:rsid w:val="00AC2AF2"/>
    <w:rsid w:val="00AC2B66"/>
    <w:rsid w:val="00AC2B77"/>
    <w:rsid w:val="00AC2B8C"/>
    <w:rsid w:val="00AC2B9A"/>
    <w:rsid w:val="00AC2C44"/>
    <w:rsid w:val="00AC2C5A"/>
    <w:rsid w:val="00AC2CC2"/>
    <w:rsid w:val="00AC2E10"/>
    <w:rsid w:val="00AC2E2B"/>
    <w:rsid w:val="00AC2E84"/>
    <w:rsid w:val="00AC2E9C"/>
    <w:rsid w:val="00AC2ECD"/>
    <w:rsid w:val="00AC2EEA"/>
    <w:rsid w:val="00AC2F10"/>
    <w:rsid w:val="00AC2F12"/>
    <w:rsid w:val="00AC2F32"/>
    <w:rsid w:val="00AC2F5E"/>
    <w:rsid w:val="00AC2F70"/>
    <w:rsid w:val="00AC3045"/>
    <w:rsid w:val="00AC3073"/>
    <w:rsid w:val="00AC3136"/>
    <w:rsid w:val="00AC3137"/>
    <w:rsid w:val="00AC3142"/>
    <w:rsid w:val="00AC3143"/>
    <w:rsid w:val="00AC317D"/>
    <w:rsid w:val="00AC319A"/>
    <w:rsid w:val="00AC31D2"/>
    <w:rsid w:val="00AC31FC"/>
    <w:rsid w:val="00AC3242"/>
    <w:rsid w:val="00AC3251"/>
    <w:rsid w:val="00AC3279"/>
    <w:rsid w:val="00AC333A"/>
    <w:rsid w:val="00AC337A"/>
    <w:rsid w:val="00AC3386"/>
    <w:rsid w:val="00AC33A5"/>
    <w:rsid w:val="00AC33AA"/>
    <w:rsid w:val="00AC346D"/>
    <w:rsid w:val="00AC347D"/>
    <w:rsid w:val="00AC34FD"/>
    <w:rsid w:val="00AC3503"/>
    <w:rsid w:val="00AC3525"/>
    <w:rsid w:val="00AC3553"/>
    <w:rsid w:val="00AC35B2"/>
    <w:rsid w:val="00AC35CB"/>
    <w:rsid w:val="00AC3614"/>
    <w:rsid w:val="00AC36E4"/>
    <w:rsid w:val="00AC3722"/>
    <w:rsid w:val="00AC37CC"/>
    <w:rsid w:val="00AC3845"/>
    <w:rsid w:val="00AC388B"/>
    <w:rsid w:val="00AC393E"/>
    <w:rsid w:val="00AC394C"/>
    <w:rsid w:val="00AC39AB"/>
    <w:rsid w:val="00AC3BB0"/>
    <w:rsid w:val="00AC3C89"/>
    <w:rsid w:val="00AC3D98"/>
    <w:rsid w:val="00AC3DAC"/>
    <w:rsid w:val="00AC3DB5"/>
    <w:rsid w:val="00AC3DFF"/>
    <w:rsid w:val="00AC3E19"/>
    <w:rsid w:val="00AC3EF9"/>
    <w:rsid w:val="00AC3F25"/>
    <w:rsid w:val="00AC3FFB"/>
    <w:rsid w:val="00AC40E8"/>
    <w:rsid w:val="00AC4182"/>
    <w:rsid w:val="00AC4279"/>
    <w:rsid w:val="00AC42C8"/>
    <w:rsid w:val="00AC4343"/>
    <w:rsid w:val="00AC4344"/>
    <w:rsid w:val="00AC4365"/>
    <w:rsid w:val="00AC439B"/>
    <w:rsid w:val="00AC43B5"/>
    <w:rsid w:val="00AC43CD"/>
    <w:rsid w:val="00AC44BA"/>
    <w:rsid w:val="00AC44BC"/>
    <w:rsid w:val="00AC454D"/>
    <w:rsid w:val="00AC469D"/>
    <w:rsid w:val="00AC46AA"/>
    <w:rsid w:val="00AC46E4"/>
    <w:rsid w:val="00AC4742"/>
    <w:rsid w:val="00AC475F"/>
    <w:rsid w:val="00AC4783"/>
    <w:rsid w:val="00AC4824"/>
    <w:rsid w:val="00AC482A"/>
    <w:rsid w:val="00AC486C"/>
    <w:rsid w:val="00AC48BD"/>
    <w:rsid w:val="00AC48D8"/>
    <w:rsid w:val="00AC49EA"/>
    <w:rsid w:val="00AC4A0E"/>
    <w:rsid w:val="00AC4A43"/>
    <w:rsid w:val="00AC4AA6"/>
    <w:rsid w:val="00AC4AC8"/>
    <w:rsid w:val="00AC4B0A"/>
    <w:rsid w:val="00AC4B11"/>
    <w:rsid w:val="00AC4B5F"/>
    <w:rsid w:val="00AC4B79"/>
    <w:rsid w:val="00AC4BF2"/>
    <w:rsid w:val="00AC4C3F"/>
    <w:rsid w:val="00AC4C7C"/>
    <w:rsid w:val="00AC4CDC"/>
    <w:rsid w:val="00AC4E8E"/>
    <w:rsid w:val="00AC4F1F"/>
    <w:rsid w:val="00AC4F23"/>
    <w:rsid w:val="00AC4F54"/>
    <w:rsid w:val="00AC4F69"/>
    <w:rsid w:val="00AC4F8E"/>
    <w:rsid w:val="00AC4F95"/>
    <w:rsid w:val="00AC4FA2"/>
    <w:rsid w:val="00AC4FC7"/>
    <w:rsid w:val="00AC4FDC"/>
    <w:rsid w:val="00AC502F"/>
    <w:rsid w:val="00AC5049"/>
    <w:rsid w:val="00AC5060"/>
    <w:rsid w:val="00AC508E"/>
    <w:rsid w:val="00AC5118"/>
    <w:rsid w:val="00AC519F"/>
    <w:rsid w:val="00AC529C"/>
    <w:rsid w:val="00AC52D0"/>
    <w:rsid w:val="00AC52FC"/>
    <w:rsid w:val="00AC5329"/>
    <w:rsid w:val="00AC5364"/>
    <w:rsid w:val="00AC5437"/>
    <w:rsid w:val="00AC551A"/>
    <w:rsid w:val="00AC555F"/>
    <w:rsid w:val="00AC55E8"/>
    <w:rsid w:val="00AC569F"/>
    <w:rsid w:val="00AC56C0"/>
    <w:rsid w:val="00AC56D5"/>
    <w:rsid w:val="00AC570B"/>
    <w:rsid w:val="00AC5784"/>
    <w:rsid w:val="00AC57DE"/>
    <w:rsid w:val="00AC58B6"/>
    <w:rsid w:val="00AC59F0"/>
    <w:rsid w:val="00AC5A46"/>
    <w:rsid w:val="00AC5AE6"/>
    <w:rsid w:val="00AC5B0C"/>
    <w:rsid w:val="00AC5B48"/>
    <w:rsid w:val="00AC5B75"/>
    <w:rsid w:val="00AC5B91"/>
    <w:rsid w:val="00AC5BA7"/>
    <w:rsid w:val="00AC5C58"/>
    <w:rsid w:val="00AC5C99"/>
    <w:rsid w:val="00AC5C9A"/>
    <w:rsid w:val="00AC5CA7"/>
    <w:rsid w:val="00AC5CDE"/>
    <w:rsid w:val="00AC5CEB"/>
    <w:rsid w:val="00AC5D4C"/>
    <w:rsid w:val="00AC5D63"/>
    <w:rsid w:val="00AC5DC8"/>
    <w:rsid w:val="00AC5EF3"/>
    <w:rsid w:val="00AC5F08"/>
    <w:rsid w:val="00AC5F42"/>
    <w:rsid w:val="00AC5F5E"/>
    <w:rsid w:val="00AC5F65"/>
    <w:rsid w:val="00AC5FAE"/>
    <w:rsid w:val="00AC5FD2"/>
    <w:rsid w:val="00AC6037"/>
    <w:rsid w:val="00AC610D"/>
    <w:rsid w:val="00AC6140"/>
    <w:rsid w:val="00AC6173"/>
    <w:rsid w:val="00AC6194"/>
    <w:rsid w:val="00AC620D"/>
    <w:rsid w:val="00AC627F"/>
    <w:rsid w:val="00AC62B1"/>
    <w:rsid w:val="00AC62B7"/>
    <w:rsid w:val="00AC62CE"/>
    <w:rsid w:val="00AC631C"/>
    <w:rsid w:val="00AC6376"/>
    <w:rsid w:val="00AC649C"/>
    <w:rsid w:val="00AC64BF"/>
    <w:rsid w:val="00AC6589"/>
    <w:rsid w:val="00AC659D"/>
    <w:rsid w:val="00AC65BD"/>
    <w:rsid w:val="00AC65F2"/>
    <w:rsid w:val="00AC663A"/>
    <w:rsid w:val="00AC66F0"/>
    <w:rsid w:val="00AC66FA"/>
    <w:rsid w:val="00AC6716"/>
    <w:rsid w:val="00AC676F"/>
    <w:rsid w:val="00AC6788"/>
    <w:rsid w:val="00AC6798"/>
    <w:rsid w:val="00AC67D0"/>
    <w:rsid w:val="00AC67FE"/>
    <w:rsid w:val="00AC680A"/>
    <w:rsid w:val="00AC688E"/>
    <w:rsid w:val="00AC68BA"/>
    <w:rsid w:val="00AC68F4"/>
    <w:rsid w:val="00AC69B0"/>
    <w:rsid w:val="00AC69BF"/>
    <w:rsid w:val="00AC6A1F"/>
    <w:rsid w:val="00AC6A2B"/>
    <w:rsid w:val="00AC6A77"/>
    <w:rsid w:val="00AC6AC2"/>
    <w:rsid w:val="00AC6B53"/>
    <w:rsid w:val="00AC6B64"/>
    <w:rsid w:val="00AC6BED"/>
    <w:rsid w:val="00AC6C68"/>
    <w:rsid w:val="00AC6C6B"/>
    <w:rsid w:val="00AC6C75"/>
    <w:rsid w:val="00AC6CFA"/>
    <w:rsid w:val="00AC6CFC"/>
    <w:rsid w:val="00AC6D47"/>
    <w:rsid w:val="00AC6DA4"/>
    <w:rsid w:val="00AC6DCC"/>
    <w:rsid w:val="00AC6DCF"/>
    <w:rsid w:val="00AC6DD5"/>
    <w:rsid w:val="00AC6DEE"/>
    <w:rsid w:val="00AC6E96"/>
    <w:rsid w:val="00AC6EC3"/>
    <w:rsid w:val="00AC6F03"/>
    <w:rsid w:val="00AC70C4"/>
    <w:rsid w:val="00AC70CB"/>
    <w:rsid w:val="00AC7113"/>
    <w:rsid w:val="00AC7154"/>
    <w:rsid w:val="00AC717E"/>
    <w:rsid w:val="00AC71D7"/>
    <w:rsid w:val="00AC720C"/>
    <w:rsid w:val="00AC731D"/>
    <w:rsid w:val="00AC7361"/>
    <w:rsid w:val="00AC73F7"/>
    <w:rsid w:val="00AC7404"/>
    <w:rsid w:val="00AC740E"/>
    <w:rsid w:val="00AC74BF"/>
    <w:rsid w:val="00AC74F9"/>
    <w:rsid w:val="00AC7514"/>
    <w:rsid w:val="00AC7522"/>
    <w:rsid w:val="00AC7526"/>
    <w:rsid w:val="00AC759E"/>
    <w:rsid w:val="00AC765E"/>
    <w:rsid w:val="00AC76C8"/>
    <w:rsid w:val="00AC7798"/>
    <w:rsid w:val="00AC77FF"/>
    <w:rsid w:val="00AC7846"/>
    <w:rsid w:val="00AC78A2"/>
    <w:rsid w:val="00AC78C3"/>
    <w:rsid w:val="00AC7930"/>
    <w:rsid w:val="00AC79B4"/>
    <w:rsid w:val="00AC79C7"/>
    <w:rsid w:val="00AC79DA"/>
    <w:rsid w:val="00AC7AE2"/>
    <w:rsid w:val="00AC7B86"/>
    <w:rsid w:val="00AC7BCB"/>
    <w:rsid w:val="00AC7DDB"/>
    <w:rsid w:val="00AC7E16"/>
    <w:rsid w:val="00AC7F3C"/>
    <w:rsid w:val="00AC7F44"/>
    <w:rsid w:val="00AC7F6A"/>
    <w:rsid w:val="00AD004B"/>
    <w:rsid w:val="00AD004E"/>
    <w:rsid w:val="00AD0064"/>
    <w:rsid w:val="00AD0130"/>
    <w:rsid w:val="00AD013C"/>
    <w:rsid w:val="00AD018E"/>
    <w:rsid w:val="00AD01B0"/>
    <w:rsid w:val="00AD0220"/>
    <w:rsid w:val="00AD032A"/>
    <w:rsid w:val="00AD03A5"/>
    <w:rsid w:val="00AD03B4"/>
    <w:rsid w:val="00AD03B9"/>
    <w:rsid w:val="00AD03E0"/>
    <w:rsid w:val="00AD0407"/>
    <w:rsid w:val="00AD046C"/>
    <w:rsid w:val="00AD046D"/>
    <w:rsid w:val="00AD0471"/>
    <w:rsid w:val="00AD048D"/>
    <w:rsid w:val="00AD04A9"/>
    <w:rsid w:val="00AD04D4"/>
    <w:rsid w:val="00AD0527"/>
    <w:rsid w:val="00AD0533"/>
    <w:rsid w:val="00AD0534"/>
    <w:rsid w:val="00AD0630"/>
    <w:rsid w:val="00AD064D"/>
    <w:rsid w:val="00AD0697"/>
    <w:rsid w:val="00AD06C3"/>
    <w:rsid w:val="00AD06E9"/>
    <w:rsid w:val="00AD06F5"/>
    <w:rsid w:val="00AD07A3"/>
    <w:rsid w:val="00AD0859"/>
    <w:rsid w:val="00AD085B"/>
    <w:rsid w:val="00AD0877"/>
    <w:rsid w:val="00AD08BD"/>
    <w:rsid w:val="00AD08D5"/>
    <w:rsid w:val="00AD08D9"/>
    <w:rsid w:val="00AD08DE"/>
    <w:rsid w:val="00AD0A31"/>
    <w:rsid w:val="00AD0A38"/>
    <w:rsid w:val="00AD0A3B"/>
    <w:rsid w:val="00AD0A41"/>
    <w:rsid w:val="00AD0B1E"/>
    <w:rsid w:val="00AD0B20"/>
    <w:rsid w:val="00AD0B32"/>
    <w:rsid w:val="00AD0B8A"/>
    <w:rsid w:val="00AD0B91"/>
    <w:rsid w:val="00AD0B9F"/>
    <w:rsid w:val="00AD0BA0"/>
    <w:rsid w:val="00AD0CFE"/>
    <w:rsid w:val="00AD0D3D"/>
    <w:rsid w:val="00AD0D57"/>
    <w:rsid w:val="00AD0EB9"/>
    <w:rsid w:val="00AD0EBC"/>
    <w:rsid w:val="00AD0EE1"/>
    <w:rsid w:val="00AD0EF8"/>
    <w:rsid w:val="00AD0F00"/>
    <w:rsid w:val="00AD0F02"/>
    <w:rsid w:val="00AD1021"/>
    <w:rsid w:val="00AD1030"/>
    <w:rsid w:val="00AD1047"/>
    <w:rsid w:val="00AD1097"/>
    <w:rsid w:val="00AD111E"/>
    <w:rsid w:val="00AD11C2"/>
    <w:rsid w:val="00AD122E"/>
    <w:rsid w:val="00AD127A"/>
    <w:rsid w:val="00AD12DE"/>
    <w:rsid w:val="00AD12E8"/>
    <w:rsid w:val="00AD1321"/>
    <w:rsid w:val="00AD13C8"/>
    <w:rsid w:val="00AD13DF"/>
    <w:rsid w:val="00AD13F0"/>
    <w:rsid w:val="00AD14A1"/>
    <w:rsid w:val="00AD14C0"/>
    <w:rsid w:val="00AD14DA"/>
    <w:rsid w:val="00AD1536"/>
    <w:rsid w:val="00AD15C0"/>
    <w:rsid w:val="00AD15C4"/>
    <w:rsid w:val="00AD1641"/>
    <w:rsid w:val="00AD167E"/>
    <w:rsid w:val="00AD16A0"/>
    <w:rsid w:val="00AD16C7"/>
    <w:rsid w:val="00AD16D3"/>
    <w:rsid w:val="00AD17A9"/>
    <w:rsid w:val="00AD182E"/>
    <w:rsid w:val="00AD185F"/>
    <w:rsid w:val="00AD18AB"/>
    <w:rsid w:val="00AD195A"/>
    <w:rsid w:val="00AD19BF"/>
    <w:rsid w:val="00AD1A43"/>
    <w:rsid w:val="00AD1A55"/>
    <w:rsid w:val="00AD1A6C"/>
    <w:rsid w:val="00AD1AC4"/>
    <w:rsid w:val="00AD1B2C"/>
    <w:rsid w:val="00AD1B4C"/>
    <w:rsid w:val="00AD1BAD"/>
    <w:rsid w:val="00AD1CDA"/>
    <w:rsid w:val="00AD1DAE"/>
    <w:rsid w:val="00AD1EA6"/>
    <w:rsid w:val="00AD1EE9"/>
    <w:rsid w:val="00AD1EF2"/>
    <w:rsid w:val="00AD1F6D"/>
    <w:rsid w:val="00AD2087"/>
    <w:rsid w:val="00AD20A8"/>
    <w:rsid w:val="00AD20B0"/>
    <w:rsid w:val="00AD20C9"/>
    <w:rsid w:val="00AD2166"/>
    <w:rsid w:val="00AD2181"/>
    <w:rsid w:val="00AD218A"/>
    <w:rsid w:val="00AD2236"/>
    <w:rsid w:val="00AD2252"/>
    <w:rsid w:val="00AD2288"/>
    <w:rsid w:val="00AD22D7"/>
    <w:rsid w:val="00AD2332"/>
    <w:rsid w:val="00AD237A"/>
    <w:rsid w:val="00AD23F2"/>
    <w:rsid w:val="00AD2430"/>
    <w:rsid w:val="00AD2433"/>
    <w:rsid w:val="00AD2457"/>
    <w:rsid w:val="00AD24E9"/>
    <w:rsid w:val="00AD254F"/>
    <w:rsid w:val="00AD25B0"/>
    <w:rsid w:val="00AD25F9"/>
    <w:rsid w:val="00AD260D"/>
    <w:rsid w:val="00AD2635"/>
    <w:rsid w:val="00AD2646"/>
    <w:rsid w:val="00AD26C1"/>
    <w:rsid w:val="00AD26D9"/>
    <w:rsid w:val="00AD273D"/>
    <w:rsid w:val="00AD2764"/>
    <w:rsid w:val="00AD2769"/>
    <w:rsid w:val="00AD2787"/>
    <w:rsid w:val="00AD2800"/>
    <w:rsid w:val="00AD2866"/>
    <w:rsid w:val="00AD2884"/>
    <w:rsid w:val="00AD28E4"/>
    <w:rsid w:val="00AD28F8"/>
    <w:rsid w:val="00AD293B"/>
    <w:rsid w:val="00AD2953"/>
    <w:rsid w:val="00AD29D6"/>
    <w:rsid w:val="00AD2A5B"/>
    <w:rsid w:val="00AD2A6B"/>
    <w:rsid w:val="00AD2ACB"/>
    <w:rsid w:val="00AD2B0C"/>
    <w:rsid w:val="00AD2B4C"/>
    <w:rsid w:val="00AD2B6D"/>
    <w:rsid w:val="00AD2B85"/>
    <w:rsid w:val="00AD2B8E"/>
    <w:rsid w:val="00AD2BF0"/>
    <w:rsid w:val="00AD2C65"/>
    <w:rsid w:val="00AD2CB2"/>
    <w:rsid w:val="00AD2CD1"/>
    <w:rsid w:val="00AD2CDD"/>
    <w:rsid w:val="00AD2CE8"/>
    <w:rsid w:val="00AD2DDF"/>
    <w:rsid w:val="00AD2E1B"/>
    <w:rsid w:val="00AD2E52"/>
    <w:rsid w:val="00AD2E57"/>
    <w:rsid w:val="00AD2EB0"/>
    <w:rsid w:val="00AD2F26"/>
    <w:rsid w:val="00AD2F7E"/>
    <w:rsid w:val="00AD2FF4"/>
    <w:rsid w:val="00AD301E"/>
    <w:rsid w:val="00AD3029"/>
    <w:rsid w:val="00AD3038"/>
    <w:rsid w:val="00AD303E"/>
    <w:rsid w:val="00AD3074"/>
    <w:rsid w:val="00AD311B"/>
    <w:rsid w:val="00AD3135"/>
    <w:rsid w:val="00AD313B"/>
    <w:rsid w:val="00AD31B8"/>
    <w:rsid w:val="00AD32EE"/>
    <w:rsid w:val="00AD3326"/>
    <w:rsid w:val="00AD335B"/>
    <w:rsid w:val="00AD3387"/>
    <w:rsid w:val="00AD33E1"/>
    <w:rsid w:val="00AD34D2"/>
    <w:rsid w:val="00AD3658"/>
    <w:rsid w:val="00AD36C3"/>
    <w:rsid w:val="00AD36D2"/>
    <w:rsid w:val="00AD372E"/>
    <w:rsid w:val="00AD3746"/>
    <w:rsid w:val="00AD374D"/>
    <w:rsid w:val="00AD3785"/>
    <w:rsid w:val="00AD37B1"/>
    <w:rsid w:val="00AD38A2"/>
    <w:rsid w:val="00AD38C5"/>
    <w:rsid w:val="00AD38CD"/>
    <w:rsid w:val="00AD38E2"/>
    <w:rsid w:val="00AD391A"/>
    <w:rsid w:val="00AD3957"/>
    <w:rsid w:val="00AD3966"/>
    <w:rsid w:val="00AD39A7"/>
    <w:rsid w:val="00AD39BA"/>
    <w:rsid w:val="00AD39C9"/>
    <w:rsid w:val="00AD3A5F"/>
    <w:rsid w:val="00AD3B67"/>
    <w:rsid w:val="00AD3C48"/>
    <w:rsid w:val="00AD3CCF"/>
    <w:rsid w:val="00AD3D0C"/>
    <w:rsid w:val="00AD3D36"/>
    <w:rsid w:val="00AD3D47"/>
    <w:rsid w:val="00AD3D4B"/>
    <w:rsid w:val="00AD3D50"/>
    <w:rsid w:val="00AD3D5E"/>
    <w:rsid w:val="00AD3D5F"/>
    <w:rsid w:val="00AD3DA4"/>
    <w:rsid w:val="00AD3E37"/>
    <w:rsid w:val="00AD3ED5"/>
    <w:rsid w:val="00AD3F1D"/>
    <w:rsid w:val="00AD3F43"/>
    <w:rsid w:val="00AD3F44"/>
    <w:rsid w:val="00AD3F76"/>
    <w:rsid w:val="00AD3F79"/>
    <w:rsid w:val="00AD3FB0"/>
    <w:rsid w:val="00AD409F"/>
    <w:rsid w:val="00AD4103"/>
    <w:rsid w:val="00AD4139"/>
    <w:rsid w:val="00AD4148"/>
    <w:rsid w:val="00AD4158"/>
    <w:rsid w:val="00AD4173"/>
    <w:rsid w:val="00AD41A3"/>
    <w:rsid w:val="00AD41DA"/>
    <w:rsid w:val="00AD41E4"/>
    <w:rsid w:val="00AD421C"/>
    <w:rsid w:val="00AD424B"/>
    <w:rsid w:val="00AD4287"/>
    <w:rsid w:val="00AD42D6"/>
    <w:rsid w:val="00AD4357"/>
    <w:rsid w:val="00AD4471"/>
    <w:rsid w:val="00AD448A"/>
    <w:rsid w:val="00AD449E"/>
    <w:rsid w:val="00AD44BB"/>
    <w:rsid w:val="00AD44E8"/>
    <w:rsid w:val="00AD45C2"/>
    <w:rsid w:val="00AD45C9"/>
    <w:rsid w:val="00AD4652"/>
    <w:rsid w:val="00AD469F"/>
    <w:rsid w:val="00AD4724"/>
    <w:rsid w:val="00AD4754"/>
    <w:rsid w:val="00AD4757"/>
    <w:rsid w:val="00AD47A8"/>
    <w:rsid w:val="00AD47D7"/>
    <w:rsid w:val="00AD47EF"/>
    <w:rsid w:val="00AD4848"/>
    <w:rsid w:val="00AD4856"/>
    <w:rsid w:val="00AD489C"/>
    <w:rsid w:val="00AD48BB"/>
    <w:rsid w:val="00AD4924"/>
    <w:rsid w:val="00AD49D1"/>
    <w:rsid w:val="00AD49F2"/>
    <w:rsid w:val="00AD4A51"/>
    <w:rsid w:val="00AD4A78"/>
    <w:rsid w:val="00AD4A9D"/>
    <w:rsid w:val="00AD4B0E"/>
    <w:rsid w:val="00AD4B49"/>
    <w:rsid w:val="00AD4B8F"/>
    <w:rsid w:val="00AD4B92"/>
    <w:rsid w:val="00AD4CAA"/>
    <w:rsid w:val="00AD4D10"/>
    <w:rsid w:val="00AD4D1D"/>
    <w:rsid w:val="00AD4D2B"/>
    <w:rsid w:val="00AD4DD6"/>
    <w:rsid w:val="00AD4DDB"/>
    <w:rsid w:val="00AD4E6C"/>
    <w:rsid w:val="00AD4E80"/>
    <w:rsid w:val="00AD4EAE"/>
    <w:rsid w:val="00AD4EB9"/>
    <w:rsid w:val="00AD4F8A"/>
    <w:rsid w:val="00AD4FD1"/>
    <w:rsid w:val="00AD5092"/>
    <w:rsid w:val="00AD51A3"/>
    <w:rsid w:val="00AD523C"/>
    <w:rsid w:val="00AD526F"/>
    <w:rsid w:val="00AD5290"/>
    <w:rsid w:val="00AD52AE"/>
    <w:rsid w:val="00AD52C0"/>
    <w:rsid w:val="00AD531E"/>
    <w:rsid w:val="00AD53D9"/>
    <w:rsid w:val="00AD5458"/>
    <w:rsid w:val="00AD54CB"/>
    <w:rsid w:val="00AD54D8"/>
    <w:rsid w:val="00AD552B"/>
    <w:rsid w:val="00AD5653"/>
    <w:rsid w:val="00AD5686"/>
    <w:rsid w:val="00AD568B"/>
    <w:rsid w:val="00AD5752"/>
    <w:rsid w:val="00AD576F"/>
    <w:rsid w:val="00AD5798"/>
    <w:rsid w:val="00AD57C6"/>
    <w:rsid w:val="00AD582F"/>
    <w:rsid w:val="00AD5862"/>
    <w:rsid w:val="00AD5972"/>
    <w:rsid w:val="00AD5A4B"/>
    <w:rsid w:val="00AD5A5F"/>
    <w:rsid w:val="00AD5A82"/>
    <w:rsid w:val="00AD5AFE"/>
    <w:rsid w:val="00AD5B1A"/>
    <w:rsid w:val="00AD5B39"/>
    <w:rsid w:val="00AD5C31"/>
    <w:rsid w:val="00AD5C39"/>
    <w:rsid w:val="00AD5C43"/>
    <w:rsid w:val="00AD5C48"/>
    <w:rsid w:val="00AD5C66"/>
    <w:rsid w:val="00AD5D09"/>
    <w:rsid w:val="00AD5D6C"/>
    <w:rsid w:val="00AD5DBD"/>
    <w:rsid w:val="00AD5DBF"/>
    <w:rsid w:val="00AD5E30"/>
    <w:rsid w:val="00AD5F00"/>
    <w:rsid w:val="00AD5F03"/>
    <w:rsid w:val="00AD5F18"/>
    <w:rsid w:val="00AD5F31"/>
    <w:rsid w:val="00AD5F35"/>
    <w:rsid w:val="00AD5F59"/>
    <w:rsid w:val="00AD5F8C"/>
    <w:rsid w:val="00AD5FC5"/>
    <w:rsid w:val="00AD5FCF"/>
    <w:rsid w:val="00AD5FE7"/>
    <w:rsid w:val="00AD5FEA"/>
    <w:rsid w:val="00AD610C"/>
    <w:rsid w:val="00AD610D"/>
    <w:rsid w:val="00AD61A1"/>
    <w:rsid w:val="00AD61A3"/>
    <w:rsid w:val="00AD61E4"/>
    <w:rsid w:val="00AD6250"/>
    <w:rsid w:val="00AD6276"/>
    <w:rsid w:val="00AD6379"/>
    <w:rsid w:val="00AD64B6"/>
    <w:rsid w:val="00AD6536"/>
    <w:rsid w:val="00AD653D"/>
    <w:rsid w:val="00AD6560"/>
    <w:rsid w:val="00AD6620"/>
    <w:rsid w:val="00AD6647"/>
    <w:rsid w:val="00AD6674"/>
    <w:rsid w:val="00AD6698"/>
    <w:rsid w:val="00AD669D"/>
    <w:rsid w:val="00AD66E1"/>
    <w:rsid w:val="00AD6776"/>
    <w:rsid w:val="00AD6790"/>
    <w:rsid w:val="00AD67BC"/>
    <w:rsid w:val="00AD6860"/>
    <w:rsid w:val="00AD68C9"/>
    <w:rsid w:val="00AD68D3"/>
    <w:rsid w:val="00AD68E2"/>
    <w:rsid w:val="00AD6949"/>
    <w:rsid w:val="00AD697D"/>
    <w:rsid w:val="00AD69E5"/>
    <w:rsid w:val="00AD6ACD"/>
    <w:rsid w:val="00AD6AE1"/>
    <w:rsid w:val="00AD6AE6"/>
    <w:rsid w:val="00AD6B00"/>
    <w:rsid w:val="00AD6B15"/>
    <w:rsid w:val="00AD6B2F"/>
    <w:rsid w:val="00AD6B66"/>
    <w:rsid w:val="00AD6B8C"/>
    <w:rsid w:val="00AD6BB6"/>
    <w:rsid w:val="00AD6C1F"/>
    <w:rsid w:val="00AD6D72"/>
    <w:rsid w:val="00AD6DC0"/>
    <w:rsid w:val="00AD6DFE"/>
    <w:rsid w:val="00AD6E0D"/>
    <w:rsid w:val="00AD6ECB"/>
    <w:rsid w:val="00AD6F65"/>
    <w:rsid w:val="00AD6FCF"/>
    <w:rsid w:val="00AD6FDA"/>
    <w:rsid w:val="00AD702B"/>
    <w:rsid w:val="00AD702C"/>
    <w:rsid w:val="00AD70A1"/>
    <w:rsid w:val="00AD7144"/>
    <w:rsid w:val="00AD71B3"/>
    <w:rsid w:val="00AD71DE"/>
    <w:rsid w:val="00AD7203"/>
    <w:rsid w:val="00AD723E"/>
    <w:rsid w:val="00AD7243"/>
    <w:rsid w:val="00AD72DE"/>
    <w:rsid w:val="00AD7331"/>
    <w:rsid w:val="00AD7356"/>
    <w:rsid w:val="00AD73CC"/>
    <w:rsid w:val="00AD7489"/>
    <w:rsid w:val="00AD74FE"/>
    <w:rsid w:val="00AD7545"/>
    <w:rsid w:val="00AD75DB"/>
    <w:rsid w:val="00AD75F4"/>
    <w:rsid w:val="00AD76A2"/>
    <w:rsid w:val="00AD770F"/>
    <w:rsid w:val="00AD7745"/>
    <w:rsid w:val="00AD77D7"/>
    <w:rsid w:val="00AD791F"/>
    <w:rsid w:val="00AD7979"/>
    <w:rsid w:val="00AD7AA2"/>
    <w:rsid w:val="00AD7B19"/>
    <w:rsid w:val="00AD7B29"/>
    <w:rsid w:val="00AD7B78"/>
    <w:rsid w:val="00AD7C8C"/>
    <w:rsid w:val="00AD7CAF"/>
    <w:rsid w:val="00AD7D7A"/>
    <w:rsid w:val="00AD7DB6"/>
    <w:rsid w:val="00AD7DE9"/>
    <w:rsid w:val="00AD7E50"/>
    <w:rsid w:val="00AD7E6E"/>
    <w:rsid w:val="00AD7F00"/>
    <w:rsid w:val="00AD7F01"/>
    <w:rsid w:val="00AD7FA5"/>
    <w:rsid w:val="00AD7FB5"/>
    <w:rsid w:val="00AE00A3"/>
    <w:rsid w:val="00AE00BC"/>
    <w:rsid w:val="00AE00CF"/>
    <w:rsid w:val="00AE00D6"/>
    <w:rsid w:val="00AE011C"/>
    <w:rsid w:val="00AE0233"/>
    <w:rsid w:val="00AE0238"/>
    <w:rsid w:val="00AE026C"/>
    <w:rsid w:val="00AE028E"/>
    <w:rsid w:val="00AE046D"/>
    <w:rsid w:val="00AE0486"/>
    <w:rsid w:val="00AE048F"/>
    <w:rsid w:val="00AE04AC"/>
    <w:rsid w:val="00AE04AE"/>
    <w:rsid w:val="00AE04BC"/>
    <w:rsid w:val="00AE0553"/>
    <w:rsid w:val="00AE05BD"/>
    <w:rsid w:val="00AE05E7"/>
    <w:rsid w:val="00AE05F9"/>
    <w:rsid w:val="00AE060F"/>
    <w:rsid w:val="00AE0658"/>
    <w:rsid w:val="00AE0677"/>
    <w:rsid w:val="00AE06AB"/>
    <w:rsid w:val="00AE0760"/>
    <w:rsid w:val="00AE07B3"/>
    <w:rsid w:val="00AE0815"/>
    <w:rsid w:val="00AE09FB"/>
    <w:rsid w:val="00AE0A94"/>
    <w:rsid w:val="00AE0AA3"/>
    <w:rsid w:val="00AE0B01"/>
    <w:rsid w:val="00AE0B62"/>
    <w:rsid w:val="00AE0BD5"/>
    <w:rsid w:val="00AE0C30"/>
    <w:rsid w:val="00AE0D07"/>
    <w:rsid w:val="00AE0D28"/>
    <w:rsid w:val="00AE0D44"/>
    <w:rsid w:val="00AE0E57"/>
    <w:rsid w:val="00AE0EF0"/>
    <w:rsid w:val="00AE0EF1"/>
    <w:rsid w:val="00AE0F0C"/>
    <w:rsid w:val="00AE0F3E"/>
    <w:rsid w:val="00AE0FBF"/>
    <w:rsid w:val="00AE0FDF"/>
    <w:rsid w:val="00AE0FF0"/>
    <w:rsid w:val="00AE102A"/>
    <w:rsid w:val="00AE1069"/>
    <w:rsid w:val="00AE1072"/>
    <w:rsid w:val="00AE10EC"/>
    <w:rsid w:val="00AE1165"/>
    <w:rsid w:val="00AE117B"/>
    <w:rsid w:val="00AE1184"/>
    <w:rsid w:val="00AE120E"/>
    <w:rsid w:val="00AE1239"/>
    <w:rsid w:val="00AE135F"/>
    <w:rsid w:val="00AE13A1"/>
    <w:rsid w:val="00AE141A"/>
    <w:rsid w:val="00AE14A6"/>
    <w:rsid w:val="00AE1512"/>
    <w:rsid w:val="00AE1566"/>
    <w:rsid w:val="00AE1597"/>
    <w:rsid w:val="00AE15B1"/>
    <w:rsid w:val="00AE1623"/>
    <w:rsid w:val="00AE1697"/>
    <w:rsid w:val="00AE16BC"/>
    <w:rsid w:val="00AE1792"/>
    <w:rsid w:val="00AE1794"/>
    <w:rsid w:val="00AE17A3"/>
    <w:rsid w:val="00AE17E2"/>
    <w:rsid w:val="00AE17F0"/>
    <w:rsid w:val="00AE1812"/>
    <w:rsid w:val="00AE182A"/>
    <w:rsid w:val="00AE186C"/>
    <w:rsid w:val="00AE188E"/>
    <w:rsid w:val="00AE18C7"/>
    <w:rsid w:val="00AE18DA"/>
    <w:rsid w:val="00AE192E"/>
    <w:rsid w:val="00AE194E"/>
    <w:rsid w:val="00AE199B"/>
    <w:rsid w:val="00AE19AD"/>
    <w:rsid w:val="00AE19B1"/>
    <w:rsid w:val="00AE1B94"/>
    <w:rsid w:val="00AE1BDF"/>
    <w:rsid w:val="00AE1BEB"/>
    <w:rsid w:val="00AE1C36"/>
    <w:rsid w:val="00AE1C4F"/>
    <w:rsid w:val="00AE1C76"/>
    <w:rsid w:val="00AE1C78"/>
    <w:rsid w:val="00AE1CD5"/>
    <w:rsid w:val="00AE1CDD"/>
    <w:rsid w:val="00AE1D08"/>
    <w:rsid w:val="00AE1DA2"/>
    <w:rsid w:val="00AE1E76"/>
    <w:rsid w:val="00AE1EE9"/>
    <w:rsid w:val="00AE1F17"/>
    <w:rsid w:val="00AE1F4D"/>
    <w:rsid w:val="00AE1F9F"/>
    <w:rsid w:val="00AE2047"/>
    <w:rsid w:val="00AE20CC"/>
    <w:rsid w:val="00AE211A"/>
    <w:rsid w:val="00AE2125"/>
    <w:rsid w:val="00AE21E5"/>
    <w:rsid w:val="00AE2204"/>
    <w:rsid w:val="00AE2217"/>
    <w:rsid w:val="00AE2250"/>
    <w:rsid w:val="00AE2337"/>
    <w:rsid w:val="00AE233B"/>
    <w:rsid w:val="00AE23D3"/>
    <w:rsid w:val="00AE23EB"/>
    <w:rsid w:val="00AE23EC"/>
    <w:rsid w:val="00AE2423"/>
    <w:rsid w:val="00AE244E"/>
    <w:rsid w:val="00AE2461"/>
    <w:rsid w:val="00AE24D0"/>
    <w:rsid w:val="00AE24DF"/>
    <w:rsid w:val="00AE2501"/>
    <w:rsid w:val="00AE2528"/>
    <w:rsid w:val="00AE2570"/>
    <w:rsid w:val="00AE2597"/>
    <w:rsid w:val="00AE2599"/>
    <w:rsid w:val="00AE25B4"/>
    <w:rsid w:val="00AE25CD"/>
    <w:rsid w:val="00AE25FC"/>
    <w:rsid w:val="00AE287C"/>
    <w:rsid w:val="00AE296E"/>
    <w:rsid w:val="00AE2972"/>
    <w:rsid w:val="00AE299B"/>
    <w:rsid w:val="00AE2ABF"/>
    <w:rsid w:val="00AE2BAE"/>
    <w:rsid w:val="00AE2BBC"/>
    <w:rsid w:val="00AE2BC5"/>
    <w:rsid w:val="00AE2C1A"/>
    <w:rsid w:val="00AE2C57"/>
    <w:rsid w:val="00AE2D42"/>
    <w:rsid w:val="00AE2E94"/>
    <w:rsid w:val="00AE2ED8"/>
    <w:rsid w:val="00AE2F32"/>
    <w:rsid w:val="00AE2F36"/>
    <w:rsid w:val="00AE2F5C"/>
    <w:rsid w:val="00AE2F90"/>
    <w:rsid w:val="00AE2FDD"/>
    <w:rsid w:val="00AE30A9"/>
    <w:rsid w:val="00AE31F1"/>
    <w:rsid w:val="00AE327F"/>
    <w:rsid w:val="00AE3300"/>
    <w:rsid w:val="00AE33A8"/>
    <w:rsid w:val="00AE34A2"/>
    <w:rsid w:val="00AE3717"/>
    <w:rsid w:val="00AE375E"/>
    <w:rsid w:val="00AE37DF"/>
    <w:rsid w:val="00AE37FC"/>
    <w:rsid w:val="00AE3813"/>
    <w:rsid w:val="00AE3866"/>
    <w:rsid w:val="00AE3869"/>
    <w:rsid w:val="00AE388D"/>
    <w:rsid w:val="00AE389F"/>
    <w:rsid w:val="00AE38DC"/>
    <w:rsid w:val="00AE3957"/>
    <w:rsid w:val="00AE39D2"/>
    <w:rsid w:val="00AE3A1D"/>
    <w:rsid w:val="00AE3A55"/>
    <w:rsid w:val="00AE3A94"/>
    <w:rsid w:val="00AE3ACB"/>
    <w:rsid w:val="00AE3BCE"/>
    <w:rsid w:val="00AE3C4A"/>
    <w:rsid w:val="00AE3CC3"/>
    <w:rsid w:val="00AE3D4F"/>
    <w:rsid w:val="00AE3D9A"/>
    <w:rsid w:val="00AE3DD5"/>
    <w:rsid w:val="00AE3E33"/>
    <w:rsid w:val="00AE4028"/>
    <w:rsid w:val="00AE4037"/>
    <w:rsid w:val="00AE409B"/>
    <w:rsid w:val="00AE40E8"/>
    <w:rsid w:val="00AE4151"/>
    <w:rsid w:val="00AE416F"/>
    <w:rsid w:val="00AE4223"/>
    <w:rsid w:val="00AE4276"/>
    <w:rsid w:val="00AE42CD"/>
    <w:rsid w:val="00AE4328"/>
    <w:rsid w:val="00AE4359"/>
    <w:rsid w:val="00AE43D1"/>
    <w:rsid w:val="00AE43DE"/>
    <w:rsid w:val="00AE43F4"/>
    <w:rsid w:val="00AE4470"/>
    <w:rsid w:val="00AE44FA"/>
    <w:rsid w:val="00AE450B"/>
    <w:rsid w:val="00AE457B"/>
    <w:rsid w:val="00AE4589"/>
    <w:rsid w:val="00AE45A0"/>
    <w:rsid w:val="00AE45AE"/>
    <w:rsid w:val="00AE45BD"/>
    <w:rsid w:val="00AE45CD"/>
    <w:rsid w:val="00AE4656"/>
    <w:rsid w:val="00AE46A7"/>
    <w:rsid w:val="00AE46DA"/>
    <w:rsid w:val="00AE4700"/>
    <w:rsid w:val="00AE4740"/>
    <w:rsid w:val="00AE4753"/>
    <w:rsid w:val="00AE475F"/>
    <w:rsid w:val="00AE47F2"/>
    <w:rsid w:val="00AE4895"/>
    <w:rsid w:val="00AE48C1"/>
    <w:rsid w:val="00AE48CD"/>
    <w:rsid w:val="00AE4931"/>
    <w:rsid w:val="00AE4955"/>
    <w:rsid w:val="00AE495B"/>
    <w:rsid w:val="00AE49D3"/>
    <w:rsid w:val="00AE4A56"/>
    <w:rsid w:val="00AE4AB3"/>
    <w:rsid w:val="00AE4AB6"/>
    <w:rsid w:val="00AE4ABF"/>
    <w:rsid w:val="00AE4B0C"/>
    <w:rsid w:val="00AE4B11"/>
    <w:rsid w:val="00AE4C16"/>
    <w:rsid w:val="00AE4C30"/>
    <w:rsid w:val="00AE4C42"/>
    <w:rsid w:val="00AE4D08"/>
    <w:rsid w:val="00AE4D71"/>
    <w:rsid w:val="00AE4DA7"/>
    <w:rsid w:val="00AE4DD9"/>
    <w:rsid w:val="00AE4DE3"/>
    <w:rsid w:val="00AE4DE4"/>
    <w:rsid w:val="00AE4EFB"/>
    <w:rsid w:val="00AE4F17"/>
    <w:rsid w:val="00AE5040"/>
    <w:rsid w:val="00AE50E9"/>
    <w:rsid w:val="00AE518D"/>
    <w:rsid w:val="00AE51F2"/>
    <w:rsid w:val="00AE5427"/>
    <w:rsid w:val="00AE5475"/>
    <w:rsid w:val="00AE547D"/>
    <w:rsid w:val="00AE547E"/>
    <w:rsid w:val="00AE54B5"/>
    <w:rsid w:val="00AE5552"/>
    <w:rsid w:val="00AE5567"/>
    <w:rsid w:val="00AE5676"/>
    <w:rsid w:val="00AE5723"/>
    <w:rsid w:val="00AE5725"/>
    <w:rsid w:val="00AE579A"/>
    <w:rsid w:val="00AE57F7"/>
    <w:rsid w:val="00AE58D9"/>
    <w:rsid w:val="00AE5973"/>
    <w:rsid w:val="00AE597A"/>
    <w:rsid w:val="00AE59BA"/>
    <w:rsid w:val="00AE5A68"/>
    <w:rsid w:val="00AE5AAE"/>
    <w:rsid w:val="00AE5AE9"/>
    <w:rsid w:val="00AE5B82"/>
    <w:rsid w:val="00AE5C71"/>
    <w:rsid w:val="00AE5CB6"/>
    <w:rsid w:val="00AE5CBD"/>
    <w:rsid w:val="00AE5CE9"/>
    <w:rsid w:val="00AE5D36"/>
    <w:rsid w:val="00AE5D78"/>
    <w:rsid w:val="00AE5DC0"/>
    <w:rsid w:val="00AE5DDB"/>
    <w:rsid w:val="00AE5DEF"/>
    <w:rsid w:val="00AE5E47"/>
    <w:rsid w:val="00AE5E80"/>
    <w:rsid w:val="00AE5EBB"/>
    <w:rsid w:val="00AE5F8D"/>
    <w:rsid w:val="00AE5F94"/>
    <w:rsid w:val="00AE6079"/>
    <w:rsid w:val="00AE60BB"/>
    <w:rsid w:val="00AE6148"/>
    <w:rsid w:val="00AE61CE"/>
    <w:rsid w:val="00AE6258"/>
    <w:rsid w:val="00AE62B2"/>
    <w:rsid w:val="00AE62EC"/>
    <w:rsid w:val="00AE634D"/>
    <w:rsid w:val="00AE6358"/>
    <w:rsid w:val="00AE63EF"/>
    <w:rsid w:val="00AE6408"/>
    <w:rsid w:val="00AE644B"/>
    <w:rsid w:val="00AE6451"/>
    <w:rsid w:val="00AE646D"/>
    <w:rsid w:val="00AE6543"/>
    <w:rsid w:val="00AE6570"/>
    <w:rsid w:val="00AE659D"/>
    <w:rsid w:val="00AE65A5"/>
    <w:rsid w:val="00AE65AF"/>
    <w:rsid w:val="00AE660F"/>
    <w:rsid w:val="00AE6667"/>
    <w:rsid w:val="00AE6768"/>
    <w:rsid w:val="00AE677A"/>
    <w:rsid w:val="00AE678E"/>
    <w:rsid w:val="00AE6818"/>
    <w:rsid w:val="00AE6852"/>
    <w:rsid w:val="00AE68D4"/>
    <w:rsid w:val="00AE6916"/>
    <w:rsid w:val="00AE6926"/>
    <w:rsid w:val="00AE6995"/>
    <w:rsid w:val="00AE69BF"/>
    <w:rsid w:val="00AE6A70"/>
    <w:rsid w:val="00AE6A9F"/>
    <w:rsid w:val="00AE6B2C"/>
    <w:rsid w:val="00AE6B6A"/>
    <w:rsid w:val="00AE6C2F"/>
    <w:rsid w:val="00AE6CD9"/>
    <w:rsid w:val="00AE6D0D"/>
    <w:rsid w:val="00AE6D2F"/>
    <w:rsid w:val="00AE6D32"/>
    <w:rsid w:val="00AE6D5F"/>
    <w:rsid w:val="00AE6E01"/>
    <w:rsid w:val="00AE6E02"/>
    <w:rsid w:val="00AE6E0D"/>
    <w:rsid w:val="00AE6E0F"/>
    <w:rsid w:val="00AE6E80"/>
    <w:rsid w:val="00AE6E99"/>
    <w:rsid w:val="00AE6EB5"/>
    <w:rsid w:val="00AE6ED7"/>
    <w:rsid w:val="00AE6F75"/>
    <w:rsid w:val="00AE6FAD"/>
    <w:rsid w:val="00AE7005"/>
    <w:rsid w:val="00AE7025"/>
    <w:rsid w:val="00AE7051"/>
    <w:rsid w:val="00AE70B4"/>
    <w:rsid w:val="00AE7110"/>
    <w:rsid w:val="00AE711E"/>
    <w:rsid w:val="00AE7176"/>
    <w:rsid w:val="00AE7240"/>
    <w:rsid w:val="00AE72E6"/>
    <w:rsid w:val="00AE733D"/>
    <w:rsid w:val="00AE7371"/>
    <w:rsid w:val="00AE73BC"/>
    <w:rsid w:val="00AE7498"/>
    <w:rsid w:val="00AE74DD"/>
    <w:rsid w:val="00AE7574"/>
    <w:rsid w:val="00AE75B6"/>
    <w:rsid w:val="00AE7603"/>
    <w:rsid w:val="00AE7607"/>
    <w:rsid w:val="00AE7626"/>
    <w:rsid w:val="00AE768F"/>
    <w:rsid w:val="00AE76E2"/>
    <w:rsid w:val="00AE76E4"/>
    <w:rsid w:val="00AE777E"/>
    <w:rsid w:val="00AE77B6"/>
    <w:rsid w:val="00AE7846"/>
    <w:rsid w:val="00AE7892"/>
    <w:rsid w:val="00AE7907"/>
    <w:rsid w:val="00AE797F"/>
    <w:rsid w:val="00AE79A2"/>
    <w:rsid w:val="00AE79B6"/>
    <w:rsid w:val="00AE7A16"/>
    <w:rsid w:val="00AE7A70"/>
    <w:rsid w:val="00AE7AD3"/>
    <w:rsid w:val="00AE7B01"/>
    <w:rsid w:val="00AE7C82"/>
    <w:rsid w:val="00AE7C8C"/>
    <w:rsid w:val="00AE7CA6"/>
    <w:rsid w:val="00AE7CE2"/>
    <w:rsid w:val="00AE7CE9"/>
    <w:rsid w:val="00AE7CFF"/>
    <w:rsid w:val="00AE7E7E"/>
    <w:rsid w:val="00AE7F0C"/>
    <w:rsid w:val="00AE7F6C"/>
    <w:rsid w:val="00AE7F99"/>
    <w:rsid w:val="00AF0006"/>
    <w:rsid w:val="00AF0024"/>
    <w:rsid w:val="00AF0034"/>
    <w:rsid w:val="00AF007E"/>
    <w:rsid w:val="00AF00F4"/>
    <w:rsid w:val="00AF0151"/>
    <w:rsid w:val="00AF016B"/>
    <w:rsid w:val="00AF016F"/>
    <w:rsid w:val="00AF0214"/>
    <w:rsid w:val="00AF03E2"/>
    <w:rsid w:val="00AF0426"/>
    <w:rsid w:val="00AF059C"/>
    <w:rsid w:val="00AF05E2"/>
    <w:rsid w:val="00AF05FB"/>
    <w:rsid w:val="00AF062B"/>
    <w:rsid w:val="00AF0704"/>
    <w:rsid w:val="00AF0777"/>
    <w:rsid w:val="00AF078E"/>
    <w:rsid w:val="00AF07D8"/>
    <w:rsid w:val="00AF07F5"/>
    <w:rsid w:val="00AF086E"/>
    <w:rsid w:val="00AF08A1"/>
    <w:rsid w:val="00AF08D1"/>
    <w:rsid w:val="00AF0918"/>
    <w:rsid w:val="00AF092B"/>
    <w:rsid w:val="00AF0A4B"/>
    <w:rsid w:val="00AF0A82"/>
    <w:rsid w:val="00AF0B7E"/>
    <w:rsid w:val="00AF0B88"/>
    <w:rsid w:val="00AF0BB3"/>
    <w:rsid w:val="00AF0BD1"/>
    <w:rsid w:val="00AF0BD3"/>
    <w:rsid w:val="00AF0C04"/>
    <w:rsid w:val="00AF0CA0"/>
    <w:rsid w:val="00AF0D0E"/>
    <w:rsid w:val="00AF0D39"/>
    <w:rsid w:val="00AF0D5B"/>
    <w:rsid w:val="00AF0D66"/>
    <w:rsid w:val="00AF0E19"/>
    <w:rsid w:val="00AF0E4A"/>
    <w:rsid w:val="00AF0F0C"/>
    <w:rsid w:val="00AF0FAD"/>
    <w:rsid w:val="00AF101D"/>
    <w:rsid w:val="00AF1084"/>
    <w:rsid w:val="00AF10CA"/>
    <w:rsid w:val="00AF10D0"/>
    <w:rsid w:val="00AF10D7"/>
    <w:rsid w:val="00AF1193"/>
    <w:rsid w:val="00AF11D7"/>
    <w:rsid w:val="00AF11FE"/>
    <w:rsid w:val="00AF1288"/>
    <w:rsid w:val="00AF12CE"/>
    <w:rsid w:val="00AF140C"/>
    <w:rsid w:val="00AF1410"/>
    <w:rsid w:val="00AF1421"/>
    <w:rsid w:val="00AF146C"/>
    <w:rsid w:val="00AF14D9"/>
    <w:rsid w:val="00AF14FE"/>
    <w:rsid w:val="00AF1512"/>
    <w:rsid w:val="00AF15E3"/>
    <w:rsid w:val="00AF162A"/>
    <w:rsid w:val="00AF1645"/>
    <w:rsid w:val="00AF170F"/>
    <w:rsid w:val="00AF17AE"/>
    <w:rsid w:val="00AF17B1"/>
    <w:rsid w:val="00AF1804"/>
    <w:rsid w:val="00AF180C"/>
    <w:rsid w:val="00AF189B"/>
    <w:rsid w:val="00AF18AD"/>
    <w:rsid w:val="00AF1911"/>
    <w:rsid w:val="00AF1967"/>
    <w:rsid w:val="00AF19A0"/>
    <w:rsid w:val="00AF19D7"/>
    <w:rsid w:val="00AF19FC"/>
    <w:rsid w:val="00AF1A07"/>
    <w:rsid w:val="00AF1C84"/>
    <w:rsid w:val="00AF1C89"/>
    <w:rsid w:val="00AF1D0E"/>
    <w:rsid w:val="00AF1D10"/>
    <w:rsid w:val="00AF1D3D"/>
    <w:rsid w:val="00AF1DDB"/>
    <w:rsid w:val="00AF1EC4"/>
    <w:rsid w:val="00AF1EDE"/>
    <w:rsid w:val="00AF1EE7"/>
    <w:rsid w:val="00AF1F07"/>
    <w:rsid w:val="00AF1F36"/>
    <w:rsid w:val="00AF1F66"/>
    <w:rsid w:val="00AF1F96"/>
    <w:rsid w:val="00AF1F9A"/>
    <w:rsid w:val="00AF1FB1"/>
    <w:rsid w:val="00AF209B"/>
    <w:rsid w:val="00AF2115"/>
    <w:rsid w:val="00AF2155"/>
    <w:rsid w:val="00AF216C"/>
    <w:rsid w:val="00AF21C1"/>
    <w:rsid w:val="00AF2207"/>
    <w:rsid w:val="00AF2215"/>
    <w:rsid w:val="00AF2240"/>
    <w:rsid w:val="00AF2299"/>
    <w:rsid w:val="00AF22AD"/>
    <w:rsid w:val="00AF2314"/>
    <w:rsid w:val="00AF232E"/>
    <w:rsid w:val="00AF23FE"/>
    <w:rsid w:val="00AF243C"/>
    <w:rsid w:val="00AF2487"/>
    <w:rsid w:val="00AF255C"/>
    <w:rsid w:val="00AF25A5"/>
    <w:rsid w:val="00AF2607"/>
    <w:rsid w:val="00AF260D"/>
    <w:rsid w:val="00AF2674"/>
    <w:rsid w:val="00AF2725"/>
    <w:rsid w:val="00AF278A"/>
    <w:rsid w:val="00AF27D5"/>
    <w:rsid w:val="00AF27EA"/>
    <w:rsid w:val="00AF27F5"/>
    <w:rsid w:val="00AF27F8"/>
    <w:rsid w:val="00AF285A"/>
    <w:rsid w:val="00AF28C6"/>
    <w:rsid w:val="00AF28E7"/>
    <w:rsid w:val="00AF2925"/>
    <w:rsid w:val="00AF2935"/>
    <w:rsid w:val="00AF293F"/>
    <w:rsid w:val="00AF2981"/>
    <w:rsid w:val="00AF298E"/>
    <w:rsid w:val="00AF29A6"/>
    <w:rsid w:val="00AF2A90"/>
    <w:rsid w:val="00AF2B12"/>
    <w:rsid w:val="00AF2B1F"/>
    <w:rsid w:val="00AF2B37"/>
    <w:rsid w:val="00AF2B6E"/>
    <w:rsid w:val="00AF2B88"/>
    <w:rsid w:val="00AF2BBB"/>
    <w:rsid w:val="00AF2BFB"/>
    <w:rsid w:val="00AF2C03"/>
    <w:rsid w:val="00AF2C04"/>
    <w:rsid w:val="00AF2C9B"/>
    <w:rsid w:val="00AF2CA5"/>
    <w:rsid w:val="00AF2CC5"/>
    <w:rsid w:val="00AF2D7B"/>
    <w:rsid w:val="00AF2EF0"/>
    <w:rsid w:val="00AF2F5D"/>
    <w:rsid w:val="00AF2F7C"/>
    <w:rsid w:val="00AF2F9E"/>
    <w:rsid w:val="00AF2FC4"/>
    <w:rsid w:val="00AF3089"/>
    <w:rsid w:val="00AF3102"/>
    <w:rsid w:val="00AF3136"/>
    <w:rsid w:val="00AF3192"/>
    <w:rsid w:val="00AF31A3"/>
    <w:rsid w:val="00AF3256"/>
    <w:rsid w:val="00AF3275"/>
    <w:rsid w:val="00AF32D7"/>
    <w:rsid w:val="00AF3331"/>
    <w:rsid w:val="00AF3358"/>
    <w:rsid w:val="00AF335E"/>
    <w:rsid w:val="00AF3372"/>
    <w:rsid w:val="00AF33C5"/>
    <w:rsid w:val="00AF33E2"/>
    <w:rsid w:val="00AF3431"/>
    <w:rsid w:val="00AF34B3"/>
    <w:rsid w:val="00AF34CC"/>
    <w:rsid w:val="00AF34EB"/>
    <w:rsid w:val="00AF34F1"/>
    <w:rsid w:val="00AF3511"/>
    <w:rsid w:val="00AF356F"/>
    <w:rsid w:val="00AF3588"/>
    <w:rsid w:val="00AF358E"/>
    <w:rsid w:val="00AF35C9"/>
    <w:rsid w:val="00AF35ED"/>
    <w:rsid w:val="00AF368C"/>
    <w:rsid w:val="00AF3695"/>
    <w:rsid w:val="00AF3697"/>
    <w:rsid w:val="00AF3704"/>
    <w:rsid w:val="00AF370D"/>
    <w:rsid w:val="00AF371E"/>
    <w:rsid w:val="00AF372C"/>
    <w:rsid w:val="00AF3732"/>
    <w:rsid w:val="00AF375B"/>
    <w:rsid w:val="00AF3761"/>
    <w:rsid w:val="00AF3786"/>
    <w:rsid w:val="00AF37A2"/>
    <w:rsid w:val="00AF37BD"/>
    <w:rsid w:val="00AF37EB"/>
    <w:rsid w:val="00AF389C"/>
    <w:rsid w:val="00AF3957"/>
    <w:rsid w:val="00AF3A3C"/>
    <w:rsid w:val="00AF3A93"/>
    <w:rsid w:val="00AF3AF8"/>
    <w:rsid w:val="00AF3BEB"/>
    <w:rsid w:val="00AF3BEF"/>
    <w:rsid w:val="00AF3BF0"/>
    <w:rsid w:val="00AF3C52"/>
    <w:rsid w:val="00AF3C5A"/>
    <w:rsid w:val="00AF3C8D"/>
    <w:rsid w:val="00AF3CC5"/>
    <w:rsid w:val="00AF3D1F"/>
    <w:rsid w:val="00AF3DA7"/>
    <w:rsid w:val="00AF3E1A"/>
    <w:rsid w:val="00AF3EC8"/>
    <w:rsid w:val="00AF3EF0"/>
    <w:rsid w:val="00AF3EF4"/>
    <w:rsid w:val="00AF3EFA"/>
    <w:rsid w:val="00AF3F09"/>
    <w:rsid w:val="00AF4002"/>
    <w:rsid w:val="00AF4068"/>
    <w:rsid w:val="00AF40C5"/>
    <w:rsid w:val="00AF4120"/>
    <w:rsid w:val="00AF414B"/>
    <w:rsid w:val="00AF417F"/>
    <w:rsid w:val="00AF41AB"/>
    <w:rsid w:val="00AF420E"/>
    <w:rsid w:val="00AF425B"/>
    <w:rsid w:val="00AF4283"/>
    <w:rsid w:val="00AF42C1"/>
    <w:rsid w:val="00AF4379"/>
    <w:rsid w:val="00AF440C"/>
    <w:rsid w:val="00AF445E"/>
    <w:rsid w:val="00AF44D7"/>
    <w:rsid w:val="00AF44E2"/>
    <w:rsid w:val="00AF44ED"/>
    <w:rsid w:val="00AF44F3"/>
    <w:rsid w:val="00AF4529"/>
    <w:rsid w:val="00AF45D2"/>
    <w:rsid w:val="00AF4649"/>
    <w:rsid w:val="00AF4659"/>
    <w:rsid w:val="00AF4688"/>
    <w:rsid w:val="00AF46C2"/>
    <w:rsid w:val="00AF4766"/>
    <w:rsid w:val="00AF4774"/>
    <w:rsid w:val="00AF4775"/>
    <w:rsid w:val="00AF482D"/>
    <w:rsid w:val="00AF4902"/>
    <w:rsid w:val="00AF4911"/>
    <w:rsid w:val="00AF4AA0"/>
    <w:rsid w:val="00AF4AD9"/>
    <w:rsid w:val="00AF4B04"/>
    <w:rsid w:val="00AF4B1D"/>
    <w:rsid w:val="00AF4B91"/>
    <w:rsid w:val="00AF4BBC"/>
    <w:rsid w:val="00AF4C2F"/>
    <w:rsid w:val="00AF4C60"/>
    <w:rsid w:val="00AF4C9F"/>
    <w:rsid w:val="00AF4CB2"/>
    <w:rsid w:val="00AF4CB4"/>
    <w:rsid w:val="00AF4D08"/>
    <w:rsid w:val="00AF4D6D"/>
    <w:rsid w:val="00AF4DB4"/>
    <w:rsid w:val="00AF4DC7"/>
    <w:rsid w:val="00AF4E2A"/>
    <w:rsid w:val="00AF4E6D"/>
    <w:rsid w:val="00AF4E84"/>
    <w:rsid w:val="00AF4F04"/>
    <w:rsid w:val="00AF4F63"/>
    <w:rsid w:val="00AF4F72"/>
    <w:rsid w:val="00AF4F7A"/>
    <w:rsid w:val="00AF4F9B"/>
    <w:rsid w:val="00AF5069"/>
    <w:rsid w:val="00AF5097"/>
    <w:rsid w:val="00AF50C3"/>
    <w:rsid w:val="00AF50E5"/>
    <w:rsid w:val="00AF5195"/>
    <w:rsid w:val="00AF51A3"/>
    <w:rsid w:val="00AF51FB"/>
    <w:rsid w:val="00AF5296"/>
    <w:rsid w:val="00AF52B7"/>
    <w:rsid w:val="00AF5305"/>
    <w:rsid w:val="00AF5307"/>
    <w:rsid w:val="00AF5384"/>
    <w:rsid w:val="00AF53AB"/>
    <w:rsid w:val="00AF5433"/>
    <w:rsid w:val="00AF5471"/>
    <w:rsid w:val="00AF547D"/>
    <w:rsid w:val="00AF54CA"/>
    <w:rsid w:val="00AF54F9"/>
    <w:rsid w:val="00AF54FF"/>
    <w:rsid w:val="00AF551F"/>
    <w:rsid w:val="00AF555C"/>
    <w:rsid w:val="00AF55C2"/>
    <w:rsid w:val="00AF560C"/>
    <w:rsid w:val="00AF562D"/>
    <w:rsid w:val="00AF56C0"/>
    <w:rsid w:val="00AF56EA"/>
    <w:rsid w:val="00AF5785"/>
    <w:rsid w:val="00AF57C3"/>
    <w:rsid w:val="00AF5861"/>
    <w:rsid w:val="00AF5905"/>
    <w:rsid w:val="00AF59BF"/>
    <w:rsid w:val="00AF5A0F"/>
    <w:rsid w:val="00AF5AB2"/>
    <w:rsid w:val="00AF5AB3"/>
    <w:rsid w:val="00AF5AC1"/>
    <w:rsid w:val="00AF5B55"/>
    <w:rsid w:val="00AF5B65"/>
    <w:rsid w:val="00AF5BF3"/>
    <w:rsid w:val="00AF5BF9"/>
    <w:rsid w:val="00AF5C5E"/>
    <w:rsid w:val="00AF5C7E"/>
    <w:rsid w:val="00AF5CBF"/>
    <w:rsid w:val="00AF5D1D"/>
    <w:rsid w:val="00AF5DDD"/>
    <w:rsid w:val="00AF5E13"/>
    <w:rsid w:val="00AF5E53"/>
    <w:rsid w:val="00AF5E9E"/>
    <w:rsid w:val="00AF5E9F"/>
    <w:rsid w:val="00AF5ECA"/>
    <w:rsid w:val="00AF5ECB"/>
    <w:rsid w:val="00AF5EF7"/>
    <w:rsid w:val="00AF5EF9"/>
    <w:rsid w:val="00AF5F61"/>
    <w:rsid w:val="00AF5FC5"/>
    <w:rsid w:val="00AF6042"/>
    <w:rsid w:val="00AF60E5"/>
    <w:rsid w:val="00AF60EB"/>
    <w:rsid w:val="00AF611E"/>
    <w:rsid w:val="00AF6198"/>
    <w:rsid w:val="00AF6235"/>
    <w:rsid w:val="00AF6258"/>
    <w:rsid w:val="00AF625B"/>
    <w:rsid w:val="00AF6269"/>
    <w:rsid w:val="00AF62AA"/>
    <w:rsid w:val="00AF62DC"/>
    <w:rsid w:val="00AF6309"/>
    <w:rsid w:val="00AF6311"/>
    <w:rsid w:val="00AF632B"/>
    <w:rsid w:val="00AF6376"/>
    <w:rsid w:val="00AF641F"/>
    <w:rsid w:val="00AF642A"/>
    <w:rsid w:val="00AF64B7"/>
    <w:rsid w:val="00AF6528"/>
    <w:rsid w:val="00AF6605"/>
    <w:rsid w:val="00AF661E"/>
    <w:rsid w:val="00AF664D"/>
    <w:rsid w:val="00AF6665"/>
    <w:rsid w:val="00AF6666"/>
    <w:rsid w:val="00AF66BE"/>
    <w:rsid w:val="00AF687F"/>
    <w:rsid w:val="00AF68A9"/>
    <w:rsid w:val="00AF68F1"/>
    <w:rsid w:val="00AF6957"/>
    <w:rsid w:val="00AF6977"/>
    <w:rsid w:val="00AF69B0"/>
    <w:rsid w:val="00AF69B1"/>
    <w:rsid w:val="00AF69C5"/>
    <w:rsid w:val="00AF6A8E"/>
    <w:rsid w:val="00AF6AA4"/>
    <w:rsid w:val="00AF6AD5"/>
    <w:rsid w:val="00AF6B30"/>
    <w:rsid w:val="00AF6B6A"/>
    <w:rsid w:val="00AF6BFD"/>
    <w:rsid w:val="00AF6C03"/>
    <w:rsid w:val="00AF6C7C"/>
    <w:rsid w:val="00AF6CE8"/>
    <w:rsid w:val="00AF6D5E"/>
    <w:rsid w:val="00AF6D70"/>
    <w:rsid w:val="00AF6D8A"/>
    <w:rsid w:val="00AF6DC1"/>
    <w:rsid w:val="00AF6E2F"/>
    <w:rsid w:val="00AF6E37"/>
    <w:rsid w:val="00AF6F66"/>
    <w:rsid w:val="00AF6FDB"/>
    <w:rsid w:val="00AF7017"/>
    <w:rsid w:val="00AF7083"/>
    <w:rsid w:val="00AF7084"/>
    <w:rsid w:val="00AF7094"/>
    <w:rsid w:val="00AF711A"/>
    <w:rsid w:val="00AF715E"/>
    <w:rsid w:val="00AF7289"/>
    <w:rsid w:val="00AF72B4"/>
    <w:rsid w:val="00AF72ED"/>
    <w:rsid w:val="00AF7336"/>
    <w:rsid w:val="00AF73EA"/>
    <w:rsid w:val="00AF7500"/>
    <w:rsid w:val="00AF7525"/>
    <w:rsid w:val="00AF759E"/>
    <w:rsid w:val="00AF75A3"/>
    <w:rsid w:val="00AF75B6"/>
    <w:rsid w:val="00AF75E5"/>
    <w:rsid w:val="00AF7668"/>
    <w:rsid w:val="00AF76DB"/>
    <w:rsid w:val="00AF776E"/>
    <w:rsid w:val="00AF77F5"/>
    <w:rsid w:val="00AF77F6"/>
    <w:rsid w:val="00AF780E"/>
    <w:rsid w:val="00AF783B"/>
    <w:rsid w:val="00AF7840"/>
    <w:rsid w:val="00AF786F"/>
    <w:rsid w:val="00AF78F2"/>
    <w:rsid w:val="00AF7916"/>
    <w:rsid w:val="00AF7930"/>
    <w:rsid w:val="00AF7952"/>
    <w:rsid w:val="00AF79FB"/>
    <w:rsid w:val="00AF7A20"/>
    <w:rsid w:val="00AF7A49"/>
    <w:rsid w:val="00AF7B80"/>
    <w:rsid w:val="00AF7B82"/>
    <w:rsid w:val="00AF7B99"/>
    <w:rsid w:val="00AF7BFC"/>
    <w:rsid w:val="00AF7C4F"/>
    <w:rsid w:val="00AF7DAA"/>
    <w:rsid w:val="00AF7E26"/>
    <w:rsid w:val="00AF7E47"/>
    <w:rsid w:val="00AF7EA6"/>
    <w:rsid w:val="00AF7F63"/>
    <w:rsid w:val="00AF7FD8"/>
    <w:rsid w:val="00AFC216"/>
    <w:rsid w:val="00B00036"/>
    <w:rsid w:val="00B0008C"/>
    <w:rsid w:val="00B00094"/>
    <w:rsid w:val="00B000AA"/>
    <w:rsid w:val="00B00130"/>
    <w:rsid w:val="00B00145"/>
    <w:rsid w:val="00B0021C"/>
    <w:rsid w:val="00B00281"/>
    <w:rsid w:val="00B002EA"/>
    <w:rsid w:val="00B00363"/>
    <w:rsid w:val="00B00367"/>
    <w:rsid w:val="00B00376"/>
    <w:rsid w:val="00B00385"/>
    <w:rsid w:val="00B003A3"/>
    <w:rsid w:val="00B003C3"/>
    <w:rsid w:val="00B0040C"/>
    <w:rsid w:val="00B0044B"/>
    <w:rsid w:val="00B00500"/>
    <w:rsid w:val="00B00517"/>
    <w:rsid w:val="00B005D4"/>
    <w:rsid w:val="00B00669"/>
    <w:rsid w:val="00B00687"/>
    <w:rsid w:val="00B006A6"/>
    <w:rsid w:val="00B006A9"/>
    <w:rsid w:val="00B007E5"/>
    <w:rsid w:val="00B0080A"/>
    <w:rsid w:val="00B008A5"/>
    <w:rsid w:val="00B008E3"/>
    <w:rsid w:val="00B00927"/>
    <w:rsid w:val="00B0096E"/>
    <w:rsid w:val="00B009CA"/>
    <w:rsid w:val="00B00B71"/>
    <w:rsid w:val="00B00BAC"/>
    <w:rsid w:val="00B00BBB"/>
    <w:rsid w:val="00B00CEE"/>
    <w:rsid w:val="00B00D0F"/>
    <w:rsid w:val="00B00DB8"/>
    <w:rsid w:val="00B00E2D"/>
    <w:rsid w:val="00B00E4B"/>
    <w:rsid w:val="00B00E57"/>
    <w:rsid w:val="00B00F2B"/>
    <w:rsid w:val="00B00F78"/>
    <w:rsid w:val="00B0108C"/>
    <w:rsid w:val="00B0125C"/>
    <w:rsid w:val="00B012C0"/>
    <w:rsid w:val="00B0132F"/>
    <w:rsid w:val="00B0146D"/>
    <w:rsid w:val="00B014A0"/>
    <w:rsid w:val="00B014D9"/>
    <w:rsid w:val="00B0150A"/>
    <w:rsid w:val="00B015EC"/>
    <w:rsid w:val="00B015FE"/>
    <w:rsid w:val="00B01642"/>
    <w:rsid w:val="00B01721"/>
    <w:rsid w:val="00B017EE"/>
    <w:rsid w:val="00B01811"/>
    <w:rsid w:val="00B01816"/>
    <w:rsid w:val="00B0186A"/>
    <w:rsid w:val="00B0186C"/>
    <w:rsid w:val="00B01962"/>
    <w:rsid w:val="00B019A0"/>
    <w:rsid w:val="00B019F0"/>
    <w:rsid w:val="00B01A3C"/>
    <w:rsid w:val="00B01A9D"/>
    <w:rsid w:val="00B01B48"/>
    <w:rsid w:val="00B01B4D"/>
    <w:rsid w:val="00B01B76"/>
    <w:rsid w:val="00B01B80"/>
    <w:rsid w:val="00B01C8A"/>
    <w:rsid w:val="00B01C9F"/>
    <w:rsid w:val="00B01CDA"/>
    <w:rsid w:val="00B01DC3"/>
    <w:rsid w:val="00B01E54"/>
    <w:rsid w:val="00B01EC9"/>
    <w:rsid w:val="00B01EF9"/>
    <w:rsid w:val="00B01EFF"/>
    <w:rsid w:val="00B01F0D"/>
    <w:rsid w:val="00B01F7D"/>
    <w:rsid w:val="00B01F89"/>
    <w:rsid w:val="00B01FB3"/>
    <w:rsid w:val="00B0209F"/>
    <w:rsid w:val="00B020AC"/>
    <w:rsid w:val="00B0211C"/>
    <w:rsid w:val="00B02125"/>
    <w:rsid w:val="00B0213A"/>
    <w:rsid w:val="00B0224B"/>
    <w:rsid w:val="00B0227D"/>
    <w:rsid w:val="00B022F0"/>
    <w:rsid w:val="00B02418"/>
    <w:rsid w:val="00B02461"/>
    <w:rsid w:val="00B02469"/>
    <w:rsid w:val="00B024AE"/>
    <w:rsid w:val="00B024B3"/>
    <w:rsid w:val="00B024DD"/>
    <w:rsid w:val="00B0255D"/>
    <w:rsid w:val="00B025DC"/>
    <w:rsid w:val="00B025F1"/>
    <w:rsid w:val="00B02631"/>
    <w:rsid w:val="00B0263B"/>
    <w:rsid w:val="00B02663"/>
    <w:rsid w:val="00B026ED"/>
    <w:rsid w:val="00B027BF"/>
    <w:rsid w:val="00B027EA"/>
    <w:rsid w:val="00B02840"/>
    <w:rsid w:val="00B0286F"/>
    <w:rsid w:val="00B028FC"/>
    <w:rsid w:val="00B029C5"/>
    <w:rsid w:val="00B029FD"/>
    <w:rsid w:val="00B02A26"/>
    <w:rsid w:val="00B02A61"/>
    <w:rsid w:val="00B02ABA"/>
    <w:rsid w:val="00B02BCC"/>
    <w:rsid w:val="00B02BD9"/>
    <w:rsid w:val="00B02BDA"/>
    <w:rsid w:val="00B02C24"/>
    <w:rsid w:val="00B02C5F"/>
    <w:rsid w:val="00B02CB9"/>
    <w:rsid w:val="00B02D03"/>
    <w:rsid w:val="00B02D88"/>
    <w:rsid w:val="00B02DD3"/>
    <w:rsid w:val="00B02E18"/>
    <w:rsid w:val="00B02E56"/>
    <w:rsid w:val="00B02EAD"/>
    <w:rsid w:val="00B02F3D"/>
    <w:rsid w:val="00B02F5F"/>
    <w:rsid w:val="00B02F7B"/>
    <w:rsid w:val="00B02FCD"/>
    <w:rsid w:val="00B03083"/>
    <w:rsid w:val="00B030F5"/>
    <w:rsid w:val="00B0314A"/>
    <w:rsid w:val="00B0316D"/>
    <w:rsid w:val="00B0321C"/>
    <w:rsid w:val="00B03269"/>
    <w:rsid w:val="00B0327A"/>
    <w:rsid w:val="00B03299"/>
    <w:rsid w:val="00B032AE"/>
    <w:rsid w:val="00B032F9"/>
    <w:rsid w:val="00B032FE"/>
    <w:rsid w:val="00B0330E"/>
    <w:rsid w:val="00B0346D"/>
    <w:rsid w:val="00B03471"/>
    <w:rsid w:val="00B034A8"/>
    <w:rsid w:val="00B034C8"/>
    <w:rsid w:val="00B03568"/>
    <w:rsid w:val="00B03573"/>
    <w:rsid w:val="00B0358B"/>
    <w:rsid w:val="00B03633"/>
    <w:rsid w:val="00B03648"/>
    <w:rsid w:val="00B03690"/>
    <w:rsid w:val="00B036AF"/>
    <w:rsid w:val="00B0374E"/>
    <w:rsid w:val="00B0375A"/>
    <w:rsid w:val="00B0377E"/>
    <w:rsid w:val="00B037BA"/>
    <w:rsid w:val="00B03809"/>
    <w:rsid w:val="00B03941"/>
    <w:rsid w:val="00B039C8"/>
    <w:rsid w:val="00B039D7"/>
    <w:rsid w:val="00B039EC"/>
    <w:rsid w:val="00B03A14"/>
    <w:rsid w:val="00B03A4C"/>
    <w:rsid w:val="00B03A67"/>
    <w:rsid w:val="00B03AAE"/>
    <w:rsid w:val="00B03AEE"/>
    <w:rsid w:val="00B03B2D"/>
    <w:rsid w:val="00B03CBC"/>
    <w:rsid w:val="00B03CD7"/>
    <w:rsid w:val="00B03D02"/>
    <w:rsid w:val="00B03DDD"/>
    <w:rsid w:val="00B03DEF"/>
    <w:rsid w:val="00B03E26"/>
    <w:rsid w:val="00B03E9E"/>
    <w:rsid w:val="00B03EBE"/>
    <w:rsid w:val="00B03EC9"/>
    <w:rsid w:val="00B03F68"/>
    <w:rsid w:val="00B03F9E"/>
    <w:rsid w:val="00B0410F"/>
    <w:rsid w:val="00B04166"/>
    <w:rsid w:val="00B04197"/>
    <w:rsid w:val="00B041BA"/>
    <w:rsid w:val="00B041FE"/>
    <w:rsid w:val="00B04215"/>
    <w:rsid w:val="00B0429C"/>
    <w:rsid w:val="00B042FC"/>
    <w:rsid w:val="00B04316"/>
    <w:rsid w:val="00B043B4"/>
    <w:rsid w:val="00B043DC"/>
    <w:rsid w:val="00B04439"/>
    <w:rsid w:val="00B0446B"/>
    <w:rsid w:val="00B044AB"/>
    <w:rsid w:val="00B04508"/>
    <w:rsid w:val="00B0457B"/>
    <w:rsid w:val="00B04588"/>
    <w:rsid w:val="00B045F5"/>
    <w:rsid w:val="00B04662"/>
    <w:rsid w:val="00B04681"/>
    <w:rsid w:val="00B04767"/>
    <w:rsid w:val="00B04779"/>
    <w:rsid w:val="00B0479A"/>
    <w:rsid w:val="00B047C5"/>
    <w:rsid w:val="00B0486E"/>
    <w:rsid w:val="00B048F7"/>
    <w:rsid w:val="00B04905"/>
    <w:rsid w:val="00B049B3"/>
    <w:rsid w:val="00B049C4"/>
    <w:rsid w:val="00B049C8"/>
    <w:rsid w:val="00B04A09"/>
    <w:rsid w:val="00B04A58"/>
    <w:rsid w:val="00B04A66"/>
    <w:rsid w:val="00B04ABF"/>
    <w:rsid w:val="00B04B3C"/>
    <w:rsid w:val="00B04C38"/>
    <w:rsid w:val="00B04C4B"/>
    <w:rsid w:val="00B04C8D"/>
    <w:rsid w:val="00B04C90"/>
    <w:rsid w:val="00B04CD2"/>
    <w:rsid w:val="00B04CD3"/>
    <w:rsid w:val="00B04D50"/>
    <w:rsid w:val="00B04DA3"/>
    <w:rsid w:val="00B04DBD"/>
    <w:rsid w:val="00B04E27"/>
    <w:rsid w:val="00B04E4D"/>
    <w:rsid w:val="00B04E7E"/>
    <w:rsid w:val="00B04F24"/>
    <w:rsid w:val="00B04F32"/>
    <w:rsid w:val="00B04FD8"/>
    <w:rsid w:val="00B05069"/>
    <w:rsid w:val="00B05075"/>
    <w:rsid w:val="00B050AB"/>
    <w:rsid w:val="00B0514A"/>
    <w:rsid w:val="00B0515C"/>
    <w:rsid w:val="00B051BF"/>
    <w:rsid w:val="00B05217"/>
    <w:rsid w:val="00B0521F"/>
    <w:rsid w:val="00B05242"/>
    <w:rsid w:val="00B0534E"/>
    <w:rsid w:val="00B05377"/>
    <w:rsid w:val="00B05398"/>
    <w:rsid w:val="00B0544F"/>
    <w:rsid w:val="00B05483"/>
    <w:rsid w:val="00B05506"/>
    <w:rsid w:val="00B0553A"/>
    <w:rsid w:val="00B05565"/>
    <w:rsid w:val="00B05576"/>
    <w:rsid w:val="00B05655"/>
    <w:rsid w:val="00B05673"/>
    <w:rsid w:val="00B056DE"/>
    <w:rsid w:val="00B05722"/>
    <w:rsid w:val="00B05733"/>
    <w:rsid w:val="00B05960"/>
    <w:rsid w:val="00B05A04"/>
    <w:rsid w:val="00B05A2E"/>
    <w:rsid w:val="00B05A81"/>
    <w:rsid w:val="00B05A82"/>
    <w:rsid w:val="00B05AAA"/>
    <w:rsid w:val="00B05ACB"/>
    <w:rsid w:val="00B05AD4"/>
    <w:rsid w:val="00B05AF3"/>
    <w:rsid w:val="00B05AF4"/>
    <w:rsid w:val="00B05B48"/>
    <w:rsid w:val="00B05B58"/>
    <w:rsid w:val="00B05BC6"/>
    <w:rsid w:val="00B05BEF"/>
    <w:rsid w:val="00B05C11"/>
    <w:rsid w:val="00B05C16"/>
    <w:rsid w:val="00B05C2D"/>
    <w:rsid w:val="00B05C90"/>
    <w:rsid w:val="00B05CFA"/>
    <w:rsid w:val="00B05D08"/>
    <w:rsid w:val="00B05D3E"/>
    <w:rsid w:val="00B05D52"/>
    <w:rsid w:val="00B05D5B"/>
    <w:rsid w:val="00B05DF0"/>
    <w:rsid w:val="00B05E74"/>
    <w:rsid w:val="00B05EE0"/>
    <w:rsid w:val="00B05F02"/>
    <w:rsid w:val="00B05FA2"/>
    <w:rsid w:val="00B05FD2"/>
    <w:rsid w:val="00B05FD6"/>
    <w:rsid w:val="00B0605B"/>
    <w:rsid w:val="00B06082"/>
    <w:rsid w:val="00B060CA"/>
    <w:rsid w:val="00B060EF"/>
    <w:rsid w:val="00B06104"/>
    <w:rsid w:val="00B06114"/>
    <w:rsid w:val="00B0624C"/>
    <w:rsid w:val="00B062B8"/>
    <w:rsid w:val="00B062C7"/>
    <w:rsid w:val="00B062F0"/>
    <w:rsid w:val="00B0638A"/>
    <w:rsid w:val="00B0646D"/>
    <w:rsid w:val="00B0647E"/>
    <w:rsid w:val="00B0648A"/>
    <w:rsid w:val="00B064CC"/>
    <w:rsid w:val="00B0652B"/>
    <w:rsid w:val="00B0656E"/>
    <w:rsid w:val="00B065A1"/>
    <w:rsid w:val="00B06691"/>
    <w:rsid w:val="00B066DE"/>
    <w:rsid w:val="00B0671C"/>
    <w:rsid w:val="00B06745"/>
    <w:rsid w:val="00B06799"/>
    <w:rsid w:val="00B067E7"/>
    <w:rsid w:val="00B0684B"/>
    <w:rsid w:val="00B0688D"/>
    <w:rsid w:val="00B068A5"/>
    <w:rsid w:val="00B068C9"/>
    <w:rsid w:val="00B068DF"/>
    <w:rsid w:val="00B068E8"/>
    <w:rsid w:val="00B068EE"/>
    <w:rsid w:val="00B06901"/>
    <w:rsid w:val="00B06928"/>
    <w:rsid w:val="00B0692C"/>
    <w:rsid w:val="00B0692D"/>
    <w:rsid w:val="00B0695D"/>
    <w:rsid w:val="00B06973"/>
    <w:rsid w:val="00B0697E"/>
    <w:rsid w:val="00B069DF"/>
    <w:rsid w:val="00B06A13"/>
    <w:rsid w:val="00B06A9B"/>
    <w:rsid w:val="00B06B5C"/>
    <w:rsid w:val="00B06BC2"/>
    <w:rsid w:val="00B06CCB"/>
    <w:rsid w:val="00B06D2A"/>
    <w:rsid w:val="00B06D41"/>
    <w:rsid w:val="00B06D9E"/>
    <w:rsid w:val="00B06EBC"/>
    <w:rsid w:val="00B06EF2"/>
    <w:rsid w:val="00B06F08"/>
    <w:rsid w:val="00B06FA3"/>
    <w:rsid w:val="00B06FE6"/>
    <w:rsid w:val="00B0709B"/>
    <w:rsid w:val="00B07149"/>
    <w:rsid w:val="00B07172"/>
    <w:rsid w:val="00B07193"/>
    <w:rsid w:val="00B0719B"/>
    <w:rsid w:val="00B071E4"/>
    <w:rsid w:val="00B072C4"/>
    <w:rsid w:val="00B0731F"/>
    <w:rsid w:val="00B0735F"/>
    <w:rsid w:val="00B073CB"/>
    <w:rsid w:val="00B07411"/>
    <w:rsid w:val="00B0749F"/>
    <w:rsid w:val="00B0752B"/>
    <w:rsid w:val="00B07534"/>
    <w:rsid w:val="00B07555"/>
    <w:rsid w:val="00B075C8"/>
    <w:rsid w:val="00B07618"/>
    <w:rsid w:val="00B07714"/>
    <w:rsid w:val="00B078E5"/>
    <w:rsid w:val="00B079C4"/>
    <w:rsid w:val="00B079E3"/>
    <w:rsid w:val="00B07A5B"/>
    <w:rsid w:val="00B07A6E"/>
    <w:rsid w:val="00B07AC8"/>
    <w:rsid w:val="00B07B20"/>
    <w:rsid w:val="00B07B41"/>
    <w:rsid w:val="00B07BA9"/>
    <w:rsid w:val="00B07C4D"/>
    <w:rsid w:val="00B07C6F"/>
    <w:rsid w:val="00B07CC4"/>
    <w:rsid w:val="00B07D35"/>
    <w:rsid w:val="00B07D74"/>
    <w:rsid w:val="00B07DC1"/>
    <w:rsid w:val="00B07DFB"/>
    <w:rsid w:val="00B07F4A"/>
    <w:rsid w:val="00B07FD2"/>
    <w:rsid w:val="00B1003E"/>
    <w:rsid w:val="00B100C0"/>
    <w:rsid w:val="00B100FE"/>
    <w:rsid w:val="00B1010E"/>
    <w:rsid w:val="00B1012E"/>
    <w:rsid w:val="00B10161"/>
    <w:rsid w:val="00B10170"/>
    <w:rsid w:val="00B1019F"/>
    <w:rsid w:val="00B101BB"/>
    <w:rsid w:val="00B1027B"/>
    <w:rsid w:val="00B1028E"/>
    <w:rsid w:val="00B102CB"/>
    <w:rsid w:val="00B10354"/>
    <w:rsid w:val="00B10371"/>
    <w:rsid w:val="00B10395"/>
    <w:rsid w:val="00B1040C"/>
    <w:rsid w:val="00B10412"/>
    <w:rsid w:val="00B1041D"/>
    <w:rsid w:val="00B104F8"/>
    <w:rsid w:val="00B104FC"/>
    <w:rsid w:val="00B10511"/>
    <w:rsid w:val="00B10595"/>
    <w:rsid w:val="00B1059F"/>
    <w:rsid w:val="00B105CE"/>
    <w:rsid w:val="00B105F1"/>
    <w:rsid w:val="00B10648"/>
    <w:rsid w:val="00B106CB"/>
    <w:rsid w:val="00B106D3"/>
    <w:rsid w:val="00B106E2"/>
    <w:rsid w:val="00B106ED"/>
    <w:rsid w:val="00B10713"/>
    <w:rsid w:val="00B10731"/>
    <w:rsid w:val="00B10749"/>
    <w:rsid w:val="00B10796"/>
    <w:rsid w:val="00B107DA"/>
    <w:rsid w:val="00B10813"/>
    <w:rsid w:val="00B108A6"/>
    <w:rsid w:val="00B109F7"/>
    <w:rsid w:val="00B109FF"/>
    <w:rsid w:val="00B10A0B"/>
    <w:rsid w:val="00B10A21"/>
    <w:rsid w:val="00B10A39"/>
    <w:rsid w:val="00B10AA0"/>
    <w:rsid w:val="00B10B19"/>
    <w:rsid w:val="00B10B2E"/>
    <w:rsid w:val="00B10B7E"/>
    <w:rsid w:val="00B10BEB"/>
    <w:rsid w:val="00B10BF4"/>
    <w:rsid w:val="00B10C25"/>
    <w:rsid w:val="00B10CD9"/>
    <w:rsid w:val="00B10CE4"/>
    <w:rsid w:val="00B10D3A"/>
    <w:rsid w:val="00B10D96"/>
    <w:rsid w:val="00B10DAB"/>
    <w:rsid w:val="00B10DBB"/>
    <w:rsid w:val="00B10E9D"/>
    <w:rsid w:val="00B10EA2"/>
    <w:rsid w:val="00B10EDE"/>
    <w:rsid w:val="00B10EFA"/>
    <w:rsid w:val="00B10EFF"/>
    <w:rsid w:val="00B10FF1"/>
    <w:rsid w:val="00B11044"/>
    <w:rsid w:val="00B11051"/>
    <w:rsid w:val="00B110A4"/>
    <w:rsid w:val="00B110B5"/>
    <w:rsid w:val="00B11316"/>
    <w:rsid w:val="00B11389"/>
    <w:rsid w:val="00B113EC"/>
    <w:rsid w:val="00B11465"/>
    <w:rsid w:val="00B114AA"/>
    <w:rsid w:val="00B114C8"/>
    <w:rsid w:val="00B11503"/>
    <w:rsid w:val="00B11534"/>
    <w:rsid w:val="00B11573"/>
    <w:rsid w:val="00B115C7"/>
    <w:rsid w:val="00B115DE"/>
    <w:rsid w:val="00B11669"/>
    <w:rsid w:val="00B1169C"/>
    <w:rsid w:val="00B11784"/>
    <w:rsid w:val="00B117BB"/>
    <w:rsid w:val="00B117E6"/>
    <w:rsid w:val="00B117F6"/>
    <w:rsid w:val="00B118D7"/>
    <w:rsid w:val="00B118FE"/>
    <w:rsid w:val="00B119EF"/>
    <w:rsid w:val="00B11AB1"/>
    <w:rsid w:val="00B11AB3"/>
    <w:rsid w:val="00B11BC8"/>
    <w:rsid w:val="00B11BD8"/>
    <w:rsid w:val="00B11BEA"/>
    <w:rsid w:val="00B11C14"/>
    <w:rsid w:val="00B11C4C"/>
    <w:rsid w:val="00B11C52"/>
    <w:rsid w:val="00B11C6F"/>
    <w:rsid w:val="00B11CA1"/>
    <w:rsid w:val="00B11CCB"/>
    <w:rsid w:val="00B11CE6"/>
    <w:rsid w:val="00B11CE9"/>
    <w:rsid w:val="00B11D38"/>
    <w:rsid w:val="00B11DD3"/>
    <w:rsid w:val="00B11DE0"/>
    <w:rsid w:val="00B11E8F"/>
    <w:rsid w:val="00B11EDE"/>
    <w:rsid w:val="00B11EE1"/>
    <w:rsid w:val="00B11F04"/>
    <w:rsid w:val="00B11F63"/>
    <w:rsid w:val="00B11F80"/>
    <w:rsid w:val="00B11F9E"/>
    <w:rsid w:val="00B11FBD"/>
    <w:rsid w:val="00B11FD2"/>
    <w:rsid w:val="00B12006"/>
    <w:rsid w:val="00B12019"/>
    <w:rsid w:val="00B12036"/>
    <w:rsid w:val="00B12071"/>
    <w:rsid w:val="00B120E0"/>
    <w:rsid w:val="00B1212D"/>
    <w:rsid w:val="00B12138"/>
    <w:rsid w:val="00B1216A"/>
    <w:rsid w:val="00B12182"/>
    <w:rsid w:val="00B121BE"/>
    <w:rsid w:val="00B12289"/>
    <w:rsid w:val="00B1228B"/>
    <w:rsid w:val="00B122D9"/>
    <w:rsid w:val="00B12309"/>
    <w:rsid w:val="00B1234C"/>
    <w:rsid w:val="00B12369"/>
    <w:rsid w:val="00B1239B"/>
    <w:rsid w:val="00B123D3"/>
    <w:rsid w:val="00B12425"/>
    <w:rsid w:val="00B12444"/>
    <w:rsid w:val="00B12527"/>
    <w:rsid w:val="00B1258A"/>
    <w:rsid w:val="00B125A6"/>
    <w:rsid w:val="00B12610"/>
    <w:rsid w:val="00B12623"/>
    <w:rsid w:val="00B12630"/>
    <w:rsid w:val="00B12645"/>
    <w:rsid w:val="00B12667"/>
    <w:rsid w:val="00B126B1"/>
    <w:rsid w:val="00B126D3"/>
    <w:rsid w:val="00B12760"/>
    <w:rsid w:val="00B127AF"/>
    <w:rsid w:val="00B127C9"/>
    <w:rsid w:val="00B12828"/>
    <w:rsid w:val="00B12911"/>
    <w:rsid w:val="00B1295F"/>
    <w:rsid w:val="00B12960"/>
    <w:rsid w:val="00B12984"/>
    <w:rsid w:val="00B129AD"/>
    <w:rsid w:val="00B12A48"/>
    <w:rsid w:val="00B12AA1"/>
    <w:rsid w:val="00B12AC2"/>
    <w:rsid w:val="00B12B0F"/>
    <w:rsid w:val="00B12B3E"/>
    <w:rsid w:val="00B12B45"/>
    <w:rsid w:val="00B12B87"/>
    <w:rsid w:val="00B12B89"/>
    <w:rsid w:val="00B12BB3"/>
    <w:rsid w:val="00B12C15"/>
    <w:rsid w:val="00B12C72"/>
    <w:rsid w:val="00B12CA8"/>
    <w:rsid w:val="00B12CB9"/>
    <w:rsid w:val="00B12D25"/>
    <w:rsid w:val="00B12D30"/>
    <w:rsid w:val="00B12D5B"/>
    <w:rsid w:val="00B12D97"/>
    <w:rsid w:val="00B12DB6"/>
    <w:rsid w:val="00B12DF1"/>
    <w:rsid w:val="00B12E50"/>
    <w:rsid w:val="00B12E52"/>
    <w:rsid w:val="00B12F24"/>
    <w:rsid w:val="00B12F35"/>
    <w:rsid w:val="00B12F85"/>
    <w:rsid w:val="00B12FF7"/>
    <w:rsid w:val="00B13024"/>
    <w:rsid w:val="00B1303C"/>
    <w:rsid w:val="00B130FB"/>
    <w:rsid w:val="00B1311C"/>
    <w:rsid w:val="00B13176"/>
    <w:rsid w:val="00B1317A"/>
    <w:rsid w:val="00B131CC"/>
    <w:rsid w:val="00B131E7"/>
    <w:rsid w:val="00B131F5"/>
    <w:rsid w:val="00B1328A"/>
    <w:rsid w:val="00B132B6"/>
    <w:rsid w:val="00B1342D"/>
    <w:rsid w:val="00B134C7"/>
    <w:rsid w:val="00B134CE"/>
    <w:rsid w:val="00B13576"/>
    <w:rsid w:val="00B135BD"/>
    <w:rsid w:val="00B1360A"/>
    <w:rsid w:val="00B1374E"/>
    <w:rsid w:val="00B137BB"/>
    <w:rsid w:val="00B137C0"/>
    <w:rsid w:val="00B13835"/>
    <w:rsid w:val="00B1384C"/>
    <w:rsid w:val="00B13931"/>
    <w:rsid w:val="00B1395B"/>
    <w:rsid w:val="00B13964"/>
    <w:rsid w:val="00B13970"/>
    <w:rsid w:val="00B139BE"/>
    <w:rsid w:val="00B139C9"/>
    <w:rsid w:val="00B13ADF"/>
    <w:rsid w:val="00B13AE2"/>
    <w:rsid w:val="00B13AF9"/>
    <w:rsid w:val="00B13B1E"/>
    <w:rsid w:val="00B13B66"/>
    <w:rsid w:val="00B13B76"/>
    <w:rsid w:val="00B13BF8"/>
    <w:rsid w:val="00B13BFD"/>
    <w:rsid w:val="00B13C54"/>
    <w:rsid w:val="00B13C70"/>
    <w:rsid w:val="00B13CDC"/>
    <w:rsid w:val="00B13D45"/>
    <w:rsid w:val="00B13D4F"/>
    <w:rsid w:val="00B13E16"/>
    <w:rsid w:val="00B13E38"/>
    <w:rsid w:val="00B13E85"/>
    <w:rsid w:val="00B13E9A"/>
    <w:rsid w:val="00B13F2D"/>
    <w:rsid w:val="00B14002"/>
    <w:rsid w:val="00B1401D"/>
    <w:rsid w:val="00B14102"/>
    <w:rsid w:val="00B141B6"/>
    <w:rsid w:val="00B141C3"/>
    <w:rsid w:val="00B141E0"/>
    <w:rsid w:val="00B141E7"/>
    <w:rsid w:val="00B14267"/>
    <w:rsid w:val="00B142DB"/>
    <w:rsid w:val="00B1434A"/>
    <w:rsid w:val="00B1448B"/>
    <w:rsid w:val="00B144B5"/>
    <w:rsid w:val="00B1454C"/>
    <w:rsid w:val="00B1459B"/>
    <w:rsid w:val="00B14622"/>
    <w:rsid w:val="00B1464D"/>
    <w:rsid w:val="00B1477F"/>
    <w:rsid w:val="00B1485E"/>
    <w:rsid w:val="00B14872"/>
    <w:rsid w:val="00B148C0"/>
    <w:rsid w:val="00B14926"/>
    <w:rsid w:val="00B1498D"/>
    <w:rsid w:val="00B14997"/>
    <w:rsid w:val="00B149A9"/>
    <w:rsid w:val="00B149B2"/>
    <w:rsid w:val="00B14A02"/>
    <w:rsid w:val="00B14AD7"/>
    <w:rsid w:val="00B14AE6"/>
    <w:rsid w:val="00B14B56"/>
    <w:rsid w:val="00B14BA2"/>
    <w:rsid w:val="00B14C9A"/>
    <w:rsid w:val="00B14CF4"/>
    <w:rsid w:val="00B14D65"/>
    <w:rsid w:val="00B14D9C"/>
    <w:rsid w:val="00B14DCE"/>
    <w:rsid w:val="00B14DD0"/>
    <w:rsid w:val="00B14DEE"/>
    <w:rsid w:val="00B14DFF"/>
    <w:rsid w:val="00B14EB2"/>
    <w:rsid w:val="00B14EBD"/>
    <w:rsid w:val="00B14F0B"/>
    <w:rsid w:val="00B14F6B"/>
    <w:rsid w:val="00B14F7F"/>
    <w:rsid w:val="00B14F8C"/>
    <w:rsid w:val="00B14FB4"/>
    <w:rsid w:val="00B1502B"/>
    <w:rsid w:val="00B150BD"/>
    <w:rsid w:val="00B150F9"/>
    <w:rsid w:val="00B15112"/>
    <w:rsid w:val="00B15212"/>
    <w:rsid w:val="00B15288"/>
    <w:rsid w:val="00B152AC"/>
    <w:rsid w:val="00B152FB"/>
    <w:rsid w:val="00B1538C"/>
    <w:rsid w:val="00B15441"/>
    <w:rsid w:val="00B1547A"/>
    <w:rsid w:val="00B15483"/>
    <w:rsid w:val="00B15494"/>
    <w:rsid w:val="00B154CD"/>
    <w:rsid w:val="00B154DC"/>
    <w:rsid w:val="00B154F8"/>
    <w:rsid w:val="00B15582"/>
    <w:rsid w:val="00B155A6"/>
    <w:rsid w:val="00B15621"/>
    <w:rsid w:val="00B15628"/>
    <w:rsid w:val="00B15643"/>
    <w:rsid w:val="00B15644"/>
    <w:rsid w:val="00B156B4"/>
    <w:rsid w:val="00B156CA"/>
    <w:rsid w:val="00B15758"/>
    <w:rsid w:val="00B157B3"/>
    <w:rsid w:val="00B1581D"/>
    <w:rsid w:val="00B1581E"/>
    <w:rsid w:val="00B15948"/>
    <w:rsid w:val="00B15958"/>
    <w:rsid w:val="00B159F4"/>
    <w:rsid w:val="00B15A27"/>
    <w:rsid w:val="00B15A89"/>
    <w:rsid w:val="00B15B7F"/>
    <w:rsid w:val="00B15BC4"/>
    <w:rsid w:val="00B15BD5"/>
    <w:rsid w:val="00B15C26"/>
    <w:rsid w:val="00B15C73"/>
    <w:rsid w:val="00B15C98"/>
    <w:rsid w:val="00B15CC0"/>
    <w:rsid w:val="00B15D5D"/>
    <w:rsid w:val="00B15D5F"/>
    <w:rsid w:val="00B15D8E"/>
    <w:rsid w:val="00B15DC7"/>
    <w:rsid w:val="00B15DD2"/>
    <w:rsid w:val="00B15DE8"/>
    <w:rsid w:val="00B15E54"/>
    <w:rsid w:val="00B15E70"/>
    <w:rsid w:val="00B15EBA"/>
    <w:rsid w:val="00B15F8D"/>
    <w:rsid w:val="00B15FCE"/>
    <w:rsid w:val="00B15FF2"/>
    <w:rsid w:val="00B15FFC"/>
    <w:rsid w:val="00B15FFF"/>
    <w:rsid w:val="00B16006"/>
    <w:rsid w:val="00B1607A"/>
    <w:rsid w:val="00B160AA"/>
    <w:rsid w:val="00B160BF"/>
    <w:rsid w:val="00B160E9"/>
    <w:rsid w:val="00B16106"/>
    <w:rsid w:val="00B16160"/>
    <w:rsid w:val="00B16183"/>
    <w:rsid w:val="00B16189"/>
    <w:rsid w:val="00B161AE"/>
    <w:rsid w:val="00B161C0"/>
    <w:rsid w:val="00B1623D"/>
    <w:rsid w:val="00B16320"/>
    <w:rsid w:val="00B16406"/>
    <w:rsid w:val="00B1642F"/>
    <w:rsid w:val="00B16444"/>
    <w:rsid w:val="00B164A2"/>
    <w:rsid w:val="00B164A9"/>
    <w:rsid w:val="00B164CC"/>
    <w:rsid w:val="00B16500"/>
    <w:rsid w:val="00B1656F"/>
    <w:rsid w:val="00B165CD"/>
    <w:rsid w:val="00B16722"/>
    <w:rsid w:val="00B16731"/>
    <w:rsid w:val="00B16768"/>
    <w:rsid w:val="00B1676B"/>
    <w:rsid w:val="00B1679B"/>
    <w:rsid w:val="00B167EE"/>
    <w:rsid w:val="00B1685C"/>
    <w:rsid w:val="00B1690B"/>
    <w:rsid w:val="00B16916"/>
    <w:rsid w:val="00B1692B"/>
    <w:rsid w:val="00B16962"/>
    <w:rsid w:val="00B169CB"/>
    <w:rsid w:val="00B169D2"/>
    <w:rsid w:val="00B169FA"/>
    <w:rsid w:val="00B16A7B"/>
    <w:rsid w:val="00B16C4F"/>
    <w:rsid w:val="00B16CC1"/>
    <w:rsid w:val="00B16D14"/>
    <w:rsid w:val="00B16DAA"/>
    <w:rsid w:val="00B16DF8"/>
    <w:rsid w:val="00B16E92"/>
    <w:rsid w:val="00B16EC5"/>
    <w:rsid w:val="00B16ECE"/>
    <w:rsid w:val="00B16F0A"/>
    <w:rsid w:val="00B16F46"/>
    <w:rsid w:val="00B16FDD"/>
    <w:rsid w:val="00B17113"/>
    <w:rsid w:val="00B1711F"/>
    <w:rsid w:val="00B17133"/>
    <w:rsid w:val="00B1716E"/>
    <w:rsid w:val="00B171DC"/>
    <w:rsid w:val="00B17252"/>
    <w:rsid w:val="00B17319"/>
    <w:rsid w:val="00B173AB"/>
    <w:rsid w:val="00B17448"/>
    <w:rsid w:val="00B1748E"/>
    <w:rsid w:val="00B17496"/>
    <w:rsid w:val="00B1751F"/>
    <w:rsid w:val="00B17537"/>
    <w:rsid w:val="00B17538"/>
    <w:rsid w:val="00B1757C"/>
    <w:rsid w:val="00B175FB"/>
    <w:rsid w:val="00B1760F"/>
    <w:rsid w:val="00B1763F"/>
    <w:rsid w:val="00B17643"/>
    <w:rsid w:val="00B1768A"/>
    <w:rsid w:val="00B176A4"/>
    <w:rsid w:val="00B176A7"/>
    <w:rsid w:val="00B176DB"/>
    <w:rsid w:val="00B176E3"/>
    <w:rsid w:val="00B17742"/>
    <w:rsid w:val="00B17796"/>
    <w:rsid w:val="00B177C4"/>
    <w:rsid w:val="00B177E2"/>
    <w:rsid w:val="00B1780C"/>
    <w:rsid w:val="00B1783F"/>
    <w:rsid w:val="00B17856"/>
    <w:rsid w:val="00B178E7"/>
    <w:rsid w:val="00B17924"/>
    <w:rsid w:val="00B1793E"/>
    <w:rsid w:val="00B1794C"/>
    <w:rsid w:val="00B179B3"/>
    <w:rsid w:val="00B179D2"/>
    <w:rsid w:val="00B17A25"/>
    <w:rsid w:val="00B17A36"/>
    <w:rsid w:val="00B17AEE"/>
    <w:rsid w:val="00B17B74"/>
    <w:rsid w:val="00B17BB5"/>
    <w:rsid w:val="00B17C38"/>
    <w:rsid w:val="00B17C50"/>
    <w:rsid w:val="00B17CE0"/>
    <w:rsid w:val="00B17CFB"/>
    <w:rsid w:val="00B17D4B"/>
    <w:rsid w:val="00B17D88"/>
    <w:rsid w:val="00B17DA1"/>
    <w:rsid w:val="00B17E08"/>
    <w:rsid w:val="00B17E28"/>
    <w:rsid w:val="00B17E34"/>
    <w:rsid w:val="00B17ECC"/>
    <w:rsid w:val="00B17F5D"/>
    <w:rsid w:val="00B17F9D"/>
    <w:rsid w:val="00B20031"/>
    <w:rsid w:val="00B20063"/>
    <w:rsid w:val="00B2011D"/>
    <w:rsid w:val="00B2014A"/>
    <w:rsid w:val="00B20159"/>
    <w:rsid w:val="00B20160"/>
    <w:rsid w:val="00B2016B"/>
    <w:rsid w:val="00B2019F"/>
    <w:rsid w:val="00B201BC"/>
    <w:rsid w:val="00B20285"/>
    <w:rsid w:val="00B202AD"/>
    <w:rsid w:val="00B202C0"/>
    <w:rsid w:val="00B202D5"/>
    <w:rsid w:val="00B20381"/>
    <w:rsid w:val="00B20431"/>
    <w:rsid w:val="00B2050D"/>
    <w:rsid w:val="00B20540"/>
    <w:rsid w:val="00B2056B"/>
    <w:rsid w:val="00B20572"/>
    <w:rsid w:val="00B20593"/>
    <w:rsid w:val="00B205C6"/>
    <w:rsid w:val="00B205DF"/>
    <w:rsid w:val="00B205FE"/>
    <w:rsid w:val="00B20615"/>
    <w:rsid w:val="00B20694"/>
    <w:rsid w:val="00B206B1"/>
    <w:rsid w:val="00B206BF"/>
    <w:rsid w:val="00B20761"/>
    <w:rsid w:val="00B2080E"/>
    <w:rsid w:val="00B20826"/>
    <w:rsid w:val="00B208C4"/>
    <w:rsid w:val="00B208D6"/>
    <w:rsid w:val="00B2092E"/>
    <w:rsid w:val="00B20975"/>
    <w:rsid w:val="00B20A4B"/>
    <w:rsid w:val="00B20A97"/>
    <w:rsid w:val="00B20AD7"/>
    <w:rsid w:val="00B20B73"/>
    <w:rsid w:val="00B20BA5"/>
    <w:rsid w:val="00B20BE8"/>
    <w:rsid w:val="00B20C10"/>
    <w:rsid w:val="00B20C15"/>
    <w:rsid w:val="00B20C3D"/>
    <w:rsid w:val="00B20C64"/>
    <w:rsid w:val="00B20C91"/>
    <w:rsid w:val="00B20C99"/>
    <w:rsid w:val="00B20CA9"/>
    <w:rsid w:val="00B20CFA"/>
    <w:rsid w:val="00B20E02"/>
    <w:rsid w:val="00B20EAE"/>
    <w:rsid w:val="00B20EE0"/>
    <w:rsid w:val="00B20EE4"/>
    <w:rsid w:val="00B20F02"/>
    <w:rsid w:val="00B20F5D"/>
    <w:rsid w:val="00B20F7A"/>
    <w:rsid w:val="00B20FBD"/>
    <w:rsid w:val="00B20FD8"/>
    <w:rsid w:val="00B21110"/>
    <w:rsid w:val="00B2111E"/>
    <w:rsid w:val="00B2113B"/>
    <w:rsid w:val="00B21143"/>
    <w:rsid w:val="00B211F5"/>
    <w:rsid w:val="00B21216"/>
    <w:rsid w:val="00B21219"/>
    <w:rsid w:val="00B2123A"/>
    <w:rsid w:val="00B21280"/>
    <w:rsid w:val="00B2129D"/>
    <w:rsid w:val="00B212A8"/>
    <w:rsid w:val="00B21317"/>
    <w:rsid w:val="00B21455"/>
    <w:rsid w:val="00B21468"/>
    <w:rsid w:val="00B214E8"/>
    <w:rsid w:val="00B214F7"/>
    <w:rsid w:val="00B215DE"/>
    <w:rsid w:val="00B2176F"/>
    <w:rsid w:val="00B217A5"/>
    <w:rsid w:val="00B2186B"/>
    <w:rsid w:val="00B218BA"/>
    <w:rsid w:val="00B219AB"/>
    <w:rsid w:val="00B21A12"/>
    <w:rsid w:val="00B21A4F"/>
    <w:rsid w:val="00B21ACF"/>
    <w:rsid w:val="00B21B2A"/>
    <w:rsid w:val="00B21C64"/>
    <w:rsid w:val="00B21CC4"/>
    <w:rsid w:val="00B21CF0"/>
    <w:rsid w:val="00B21CF6"/>
    <w:rsid w:val="00B21D07"/>
    <w:rsid w:val="00B21D99"/>
    <w:rsid w:val="00B21DD1"/>
    <w:rsid w:val="00B21E11"/>
    <w:rsid w:val="00B21E4E"/>
    <w:rsid w:val="00B21EDD"/>
    <w:rsid w:val="00B21F62"/>
    <w:rsid w:val="00B22048"/>
    <w:rsid w:val="00B22067"/>
    <w:rsid w:val="00B22102"/>
    <w:rsid w:val="00B22148"/>
    <w:rsid w:val="00B22154"/>
    <w:rsid w:val="00B22168"/>
    <w:rsid w:val="00B221FB"/>
    <w:rsid w:val="00B22206"/>
    <w:rsid w:val="00B223BB"/>
    <w:rsid w:val="00B22488"/>
    <w:rsid w:val="00B22489"/>
    <w:rsid w:val="00B224C8"/>
    <w:rsid w:val="00B2252E"/>
    <w:rsid w:val="00B225BD"/>
    <w:rsid w:val="00B225D2"/>
    <w:rsid w:val="00B225D5"/>
    <w:rsid w:val="00B22613"/>
    <w:rsid w:val="00B22617"/>
    <w:rsid w:val="00B22685"/>
    <w:rsid w:val="00B226B5"/>
    <w:rsid w:val="00B226E1"/>
    <w:rsid w:val="00B2276B"/>
    <w:rsid w:val="00B22791"/>
    <w:rsid w:val="00B227E2"/>
    <w:rsid w:val="00B227E8"/>
    <w:rsid w:val="00B227EC"/>
    <w:rsid w:val="00B2280D"/>
    <w:rsid w:val="00B2285A"/>
    <w:rsid w:val="00B2285D"/>
    <w:rsid w:val="00B228B1"/>
    <w:rsid w:val="00B228C5"/>
    <w:rsid w:val="00B22971"/>
    <w:rsid w:val="00B22992"/>
    <w:rsid w:val="00B229CA"/>
    <w:rsid w:val="00B22A91"/>
    <w:rsid w:val="00B22B2B"/>
    <w:rsid w:val="00B22BA8"/>
    <w:rsid w:val="00B22C27"/>
    <w:rsid w:val="00B22CBC"/>
    <w:rsid w:val="00B22CFA"/>
    <w:rsid w:val="00B22D81"/>
    <w:rsid w:val="00B22EA9"/>
    <w:rsid w:val="00B22EE7"/>
    <w:rsid w:val="00B22EF6"/>
    <w:rsid w:val="00B22F26"/>
    <w:rsid w:val="00B22F57"/>
    <w:rsid w:val="00B22F9F"/>
    <w:rsid w:val="00B22FAC"/>
    <w:rsid w:val="00B23019"/>
    <w:rsid w:val="00B2306E"/>
    <w:rsid w:val="00B230C2"/>
    <w:rsid w:val="00B23108"/>
    <w:rsid w:val="00B2315E"/>
    <w:rsid w:val="00B23223"/>
    <w:rsid w:val="00B2324C"/>
    <w:rsid w:val="00B23270"/>
    <w:rsid w:val="00B23315"/>
    <w:rsid w:val="00B23390"/>
    <w:rsid w:val="00B23411"/>
    <w:rsid w:val="00B2346B"/>
    <w:rsid w:val="00B234B8"/>
    <w:rsid w:val="00B234ED"/>
    <w:rsid w:val="00B23506"/>
    <w:rsid w:val="00B2355D"/>
    <w:rsid w:val="00B2358D"/>
    <w:rsid w:val="00B235ED"/>
    <w:rsid w:val="00B236C1"/>
    <w:rsid w:val="00B23728"/>
    <w:rsid w:val="00B237A3"/>
    <w:rsid w:val="00B237A6"/>
    <w:rsid w:val="00B23804"/>
    <w:rsid w:val="00B23840"/>
    <w:rsid w:val="00B23871"/>
    <w:rsid w:val="00B2387D"/>
    <w:rsid w:val="00B238BD"/>
    <w:rsid w:val="00B23911"/>
    <w:rsid w:val="00B2391C"/>
    <w:rsid w:val="00B2391D"/>
    <w:rsid w:val="00B23A06"/>
    <w:rsid w:val="00B23AF2"/>
    <w:rsid w:val="00B23B18"/>
    <w:rsid w:val="00B23B6C"/>
    <w:rsid w:val="00B23BAB"/>
    <w:rsid w:val="00B23BD5"/>
    <w:rsid w:val="00B23BD8"/>
    <w:rsid w:val="00B23BE1"/>
    <w:rsid w:val="00B23C11"/>
    <w:rsid w:val="00B23D2A"/>
    <w:rsid w:val="00B23DC3"/>
    <w:rsid w:val="00B23DCA"/>
    <w:rsid w:val="00B23E56"/>
    <w:rsid w:val="00B23E88"/>
    <w:rsid w:val="00B23EC7"/>
    <w:rsid w:val="00B23F64"/>
    <w:rsid w:val="00B2400F"/>
    <w:rsid w:val="00B2404E"/>
    <w:rsid w:val="00B2409D"/>
    <w:rsid w:val="00B240DD"/>
    <w:rsid w:val="00B2414F"/>
    <w:rsid w:val="00B2424A"/>
    <w:rsid w:val="00B242D3"/>
    <w:rsid w:val="00B242D8"/>
    <w:rsid w:val="00B242F9"/>
    <w:rsid w:val="00B24372"/>
    <w:rsid w:val="00B24445"/>
    <w:rsid w:val="00B24464"/>
    <w:rsid w:val="00B24549"/>
    <w:rsid w:val="00B24568"/>
    <w:rsid w:val="00B24578"/>
    <w:rsid w:val="00B2457C"/>
    <w:rsid w:val="00B24584"/>
    <w:rsid w:val="00B245BF"/>
    <w:rsid w:val="00B2464F"/>
    <w:rsid w:val="00B2465C"/>
    <w:rsid w:val="00B24677"/>
    <w:rsid w:val="00B24743"/>
    <w:rsid w:val="00B247AA"/>
    <w:rsid w:val="00B24841"/>
    <w:rsid w:val="00B248A4"/>
    <w:rsid w:val="00B248AF"/>
    <w:rsid w:val="00B248CD"/>
    <w:rsid w:val="00B249A9"/>
    <w:rsid w:val="00B249FC"/>
    <w:rsid w:val="00B24A21"/>
    <w:rsid w:val="00B24A28"/>
    <w:rsid w:val="00B24A48"/>
    <w:rsid w:val="00B24AEF"/>
    <w:rsid w:val="00B24B0E"/>
    <w:rsid w:val="00B24B9B"/>
    <w:rsid w:val="00B24BAF"/>
    <w:rsid w:val="00B24BB7"/>
    <w:rsid w:val="00B24C1C"/>
    <w:rsid w:val="00B24CC2"/>
    <w:rsid w:val="00B24D46"/>
    <w:rsid w:val="00B24D6A"/>
    <w:rsid w:val="00B24ECD"/>
    <w:rsid w:val="00B24EFA"/>
    <w:rsid w:val="00B24F90"/>
    <w:rsid w:val="00B25080"/>
    <w:rsid w:val="00B25123"/>
    <w:rsid w:val="00B25198"/>
    <w:rsid w:val="00B251A1"/>
    <w:rsid w:val="00B251EA"/>
    <w:rsid w:val="00B251F3"/>
    <w:rsid w:val="00B25200"/>
    <w:rsid w:val="00B25256"/>
    <w:rsid w:val="00B25290"/>
    <w:rsid w:val="00B25350"/>
    <w:rsid w:val="00B253B2"/>
    <w:rsid w:val="00B253C5"/>
    <w:rsid w:val="00B253ED"/>
    <w:rsid w:val="00B253F0"/>
    <w:rsid w:val="00B25418"/>
    <w:rsid w:val="00B254AF"/>
    <w:rsid w:val="00B25510"/>
    <w:rsid w:val="00B255AB"/>
    <w:rsid w:val="00B25606"/>
    <w:rsid w:val="00B2566A"/>
    <w:rsid w:val="00B25673"/>
    <w:rsid w:val="00B25736"/>
    <w:rsid w:val="00B25750"/>
    <w:rsid w:val="00B2575C"/>
    <w:rsid w:val="00B258A1"/>
    <w:rsid w:val="00B258E2"/>
    <w:rsid w:val="00B25902"/>
    <w:rsid w:val="00B25914"/>
    <w:rsid w:val="00B25A08"/>
    <w:rsid w:val="00B25AC2"/>
    <w:rsid w:val="00B25B5A"/>
    <w:rsid w:val="00B25BB5"/>
    <w:rsid w:val="00B25BD1"/>
    <w:rsid w:val="00B25BFE"/>
    <w:rsid w:val="00B25C37"/>
    <w:rsid w:val="00B25C7E"/>
    <w:rsid w:val="00B25C7F"/>
    <w:rsid w:val="00B25C83"/>
    <w:rsid w:val="00B25CFF"/>
    <w:rsid w:val="00B25D3C"/>
    <w:rsid w:val="00B25D43"/>
    <w:rsid w:val="00B25D58"/>
    <w:rsid w:val="00B25DA8"/>
    <w:rsid w:val="00B25DBA"/>
    <w:rsid w:val="00B25E30"/>
    <w:rsid w:val="00B25E6D"/>
    <w:rsid w:val="00B25E84"/>
    <w:rsid w:val="00B25F1A"/>
    <w:rsid w:val="00B25F23"/>
    <w:rsid w:val="00B25F28"/>
    <w:rsid w:val="00B25F65"/>
    <w:rsid w:val="00B25FCC"/>
    <w:rsid w:val="00B25FF8"/>
    <w:rsid w:val="00B26023"/>
    <w:rsid w:val="00B26032"/>
    <w:rsid w:val="00B26100"/>
    <w:rsid w:val="00B261B2"/>
    <w:rsid w:val="00B2620B"/>
    <w:rsid w:val="00B26217"/>
    <w:rsid w:val="00B2623B"/>
    <w:rsid w:val="00B2623E"/>
    <w:rsid w:val="00B2623F"/>
    <w:rsid w:val="00B262A2"/>
    <w:rsid w:val="00B262A7"/>
    <w:rsid w:val="00B262BE"/>
    <w:rsid w:val="00B2638B"/>
    <w:rsid w:val="00B26396"/>
    <w:rsid w:val="00B26425"/>
    <w:rsid w:val="00B264CB"/>
    <w:rsid w:val="00B26541"/>
    <w:rsid w:val="00B26553"/>
    <w:rsid w:val="00B265BD"/>
    <w:rsid w:val="00B26629"/>
    <w:rsid w:val="00B26664"/>
    <w:rsid w:val="00B266FB"/>
    <w:rsid w:val="00B26746"/>
    <w:rsid w:val="00B2682E"/>
    <w:rsid w:val="00B26832"/>
    <w:rsid w:val="00B26889"/>
    <w:rsid w:val="00B2688B"/>
    <w:rsid w:val="00B26895"/>
    <w:rsid w:val="00B26899"/>
    <w:rsid w:val="00B26966"/>
    <w:rsid w:val="00B2696B"/>
    <w:rsid w:val="00B2697D"/>
    <w:rsid w:val="00B26986"/>
    <w:rsid w:val="00B26A40"/>
    <w:rsid w:val="00B26A4F"/>
    <w:rsid w:val="00B26A57"/>
    <w:rsid w:val="00B26B21"/>
    <w:rsid w:val="00B26B43"/>
    <w:rsid w:val="00B26B5C"/>
    <w:rsid w:val="00B26B7F"/>
    <w:rsid w:val="00B26BFA"/>
    <w:rsid w:val="00B26C58"/>
    <w:rsid w:val="00B26C65"/>
    <w:rsid w:val="00B26CD7"/>
    <w:rsid w:val="00B26CDE"/>
    <w:rsid w:val="00B26CE3"/>
    <w:rsid w:val="00B26D02"/>
    <w:rsid w:val="00B26DD9"/>
    <w:rsid w:val="00B26E17"/>
    <w:rsid w:val="00B26E37"/>
    <w:rsid w:val="00B26F23"/>
    <w:rsid w:val="00B26F3D"/>
    <w:rsid w:val="00B26FC0"/>
    <w:rsid w:val="00B270A2"/>
    <w:rsid w:val="00B270E0"/>
    <w:rsid w:val="00B27135"/>
    <w:rsid w:val="00B27142"/>
    <w:rsid w:val="00B273E1"/>
    <w:rsid w:val="00B27405"/>
    <w:rsid w:val="00B27451"/>
    <w:rsid w:val="00B27461"/>
    <w:rsid w:val="00B274EE"/>
    <w:rsid w:val="00B27516"/>
    <w:rsid w:val="00B27520"/>
    <w:rsid w:val="00B275B3"/>
    <w:rsid w:val="00B27748"/>
    <w:rsid w:val="00B277A1"/>
    <w:rsid w:val="00B277C5"/>
    <w:rsid w:val="00B27837"/>
    <w:rsid w:val="00B27840"/>
    <w:rsid w:val="00B2785D"/>
    <w:rsid w:val="00B27873"/>
    <w:rsid w:val="00B27875"/>
    <w:rsid w:val="00B278AB"/>
    <w:rsid w:val="00B27947"/>
    <w:rsid w:val="00B27A34"/>
    <w:rsid w:val="00B27AD7"/>
    <w:rsid w:val="00B27AFA"/>
    <w:rsid w:val="00B27B36"/>
    <w:rsid w:val="00B27BAB"/>
    <w:rsid w:val="00B27C24"/>
    <w:rsid w:val="00B27C3D"/>
    <w:rsid w:val="00B27C9E"/>
    <w:rsid w:val="00B27CEC"/>
    <w:rsid w:val="00B27D34"/>
    <w:rsid w:val="00B27D3C"/>
    <w:rsid w:val="00B27D66"/>
    <w:rsid w:val="00B27D84"/>
    <w:rsid w:val="00B27DDF"/>
    <w:rsid w:val="00B27E06"/>
    <w:rsid w:val="00B27F06"/>
    <w:rsid w:val="00B27F45"/>
    <w:rsid w:val="00B27FE6"/>
    <w:rsid w:val="00B27FF7"/>
    <w:rsid w:val="00B30114"/>
    <w:rsid w:val="00B30222"/>
    <w:rsid w:val="00B30229"/>
    <w:rsid w:val="00B302A7"/>
    <w:rsid w:val="00B3033C"/>
    <w:rsid w:val="00B3033D"/>
    <w:rsid w:val="00B30366"/>
    <w:rsid w:val="00B30370"/>
    <w:rsid w:val="00B3037A"/>
    <w:rsid w:val="00B303E4"/>
    <w:rsid w:val="00B30448"/>
    <w:rsid w:val="00B304AE"/>
    <w:rsid w:val="00B30549"/>
    <w:rsid w:val="00B30553"/>
    <w:rsid w:val="00B305B3"/>
    <w:rsid w:val="00B305F7"/>
    <w:rsid w:val="00B3070A"/>
    <w:rsid w:val="00B30715"/>
    <w:rsid w:val="00B30734"/>
    <w:rsid w:val="00B30754"/>
    <w:rsid w:val="00B307DE"/>
    <w:rsid w:val="00B30820"/>
    <w:rsid w:val="00B30844"/>
    <w:rsid w:val="00B30890"/>
    <w:rsid w:val="00B30899"/>
    <w:rsid w:val="00B308DF"/>
    <w:rsid w:val="00B3098E"/>
    <w:rsid w:val="00B309A9"/>
    <w:rsid w:val="00B309DC"/>
    <w:rsid w:val="00B30AB8"/>
    <w:rsid w:val="00B30AC5"/>
    <w:rsid w:val="00B30AE4"/>
    <w:rsid w:val="00B30B5E"/>
    <w:rsid w:val="00B30BD0"/>
    <w:rsid w:val="00B30BEC"/>
    <w:rsid w:val="00B30C02"/>
    <w:rsid w:val="00B30C07"/>
    <w:rsid w:val="00B30C66"/>
    <w:rsid w:val="00B30D0A"/>
    <w:rsid w:val="00B30D4B"/>
    <w:rsid w:val="00B30D7E"/>
    <w:rsid w:val="00B30D8D"/>
    <w:rsid w:val="00B30DDB"/>
    <w:rsid w:val="00B30DE4"/>
    <w:rsid w:val="00B30E40"/>
    <w:rsid w:val="00B30E7C"/>
    <w:rsid w:val="00B30E81"/>
    <w:rsid w:val="00B30EA7"/>
    <w:rsid w:val="00B30F08"/>
    <w:rsid w:val="00B30F1A"/>
    <w:rsid w:val="00B310AF"/>
    <w:rsid w:val="00B310EF"/>
    <w:rsid w:val="00B31130"/>
    <w:rsid w:val="00B31131"/>
    <w:rsid w:val="00B311C1"/>
    <w:rsid w:val="00B3123F"/>
    <w:rsid w:val="00B3126A"/>
    <w:rsid w:val="00B312B1"/>
    <w:rsid w:val="00B312B9"/>
    <w:rsid w:val="00B312F0"/>
    <w:rsid w:val="00B31363"/>
    <w:rsid w:val="00B313F3"/>
    <w:rsid w:val="00B313FC"/>
    <w:rsid w:val="00B31467"/>
    <w:rsid w:val="00B31486"/>
    <w:rsid w:val="00B314A4"/>
    <w:rsid w:val="00B314C1"/>
    <w:rsid w:val="00B315ED"/>
    <w:rsid w:val="00B3164D"/>
    <w:rsid w:val="00B3167D"/>
    <w:rsid w:val="00B316B2"/>
    <w:rsid w:val="00B31756"/>
    <w:rsid w:val="00B3176F"/>
    <w:rsid w:val="00B3180C"/>
    <w:rsid w:val="00B31850"/>
    <w:rsid w:val="00B31856"/>
    <w:rsid w:val="00B31886"/>
    <w:rsid w:val="00B318B4"/>
    <w:rsid w:val="00B318DE"/>
    <w:rsid w:val="00B31915"/>
    <w:rsid w:val="00B319EC"/>
    <w:rsid w:val="00B319FF"/>
    <w:rsid w:val="00B31A41"/>
    <w:rsid w:val="00B31A60"/>
    <w:rsid w:val="00B31A6E"/>
    <w:rsid w:val="00B31A7A"/>
    <w:rsid w:val="00B31AD9"/>
    <w:rsid w:val="00B31AEA"/>
    <w:rsid w:val="00B31B83"/>
    <w:rsid w:val="00B31C10"/>
    <w:rsid w:val="00B31C78"/>
    <w:rsid w:val="00B31CA5"/>
    <w:rsid w:val="00B31CCB"/>
    <w:rsid w:val="00B31D2D"/>
    <w:rsid w:val="00B31D32"/>
    <w:rsid w:val="00B31D6B"/>
    <w:rsid w:val="00B31D7F"/>
    <w:rsid w:val="00B31D83"/>
    <w:rsid w:val="00B31DC7"/>
    <w:rsid w:val="00B31E9F"/>
    <w:rsid w:val="00B31F72"/>
    <w:rsid w:val="00B31F9F"/>
    <w:rsid w:val="00B31FCC"/>
    <w:rsid w:val="00B32071"/>
    <w:rsid w:val="00B32089"/>
    <w:rsid w:val="00B320E0"/>
    <w:rsid w:val="00B32123"/>
    <w:rsid w:val="00B321AB"/>
    <w:rsid w:val="00B321D1"/>
    <w:rsid w:val="00B32237"/>
    <w:rsid w:val="00B3223A"/>
    <w:rsid w:val="00B32243"/>
    <w:rsid w:val="00B3227E"/>
    <w:rsid w:val="00B32285"/>
    <w:rsid w:val="00B3231F"/>
    <w:rsid w:val="00B3233E"/>
    <w:rsid w:val="00B32350"/>
    <w:rsid w:val="00B3235E"/>
    <w:rsid w:val="00B3238D"/>
    <w:rsid w:val="00B323A9"/>
    <w:rsid w:val="00B324F1"/>
    <w:rsid w:val="00B324F8"/>
    <w:rsid w:val="00B3251F"/>
    <w:rsid w:val="00B326DD"/>
    <w:rsid w:val="00B326F4"/>
    <w:rsid w:val="00B3275A"/>
    <w:rsid w:val="00B32780"/>
    <w:rsid w:val="00B327AA"/>
    <w:rsid w:val="00B32829"/>
    <w:rsid w:val="00B3287F"/>
    <w:rsid w:val="00B32894"/>
    <w:rsid w:val="00B328C8"/>
    <w:rsid w:val="00B329B5"/>
    <w:rsid w:val="00B329D5"/>
    <w:rsid w:val="00B32A2D"/>
    <w:rsid w:val="00B32A3A"/>
    <w:rsid w:val="00B32A99"/>
    <w:rsid w:val="00B32B2D"/>
    <w:rsid w:val="00B32B6D"/>
    <w:rsid w:val="00B32B82"/>
    <w:rsid w:val="00B32BBA"/>
    <w:rsid w:val="00B32C18"/>
    <w:rsid w:val="00B32C35"/>
    <w:rsid w:val="00B32C9F"/>
    <w:rsid w:val="00B32CDA"/>
    <w:rsid w:val="00B32D0E"/>
    <w:rsid w:val="00B32D25"/>
    <w:rsid w:val="00B32D47"/>
    <w:rsid w:val="00B32DBE"/>
    <w:rsid w:val="00B32DF8"/>
    <w:rsid w:val="00B32DFB"/>
    <w:rsid w:val="00B32E0E"/>
    <w:rsid w:val="00B32E45"/>
    <w:rsid w:val="00B32E58"/>
    <w:rsid w:val="00B32E6D"/>
    <w:rsid w:val="00B32ECA"/>
    <w:rsid w:val="00B32EE8"/>
    <w:rsid w:val="00B32F0F"/>
    <w:rsid w:val="00B32F95"/>
    <w:rsid w:val="00B32F99"/>
    <w:rsid w:val="00B33063"/>
    <w:rsid w:val="00B33081"/>
    <w:rsid w:val="00B330AA"/>
    <w:rsid w:val="00B330D6"/>
    <w:rsid w:val="00B330D8"/>
    <w:rsid w:val="00B330F1"/>
    <w:rsid w:val="00B330F2"/>
    <w:rsid w:val="00B33105"/>
    <w:rsid w:val="00B3310D"/>
    <w:rsid w:val="00B33126"/>
    <w:rsid w:val="00B331BF"/>
    <w:rsid w:val="00B331E4"/>
    <w:rsid w:val="00B332D1"/>
    <w:rsid w:val="00B3336F"/>
    <w:rsid w:val="00B333D0"/>
    <w:rsid w:val="00B3340E"/>
    <w:rsid w:val="00B33537"/>
    <w:rsid w:val="00B335A4"/>
    <w:rsid w:val="00B33620"/>
    <w:rsid w:val="00B33658"/>
    <w:rsid w:val="00B33667"/>
    <w:rsid w:val="00B33751"/>
    <w:rsid w:val="00B3376F"/>
    <w:rsid w:val="00B337D0"/>
    <w:rsid w:val="00B337FB"/>
    <w:rsid w:val="00B33807"/>
    <w:rsid w:val="00B33815"/>
    <w:rsid w:val="00B338C9"/>
    <w:rsid w:val="00B33977"/>
    <w:rsid w:val="00B3397F"/>
    <w:rsid w:val="00B339A9"/>
    <w:rsid w:val="00B339BE"/>
    <w:rsid w:val="00B33ADC"/>
    <w:rsid w:val="00B33AF5"/>
    <w:rsid w:val="00B33BA2"/>
    <w:rsid w:val="00B33BBC"/>
    <w:rsid w:val="00B33BBD"/>
    <w:rsid w:val="00B33C4F"/>
    <w:rsid w:val="00B33D11"/>
    <w:rsid w:val="00B33D12"/>
    <w:rsid w:val="00B33D85"/>
    <w:rsid w:val="00B33E0F"/>
    <w:rsid w:val="00B33E2C"/>
    <w:rsid w:val="00B33E52"/>
    <w:rsid w:val="00B33EA3"/>
    <w:rsid w:val="00B33EA7"/>
    <w:rsid w:val="00B33EC2"/>
    <w:rsid w:val="00B33F0B"/>
    <w:rsid w:val="00B33F2D"/>
    <w:rsid w:val="00B34077"/>
    <w:rsid w:val="00B340DE"/>
    <w:rsid w:val="00B3418F"/>
    <w:rsid w:val="00B34192"/>
    <w:rsid w:val="00B341A0"/>
    <w:rsid w:val="00B341AF"/>
    <w:rsid w:val="00B341D2"/>
    <w:rsid w:val="00B341EF"/>
    <w:rsid w:val="00B3420C"/>
    <w:rsid w:val="00B34290"/>
    <w:rsid w:val="00B342A7"/>
    <w:rsid w:val="00B342DE"/>
    <w:rsid w:val="00B34320"/>
    <w:rsid w:val="00B3434D"/>
    <w:rsid w:val="00B343E5"/>
    <w:rsid w:val="00B343F3"/>
    <w:rsid w:val="00B34465"/>
    <w:rsid w:val="00B34526"/>
    <w:rsid w:val="00B34698"/>
    <w:rsid w:val="00B346B2"/>
    <w:rsid w:val="00B346EC"/>
    <w:rsid w:val="00B3472E"/>
    <w:rsid w:val="00B34778"/>
    <w:rsid w:val="00B3479B"/>
    <w:rsid w:val="00B3480B"/>
    <w:rsid w:val="00B348A1"/>
    <w:rsid w:val="00B34949"/>
    <w:rsid w:val="00B34970"/>
    <w:rsid w:val="00B3497F"/>
    <w:rsid w:val="00B34997"/>
    <w:rsid w:val="00B34A1D"/>
    <w:rsid w:val="00B34A6F"/>
    <w:rsid w:val="00B34A8A"/>
    <w:rsid w:val="00B34AB5"/>
    <w:rsid w:val="00B34ACF"/>
    <w:rsid w:val="00B34B57"/>
    <w:rsid w:val="00B34B9F"/>
    <w:rsid w:val="00B34BAA"/>
    <w:rsid w:val="00B34C1D"/>
    <w:rsid w:val="00B34C83"/>
    <w:rsid w:val="00B34D1F"/>
    <w:rsid w:val="00B34DEB"/>
    <w:rsid w:val="00B34E0A"/>
    <w:rsid w:val="00B34E34"/>
    <w:rsid w:val="00B34E89"/>
    <w:rsid w:val="00B34EC7"/>
    <w:rsid w:val="00B34ED8"/>
    <w:rsid w:val="00B34F9C"/>
    <w:rsid w:val="00B34FCA"/>
    <w:rsid w:val="00B35082"/>
    <w:rsid w:val="00B350CA"/>
    <w:rsid w:val="00B350CE"/>
    <w:rsid w:val="00B350F9"/>
    <w:rsid w:val="00B35152"/>
    <w:rsid w:val="00B35235"/>
    <w:rsid w:val="00B35284"/>
    <w:rsid w:val="00B3531C"/>
    <w:rsid w:val="00B35405"/>
    <w:rsid w:val="00B35461"/>
    <w:rsid w:val="00B3546E"/>
    <w:rsid w:val="00B35494"/>
    <w:rsid w:val="00B35686"/>
    <w:rsid w:val="00B356BE"/>
    <w:rsid w:val="00B35757"/>
    <w:rsid w:val="00B35AA3"/>
    <w:rsid w:val="00B35AA6"/>
    <w:rsid w:val="00B35ACF"/>
    <w:rsid w:val="00B35B45"/>
    <w:rsid w:val="00B35B48"/>
    <w:rsid w:val="00B35BA3"/>
    <w:rsid w:val="00B35BED"/>
    <w:rsid w:val="00B35C27"/>
    <w:rsid w:val="00B35C2F"/>
    <w:rsid w:val="00B35C33"/>
    <w:rsid w:val="00B35C85"/>
    <w:rsid w:val="00B35CC5"/>
    <w:rsid w:val="00B35D25"/>
    <w:rsid w:val="00B35D28"/>
    <w:rsid w:val="00B35D95"/>
    <w:rsid w:val="00B35DA3"/>
    <w:rsid w:val="00B35E09"/>
    <w:rsid w:val="00B35E0C"/>
    <w:rsid w:val="00B35EF5"/>
    <w:rsid w:val="00B35F4E"/>
    <w:rsid w:val="00B35F73"/>
    <w:rsid w:val="00B36025"/>
    <w:rsid w:val="00B3610A"/>
    <w:rsid w:val="00B36171"/>
    <w:rsid w:val="00B361BF"/>
    <w:rsid w:val="00B36207"/>
    <w:rsid w:val="00B3620C"/>
    <w:rsid w:val="00B36227"/>
    <w:rsid w:val="00B36279"/>
    <w:rsid w:val="00B362C0"/>
    <w:rsid w:val="00B362EF"/>
    <w:rsid w:val="00B362F6"/>
    <w:rsid w:val="00B36433"/>
    <w:rsid w:val="00B36453"/>
    <w:rsid w:val="00B365E2"/>
    <w:rsid w:val="00B36607"/>
    <w:rsid w:val="00B36702"/>
    <w:rsid w:val="00B3672B"/>
    <w:rsid w:val="00B367E4"/>
    <w:rsid w:val="00B36831"/>
    <w:rsid w:val="00B36843"/>
    <w:rsid w:val="00B368F8"/>
    <w:rsid w:val="00B3691F"/>
    <w:rsid w:val="00B369CD"/>
    <w:rsid w:val="00B36A09"/>
    <w:rsid w:val="00B36A53"/>
    <w:rsid w:val="00B36A73"/>
    <w:rsid w:val="00B36A89"/>
    <w:rsid w:val="00B36A91"/>
    <w:rsid w:val="00B36B23"/>
    <w:rsid w:val="00B36B5B"/>
    <w:rsid w:val="00B36B96"/>
    <w:rsid w:val="00B36BA5"/>
    <w:rsid w:val="00B36BAA"/>
    <w:rsid w:val="00B36BB6"/>
    <w:rsid w:val="00B36C08"/>
    <w:rsid w:val="00B36C2F"/>
    <w:rsid w:val="00B36C41"/>
    <w:rsid w:val="00B36C4C"/>
    <w:rsid w:val="00B36C53"/>
    <w:rsid w:val="00B36C54"/>
    <w:rsid w:val="00B36C9F"/>
    <w:rsid w:val="00B36CAA"/>
    <w:rsid w:val="00B36D4F"/>
    <w:rsid w:val="00B36D55"/>
    <w:rsid w:val="00B36DE7"/>
    <w:rsid w:val="00B36DF0"/>
    <w:rsid w:val="00B36E05"/>
    <w:rsid w:val="00B36E09"/>
    <w:rsid w:val="00B36E9E"/>
    <w:rsid w:val="00B36FA4"/>
    <w:rsid w:val="00B36FD6"/>
    <w:rsid w:val="00B3701F"/>
    <w:rsid w:val="00B3702B"/>
    <w:rsid w:val="00B37085"/>
    <w:rsid w:val="00B37086"/>
    <w:rsid w:val="00B3710D"/>
    <w:rsid w:val="00B3714C"/>
    <w:rsid w:val="00B37171"/>
    <w:rsid w:val="00B371A4"/>
    <w:rsid w:val="00B371C6"/>
    <w:rsid w:val="00B371EF"/>
    <w:rsid w:val="00B37221"/>
    <w:rsid w:val="00B37255"/>
    <w:rsid w:val="00B37266"/>
    <w:rsid w:val="00B3729A"/>
    <w:rsid w:val="00B3730B"/>
    <w:rsid w:val="00B3733F"/>
    <w:rsid w:val="00B3743E"/>
    <w:rsid w:val="00B3747B"/>
    <w:rsid w:val="00B374FF"/>
    <w:rsid w:val="00B37525"/>
    <w:rsid w:val="00B3757C"/>
    <w:rsid w:val="00B375D7"/>
    <w:rsid w:val="00B3761E"/>
    <w:rsid w:val="00B37651"/>
    <w:rsid w:val="00B3767D"/>
    <w:rsid w:val="00B37694"/>
    <w:rsid w:val="00B3771E"/>
    <w:rsid w:val="00B37756"/>
    <w:rsid w:val="00B3775F"/>
    <w:rsid w:val="00B377BF"/>
    <w:rsid w:val="00B37801"/>
    <w:rsid w:val="00B3780A"/>
    <w:rsid w:val="00B3783C"/>
    <w:rsid w:val="00B378AC"/>
    <w:rsid w:val="00B37945"/>
    <w:rsid w:val="00B3794F"/>
    <w:rsid w:val="00B37973"/>
    <w:rsid w:val="00B37A1E"/>
    <w:rsid w:val="00B37A6F"/>
    <w:rsid w:val="00B37A73"/>
    <w:rsid w:val="00B37AB9"/>
    <w:rsid w:val="00B37B00"/>
    <w:rsid w:val="00B37B33"/>
    <w:rsid w:val="00B37B97"/>
    <w:rsid w:val="00B37BB4"/>
    <w:rsid w:val="00B37C0F"/>
    <w:rsid w:val="00B37C14"/>
    <w:rsid w:val="00B37C33"/>
    <w:rsid w:val="00B37C57"/>
    <w:rsid w:val="00B37C82"/>
    <w:rsid w:val="00B37CBC"/>
    <w:rsid w:val="00B37CD2"/>
    <w:rsid w:val="00B37CDC"/>
    <w:rsid w:val="00B37D50"/>
    <w:rsid w:val="00B37E1E"/>
    <w:rsid w:val="00B37E26"/>
    <w:rsid w:val="00B37E7A"/>
    <w:rsid w:val="00B37E9F"/>
    <w:rsid w:val="00B37EA7"/>
    <w:rsid w:val="00B37EDB"/>
    <w:rsid w:val="00B37EEE"/>
    <w:rsid w:val="00B37F06"/>
    <w:rsid w:val="00B40007"/>
    <w:rsid w:val="00B4006C"/>
    <w:rsid w:val="00B40071"/>
    <w:rsid w:val="00B401FA"/>
    <w:rsid w:val="00B401FD"/>
    <w:rsid w:val="00B40252"/>
    <w:rsid w:val="00B4029E"/>
    <w:rsid w:val="00B402DF"/>
    <w:rsid w:val="00B402E4"/>
    <w:rsid w:val="00B402E8"/>
    <w:rsid w:val="00B403C3"/>
    <w:rsid w:val="00B40461"/>
    <w:rsid w:val="00B404BC"/>
    <w:rsid w:val="00B404C6"/>
    <w:rsid w:val="00B40504"/>
    <w:rsid w:val="00B40591"/>
    <w:rsid w:val="00B40594"/>
    <w:rsid w:val="00B4060F"/>
    <w:rsid w:val="00B4064F"/>
    <w:rsid w:val="00B4065C"/>
    <w:rsid w:val="00B40675"/>
    <w:rsid w:val="00B406AB"/>
    <w:rsid w:val="00B406DA"/>
    <w:rsid w:val="00B4079E"/>
    <w:rsid w:val="00B407DC"/>
    <w:rsid w:val="00B40824"/>
    <w:rsid w:val="00B40872"/>
    <w:rsid w:val="00B408D2"/>
    <w:rsid w:val="00B408D9"/>
    <w:rsid w:val="00B40900"/>
    <w:rsid w:val="00B40961"/>
    <w:rsid w:val="00B40987"/>
    <w:rsid w:val="00B40A49"/>
    <w:rsid w:val="00B40A51"/>
    <w:rsid w:val="00B40B2D"/>
    <w:rsid w:val="00B40B32"/>
    <w:rsid w:val="00B40C4F"/>
    <w:rsid w:val="00B40CDD"/>
    <w:rsid w:val="00B40CE9"/>
    <w:rsid w:val="00B40D2E"/>
    <w:rsid w:val="00B40DCE"/>
    <w:rsid w:val="00B40DEC"/>
    <w:rsid w:val="00B40DFD"/>
    <w:rsid w:val="00B40EA4"/>
    <w:rsid w:val="00B40F46"/>
    <w:rsid w:val="00B40F5F"/>
    <w:rsid w:val="00B40F68"/>
    <w:rsid w:val="00B40F92"/>
    <w:rsid w:val="00B4100A"/>
    <w:rsid w:val="00B4103E"/>
    <w:rsid w:val="00B410D4"/>
    <w:rsid w:val="00B410FF"/>
    <w:rsid w:val="00B4112D"/>
    <w:rsid w:val="00B411BF"/>
    <w:rsid w:val="00B41212"/>
    <w:rsid w:val="00B41265"/>
    <w:rsid w:val="00B4126E"/>
    <w:rsid w:val="00B41385"/>
    <w:rsid w:val="00B413D7"/>
    <w:rsid w:val="00B4140B"/>
    <w:rsid w:val="00B4140C"/>
    <w:rsid w:val="00B4144B"/>
    <w:rsid w:val="00B4146F"/>
    <w:rsid w:val="00B4147B"/>
    <w:rsid w:val="00B414BF"/>
    <w:rsid w:val="00B414F2"/>
    <w:rsid w:val="00B414F8"/>
    <w:rsid w:val="00B41565"/>
    <w:rsid w:val="00B4157B"/>
    <w:rsid w:val="00B41694"/>
    <w:rsid w:val="00B41711"/>
    <w:rsid w:val="00B417D1"/>
    <w:rsid w:val="00B41824"/>
    <w:rsid w:val="00B41828"/>
    <w:rsid w:val="00B4187F"/>
    <w:rsid w:val="00B4188D"/>
    <w:rsid w:val="00B418BB"/>
    <w:rsid w:val="00B4191D"/>
    <w:rsid w:val="00B4193B"/>
    <w:rsid w:val="00B41957"/>
    <w:rsid w:val="00B419FC"/>
    <w:rsid w:val="00B41A0B"/>
    <w:rsid w:val="00B41B05"/>
    <w:rsid w:val="00B41B0A"/>
    <w:rsid w:val="00B41BFA"/>
    <w:rsid w:val="00B41C02"/>
    <w:rsid w:val="00B41C29"/>
    <w:rsid w:val="00B41C2E"/>
    <w:rsid w:val="00B41C70"/>
    <w:rsid w:val="00B41C9C"/>
    <w:rsid w:val="00B41CAE"/>
    <w:rsid w:val="00B41D0E"/>
    <w:rsid w:val="00B41D36"/>
    <w:rsid w:val="00B41D50"/>
    <w:rsid w:val="00B41DA8"/>
    <w:rsid w:val="00B41E11"/>
    <w:rsid w:val="00B41E17"/>
    <w:rsid w:val="00B41E2D"/>
    <w:rsid w:val="00B41EBA"/>
    <w:rsid w:val="00B41EC4"/>
    <w:rsid w:val="00B41EE9"/>
    <w:rsid w:val="00B41F36"/>
    <w:rsid w:val="00B42028"/>
    <w:rsid w:val="00B4202B"/>
    <w:rsid w:val="00B420EC"/>
    <w:rsid w:val="00B4227B"/>
    <w:rsid w:val="00B4227F"/>
    <w:rsid w:val="00B4228C"/>
    <w:rsid w:val="00B422AB"/>
    <w:rsid w:val="00B422C3"/>
    <w:rsid w:val="00B42345"/>
    <w:rsid w:val="00B42353"/>
    <w:rsid w:val="00B423CF"/>
    <w:rsid w:val="00B42492"/>
    <w:rsid w:val="00B424EC"/>
    <w:rsid w:val="00B42513"/>
    <w:rsid w:val="00B4259B"/>
    <w:rsid w:val="00B4259D"/>
    <w:rsid w:val="00B425F1"/>
    <w:rsid w:val="00B42652"/>
    <w:rsid w:val="00B426BB"/>
    <w:rsid w:val="00B426DA"/>
    <w:rsid w:val="00B426F2"/>
    <w:rsid w:val="00B426FD"/>
    <w:rsid w:val="00B427AC"/>
    <w:rsid w:val="00B427D3"/>
    <w:rsid w:val="00B4285A"/>
    <w:rsid w:val="00B428BD"/>
    <w:rsid w:val="00B42998"/>
    <w:rsid w:val="00B429A7"/>
    <w:rsid w:val="00B429B2"/>
    <w:rsid w:val="00B42ACE"/>
    <w:rsid w:val="00B42AF0"/>
    <w:rsid w:val="00B42AF1"/>
    <w:rsid w:val="00B42B82"/>
    <w:rsid w:val="00B42C87"/>
    <w:rsid w:val="00B42D0E"/>
    <w:rsid w:val="00B42D22"/>
    <w:rsid w:val="00B42D27"/>
    <w:rsid w:val="00B42DB0"/>
    <w:rsid w:val="00B42E0A"/>
    <w:rsid w:val="00B42E51"/>
    <w:rsid w:val="00B42E63"/>
    <w:rsid w:val="00B42E6F"/>
    <w:rsid w:val="00B42E7A"/>
    <w:rsid w:val="00B42E8F"/>
    <w:rsid w:val="00B42ECB"/>
    <w:rsid w:val="00B42FCD"/>
    <w:rsid w:val="00B42FFF"/>
    <w:rsid w:val="00B43073"/>
    <w:rsid w:val="00B43095"/>
    <w:rsid w:val="00B430C9"/>
    <w:rsid w:val="00B431EA"/>
    <w:rsid w:val="00B4320A"/>
    <w:rsid w:val="00B4323B"/>
    <w:rsid w:val="00B43276"/>
    <w:rsid w:val="00B432A7"/>
    <w:rsid w:val="00B43301"/>
    <w:rsid w:val="00B433B5"/>
    <w:rsid w:val="00B433FC"/>
    <w:rsid w:val="00B4341A"/>
    <w:rsid w:val="00B43442"/>
    <w:rsid w:val="00B43531"/>
    <w:rsid w:val="00B4356C"/>
    <w:rsid w:val="00B43574"/>
    <w:rsid w:val="00B435DB"/>
    <w:rsid w:val="00B435F9"/>
    <w:rsid w:val="00B43695"/>
    <w:rsid w:val="00B437B6"/>
    <w:rsid w:val="00B437E5"/>
    <w:rsid w:val="00B438C4"/>
    <w:rsid w:val="00B438D1"/>
    <w:rsid w:val="00B4392D"/>
    <w:rsid w:val="00B43987"/>
    <w:rsid w:val="00B4399D"/>
    <w:rsid w:val="00B43A0D"/>
    <w:rsid w:val="00B43AD5"/>
    <w:rsid w:val="00B43B45"/>
    <w:rsid w:val="00B43B61"/>
    <w:rsid w:val="00B43B77"/>
    <w:rsid w:val="00B43C38"/>
    <w:rsid w:val="00B43C5A"/>
    <w:rsid w:val="00B43C74"/>
    <w:rsid w:val="00B43CCE"/>
    <w:rsid w:val="00B43D04"/>
    <w:rsid w:val="00B43D93"/>
    <w:rsid w:val="00B43DCC"/>
    <w:rsid w:val="00B43DFD"/>
    <w:rsid w:val="00B43E88"/>
    <w:rsid w:val="00B43EA7"/>
    <w:rsid w:val="00B43F2E"/>
    <w:rsid w:val="00B43FD8"/>
    <w:rsid w:val="00B44008"/>
    <w:rsid w:val="00B44076"/>
    <w:rsid w:val="00B440A7"/>
    <w:rsid w:val="00B44105"/>
    <w:rsid w:val="00B44119"/>
    <w:rsid w:val="00B44222"/>
    <w:rsid w:val="00B44293"/>
    <w:rsid w:val="00B44314"/>
    <w:rsid w:val="00B44319"/>
    <w:rsid w:val="00B44389"/>
    <w:rsid w:val="00B443BC"/>
    <w:rsid w:val="00B443FC"/>
    <w:rsid w:val="00B44443"/>
    <w:rsid w:val="00B44474"/>
    <w:rsid w:val="00B44494"/>
    <w:rsid w:val="00B4449A"/>
    <w:rsid w:val="00B444F3"/>
    <w:rsid w:val="00B444F9"/>
    <w:rsid w:val="00B4453D"/>
    <w:rsid w:val="00B44575"/>
    <w:rsid w:val="00B4457F"/>
    <w:rsid w:val="00B445A5"/>
    <w:rsid w:val="00B445D9"/>
    <w:rsid w:val="00B445E8"/>
    <w:rsid w:val="00B44682"/>
    <w:rsid w:val="00B446A6"/>
    <w:rsid w:val="00B44716"/>
    <w:rsid w:val="00B44724"/>
    <w:rsid w:val="00B44729"/>
    <w:rsid w:val="00B447DA"/>
    <w:rsid w:val="00B447F2"/>
    <w:rsid w:val="00B44867"/>
    <w:rsid w:val="00B448D1"/>
    <w:rsid w:val="00B44934"/>
    <w:rsid w:val="00B44956"/>
    <w:rsid w:val="00B44978"/>
    <w:rsid w:val="00B449A6"/>
    <w:rsid w:val="00B449DF"/>
    <w:rsid w:val="00B44A51"/>
    <w:rsid w:val="00B44A85"/>
    <w:rsid w:val="00B44A98"/>
    <w:rsid w:val="00B44A9F"/>
    <w:rsid w:val="00B44AEF"/>
    <w:rsid w:val="00B44B6A"/>
    <w:rsid w:val="00B44B73"/>
    <w:rsid w:val="00B44B86"/>
    <w:rsid w:val="00B44BD7"/>
    <w:rsid w:val="00B44C36"/>
    <w:rsid w:val="00B44C92"/>
    <w:rsid w:val="00B44D0E"/>
    <w:rsid w:val="00B44DDA"/>
    <w:rsid w:val="00B44DE2"/>
    <w:rsid w:val="00B44E8C"/>
    <w:rsid w:val="00B44EE5"/>
    <w:rsid w:val="00B44FC9"/>
    <w:rsid w:val="00B4509A"/>
    <w:rsid w:val="00B4511C"/>
    <w:rsid w:val="00B45129"/>
    <w:rsid w:val="00B45177"/>
    <w:rsid w:val="00B451B7"/>
    <w:rsid w:val="00B451F6"/>
    <w:rsid w:val="00B4528D"/>
    <w:rsid w:val="00B452CC"/>
    <w:rsid w:val="00B45344"/>
    <w:rsid w:val="00B45360"/>
    <w:rsid w:val="00B453AF"/>
    <w:rsid w:val="00B453B1"/>
    <w:rsid w:val="00B45484"/>
    <w:rsid w:val="00B45549"/>
    <w:rsid w:val="00B45672"/>
    <w:rsid w:val="00B456C8"/>
    <w:rsid w:val="00B457AF"/>
    <w:rsid w:val="00B4582B"/>
    <w:rsid w:val="00B45831"/>
    <w:rsid w:val="00B458BF"/>
    <w:rsid w:val="00B45980"/>
    <w:rsid w:val="00B45A0A"/>
    <w:rsid w:val="00B45A60"/>
    <w:rsid w:val="00B45A84"/>
    <w:rsid w:val="00B45AC1"/>
    <w:rsid w:val="00B45AD2"/>
    <w:rsid w:val="00B45B19"/>
    <w:rsid w:val="00B45B52"/>
    <w:rsid w:val="00B45BA2"/>
    <w:rsid w:val="00B45BA6"/>
    <w:rsid w:val="00B45C13"/>
    <w:rsid w:val="00B45C7E"/>
    <w:rsid w:val="00B45CC5"/>
    <w:rsid w:val="00B45D00"/>
    <w:rsid w:val="00B45D37"/>
    <w:rsid w:val="00B45E69"/>
    <w:rsid w:val="00B45ECE"/>
    <w:rsid w:val="00B45F10"/>
    <w:rsid w:val="00B45FBB"/>
    <w:rsid w:val="00B45FCE"/>
    <w:rsid w:val="00B4606F"/>
    <w:rsid w:val="00B460FA"/>
    <w:rsid w:val="00B46143"/>
    <w:rsid w:val="00B46149"/>
    <w:rsid w:val="00B461E6"/>
    <w:rsid w:val="00B461F0"/>
    <w:rsid w:val="00B461FC"/>
    <w:rsid w:val="00B4622A"/>
    <w:rsid w:val="00B4634B"/>
    <w:rsid w:val="00B46373"/>
    <w:rsid w:val="00B4637F"/>
    <w:rsid w:val="00B463C2"/>
    <w:rsid w:val="00B463C8"/>
    <w:rsid w:val="00B464EF"/>
    <w:rsid w:val="00B46506"/>
    <w:rsid w:val="00B4651E"/>
    <w:rsid w:val="00B46552"/>
    <w:rsid w:val="00B46654"/>
    <w:rsid w:val="00B466DA"/>
    <w:rsid w:val="00B4675B"/>
    <w:rsid w:val="00B467EE"/>
    <w:rsid w:val="00B467FD"/>
    <w:rsid w:val="00B46841"/>
    <w:rsid w:val="00B468A0"/>
    <w:rsid w:val="00B468D4"/>
    <w:rsid w:val="00B46900"/>
    <w:rsid w:val="00B46943"/>
    <w:rsid w:val="00B4698E"/>
    <w:rsid w:val="00B46A09"/>
    <w:rsid w:val="00B46A2A"/>
    <w:rsid w:val="00B46A3F"/>
    <w:rsid w:val="00B46A71"/>
    <w:rsid w:val="00B46A7F"/>
    <w:rsid w:val="00B46ADC"/>
    <w:rsid w:val="00B46C33"/>
    <w:rsid w:val="00B46DF3"/>
    <w:rsid w:val="00B46E1C"/>
    <w:rsid w:val="00B46E60"/>
    <w:rsid w:val="00B46EAA"/>
    <w:rsid w:val="00B46F10"/>
    <w:rsid w:val="00B46F3E"/>
    <w:rsid w:val="00B46F59"/>
    <w:rsid w:val="00B46F95"/>
    <w:rsid w:val="00B46FDE"/>
    <w:rsid w:val="00B47031"/>
    <w:rsid w:val="00B47039"/>
    <w:rsid w:val="00B4707B"/>
    <w:rsid w:val="00B47098"/>
    <w:rsid w:val="00B4709A"/>
    <w:rsid w:val="00B470CC"/>
    <w:rsid w:val="00B47215"/>
    <w:rsid w:val="00B4722D"/>
    <w:rsid w:val="00B47239"/>
    <w:rsid w:val="00B472EA"/>
    <w:rsid w:val="00B47336"/>
    <w:rsid w:val="00B4734D"/>
    <w:rsid w:val="00B47371"/>
    <w:rsid w:val="00B4743D"/>
    <w:rsid w:val="00B47515"/>
    <w:rsid w:val="00B47529"/>
    <w:rsid w:val="00B47578"/>
    <w:rsid w:val="00B47593"/>
    <w:rsid w:val="00B475BA"/>
    <w:rsid w:val="00B47627"/>
    <w:rsid w:val="00B4768E"/>
    <w:rsid w:val="00B476E6"/>
    <w:rsid w:val="00B477D6"/>
    <w:rsid w:val="00B4785C"/>
    <w:rsid w:val="00B4786E"/>
    <w:rsid w:val="00B478F1"/>
    <w:rsid w:val="00B47910"/>
    <w:rsid w:val="00B4792D"/>
    <w:rsid w:val="00B4793A"/>
    <w:rsid w:val="00B47941"/>
    <w:rsid w:val="00B479F6"/>
    <w:rsid w:val="00B47A40"/>
    <w:rsid w:val="00B47A84"/>
    <w:rsid w:val="00B47AB2"/>
    <w:rsid w:val="00B47B13"/>
    <w:rsid w:val="00B47B38"/>
    <w:rsid w:val="00B47B3F"/>
    <w:rsid w:val="00B47B41"/>
    <w:rsid w:val="00B47B62"/>
    <w:rsid w:val="00B47B95"/>
    <w:rsid w:val="00B47C71"/>
    <w:rsid w:val="00B47C72"/>
    <w:rsid w:val="00B47C80"/>
    <w:rsid w:val="00B47CC9"/>
    <w:rsid w:val="00B47D4B"/>
    <w:rsid w:val="00B47DA1"/>
    <w:rsid w:val="00B47E08"/>
    <w:rsid w:val="00B47E0C"/>
    <w:rsid w:val="00B47EB0"/>
    <w:rsid w:val="00B47EB4"/>
    <w:rsid w:val="00B47F28"/>
    <w:rsid w:val="00B47F6E"/>
    <w:rsid w:val="00B47F6F"/>
    <w:rsid w:val="00B47F73"/>
    <w:rsid w:val="00B5008F"/>
    <w:rsid w:val="00B500B8"/>
    <w:rsid w:val="00B500FC"/>
    <w:rsid w:val="00B5011C"/>
    <w:rsid w:val="00B50135"/>
    <w:rsid w:val="00B5013A"/>
    <w:rsid w:val="00B50177"/>
    <w:rsid w:val="00B501B6"/>
    <w:rsid w:val="00B501F8"/>
    <w:rsid w:val="00B50201"/>
    <w:rsid w:val="00B50209"/>
    <w:rsid w:val="00B50215"/>
    <w:rsid w:val="00B50253"/>
    <w:rsid w:val="00B50266"/>
    <w:rsid w:val="00B502FE"/>
    <w:rsid w:val="00B50384"/>
    <w:rsid w:val="00B50449"/>
    <w:rsid w:val="00B504ED"/>
    <w:rsid w:val="00B50501"/>
    <w:rsid w:val="00B50554"/>
    <w:rsid w:val="00B5064D"/>
    <w:rsid w:val="00B507A2"/>
    <w:rsid w:val="00B50833"/>
    <w:rsid w:val="00B5085D"/>
    <w:rsid w:val="00B50869"/>
    <w:rsid w:val="00B508CB"/>
    <w:rsid w:val="00B5094D"/>
    <w:rsid w:val="00B50994"/>
    <w:rsid w:val="00B509A7"/>
    <w:rsid w:val="00B509B4"/>
    <w:rsid w:val="00B509C8"/>
    <w:rsid w:val="00B509D6"/>
    <w:rsid w:val="00B509F4"/>
    <w:rsid w:val="00B50AC2"/>
    <w:rsid w:val="00B50AE7"/>
    <w:rsid w:val="00B50AFA"/>
    <w:rsid w:val="00B50B3B"/>
    <w:rsid w:val="00B50B4B"/>
    <w:rsid w:val="00B50B4C"/>
    <w:rsid w:val="00B50BE4"/>
    <w:rsid w:val="00B50C60"/>
    <w:rsid w:val="00B50CC3"/>
    <w:rsid w:val="00B50D1A"/>
    <w:rsid w:val="00B50D4D"/>
    <w:rsid w:val="00B50D60"/>
    <w:rsid w:val="00B50D6A"/>
    <w:rsid w:val="00B50D6C"/>
    <w:rsid w:val="00B50D73"/>
    <w:rsid w:val="00B50D80"/>
    <w:rsid w:val="00B50D96"/>
    <w:rsid w:val="00B50DC1"/>
    <w:rsid w:val="00B50E16"/>
    <w:rsid w:val="00B50E27"/>
    <w:rsid w:val="00B50E46"/>
    <w:rsid w:val="00B50E74"/>
    <w:rsid w:val="00B50EE9"/>
    <w:rsid w:val="00B50F2D"/>
    <w:rsid w:val="00B50FA6"/>
    <w:rsid w:val="00B5104C"/>
    <w:rsid w:val="00B510AD"/>
    <w:rsid w:val="00B510F0"/>
    <w:rsid w:val="00B510F4"/>
    <w:rsid w:val="00B51127"/>
    <w:rsid w:val="00B51167"/>
    <w:rsid w:val="00B51189"/>
    <w:rsid w:val="00B511B5"/>
    <w:rsid w:val="00B511D3"/>
    <w:rsid w:val="00B5120C"/>
    <w:rsid w:val="00B51268"/>
    <w:rsid w:val="00B51286"/>
    <w:rsid w:val="00B5128B"/>
    <w:rsid w:val="00B5129F"/>
    <w:rsid w:val="00B512D5"/>
    <w:rsid w:val="00B51310"/>
    <w:rsid w:val="00B51312"/>
    <w:rsid w:val="00B51346"/>
    <w:rsid w:val="00B51359"/>
    <w:rsid w:val="00B51379"/>
    <w:rsid w:val="00B513A3"/>
    <w:rsid w:val="00B513EA"/>
    <w:rsid w:val="00B51417"/>
    <w:rsid w:val="00B51450"/>
    <w:rsid w:val="00B51489"/>
    <w:rsid w:val="00B5149B"/>
    <w:rsid w:val="00B514AF"/>
    <w:rsid w:val="00B5157D"/>
    <w:rsid w:val="00B5159B"/>
    <w:rsid w:val="00B515AE"/>
    <w:rsid w:val="00B515D8"/>
    <w:rsid w:val="00B515FE"/>
    <w:rsid w:val="00B516CF"/>
    <w:rsid w:val="00B51847"/>
    <w:rsid w:val="00B5184B"/>
    <w:rsid w:val="00B51883"/>
    <w:rsid w:val="00B518D3"/>
    <w:rsid w:val="00B518E6"/>
    <w:rsid w:val="00B518F9"/>
    <w:rsid w:val="00B5192E"/>
    <w:rsid w:val="00B5197F"/>
    <w:rsid w:val="00B51A2C"/>
    <w:rsid w:val="00B51A89"/>
    <w:rsid w:val="00B51A95"/>
    <w:rsid w:val="00B51ABD"/>
    <w:rsid w:val="00B51ACE"/>
    <w:rsid w:val="00B51B05"/>
    <w:rsid w:val="00B51B19"/>
    <w:rsid w:val="00B51B52"/>
    <w:rsid w:val="00B51B87"/>
    <w:rsid w:val="00B51BE4"/>
    <w:rsid w:val="00B51C47"/>
    <w:rsid w:val="00B51C49"/>
    <w:rsid w:val="00B51CE1"/>
    <w:rsid w:val="00B51D3A"/>
    <w:rsid w:val="00B51D47"/>
    <w:rsid w:val="00B51D63"/>
    <w:rsid w:val="00B51DA5"/>
    <w:rsid w:val="00B51E3C"/>
    <w:rsid w:val="00B51EC7"/>
    <w:rsid w:val="00B51F40"/>
    <w:rsid w:val="00B51F5B"/>
    <w:rsid w:val="00B52067"/>
    <w:rsid w:val="00B52069"/>
    <w:rsid w:val="00B52076"/>
    <w:rsid w:val="00B52160"/>
    <w:rsid w:val="00B521F1"/>
    <w:rsid w:val="00B52253"/>
    <w:rsid w:val="00B52259"/>
    <w:rsid w:val="00B522D9"/>
    <w:rsid w:val="00B522E0"/>
    <w:rsid w:val="00B52351"/>
    <w:rsid w:val="00B523C7"/>
    <w:rsid w:val="00B5242A"/>
    <w:rsid w:val="00B52472"/>
    <w:rsid w:val="00B5248C"/>
    <w:rsid w:val="00B52503"/>
    <w:rsid w:val="00B5251E"/>
    <w:rsid w:val="00B52571"/>
    <w:rsid w:val="00B525FD"/>
    <w:rsid w:val="00B52628"/>
    <w:rsid w:val="00B5262E"/>
    <w:rsid w:val="00B5265E"/>
    <w:rsid w:val="00B526A5"/>
    <w:rsid w:val="00B52706"/>
    <w:rsid w:val="00B527F1"/>
    <w:rsid w:val="00B527F7"/>
    <w:rsid w:val="00B527F9"/>
    <w:rsid w:val="00B52898"/>
    <w:rsid w:val="00B528E6"/>
    <w:rsid w:val="00B528F5"/>
    <w:rsid w:val="00B5290A"/>
    <w:rsid w:val="00B52911"/>
    <w:rsid w:val="00B529B8"/>
    <w:rsid w:val="00B529F6"/>
    <w:rsid w:val="00B529FC"/>
    <w:rsid w:val="00B52A32"/>
    <w:rsid w:val="00B52A7F"/>
    <w:rsid w:val="00B52A9C"/>
    <w:rsid w:val="00B52AA1"/>
    <w:rsid w:val="00B52AF9"/>
    <w:rsid w:val="00B52B8F"/>
    <w:rsid w:val="00B52C07"/>
    <w:rsid w:val="00B52C2D"/>
    <w:rsid w:val="00B52C4B"/>
    <w:rsid w:val="00B52CA6"/>
    <w:rsid w:val="00B52CCC"/>
    <w:rsid w:val="00B52CD1"/>
    <w:rsid w:val="00B52D11"/>
    <w:rsid w:val="00B52D19"/>
    <w:rsid w:val="00B52D51"/>
    <w:rsid w:val="00B52E11"/>
    <w:rsid w:val="00B52E61"/>
    <w:rsid w:val="00B52E6C"/>
    <w:rsid w:val="00B52F0F"/>
    <w:rsid w:val="00B52FD5"/>
    <w:rsid w:val="00B53053"/>
    <w:rsid w:val="00B53074"/>
    <w:rsid w:val="00B530C6"/>
    <w:rsid w:val="00B53128"/>
    <w:rsid w:val="00B53182"/>
    <w:rsid w:val="00B531C2"/>
    <w:rsid w:val="00B53200"/>
    <w:rsid w:val="00B532A9"/>
    <w:rsid w:val="00B532C3"/>
    <w:rsid w:val="00B533E4"/>
    <w:rsid w:val="00B53421"/>
    <w:rsid w:val="00B5345D"/>
    <w:rsid w:val="00B53461"/>
    <w:rsid w:val="00B5346C"/>
    <w:rsid w:val="00B53497"/>
    <w:rsid w:val="00B534EB"/>
    <w:rsid w:val="00B5358D"/>
    <w:rsid w:val="00B5362A"/>
    <w:rsid w:val="00B5363A"/>
    <w:rsid w:val="00B53702"/>
    <w:rsid w:val="00B53703"/>
    <w:rsid w:val="00B53714"/>
    <w:rsid w:val="00B537DF"/>
    <w:rsid w:val="00B53855"/>
    <w:rsid w:val="00B53879"/>
    <w:rsid w:val="00B53A51"/>
    <w:rsid w:val="00B53A67"/>
    <w:rsid w:val="00B53ADC"/>
    <w:rsid w:val="00B53B27"/>
    <w:rsid w:val="00B53B40"/>
    <w:rsid w:val="00B53C0C"/>
    <w:rsid w:val="00B53C49"/>
    <w:rsid w:val="00B53D91"/>
    <w:rsid w:val="00B53DD8"/>
    <w:rsid w:val="00B53F5B"/>
    <w:rsid w:val="00B53F5F"/>
    <w:rsid w:val="00B53FEC"/>
    <w:rsid w:val="00B54004"/>
    <w:rsid w:val="00B54097"/>
    <w:rsid w:val="00B54099"/>
    <w:rsid w:val="00B54105"/>
    <w:rsid w:val="00B54150"/>
    <w:rsid w:val="00B5419F"/>
    <w:rsid w:val="00B542D3"/>
    <w:rsid w:val="00B54363"/>
    <w:rsid w:val="00B54371"/>
    <w:rsid w:val="00B543D4"/>
    <w:rsid w:val="00B543F8"/>
    <w:rsid w:val="00B54473"/>
    <w:rsid w:val="00B54488"/>
    <w:rsid w:val="00B5451A"/>
    <w:rsid w:val="00B5453F"/>
    <w:rsid w:val="00B54544"/>
    <w:rsid w:val="00B5454C"/>
    <w:rsid w:val="00B54568"/>
    <w:rsid w:val="00B5460A"/>
    <w:rsid w:val="00B5469C"/>
    <w:rsid w:val="00B54778"/>
    <w:rsid w:val="00B547C5"/>
    <w:rsid w:val="00B547DC"/>
    <w:rsid w:val="00B54840"/>
    <w:rsid w:val="00B54873"/>
    <w:rsid w:val="00B5488D"/>
    <w:rsid w:val="00B54A82"/>
    <w:rsid w:val="00B54A99"/>
    <w:rsid w:val="00B54A9A"/>
    <w:rsid w:val="00B54ACB"/>
    <w:rsid w:val="00B54B32"/>
    <w:rsid w:val="00B54B3F"/>
    <w:rsid w:val="00B54BDF"/>
    <w:rsid w:val="00B54C22"/>
    <w:rsid w:val="00B54D22"/>
    <w:rsid w:val="00B54D5A"/>
    <w:rsid w:val="00B54D81"/>
    <w:rsid w:val="00B54D94"/>
    <w:rsid w:val="00B54E58"/>
    <w:rsid w:val="00B54E78"/>
    <w:rsid w:val="00B54EE6"/>
    <w:rsid w:val="00B54F10"/>
    <w:rsid w:val="00B54F3D"/>
    <w:rsid w:val="00B54F42"/>
    <w:rsid w:val="00B54F76"/>
    <w:rsid w:val="00B54FCF"/>
    <w:rsid w:val="00B54FD2"/>
    <w:rsid w:val="00B54FFD"/>
    <w:rsid w:val="00B55091"/>
    <w:rsid w:val="00B550A6"/>
    <w:rsid w:val="00B550D1"/>
    <w:rsid w:val="00B550EA"/>
    <w:rsid w:val="00B55106"/>
    <w:rsid w:val="00B55189"/>
    <w:rsid w:val="00B55217"/>
    <w:rsid w:val="00B552D0"/>
    <w:rsid w:val="00B55386"/>
    <w:rsid w:val="00B5538A"/>
    <w:rsid w:val="00B553E3"/>
    <w:rsid w:val="00B553F5"/>
    <w:rsid w:val="00B55401"/>
    <w:rsid w:val="00B55444"/>
    <w:rsid w:val="00B5545D"/>
    <w:rsid w:val="00B55484"/>
    <w:rsid w:val="00B555E6"/>
    <w:rsid w:val="00B555EE"/>
    <w:rsid w:val="00B5564E"/>
    <w:rsid w:val="00B5565D"/>
    <w:rsid w:val="00B5566A"/>
    <w:rsid w:val="00B55696"/>
    <w:rsid w:val="00B556D0"/>
    <w:rsid w:val="00B556DF"/>
    <w:rsid w:val="00B55755"/>
    <w:rsid w:val="00B55790"/>
    <w:rsid w:val="00B557A7"/>
    <w:rsid w:val="00B557CC"/>
    <w:rsid w:val="00B557E2"/>
    <w:rsid w:val="00B55863"/>
    <w:rsid w:val="00B55879"/>
    <w:rsid w:val="00B558ED"/>
    <w:rsid w:val="00B5596A"/>
    <w:rsid w:val="00B55993"/>
    <w:rsid w:val="00B55994"/>
    <w:rsid w:val="00B5599C"/>
    <w:rsid w:val="00B559AD"/>
    <w:rsid w:val="00B55A00"/>
    <w:rsid w:val="00B55A20"/>
    <w:rsid w:val="00B55A27"/>
    <w:rsid w:val="00B55A3F"/>
    <w:rsid w:val="00B55A40"/>
    <w:rsid w:val="00B55AE3"/>
    <w:rsid w:val="00B55AEB"/>
    <w:rsid w:val="00B55BA9"/>
    <w:rsid w:val="00B55D91"/>
    <w:rsid w:val="00B55DBE"/>
    <w:rsid w:val="00B55DF0"/>
    <w:rsid w:val="00B55E01"/>
    <w:rsid w:val="00B55E3B"/>
    <w:rsid w:val="00B55E79"/>
    <w:rsid w:val="00B55EB5"/>
    <w:rsid w:val="00B55F13"/>
    <w:rsid w:val="00B55F9F"/>
    <w:rsid w:val="00B55FB6"/>
    <w:rsid w:val="00B5609F"/>
    <w:rsid w:val="00B560A9"/>
    <w:rsid w:val="00B560B7"/>
    <w:rsid w:val="00B56139"/>
    <w:rsid w:val="00B56193"/>
    <w:rsid w:val="00B561A5"/>
    <w:rsid w:val="00B5627A"/>
    <w:rsid w:val="00B562A8"/>
    <w:rsid w:val="00B562E8"/>
    <w:rsid w:val="00B56353"/>
    <w:rsid w:val="00B56356"/>
    <w:rsid w:val="00B56357"/>
    <w:rsid w:val="00B56505"/>
    <w:rsid w:val="00B56509"/>
    <w:rsid w:val="00B56528"/>
    <w:rsid w:val="00B56571"/>
    <w:rsid w:val="00B565DB"/>
    <w:rsid w:val="00B56600"/>
    <w:rsid w:val="00B56685"/>
    <w:rsid w:val="00B56731"/>
    <w:rsid w:val="00B5673F"/>
    <w:rsid w:val="00B56775"/>
    <w:rsid w:val="00B5688F"/>
    <w:rsid w:val="00B568A9"/>
    <w:rsid w:val="00B5691F"/>
    <w:rsid w:val="00B56A38"/>
    <w:rsid w:val="00B56AB2"/>
    <w:rsid w:val="00B56BDC"/>
    <w:rsid w:val="00B56CF1"/>
    <w:rsid w:val="00B56D81"/>
    <w:rsid w:val="00B56D92"/>
    <w:rsid w:val="00B56DAA"/>
    <w:rsid w:val="00B56DF7"/>
    <w:rsid w:val="00B56E01"/>
    <w:rsid w:val="00B56E25"/>
    <w:rsid w:val="00B56E3B"/>
    <w:rsid w:val="00B56E4E"/>
    <w:rsid w:val="00B56E94"/>
    <w:rsid w:val="00B56EE3"/>
    <w:rsid w:val="00B56F6E"/>
    <w:rsid w:val="00B56FAC"/>
    <w:rsid w:val="00B56FE1"/>
    <w:rsid w:val="00B56FF7"/>
    <w:rsid w:val="00B570C5"/>
    <w:rsid w:val="00B5710D"/>
    <w:rsid w:val="00B57116"/>
    <w:rsid w:val="00B57137"/>
    <w:rsid w:val="00B571A5"/>
    <w:rsid w:val="00B5721D"/>
    <w:rsid w:val="00B57297"/>
    <w:rsid w:val="00B572D7"/>
    <w:rsid w:val="00B57317"/>
    <w:rsid w:val="00B5733C"/>
    <w:rsid w:val="00B57408"/>
    <w:rsid w:val="00B5742F"/>
    <w:rsid w:val="00B5743D"/>
    <w:rsid w:val="00B57471"/>
    <w:rsid w:val="00B57650"/>
    <w:rsid w:val="00B57667"/>
    <w:rsid w:val="00B5769F"/>
    <w:rsid w:val="00B576A3"/>
    <w:rsid w:val="00B577E4"/>
    <w:rsid w:val="00B577E8"/>
    <w:rsid w:val="00B577FE"/>
    <w:rsid w:val="00B5783B"/>
    <w:rsid w:val="00B57877"/>
    <w:rsid w:val="00B57881"/>
    <w:rsid w:val="00B57943"/>
    <w:rsid w:val="00B5794A"/>
    <w:rsid w:val="00B579B5"/>
    <w:rsid w:val="00B579BB"/>
    <w:rsid w:val="00B57A4B"/>
    <w:rsid w:val="00B57B89"/>
    <w:rsid w:val="00B57BC8"/>
    <w:rsid w:val="00B57BE3"/>
    <w:rsid w:val="00B57C34"/>
    <w:rsid w:val="00B57C98"/>
    <w:rsid w:val="00B57D46"/>
    <w:rsid w:val="00B57D6C"/>
    <w:rsid w:val="00B57DA9"/>
    <w:rsid w:val="00B57DEC"/>
    <w:rsid w:val="00B57E04"/>
    <w:rsid w:val="00B57E70"/>
    <w:rsid w:val="00B57F22"/>
    <w:rsid w:val="00B57F79"/>
    <w:rsid w:val="00B57FAC"/>
    <w:rsid w:val="00B6002E"/>
    <w:rsid w:val="00B60053"/>
    <w:rsid w:val="00B6005C"/>
    <w:rsid w:val="00B60087"/>
    <w:rsid w:val="00B60131"/>
    <w:rsid w:val="00B601B7"/>
    <w:rsid w:val="00B601B8"/>
    <w:rsid w:val="00B60265"/>
    <w:rsid w:val="00B602A6"/>
    <w:rsid w:val="00B602AA"/>
    <w:rsid w:val="00B602E2"/>
    <w:rsid w:val="00B60312"/>
    <w:rsid w:val="00B6033E"/>
    <w:rsid w:val="00B60374"/>
    <w:rsid w:val="00B6038E"/>
    <w:rsid w:val="00B60407"/>
    <w:rsid w:val="00B60410"/>
    <w:rsid w:val="00B6046A"/>
    <w:rsid w:val="00B60509"/>
    <w:rsid w:val="00B6053C"/>
    <w:rsid w:val="00B60586"/>
    <w:rsid w:val="00B605A9"/>
    <w:rsid w:val="00B605CE"/>
    <w:rsid w:val="00B605F8"/>
    <w:rsid w:val="00B60609"/>
    <w:rsid w:val="00B60672"/>
    <w:rsid w:val="00B60701"/>
    <w:rsid w:val="00B6070C"/>
    <w:rsid w:val="00B6073E"/>
    <w:rsid w:val="00B60758"/>
    <w:rsid w:val="00B60784"/>
    <w:rsid w:val="00B60810"/>
    <w:rsid w:val="00B60916"/>
    <w:rsid w:val="00B6096B"/>
    <w:rsid w:val="00B6099E"/>
    <w:rsid w:val="00B609CC"/>
    <w:rsid w:val="00B60A3C"/>
    <w:rsid w:val="00B60A93"/>
    <w:rsid w:val="00B60A99"/>
    <w:rsid w:val="00B60B3A"/>
    <w:rsid w:val="00B60B83"/>
    <w:rsid w:val="00B60B92"/>
    <w:rsid w:val="00B60C9A"/>
    <w:rsid w:val="00B60CBB"/>
    <w:rsid w:val="00B60D5C"/>
    <w:rsid w:val="00B60DBA"/>
    <w:rsid w:val="00B60DFF"/>
    <w:rsid w:val="00B60E1D"/>
    <w:rsid w:val="00B60E4B"/>
    <w:rsid w:val="00B60F6E"/>
    <w:rsid w:val="00B60FA6"/>
    <w:rsid w:val="00B60FE2"/>
    <w:rsid w:val="00B60FFF"/>
    <w:rsid w:val="00B6100B"/>
    <w:rsid w:val="00B61102"/>
    <w:rsid w:val="00B611EF"/>
    <w:rsid w:val="00B611F3"/>
    <w:rsid w:val="00B6120C"/>
    <w:rsid w:val="00B6123F"/>
    <w:rsid w:val="00B6127E"/>
    <w:rsid w:val="00B612FD"/>
    <w:rsid w:val="00B6133C"/>
    <w:rsid w:val="00B61351"/>
    <w:rsid w:val="00B613E3"/>
    <w:rsid w:val="00B6145D"/>
    <w:rsid w:val="00B61470"/>
    <w:rsid w:val="00B614BE"/>
    <w:rsid w:val="00B61513"/>
    <w:rsid w:val="00B6151C"/>
    <w:rsid w:val="00B6154E"/>
    <w:rsid w:val="00B61579"/>
    <w:rsid w:val="00B6161C"/>
    <w:rsid w:val="00B6166E"/>
    <w:rsid w:val="00B617D9"/>
    <w:rsid w:val="00B61816"/>
    <w:rsid w:val="00B6184C"/>
    <w:rsid w:val="00B618E9"/>
    <w:rsid w:val="00B61918"/>
    <w:rsid w:val="00B61A01"/>
    <w:rsid w:val="00B61A1B"/>
    <w:rsid w:val="00B61A20"/>
    <w:rsid w:val="00B61A90"/>
    <w:rsid w:val="00B61ACE"/>
    <w:rsid w:val="00B61AE1"/>
    <w:rsid w:val="00B61B4F"/>
    <w:rsid w:val="00B61CBA"/>
    <w:rsid w:val="00B61CD3"/>
    <w:rsid w:val="00B61CF6"/>
    <w:rsid w:val="00B61D65"/>
    <w:rsid w:val="00B61DD2"/>
    <w:rsid w:val="00B61DF8"/>
    <w:rsid w:val="00B61E9B"/>
    <w:rsid w:val="00B61F05"/>
    <w:rsid w:val="00B61F6C"/>
    <w:rsid w:val="00B61FA3"/>
    <w:rsid w:val="00B61FA5"/>
    <w:rsid w:val="00B61FDD"/>
    <w:rsid w:val="00B62001"/>
    <w:rsid w:val="00B620CD"/>
    <w:rsid w:val="00B62122"/>
    <w:rsid w:val="00B6213C"/>
    <w:rsid w:val="00B62257"/>
    <w:rsid w:val="00B623AE"/>
    <w:rsid w:val="00B623F7"/>
    <w:rsid w:val="00B62511"/>
    <w:rsid w:val="00B62552"/>
    <w:rsid w:val="00B62567"/>
    <w:rsid w:val="00B6265E"/>
    <w:rsid w:val="00B62671"/>
    <w:rsid w:val="00B626A5"/>
    <w:rsid w:val="00B6271C"/>
    <w:rsid w:val="00B62795"/>
    <w:rsid w:val="00B627EF"/>
    <w:rsid w:val="00B62870"/>
    <w:rsid w:val="00B6288D"/>
    <w:rsid w:val="00B628C8"/>
    <w:rsid w:val="00B628E6"/>
    <w:rsid w:val="00B629A0"/>
    <w:rsid w:val="00B62A0D"/>
    <w:rsid w:val="00B62A65"/>
    <w:rsid w:val="00B62A70"/>
    <w:rsid w:val="00B62AC1"/>
    <w:rsid w:val="00B62AD2"/>
    <w:rsid w:val="00B62AE8"/>
    <w:rsid w:val="00B62B87"/>
    <w:rsid w:val="00B62B88"/>
    <w:rsid w:val="00B62BBA"/>
    <w:rsid w:val="00B62BC7"/>
    <w:rsid w:val="00B62C86"/>
    <w:rsid w:val="00B62CD6"/>
    <w:rsid w:val="00B62D89"/>
    <w:rsid w:val="00B62DF3"/>
    <w:rsid w:val="00B62E1D"/>
    <w:rsid w:val="00B62F29"/>
    <w:rsid w:val="00B62F53"/>
    <w:rsid w:val="00B6309D"/>
    <w:rsid w:val="00B63190"/>
    <w:rsid w:val="00B631A0"/>
    <w:rsid w:val="00B631CF"/>
    <w:rsid w:val="00B6320E"/>
    <w:rsid w:val="00B63219"/>
    <w:rsid w:val="00B63254"/>
    <w:rsid w:val="00B6328F"/>
    <w:rsid w:val="00B63357"/>
    <w:rsid w:val="00B63393"/>
    <w:rsid w:val="00B633E3"/>
    <w:rsid w:val="00B633F1"/>
    <w:rsid w:val="00B63461"/>
    <w:rsid w:val="00B634BF"/>
    <w:rsid w:val="00B63502"/>
    <w:rsid w:val="00B6352D"/>
    <w:rsid w:val="00B63599"/>
    <w:rsid w:val="00B635E0"/>
    <w:rsid w:val="00B63601"/>
    <w:rsid w:val="00B6363C"/>
    <w:rsid w:val="00B6364D"/>
    <w:rsid w:val="00B63695"/>
    <w:rsid w:val="00B6369B"/>
    <w:rsid w:val="00B63701"/>
    <w:rsid w:val="00B637EC"/>
    <w:rsid w:val="00B6382E"/>
    <w:rsid w:val="00B638A3"/>
    <w:rsid w:val="00B63939"/>
    <w:rsid w:val="00B639FC"/>
    <w:rsid w:val="00B63A71"/>
    <w:rsid w:val="00B63AAD"/>
    <w:rsid w:val="00B63AF1"/>
    <w:rsid w:val="00B63BBE"/>
    <w:rsid w:val="00B63BFC"/>
    <w:rsid w:val="00B63C37"/>
    <w:rsid w:val="00B63C4E"/>
    <w:rsid w:val="00B63DA4"/>
    <w:rsid w:val="00B63E0E"/>
    <w:rsid w:val="00B63E8E"/>
    <w:rsid w:val="00B63E95"/>
    <w:rsid w:val="00B63F5B"/>
    <w:rsid w:val="00B63F5C"/>
    <w:rsid w:val="00B63F98"/>
    <w:rsid w:val="00B63FDB"/>
    <w:rsid w:val="00B64053"/>
    <w:rsid w:val="00B6409B"/>
    <w:rsid w:val="00B640B1"/>
    <w:rsid w:val="00B640EC"/>
    <w:rsid w:val="00B64138"/>
    <w:rsid w:val="00B641BF"/>
    <w:rsid w:val="00B641D5"/>
    <w:rsid w:val="00B64207"/>
    <w:rsid w:val="00B64318"/>
    <w:rsid w:val="00B64326"/>
    <w:rsid w:val="00B643A0"/>
    <w:rsid w:val="00B643AD"/>
    <w:rsid w:val="00B643B8"/>
    <w:rsid w:val="00B6440F"/>
    <w:rsid w:val="00B64461"/>
    <w:rsid w:val="00B644F5"/>
    <w:rsid w:val="00B6450A"/>
    <w:rsid w:val="00B6468F"/>
    <w:rsid w:val="00B64690"/>
    <w:rsid w:val="00B6469E"/>
    <w:rsid w:val="00B6470A"/>
    <w:rsid w:val="00B64793"/>
    <w:rsid w:val="00B647C2"/>
    <w:rsid w:val="00B649CB"/>
    <w:rsid w:val="00B649ED"/>
    <w:rsid w:val="00B64A4D"/>
    <w:rsid w:val="00B64A53"/>
    <w:rsid w:val="00B64AA8"/>
    <w:rsid w:val="00B64AAA"/>
    <w:rsid w:val="00B64ADD"/>
    <w:rsid w:val="00B64B3B"/>
    <w:rsid w:val="00B64B59"/>
    <w:rsid w:val="00B64BB2"/>
    <w:rsid w:val="00B64BE6"/>
    <w:rsid w:val="00B64BE9"/>
    <w:rsid w:val="00B64C06"/>
    <w:rsid w:val="00B64C77"/>
    <w:rsid w:val="00B64D0A"/>
    <w:rsid w:val="00B64D42"/>
    <w:rsid w:val="00B64D68"/>
    <w:rsid w:val="00B64DCB"/>
    <w:rsid w:val="00B64E98"/>
    <w:rsid w:val="00B64EA7"/>
    <w:rsid w:val="00B64EB5"/>
    <w:rsid w:val="00B64EE0"/>
    <w:rsid w:val="00B64EF2"/>
    <w:rsid w:val="00B64F0C"/>
    <w:rsid w:val="00B6500B"/>
    <w:rsid w:val="00B6506B"/>
    <w:rsid w:val="00B6508C"/>
    <w:rsid w:val="00B650A9"/>
    <w:rsid w:val="00B65101"/>
    <w:rsid w:val="00B65125"/>
    <w:rsid w:val="00B6513C"/>
    <w:rsid w:val="00B651A3"/>
    <w:rsid w:val="00B651EB"/>
    <w:rsid w:val="00B651EE"/>
    <w:rsid w:val="00B651F4"/>
    <w:rsid w:val="00B6527B"/>
    <w:rsid w:val="00B6530E"/>
    <w:rsid w:val="00B65336"/>
    <w:rsid w:val="00B6539A"/>
    <w:rsid w:val="00B6539E"/>
    <w:rsid w:val="00B653A2"/>
    <w:rsid w:val="00B653E8"/>
    <w:rsid w:val="00B65422"/>
    <w:rsid w:val="00B654B9"/>
    <w:rsid w:val="00B654FF"/>
    <w:rsid w:val="00B65517"/>
    <w:rsid w:val="00B655E0"/>
    <w:rsid w:val="00B65661"/>
    <w:rsid w:val="00B656E2"/>
    <w:rsid w:val="00B6572D"/>
    <w:rsid w:val="00B65730"/>
    <w:rsid w:val="00B657A0"/>
    <w:rsid w:val="00B657D8"/>
    <w:rsid w:val="00B657E8"/>
    <w:rsid w:val="00B6583B"/>
    <w:rsid w:val="00B6587A"/>
    <w:rsid w:val="00B6588C"/>
    <w:rsid w:val="00B6592B"/>
    <w:rsid w:val="00B65943"/>
    <w:rsid w:val="00B6595C"/>
    <w:rsid w:val="00B6598E"/>
    <w:rsid w:val="00B65A2E"/>
    <w:rsid w:val="00B65A7D"/>
    <w:rsid w:val="00B65AD8"/>
    <w:rsid w:val="00B65B4C"/>
    <w:rsid w:val="00B65C7E"/>
    <w:rsid w:val="00B65C82"/>
    <w:rsid w:val="00B65CF7"/>
    <w:rsid w:val="00B65E14"/>
    <w:rsid w:val="00B65E57"/>
    <w:rsid w:val="00B65EB3"/>
    <w:rsid w:val="00B65EF8"/>
    <w:rsid w:val="00B65F29"/>
    <w:rsid w:val="00B65F7A"/>
    <w:rsid w:val="00B65FB9"/>
    <w:rsid w:val="00B660A2"/>
    <w:rsid w:val="00B660C7"/>
    <w:rsid w:val="00B66130"/>
    <w:rsid w:val="00B661B4"/>
    <w:rsid w:val="00B661C9"/>
    <w:rsid w:val="00B661E2"/>
    <w:rsid w:val="00B66270"/>
    <w:rsid w:val="00B66323"/>
    <w:rsid w:val="00B66368"/>
    <w:rsid w:val="00B663AC"/>
    <w:rsid w:val="00B663B5"/>
    <w:rsid w:val="00B66474"/>
    <w:rsid w:val="00B66487"/>
    <w:rsid w:val="00B664EA"/>
    <w:rsid w:val="00B664ED"/>
    <w:rsid w:val="00B665D6"/>
    <w:rsid w:val="00B665E8"/>
    <w:rsid w:val="00B66614"/>
    <w:rsid w:val="00B66625"/>
    <w:rsid w:val="00B6664B"/>
    <w:rsid w:val="00B666CE"/>
    <w:rsid w:val="00B666E0"/>
    <w:rsid w:val="00B66726"/>
    <w:rsid w:val="00B667BE"/>
    <w:rsid w:val="00B667C5"/>
    <w:rsid w:val="00B66850"/>
    <w:rsid w:val="00B66856"/>
    <w:rsid w:val="00B668E3"/>
    <w:rsid w:val="00B66944"/>
    <w:rsid w:val="00B66967"/>
    <w:rsid w:val="00B669BF"/>
    <w:rsid w:val="00B66A21"/>
    <w:rsid w:val="00B66A64"/>
    <w:rsid w:val="00B66A70"/>
    <w:rsid w:val="00B66B2F"/>
    <w:rsid w:val="00B66B74"/>
    <w:rsid w:val="00B66BA8"/>
    <w:rsid w:val="00B66BBD"/>
    <w:rsid w:val="00B66C2E"/>
    <w:rsid w:val="00B66C85"/>
    <w:rsid w:val="00B66CAD"/>
    <w:rsid w:val="00B66CF7"/>
    <w:rsid w:val="00B66D0B"/>
    <w:rsid w:val="00B66D1F"/>
    <w:rsid w:val="00B66D2D"/>
    <w:rsid w:val="00B66D3B"/>
    <w:rsid w:val="00B66D6E"/>
    <w:rsid w:val="00B66DDE"/>
    <w:rsid w:val="00B66E37"/>
    <w:rsid w:val="00B66E4A"/>
    <w:rsid w:val="00B66E5B"/>
    <w:rsid w:val="00B66E82"/>
    <w:rsid w:val="00B66F81"/>
    <w:rsid w:val="00B66FC6"/>
    <w:rsid w:val="00B66FCB"/>
    <w:rsid w:val="00B6704F"/>
    <w:rsid w:val="00B67055"/>
    <w:rsid w:val="00B670D0"/>
    <w:rsid w:val="00B6715D"/>
    <w:rsid w:val="00B67181"/>
    <w:rsid w:val="00B671B8"/>
    <w:rsid w:val="00B671C1"/>
    <w:rsid w:val="00B671C5"/>
    <w:rsid w:val="00B67278"/>
    <w:rsid w:val="00B6732C"/>
    <w:rsid w:val="00B6736C"/>
    <w:rsid w:val="00B673D5"/>
    <w:rsid w:val="00B67460"/>
    <w:rsid w:val="00B6751F"/>
    <w:rsid w:val="00B675AE"/>
    <w:rsid w:val="00B675E3"/>
    <w:rsid w:val="00B675E9"/>
    <w:rsid w:val="00B6768D"/>
    <w:rsid w:val="00B67757"/>
    <w:rsid w:val="00B677BC"/>
    <w:rsid w:val="00B677F7"/>
    <w:rsid w:val="00B6784E"/>
    <w:rsid w:val="00B678CC"/>
    <w:rsid w:val="00B678D6"/>
    <w:rsid w:val="00B678E8"/>
    <w:rsid w:val="00B67914"/>
    <w:rsid w:val="00B67945"/>
    <w:rsid w:val="00B67949"/>
    <w:rsid w:val="00B6798B"/>
    <w:rsid w:val="00B679D2"/>
    <w:rsid w:val="00B67A22"/>
    <w:rsid w:val="00B67A3F"/>
    <w:rsid w:val="00B67B22"/>
    <w:rsid w:val="00B67B38"/>
    <w:rsid w:val="00B67B3F"/>
    <w:rsid w:val="00B67C66"/>
    <w:rsid w:val="00B67D5F"/>
    <w:rsid w:val="00B67DC8"/>
    <w:rsid w:val="00B67E01"/>
    <w:rsid w:val="00B67E12"/>
    <w:rsid w:val="00B67FE9"/>
    <w:rsid w:val="00B7001C"/>
    <w:rsid w:val="00B70048"/>
    <w:rsid w:val="00B70055"/>
    <w:rsid w:val="00B70059"/>
    <w:rsid w:val="00B700B0"/>
    <w:rsid w:val="00B70120"/>
    <w:rsid w:val="00B70189"/>
    <w:rsid w:val="00B701E0"/>
    <w:rsid w:val="00B70244"/>
    <w:rsid w:val="00B702F9"/>
    <w:rsid w:val="00B7034D"/>
    <w:rsid w:val="00B7036F"/>
    <w:rsid w:val="00B70521"/>
    <w:rsid w:val="00B70550"/>
    <w:rsid w:val="00B70570"/>
    <w:rsid w:val="00B7057E"/>
    <w:rsid w:val="00B70695"/>
    <w:rsid w:val="00B706A9"/>
    <w:rsid w:val="00B706AB"/>
    <w:rsid w:val="00B706D9"/>
    <w:rsid w:val="00B706F8"/>
    <w:rsid w:val="00B7084D"/>
    <w:rsid w:val="00B70890"/>
    <w:rsid w:val="00B708FD"/>
    <w:rsid w:val="00B7090F"/>
    <w:rsid w:val="00B709E1"/>
    <w:rsid w:val="00B709E2"/>
    <w:rsid w:val="00B709E7"/>
    <w:rsid w:val="00B70A06"/>
    <w:rsid w:val="00B70A18"/>
    <w:rsid w:val="00B70A39"/>
    <w:rsid w:val="00B70A87"/>
    <w:rsid w:val="00B70A89"/>
    <w:rsid w:val="00B70A90"/>
    <w:rsid w:val="00B70AB1"/>
    <w:rsid w:val="00B70B00"/>
    <w:rsid w:val="00B70BA6"/>
    <w:rsid w:val="00B70BF5"/>
    <w:rsid w:val="00B70C01"/>
    <w:rsid w:val="00B70C5C"/>
    <w:rsid w:val="00B70C87"/>
    <w:rsid w:val="00B70C91"/>
    <w:rsid w:val="00B70CE4"/>
    <w:rsid w:val="00B70DCC"/>
    <w:rsid w:val="00B70E15"/>
    <w:rsid w:val="00B70E4E"/>
    <w:rsid w:val="00B70F60"/>
    <w:rsid w:val="00B70F6A"/>
    <w:rsid w:val="00B70FD3"/>
    <w:rsid w:val="00B7104E"/>
    <w:rsid w:val="00B71058"/>
    <w:rsid w:val="00B710DE"/>
    <w:rsid w:val="00B7112A"/>
    <w:rsid w:val="00B71220"/>
    <w:rsid w:val="00B7132A"/>
    <w:rsid w:val="00B7133C"/>
    <w:rsid w:val="00B71383"/>
    <w:rsid w:val="00B714F1"/>
    <w:rsid w:val="00B71679"/>
    <w:rsid w:val="00B7167B"/>
    <w:rsid w:val="00B71692"/>
    <w:rsid w:val="00B716D0"/>
    <w:rsid w:val="00B716F3"/>
    <w:rsid w:val="00B7172D"/>
    <w:rsid w:val="00B717AB"/>
    <w:rsid w:val="00B7180F"/>
    <w:rsid w:val="00B71845"/>
    <w:rsid w:val="00B718AC"/>
    <w:rsid w:val="00B718DF"/>
    <w:rsid w:val="00B718E7"/>
    <w:rsid w:val="00B71939"/>
    <w:rsid w:val="00B719A1"/>
    <w:rsid w:val="00B719A7"/>
    <w:rsid w:val="00B71AAE"/>
    <w:rsid w:val="00B71B13"/>
    <w:rsid w:val="00B71B48"/>
    <w:rsid w:val="00B71B49"/>
    <w:rsid w:val="00B71B62"/>
    <w:rsid w:val="00B71B7C"/>
    <w:rsid w:val="00B71BE3"/>
    <w:rsid w:val="00B71C29"/>
    <w:rsid w:val="00B71C48"/>
    <w:rsid w:val="00B71CA0"/>
    <w:rsid w:val="00B71CD5"/>
    <w:rsid w:val="00B71D05"/>
    <w:rsid w:val="00B71D32"/>
    <w:rsid w:val="00B71D41"/>
    <w:rsid w:val="00B71D7E"/>
    <w:rsid w:val="00B71E00"/>
    <w:rsid w:val="00B71E02"/>
    <w:rsid w:val="00B71E1F"/>
    <w:rsid w:val="00B71E31"/>
    <w:rsid w:val="00B71E7E"/>
    <w:rsid w:val="00B71EAF"/>
    <w:rsid w:val="00B71ECD"/>
    <w:rsid w:val="00B71FAF"/>
    <w:rsid w:val="00B71FB5"/>
    <w:rsid w:val="00B7203F"/>
    <w:rsid w:val="00B72083"/>
    <w:rsid w:val="00B720AA"/>
    <w:rsid w:val="00B720F9"/>
    <w:rsid w:val="00B72141"/>
    <w:rsid w:val="00B721F1"/>
    <w:rsid w:val="00B72259"/>
    <w:rsid w:val="00B722C0"/>
    <w:rsid w:val="00B7239D"/>
    <w:rsid w:val="00B72415"/>
    <w:rsid w:val="00B72446"/>
    <w:rsid w:val="00B72487"/>
    <w:rsid w:val="00B72497"/>
    <w:rsid w:val="00B724A6"/>
    <w:rsid w:val="00B724BF"/>
    <w:rsid w:val="00B72560"/>
    <w:rsid w:val="00B7256B"/>
    <w:rsid w:val="00B725E4"/>
    <w:rsid w:val="00B726FA"/>
    <w:rsid w:val="00B7275B"/>
    <w:rsid w:val="00B7276C"/>
    <w:rsid w:val="00B727E1"/>
    <w:rsid w:val="00B729F9"/>
    <w:rsid w:val="00B729FA"/>
    <w:rsid w:val="00B72A20"/>
    <w:rsid w:val="00B72AFE"/>
    <w:rsid w:val="00B72B2B"/>
    <w:rsid w:val="00B72C70"/>
    <w:rsid w:val="00B72CA4"/>
    <w:rsid w:val="00B72CEE"/>
    <w:rsid w:val="00B72D57"/>
    <w:rsid w:val="00B72D6A"/>
    <w:rsid w:val="00B72D9C"/>
    <w:rsid w:val="00B72DB0"/>
    <w:rsid w:val="00B72E2E"/>
    <w:rsid w:val="00B72E37"/>
    <w:rsid w:val="00B72E5A"/>
    <w:rsid w:val="00B72E66"/>
    <w:rsid w:val="00B72EB4"/>
    <w:rsid w:val="00B72ECA"/>
    <w:rsid w:val="00B72EED"/>
    <w:rsid w:val="00B72EF4"/>
    <w:rsid w:val="00B72EFB"/>
    <w:rsid w:val="00B72FC2"/>
    <w:rsid w:val="00B72FC4"/>
    <w:rsid w:val="00B73041"/>
    <w:rsid w:val="00B7305F"/>
    <w:rsid w:val="00B73075"/>
    <w:rsid w:val="00B7312B"/>
    <w:rsid w:val="00B731A2"/>
    <w:rsid w:val="00B731AC"/>
    <w:rsid w:val="00B731FA"/>
    <w:rsid w:val="00B73215"/>
    <w:rsid w:val="00B73229"/>
    <w:rsid w:val="00B7322D"/>
    <w:rsid w:val="00B7322F"/>
    <w:rsid w:val="00B73254"/>
    <w:rsid w:val="00B732E2"/>
    <w:rsid w:val="00B73300"/>
    <w:rsid w:val="00B73343"/>
    <w:rsid w:val="00B73397"/>
    <w:rsid w:val="00B73421"/>
    <w:rsid w:val="00B7345C"/>
    <w:rsid w:val="00B73474"/>
    <w:rsid w:val="00B734B5"/>
    <w:rsid w:val="00B734C1"/>
    <w:rsid w:val="00B73553"/>
    <w:rsid w:val="00B735BB"/>
    <w:rsid w:val="00B735C6"/>
    <w:rsid w:val="00B735EF"/>
    <w:rsid w:val="00B736A4"/>
    <w:rsid w:val="00B73848"/>
    <w:rsid w:val="00B73884"/>
    <w:rsid w:val="00B7388B"/>
    <w:rsid w:val="00B7391F"/>
    <w:rsid w:val="00B739C5"/>
    <w:rsid w:val="00B739CB"/>
    <w:rsid w:val="00B739D9"/>
    <w:rsid w:val="00B739F3"/>
    <w:rsid w:val="00B73A21"/>
    <w:rsid w:val="00B73A25"/>
    <w:rsid w:val="00B73A27"/>
    <w:rsid w:val="00B73A64"/>
    <w:rsid w:val="00B73A8D"/>
    <w:rsid w:val="00B73AB3"/>
    <w:rsid w:val="00B73B32"/>
    <w:rsid w:val="00B73B99"/>
    <w:rsid w:val="00B73C3F"/>
    <w:rsid w:val="00B73C47"/>
    <w:rsid w:val="00B73D15"/>
    <w:rsid w:val="00B73D24"/>
    <w:rsid w:val="00B73DFD"/>
    <w:rsid w:val="00B73E29"/>
    <w:rsid w:val="00B73E37"/>
    <w:rsid w:val="00B73EF7"/>
    <w:rsid w:val="00B73FFA"/>
    <w:rsid w:val="00B74007"/>
    <w:rsid w:val="00B7403D"/>
    <w:rsid w:val="00B740A0"/>
    <w:rsid w:val="00B74118"/>
    <w:rsid w:val="00B7412D"/>
    <w:rsid w:val="00B74149"/>
    <w:rsid w:val="00B7417E"/>
    <w:rsid w:val="00B741CA"/>
    <w:rsid w:val="00B742A1"/>
    <w:rsid w:val="00B742AB"/>
    <w:rsid w:val="00B7434F"/>
    <w:rsid w:val="00B7439B"/>
    <w:rsid w:val="00B74452"/>
    <w:rsid w:val="00B7445E"/>
    <w:rsid w:val="00B74500"/>
    <w:rsid w:val="00B7454F"/>
    <w:rsid w:val="00B74597"/>
    <w:rsid w:val="00B745E5"/>
    <w:rsid w:val="00B74653"/>
    <w:rsid w:val="00B746B4"/>
    <w:rsid w:val="00B74761"/>
    <w:rsid w:val="00B747DF"/>
    <w:rsid w:val="00B74811"/>
    <w:rsid w:val="00B74861"/>
    <w:rsid w:val="00B74937"/>
    <w:rsid w:val="00B7493B"/>
    <w:rsid w:val="00B74954"/>
    <w:rsid w:val="00B74985"/>
    <w:rsid w:val="00B74987"/>
    <w:rsid w:val="00B7499C"/>
    <w:rsid w:val="00B749D8"/>
    <w:rsid w:val="00B749F4"/>
    <w:rsid w:val="00B74A69"/>
    <w:rsid w:val="00B74A90"/>
    <w:rsid w:val="00B74B1B"/>
    <w:rsid w:val="00B74B7F"/>
    <w:rsid w:val="00B74BC8"/>
    <w:rsid w:val="00B74C30"/>
    <w:rsid w:val="00B74CA5"/>
    <w:rsid w:val="00B74D48"/>
    <w:rsid w:val="00B74D6C"/>
    <w:rsid w:val="00B74E3E"/>
    <w:rsid w:val="00B74E55"/>
    <w:rsid w:val="00B74E86"/>
    <w:rsid w:val="00B74EAC"/>
    <w:rsid w:val="00B74FD5"/>
    <w:rsid w:val="00B74FDF"/>
    <w:rsid w:val="00B75052"/>
    <w:rsid w:val="00B75088"/>
    <w:rsid w:val="00B750A6"/>
    <w:rsid w:val="00B750CE"/>
    <w:rsid w:val="00B750FD"/>
    <w:rsid w:val="00B75106"/>
    <w:rsid w:val="00B7511C"/>
    <w:rsid w:val="00B75218"/>
    <w:rsid w:val="00B752C6"/>
    <w:rsid w:val="00B752D5"/>
    <w:rsid w:val="00B7532B"/>
    <w:rsid w:val="00B75371"/>
    <w:rsid w:val="00B75373"/>
    <w:rsid w:val="00B7543E"/>
    <w:rsid w:val="00B75493"/>
    <w:rsid w:val="00B754DB"/>
    <w:rsid w:val="00B7556C"/>
    <w:rsid w:val="00B7558F"/>
    <w:rsid w:val="00B755D1"/>
    <w:rsid w:val="00B7568A"/>
    <w:rsid w:val="00B75762"/>
    <w:rsid w:val="00B75799"/>
    <w:rsid w:val="00B757A5"/>
    <w:rsid w:val="00B757DC"/>
    <w:rsid w:val="00B757EA"/>
    <w:rsid w:val="00B7581C"/>
    <w:rsid w:val="00B758BF"/>
    <w:rsid w:val="00B758DF"/>
    <w:rsid w:val="00B75902"/>
    <w:rsid w:val="00B75932"/>
    <w:rsid w:val="00B75942"/>
    <w:rsid w:val="00B7594E"/>
    <w:rsid w:val="00B759D3"/>
    <w:rsid w:val="00B75AB1"/>
    <w:rsid w:val="00B75AB6"/>
    <w:rsid w:val="00B75AE5"/>
    <w:rsid w:val="00B75AE8"/>
    <w:rsid w:val="00B75B6F"/>
    <w:rsid w:val="00B75DA9"/>
    <w:rsid w:val="00B75E63"/>
    <w:rsid w:val="00B75E68"/>
    <w:rsid w:val="00B75F0A"/>
    <w:rsid w:val="00B75FA3"/>
    <w:rsid w:val="00B75FA4"/>
    <w:rsid w:val="00B75FAA"/>
    <w:rsid w:val="00B75FAE"/>
    <w:rsid w:val="00B75FAF"/>
    <w:rsid w:val="00B76101"/>
    <w:rsid w:val="00B76120"/>
    <w:rsid w:val="00B761C9"/>
    <w:rsid w:val="00B761CB"/>
    <w:rsid w:val="00B761E0"/>
    <w:rsid w:val="00B761E7"/>
    <w:rsid w:val="00B761EE"/>
    <w:rsid w:val="00B76201"/>
    <w:rsid w:val="00B7621F"/>
    <w:rsid w:val="00B762E1"/>
    <w:rsid w:val="00B76396"/>
    <w:rsid w:val="00B76398"/>
    <w:rsid w:val="00B763B2"/>
    <w:rsid w:val="00B763F0"/>
    <w:rsid w:val="00B7640E"/>
    <w:rsid w:val="00B7649C"/>
    <w:rsid w:val="00B764C3"/>
    <w:rsid w:val="00B7653C"/>
    <w:rsid w:val="00B7653F"/>
    <w:rsid w:val="00B7657A"/>
    <w:rsid w:val="00B765BB"/>
    <w:rsid w:val="00B765CA"/>
    <w:rsid w:val="00B76665"/>
    <w:rsid w:val="00B7669C"/>
    <w:rsid w:val="00B76752"/>
    <w:rsid w:val="00B76765"/>
    <w:rsid w:val="00B76773"/>
    <w:rsid w:val="00B76824"/>
    <w:rsid w:val="00B76853"/>
    <w:rsid w:val="00B76881"/>
    <w:rsid w:val="00B76893"/>
    <w:rsid w:val="00B768C7"/>
    <w:rsid w:val="00B7693E"/>
    <w:rsid w:val="00B76996"/>
    <w:rsid w:val="00B76B2E"/>
    <w:rsid w:val="00B76B9C"/>
    <w:rsid w:val="00B76C6B"/>
    <w:rsid w:val="00B76D39"/>
    <w:rsid w:val="00B76D55"/>
    <w:rsid w:val="00B76D69"/>
    <w:rsid w:val="00B76DC4"/>
    <w:rsid w:val="00B76E87"/>
    <w:rsid w:val="00B76F14"/>
    <w:rsid w:val="00B76F96"/>
    <w:rsid w:val="00B76FD0"/>
    <w:rsid w:val="00B770C3"/>
    <w:rsid w:val="00B77136"/>
    <w:rsid w:val="00B77151"/>
    <w:rsid w:val="00B771DE"/>
    <w:rsid w:val="00B77255"/>
    <w:rsid w:val="00B77267"/>
    <w:rsid w:val="00B77293"/>
    <w:rsid w:val="00B77326"/>
    <w:rsid w:val="00B7732B"/>
    <w:rsid w:val="00B77349"/>
    <w:rsid w:val="00B77388"/>
    <w:rsid w:val="00B773CD"/>
    <w:rsid w:val="00B773D6"/>
    <w:rsid w:val="00B7744B"/>
    <w:rsid w:val="00B7749E"/>
    <w:rsid w:val="00B77512"/>
    <w:rsid w:val="00B77567"/>
    <w:rsid w:val="00B77568"/>
    <w:rsid w:val="00B775A3"/>
    <w:rsid w:val="00B77601"/>
    <w:rsid w:val="00B776D1"/>
    <w:rsid w:val="00B776DA"/>
    <w:rsid w:val="00B77791"/>
    <w:rsid w:val="00B777AC"/>
    <w:rsid w:val="00B777BD"/>
    <w:rsid w:val="00B777D3"/>
    <w:rsid w:val="00B77855"/>
    <w:rsid w:val="00B77A78"/>
    <w:rsid w:val="00B77AAB"/>
    <w:rsid w:val="00B77AB3"/>
    <w:rsid w:val="00B77B6B"/>
    <w:rsid w:val="00B77CF1"/>
    <w:rsid w:val="00B77D31"/>
    <w:rsid w:val="00B77D90"/>
    <w:rsid w:val="00B77DAD"/>
    <w:rsid w:val="00B77DC4"/>
    <w:rsid w:val="00B77DE7"/>
    <w:rsid w:val="00B77EB7"/>
    <w:rsid w:val="00B77F05"/>
    <w:rsid w:val="00B77F58"/>
    <w:rsid w:val="00B77F59"/>
    <w:rsid w:val="00B77F74"/>
    <w:rsid w:val="00B77FB6"/>
    <w:rsid w:val="00B77FE6"/>
    <w:rsid w:val="00B80023"/>
    <w:rsid w:val="00B8006C"/>
    <w:rsid w:val="00B8009A"/>
    <w:rsid w:val="00B800F0"/>
    <w:rsid w:val="00B801B0"/>
    <w:rsid w:val="00B80229"/>
    <w:rsid w:val="00B8025E"/>
    <w:rsid w:val="00B80275"/>
    <w:rsid w:val="00B802B6"/>
    <w:rsid w:val="00B803D0"/>
    <w:rsid w:val="00B804B7"/>
    <w:rsid w:val="00B8053A"/>
    <w:rsid w:val="00B80586"/>
    <w:rsid w:val="00B80596"/>
    <w:rsid w:val="00B8068C"/>
    <w:rsid w:val="00B80698"/>
    <w:rsid w:val="00B80700"/>
    <w:rsid w:val="00B80747"/>
    <w:rsid w:val="00B807ED"/>
    <w:rsid w:val="00B807F2"/>
    <w:rsid w:val="00B808E7"/>
    <w:rsid w:val="00B808F8"/>
    <w:rsid w:val="00B80916"/>
    <w:rsid w:val="00B8092B"/>
    <w:rsid w:val="00B8095D"/>
    <w:rsid w:val="00B80A35"/>
    <w:rsid w:val="00B80ABB"/>
    <w:rsid w:val="00B80AE8"/>
    <w:rsid w:val="00B80B0A"/>
    <w:rsid w:val="00B80B1A"/>
    <w:rsid w:val="00B80B68"/>
    <w:rsid w:val="00B80B6E"/>
    <w:rsid w:val="00B80B99"/>
    <w:rsid w:val="00B80C04"/>
    <w:rsid w:val="00B80C17"/>
    <w:rsid w:val="00B80C4F"/>
    <w:rsid w:val="00B80C68"/>
    <w:rsid w:val="00B80C7B"/>
    <w:rsid w:val="00B80C98"/>
    <w:rsid w:val="00B80CE8"/>
    <w:rsid w:val="00B80DA9"/>
    <w:rsid w:val="00B80DAA"/>
    <w:rsid w:val="00B80DB1"/>
    <w:rsid w:val="00B80E02"/>
    <w:rsid w:val="00B80E5B"/>
    <w:rsid w:val="00B80E60"/>
    <w:rsid w:val="00B80E65"/>
    <w:rsid w:val="00B80E8C"/>
    <w:rsid w:val="00B80E9B"/>
    <w:rsid w:val="00B80EB8"/>
    <w:rsid w:val="00B80EF8"/>
    <w:rsid w:val="00B80F2C"/>
    <w:rsid w:val="00B80F58"/>
    <w:rsid w:val="00B80F5D"/>
    <w:rsid w:val="00B80FB1"/>
    <w:rsid w:val="00B81007"/>
    <w:rsid w:val="00B8103C"/>
    <w:rsid w:val="00B8104E"/>
    <w:rsid w:val="00B8105E"/>
    <w:rsid w:val="00B81088"/>
    <w:rsid w:val="00B810DA"/>
    <w:rsid w:val="00B810EF"/>
    <w:rsid w:val="00B81126"/>
    <w:rsid w:val="00B81157"/>
    <w:rsid w:val="00B8118D"/>
    <w:rsid w:val="00B811E0"/>
    <w:rsid w:val="00B81208"/>
    <w:rsid w:val="00B8124A"/>
    <w:rsid w:val="00B812FB"/>
    <w:rsid w:val="00B8132F"/>
    <w:rsid w:val="00B813DB"/>
    <w:rsid w:val="00B813EF"/>
    <w:rsid w:val="00B81416"/>
    <w:rsid w:val="00B81472"/>
    <w:rsid w:val="00B8158E"/>
    <w:rsid w:val="00B815AF"/>
    <w:rsid w:val="00B81669"/>
    <w:rsid w:val="00B816C2"/>
    <w:rsid w:val="00B816E6"/>
    <w:rsid w:val="00B81702"/>
    <w:rsid w:val="00B81742"/>
    <w:rsid w:val="00B817AF"/>
    <w:rsid w:val="00B817B6"/>
    <w:rsid w:val="00B81803"/>
    <w:rsid w:val="00B818BD"/>
    <w:rsid w:val="00B818F5"/>
    <w:rsid w:val="00B8190B"/>
    <w:rsid w:val="00B81935"/>
    <w:rsid w:val="00B81937"/>
    <w:rsid w:val="00B8196E"/>
    <w:rsid w:val="00B819CC"/>
    <w:rsid w:val="00B81A6C"/>
    <w:rsid w:val="00B81AB2"/>
    <w:rsid w:val="00B81AC6"/>
    <w:rsid w:val="00B81ADB"/>
    <w:rsid w:val="00B81AE2"/>
    <w:rsid w:val="00B81AEE"/>
    <w:rsid w:val="00B81B70"/>
    <w:rsid w:val="00B81BC1"/>
    <w:rsid w:val="00B81BD7"/>
    <w:rsid w:val="00B81C43"/>
    <w:rsid w:val="00B81D16"/>
    <w:rsid w:val="00B81D6D"/>
    <w:rsid w:val="00B81DFF"/>
    <w:rsid w:val="00B81E1E"/>
    <w:rsid w:val="00B81E41"/>
    <w:rsid w:val="00B81E4A"/>
    <w:rsid w:val="00B81E5B"/>
    <w:rsid w:val="00B81E7F"/>
    <w:rsid w:val="00B81EA3"/>
    <w:rsid w:val="00B81EB1"/>
    <w:rsid w:val="00B81EC3"/>
    <w:rsid w:val="00B81EEB"/>
    <w:rsid w:val="00B81FF0"/>
    <w:rsid w:val="00B82017"/>
    <w:rsid w:val="00B8201F"/>
    <w:rsid w:val="00B8207E"/>
    <w:rsid w:val="00B82084"/>
    <w:rsid w:val="00B820F8"/>
    <w:rsid w:val="00B82130"/>
    <w:rsid w:val="00B8213C"/>
    <w:rsid w:val="00B8217D"/>
    <w:rsid w:val="00B821B6"/>
    <w:rsid w:val="00B821E7"/>
    <w:rsid w:val="00B821EF"/>
    <w:rsid w:val="00B821F0"/>
    <w:rsid w:val="00B82259"/>
    <w:rsid w:val="00B822DA"/>
    <w:rsid w:val="00B8230F"/>
    <w:rsid w:val="00B82316"/>
    <w:rsid w:val="00B8231F"/>
    <w:rsid w:val="00B8233D"/>
    <w:rsid w:val="00B8248F"/>
    <w:rsid w:val="00B824EC"/>
    <w:rsid w:val="00B824F1"/>
    <w:rsid w:val="00B8256A"/>
    <w:rsid w:val="00B82591"/>
    <w:rsid w:val="00B825B4"/>
    <w:rsid w:val="00B82610"/>
    <w:rsid w:val="00B8264C"/>
    <w:rsid w:val="00B8265B"/>
    <w:rsid w:val="00B8270A"/>
    <w:rsid w:val="00B82793"/>
    <w:rsid w:val="00B827BB"/>
    <w:rsid w:val="00B827BD"/>
    <w:rsid w:val="00B82909"/>
    <w:rsid w:val="00B8296B"/>
    <w:rsid w:val="00B82A52"/>
    <w:rsid w:val="00B82B02"/>
    <w:rsid w:val="00B82B92"/>
    <w:rsid w:val="00B82C4D"/>
    <w:rsid w:val="00B82CCF"/>
    <w:rsid w:val="00B82D1E"/>
    <w:rsid w:val="00B82D22"/>
    <w:rsid w:val="00B82D58"/>
    <w:rsid w:val="00B82DA5"/>
    <w:rsid w:val="00B82EBC"/>
    <w:rsid w:val="00B82F38"/>
    <w:rsid w:val="00B82F74"/>
    <w:rsid w:val="00B82FC3"/>
    <w:rsid w:val="00B8301F"/>
    <w:rsid w:val="00B8302A"/>
    <w:rsid w:val="00B8303B"/>
    <w:rsid w:val="00B83068"/>
    <w:rsid w:val="00B8317C"/>
    <w:rsid w:val="00B831EB"/>
    <w:rsid w:val="00B8328E"/>
    <w:rsid w:val="00B832CC"/>
    <w:rsid w:val="00B832D0"/>
    <w:rsid w:val="00B832D7"/>
    <w:rsid w:val="00B832F4"/>
    <w:rsid w:val="00B83301"/>
    <w:rsid w:val="00B83321"/>
    <w:rsid w:val="00B83326"/>
    <w:rsid w:val="00B83341"/>
    <w:rsid w:val="00B8338D"/>
    <w:rsid w:val="00B833D4"/>
    <w:rsid w:val="00B83449"/>
    <w:rsid w:val="00B8350C"/>
    <w:rsid w:val="00B8350D"/>
    <w:rsid w:val="00B83579"/>
    <w:rsid w:val="00B83614"/>
    <w:rsid w:val="00B8362B"/>
    <w:rsid w:val="00B8363E"/>
    <w:rsid w:val="00B836BA"/>
    <w:rsid w:val="00B8370E"/>
    <w:rsid w:val="00B83762"/>
    <w:rsid w:val="00B8376A"/>
    <w:rsid w:val="00B837A1"/>
    <w:rsid w:val="00B837C3"/>
    <w:rsid w:val="00B83852"/>
    <w:rsid w:val="00B83892"/>
    <w:rsid w:val="00B839A8"/>
    <w:rsid w:val="00B839F1"/>
    <w:rsid w:val="00B839F8"/>
    <w:rsid w:val="00B83A10"/>
    <w:rsid w:val="00B83A60"/>
    <w:rsid w:val="00B83A8D"/>
    <w:rsid w:val="00B83ABE"/>
    <w:rsid w:val="00B83B33"/>
    <w:rsid w:val="00B83B42"/>
    <w:rsid w:val="00B83B5F"/>
    <w:rsid w:val="00B83B9F"/>
    <w:rsid w:val="00B83BFC"/>
    <w:rsid w:val="00B83D4F"/>
    <w:rsid w:val="00B83D8C"/>
    <w:rsid w:val="00B83D9C"/>
    <w:rsid w:val="00B83D9D"/>
    <w:rsid w:val="00B83DB5"/>
    <w:rsid w:val="00B83DD9"/>
    <w:rsid w:val="00B83DE3"/>
    <w:rsid w:val="00B83E3A"/>
    <w:rsid w:val="00B83E42"/>
    <w:rsid w:val="00B83EAF"/>
    <w:rsid w:val="00B83EDE"/>
    <w:rsid w:val="00B83EF1"/>
    <w:rsid w:val="00B83F05"/>
    <w:rsid w:val="00B83F1D"/>
    <w:rsid w:val="00B83F53"/>
    <w:rsid w:val="00B83F84"/>
    <w:rsid w:val="00B83FC3"/>
    <w:rsid w:val="00B83FD8"/>
    <w:rsid w:val="00B84030"/>
    <w:rsid w:val="00B8410E"/>
    <w:rsid w:val="00B8411A"/>
    <w:rsid w:val="00B841E5"/>
    <w:rsid w:val="00B8433F"/>
    <w:rsid w:val="00B84342"/>
    <w:rsid w:val="00B8438C"/>
    <w:rsid w:val="00B843F5"/>
    <w:rsid w:val="00B843F6"/>
    <w:rsid w:val="00B8440D"/>
    <w:rsid w:val="00B84431"/>
    <w:rsid w:val="00B84456"/>
    <w:rsid w:val="00B8446A"/>
    <w:rsid w:val="00B84492"/>
    <w:rsid w:val="00B844BA"/>
    <w:rsid w:val="00B84530"/>
    <w:rsid w:val="00B8457B"/>
    <w:rsid w:val="00B845C8"/>
    <w:rsid w:val="00B845F6"/>
    <w:rsid w:val="00B845FD"/>
    <w:rsid w:val="00B8467B"/>
    <w:rsid w:val="00B84689"/>
    <w:rsid w:val="00B846C1"/>
    <w:rsid w:val="00B84836"/>
    <w:rsid w:val="00B8486D"/>
    <w:rsid w:val="00B84888"/>
    <w:rsid w:val="00B84929"/>
    <w:rsid w:val="00B84931"/>
    <w:rsid w:val="00B84952"/>
    <w:rsid w:val="00B84962"/>
    <w:rsid w:val="00B84B9D"/>
    <w:rsid w:val="00B84C0C"/>
    <w:rsid w:val="00B84C2F"/>
    <w:rsid w:val="00B84C42"/>
    <w:rsid w:val="00B84C80"/>
    <w:rsid w:val="00B84C9F"/>
    <w:rsid w:val="00B84CEF"/>
    <w:rsid w:val="00B84D46"/>
    <w:rsid w:val="00B84D66"/>
    <w:rsid w:val="00B84D7C"/>
    <w:rsid w:val="00B84D9D"/>
    <w:rsid w:val="00B84DB9"/>
    <w:rsid w:val="00B84DD8"/>
    <w:rsid w:val="00B84E23"/>
    <w:rsid w:val="00B84E86"/>
    <w:rsid w:val="00B84F9E"/>
    <w:rsid w:val="00B84FB2"/>
    <w:rsid w:val="00B84FB5"/>
    <w:rsid w:val="00B84FBC"/>
    <w:rsid w:val="00B8505B"/>
    <w:rsid w:val="00B851A3"/>
    <w:rsid w:val="00B851A4"/>
    <w:rsid w:val="00B8528E"/>
    <w:rsid w:val="00B85318"/>
    <w:rsid w:val="00B85364"/>
    <w:rsid w:val="00B853AB"/>
    <w:rsid w:val="00B853BD"/>
    <w:rsid w:val="00B853DC"/>
    <w:rsid w:val="00B85406"/>
    <w:rsid w:val="00B8540C"/>
    <w:rsid w:val="00B85425"/>
    <w:rsid w:val="00B85453"/>
    <w:rsid w:val="00B854A2"/>
    <w:rsid w:val="00B85564"/>
    <w:rsid w:val="00B855E2"/>
    <w:rsid w:val="00B85643"/>
    <w:rsid w:val="00B856FE"/>
    <w:rsid w:val="00B85755"/>
    <w:rsid w:val="00B8576C"/>
    <w:rsid w:val="00B8576D"/>
    <w:rsid w:val="00B857CF"/>
    <w:rsid w:val="00B85802"/>
    <w:rsid w:val="00B8581F"/>
    <w:rsid w:val="00B85858"/>
    <w:rsid w:val="00B85885"/>
    <w:rsid w:val="00B858B0"/>
    <w:rsid w:val="00B858C4"/>
    <w:rsid w:val="00B8590E"/>
    <w:rsid w:val="00B85927"/>
    <w:rsid w:val="00B8594E"/>
    <w:rsid w:val="00B85997"/>
    <w:rsid w:val="00B859E2"/>
    <w:rsid w:val="00B85A20"/>
    <w:rsid w:val="00B85A39"/>
    <w:rsid w:val="00B85ABF"/>
    <w:rsid w:val="00B85AE6"/>
    <w:rsid w:val="00B85B28"/>
    <w:rsid w:val="00B85B43"/>
    <w:rsid w:val="00B85BB3"/>
    <w:rsid w:val="00B85C0C"/>
    <w:rsid w:val="00B85D34"/>
    <w:rsid w:val="00B85D66"/>
    <w:rsid w:val="00B85D71"/>
    <w:rsid w:val="00B85DAA"/>
    <w:rsid w:val="00B85E89"/>
    <w:rsid w:val="00B85EF5"/>
    <w:rsid w:val="00B85F2B"/>
    <w:rsid w:val="00B86036"/>
    <w:rsid w:val="00B860BE"/>
    <w:rsid w:val="00B861A6"/>
    <w:rsid w:val="00B861AE"/>
    <w:rsid w:val="00B861F1"/>
    <w:rsid w:val="00B86203"/>
    <w:rsid w:val="00B86205"/>
    <w:rsid w:val="00B86247"/>
    <w:rsid w:val="00B862CC"/>
    <w:rsid w:val="00B862D9"/>
    <w:rsid w:val="00B8631B"/>
    <w:rsid w:val="00B86329"/>
    <w:rsid w:val="00B864C5"/>
    <w:rsid w:val="00B86516"/>
    <w:rsid w:val="00B86570"/>
    <w:rsid w:val="00B8661E"/>
    <w:rsid w:val="00B866EB"/>
    <w:rsid w:val="00B86710"/>
    <w:rsid w:val="00B867CB"/>
    <w:rsid w:val="00B867D2"/>
    <w:rsid w:val="00B867DC"/>
    <w:rsid w:val="00B8689B"/>
    <w:rsid w:val="00B868AB"/>
    <w:rsid w:val="00B86934"/>
    <w:rsid w:val="00B86952"/>
    <w:rsid w:val="00B86965"/>
    <w:rsid w:val="00B869DE"/>
    <w:rsid w:val="00B86A14"/>
    <w:rsid w:val="00B86B71"/>
    <w:rsid w:val="00B86B7F"/>
    <w:rsid w:val="00B86B8D"/>
    <w:rsid w:val="00B86BBA"/>
    <w:rsid w:val="00B86BCD"/>
    <w:rsid w:val="00B86C14"/>
    <w:rsid w:val="00B86C16"/>
    <w:rsid w:val="00B86C3F"/>
    <w:rsid w:val="00B86CFF"/>
    <w:rsid w:val="00B86D45"/>
    <w:rsid w:val="00B86D4A"/>
    <w:rsid w:val="00B86D56"/>
    <w:rsid w:val="00B86D64"/>
    <w:rsid w:val="00B86D6F"/>
    <w:rsid w:val="00B86DE2"/>
    <w:rsid w:val="00B86DED"/>
    <w:rsid w:val="00B86E39"/>
    <w:rsid w:val="00B86EBC"/>
    <w:rsid w:val="00B86F34"/>
    <w:rsid w:val="00B86F94"/>
    <w:rsid w:val="00B86FDC"/>
    <w:rsid w:val="00B870E7"/>
    <w:rsid w:val="00B8711D"/>
    <w:rsid w:val="00B8713D"/>
    <w:rsid w:val="00B8719E"/>
    <w:rsid w:val="00B87265"/>
    <w:rsid w:val="00B87325"/>
    <w:rsid w:val="00B87368"/>
    <w:rsid w:val="00B8758D"/>
    <w:rsid w:val="00B8759A"/>
    <w:rsid w:val="00B875FC"/>
    <w:rsid w:val="00B8763D"/>
    <w:rsid w:val="00B8763F"/>
    <w:rsid w:val="00B87695"/>
    <w:rsid w:val="00B876E3"/>
    <w:rsid w:val="00B87735"/>
    <w:rsid w:val="00B8773E"/>
    <w:rsid w:val="00B87752"/>
    <w:rsid w:val="00B87783"/>
    <w:rsid w:val="00B877BF"/>
    <w:rsid w:val="00B877E6"/>
    <w:rsid w:val="00B877F9"/>
    <w:rsid w:val="00B8783C"/>
    <w:rsid w:val="00B878BD"/>
    <w:rsid w:val="00B878C7"/>
    <w:rsid w:val="00B87904"/>
    <w:rsid w:val="00B87913"/>
    <w:rsid w:val="00B87934"/>
    <w:rsid w:val="00B879B8"/>
    <w:rsid w:val="00B87B4A"/>
    <w:rsid w:val="00B87B8F"/>
    <w:rsid w:val="00B87C4A"/>
    <w:rsid w:val="00B87C7E"/>
    <w:rsid w:val="00B87C8D"/>
    <w:rsid w:val="00B87CA1"/>
    <w:rsid w:val="00B87CB7"/>
    <w:rsid w:val="00B87CCA"/>
    <w:rsid w:val="00B87CD8"/>
    <w:rsid w:val="00B87D4E"/>
    <w:rsid w:val="00B87DB1"/>
    <w:rsid w:val="00B87E0E"/>
    <w:rsid w:val="00B87E2D"/>
    <w:rsid w:val="00B87F5D"/>
    <w:rsid w:val="00B87F8C"/>
    <w:rsid w:val="00B87F97"/>
    <w:rsid w:val="00B87FBA"/>
    <w:rsid w:val="00B90039"/>
    <w:rsid w:val="00B90055"/>
    <w:rsid w:val="00B900F1"/>
    <w:rsid w:val="00B90147"/>
    <w:rsid w:val="00B90157"/>
    <w:rsid w:val="00B90181"/>
    <w:rsid w:val="00B9019E"/>
    <w:rsid w:val="00B901B6"/>
    <w:rsid w:val="00B901F5"/>
    <w:rsid w:val="00B90205"/>
    <w:rsid w:val="00B9031F"/>
    <w:rsid w:val="00B903E9"/>
    <w:rsid w:val="00B90441"/>
    <w:rsid w:val="00B9044E"/>
    <w:rsid w:val="00B90517"/>
    <w:rsid w:val="00B90533"/>
    <w:rsid w:val="00B90543"/>
    <w:rsid w:val="00B905BF"/>
    <w:rsid w:val="00B905C4"/>
    <w:rsid w:val="00B905CF"/>
    <w:rsid w:val="00B9062B"/>
    <w:rsid w:val="00B90721"/>
    <w:rsid w:val="00B90759"/>
    <w:rsid w:val="00B90774"/>
    <w:rsid w:val="00B9081A"/>
    <w:rsid w:val="00B90844"/>
    <w:rsid w:val="00B9084A"/>
    <w:rsid w:val="00B90851"/>
    <w:rsid w:val="00B90875"/>
    <w:rsid w:val="00B90908"/>
    <w:rsid w:val="00B90925"/>
    <w:rsid w:val="00B909DA"/>
    <w:rsid w:val="00B90A92"/>
    <w:rsid w:val="00B90B03"/>
    <w:rsid w:val="00B90C5B"/>
    <w:rsid w:val="00B90C88"/>
    <w:rsid w:val="00B90CC7"/>
    <w:rsid w:val="00B90CD6"/>
    <w:rsid w:val="00B90CF9"/>
    <w:rsid w:val="00B90D5C"/>
    <w:rsid w:val="00B90D67"/>
    <w:rsid w:val="00B90D71"/>
    <w:rsid w:val="00B90E73"/>
    <w:rsid w:val="00B90ECA"/>
    <w:rsid w:val="00B90F62"/>
    <w:rsid w:val="00B90F70"/>
    <w:rsid w:val="00B9104D"/>
    <w:rsid w:val="00B91069"/>
    <w:rsid w:val="00B9107D"/>
    <w:rsid w:val="00B9112F"/>
    <w:rsid w:val="00B91131"/>
    <w:rsid w:val="00B911E6"/>
    <w:rsid w:val="00B911F3"/>
    <w:rsid w:val="00B91205"/>
    <w:rsid w:val="00B91251"/>
    <w:rsid w:val="00B912B1"/>
    <w:rsid w:val="00B912C2"/>
    <w:rsid w:val="00B912D3"/>
    <w:rsid w:val="00B912DC"/>
    <w:rsid w:val="00B9133C"/>
    <w:rsid w:val="00B91377"/>
    <w:rsid w:val="00B9138A"/>
    <w:rsid w:val="00B913B1"/>
    <w:rsid w:val="00B913BE"/>
    <w:rsid w:val="00B91400"/>
    <w:rsid w:val="00B91401"/>
    <w:rsid w:val="00B91481"/>
    <w:rsid w:val="00B91586"/>
    <w:rsid w:val="00B915C6"/>
    <w:rsid w:val="00B9166D"/>
    <w:rsid w:val="00B91671"/>
    <w:rsid w:val="00B9168B"/>
    <w:rsid w:val="00B916BC"/>
    <w:rsid w:val="00B916D2"/>
    <w:rsid w:val="00B916DE"/>
    <w:rsid w:val="00B917E6"/>
    <w:rsid w:val="00B917FF"/>
    <w:rsid w:val="00B91931"/>
    <w:rsid w:val="00B91965"/>
    <w:rsid w:val="00B9196C"/>
    <w:rsid w:val="00B9198B"/>
    <w:rsid w:val="00B919D8"/>
    <w:rsid w:val="00B91ACD"/>
    <w:rsid w:val="00B91B93"/>
    <w:rsid w:val="00B91BB2"/>
    <w:rsid w:val="00B91BDE"/>
    <w:rsid w:val="00B91C01"/>
    <w:rsid w:val="00B91C0A"/>
    <w:rsid w:val="00B91C9D"/>
    <w:rsid w:val="00B91CC1"/>
    <w:rsid w:val="00B91D3D"/>
    <w:rsid w:val="00B91D7D"/>
    <w:rsid w:val="00B91D98"/>
    <w:rsid w:val="00B91E48"/>
    <w:rsid w:val="00B91E59"/>
    <w:rsid w:val="00B91E69"/>
    <w:rsid w:val="00B91EB9"/>
    <w:rsid w:val="00B91F56"/>
    <w:rsid w:val="00B91F95"/>
    <w:rsid w:val="00B91FA0"/>
    <w:rsid w:val="00B92038"/>
    <w:rsid w:val="00B92108"/>
    <w:rsid w:val="00B9212A"/>
    <w:rsid w:val="00B921E3"/>
    <w:rsid w:val="00B92214"/>
    <w:rsid w:val="00B92242"/>
    <w:rsid w:val="00B922DE"/>
    <w:rsid w:val="00B922E4"/>
    <w:rsid w:val="00B9236E"/>
    <w:rsid w:val="00B92374"/>
    <w:rsid w:val="00B92568"/>
    <w:rsid w:val="00B92581"/>
    <w:rsid w:val="00B92667"/>
    <w:rsid w:val="00B926A4"/>
    <w:rsid w:val="00B92700"/>
    <w:rsid w:val="00B9271E"/>
    <w:rsid w:val="00B9272A"/>
    <w:rsid w:val="00B9272E"/>
    <w:rsid w:val="00B9274D"/>
    <w:rsid w:val="00B92764"/>
    <w:rsid w:val="00B927B5"/>
    <w:rsid w:val="00B92801"/>
    <w:rsid w:val="00B92912"/>
    <w:rsid w:val="00B92956"/>
    <w:rsid w:val="00B929F4"/>
    <w:rsid w:val="00B92A2A"/>
    <w:rsid w:val="00B92A35"/>
    <w:rsid w:val="00B92A96"/>
    <w:rsid w:val="00B92AD7"/>
    <w:rsid w:val="00B92AFA"/>
    <w:rsid w:val="00B92B82"/>
    <w:rsid w:val="00B92B93"/>
    <w:rsid w:val="00B92B9C"/>
    <w:rsid w:val="00B92C22"/>
    <w:rsid w:val="00B92C43"/>
    <w:rsid w:val="00B92D24"/>
    <w:rsid w:val="00B92D41"/>
    <w:rsid w:val="00B92D6C"/>
    <w:rsid w:val="00B92DB2"/>
    <w:rsid w:val="00B92DDA"/>
    <w:rsid w:val="00B92E2F"/>
    <w:rsid w:val="00B92E5F"/>
    <w:rsid w:val="00B92F18"/>
    <w:rsid w:val="00B92F3D"/>
    <w:rsid w:val="00B92F79"/>
    <w:rsid w:val="00B92FB7"/>
    <w:rsid w:val="00B93028"/>
    <w:rsid w:val="00B9302B"/>
    <w:rsid w:val="00B93031"/>
    <w:rsid w:val="00B93037"/>
    <w:rsid w:val="00B93058"/>
    <w:rsid w:val="00B9308C"/>
    <w:rsid w:val="00B930B7"/>
    <w:rsid w:val="00B93163"/>
    <w:rsid w:val="00B9317D"/>
    <w:rsid w:val="00B932D8"/>
    <w:rsid w:val="00B932E8"/>
    <w:rsid w:val="00B93306"/>
    <w:rsid w:val="00B93378"/>
    <w:rsid w:val="00B93398"/>
    <w:rsid w:val="00B933AB"/>
    <w:rsid w:val="00B93426"/>
    <w:rsid w:val="00B93465"/>
    <w:rsid w:val="00B93493"/>
    <w:rsid w:val="00B93499"/>
    <w:rsid w:val="00B9355D"/>
    <w:rsid w:val="00B93581"/>
    <w:rsid w:val="00B935B2"/>
    <w:rsid w:val="00B9371D"/>
    <w:rsid w:val="00B93738"/>
    <w:rsid w:val="00B937DE"/>
    <w:rsid w:val="00B937FD"/>
    <w:rsid w:val="00B9381A"/>
    <w:rsid w:val="00B93866"/>
    <w:rsid w:val="00B938D4"/>
    <w:rsid w:val="00B938DC"/>
    <w:rsid w:val="00B93903"/>
    <w:rsid w:val="00B93924"/>
    <w:rsid w:val="00B93983"/>
    <w:rsid w:val="00B939D5"/>
    <w:rsid w:val="00B939DE"/>
    <w:rsid w:val="00B93A0B"/>
    <w:rsid w:val="00B93A1D"/>
    <w:rsid w:val="00B93A3F"/>
    <w:rsid w:val="00B93A68"/>
    <w:rsid w:val="00B93A80"/>
    <w:rsid w:val="00B93AAB"/>
    <w:rsid w:val="00B93AE8"/>
    <w:rsid w:val="00B93B75"/>
    <w:rsid w:val="00B93B94"/>
    <w:rsid w:val="00B93BB6"/>
    <w:rsid w:val="00B93BF8"/>
    <w:rsid w:val="00B93C2D"/>
    <w:rsid w:val="00B93C2F"/>
    <w:rsid w:val="00B93C96"/>
    <w:rsid w:val="00B93CB4"/>
    <w:rsid w:val="00B93D12"/>
    <w:rsid w:val="00B93D3A"/>
    <w:rsid w:val="00B93D3F"/>
    <w:rsid w:val="00B93D8A"/>
    <w:rsid w:val="00B93DC0"/>
    <w:rsid w:val="00B93DD1"/>
    <w:rsid w:val="00B93DFD"/>
    <w:rsid w:val="00B93DFF"/>
    <w:rsid w:val="00B93E0A"/>
    <w:rsid w:val="00B93E12"/>
    <w:rsid w:val="00B93E19"/>
    <w:rsid w:val="00B93E88"/>
    <w:rsid w:val="00B93F1A"/>
    <w:rsid w:val="00B93F2C"/>
    <w:rsid w:val="00B93F55"/>
    <w:rsid w:val="00B93F92"/>
    <w:rsid w:val="00B93FC3"/>
    <w:rsid w:val="00B93FE1"/>
    <w:rsid w:val="00B94090"/>
    <w:rsid w:val="00B940F5"/>
    <w:rsid w:val="00B94176"/>
    <w:rsid w:val="00B941AF"/>
    <w:rsid w:val="00B94248"/>
    <w:rsid w:val="00B9426D"/>
    <w:rsid w:val="00B942F6"/>
    <w:rsid w:val="00B94301"/>
    <w:rsid w:val="00B94388"/>
    <w:rsid w:val="00B943B2"/>
    <w:rsid w:val="00B94403"/>
    <w:rsid w:val="00B94490"/>
    <w:rsid w:val="00B944BE"/>
    <w:rsid w:val="00B944C7"/>
    <w:rsid w:val="00B9455D"/>
    <w:rsid w:val="00B945CD"/>
    <w:rsid w:val="00B945EA"/>
    <w:rsid w:val="00B9461F"/>
    <w:rsid w:val="00B94669"/>
    <w:rsid w:val="00B94679"/>
    <w:rsid w:val="00B94803"/>
    <w:rsid w:val="00B9487C"/>
    <w:rsid w:val="00B949BD"/>
    <w:rsid w:val="00B949E1"/>
    <w:rsid w:val="00B94ACA"/>
    <w:rsid w:val="00B94ADE"/>
    <w:rsid w:val="00B94AE2"/>
    <w:rsid w:val="00B94BB6"/>
    <w:rsid w:val="00B94C4F"/>
    <w:rsid w:val="00B94D18"/>
    <w:rsid w:val="00B94DB9"/>
    <w:rsid w:val="00B94DC4"/>
    <w:rsid w:val="00B94DD2"/>
    <w:rsid w:val="00B94DE3"/>
    <w:rsid w:val="00B94E39"/>
    <w:rsid w:val="00B94E49"/>
    <w:rsid w:val="00B94E54"/>
    <w:rsid w:val="00B94EA1"/>
    <w:rsid w:val="00B94F72"/>
    <w:rsid w:val="00B94F8B"/>
    <w:rsid w:val="00B94FBD"/>
    <w:rsid w:val="00B94FDF"/>
    <w:rsid w:val="00B94FEE"/>
    <w:rsid w:val="00B950D7"/>
    <w:rsid w:val="00B950EB"/>
    <w:rsid w:val="00B95120"/>
    <w:rsid w:val="00B951D0"/>
    <w:rsid w:val="00B95208"/>
    <w:rsid w:val="00B95217"/>
    <w:rsid w:val="00B95222"/>
    <w:rsid w:val="00B95298"/>
    <w:rsid w:val="00B952E5"/>
    <w:rsid w:val="00B95343"/>
    <w:rsid w:val="00B953BF"/>
    <w:rsid w:val="00B953E4"/>
    <w:rsid w:val="00B95490"/>
    <w:rsid w:val="00B954FC"/>
    <w:rsid w:val="00B95597"/>
    <w:rsid w:val="00B955AB"/>
    <w:rsid w:val="00B955B7"/>
    <w:rsid w:val="00B955D6"/>
    <w:rsid w:val="00B955E1"/>
    <w:rsid w:val="00B95694"/>
    <w:rsid w:val="00B9572E"/>
    <w:rsid w:val="00B95738"/>
    <w:rsid w:val="00B9575F"/>
    <w:rsid w:val="00B9594A"/>
    <w:rsid w:val="00B9595B"/>
    <w:rsid w:val="00B95980"/>
    <w:rsid w:val="00B959CE"/>
    <w:rsid w:val="00B95B2B"/>
    <w:rsid w:val="00B95B3C"/>
    <w:rsid w:val="00B95B69"/>
    <w:rsid w:val="00B95B98"/>
    <w:rsid w:val="00B95BCC"/>
    <w:rsid w:val="00B95BCE"/>
    <w:rsid w:val="00B95C49"/>
    <w:rsid w:val="00B95D4C"/>
    <w:rsid w:val="00B95D62"/>
    <w:rsid w:val="00B95D6F"/>
    <w:rsid w:val="00B95DB3"/>
    <w:rsid w:val="00B95ECE"/>
    <w:rsid w:val="00B95EF8"/>
    <w:rsid w:val="00B95F14"/>
    <w:rsid w:val="00B95F50"/>
    <w:rsid w:val="00B96033"/>
    <w:rsid w:val="00B96071"/>
    <w:rsid w:val="00B96078"/>
    <w:rsid w:val="00B960CB"/>
    <w:rsid w:val="00B9611A"/>
    <w:rsid w:val="00B9613B"/>
    <w:rsid w:val="00B961EB"/>
    <w:rsid w:val="00B9623C"/>
    <w:rsid w:val="00B96244"/>
    <w:rsid w:val="00B9625C"/>
    <w:rsid w:val="00B962A2"/>
    <w:rsid w:val="00B962C5"/>
    <w:rsid w:val="00B9632D"/>
    <w:rsid w:val="00B963B0"/>
    <w:rsid w:val="00B964AA"/>
    <w:rsid w:val="00B964B7"/>
    <w:rsid w:val="00B9652E"/>
    <w:rsid w:val="00B965E1"/>
    <w:rsid w:val="00B965E7"/>
    <w:rsid w:val="00B965F0"/>
    <w:rsid w:val="00B966A0"/>
    <w:rsid w:val="00B966EF"/>
    <w:rsid w:val="00B967F6"/>
    <w:rsid w:val="00B96837"/>
    <w:rsid w:val="00B96972"/>
    <w:rsid w:val="00B969B2"/>
    <w:rsid w:val="00B969E4"/>
    <w:rsid w:val="00B96A12"/>
    <w:rsid w:val="00B96A4B"/>
    <w:rsid w:val="00B96A71"/>
    <w:rsid w:val="00B96A95"/>
    <w:rsid w:val="00B96B27"/>
    <w:rsid w:val="00B96BC0"/>
    <w:rsid w:val="00B96C30"/>
    <w:rsid w:val="00B96C4F"/>
    <w:rsid w:val="00B96CC9"/>
    <w:rsid w:val="00B96CDB"/>
    <w:rsid w:val="00B96D99"/>
    <w:rsid w:val="00B96DCB"/>
    <w:rsid w:val="00B96E61"/>
    <w:rsid w:val="00B96EDE"/>
    <w:rsid w:val="00B96EF4"/>
    <w:rsid w:val="00B96F1C"/>
    <w:rsid w:val="00B96FDC"/>
    <w:rsid w:val="00B96FF2"/>
    <w:rsid w:val="00B97059"/>
    <w:rsid w:val="00B970A7"/>
    <w:rsid w:val="00B970B9"/>
    <w:rsid w:val="00B970BB"/>
    <w:rsid w:val="00B97110"/>
    <w:rsid w:val="00B97191"/>
    <w:rsid w:val="00B97238"/>
    <w:rsid w:val="00B9725B"/>
    <w:rsid w:val="00B9726C"/>
    <w:rsid w:val="00B972A4"/>
    <w:rsid w:val="00B972B2"/>
    <w:rsid w:val="00B97356"/>
    <w:rsid w:val="00B973AA"/>
    <w:rsid w:val="00B973D5"/>
    <w:rsid w:val="00B9740D"/>
    <w:rsid w:val="00B97473"/>
    <w:rsid w:val="00B9748D"/>
    <w:rsid w:val="00B974B8"/>
    <w:rsid w:val="00B97574"/>
    <w:rsid w:val="00B975EC"/>
    <w:rsid w:val="00B97650"/>
    <w:rsid w:val="00B9768B"/>
    <w:rsid w:val="00B976F3"/>
    <w:rsid w:val="00B977E1"/>
    <w:rsid w:val="00B97816"/>
    <w:rsid w:val="00B97831"/>
    <w:rsid w:val="00B97859"/>
    <w:rsid w:val="00B978B9"/>
    <w:rsid w:val="00B97904"/>
    <w:rsid w:val="00B9791B"/>
    <w:rsid w:val="00B97976"/>
    <w:rsid w:val="00B979B6"/>
    <w:rsid w:val="00B979BC"/>
    <w:rsid w:val="00B97A3C"/>
    <w:rsid w:val="00B97AB4"/>
    <w:rsid w:val="00B97B51"/>
    <w:rsid w:val="00B97B5F"/>
    <w:rsid w:val="00B97CBA"/>
    <w:rsid w:val="00B97CF9"/>
    <w:rsid w:val="00B97D08"/>
    <w:rsid w:val="00B97D50"/>
    <w:rsid w:val="00B97D99"/>
    <w:rsid w:val="00B97DBB"/>
    <w:rsid w:val="00B97DF6"/>
    <w:rsid w:val="00B97FE9"/>
    <w:rsid w:val="00B97FF6"/>
    <w:rsid w:val="00BA0082"/>
    <w:rsid w:val="00BA00CB"/>
    <w:rsid w:val="00BA00D6"/>
    <w:rsid w:val="00BA00ED"/>
    <w:rsid w:val="00BA0170"/>
    <w:rsid w:val="00BA0197"/>
    <w:rsid w:val="00BA01C2"/>
    <w:rsid w:val="00BA01FC"/>
    <w:rsid w:val="00BA020F"/>
    <w:rsid w:val="00BA0228"/>
    <w:rsid w:val="00BA023F"/>
    <w:rsid w:val="00BA0276"/>
    <w:rsid w:val="00BA0374"/>
    <w:rsid w:val="00BA044D"/>
    <w:rsid w:val="00BA0479"/>
    <w:rsid w:val="00BA0493"/>
    <w:rsid w:val="00BA04BD"/>
    <w:rsid w:val="00BA04EA"/>
    <w:rsid w:val="00BA0605"/>
    <w:rsid w:val="00BA060C"/>
    <w:rsid w:val="00BA0647"/>
    <w:rsid w:val="00BA0690"/>
    <w:rsid w:val="00BA06BB"/>
    <w:rsid w:val="00BA06CA"/>
    <w:rsid w:val="00BA0913"/>
    <w:rsid w:val="00BA0918"/>
    <w:rsid w:val="00BA091C"/>
    <w:rsid w:val="00BA096D"/>
    <w:rsid w:val="00BA09A6"/>
    <w:rsid w:val="00BA0A18"/>
    <w:rsid w:val="00BA0AAD"/>
    <w:rsid w:val="00BA0BC2"/>
    <w:rsid w:val="00BA0C0C"/>
    <w:rsid w:val="00BA0C34"/>
    <w:rsid w:val="00BA0CD5"/>
    <w:rsid w:val="00BA0CED"/>
    <w:rsid w:val="00BA0D42"/>
    <w:rsid w:val="00BA0DC1"/>
    <w:rsid w:val="00BA0DCB"/>
    <w:rsid w:val="00BA0EAD"/>
    <w:rsid w:val="00BA0ED7"/>
    <w:rsid w:val="00BA0F2B"/>
    <w:rsid w:val="00BA102A"/>
    <w:rsid w:val="00BA102C"/>
    <w:rsid w:val="00BA104E"/>
    <w:rsid w:val="00BA10E2"/>
    <w:rsid w:val="00BA1112"/>
    <w:rsid w:val="00BA1181"/>
    <w:rsid w:val="00BA11EE"/>
    <w:rsid w:val="00BA1217"/>
    <w:rsid w:val="00BA12A3"/>
    <w:rsid w:val="00BA12D0"/>
    <w:rsid w:val="00BA130F"/>
    <w:rsid w:val="00BA131E"/>
    <w:rsid w:val="00BA1392"/>
    <w:rsid w:val="00BA13A1"/>
    <w:rsid w:val="00BA13BA"/>
    <w:rsid w:val="00BA13D6"/>
    <w:rsid w:val="00BA140E"/>
    <w:rsid w:val="00BA146B"/>
    <w:rsid w:val="00BA1480"/>
    <w:rsid w:val="00BA1536"/>
    <w:rsid w:val="00BA1595"/>
    <w:rsid w:val="00BA15B3"/>
    <w:rsid w:val="00BA16BB"/>
    <w:rsid w:val="00BA16F0"/>
    <w:rsid w:val="00BA1703"/>
    <w:rsid w:val="00BA172A"/>
    <w:rsid w:val="00BA1737"/>
    <w:rsid w:val="00BA174D"/>
    <w:rsid w:val="00BA177A"/>
    <w:rsid w:val="00BA17AB"/>
    <w:rsid w:val="00BA18BE"/>
    <w:rsid w:val="00BA198F"/>
    <w:rsid w:val="00BA1AE7"/>
    <w:rsid w:val="00BA1B13"/>
    <w:rsid w:val="00BA1B48"/>
    <w:rsid w:val="00BA1B8D"/>
    <w:rsid w:val="00BA1C38"/>
    <w:rsid w:val="00BA1C8D"/>
    <w:rsid w:val="00BA1CDA"/>
    <w:rsid w:val="00BA1CFB"/>
    <w:rsid w:val="00BA1D1B"/>
    <w:rsid w:val="00BA1D21"/>
    <w:rsid w:val="00BA1D43"/>
    <w:rsid w:val="00BA1D5D"/>
    <w:rsid w:val="00BA1D9F"/>
    <w:rsid w:val="00BA1E74"/>
    <w:rsid w:val="00BA1EE4"/>
    <w:rsid w:val="00BA1EFC"/>
    <w:rsid w:val="00BA1F26"/>
    <w:rsid w:val="00BA1F4E"/>
    <w:rsid w:val="00BA1F5B"/>
    <w:rsid w:val="00BA1F86"/>
    <w:rsid w:val="00BA1FB7"/>
    <w:rsid w:val="00BA206E"/>
    <w:rsid w:val="00BA20C5"/>
    <w:rsid w:val="00BA20D4"/>
    <w:rsid w:val="00BA2106"/>
    <w:rsid w:val="00BA2140"/>
    <w:rsid w:val="00BA2169"/>
    <w:rsid w:val="00BA2223"/>
    <w:rsid w:val="00BA228C"/>
    <w:rsid w:val="00BA22E6"/>
    <w:rsid w:val="00BA22FB"/>
    <w:rsid w:val="00BA23C7"/>
    <w:rsid w:val="00BA2463"/>
    <w:rsid w:val="00BA24EB"/>
    <w:rsid w:val="00BA24FC"/>
    <w:rsid w:val="00BA255B"/>
    <w:rsid w:val="00BA2586"/>
    <w:rsid w:val="00BA2597"/>
    <w:rsid w:val="00BA2608"/>
    <w:rsid w:val="00BA262A"/>
    <w:rsid w:val="00BA2651"/>
    <w:rsid w:val="00BA266A"/>
    <w:rsid w:val="00BA26AB"/>
    <w:rsid w:val="00BA26AD"/>
    <w:rsid w:val="00BA26EC"/>
    <w:rsid w:val="00BA26EF"/>
    <w:rsid w:val="00BA27BD"/>
    <w:rsid w:val="00BA27EE"/>
    <w:rsid w:val="00BA27FF"/>
    <w:rsid w:val="00BA2915"/>
    <w:rsid w:val="00BA2957"/>
    <w:rsid w:val="00BA299B"/>
    <w:rsid w:val="00BA29D1"/>
    <w:rsid w:val="00BA2A0E"/>
    <w:rsid w:val="00BA2A16"/>
    <w:rsid w:val="00BA2A3C"/>
    <w:rsid w:val="00BA2A74"/>
    <w:rsid w:val="00BA2A76"/>
    <w:rsid w:val="00BA2AB9"/>
    <w:rsid w:val="00BA2B89"/>
    <w:rsid w:val="00BA2C13"/>
    <w:rsid w:val="00BA2C24"/>
    <w:rsid w:val="00BA2C71"/>
    <w:rsid w:val="00BA2CED"/>
    <w:rsid w:val="00BA2D55"/>
    <w:rsid w:val="00BA2DE5"/>
    <w:rsid w:val="00BA2DEA"/>
    <w:rsid w:val="00BA2E0E"/>
    <w:rsid w:val="00BA2E13"/>
    <w:rsid w:val="00BA2E83"/>
    <w:rsid w:val="00BA2EFD"/>
    <w:rsid w:val="00BA2F48"/>
    <w:rsid w:val="00BA2FB8"/>
    <w:rsid w:val="00BA3095"/>
    <w:rsid w:val="00BA30A0"/>
    <w:rsid w:val="00BA30AC"/>
    <w:rsid w:val="00BA310A"/>
    <w:rsid w:val="00BA320C"/>
    <w:rsid w:val="00BA322E"/>
    <w:rsid w:val="00BA323C"/>
    <w:rsid w:val="00BA326D"/>
    <w:rsid w:val="00BA3297"/>
    <w:rsid w:val="00BA335F"/>
    <w:rsid w:val="00BA33E5"/>
    <w:rsid w:val="00BA3486"/>
    <w:rsid w:val="00BA34C9"/>
    <w:rsid w:val="00BA355B"/>
    <w:rsid w:val="00BA39A5"/>
    <w:rsid w:val="00BA39B0"/>
    <w:rsid w:val="00BA39F6"/>
    <w:rsid w:val="00BA3A25"/>
    <w:rsid w:val="00BA3A31"/>
    <w:rsid w:val="00BA3AA3"/>
    <w:rsid w:val="00BA3AB3"/>
    <w:rsid w:val="00BA3AC1"/>
    <w:rsid w:val="00BA3ACF"/>
    <w:rsid w:val="00BA3ADA"/>
    <w:rsid w:val="00BA3AFB"/>
    <w:rsid w:val="00BA3B0B"/>
    <w:rsid w:val="00BA3B5D"/>
    <w:rsid w:val="00BA3B9A"/>
    <w:rsid w:val="00BA3BB8"/>
    <w:rsid w:val="00BA3C33"/>
    <w:rsid w:val="00BA3C44"/>
    <w:rsid w:val="00BA3D27"/>
    <w:rsid w:val="00BA3D44"/>
    <w:rsid w:val="00BA3D4D"/>
    <w:rsid w:val="00BA3DE6"/>
    <w:rsid w:val="00BA3DEB"/>
    <w:rsid w:val="00BA3EBE"/>
    <w:rsid w:val="00BA3EED"/>
    <w:rsid w:val="00BA3F0A"/>
    <w:rsid w:val="00BA3F97"/>
    <w:rsid w:val="00BA3FB8"/>
    <w:rsid w:val="00BA4023"/>
    <w:rsid w:val="00BA4046"/>
    <w:rsid w:val="00BA40B0"/>
    <w:rsid w:val="00BA40B7"/>
    <w:rsid w:val="00BA4118"/>
    <w:rsid w:val="00BA412A"/>
    <w:rsid w:val="00BA4153"/>
    <w:rsid w:val="00BA4159"/>
    <w:rsid w:val="00BA4172"/>
    <w:rsid w:val="00BA42DC"/>
    <w:rsid w:val="00BA430F"/>
    <w:rsid w:val="00BA4335"/>
    <w:rsid w:val="00BA443F"/>
    <w:rsid w:val="00BA4465"/>
    <w:rsid w:val="00BA4486"/>
    <w:rsid w:val="00BA4505"/>
    <w:rsid w:val="00BA4525"/>
    <w:rsid w:val="00BA453B"/>
    <w:rsid w:val="00BA4545"/>
    <w:rsid w:val="00BA4556"/>
    <w:rsid w:val="00BA460D"/>
    <w:rsid w:val="00BA46E1"/>
    <w:rsid w:val="00BA4725"/>
    <w:rsid w:val="00BA47AE"/>
    <w:rsid w:val="00BA482F"/>
    <w:rsid w:val="00BA4931"/>
    <w:rsid w:val="00BA49B2"/>
    <w:rsid w:val="00BA49B6"/>
    <w:rsid w:val="00BA4A26"/>
    <w:rsid w:val="00BA4A53"/>
    <w:rsid w:val="00BA4A85"/>
    <w:rsid w:val="00BA4AE2"/>
    <w:rsid w:val="00BA4B46"/>
    <w:rsid w:val="00BA4B52"/>
    <w:rsid w:val="00BA4C25"/>
    <w:rsid w:val="00BA4C9A"/>
    <w:rsid w:val="00BA4CBB"/>
    <w:rsid w:val="00BA4D14"/>
    <w:rsid w:val="00BA4D2C"/>
    <w:rsid w:val="00BA4DB1"/>
    <w:rsid w:val="00BA4E20"/>
    <w:rsid w:val="00BA4EEE"/>
    <w:rsid w:val="00BA4F38"/>
    <w:rsid w:val="00BA4F8D"/>
    <w:rsid w:val="00BA504C"/>
    <w:rsid w:val="00BA505E"/>
    <w:rsid w:val="00BA50C6"/>
    <w:rsid w:val="00BA5157"/>
    <w:rsid w:val="00BA5166"/>
    <w:rsid w:val="00BA51E9"/>
    <w:rsid w:val="00BA534C"/>
    <w:rsid w:val="00BA535C"/>
    <w:rsid w:val="00BA535E"/>
    <w:rsid w:val="00BA538D"/>
    <w:rsid w:val="00BA539F"/>
    <w:rsid w:val="00BA53A9"/>
    <w:rsid w:val="00BA5454"/>
    <w:rsid w:val="00BA548F"/>
    <w:rsid w:val="00BA54EF"/>
    <w:rsid w:val="00BA5529"/>
    <w:rsid w:val="00BA5558"/>
    <w:rsid w:val="00BA557A"/>
    <w:rsid w:val="00BA557D"/>
    <w:rsid w:val="00BA55E2"/>
    <w:rsid w:val="00BA567E"/>
    <w:rsid w:val="00BA56D5"/>
    <w:rsid w:val="00BA574C"/>
    <w:rsid w:val="00BA577B"/>
    <w:rsid w:val="00BA5785"/>
    <w:rsid w:val="00BA57D2"/>
    <w:rsid w:val="00BA57D4"/>
    <w:rsid w:val="00BA5910"/>
    <w:rsid w:val="00BA59DC"/>
    <w:rsid w:val="00BA5A36"/>
    <w:rsid w:val="00BA5A5E"/>
    <w:rsid w:val="00BA5A81"/>
    <w:rsid w:val="00BA5AD1"/>
    <w:rsid w:val="00BA5B97"/>
    <w:rsid w:val="00BA5B9A"/>
    <w:rsid w:val="00BA5BE7"/>
    <w:rsid w:val="00BA5BFA"/>
    <w:rsid w:val="00BA5BFC"/>
    <w:rsid w:val="00BA5CF4"/>
    <w:rsid w:val="00BA5CFD"/>
    <w:rsid w:val="00BA5D0B"/>
    <w:rsid w:val="00BA5D3E"/>
    <w:rsid w:val="00BA5D6B"/>
    <w:rsid w:val="00BA5D78"/>
    <w:rsid w:val="00BA5E05"/>
    <w:rsid w:val="00BA5E6F"/>
    <w:rsid w:val="00BA5EDF"/>
    <w:rsid w:val="00BA5F5C"/>
    <w:rsid w:val="00BA5F9B"/>
    <w:rsid w:val="00BA6055"/>
    <w:rsid w:val="00BA61B6"/>
    <w:rsid w:val="00BA6205"/>
    <w:rsid w:val="00BA621B"/>
    <w:rsid w:val="00BA6247"/>
    <w:rsid w:val="00BA624E"/>
    <w:rsid w:val="00BA62ED"/>
    <w:rsid w:val="00BA631E"/>
    <w:rsid w:val="00BA6372"/>
    <w:rsid w:val="00BA6380"/>
    <w:rsid w:val="00BA6398"/>
    <w:rsid w:val="00BA6472"/>
    <w:rsid w:val="00BA6480"/>
    <w:rsid w:val="00BA650D"/>
    <w:rsid w:val="00BA6534"/>
    <w:rsid w:val="00BA6595"/>
    <w:rsid w:val="00BA65C7"/>
    <w:rsid w:val="00BA65E0"/>
    <w:rsid w:val="00BA662B"/>
    <w:rsid w:val="00BA66D9"/>
    <w:rsid w:val="00BA6727"/>
    <w:rsid w:val="00BA67AC"/>
    <w:rsid w:val="00BA67D8"/>
    <w:rsid w:val="00BA68B4"/>
    <w:rsid w:val="00BA68C1"/>
    <w:rsid w:val="00BA6934"/>
    <w:rsid w:val="00BA69CB"/>
    <w:rsid w:val="00BA6A11"/>
    <w:rsid w:val="00BA6A1F"/>
    <w:rsid w:val="00BA6A5D"/>
    <w:rsid w:val="00BA6ABE"/>
    <w:rsid w:val="00BA6B05"/>
    <w:rsid w:val="00BA6B37"/>
    <w:rsid w:val="00BA6BBB"/>
    <w:rsid w:val="00BA6C81"/>
    <w:rsid w:val="00BA6C8E"/>
    <w:rsid w:val="00BA6CA9"/>
    <w:rsid w:val="00BA6CDA"/>
    <w:rsid w:val="00BA6CE5"/>
    <w:rsid w:val="00BA6D08"/>
    <w:rsid w:val="00BA6D8D"/>
    <w:rsid w:val="00BA6D93"/>
    <w:rsid w:val="00BA6DFB"/>
    <w:rsid w:val="00BA6EE3"/>
    <w:rsid w:val="00BA6F0D"/>
    <w:rsid w:val="00BA6F3C"/>
    <w:rsid w:val="00BA6FEA"/>
    <w:rsid w:val="00BA7018"/>
    <w:rsid w:val="00BA7070"/>
    <w:rsid w:val="00BA710D"/>
    <w:rsid w:val="00BA712F"/>
    <w:rsid w:val="00BA7138"/>
    <w:rsid w:val="00BA7153"/>
    <w:rsid w:val="00BA7198"/>
    <w:rsid w:val="00BA71CE"/>
    <w:rsid w:val="00BA71F1"/>
    <w:rsid w:val="00BA7251"/>
    <w:rsid w:val="00BA7270"/>
    <w:rsid w:val="00BA72AD"/>
    <w:rsid w:val="00BA731E"/>
    <w:rsid w:val="00BA737C"/>
    <w:rsid w:val="00BA73E6"/>
    <w:rsid w:val="00BA743A"/>
    <w:rsid w:val="00BA7490"/>
    <w:rsid w:val="00BA7494"/>
    <w:rsid w:val="00BA74A7"/>
    <w:rsid w:val="00BA74BB"/>
    <w:rsid w:val="00BA74F4"/>
    <w:rsid w:val="00BA751F"/>
    <w:rsid w:val="00BA756A"/>
    <w:rsid w:val="00BA75A7"/>
    <w:rsid w:val="00BA75B5"/>
    <w:rsid w:val="00BA75BE"/>
    <w:rsid w:val="00BA75C8"/>
    <w:rsid w:val="00BA75FE"/>
    <w:rsid w:val="00BA7602"/>
    <w:rsid w:val="00BA76B8"/>
    <w:rsid w:val="00BA76BA"/>
    <w:rsid w:val="00BA76BF"/>
    <w:rsid w:val="00BA76E8"/>
    <w:rsid w:val="00BA7712"/>
    <w:rsid w:val="00BA7765"/>
    <w:rsid w:val="00BA77BF"/>
    <w:rsid w:val="00BA77DD"/>
    <w:rsid w:val="00BA78B1"/>
    <w:rsid w:val="00BA78F3"/>
    <w:rsid w:val="00BA7921"/>
    <w:rsid w:val="00BA792B"/>
    <w:rsid w:val="00BA7959"/>
    <w:rsid w:val="00BA798E"/>
    <w:rsid w:val="00BA798F"/>
    <w:rsid w:val="00BA799D"/>
    <w:rsid w:val="00BA799F"/>
    <w:rsid w:val="00BA7A16"/>
    <w:rsid w:val="00BA7A60"/>
    <w:rsid w:val="00BA7B24"/>
    <w:rsid w:val="00BA7B97"/>
    <w:rsid w:val="00BA7C47"/>
    <w:rsid w:val="00BA7CF1"/>
    <w:rsid w:val="00BA7D16"/>
    <w:rsid w:val="00BA7D6C"/>
    <w:rsid w:val="00BA7D8C"/>
    <w:rsid w:val="00BA7DFC"/>
    <w:rsid w:val="00BA7E26"/>
    <w:rsid w:val="00BB0052"/>
    <w:rsid w:val="00BB006E"/>
    <w:rsid w:val="00BB008F"/>
    <w:rsid w:val="00BB00B9"/>
    <w:rsid w:val="00BB0155"/>
    <w:rsid w:val="00BB018D"/>
    <w:rsid w:val="00BB019D"/>
    <w:rsid w:val="00BB025E"/>
    <w:rsid w:val="00BB02AF"/>
    <w:rsid w:val="00BB02FF"/>
    <w:rsid w:val="00BB0305"/>
    <w:rsid w:val="00BB0335"/>
    <w:rsid w:val="00BB035B"/>
    <w:rsid w:val="00BB04DF"/>
    <w:rsid w:val="00BB059C"/>
    <w:rsid w:val="00BB05E6"/>
    <w:rsid w:val="00BB05F1"/>
    <w:rsid w:val="00BB0612"/>
    <w:rsid w:val="00BB0694"/>
    <w:rsid w:val="00BB0739"/>
    <w:rsid w:val="00BB0747"/>
    <w:rsid w:val="00BB075E"/>
    <w:rsid w:val="00BB08F9"/>
    <w:rsid w:val="00BB092C"/>
    <w:rsid w:val="00BB0A1E"/>
    <w:rsid w:val="00BB0A37"/>
    <w:rsid w:val="00BB0A77"/>
    <w:rsid w:val="00BB0AB2"/>
    <w:rsid w:val="00BB0C04"/>
    <w:rsid w:val="00BB0C15"/>
    <w:rsid w:val="00BB0C69"/>
    <w:rsid w:val="00BB0C82"/>
    <w:rsid w:val="00BB0D0F"/>
    <w:rsid w:val="00BB0E43"/>
    <w:rsid w:val="00BB0EB7"/>
    <w:rsid w:val="00BB0F0B"/>
    <w:rsid w:val="00BB0F56"/>
    <w:rsid w:val="00BB0F76"/>
    <w:rsid w:val="00BB0F8B"/>
    <w:rsid w:val="00BB0FAC"/>
    <w:rsid w:val="00BB0FD4"/>
    <w:rsid w:val="00BB0FE1"/>
    <w:rsid w:val="00BB0FF5"/>
    <w:rsid w:val="00BB1100"/>
    <w:rsid w:val="00BB1142"/>
    <w:rsid w:val="00BB128D"/>
    <w:rsid w:val="00BB12BF"/>
    <w:rsid w:val="00BB12FC"/>
    <w:rsid w:val="00BB1315"/>
    <w:rsid w:val="00BB136F"/>
    <w:rsid w:val="00BB1373"/>
    <w:rsid w:val="00BB139C"/>
    <w:rsid w:val="00BB1480"/>
    <w:rsid w:val="00BB14F8"/>
    <w:rsid w:val="00BB1507"/>
    <w:rsid w:val="00BB15B6"/>
    <w:rsid w:val="00BB1673"/>
    <w:rsid w:val="00BB16A4"/>
    <w:rsid w:val="00BB1791"/>
    <w:rsid w:val="00BB17A3"/>
    <w:rsid w:val="00BB17B6"/>
    <w:rsid w:val="00BB1805"/>
    <w:rsid w:val="00BB18E0"/>
    <w:rsid w:val="00BB1904"/>
    <w:rsid w:val="00BB193A"/>
    <w:rsid w:val="00BB1966"/>
    <w:rsid w:val="00BB199A"/>
    <w:rsid w:val="00BB19BA"/>
    <w:rsid w:val="00BB19BF"/>
    <w:rsid w:val="00BB19C0"/>
    <w:rsid w:val="00BB1A44"/>
    <w:rsid w:val="00BB1AEA"/>
    <w:rsid w:val="00BB1AF1"/>
    <w:rsid w:val="00BB1B24"/>
    <w:rsid w:val="00BB1B7B"/>
    <w:rsid w:val="00BB1C0A"/>
    <w:rsid w:val="00BB1C1B"/>
    <w:rsid w:val="00BB1C67"/>
    <w:rsid w:val="00BB1D12"/>
    <w:rsid w:val="00BB1D69"/>
    <w:rsid w:val="00BB1E20"/>
    <w:rsid w:val="00BB1FB9"/>
    <w:rsid w:val="00BB1FCD"/>
    <w:rsid w:val="00BB200A"/>
    <w:rsid w:val="00BB2041"/>
    <w:rsid w:val="00BB215E"/>
    <w:rsid w:val="00BB2169"/>
    <w:rsid w:val="00BB21AB"/>
    <w:rsid w:val="00BB2346"/>
    <w:rsid w:val="00BB2357"/>
    <w:rsid w:val="00BB236A"/>
    <w:rsid w:val="00BB24FA"/>
    <w:rsid w:val="00BB254A"/>
    <w:rsid w:val="00BB254B"/>
    <w:rsid w:val="00BB2635"/>
    <w:rsid w:val="00BB263C"/>
    <w:rsid w:val="00BB267A"/>
    <w:rsid w:val="00BB269E"/>
    <w:rsid w:val="00BB26B7"/>
    <w:rsid w:val="00BB2716"/>
    <w:rsid w:val="00BB2791"/>
    <w:rsid w:val="00BB27E0"/>
    <w:rsid w:val="00BB27EB"/>
    <w:rsid w:val="00BB296A"/>
    <w:rsid w:val="00BB298E"/>
    <w:rsid w:val="00BB29B9"/>
    <w:rsid w:val="00BB29D2"/>
    <w:rsid w:val="00BB29FB"/>
    <w:rsid w:val="00BB2A6B"/>
    <w:rsid w:val="00BB2AC4"/>
    <w:rsid w:val="00BB2AFA"/>
    <w:rsid w:val="00BB2C9A"/>
    <w:rsid w:val="00BB2CAB"/>
    <w:rsid w:val="00BB2E1C"/>
    <w:rsid w:val="00BB2E2D"/>
    <w:rsid w:val="00BB2E4B"/>
    <w:rsid w:val="00BB2EAD"/>
    <w:rsid w:val="00BB2EBD"/>
    <w:rsid w:val="00BB2EFD"/>
    <w:rsid w:val="00BB3013"/>
    <w:rsid w:val="00BB301A"/>
    <w:rsid w:val="00BB3026"/>
    <w:rsid w:val="00BB3034"/>
    <w:rsid w:val="00BB3089"/>
    <w:rsid w:val="00BB30B3"/>
    <w:rsid w:val="00BB30BA"/>
    <w:rsid w:val="00BB316E"/>
    <w:rsid w:val="00BB31B0"/>
    <w:rsid w:val="00BB31C3"/>
    <w:rsid w:val="00BB3290"/>
    <w:rsid w:val="00BB329E"/>
    <w:rsid w:val="00BB3323"/>
    <w:rsid w:val="00BB333A"/>
    <w:rsid w:val="00BB338E"/>
    <w:rsid w:val="00BB33A8"/>
    <w:rsid w:val="00BB33AE"/>
    <w:rsid w:val="00BB33D9"/>
    <w:rsid w:val="00BB342B"/>
    <w:rsid w:val="00BB356B"/>
    <w:rsid w:val="00BB35A5"/>
    <w:rsid w:val="00BB35A8"/>
    <w:rsid w:val="00BB35E0"/>
    <w:rsid w:val="00BB3680"/>
    <w:rsid w:val="00BB3733"/>
    <w:rsid w:val="00BB37C3"/>
    <w:rsid w:val="00BB37D8"/>
    <w:rsid w:val="00BB3814"/>
    <w:rsid w:val="00BB3870"/>
    <w:rsid w:val="00BB38F1"/>
    <w:rsid w:val="00BB392F"/>
    <w:rsid w:val="00BB3969"/>
    <w:rsid w:val="00BB3AAE"/>
    <w:rsid w:val="00BB3ABC"/>
    <w:rsid w:val="00BB3BB5"/>
    <w:rsid w:val="00BB3C03"/>
    <w:rsid w:val="00BB3C5B"/>
    <w:rsid w:val="00BB3C67"/>
    <w:rsid w:val="00BB3C9D"/>
    <w:rsid w:val="00BB3CA6"/>
    <w:rsid w:val="00BB3CAD"/>
    <w:rsid w:val="00BB3D30"/>
    <w:rsid w:val="00BB3D58"/>
    <w:rsid w:val="00BB3DD7"/>
    <w:rsid w:val="00BB3DEC"/>
    <w:rsid w:val="00BB3E44"/>
    <w:rsid w:val="00BB3E81"/>
    <w:rsid w:val="00BB3EBE"/>
    <w:rsid w:val="00BB3F04"/>
    <w:rsid w:val="00BB3FD6"/>
    <w:rsid w:val="00BB3FF7"/>
    <w:rsid w:val="00BB4078"/>
    <w:rsid w:val="00BB4094"/>
    <w:rsid w:val="00BB409A"/>
    <w:rsid w:val="00BB41C7"/>
    <w:rsid w:val="00BB426B"/>
    <w:rsid w:val="00BB429F"/>
    <w:rsid w:val="00BB42C6"/>
    <w:rsid w:val="00BB4305"/>
    <w:rsid w:val="00BB43DC"/>
    <w:rsid w:val="00BB4409"/>
    <w:rsid w:val="00BB4429"/>
    <w:rsid w:val="00BB443E"/>
    <w:rsid w:val="00BB446B"/>
    <w:rsid w:val="00BB446E"/>
    <w:rsid w:val="00BB456D"/>
    <w:rsid w:val="00BB4587"/>
    <w:rsid w:val="00BB465A"/>
    <w:rsid w:val="00BB4718"/>
    <w:rsid w:val="00BB4738"/>
    <w:rsid w:val="00BB47A6"/>
    <w:rsid w:val="00BB4847"/>
    <w:rsid w:val="00BB48E6"/>
    <w:rsid w:val="00BB4930"/>
    <w:rsid w:val="00BB4970"/>
    <w:rsid w:val="00BB497E"/>
    <w:rsid w:val="00BB499B"/>
    <w:rsid w:val="00BB49B7"/>
    <w:rsid w:val="00BB49DB"/>
    <w:rsid w:val="00BB4A1C"/>
    <w:rsid w:val="00BB4A21"/>
    <w:rsid w:val="00BB4AE9"/>
    <w:rsid w:val="00BB4B6A"/>
    <w:rsid w:val="00BB4C2D"/>
    <w:rsid w:val="00BB4C4C"/>
    <w:rsid w:val="00BB4C60"/>
    <w:rsid w:val="00BB4CFF"/>
    <w:rsid w:val="00BB4DAA"/>
    <w:rsid w:val="00BB4DC5"/>
    <w:rsid w:val="00BB4E30"/>
    <w:rsid w:val="00BB4E34"/>
    <w:rsid w:val="00BB4E4D"/>
    <w:rsid w:val="00BB4E53"/>
    <w:rsid w:val="00BB4E59"/>
    <w:rsid w:val="00BB4E87"/>
    <w:rsid w:val="00BB4F97"/>
    <w:rsid w:val="00BB5001"/>
    <w:rsid w:val="00BB5057"/>
    <w:rsid w:val="00BB505B"/>
    <w:rsid w:val="00BB50A0"/>
    <w:rsid w:val="00BB50D1"/>
    <w:rsid w:val="00BB50E6"/>
    <w:rsid w:val="00BB50F1"/>
    <w:rsid w:val="00BB511D"/>
    <w:rsid w:val="00BB5141"/>
    <w:rsid w:val="00BB52F9"/>
    <w:rsid w:val="00BB5303"/>
    <w:rsid w:val="00BB5376"/>
    <w:rsid w:val="00BB5408"/>
    <w:rsid w:val="00BB5446"/>
    <w:rsid w:val="00BB54F1"/>
    <w:rsid w:val="00BB555B"/>
    <w:rsid w:val="00BB5651"/>
    <w:rsid w:val="00BB5741"/>
    <w:rsid w:val="00BB5781"/>
    <w:rsid w:val="00BB5998"/>
    <w:rsid w:val="00BB59C4"/>
    <w:rsid w:val="00BB59F3"/>
    <w:rsid w:val="00BB5A2A"/>
    <w:rsid w:val="00BB5A93"/>
    <w:rsid w:val="00BB5B0E"/>
    <w:rsid w:val="00BB5BD9"/>
    <w:rsid w:val="00BB5BF7"/>
    <w:rsid w:val="00BB5C01"/>
    <w:rsid w:val="00BB5C62"/>
    <w:rsid w:val="00BB5C97"/>
    <w:rsid w:val="00BB5D37"/>
    <w:rsid w:val="00BB5D4C"/>
    <w:rsid w:val="00BB5DB5"/>
    <w:rsid w:val="00BB5E4B"/>
    <w:rsid w:val="00BB5E6B"/>
    <w:rsid w:val="00BB5E85"/>
    <w:rsid w:val="00BB5E94"/>
    <w:rsid w:val="00BB5F15"/>
    <w:rsid w:val="00BB5F28"/>
    <w:rsid w:val="00BB5F83"/>
    <w:rsid w:val="00BB6087"/>
    <w:rsid w:val="00BB60F2"/>
    <w:rsid w:val="00BB6190"/>
    <w:rsid w:val="00BB61B2"/>
    <w:rsid w:val="00BB6202"/>
    <w:rsid w:val="00BB623E"/>
    <w:rsid w:val="00BB62D9"/>
    <w:rsid w:val="00BB62E7"/>
    <w:rsid w:val="00BB62F3"/>
    <w:rsid w:val="00BB635F"/>
    <w:rsid w:val="00BB6394"/>
    <w:rsid w:val="00BB64CD"/>
    <w:rsid w:val="00BB64D6"/>
    <w:rsid w:val="00BB6517"/>
    <w:rsid w:val="00BB655F"/>
    <w:rsid w:val="00BB65F4"/>
    <w:rsid w:val="00BB6635"/>
    <w:rsid w:val="00BB665B"/>
    <w:rsid w:val="00BB6776"/>
    <w:rsid w:val="00BB6786"/>
    <w:rsid w:val="00BB67CD"/>
    <w:rsid w:val="00BB6801"/>
    <w:rsid w:val="00BB6802"/>
    <w:rsid w:val="00BB6807"/>
    <w:rsid w:val="00BB683D"/>
    <w:rsid w:val="00BB6863"/>
    <w:rsid w:val="00BB68B4"/>
    <w:rsid w:val="00BB68F3"/>
    <w:rsid w:val="00BB6912"/>
    <w:rsid w:val="00BB69EA"/>
    <w:rsid w:val="00BB69F5"/>
    <w:rsid w:val="00BB6A29"/>
    <w:rsid w:val="00BB6AB5"/>
    <w:rsid w:val="00BB6B32"/>
    <w:rsid w:val="00BB6B51"/>
    <w:rsid w:val="00BB6BB8"/>
    <w:rsid w:val="00BB6C40"/>
    <w:rsid w:val="00BB6C88"/>
    <w:rsid w:val="00BB6CED"/>
    <w:rsid w:val="00BB6D1F"/>
    <w:rsid w:val="00BB6D6D"/>
    <w:rsid w:val="00BB6DB8"/>
    <w:rsid w:val="00BB6E81"/>
    <w:rsid w:val="00BB6E90"/>
    <w:rsid w:val="00BB6F31"/>
    <w:rsid w:val="00BB6F5B"/>
    <w:rsid w:val="00BB6FB0"/>
    <w:rsid w:val="00BB6FF7"/>
    <w:rsid w:val="00BB7018"/>
    <w:rsid w:val="00BB7022"/>
    <w:rsid w:val="00BB7071"/>
    <w:rsid w:val="00BB70BE"/>
    <w:rsid w:val="00BB7132"/>
    <w:rsid w:val="00BB7228"/>
    <w:rsid w:val="00BB722E"/>
    <w:rsid w:val="00BB72DA"/>
    <w:rsid w:val="00BB73C6"/>
    <w:rsid w:val="00BB740D"/>
    <w:rsid w:val="00BB756B"/>
    <w:rsid w:val="00BB761A"/>
    <w:rsid w:val="00BB765E"/>
    <w:rsid w:val="00BB7676"/>
    <w:rsid w:val="00BB7689"/>
    <w:rsid w:val="00BB76CC"/>
    <w:rsid w:val="00BB76E2"/>
    <w:rsid w:val="00BB76F0"/>
    <w:rsid w:val="00BB77DF"/>
    <w:rsid w:val="00BB78CA"/>
    <w:rsid w:val="00BB7956"/>
    <w:rsid w:val="00BB7978"/>
    <w:rsid w:val="00BB79C6"/>
    <w:rsid w:val="00BB79EC"/>
    <w:rsid w:val="00BB7A02"/>
    <w:rsid w:val="00BB7A8C"/>
    <w:rsid w:val="00BB7AD1"/>
    <w:rsid w:val="00BB7C00"/>
    <w:rsid w:val="00BB7C74"/>
    <w:rsid w:val="00BB7CA5"/>
    <w:rsid w:val="00BB7CA8"/>
    <w:rsid w:val="00BB7CF3"/>
    <w:rsid w:val="00BB7D98"/>
    <w:rsid w:val="00BB7DCB"/>
    <w:rsid w:val="00BB7DE5"/>
    <w:rsid w:val="00BB7DED"/>
    <w:rsid w:val="00BB7DF2"/>
    <w:rsid w:val="00BB7E0F"/>
    <w:rsid w:val="00BB7ED1"/>
    <w:rsid w:val="00BB7F04"/>
    <w:rsid w:val="00BB7F9B"/>
    <w:rsid w:val="00BB7FA5"/>
    <w:rsid w:val="00BB7FD8"/>
    <w:rsid w:val="00BB7FF0"/>
    <w:rsid w:val="00BC00B1"/>
    <w:rsid w:val="00BC00BB"/>
    <w:rsid w:val="00BC00E0"/>
    <w:rsid w:val="00BC0151"/>
    <w:rsid w:val="00BC0229"/>
    <w:rsid w:val="00BC022A"/>
    <w:rsid w:val="00BC02D8"/>
    <w:rsid w:val="00BC0334"/>
    <w:rsid w:val="00BC0346"/>
    <w:rsid w:val="00BC04F1"/>
    <w:rsid w:val="00BC0573"/>
    <w:rsid w:val="00BC05AC"/>
    <w:rsid w:val="00BC0661"/>
    <w:rsid w:val="00BC0687"/>
    <w:rsid w:val="00BC07EF"/>
    <w:rsid w:val="00BC0811"/>
    <w:rsid w:val="00BC0819"/>
    <w:rsid w:val="00BC081B"/>
    <w:rsid w:val="00BC08D6"/>
    <w:rsid w:val="00BC0950"/>
    <w:rsid w:val="00BC096B"/>
    <w:rsid w:val="00BC0995"/>
    <w:rsid w:val="00BC09C1"/>
    <w:rsid w:val="00BC0A00"/>
    <w:rsid w:val="00BC0A3A"/>
    <w:rsid w:val="00BC0A5D"/>
    <w:rsid w:val="00BC0A74"/>
    <w:rsid w:val="00BC0AD9"/>
    <w:rsid w:val="00BC0B12"/>
    <w:rsid w:val="00BC0B93"/>
    <w:rsid w:val="00BC0BBB"/>
    <w:rsid w:val="00BC0C8B"/>
    <w:rsid w:val="00BC0C9D"/>
    <w:rsid w:val="00BC0DAA"/>
    <w:rsid w:val="00BC0EB1"/>
    <w:rsid w:val="00BC0EC6"/>
    <w:rsid w:val="00BC0EC7"/>
    <w:rsid w:val="00BC0FE6"/>
    <w:rsid w:val="00BC0FE9"/>
    <w:rsid w:val="00BC100B"/>
    <w:rsid w:val="00BC1026"/>
    <w:rsid w:val="00BC1038"/>
    <w:rsid w:val="00BC1061"/>
    <w:rsid w:val="00BC10C1"/>
    <w:rsid w:val="00BC10CD"/>
    <w:rsid w:val="00BC10FF"/>
    <w:rsid w:val="00BC1101"/>
    <w:rsid w:val="00BC1103"/>
    <w:rsid w:val="00BC119D"/>
    <w:rsid w:val="00BC11B0"/>
    <w:rsid w:val="00BC11F5"/>
    <w:rsid w:val="00BC1205"/>
    <w:rsid w:val="00BC1220"/>
    <w:rsid w:val="00BC1278"/>
    <w:rsid w:val="00BC127E"/>
    <w:rsid w:val="00BC1282"/>
    <w:rsid w:val="00BC131C"/>
    <w:rsid w:val="00BC13B4"/>
    <w:rsid w:val="00BC13E0"/>
    <w:rsid w:val="00BC1424"/>
    <w:rsid w:val="00BC1495"/>
    <w:rsid w:val="00BC14D3"/>
    <w:rsid w:val="00BC14EF"/>
    <w:rsid w:val="00BC1546"/>
    <w:rsid w:val="00BC1578"/>
    <w:rsid w:val="00BC158E"/>
    <w:rsid w:val="00BC1617"/>
    <w:rsid w:val="00BC16C9"/>
    <w:rsid w:val="00BC172B"/>
    <w:rsid w:val="00BC17D1"/>
    <w:rsid w:val="00BC17E1"/>
    <w:rsid w:val="00BC180A"/>
    <w:rsid w:val="00BC18F7"/>
    <w:rsid w:val="00BC19E8"/>
    <w:rsid w:val="00BC1A00"/>
    <w:rsid w:val="00BC1A24"/>
    <w:rsid w:val="00BC1A41"/>
    <w:rsid w:val="00BC1AA6"/>
    <w:rsid w:val="00BC1B87"/>
    <w:rsid w:val="00BC1BE6"/>
    <w:rsid w:val="00BC1C42"/>
    <w:rsid w:val="00BC1D5B"/>
    <w:rsid w:val="00BC1D67"/>
    <w:rsid w:val="00BC1EB9"/>
    <w:rsid w:val="00BC1ECA"/>
    <w:rsid w:val="00BC1EF8"/>
    <w:rsid w:val="00BC1F25"/>
    <w:rsid w:val="00BC1F38"/>
    <w:rsid w:val="00BC1F4B"/>
    <w:rsid w:val="00BC1F71"/>
    <w:rsid w:val="00BC1F86"/>
    <w:rsid w:val="00BC1FC5"/>
    <w:rsid w:val="00BC1FFD"/>
    <w:rsid w:val="00BC2171"/>
    <w:rsid w:val="00BC2192"/>
    <w:rsid w:val="00BC21A1"/>
    <w:rsid w:val="00BC220F"/>
    <w:rsid w:val="00BC2231"/>
    <w:rsid w:val="00BC2244"/>
    <w:rsid w:val="00BC22E6"/>
    <w:rsid w:val="00BC22F2"/>
    <w:rsid w:val="00BC237D"/>
    <w:rsid w:val="00BC2432"/>
    <w:rsid w:val="00BC244E"/>
    <w:rsid w:val="00BC245D"/>
    <w:rsid w:val="00BC2478"/>
    <w:rsid w:val="00BC2541"/>
    <w:rsid w:val="00BC264A"/>
    <w:rsid w:val="00BC2674"/>
    <w:rsid w:val="00BC2700"/>
    <w:rsid w:val="00BC275E"/>
    <w:rsid w:val="00BC27C7"/>
    <w:rsid w:val="00BC29B9"/>
    <w:rsid w:val="00BC2BA3"/>
    <w:rsid w:val="00BC2BF7"/>
    <w:rsid w:val="00BC2C18"/>
    <w:rsid w:val="00BC2CC4"/>
    <w:rsid w:val="00BC2D43"/>
    <w:rsid w:val="00BC2D58"/>
    <w:rsid w:val="00BC2D7E"/>
    <w:rsid w:val="00BC2D97"/>
    <w:rsid w:val="00BC2E7C"/>
    <w:rsid w:val="00BC2EC1"/>
    <w:rsid w:val="00BC2EE6"/>
    <w:rsid w:val="00BC2F0C"/>
    <w:rsid w:val="00BC2FC0"/>
    <w:rsid w:val="00BC305E"/>
    <w:rsid w:val="00BC30AB"/>
    <w:rsid w:val="00BC3115"/>
    <w:rsid w:val="00BC3165"/>
    <w:rsid w:val="00BC3187"/>
    <w:rsid w:val="00BC31B9"/>
    <w:rsid w:val="00BC31D4"/>
    <w:rsid w:val="00BC3351"/>
    <w:rsid w:val="00BC33C3"/>
    <w:rsid w:val="00BC34C0"/>
    <w:rsid w:val="00BC34DF"/>
    <w:rsid w:val="00BC34F2"/>
    <w:rsid w:val="00BC353C"/>
    <w:rsid w:val="00BC3569"/>
    <w:rsid w:val="00BC3593"/>
    <w:rsid w:val="00BC35A4"/>
    <w:rsid w:val="00BC35FB"/>
    <w:rsid w:val="00BC3669"/>
    <w:rsid w:val="00BC3698"/>
    <w:rsid w:val="00BC36F3"/>
    <w:rsid w:val="00BC3763"/>
    <w:rsid w:val="00BC37C1"/>
    <w:rsid w:val="00BC3834"/>
    <w:rsid w:val="00BC3931"/>
    <w:rsid w:val="00BC394D"/>
    <w:rsid w:val="00BC39DF"/>
    <w:rsid w:val="00BC3A55"/>
    <w:rsid w:val="00BC3A5B"/>
    <w:rsid w:val="00BC3B23"/>
    <w:rsid w:val="00BC3B35"/>
    <w:rsid w:val="00BC3B61"/>
    <w:rsid w:val="00BC3BC6"/>
    <w:rsid w:val="00BC3C46"/>
    <w:rsid w:val="00BC3CB9"/>
    <w:rsid w:val="00BC3CD7"/>
    <w:rsid w:val="00BC3D18"/>
    <w:rsid w:val="00BC3D35"/>
    <w:rsid w:val="00BC3D87"/>
    <w:rsid w:val="00BC3DCF"/>
    <w:rsid w:val="00BC3DE3"/>
    <w:rsid w:val="00BC3DEA"/>
    <w:rsid w:val="00BC3E9C"/>
    <w:rsid w:val="00BC3EDB"/>
    <w:rsid w:val="00BC3F29"/>
    <w:rsid w:val="00BC3F35"/>
    <w:rsid w:val="00BC3F6C"/>
    <w:rsid w:val="00BC3FA3"/>
    <w:rsid w:val="00BC3FEC"/>
    <w:rsid w:val="00BC4062"/>
    <w:rsid w:val="00BC408F"/>
    <w:rsid w:val="00BC4110"/>
    <w:rsid w:val="00BC412D"/>
    <w:rsid w:val="00BC4164"/>
    <w:rsid w:val="00BC4175"/>
    <w:rsid w:val="00BC4178"/>
    <w:rsid w:val="00BC4184"/>
    <w:rsid w:val="00BC426A"/>
    <w:rsid w:val="00BC4271"/>
    <w:rsid w:val="00BC428A"/>
    <w:rsid w:val="00BC42C5"/>
    <w:rsid w:val="00BC433F"/>
    <w:rsid w:val="00BC4347"/>
    <w:rsid w:val="00BC4354"/>
    <w:rsid w:val="00BC4452"/>
    <w:rsid w:val="00BC4487"/>
    <w:rsid w:val="00BC4490"/>
    <w:rsid w:val="00BC449C"/>
    <w:rsid w:val="00BC45C9"/>
    <w:rsid w:val="00BC45F4"/>
    <w:rsid w:val="00BC46CA"/>
    <w:rsid w:val="00BC46CC"/>
    <w:rsid w:val="00BC482A"/>
    <w:rsid w:val="00BC4960"/>
    <w:rsid w:val="00BC4A0F"/>
    <w:rsid w:val="00BC4A21"/>
    <w:rsid w:val="00BC4A96"/>
    <w:rsid w:val="00BC4A97"/>
    <w:rsid w:val="00BC4AFD"/>
    <w:rsid w:val="00BC4B45"/>
    <w:rsid w:val="00BC4B62"/>
    <w:rsid w:val="00BC4B9C"/>
    <w:rsid w:val="00BC4BBD"/>
    <w:rsid w:val="00BC4BD8"/>
    <w:rsid w:val="00BC4C2A"/>
    <w:rsid w:val="00BC4CF0"/>
    <w:rsid w:val="00BC4D2B"/>
    <w:rsid w:val="00BC4E1F"/>
    <w:rsid w:val="00BC4E90"/>
    <w:rsid w:val="00BC4EC1"/>
    <w:rsid w:val="00BC4F16"/>
    <w:rsid w:val="00BC4F77"/>
    <w:rsid w:val="00BC4F7A"/>
    <w:rsid w:val="00BC4F98"/>
    <w:rsid w:val="00BC500E"/>
    <w:rsid w:val="00BC5028"/>
    <w:rsid w:val="00BC5080"/>
    <w:rsid w:val="00BC50AB"/>
    <w:rsid w:val="00BC50B5"/>
    <w:rsid w:val="00BC50B8"/>
    <w:rsid w:val="00BC511A"/>
    <w:rsid w:val="00BC5217"/>
    <w:rsid w:val="00BC5272"/>
    <w:rsid w:val="00BC527F"/>
    <w:rsid w:val="00BC533D"/>
    <w:rsid w:val="00BC544B"/>
    <w:rsid w:val="00BC5487"/>
    <w:rsid w:val="00BC5506"/>
    <w:rsid w:val="00BC5514"/>
    <w:rsid w:val="00BC5580"/>
    <w:rsid w:val="00BC558F"/>
    <w:rsid w:val="00BC55AF"/>
    <w:rsid w:val="00BC5615"/>
    <w:rsid w:val="00BC566C"/>
    <w:rsid w:val="00BC568A"/>
    <w:rsid w:val="00BC568F"/>
    <w:rsid w:val="00BC56A8"/>
    <w:rsid w:val="00BC5769"/>
    <w:rsid w:val="00BC5773"/>
    <w:rsid w:val="00BC584C"/>
    <w:rsid w:val="00BC588D"/>
    <w:rsid w:val="00BC58EB"/>
    <w:rsid w:val="00BC5932"/>
    <w:rsid w:val="00BC593A"/>
    <w:rsid w:val="00BC5A25"/>
    <w:rsid w:val="00BC5A49"/>
    <w:rsid w:val="00BC5A5E"/>
    <w:rsid w:val="00BC5A63"/>
    <w:rsid w:val="00BC5A6F"/>
    <w:rsid w:val="00BC5A86"/>
    <w:rsid w:val="00BC5AD4"/>
    <w:rsid w:val="00BC5AFD"/>
    <w:rsid w:val="00BC5B9B"/>
    <w:rsid w:val="00BC5BE6"/>
    <w:rsid w:val="00BC5C50"/>
    <w:rsid w:val="00BC5D0D"/>
    <w:rsid w:val="00BC5D1E"/>
    <w:rsid w:val="00BC5DE5"/>
    <w:rsid w:val="00BC5DE9"/>
    <w:rsid w:val="00BC5DFE"/>
    <w:rsid w:val="00BC5E13"/>
    <w:rsid w:val="00BC5E68"/>
    <w:rsid w:val="00BC5EBF"/>
    <w:rsid w:val="00BC5F1F"/>
    <w:rsid w:val="00BC6087"/>
    <w:rsid w:val="00BC60C0"/>
    <w:rsid w:val="00BC60C6"/>
    <w:rsid w:val="00BC60D4"/>
    <w:rsid w:val="00BC60D9"/>
    <w:rsid w:val="00BC6105"/>
    <w:rsid w:val="00BC618F"/>
    <w:rsid w:val="00BC61AB"/>
    <w:rsid w:val="00BC61B4"/>
    <w:rsid w:val="00BC61F7"/>
    <w:rsid w:val="00BC6205"/>
    <w:rsid w:val="00BC6279"/>
    <w:rsid w:val="00BC629E"/>
    <w:rsid w:val="00BC62C8"/>
    <w:rsid w:val="00BC6304"/>
    <w:rsid w:val="00BC63B6"/>
    <w:rsid w:val="00BC63CD"/>
    <w:rsid w:val="00BC63EB"/>
    <w:rsid w:val="00BC6413"/>
    <w:rsid w:val="00BC6461"/>
    <w:rsid w:val="00BC64BA"/>
    <w:rsid w:val="00BC64D5"/>
    <w:rsid w:val="00BC64D9"/>
    <w:rsid w:val="00BC64DB"/>
    <w:rsid w:val="00BC64E2"/>
    <w:rsid w:val="00BC64E6"/>
    <w:rsid w:val="00BC6594"/>
    <w:rsid w:val="00BC661A"/>
    <w:rsid w:val="00BC6678"/>
    <w:rsid w:val="00BC6681"/>
    <w:rsid w:val="00BC6695"/>
    <w:rsid w:val="00BC6740"/>
    <w:rsid w:val="00BC6782"/>
    <w:rsid w:val="00BC67F3"/>
    <w:rsid w:val="00BC6813"/>
    <w:rsid w:val="00BC681A"/>
    <w:rsid w:val="00BC684C"/>
    <w:rsid w:val="00BC6875"/>
    <w:rsid w:val="00BC68CF"/>
    <w:rsid w:val="00BC68E0"/>
    <w:rsid w:val="00BC691D"/>
    <w:rsid w:val="00BC6975"/>
    <w:rsid w:val="00BC69E9"/>
    <w:rsid w:val="00BC6A92"/>
    <w:rsid w:val="00BC6A9C"/>
    <w:rsid w:val="00BC6ABE"/>
    <w:rsid w:val="00BC6AD9"/>
    <w:rsid w:val="00BC6AFD"/>
    <w:rsid w:val="00BC6B7E"/>
    <w:rsid w:val="00BC6BAA"/>
    <w:rsid w:val="00BC6BB8"/>
    <w:rsid w:val="00BC6BDF"/>
    <w:rsid w:val="00BC6BF7"/>
    <w:rsid w:val="00BC6CAC"/>
    <w:rsid w:val="00BC6CFC"/>
    <w:rsid w:val="00BC6CFE"/>
    <w:rsid w:val="00BC6D08"/>
    <w:rsid w:val="00BC6D2B"/>
    <w:rsid w:val="00BC6D55"/>
    <w:rsid w:val="00BC6DB0"/>
    <w:rsid w:val="00BC6DFB"/>
    <w:rsid w:val="00BC6E13"/>
    <w:rsid w:val="00BC6E25"/>
    <w:rsid w:val="00BC6E75"/>
    <w:rsid w:val="00BC6F52"/>
    <w:rsid w:val="00BC6FBC"/>
    <w:rsid w:val="00BC7039"/>
    <w:rsid w:val="00BC70B5"/>
    <w:rsid w:val="00BC70D8"/>
    <w:rsid w:val="00BC713F"/>
    <w:rsid w:val="00BC7177"/>
    <w:rsid w:val="00BC722C"/>
    <w:rsid w:val="00BC7299"/>
    <w:rsid w:val="00BC72B5"/>
    <w:rsid w:val="00BC72C7"/>
    <w:rsid w:val="00BC7378"/>
    <w:rsid w:val="00BC73DF"/>
    <w:rsid w:val="00BC7400"/>
    <w:rsid w:val="00BC740A"/>
    <w:rsid w:val="00BC743A"/>
    <w:rsid w:val="00BC7449"/>
    <w:rsid w:val="00BC748C"/>
    <w:rsid w:val="00BC74B7"/>
    <w:rsid w:val="00BC74BF"/>
    <w:rsid w:val="00BC75D0"/>
    <w:rsid w:val="00BC7649"/>
    <w:rsid w:val="00BC7753"/>
    <w:rsid w:val="00BC777E"/>
    <w:rsid w:val="00BC77DE"/>
    <w:rsid w:val="00BC77E1"/>
    <w:rsid w:val="00BC78DB"/>
    <w:rsid w:val="00BC7904"/>
    <w:rsid w:val="00BC793E"/>
    <w:rsid w:val="00BC794E"/>
    <w:rsid w:val="00BC7953"/>
    <w:rsid w:val="00BC79C6"/>
    <w:rsid w:val="00BC79FF"/>
    <w:rsid w:val="00BC7A31"/>
    <w:rsid w:val="00BC7A4A"/>
    <w:rsid w:val="00BC7AE1"/>
    <w:rsid w:val="00BC7B16"/>
    <w:rsid w:val="00BC7B63"/>
    <w:rsid w:val="00BC7C45"/>
    <w:rsid w:val="00BC7C4D"/>
    <w:rsid w:val="00BC7CED"/>
    <w:rsid w:val="00BC7D2E"/>
    <w:rsid w:val="00BC7DA0"/>
    <w:rsid w:val="00BC7DA3"/>
    <w:rsid w:val="00BC7DD1"/>
    <w:rsid w:val="00BC7DE2"/>
    <w:rsid w:val="00BC7E1C"/>
    <w:rsid w:val="00BC7E66"/>
    <w:rsid w:val="00BC7E6E"/>
    <w:rsid w:val="00BC7E86"/>
    <w:rsid w:val="00BC7EF0"/>
    <w:rsid w:val="00BC7F58"/>
    <w:rsid w:val="00BD000B"/>
    <w:rsid w:val="00BD00EA"/>
    <w:rsid w:val="00BD00FB"/>
    <w:rsid w:val="00BD010C"/>
    <w:rsid w:val="00BD012B"/>
    <w:rsid w:val="00BD015D"/>
    <w:rsid w:val="00BD0208"/>
    <w:rsid w:val="00BD0213"/>
    <w:rsid w:val="00BD02AC"/>
    <w:rsid w:val="00BD0308"/>
    <w:rsid w:val="00BD0342"/>
    <w:rsid w:val="00BD03EF"/>
    <w:rsid w:val="00BD0441"/>
    <w:rsid w:val="00BD0493"/>
    <w:rsid w:val="00BD04FD"/>
    <w:rsid w:val="00BD05BA"/>
    <w:rsid w:val="00BD05E3"/>
    <w:rsid w:val="00BD068E"/>
    <w:rsid w:val="00BD069A"/>
    <w:rsid w:val="00BD06AE"/>
    <w:rsid w:val="00BD06C7"/>
    <w:rsid w:val="00BD06D5"/>
    <w:rsid w:val="00BD06ED"/>
    <w:rsid w:val="00BD0709"/>
    <w:rsid w:val="00BD078D"/>
    <w:rsid w:val="00BD0847"/>
    <w:rsid w:val="00BD084F"/>
    <w:rsid w:val="00BD0870"/>
    <w:rsid w:val="00BD0896"/>
    <w:rsid w:val="00BD08F5"/>
    <w:rsid w:val="00BD09F0"/>
    <w:rsid w:val="00BD0A1E"/>
    <w:rsid w:val="00BD0A4D"/>
    <w:rsid w:val="00BD0AA5"/>
    <w:rsid w:val="00BD0AAE"/>
    <w:rsid w:val="00BD0AAF"/>
    <w:rsid w:val="00BD0B58"/>
    <w:rsid w:val="00BD0B6B"/>
    <w:rsid w:val="00BD0BAB"/>
    <w:rsid w:val="00BD0D15"/>
    <w:rsid w:val="00BD0D4E"/>
    <w:rsid w:val="00BD0D58"/>
    <w:rsid w:val="00BD0D72"/>
    <w:rsid w:val="00BD0D7A"/>
    <w:rsid w:val="00BD0D85"/>
    <w:rsid w:val="00BD0E06"/>
    <w:rsid w:val="00BD0E48"/>
    <w:rsid w:val="00BD0E7D"/>
    <w:rsid w:val="00BD0EA2"/>
    <w:rsid w:val="00BD0EAB"/>
    <w:rsid w:val="00BD0EC4"/>
    <w:rsid w:val="00BD0F35"/>
    <w:rsid w:val="00BD0F76"/>
    <w:rsid w:val="00BD0FDF"/>
    <w:rsid w:val="00BD107B"/>
    <w:rsid w:val="00BD1157"/>
    <w:rsid w:val="00BD116B"/>
    <w:rsid w:val="00BD1192"/>
    <w:rsid w:val="00BD1225"/>
    <w:rsid w:val="00BD1226"/>
    <w:rsid w:val="00BD124E"/>
    <w:rsid w:val="00BD128F"/>
    <w:rsid w:val="00BD1392"/>
    <w:rsid w:val="00BD13A2"/>
    <w:rsid w:val="00BD1455"/>
    <w:rsid w:val="00BD1478"/>
    <w:rsid w:val="00BD1531"/>
    <w:rsid w:val="00BD1595"/>
    <w:rsid w:val="00BD15C1"/>
    <w:rsid w:val="00BD1642"/>
    <w:rsid w:val="00BD168D"/>
    <w:rsid w:val="00BD16BF"/>
    <w:rsid w:val="00BD16CC"/>
    <w:rsid w:val="00BD1716"/>
    <w:rsid w:val="00BD1866"/>
    <w:rsid w:val="00BD18D6"/>
    <w:rsid w:val="00BD1936"/>
    <w:rsid w:val="00BD1962"/>
    <w:rsid w:val="00BD19D5"/>
    <w:rsid w:val="00BD1A13"/>
    <w:rsid w:val="00BD1A67"/>
    <w:rsid w:val="00BD1AAD"/>
    <w:rsid w:val="00BD1BBE"/>
    <w:rsid w:val="00BD1BF5"/>
    <w:rsid w:val="00BD1C16"/>
    <w:rsid w:val="00BD1CA0"/>
    <w:rsid w:val="00BD1CDD"/>
    <w:rsid w:val="00BD1CF9"/>
    <w:rsid w:val="00BD1DB3"/>
    <w:rsid w:val="00BD1DCA"/>
    <w:rsid w:val="00BD1DF2"/>
    <w:rsid w:val="00BD1E2E"/>
    <w:rsid w:val="00BD1E39"/>
    <w:rsid w:val="00BD1F18"/>
    <w:rsid w:val="00BD1F7A"/>
    <w:rsid w:val="00BD1FBF"/>
    <w:rsid w:val="00BD1FEB"/>
    <w:rsid w:val="00BD1FED"/>
    <w:rsid w:val="00BD1FF2"/>
    <w:rsid w:val="00BD1FFF"/>
    <w:rsid w:val="00BD201E"/>
    <w:rsid w:val="00BD202E"/>
    <w:rsid w:val="00BD20D2"/>
    <w:rsid w:val="00BD20EC"/>
    <w:rsid w:val="00BD21F3"/>
    <w:rsid w:val="00BD2221"/>
    <w:rsid w:val="00BD22B9"/>
    <w:rsid w:val="00BD22E0"/>
    <w:rsid w:val="00BD2372"/>
    <w:rsid w:val="00BD2399"/>
    <w:rsid w:val="00BD23BB"/>
    <w:rsid w:val="00BD2421"/>
    <w:rsid w:val="00BD2465"/>
    <w:rsid w:val="00BD24BF"/>
    <w:rsid w:val="00BD25B6"/>
    <w:rsid w:val="00BD25BA"/>
    <w:rsid w:val="00BD2727"/>
    <w:rsid w:val="00BD278A"/>
    <w:rsid w:val="00BD279A"/>
    <w:rsid w:val="00BD2813"/>
    <w:rsid w:val="00BD28B2"/>
    <w:rsid w:val="00BD28E5"/>
    <w:rsid w:val="00BD28F2"/>
    <w:rsid w:val="00BD291E"/>
    <w:rsid w:val="00BD299E"/>
    <w:rsid w:val="00BD2A79"/>
    <w:rsid w:val="00BD2AA1"/>
    <w:rsid w:val="00BD2AD7"/>
    <w:rsid w:val="00BD2B92"/>
    <w:rsid w:val="00BD2C1E"/>
    <w:rsid w:val="00BD2C33"/>
    <w:rsid w:val="00BD2CE3"/>
    <w:rsid w:val="00BD2DAB"/>
    <w:rsid w:val="00BD2DB6"/>
    <w:rsid w:val="00BD2DDD"/>
    <w:rsid w:val="00BD2DF2"/>
    <w:rsid w:val="00BD2E11"/>
    <w:rsid w:val="00BD2E54"/>
    <w:rsid w:val="00BD2F2E"/>
    <w:rsid w:val="00BD2F35"/>
    <w:rsid w:val="00BD2F64"/>
    <w:rsid w:val="00BD2FCE"/>
    <w:rsid w:val="00BD2FE1"/>
    <w:rsid w:val="00BD3020"/>
    <w:rsid w:val="00BD30E1"/>
    <w:rsid w:val="00BD30F3"/>
    <w:rsid w:val="00BD3129"/>
    <w:rsid w:val="00BD3190"/>
    <w:rsid w:val="00BD31BD"/>
    <w:rsid w:val="00BD31DB"/>
    <w:rsid w:val="00BD31FF"/>
    <w:rsid w:val="00BD3254"/>
    <w:rsid w:val="00BD3287"/>
    <w:rsid w:val="00BD32A5"/>
    <w:rsid w:val="00BD32AF"/>
    <w:rsid w:val="00BD32C9"/>
    <w:rsid w:val="00BD32CD"/>
    <w:rsid w:val="00BD32D4"/>
    <w:rsid w:val="00BD32DB"/>
    <w:rsid w:val="00BD32F6"/>
    <w:rsid w:val="00BD32FC"/>
    <w:rsid w:val="00BD3304"/>
    <w:rsid w:val="00BD3352"/>
    <w:rsid w:val="00BD3368"/>
    <w:rsid w:val="00BD341B"/>
    <w:rsid w:val="00BD344D"/>
    <w:rsid w:val="00BD34D9"/>
    <w:rsid w:val="00BD34E7"/>
    <w:rsid w:val="00BD34FD"/>
    <w:rsid w:val="00BD35AB"/>
    <w:rsid w:val="00BD361B"/>
    <w:rsid w:val="00BD3684"/>
    <w:rsid w:val="00BD36ED"/>
    <w:rsid w:val="00BD37AA"/>
    <w:rsid w:val="00BD37EC"/>
    <w:rsid w:val="00BD3800"/>
    <w:rsid w:val="00BD380D"/>
    <w:rsid w:val="00BD38D0"/>
    <w:rsid w:val="00BD3923"/>
    <w:rsid w:val="00BD394D"/>
    <w:rsid w:val="00BD397C"/>
    <w:rsid w:val="00BD39AD"/>
    <w:rsid w:val="00BD39C7"/>
    <w:rsid w:val="00BD39D9"/>
    <w:rsid w:val="00BD3A00"/>
    <w:rsid w:val="00BD3ACA"/>
    <w:rsid w:val="00BD3AE1"/>
    <w:rsid w:val="00BD3AE9"/>
    <w:rsid w:val="00BD3B41"/>
    <w:rsid w:val="00BD3BE4"/>
    <w:rsid w:val="00BD3C20"/>
    <w:rsid w:val="00BD3C68"/>
    <w:rsid w:val="00BD3C69"/>
    <w:rsid w:val="00BD3C8F"/>
    <w:rsid w:val="00BD3CA6"/>
    <w:rsid w:val="00BD3CAE"/>
    <w:rsid w:val="00BD3CDF"/>
    <w:rsid w:val="00BD3D5E"/>
    <w:rsid w:val="00BD3D6F"/>
    <w:rsid w:val="00BD3D74"/>
    <w:rsid w:val="00BD3D9F"/>
    <w:rsid w:val="00BD3E3C"/>
    <w:rsid w:val="00BD3E85"/>
    <w:rsid w:val="00BD3E90"/>
    <w:rsid w:val="00BD3EC5"/>
    <w:rsid w:val="00BD3ECB"/>
    <w:rsid w:val="00BD3ECE"/>
    <w:rsid w:val="00BD3ED1"/>
    <w:rsid w:val="00BD3EDA"/>
    <w:rsid w:val="00BD3EF3"/>
    <w:rsid w:val="00BD3F18"/>
    <w:rsid w:val="00BD3F38"/>
    <w:rsid w:val="00BD3F47"/>
    <w:rsid w:val="00BD3FA4"/>
    <w:rsid w:val="00BD4045"/>
    <w:rsid w:val="00BD4079"/>
    <w:rsid w:val="00BD4182"/>
    <w:rsid w:val="00BD426C"/>
    <w:rsid w:val="00BD42A5"/>
    <w:rsid w:val="00BD430E"/>
    <w:rsid w:val="00BD435D"/>
    <w:rsid w:val="00BD4368"/>
    <w:rsid w:val="00BD437C"/>
    <w:rsid w:val="00BD447D"/>
    <w:rsid w:val="00BD44BE"/>
    <w:rsid w:val="00BD4553"/>
    <w:rsid w:val="00BD4575"/>
    <w:rsid w:val="00BD45A3"/>
    <w:rsid w:val="00BD45A4"/>
    <w:rsid w:val="00BD45CE"/>
    <w:rsid w:val="00BD45DB"/>
    <w:rsid w:val="00BD45EE"/>
    <w:rsid w:val="00BD4644"/>
    <w:rsid w:val="00BD4653"/>
    <w:rsid w:val="00BD4674"/>
    <w:rsid w:val="00BD46A2"/>
    <w:rsid w:val="00BD4712"/>
    <w:rsid w:val="00BD473C"/>
    <w:rsid w:val="00BD476A"/>
    <w:rsid w:val="00BD4836"/>
    <w:rsid w:val="00BD4878"/>
    <w:rsid w:val="00BD487B"/>
    <w:rsid w:val="00BD49B9"/>
    <w:rsid w:val="00BD49EE"/>
    <w:rsid w:val="00BD4A5B"/>
    <w:rsid w:val="00BD4AE2"/>
    <w:rsid w:val="00BD4AF8"/>
    <w:rsid w:val="00BD4B01"/>
    <w:rsid w:val="00BD4B89"/>
    <w:rsid w:val="00BD4BC7"/>
    <w:rsid w:val="00BD4C0C"/>
    <w:rsid w:val="00BD4C16"/>
    <w:rsid w:val="00BD4C1F"/>
    <w:rsid w:val="00BD4C60"/>
    <w:rsid w:val="00BD4CB0"/>
    <w:rsid w:val="00BD4CCB"/>
    <w:rsid w:val="00BD4E4B"/>
    <w:rsid w:val="00BD4F0D"/>
    <w:rsid w:val="00BD4F20"/>
    <w:rsid w:val="00BD4F3D"/>
    <w:rsid w:val="00BD4F69"/>
    <w:rsid w:val="00BD5014"/>
    <w:rsid w:val="00BD5019"/>
    <w:rsid w:val="00BD505B"/>
    <w:rsid w:val="00BD50BF"/>
    <w:rsid w:val="00BD50E7"/>
    <w:rsid w:val="00BD50F5"/>
    <w:rsid w:val="00BD5115"/>
    <w:rsid w:val="00BD5125"/>
    <w:rsid w:val="00BD512F"/>
    <w:rsid w:val="00BD5159"/>
    <w:rsid w:val="00BD51F8"/>
    <w:rsid w:val="00BD522A"/>
    <w:rsid w:val="00BD5276"/>
    <w:rsid w:val="00BD52E5"/>
    <w:rsid w:val="00BD531B"/>
    <w:rsid w:val="00BD5370"/>
    <w:rsid w:val="00BD53A4"/>
    <w:rsid w:val="00BD53E7"/>
    <w:rsid w:val="00BD5451"/>
    <w:rsid w:val="00BD5452"/>
    <w:rsid w:val="00BD548E"/>
    <w:rsid w:val="00BD54CA"/>
    <w:rsid w:val="00BD5528"/>
    <w:rsid w:val="00BD554F"/>
    <w:rsid w:val="00BD5560"/>
    <w:rsid w:val="00BD55DB"/>
    <w:rsid w:val="00BD55E0"/>
    <w:rsid w:val="00BD5618"/>
    <w:rsid w:val="00BD5646"/>
    <w:rsid w:val="00BD56AF"/>
    <w:rsid w:val="00BD56B6"/>
    <w:rsid w:val="00BD56C2"/>
    <w:rsid w:val="00BD56D1"/>
    <w:rsid w:val="00BD573D"/>
    <w:rsid w:val="00BD588D"/>
    <w:rsid w:val="00BD589A"/>
    <w:rsid w:val="00BD58FC"/>
    <w:rsid w:val="00BD591A"/>
    <w:rsid w:val="00BD5955"/>
    <w:rsid w:val="00BD595D"/>
    <w:rsid w:val="00BD599A"/>
    <w:rsid w:val="00BD5A9E"/>
    <w:rsid w:val="00BD5B05"/>
    <w:rsid w:val="00BD5BB2"/>
    <w:rsid w:val="00BD5C8B"/>
    <w:rsid w:val="00BD5CD4"/>
    <w:rsid w:val="00BD5D3A"/>
    <w:rsid w:val="00BD5D54"/>
    <w:rsid w:val="00BD5DF9"/>
    <w:rsid w:val="00BD5DFA"/>
    <w:rsid w:val="00BD5E86"/>
    <w:rsid w:val="00BD5EAC"/>
    <w:rsid w:val="00BD5F91"/>
    <w:rsid w:val="00BD5FA5"/>
    <w:rsid w:val="00BD5FE9"/>
    <w:rsid w:val="00BD600B"/>
    <w:rsid w:val="00BD609D"/>
    <w:rsid w:val="00BD6102"/>
    <w:rsid w:val="00BD618C"/>
    <w:rsid w:val="00BD627E"/>
    <w:rsid w:val="00BD6348"/>
    <w:rsid w:val="00BD63AB"/>
    <w:rsid w:val="00BD63DB"/>
    <w:rsid w:val="00BD6402"/>
    <w:rsid w:val="00BD64BB"/>
    <w:rsid w:val="00BD6695"/>
    <w:rsid w:val="00BD66EF"/>
    <w:rsid w:val="00BD6711"/>
    <w:rsid w:val="00BD672B"/>
    <w:rsid w:val="00BD6734"/>
    <w:rsid w:val="00BD67DC"/>
    <w:rsid w:val="00BD6802"/>
    <w:rsid w:val="00BD687A"/>
    <w:rsid w:val="00BD6896"/>
    <w:rsid w:val="00BD693F"/>
    <w:rsid w:val="00BD69EB"/>
    <w:rsid w:val="00BD69F7"/>
    <w:rsid w:val="00BD6A92"/>
    <w:rsid w:val="00BD6B37"/>
    <w:rsid w:val="00BD6B59"/>
    <w:rsid w:val="00BD6B6B"/>
    <w:rsid w:val="00BD6B90"/>
    <w:rsid w:val="00BD6B95"/>
    <w:rsid w:val="00BD6BB5"/>
    <w:rsid w:val="00BD6BFC"/>
    <w:rsid w:val="00BD6C35"/>
    <w:rsid w:val="00BD6C56"/>
    <w:rsid w:val="00BD6D25"/>
    <w:rsid w:val="00BD6DC5"/>
    <w:rsid w:val="00BD6DCB"/>
    <w:rsid w:val="00BD6DEB"/>
    <w:rsid w:val="00BD6E08"/>
    <w:rsid w:val="00BD6E17"/>
    <w:rsid w:val="00BD6E5B"/>
    <w:rsid w:val="00BD6EDE"/>
    <w:rsid w:val="00BD6EFF"/>
    <w:rsid w:val="00BD6F09"/>
    <w:rsid w:val="00BD6F1D"/>
    <w:rsid w:val="00BD6F33"/>
    <w:rsid w:val="00BD6F84"/>
    <w:rsid w:val="00BD7024"/>
    <w:rsid w:val="00BD702C"/>
    <w:rsid w:val="00BD7034"/>
    <w:rsid w:val="00BD7035"/>
    <w:rsid w:val="00BD70EE"/>
    <w:rsid w:val="00BD7148"/>
    <w:rsid w:val="00BD715A"/>
    <w:rsid w:val="00BD71CC"/>
    <w:rsid w:val="00BD726A"/>
    <w:rsid w:val="00BD7316"/>
    <w:rsid w:val="00BD731D"/>
    <w:rsid w:val="00BD731E"/>
    <w:rsid w:val="00BD7344"/>
    <w:rsid w:val="00BD73E9"/>
    <w:rsid w:val="00BD7462"/>
    <w:rsid w:val="00BD7466"/>
    <w:rsid w:val="00BD74B7"/>
    <w:rsid w:val="00BD74FA"/>
    <w:rsid w:val="00BD7591"/>
    <w:rsid w:val="00BD75EE"/>
    <w:rsid w:val="00BD7640"/>
    <w:rsid w:val="00BD764D"/>
    <w:rsid w:val="00BD7754"/>
    <w:rsid w:val="00BD7786"/>
    <w:rsid w:val="00BD77B2"/>
    <w:rsid w:val="00BD7822"/>
    <w:rsid w:val="00BD78D1"/>
    <w:rsid w:val="00BD78D3"/>
    <w:rsid w:val="00BD78FF"/>
    <w:rsid w:val="00BD7935"/>
    <w:rsid w:val="00BD7986"/>
    <w:rsid w:val="00BD79F3"/>
    <w:rsid w:val="00BD7A00"/>
    <w:rsid w:val="00BD7A9F"/>
    <w:rsid w:val="00BD7B7A"/>
    <w:rsid w:val="00BD7C1B"/>
    <w:rsid w:val="00BD7C1D"/>
    <w:rsid w:val="00BD7D42"/>
    <w:rsid w:val="00BD7D9D"/>
    <w:rsid w:val="00BD7DB2"/>
    <w:rsid w:val="00BD7E5B"/>
    <w:rsid w:val="00BD7E86"/>
    <w:rsid w:val="00BD7EA4"/>
    <w:rsid w:val="00BD7EB7"/>
    <w:rsid w:val="00BD7F44"/>
    <w:rsid w:val="00BD7FE1"/>
    <w:rsid w:val="00BE0020"/>
    <w:rsid w:val="00BE00E1"/>
    <w:rsid w:val="00BE010E"/>
    <w:rsid w:val="00BE013A"/>
    <w:rsid w:val="00BE01E0"/>
    <w:rsid w:val="00BE01E5"/>
    <w:rsid w:val="00BE01EE"/>
    <w:rsid w:val="00BE01F4"/>
    <w:rsid w:val="00BE01F9"/>
    <w:rsid w:val="00BE022E"/>
    <w:rsid w:val="00BE026D"/>
    <w:rsid w:val="00BE0381"/>
    <w:rsid w:val="00BE03B3"/>
    <w:rsid w:val="00BE041B"/>
    <w:rsid w:val="00BE0454"/>
    <w:rsid w:val="00BE0484"/>
    <w:rsid w:val="00BE0499"/>
    <w:rsid w:val="00BE04A7"/>
    <w:rsid w:val="00BE0500"/>
    <w:rsid w:val="00BE05B2"/>
    <w:rsid w:val="00BE05F8"/>
    <w:rsid w:val="00BE0614"/>
    <w:rsid w:val="00BE065D"/>
    <w:rsid w:val="00BE0741"/>
    <w:rsid w:val="00BE07C9"/>
    <w:rsid w:val="00BE07E1"/>
    <w:rsid w:val="00BE082D"/>
    <w:rsid w:val="00BE0854"/>
    <w:rsid w:val="00BE0876"/>
    <w:rsid w:val="00BE08D3"/>
    <w:rsid w:val="00BE08FC"/>
    <w:rsid w:val="00BE0957"/>
    <w:rsid w:val="00BE0989"/>
    <w:rsid w:val="00BE0B56"/>
    <w:rsid w:val="00BE0BA7"/>
    <w:rsid w:val="00BE0BDA"/>
    <w:rsid w:val="00BE0BFE"/>
    <w:rsid w:val="00BE0C04"/>
    <w:rsid w:val="00BE0C34"/>
    <w:rsid w:val="00BE0C5A"/>
    <w:rsid w:val="00BE0CBB"/>
    <w:rsid w:val="00BE0CBC"/>
    <w:rsid w:val="00BE0D0A"/>
    <w:rsid w:val="00BE0D3F"/>
    <w:rsid w:val="00BE0D9A"/>
    <w:rsid w:val="00BE0DC1"/>
    <w:rsid w:val="00BE0DFC"/>
    <w:rsid w:val="00BE0E00"/>
    <w:rsid w:val="00BE0E37"/>
    <w:rsid w:val="00BE0E72"/>
    <w:rsid w:val="00BE0F1C"/>
    <w:rsid w:val="00BE0F41"/>
    <w:rsid w:val="00BE0F52"/>
    <w:rsid w:val="00BE0FB0"/>
    <w:rsid w:val="00BE10A7"/>
    <w:rsid w:val="00BE1111"/>
    <w:rsid w:val="00BE12B6"/>
    <w:rsid w:val="00BE12F7"/>
    <w:rsid w:val="00BE1339"/>
    <w:rsid w:val="00BE134E"/>
    <w:rsid w:val="00BE1368"/>
    <w:rsid w:val="00BE13A4"/>
    <w:rsid w:val="00BE141D"/>
    <w:rsid w:val="00BE15C1"/>
    <w:rsid w:val="00BE169D"/>
    <w:rsid w:val="00BE16A1"/>
    <w:rsid w:val="00BE174A"/>
    <w:rsid w:val="00BE18C4"/>
    <w:rsid w:val="00BE194D"/>
    <w:rsid w:val="00BE1A05"/>
    <w:rsid w:val="00BE1A09"/>
    <w:rsid w:val="00BE1A5E"/>
    <w:rsid w:val="00BE1A76"/>
    <w:rsid w:val="00BE1A7F"/>
    <w:rsid w:val="00BE1B34"/>
    <w:rsid w:val="00BE1B38"/>
    <w:rsid w:val="00BE1C41"/>
    <w:rsid w:val="00BE1CF8"/>
    <w:rsid w:val="00BE1CFF"/>
    <w:rsid w:val="00BE1DAC"/>
    <w:rsid w:val="00BE1DE8"/>
    <w:rsid w:val="00BE1ED4"/>
    <w:rsid w:val="00BE1FA7"/>
    <w:rsid w:val="00BE2002"/>
    <w:rsid w:val="00BE201A"/>
    <w:rsid w:val="00BE203D"/>
    <w:rsid w:val="00BE207F"/>
    <w:rsid w:val="00BE20C7"/>
    <w:rsid w:val="00BE20C9"/>
    <w:rsid w:val="00BE212B"/>
    <w:rsid w:val="00BE2175"/>
    <w:rsid w:val="00BE21B7"/>
    <w:rsid w:val="00BE228D"/>
    <w:rsid w:val="00BE2405"/>
    <w:rsid w:val="00BE245E"/>
    <w:rsid w:val="00BE2460"/>
    <w:rsid w:val="00BE2466"/>
    <w:rsid w:val="00BE24C4"/>
    <w:rsid w:val="00BE2509"/>
    <w:rsid w:val="00BE2529"/>
    <w:rsid w:val="00BE2552"/>
    <w:rsid w:val="00BE25FB"/>
    <w:rsid w:val="00BE262A"/>
    <w:rsid w:val="00BE2633"/>
    <w:rsid w:val="00BE26AA"/>
    <w:rsid w:val="00BE271C"/>
    <w:rsid w:val="00BE27B6"/>
    <w:rsid w:val="00BE2819"/>
    <w:rsid w:val="00BE2825"/>
    <w:rsid w:val="00BE282F"/>
    <w:rsid w:val="00BE2862"/>
    <w:rsid w:val="00BE28DD"/>
    <w:rsid w:val="00BE28EA"/>
    <w:rsid w:val="00BE290B"/>
    <w:rsid w:val="00BE291B"/>
    <w:rsid w:val="00BE29A4"/>
    <w:rsid w:val="00BE2A1E"/>
    <w:rsid w:val="00BE2A69"/>
    <w:rsid w:val="00BE2ADE"/>
    <w:rsid w:val="00BE2B05"/>
    <w:rsid w:val="00BE2B72"/>
    <w:rsid w:val="00BE2BCA"/>
    <w:rsid w:val="00BE2BFD"/>
    <w:rsid w:val="00BE2C02"/>
    <w:rsid w:val="00BE2C05"/>
    <w:rsid w:val="00BE2C10"/>
    <w:rsid w:val="00BE2C40"/>
    <w:rsid w:val="00BE2D2A"/>
    <w:rsid w:val="00BE2D39"/>
    <w:rsid w:val="00BE2D3D"/>
    <w:rsid w:val="00BE2D63"/>
    <w:rsid w:val="00BE2DCC"/>
    <w:rsid w:val="00BE2DD6"/>
    <w:rsid w:val="00BE2E51"/>
    <w:rsid w:val="00BE2E6D"/>
    <w:rsid w:val="00BE2F22"/>
    <w:rsid w:val="00BE2F46"/>
    <w:rsid w:val="00BE2FC5"/>
    <w:rsid w:val="00BE2FDC"/>
    <w:rsid w:val="00BE301C"/>
    <w:rsid w:val="00BE3088"/>
    <w:rsid w:val="00BE30A1"/>
    <w:rsid w:val="00BE30D1"/>
    <w:rsid w:val="00BE30E6"/>
    <w:rsid w:val="00BE3126"/>
    <w:rsid w:val="00BE3140"/>
    <w:rsid w:val="00BE314E"/>
    <w:rsid w:val="00BE317B"/>
    <w:rsid w:val="00BE318E"/>
    <w:rsid w:val="00BE31A0"/>
    <w:rsid w:val="00BE322B"/>
    <w:rsid w:val="00BE322C"/>
    <w:rsid w:val="00BE324C"/>
    <w:rsid w:val="00BE3298"/>
    <w:rsid w:val="00BE3397"/>
    <w:rsid w:val="00BE33DD"/>
    <w:rsid w:val="00BE33EA"/>
    <w:rsid w:val="00BE3412"/>
    <w:rsid w:val="00BE34C0"/>
    <w:rsid w:val="00BE34F6"/>
    <w:rsid w:val="00BE3502"/>
    <w:rsid w:val="00BE3679"/>
    <w:rsid w:val="00BE3775"/>
    <w:rsid w:val="00BE3779"/>
    <w:rsid w:val="00BE37D7"/>
    <w:rsid w:val="00BE37F4"/>
    <w:rsid w:val="00BE3813"/>
    <w:rsid w:val="00BE381E"/>
    <w:rsid w:val="00BE38AB"/>
    <w:rsid w:val="00BE38AD"/>
    <w:rsid w:val="00BE38DC"/>
    <w:rsid w:val="00BE38E8"/>
    <w:rsid w:val="00BE3921"/>
    <w:rsid w:val="00BE3956"/>
    <w:rsid w:val="00BE3969"/>
    <w:rsid w:val="00BE39B7"/>
    <w:rsid w:val="00BE3A20"/>
    <w:rsid w:val="00BE3A5D"/>
    <w:rsid w:val="00BE3AB4"/>
    <w:rsid w:val="00BE3AFB"/>
    <w:rsid w:val="00BE3B03"/>
    <w:rsid w:val="00BE3B14"/>
    <w:rsid w:val="00BE3B34"/>
    <w:rsid w:val="00BE3B6E"/>
    <w:rsid w:val="00BE3BB4"/>
    <w:rsid w:val="00BE3BE9"/>
    <w:rsid w:val="00BE3C70"/>
    <w:rsid w:val="00BE3C75"/>
    <w:rsid w:val="00BE3C91"/>
    <w:rsid w:val="00BE3CA0"/>
    <w:rsid w:val="00BE3CF7"/>
    <w:rsid w:val="00BE3CFE"/>
    <w:rsid w:val="00BE3D22"/>
    <w:rsid w:val="00BE3D94"/>
    <w:rsid w:val="00BE3E00"/>
    <w:rsid w:val="00BE3E08"/>
    <w:rsid w:val="00BE3E4C"/>
    <w:rsid w:val="00BE3E70"/>
    <w:rsid w:val="00BE3E7C"/>
    <w:rsid w:val="00BE3EE4"/>
    <w:rsid w:val="00BE3F1F"/>
    <w:rsid w:val="00BE3F8B"/>
    <w:rsid w:val="00BE3FA2"/>
    <w:rsid w:val="00BE3FA3"/>
    <w:rsid w:val="00BE401E"/>
    <w:rsid w:val="00BE415C"/>
    <w:rsid w:val="00BE4170"/>
    <w:rsid w:val="00BE41FB"/>
    <w:rsid w:val="00BE4241"/>
    <w:rsid w:val="00BE4253"/>
    <w:rsid w:val="00BE42D4"/>
    <w:rsid w:val="00BE42DD"/>
    <w:rsid w:val="00BE42E1"/>
    <w:rsid w:val="00BE434A"/>
    <w:rsid w:val="00BE4363"/>
    <w:rsid w:val="00BE4366"/>
    <w:rsid w:val="00BE4383"/>
    <w:rsid w:val="00BE43C6"/>
    <w:rsid w:val="00BE43E1"/>
    <w:rsid w:val="00BE441A"/>
    <w:rsid w:val="00BE449D"/>
    <w:rsid w:val="00BE449F"/>
    <w:rsid w:val="00BE4554"/>
    <w:rsid w:val="00BE45D4"/>
    <w:rsid w:val="00BE4641"/>
    <w:rsid w:val="00BE4643"/>
    <w:rsid w:val="00BE468E"/>
    <w:rsid w:val="00BE4719"/>
    <w:rsid w:val="00BE476D"/>
    <w:rsid w:val="00BE4800"/>
    <w:rsid w:val="00BE481E"/>
    <w:rsid w:val="00BE48BE"/>
    <w:rsid w:val="00BE48D6"/>
    <w:rsid w:val="00BE48E0"/>
    <w:rsid w:val="00BE48F7"/>
    <w:rsid w:val="00BE4957"/>
    <w:rsid w:val="00BE4977"/>
    <w:rsid w:val="00BE497F"/>
    <w:rsid w:val="00BE49F0"/>
    <w:rsid w:val="00BE49F1"/>
    <w:rsid w:val="00BE4A10"/>
    <w:rsid w:val="00BE4A15"/>
    <w:rsid w:val="00BE4A6A"/>
    <w:rsid w:val="00BE4AAA"/>
    <w:rsid w:val="00BE4ACE"/>
    <w:rsid w:val="00BE4AD3"/>
    <w:rsid w:val="00BE4B0C"/>
    <w:rsid w:val="00BE4B63"/>
    <w:rsid w:val="00BE4BC6"/>
    <w:rsid w:val="00BE4BFB"/>
    <w:rsid w:val="00BE4C3B"/>
    <w:rsid w:val="00BE4CE0"/>
    <w:rsid w:val="00BE4D37"/>
    <w:rsid w:val="00BE4D7F"/>
    <w:rsid w:val="00BE4D91"/>
    <w:rsid w:val="00BE4E64"/>
    <w:rsid w:val="00BE4E8B"/>
    <w:rsid w:val="00BE4E8C"/>
    <w:rsid w:val="00BE4EC6"/>
    <w:rsid w:val="00BE4F09"/>
    <w:rsid w:val="00BE4F1A"/>
    <w:rsid w:val="00BE4F96"/>
    <w:rsid w:val="00BE4FDE"/>
    <w:rsid w:val="00BE4FFE"/>
    <w:rsid w:val="00BE5035"/>
    <w:rsid w:val="00BE510D"/>
    <w:rsid w:val="00BE5126"/>
    <w:rsid w:val="00BE51B0"/>
    <w:rsid w:val="00BE52B5"/>
    <w:rsid w:val="00BE52F8"/>
    <w:rsid w:val="00BE532A"/>
    <w:rsid w:val="00BE5377"/>
    <w:rsid w:val="00BE542A"/>
    <w:rsid w:val="00BE5445"/>
    <w:rsid w:val="00BE5450"/>
    <w:rsid w:val="00BE5522"/>
    <w:rsid w:val="00BE5543"/>
    <w:rsid w:val="00BE558B"/>
    <w:rsid w:val="00BE5610"/>
    <w:rsid w:val="00BE5660"/>
    <w:rsid w:val="00BE567A"/>
    <w:rsid w:val="00BE5762"/>
    <w:rsid w:val="00BE57A5"/>
    <w:rsid w:val="00BE581D"/>
    <w:rsid w:val="00BE581E"/>
    <w:rsid w:val="00BE581F"/>
    <w:rsid w:val="00BE5838"/>
    <w:rsid w:val="00BE589B"/>
    <w:rsid w:val="00BE5912"/>
    <w:rsid w:val="00BE591C"/>
    <w:rsid w:val="00BE5936"/>
    <w:rsid w:val="00BE596A"/>
    <w:rsid w:val="00BE597D"/>
    <w:rsid w:val="00BE5989"/>
    <w:rsid w:val="00BE5A35"/>
    <w:rsid w:val="00BE5A3E"/>
    <w:rsid w:val="00BE5A6C"/>
    <w:rsid w:val="00BE5A71"/>
    <w:rsid w:val="00BE5AB6"/>
    <w:rsid w:val="00BE5B09"/>
    <w:rsid w:val="00BE5B96"/>
    <w:rsid w:val="00BE5BDC"/>
    <w:rsid w:val="00BE5BE8"/>
    <w:rsid w:val="00BE5C66"/>
    <w:rsid w:val="00BE5CEA"/>
    <w:rsid w:val="00BE5D42"/>
    <w:rsid w:val="00BE5D7D"/>
    <w:rsid w:val="00BE5D7F"/>
    <w:rsid w:val="00BE5E7E"/>
    <w:rsid w:val="00BE5F73"/>
    <w:rsid w:val="00BE5F97"/>
    <w:rsid w:val="00BE5F9B"/>
    <w:rsid w:val="00BE5FBA"/>
    <w:rsid w:val="00BE5FFE"/>
    <w:rsid w:val="00BE6025"/>
    <w:rsid w:val="00BE6072"/>
    <w:rsid w:val="00BE60E3"/>
    <w:rsid w:val="00BE615A"/>
    <w:rsid w:val="00BE6178"/>
    <w:rsid w:val="00BE62A9"/>
    <w:rsid w:val="00BE62E1"/>
    <w:rsid w:val="00BE6320"/>
    <w:rsid w:val="00BE632F"/>
    <w:rsid w:val="00BE637A"/>
    <w:rsid w:val="00BE6467"/>
    <w:rsid w:val="00BE650E"/>
    <w:rsid w:val="00BE6584"/>
    <w:rsid w:val="00BE6594"/>
    <w:rsid w:val="00BE6616"/>
    <w:rsid w:val="00BE66FF"/>
    <w:rsid w:val="00BE674C"/>
    <w:rsid w:val="00BE6773"/>
    <w:rsid w:val="00BE6809"/>
    <w:rsid w:val="00BE696E"/>
    <w:rsid w:val="00BE6995"/>
    <w:rsid w:val="00BE6A09"/>
    <w:rsid w:val="00BE6A40"/>
    <w:rsid w:val="00BE6A72"/>
    <w:rsid w:val="00BE6A8F"/>
    <w:rsid w:val="00BE6AD5"/>
    <w:rsid w:val="00BE6B48"/>
    <w:rsid w:val="00BE6B76"/>
    <w:rsid w:val="00BE6BAB"/>
    <w:rsid w:val="00BE6BAD"/>
    <w:rsid w:val="00BE6BF3"/>
    <w:rsid w:val="00BE6C64"/>
    <w:rsid w:val="00BE6C9C"/>
    <w:rsid w:val="00BE6CEF"/>
    <w:rsid w:val="00BE6D3B"/>
    <w:rsid w:val="00BE6DB4"/>
    <w:rsid w:val="00BE6DED"/>
    <w:rsid w:val="00BE6E63"/>
    <w:rsid w:val="00BE6E9A"/>
    <w:rsid w:val="00BE6EAB"/>
    <w:rsid w:val="00BE6ED6"/>
    <w:rsid w:val="00BE6EEE"/>
    <w:rsid w:val="00BE6EF0"/>
    <w:rsid w:val="00BE6F3C"/>
    <w:rsid w:val="00BE6F9F"/>
    <w:rsid w:val="00BE7006"/>
    <w:rsid w:val="00BE702B"/>
    <w:rsid w:val="00BE704B"/>
    <w:rsid w:val="00BE70B6"/>
    <w:rsid w:val="00BE711A"/>
    <w:rsid w:val="00BE713F"/>
    <w:rsid w:val="00BE71B5"/>
    <w:rsid w:val="00BE71D6"/>
    <w:rsid w:val="00BE722A"/>
    <w:rsid w:val="00BE7242"/>
    <w:rsid w:val="00BE7250"/>
    <w:rsid w:val="00BE7333"/>
    <w:rsid w:val="00BE7447"/>
    <w:rsid w:val="00BE7454"/>
    <w:rsid w:val="00BE74A4"/>
    <w:rsid w:val="00BE74BD"/>
    <w:rsid w:val="00BE756A"/>
    <w:rsid w:val="00BE75A2"/>
    <w:rsid w:val="00BE75CF"/>
    <w:rsid w:val="00BE7629"/>
    <w:rsid w:val="00BE7663"/>
    <w:rsid w:val="00BE7703"/>
    <w:rsid w:val="00BE774D"/>
    <w:rsid w:val="00BE7832"/>
    <w:rsid w:val="00BE78CF"/>
    <w:rsid w:val="00BE78FA"/>
    <w:rsid w:val="00BE7917"/>
    <w:rsid w:val="00BE79B3"/>
    <w:rsid w:val="00BE79D9"/>
    <w:rsid w:val="00BE79EC"/>
    <w:rsid w:val="00BE7A0E"/>
    <w:rsid w:val="00BE7A4F"/>
    <w:rsid w:val="00BE7ACB"/>
    <w:rsid w:val="00BE7BB3"/>
    <w:rsid w:val="00BE7C2D"/>
    <w:rsid w:val="00BE7C31"/>
    <w:rsid w:val="00BE7CF0"/>
    <w:rsid w:val="00BE7D8E"/>
    <w:rsid w:val="00BE7DAD"/>
    <w:rsid w:val="00BE7E33"/>
    <w:rsid w:val="00BE7E71"/>
    <w:rsid w:val="00BE7EA1"/>
    <w:rsid w:val="00BE7EA5"/>
    <w:rsid w:val="00BE7EC0"/>
    <w:rsid w:val="00BE7F00"/>
    <w:rsid w:val="00BE7F1B"/>
    <w:rsid w:val="00BE7F7E"/>
    <w:rsid w:val="00BE7FA0"/>
    <w:rsid w:val="00BE7FAB"/>
    <w:rsid w:val="00BF007F"/>
    <w:rsid w:val="00BF0098"/>
    <w:rsid w:val="00BF014E"/>
    <w:rsid w:val="00BF022A"/>
    <w:rsid w:val="00BF031E"/>
    <w:rsid w:val="00BF03F5"/>
    <w:rsid w:val="00BF040E"/>
    <w:rsid w:val="00BF0438"/>
    <w:rsid w:val="00BF045B"/>
    <w:rsid w:val="00BF049C"/>
    <w:rsid w:val="00BF050D"/>
    <w:rsid w:val="00BF052D"/>
    <w:rsid w:val="00BF056B"/>
    <w:rsid w:val="00BF0643"/>
    <w:rsid w:val="00BF075A"/>
    <w:rsid w:val="00BF0774"/>
    <w:rsid w:val="00BF07EE"/>
    <w:rsid w:val="00BF07F7"/>
    <w:rsid w:val="00BF07FA"/>
    <w:rsid w:val="00BF08BA"/>
    <w:rsid w:val="00BF08D7"/>
    <w:rsid w:val="00BF08E9"/>
    <w:rsid w:val="00BF0903"/>
    <w:rsid w:val="00BF0951"/>
    <w:rsid w:val="00BF0985"/>
    <w:rsid w:val="00BF09A8"/>
    <w:rsid w:val="00BF09EA"/>
    <w:rsid w:val="00BF0A44"/>
    <w:rsid w:val="00BF0A72"/>
    <w:rsid w:val="00BF0AB9"/>
    <w:rsid w:val="00BF0B27"/>
    <w:rsid w:val="00BF0B81"/>
    <w:rsid w:val="00BF0B8F"/>
    <w:rsid w:val="00BF0C19"/>
    <w:rsid w:val="00BF0C5F"/>
    <w:rsid w:val="00BF0CBE"/>
    <w:rsid w:val="00BF0CE1"/>
    <w:rsid w:val="00BF0DA8"/>
    <w:rsid w:val="00BF0EC8"/>
    <w:rsid w:val="00BF0F10"/>
    <w:rsid w:val="00BF0FDD"/>
    <w:rsid w:val="00BF105C"/>
    <w:rsid w:val="00BF10CC"/>
    <w:rsid w:val="00BF1206"/>
    <w:rsid w:val="00BF127E"/>
    <w:rsid w:val="00BF128A"/>
    <w:rsid w:val="00BF12C7"/>
    <w:rsid w:val="00BF1395"/>
    <w:rsid w:val="00BF13C3"/>
    <w:rsid w:val="00BF141D"/>
    <w:rsid w:val="00BF147E"/>
    <w:rsid w:val="00BF14BE"/>
    <w:rsid w:val="00BF151F"/>
    <w:rsid w:val="00BF154E"/>
    <w:rsid w:val="00BF1553"/>
    <w:rsid w:val="00BF155A"/>
    <w:rsid w:val="00BF1572"/>
    <w:rsid w:val="00BF1622"/>
    <w:rsid w:val="00BF17CE"/>
    <w:rsid w:val="00BF17D4"/>
    <w:rsid w:val="00BF17FA"/>
    <w:rsid w:val="00BF184A"/>
    <w:rsid w:val="00BF189E"/>
    <w:rsid w:val="00BF18A7"/>
    <w:rsid w:val="00BF18B0"/>
    <w:rsid w:val="00BF190A"/>
    <w:rsid w:val="00BF194F"/>
    <w:rsid w:val="00BF19D6"/>
    <w:rsid w:val="00BF19F5"/>
    <w:rsid w:val="00BF1A22"/>
    <w:rsid w:val="00BF1A7F"/>
    <w:rsid w:val="00BF1A9C"/>
    <w:rsid w:val="00BF1AE5"/>
    <w:rsid w:val="00BF1AEC"/>
    <w:rsid w:val="00BF1B42"/>
    <w:rsid w:val="00BF1B5E"/>
    <w:rsid w:val="00BF1C50"/>
    <w:rsid w:val="00BF1DF7"/>
    <w:rsid w:val="00BF1E08"/>
    <w:rsid w:val="00BF1E6F"/>
    <w:rsid w:val="00BF1E82"/>
    <w:rsid w:val="00BF1E9C"/>
    <w:rsid w:val="00BF1F0F"/>
    <w:rsid w:val="00BF1F2C"/>
    <w:rsid w:val="00BF1F59"/>
    <w:rsid w:val="00BF2008"/>
    <w:rsid w:val="00BF2031"/>
    <w:rsid w:val="00BF2036"/>
    <w:rsid w:val="00BF205A"/>
    <w:rsid w:val="00BF20B3"/>
    <w:rsid w:val="00BF20CD"/>
    <w:rsid w:val="00BF20D7"/>
    <w:rsid w:val="00BF2130"/>
    <w:rsid w:val="00BF21F9"/>
    <w:rsid w:val="00BF224C"/>
    <w:rsid w:val="00BF2250"/>
    <w:rsid w:val="00BF22BC"/>
    <w:rsid w:val="00BF2304"/>
    <w:rsid w:val="00BF2369"/>
    <w:rsid w:val="00BF23C2"/>
    <w:rsid w:val="00BF23C3"/>
    <w:rsid w:val="00BF23F3"/>
    <w:rsid w:val="00BF24A2"/>
    <w:rsid w:val="00BF24B4"/>
    <w:rsid w:val="00BF24BA"/>
    <w:rsid w:val="00BF24BF"/>
    <w:rsid w:val="00BF2513"/>
    <w:rsid w:val="00BF254C"/>
    <w:rsid w:val="00BF257F"/>
    <w:rsid w:val="00BF25C0"/>
    <w:rsid w:val="00BF2615"/>
    <w:rsid w:val="00BF26A0"/>
    <w:rsid w:val="00BF2757"/>
    <w:rsid w:val="00BF275D"/>
    <w:rsid w:val="00BF2771"/>
    <w:rsid w:val="00BF291D"/>
    <w:rsid w:val="00BF2931"/>
    <w:rsid w:val="00BF2972"/>
    <w:rsid w:val="00BF2974"/>
    <w:rsid w:val="00BF29F4"/>
    <w:rsid w:val="00BF29FA"/>
    <w:rsid w:val="00BF2A18"/>
    <w:rsid w:val="00BF2A2B"/>
    <w:rsid w:val="00BF2A7D"/>
    <w:rsid w:val="00BF2AA6"/>
    <w:rsid w:val="00BF2B80"/>
    <w:rsid w:val="00BF2B96"/>
    <w:rsid w:val="00BF2BB6"/>
    <w:rsid w:val="00BF2C24"/>
    <w:rsid w:val="00BF2CC0"/>
    <w:rsid w:val="00BF2CF5"/>
    <w:rsid w:val="00BF2D21"/>
    <w:rsid w:val="00BF2D5B"/>
    <w:rsid w:val="00BF2D7A"/>
    <w:rsid w:val="00BF2E9E"/>
    <w:rsid w:val="00BF2EBA"/>
    <w:rsid w:val="00BF2F1A"/>
    <w:rsid w:val="00BF2F21"/>
    <w:rsid w:val="00BF2F27"/>
    <w:rsid w:val="00BF2F49"/>
    <w:rsid w:val="00BF2FA4"/>
    <w:rsid w:val="00BF3055"/>
    <w:rsid w:val="00BF3100"/>
    <w:rsid w:val="00BF319A"/>
    <w:rsid w:val="00BF31F9"/>
    <w:rsid w:val="00BF332E"/>
    <w:rsid w:val="00BF33DF"/>
    <w:rsid w:val="00BF3452"/>
    <w:rsid w:val="00BF34AF"/>
    <w:rsid w:val="00BF34FC"/>
    <w:rsid w:val="00BF35A2"/>
    <w:rsid w:val="00BF36B5"/>
    <w:rsid w:val="00BF36E4"/>
    <w:rsid w:val="00BF3800"/>
    <w:rsid w:val="00BF388D"/>
    <w:rsid w:val="00BF38A6"/>
    <w:rsid w:val="00BF395D"/>
    <w:rsid w:val="00BF3969"/>
    <w:rsid w:val="00BF396E"/>
    <w:rsid w:val="00BF3994"/>
    <w:rsid w:val="00BF39DC"/>
    <w:rsid w:val="00BF3A00"/>
    <w:rsid w:val="00BF3AB4"/>
    <w:rsid w:val="00BF3AC7"/>
    <w:rsid w:val="00BF3C4A"/>
    <w:rsid w:val="00BF3CBB"/>
    <w:rsid w:val="00BF3CC9"/>
    <w:rsid w:val="00BF3CE2"/>
    <w:rsid w:val="00BF3D02"/>
    <w:rsid w:val="00BF3D15"/>
    <w:rsid w:val="00BF3D36"/>
    <w:rsid w:val="00BF3D74"/>
    <w:rsid w:val="00BF3D82"/>
    <w:rsid w:val="00BF3E02"/>
    <w:rsid w:val="00BF3E3A"/>
    <w:rsid w:val="00BF3EAE"/>
    <w:rsid w:val="00BF3F53"/>
    <w:rsid w:val="00BF4012"/>
    <w:rsid w:val="00BF4045"/>
    <w:rsid w:val="00BF40C7"/>
    <w:rsid w:val="00BF412B"/>
    <w:rsid w:val="00BF41E4"/>
    <w:rsid w:val="00BF4267"/>
    <w:rsid w:val="00BF426A"/>
    <w:rsid w:val="00BF428C"/>
    <w:rsid w:val="00BF42BA"/>
    <w:rsid w:val="00BF42C6"/>
    <w:rsid w:val="00BF42D8"/>
    <w:rsid w:val="00BF43E0"/>
    <w:rsid w:val="00BF43F4"/>
    <w:rsid w:val="00BF4455"/>
    <w:rsid w:val="00BF4516"/>
    <w:rsid w:val="00BF4541"/>
    <w:rsid w:val="00BF4542"/>
    <w:rsid w:val="00BF458C"/>
    <w:rsid w:val="00BF459A"/>
    <w:rsid w:val="00BF46C5"/>
    <w:rsid w:val="00BF46F8"/>
    <w:rsid w:val="00BF4712"/>
    <w:rsid w:val="00BF4718"/>
    <w:rsid w:val="00BF4758"/>
    <w:rsid w:val="00BF4766"/>
    <w:rsid w:val="00BF4769"/>
    <w:rsid w:val="00BF4857"/>
    <w:rsid w:val="00BF488B"/>
    <w:rsid w:val="00BF4949"/>
    <w:rsid w:val="00BF49BD"/>
    <w:rsid w:val="00BF49CA"/>
    <w:rsid w:val="00BF49E5"/>
    <w:rsid w:val="00BF4A2F"/>
    <w:rsid w:val="00BF4AD5"/>
    <w:rsid w:val="00BF4ADE"/>
    <w:rsid w:val="00BF4C38"/>
    <w:rsid w:val="00BF4C9D"/>
    <w:rsid w:val="00BF4CAD"/>
    <w:rsid w:val="00BF4D0C"/>
    <w:rsid w:val="00BF4D79"/>
    <w:rsid w:val="00BF4DC6"/>
    <w:rsid w:val="00BF4DE6"/>
    <w:rsid w:val="00BF4E51"/>
    <w:rsid w:val="00BF4EE6"/>
    <w:rsid w:val="00BF4F13"/>
    <w:rsid w:val="00BF4F72"/>
    <w:rsid w:val="00BF50CD"/>
    <w:rsid w:val="00BF50DC"/>
    <w:rsid w:val="00BF511E"/>
    <w:rsid w:val="00BF5156"/>
    <w:rsid w:val="00BF51C3"/>
    <w:rsid w:val="00BF526C"/>
    <w:rsid w:val="00BF5362"/>
    <w:rsid w:val="00BF537A"/>
    <w:rsid w:val="00BF53AE"/>
    <w:rsid w:val="00BF53C7"/>
    <w:rsid w:val="00BF53F6"/>
    <w:rsid w:val="00BF5412"/>
    <w:rsid w:val="00BF5414"/>
    <w:rsid w:val="00BF541E"/>
    <w:rsid w:val="00BF54A5"/>
    <w:rsid w:val="00BF54D0"/>
    <w:rsid w:val="00BF54D6"/>
    <w:rsid w:val="00BF5557"/>
    <w:rsid w:val="00BF55C8"/>
    <w:rsid w:val="00BF560A"/>
    <w:rsid w:val="00BF56B6"/>
    <w:rsid w:val="00BF56C3"/>
    <w:rsid w:val="00BF576E"/>
    <w:rsid w:val="00BF5811"/>
    <w:rsid w:val="00BF582A"/>
    <w:rsid w:val="00BF58CF"/>
    <w:rsid w:val="00BF58FA"/>
    <w:rsid w:val="00BF5A59"/>
    <w:rsid w:val="00BF5A7F"/>
    <w:rsid w:val="00BF5ACD"/>
    <w:rsid w:val="00BF5B39"/>
    <w:rsid w:val="00BF5B84"/>
    <w:rsid w:val="00BF5BA7"/>
    <w:rsid w:val="00BF5BB7"/>
    <w:rsid w:val="00BF5C20"/>
    <w:rsid w:val="00BF5CA4"/>
    <w:rsid w:val="00BF5CFD"/>
    <w:rsid w:val="00BF5D51"/>
    <w:rsid w:val="00BF5D5F"/>
    <w:rsid w:val="00BF5D85"/>
    <w:rsid w:val="00BF5E53"/>
    <w:rsid w:val="00BF5F08"/>
    <w:rsid w:val="00BF5F1D"/>
    <w:rsid w:val="00BF5F50"/>
    <w:rsid w:val="00BF5FD5"/>
    <w:rsid w:val="00BF5FFE"/>
    <w:rsid w:val="00BF6035"/>
    <w:rsid w:val="00BF6047"/>
    <w:rsid w:val="00BF6063"/>
    <w:rsid w:val="00BF60F6"/>
    <w:rsid w:val="00BF6118"/>
    <w:rsid w:val="00BF628B"/>
    <w:rsid w:val="00BF6297"/>
    <w:rsid w:val="00BF62FB"/>
    <w:rsid w:val="00BF6320"/>
    <w:rsid w:val="00BF637E"/>
    <w:rsid w:val="00BF63D2"/>
    <w:rsid w:val="00BF64F4"/>
    <w:rsid w:val="00BF64FA"/>
    <w:rsid w:val="00BF64FC"/>
    <w:rsid w:val="00BF6559"/>
    <w:rsid w:val="00BF656F"/>
    <w:rsid w:val="00BF65E0"/>
    <w:rsid w:val="00BF65FF"/>
    <w:rsid w:val="00BF6638"/>
    <w:rsid w:val="00BF664C"/>
    <w:rsid w:val="00BF66BD"/>
    <w:rsid w:val="00BF674E"/>
    <w:rsid w:val="00BF6751"/>
    <w:rsid w:val="00BF677E"/>
    <w:rsid w:val="00BF6910"/>
    <w:rsid w:val="00BF6969"/>
    <w:rsid w:val="00BF697B"/>
    <w:rsid w:val="00BF697C"/>
    <w:rsid w:val="00BF6981"/>
    <w:rsid w:val="00BF6990"/>
    <w:rsid w:val="00BF699D"/>
    <w:rsid w:val="00BF6A47"/>
    <w:rsid w:val="00BF6A5B"/>
    <w:rsid w:val="00BF6ACA"/>
    <w:rsid w:val="00BF6ACB"/>
    <w:rsid w:val="00BF6B6A"/>
    <w:rsid w:val="00BF6BCC"/>
    <w:rsid w:val="00BF6CFC"/>
    <w:rsid w:val="00BF6D56"/>
    <w:rsid w:val="00BF6D62"/>
    <w:rsid w:val="00BF6DD1"/>
    <w:rsid w:val="00BF6DF0"/>
    <w:rsid w:val="00BF6E66"/>
    <w:rsid w:val="00BF6F1E"/>
    <w:rsid w:val="00BF6F50"/>
    <w:rsid w:val="00BF6F7A"/>
    <w:rsid w:val="00BF709A"/>
    <w:rsid w:val="00BF70D8"/>
    <w:rsid w:val="00BF70FB"/>
    <w:rsid w:val="00BF7126"/>
    <w:rsid w:val="00BF71B7"/>
    <w:rsid w:val="00BF71E4"/>
    <w:rsid w:val="00BF7219"/>
    <w:rsid w:val="00BF7250"/>
    <w:rsid w:val="00BF7277"/>
    <w:rsid w:val="00BF72BC"/>
    <w:rsid w:val="00BF72E3"/>
    <w:rsid w:val="00BF734D"/>
    <w:rsid w:val="00BF73AB"/>
    <w:rsid w:val="00BF740D"/>
    <w:rsid w:val="00BF7481"/>
    <w:rsid w:val="00BF74FE"/>
    <w:rsid w:val="00BF7530"/>
    <w:rsid w:val="00BF762F"/>
    <w:rsid w:val="00BF76BE"/>
    <w:rsid w:val="00BF76CF"/>
    <w:rsid w:val="00BF7739"/>
    <w:rsid w:val="00BF7750"/>
    <w:rsid w:val="00BF778D"/>
    <w:rsid w:val="00BF77BE"/>
    <w:rsid w:val="00BF784B"/>
    <w:rsid w:val="00BF788B"/>
    <w:rsid w:val="00BF78B6"/>
    <w:rsid w:val="00BF78C0"/>
    <w:rsid w:val="00BF78F9"/>
    <w:rsid w:val="00BF790B"/>
    <w:rsid w:val="00BF798D"/>
    <w:rsid w:val="00BF799D"/>
    <w:rsid w:val="00BF79A1"/>
    <w:rsid w:val="00BF79AE"/>
    <w:rsid w:val="00BF79B3"/>
    <w:rsid w:val="00BF7A1F"/>
    <w:rsid w:val="00BF7A7D"/>
    <w:rsid w:val="00BF7A96"/>
    <w:rsid w:val="00BF7A9D"/>
    <w:rsid w:val="00BF7B06"/>
    <w:rsid w:val="00BF7B14"/>
    <w:rsid w:val="00BF7B53"/>
    <w:rsid w:val="00BF7BFD"/>
    <w:rsid w:val="00BF7CC4"/>
    <w:rsid w:val="00BF7CF9"/>
    <w:rsid w:val="00BF7D36"/>
    <w:rsid w:val="00BF7DD0"/>
    <w:rsid w:val="00BF7E31"/>
    <w:rsid w:val="00BF7E81"/>
    <w:rsid w:val="00BF7F9A"/>
    <w:rsid w:val="00BF7FB0"/>
    <w:rsid w:val="00BF7FD2"/>
    <w:rsid w:val="00BF7FEB"/>
    <w:rsid w:val="00BF7FEC"/>
    <w:rsid w:val="00C00021"/>
    <w:rsid w:val="00C00063"/>
    <w:rsid w:val="00C00081"/>
    <w:rsid w:val="00C000B3"/>
    <w:rsid w:val="00C00190"/>
    <w:rsid w:val="00C001A4"/>
    <w:rsid w:val="00C002C4"/>
    <w:rsid w:val="00C002E6"/>
    <w:rsid w:val="00C0032E"/>
    <w:rsid w:val="00C003B8"/>
    <w:rsid w:val="00C003C3"/>
    <w:rsid w:val="00C0045D"/>
    <w:rsid w:val="00C004BB"/>
    <w:rsid w:val="00C0069B"/>
    <w:rsid w:val="00C00713"/>
    <w:rsid w:val="00C0071A"/>
    <w:rsid w:val="00C0072A"/>
    <w:rsid w:val="00C00792"/>
    <w:rsid w:val="00C007AB"/>
    <w:rsid w:val="00C007B4"/>
    <w:rsid w:val="00C007BD"/>
    <w:rsid w:val="00C007D6"/>
    <w:rsid w:val="00C007E3"/>
    <w:rsid w:val="00C00861"/>
    <w:rsid w:val="00C00937"/>
    <w:rsid w:val="00C00A3C"/>
    <w:rsid w:val="00C00AD2"/>
    <w:rsid w:val="00C00B02"/>
    <w:rsid w:val="00C00B90"/>
    <w:rsid w:val="00C00BCA"/>
    <w:rsid w:val="00C00D28"/>
    <w:rsid w:val="00C00E0A"/>
    <w:rsid w:val="00C00ED7"/>
    <w:rsid w:val="00C00F0D"/>
    <w:rsid w:val="00C00F5A"/>
    <w:rsid w:val="00C00F79"/>
    <w:rsid w:val="00C00FBC"/>
    <w:rsid w:val="00C00FC6"/>
    <w:rsid w:val="00C0100C"/>
    <w:rsid w:val="00C01029"/>
    <w:rsid w:val="00C0111A"/>
    <w:rsid w:val="00C0112C"/>
    <w:rsid w:val="00C01247"/>
    <w:rsid w:val="00C012EB"/>
    <w:rsid w:val="00C012FF"/>
    <w:rsid w:val="00C013FE"/>
    <w:rsid w:val="00C01406"/>
    <w:rsid w:val="00C0140F"/>
    <w:rsid w:val="00C0141B"/>
    <w:rsid w:val="00C01491"/>
    <w:rsid w:val="00C0149F"/>
    <w:rsid w:val="00C014BE"/>
    <w:rsid w:val="00C01502"/>
    <w:rsid w:val="00C0152B"/>
    <w:rsid w:val="00C01557"/>
    <w:rsid w:val="00C01591"/>
    <w:rsid w:val="00C015E4"/>
    <w:rsid w:val="00C0164A"/>
    <w:rsid w:val="00C01792"/>
    <w:rsid w:val="00C01796"/>
    <w:rsid w:val="00C01815"/>
    <w:rsid w:val="00C01884"/>
    <w:rsid w:val="00C0193B"/>
    <w:rsid w:val="00C01A0A"/>
    <w:rsid w:val="00C01A76"/>
    <w:rsid w:val="00C01AD1"/>
    <w:rsid w:val="00C01B25"/>
    <w:rsid w:val="00C01B95"/>
    <w:rsid w:val="00C01C22"/>
    <w:rsid w:val="00C01D70"/>
    <w:rsid w:val="00C01DA0"/>
    <w:rsid w:val="00C01DD0"/>
    <w:rsid w:val="00C01E11"/>
    <w:rsid w:val="00C01E19"/>
    <w:rsid w:val="00C01E29"/>
    <w:rsid w:val="00C01E49"/>
    <w:rsid w:val="00C01F14"/>
    <w:rsid w:val="00C01F6C"/>
    <w:rsid w:val="00C01FBE"/>
    <w:rsid w:val="00C02095"/>
    <w:rsid w:val="00C020A2"/>
    <w:rsid w:val="00C020C7"/>
    <w:rsid w:val="00C0213B"/>
    <w:rsid w:val="00C02192"/>
    <w:rsid w:val="00C02212"/>
    <w:rsid w:val="00C02238"/>
    <w:rsid w:val="00C02252"/>
    <w:rsid w:val="00C0225A"/>
    <w:rsid w:val="00C022B4"/>
    <w:rsid w:val="00C022CA"/>
    <w:rsid w:val="00C022E1"/>
    <w:rsid w:val="00C0230C"/>
    <w:rsid w:val="00C023A1"/>
    <w:rsid w:val="00C023A6"/>
    <w:rsid w:val="00C02439"/>
    <w:rsid w:val="00C02507"/>
    <w:rsid w:val="00C02513"/>
    <w:rsid w:val="00C025B1"/>
    <w:rsid w:val="00C026CD"/>
    <w:rsid w:val="00C0276C"/>
    <w:rsid w:val="00C027A2"/>
    <w:rsid w:val="00C02829"/>
    <w:rsid w:val="00C028C9"/>
    <w:rsid w:val="00C029B2"/>
    <w:rsid w:val="00C029BF"/>
    <w:rsid w:val="00C029C3"/>
    <w:rsid w:val="00C029F0"/>
    <w:rsid w:val="00C02A63"/>
    <w:rsid w:val="00C02ADF"/>
    <w:rsid w:val="00C02BFB"/>
    <w:rsid w:val="00C02C20"/>
    <w:rsid w:val="00C02CA6"/>
    <w:rsid w:val="00C02D0D"/>
    <w:rsid w:val="00C02D21"/>
    <w:rsid w:val="00C02D6D"/>
    <w:rsid w:val="00C02D75"/>
    <w:rsid w:val="00C02DA7"/>
    <w:rsid w:val="00C02DAE"/>
    <w:rsid w:val="00C02DE0"/>
    <w:rsid w:val="00C02DFE"/>
    <w:rsid w:val="00C02E2C"/>
    <w:rsid w:val="00C02E53"/>
    <w:rsid w:val="00C02E7B"/>
    <w:rsid w:val="00C02E9C"/>
    <w:rsid w:val="00C02EC7"/>
    <w:rsid w:val="00C02FC5"/>
    <w:rsid w:val="00C030AC"/>
    <w:rsid w:val="00C030D3"/>
    <w:rsid w:val="00C030D5"/>
    <w:rsid w:val="00C03134"/>
    <w:rsid w:val="00C0318E"/>
    <w:rsid w:val="00C031C7"/>
    <w:rsid w:val="00C031CC"/>
    <w:rsid w:val="00C031D1"/>
    <w:rsid w:val="00C031D7"/>
    <w:rsid w:val="00C0323B"/>
    <w:rsid w:val="00C032AB"/>
    <w:rsid w:val="00C032B7"/>
    <w:rsid w:val="00C032C7"/>
    <w:rsid w:val="00C032C8"/>
    <w:rsid w:val="00C03322"/>
    <w:rsid w:val="00C033AF"/>
    <w:rsid w:val="00C03441"/>
    <w:rsid w:val="00C03489"/>
    <w:rsid w:val="00C0349D"/>
    <w:rsid w:val="00C034DB"/>
    <w:rsid w:val="00C03619"/>
    <w:rsid w:val="00C03626"/>
    <w:rsid w:val="00C0363C"/>
    <w:rsid w:val="00C0363E"/>
    <w:rsid w:val="00C0364C"/>
    <w:rsid w:val="00C03658"/>
    <w:rsid w:val="00C03685"/>
    <w:rsid w:val="00C036EE"/>
    <w:rsid w:val="00C037DB"/>
    <w:rsid w:val="00C03812"/>
    <w:rsid w:val="00C038A3"/>
    <w:rsid w:val="00C038E2"/>
    <w:rsid w:val="00C038FC"/>
    <w:rsid w:val="00C038FE"/>
    <w:rsid w:val="00C03937"/>
    <w:rsid w:val="00C03945"/>
    <w:rsid w:val="00C039C0"/>
    <w:rsid w:val="00C03A27"/>
    <w:rsid w:val="00C03A33"/>
    <w:rsid w:val="00C03A96"/>
    <w:rsid w:val="00C03A9A"/>
    <w:rsid w:val="00C03ABB"/>
    <w:rsid w:val="00C03AD0"/>
    <w:rsid w:val="00C03B44"/>
    <w:rsid w:val="00C03B59"/>
    <w:rsid w:val="00C03BB8"/>
    <w:rsid w:val="00C03C0A"/>
    <w:rsid w:val="00C03C15"/>
    <w:rsid w:val="00C03C55"/>
    <w:rsid w:val="00C03C86"/>
    <w:rsid w:val="00C03D2F"/>
    <w:rsid w:val="00C03DAA"/>
    <w:rsid w:val="00C03E4B"/>
    <w:rsid w:val="00C03E53"/>
    <w:rsid w:val="00C03EC0"/>
    <w:rsid w:val="00C03F0F"/>
    <w:rsid w:val="00C04019"/>
    <w:rsid w:val="00C04022"/>
    <w:rsid w:val="00C04040"/>
    <w:rsid w:val="00C040D7"/>
    <w:rsid w:val="00C04185"/>
    <w:rsid w:val="00C04215"/>
    <w:rsid w:val="00C0422C"/>
    <w:rsid w:val="00C0427B"/>
    <w:rsid w:val="00C0427C"/>
    <w:rsid w:val="00C04298"/>
    <w:rsid w:val="00C042AC"/>
    <w:rsid w:val="00C042BC"/>
    <w:rsid w:val="00C042C5"/>
    <w:rsid w:val="00C04339"/>
    <w:rsid w:val="00C04377"/>
    <w:rsid w:val="00C044EA"/>
    <w:rsid w:val="00C0461F"/>
    <w:rsid w:val="00C04636"/>
    <w:rsid w:val="00C04637"/>
    <w:rsid w:val="00C04692"/>
    <w:rsid w:val="00C04758"/>
    <w:rsid w:val="00C047F3"/>
    <w:rsid w:val="00C048A6"/>
    <w:rsid w:val="00C048DA"/>
    <w:rsid w:val="00C048ED"/>
    <w:rsid w:val="00C0492A"/>
    <w:rsid w:val="00C0493B"/>
    <w:rsid w:val="00C0497B"/>
    <w:rsid w:val="00C04982"/>
    <w:rsid w:val="00C049A3"/>
    <w:rsid w:val="00C04AAE"/>
    <w:rsid w:val="00C04AB7"/>
    <w:rsid w:val="00C04AD0"/>
    <w:rsid w:val="00C04AD9"/>
    <w:rsid w:val="00C04B35"/>
    <w:rsid w:val="00C04BD4"/>
    <w:rsid w:val="00C04C73"/>
    <w:rsid w:val="00C04CD4"/>
    <w:rsid w:val="00C04D89"/>
    <w:rsid w:val="00C04DD2"/>
    <w:rsid w:val="00C04E0E"/>
    <w:rsid w:val="00C04E2B"/>
    <w:rsid w:val="00C04E30"/>
    <w:rsid w:val="00C04E3B"/>
    <w:rsid w:val="00C04EAD"/>
    <w:rsid w:val="00C04EF5"/>
    <w:rsid w:val="00C04F2D"/>
    <w:rsid w:val="00C04F59"/>
    <w:rsid w:val="00C04FEB"/>
    <w:rsid w:val="00C05053"/>
    <w:rsid w:val="00C05114"/>
    <w:rsid w:val="00C05115"/>
    <w:rsid w:val="00C05117"/>
    <w:rsid w:val="00C05153"/>
    <w:rsid w:val="00C052ED"/>
    <w:rsid w:val="00C053A1"/>
    <w:rsid w:val="00C053B4"/>
    <w:rsid w:val="00C053BD"/>
    <w:rsid w:val="00C05442"/>
    <w:rsid w:val="00C0545D"/>
    <w:rsid w:val="00C054BB"/>
    <w:rsid w:val="00C05504"/>
    <w:rsid w:val="00C05516"/>
    <w:rsid w:val="00C05557"/>
    <w:rsid w:val="00C0556B"/>
    <w:rsid w:val="00C055C5"/>
    <w:rsid w:val="00C055D5"/>
    <w:rsid w:val="00C055EF"/>
    <w:rsid w:val="00C0560B"/>
    <w:rsid w:val="00C05642"/>
    <w:rsid w:val="00C056B7"/>
    <w:rsid w:val="00C0572A"/>
    <w:rsid w:val="00C0574C"/>
    <w:rsid w:val="00C05784"/>
    <w:rsid w:val="00C057A3"/>
    <w:rsid w:val="00C057AE"/>
    <w:rsid w:val="00C057F9"/>
    <w:rsid w:val="00C0588C"/>
    <w:rsid w:val="00C05899"/>
    <w:rsid w:val="00C0590E"/>
    <w:rsid w:val="00C05916"/>
    <w:rsid w:val="00C059DC"/>
    <w:rsid w:val="00C05A88"/>
    <w:rsid w:val="00C05A89"/>
    <w:rsid w:val="00C05ACC"/>
    <w:rsid w:val="00C05AE8"/>
    <w:rsid w:val="00C05B8B"/>
    <w:rsid w:val="00C05BDA"/>
    <w:rsid w:val="00C05C15"/>
    <w:rsid w:val="00C05C21"/>
    <w:rsid w:val="00C05C88"/>
    <w:rsid w:val="00C05C99"/>
    <w:rsid w:val="00C05CC6"/>
    <w:rsid w:val="00C05D9C"/>
    <w:rsid w:val="00C05E46"/>
    <w:rsid w:val="00C05E5C"/>
    <w:rsid w:val="00C05E5F"/>
    <w:rsid w:val="00C05E97"/>
    <w:rsid w:val="00C05EDC"/>
    <w:rsid w:val="00C05F2D"/>
    <w:rsid w:val="00C05FCB"/>
    <w:rsid w:val="00C06042"/>
    <w:rsid w:val="00C06048"/>
    <w:rsid w:val="00C06129"/>
    <w:rsid w:val="00C06262"/>
    <w:rsid w:val="00C06301"/>
    <w:rsid w:val="00C06309"/>
    <w:rsid w:val="00C06350"/>
    <w:rsid w:val="00C06432"/>
    <w:rsid w:val="00C06462"/>
    <w:rsid w:val="00C064D6"/>
    <w:rsid w:val="00C064DE"/>
    <w:rsid w:val="00C06578"/>
    <w:rsid w:val="00C06594"/>
    <w:rsid w:val="00C06623"/>
    <w:rsid w:val="00C067FE"/>
    <w:rsid w:val="00C06827"/>
    <w:rsid w:val="00C06837"/>
    <w:rsid w:val="00C06867"/>
    <w:rsid w:val="00C0688C"/>
    <w:rsid w:val="00C06897"/>
    <w:rsid w:val="00C068A6"/>
    <w:rsid w:val="00C068B9"/>
    <w:rsid w:val="00C068BD"/>
    <w:rsid w:val="00C068E6"/>
    <w:rsid w:val="00C06900"/>
    <w:rsid w:val="00C06909"/>
    <w:rsid w:val="00C06989"/>
    <w:rsid w:val="00C0698B"/>
    <w:rsid w:val="00C069F7"/>
    <w:rsid w:val="00C06A43"/>
    <w:rsid w:val="00C06A74"/>
    <w:rsid w:val="00C06AB7"/>
    <w:rsid w:val="00C06ABA"/>
    <w:rsid w:val="00C06ADB"/>
    <w:rsid w:val="00C06BC2"/>
    <w:rsid w:val="00C06BDE"/>
    <w:rsid w:val="00C06CA0"/>
    <w:rsid w:val="00C06CEC"/>
    <w:rsid w:val="00C06D19"/>
    <w:rsid w:val="00C06DAA"/>
    <w:rsid w:val="00C06E6F"/>
    <w:rsid w:val="00C06EA3"/>
    <w:rsid w:val="00C06EAB"/>
    <w:rsid w:val="00C06F42"/>
    <w:rsid w:val="00C06FAA"/>
    <w:rsid w:val="00C06FCD"/>
    <w:rsid w:val="00C070F8"/>
    <w:rsid w:val="00C07114"/>
    <w:rsid w:val="00C07188"/>
    <w:rsid w:val="00C071BD"/>
    <w:rsid w:val="00C07237"/>
    <w:rsid w:val="00C07249"/>
    <w:rsid w:val="00C07252"/>
    <w:rsid w:val="00C07267"/>
    <w:rsid w:val="00C072D5"/>
    <w:rsid w:val="00C073F9"/>
    <w:rsid w:val="00C0742D"/>
    <w:rsid w:val="00C07433"/>
    <w:rsid w:val="00C07441"/>
    <w:rsid w:val="00C07467"/>
    <w:rsid w:val="00C074C5"/>
    <w:rsid w:val="00C075D6"/>
    <w:rsid w:val="00C0765B"/>
    <w:rsid w:val="00C07721"/>
    <w:rsid w:val="00C07724"/>
    <w:rsid w:val="00C0772B"/>
    <w:rsid w:val="00C0776A"/>
    <w:rsid w:val="00C0777A"/>
    <w:rsid w:val="00C077EF"/>
    <w:rsid w:val="00C0781D"/>
    <w:rsid w:val="00C078A1"/>
    <w:rsid w:val="00C07913"/>
    <w:rsid w:val="00C07997"/>
    <w:rsid w:val="00C07A02"/>
    <w:rsid w:val="00C07BAD"/>
    <w:rsid w:val="00C07BCE"/>
    <w:rsid w:val="00C07C8F"/>
    <w:rsid w:val="00C07CC0"/>
    <w:rsid w:val="00C07E0F"/>
    <w:rsid w:val="00C07E73"/>
    <w:rsid w:val="00C07E81"/>
    <w:rsid w:val="00C07F27"/>
    <w:rsid w:val="00C07F31"/>
    <w:rsid w:val="00C07F7A"/>
    <w:rsid w:val="00C10016"/>
    <w:rsid w:val="00C10047"/>
    <w:rsid w:val="00C1006A"/>
    <w:rsid w:val="00C100B0"/>
    <w:rsid w:val="00C100F6"/>
    <w:rsid w:val="00C1018D"/>
    <w:rsid w:val="00C101B4"/>
    <w:rsid w:val="00C1021B"/>
    <w:rsid w:val="00C10267"/>
    <w:rsid w:val="00C10299"/>
    <w:rsid w:val="00C102BB"/>
    <w:rsid w:val="00C1032F"/>
    <w:rsid w:val="00C103AB"/>
    <w:rsid w:val="00C103F5"/>
    <w:rsid w:val="00C1041F"/>
    <w:rsid w:val="00C10442"/>
    <w:rsid w:val="00C104B3"/>
    <w:rsid w:val="00C104C0"/>
    <w:rsid w:val="00C10525"/>
    <w:rsid w:val="00C10585"/>
    <w:rsid w:val="00C10587"/>
    <w:rsid w:val="00C105C5"/>
    <w:rsid w:val="00C10655"/>
    <w:rsid w:val="00C1067F"/>
    <w:rsid w:val="00C10698"/>
    <w:rsid w:val="00C106CF"/>
    <w:rsid w:val="00C106FC"/>
    <w:rsid w:val="00C10742"/>
    <w:rsid w:val="00C1077D"/>
    <w:rsid w:val="00C1078C"/>
    <w:rsid w:val="00C107A1"/>
    <w:rsid w:val="00C107FB"/>
    <w:rsid w:val="00C10860"/>
    <w:rsid w:val="00C10879"/>
    <w:rsid w:val="00C1089A"/>
    <w:rsid w:val="00C108B3"/>
    <w:rsid w:val="00C10964"/>
    <w:rsid w:val="00C1098E"/>
    <w:rsid w:val="00C10A83"/>
    <w:rsid w:val="00C10AEF"/>
    <w:rsid w:val="00C10B3B"/>
    <w:rsid w:val="00C10B62"/>
    <w:rsid w:val="00C10BC8"/>
    <w:rsid w:val="00C10C3C"/>
    <w:rsid w:val="00C10C79"/>
    <w:rsid w:val="00C10D15"/>
    <w:rsid w:val="00C10DF3"/>
    <w:rsid w:val="00C10E99"/>
    <w:rsid w:val="00C10EA1"/>
    <w:rsid w:val="00C10EA4"/>
    <w:rsid w:val="00C10ED3"/>
    <w:rsid w:val="00C10F6A"/>
    <w:rsid w:val="00C10FA8"/>
    <w:rsid w:val="00C11037"/>
    <w:rsid w:val="00C110AD"/>
    <w:rsid w:val="00C1115F"/>
    <w:rsid w:val="00C11185"/>
    <w:rsid w:val="00C111B1"/>
    <w:rsid w:val="00C11200"/>
    <w:rsid w:val="00C1120F"/>
    <w:rsid w:val="00C11271"/>
    <w:rsid w:val="00C112EF"/>
    <w:rsid w:val="00C1131F"/>
    <w:rsid w:val="00C1138A"/>
    <w:rsid w:val="00C113A4"/>
    <w:rsid w:val="00C113FE"/>
    <w:rsid w:val="00C114E4"/>
    <w:rsid w:val="00C11516"/>
    <w:rsid w:val="00C1151E"/>
    <w:rsid w:val="00C115B1"/>
    <w:rsid w:val="00C11619"/>
    <w:rsid w:val="00C1169D"/>
    <w:rsid w:val="00C116A0"/>
    <w:rsid w:val="00C116DD"/>
    <w:rsid w:val="00C11701"/>
    <w:rsid w:val="00C11727"/>
    <w:rsid w:val="00C1175D"/>
    <w:rsid w:val="00C11765"/>
    <w:rsid w:val="00C1176A"/>
    <w:rsid w:val="00C11781"/>
    <w:rsid w:val="00C11836"/>
    <w:rsid w:val="00C11840"/>
    <w:rsid w:val="00C11867"/>
    <w:rsid w:val="00C118CE"/>
    <w:rsid w:val="00C11929"/>
    <w:rsid w:val="00C1194C"/>
    <w:rsid w:val="00C119B0"/>
    <w:rsid w:val="00C11A0C"/>
    <w:rsid w:val="00C11A66"/>
    <w:rsid w:val="00C11A81"/>
    <w:rsid w:val="00C11ADE"/>
    <w:rsid w:val="00C11AF7"/>
    <w:rsid w:val="00C11AF8"/>
    <w:rsid w:val="00C11B68"/>
    <w:rsid w:val="00C11BD7"/>
    <w:rsid w:val="00C11CC6"/>
    <w:rsid w:val="00C11DA2"/>
    <w:rsid w:val="00C11EBB"/>
    <w:rsid w:val="00C11F32"/>
    <w:rsid w:val="00C11F60"/>
    <w:rsid w:val="00C11F6C"/>
    <w:rsid w:val="00C11F92"/>
    <w:rsid w:val="00C11FAD"/>
    <w:rsid w:val="00C11FC8"/>
    <w:rsid w:val="00C11FD7"/>
    <w:rsid w:val="00C12022"/>
    <w:rsid w:val="00C12080"/>
    <w:rsid w:val="00C120C2"/>
    <w:rsid w:val="00C120C6"/>
    <w:rsid w:val="00C120D4"/>
    <w:rsid w:val="00C121C0"/>
    <w:rsid w:val="00C121E0"/>
    <w:rsid w:val="00C12208"/>
    <w:rsid w:val="00C12222"/>
    <w:rsid w:val="00C12245"/>
    <w:rsid w:val="00C12261"/>
    <w:rsid w:val="00C1227A"/>
    <w:rsid w:val="00C122A9"/>
    <w:rsid w:val="00C122B2"/>
    <w:rsid w:val="00C122CA"/>
    <w:rsid w:val="00C122F0"/>
    <w:rsid w:val="00C1230A"/>
    <w:rsid w:val="00C12374"/>
    <w:rsid w:val="00C12448"/>
    <w:rsid w:val="00C124CF"/>
    <w:rsid w:val="00C1256C"/>
    <w:rsid w:val="00C1259A"/>
    <w:rsid w:val="00C125C3"/>
    <w:rsid w:val="00C1260F"/>
    <w:rsid w:val="00C1274B"/>
    <w:rsid w:val="00C1275A"/>
    <w:rsid w:val="00C1276C"/>
    <w:rsid w:val="00C127AA"/>
    <w:rsid w:val="00C127B7"/>
    <w:rsid w:val="00C127DC"/>
    <w:rsid w:val="00C127F3"/>
    <w:rsid w:val="00C1284F"/>
    <w:rsid w:val="00C12863"/>
    <w:rsid w:val="00C1296C"/>
    <w:rsid w:val="00C12979"/>
    <w:rsid w:val="00C129BE"/>
    <w:rsid w:val="00C129DB"/>
    <w:rsid w:val="00C129F4"/>
    <w:rsid w:val="00C129F8"/>
    <w:rsid w:val="00C12A5F"/>
    <w:rsid w:val="00C12AB7"/>
    <w:rsid w:val="00C12C5C"/>
    <w:rsid w:val="00C12C5D"/>
    <w:rsid w:val="00C12C87"/>
    <w:rsid w:val="00C12C96"/>
    <w:rsid w:val="00C12CCE"/>
    <w:rsid w:val="00C12CD9"/>
    <w:rsid w:val="00C12D04"/>
    <w:rsid w:val="00C12DC9"/>
    <w:rsid w:val="00C12DF5"/>
    <w:rsid w:val="00C12E0A"/>
    <w:rsid w:val="00C12E89"/>
    <w:rsid w:val="00C12EC4"/>
    <w:rsid w:val="00C12ED2"/>
    <w:rsid w:val="00C12F20"/>
    <w:rsid w:val="00C12F64"/>
    <w:rsid w:val="00C12FAE"/>
    <w:rsid w:val="00C12FBF"/>
    <w:rsid w:val="00C1304A"/>
    <w:rsid w:val="00C13058"/>
    <w:rsid w:val="00C1305B"/>
    <w:rsid w:val="00C13065"/>
    <w:rsid w:val="00C131CD"/>
    <w:rsid w:val="00C131E7"/>
    <w:rsid w:val="00C1320F"/>
    <w:rsid w:val="00C1324A"/>
    <w:rsid w:val="00C13288"/>
    <w:rsid w:val="00C132B4"/>
    <w:rsid w:val="00C132CE"/>
    <w:rsid w:val="00C13305"/>
    <w:rsid w:val="00C13374"/>
    <w:rsid w:val="00C13391"/>
    <w:rsid w:val="00C133C7"/>
    <w:rsid w:val="00C1343F"/>
    <w:rsid w:val="00C134CA"/>
    <w:rsid w:val="00C13500"/>
    <w:rsid w:val="00C1350B"/>
    <w:rsid w:val="00C13510"/>
    <w:rsid w:val="00C1352E"/>
    <w:rsid w:val="00C13534"/>
    <w:rsid w:val="00C135DD"/>
    <w:rsid w:val="00C13614"/>
    <w:rsid w:val="00C13695"/>
    <w:rsid w:val="00C136C0"/>
    <w:rsid w:val="00C136F3"/>
    <w:rsid w:val="00C1370D"/>
    <w:rsid w:val="00C1374A"/>
    <w:rsid w:val="00C13865"/>
    <w:rsid w:val="00C13897"/>
    <w:rsid w:val="00C13905"/>
    <w:rsid w:val="00C1397F"/>
    <w:rsid w:val="00C13985"/>
    <w:rsid w:val="00C13993"/>
    <w:rsid w:val="00C139F7"/>
    <w:rsid w:val="00C13A2E"/>
    <w:rsid w:val="00C13AA8"/>
    <w:rsid w:val="00C13AED"/>
    <w:rsid w:val="00C13B33"/>
    <w:rsid w:val="00C13C66"/>
    <w:rsid w:val="00C13CA4"/>
    <w:rsid w:val="00C13CCD"/>
    <w:rsid w:val="00C13D1E"/>
    <w:rsid w:val="00C13D82"/>
    <w:rsid w:val="00C13DE0"/>
    <w:rsid w:val="00C13E99"/>
    <w:rsid w:val="00C13E9F"/>
    <w:rsid w:val="00C13EA3"/>
    <w:rsid w:val="00C13EB5"/>
    <w:rsid w:val="00C13F89"/>
    <w:rsid w:val="00C13FB5"/>
    <w:rsid w:val="00C13FB7"/>
    <w:rsid w:val="00C1405C"/>
    <w:rsid w:val="00C140E0"/>
    <w:rsid w:val="00C1418B"/>
    <w:rsid w:val="00C141E9"/>
    <w:rsid w:val="00C14212"/>
    <w:rsid w:val="00C1421E"/>
    <w:rsid w:val="00C1428F"/>
    <w:rsid w:val="00C14315"/>
    <w:rsid w:val="00C14360"/>
    <w:rsid w:val="00C1438B"/>
    <w:rsid w:val="00C14401"/>
    <w:rsid w:val="00C1440C"/>
    <w:rsid w:val="00C144E2"/>
    <w:rsid w:val="00C14508"/>
    <w:rsid w:val="00C14527"/>
    <w:rsid w:val="00C14535"/>
    <w:rsid w:val="00C1457F"/>
    <w:rsid w:val="00C145C2"/>
    <w:rsid w:val="00C145DE"/>
    <w:rsid w:val="00C145FE"/>
    <w:rsid w:val="00C14616"/>
    <w:rsid w:val="00C14685"/>
    <w:rsid w:val="00C146B2"/>
    <w:rsid w:val="00C1475D"/>
    <w:rsid w:val="00C14801"/>
    <w:rsid w:val="00C148DD"/>
    <w:rsid w:val="00C148F2"/>
    <w:rsid w:val="00C149CD"/>
    <w:rsid w:val="00C14A64"/>
    <w:rsid w:val="00C14AB3"/>
    <w:rsid w:val="00C14B63"/>
    <w:rsid w:val="00C14B9D"/>
    <w:rsid w:val="00C14BA7"/>
    <w:rsid w:val="00C14BCD"/>
    <w:rsid w:val="00C14C69"/>
    <w:rsid w:val="00C14CC4"/>
    <w:rsid w:val="00C14CD1"/>
    <w:rsid w:val="00C14E12"/>
    <w:rsid w:val="00C14E1F"/>
    <w:rsid w:val="00C14E89"/>
    <w:rsid w:val="00C14E8E"/>
    <w:rsid w:val="00C14E9E"/>
    <w:rsid w:val="00C14EA2"/>
    <w:rsid w:val="00C14EB3"/>
    <w:rsid w:val="00C14ECC"/>
    <w:rsid w:val="00C14F1D"/>
    <w:rsid w:val="00C14F52"/>
    <w:rsid w:val="00C14F78"/>
    <w:rsid w:val="00C15042"/>
    <w:rsid w:val="00C15043"/>
    <w:rsid w:val="00C150C8"/>
    <w:rsid w:val="00C150CB"/>
    <w:rsid w:val="00C150CF"/>
    <w:rsid w:val="00C150E0"/>
    <w:rsid w:val="00C1517B"/>
    <w:rsid w:val="00C151A6"/>
    <w:rsid w:val="00C151D0"/>
    <w:rsid w:val="00C15238"/>
    <w:rsid w:val="00C15286"/>
    <w:rsid w:val="00C15298"/>
    <w:rsid w:val="00C15318"/>
    <w:rsid w:val="00C1537C"/>
    <w:rsid w:val="00C153D7"/>
    <w:rsid w:val="00C15417"/>
    <w:rsid w:val="00C1544A"/>
    <w:rsid w:val="00C1550D"/>
    <w:rsid w:val="00C155A3"/>
    <w:rsid w:val="00C155F4"/>
    <w:rsid w:val="00C15639"/>
    <w:rsid w:val="00C1565E"/>
    <w:rsid w:val="00C156D6"/>
    <w:rsid w:val="00C156FA"/>
    <w:rsid w:val="00C15772"/>
    <w:rsid w:val="00C15817"/>
    <w:rsid w:val="00C158BE"/>
    <w:rsid w:val="00C158FE"/>
    <w:rsid w:val="00C159AB"/>
    <w:rsid w:val="00C159D3"/>
    <w:rsid w:val="00C15A2C"/>
    <w:rsid w:val="00C15A34"/>
    <w:rsid w:val="00C15AC6"/>
    <w:rsid w:val="00C15AD1"/>
    <w:rsid w:val="00C15AD7"/>
    <w:rsid w:val="00C15B3C"/>
    <w:rsid w:val="00C15BB9"/>
    <w:rsid w:val="00C15BD6"/>
    <w:rsid w:val="00C15C28"/>
    <w:rsid w:val="00C15C4C"/>
    <w:rsid w:val="00C15C67"/>
    <w:rsid w:val="00C15C72"/>
    <w:rsid w:val="00C15CE1"/>
    <w:rsid w:val="00C15DA8"/>
    <w:rsid w:val="00C15DC1"/>
    <w:rsid w:val="00C15E75"/>
    <w:rsid w:val="00C15EEE"/>
    <w:rsid w:val="00C15F71"/>
    <w:rsid w:val="00C15F92"/>
    <w:rsid w:val="00C15FA5"/>
    <w:rsid w:val="00C16029"/>
    <w:rsid w:val="00C16032"/>
    <w:rsid w:val="00C16033"/>
    <w:rsid w:val="00C1605B"/>
    <w:rsid w:val="00C16061"/>
    <w:rsid w:val="00C16063"/>
    <w:rsid w:val="00C160C4"/>
    <w:rsid w:val="00C160D4"/>
    <w:rsid w:val="00C160EB"/>
    <w:rsid w:val="00C161B5"/>
    <w:rsid w:val="00C1624C"/>
    <w:rsid w:val="00C162EA"/>
    <w:rsid w:val="00C16330"/>
    <w:rsid w:val="00C16393"/>
    <w:rsid w:val="00C163DD"/>
    <w:rsid w:val="00C16413"/>
    <w:rsid w:val="00C16418"/>
    <w:rsid w:val="00C16469"/>
    <w:rsid w:val="00C164C0"/>
    <w:rsid w:val="00C164DC"/>
    <w:rsid w:val="00C1650D"/>
    <w:rsid w:val="00C1650E"/>
    <w:rsid w:val="00C16538"/>
    <w:rsid w:val="00C166A5"/>
    <w:rsid w:val="00C166E4"/>
    <w:rsid w:val="00C1672D"/>
    <w:rsid w:val="00C167B6"/>
    <w:rsid w:val="00C16881"/>
    <w:rsid w:val="00C168B7"/>
    <w:rsid w:val="00C168D6"/>
    <w:rsid w:val="00C169B2"/>
    <w:rsid w:val="00C16A27"/>
    <w:rsid w:val="00C16A2A"/>
    <w:rsid w:val="00C16AF8"/>
    <w:rsid w:val="00C16B0C"/>
    <w:rsid w:val="00C16B21"/>
    <w:rsid w:val="00C16B91"/>
    <w:rsid w:val="00C16BA3"/>
    <w:rsid w:val="00C16C85"/>
    <w:rsid w:val="00C16C91"/>
    <w:rsid w:val="00C16C96"/>
    <w:rsid w:val="00C16CB3"/>
    <w:rsid w:val="00C16D1A"/>
    <w:rsid w:val="00C16D46"/>
    <w:rsid w:val="00C16D88"/>
    <w:rsid w:val="00C16EA9"/>
    <w:rsid w:val="00C16EB4"/>
    <w:rsid w:val="00C16ED2"/>
    <w:rsid w:val="00C16F42"/>
    <w:rsid w:val="00C16F4E"/>
    <w:rsid w:val="00C17007"/>
    <w:rsid w:val="00C17017"/>
    <w:rsid w:val="00C17033"/>
    <w:rsid w:val="00C170FE"/>
    <w:rsid w:val="00C1713A"/>
    <w:rsid w:val="00C17144"/>
    <w:rsid w:val="00C17165"/>
    <w:rsid w:val="00C1717B"/>
    <w:rsid w:val="00C17185"/>
    <w:rsid w:val="00C171FF"/>
    <w:rsid w:val="00C172A3"/>
    <w:rsid w:val="00C172C8"/>
    <w:rsid w:val="00C1732E"/>
    <w:rsid w:val="00C1735B"/>
    <w:rsid w:val="00C17370"/>
    <w:rsid w:val="00C17397"/>
    <w:rsid w:val="00C173E1"/>
    <w:rsid w:val="00C173F2"/>
    <w:rsid w:val="00C173F3"/>
    <w:rsid w:val="00C173FC"/>
    <w:rsid w:val="00C1741A"/>
    <w:rsid w:val="00C17449"/>
    <w:rsid w:val="00C17474"/>
    <w:rsid w:val="00C174D2"/>
    <w:rsid w:val="00C174D5"/>
    <w:rsid w:val="00C174ED"/>
    <w:rsid w:val="00C1756F"/>
    <w:rsid w:val="00C17580"/>
    <w:rsid w:val="00C175B7"/>
    <w:rsid w:val="00C17614"/>
    <w:rsid w:val="00C17641"/>
    <w:rsid w:val="00C17691"/>
    <w:rsid w:val="00C1774E"/>
    <w:rsid w:val="00C17798"/>
    <w:rsid w:val="00C1779C"/>
    <w:rsid w:val="00C17841"/>
    <w:rsid w:val="00C17887"/>
    <w:rsid w:val="00C178B1"/>
    <w:rsid w:val="00C1791E"/>
    <w:rsid w:val="00C1799C"/>
    <w:rsid w:val="00C17A59"/>
    <w:rsid w:val="00C17A8C"/>
    <w:rsid w:val="00C17A9B"/>
    <w:rsid w:val="00C17ADE"/>
    <w:rsid w:val="00C17AF0"/>
    <w:rsid w:val="00C17B37"/>
    <w:rsid w:val="00C17BA9"/>
    <w:rsid w:val="00C17CA3"/>
    <w:rsid w:val="00C17CCC"/>
    <w:rsid w:val="00C17CDB"/>
    <w:rsid w:val="00C17D22"/>
    <w:rsid w:val="00C17EF0"/>
    <w:rsid w:val="00C17F8A"/>
    <w:rsid w:val="00C2000C"/>
    <w:rsid w:val="00C2002C"/>
    <w:rsid w:val="00C2004A"/>
    <w:rsid w:val="00C2004B"/>
    <w:rsid w:val="00C20065"/>
    <w:rsid w:val="00C20097"/>
    <w:rsid w:val="00C20120"/>
    <w:rsid w:val="00C20196"/>
    <w:rsid w:val="00C202AE"/>
    <w:rsid w:val="00C202F5"/>
    <w:rsid w:val="00C20375"/>
    <w:rsid w:val="00C203A7"/>
    <w:rsid w:val="00C203AC"/>
    <w:rsid w:val="00C203F9"/>
    <w:rsid w:val="00C2050D"/>
    <w:rsid w:val="00C2055F"/>
    <w:rsid w:val="00C20570"/>
    <w:rsid w:val="00C206EA"/>
    <w:rsid w:val="00C2070A"/>
    <w:rsid w:val="00C207B4"/>
    <w:rsid w:val="00C207D3"/>
    <w:rsid w:val="00C2081E"/>
    <w:rsid w:val="00C2087A"/>
    <w:rsid w:val="00C208BB"/>
    <w:rsid w:val="00C208D6"/>
    <w:rsid w:val="00C208DC"/>
    <w:rsid w:val="00C2097E"/>
    <w:rsid w:val="00C20A3D"/>
    <w:rsid w:val="00C20A4C"/>
    <w:rsid w:val="00C20A6B"/>
    <w:rsid w:val="00C20A97"/>
    <w:rsid w:val="00C20AA1"/>
    <w:rsid w:val="00C20AE0"/>
    <w:rsid w:val="00C20AEC"/>
    <w:rsid w:val="00C20B0D"/>
    <w:rsid w:val="00C20B14"/>
    <w:rsid w:val="00C20BA3"/>
    <w:rsid w:val="00C20BF5"/>
    <w:rsid w:val="00C20C89"/>
    <w:rsid w:val="00C20CB0"/>
    <w:rsid w:val="00C20D69"/>
    <w:rsid w:val="00C20DCE"/>
    <w:rsid w:val="00C20DD2"/>
    <w:rsid w:val="00C20E47"/>
    <w:rsid w:val="00C20E58"/>
    <w:rsid w:val="00C20E7F"/>
    <w:rsid w:val="00C20EEC"/>
    <w:rsid w:val="00C20F38"/>
    <w:rsid w:val="00C20F78"/>
    <w:rsid w:val="00C20F7B"/>
    <w:rsid w:val="00C20F96"/>
    <w:rsid w:val="00C20FB2"/>
    <w:rsid w:val="00C21025"/>
    <w:rsid w:val="00C210D6"/>
    <w:rsid w:val="00C210DA"/>
    <w:rsid w:val="00C21114"/>
    <w:rsid w:val="00C21123"/>
    <w:rsid w:val="00C21136"/>
    <w:rsid w:val="00C2114B"/>
    <w:rsid w:val="00C211BB"/>
    <w:rsid w:val="00C212BC"/>
    <w:rsid w:val="00C212E3"/>
    <w:rsid w:val="00C21301"/>
    <w:rsid w:val="00C21333"/>
    <w:rsid w:val="00C2136F"/>
    <w:rsid w:val="00C21392"/>
    <w:rsid w:val="00C213BE"/>
    <w:rsid w:val="00C213CF"/>
    <w:rsid w:val="00C2151E"/>
    <w:rsid w:val="00C21569"/>
    <w:rsid w:val="00C2157E"/>
    <w:rsid w:val="00C215B2"/>
    <w:rsid w:val="00C21701"/>
    <w:rsid w:val="00C2176D"/>
    <w:rsid w:val="00C217AB"/>
    <w:rsid w:val="00C217CC"/>
    <w:rsid w:val="00C218B3"/>
    <w:rsid w:val="00C218B8"/>
    <w:rsid w:val="00C218EC"/>
    <w:rsid w:val="00C21943"/>
    <w:rsid w:val="00C21981"/>
    <w:rsid w:val="00C2199A"/>
    <w:rsid w:val="00C219C9"/>
    <w:rsid w:val="00C21A13"/>
    <w:rsid w:val="00C21A96"/>
    <w:rsid w:val="00C21AD7"/>
    <w:rsid w:val="00C21B2C"/>
    <w:rsid w:val="00C21B82"/>
    <w:rsid w:val="00C21B93"/>
    <w:rsid w:val="00C21BBB"/>
    <w:rsid w:val="00C21BF1"/>
    <w:rsid w:val="00C21BFA"/>
    <w:rsid w:val="00C21C43"/>
    <w:rsid w:val="00C21C99"/>
    <w:rsid w:val="00C21CB0"/>
    <w:rsid w:val="00C21D51"/>
    <w:rsid w:val="00C21D88"/>
    <w:rsid w:val="00C21D8B"/>
    <w:rsid w:val="00C21DE3"/>
    <w:rsid w:val="00C21E89"/>
    <w:rsid w:val="00C21EB2"/>
    <w:rsid w:val="00C21ECF"/>
    <w:rsid w:val="00C21F5E"/>
    <w:rsid w:val="00C21F6B"/>
    <w:rsid w:val="00C21F76"/>
    <w:rsid w:val="00C21F9A"/>
    <w:rsid w:val="00C21FDD"/>
    <w:rsid w:val="00C220AF"/>
    <w:rsid w:val="00C220D9"/>
    <w:rsid w:val="00C2210A"/>
    <w:rsid w:val="00C2214A"/>
    <w:rsid w:val="00C221A6"/>
    <w:rsid w:val="00C221E3"/>
    <w:rsid w:val="00C2228F"/>
    <w:rsid w:val="00C2232E"/>
    <w:rsid w:val="00C223C9"/>
    <w:rsid w:val="00C22454"/>
    <w:rsid w:val="00C224CC"/>
    <w:rsid w:val="00C224E0"/>
    <w:rsid w:val="00C22508"/>
    <w:rsid w:val="00C2253D"/>
    <w:rsid w:val="00C22541"/>
    <w:rsid w:val="00C225A3"/>
    <w:rsid w:val="00C2268C"/>
    <w:rsid w:val="00C226E5"/>
    <w:rsid w:val="00C22738"/>
    <w:rsid w:val="00C22781"/>
    <w:rsid w:val="00C22846"/>
    <w:rsid w:val="00C2290F"/>
    <w:rsid w:val="00C22967"/>
    <w:rsid w:val="00C22A09"/>
    <w:rsid w:val="00C22A24"/>
    <w:rsid w:val="00C22A63"/>
    <w:rsid w:val="00C22A6F"/>
    <w:rsid w:val="00C22AD9"/>
    <w:rsid w:val="00C22B15"/>
    <w:rsid w:val="00C22BD9"/>
    <w:rsid w:val="00C22BFC"/>
    <w:rsid w:val="00C22C2B"/>
    <w:rsid w:val="00C22CDA"/>
    <w:rsid w:val="00C22D35"/>
    <w:rsid w:val="00C22D3A"/>
    <w:rsid w:val="00C22DB1"/>
    <w:rsid w:val="00C22DB4"/>
    <w:rsid w:val="00C22DF2"/>
    <w:rsid w:val="00C22E1A"/>
    <w:rsid w:val="00C22EB5"/>
    <w:rsid w:val="00C22F09"/>
    <w:rsid w:val="00C22F8C"/>
    <w:rsid w:val="00C22FA4"/>
    <w:rsid w:val="00C23042"/>
    <w:rsid w:val="00C230A8"/>
    <w:rsid w:val="00C230C5"/>
    <w:rsid w:val="00C231D3"/>
    <w:rsid w:val="00C231DA"/>
    <w:rsid w:val="00C232ED"/>
    <w:rsid w:val="00C23349"/>
    <w:rsid w:val="00C23367"/>
    <w:rsid w:val="00C2339C"/>
    <w:rsid w:val="00C23430"/>
    <w:rsid w:val="00C23471"/>
    <w:rsid w:val="00C234EB"/>
    <w:rsid w:val="00C23581"/>
    <w:rsid w:val="00C235FE"/>
    <w:rsid w:val="00C2360C"/>
    <w:rsid w:val="00C2360D"/>
    <w:rsid w:val="00C236E2"/>
    <w:rsid w:val="00C2370E"/>
    <w:rsid w:val="00C2379D"/>
    <w:rsid w:val="00C23803"/>
    <w:rsid w:val="00C2384D"/>
    <w:rsid w:val="00C2392C"/>
    <w:rsid w:val="00C23A12"/>
    <w:rsid w:val="00C23A40"/>
    <w:rsid w:val="00C23A57"/>
    <w:rsid w:val="00C23A88"/>
    <w:rsid w:val="00C23ADB"/>
    <w:rsid w:val="00C23B71"/>
    <w:rsid w:val="00C23BE1"/>
    <w:rsid w:val="00C23BE8"/>
    <w:rsid w:val="00C23C70"/>
    <w:rsid w:val="00C23C9C"/>
    <w:rsid w:val="00C23DB2"/>
    <w:rsid w:val="00C23E08"/>
    <w:rsid w:val="00C23E0D"/>
    <w:rsid w:val="00C23E42"/>
    <w:rsid w:val="00C23F02"/>
    <w:rsid w:val="00C23F79"/>
    <w:rsid w:val="00C23F7D"/>
    <w:rsid w:val="00C23FA5"/>
    <w:rsid w:val="00C23FFD"/>
    <w:rsid w:val="00C240A3"/>
    <w:rsid w:val="00C240C3"/>
    <w:rsid w:val="00C240D5"/>
    <w:rsid w:val="00C24137"/>
    <w:rsid w:val="00C24146"/>
    <w:rsid w:val="00C24177"/>
    <w:rsid w:val="00C24193"/>
    <w:rsid w:val="00C241A1"/>
    <w:rsid w:val="00C2424C"/>
    <w:rsid w:val="00C24293"/>
    <w:rsid w:val="00C242F0"/>
    <w:rsid w:val="00C2430A"/>
    <w:rsid w:val="00C2432C"/>
    <w:rsid w:val="00C24391"/>
    <w:rsid w:val="00C243B9"/>
    <w:rsid w:val="00C243C6"/>
    <w:rsid w:val="00C2447D"/>
    <w:rsid w:val="00C244C9"/>
    <w:rsid w:val="00C24522"/>
    <w:rsid w:val="00C24559"/>
    <w:rsid w:val="00C24562"/>
    <w:rsid w:val="00C2459E"/>
    <w:rsid w:val="00C2460E"/>
    <w:rsid w:val="00C246EA"/>
    <w:rsid w:val="00C24753"/>
    <w:rsid w:val="00C247B3"/>
    <w:rsid w:val="00C247EF"/>
    <w:rsid w:val="00C24830"/>
    <w:rsid w:val="00C24845"/>
    <w:rsid w:val="00C24918"/>
    <w:rsid w:val="00C24951"/>
    <w:rsid w:val="00C24955"/>
    <w:rsid w:val="00C2496D"/>
    <w:rsid w:val="00C249CA"/>
    <w:rsid w:val="00C24A02"/>
    <w:rsid w:val="00C24A22"/>
    <w:rsid w:val="00C24AE6"/>
    <w:rsid w:val="00C24B3E"/>
    <w:rsid w:val="00C24B82"/>
    <w:rsid w:val="00C24BF4"/>
    <w:rsid w:val="00C24C1E"/>
    <w:rsid w:val="00C24C46"/>
    <w:rsid w:val="00C24CBA"/>
    <w:rsid w:val="00C24D03"/>
    <w:rsid w:val="00C24DD1"/>
    <w:rsid w:val="00C24E0C"/>
    <w:rsid w:val="00C24EA1"/>
    <w:rsid w:val="00C24EBA"/>
    <w:rsid w:val="00C24F40"/>
    <w:rsid w:val="00C24F68"/>
    <w:rsid w:val="00C24F95"/>
    <w:rsid w:val="00C24F98"/>
    <w:rsid w:val="00C24FAB"/>
    <w:rsid w:val="00C25030"/>
    <w:rsid w:val="00C250E9"/>
    <w:rsid w:val="00C25125"/>
    <w:rsid w:val="00C25148"/>
    <w:rsid w:val="00C25188"/>
    <w:rsid w:val="00C25191"/>
    <w:rsid w:val="00C25218"/>
    <w:rsid w:val="00C2522B"/>
    <w:rsid w:val="00C25458"/>
    <w:rsid w:val="00C2546B"/>
    <w:rsid w:val="00C254C8"/>
    <w:rsid w:val="00C25520"/>
    <w:rsid w:val="00C25529"/>
    <w:rsid w:val="00C2553A"/>
    <w:rsid w:val="00C25542"/>
    <w:rsid w:val="00C25593"/>
    <w:rsid w:val="00C25632"/>
    <w:rsid w:val="00C2569A"/>
    <w:rsid w:val="00C256BF"/>
    <w:rsid w:val="00C25740"/>
    <w:rsid w:val="00C257D6"/>
    <w:rsid w:val="00C257F4"/>
    <w:rsid w:val="00C2583D"/>
    <w:rsid w:val="00C25850"/>
    <w:rsid w:val="00C2585A"/>
    <w:rsid w:val="00C25886"/>
    <w:rsid w:val="00C2591E"/>
    <w:rsid w:val="00C2592A"/>
    <w:rsid w:val="00C259B1"/>
    <w:rsid w:val="00C259FB"/>
    <w:rsid w:val="00C25A0E"/>
    <w:rsid w:val="00C25AAB"/>
    <w:rsid w:val="00C25B37"/>
    <w:rsid w:val="00C25CFB"/>
    <w:rsid w:val="00C25DF7"/>
    <w:rsid w:val="00C25E25"/>
    <w:rsid w:val="00C25E3A"/>
    <w:rsid w:val="00C25E3E"/>
    <w:rsid w:val="00C25E53"/>
    <w:rsid w:val="00C25E71"/>
    <w:rsid w:val="00C25E76"/>
    <w:rsid w:val="00C25F40"/>
    <w:rsid w:val="00C25F4D"/>
    <w:rsid w:val="00C25FC0"/>
    <w:rsid w:val="00C2607D"/>
    <w:rsid w:val="00C260C5"/>
    <w:rsid w:val="00C260E5"/>
    <w:rsid w:val="00C261C0"/>
    <w:rsid w:val="00C261C1"/>
    <w:rsid w:val="00C261DF"/>
    <w:rsid w:val="00C2624B"/>
    <w:rsid w:val="00C2625E"/>
    <w:rsid w:val="00C262C2"/>
    <w:rsid w:val="00C262EE"/>
    <w:rsid w:val="00C26362"/>
    <w:rsid w:val="00C2636A"/>
    <w:rsid w:val="00C263EC"/>
    <w:rsid w:val="00C263F3"/>
    <w:rsid w:val="00C2643E"/>
    <w:rsid w:val="00C26456"/>
    <w:rsid w:val="00C26504"/>
    <w:rsid w:val="00C26530"/>
    <w:rsid w:val="00C2656A"/>
    <w:rsid w:val="00C26578"/>
    <w:rsid w:val="00C26580"/>
    <w:rsid w:val="00C26591"/>
    <w:rsid w:val="00C265BB"/>
    <w:rsid w:val="00C2667B"/>
    <w:rsid w:val="00C26681"/>
    <w:rsid w:val="00C266DB"/>
    <w:rsid w:val="00C26798"/>
    <w:rsid w:val="00C2687F"/>
    <w:rsid w:val="00C26891"/>
    <w:rsid w:val="00C268BE"/>
    <w:rsid w:val="00C268D5"/>
    <w:rsid w:val="00C26A27"/>
    <w:rsid w:val="00C26AF4"/>
    <w:rsid w:val="00C26B00"/>
    <w:rsid w:val="00C26B30"/>
    <w:rsid w:val="00C26B8F"/>
    <w:rsid w:val="00C26BA7"/>
    <w:rsid w:val="00C26BE7"/>
    <w:rsid w:val="00C26C24"/>
    <w:rsid w:val="00C26C3A"/>
    <w:rsid w:val="00C26C89"/>
    <w:rsid w:val="00C26CC1"/>
    <w:rsid w:val="00C26D63"/>
    <w:rsid w:val="00C26DA6"/>
    <w:rsid w:val="00C26DA9"/>
    <w:rsid w:val="00C26DD4"/>
    <w:rsid w:val="00C26ED3"/>
    <w:rsid w:val="00C26EF6"/>
    <w:rsid w:val="00C2705F"/>
    <w:rsid w:val="00C270D5"/>
    <w:rsid w:val="00C270E0"/>
    <w:rsid w:val="00C271A5"/>
    <w:rsid w:val="00C271F5"/>
    <w:rsid w:val="00C27230"/>
    <w:rsid w:val="00C27270"/>
    <w:rsid w:val="00C2728A"/>
    <w:rsid w:val="00C272B1"/>
    <w:rsid w:val="00C272BB"/>
    <w:rsid w:val="00C27377"/>
    <w:rsid w:val="00C273C1"/>
    <w:rsid w:val="00C27443"/>
    <w:rsid w:val="00C274EC"/>
    <w:rsid w:val="00C2766E"/>
    <w:rsid w:val="00C27681"/>
    <w:rsid w:val="00C27779"/>
    <w:rsid w:val="00C27870"/>
    <w:rsid w:val="00C278C5"/>
    <w:rsid w:val="00C278D1"/>
    <w:rsid w:val="00C27930"/>
    <w:rsid w:val="00C27975"/>
    <w:rsid w:val="00C27A27"/>
    <w:rsid w:val="00C27A3E"/>
    <w:rsid w:val="00C27A6D"/>
    <w:rsid w:val="00C27A93"/>
    <w:rsid w:val="00C27A9B"/>
    <w:rsid w:val="00C27AA6"/>
    <w:rsid w:val="00C27AB0"/>
    <w:rsid w:val="00C27ACC"/>
    <w:rsid w:val="00C27AD1"/>
    <w:rsid w:val="00C27ADD"/>
    <w:rsid w:val="00C27B52"/>
    <w:rsid w:val="00C27BD1"/>
    <w:rsid w:val="00C27C76"/>
    <w:rsid w:val="00C27C86"/>
    <w:rsid w:val="00C27CE9"/>
    <w:rsid w:val="00C27CF7"/>
    <w:rsid w:val="00C27D6E"/>
    <w:rsid w:val="00C27E0D"/>
    <w:rsid w:val="00C27E16"/>
    <w:rsid w:val="00C27E44"/>
    <w:rsid w:val="00C27EDE"/>
    <w:rsid w:val="00C27EDF"/>
    <w:rsid w:val="00C27F5C"/>
    <w:rsid w:val="00C27F6A"/>
    <w:rsid w:val="00C27F77"/>
    <w:rsid w:val="00C27FDF"/>
    <w:rsid w:val="00C27FF9"/>
    <w:rsid w:val="00C3002C"/>
    <w:rsid w:val="00C30068"/>
    <w:rsid w:val="00C30081"/>
    <w:rsid w:val="00C30087"/>
    <w:rsid w:val="00C300C3"/>
    <w:rsid w:val="00C30118"/>
    <w:rsid w:val="00C30127"/>
    <w:rsid w:val="00C301CE"/>
    <w:rsid w:val="00C301EB"/>
    <w:rsid w:val="00C30211"/>
    <w:rsid w:val="00C3023D"/>
    <w:rsid w:val="00C3024C"/>
    <w:rsid w:val="00C3027F"/>
    <w:rsid w:val="00C302D8"/>
    <w:rsid w:val="00C302DF"/>
    <w:rsid w:val="00C3031A"/>
    <w:rsid w:val="00C3031E"/>
    <w:rsid w:val="00C303F1"/>
    <w:rsid w:val="00C30415"/>
    <w:rsid w:val="00C3047A"/>
    <w:rsid w:val="00C30488"/>
    <w:rsid w:val="00C30494"/>
    <w:rsid w:val="00C3049E"/>
    <w:rsid w:val="00C304E6"/>
    <w:rsid w:val="00C30510"/>
    <w:rsid w:val="00C3057D"/>
    <w:rsid w:val="00C305C8"/>
    <w:rsid w:val="00C30650"/>
    <w:rsid w:val="00C30742"/>
    <w:rsid w:val="00C30747"/>
    <w:rsid w:val="00C3075D"/>
    <w:rsid w:val="00C307D2"/>
    <w:rsid w:val="00C307D3"/>
    <w:rsid w:val="00C30869"/>
    <w:rsid w:val="00C308B4"/>
    <w:rsid w:val="00C30905"/>
    <w:rsid w:val="00C3095D"/>
    <w:rsid w:val="00C30976"/>
    <w:rsid w:val="00C309E1"/>
    <w:rsid w:val="00C30A31"/>
    <w:rsid w:val="00C30A6E"/>
    <w:rsid w:val="00C30C9D"/>
    <w:rsid w:val="00C30D0F"/>
    <w:rsid w:val="00C30D59"/>
    <w:rsid w:val="00C30D97"/>
    <w:rsid w:val="00C30DD3"/>
    <w:rsid w:val="00C30DE2"/>
    <w:rsid w:val="00C30DEC"/>
    <w:rsid w:val="00C30F8B"/>
    <w:rsid w:val="00C30F95"/>
    <w:rsid w:val="00C30FBD"/>
    <w:rsid w:val="00C3103A"/>
    <w:rsid w:val="00C3103D"/>
    <w:rsid w:val="00C31040"/>
    <w:rsid w:val="00C31052"/>
    <w:rsid w:val="00C31072"/>
    <w:rsid w:val="00C31074"/>
    <w:rsid w:val="00C310A4"/>
    <w:rsid w:val="00C310C0"/>
    <w:rsid w:val="00C311C3"/>
    <w:rsid w:val="00C312DB"/>
    <w:rsid w:val="00C31344"/>
    <w:rsid w:val="00C31361"/>
    <w:rsid w:val="00C31477"/>
    <w:rsid w:val="00C314E3"/>
    <w:rsid w:val="00C314E6"/>
    <w:rsid w:val="00C3152B"/>
    <w:rsid w:val="00C3157B"/>
    <w:rsid w:val="00C315AB"/>
    <w:rsid w:val="00C3165C"/>
    <w:rsid w:val="00C31751"/>
    <w:rsid w:val="00C3179E"/>
    <w:rsid w:val="00C317BD"/>
    <w:rsid w:val="00C317C4"/>
    <w:rsid w:val="00C31800"/>
    <w:rsid w:val="00C3183B"/>
    <w:rsid w:val="00C3186E"/>
    <w:rsid w:val="00C318B4"/>
    <w:rsid w:val="00C318D3"/>
    <w:rsid w:val="00C31991"/>
    <w:rsid w:val="00C319B5"/>
    <w:rsid w:val="00C319F1"/>
    <w:rsid w:val="00C31A0A"/>
    <w:rsid w:val="00C31A21"/>
    <w:rsid w:val="00C31A6C"/>
    <w:rsid w:val="00C31A8C"/>
    <w:rsid w:val="00C31AC8"/>
    <w:rsid w:val="00C31B03"/>
    <w:rsid w:val="00C31B7D"/>
    <w:rsid w:val="00C31B8B"/>
    <w:rsid w:val="00C31BB9"/>
    <w:rsid w:val="00C31BDA"/>
    <w:rsid w:val="00C31C0C"/>
    <w:rsid w:val="00C31CCD"/>
    <w:rsid w:val="00C31CD4"/>
    <w:rsid w:val="00C31CDB"/>
    <w:rsid w:val="00C31DC2"/>
    <w:rsid w:val="00C31E74"/>
    <w:rsid w:val="00C31F15"/>
    <w:rsid w:val="00C31FAB"/>
    <w:rsid w:val="00C31FC3"/>
    <w:rsid w:val="00C31FDD"/>
    <w:rsid w:val="00C31FF1"/>
    <w:rsid w:val="00C32015"/>
    <w:rsid w:val="00C320C2"/>
    <w:rsid w:val="00C32174"/>
    <w:rsid w:val="00C321B8"/>
    <w:rsid w:val="00C321D6"/>
    <w:rsid w:val="00C321D8"/>
    <w:rsid w:val="00C321DB"/>
    <w:rsid w:val="00C3225E"/>
    <w:rsid w:val="00C3229B"/>
    <w:rsid w:val="00C322B9"/>
    <w:rsid w:val="00C3231C"/>
    <w:rsid w:val="00C32398"/>
    <w:rsid w:val="00C324AD"/>
    <w:rsid w:val="00C32558"/>
    <w:rsid w:val="00C32588"/>
    <w:rsid w:val="00C325C8"/>
    <w:rsid w:val="00C32613"/>
    <w:rsid w:val="00C3261D"/>
    <w:rsid w:val="00C3263B"/>
    <w:rsid w:val="00C3263F"/>
    <w:rsid w:val="00C326BC"/>
    <w:rsid w:val="00C32766"/>
    <w:rsid w:val="00C32875"/>
    <w:rsid w:val="00C32882"/>
    <w:rsid w:val="00C3288C"/>
    <w:rsid w:val="00C3292E"/>
    <w:rsid w:val="00C32936"/>
    <w:rsid w:val="00C32946"/>
    <w:rsid w:val="00C32950"/>
    <w:rsid w:val="00C32A57"/>
    <w:rsid w:val="00C32AA6"/>
    <w:rsid w:val="00C32ADC"/>
    <w:rsid w:val="00C32AF3"/>
    <w:rsid w:val="00C32B0A"/>
    <w:rsid w:val="00C32C16"/>
    <w:rsid w:val="00C32C51"/>
    <w:rsid w:val="00C32CC9"/>
    <w:rsid w:val="00C32CF1"/>
    <w:rsid w:val="00C32D18"/>
    <w:rsid w:val="00C32D33"/>
    <w:rsid w:val="00C32D77"/>
    <w:rsid w:val="00C32D8F"/>
    <w:rsid w:val="00C32DB0"/>
    <w:rsid w:val="00C32E1A"/>
    <w:rsid w:val="00C32F92"/>
    <w:rsid w:val="00C32FCD"/>
    <w:rsid w:val="00C3301D"/>
    <w:rsid w:val="00C33038"/>
    <w:rsid w:val="00C33084"/>
    <w:rsid w:val="00C3308C"/>
    <w:rsid w:val="00C330A5"/>
    <w:rsid w:val="00C330B4"/>
    <w:rsid w:val="00C330DF"/>
    <w:rsid w:val="00C33122"/>
    <w:rsid w:val="00C33131"/>
    <w:rsid w:val="00C3314B"/>
    <w:rsid w:val="00C331B1"/>
    <w:rsid w:val="00C3321A"/>
    <w:rsid w:val="00C33247"/>
    <w:rsid w:val="00C33265"/>
    <w:rsid w:val="00C3341B"/>
    <w:rsid w:val="00C33456"/>
    <w:rsid w:val="00C334FE"/>
    <w:rsid w:val="00C33534"/>
    <w:rsid w:val="00C33561"/>
    <w:rsid w:val="00C33564"/>
    <w:rsid w:val="00C33569"/>
    <w:rsid w:val="00C33599"/>
    <w:rsid w:val="00C335A2"/>
    <w:rsid w:val="00C335C2"/>
    <w:rsid w:val="00C335D7"/>
    <w:rsid w:val="00C33642"/>
    <w:rsid w:val="00C33684"/>
    <w:rsid w:val="00C336E8"/>
    <w:rsid w:val="00C337BC"/>
    <w:rsid w:val="00C33800"/>
    <w:rsid w:val="00C3391A"/>
    <w:rsid w:val="00C339BE"/>
    <w:rsid w:val="00C339BF"/>
    <w:rsid w:val="00C33A1D"/>
    <w:rsid w:val="00C33A7B"/>
    <w:rsid w:val="00C33AB3"/>
    <w:rsid w:val="00C33B42"/>
    <w:rsid w:val="00C33C5C"/>
    <w:rsid w:val="00C33CBB"/>
    <w:rsid w:val="00C33CC8"/>
    <w:rsid w:val="00C33CDD"/>
    <w:rsid w:val="00C33D3A"/>
    <w:rsid w:val="00C33D5C"/>
    <w:rsid w:val="00C33E11"/>
    <w:rsid w:val="00C33F57"/>
    <w:rsid w:val="00C33F5B"/>
    <w:rsid w:val="00C33F5C"/>
    <w:rsid w:val="00C33F9E"/>
    <w:rsid w:val="00C33FF2"/>
    <w:rsid w:val="00C33FFB"/>
    <w:rsid w:val="00C3400A"/>
    <w:rsid w:val="00C34080"/>
    <w:rsid w:val="00C3410E"/>
    <w:rsid w:val="00C34164"/>
    <w:rsid w:val="00C341A3"/>
    <w:rsid w:val="00C341D0"/>
    <w:rsid w:val="00C341EA"/>
    <w:rsid w:val="00C3420B"/>
    <w:rsid w:val="00C342FB"/>
    <w:rsid w:val="00C343A2"/>
    <w:rsid w:val="00C34436"/>
    <w:rsid w:val="00C34515"/>
    <w:rsid w:val="00C34582"/>
    <w:rsid w:val="00C345B8"/>
    <w:rsid w:val="00C3462E"/>
    <w:rsid w:val="00C346AD"/>
    <w:rsid w:val="00C34717"/>
    <w:rsid w:val="00C3472A"/>
    <w:rsid w:val="00C34736"/>
    <w:rsid w:val="00C34839"/>
    <w:rsid w:val="00C348EA"/>
    <w:rsid w:val="00C349B0"/>
    <w:rsid w:val="00C349D3"/>
    <w:rsid w:val="00C34A2B"/>
    <w:rsid w:val="00C34A45"/>
    <w:rsid w:val="00C34A5D"/>
    <w:rsid w:val="00C34AA4"/>
    <w:rsid w:val="00C34ABD"/>
    <w:rsid w:val="00C34C2F"/>
    <w:rsid w:val="00C34CDE"/>
    <w:rsid w:val="00C34CF2"/>
    <w:rsid w:val="00C34D61"/>
    <w:rsid w:val="00C34EFB"/>
    <w:rsid w:val="00C34F9F"/>
    <w:rsid w:val="00C34FCF"/>
    <w:rsid w:val="00C350CA"/>
    <w:rsid w:val="00C350CF"/>
    <w:rsid w:val="00C350E6"/>
    <w:rsid w:val="00C350E9"/>
    <w:rsid w:val="00C350F9"/>
    <w:rsid w:val="00C35157"/>
    <w:rsid w:val="00C35199"/>
    <w:rsid w:val="00C351A4"/>
    <w:rsid w:val="00C351AE"/>
    <w:rsid w:val="00C35222"/>
    <w:rsid w:val="00C3527F"/>
    <w:rsid w:val="00C35381"/>
    <w:rsid w:val="00C3538B"/>
    <w:rsid w:val="00C353B4"/>
    <w:rsid w:val="00C353BD"/>
    <w:rsid w:val="00C353CF"/>
    <w:rsid w:val="00C353D0"/>
    <w:rsid w:val="00C353F9"/>
    <w:rsid w:val="00C35443"/>
    <w:rsid w:val="00C35462"/>
    <w:rsid w:val="00C3547A"/>
    <w:rsid w:val="00C3547B"/>
    <w:rsid w:val="00C35495"/>
    <w:rsid w:val="00C3558A"/>
    <w:rsid w:val="00C355A8"/>
    <w:rsid w:val="00C3563E"/>
    <w:rsid w:val="00C356A2"/>
    <w:rsid w:val="00C356CB"/>
    <w:rsid w:val="00C356D8"/>
    <w:rsid w:val="00C356E4"/>
    <w:rsid w:val="00C356EE"/>
    <w:rsid w:val="00C35721"/>
    <w:rsid w:val="00C35752"/>
    <w:rsid w:val="00C3578E"/>
    <w:rsid w:val="00C357C1"/>
    <w:rsid w:val="00C35828"/>
    <w:rsid w:val="00C35830"/>
    <w:rsid w:val="00C35882"/>
    <w:rsid w:val="00C358D5"/>
    <w:rsid w:val="00C35907"/>
    <w:rsid w:val="00C35919"/>
    <w:rsid w:val="00C35935"/>
    <w:rsid w:val="00C3594C"/>
    <w:rsid w:val="00C359C7"/>
    <w:rsid w:val="00C359D9"/>
    <w:rsid w:val="00C35ACB"/>
    <w:rsid w:val="00C35AFD"/>
    <w:rsid w:val="00C35BE1"/>
    <w:rsid w:val="00C35C03"/>
    <w:rsid w:val="00C35C52"/>
    <w:rsid w:val="00C35C76"/>
    <w:rsid w:val="00C35D6F"/>
    <w:rsid w:val="00C35D77"/>
    <w:rsid w:val="00C35DDC"/>
    <w:rsid w:val="00C35E2E"/>
    <w:rsid w:val="00C35E3E"/>
    <w:rsid w:val="00C35E6D"/>
    <w:rsid w:val="00C35E91"/>
    <w:rsid w:val="00C35F58"/>
    <w:rsid w:val="00C35F8E"/>
    <w:rsid w:val="00C36031"/>
    <w:rsid w:val="00C360B8"/>
    <w:rsid w:val="00C3621D"/>
    <w:rsid w:val="00C36225"/>
    <w:rsid w:val="00C362D8"/>
    <w:rsid w:val="00C362E0"/>
    <w:rsid w:val="00C362FE"/>
    <w:rsid w:val="00C363C5"/>
    <w:rsid w:val="00C36528"/>
    <w:rsid w:val="00C3655E"/>
    <w:rsid w:val="00C36615"/>
    <w:rsid w:val="00C36627"/>
    <w:rsid w:val="00C3669E"/>
    <w:rsid w:val="00C366BF"/>
    <w:rsid w:val="00C367C4"/>
    <w:rsid w:val="00C368E2"/>
    <w:rsid w:val="00C36973"/>
    <w:rsid w:val="00C369DF"/>
    <w:rsid w:val="00C36A09"/>
    <w:rsid w:val="00C36A46"/>
    <w:rsid w:val="00C36ABB"/>
    <w:rsid w:val="00C36BA1"/>
    <w:rsid w:val="00C36C84"/>
    <w:rsid w:val="00C36C87"/>
    <w:rsid w:val="00C36D65"/>
    <w:rsid w:val="00C36D82"/>
    <w:rsid w:val="00C36DE6"/>
    <w:rsid w:val="00C36E29"/>
    <w:rsid w:val="00C36E94"/>
    <w:rsid w:val="00C36F02"/>
    <w:rsid w:val="00C36F59"/>
    <w:rsid w:val="00C36FAC"/>
    <w:rsid w:val="00C37008"/>
    <w:rsid w:val="00C37056"/>
    <w:rsid w:val="00C37068"/>
    <w:rsid w:val="00C370D6"/>
    <w:rsid w:val="00C370E6"/>
    <w:rsid w:val="00C370F6"/>
    <w:rsid w:val="00C371DB"/>
    <w:rsid w:val="00C371ED"/>
    <w:rsid w:val="00C371F6"/>
    <w:rsid w:val="00C3723C"/>
    <w:rsid w:val="00C3725E"/>
    <w:rsid w:val="00C37275"/>
    <w:rsid w:val="00C372C1"/>
    <w:rsid w:val="00C37316"/>
    <w:rsid w:val="00C373AD"/>
    <w:rsid w:val="00C3757A"/>
    <w:rsid w:val="00C375A2"/>
    <w:rsid w:val="00C37630"/>
    <w:rsid w:val="00C3763B"/>
    <w:rsid w:val="00C37680"/>
    <w:rsid w:val="00C3769C"/>
    <w:rsid w:val="00C376F4"/>
    <w:rsid w:val="00C3770C"/>
    <w:rsid w:val="00C37715"/>
    <w:rsid w:val="00C37751"/>
    <w:rsid w:val="00C377B0"/>
    <w:rsid w:val="00C37800"/>
    <w:rsid w:val="00C37824"/>
    <w:rsid w:val="00C378BD"/>
    <w:rsid w:val="00C378E7"/>
    <w:rsid w:val="00C378F6"/>
    <w:rsid w:val="00C37A4B"/>
    <w:rsid w:val="00C37A79"/>
    <w:rsid w:val="00C37B07"/>
    <w:rsid w:val="00C37B60"/>
    <w:rsid w:val="00C37BE2"/>
    <w:rsid w:val="00C37BF4"/>
    <w:rsid w:val="00C37C1C"/>
    <w:rsid w:val="00C37CBA"/>
    <w:rsid w:val="00C37D05"/>
    <w:rsid w:val="00C37D15"/>
    <w:rsid w:val="00C37D48"/>
    <w:rsid w:val="00C37D7E"/>
    <w:rsid w:val="00C37DD5"/>
    <w:rsid w:val="00C37E42"/>
    <w:rsid w:val="00C37E9A"/>
    <w:rsid w:val="00C37EB4"/>
    <w:rsid w:val="00C37FD0"/>
    <w:rsid w:val="00C40040"/>
    <w:rsid w:val="00C4009F"/>
    <w:rsid w:val="00C400C8"/>
    <w:rsid w:val="00C401C4"/>
    <w:rsid w:val="00C4020F"/>
    <w:rsid w:val="00C402BA"/>
    <w:rsid w:val="00C4034C"/>
    <w:rsid w:val="00C40378"/>
    <w:rsid w:val="00C403A2"/>
    <w:rsid w:val="00C40412"/>
    <w:rsid w:val="00C404C7"/>
    <w:rsid w:val="00C404D3"/>
    <w:rsid w:val="00C40591"/>
    <w:rsid w:val="00C40592"/>
    <w:rsid w:val="00C405D7"/>
    <w:rsid w:val="00C405D8"/>
    <w:rsid w:val="00C40649"/>
    <w:rsid w:val="00C406B7"/>
    <w:rsid w:val="00C406E0"/>
    <w:rsid w:val="00C406E6"/>
    <w:rsid w:val="00C406FF"/>
    <w:rsid w:val="00C40758"/>
    <w:rsid w:val="00C4084F"/>
    <w:rsid w:val="00C40887"/>
    <w:rsid w:val="00C408D1"/>
    <w:rsid w:val="00C408DB"/>
    <w:rsid w:val="00C40903"/>
    <w:rsid w:val="00C409AF"/>
    <w:rsid w:val="00C40AC7"/>
    <w:rsid w:val="00C40AE7"/>
    <w:rsid w:val="00C40B0A"/>
    <w:rsid w:val="00C40B37"/>
    <w:rsid w:val="00C40B67"/>
    <w:rsid w:val="00C40B8B"/>
    <w:rsid w:val="00C40B91"/>
    <w:rsid w:val="00C40BAB"/>
    <w:rsid w:val="00C40CB5"/>
    <w:rsid w:val="00C40D2F"/>
    <w:rsid w:val="00C40D8C"/>
    <w:rsid w:val="00C40DD7"/>
    <w:rsid w:val="00C40EB9"/>
    <w:rsid w:val="00C40FA6"/>
    <w:rsid w:val="00C40FE2"/>
    <w:rsid w:val="00C41021"/>
    <w:rsid w:val="00C41124"/>
    <w:rsid w:val="00C411E8"/>
    <w:rsid w:val="00C41206"/>
    <w:rsid w:val="00C41256"/>
    <w:rsid w:val="00C41258"/>
    <w:rsid w:val="00C412D9"/>
    <w:rsid w:val="00C413AA"/>
    <w:rsid w:val="00C41418"/>
    <w:rsid w:val="00C41420"/>
    <w:rsid w:val="00C41433"/>
    <w:rsid w:val="00C41457"/>
    <w:rsid w:val="00C41464"/>
    <w:rsid w:val="00C41566"/>
    <w:rsid w:val="00C41595"/>
    <w:rsid w:val="00C41646"/>
    <w:rsid w:val="00C416BB"/>
    <w:rsid w:val="00C4172B"/>
    <w:rsid w:val="00C4190B"/>
    <w:rsid w:val="00C41950"/>
    <w:rsid w:val="00C4198A"/>
    <w:rsid w:val="00C41A97"/>
    <w:rsid w:val="00C41B77"/>
    <w:rsid w:val="00C41CA5"/>
    <w:rsid w:val="00C41CD5"/>
    <w:rsid w:val="00C41CD6"/>
    <w:rsid w:val="00C41CD7"/>
    <w:rsid w:val="00C41CFB"/>
    <w:rsid w:val="00C41D21"/>
    <w:rsid w:val="00C41D56"/>
    <w:rsid w:val="00C41D9B"/>
    <w:rsid w:val="00C41DC1"/>
    <w:rsid w:val="00C41E6C"/>
    <w:rsid w:val="00C41E7C"/>
    <w:rsid w:val="00C41E98"/>
    <w:rsid w:val="00C41F46"/>
    <w:rsid w:val="00C420B0"/>
    <w:rsid w:val="00C420DA"/>
    <w:rsid w:val="00C42128"/>
    <w:rsid w:val="00C4227C"/>
    <w:rsid w:val="00C422CD"/>
    <w:rsid w:val="00C42323"/>
    <w:rsid w:val="00C423C9"/>
    <w:rsid w:val="00C423CC"/>
    <w:rsid w:val="00C42424"/>
    <w:rsid w:val="00C4242D"/>
    <w:rsid w:val="00C4248B"/>
    <w:rsid w:val="00C4264A"/>
    <w:rsid w:val="00C42698"/>
    <w:rsid w:val="00C42840"/>
    <w:rsid w:val="00C428F0"/>
    <w:rsid w:val="00C42950"/>
    <w:rsid w:val="00C42963"/>
    <w:rsid w:val="00C4297E"/>
    <w:rsid w:val="00C42996"/>
    <w:rsid w:val="00C42AEA"/>
    <w:rsid w:val="00C42AED"/>
    <w:rsid w:val="00C42B04"/>
    <w:rsid w:val="00C42B90"/>
    <w:rsid w:val="00C42BDA"/>
    <w:rsid w:val="00C42C06"/>
    <w:rsid w:val="00C42C17"/>
    <w:rsid w:val="00C42C54"/>
    <w:rsid w:val="00C42C56"/>
    <w:rsid w:val="00C42D16"/>
    <w:rsid w:val="00C42D26"/>
    <w:rsid w:val="00C42D6D"/>
    <w:rsid w:val="00C42D8D"/>
    <w:rsid w:val="00C42E16"/>
    <w:rsid w:val="00C42E34"/>
    <w:rsid w:val="00C42EB6"/>
    <w:rsid w:val="00C42FD7"/>
    <w:rsid w:val="00C43150"/>
    <w:rsid w:val="00C4322D"/>
    <w:rsid w:val="00C43258"/>
    <w:rsid w:val="00C43280"/>
    <w:rsid w:val="00C4332C"/>
    <w:rsid w:val="00C43331"/>
    <w:rsid w:val="00C433A0"/>
    <w:rsid w:val="00C434DE"/>
    <w:rsid w:val="00C436C8"/>
    <w:rsid w:val="00C436CD"/>
    <w:rsid w:val="00C436DE"/>
    <w:rsid w:val="00C43726"/>
    <w:rsid w:val="00C43748"/>
    <w:rsid w:val="00C43787"/>
    <w:rsid w:val="00C43858"/>
    <w:rsid w:val="00C438A7"/>
    <w:rsid w:val="00C438B4"/>
    <w:rsid w:val="00C43947"/>
    <w:rsid w:val="00C439A9"/>
    <w:rsid w:val="00C439C0"/>
    <w:rsid w:val="00C439CB"/>
    <w:rsid w:val="00C439CF"/>
    <w:rsid w:val="00C43A23"/>
    <w:rsid w:val="00C43A83"/>
    <w:rsid w:val="00C43AAC"/>
    <w:rsid w:val="00C43AC1"/>
    <w:rsid w:val="00C43AEC"/>
    <w:rsid w:val="00C43B47"/>
    <w:rsid w:val="00C43BC0"/>
    <w:rsid w:val="00C43BF9"/>
    <w:rsid w:val="00C43C23"/>
    <w:rsid w:val="00C43C2D"/>
    <w:rsid w:val="00C43C2E"/>
    <w:rsid w:val="00C43C5A"/>
    <w:rsid w:val="00C43D0E"/>
    <w:rsid w:val="00C43D33"/>
    <w:rsid w:val="00C43E04"/>
    <w:rsid w:val="00C43E23"/>
    <w:rsid w:val="00C43EEA"/>
    <w:rsid w:val="00C43F0D"/>
    <w:rsid w:val="00C43F4D"/>
    <w:rsid w:val="00C43F99"/>
    <w:rsid w:val="00C43F9B"/>
    <w:rsid w:val="00C43FFD"/>
    <w:rsid w:val="00C44018"/>
    <w:rsid w:val="00C44050"/>
    <w:rsid w:val="00C44060"/>
    <w:rsid w:val="00C441EC"/>
    <w:rsid w:val="00C4420D"/>
    <w:rsid w:val="00C4422A"/>
    <w:rsid w:val="00C442E2"/>
    <w:rsid w:val="00C44334"/>
    <w:rsid w:val="00C4435E"/>
    <w:rsid w:val="00C44387"/>
    <w:rsid w:val="00C444A0"/>
    <w:rsid w:val="00C444AA"/>
    <w:rsid w:val="00C444F9"/>
    <w:rsid w:val="00C44557"/>
    <w:rsid w:val="00C445F7"/>
    <w:rsid w:val="00C44605"/>
    <w:rsid w:val="00C44618"/>
    <w:rsid w:val="00C44648"/>
    <w:rsid w:val="00C4466C"/>
    <w:rsid w:val="00C446CA"/>
    <w:rsid w:val="00C446D8"/>
    <w:rsid w:val="00C446F0"/>
    <w:rsid w:val="00C447EC"/>
    <w:rsid w:val="00C4488F"/>
    <w:rsid w:val="00C448D0"/>
    <w:rsid w:val="00C44A2A"/>
    <w:rsid w:val="00C44B28"/>
    <w:rsid w:val="00C44BF8"/>
    <w:rsid w:val="00C44C61"/>
    <w:rsid w:val="00C44CA3"/>
    <w:rsid w:val="00C44CA6"/>
    <w:rsid w:val="00C44CD3"/>
    <w:rsid w:val="00C44D40"/>
    <w:rsid w:val="00C44D6A"/>
    <w:rsid w:val="00C44E25"/>
    <w:rsid w:val="00C44E4C"/>
    <w:rsid w:val="00C44EB0"/>
    <w:rsid w:val="00C44EBF"/>
    <w:rsid w:val="00C44EEC"/>
    <w:rsid w:val="00C44F03"/>
    <w:rsid w:val="00C44F4C"/>
    <w:rsid w:val="00C44FB8"/>
    <w:rsid w:val="00C44FDC"/>
    <w:rsid w:val="00C44FE5"/>
    <w:rsid w:val="00C44FEC"/>
    <w:rsid w:val="00C4502A"/>
    <w:rsid w:val="00C4502F"/>
    <w:rsid w:val="00C4503A"/>
    <w:rsid w:val="00C45046"/>
    <w:rsid w:val="00C4504E"/>
    <w:rsid w:val="00C45062"/>
    <w:rsid w:val="00C450B1"/>
    <w:rsid w:val="00C450E8"/>
    <w:rsid w:val="00C45139"/>
    <w:rsid w:val="00C45183"/>
    <w:rsid w:val="00C45194"/>
    <w:rsid w:val="00C451B1"/>
    <w:rsid w:val="00C451D1"/>
    <w:rsid w:val="00C4526D"/>
    <w:rsid w:val="00C4531B"/>
    <w:rsid w:val="00C45325"/>
    <w:rsid w:val="00C4535D"/>
    <w:rsid w:val="00C45379"/>
    <w:rsid w:val="00C453A1"/>
    <w:rsid w:val="00C454CC"/>
    <w:rsid w:val="00C454E9"/>
    <w:rsid w:val="00C454EA"/>
    <w:rsid w:val="00C45503"/>
    <w:rsid w:val="00C45510"/>
    <w:rsid w:val="00C4558B"/>
    <w:rsid w:val="00C455C1"/>
    <w:rsid w:val="00C45619"/>
    <w:rsid w:val="00C45659"/>
    <w:rsid w:val="00C45688"/>
    <w:rsid w:val="00C456D0"/>
    <w:rsid w:val="00C456F0"/>
    <w:rsid w:val="00C45727"/>
    <w:rsid w:val="00C45750"/>
    <w:rsid w:val="00C457BA"/>
    <w:rsid w:val="00C457BE"/>
    <w:rsid w:val="00C457F5"/>
    <w:rsid w:val="00C45840"/>
    <w:rsid w:val="00C459D6"/>
    <w:rsid w:val="00C45A5E"/>
    <w:rsid w:val="00C45A7F"/>
    <w:rsid w:val="00C45A81"/>
    <w:rsid w:val="00C45A9F"/>
    <w:rsid w:val="00C45AE6"/>
    <w:rsid w:val="00C45B7A"/>
    <w:rsid w:val="00C45BB0"/>
    <w:rsid w:val="00C45BF0"/>
    <w:rsid w:val="00C45C15"/>
    <w:rsid w:val="00C45C17"/>
    <w:rsid w:val="00C45C77"/>
    <w:rsid w:val="00C45C8D"/>
    <w:rsid w:val="00C45C93"/>
    <w:rsid w:val="00C45DFC"/>
    <w:rsid w:val="00C45E2C"/>
    <w:rsid w:val="00C45E75"/>
    <w:rsid w:val="00C45F4E"/>
    <w:rsid w:val="00C45F7F"/>
    <w:rsid w:val="00C45FD0"/>
    <w:rsid w:val="00C460E4"/>
    <w:rsid w:val="00C461C3"/>
    <w:rsid w:val="00C4622D"/>
    <w:rsid w:val="00C46356"/>
    <w:rsid w:val="00C4636A"/>
    <w:rsid w:val="00C46433"/>
    <w:rsid w:val="00C46477"/>
    <w:rsid w:val="00C46483"/>
    <w:rsid w:val="00C465BB"/>
    <w:rsid w:val="00C465DC"/>
    <w:rsid w:val="00C465E3"/>
    <w:rsid w:val="00C46644"/>
    <w:rsid w:val="00C46667"/>
    <w:rsid w:val="00C4670D"/>
    <w:rsid w:val="00C46720"/>
    <w:rsid w:val="00C46728"/>
    <w:rsid w:val="00C4677D"/>
    <w:rsid w:val="00C467A1"/>
    <w:rsid w:val="00C467E8"/>
    <w:rsid w:val="00C46895"/>
    <w:rsid w:val="00C468B7"/>
    <w:rsid w:val="00C468EA"/>
    <w:rsid w:val="00C46907"/>
    <w:rsid w:val="00C4692C"/>
    <w:rsid w:val="00C46994"/>
    <w:rsid w:val="00C469D8"/>
    <w:rsid w:val="00C469E2"/>
    <w:rsid w:val="00C46A51"/>
    <w:rsid w:val="00C46AF9"/>
    <w:rsid w:val="00C46B49"/>
    <w:rsid w:val="00C46B98"/>
    <w:rsid w:val="00C46BD1"/>
    <w:rsid w:val="00C46D24"/>
    <w:rsid w:val="00C46D29"/>
    <w:rsid w:val="00C46D61"/>
    <w:rsid w:val="00C46D91"/>
    <w:rsid w:val="00C46DF8"/>
    <w:rsid w:val="00C46E1F"/>
    <w:rsid w:val="00C46E36"/>
    <w:rsid w:val="00C46EEB"/>
    <w:rsid w:val="00C46F92"/>
    <w:rsid w:val="00C46FA3"/>
    <w:rsid w:val="00C47033"/>
    <w:rsid w:val="00C47034"/>
    <w:rsid w:val="00C47048"/>
    <w:rsid w:val="00C4708A"/>
    <w:rsid w:val="00C470E0"/>
    <w:rsid w:val="00C470ED"/>
    <w:rsid w:val="00C470EE"/>
    <w:rsid w:val="00C471DF"/>
    <w:rsid w:val="00C47290"/>
    <w:rsid w:val="00C472FD"/>
    <w:rsid w:val="00C47307"/>
    <w:rsid w:val="00C4731B"/>
    <w:rsid w:val="00C47361"/>
    <w:rsid w:val="00C473C2"/>
    <w:rsid w:val="00C47427"/>
    <w:rsid w:val="00C47465"/>
    <w:rsid w:val="00C474A7"/>
    <w:rsid w:val="00C474D5"/>
    <w:rsid w:val="00C47512"/>
    <w:rsid w:val="00C47532"/>
    <w:rsid w:val="00C4753A"/>
    <w:rsid w:val="00C47542"/>
    <w:rsid w:val="00C47554"/>
    <w:rsid w:val="00C47574"/>
    <w:rsid w:val="00C4757B"/>
    <w:rsid w:val="00C475D9"/>
    <w:rsid w:val="00C476DE"/>
    <w:rsid w:val="00C47758"/>
    <w:rsid w:val="00C478EB"/>
    <w:rsid w:val="00C4793E"/>
    <w:rsid w:val="00C4794B"/>
    <w:rsid w:val="00C47959"/>
    <w:rsid w:val="00C47A1D"/>
    <w:rsid w:val="00C47A3C"/>
    <w:rsid w:val="00C47A95"/>
    <w:rsid w:val="00C47A9A"/>
    <w:rsid w:val="00C47AAA"/>
    <w:rsid w:val="00C47ABE"/>
    <w:rsid w:val="00C47B36"/>
    <w:rsid w:val="00C47B5B"/>
    <w:rsid w:val="00C47B9E"/>
    <w:rsid w:val="00C47BC1"/>
    <w:rsid w:val="00C47C07"/>
    <w:rsid w:val="00C47C59"/>
    <w:rsid w:val="00C47CA0"/>
    <w:rsid w:val="00C47CB0"/>
    <w:rsid w:val="00C47CFC"/>
    <w:rsid w:val="00C47D98"/>
    <w:rsid w:val="00C47D99"/>
    <w:rsid w:val="00C47DBD"/>
    <w:rsid w:val="00C47DC3"/>
    <w:rsid w:val="00C47E95"/>
    <w:rsid w:val="00C47EC4"/>
    <w:rsid w:val="00C47F44"/>
    <w:rsid w:val="00C47F47"/>
    <w:rsid w:val="00C47FA9"/>
    <w:rsid w:val="00C50018"/>
    <w:rsid w:val="00C500CA"/>
    <w:rsid w:val="00C500DD"/>
    <w:rsid w:val="00C50120"/>
    <w:rsid w:val="00C501EC"/>
    <w:rsid w:val="00C501F5"/>
    <w:rsid w:val="00C5021E"/>
    <w:rsid w:val="00C50283"/>
    <w:rsid w:val="00C50284"/>
    <w:rsid w:val="00C502C5"/>
    <w:rsid w:val="00C5031C"/>
    <w:rsid w:val="00C5037A"/>
    <w:rsid w:val="00C50398"/>
    <w:rsid w:val="00C50410"/>
    <w:rsid w:val="00C50412"/>
    <w:rsid w:val="00C5045C"/>
    <w:rsid w:val="00C50475"/>
    <w:rsid w:val="00C504AD"/>
    <w:rsid w:val="00C505C7"/>
    <w:rsid w:val="00C50619"/>
    <w:rsid w:val="00C50651"/>
    <w:rsid w:val="00C506EC"/>
    <w:rsid w:val="00C5071E"/>
    <w:rsid w:val="00C507B0"/>
    <w:rsid w:val="00C507D3"/>
    <w:rsid w:val="00C507F2"/>
    <w:rsid w:val="00C50835"/>
    <w:rsid w:val="00C50846"/>
    <w:rsid w:val="00C5087B"/>
    <w:rsid w:val="00C508A4"/>
    <w:rsid w:val="00C508D2"/>
    <w:rsid w:val="00C50926"/>
    <w:rsid w:val="00C50933"/>
    <w:rsid w:val="00C50960"/>
    <w:rsid w:val="00C5096B"/>
    <w:rsid w:val="00C50A2B"/>
    <w:rsid w:val="00C50A5C"/>
    <w:rsid w:val="00C50A77"/>
    <w:rsid w:val="00C50ADE"/>
    <w:rsid w:val="00C50AF6"/>
    <w:rsid w:val="00C50B61"/>
    <w:rsid w:val="00C50C32"/>
    <w:rsid w:val="00C50C6C"/>
    <w:rsid w:val="00C50CD9"/>
    <w:rsid w:val="00C50D10"/>
    <w:rsid w:val="00C50D20"/>
    <w:rsid w:val="00C50DB8"/>
    <w:rsid w:val="00C50DC5"/>
    <w:rsid w:val="00C50DD7"/>
    <w:rsid w:val="00C50DF9"/>
    <w:rsid w:val="00C50E10"/>
    <w:rsid w:val="00C50E2D"/>
    <w:rsid w:val="00C50E4F"/>
    <w:rsid w:val="00C50E61"/>
    <w:rsid w:val="00C50E78"/>
    <w:rsid w:val="00C50EC2"/>
    <w:rsid w:val="00C50F96"/>
    <w:rsid w:val="00C50FBB"/>
    <w:rsid w:val="00C50FC0"/>
    <w:rsid w:val="00C51067"/>
    <w:rsid w:val="00C51116"/>
    <w:rsid w:val="00C5114A"/>
    <w:rsid w:val="00C5117E"/>
    <w:rsid w:val="00C51184"/>
    <w:rsid w:val="00C5126F"/>
    <w:rsid w:val="00C512FC"/>
    <w:rsid w:val="00C51365"/>
    <w:rsid w:val="00C51366"/>
    <w:rsid w:val="00C51377"/>
    <w:rsid w:val="00C51386"/>
    <w:rsid w:val="00C513B2"/>
    <w:rsid w:val="00C513FF"/>
    <w:rsid w:val="00C5143F"/>
    <w:rsid w:val="00C514B2"/>
    <w:rsid w:val="00C51504"/>
    <w:rsid w:val="00C51560"/>
    <w:rsid w:val="00C51631"/>
    <w:rsid w:val="00C51699"/>
    <w:rsid w:val="00C516AE"/>
    <w:rsid w:val="00C5170B"/>
    <w:rsid w:val="00C51751"/>
    <w:rsid w:val="00C51757"/>
    <w:rsid w:val="00C51768"/>
    <w:rsid w:val="00C51785"/>
    <w:rsid w:val="00C518F5"/>
    <w:rsid w:val="00C51958"/>
    <w:rsid w:val="00C519DE"/>
    <w:rsid w:val="00C519E4"/>
    <w:rsid w:val="00C519EF"/>
    <w:rsid w:val="00C51A0F"/>
    <w:rsid w:val="00C51A9F"/>
    <w:rsid w:val="00C51AB6"/>
    <w:rsid w:val="00C51B4E"/>
    <w:rsid w:val="00C51B72"/>
    <w:rsid w:val="00C51BDF"/>
    <w:rsid w:val="00C51BF7"/>
    <w:rsid w:val="00C51C15"/>
    <w:rsid w:val="00C51C9D"/>
    <w:rsid w:val="00C51CD8"/>
    <w:rsid w:val="00C51D5D"/>
    <w:rsid w:val="00C51DB2"/>
    <w:rsid w:val="00C51DF1"/>
    <w:rsid w:val="00C51E25"/>
    <w:rsid w:val="00C51E4B"/>
    <w:rsid w:val="00C51E65"/>
    <w:rsid w:val="00C51F05"/>
    <w:rsid w:val="00C51F06"/>
    <w:rsid w:val="00C5204D"/>
    <w:rsid w:val="00C52097"/>
    <w:rsid w:val="00C52099"/>
    <w:rsid w:val="00C5212B"/>
    <w:rsid w:val="00C5213F"/>
    <w:rsid w:val="00C5219F"/>
    <w:rsid w:val="00C521F5"/>
    <w:rsid w:val="00C521FA"/>
    <w:rsid w:val="00C521FB"/>
    <w:rsid w:val="00C5221A"/>
    <w:rsid w:val="00C5232A"/>
    <w:rsid w:val="00C52352"/>
    <w:rsid w:val="00C523B6"/>
    <w:rsid w:val="00C523BD"/>
    <w:rsid w:val="00C5241D"/>
    <w:rsid w:val="00C5244E"/>
    <w:rsid w:val="00C5257B"/>
    <w:rsid w:val="00C5259A"/>
    <w:rsid w:val="00C525AB"/>
    <w:rsid w:val="00C525F3"/>
    <w:rsid w:val="00C5264C"/>
    <w:rsid w:val="00C5269A"/>
    <w:rsid w:val="00C526A4"/>
    <w:rsid w:val="00C526B4"/>
    <w:rsid w:val="00C526B6"/>
    <w:rsid w:val="00C526DA"/>
    <w:rsid w:val="00C526DC"/>
    <w:rsid w:val="00C5276A"/>
    <w:rsid w:val="00C527B2"/>
    <w:rsid w:val="00C527EE"/>
    <w:rsid w:val="00C52850"/>
    <w:rsid w:val="00C5285D"/>
    <w:rsid w:val="00C52929"/>
    <w:rsid w:val="00C529FD"/>
    <w:rsid w:val="00C52A3E"/>
    <w:rsid w:val="00C52AB3"/>
    <w:rsid w:val="00C52BE5"/>
    <w:rsid w:val="00C52C2D"/>
    <w:rsid w:val="00C52C4C"/>
    <w:rsid w:val="00C52CBF"/>
    <w:rsid w:val="00C52D27"/>
    <w:rsid w:val="00C52D2F"/>
    <w:rsid w:val="00C52DB1"/>
    <w:rsid w:val="00C52DB8"/>
    <w:rsid w:val="00C52E2F"/>
    <w:rsid w:val="00C52E4A"/>
    <w:rsid w:val="00C52F1E"/>
    <w:rsid w:val="00C52F33"/>
    <w:rsid w:val="00C52F58"/>
    <w:rsid w:val="00C52FC4"/>
    <w:rsid w:val="00C52FF9"/>
    <w:rsid w:val="00C53038"/>
    <w:rsid w:val="00C530F1"/>
    <w:rsid w:val="00C53107"/>
    <w:rsid w:val="00C53108"/>
    <w:rsid w:val="00C5310C"/>
    <w:rsid w:val="00C5313E"/>
    <w:rsid w:val="00C5318A"/>
    <w:rsid w:val="00C531A1"/>
    <w:rsid w:val="00C5322A"/>
    <w:rsid w:val="00C53248"/>
    <w:rsid w:val="00C532D8"/>
    <w:rsid w:val="00C533A1"/>
    <w:rsid w:val="00C533C5"/>
    <w:rsid w:val="00C53427"/>
    <w:rsid w:val="00C5344F"/>
    <w:rsid w:val="00C534BB"/>
    <w:rsid w:val="00C534C4"/>
    <w:rsid w:val="00C534F9"/>
    <w:rsid w:val="00C53501"/>
    <w:rsid w:val="00C5351F"/>
    <w:rsid w:val="00C53558"/>
    <w:rsid w:val="00C53564"/>
    <w:rsid w:val="00C53597"/>
    <w:rsid w:val="00C5359B"/>
    <w:rsid w:val="00C535A5"/>
    <w:rsid w:val="00C535A7"/>
    <w:rsid w:val="00C535D2"/>
    <w:rsid w:val="00C535DF"/>
    <w:rsid w:val="00C535E5"/>
    <w:rsid w:val="00C535E7"/>
    <w:rsid w:val="00C535F5"/>
    <w:rsid w:val="00C536D6"/>
    <w:rsid w:val="00C53770"/>
    <w:rsid w:val="00C53784"/>
    <w:rsid w:val="00C53786"/>
    <w:rsid w:val="00C537B7"/>
    <w:rsid w:val="00C537F6"/>
    <w:rsid w:val="00C5383D"/>
    <w:rsid w:val="00C53843"/>
    <w:rsid w:val="00C5387D"/>
    <w:rsid w:val="00C538BA"/>
    <w:rsid w:val="00C5392A"/>
    <w:rsid w:val="00C5393A"/>
    <w:rsid w:val="00C5396E"/>
    <w:rsid w:val="00C53A05"/>
    <w:rsid w:val="00C53A4F"/>
    <w:rsid w:val="00C53AB2"/>
    <w:rsid w:val="00C53AEC"/>
    <w:rsid w:val="00C53AF7"/>
    <w:rsid w:val="00C53B3C"/>
    <w:rsid w:val="00C53B85"/>
    <w:rsid w:val="00C53BFA"/>
    <w:rsid w:val="00C53C0B"/>
    <w:rsid w:val="00C53C27"/>
    <w:rsid w:val="00C53C3F"/>
    <w:rsid w:val="00C53CE0"/>
    <w:rsid w:val="00C53DD6"/>
    <w:rsid w:val="00C53E61"/>
    <w:rsid w:val="00C53EF6"/>
    <w:rsid w:val="00C53F6C"/>
    <w:rsid w:val="00C53FA5"/>
    <w:rsid w:val="00C53FF4"/>
    <w:rsid w:val="00C540CE"/>
    <w:rsid w:val="00C54125"/>
    <w:rsid w:val="00C54157"/>
    <w:rsid w:val="00C5417E"/>
    <w:rsid w:val="00C541CA"/>
    <w:rsid w:val="00C54210"/>
    <w:rsid w:val="00C5425B"/>
    <w:rsid w:val="00C543A4"/>
    <w:rsid w:val="00C5440A"/>
    <w:rsid w:val="00C544C4"/>
    <w:rsid w:val="00C545AB"/>
    <w:rsid w:val="00C545EC"/>
    <w:rsid w:val="00C54612"/>
    <w:rsid w:val="00C54637"/>
    <w:rsid w:val="00C5463D"/>
    <w:rsid w:val="00C54673"/>
    <w:rsid w:val="00C546C2"/>
    <w:rsid w:val="00C546E7"/>
    <w:rsid w:val="00C54740"/>
    <w:rsid w:val="00C54779"/>
    <w:rsid w:val="00C5479B"/>
    <w:rsid w:val="00C547B1"/>
    <w:rsid w:val="00C547F4"/>
    <w:rsid w:val="00C5482A"/>
    <w:rsid w:val="00C54900"/>
    <w:rsid w:val="00C54937"/>
    <w:rsid w:val="00C5497B"/>
    <w:rsid w:val="00C5499E"/>
    <w:rsid w:val="00C549EE"/>
    <w:rsid w:val="00C54A09"/>
    <w:rsid w:val="00C54A1F"/>
    <w:rsid w:val="00C54A65"/>
    <w:rsid w:val="00C54A74"/>
    <w:rsid w:val="00C54AFC"/>
    <w:rsid w:val="00C54B6E"/>
    <w:rsid w:val="00C54B85"/>
    <w:rsid w:val="00C54BE9"/>
    <w:rsid w:val="00C54BEB"/>
    <w:rsid w:val="00C54C08"/>
    <w:rsid w:val="00C54D50"/>
    <w:rsid w:val="00C54D68"/>
    <w:rsid w:val="00C54E01"/>
    <w:rsid w:val="00C54E12"/>
    <w:rsid w:val="00C54E93"/>
    <w:rsid w:val="00C54E9F"/>
    <w:rsid w:val="00C54EA6"/>
    <w:rsid w:val="00C54F94"/>
    <w:rsid w:val="00C54FCB"/>
    <w:rsid w:val="00C55022"/>
    <w:rsid w:val="00C5516C"/>
    <w:rsid w:val="00C5531B"/>
    <w:rsid w:val="00C55348"/>
    <w:rsid w:val="00C5538B"/>
    <w:rsid w:val="00C553B2"/>
    <w:rsid w:val="00C553DD"/>
    <w:rsid w:val="00C553EA"/>
    <w:rsid w:val="00C553F2"/>
    <w:rsid w:val="00C55449"/>
    <w:rsid w:val="00C554D5"/>
    <w:rsid w:val="00C55515"/>
    <w:rsid w:val="00C55534"/>
    <w:rsid w:val="00C55670"/>
    <w:rsid w:val="00C5569A"/>
    <w:rsid w:val="00C556C6"/>
    <w:rsid w:val="00C556F3"/>
    <w:rsid w:val="00C55708"/>
    <w:rsid w:val="00C5572F"/>
    <w:rsid w:val="00C55737"/>
    <w:rsid w:val="00C5576E"/>
    <w:rsid w:val="00C55826"/>
    <w:rsid w:val="00C558C3"/>
    <w:rsid w:val="00C558F8"/>
    <w:rsid w:val="00C5595E"/>
    <w:rsid w:val="00C559CA"/>
    <w:rsid w:val="00C559D1"/>
    <w:rsid w:val="00C55A5E"/>
    <w:rsid w:val="00C55A7B"/>
    <w:rsid w:val="00C55AA9"/>
    <w:rsid w:val="00C55AD1"/>
    <w:rsid w:val="00C55AEE"/>
    <w:rsid w:val="00C55B26"/>
    <w:rsid w:val="00C55B3D"/>
    <w:rsid w:val="00C55B71"/>
    <w:rsid w:val="00C55BC2"/>
    <w:rsid w:val="00C55BFC"/>
    <w:rsid w:val="00C55C57"/>
    <w:rsid w:val="00C55C61"/>
    <w:rsid w:val="00C55C7D"/>
    <w:rsid w:val="00C55CDF"/>
    <w:rsid w:val="00C55D74"/>
    <w:rsid w:val="00C55DA4"/>
    <w:rsid w:val="00C55DCC"/>
    <w:rsid w:val="00C55DF3"/>
    <w:rsid w:val="00C55E33"/>
    <w:rsid w:val="00C55F44"/>
    <w:rsid w:val="00C55F6B"/>
    <w:rsid w:val="00C55F8D"/>
    <w:rsid w:val="00C55FF5"/>
    <w:rsid w:val="00C56052"/>
    <w:rsid w:val="00C56078"/>
    <w:rsid w:val="00C56087"/>
    <w:rsid w:val="00C5608C"/>
    <w:rsid w:val="00C560D7"/>
    <w:rsid w:val="00C560F2"/>
    <w:rsid w:val="00C5616C"/>
    <w:rsid w:val="00C561D0"/>
    <w:rsid w:val="00C561D8"/>
    <w:rsid w:val="00C561E4"/>
    <w:rsid w:val="00C561FF"/>
    <w:rsid w:val="00C5620F"/>
    <w:rsid w:val="00C56289"/>
    <w:rsid w:val="00C562A3"/>
    <w:rsid w:val="00C562B7"/>
    <w:rsid w:val="00C56320"/>
    <w:rsid w:val="00C56367"/>
    <w:rsid w:val="00C5638F"/>
    <w:rsid w:val="00C563B6"/>
    <w:rsid w:val="00C563B7"/>
    <w:rsid w:val="00C5645B"/>
    <w:rsid w:val="00C56474"/>
    <w:rsid w:val="00C5653E"/>
    <w:rsid w:val="00C5654E"/>
    <w:rsid w:val="00C5659B"/>
    <w:rsid w:val="00C565BF"/>
    <w:rsid w:val="00C565C5"/>
    <w:rsid w:val="00C565F4"/>
    <w:rsid w:val="00C56603"/>
    <w:rsid w:val="00C566C8"/>
    <w:rsid w:val="00C5673B"/>
    <w:rsid w:val="00C56757"/>
    <w:rsid w:val="00C567B3"/>
    <w:rsid w:val="00C567DF"/>
    <w:rsid w:val="00C5681C"/>
    <w:rsid w:val="00C56859"/>
    <w:rsid w:val="00C568E8"/>
    <w:rsid w:val="00C56926"/>
    <w:rsid w:val="00C569CF"/>
    <w:rsid w:val="00C56A05"/>
    <w:rsid w:val="00C56A17"/>
    <w:rsid w:val="00C56A3F"/>
    <w:rsid w:val="00C56A99"/>
    <w:rsid w:val="00C56BA8"/>
    <w:rsid w:val="00C56C65"/>
    <w:rsid w:val="00C56CC1"/>
    <w:rsid w:val="00C56E42"/>
    <w:rsid w:val="00C56E8F"/>
    <w:rsid w:val="00C56F2A"/>
    <w:rsid w:val="00C56F5C"/>
    <w:rsid w:val="00C56F63"/>
    <w:rsid w:val="00C56FCB"/>
    <w:rsid w:val="00C57079"/>
    <w:rsid w:val="00C570E2"/>
    <w:rsid w:val="00C57135"/>
    <w:rsid w:val="00C57272"/>
    <w:rsid w:val="00C572F0"/>
    <w:rsid w:val="00C57389"/>
    <w:rsid w:val="00C5738E"/>
    <w:rsid w:val="00C573BE"/>
    <w:rsid w:val="00C57435"/>
    <w:rsid w:val="00C57456"/>
    <w:rsid w:val="00C57483"/>
    <w:rsid w:val="00C574CA"/>
    <w:rsid w:val="00C574D0"/>
    <w:rsid w:val="00C574FD"/>
    <w:rsid w:val="00C57530"/>
    <w:rsid w:val="00C5754A"/>
    <w:rsid w:val="00C5755B"/>
    <w:rsid w:val="00C57560"/>
    <w:rsid w:val="00C57565"/>
    <w:rsid w:val="00C5757F"/>
    <w:rsid w:val="00C575D0"/>
    <w:rsid w:val="00C5784D"/>
    <w:rsid w:val="00C578AC"/>
    <w:rsid w:val="00C57932"/>
    <w:rsid w:val="00C579D6"/>
    <w:rsid w:val="00C57A18"/>
    <w:rsid w:val="00C57B34"/>
    <w:rsid w:val="00C57B36"/>
    <w:rsid w:val="00C57B44"/>
    <w:rsid w:val="00C57B9B"/>
    <w:rsid w:val="00C57C69"/>
    <w:rsid w:val="00C57CA7"/>
    <w:rsid w:val="00C57CC3"/>
    <w:rsid w:val="00C57CC6"/>
    <w:rsid w:val="00C57CC7"/>
    <w:rsid w:val="00C57CF9"/>
    <w:rsid w:val="00C57D39"/>
    <w:rsid w:val="00C57D72"/>
    <w:rsid w:val="00C57D84"/>
    <w:rsid w:val="00C57DC2"/>
    <w:rsid w:val="00C57E59"/>
    <w:rsid w:val="00C57E69"/>
    <w:rsid w:val="00C57F0E"/>
    <w:rsid w:val="00C57F6F"/>
    <w:rsid w:val="00C60074"/>
    <w:rsid w:val="00C6010E"/>
    <w:rsid w:val="00C601D2"/>
    <w:rsid w:val="00C60224"/>
    <w:rsid w:val="00C602AA"/>
    <w:rsid w:val="00C602BF"/>
    <w:rsid w:val="00C602D1"/>
    <w:rsid w:val="00C602E6"/>
    <w:rsid w:val="00C602FE"/>
    <w:rsid w:val="00C603AC"/>
    <w:rsid w:val="00C603D4"/>
    <w:rsid w:val="00C60431"/>
    <w:rsid w:val="00C60471"/>
    <w:rsid w:val="00C6061E"/>
    <w:rsid w:val="00C6063B"/>
    <w:rsid w:val="00C606CB"/>
    <w:rsid w:val="00C606EC"/>
    <w:rsid w:val="00C60772"/>
    <w:rsid w:val="00C60898"/>
    <w:rsid w:val="00C609A2"/>
    <w:rsid w:val="00C609D5"/>
    <w:rsid w:val="00C609DA"/>
    <w:rsid w:val="00C60A2C"/>
    <w:rsid w:val="00C60A2F"/>
    <w:rsid w:val="00C60A3C"/>
    <w:rsid w:val="00C60A43"/>
    <w:rsid w:val="00C60AA7"/>
    <w:rsid w:val="00C60AD4"/>
    <w:rsid w:val="00C60AFB"/>
    <w:rsid w:val="00C60B18"/>
    <w:rsid w:val="00C60B80"/>
    <w:rsid w:val="00C60C0A"/>
    <w:rsid w:val="00C60C15"/>
    <w:rsid w:val="00C60C9F"/>
    <w:rsid w:val="00C60CBA"/>
    <w:rsid w:val="00C60D06"/>
    <w:rsid w:val="00C60D1A"/>
    <w:rsid w:val="00C60D65"/>
    <w:rsid w:val="00C60DB4"/>
    <w:rsid w:val="00C60E7D"/>
    <w:rsid w:val="00C60E89"/>
    <w:rsid w:val="00C60F22"/>
    <w:rsid w:val="00C60F58"/>
    <w:rsid w:val="00C6101E"/>
    <w:rsid w:val="00C61086"/>
    <w:rsid w:val="00C6109E"/>
    <w:rsid w:val="00C610D3"/>
    <w:rsid w:val="00C6111B"/>
    <w:rsid w:val="00C6111C"/>
    <w:rsid w:val="00C61146"/>
    <w:rsid w:val="00C6115F"/>
    <w:rsid w:val="00C611BE"/>
    <w:rsid w:val="00C611D0"/>
    <w:rsid w:val="00C611D2"/>
    <w:rsid w:val="00C611D7"/>
    <w:rsid w:val="00C61211"/>
    <w:rsid w:val="00C61213"/>
    <w:rsid w:val="00C61318"/>
    <w:rsid w:val="00C6132F"/>
    <w:rsid w:val="00C6135F"/>
    <w:rsid w:val="00C613B6"/>
    <w:rsid w:val="00C613E3"/>
    <w:rsid w:val="00C61413"/>
    <w:rsid w:val="00C6147E"/>
    <w:rsid w:val="00C614B9"/>
    <w:rsid w:val="00C614EA"/>
    <w:rsid w:val="00C61501"/>
    <w:rsid w:val="00C6152E"/>
    <w:rsid w:val="00C6152F"/>
    <w:rsid w:val="00C6162A"/>
    <w:rsid w:val="00C6165A"/>
    <w:rsid w:val="00C61693"/>
    <w:rsid w:val="00C616F2"/>
    <w:rsid w:val="00C61746"/>
    <w:rsid w:val="00C61761"/>
    <w:rsid w:val="00C617DB"/>
    <w:rsid w:val="00C61842"/>
    <w:rsid w:val="00C61901"/>
    <w:rsid w:val="00C6191C"/>
    <w:rsid w:val="00C61A13"/>
    <w:rsid w:val="00C61A3F"/>
    <w:rsid w:val="00C61ABF"/>
    <w:rsid w:val="00C61ADE"/>
    <w:rsid w:val="00C61BB4"/>
    <w:rsid w:val="00C61C19"/>
    <w:rsid w:val="00C61CE5"/>
    <w:rsid w:val="00C61D16"/>
    <w:rsid w:val="00C61D6E"/>
    <w:rsid w:val="00C61DD1"/>
    <w:rsid w:val="00C61DF6"/>
    <w:rsid w:val="00C61E04"/>
    <w:rsid w:val="00C61E06"/>
    <w:rsid w:val="00C61E0E"/>
    <w:rsid w:val="00C61E48"/>
    <w:rsid w:val="00C61E5B"/>
    <w:rsid w:val="00C61FE9"/>
    <w:rsid w:val="00C6203E"/>
    <w:rsid w:val="00C620B3"/>
    <w:rsid w:val="00C62117"/>
    <w:rsid w:val="00C62129"/>
    <w:rsid w:val="00C6217C"/>
    <w:rsid w:val="00C621E9"/>
    <w:rsid w:val="00C6228E"/>
    <w:rsid w:val="00C62318"/>
    <w:rsid w:val="00C6232F"/>
    <w:rsid w:val="00C6235C"/>
    <w:rsid w:val="00C6236F"/>
    <w:rsid w:val="00C623F4"/>
    <w:rsid w:val="00C623FB"/>
    <w:rsid w:val="00C6244F"/>
    <w:rsid w:val="00C62479"/>
    <w:rsid w:val="00C62493"/>
    <w:rsid w:val="00C624D2"/>
    <w:rsid w:val="00C624D6"/>
    <w:rsid w:val="00C624EC"/>
    <w:rsid w:val="00C625B2"/>
    <w:rsid w:val="00C625E7"/>
    <w:rsid w:val="00C625EB"/>
    <w:rsid w:val="00C6262E"/>
    <w:rsid w:val="00C6263B"/>
    <w:rsid w:val="00C62748"/>
    <w:rsid w:val="00C6285A"/>
    <w:rsid w:val="00C628F6"/>
    <w:rsid w:val="00C62AC1"/>
    <w:rsid w:val="00C62B34"/>
    <w:rsid w:val="00C62B38"/>
    <w:rsid w:val="00C62B3D"/>
    <w:rsid w:val="00C62BD6"/>
    <w:rsid w:val="00C62BED"/>
    <w:rsid w:val="00C62C73"/>
    <w:rsid w:val="00C62CF1"/>
    <w:rsid w:val="00C62DD4"/>
    <w:rsid w:val="00C62DDD"/>
    <w:rsid w:val="00C62E22"/>
    <w:rsid w:val="00C62E69"/>
    <w:rsid w:val="00C62EFB"/>
    <w:rsid w:val="00C62F21"/>
    <w:rsid w:val="00C62F99"/>
    <w:rsid w:val="00C62FA6"/>
    <w:rsid w:val="00C62FAA"/>
    <w:rsid w:val="00C62FB0"/>
    <w:rsid w:val="00C62FE5"/>
    <w:rsid w:val="00C63056"/>
    <w:rsid w:val="00C6307E"/>
    <w:rsid w:val="00C6311E"/>
    <w:rsid w:val="00C63178"/>
    <w:rsid w:val="00C63234"/>
    <w:rsid w:val="00C63262"/>
    <w:rsid w:val="00C63274"/>
    <w:rsid w:val="00C6335E"/>
    <w:rsid w:val="00C6336C"/>
    <w:rsid w:val="00C633AA"/>
    <w:rsid w:val="00C63433"/>
    <w:rsid w:val="00C634CA"/>
    <w:rsid w:val="00C6350F"/>
    <w:rsid w:val="00C63523"/>
    <w:rsid w:val="00C63531"/>
    <w:rsid w:val="00C63532"/>
    <w:rsid w:val="00C63571"/>
    <w:rsid w:val="00C635FD"/>
    <w:rsid w:val="00C6361E"/>
    <w:rsid w:val="00C6364E"/>
    <w:rsid w:val="00C636A5"/>
    <w:rsid w:val="00C636DD"/>
    <w:rsid w:val="00C6384D"/>
    <w:rsid w:val="00C638EF"/>
    <w:rsid w:val="00C63926"/>
    <w:rsid w:val="00C63975"/>
    <w:rsid w:val="00C639A9"/>
    <w:rsid w:val="00C63A88"/>
    <w:rsid w:val="00C63AC4"/>
    <w:rsid w:val="00C63AE0"/>
    <w:rsid w:val="00C63B19"/>
    <w:rsid w:val="00C63BA2"/>
    <w:rsid w:val="00C63BB0"/>
    <w:rsid w:val="00C63BC1"/>
    <w:rsid w:val="00C63BDF"/>
    <w:rsid w:val="00C63BEC"/>
    <w:rsid w:val="00C63C12"/>
    <w:rsid w:val="00C63C2C"/>
    <w:rsid w:val="00C63C4B"/>
    <w:rsid w:val="00C63C53"/>
    <w:rsid w:val="00C63C7C"/>
    <w:rsid w:val="00C63CEA"/>
    <w:rsid w:val="00C63D51"/>
    <w:rsid w:val="00C63D54"/>
    <w:rsid w:val="00C63D8F"/>
    <w:rsid w:val="00C63DF4"/>
    <w:rsid w:val="00C63DFB"/>
    <w:rsid w:val="00C63E2B"/>
    <w:rsid w:val="00C63E82"/>
    <w:rsid w:val="00C63EB4"/>
    <w:rsid w:val="00C63ED0"/>
    <w:rsid w:val="00C63EEE"/>
    <w:rsid w:val="00C63F1E"/>
    <w:rsid w:val="00C63F5E"/>
    <w:rsid w:val="00C63F9C"/>
    <w:rsid w:val="00C63FD2"/>
    <w:rsid w:val="00C63FE2"/>
    <w:rsid w:val="00C63FF5"/>
    <w:rsid w:val="00C6403E"/>
    <w:rsid w:val="00C64052"/>
    <w:rsid w:val="00C64064"/>
    <w:rsid w:val="00C64096"/>
    <w:rsid w:val="00C6416E"/>
    <w:rsid w:val="00C64198"/>
    <w:rsid w:val="00C641BD"/>
    <w:rsid w:val="00C64204"/>
    <w:rsid w:val="00C64226"/>
    <w:rsid w:val="00C64230"/>
    <w:rsid w:val="00C64275"/>
    <w:rsid w:val="00C642B0"/>
    <w:rsid w:val="00C6439B"/>
    <w:rsid w:val="00C643F3"/>
    <w:rsid w:val="00C64430"/>
    <w:rsid w:val="00C64490"/>
    <w:rsid w:val="00C644DB"/>
    <w:rsid w:val="00C6457B"/>
    <w:rsid w:val="00C645D4"/>
    <w:rsid w:val="00C645DB"/>
    <w:rsid w:val="00C646B5"/>
    <w:rsid w:val="00C646B6"/>
    <w:rsid w:val="00C646D5"/>
    <w:rsid w:val="00C646EB"/>
    <w:rsid w:val="00C6472C"/>
    <w:rsid w:val="00C64735"/>
    <w:rsid w:val="00C64749"/>
    <w:rsid w:val="00C647AE"/>
    <w:rsid w:val="00C647D2"/>
    <w:rsid w:val="00C6482E"/>
    <w:rsid w:val="00C6489E"/>
    <w:rsid w:val="00C648A7"/>
    <w:rsid w:val="00C648E6"/>
    <w:rsid w:val="00C64948"/>
    <w:rsid w:val="00C649B2"/>
    <w:rsid w:val="00C649B9"/>
    <w:rsid w:val="00C649CB"/>
    <w:rsid w:val="00C64A27"/>
    <w:rsid w:val="00C64A34"/>
    <w:rsid w:val="00C64A3C"/>
    <w:rsid w:val="00C64A5D"/>
    <w:rsid w:val="00C64A80"/>
    <w:rsid w:val="00C64BB1"/>
    <w:rsid w:val="00C64BD0"/>
    <w:rsid w:val="00C64C31"/>
    <w:rsid w:val="00C64CA6"/>
    <w:rsid w:val="00C64CAE"/>
    <w:rsid w:val="00C64DF6"/>
    <w:rsid w:val="00C65103"/>
    <w:rsid w:val="00C651AB"/>
    <w:rsid w:val="00C6521E"/>
    <w:rsid w:val="00C6526E"/>
    <w:rsid w:val="00C652A2"/>
    <w:rsid w:val="00C652E6"/>
    <w:rsid w:val="00C65355"/>
    <w:rsid w:val="00C65366"/>
    <w:rsid w:val="00C653F8"/>
    <w:rsid w:val="00C6543F"/>
    <w:rsid w:val="00C65502"/>
    <w:rsid w:val="00C65523"/>
    <w:rsid w:val="00C65538"/>
    <w:rsid w:val="00C65545"/>
    <w:rsid w:val="00C6555A"/>
    <w:rsid w:val="00C65565"/>
    <w:rsid w:val="00C65579"/>
    <w:rsid w:val="00C65587"/>
    <w:rsid w:val="00C655E5"/>
    <w:rsid w:val="00C65684"/>
    <w:rsid w:val="00C656C1"/>
    <w:rsid w:val="00C656E4"/>
    <w:rsid w:val="00C6571F"/>
    <w:rsid w:val="00C6579F"/>
    <w:rsid w:val="00C657FC"/>
    <w:rsid w:val="00C65845"/>
    <w:rsid w:val="00C658A7"/>
    <w:rsid w:val="00C658DF"/>
    <w:rsid w:val="00C658E8"/>
    <w:rsid w:val="00C65927"/>
    <w:rsid w:val="00C659AB"/>
    <w:rsid w:val="00C65A21"/>
    <w:rsid w:val="00C65A96"/>
    <w:rsid w:val="00C65B10"/>
    <w:rsid w:val="00C65B16"/>
    <w:rsid w:val="00C65B94"/>
    <w:rsid w:val="00C65BE3"/>
    <w:rsid w:val="00C65BF9"/>
    <w:rsid w:val="00C65C0C"/>
    <w:rsid w:val="00C65C56"/>
    <w:rsid w:val="00C65C7C"/>
    <w:rsid w:val="00C65CA8"/>
    <w:rsid w:val="00C65CB3"/>
    <w:rsid w:val="00C65D0A"/>
    <w:rsid w:val="00C65D20"/>
    <w:rsid w:val="00C65D6A"/>
    <w:rsid w:val="00C65D83"/>
    <w:rsid w:val="00C65E29"/>
    <w:rsid w:val="00C65E8B"/>
    <w:rsid w:val="00C65ED8"/>
    <w:rsid w:val="00C65EE5"/>
    <w:rsid w:val="00C65F11"/>
    <w:rsid w:val="00C65F19"/>
    <w:rsid w:val="00C65F51"/>
    <w:rsid w:val="00C65F7E"/>
    <w:rsid w:val="00C6602C"/>
    <w:rsid w:val="00C660E7"/>
    <w:rsid w:val="00C66139"/>
    <w:rsid w:val="00C66141"/>
    <w:rsid w:val="00C6615A"/>
    <w:rsid w:val="00C6617A"/>
    <w:rsid w:val="00C661C4"/>
    <w:rsid w:val="00C662BF"/>
    <w:rsid w:val="00C662CA"/>
    <w:rsid w:val="00C66396"/>
    <w:rsid w:val="00C663DC"/>
    <w:rsid w:val="00C66437"/>
    <w:rsid w:val="00C66444"/>
    <w:rsid w:val="00C66458"/>
    <w:rsid w:val="00C664A7"/>
    <w:rsid w:val="00C66551"/>
    <w:rsid w:val="00C66568"/>
    <w:rsid w:val="00C66577"/>
    <w:rsid w:val="00C66611"/>
    <w:rsid w:val="00C6663D"/>
    <w:rsid w:val="00C6667E"/>
    <w:rsid w:val="00C6667F"/>
    <w:rsid w:val="00C666BE"/>
    <w:rsid w:val="00C66703"/>
    <w:rsid w:val="00C66744"/>
    <w:rsid w:val="00C66759"/>
    <w:rsid w:val="00C6675C"/>
    <w:rsid w:val="00C66767"/>
    <w:rsid w:val="00C6677F"/>
    <w:rsid w:val="00C667C3"/>
    <w:rsid w:val="00C66840"/>
    <w:rsid w:val="00C66850"/>
    <w:rsid w:val="00C669F0"/>
    <w:rsid w:val="00C66A80"/>
    <w:rsid w:val="00C66A99"/>
    <w:rsid w:val="00C66BC1"/>
    <w:rsid w:val="00C66BDF"/>
    <w:rsid w:val="00C66C6A"/>
    <w:rsid w:val="00C66D2B"/>
    <w:rsid w:val="00C66D4C"/>
    <w:rsid w:val="00C66D6B"/>
    <w:rsid w:val="00C66D78"/>
    <w:rsid w:val="00C66E1D"/>
    <w:rsid w:val="00C66E79"/>
    <w:rsid w:val="00C66EA3"/>
    <w:rsid w:val="00C66EB8"/>
    <w:rsid w:val="00C66EFE"/>
    <w:rsid w:val="00C66F7D"/>
    <w:rsid w:val="00C66FF8"/>
    <w:rsid w:val="00C67046"/>
    <w:rsid w:val="00C6708C"/>
    <w:rsid w:val="00C6708E"/>
    <w:rsid w:val="00C670A4"/>
    <w:rsid w:val="00C670B4"/>
    <w:rsid w:val="00C67119"/>
    <w:rsid w:val="00C67123"/>
    <w:rsid w:val="00C67163"/>
    <w:rsid w:val="00C671AB"/>
    <w:rsid w:val="00C671BD"/>
    <w:rsid w:val="00C671DE"/>
    <w:rsid w:val="00C671F1"/>
    <w:rsid w:val="00C671FB"/>
    <w:rsid w:val="00C67200"/>
    <w:rsid w:val="00C67203"/>
    <w:rsid w:val="00C67233"/>
    <w:rsid w:val="00C67256"/>
    <w:rsid w:val="00C6728B"/>
    <w:rsid w:val="00C673B7"/>
    <w:rsid w:val="00C67469"/>
    <w:rsid w:val="00C674BD"/>
    <w:rsid w:val="00C674BE"/>
    <w:rsid w:val="00C6753A"/>
    <w:rsid w:val="00C6757B"/>
    <w:rsid w:val="00C675F0"/>
    <w:rsid w:val="00C67670"/>
    <w:rsid w:val="00C6767D"/>
    <w:rsid w:val="00C67685"/>
    <w:rsid w:val="00C6771A"/>
    <w:rsid w:val="00C67731"/>
    <w:rsid w:val="00C67787"/>
    <w:rsid w:val="00C677A2"/>
    <w:rsid w:val="00C677CB"/>
    <w:rsid w:val="00C6781E"/>
    <w:rsid w:val="00C67833"/>
    <w:rsid w:val="00C67918"/>
    <w:rsid w:val="00C67941"/>
    <w:rsid w:val="00C679ED"/>
    <w:rsid w:val="00C67A29"/>
    <w:rsid w:val="00C67A3B"/>
    <w:rsid w:val="00C67A53"/>
    <w:rsid w:val="00C67A56"/>
    <w:rsid w:val="00C67B3F"/>
    <w:rsid w:val="00C67B89"/>
    <w:rsid w:val="00C67BE0"/>
    <w:rsid w:val="00C67CC0"/>
    <w:rsid w:val="00C67D30"/>
    <w:rsid w:val="00C67D62"/>
    <w:rsid w:val="00C67D99"/>
    <w:rsid w:val="00C67D9F"/>
    <w:rsid w:val="00C67DC8"/>
    <w:rsid w:val="00C67EC9"/>
    <w:rsid w:val="00C67F5B"/>
    <w:rsid w:val="00C67F73"/>
    <w:rsid w:val="00C67F92"/>
    <w:rsid w:val="00C67FC3"/>
    <w:rsid w:val="00C70032"/>
    <w:rsid w:val="00C70093"/>
    <w:rsid w:val="00C700B4"/>
    <w:rsid w:val="00C70115"/>
    <w:rsid w:val="00C701BB"/>
    <w:rsid w:val="00C70230"/>
    <w:rsid w:val="00C70272"/>
    <w:rsid w:val="00C702A1"/>
    <w:rsid w:val="00C702DA"/>
    <w:rsid w:val="00C702E4"/>
    <w:rsid w:val="00C7036A"/>
    <w:rsid w:val="00C703A6"/>
    <w:rsid w:val="00C703D5"/>
    <w:rsid w:val="00C70417"/>
    <w:rsid w:val="00C7041B"/>
    <w:rsid w:val="00C70436"/>
    <w:rsid w:val="00C7043B"/>
    <w:rsid w:val="00C70444"/>
    <w:rsid w:val="00C70495"/>
    <w:rsid w:val="00C704D4"/>
    <w:rsid w:val="00C705A4"/>
    <w:rsid w:val="00C70661"/>
    <w:rsid w:val="00C70699"/>
    <w:rsid w:val="00C706F4"/>
    <w:rsid w:val="00C7072E"/>
    <w:rsid w:val="00C70746"/>
    <w:rsid w:val="00C7075E"/>
    <w:rsid w:val="00C70808"/>
    <w:rsid w:val="00C708A3"/>
    <w:rsid w:val="00C7091C"/>
    <w:rsid w:val="00C70950"/>
    <w:rsid w:val="00C7098A"/>
    <w:rsid w:val="00C70B2E"/>
    <w:rsid w:val="00C70B56"/>
    <w:rsid w:val="00C70B8F"/>
    <w:rsid w:val="00C70C2C"/>
    <w:rsid w:val="00C70DCF"/>
    <w:rsid w:val="00C70E07"/>
    <w:rsid w:val="00C70E3E"/>
    <w:rsid w:val="00C70EC0"/>
    <w:rsid w:val="00C70F53"/>
    <w:rsid w:val="00C70FDE"/>
    <w:rsid w:val="00C71023"/>
    <w:rsid w:val="00C71065"/>
    <w:rsid w:val="00C71074"/>
    <w:rsid w:val="00C71093"/>
    <w:rsid w:val="00C710D2"/>
    <w:rsid w:val="00C710D7"/>
    <w:rsid w:val="00C71161"/>
    <w:rsid w:val="00C7119F"/>
    <w:rsid w:val="00C7120F"/>
    <w:rsid w:val="00C7128E"/>
    <w:rsid w:val="00C712CA"/>
    <w:rsid w:val="00C712D0"/>
    <w:rsid w:val="00C712EB"/>
    <w:rsid w:val="00C7130E"/>
    <w:rsid w:val="00C71321"/>
    <w:rsid w:val="00C71346"/>
    <w:rsid w:val="00C7134A"/>
    <w:rsid w:val="00C713D4"/>
    <w:rsid w:val="00C7141E"/>
    <w:rsid w:val="00C71426"/>
    <w:rsid w:val="00C7145B"/>
    <w:rsid w:val="00C71496"/>
    <w:rsid w:val="00C7150F"/>
    <w:rsid w:val="00C71541"/>
    <w:rsid w:val="00C7154C"/>
    <w:rsid w:val="00C71551"/>
    <w:rsid w:val="00C71566"/>
    <w:rsid w:val="00C71591"/>
    <w:rsid w:val="00C71656"/>
    <w:rsid w:val="00C7166F"/>
    <w:rsid w:val="00C716C1"/>
    <w:rsid w:val="00C71702"/>
    <w:rsid w:val="00C7173C"/>
    <w:rsid w:val="00C7174A"/>
    <w:rsid w:val="00C71778"/>
    <w:rsid w:val="00C71812"/>
    <w:rsid w:val="00C71820"/>
    <w:rsid w:val="00C71830"/>
    <w:rsid w:val="00C71923"/>
    <w:rsid w:val="00C719B9"/>
    <w:rsid w:val="00C719EC"/>
    <w:rsid w:val="00C719EE"/>
    <w:rsid w:val="00C71A4E"/>
    <w:rsid w:val="00C71AD1"/>
    <w:rsid w:val="00C71B57"/>
    <w:rsid w:val="00C71B76"/>
    <w:rsid w:val="00C71BDD"/>
    <w:rsid w:val="00C71C40"/>
    <w:rsid w:val="00C71D60"/>
    <w:rsid w:val="00C71D8D"/>
    <w:rsid w:val="00C71DBC"/>
    <w:rsid w:val="00C71F0A"/>
    <w:rsid w:val="00C71F4F"/>
    <w:rsid w:val="00C71F7F"/>
    <w:rsid w:val="00C71F9E"/>
    <w:rsid w:val="00C71FF5"/>
    <w:rsid w:val="00C7201F"/>
    <w:rsid w:val="00C72032"/>
    <w:rsid w:val="00C72043"/>
    <w:rsid w:val="00C7205C"/>
    <w:rsid w:val="00C720BC"/>
    <w:rsid w:val="00C720F4"/>
    <w:rsid w:val="00C7210C"/>
    <w:rsid w:val="00C72193"/>
    <w:rsid w:val="00C721B3"/>
    <w:rsid w:val="00C7224C"/>
    <w:rsid w:val="00C72288"/>
    <w:rsid w:val="00C722E1"/>
    <w:rsid w:val="00C722FD"/>
    <w:rsid w:val="00C72361"/>
    <w:rsid w:val="00C723D5"/>
    <w:rsid w:val="00C723F3"/>
    <w:rsid w:val="00C72461"/>
    <w:rsid w:val="00C72492"/>
    <w:rsid w:val="00C724CC"/>
    <w:rsid w:val="00C724E0"/>
    <w:rsid w:val="00C724EC"/>
    <w:rsid w:val="00C72515"/>
    <w:rsid w:val="00C72520"/>
    <w:rsid w:val="00C72554"/>
    <w:rsid w:val="00C725D4"/>
    <w:rsid w:val="00C7260A"/>
    <w:rsid w:val="00C72641"/>
    <w:rsid w:val="00C726FA"/>
    <w:rsid w:val="00C72763"/>
    <w:rsid w:val="00C72778"/>
    <w:rsid w:val="00C72790"/>
    <w:rsid w:val="00C72795"/>
    <w:rsid w:val="00C727BC"/>
    <w:rsid w:val="00C727FF"/>
    <w:rsid w:val="00C72815"/>
    <w:rsid w:val="00C728BE"/>
    <w:rsid w:val="00C728F9"/>
    <w:rsid w:val="00C7291C"/>
    <w:rsid w:val="00C7296C"/>
    <w:rsid w:val="00C72997"/>
    <w:rsid w:val="00C72AAB"/>
    <w:rsid w:val="00C72B5E"/>
    <w:rsid w:val="00C72BD6"/>
    <w:rsid w:val="00C72BE1"/>
    <w:rsid w:val="00C72C1B"/>
    <w:rsid w:val="00C72CCF"/>
    <w:rsid w:val="00C72CE4"/>
    <w:rsid w:val="00C72D17"/>
    <w:rsid w:val="00C72DD0"/>
    <w:rsid w:val="00C72FC7"/>
    <w:rsid w:val="00C73039"/>
    <w:rsid w:val="00C73077"/>
    <w:rsid w:val="00C730F8"/>
    <w:rsid w:val="00C7312C"/>
    <w:rsid w:val="00C73162"/>
    <w:rsid w:val="00C732A8"/>
    <w:rsid w:val="00C73331"/>
    <w:rsid w:val="00C733BB"/>
    <w:rsid w:val="00C733ED"/>
    <w:rsid w:val="00C734BC"/>
    <w:rsid w:val="00C735BD"/>
    <w:rsid w:val="00C73600"/>
    <w:rsid w:val="00C7361D"/>
    <w:rsid w:val="00C73674"/>
    <w:rsid w:val="00C736A1"/>
    <w:rsid w:val="00C736CA"/>
    <w:rsid w:val="00C736EF"/>
    <w:rsid w:val="00C73719"/>
    <w:rsid w:val="00C73782"/>
    <w:rsid w:val="00C737BF"/>
    <w:rsid w:val="00C737EC"/>
    <w:rsid w:val="00C7385C"/>
    <w:rsid w:val="00C73861"/>
    <w:rsid w:val="00C738B7"/>
    <w:rsid w:val="00C7395F"/>
    <w:rsid w:val="00C7396C"/>
    <w:rsid w:val="00C7398B"/>
    <w:rsid w:val="00C73990"/>
    <w:rsid w:val="00C739C2"/>
    <w:rsid w:val="00C73A74"/>
    <w:rsid w:val="00C73A94"/>
    <w:rsid w:val="00C73ACD"/>
    <w:rsid w:val="00C73AD6"/>
    <w:rsid w:val="00C73B54"/>
    <w:rsid w:val="00C73C1D"/>
    <w:rsid w:val="00C73C5F"/>
    <w:rsid w:val="00C73CC2"/>
    <w:rsid w:val="00C73DFB"/>
    <w:rsid w:val="00C73E8A"/>
    <w:rsid w:val="00C73E9A"/>
    <w:rsid w:val="00C73F79"/>
    <w:rsid w:val="00C73FC2"/>
    <w:rsid w:val="00C7404D"/>
    <w:rsid w:val="00C740E2"/>
    <w:rsid w:val="00C74119"/>
    <w:rsid w:val="00C74127"/>
    <w:rsid w:val="00C74153"/>
    <w:rsid w:val="00C74217"/>
    <w:rsid w:val="00C74241"/>
    <w:rsid w:val="00C74350"/>
    <w:rsid w:val="00C74352"/>
    <w:rsid w:val="00C74388"/>
    <w:rsid w:val="00C743DA"/>
    <w:rsid w:val="00C74449"/>
    <w:rsid w:val="00C7446B"/>
    <w:rsid w:val="00C744A6"/>
    <w:rsid w:val="00C744B9"/>
    <w:rsid w:val="00C7450B"/>
    <w:rsid w:val="00C74545"/>
    <w:rsid w:val="00C745EC"/>
    <w:rsid w:val="00C746D7"/>
    <w:rsid w:val="00C7476D"/>
    <w:rsid w:val="00C74784"/>
    <w:rsid w:val="00C7480D"/>
    <w:rsid w:val="00C74818"/>
    <w:rsid w:val="00C74843"/>
    <w:rsid w:val="00C74866"/>
    <w:rsid w:val="00C7487C"/>
    <w:rsid w:val="00C7488B"/>
    <w:rsid w:val="00C748E4"/>
    <w:rsid w:val="00C74A06"/>
    <w:rsid w:val="00C74A92"/>
    <w:rsid w:val="00C74A9C"/>
    <w:rsid w:val="00C74B07"/>
    <w:rsid w:val="00C74B4E"/>
    <w:rsid w:val="00C74BB1"/>
    <w:rsid w:val="00C74BB6"/>
    <w:rsid w:val="00C74BDB"/>
    <w:rsid w:val="00C74C6C"/>
    <w:rsid w:val="00C74C7A"/>
    <w:rsid w:val="00C74CE9"/>
    <w:rsid w:val="00C74D41"/>
    <w:rsid w:val="00C74D53"/>
    <w:rsid w:val="00C74D7F"/>
    <w:rsid w:val="00C74E72"/>
    <w:rsid w:val="00C74E96"/>
    <w:rsid w:val="00C74EB6"/>
    <w:rsid w:val="00C74EE1"/>
    <w:rsid w:val="00C74EEB"/>
    <w:rsid w:val="00C74F66"/>
    <w:rsid w:val="00C75090"/>
    <w:rsid w:val="00C75103"/>
    <w:rsid w:val="00C7525F"/>
    <w:rsid w:val="00C75269"/>
    <w:rsid w:val="00C752A3"/>
    <w:rsid w:val="00C752AC"/>
    <w:rsid w:val="00C752E1"/>
    <w:rsid w:val="00C75303"/>
    <w:rsid w:val="00C75404"/>
    <w:rsid w:val="00C7544B"/>
    <w:rsid w:val="00C75451"/>
    <w:rsid w:val="00C7546A"/>
    <w:rsid w:val="00C7548C"/>
    <w:rsid w:val="00C754A6"/>
    <w:rsid w:val="00C7552F"/>
    <w:rsid w:val="00C75550"/>
    <w:rsid w:val="00C755C5"/>
    <w:rsid w:val="00C7566C"/>
    <w:rsid w:val="00C75693"/>
    <w:rsid w:val="00C7569A"/>
    <w:rsid w:val="00C756CA"/>
    <w:rsid w:val="00C75739"/>
    <w:rsid w:val="00C75785"/>
    <w:rsid w:val="00C758A2"/>
    <w:rsid w:val="00C75902"/>
    <w:rsid w:val="00C7592A"/>
    <w:rsid w:val="00C759D5"/>
    <w:rsid w:val="00C759F7"/>
    <w:rsid w:val="00C75A53"/>
    <w:rsid w:val="00C75AF4"/>
    <w:rsid w:val="00C75AFA"/>
    <w:rsid w:val="00C75B26"/>
    <w:rsid w:val="00C75B7D"/>
    <w:rsid w:val="00C75BD7"/>
    <w:rsid w:val="00C75BDF"/>
    <w:rsid w:val="00C75BE5"/>
    <w:rsid w:val="00C75C3B"/>
    <w:rsid w:val="00C75C8F"/>
    <w:rsid w:val="00C75CE8"/>
    <w:rsid w:val="00C75D0B"/>
    <w:rsid w:val="00C75D17"/>
    <w:rsid w:val="00C75E71"/>
    <w:rsid w:val="00C75F58"/>
    <w:rsid w:val="00C75FAF"/>
    <w:rsid w:val="00C7604A"/>
    <w:rsid w:val="00C76066"/>
    <w:rsid w:val="00C760B2"/>
    <w:rsid w:val="00C760D9"/>
    <w:rsid w:val="00C7613A"/>
    <w:rsid w:val="00C7613C"/>
    <w:rsid w:val="00C761A0"/>
    <w:rsid w:val="00C76232"/>
    <w:rsid w:val="00C76272"/>
    <w:rsid w:val="00C762B9"/>
    <w:rsid w:val="00C76391"/>
    <w:rsid w:val="00C763D1"/>
    <w:rsid w:val="00C763D6"/>
    <w:rsid w:val="00C7642F"/>
    <w:rsid w:val="00C7643F"/>
    <w:rsid w:val="00C7647E"/>
    <w:rsid w:val="00C76482"/>
    <w:rsid w:val="00C764F6"/>
    <w:rsid w:val="00C765D7"/>
    <w:rsid w:val="00C766B4"/>
    <w:rsid w:val="00C76725"/>
    <w:rsid w:val="00C76771"/>
    <w:rsid w:val="00C767A8"/>
    <w:rsid w:val="00C767BE"/>
    <w:rsid w:val="00C768EE"/>
    <w:rsid w:val="00C76973"/>
    <w:rsid w:val="00C76A9F"/>
    <w:rsid w:val="00C76B86"/>
    <w:rsid w:val="00C76B9A"/>
    <w:rsid w:val="00C76C1F"/>
    <w:rsid w:val="00C76CAF"/>
    <w:rsid w:val="00C76D13"/>
    <w:rsid w:val="00C76DC7"/>
    <w:rsid w:val="00C76DD7"/>
    <w:rsid w:val="00C76E11"/>
    <w:rsid w:val="00C76E56"/>
    <w:rsid w:val="00C76E5A"/>
    <w:rsid w:val="00C76F5A"/>
    <w:rsid w:val="00C76F63"/>
    <w:rsid w:val="00C76FCF"/>
    <w:rsid w:val="00C7702E"/>
    <w:rsid w:val="00C7703E"/>
    <w:rsid w:val="00C77095"/>
    <w:rsid w:val="00C770D8"/>
    <w:rsid w:val="00C77177"/>
    <w:rsid w:val="00C7717A"/>
    <w:rsid w:val="00C77203"/>
    <w:rsid w:val="00C77280"/>
    <w:rsid w:val="00C77322"/>
    <w:rsid w:val="00C7733D"/>
    <w:rsid w:val="00C77371"/>
    <w:rsid w:val="00C77375"/>
    <w:rsid w:val="00C773E4"/>
    <w:rsid w:val="00C77410"/>
    <w:rsid w:val="00C7751A"/>
    <w:rsid w:val="00C77562"/>
    <w:rsid w:val="00C7756F"/>
    <w:rsid w:val="00C775E3"/>
    <w:rsid w:val="00C775E8"/>
    <w:rsid w:val="00C775E9"/>
    <w:rsid w:val="00C77635"/>
    <w:rsid w:val="00C77652"/>
    <w:rsid w:val="00C776B9"/>
    <w:rsid w:val="00C776C9"/>
    <w:rsid w:val="00C7770A"/>
    <w:rsid w:val="00C77713"/>
    <w:rsid w:val="00C77750"/>
    <w:rsid w:val="00C777AC"/>
    <w:rsid w:val="00C777E3"/>
    <w:rsid w:val="00C778B2"/>
    <w:rsid w:val="00C778E6"/>
    <w:rsid w:val="00C778FE"/>
    <w:rsid w:val="00C77A10"/>
    <w:rsid w:val="00C77A29"/>
    <w:rsid w:val="00C77A48"/>
    <w:rsid w:val="00C77AD8"/>
    <w:rsid w:val="00C77B0D"/>
    <w:rsid w:val="00C77B72"/>
    <w:rsid w:val="00C77C74"/>
    <w:rsid w:val="00C77C7A"/>
    <w:rsid w:val="00C77C81"/>
    <w:rsid w:val="00C77CB5"/>
    <w:rsid w:val="00C77D2B"/>
    <w:rsid w:val="00C77D34"/>
    <w:rsid w:val="00C77D50"/>
    <w:rsid w:val="00C77D88"/>
    <w:rsid w:val="00C77D93"/>
    <w:rsid w:val="00C77E05"/>
    <w:rsid w:val="00C77EB6"/>
    <w:rsid w:val="00C77F28"/>
    <w:rsid w:val="00C77F64"/>
    <w:rsid w:val="00C77F8A"/>
    <w:rsid w:val="00C77F93"/>
    <w:rsid w:val="00C7DFCF"/>
    <w:rsid w:val="00C8012F"/>
    <w:rsid w:val="00C8028F"/>
    <w:rsid w:val="00C802C6"/>
    <w:rsid w:val="00C80313"/>
    <w:rsid w:val="00C80387"/>
    <w:rsid w:val="00C803CC"/>
    <w:rsid w:val="00C803E4"/>
    <w:rsid w:val="00C803F1"/>
    <w:rsid w:val="00C80523"/>
    <w:rsid w:val="00C80562"/>
    <w:rsid w:val="00C8060F"/>
    <w:rsid w:val="00C8062B"/>
    <w:rsid w:val="00C806D2"/>
    <w:rsid w:val="00C80793"/>
    <w:rsid w:val="00C80872"/>
    <w:rsid w:val="00C808A5"/>
    <w:rsid w:val="00C808DC"/>
    <w:rsid w:val="00C808E3"/>
    <w:rsid w:val="00C80913"/>
    <w:rsid w:val="00C80954"/>
    <w:rsid w:val="00C80A94"/>
    <w:rsid w:val="00C80B12"/>
    <w:rsid w:val="00C80B1E"/>
    <w:rsid w:val="00C80B63"/>
    <w:rsid w:val="00C80B75"/>
    <w:rsid w:val="00C80B82"/>
    <w:rsid w:val="00C80BB1"/>
    <w:rsid w:val="00C80BBA"/>
    <w:rsid w:val="00C80BCC"/>
    <w:rsid w:val="00C80BF4"/>
    <w:rsid w:val="00C80C10"/>
    <w:rsid w:val="00C80C28"/>
    <w:rsid w:val="00C80D4C"/>
    <w:rsid w:val="00C80DDA"/>
    <w:rsid w:val="00C80DE9"/>
    <w:rsid w:val="00C80F60"/>
    <w:rsid w:val="00C80F73"/>
    <w:rsid w:val="00C80F7A"/>
    <w:rsid w:val="00C80F91"/>
    <w:rsid w:val="00C80F9E"/>
    <w:rsid w:val="00C80FAB"/>
    <w:rsid w:val="00C81054"/>
    <w:rsid w:val="00C810EE"/>
    <w:rsid w:val="00C81101"/>
    <w:rsid w:val="00C8113E"/>
    <w:rsid w:val="00C811A0"/>
    <w:rsid w:val="00C811BE"/>
    <w:rsid w:val="00C811EC"/>
    <w:rsid w:val="00C812B8"/>
    <w:rsid w:val="00C81335"/>
    <w:rsid w:val="00C8135F"/>
    <w:rsid w:val="00C81362"/>
    <w:rsid w:val="00C813D9"/>
    <w:rsid w:val="00C813E4"/>
    <w:rsid w:val="00C813F8"/>
    <w:rsid w:val="00C8147A"/>
    <w:rsid w:val="00C814B9"/>
    <w:rsid w:val="00C814CD"/>
    <w:rsid w:val="00C814D5"/>
    <w:rsid w:val="00C814EA"/>
    <w:rsid w:val="00C81546"/>
    <w:rsid w:val="00C81555"/>
    <w:rsid w:val="00C815C4"/>
    <w:rsid w:val="00C815F5"/>
    <w:rsid w:val="00C815F7"/>
    <w:rsid w:val="00C816C5"/>
    <w:rsid w:val="00C816CC"/>
    <w:rsid w:val="00C816F9"/>
    <w:rsid w:val="00C8173A"/>
    <w:rsid w:val="00C8175B"/>
    <w:rsid w:val="00C81781"/>
    <w:rsid w:val="00C817A5"/>
    <w:rsid w:val="00C817BC"/>
    <w:rsid w:val="00C817CD"/>
    <w:rsid w:val="00C817F6"/>
    <w:rsid w:val="00C81838"/>
    <w:rsid w:val="00C81857"/>
    <w:rsid w:val="00C81881"/>
    <w:rsid w:val="00C819B9"/>
    <w:rsid w:val="00C819E7"/>
    <w:rsid w:val="00C81A86"/>
    <w:rsid w:val="00C81B85"/>
    <w:rsid w:val="00C81C0D"/>
    <w:rsid w:val="00C81C33"/>
    <w:rsid w:val="00C81CA2"/>
    <w:rsid w:val="00C81CD1"/>
    <w:rsid w:val="00C81CE1"/>
    <w:rsid w:val="00C81D0D"/>
    <w:rsid w:val="00C81DF3"/>
    <w:rsid w:val="00C81E09"/>
    <w:rsid w:val="00C81E19"/>
    <w:rsid w:val="00C81E9A"/>
    <w:rsid w:val="00C82046"/>
    <w:rsid w:val="00C82128"/>
    <w:rsid w:val="00C82189"/>
    <w:rsid w:val="00C82243"/>
    <w:rsid w:val="00C82289"/>
    <w:rsid w:val="00C822D7"/>
    <w:rsid w:val="00C82373"/>
    <w:rsid w:val="00C823B6"/>
    <w:rsid w:val="00C8241F"/>
    <w:rsid w:val="00C8243E"/>
    <w:rsid w:val="00C8245A"/>
    <w:rsid w:val="00C8245C"/>
    <w:rsid w:val="00C824A2"/>
    <w:rsid w:val="00C824A4"/>
    <w:rsid w:val="00C824CB"/>
    <w:rsid w:val="00C824F6"/>
    <w:rsid w:val="00C825F9"/>
    <w:rsid w:val="00C825FA"/>
    <w:rsid w:val="00C82651"/>
    <w:rsid w:val="00C82654"/>
    <w:rsid w:val="00C826C8"/>
    <w:rsid w:val="00C8275A"/>
    <w:rsid w:val="00C8276E"/>
    <w:rsid w:val="00C8279B"/>
    <w:rsid w:val="00C827C7"/>
    <w:rsid w:val="00C8287D"/>
    <w:rsid w:val="00C828CD"/>
    <w:rsid w:val="00C8290A"/>
    <w:rsid w:val="00C8299A"/>
    <w:rsid w:val="00C829DC"/>
    <w:rsid w:val="00C82A0F"/>
    <w:rsid w:val="00C82B10"/>
    <w:rsid w:val="00C82C5E"/>
    <w:rsid w:val="00C82C61"/>
    <w:rsid w:val="00C82D0A"/>
    <w:rsid w:val="00C82D69"/>
    <w:rsid w:val="00C82D78"/>
    <w:rsid w:val="00C82DA1"/>
    <w:rsid w:val="00C82DF0"/>
    <w:rsid w:val="00C82E2B"/>
    <w:rsid w:val="00C82ECA"/>
    <w:rsid w:val="00C82F1E"/>
    <w:rsid w:val="00C82FAA"/>
    <w:rsid w:val="00C82FDC"/>
    <w:rsid w:val="00C8301B"/>
    <w:rsid w:val="00C830BF"/>
    <w:rsid w:val="00C83117"/>
    <w:rsid w:val="00C8320B"/>
    <w:rsid w:val="00C8322A"/>
    <w:rsid w:val="00C83322"/>
    <w:rsid w:val="00C83373"/>
    <w:rsid w:val="00C83395"/>
    <w:rsid w:val="00C8341A"/>
    <w:rsid w:val="00C83456"/>
    <w:rsid w:val="00C83484"/>
    <w:rsid w:val="00C834FA"/>
    <w:rsid w:val="00C8351F"/>
    <w:rsid w:val="00C835C7"/>
    <w:rsid w:val="00C8360B"/>
    <w:rsid w:val="00C8361B"/>
    <w:rsid w:val="00C83692"/>
    <w:rsid w:val="00C836BD"/>
    <w:rsid w:val="00C836C1"/>
    <w:rsid w:val="00C836E7"/>
    <w:rsid w:val="00C83796"/>
    <w:rsid w:val="00C83798"/>
    <w:rsid w:val="00C837DF"/>
    <w:rsid w:val="00C837F2"/>
    <w:rsid w:val="00C8381E"/>
    <w:rsid w:val="00C83875"/>
    <w:rsid w:val="00C83899"/>
    <w:rsid w:val="00C83906"/>
    <w:rsid w:val="00C83909"/>
    <w:rsid w:val="00C8391D"/>
    <w:rsid w:val="00C8392B"/>
    <w:rsid w:val="00C83931"/>
    <w:rsid w:val="00C8393C"/>
    <w:rsid w:val="00C8396B"/>
    <w:rsid w:val="00C83A18"/>
    <w:rsid w:val="00C83A19"/>
    <w:rsid w:val="00C83AD1"/>
    <w:rsid w:val="00C83AE1"/>
    <w:rsid w:val="00C83B0E"/>
    <w:rsid w:val="00C83B95"/>
    <w:rsid w:val="00C83C58"/>
    <w:rsid w:val="00C83C68"/>
    <w:rsid w:val="00C83DF7"/>
    <w:rsid w:val="00C83EBF"/>
    <w:rsid w:val="00C83ECF"/>
    <w:rsid w:val="00C83EF3"/>
    <w:rsid w:val="00C83F47"/>
    <w:rsid w:val="00C8408E"/>
    <w:rsid w:val="00C840DC"/>
    <w:rsid w:val="00C840F8"/>
    <w:rsid w:val="00C841A6"/>
    <w:rsid w:val="00C84277"/>
    <w:rsid w:val="00C8439A"/>
    <w:rsid w:val="00C843AD"/>
    <w:rsid w:val="00C843D2"/>
    <w:rsid w:val="00C84447"/>
    <w:rsid w:val="00C8454A"/>
    <w:rsid w:val="00C84550"/>
    <w:rsid w:val="00C8457F"/>
    <w:rsid w:val="00C845A0"/>
    <w:rsid w:val="00C84620"/>
    <w:rsid w:val="00C84627"/>
    <w:rsid w:val="00C8463F"/>
    <w:rsid w:val="00C84699"/>
    <w:rsid w:val="00C846B8"/>
    <w:rsid w:val="00C846BB"/>
    <w:rsid w:val="00C846E6"/>
    <w:rsid w:val="00C8471C"/>
    <w:rsid w:val="00C8471F"/>
    <w:rsid w:val="00C847B0"/>
    <w:rsid w:val="00C84801"/>
    <w:rsid w:val="00C8489D"/>
    <w:rsid w:val="00C848E8"/>
    <w:rsid w:val="00C849BE"/>
    <w:rsid w:val="00C84A15"/>
    <w:rsid w:val="00C84A3B"/>
    <w:rsid w:val="00C84B1D"/>
    <w:rsid w:val="00C84B6C"/>
    <w:rsid w:val="00C84BB7"/>
    <w:rsid w:val="00C84BC7"/>
    <w:rsid w:val="00C84BE7"/>
    <w:rsid w:val="00C84BFC"/>
    <w:rsid w:val="00C84C06"/>
    <w:rsid w:val="00C84C66"/>
    <w:rsid w:val="00C84CEB"/>
    <w:rsid w:val="00C84E02"/>
    <w:rsid w:val="00C84E16"/>
    <w:rsid w:val="00C84E1F"/>
    <w:rsid w:val="00C84E72"/>
    <w:rsid w:val="00C84E82"/>
    <w:rsid w:val="00C84E9F"/>
    <w:rsid w:val="00C84F6E"/>
    <w:rsid w:val="00C84F73"/>
    <w:rsid w:val="00C84F83"/>
    <w:rsid w:val="00C84FC3"/>
    <w:rsid w:val="00C84FE4"/>
    <w:rsid w:val="00C8505C"/>
    <w:rsid w:val="00C85101"/>
    <w:rsid w:val="00C85163"/>
    <w:rsid w:val="00C851A6"/>
    <w:rsid w:val="00C851D2"/>
    <w:rsid w:val="00C85206"/>
    <w:rsid w:val="00C852A1"/>
    <w:rsid w:val="00C852DD"/>
    <w:rsid w:val="00C8531C"/>
    <w:rsid w:val="00C8535F"/>
    <w:rsid w:val="00C85371"/>
    <w:rsid w:val="00C8539E"/>
    <w:rsid w:val="00C85408"/>
    <w:rsid w:val="00C854A8"/>
    <w:rsid w:val="00C854C2"/>
    <w:rsid w:val="00C854C8"/>
    <w:rsid w:val="00C85571"/>
    <w:rsid w:val="00C8558C"/>
    <w:rsid w:val="00C85600"/>
    <w:rsid w:val="00C8560F"/>
    <w:rsid w:val="00C85646"/>
    <w:rsid w:val="00C8564A"/>
    <w:rsid w:val="00C85670"/>
    <w:rsid w:val="00C85687"/>
    <w:rsid w:val="00C857D9"/>
    <w:rsid w:val="00C8581A"/>
    <w:rsid w:val="00C858FF"/>
    <w:rsid w:val="00C85921"/>
    <w:rsid w:val="00C85937"/>
    <w:rsid w:val="00C8595C"/>
    <w:rsid w:val="00C859A7"/>
    <w:rsid w:val="00C859E1"/>
    <w:rsid w:val="00C85A26"/>
    <w:rsid w:val="00C85B04"/>
    <w:rsid w:val="00C85B2D"/>
    <w:rsid w:val="00C85C92"/>
    <w:rsid w:val="00C85CDC"/>
    <w:rsid w:val="00C85CDF"/>
    <w:rsid w:val="00C85DA7"/>
    <w:rsid w:val="00C85DB3"/>
    <w:rsid w:val="00C85E13"/>
    <w:rsid w:val="00C85E53"/>
    <w:rsid w:val="00C85E58"/>
    <w:rsid w:val="00C85F2E"/>
    <w:rsid w:val="00C86002"/>
    <w:rsid w:val="00C86048"/>
    <w:rsid w:val="00C860C7"/>
    <w:rsid w:val="00C8615F"/>
    <w:rsid w:val="00C86173"/>
    <w:rsid w:val="00C86176"/>
    <w:rsid w:val="00C8617B"/>
    <w:rsid w:val="00C8619F"/>
    <w:rsid w:val="00C8626B"/>
    <w:rsid w:val="00C86308"/>
    <w:rsid w:val="00C8631A"/>
    <w:rsid w:val="00C86321"/>
    <w:rsid w:val="00C86328"/>
    <w:rsid w:val="00C86376"/>
    <w:rsid w:val="00C863C0"/>
    <w:rsid w:val="00C8640C"/>
    <w:rsid w:val="00C86424"/>
    <w:rsid w:val="00C8646A"/>
    <w:rsid w:val="00C86484"/>
    <w:rsid w:val="00C8654C"/>
    <w:rsid w:val="00C865DF"/>
    <w:rsid w:val="00C86653"/>
    <w:rsid w:val="00C866C1"/>
    <w:rsid w:val="00C86718"/>
    <w:rsid w:val="00C86761"/>
    <w:rsid w:val="00C867B4"/>
    <w:rsid w:val="00C867F2"/>
    <w:rsid w:val="00C86818"/>
    <w:rsid w:val="00C8681D"/>
    <w:rsid w:val="00C86822"/>
    <w:rsid w:val="00C8684C"/>
    <w:rsid w:val="00C86864"/>
    <w:rsid w:val="00C868A4"/>
    <w:rsid w:val="00C86909"/>
    <w:rsid w:val="00C86961"/>
    <w:rsid w:val="00C869CA"/>
    <w:rsid w:val="00C869DF"/>
    <w:rsid w:val="00C86ABE"/>
    <w:rsid w:val="00C86AE8"/>
    <w:rsid w:val="00C86B04"/>
    <w:rsid w:val="00C86B2A"/>
    <w:rsid w:val="00C86B44"/>
    <w:rsid w:val="00C86B49"/>
    <w:rsid w:val="00C86B92"/>
    <w:rsid w:val="00C86BA0"/>
    <w:rsid w:val="00C86C41"/>
    <w:rsid w:val="00C86C49"/>
    <w:rsid w:val="00C86C8A"/>
    <w:rsid w:val="00C86CA6"/>
    <w:rsid w:val="00C86CE2"/>
    <w:rsid w:val="00C86E10"/>
    <w:rsid w:val="00C86F3D"/>
    <w:rsid w:val="00C86FC3"/>
    <w:rsid w:val="00C87026"/>
    <w:rsid w:val="00C87073"/>
    <w:rsid w:val="00C870F1"/>
    <w:rsid w:val="00C870FD"/>
    <w:rsid w:val="00C87110"/>
    <w:rsid w:val="00C87148"/>
    <w:rsid w:val="00C871F7"/>
    <w:rsid w:val="00C87259"/>
    <w:rsid w:val="00C87271"/>
    <w:rsid w:val="00C87327"/>
    <w:rsid w:val="00C87458"/>
    <w:rsid w:val="00C87498"/>
    <w:rsid w:val="00C874BC"/>
    <w:rsid w:val="00C8757C"/>
    <w:rsid w:val="00C875D9"/>
    <w:rsid w:val="00C87634"/>
    <w:rsid w:val="00C87721"/>
    <w:rsid w:val="00C877D0"/>
    <w:rsid w:val="00C877F6"/>
    <w:rsid w:val="00C8786F"/>
    <w:rsid w:val="00C878EA"/>
    <w:rsid w:val="00C878F1"/>
    <w:rsid w:val="00C8794C"/>
    <w:rsid w:val="00C8797F"/>
    <w:rsid w:val="00C879BD"/>
    <w:rsid w:val="00C87A26"/>
    <w:rsid w:val="00C87A29"/>
    <w:rsid w:val="00C87A41"/>
    <w:rsid w:val="00C87A69"/>
    <w:rsid w:val="00C87AAD"/>
    <w:rsid w:val="00C87BED"/>
    <w:rsid w:val="00C87BF4"/>
    <w:rsid w:val="00C87CF2"/>
    <w:rsid w:val="00C87D38"/>
    <w:rsid w:val="00C87DB8"/>
    <w:rsid w:val="00C87DC0"/>
    <w:rsid w:val="00C87E53"/>
    <w:rsid w:val="00C87E9E"/>
    <w:rsid w:val="00C87EE2"/>
    <w:rsid w:val="00C87F09"/>
    <w:rsid w:val="00C87F77"/>
    <w:rsid w:val="00C90024"/>
    <w:rsid w:val="00C900E6"/>
    <w:rsid w:val="00C90112"/>
    <w:rsid w:val="00C90127"/>
    <w:rsid w:val="00C90137"/>
    <w:rsid w:val="00C901FC"/>
    <w:rsid w:val="00C902EC"/>
    <w:rsid w:val="00C90304"/>
    <w:rsid w:val="00C90308"/>
    <w:rsid w:val="00C9036D"/>
    <w:rsid w:val="00C903B5"/>
    <w:rsid w:val="00C9044C"/>
    <w:rsid w:val="00C90459"/>
    <w:rsid w:val="00C9047E"/>
    <w:rsid w:val="00C90487"/>
    <w:rsid w:val="00C90494"/>
    <w:rsid w:val="00C90580"/>
    <w:rsid w:val="00C905AB"/>
    <w:rsid w:val="00C9063A"/>
    <w:rsid w:val="00C90682"/>
    <w:rsid w:val="00C90693"/>
    <w:rsid w:val="00C906EE"/>
    <w:rsid w:val="00C9077E"/>
    <w:rsid w:val="00C908DE"/>
    <w:rsid w:val="00C90916"/>
    <w:rsid w:val="00C90997"/>
    <w:rsid w:val="00C909ED"/>
    <w:rsid w:val="00C909F9"/>
    <w:rsid w:val="00C90A09"/>
    <w:rsid w:val="00C90A4E"/>
    <w:rsid w:val="00C90BB7"/>
    <w:rsid w:val="00C90BBF"/>
    <w:rsid w:val="00C90BEE"/>
    <w:rsid w:val="00C90C21"/>
    <w:rsid w:val="00C90C23"/>
    <w:rsid w:val="00C90C62"/>
    <w:rsid w:val="00C90C6B"/>
    <w:rsid w:val="00C90CEA"/>
    <w:rsid w:val="00C90DC5"/>
    <w:rsid w:val="00C90E67"/>
    <w:rsid w:val="00C90E7F"/>
    <w:rsid w:val="00C90EE5"/>
    <w:rsid w:val="00C90F1E"/>
    <w:rsid w:val="00C90F28"/>
    <w:rsid w:val="00C90FCF"/>
    <w:rsid w:val="00C9101F"/>
    <w:rsid w:val="00C91046"/>
    <w:rsid w:val="00C91099"/>
    <w:rsid w:val="00C910D3"/>
    <w:rsid w:val="00C9112A"/>
    <w:rsid w:val="00C9115F"/>
    <w:rsid w:val="00C91168"/>
    <w:rsid w:val="00C9117D"/>
    <w:rsid w:val="00C911FE"/>
    <w:rsid w:val="00C91233"/>
    <w:rsid w:val="00C9124B"/>
    <w:rsid w:val="00C912CE"/>
    <w:rsid w:val="00C912EE"/>
    <w:rsid w:val="00C913DA"/>
    <w:rsid w:val="00C913F9"/>
    <w:rsid w:val="00C91408"/>
    <w:rsid w:val="00C91494"/>
    <w:rsid w:val="00C914AD"/>
    <w:rsid w:val="00C914B1"/>
    <w:rsid w:val="00C914D4"/>
    <w:rsid w:val="00C9156A"/>
    <w:rsid w:val="00C91601"/>
    <w:rsid w:val="00C91659"/>
    <w:rsid w:val="00C91691"/>
    <w:rsid w:val="00C91752"/>
    <w:rsid w:val="00C91838"/>
    <w:rsid w:val="00C9185D"/>
    <w:rsid w:val="00C9186B"/>
    <w:rsid w:val="00C9188B"/>
    <w:rsid w:val="00C918AC"/>
    <w:rsid w:val="00C91952"/>
    <w:rsid w:val="00C9198F"/>
    <w:rsid w:val="00C919E6"/>
    <w:rsid w:val="00C91A75"/>
    <w:rsid w:val="00C91AAE"/>
    <w:rsid w:val="00C91AC4"/>
    <w:rsid w:val="00C91C55"/>
    <w:rsid w:val="00C91D21"/>
    <w:rsid w:val="00C91D6F"/>
    <w:rsid w:val="00C91DB9"/>
    <w:rsid w:val="00C91E29"/>
    <w:rsid w:val="00C91FC0"/>
    <w:rsid w:val="00C92023"/>
    <w:rsid w:val="00C92037"/>
    <w:rsid w:val="00C9203C"/>
    <w:rsid w:val="00C920E6"/>
    <w:rsid w:val="00C9212E"/>
    <w:rsid w:val="00C92136"/>
    <w:rsid w:val="00C9226F"/>
    <w:rsid w:val="00C92282"/>
    <w:rsid w:val="00C92330"/>
    <w:rsid w:val="00C92336"/>
    <w:rsid w:val="00C923CB"/>
    <w:rsid w:val="00C923DE"/>
    <w:rsid w:val="00C923F5"/>
    <w:rsid w:val="00C92414"/>
    <w:rsid w:val="00C92442"/>
    <w:rsid w:val="00C924E6"/>
    <w:rsid w:val="00C92515"/>
    <w:rsid w:val="00C9259F"/>
    <w:rsid w:val="00C92611"/>
    <w:rsid w:val="00C9263B"/>
    <w:rsid w:val="00C92649"/>
    <w:rsid w:val="00C926D9"/>
    <w:rsid w:val="00C926DD"/>
    <w:rsid w:val="00C926E8"/>
    <w:rsid w:val="00C92797"/>
    <w:rsid w:val="00C92816"/>
    <w:rsid w:val="00C92840"/>
    <w:rsid w:val="00C92884"/>
    <w:rsid w:val="00C92897"/>
    <w:rsid w:val="00C928D9"/>
    <w:rsid w:val="00C92988"/>
    <w:rsid w:val="00C9299B"/>
    <w:rsid w:val="00C92A3F"/>
    <w:rsid w:val="00C92A48"/>
    <w:rsid w:val="00C92AC6"/>
    <w:rsid w:val="00C92B23"/>
    <w:rsid w:val="00C92B26"/>
    <w:rsid w:val="00C92B4C"/>
    <w:rsid w:val="00C92B6A"/>
    <w:rsid w:val="00C92BDD"/>
    <w:rsid w:val="00C92C2F"/>
    <w:rsid w:val="00C92C41"/>
    <w:rsid w:val="00C92C8A"/>
    <w:rsid w:val="00C92CA4"/>
    <w:rsid w:val="00C92CEE"/>
    <w:rsid w:val="00C92D42"/>
    <w:rsid w:val="00C92D9C"/>
    <w:rsid w:val="00C92DF6"/>
    <w:rsid w:val="00C92ED1"/>
    <w:rsid w:val="00C92FDF"/>
    <w:rsid w:val="00C92FF3"/>
    <w:rsid w:val="00C92FFA"/>
    <w:rsid w:val="00C93114"/>
    <w:rsid w:val="00C931B5"/>
    <w:rsid w:val="00C93237"/>
    <w:rsid w:val="00C93314"/>
    <w:rsid w:val="00C93322"/>
    <w:rsid w:val="00C933C9"/>
    <w:rsid w:val="00C93422"/>
    <w:rsid w:val="00C93456"/>
    <w:rsid w:val="00C934D0"/>
    <w:rsid w:val="00C93577"/>
    <w:rsid w:val="00C935A0"/>
    <w:rsid w:val="00C935A9"/>
    <w:rsid w:val="00C935BC"/>
    <w:rsid w:val="00C935DA"/>
    <w:rsid w:val="00C93668"/>
    <w:rsid w:val="00C93731"/>
    <w:rsid w:val="00C93765"/>
    <w:rsid w:val="00C93772"/>
    <w:rsid w:val="00C9378E"/>
    <w:rsid w:val="00C93854"/>
    <w:rsid w:val="00C93872"/>
    <w:rsid w:val="00C93891"/>
    <w:rsid w:val="00C93892"/>
    <w:rsid w:val="00C9389E"/>
    <w:rsid w:val="00C938B6"/>
    <w:rsid w:val="00C938C7"/>
    <w:rsid w:val="00C938E6"/>
    <w:rsid w:val="00C93900"/>
    <w:rsid w:val="00C93905"/>
    <w:rsid w:val="00C939DF"/>
    <w:rsid w:val="00C939E6"/>
    <w:rsid w:val="00C939ED"/>
    <w:rsid w:val="00C93A28"/>
    <w:rsid w:val="00C93B05"/>
    <w:rsid w:val="00C93B88"/>
    <w:rsid w:val="00C93B8A"/>
    <w:rsid w:val="00C93BA2"/>
    <w:rsid w:val="00C93BC8"/>
    <w:rsid w:val="00C93C61"/>
    <w:rsid w:val="00C93E5B"/>
    <w:rsid w:val="00C93E5E"/>
    <w:rsid w:val="00C93EFC"/>
    <w:rsid w:val="00C93F28"/>
    <w:rsid w:val="00C93F61"/>
    <w:rsid w:val="00C93FBE"/>
    <w:rsid w:val="00C93FC0"/>
    <w:rsid w:val="00C93FEB"/>
    <w:rsid w:val="00C94043"/>
    <w:rsid w:val="00C940CD"/>
    <w:rsid w:val="00C940CF"/>
    <w:rsid w:val="00C94136"/>
    <w:rsid w:val="00C94176"/>
    <w:rsid w:val="00C941D7"/>
    <w:rsid w:val="00C941EB"/>
    <w:rsid w:val="00C94205"/>
    <w:rsid w:val="00C94209"/>
    <w:rsid w:val="00C942EE"/>
    <w:rsid w:val="00C9439A"/>
    <w:rsid w:val="00C943A8"/>
    <w:rsid w:val="00C943A9"/>
    <w:rsid w:val="00C943DF"/>
    <w:rsid w:val="00C94408"/>
    <w:rsid w:val="00C94431"/>
    <w:rsid w:val="00C94488"/>
    <w:rsid w:val="00C944A8"/>
    <w:rsid w:val="00C944E3"/>
    <w:rsid w:val="00C94596"/>
    <w:rsid w:val="00C945C3"/>
    <w:rsid w:val="00C945C9"/>
    <w:rsid w:val="00C945D7"/>
    <w:rsid w:val="00C945D8"/>
    <w:rsid w:val="00C94673"/>
    <w:rsid w:val="00C94707"/>
    <w:rsid w:val="00C9471D"/>
    <w:rsid w:val="00C947C0"/>
    <w:rsid w:val="00C947E6"/>
    <w:rsid w:val="00C94876"/>
    <w:rsid w:val="00C9494F"/>
    <w:rsid w:val="00C94994"/>
    <w:rsid w:val="00C949D7"/>
    <w:rsid w:val="00C94A30"/>
    <w:rsid w:val="00C94A58"/>
    <w:rsid w:val="00C94AED"/>
    <w:rsid w:val="00C94BC0"/>
    <w:rsid w:val="00C94BF4"/>
    <w:rsid w:val="00C94DC6"/>
    <w:rsid w:val="00C94E22"/>
    <w:rsid w:val="00C94E42"/>
    <w:rsid w:val="00C94EA8"/>
    <w:rsid w:val="00C94ED6"/>
    <w:rsid w:val="00C94F0A"/>
    <w:rsid w:val="00C94F19"/>
    <w:rsid w:val="00C94F41"/>
    <w:rsid w:val="00C94F74"/>
    <w:rsid w:val="00C94FF1"/>
    <w:rsid w:val="00C95023"/>
    <w:rsid w:val="00C9502D"/>
    <w:rsid w:val="00C9504E"/>
    <w:rsid w:val="00C9506F"/>
    <w:rsid w:val="00C950B8"/>
    <w:rsid w:val="00C950E8"/>
    <w:rsid w:val="00C95146"/>
    <w:rsid w:val="00C951DC"/>
    <w:rsid w:val="00C951F3"/>
    <w:rsid w:val="00C951FD"/>
    <w:rsid w:val="00C9522B"/>
    <w:rsid w:val="00C9523F"/>
    <w:rsid w:val="00C95240"/>
    <w:rsid w:val="00C952DE"/>
    <w:rsid w:val="00C9530F"/>
    <w:rsid w:val="00C95335"/>
    <w:rsid w:val="00C953C0"/>
    <w:rsid w:val="00C953D5"/>
    <w:rsid w:val="00C953F1"/>
    <w:rsid w:val="00C953FB"/>
    <w:rsid w:val="00C9540A"/>
    <w:rsid w:val="00C9543D"/>
    <w:rsid w:val="00C9548F"/>
    <w:rsid w:val="00C95529"/>
    <w:rsid w:val="00C9557B"/>
    <w:rsid w:val="00C95618"/>
    <w:rsid w:val="00C95748"/>
    <w:rsid w:val="00C9574E"/>
    <w:rsid w:val="00C95835"/>
    <w:rsid w:val="00C95897"/>
    <w:rsid w:val="00C958BD"/>
    <w:rsid w:val="00C95A01"/>
    <w:rsid w:val="00C95A32"/>
    <w:rsid w:val="00C95A78"/>
    <w:rsid w:val="00C95A7C"/>
    <w:rsid w:val="00C95B8F"/>
    <w:rsid w:val="00C95B91"/>
    <w:rsid w:val="00C95D37"/>
    <w:rsid w:val="00C95DBD"/>
    <w:rsid w:val="00C95E4E"/>
    <w:rsid w:val="00C95E9C"/>
    <w:rsid w:val="00C95EE3"/>
    <w:rsid w:val="00C95F5A"/>
    <w:rsid w:val="00C95F5B"/>
    <w:rsid w:val="00C9604A"/>
    <w:rsid w:val="00C96063"/>
    <w:rsid w:val="00C960B6"/>
    <w:rsid w:val="00C96186"/>
    <w:rsid w:val="00C961EC"/>
    <w:rsid w:val="00C96382"/>
    <w:rsid w:val="00C963D6"/>
    <w:rsid w:val="00C965B5"/>
    <w:rsid w:val="00C965C5"/>
    <w:rsid w:val="00C965DA"/>
    <w:rsid w:val="00C96638"/>
    <w:rsid w:val="00C96657"/>
    <w:rsid w:val="00C96687"/>
    <w:rsid w:val="00C96695"/>
    <w:rsid w:val="00C966EB"/>
    <w:rsid w:val="00C96778"/>
    <w:rsid w:val="00C967D8"/>
    <w:rsid w:val="00C9686D"/>
    <w:rsid w:val="00C96872"/>
    <w:rsid w:val="00C968D1"/>
    <w:rsid w:val="00C96911"/>
    <w:rsid w:val="00C96988"/>
    <w:rsid w:val="00C9699F"/>
    <w:rsid w:val="00C969A9"/>
    <w:rsid w:val="00C969FB"/>
    <w:rsid w:val="00C96A59"/>
    <w:rsid w:val="00C96B60"/>
    <w:rsid w:val="00C96B77"/>
    <w:rsid w:val="00C96C09"/>
    <w:rsid w:val="00C96C0E"/>
    <w:rsid w:val="00C96CD9"/>
    <w:rsid w:val="00C96CF1"/>
    <w:rsid w:val="00C96DF6"/>
    <w:rsid w:val="00C96E33"/>
    <w:rsid w:val="00C96E73"/>
    <w:rsid w:val="00C96EA4"/>
    <w:rsid w:val="00C96EA6"/>
    <w:rsid w:val="00C96ED6"/>
    <w:rsid w:val="00C96EF2"/>
    <w:rsid w:val="00C96F81"/>
    <w:rsid w:val="00C96F8C"/>
    <w:rsid w:val="00C97043"/>
    <w:rsid w:val="00C9705E"/>
    <w:rsid w:val="00C97065"/>
    <w:rsid w:val="00C97116"/>
    <w:rsid w:val="00C971F0"/>
    <w:rsid w:val="00C97254"/>
    <w:rsid w:val="00C97267"/>
    <w:rsid w:val="00C972EC"/>
    <w:rsid w:val="00C97332"/>
    <w:rsid w:val="00C97340"/>
    <w:rsid w:val="00C973FD"/>
    <w:rsid w:val="00C97430"/>
    <w:rsid w:val="00C97444"/>
    <w:rsid w:val="00C97496"/>
    <w:rsid w:val="00C9749E"/>
    <w:rsid w:val="00C974DC"/>
    <w:rsid w:val="00C97534"/>
    <w:rsid w:val="00C9758B"/>
    <w:rsid w:val="00C9758E"/>
    <w:rsid w:val="00C975C1"/>
    <w:rsid w:val="00C975ED"/>
    <w:rsid w:val="00C9760C"/>
    <w:rsid w:val="00C97636"/>
    <w:rsid w:val="00C976B0"/>
    <w:rsid w:val="00C976DB"/>
    <w:rsid w:val="00C97702"/>
    <w:rsid w:val="00C97790"/>
    <w:rsid w:val="00C977CF"/>
    <w:rsid w:val="00C977F4"/>
    <w:rsid w:val="00C97821"/>
    <w:rsid w:val="00C97842"/>
    <w:rsid w:val="00C97996"/>
    <w:rsid w:val="00C97A5E"/>
    <w:rsid w:val="00C97A6D"/>
    <w:rsid w:val="00C97A83"/>
    <w:rsid w:val="00C97A97"/>
    <w:rsid w:val="00C97AA4"/>
    <w:rsid w:val="00C97ADC"/>
    <w:rsid w:val="00C97AEB"/>
    <w:rsid w:val="00C97B36"/>
    <w:rsid w:val="00C97B79"/>
    <w:rsid w:val="00C97B9D"/>
    <w:rsid w:val="00C97C26"/>
    <w:rsid w:val="00C97C96"/>
    <w:rsid w:val="00C97D02"/>
    <w:rsid w:val="00C97E3D"/>
    <w:rsid w:val="00C97E3F"/>
    <w:rsid w:val="00C97E6C"/>
    <w:rsid w:val="00C97E7F"/>
    <w:rsid w:val="00C97EA6"/>
    <w:rsid w:val="00C97ECA"/>
    <w:rsid w:val="00C97ECF"/>
    <w:rsid w:val="00C97FF5"/>
    <w:rsid w:val="00CA0113"/>
    <w:rsid w:val="00CA01C7"/>
    <w:rsid w:val="00CA036C"/>
    <w:rsid w:val="00CA03B5"/>
    <w:rsid w:val="00CA03DF"/>
    <w:rsid w:val="00CA042A"/>
    <w:rsid w:val="00CA0439"/>
    <w:rsid w:val="00CA0441"/>
    <w:rsid w:val="00CA044B"/>
    <w:rsid w:val="00CA049D"/>
    <w:rsid w:val="00CA04DB"/>
    <w:rsid w:val="00CA0538"/>
    <w:rsid w:val="00CA0545"/>
    <w:rsid w:val="00CA0568"/>
    <w:rsid w:val="00CA05C7"/>
    <w:rsid w:val="00CA0608"/>
    <w:rsid w:val="00CA06F3"/>
    <w:rsid w:val="00CA0734"/>
    <w:rsid w:val="00CA073A"/>
    <w:rsid w:val="00CA086D"/>
    <w:rsid w:val="00CA096B"/>
    <w:rsid w:val="00CA097F"/>
    <w:rsid w:val="00CA09CB"/>
    <w:rsid w:val="00CA09F2"/>
    <w:rsid w:val="00CA0A0F"/>
    <w:rsid w:val="00CA0A84"/>
    <w:rsid w:val="00CA0AA7"/>
    <w:rsid w:val="00CA0AF7"/>
    <w:rsid w:val="00CA0B18"/>
    <w:rsid w:val="00CA0B1D"/>
    <w:rsid w:val="00CA0B38"/>
    <w:rsid w:val="00CA0B43"/>
    <w:rsid w:val="00CA0B62"/>
    <w:rsid w:val="00CA0B92"/>
    <w:rsid w:val="00CA0C53"/>
    <w:rsid w:val="00CA0CB3"/>
    <w:rsid w:val="00CA0D7B"/>
    <w:rsid w:val="00CA0DB7"/>
    <w:rsid w:val="00CA0DB8"/>
    <w:rsid w:val="00CA0E7C"/>
    <w:rsid w:val="00CA0F49"/>
    <w:rsid w:val="00CA0F91"/>
    <w:rsid w:val="00CA101B"/>
    <w:rsid w:val="00CA10C0"/>
    <w:rsid w:val="00CA10E2"/>
    <w:rsid w:val="00CA1119"/>
    <w:rsid w:val="00CA11AF"/>
    <w:rsid w:val="00CA11ED"/>
    <w:rsid w:val="00CA11F2"/>
    <w:rsid w:val="00CA1213"/>
    <w:rsid w:val="00CA122B"/>
    <w:rsid w:val="00CA1329"/>
    <w:rsid w:val="00CA132A"/>
    <w:rsid w:val="00CA1453"/>
    <w:rsid w:val="00CA1467"/>
    <w:rsid w:val="00CA1484"/>
    <w:rsid w:val="00CA14AF"/>
    <w:rsid w:val="00CA14CC"/>
    <w:rsid w:val="00CA153F"/>
    <w:rsid w:val="00CA1551"/>
    <w:rsid w:val="00CA15AC"/>
    <w:rsid w:val="00CA161B"/>
    <w:rsid w:val="00CA1681"/>
    <w:rsid w:val="00CA171C"/>
    <w:rsid w:val="00CA1749"/>
    <w:rsid w:val="00CA17A1"/>
    <w:rsid w:val="00CA17BA"/>
    <w:rsid w:val="00CA17CD"/>
    <w:rsid w:val="00CA1819"/>
    <w:rsid w:val="00CA18F4"/>
    <w:rsid w:val="00CA1948"/>
    <w:rsid w:val="00CA1993"/>
    <w:rsid w:val="00CA19FC"/>
    <w:rsid w:val="00CA1A5D"/>
    <w:rsid w:val="00CA1AED"/>
    <w:rsid w:val="00CA1B4A"/>
    <w:rsid w:val="00CA1B61"/>
    <w:rsid w:val="00CA1BAD"/>
    <w:rsid w:val="00CA1BF6"/>
    <w:rsid w:val="00CA1C81"/>
    <w:rsid w:val="00CA1CC3"/>
    <w:rsid w:val="00CA1D7B"/>
    <w:rsid w:val="00CA1DCA"/>
    <w:rsid w:val="00CA1F1C"/>
    <w:rsid w:val="00CA1F25"/>
    <w:rsid w:val="00CA1F45"/>
    <w:rsid w:val="00CA1FE0"/>
    <w:rsid w:val="00CA1FEC"/>
    <w:rsid w:val="00CA205A"/>
    <w:rsid w:val="00CA20E2"/>
    <w:rsid w:val="00CA2165"/>
    <w:rsid w:val="00CA2203"/>
    <w:rsid w:val="00CA220F"/>
    <w:rsid w:val="00CA223A"/>
    <w:rsid w:val="00CA22F9"/>
    <w:rsid w:val="00CA2305"/>
    <w:rsid w:val="00CA233F"/>
    <w:rsid w:val="00CA2354"/>
    <w:rsid w:val="00CA23DD"/>
    <w:rsid w:val="00CA241E"/>
    <w:rsid w:val="00CA2576"/>
    <w:rsid w:val="00CA2609"/>
    <w:rsid w:val="00CA2680"/>
    <w:rsid w:val="00CA26DF"/>
    <w:rsid w:val="00CA2796"/>
    <w:rsid w:val="00CA27AD"/>
    <w:rsid w:val="00CA2893"/>
    <w:rsid w:val="00CA28F6"/>
    <w:rsid w:val="00CA292C"/>
    <w:rsid w:val="00CA295B"/>
    <w:rsid w:val="00CA2977"/>
    <w:rsid w:val="00CA29A7"/>
    <w:rsid w:val="00CA29ED"/>
    <w:rsid w:val="00CA2B45"/>
    <w:rsid w:val="00CA2BFE"/>
    <w:rsid w:val="00CA2C07"/>
    <w:rsid w:val="00CA2CE2"/>
    <w:rsid w:val="00CA2F1C"/>
    <w:rsid w:val="00CA2F28"/>
    <w:rsid w:val="00CA2F2C"/>
    <w:rsid w:val="00CA2F85"/>
    <w:rsid w:val="00CA2FB0"/>
    <w:rsid w:val="00CA2FBD"/>
    <w:rsid w:val="00CA2FC5"/>
    <w:rsid w:val="00CA2FE7"/>
    <w:rsid w:val="00CA2FFA"/>
    <w:rsid w:val="00CA2FFC"/>
    <w:rsid w:val="00CA3042"/>
    <w:rsid w:val="00CA3087"/>
    <w:rsid w:val="00CA3089"/>
    <w:rsid w:val="00CA308C"/>
    <w:rsid w:val="00CA30F7"/>
    <w:rsid w:val="00CA3151"/>
    <w:rsid w:val="00CA3188"/>
    <w:rsid w:val="00CA318B"/>
    <w:rsid w:val="00CA3199"/>
    <w:rsid w:val="00CA31C9"/>
    <w:rsid w:val="00CA328B"/>
    <w:rsid w:val="00CA335E"/>
    <w:rsid w:val="00CA3395"/>
    <w:rsid w:val="00CA33AC"/>
    <w:rsid w:val="00CA33B5"/>
    <w:rsid w:val="00CA33F8"/>
    <w:rsid w:val="00CA3457"/>
    <w:rsid w:val="00CA345D"/>
    <w:rsid w:val="00CA349C"/>
    <w:rsid w:val="00CA3599"/>
    <w:rsid w:val="00CA35BE"/>
    <w:rsid w:val="00CA35FB"/>
    <w:rsid w:val="00CA363E"/>
    <w:rsid w:val="00CA3677"/>
    <w:rsid w:val="00CA3741"/>
    <w:rsid w:val="00CA3802"/>
    <w:rsid w:val="00CA386D"/>
    <w:rsid w:val="00CA3898"/>
    <w:rsid w:val="00CA39CE"/>
    <w:rsid w:val="00CA39DE"/>
    <w:rsid w:val="00CA3AA0"/>
    <w:rsid w:val="00CA3ADA"/>
    <w:rsid w:val="00CA3B08"/>
    <w:rsid w:val="00CA3BEC"/>
    <w:rsid w:val="00CA3C0F"/>
    <w:rsid w:val="00CA3C5B"/>
    <w:rsid w:val="00CA3CCB"/>
    <w:rsid w:val="00CA3CD9"/>
    <w:rsid w:val="00CA3D57"/>
    <w:rsid w:val="00CA3DC6"/>
    <w:rsid w:val="00CA3E01"/>
    <w:rsid w:val="00CA3E82"/>
    <w:rsid w:val="00CA3E9B"/>
    <w:rsid w:val="00CA3EA4"/>
    <w:rsid w:val="00CA40AB"/>
    <w:rsid w:val="00CA413C"/>
    <w:rsid w:val="00CA414E"/>
    <w:rsid w:val="00CA4196"/>
    <w:rsid w:val="00CA41B9"/>
    <w:rsid w:val="00CA41CF"/>
    <w:rsid w:val="00CA4204"/>
    <w:rsid w:val="00CA42CA"/>
    <w:rsid w:val="00CA431A"/>
    <w:rsid w:val="00CA4337"/>
    <w:rsid w:val="00CA4405"/>
    <w:rsid w:val="00CA441B"/>
    <w:rsid w:val="00CA4455"/>
    <w:rsid w:val="00CA4495"/>
    <w:rsid w:val="00CA44B3"/>
    <w:rsid w:val="00CA44DE"/>
    <w:rsid w:val="00CA4508"/>
    <w:rsid w:val="00CA4527"/>
    <w:rsid w:val="00CA453A"/>
    <w:rsid w:val="00CA4582"/>
    <w:rsid w:val="00CA45A0"/>
    <w:rsid w:val="00CA45A5"/>
    <w:rsid w:val="00CA4697"/>
    <w:rsid w:val="00CA46DC"/>
    <w:rsid w:val="00CA47FF"/>
    <w:rsid w:val="00CA482A"/>
    <w:rsid w:val="00CA486A"/>
    <w:rsid w:val="00CA488B"/>
    <w:rsid w:val="00CA4892"/>
    <w:rsid w:val="00CA48E1"/>
    <w:rsid w:val="00CA49E9"/>
    <w:rsid w:val="00CA4A44"/>
    <w:rsid w:val="00CA4A7E"/>
    <w:rsid w:val="00CA4AEE"/>
    <w:rsid w:val="00CA4AF5"/>
    <w:rsid w:val="00CA4B33"/>
    <w:rsid w:val="00CA4B3E"/>
    <w:rsid w:val="00CA4B66"/>
    <w:rsid w:val="00CA4B73"/>
    <w:rsid w:val="00CA4B8B"/>
    <w:rsid w:val="00CA4C17"/>
    <w:rsid w:val="00CA4C38"/>
    <w:rsid w:val="00CA4C3E"/>
    <w:rsid w:val="00CA4CFB"/>
    <w:rsid w:val="00CA4D57"/>
    <w:rsid w:val="00CA4DB6"/>
    <w:rsid w:val="00CA4E31"/>
    <w:rsid w:val="00CA4E38"/>
    <w:rsid w:val="00CA4E69"/>
    <w:rsid w:val="00CA4F7B"/>
    <w:rsid w:val="00CA4FD3"/>
    <w:rsid w:val="00CA5082"/>
    <w:rsid w:val="00CA5089"/>
    <w:rsid w:val="00CA514D"/>
    <w:rsid w:val="00CA516C"/>
    <w:rsid w:val="00CA517A"/>
    <w:rsid w:val="00CA5216"/>
    <w:rsid w:val="00CA5277"/>
    <w:rsid w:val="00CA52C5"/>
    <w:rsid w:val="00CA52DB"/>
    <w:rsid w:val="00CA52F7"/>
    <w:rsid w:val="00CA5408"/>
    <w:rsid w:val="00CA5488"/>
    <w:rsid w:val="00CA54D5"/>
    <w:rsid w:val="00CA5521"/>
    <w:rsid w:val="00CA560A"/>
    <w:rsid w:val="00CA563F"/>
    <w:rsid w:val="00CA566C"/>
    <w:rsid w:val="00CA570A"/>
    <w:rsid w:val="00CA5736"/>
    <w:rsid w:val="00CA573D"/>
    <w:rsid w:val="00CA5797"/>
    <w:rsid w:val="00CA5819"/>
    <w:rsid w:val="00CA591C"/>
    <w:rsid w:val="00CA592C"/>
    <w:rsid w:val="00CA5945"/>
    <w:rsid w:val="00CA5958"/>
    <w:rsid w:val="00CA5988"/>
    <w:rsid w:val="00CA598C"/>
    <w:rsid w:val="00CA598E"/>
    <w:rsid w:val="00CA59AF"/>
    <w:rsid w:val="00CA5B03"/>
    <w:rsid w:val="00CA5B19"/>
    <w:rsid w:val="00CA5B4E"/>
    <w:rsid w:val="00CA5BE6"/>
    <w:rsid w:val="00CA5C00"/>
    <w:rsid w:val="00CA5C04"/>
    <w:rsid w:val="00CA5C1F"/>
    <w:rsid w:val="00CA5C53"/>
    <w:rsid w:val="00CA5C66"/>
    <w:rsid w:val="00CA5CC9"/>
    <w:rsid w:val="00CA5D88"/>
    <w:rsid w:val="00CA5DAA"/>
    <w:rsid w:val="00CA5EDF"/>
    <w:rsid w:val="00CA5F0B"/>
    <w:rsid w:val="00CA5F20"/>
    <w:rsid w:val="00CA5F51"/>
    <w:rsid w:val="00CA5F6F"/>
    <w:rsid w:val="00CA5F93"/>
    <w:rsid w:val="00CA5FE3"/>
    <w:rsid w:val="00CA6027"/>
    <w:rsid w:val="00CA603B"/>
    <w:rsid w:val="00CA6075"/>
    <w:rsid w:val="00CA60BD"/>
    <w:rsid w:val="00CA60DC"/>
    <w:rsid w:val="00CA6108"/>
    <w:rsid w:val="00CA6132"/>
    <w:rsid w:val="00CA613D"/>
    <w:rsid w:val="00CA6193"/>
    <w:rsid w:val="00CA61A2"/>
    <w:rsid w:val="00CA61F4"/>
    <w:rsid w:val="00CA61FB"/>
    <w:rsid w:val="00CA6211"/>
    <w:rsid w:val="00CA6212"/>
    <w:rsid w:val="00CA6223"/>
    <w:rsid w:val="00CA624A"/>
    <w:rsid w:val="00CA62B1"/>
    <w:rsid w:val="00CA62B4"/>
    <w:rsid w:val="00CA62EE"/>
    <w:rsid w:val="00CA6309"/>
    <w:rsid w:val="00CA6345"/>
    <w:rsid w:val="00CA63A9"/>
    <w:rsid w:val="00CA63EE"/>
    <w:rsid w:val="00CA647F"/>
    <w:rsid w:val="00CA6483"/>
    <w:rsid w:val="00CA6490"/>
    <w:rsid w:val="00CA64EF"/>
    <w:rsid w:val="00CA6515"/>
    <w:rsid w:val="00CA6524"/>
    <w:rsid w:val="00CA6536"/>
    <w:rsid w:val="00CA653D"/>
    <w:rsid w:val="00CA6545"/>
    <w:rsid w:val="00CA6560"/>
    <w:rsid w:val="00CA65A6"/>
    <w:rsid w:val="00CA66D2"/>
    <w:rsid w:val="00CA66D8"/>
    <w:rsid w:val="00CA6759"/>
    <w:rsid w:val="00CA6762"/>
    <w:rsid w:val="00CA6853"/>
    <w:rsid w:val="00CA6906"/>
    <w:rsid w:val="00CA692E"/>
    <w:rsid w:val="00CA693C"/>
    <w:rsid w:val="00CA698E"/>
    <w:rsid w:val="00CA69E3"/>
    <w:rsid w:val="00CA6AD1"/>
    <w:rsid w:val="00CA6C59"/>
    <w:rsid w:val="00CA6D3B"/>
    <w:rsid w:val="00CA6DA6"/>
    <w:rsid w:val="00CA6DB5"/>
    <w:rsid w:val="00CA6E3E"/>
    <w:rsid w:val="00CA6E58"/>
    <w:rsid w:val="00CA6E65"/>
    <w:rsid w:val="00CA6E6F"/>
    <w:rsid w:val="00CA6E8B"/>
    <w:rsid w:val="00CA6EAB"/>
    <w:rsid w:val="00CA6EE5"/>
    <w:rsid w:val="00CA6F9A"/>
    <w:rsid w:val="00CA709F"/>
    <w:rsid w:val="00CA70AD"/>
    <w:rsid w:val="00CA7156"/>
    <w:rsid w:val="00CA715E"/>
    <w:rsid w:val="00CA7288"/>
    <w:rsid w:val="00CA73A2"/>
    <w:rsid w:val="00CA7415"/>
    <w:rsid w:val="00CA745A"/>
    <w:rsid w:val="00CA7560"/>
    <w:rsid w:val="00CA75BC"/>
    <w:rsid w:val="00CA75E3"/>
    <w:rsid w:val="00CA7633"/>
    <w:rsid w:val="00CA7714"/>
    <w:rsid w:val="00CA7744"/>
    <w:rsid w:val="00CA7767"/>
    <w:rsid w:val="00CA7777"/>
    <w:rsid w:val="00CA77A8"/>
    <w:rsid w:val="00CA7802"/>
    <w:rsid w:val="00CA787C"/>
    <w:rsid w:val="00CA78B6"/>
    <w:rsid w:val="00CA7912"/>
    <w:rsid w:val="00CA791D"/>
    <w:rsid w:val="00CA7999"/>
    <w:rsid w:val="00CA7A17"/>
    <w:rsid w:val="00CA7A5C"/>
    <w:rsid w:val="00CA7A65"/>
    <w:rsid w:val="00CA7A69"/>
    <w:rsid w:val="00CA7A90"/>
    <w:rsid w:val="00CA7ADA"/>
    <w:rsid w:val="00CA7B5D"/>
    <w:rsid w:val="00CA7B9B"/>
    <w:rsid w:val="00CA7BC8"/>
    <w:rsid w:val="00CA7BD9"/>
    <w:rsid w:val="00CA7C41"/>
    <w:rsid w:val="00CA7C43"/>
    <w:rsid w:val="00CA7C79"/>
    <w:rsid w:val="00CA7D1E"/>
    <w:rsid w:val="00CA7D82"/>
    <w:rsid w:val="00CA7FAE"/>
    <w:rsid w:val="00CA7FDE"/>
    <w:rsid w:val="00CA7FE3"/>
    <w:rsid w:val="00CA7FFC"/>
    <w:rsid w:val="00CB001F"/>
    <w:rsid w:val="00CB00F0"/>
    <w:rsid w:val="00CB0114"/>
    <w:rsid w:val="00CB0138"/>
    <w:rsid w:val="00CB014D"/>
    <w:rsid w:val="00CB01A3"/>
    <w:rsid w:val="00CB0238"/>
    <w:rsid w:val="00CB02A8"/>
    <w:rsid w:val="00CB0322"/>
    <w:rsid w:val="00CB0360"/>
    <w:rsid w:val="00CB0476"/>
    <w:rsid w:val="00CB0490"/>
    <w:rsid w:val="00CB05FD"/>
    <w:rsid w:val="00CB0606"/>
    <w:rsid w:val="00CB0634"/>
    <w:rsid w:val="00CB0640"/>
    <w:rsid w:val="00CB065D"/>
    <w:rsid w:val="00CB06A5"/>
    <w:rsid w:val="00CB06E2"/>
    <w:rsid w:val="00CB071C"/>
    <w:rsid w:val="00CB071E"/>
    <w:rsid w:val="00CB076D"/>
    <w:rsid w:val="00CB0855"/>
    <w:rsid w:val="00CB088D"/>
    <w:rsid w:val="00CB08F9"/>
    <w:rsid w:val="00CB0913"/>
    <w:rsid w:val="00CB0958"/>
    <w:rsid w:val="00CB0960"/>
    <w:rsid w:val="00CB0963"/>
    <w:rsid w:val="00CB0999"/>
    <w:rsid w:val="00CB09E4"/>
    <w:rsid w:val="00CB09E9"/>
    <w:rsid w:val="00CB0A0F"/>
    <w:rsid w:val="00CB0A49"/>
    <w:rsid w:val="00CB0A60"/>
    <w:rsid w:val="00CB0A8D"/>
    <w:rsid w:val="00CB0AAC"/>
    <w:rsid w:val="00CB0AEE"/>
    <w:rsid w:val="00CB0B00"/>
    <w:rsid w:val="00CB0B85"/>
    <w:rsid w:val="00CB0BA6"/>
    <w:rsid w:val="00CB0BD4"/>
    <w:rsid w:val="00CB0BF0"/>
    <w:rsid w:val="00CB0BFC"/>
    <w:rsid w:val="00CB0C13"/>
    <w:rsid w:val="00CB0C5E"/>
    <w:rsid w:val="00CB0C7D"/>
    <w:rsid w:val="00CB0D26"/>
    <w:rsid w:val="00CB0D8A"/>
    <w:rsid w:val="00CB0D96"/>
    <w:rsid w:val="00CB0DAA"/>
    <w:rsid w:val="00CB0DB5"/>
    <w:rsid w:val="00CB0DB9"/>
    <w:rsid w:val="00CB0DF9"/>
    <w:rsid w:val="00CB0EC4"/>
    <w:rsid w:val="00CB0F73"/>
    <w:rsid w:val="00CB0FB9"/>
    <w:rsid w:val="00CB0FCC"/>
    <w:rsid w:val="00CB104B"/>
    <w:rsid w:val="00CB10A0"/>
    <w:rsid w:val="00CB10AB"/>
    <w:rsid w:val="00CB10F0"/>
    <w:rsid w:val="00CB1146"/>
    <w:rsid w:val="00CB1189"/>
    <w:rsid w:val="00CB11A5"/>
    <w:rsid w:val="00CB11AD"/>
    <w:rsid w:val="00CB1231"/>
    <w:rsid w:val="00CB133F"/>
    <w:rsid w:val="00CB13A3"/>
    <w:rsid w:val="00CB13B4"/>
    <w:rsid w:val="00CB13B9"/>
    <w:rsid w:val="00CB1457"/>
    <w:rsid w:val="00CB1528"/>
    <w:rsid w:val="00CB1538"/>
    <w:rsid w:val="00CB1583"/>
    <w:rsid w:val="00CB15C8"/>
    <w:rsid w:val="00CB15EC"/>
    <w:rsid w:val="00CB15F0"/>
    <w:rsid w:val="00CB1647"/>
    <w:rsid w:val="00CB1654"/>
    <w:rsid w:val="00CB16A9"/>
    <w:rsid w:val="00CB178F"/>
    <w:rsid w:val="00CB1800"/>
    <w:rsid w:val="00CB182D"/>
    <w:rsid w:val="00CB18A8"/>
    <w:rsid w:val="00CB18CC"/>
    <w:rsid w:val="00CB18E6"/>
    <w:rsid w:val="00CB1925"/>
    <w:rsid w:val="00CB192C"/>
    <w:rsid w:val="00CB1930"/>
    <w:rsid w:val="00CB1937"/>
    <w:rsid w:val="00CB1978"/>
    <w:rsid w:val="00CB199A"/>
    <w:rsid w:val="00CB19BB"/>
    <w:rsid w:val="00CB19CE"/>
    <w:rsid w:val="00CB1B18"/>
    <w:rsid w:val="00CB1B27"/>
    <w:rsid w:val="00CB1B3A"/>
    <w:rsid w:val="00CB1B64"/>
    <w:rsid w:val="00CB1BBE"/>
    <w:rsid w:val="00CB1BC4"/>
    <w:rsid w:val="00CB1C2E"/>
    <w:rsid w:val="00CB1C41"/>
    <w:rsid w:val="00CB1C50"/>
    <w:rsid w:val="00CB1CAB"/>
    <w:rsid w:val="00CB1CE5"/>
    <w:rsid w:val="00CB1D0B"/>
    <w:rsid w:val="00CB1D11"/>
    <w:rsid w:val="00CB1D57"/>
    <w:rsid w:val="00CB1D7D"/>
    <w:rsid w:val="00CB1E21"/>
    <w:rsid w:val="00CB1E36"/>
    <w:rsid w:val="00CB1E6D"/>
    <w:rsid w:val="00CB1F20"/>
    <w:rsid w:val="00CB1F56"/>
    <w:rsid w:val="00CB1F68"/>
    <w:rsid w:val="00CB1F71"/>
    <w:rsid w:val="00CB1F97"/>
    <w:rsid w:val="00CB1FC0"/>
    <w:rsid w:val="00CB1FDA"/>
    <w:rsid w:val="00CB206E"/>
    <w:rsid w:val="00CB212B"/>
    <w:rsid w:val="00CB2130"/>
    <w:rsid w:val="00CB21F2"/>
    <w:rsid w:val="00CB2202"/>
    <w:rsid w:val="00CB2295"/>
    <w:rsid w:val="00CB22CC"/>
    <w:rsid w:val="00CB232C"/>
    <w:rsid w:val="00CB2355"/>
    <w:rsid w:val="00CB23C6"/>
    <w:rsid w:val="00CB23F6"/>
    <w:rsid w:val="00CB23FD"/>
    <w:rsid w:val="00CB2471"/>
    <w:rsid w:val="00CB24E6"/>
    <w:rsid w:val="00CB2532"/>
    <w:rsid w:val="00CB254E"/>
    <w:rsid w:val="00CB25D7"/>
    <w:rsid w:val="00CB25EF"/>
    <w:rsid w:val="00CB2640"/>
    <w:rsid w:val="00CB269B"/>
    <w:rsid w:val="00CB26DD"/>
    <w:rsid w:val="00CB2712"/>
    <w:rsid w:val="00CB2713"/>
    <w:rsid w:val="00CB2720"/>
    <w:rsid w:val="00CB278F"/>
    <w:rsid w:val="00CB27B2"/>
    <w:rsid w:val="00CB27FF"/>
    <w:rsid w:val="00CB281B"/>
    <w:rsid w:val="00CB28B5"/>
    <w:rsid w:val="00CB28D4"/>
    <w:rsid w:val="00CB2943"/>
    <w:rsid w:val="00CB295E"/>
    <w:rsid w:val="00CB298F"/>
    <w:rsid w:val="00CB2ADC"/>
    <w:rsid w:val="00CB2AEA"/>
    <w:rsid w:val="00CB2AFF"/>
    <w:rsid w:val="00CB2B0D"/>
    <w:rsid w:val="00CB2BCD"/>
    <w:rsid w:val="00CB2CF4"/>
    <w:rsid w:val="00CB2D0B"/>
    <w:rsid w:val="00CB2D3B"/>
    <w:rsid w:val="00CB2DAE"/>
    <w:rsid w:val="00CB2DEC"/>
    <w:rsid w:val="00CB2E34"/>
    <w:rsid w:val="00CB2E70"/>
    <w:rsid w:val="00CB2EDE"/>
    <w:rsid w:val="00CB2F4B"/>
    <w:rsid w:val="00CB2F60"/>
    <w:rsid w:val="00CB2FBC"/>
    <w:rsid w:val="00CB2FE7"/>
    <w:rsid w:val="00CB302C"/>
    <w:rsid w:val="00CB30B4"/>
    <w:rsid w:val="00CB30BE"/>
    <w:rsid w:val="00CB30CB"/>
    <w:rsid w:val="00CB30D6"/>
    <w:rsid w:val="00CB30D8"/>
    <w:rsid w:val="00CB3138"/>
    <w:rsid w:val="00CB3214"/>
    <w:rsid w:val="00CB321D"/>
    <w:rsid w:val="00CB32FC"/>
    <w:rsid w:val="00CB32FF"/>
    <w:rsid w:val="00CB33C9"/>
    <w:rsid w:val="00CB353C"/>
    <w:rsid w:val="00CB354A"/>
    <w:rsid w:val="00CB356B"/>
    <w:rsid w:val="00CB3603"/>
    <w:rsid w:val="00CB3621"/>
    <w:rsid w:val="00CB363E"/>
    <w:rsid w:val="00CB3651"/>
    <w:rsid w:val="00CB3653"/>
    <w:rsid w:val="00CB3776"/>
    <w:rsid w:val="00CB37C8"/>
    <w:rsid w:val="00CB3879"/>
    <w:rsid w:val="00CB388B"/>
    <w:rsid w:val="00CB38C2"/>
    <w:rsid w:val="00CB3902"/>
    <w:rsid w:val="00CB390D"/>
    <w:rsid w:val="00CB3929"/>
    <w:rsid w:val="00CB3A49"/>
    <w:rsid w:val="00CB3B13"/>
    <w:rsid w:val="00CB3B86"/>
    <w:rsid w:val="00CB3C3F"/>
    <w:rsid w:val="00CB3C48"/>
    <w:rsid w:val="00CB3C51"/>
    <w:rsid w:val="00CB3C7F"/>
    <w:rsid w:val="00CB3C87"/>
    <w:rsid w:val="00CB3CC1"/>
    <w:rsid w:val="00CB3CD1"/>
    <w:rsid w:val="00CB3CEF"/>
    <w:rsid w:val="00CB3D80"/>
    <w:rsid w:val="00CB3E33"/>
    <w:rsid w:val="00CB3EF3"/>
    <w:rsid w:val="00CB3FA9"/>
    <w:rsid w:val="00CB3FD1"/>
    <w:rsid w:val="00CB3FEA"/>
    <w:rsid w:val="00CB403D"/>
    <w:rsid w:val="00CB4101"/>
    <w:rsid w:val="00CB4163"/>
    <w:rsid w:val="00CB41EB"/>
    <w:rsid w:val="00CB4206"/>
    <w:rsid w:val="00CB4273"/>
    <w:rsid w:val="00CB42B5"/>
    <w:rsid w:val="00CB438D"/>
    <w:rsid w:val="00CB4405"/>
    <w:rsid w:val="00CB44A6"/>
    <w:rsid w:val="00CB44BB"/>
    <w:rsid w:val="00CB4510"/>
    <w:rsid w:val="00CB45A1"/>
    <w:rsid w:val="00CB45F6"/>
    <w:rsid w:val="00CB4650"/>
    <w:rsid w:val="00CB465D"/>
    <w:rsid w:val="00CB469C"/>
    <w:rsid w:val="00CB46FD"/>
    <w:rsid w:val="00CB46FF"/>
    <w:rsid w:val="00CB479E"/>
    <w:rsid w:val="00CB47E3"/>
    <w:rsid w:val="00CB4811"/>
    <w:rsid w:val="00CB4820"/>
    <w:rsid w:val="00CB483C"/>
    <w:rsid w:val="00CB4843"/>
    <w:rsid w:val="00CB4854"/>
    <w:rsid w:val="00CB49BD"/>
    <w:rsid w:val="00CB49CD"/>
    <w:rsid w:val="00CB4AC7"/>
    <w:rsid w:val="00CB4B06"/>
    <w:rsid w:val="00CB4B6D"/>
    <w:rsid w:val="00CB4B88"/>
    <w:rsid w:val="00CB4BC2"/>
    <w:rsid w:val="00CB4C7A"/>
    <w:rsid w:val="00CB4C88"/>
    <w:rsid w:val="00CB4C99"/>
    <w:rsid w:val="00CB4CB5"/>
    <w:rsid w:val="00CB4CE5"/>
    <w:rsid w:val="00CB4D08"/>
    <w:rsid w:val="00CB4D6D"/>
    <w:rsid w:val="00CB4E7C"/>
    <w:rsid w:val="00CB4E81"/>
    <w:rsid w:val="00CB4EAC"/>
    <w:rsid w:val="00CB4ED7"/>
    <w:rsid w:val="00CB4EEE"/>
    <w:rsid w:val="00CB4EFB"/>
    <w:rsid w:val="00CB4EFC"/>
    <w:rsid w:val="00CB4F03"/>
    <w:rsid w:val="00CB4FD0"/>
    <w:rsid w:val="00CB501E"/>
    <w:rsid w:val="00CB504C"/>
    <w:rsid w:val="00CB5085"/>
    <w:rsid w:val="00CB5091"/>
    <w:rsid w:val="00CB5129"/>
    <w:rsid w:val="00CB5184"/>
    <w:rsid w:val="00CB5197"/>
    <w:rsid w:val="00CB51CB"/>
    <w:rsid w:val="00CB524C"/>
    <w:rsid w:val="00CB5285"/>
    <w:rsid w:val="00CB528D"/>
    <w:rsid w:val="00CB52B3"/>
    <w:rsid w:val="00CB52C6"/>
    <w:rsid w:val="00CB52FE"/>
    <w:rsid w:val="00CB5302"/>
    <w:rsid w:val="00CB5367"/>
    <w:rsid w:val="00CB5408"/>
    <w:rsid w:val="00CB54F4"/>
    <w:rsid w:val="00CB552E"/>
    <w:rsid w:val="00CB5591"/>
    <w:rsid w:val="00CB55A5"/>
    <w:rsid w:val="00CB5615"/>
    <w:rsid w:val="00CB5648"/>
    <w:rsid w:val="00CB5665"/>
    <w:rsid w:val="00CB5671"/>
    <w:rsid w:val="00CB56A3"/>
    <w:rsid w:val="00CB56BB"/>
    <w:rsid w:val="00CB56CF"/>
    <w:rsid w:val="00CB5748"/>
    <w:rsid w:val="00CB5782"/>
    <w:rsid w:val="00CB57D6"/>
    <w:rsid w:val="00CB5872"/>
    <w:rsid w:val="00CB58A8"/>
    <w:rsid w:val="00CB5904"/>
    <w:rsid w:val="00CB59C4"/>
    <w:rsid w:val="00CB5AC5"/>
    <w:rsid w:val="00CB5AE4"/>
    <w:rsid w:val="00CB5AF2"/>
    <w:rsid w:val="00CB5B20"/>
    <w:rsid w:val="00CB5B52"/>
    <w:rsid w:val="00CB5BD1"/>
    <w:rsid w:val="00CB5BF7"/>
    <w:rsid w:val="00CB5C05"/>
    <w:rsid w:val="00CB5C38"/>
    <w:rsid w:val="00CB5CDF"/>
    <w:rsid w:val="00CB5D2A"/>
    <w:rsid w:val="00CB5DB2"/>
    <w:rsid w:val="00CB5DC6"/>
    <w:rsid w:val="00CB5E33"/>
    <w:rsid w:val="00CB5E51"/>
    <w:rsid w:val="00CB5E82"/>
    <w:rsid w:val="00CB5ED2"/>
    <w:rsid w:val="00CB5F04"/>
    <w:rsid w:val="00CB5F62"/>
    <w:rsid w:val="00CB5FCE"/>
    <w:rsid w:val="00CB6026"/>
    <w:rsid w:val="00CB6109"/>
    <w:rsid w:val="00CB615D"/>
    <w:rsid w:val="00CB61B8"/>
    <w:rsid w:val="00CB6212"/>
    <w:rsid w:val="00CB6294"/>
    <w:rsid w:val="00CB6307"/>
    <w:rsid w:val="00CB6342"/>
    <w:rsid w:val="00CB636E"/>
    <w:rsid w:val="00CB6379"/>
    <w:rsid w:val="00CB6422"/>
    <w:rsid w:val="00CB647A"/>
    <w:rsid w:val="00CB6504"/>
    <w:rsid w:val="00CB6513"/>
    <w:rsid w:val="00CB651E"/>
    <w:rsid w:val="00CB652D"/>
    <w:rsid w:val="00CB653C"/>
    <w:rsid w:val="00CB6571"/>
    <w:rsid w:val="00CB65B6"/>
    <w:rsid w:val="00CB6628"/>
    <w:rsid w:val="00CB6635"/>
    <w:rsid w:val="00CB668D"/>
    <w:rsid w:val="00CB66B5"/>
    <w:rsid w:val="00CB66CB"/>
    <w:rsid w:val="00CB6852"/>
    <w:rsid w:val="00CB6878"/>
    <w:rsid w:val="00CB687E"/>
    <w:rsid w:val="00CB6923"/>
    <w:rsid w:val="00CB6A17"/>
    <w:rsid w:val="00CB6A5A"/>
    <w:rsid w:val="00CB6AC9"/>
    <w:rsid w:val="00CB6AD1"/>
    <w:rsid w:val="00CB6B08"/>
    <w:rsid w:val="00CB6BAC"/>
    <w:rsid w:val="00CB6C86"/>
    <w:rsid w:val="00CB6CD0"/>
    <w:rsid w:val="00CB6CDB"/>
    <w:rsid w:val="00CB6D02"/>
    <w:rsid w:val="00CB6D65"/>
    <w:rsid w:val="00CB6D91"/>
    <w:rsid w:val="00CB6E0A"/>
    <w:rsid w:val="00CB6E17"/>
    <w:rsid w:val="00CB6E4A"/>
    <w:rsid w:val="00CB6EB2"/>
    <w:rsid w:val="00CB6EF5"/>
    <w:rsid w:val="00CB6F2A"/>
    <w:rsid w:val="00CB6F42"/>
    <w:rsid w:val="00CB6FEA"/>
    <w:rsid w:val="00CB7023"/>
    <w:rsid w:val="00CB704B"/>
    <w:rsid w:val="00CB70AF"/>
    <w:rsid w:val="00CB70BD"/>
    <w:rsid w:val="00CB70C6"/>
    <w:rsid w:val="00CB712F"/>
    <w:rsid w:val="00CB718F"/>
    <w:rsid w:val="00CB720D"/>
    <w:rsid w:val="00CB7262"/>
    <w:rsid w:val="00CB72AE"/>
    <w:rsid w:val="00CB72C1"/>
    <w:rsid w:val="00CB730B"/>
    <w:rsid w:val="00CB7314"/>
    <w:rsid w:val="00CB73DD"/>
    <w:rsid w:val="00CB73F1"/>
    <w:rsid w:val="00CB7403"/>
    <w:rsid w:val="00CB74D4"/>
    <w:rsid w:val="00CB74FB"/>
    <w:rsid w:val="00CB7560"/>
    <w:rsid w:val="00CB758C"/>
    <w:rsid w:val="00CB7645"/>
    <w:rsid w:val="00CB7757"/>
    <w:rsid w:val="00CB7933"/>
    <w:rsid w:val="00CB7942"/>
    <w:rsid w:val="00CB7970"/>
    <w:rsid w:val="00CB79FF"/>
    <w:rsid w:val="00CB7A36"/>
    <w:rsid w:val="00CB7A60"/>
    <w:rsid w:val="00CB7A7E"/>
    <w:rsid w:val="00CB7A9C"/>
    <w:rsid w:val="00CB7ADE"/>
    <w:rsid w:val="00CB7AFE"/>
    <w:rsid w:val="00CB7B65"/>
    <w:rsid w:val="00CB7B6F"/>
    <w:rsid w:val="00CB7BA5"/>
    <w:rsid w:val="00CB7BA9"/>
    <w:rsid w:val="00CB7BE3"/>
    <w:rsid w:val="00CB7C84"/>
    <w:rsid w:val="00CB7CF5"/>
    <w:rsid w:val="00CB7D05"/>
    <w:rsid w:val="00CB7D3A"/>
    <w:rsid w:val="00CB7D46"/>
    <w:rsid w:val="00CB7D5A"/>
    <w:rsid w:val="00CB7DEA"/>
    <w:rsid w:val="00CB7DF2"/>
    <w:rsid w:val="00CB7E07"/>
    <w:rsid w:val="00CC0002"/>
    <w:rsid w:val="00CC0057"/>
    <w:rsid w:val="00CC0103"/>
    <w:rsid w:val="00CC017F"/>
    <w:rsid w:val="00CC01F2"/>
    <w:rsid w:val="00CC025F"/>
    <w:rsid w:val="00CC0345"/>
    <w:rsid w:val="00CC0352"/>
    <w:rsid w:val="00CC0376"/>
    <w:rsid w:val="00CC0475"/>
    <w:rsid w:val="00CC04C3"/>
    <w:rsid w:val="00CC04C6"/>
    <w:rsid w:val="00CC0569"/>
    <w:rsid w:val="00CC0591"/>
    <w:rsid w:val="00CC05BC"/>
    <w:rsid w:val="00CC05CA"/>
    <w:rsid w:val="00CC0603"/>
    <w:rsid w:val="00CC0683"/>
    <w:rsid w:val="00CC0688"/>
    <w:rsid w:val="00CC0755"/>
    <w:rsid w:val="00CC07B7"/>
    <w:rsid w:val="00CC07D5"/>
    <w:rsid w:val="00CC07EB"/>
    <w:rsid w:val="00CC0856"/>
    <w:rsid w:val="00CC0880"/>
    <w:rsid w:val="00CC0883"/>
    <w:rsid w:val="00CC0885"/>
    <w:rsid w:val="00CC0894"/>
    <w:rsid w:val="00CC08BE"/>
    <w:rsid w:val="00CC08FB"/>
    <w:rsid w:val="00CC0977"/>
    <w:rsid w:val="00CC098D"/>
    <w:rsid w:val="00CC09BF"/>
    <w:rsid w:val="00CC09D1"/>
    <w:rsid w:val="00CC0A69"/>
    <w:rsid w:val="00CC0AB4"/>
    <w:rsid w:val="00CC0ADC"/>
    <w:rsid w:val="00CC0B31"/>
    <w:rsid w:val="00CC0BA2"/>
    <w:rsid w:val="00CC0BC3"/>
    <w:rsid w:val="00CC0BF1"/>
    <w:rsid w:val="00CC0C2A"/>
    <w:rsid w:val="00CC0D16"/>
    <w:rsid w:val="00CC0D2B"/>
    <w:rsid w:val="00CC0D79"/>
    <w:rsid w:val="00CC0DA7"/>
    <w:rsid w:val="00CC0DB6"/>
    <w:rsid w:val="00CC0DCB"/>
    <w:rsid w:val="00CC0F5B"/>
    <w:rsid w:val="00CC1065"/>
    <w:rsid w:val="00CC108D"/>
    <w:rsid w:val="00CC10B7"/>
    <w:rsid w:val="00CC10E5"/>
    <w:rsid w:val="00CC10FA"/>
    <w:rsid w:val="00CC110D"/>
    <w:rsid w:val="00CC1119"/>
    <w:rsid w:val="00CC111E"/>
    <w:rsid w:val="00CC11AA"/>
    <w:rsid w:val="00CC1232"/>
    <w:rsid w:val="00CC132F"/>
    <w:rsid w:val="00CC1397"/>
    <w:rsid w:val="00CC13BA"/>
    <w:rsid w:val="00CC1569"/>
    <w:rsid w:val="00CC15CB"/>
    <w:rsid w:val="00CC15F2"/>
    <w:rsid w:val="00CC161B"/>
    <w:rsid w:val="00CC1632"/>
    <w:rsid w:val="00CC167E"/>
    <w:rsid w:val="00CC16BC"/>
    <w:rsid w:val="00CC1722"/>
    <w:rsid w:val="00CC1727"/>
    <w:rsid w:val="00CC172B"/>
    <w:rsid w:val="00CC175E"/>
    <w:rsid w:val="00CC186A"/>
    <w:rsid w:val="00CC18B8"/>
    <w:rsid w:val="00CC18E0"/>
    <w:rsid w:val="00CC18EB"/>
    <w:rsid w:val="00CC1939"/>
    <w:rsid w:val="00CC199B"/>
    <w:rsid w:val="00CC19DF"/>
    <w:rsid w:val="00CC19E0"/>
    <w:rsid w:val="00CC1A2D"/>
    <w:rsid w:val="00CC1B01"/>
    <w:rsid w:val="00CC1B1F"/>
    <w:rsid w:val="00CC1BDE"/>
    <w:rsid w:val="00CC1C67"/>
    <w:rsid w:val="00CC1D45"/>
    <w:rsid w:val="00CC1D4E"/>
    <w:rsid w:val="00CC1E17"/>
    <w:rsid w:val="00CC1E8D"/>
    <w:rsid w:val="00CC1E9B"/>
    <w:rsid w:val="00CC1ED6"/>
    <w:rsid w:val="00CC1EDB"/>
    <w:rsid w:val="00CC1FB2"/>
    <w:rsid w:val="00CC1FE5"/>
    <w:rsid w:val="00CC1FE8"/>
    <w:rsid w:val="00CC2038"/>
    <w:rsid w:val="00CC2039"/>
    <w:rsid w:val="00CC20D0"/>
    <w:rsid w:val="00CC2125"/>
    <w:rsid w:val="00CC2149"/>
    <w:rsid w:val="00CC2176"/>
    <w:rsid w:val="00CC219C"/>
    <w:rsid w:val="00CC21A0"/>
    <w:rsid w:val="00CC2220"/>
    <w:rsid w:val="00CC23D7"/>
    <w:rsid w:val="00CC248D"/>
    <w:rsid w:val="00CC249C"/>
    <w:rsid w:val="00CC24DE"/>
    <w:rsid w:val="00CC2507"/>
    <w:rsid w:val="00CC250C"/>
    <w:rsid w:val="00CC2573"/>
    <w:rsid w:val="00CC25D9"/>
    <w:rsid w:val="00CC25EF"/>
    <w:rsid w:val="00CC25F3"/>
    <w:rsid w:val="00CC2670"/>
    <w:rsid w:val="00CC2733"/>
    <w:rsid w:val="00CC2761"/>
    <w:rsid w:val="00CC2763"/>
    <w:rsid w:val="00CC27B6"/>
    <w:rsid w:val="00CC27E7"/>
    <w:rsid w:val="00CC27F3"/>
    <w:rsid w:val="00CC2821"/>
    <w:rsid w:val="00CC283A"/>
    <w:rsid w:val="00CC2840"/>
    <w:rsid w:val="00CC28C5"/>
    <w:rsid w:val="00CC2945"/>
    <w:rsid w:val="00CC294D"/>
    <w:rsid w:val="00CC2A7C"/>
    <w:rsid w:val="00CC2A8D"/>
    <w:rsid w:val="00CC2AA1"/>
    <w:rsid w:val="00CC2AC3"/>
    <w:rsid w:val="00CC2ADE"/>
    <w:rsid w:val="00CC2B32"/>
    <w:rsid w:val="00CC2BC3"/>
    <w:rsid w:val="00CC2CAB"/>
    <w:rsid w:val="00CC2CC2"/>
    <w:rsid w:val="00CC2CE8"/>
    <w:rsid w:val="00CC2E5C"/>
    <w:rsid w:val="00CC2E6F"/>
    <w:rsid w:val="00CC2FB6"/>
    <w:rsid w:val="00CC2FEE"/>
    <w:rsid w:val="00CC30B9"/>
    <w:rsid w:val="00CC30E9"/>
    <w:rsid w:val="00CC30F5"/>
    <w:rsid w:val="00CC312B"/>
    <w:rsid w:val="00CC31D0"/>
    <w:rsid w:val="00CC31EE"/>
    <w:rsid w:val="00CC3286"/>
    <w:rsid w:val="00CC33B1"/>
    <w:rsid w:val="00CC33E1"/>
    <w:rsid w:val="00CC3405"/>
    <w:rsid w:val="00CC3441"/>
    <w:rsid w:val="00CC34F7"/>
    <w:rsid w:val="00CC352C"/>
    <w:rsid w:val="00CC3598"/>
    <w:rsid w:val="00CC364D"/>
    <w:rsid w:val="00CC3653"/>
    <w:rsid w:val="00CC3668"/>
    <w:rsid w:val="00CC366B"/>
    <w:rsid w:val="00CC3680"/>
    <w:rsid w:val="00CC369F"/>
    <w:rsid w:val="00CC36AA"/>
    <w:rsid w:val="00CC36FE"/>
    <w:rsid w:val="00CC370B"/>
    <w:rsid w:val="00CC374F"/>
    <w:rsid w:val="00CC3785"/>
    <w:rsid w:val="00CC37D1"/>
    <w:rsid w:val="00CC38C1"/>
    <w:rsid w:val="00CC3976"/>
    <w:rsid w:val="00CC39C9"/>
    <w:rsid w:val="00CC3A0E"/>
    <w:rsid w:val="00CC3A4A"/>
    <w:rsid w:val="00CC3AC2"/>
    <w:rsid w:val="00CC3ADA"/>
    <w:rsid w:val="00CC3B1B"/>
    <w:rsid w:val="00CC3B43"/>
    <w:rsid w:val="00CC3BCF"/>
    <w:rsid w:val="00CC3BEF"/>
    <w:rsid w:val="00CC3C52"/>
    <w:rsid w:val="00CC3C8A"/>
    <w:rsid w:val="00CC3DAE"/>
    <w:rsid w:val="00CC3DE0"/>
    <w:rsid w:val="00CC3DE1"/>
    <w:rsid w:val="00CC3DED"/>
    <w:rsid w:val="00CC3E0A"/>
    <w:rsid w:val="00CC3E1E"/>
    <w:rsid w:val="00CC3E63"/>
    <w:rsid w:val="00CC3EC4"/>
    <w:rsid w:val="00CC3F67"/>
    <w:rsid w:val="00CC3FA0"/>
    <w:rsid w:val="00CC3FA3"/>
    <w:rsid w:val="00CC405B"/>
    <w:rsid w:val="00CC40F6"/>
    <w:rsid w:val="00CC41E0"/>
    <w:rsid w:val="00CC41E6"/>
    <w:rsid w:val="00CC41ED"/>
    <w:rsid w:val="00CC4219"/>
    <w:rsid w:val="00CC4271"/>
    <w:rsid w:val="00CC428C"/>
    <w:rsid w:val="00CC42E0"/>
    <w:rsid w:val="00CC432C"/>
    <w:rsid w:val="00CC4386"/>
    <w:rsid w:val="00CC43C5"/>
    <w:rsid w:val="00CC4409"/>
    <w:rsid w:val="00CC44F4"/>
    <w:rsid w:val="00CC450F"/>
    <w:rsid w:val="00CC4563"/>
    <w:rsid w:val="00CC4571"/>
    <w:rsid w:val="00CC45C1"/>
    <w:rsid w:val="00CC45C2"/>
    <w:rsid w:val="00CC4601"/>
    <w:rsid w:val="00CC4678"/>
    <w:rsid w:val="00CC46D6"/>
    <w:rsid w:val="00CC4701"/>
    <w:rsid w:val="00CC4721"/>
    <w:rsid w:val="00CC472A"/>
    <w:rsid w:val="00CC4779"/>
    <w:rsid w:val="00CC4876"/>
    <w:rsid w:val="00CC48A1"/>
    <w:rsid w:val="00CC491F"/>
    <w:rsid w:val="00CC4949"/>
    <w:rsid w:val="00CC4990"/>
    <w:rsid w:val="00CC4A10"/>
    <w:rsid w:val="00CC4A24"/>
    <w:rsid w:val="00CC4A49"/>
    <w:rsid w:val="00CC4A90"/>
    <w:rsid w:val="00CC4A9A"/>
    <w:rsid w:val="00CC4B16"/>
    <w:rsid w:val="00CC4B6F"/>
    <w:rsid w:val="00CC4BF3"/>
    <w:rsid w:val="00CC4C40"/>
    <w:rsid w:val="00CC4C82"/>
    <w:rsid w:val="00CC4C8D"/>
    <w:rsid w:val="00CC4CC2"/>
    <w:rsid w:val="00CC4D5C"/>
    <w:rsid w:val="00CC4D80"/>
    <w:rsid w:val="00CC4DEB"/>
    <w:rsid w:val="00CC4E87"/>
    <w:rsid w:val="00CC4EB2"/>
    <w:rsid w:val="00CC4F2A"/>
    <w:rsid w:val="00CC4F31"/>
    <w:rsid w:val="00CC4F7D"/>
    <w:rsid w:val="00CC4FA9"/>
    <w:rsid w:val="00CC4FDD"/>
    <w:rsid w:val="00CC5013"/>
    <w:rsid w:val="00CC5030"/>
    <w:rsid w:val="00CC513F"/>
    <w:rsid w:val="00CC5158"/>
    <w:rsid w:val="00CC516D"/>
    <w:rsid w:val="00CC51D7"/>
    <w:rsid w:val="00CC5251"/>
    <w:rsid w:val="00CC52C4"/>
    <w:rsid w:val="00CC5328"/>
    <w:rsid w:val="00CC5372"/>
    <w:rsid w:val="00CC538D"/>
    <w:rsid w:val="00CC53CE"/>
    <w:rsid w:val="00CC53ED"/>
    <w:rsid w:val="00CC542C"/>
    <w:rsid w:val="00CC54BA"/>
    <w:rsid w:val="00CC557C"/>
    <w:rsid w:val="00CC559F"/>
    <w:rsid w:val="00CC563D"/>
    <w:rsid w:val="00CC563E"/>
    <w:rsid w:val="00CC5640"/>
    <w:rsid w:val="00CC5646"/>
    <w:rsid w:val="00CC565B"/>
    <w:rsid w:val="00CC566D"/>
    <w:rsid w:val="00CC56BC"/>
    <w:rsid w:val="00CC56E2"/>
    <w:rsid w:val="00CC57A9"/>
    <w:rsid w:val="00CC5804"/>
    <w:rsid w:val="00CC58D1"/>
    <w:rsid w:val="00CC58D9"/>
    <w:rsid w:val="00CC58E9"/>
    <w:rsid w:val="00CC5995"/>
    <w:rsid w:val="00CC5A43"/>
    <w:rsid w:val="00CC5AF3"/>
    <w:rsid w:val="00CC5B08"/>
    <w:rsid w:val="00CC5BAA"/>
    <w:rsid w:val="00CC5BB8"/>
    <w:rsid w:val="00CC5C9F"/>
    <w:rsid w:val="00CC5CA7"/>
    <w:rsid w:val="00CC5D7B"/>
    <w:rsid w:val="00CC5E3D"/>
    <w:rsid w:val="00CC5EAF"/>
    <w:rsid w:val="00CC5EE3"/>
    <w:rsid w:val="00CC5F0A"/>
    <w:rsid w:val="00CC5F6C"/>
    <w:rsid w:val="00CC5F9C"/>
    <w:rsid w:val="00CC5FE2"/>
    <w:rsid w:val="00CC5FFE"/>
    <w:rsid w:val="00CC6088"/>
    <w:rsid w:val="00CC60A4"/>
    <w:rsid w:val="00CC60FC"/>
    <w:rsid w:val="00CC612C"/>
    <w:rsid w:val="00CC6168"/>
    <w:rsid w:val="00CC61AF"/>
    <w:rsid w:val="00CC6294"/>
    <w:rsid w:val="00CC62F0"/>
    <w:rsid w:val="00CC633D"/>
    <w:rsid w:val="00CC6354"/>
    <w:rsid w:val="00CC639C"/>
    <w:rsid w:val="00CC6409"/>
    <w:rsid w:val="00CC6417"/>
    <w:rsid w:val="00CC644F"/>
    <w:rsid w:val="00CC6493"/>
    <w:rsid w:val="00CC64ED"/>
    <w:rsid w:val="00CC654F"/>
    <w:rsid w:val="00CC6596"/>
    <w:rsid w:val="00CC659C"/>
    <w:rsid w:val="00CC6635"/>
    <w:rsid w:val="00CC668A"/>
    <w:rsid w:val="00CC6694"/>
    <w:rsid w:val="00CC66D3"/>
    <w:rsid w:val="00CC66E1"/>
    <w:rsid w:val="00CC6784"/>
    <w:rsid w:val="00CC6792"/>
    <w:rsid w:val="00CC67E7"/>
    <w:rsid w:val="00CC6801"/>
    <w:rsid w:val="00CC680C"/>
    <w:rsid w:val="00CC680D"/>
    <w:rsid w:val="00CC682E"/>
    <w:rsid w:val="00CC68D7"/>
    <w:rsid w:val="00CC68ED"/>
    <w:rsid w:val="00CC6A10"/>
    <w:rsid w:val="00CC6A5F"/>
    <w:rsid w:val="00CC6B1C"/>
    <w:rsid w:val="00CC6BA6"/>
    <w:rsid w:val="00CC6BAA"/>
    <w:rsid w:val="00CC6BF0"/>
    <w:rsid w:val="00CC6C22"/>
    <w:rsid w:val="00CC6C2E"/>
    <w:rsid w:val="00CC6C3D"/>
    <w:rsid w:val="00CC6D3A"/>
    <w:rsid w:val="00CC6E02"/>
    <w:rsid w:val="00CC6E1E"/>
    <w:rsid w:val="00CC6E4F"/>
    <w:rsid w:val="00CC6F06"/>
    <w:rsid w:val="00CC6F1C"/>
    <w:rsid w:val="00CC6FAD"/>
    <w:rsid w:val="00CC7035"/>
    <w:rsid w:val="00CC7086"/>
    <w:rsid w:val="00CC709F"/>
    <w:rsid w:val="00CC70A1"/>
    <w:rsid w:val="00CC70BC"/>
    <w:rsid w:val="00CC70C6"/>
    <w:rsid w:val="00CC70C7"/>
    <w:rsid w:val="00CC711E"/>
    <w:rsid w:val="00CC7121"/>
    <w:rsid w:val="00CC7134"/>
    <w:rsid w:val="00CC714C"/>
    <w:rsid w:val="00CC71AA"/>
    <w:rsid w:val="00CC722A"/>
    <w:rsid w:val="00CC723C"/>
    <w:rsid w:val="00CC7261"/>
    <w:rsid w:val="00CC7343"/>
    <w:rsid w:val="00CC73C5"/>
    <w:rsid w:val="00CC73D3"/>
    <w:rsid w:val="00CC748A"/>
    <w:rsid w:val="00CC7521"/>
    <w:rsid w:val="00CC75B0"/>
    <w:rsid w:val="00CC75F2"/>
    <w:rsid w:val="00CC76E4"/>
    <w:rsid w:val="00CC76EC"/>
    <w:rsid w:val="00CC77B3"/>
    <w:rsid w:val="00CC77DF"/>
    <w:rsid w:val="00CC780A"/>
    <w:rsid w:val="00CC789F"/>
    <w:rsid w:val="00CC792C"/>
    <w:rsid w:val="00CC792E"/>
    <w:rsid w:val="00CC79D6"/>
    <w:rsid w:val="00CC79EE"/>
    <w:rsid w:val="00CC7A0C"/>
    <w:rsid w:val="00CC7A7D"/>
    <w:rsid w:val="00CC7A82"/>
    <w:rsid w:val="00CC7A99"/>
    <w:rsid w:val="00CC7BF4"/>
    <w:rsid w:val="00CC7C0F"/>
    <w:rsid w:val="00CC7C6F"/>
    <w:rsid w:val="00CC7E4B"/>
    <w:rsid w:val="00CC7EBB"/>
    <w:rsid w:val="00CC7EC3"/>
    <w:rsid w:val="00CC7EF9"/>
    <w:rsid w:val="00CC7F5A"/>
    <w:rsid w:val="00CC7F73"/>
    <w:rsid w:val="00CC7F7E"/>
    <w:rsid w:val="00CC7FBB"/>
    <w:rsid w:val="00CC7FFD"/>
    <w:rsid w:val="00CD0076"/>
    <w:rsid w:val="00CD0102"/>
    <w:rsid w:val="00CD01D0"/>
    <w:rsid w:val="00CD025C"/>
    <w:rsid w:val="00CD027F"/>
    <w:rsid w:val="00CD02CF"/>
    <w:rsid w:val="00CD0360"/>
    <w:rsid w:val="00CD0363"/>
    <w:rsid w:val="00CD03B8"/>
    <w:rsid w:val="00CD0597"/>
    <w:rsid w:val="00CD05E2"/>
    <w:rsid w:val="00CD0636"/>
    <w:rsid w:val="00CD0656"/>
    <w:rsid w:val="00CD0671"/>
    <w:rsid w:val="00CD0759"/>
    <w:rsid w:val="00CD07A5"/>
    <w:rsid w:val="00CD08E9"/>
    <w:rsid w:val="00CD090E"/>
    <w:rsid w:val="00CD09C3"/>
    <w:rsid w:val="00CD09C8"/>
    <w:rsid w:val="00CD0A01"/>
    <w:rsid w:val="00CD0A47"/>
    <w:rsid w:val="00CD0A7A"/>
    <w:rsid w:val="00CD0AC7"/>
    <w:rsid w:val="00CD0B04"/>
    <w:rsid w:val="00CD0B25"/>
    <w:rsid w:val="00CD0B36"/>
    <w:rsid w:val="00CD0B3C"/>
    <w:rsid w:val="00CD0B59"/>
    <w:rsid w:val="00CD0B89"/>
    <w:rsid w:val="00CD0C83"/>
    <w:rsid w:val="00CD0C87"/>
    <w:rsid w:val="00CD0E28"/>
    <w:rsid w:val="00CD0E34"/>
    <w:rsid w:val="00CD0E4D"/>
    <w:rsid w:val="00CD0EAB"/>
    <w:rsid w:val="00CD0F66"/>
    <w:rsid w:val="00CD0FA2"/>
    <w:rsid w:val="00CD109B"/>
    <w:rsid w:val="00CD10C5"/>
    <w:rsid w:val="00CD1101"/>
    <w:rsid w:val="00CD115C"/>
    <w:rsid w:val="00CD1169"/>
    <w:rsid w:val="00CD11FF"/>
    <w:rsid w:val="00CD1241"/>
    <w:rsid w:val="00CD124A"/>
    <w:rsid w:val="00CD12DB"/>
    <w:rsid w:val="00CD12E9"/>
    <w:rsid w:val="00CD133F"/>
    <w:rsid w:val="00CD1366"/>
    <w:rsid w:val="00CD13F0"/>
    <w:rsid w:val="00CD1432"/>
    <w:rsid w:val="00CD143C"/>
    <w:rsid w:val="00CD1607"/>
    <w:rsid w:val="00CD160A"/>
    <w:rsid w:val="00CD160B"/>
    <w:rsid w:val="00CD163D"/>
    <w:rsid w:val="00CD1711"/>
    <w:rsid w:val="00CD17A9"/>
    <w:rsid w:val="00CD1820"/>
    <w:rsid w:val="00CD1837"/>
    <w:rsid w:val="00CD183A"/>
    <w:rsid w:val="00CD1841"/>
    <w:rsid w:val="00CD1847"/>
    <w:rsid w:val="00CD189C"/>
    <w:rsid w:val="00CD190D"/>
    <w:rsid w:val="00CD1925"/>
    <w:rsid w:val="00CD1979"/>
    <w:rsid w:val="00CD1A22"/>
    <w:rsid w:val="00CD1A37"/>
    <w:rsid w:val="00CD1A55"/>
    <w:rsid w:val="00CD1A8A"/>
    <w:rsid w:val="00CD1AA4"/>
    <w:rsid w:val="00CD1AB2"/>
    <w:rsid w:val="00CD1AED"/>
    <w:rsid w:val="00CD1B13"/>
    <w:rsid w:val="00CD1B42"/>
    <w:rsid w:val="00CD1B7F"/>
    <w:rsid w:val="00CD1B81"/>
    <w:rsid w:val="00CD1BD0"/>
    <w:rsid w:val="00CD1BDA"/>
    <w:rsid w:val="00CD1C5D"/>
    <w:rsid w:val="00CD1C8E"/>
    <w:rsid w:val="00CD1D7E"/>
    <w:rsid w:val="00CD1D86"/>
    <w:rsid w:val="00CD1DC9"/>
    <w:rsid w:val="00CD1DD5"/>
    <w:rsid w:val="00CD1E81"/>
    <w:rsid w:val="00CD1EAB"/>
    <w:rsid w:val="00CD1EC1"/>
    <w:rsid w:val="00CD1EFC"/>
    <w:rsid w:val="00CD1F47"/>
    <w:rsid w:val="00CD1F52"/>
    <w:rsid w:val="00CD1F56"/>
    <w:rsid w:val="00CD2085"/>
    <w:rsid w:val="00CD20D2"/>
    <w:rsid w:val="00CD20EA"/>
    <w:rsid w:val="00CD2108"/>
    <w:rsid w:val="00CD213A"/>
    <w:rsid w:val="00CD22A5"/>
    <w:rsid w:val="00CD22C3"/>
    <w:rsid w:val="00CD23C1"/>
    <w:rsid w:val="00CD23CD"/>
    <w:rsid w:val="00CD2415"/>
    <w:rsid w:val="00CD242B"/>
    <w:rsid w:val="00CD2451"/>
    <w:rsid w:val="00CD2554"/>
    <w:rsid w:val="00CD257E"/>
    <w:rsid w:val="00CD25B9"/>
    <w:rsid w:val="00CD25BE"/>
    <w:rsid w:val="00CD2608"/>
    <w:rsid w:val="00CD2645"/>
    <w:rsid w:val="00CD2667"/>
    <w:rsid w:val="00CD26B0"/>
    <w:rsid w:val="00CD26C3"/>
    <w:rsid w:val="00CD26CC"/>
    <w:rsid w:val="00CD26CF"/>
    <w:rsid w:val="00CD2700"/>
    <w:rsid w:val="00CD272B"/>
    <w:rsid w:val="00CD2738"/>
    <w:rsid w:val="00CD274A"/>
    <w:rsid w:val="00CD2776"/>
    <w:rsid w:val="00CD27E7"/>
    <w:rsid w:val="00CD282A"/>
    <w:rsid w:val="00CD28BB"/>
    <w:rsid w:val="00CD2907"/>
    <w:rsid w:val="00CD292E"/>
    <w:rsid w:val="00CD2B12"/>
    <w:rsid w:val="00CD2B76"/>
    <w:rsid w:val="00CD2B9F"/>
    <w:rsid w:val="00CD2C1C"/>
    <w:rsid w:val="00CD2CA4"/>
    <w:rsid w:val="00CD2D09"/>
    <w:rsid w:val="00CD2D25"/>
    <w:rsid w:val="00CD2DCA"/>
    <w:rsid w:val="00CD2DDB"/>
    <w:rsid w:val="00CD2DE9"/>
    <w:rsid w:val="00CD2DF7"/>
    <w:rsid w:val="00CD2EB8"/>
    <w:rsid w:val="00CD2F22"/>
    <w:rsid w:val="00CD2FF8"/>
    <w:rsid w:val="00CD3038"/>
    <w:rsid w:val="00CD30B1"/>
    <w:rsid w:val="00CD30C7"/>
    <w:rsid w:val="00CD30DE"/>
    <w:rsid w:val="00CD30E7"/>
    <w:rsid w:val="00CD30ED"/>
    <w:rsid w:val="00CD30FD"/>
    <w:rsid w:val="00CD315D"/>
    <w:rsid w:val="00CD318A"/>
    <w:rsid w:val="00CD31B7"/>
    <w:rsid w:val="00CD3213"/>
    <w:rsid w:val="00CD3281"/>
    <w:rsid w:val="00CD3322"/>
    <w:rsid w:val="00CD334D"/>
    <w:rsid w:val="00CD3366"/>
    <w:rsid w:val="00CD33C4"/>
    <w:rsid w:val="00CD3405"/>
    <w:rsid w:val="00CD345B"/>
    <w:rsid w:val="00CD34C5"/>
    <w:rsid w:val="00CD357F"/>
    <w:rsid w:val="00CD35C7"/>
    <w:rsid w:val="00CD35FE"/>
    <w:rsid w:val="00CD36A2"/>
    <w:rsid w:val="00CD36E3"/>
    <w:rsid w:val="00CD36E4"/>
    <w:rsid w:val="00CD36FC"/>
    <w:rsid w:val="00CD3785"/>
    <w:rsid w:val="00CD37A0"/>
    <w:rsid w:val="00CD37CD"/>
    <w:rsid w:val="00CD38A4"/>
    <w:rsid w:val="00CD38BF"/>
    <w:rsid w:val="00CD3951"/>
    <w:rsid w:val="00CD3998"/>
    <w:rsid w:val="00CD39B4"/>
    <w:rsid w:val="00CD39D4"/>
    <w:rsid w:val="00CD3A21"/>
    <w:rsid w:val="00CD3A7E"/>
    <w:rsid w:val="00CD3B3A"/>
    <w:rsid w:val="00CD3B48"/>
    <w:rsid w:val="00CD3B7A"/>
    <w:rsid w:val="00CD3B7D"/>
    <w:rsid w:val="00CD3BA6"/>
    <w:rsid w:val="00CD3BCD"/>
    <w:rsid w:val="00CD3BD5"/>
    <w:rsid w:val="00CD3BDD"/>
    <w:rsid w:val="00CD3C9A"/>
    <w:rsid w:val="00CD3CFD"/>
    <w:rsid w:val="00CD3D02"/>
    <w:rsid w:val="00CD3D14"/>
    <w:rsid w:val="00CD3D19"/>
    <w:rsid w:val="00CD3D5F"/>
    <w:rsid w:val="00CD3DA5"/>
    <w:rsid w:val="00CD3DCC"/>
    <w:rsid w:val="00CD3DDA"/>
    <w:rsid w:val="00CD3DEB"/>
    <w:rsid w:val="00CD3E5F"/>
    <w:rsid w:val="00CD3E68"/>
    <w:rsid w:val="00CD3EEA"/>
    <w:rsid w:val="00CD3F03"/>
    <w:rsid w:val="00CD3FF4"/>
    <w:rsid w:val="00CD402F"/>
    <w:rsid w:val="00CD404A"/>
    <w:rsid w:val="00CD4084"/>
    <w:rsid w:val="00CD4186"/>
    <w:rsid w:val="00CD41C1"/>
    <w:rsid w:val="00CD41D0"/>
    <w:rsid w:val="00CD41FC"/>
    <w:rsid w:val="00CD426B"/>
    <w:rsid w:val="00CD4281"/>
    <w:rsid w:val="00CD4298"/>
    <w:rsid w:val="00CD42AA"/>
    <w:rsid w:val="00CD432F"/>
    <w:rsid w:val="00CD4473"/>
    <w:rsid w:val="00CD44DF"/>
    <w:rsid w:val="00CD44FC"/>
    <w:rsid w:val="00CD455B"/>
    <w:rsid w:val="00CD4590"/>
    <w:rsid w:val="00CD4592"/>
    <w:rsid w:val="00CD45A8"/>
    <w:rsid w:val="00CD45B3"/>
    <w:rsid w:val="00CD4633"/>
    <w:rsid w:val="00CD4657"/>
    <w:rsid w:val="00CD472B"/>
    <w:rsid w:val="00CD4736"/>
    <w:rsid w:val="00CD47DD"/>
    <w:rsid w:val="00CD4876"/>
    <w:rsid w:val="00CD488E"/>
    <w:rsid w:val="00CD4896"/>
    <w:rsid w:val="00CD4924"/>
    <w:rsid w:val="00CD49E8"/>
    <w:rsid w:val="00CD4A22"/>
    <w:rsid w:val="00CD4A79"/>
    <w:rsid w:val="00CD4AB5"/>
    <w:rsid w:val="00CD4B25"/>
    <w:rsid w:val="00CD4B79"/>
    <w:rsid w:val="00CD4BDD"/>
    <w:rsid w:val="00CD4C1B"/>
    <w:rsid w:val="00CD4C25"/>
    <w:rsid w:val="00CD4C4E"/>
    <w:rsid w:val="00CD4C6A"/>
    <w:rsid w:val="00CD4CCE"/>
    <w:rsid w:val="00CD4CE8"/>
    <w:rsid w:val="00CD4D50"/>
    <w:rsid w:val="00CD4D7B"/>
    <w:rsid w:val="00CD4DCE"/>
    <w:rsid w:val="00CD4E66"/>
    <w:rsid w:val="00CD4F34"/>
    <w:rsid w:val="00CD4F7E"/>
    <w:rsid w:val="00CD4F85"/>
    <w:rsid w:val="00CD5012"/>
    <w:rsid w:val="00CD5046"/>
    <w:rsid w:val="00CD5064"/>
    <w:rsid w:val="00CD5209"/>
    <w:rsid w:val="00CD521B"/>
    <w:rsid w:val="00CD52E2"/>
    <w:rsid w:val="00CD52EA"/>
    <w:rsid w:val="00CD53A3"/>
    <w:rsid w:val="00CD53A4"/>
    <w:rsid w:val="00CD553A"/>
    <w:rsid w:val="00CD5540"/>
    <w:rsid w:val="00CD558C"/>
    <w:rsid w:val="00CD55F0"/>
    <w:rsid w:val="00CD56B1"/>
    <w:rsid w:val="00CD56DF"/>
    <w:rsid w:val="00CD5777"/>
    <w:rsid w:val="00CD585A"/>
    <w:rsid w:val="00CD58C1"/>
    <w:rsid w:val="00CD58EE"/>
    <w:rsid w:val="00CD5959"/>
    <w:rsid w:val="00CD596B"/>
    <w:rsid w:val="00CD59FA"/>
    <w:rsid w:val="00CD5A07"/>
    <w:rsid w:val="00CD5A25"/>
    <w:rsid w:val="00CD5A3C"/>
    <w:rsid w:val="00CD5A4E"/>
    <w:rsid w:val="00CD5A62"/>
    <w:rsid w:val="00CD5A66"/>
    <w:rsid w:val="00CD5AC9"/>
    <w:rsid w:val="00CD5C22"/>
    <w:rsid w:val="00CD5C38"/>
    <w:rsid w:val="00CD5C3A"/>
    <w:rsid w:val="00CD5C46"/>
    <w:rsid w:val="00CD5CBF"/>
    <w:rsid w:val="00CD5CE4"/>
    <w:rsid w:val="00CD5D08"/>
    <w:rsid w:val="00CD5D90"/>
    <w:rsid w:val="00CD5E57"/>
    <w:rsid w:val="00CD5E6E"/>
    <w:rsid w:val="00CD5F34"/>
    <w:rsid w:val="00CD5F3D"/>
    <w:rsid w:val="00CD5F6B"/>
    <w:rsid w:val="00CD6023"/>
    <w:rsid w:val="00CD6030"/>
    <w:rsid w:val="00CD6052"/>
    <w:rsid w:val="00CD608C"/>
    <w:rsid w:val="00CD60D5"/>
    <w:rsid w:val="00CD615A"/>
    <w:rsid w:val="00CD618E"/>
    <w:rsid w:val="00CD620F"/>
    <w:rsid w:val="00CD6275"/>
    <w:rsid w:val="00CD628A"/>
    <w:rsid w:val="00CD629B"/>
    <w:rsid w:val="00CD62F5"/>
    <w:rsid w:val="00CD633E"/>
    <w:rsid w:val="00CD6438"/>
    <w:rsid w:val="00CD643C"/>
    <w:rsid w:val="00CD64DA"/>
    <w:rsid w:val="00CD6594"/>
    <w:rsid w:val="00CD65A6"/>
    <w:rsid w:val="00CD6686"/>
    <w:rsid w:val="00CD6698"/>
    <w:rsid w:val="00CD669B"/>
    <w:rsid w:val="00CD6767"/>
    <w:rsid w:val="00CD676C"/>
    <w:rsid w:val="00CD6848"/>
    <w:rsid w:val="00CD6879"/>
    <w:rsid w:val="00CD68E5"/>
    <w:rsid w:val="00CD68F2"/>
    <w:rsid w:val="00CD692D"/>
    <w:rsid w:val="00CD692F"/>
    <w:rsid w:val="00CD693D"/>
    <w:rsid w:val="00CD696F"/>
    <w:rsid w:val="00CD698D"/>
    <w:rsid w:val="00CD6A2E"/>
    <w:rsid w:val="00CD6A7E"/>
    <w:rsid w:val="00CD6AEA"/>
    <w:rsid w:val="00CD6B19"/>
    <w:rsid w:val="00CD6B38"/>
    <w:rsid w:val="00CD6B7F"/>
    <w:rsid w:val="00CD6BA3"/>
    <w:rsid w:val="00CD6C0D"/>
    <w:rsid w:val="00CD6C2A"/>
    <w:rsid w:val="00CD6C48"/>
    <w:rsid w:val="00CD6D0E"/>
    <w:rsid w:val="00CD6D60"/>
    <w:rsid w:val="00CD6DAF"/>
    <w:rsid w:val="00CD6E4B"/>
    <w:rsid w:val="00CD6E59"/>
    <w:rsid w:val="00CD6E86"/>
    <w:rsid w:val="00CD6E95"/>
    <w:rsid w:val="00CD6EE0"/>
    <w:rsid w:val="00CD6EF3"/>
    <w:rsid w:val="00CD6F70"/>
    <w:rsid w:val="00CD704C"/>
    <w:rsid w:val="00CD70A8"/>
    <w:rsid w:val="00CD711A"/>
    <w:rsid w:val="00CD71F5"/>
    <w:rsid w:val="00CD7281"/>
    <w:rsid w:val="00CD735E"/>
    <w:rsid w:val="00CD738B"/>
    <w:rsid w:val="00CD7401"/>
    <w:rsid w:val="00CD7402"/>
    <w:rsid w:val="00CD7449"/>
    <w:rsid w:val="00CD745F"/>
    <w:rsid w:val="00CD74DD"/>
    <w:rsid w:val="00CD7537"/>
    <w:rsid w:val="00CD75C2"/>
    <w:rsid w:val="00CD765B"/>
    <w:rsid w:val="00CD76FA"/>
    <w:rsid w:val="00CD774D"/>
    <w:rsid w:val="00CD7871"/>
    <w:rsid w:val="00CD78FE"/>
    <w:rsid w:val="00CD7945"/>
    <w:rsid w:val="00CD7951"/>
    <w:rsid w:val="00CD7960"/>
    <w:rsid w:val="00CD7972"/>
    <w:rsid w:val="00CD79C1"/>
    <w:rsid w:val="00CD79E5"/>
    <w:rsid w:val="00CD7A00"/>
    <w:rsid w:val="00CD7AFA"/>
    <w:rsid w:val="00CD7C64"/>
    <w:rsid w:val="00CD7C8B"/>
    <w:rsid w:val="00CD7CC1"/>
    <w:rsid w:val="00CD7D4B"/>
    <w:rsid w:val="00CD7D4D"/>
    <w:rsid w:val="00CD7D6D"/>
    <w:rsid w:val="00CD7D76"/>
    <w:rsid w:val="00CD7DD8"/>
    <w:rsid w:val="00CD7EC4"/>
    <w:rsid w:val="00CD7F31"/>
    <w:rsid w:val="00CD7F4B"/>
    <w:rsid w:val="00CD7F7E"/>
    <w:rsid w:val="00CE0039"/>
    <w:rsid w:val="00CE003C"/>
    <w:rsid w:val="00CE009D"/>
    <w:rsid w:val="00CE00DE"/>
    <w:rsid w:val="00CE0144"/>
    <w:rsid w:val="00CE017D"/>
    <w:rsid w:val="00CE019C"/>
    <w:rsid w:val="00CE01C3"/>
    <w:rsid w:val="00CE01F2"/>
    <w:rsid w:val="00CE024B"/>
    <w:rsid w:val="00CE025E"/>
    <w:rsid w:val="00CE0288"/>
    <w:rsid w:val="00CE0348"/>
    <w:rsid w:val="00CE039D"/>
    <w:rsid w:val="00CE03F3"/>
    <w:rsid w:val="00CE0404"/>
    <w:rsid w:val="00CE040A"/>
    <w:rsid w:val="00CE044A"/>
    <w:rsid w:val="00CE0462"/>
    <w:rsid w:val="00CE046F"/>
    <w:rsid w:val="00CE04E6"/>
    <w:rsid w:val="00CE050E"/>
    <w:rsid w:val="00CE0519"/>
    <w:rsid w:val="00CE051B"/>
    <w:rsid w:val="00CE0546"/>
    <w:rsid w:val="00CE0559"/>
    <w:rsid w:val="00CE063A"/>
    <w:rsid w:val="00CE06ED"/>
    <w:rsid w:val="00CE0706"/>
    <w:rsid w:val="00CE0748"/>
    <w:rsid w:val="00CE07AB"/>
    <w:rsid w:val="00CE0814"/>
    <w:rsid w:val="00CE0822"/>
    <w:rsid w:val="00CE0835"/>
    <w:rsid w:val="00CE08D5"/>
    <w:rsid w:val="00CE0917"/>
    <w:rsid w:val="00CE0989"/>
    <w:rsid w:val="00CE09E8"/>
    <w:rsid w:val="00CE0A17"/>
    <w:rsid w:val="00CE0A30"/>
    <w:rsid w:val="00CE0A8E"/>
    <w:rsid w:val="00CE0AB9"/>
    <w:rsid w:val="00CE0AC3"/>
    <w:rsid w:val="00CE0ACB"/>
    <w:rsid w:val="00CE0B12"/>
    <w:rsid w:val="00CE0B19"/>
    <w:rsid w:val="00CE0B53"/>
    <w:rsid w:val="00CE0B58"/>
    <w:rsid w:val="00CE0B93"/>
    <w:rsid w:val="00CE0BDD"/>
    <w:rsid w:val="00CE0BE7"/>
    <w:rsid w:val="00CE0CB0"/>
    <w:rsid w:val="00CE0CCD"/>
    <w:rsid w:val="00CE0CFC"/>
    <w:rsid w:val="00CE0D0B"/>
    <w:rsid w:val="00CE0D55"/>
    <w:rsid w:val="00CE0D6D"/>
    <w:rsid w:val="00CE0DDF"/>
    <w:rsid w:val="00CE0DEB"/>
    <w:rsid w:val="00CE0E7D"/>
    <w:rsid w:val="00CE0E94"/>
    <w:rsid w:val="00CE0ECF"/>
    <w:rsid w:val="00CE0F12"/>
    <w:rsid w:val="00CE0F4C"/>
    <w:rsid w:val="00CE0F56"/>
    <w:rsid w:val="00CE101E"/>
    <w:rsid w:val="00CE1026"/>
    <w:rsid w:val="00CE102E"/>
    <w:rsid w:val="00CE106B"/>
    <w:rsid w:val="00CE10AA"/>
    <w:rsid w:val="00CE1168"/>
    <w:rsid w:val="00CE1177"/>
    <w:rsid w:val="00CE1204"/>
    <w:rsid w:val="00CE1249"/>
    <w:rsid w:val="00CE1320"/>
    <w:rsid w:val="00CE1325"/>
    <w:rsid w:val="00CE1336"/>
    <w:rsid w:val="00CE139A"/>
    <w:rsid w:val="00CE13A0"/>
    <w:rsid w:val="00CE140E"/>
    <w:rsid w:val="00CE1446"/>
    <w:rsid w:val="00CE1454"/>
    <w:rsid w:val="00CE147A"/>
    <w:rsid w:val="00CE14A4"/>
    <w:rsid w:val="00CE14C6"/>
    <w:rsid w:val="00CE14D7"/>
    <w:rsid w:val="00CE1585"/>
    <w:rsid w:val="00CE1621"/>
    <w:rsid w:val="00CE1636"/>
    <w:rsid w:val="00CE1644"/>
    <w:rsid w:val="00CE16DE"/>
    <w:rsid w:val="00CE16FD"/>
    <w:rsid w:val="00CE1723"/>
    <w:rsid w:val="00CE17C8"/>
    <w:rsid w:val="00CE190D"/>
    <w:rsid w:val="00CE1915"/>
    <w:rsid w:val="00CE193C"/>
    <w:rsid w:val="00CE1A6A"/>
    <w:rsid w:val="00CE1A9C"/>
    <w:rsid w:val="00CE1ABE"/>
    <w:rsid w:val="00CE1B1C"/>
    <w:rsid w:val="00CE1B3D"/>
    <w:rsid w:val="00CE1B66"/>
    <w:rsid w:val="00CE1D4D"/>
    <w:rsid w:val="00CE1DBD"/>
    <w:rsid w:val="00CE1DC8"/>
    <w:rsid w:val="00CE1E10"/>
    <w:rsid w:val="00CE1E11"/>
    <w:rsid w:val="00CE1E5F"/>
    <w:rsid w:val="00CE1F5A"/>
    <w:rsid w:val="00CE1F7F"/>
    <w:rsid w:val="00CE1F89"/>
    <w:rsid w:val="00CE2196"/>
    <w:rsid w:val="00CE21E7"/>
    <w:rsid w:val="00CE21EB"/>
    <w:rsid w:val="00CE2225"/>
    <w:rsid w:val="00CE222F"/>
    <w:rsid w:val="00CE2296"/>
    <w:rsid w:val="00CE22C5"/>
    <w:rsid w:val="00CE22DA"/>
    <w:rsid w:val="00CE2320"/>
    <w:rsid w:val="00CE23D9"/>
    <w:rsid w:val="00CE245F"/>
    <w:rsid w:val="00CE246B"/>
    <w:rsid w:val="00CE24E8"/>
    <w:rsid w:val="00CE2549"/>
    <w:rsid w:val="00CE259E"/>
    <w:rsid w:val="00CE25A4"/>
    <w:rsid w:val="00CE25AB"/>
    <w:rsid w:val="00CE25E1"/>
    <w:rsid w:val="00CE2779"/>
    <w:rsid w:val="00CE2795"/>
    <w:rsid w:val="00CE2884"/>
    <w:rsid w:val="00CE28EC"/>
    <w:rsid w:val="00CE2912"/>
    <w:rsid w:val="00CE297A"/>
    <w:rsid w:val="00CE29A5"/>
    <w:rsid w:val="00CE29BE"/>
    <w:rsid w:val="00CE29C9"/>
    <w:rsid w:val="00CE2A35"/>
    <w:rsid w:val="00CE2A57"/>
    <w:rsid w:val="00CE2AA4"/>
    <w:rsid w:val="00CE2AC1"/>
    <w:rsid w:val="00CE2B05"/>
    <w:rsid w:val="00CE2BA5"/>
    <w:rsid w:val="00CE2BD7"/>
    <w:rsid w:val="00CE2C03"/>
    <w:rsid w:val="00CE2C4A"/>
    <w:rsid w:val="00CE2C8C"/>
    <w:rsid w:val="00CE2CBB"/>
    <w:rsid w:val="00CE2D05"/>
    <w:rsid w:val="00CE2D07"/>
    <w:rsid w:val="00CE2F6B"/>
    <w:rsid w:val="00CE2FEF"/>
    <w:rsid w:val="00CE3051"/>
    <w:rsid w:val="00CE3118"/>
    <w:rsid w:val="00CE311F"/>
    <w:rsid w:val="00CE3157"/>
    <w:rsid w:val="00CE3218"/>
    <w:rsid w:val="00CE3241"/>
    <w:rsid w:val="00CE325D"/>
    <w:rsid w:val="00CE3265"/>
    <w:rsid w:val="00CE336F"/>
    <w:rsid w:val="00CE351E"/>
    <w:rsid w:val="00CE3559"/>
    <w:rsid w:val="00CE3596"/>
    <w:rsid w:val="00CE35BC"/>
    <w:rsid w:val="00CE35CE"/>
    <w:rsid w:val="00CE35DF"/>
    <w:rsid w:val="00CE361B"/>
    <w:rsid w:val="00CE3708"/>
    <w:rsid w:val="00CE3753"/>
    <w:rsid w:val="00CE3833"/>
    <w:rsid w:val="00CE38F9"/>
    <w:rsid w:val="00CE39D9"/>
    <w:rsid w:val="00CE39F0"/>
    <w:rsid w:val="00CE39F9"/>
    <w:rsid w:val="00CE3A4D"/>
    <w:rsid w:val="00CE3A75"/>
    <w:rsid w:val="00CE3A87"/>
    <w:rsid w:val="00CE3ABD"/>
    <w:rsid w:val="00CE3B06"/>
    <w:rsid w:val="00CE3C0D"/>
    <w:rsid w:val="00CE3C70"/>
    <w:rsid w:val="00CE3CEE"/>
    <w:rsid w:val="00CE3F69"/>
    <w:rsid w:val="00CE3F7E"/>
    <w:rsid w:val="00CE3F87"/>
    <w:rsid w:val="00CE3FB7"/>
    <w:rsid w:val="00CE401B"/>
    <w:rsid w:val="00CE4070"/>
    <w:rsid w:val="00CE410D"/>
    <w:rsid w:val="00CE41A7"/>
    <w:rsid w:val="00CE41AA"/>
    <w:rsid w:val="00CE41C8"/>
    <w:rsid w:val="00CE42AF"/>
    <w:rsid w:val="00CE4347"/>
    <w:rsid w:val="00CE4385"/>
    <w:rsid w:val="00CE43A2"/>
    <w:rsid w:val="00CE43A5"/>
    <w:rsid w:val="00CE43C1"/>
    <w:rsid w:val="00CE44A8"/>
    <w:rsid w:val="00CE44B2"/>
    <w:rsid w:val="00CE4579"/>
    <w:rsid w:val="00CE4590"/>
    <w:rsid w:val="00CE45BF"/>
    <w:rsid w:val="00CE4603"/>
    <w:rsid w:val="00CE46A1"/>
    <w:rsid w:val="00CE4742"/>
    <w:rsid w:val="00CE47A1"/>
    <w:rsid w:val="00CE4867"/>
    <w:rsid w:val="00CE48E9"/>
    <w:rsid w:val="00CE4927"/>
    <w:rsid w:val="00CE4956"/>
    <w:rsid w:val="00CE495F"/>
    <w:rsid w:val="00CE49BF"/>
    <w:rsid w:val="00CE4A55"/>
    <w:rsid w:val="00CE4A5A"/>
    <w:rsid w:val="00CE4A81"/>
    <w:rsid w:val="00CE4AFA"/>
    <w:rsid w:val="00CE4BAE"/>
    <w:rsid w:val="00CE4BD2"/>
    <w:rsid w:val="00CE4BFD"/>
    <w:rsid w:val="00CE4C0E"/>
    <w:rsid w:val="00CE4CDB"/>
    <w:rsid w:val="00CE4CDC"/>
    <w:rsid w:val="00CE4D19"/>
    <w:rsid w:val="00CE4D3B"/>
    <w:rsid w:val="00CE4D81"/>
    <w:rsid w:val="00CE4D94"/>
    <w:rsid w:val="00CE4E27"/>
    <w:rsid w:val="00CE4F52"/>
    <w:rsid w:val="00CE4FAD"/>
    <w:rsid w:val="00CE4FF2"/>
    <w:rsid w:val="00CE4FF9"/>
    <w:rsid w:val="00CE5030"/>
    <w:rsid w:val="00CE506B"/>
    <w:rsid w:val="00CE5109"/>
    <w:rsid w:val="00CE5140"/>
    <w:rsid w:val="00CE5144"/>
    <w:rsid w:val="00CE518C"/>
    <w:rsid w:val="00CE5234"/>
    <w:rsid w:val="00CE52BA"/>
    <w:rsid w:val="00CE52EA"/>
    <w:rsid w:val="00CE52FD"/>
    <w:rsid w:val="00CE5383"/>
    <w:rsid w:val="00CE5385"/>
    <w:rsid w:val="00CE53C3"/>
    <w:rsid w:val="00CE5409"/>
    <w:rsid w:val="00CE545F"/>
    <w:rsid w:val="00CE5486"/>
    <w:rsid w:val="00CE5491"/>
    <w:rsid w:val="00CE549E"/>
    <w:rsid w:val="00CE5511"/>
    <w:rsid w:val="00CE5532"/>
    <w:rsid w:val="00CE553B"/>
    <w:rsid w:val="00CE555F"/>
    <w:rsid w:val="00CE5699"/>
    <w:rsid w:val="00CE572E"/>
    <w:rsid w:val="00CE57AC"/>
    <w:rsid w:val="00CE591F"/>
    <w:rsid w:val="00CE596A"/>
    <w:rsid w:val="00CE5B43"/>
    <w:rsid w:val="00CE5C44"/>
    <w:rsid w:val="00CE5CB1"/>
    <w:rsid w:val="00CE5D1A"/>
    <w:rsid w:val="00CE5D5E"/>
    <w:rsid w:val="00CE5D7F"/>
    <w:rsid w:val="00CE5D9B"/>
    <w:rsid w:val="00CE5DCB"/>
    <w:rsid w:val="00CE5DF2"/>
    <w:rsid w:val="00CE5EA7"/>
    <w:rsid w:val="00CE5EBD"/>
    <w:rsid w:val="00CE5F75"/>
    <w:rsid w:val="00CE5F98"/>
    <w:rsid w:val="00CE5FEE"/>
    <w:rsid w:val="00CE6009"/>
    <w:rsid w:val="00CE600E"/>
    <w:rsid w:val="00CE602D"/>
    <w:rsid w:val="00CE6053"/>
    <w:rsid w:val="00CE61ED"/>
    <w:rsid w:val="00CE62CD"/>
    <w:rsid w:val="00CE6316"/>
    <w:rsid w:val="00CE63A1"/>
    <w:rsid w:val="00CE63D8"/>
    <w:rsid w:val="00CE63DC"/>
    <w:rsid w:val="00CE63E5"/>
    <w:rsid w:val="00CE6506"/>
    <w:rsid w:val="00CE652D"/>
    <w:rsid w:val="00CE6551"/>
    <w:rsid w:val="00CE65AD"/>
    <w:rsid w:val="00CE6619"/>
    <w:rsid w:val="00CE66C5"/>
    <w:rsid w:val="00CE6738"/>
    <w:rsid w:val="00CE6742"/>
    <w:rsid w:val="00CE678C"/>
    <w:rsid w:val="00CE680E"/>
    <w:rsid w:val="00CE683B"/>
    <w:rsid w:val="00CE684E"/>
    <w:rsid w:val="00CE6867"/>
    <w:rsid w:val="00CE6888"/>
    <w:rsid w:val="00CE694C"/>
    <w:rsid w:val="00CE6995"/>
    <w:rsid w:val="00CE69A0"/>
    <w:rsid w:val="00CE6A12"/>
    <w:rsid w:val="00CE6A5A"/>
    <w:rsid w:val="00CE6A9F"/>
    <w:rsid w:val="00CE6AE7"/>
    <w:rsid w:val="00CE6AEE"/>
    <w:rsid w:val="00CE6B64"/>
    <w:rsid w:val="00CE6CB3"/>
    <w:rsid w:val="00CE6CFC"/>
    <w:rsid w:val="00CE6D4E"/>
    <w:rsid w:val="00CE6D5E"/>
    <w:rsid w:val="00CE6E96"/>
    <w:rsid w:val="00CE6EDC"/>
    <w:rsid w:val="00CE6EF3"/>
    <w:rsid w:val="00CE6F27"/>
    <w:rsid w:val="00CE6F92"/>
    <w:rsid w:val="00CE700A"/>
    <w:rsid w:val="00CE702C"/>
    <w:rsid w:val="00CE706B"/>
    <w:rsid w:val="00CE7095"/>
    <w:rsid w:val="00CE70B6"/>
    <w:rsid w:val="00CE71A7"/>
    <w:rsid w:val="00CE71EF"/>
    <w:rsid w:val="00CE7229"/>
    <w:rsid w:val="00CE724E"/>
    <w:rsid w:val="00CE725B"/>
    <w:rsid w:val="00CE729B"/>
    <w:rsid w:val="00CE72F1"/>
    <w:rsid w:val="00CE73D6"/>
    <w:rsid w:val="00CE746D"/>
    <w:rsid w:val="00CE74DB"/>
    <w:rsid w:val="00CE7546"/>
    <w:rsid w:val="00CE7548"/>
    <w:rsid w:val="00CE7575"/>
    <w:rsid w:val="00CE75B2"/>
    <w:rsid w:val="00CE75E9"/>
    <w:rsid w:val="00CE75FE"/>
    <w:rsid w:val="00CE7772"/>
    <w:rsid w:val="00CE7779"/>
    <w:rsid w:val="00CE77BF"/>
    <w:rsid w:val="00CE77ED"/>
    <w:rsid w:val="00CE7807"/>
    <w:rsid w:val="00CE78A9"/>
    <w:rsid w:val="00CE78F6"/>
    <w:rsid w:val="00CE7913"/>
    <w:rsid w:val="00CE7946"/>
    <w:rsid w:val="00CE798B"/>
    <w:rsid w:val="00CE7A12"/>
    <w:rsid w:val="00CE7A81"/>
    <w:rsid w:val="00CE7BD5"/>
    <w:rsid w:val="00CE7C0E"/>
    <w:rsid w:val="00CE7C3D"/>
    <w:rsid w:val="00CE7C49"/>
    <w:rsid w:val="00CE7C88"/>
    <w:rsid w:val="00CE7CDC"/>
    <w:rsid w:val="00CE7CDF"/>
    <w:rsid w:val="00CE7D8E"/>
    <w:rsid w:val="00CE7E11"/>
    <w:rsid w:val="00CE7E40"/>
    <w:rsid w:val="00CE7E5C"/>
    <w:rsid w:val="00CE7E77"/>
    <w:rsid w:val="00CE7E81"/>
    <w:rsid w:val="00CE7EBB"/>
    <w:rsid w:val="00CE7FA2"/>
    <w:rsid w:val="00CF0022"/>
    <w:rsid w:val="00CF0067"/>
    <w:rsid w:val="00CF0072"/>
    <w:rsid w:val="00CF0112"/>
    <w:rsid w:val="00CF0192"/>
    <w:rsid w:val="00CF01FB"/>
    <w:rsid w:val="00CF0201"/>
    <w:rsid w:val="00CF0274"/>
    <w:rsid w:val="00CF0317"/>
    <w:rsid w:val="00CF0328"/>
    <w:rsid w:val="00CF0485"/>
    <w:rsid w:val="00CF0498"/>
    <w:rsid w:val="00CF04D8"/>
    <w:rsid w:val="00CF04F1"/>
    <w:rsid w:val="00CF051A"/>
    <w:rsid w:val="00CF059E"/>
    <w:rsid w:val="00CF05EC"/>
    <w:rsid w:val="00CF065D"/>
    <w:rsid w:val="00CF0954"/>
    <w:rsid w:val="00CF09DC"/>
    <w:rsid w:val="00CF0A2E"/>
    <w:rsid w:val="00CF0AA1"/>
    <w:rsid w:val="00CF0AA8"/>
    <w:rsid w:val="00CF0ACE"/>
    <w:rsid w:val="00CF0B9F"/>
    <w:rsid w:val="00CF0C33"/>
    <w:rsid w:val="00CF0C62"/>
    <w:rsid w:val="00CF0CBA"/>
    <w:rsid w:val="00CF0D99"/>
    <w:rsid w:val="00CF0D9B"/>
    <w:rsid w:val="00CF0DCB"/>
    <w:rsid w:val="00CF0DD3"/>
    <w:rsid w:val="00CF0E1D"/>
    <w:rsid w:val="00CF0E26"/>
    <w:rsid w:val="00CF0E43"/>
    <w:rsid w:val="00CF0E7A"/>
    <w:rsid w:val="00CF0F12"/>
    <w:rsid w:val="00CF0F55"/>
    <w:rsid w:val="00CF0F76"/>
    <w:rsid w:val="00CF0F9A"/>
    <w:rsid w:val="00CF100F"/>
    <w:rsid w:val="00CF1055"/>
    <w:rsid w:val="00CF10CC"/>
    <w:rsid w:val="00CF1148"/>
    <w:rsid w:val="00CF11A2"/>
    <w:rsid w:val="00CF11A3"/>
    <w:rsid w:val="00CF11D5"/>
    <w:rsid w:val="00CF11E2"/>
    <w:rsid w:val="00CF11EC"/>
    <w:rsid w:val="00CF12B4"/>
    <w:rsid w:val="00CF12FF"/>
    <w:rsid w:val="00CF133C"/>
    <w:rsid w:val="00CF13E0"/>
    <w:rsid w:val="00CF1466"/>
    <w:rsid w:val="00CF14A4"/>
    <w:rsid w:val="00CF14A7"/>
    <w:rsid w:val="00CF151D"/>
    <w:rsid w:val="00CF158D"/>
    <w:rsid w:val="00CF15B7"/>
    <w:rsid w:val="00CF165E"/>
    <w:rsid w:val="00CF1676"/>
    <w:rsid w:val="00CF1679"/>
    <w:rsid w:val="00CF1789"/>
    <w:rsid w:val="00CF1799"/>
    <w:rsid w:val="00CF17C5"/>
    <w:rsid w:val="00CF17E8"/>
    <w:rsid w:val="00CF1819"/>
    <w:rsid w:val="00CF1867"/>
    <w:rsid w:val="00CF186B"/>
    <w:rsid w:val="00CF18C2"/>
    <w:rsid w:val="00CF18CD"/>
    <w:rsid w:val="00CF18DA"/>
    <w:rsid w:val="00CF194A"/>
    <w:rsid w:val="00CF194B"/>
    <w:rsid w:val="00CF1955"/>
    <w:rsid w:val="00CF1AC7"/>
    <w:rsid w:val="00CF1AD0"/>
    <w:rsid w:val="00CF1AF0"/>
    <w:rsid w:val="00CF1AF1"/>
    <w:rsid w:val="00CF1B04"/>
    <w:rsid w:val="00CF1B51"/>
    <w:rsid w:val="00CF1BDD"/>
    <w:rsid w:val="00CF1C07"/>
    <w:rsid w:val="00CF1C1C"/>
    <w:rsid w:val="00CF1C44"/>
    <w:rsid w:val="00CF1C6E"/>
    <w:rsid w:val="00CF1CBD"/>
    <w:rsid w:val="00CF1D1B"/>
    <w:rsid w:val="00CF1D5C"/>
    <w:rsid w:val="00CF1D9E"/>
    <w:rsid w:val="00CF1DE2"/>
    <w:rsid w:val="00CF1E82"/>
    <w:rsid w:val="00CF1E8D"/>
    <w:rsid w:val="00CF1FC0"/>
    <w:rsid w:val="00CF201E"/>
    <w:rsid w:val="00CF20AF"/>
    <w:rsid w:val="00CF20D5"/>
    <w:rsid w:val="00CF20F4"/>
    <w:rsid w:val="00CF214B"/>
    <w:rsid w:val="00CF21BF"/>
    <w:rsid w:val="00CF2217"/>
    <w:rsid w:val="00CF225A"/>
    <w:rsid w:val="00CF227C"/>
    <w:rsid w:val="00CF23CA"/>
    <w:rsid w:val="00CF241B"/>
    <w:rsid w:val="00CF24EB"/>
    <w:rsid w:val="00CF250C"/>
    <w:rsid w:val="00CF254B"/>
    <w:rsid w:val="00CF25FA"/>
    <w:rsid w:val="00CF266B"/>
    <w:rsid w:val="00CF2693"/>
    <w:rsid w:val="00CF2721"/>
    <w:rsid w:val="00CF2769"/>
    <w:rsid w:val="00CF2846"/>
    <w:rsid w:val="00CF2924"/>
    <w:rsid w:val="00CF29FD"/>
    <w:rsid w:val="00CF2A11"/>
    <w:rsid w:val="00CF2A1B"/>
    <w:rsid w:val="00CF2A1F"/>
    <w:rsid w:val="00CF2A38"/>
    <w:rsid w:val="00CF2ACE"/>
    <w:rsid w:val="00CF2AF0"/>
    <w:rsid w:val="00CF2B3B"/>
    <w:rsid w:val="00CF2B3D"/>
    <w:rsid w:val="00CF2B53"/>
    <w:rsid w:val="00CF2BC2"/>
    <w:rsid w:val="00CF2BCB"/>
    <w:rsid w:val="00CF2BCD"/>
    <w:rsid w:val="00CF2BD9"/>
    <w:rsid w:val="00CF2C04"/>
    <w:rsid w:val="00CF2C0F"/>
    <w:rsid w:val="00CF2C20"/>
    <w:rsid w:val="00CF2C5A"/>
    <w:rsid w:val="00CF2CED"/>
    <w:rsid w:val="00CF2D0D"/>
    <w:rsid w:val="00CF2DE8"/>
    <w:rsid w:val="00CF2DF4"/>
    <w:rsid w:val="00CF2E07"/>
    <w:rsid w:val="00CF2E5E"/>
    <w:rsid w:val="00CF2E8E"/>
    <w:rsid w:val="00CF2F53"/>
    <w:rsid w:val="00CF2F61"/>
    <w:rsid w:val="00CF3040"/>
    <w:rsid w:val="00CF306C"/>
    <w:rsid w:val="00CF307A"/>
    <w:rsid w:val="00CF311C"/>
    <w:rsid w:val="00CF311D"/>
    <w:rsid w:val="00CF3141"/>
    <w:rsid w:val="00CF31BC"/>
    <w:rsid w:val="00CF31E6"/>
    <w:rsid w:val="00CF3218"/>
    <w:rsid w:val="00CF3250"/>
    <w:rsid w:val="00CF3289"/>
    <w:rsid w:val="00CF32D0"/>
    <w:rsid w:val="00CF32F4"/>
    <w:rsid w:val="00CF337F"/>
    <w:rsid w:val="00CF3391"/>
    <w:rsid w:val="00CF348C"/>
    <w:rsid w:val="00CF3529"/>
    <w:rsid w:val="00CF3609"/>
    <w:rsid w:val="00CF361F"/>
    <w:rsid w:val="00CF3677"/>
    <w:rsid w:val="00CF367D"/>
    <w:rsid w:val="00CF3689"/>
    <w:rsid w:val="00CF36D0"/>
    <w:rsid w:val="00CF372E"/>
    <w:rsid w:val="00CF37DE"/>
    <w:rsid w:val="00CF383A"/>
    <w:rsid w:val="00CF3875"/>
    <w:rsid w:val="00CF38E1"/>
    <w:rsid w:val="00CF3921"/>
    <w:rsid w:val="00CF3933"/>
    <w:rsid w:val="00CF3943"/>
    <w:rsid w:val="00CF39D2"/>
    <w:rsid w:val="00CF3A32"/>
    <w:rsid w:val="00CF3A4C"/>
    <w:rsid w:val="00CF3A84"/>
    <w:rsid w:val="00CF3AAE"/>
    <w:rsid w:val="00CF3ACF"/>
    <w:rsid w:val="00CF3C13"/>
    <w:rsid w:val="00CF3C3B"/>
    <w:rsid w:val="00CF3C53"/>
    <w:rsid w:val="00CF3C85"/>
    <w:rsid w:val="00CF3CE8"/>
    <w:rsid w:val="00CF3DDA"/>
    <w:rsid w:val="00CF3E05"/>
    <w:rsid w:val="00CF3E31"/>
    <w:rsid w:val="00CF3E32"/>
    <w:rsid w:val="00CF3E58"/>
    <w:rsid w:val="00CF3E7B"/>
    <w:rsid w:val="00CF3E7F"/>
    <w:rsid w:val="00CF3EAE"/>
    <w:rsid w:val="00CF3EAF"/>
    <w:rsid w:val="00CF3EB0"/>
    <w:rsid w:val="00CF3ED0"/>
    <w:rsid w:val="00CF3F4F"/>
    <w:rsid w:val="00CF3FB2"/>
    <w:rsid w:val="00CF3FB7"/>
    <w:rsid w:val="00CF3FC9"/>
    <w:rsid w:val="00CF3FCB"/>
    <w:rsid w:val="00CF3FED"/>
    <w:rsid w:val="00CF3FEF"/>
    <w:rsid w:val="00CF4078"/>
    <w:rsid w:val="00CF4240"/>
    <w:rsid w:val="00CF425E"/>
    <w:rsid w:val="00CF428D"/>
    <w:rsid w:val="00CF42B4"/>
    <w:rsid w:val="00CF42F5"/>
    <w:rsid w:val="00CF4309"/>
    <w:rsid w:val="00CF4325"/>
    <w:rsid w:val="00CF4388"/>
    <w:rsid w:val="00CF4393"/>
    <w:rsid w:val="00CF43A7"/>
    <w:rsid w:val="00CF4409"/>
    <w:rsid w:val="00CF44AC"/>
    <w:rsid w:val="00CF453A"/>
    <w:rsid w:val="00CF454A"/>
    <w:rsid w:val="00CF45D4"/>
    <w:rsid w:val="00CF4610"/>
    <w:rsid w:val="00CF4614"/>
    <w:rsid w:val="00CF475E"/>
    <w:rsid w:val="00CF4821"/>
    <w:rsid w:val="00CF48FB"/>
    <w:rsid w:val="00CF491C"/>
    <w:rsid w:val="00CF4926"/>
    <w:rsid w:val="00CF493B"/>
    <w:rsid w:val="00CF4AFA"/>
    <w:rsid w:val="00CF4B3C"/>
    <w:rsid w:val="00CF4B7F"/>
    <w:rsid w:val="00CF4BF7"/>
    <w:rsid w:val="00CF4C1C"/>
    <w:rsid w:val="00CF4CFF"/>
    <w:rsid w:val="00CF4D5C"/>
    <w:rsid w:val="00CF4DB7"/>
    <w:rsid w:val="00CF4DC8"/>
    <w:rsid w:val="00CF4DE0"/>
    <w:rsid w:val="00CF4E69"/>
    <w:rsid w:val="00CF4EE7"/>
    <w:rsid w:val="00CF4F44"/>
    <w:rsid w:val="00CF4F45"/>
    <w:rsid w:val="00CF4F7C"/>
    <w:rsid w:val="00CF4F80"/>
    <w:rsid w:val="00CF4F9D"/>
    <w:rsid w:val="00CF4FA3"/>
    <w:rsid w:val="00CF4FCE"/>
    <w:rsid w:val="00CF505B"/>
    <w:rsid w:val="00CF50D7"/>
    <w:rsid w:val="00CF50EB"/>
    <w:rsid w:val="00CF5128"/>
    <w:rsid w:val="00CF518F"/>
    <w:rsid w:val="00CF519E"/>
    <w:rsid w:val="00CF51C4"/>
    <w:rsid w:val="00CF5222"/>
    <w:rsid w:val="00CF524A"/>
    <w:rsid w:val="00CF529C"/>
    <w:rsid w:val="00CF529F"/>
    <w:rsid w:val="00CF52A5"/>
    <w:rsid w:val="00CF5322"/>
    <w:rsid w:val="00CF532F"/>
    <w:rsid w:val="00CF533D"/>
    <w:rsid w:val="00CF53B3"/>
    <w:rsid w:val="00CF53D6"/>
    <w:rsid w:val="00CF53E6"/>
    <w:rsid w:val="00CF5455"/>
    <w:rsid w:val="00CF54EF"/>
    <w:rsid w:val="00CF55E6"/>
    <w:rsid w:val="00CF561A"/>
    <w:rsid w:val="00CF5838"/>
    <w:rsid w:val="00CF58E0"/>
    <w:rsid w:val="00CF58EA"/>
    <w:rsid w:val="00CF591C"/>
    <w:rsid w:val="00CF594E"/>
    <w:rsid w:val="00CF596A"/>
    <w:rsid w:val="00CF5AEF"/>
    <w:rsid w:val="00CF5B27"/>
    <w:rsid w:val="00CF5B51"/>
    <w:rsid w:val="00CF5B87"/>
    <w:rsid w:val="00CF5BDF"/>
    <w:rsid w:val="00CF5C03"/>
    <w:rsid w:val="00CF5C62"/>
    <w:rsid w:val="00CF5C7C"/>
    <w:rsid w:val="00CF5D1D"/>
    <w:rsid w:val="00CF5D8F"/>
    <w:rsid w:val="00CF5D92"/>
    <w:rsid w:val="00CF5DC8"/>
    <w:rsid w:val="00CF5DFA"/>
    <w:rsid w:val="00CF5E16"/>
    <w:rsid w:val="00CF5E39"/>
    <w:rsid w:val="00CF5E96"/>
    <w:rsid w:val="00CF5F51"/>
    <w:rsid w:val="00CF5F65"/>
    <w:rsid w:val="00CF5FA2"/>
    <w:rsid w:val="00CF5FF5"/>
    <w:rsid w:val="00CF60A2"/>
    <w:rsid w:val="00CF60F3"/>
    <w:rsid w:val="00CF612A"/>
    <w:rsid w:val="00CF62C0"/>
    <w:rsid w:val="00CF62C4"/>
    <w:rsid w:val="00CF6348"/>
    <w:rsid w:val="00CF6378"/>
    <w:rsid w:val="00CF63F9"/>
    <w:rsid w:val="00CF6400"/>
    <w:rsid w:val="00CF6424"/>
    <w:rsid w:val="00CF6497"/>
    <w:rsid w:val="00CF6502"/>
    <w:rsid w:val="00CF658F"/>
    <w:rsid w:val="00CF65EC"/>
    <w:rsid w:val="00CF6603"/>
    <w:rsid w:val="00CF6618"/>
    <w:rsid w:val="00CF666E"/>
    <w:rsid w:val="00CF66C2"/>
    <w:rsid w:val="00CF66E8"/>
    <w:rsid w:val="00CF66F9"/>
    <w:rsid w:val="00CF6707"/>
    <w:rsid w:val="00CF67CC"/>
    <w:rsid w:val="00CF67E8"/>
    <w:rsid w:val="00CF6855"/>
    <w:rsid w:val="00CF68A6"/>
    <w:rsid w:val="00CF6949"/>
    <w:rsid w:val="00CF698A"/>
    <w:rsid w:val="00CF69C8"/>
    <w:rsid w:val="00CF6AA0"/>
    <w:rsid w:val="00CF6AC8"/>
    <w:rsid w:val="00CF6AD9"/>
    <w:rsid w:val="00CF6ADD"/>
    <w:rsid w:val="00CF6B08"/>
    <w:rsid w:val="00CF6B4F"/>
    <w:rsid w:val="00CF6B84"/>
    <w:rsid w:val="00CF6B88"/>
    <w:rsid w:val="00CF6BEA"/>
    <w:rsid w:val="00CF6D79"/>
    <w:rsid w:val="00CF6E07"/>
    <w:rsid w:val="00CF6E46"/>
    <w:rsid w:val="00CF6EC1"/>
    <w:rsid w:val="00CF6ECE"/>
    <w:rsid w:val="00CF6EE1"/>
    <w:rsid w:val="00CF6F09"/>
    <w:rsid w:val="00CF6FB6"/>
    <w:rsid w:val="00CF6FDE"/>
    <w:rsid w:val="00CF70D7"/>
    <w:rsid w:val="00CF7115"/>
    <w:rsid w:val="00CF7152"/>
    <w:rsid w:val="00CF7190"/>
    <w:rsid w:val="00CF7242"/>
    <w:rsid w:val="00CF7257"/>
    <w:rsid w:val="00CF7321"/>
    <w:rsid w:val="00CF73E1"/>
    <w:rsid w:val="00CF748D"/>
    <w:rsid w:val="00CF7499"/>
    <w:rsid w:val="00CF749A"/>
    <w:rsid w:val="00CF74D1"/>
    <w:rsid w:val="00CF74DA"/>
    <w:rsid w:val="00CF755F"/>
    <w:rsid w:val="00CF7593"/>
    <w:rsid w:val="00CF7649"/>
    <w:rsid w:val="00CF7688"/>
    <w:rsid w:val="00CF76F1"/>
    <w:rsid w:val="00CF772C"/>
    <w:rsid w:val="00CF772F"/>
    <w:rsid w:val="00CF77A8"/>
    <w:rsid w:val="00CF781C"/>
    <w:rsid w:val="00CF789F"/>
    <w:rsid w:val="00CF7911"/>
    <w:rsid w:val="00CF792A"/>
    <w:rsid w:val="00CF7958"/>
    <w:rsid w:val="00CF79E4"/>
    <w:rsid w:val="00CF7A6E"/>
    <w:rsid w:val="00CF7B9D"/>
    <w:rsid w:val="00CF7BF0"/>
    <w:rsid w:val="00CF7C5A"/>
    <w:rsid w:val="00CF7CF3"/>
    <w:rsid w:val="00CF7CF7"/>
    <w:rsid w:val="00CF7E2F"/>
    <w:rsid w:val="00CF7E36"/>
    <w:rsid w:val="00CF7EA0"/>
    <w:rsid w:val="00CF7F1B"/>
    <w:rsid w:val="00D0001C"/>
    <w:rsid w:val="00D00071"/>
    <w:rsid w:val="00D00089"/>
    <w:rsid w:val="00D0008B"/>
    <w:rsid w:val="00D00158"/>
    <w:rsid w:val="00D001D1"/>
    <w:rsid w:val="00D00218"/>
    <w:rsid w:val="00D002CF"/>
    <w:rsid w:val="00D00329"/>
    <w:rsid w:val="00D0039E"/>
    <w:rsid w:val="00D003FA"/>
    <w:rsid w:val="00D003FB"/>
    <w:rsid w:val="00D0046D"/>
    <w:rsid w:val="00D0049E"/>
    <w:rsid w:val="00D004F8"/>
    <w:rsid w:val="00D0052B"/>
    <w:rsid w:val="00D0052E"/>
    <w:rsid w:val="00D00538"/>
    <w:rsid w:val="00D0056A"/>
    <w:rsid w:val="00D0059D"/>
    <w:rsid w:val="00D005F7"/>
    <w:rsid w:val="00D0065A"/>
    <w:rsid w:val="00D0069E"/>
    <w:rsid w:val="00D0069F"/>
    <w:rsid w:val="00D006B1"/>
    <w:rsid w:val="00D006B4"/>
    <w:rsid w:val="00D006DE"/>
    <w:rsid w:val="00D006FB"/>
    <w:rsid w:val="00D00748"/>
    <w:rsid w:val="00D00761"/>
    <w:rsid w:val="00D0078E"/>
    <w:rsid w:val="00D007FD"/>
    <w:rsid w:val="00D00879"/>
    <w:rsid w:val="00D008C2"/>
    <w:rsid w:val="00D0091C"/>
    <w:rsid w:val="00D0095C"/>
    <w:rsid w:val="00D009F1"/>
    <w:rsid w:val="00D009F2"/>
    <w:rsid w:val="00D00A63"/>
    <w:rsid w:val="00D00A74"/>
    <w:rsid w:val="00D00A84"/>
    <w:rsid w:val="00D00AE0"/>
    <w:rsid w:val="00D00B58"/>
    <w:rsid w:val="00D00B75"/>
    <w:rsid w:val="00D00B78"/>
    <w:rsid w:val="00D00B8E"/>
    <w:rsid w:val="00D00BA1"/>
    <w:rsid w:val="00D00C14"/>
    <w:rsid w:val="00D00C76"/>
    <w:rsid w:val="00D00C79"/>
    <w:rsid w:val="00D00CD5"/>
    <w:rsid w:val="00D00D0A"/>
    <w:rsid w:val="00D00D68"/>
    <w:rsid w:val="00D00E1B"/>
    <w:rsid w:val="00D00E69"/>
    <w:rsid w:val="00D00EB6"/>
    <w:rsid w:val="00D00EB8"/>
    <w:rsid w:val="00D00ED2"/>
    <w:rsid w:val="00D00EDB"/>
    <w:rsid w:val="00D00EF7"/>
    <w:rsid w:val="00D00F15"/>
    <w:rsid w:val="00D00F86"/>
    <w:rsid w:val="00D00FA8"/>
    <w:rsid w:val="00D00FDF"/>
    <w:rsid w:val="00D0104F"/>
    <w:rsid w:val="00D01134"/>
    <w:rsid w:val="00D011F2"/>
    <w:rsid w:val="00D0124A"/>
    <w:rsid w:val="00D0127B"/>
    <w:rsid w:val="00D01293"/>
    <w:rsid w:val="00D01294"/>
    <w:rsid w:val="00D01323"/>
    <w:rsid w:val="00D01388"/>
    <w:rsid w:val="00D013A3"/>
    <w:rsid w:val="00D013E4"/>
    <w:rsid w:val="00D0142F"/>
    <w:rsid w:val="00D0144D"/>
    <w:rsid w:val="00D01479"/>
    <w:rsid w:val="00D0151A"/>
    <w:rsid w:val="00D015C9"/>
    <w:rsid w:val="00D015E2"/>
    <w:rsid w:val="00D0162D"/>
    <w:rsid w:val="00D017ED"/>
    <w:rsid w:val="00D017F2"/>
    <w:rsid w:val="00D01831"/>
    <w:rsid w:val="00D0185F"/>
    <w:rsid w:val="00D0186F"/>
    <w:rsid w:val="00D0193B"/>
    <w:rsid w:val="00D01950"/>
    <w:rsid w:val="00D019F5"/>
    <w:rsid w:val="00D01A04"/>
    <w:rsid w:val="00D01A28"/>
    <w:rsid w:val="00D01A53"/>
    <w:rsid w:val="00D01A9E"/>
    <w:rsid w:val="00D01ADA"/>
    <w:rsid w:val="00D01AE8"/>
    <w:rsid w:val="00D01B2C"/>
    <w:rsid w:val="00D01B5D"/>
    <w:rsid w:val="00D01B6B"/>
    <w:rsid w:val="00D01BA8"/>
    <w:rsid w:val="00D01BBF"/>
    <w:rsid w:val="00D01BE1"/>
    <w:rsid w:val="00D01BF2"/>
    <w:rsid w:val="00D01C2B"/>
    <w:rsid w:val="00D01CB1"/>
    <w:rsid w:val="00D01CCC"/>
    <w:rsid w:val="00D01D2D"/>
    <w:rsid w:val="00D01E1B"/>
    <w:rsid w:val="00D01E44"/>
    <w:rsid w:val="00D01E80"/>
    <w:rsid w:val="00D01E9A"/>
    <w:rsid w:val="00D01ECA"/>
    <w:rsid w:val="00D01EDA"/>
    <w:rsid w:val="00D01F0F"/>
    <w:rsid w:val="00D01F78"/>
    <w:rsid w:val="00D01F86"/>
    <w:rsid w:val="00D01FAB"/>
    <w:rsid w:val="00D02004"/>
    <w:rsid w:val="00D0209A"/>
    <w:rsid w:val="00D020D5"/>
    <w:rsid w:val="00D02182"/>
    <w:rsid w:val="00D02220"/>
    <w:rsid w:val="00D0225C"/>
    <w:rsid w:val="00D02291"/>
    <w:rsid w:val="00D02512"/>
    <w:rsid w:val="00D02573"/>
    <w:rsid w:val="00D025A8"/>
    <w:rsid w:val="00D025AB"/>
    <w:rsid w:val="00D025B8"/>
    <w:rsid w:val="00D025ED"/>
    <w:rsid w:val="00D02634"/>
    <w:rsid w:val="00D0263E"/>
    <w:rsid w:val="00D026C5"/>
    <w:rsid w:val="00D02805"/>
    <w:rsid w:val="00D02810"/>
    <w:rsid w:val="00D02945"/>
    <w:rsid w:val="00D02963"/>
    <w:rsid w:val="00D0299E"/>
    <w:rsid w:val="00D02A1D"/>
    <w:rsid w:val="00D02A46"/>
    <w:rsid w:val="00D02AEA"/>
    <w:rsid w:val="00D02B08"/>
    <w:rsid w:val="00D02DAB"/>
    <w:rsid w:val="00D02DB9"/>
    <w:rsid w:val="00D02DCE"/>
    <w:rsid w:val="00D02DF4"/>
    <w:rsid w:val="00D02EB9"/>
    <w:rsid w:val="00D02EBF"/>
    <w:rsid w:val="00D02EFC"/>
    <w:rsid w:val="00D02F46"/>
    <w:rsid w:val="00D02F57"/>
    <w:rsid w:val="00D02F5E"/>
    <w:rsid w:val="00D02FAA"/>
    <w:rsid w:val="00D03003"/>
    <w:rsid w:val="00D0305E"/>
    <w:rsid w:val="00D03070"/>
    <w:rsid w:val="00D03084"/>
    <w:rsid w:val="00D0314A"/>
    <w:rsid w:val="00D031DF"/>
    <w:rsid w:val="00D03233"/>
    <w:rsid w:val="00D0327D"/>
    <w:rsid w:val="00D032D6"/>
    <w:rsid w:val="00D03312"/>
    <w:rsid w:val="00D03313"/>
    <w:rsid w:val="00D03357"/>
    <w:rsid w:val="00D033A2"/>
    <w:rsid w:val="00D033A3"/>
    <w:rsid w:val="00D033DF"/>
    <w:rsid w:val="00D03439"/>
    <w:rsid w:val="00D03464"/>
    <w:rsid w:val="00D0350D"/>
    <w:rsid w:val="00D03516"/>
    <w:rsid w:val="00D03522"/>
    <w:rsid w:val="00D03557"/>
    <w:rsid w:val="00D0355C"/>
    <w:rsid w:val="00D03594"/>
    <w:rsid w:val="00D035E4"/>
    <w:rsid w:val="00D03628"/>
    <w:rsid w:val="00D0366F"/>
    <w:rsid w:val="00D036BC"/>
    <w:rsid w:val="00D03725"/>
    <w:rsid w:val="00D03834"/>
    <w:rsid w:val="00D038B8"/>
    <w:rsid w:val="00D03939"/>
    <w:rsid w:val="00D0395B"/>
    <w:rsid w:val="00D03978"/>
    <w:rsid w:val="00D03AC7"/>
    <w:rsid w:val="00D03B0F"/>
    <w:rsid w:val="00D03B29"/>
    <w:rsid w:val="00D03C55"/>
    <w:rsid w:val="00D03CE8"/>
    <w:rsid w:val="00D03D6D"/>
    <w:rsid w:val="00D03D76"/>
    <w:rsid w:val="00D03E2B"/>
    <w:rsid w:val="00D03E85"/>
    <w:rsid w:val="00D03EFB"/>
    <w:rsid w:val="00D0405B"/>
    <w:rsid w:val="00D0405E"/>
    <w:rsid w:val="00D040B1"/>
    <w:rsid w:val="00D040CF"/>
    <w:rsid w:val="00D0410A"/>
    <w:rsid w:val="00D04119"/>
    <w:rsid w:val="00D04172"/>
    <w:rsid w:val="00D04191"/>
    <w:rsid w:val="00D04226"/>
    <w:rsid w:val="00D0438E"/>
    <w:rsid w:val="00D0438F"/>
    <w:rsid w:val="00D0439A"/>
    <w:rsid w:val="00D043A6"/>
    <w:rsid w:val="00D043A7"/>
    <w:rsid w:val="00D043AE"/>
    <w:rsid w:val="00D043C7"/>
    <w:rsid w:val="00D044C7"/>
    <w:rsid w:val="00D044F7"/>
    <w:rsid w:val="00D04506"/>
    <w:rsid w:val="00D0455B"/>
    <w:rsid w:val="00D04574"/>
    <w:rsid w:val="00D045AC"/>
    <w:rsid w:val="00D045AF"/>
    <w:rsid w:val="00D045D0"/>
    <w:rsid w:val="00D045D5"/>
    <w:rsid w:val="00D04637"/>
    <w:rsid w:val="00D04688"/>
    <w:rsid w:val="00D046DF"/>
    <w:rsid w:val="00D047B2"/>
    <w:rsid w:val="00D0487E"/>
    <w:rsid w:val="00D048CD"/>
    <w:rsid w:val="00D048D5"/>
    <w:rsid w:val="00D04913"/>
    <w:rsid w:val="00D0493C"/>
    <w:rsid w:val="00D04941"/>
    <w:rsid w:val="00D04966"/>
    <w:rsid w:val="00D0499A"/>
    <w:rsid w:val="00D04A58"/>
    <w:rsid w:val="00D04A7A"/>
    <w:rsid w:val="00D04B42"/>
    <w:rsid w:val="00D04C16"/>
    <w:rsid w:val="00D04C53"/>
    <w:rsid w:val="00D04C54"/>
    <w:rsid w:val="00D04C60"/>
    <w:rsid w:val="00D04C62"/>
    <w:rsid w:val="00D04C8E"/>
    <w:rsid w:val="00D04D38"/>
    <w:rsid w:val="00D04E08"/>
    <w:rsid w:val="00D04E0D"/>
    <w:rsid w:val="00D04E36"/>
    <w:rsid w:val="00D04E7B"/>
    <w:rsid w:val="00D04E8A"/>
    <w:rsid w:val="00D04EA5"/>
    <w:rsid w:val="00D04F61"/>
    <w:rsid w:val="00D04FAD"/>
    <w:rsid w:val="00D04FE2"/>
    <w:rsid w:val="00D0507A"/>
    <w:rsid w:val="00D050FC"/>
    <w:rsid w:val="00D05122"/>
    <w:rsid w:val="00D05198"/>
    <w:rsid w:val="00D05210"/>
    <w:rsid w:val="00D05252"/>
    <w:rsid w:val="00D05264"/>
    <w:rsid w:val="00D052B9"/>
    <w:rsid w:val="00D0538B"/>
    <w:rsid w:val="00D053D8"/>
    <w:rsid w:val="00D054EA"/>
    <w:rsid w:val="00D0554B"/>
    <w:rsid w:val="00D055AC"/>
    <w:rsid w:val="00D055C4"/>
    <w:rsid w:val="00D055EB"/>
    <w:rsid w:val="00D0562A"/>
    <w:rsid w:val="00D0563E"/>
    <w:rsid w:val="00D05682"/>
    <w:rsid w:val="00D056A1"/>
    <w:rsid w:val="00D056CD"/>
    <w:rsid w:val="00D056E0"/>
    <w:rsid w:val="00D05728"/>
    <w:rsid w:val="00D0578A"/>
    <w:rsid w:val="00D057BE"/>
    <w:rsid w:val="00D05869"/>
    <w:rsid w:val="00D058C3"/>
    <w:rsid w:val="00D059A3"/>
    <w:rsid w:val="00D059B9"/>
    <w:rsid w:val="00D059EC"/>
    <w:rsid w:val="00D05AA5"/>
    <w:rsid w:val="00D05AB6"/>
    <w:rsid w:val="00D05AC3"/>
    <w:rsid w:val="00D05BB2"/>
    <w:rsid w:val="00D05BED"/>
    <w:rsid w:val="00D05C37"/>
    <w:rsid w:val="00D05C4E"/>
    <w:rsid w:val="00D05C73"/>
    <w:rsid w:val="00D05C9C"/>
    <w:rsid w:val="00D05CA2"/>
    <w:rsid w:val="00D05CC1"/>
    <w:rsid w:val="00D05CCA"/>
    <w:rsid w:val="00D05CD6"/>
    <w:rsid w:val="00D05CEB"/>
    <w:rsid w:val="00D05DA4"/>
    <w:rsid w:val="00D05DB4"/>
    <w:rsid w:val="00D05FCE"/>
    <w:rsid w:val="00D05FD5"/>
    <w:rsid w:val="00D06041"/>
    <w:rsid w:val="00D061BE"/>
    <w:rsid w:val="00D06304"/>
    <w:rsid w:val="00D06369"/>
    <w:rsid w:val="00D06395"/>
    <w:rsid w:val="00D063A4"/>
    <w:rsid w:val="00D063C3"/>
    <w:rsid w:val="00D06402"/>
    <w:rsid w:val="00D06403"/>
    <w:rsid w:val="00D06419"/>
    <w:rsid w:val="00D0642D"/>
    <w:rsid w:val="00D0643B"/>
    <w:rsid w:val="00D064A1"/>
    <w:rsid w:val="00D064BA"/>
    <w:rsid w:val="00D06529"/>
    <w:rsid w:val="00D06534"/>
    <w:rsid w:val="00D06615"/>
    <w:rsid w:val="00D0661B"/>
    <w:rsid w:val="00D06621"/>
    <w:rsid w:val="00D066F5"/>
    <w:rsid w:val="00D067AF"/>
    <w:rsid w:val="00D0681F"/>
    <w:rsid w:val="00D06866"/>
    <w:rsid w:val="00D06870"/>
    <w:rsid w:val="00D0688C"/>
    <w:rsid w:val="00D068E8"/>
    <w:rsid w:val="00D069FE"/>
    <w:rsid w:val="00D06B33"/>
    <w:rsid w:val="00D06B37"/>
    <w:rsid w:val="00D06B4D"/>
    <w:rsid w:val="00D06B8E"/>
    <w:rsid w:val="00D06B93"/>
    <w:rsid w:val="00D06C46"/>
    <w:rsid w:val="00D06C60"/>
    <w:rsid w:val="00D06C8A"/>
    <w:rsid w:val="00D06D06"/>
    <w:rsid w:val="00D06D41"/>
    <w:rsid w:val="00D06D5E"/>
    <w:rsid w:val="00D06ECE"/>
    <w:rsid w:val="00D06F00"/>
    <w:rsid w:val="00D06F01"/>
    <w:rsid w:val="00D06F0B"/>
    <w:rsid w:val="00D06FC3"/>
    <w:rsid w:val="00D06FC4"/>
    <w:rsid w:val="00D06FD7"/>
    <w:rsid w:val="00D06FDA"/>
    <w:rsid w:val="00D07011"/>
    <w:rsid w:val="00D070AD"/>
    <w:rsid w:val="00D070DE"/>
    <w:rsid w:val="00D070E5"/>
    <w:rsid w:val="00D07138"/>
    <w:rsid w:val="00D071BE"/>
    <w:rsid w:val="00D07241"/>
    <w:rsid w:val="00D07257"/>
    <w:rsid w:val="00D07280"/>
    <w:rsid w:val="00D07296"/>
    <w:rsid w:val="00D072F1"/>
    <w:rsid w:val="00D07301"/>
    <w:rsid w:val="00D07345"/>
    <w:rsid w:val="00D0736C"/>
    <w:rsid w:val="00D07374"/>
    <w:rsid w:val="00D0737E"/>
    <w:rsid w:val="00D07384"/>
    <w:rsid w:val="00D073E9"/>
    <w:rsid w:val="00D07428"/>
    <w:rsid w:val="00D074C9"/>
    <w:rsid w:val="00D07596"/>
    <w:rsid w:val="00D075A6"/>
    <w:rsid w:val="00D075B1"/>
    <w:rsid w:val="00D075F9"/>
    <w:rsid w:val="00D076EB"/>
    <w:rsid w:val="00D076F3"/>
    <w:rsid w:val="00D07739"/>
    <w:rsid w:val="00D0782F"/>
    <w:rsid w:val="00D07861"/>
    <w:rsid w:val="00D07875"/>
    <w:rsid w:val="00D07879"/>
    <w:rsid w:val="00D0787A"/>
    <w:rsid w:val="00D07881"/>
    <w:rsid w:val="00D078E2"/>
    <w:rsid w:val="00D07941"/>
    <w:rsid w:val="00D0798D"/>
    <w:rsid w:val="00D079A2"/>
    <w:rsid w:val="00D079B3"/>
    <w:rsid w:val="00D07A10"/>
    <w:rsid w:val="00D07B6E"/>
    <w:rsid w:val="00D07C42"/>
    <w:rsid w:val="00D07C4A"/>
    <w:rsid w:val="00D07C53"/>
    <w:rsid w:val="00D07CB4"/>
    <w:rsid w:val="00D07D80"/>
    <w:rsid w:val="00D07E30"/>
    <w:rsid w:val="00D07E5B"/>
    <w:rsid w:val="00D07E7C"/>
    <w:rsid w:val="00D07E8D"/>
    <w:rsid w:val="00D07E99"/>
    <w:rsid w:val="00D07EB4"/>
    <w:rsid w:val="00D07EE2"/>
    <w:rsid w:val="00D07F1B"/>
    <w:rsid w:val="00D07F31"/>
    <w:rsid w:val="00D07F34"/>
    <w:rsid w:val="00D07F8C"/>
    <w:rsid w:val="00D10008"/>
    <w:rsid w:val="00D100A7"/>
    <w:rsid w:val="00D100D0"/>
    <w:rsid w:val="00D10104"/>
    <w:rsid w:val="00D101B5"/>
    <w:rsid w:val="00D101F7"/>
    <w:rsid w:val="00D10259"/>
    <w:rsid w:val="00D1035D"/>
    <w:rsid w:val="00D103A9"/>
    <w:rsid w:val="00D10439"/>
    <w:rsid w:val="00D1044A"/>
    <w:rsid w:val="00D10495"/>
    <w:rsid w:val="00D104A3"/>
    <w:rsid w:val="00D10519"/>
    <w:rsid w:val="00D105E8"/>
    <w:rsid w:val="00D10647"/>
    <w:rsid w:val="00D10669"/>
    <w:rsid w:val="00D10683"/>
    <w:rsid w:val="00D106A0"/>
    <w:rsid w:val="00D10718"/>
    <w:rsid w:val="00D107B2"/>
    <w:rsid w:val="00D10844"/>
    <w:rsid w:val="00D108E6"/>
    <w:rsid w:val="00D108FD"/>
    <w:rsid w:val="00D1096D"/>
    <w:rsid w:val="00D1098D"/>
    <w:rsid w:val="00D109BA"/>
    <w:rsid w:val="00D10A0A"/>
    <w:rsid w:val="00D10A3B"/>
    <w:rsid w:val="00D10A55"/>
    <w:rsid w:val="00D10A67"/>
    <w:rsid w:val="00D10A79"/>
    <w:rsid w:val="00D10ACB"/>
    <w:rsid w:val="00D10AFF"/>
    <w:rsid w:val="00D10B2D"/>
    <w:rsid w:val="00D10B90"/>
    <w:rsid w:val="00D10C86"/>
    <w:rsid w:val="00D10CCC"/>
    <w:rsid w:val="00D10CE6"/>
    <w:rsid w:val="00D10CED"/>
    <w:rsid w:val="00D10D21"/>
    <w:rsid w:val="00D10D43"/>
    <w:rsid w:val="00D10D47"/>
    <w:rsid w:val="00D10D5B"/>
    <w:rsid w:val="00D10D9A"/>
    <w:rsid w:val="00D10E08"/>
    <w:rsid w:val="00D10E09"/>
    <w:rsid w:val="00D10E22"/>
    <w:rsid w:val="00D10E84"/>
    <w:rsid w:val="00D10ED2"/>
    <w:rsid w:val="00D10F7B"/>
    <w:rsid w:val="00D11033"/>
    <w:rsid w:val="00D110B1"/>
    <w:rsid w:val="00D11110"/>
    <w:rsid w:val="00D111D6"/>
    <w:rsid w:val="00D11246"/>
    <w:rsid w:val="00D112AE"/>
    <w:rsid w:val="00D112E5"/>
    <w:rsid w:val="00D112EA"/>
    <w:rsid w:val="00D11380"/>
    <w:rsid w:val="00D11381"/>
    <w:rsid w:val="00D113A1"/>
    <w:rsid w:val="00D113CE"/>
    <w:rsid w:val="00D1143D"/>
    <w:rsid w:val="00D114F4"/>
    <w:rsid w:val="00D11545"/>
    <w:rsid w:val="00D1158A"/>
    <w:rsid w:val="00D115D8"/>
    <w:rsid w:val="00D115E0"/>
    <w:rsid w:val="00D1160F"/>
    <w:rsid w:val="00D11730"/>
    <w:rsid w:val="00D11754"/>
    <w:rsid w:val="00D117C6"/>
    <w:rsid w:val="00D117D8"/>
    <w:rsid w:val="00D1181D"/>
    <w:rsid w:val="00D118B1"/>
    <w:rsid w:val="00D118C3"/>
    <w:rsid w:val="00D118ED"/>
    <w:rsid w:val="00D118F0"/>
    <w:rsid w:val="00D1190F"/>
    <w:rsid w:val="00D11A1F"/>
    <w:rsid w:val="00D11A39"/>
    <w:rsid w:val="00D11A5C"/>
    <w:rsid w:val="00D11A80"/>
    <w:rsid w:val="00D11A96"/>
    <w:rsid w:val="00D11CC7"/>
    <w:rsid w:val="00D11D0E"/>
    <w:rsid w:val="00D11D28"/>
    <w:rsid w:val="00D11D31"/>
    <w:rsid w:val="00D11D63"/>
    <w:rsid w:val="00D11D84"/>
    <w:rsid w:val="00D11D92"/>
    <w:rsid w:val="00D11DCF"/>
    <w:rsid w:val="00D11DD5"/>
    <w:rsid w:val="00D11E6B"/>
    <w:rsid w:val="00D11ED8"/>
    <w:rsid w:val="00D11EDF"/>
    <w:rsid w:val="00D11FE2"/>
    <w:rsid w:val="00D120D8"/>
    <w:rsid w:val="00D120DD"/>
    <w:rsid w:val="00D120F2"/>
    <w:rsid w:val="00D120FE"/>
    <w:rsid w:val="00D1211D"/>
    <w:rsid w:val="00D12194"/>
    <w:rsid w:val="00D12197"/>
    <w:rsid w:val="00D121BA"/>
    <w:rsid w:val="00D12357"/>
    <w:rsid w:val="00D12359"/>
    <w:rsid w:val="00D1236A"/>
    <w:rsid w:val="00D123A4"/>
    <w:rsid w:val="00D123C2"/>
    <w:rsid w:val="00D12422"/>
    <w:rsid w:val="00D1246D"/>
    <w:rsid w:val="00D12471"/>
    <w:rsid w:val="00D12474"/>
    <w:rsid w:val="00D12478"/>
    <w:rsid w:val="00D12499"/>
    <w:rsid w:val="00D124C9"/>
    <w:rsid w:val="00D12546"/>
    <w:rsid w:val="00D125EB"/>
    <w:rsid w:val="00D12610"/>
    <w:rsid w:val="00D12656"/>
    <w:rsid w:val="00D126A3"/>
    <w:rsid w:val="00D126B8"/>
    <w:rsid w:val="00D12748"/>
    <w:rsid w:val="00D12756"/>
    <w:rsid w:val="00D12772"/>
    <w:rsid w:val="00D12833"/>
    <w:rsid w:val="00D12856"/>
    <w:rsid w:val="00D128AA"/>
    <w:rsid w:val="00D128EF"/>
    <w:rsid w:val="00D128FB"/>
    <w:rsid w:val="00D12937"/>
    <w:rsid w:val="00D12A32"/>
    <w:rsid w:val="00D12ACD"/>
    <w:rsid w:val="00D12B38"/>
    <w:rsid w:val="00D12B98"/>
    <w:rsid w:val="00D12BA5"/>
    <w:rsid w:val="00D12CD7"/>
    <w:rsid w:val="00D12CF3"/>
    <w:rsid w:val="00D12D16"/>
    <w:rsid w:val="00D12D64"/>
    <w:rsid w:val="00D12D76"/>
    <w:rsid w:val="00D12D8B"/>
    <w:rsid w:val="00D12DA3"/>
    <w:rsid w:val="00D12DA7"/>
    <w:rsid w:val="00D12E0A"/>
    <w:rsid w:val="00D12E90"/>
    <w:rsid w:val="00D12EA8"/>
    <w:rsid w:val="00D12EAD"/>
    <w:rsid w:val="00D12EC6"/>
    <w:rsid w:val="00D12ECD"/>
    <w:rsid w:val="00D12EE8"/>
    <w:rsid w:val="00D12F41"/>
    <w:rsid w:val="00D12F67"/>
    <w:rsid w:val="00D1303B"/>
    <w:rsid w:val="00D130A8"/>
    <w:rsid w:val="00D130AB"/>
    <w:rsid w:val="00D13115"/>
    <w:rsid w:val="00D1320A"/>
    <w:rsid w:val="00D1321C"/>
    <w:rsid w:val="00D13242"/>
    <w:rsid w:val="00D132E3"/>
    <w:rsid w:val="00D13335"/>
    <w:rsid w:val="00D1336C"/>
    <w:rsid w:val="00D1336D"/>
    <w:rsid w:val="00D133B7"/>
    <w:rsid w:val="00D133B8"/>
    <w:rsid w:val="00D13465"/>
    <w:rsid w:val="00D13469"/>
    <w:rsid w:val="00D13490"/>
    <w:rsid w:val="00D13570"/>
    <w:rsid w:val="00D135EB"/>
    <w:rsid w:val="00D13652"/>
    <w:rsid w:val="00D1367A"/>
    <w:rsid w:val="00D13708"/>
    <w:rsid w:val="00D13747"/>
    <w:rsid w:val="00D137FA"/>
    <w:rsid w:val="00D1393C"/>
    <w:rsid w:val="00D1398C"/>
    <w:rsid w:val="00D13997"/>
    <w:rsid w:val="00D139C9"/>
    <w:rsid w:val="00D13A1B"/>
    <w:rsid w:val="00D13A44"/>
    <w:rsid w:val="00D13ACB"/>
    <w:rsid w:val="00D13B03"/>
    <w:rsid w:val="00D13B15"/>
    <w:rsid w:val="00D13BBF"/>
    <w:rsid w:val="00D13CB1"/>
    <w:rsid w:val="00D13CD3"/>
    <w:rsid w:val="00D13CD6"/>
    <w:rsid w:val="00D13D23"/>
    <w:rsid w:val="00D13D7C"/>
    <w:rsid w:val="00D13DE2"/>
    <w:rsid w:val="00D13E3C"/>
    <w:rsid w:val="00D13E4D"/>
    <w:rsid w:val="00D13E9C"/>
    <w:rsid w:val="00D13F41"/>
    <w:rsid w:val="00D14025"/>
    <w:rsid w:val="00D1414C"/>
    <w:rsid w:val="00D14263"/>
    <w:rsid w:val="00D14273"/>
    <w:rsid w:val="00D142CF"/>
    <w:rsid w:val="00D142E9"/>
    <w:rsid w:val="00D1431B"/>
    <w:rsid w:val="00D1433C"/>
    <w:rsid w:val="00D1437C"/>
    <w:rsid w:val="00D143BB"/>
    <w:rsid w:val="00D1443D"/>
    <w:rsid w:val="00D14442"/>
    <w:rsid w:val="00D14466"/>
    <w:rsid w:val="00D14541"/>
    <w:rsid w:val="00D1454F"/>
    <w:rsid w:val="00D14604"/>
    <w:rsid w:val="00D14633"/>
    <w:rsid w:val="00D14639"/>
    <w:rsid w:val="00D146B0"/>
    <w:rsid w:val="00D147A7"/>
    <w:rsid w:val="00D14822"/>
    <w:rsid w:val="00D1486D"/>
    <w:rsid w:val="00D14888"/>
    <w:rsid w:val="00D1496D"/>
    <w:rsid w:val="00D149AF"/>
    <w:rsid w:val="00D149C0"/>
    <w:rsid w:val="00D14A91"/>
    <w:rsid w:val="00D14BD5"/>
    <w:rsid w:val="00D14BE2"/>
    <w:rsid w:val="00D14BE8"/>
    <w:rsid w:val="00D14BF4"/>
    <w:rsid w:val="00D14C29"/>
    <w:rsid w:val="00D14C2A"/>
    <w:rsid w:val="00D14C37"/>
    <w:rsid w:val="00D14C56"/>
    <w:rsid w:val="00D14C7B"/>
    <w:rsid w:val="00D14CC0"/>
    <w:rsid w:val="00D14CD7"/>
    <w:rsid w:val="00D14CE5"/>
    <w:rsid w:val="00D14CE9"/>
    <w:rsid w:val="00D14D12"/>
    <w:rsid w:val="00D14DAB"/>
    <w:rsid w:val="00D14DC9"/>
    <w:rsid w:val="00D14E20"/>
    <w:rsid w:val="00D14E80"/>
    <w:rsid w:val="00D14E90"/>
    <w:rsid w:val="00D14EF3"/>
    <w:rsid w:val="00D14F26"/>
    <w:rsid w:val="00D14F34"/>
    <w:rsid w:val="00D14F93"/>
    <w:rsid w:val="00D14FD9"/>
    <w:rsid w:val="00D150BD"/>
    <w:rsid w:val="00D15118"/>
    <w:rsid w:val="00D1524A"/>
    <w:rsid w:val="00D1527D"/>
    <w:rsid w:val="00D152CA"/>
    <w:rsid w:val="00D152DE"/>
    <w:rsid w:val="00D15325"/>
    <w:rsid w:val="00D15372"/>
    <w:rsid w:val="00D15418"/>
    <w:rsid w:val="00D15492"/>
    <w:rsid w:val="00D154F7"/>
    <w:rsid w:val="00D15599"/>
    <w:rsid w:val="00D155D9"/>
    <w:rsid w:val="00D1579D"/>
    <w:rsid w:val="00D1586D"/>
    <w:rsid w:val="00D1589B"/>
    <w:rsid w:val="00D158BD"/>
    <w:rsid w:val="00D15989"/>
    <w:rsid w:val="00D15A11"/>
    <w:rsid w:val="00D15A51"/>
    <w:rsid w:val="00D15A84"/>
    <w:rsid w:val="00D15ADD"/>
    <w:rsid w:val="00D15AFB"/>
    <w:rsid w:val="00D15B49"/>
    <w:rsid w:val="00D15BE4"/>
    <w:rsid w:val="00D15C31"/>
    <w:rsid w:val="00D15C96"/>
    <w:rsid w:val="00D15CD7"/>
    <w:rsid w:val="00D15D02"/>
    <w:rsid w:val="00D15E05"/>
    <w:rsid w:val="00D15EC0"/>
    <w:rsid w:val="00D15FEB"/>
    <w:rsid w:val="00D16024"/>
    <w:rsid w:val="00D1602F"/>
    <w:rsid w:val="00D16049"/>
    <w:rsid w:val="00D16094"/>
    <w:rsid w:val="00D1610F"/>
    <w:rsid w:val="00D161EC"/>
    <w:rsid w:val="00D1623B"/>
    <w:rsid w:val="00D162AC"/>
    <w:rsid w:val="00D162CC"/>
    <w:rsid w:val="00D162CD"/>
    <w:rsid w:val="00D162E0"/>
    <w:rsid w:val="00D163D5"/>
    <w:rsid w:val="00D1640E"/>
    <w:rsid w:val="00D16442"/>
    <w:rsid w:val="00D16482"/>
    <w:rsid w:val="00D1648B"/>
    <w:rsid w:val="00D16491"/>
    <w:rsid w:val="00D16498"/>
    <w:rsid w:val="00D164B0"/>
    <w:rsid w:val="00D16545"/>
    <w:rsid w:val="00D165B0"/>
    <w:rsid w:val="00D16660"/>
    <w:rsid w:val="00D166D7"/>
    <w:rsid w:val="00D16718"/>
    <w:rsid w:val="00D1673B"/>
    <w:rsid w:val="00D16843"/>
    <w:rsid w:val="00D16895"/>
    <w:rsid w:val="00D168CE"/>
    <w:rsid w:val="00D168D7"/>
    <w:rsid w:val="00D16991"/>
    <w:rsid w:val="00D169AF"/>
    <w:rsid w:val="00D169F2"/>
    <w:rsid w:val="00D169F4"/>
    <w:rsid w:val="00D16A3E"/>
    <w:rsid w:val="00D16A9D"/>
    <w:rsid w:val="00D16ADA"/>
    <w:rsid w:val="00D16ADC"/>
    <w:rsid w:val="00D16AE6"/>
    <w:rsid w:val="00D16B0E"/>
    <w:rsid w:val="00D16BF2"/>
    <w:rsid w:val="00D16C95"/>
    <w:rsid w:val="00D16CA4"/>
    <w:rsid w:val="00D16CAE"/>
    <w:rsid w:val="00D16CB4"/>
    <w:rsid w:val="00D16CD2"/>
    <w:rsid w:val="00D16D38"/>
    <w:rsid w:val="00D16D3A"/>
    <w:rsid w:val="00D16D79"/>
    <w:rsid w:val="00D16D7E"/>
    <w:rsid w:val="00D16D96"/>
    <w:rsid w:val="00D16EC2"/>
    <w:rsid w:val="00D16EE9"/>
    <w:rsid w:val="00D16F1E"/>
    <w:rsid w:val="00D16F56"/>
    <w:rsid w:val="00D16FA2"/>
    <w:rsid w:val="00D170DE"/>
    <w:rsid w:val="00D17104"/>
    <w:rsid w:val="00D1712B"/>
    <w:rsid w:val="00D17196"/>
    <w:rsid w:val="00D171C5"/>
    <w:rsid w:val="00D17206"/>
    <w:rsid w:val="00D17241"/>
    <w:rsid w:val="00D17299"/>
    <w:rsid w:val="00D17310"/>
    <w:rsid w:val="00D17324"/>
    <w:rsid w:val="00D17347"/>
    <w:rsid w:val="00D17381"/>
    <w:rsid w:val="00D17383"/>
    <w:rsid w:val="00D17406"/>
    <w:rsid w:val="00D17447"/>
    <w:rsid w:val="00D1747C"/>
    <w:rsid w:val="00D174C3"/>
    <w:rsid w:val="00D175BA"/>
    <w:rsid w:val="00D176EA"/>
    <w:rsid w:val="00D17706"/>
    <w:rsid w:val="00D17759"/>
    <w:rsid w:val="00D177AF"/>
    <w:rsid w:val="00D178C8"/>
    <w:rsid w:val="00D178EF"/>
    <w:rsid w:val="00D17A41"/>
    <w:rsid w:val="00D17A8F"/>
    <w:rsid w:val="00D17AAA"/>
    <w:rsid w:val="00D17AAF"/>
    <w:rsid w:val="00D17AB9"/>
    <w:rsid w:val="00D17AC5"/>
    <w:rsid w:val="00D17AF0"/>
    <w:rsid w:val="00D17B0D"/>
    <w:rsid w:val="00D17B29"/>
    <w:rsid w:val="00D17B79"/>
    <w:rsid w:val="00D17CA5"/>
    <w:rsid w:val="00D17CC1"/>
    <w:rsid w:val="00D17CD1"/>
    <w:rsid w:val="00D17DAA"/>
    <w:rsid w:val="00D17DD1"/>
    <w:rsid w:val="00D17E4C"/>
    <w:rsid w:val="00D17E65"/>
    <w:rsid w:val="00D17F75"/>
    <w:rsid w:val="00D17F7A"/>
    <w:rsid w:val="00D2001C"/>
    <w:rsid w:val="00D20053"/>
    <w:rsid w:val="00D20089"/>
    <w:rsid w:val="00D2008E"/>
    <w:rsid w:val="00D2008F"/>
    <w:rsid w:val="00D202B1"/>
    <w:rsid w:val="00D202E9"/>
    <w:rsid w:val="00D20353"/>
    <w:rsid w:val="00D2043F"/>
    <w:rsid w:val="00D20453"/>
    <w:rsid w:val="00D2045D"/>
    <w:rsid w:val="00D205AF"/>
    <w:rsid w:val="00D205ED"/>
    <w:rsid w:val="00D2064F"/>
    <w:rsid w:val="00D20676"/>
    <w:rsid w:val="00D20686"/>
    <w:rsid w:val="00D20729"/>
    <w:rsid w:val="00D207E7"/>
    <w:rsid w:val="00D207EE"/>
    <w:rsid w:val="00D20840"/>
    <w:rsid w:val="00D20890"/>
    <w:rsid w:val="00D208C5"/>
    <w:rsid w:val="00D208CD"/>
    <w:rsid w:val="00D2090A"/>
    <w:rsid w:val="00D20949"/>
    <w:rsid w:val="00D20A7D"/>
    <w:rsid w:val="00D20A9A"/>
    <w:rsid w:val="00D20AE8"/>
    <w:rsid w:val="00D20B0A"/>
    <w:rsid w:val="00D20BAE"/>
    <w:rsid w:val="00D20BD3"/>
    <w:rsid w:val="00D20BD5"/>
    <w:rsid w:val="00D20C47"/>
    <w:rsid w:val="00D20D03"/>
    <w:rsid w:val="00D20D11"/>
    <w:rsid w:val="00D20E47"/>
    <w:rsid w:val="00D20E66"/>
    <w:rsid w:val="00D20F1B"/>
    <w:rsid w:val="00D20F92"/>
    <w:rsid w:val="00D20FB1"/>
    <w:rsid w:val="00D20FBB"/>
    <w:rsid w:val="00D20FF4"/>
    <w:rsid w:val="00D2105A"/>
    <w:rsid w:val="00D21076"/>
    <w:rsid w:val="00D21099"/>
    <w:rsid w:val="00D210D6"/>
    <w:rsid w:val="00D21145"/>
    <w:rsid w:val="00D21155"/>
    <w:rsid w:val="00D2118C"/>
    <w:rsid w:val="00D211BA"/>
    <w:rsid w:val="00D211F5"/>
    <w:rsid w:val="00D2129C"/>
    <w:rsid w:val="00D212C4"/>
    <w:rsid w:val="00D212E2"/>
    <w:rsid w:val="00D212E8"/>
    <w:rsid w:val="00D213A5"/>
    <w:rsid w:val="00D21458"/>
    <w:rsid w:val="00D21463"/>
    <w:rsid w:val="00D214DC"/>
    <w:rsid w:val="00D21587"/>
    <w:rsid w:val="00D215A3"/>
    <w:rsid w:val="00D215D8"/>
    <w:rsid w:val="00D215DA"/>
    <w:rsid w:val="00D215F3"/>
    <w:rsid w:val="00D2163F"/>
    <w:rsid w:val="00D21645"/>
    <w:rsid w:val="00D21713"/>
    <w:rsid w:val="00D217FC"/>
    <w:rsid w:val="00D2187D"/>
    <w:rsid w:val="00D218F4"/>
    <w:rsid w:val="00D21947"/>
    <w:rsid w:val="00D21951"/>
    <w:rsid w:val="00D21958"/>
    <w:rsid w:val="00D219EC"/>
    <w:rsid w:val="00D21AA1"/>
    <w:rsid w:val="00D21AA2"/>
    <w:rsid w:val="00D21AC2"/>
    <w:rsid w:val="00D21AD9"/>
    <w:rsid w:val="00D21AEA"/>
    <w:rsid w:val="00D21B0D"/>
    <w:rsid w:val="00D21B6E"/>
    <w:rsid w:val="00D21C12"/>
    <w:rsid w:val="00D21C24"/>
    <w:rsid w:val="00D21C58"/>
    <w:rsid w:val="00D21C74"/>
    <w:rsid w:val="00D21D80"/>
    <w:rsid w:val="00D21E1E"/>
    <w:rsid w:val="00D21E6D"/>
    <w:rsid w:val="00D21EBB"/>
    <w:rsid w:val="00D21F23"/>
    <w:rsid w:val="00D21F32"/>
    <w:rsid w:val="00D21FA8"/>
    <w:rsid w:val="00D2213C"/>
    <w:rsid w:val="00D22164"/>
    <w:rsid w:val="00D221D9"/>
    <w:rsid w:val="00D22327"/>
    <w:rsid w:val="00D22478"/>
    <w:rsid w:val="00D224B7"/>
    <w:rsid w:val="00D224FE"/>
    <w:rsid w:val="00D22506"/>
    <w:rsid w:val="00D22531"/>
    <w:rsid w:val="00D22541"/>
    <w:rsid w:val="00D225B5"/>
    <w:rsid w:val="00D22669"/>
    <w:rsid w:val="00D226B0"/>
    <w:rsid w:val="00D22705"/>
    <w:rsid w:val="00D2270A"/>
    <w:rsid w:val="00D2272A"/>
    <w:rsid w:val="00D228A1"/>
    <w:rsid w:val="00D228BB"/>
    <w:rsid w:val="00D228F5"/>
    <w:rsid w:val="00D2295F"/>
    <w:rsid w:val="00D22966"/>
    <w:rsid w:val="00D22983"/>
    <w:rsid w:val="00D22998"/>
    <w:rsid w:val="00D229A9"/>
    <w:rsid w:val="00D229C5"/>
    <w:rsid w:val="00D22A34"/>
    <w:rsid w:val="00D22AA9"/>
    <w:rsid w:val="00D22B42"/>
    <w:rsid w:val="00D22BE1"/>
    <w:rsid w:val="00D22C13"/>
    <w:rsid w:val="00D22C19"/>
    <w:rsid w:val="00D22C5F"/>
    <w:rsid w:val="00D22C65"/>
    <w:rsid w:val="00D22CBC"/>
    <w:rsid w:val="00D22D5A"/>
    <w:rsid w:val="00D22D74"/>
    <w:rsid w:val="00D22E26"/>
    <w:rsid w:val="00D22E61"/>
    <w:rsid w:val="00D22E89"/>
    <w:rsid w:val="00D22E98"/>
    <w:rsid w:val="00D22ED4"/>
    <w:rsid w:val="00D22EF0"/>
    <w:rsid w:val="00D22F3C"/>
    <w:rsid w:val="00D2304B"/>
    <w:rsid w:val="00D2310C"/>
    <w:rsid w:val="00D23150"/>
    <w:rsid w:val="00D23191"/>
    <w:rsid w:val="00D232DD"/>
    <w:rsid w:val="00D232EE"/>
    <w:rsid w:val="00D2331B"/>
    <w:rsid w:val="00D23352"/>
    <w:rsid w:val="00D23372"/>
    <w:rsid w:val="00D233FB"/>
    <w:rsid w:val="00D23411"/>
    <w:rsid w:val="00D23463"/>
    <w:rsid w:val="00D2348A"/>
    <w:rsid w:val="00D234AB"/>
    <w:rsid w:val="00D234E5"/>
    <w:rsid w:val="00D2355F"/>
    <w:rsid w:val="00D235A7"/>
    <w:rsid w:val="00D2360C"/>
    <w:rsid w:val="00D23621"/>
    <w:rsid w:val="00D23630"/>
    <w:rsid w:val="00D23663"/>
    <w:rsid w:val="00D23750"/>
    <w:rsid w:val="00D237DB"/>
    <w:rsid w:val="00D23825"/>
    <w:rsid w:val="00D23838"/>
    <w:rsid w:val="00D23856"/>
    <w:rsid w:val="00D238D8"/>
    <w:rsid w:val="00D238F4"/>
    <w:rsid w:val="00D2391E"/>
    <w:rsid w:val="00D23982"/>
    <w:rsid w:val="00D23A24"/>
    <w:rsid w:val="00D23AC3"/>
    <w:rsid w:val="00D23B5A"/>
    <w:rsid w:val="00D23B98"/>
    <w:rsid w:val="00D23BD2"/>
    <w:rsid w:val="00D23BEC"/>
    <w:rsid w:val="00D23BED"/>
    <w:rsid w:val="00D23CAA"/>
    <w:rsid w:val="00D23D0C"/>
    <w:rsid w:val="00D23D31"/>
    <w:rsid w:val="00D23DAF"/>
    <w:rsid w:val="00D23DD3"/>
    <w:rsid w:val="00D23DD9"/>
    <w:rsid w:val="00D23E5F"/>
    <w:rsid w:val="00D23E78"/>
    <w:rsid w:val="00D23E92"/>
    <w:rsid w:val="00D23EEB"/>
    <w:rsid w:val="00D23FC9"/>
    <w:rsid w:val="00D23FD9"/>
    <w:rsid w:val="00D23FDC"/>
    <w:rsid w:val="00D2401A"/>
    <w:rsid w:val="00D24040"/>
    <w:rsid w:val="00D24073"/>
    <w:rsid w:val="00D240E4"/>
    <w:rsid w:val="00D24176"/>
    <w:rsid w:val="00D2418D"/>
    <w:rsid w:val="00D2419B"/>
    <w:rsid w:val="00D24210"/>
    <w:rsid w:val="00D2422D"/>
    <w:rsid w:val="00D24275"/>
    <w:rsid w:val="00D2427A"/>
    <w:rsid w:val="00D2428D"/>
    <w:rsid w:val="00D242C5"/>
    <w:rsid w:val="00D242D0"/>
    <w:rsid w:val="00D242F1"/>
    <w:rsid w:val="00D243CB"/>
    <w:rsid w:val="00D243DE"/>
    <w:rsid w:val="00D24472"/>
    <w:rsid w:val="00D24550"/>
    <w:rsid w:val="00D245BA"/>
    <w:rsid w:val="00D245E0"/>
    <w:rsid w:val="00D2460D"/>
    <w:rsid w:val="00D24686"/>
    <w:rsid w:val="00D246B2"/>
    <w:rsid w:val="00D24751"/>
    <w:rsid w:val="00D247A4"/>
    <w:rsid w:val="00D24845"/>
    <w:rsid w:val="00D2488F"/>
    <w:rsid w:val="00D2489E"/>
    <w:rsid w:val="00D248D2"/>
    <w:rsid w:val="00D24928"/>
    <w:rsid w:val="00D24930"/>
    <w:rsid w:val="00D2494A"/>
    <w:rsid w:val="00D24A66"/>
    <w:rsid w:val="00D24A6E"/>
    <w:rsid w:val="00D24A95"/>
    <w:rsid w:val="00D24AEF"/>
    <w:rsid w:val="00D24BAB"/>
    <w:rsid w:val="00D24C00"/>
    <w:rsid w:val="00D24C11"/>
    <w:rsid w:val="00D24C90"/>
    <w:rsid w:val="00D24C9E"/>
    <w:rsid w:val="00D24CD5"/>
    <w:rsid w:val="00D24CE4"/>
    <w:rsid w:val="00D24D75"/>
    <w:rsid w:val="00D24DE1"/>
    <w:rsid w:val="00D24E10"/>
    <w:rsid w:val="00D25014"/>
    <w:rsid w:val="00D2502B"/>
    <w:rsid w:val="00D25079"/>
    <w:rsid w:val="00D250A9"/>
    <w:rsid w:val="00D25110"/>
    <w:rsid w:val="00D251B7"/>
    <w:rsid w:val="00D251D3"/>
    <w:rsid w:val="00D2522F"/>
    <w:rsid w:val="00D2526A"/>
    <w:rsid w:val="00D252AF"/>
    <w:rsid w:val="00D252F7"/>
    <w:rsid w:val="00D2537B"/>
    <w:rsid w:val="00D253C1"/>
    <w:rsid w:val="00D253E1"/>
    <w:rsid w:val="00D25419"/>
    <w:rsid w:val="00D2558E"/>
    <w:rsid w:val="00D255EB"/>
    <w:rsid w:val="00D255FC"/>
    <w:rsid w:val="00D25618"/>
    <w:rsid w:val="00D25710"/>
    <w:rsid w:val="00D2574E"/>
    <w:rsid w:val="00D2579A"/>
    <w:rsid w:val="00D257B6"/>
    <w:rsid w:val="00D257C0"/>
    <w:rsid w:val="00D25855"/>
    <w:rsid w:val="00D258CF"/>
    <w:rsid w:val="00D258EE"/>
    <w:rsid w:val="00D25944"/>
    <w:rsid w:val="00D2595E"/>
    <w:rsid w:val="00D25990"/>
    <w:rsid w:val="00D259F8"/>
    <w:rsid w:val="00D25A39"/>
    <w:rsid w:val="00D25A41"/>
    <w:rsid w:val="00D25B04"/>
    <w:rsid w:val="00D25B06"/>
    <w:rsid w:val="00D25B1F"/>
    <w:rsid w:val="00D25B99"/>
    <w:rsid w:val="00D25C86"/>
    <w:rsid w:val="00D25C87"/>
    <w:rsid w:val="00D25CCD"/>
    <w:rsid w:val="00D25D70"/>
    <w:rsid w:val="00D25D84"/>
    <w:rsid w:val="00D25D8B"/>
    <w:rsid w:val="00D25D95"/>
    <w:rsid w:val="00D25D98"/>
    <w:rsid w:val="00D25DAF"/>
    <w:rsid w:val="00D25DB6"/>
    <w:rsid w:val="00D25E14"/>
    <w:rsid w:val="00D25E8B"/>
    <w:rsid w:val="00D25E94"/>
    <w:rsid w:val="00D25EC7"/>
    <w:rsid w:val="00D25FC4"/>
    <w:rsid w:val="00D25FE4"/>
    <w:rsid w:val="00D2602F"/>
    <w:rsid w:val="00D26157"/>
    <w:rsid w:val="00D2615C"/>
    <w:rsid w:val="00D2615D"/>
    <w:rsid w:val="00D261BB"/>
    <w:rsid w:val="00D261DA"/>
    <w:rsid w:val="00D26223"/>
    <w:rsid w:val="00D2628A"/>
    <w:rsid w:val="00D26334"/>
    <w:rsid w:val="00D26344"/>
    <w:rsid w:val="00D26385"/>
    <w:rsid w:val="00D263C8"/>
    <w:rsid w:val="00D263E0"/>
    <w:rsid w:val="00D263FC"/>
    <w:rsid w:val="00D264C9"/>
    <w:rsid w:val="00D265E7"/>
    <w:rsid w:val="00D2660D"/>
    <w:rsid w:val="00D2661C"/>
    <w:rsid w:val="00D2665A"/>
    <w:rsid w:val="00D2669C"/>
    <w:rsid w:val="00D266E6"/>
    <w:rsid w:val="00D26717"/>
    <w:rsid w:val="00D26799"/>
    <w:rsid w:val="00D267A8"/>
    <w:rsid w:val="00D267BA"/>
    <w:rsid w:val="00D2685E"/>
    <w:rsid w:val="00D26879"/>
    <w:rsid w:val="00D2688C"/>
    <w:rsid w:val="00D268F4"/>
    <w:rsid w:val="00D26A12"/>
    <w:rsid w:val="00D26A1B"/>
    <w:rsid w:val="00D26B01"/>
    <w:rsid w:val="00D26B0D"/>
    <w:rsid w:val="00D26BF3"/>
    <w:rsid w:val="00D26C05"/>
    <w:rsid w:val="00D26C64"/>
    <w:rsid w:val="00D26C80"/>
    <w:rsid w:val="00D26CD4"/>
    <w:rsid w:val="00D26D04"/>
    <w:rsid w:val="00D26D94"/>
    <w:rsid w:val="00D26E48"/>
    <w:rsid w:val="00D26E59"/>
    <w:rsid w:val="00D26E74"/>
    <w:rsid w:val="00D26EB3"/>
    <w:rsid w:val="00D26ECB"/>
    <w:rsid w:val="00D26F73"/>
    <w:rsid w:val="00D26F74"/>
    <w:rsid w:val="00D26F9A"/>
    <w:rsid w:val="00D26FA5"/>
    <w:rsid w:val="00D2708A"/>
    <w:rsid w:val="00D2709F"/>
    <w:rsid w:val="00D270A8"/>
    <w:rsid w:val="00D270A9"/>
    <w:rsid w:val="00D27139"/>
    <w:rsid w:val="00D2714D"/>
    <w:rsid w:val="00D271B0"/>
    <w:rsid w:val="00D27281"/>
    <w:rsid w:val="00D27348"/>
    <w:rsid w:val="00D27357"/>
    <w:rsid w:val="00D27385"/>
    <w:rsid w:val="00D273DA"/>
    <w:rsid w:val="00D273E3"/>
    <w:rsid w:val="00D27450"/>
    <w:rsid w:val="00D27488"/>
    <w:rsid w:val="00D274B6"/>
    <w:rsid w:val="00D27572"/>
    <w:rsid w:val="00D275C6"/>
    <w:rsid w:val="00D275DB"/>
    <w:rsid w:val="00D275F1"/>
    <w:rsid w:val="00D27626"/>
    <w:rsid w:val="00D2775B"/>
    <w:rsid w:val="00D27766"/>
    <w:rsid w:val="00D27773"/>
    <w:rsid w:val="00D278FD"/>
    <w:rsid w:val="00D2795D"/>
    <w:rsid w:val="00D27962"/>
    <w:rsid w:val="00D27978"/>
    <w:rsid w:val="00D279B6"/>
    <w:rsid w:val="00D279C2"/>
    <w:rsid w:val="00D279F6"/>
    <w:rsid w:val="00D27A3C"/>
    <w:rsid w:val="00D27A68"/>
    <w:rsid w:val="00D27AAB"/>
    <w:rsid w:val="00D27AF7"/>
    <w:rsid w:val="00D27B7A"/>
    <w:rsid w:val="00D27BCC"/>
    <w:rsid w:val="00D27BEF"/>
    <w:rsid w:val="00D27C20"/>
    <w:rsid w:val="00D27C60"/>
    <w:rsid w:val="00D27C63"/>
    <w:rsid w:val="00D27CA4"/>
    <w:rsid w:val="00D27D69"/>
    <w:rsid w:val="00D27DF2"/>
    <w:rsid w:val="00D27DF9"/>
    <w:rsid w:val="00D27E45"/>
    <w:rsid w:val="00D27EAA"/>
    <w:rsid w:val="00D27EBD"/>
    <w:rsid w:val="00D27EC6"/>
    <w:rsid w:val="00D27F83"/>
    <w:rsid w:val="00D27F89"/>
    <w:rsid w:val="00D3008B"/>
    <w:rsid w:val="00D301AE"/>
    <w:rsid w:val="00D30208"/>
    <w:rsid w:val="00D302C9"/>
    <w:rsid w:val="00D302F5"/>
    <w:rsid w:val="00D30322"/>
    <w:rsid w:val="00D30471"/>
    <w:rsid w:val="00D304C7"/>
    <w:rsid w:val="00D3053A"/>
    <w:rsid w:val="00D3059E"/>
    <w:rsid w:val="00D305E8"/>
    <w:rsid w:val="00D305EE"/>
    <w:rsid w:val="00D30610"/>
    <w:rsid w:val="00D30631"/>
    <w:rsid w:val="00D30688"/>
    <w:rsid w:val="00D30730"/>
    <w:rsid w:val="00D3075A"/>
    <w:rsid w:val="00D307DF"/>
    <w:rsid w:val="00D30817"/>
    <w:rsid w:val="00D30823"/>
    <w:rsid w:val="00D30869"/>
    <w:rsid w:val="00D308B3"/>
    <w:rsid w:val="00D309C7"/>
    <w:rsid w:val="00D30A1A"/>
    <w:rsid w:val="00D30B12"/>
    <w:rsid w:val="00D30C01"/>
    <w:rsid w:val="00D30C19"/>
    <w:rsid w:val="00D30C27"/>
    <w:rsid w:val="00D30C78"/>
    <w:rsid w:val="00D30CA1"/>
    <w:rsid w:val="00D30CD5"/>
    <w:rsid w:val="00D30CEA"/>
    <w:rsid w:val="00D30D0F"/>
    <w:rsid w:val="00D30D44"/>
    <w:rsid w:val="00D30DB3"/>
    <w:rsid w:val="00D30DC6"/>
    <w:rsid w:val="00D30E3A"/>
    <w:rsid w:val="00D30EAD"/>
    <w:rsid w:val="00D30ECC"/>
    <w:rsid w:val="00D30EF9"/>
    <w:rsid w:val="00D30F24"/>
    <w:rsid w:val="00D30F26"/>
    <w:rsid w:val="00D30FD2"/>
    <w:rsid w:val="00D30FD7"/>
    <w:rsid w:val="00D30FE7"/>
    <w:rsid w:val="00D31037"/>
    <w:rsid w:val="00D310A0"/>
    <w:rsid w:val="00D31183"/>
    <w:rsid w:val="00D311BC"/>
    <w:rsid w:val="00D31249"/>
    <w:rsid w:val="00D3125E"/>
    <w:rsid w:val="00D3127B"/>
    <w:rsid w:val="00D31287"/>
    <w:rsid w:val="00D3131D"/>
    <w:rsid w:val="00D31329"/>
    <w:rsid w:val="00D3135A"/>
    <w:rsid w:val="00D3138B"/>
    <w:rsid w:val="00D313A0"/>
    <w:rsid w:val="00D313CC"/>
    <w:rsid w:val="00D31419"/>
    <w:rsid w:val="00D3146E"/>
    <w:rsid w:val="00D31546"/>
    <w:rsid w:val="00D31548"/>
    <w:rsid w:val="00D3154E"/>
    <w:rsid w:val="00D3155B"/>
    <w:rsid w:val="00D31592"/>
    <w:rsid w:val="00D315CE"/>
    <w:rsid w:val="00D315F5"/>
    <w:rsid w:val="00D3160D"/>
    <w:rsid w:val="00D31616"/>
    <w:rsid w:val="00D3166E"/>
    <w:rsid w:val="00D316A3"/>
    <w:rsid w:val="00D316CB"/>
    <w:rsid w:val="00D316E1"/>
    <w:rsid w:val="00D31700"/>
    <w:rsid w:val="00D31755"/>
    <w:rsid w:val="00D31760"/>
    <w:rsid w:val="00D3176A"/>
    <w:rsid w:val="00D31790"/>
    <w:rsid w:val="00D31799"/>
    <w:rsid w:val="00D317D8"/>
    <w:rsid w:val="00D317DB"/>
    <w:rsid w:val="00D31825"/>
    <w:rsid w:val="00D31829"/>
    <w:rsid w:val="00D318C8"/>
    <w:rsid w:val="00D31902"/>
    <w:rsid w:val="00D31A34"/>
    <w:rsid w:val="00D31A44"/>
    <w:rsid w:val="00D31B09"/>
    <w:rsid w:val="00D31B64"/>
    <w:rsid w:val="00D31B7B"/>
    <w:rsid w:val="00D31B9C"/>
    <w:rsid w:val="00D31BD2"/>
    <w:rsid w:val="00D31BFD"/>
    <w:rsid w:val="00D31C36"/>
    <w:rsid w:val="00D31CAF"/>
    <w:rsid w:val="00D31D29"/>
    <w:rsid w:val="00D31D67"/>
    <w:rsid w:val="00D31E5A"/>
    <w:rsid w:val="00D31EBC"/>
    <w:rsid w:val="00D31EC6"/>
    <w:rsid w:val="00D31EDB"/>
    <w:rsid w:val="00D31F2D"/>
    <w:rsid w:val="00D32020"/>
    <w:rsid w:val="00D320D4"/>
    <w:rsid w:val="00D320EE"/>
    <w:rsid w:val="00D3215E"/>
    <w:rsid w:val="00D321EB"/>
    <w:rsid w:val="00D32200"/>
    <w:rsid w:val="00D3226E"/>
    <w:rsid w:val="00D32325"/>
    <w:rsid w:val="00D323D8"/>
    <w:rsid w:val="00D323F9"/>
    <w:rsid w:val="00D32451"/>
    <w:rsid w:val="00D324CA"/>
    <w:rsid w:val="00D3251D"/>
    <w:rsid w:val="00D3253D"/>
    <w:rsid w:val="00D3257D"/>
    <w:rsid w:val="00D325E1"/>
    <w:rsid w:val="00D326D2"/>
    <w:rsid w:val="00D327D4"/>
    <w:rsid w:val="00D327F0"/>
    <w:rsid w:val="00D3282D"/>
    <w:rsid w:val="00D32844"/>
    <w:rsid w:val="00D32858"/>
    <w:rsid w:val="00D32869"/>
    <w:rsid w:val="00D328A6"/>
    <w:rsid w:val="00D328FD"/>
    <w:rsid w:val="00D32901"/>
    <w:rsid w:val="00D3296D"/>
    <w:rsid w:val="00D32989"/>
    <w:rsid w:val="00D3299A"/>
    <w:rsid w:val="00D329D1"/>
    <w:rsid w:val="00D329D7"/>
    <w:rsid w:val="00D329E8"/>
    <w:rsid w:val="00D32A92"/>
    <w:rsid w:val="00D32AC0"/>
    <w:rsid w:val="00D32AC5"/>
    <w:rsid w:val="00D32ACB"/>
    <w:rsid w:val="00D32B1D"/>
    <w:rsid w:val="00D32B3E"/>
    <w:rsid w:val="00D32B43"/>
    <w:rsid w:val="00D32B63"/>
    <w:rsid w:val="00D32B9D"/>
    <w:rsid w:val="00D32C12"/>
    <w:rsid w:val="00D32C2D"/>
    <w:rsid w:val="00D32C7B"/>
    <w:rsid w:val="00D32CE1"/>
    <w:rsid w:val="00D32CFD"/>
    <w:rsid w:val="00D32D21"/>
    <w:rsid w:val="00D32D89"/>
    <w:rsid w:val="00D32EC1"/>
    <w:rsid w:val="00D32F0B"/>
    <w:rsid w:val="00D32F53"/>
    <w:rsid w:val="00D32FAA"/>
    <w:rsid w:val="00D32FC5"/>
    <w:rsid w:val="00D330DB"/>
    <w:rsid w:val="00D330F5"/>
    <w:rsid w:val="00D33140"/>
    <w:rsid w:val="00D33168"/>
    <w:rsid w:val="00D33195"/>
    <w:rsid w:val="00D3327C"/>
    <w:rsid w:val="00D33289"/>
    <w:rsid w:val="00D33304"/>
    <w:rsid w:val="00D33326"/>
    <w:rsid w:val="00D33339"/>
    <w:rsid w:val="00D33348"/>
    <w:rsid w:val="00D3334E"/>
    <w:rsid w:val="00D333A5"/>
    <w:rsid w:val="00D333CB"/>
    <w:rsid w:val="00D333DE"/>
    <w:rsid w:val="00D33429"/>
    <w:rsid w:val="00D3346C"/>
    <w:rsid w:val="00D33479"/>
    <w:rsid w:val="00D33526"/>
    <w:rsid w:val="00D336AF"/>
    <w:rsid w:val="00D336EB"/>
    <w:rsid w:val="00D336FF"/>
    <w:rsid w:val="00D33730"/>
    <w:rsid w:val="00D337AB"/>
    <w:rsid w:val="00D337D4"/>
    <w:rsid w:val="00D338BA"/>
    <w:rsid w:val="00D3398C"/>
    <w:rsid w:val="00D33997"/>
    <w:rsid w:val="00D33A31"/>
    <w:rsid w:val="00D33A51"/>
    <w:rsid w:val="00D33A77"/>
    <w:rsid w:val="00D33A84"/>
    <w:rsid w:val="00D33AE0"/>
    <w:rsid w:val="00D33B4E"/>
    <w:rsid w:val="00D33B5B"/>
    <w:rsid w:val="00D33B94"/>
    <w:rsid w:val="00D33C50"/>
    <w:rsid w:val="00D33C69"/>
    <w:rsid w:val="00D33C86"/>
    <w:rsid w:val="00D33CDF"/>
    <w:rsid w:val="00D33CE1"/>
    <w:rsid w:val="00D33CFC"/>
    <w:rsid w:val="00D33DF1"/>
    <w:rsid w:val="00D33E1E"/>
    <w:rsid w:val="00D33E4D"/>
    <w:rsid w:val="00D33E71"/>
    <w:rsid w:val="00D33EC6"/>
    <w:rsid w:val="00D33F44"/>
    <w:rsid w:val="00D33F88"/>
    <w:rsid w:val="00D34025"/>
    <w:rsid w:val="00D34032"/>
    <w:rsid w:val="00D3403E"/>
    <w:rsid w:val="00D3413D"/>
    <w:rsid w:val="00D34250"/>
    <w:rsid w:val="00D34349"/>
    <w:rsid w:val="00D3434C"/>
    <w:rsid w:val="00D34354"/>
    <w:rsid w:val="00D3435F"/>
    <w:rsid w:val="00D3438C"/>
    <w:rsid w:val="00D343D3"/>
    <w:rsid w:val="00D34474"/>
    <w:rsid w:val="00D3448B"/>
    <w:rsid w:val="00D344B7"/>
    <w:rsid w:val="00D344E4"/>
    <w:rsid w:val="00D3451E"/>
    <w:rsid w:val="00D34595"/>
    <w:rsid w:val="00D345B7"/>
    <w:rsid w:val="00D345E8"/>
    <w:rsid w:val="00D345FD"/>
    <w:rsid w:val="00D34620"/>
    <w:rsid w:val="00D34633"/>
    <w:rsid w:val="00D34677"/>
    <w:rsid w:val="00D34690"/>
    <w:rsid w:val="00D34694"/>
    <w:rsid w:val="00D34708"/>
    <w:rsid w:val="00D3473E"/>
    <w:rsid w:val="00D34740"/>
    <w:rsid w:val="00D34766"/>
    <w:rsid w:val="00D3482F"/>
    <w:rsid w:val="00D34859"/>
    <w:rsid w:val="00D34878"/>
    <w:rsid w:val="00D34896"/>
    <w:rsid w:val="00D348CC"/>
    <w:rsid w:val="00D348DC"/>
    <w:rsid w:val="00D348F7"/>
    <w:rsid w:val="00D34917"/>
    <w:rsid w:val="00D34966"/>
    <w:rsid w:val="00D34997"/>
    <w:rsid w:val="00D349D5"/>
    <w:rsid w:val="00D349D7"/>
    <w:rsid w:val="00D349DF"/>
    <w:rsid w:val="00D349E8"/>
    <w:rsid w:val="00D34A9F"/>
    <w:rsid w:val="00D34BE4"/>
    <w:rsid w:val="00D34C11"/>
    <w:rsid w:val="00D34C12"/>
    <w:rsid w:val="00D34C60"/>
    <w:rsid w:val="00D34C83"/>
    <w:rsid w:val="00D34CE3"/>
    <w:rsid w:val="00D34D4E"/>
    <w:rsid w:val="00D34DFC"/>
    <w:rsid w:val="00D34E7B"/>
    <w:rsid w:val="00D34EC9"/>
    <w:rsid w:val="00D34F45"/>
    <w:rsid w:val="00D34F63"/>
    <w:rsid w:val="00D34FD4"/>
    <w:rsid w:val="00D34FF2"/>
    <w:rsid w:val="00D35030"/>
    <w:rsid w:val="00D350A4"/>
    <w:rsid w:val="00D350DD"/>
    <w:rsid w:val="00D35132"/>
    <w:rsid w:val="00D35235"/>
    <w:rsid w:val="00D352B7"/>
    <w:rsid w:val="00D352F7"/>
    <w:rsid w:val="00D35331"/>
    <w:rsid w:val="00D35337"/>
    <w:rsid w:val="00D353D5"/>
    <w:rsid w:val="00D353DF"/>
    <w:rsid w:val="00D3544C"/>
    <w:rsid w:val="00D3544D"/>
    <w:rsid w:val="00D354AA"/>
    <w:rsid w:val="00D354C0"/>
    <w:rsid w:val="00D3552A"/>
    <w:rsid w:val="00D3553D"/>
    <w:rsid w:val="00D35554"/>
    <w:rsid w:val="00D35579"/>
    <w:rsid w:val="00D3559D"/>
    <w:rsid w:val="00D35612"/>
    <w:rsid w:val="00D35644"/>
    <w:rsid w:val="00D3566C"/>
    <w:rsid w:val="00D35696"/>
    <w:rsid w:val="00D356AC"/>
    <w:rsid w:val="00D3572B"/>
    <w:rsid w:val="00D35735"/>
    <w:rsid w:val="00D357AC"/>
    <w:rsid w:val="00D357B5"/>
    <w:rsid w:val="00D357B9"/>
    <w:rsid w:val="00D357BB"/>
    <w:rsid w:val="00D35810"/>
    <w:rsid w:val="00D35A4B"/>
    <w:rsid w:val="00D35ADE"/>
    <w:rsid w:val="00D35AF3"/>
    <w:rsid w:val="00D35B3D"/>
    <w:rsid w:val="00D35B6B"/>
    <w:rsid w:val="00D35B76"/>
    <w:rsid w:val="00D35C0A"/>
    <w:rsid w:val="00D35C43"/>
    <w:rsid w:val="00D35D31"/>
    <w:rsid w:val="00D35DC0"/>
    <w:rsid w:val="00D35DE1"/>
    <w:rsid w:val="00D35E85"/>
    <w:rsid w:val="00D35F18"/>
    <w:rsid w:val="00D35F31"/>
    <w:rsid w:val="00D35F52"/>
    <w:rsid w:val="00D35F69"/>
    <w:rsid w:val="00D35FA0"/>
    <w:rsid w:val="00D35FA8"/>
    <w:rsid w:val="00D35FE8"/>
    <w:rsid w:val="00D3602B"/>
    <w:rsid w:val="00D36223"/>
    <w:rsid w:val="00D36230"/>
    <w:rsid w:val="00D362B7"/>
    <w:rsid w:val="00D36331"/>
    <w:rsid w:val="00D36337"/>
    <w:rsid w:val="00D36389"/>
    <w:rsid w:val="00D363C2"/>
    <w:rsid w:val="00D363E6"/>
    <w:rsid w:val="00D36402"/>
    <w:rsid w:val="00D36417"/>
    <w:rsid w:val="00D364FB"/>
    <w:rsid w:val="00D36510"/>
    <w:rsid w:val="00D365F5"/>
    <w:rsid w:val="00D36755"/>
    <w:rsid w:val="00D36764"/>
    <w:rsid w:val="00D367FA"/>
    <w:rsid w:val="00D368BB"/>
    <w:rsid w:val="00D369E0"/>
    <w:rsid w:val="00D369E8"/>
    <w:rsid w:val="00D36A01"/>
    <w:rsid w:val="00D36A1C"/>
    <w:rsid w:val="00D36A5C"/>
    <w:rsid w:val="00D36AD3"/>
    <w:rsid w:val="00D36ADB"/>
    <w:rsid w:val="00D36BC9"/>
    <w:rsid w:val="00D36C27"/>
    <w:rsid w:val="00D36C44"/>
    <w:rsid w:val="00D36D00"/>
    <w:rsid w:val="00D36D1B"/>
    <w:rsid w:val="00D36D25"/>
    <w:rsid w:val="00D36D67"/>
    <w:rsid w:val="00D36DB6"/>
    <w:rsid w:val="00D36DBB"/>
    <w:rsid w:val="00D36DDC"/>
    <w:rsid w:val="00D36E17"/>
    <w:rsid w:val="00D36F30"/>
    <w:rsid w:val="00D36F50"/>
    <w:rsid w:val="00D36FB4"/>
    <w:rsid w:val="00D36FC3"/>
    <w:rsid w:val="00D36FC5"/>
    <w:rsid w:val="00D37150"/>
    <w:rsid w:val="00D371FF"/>
    <w:rsid w:val="00D3721B"/>
    <w:rsid w:val="00D3722F"/>
    <w:rsid w:val="00D37248"/>
    <w:rsid w:val="00D37258"/>
    <w:rsid w:val="00D37393"/>
    <w:rsid w:val="00D373AC"/>
    <w:rsid w:val="00D373D7"/>
    <w:rsid w:val="00D37401"/>
    <w:rsid w:val="00D37500"/>
    <w:rsid w:val="00D3756A"/>
    <w:rsid w:val="00D3763A"/>
    <w:rsid w:val="00D37816"/>
    <w:rsid w:val="00D37836"/>
    <w:rsid w:val="00D37841"/>
    <w:rsid w:val="00D37866"/>
    <w:rsid w:val="00D378D9"/>
    <w:rsid w:val="00D3792B"/>
    <w:rsid w:val="00D37948"/>
    <w:rsid w:val="00D379C3"/>
    <w:rsid w:val="00D379DC"/>
    <w:rsid w:val="00D379E5"/>
    <w:rsid w:val="00D37A04"/>
    <w:rsid w:val="00D37A1A"/>
    <w:rsid w:val="00D37AF1"/>
    <w:rsid w:val="00D37B15"/>
    <w:rsid w:val="00D37B2A"/>
    <w:rsid w:val="00D37B2D"/>
    <w:rsid w:val="00D37B82"/>
    <w:rsid w:val="00D37B98"/>
    <w:rsid w:val="00D37BCD"/>
    <w:rsid w:val="00D37BDE"/>
    <w:rsid w:val="00D37C41"/>
    <w:rsid w:val="00D37C66"/>
    <w:rsid w:val="00D37CA4"/>
    <w:rsid w:val="00D37CE9"/>
    <w:rsid w:val="00D37CEA"/>
    <w:rsid w:val="00D37D49"/>
    <w:rsid w:val="00D37D89"/>
    <w:rsid w:val="00D37E3D"/>
    <w:rsid w:val="00D37E88"/>
    <w:rsid w:val="00D37EBF"/>
    <w:rsid w:val="00D37F45"/>
    <w:rsid w:val="00D37F5A"/>
    <w:rsid w:val="00D37F6D"/>
    <w:rsid w:val="00D37F83"/>
    <w:rsid w:val="00D37FAA"/>
    <w:rsid w:val="00D4000D"/>
    <w:rsid w:val="00D4002B"/>
    <w:rsid w:val="00D40063"/>
    <w:rsid w:val="00D4008F"/>
    <w:rsid w:val="00D400D9"/>
    <w:rsid w:val="00D4016F"/>
    <w:rsid w:val="00D4018B"/>
    <w:rsid w:val="00D401AC"/>
    <w:rsid w:val="00D401C3"/>
    <w:rsid w:val="00D401F2"/>
    <w:rsid w:val="00D40230"/>
    <w:rsid w:val="00D40297"/>
    <w:rsid w:val="00D402A3"/>
    <w:rsid w:val="00D402BC"/>
    <w:rsid w:val="00D40334"/>
    <w:rsid w:val="00D4033F"/>
    <w:rsid w:val="00D4034A"/>
    <w:rsid w:val="00D403AD"/>
    <w:rsid w:val="00D404A2"/>
    <w:rsid w:val="00D404DA"/>
    <w:rsid w:val="00D40511"/>
    <w:rsid w:val="00D4051E"/>
    <w:rsid w:val="00D40543"/>
    <w:rsid w:val="00D4059F"/>
    <w:rsid w:val="00D405D1"/>
    <w:rsid w:val="00D406BB"/>
    <w:rsid w:val="00D406F8"/>
    <w:rsid w:val="00D4072F"/>
    <w:rsid w:val="00D40744"/>
    <w:rsid w:val="00D407DA"/>
    <w:rsid w:val="00D40822"/>
    <w:rsid w:val="00D4083A"/>
    <w:rsid w:val="00D4084D"/>
    <w:rsid w:val="00D40988"/>
    <w:rsid w:val="00D409AE"/>
    <w:rsid w:val="00D40A61"/>
    <w:rsid w:val="00D40A77"/>
    <w:rsid w:val="00D40AF7"/>
    <w:rsid w:val="00D40B00"/>
    <w:rsid w:val="00D40B08"/>
    <w:rsid w:val="00D40B76"/>
    <w:rsid w:val="00D40BF1"/>
    <w:rsid w:val="00D40C3E"/>
    <w:rsid w:val="00D40C45"/>
    <w:rsid w:val="00D40C64"/>
    <w:rsid w:val="00D40C76"/>
    <w:rsid w:val="00D40C90"/>
    <w:rsid w:val="00D40C9E"/>
    <w:rsid w:val="00D40CF7"/>
    <w:rsid w:val="00D40D2E"/>
    <w:rsid w:val="00D40D45"/>
    <w:rsid w:val="00D40D50"/>
    <w:rsid w:val="00D40D91"/>
    <w:rsid w:val="00D40E78"/>
    <w:rsid w:val="00D40E7E"/>
    <w:rsid w:val="00D40E98"/>
    <w:rsid w:val="00D40EAB"/>
    <w:rsid w:val="00D40F1B"/>
    <w:rsid w:val="00D40F38"/>
    <w:rsid w:val="00D40F5F"/>
    <w:rsid w:val="00D41098"/>
    <w:rsid w:val="00D410D0"/>
    <w:rsid w:val="00D41185"/>
    <w:rsid w:val="00D411BF"/>
    <w:rsid w:val="00D4124B"/>
    <w:rsid w:val="00D41281"/>
    <w:rsid w:val="00D412CE"/>
    <w:rsid w:val="00D412EA"/>
    <w:rsid w:val="00D41341"/>
    <w:rsid w:val="00D41390"/>
    <w:rsid w:val="00D413AB"/>
    <w:rsid w:val="00D413AF"/>
    <w:rsid w:val="00D413B5"/>
    <w:rsid w:val="00D413DF"/>
    <w:rsid w:val="00D413EC"/>
    <w:rsid w:val="00D4141C"/>
    <w:rsid w:val="00D41516"/>
    <w:rsid w:val="00D4156D"/>
    <w:rsid w:val="00D415CD"/>
    <w:rsid w:val="00D415DD"/>
    <w:rsid w:val="00D4160A"/>
    <w:rsid w:val="00D4162C"/>
    <w:rsid w:val="00D41638"/>
    <w:rsid w:val="00D416CB"/>
    <w:rsid w:val="00D416D2"/>
    <w:rsid w:val="00D416F8"/>
    <w:rsid w:val="00D4172F"/>
    <w:rsid w:val="00D41734"/>
    <w:rsid w:val="00D41792"/>
    <w:rsid w:val="00D41826"/>
    <w:rsid w:val="00D418FD"/>
    <w:rsid w:val="00D41901"/>
    <w:rsid w:val="00D41954"/>
    <w:rsid w:val="00D4199A"/>
    <w:rsid w:val="00D419A2"/>
    <w:rsid w:val="00D419DE"/>
    <w:rsid w:val="00D41A44"/>
    <w:rsid w:val="00D41B2E"/>
    <w:rsid w:val="00D41B7B"/>
    <w:rsid w:val="00D41BCF"/>
    <w:rsid w:val="00D41BE4"/>
    <w:rsid w:val="00D41BF1"/>
    <w:rsid w:val="00D41D4B"/>
    <w:rsid w:val="00D41DB5"/>
    <w:rsid w:val="00D41DDD"/>
    <w:rsid w:val="00D41E0F"/>
    <w:rsid w:val="00D41E4F"/>
    <w:rsid w:val="00D41E8D"/>
    <w:rsid w:val="00D41E90"/>
    <w:rsid w:val="00D41E98"/>
    <w:rsid w:val="00D41F0A"/>
    <w:rsid w:val="00D41F2C"/>
    <w:rsid w:val="00D41F74"/>
    <w:rsid w:val="00D41FA5"/>
    <w:rsid w:val="00D41FC2"/>
    <w:rsid w:val="00D41FD4"/>
    <w:rsid w:val="00D42058"/>
    <w:rsid w:val="00D42062"/>
    <w:rsid w:val="00D42087"/>
    <w:rsid w:val="00D420B3"/>
    <w:rsid w:val="00D420FB"/>
    <w:rsid w:val="00D42107"/>
    <w:rsid w:val="00D42120"/>
    <w:rsid w:val="00D42121"/>
    <w:rsid w:val="00D42126"/>
    <w:rsid w:val="00D4215D"/>
    <w:rsid w:val="00D42172"/>
    <w:rsid w:val="00D42193"/>
    <w:rsid w:val="00D421D9"/>
    <w:rsid w:val="00D42222"/>
    <w:rsid w:val="00D42293"/>
    <w:rsid w:val="00D42346"/>
    <w:rsid w:val="00D42373"/>
    <w:rsid w:val="00D42376"/>
    <w:rsid w:val="00D4237A"/>
    <w:rsid w:val="00D423F2"/>
    <w:rsid w:val="00D42419"/>
    <w:rsid w:val="00D42426"/>
    <w:rsid w:val="00D42449"/>
    <w:rsid w:val="00D4247D"/>
    <w:rsid w:val="00D42494"/>
    <w:rsid w:val="00D424E6"/>
    <w:rsid w:val="00D424EC"/>
    <w:rsid w:val="00D424FB"/>
    <w:rsid w:val="00D42581"/>
    <w:rsid w:val="00D4259D"/>
    <w:rsid w:val="00D425B6"/>
    <w:rsid w:val="00D425D5"/>
    <w:rsid w:val="00D42687"/>
    <w:rsid w:val="00D4268A"/>
    <w:rsid w:val="00D42692"/>
    <w:rsid w:val="00D42783"/>
    <w:rsid w:val="00D427B7"/>
    <w:rsid w:val="00D42838"/>
    <w:rsid w:val="00D4298B"/>
    <w:rsid w:val="00D42A4B"/>
    <w:rsid w:val="00D42B59"/>
    <w:rsid w:val="00D42BF6"/>
    <w:rsid w:val="00D42CF4"/>
    <w:rsid w:val="00D42D5D"/>
    <w:rsid w:val="00D42D74"/>
    <w:rsid w:val="00D42D8F"/>
    <w:rsid w:val="00D42E4F"/>
    <w:rsid w:val="00D42E51"/>
    <w:rsid w:val="00D42ED9"/>
    <w:rsid w:val="00D42F0E"/>
    <w:rsid w:val="00D42F18"/>
    <w:rsid w:val="00D42F1F"/>
    <w:rsid w:val="00D42F2E"/>
    <w:rsid w:val="00D42F69"/>
    <w:rsid w:val="00D42F82"/>
    <w:rsid w:val="00D42FBF"/>
    <w:rsid w:val="00D4310F"/>
    <w:rsid w:val="00D4317B"/>
    <w:rsid w:val="00D431B0"/>
    <w:rsid w:val="00D43241"/>
    <w:rsid w:val="00D432F7"/>
    <w:rsid w:val="00D433D4"/>
    <w:rsid w:val="00D4341D"/>
    <w:rsid w:val="00D43444"/>
    <w:rsid w:val="00D43485"/>
    <w:rsid w:val="00D434E0"/>
    <w:rsid w:val="00D434E7"/>
    <w:rsid w:val="00D434F7"/>
    <w:rsid w:val="00D43510"/>
    <w:rsid w:val="00D4356C"/>
    <w:rsid w:val="00D435BA"/>
    <w:rsid w:val="00D43640"/>
    <w:rsid w:val="00D43661"/>
    <w:rsid w:val="00D43688"/>
    <w:rsid w:val="00D436E8"/>
    <w:rsid w:val="00D436F8"/>
    <w:rsid w:val="00D43702"/>
    <w:rsid w:val="00D43703"/>
    <w:rsid w:val="00D4376B"/>
    <w:rsid w:val="00D4378E"/>
    <w:rsid w:val="00D437B6"/>
    <w:rsid w:val="00D43994"/>
    <w:rsid w:val="00D43A5C"/>
    <w:rsid w:val="00D43A5F"/>
    <w:rsid w:val="00D43A71"/>
    <w:rsid w:val="00D43B67"/>
    <w:rsid w:val="00D43B90"/>
    <w:rsid w:val="00D43C38"/>
    <w:rsid w:val="00D43D0A"/>
    <w:rsid w:val="00D43DAC"/>
    <w:rsid w:val="00D43DC5"/>
    <w:rsid w:val="00D43E1B"/>
    <w:rsid w:val="00D43E34"/>
    <w:rsid w:val="00D43E6C"/>
    <w:rsid w:val="00D43E8E"/>
    <w:rsid w:val="00D43EBF"/>
    <w:rsid w:val="00D43EF9"/>
    <w:rsid w:val="00D43F59"/>
    <w:rsid w:val="00D43F97"/>
    <w:rsid w:val="00D43FAA"/>
    <w:rsid w:val="00D44004"/>
    <w:rsid w:val="00D44037"/>
    <w:rsid w:val="00D440E8"/>
    <w:rsid w:val="00D44130"/>
    <w:rsid w:val="00D44136"/>
    <w:rsid w:val="00D44159"/>
    <w:rsid w:val="00D441B3"/>
    <w:rsid w:val="00D4420A"/>
    <w:rsid w:val="00D44216"/>
    <w:rsid w:val="00D4427F"/>
    <w:rsid w:val="00D4429D"/>
    <w:rsid w:val="00D44389"/>
    <w:rsid w:val="00D4438E"/>
    <w:rsid w:val="00D44397"/>
    <w:rsid w:val="00D44420"/>
    <w:rsid w:val="00D44479"/>
    <w:rsid w:val="00D445B1"/>
    <w:rsid w:val="00D445FA"/>
    <w:rsid w:val="00D445FB"/>
    <w:rsid w:val="00D44618"/>
    <w:rsid w:val="00D44627"/>
    <w:rsid w:val="00D44718"/>
    <w:rsid w:val="00D4471F"/>
    <w:rsid w:val="00D4483B"/>
    <w:rsid w:val="00D44875"/>
    <w:rsid w:val="00D448C8"/>
    <w:rsid w:val="00D448E2"/>
    <w:rsid w:val="00D4493A"/>
    <w:rsid w:val="00D4497F"/>
    <w:rsid w:val="00D4498E"/>
    <w:rsid w:val="00D449A1"/>
    <w:rsid w:val="00D449B9"/>
    <w:rsid w:val="00D44A70"/>
    <w:rsid w:val="00D44AD0"/>
    <w:rsid w:val="00D44BE3"/>
    <w:rsid w:val="00D44BF8"/>
    <w:rsid w:val="00D44CC8"/>
    <w:rsid w:val="00D44CF9"/>
    <w:rsid w:val="00D44D30"/>
    <w:rsid w:val="00D44D3C"/>
    <w:rsid w:val="00D44D65"/>
    <w:rsid w:val="00D44DA1"/>
    <w:rsid w:val="00D44DC2"/>
    <w:rsid w:val="00D44DC5"/>
    <w:rsid w:val="00D44DDB"/>
    <w:rsid w:val="00D44E0C"/>
    <w:rsid w:val="00D44E30"/>
    <w:rsid w:val="00D44E8D"/>
    <w:rsid w:val="00D44E9D"/>
    <w:rsid w:val="00D44EEF"/>
    <w:rsid w:val="00D44F14"/>
    <w:rsid w:val="00D44F26"/>
    <w:rsid w:val="00D44F46"/>
    <w:rsid w:val="00D44F69"/>
    <w:rsid w:val="00D44FCB"/>
    <w:rsid w:val="00D44FD2"/>
    <w:rsid w:val="00D44FEF"/>
    <w:rsid w:val="00D45005"/>
    <w:rsid w:val="00D45030"/>
    <w:rsid w:val="00D4503B"/>
    <w:rsid w:val="00D450C0"/>
    <w:rsid w:val="00D450C7"/>
    <w:rsid w:val="00D450FF"/>
    <w:rsid w:val="00D4516A"/>
    <w:rsid w:val="00D4519E"/>
    <w:rsid w:val="00D452AF"/>
    <w:rsid w:val="00D452B0"/>
    <w:rsid w:val="00D45353"/>
    <w:rsid w:val="00D45418"/>
    <w:rsid w:val="00D4544B"/>
    <w:rsid w:val="00D4545F"/>
    <w:rsid w:val="00D454D3"/>
    <w:rsid w:val="00D454E3"/>
    <w:rsid w:val="00D4558D"/>
    <w:rsid w:val="00D455A2"/>
    <w:rsid w:val="00D455BF"/>
    <w:rsid w:val="00D45621"/>
    <w:rsid w:val="00D456FC"/>
    <w:rsid w:val="00D45708"/>
    <w:rsid w:val="00D4571E"/>
    <w:rsid w:val="00D45758"/>
    <w:rsid w:val="00D4578D"/>
    <w:rsid w:val="00D45817"/>
    <w:rsid w:val="00D45829"/>
    <w:rsid w:val="00D4583C"/>
    <w:rsid w:val="00D45870"/>
    <w:rsid w:val="00D45876"/>
    <w:rsid w:val="00D458A0"/>
    <w:rsid w:val="00D458AB"/>
    <w:rsid w:val="00D458B0"/>
    <w:rsid w:val="00D45973"/>
    <w:rsid w:val="00D45979"/>
    <w:rsid w:val="00D45986"/>
    <w:rsid w:val="00D459C7"/>
    <w:rsid w:val="00D45AFD"/>
    <w:rsid w:val="00D45C49"/>
    <w:rsid w:val="00D45D0B"/>
    <w:rsid w:val="00D45D82"/>
    <w:rsid w:val="00D45E6B"/>
    <w:rsid w:val="00D45E8B"/>
    <w:rsid w:val="00D45E91"/>
    <w:rsid w:val="00D45ED5"/>
    <w:rsid w:val="00D45ED9"/>
    <w:rsid w:val="00D45EF8"/>
    <w:rsid w:val="00D4600C"/>
    <w:rsid w:val="00D46067"/>
    <w:rsid w:val="00D4609C"/>
    <w:rsid w:val="00D460DB"/>
    <w:rsid w:val="00D46151"/>
    <w:rsid w:val="00D4617F"/>
    <w:rsid w:val="00D462D2"/>
    <w:rsid w:val="00D462DD"/>
    <w:rsid w:val="00D462F0"/>
    <w:rsid w:val="00D46339"/>
    <w:rsid w:val="00D463A1"/>
    <w:rsid w:val="00D463A8"/>
    <w:rsid w:val="00D463FB"/>
    <w:rsid w:val="00D4642D"/>
    <w:rsid w:val="00D46444"/>
    <w:rsid w:val="00D4645C"/>
    <w:rsid w:val="00D4647A"/>
    <w:rsid w:val="00D46504"/>
    <w:rsid w:val="00D46636"/>
    <w:rsid w:val="00D46672"/>
    <w:rsid w:val="00D466D2"/>
    <w:rsid w:val="00D46704"/>
    <w:rsid w:val="00D46865"/>
    <w:rsid w:val="00D4687C"/>
    <w:rsid w:val="00D46932"/>
    <w:rsid w:val="00D46949"/>
    <w:rsid w:val="00D46975"/>
    <w:rsid w:val="00D469A4"/>
    <w:rsid w:val="00D46A62"/>
    <w:rsid w:val="00D46AB5"/>
    <w:rsid w:val="00D46AD3"/>
    <w:rsid w:val="00D46AD5"/>
    <w:rsid w:val="00D46B66"/>
    <w:rsid w:val="00D46B6F"/>
    <w:rsid w:val="00D46B80"/>
    <w:rsid w:val="00D46BCD"/>
    <w:rsid w:val="00D46C2A"/>
    <w:rsid w:val="00D46C53"/>
    <w:rsid w:val="00D46C5C"/>
    <w:rsid w:val="00D46CA7"/>
    <w:rsid w:val="00D46DB5"/>
    <w:rsid w:val="00D46DCA"/>
    <w:rsid w:val="00D46E11"/>
    <w:rsid w:val="00D46E19"/>
    <w:rsid w:val="00D46E84"/>
    <w:rsid w:val="00D46EA1"/>
    <w:rsid w:val="00D46EE4"/>
    <w:rsid w:val="00D46F5E"/>
    <w:rsid w:val="00D46F5F"/>
    <w:rsid w:val="00D46FA9"/>
    <w:rsid w:val="00D46FBD"/>
    <w:rsid w:val="00D46FE4"/>
    <w:rsid w:val="00D46FFB"/>
    <w:rsid w:val="00D4700B"/>
    <w:rsid w:val="00D4705C"/>
    <w:rsid w:val="00D47092"/>
    <w:rsid w:val="00D470A2"/>
    <w:rsid w:val="00D470B1"/>
    <w:rsid w:val="00D470D8"/>
    <w:rsid w:val="00D470E2"/>
    <w:rsid w:val="00D47137"/>
    <w:rsid w:val="00D47243"/>
    <w:rsid w:val="00D47378"/>
    <w:rsid w:val="00D473A3"/>
    <w:rsid w:val="00D47446"/>
    <w:rsid w:val="00D474ED"/>
    <w:rsid w:val="00D47528"/>
    <w:rsid w:val="00D47543"/>
    <w:rsid w:val="00D47568"/>
    <w:rsid w:val="00D475A0"/>
    <w:rsid w:val="00D475E0"/>
    <w:rsid w:val="00D475F9"/>
    <w:rsid w:val="00D475FD"/>
    <w:rsid w:val="00D47610"/>
    <w:rsid w:val="00D47668"/>
    <w:rsid w:val="00D476D4"/>
    <w:rsid w:val="00D4770D"/>
    <w:rsid w:val="00D477D3"/>
    <w:rsid w:val="00D477F1"/>
    <w:rsid w:val="00D4780D"/>
    <w:rsid w:val="00D47838"/>
    <w:rsid w:val="00D47860"/>
    <w:rsid w:val="00D478AC"/>
    <w:rsid w:val="00D47907"/>
    <w:rsid w:val="00D47911"/>
    <w:rsid w:val="00D4794D"/>
    <w:rsid w:val="00D4797A"/>
    <w:rsid w:val="00D47991"/>
    <w:rsid w:val="00D479B8"/>
    <w:rsid w:val="00D47A21"/>
    <w:rsid w:val="00D47A39"/>
    <w:rsid w:val="00D47A40"/>
    <w:rsid w:val="00D47A5E"/>
    <w:rsid w:val="00D47A9A"/>
    <w:rsid w:val="00D47ABD"/>
    <w:rsid w:val="00D47B30"/>
    <w:rsid w:val="00D47B33"/>
    <w:rsid w:val="00D47B5E"/>
    <w:rsid w:val="00D47B8E"/>
    <w:rsid w:val="00D47BAB"/>
    <w:rsid w:val="00D47C11"/>
    <w:rsid w:val="00D47C98"/>
    <w:rsid w:val="00D47D0F"/>
    <w:rsid w:val="00D47D40"/>
    <w:rsid w:val="00D47DC0"/>
    <w:rsid w:val="00D47EA9"/>
    <w:rsid w:val="00D47EC7"/>
    <w:rsid w:val="00D47F5F"/>
    <w:rsid w:val="00D47F66"/>
    <w:rsid w:val="00D47F7B"/>
    <w:rsid w:val="00D47F9C"/>
    <w:rsid w:val="00D47FC6"/>
    <w:rsid w:val="00D47FDF"/>
    <w:rsid w:val="00D47FE5"/>
    <w:rsid w:val="00D50039"/>
    <w:rsid w:val="00D50059"/>
    <w:rsid w:val="00D500AA"/>
    <w:rsid w:val="00D500DF"/>
    <w:rsid w:val="00D50133"/>
    <w:rsid w:val="00D50228"/>
    <w:rsid w:val="00D5023B"/>
    <w:rsid w:val="00D5026F"/>
    <w:rsid w:val="00D50270"/>
    <w:rsid w:val="00D5031F"/>
    <w:rsid w:val="00D50322"/>
    <w:rsid w:val="00D5032F"/>
    <w:rsid w:val="00D50332"/>
    <w:rsid w:val="00D50381"/>
    <w:rsid w:val="00D5038D"/>
    <w:rsid w:val="00D503B0"/>
    <w:rsid w:val="00D503F0"/>
    <w:rsid w:val="00D5041B"/>
    <w:rsid w:val="00D50465"/>
    <w:rsid w:val="00D50583"/>
    <w:rsid w:val="00D505B2"/>
    <w:rsid w:val="00D505F1"/>
    <w:rsid w:val="00D50613"/>
    <w:rsid w:val="00D50631"/>
    <w:rsid w:val="00D50647"/>
    <w:rsid w:val="00D50713"/>
    <w:rsid w:val="00D50721"/>
    <w:rsid w:val="00D507BD"/>
    <w:rsid w:val="00D507CF"/>
    <w:rsid w:val="00D507E3"/>
    <w:rsid w:val="00D507E8"/>
    <w:rsid w:val="00D507F7"/>
    <w:rsid w:val="00D507F8"/>
    <w:rsid w:val="00D50818"/>
    <w:rsid w:val="00D50819"/>
    <w:rsid w:val="00D5084C"/>
    <w:rsid w:val="00D5086D"/>
    <w:rsid w:val="00D50871"/>
    <w:rsid w:val="00D50874"/>
    <w:rsid w:val="00D50886"/>
    <w:rsid w:val="00D5090C"/>
    <w:rsid w:val="00D5096D"/>
    <w:rsid w:val="00D509A3"/>
    <w:rsid w:val="00D509FD"/>
    <w:rsid w:val="00D50A03"/>
    <w:rsid w:val="00D50A4C"/>
    <w:rsid w:val="00D50A56"/>
    <w:rsid w:val="00D50A72"/>
    <w:rsid w:val="00D50AB8"/>
    <w:rsid w:val="00D50AE8"/>
    <w:rsid w:val="00D50B4B"/>
    <w:rsid w:val="00D50B92"/>
    <w:rsid w:val="00D50BE8"/>
    <w:rsid w:val="00D50CFA"/>
    <w:rsid w:val="00D50D41"/>
    <w:rsid w:val="00D50DD2"/>
    <w:rsid w:val="00D50E26"/>
    <w:rsid w:val="00D50E9C"/>
    <w:rsid w:val="00D50EB1"/>
    <w:rsid w:val="00D50F36"/>
    <w:rsid w:val="00D50F61"/>
    <w:rsid w:val="00D50FA6"/>
    <w:rsid w:val="00D50FFB"/>
    <w:rsid w:val="00D510B6"/>
    <w:rsid w:val="00D5117B"/>
    <w:rsid w:val="00D511A6"/>
    <w:rsid w:val="00D511CB"/>
    <w:rsid w:val="00D5126E"/>
    <w:rsid w:val="00D512D8"/>
    <w:rsid w:val="00D51335"/>
    <w:rsid w:val="00D513BF"/>
    <w:rsid w:val="00D513FA"/>
    <w:rsid w:val="00D51406"/>
    <w:rsid w:val="00D51420"/>
    <w:rsid w:val="00D51460"/>
    <w:rsid w:val="00D51466"/>
    <w:rsid w:val="00D51473"/>
    <w:rsid w:val="00D5156B"/>
    <w:rsid w:val="00D5157E"/>
    <w:rsid w:val="00D515C4"/>
    <w:rsid w:val="00D515C5"/>
    <w:rsid w:val="00D515CC"/>
    <w:rsid w:val="00D515FA"/>
    <w:rsid w:val="00D51609"/>
    <w:rsid w:val="00D5161D"/>
    <w:rsid w:val="00D5163D"/>
    <w:rsid w:val="00D51693"/>
    <w:rsid w:val="00D516ED"/>
    <w:rsid w:val="00D51724"/>
    <w:rsid w:val="00D5173C"/>
    <w:rsid w:val="00D51781"/>
    <w:rsid w:val="00D517A6"/>
    <w:rsid w:val="00D517D3"/>
    <w:rsid w:val="00D517F5"/>
    <w:rsid w:val="00D51839"/>
    <w:rsid w:val="00D51853"/>
    <w:rsid w:val="00D5187B"/>
    <w:rsid w:val="00D51928"/>
    <w:rsid w:val="00D5196C"/>
    <w:rsid w:val="00D51A4D"/>
    <w:rsid w:val="00D51A51"/>
    <w:rsid w:val="00D51A83"/>
    <w:rsid w:val="00D51ABB"/>
    <w:rsid w:val="00D51AD0"/>
    <w:rsid w:val="00D51ADD"/>
    <w:rsid w:val="00D51B23"/>
    <w:rsid w:val="00D51B56"/>
    <w:rsid w:val="00D51B73"/>
    <w:rsid w:val="00D51B9D"/>
    <w:rsid w:val="00D51C21"/>
    <w:rsid w:val="00D51C81"/>
    <w:rsid w:val="00D51D1B"/>
    <w:rsid w:val="00D51D34"/>
    <w:rsid w:val="00D51D7A"/>
    <w:rsid w:val="00D51DD7"/>
    <w:rsid w:val="00D51F19"/>
    <w:rsid w:val="00D51F1F"/>
    <w:rsid w:val="00D51F5B"/>
    <w:rsid w:val="00D5206D"/>
    <w:rsid w:val="00D520BC"/>
    <w:rsid w:val="00D520CB"/>
    <w:rsid w:val="00D52144"/>
    <w:rsid w:val="00D52153"/>
    <w:rsid w:val="00D5217F"/>
    <w:rsid w:val="00D521A6"/>
    <w:rsid w:val="00D52230"/>
    <w:rsid w:val="00D52236"/>
    <w:rsid w:val="00D52237"/>
    <w:rsid w:val="00D52245"/>
    <w:rsid w:val="00D5224F"/>
    <w:rsid w:val="00D522DC"/>
    <w:rsid w:val="00D52326"/>
    <w:rsid w:val="00D5235E"/>
    <w:rsid w:val="00D52392"/>
    <w:rsid w:val="00D523E6"/>
    <w:rsid w:val="00D52421"/>
    <w:rsid w:val="00D524C2"/>
    <w:rsid w:val="00D52503"/>
    <w:rsid w:val="00D52513"/>
    <w:rsid w:val="00D52518"/>
    <w:rsid w:val="00D52588"/>
    <w:rsid w:val="00D5265F"/>
    <w:rsid w:val="00D52673"/>
    <w:rsid w:val="00D52693"/>
    <w:rsid w:val="00D526F6"/>
    <w:rsid w:val="00D52711"/>
    <w:rsid w:val="00D52739"/>
    <w:rsid w:val="00D527D1"/>
    <w:rsid w:val="00D52993"/>
    <w:rsid w:val="00D52AA9"/>
    <w:rsid w:val="00D52ADF"/>
    <w:rsid w:val="00D52AED"/>
    <w:rsid w:val="00D52C09"/>
    <w:rsid w:val="00D52D0E"/>
    <w:rsid w:val="00D52D25"/>
    <w:rsid w:val="00D52DC5"/>
    <w:rsid w:val="00D52F37"/>
    <w:rsid w:val="00D52F4A"/>
    <w:rsid w:val="00D52F5C"/>
    <w:rsid w:val="00D52F9D"/>
    <w:rsid w:val="00D52FEF"/>
    <w:rsid w:val="00D53072"/>
    <w:rsid w:val="00D5309E"/>
    <w:rsid w:val="00D531CA"/>
    <w:rsid w:val="00D531DD"/>
    <w:rsid w:val="00D53339"/>
    <w:rsid w:val="00D53340"/>
    <w:rsid w:val="00D53352"/>
    <w:rsid w:val="00D53394"/>
    <w:rsid w:val="00D533C0"/>
    <w:rsid w:val="00D533D0"/>
    <w:rsid w:val="00D533F2"/>
    <w:rsid w:val="00D533F6"/>
    <w:rsid w:val="00D5348F"/>
    <w:rsid w:val="00D534AE"/>
    <w:rsid w:val="00D534D6"/>
    <w:rsid w:val="00D53511"/>
    <w:rsid w:val="00D5357A"/>
    <w:rsid w:val="00D535BE"/>
    <w:rsid w:val="00D53661"/>
    <w:rsid w:val="00D5372B"/>
    <w:rsid w:val="00D53789"/>
    <w:rsid w:val="00D5379C"/>
    <w:rsid w:val="00D537BD"/>
    <w:rsid w:val="00D5384A"/>
    <w:rsid w:val="00D538AB"/>
    <w:rsid w:val="00D538C1"/>
    <w:rsid w:val="00D538CA"/>
    <w:rsid w:val="00D53907"/>
    <w:rsid w:val="00D5392D"/>
    <w:rsid w:val="00D53966"/>
    <w:rsid w:val="00D539BC"/>
    <w:rsid w:val="00D539BE"/>
    <w:rsid w:val="00D53A4C"/>
    <w:rsid w:val="00D53A53"/>
    <w:rsid w:val="00D53A65"/>
    <w:rsid w:val="00D53A92"/>
    <w:rsid w:val="00D53AA0"/>
    <w:rsid w:val="00D53ADB"/>
    <w:rsid w:val="00D53AF0"/>
    <w:rsid w:val="00D53AF5"/>
    <w:rsid w:val="00D53B25"/>
    <w:rsid w:val="00D53B59"/>
    <w:rsid w:val="00D53B93"/>
    <w:rsid w:val="00D53BA2"/>
    <w:rsid w:val="00D53BDD"/>
    <w:rsid w:val="00D53C36"/>
    <w:rsid w:val="00D53C38"/>
    <w:rsid w:val="00D53C39"/>
    <w:rsid w:val="00D53C44"/>
    <w:rsid w:val="00D53C45"/>
    <w:rsid w:val="00D53C71"/>
    <w:rsid w:val="00D53CD0"/>
    <w:rsid w:val="00D53D78"/>
    <w:rsid w:val="00D53E0C"/>
    <w:rsid w:val="00D53E29"/>
    <w:rsid w:val="00D53E37"/>
    <w:rsid w:val="00D53E4D"/>
    <w:rsid w:val="00D53FB4"/>
    <w:rsid w:val="00D54013"/>
    <w:rsid w:val="00D54032"/>
    <w:rsid w:val="00D54095"/>
    <w:rsid w:val="00D5409D"/>
    <w:rsid w:val="00D540DF"/>
    <w:rsid w:val="00D5418A"/>
    <w:rsid w:val="00D54202"/>
    <w:rsid w:val="00D5420B"/>
    <w:rsid w:val="00D54292"/>
    <w:rsid w:val="00D542B3"/>
    <w:rsid w:val="00D5431C"/>
    <w:rsid w:val="00D5437F"/>
    <w:rsid w:val="00D5439A"/>
    <w:rsid w:val="00D543A3"/>
    <w:rsid w:val="00D543AB"/>
    <w:rsid w:val="00D5444E"/>
    <w:rsid w:val="00D5445B"/>
    <w:rsid w:val="00D54476"/>
    <w:rsid w:val="00D544EE"/>
    <w:rsid w:val="00D5450B"/>
    <w:rsid w:val="00D54516"/>
    <w:rsid w:val="00D54524"/>
    <w:rsid w:val="00D545D2"/>
    <w:rsid w:val="00D54688"/>
    <w:rsid w:val="00D546C8"/>
    <w:rsid w:val="00D546FE"/>
    <w:rsid w:val="00D54761"/>
    <w:rsid w:val="00D5478D"/>
    <w:rsid w:val="00D54807"/>
    <w:rsid w:val="00D54813"/>
    <w:rsid w:val="00D5487D"/>
    <w:rsid w:val="00D549A5"/>
    <w:rsid w:val="00D54A34"/>
    <w:rsid w:val="00D54A42"/>
    <w:rsid w:val="00D54A62"/>
    <w:rsid w:val="00D54A82"/>
    <w:rsid w:val="00D54B14"/>
    <w:rsid w:val="00D54B41"/>
    <w:rsid w:val="00D54B79"/>
    <w:rsid w:val="00D54B89"/>
    <w:rsid w:val="00D54B9D"/>
    <w:rsid w:val="00D54BEB"/>
    <w:rsid w:val="00D54C4D"/>
    <w:rsid w:val="00D54C87"/>
    <w:rsid w:val="00D54CA9"/>
    <w:rsid w:val="00D54CB1"/>
    <w:rsid w:val="00D54D95"/>
    <w:rsid w:val="00D54DCC"/>
    <w:rsid w:val="00D54E16"/>
    <w:rsid w:val="00D54E67"/>
    <w:rsid w:val="00D54EDD"/>
    <w:rsid w:val="00D54EDF"/>
    <w:rsid w:val="00D54F2F"/>
    <w:rsid w:val="00D54F38"/>
    <w:rsid w:val="00D54FBD"/>
    <w:rsid w:val="00D55016"/>
    <w:rsid w:val="00D550F9"/>
    <w:rsid w:val="00D55112"/>
    <w:rsid w:val="00D5517E"/>
    <w:rsid w:val="00D5518E"/>
    <w:rsid w:val="00D551D0"/>
    <w:rsid w:val="00D551D5"/>
    <w:rsid w:val="00D55344"/>
    <w:rsid w:val="00D55398"/>
    <w:rsid w:val="00D553A8"/>
    <w:rsid w:val="00D553F6"/>
    <w:rsid w:val="00D55447"/>
    <w:rsid w:val="00D55448"/>
    <w:rsid w:val="00D55456"/>
    <w:rsid w:val="00D5548D"/>
    <w:rsid w:val="00D55490"/>
    <w:rsid w:val="00D5554D"/>
    <w:rsid w:val="00D555A0"/>
    <w:rsid w:val="00D555A3"/>
    <w:rsid w:val="00D557BB"/>
    <w:rsid w:val="00D557C0"/>
    <w:rsid w:val="00D55810"/>
    <w:rsid w:val="00D55823"/>
    <w:rsid w:val="00D5583C"/>
    <w:rsid w:val="00D55890"/>
    <w:rsid w:val="00D558A6"/>
    <w:rsid w:val="00D558BE"/>
    <w:rsid w:val="00D558D6"/>
    <w:rsid w:val="00D5594C"/>
    <w:rsid w:val="00D559CB"/>
    <w:rsid w:val="00D559D6"/>
    <w:rsid w:val="00D55A01"/>
    <w:rsid w:val="00D55A08"/>
    <w:rsid w:val="00D55A48"/>
    <w:rsid w:val="00D55A7B"/>
    <w:rsid w:val="00D55A85"/>
    <w:rsid w:val="00D55A9B"/>
    <w:rsid w:val="00D55AE8"/>
    <w:rsid w:val="00D55B0F"/>
    <w:rsid w:val="00D55B62"/>
    <w:rsid w:val="00D55B70"/>
    <w:rsid w:val="00D55B75"/>
    <w:rsid w:val="00D55B9C"/>
    <w:rsid w:val="00D55BA1"/>
    <w:rsid w:val="00D55C0B"/>
    <w:rsid w:val="00D55C0D"/>
    <w:rsid w:val="00D55C25"/>
    <w:rsid w:val="00D55C29"/>
    <w:rsid w:val="00D55C2E"/>
    <w:rsid w:val="00D55C53"/>
    <w:rsid w:val="00D55D53"/>
    <w:rsid w:val="00D55DCC"/>
    <w:rsid w:val="00D55E15"/>
    <w:rsid w:val="00D55E29"/>
    <w:rsid w:val="00D55EDA"/>
    <w:rsid w:val="00D55FC1"/>
    <w:rsid w:val="00D560A1"/>
    <w:rsid w:val="00D560A4"/>
    <w:rsid w:val="00D56115"/>
    <w:rsid w:val="00D56135"/>
    <w:rsid w:val="00D56170"/>
    <w:rsid w:val="00D56195"/>
    <w:rsid w:val="00D561F7"/>
    <w:rsid w:val="00D5633C"/>
    <w:rsid w:val="00D56341"/>
    <w:rsid w:val="00D56480"/>
    <w:rsid w:val="00D5648D"/>
    <w:rsid w:val="00D56516"/>
    <w:rsid w:val="00D56676"/>
    <w:rsid w:val="00D56680"/>
    <w:rsid w:val="00D56696"/>
    <w:rsid w:val="00D56714"/>
    <w:rsid w:val="00D5676C"/>
    <w:rsid w:val="00D56809"/>
    <w:rsid w:val="00D5681C"/>
    <w:rsid w:val="00D5689E"/>
    <w:rsid w:val="00D568C1"/>
    <w:rsid w:val="00D56A42"/>
    <w:rsid w:val="00D56A65"/>
    <w:rsid w:val="00D56A67"/>
    <w:rsid w:val="00D56A68"/>
    <w:rsid w:val="00D56B6C"/>
    <w:rsid w:val="00D56BC5"/>
    <w:rsid w:val="00D56C45"/>
    <w:rsid w:val="00D56C4B"/>
    <w:rsid w:val="00D56CD5"/>
    <w:rsid w:val="00D56D8A"/>
    <w:rsid w:val="00D56D8B"/>
    <w:rsid w:val="00D56E88"/>
    <w:rsid w:val="00D56F2D"/>
    <w:rsid w:val="00D56F9B"/>
    <w:rsid w:val="00D56FA3"/>
    <w:rsid w:val="00D570B5"/>
    <w:rsid w:val="00D57109"/>
    <w:rsid w:val="00D5714A"/>
    <w:rsid w:val="00D57206"/>
    <w:rsid w:val="00D5726C"/>
    <w:rsid w:val="00D57287"/>
    <w:rsid w:val="00D5729F"/>
    <w:rsid w:val="00D572B0"/>
    <w:rsid w:val="00D572D7"/>
    <w:rsid w:val="00D57303"/>
    <w:rsid w:val="00D57339"/>
    <w:rsid w:val="00D5734A"/>
    <w:rsid w:val="00D5739B"/>
    <w:rsid w:val="00D573AE"/>
    <w:rsid w:val="00D573C7"/>
    <w:rsid w:val="00D5741F"/>
    <w:rsid w:val="00D57479"/>
    <w:rsid w:val="00D574C4"/>
    <w:rsid w:val="00D574E4"/>
    <w:rsid w:val="00D57514"/>
    <w:rsid w:val="00D57516"/>
    <w:rsid w:val="00D57570"/>
    <w:rsid w:val="00D57578"/>
    <w:rsid w:val="00D575B0"/>
    <w:rsid w:val="00D575CF"/>
    <w:rsid w:val="00D57661"/>
    <w:rsid w:val="00D57697"/>
    <w:rsid w:val="00D576F2"/>
    <w:rsid w:val="00D57760"/>
    <w:rsid w:val="00D577C2"/>
    <w:rsid w:val="00D57851"/>
    <w:rsid w:val="00D578FE"/>
    <w:rsid w:val="00D579A8"/>
    <w:rsid w:val="00D57A11"/>
    <w:rsid w:val="00D57A95"/>
    <w:rsid w:val="00D57AD6"/>
    <w:rsid w:val="00D57ADA"/>
    <w:rsid w:val="00D57B84"/>
    <w:rsid w:val="00D57BAD"/>
    <w:rsid w:val="00D57D1E"/>
    <w:rsid w:val="00D57D69"/>
    <w:rsid w:val="00D57D70"/>
    <w:rsid w:val="00D57D79"/>
    <w:rsid w:val="00D57DD8"/>
    <w:rsid w:val="00D57DF2"/>
    <w:rsid w:val="00D57E08"/>
    <w:rsid w:val="00D57E1F"/>
    <w:rsid w:val="00D57EA7"/>
    <w:rsid w:val="00D57F94"/>
    <w:rsid w:val="00D57FDA"/>
    <w:rsid w:val="00D60044"/>
    <w:rsid w:val="00D60069"/>
    <w:rsid w:val="00D6009B"/>
    <w:rsid w:val="00D600CD"/>
    <w:rsid w:val="00D60114"/>
    <w:rsid w:val="00D60201"/>
    <w:rsid w:val="00D60224"/>
    <w:rsid w:val="00D6027D"/>
    <w:rsid w:val="00D602B6"/>
    <w:rsid w:val="00D602FD"/>
    <w:rsid w:val="00D6030F"/>
    <w:rsid w:val="00D60384"/>
    <w:rsid w:val="00D60422"/>
    <w:rsid w:val="00D60563"/>
    <w:rsid w:val="00D605FB"/>
    <w:rsid w:val="00D60666"/>
    <w:rsid w:val="00D60791"/>
    <w:rsid w:val="00D60861"/>
    <w:rsid w:val="00D60867"/>
    <w:rsid w:val="00D608A4"/>
    <w:rsid w:val="00D608AB"/>
    <w:rsid w:val="00D60929"/>
    <w:rsid w:val="00D609C0"/>
    <w:rsid w:val="00D609DF"/>
    <w:rsid w:val="00D60A1D"/>
    <w:rsid w:val="00D60A4D"/>
    <w:rsid w:val="00D60A86"/>
    <w:rsid w:val="00D60AD6"/>
    <w:rsid w:val="00D60B38"/>
    <w:rsid w:val="00D60B59"/>
    <w:rsid w:val="00D60B8A"/>
    <w:rsid w:val="00D60BC5"/>
    <w:rsid w:val="00D60CDF"/>
    <w:rsid w:val="00D60CFD"/>
    <w:rsid w:val="00D60D09"/>
    <w:rsid w:val="00D60D47"/>
    <w:rsid w:val="00D60E29"/>
    <w:rsid w:val="00D60E33"/>
    <w:rsid w:val="00D60E44"/>
    <w:rsid w:val="00D60E4E"/>
    <w:rsid w:val="00D60EE6"/>
    <w:rsid w:val="00D60FE9"/>
    <w:rsid w:val="00D6102A"/>
    <w:rsid w:val="00D6102F"/>
    <w:rsid w:val="00D6105A"/>
    <w:rsid w:val="00D610BB"/>
    <w:rsid w:val="00D61177"/>
    <w:rsid w:val="00D61196"/>
    <w:rsid w:val="00D61201"/>
    <w:rsid w:val="00D61225"/>
    <w:rsid w:val="00D61247"/>
    <w:rsid w:val="00D612FE"/>
    <w:rsid w:val="00D6144F"/>
    <w:rsid w:val="00D6152A"/>
    <w:rsid w:val="00D6156E"/>
    <w:rsid w:val="00D61582"/>
    <w:rsid w:val="00D6160E"/>
    <w:rsid w:val="00D6161D"/>
    <w:rsid w:val="00D61624"/>
    <w:rsid w:val="00D616AE"/>
    <w:rsid w:val="00D616BB"/>
    <w:rsid w:val="00D61876"/>
    <w:rsid w:val="00D6195D"/>
    <w:rsid w:val="00D61974"/>
    <w:rsid w:val="00D61A84"/>
    <w:rsid w:val="00D61A9F"/>
    <w:rsid w:val="00D61ABA"/>
    <w:rsid w:val="00D61AC3"/>
    <w:rsid w:val="00D61AF7"/>
    <w:rsid w:val="00D61BB0"/>
    <w:rsid w:val="00D61BE5"/>
    <w:rsid w:val="00D61C89"/>
    <w:rsid w:val="00D61D98"/>
    <w:rsid w:val="00D61DB9"/>
    <w:rsid w:val="00D61DF1"/>
    <w:rsid w:val="00D61F38"/>
    <w:rsid w:val="00D61F50"/>
    <w:rsid w:val="00D61F88"/>
    <w:rsid w:val="00D62088"/>
    <w:rsid w:val="00D62107"/>
    <w:rsid w:val="00D62110"/>
    <w:rsid w:val="00D6215F"/>
    <w:rsid w:val="00D62165"/>
    <w:rsid w:val="00D62175"/>
    <w:rsid w:val="00D62237"/>
    <w:rsid w:val="00D62248"/>
    <w:rsid w:val="00D62284"/>
    <w:rsid w:val="00D6229D"/>
    <w:rsid w:val="00D622BB"/>
    <w:rsid w:val="00D62332"/>
    <w:rsid w:val="00D6243A"/>
    <w:rsid w:val="00D624BC"/>
    <w:rsid w:val="00D6255D"/>
    <w:rsid w:val="00D6256D"/>
    <w:rsid w:val="00D62593"/>
    <w:rsid w:val="00D62609"/>
    <w:rsid w:val="00D6266D"/>
    <w:rsid w:val="00D626A1"/>
    <w:rsid w:val="00D626A3"/>
    <w:rsid w:val="00D626B1"/>
    <w:rsid w:val="00D626C2"/>
    <w:rsid w:val="00D6270A"/>
    <w:rsid w:val="00D6274E"/>
    <w:rsid w:val="00D62858"/>
    <w:rsid w:val="00D62859"/>
    <w:rsid w:val="00D62884"/>
    <w:rsid w:val="00D62896"/>
    <w:rsid w:val="00D628DE"/>
    <w:rsid w:val="00D62906"/>
    <w:rsid w:val="00D62909"/>
    <w:rsid w:val="00D6297F"/>
    <w:rsid w:val="00D629EB"/>
    <w:rsid w:val="00D62A25"/>
    <w:rsid w:val="00D62A59"/>
    <w:rsid w:val="00D62A6D"/>
    <w:rsid w:val="00D62A70"/>
    <w:rsid w:val="00D62AB5"/>
    <w:rsid w:val="00D62B0B"/>
    <w:rsid w:val="00D62B41"/>
    <w:rsid w:val="00D62B5E"/>
    <w:rsid w:val="00D62B9D"/>
    <w:rsid w:val="00D62C48"/>
    <w:rsid w:val="00D62CFE"/>
    <w:rsid w:val="00D62D50"/>
    <w:rsid w:val="00D62EBD"/>
    <w:rsid w:val="00D62ECB"/>
    <w:rsid w:val="00D62EEF"/>
    <w:rsid w:val="00D62FA4"/>
    <w:rsid w:val="00D62FBE"/>
    <w:rsid w:val="00D62FD6"/>
    <w:rsid w:val="00D63030"/>
    <w:rsid w:val="00D63134"/>
    <w:rsid w:val="00D6318A"/>
    <w:rsid w:val="00D631DC"/>
    <w:rsid w:val="00D6320D"/>
    <w:rsid w:val="00D632A6"/>
    <w:rsid w:val="00D632EC"/>
    <w:rsid w:val="00D633C8"/>
    <w:rsid w:val="00D633CA"/>
    <w:rsid w:val="00D633F0"/>
    <w:rsid w:val="00D63450"/>
    <w:rsid w:val="00D63463"/>
    <w:rsid w:val="00D63505"/>
    <w:rsid w:val="00D63507"/>
    <w:rsid w:val="00D6350A"/>
    <w:rsid w:val="00D6359E"/>
    <w:rsid w:val="00D63636"/>
    <w:rsid w:val="00D636C2"/>
    <w:rsid w:val="00D636CD"/>
    <w:rsid w:val="00D63730"/>
    <w:rsid w:val="00D637C0"/>
    <w:rsid w:val="00D637D2"/>
    <w:rsid w:val="00D637D4"/>
    <w:rsid w:val="00D6387F"/>
    <w:rsid w:val="00D638C5"/>
    <w:rsid w:val="00D6395C"/>
    <w:rsid w:val="00D63961"/>
    <w:rsid w:val="00D63965"/>
    <w:rsid w:val="00D63979"/>
    <w:rsid w:val="00D639BE"/>
    <w:rsid w:val="00D63ACC"/>
    <w:rsid w:val="00D63B4A"/>
    <w:rsid w:val="00D63C05"/>
    <w:rsid w:val="00D63C22"/>
    <w:rsid w:val="00D63CBA"/>
    <w:rsid w:val="00D63DF5"/>
    <w:rsid w:val="00D63DFC"/>
    <w:rsid w:val="00D63E14"/>
    <w:rsid w:val="00D63E3E"/>
    <w:rsid w:val="00D63EBE"/>
    <w:rsid w:val="00D63EE0"/>
    <w:rsid w:val="00D63EE4"/>
    <w:rsid w:val="00D63F04"/>
    <w:rsid w:val="00D63F23"/>
    <w:rsid w:val="00D63F5C"/>
    <w:rsid w:val="00D63F82"/>
    <w:rsid w:val="00D63FAB"/>
    <w:rsid w:val="00D63FB9"/>
    <w:rsid w:val="00D64009"/>
    <w:rsid w:val="00D64082"/>
    <w:rsid w:val="00D64187"/>
    <w:rsid w:val="00D6426C"/>
    <w:rsid w:val="00D642B1"/>
    <w:rsid w:val="00D6435A"/>
    <w:rsid w:val="00D643A0"/>
    <w:rsid w:val="00D643A1"/>
    <w:rsid w:val="00D643B1"/>
    <w:rsid w:val="00D64403"/>
    <w:rsid w:val="00D64418"/>
    <w:rsid w:val="00D64445"/>
    <w:rsid w:val="00D6458F"/>
    <w:rsid w:val="00D64596"/>
    <w:rsid w:val="00D64597"/>
    <w:rsid w:val="00D646C9"/>
    <w:rsid w:val="00D6481F"/>
    <w:rsid w:val="00D6488B"/>
    <w:rsid w:val="00D64927"/>
    <w:rsid w:val="00D64939"/>
    <w:rsid w:val="00D64958"/>
    <w:rsid w:val="00D64966"/>
    <w:rsid w:val="00D649BA"/>
    <w:rsid w:val="00D649F2"/>
    <w:rsid w:val="00D64AAB"/>
    <w:rsid w:val="00D64AEB"/>
    <w:rsid w:val="00D64AFE"/>
    <w:rsid w:val="00D64BA8"/>
    <w:rsid w:val="00D64C64"/>
    <w:rsid w:val="00D64CC4"/>
    <w:rsid w:val="00D64E2F"/>
    <w:rsid w:val="00D64E6D"/>
    <w:rsid w:val="00D64E80"/>
    <w:rsid w:val="00D64EB0"/>
    <w:rsid w:val="00D64F00"/>
    <w:rsid w:val="00D64F44"/>
    <w:rsid w:val="00D64F8F"/>
    <w:rsid w:val="00D64F97"/>
    <w:rsid w:val="00D64FD2"/>
    <w:rsid w:val="00D65011"/>
    <w:rsid w:val="00D65098"/>
    <w:rsid w:val="00D650A4"/>
    <w:rsid w:val="00D650A5"/>
    <w:rsid w:val="00D650EC"/>
    <w:rsid w:val="00D6513C"/>
    <w:rsid w:val="00D65189"/>
    <w:rsid w:val="00D65193"/>
    <w:rsid w:val="00D651CA"/>
    <w:rsid w:val="00D652C1"/>
    <w:rsid w:val="00D65388"/>
    <w:rsid w:val="00D653B1"/>
    <w:rsid w:val="00D6541B"/>
    <w:rsid w:val="00D65428"/>
    <w:rsid w:val="00D6545C"/>
    <w:rsid w:val="00D654D4"/>
    <w:rsid w:val="00D654DB"/>
    <w:rsid w:val="00D65548"/>
    <w:rsid w:val="00D65592"/>
    <w:rsid w:val="00D655C5"/>
    <w:rsid w:val="00D655F7"/>
    <w:rsid w:val="00D65716"/>
    <w:rsid w:val="00D6571A"/>
    <w:rsid w:val="00D65732"/>
    <w:rsid w:val="00D657AA"/>
    <w:rsid w:val="00D657D8"/>
    <w:rsid w:val="00D658B2"/>
    <w:rsid w:val="00D658F0"/>
    <w:rsid w:val="00D6599B"/>
    <w:rsid w:val="00D65A07"/>
    <w:rsid w:val="00D65A1B"/>
    <w:rsid w:val="00D65A5A"/>
    <w:rsid w:val="00D65A68"/>
    <w:rsid w:val="00D65A8A"/>
    <w:rsid w:val="00D65B4B"/>
    <w:rsid w:val="00D65B5B"/>
    <w:rsid w:val="00D65BA9"/>
    <w:rsid w:val="00D65BE2"/>
    <w:rsid w:val="00D65BED"/>
    <w:rsid w:val="00D65C33"/>
    <w:rsid w:val="00D65C59"/>
    <w:rsid w:val="00D65D59"/>
    <w:rsid w:val="00D65D9C"/>
    <w:rsid w:val="00D65DC6"/>
    <w:rsid w:val="00D65DCC"/>
    <w:rsid w:val="00D65E4C"/>
    <w:rsid w:val="00D65E53"/>
    <w:rsid w:val="00D65E56"/>
    <w:rsid w:val="00D65F1F"/>
    <w:rsid w:val="00D65F50"/>
    <w:rsid w:val="00D660B0"/>
    <w:rsid w:val="00D6619C"/>
    <w:rsid w:val="00D661C2"/>
    <w:rsid w:val="00D66279"/>
    <w:rsid w:val="00D66294"/>
    <w:rsid w:val="00D662BB"/>
    <w:rsid w:val="00D66361"/>
    <w:rsid w:val="00D66393"/>
    <w:rsid w:val="00D663CB"/>
    <w:rsid w:val="00D66435"/>
    <w:rsid w:val="00D6644A"/>
    <w:rsid w:val="00D6648C"/>
    <w:rsid w:val="00D664A0"/>
    <w:rsid w:val="00D664CE"/>
    <w:rsid w:val="00D66677"/>
    <w:rsid w:val="00D666EF"/>
    <w:rsid w:val="00D66711"/>
    <w:rsid w:val="00D668FA"/>
    <w:rsid w:val="00D66909"/>
    <w:rsid w:val="00D66A13"/>
    <w:rsid w:val="00D66A7E"/>
    <w:rsid w:val="00D66AB6"/>
    <w:rsid w:val="00D66AB9"/>
    <w:rsid w:val="00D66AD5"/>
    <w:rsid w:val="00D66AE4"/>
    <w:rsid w:val="00D66B15"/>
    <w:rsid w:val="00D66B24"/>
    <w:rsid w:val="00D66B44"/>
    <w:rsid w:val="00D66BA2"/>
    <w:rsid w:val="00D66C12"/>
    <w:rsid w:val="00D66C23"/>
    <w:rsid w:val="00D66C6D"/>
    <w:rsid w:val="00D66CFA"/>
    <w:rsid w:val="00D66CFE"/>
    <w:rsid w:val="00D66D24"/>
    <w:rsid w:val="00D66D4D"/>
    <w:rsid w:val="00D66D7D"/>
    <w:rsid w:val="00D66DDE"/>
    <w:rsid w:val="00D66ED0"/>
    <w:rsid w:val="00D66EDF"/>
    <w:rsid w:val="00D66EEA"/>
    <w:rsid w:val="00D66F0D"/>
    <w:rsid w:val="00D66F51"/>
    <w:rsid w:val="00D66FA7"/>
    <w:rsid w:val="00D670F5"/>
    <w:rsid w:val="00D6715B"/>
    <w:rsid w:val="00D67178"/>
    <w:rsid w:val="00D67196"/>
    <w:rsid w:val="00D671FB"/>
    <w:rsid w:val="00D671FF"/>
    <w:rsid w:val="00D6720B"/>
    <w:rsid w:val="00D67245"/>
    <w:rsid w:val="00D67308"/>
    <w:rsid w:val="00D6731D"/>
    <w:rsid w:val="00D67342"/>
    <w:rsid w:val="00D673B7"/>
    <w:rsid w:val="00D673E6"/>
    <w:rsid w:val="00D6741A"/>
    <w:rsid w:val="00D674CA"/>
    <w:rsid w:val="00D6754B"/>
    <w:rsid w:val="00D6757B"/>
    <w:rsid w:val="00D675E5"/>
    <w:rsid w:val="00D67648"/>
    <w:rsid w:val="00D676CF"/>
    <w:rsid w:val="00D676E2"/>
    <w:rsid w:val="00D67714"/>
    <w:rsid w:val="00D6772F"/>
    <w:rsid w:val="00D67734"/>
    <w:rsid w:val="00D67883"/>
    <w:rsid w:val="00D67884"/>
    <w:rsid w:val="00D678CA"/>
    <w:rsid w:val="00D67912"/>
    <w:rsid w:val="00D6791D"/>
    <w:rsid w:val="00D67969"/>
    <w:rsid w:val="00D67990"/>
    <w:rsid w:val="00D67B3C"/>
    <w:rsid w:val="00D67B6E"/>
    <w:rsid w:val="00D67BA5"/>
    <w:rsid w:val="00D67C1F"/>
    <w:rsid w:val="00D67D14"/>
    <w:rsid w:val="00D67D23"/>
    <w:rsid w:val="00D67D32"/>
    <w:rsid w:val="00D67DDD"/>
    <w:rsid w:val="00D67DDE"/>
    <w:rsid w:val="00D67DE8"/>
    <w:rsid w:val="00D67E1E"/>
    <w:rsid w:val="00D67F09"/>
    <w:rsid w:val="00D70030"/>
    <w:rsid w:val="00D7009F"/>
    <w:rsid w:val="00D700B2"/>
    <w:rsid w:val="00D700E2"/>
    <w:rsid w:val="00D700F1"/>
    <w:rsid w:val="00D700FE"/>
    <w:rsid w:val="00D7015E"/>
    <w:rsid w:val="00D701FE"/>
    <w:rsid w:val="00D70241"/>
    <w:rsid w:val="00D703C6"/>
    <w:rsid w:val="00D7045F"/>
    <w:rsid w:val="00D70488"/>
    <w:rsid w:val="00D70509"/>
    <w:rsid w:val="00D7057D"/>
    <w:rsid w:val="00D705BE"/>
    <w:rsid w:val="00D705C3"/>
    <w:rsid w:val="00D705F0"/>
    <w:rsid w:val="00D706B5"/>
    <w:rsid w:val="00D706B8"/>
    <w:rsid w:val="00D707DB"/>
    <w:rsid w:val="00D707FA"/>
    <w:rsid w:val="00D70823"/>
    <w:rsid w:val="00D70850"/>
    <w:rsid w:val="00D708AC"/>
    <w:rsid w:val="00D708CE"/>
    <w:rsid w:val="00D708FC"/>
    <w:rsid w:val="00D7091A"/>
    <w:rsid w:val="00D7092C"/>
    <w:rsid w:val="00D709DC"/>
    <w:rsid w:val="00D70B9A"/>
    <w:rsid w:val="00D70C3D"/>
    <w:rsid w:val="00D70CE8"/>
    <w:rsid w:val="00D70CE9"/>
    <w:rsid w:val="00D70D3F"/>
    <w:rsid w:val="00D70D59"/>
    <w:rsid w:val="00D70DD3"/>
    <w:rsid w:val="00D70DD8"/>
    <w:rsid w:val="00D70E1D"/>
    <w:rsid w:val="00D70E64"/>
    <w:rsid w:val="00D70E6D"/>
    <w:rsid w:val="00D70E80"/>
    <w:rsid w:val="00D70E8E"/>
    <w:rsid w:val="00D70EC4"/>
    <w:rsid w:val="00D70F39"/>
    <w:rsid w:val="00D70F6F"/>
    <w:rsid w:val="00D70F84"/>
    <w:rsid w:val="00D70FAC"/>
    <w:rsid w:val="00D71058"/>
    <w:rsid w:val="00D71060"/>
    <w:rsid w:val="00D710FB"/>
    <w:rsid w:val="00D7112A"/>
    <w:rsid w:val="00D71142"/>
    <w:rsid w:val="00D71250"/>
    <w:rsid w:val="00D71333"/>
    <w:rsid w:val="00D7139D"/>
    <w:rsid w:val="00D71421"/>
    <w:rsid w:val="00D7147F"/>
    <w:rsid w:val="00D714E3"/>
    <w:rsid w:val="00D714EC"/>
    <w:rsid w:val="00D71544"/>
    <w:rsid w:val="00D7159A"/>
    <w:rsid w:val="00D715DC"/>
    <w:rsid w:val="00D715F1"/>
    <w:rsid w:val="00D7162B"/>
    <w:rsid w:val="00D71733"/>
    <w:rsid w:val="00D717EF"/>
    <w:rsid w:val="00D7184F"/>
    <w:rsid w:val="00D718B2"/>
    <w:rsid w:val="00D71901"/>
    <w:rsid w:val="00D719E7"/>
    <w:rsid w:val="00D71A00"/>
    <w:rsid w:val="00D71A0B"/>
    <w:rsid w:val="00D71A2D"/>
    <w:rsid w:val="00D71A35"/>
    <w:rsid w:val="00D71A44"/>
    <w:rsid w:val="00D71B2C"/>
    <w:rsid w:val="00D71C0C"/>
    <w:rsid w:val="00D71C14"/>
    <w:rsid w:val="00D71C4B"/>
    <w:rsid w:val="00D71C60"/>
    <w:rsid w:val="00D71C89"/>
    <w:rsid w:val="00D71CD3"/>
    <w:rsid w:val="00D71D97"/>
    <w:rsid w:val="00D71E15"/>
    <w:rsid w:val="00D71E36"/>
    <w:rsid w:val="00D71E53"/>
    <w:rsid w:val="00D71E65"/>
    <w:rsid w:val="00D71EF6"/>
    <w:rsid w:val="00D71FF9"/>
    <w:rsid w:val="00D72001"/>
    <w:rsid w:val="00D72013"/>
    <w:rsid w:val="00D7203B"/>
    <w:rsid w:val="00D72053"/>
    <w:rsid w:val="00D7208B"/>
    <w:rsid w:val="00D7216E"/>
    <w:rsid w:val="00D721EC"/>
    <w:rsid w:val="00D72355"/>
    <w:rsid w:val="00D723A1"/>
    <w:rsid w:val="00D723FF"/>
    <w:rsid w:val="00D7242E"/>
    <w:rsid w:val="00D72458"/>
    <w:rsid w:val="00D724A3"/>
    <w:rsid w:val="00D7253D"/>
    <w:rsid w:val="00D72544"/>
    <w:rsid w:val="00D7255E"/>
    <w:rsid w:val="00D72588"/>
    <w:rsid w:val="00D725C5"/>
    <w:rsid w:val="00D725F8"/>
    <w:rsid w:val="00D72609"/>
    <w:rsid w:val="00D72681"/>
    <w:rsid w:val="00D726B0"/>
    <w:rsid w:val="00D72707"/>
    <w:rsid w:val="00D7271B"/>
    <w:rsid w:val="00D72723"/>
    <w:rsid w:val="00D727C4"/>
    <w:rsid w:val="00D727F6"/>
    <w:rsid w:val="00D728B1"/>
    <w:rsid w:val="00D728CB"/>
    <w:rsid w:val="00D72960"/>
    <w:rsid w:val="00D729EC"/>
    <w:rsid w:val="00D72A0D"/>
    <w:rsid w:val="00D72A92"/>
    <w:rsid w:val="00D72B88"/>
    <w:rsid w:val="00D72C6B"/>
    <w:rsid w:val="00D72D3D"/>
    <w:rsid w:val="00D72D67"/>
    <w:rsid w:val="00D72D76"/>
    <w:rsid w:val="00D72D90"/>
    <w:rsid w:val="00D72DA5"/>
    <w:rsid w:val="00D72DD1"/>
    <w:rsid w:val="00D72E17"/>
    <w:rsid w:val="00D72EDF"/>
    <w:rsid w:val="00D72F27"/>
    <w:rsid w:val="00D7303E"/>
    <w:rsid w:val="00D73059"/>
    <w:rsid w:val="00D73064"/>
    <w:rsid w:val="00D73167"/>
    <w:rsid w:val="00D731BE"/>
    <w:rsid w:val="00D7324D"/>
    <w:rsid w:val="00D7327D"/>
    <w:rsid w:val="00D73295"/>
    <w:rsid w:val="00D732C8"/>
    <w:rsid w:val="00D7339D"/>
    <w:rsid w:val="00D733E8"/>
    <w:rsid w:val="00D73465"/>
    <w:rsid w:val="00D73481"/>
    <w:rsid w:val="00D734F9"/>
    <w:rsid w:val="00D7350A"/>
    <w:rsid w:val="00D73512"/>
    <w:rsid w:val="00D7351A"/>
    <w:rsid w:val="00D73585"/>
    <w:rsid w:val="00D7362A"/>
    <w:rsid w:val="00D736D5"/>
    <w:rsid w:val="00D7370B"/>
    <w:rsid w:val="00D7370D"/>
    <w:rsid w:val="00D737B4"/>
    <w:rsid w:val="00D73917"/>
    <w:rsid w:val="00D7399C"/>
    <w:rsid w:val="00D739DF"/>
    <w:rsid w:val="00D73A4D"/>
    <w:rsid w:val="00D73AD1"/>
    <w:rsid w:val="00D73AD8"/>
    <w:rsid w:val="00D73B9A"/>
    <w:rsid w:val="00D73BAD"/>
    <w:rsid w:val="00D73C05"/>
    <w:rsid w:val="00D73C3C"/>
    <w:rsid w:val="00D73C81"/>
    <w:rsid w:val="00D73CCE"/>
    <w:rsid w:val="00D73D1E"/>
    <w:rsid w:val="00D73D22"/>
    <w:rsid w:val="00D73DBC"/>
    <w:rsid w:val="00D73E20"/>
    <w:rsid w:val="00D73E37"/>
    <w:rsid w:val="00D73E9C"/>
    <w:rsid w:val="00D73F5E"/>
    <w:rsid w:val="00D73FAA"/>
    <w:rsid w:val="00D73FB3"/>
    <w:rsid w:val="00D73FD3"/>
    <w:rsid w:val="00D74023"/>
    <w:rsid w:val="00D7402F"/>
    <w:rsid w:val="00D7403A"/>
    <w:rsid w:val="00D74058"/>
    <w:rsid w:val="00D74132"/>
    <w:rsid w:val="00D74153"/>
    <w:rsid w:val="00D74189"/>
    <w:rsid w:val="00D741EE"/>
    <w:rsid w:val="00D7421A"/>
    <w:rsid w:val="00D7422D"/>
    <w:rsid w:val="00D742AE"/>
    <w:rsid w:val="00D74357"/>
    <w:rsid w:val="00D74369"/>
    <w:rsid w:val="00D74386"/>
    <w:rsid w:val="00D743C0"/>
    <w:rsid w:val="00D74417"/>
    <w:rsid w:val="00D74467"/>
    <w:rsid w:val="00D744B4"/>
    <w:rsid w:val="00D74502"/>
    <w:rsid w:val="00D74513"/>
    <w:rsid w:val="00D74514"/>
    <w:rsid w:val="00D74565"/>
    <w:rsid w:val="00D74567"/>
    <w:rsid w:val="00D745C6"/>
    <w:rsid w:val="00D745DA"/>
    <w:rsid w:val="00D74614"/>
    <w:rsid w:val="00D7462B"/>
    <w:rsid w:val="00D7467A"/>
    <w:rsid w:val="00D746EC"/>
    <w:rsid w:val="00D747EB"/>
    <w:rsid w:val="00D74857"/>
    <w:rsid w:val="00D74887"/>
    <w:rsid w:val="00D748A2"/>
    <w:rsid w:val="00D748BF"/>
    <w:rsid w:val="00D7490C"/>
    <w:rsid w:val="00D74992"/>
    <w:rsid w:val="00D74A0D"/>
    <w:rsid w:val="00D74A35"/>
    <w:rsid w:val="00D74A62"/>
    <w:rsid w:val="00D74ADA"/>
    <w:rsid w:val="00D74AF3"/>
    <w:rsid w:val="00D74B07"/>
    <w:rsid w:val="00D74B34"/>
    <w:rsid w:val="00D74B66"/>
    <w:rsid w:val="00D74B6B"/>
    <w:rsid w:val="00D74B8F"/>
    <w:rsid w:val="00D74B95"/>
    <w:rsid w:val="00D74B99"/>
    <w:rsid w:val="00D74BA8"/>
    <w:rsid w:val="00D74BEA"/>
    <w:rsid w:val="00D74C1B"/>
    <w:rsid w:val="00D74C53"/>
    <w:rsid w:val="00D74C64"/>
    <w:rsid w:val="00D74CBF"/>
    <w:rsid w:val="00D74D6D"/>
    <w:rsid w:val="00D74F66"/>
    <w:rsid w:val="00D74FCD"/>
    <w:rsid w:val="00D74FE8"/>
    <w:rsid w:val="00D75042"/>
    <w:rsid w:val="00D75056"/>
    <w:rsid w:val="00D75077"/>
    <w:rsid w:val="00D75084"/>
    <w:rsid w:val="00D75089"/>
    <w:rsid w:val="00D750AE"/>
    <w:rsid w:val="00D75175"/>
    <w:rsid w:val="00D75211"/>
    <w:rsid w:val="00D75227"/>
    <w:rsid w:val="00D7529D"/>
    <w:rsid w:val="00D752C2"/>
    <w:rsid w:val="00D75315"/>
    <w:rsid w:val="00D75340"/>
    <w:rsid w:val="00D75381"/>
    <w:rsid w:val="00D75419"/>
    <w:rsid w:val="00D75458"/>
    <w:rsid w:val="00D7547F"/>
    <w:rsid w:val="00D75516"/>
    <w:rsid w:val="00D75556"/>
    <w:rsid w:val="00D75609"/>
    <w:rsid w:val="00D756FC"/>
    <w:rsid w:val="00D75702"/>
    <w:rsid w:val="00D75746"/>
    <w:rsid w:val="00D7579F"/>
    <w:rsid w:val="00D7584C"/>
    <w:rsid w:val="00D7589F"/>
    <w:rsid w:val="00D75912"/>
    <w:rsid w:val="00D75934"/>
    <w:rsid w:val="00D75945"/>
    <w:rsid w:val="00D759F6"/>
    <w:rsid w:val="00D75AE8"/>
    <w:rsid w:val="00D75AF9"/>
    <w:rsid w:val="00D75B1C"/>
    <w:rsid w:val="00D75BFE"/>
    <w:rsid w:val="00D75C74"/>
    <w:rsid w:val="00D75CFB"/>
    <w:rsid w:val="00D75D56"/>
    <w:rsid w:val="00D75D6B"/>
    <w:rsid w:val="00D75D8D"/>
    <w:rsid w:val="00D75D96"/>
    <w:rsid w:val="00D75E08"/>
    <w:rsid w:val="00D75E0C"/>
    <w:rsid w:val="00D75E1E"/>
    <w:rsid w:val="00D75E2B"/>
    <w:rsid w:val="00D75E40"/>
    <w:rsid w:val="00D75E49"/>
    <w:rsid w:val="00D75EB7"/>
    <w:rsid w:val="00D76004"/>
    <w:rsid w:val="00D7600C"/>
    <w:rsid w:val="00D7603D"/>
    <w:rsid w:val="00D760D2"/>
    <w:rsid w:val="00D760D8"/>
    <w:rsid w:val="00D7610E"/>
    <w:rsid w:val="00D7616D"/>
    <w:rsid w:val="00D761B4"/>
    <w:rsid w:val="00D761CC"/>
    <w:rsid w:val="00D76225"/>
    <w:rsid w:val="00D76253"/>
    <w:rsid w:val="00D7628B"/>
    <w:rsid w:val="00D762D1"/>
    <w:rsid w:val="00D762DD"/>
    <w:rsid w:val="00D762F1"/>
    <w:rsid w:val="00D76301"/>
    <w:rsid w:val="00D76308"/>
    <w:rsid w:val="00D7630E"/>
    <w:rsid w:val="00D76354"/>
    <w:rsid w:val="00D76367"/>
    <w:rsid w:val="00D7639D"/>
    <w:rsid w:val="00D763F2"/>
    <w:rsid w:val="00D76456"/>
    <w:rsid w:val="00D764F9"/>
    <w:rsid w:val="00D765D1"/>
    <w:rsid w:val="00D7662A"/>
    <w:rsid w:val="00D76675"/>
    <w:rsid w:val="00D766AE"/>
    <w:rsid w:val="00D76753"/>
    <w:rsid w:val="00D76A35"/>
    <w:rsid w:val="00D76A8B"/>
    <w:rsid w:val="00D76AAE"/>
    <w:rsid w:val="00D76B8B"/>
    <w:rsid w:val="00D76BBA"/>
    <w:rsid w:val="00D76C5A"/>
    <w:rsid w:val="00D76CBC"/>
    <w:rsid w:val="00D76D12"/>
    <w:rsid w:val="00D76D41"/>
    <w:rsid w:val="00D76D59"/>
    <w:rsid w:val="00D76D77"/>
    <w:rsid w:val="00D76D9F"/>
    <w:rsid w:val="00D76DC9"/>
    <w:rsid w:val="00D76E24"/>
    <w:rsid w:val="00D76E33"/>
    <w:rsid w:val="00D76E42"/>
    <w:rsid w:val="00D76F28"/>
    <w:rsid w:val="00D76F3A"/>
    <w:rsid w:val="00D76F42"/>
    <w:rsid w:val="00D76F69"/>
    <w:rsid w:val="00D76FA7"/>
    <w:rsid w:val="00D76FA9"/>
    <w:rsid w:val="00D76FC2"/>
    <w:rsid w:val="00D7701B"/>
    <w:rsid w:val="00D77031"/>
    <w:rsid w:val="00D7705C"/>
    <w:rsid w:val="00D770BD"/>
    <w:rsid w:val="00D77161"/>
    <w:rsid w:val="00D77203"/>
    <w:rsid w:val="00D7720F"/>
    <w:rsid w:val="00D7728D"/>
    <w:rsid w:val="00D772A4"/>
    <w:rsid w:val="00D772C7"/>
    <w:rsid w:val="00D772C8"/>
    <w:rsid w:val="00D773C3"/>
    <w:rsid w:val="00D773CE"/>
    <w:rsid w:val="00D77466"/>
    <w:rsid w:val="00D7747E"/>
    <w:rsid w:val="00D7749E"/>
    <w:rsid w:val="00D774D9"/>
    <w:rsid w:val="00D775EB"/>
    <w:rsid w:val="00D77671"/>
    <w:rsid w:val="00D776B9"/>
    <w:rsid w:val="00D776E4"/>
    <w:rsid w:val="00D77702"/>
    <w:rsid w:val="00D77713"/>
    <w:rsid w:val="00D7771D"/>
    <w:rsid w:val="00D7788F"/>
    <w:rsid w:val="00D7795B"/>
    <w:rsid w:val="00D7797E"/>
    <w:rsid w:val="00D77994"/>
    <w:rsid w:val="00D77996"/>
    <w:rsid w:val="00D7799C"/>
    <w:rsid w:val="00D779B1"/>
    <w:rsid w:val="00D77AD0"/>
    <w:rsid w:val="00D77B29"/>
    <w:rsid w:val="00D77BE6"/>
    <w:rsid w:val="00D77BFC"/>
    <w:rsid w:val="00D77C31"/>
    <w:rsid w:val="00D77D0F"/>
    <w:rsid w:val="00D77D88"/>
    <w:rsid w:val="00D77DDC"/>
    <w:rsid w:val="00D77E0F"/>
    <w:rsid w:val="00D77E40"/>
    <w:rsid w:val="00D77E62"/>
    <w:rsid w:val="00D77E65"/>
    <w:rsid w:val="00D77E77"/>
    <w:rsid w:val="00D77ED8"/>
    <w:rsid w:val="00D77EEC"/>
    <w:rsid w:val="00D77F19"/>
    <w:rsid w:val="00D80022"/>
    <w:rsid w:val="00D8003A"/>
    <w:rsid w:val="00D80093"/>
    <w:rsid w:val="00D800A6"/>
    <w:rsid w:val="00D8018B"/>
    <w:rsid w:val="00D801BE"/>
    <w:rsid w:val="00D8029F"/>
    <w:rsid w:val="00D802CB"/>
    <w:rsid w:val="00D8034D"/>
    <w:rsid w:val="00D80374"/>
    <w:rsid w:val="00D80495"/>
    <w:rsid w:val="00D80512"/>
    <w:rsid w:val="00D80582"/>
    <w:rsid w:val="00D805C0"/>
    <w:rsid w:val="00D80669"/>
    <w:rsid w:val="00D8068D"/>
    <w:rsid w:val="00D80714"/>
    <w:rsid w:val="00D8071D"/>
    <w:rsid w:val="00D8078D"/>
    <w:rsid w:val="00D807C6"/>
    <w:rsid w:val="00D807CB"/>
    <w:rsid w:val="00D80931"/>
    <w:rsid w:val="00D809D5"/>
    <w:rsid w:val="00D809E6"/>
    <w:rsid w:val="00D80AF6"/>
    <w:rsid w:val="00D80B28"/>
    <w:rsid w:val="00D80BFD"/>
    <w:rsid w:val="00D80C0A"/>
    <w:rsid w:val="00D80C71"/>
    <w:rsid w:val="00D80C9E"/>
    <w:rsid w:val="00D80D95"/>
    <w:rsid w:val="00D80D96"/>
    <w:rsid w:val="00D80DB0"/>
    <w:rsid w:val="00D80E11"/>
    <w:rsid w:val="00D80E6A"/>
    <w:rsid w:val="00D80E7F"/>
    <w:rsid w:val="00D80F33"/>
    <w:rsid w:val="00D80F6F"/>
    <w:rsid w:val="00D81060"/>
    <w:rsid w:val="00D810E3"/>
    <w:rsid w:val="00D81229"/>
    <w:rsid w:val="00D8123B"/>
    <w:rsid w:val="00D812F4"/>
    <w:rsid w:val="00D813A0"/>
    <w:rsid w:val="00D81417"/>
    <w:rsid w:val="00D8143E"/>
    <w:rsid w:val="00D8147C"/>
    <w:rsid w:val="00D81484"/>
    <w:rsid w:val="00D8149F"/>
    <w:rsid w:val="00D814BA"/>
    <w:rsid w:val="00D814C4"/>
    <w:rsid w:val="00D814E1"/>
    <w:rsid w:val="00D8151D"/>
    <w:rsid w:val="00D81597"/>
    <w:rsid w:val="00D8166D"/>
    <w:rsid w:val="00D81709"/>
    <w:rsid w:val="00D8172B"/>
    <w:rsid w:val="00D81746"/>
    <w:rsid w:val="00D8174D"/>
    <w:rsid w:val="00D81766"/>
    <w:rsid w:val="00D81786"/>
    <w:rsid w:val="00D8179A"/>
    <w:rsid w:val="00D817A4"/>
    <w:rsid w:val="00D817EE"/>
    <w:rsid w:val="00D81838"/>
    <w:rsid w:val="00D81861"/>
    <w:rsid w:val="00D818A4"/>
    <w:rsid w:val="00D8194A"/>
    <w:rsid w:val="00D81950"/>
    <w:rsid w:val="00D81951"/>
    <w:rsid w:val="00D8195D"/>
    <w:rsid w:val="00D81A1A"/>
    <w:rsid w:val="00D81A22"/>
    <w:rsid w:val="00D81A27"/>
    <w:rsid w:val="00D81A8B"/>
    <w:rsid w:val="00D81A99"/>
    <w:rsid w:val="00D81AB3"/>
    <w:rsid w:val="00D81B25"/>
    <w:rsid w:val="00D81BCD"/>
    <w:rsid w:val="00D81BD4"/>
    <w:rsid w:val="00D81C07"/>
    <w:rsid w:val="00D81C6A"/>
    <w:rsid w:val="00D81C70"/>
    <w:rsid w:val="00D81CCD"/>
    <w:rsid w:val="00D81DC5"/>
    <w:rsid w:val="00D81DED"/>
    <w:rsid w:val="00D81DF9"/>
    <w:rsid w:val="00D81E83"/>
    <w:rsid w:val="00D81F4D"/>
    <w:rsid w:val="00D81F7A"/>
    <w:rsid w:val="00D82171"/>
    <w:rsid w:val="00D8222B"/>
    <w:rsid w:val="00D82305"/>
    <w:rsid w:val="00D8240F"/>
    <w:rsid w:val="00D824CE"/>
    <w:rsid w:val="00D8254B"/>
    <w:rsid w:val="00D825DB"/>
    <w:rsid w:val="00D82689"/>
    <w:rsid w:val="00D8269A"/>
    <w:rsid w:val="00D82732"/>
    <w:rsid w:val="00D82774"/>
    <w:rsid w:val="00D82791"/>
    <w:rsid w:val="00D827B8"/>
    <w:rsid w:val="00D8288D"/>
    <w:rsid w:val="00D82892"/>
    <w:rsid w:val="00D828DD"/>
    <w:rsid w:val="00D828E8"/>
    <w:rsid w:val="00D8292E"/>
    <w:rsid w:val="00D82A01"/>
    <w:rsid w:val="00D82A11"/>
    <w:rsid w:val="00D82C24"/>
    <w:rsid w:val="00D82C41"/>
    <w:rsid w:val="00D82C92"/>
    <w:rsid w:val="00D82D75"/>
    <w:rsid w:val="00D82DCA"/>
    <w:rsid w:val="00D82DD8"/>
    <w:rsid w:val="00D82DE2"/>
    <w:rsid w:val="00D82E29"/>
    <w:rsid w:val="00D82E5D"/>
    <w:rsid w:val="00D82E8E"/>
    <w:rsid w:val="00D82EA2"/>
    <w:rsid w:val="00D82EC4"/>
    <w:rsid w:val="00D82F93"/>
    <w:rsid w:val="00D83019"/>
    <w:rsid w:val="00D83096"/>
    <w:rsid w:val="00D830AC"/>
    <w:rsid w:val="00D83125"/>
    <w:rsid w:val="00D83175"/>
    <w:rsid w:val="00D831A5"/>
    <w:rsid w:val="00D831C5"/>
    <w:rsid w:val="00D831D2"/>
    <w:rsid w:val="00D831EC"/>
    <w:rsid w:val="00D8326D"/>
    <w:rsid w:val="00D83307"/>
    <w:rsid w:val="00D8332A"/>
    <w:rsid w:val="00D83345"/>
    <w:rsid w:val="00D8334F"/>
    <w:rsid w:val="00D83377"/>
    <w:rsid w:val="00D83391"/>
    <w:rsid w:val="00D8340E"/>
    <w:rsid w:val="00D83419"/>
    <w:rsid w:val="00D8348A"/>
    <w:rsid w:val="00D834A1"/>
    <w:rsid w:val="00D83603"/>
    <w:rsid w:val="00D83615"/>
    <w:rsid w:val="00D83671"/>
    <w:rsid w:val="00D836EC"/>
    <w:rsid w:val="00D8377C"/>
    <w:rsid w:val="00D837B4"/>
    <w:rsid w:val="00D83849"/>
    <w:rsid w:val="00D83851"/>
    <w:rsid w:val="00D8390A"/>
    <w:rsid w:val="00D83A0A"/>
    <w:rsid w:val="00D83A33"/>
    <w:rsid w:val="00D83A6A"/>
    <w:rsid w:val="00D83A96"/>
    <w:rsid w:val="00D83B39"/>
    <w:rsid w:val="00D83B73"/>
    <w:rsid w:val="00D83BBA"/>
    <w:rsid w:val="00D83BE6"/>
    <w:rsid w:val="00D83C53"/>
    <w:rsid w:val="00D83C85"/>
    <w:rsid w:val="00D83CE5"/>
    <w:rsid w:val="00D83D15"/>
    <w:rsid w:val="00D83DAD"/>
    <w:rsid w:val="00D83DE8"/>
    <w:rsid w:val="00D83DEC"/>
    <w:rsid w:val="00D83E89"/>
    <w:rsid w:val="00D83EA4"/>
    <w:rsid w:val="00D83EAD"/>
    <w:rsid w:val="00D83ED6"/>
    <w:rsid w:val="00D83FC1"/>
    <w:rsid w:val="00D83FD5"/>
    <w:rsid w:val="00D84023"/>
    <w:rsid w:val="00D84093"/>
    <w:rsid w:val="00D840E3"/>
    <w:rsid w:val="00D84161"/>
    <w:rsid w:val="00D84185"/>
    <w:rsid w:val="00D841E2"/>
    <w:rsid w:val="00D84200"/>
    <w:rsid w:val="00D8444B"/>
    <w:rsid w:val="00D8444F"/>
    <w:rsid w:val="00D84458"/>
    <w:rsid w:val="00D8447B"/>
    <w:rsid w:val="00D845DE"/>
    <w:rsid w:val="00D845E8"/>
    <w:rsid w:val="00D845EA"/>
    <w:rsid w:val="00D84610"/>
    <w:rsid w:val="00D8462A"/>
    <w:rsid w:val="00D846B7"/>
    <w:rsid w:val="00D846C8"/>
    <w:rsid w:val="00D846F8"/>
    <w:rsid w:val="00D84701"/>
    <w:rsid w:val="00D8474D"/>
    <w:rsid w:val="00D847E4"/>
    <w:rsid w:val="00D84956"/>
    <w:rsid w:val="00D849B5"/>
    <w:rsid w:val="00D849C8"/>
    <w:rsid w:val="00D84A5A"/>
    <w:rsid w:val="00D84A84"/>
    <w:rsid w:val="00D84AD4"/>
    <w:rsid w:val="00D84B35"/>
    <w:rsid w:val="00D84BA2"/>
    <w:rsid w:val="00D84BB0"/>
    <w:rsid w:val="00D84BF9"/>
    <w:rsid w:val="00D84C20"/>
    <w:rsid w:val="00D84C26"/>
    <w:rsid w:val="00D84C79"/>
    <w:rsid w:val="00D84CB9"/>
    <w:rsid w:val="00D84CFB"/>
    <w:rsid w:val="00D84D75"/>
    <w:rsid w:val="00D84D87"/>
    <w:rsid w:val="00D84DDC"/>
    <w:rsid w:val="00D84E1B"/>
    <w:rsid w:val="00D84E87"/>
    <w:rsid w:val="00D84F0C"/>
    <w:rsid w:val="00D84F1C"/>
    <w:rsid w:val="00D84F71"/>
    <w:rsid w:val="00D84FDB"/>
    <w:rsid w:val="00D84FEB"/>
    <w:rsid w:val="00D8502F"/>
    <w:rsid w:val="00D85036"/>
    <w:rsid w:val="00D85044"/>
    <w:rsid w:val="00D8506A"/>
    <w:rsid w:val="00D850D1"/>
    <w:rsid w:val="00D8512A"/>
    <w:rsid w:val="00D85139"/>
    <w:rsid w:val="00D85165"/>
    <w:rsid w:val="00D8521E"/>
    <w:rsid w:val="00D85251"/>
    <w:rsid w:val="00D852CD"/>
    <w:rsid w:val="00D852E9"/>
    <w:rsid w:val="00D8532C"/>
    <w:rsid w:val="00D85386"/>
    <w:rsid w:val="00D8539E"/>
    <w:rsid w:val="00D85404"/>
    <w:rsid w:val="00D85499"/>
    <w:rsid w:val="00D85502"/>
    <w:rsid w:val="00D85508"/>
    <w:rsid w:val="00D8557C"/>
    <w:rsid w:val="00D85592"/>
    <w:rsid w:val="00D855A6"/>
    <w:rsid w:val="00D855F8"/>
    <w:rsid w:val="00D8563B"/>
    <w:rsid w:val="00D8573A"/>
    <w:rsid w:val="00D857A9"/>
    <w:rsid w:val="00D8582B"/>
    <w:rsid w:val="00D8589B"/>
    <w:rsid w:val="00D858D3"/>
    <w:rsid w:val="00D85A64"/>
    <w:rsid w:val="00D85AA4"/>
    <w:rsid w:val="00D85B07"/>
    <w:rsid w:val="00D85B53"/>
    <w:rsid w:val="00D85B86"/>
    <w:rsid w:val="00D85D29"/>
    <w:rsid w:val="00D85E08"/>
    <w:rsid w:val="00D85E31"/>
    <w:rsid w:val="00D85EA6"/>
    <w:rsid w:val="00D85FA9"/>
    <w:rsid w:val="00D85FC5"/>
    <w:rsid w:val="00D85FDA"/>
    <w:rsid w:val="00D85FF3"/>
    <w:rsid w:val="00D86009"/>
    <w:rsid w:val="00D8605A"/>
    <w:rsid w:val="00D860CD"/>
    <w:rsid w:val="00D860DD"/>
    <w:rsid w:val="00D860EB"/>
    <w:rsid w:val="00D8619F"/>
    <w:rsid w:val="00D8623A"/>
    <w:rsid w:val="00D86290"/>
    <w:rsid w:val="00D862BA"/>
    <w:rsid w:val="00D863A9"/>
    <w:rsid w:val="00D863F5"/>
    <w:rsid w:val="00D864BD"/>
    <w:rsid w:val="00D864F8"/>
    <w:rsid w:val="00D864FA"/>
    <w:rsid w:val="00D86513"/>
    <w:rsid w:val="00D86555"/>
    <w:rsid w:val="00D86645"/>
    <w:rsid w:val="00D86673"/>
    <w:rsid w:val="00D866A8"/>
    <w:rsid w:val="00D866C1"/>
    <w:rsid w:val="00D86732"/>
    <w:rsid w:val="00D8675B"/>
    <w:rsid w:val="00D867A2"/>
    <w:rsid w:val="00D867F5"/>
    <w:rsid w:val="00D86835"/>
    <w:rsid w:val="00D868B7"/>
    <w:rsid w:val="00D86906"/>
    <w:rsid w:val="00D8690D"/>
    <w:rsid w:val="00D86911"/>
    <w:rsid w:val="00D86A37"/>
    <w:rsid w:val="00D86AE1"/>
    <w:rsid w:val="00D86B8B"/>
    <w:rsid w:val="00D86C1F"/>
    <w:rsid w:val="00D86C49"/>
    <w:rsid w:val="00D86C8A"/>
    <w:rsid w:val="00D86CD2"/>
    <w:rsid w:val="00D86D36"/>
    <w:rsid w:val="00D86D3C"/>
    <w:rsid w:val="00D86D64"/>
    <w:rsid w:val="00D86DF4"/>
    <w:rsid w:val="00D86E0F"/>
    <w:rsid w:val="00D86EFA"/>
    <w:rsid w:val="00D86F33"/>
    <w:rsid w:val="00D86FB2"/>
    <w:rsid w:val="00D87084"/>
    <w:rsid w:val="00D87165"/>
    <w:rsid w:val="00D87173"/>
    <w:rsid w:val="00D871E5"/>
    <w:rsid w:val="00D871EE"/>
    <w:rsid w:val="00D871F5"/>
    <w:rsid w:val="00D8720A"/>
    <w:rsid w:val="00D87218"/>
    <w:rsid w:val="00D87241"/>
    <w:rsid w:val="00D8725D"/>
    <w:rsid w:val="00D87263"/>
    <w:rsid w:val="00D872AB"/>
    <w:rsid w:val="00D872F3"/>
    <w:rsid w:val="00D87315"/>
    <w:rsid w:val="00D8736E"/>
    <w:rsid w:val="00D87404"/>
    <w:rsid w:val="00D874A2"/>
    <w:rsid w:val="00D874A9"/>
    <w:rsid w:val="00D874C4"/>
    <w:rsid w:val="00D87533"/>
    <w:rsid w:val="00D87535"/>
    <w:rsid w:val="00D87568"/>
    <w:rsid w:val="00D8767B"/>
    <w:rsid w:val="00D876F2"/>
    <w:rsid w:val="00D8772F"/>
    <w:rsid w:val="00D87748"/>
    <w:rsid w:val="00D87769"/>
    <w:rsid w:val="00D87795"/>
    <w:rsid w:val="00D877D8"/>
    <w:rsid w:val="00D8790A"/>
    <w:rsid w:val="00D87965"/>
    <w:rsid w:val="00D879A2"/>
    <w:rsid w:val="00D87A16"/>
    <w:rsid w:val="00D87A28"/>
    <w:rsid w:val="00D87A78"/>
    <w:rsid w:val="00D87B44"/>
    <w:rsid w:val="00D87BDD"/>
    <w:rsid w:val="00D87C43"/>
    <w:rsid w:val="00D87C6D"/>
    <w:rsid w:val="00D87CB1"/>
    <w:rsid w:val="00D87CD2"/>
    <w:rsid w:val="00D87D7B"/>
    <w:rsid w:val="00D87D91"/>
    <w:rsid w:val="00D87DA0"/>
    <w:rsid w:val="00D87DA9"/>
    <w:rsid w:val="00D87E7C"/>
    <w:rsid w:val="00D87EA5"/>
    <w:rsid w:val="00D87F20"/>
    <w:rsid w:val="00D87F32"/>
    <w:rsid w:val="00D87F3B"/>
    <w:rsid w:val="00D87F4E"/>
    <w:rsid w:val="00D87F65"/>
    <w:rsid w:val="00D90082"/>
    <w:rsid w:val="00D90085"/>
    <w:rsid w:val="00D900C2"/>
    <w:rsid w:val="00D900DF"/>
    <w:rsid w:val="00D90160"/>
    <w:rsid w:val="00D901E3"/>
    <w:rsid w:val="00D901EC"/>
    <w:rsid w:val="00D9020F"/>
    <w:rsid w:val="00D90274"/>
    <w:rsid w:val="00D90386"/>
    <w:rsid w:val="00D90443"/>
    <w:rsid w:val="00D9048E"/>
    <w:rsid w:val="00D90599"/>
    <w:rsid w:val="00D90660"/>
    <w:rsid w:val="00D906CB"/>
    <w:rsid w:val="00D906D2"/>
    <w:rsid w:val="00D9078B"/>
    <w:rsid w:val="00D907B4"/>
    <w:rsid w:val="00D909CE"/>
    <w:rsid w:val="00D909E4"/>
    <w:rsid w:val="00D90A5E"/>
    <w:rsid w:val="00D90B66"/>
    <w:rsid w:val="00D90B70"/>
    <w:rsid w:val="00D90BEA"/>
    <w:rsid w:val="00D90C17"/>
    <w:rsid w:val="00D90C4A"/>
    <w:rsid w:val="00D90C5D"/>
    <w:rsid w:val="00D90C7D"/>
    <w:rsid w:val="00D90C8C"/>
    <w:rsid w:val="00D90E7D"/>
    <w:rsid w:val="00D90E7E"/>
    <w:rsid w:val="00D90F15"/>
    <w:rsid w:val="00D90F4C"/>
    <w:rsid w:val="00D90FEB"/>
    <w:rsid w:val="00D9100F"/>
    <w:rsid w:val="00D91020"/>
    <w:rsid w:val="00D9108C"/>
    <w:rsid w:val="00D91098"/>
    <w:rsid w:val="00D910C9"/>
    <w:rsid w:val="00D910EE"/>
    <w:rsid w:val="00D91100"/>
    <w:rsid w:val="00D91136"/>
    <w:rsid w:val="00D91166"/>
    <w:rsid w:val="00D9117D"/>
    <w:rsid w:val="00D911ED"/>
    <w:rsid w:val="00D91200"/>
    <w:rsid w:val="00D91277"/>
    <w:rsid w:val="00D912C7"/>
    <w:rsid w:val="00D912DB"/>
    <w:rsid w:val="00D91390"/>
    <w:rsid w:val="00D9143D"/>
    <w:rsid w:val="00D91483"/>
    <w:rsid w:val="00D91559"/>
    <w:rsid w:val="00D9155E"/>
    <w:rsid w:val="00D91665"/>
    <w:rsid w:val="00D9168B"/>
    <w:rsid w:val="00D91695"/>
    <w:rsid w:val="00D916CE"/>
    <w:rsid w:val="00D91762"/>
    <w:rsid w:val="00D9178B"/>
    <w:rsid w:val="00D9182F"/>
    <w:rsid w:val="00D9185F"/>
    <w:rsid w:val="00D918BE"/>
    <w:rsid w:val="00D918CF"/>
    <w:rsid w:val="00D91998"/>
    <w:rsid w:val="00D9199F"/>
    <w:rsid w:val="00D919AD"/>
    <w:rsid w:val="00D919BB"/>
    <w:rsid w:val="00D919FC"/>
    <w:rsid w:val="00D91AF1"/>
    <w:rsid w:val="00D91AF8"/>
    <w:rsid w:val="00D91B40"/>
    <w:rsid w:val="00D91C85"/>
    <w:rsid w:val="00D91CC2"/>
    <w:rsid w:val="00D91CD3"/>
    <w:rsid w:val="00D91D47"/>
    <w:rsid w:val="00D91D74"/>
    <w:rsid w:val="00D91DC9"/>
    <w:rsid w:val="00D91E49"/>
    <w:rsid w:val="00D91EBA"/>
    <w:rsid w:val="00D91ED2"/>
    <w:rsid w:val="00D91F1A"/>
    <w:rsid w:val="00D91FD1"/>
    <w:rsid w:val="00D92031"/>
    <w:rsid w:val="00D92063"/>
    <w:rsid w:val="00D920C1"/>
    <w:rsid w:val="00D920D7"/>
    <w:rsid w:val="00D9211F"/>
    <w:rsid w:val="00D92175"/>
    <w:rsid w:val="00D921F7"/>
    <w:rsid w:val="00D92200"/>
    <w:rsid w:val="00D92209"/>
    <w:rsid w:val="00D92234"/>
    <w:rsid w:val="00D92245"/>
    <w:rsid w:val="00D9230F"/>
    <w:rsid w:val="00D92311"/>
    <w:rsid w:val="00D92424"/>
    <w:rsid w:val="00D92456"/>
    <w:rsid w:val="00D9245C"/>
    <w:rsid w:val="00D924C3"/>
    <w:rsid w:val="00D924EE"/>
    <w:rsid w:val="00D92537"/>
    <w:rsid w:val="00D9254E"/>
    <w:rsid w:val="00D9255E"/>
    <w:rsid w:val="00D92673"/>
    <w:rsid w:val="00D9267A"/>
    <w:rsid w:val="00D9267F"/>
    <w:rsid w:val="00D92692"/>
    <w:rsid w:val="00D926BB"/>
    <w:rsid w:val="00D926D9"/>
    <w:rsid w:val="00D92731"/>
    <w:rsid w:val="00D927CE"/>
    <w:rsid w:val="00D9282E"/>
    <w:rsid w:val="00D92862"/>
    <w:rsid w:val="00D9288E"/>
    <w:rsid w:val="00D9291A"/>
    <w:rsid w:val="00D9293E"/>
    <w:rsid w:val="00D929C7"/>
    <w:rsid w:val="00D92A04"/>
    <w:rsid w:val="00D92A5D"/>
    <w:rsid w:val="00D92A6E"/>
    <w:rsid w:val="00D92BE9"/>
    <w:rsid w:val="00D92C66"/>
    <w:rsid w:val="00D92C6F"/>
    <w:rsid w:val="00D92D41"/>
    <w:rsid w:val="00D92DA4"/>
    <w:rsid w:val="00D92E02"/>
    <w:rsid w:val="00D92F66"/>
    <w:rsid w:val="00D92F95"/>
    <w:rsid w:val="00D93007"/>
    <w:rsid w:val="00D930C6"/>
    <w:rsid w:val="00D93111"/>
    <w:rsid w:val="00D93114"/>
    <w:rsid w:val="00D9312D"/>
    <w:rsid w:val="00D93166"/>
    <w:rsid w:val="00D931B5"/>
    <w:rsid w:val="00D931D9"/>
    <w:rsid w:val="00D931F2"/>
    <w:rsid w:val="00D93212"/>
    <w:rsid w:val="00D93256"/>
    <w:rsid w:val="00D93468"/>
    <w:rsid w:val="00D934E7"/>
    <w:rsid w:val="00D93588"/>
    <w:rsid w:val="00D936B4"/>
    <w:rsid w:val="00D93747"/>
    <w:rsid w:val="00D93766"/>
    <w:rsid w:val="00D93772"/>
    <w:rsid w:val="00D93845"/>
    <w:rsid w:val="00D9386D"/>
    <w:rsid w:val="00D9387B"/>
    <w:rsid w:val="00D938C2"/>
    <w:rsid w:val="00D938E3"/>
    <w:rsid w:val="00D938F9"/>
    <w:rsid w:val="00D9392C"/>
    <w:rsid w:val="00D9398E"/>
    <w:rsid w:val="00D939CB"/>
    <w:rsid w:val="00D939D7"/>
    <w:rsid w:val="00D93A32"/>
    <w:rsid w:val="00D93B23"/>
    <w:rsid w:val="00D93B3D"/>
    <w:rsid w:val="00D93B74"/>
    <w:rsid w:val="00D93B80"/>
    <w:rsid w:val="00D93B9D"/>
    <w:rsid w:val="00D93BA8"/>
    <w:rsid w:val="00D93C75"/>
    <w:rsid w:val="00D93D43"/>
    <w:rsid w:val="00D93D70"/>
    <w:rsid w:val="00D93DA4"/>
    <w:rsid w:val="00D93DBE"/>
    <w:rsid w:val="00D93DC9"/>
    <w:rsid w:val="00D93E01"/>
    <w:rsid w:val="00D93E70"/>
    <w:rsid w:val="00D93EA0"/>
    <w:rsid w:val="00D93ED8"/>
    <w:rsid w:val="00D93F02"/>
    <w:rsid w:val="00D93F66"/>
    <w:rsid w:val="00D9403B"/>
    <w:rsid w:val="00D94058"/>
    <w:rsid w:val="00D94253"/>
    <w:rsid w:val="00D94283"/>
    <w:rsid w:val="00D942DD"/>
    <w:rsid w:val="00D94354"/>
    <w:rsid w:val="00D94393"/>
    <w:rsid w:val="00D943E1"/>
    <w:rsid w:val="00D944B4"/>
    <w:rsid w:val="00D9450F"/>
    <w:rsid w:val="00D9451C"/>
    <w:rsid w:val="00D94520"/>
    <w:rsid w:val="00D94564"/>
    <w:rsid w:val="00D945DB"/>
    <w:rsid w:val="00D945F3"/>
    <w:rsid w:val="00D945F9"/>
    <w:rsid w:val="00D9461F"/>
    <w:rsid w:val="00D94656"/>
    <w:rsid w:val="00D946A0"/>
    <w:rsid w:val="00D946CF"/>
    <w:rsid w:val="00D946EE"/>
    <w:rsid w:val="00D9475D"/>
    <w:rsid w:val="00D94764"/>
    <w:rsid w:val="00D947D0"/>
    <w:rsid w:val="00D94843"/>
    <w:rsid w:val="00D948AA"/>
    <w:rsid w:val="00D948AD"/>
    <w:rsid w:val="00D9499A"/>
    <w:rsid w:val="00D949E5"/>
    <w:rsid w:val="00D94A4C"/>
    <w:rsid w:val="00D94B32"/>
    <w:rsid w:val="00D94B51"/>
    <w:rsid w:val="00D94B6B"/>
    <w:rsid w:val="00D94B74"/>
    <w:rsid w:val="00D94BE7"/>
    <w:rsid w:val="00D94BF6"/>
    <w:rsid w:val="00D94C9D"/>
    <w:rsid w:val="00D94CD6"/>
    <w:rsid w:val="00D94D48"/>
    <w:rsid w:val="00D94D64"/>
    <w:rsid w:val="00D94D78"/>
    <w:rsid w:val="00D94D88"/>
    <w:rsid w:val="00D94E04"/>
    <w:rsid w:val="00D94E1C"/>
    <w:rsid w:val="00D94E30"/>
    <w:rsid w:val="00D94E35"/>
    <w:rsid w:val="00D94ED6"/>
    <w:rsid w:val="00D94F27"/>
    <w:rsid w:val="00D94F57"/>
    <w:rsid w:val="00D94FA2"/>
    <w:rsid w:val="00D94FEF"/>
    <w:rsid w:val="00D95028"/>
    <w:rsid w:val="00D95072"/>
    <w:rsid w:val="00D95105"/>
    <w:rsid w:val="00D95116"/>
    <w:rsid w:val="00D95172"/>
    <w:rsid w:val="00D95245"/>
    <w:rsid w:val="00D95286"/>
    <w:rsid w:val="00D95509"/>
    <w:rsid w:val="00D95526"/>
    <w:rsid w:val="00D95574"/>
    <w:rsid w:val="00D9561B"/>
    <w:rsid w:val="00D95789"/>
    <w:rsid w:val="00D957B7"/>
    <w:rsid w:val="00D957C5"/>
    <w:rsid w:val="00D95803"/>
    <w:rsid w:val="00D95833"/>
    <w:rsid w:val="00D958F7"/>
    <w:rsid w:val="00D95919"/>
    <w:rsid w:val="00D95946"/>
    <w:rsid w:val="00D95968"/>
    <w:rsid w:val="00D95970"/>
    <w:rsid w:val="00D959CE"/>
    <w:rsid w:val="00D95A02"/>
    <w:rsid w:val="00D95A47"/>
    <w:rsid w:val="00D95B6D"/>
    <w:rsid w:val="00D95C07"/>
    <w:rsid w:val="00D95C0C"/>
    <w:rsid w:val="00D95CE1"/>
    <w:rsid w:val="00D95D8D"/>
    <w:rsid w:val="00D95DB2"/>
    <w:rsid w:val="00D95DF4"/>
    <w:rsid w:val="00D95E14"/>
    <w:rsid w:val="00D95E4B"/>
    <w:rsid w:val="00D95E8A"/>
    <w:rsid w:val="00D95EAA"/>
    <w:rsid w:val="00D95EB9"/>
    <w:rsid w:val="00D95F35"/>
    <w:rsid w:val="00D95F3B"/>
    <w:rsid w:val="00D95F46"/>
    <w:rsid w:val="00D96001"/>
    <w:rsid w:val="00D96063"/>
    <w:rsid w:val="00D960AC"/>
    <w:rsid w:val="00D960C6"/>
    <w:rsid w:val="00D960F6"/>
    <w:rsid w:val="00D96138"/>
    <w:rsid w:val="00D96185"/>
    <w:rsid w:val="00D961B4"/>
    <w:rsid w:val="00D961C6"/>
    <w:rsid w:val="00D961F8"/>
    <w:rsid w:val="00D96207"/>
    <w:rsid w:val="00D96265"/>
    <w:rsid w:val="00D962FA"/>
    <w:rsid w:val="00D96305"/>
    <w:rsid w:val="00D96315"/>
    <w:rsid w:val="00D9634C"/>
    <w:rsid w:val="00D96387"/>
    <w:rsid w:val="00D9639E"/>
    <w:rsid w:val="00D963E0"/>
    <w:rsid w:val="00D964C7"/>
    <w:rsid w:val="00D964D4"/>
    <w:rsid w:val="00D964E7"/>
    <w:rsid w:val="00D9652B"/>
    <w:rsid w:val="00D965AD"/>
    <w:rsid w:val="00D965D2"/>
    <w:rsid w:val="00D966AD"/>
    <w:rsid w:val="00D966C0"/>
    <w:rsid w:val="00D967A2"/>
    <w:rsid w:val="00D967AD"/>
    <w:rsid w:val="00D96814"/>
    <w:rsid w:val="00D96875"/>
    <w:rsid w:val="00D968B4"/>
    <w:rsid w:val="00D9694E"/>
    <w:rsid w:val="00D9698C"/>
    <w:rsid w:val="00D9699E"/>
    <w:rsid w:val="00D969AA"/>
    <w:rsid w:val="00D969EA"/>
    <w:rsid w:val="00D96A53"/>
    <w:rsid w:val="00D96ABB"/>
    <w:rsid w:val="00D96AC7"/>
    <w:rsid w:val="00D96B0E"/>
    <w:rsid w:val="00D96B31"/>
    <w:rsid w:val="00D96B79"/>
    <w:rsid w:val="00D96B89"/>
    <w:rsid w:val="00D96B98"/>
    <w:rsid w:val="00D96BD1"/>
    <w:rsid w:val="00D96CE0"/>
    <w:rsid w:val="00D96CF9"/>
    <w:rsid w:val="00D96D34"/>
    <w:rsid w:val="00D96D83"/>
    <w:rsid w:val="00D96E4B"/>
    <w:rsid w:val="00D96E76"/>
    <w:rsid w:val="00D96E93"/>
    <w:rsid w:val="00D96EC8"/>
    <w:rsid w:val="00D96F36"/>
    <w:rsid w:val="00D96F84"/>
    <w:rsid w:val="00D96FA4"/>
    <w:rsid w:val="00D96FB0"/>
    <w:rsid w:val="00D96FF8"/>
    <w:rsid w:val="00D97086"/>
    <w:rsid w:val="00D970B6"/>
    <w:rsid w:val="00D97126"/>
    <w:rsid w:val="00D971E0"/>
    <w:rsid w:val="00D97200"/>
    <w:rsid w:val="00D97235"/>
    <w:rsid w:val="00D9726F"/>
    <w:rsid w:val="00D972F7"/>
    <w:rsid w:val="00D97369"/>
    <w:rsid w:val="00D974B4"/>
    <w:rsid w:val="00D974FA"/>
    <w:rsid w:val="00D97515"/>
    <w:rsid w:val="00D975DE"/>
    <w:rsid w:val="00D97624"/>
    <w:rsid w:val="00D9764B"/>
    <w:rsid w:val="00D976B5"/>
    <w:rsid w:val="00D976BB"/>
    <w:rsid w:val="00D9775C"/>
    <w:rsid w:val="00D97890"/>
    <w:rsid w:val="00D978B0"/>
    <w:rsid w:val="00D978F0"/>
    <w:rsid w:val="00D97966"/>
    <w:rsid w:val="00D979A9"/>
    <w:rsid w:val="00D97A85"/>
    <w:rsid w:val="00D97B69"/>
    <w:rsid w:val="00D97BE8"/>
    <w:rsid w:val="00D97BFB"/>
    <w:rsid w:val="00D97C6E"/>
    <w:rsid w:val="00D97C70"/>
    <w:rsid w:val="00D97D19"/>
    <w:rsid w:val="00D97DE8"/>
    <w:rsid w:val="00D97E5D"/>
    <w:rsid w:val="00D97EC6"/>
    <w:rsid w:val="00D97F07"/>
    <w:rsid w:val="00D97F37"/>
    <w:rsid w:val="00D97F56"/>
    <w:rsid w:val="00DA0036"/>
    <w:rsid w:val="00DA0040"/>
    <w:rsid w:val="00DA004E"/>
    <w:rsid w:val="00DA0063"/>
    <w:rsid w:val="00DA0087"/>
    <w:rsid w:val="00DA00CB"/>
    <w:rsid w:val="00DA01AD"/>
    <w:rsid w:val="00DA01CF"/>
    <w:rsid w:val="00DA01F4"/>
    <w:rsid w:val="00DA020B"/>
    <w:rsid w:val="00DA022B"/>
    <w:rsid w:val="00DA0248"/>
    <w:rsid w:val="00DA025F"/>
    <w:rsid w:val="00DA0276"/>
    <w:rsid w:val="00DA030C"/>
    <w:rsid w:val="00DA0321"/>
    <w:rsid w:val="00DA0334"/>
    <w:rsid w:val="00DA03A3"/>
    <w:rsid w:val="00DA04BD"/>
    <w:rsid w:val="00DA056D"/>
    <w:rsid w:val="00DA063B"/>
    <w:rsid w:val="00DA06B5"/>
    <w:rsid w:val="00DA070A"/>
    <w:rsid w:val="00DA072D"/>
    <w:rsid w:val="00DA074A"/>
    <w:rsid w:val="00DA0799"/>
    <w:rsid w:val="00DA0828"/>
    <w:rsid w:val="00DA0887"/>
    <w:rsid w:val="00DA08D8"/>
    <w:rsid w:val="00DA0900"/>
    <w:rsid w:val="00DA096A"/>
    <w:rsid w:val="00DA0971"/>
    <w:rsid w:val="00DA09C0"/>
    <w:rsid w:val="00DA0A30"/>
    <w:rsid w:val="00DA0A5D"/>
    <w:rsid w:val="00DA0AE3"/>
    <w:rsid w:val="00DA0B0C"/>
    <w:rsid w:val="00DA0C0B"/>
    <w:rsid w:val="00DA0D25"/>
    <w:rsid w:val="00DA0DE9"/>
    <w:rsid w:val="00DA0E0D"/>
    <w:rsid w:val="00DA0E12"/>
    <w:rsid w:val="00DA0F0A"/>
    <w:rsid w:val="00DA0F35"/>
    <w:rsid w:val="00DA0F6D"/>
    <w:rsid w:val="00DA0FBD"/>
    <w:rsid w:val="00DA0FBE"/>
    <w:rsid w:val="00DA10A7"/>
    <w:rsid w:val="00DA1210"/>
    <w:rsid w:val="00DA1214"/>
    <w:rsid w:val="00DA1265"/>
    <w:rsid w:val="00DA128C"/>
    <w:rsid w:val="00DA12A9"/>
    <w:rsid w:val="00DA131B"/>
    <w:rsid w:val="00DA1405"/>
    <w:rsid w:val="00DA1406"/>
    <w:rsid w:val="00DA141C"/>
    <w:rsid w:val="00DA1443"/>
    <w:rsid w:val="00DA1465"/>
    <w:rsid w:val="00DA14C5"/>
    <w:rsid w:val="00DA1547"/>
    <w:rsid w:val="00DA1568"/>
    <w:rsid w:val="00DA156C"/>
    <w:rsid w:val="00DA1572"/>
    <w:rsid w:val="00DA15A2"/>
    <w:rsid w:val="00DA15EE"/>
    <w:rsid w:val="00DA1649"/>
    <w:rsid w:val="00DA1699"/>
    <w:rsid w:val="00DA1712"/>
    <w:rsid w:val="00DA1721"/>
    <w:rsid w:val="00DA175F"/>
    <w:rsid w:val="00DA184C"/>
    <w:rsid w:val="00DA186F"/>
    <w:rsid w:val="00DA1880"/>
    <w:rsid w:val="00DA1884"/>
    <w:rsid w:val="00DA18AD"/>
    <w:rsid w:val="00DA19C3"/>
    <w:rsid w:val="00DA19C6"/>
    <w:rsid w:val="00DA1A77"/>
    <w:rsid w:val="00DA1AB6"/>
    <w:rsid w:val="00DA1B28"/>
    <w:rsid w:val="00DA1B5F"/>
    <w:rsid w:val="00DA1C21"/>
    <w:rsid w:val="00DA1C67"/>
    <w:rsid w:val="00DA1C80"/>
    <w:rsid w:val="00DA1CBE"/>
    <w:rsid w:val="00DA1CE2"/>
    <w:rsid w:val="00DA1D54"/>
    <w:rsid w:val="00DA1D6D"/>
    <w:rsid w:val="00DA1E3F"/>
    <w:rsid w:val="00DA1F16"/>
    <w:rsid w:val="00DA1F7B"/>
    <w:rsid w:val="00DA1F9E"/>
    <w:rsid w:val="00DA1FCC"/>
    <w:rsid w:val="00DA20A6"/>
    <w:rsid w:val="00DA2109"/>
    <w:rsid w:val="00DA213E"/>
    <w:rsid w:val="00DA21BC"/>
    <w:rsid w:val="00DA21BE"/>
    <w:rsid w:val="00DA21FB"/>
    <w:rsid w:val="00DA2226"/>
    <w:rsid w:val="00DA223F"/>
    <w:rsid w:val="00DA2330"/>
    <w:rsid w:val="00DA237E"/>
    <w:rsid w:val="00DA239B"/>
    <w:rsid w:val="00DA23AA"/>
    <w:rsid w:val="00DA242A"/>
    <w:rsid w:val="00DA2441"/>
    <w:rsid w:val="00DA2472"/>
    <w:rsid w:val="00DA2492"/>
    <w:rsid w:val="00DA24B6"/>
    <w:rsid w:val="00DA24E0"/>
    <w:rsid w:val="00DA2526"/>
    <w:rsid w:val="00DA259A"/>
    <w:rsid w:val="00DA25D7"/>
    <w:rsid w:val="00DA2688"/>
    <w:rsid w:val="00DA2696"/>
    <w:rsid w:val="00DA26F1"/>
    <w:rsid w:val="00DA26F6"/>
    <w:rsid w:val="00DA2729"/>
    <w:rsid w:val="00DA27C3"/>
    <w:rsid w:val="00DA27C8"/>
    <w:rsid w:val="00DA2817"/>
    <w:rsid w:val="00DA2836"/>
    <w:rsid w:val="00DA2872"/>
    <w:rsid w:val="00DA292E"/>
    <w:rsid w:val="00DA29B3"/>
    <w:rsid w:val="00DA29B8"/>
    <w:rsid w:val="00DA2A0F"/>
    <w:rsid w:val="00DA2AD3"/>
    <w:rsid w:val="00DA2C7E"/>
    <w:rsid w:val="00DA2CA8"/>
    <w:rsid w:val="00DA2CAE"/>
    <w:rsid w:val="00DA2CBA"/>
    <w:rsid w:val="00DA2CD7"/>
    <w:rsid w:val="00DA2CFB"/>
    <w:rsid w:val="00DA2D87"/>
    <w:rsid w:val="00DA2D8C"/>
    <w:rsid w:val="00DA2DAD"/>
    <w:rsid w:val="00DA2E0C"/>
    <w:rsid w:val="00DA2EEF"/>
    <w:rsid w:val="00DA2F43"/>
    <w:rsid w:val="00DA2F7E"/>
    <w:rsid w:val="00DA3028"/>
    <w:rsid w:val="00DA307A"/>
    <w:rsid w:val="00DA30C6"/>
    <w:rsid w:val="00DA3129"/>
    <w:rsid w:val="00DA3139"/>
    <w:rsid w:val="00DA317B"/>
    <w:rsid w:val="00DA31B7"/>
    <w:rsid w:val="00DA31D0"/>
    <w:rsid w:val="00DA324D"/>
    <w:rsid w:val="00DA3268"/>
    <w:rsid w:val="00DA33C1"/>
    <w:rsid w:val="00DA33CE"/>
    <w:rsid w:val="00DA33F6"/>
    <w:rsid w:val="00DA3436"/>
    <w:rsid w:val="00DA343C"/>
    <w:rsid w:val="00DA3462"/>
    <w:rsid w:val="00DA3490"/>
    <w:rsid w:val="00DA34E5"/>
    <w:rsid w:val="00DA3525"/>
    <w:rsid w:val="00DA3571"/>
    <w:rsid w:val="00DA3653"/>
    <w:rsid w:val="00DA36C2"/>
    <w:rsid w:val="00DA371C"/>
    <w:rsid w:val="00DA376D"/>
    <w:rsid w:val="00DA377B"/>
    <w:rsid w:val="00DA3790"/>
    <w:rsid w:val="00DA37BD"/>
    <w:rsid w:val="00DA384C"/>
    <w:rsid w:val="00DA38A0"/>
    <w:rsid w:val="00DA38EB"/>
    <w:rsid w:val="00DA39AC"/>
    <w:rsid w:val="00DA39EC"/>
    <w:rsid w:val="00DA3A34"/>
    <w:rsid w:val="00DA3AF7"/>
    <w:rsid w:val="00DA3B3C"/>
    <w:rsid w:val="00DA3C1F"/>
    <w:rsid w:val="00DA3C60"/>
    <w:rsid w:val="00DA3C76"/>
    <w:rsid w:val="00DA3D12"/>
    <w:rsid w:val="00DA3DF1"/>
    <w:rsid w:val="00DA3E10"/>
    <w:rsid w:val="00DA3E6A"/>
    <w:rsid w:val="00DA3EEB"/>
    <w:rsid w:val="00DA4044"/>
    <w:rsid w:val="00DA405F"/>
    <w:rsid w:val="00DA4069"/>
    <w:rsid w:val="00DA40EE"/>
    <w:rsid w:val="00DA4153"/>
    <w:rsid w:val="00DA4276"/>
    <w:rsid w:val="00DA42C0"/>
    <w:rsid w:val="00DA4303"/>
    <w:rsid w:val="00DA4390"/>
    <w:rsid w:val="00DA43B9"/>
    <w:rsid w:val="00DA4414"/>
    <w:rsid w:val="00DA4419"/>
    <w:rsid w:val="00DA443D"/>
    <w:rsid w:val="00DA4468"/>
    <w:rsid w:val="00DA44E4"/>
    <w:rsid w:val="00DA44F2"/>
    <w:rsid w:val="00DA44FB"/>
    <w:rsid w:val="00DA45B3"/>
    <w:rsid w:val="00DA45D4"/>
    <w:rsid w:val="00DA45E0"/>
    <w:rsid w:val="00DA45EC"/>
    <w:rsid w:val="00DA4600"/>
    <w:rsid w:val="00DA464A"/>
    <w:rsid w:val="00DA482A"/>
    <w:rsid w:val="00DA4850"/>
    <w:rsid w:val="00DA4909"/>
    <w:rsid w:val="00DA490B"/>
    <w:rsid w:val="00DA495E"/>
    <w:rsid w:val="00DA4964"/>
    <w:rsid w:val="00DA4974"/>
    <w:rsid w:val="00DA49AC"/>
    <w:rsid w:val="00DA49FB"/>
    <w:rsid w:val="00DA4AA4"/>
    <w:rsid w:val="00DA4AB3"/>
    <w:rsid w:val="00DA4AE6"/>
    <w:rsid w:val="00DA4B71"/>
    <w:rsid w:val="00DA4C5D"/>
    <w:rsid w:val="00DA4C75"/>
    <w:rsid w:val="00DA4CFC"/>
    <w:rsid w:val="00DA4D71"/>
    <w:rsid w:val="00DA4DEF"/>
    <w:rsid w:val="00DA4DF2"/>
    <w:rsid w:val="00DA4E93"/>
    <w:rsid w:val="00DA4E9D"/>
    <w:rsid w:val="00DA4F63"/>
    <w:rsid w:val="00DA4FC7"/>
    <w:rsid w:val="00DA5081"/>
    <w:rsid w:val="00DA50C2"/>
    <w:rsid w:val="00DA511C"/>
    <w:rsid w:val="00DA511D"/>
    <w:rsid w:val="00DA517A"/>
    <w:rsid w:val="00DA51D4"/>
    <w:rsid w:val="00DA5205"/>
    <w:rsid w:val="00DA5232"/>
    <w:rsid w:val="00DA528E"/>
    <w:rsid w:val="00DA52AC"/>
    <w:rsid w:val="00DA52E6"/>
    <w:rsid w:val="00DA5390"/>
    <w:rsid w:val="00DA53A2"/>
    <w:rsid w:val="00DA550B"/>
    <w:rsid w:val="00DA5544"/>
    <w:rsid w:val="00DA5576"/>
    <w:rsid w:val="00DA559B"/>
    <w:rsid w:val="00DA561E"/>
    <w:rsid w:val="00DA56A5"/>
    <w:rsid w:val="00DA56C2"/>
    <w:rsid w:val="00DA56D9"/>
    <w:rsid w:val="00DA56F2"/>
    <w:rsid w:val="00DA56FC"/>
    <w:rsid w:val="00DA5735"/>
    <w:rsid w:val="00DA5784"/>
    <w:rsid w:val="00DA5860"/>
    <w:rsid w:val="00DA58FD"/>
    <w:rsid w:val="00DA591E"/>
    <w:rsid w:val="00DA5974"/>
    <w:rsid w:val="00DA59C0"/>
    <w:rsid w:val="00DA5ACB"/>
    <w:rsid w:val="00DA5B03"/>
    <w:rsid w:val="00DA5B1E"/>
    <w:rsid w:val="00DA5B30"/>
    <w:rsid w:val="00DA5B31"/>
    <w:rsid w:val="00DA5BA1"/>
    <w:rsid w:val="00DA5BB7"/>
    <w:rsid w:val="00DA5BDF"/>
    <w:rsid w:val="00DA5C70"/>
    <w:rsid w:val="00DA5D7E"/>
    <w:rsid w:val="00DA5D88"/>
    <w:rsid w:val="00DA5DE6"/>
    <w:rsid w:val="00DA5F7F"/>
    <w:rsid w:val="00DA5F9A"/>
    <w:rsid w:val="00DA6066"/>
    <w:rsid w:val="00DA6091"/>
    <w:rsid w:val="00DA60BE"/>
    <w:rsid w:val="00DA61CA"/>
    <w:rsid w:val="00DA61EA"/>
    <w:rsid w:val="00DA6242"/>
    <w:rsid w:val="00DA628A"/>
    <w:rsid w:val="00DA6345"/>
    <w:rsid w:val="00DA636B"/>
    <w:rsid w:val="00DA638F"/>
    <w:rsid w:val="00DA63EE"/>
    <w:rsid w:val="00DA6486"/>
    <w:rsid w:val="00DA64B2"/>
    <w:rsid w:val="00DA64DF"/>
    <w:rsid w:val="00DA6541"/>
    <w:rsid w:val="00DA6558"/>
    <w:rsid w:val="00DA656E"/>
    <w:rsid w:val="00DA65C8"/>
    <w:rsid w:val="00DA65DE"/>
    <w:rsid w:val="00DA6695"/>
    <w:rsid w:val="00DA6706"/>
    <w:rsid w:val="00DA671B"/>
    <w:rsid w:val="00DA673A"/>
    <w:rsid w:val="00DA674A"/>
    <w:rsid w:val="00DA6753"/>
    <w:rsid w:val="00DA67AB"/>
    <w:rsid w:val="00DA67FC"/>
    <w:rsid w:val="00DA68F5"/>
    <w:rsid w:val="00DA6958"/>
    <w:rsid w:val="00DA6A1C"/>
    <w:rsid w:val="00DA6AD7"/>
    <w:rsid w:val="00DA6B3E"/>
    <w:rsid w:val="00DA6B3F"/>
    <w:rsid w:val="00DA6C01"/>
    <w:rsid w:val="00DA6C33"/>
    <w:rsid w:val="00DA6CD3"/>
    <w:rsid w:val="00DA6CEF"/>
    <w:rsid w:val="00DA6D6D"/>
    <w:rsid w:val="00DA6DA6"/>
    <w:rsid w:val="00DA6DCD"/>
    <w:rsid w:val="00DA6E51"/>
    <w:rsid w:val="00DA6ED2"/>
    <w:rsid w:val="00DA6F8F"/>
    <w:rsid w:val="00DA6F94"/>
    <w:rsid w:val="00DA7052"/>
    <w:rsid w:val="00DA7073"/>
    <w:rsid w:val="00DA7091"/>
    <w:rsid w:val="00DA70D3"/>
    <w:rsid w:val="00DA7110"/>
    <w:rsid w:val="00DA7113"/>
    <w:rsid w:val="00DA7115"/>
    <w:rsid w:val="00DA716B"/>
    <w:rsid w:val="00DA71C2"/>
    <w:rsid w:val="00DA7217"/>
    <w:rsid w:val="00DA728F"/>
    <w:rsid w:val="00DA72CB"/>
    <w:rsid w:val="00DA72EF"/>
    <w:rsid w:val="00DA735A"/>
    <w:rsid w:val="00DA73A8"/>
    <w:rsid w:val="00DA73DF"/>
    <w:rsid w:val="00DA74B4"/>
    <w:rsid w:val="00DA7564"/>
    <w:rsid w:val="00DA75C9"/>
    <w:rsid w:val="00DA75D8"/>
    <w:rsid w:val="00DA7623"/>
    <w:rsid w:val="00DA76D6"/>
    <w:rsid w:val="00DA76FA"/>
    <w:rsid w:val="00DA773D"/>
    <w:rsid w:val="00DA7740"/>
    <w:rsid w:val="00DA7778"/>
    <w:rsid w:val="00DA779A"/>
    <w:rsid w:val="00DA782C"/>
    <w:rsid w:val="00DA7857"/>
    <w:rsid w:val="00DA7866"/>
    <w:rsid w:val="00DA788F"/>
    <w:rsid w:val="00DA78B7"/>
    <w:rsid w:val="00DA7AFC"/>
    <w:rsid w:val="00DA7B98"/>
    <w:rsid w:val="00DA7BFF"/>
    <w:rsid w:val="00DA7D0D"/>
    <w:rsid w:val="00DA7D2E"/>
    <w:rsid w:val="00DA7D7E"/>
    <w:rsid w:val="00DA7DCD"/>
    <w:rsid w:val="00DA7DF0"/>
    <w:rsid w:val="00DA7E33"/>
    <w:rsid w:val="00DA7E79"/>
    <w:rsid w:val="00DA7E9D"/>
    <w:rsid w:val="00DA7E9F"/>
    <w:rsid w:val="00DA7EE7"/>
    <w:rsid w:val="00DA7F3D"/>
    <w:rsid w:val="00DA7FCF"/>
    <w:rsid w:val="00DA7FD4"/>
    <w:rsid w:val="00DB0079"/>
    <w:rsid w:val="00DB00AD"/>
    <w:rsid w:val="00DB00E3"/>
    <w:rsid w:val="00DB014E"/>
    <w:rsid w:val="00DB016B"/>
    <w:rsid w:val="00DB0174"/>
    <w:rsid w:val="00DB01D4"/>
    <w:rsid w:val="00DB01FD"/>
    <w:rsid w:val="00DB020E"/>
    <w:rsid w:val="00DB0213"/>
    <w:rsid w:val="00DB0276"/>
    <w:rsid w:val="00DB028D"/>
    <w:rsid w:val="00DB028E"/>
    <w:rsid w:val="00DB0294"/>
    <w:rsid w:val="00DB02D1"/>
    <w:rsid w:val="00DB031E"/>
    <w:rsid w:val="00DB0392"/>
    <w:rsid w:val="00DB03F2"/>
    <w:rsid w:val="00DB04F7"/>
    <w:rsid w:val="00DB0517"/>
    <w:rsid w:val="00DB05D1"/>
    <w:rsid w:val="00DB06E3"/>
    <w:rsid w:val="00DB0732"/>
    <w:rsid w:val="00DB07C1"/>
    <w:rsid w:val="00DB085B"/>
    <w:rsid w:val="00DB0899"/>
    <w:rsid w:val="00DB0956"/>
    <w:rsid w:val="00DB0A99"/>
    <w:rsid w:val="00DB0A9E"/>
    <w:rsid w:val="00DB0B39"/>
    <w:rsid w:val="00DB0BE0"/>
    <w:rsid w:val="00DB0E5B"/>
    <w:rsid w:val="00DB0EB7"/>
    <w:rsid w:val="00DB0EE1"/>
    <w:rsid w:val="00DB10F2"/>
    <w:rsid w:val="00DB111C"/>
    <w:rsid w:val="00DB1163"/>
    <w:rsid w:val="00DB1165"/>
    <w:rsid w:val="00DB12DC"/>
    <w:rsid w:val="00DB12E4"/>
    <w:rsid w:val="00DB12F2"/>
    <w:rsid w:val="00DB13A2"/>
    <w:rsid w:val="00DB1409"/>
    <w:rsid w:val="00DB140B"/>
    <w:rsid w:val="00DB1431"/>
    <w:rsid w:val="00DB14F5"/>
    <w:rsid w:val="00DB1528"/>
    <w:rsid w:val="00DB156E"/>
    <w:rsid w:val="00DB15EC"/>
    <w:rsid w:val="00DB160D"/>
    <w:rsid w:val="00DB1684"/>
    <w:rsid w:val="00DB1694"/>
    <w:rsid w:val="00DB1748"/>
    <w:rsid w:val="00DB177F"/>
    <w:rsid w:val="00DB1831"/>
    <w:rsid w:val="00DB1844"/>
    <w:rsid w:val="00DB184E"/>
    <w:rsid w:val="00DB1895"/>
    <w:rsid w:val="00DB18AE"/>
    <w:rsid w:val="00DB18B5"/>
    <w:rsid w:val="00DB18DC"/>
    <w:rsid w:val="00DB1904"/>
    <w:rsid w:val="00DB1936"/>
    <w:rsid w:val="00DB193A"/>
    <w:rsid w:val="00DB19C4"/>
    <w:rsid w:val="00DB19E0"/>
    <w:rsid w:val="00DB1ADA"/>
    <w:rsid w:val="00DB1C12"/>
    <w:rsid w:val="00DB1C51"/>
    <w:rsid w:val="00DB1CB0"/>
    <w:rsid w:val="00DB1D97"/>
    <w:rsid w:val="00DB1E85"/>
    <w:rsid w:val="00DB1E8E"/>
    <w:rsid w:val="00DB1EB2"/>
    <w:rsid w:val="00DB1EB3"/>
    <w:rsid w:val="00DB1EFE"/>
    <w:rsid w:val="00DB1F9B"/>
    <w:rsid w:val="00DB1FB5"/>
    <w:rsid w:val="00DB1FE7"/>
    <w:rsid w:val="00DB2001"/>
    <w:rsid w:val="00DB203F"/>
    <w:rsid w:val="00DB205C"/>
    <w:rsid w:val="00DB207E"/>
    <w:rsid w:val="00DB2089"/>
    <w:rsid w:val="00DB2090"/>
    <w:rsid w:val="00DB2092"/>
    <w:rsid w:val="00DB20FD"/>
    <w:rsid w:val="00DB211B"/>
    <w:rsid w:val="00DB217B"/>
    <w:rsid w:val="00DB21ED"/>
    <w:rsid w:val="00DB226E"/>
    <w:rsid w:val="00DB226F"/>
    <w:rsid w:val="00DB22B9"/>
    <w:rsid w:val="00DB22BD"/>
    <w:rsid w:val="00DB22CF"/>
    <w:rsid w:val="00DB23B0"/>
    <w:rsid w:val="00DB248E"/>
    <w:rsid w:val="00DB2498"/>
    <w:rsid w:val="00DB24CB"/>
    <w:rsid w:val="00DB24F5"/>
    <w:rsid w:val="00DB2515"/>
    <w:rsid w:val="00DB2583"/>
    <w:rsid w:val="00DB25DD"/>
    <w:rsid w:val="00DB25E6"/>
    <w:rsid w:val="00DB2730"/>
    <w:rsid w:val="00DB2800"/>
    <w:rsid w:val="00DB2829"/>
    <w:rsid w:val="00DB282E"/>
    <w:rsid w:val="00DB2983"/>
    <w:rsid w:val="00DB2996"/>
    <w:rsid w:val="00DB29EE"/>
    <w:rsid w:val="00DB2A45"/>
    <w:rsid w:val="00DB2AD5"/>
    <w:rsid w:val="00DB2AF4"/>
    <w:rsid w:val="00DB2B47"/>
    <w:rsid w:val="00DB2BCE"/>
    <w:rsid w:val="00DB2C2F"/>
    <w:rsid w:val="00DB2C72"/>
    <w:rsid w:val="00DB2C85"/>
    <w:rsid w:val="00DB2D5E"/>
    <w:rsid w:val="00DB2D8B"/>
    <w:rsid w:val="00DB2E02"/>
    <w:rsid w:val="00DB2E18"/>
    <w:rsid w:val="00DB2E91"/>
    <w:rsid w:val="00DB2ED5"/>
    <w:rsid w:val="00DB2FE9"/>
    <w:rsid w:val="00DB3001"/>
    <w:rsid w:val="00DB3022"/>
    <w:rsid w:val="00DB305F"/>
    <w:rsid w:val="00DB30D8"/>
    <w:rsid w:val="00DB3127"/>
    <w:rsid w:val="00DB3256"/>
    <w:rsid w:val="00DB3262"/>
    <w:rsid w:val="00DB3287"/>
    <w:rsid w:val="00DB332D"/>
    <w:rsid w:val="00DB341A"/>
    <w:rsid w:val="00DB34A9"/>
    <w:rsid w:val="00DB34F7"/>
    <w:rsid w:val="00DB35E3"/>
    <w:rsid w:val="00DB3623"/>
    <w:rsid w:val="00DB3642"/>
    <w:rsid w:val="00DB369D"/>
    <w:rsid w:val="00DB36CC"/>
    <w:rsid w:val="00DB3758"/>
    <w:rsid w:val="00DB378C"/>
    <w:rsid w:val="00DB37B1"/>
    <w:rsid w:val="00DB37F3"/>
    <w:rsid w:val="00DB3823"/>
    <w:rsid w:val="00DB383E"/>
    <w:rsid w:val="00DB3893"/>
    <w:rsid w:val="00DB38F6"/>
    <w:rsid w:val="00DB390E"/>
    <w:rsid w:val="00DB3984"/>
    <w:rsid w:val="00DB3A77"/>
    <w:rsid w:val="00DB3AD7"/>
    <w:rsid w:val="00DB3ADD"/>
    <w:rsid w:val="00DB3B5A"/>
    <w:rsid w:val="00DB3B9F"/>
    <w:rsid w:val="00DB3C50"/>
    <w:rsid w:val="00DB3C79"/>
    <w:rsid w:val="00DB3CB8"/>
    <w:rsid w:val="00DB3CE3"/>
    <w:rsid w:val="00DB3D54"/>
    <w:rsid w:val="00DB3D9A"/>
    <w:rsid w:val="00DB3DC6"/>
    <w:rsid w:val="00DB3DC8"/>
    <w:rsid w:val="00DB3E48"/>
    <w:rsid w:val="00DB3E8A"/>
    <w:rsid w:val="00DB3EA0"/>
    <w:rsid w:val="00DB3EBB"/>
    <w:rsid w:val="00DB3EC4"/>
    <w:rsid w:val="00DB3F1B"/>
    <w:rsid w:val="00DB3F45"/>
    <w:rsid w:val="00DB3F5D"/>
    <w:rsid w:val="00DB3F97"/>
    <w:rsid w:val="00DB3FA2"/>
    <w:rsid w:val="00DB3FBA"/>
    <w:rsid w:val="00DB3FF0"/>
    <w:rsid w:val="00DB4033"/>
    <w:rsid w:val="00DB406D"/>
    <w:rsid w:val="00DB414F"/>
    <w:rsid w:val="00DB422D"/>
    <w:rsid w:val="00DB4286"/>
    <w:rsid w:val="00DB42A5"/>
    <w:rsid w:val="00DB42BF"/>
    <w:rsid w:val="00DB42E2"/>
    <w:rsid w:val="00DB4323"/>
    <w:rsid w:val="00DB4325"/>
    <w:rsid w:val="00DB4340"/>
    <w:rsid w:val="00DB4525"/>
    <w:rsid w:val="00DB45BA"/>
    <w:rsid w:val="00DB464F"/>
    <w:rsid w:val="00DB467A"/>
    <w:rsid w:val="00DB4750"/>
    <w:rsid w:val="00DB4815"/>
    <w:rsid w:val="00DB483D"/>
    <w:rsid w:val="00DB4849"/>
    <w:rsid w:val="00DB487F"/>
    <w:rsid w:val="00DB4894"/>
    <w:rsid w:val="00DB4907"/>
    <w:rsid w:val="00DB49A2"/>
    <w:rsid w:val="00DB49AD"/>
    <w:rsid w:val="00DB4A3B"/>
    <w:rsid w:val="00DB4A5F"/>
    <w:rsid w:val="00DB4B6D"/>
    <w:rsid w:val="00DB4BBE"/>
    <w:rsid w:val="00DB4BCC"/>
    <w:rsid w:val="00DB4BEF"/>
    <w:rsid w:val="00DB4C14"/>
    <w:rsid w:val="00DB4C3A"/>
    <w:rsid w:val="00DB4C43"/>
    <w:rsid w:val="00DB4C47"/>
    <w:rsid w:val="00DB4C9E"/>
    <w:rsid w:val="00DB4D15"/>
    <w:rsid w:val="00DB4D3E"/>
    <w:rsid w:val="00DB4D46"/>
    <w:rsid w:val="00DB4D89"/>
    <w:rsid w:val="00DB4E49"/>
    <w:rsid w:val="00DB4E64"/>
    <w:rsid w:val="00DB4EAF"/>
    <w:rsid w:val="00DB4F24"/>
    <w:rsid w:val="00DB5007"/>
    <w:rsid w:val="00DB5046"/>
    <w:rsid w:val="00DB50F0"/>
    <w:rsid w:val="00DB50FF"/>
    <w:rsid w:val="00DB5140"/>
    <w:rsid w:val="00DB5171"/>
    <w:rsid w:val="00DB51F7"/>
    <w:rsid w:val="00DB520F"/>
    <w:rsid w:val="00DB530A"/>
    <w:rsid w:val="00DB5313"/>
    <w:rsid w:val="00DB532D"/>
    <w:rsid w:val="00DB534A"/>
    <w:rsid w:val="00DB5490"/>
    <w:rsid w:val="00DB5503"/>
    <w:rsid w:val="00DB553A"/>
    <w:rsid w:val="00DB554E"/>
    <w:rsid w:val="00DB5556"/>
    <w:rsid w:val="00DB556E"/>
    <w:rsid w:val="00DB5571"/>
    <w:rsid w:val="00DB5577"/>
    <w:rsid w:val="00DB557D"/>
    <w:rsid w:val="00DB55D3"/>
    <w:rsid w:val="00DB5633"/>
    <w:rsid w:val="00DB56F6"/>
    <w:rsid w:val="00DB5768"/>
    <w:rsid w:val="00DB579C"/>
    <w:rsid w:val="00DB57E9"/>
    <w:rsid w:val="00DB57F6"/>
    <w:rsid w:val="00DB5831"/>
    <w:rsid w:val="00DB5845"/>
    <w:rsid w:val="00DB5853"/>
    <w:rsid w:val="00DB5877"/>
    <w:rsid w:val="00DB588F"/>
    <w:rsid w:val="00DB599A"/>
    <w:rsid w:val="00DB5A05"/>
    <w:rsid w:val="00DB5A18"/>
    <w:rsid w:val="00DB5A42"/>
    <w:rsid w:val="00DB5B06"/>
    <w:rsid w:val="00DB5BCB"/>
    <w:rsid w:val="00DB5CF2"/>
    <w:rsid w:val="00DB5CFB"/>
    <w:rsid w:val="00DB5D46"/>
    <w:rsid w:val="00DB5DCD"/>
    <w:rsid w:val="00DB5DF4"/>
    <w:rsid w:val="00DB5F37"/>
    <w:rsid w:val="00DB6009"/>
    <w:rsid w:val="00DB606B"/>
    <w:rsid w:val="00DB607F"/>
    <w:rsid w:val="00DB60B4"/>
    <w:rsid w:val="00DB6118"/>
    <w:rsid w:val="00DB61F2"/>
    <w:rsid w:val="00DB621D"/>
    <w:rsid w:val="00DB6246"/>
    <w:rsid w:val="00DB6267"/>
    <w:rsid w:val="00DB626B"/>
    <w:rsid w:val="00DB6272"/>
    <w:rsid w:val="00DB64C9"/>
    <w:rsid w:val="00DB64CB"/>
    <w:rsid w:val="00DB6667"/>
    <w:rsid w:val="00DB6686"/>
    <w:rsid w:val="00DB6695"/>
    <w:rsid w:val="00DB66DE"/>
    <w:rsid w:val="00DB675E"/>
    <w:rsid w:val="00DB67A6"/>
    <w:rsid w:val="00DB67AF"/>
    <w:rsid w:val="00DB67EE"/>
    <w:rsid w:val="00DB69AD"/>
    <w:rsid w:val="00DB69BD"/>
    <w:rsid w:val="00DB69C8"/>
    <w:rsid w:val="00DB69DC"/>
    <w:rsid w:val="00DB6B0E"/>
    <w:rsid w:val="00DB6B5A"/>
    <w:rsid w:val="00DB6B96"/>
    <w:rsid w:val="00DB6BD8"/>
    <w:rsid w:val="00DB6C0B"/>
    <w:rsid w:val="00DB6C78"/>
    <w:rsid w:val="00DB6C8D"/>
    <w:rsid w:val="00DB6D07"/>
    <w:rsid w:val="00DB6D0A"/>
    <w:rsid w:val="00DB6D1A"/>
    <w:rsid w:val="00DB6E17"/>
    <w:rsid w:val="00DB6E63"/>
    <w:rsid w:val="00DB6ED3"/>
    <w:rsid w:val="00DB6EF5"/>
    <w:rsid w:val="00DB6FBA"/>
    <w:rsid w:val="00DB6FEE"/>
    <w:rsid w:val="00DB7003"/>
    <w:rsid w:val="00DB70D4"/>
    <w:rsid w:val="00DB70EC"/>
    <w:rsid w:val="00DB71BA"/>
    <w:rsid w:val="00DB71F0"/>
    <w:rsid w:val="00DB7210"/>
    <w:rsid w:val="00DB7252"/>
    <w:rsid w:val="00DB7267"/>
    <w:rsid w:val="00DB7284"/>
    <w:rsid w:val="00DB7290"/>
    <w:rsid w:val="00DB7330"/>
    <w:rsid w:val="00DB737E"/>
    <w:rsid w:val="00DB73AC"/>
    <w:rsid w:val="00DB73B8"/>
    <w:rsid w:val="00DB73D0"/>
    <w:rsid w:val="00DB743E"/>
    <w:rsid w:val="00DB74AE"/>
    <w:rsid w:val="00DB7525"/>
    <w:rsid w:val="00DB7551"/>
    <w:rsid w:val="00DB755C"/>
    <w:rsid w:val="00DB759D"/>
    <w:rsid w:val="00DB75ED"/>
    <w:rsid w:val="00DB760B"/>
    <w:rsid w:val="00DB765B"/>
    <w:rsid w:val="00DB76C5"/>
    <w:rsid w:val="00DB7720"/>
    <w:rsid w:val="00DB7728"/>
    <w:rsid w:val="00DB773B"/>
    <w:rsid w:val="00DB7792"/>
    <w:rsid w:val="00DB77BF"/>
    <w:rsid w:val="00DB785C"/>
    <w:rsid w:val="00DB7871"/>
    <w:rsid w:val="00DB78E4"/>
    <w:rsid w:val="00DB7915"/>
    <w:rsid w:val="00DB792C"/>
    <w:rsid w:val="00DB795A"/>
    <w:rsid w:val="00DB79CD"/>
    <w:rsid w:val="00DB7A3C"/>
    <w:rsid w:val="00DB7A51"/>
    <w:rsid w:val="00DB7A67"/>
    <w:rsid w:val="00DB7A85"/>
    <w:rsid w:val="00DB7A94"/>
    <w:rsid w:val="00DB7AB7"/>
    <w:rsid w:val="00DB7B0D"/>
    <w:rsid w:val="00DB7BCB"/>
    <w:rsid w:val="00DB7BF8"/>
    <w:rsid w:val="00DB7C62"/>
    <w:rsid w:val="00DB7C86"/>
    <w:rsid w:val="00DB7D14"/>
    <w:rsid w:val="00DB7D15"/>
    <w:rsid w:val="00DB7D48"/>
    <w:rsid w:val="00DB7DC7"/>
    <w:rsid w:val="00DB7DD6"/>
    <w:rsid w:val="00DB7E23"/>
    <w:rsid w:val="00DB7EBC"/>
    <w:rsid w:val="00DB7EFE"/>
    <w:rsid w:val="00DB7F19"/>
    <w:rsid w:val="00DB7F66"/>
    <w:rsid w:val="00DB7F80"/>
    <w:rsid w:val="00DB7FA9"/>
    <w:rsid w:val="00DB7FD2"/>
    <w:rsid w:val="00DC00A4"/>
    <w:rsid w:val="00DC01AC"/>
    <w:rsid w:val="00DC01D2"/>
    <w:rsid w:val="00DC01F6"/>
    <w:rsid w:val="00DC01FD"/>
    <w:rsid w:val="00DC0201"/>
    <w:rsid w:val="00DC0214"/>
    <w:rsid w:val="00DC0247"/>
    <w:rsid w:val="00DC0283"/>
    <w:rsid w:val="00DC0313"/>
    <w:rsid w:val="00DC031B"/>
    <w:rsid w:val="00DC034A"/>
    <w:rsid w:val="00DC039F"/>
    <w:rsid w:val="00DC03AA"/>
    <w:rsid w:val="00DC03E3"/>
    <w:rsid w:val="00DC045C"/>
    <w:rsid w:val="00DC0466"/>
    <w:rsid w:val="00DC046B"/>
    <w:rsid w:val="00DC0531"/>
    <w:rsid w:val="00DC0599"/>
    <w:rsid w:val="00DC05DB"/>
    <w:rsid w:val="00DC0745"/>
    <w:rsid w:val="00DC0748"/>
    <w:rsid w:val="00DC07BD"/>
    <w:rsid w:val="00DC07D9"/>
    <w:rsid w:val="00DC07EA"/>
    <w:rsid w:val="00DC0828"/>
    <w:rsid w:val="00DC088D"/>
    <w:rsid w:val="00DC08C0"/>
    <w:rsid w:val="00DC0954"/>
    <w:rsid w:val="00DC09C2"/>
    <w:rsid w:val="00DC09F0"/>
    <w:rsid w:val="00DC0A9E"/>
    <w:rsid w:val="00DC0BE3"/>
    <w:rsid w:val="00DC0C8F"/>
    <w:rsid w:val="00DC0C93"/>
    <w:rsid w:val="00DC0D2C"/>
    <w:rsid w:val="00DC0DE6"/>
    <w:rsid w:val="00DC0E4B"/>
    <w:rsid w:val="00DC0E53"/>
    <w:rsid w:val="00DC0ECD"/>
    <w:rsid w:val="00DC0F18"/>
    <w:rsid w:val="00DC0FD6"/>
    <w:rsid w:val="00DC1002"/>
    <w:rsid w:val="00DC100D"/>
    <w:rsid w:val="00DC1012"/>
    <w:rsid w:val="00DC103C"/>
    <w:rsid w:val="00DC105A"/>
    <w:rsid w:val="00DC10AA"/>
    <w:rsid w:val="00DC115E"/>
    <w:rsid w:val="00DC1199"/>
    <w:rsid w:val="00DC11B1"/>
    <w:rsid w:val="00DC1280"/>
    <w:rsid w:val="00DC12C4"/>
    <w:rsid w:val="00DC12DA"/>
    <w:rsid w:val="00DC13CE"/>
    <w:rsid w:val="00DC13D3"/>
    <w:rsid w:val="00DC1443"/>
    <w:rsid w:val="00DC14C7"/>
    <w:rsid w:val="00DC163B"/>
    <w:rsid w:val="00DC163D"/>
    <w:rsid w:val="00DC16EA"/>
    <w:rsid w:val="00DC1735"/>
    <w:rsid w:val="00DC178A"/>
    <w:rsid w:val="00DC17E4"/>
    <w:rsid w:val="00DC1889"/>
    <w:rsid w:val="00DC18D3"/>
    <w:rsid w:val="00DC18DB"/>
    <w:rsid w:val="00DC18EE"/>
    <w:rsid w:val="00DC1967"/>
    <w:rsid w:val="00DC19EE"/>
    <w:rsid w:val="00DC1A4F"/>
    <w:rsid w:val="00DC1AB0"/>
    <w:rsid w:val="00DC1B46"/>
    <w:rsid w:val="00DC1BB6"/>
    <w:rsid w:val="00DC1BB7"/>
    <w:rsid w:val="00DC1BD4"/>
    <w:rsid w:val="00DC1BDD"/>
    <w:rsid w:val="00DC1BEC"/>
    <w:rsid w:val="00DC1C0E"/>
    <w:rsid w:val="00DC1C77"/>
    <w:rsid w:val="00DC1CE6"/>
    <w:rsid w:val="00DC1CF8"/>
    <w:rsid w:val="00DC1EC0"/>
    <w:rsid w:val="00DC1F21"/>
    <w:rsid w:val="00DC2008"/>
    <w:rsid w:val="00DC2063"/>
    <w:rsid w:val="00DC206A"/>
    <w:rsid w:val="00DC20B4"/>
    <w:rsid w:val="00DC2102"/>
    <w:rsid w:val="00DC21A4"/>
    <w:rsid w:val="00DC21EC"/>
    <w:rsid w:val="00DC2233"/>
    <w:rsid w:val="00DC22C1"/>
    <w:rsid w:val="00DC22FE"/>
    <w:rsid w:val="00DC234A"/>
    <w:rsid w:val="00DC235B"/>
    <w:rsid w:val="00DC23DA"/>
    <w:rsid w:val="00DC23FD"/>
    <w:rsid w:val="00DC243F"/>
    <w:rsid w:val="00DC2457"/>
    <w:rsid w:val="00DC2480"/>
    <w:rsid w:val="00DC2489"/>
    <w:rsid w:val="00DC248A"/>
    <w:rsid w:val="00DC2580"/>
    <w:rsid w:val="00DC269E"/>
    <w:rsid w:val="00DC27D8"/>
    <w:rsid w:val="00DC2858"/>
    <w:rsid w:val="00DC2A06"/>
    <w:rsid w:val="00DC2A3A"/>
    <w:rsid w:val="00DC2AA4"/>
    <w:rsid w:val="00DC2B3F"/>
    <w:rsid w:val="00DC2BE9"/>
    <w:rsid w:val="00DC2C99"/>
    <w:rsid w:val="00DC2CDD"/>
    <w:rsid w:val="00DC2D10"/>
    <w:rsid w:val="00DC2D43"/>
    <w:rsid w:val="00DC2DFD"/>
    <w:rsid w:val="00DC2E6C"/>
    <w:rsid w:val="00DC2E7F"/>
    <w:rsid w:val="00DC2E83"/>
    <w:rsid w:val="00DC2E8C"/>
    <w:rsid w:val="00DC2F40"/>
    <w:rsid w:val="00DC2F83"/>
    <w:rsid w:val="00DC2F9E"/>
    <w:rsid w:val="00DC2FDB"/>
    <w:rsid w:val="00DC3012"/>
    <w:rsid w:val="00DC3015"/>
    <w:rsid w:val="00DC306C"/>
    <w:rsid w:val="00DC3078"/>
    <w:rsid w:val="00DC3107"/>
    <w:rsid w:val="00DC31A2"/>
    <w:rsid w:val="00DC322E"/>
    <w:rsid w:val="00DC323C"/>
    <w:rsid w:val="00DC32C2"/>
    <w:rsid w:val="00DC32CF"/>
    <w:rsid w:val="00DC32D0"/>
    <w:rsid w:val="00DC3339"/>
    <w:rsid w:val="00DC3391"/>
    <w:rsid w:val="00DC33F3"/>
    <w:rsid w:val="00DC343B"/>
    <w:rsid w:val="00DC3491"/>
    <w:rsid w:val="00DC34A4"/>
    <w:rsid w:val="00DC34F5"/>
    <w:rsid w:val="00DC3528"/>
    <w:rsid w:val="00DC3598"/>
    <w:rsid w:val="00DC3618"/>
    <w:rsid w:val="00DC3730"/>
    <w:rsid w:val="00DC37E7"/>
    <w:rsid w:val="00DC37F4"/>
    <w:rsid w:val="00DC380A"/>
    <w:rsid w:val="00DC381B"/>
    <w:rsid w:val="00DC385E"/>
    <w:rsid w:val="00DC3889"/>
    <w:rsid w:val="00DC38A3"/>
    <w:rsid w:val="00DC3A20"/>
    <w:rsid w:val="00DC3A24"/>
    <w:rsid w:val="00DC3A4F"/>
    <w:rsid w:val="00DC3A98"/>
    <w:rsid w:val="00DC3BE4"/>
    <w:rsid w:val="00DC3BED"/>
    <w:rsid w:val="00DC3BF8"/>
    <w:rsid w:val="00DC3C15"/>
    <w:rsid w:val="00DC3C17"/>
    <w:rsid w:val="00DC3C40"/>
    <w:rsid w:val="00DC3C8F"/>
    <w:rsid w:val="00DC3CFC"/>
    <w:rsid w:val="00DC3D11"/>
    <w:rsid w:val="00DC3D50"/>
    <w:rsid w:val="00DC3D7B"/>
    <w:rsid w:val="00DC3DAB"/>
    <w:rsid w:val="00DC3E8C"/>
    <w:rsid w:val="00DC3E9D"/>
    <w:rsid w:val="00DC3F71"/>
    <w:rsid w:val="00DC3F79"/>
    <w:rsid w:val="00DC3F7D"/>
    <w:rsid w:val="00DC3FE7"/>
    <w:rsid w:val="00DC3FF8"/>
    <w:rsid w:val="00DC402A"/>
    <w:rsid w:val="00DC4065"/>
    <w:rsid w:val="00DC407C"/>
    <w:rsid w:val="00DC40AE"/>
    <w:rsid w:val="00DC414E"/>
    <w:rsid w:val="00DC423C"/>
    <w:rsid w:val="00DC4241"/>
    <w:rsid w:val="00DC4272"/>
    <w:rsid w:val="00DC42AE"/>
    <w:rsid w:val="00DC42C1"/>
    <w:rsid w:val="00DC42DC"/>
    <w:rsid w:val="00DC43B8"/>
    <w:rsid w:val="00DC43C7"/>
    <w:rsid w:val="00DC43DC"/>
    <w:rsid w:val="00DC449C"/>
    <w:rsid w:val="00DC4503"/>
    <w:rsid w:val="00DC4526"/>
    <w:rsid w:val="00DC4554"/>
    <w:rsid w:val="00DC45A7"/>
    <w:rsid w:val="00DC45BF"/>
    <w:rsid w:val="00DC45C0"/>
    <w:rsid w:val="00DC45D3"/>
    <w:rsid w:val="00DC467C"/>
    <w:rsid w:val="00DC4689"/>
    <w:rsid w:val="00DC473F"/>
    <w:rsid w:val="00DC4746"/>
    <w:rsid w:val="00DC475C"/>
    <w:rsid w:val="00DC475E"/>
    <w:rsid w:val="00DC47A4"/>
    <w:rsid w:val="00DC47D3"/>
    <w:rsid w:val="00DC4804"/>
    <w:rsid w:val="00DC4849"/>
    <w:rsid w:val="00DC48B4"/>
    <w:rsid w:val="00DC4905"/>
    <w:rsid w:val="00DC4969"/>
    <w:rsid w:val="00DC4985"/>
    <w:rsid w:val="00DC49B4"/>
    <w:rsid w:val="00DC4A46"/>
    <w:rsid w:val="00DC4AFF"/>
    <w:rsid w:val="00DC4BCD"/>
    <w:rsid w:val="00DC4BD4"/>
    <w:rsid w:val="00DC4C2D"/>
    <w:rsid w:val="00DC4C30"/>
    <w:rsid w:val="00DC4C58"/>
    <w:rsid w:val="00DC4CBC"/>
    <w:rsid w:val="00DC4CD2"/>
    <w:rsid w:val="00DC4D20"/>
    <w:rsid w:val="00DC4D3C"/>
    <w:rsid w:val="00DC4D80"/>
    <w:rsid w:val="00DC4E2D"/>
    <w:rsid w:val="00DC4E8C"/>
    <w:rsid w:val="00DC4EC5"/>
    <w:rsid w:val="00DC4F33"/>
    <w:rsid w:val="00DC4F5C"/>
    <w:rsid w:val="00DC4F96"/>
    <w:rsid w:val="00DC4FA0"/>
    <w:rsid w:val="00DC502E"/>
    <w:rsid w:val="00DC50A4"/>
    <w:rsid w:val="00DC50A7"/>
    <w:rsid w:val="00DC51A0"/>
    <w:rsid w:val="00DC51F8"/>
    <w:rsid w:val="00DC51FC"/>
    <w:rsid w:val="00DC5227"/>
    <w:rsid w:val="00DC5229"/>
    <w:rsid w:val="00DC524C"/>
    <w:rsid w:val="00DC52A9"/>
    <w:rsid w:val="00DC52F5"/>
    <w:rsid w:val="00DC531D"/>
    <w:rsid w:val="00DC53B1"/>
    <w:rsid w:val="00DC5444"/>
    <w:rsid w:val="00DC544B"/>
    <w:rsid w:val="00DC548B"/>
    <w:rsid w:val="00DC5507"/>
    <w:rsid w:val="00DC5554"/>
    <w:rsid w:val="00DC5557"/>
    <w:rsid w:val="00DC569C"/>
    <w:rsid w:val="00DC56BD"/>
    <w:rsid w:val="00DC571E"/>
    <w:rsid w:val="00DC57AA"/>
    <w:rsid w:val="00DC5916"/>
    <w:rsid w:val="00DC593D"/>
    <w:rsid w:val="00DC5976"/>
    <w:rsid w:val="00DC59C4"/>
    <w:rsid w:val="00DC59D8"/>
    <w:rsid w:val="00DC5A02"/>
    <w:rsid w:val="00DC5ACB"/>
    <w:rsid w:val="00DC5B07"/>
    <w:rsid w:val="00DC5BFC"/>
    <w:rsid w:val="00DC5C38"/>
    <w:rsid w:val="00DC5CD6"/>
    <w:rsid w:val="00DC5D1B"/>
    <w:rsid w:val="00DC5D76"/>
    <w:rsid w:val="00DC5DA8"/>
    <w:rsid w:val="00DC5DAE"/>
    <w:rsid w:val="00DC5E0A"/>
    <w:rsid w:val="00DC5E45"/>
    <w:rsid w:val="00DC5E63"/>
    <w:rsid w:val="00DC5EC9"/>
    <w:rsid w:val="00DC5F72"/>
    <w:rsid w:val="00DC5FBC"/>
    <w:rsid w:val="00DC6030"/>
    <w:rsid w:val="00DC607C"/>
    <w:rsid w:val="00DC608A"/>
    <w:rsid w:val="00DC60CE"/>
    <w:rsid w:val="00DC616E"/>
    <w:rsid w:val="00DC617D"/>
    <w:rsid w:val="00DC61CF"/>
    <w:rsid w:val="00DC61E4"/>
    <w:rsid w:val="00DC62A8"/>
    <w:rsid w:val="00DC631B"/>
    <w:rsid w:val="00DC631E"/>
    <w:rsid w:val="00DC632E"/>
    <w:rsid w:val="00DC6331"/>
    <w:rsid w:val="00DC6352"/>
    <w:rsid w:val="00DC63C1"/>
    <w:rsid w:val="00DC63DA"/>
    <w:rsid w:val="00DC63E9"/>
    <w:rsid w:val="00DC63F8"/>
    <w:rsid w:val="00DC6421"/>
    <w:rsid w:val="00DC644D"/>
    <w:rsid w:val="00DC6506"/>
    <w:rsid w:val="00DC6590"/>
    <w:rsid w:val="00DC659B"/>
    <w:rsid w:val="00DC65A2"/>
    <w:rsid w:val="00DC65DA"/>
    <w:rsid w:val="00DC6611"/>
    <w:rsid w:val="00DC6654"/>
    <w:rsid w:val="00DC6721"/>
    <w:rsid w:val="00DC6723"/>
    <w:rsid w:val="00DC6791"/>
    <w:rsid w:val="00DC6891"/>
    <w:rsid w:val="00DC6893"/>
    <w:rsid w:val="00DC68B4"/>
    <w:rsid w:val="00DC6931"/>
    <w:rsid w:val="00DC699E"/>
    <w:rsid w:val="00DC69C3"/>
    <w:rsid w:val="00DC6BBC"/>
    <w:rsid w:val="00DC6C24"/>
    <w:rsid w:val="00DC6C64"/>
    <w:rsid w:val="00DC6CD1"/>
    <w:rsid w:val="00DC6CF3"/>
    <w:rsid w:val="00DC6D0C"/>
    <w:rsid w:val="00DC6D16"/>
    <w:rsid w:val="00DC6D3F"/>
    <w:rsid w:val="00DC6D91"/>
    <w:rsid w:val="00DC6DCA"/>
    <w:rsid w:val="00DC6E9D"/>
    <w:rsid w:val="00DC6EDF"/>
    <w:rsid w:val="00DC6F8A"/>
    <w:rsid w:val="00DC6FC0"/>
    <w:rsid w:val="00DC7001"/>
    <w:rsid w:val="00DC710A"/>
    <w:rsid w:val="00DC7125"/>
    <w:rsid w:val="00DC7131"/>
    <w:rsid w:val="00DC716D"/>
    <w:rsid w:val="00DC71C0"/>
    <w:rsid w:val="00DC722A"/>
    <w:rsid w:val="00DC7265"/>
    <w:rsid w:val="00DC7279"/>
    <w:rsid w:val="00DC7285"/>
    <w:rsid w:val="00DC72C8"/>
    <w:rsid w:val="00DC7392"/>
    <w:rsid w:val="00DC73BF"/>
    <w:rsid w:val="00DC73C5"/>
    <w:rsid w:val="00DC73D5"/>
    <w:rsid w:val="00DC7474"/>
    <w:rsid w:val="00DC74AE"/>
    <w:rsid w:val="00DC74D8"/>
    <w:rsid w:val="00DC7506"/>
    <w:rsid w:val="00DC7524"/>
    <w:rsid w:val="00DC75E5"/>
    <w:rsid w:val="00DC75E7"/>
    <w:rsid w:val="00DC768C"/>
    <w:rsid w:val="00DC76DC"/>
    <w:rsid w:val="00DC76FB"/>
    <w:rsid w:val="00DC7783"/>
    <w:rsid w:val="00DC7798"/>
    <w:rsid w:val="00DC77CF"/>
    <w:rsid w:val="00DC7806"/>
    <w:rsid w:val="00DC7822"/>
    <w:rsid w:val="00DC7887"/>
    <w:rsid w:val="00DC78A5"/>
    <w:rsid w:val="00DC7913"/>
    <w:rsid w:val="00DC79A3"/>
    <w:rsid w:val="00DC79B0"/>
    <w:rsid w:val="00DC79F1"/>
    <w:rsid w:val="00DC7A3D"/>
    <w:rsid w:val="00DC7A42"/>
    <w:rsid w:val="00DC7A4E"/>
    <w:rsid w:val="00DC7B26"/>
    <w:rsid w:val="00DC7B5E"/>
    <w:rsid w:val="00DC7BAE"/>
    <w:rsid w:val="00DC7BF2"/>
    <w:rsid w:val="00DC7C7A"/>
    <w:rsid w:val="00DC7CAE"/>
    <w:rsid w:val="00DC7CBD"/>
    <w:rsid w:val="00DC7CDE"/>
    <w:rsid w:val="00DC7CF6"/>
    <w:rsid w:val="00DC7D75"/>
    <w:rsid w:val="00DC7F3F"/>
    <w:rsid w:val="00DC7F62"/>
    <w:rsid w:val="00DD0030"/>
    <w:rsid w:val="00DD00AA"/>
    <w:rsid w:val="00DD0168"/>
    <w:rsid w:val="00DD0180"/>
    <w:rsid w:val="00DD0190"/>
    <w:rsid w:val="00DD0212"/>
    <w:rsid w:val="00DD0234"/>
    <w:rsid w:val="00DD028D"/>
    <w:rsid w:val="00DD02BD"/>
    <w:rsid w:val="00DD0416"/>
    <w:rsid w:val="00DD055C"/>
    <w:rsid w:val="00DD0577"/>
    <w:rsid w:val="00DD0689"/>
    <w:rsid w:val="00DD06AF"/>
    <w:rsid w:val="00DD06EB"/>
    <w:rsid w:val="00DD07FB"/>
    <w:rsid w:val="00DD088D"/>
    <w:rsid w:val="00DD08F8"/>
    <w:rsid w:val="00DD0996"/>
    <w:rsid w:val="00DD09D9"/>
    <w:rsid w:val="00DD09DE"/>
    <w:rsid w:val="00DD0A5F"/>
    <w:rsid w:val="00DD0AF9"/>
    <w:rsid w:val="00DD0B21"/>
    <w:rsid w:val="00DD0BD1"/>
    <w:rsid w:val="00DD0BD5"/>
    <w:rsid w:val="00DD0CBF"/>
    <w:rsid w:val="00DD0DA5"/>
    <w:rsid w:val="00DD0E58"/>
    <w:rsid w:val="00DD0E90"/>
    <w:rsid w:val="00DD0EE3"/>
    <w:rsid w:val="00DD0F40"/>
    <w:rsid w:val="00DD0F44"/>
    <w:rsid w:val="00DD0F4E"/>
    <w:rsid w:val="00DD0F5A"/>
    <w:rsid w:val="00DD0F97"/>
    <w:rsid w:val="00DD0FDD"/>
    <w:rsid w:val="00DD0FDE"/>
    <w:rsid w:val="00DD1002"/>
    <w:rsid w:val="00DD1031"/>
    <w:rsid w:val="00DD1033"/>
    <w:rsid w:val="00DD10A6"/>
    <w:rsid w:val="00DD10DE"/>
    <w:rsid w:val="00DD10F4"/>
    <w:rsid w:val="00DD10F5"/>
    <w:rsid w:val="00DD111C"/>
    <w:rsid w:val="00DD115D"/>
    <w:rsid w:val="00DD1165"/>
    <w:rsid w:val="00DD1172"/>
    <w:rsid w:val="00DD11AE"/>
    <w:rsid w:val="00DD11CE"/>
    <w:rsid w:val="00DD1224"/>
    <w:rsid w:val="00DD1245"/>
    <w:rsid w:val="00DD12DF"/>
    <w:rsid w:val="00DD1325"/>
    <w:rsid w:val="00DD132C"/>
    <w:rsid w:val="00DD138C"/>
    <w:rsid w:val="00DD13CB"/>
    <w:rsid w:val="00DD1477"/>
    <w:rsid w:val="00DD149E"/>
    <w:rsid w:val="00DD14B6"/>
    <w:rsid w:val="00DD1512"/>
    <w:rsid w:val="00DD1593"/>
    <w:rsid w:val="00DD15A2"/>
    <w:rsid w:val="00DD15A5"/>
    <w:rsid w:val="00DD15E8"/>
    <w:rsid w:val="00DD163F"/>
    <w:rsid w:val="00DD168B"/>
    <w:rsid w:val="00DD1729"/>
    <w:rsid w:val="00DD1743"/>
    <w:rsid w:val="00DD1753"/>
    <w:rsid w:val="00DD17EA"/>
    <w:rsid w:val="00DD1801"/>
    <w:rsid w:val="00DD1828"/>
    <w:rsid w:val="00DD1857"/>
    <w:rsid w:val="00DD185F"/>
    <w:rsid w:val="00DD18F9"/>
    <w:rsid w:val="00DD191B"/>
    <w:rsid w:val="00DD192A"/>
    <w:rsid w:val="00DD1937"/>
    <w:rsid w:val="00DD1973"/>
    <w:rsid w:val="00DD1997"/>
    <w:rsid w:val="00DD19A2"/>
    <w:rsid w:val="00DD19D2"/>
    <w:rsid w:val="00DD19EE"/>
    <w:rsid w:val="00DD19F2"/>
    <w:rsid w:val="00DD1A09"/>
    <w:rsid w:val="00DD1A3A"/>
    <w:rsid w:val="00DD1A58"/>
    <w:rsid w:val="00DD1AAE"/>
    <w:rsid w:val="00DD1ADC"/>
    <w:rsid w:val="00DD1AF1"/>
    <w:rsid w:val="00DD1B32"/>
    <w:rsid w:val="00DD1B91"/>
    <w:rsid w:val="00DD1CCF"/>
    <w:rsid w:val="00DD1D13"/>
    <w:rsid w:val="00DD1D29"/>
    <w:rsid w:val="00DD1D60"/>
    <w:rsid w:val="00DD1DFB"/>
    <w:rsid w:val="00DD1E1E"/>
    <w:rsid w:val="00DD1E2D"/>
    <w:rsid w:val="00DD1E8F"/>
    <w:rsid w:val="00DD1EAF"/>
    <w:rsid w:val="00DD1EBF"/>
    <w:rsid w:val="00DD1F42"/>
    <w:rsid w:val="00DD1F50"/>
    <w:rsid w:val="00DD1F8B"/>
    <w:rsid w:val="00DD1F95"/>
    <w:rsid w:val="00DD1FB3"/>
    <w:rsid w:val="00DD1FBF"/>
    <w:rsid w:val="00DD2029"/>
    <w:rsid w:val="00DD2056"/>
    <w:rsid w:val="00DD206B"/>
    <w:rsid w:val="00DD207D"/>
    <w:rsid w:val="00DD20B2"/>
    <w:rsid w:val="00DD20F3"/>
    <w:rsid w:val="00DD2114"/>
    <w:rsid w:val="00DD2156"/>
    <w:rsid w:val="00DD216C"/>
    <w:rsid w:val="00DD21B3"/>
    <w:rsid w:val="00DD21D6"/>
    <w:rsid w:val="00DD223A"/>
    <w:rsid w:val="00DD223C"/>
    <w:rsid w:val="00DD2370"/>
    <w:rsid w:val="00DD2392"/>
    <w:rsid w:val="00DD23C8"/>
    <w:rsid w:val="00DD23C9"/>
    <w:rsid w:val="00DD2470"/>
    <w:rsid w:val="00DD256F"/>
    <w:rsid w:val="00DD263B"/>
    <w:rsid w:val="00DD2642"/>
    <w:rsid w:val="00DD26A5"/>
    <w:rsid w:val="00DD26A7"/>
    <w:rsid w:val="00DD26CD"/>
    <w:rsid w:val="00DD2718"/>
    <w:rsid w:val="00DD28B3"/>
    <w:rsid w:val="00DD2924"/>
    <w:rsid w:val="00DD2932"/>
    <w:rsid w:val="00DD2951"/>
    <w:rsid w:val="00DD296A"/>
    <w:rsid w:val="00DD29A5"/>
    <w:rsid w:val="00DD29F3"/>
    <w:rsid w:val="00DD2A1D"/>
    <w:rsid w:val="00DD2A3D"/>
    <w:rsid w:val="00DD2A87"/>
    <w:rsid w:val="00DD2B55"/>
    <w:rsid w:val="00DD2BF3"/>
    <w:rsid w:val="00DD2C75"/>
    <w:rsid w:val="00DD2D4B"/>
    <w:rsid w:val="00DD2D84"/>
    <w:rsid w:val="00DD2DC1"/>
    <w:rsid w:val="00DD2E6D"/>
    <w:rsid w:val="00DD2F03"/>
    <w:rsid w:val="00DD2F0E"/>
    <w:rsid w:val="00DD2F30"/>
    <w:rsid w:val="00DD2F35"/>
    <w:rsid w:val="00DD2F4D"/>
    <w:rsid w:val="00DD2F6D"/>
    <w:rsid w:val="00DD3086"/>
    <w:rsid w:val="00DD30F8"/>
    <w:rsid w:val="00DD3124"/>
    <w:rsid w:val="00DD317D"/>
    <w:rsid w:val="00DD319B"/>
    <w:rsid w:val="00DD31E3"/>
    <w:rsid w:val="00DD322C"/>
    <w:rsid w:val="00DD32BD"/>
    <w:rsid w:val="00DD3325"/>
    <w:rsid w:val="00DD3338"/>
    <w:rsid w:val="00DD33B0"/>
    <w:rsid w:val="00DD33BB"/>
    <w:rsid w:val="00DD33D1"/>
    <w:rsid w:val="00DD3417"/>
    <w:rsid w:val="00DD3425"/>
    <w:rsid w:val="00DD3437"/>
    <w:rsid w:val="00DD350E"/>
    <w:rsid w:val="00DD35BD"/>
    <w:rsid w:val="00DD35C9"/>
    <w:rsid w:val="00DD3632"/>
    <w:rsid w:val="00DD367A"/>
    <w:rsid w:val="00DD37DB"/>
    <w:rsid w:val="00DD3849"/>
    <w:rsid w:val="00DD3897"/>
    <w:rsid w:val="00DD3948"/>
    <w:rsid w:val="00DD39ED"/>
    <w:rsid w:val="00DD3A19"/>
    <w:rsid w:val="00DD3A76"/>
    <w:rsid w:val="00DD3A93"/>
    <w:rsid w:val="00DD3B1A"/>
    <w:rsid w:val="00DD3B3C"/>
    <w:rsid w:val="00DD3B6B"/>
    <w:rsid w:val="00DD3BA1"/>
    <w:rsid w:val="00DD3BD1"/>
    <w:rsid w:val="00DD3BF1"/>
    <w:rsid w:val="00DD3C3D"/>
    <w:rsid w:val="00DD3C43"/>
    <w:rsid w:val="00DD3C58"/>
    <w:rsid w:val="00DD3C72"/>
    <w:rsid w:val="00DD3CDA"/>
    <w:rsid w:val="00DD3D02"/>
    <w:rsid w:val="00DD3D0A"/>
    <w:rsid w:val="00DD3D1E"/>
    <w:rsid w:val="00DD3D6F"/>
    <w:rsid w:val="00DD3DF5"/>
    <w:rsid w:val="00DD3E7E"/>
    <w:rsid w:val="00DD3EED"/>
    <w:rsid w:val="00DD3F7D"/>
    <w:rsid w:val="00DD401A"/>
    <w:rsid w:val="00DD412F"/>
    <w:rsid w:val="00DD4215"/>
    <w:rsid w:val="00DD4227"/>
    <w:rsid w:val="00DD4265"/>
    <w:rsid w:val="00DD426C"/>
    <w:rsid w:val="00DD430B"/>
    <w:rsid w:val="00DD4315"/>
    <w:rsid w:val="00DD43EE"/>
    <w:rsid w:val="00DD4487"/>
    <w:rsid w:val="00DD44D9"/>
    <w:rsid w:val="00DD44EE"/>
    <w:rsid w:val="00DD44F0"/>
    <w:rsid w:val="00DD4507"/>
    <w:rsid w:val="00DD4544"/>
    <w:rsid w:val="00DD4588"/>
    <w:rsid w:val="00DD46B3"/>
    <w:rsid w:val="00DD46BE"/>
    <w:rsid w:val="00DD47FE"/>
    <w:rsid w:val="00DD4866"/>
    <w:rsid w:val="00DD487B"/>
    <w:rsid w:val="00DD48C2"/>
    <w:rsid w:val="00DD4908"/>
    <w:rsid w:val="00DD490D"/>
    <w:rsid w:val="00DD49A2"/>
    <w:rsid w:val="00DD49AA"/>
    <w:rsid w:val="00DD49E1"/>
    <w:rsid w:val="00DD4A16"/>
    <w:rsid w:val="00DD4A2B"/>
    <w:rsid w:val="00DD4A61"/>
    <w:rsid w:val="00DD4A79"/>
    <w:rsid w:val="00DD4B0B"/>
    <w:rsid w:val="00DD4B19"/>
    <w:rsid w:val="00DD4B30"/>
    <w:rsid w:val="00DD4B74"/>
    <w:rsid w:val="00DD4B9D"/>
    <w:rsid w:val="00DD4BAE"/>
    <w:rsid w:val="00DD4BDD"/>
    <w:rsid w:val="00DD4C02"/>
    <w:rsid w:val="00DD4CC8"/>
    <w:rsid w:val="00DD4DA6"/>
    <w:rsid w:val="00DD4DB0"/>
    <w:rsid w:val="00DD4E2B"/>
    <w:rsid w:val="00DD4E4F"/>
    <w:rsid w:val="00DD4F7A"/>
    <w:rsid w:val="00DD4FA1"/>
    <w:rsid w:val="00DD4FF3"/>
    <w:rsid w:val="00DD503F"/>
    <w:rsid w:val="00DD5050"/>
    <w:rsid w:val="00DD511A"/>
    <w:rsid w:val="00DD5122"/>
    <w:rsid w:val="00DD517F"/>
    <w:rsid w:val="00DD5243"/>
    <w:rsid w:val="00DD5278"/>
    <w:rsid w:val="00DD52A7"/>
    <w:rsid w:val="00DD5381"/>
    <w:rsid w:val="00DD53B4"/>
    <w:rsid w:val="00DD54DD"/>
    <w:rsid w:val="00DD5555"/>
    <w:rsid w:val="00DD5579"/>
    <w:rsid w:val="00DD5581"/>
    <w:rsid w:val="00DD558D"/>
    <w:rsid w:val="00DD5598"/>
    <w:rsid w:val="00DD5638"/>
    <w:rsid w:val="00DD5701"/>
    <w:rsid w:val="00DD5745"/>
    <w:rsid w:val="00DD5789"/>
    <w:rsid w:val="00DD57EF"/>
    <w:rsid w:val="00DD57FA"/>
    <w:rsid w:val="00DD58B6"/>
    <w:rsid w:val="00DD5917"/>
    <w:rsid w:val="00DD5929"/>
    <w:rsid w:val="00DD59A3"/>
    <w:rsid w:val="00DD59BC"/>
    <w:rsid w:val="00DD59C9"/>
    <w:rsid w:val="00DD59FF"/>
    <w:rsid w:val="00DD5A78"/>
    <w:rsid w:val="00DD5B06"/>
    <w:rsid w:val="00DD5B49"/>
    <w:rsid w:val="00DD5B4B"/>
    <w:rsid w:val="00DD5BB5"/>
    <w:rsid w:val="00DD5C03"/>
    <w:rsid w:val="00DD5CB2"/>
    <w:rsid w:val="00DD5CFB"/>
    <w:rsid w:val="00DD5D1E"/>
    <w:rsid w:val="00DD5D46"/>
    <w:rsid w:val="00DD5D9F"/>
    <w:rsid w:val="00DD5E43"/>
    <w:rsid w:val="00DD5E7B"/>
    <w:rsid w:val="00DD5E83"/>
    <w:rsid w:val="00DD5F3C"/>
    <w:rsid w:val="00DD5F74"/>
    <w:rsid w:val="00DD5F78"/>
    <w:rsid w:val="00DD5F7F"/>
    <w:rsid w:val="00DD5F9C"/>
    <w:rsid w:val="00DD5FEA"/>
    <w:rsid w:val="00DD600B"/>
    <w:rsid w:val="00DD600E"/>
    <w:rsid w:val="00DD61B3"/>
    <w:rsid w:val="00DD6239"/>
    <w:rsid w:val="00DD6270"/>
    <w:rsid w:val="00DD6282"/>
    <w:rsid w:val="00DD62B4"/>
    <w:rsid w:val="00DD6330"/>
    <w:rsid w:val="00DD639E"/>
    <w:rsid w:val="00DD6424"/>
    <w:rsid w:val="00DD643B"/>
    <w:rsid w:val="00DD645F"/>
    <w:rsid w:val="00DD6477"/>
    <w:rsid w:val="00DD648F"/>
    <w:rsid w:val="00DD649C"/>
    <w:rsid w:val="00DD64F5"/>
    <w:rsid w:val="00DD657E"/>
    <w:rsid w:val="00DD6590"/>
    <w:rsid w:val="00DD65A2"/>
    <w:rsid w:val="00DD65DD"/>
    <w:rsid w:val="00DD660F"/>
    <w:rsid w:val="00DD671C"/>
    <w:rsid w:val="00DD6830"/>
    <w:rsid w:val="00DD6850"/>
    <w:rsid w:val="00DD68BF"/>
    <w:rsid w:val="00DD68D1"/>
    <w:rsid w:val="00DD68E6"/>
    <w:rsid w:val="00DD6933"/>
    <w:rsid w:val="00DD697E"/>
    <w:rsid w:val="00DD69CE"/>
    <w:rsid w:val="00DD69E3"/>
    <w:rsid w:val="00DD6A58"/>
    <w:rsid w:val="00DD6AFE"/>
    <w:rsid w:val="00DD6BB2"/>
    <w:rsid w:val="00DD6BBE"/>
    <w:rsid w:val="00DD6BE6"/>
    <w:rsid w:val="00DD6CB1"/>
    <w:rsid w:val="00DD6CC7"/>
    <w:rsid w:val="00DD6D3F"/>
    <w:rsid w:val="00DD6D95"/>
    <w:rsid w:val="00DD6DCB"/>
    <w:rsid w:val="00DD6DEF"/>
    <w:rsid w:val="00DD6DF5"/>
    <w:rsid w:val="00DD6EFB"/>
    <w:rsid w:val="00DD6F2A"/>
    <w:rsid w:val="00DD6F96"/>
    <w:rsid w:val="00DD6FA7"/>
    <w:rsid w:val="00DD6FAC"/>
    <w:rsid w:val="00DD6FAE"/>
    <w:rsid w:val="00DD7050"/>
    <w:rsid w:val="00DD7081"/>
    <w:rsid w:val="00DD70A5"/>
    <w:rsid w:val="00DD7169"/>
    <w:rsid w:val="00DD718F"/>
    <w:rsid w:val="00DD7215"/>
    <w:rsid w:val="00DD7288"/>
    <w:rsid w:val="00DD7398"/>
    <w:rsid w:val="00DD73A9"/>
    <w:rsid w:val="00DD742F"/>
    <w:rsid w:val="00DD74B8"/>
    <w:rsid w:val="00DD74BE"/>
    <w:rsid w:val="00DD750E"/>
    <w:rsid w:val="00DD7547"/>
    <w:rsid w:val="00DD756F"/>
    <w:rsid w:val="00DD769F"/>
    <w:rsid w:val="00DD7701"/>
    <w:rsid w:val="00DD78F6"/>
    <w:rsid w:val="00DD7974"/>
    <w:rsid w:val="00DD7A37"/>
    <w:rsid w:val="00DD7B1A"/>
    <w:rsid w:val="00DD7B34"/>
    <w:rsid w:val="00DD7B60"/>
    <w:rsid w:val="00DD7C6F"/>
    <w:rsid w:val="00DD7C74"/>
    <w:rsid w:val="00DD7CB6"/>
    <w:rsid w:val="00DD7D05"/>
    <w:rsid w:val="00DD7D0E"/>
    <w:rsid w:val="00DD7D31"/>
    <w:rsid w:val="00DD7D36"/>
    <w:rsid w:val="00DD7D99"/>
    <w:rsid w:val="00DD7DB0"/>
    <w:rsid w:val="00DD7DD3"/>
    <w:rsid w:val="00DD7E4A"/>
    <w:rsid w:val="00DD7F1D"/>
    <w:rsid w:val="00DD7F27"/>
    <w:rsid w:val="00DD7F50"/>
    <w:rsid w:val="00DE0016"/>
    <w:rsid w:val="00DE0044"/>
    <w:rsid w:val="00DE0091"/>
    <w:rsid w:val="00DE00D7"/>
    <w:rsid w:val="00DE013D"/>
    <w:rsid w:val="00DE0165"/>
    <w:rsid w:val="00DE01DF"/>
    <w:rsid w:val="00DE01F3"/>
    <w:rsid w:val="00DE021E"/>
    <w:rsid w:val="00DE0224"/>
    <w:rsid w:val="00DE0266"/>
    <w:rsid w:val="00DE027F"/>
    <w:rsid w:val="00DE02B2"/>
    <w:rsid w:val="00DE02B9"/>
    <w:rsid w:val="00DE030E"/>
    <w:rsid w:val="00DE0320"/>
    <w:rsid w:val="00DE0372"/>
    <w:rsid w:val="00DE040D"/>
    <w:rsid w:val="00DE04AA"/>
    <w:rsid w:val="00DE04FB"/>
    <w:rsid w:val="00DE0583"/>
    <w:rsid w:val="00DE0593"/>
    <w:rsid w:val="00DE05B0"/>
    <w:rsid w:val="00DE0668"/>
    <w:rsid w:val="00DE072D"/>
    <w:rsid w:val="00DE073E"/>
    <w:rsid w:val="00DE0757"/>
    <w:rsid w:val="00DE07A2"/>
    <w:rsid w:val="00DE080E"/>
    <w:rsid w:val="00DE08BB"/>
    <w:rsid w:val="00DE08BE"/>
    <w:rsid w:val="00DE0901"/>
    <w:rsid w:val="00DE0985"/>
    <w:rsid w:val="00DE09DF"/>
    <w:rsid w:val="00DE0A4B"/>
    <w:rsid w:val="00DE0A74"/>
    <w:rsid w:val="00DE0BD8"/>
    <w:rsid w:val="00DE0C0A"/>
    <w:rsid w:val="00DE0C60"/>
    <w:rsid w:val="00DE0D91"/>
    <w:rsid w:val="00DE0E1F"/>
    <w:rsid w:val="00DE0F12"/>
    <w:rsid w:val="00DE0F21"/>
    <w:rsid w:val="00DE0F4C"/>
    <w:rsid w:val="00DE0F84"/>
    <w:rsid w:val="00DE0FA4"/>
    <w:rsid w:val="00DE0FF8"/>
    <w:rsid w:val="00DE1006"/>
    <w:rsid w:val="00DE1009"/>
    <w:rsid w:val="00DE1034"/>
    <w:rsid w:val="00DE10B0"/>
    <w:rsid w:val="00DE10BB"/>
    <w:rsid w:val="00DE1142"/>
    <w:rsid w:val="00DE1158"/>
    <w:rsid w:val="00DE1175"/>
    <w:rsid w:val="00DE11A9"/>
    <w:rsid w:val="00DE11D9"/>
    <w:rsid w:val="00DE11DD"/>
    <w:rsid w:val="00DE12A7"/>
    <w:rsid w:val="00DE12C4"/>
    <w:rsid w:val="00DE12E2"/>
    <w:rsid w:val="00DE1335"/>
    <w:rsid w:val="00DE13E4"/>
    <w:rsid w:val="00DE145B"/>
    <w:rsid w:val="00DE1480"/>
    <w:rsid w:val="00DE149B"/>
    <w:rsid w:val="00DE14B5"/>
    <w:rsid w:val="00DE14CB"/>
    <w:rsid w:val="00DE1513"/>
    <w:rsid w:val="00DE15E2"/>
    <w:rsid w:val="00DE1649"/>
    <w:rsid w:val="00DE1697"/>
    <w:rsid w:val="00DE16B4"/>
    <w:rsid w:val="00DE16C6"/>
    <w:rsid w:val="00DE175E"/>
    <w:rsid w:val="00DE17C9"/>
    <w:rsid w:val="00DE17EB"/>
    <w:rsid w:val="00DE180C"/>
    <w:rsid w:val="00DE1814"/>
    <w:rsid w:val="00DE1837"/>
    <w:rsid w:val="00DE183F"/>
    <w:rsid w:val="00DE1883"/>
    <w:rsid w:val="00DE189F"/>
    <w:rsid w:val="00DE18B9"/>
    <w:rsid w:val="00DE18CC"/>
    <w:rsid w:val="00DE1A08"/>
    <w:rsid w:val="00DE1A22"/>
    <w:rsid w:val="00DE1A2F"/>
    <w:rsid w:val="00DE1A36"/>
    <w:rsid w:val="00DE1A9C"/>
    <w:rsid w:val="00DE1ACA"/>
    <w:rsid w:val="00DE1ACF"/>
    <w:rsid w:val="00DE1B0A"/>
    <w:rsid w:val="00DE1BB9"/>
    <w:rsid w:val="00DE1C04"/>
    <w:rsid w:val="00DE1C4D"/>
    <w:rsid w:val="00DE1C52"/>
    <w:rsid w:val="00DE1C74"/>
    <w:rsid w:val="00DE1CA1"/>
    <w:rsid w:val="00DE1DE9"/>
    <w:rsid w:val="00DE1E04"/>
    <w:rsid w:val="00DE1E07"/>
    <w:rsid w:val="00DE1ED0"/>
    <w:rsid w:val="00DE1EFC"/>
    <w:rsid w:val="00DE1F86"/>
    <w:rsid w:val="00DE1FB4"/>
    <w:rsid w:val="00DE2004"/>
    <w:rsid w:val="00DE20B3"/>
    <w:rsid w:val="00DE2111"/>
    <w:rsid w:val="00DE2223"/>
    <w:rsid w:val="00DE2240"/>
    <w:rsid w:val="00DE2250"/>
    <w:rsid w:val="00DE2289"/>
    <w:rsid w:val="00DE22F0"/>
    <w:rsid w:val="00DE232D"/>
    <w:rsid w:val="00DE235D"/>
    <w:rsid w:val="00DE2360"/>
    <w:rsid w:val="00DE23FE"/>
    <w:rsid w:val="00DE2437"/>
    <w:rsid w:val="00DE2572"/>
    <w:rsid w:val="00DE25B2"/>
    <w:rsid w:val="00DE25C4"/>
    <w:rsid w:val="00DE25FA"/>
    <w:rsid w:val="00DE265F"/>
    <w:rsid w:val="00DE26B2"/>
    <w:rsid w:val="00DE26B6"/>
    <w:rsid w:val="00DE274C"/>
    <w:rsid w:val="00DE27B6"/>
    <w:rsid w:val="00DE27DF"/>
    <w:rsid w:val="00DE28AA"/>
    <w:rsid w:val="00DE28BB"/>
    <w:rsid w:val="00DE2950"/>
    <w:rsid w:val="00DE2960"/>
    <w:rsid w:val="00DE299A"/>
    <w:rsid w:val="00DE2A2C"/>
    <w:rsid w:val="00DE2A7D"/>
    <w:rsid w:val="00DE2B12"/>
    <w:rsid w:val="00DE2B66"/>
    <w:rsid w:val="00DE2B6C"/>
    <w:rsid w:val="00DE2B7A"/>
    <w:rsid w:val="00DE2BD1"/>
    <w:rsid w:val="00DE2BDB"/>
    <w:rsid w:val="00DE2C3D"/>
    <w:rsid w:val="00DE2CD4"/>
    <w:rsid w:val="00DE2CDD"/>
    <w:rsid w:val="00DE2D0E"/>
    <w:rsid w:val="00DE2D68"/>
    <w:rsid w:val="00DE2DA7"/>
    <w:rsid w:val="00DE2DBF"/>
    <w:rsid w:val="00DE2DDA"/>
    <w:rsid w:val="00DE2E61"/>
    <w:rsid w:val="00DE3012"/>
    <w:rsid w:val="00DE302A"/>
    <w:rsid w:val="00DE3043"/>
    <w:rsid w:val="00DE3073"/>
    <w:rsid w:val="00DE3095"/>
    <w:rsid w:val="00DE30DD"/>
    <w:rsid w:val="00DE30E9"/>
    <w:rsid w:val="00DE313C"/>
    <w:rsid w:val="00DE3166"/>
    <w:rsid w:val="00DE31B3"/>
    <w:rsid w:val="00DE31D3"/>
    <w:rsid w:val="00DE32B6"/>
    <w:rsid w:val="00DE32B8"/>
    <w:rsid w:val="00DE32E2"/>
    <w:rsid w:val="00DE3317"/>
    <w:rsid w:val="00DE33E2"/>
    <w:rsid w:val="00DE33EF"/>
    <w:rsid w:val="00DE352A"/>
    <w:rsid w:val="00DE354F"/>
    <w:rsid w:val="00DE35F5"/>
    <w:rsid w:val="00DE3607"/>
    <w:rsid w:val="00DE361E"/>
    <w:rsid w:val="00DE363A"/>
    <w:rsid w:val="00DE3649"/>
    <w:rsid w:val="00DE3660"/>
    <w:rsid w:val="00DE369F"/>
    <w:rsid w:val="00DE36F6"/>
    <w:rsid w:val="00DE3747"/>
    <w:rsid w:val="00DE379E"/>
    <w:rsid w:val="00DE37A7"/>
    <w:rsid w:val="00DE37BA"/>
    <w:rsid w:val="00DE3825"/>
    <w:rsid w:val="00DE396C"/>
    <w:rsid w:val="00DE3A3F"/>
    <w:rsid w:val="00DE3A81"/>
    <w:rsid w:val="00DE3A8E"/>
    <w:rsid w:val="00DE3AB8"/>
    <w:rsid w:val="00DE3ABF"/>
    <w:rsid w:val="00DE3AC5"/>
    <w:rsid w:val="00DE3B09"/>
    <w:rsid w:val="00DE3B58"/>
    <w:rsid w:val="00DE3C7D"/>
    <w:rsid w:val="00DE3CAA"/>
    <w:rsid w:val="00DE3D30"/>
    <w:rsid w:val="00DE3DB8"/>
    <w:rsid w:val="00DE3E1F"/>
    <w:rsid w:val="00DE3E28"/>
    <w:rsid w:val="00DE3E54"/>
    <w:rsid w:val="00DE3EE8"/>
    <w:rsid w:val="00DE3F1B"/>
    <w:rsid w:val="00DE3FBC"/>
    <w:rsid w:val="00DE4010"/>
    <w:rsid w:val="00DE4142"/>
    <w:rsid w:val="00DE414B"/>
    <w:rsid w:val="00DE418A"/>
    <w:rsid w:val="00DE41AB"/>
    <w:rsid w:val="00DE41BD"/>
    <w:rsid w:val="00DE4214"/>
    <w:rsid w:val="00DE425D"/>
    <w:rsid w:val="00DE4261"/>
    <w:rsid w:val="00DE42A3"/>
    <w:rsid w:val="00DE4348"/>
    <w:rsid w:val="00DE4397"/>
    <w:rsid w:val="00DE4434"/>
    <w:rsid w:val="00DE44CB"/>
    <w:rsid w:val="00DE4578"/>
    <w:rsid w:val="00DE458B"/>
    <w:rsid w:val="00DE458E"/>
    <w:rsid w:val="00DE4611"/>
    <w:rsid w:val="00DE4640"/>
    <w:rsid w:val="00DE4643"/>
    <w:rsid w:val="00DE4672"/>
    <w:rsid w:val="00DE46E6"/>
    <w:rsid w:val="00DE4742"/>
    <w:rsid w:val="00DE47CE"/>
    <w:rsid w:val="00DE47EC"/>
    <w:rsid w:val="00DE4848"/>
    <w:rsid w:val="00DE4875"/>
    <w:rsid w:val="00DE489B"/>
    <w:rsid w:val="00DE48EF"/>
    <w:rsid w:val="00DE490C"/>
    <w:rsid w:val="00DE4922"/>
    <w:rsid w:val="00DE4971"/>
    <w:rsid w:val="00DE49C7"/>
    <w:rsid w:val="00DE49C9"/>
    <w:rsid w:val="00DE4A33"/>
    <w:rsid w:val="00DE4A6C"/>
    <w:rsid w:val="00DE4AF7"/>
    <w:rsid w:val="00DE4B25"/>
    <w:rsid w:val="00DE4B40"/>
    <w:rsid w:val="00DE4B9E"/>
    <w:rsid w:val="00DE4BA6"/>
    <w:rsid w:val="00DE4BA7"/>
    <w:rsid w:val="00DE4C05"/>
    <w:rsid w:val="00DE4C75"/>
    <w:rsid w:val="00DE4CDC"/>
    <w:rsid w:val="00DE4E84"/>
    <w:rsid w:val="00DE4E8B"/>
    <w:rsid w:val="00DE4EE7"/>
    <w:rsid w:val="00DE4EEE"/>
    <w:rsid w:val="00DE4F00"/>
    <w:rsid w:val="00DE4F6A"/>
    <w:rsid w:val="00DE4F90"/>
    <w:rsid w:val="00DE501E"/>
    <w:rsid w:val="00DE5059"/>
    <w:rsid w:val="00DE50F1"/>
    <w:rsid w:val="00DE518E"/>
    <w:rsid w:val="00DE51DC"/>
    <w:rsid w:val="00DE5242"/>
    <w:rsid w:val="00DE5305"/>
    <w:rsid w:val="00DE5314"/>
    <w:rsid w:val="00DE53C3"/>
    <w:rsid w:val="00DE5427"/>
    <w:rsid w:val="00DE54AE"/>
    <w:rsid w:val="00DE54B6"/>
    <w:rsid w:val="00DE55B9"/>
    <w:rsid w:val="00DE55BA"/>
    <w:rsid w:val="00DE55CA"/>
    <w:rsid w:val="00DE55E1"/>
    <w:rsid w:val="00DE562D"/>
    <w:rsid w:val="00DE5716"/>
    <w:rsid w:val="00DE5744"/>
    <w:rsid w:val="00DE5746"/>
    <w:rsid w:val="00DE5750"/>
    <w:rsid w:val="00DE575F"/>
    <w:rsid w:val="00DE58A8"/>
    <w:rsid w:val="00DE58F0"/>
    <w:rsid w:val="00DE5924"/>
    <w:rsid w:val="00DE5930"/>
    <w:rsid w:val="00DE5A08"/>
    <w:rsid w:val="00DE5A10"/>
    <w:rsid w:val="00DE5A27"/>
    <w:rsid w:val="00DE5A30"/>
    <w:rsid w:val="00DE5ACE"/>
    <w:rsid w:val="00DE5B7A"/>
    <w:rsid w:val="00DE5B7C"/>
    <w:rsid w:val="00DE5BE8"/>
    <w:rsid w:val="00DE5BE9"/>
    <w:rsid w:val="00DE5CBC"/>
    <w:rsid w:val="00DE5D2C"/>
    <w:rsid w:val="00DE5DC4"/>
    <w:rsid w:val="00DE5E2C"/>
    <w:rsid w:val="00DE5E44"/>
    <w:rsid w:val="00DE5E4B"/>
    <w:rsid w:val="00DE5E50"/>
    <w:rsid w:val="00DE5EA4"/>
    <w:rsid w:val="00DE5ED7"/>
    <w:rsid w:val="00DE5EE8"/>
    <w:rsid w:val="00DE5F2C"/>
    <w:rsid w:val="00DE5F83"/>
    <w:rsid w:val="00DE5F8A"/>
    <w:rsid w:val="00DE5FA2"/>
    <w:rsid w:val="00DE5FC8"/>
    <w:rsid w:val="00DE5FEA"/>
    <w:rsid w:val="00DE600E"/>
    <w:rsid w:val="00DE6037"/>
    <w:rsid w:val="00DE6087"/>
    <w:rsid w:val="00DE611C"/>
    <w:rsid w:val="00DE613B"/>
    <w:rsid w:val="00DE6154"/>
    <w:rsid w:val="00DE6191"/>
    <w:rsid w:val="00DE61A2"/>
    <w:rsid w:val="00DE61B6"/>
    <w:rsid w:val="00DE61CE"/>
    <w:rsid w:val="00DE63D7"/>
    <w:rsid w:val="00DE640F"/>
    <w:rsid w:val="00DE647D"/>
    <w:rsid w:val="00DE64F1"/>
    <w:rsid w:val="00DE6509"/>
    <w:rsid w:val="00DE652F"/>
    <w:rsid w:val="00DE655C"/>
    <w:rsid w:val="00DE6592"/>
    <w:rsid w:val="00DE664B"/>
    <w:rsid w:val="00DE66C1"/>
    <w:rsid w:val="00DE67BF"/>
    <w:rsid w:val="00DE67E8"/>
    <w:rsid w:val="00DE68A5"/>
    <w:rsid w:val="00DE6924"/>
    <w:rsid w:val="00DE6B53"/>
    <w:rsid w:val="00DE6B5E"/>
    <w:rsid w:val="00DE6B74"/>
    <w:rsid w:val="00DE6BDF"/>
    <w:rsid w:val="00DE6CBA"/>
    <w:rsid w:val="00DE6CF3"/>
    <w:rsid w:val="00DE6D54"/>
    <w:rsid w:val="00DE6D8E"/>
    <w:rsid w:val="00DE6D99"/>
    <w:rsid w:val="00DE6DB3"/>
    <w:rsid w:val="00DE6DCB"/>
    <w:rsid w:val="00DE6DDE"/>
    <w:rsid w:val="00DE6E4F"/>
    <w:rsid w:val="00DE6E56"/>
    <w:rsid w:val="00DE6E73"/>
    <w:rsid w:val="00DE6E90"/>
    <w:rsid w:val="00DE6EB5"/>
    <w:rsid w:val="00DE6FC8"/>
    <w:rsid w:val="00DE6FFC"/>
    <w:rsid w:val="00DE700E"/>
    <w:rsid w:val="00DE7097"/>
    <w:rsid w:val="00DE70AF"/>
    <w:rsid w:val="00DE70F4"/>
    <w:rsid w:val="00DE71DB"/>
    <w:rsid w:val="00DE7238"/>
    <w:rsid w:val="00DE72A3"/>
    <w:rsid w:val="00DE72E0"/>
    <w:rsid w:val="00DE7373"/>
    <w:rsid w:val="00DE739F"/>
    <w:rsid w:val="00DE73A2"/>
    <w:rsid w:val="00DE73B1"/>
    <w:rsid w:val="00DE73F7"/>
    <w:rsid w:val="00DE7450"/>
    <w:rsid w:val="00DE74E9"/>
    <w:rsid w:val="00DE7558"/>
    <w:rsid w:val="00DE7574"/>
    <w:rsid w:val="00DE75A7"/>
    <w:rsid w:val="00DE7622"/>
    <w:rsid w:val="00DE767E"/>
    <w:rsid w:val="00DE772F"/>
    <w:rsid w:val="00DE7738"/>
    <w:rsid w:val="00DE77AC"/>
    <w:rsid w:val="00DE77DB"/>
    <w:rsid w:val="00DE77F9"/>
    <w:rsid w:val="00DE782C"/>
    <w:rsid w:val="00DE7873"/>
    <w:rsid w:val="00DE787E"/>
    <w:rsid w:val="00DE78BE"/>
    <w:rsid w:val="00DE795C"/>
    <w:rsid w:val="00DE7987"/>
    <w:rsid w:val="00DE7A13"/>
    <w:rsid w:val="00DE7A9A"/>
    <w:rsid w:val="00DE7B90"/>
    <w:rsid w:val="00DE7C79"/>
    <w:rsid w:val="00DE7CEC"/>
    <w:rsid w:val="00DE7D5C"/>
    <w:rsid w:val="00DE7DED"/>
    <w:rsid w:val="00DE7EBA"/>
    <w:rsid w:val="00DE7EC8"/>
    <w:rsid w:val="00DE7F40"/>
    <w:rsid w:val="00DE7F44"/>
    <w:rsid w:val="00DE7F53"/>
    <w:rsid w:val="00DE7FEE"/>
    <w:rsid w:val="00DE7FF8"/>
    <w:rsid w:val="00DF005C"/>
    <w:rsid w:val="00DF00F1"/>
    <w:rsid w:val="00DF0182"/>
    <w:rsid w:val="00DF025D"/>
    <w:rsid w:val="00DF025E"/>
    <w:rsid w:val="00DF02EA"/>
    <w:rsid w:val="00DF02F4"/>
    <w:rsid w:val="00DF0311"/>
    <w:rsid w:val="00DF03C7"/>
    <w:rsid w:val="00DF03ED"/>
    <w:rsid w:val="00DF03F7"/>
    <w:rsid w:val="00DF047B"/>
    <w:rsid w:val="00DF0489"/>
    <w:rsid w:val="00DF050C"/>
    <w:rsid w:val="00DF059A"/>
    <w:rsid w:val="00DF05B6"/>
    <w:rsid w:val="00DF0617"/>
    <w:rsid w:val="00DF064E"/>
    <w:rsid w:val="00DF0686"/>
    <w:rsid w:val="00DF0687"/>
    <w:rsid w:val="00DF07BA"/>
    <w:rsid w:val="00DF0841"/>
    <w:rsid w:val="00DF08B7"/>
    <w:rsid w:val="00DF08E2"/>
    <w:rsid w:val="00DF08E5"/>
    <w:rsid w:val="00DF096D"/>
    <w:rsid w:val="00DF0984"/>
    <w:rsid w:val="00DF0A39"/>
    <w:rsid w:val="00DF0A5C"/>
    <w:rsid w:val="00DF0AB0"/>
    <w:rsid w:val="00DF0ADB"/>
    <w:rsid w:val="00DF0AEC"/>
    <w:rsid w:val="00DF0B4A"/>
    <w:rsid w:val="00DF0BD0"/>
    <w:rsid w:val="00DF0BFB"/>
    <w:rsid w:val="00DF0C0F"/>
    <w:rsid w:val="00DF0C10"/>
    <w:rsid w:val="00DF0C39"/>
    <w:rsid w:val="00DF0CAB"/>
    <w:rsid w:val="00DF0D77"/>
    <w:rsid w:val="00DF0D9E"/>
    <w:rsid w:val="00DF0F83"/>
    <w:rsid w:val="00DF0FB3"/>
    <w:rsid w:val="00DF1047"/>
    <w:rsid w:val="00DF104E"/>
    <w:rsid w:val="00DF10B4"/>
    <w:rsid w:val="00DF118F"/>
    <w:rsid w:val="00DF11B6"/>
    <w:rsid w:val="00DF1209"/>
    <w:rsid w:val="00DF125F"/>
    <w:rsid w:val="00DF12F1"/>
    <w:rsid w:val="00DF12FB"/>
    <w:rsid w:val="00DF1358"/>
    <w:rsid w:val="00DF1390"/>
    <w:rsid w:val="00DF143E"/>
    <w:rsid w:val="00DF144F"/>
    <w:rsid w:val="00DF14C6"/>
    <w:rsid w:val="00DF153F"/>
    <w:rsid w:val="00DF1546"/>
    <w:rsid w:val="00DF1590"/>
    <w:rsid w:val="00DF159E"/>
    <w:rsid w:val="00DF15F6"/>
    <w:rsid w:val="00DF1687"/>
    <w:rsid w:val="00DF16B4"/>
    <w:rsid w:val="00DF16FF"/>
    <w:rsid w:val="00DF1740"/>
    <w:rsid w:val="00DF176C"/>
    <w:rsid w:val="00DF17A6"/>
    <w:rsid w:val="00DF17E6"/>
    <w:rsid w:val="00DF1823"/>
    <w:rsid w:val="00DF1844"/>
    <w:rsid w:val="00DF1877"/>
    <w:rsid w:val="00DF187A"/>
    <w:rsid w:val="00DF18A5"/>
    <w:rsid w:val="00DF195E"/>
    <w:rsid w:val="00DF1961"/>
    <w:rsid w:val="00DF1984"/>
    <w:rsid w:val="00DF1988"/>
    <w:rsid w:val="00DF19CB"/>
    <w:rsid w:val="00DF1A24"/>
    <w:rsid w:val="00DF1A57"/>
    <w:rsid w:val="00DF1BE7"/>
    <w:rsid w:val="00DF1C27"/>
    <w:rsid w:val="00DF1C6A"/>
    <w:rsid w:val="00DF1CBD"/>
    <w:rsid w:val="00DF1D10"/>
    <w:rsid w:val="00DF1D2F"/>
    <w:rsid w:val="00DF1D56"/>
    <w:rsid w:val="00DF1E66"/>
    <w:rsid w:val="00DF1E95"/>
    <w:rsid w:val="00DF1FE0"/>
    <w:rsid w:val="00DF1FE5"/>
    <w:rsid w:val="00DF203D"/>
    <w:rsid w:val="00DF204F"/>
    <w:rsid w:val="00DF205B"/>
    <w:rsid w:val="00DF2099"/>
    <w:rsid w:val="00DF209E"/>
    <w:rsid w:val="00DF20A2"/>
    <w:rsid w:val="00DF20D0"/>
    <w:rsid w:val="00DF20F5"/>
    <w:rsid w:val="00DF20FB"/>
    <w:rsid w:val="00DF2141"/>
    <w:rsid w:val="00DF215B"/>
    <w:rsid w:val="00DF2181"/>
    <w:rsid w:val="00DF2190"/>
    <w:rsid w:val="00DF2196"/>
    <w:rsid w:val="00DF21A0"/>
    <w:rsid w:val="00DF227B"/>
    <w:rsid w:val="00DF2282"/>
    <w:rsid w:val="00DF22FA"/>
    <w:rsid w:val="00DF2348"/>
    <w:rsid w:val="00DF23D8"/>
    <w:rsid w:val="00DF2448"/>
    <w:rsid w:val="00DF244B"/>
    <w:rsid w:val="00DF2499"/>
    <w:rsid w:val="00DF24D1"/>
    <w:rsid w:val="00DF2537"/>
    <w:rsid w:val="00DF2582"/>
    <w:rsid w:val="00DF25CF"/>
    <w:rsid w:val="00DF25D0"/>
    <w:rsid w:val="00DF2648"/>
    <w:rsid w:val="00DF264F"/>
    <w:rsid w:val="00DF2651"/>
    <w:rsid w:val="00DF2720"/>
    <w:rsid w:val="00DF27C2"/>
    <w:rsid w:val="00DF27CD"/>
    <w:rsid w:val="00DF2817"/>
    <w:rsid w:val="00DF2871"/>
    <w:rsid w:val="00DF28E9"/>
    <w:rsid w:val="00DF28FB"/>
    <w:rsid w:val="00DF290F"/>
    <w:rsid w:val="00DF2984"/>
    <w:rsid w:val="00DF2998"/>
    <w:rsid w:val="00DF29A7"/>
    <w:rsid w:val="00DF2A94"/>
    <w:rsid w:val="00DF2AD6"/>
    <w:rsid w:val="00DF2AE9"/>
    <w:rsid w:val="00DF2AFB"/>
    <w:rsid w:val="00DF2BAD"/>
    <w:rsid w:val="00DF2C0D"/>
    <w:rsid w:val="00DF2C1A"/>
    <w:rsid w:val="00DF2C66"/>
    <w:rsid w:val="00DF2CE8"/>
    <w:rsid w:val="00DF2D42"/>
    <w:rsid w:val="00DF2DF9"/>
    <w:rsid w:val="00DF2E10"/>
    <w:rsid w:val="00DF2E4B"/>
    <w:rsid w:val="00DF2E5E"/>
    <w:rsid w:val="00DF2EB5"/>
    <w:rsid w:val="00DF2EBA"/>
    <w:rsid w:val="00DF2ED8"/>
    <w:rsid w:val="00DF2EE2"/>
    <w:rsid w:val="00DF2EE3"/>
    <w:rsid w:val="00DF2F5B"/>
    <w:rsid w:val="00DF303A"/>
    <w:rsid w:val="00DF309E"/>
    <w:rsid w:val="00DF3172"/>
    <w:rsid w:val="00DF3185"/>
    <w:rsid w:val="00DF3191"/>
    <w:rsid w:val="00DF3206"/>
    <w:rsid w:val="00DF326D"/>
    <w:rsid w:val="00DF32FE"/>
    <w:rsid w:val="00DF33C9"/>
    <w:rsid w:val="00DF33F9"/>
    <w:rsid w:val="00DF346C"/>
    <w:rsid w:val="00DF34B3"/>
    <w:rsid w:val="00DF34C2"/>
    <w:rsid w:val="00DF34E0"/>
    <w:rsid w:val="00DF3518"/>
    <w:rsid w:val="00DF352E"/>
    <w:rsid w:val="00DF3580"/>
    <w:rsid w:val="00DF3585"/>
    <w:rsid w:val="00DF3599"/>
    <w:rsid w:val="00DF3609"/>
    <w:rsid w:val="00DF3630"/>
    <w:rsid w:val="00DF368C"/>
    <w:rsid w:val="00DF369F"/>
    <w:rsid w:val="00DF36D4"/>
    <w:rsid w:val="00DF3704"/>
    <w:rsid w:val="00DF3758"/>
    <w:rsid w:val="00DF379C"/>
    <w:rsid w:val="00DF37DD"/>
    <w:rsid w:val="00DF383F"/>
    <w:rsid w:val="00DF3868"/>
    <w:rsid w:val="00DF3936"/>
    <w:rsid w:val="00DF398C"/>
    <w:rsid w:val="00DF3A07"/>
    <w:rsid w:val="00DF3AA9"/>
    <w:rsid w:val="00DF3AE0"/>
    <w:rsid w:val="00DF3AF1"/>
    <w:rsid w:val="00DF3B09"/>
    <w:rsid w:val="00DF3B97"/>
    <w:rsid w:val="00DF3B9D"/>
    <w:rsid w:val="00DF3BB1"/>
    <w:rsid w:val="00DF3BFC"/>
    <w:rsid w:val="00DF3C73"/>
    <w:rsid w:val="00DF3CB1"/>
    <w:rsid w:val="00DF3DEA"/>
    <w:rsid w:val="00DF3E20"/>
    <w:rsid w:val="00DF3E54"/>
    <w:rsid w:val="00DF3E78"/>
    <w:rsid w:val="00DF3E83"/>
    <w:rsid w:val="00DF3E9F"/>
    <w:rsid w:val="00DF3EF3"/>
    <w:rsid w:val="00DF3F54"/>
    <w:rsid w:val="00DF3F78"/>
    <w:rsid w:val="00DF3F7B"/>
    <w:rsid w:val="00DF3F89"/>
    <w:rsid w:val="00DF3FE2"/>
    <w:rsid w:val="00DF4082"/>
    <w:rsid w:val="00DF40E6"/>
    <w:rsid w:val="00DF4169"/>
    <w:rsid w:val="00DF41F7"/>
    <w:rsid w:val="00DF4200"/>
    <w:rsid w:val="00DF4236"/>
    <w:rsid w:val="00DF4238"/>
    <w:rsid w:val="00DF42A7"/>
    <w:rsid w:val="00DF4305"/>
    <w:rsid w:val="00DF433E"/>
    <w:rsid w:val="00DF43D9"/>
    <w:rsid w:val="00DF4430"/>
    <w:rsid w:val="00DF446A"/>
    <w:rsid w:val="00DF4478"/>
    <w:rsid w:val="00DF44B7"/>
    <w:rsid w:val="00DF459C"/>
    <w:rsid w:val="00DF45A4"/>
    <w:rsid w:val="00DF45C6"/>
    <w:rsid w:val="00DF467A"/>
    <w:rsid w:val="00DF46EC"/>
    <w:rsid w:val="00DF4767"/>
    <w:rsid w:val="00DF47A0"/>
    <w:rsid w:val="00DF47B1"/>
    <w:rsid w:val="00DF47F5"/>
    <w:rsid w:val="00DF4803"/>
    <w:rsid w:val="00DF48CA"/>
    <w:rsid w:val="00DF49A8"/>
    <w:rsid w:val="00DF49BF"/>
    <w:rsid w:val="00DF49DB"/>
    <w:rsid w:val="00DF49EA"/>
    <w:rsid w:val="00DF4A96"/>
    <w:rsid w:val="00DF4A9E"/>
    <w:rsid w:val="00DF4AC1"/>
    <w:rsid w:val="00DF4AF5"/>
    <w:rsid w:val="00DF4B5C"/>
    <w:rsid w:val="00DF4C87"/>
    <w:rsid w:val="00DF4D0D"/>
    <w:rsid w:val="00DF4D70"/>
    <w:rsid w:val="00DF4D76"/>
    <w:rsid w:val="00DF4DD6"/>
    <w:rsid w:val="00DF4DDF"/>
    <w:rsid w:val="00DF4E28"/>
    <w:rsid w:val="00DF4E57"/>
    <w:rsid w:val="00DF4E81"/>
    <w:rsid w:val="00DF4EED"/>
    <w:rsid w:val="00DF4F81"/>
    <w:rsid w:val="00DF4F97"/>
    <w:rsid w:val="00DF4FEC"/>
    <w:rsid w:val="00DF50E9"/>
    <w:rsid w:val="00DF5155"/>
    <w:rsid w:val="00DF517F"/>
    <w:rsid w:val="00DF519E"/>
    <w:rsid w:val="00DF521C"/>
    <w:rsid w:val="00DF5243"/>
    <w:rsid w:val="00DF5257"/>
    <w:rsid w:val="00DF52A7"/>
    <w:rsid w:val="00DF534F"/>
    <w:rsid w:val="00DF542A"/>
    <w:rsid w:val="00DF5484"/>
    <w:rsid w:val="00DF54EF"/>
    <w:rsid w:val="00DF550B"/>
    <w:rsid w:val="00DF5576"/>
    <w:rsid w:val="00DF557F"/>
    <w:rsid w:val="00DF561C"/>
    <w:rsid w:val="00DF5675"/>
    <w:rsid w:val="00DF56AD"/>
    <w:rsid w:val="00DF5702"/>
    <w:rsid w:val="00DF5716"/>
    <w:rsid w:val="00DF5718"/>
    <w:rsid w:val="00DF5726"/>
    <w:rsid w:val="00DF576E"/>
    <w:rsid w:val="00DF5790"/>
    <w:rsid w:val="00DF57A5"/>
    <w:rsid w:val="00DF5824"/>
    <w:rsid w:val="00DF5827"/>
    <w:rsid w:val="00DF5982"/>
    <w:rsid w:val="00DF59D9"/>
    <w:rsid w:val="00DF59FA"/>
    <w:rsid w:val="00DF5A2A"/>
    <w:rsid w:val="00DF5A64"/>
    <w:rsid w:val="00DF5A92"/>
    <w:rsid w:val="00DF5AFB"/>
    <w:rsid w:val="00DF5B68"/>
    <w:rsid w:val="00DF5B6E"/>
    <w:rsid w:val="00DF5B74"/>
    <w:rsid w:val="00DF5C6A"/>
    <w:rsid w:val="00DF5C8B"/>
    <w:rsid w:val="00DF5CA0"/>
    <w:rsid w:val="00DF5CCD"/>
    <w:rsid w:val="00DF5D1C"/>
    <w:rsid w:val="00DF5D2F"/>
    <w:rsid w:val="00DF5D3C"/>
    <w:rsid w:val="00DF5D6F"/>
    <w:rsid w:val="00DF5DAE"/>
    <w:rsid w:val="00DF5DB0"/>
    <w:rsid w:val="00DF5DB6"/>
    <w:rsid w:val="00DF5EA3"/>
    <w:rsid w:val="00DF5EDF"/>
    <w:rsid w:val="00DF5EEE"/>
    <w:rsid w:val="00DF5EFD"/>
    <w:rsid w:val="00DF5F09"/>
    <w:rsid w:val="00DF5F3B"/>
    <w:rsid w:val="00DF5F80"/>
    <w:rsid w:val="00DF5F99"/>
    <w:rsid w:val="00DF5FBE"/>
    <w:rsid w:val="00DF620C"/>
    <w:rsid w:val="00DF622A"/>
    <w:rsid w:val="00DF627C"/>
    <w:rsid w:val="00DF62F2"/>
    <w:rsid w:val="00DF6311"/>
    <w:rsid w:val="00DF6313"/>
    <w:rsid w:val="00DF6318"/>
    <w:rsid w:val="00DF6339"/>
    <w:rsid w:val="00DF6349"/>
    <w:rsid w:val="00DF636E"/>
    <w:rsid w:val="00DF6443"/>
    <w:rsid w:val="00DF645C"/>
    <w:rsid w:val="00DF6477"/>
    <w:rsid w:val="00DF649A"/>
    <w:rsid w:val="00DF64C3"/>
    <w:rsid w:val="00DF64E3"/>
    <w:rsid w:val="00DF64E7"/>
    <w:rsid w:val="00DF6534"/>
    <w:rsid w:val="00DF6678"/>
    <w:rsid w:val="00DF6823"/>
    <w:rsid w:val="00DF6829"/>
    <w:rsid w:val="00DF6895"/>
    <w:rsid w:val="00DF68E7"/>
    <w:rsid w:val="00DF6918"/>
    <w:rsid w:val="00DF6970"/>
    <w:rsid w:val="00DF69E8"/>
    <w:rsid w:val="00DF6A12"/>
    <w:rsid w:val="00DF6A6E"/>
    <w:rsid w:val="00DF6A99"/>
    <w:rsid w:val="00DF6BD9"/>
    <w:rsid w:val="00DF6CA1"/>
    <w:rsid w:val="00DF6CC4"/>
    <w:rsid w:val="00DF6CE2"/>
    <w:rsid w:val="00DF6D3D"/>
    <w:rsid w:val="00DF6E5F"/>
    <w:rsid w:val="00DF6E70"/>
    <w:rsid w:val="00DF6EB0"/>
    <w:rsid w:val="00DF6ECE"/>
    <w:rsid w:val="00DF6EFA"/>
    <w:rsid w:val="00DF6F2A"/>
    <w:rsid w:val="00DF6F55"/>
    <w:rsid w:val="00DF6F99"/>
    <w:rsid w:val="00DF70A0"/>
    <w:rsid w:val="00DF70AF"/>
    <w:rsid w:val="00DF70DD"/>
    <w:rsid w:val="00DF70F4"/>
    <w:rsid w:val="00DF713D"/>
    <w:rsid w:val="00DF71AA"/>
    <w:rsid w:val="00DF71E0"/>
    <w:rsid w:val="00DF72A1"/>
    <w:rsid w:val="00DF72B2"/>
    <w:rsid w:val="00DF7315"/>
    <w:rsid w:val="00DF737B"/>
    <w:rsid w:val="00DF739E"/>
    <w:rsid w:val="00DF73FD"/>
    <w:rsid w:val="00DF7436"/>
    <w:rsid w:val="00DF7437"/>
    <w:rsid w:val="00DF7449"/>
    <w:rsid w:val="00DF7510"/>
    <w:rsid w:val="00DF755C"/>
    <w:rsid w:val="00DF757A"/>
    <w:rsid w:val="00DF7682"/>
    <w:rsid w:val="00DF76C8"/>
    <w:rsid w:val="00DF77E5"/>
    <w:rsid w:val="00DF77F0"/>
    <w:rsid w:val="00DF7885"/>
    <w:rsid w:val="00DF790F"/>
    <w:rsid w:val="00DF7936"/>
    <w:rsid w:val="00DF799A"/>
    <w:rsid w:val="00DF79E5"/>
    <w:rsid w:val="00DF7A78"/>
    <w:rsid w:val="00DF7BBB"/>
    <w:rsid w:val="00DF7BDD"/>
    <w:rsid w:val="00DF7C54"/>
    <w:rsid w:val="00DF7C99"/>
    <w:rsid w:val="00DF7CEC"/>
    <w:rsid w:val="00DF7D09"/>
    <w:rsid w:val="00DF7D69"/>
    <w:rsid w:val="00DF7EA7"/>
    <w:rsid w:val="00DF7EB1"/>
    <w:rsid w:val="00DF7EB7"/>
    <w:rsid w:val="00DF7EFF"/>
    <w:rsid w:val="00DF7F1B"/>
    <w:rsid w:val="00DF7F25"/>
    <w:rsid w:val="00DF7F36"/>
    <w:rsid w:val="00DF7F9F"/>
    <w:rsid w:val="00DF7FF1"/>
    <w:rsid w:val="00DF8597"/>
    <w:rsid w:val="00E00094"/>
    <w:rsid w:val="00E00156"/>
    <w:rsid w:val="00E001E7"/>
    <w:rsid w:val="00E001E9"/>
    <w:rsid w:val="00E00201"/>
    <w:rsid w:val="00E00207"/>
    <w:rsid w:val="00E00232"/>
    <w:rsid w:val="00E0023F"/>
    <w:rsid w:val="00E00288"/>
    <w:rsid w:val="00E002F2"/>
    <w:rsid w:val="00E00326"/>
    <w:rsid w:val="00E0037B"/>
    <w:rsid w:val="00E00387"/>
    <w:rsid w:val="00E004A0"/>
    <w:rsid w:val="00E00531"/>
    <w:rsid w:val="00E00537"/>
    <w:rsid w:val="00E005F2"/>
    <w:rsid w:val="00E0066F"/>
    <w:rsid w:val="00E00788"/>
    <w:rsid w:val="00E00816"/>
    <w:rsid w:val="00E008C5"/>
    <w:rsid w:val="00E008DA"/>
    <w:rsid w:val="00E00924"/>
    <w:rsid w:val="00E0099B"/>
    <w:rsid w:val="00E0099F"/>
    <w:rsid w:val="00E009F9"/>
    <w:rsid w:val="00E00A44"/>
    <w:rsid w:val="00E00A5D"/>
    <w:rsid w:val="00E00AA8"/>
    <w:rsid w:val="00E00AAB"/>
    <w:rsid w:val="00E00AF4"/>
    <w:rsid w:val="00E00B1C"/>
    <w:rsid w:val="00E00B25"/>
    <w:rsid w:val="00E00B26"/>
    <w:rsid w:val="00E00B71"/>
    <w:rsid w:val="00E00B7D"/>
    <w:rsid w:val="00E00BCF"/>
    <w:rsid w:val="00E00BD3"/>
    <w:rsid w:val="00E00CB7"/>
    <w:rsid w:val="00E00DB6"/>
    <w:rsid w:val="00E00E1F"/>
    <w:rsid w:val="00E00E51"/>
    <w:rsid w:val="00E00E6D"/>
    <w:rsid w:val="00E00E7F"/>
    <w:rsid w:val="00E00F1A"/>
    <w:rsid w:val="00E00F4A"/>
    <w:rsid w:val="00E010BE"/>
    <w:rsid w:val="00E0117D"/>
    <w:rsid w:val="00E0118F"/>
    <w:rsid w:val="00E011C0"/>
    <w:rsid w:val="00E01202"/>
    <w:rsid w:val="00E01214"/>
    <w:rsid w:val="00E0127C"/>
    <w:rsid w:val="00E012D2"/>
    <w:rsid w:val="00E0133F"/>
    <w:rsid w:val="00E013CF"/>
    <w:rsid w:val="00E013D6"/>
    <w:rsid w:val="00E0142B"/>
    <w:rsid w:val="00E01446"/>
    <w:rsid w:val="00E01449"/>
    <w:rsid w:val="00E01472"/>
    <w:rsid w:val="00E014AB"/>
    <w:rsid w:val="00E01531"/>
    <w:rsid w:val="00E0156E"/>
    <w:rsid w:val="00E0156F"/>
    <w:rsid w:val="00E01586"/>
    <w:rsid w:val="00E01592"/>
    <w:rsid w:val="00E01593"/>
    <w:rsid w:val="00E015A1"/>
    <w:rsid w:val="00E0163C"/>
    <w:rsid w:val="00E0175F"/>
    <w:rsid w:val="00E0178A"/>
    <w:rsid w:val="00E017CF"/>
    <w:rsid w:val="00E01804"/>
    <w:rsid w:val="00E0188D"/>
    <w:rsid w:val="00E018C5"/>
    <w:rsid w:val="00E018E8"/>
    <w:rsid w:val="00E018F7"/>
    <w:rsid w:val="00E01993"/>
    <w:rsid w:val="00E019DF"/>
    <w:rsid w:val="00E019F4"/>
    <w:rsid w:val="00E01A40"/>
    <w:rsid w:val="00E01A49"/>
    <w:rsid w:val="00E01B0F"/>
    <w:rsid w:val="00E01B20"/>
    <w:rsid w:val="00E01B46"/>
    <w:rsid w:val="00E01CB9"/>
    <w:rsid w:val="00E01CFD"/>
    <w:rsid w:val="00E01D1A"/>
    <w:rsid w:val="00E01D7D"/>
    <w:rsid w:val="00E01D7E"/>
    <w:rsid w:val="00E01DBE"/>
    <w:rsid w:val="00E01DE3"/>
    <w:rsid w:val="00E01E02"/>
    <w:rsid w:val="00E01E68"/>
    <w:rsid w:val="00E01E95"/>
    <w:rsid w:val="00E02079"/>
    <w:rsid w:val="00E020D3"/>
    <w:rsid w:val="00E02161"/>
    <w:rsid w:val="00E0216D"/>
    <w:rsid w:val="00E021AE"/>
    <w:rsid w:val="00E0235C"/>
    <w:rsid w:val="00E0236C"/>
    <w:rsid w:val="00E023E4"/>
    <w:rsid w:val="00E0240A"/>
    <w:rsid w:val="00E02437"/>
    <w:rsid w:val="00E02578"/>
    <w:rsid w:val="00E0258E"/>
    <w:rsid w:val="00E025B9"/>
    <w:rsid w:val="00E0262D"/>
    <w:rsid w:val="00E0265E"/>
    <w:rsid w:val="00E02674"/>
    <w:rsid w:val="00E0284F"/>
    <w:rsid w:val="00E0285C"/>
    <w:rsid w:val="00E02887"/>
    <w:rsid w:val="00E02896"/>
    <w:rsid w:val="00E0289B"/>
    <w:rsid w:val="00E028F2"/>
    <w:rsid w:val="00E02913"/>
    <w:rsid w:val="00E02981"/>
    <w:rsid w:val="00E029D8"/>
    <w:rsid w:val="00E02A8B"/>
    <w:rsid w:val="00E02A99"/>
    <w:rsid w:val="00E02B04"/>
    <w:rsid w:val="00E02B0C"/>
    <w:rsid w:val="00E02B82"/>
    <w:rsid w:val="00E02BFA"/>
    <w:rsid w:val="00E02C5E"/>
    <w:rsid w:val="00E02C66"/>
    <w:rsid w:val="00E02D71"/>
    <w:rsid w:val="00E02DDB"/>
    <w:rsid w:val="00E02DF5"/>
    <w:rsid w:val="00E02E9F"/>
    <w:rsid w:val="00E02ED5"/>
    <w:rsid w:val="00E02F00"/>
    <w:rsid w:val="00E02FD4"/>
    <w:rsid w:val="00E03002"/>
    <w:rsid w:val="00E03004"/>
    <w:rsid w:val="00E03095"/>
    <w:rsid w:val="00E03111"/>
    <w:rsid w:val="00E03129"/>
    <w:rsid w:val="00E03157"/>
    <w:rsid w:val="00E031A7"/>
    <w:rsid w:val="00E031B3"/>
    <w:rsid w:val="00E03200"/>
    <w:rsid w:val="00E03260"/>
    <w:rsid w:val="00E03267"/>
    <w:rsid w:val="00E03318"/>
    <w:rsid w:val="00E033EE"/>
    <w:rsid w:val="00E03434"/>
    <w:rsid w:val="00E03455"/>
    <w:rsid w:val="00E03604"/>
    <w:rsid w:val="00E03615"/>
    <w:rsid w:val="00E03644"/>
    <w:rsid w:val="00E03657"/>
    <w:rsid w:val="00E0373E"/>
    <w:rsid w:val="00E037BA"/>
    <w:rsid w:val="00E037FA"/>
    <w:rsid w:val="00E0386A"/>
    <w:rsid w:val="00E038C7"/>
    <w:rsid w:val="00E038EA"/>
    <w:rsid w:val="00E03920"/>
    <w:rsid w:val="00E0395A"/>
    <w:rsid w:val="00E0399C"/>
    <w:rsid w:val="00E039DF"/>
    <w:rsid w:val="00E03A76"/>
    <w:rsid w:val="00E03A7B"/>
    <w:rsid w:val="00E03A92"/>
    <w:rsid w:val="00E03AB2"/>
    <w:rsid w:val="00E03B67"/>
    <w:rsid w:val="00E03C2A"/>
    <w:rsid w:val="00E03CD4"/>
    <w:rsid w:val="00E03CF0"/>
    <w:rsid w:val="00E03DE5"/>
    <w:rsid w:val="00E03E0B"/>
    <w:rsid w:val="00E03E67"/>
    <w:rsid w:val="00E03EAA"/>
    <w:rsid w:val="00E03EBC"/>
    <w:rsid w:val="00E03F25"/>
    <w:rsid w:val="00E03F8F"/>
    <w:rsid w:val="00E03F91"/>
    <w:rsid w:val="00E04014"/>
    <w:rsid w:val="00E0406F"/>
    <w:rsid w:val="00E04075"/>
    <w:rsid w:val="00E040D6"/>
    <w:rsid w:val="00E04120"/>
    <w:rsid w:val="00E041A3"/>
    <w:rsid w:val="00E04202"/>
    <w:rsid w:val="00E04216"/>
    <w:rsid w:val="00E04275"/>
    <w:rsid w:val="00E042AA"/>
    <w:rsid w:val="00E042B0"/>
    <w:rsid w:val="00E043DF"/>
    <w:rsid w:val="00E043F9"/>
    <w:rsid w:val="00E0450E"/>
    <w:rsid w:val="00E04538"/>
    <w:rsid w:val="00E0453B"/>
    <w:rsid w:val="00E04554"/>
    <w:rsid w:val="00E0455A"/>
    <w:rsid w:val="00E04569"/>
    <w:rsid w:val="00E045BB"/>
    <w:rsid w:val="00E04654"/>
    <w:rsid w:val="00E04678"/>
    <w:rsid w:val="00E046C7"/>
    <w:rsid w:val="00E046CB"/>
    <w:rsid w:val="00E047BC"/>
    <w:rsid w:val="00E047F6"/>
    <w:rsid w:val="00E04818"/>
    <w:rsid w:val="00E04872"/>
    <w:rsid w:val="00E0489A"/>
    <w:rsid w:val="00E048D5"/>
    <w:rsid w:val="00E04933"/>
    <w:rsid w:val="00E04973"/>
    <w:rsid w:val="00E049F9"/>
    <w:rsid w:val="00E04A52"/>
    <w:rsid w:val="00E04A76"/>
    <w:rsid w:val="00E04AFB"/>
    <w:rsid w:val="00E04B50"/>
    <w:rsid w:val="00E04B70"/>
    <w:rsid w:val="00E04BCD"/>
    <w:rsid w:val="00E04BEF"/>
    <w:rsid w:val="00E04C2F"/>
    <w:rsid w:val="00E04C4C"/>
    <w:rsid w:val="00E04C63"/>
    <w:rsid w:val="00E04C77"/>
    <w:rsid w:val="00E04C89"/>
    <w:rsid w:val="00E04C91"/>
    <w:rsid w:val="00E04CAC"/>
    <w:rsid w:val="00E04CC6"/>
    <w:rsid w:val="00E04D5E"/>
    <w:rsid w:val="00E04D6C"/>
    <w:rsid w:val="00E04D9B"/>
    <w:rsid w:val="00E04DC6"/>
    <w:rsid w:val="00E04DDE"/>
    <w:rsid w:val="00E04E0F"/>
    <w:rsid w:val="00E04E92"/>
    <w:rsid w:val="00E04E93"/>
    <w:rsid w:val="00E04EE4"/>
    <w:rsid w:val="00E04F05"/>
    <w:rsid w:val="00E04F09"/>
    <w:rsid w:val="00E04F36"/>
    <w:rsid w:val="00E04F77"/>
    <w:rsid w:val="00E0500F"/>
    <w:rsid w:val="00E0505D"/>
    <w:rsid w:val="00E05064"/>
    <w:rsid w:val="00E0519E"/>
    <w:rsid w:val="00E051ED"/>
    <w:rsid w:val="00E051F4"/>
    <w:rsid w:val="00E0522A"/>
    <w:rsid w:val="00E05278"/>
    <w:rsid w:val="00E052EE"/>
    <w:rsid w:val="00E052F4"/>
    <w:rsid w:val="00E05370"/>
    <w:rsid w:val="00E0543F"/>
    <w:rsid w:val="00E0548B"/>
    <w:rsid w:val="00E0549E"/>
    <w:rsid w:val="00E054CF"/>
    <w:rsid w:val="00E05546"/>
    <w:rsid w:val="00E05563"/>
    <w:rsid w:val="00E05683"/>
    <w:rsid w:val="00E056D2"/>
    <w:rsid w:val="00E056F3"/>
    <w:rsid w:val="00E0572B"/>
    <w:rsid w:val="00E05759"/>
    <w:rsid w:val="00E057FE"/>
    <w:rsid w:val="00E0581D"/>
    <w:rsid w:val="00E058BD"/>
    <w:rsid w:val="00E058FB"/>
    <w:rsid w:val="00E05953"/>
    <w:rsid w:val="00E05965"/>
    <w:rsid w:val="00E0598B"/>
    <w:rsid w:val="00E0598E"/>
    <w:rsid w:val="00E059CE"/>
    <w:rsid w:val="00E05A02"/>
    <w:rsid w:val="00E05A35"/>
    <w:rsid w:val="00E05A9D"/>
    <w:rsid w:val="00E05B49"/>
    <w:rsid w:val="00E05B4F"/>
    <w:rsid w:val="00E05B51"/>
    <w:rsid w:val="00E05B79"/>
    <w:rsid w:val="00E05BE5"/>
    <w:rsid w:val="00E05BF3"/>
    <w:rsid w:val="00E05C30"/>
    <w:rsid w:val="00E05C3E"/>
    <w:rsid w:val="00E05C57"/>
    <w:rsid w:val="00E05C74"/>
    <w:rsid w:val="00E05D28"/>
    <w:rsid w:val="00E05D8D"/>
    <w:rsid w:val="00E05E27"/>
    <w:rsid w:val="00E05EB8"/>
    <w:rsid w:val="00E05EC6"/>
    <w:rsid w:val="00E06022"/>
    <w:rsid w:val="00E06092"/>
    <w:rsid w:val="00E0609C"/>
    <w:rsid w:val="00E060B1"/>
    <w:rsid w:val="00E06127"/>
    <w:rsid w:val="00E06163"/>
    <w:rsid w:val="00E0619E"/>
    <w:rsid w:val="00E061E5"/>
    <w:rsid w:val="00E06212"/>
    <w:rsid w:val="00E06234"/>
    <w:rsid w:val="00E0624D"/>
    <w:rsid w:val="00E0625D"/>
    <w:rsid w:val="00E062A7"/>
    <w:rsid w:val="00E062DC"/>
    <w:rsid w:val="00E063A5"/>
    <w:rsid w:val="00E063EF"/>
    <w:rsid w:val="00E064E1"/>
    <w:rsid w:val="00E06563"/>
    <w:rsid w:val="00E0658E"/>
    <w:rsid w:val="00E065A8"/>
    <w:rsid w:val="00E065C8"/>
    <w:rsid w:val="00E065D4"/>
    <w:rsid w:val="00E065F9"/>
    <w:rsid w:val="00E06642"/>
    <w:rsid w:val="00E06689"/>
    <w:rsid w:val="00E066D5"/>
    <w:rsid w:val="00E06719"/>
    <w:rsid w:val="00E06769"/>
    <w:rsid w:val="00E067A6"/>
    <w:rsid w:val="00E067D7"/>
    <w:rsid w:val="00E0685F"/>
    <w:rsid w:val="00E0687F"/>
    <w:rsid w:val="00E06949"/>
    <w:rsid w:val="00E069E2"/>
    <w:rsid w:val="00E06A73"/>
    <w:rsid w:val="00E06B00"/>
    <w:rsid w:val="00E06C66"/>
    <w:rsid w:val="00E06C6E"/>
    <w:rsid w:val="00E06C74"/>
    <w:rsid w:val="00E06C95"/>
    <w:rsid w:val="00E06D41"/>
    <w:rsid w:val="00E06D61"/>
    <w:rsid w:val="00E06E47"/>
    <w:rsid w:val="00E06E7D"/>
    <w:rsid w:val="00E06EB5"/>
    <w:rsid w:val="00E06F9F"/>
    <w:rsid w:val="00E06FC6"/>
    <w:rsid w:val="00E06FE2"/>
    <w:rsid w:val="00E07013"/>
    <w:rsid w:val="00E070D6"/>
    <w:rsid w:val="00E07124"/>
    <w:rsid w:val="00E07198"/>
    <w:rsid w:val="00E071A7"/>
    <w:rsid w:val="00E0722C"/>
    <w:rsid w:val="00E0727E"/>
    <w:rsid w:val="00E0730B"/>
    <w:rsid w:val="00E07342"/>
    <w:rsid w:val="00E0734A"/>
    <w:rsid w:val="00E073D6"/>
    <w:rsid w:val="00E073D9"/>
    <w:rsid w:val="00E07418"/>
    <w:rsid w:val="00E074E4"/>
    <w:rsid w:val="00E07528"/>
    <w:rsid w:val="00E075A5"/>
    <w:rsid w:val="00E075CB"/>
    <w:rsid w:val="00E0760D"/>
    <w:rsid w:val="00E0769D"/>
    <w:rsid w:val="00E076B0"/>
    <w:rsid w:val="00E076E6"/>
    <w:rsid w:val="00E07723"/>
    <w:rsid w:val="00E07733"/>
    <w:rsid w:val="00E07736"/>
    <w:rsid w:val="00E07788"/>
    <w:rsid w:val="00E077E0"/>
    <w:rsid w:val="00E0781F"/>
    <w:rsid w:val="00E078BD"/>
    <w:rsid w:val="00E0799C"/>
    <w:rsid w:val="00E079A4"/>
    <w:rsid w:val="00E079D1"/>
    <w:rsid w:val="00E079D5"/>
    <w:rsid w:val="00E07A14"/>
    <w:rsid w:val="00E07A5D"/>
    <w:rsid w:val="00E07A90"/>
    <w:rsid w:val="00E07AE6"/>
    <w:rsid w:val="00E07AFD"/>
    <w:rsid w:val="00E07B4A"/>
    <w:rsid w:val="00E07B57"/>
    <w:rsid w:val="00E07BDA"/>
    <w:rsid w:val="00E07CC3"/>
    <w:rsid w:val="00E07CD8"/>
    <w:rsid w:val="00E07D0C"/>
    <w:rsid w:val="00E07DED"/>
    <w:rsid w:val="00E07E23"/>
    <w:rsid w:val="00E07EFD"/>
    <w:rsid w:val="00E07F40"/>
    <w:rsid w:val="00E10001"/>
    <w:rsid w:val="00E100B2"/>
    <w:rsid w:val="00E100C5"/>
    <w:rsid w:val="00E100F6"/>
    <w:rsid w:val="00E10165"/>
    <w:rsid w:val="00E1017A"/>
    <w:rsid w:val="00E101A1"/>
    <w:rsid w:val="00E10272"/>
    <w:rsid w:val="00E102B0"/>
    <w:rsid w:val="00E102CB"/>
    <w:rsid w:val="00E102FC"/>
    <w:rsid w:val="00E10323"/>
    <w:rsid w:val="00E1033C"/>
    <w:rsid w:val="00E103F6"/>
    <w:rsid w:val="00E103FF"/>
    <w:rsid w:val="00E10485"/>
    <w:rsid w:val="00E10514"/>
    <w:rsid w:val="00E10536"/>
    <w:rsid w:val="00E1054F"/>
    <w:rsid w:val="00E10556"/>
    <w:rsid w:val="00E10570"/>
    <w:rsid w:val="00E105A4"/>
    <w:rsid w:val="00E105CF"/>
    <w:rsid w:val="00E10623"/>
    <w:rsid w:val="00E10627"/>
    <w:rsid w:val="00E106E5"/>
    <w:rsid w:val="00E1075A"/>
    <w:rsid w:val="00E107DE"/>
    <w:rsid w:val="00E107ED"/>
    <w:rsid w:val="00E10813"/>
    <w:rsid w:val="00E108B4"/>
    <w:rsid w:val="00E10915"/>
    <w:rsid w:val="00E1095B"/>
    <w:rsid w:val="00E109A2"/>
    <w:rsid w:val="00E109A4"/>
    <w:rsid w:val="00E109CC"/>
    <w:rsid w:val="00E10ACD"/>
    <w:rsid w:val="00E10B15"/>
    <w:rsid w:val="00E10B2F"/>
    <w:rsid w:val="00E10B37"/>
    <w:rsid w:val="00E10C04"/>
    <w:rsid w:val="00E10C35"/>
    <w:rsid w:val="00E10C7B"/>
    <w:rsid w:val="00E10CBD"/>
    <w:rsid w:val="00E10CD3"/>
    <w:rsid w:val="00E10D13"/>
    <w:rsid w:val="00E10D9E"/>
    <w:rsid w:val="00E10E02"/>
    <w:rsid w:val="00E10FFD"/>
    <w:rsid w:val="00E11015"/>
    <w:rsid w:val="00E11020"/>
    <w:rsid w:val="00E11068"/>
    <w:rsid w:val="00E110F1"/>
    <w:rsid w:val="00E1110B"/>
    <w:rsid w:val="00E11147"/>
    <w:rsid w:val="00E1116D"/>
    <w:rsid w:val="00E11341"/>
    <w:rsid w:val="00E11503"/>
    <w:rsid w:val="00E11513"/>
    <w:rsid w:val="00E11536"/>
    <w:rsid w:val="00E1155A"/>
    <w:rsid w:val="00E11584"/>
    <w:rsid w:val="00E115B8"/>
    <w:rsid w:val="00E115F3"/>
    <w:rsid w:val="00E1166C"/>
    <w:rsid w:val="00E11725"/>
    <w:rsid w:val="00E1172B"/>
    <w:rsid w:val="00E11734"/>
    <w:rsid w:val="00E117F1"/>
    <w:rsid w:val="00E117FA"/>
    <w:rsid w:val="00E1181E"/>
    <w:rsid w:val="00E11830"/>
    <w:rsid w:val="00E1183C"/>
    <w:rsid w:val="00E1186A"/>
    <w:rsid w:val="00E11890"/>
    <w:rsid w:val="00E1194D"/>
    <w:rsid w:val="00E11974"/>
    <w:rsid w:val="00E11A16"/>
    <w:rsid w:val="00E11A1A"/>
    <w:rsid w:val="00E11A57"/>
    <w:rsid w:val="00E11B0D"/>
    <w:rsid w:val="00E11B0F"/>
    <w:rsid w:val="00E11B4B"/>
    <w:rsid w:val="00E11B5F"/>
    <w:rsid w:val="00E11BEE"/>
    <w:rsid w:val="00E11C3F"/>
    <w:rsid w:val="00E11C97"/>
    <w:rsid w:val="00E11D54"/>
    <w:rsid w:val="00E11DB3"/>
    <w:rsid w:val="00E11DC2"/>
    <w:rsid w:val="00E11E03"/>
    <w:rsid w:val="00E11E50"/>
    <w:rsid w:val="00E11EFD"/>
    <w:rsid w:val="00E11F19"/>
    <w:rsid w:val="00E11F49"/>
    <w:rsid w:val="00E11FC6"/>
    <w:rsid w:val="00E11FD0"/>
    <w:rsid w:val="00E120CB"/>
    <w:rsid w:val="00E120D1"/>
    <w:rsid w:val="00E12135"/>
    <w:rsid w:val="00E1215E"/>
    <w:rsid w:val="00E12276"/>
    <w:rsid w:val="00E122CA"/>
    <w:rsid w:val="00E12303"/>
    <w:rsid w:val="00E1237A"/>
    <w:rsid w:val="00E123AE"/>
    <w:rsid w:val="00E123BA"/>
    <w:rsid w:val="00E123F8"/>
    <w:rsid w:val="00E123F9"/>
    <w:rsid w:val="00E123FF"/>
    <w:rsid w:val="00E12500"/>
    <w:rsid w:val="00E12507"/>
    <w:rsid w:val="00E12538"/>
    <w:rsid w:val="00E1258C"/>
    <w:rsid w:val="00E125B8"/>
    <w:rsid w:val="00E125C7"/>
    <w:rsid w:val="00E125CD"/>
    <w:rsid w:val="00E12605"/>
    <w:rsid w:val="00E12697"/>
    <w:rsid w:val="00E12793"/>
    <w:rsid w:val="00E127E8"/>
    <w:rsid w:val="00E1286A"/>
    <w:rsid w:val="00E128A6"/>
    <w:rsid w:val="00E12921"/>
    <w:rsid w:val="00E12956"/>
    <w:rsid w:val="00E12972"/>
    <w:rsid w:val="00E1299A"/>
    <w:rsid w:val="00E129D7"/>
    <w:rsid w:val="00E12A07"/>
    <w:rsid w:val="00E12AC2"/>
    <w:rsid w:val="00E12BCB"/>
    <w:rsid w:val="00E12C04"/>
    <w:rsid w:val="00E12C0C"/>
    <w:rsid w:val="00E12C1E"/>
    <w:rsid w:val="00E12C68"/>
    <w:rsid w:val="00E12CA7"/>
    <w:rsid w:val="00E12CD5"/>
    <w:rsid w:val="00E12D2C"/>
    <w:rsid w:val="00E12D30"/>
    <w:rsid w:val="00E12D67"/>
    <w:rsid w:val="00E12D7C"/>
    <w:rsid w:val="00E12DA0"/>
    <w:rsid w:val="00E12DC8"/>
    <w:rsid w:val="00E12E28"/>
    <w:rsid w:val="00E12EF9"/>
    <w:rsid w:val="00E12FA8"/>
    <w:rsid w:val="00E12FE4"/>
    <w:rsid w:val="00E1314D"/>
    <w:rsid w:val="00E1315B"/>
    <w:rsid w:val="00E13231"/>
    <w:rsid w:val="00E13291"/>
    <w:rsid w:val="00E132B6"/>
    <w:rsid w:val="00E132BA"/>
    <w:rsid w:val="00E132C1"/>
    <w:rsid w:val="00E132DD"/>
    <w:rsid w:val="00E132F5"/>
    <w:rsid w:val="00E13300"/>
    <w:rsid w:val="00E1339E"/>
    <w:rsid w:val="00E133B4"/>
    <w:rsid w:val="00E133C2"/>
    <w:rsid w:val="00E133D6"/>
    <w:rsid w:val="00E13473"/>
    <w:rsid w:val="00E135D9"/>
    <w:rsid w:val="00E136F5"/>
    <w:rsid w:val="00E13718"/>
    <w:rsid w:val="00E1379C"/>
    <w:rsid w:val="00E137C4"/>
    <w:rsid w:val="00E137FE"/>
    <w:rsid w:val="00E138D4"/>
    <w:rsid w:val="00E13909"/>
    <w:rsid w:val="00E13940"/>
    <w:rsid w:val="00E1395E"/>
    <w:rsid w:val="00E1399A"/>
    <w:rsid w:val="00E139A1"/>
    <w:rsid w:val="00E13A19"/>
    <w:rsid w:val="00E13A39"/>
    <w:rsid w:val="00E13B80"/>
    <w:rsid w:val="00E13BDA"/>
    <w:rsid w:val="00E13C62"/>
    <w:rsid w:val="00E13C8F"/>
    <w:rsid w:val="00E13CD0"/>
    <w:rsid w:val="00E13CD5"/>
    <w:rsid w:val="00E13D7E"/>
    <w:rsid w:val="00E13E20"/>
    <w:rsid w:val="00E13E63"/>
    <w:rsid w:val="00E13EE8"/>
    <w:rsid w:val="00E13EFE"/>
    <w:rsid w:val="00E13F05"/>
    <w:rsid w:val="00E13F55"/>
    <w:rsid w:val="00E13FED"/>
    <w:rsid w:val="00E1400D"/>
    <w:rsid w:val="00E1404F"/>
    <w:rsid w:val="00E14069"/>
    <w:rsid w:val="00E140A4"/>
    <w:rsid w:val="00E14126"/>
    <w:rsid w:val="00E14127"/>
    <w:rsid w:val="00E14146"/>
    <w:rsid w:val="00E1425C"/>
    <w:rsid w:val="00E142CE"/>
    <w:rsid w:val="00E14350"/>
    <w:rsid w:val="00E14368"/>
    <w:rsid w:val="00E143CD"/>
    <w:rsid w:val="00E143EE"/>
    <w:rsid w:val="00E1442B"/>
    <w:rsid w:val="00E144CF"/>
    <w:rsid w:val="00E144EB"/>
    <w:rsid w:val="00E14501"/>
    <w:rsid w:val="00E14535"/>
    <w:rsid w:val="00E1457A"/>
    <w:rsid w:val="00E14612"/>
    <w:rsid w:val="00E1474F"/>
    <w:rsid w:val="00E147A9"/>
    <w:rsid w:val="00E14844"/>
    <w:rsid w:val="00E1490C"/>
    <w:rsid w:val="00E14928"/>
    <w:rsid w:val="00E14982"/>
    <w:rsid w:val="00E14A51"/>
    <w:rsid w:val="00E14AF3"/>
    <w:rsid w:val="00E14AF4"/>
    <w:rsid w:val="00E14B29"/>
    <w:rsid w:val="00E14BB6"/>
    <w:rsid w:val="00E14BE7"/>
    <w:rsid w:val="00E14C40"/>
    <w:rsid w:val="00E14C55"/>
    <w:rsid w:val="00E14C73"/>
    <w:rsid w:val="00E14C8E"/>
    <w:rsid w:val="00E14CBC"/>
    <w:rsid w:val="00E14D1E"/>
    <w:rsid w:val="00E14D4E"/>
    <w:rsid w:val="00E14DD4"/>
    <w:rsid w:val="00E14DFD"/>
    <w:rsid w:val="00E14ED1"/>
    <w:rsid w:val="00E14ED5"/>
    <w:rsid w:val="00E14F4C"/>
    <w:rsid w:val="00E14F73"/>
    <w:rsid w:val="00E14F82"/>
    <w:rsid w:val="00E14F83"/>
    <w:rsid w:val="00E14F9C"/>
    <w:rsid w:val="00E14FB9"/>
    <w:rsid w:val="00E15018"/>
    <w:rsid w:val="00E1506A"/>
    <w:rsid w:val="00E151A8"/>
    <w:rsid w:val="00E151EE"/>
    <w:rsid w:val="00E15212"/>
    <w:rsid w:val="00E15229"/>
    <w:rsid w:val="00E15246"/>
    <w:rsid w:val="00E1526B"/>
    <w:rsid w:val="00E15291"/>
    <w:rsid w:val="00E15320"/>
    <w:rsid w:val="00E15321"/>
    <w:rsid w:val="00E15333"/>
    <w:rsid w:val="00E15381"/>
    <w:rsid w:val="00E15408"/>
    <w:rsid w:val="00E15455"/>
    <w:rsid w:val="00E154BB"/>
    <w:rsid w:val="00E154D9"/>
    <w:rsid w:val="00E154EF"/>
    <w:rsid w:val="00E1558B"/>
    <w:rsid w:val="00E1571C"/>
    <w:rsid w:val="00E1572B"/>
    <w:rsid w:val="00E15747"/>
    <w:rsid w:val="00E15786"/>
    <w:rsid w:val="00E157E8"/>
    <w:rsid w:val="00E15813"/>
    <w:rsid w:val="00E15836"/>
    <w:rsid w:val="00E1591A"/>
    <w:rsid w:val="00E1598D"/>
    <w:rsid w:val="00E15A1F"/>
    <w:rsid w:val="00E15AA2"/>
    <w:rsid w:val="00E15AE9"/>
    <w:rsid w:val="00E15B2E"/>
    <w:rsid w:val="00E15B30"/>
    <w:rsid w:val="00E15B76"/>
    <w:rsid w:val="00E15B96"/>
    <w:rsid w:val="00E15BD8"/>
    <w:rsid w:val="00E15C8C"/>
    <w:rsid w:val="00E15CC4"/>
    <w:rsid w:val="00E15D59"/>
    <w:rsid w:val="00E15D79"/>
    <w:rsid w:val="00E15DBD"/>
    <w:rsid w:val="00E15DC4"/>
    <w:rsid w:val="00E15DE4"/>
    <w:rsid w:val="00E15DED"/>
    <w:rsid w:val="00E15DFD"/>
    <w:rsid w:val="00E15E00"/>
    <w:rsid w:val="00E15EAA"/>
    <w:rsid w:val="00E15EF0"/>
    <w:rsid w:val="00E15F4F"/>
    <w:rsid w:val="00E15FBE"/>
    <w:rsid w:val="00E15FFC"/>
    <w:rsid w:val="00E1602A"/>
    <w:rsid w:val="00E1602B"/>
    <w:rsid w:val="00E1603D"/>
    <w:rsid w:val="00E16085"/>
    <w:rsid w:val="00E16124"/>
    <w:rsid w:val="00E1613D"/>
    <w:rsid w:val="00E1615B"/>
    <w:rsid w:val="00E161E5"/>
    <w:rsid w:val="00E161EE"/>
    <w:rsid w:val="00E161F6"/>
    <w:rsid w:val="00E16293"/>
    <w:rsid w:val="00E162A1"/>
    <w:rsid w:val="00E162C3"/>
    <w:rsid w:val="00E1634A"/>
    <w:rsid w:val="00E16456"/>
    <w:rsid w:val="00E16465"/>
    <w:rsid w:val="00E164D0"/>
    <w:rsid w:val="00E16608"/>
    <w:rsid w:val="00E16657"/>
    <w:rsid w:val="00E16685"/>
    <w:rsid w:val="00E166BD"/>
    <w:rsid w:val="00E16733"/>
    <w:rsid w:val="00E1679F"/>
    <w:rsid w:val="00E167F4"/>
    <w:rsid w:val="00E168AA"/>
    <w:rsid w:val="00E168CE"/>
    <w:rsid w:val="00E168DB"/>
    <w:rsid w:val="00E16906"/>
    <w:rsid w:val="00E16966"/>
    <w:rsid w:val="00E16973"/>
    <w:rsid w:val="00E169B7"/>
    <w:rsid w:val="00E169EF"/>
    <w:rsid w:val="00E16A3B"/>
    <w:rsid w:val="00E16A3C"/>
    <w:rsid w:val="00E16AD9"/>
    <w:rsid w:val="00E16B12"/>
    <w:rsid w:val="00E16B30"/>
    <w:rsid w:val="00E16B34"/>
    <w:rsid w:val="00E16BC9"/>
    <w:rsid w:val="00E16BCC"/>
    <w:rsid w:val="00E16BEB"/>
    <w:rsid w:val="00E16C06"/>
    <w:rsid w:val="00E16D0B"/>
    <w:rsid w:val="00E16E01"/>
    <w:rsid w:val="00E16EE3"/>
    <w:rsid w:val="00E16F64"/>
    <w:rsid w:val="00E16F78"/>
    <w:rsid w:val="00E16FD7"/>
    <w:rsid w:val="00E17004"/>
    <w:rsid w:val="00E17027"/>
    <w:rsid w:val="00E170F8"/>
    <w:rsid w:val="00E1715F"/>
    <w:rsid w:val="00E171F8"/>
    <w:rsid w:val="00E17285"/>
    <w:rsid w:val="00E17311"/>
    <w:rsid w:val="00E1734B"/>
    <w:rsid w:val="00E173A4"/>
    <w:rsid w:val="00E174C6"/>
    <w:rsid w:val="00E174E1"/>
    <w:rsid w:val="00E174F5"/>
    <w:rsid w:val="00E1757B"/>
    <w:rsid w:val="00E17603"/>
    <w:rsid w:val="00E17633"/>
    <w:rsid w:val="00E17676"/>
    <w:rsid w:val="00E176A6"/>
    <w:rsid w:val="00E176B8"/>
    <w:rsid w:val="00E1770D"/>
    <w:rsid w:val="00E177AA"/>
    <w:rsid w:val="00E177BB"/>
    <w:rsid w:val="00E177C5"/>
    <w:rsid w:val="00E17850"/>
    <w:rsid w:val="00E17903"/>
    <w:rsid w:val="00E17942"/>
    <w:rsid w:val="00E1795B"/>
    <w:rsid w:val="00E1796B"/>
    <w:rsid w:val="00E179A7"/>
    <w:rsid w:val="00E179B7"/>
    <w:rsid w:val="00E179E8"/>
    <w:rsid w:val="00E179F8"/>
    <w:rsid w:val="00E17A48"/>
    <w:rsid w:val="00E17A9C"/>
    <w:rsid w:val="00E17AE7"/>
    <w:rsid w:val="00E17B11"/>
    <w:rsid w:val="00E17B1E"/>
    <w:rsid w:val="00E17B87"/>
    <w:rsid w:val="00E17C49"/>
    <w:rsid w:val="00E17C4F"/>
    <w:rsid w:val="00E17C78"/>
    <w:rsid w:val="00E17DF6"/>
    <w:rsid w:val="00E17E60"/>
    <w:rsid w:val="00E17E87"/>
    <w:rsid w:val="00E17EC1"/>
    <w:rsid w:val="00E17F01"/>
    <w:rsid w:val="00E17F3A"/>
    <w:rsid w:val="00E17FCE"/>
    <w:rsid w:val="00E20019"/>
    <w:rsid w:val="00E20027"/>
    <w:rsid w:val="00E200DC"/>
    <w:rsid w:val="00E2029F"/>
    <w:rsid w:val="00E2032A"/>
    <w:rsid w:val="00E2036D"/>
    <w:rsid w:val="00E203C1"/>
    <w:rsid w:val="00E204CD"/>
    <w:rsid w:val="00E20521"/>
    <w:rsid w:val="00E2060B"/>
    <w:rsid w:val="00E2061A"/>
    <w:rsid w:val="00E206EF"/>
    <w:rsid w:val="00E20735"/>
    <w:rsid w:val="00E20743"/>
    <w:rsid w:val="00E2080E"/>
    <w:rsid w:val="00E2084E"/>
    <w:rsid w:val="00E208A0"/>
    <w:rsid w:val="00E20937"/>
    <w:rsid w:val="00E209C8"/>
    <w:rsid w:val="00E209E7"/>
    <w:rsid w:val="00E209FC"/>
    <w:rsid w:val="00E20A65"/>
    <w:rsid w:val="00E20AA0"/>
    <w:rsid w:val="00E20AC6"/>
    <w:rsid w:val="00E20B04"/>
    <w:rsid w:val="00E20B0E"/>
    <w:rsid w:val="00E20B8C"/>
    <w:rsid w:val="00E20B98"/>
    <w:rsid w:val="00E20B9D"/>
    <w:rsid w:val="00E20C70"/>
    <w:rsid w:val="00E20C73"/>
    <w:rsid w:val="00E20C7E"/>
    <w:rsid w:val="00E20CE8"/>
    <w:rsid w:val="00E20D54"/>
    <w:rsid w:val="00E20D59"/>
    <w:rsid w:val="00E20D76"/>
    <w:rsid w:val="00E20E91"/>
    <w:rsid w:val="00E20EA7"/>
    <w:rsid w:val="00E20EB5"/>
    <w:rsid w:val="00E20F1B"/>
    <w:rsid w:val="00E20F54"/>
    <w:rsid w:val="00E20FAA"/>
    <w:rsid w:val="00E20FBA"/>
    <w:rsid w:val="00E2100C"/>
    <w:rsid w:val="00E21073"/>
    <w:rsid w:val="00E2119A"/>
    <w:rsid w:val="00E211AA"/>
    <w:rsid w:val="00E21245"/>
    <w:rsid w:val="00E21273"/>
    <w:rsid w:val="00E21280"/>
    <w:rsid w:val="00E212AA"/>
    <w:rsid w:val="00E212AB"/>
    <w:rsid w:val="00E21366"/>
    <w:rsid w:val="00E2136B"/>
    <w:rsid w:val="00E21389"/>
    <w:rsid w:val="00E213D4"/>
    <w:rsid w:val="00E2143D"/>
    <w:rsid w:val="00E2146D"/>
    <w:rsid w:val="00E214AE"/>
    <w:rsid w:val="00E214B8"/>
    <w:rsid w:val="00E215BA"/>
    <w:rsid w:val="00E215D4"/>
    <w:rsid w:val="00E21659"/>
    <w:rsid w:val="00E2167C"/>
    <w:rsid w:val="00E2168C"/>
    <w:rsid w:val="00E216A4"/>
    <w:rsid w:val="00E2171E"/>
    <w:rsid w:val="00E2172B"/>
    <w:rsid w:val="00E21751"/>
    <w:rsid w:val="00E217A4"/>
    <w:rsid w:val="00E217EA"/>
    <w:rsid w:val="00E2184C"/>
    <w:rsid w:val="00E21875"/>
    <w:rsid w:val="00E218D4"/>
    <w:rsid w:val="00E21900"/>
    <w:rsid w:val="00E21A1E"/>
    <w:rsid w:val="00E21A34"/>
    <w:rsid w:val="00E21A46"/>
    <w:rsid w:val="00E21A92"/>
    <w:rsid w:val="00E21AAE"/>
    <w:rsid w:val="00E21AF3"/>
    <w:rsid w:val="00E21B2A"/>
    <w:rsid w:val="00E21B33"/>
    <w:rsid w:val="00E21B4B"/>
    <w:rsid w:val="00E21C15"/>
    <w:rsid w:val="00E21D2E"/>
    <w:rsid w:val="00E21D5E"/>
    <w:rsid w:val="00E21DDB"/>
    <w:rsid w:val="00E21E5E"/>
    <w:rsid w:val="00E21E9F"/>
    <w:rsid w:val="00E21F72"/>
    <w:rsid w:val="00E22027"/>
    <w:rsid w:val="00E2203D"/>
    <w:rsid w:val="00E2203E"/>
    <w:rsid w:val="00E220E4"/>
    <w:rsid w:val="00E22175"/>
    <w:rsid w:val="00E221B3"/>
    <w:rsid w:val="00E221CA"/>
    <w:rsid w:val="00E221EF"/>
    <w:rsid w:val="00E2222D"/>
    <w:rsid w:val="00E2225A"/>
    <w:rsid w:val="00E222D9"/>
    <w:rsid w:val="00E222E3"/>
    <w:rsid w:val="00E222F5"/>
    <w:rsid w:val="00E22394"/>
    <w:rsid w:val="00E2247C"/>
    <w:rsid w:val="00E224A9"/>
    <w:rsid w:val="00E2254E"/>
    <w:rsid w:val="00E22562"/>
    <w:rsid w:val="00E2256D"/>
    <w:rsid w:val="00E2263D"/>
    <w:rsid w:val="00E22696"/>
    <w:rsid w:val="00E226EE"/>
    <w:rsid w:val="00E22755"/>
    <w:rsid w:val="00E22778"/>
    <w:rsid w:val="00E227A7"/>
    <w:rsid w:val="00E227F8"/>
    <w:rsid w:val="00E2286E"/>
    <w:rsid w:val="00E228B0"/>
    <w:rsid w:val="00E228D8"/>
    <w:rsid w:val="00E2292B"/>
    <w:rsid w:val="00E22977"/>
    <w:rsid w:val="00E229D4"/>
    <w:rsid w:val="00E22A64"/>
    <w:rsid w:val="00E22B2A"/>
    <w:rsid w:val="00E22B3C"/>
    <w:rsid w:val="00E22BDE"/>
    <w:rsid w:val="00E22BEA"/>
    <w:rsid w:val="00E22C06"/>
    <w:rsid w:val="00E22C23"/>
    <w:rsid w:val="00E22C2E"/>
    <w:rsid w:val="00E22CC7"/>
    <w:rsid w:val="00E22CE6"/>
    <w:rsid w:val="00E22D88"/>
    <w:rsid w:val="00E22DEB"/>
    <w:rsid w:val="00E22DFD"/>
    <w:rsid w:val="00E22E17"/>
    <w:rsid w:val="00E22E3F"/>
    <w:rsid w:val="00E22E9B"/>
    <w:rsid w:val="00E22F2B"/>
    <w:rsid w:val="00E22F80"/>
    <w:rsid w:val="00E22F8C"/>
    <w:rsid w:val="00E22FAE"/>
    <w:rsid w:val="00E2307E"/>
    <w:rsid w:val="00E23089"/>
    <w:rsid w:val="00E230CF"/>
    <w:rsid w:val="00E230F5"/>
    <w:rsid w:val="00E231E8"/>
    <w:rsid w:val="00E231E9"/>
    <w:rsid w:val="00E232F6"/>
    <w:rsid w:val="00E2334A"/>
    <w:rsid w:val="00E23359"/>
    <w:rsid w:val="00E23372"/>
    <w:rsid w:val="00E23416"/>
    <w:rsid w:val="00E2345C"/>
    <w:rsid w:val="00E234D3"/>
    <w:rsid w:val="00E2350D"/>
    <w:rsid w:val="00E2357C"/>
    <w:rsid w:val="00E235AD"/>
    <w:rsid w:val="00E23658"/>
    <w:rsid w:val="00E2367C"/>
    <w:rsid w:val="00E23680"/>
    <w:rsid w:val="00E236B8"/>
    <w:rsid w:val="00E236E3"/>
    <w:rsid w:val="00E2376E"/>
    <w:rsid w:val="00E23784"/>
    <w:rsid w:val="00E23797"/>
    <w:rsid w:val="00E23843"/>
    <w:rsid w:val="00E2386A"/>
    <w:rsid w:val="00E2387E"/>
    <w:rsid w:val="00E238A5"/>
    <w:rsid w:val="00E239BD"/>
    <w:rsid w:val="00E23A8A"/>
    <w:rsid w:val="00E23AD8"/>
    <w:rsid w:val="00E23AEA"/>
    <w:rsid w:val="00E23B7A"/>
    <w:rsid w:val="00E23B86"/>
    <w:rsid w:val="00E23BAE"/>
    <w:rsid w:val="00E23C06"/>
    <w:rsid w:val="00E23C3E"/>
    <w:rsid w:val="00E23D62"/>
    <w:rsid w:val="00E23D91"/>
    <w:rsid w:val="00E23DA0"/>
    <w:rsid w:val="00E23DE7"/>
    <w:rsid w:val="00E23E1E"/>
    <w:rsid w:val="00E23E31"/>
    <w:rsid w:val="00E23E5B"/>
    <w:rsid w:val="00E23E79"/>
    <w:rsid w:val="00E23E89"/>
    <w:rsid w:val="00E23ED6"/>
    <w:rsid w:val="00E23ED7"/>
    <w:rsid w:val="00E23F5C"/>
    <w:rsid w:val="00E23F8C"/>
    <w:rsid w:val="00E23FF3"/>
    <w:rsid w:val="00E2401E"/>
    <w:rsid w:val="00E2402F"/>
    <w:rsid w:val="00E2403D"/>
    <w:rsid w:val="00E24223"/>
    <w:rsid w:val="00E24228"/>
    <w:rsid w:val="00E242EC"/>
    <w:rsid w:val="00E24302"/>
    <w:rsid w:val="00E24346"/>
    <w:rsid w:val="00E243A5"/>
    <w:rsid w:val="00E243E1"/>
    <w:rsid w:val="00E244C6"/>
    <w:rsid w:val="00E24508"/>
    <w:rsid w:val="00E2450D"/>
    <w:rsid w:val="00E2451D"/>
    <w:rsid w:val="00E2452A"/>
    <w:rsid w:val="00E2453D"/>
    <w:rsid w:val="00E246B0"/>
    <w:rsid w:val="00E246B9"/>
    <w:rsid w:val="00E246DB"/>
    <w:rsid w:val="00E246DC"/>
    <w:rsid w:val="00E246E1"/>
    <w:rsid w:val="00E246E9"/>
    <w:rsid w:val="00E2485C"/>
    <w:rsid w:val="00E24894"/>
    <w:rsid w:val="00E248B9"/>
    <w:rsid w:val="00E248FE"/>
    <w:rsid w:val="00E24915"/>
    <w:rsid w:val="00E2491B"/>
    <w:rsid w:val="00E24A23"/>
    <w:rsid w:val="00E24A3F"/>
    <w:rsid w:val="00E24AB0"/>
    <w:rsid w:val="00E24C25"/>
    <w:rsid w:val="00E24C3E"/>
    <w:rsid w:val="00E24C97"/>
    <w:rsid w:val="00E24CC9"/>
    <w:rsid w:val="00E24CD7"/>
    <w:rsid w:val="00E24D1E"/>
    <w:rsid w:val="00E24D50"/>
    <w:rsid w:val="00E24D5A"/>
    <w:rsid w:val="00E24D7B"/>
    <w:rsid w:val="00E24DBE"/>
    <w:rsid w:val="00E24DCD"/>
    <w:rsid w:val="00E24DE2"/>
    <w:rsid w:val="00E24E2E"/>
    <w:rsid w:val="00E24E94"/>
    <w:rsid w:val="00E24F0B"/>
    <w:rsid w:val="00E24F91"/>
    <w:rsid w:val="00E25000"/>
    <w:rsid w:val="00E2500A"/>
    <w:rsid w:val="00E2502A"/>
    <w:rsid w:val="00E25040"/>
    <w:rsid w:val="00E2506D"/>
    <w:rsid w:val="00E25096"/>
    <w:rsid w:val="00E25112"/>
    <w:rsid w:val="00E2514D"/>
    <w:rsid w:val="00E2516F"/>
    <w:rsid w:val="00E251C5"/>
    <w:rsid w:val="00E251CC"/>
    <w:rsid w:val="00E25208"/>
    <w:rsid w:val="00E252A9"/>
    <w:rsid w:val="00E252C8"/>
    <w:rsid w:val="00E252D1"/>
    <w:rsid w:val="00E2535C"/>
    <w:rsid w:val="00E25398"/>
    <w:rsid w:val="00E25409"/>
    <w:rsid w:val="00E254D1"/>
    <w:rsid w:val="00E2555A"/>
    <w:rsid w:val="00E25573"/>
    <w:rsid w:val="00E256D5"/>
    <w:rsid w:val="00E2579B"/>
    <w:rsid w:val="00E257C0"/>
    <w:rsid w:val="00E25803"/>
    <w:rsid w:val="00E2580A"/>
    <w:rsid w:val="00E258BC"/>
    <w:rsid w:val="00E258C4"/>
    <w:rsid w:val="00E25939"/>
    <w:rsid w:val="00E2595D"/>
    <w:rsid w:val="00E2598E"/>
    <w:rsid w:val="00E25A37"/>
    <w:rsid w:val="00E25A6F"/>
    <w:rsid w:val="00E25B5D"/>
    <w:rsid w:val="00E25B84"/>
    <w:rsid w:val="00E25BBB"/>
    <w:rsid w:val="00E25C6C"/>
    <w:rsid w:val="00E25C7A"/>
    <w:rsid w:val="00E25CA7"/>
    <w:rsid w:val="00E25CC7"/>
    <w:rsid w:val="00E25CF0"/>
    <w:rsid w:val="00E25D09"/>
    <w:rsid w:val="00E25D24"/>
    <w:rsid w:val="00E25D76"/>
    <w:rsid w:val="00E25D8D"/>
    <w:rsid w:val="00E25DDE"/>
    <w:rsid w:val="00E25E1A"/>
    <w:rsid w:val="00E25E3A"/>
    <w:rsid w:val="00E25E4D"/>
    <w:rsid w:val="00E25EB5"/>
    <w:rsid w:val="00E25F1C"/>
    <w:rsid w:val="00E25FDF"/>
    <w:rsid w:val="00E25FFB"/>
    <w:rsid w:val="00E260A4"/>
    <w:rsid w:val="00E260A6"/>
    <w:rsid w:val="00E26116"/>
    <w:rsid w:val="00E2618F"/>
    <w:rsid w:val="00E26246"/>
    <w:rsid w:val="00E26262"/>
    <w:rsid w:val="00E262A9"/>
    <w:rsid w:val="00E26359"/>
    <w:rsid w:val="00E26382"/>
    <w:rsid w:val="00E263AD"/>
    <w:rsid w:val="00E263E5"/>
    <w:rsid w:val="00E26420"/>
    <w:rsid w:val="00E26433"/>
    <w:rsid w:val="00E26437"/>
    <w:rsid w:val="00E2643B"/>
    <w:rsid w:val="00E26475"/>
    <w:rsid w:val="00E264A0"/>
    <w:rsid w:val="00E264B6"/>
    <w:rsid w:val="00E264F8"/>
    <w:rsid w:val="00E265E5"/>
    <w:rsid w:val="00E26626"/>
    <w:rsid w:val="00E26631"/>
    <w:rsid w:val="00E2669B"/>
    <w:rsid w:val="00E26719"/>
    <w:rsid w:val="00E26725"/>
    <w:rsid w:val="00E2677F"/>
    <w:rsid w:val="00E267CD"/>
    <w:rsid w:val="00E26895"/>
    <w:rsid w:val="00E2696B"/>
    <w:rsid w:val="00E26B32"/>
    <w:rsid w:val="00E26B5E"/>
    <w:rsid w:val="00E26B8F"/>
    <w:rsid w:val="00E26BC2"/>
    <w:rsid w:val="00E26BEF"/>
    <w:rsid w:val="00E26C18"/>
    <w:rsid w:val="00E26C5F"/>
    <w:rsid w:val="00E26C61"/>
    <w:rsid w:val="00E26C7A"/>
    <w:rsid w:val="00E26CA2"/>
    <w:rsid w:val="00E26CEE"/>
    <w:rsid w:val="00E26CEF"/>
    <w:rsid w:val="00E26DF1"/>
    <w:rsid w:val="00E26DFC"/>
    <w:rsid w:val="00E26E0D"/>
    <w:rsid w:val="00E26E11"/>
    <w:rsid w:val="00E26E27"/>
    <w:rsid w:val="00E26E7D"/>
    <w:rsid w:val="00E26E99"/>
    <w:rsid w:val="00E26EB6"/>
    <w:rsid w:val="00E26F02"/>
    <w:rsid w:val="00E26F28"/>
    <w:rsid w:val="00E26F47"/>
    <w:rsid w:val="00E26F4A"/>
    <w:rsid w:val="00E26F5E"/>
    <w:rsid w:val="00E2701D"/>
    <w:rsid w:val="00E27030"/>
    <w:rsid w:val="00E27034"/>
    <w:rsid w:val="00E27042"/>
    <w:rsid w:val="00E270C8"/>
    <w:rsid w:val="00E270F1"/>
    <w:rsid w:val="00E27150"/>
    <w:rsid w:val="00E271A1"/>
    <w:rsid w:val="00E27255"/>
    <w:rsid w:val="00E2726C"/>
    <w:rsid w:val="00E27305"/>
    <w:rsid w:val="00E2738C"/>
    <w:rsid w:val="00E2738F"/>
    <w:rsid w:val="00E2742C"/>
    <w:rsid w:val="00E27436"/>
    <w:rsid w:val="00E27458"/>
    <w:rsid w:val="00E27462"/>
    <w:rsid w:val="00E2749E"/>
    <w:rsid w:val="00E274A5"/>
    <w:rsid w:val="00E274D6"/>
    <w:rsid w:val="00E27543"/>
    <w:rsid w:val="00E27562"/>
    <w:rsid w:val="00E27595"/>
    <w:rsid w:val="00E27599"/>
    <w:rsid w:val="00E27607"/>
    <w:rsid w:val="00E2761E"/>
    <w:rsid w:val="00E27657"/>
    <w:rsid w:val="00E27666"/>
    <w:rsid w:val="00E27676"/>
    <w:rsid w:val="00E276B4"/>
    <w:rsid w:val="00E2772C"/>
    <w:rsid w:val="00E27773"/>
    <w:rsid w:val="00E27785"/>
    <w:rsid w:val="00E277F3"/>
    <w:rsid w:val="00E27814"/>
    <w:rsid w:val="00E27828"/>
    <w:rsid w:val="00E2785F"/>
    <w:rsid w:val="00E278ED"/>
    <w:rsid w:val="00E278FA"/>
    <w:rsid w:val="00E2791C"/>
    <w:rsid w:val="00E27963"/>
    <w:rsid w:val="00E27967"/>
    <w:rsid w:val="00E279C7"/>
    <w:rsid w:val="00E27B0B"/>
    <w:rsid w:val="00E27BCF"/>
    <w:rsid w:val="00E27CB7"/>
    <w:rsid w:val="00E27CD0"/>
    <w:rsid w:val="00E27CEB"/>
    <w:rsid w:val="00E27D42"/>
    <w:rsid w:val="00E27D72"/>
    <w:rsid w:val="00E27D86"/>
    <w:rsid w:val="00E27D9C"/>
    <w:rsid w:val="00E27DD6"/>
    <w:rsid w:val="00E27DED"/>
    <w:rsid w:val="00E27ED4"/>
    <w:rsid w:val="00E27EFC"/>
    <w:rsid w:val="00E27FFA"/>
    <w:rsid w:val="00E30013"/>
    <w:rsid w:val="00E3003C"/>
    <w:rsid w:val="00E30081"/>
    <w:rsid w:val="00E30083"/>
    <w:rsid w:val="00E30089"/>
    <w:rsid w:val="00E3008D"/>
    <w:rsid w:val="00E300EC"/>
    <w:rsid w:val="00E300F8"/>
    <w:rsid w:val="00E30189"/>
    <w:rsid w:val="00E30207"/>
    <w:rsid w:val="00E30225"/>
    <w:rsid w:val="00E3022C"/>
    <w:rsid w:val="00E30299"/>
    <w:rsid w:val="00E303C7"/>
    <w:rsid w:val="00E30406"/>
    <w:rsid w:val="00E304AA"/>
    <w:rsid w:val="00E304F8"/>
    <w:rsid w:val="00E30531"/>
    <w:rsid w:val="00E305EA"/>
    <w:rsid w:val="00E30654"/>
    <w:rsid w:val="00E30697"/>
    <w:rsid w:val="00E306A0"/>
    <w:rsid w:val="00E306B4"/>
    <w:rsid w:val="00E3073C"/>
    <w:rsid w:val="00E307BF"/>
    <w:rsid w:val="00E30804"/>
    <w:rsid w:val="00E3083A"/>
    <w:rsid w:val="00E30999"/>
    <w:rsid w:val="00E30A3B"/>
    <w:rsid w:val="00E30A7A"/>
    <w:rsid w:val="00E30AAE"/>
    <w:rsid w:val="00E30B4A"/>
    <w:rsid w:val="00E30B58"/>
    <w:rsid w:val="00E30C32"/>
    <w:rsid w:val="00E30C45"/>
    <w:rsid w:val="00E30C9C"/>
    <w:rsid w:val="00E30CA4"/>
    <w:rsid w:val="00E30CBB"/>
    <w:rsid w:val="00E30D5A"/>
    <w:rsid w:val="00E30D5B"/>
    <w:rsid w:val="00E30E04"/>
    <w:rsid w:val="00E30E08"/>
    <w:rsid w:val="00E30E95"/>
    <w:rsid w:val="00E30EA5"/>
    <w:rsid w:val="00E30EEF"/>
    <w:rsid w:val="00E30F9A"/>
    <w:rsid w:val="00E30FD9"/>
    <w:rsid w:val="00E3109F"/>
    <w:rsid w:val="00E3113D"/>
    <w:rsid w:val="00E311B0"/>
    <w:rsid w:val="00E311BA"/>
    <w:rsid w:val="00E311D4"/>
    <w:rsid w:val="00E31360"/>
    <w:rsid w:val="00E31386"/>
    <w:rsid w:val="00E313AF"/>
    <w:rsid w:val="00E3140F"/>
    <w:rsid w:val="00E3143A"/>
    <w:rsid w:val="00E31473"/>
    <w:rsid w:val="00E31512"/>
    <w:rsid w:val="00E31610"/>
    <w:rsid w:val="00E316E2"/>
    <w:rsid w:val="00E31710"/>
    <w:rsid w:val="00E317C3"/>
    <w:rsid w:val="00E317D1"/>
    <w:rsid w:val="00E31874"/>
    <w:rsid w:val="00E318E2"/>
    <w:rsid w:val="00E319C4"/>
    <w:rsid w:val="00E31A82"/>
    <w:rsid w:val="00E31AC4"/>
    <w:rsid w:val="00E31AE8"/>
    <w:rsid w:val="00E31B04"/>
    <w:rsid w:val="00E31B3E"/>
    <w:rsid w:val="00E31B7C"/>
    <w:rsid w:val="00E31B8A"/>
    <w:rsid w:val="00E31B96"/>
    <w:rsid w:val="00E31BBF"/>
    <w:rsid w:val="00E31C43"/>
    <w:rsid w:val="00E31D07"/>
    <w:rsid w:val="00E31D8A"/>
    <w:rsid w:val="00E31D9C"/>
    <w:rsid w:val="00E31E55"/>
    <w:rsid w:val="00E31EA2"/>
    <w:rsid w:val="00E31EBC"/>
    <w:rsid w:val="00E31ED1"/>
    <w:rsid w:val="00E31EEB"/>
    <w:rsid w:val="00E31EFB"/>
    <w:rsid w:val="00E31EFF"/>
    <w:rsid w:val="00E31F7D"/>
    <w:rsid w:val="00E31F8E"/>
    <w:rsid w:val="00E31FCF"/>
    <w:rsid w:val="00E32052"/>
    <w:rsid w:val="00E32069"/>
    <w:rsid w:val="00E32076"/>
    <w:rsid w:val="00E3208E"/>
    <w:rsid w:val="00E32094"/>
    <w:rsid w:val="00E32123"/>
    <w:rsid w:val="00E3219D"/>
    <w:rsid w:val="00E321B2"/>
    <w:rsid w:val="00E32252"/>
    <w:rsid w:val="00E32290"/>
    <w:rsid w:val="00E322AB"/>
    <w:rsid w:val="00E32396"/>
    <w:rsid w:val="00E323BE"/>
    <w:rsid w:val="00E32409"/>
    <w:rsid w:val="00E32448"/>
    <w:rsid w:val="00E32456"/>
    <w:rsid w:val="00E32479"/>
    <w:rsid w:val="00E325C9"/>
    <w:rsid w:val="00E3268D"/>
    <w:rsid w:val="00E326DF"/>
    <w:rsid w:val="00E32727"/>
    <w:rsid w:val="00E3272F"/>
    <w:rsid w:val="00E3277E"/>
    <w:rsid w:val="00E32788"/>
    <w:rsid w:val="00E327E9"/>
    <w:rsid w:val="00E32883"/>
    <w:rsid w:val="00E328F0"/>
    <w:rsid w:val="00E329A8"/>
    <w:rsid w:val="00E32A14"/>
    <w:rsid w:val="00E32A46"/>
    <w:rsid w:val="00E32A48"/>
    <w:rsid w:val="00E32B3F"/>
    <w:rsid w:val="00E32BBB"/>
    <w:rsid w:val="00E32BEB"/>
    <w:rsid w:val="00E32C47"/>
    <w:rsid w:val="00E32CEB"/>
    <w:rsid w:val="00E32D2E"/>
    <w:rsid w:val="00E32D53"/>
    <w:rsid w:val="00E32D89"/>
    <w:rsid w:val="00E32E0E"/>
    <w:rsid w:val="00E32E28"/>
    <w:rsid w:val="00E32E48"/>
    <w:rsid w:val="00E32E5F"/>
    <w:rsid w:val="00E32EA7"/>
    <w:rsid w:val="00E32EC8"/>
    <w:rsid w:val="00E32F1C"/>
    <w:rsid w:val="00E32F2D"/>
    <w:rsid w:val="00E32F3A"/>
    <w:rsid w:val="00E32F72"/>
    <w:rsid w:val="00E33074"/>
    <w:rsid w:val="00E3309C"/>
    <w:rsid w:val="00E330B9"/>
    <w:rsid w:val="00E330D2"/>
    <w:rsid w:val="00E330FA"/>
    <w:rsid w:val="00E33112"/>
    <w:rsid w:val="00E33126"/>
    <w:rsid w:val="00E331BB"/>
    <w:rsid w:val="00E331C1"/>
    <w:rsid w:val="00E332A1"/>
    <w:rsid w:val="00E332AC"/>
    <w:rsid w:val="00E33372"/>
    <w:rsid w:val="00E33378"/>
    <w:rsid w:val="00E3339D"/>
    <w:rsid w:val="00E3340A"/>
    <w:rsid w:val="00E33421"/>
    <w:rsid w:val="00E33483"/>
    <w:rsid w:val="00E33581"/>
    <w:rsid w:val="00E335C7"/>
    <w:rsid w:val="00E3365A"/>
    <w:rsid w:val="00E3365D"/>
    <w:rsid w:val="00E33741"/>
    <w:rsid w:val="00E337BC"/>
    <w:rsid w:val="00E337E6"/>
    <w:rsid w:val="00E33856"/>
    <w:rsid w:val="00E33864"/>
    <w:rsid w:val="00E33891"/>
    <w:rsid w:val="00E3398B"/>
    <w:rsid w:val="00E339A7"/>
    <w:rsid w:val="00E33A0F"/>
    <w:rsid w:val="00E33A55"/>
    <w:rsid w:val="00E33A92"/>
    <w:rsid w:val="00E33AC0"/>
    <w:rsid w:val="00E33ADD"/>
    <w:rsid w:val="00E33B31"/>
    <w:rsid w:val="00E33B3C"/>
    <w:rsid w:val="00E33B48"/>
    <w:rsid w:val="00E33B4B"/>
    <w:rsid w:val="00E33C8C"/>
    <w:rsid w:val="00E33CB4"/>
    <w:rsid w:val="00E33CC2"/>
    <w:rsid w:val="00E33CD5"/>
    <w:rsid w:val="00E33D72"/>
    <w:rsid w:val="00E33D79"/>
    <w:rsid w:val="00E33D9D"/>
    <w:rsid w:val="00E33E6B"/>
    <w:rsid w:val="00E33EEA"/>
    <w:rsid w:val="00E33F10"/>
    <w:rsid w:val="00E33F1A"/>
    <w:rsid w:val="00E33F24"/>
    <w:rsid w:val="00E33F5A"/>
    <w:rsid w:val="00E33FDF"/>
    <w:rsid w:val="00E3405B"/>
    <w:rsid w:val="00E34067"/>
    <w:rsid w:val="00E34086"/>
    <w:rsid w:val="00E34132"/>
    <w:rsid w:val="00E34141"/>
    <w:rsid w:val="00E34153"/>
    <w:rsid w:val="00E3417F"/>
    <w:rsid w:val="00E341A8"/>
    <w:rsid w:val="00E3428B"/>
    <w:rsid w:val="00E342BD"/>
    <w:rsid w:val="00E342FA"/>
    <w:rsid w:val="00E34321"/>
    <w:rsid w:val="00E343F6"/>
    <w:rsid w:val="00E3440E"/>
    <w:rsid w:val="00E34472"/>
    <w:rsid w:val="00E344C8"/>
    <w:rsid w:val="00E344D1"/>
    <w:rsid w:val="00E34509"/>
    <w:rsid w:val="00E34517"/>
    <w:rsid w:val="00E34619"/>
    <w:rsid w:val="00E3463D"/>
    <w:rsid w:val="00E34668"/>
    <w:rsid w:val="00E346CC"/>
    <w:rsid w:val="00E34722"/>
    <w:rsid w:val="00E3478D"/>
    <w:rsid w:val="00E34885"/>
    <w:rsid w:val="00E34903"/>
    <w:rsid w:val="00E3498C"/>
    <w:rsid w:val="00E34A73"/>
    <w:rsid w:val="00E34A8C"/>
    <w:rsid w:val="00E34ABF"/>
    <w:rsid w:val="00E34B6C"/>
    <w:rsid w:val="00E34B7A"/>
    <w:rsid w:val="00E34B9D"/>
    <w:rsid w:val="00E34BB5"/>
    <w:rsid w:val="00E34BBC"/>
    <w:rsid w:val="00E34BC8"/>
    <w:rsid w:val="00E34C1C"/>
    <w:rsid w:val="00E34C4A"/>
    <w:rsid w:val="00E34C5D"/>
    <w:rsid w:val="00E34DB4"/>
    <w:rsid w:val="00E34E9D"/>
    <w:rsid w:val="00E34EAA"/>
    <w:rsid w:val="00E34ECA"/>
    <w:rsid w:val="00E34ED7"/>
    <w:rsid w:val="00E34F0D"/>
    <w:rsid w:val="00E34F1A"/>
    <w:rsid w:val="00E34F2D"/>
    <w:rsid w:val="00E34F39"/>
    <w:rsid w:val="00E34F90"/>
    <w:rsid w:val="00E34F92"/>
    <w:rsid w:val="00E34FF8"/>
    <w:rsid w:val="00E35006"/>
    <w:rsid w:val="00E35177"/>
    <w:rsid w:val="00E35180"/>
    <w:rsid w:val="00E3518F"/>
    <w:rsid w:val="00E351C7"/>
    <w:rsid w:val="00E35268"/>
    <w:rsid w:val="00E3533F"/>
    <w:rsid w:val="00E35364"/>
    <w:rsid w:val="00E3536F"/>
    <w:rsid w:val="00E35401"/>
    <w:rsid w:val="00E3541A"/>
    <w:rsid w:val="00E3547E"/>
    <w:rsid w:val="00E35484"/>
    <w:rsid w:val="00E354D5"/>
    <w:rsid w:val="00E35512"/>
    <w:rsid w:val="00E35513"/>
    <w:rsid w:val="00E3561E"/>
    <w:rsid w:val="00E35638"/>
    <w:rsid w:val="00E3564D"/>
    <w:rsid w:val="00E35784"/>
    <w:rsid w:val="00E35796"/>
    <w:rsid w:val="00E357F7"/>
    <w:rsid w:val="00E35862"/>
    <w:rsid w:val="00E35896"/>
    <w:rsid w:val="00E358C4"/>
    <w:rsid w:val="00E35919"/>
    <w:rsid w:val="00E359C7"/>
    <w:rsid w:val="00E35A07"/>
    <w:rsid w:val="00E35A4C"/>
    <w:rsid w:val="00E35AA3"/>
    <w:rsid w:val="00E35AB6"/>
    <w:rsid w:val="00E35C3C"/>
    <w:rsid w:val="00E35C41"/>
    <w:rsid w:val="00E35CF6"/>
    <w:rsid w:val="00E35D08"/>
    <w:rsid w:val="00E35D0A"/>
    <w:rsid w:val="00E35D0F"/>
    <w:rsid w:val="00E35D13"/>
    <w:rsid w:val="00E35D8D"/>
    <w:rsid w:val="00E35E04"/>
    <w:rsid w:val="00E35E25"/>
    <w:rsid w:val="00E35E34"/>
    <w:rsid w:val="00E35E57"/>
    <w:rsid w:val="00E35F00"/>
    <w:rsid w:val="00E35F7A"/>
    <w:rsid w:val="00E35FE3"/>
    <w:rsid w:val="00E3600C"/>
    <w:rsid w:val="00E360B9"/>
    <w:rsid w:val="00E361CF"/>
    <w:rsid w:val="00E36272"/>
    <w:rsid w:val="00E362C4"/>
    <w:rsid w:val="00E36303"/>
    <w:rsid w:val="00E36434"/>
    <w:rsid w:val="00E36452"/>
    <w:rsid w:val="00E3647F"/>
    <w:rsid w:val="00E364A7"/>
    <w:rsid w:val="00E36533"/>
    <w:rsid w:val="00E3658D"/>
    <w:rsid w:val="00E36787"/>
    <w:rsid w:val="00E368ED"/>
    <w:rsid w:val="00E36906"/>
    <w:rsid w:val="00E36995"/>
    <w:rsid w:val="00E36A91"/>
    <w:rsid w:val="00E36B09"/>
    <w:rsid w:val="00E36B2B"/>
    <w:rsid w:val="00E36BAA"/>
    <w:rsid w:val="00E36BB2"/>
    <w:rsid w:val="00E36BB4"/>
    <w:rsid w:val="00E36CBB"/>
    <w:rsid w:val="00E36D20"/>
    <w:rsid w:val="00E36D31"/>
    <w:rsid w:val="00E36E24"/>
    <w:rsid w:val="00E36E29"/>
    <w:rsid w:val="00E36E34"/>
    <w:rsid w:val="00E36E7B"/>
    <w:rsid w:val="00E36F15"/>
    <w:rsid w:val="00E36FB1"/>
    <w:rsid w:val="00E3706E"/>
    <w:rsid w:val="00E37087"/>
    <w:rsid w:val="00E370CE"/>
    <w:rsid w:val="00E370FE"/>
    <w:rsid w:val="00E371A8"/>
    <w:rsid w:val="00E37228"/>
    <w:rsid w:val="00E37249"/>
    <w:rsid w:val="00E3725B"/>
    <w:rsid w:val="00E372F1"/>
    <w:rsid w:val="00E37308"/>
    <w:rsid w:val="00E37318"/>
    <w:rsid w:val="00E373E0"/>
    <w:rsid w:val="00E374AE"/>
    <w:rsid w:val="00E374B0"/>
    <w:rsid w:val="00E374DB"/>
    <w:rsid w:val="00E37569"/>
    <w:rsid w:val="00E3759B"/>
    <w:rsid w:val="00E375C9"/>
    <w:rsid w:val="00E375F5"/>
    <w:rsid w:val="00E37619"/>
    <w:rsid w:val="00E37626"/>
    <w:rsid w:val="00E376C3"/>
    <w:rsid w:val="00E377BF"/>
    <w:rsid w:val="00E3782A"/>
    <w:rsid w:val="00E37838"/>
    <w:rsid w:val="00E37846"/>
    <w:rsid w:val="00E37848"/>
    <w:rsid w:val="00E37899"/>
    <w:rsid w:val="00E3795C"/>
    <w:rsid w:val="00E3799F"/>
    <w:rsid w:val="00E37A86"/>
    <w:rsid w:val="00E37AC7"/>
    <w:rsid w:val="00E37AD9"/>
    <w:rsid w:val="00E37B4B"/>
    <w:rsid w:val="00E37B67"/>
    <w:rsid w:val="00E37C33"/>
    <w:rsid w:val="00E37C3D"/>
    <w:rsid w:val="00E37C77"/>
    <w:rsid w:val="00E37C9F"/>
    <w:rsid w:val="00E37CB8"/>
    <w:rsid w:val="00E37CBE"/>
    <w:rsid w:val="00E37D02"/>
    <w:rsid w:val="00E37D3C"/>
    <w:rsid w:val="00E37DBD"/>
    <w:rsid w:val="00E37DEE"/>
    <w:rsid w:val="00E37E59"/>
    <w:rsid w:val="00E37E92"/>
    <w:rsid w:val="00E37EC6"/>
    <w:rsid w:val="00E37EEF"/>
    <w:rsid w:val="00E37EF0"/>
    <w:rsid w:val="00E37EFA"/>
    <w:rsid w:val="00E37FAF"/>
    <w:rsid w:val="00E37FE7"/>
    <w:rsid w:val="00E40032"/>
    <w:rsid w:val="00E400A9"/>
    <w:rsid w:val="00E400B1"/>
    <w:rsid w:val="00E400BA"/>
    <w:rsid w:val="00E40122"/>
    <w:rsid w:val="00E40151"/>
    <w:rsid w:val="00E4016A"/>
    <w:rsid w:val="00E40186"/>
    <w:rsid w:val="00E4020A"/>
    <w:rsid w:val="00E4023B"/>
    <w:rsid w:val="00E40311"/>
    <w:rsid w:val="00E4033B"/>
    <w:rsid w:val="00E403FC"/>
    <w:rsid w:val="00E40434"/>
    <w:rsid w:val="00E40452"/>
    <w:rsid w:val="00E4045F"/>
    <w:rsid w:val="00E4054B"/>
    <w:rsid w:val="00E40556"/>
    <w:rsid w:val="00E4057F"/>
    <w:rsid w:val="00E405C5"/>
    <w:rsid w:val="00E40633"/>
    <w:rsid w:val="00E40639"/>
    <w:rsid w:val="00E4063D"/>
    <w:rsid w:val="00E406E4"/>
    <w:rsid w:val="00E406EE"/>
    <w:rsid w:val="00E40784"/>
    <w:rsid w:val="00E4078D"/>
    <w:rsid w:val="00E4079C"/>
    <w:rsid w:val="00E40815"/>
    <w:rsid w:val="00E40828"/>
    <w:rsid w:val="00E40876"/>
    <w:rsid w:val="00E4088E"/>
    <w:rsid w:val="00E408C5"/>
    <w:rsid w:val="00E40907"/>
    <w:rsid w:val="00E40946"/>
    <w:rsid w:val="00E4096F"/>
    <w:rsid w:val="00E40989"/>
    <w:rsid w:val="00E409DE"/>
    <w:rsid w:val="00E409F9"/>
    <w:rsid w:val="00E40A22"/>
    <w:rsid w:val="00E40A3D"/>
    <w:rsid w:val="00E40AD7"/>
    <w:rsid w:val="00E40ADB"/>
    <w:rsid w:val="00E40AEB"/>
    <w:rsid w:val="00E40B81"/>
    <w:rsid w:val="00E40BAB"/>
    <w:rsid w:val="00E40BE9"/>
    <w:rsid w:val="00E40BFA"/>
    <w:rsid w:val="00E40C54"/>
    <w:rsid w:val="00E40C7B"/>
    <w:rsid w:val="00E40CB8"/>
    <w:rsid w:val="00E40CF0"/>
    <w:rsid w:val="00E40D27"/>
    <w:rsid w:val="00E40E74"/>
    <w:rsid w:val="00E40ED5"/>
    <w:rsid w:val="00E40F27"/>
    <w:rsid w:val="00E40F3F"/>
    <w:rsid w:val="00E40F84"/>
    <w:rsid w:val="00E40FBF"/>
    <w:rsid w:val="00E40FCF"/>
    <w:rsid w:val="00E41087"/>
    <w:rsid w:val="00E410DD"/>
    <w:rsid w:val="00E410FA"/>
    <w:rsid w:val="00E410FC"/>
    <w:rsid w:val="00E4110A"/>
    <w:rsid w:val="00E411E7"/>
    <w:rsid w:val="00E41201"/>
    <w:rsid w:val="00E41279"/>
    <w:rsid w:val="00E4127A"/>
    <w:rsid w:val="00E4127E"/>
    <w:rsid w:val="00E412E9"/>
    <w:rsid w:val="00E413BB"/>
    <w:rsid w:val="00E41456"/>
    <w:rsid w:val="00E41472"/>
    <w:rsid w:val="00E414C7"/>
    <w:rsid w:val="00E41525"/>
    <w:rsid w:val="00E41605"/>
    <w:rsid w:val="00E41688"/>
    <w:rsid w:val="00E416BE"/>
    <w:rsid w:val="00E41738"/>
    <w:rsid w:val="00E41763"/>
    <w:rsid w:val="00E41772"/>
    <w:rsid w:val="00E41789"/>
    <w:rsid w:val="00E417FF"/>
    <w:rsid w:val="00E418A3"/>
    <w:rsid w:val="00E41944"/>
    <w:rsid w:val="00E41947"/>
    <w:rsid w:val="00E4195E"/>
    <w:rsid w:val="00E419BA"/>
    <w:rsid w:val="00E419D1"/>
    <w:rsid w:val="00E41A18"/>
    <w:rsid w:val="00E41A32"/>
    <w:rsid w:val="00E41AA5"/>
    <w:rsid w:val="00E41B98"/>
    <w:rsid w:val="00E41C0F"/>
    <w:rsid w:val="00E41C20"/>
    <w:rsid w:val="00E41C7D"/>
    <w:rsid w:val="00E41C99"/>
    <w:rsid w:val="00E41D29"/>
    <w:rsid w:val="00E41D46"/>
    <w:rsid w:val="00E41D62"/>
    <w:rsid w:val="00E41D6E"/>
    <w:rsid w:val="00E41D74"/>
    <w:rsid w:val="00E41D76"/>
    <w:rsid w:val="00E41D9B"/>
    <w:rsid w:val="00E41DF2"/>
    <w:rsid w:val="00E41E69"/>
    <w:rsid w:val="00E41EC0"/>
    <w:rsid w:val="00E41F74"/>
    <w:rsid w:val="00E41F90"/>
    <w:rsid w:val="00E42008"/>
    <w:rsid w:val="00E42041"/>
    <w:rsid w:val="00E420E1"/>
    <w:rsid w:val="00E42106"/>
    <w:rsid w:val="00E42109"/>
    <w:rsid w:val="00E42149"/>
    <w:rsid w:val="00E4216F"/>
    <w:rsid w:val="00E42177"/>
    <w:rsid w:val="00E421D0"/>
    <w:rsid w:val="00E42207"/>
    <w:rsid w:val="00E4221F"/>
    <w:rsid w:val="00E4222A"/>
    <w:rsid w:val="00E4223D"/>
    <w:rsid w:val="00E422BE"/>
    <w:rsid w:val="00E422F2"/>
    <w:rsid w:val="00E42339"/>
    <w:rsid w:val="00E42350"/>
    <w:rsid w:val="00E42366"/>
    <w:rsid w:val="00E42395"/>
    <w:rsid w:val="00E423A9"/>
    <w:rsid w:val="00E423B8"/>
    <w:rsid w:val="00E42408"/>
    <w:rsid w:val="00E42487"/>
    <w:rsid w:val="00E424E2"/>
    <w:rsid w:val="00E42528"/>
    <w:rsid w:val="00E42774"/>
    <w:rsid w:val="00E427C7"/>
    <w:rsid w:val="00E427D1"/>
    <w:rsid w:val="00E42840"/>
    <w:rsid w:val="00E42961"/>
    <w:rsid w:val="00E42965"/>
    <w:rsid w:val="00E42A05"/>
    <w:rsid w:val="00E42A0B"/>
    <w:rsid w:val="00E42B20"/>
    <w:rsid w:val="00E42B76"/>
    <w:rsid w:val="00E42B8B"/>
    <w:rsid w:val="00E42BD9"/>
    <w:rsid w:val="00E42BF4"/>
    <w:rsid w:val="00E42C34"/>
    <w:rsid w:val="00E42C3B"/>
    <w:rsid w:val="00E42C81"/>
    <w:rsid w:val="00E42D0A"/>
    <w:rsid w:val="00E42D0E"/>
    <w:rsid w:val="00E42DBB"/>
    <w:rsid w:val="00E42E03"/>
    <w:rsid w:val="00E42ED3"/>
    <w:rsid w:val="00E42EF3"/>
    <w:rsid w:val="00E42F35"/>
    <w:rsid w:val="00E42FEE"/>
    <w:rsid w:val="00E4306B"/>
    <w:rsid w:val="00E4306F"/>
    <w:rsid w:val="00E43077"/>
    <w:rsid w:val="00E43113"/>
    <w:rsid w:val="00E432AC"/>
    <w:rsid w:val="00E432C3"/>
    <w:rsid w:val="00E432CF"/>
    <w:rsid w:val="00E432D6"/>
    <w:rsid w:val="00E4333E"/>
    <w:rsid w:val="00E43369"/>
    <w:rsid w:val="00E433A3"/>
    <w:rsid w:val="00E43473"/>
    <w:rsid w:val="00E43478"/>
    <w:rsid w:val="00E43502"/>
    <w:rsid w:val="00E43529"/>
    <w:rsid w:val="00E435A0"/>
    <w:rsid w:val="00E4367C"/>
    <w:rsid w:val="00E43696"/>
    <w:rsid w:val="00E4370E"/>
    <w:rsid w:val="00E43771"/>
    <w:rsid w:val="00E4388B"/>
    <w:rsid w:val="00E438D3"/>
    <w:rsid w:val="00E438FC"/>
    <w:rsid w:val="00E4394F"/>
    <w:rsid w:val="00E439C7"/>
    <w:rsid w:val="00E43A01"/>
    <w:rsid w:val="00E43ACC"/>
    <w:rsid w:val="00E43AD6"/>
    <w:rsid w:val="00E43AEE"/>
    <w:rsid w:val="00E43B12"/>
    <w:rsid w:val="00E43B32"/>
    <w:rsid w:val="00E43B41"/>
    <w:rsid w:val="00E43BEB"/>
    <w:rsid w:val="00E43BF9"/>
    <w:rsid w:val="00E43C10"/>
    <w:rsid w:val="00E43C16"/>
    <w:rsid w:val="00E43CD6"/>
    <w:rsid w:val="00E43D05"/>
    <w:rsid w:val="00E43D0B"/>
    <w:rsid w:val="00E43D5B"/>
    <w:rsid w:val="00E43D9C"/>
    <w:rsid w:val="00E43DA8"/>
    <w:rsid w:val="00E43DE7"/>
    <w:rsid w:val="00E43E01"/>
    <w:rsid w:val="00E43E7F"/>
    <w:rsid w:val="00E43E8C"/>
    <w:rsid w:val="00E43FD9"/>
    <w:rsid w:val="00E44014"/>
    <w:rsid w:val="00E440F8"/>
    <w:rsid w:val="00E4414B"/>
    <w:rsid w:val="00E4415C"/>
    <w:rsid w:val="00E44183"/>
    <w:rsid w:val="00E441AF"/>
    <w:rsid w:val="00E441B7"/>
    <w:rsid w:val="00E441D0"/>
    <w:rsid w:val="00E441D1"/>
    <w:rsid w:val="00E441E3"/>
    <w:rsid w:val="00E441E5"/>
    <w:rsid w:val="00E442A7"/>
    <w:rsid w:val="00E442B2"/>
    <w:rsid w:val="00E44302"/>
    <w:rsid w:val="00E44370"/>
    <w:rsid w:val="00E44387"/>
    <w:rsid w:val="00E443BD"/>
    <w:rsid w:val="00E444F7"/>
    <w:rsid w:val="00E44523"/>
    <w:rsid w:val="00E4452C"/>
    <w:rsid w:val="00E445FB"/>
    <w:rsid w:val="00E4461C"/>
    <w:rsid w:val="00E44671"/>
    <w:rsid w:val="00E44796"/>
    <w:rsid w:val="00E44897"/>
    <w:rsid w:val="00E448AB"/>
    <w:rsid w:val="00E44948"/>
    <w:rsid w:val="00E44949"/>
    <w:rsid w:val="00E4495D"/>
    <w:rsid w:val="00E449A1"/>
    <w:rsid w:val="00E44A43"/>
    <w:rsid w:val="00E44A51"/>
    <w:rsid w:val="00E44A63"/>
    <w:rsid w:val="00E44B46"/>
    <w:rsid w:val="00E44B84"/>
    <w:rsid w:val="00E44C52"/>
    <w:rsid w:val="00E44C62"/>
    <w:rsid w:val="00E44CE2"/>
    <w:rsid w:val="00E44CE9"/>
    <w:rsid w:val="00E44D0B"/>
    <w:rsid w:val="00E44D4A"/>
    <w:rsid w:val="00E44DB9"/>
    <w:rsid w:val="00E44DEC"/>
    <w:rsid w:val="00E44E42"/>
    <w:rsid w:val="00E44EA3"/>
    <w:rsid w:val="00E44F11"/>
    <w:rsid w:val="00E44F21"/>
    <w:rsid w:val="00E44F2E"/>
    <w:rsid w:val="00E44F30"/>
    <w:rsid w:val="00E4502A"/>
    <w:rsid w:val="00E45040"/>
    <w:rsid w:val="00E45088"/>
    <w:rsid w:val="00E45134"/>
    <w:rsid w:val="00E451B6"/>
    <w:rsid w:val="00E4521D"/>
    <w:rsid w:val="00E452DD"/>
    <w:rsid w:val="00E4533D"/>
    <w:rsid w:val="00E453C6"/>
    <w:rsid w:val="00E4540D"/>
    <w:rsid w:val="00E45463"/>
    <w:rsid w:val="00E45464"/>
    <w:rsid w:val="00E454B0"/>
    <w:rsid w:val="00E45510"/>
    <w:rsid w:val="00E4551E"/>
    <w:rsid w:val="00E45541"/>
    <w:rsid w:val="00E4556D"/>
    <w:rsid w:val="00E455BC"/>
    <w:rsid w:val="00E4560E"/>
    <w:rsid w:val="00E45626"/>
    <w:rsid w:val="00E45661"/>
    <w:rsid w:val="00E4567D"/>
    <w:rsid w:val="00E456C2"/>
    <w:rsid w:val="00E456F4"/>
    <w:rsid w:val="00E45768"/>
    <w:rsid w:val="00E457D8"/>
    <w:rsid w:val="00E45803"/>
    <w:rsid w:val="00E45821"/>
    <w:rsid w:val="00E45834"/>
    <w:rsid w:val="00E458B2"/>
    <w:rsid w:val="00E458D2"/>
    <w:rsid w:val="00E45941"/>
    <w:rsid w:val="00E45A1C"/>
    <w:rsid w:val="00E45A76"/>
    <w:rsid w:val="00E45C1C"/>
    <w:rsid w:val="00E45C34"/>
    <w:rsid w:val="00E45C35"/>
    <w:rsid w:val="00E45C5E"/>
    <w:rsid w:val="00E45C8F"/>
    <w:rsid w:val="00E45CCA"/>
    <w:rsid w:val="00E45D7C"/>
    <w:rsid w:val="00E45DA8"/>
    <w:rsid w:val="00E45DF4"/>
    <w:rsid w:val="00E45E4C"/>
    <w:rsid w:val="00E45E86"/>
    <w:rsid w:val="00E45EAD"/>
    <w:rsid w:val="00E45EC4"/>
    <w:rsid w:val="00E45ECF"/>
    <w:rsid w:val="00E45F1C"/>
    <w:rsid w:val="00E45F47"/>
    <w:rsid w:val="00E45F73"/>
    <w:rsid w:val="00E45F81"/>
    <w:rsid w:val="00E45F82"/>
    <w:rsid w:val="00E4605A"/>
    <w:rsid w:val="00E4609C"/>
    <w:rsid w:val="00E460D9"/>
    <w:rsid w:val="00E460FD"/>
    <w:rsid w:val="00E461EA"/>
    <w:rsid w:val="00E46250"/>
    <w:rsid w:val="00E4629F"/>
    <w:rsid w:val="00E46309"/>
    <w:rsid w:val="00E46327"/>
    <w:rsid w:val="00E46341"/>
    <w:rsid w:val="00E463E6"/>
    <w:rsid w:val="00E463FC"/>
    <w:rsid w:val="00E46444"/>
    <w:rsid w:val="00E464CC"/>
    <w:rsid w:val="00E464F3"/>
    <w:rsid w:val="00E465F8"/>
    <w:rsid w:val="00E467AF"/>
    <w:rsid w:val="00E4685D"/>
    <w:rsid w:val="00E469E9"/>
    <w:rsid w:val="00E46A30"/>
    <w:rsid w:val="00E46B43"/>
    <w:rsid w:val="00E46B59"/>
    <w:rsid w:val="00E46C0E"/>
    <w:rsid w:val="00E46C49"/>
    <w:rsid w:val="00E46C4B"/>
    <w:rsid w:val="00E46C78"/>
    <w:rsid w:val="00E46CB8"/>
    <w:rsid w:val="00E46CE1"/>
    <w:rsid w:val="00E46CF7"/>
    <w:rsid w:val="00E46D4E"/>
    <w:rsid w:val="00E46D6F"/>
    <w:rsid w:val="00E46D92"/>
    <w:rsid w:val="00E46E2C"/>
    <w:rsid w:val="00E46EC3"/>
    <w:rsid w:val="00E46F17"/>
    <w:rsid w:val="00E46F38"/>
    <w:rsid w:val="00E46F41"/>
    <w:rsid w:val="00E46FE1"/>
    <w:rsid w:val="00E4702F"/>
    <w:rsid w:val="00E4705B"/>
    <w:rsid w:val="00E47061"/>
    <w:rsid w:val="00E47096"/>
    <w:rsid w:val="00E470E6"/>
    <w:rsid w:val="00E47137"/>
    <w:rsid w:val="00E4718A"/>
    <w:rsid w:val="00E471F1"/>
    <w:rsid w:val="00E471F3"/>
    <w:rsid w:val="00E4728C"/>
    <w:rsid w:val="00E472A6"/>
    <w:rsid w:val="00E472ED"/>
    <w:rsid w:val="00E4734D"/>
    <w:rsid w:val="00E4739E"/>
    <w:rsid w:val="00E473BF"/>
    <w:rsid w:val="00E473CE"/>
    <w:rsid w:val="00E47527"/>
    <w:rsid w:val="00E475AA"/>
    <w:rsid w:val="00E476BC"/>
    <w:rsid w:val="00E476F1"/>
    <w:rsid w:val="00E47742"/>
    <w:rsid w:val="00E4779B"/>
    <w:rsid w:val="00E477D7"/>
    <w:rsid w:val="00E477F2"/>
    <w:rsid w:val="00E478DD"/>
    <w:rsid w:val="00E478ED"/>
    <w:rsid w:val="00E47947"/>
    <w:rsid w:val="00E47AB1"/>
    <w:rsid w:val="00E47AC0"/>
    <w:rsid w:val="00E47AE2"/>
    <w:rsid w:val="00E47AE9"/>
    <w:rsid w:val="00E47B37"/>
    <w:rsid w:val="00E47B45"/>
    <w:rsid w:val="00E47BAB"/>
    <w:rsid w:val="00E47BF8"/>
    <w:rsid w:val="00E47BF9"/>
    <w:rsid w:val="00E47C03"/>
    <w:rsid w:val="00E47C78"/>
    <w:rsid w:val="00E47CDA"/>
    <w:rsid w:val="00E47E31"/>
    <w:rsid w:val="00E47E50"/>
    <w:rsid w:val="00E47F36"/>
    <w:rsid w:val="00E47F3C"/>
    <w:rsid w:val="00E47F90"/>
    <w:rsid w:val="00E47FD3"/>
    <w:rsid w:val="00E47FD7"/>
    <w:rsid w:val="00E47FF6"/>
    <w:rsid w:val="00E5003A"/>
    <w:rsid w:val="00E5009C"/>
    <w:rsid w:val="00E500F3"/>
    <w:rsid w:val="00E50104"/>
    <w:rsid w:val="00E501F4"/>
    <w:rsid w:val="00E5020D"/>
    <w:rsid w:val="00E50238"/>
    <w:rsid w:val="00E502BD"/>
    <w:rsid w:val="00E50368"/>
    <w:rsid w:val="00E503D1"/>
    <w:rsid w:val="00E503F3"/>
    <w:rsid w:val="00E503F9"/>
    <w:rsid w:val="00E5046B"/>
    <w:rsid w:val="00E50567"/>
    <w:rsid w:val="00E50605"/>
    <w:rsid w:val="00E50697"/>
    <w:rsid w:val="00E506F5"/>
    <w:rsid w:val="00E50706"/>
    <w:rsid w:val="00E5074B"/>
    <w:rsid w:val="00E50777"/>
    <w:rsid w:val="00E5080B"/>
    <w:rsid w:val="00E508C5"/>
    <w:rsid w:val="00E508CA"/>
    <w:rsid w:val="00E508D5"/>
    <w:rsid w:val="00E50941"/>
    <w:rsid w:val="00E50979"/>
    <w:rsid w:val="00E509DB"/>
    <w:rsid w:val="00E509FB"/>
    <w:rsid w:val="00E50A18"/>
    <w:rsid w:val="00E50A54"/>
    <w:rsid w:val="00E50A84"/>
    <w:rsid w:val="00E50AB2"/>
    <w:rsid w:val="00E50BA4"/>
    <w:rsid w:val="00E50C62"/>
    <w:rsid w:val="00E50CC7"/>
    <w:rsid w:val="00E50D6C"/>
    <w:rsid w:val="00E50DCE"/>
    <w:rsid w:val="00E50E3E"/>
    <w:rsid w:val="00E50ED8"/>
    <w:rsid w:val="00E5107A"/>
    <w:rsid w:val="00E5107D"/>
    <w:rsid w:val="00E51090"/>
    <w:rsid w:val="00E510B2"/>
    <w:rsid w:val="00E5119E"/>
    <w:rsid w:val="00E512DD"/>
    <w:rsid w:val="00E512F7"/>
    <w:rsid w:val="00E51318"/>
    <w:rsid w:val="00E5135D"/>
    <w:rsid w:val="00E5136A"/>
    <w:rsid w:val="00E5137F"/>
    <w:rsid w:val="00E51405"/>
    <w:rsid w:val="00E5140E"/>
    <w:rsid w:val="00E5141F"/>
    <w:rsid w:val="00E5142D"/>
    <w:rsid w:val="00E5149C"/>
    <w:rsid w:val="00E514D7"/>
    <w:rsid w:val="00E514E0"/>
    <w:rsid w:val="00E51558"/>
    <w:rsid w:val="00E51559"/>
    <w:rsid w:val="00E5157D"/>
    <w:rsid w:val="00E51632"/>
    <w:rsid w:val="00E5166B"/>
    <w:rsid w:val="00E51759"/>
    <w:rsid w:val="00E51770"/>
    <w:rsid w:val="00E518D1"/>
    <w:rsid w:val="00E518F9"/>
    <w:rsid w:val="00E519C3"/>
    <w:rsid w:val="00E519DD"/>
    <w:rsid w:val="00E519E4"/>
    <w:rsid w:val="00E519FC"/>
    <w:rsid w:val="00E51A93"/>
    <w:rsid w:val="00E51AC5"/>
    <w:rsid w:val="00E51B12"/>
    <w:rsid w:val="00E51B2C"/>
    <w:rsid w:val="00E51B31"/>
    <w:rsid w:val="00E51B6D"/>
    <w:rsid w:val="00E51BE8"/>
    <w:rsid w:val="00E51C02"/>
    <w:rsid w:val="00E51C29"/>
    <w:rsid w:val="00E51CC2"/>
    <w:rsid w:val="00E51CF6"/>
    <w:rsid w:val="00E51D31"/>
    <w:rsid w:val="00E51D84"/>
    <w:rsid w:val="00E51DC7"/>
    <w:rsid w:val="00E51DFA"/>
    <w:rsid w:val="00E51E67"/>
    <w:rsid w:val="00E51E75"/>
    <w:rsid w:val="00E51E8C"/>
    <w:rsid w:val="00E51E91"/>
    <w:rsid w:val="00E51FA7"/>
    <w:rsid w:val="00E520A2"/>
    <w:rsid w:val="00E520C8"/>
    <w:rsid w:val="00E5216E"/>
    <w:rsid w:val="00E52221"/>
    <w:rsid w:val="00E5226B"/>
    <w:rsid w:val="00E52272"/>
    <w:rsid w:val="00E5227C"/>
    <w:rsid w:val="00E5229E"/>
    <w:rsid w:val="00E522CD"/>
    <w:rsid w:val="00E522F4"/>
    <w:rsid w:val="00E52331"/>
    <w:rsid w:val="00E52354"/>
    <w:rsid w:val="00E52389"/>
    <w:rsid w:val="00E523B8"/>
    <w:rsid w:val="00E52442"/>
    <w:rsid w:val="00E52448"/>
    <w:rsid w:val="00E524B7"/>
    <w:rsid w:val="00E526BB"/>
    <w:rsid w:val="00E5270F"/>
    <w:rsid w:val="00E52764"/>
    <w:rsid w:val="00E52827"/>
    <w:rsid w:val="00E528AB"/>
    <w:rsid w:val="00E528D7"/>
    <w:rsid w:val="00E528E5"/>
    <w:rsid w:val="00E52914"/>
    <w:rsid w:val="00E52928"/>
    <w:rsid w:val="00E52994"/>
    <w:rsid w:val="00E529FF"/>
    <w:rsid w:val="00E52A84"/>
    <w:rsid w:val="00E52AAC"/>
    <w:rsid w:val="00E52AB2"/>
    <w:rsid w:val="00E52C65"/>
    <w:rsid w:val="00E52C82"/>
    <w:rsid w:val="00E52E30"/>
    <w:rsid w:val="00E52E8A"/>
    <w:rsid w:val="00E52EE1"/>
    <w:rsid w:val="00E52EE5"/>
    <w:rsid w:val="00E52EE6"/>
    <w:rsid w:val="00E52EF9"/>
    <w:rsid w:val="00E53030"/>
    <w:rsid w:val="00E5303B"/>
    <w:rsid w:val="00E53057"/>
    <w:rsid w:val="00E5306E"/>
    <w:rsid w:val="00E530C5"/>
    <w:rsid w:val="00E531A9"/>
    <w:rsid w:val="00E531C7"/>
    <w:rsid w:val="00E5320F"/>
    <w:rsid w:val="00E53245"/>
    <w:rsid w:val="00E53254"/>
    <w:rsid w:val="00E53359"/>
    <w:rsid w:val="00E53369"/>
    <w:rsid w:val="00E533DC"/>
    <w:rsid w:val="00E5344B"/>
    <w:rsid w:val="00E534D7"/>
    <w:rsid w:val="00E534DF"/>
    <w:rsid w:val="00E534FC"/>
    <w:rsid w:val="00E53502"/>
    <w:rsid w:val="00E53562"/>
    <w:rsid w:val="00E53566"/>
    <w:rsid w:val="00E53569"/>
    <w:rsid w:val="00E5357A"/>
    <w:rsid w:val="00E5364E"/>
    <w:rsid w:val="00E53664"/>
    <w:rsid w:val="00E536BA"/>
    <w:rsid w:val="00E536BF"/>
    <w:rsid w:val="00E536D7"/>
    <w:rsid w:val="00E53721"/>
    <w:rsid w:val="00E53758"/>
    <w:rsid w:val="00E53760"/>
    <w:rsid w:val="00E53784"/>
    <w:rsid w:val="00E537B5"/>
    <w:rsid w:val="00E53820"/>
    <w:rsid w:val="00E53880"/>
    <w:rsid w:val="00E538C8"/>
    <w:rsid w:val="00E5393D"/>
    <w:rsid w:val="00E53983"/>
    <w:rsid w:val="00E53997"/>
    <w:rsid w:val="00E539DB"/>
    <w:rsid w:val="00E539E5"/>
    <w:rsid w:val="00E53A8E"/>
    <w:rsid w:val="00E53AA6"/>
    <w:rsid w:val="00E53ABC"/>
    <w:rsid w:val="00E53B3B"/>
    <w:rsid w:val="00E53BF2"/>
    <w:rsid w:val="00E53C67"/>
    <w:rsid w:val="00E53C99"/>
    <w:rsid w:val="00E53CA5"/>
    <w:rsid w:val="00E53E16"/>
    <w:rsid w:val="00E53E36"/>
    <w:rsid w:val="00E53E47"/>
    <w:rsid w:val="00E53E48"/>
    <w:rsid w:val="00E53E57"/>
    <w:rsid w:val="00E53E92"/>
    <w:rsid w:val="00E53EB9"/>
    <w:rsid w:val="00E53F0A"/>
    <w:rsid w:val="00E53F0F"/>
    <w:rsid w:val="00E53F4F"/>
    <w:rsid w:val="00E53F53"/>
    <w:rsid w:val="00E53FB3"/>
    <w:rsid w:val="00E54013"/>
    <w:rsid w:val="00E5403F"/>
    <w:rsid w:val="00E540F5"/>
    <w:rsid w:val="00E54108"/>
    <w:rsid w:val="00E5412D"/>
    <w:rsid w:val="00E54246"/>
    <w:rsid w:val="00E5426A"/>
    <w:rsid w:val="00E54288"/>
    <w:rsid w:val="00E5433F"/>
    <w:rsid w:val="00E54373"/>
    <w:rsid w:val="00E54379"/>
    <w:rsid w:val="00E54405"/>
    <w:rsid w:val="00E54426"/>
    <w:rsid w:val="00E5442D"/>
    <w:rsid w:val="00E54430"/>
    <w:rsid w:val="00E54473"/>
    <w:rsid w:val="00E544A9"/>
    <w:rsid w:val="00E544F5"/>
    <w:rsid w:val="00E545A5"/>
    <w:rsid w:val="00E54614"/>
    <w:rsid w:val="00E54662"/>
    <w:rsid w:val="00E5469F"/>
    <w:rsid w:val="00E5476C"/>
    <w:rsid w:val="00E547CB"/>
    <w:rsid w:val="00E54808"/>
    <w:rsid w:val="00E54844"/>
    <w:rsid w:val="00E54955"/>
    <w:rsid w:val="00E549E9"/>
    <w:rsid w:val="00E54A68"/>
    <w:rsid w:val="00E54AAC"/>
    <w:rsid w:val="00E54AB8"/>
    <w:rsid w:val="00E54AE6"/>
    <w:rsid w:val="00E54B00"/>
    <w:rsid w:val="00E54B8A"/>
    <w:rsid w:val="00E54BA2"/>
    <w:rsid w:val="00E54BB2"/>
    <w:rsid w:val="00E54BBD"/>
    <w:rsid w:val="00E54C46"/>
    <w:rsid w:val="00E54C58"/>
    <w:rsid w:val="00E54CAE"/>
    <w:rsid w:val="00E54CE4"/>
    <w:rsid w:val="00E54CFA"/>
    <w:rsid w:val="00E54CFD"/>
    <w:rsid w:val="00E54D34"/>
    <w:rsid w:val="00E54D85"/>
    <w:rsid w:val="00E54DF8"/>
    <w:rsid w:val="00E54E1D"/>
    <w:rsid w:val="00E54E8B"/>
    <w:rsid w:val="00E54F64"/>
    <w:rsid w:val="00E55113"/>
    <w:rsid w:val="00E55150"/>
    <w:rsid w:val="00E552CD"/>
    <w:rsid w:val="00E55339"/>
    <w:rsid w:val="00E5533B"/>
    <w:rsid w:val="00E5538F"/>
    <w:rsid w:val="00E554E9"/>
    <w:rsid w:val="00E55508"/>
    <w:rsid w:val="00E5552D"/>
    <w:rsid w:val="00E55567"/>
    <w:rsid w:val="00E55568"/>
    <w:rsid w:val="00E555C1"/>
    <w:rsid w:val="00E555E1"/>
    <w:rsid w:val="00E556FE"/>
    <w:rsid w:val="00E557B6"/>
    <w:rsid w:val="00E557E3"/>
    <w:rsid w:val="00E55872"/>
    <w:rsid w:val="00E5589D"/>
    <w:rsid w:val="00E559EC"/>
    <w:rsid w:val="00E55A59"/>
    <w:rsid w:val="00E55AFF"/>
    <w:rsid w:val="00E55B29"/>
    <w:rsid w:val="00E55B2F"/>
    <w:rsid w:val="00E55B62"/>
    <w:rsid w:val="00E55B86"/>
    <w:rsid w:val="00E55B9D"/>
    <w:rsid w:val="00E55C2E"/>
    <w:rsid w:val="00E55C5A"/>
    <w:rsid w:val="00E55C67"/>
    <w:rsid w:val="00E55CD9"/>
    <w:rsid w:val="00E55DA4"/>
    <w:rsid w:val="00E55E74"/>
    <w:rsid w:val="00E55EC8"/>
    <w:rsid w:val="00E55ECC"/>
    <w:rsid w:val="00E55EFA"/>
    <w:rsid w:val="00E55F56"/>
    <w:rsid w:val="00E55FD4"/>
    <w:rsid w:val="00E55FEE"/>
    <w:rsid w:val="00E560F4"/>
    <w:rsid w:val="00E560FB"/>
    <w:rsid w:val="00E56117"/>
    <w:rsid w:val="00E56148"/>
    <w:rsid w:val="00E561D7"/>
    <w:rsid w:val="00E561FC"/>
    <w:rsid w:val="00E56237"/>
    <w:rsid w:val="00E56248"/>
    <w:rsid w:val="00E56279"/>
    <w:rsid w:val="00E5641B"/>
    <w:rsid w:val="00E5642F"/>
    <w:rsid w:val="00E56519"/>
    <w:rsid w:val="00E56553"/>
    <w:rsid w:val="00E56598"/>
    <w:rsid w:val="00E56635"/>
    <w:rsid w:val="00E567C5"/>
    <w:rsid w:val="00E567F4"/>
    <w:rsid w:val="00E56828"/>
    <w:rsid w:val="00E56834"/>
    <w:rsid w:val="00E56837"/>
    <w:rsid w:val="00E56877"/>
    <w:rsid w:val="00E569C7"/>
    <w:rsid w:val="00E569C8"/>
    <w:rsid w:val="00E56A09"/>
    <w:rsid w:val="00E56A6E"/>
    <w:rsid w:val="00E56A9C"/>
    <w:rsid w:val="00E56ACB"/>
    <w:rsid w:val="00E56B34"/>
    <w:rsid w:val="00E56B81"/>
    <w:rsid w:val="00E56BD6"/>
    <w:rsid w:val="00E56BE8"/>
    <w:rsid w:val="00E56C3A"/>
    <w:rsid w:val="00E56CE6"/>
    <w:rsid w:val="00E56DBB"/>
    <w:rsid w:val="00E56DFE"/>
    <w:rsid w:val="00E56DFF"/>
    <w:rsid w:val="00E56E1F"/>
    <w:rsid w:val="00E56E28"/>
    <w:rsid w:val="00E56E62"/>
    <w:rsid w:val="00E56F20"/>
    <w:rsid w:val="00E56F51"/>
    <w:rsid w:val="00E56F7E"/>
    <w:rsid w:val="00E5705E"/>
    <w:rsid w:val="00E570A4"/>
    <w:rsid w:val="00E570D0"/>
    <w:rsid w:val="00E5712B"/>
    <w:rsid w:val="00E5714F"/>
    <w:rsid w:val="00E5715C"/>
    <w:rsid w:val="00E57189"/>
    <w:rsid w:val="00E5722C"/>
    <w:rsid w:val="00E57238"/>
    <w:rsid w:val="00E5724F"/>
    <w:rsid w:val="00E5728D"/>
    <w:rsid w:val="00E57341"/>
    <w:rsid w:val="00E573B5"/>
    <w:rsid w:val="00E573DD"/>
    <w:rsid w:val="00E57462"/>
    <w:rsid w:val="00E574FF"/>
    <w:rsid w:val="00E57537"/>
    <w:rsid w:val="00E5755B"/>
    <w:rsid w:val="00E575A5"/>
    <w:rsid w:val="00E5764F"/>
    <w:rsid w:val="00E5775D"/>
    <w:rsid w:val="00E57808"/>
    <w:rsid w:val="00E5781F"/>
    <w:rsid w:val="00E5784B"/>
    <w:rsid w:val="00E57979"/>
    <w:rsid w:val="00E579C9"/>
    <w:rsid w:val="00E579E6"/>
    <w:rsid w:val="00E57A14"/>
    <w:rsid w:val="00E57A76"/>
    <w:rsid w:val="00E57A99"/>
    <w:rsid w:val="00E57AAB"/>
    <w:rsid w:val="00E57B13"/>
    <w:rsid w:val="00E57BB2"/>
    <w:rsid w:val="00E57CE1"/>
    <w:rsid w:val="00E57D13"/>
    <w:rsid w:val="00E57D58"/>
    <w:rsid w:val="00E57E71"/>
    <w:rsid w:val="00E57E80"/>
    <w:rsid w:val="00E57F3C"/>
    <w:rsid w:val="00E57F73"/>
    <w:rsid w:val="00E57F7E"/>
    <w:rsid w:val="00E5F01A"/>
    <w:rsid w:val="00E6002A"/>
    <w:rsid w:val="00E6002F"/>
    <w:rsid w:val="00E60069"/>
    <w:rsid w:val="00E600AB"/>
    <w:rsid w:val="00E600F7"/>
    <w:rsid w:val="00E60189"/>
    <w:rsid w:val="00E601EC"/>
    <w:rsid w:val="00E601ED"/>
    <w:rsid w:val="00E6021C"/>
    <w:rsid w:val="00E6027C"/>
    <w:rsid w:val="00E60285"/>
    <w:rsid w:val="00E602B7"/>
    <w:rsid w:val="00E602C1"/>
    <w:rsid w:val="00E602F5"/>
    <w:rsid w:val="00E6038B"/>
    <w:rsid w:val="00E603A4"/>
    <w:rsid w:val="00E603C8"/>
    <w:rsid w:val="00E603CD"/>
    <w:rsid w:val="00E60400"/>
    <w:rsid w:val="00E6040F"/>
    <w:rsid w:val="00E60418"/>
    <w:rsid w:val="00E6042D"/>
    <w:rsid w:val="00E604B3"/>
    <w:rsid w:val="00E604E3"/>
    <w:rsid w:val="00E604E7"/>
    <w:rsid w:val="00E6051E"/>
    <w:rsid w:val="00E6053A"/>
    <w:rsid w:val="00E605A8"/>
    <w:rsid w:val="00E605DB"/>
    <w:rsid w:val="00E605FB"/>
    <w:rsid w:val="00E606D0"/>
    <w:rsid w:val="00E606E0"/>
    <w:rsid w:val="00E606E2"/>
    <w:rsid w:val="00E606F1"/>
    <w:rsid w:val="00E60702"/>
    <w:rsid w:val="00E60705"/>
    <w:rsid w:val="00E60823"/>
    <w:rsid w:val="00E6087A"/>
    <w:rsid w:val="00E6088E"/>
    <w:rsid w:val="00E6089B"/>
    <w:rsid w:val="00E608BD"/>
    <w:rsid w:val="00E608D1"/>
    <w:rsid w:val="00E608D5"/>
    <w:rsid w:val="00E608F7"/>
    <w:rsid w:val="00E60928"/>
    <w:rsid w:val="00E60992"/>
    <w:rsid w:val="00E609F6"/>
    <w:rsid w:val="00E60A00"/>
    <w:rsid w:val="00E60A0F"/>
    <w:rsid w:val="00E60A5E"/>
    <w:rsid w:val="00E60BDC"/>
    <w:rsid w:val="00E60C4B"/>
    <w:rsid w:val="00E60C50"/>
    <w:rsid w:val="00E60C5D"/>
    <w:rsid w:val="00E60C83"/>
    <w:rsid w:val="00E60C89"/>
    <w:rsid w:val="00E60CB1"/>
    <w:rsid w:val="00E60CC4"/>
    <w:rsid w:val="00E60CCF"/>
    <w:rsid w:val="00E60D6F"/>
    <w:rsid w:val="00E60D75"/>
    <w:rsid w:val="00E60D81"/>
    <w:rsid w:val="00E60DB1"/>
    <w:rsid w:val="00E60DD2"/>
    <w:rsid w:val="00E60DEC"/>
    <w:rsid w:val="00E60E07"/>
    <w:rsid w:val="00E60EDE"/>
    <w:rsid w:val="00E60EEF"/>
    <w:rsid w:val="00E60F5A"/>
    <w:rsid w:val="00E60F62"/>
    <w:rsid w:val="00E60F73"/>
    <w:rsid w:val="00E60FC2"/>
    <w:rsid w:val="00E61003"/>
    <w:rsid w:val="00E6105F"/>
    <w:rsid w:val="00E61080"/>
    <w:rsid w:val="00E610AA"/>
    <w:rsid w:val="00E6112B"/>
    <w:rsid w:val="00E6119F"/>
    <w:rsid w:val="00E611B8"/>
    <w:rsid w:val="00E61218"/>
    <w:rsid w:val="00E61241"/>
    <w:rsid w:val="00E61273"/>
    <w:rsid w:val="00E61344"/>
    <w:rsid w:val="00E61349"/>
    <w:rsid w:val="00E613B7"/>
    <w:rsid w:val="00E61435"/>
    <w:rsid w:val="00E614BD"/>
    <w:rsid w:val="00E614D6"/>
    <w:rsid w:val="00E614E6"/>
    <w:rsid w:val="00E61572"/>
    <w:rsid w:val="00E61603"/>
    <w:rsid w:val="00E61636"/>
    <w:rsid w:val="00E61651"/>
    <w:rsid w:val="00E616B2"/>
    <w:rsid w:val="00E616BB"/>
    <w:rsid w:val="00E616DA"/>
    <w:rsid w:val="00E6171B"/>
    <w:rsid w:val="00E6174C"/>
    <w:rsid w:val="00E61843"/>
    <w:rsid w:val="00E6189E"/>
    <w:rsid w:val="00E618B1"/>
    <w:rsid w:val="00E619A4"/>
    <w:rsid w:val="00E61A09"/>
    <w:rsid w:val="00E61A68"/>
    <w:rsid w:val="00E61B02"/>
    <w:rsid w:val="00E61BAF"/>
    <w:rsid w:val="00E61BEC"/>
    <w:rsid w:val="00E61C29"/>
    <w:rsid w:val="00E61C38"/>
    <w:rsid w:val="00E61C6D"/>
    <w:rsid w:val="00E61CCA"/>
    <w:rsid w:val="00E61CFB"/>
    <w:rsid w:val="00E61D50"/>
    <w:rsid w:val="00E61D89"/>
    <w:rsid w:val="00E61DFD"/>
    <w:rsid w:val="00E61EE7"/>
    <w:rsid w:val="00E61F9D"/>
    <w:rsid w:val="00E62067"/>
    <w:rsid w:val="00E6206F"/>
    <w:rsid w:val="00E620BD"/>
    <w:rsid w:val="00E620E9"/>
    <w:rsid w:val="00E620FD"/>
    <w:rsid w:val="00E62115"/>
    <w:rsid w:val="00E6212D"/>
    <w:rsid w:val="00E62140"/>
    <w:rsid w:val="00E6217E"/>
    <w:rsid w:val="00E6219A"/>
    <w:rsid w:val="00E621A5"/>
    <w:rsid w:val="00E621EC"/>
    <w:rsid w:val="00E622D3"/>
    <w:rsid w:val="00E622DA"/>
    <w:rsid w:val="00E62324"/>
    <w:rsid w:val="00E62336"/>
    <w:rsid w:val="00E62370"/>
    <w:rsid w:val="00E62393"/>
    <w:rsid w:val="00E623E3"/>
    <w:rsid w:val="00E6241A"/>
    <w:rsid w:val="00E624DA"/>
    <w:rsid w:val="00E624FB"/>
    <w:rsid w:val="00E624FF"/>
    <w:rsid w:val="00E62509"/>
    <w:rsid w:val="00E62518"/>
    <w:rsid w:val="00E625C1"/>
    <w:rsid w:val="00E625D9"/>
    <w:rsid w:val="00E625E9"/>
    <w:rsid w:val="00E625F4"/>
    <w:rsid w:val="00E626AA"/>
    <w:rsid w:val="00E62703"/>
    <w:rsid w:val="00E62782"/>
    <w:rsid w:val="00E6279D"/>
    <w:rsid w:val="00E627B6"/>
    <w:rsid w:val="00E62805"/>
    <w:rsid w:val="00E628A5"/>
    <w:rsid w:val="00E628EC"/>
    <w:rsid w:val="00E62977"/>
    <w:rsid w:val="00E6297C"/>
    <w:rsid w:val="00E629AE"/>
    <w:rsid w:val="00E62A09"/>
    <w:rsid w:val="00E62A15"/>
    <w:rsid w:val="00E62A1C"/>
    <w:rsid w:val="00E62A4C"/>
    <w:rsid w:val="00E62A7B"/>
    <w:rsid w:val="00E62B1D"/>
    <w:rsid w:val="00E62B44"/>
    <w:rsid w:val="00E62C3F"/>
    <w:rsid w:val="00E62CDA"/>
    <w:rsid w:val="00E62D16"/>
    <w:rsid w:val="00E62D5A"/>
    <w:rsid w:val="00E62D67"/>
    <w:rsid w:val="00E62D6E"/>
    <w:rsid w:val="00E62D8B"/>
    <w:rsid w:val="00E62D9E"/>
    <w:rsid w:val="00E62DAD"/>
    <w:rsid w:val="00E62E29"/>
    <w:rsid w:val="00E62EE0"/>
    <w:rsid w:val="00E62F64"/>
    <w:rsid w:val="00E62F6E"/>
    <w:rsid w:val="00E62F7D"/>
    <w:rsid w:val="00E62F80"/>
    <w:rsid w:val="00E62F97"/>
    <w:rsid w:val="00E6305B"/>
    <w:rsid w:val="00E63060"/>
    <w:rsid w:val="00E631A0"/>
    <w:rsid w:val="00E63219"/>
    <w:rsid w:val="00E6327B"/>
    <w:rsid w:val="00E63296"/>
    <w:rsid w:val="00E632C8"/>
    <w:rsid w:val="00E633F0"/>
    <w:rsid w:val="00E63435"/>
    <w:rsid w:val="00E634BF"/>
    <w:rsid w:val="00E635BA"/>
    <w:rsid w:val="00E6363B"/>
    <w:rsid w:val="00E6363F"/>
    <w:rsid w:val="00E6370B"/>
    <w:rsid w:val="00E637E4"/>
    <w:rsid w:val="00E63835"/>
    <w:rsid w:val="00E63850"/>
    <w:rsid w:val="00E638B9"/>
    <w:rsid w:val="00E638BF"/>
    <w:rsid w:val="00E638CB"/>
    <w:rsid w:val="00E63905"/>
    <w:rsid w:val="00E63915"/>
    <w:rsid w:val="00E6391B"/>
    <w:rsid w:val="00E639AF"/>
    <w:rsid w:val="00E639C0"/>
    <w:rsid w:val="00E63B42"/>
    <w:rsid w:val="00E63B45"/>
    <w:rsid w:val="00E63B64"/>
    <w:rsid w:val="00E63BBE"/>
    <w:rsid w:val="00E63BCA"/>
    <w:rsid w:val="00E63C70"/>
    <w:rsid w:val="00E63C98"/>
    <w:rsid w:val="00E63CC4"/>
    <w:rsid w:val="00E63CD7"/>
    <w:rsid w:val="00E63D10"/>
    <w:rsid w:val="00E63D6B"/>
    <w:rsid w:val="00E63DDF"/>
    <w:rsid w:val="00E63E5B"/>
    <w:rsid w:val="00E63E8F"/>
    <w:rsid w:val="00E63E99"/>
    <w:rsid w:val="00E63EAA"/>
    <w:rsid w:val="00E63EC2"/>
    <w:rsid w:val="00E63ECC"/>
    <w:rsid w:val="00E63F02"/>
    <w:rsid w:val="00E63F46"/>
    <w:rsid w:val="00E6404D"/>
    <w:rsid w:val="00E64079"/>
    <w:rsid w:val="00E64127"/>
    <w:rsid w:val="00E64169"/>
    <w:rsid w:val="00E64188"/>
    <w:rsid w:val="00E641B4"/>
    <w:rsid w:val="00E641D1"/>
    <w:rsid w:val="00E64200"/>
    <w:rsid w:val="00E643C9"/>
    <w:rsid w:val="00E644C7"/>
    <w:rsid w:val="00E6451F"/>
    <w:rsid w:val="00E64613"/>
    <w:rsid w:val="00E64614"/>
    <w:rsid w:val="00E64676"/>
    <w:rsid w:val="00E646DF"/>
    <w:rsid w:val="00E64718"/>
    <w:rsid w:val="00E64743"/>
    <w:rsid w:val="00E6476A"/>
    <w:rsid w:val="00E647C7"/>
    <w:rsid w:val="00E64811"/>
    <w:rsid w:val="00E64857"/>
    <w:rsid w:val="00E64993"/>
    <w:rsid w:val="00E649B3"/>
    <w:rsid w:val="00E64A01"/>
    <w:rsid w:val="00E64A37"/>
    <w:rsid w:val="00E64AF1"/>
    <w:rsid w:val="00E64B2B"/>
    <w:rsid w:val="00E64B62"/>
    <w:rsid w:val="00E64B91"/>
    <w:rsid w:val="00E64BE7"/>
    <w:rsid w:val="00E64BFD"/>
    <w:rsid w:val="00E64C20"/>
    <w:rsid w:val="00E64CC0"/>
    <w:rsid w:val="00E64D6D"/>
    <w:rsid w:val="00E64DE6"/>
    <w:rsid w:val="00E64E37"/>
    <w:rsid w:val="00E64E4C"/>
    <w:rsid w:val="00E64E7B"/>
    <w:rsid w:val="00E64EFD"/>
    <w:rsid w:val="00E64F3C"/>
    <w:rsid w:val="00E64F3F"/>
    <w:rsid w:val="00E64F87"/>
    <w:rsid w:val="00E64F8C"/>
    <w:rsid w:val="00E64F97"/>
    <w:rsid w:val="00E64FEA"/>
    <w:rsid w:val="00E65012"/>
    <w:rsid w:val="00E6501B"/>
    <w:rsid w:val="00E65072"/>
    <w:rsid w:val="00E650E4"/>
    <w:rsid w:val="00E65140"/>
    <w:rsid w:val="00E65164"/>
    <w:rsid w:val="00E65172"/>
    <w:rsid w:val="00E65199"/>
    <w:rsid w:val="00E651E0"/>
    <w:rsid w:val="00E652D2"/>
    <w:rsid w:val="00E65399"/>
    <w:rsid w:val="00E6540A"/>
    <w:rsid w:val="00E6541D"/>
    <w:rsid w:val="00E654F7"/>
    <w:rsid w:val="00E65546"/>
    <w:rsid w:val="00E65549"/>
    <w:rsid w:val="00E655DA"/>
    <w:rsid w:val="00E655DB"/>
    <w:rsid w:val="00E655E6"/>
    <w:rsid w:val="00E655EE"/>
    <w:rsid w:val="00E655FC"/>
    <w:rsid w:val="00E65615"/>
    <w:rsid w:val="00E65650"/>
    <w:rsid w:val="00E65673"/>
    <w:rsid w:val="00E656DC"/>
    <w:rsid w:val="00E656FA"/>
    <w:rsid w:val="00E65715"/>
    <w:rsid w:val="00E65747"/>
    <w:rsid w:val="00E65789"/>
    <w:rsid w:val="00E65886"/>
    <w:rsid w:val="00E65899"/>
    <w:rsid w:val="00E6591E"/>
    <w:rsid w:val="00E65A0C"/>
    <w:rsid w:val="00E65A26"/>
    <w:rsid w:val="00E65A5A"/>
    <w:rsid w:val="00E65ABD"/>
    <w:rsid w:val="00E65AEE"/>
    <w:rsid w:val="00E65BEB"/>
    <w:rsid w:val="00E65D27"/>
    <w:rsid w:val="00E65D4A"/>
    <w:rsid w:val="00E65D4F"/>
    <w:rsid w:val="00E65E05"/>
    <w:rsid w:val="00E65E41"/>
    <w:rsid w:val="00E65F17"/>
    <w:rsid w:val="00E65F3D"/>
    <w:rsid w:val="00E65F5F"/>
    <w:rsid w:val="00E65F72"/>
    <w:rsid w:val="00E65FCF"/>
    <w:rsid w:val="00E65FEE"/>
    <w:rsid w:val="00E66018"/>
    <w:rsid w:val="00E6606D"/>
    <w:rsid w:val="00E6607E"/>
    <w:rsid w:val="00E66090"/>
    <w:rsid w:val="00E660ED"/>
    <w:rsid w:val="00E6610C"/>
    <w:rsid w:val="00E66150"/>
    <w:rsid w:val="00E6616D"/>
    <w:rsid w:val="00E6628B"/>
    <w:rsid w:val="00E662DA"/>
    <w:rsid w:val="00E66308"/>
    <w:rsid w:val="00E66351"/>
    <w:rsid w:val="00E66376"/>
    <w:rsid w:val="00E663F7"/>
    <w:rsid w:val="00E6648C"/>
    <w:rsid w:val="00E66496"/>
    <w:rsid w:val="00E664CD"/>
    <w:rsid w:val="00E6650B"/>
    <w:rsid w:val="00E6650F"/>
    <w:rsid w:val="00E665A2"/>
    <w:rsid w:val="00E666B6"/>
    <w:rsid w:val="00E666B8"/>
    <w:rsid w:val="00E66731"/>
    <w:rsid w:val="00E667E2"/>
    <w:rsid w:val="00E66809"/>
    <w:rsid w:val="00E668D6"/>
    <w:rsid w:val="00E6696E"/>
    <w:rsid w:val="00E66999"/>
    <w:rsid w:val="00E669BE"/>
    <w:rsid w:val="00E66B15"/>
    <w:rsid w:val="00E66BC8"/>
    <w:rsid w:val="00E66C9C"/>
    <w:rsid w:val="00E66CE1"/>
    <w:rsid w:val="00E66D0F"/>
    <w:rsid w:val="00E66D29"/>
    <w:rsid w:val="00E66DA4"/>
    <w:rsid w:val="00E66DCE"/>
    <w:rsid w:val="00E66E7A"/>
    <w:rsid w:val="00E66FF0"/>
    <w:rsid w:val="00E67099"/>
    <w:rsid w:val="00E6714D"/>
    <w:rsid w:val="00E6715D"/>
    <w:rsid w:val="00E67248"/>
    <w:rsid w:val="00E672C4"/>
    <w:rsid w:val="00E67359"/>
    <w:rsid w:val="00E67407"/>
    <w:rsid w:val="00E67423"/>
    <w:rsid w:val="00E674FC"/>
    <w:rsid w:val="00E6753A"/>
    <w:rsid w:val="00E675AE"/>
    <w:rsid w:val="00E675B5"/>
    <w:rsid w:val="00E6767D"/>
    <w:rsid w:val="00E676E9"/>
    <w:rsid w:val="00E67783"/>
    <w:rsid w:val="00E677B3"/>
    <w:rsid w:val="00E67906"/>
    <w:rsid w:val="00E67947"/>
    <w:rsid w:val="00E6799D"/>
    <w:rsid w:val="00E67B2E"/>
    <w:rsid w:val="00E67B3D"/>
    <w:rsid w:val="00E67B4D"/>
    <w:rsid w:val="00E67B79"/>
    <w:rsid w:val="00E67B9E"/>
    <w:rsid w:val="00E67BFE"/>
    <w:rsid w:val="00E67CEE"/>
    <w:rsid w:val="00E67D57"/>
    <w:rsid w:val="00E67D9F"/>
    <w:rsid w:val="00E67DB7"/>
    <w:rsid w:val="00E67DDF"/>
    <w:rsid w:val="00E67E01"/>
    <w:rsid w:val="00E67E03"/>
    <w:rsid w:val="00E67E17"/>
    <w:rsid w:val="00E67E2B"/>
    <w:rsid w:val="00E67E6D"/>
    <w:rsid w:val="00E67EF2"/>
    <w:rsid w:val="00E67FEB"/>
    <w:rsid w:val="00E700A0"/>
    <w:rsid w:val="00E7013C"/>
    <w:rsid w:val="00E7014C"/>
    <w:rsid w:val="00E7019D"/>
    <w:rsid w:val="00E701C4"/>
    <w:rsid w:val="00E701CF"/>
    <w:rsid w:val="00E70259"/>
    <w:rsid w:val="00E70266"/>
    <w:rsid w:val="00E70284"/>
    <w:rsid w:val="00E70299"/>
    <w:rsid w:val="00E702A4"/>
    <w:rsid w:val="00E702E0"/>
    <w:rsid w:val="00E70327"/>
    <w:rsid w:val="00E7036B"/>
    <w:rsid w:val="00E7036C"/>
    <w:rsid w:val="00E70399"/>
    <w:rsid w:val="00E70445"/>
    <w:rsid w:val="00E7045A"/>
    <w:rsid w:val="00E704C7"/>
    <w:rsid w:val="00E705A9"/>
    <w:rsid w:val="00E7060B"/>
    <w:rsid w:val="00E70656"/>
    <w:rsid w:val="00E70721"/>
    <w:rsid w:val="00E70745"/>
    <w:rsid w:val="00E70760"/>
    <w:rsid w:val="00E70827"/>
    <w:rsid w:val="00E70885"/>
    <w:rsid w:val="00E70887"/>
    <w:rsid w:val="00E708C2"/>
    <w:rsid w:val="00E708D3"/>
    <w:rsid w:val="00E708E9"/>
    <w:rsid w:val="00E70944"/>
    <w:rsid w:val="00E70964"/>
    <w:rsid w:val="00E70986"/>
    <w:rsid w:val="00E70994"/>
    <w:rsid w:val="00E709B2"/>
    <w:rsid w:val="00E70A20"/>
    <w:rsid w:val="00E70A25"/>
    <w:rsid w:val="00E70A47"/>
    <w:rsid w:val="00E70A8B"/>
    <w:rsid w:val="00E70B9C"/>
    <w:rsid w:val="00E70BC4"/>
    <w:rsid w:val="00E70BEC"/>
    <w:rsid w:val="00E70BF5"/>
    <w:rsid w:val="00E70C00"/>
    <w:rsid w:val="00E70CFA"/>
    <w:rsid w:val="00E70D6A"/>
    <w:rsid w:val="00E70DA7"/>
    <w:rsid w:val="00E70DDA"/>
    <w:rsid w:val="00E70E14"/>
    <w:rsid w:val="00E70E82"/>
    <w:rsid w:val="00E70E98"/>
    <w:rsid w:val="00E70F01"/>
    <w:rsid w:val="00E70F35"/>
    <w:rsid w:val="00E70F53"/>
    <w:rsid w:val="00E70FC5"/>
    <w:rsid w:val="00E70FE1"/>
    <w:rsid w:val="00E7100D"/>
    <w:rsid w:val="00E7103F"/>
    <w:rsid w:val="00E71072"/>
    <w:rsid w:val="00E7110D"/>
    <w:rsid w:val="00E7111C"/>
    <w:rsid w:val="00E71168"/>
    <w:rsid w:val="00E71179"/>
    <w:rsid w:val="00E7118E"/>
    <w:rsid w:val="00E711FE"/>
    <w:rsid w:val="00E7121E"/>
    <w:rsid w:val="00E71249"/>
    <w:rsid w:val="00E712EF"/>
    <w:rsid w:val="00E7130D"/>
    <w:rsid w:val="00E7139B"/>
    <w:rsid w:val="00E71461"/>
    <w:rsid w:val="00E714BB"/>
    <w:rsid w:val="00E71511"/>
    <w:rsid w:val="00E7157F"/>
    <w:rsid w:val="00E715B0"/>
    <w:rsid w:val="00E71657"/>
    <w:rsid w:val="00E717AC"/>
    <w:rsid w:val="00E717B6"/>
    <w:rsid w:val="00E71806"/>
    <w:rsid w:val="00E71820"/>
    <w:rsid w:val="00E71864"/>
    <w:rsid w:val="00E7188D"/>
    <w:rsid w:val="00E718C2"/>
    <w:rsid w:val="00E71942"/>
    <w:rsid w:val="00E719C5"/>
    <w:rsid w:val="00E71A8E"/>
    <w:rsid w:val="00E71A9A"/>
    <w:rsid w:val="00E71AD1"/>
    <w:rsid w:val="00E71AE9"/>
    <w:rsid w:val="00E71B19"/>
    <w:rsid w:val="00E71B7E"/>
    <w:rsid w:val="00E71BB6"/>
    <w:rsid w:val="00E71BCE"/>
    <w:rsid w:val="00E71C1F"/>
    <w:rsid w:val="00E71C79"/>
    <w:rsid w:val="00E71CFB"/>
    <w:rsid w:val="00E71CFE"/>
    <w:rsid w:val="00E71D75"/>
    <w:rsid w:val="00E71DB2"/>
    <w:rsid w:val="00E71DB4"/>
    <w:rsid w:val="00E71E6D"/>
    <w:rsid w:val="00E71E75"/>
    <w:rsid w:val="00E71E7F"/>
    <w:rsid w:val="00E71E9D"/>
    <w:rsid w:val="00E71FE3"/>
    <w:rsid w:val="00E72006"/>
    <w:rsid w:val="00E72038"/>
    <w:rsid w:val="00E72040"/>
    <w:rsid w:val="00E7209B"/>
    <w:rsid w:val="00E720D0"/>
    <w:rsid w:val="00E720FD"/>
    <w:rsid w:val="00E72108"/>
    <w:rsid w:val="00E7216B"/>
    <w:rsid w:val="00E72273"/>
    <w:rsid w:val="00E722B0"/>
    <w:rsid w:val="00E72330"/>
    <w:rsid w:val="00E723E9"/>
    <w:rsid w:val="00E723FF"/>
    <w:rsid w:val="00E72423"/>
    <w:rsid w:val="00E72428"/>
    <w:rsid w:val="00E72450"/>
    <w:rsid w:val="00E72455"/>
    <w:rsid w:val="00E7247B"/>
    <w:rsid w:val="00E724A7"/>
    <w:rsid w:val="00E7251B"/>
    <w:rsid w:val="00E7255D"/>
    <w:rsid w:val="00E72588"/>
    <w:rsid w:val="00E72592"/>
    <w:rsid w:val="00E725F7"/>
    <w:rsid w:val="00E72620"/>
    <w:rsid w:val="00E7265E"/>
    <w:rsid w:val="00E72665"/>
    <w:rsid w:val="00E726B8"/>
    <w:rsid w:val="00E72719"/>
    <w:rsid w:val="00E7273E"/>
    <w:rsid w:val="00E72769"/>
    <w:rsid w:val="00E7278C"/>
    <w:rsid w:val="00E72799"/>
    <w:rsid w:val="00E727D7"/>
    <w:rsid w:val="00E72810"/>
    <w:rsid w:val="00E7281B"/>
    <w:rsid w:val="00E7284D"/>
    <w:rsid w:val="00E72853"/>
    <w:rsid w:val="00E728C3"/>
    <w:rsid w:val="00E72942"/>
    <w:rsid w:val="00E7294B"/>
    <w:rsid w:val="00E7299F"/>
    <w:rsid w:val="00E729BF"/>
    <w:rsid w:val="00E72A4A"/>
    <w:rsid w:val="00E72AA7"/>
    <w:rsid w:val="00E72AFA"/>
    <w:rsid w:val="00E72B3D"/>
    <w:rsid w:val="00E72B81"/>
    <w:rsid w:val="00E72BF9"/>
    <w:rsid w:val="00E72C0A"/>
    <w:rsid w:val="00E72C25"/>
    <w:rsid w:val="00E72D5D"/>
    <w:rsid w:val="00E72DB0"/>
    <w:rsid w:val="00E72DB6"/>
    <w:rsid w:val="00E72DE2"/>
    <w:rsid w:val="00E72E7A"/>
    <w:rsid w:val="00E72E94"/>
    <w:rsid w:val="00E72EB3"/>
    <w:rsid w:val="00E72ED6"/>
    <w:rsid w:val="00E72EF4"/>
    <w:rsid w:val="00E72F10"/>
    <w:rsid w:val="00E72F25"/>
    <w:rsid w:val="00E72F39"/>
    <w:rsid w:val="00E72F89"/>
    <w:rsid w:val="00E72F90"/>
    <w:rsid w:val="00E73058"/>
    <w:rsid w:val="00E73085"/>
    <w:rsid w:val="00E730F0"/>
    <w:rsid w:val="00E73115"/>
    <w:rsid w:val="00E73138"/>
    <w:rsid w:val="00E73220"/>
    <w:rsid w:val="00E7325A"/>
    <w:rsid w:val="00E73284"/>
    <w:rsid w:val="00E732F1"/>
    <w:rsid w:val="00E7332D"/>
    <w:rsid w:val="00E73336"/>
    <w:rsid w:val="00E73348"/>
    <w:rsid w:val="00E7336C"/>
    <w:rsid w:val="00E733A4"/>
    <w:rsid w:val="00E7342E"/>
    <w:rsid w:val="00E734A6"/>
    <w:rsid w:val="00E734AC"/>
    <w:rsid w:val="00E73500"/>
    <w:rsid w:val="00E73527"/>
    <w:rsid w:val="00E73553"/>
    <w:rsid w:val="00E73570"/>
    <w:rsid w:val="00E73585"/>
    <w:rsid w:val="00E735A9"/>
    <w:rsid w:val="00E735BE"/>
    <w:rsid w:val="00E735D2"/>
    <w:rsid w:val="00E735DC"/>
    <w:rsid w:val="00E7360A"/>
    <w:rsid w:val="00E7364F"/>
    <w:rsid w:val="00E736A0"/>
    <w:rsid w:val="00E737A0"/>
    <w:rsid w:val="00E73885"/>
    <w:rsid w:val="00E7394B"/>
    <w:rsid w:val="00E739A0"/>
    <w:rsid w:val="00E739A7"/>
    <w:rsid w:val="00E73A26"/>
    <w:rsid w:val="00E73A4E"/>
    <w:rsid w:val="00E73AD3"/>
    <w:rsid w:val="00E73B02"/>
    <w:rsid w:val="00E73B8A"/>
    <w:rsid w:val="00E73B9A"/>
    <w:rsid w:val="00E73BB0"/>
    <w:rsid w:val="00E73C3E"/>
    <w:rsid w:val="00E73C5E"/>
    <w:rsid w:val="00E73C6D"/>
    <w:rsid w:val="00E73C7F"/>
    <w:rsid w:val="00E73CB1"/>
    <w:rsid w:val="00E73D69"/>
    <w:rsid w:val="00E73D9F"/>
    <w:rsid w:val="00E73DD7"/>
    <w:rsid w:val="00E73DE0"/>
    <w:rsid w:val="00E73DFA"/>
    <w:rsid w:val="00E73DFF"/>
    <w:rsid w:val="00E73E05"/>
    <w:rsid w:val="00E73E0C"/>
    <w:rsid w:val="00E73E59"/>
    <w:rsid w:val="00E73EA0"/>
    <w:rsid w:val="00E73F10"/>
    <w:rsid w:val="00E73F41"/>
    <w:rsid w:val="00E73F42"/>
    <w:rsid w:val="00E73F6E"/>
    <w:rsid w:val="00E7406A"/>
    <w:rsid w:val="00E74078"/>
    <w:rsid w:val="00E74079"/>
    <w:rsid w:val="00E7408C"/>
    <w:rsid w:val="00E74239"/>
    <w:rsid w:val="00E74262"/>
    <w:rsid w:val="00E74267"/>
    <w:rsid w:val="00E7427E"/>
    <w:rsid w:val="00E74300"/>
    <w:rsid w:val="00E7430B"/>
    <w:rsid w:val="00E74480"/>
    <w:rsid w:val="00E74484"/>
    <w:rsid w:val="00E745A6"/>
    <w:rsid w:val="00E745C0"/>
    <w:rsid w:val="00E745CB"/>
    <w:rsid w:val="00E745D4"/>
    <w:rsid w:val="00E7460D"/>
    <w:rsid w:val="00E7469C"/>
    <w:rsid w:val="00E74750"/>
    <w:rsid w:val="00E74772"/>
    <w:rsid w:val="00E74786"/>
    <w:rsid w:val="00E747A4"/>
    <w:rsid w:val="00E747D2"/>
    <w:rsid w:val="00E74878"/>
    <w:rsid w:val="00E74907"/>
    <w:rsid w:val="00E74926"/>
    <w:rsid w:val="00E749AC"/>
    <w:rsid w:val="00E749BD"/>
    <w:rsid w:val="00E74A8B"/>
    <w:rsid w:val="00E74AF0"/>
    <w:rsid w:val="00E74B3E"/>
    <w:rsid w:val="00E74B4A"/>
    <w:rsid w:val="00E74B60"/>
    <w:rsid w:val="00E74B84"/>
    <w:rsid w:val="00E74C4C"/>
    <w:rsid w:val="00E74C4E"/>
    <w:rsid w:val="00E74C9C"/>
    <w:rsid w:val="00E74C9D"/>
    <w:rsid w:val="00E74CB2"/>
    <w:rsid w:val="00E74CE3"/>
    <w:rsid w:val="00E74CEE"/>
    <w:rsid w:val="00E74CF4"/>
    <w:rsid w:val="00E74DD1"/>
    <w:rsid w:val="00E74E42"/>
    <w:rsid w:val="00E74FA7"/>
    <w:rsid w:val="00E7503F"/>
    <w:rsid w:val="00E75046"/>
    <w:rsid w:val="00E7508B"/>
    <w:rsid w:val="00E750E3"/>
    <w:rsid w:val="00E75105"/>
    <w:rsid w:val="00E75115"/>
    <w:rsid w:val="00E75125"/>
    <w:rsid w:val="00E75151"/>
    <w:rsid w:val="00E7517E"/>
    <w:rsid w:val="00E75187"/>
    <w:rsid w:val="00E751DF"/>
    <w:rsid w:val="00E751FE"/>
    <w:rsid w:val="00E75204"/>
    <w:rsid w:val="00E7530C"/>
    <w:rsid w:val="00E753FE"/>
    <w:rsid w:val="00E75412"/>
    <w:rsid w:val="00E75419"/>
    <w:rsid w:val="00E75462"/>
    <w:rsid w:val="00E75484"/>
    <w:rsid w:val="00E754B7"/>
    <w:rsid w:val="00E754C4"/>
    <w:rsid w:val="00E7553C"/>
    <w:rsid w:val="00E7555A"/>
    <w:rsid w:val="00E75593"/>
    <w:rsid w:val="00E756F5"/>
    <w:rsid w:val="00E756FD"/>
    <w:rsid w:val="00E7572E"/>
    <w:rsid w:val="00E7574B"/>
    <w:rsid w:val="00E75787"/>
    <w:rsid w:val="00E757BE"/>
    <w:rsid w:val="00E75843"/>
    <w:rsid w:val="00E7584A"/>
    <w:rsid w:val="00E75892"/>
    <w:rsid w:val="00E758B9"/>
    <w:rsid w:val="00E75B08"/>
    <w:rsid w:val="00E75B56"/>
    <w:rsid w:val="00E75C14"/>
    <w:rsid w:val="00E75C15"/>
    <w:rsid w:val="00E75CF8"/>
    <w:rsid w:val="00E75DE9"/>
    <w:rsid w:val="00E75E58"/>
    <w:rsid w:val="00E75EE6"/>
    <w:rsid w:val="00E75F47"/>
    <w:rsid w:val="00E75F58"/>
    <w:rsid w:val="00E75F65"/>
    <w:rsid w:val="00E7607E"/>
    <w:rsid w:val="00E76093"/>
    <w:rsid w:val="00E760BF"/>
    <w:rsid w:val="00E760D0"/>
    <w:rsid w:val="00E760DE"/>
    <w:rsid w:val="00E76124"/>
    <w:rsid w:val="00E76154"/>
    <w:rsid w:val="00E76196"/>
    <w:rsid w:val="00E761E3"/>
    <w:rsid w:val="00E7621B"/>
    <w:rsid w:val="00E762A7"/>
    <w:rsid w:val="00E762F2"/>
    <w:rsid w:val="00E76351"/>
    <w:rsid w:val="00E76384"/>
    <w:rsid w:val="00E7639C"/>
    <w:rsid w:val="00E76414"/>
    <w:rsid w:val="00E7642A"/>
    <w:rsid w:val="00E76490"/>
    <w:rsid w:val="00E764D6"/>
    <w:rsid w:val="00E764F4"/>
    <w:rsid w:val="00E764FC"/>
    <w:rsid w:val="00E76500"/>
    <w:rsid w:val="00E7650A"/>
    <w:rsid w:val="00E76516"/>
    <w:rsid w:val="00E7654D"/>
    <w:rsid w:val="00E7656A"/>
    <w:rsid w:val="00E7657A"/>
    <w:rsid w:val="00E765AD"/>
    <w:rsid w:val="00E765FC"/>
    <w:rsid w:val="00E766B2"/>
    <w:rsid w:val="00E76718"/>
    <w:rsid w:val="00E7673E"/>
    <w:rsid w:val="00E7674A"/>
    <w:rsid w:val="00E76788"/>
    <w:rsid w:val="00E767A7"/>
    <w:rsid w:val="00E767F6"/>
    <w:rsid w:val="00E76855"/>
    <w:rsid w:val="00E76865"/>
    <w:rsid w:val="00E7689B"/>
    <w:rsid w:val="00E768F8"/>
    <w:rsid w:val="00E769D7"/>
    <w:rsid w:val="00E76AA5"/>
    <w:rsid w:val="00E76ABC"/>
    <w:rsid w:val="00E76AEB"/>
    <w:rsid w:val="00E76B17"/>
    <w:rsid w:val="00E76B33"/>
    <w:rsid w:val="00E76B3A"/>
    <w:rsid w:val="00E76B7A"/>
    <w:rsid w:val="00E76C5F"/>
    <w:rsid w:val="00E76CBF"/>
    <w:rsid w:val="00E76CD5"/>
    <w:rsid w:val="00E76D54"/>
    <w:rsid w:val="00E76DC3"/>
    <w:rsid w:val="00E76DF0"/>
    <w:rsid w:val="00E76E5D"/>
    <w:rsid w:val="00E76ECB"/>
    <w:rsid w:val="00E76F3A"/>
    <w:rsid w:val="00E7704F"/>
    <w:rsid w:val="00E7706C"/>
    <w:rsid w:val="00E7708C"/>
    <w:rsid w:val="00E770F5"/>
    <w:rsid w:val="00E7718C"/>
    <w:rsid w:val="00E771A6"/>
    <w:rsid w:val="00E77224"/>
    <w:rsid w:val="00E7723A"/>
    <w:rsid w:val="00E77251"/>
    <w:rsid w:val="00E772D1"/>
    <w:rsid w:val="00E77461"/>
    <w:rsid w:val="00E77493"/>
    <w:rsid w:val="00E775F4"/>
    <w:rsid w:val="00E7760D"/>
    <w:rsid w:val="00E776F7"/>
    <w:rsid w:val="00E77706"/>
    <w:rsid w:val="00E7770E"/>
    <w:rsid w:val="00E77746"/>
    <w:rsid w:val="00E777D7"/>
    <w:rsid w:val="00E7780D"/>
    <w:rsid w:val="00E778CA"/>
    <w:rsid w:val="00E7791F"/>
    <w:rsid w:val="00E77AC9"/>
    <w:rsid w:val="00E77ADF"/>
    <w:rsid w:val="00E77B83"/>
    <w:rsid w:val="00E77B9C"/>
    <w:rsid w:val="00E77BCD"/>
    <w:rsid w:val="00E77BE2"/>
    <w:rsid w:val="00E77C5C"/>
    <w:rsid w:val="00E77C90"/>
    <w:rsid w:val="00E77CA7"/>
    <w:rsid w:val="00E77CBA"/>
    <w:rsid w:val="00E77D76"/>
    <w:rsid w:val="00E77ED8"/>
    <w:rsid w:val="00E77EF9"/>
    <w:rsid w:val="00E77F38"/>
    <w:rsid w:val="00E80013"/>
    <w:rsid w:val="00E80059"/>
    <w:rsid w:val="00E8008C"/>
    <w:rsid w:val="00E80109"/>
    <w:rsid w:val="00E8013D"/>
    <w:rsid w:val="00E8016B"/>
    <w:rsid w:val="00E80179"/>
    <w:rsid w:val="00E8033C"/>
    <w:rsid w:val="00E80353"/>
    <w:rsid w:val="00E8037F"/>
    <w:rsid w:val="00E803C9"/>
    <w:rsid w:val="00E803E3"/>
    <w:rsid w:val="00E80493"/>
    <w:rsid w:val="00E80584"/>
    <w:rsid w:val="00E805BD"/>
    <w:rsid w:val="00E805BE"/>
    <w:rsid w:val="00E805DA"/>
    <w:rsid w:val="00E80606"/>
    <w:rsid w:val="00E80646"/>
    <w:rsid w:val="00E806AB"/>
    <w:rsid w:val="00E806D5"/>
    <w:rsid w:val="00E8073D"/>
    <w:rsid w:val="00E807A6"/>
    <w:rsid w:val="00E80824"/>
    <w:rsid w:val="00E8083C"/>
    <w:rsid w:val="00E80852"/>
    <w:rsid w:val="00E808B0"/>
    <w:rsid w:val="00E808FE"/>
    <w:rsid w:val="00E80964"/>
    <w:rsid w:val="00E8097A"/>
    <w:rsid w:val="00E8098D"/>
    <w:rsid w:val="00E809D9"/>
    <w:rsid w:val="00E80A00"/>
    <w:rsid w:val="00E80A4C"/>
    <w:rsid w:val="00E80A5A"/>
    <w:rsid w:val="00E80AB6"/>
    <w:rsid w:val="00E80AB9"/>
    <w:rsid w:val="00E80AC5"/>
    <w:rsid w:val="00E80B07"/>
    <w:rsid w:val="00E80B0A"/>
    <w:rsid w:val="00E80B26"/>
    <w:rsid w:val="00E80C20"/>
    <w:rsid w:val="00E80C64"/>
    <w:rsid w:val="00E80C81"/>
    <w:rsid w:val="00E80E0C"/>
    <w:rsid w:val="00E80EAD"/>
    <w:rsid w:val="00E80F01"/>
    <w:rsid w:val="00E80F6A"/>
    <w:rsid w:val="00E80F90"/>
    <w:rsid w:val="00E80FB1"/>
    <w:rsid w:val="00E8101E"/>
    <w:rsid w:val="00E81031"/>
    <w:rsid w:val="00E81070"/>
    <w:rsid w:val="00E81109"/>
    <w:rsid w:val="00E811A1"/>
    <w:rsid w:val="00E811DE"/>
    <w:rsid w:val="00E8120F"/>
    <w:rsid w:val="00E8124A"/>
    <w:rsid w:val="00E81297"/>
    <w:rsid w:val="00E812E8"/>
    <w:rsid w:val="00E8132A"/>
    <w:rsid w:val="00E81356"/>
    <w:rsid w:val="00E8137B"/>
    <w:rsid w:val="00E813A1"/>
    <w:rsid w:val="00E81412"/>
    <w:rsid w:val="00E81415"/>
    <w:rsid w:val="00E81423"/>
    <w:rsid w:val="00E81429"/>
    <w:rsid w:val="00E8147A"/>
    <w:rsid w:val="00E814B5"/>
    <w:rsid w:val="00E814E4"/>
    <w:rsid w:val="00E814E6"/>
    <w:rsid w:val="00E81564"/>
    <w:rsid w:val="00E815B3"/>
    <w:rsid w:val="00E81603"/>
    <w:rsid w:val="00E81666"/>
    <w:rsid w:val="00E8167F"/>
    <w:rsid w:val="00E81689"/>
    <w:rsid w:val="00E816FC"/>
    <w:rsid w:val="00E81736"/>
    <w:rsid w:val="00E817F3"/>
    <w:rsid w:val="00E81855"/>
    <w:rsid w:val="00E81912"/>
    <w:rsid w:val="00E81945"/>
    <w:rsid w:val="00E81948"/>
    <w:rsid w:val="00E8195E"/>
    <w:rsid w:val="00E81ABC"/>
    <w:rsid w:val="00E81B70"/>
    <w:rsid w:val="00E81C39"/>
    <w:rsid w:val="00E81D27"/>
    <w:rsid w:val="00E81D79"/>
    <w:rsid w:val="00E81D8E"/>
    <w:rsid w:val="00E81E74"/>
    <w:rsid w:val="00E81EA0"/>
    <w:rsid w:val="00E81F0C"/>
    <w:rsid w:val="00E81F15"/>
    <w:rsid w:val="00E81F24"/>
    <w:rsid w:val="00E81F77"/>
    <w:rsid w:val="00E82035"/>
    <w:rsid w:val="00E82043"/>
    <w:rsid w:val="00E8204F"/>
    <w:rsid w:val="00E8205C"/>
    <w:rsid w:val="00E820A5"/>
    <w:rsid w:val="00E820BB"/>
    <w:rsid w:val="00E820CC"/>
    <w:rsid w:val="00E82274"/>
    <w:rsid w:val="00E8229C"/>
    <w:rsid w:val="00E822DA"/>
    <w:rsid w:val="00E822ED"/>
    <w:rsid w:val="00E822FB"/>
    <w:rsid w:val="00E823B8"/>
    <w:rsid w:val="00E823DB"/>
    <w:rsid w:val="00E8248E"/>
    <w:rsid w:val="00E8255A"/>
    <w:rsid w:val="00E825DB"/>
    <w:rsid w:val="00E82661"/>
    <w:rsid w:val="00E826C4"/>
    <w:rsid w:val="00E826DA"/>
    <w:rsid w:val="00E826F0"/>
    <w:rsid w:val="00E827C0"/>
    <w:rsid w:val="00E827DA"/>
    <w:rsid w:val="00E8287D"/>
    <w:rsid w:val="00E828D6"/>
    <w:rsid w:val="00E82994"/>
    <w:rsid w:val="00E8299B"/>
    <w:rsid w:val="00E829B3"/>
    <w:rsid w:val="00E829F8"/>
    <w:rsid w:val="00E82A07"/>
    <w:rsid w:val="00E82A39"/>
    <w:rsid w:val="00E82B27"/>
    <w:rsid w:val="00E82B3C"/>
    <w:rsid w:val="00E82B68"/>
    <w:rsid w:val="00E82BD6"/>
    <w:rsid w:val="00E82CAB"/>
    <w:rsid w:val="00E82CD3"/>
    <w:rsid w:val="00E82D33"/>
    <w:rsid w:val="00E82D49"/>
    <w:rsid w:val="00E82D74"/>
    <w:rsid w:val="00E82D9B"/>
    <w:rsid w:val="00E82E2B"/>
    <w:rsid w:val="00E82E9D"/>
    <w:rsid w:val="00E82EC2"/>
    <w:rsid w:val="00E82EF5"/>
    <w:rsid w:val="00E82F03"/>
    <w:rsid w:val="00E82F36"/>
    <w:rsid w:val="00E82FB1"/>
    <w:rsid w:val="00E82FBB"/>
    <w:rsid w:val="00E82FF0"/>
    <w:rsid w:val="00E83026"/>
    <w:rsid w:val="00E83059"/>
    <w:rsid w:val="00E83112"/>
    <w:rsid w:val="00E8316C"/>
    <w:rsid w:val="00E8316D"/>
    <w:rsid w:val="00E83178"/>
    <w:rsid w:val="00E831D8"/>
    <w:rsid w:val="00E8329F"/>
    <w:rsid w:val="00E83324"/>
    <w:rsid w:val="00E83355"/>
    <w:rsid w:val="00E83374"/>
    <w:rsid w:val="00E83393"/>
    <w:rsid w:val="00E833A4"/>
    <w:rsid w:val="00E833CF"/>
    <w:rsid w:val="00E834AA"/>
    <w:rsid w:val="00E834E2"/>
    <w:rsid w:val="00E834EB"/>
    <w:rsid w:val="00E834F1"/>
    <w:rsid w:val="00E83520"/>
    <w:rsid w:val="00E8360D"/>
    <w:rsid w:val="00E8366C"/>
    <w:rsid w:val="00E836F1"/>
    <w:rsid w:val="00E83728"/>
    <w:rsid w:val="00E8374C"/>
    <w:rsid w:val="00E83783"/>
    <w:rsid w:val="00E837A6"/>
    <w:rsid w:val="00E837B1"/>
    <w:rsid w:val="00E83809"/>
    <w:rsid w:val="00E8380C"/>
    <w:rsid w:val="00E838D1"/>
    <w:rsid w:val="00E83925"/>
    <w:rsid w:val="00E83948"/>
    <w:rsid w:val="00E8396D"/>
    <w:rsid w:val="00E839AE"/>
    <w:rsid w:val="00E839C1"/>
    <w:rsid w:val="00E83A56"/>
    <w:rsid w:val="00E83A5F"/>
    <w:rsid w:val="00E83A77"/>
    <w:rsid w:val="00E83AAB"/>
    <w:rsid w:val="00E83ADC"/>
    <w:rsid w:val="00E83B00"/>
    <w:rsid w:val="00E83B7D"/>
    <w:rsid w:val="00E83C16"/>
    <w:rsid w:val="00E83C33"/>
    <w:rsid w:val="00E83C95"/>
    <w:rsid w:val="00E83C9B"/>
    <w:rsid w:val="00E83CEB"/>
    <w:rsid w:val="00E83D7F"/>
    <w:rsid w:val="00E83E7A"/>
    <w:rsid w:val="00E83E91"/>
    <w:rsid w:val="00E83EB2"/>
    <w:rsid w:val="00E83EE8"/>
    <w:rsid w:val="00E83F09"/>
    <w:rsid w:val="00E83F4F"/>
    <w:rsid w:val="00E83F7B"/>
    <w:rsid w:val="00E83F7E"/>
    <w:rsid w:val="00E83F86"/>
    <w:rsid w:val="00E8416C"/>
    <w:rsid w:val="00E84191"/>
    <w:rsid w:val="00E84259"/>
    <w:rsid w:val="00E84318"/>
    <w:rsid w:val="00E843FE"/>
    <w:rsid w:val="00E844B9"/>
    <w:rsid w:val="00E84556"/>
    <w:rsid w:val="00E84558"/>
    <w:rsid w:val="00E8465E"/>
    <w:rsid w:val="00E84693"/>
    <w:rsid w:val="00E84746"/>
    <w:rsid w:val="00E8476A"/>
    <w:rsid w:val="00E8478A"/>
    <w:rsid w:val="00E847DC"/>
    <w:rsid w:val="00E847FC"/>
    <w:rsid w:val="00E848CC"/>
    <w:rsid w:val="00E84923"/>
    <w:rsid w:val="00E8497D"/>
    <w:rsid w:val="00E8498C"/>
    <w:rsid w:val="00E84A0F"/>
    <w:rsid w:val="00E84A78"/>
    <w:rsid w:val="00E84AA2"/>
    <w:rsid w:val="00E84B82"/>
    <w:rsid w:val="00E84BE5"/>
    <w:rsid w:val="00E84BEA"/>
    <w:rsid w:val="00E84C2A"/>
    <w:rsid w:val="00E84C62"/>
    <w:rsid w:val="00E84CA9"/>
    <w:rsid w:val="00E84DF3"/>
    <w:rsid w:val="00E84E28"/>
    <w:rsid w:val="00E84ED2"/>
    <w:rsid w:val="00E84F2E"/>
    <w:rsid w:val="00E84F3D"/>
    <w:rsid w:val="00E84F5F"/>
    <w:rsid w:val="00E84FF4"/>
    <w:rsid w:val="00E8504E"/>
    <w:rsid w:val="00E850BA"/>
    <w:rsid w:val="00E851D1"/>
    <w:rsid w:val="00E85224"/>
    <w:rsid w:val="00E8522D"/>
    <w:rsid w:val="00E8525B"/>
    <w:rsid w:val="00E853A0"/>
    <w:rsid w:val="00E85422"/>
    <w:rsid w:val="00E85497"/>
    <w:rsid w:val="00E854AC"/>
    <w:rsid w:val="00E8555B"/>
    <w:rsid w:val="00E8556E"/>
    <w:rsid w:val="00E85613"/>
    <w:rsid w:val="00E8568E"/>
    <w:rsid w:val="00E85729"/>
    <w:rsid w:val="00E857D3"/>
    <w:rsid w:val="00E8589C"/>
    <w:rsid w:val="00E858E4"/>
    <w:rsid w:val="00E8593B"/>
    <w:rsid w:val="00E859B5"/>
    <w:rsid w:val="00E85A87"/>
    <w:rsid w:val="00E85ACC"/>
    <w:rsid w:val="00E85ADE"/>
    <w:rsid w:val="00E85BD2"/>
    <w:rsid w:val="00E85C80"/>
    <w:rsid w:val="00E85C8B"/>
    <w:rsid w:val="00E85CB0"/>
    <w:rsid w:val="00E85CB9"/>
    <w:rsid w:val="00E85D2E"/>
    <w:rsid w:val="00E85E11"/>
    <w:rsid w:val="00E85E4E"/>
    <w:rsid w:val="00E85E57"/>
    <w:rsid w:val="00E85E93"/>
    <w:rsid w:val="00E85EB9"/>
    <w:rsid w:val="00E85EC2"/>
    <w:rsid w:val="00E85EE3"/>
    <w:rsid w:val="00E85F04"/>
    <w:rsid w:val="00E85F23"/>
    <w:rsid w:val="00E860C5"/>
    <w:rsid w:val="00E86100"/>
    <w:rsid w:val="00E86120"/>
    <w:rsid w:val="00E86130"/>
    <w:rsid w:val="00E86221"/>
    <w:rsid w:val="00E86238"/>
    <w:rsid w:val="00E86247"/>
    <w:rsid w:val="00E8629E"/>
    <w:rsid w:val="00E8631A"/>
    <w:rsid w:val="00E86325"/>
    <w:rsid w:val="00E86363"/>
    <w:rsid w:val="00E863E2"/>
    <w:rsid w:val="00E8642D"/>
    <w:rsid w:val="00E865E7"/>
    <w:rsid w:val="00E86608"/>
    <w:rsid w:val="00E86697"/>
    <w:rsid w:val="00E866C0"/>
    <w:rsid w:val="00E866E0"/>
    <w:rsid w:val="00E8674E"/>
    <w:rsid w:val="00E86776"/>
    <w:rsid w:val="00E8679A"/>
    <w:rsid w:val="00E867AA"/>
    <w:rsid w:val="00E86804"/>
    <w:rsid w:val="00E86866"/>
    <w:rsid w:val="00E868AE"/>
    <w:rsid w:val="00E868F6"/>
    <w:rsid w:val="00E868F7"/>
    <w:rsid w:val="00E86937"/>
    <w:rsid w:val="00E869A1"/>
    <w:rsid w:val="00E86A0D"/>
    <w:rsid w:val="00E86AEB"/>
    <w:rsid w:val="00E86AF4"/>
    <w:rsid w:val="00E86B0A"/>
    <w:rsid w:val="00E86B26"/>
    <w:rsid w:val="00E86BCB"/>
    <w:rsid w:val="00E86C3B"/>
    <w:rsid w:val="00E86C65"/>
    <w:rsid w:val="00E86CB0"/>
    <w:rsid w:val="00E86D3B"/>
    <w:rsid w:val="00E86D91"/>
    <w:rsid w:val="00E86F08"/>
    <w:rsid w:val="00E86F16"/>
    <w:rsid w:val="00E86F2F"/>
    <w:rsid w:val="00E86FD0"/>
    <w:rsid w:val="00E8700B"/>
    <w:rsid w:val="00E870A3"/>
    <w:rsid w:val="00E870DB"/>
    <w:rsid w:val="00E870DD"/>
    <w:rsid w:val="00E870E9"/>
    <w:rsid w:val="00E87122"/>
    <w:rsid w:val="00E87131"/>
    <w:rsid w:val="00E871E1"/>
    <w:rsid w:val="00E87202"/>
    <w:rsid w:val="00E873A5"/>
    <w:rsid w:val="00E873EE"/>
    <w:rsid w:val="00E87434"/>
    <w:rsid w:val="00E87468"/>
    <w:rsid w:val="00E8748C"/>
    <w:rsid w:val="00E874A8"/>
    <w:rsid w:val="00E874E8"/>
    <w:rsid w:val="00E8755C"/>
    <w:rsid w:val="00E875F7"/>
    <w:rsid w:val="00E8765C"/>
    <w:rsid w:val="00E87686"/>
    <w:rsid w:val="00E876AC"/>
    <w:rsid w:val="00E876D8"/>
    <w:rsid w:val="00E876DE"/>
    <w:rsid w:val="00E876F9"/>
    <w:rsid w:val="00E877C9"/>
    <w:rsid w:val="00E87895"/>
    <w:rsid w:val="00E878F4"/>
    <w:rsid w:val="00E87921"/>
    <w:rsid w:val="00E87A82"/>
    <w:rsid w:val="00E87B96"/>
    <w:rsid w:val="00E87BDB"/>
    <w:rsid w:val="00E87C1C"/>
    <w:rsid w:val="00E87C23"/>
    <w:rsid w:val="00E87C59"/>
    <w:rsid w:val="00E87C5D"/>
    <w:rsid w:val="00E87D2E"/>
    <w:rsid w:val="00E87D4D"/>
    <w:rsid w:val="00E87DA2"/>
    <w:rsid w:val="00E87E16"/>
    <w:rsid w:val="00E87E4A"/>
    <w:rsid w:val="00E90000"/>
    <w:rsid w:val="00E90012"/>
    <w:rsid w:val="00E90036"/>
    <w:rsid w:val="00E90083"/>
    <w:rsid w:val="00E900C7"/>
    <w:rsid w:val="00E900E1"/>
    <w:rsid w:val="00E900FE"/>
    <w:rsid w:val="00E90172"/>
    <w:rsid w:val="00E90179"/>
    <w:rsid w:val="00E901BB"/>
    <w:rsid w:val="00E901C7"/>
    <w:rsid w:val="00E90212"/>
    <w:rsid w:val="00E9024F"/>
    <w:rsid w:val="00E9031E"/>
    <w:rsid w:val="00E9035C"/>
    <w:rsid w:val="00E9035F"/>
    <w:rsid w:val="00E903DD"/>
    <w:rsid w:val="00E903E0"/>
    <w:rsid w:val="00E90522"/>
    <w:rsid w:val="00E90546"/>
    <w:rsid w:val="00E9057F"/>
    <w:rsid w:val="00E905FA"/>
    <w:rsid w:val="00E90600"/>
    <w:rsid w:val="00E90636"/>
    <w:rsid w:val="00E90646"/>
    <w:rsid w:val="00E90659"/>
    <w:rsid w:val="00E9066A"/>
    <w:rsid w:val="00E906C3"/>
    <w:rsid w:val="00E906F2"/>
    <w:rsid w:val="00E907E3"/>
    <w:rsid w:val="00E9083D"/>
    <w:rsid w:val="00E90865"/>
    <w:rsid w:val="00E90878"/>
    <w:rsid w:val="00E9092B"/>
    <w:rsid w:val="00E909A3"/>
    <w:rsid w:val="00E909A6"/>
    <w:rsid w:val="00E909CE"/>
    <w:rsid w:val="00E90A0A"/>
    <w:rsid w:val="00E90A98"/>
    <w:rsid w:val="00E90AC8"/>
    <w:rsid w:val="00E90ADC"/>
    <w:rsid w:val="00E90B05"/>
    <w:rsid w:val="00E90B1B"/>
    <w:rsid w:val="00E90B20"/>
    <w:rsid w:val="00E90B22"/>
    <w:rsid w:val="00E90B86"/>
    <w:rsid w:val="00E90BF9"/>
    <w:rsid w:val="00E90C0A"/>
    <w:rsid w:val="00E90C49"/>
    <w:rsid w:val="00E90C59"/>
    <w:rsid w:val="00E90C77"/>
    <w:rsid w:val="00E90C8A"/>
    <w:rsid w:val="00E90C92"/>
    <w:rsid w:val="00E90CC3"/>
    <w:rsid w:val="00E90D30"/>
    <w:rsid w:val="00E90DBF"/>
    <w:rsid w:val="00E90DD0"/>
    <w:rsid w:val="00E90E07"/>
    <w:rsid w:val="00E90E0B"/>
    <w:rsid w:val="00E90E62"/>
    <w:rsid w:val="00E90EBA"/>
    <w:rsid w:val="00E90ECF"/>
    <w:rsid w:val="00E90EEB"/>
    <w:rsid w:val="00E90F5B"/>
    <w:rsid w:val="00E90F5E"/>
    <w:rsid w:val="00E90FC5"/>
    <w:rsid w:val="00E90FD2"/>
    <w:rsid w:val="00E90FE0"/>
    <w:rsid w:val="00E910B4"/>
    <w:rsid w:val="00E910D6"/>
    <w:rsid w:val="00E91118"/>
    <w:rsid w:val="00E91125"/>
    <w:rsid w:val="00E911D3"/>
    <w:rsid w:val="00E91234"/>
    <w:rsid w:val="00E91264"/>
    <w:rsid w:val="00E9129A"/>
    <w:rsid w:val="00E912BF"/>
    <w:rsid w:val="00E912CF"/>
    <w:rsid w:val="00E91319"/>
    <w:rsid w:val="00E9131A"/>
    <w:rsid w:val="00E9135F"/>
    <w:rsid w:val="00E9139A"/>
    <w:rsid w:val="00E913C5"/>
    <w:rsid w:val="00E913E2"/>
    <w:rsid w:val="00E9142A"/>
    <w:rsid w:val="00E9148A"/>
    <w:rsid w:val="00E914CD"/>
    <w:rsid w:val="00E91535"/>
    <w:rsid w:val="00E91541"/>
    <w:rsid w:val="00E915E9"/>
    <w:rsid w:val="00E9163E"/>
    <w:rsid w:val="00E91655"/>
    <w:rsid w:val="00E916CB"/>
    <w:rsid w:val="00E916E3"/>
    <w:rsid w:val="00E917A5"/>
    <w:rsid w:val="00E917D4"/>
    <w:rsid w:val="00E917DB"/>
    <w:rsid w:val="00E91897"/>
    <w:rsid w:val="00E9190B"/>
    <w:rsid w:val="00E91919"/>
    <w:rsid w:val="00E91927"/>
    <w:rsid w:val="00E91A07"/>
    <w:rsid w:val="00E91A75"/>
    <w:rsid w:val="00E91B06"/>
    <w:rsid w:val="00E91B15"/>
    <w:rsid w:val="00E91B21"/>
    <w:rsid w:val="00E91B28"/>
    <w:rsid w:val="00E91B7B"/>
    <w:rsid w:val="00E91C54"/>
    <w:rsid w:val="00E91C78"/>
    <w:rsid w:val="00E91C7E"/>
    <w:rsid w:val="00E91CA8"/>
    <w:rsid w:val="00E91CBB"/>
    <w:rsid w:val="00E91D0D"/>
    <w:rsid w:val="00E91D84"/>
    <w:rsid w:val="00E91DA3"/>
    <w:rsid w:val="00E91DEF"/>
    <w:rsid w:val="00E91EC0"/>
    <w:rsid w:val="00E91F52"/>
    <w:rsid w:val="00E91FA5"/>
    <w:rsid w:val="00E92131"/>
    <w:rsid w:val="00E9217F"/>
    <w:rsid w:val="00E9219D"/>
    <w:rsid w:val="00E921F3"/>
    <w:rsid w:val="00E921FD"/>
    <w:rsid w:val="00E92209"/>
    <w:rsid w:val="00E92219"/>
    <w:rsid w:val="00E9222C"/>
    <w:rsid w:val="00E9222D"/>
    <w:rsid w:val="00E92276"/>
    <w:rsid w:val="00E922AA"/>
    <w:rsid w:val="00E922C5"/>
    <w:rsid w:val="00E922C7"/>
    <w:rsid w:val="00E922CA"/>
    <w:rsid w:val="00E92306"/>
    <w:rsid w:val="00E92307"/>
    <w:rsid w:val="00E923C6"/>
    <w:rsid w:val="00E9241B"/>
    <w:rsid w:val="00E9247F"/>
    <w:rsid w:val="00E924C9"/>
    <w:rsid w:val="00E92535"/>
    <w:rsid w:val="00E9260E"/>
    <w:rsid w:val="00E9262D"/>
    <w:rsid w:val="00E926AD"/>
    <w:rsid w:val="00E926C9"/>
    <w:rsid w:val="00E92743"/>
    <w:rsid w:val="00E92767"/>
    <w:rsid w:val="00E927CE"/>
    <w:rsid w:val="00E927E2"/>
    <w:rsid w:val="00E92830"/>
    <w:rsid w:val="00E9283C"/>
    <w:rsid w:val="00E92859"/>
    <w:rsid w:val="00E92884"/>
    <w:rsid w:val="00E92889"/>
    <w:rsid w:val="00E92890"/>
    <w:rsid w:val="00E928BB"/>
    <w:rsid w:val="00E9292B"/>
    <w:rsid w:val="00E92A66"/>
    <w:rsid w:val="00E92A8C"/>
    <w:rsid w:val="00E92ACA"/>
    <w:rsid w:val="00E92AD3"/>
    <w:rsid w:val="00E92B73"/>
    <w:rsid w:val="00E92BC7"/>
    <w:rsid w:val="00E92BC9"/>
    <w:rsid w:val="00E92BF9"/>
    <w:rsid w:val="00E92BFA"/>
    <w:rsid w:val="00E92C10"/>
    <w:rsid w:val="00E92C46"/>
    <w:rsid w:val="00E92C4A"/>
    <w:rsid w:val="00E92CC1"/>
    <w:rsid w:val="00E92CCF"/>
    <w:rsid w:val="00E92CD3"/>
    <w:rsid w:val="00E92CF9"/>
    <w:rsid w:val="00E92D60"/>
    <w:rsid w:val="00E92DEB"/>
    <w:rsid w:val="00E92DFA"/>
    <w:rsid w:val="00E92EEE"/>
    <w:rsid w:val="00E92F0F"/>
    <w:rsid w:val="00E92F24"/>
    <w:rsid w:val="00E92F4B"/>
    <w:rsid w:val="00E92F8C"/>
    <w:rsid w:val="00E92F9E"/>
    <w:rsid w:val="00E92FCB"/>
    <w:rsid w:val="00E92FFC"/>
    <w:rsid w:val="00E9302C"/>
    <w:rsid w:val="00E930A0"/>
    <w:rsid w:val="00E930E3"/>
    <w:rsid w:val="00E930F2"/>
    <w:rsid w:val="00E93122"/>
    <w:rsid w:val="00E93155"/>
    <w:rsid w:val="00E93186"/>
    <w:rsid w:val="00E931DC"/>
    <w:rsid w:val="00E931F6"/>
    <w:rsid w:val="00E93208"/>
    <w:rsid w:val="00E93226"/>
    <w:rsid w:val="00E93318"/>
    <w:rsid w:val="00E9337C"/>
    <w:rsid w:val="00E93387"/>
    <w:rsid w:val="00E9338A"/>
    <w:rsid w:val="00E933DD"/>
    <w:rsid w:val="00E93423"/>
    <w:rsid w:val="00E93443"/>
    <w:rsid w:val="00E93461"/>
    <w:rsid w:val="00E934AC"/>
    <w:rsid w:val="00E934BB"/>
    <w:rsid w:val="00E93523"/>
    <w:rsid w:val="00E9367B"/>
    <w:rsid w:val="00E936B9"/>
    <w:rsid w:val="00E936E1"/>
    <w:rsid w:val="00E93716"/>
    <w:rsid w:val="00E93744"/>
    <w:rsid w:val="00E93767"/>
    <w:rsid w:val="00E937CF"/>
    <w:rsid w:val="00E937DE"/>
    <w:rsid w:val="00E9380F"/>
    <w:rsid w:val="00E93848"/>
    <w:rsid w:val="00E938B4"/>
    <w:rsid w:val="00E9393B"/>
    <w:rsid w:val="00E9399F"/>
    <w:rsid w:val="00E93A62"/>
    <w:rsid w:val="00E93A89"/>
    <w:rsid w:val="00E93AB0"/>
    <w:rsid w:val="00E93AB1"/>
    <w:rsid w:val="00E93AB5"/>
    <w:rsid w:val="00E93ACA"/>
    <w:rsid w:val="00E93AEE"/>
    <w:rsid w:val="00E93B17"/>
    <w:rsid w:val="00E93B80"/>
    <w:rsid w:val="00E93BFC"/>
    <w:rsid w:val="00E93C48"/>
    <w:rsid w:val="00E93CD8"/>
    <w:rsid w:val="00E93CFA"/>
    <w:rsid w:val="00E93D39"/>
    <w:rsid w:val="00E93D81"/>
    <w:rsid w:val="00E93E0C"/>
    <w:rsid w:val="00E93E81"/>
    <w:rsid w:val="00E93E82"/>
    <w:rsid w:val="00E93EA7"/>
    <w:rsid w:val="00E93EB6"/>
    <w:rsid w:val="00E93F2F"/>
    <w:rsid w:val="00E93F55"/>
    <w:rsid w:val="00E93F79"/>
    <w:rsid w:val="00E93F97"/>
    <w:rsid w:val="00E93FB2"/>
    <w:rsid w:val="00E9401D"/>
    <w:rsid w:val="00E94028"/>
    <w:rsid w:val="00E94031"/>
    <w:rsid w:val="00E94130"/>
    <w:rsid w:val="00E94163"/>
    <w:rsid w:val="00E941D2"/>
    <w:rsid w:val="00E941E1"/>
    <w:rsid w:val="00E941F1"/>
    <w:rsid w:val="00E9428A"/>
    <w:rsid w:val="00E94344"/>
    <w:rsid w:val="00E943A2"/>
    <w:rsid w:val="00E943CF"/>
    <w:rsid w:val="00E943F7"/>
    <w:rsid w:val="00E94575"/>
    <w:rsid w:val="00E94640"/>
    <w:rsid w:val="00E946B1"/>
    <w:rsid w:val="00E946D6"/>
    <w:rsid w:val="00E94746"/>
    <w:rsid w:val="00E9479A"/>
    <w:rsid w:val="00E947B6"/>
    <w:rsid w:val="00E947E3"/>
    <w:rsid w:val="00E947F9"/>
    <w:rsid w:val="00E9480C"/>
    <w:rsid w:val="00E9481B"/>
    <w:rsid w:val="00E94853"/>
    <w:rsid w:val="00E9487F"/>
    <w:rsid w:val="00E94903"/>
    <w:rsid w:val="00E94917"/>
    <w:rsid w:val="00E94955"/>
    <w:rsid w:val="00E94A7E"/>
    <w:rsid w:val="00E94BA9"/>
    <w:rsid w:val="00E94BC7"/>
    <w:rsid w:val="00E94C68"/>
    <w:rsid w:val="00E94D69"/>
    <w:rsid w:val="00E94D74"/>
    <w:rsid w:val="00E94DA4"/>
    <w:rsid w:val="00E94DB4"/>
    <w:rsid w:val="00E94DF6"/>
    <w:rsid w:val="00E94E2A"/>
    <w:rsid w:val="00E94E2D"/>
    <w:rsid w:val="00E94E31"/>
    <w:rsid w:val="00E94E4E"/>
    <w:rsid w:val="00E94EE1"/>
    <w:rsid w:val="00E94EE8"/>
    <w:rsid w:val="00E94EF7"/>
    <w:rsid w:val="00E94EFA"/>
    <w:rsid w:val="00E94F08"/>
    <w:rsid w:val="00E94F1D"/>
    <w:rsid w:val="00E94F22"/>
    <w:rsid w:val="00E94F35"/>
    <w:rsid w:val="00E94F57"/>
    <w:rsid w:val="00E94F88"/>
    <w:rsid w:val="00E94FD5"/>
    <w:rsid w:val="00E94FDD"/>
    <w:rsid w:val="00E9503F"/>
    <w:rsid w:val="00E9509C"/>
    <w:rsid w:val="00E950FF"/>
    <w:rsid w:val="00E9515C"/>
    <w:rsid w:val="00E9515D"/>
    <w:rsid w:val="00E951E3"/>
    <w:rsid w:val="00E95351"/>
    <w:rsid w:val="00E953EC"/>
    <w:rsid w:val="00E95464"/>
    <w:rsid w:val="00E9546F"/>
    <w:rsid w:val="00E95482"/>
    <w:rsid w:val="00E954B5"/>
    <w:rsid w:val="00E954BA"/>
    <w:rsid w:val="00E95551"/>
    <w:rsid w:val="00E95580"/>
    <w:rsid w:val="00E95584"/>
    <w:rsid w:val="00E955B4"/>
    <w:rsid w:val="00E95655"/>
    <w:rsid w:val="00E956A3"/>
    <w:rsid w:val="00E9579E"/>
    <w:rsid w:val="00E95820"/>
    <w:rsid w:val="00E9586C"/>
    <w:rsid w:val="00E958B0"/>
    <w:rsid w:val="00E958FB"/>
    <w:rsid w:val="00E9590E"/>
    <w:rsid w:val="00E9591E"/>
    <w:rsid w:val="00E95931"/>
    <w:rsid w:val="00E95983"/>
    <w:rsid w:val="00E9599A"/>
    <w:rsid w:val="00E959BE"/>
    <w:rsid w:val="00E95A0D"/>
    <w:rsid w:val="00E95A69"/>
    <w:rsid w:val="00E95B00"/>
    <w:rsid w:val="00E95B3B"/>
    <w:rsid w:val="00E95B77"/>
    <w:rsid w:val="00E95BF0"/>
    <w:rsid w:val="00E95C45"/>
    <w:rsid w:val="00E95C71"/>
    <w:rsid w:val="00E95CD1"/>
    <w:rsid w:val="00E95CDC"/>
    <w:rsid w:val="00E95D02"/>
    <w:rsid w:val="00E95D4D"/>
    <w:rsid w:val="00E95DD2"/>
    <w:rsid w:val="00E95E40"/>
    <w:rsid w:val="00E95F60"/>
    <w:rsid w:val="00E95F9C"/>
    <w:rsid w:val="00E95FEB"/>
    <w:rsid w:val="00E96025"/>
    <w:rsid w:val="00E9603F"/>
    <w:rsid w:val="00E960B3"/>
    <w:rsid w:val="00E960C9"/>
    <w:rsid w:val="00E96154"/>
    <w:rsid w:val="00E961A6"/>
    <w:rsid w:val="00E961BB"/>
    <w:rsid w:val="00E96298"/>
    <w:rsid w:val="00E962C6"/>
    <w:rsid w:val="00E9630D"/>
    <w:rsid w:val="00E96416"/>
    <w:rsid w:val="00E96437"/>
    <w:rsid w:val="00E96443"/>
    <w:rsid w:val="00E964BC"/>
    <w:rsid w:val="00E9660C"/>
    <w:rsid w:val="00E96627"/>
    <w:rsid w:val="00E96692"/>
    <w:rsid w:val="00E966BF"/>
    <w:rsid w:val="00E966F4"/>
    <w:rsid w:val="00E966F9"/>
    <w:rsid w:val="00E96719"/>
    <w:rsid w:val="00E9673B"/>
    <w:rsid w:val="00E9678E"/>
    <w:rsid w:val="00E967BC"/>
    <w:rsid w:val="00E9681E"/>
    <w:rsid w:val="00E96824"/>
    <w:rsid w:val="00E968A4"/>
    <w:rsid w:val="00E968BE"/>
    <w:rsid w:val="00E968DC"/>
    <w:rsid w:val="00E968DF"/>
    <w:rsid w:val="00E96901"/>
    <w:rsid w:val="00E969EB"/>
    <w:rsid w:val="00E96A3B"/>
    <w:rsid w:val="00E96A6A"/>
    <w:rsid w:val="00E96B1D"/>
    <w:rsid w:val="00E96BCA"/>
    <w:rsid w:val="00E96BCC"/>
    <w:rsid w:val="00E96D1A"/>
    <w:rsid w:val="00E96D44"/>
    <w:rsid w:val="00E96DA4"/>
    <w:rsid w:val="00E96DC2"/>
    <w:rsid w:val="00E96DE5"/>
    <w:rsid w:val="00E96DE9"/>
    <w:rsid w:val="00E96DF2"/>
    <w:rsid w:val="00E96E47"/>
    <w:rsid w:val="00E96E78"/>
    <w:rsid w:val="00E96E84"/>
    <w:rsid w:val="00E96E92"/>
    <w:rsid w:val="00E96EFB"/>
    <w:rsid w:val="00E96F99"/>
    <w:rsid w:val="00E970A8"/>
    <w:rsid w:val="00E9713D"/>
    <w:rsid w:val="00E97194"/>
    <w:rsid w:val="00E971AE"/>
    <w:rsid w:val="00E9721F"/>
    <w:rsid w:val="00E97239"/>
    <w:rsid w:val="00E972BA"/>
    <w:rsid w:val="00E972D2"/>
    <w:rsid w:val="00E9733F"/>
    <w:rsid w:val="00E97342"/>
    <w:rsid w:val="00E97346"/>
    <w:rsid w:val="00E973BF"/>
    <w:rsid w:val="00E973FD"/>
    <w:rsid w:val="00E974DD"/>
    <w:rsid w:val="00E975B9"/>
    <w:rsid w:val="00E975DB"/>
    <w:rsid w:val="00E976E2"/>
    <w:rsid w:val="00E976F8"/>
    <w:rsid w:val="00E97768"/>
    <w:rsid w:val="00E977B0"/>
    <w:rsid w:val="00E97820"/>
    <w:rsid w:val="00E97863"/>
    <w:rsid w:val="00E9790C"/>
    <w:rsid w:val="00E97A97"/>
    <w:rsid w:val="00E97AA9"/>
    <w:rsid w:val="00E97B6C"/>
    <w:rsid w:val="00E97BCA"/>
    <w:rsid w:val="00E97C2B"/>
    <w:rsid w:val="00E97C7B"/>
    <w:rsid w:val="00E97D6D"/>
    <w:rsid w:val="00E97DCE"/>
    <w:rsid w:val="00E97E8B"/>
    <w:rsid w:val="00E97E9F"/>
    <w:rsid w:val="00E97EDC"/>
    <w:rsid w:val="00E97F9A"/>
    <w:rsid w:val="00E97FB7"/>
    <w:rsid w:val="00E97FDE"/>
    <w:rsid w:val="00EA0014"/>
    <w:rsid w:val="00EA0048"/>
    <w:rsid w:val="00EA0065"/>
    <w:rsid w:val="00EA00DE"/>
    <w:rsid w:val="00EA01F4"/>
    <w:rsid w:val="00EA033A"/>
    <w:rsid w:val="00EA0349"/>
    <w:rsid w:val="00EA038B"/>
    <w:rsid w:val="00EA03BC"/>
    <w:rsid w:val="00EA0493"/>
    <w:rsid w:val="00EA04EA"/>
    <w:rsid w:val="00EA04F9"/>
    <w:rsid w:val="00EA0513"/>
    <w:rsid w:val="00EA05A0"/>
    <w:rsid w:val="00EA05BE"/>
    <w:rsid w:val="00EA0608"/>
    <w:rsid w:val="00EA0694"/>
    <w:rsid w:val="00EA07B1"/>
    <w:rsid w:val="00EA07E5"/>
    <w:rsid w:val="00EA07F1"/>
    <w:rsid w:val="00EA081A"/>
    <w:rsid w:val="00EA0861"/>
    <w:rsid w:val="00EA098B"/>
    <w:rsid w:val="00EA0A07"/>
    <w:rsid w:val="00EA0B49"/>
    <w:rsid w:val="00EA0B67"/>
    <w:rsid w:val="00EA0BFE"/>
    <w:rsid w:val="00EA0C81"/>
    <w:rsid w:val="00EA0D20"/>
    <w:rsid w:val="00EA0E7A"/>
    <w:rsid w:val="00EA0EEB"/>
    <w:rsid w:val="00EA0EFB"/>
    <w:rsid w:val="00EA0F2F"/>
    <w:rsid w:val="00EA0F54"/>
    <w:rsid w:val="00EA0FC1"/>
    <w:rsid w:val="00EA1025"/>
    <w:rsid w:val="00EA105B"/>
    <w:rsid w:val="00EA1065"/>
    <w:rsid w:val="00EA106F"/>
    <w:rsid w:val="00EA108E"/>
    <w:rsid w:val="00EA10A4"/>
    <w:rsid w:val="00EA10D0"/>
    <w:rsid w:val="00EA10E1"/>
    <w:rsid w:val="00EA10EA"/>
    <w:rsid w:val="00EA1145"/>
    <w:rsid w:val="00EA11AB"/>
    <w:rsid w:val="00EA11B0"/>
    <w:rsid w:val="00EA11E0"/>
    <w:rsid w:val="00EA1201"/>
    <w:rsid w:val="00EA124F"/>
    <w:rsid w:val="00EA1275"/>
    <w:rsid w:val="00EA129C"/>
    <w:rsid w:val="00EA1427"/>
    <w:rsid w:val="00EA1430"/>
    <w:rsid w:val="00EA150E"/>
    <w:rsid w:val="00EA157C"/>
    <w:rsid w:val="00EA158B"/>
    <w:rsid w:val="00EA162E"/>
    <w:rsid w:val="00EA168B"/>
    <w:rsid w:val="00EA168C"/>
    <w:rsid w:val="00EA16DC"/>
    <w:rsid w:val="00EA1715"/>
    <w:rsid w:val="00EA171C"/>
    <w:rsid w:val="00EA1762"/>
    <w:rsid w:val="00EA177E"/>
    <w:rsid w:val="00EA1791"/>
    <w:rsid w:val="00EA1796"/>
    <w:rsid w:val="00EA17E6"/>
    <w:rsid w:val="00EA17F7"/>
    <w:rsid w:val="00EA17F8"/>
    <w:rsid w:val="00EA187F"/>
    <w:rsid w:val="00EA1880"/>
    <w:rsid w:val="00EA1894"/>
    <w:rsid w:val="00EA18F2"/>
    <w:rsid w:val="00EA1A3B"/>
    <w:rsid w:val="00EA1A4C"/>
    <w:rsid w:val="00EA1A91"/>
    <w:rsid w:val="00EA1AD3"/>
    <w:rsid w:val="00EA1AFC"/>
    <w:rsid w:val="00EA1C4B"/>
    <w:rsid w:val="00EA1C88"/>
    <w:rsid w:val="00EA1CD3"/>
    <w:rsid w:val="00EA1D89"/>
    <w:rsid w:val="00EA1DF4"/>
    <w:rsid w:val="00EA1ED7"/>
    <w:rsid w:val="00EA1FA3"/>
    <w:rsid w:val="00EA1FCF"/>
    <w:rsid w:val="00EA1FEE"/>
    <w:rsid w:val="00EA2026"/>
    <w:rsid w:val="00EA2074"/>
    <w:rsid w:val="00EA207C"/>
    <w:rsid w:val="00EA20E8"/>
    <w:rsid w:val="00EA21A8"/>
    <w:rsid w:val="00EA2236"/>
    <w:rsid w:val="00EA223E"/>
    <w:rsid w:val="00EA2287"/>
    <w:rsid w:val="00EA229A"/>
    <w:rsid w:val="00EA236E"/>
    <w:rsid w:val="00EA240F"/>
    <w:rsid w:val="00EA2428"/>
    <w:rsid w:val="00EA2435"/>
    <w:rsid w:val="00EA2487"/>
    <w:rsid w:val="00EA248D"/>
    <w:rsid w:val="00EA24B7"/>
    <w:rsid w:val="00EA2524"/>
    <w:rsid w:val="00EA2549"/>
    <w:rsid w:val="00EA25BD"/>
    <w:rsid w:val="00EA2621"/>
    <w:rsid w:val="00EA26C9"/>
    <w:rsid w:val="00EA2758"/>
    <w:rsid w:val="00EA27DC"/>
    <w:rsid w:val="00EA2832"/>
    <w:rsid w:val="00EA2840"/>
    <w:rsid w:val="00EA2875"/>
    <w:rsid w:val="00EA287A"/>
    <w:rsid w:val="00EA28B3"/>
    <w:rsid w:val="00EA28F3"/>
    <w:rsid w:val="00EA29A5"/>
    <w:rsid w:val="00EA29CE"/>
    <w:rsid w:val="00EA29EA"/>
    <w:rsid w:val="00EA2A56"/>
    <w:rsid w:val="00EA2A6A"/>
    <w:rsid w:val="00EA2B9E"/>
    <w:rsid w:val="00EA2BF4"/>
    <w:rsid w:val="00EA2C48"/>
    <w:rsid w:val="00EA2C54"/>
    <w:rsid w:val="00EA2C8B"/>
    <w:rsid w:val="00EA2D19"/>
    <w:rsid w:val="00EA2D6F"/>
    <w:rsid w:val="00EA2DDB"/>
    <w:rsid w:val="00EA2DE2"/>
    <w:rsid w:val="00EA2E14"/>
    <w:rsid w:val="00EA2E59"/>
    <w:rsid w:val="00EA2F34"/>
    <w:rsid w:val="00EA2FCD"/>
    <w:rsid w:val="00EA2FEF"/>
    <w:rsid w:val="00EA2FFA"/>
    <w:rsid w:val="00EA3004"/>
    <w:rsid w:val="00EA300A"/>
    <w:rsid w:val="00EA301C"/>
    <w:rsid w:val="00EA303F"/>
    <w:rsid w:val="00EA3044"/>
    <w:rsid w:val="00EA30F9"/>
    <w:rsid w:val="00EA3114"/>
    <w:rsid w:val="00EA3303"/>
    <w:rsid w:val="00EA330C"/>
    <w:rsid w:val="00EA335F"/>
    <w:rsid w:val="00EA33F0"/>
    <w:rsid w:val="00EA356B"/>
    <w:rsid w:val="00EA357A"/>
    <w:rsid w:val="00EA35C2"/>
    <w:rsid w:val="00EA3605"/>
    <w:rsid w:val="00EA3632"/>
    <w:rsid w:val="00EA3636"/>
    <w:rsid w:val="00EA3647"/>
    <w:rsid w:val="00EA36D7"/>
    <w:rsid w:val="00EA3781"/>
    <w:rsid w:val="00EA3803"/>
    <w:rsid w:val="00EA3805"/>
    <w:rsid w:val="00EA3813"/>
    <w:rsid w:val="00EA3878"/>
    <w:rsid w:val="00EA38BD"/>
    <w:rsid w:val="00EA3925"/>
    <w:rsid w:val="00EA39B7"/>
    <w:rsid w:val="00EA3A05"/>
    <w:rsid w:val="00EA3B33"/>
    <w:rsid w:val="00EA3B9E"/>
    <w:rsid w:val="00EA3BA7"/>
    <w:rsid w:val="00EA3C64"/>
    <w:rsid w:val="00EA3D22"/>
    <w:rsid w:val="00EA3D9E"/>
    <w:rsid w:val="00EA3E1D"/>
    <w:rsid w:val="00EA3F1E"/>
    <w:rsid w:val="00EA3F41"/>
    <w:rsid w:val="00EA3F6F"/>
    <w:rsid w:val="00EA3F89"/>
    <w:rsid w:val="00EA3FB7"/>
    <w:rsid w:val="00EA3FD1"/>
    <w:rsid w:val="00EA3FD2"/>
    <w:rsid w:val="00EA405F"/>
    <w:rsid w:val="00EA40E1"/>
    <w:rsid w:val="00EA40F4"/>
    <w:rsid w:val="00EA416E"/>
    <w:rsid w:val="00EA4174"/>
    <w:rsid w:val="00EA4178"/>
    <w:rsid w:val="00EA4189"/>
    <w:rsid w:val="00EA41A4"/>
    <w:rsid w:val="00EA41A7"/>
    <w:rsid w:val="00EA41B0"/>
    <w:rsid w:val="00EA426A"/>
    <w:rsid w:val="00EA427E"/>
    <w:rsid w:val="00EA42AB"/>
    <w:rsid w:val="00EA42EE"/>
    <w:rsid w:val="00EA4308"/>
    <w:rsid w:val="00EA4323"/>
    <w:rsid w:val="00EA4388"/>
    <w:rsid w:val="00EA43BA"/>
    <w:rsid w:val="00EA43F5"/>
    <w:rsid w:val="00EA4462"/>
    <w:rsid w:val="00EA44A5"/>
    <w:rsid w:val="00EA453F"/>
    <w:rsid w:val="00EA45A8"/>
    <w:rsid w:val="00EA45EC"/>
    <w:rsid w:val="00EA45F3"/>
    <w:rsid w:val="00EA462B"/>
    <w:rsid w:val="00EA464E"/>
    <w:rsid w:val="00EA469F"/>
    <w:rsid w:val="00EA4700"/>
    <w:rsid w:val="00EA474A"/>
    <w:rsid w:val="00EA4802"/>
    <w:rsid w:val="00EA4899"/>
    <w:rsid w:val="00EA489B"/>
    <w:rsid w:val="00EA4928"/>
    <w:rsid w:val="00EA4960"/>
    <w:rsid w:val="00EA4969"/>
    <w:rsid w:val="00EA499C"/>
    <w:rsid w:val="00EA49C8"/>
    <w:rsid w:val="00EA4A1B"/>
    <w:rsid w:val="00EA4A4D"/>
    <w:rsid w:val="00EA4A9E"/>
    <w:rsid w:val="00EA4AA7"/>
    <w:rsid w:val="00EA4AE3"/>
    <w:rsid w:val="00EA4AE5"/>
    <w:rsid w:val="00EA4B0E"/>
    <w:rsid w:val="00EA4B4A"/>
    <w:rsid w:val="00EA4B52"/>
    <w:rsid w:val="00EA4C0A"/>
    <w:rsid w:val="00EA4CFF"/>
    <w:rsid w:val="00EA4DE4"/>
    <w:rsid w:val="00EA4E0E"/>
    <w:rsid w:val="00EA4F75"/>
    <w:rsid w:val="00EA4FE2"/>
    <w:rsid w:val="00EA5032"/>
    <w:rsid w:val="00EA508A"/>
    <w:rsid w:val="00EA508B"/>
    <w:rsid w:val="00EA50AF"/>
    <w:rsid w:val="00EA5109"/>
    <w:rsid w:val="00EA5115"/>
    <w:rsid w:val="00EA51E0"/>
    <w:rsid w:val="00EA523A"/>
    <w:rsid w:val="00EA52AB"/>
    <w:rsid w:val="00EA52CC"/>
    <w:rsid w:val="00EA53C8"/>
    <w:rsid w:val="00EA53E1"/>
    <w:rsid w:val="00EA543E"/>
    <w:rsid w:val="00EA54B1"/>
    <w:rsid w:val="00EA54E1"/>
    <w:rsid w:val="00EA5512"/>
    <w:rsid w:val="00EA5522"/>
    <w:rsid w:val="00EA55E3"/>
    <w:rsid w:val="00EA5618"/>
    <w:rsid w:val="00EA569C"/>
    <w:rsid w:val="00EA56A3"/>
    <w:rsid w:val="00EA56A4"/>
    <w:rsid w:val="00EA56D4"/>
    <w:rsid w:val="00EA5704"/>
    <w:rsid w:val="00EA579D"/>
    <w:rsid w:val="00EA57B7"/>
    <w:rsid w:val="00EA580D"/>
    <w:rsid w:val="00EA5878"/>
    <w:rsid w:val="00EA58B7"/>
    <w:rsid w:val="00EA594A"/>
    <w:rsid w:val="00EA594B"/>
    <w:rsid w:val="00EA5A10"/>
    <w:rsid w:val="00EA5A3E"/>
    <w:rsid w:val="00EA5B1D"/>
    <w:rsid w:val="00EA5BDA"/>
    <w:rsid w:val="00EA5CBF"/>
    <w:rsid w:val="00EA5CC3"/>
    <w:rsid w:val="00EA5D38"/>
    <w:rsid w:val="00EA5D52"/>
    <w:rsid w:val="00EA5D5B"/>
    <w:rsid w:val="00EA5E1A"/>
    <w:rsid w:val="00EA5EDD"/>
    <w:rsid w:val="00EA5F04"/>
    <w:rsid w:val="00EA5F2E"/>
    <w:rsid w:val="00EA5F69"/>
    <w:rsid w:val="00EA5F7B"/>
    <w:rsid w:val="00EA5F9D"/>
    <w:rsid w:val="00EA5FA0"/>
    <w:rsid w:val="00EA5FD6"/>
    <w:rsid w:val="00EA600C"/>
    <w:rsid w:val="00EA610F"/>
    <w:rsid w:val="00EA6186"/>
    <w:rsid w:val="00EA61C4"/>
    <w:rsid w:val="00EA6201"/>
    <w:rsid w:val="00EA62A3"/>
    <w:rsid w:val="00EA62D1"/>
    <w:rsid w:val="00EA62D9"/>
    <w:rsid w:val="00EA6315"/>
    <w:rsid w:val="00EA63E2"/>
    <w:rsid w:val="00EA644E"/>
    <w:rsid w:val="00EA6492"/>
    <w:rsid w:val="00EA64F6"/>
    <w:rsid w:val="00EA6506"/>
    <w:rsid w:val="00EA651C"/>
    <w:rsid w:val="00EA6577"/>
    <w:rsid w:val="00EA657D"/>
    <w:rsid w:val="00EA6646"/>
    <w:rsid w:val="00EA6657"/>
    <w:rsid w:val="00EA665D"/>
    <w:rsid w:val="00EA66BE"/>
    <w:rsid w:val="00EA674C"/>
    <w:rsid w:val="00EA678C"/>
    <w:rsid w:val="00EA67E2"/>
    <w:rsid w:val="00EA67F1"/>
    <w:rsid w:val="00EA682E"/>
    <w:rsid w:val="00EA687B"/>
    <w:rsid w:val="00EA689F"/>
    <w:rsid w:val="00EA68E6"/>
    <w:rsid w:val="00EA69D5"/>
    <w:rsid w:val="00EA6A2A"/>
    <w:rsid w:val="00EA6AC2"/>
    <w:rsid w:val="00EA6AC3"/>
    <w:rsid w:val="00EA6B39"/>
    <w:rsid w:val="00EA6B7D"/>
    <w:rsid w:val="00EA6C29"/>
    <w:rsid w:val="00EA6C2E"/>
    <w:rsid w:val="00EA6C33"/>
    <w:rsid w:val="00EA6C83"/>
    <w:rsid w:val="00EA6CA3"/>
    <w:rsid w:val="00EA6D28"/>
    <w:rsid w:val="00EA6D2E"/>
    <w:rsid w:val="00EA6D3A"/>
    <w:rsid w:val="00EA6D49"/>
    <w:rsid w:val="00EA6DA2"/>
    <w:rsid w:val="00EA6DBB"/>
    <w:rsid w:val="00EA6DCC"/>
    <w:rsid w:val="00EA6DCD"/>
    <w:rsid w:val="00EA6DE9"/>
    <w:rsid w:val="00EA6E5B"/>
    <w:rsid w:val="00EA6E7E"/>
    <w:rsid w:val="00EA6EDF"/>
    <w:rsid w:val="00EA6EF5"/>
    <w:rsid w:val="00EA6F73"/>
    <w:rsid w:val="00EA71E3"/>
    <w:rsid w:val="00EA7226"/>
    <w:rsid w:val="00EA7287"/>
    <w:rsid w:val="00EA72AD"/>
    <w:rsid w:val="00EA7305"/>
    <w:rsid w:val="00EA730F"/>
    <w:rsid w:val="00EA7363"/>
    <w:rsid w:val="00EA7409"/>
    <w:rsid w:val="00EA7419"/>
    <w:rsid w:val="00EA7497"/>
    <w:rsid w:val="00EA74E5"/>
    <w:rsid w:val="00EA752A"/>
    <w:rsid w:val="00EA755D"/>
    <w:rsid w:val="00EA7587"/>
    <w:rsid w:val="00EA7701"/>
    <w:rsid w:val="00EA771B"/>
    <w:rsid w:val="00EA7725"/>
    <w:rsid w:val="00EA7786"/>
    <w:rsid w:val="00EA7837"/>
    <w:rsid w:val="00EA7867"/>
    <w:rsid w:val="00EA7881"/>
    <w:rsid w:val="00EA78B6"/>
    <w:rsid w:val="00EA78BC"/>
    <w:rsid w:val="00EA78C5"/>
    <w:rsid w:val="00EA7917"/>
    <w:rsid w:val="00EA796D"/>
    <w:rsid w:val="00EA79FF"/>
    <w:rsid w:val="00EA7A51"/>
    <w:rsid w:val="00EA7AAF"/>
    <w:rsid w:val="00EA7AD8"/>
    <w:rsid w:val="00EA7ADA"/>
    <w:rsid w:val="00EA7B43"/>
    <w:rsid w:val="00EA7BDB"/>
    <w:rsid w:val="00EA7C02"/>
    <w:rsid w:val="00EA7CD5"/>
    <w:rsid w:val="00EA7CFA"/>
    <w:rsid w:val="00EA7EAC"/>
    <w:rsid w:val="00EA7EF9"/>
    <w:rsid w:val="00EA7F54"/>
    <w:rsid w:val="00EA7FA9"/>
    <w:rsid w:val="00EA7FAF"/>
    <w:rsid w:val="00EA7FF4"/>
    <w:rsid w:val="00EB004A"/>
    <w:rsid w:val="00EB009B"/>
    <w:rsid w:val="00EB017A"/>
    <w:rsid w:val="00EB01D9"/>
    <w:rsid w:val="00EB023D"/>
    <w:rsid w:val="00EB0332"/>
    <w:rsid w:val="00EB03A2"/>
    <w:rsid w:val="00EB03B7"/>
    <w:rsid w:val="00EB03F8"/>
    <w:rsid w:val="00EB03FF"/>
    <w:rsid w:val="00EB0404"/>
    <w:rsid w:val="00EB0492"/>
    <w:rsid w:val="00EB0523"/>
    <w:rsid w:val="00EB059B"/>
    <w:rsid w:val="00EB05B5"/>
    <w:rsid w:val="00EB05F5"/>
    <w:rsid w:val="00EB0605"/>
    <w:rsid w:val="00EB0646"/>
    <w:rsid w:val="00EB0718"/>
    <w:rsid w:val="00EB087E"/>
    <w:rsid w:val="00EB09A5"/>
    <w:rsid w:val="00EB09F2"/>
    <w:rsid w:val="00EB0A52"/>
    <w:rsid w:val="00EB0A54"/>
    <w:rsid w:val="00EB0AE5"/>
    <w:rsid w:val="00EB0AEE"/>
    <w:rsid w:val="00EB0B5E"/>
    <w:rsid w:val="00EB0BA6"/>
    <w:rsid w:val="00EB0BDA"/>
    <w:rsid w:val="00EB0C14"/>
    <w:rsid w:val="00EB0C56"/>
    <w:rsid w:val="00EB0C70"/>
    <w:rsid w:val="00EB0CBE"/>
    <w:rsid w:val="00EB0CE2"/>
    <w:rsid w:val="00EB0CF2"/>
    <w:rsid w:val="00EB0E1E"/>
    <w:rsid w:val="00EB0E9B"/>
    <w:rsid w:val="00EB0F80"/>
    <w:rsid w:val="00EB0FBC"/>
    <w:rsid w:val="00EB101F"/>
    <w:rsid w:val="00EB1026"/>
    <w:rsid w:val="00EB107E"/>
    <w:rsid w:val="00EB10AC"/>
    <w:rsid w:val="00EB1106"/>
    <w:rsid w:val="00EB111D"/>
    <w:rsid w:val="00EB1225"/>
    <w:rsid w:val="00EB12CD"/>
    <w:rsid w:val="00EB12D1"/>
    <w:rsid w:val="00EB1310"/>
    <w:rsid w:val="00EB1340"/>
    <w:rsid w:val="00EB140E"/>
    <w:rsid w:val="00EB142B"/>
    <w:rsid w:val="00EB1444"/>
    <w:rsid w:val="00EB1459"/>
    <w:rsid w:val="00EB1489"/>
    <w:rsid w:val="00EB15CA"/>
    <w:rsid w:val="00EB160C"/>
    <w:rsid w:val="00EB1633"/>
    <w:rsid w:val="00EB166A"/>
    <w:rsid w:val="00EB16A2"/>
    <w:rsid w:val="00EB16AC"/>
    <w:rsid w:val="00EB1784"/>
    <w:rsid w:val="00EB17A9"/>
    <w:rsid w:val="00EB19AA"/>
    <w:rsid w:val="00EB19D1"/>
    <w:rsid w:val="00EB1A88"/>
    <w:rsid w:val="00EB1AB7"/>
    <w:rsid w:val="00EB1B5F"/>
    <w:rsid w:val="00EB1B64"/>
    <w:rsid w:val="00EB1B9A"/>
    <w:rsid w:val="00EB1BD4"/>
    <w:rsid w:val="00EB1C15"/>
    <w:rsid w:val="00EB1C1B"/>
    <w:rsid w:val="00EB1D3E"/>
    <w:rsid w:val="00EB1D51"/>
    <w:rsid w:val="00EB1D78"/>
    <w:rsid w:val="00EB1D9A"/>
    <w:rsid w:val="00EB1DAB"/>
    <w:rsid w:val="00EB1DD4"/>
    <w:rsid w:val="00EB1DFA"/>
    <w:rsid w:val="00EB1E07"/>
    <w:rsid w:val="00EB1E89"/>
    <w:rsid w:val="00EB1E90"/>
    <w:rsid w:val="00EB1EA4"/>
    <w:rsid w:val="00EB1ED9"/>
    <w:rsid w:val="00EB1EF9"/>
    <w:rsid w:val="00EB1F0E"/>
    <w:rsid w:val="00EB1F20"/>
    <w:rsid w:val="00EB1F47"/>
    <w:rsid w:val="00EB1FE8"/>
    <w:rsid w:val="00EB2035"/>
    <w:rsid w:val="00EB2075"/>
    <w:rsid w:val="00EB2095"/>
    <w:rsid w:val="00EB20E8"/>
    <w:rsid w:val="00EB2107"/>
    <w:rsid w:val="00EB2135"/>
    <w:rsid w:val="00EB22CE"/>
    <w:rsid w:val="00EB22DF"/>
    <w:rsid w:val="00EB2324"/>
    <w:rsid w:val="00EB2390"/>
    <w:rsid w:val="00EB2420"/>
    <w:rsid w:val="00EB24DB"/>
    <w:rsid w:val="00EB2518"/>
    <w:rsid w:val="00EB254B"/>
    <w:rsid w:val="00EB2602"/>
    <w:rsid w:val="00EB271A"/>
    <w:rsid w:val="00EB2850"/>
    <w:rsid w:val="00EB288B"/>
    <w:rsid w:val="00EB28A4"/>
    <w:rsid w:val="00EB28B0"/>
    <w:rsid w:val="00EB28BF"/>
    <w:rsid w:val="00EB2910"/>
    <w:rsid w:val="00EB2A5F"/>
    <w:rsid w:val="00EB2A73"/>
    <w:rsid w:val="00EB2AD4"/>
    <w:rsid w:val="00EB2B94"/>
    <w:rsid w:val="00EB2CB8"/>
    <w:rsid w:val="00EB2CE4"/>
    <w:rsid w:val="00EB2DF6"/>
    <w:rsid w:val="00EB2E08"/>
    <w:rsid w:val="00EB2E22"/>
    <w:rsid w:val="00EB2EC6"/>
    <w:rsid w:val="00EB2F67"/>
    <w:rsid w:val="00EB2FB2"/>
    <w:rsid w:val="00EB3064"/>
    <w:rsid w:val="00EB306D"/>
    <w:rsid w:val="00EB30A1"/>
    <w:rsid w:val="00EB30D7"/>
    <w:rsid w:val="00EB3151"/>
    <w:rsid w:val="00EB3195"/>
    <w:rsid w:val="00EB31B6"/>
    <w:rsid w:val="00EB31F0"/>
    <w:rsid w:val="00EB3217"/>
    <w:rsid w:val="00EB3260"/>
    <w:rsid w:val="00EB32F0"/>
    <w:rsid w:val="00EB33CE"/>
    <w:rsid w:val="00EB33D0"/>
    <w:rsid w:val="00EB33E9"/>
    <w:rsid w:val="00EB340A"/>
    <w:rsid w:val="00EB3464"/>
    <w:rsid w:val="00EB3540"/>
    <w:rsid w:val="00EB355F"/>
    <w:rsid w:val="00EB360E"/>
    <w:rsid w:val="00EB3699"/>
    <w:rsid w:val="00EB36CA"/>
    <w:rsid w:val="00EB36D5"/>
    <w:rsid w:val="00EB36E2"/>
    <w:rsid w:val="00EB3740"/>
    <w:rsid w:val="00EB3750"/>
    <w:rsid w:val="00EB37D8"/>
    <w:rsid w:val="00EB37F0"/>
    <w:rsid w:val="00EB3825"/>
    <w:rsid w:val="00EB3871"/>
    <w:rsid w:val="00EB38E8"/>
    <w:rsid w:val="00EB394B"/>
    <w:rsid w:val="00EB39C6"/>
    <w:rsid w:val="00EB39E8"/>
    <w:rsid w:val="00EB39EE"/>
    <w:rsid w:val="00EB3A06"/>
    <w:rsid w:val="00EB3A35"/>
    <w:rsid w:val="00EB3A70"/>
    <w:rsid w:val="00EB3ADF"/>
    <w:rsid w:val="00EB3B1D"/>
    <w:rsid w:val="00EB3B1E"/>
    <w:rsid w:val="00EB3BC8"/>
    <w:rsid w:val="00EB3C5E"/>
    <w:rsid w:val="00EB3C8C"/>
    <w:rsid w:val="00EB3CAD"/>
    <w:rsid w:val="00EB3CC9"/>
    <w:rsid w:val="00EB3CF5"/>
    <w:rsid w:val="00EB3D3E"/>
    <w:rsid w:val="00EB3DA6"/>
    <w:rsid w:val="00EB3DC3"/>
    <w:rsid w:val="00EB3DE3"/>
    <w:rsid w:val="00EB3E0D"/>
    <w:rsid w:val="00EB3E33"/>
    <w:rsid w:val="00EB3E57"/>
    <w:rsid w:val="00EB3E80"/>
    <w:rsid w:val="00EB3ECA"/>
    <w:rsid w:val="00EB3EDB"/>
    <w:rsid w:val="00EB3EF0"/>
    <w:rsid w:val="00EB3FFC"/>
    <w:rsid w:val="00EB402F"/>
    <w:rsid w:val="00EB4077"/>
    <w:rsid w:val="00EB41DE"/>
    <w:rsid w:val="00EB421C"/>
    <w:rsid w:val="00EB424F"/>
    <w:rsid w:val="00EB4253"/>
    <w:rsid w:val="00EB426C"/>
    <w:rsid w:val="00EB4270"/>
    <w:rsid w:val="00EB42A9"/>
    <w:rsid w:val="00EB42EA"/>
    <w:rsid w:val="00EB4312"/>
    <w:rsid w:val="00EB4354"/>
    <w:rsid w:val="00EB4356"/>
    <w:rsid w:val="00EB435A"/>
    <w:rsid w:val="00EB43CD"/>
    <w:rsid w:val="00EB4412"/>
    <w:rsid w:val="00EB4415"/>
    <w:rsid w:val="00EB445E"/>
    <w:rsid w:val="00EB446B"/>
    <w:rsid w:val="00EB448F"/>
    <w:rsid w:val="00EB457A"/>
    <w:rsid w:val="00EB45D9"/>
    <w:rsid w:val="00EB45DC"/>
    <w:rsid w:val="00EB45F5"/>
    <w:rsid w:val="00EB45FE"/>
    <w:rsid w:val="00EB46D1"/>
    <w:rsid w:val="00EB4784"/>
    <w:rsid w:val="00EB4800"/>
    <w:rsid w:val="00EB4803"/>
    <w:rsid w:val="00EB4846"/>
    <w:rsid w:val="00EB4892"/>
    <w:rsid w:val="00EB48EF"/>
    <w:rsid w:val="00EB4942"/>
    <w:rsid w:val="00EB49DB"/>
    <w:rsid w:val="00EB4A64"/>
    <w:rsid w:val="00EB4A70"/>
    <w:rsid w:val="00EB4A7A"/>
    <w:rsid w:val="00EB4B13"/>
    <w:rsid w:val="00EB4B7C"/>
    <w:rsid w:val="00EB4B88"/>
    <w:rsid w:val="00EB4C2C"/>
    <w:rsid w:val="00EB4C7C"/>
    <w:rsid w:val="00EB4CCA"/>
    <w:rsid w:val="00EB4D14"/>
    <w:rsid w:val="00EB4D46"/>
    <w:rsid w:val="00EB4D5B"/>
    <w:rsid w:val="00EB4DBF"/>
    <w:rsid w:val="00EB4DC3"/>
    <w:rsid w:val="00EB4E1F"/>
    <w:rsid w:val="00EB4E50"/>
    <w:rsid w:val="00EB4E7F"/>
    <w:rsid w:val="00EB4EA2"/>
    <w:rsid w:val="00EB4F25"/>
    <w:rsid w:val="00EB5012"/>
    <w:rsid w:val="00EB50C7"/>
    <w:rsid w:val="00EB50E2"/>
    <w:rsid w:val="00EB513B"/>
    <w:rsid w:val="00EB522F"/>
    <w:rsid w:val="00EB525E"/>
    <w:rsid w:val="00EB52D9"/>
    <w:rsid w:val="00EB5328"/>
    <w:rsid w:val="00EB53F6"/>
    <w:rsid w:val="00EB540C"/>
    <w:rsid w:val="00EB5413"/>
    <w:rsid w:val="00EB54DC"/>
    <w:rsid w:val="00EB54F8"/>
    <w:rsid w:val="00EB551E"/>
    <w:rsid w:val="00EB554D"/>
    <w:rsid w:val="00EB556E"/>
    <w:rsid w:val="00EB5571"/>
    <w:rsid w:val="00EB5577"/>
    <w:rsid w:val="00EB55E7"/>
    <w:rsid w:val="00EB5654"/>
    <w:rsid w:val="00EB5661"/>
    <w:rsid w:val="00EB56CC"/>
    <w:rsid w:val="00EB57B7"/>
    <w:rsid w:val="00EB57EC"/>
    <w:rsid w:val="00EB5859"/>
    <w:rsid w:val="00EB58A7"/>
    <w:rsid w:val="00EB58AE"/>
    <w:rsid w:val="00EB58F4"/>
    <w:rsid w:val="00EB5923"/>
    <w:rsid w:val="00EB59A6"/>
    <w:rsid w:val="00EB59F5"/>
    <w:rsid w:val="00EB5A1D"/>
    <w:rsid w:val="00EB5A8C"/>
    <w:rsid w:val="00EB5A91"/>
    <w:rsid w:val="00EB5B34"/>
    <w:rsid w:val="00EB5B3C"/>
    <w:rsid w:val="00EB5B3D"/>
    <w:rsid w:val="00EB5B8D"/>
    <w:rsid w:val="00EB5BE7"/>
    <w:rsid w:val="00EB5C92"/>
    <w:rsid w:val="00EB5CF2"/>
    <w:rsid w:val="00EB5D10"/>
    <w:rsid w:val="00EB5D56"/>
    <w:rsid w:val="00EB5DF8"/>
    <w:rsid w:val="00EB5EC4"/>
    <w:rsid w:val="00EB5EE7"/>
    <w:rsid w:val="00EB5F5D"/>
    <w:rsid w:val="00EB5F83"/>
    <w:rsid w:val="00EB5FC0"/>
    <w:rsid w:val="00EB5FC5"/>
    <w:rsid w:val="00EB6010"/>
    <w:rsid w:val="00EB60C5"/>
    <w:rsid w:val="00EB61A7"/>
    <w:rsid w:val="00EB61F2"/>
    <w:rsid w:val="00EB622E"/>
    <w:rsid w:val="00EB624D"/>
    <w:rsid w:val="00EB628F"/>
    <w:rsid w:val="00EB62DE"/>
    <w:rsid w:val="00EB6366"/>
    <w:rsid w:val="00EB6379"/>
    <w:rsid w:val="00EB6395"/>
    <w:rsid w:val="00EB63D4"/>
    <w:rsid w:val="00EB63E2"/>
    <w:rsid w:val="00EB63EA"/>
    <w:rsid w:val="00EB642F"/>
    <w:rsid w:val="00EB6431"/>
    <w:rsid w:val="00EB6499"/>
    <w:rsid w:val="00EB64BA"/>
    <w:rsid w:val="00EB6553"/>
    <w:rsid w:val="00EB65E9"/>
    <w:rsid w:val="00EB6610"/>
    <w:rsid w:val="00EB662A"/>
    <w:rsid w:val="00EB662B"/>
    <w:rsid w:val="00EB66CE"/>
    <w:rsid w:val="00EB6740"/>
    <w:rsid w:val="00EB6750"/>
    <w:rsid w:val="00EB680A"/>
    <w:rsid w:val="00EB6833"/>
    <w:rsid w:val="00EB68F5"/>
    <w:rsid w:val="00EB69B6"/>
    <w:rsid w:val="00EB69B7"/>
    <w:rsid w:val="00EB6A02"/>
    <w:rsid w:val="00EB6A3D"/>
    <w:rsid w:val="00EB6B1D"/>
    <w:rsid w:val="00EB6B71"/>
    <w:rsid w:val="00EB6BA6"/>
    <w:rsid w:val="00EB6C2B"/>
    <w:rsid w:val="00EB6C9E"/>
    <w:rsid w:val="00EB6D53"/>
    <w:rsid w:val="00EB6D83"/>
    <w:rsid w:val="00EB6D89"/>
    <w:rsid w:val="00EB6DF9"/>
    <w:rsid w:val="00EB6E4A"/>
    <w:rsid w:val="00EB6E78"/>
    <w:rsid w:val="00EB6ECD"/>
    <w:rsid w:val="00EB6F35"/>
    <w:rsid w:val="00EB6F48"/>
    <w:rsid w:val="00EB6F57"/>
    <w:rsid w:val="00EB6F5E"/>
    <w:rsid w:val="00EB6FD3"/>
    <w:rsid w:val="00EB6FE5"/>
    <w:rsid w:val="00EB6FEE"/>
    <w:rsid w:val="00EB7013"/>
    <w:rsid w:val="00EB704C"/>
    <w:rsid w:val="00EB7051"/>
    <w:rsid w:val="00EB705E"/>
    <w:rsid w:val="00EB70B6"/>
    <w:rsid w:val="00EB70B9"/>
    <w:rsid w:val="00EB70BA"/>
    <w:rsid w:val="00EB7197"/>
    <w:rsid w:val="00EB7214"/>
    <w:rsid w:val="00EB721A"/>
    <w:rsid w:val="00EB7234"/>
    <w:rsid w:val="00EB7370"/>
    <w:rsid w:val="00EB7418"/>
    <w:rsid w:val="00EB7440"/>
    <w:rsid w:val="00EB7535"/>
    <w:rsid w:val="00EB757D"/>
    <w:rsid w:val="00EB7642"/>
    <w:rsid w:val="00EB765E"/>
    <w:rsid w:val="00EB7663"/>
    <w:rsid w:val="00EB7664"/>
    <w:rsid w:val="00EB7686"/>
    <w:rsid w:val="00EB76AB"/>
    <w:rsid w:val="00EB76DB"/>
    <w:rsid w:val="00EB76E4"/>
    <w:rsid w:val="00EB771A"/>
    <w:rsid w:val="00EB7742"/>
    <w:rsid w:val="00EB77BC"/>
    <w:rsid w:val="00EB77D7"/>
    <w:rsid w:val="00EB7821"/>
    <w:rsid w:val="00EB7832"/>
    <w:rsid w:val="00EB7865"/>
    <w:rsid w:val="00EB78C9"/>
    <w:rsid w:val="00EB797F"/>
    <w:rsid w:val="00EB7988"/>
    <w:rsid w:val="00EB79D6"/>
    <w:rsid w:val="00EB79ED"/>
    <w:rsid w:val="00EB79F6"/>
    <w:rsid w:val="00EB7A93"/>
    <w:rsid w:val="00EB7AC6"/>
    <w:rsid w:val="00EB7B5B"/>
    <w:rsid w:val="00EB7BAE"/>
    <w:rsid w:val="00EB7C61"/>
    <w:rsid w:val="00EB7DB0"/>
    <w:rsid w:val="00EB7DB7"/>
    <w:rsid w:val="00EB7DE1"/>
    <w:rsid w:val="00EB7E0D"/>
    <w:rsid w:val="00EB7E23"/>
    <w:rsid w:val="00EB7E4A"/>
    <w:rsid w:val="00EB7E9A"/>
    <w:rsid w:val="00EB7F71"/>
    <w:rsid w:val="00EB7FA3"/>
    <w:rsid w:val="00EC0016"/>
    <w:rsid w:val="00EC005E"/>
    <w:rsid w:val="00EC018F"/>
    <w:rsid w:val="00EC01D2"/>
    <w:rsid w:val="00EC01E6"/>
    <w:rsid w:val="00EC0202"/>
    <w:rsid w:val="00EC0236"/>
    <w:rsid w:val="00EC0239"/>
    <w:rsid w:val="00EC029F"/>
    <w:rsid w:val="00EC032D"/>
    <w:rsid w:val="00EC0466"/>
    <w:rsid w:val="00EC04A8"/>
    <w:rsid w:val="00EC0502"/>
    <w:rsid w:val="00EC05D8"/>
    <w:rsid w:val="00EC05ED"/>
    <w:rsid w:val="00EC06BA"/>
    <w:rsid w:val="00EC06C3"/>
    <w:rsid w:val="00EC073E"/>
    <w:rsid w:val="00EC077C"/>
    <w:rsid w:val="00EC07DC"/>
    <w:rsid w:val="00EC089B"/>
    <w:rsid w:val="00EC091C"/>
    <w:rsid w:val="00EC09C4"/>
    <w:rsid w:val="00EC0A46"/>
    <w:rsid w:val="00EC0A5D"/>
    <w:rsid w:val="00EC0A9B"/>
    <w:rsid w:val="00EC0ABF"/>
    <w:rsid w:val="00EC0ACB"/>
    <w:rsid w:val="00EC0AD3"/>
    <w:rsid w:val="00EC0AED"/>
    <w:rsid w:val="00EC0BD8"/>
    <w:rsid w:val="00EC0C5C"/>
    <w:rsid w:val="00EC0D9D"/>
    <w:rsid w:val="00EC0E0F"/>
    <w:rsid w:val="00EC0E45"/>
    <w:rsid w:val="00EC0EAC"/>
    <w:rsid w:val="00EC0F95"/>
    <w:rsid w:val="00EC0FAC"/>
    <w:rsid w:val="00EC0FB4"/>
    <w:rsid w:val="00EC103E"/>
    <w:rsid w:val="00EC106C"/>
    <w:rsid w:val="00EC1143"/>
    <w:rsid w:val="00EC1209"/>
    <w:rsid w:val="00EC1262"/>
    <w:rsid w:val="00EC1333"/>
    <w:rsid w:val="00EC133C"/>
    <w:rsid w:val="00EC139C"/>
    <w:rsid w:val="00EC1405"/>
    <w:rsid w:val="00EC1455"/>
    <w:rsid w:val="00EC1467"/>
    <w:rsid w:val="00EC146A"/>
    <w:rsid w:val="00EC14BD"/>
    <w:rsid w:val="00EC14DD"/>
    <w:rsid w:val="00EC154C"/>
    <w:rsid w:val="00EC158E"/>
    <w:rsid w:val="00EC15AA"/>
    <w:rsid w:val="00EC15C8"/>
    <w:rsid w:val="00EC15D8"/>
    <w:rsid w:val="00EC1700"/>
    <w:rsid w:val="00EC1750"/>
    <w:rsid w:val="00EC178C"/>
    <w:rsid w:val="00EC17F4"/>
    <w:rsid w:val="00EC1807"/>
    <w:rsid w:val="00EC1832"/>
    <w:rsid w:val="00EC186A"/>
    <w:rsid w:val="00EC1935"/>
    <w:rsid w:val="00EC197D"/>
    <w:rsid w:val="00EC19A9"/>
    <w:rsid w:val="00EC1A1A"/>
    <w:rsid w:val="00EC1A25"/>
    <w:rsid w:val="00EC1A27"/>
    <w:rsid w:val="00EC1A59"/>
    <w:rsid w:val="00EC1A97"/>
    <w:rsid w:val="00EC1B19"/>
    <w:rsid w:val="00EC1B6B"/>
    <w:rsid w:val="00EC1B8B"/>
    <w:rsid w:val="00EC1BF0"/>
    <w:rsid w:val="00EC1BFD"/>
    <w:rsid w:val="00EC1D2F"/>
    <w:rsid w:val="00EC1D5C"/>
    <w:rsid w:val="00EC1D6F"/>
    <w:rsid w:val="00EC1D85"/>
    <w:rsid w:val="00EC1E0C"/>
    <w:rsid w:val="00EC1E90"/>
    <w:rsid w:val="00EC1EA2"/>
    <w:rsid w:val="00EC1EB7"/>
    <w:rsid w:val="00EC1EE1"/>
    <w:rsid w:val="00EC1F39"/>
    <w:rsid w:val="00EC1FF5"/>
    <w:rsid w:val="00EC2087"/>
    <w:rsid w:val="00EC212D"/>
    <w:rsid w:val="00EC213E"/>
    <w:rsid w:val="00EC2140"/>
    <w:rsid w:val="00EC2155"/>
    <w:rsid w:val="00EC218C"/>
    <w:rsid w:val="00EC2245"/>
    <w:rsid w:val="00EC23D1"/>
    <w:rsid w:val="00EC241E"/>
    <w:rsid w:val="00EC242A"/>
    <w:rsid w:val="00EC2468"/>
    <w:rsid w:val="00EC24B8"/>
    <w:rsid w:val="00EC2655"/>
    <w:rsid w:val="00EC270E"/>
    <w:rsid w:val="00EC2757"/>
    <w:rsid w:val="00EC2798"/>
    <w:rsid w:val="00EC27C6"/>
    <w:rsid w:val="00EC27D6"/>
    <w:rsid w:val="00EC2825"/>
    <w:rsid w:val="00EC2882"/>
    <w:rsid w:val="00EC2890"/>
    <w:rsid w:val="00EC291A"/>
    <w:rsid w:val="00EC297D"/>
    <w:rsid w:val="00EC297E"/>
    <w:rsid w:val="00EC299D"/>
    <w:rsid w:val="00EC29AB"/>
    <w:rsid w:val="00EC29B4"/>
    <w:rsid w:val="00EC2A55"/>
    <w:rsid w:val="00EC2AA1"/>
    <w:rsid w:val="00EC2B17"/>
    <w:rsid w:val="00EC2B69"/>
    <w:rsid w:val="00EC2C40"/>
    <w:rsid w:val="00EC2C73"/>
    <w:rsid w:val="00EC2D91"/>
    <w:rsid w:val="00EC2D96"/>
    <w:rsid w:val="00EC2DC3"/>
    <w:rsid w:val="00EC2E41"/>
    <w:rsid w:val="00EC2E85"/>
    <w:rsid w:val="00EC2ECB"/>
    <w:rsid w:val="00EC2EF2"/>
    <w:rsid w:val="00EC2F70"/>
    <w:rsid w:val="00EC2FA0"/>
    <w:rsid w:val="00EC2FE5"/>
    <w:rsid w:val="00EC3039"/>
    <w:rsid w:val="00EC3080"/>
    <w:rsid w:val="00EC30B5"/>
    <w:rsid w:val="00EC30B7"/>
    <w:rsid w:val="00EC30D9"/>
    <w:rsid w:val="00EC311A"/>
    <w:rsid w:val="00EC31A1"/>
    <w:rsid w:val="00EC31A7"/>
    <w:rsid w:val="00EC31DE"/>
    <w:rsid w:val="00EC3214"/>
    <w:rsid w:val="00EC3272"/>
    <w:rsid w:val="00EC32F2"/>
    <w:rsid w:val="00EC3308"/>
    <w:rsid w:val="00EC33C6"/>
    <w:rsid w:val="00EC343B"/>
    <w:rsid w:val="00EC344B"/>
    <w:rsid w:val="00EC34EC"/>
    <w:rsid w:val="00EC3553"/>
    <w:rsid w:val="00EC35DE"/>
    <w:rsid w:val="00EC360F"/>
    <w:rsid w:val="00EC373A"/>
    <w:rsid w:val="00EC383A"/>
    <w:rsid w:val="00EC38A1"/>
    <w:rsid w:val="00EC3928"/>
    <w:rsid w:val="00EC395D"/>
    <w:rsid w:val="00EC39C1"/>
    <w:rsid w:val="00EC39E1"/>
    <w:rsid w:val="00EC3A09"/>
    <w:rsid w:val="00EC3A80"/>
    <w:rsid w:val="00EC3AF4"/>
    <w:rsid w:val="00EC3B1E"/>
    <w:rsid w:val="00EC3B20"/>
    <w:rsid w:val="00EC3C27"/>
    <w:rsid w:val="00EC3C2F"/>
    <w:rsid w:val="00EC3C63"/>
    <w:rsid w:val="00EC3CB3"/>
    <w:rsid w:val="00EC3D31"/>
    <w:rsid w:val="00EC3D80"/>
    <w:rsid w:val="00EC3DAD"/>
    <w:rsid w:val="00EC3DBD"/>
    <w:rsid w:val="00EC3DEE"/>
    <w:rsid w:val="00EC3E17"/>
    <w:rsid w:val="00EC3E40"/>
    <w:rsid w:val="00EC3EA9"/>
    <w:rsid w:val="00EC3EDD"/>
    <w:rsid w:val="00EC3EE9"/>
    <w:rsid w:val="00EC3F27"/>
    <w:rsid w:val="00EC3FDA"/>
    <w:rsid w:val="00EC400B"/>
    <w:rsid w:val="00EC4031"/>
    <w:rsid w:val="00EC40FD"/>
    <w:rsid w:val="00EC412B"/>
    <w:rsid w:val="00EC4190"/>
    <w:rsid w:val="00EC4240"/>
    <w:rsid w:val="00EC4280"/>
    <w:rsid w:val="00EC434E"/>
    <w:rsid w:val="00EC43B5"/>
    <w:rsid w:val="00EC4407"/>
    <w:rsid w:val="00EC441B"/>
    <w:rsid w:val="00EC4425"/>
    <w:rsid w:val="00EC448F"/>
    <w:rsid w:val="00EC44E4"/>
    <w:rsid w:val="00EC450E"/>
    <w:rsid w:val="00EC453C"/>
    <w:rsid w:val="00EC4690"/>
    <w:rsid w:val="00EC46CF"/>
    <w:rsid w:val="00EC46FA"/>
    <w:rsid w:val="00EC471D"/>
    <w:rsid w:val="00EC4740"/>
    <w:rsid w:val="00EC4746"/>
    <w:rsid w:val="00EC47D3"/>
    <w:rsid w:val="00EC47D9"/>
    <w:rsid w:val="00EC47E6"/>
    <w:rsid w:val="00EC4944"/>
    <w:rsid w:val="00EC4952"/>
    <w:rsid w:val="00EC49FA"/>
    <w:rsid w:val="00EC4A05"/>
    <w:rsid w:val="00EC4A0C"/>
    <w:rsid w:val="00EC4A68"/>
    <w:rsid w:val="00EC4AFF"/>
    <w:rsid w:val="00EC4B34"/>
    <w:rsid w:val="00EC4B87"/>
    <w:rsid w:val="00EC4BD5"/>
    <w:rsid w:val="00EC4C65"/>
    <w:rsid w:val="00EC4CD6"/>
    <w:rsid w:val="00EC4CE8"/>
    <w:rsid w:val="00EC4CEC"/>
    <w:rsid w:val="00EC4D1B"/>
    <w:rsid w:val="00EC4DD8"/>
    <w:rsid w:val="00EC4DF8"/>
    <w:rsid w:val="00EC4E41"/>
    <w:rsid w:val="00EC4E5D"/>
    <w:rsid w:val="00EC4E67"/>
    <w:rsid w:val="00EC4E92"/>
    <w:rsid w:val="00EC4EEB"/>
    <w:rsid w:val="00EC4EFA"/>
    <w:rsid w:val="00EC4F04"/>
    <w:rsid w:val="00EC4F36"/>
    <w:rsid w:val="00EC4F6B"/>
    <w:rsid w:val="00EC4FEF"/>
    <w:rsid w:val="00EC501A"/>
    <w:rsid w:val="00EC50DC"/>
    <w:rsid w:val="00EC5109"/>
    <w:rsid w:val="00EC5173"/>
    <w:rsid w:val="00EC51EE"/>
    <w:rsid w:val="00EC5222"/>
    <w:rsid w:val="00EC526E"/>
    <w:rsid w:val="00EC52B2"/>
    <w:rsid w:val="00EC52C0"/>
    <w:rsid w:val="00EC534C"/>
    <w:rsid w:val="00EC541E"/>
    <w:rsid w:val="00EC547F"/>
    <w:rsid w:val="00EC5484"/>
    <w:rsid w:val="00EC54F2"/>
    <w:rsid w:val="00EC551A"/>
    <w:rsid w:val="00EC5535"/>
    <w:rsid w:val="00EC554E"/>
    <w:rsid w:val="00EC5587"/>
    <w:rsid w:val="00EC55E0"/>
    <w:rsid w:val="00EC5657"/>
    <w:rsid w:val="00EC5676"/>
    <w:rsid w:val="00EC56AA"/>
    <w:rsid w:val="00EC56F7"/>
    <w:rsid w:val="00EC5755"/>
    <w:rsid w:val="00EC57BD"/>
    <w:rsid w:val="00EC57E1"/>
    <w:rsid w:val="00EC593C"/>
    <w:rsid w:val="00EC59A6"/>
    <w:rsid w:val="00EC59E0"/>
    <w:rsid w:val="00EC5A79"/>
    <w:rsid w:val="00EC5B34"/>
    <w:rsid w:val="00EC5B6F"/>
    <w:rsid w:val="00EC5BC4"/>
    <w:rsid w:val="00EC5C04"/>
    <w:rsid w:val="00EC5C0A"/>
    <w:rsid w:val="00EC5C34"/>
    <w:rsid w:val="00EC5CD4"/>
    <w:rsid w:val="00EC5DEF"/>
    <w:rsid w:val="00EC5E19"/>
    <w:rsid w:val="00EC5E1E"/>
    <w:rsid w:val="00EC5EEF"/>
    <w:rsid w:val="00EC5F05"/>
    <w:rsid w:val="00EC5F23"/>
    <w:rsid w:val="00EC6019"/>
    <w:rsid w:val="00EC6025"/>
    <w:rsid w:val="00EC6059"/>
    <w:rsid w:val="00EC60D2"/>
    <w:rsid w:val="00EC6105"/>
    <w:rsid w:val="00EC6106"/>
    <w:rsid w:val="00EC610A"/>
    <w:rsid w:val="00EC6147"/>
    <w:rsid w:val="00EC61BE"/>
    <w:rsid w:val="00EC61BF"/>
    <w:rsid w:val="00EC6250"/>
    <w:rsid w:val="00EC6289"/>
    <w:rsid w:val="00EC628B"/>
    <w:rsid w:val="00EC62E4"/>
    <w:rsid w:val="00EC6329"/>
    <w:rsid w:val="00EC6332"/>
    <w:rsid w:val="00EC637F"/>
    <w:rsid w:val="00EC63A9"/>
    <w:rsid w:val="00EC63F2"/>
    <w:rsid w:val="00EC640A"/>
    <w:rsid w:val="00EC640F"/>
    <w:rsid w:val="00EC6440"/>
    <w:rsid w:val="00EC64FB"/>
    <w:rsid w:val="00EC6548"/>
    <w:rsid w:val="00EC6585"/>
    <w:rsid w:val="00EC65AA"/>
    <w:rsid w:val="00EC65C0"/>
    <w:rsid w:val="00EC65CF"/>
    <w:rsid w:val="00EC6617"/>
    <w:rsid w:val="00EC666C"/>
    <w:rsid w:val="00EC666F"/>
    <w:rsid w:val="00EC6692"/>
    <w:rsid w:val="00EC675B"/>
    <w:rsid w:val="00EC676C"/>
    <w:rsid w:val="00EC677C"/>
    <w:rsid w:val="00EC6792"/>
    <w:rsid w:val="00EC67F0"/>
    <w:rsid w:val="00EC681B"/>
    <w:rsid w:val="00EC685F"/>
    <w:rsid w:val="00EC686F"/>
    <w:rsid w:val="00EC6899"/>
    <w:rsid w:val="00EC689B"/>
    <w:rsid w:val="00EC68F3"/>
    <w:rsid w:val="00EC6907"/>
    <w:rsid w:val="00EC690B"/>
    <w:rsid w:val="00EC697D"/>
    <w:rsid w:val="00EC6A4E"/>
    <w:rsid w:val="00EC6A75"/>
    <w:rsid w:val="00EC6AAF"/>
    <w:rsid w:val="00EC6AD7"/>
    <w:rsid w:val="00EC6B20"/>
    <w:rsid w:val="00EC6B29"/>
    <w:rsid w:val="00EC6B62"/>
    <w:rsid w:val="00EC6B6E"/>
    <w:rsid w:val="00EC6BAE"/>
    <w:rsid w:val="00EC6BF5"/>
    <w:rsid w:val="00EC6C23"/>
    <w:rsid w:val="00EC6C3D"/>
    <w:rsid w:val="00EC6C4B"/>
    <w:rsid w:val="00EC6D2D"/>
    <w:rsid w:val="00EC6D40"/>
    <w:rsid w:val="00EC6D61"/>
    <w:rsid w:val="00EC6D7C"/>
    <w:rsid w:val="00EC6DFB"/>
    <w:rsid w:val="00EC6E98"/>
    <w:rsid w:val="00EC6F07"/>
    <w:rsid w:val="00EC6F5F"/>
    <w:rsid w:val="00EC6FA2"/>
    <w:rsid w:val="00EC6FD6"/>
    <w:rsid w:val="00EC6FFE"/>
    <w:rsid w:val="00EC7155"/>
    <w:rsid w:val="00EC715E"/>
    <w:rsid w:val="00EC717B"/>
    <w:rsid w:val="00EC717E"/>
    <w:rsid w:val="00EC71A8"/>
    <w:rsid w:val="00EC71CE"/>
    <w:rsid w:val="00EC7223"/>
    <w:rsid w:val="00EC7260"/>
    <w:rsid w:val="00EC7293"/>
    <w:rsid w:val="00EC7336"/>
    <w:rsid w:val="00EC74DA"/>
    <w:rsid w:val="00EC7553"/>
    <w:rsid w:val="00EC7559"/>
    <w:rsid w:val="00EC765A"/>
    <w:rsid w:val="00EC766F"/>
    <w:rsid w:val="00EC768B"/>
    <w:rsid w:val="00EC76B0"/>
    <w:rsid w:val="00EC7705"/>
    <w:rsid w:val="00EC773A"/>
    <w:rsid w:val="00EC77D1"/>
    <w:rsid w:val="00EC7900"/>
    <w:rsid w:val="00EC794C"/>
    <w:rsid w:val="00EC7954"/>
    <w:rsid w:val="00EC7957"/>
    <w:rsid w:val="00EC795A"/>
    <w:rsid w:val="00EC79C9"/>
    <w:rsid w:val="00EC7A2C"/>
    <w:rsid w:val="00EC7A42"/>
    <w:rsid w:val="00EC7B83"/>
    <w:rsid w:val="00EC7BA0"/>
    <w:rsid w:val="00EC7BD5"/>
    <w:rsid w:val="00EC7C24"/>
    <w:rsid w:val="00EC7CC7"/>
    <w:rsid w:val="00EC7CDC"/>
    <w:rsid w:val="00EC7D36"/>
    <w:rsid w:val="00EC7DC2"/>
    <w:rsid w:val="00EC7E1A"/>
    <w:rsid w:val="00EC7E1E"/>
    <w:rsid w:val="00EC7E58"/>
    <w:rsid w:val="00EC7E79"/>
    <w:rsid w:val="00EC7E91"/>
    <w:rsid w:val="00EC7F38"/>
    <w:rsid w:val="00EC7F96"/>
    <w:rsid w:val="00EC7FB7"/>
    <w:rsid w:val="00EC7FDB"/>
    <w:rsid w:val="00EC7FDC"/>
    <w:rsid w:val="00ED0009"/>
    <w:rsid w:val="00ED0035"/>
    <w:rsid w:val="00ED006E"/>
    <w:rsid w:val="00ED00E6"/>
    <w:rsid w:val="00ED0278"/>
    <w:rsid w:val="00ED027A"/>
    <w:rsid w:val="00ED02E7"/>
    <w:rsid w:val="00ED0368"/>
    <w:rsid w:val="00ED036D"/>
    <w:rsid w:val="00ED039A"/>
    <w:rsid w:val="00ED0443"/>
    <w:rsid w:val="00ED0477"/>
    <w:rsid w:val="00ED04B6"/>
    <w:rsid w:val="00ED0506"/>
    <w:rsid w:val="00ED055A"/>
    <w:rsid w:val="00ED0606"/>
    <w:rsid w:val="00ED0637"/>
    <w:rsid w:val="00ED0694"/>
    <w:rsid w:val="00ED06DA"/>
    <w:rsid w:val="00ED06F9"/>
    <w:rsid w:val="00ED0726"/>
    <w:rsid w:val="00ED0829"/>
    <w:rsid w:val="00ED0841"/>
    <w:rsid w:val="00ED08D8"/>
    <w:rsid w:val="00ED08E8"/>
    <w:rsid w:val="00ED093D"/>
    <w:rsid w:val="00ED09B7"/>
    <w:rsid w:val="00ED0A10"/>
    <w:rsid w:val="00ED0A7D"/>
    <w:rsid w:val="00ED0B32"/>
    <w:rsid w:val="00ED0B7B"/>
    <w:rsid w:val="00ED0C17"/>
    <w:rsid w:val="00ED0C23"/>
    <w:rsid w:val="00ED0C47"/>
    <w:rsid w:val="00ED0C70"/>
    <w:rsid w:val="00ED0CD2"/>
    <w:rsid w:val="00ED0CF0"/>
    <w:rsid w:val="00ED0D4A"/>
    <w:rsid w:val="00ED0D86"/>
    <w:rsid w:val="00ED0DAF"/>
    <w:rsid w:val="00ED0E06"/>
    <w:rsid w:val="00ED0E27"/>
    <w:rsid w:val="00ED0E61"/>
    <w:rsid w:val="00ED0E6D"/>
    <w:rsid w:val="00ED0E75"/>
    <w:rsid w:val="00ED0ED5"/>
    <w:rsid w:val="00ED0EE9"/>
    <w:rsid w:val="00ED0F2E"/>
    <w:rsid w:val="00ED0F48"/>
    <w:rsid w:val="00ED0FE1"/>
    <w:rsid w:val="00ED102E"/>
    <w:rsid w:val="00ED108B"/>
    <w:rsid w:val="00ED10D5"/>
    <w:rsid w:val="00ED115C"/>
    <w:rsid w:val="00ED116C"/>
    <w:rsid w:val="00ED1188"/>
    <w:rsid w:val="00ED11B8"/>
    <w:rsid w:val="00ED11DE"/>
    <w:rsid w:val="00ED123D"/>
    <w:rsid w:val="00ED129B"/>
    <w:rsid w:val="00ED12D6"/>
    <w:rsid w:val="00ED1327"/>
    <w:rsid w:val="00ED1389"/>
    <w:rsid w:val="00ED13A2"/>
    <w:rsid w:val="00ED13AD"/>
    <w:rsid w:val="00ED13B8"/>
    <w:rsid w:val="00ED13F0"/>
    <w:rsid w:val="00ED13F4"/>
    <w:rsid w:val="00ED1484"/>
    <w:rsid w:val="00ED14A9"/>
    <w:rsid w:val="00ED1608"/>
    <w:rsid w:val="00ED1618"/>
    <w:rsid w:val="00ED166A"/>
    <w:rsid w:val="00ED1671"/>
    <w:rsid w:val="00ED171A"/>
    <w:rsid w:val="00ED176A"/>
    <w:rsid w:val="00ED17A9"/>
    <w:rsid w:val="00ED17BF"/>
    <w:rsid w:val="00ED1844"/>
    <w:rsid w:val="00ED18AB"/>
    <w:rsid w:val="00ED19AC"/>
    <w:rsid w:val="00ED19BC"/>
    <w:rsid w:val="00ED19C1"/>
    <w:rsid w:val="00ED19CB"/>
    <w:rsid w:val="00ED1A1B"/>
    <w:rsid w:val="00ED1A78"/>
    <w:rsid w:val="00ED1AC6"/>
    <w:rsid w:val="00ED1B15"/>
    <w:rsid w:val="00ED1B18"/>
    <w:rsid w:val="00ED1BE7"/>
    <w:rsid w:val="00ED1C03"/>
    <w:rsid w:val="00ED1C40"/>
    <w:rsid w:val="00ED1C62"/>
    <w:rsid w:val="00ED1C80"/>
    <w:rsid w:val="00ED1CDE"/>
    <w:rsid w:val="00ED1D31"/>
    <w:rsid w:val="00ED1D55"/>
    <w:rsid w:val="00ED1DB8"/>
    <w:rsid w:val="00ED1DBB"/>
    <w:rsid w:val="00ED1DF8"/>
    <w:rsid w:val="00ED1E4F"/>
    <w:rsid w:val="00ED1E71"/>
    <w:rsid w:val="00ED1EBD"/>
    <w:rsid w:val="00ED1EC8"/>
    <w:rsid w:val="00ED1EEE"/>
    <w:rsid w:val="00ED1F11"/>
    <w:rsid w:val="00ED1F42"/>
    <w:rsid w:val="00ED1FC8"/>
    <w:rsid w:val="00ED1FFD"/>
    <w:rsid w:val="00ED2093"/>
    <w:rsid w:val="00ED210E"/>
    <w:rsid w:val="00ED21A7"/>
    <w:rsid w:val="00ED21B5"/>
    <w:rsid w:val="00ED21E7"/>
    <w:rsid w:val="00ED21F2"/>
    <w:rsid w:val="00ED21FB"/>
    <w:rsid w:val="00ED2263"/>
    <w:rsid w:val="00ED22FD"/>
    <w:rsid w:val="00ED2307"/>
    <w:rsid w:val="00ED2339"/>
    <w:rsid w:val="00ED234B"/>
    <w:rsid w:val="00ED23FE"/>
    <w:rsid w:val="00ED241F"/>
    <w:rsid w:val="00ED2462"/>
    <w:rsid w:val="00ED2483"/>
    <w:rsid w:val="00ED24C4"/>
    <w:rsid w:val="00ED251A"/>
    <w:rsid w:val="00ED2528"/>
    <w:rsid w:val="00ED2559"/>
    <w:rsid w:val="00ED2583"/>
    <w:rsid w:val="00ED2585"/>
    <w:rsid w:val="00ED2595"/>
    <w:rsid w:val="00ED25F6"/>
    <w:rsid w:val="00ED25FB"/>
    <w:rsid w:val="00ED25FC"/>
    <w:rsid w:val="00ED2686"/>
    <w:rsid w:val="00ED2691"/>
    <w:rsid w:val="00ED269B"/>
    <w:rsid w:val="00ED26A9"/>
    <w:rsid w:val="00ED277F"/>
    <w:rsid w:val="00ED27DC"/>
    <w:rsid w:val="00ED288D"/>
    <w:rsid w:val="00ED28A5"/>
    <w:rsid w:val="00ED28E3"/>
    <w:rsid w:val="00ED2988"/>
    <w:rsid w:val="00ED298D"/>
    <w:rsid w:val="00ED2A91"/>
    <w:rsid w:val="00ED2B84"/>
    <w:rsid w:val="00ED2BA3"/>
    <w:rsid w:val="00ED2C6C"/>
    <w:rsid w:val="00ED2CDD"/>
    <w:rsid w:val="00ED2D6C"/>
    <w:rsid w:val="00ED2DAD"/>
    <w:rsid w:val="00ED2E8A"/>
    <w:rsid w:val="00ED2ECF"/>
    <w:rsid w:val="00ED2F16"/>
    <w:rsid w:val="00ED2F59"/>
    <w:rsid w:val="00ED305F"/>
    <w:rsid w:val="00ED30AB"/>
    <w:rsid w:val="00ED30D5"/>
    <w:rsid w:val="00ED30F8"/>
    <w:rsid w:val="00ED314B"/>
    <w:rsid w:val="00ED3176"/>
    <w:rsid w:val="00ED3189"/>
    <w:rsid w:val="00ED31EB"/>
    <w:rsid w:val="00ED31FF"/>
    <w:rsid w:val="00ED3204"/>
    <w:rsid w:val="00ED3220"/>
    <w:rsid w:val="00ED3249"/>
    <w:rsid w:val="00ED32F9"/>
    <w:rsid w:val="00ED337D"/>
    <w:rsid w:val="00ED33B9"/>
    <w:rsid w:val="00ED33F3"/>
    <w:rsid w:val="00ED34AF"/>
    <w:rsid w:val="00ED34E1"/>
    <w:rsid w:val="00ED35A5"/>
    <w:rsid w:val="00ED3627"/>
    <w:rsid w:val="00ED3649"/>
    <w:rsid w:val="00ED3655"/>
    <w:rsid w:val="00ED3659"/>
    <w:rsid w:val="00ED36F2"/>
    <w:rsid w:val="00ED3785"/>
    <w:rsid w:val="00ED3877"/>
    <w:rsid w:val="00ED38BA"/>
    <w:rsid w:val="00ED38DA"/>
    <w:rsid w:val="00ED38F6"/>
    <w:rsid w:val="00ED394A"/>
    <w:rsid w:val="00ED3A00"/>
    <w:rsid w:val="00ED3A8B"/>
    <w:rsid w:val="00ED3B6C"/>
    <w:rsid w:val="00ED3BEF"/>
    <w:rsid w:val="00ED3C95"/>
    <w:rsid w:val="00ED3CAF"/>
    <w:rsid w:val="00ED3D30"/>
    <w:rsid w:val="00ED3DF3"/>
    <w:rsid w:val="00ED3E0D"/>
    <w:rsid w:val="00ED3E1C"/>
    <w:rsid w:val="00ED3E9D"/>
    <w:rsid w:val="00ED3EEC"/>
    <w:rsid w:val="00ED3F82"/>
    <w:rsid w:val="00ED4043"/>
    <w:rsid w:val="00ED4074"/>
    <w:rsid w:val="00ED40AC"/>
    <w:rsid w:val="00ED4141"/>
    <w:rsid w:val="00ED41DC"/>
    <w:rsid w:val="00ED41DF"/>
    <w:rsid w:val="00ED4246"/>
    <w:rsid w:val="00ED424D"/>
    <w:rsid w:val="00ED4286"/>
    <w:rsid w:val="00ED42F8"/>
    <w:rsid w:val="00ED4354"/>
    <w:rsid w:val="00ED435D"/>
    <w:rsid w:val="00ED4385"/>
    <w:rsid w:val="00ED43C1"/>
    <w:rsid w:val="00ED45A0"/>
    <w:rsid w:val="00ED45B6"/>
    <w:rsid w:val="00ED479E"/>
    <w:rsid w:val="00ED479F"/>
    <w:rsid w:val="00ED47AD"/>
    <w:rsid w:val="00ED47BD"/>
    <w:rsid w:val="00ED47F8"/>
    <w:rsid w:val="00ED4847"/>
    <w:rsid w:val="00ED485C"/>
    <w:rsid w:val="00ED48D4"/>
    <w:rsid w:val="00ED48FC"/>
    <w:rsid w:val="00ED490A"/>
    <w:rsid w:val="00ED4926"/>
    <w:rsid w:val="00ED4935"/>
    <w:rsid w:val="00ED4AED"/>
    <w:rsid w:val="00ED4B5E"/>
    <w:rsid w:val="00ED4B99"/>
    <w:rsid w:val="00ED4C1A"/>
    <w:rsid w:val="00ED4C96"/>
    <w:rsid w:val="00ED4D10"/>
    <w:rsid w:val="00ED4D73"/>
    <w:rsid w:val="00ED4DD5"/>
    <w:rsid w:val="00ED4E68"/>
    <w:rsid w:val="00ED4ECC"/>
    <w:rsid w:val="00ED4F32"/>
    <w:rsid w:val="00ED4F62"/>
    <w:rsid w:val="00ED4F69"/>
    <w:rsid w:val="00ED4F90"/>
    <w:rsid w:val="00ED5055"/>
    <w:rsid w:val="00ED5073"/>
    <w:rsid w:val="00ED511D"/>
    <w:rsid w:val="00ED515C"/>
    <w:rsid w:val="00ED5268"/>
    <w:rsid w:val="00ED528A"/>
    <w:rsid w:val="00ED52BB"/>
    <w:rsid w:val="00ED52C9"/>
    <w:rsid w:val="00ED534E"/>
    <w:rsid w:val="00ED5391"/>
    <w:rsid w:val="00ED53BB"/>
    <w:rsid w:val="00ED5413"/>
    <w:rsid w:val="00ED5434"/>
    <w:rsid w:val="00ED5515"/>
    <w:rsid w:val="00ED555E"/>
    <w:rsid w:val="00ED55B5"/>
    <w:rsid w:val="00ED5753"/>
    <w:rsid w:val="00ED5767"/>
    <w:rsid w:val="00ED5794"/>
    <w:rsid w:val="00ED57BB"/>
    <w:rsid w:val="00ED5844"/>
    <w:rsid w:val="00ED58A8"/>
    <w:rsid w:val="00ED58C7"/>
    <w:rsid w:val="00ED58C9"/>
    <w:rsid w:val="00ED58E3"/>
    <w:rsid w:val="00ED5971"/>
    <w:rsid w:val="00ED5B1A"/>
    <w:rsid w:val="00ED5B1F"/>
    <w:rsid w:val="00ED5B87"/>
    <w:rsid w:val="00ED5B90"/>
    <w:rsid w:val="00ED5BD5"/>
    <w:rsid w:val="00ED5C18"/>
    <w:rsid w:val="00ED5C70"/>
    <w:rsid w:val="00ED5CA0"/>
    <w:rsid w:val="00ED5CAA"/>
    <w:rsid w:val="00ED5D75"/>
    <w:rsid w:val="00ED5D8C"/>
    <w:rsid w:val="00ED5DDB"/>
    <w:rsid w:val="00ED5E3B"/>
    <w:rsid w:val="00ED5E53"/>
    <w:rsid w:val="00ED5EBB"/>
    <w:rsid w:val="00ED5F37"/>
    <w:rsid w:val="00ED601C"/>
    <w:rsid w:val="00ED6093"/>
    <w:rsid w:val="00ED60C7"/>
    <w:rsid w:val="00ED618E"/>
    <w:rsid w:val="00ED624B"/>
    <w:rsid w:val="00ED64D0"/>
    <w:rsid w:val="00ED655C"/>
    <w:rsid w:val="00ED657A"/>
    <w:rsid w:val="00ED65E8"/>
    <w:rsid w:val="00ED664E"/>
    <w:rsid w:val="00ED667A"/>
    <w:rsid w:val="00ED6699"/>
    <w:rsid w:val="00ED66A7"/>
    <w:rsid w:val="00ED6714"/>
    <w:rsid w:val="00ED673F"/>
    <w:rsid w:val="00ED679B"/>
    <w:rsid w:val="00ED67DD"/>
    <w:rsid w:val="00ED6804"/>
    <w:rsid w:val="00ED6815"/>
    <w:rsid w:val="00ED68D5"/>
    <w:rsid w:val="00ED68F6"/>
    <w:rsid w:val="00ED6900"/>
    <w:rsid w:val="00ED6918"/>
    <w:rsid w:val="00ED691B"/>
    <w:rsid w:val="00ED69AD"/>
    <w:rsid w:val="00ED69DA"/>
    <w:rsid w:val="00ED6A18"/>
    <w:rsid w:val="00ED6A20"/>
    <w:rsid w:val="00ED6AF1"/>
    <w:rsid w:val="00ED6B05"/>
    <w:rsid w:val="00ED6B38"/>
    <w:rsid w:val="00ED6B47"/>
    <w:rsid w:val="00ED6B74"/>
    <w:rsid w:val="00ED6BAA"/>
    <w:rsid w:val="00ED6BD9"/>
    <w:rsid w:val="00ED6BED"/>
    <w:rsid w:val="00ED6C1B"/>
    <w:rsid w:val="00ED6C23"/>
    <w:rsid w:val="00ED6C99"/>
    <w:rsid w:val="00ED6CB7"/>
    <w:rsid w:val="00ED6CC2"/>
    <w:rsid w:val="00ED6CFD"/>
    <w:rsid w:val="00ED6D68"/>
    <w:rsid w:val="00ED6DB8"/>
    <w:rsid w:val="00ED6E9D"/>
    <w:rsid w:val="00ED6F03"/>
    <w:rsid w:val="00ED6FB7"/>
    <w:rsid w:val="00ED701D"/>
    <w:rsid w:val="00ED7070"/>
    <w:rsid w:val="00ED714B"/>
    <w:rsid w:val="00ED71E7"/>
    <w:rsid w:val="00ED72B7"/>
    <w:rsid w:val="00ED72E4"/>
    <w:rsid w:val="00ED7310"/>
    <w:rsid w:val="00ED7320"/>
    <w:rsid w:val="00ED732E"/>
    <w:rsid w:val="00ED7353"/>
    <w:rsid w:val="00ED743C"/>
    <w:rsid w:val="00ED7498"/>
    <w:rsid w:val="00ED74C5"/>
    <w:rsid w:val="00ED74C7"/>
    <w:rsid w:val="00ED75EA"/>
    <w:rsid w:val="00ED75F9"/>
    <w:rsid w:val="00ED76DB"/>
    <w:rsid w:val="00ED76EB"/>
    <w:rsid w:val="00ED770A"/>
    <w:rsid w:val="00ED7739"/>
    <w:rsid w:val="00ED77D1"/>
    <w:rsid w:val="00ED791E"/>
    <w:rsid w:val="00ED797D"/>
    <w:rsid w:val="00ED79FC"/>
    <w:rsid w:val="00ED7A36"/>
    <w:rsid w:val="00ED7A3B"/>
    <w:rsid w:val="00ED7A73"/>
    <w:rsid w:val="00ED7AC2"/>
    <w:rsid w:val="00ED7B83"/>
    <w:rsid w:val="00ED7CB8"/>
    <w:rsid w:val="00ED7CE1"/>
    <w:rsid w:val="00ED7D10"/>
    <w:rsid w:val="00ED7DC6"/>
    <w:rsid w:val="00ED7DCC"/>
    <w:rsid w:val="00ED7E52"/>
    <w:rsid w:val="00ED7E5F"/>
    <w:rsid w:val="00ED7E72"/>
    <w:rsid w:val="00ED7E9C"/>
    <w:rsid w:val="00ED7F09"/>
    <w:rsid w:val="00ED7F5C"/>
    <w:rsid w:val="00ED7F5F"/>
    <w:rsid w:val="00ED7FFD"/>
    <w:rsid w:val="00EE008D"/>
    <w:rsid w:val="00EE00B0"/>
    <w:rsid w:val="00EE0106"/>
    <w:rsid w:val="00EE0162"/>
    <w:rsid w:val="00EE016B"/>
    <w:rsid w:val="00EE0170"/>
    <w:rsid w:val="00EE0185"/>
    <w:rsid w:val="00EE019F"/>
    <w:rsid w:val="00EE01CA"/>
    <w:rsid w:val="00EE01DE"/>
    <w:rsid w:val="00EE02F6"/>
    <w:rsid w:val="00EE0366"/>
    <w:rsid w:val="00EE03B0"/>
    <w:rsid w:val="00EE03C0"/>
    <w:rsid w:val="00EE03C5"/>
    <w:rsid w:val="00EE046E"/>
    <w:rsid w:val="00EE05C0"/>
    <w:rsid w:val="00EE05CD"/>
    <w:rsid w:val="00EE05E2"/>
    <w:rsid w:val="00EE05F7"/>
    <w:rsid w:val="00EE0696"/>
    <w:rsid w:val="00EE07BA"/>
    <w:rsid w:val="00EE0806"/>
    <w:rsid w:val="00EE083C"/>
    <w:rsid w:val="00EE087B"/>
    <w:rsid w:val="00EE0A49"/>
    <w:rsid w:val="00EE0BD5"/>
    <w:rsid w:val="00EE0D1B"/>
    <w:rsid w:val="00EE0EE1"/>
    <w:rsid w:val="00EE0F81"/>
    <w:rsid w:val="00EE0FDC"/>
    <w:rsid w:val="00EE0FF1"/>
    <w:rsid w:val="00EE1004"/>
    <w:rsid w:val="00EE100E"/>
    <w:rsid w:val="00EE1010"/>
    <w:rsid w:val="00EE10B5"/>
    <w:rsid w:val="00EE10CB"/>
    <w:rsid w:val="00EE10FB"/>
    <w:rsid w:val="00EE1257"/>
    <w:rsid w:val="00EE1268"/>
    <w:rsid w:val="00EE128F"/>
    <w:rsid w:val="00EE12B6"/>
    <w:rsid w:val="00EE12BD"/>
    <w:rsid w:val="00EE1306"/>
    <w:rsid w:val="00EE13B9"/>
    <w:rsid w:val="00EE13F3"/>
    <w:rsid w:val="00EE15AC"/>
    <w:rsid w:val="00EE160F"/>
    <w:rsid w:val="00EE1636"/>
    <w:rsid w:val="00EE166A"/>
    <w:rsid w:val="00EE168B"/>
    <w:rsid w:val="00EE16C7"/>
    <w:rsid w:val="00EE1700"/>
    <w:rsid w:val="00EE1727"/>
    <w:rsid w:val="00EE1735"/>
    <w:rsid w:val="00EE178A"/>
    <w:rsid w:val="00EE183C"/>
    <w:rsid w:val="00EE1868"/>
    <w:rsid w:val="00EE189B"/>
    <w:rsid w:val="00EE1917"/>
    <w:rsid w:val="00EE1937"/>
    <w:rsid w:val="00EE195E"/>
    <w:rsid w:val="00EE19C0"/>
    <w:rsid w:val="00EE19E1"/>
    <w:rsid w:val="00EE1A52"/>
    <w:rsid w:val="00EE1A5E"/>
    <w:rsid w:val="00EE1A8E"/>
    <w:rsid w:val="00EE1AAA"/>
    <w:rsid w:val="00EE1AAB"/>
    <w:rsid w:val="00EE1B2C"/>
    <w:rsid w:val="00EE1B50"/>
    <w:rsid w:val="00EE1B7E"/>
    <w:rsid w:val="00EE1B87"/>
    <w:rsid w:val="00EE1BA6"/>
    <w:rsid w:val="00EE1BB6"/>
    <w:rsid w:val="00EE1C07"/>
    <w:rsid w:val="00EE1C72"/>
    <w:rsid w:val="00EE1CB2"/>
    <w:rsid w:val="00EE1D9D"/>
    <w:rsid w:val="00EE1DAE"/>
    <w:rsid w:val="00EE1EBC"/>
    <w:rsid w:val="00EE1F2B"/>
    <w:rsid w:val="00EE1F35"/>
    <w:rsid w:val="00EE1FB0"/>
    <w:rsid w:val="00EE200C"/>
    <w:rsid w:val="00EE2043"/>
    <w:rsid w:val="00EE205E"/>
    <w:rsid w:val="00EE207B"/>
    <w:rsid w:val="00EE2118"/>
    <w:rsid w:val="00EE2177"/>
    <w:rsid w:val="00EE21AD"/>
    <w:rsid w:val="00EE2221"/>
    <w:rsid w:val="00EE225F"/>
    <w:rsid w:val="00EE2261"/>
    <w:rsid w:val="00EE22A8"/>
    <w:rsid w:val="00EE22C0"/>
    <w:rsid w:val="00EE22C3"/>
    <w:rsid w:val="00EE2308"/>
    <w:rsid w:val="00EE23F1"/>
    <w:rsid w:val="00EE24D6"/>
    <w:rsid w:val="00EE24F3"/>
    <w:rsid w:val="00EE25B2"/>
    <w:rsid w:val="00EE25D2"/>
    <w:rsid w:val="00EE265C"/>
    <w:rsid w:val="00EE26DE"/>
    <w:rsid w:val="00EE26EC"/>
    <w:rsid w:val="00EE2703"/>
    <w:rsid w:val="00EE2747"/>
    <w:rsid w:val="00EE2788"/>
    <w:rsid w:val="00EE27D2"/>
    <w:rsid w:val="00EE2896"/>
    <w:rsid w:val="00EE28B0"/>
    <w:rsid w:val="00EE28D1"/>
    <w:rsid w:val="00EE28D9"/>
    <w:rsid w:val="00EE28F6"/>
    <w:rsid w:val="00EE2903"/>
    <w:rsid w:val="00EE2989"/>
    <w:rsid w:val="00EE29AF"/>
    <w:rsid w:val="00EE2A25"/>
    <w:rsid w:val="00EE2A36"/>
    <w:rsid w:val="00EE2A44"/>
    <w:rsid w:val="00EE2A55"/>
    <w:rsid w:val="00EE2A6E"/>
    <w:rsid w:val="00EE2B34"/>
    <w:rsid w:val="00EE2B8E"/>
    <w:rsid w:val="00EE2BB4"/>
    <w:rsid w:val="00EE2C0D"/>
    <w:rsid w:val="00EE2CA0"/>
    <w:rsid w:val="00EE2D83"/>
    <w:rsid w:val="00EE2E61"/>
    <w:rsid w:val="00EE2E8F"/>
    <w:rsid w:val="00EE2EC2"/>
    <w:rsid w:val="00EE2EDF"/>
    <w:rsid w:val="00EE2FCB"/>
    <w:rsid w:val="00EE30D2"/>
    <w:rsid w:val="00EE30D5"/>
    <w:rsid w:val="00EE3171"/>
    <w:rsid w:val="00EE31AE"/>
    <w:rsid w:val="00EE31B6"/>
    <w:rsid w:val="00EE31BC"/>
    <w:rsid w:val="00EE32C4"/>
    <w:rsid w:val="00EE3383"/>
    <w:rsid w:val="00EE339C"/>
    <w:rsid w:val="00EE339E"/>
    <w:rsid w:val="00EE33DC"/>
    <w:rsid w:val="00EE340A"/>
    <w:rsid w:val="00EE345B"/>
    <w:rsid w:val="00EE3467"/>
    <w:rsid w:val="00EE34C6"/>
    <w:rsid w:val="00EE34F8"/>
    <w:rsid w:val="00EE354B"/>
    <w:rsid w:val="00EE3566"/>
    <w:rsid w:val="00EE3624"/>
    <w:rsid w:val="00EE36B0"/>
    <w:rsid w:val="00EE371A"/>
    <w:rsid w:val="00EE378F"/>
    <w:rsid w:val="00EE379F"/>
    <w:rsid w:val="00EE37A9"/>
    <w:rsid w:val="00EE3842"/>
    <w:rsid w:val="00EE390B"/>
    <w:rsid w:val="00EE3924"/>
    <w:rsid w:val="00EE3958"/>
    <w:rsid w:val="00EE3984"/>
    <w:rsid w:val="00EE3A00"/>
    <w:rsid w:val="00EE3A68"/>
    <w:rsid w:val="00EE3A83"/>
    <w:rsid w:val="00EE3AA5"/>
    <w:rsid w:val="00EE3ABD"/>
    <w:rsid w:val="00EE3B72"/>
    <w:rsid w:val="00EE3B81"/>
    <w:rsid w:val="00EE3DA3"/>
    <w:rsid w:val="00EE3DB1"/>
    <w:rsid w:val="00EE3E12"/>
    <w:rsid w:val="00EE3E20"/>
    <w:rsid w:val="00EE3E53"/>
    <w:rsid w:val="00EE3E89"/>
    <w:rsid w:val="00EE3EF3"/>
    <w:rsid w:val="00EE3F6F"/>
    <w:rsid w:val="00EE4118"/>
    <w:rsid w:val="00EE41AF"/>
    <w:rsid w:val="00EE41FA"/>
    <w:rsid w:val="00EE429F"/>
    <w:rsid w:val="00EE42E1"/>
    <w:rsid w:val="00EE42E6"/>
    <w:rsid w:val="00EE42F4"/>
    <w:rsid w:val="00EE4302"/>
    <w:rsid w:val="00EE4317"/>
    <w:rsid w:val="00EE439E"/>
    <w:rsid w:val="00EE43C7"/>
    <w:rsid w:val="00EE43EC"/>
    <w:rsid w:val="00EE441F"/>
    <w:rsid w:val="00EE44D6"/>
    <w:rsid w:val="00EE450B"/>
    <w:rsid w:val="00EE45FA"/>
    <w:rsid w:val="00EE4608"/>
    <w:rsid w:val="00EE4616"/>
    <w:rsid w:val="00EE4658"/>
    <w:rsid w:val="00EE46AE"/>
    <w:rsid w:val="00EE472A"/>
    <w:rsid w:val="00EE47C8"/>
    <w:rsid w:val="00EE4863"/>
    <w:rsid w:val="00EE4898"/>
    <w:rsid w:val="00EE48AD"/>
    <w:rsid w:val="00EE4904"/>
    <w:rsid w:val="00EE4918"/>
    <w:rsid w:val="00EE4996"/>
    <w:rsid w:val="00EE49B4"/>
    <w:rsid w:val="00EE4A60"/>
    <w:rsid w:val="00EE4A9E"/>
    <w:rsid w:val="00EE4C15"/>
    <w:rsid w:val="00EE4C8B"/>
    <w:rsid w:val="00EE4CDE"/>
    <w:rsid w:val="00EE4D00"/>
    <w:rsid w:val="00EE4D3B"/>
    <w:rsid w:val="00EE4D3D"/>
    <w:rsid w:val="00EE4DBD"/>
    <w:rsid w:val="00EE4DD8"/>
    <w:rsid w:val="00EE4DE5"/>
    <w:rsid w:val="00EE4E3C"/>
    <w:rsid w:val="00EE4EB2"/>
    <w:rsid w:val="00EE4F23"/>
    <w:rsid w:val="00EE4F31"/>
    <w:rsid w:val="00EE4F82"/>
    <w:rsid w:val="00EE4FB9"/>
    <w:rsid w:val="00EE4FDF"/>
    <w:rsid w:val="00EE504D"/>
    <w:rsid w:val="00EE507D"/>
    <w:rsid w:val="00EE5117"/>
    <w:rsid w:val="00EE5183"/>
    <w:rsid w:val="00EE5189"/>
    <w:rsid w:val="00EE52D9"/>
    <w:rsid w:val="00EE530A"/>
    <w:rsid w:val="00EE5353"/>
    <w:rsid w:val="00EE53C6"/>
    <w:rsid w:val="00EE5432"/>
    <w:rsid w:val="00EE553E"/>
    <w:rsid w:val="00EE554B"/>
    <w:rsid w:val="00EE554D"/>
    <w:rsid w:val="00EE557A"/>
    <w:rsid w:val="00EE55B1"/>
    <w:rsid w:val="00EE5757"/>
    <w:rsid w:val="00EE5795"/>
    <w:rsid w:val="00EE5852"/>
    <w:rsid w:val="00EE5853"/>
    <w:rsid w:val="00EE58A0"/>
    <w:rsid w:val="00EE58B7"/>
    <w:rsid w:val="00EE58CE"/>
    <w:rsid w:val="00EE590C"/>
    <w:rsid w:val="00EE5947"/>
    <w:rsid w:val="00EE599B"/>
    <w:rsid w:val="00EE59AB"/>
    <w:rsid w:val="00EE5AAF"/>
    <w:rsid w:val="00EE5AD5"/>
    <w:rsid w:val="00EE5AE3"/>
    <w:rsid w:val="00EE5AEA"/>
    <w:rsid w:val="00EE5AF8"/>
    <w:rsid w:val="00EE5B24"/>
    <w:rsid w:val="00EE5B8B"/>
    <w:rsid w:val="00EE5BD8"/>
    <w:rsid w:val="00EE5BF7"/>
    <w:rsid w:val="00EE5C3D"/>
    <w:rsid w:val="00EE5C6E"/>
    <w:rsid w:val="00EE5CA5"/>
    <w:rsid w:val="00EE5CB4"/>
    <w:rsid w:val="00EE5D2F"/>
    <w:rsid w:val="00EE5DEA"/>
    <w:rsid w:val="00EE5E22"/>
    <w:rsid w:val="00EE5E2A"/>
    <w:rsid w:val="00EE5E85"/>
    <w:rsid w:val="00EE5E8F"/>
    <w:rsid w:val="00EE5EB1"/>
    <w:rsid w:val="00EE5ED8"/>
    <w:rsid w:val="00EE5EEE"/>
    <w:rsid w:val="00EE5F5F"/>
    <w:rsid w:val="00EE5F83"/>
    <w:rsid w:val="00EE5FB8"/>
    <w:rsid w:val="00EE5FE4"/>
    <w:rsid w:val="00EE6045"/>
    <w:rsid w:val="00EE6185"/>
    <w:rsid w:val="00EE6227"/>
    <w:rsid w:val="00EE6259"/>
    <w:rsid w:val="00EE6270"/>
    <w:rsid w:val="00EE6273"/>
    <w:rsid w:val="00EE643D"/>
    <w:rsid w:val="00EE64E9"/>
    <w:rsid w:val="00EE65C3"/>
    <w:rsid w:val="00EE6655"/>
    <w:rsid w:val="00EE6719"/>
    <w:rsid w:val="00EE6776"/>
    <w:rsid w:val="00EE679F"/>
    <w:rsid w:val="00EE67D9"/>
    <w:rsid w:val="00EE682E"/>
    <w:rsid w:val="00EE6879"/>
    <w:rsid w:val="00EE6892"/>
    <w:rsid w:val="00EE68A0"/>
    <w:rsid w:val="00EE68C7"/>
    <w:rsid w:val="00EE68DD"/>
    <w:rsid w:val="00EE690F"/>
    <w:rsid w:val="00EE6927"/>
    <w:rsid w:val="00EE6928"/>
    <w:rsid w:val="00EE6992"/>
    <w:rsid w:val="00EE6A00"/>
    <w:rsid w:val="00EE6A03"/>
    <w:rsid w:val="00EE6A1B"/>
    <w:rsid w:val="00EE6A38"/>
    <w:rsid w:val="00EE6A46"/>
    <w:rsid w:val="00EE6ADF"/>
    <w:rsid w:val="00EE6AED"/>
    <w:rsid w:val="00EE6B53"/>
    <w:rsid w:val="00EE6B68"/>
    <w:rsid w:val="00EE6BB5"/>
    <w:rsid w:val="00EE6C37"/>
    <w:rsid w:val="00EE6D00"/>
    <w:rsid w:val="00EE6D1B"/>
    <w:rsid w:val="00EE6D79"/>
    <w:rsid w:val="00EE6DA5"/>
    <w:rsid w:val="00EE6DC9"/>
    <w:rsid w:val="00EE6E47"/>
    <w:rsid w:val="00EE6ECD"/>
    <w:rsid w:val="00EE6F1C"/>
    <w:rsid w:val="00EE6F48"/>
    <w:rsid w:val="00EE7007"/>
    <w:rsid w:val="00EE7028"/>
    <w:rsid w:val="00EE7036"/>
    <w:rsid w:val="00EE7102"/>
    <w:rsid w:val="00EE715F"/>
    <w:rsid w:val="00EE717A"/>
    <w:rsid w:val="00EE7180"/>
    <w:rsid w:val="00EE71D0"/>
    <w:rsid w:val="00EE7265"/>
    <w:rsid w:val="00EE726D"/>
    <w:rsid w:val="00EE72B8"/>
    <w:rsid w:val="00EE72E5"/>
    <w:rsid w:val="00EE72F3"/>
    <w:rsid w:val="00EE7478"/>
    <w:rsid w:val="00EE74AF"/>
    <w:rsid w:val="00EE7516"/>
    <w:rsid w:val="00EE752A"/>
    <w:rsid w:val="00EE763F"/>
    <w:rsid w:val="00EE7703"/>
    <w:rsid w:val="00EE7741"/>
    <w:rsid w:val="00EE7830"/>
    <w:rsid w:val="00EE7846"/>
    <w:rsid w:val="00EE7871"/>
    <w:rsid w:val="00EE78C8"/>
    <w:rsid w:val="00EE78D3"/>
    <w:rsid w:val="00EE790F"/>
    <w:rsid w:val="00EE791F"/>
    <w:rsid w:val="00EE79C1"/>
    <w:rsid w:val="00EE79D1"/>
    <w:rsid w:val="00EE7A0E"/>
    <w:rsid w:val="00EE7AAA"/>
    <w:rsid w:val="00EE7ABF"/>
    <w:rsid w:val="00EE7B06"/>
    <w:rsid w:val="00EE7B09"/>
    <w:rsid w:val="00EE7BB4"/>
    <w:rsid w:val="00EE7BD5"/>
    <w:rsid w:val="00EE7C25"/>
    <w:rsid w:val="00EE7C27"/>
    <w:rsid w:val="00EE7C3B"/>
    <w:rsid w:val="00EE7C83"/>
    <w:rsid w:val="00EE7CEA"/>
    <w:rsid w:val="00EE7D3D"/>
    <w:rsid w:val="00EE7D7E"/>
    <w:rsid w:val="00EE7DDA"/>
    <w:rsid w:val="00EE7E06"/>
    <w:rsid w:val="00EE7F26"/>
    <w:rsid w:val="00EE7F80"/>
    <w:rsid w:val="00EE7F92"/>
    <w:rsid w:val="00EF0008"/>
    <w:rsid w:val="00EF001D"/>
    <w:rsid w:val="00EF00BE"/>
    <w:rsid w:val="00EF00E4"/>
    <w:rsid w:val="00EF011F"/>
    <w:rsid w:val="00EF01C9"/>
    <w:rsid w:val="00EF0228"/>
    <w:rsid w:val="00EF02B2"/>
    <w:rsid w:val="00EF033F"/>
    <w:rsid w:val="00EF03BA"/>
    <w:rsid w:val="00EF040A"/>
    <w:rsid w:val="00EF0421"/>
    <w:rsid w:val="00EF0428"/>
    <w:rsid w:val="00EF048B"/>
    <w:rsid w:val="00EF0516"/>
    <w:rsid w:val="00EF0527"/>
    <w:rsid w:val="00EF055B"/>
    <w:rsid w:val="00EF0579"/>
    <w:rsid w:val="00EF05BB"/>
    <w:rsid w:val="00EF05E8"/>
    <w:rsid w:val="00EF0634"/>
    <w:rsid w:val="00EF06A6"/>
    <w:rsid w:val="00EF06DA"/>
    <w:rsid w:val="00EF06F8"/>
    <w:rsid w:val="00EF0773"/>
    <w:rsid w:val="00EF081C"/>
    <w:rsid w:val="00EF08C0"/>
    <w:rsid w:val="00EF08FB"/>
    <w:rsid w:val="00EF090F"/>
    <w:rsid w:val="00EF0927"/>
    <w:rsid w:val="00EF094A"/>
    <w:rsid w:val="00EF0971"/>
    <w:rsid w:val="00EF0A3D"/>
    <w:rsid w:val="00EF0A57"/>
    <w:rsid w:val="00EF0A81"/>
    <w:rsid w:val="00EF0C0B"/>
    <w:rsid w:val="00EF0C2A"/>
    <w:rsid w:val="00EF0C42"/>
    <w:rsid w:val="00EF0C56"/>
    <w:rsid w:val="00EF0C79"/>
    <w:rsid w:val="00EF0DD7"/>
    <w:rsid w:val="00EF0E07"/>
    <w:rsid w:val="00EF0E41"/>
    <w:rsid w:val="00EF0E4B"/>
    <w:rsid w:val="00EF0E81"/>
    <w:rsid w:val="00EF0EDB"/>
    <w:rsid w:val="00EF0F2B"/>
    <w:rsid w:val="00EF0F4E"/>
    <w:rsid w:val="00EF0FB4"/>
    <w:rsid w:val="00EF0FFD"/>
    <w:rsid w:val="00EF1072"/>
    <w:rsid w:val="00EF1096"/>
    <w:rsid w:val="00EF10AA"/>
    <w:rsid w:val="00EF110C"/>
    <w:rsid w:val="00EF113C"/>
    <w:rsid w:val="00EF115C"/>
    <w:rsid w:val="00EF115E"/>
    <w:rsid w:val="00EF1260"/>
    <w:rsid w:val="00EF12E6"/>
    <w:rsid w:val="00EF1302"/>
    <w:rsid w:val="00EF1363"/>
    <w:rsid w:val="00EF14E8"/>
    <w:rsid w:val="00EF157D"/>
    <w:rsid w:val="00EF167D"/>
    <w:rsid w:val="00EF1842"/>
    <w:rsid w:val="00EF18D9"/>
    <w:rsid w:val="00EF1901"/>
    <w:rsid w:val="00EF1916"/>
    <w:rsid w:val="00EF1996"/>
    <w:rsid w:val="00EF19A5"/>
    <w:rsid w:val="00EF1A51"/>
    <w:rsid w:val="00EF1A57"/>
    <w:rsid w:val="00EF1AF7"/>
    <w:rsid w:val="00EF1B46"/>
    <w:rsid w:val="00EF1B69"/>
    <w:rsid w:val="00EF1B75"/>
    <w:rsid w:val="00EF1B8D"/>
    <w:rsid w:val="00EF1BAE"/>
    <w:rsid w:val="00EF1BD2"/>
    <w:rsid w:val="00EF1BF0"/>
    <w:rsid w:val="00EF1CCD"/>
    <w:rsid w:val="00EF1CF1"/>
    <w:rsid w:val="00EF1D76"/>
    <w:rsid w:val="00EF1D9E"/>
    <w:rsid w:val="00EF1E9E"/>
    <w:rsid w:val="00EF1F8C"/>
    <w:rsid w:val="00EF207E"/>
    <w:rsid w:val="00EF20FE"/>
    <w:rsid w:val="00EF21F8"/>
    <w:rsid w:val="00EF2318"/>
    <w:rsid w:val="00EF2412"/>
    <w:rsid w:val="00EF244B"/>
    <w:rsid w:val="00EF24AE"/>
    <w:rsid w:val="00EF2578"/>
    <w:rsid w:val="00EF257E"/>
    <w:rsid w:val="00EF2585"/>
    <w:rsid w:val="00EF2599"/>
    <w:rsid w:val="00EF2622"/>
    <w:rsid w:val="00EF275C"/>
    <w:rsid w:val="00EF2792"/>
    <w:rsid w:val="00EF2795"/>
    <w:rsid w:val="00EF27A7"/>
    <w:rsid w:val="00EF27BC"/>
    <w:rsid w:val="00EF27CF"/>
    <w:rsid w:val="00EF2829"/>
    <w:rsid w:val="00EF2854"/>
    <w:rsid w:val="00EF2877"/>
    <w:rsid w:val="00EF28CF"/>
    <w:rsid w:val="00EF28EE"/>
    <w:rsid w:val="00EF28F5"/>
    <w:rsid w:val="00EF2923"/>
    <w:rsid w:val="00EF292B"/>
    <w:rsid w:val="00EF2967"/>
    <w:rsid w:val="00EF2978"/>
    <w:rsid w:val="00EF29CD"/>
    <w:rsid w:val="00EF2A6F"/>
    <w:rsid w:val="00EF2ABA"/>
    <w:rsid w:val="00EF2B55"/>
    <w:rsid w:val="00EF2B5F"/>
    <w:rsid w:val="00EF2B6D"/>
    <w:rsid w:val="00EF2BE1"/>
    <w:rsid w:val="00EF2C04"/>
    <w:rsid w:val="00EF2CB6"/>
    <w:rsid w:val="00EF2D26"/>
    <w:rsid w:val="00EF2E32"/>
    <w:rsid w:val="00EF2E59"/>
    <w:rsid w:val="00EF2E7A"/>
    <w:rsid w:val="00EF2E97"/>
    <w:rsid w:val="00EF2E99"/>
    <w:rsid w:val="00EF2F5A"/>
    <w:rsid w:val="00EF3047"/>
    <w:rsid w:val="00EF308C"/>
    <w:rsid w:val="00EF3247"/>
    <w:rsid w:val="00EF326D"/>
    <w:rsid w:val="00EF33FF"/>
    <w:rsid w:val="00EF3487"/>
    <w:rsid w:val="00EF3497"/>
    <w:rsid w:val="00EF34A3"/>
    <w:rsid w:val="00EF34F9"/>
    <w:rsid w:val="00EF3505"/>
    <w:rsid w:val="00EF3552"/>
    <w:rsid w:val="00EF3561"/>
    <w:rsid w:val="00EF357A"/>
    <w:rsid w:val="00EF358D"/>
    <w:rsid w:val="00EF36E9"/>
    <w:rsid w:val="00EF39DB"/>
    <w:rsid w:val="00EF39ED"/>
    <w:rsid w:val="00EF3A2F"/>
    <w:rsid w:val="00EF3A4B"/>
    <w:rsid w:val="00EF3A5E"/>
    <w:rsid w:val="00EF3B10"/>
    <w:rsid w:val="00EF3B19"/>
    <w:rsid w:val="00EF3C02"/>
    <w:rsid w:val="00EF3C4F"/>
    <w:rsid w:val="00EF3D86"/>
    <w:rsid w:val="00EF3D98"/>
    <w:rsid w:val="00EF3DAB"/>
    <w:rsid w:val="00EF3DD1"/>
    <w:rsid w:val="00EF3E07"/>
    <w:rsid w:val="00EF3E66"/>
    <w:rsid w:val="00EF3E6B"/>
    <w:rsid w:val="00EF3EB7"/>
    <w:rsid w:val="00EF3EEF"/>
    <w:rsid w:val="00EF3FB0"/>
    <w:rsid w:val="00EF3FC1"/>
    <w:rsid w:val="00EF3FE7"/>
    <w:rsid w:val="00EF407C"/>
    <w:rsid w:val="00EF40D0"/>
    <w:rsid w:val="00EF4156"/>
    <w:rsid w:val="00EF415A"/>
    <w:rsid w:val="00EF419A"/>
    <w:rsid w:val="00EF41C7"/>
    <w:rsid w:val="00EF427A"/>
    <w:rsid w:val="00EF43DF"/>
    <w:rsid w:val="00EF4433"/>
    <w:rsid w:val="00EF44B5"/>
    <w:rsid w:val="00EF44E8"/>
    <w:rsid w:val="00EF4592"/>
    <w:rsid w:val="00EF45BE"/>
    <w:rsid w:val="00EF460C"/>
    <w:rsid w:val="00EF4657"/>
    <w:rsid w:val="00EF466B"/>
    <w:rsid w:val="00EF466C"/>
    <w:rsid w:val="00EF468E"/>
    <w:rsid w:val="00EF4693"/>
    <w:rsid w:val="00EF46CC"/>
    <w:rsid w:val="00EF46E5"/>
    <w:rsid w:val="00EF4726"/>
    <w:rsid w:val="00EF47A1"/>
    <w:rsid w:val="00EF47E2"/>
    <w:rsid w:val="00EF47EA"/>
    <w:rsid w:val="00EF4836"/>
    <w:rsid w:val="00EF4873"/>
    <w:rsid w:val="00EF48FA"/>
    <w:rsid w:val="00EF4937"/>
    <w:rsid w:val="00EF4989"/>
    <w:rsid w:val="00EF49EC"/>
    <w:rsid w:val="00EF49EF"/>
    <w:rsid w:val="00EF4A3A"/>
    <w:rsid w:val="00EF4A75"/>
    <w:rsid w:val="00EF4A96"/>
    <w:rsid w:val="00EF4AB3"/>
    <w:rsid w:val="00EF4AB8"/>
    <w:rsid w:val="00EF4B23"/>
    <w:rsid w:val="00EF4B7F"/>
    <w:rsid w:val="00EF4C0B"/>
    <w:rsid w:val="00EF4C30"/>
    <w:rsid w:val="00EF4C48"/>
    <w:rsid w:val="00EF4C69"/>
    <w:rsid w:val="00EF4CB3"/>
    <w:rsid w:val="00EF4CF1"/>
    <w:rsid w:val="00EF4D29"/>
    <w:rsid w:val="00EF4D2B"/>
    <w:rsid w:val="00EF4D3B"/>
    <w:rsid w:val="00EF4D6F"/>
    <w:rsid w:val="00EF4D92"/>
    <w:rsid w:val="00EF4E44"/>
    <w:rsid w:val="00EF4EBC"/>
    <w:rsid w:val="00EF4ED1"/>
    <w:rsid w:val="00EF4F07"/>
    <w:rsid w:val="00EF4F27"/>
    <w:rsid w:val="00EF4F46"/>
    <w:rsid w:val="00EF4FF2"/>
    <w:rsid w:val="00EF505E"/>
    <w:rsid w:val="00EF5078"/>
    <w:rsid w:val="00EF508A"/>
    <w:rsid w:val="00EF50D0"/>
    <w:rsid w:val="00EF50F4"/>
    <w:rsid w:val="00EF5153"/>
    <w:rsid w:val="00EF5166"/>
    <w:rsid w:val="00EF51CC"/>
    <w:rsid w:val="00EF51D7"/>
    <w:rsid w:val="00EF5322"/>
    <w:rsid w:val="00EF533B"/>
    <w:rsid w:val="00EF5355"/>
    <w:rsid w:val="00EF536F"/>
    <w:rsid w:val="00EF53D6"/>
    <w:rsid w:val="00EF5473"/>
    <w:rsid w:val="00EF54AE"/>
    <w:rsid w:val="00EF55A9"/>
    <w:rsid w:val="00EF5709"/>
    <w:rsid w:val="00EF571A"/>
    <w:rsid w:val="00EF5739"/>
    <w:rsid w:val="00EF57E2"/>
    <w:rsid w:val="00EF5872"/>
    <w:rsid w:val="00EF58A1"/>
    <w:rsid w:val="00EF58DA"/>
    <w:rsid w:val="00EF58DE"/>
    <w:rsid w:val="00EF590A"/>
    <w:rsid w:val="00EF5997"/>
    <w:rsid w:val="00EF599E"/>
    <w:rsid w:val="00EF59AE"/>
    <w:rsid w:val="00EF5B43"/>
    <w:rsid w:val="00EF5B54"/>
    <w:rsid w:val="00EF5BE2"/>
    <w:rsid w:val="00EF5BFD"/>
    <w:rsid w:val="00EF5C8B"/>
    <w:rsid w:val="00EF5DC2"/>
    <w:rsid w:val="00EF5E9C"/>
    <w:rsid w:val="00EF5F68"/>
    <w:rsid w:val="00EF5F9F"/>
    <w:rsid w:val="00EF5FF4"/>
    <w:rsid w:val="00EF6090"/>
    <w:rsid w:val="00EF60A0"/>
    <w:rsid w:val="00EF610F"/>
    <w:rsid w:val="00EF6136"/>
    <w:rsid w:val="00EF617E"/>
    <w:rsid w:val="00EF62A2"/>
    <w:rsid w:val="00EF62C2"/>
    <w:rsid w:val="00EF62E3"/>
    <w:rsid w:val="00EF62EA"/>
    <w:rsid w:val="00EF6344"/>
    <w:rsid w:val="00EF6386"/>
    <w:rsid w:val="00EF63B0"/>
    <w:rsid w:val="00EF6481"/>
    <w:rsid w:val="00EF64BB"/>
    <w:rsid w:val="00EF64FE"/>
    <w:rsid w:val="00EF651B"/>
    <w:rsid w:val="00EF6528"/>
    <w:rsid w:val="00EF65C6"/>
    <w:rsid w:val="00EF6623"/>
    <w:rsid w:val="00EF663E"/>
    <w:rsid w:val="00EF6663"/>
    <w:rsid w:val="00EF6669"/>
    <w:rsid w:val="00EF66BA"/>
    <w:rsid w:val="00EF66F4"/>
    <w:rsid w:val="00EF68F9"/>
    <w:rsid w:val="00EF6958"/>
    <w:rsid w:val="00EF698E"/>
    <w:rsid w:val="00EF699C"/>
    <w:rsid w:val="00EF6A0C"/>
    <w:rsid w:val="00EF6AD9"/>
    <w:rsid w:val="00EF6B09"/>
    <w:rsid w:val="00EF6B6B"/>
    <w:rsid w:val="00EF6B84"/>
    <w:rsid w:val="00EF6B9D"/>
    <w:rsid w:val="00EF6BC8"/>
    <w:rsid w:val="00EF6BE3"/>
    <w:rsid w:val="00EF6BFB"/>
    <w:rsid w:val="00EF6C1E"/>
    <w:rsid w:val="00EF6C64"/>
    <w:rsid w:val="00EF6C74"/>
    <w:rsid w:val="00EF6CC8"/>
    <w:rsid w:val="00EF6D64"/>
    <w:rsid w:val="00EF6D7B"/>
    <w:rsid w:val="00EF6DF3"/>
    <w:rsid w:val="00EF6E7B"/>
    <w:rsid w:val="00EF6E7C"/>
    <w:rsid w:val="00EF6E8C"/>
    <w:rsid w:val="00EF6EB7"/>
    <w:rsid w:val="00EF6FB6"/>
    <w:rsid w:val="00EF704A"/>
    <w:rsid w:val="00EF709C"/>
    <w:rsid w:val="00EF7101"/>
    <w:rsid w:val="00EF71FA"/>
    <w:rsid w:val="00EF71FF"/>
    <w:rsid w:val="00EF723C"/>
    <w:rsid w:val="00EF72A1"/>
    <w:rsid w:val="00EF7353"/>
    <w:rsid w:val="00EF7374"/>
    <w:rsid w:val="00EF73C6"/>
    <w:rsid w:val="00EF7406"/>
    <w:rsid w:val="00EF755E"/>
    <w:rsid w:val="00EF75C2"/>
    <w:rsid w:val="00EF7600"/>
    <w:rsid w:val="00EF7646"/>
    <w:rsid w:val="00EF7679"/>
    <w:rsid w:val="00EF771D"/>
    <w:rsid w:val="00EF773D"/>
    <w:rsid w:val="00EF775D"/>
    <w:rsid w:val="00EF77E4"/>
    <w:rsid w:val="00EF7800"/>
    <w:rsid w:val="00EF7806"/>
    <w:rsid w:val="00EF7807"/>
    <w:rsid w:val="00EF7842"/>
    <w:rsid w:val="00EF7856"/>
    <w:rsid w:val="00EF787D"/>
    <w:rsid w:val="00EF7894"/>
    <w:rsid w:val="00EF78CC"/>
    <w:rsid w:val="00EF78DB"/>
    <w:rsid w:val="00EF78E2"/>
    <w:rsid w:val="00EF78E4"/>
    <w:rsid w:val="00EF7900"/>
    <w:rsid w:val="00EF794B"/>
    <w:rsid w:val="00EF79A1"/>
    <w:rsid w:val="00EF7A06"/>
    <w:rsid w:val="00EF7A49"/>
    <w:rsid w:val="00EF7A7E"/>
    <w:rsid w:val="00EF7AC3"/>
    <w:rsid w:val="00EF7AFB"/>
    <w:rsid w:val="00EF7B8D"/>
    <w:rsid w:val="00EF7C67"/>
    <w:rsid w:val="00EF7D19"/>
    <w:rsid w:val="00EF7D67"/>
    <w:rsid w:val="00EF7D6F"/>
    <w:rsid w:val="00EF7E89"/>
    <w:rsid w:val="00EF7EB7"/>
    <w:rsid w:val="00EF7EC7"/>
    <w:rsid w:val="00EF7F86"/>
    <w:rsid w:val="00EF7FD7"/>
    <w:rsid w:val="00F000E8"/>
    <w:rsid w:val="00F0011C"/>
    <w:rsid w:val="00F00137"/>
    <w:rsid w:val="00F001BF"/>
    <w:rsid w:val="00F001EC"/>
    <w:rsid w:val="00F00207"/>
    <w:rsid w:val="00F00268"/>
    <w:rsid w:val="00F00286"/>
    <w:rsid w:val="00F002BF"/>
    <w:rsid w:val="00F002E5"/>
    <w:rsid w:val="00F00336"/>
    <w:rsid w:val="00F0033D"/>
    <w:rsid w:val="00F00345"/>
    <w:rsid w:val="00F0034C"/>
    <w:rsid w:val="00F00378"/>
    <w:rsid w:val="00F00391"/>
    <w:rsid w:val="00F003CA"/>
    <w:rsid w:val="00F0045D"/>
    <w:rsid w:val="00F00479"/>
    <w:rsid w:val="00F004DC"/>
    <w:rsid w:val="00F004EB"/>
    <w:rsid w:val="00F004F3"/>
    <w:rsid w:val="00F00535"/>
    <w:rsid w:val="00F005ED"/>
    <w:rsid w:val="00F00610"/>
    <w:rsid w:val="00F00633"/>
    <w:rsid w:val="00F00647"/>
    <w:rsid w:val="00F0064D"/>
    <w:rsid w:val="00F0066D"/>
    <w:rsid w:val="00F006D8"/>
    <w:rsid w:val="00F00793"/>
    <w:rsid w:val="00F007A7"/>
    <w:rsid w:val="00F0080D"/>
    <w:rsid w:val="00F00844"/>
    <w:rsid w:val="00F008A1"/>
    <w:rsid w:val="00F00934"/>
    <w:rsid w:val="00F00987"/>
    <w:rsid w:val="00F009E7"/>
    <w:rsid w:val="00F00A57"/>
    <w:rsid w:val="00F00A88"/>
    <w:rsid w:val="00F00A9A"/>
    <w:rsid w:val="00F00B31"/>
    <w:rsid w:val="00F00B45"/>
    <w:rsid w:val="00F00B6E"/>
    <w:rsid w:val="00F00B92"/>
    <w:rsid w:val="00F00BC2"/>
    <w:rsid w:val="00F00BD0"/>
    <w:rsid w:val="00F00C01"/>
    <w:rsid w:val="00F00C06"/>
    <w:rsid w:val="00F00C3C"/>
    <w:rsid w:val="00F00C9A"/>
    <w:rsid w:val="00F00D22"/>
    <w:rsid w:val="00F00D37"/>
    <w:rsid w:val="00F00DD7"/>
    <w:rsid w:val="00F00DEC"/>
    <w:rsid w:val="00F00E76"/>
    <w:rsid w:val="00F00E78"/>
    <w:rsid w:val="00F00EBF"/>
    <w:rsid w:val="00F00F25"/>
    <w:rsid w:val="00F00F45"/>
    <w:rsid w:val="00F00F7F"/>
    <w:rsid w:val="00F01009"/>
    <w:rsid w:val="00F01045"/>
    <w:rsid w:val="00F010CB"/>
    <w:rsid w:val="00F0112A"/>
    <w:rsid w:val="00F01134"/>
    <w:rsid w:val="00F0113A"/>
    <w:rsid w:val="00F01160"/>
    <w:rsid w:val="00F01176"/>
    <w:rsid w:val="00F011CD"/>
    <w:rsid w:val="00F011EE"/>
    <w:rsid w:val="00F0131F"/>
    <w:rsid w:val="00F01326"/>
    <w:rsid w:val="00F01332"/>
    <w:rsid w:val="00F0136D"/>
    <w:rsid w:val="00F01381"/>
    <w:rsid w:val="00F013C5"/>
    <w:rsid w:val="00F0142F"/>
    <w:rsid w:val="00F0143A"/>
    <w:rsid w:val="00F0147E"/>
    <w:rsid w:val="00F014D0"/>
    <w:rsid w:val="00F014D8"/>
    <w:rsid w:val="00F01641"/>
    <w:rsid w:val="00F01729"/>
    <w:rsid w:val="00F017BC"/>
    <w:rsid w:val="00F017DB"/>
    <w:rsid w:val="00F0182E"/>
    <w:rsid w:val="00F0189A"/>
    <w:rsid w:val="00F018C1"/>
    <w:rsid w:val="00F018EA"/>
    <w:rsid w:val="00F01A37"/>
    <w:rsid w:val="00F01A52"/>
    <w:rsid w:val="00F01B1C"/>
    <w:rsid w:val="00F01BC3"/>
    <w:rsid w:val="00F01C24"/>
    <w:rsid w:val="00F01C46"/>
    <w:rsid w:val="00F01DB2"/>
    <w:rsid w:val="00F01E23"/>
    <w:rsid w:val="00F01E38"/>
    <w:rsid w:val="00F01E4C"/>
    <w:rsid w:val="00F01E9D"/>
    <w:rsid w:val="00F01F60"/>
    <w:rsid w:val="00F01FBA"/>
    <w:rsid w:val="00F01FEF"/>
    <w:rsid w:val="00F01FF3"/>
    <w:rsid w:val="00F0207D"/>
    <w:rsid w:val="00F02081"/>
    <w:rsid w:val="00F02087"/>
    <w:rsid w:val="00F020B8"/>
    <w:rsid w:val="00F020EF"/>
    <w:rsid w:val="00F02114"/>
    <w:rsid w:val="00F02170"/>
    <w:rsid w:val="00F021D0"/>
    <w:rsid w:val="00F021EA"/>
    <w:rsid w:val="00F022A5"/>
    <w:rsid w:val="00F022E6"/>
    <w:rsid w:val="00F022F6"/>
    <w:rsid w:val="00F022F9"/>
    <w:rsid w:val="00F0231C"/>
    <w:rsid w:val="00F0232C"/>
    <w:rsid w:val="00F0234C"/>
    <w:rsid w:val="00F02367"/>
    <w:rsid w:val="00F0237E"/>
    <w:rsid w:val="00F023A2"/>
    <w:rsid w:val="00F023C1"/>
    <w:rsid w:val="00F023E8"/>
    <w:rsid w:val="00F02408"/>
    <w:rsid w:val="00F02414"/>
    <w:rsid w:val="00F02468"/>
    <w:rsid w:val="00F0248B"/>
    <w:rsid w:val="00F02548"/>
    <w:rsid w:val="00F025D8"/>
    <w:rsid w:val="00F025E0"/>
    <w:rsid w:val="00F02688"/>
    <w:rsid w:val="00F026BC"/>
    <w:rsid w:val="00F0277F"/>
    <w:rsid w:val="00F027CB"/>
    <w:rsid w:val="00F027D7"/>
    <w:rsid w:val="00F027F1"/>
    <w:rsid w:val="00F02854"/>
    <w:rsid w:val="00F02866"/>
    <w:rsid w:val="00F0286A"/>
    <w:rsid w:val="00F028D7"/>
    <w:rsid w:val="00F029C8"/>
    <w:rsid w:val="00F02A46"/>
    <w:rsid w:val="00F02A47"/>
    <w:rsid w:val="00F02A71"/>
    <w:rsid w:val="00F02AD0"/>
    <w:rsid w:val="00F02B11"/>
    <w:rsid w:val="00F02B99"/>
    <w:rsid w:val="00F02BA5"/>
    <w:rsid w:val="00F02C85"/>
    <w:rsid w:val="00F02D1E"/>
    <w:rsid w:val="00F02D95"/>
    <w:rsid w:val="00F02DE8"/>
    <w:rsid w:val="00F02E01"/>
    <w:rsid w:val="00F02EE4"/>
    <w:rsid w:val="00F02F59"/>
    <w:rsid w:val="00F02F8F"/>
    <w:rsid w:val="00F02FFA"/>
    <w:rsid w:val="00F0300E"/>
    <w:rsid w:val="00F03071"/>
    <w:rsid w:val="00F03094"/>
    <w:rsid w:val="00F030A3"/>
    <w:rsid w:val="00F030AD"/>
    <w:rsid w:val="00F03139"/>
    <w:rsid w:val="00F0315E"/>
    <w:rsid w:val="00F031E3"/>
    <w:rsid w:val="00F0321C"/>
    <w:rsid w:val="00F03264"/>
    <w:rsid w:val="00F032C0"/>
    <w:rsid w:val="00F032D5"/>
    <w:rsid w:val="00F03318"/>
    <w:rsid w:val="00F03322"/>
    <w:rsid w:val="00F03385"/>
    <w:rsid w:val="00F03399"/>
    <w:rsid w:val="00F03458"/>
    <w:rsid w:val="00F0349F"/>
    <w:rsid w:val="00F034A8"/>
    <w:rsid w:val="00F034BC"/>
    <w:rsid w:val="00F03540"/>
    <w:rsid w:val="00F03546"/>
    <w:rsid w:val="00F03572"/>
    <w:rsid w:val="00F035AC"/>
    <w:rsid w:val="00F035E0"/>
    <w:rsid w:val="00F035FF"/>
    <w:rsid w:val="00F03619"/>
    <w:rsid w:val="00F036B4"/>
    <w:rsid w:val="00F0372F"/>
    <w:rsid w:val="00F0375F"/>
    <w:rsid w:val="00F03785"/>
    <w:rsid w:val="00F0388A"/>
    <w:rsid w:val="00F038B3"/>
    <w:rsid w:val="00F038F5"/>
    <w:rsid w:val="00F03988"/>
    <w:rsid w:val="00F039AD"/>
    <w:rsid w:val="00F03A2A"/>
    <w:rsid w:val="00F03A44"/>
    <w:rsid w:val="00F03A79"/>
    <w:rsid w:val="00F03AE5"/>
    <w:rsid w:val="00F03B83"/>
    <w:rsid w:val="00F03B9C"/>
    <w:rsid w:val="00F03BA2"/>
    <w:rsid w:val="00F03BC8"/>
    <w:rsid w:val="00F03BE6"/>
    <w:rsid w:val="00F03C10"/>
    <w:rsid w:val="00F03C49"/>
    <w:rsid w:val="00F03D1E"/>
    <w:rsid w:val="00F03D40"/>
    <w:rsid w:val="00F03D4C"/>
    <w:rsid w:val="00F03D7B"/>
    <w:rsid w:val="00F03DF3"/>
    <w:rsid w:val="00F03E6A"/>
    <w:rsid w:val="00F03ECD"/>
    <w:rsid w:val="00F03EFB"/>
    <w:rsid w:val="00F03F08"/>
    <w:rsid w:val="00F03FC5"/>
    <w:rsid w:val="00F0415E"/>
    <w:rsid w:val="00F04265"/>
    <w:rsid w:val="00F04266"/>
    <w:rsid w:val="00F042AA"/>
    <w:rsid w:val="00F042B9"/>
    <w:rsid w:val="00F042CC"/>
    <w:rsid w:val="00F043F3"/>
    <w:rsid w:val="00F04407"/>
    <w:rsid w:val="00F044A2"/>
    <w:rsid w:val="00F04583"/>
    <w:rsid w:val="00F045AB"/>
    <w:rsid w:val="00F045D9"/>
    <w:rsid w:val="00F04618"/>
    <w:rsid w:val="00F046A4"/>
    <w:rsid w:val="00F04749"/>
    <w:rsid w:val="00F04763"/>
    <w:rsid w:val="00F04838"/>
    <w:rsid w:val="00F0485C"/>
    <w:rsid w:val="00F048A2"/>
    <w:rsid w:val="00F048D0"/>
    <w:rsid w:val="00F048F1"/>
    <w:rsid w:val="00F04980"/>
    <w:rsid w:val="00F04989"/>
    <w:rsid w:val="00F04A02"/>
    <w:rsid w:val="00F04A15"/>
    <w:rsid w:val="00F04A38"/>
    <w:rsid w:val="00F04AD0"/>
    <w:rsid w:val="00F04AD3"/>
    <w:rsid w:val="00F04B80"/>
    <w:rsid w:val="00F04BFA"/>
    <w:rsid w:val="00F04C70"/>
    <w:rsid w:val="00F04D68"/>
    <w:rsid w:val="00F04DC6"/>
    <w:rsid w:val="00F04DEF"/>
    <w:rsid w:val="00F04E03"/>
    <w:rsid w:val="00F04F27"/>
    <w:rsid w:val="00F04F7C"/>
    <w:rsid w:val="00F04F9B"/>
    <w:rsid w:val="00F04FA5"/>
    <w:rsid w:val="00F05057"/>
    <w:rsid w:val="00F0508B"/>
    <w:rsid w:val="00F050D5"/>
    <w:rsid w:val="00F050D7"/>
    <w:rsid w:val="00F051F1"/>
    <w:rsid w:val="00F0523F"/>
    <w:rsid w:val="00F05247"/>
    <w:rsid w:val="00F05268"/>
    <w:rsid w:val="00F052B1"/>
    <w:rsid w:val="00F052BD"/>
    <w:rsid w:val="00F052C2"/>
    <w:rsid w:val="00F0536F"/>
    <w:rsid w:val="00F0544E"/>
    <w:rsid w:val="00F0545A"/>
    <w:rsid w:val="00F05464"/>
    <w:rsid w:val="00F054C7"/>
    <w:rsid w:val="00F054C9"/>
    <w:rsid w:val="00F05588"/>
    <w:rsid w:val="00F055B1"/>
    <w:rsid w:val="00F05601"/>
    <w:rsid w:val="00F0567E"/>
    <w:rsid w:val="00F05857"/>
    <w:rsid w:val="00F059A1"/>
    <w:rsid w:val="00F05A7D"/>
    <w:rsid w:val="00F05AB5"/>
    <w:rsid w:val="00F05C65"/>
    <w:rsid w:val="00F05D71"/>
    <w:rsid w:val="00F05DA0"/>
    <w:rsid w:val="00F05DEA"/>
    <w:rsid w:val="00F05E13"/>
    <w:rsid w:val="00F05E89"/>
    <w:rsid w:val="00F05EAE"/>
    <w:rsid w:val="00F05EBE"/>
    <w:rsid w:val="00F05F42"/>
    <w:rsid w:val="00F05F93"/>
    <w:rsid w:val="00F06035"/>
    <w:rsid w:val="00F060C3"/>
    <w:rsid w:val="00F060E9"/>
    <w:rsid w:val="00F06173"/>
    <w:rsid w:val="00F0623B"/>
    <w:rsid w:val="00F0624C"/>
    <w:rsid w:val="00F06258"/>
    <w:rsid w:val="00F0635E"/>
    <w:rsid w:val="00F0636E"/>
    <w:rsid w:val="00F06428"/>
    <w:rsid w:val="00F0643D"/>
    <w:rsid w:val="00F064B8"/>
    <w:rsid w:val="00F06531"/>
    <w:rsid w:val="00F065CA"/>
    <w:rsid w:val="00F06605"/>
    <w:rsid w:val="00F0661B"/>
    <w:rsid w:val="00F06631"/>
    <w:rsid w:val="00F0665B"/>
    <w:rsid w:val="00F06787"/>
    <w:rsid w:val="00F067E6"/>
    <w:rsid w:val="00F06807"/>
    <w:rsid w:val="00F06830"/>
    <w:rsid w:val="00F06846"/>
    <w:rsid w:val="00F0685C"/>
    <w:rsid w:val="00F068AD"/>
    <w:rsid w:val="00F0690D"/>
    <w:rsid w:val="00F06954"/>
    <w:rsid w:val="00F06960"/>
    <w:rsid w:val="00F069D2"/>
    <w:rsid w:val="00F06AF8"/>
    <w:rsid w:val="00F06B9F"/>
    <w:rsid w:val="00F06C9D"/>
    <w:rsid w:val="00F06C9E"/>
    <w:rsid w:val="00F06D17"/>
    <w:rsid w:val="00F06D24"/>
    <w:rsid w:val="00F06D32"/>
    <w:rsid w:val="00F06D3C"/>
    <w:rsid w:val="00F06D46"/>
    <w:rsid w:val="00F06D53"/>
    <w:rsid w:val="00F06DE8"/>
    <w:rsid w:val="00F06E17"/>
    <w:rsid w:val="00F06E4E"/>
    <w:rsid w:val="00F06E8C"/>
    <w:rsid w:val="00F06F41"/>
    <w:rsid w:val="00F06FCE"/>
    <w:rsid w:val="00F06FF6"/>
    <w:rsid w:val="00F0706E"/>
    <w:rsid w:val="00F070D9"/>
    <w:rsid w:val="00F070DA"/>
    <w:rsid w:val="00F07142"/>
    <w:rsid w:val="00F071B5"/>
    <w:rsid w:val="00F071D3"/>
    <w:rsid w:val="00F07225"/>
    <w:rsid w:val="00F07255"/>
    <w:rsid w:val="00F07277"/>
    <w:rsid w:val="00F072B1"/>
    <w:rsid w:val="00F0733A"/>
    <w:rsid w:val="00F073C4"/>
    <w:rsid w:val="00F073DA"/>
    <w:rsid w:val="00F07424"/>
    <w:rsid w:val="00F07455"/>
    <w:rsid w:val="00F0745E"/>
    <w:rsid w:val="00F074E2"/>
    <w:rsid w:val="00F07517"/>
    <w:rsid w:val="00F0754E"/>
    <w:rsid w:val="00F0755B"/>
    <w:rsid w:val="00F07578"/>
    <w:rsid w:val="00F075A9"/>
    <w:rsid w:val="00F075CC"/>
    <w:rsid w:val="00F07612"/>
    <w:rsid w:val="00F076A2"/>
    <w:rsid w:val="00F07735"/>
    <w:rsid w:val="00F0775D"/>
    <w:rsid w:val="00F077A4"/>
    <w:rsid w:val="00F077A6"/>
    <w:rsid w:val="00F07833"/>
    <w:rsid w:val="00F078DD"/>
    <w:rsid w:val="00F07928"/>
    <w:rsid w:val="00F0799F"/>
    <w:rsid w:val="00F07A11"/>
    <w:rsid w:val="00F07A4B"/>
    <w:rsid w:val="00F07A8B"/>
    <w:rsid w:val="00F07AF1"/>
    <w:rsid w:val="00F07B50"/>
    <w:rsid w:val="00F07B87"/>
    <w:rsid w:val="00F07BBB"/>
    <w:rsid w:val="00F07BC4"/>
    <w:rsid w:val="00F07C37"/>
    <w:rsid w:val="00F07C74"/>
    <w:rsid w:val="00F07C85"/>
    <w:rsid w:val="00F07CB4"/>
    <w:rsid w:val="00F07D0E"/>
    <w:rsid w:val="00F07D3F"/>
    <w:rsid w:val="00F07DB6"/>
    <w:rsid w:val="00F07DC9"/>
    <w:rsid w:val="00F07E50"/>
    <w:rsid w:val="00F07ECB"/>
    <w:rsid w:val="00F07F02"/>
    <w:rsid w:val="00F07F20"/>
    <w:rsid w:val="00F07FE1"/>
    <w:rsid w:val="00F1003D"/>
    <w:rsid w:val="00F1003E"/>
    <w:rsid w:val="00F1016A"/>
    <w:rsid w:val="00F10215"/>
    <w:rsid w:val="00F10264"/>
    <w:rsid w:val="00F10327"/>
    <w:rsid w:val="00F1034B"/>
    <w:rsid w:val="00F103CC"/>
    <w:rsid w:val="00F10472"/>
    <w:rsid w:val="00F104C6"/>
    <w:rsid w:val="00F1051B"/>
    <w:rsid w:val="00F1057C"/>
    <w:rsid w:val="00F1058E"/>
    <w:rsid w:val="00F1059A"/>
    <w:rsid w:val="00F10639"/>
    <w:rsid w:val="00F106B0"/>
    <w:rsid w:val="00F1071D"/>
    <w:rsid w:val="00F1076E"/>
    <w:rsid w:val="00F10802"/>
    <w:rsid w:val="00F10862"/>
    <w:rsid w:val="00F1087A"/>
    <w:rsid w:val="00F108EA"/>
    <w:rsid w:val="00F1096C"/>
    <w:rsid w:val="00F109C2"/>
    <w:rsid w:val="00F109CC"/>
    <w:rsid w:val="00F10A3B"/>
    <w:rsid w:val="00F10ADF"/>
    <w:rsid w:val="00F10AF1"/>
    <w:rsid w:val="00F10B00"/>
    <w:rsid w:val="00F10B07"/>
    <w:rsid w:val="00F10BB9"/>
    <w:rsid w:val="00F10BCF"/>
    <w:rsid w:val="00F10C1C"/>
    <w:rsid w:val="00F10C4D"/>
    <w:rsid w:val="00F10CF9"/>
    <w:rsid w:val="00F10D0C"/>
    <w:rsid w:val="00F10D18"/>
    <w:rsid w:val="00F10D2F"/>
    <w:rsid w:val="00F10DDE"/>
    <w:rsid w:val="00F10E15"/>
    <w:rsid w:val="00F10F1D"/>
    <w:rsid w:val="00F110B2"/>
    <w:rsid w:val="00F110E9"/>
    <w:rsid w:val="00F1110A"/>
    <w:rsid w:val="00F11173"/>
    <w:rsid w:val="00F111A9"/>
    <w:rsid w:val="00F11233"/>
    <w:rsid w:val="00F11250"/>
    <w:rsid w:val="00F1126D"/>
    <w:rsid w:val="00F112AE"/>
    <w:rsid w:val="00F113BD"/>
    <w:rsid w:val="00F113E1"/>
    <w:rsid w:val="00F113ED"/>
    <w:rsid w:val="00F11435"/>
    <w:rsid w:val="00F11465"/>
    <w:rsid w:val="00F114C8"/>
    <w:rsid w:val="00F114E2"/>
    <w:rsid w:val="00F1153A"/>
    <w:rsid w:val="00F1154E"/>
    <w:rsid w:val="00F1156F"/>
    <w:rsid w:val="00F115BB"/>
    <w:rsid w:val="00F115CF"/>
    <w:rsid w:val="00F115DF"/>
    <w:rsid w:val="00F11633"/>
    <w:rsid w:val="00F11640"/>
    <w:rsid w:val="00F1165A"/>
    <w:rsid w:val="00F116EA"/>
    <w:rsid w:val="00F11734"/>
    <w:rsid w:val="00F117B2"/>
    <w:rsid w:val="00F117B4"/>
    <w:rsid w:val="00F1184E"/>
    <w:rsid w:val="00F118CD"/>
    <w:rsid w:val="00F1197A"/>
    <w:rsid w:val="00F11A6C"/>
    <w:rsid w:val="00F11B17"/>
    <w:rsid w:val="00F11B4A"/>
    <w:rsid w:val="00F11B9E"/>
    <w:rsid w:val="00F11BEC"/>
    <w:rsid w:val="00F11D07"/>
    <w:rsid w:val="00F11D34"/>
    <w:rsid w:val="00F11D66"/>
    <w:rsid w:val="00F11D7C"/>
    <w:rsid w:val="00F11D8D"/>
    <w:rsid w:val="00F11E4C"/>
    <w:rsid w:val="00F11E6B"/>
    <w:rsid w:val="00F11EA9"/>
    <w:rsid w:val="00F11EC8"/>
    <w:rsid w:val="00F11EEE"/>
    <w:rsid w:val="00F11F03"/>
    <w:rsid w:val="00F11F2A"/>
    <w:rsid w:val="00F11F5C"/>
    <w:rsid w:val="00F11F5F"/>
    <w:rsid w:val="00F11F6F"/>
    <w:rsid w:val="00F11F83"/>
    <w:rsid w:val="00F11FB8"/>
    <w:rsid w:val="00F12083"/>
    <w:rsid w:val="00F120F0"/>
    <w:rsid w:val="00F121A0"/>
    <w:rsid w:val="00F121E7"/>
    <w:rsid w:val="00F12273"/>
    <w:rsid w:val="00F12283"/>
    <w:rsid w:val="00F1228E"/>
    <w:rsid w:val="00F12294"/>
    <w:rsid w:val="00F1237D"/>
    <w:rsid w:val="00F123A5"/>
    <w:rsid w:val="00F1243F"/>
    <w:rsid w:val="00F12452"/>
    <w:rsid w:val="00F12467"/>
    <w:rsid w:val="00F1247F"/>
    <w:rsid w:val="00F124FF"/>
    <w:rsid w:val="00F12533"/>
    <w:rsid w:val="00F125B8"/>
    <w:rsid w:val="00F12603"/>
    <w:rsid w:val="00F1267F"/>
    <w:rsid w:val="00F12686"/>
    <w:rsid w:val="00F12690"/>
    <w:rsid w:val="00F12715"/>
    <w:rsid w:val="00F12769"/>
    <w:rsid w:val="00F127D2"/>
    <w:rsid w:val="00F127DA"/>
    <w:rsid w:val="00F12838"/>
    <w:rsid w:val="00F1285F"/>
    <w:rsid w:val="00F128CD"/>
    <w:rsid w:val="00F128E5"/>
    <w:rsid w:val="00F12936"/>
    <w:rsid w:val="00F1294D"/>
    <w:rsid w:val="00F12A18"/>
    <w:rsid w:val="00F12AC6"/>
    <w:rsid w:val="00F12B1F"/>
    <w:rsid w:val="00F12B5D"/>
    <w:rsid w:val="00F12BAF"/>
    <w:rsid w:val="00F12BC4"/>
    <w:rsid w:val="00F12C2E"/>
    <w:rsid w:val="00F12C3C"/>
    <w:rsid w:val="00F12CB0"/>
    <w:rsid w:val="00F12CCA"/>
    <w:rsid w:val="00F12CD3"/>
    <w:rsid w:val="00F12D05"/>
    <w:rsid w:val="00F12D6C"/>
    <w:rsid w:val="00F12D6F"/>
    <w:rsid w:val="00F12E67"/>
    <w:rsid w:val="00F12EC4"/>
    <w:rsid w:val="00F12EEC"/>
    <w:rsid w:val="00F12F43"/>
    <w:rsid w:val="00F12FBF"/>
    <w:rsid w:val="00F13060"/>
    <w:rsid w:val="00F130E4"/>
    <w:rsid w:val="00F1310C"/>
    <w:rsid w:val="00F1318A"/>
    <w:rsid w:val="00F13197"/>
    <w:rsid w:val="00F131AB"/>
    <w:rsid w:val="00F131AE"/>
    <w:rsid w:val="00F13264"/>
    <w:rsid w:val="00F132A7"/>
    <w:rsid w:val="00F132CE"/>
    <w:rsid w:val="00F13302"/>
    <w:rsid w:val="00F1337C"/>
    <w:rsid w:val="00F133A1"/>
    <w:rsid w:val="00F1340C"/>
    <w:rsid w:val="00F1340E"/>
    <w:rsid w:val="00F13432"/>
    <w:rsid w:val="00F1343A"/>
    <w:rsid w:val="00F134AB"/>
    <w:rsid w:val="00F134C9"/>
    <w:rsid w:val="00F1352C"/>
    <w:rsid w:val="00F135B5"/>
    <w:rsid w:val="00F135C5"/>
    <w:rsid w:val="00F135D6"/>
    <w:rsid w:val="00F13638"/>
    <w:rsid w:val="00F13641"/>
    <w:rsid w:val="00F13679"/>
    <w:rsid w:val="00F136BF"/>
    <w:rsid w:val="00F1372E"/>
    <w:rsid w:val="00F13819"/>
    <w:rsid w:val="00F13825"/>
    <w:rsid w:val="00F1383C"/>
    <w:rsid w:val="00F138F5"/>
    <w:rsid w:val="00F1397D"/>
    <w:rsid w:val="00F13A02"/>
    <w:rsid w:val="00F13A4D"/>
    <w:rsid w:val="00F13A99"/>
    <w:rsid w:val="00F13AC1"/>
    <w:rsid w:val="00F13B0E"/>
    <w:rsid w:val="00F13B95"/>
    <w:rsid w:val="00F13C8B"/>
    <w:rsid w:val="00F13D32"/>
    <w:rsid w:val="00F13D45"/>
    <w:rsid w:val="00F13D66"/>
    <w:rsid w:val="00F13D6A"/>
    <w:rsid w:val="00F13DFF"/>
    <w:rsid w:val="00F13F78"/>
    <w:rsid w:val="00F13FD6"/>
    <w:rsid w:val="00F1400E"/>
    <w:rsid w:val="00F14089"/>
    <w:rsid w:val="00F14139"/>
    <w:rsid w:val="00F1419F"/>
    <w:rsid w:val="00F141E9"/>
    <w:rsid w:val="00F14225"/>
    <w:rsid w:val="00F14249"/>
    <w:rsid w:val="00F14267"/>
    <w:rsid w:val="00F1431A"/>
    <w:rsid w:val="00F14345"/>
    <w:rsid w:val="00F143C4"/>
    <w:rsid w:val="00F14464"/>
    <w:rsid w:val="00F14467"/>
    <w:rsid w:val="00F14483"/>
    <w:rsid w:val="00F1449F"/>
    <w:rsid w:val="00F144E5"/>
    <w:rsid w:val="00F14559"/>
    <w:rsid w:val="00F14565"/>
    <w:rsid w:val="00F1458E"/>
    <w:rsid w:val="00F145AF"/>
    <w:rsid w:val="00F145DF"/>
    <w:rsid w:val="00F146A1"/>
    <w:rsid w:val="00F146EB"/>
    <w:rsid w:val="00F148E8"/>
    <w:rsid w:val="00F148FE"/>
    <w:rsid w:val="00F14927"/>
    <w:rsid w:val="00F14937"/>
    <w:rsid w:val="00F1495C"/>
    <w:rsid w:val="00F1496E"/>
    <w:rsid w:val="00F149A8"/>
    <w:rsid w:val="00F149F0"/>
    <w:rsid w:val="00F14A06"/>
    <w:rsid w:val="00F14A28"/>
    <w:rsid w:val="00F14A56"/>
    <w:rsid w:val="00F14A8E"/>
    <w:rsid w:val="00F14ADC"/>
    <w:rsid w:val="00F14AF0"/>
    <w:rsid w:val="00F14B4A"/>
    <w:rsid w:val="00F14B5A"/>
    <w:rsid w:val="00F14BA9"/>
    <w:rsid w:val="00F14BDE"/>
    <w:rsid w:val="00F14BE3"/>
    <w:rsid w:val="00F14C72"/>
    <w:rsid w:val="00F14CA5"/>
    <w:rsid w:val="00F14CDD"/>
    <w:rsid w:val="00F14D81"/>
    <w:rsid w:val="00F14E76"/>
    <w:rsid w:val="00F14E97"/>
    <w:rsid w:val="00F14FE4"/>
    <w:rsid w:val="00F15038"/>
    <w:rsid w:val="00F1504D"/>
    <w:rsid w:val="00F15061"/>
    <w:rsid w:val="00F15123"/>
    <w:rsid w:val="00F151EF"/>
    <w:rsid w:val="00F15291"/>
    <w:rsid w:val="00F1529A"/>
    <w:rsid w:val="00F152C9"/>
    <w:rsid w:val="00F15352"/>
    <w:rsid w:val="00F153A4"/>
    <w:rsid w:val="00F153D4"/>
    <w:rsid w:val="00F15458"/>
    <w:rsid w:val="00F15462"/>
    <w:rsid w:val="00F15542"/>
    <w:rsid w:val="00F15556"/>
    <w:rsid w:val="00F1555D"/>
    <w:rsid w:val="00F155D0"/>
    <w:rsid w:val="00F156B6"/>
    <w:rsid w:val="00F156C6"/>
    <w:rsid w:val="00F156D8"/>
    <w:rsid w:val="00F157DB"/>
    <w:rsid w:val="00F15870"/>
    <w:rsid w:val="00F15888"/>
    <w:rsid w:val="00F158D3"/>
    <w:rsid w:val="00F15944"/>
    <w:rsid w:val="00F159FC"/>
    <w:rsid w:val="00F15A10"/>
    <w:rsid w:val="00F15A3B"/>
    <w:rsid w:val="00F15A99"/>
    <w:rsid w:val="00F15B0F"/>
    <w:rsid w:val="00F15BB0"/>
    <w:rsid w:val="00F15D3B"/>
    <w:rsid w:val="00F15D59"/>
    <w:rsid w:val="00F15D64"/>
    <w:rsid w:val="00F15DB7"/>
    <w:rsid w:val="00F15DCD"/>
    <w:rsid w:val="00F15E22"/>
    <w:rsid w:val="00F15E82"/>
    <w:rsid w:val="00F15EFA"/>
    <w:rsid w:val="00F16004"/>
    <w:rsid w:val="00F16059"/>
    <w:rsid w:val="00F1610F"/>
    <w:rsid w:val="00F16133"/>
    <w:rsid w:val="00F161AA"/>
    <w:rsid w:val="00F161E1"/>
    <w:rsid w:val="00F16200"/>
    <w:rsid w:val="00F16237"/>
    <w:rsid w:val="00F1628E"/>
    <w:rsid w:val="00F162B2"/>
    <w:rsid w:val="00F162DD"/>
    <w:rsid w:val="00F162E3"/>
    <w:rsid w:val="00F16335"/>
    <w:rsid w:val="00F1633C"/>
    <w:rsid w:val="00F164C0"/>
    <w:rsid w:val="00F164FD"/>
    <w:rsid w:val="00F16548"/>
    <w:rsid w:val="00F16608"/>
    <w:rsid w:val="00F16616"/>
    <w:rsid w:val="00F16635"/>
    <w:rsid w:val="00F16649"/>
    <w:rsid w:val="00F1665B"/>
    <w:rsid w:val="00F166AF"/>
    <w:rsid w:val="00F166E6"/>
    <w:rsid w:val="00F16776"/>
    <w:rsid w:val="00F168A2"/>
    <w:rsid w:val="00F168BC"/>
    <w:rsid w:val="00F168CD"/>
    <w:rsid w:val="00F16A0B"/>
    <w:rsid w:val="00F16A28"/>
    <w:rsid w:val="00F16AA4"/>
    <w:rsid w:val="00F16B00"/>
    <w:rsid w:val="00F16B2A"/>
    <w:rsid w:val="00F16CDE"/>
    <w:rsid w:val="00F16D64"/>
    <w:rsid w:val="00F16D65"/>
    <w:rsid w:val="00F16D7C"/>
    <w:rsid w:val="00F16E5E"/>
    <w:rsid w:val="00F16E83"/>
    <w:rsid w:val="00F16E92"/>
    <w:rsid w:val="00F16F6A"/>
    <w:rsid w:val="00F16F7A"/>
    <w:rsid w:val="00F1700E"/>
    <w:rsid w:val="00F1701F"/>
    <w:rsid w:val="00F17040"/>
    <w:rsid w:val="00F17094"/>
    <w:rsid w:val="00F170AC"/>
    <w:rsid w:val="00F170D1"/>
    <w:rsid w:val="00F17147"/>
    <w:rsid w:val="00F17179"/>
    <w:rsid w:val="00F172A2"/>
    <w:rsid w:val="00F17362"/>
    <w:rsid w:val="00F173AB"/>
    <w:rsid w:val="00F173D6"/>
    <w:rsid w:val="00F17445"/>
    <w:rsid w:val="00F174FC"/>
    <w:rsid w:val="00F17567"/>
    <w:rsid w:val="00F1758F"/>
    <w:rsid w:val="00F17598"/>
    <w:rsid w:val="00F17667"/>
    <w:rsid w:val="00F17688"/>
    <w:rsid w:val="00F176C2"/>
    <w:rsid w:val="00F176D0"/>
    <w:rsid w:val="00F176DF"/>
    <w:rsid w:val="00F177D1"/>
    <w:rsid w:val="00F177E8"/>
    <w:rsid w:val="00F1784C"/>
    <w:rsid w:val="00F1789A"/>
    <w:rsid w:val="00F178B5"/>
    <w:rsid w:val="00F178D0"/>
    <w:rsid w:val="00F178F0"/>
    <w:rsid w:val="00F1794F"/>
    <w:rsid w:val="00F179D5"/>
    <w:rsid w:val="00F17A03"/>
    <w:rsid w:val="00F17A92"/>
    <w:rsid w:val="00F17B25"/>
    <w:rsid w:val="00F17B63"/>
    <w:rsid w:val="00F17B70"/>
    <w:rsid w:val="00F17BA0"/>
    <w:rsid w:val="00F17C43"/>
    <w:rsid w:val="00F17C4C"/>
    <w:rsid w:val="00F17C58"/>
    <w:rsid w:val="00F17C5A"/>
    <w:rsid w:val="00F17C71"/>
    <w:rsid w:val="00F17C76"/>
    <w:rsid w:val="00F17C84"/>
    <w:rsid w:val="00F17C9B"/>
    <w:rsid w:val="00F17CA7"/>
    <w:rsid w:val="00F17CB1"/>
    <w:rsid w:val="00F17DD4"/>
    <w:rsid w:val="00F17DF8"/>
    <w:rsid w:val="00F17EC3"/>
    <w:rsid w:val="00F17EFB"/>
    <w:rsid w:val="00F17FA2"/>
    <w:rsid w:val="00F17FDC"/>
    <w:rsid w:val="00F20020"/>
    <w:rsid w:val="00F20128"/>
    <w:rsid w:val="00F2013C"/>
    <w:rsid w:val="00F2013F"/>
    <w:rsid w:val="00F20143"/>
    <w:rsid w:val="00F2014F"/>
    <w:rsid w:val="00F20159"/>
    <w:rsid w:val="00F201E0"/>
    <w:rsid w:val="00F201FB"/>
    <w:rsid w:val="00F2026F"/>
    <w:rsid w:val="00F202E1"/>
    <w:rsid w:val="00F20386"/>
    <w:rsid w:val="00F2038A"/>
    <w:rsid w:val="00F204B9"/>
    <w:rsid w:val="00F2054A"/>
    <w:rsid w:val="00F2059B"/>
    <w:rsid w:val="00F2061C"/>
    <w:rsid w:val="00F20665"/>
    <w:rsid w:val="00F206D0"/>
    <w:rsid w:val="00F206D4"/>
    <w:rsid w:val="00F206E4"/>
    <w:rsid w:val="00F2071B"/>
    <w:rsid w:val="00F20734"/>
    <w:rsid w:val="00F20746"/>
    <w:rsid w:val="00F207C7"/>
    <w:rsid w:val="00F2088D"/>
    <w:rsid w:val="00F20917"/>
    <w:rsid w:val="00F20A47"/>
    <w:rsid w:val="00F20A7C"/>
    <w:rsid w:val="00F20AB9"/>
    <w:rsid w:val="00F20ABA"/>
    <w:rsid w:val="00F20B1A"/>
    <w:rsid w:val="00F20B51"/>
    <w:rsid w:val="00F20B7B"/>
    <w:rsid w:val="00F20BFA"/>
    <w:rsid w:val="00F20C24"/>
    <w:rsid w:val="00F20C26"/>
    <w:rsid w:val="00F20CD0"/>
    <w:rsid w:val="00F20DA7"/>
    <w:rsid w:val="00F20E14"/>
    <w:rsid w:val="00F20E7B"/>
    <w:rsid w:val="00F20E9C"/>
    <w:rsid w:val="00F20FFC"/>
    <w:rsid w:val="00F2101E"/>
    <w:rsid w:val="00F21042"/>
    <w:rsid w:val="00F210AF"/>
    <w:rsid w:val="00F2115B"/>
    <w:rsid w:val="00F211B2"/>
    <w:rsid w:val="00F211FF"/>
    <w:rsid w:val="00F21204"/>
    <w:rsid w:val="00F212B1"/>
    <w:rsid w:val="00F212B4"/>
    <w:rsid w:val="00F21316"/>
    <w:rsid w:val="00F2131A"/>
    <w:rsid w:val="00F2136F"/>
    <w:rsid w:val="00F21450"/>
    <w:rsid w:val="00F214A7"/>
    <w:rsid w:val="00F214C0"/>
    <w:rsid w:val="00F215E6"/>
    <w:rsid w:val="00F21644"/>
    <w:rsid w:val="00F216F6"/>
    <w:rsid w:val="00F21715"/>
    <w:rsid w:val="00F21756"/>
    <w:rsid w:val="00F217C2"/>
    <w:rsid w:val="00F21844"/>
    <w:rsid w:val="00F21861"/>
    <w:rsid w:val="00F21893"/>
    <w:rsid w:val="00F2189F"/>
    <w:rsid w:val="00F218C6"/>
    <w:rsid w:val="00F218F8"/>
    <w:rsid w:val="00F21994"/>
    <w:rsid w:val="00F219CA"/>
    <w:rsid w:val="00F219E7"/>
    <w:rsid w:val="00F21A1E"/>
    <w:rsid w:val="00F21A23"/>
    <w:rsid w:val="00F21A86"/>
    <w:rsid w:val="00F21B03"/>
    <w:rsid w:val="00F21C19"/>
    <w:rsid w:val="00F21C37"/>
    <w:rsid w:val="00F21C73"/>
    <w:rsid w:val="00F21C85"/>
    <w:rsid w:val="00F21C94"/>
    <w:rsid w:val="00F21D1B"/>
    <w:rsid w:val="00F21D20"/>
    <w:rsid w:val="00F21DB8"/>
    <w:rsid w:val="00F21DEC"/>
    <w:rsid w:val="00F21E56"/>
    <w:rsid w:val="00F21E95"/>
    <w:rsid w:val="00F21EB3"/>
    <w:rsid w:val="00F21F80"/>
    <w:rsid w:val="00F22003"/>
    <w:rsid w:val="00F22034"/>
    <w:rsid w:val="00F22052"/>
    <w:rsid w:val="00F22124"/>
    <w:rsid w:val="00F22145"/>
    <w:rsid w:val="00F2216D"/>
    <w:rsid w:val="00F221BB"/>
    <w:rsid w:val="00F221BD"/>
    <w:rsid w:val="00F221C4"/>
    <w:rsid w:val="00F221DB"/>
    <w:rsid w:val="00F221E9"/>
    <w:rsid w:val="00F22251"/>
    <w:rsid w:val="00F2226E"/>
    <w:rsid w:val="00F223AC"/>
    <w:rsid w:val="00F2240E"/>
    <w:rsid w:val="00F2251D"/>
    <w:rsid w:val="00F2256A"/>
    <w:rsid w:val="00F22696"/>
    <w:rsid w:val="00F226E6"/>
    <w:rsid w:val="00F226FE"/>
    <w:rsid w:val="00F2278E"/>
    <w:rsid w:val="00F227B6"/>
    <w:rsid w:val="00F2280B"/>
    <w:rsid w:val="00F22868"/>
    <w:rsid w:val="00F22885"/>
    <w:rsid w:val="00F228DB"/>
    <w:rsid w:val="00F228FB"/>
    <w:rsid w:val="00F2291B"/>
    <w:rsid w:val="00F229CF"/>
    <w:rsid w:val="00F22A95"/>
    <w:rsid w:val="00F22AD0"/>
    <w:rsid w:val="00F22B13"/>
    <w:rsid w:val="00F22B1A"/>
    <w:rsid w:val="00F22BEF"/>
    <w:rsid w:val="00F22C03"/>
    <w:rsid w:val="00F22C5B"/>
    <w:rsid w:val="00F22C68"/>
    <w:rsid w:val="00F22CCF"/>
    <w:rsid w:val="00F22CD3"/>
    <w:rsid w:val="00F22D49"/>
    <w:rsid w:val="00F22DAB"/>
    <w:rsid w:val="00F22DBF"/>
    <w:rsid w:val="00F22E3F"/>
    <w:rsid w:val="00F22E5C"/>
    <w:rsid w:val="00F22E9E"/>
    <w:rsid w:val="00F22EBB"/>
    <w:rsid w:val="00F22F0F"/>
    <w:rsid w:val="00F22F29"/>
    <w:rsid w:val="00F22F4E"/>
    <w:rsid w:val="00F22F7F"/>
    <w:rsid w:val="00F22F84"/>
    <w:rsid w:val="00F23078"/>
    <w:rsid w:val="00F23151"/>
    <w:rsid w:val="00F23226"/>
    <w:rsid w:val="00F23258"/>
    <w:rsid w:val="00F2329B"/>
    <w:rsid w:val="00F232A0"/>
    <w:rsid w:val="00F23326"/>
    <w:rsid w:val="00F233AE"/>
    <w:rsid w:val="00F23406"/>
    <w:rsid w:val="00F23501"/>
    <w:rsid w:val="00F235D1"/>
    <w:rsid w:val="00F235E5"/>
    <w:rsid w:val="00F23620"/>
    <w:rsid w:val="00F236D9"/>
    <w:rsid w:val="00F23740"/>
    <w:rsid w:val="00F2381D"/>
    <w:rsid w:val="00F238C8"/>
    <w:rsid w:val="00F2390B"/>
    <w:rsid w:val="00F2396A"/>
    <w:rsid w:val="00F2398D"/>
    <w:rsid w:val="00F239C0"/>
    <w:rsid w:val="00F23A0B"/>
    <w:rsid w:val="00F23A1B"/>
    <w:rsid w:val="00F23B6A"/>
    <w:rsid w:val="00F23B79"/>
    <w:rsid w:val="00F23BEA"/>
    <w:rsid w:val="00F23C41"/>
    <w:rsid w:val="00F23C8A"/>
    <w:rsid w:val="00F23C9C"/>
    <w:rsid w:val="00F23CB7"/>
    <w:rsid w:val="00F23CEF"/>
    <w:rsid w:val="00F23D3E"/>
    <w:rsid w:val="00F23D77"/>
    <w:rsid w:val="00F23D8C"/>
    <w:rsid w:val="00F23E41"/>
    <w:rsid w:val="00F23E8A"/>
    <w:rsid w:val="00F23EC6"/>
    <w:rsid w:val="00F23F18"/>
    <w:rsid w:val="00F23F42"/>
    <w:rsid w:val="00F23F61"/>
    <w:rsid w:val="00F23F92"/>
    <w:rsid w:val="00F23FA8"/>
    <w:rsid w:val="00F23FFD"/>
    <w:rsid w:val="00F24018"/>
    <w:rsid w:val="00F24068"/>
    <w:rsid w:val="00F24081"/>
    <w:rsid w:val="00F240ED"/>
    <w:rsid w:val="00F240EF"/>
    <w:rsid w:val="00F24123"/>
    <w:rsid w:val="00F241D4"/>
    <w:rsid w:val="00F241E6"/>
    <w:rsid w:val="00F24204"/>
    <w:rsid w:val="00F2423C"/>
    <w:rsid w:val="00F24273"/>
    <w:rsid w:val="00F24288"/>
    <w:rsid w:val="00F242B9"/>
    <w:rsid w:val="00F242E2"/>
    <w:rsid w:val="00F242FA"/>
    <w:rsid w:val="00F243B1"/>
    <w:rsid w:val="00F243DB"/>
    <w:rsid w:val="00F2442A"/>
    <w:rsid w:val="00F2445B"/>
    <w:rsid w:val="00F244B0"/>
    <w:rsid w:val="00F24561"/>
    <w:rsid w:val="00F2456E"/>
    <w:rsid w:val="00F24639"/>
    <w:rsid w:val="00F246C1"/>
    <w:rsid w:val="00F246F1"/>
    <w:rsid w:val="00F24732"/>
    <w:rsid w:val="00F2477A"/>
    <w:rsid w:val="00F2478A"/>
    <w:rsid w:val="00F247FC"/>
    <w:rsid w:val="00F24865"/>
    <w:rsid w:val="00F248A2"/>
    <w:rsid w:val="00F24901"/>
    <w:rsid w:val="00F249A1"/>
    <w:rsid w:val="00F249CE"/>
    <w:rsid w:val="00F24A1C"/>
    <w:rsid w:val="00F24A74"/>
    <w:rsid w:val="00F24AD5"/>
    <w:rsid w:val="00F24AE3"/>
    <w:rsid w:val="00F24B56"/>
    <w:rsid w:val="00F24B78"/>
    <w:rsid w:val="00F24B7E"/>
    <w:rsid w:val="00F24BF8"/>
    <w:rsid w:val="00F24BFE"/>
    <w:rsid w:val="00F24C63"/>
    <w:rsid w:val="00F24C6D"/>
    <w:rsid w:val="00F24D47"/>
    <w:rsid w:val="00F24DAC"/>
    <w:rsid w:val="00F24DDB"/>
    <w:rsid w:val="00F24E84"/>
    <w:rsid w:val="00F24E9B"/>
    <w:rsid w:val="00F24EB4"/>
    <w:rsid w:val="00F24EEB"/>
    <w:rsid w:val="00F24EFB"/>
    <w:rsid w:val="00F24F3E"/>
    <w:rsid w:val="00F24FE8"/>
    <w:rsid w:val="00F24FF0"/>
    <w:rsid w:val="00F24FF2"/>
    <w:rsid w:val="00F25052"/>
    <w:rsid w:val="00F25067"/>
    <w:rsid w:val="00F2508A"/>
    <w:rsid w:val="00F250FC"/>
    <w:rsid w:val="00F25230"/>
    <w:rsid w:val="00F25240"/>
    <w:rsid w:val="00F2535B"/>
    <w:rsid w:val="00F253A8"/>
    <w:rsid w:val="00F253EC"/>
    <w:rsid w:val="00F25453"/>
    <w:rsid w:val="00F2549C"/>
    <w:rsid w:val="00F254B4"/>
    <w:rsid w:val="00F254F2"/>
    <w:rsid w:val="00F2550D"/>
    <w:rsid w:val="00F25553"/>
    <w:rsid w:val="00F2561F"/>
    <w:rsid w:val="00F2563A"/>
    <w:rsid w:val="00F2566E"/>
    <w:rsid w:val="00F2567C"/>
    <w:rsid w:val="00F256EB"/>
    <w:rsid w:val="00F25749"/>
    <w:rsid w:val="00F25761"/>
    <w:rsid w:val="00F257DC"/>
    <w:rsid w:val="00F257E7"/>
    <w:rsid w:val="00F25816"/>
    <w:rsid w:val="00F2584D"/>
    <w:rsid w:val="00F2587F"/>
    <w:rsid w:val="00F25912"/>
    <w:rsid w:val="00F25929"/>
    <w:rsid w:val="00F2595D"/>
    <w:rsid w:val="00F25969"/>
    <w:rsid w:val="00F2597D"/>
    <w:rsid w:val="00F25A50"/>
    <w:rsid w:val="00F25A5B"/>
    <w:rsid w:val="00F25AD3"/>
    <w:rsid w:val="00F25B17"/>
    <w:rsid w:val="00F25B96"/>
    <w:rsid w:val="00F25B98"/>
    <w:rsid w:val="00F25C3E"/>
    <w:rsid w:val="00F25C6D"/>
    <w:rsid w:val="00F25C9A"/>
    <w:rsid w:val="00F25CAA"/>
    <w:rsid w:val="00F25DC6"/>
    <w:rsid w:val="00F25DE9"/>
    <w:rsid w:val="00F25E6F"/>
    <w:rsid w:val="00F25EA6"/>
    <w:rsid w:val="00F25EA8"/>
    <w:rsid w:val="00F25F97"/>
    <w:rsid w:val="00F25FA0"/>
    <w:rsid w:val="00F26173"/>
    <w:rsid w:val="00F2619F"/>
    <w:rsid w:val="00F261AE"/>
    <w:rsid w:val="00F261BE"/>
    <w:rsid w:val="00F261DB"/>
    <w:rsid w:val="00F261DC"/>
    <w:rsid w:val="00F26248"/>
    <w:rsid w:val="00F2629F"/>
    <w:rsid w:val="00F26300"/>
    <w:rsid w:val="00F2637C"/>
    <w:rsid w:val="00F263A9"/>
    <w:rsid w:val="00F263CB"/>
    <w:rsid w:val="00F26442"/>
    <w:rsid w:val="00F26484"/>
    <w:rsid w:val="00F2652D"/>
    <w:rsid w:val="00F2656A"/>
    <w:rsid w:val="00F265A0"/>
    <w:rsid w:val="00F26646"/>
    <w:rsid w:val="00F26694"/>
    <w:rsid w:val="00F266D9"/>
    <w:rsid w:val="00F26703"/>
    <w:rsid w:val="00F267BE"/>
    <w:rsid w:val="00F267C3"/>
    <w:rsid w:val="00F267EB"/>
    <w:rsid w:val="00F2682B"/>
    <w:rsid w:val="00F2684A"/>
    <w:rsid w:val="00F2686A"/>
    <w:rsid w:val="00F2695D"/>
    <w:rsid w:val="00F2695E"/>
    <w:rsid w:val="00F26A38"/>
    <w:rsid w:val="00F26AAC"/>
    <w:rsid w:val="00F26B18"/>
    <w:rsid w:val="00F26B4C"/>
    <w:rsid w:val="00F26C07"/>
    <w:rsid w:val="00F26C39"/>
    <w:rsid w:val="00F26C47"/>
    <w:rsid w:val="00F26C8E"/>
    <w:rsid w:val="00F26DB6"/>
    <w:rsid w:val="00F26DC0"/>
    <w:rsid w:val="00F26E3E"/>
    <w:rsid w:val="00F26E5A"/>
    <w:rsid w:val="00F26E66"/>
    <w:rsid w:val="00F26E70"/>
    <w:rsid w:val="00F26E7A"/>
    <w:rsid w:val="00F26E7B"/>
    <w:rsid w:val="00F26E83"/>
    <w:rsid w:val="00F26EBC"/>
    <w:rsid w:val="00F26F26"/>
    <w:rsid w:val="00F26F5C"/>
    <w:rsid w:val="00F26F76"/>
    <w:rsid w:val="00F26FE3"/>
    <w:rsid w:val="00F2701B"/>
    <w:rsid w:val="00F2706F"/>
    <w:rsid w:val="00F2711C"/>
    <w:rsid w:val="00F271BE"/>
    <w:rsid w:val="00F271D2"/>
    <w:rsid w:val="00F271FC"/>
    <w:rsid w:val="00F272D9"/>
    <w:rsid w:val="00F272E3"/>
    <w:rsid w:val="00F27396"/>
    <w:rsid w:val="00F2739D"/>
    <w:rsid w:val="00F273A7"/>
    <w:rsid w:val="00F273AE"/>
    <w:rsid w:val="00F274B3"/>
    <w:rsid w:val="00F2750F"/>
    <w:rsid w:val="00F27513"/>
    <w:rsid w:val="00F2751C"/>
    <w:rsid w:val="00F275B5"/>
    <w:rsid w:val="00F275BF"/>
    <w:rsid w:val="00F275D7"/>
    <w:rsid w:val="00F276FB"/>
    <w:rsid w:val="00F2774A"/>
    <w:rsid w:val="00F2778A"/>
    <w:rsid w:val="00F2779D"/>
    <w:rsid w:val="00F277C5"/>
    <w:rsid w:val="00F277DB"/>
    <w:rsid w:val="00F2780F"/>
    <w:rsid w:val="00F278D3"/>
    <w:rsid w:val="00F278DA"/>
    <w:rsid w:val="00F278F6"/>
    <w:rsid w:val="00F278F8"/>
    <w:rsid w:val="00F278FC"/>
    <w:rsid w:val="00F2792D"/>
    <w:rsid w:val="00F279E6"/>
    <w:rsid w:val="00F27A34"/>
    <w:rsid w:val="00F27A76"/>
    <w:rsid w:val="00F27B4A"/>
    <w:rsid w:val="00F27C43"/>
    <w:rsid w:val="00F27C65"/>
    <w:rsid w:val="00F27CDD"/>
    <w:rsid w:val="00F27CDF"/>
    <w:rsid w:val="00F27D8E"/>
    <w:rsid w:val="00F27DCC"/>
    <w:rsid w:val="00F27E5B"/>
    <w:rsid w:val="00F27F65"/>
    <w:rsid w:val="00F27FB6"/>
    <w:rsid w:val="00F30019"/>
    <w:rsid w:val="00F3004E"/>
    <w:rsid w:val="00F30052"/>
    <w:rsid w:val="00F30073"/>
    <w:rsid w:val="00F30143"/>
    <w:rsid w:val="00F30161"/>
    <w:rsid w:val="00F301D1"/>
    <w:rsid w:val="00F30228"/>
    <w:rsid w:val="00F3024A"/>
    <w:rsid w:val="00F302B0"/>
    <w:rsid w:val="00F30338"/>
    <w:rsid w:val="00F30390"/>
    <w:rsid w:val="00F30460"/>
    <w:rsid w:val="00F30558"/>
    <w:rsid w:val="00F3057D"/>
    <w:rsid w:val="00F30582"/>
    <w:rsid w:val="00F305D5"/>
    <w:rsid w:val="00F3060E"/>
    <w:rsid w:val="00F30646"/>
    <w:rsid w:val="00F30668"/>
    <w:rsid w:val="00F30696"/>
    <w:rsid w:val="00F306D7"/>
    <w:rsid w:val="00F307E2"/>
    <w:rsid w:val="00F3088C"/>
    <w:rsid w:val="00F308CE"/>
    <w:rsid w:val="00F3092E"/>
    <w:rsid w:val="00F30944"/>
    <w:rsid w:val="00F30A4F"/>
    <w:rsid w:val="00F30AD5"/>
    <w:rsid w:val="00F30B87"/>
    <w:rsid w:val="00F30C57"/>
    <w:rsid w:val="00F30C83"/>
    <w:rsid w:val="00F30DC8"/>
    <w:rsid w:val="00F30E3B"/>
    <w:rsid w:val="00F30EA4"/>
    <w:rsid w:val="00F30EE8"/>
    <w:rsid w:val="00F30F30"/>
    <w:rsid w:val="00F30F43"/>
    <w:rsid w:val="00F30FAA"/>
    <w:rsid w:val="00F30FC9"/>
    <w:rsid w:val="00F30FE6"/>
    <w:rsid w:val="00F3100B"/>
    <w:rsid w:val="00F31015"/>
    <w:rsid w:val="00F31075"/>
    <w:rsid w:val="00F310C0"/>
    <w:rsid w:val="00F311BE"/>
    <w:rsid w:val="00F311DB"/>
    <w:rsid w:val="00F3120C"/>
    <w:rsid w:val="00F31226"/>
    <w:rsid w:val="00F31230"/>
    <w:rsid w:val="00F312B1"/>
    <w:rsid w:val="00F312D4"/>
    <w:rsid w:val="00F31336"/>
    <w:rsid w:val="00F3133A"/>
    <w:rsid w:val="00F31360"/>
    <w:rsid w:val="00F31369"/>
    <w:rsid w:val="00F3136D"/>
    <w:rsid w:val="00F313A3"/>
    <w:rsid w:val="00F313F2"/>
    <w:rsid w:val="00F31401"/>
    <w:rsid w:val="00F31417"/>
    <w:rsid w:val="00F31476"/>
    <w:rsid w:val="00F31503"/>
    <w:rsid w:val="00F31550"/>
    <w:rsid w:val="00F3157D"/>
    <w:rsid w:val="00F3162E"/>
    <w:rsid w:val="00F31673"/>
    <w:rsid w:val="00F3175A"/>
    <w:rsid w:val="00F31798"/>
    <w:rsid w:val="00F31844"/>
    <w:rsid w:val="00F31869"/>
    <w:rsid w:val="00F3189C"/>
    <w:rsid w:val="00F318FC"/>
    <w:rsid w:val="00F3192A"/>
    <w:rsid w:val="00F31950"/>
    <w:rsid w:val="00F31964"/>
    <w:rsid w:val="00F319E0"/>
    <w:rsid w:val="00F319F9"/>
    <w:rsid w:val="00F31A89"/>
    <w:rsid w:val="00F31AB5"/>
    <w:rsid w:val="00F31B3F"/>
    <w:rsid w:val="00F31BA8"/>
    <w:rsid w:val="00F31C18"/>
    <w:rsid w:val="00F31C22"/>
    <w:rsid w:val="00F31C62"/>
    <w:rsid w:val="00F31C9C"/>
    <w:rsid w:val="00F31DAE"/>
    <w:rsid w:val="00F31E15"/>
    <w:rsid w:val="00F31E46"/>
    <w:rsid w:val="00F31E83"/>
    <w:rsid w:val="00F31F06"/>
    <w:rsid w:val="00F31F0D"/>
    <w:rsid w:val="00F31F3C"/>
    <w:rsid w:val="00F31F46"/>
    <w:rsid w:val="00F31F6A"/>
    <w:rsid w:val="00F31FD6"/>
    <w:rsid w:val="00F3201B"/>
    <w:rsid w:val="00F32037"/>
    <w:rsid w:val="00F320BC"/>
    <w:rsid w:val="00F320C1"/>
    <w:rsid w:val="00F32175"/>
    <w:rsid w:val="00F321CA"/>
    <w:rsid w:val="00F3229A"/>
    <w:rsid w:val="00F323B4"/>
    <w:rsid w:val="00F32408"/>
    <w:rsid w:val="00F32436"/>
    <w:rsid w:val="00F32510"/>
    <w:rsid w:val="00F325CF"/>
    <w:rsid w:val="00F32638"/>
    <w:rsid w:val="00F32718"/>
    <w:rsid w:val="00F327B6"/>
    <w:rsid w:val="00F327D0"/>
    <w:rsid w:val="00F3284E"/>
    <w:rsid w:val="00F3294E"/>
    <w:rsid w:val="00F32998"/>
    <w:rsid w:val="00F329B5"/>
    <w:rsid w:val="00F32A14"/>
    <w:rsid w:val="00F32AA2"/>
    <w:rsid w:val="00F32B46"/>
    <w:rsid w:val="00F32B69"/>
    <w:rsid w:val="00F32BBA"/>
    <w:rsid w:val="00F32BD4"/>
    <w:rsid w:val="00F32C85"/>
    <w:rsid w:val="00F32CAA"/>
    <w:rsid w:val="00F32CCA"/>
    <w:rsid w:val="00F32DD8"/>
    <w:rsid w:val="00F32DF3"/>
    <w:rsid w:val="00F32EB6"/>
    <w:rsid w:val="00F32EF3"/>
    <w:rsid w:val="00F32F05"/>
    <w:rsid w:val="00F32F2F"/>
    <w:rsid w:val="00F32F76"/>
    <w:rsid w:val="00F32FA7"/>
    <w:rsid w:val="00F32FFC"/>
    <w:rsid w:val="00F33037"/>
    <w:rsid w:val="00F33086"/>
    <w:rsid w:val="00F3318F"/>
    <w:rsid w:val="00F3325A"/>
    <w:rsid w:val="00F3327C"/>
    <w:rsid w:val="00F3330F"/>
    <w:rsid w:val="00F33336"/>
    <w:rsid w:val="00F33343"/>
    <w:rsid w:val="00F33360"/>
    <w:rsid w:val="00F333E6"/>
    <w:rsid w:val="00F33442"/>
    <w:rsid w:val="00F3344F"/>
    <w:rsid w:val="00F3349F"/>
    <w:rsid w:val="00F334AC"/>
    <w:rsid w:val="00F334F0"/>
    <w:rsid w:val="00F33507"/>
    <w:rsid w:val="00F33518"/>
    <w:rsid w:val="00F33528"/>
    <w:rsid w:val="00F33563"/>
    <w:rsid w:val="00F335AA"/>
    <w:rsid w:val="00F335B1"/>
    <w:rsid w:val="00F33689"/>
    <w:rsid w:val="00F336A3"/>
    <w:rsid w:val="00F336B6"/>
    <w:rsid w:val="00F336CD"/>
    <w:rsid w:val="00F3377D"/>
    <w:rsid w:val="00F337A6"/>
    <w:rsid w:val="00F337C3"/>
    <w:rsid w:val="00F337FC"/>
    <w:rsid w:val="00F3388B"/>
    <w:rsid w:val="00F338CF"/>
    <w:rsid w:val="00F33911"/>
    <w:rsid w:val="00F33A3A"/>
    <w:rsid w:val="00F33ABA"/>
    <w:rsid w:val="00F33BBC"/>
    <w:rsid w:val="00F33BC1"/>
    <w:rsid w:val="00F33BE9"/>
    <w:rsid w:val="00F33BFB"/>
    <w:rsid w:val="00F33CAE"/>
    <w:rsid w:val="00F33CC2"/>
    <w:rsid w:val="00F33D1B"/>
    <w:rsid w:val="00F33D58"/>
    <w:rsid w:val="00F33DCA"/>
    <w:rsid w:val="00F33DF0"/>
    <w:rsid w:val="00F33E04"/>
    <w:rsid w:val="00F33E16"/>
    <w:rsid w:val="00F33E31"/>
    <w:rsid w:val="00F33E72"/>
    <w:rsid w:val="00F33E89"/>
    <w:rsid w:val="00F33F1C"/>
    <w:rsid w:val="00F33F3F"/>
    <w:rsid w:val="00F33FC1"/>
    <w:rsid w:val="00F3404D"/>
    <w:rsid w:val="00F341B4"/>
    <w:rsid w:val="00F341C4"/>
    <w:rsid w:val="00F341D2"/>
    <w:rsid w:val="00F341D7"/>
    <w:rsid w:val="00F34237"/>
    <w:rsid w:val="00F3423D"/>
    <w:rsid w:val="00F34248"/>
    <w:rsid w:val="00F3424E"/>
    <w:rsid w:val="00F34269"/>
    <w:rsid w:val="00F3431E"/>
    <w:rsid w:val="00F3435E"/>
    <w:rsid w:val="00F343AC"/>
    <w:rsid w:val="00F34428"/>
    <w:rsid w:val="00F344BE"/>
    <w:rsid w:val="00F34583"/>
    <w:rsid w:val="00F34675"/>
    <w:rsid w:val="00F346A0"/>
    <w:rsid w:val="00F3475D"/>
    <w:rsid w:val="00F3476A"/>
    <w:rsid w:val="00F34790"/>
    <w:rsid w:val="00F34882"/>
    <w:rsid w:val="00F34889"/>
    <w:rsid w:val="00F348EC"/>
    <w:rsid w:val="00F3490C"/>
    <w:rsid w:val="00F34920"/>
    <w:rsid w:val="00F34921"/>
    <w:rsid w:val="00F34B17"/>
    <w:rsid w:val="00F34BA9"/>
    <w:rsid w:val="00F34BE2"/>
    <w:rsid w:val="00F34BE7"/>
    <w:rsid w:val="00F34BFC"/>
    <w:rsid w:val="00F34C78"/>
    <w:rsid w:val="00F34D7A"/>
    <w:rsid w:val="00F34D8D"/>
    <w:rsid w:val="00F34E24"/>
    <w:rsid w:val="00F34E2F"/>
    <w:rsid w:val="00F34E84"/>
    <w:rsid w:val="00F34F9B"/>
    <w:rsid w:val="00F350C7"/>
    <w:rsid w:val="00F35148"/>
    <w:rsid w:val="00F35167"/>
    <w:rsid w:val="00F35259"/>
    <w:rsid w:val="00F35286"/>
    <w:rsid w:val="00F35333"/>
    <w:rsid w:val="00F3535A"/>
    <w:rsid w:val="00F353DD"/>
    <w:rsid w:val="00F354AA"/>
    <w:rsid w:val="00F354C6"/>
    <w:rsid w:val="00F35500"/>
    <w:rsid w:val="00F3550A"/>
    <w:rsid w:val="00F35534"/>
    <w:rsid w:val="00F35589"/>
    <w:rsid w:val="00F355A0"/>
    <w:rsid w:val="00F356CC"/>
    <w:rsid w:val="00F35765"/>
    <w:rsid w:val="00F357C3"/>
    <w:rsid w:val="00F357D3"/>
    <w:rsid w:val="00F357D4"/>
    <w:rsid w:val="00F3580F"/>
    <w:rsid w:val="00F35823"/>
    <w:rsid w:val="00F3586F"/>
    <w:rsid w:val="00F35876"/>
    <w:rsid w:val="00F358BF"/>
    <w:rsid w:val="00F35911"/>
    <w:rsid w:val="00F35965"/>
    <w:rsid w:val="00F35985"/>
    <w:rsid w:val="00F359C0"/>
    <w:rsid w:val="00F359C7"/>
    <w:rsid w:val="00F35A38"/>
    <w:rsid w:val="00F35A5C"/>
    <w:rsid w:val="00F35A9A"/>
    <w:rsid w:val="00F35A9E"/>
    <w:rsid w:val="00F35AB8"/>
    <w:rsid w:val="00F35ACC"/>
    <w:rsid w:val="00F35AEE"/>
    <w:rsid w:val="00F35B3F"/>
    <w:rsid w:val="00F35BC6"/>
    <w:rsid w:val="00F35CE6"/>
    <w:rsid w:val="00F35D0D"/>
    <w:rsid w:val="00F35D75"/>
    <w:rsid w:val="00F35D92"/>
    <w:rsid w:val="00F35E21"/>
    <w:rsid w:val="00F35E75"/>
    <w:rsid w:val="00F35E88"/>
    <w:rsid w:val="00F35ED2"/>
    <w:rsid w:val="00F35F02"/>
    <w:rsid w:val="00F35F64"/>
    <w:rsid w:val="00F35FF5"/>
    <w:rsid w:val="00F36112"/>
    <w:rsid w:val="00F361E2"/>
    <w:rsid w:val="00F361EF"/>
    <w:rsid w:val="00F361FB"/>
    <w:rsid w:val="00F3631B"/>
    <w:rsid w:val="00F36337"/>
    <w:rsid w:val="00F36394"/>
    <w:rsid w:val="00F363CC"/>
    <w:rsid w:val="00F36408"/>
    <w:rsid w:val="00F36465"/>
    <w:rsid w:val="00F36473"/>
    <w:rsid w:val="00F364D9"/>
    <w:rsid w:val="00F36521"/>
    <w:rsid w:val="00F3652E"/>
    <w:rsid w:val="00F36547"/>
    <w:rsid w:val="00F36552"/>
    <w:rsid w:val="00F3657F"/>
    <w:rsid w:val="00F365A9"/>
    <w:rsid w:val="00F366B8"/>
    <w:rsid w:val="00F3677A"/>
    <w:rsid w:val="00F367AD"/>
    <w:rsid w:val="00F36863"/>
    <w:rsid w:val="00F368A7"/>
    <w:rsid w:val="00F368F2"/>
    <w:rsid w:val="00F36905"/>
    <w:rsid w:val="00F36939"/>
    <w:rsid w:val="00F36962"/>
    <w:rsid w:val="00F3697D"/>
    <w:rsid w:val="00F369E7"/>
    <w:rsid w:val="00F36AB8"/>
    <w:rsid w:val="00F36AC5"/>
    <w:rsid w:val="00F36ADC"/>
    <w:rsid w:val="00F36B1E"/>
    <w:rsid w:val="00F36B4A"/>
    <w:rsid w:val="00F36B70"/>
    <w:rsid w:val="00F36BE0"/>
    <w:rsid w:val="00F36C09"/>
    <w:rsid w:val="00F36C38"/>
    <w:rsid w:val="00F36CAC"/>
    <w:rsid w:val="00F36CF5"/>
    <w:rsid w:val="00F36D2C"/>
    <w:rsid w:val="00F36DB5"/>
    <w:rsid w:val="00F36DBD"/>
    <w:rsid w:val="00F36F69"/>
    <w:rsid w:val="00F36F6A"/>
    <w:rsid w:val="00F36FBA"/>
    <w:rsid w:val="00F36FD6"/>
    <w:rsid w:val="00F36FED"/>
    <w:rsid w:val="00F370AA"/>
    <w:rsid w:val="00F370B6"/>
    <w:rsid w:val="00F370CC"/>
    <w:rsid w:val="00F371B2"/>
    <w:rsid w:val="00F37243"/>
    <w:rsid w:val="00F372EC"/>
    <w:rsid w:val="00F3740A"/>
    <w:rsid w:val="00F3745B"/>
    <w:rsid w:val="00F374E1"/>
    <w:rsid w:val="00F37552"/>
    <w:rsid w:val="00F3761F"/>
    <w:rsid w:val="00F3765C"/>
    <w:rsid w:val="00F3776B"/>
    <w:rsid w:val="00F377AF"/>
    <w:rsid w:val="00F377C9"/>
    <w:rsid w:val="00F377EA"/>
    <w:rsid w:val="00F3786C"/>
    <w:rsid w:val="00F378A4"/>
    <w:rsid w:val="00F378C4"/>
    <w:rsid w:val="00F37953"/>
    <w:rsid w:val="00F3795A"/>
    <w:rsid w:val="00F37977"/>
    <w:rsid w:val="00F379A5"/>
    <w:rsid w:val="00F379CA"/>
    <w:rsid w:val="00F37B2E"/>
    <w:rsid w:val="00F37B4F"/>
    <w:rsid w:val="00F37C05"/>
    <w:rsid w:val="00F37C49"/>
    <w:rsid w:val="00F37C78"/>
    <w:rsid w:val="00F37CF3"/>
    <w:rsid w:val="00F37D52"/>
    <w:rsid w:val="00F37D58"/>
    <w:rsid w:val="00F37D8E"/>
    <w:rsid w:val="00F37DAD"/>
    <w:rsid w:val="00F37DE5"/>
    <w:rsid w:val="00F37E7B"/>
    <w:rsid w:val="00F37EF7"/>
    <w:rsid w:val="00F37F7B"/>
    <w:rsid w:val="00F37F9C"/>
    <w:rsid w:val="00F37FB6"/>
    <w:rsid w:val="00F400BD"/>
    <w:rsid w:val="00F40127"/>
    <w:rsid w:val="00F40142"/>
    <w:rsid w:val="00F4018D"/>
    <w:rsid w:val="00F401AC"/>
    <w:rsid w:val="00F401AE"/>
    <w:rsid w:val="00F402B6"/>
    <w:rsid w:val="00F402F8"/>
    <w:rsid w:val="00F40366"/>
    <w:rsid w:val="00F403AA"/>
    <w:rsid w:val="00F403B5"/>
    <w:rsid w:val="00F403EC"/>
    <w:rsid w:val="00F4041A"/>
    <w:rsid w:val="00F4044F"/>
    <w:rsid w:val="00F40459"/>
    <w:rsid w:val="00F4048E"/>
    <w:rsid w:val="00F404AA"/>
    <w:rsid w:val="00F404D0"/>
    <w:rsid w:val="00F40501"/>
    <w:rsid w:val="00F4055B"/>
    <w:rsid w:val="00F405D7"/>
    <w:rsid w:val="00F4062C"/>
    <w:rsid w:val="00F40702"/>
    <w:rsid w:val="00F40705"/>
    <w:rsid w:val="00F407D8"/>
    <w:rsid w:val="00F407DA"/>
    <w:rsid w:val="00F40812"/>
    <w:rsid w:val="00F4085C"/>
    <w:rsid w:val="00F40A77"/>
    <w:rsid w:val="00F40AAE"/>
    <w:rsid w:val="00F40B46"/>
    <w:rsid w:val="00F40B7D"/>
    <w:rsid w:val="00F40B87"/>
    <w:rsid w:val="00F40BFC"/>
    <w:rsid w:val="00F40C46"/>
    <w:rsid w:val="00F40C7A"/>
    <w:rsid w:val="00F40CCF"/>
    <w:rsid w:val="00F40D0A"/>
    <w:rsid w:val="00F40DE4"/>
    <w:rsid w:val="00F40E4F"/>
    <w:rsid w:val="00F40EB1"/>
    <w:rsid w:val="00F40FFD"/>
    <w:rsid w:val="00F410B0"/>
    <w:rsid w:val="00F411CB"/>
    <w:rsid w:val="00F4121C"/>
    <w:rsid w:val="00F4125E"/>
    <w:rsid w:val="00F41288"/>
    <w:rsid w:val="00F412CF"/>
    <w:rsid w:val="00F41322"/>
    <w:rsid w:val="00F41324"/>
    <w:rsid w:val="00F413A5"/>
    <w:rsid w:val="00F413FE"/>
    <w:rsid w:val="00F41480"/>
    <w:rsid w:val="00F4150F"/>
    <w:rsid w:val="00F41583"/>
    <w:rsid w:val="00F41587"/>
    <w:rsid w:val="00F415B3"/>
    <w:rsid w:val="00F415F2"/>
    <w:rsid w:val="00F4162F"/>
    <w:rsid w:val="00F41645"/>
    <w:rsid w:val="00F41665"/>
    <w:rsid w:val="00F4172C"/>
    <w:rsid w:val="00F41749"/>
    <w:rsid w:val="00F41756"/>
    <w:rsid w:val="00F4178A"/>
    <w:rsid w:val="00F4182C"/>
    <w:rsid w:val="00F41835"/>
    <w:rsid w:val="00F41853"/>
    <w:rsid w:val="00F41873"/>
    <w:rsid w:val="00F418A4"/>
    <w:rsid w:val="00F4192D"/>
    <w:rsid w:val="00F41994"/>
    <w:rsid w:val="00F419B7"/>
    <w:rsid w:val="00F41A33"/>
    <w:rsid w:val="00F41AD2"/>
    <w:rsid w:val="00F41B50"/>
    <w:rsid w:val="00F41BF3"/>
    <w:rsid w:val="00F41C86"/>
    <w:rsid w:val="00F41C8C"/>
    <w:rsid w:val="00F41DAD"/>
    <w:rsid w:val="00F41DEF"/>
    <w:rsid w:val="00F41EC1"/>
    <w:rsid w:val="00F41F4A"/>
    <w:rsid w:val="00F41FE1"/>
    <w:rsid w:val="00F420DC"/>
    <w:rsid w:val="00F420E3"/>
    <w:rsid w:val="00F421C1"/>
    <w:rsid w:val="00F4222C"/>
    <w:rsid w:val="00F4232D"/>
    <w:rsid w:val="00F4237F"/>
    <w:rsid w:val="00F423C1"/>
    <w:rsid w:val="00F423C5"/>
    <w:rsid w:val="00F424AB"/>
    <w:rsid w:val="00F424E2"/>
    <w:rsid w:val="00F424E5"/>
    <w:rsid w:val="00F424F4"/>
    <w:rsid w:val="00F4250C"/>
    <w:rsid w:val="00F4251C"/>
    <w:rsid w:val="00F42571"/>
    <w:rsid w:val="00F4259B"/>
    <w:rsid w:val="00F425B9"/>
    <w:rsid w:val="00F425C7"/>
    <w:rsid w:val="00F42628"/>
    <w:rsid w:val="00F42633"/>
    <w:rsid w:val="00F42697"/>
    <w:rsid w:val="00F426EC"/>
    <w:rsid w:val="00F4274A"/>
    <w:rsid w:val="00F427BC"/>
    <w:rsid w:val="00F42801"/>
    <w:rsid w:val="00F428CC"/>
    <w:rsid w:val="00F428DA"/>
    <w:rsid w:val="00F428FC"/>
    <w:rsid w:val="00F42920"/>
    <w:rsid w:val="00F42994"/>
    <w:rsid w:val="00F429C6"/>
    <w:rsid w:val="00F429EC"/>
    <w:rsid w:val="00F42A04"/>
    <w:rsid w:val="00F42A3B"/>
    <w:rsid w:val="00F42A9A"/>
    <w:rsid w:val="00F42B15"/>
    <w:rsid w:val="00F42B8C"/>
    <w:rsid w:val="00F42BDB"/>
    <w:rsid w:val="00F42BE5"/>
    <w:rsid w:val="00F42D5D"/>
    <w:rsid w:val="00F42D5F"/>
    <w:rsid w:val="00F42E28"/>
    <w:rsid w:val="00F42E5B"/>
    <w:rsid w:val="00F42E9B"/>
    <w:rsid w:val="00F42E9F"/>
    <w:rsid w:val="00F42EBE"/>
    <w:rsid w:val="00F42EE4"/>
    <w:rsid w:val="00F42F1B"/>
    <w:rsid w:val="00F42FAE"/>
    <w:rsid w:val="00F4301C"/>
    <w:rsid w:val="00F430A2"/>
    <w:rsid w:val="00F430EE"/>
    <w:rsid w:val="00F4311F"/>
    <w:rsid w:val="00F43168"/>
    <w:rsid w:val="00F43184"/>
    <w:rsid w:val="00F431BA"/>
    <w:rsid w:val="00F43201"/>
    <w:rsid w:val="00F43209"/>
    <w:rsid w:val="00F43212"/>
    <w:rsid w:val="00F43245"/>
    <w:rsid w:val="00F4327B"/>
    <w:rsid w:val="00F432B3"/>
    <w:rsid w:val="00F43349"/>
    <w:rsid w:val="00F433CD"/>
    <w:rsid w:val="00F433F0"/>
    <w:rsid w:val="00F433F5"/>
    <w:rsid w:val="00F433FC"/>
    <w:rsid w:val="00F43458"/>
    <w:rsid w:val="00F4356A"/>
    <w:rsid w:val="00F43591"/>
    <w:rsid w:val="00F43651"/>
    <w:rsid w:val="00F43737"/>
    <w:rsid w:val="00F4373E"/>
    <w:rsid w:val="00F437BA"/>
    <w:rsid w:val="00F437DD"/>
    <w:rsid w:val="00F4388D"/>
    <w:rsid w:val="00F4388E"/>
    <w:rsid w:val="00F438ED"/>
    <w:rsid w:val="00F43A6F"/>
    <w:rsid w:val="00F43A88"/>
    <w:rsid w:val="00F43AAE"/>
    <w:rsid w:val="00F43BB6"/>
    <w:rsid w:val="00F43BFD"/>
    <w:rsid w:val="00F43C63"/>
    <w:rsid w:val="00F43C90"/>
    <w:rsid w:val="00F43CE4"/>
    <w:rsid w:val="00F43CEA"/>
    <w:rsid w:val="00F43CED"/>
    <w:rsid w:val="00F43D07"/>
    <w:rsid w:val="00F43E04"/>
    <w:rsid w:val="00F43E19"/>
    <w:rsid w:val="00F43E6A"/>
    <w:rsid w:val="00F43E75"/>
    <w:rsid w:val="00F43E9F"/>
    <w:rsid w:val="00F43EBE"/>
    <w:rsid w:val="00F43F35"/>
    <w:rsid w:val="00F43FD3"/>
    <w:rsid w:val="00F440CE"/>
    <w:rsid w:val="00F4411A"/>
    <w:rsid w:val="00F441A3"/>
    <w:rsid w:val="00F44244"/>
    <w:rsid w:val="00F4427B"/>
    <w:rsid w:val="00F442E7"/>
    <w:rsid w:val="00F44309"/>
    <w:rsid w:val="00F44332"/>
    <w:rsid w:val="00F44345"/>
    <w:rsid w:val="00F443D8"/>
    <w:rsid w:val="00F44435"/>
    <w:rsid w:val="00F44439"/>
    <w:rsid w:val="00F4453F"/>
    <w:rsid w:val="00F4457A"/>
    <w:rsid w:val="00F445B0"/>
    <w:rsid w:val="00F445DD"/>
    <w:rsid w:val="00F445F2"/>
    <w:rsid w:val="00F4466B"/>
    <w:rsid w:val="00F44723"/>
    <w:rsid w:val="00F44767"/>
    <w:rsid w:val="00F447A2"/>
    <w:rsid w:val="00F447D0"/>
    <w:rsid w:val="00F44816"/>
    <w:rsid w:val="00F4483B"/>
    <w:rsid w:val="00F4484D"/>
    <w:rsid w:val="00F4486B"/>
    <w:rsid w:val="00F44876"/>
    <w:rsid w:val="00F44925"/>
    <w:rsid w:val="00F44946"/>
    <w:rsid w:val="00F44984"/>
    <w:rsid w:val="00F44A24"/>
    <w:rsid w:val="00F44A34"/>
    <w:rsid w:val="00F44A4C"/>
    <w:rsid w:val="00F44BF5"/>
    <w:rsid w:val="00F44CA0"/>
    <w:rsid w:val="00F44CFE"/>
    <w:rsid w:val="00F44DA1"/>
    <w:rsid w:val="00F44DA2"/>
    <w:rsid w:val="00F44DA7"/>
    <w:rsid w:val="00F44DEB"/>
    <w:rsid w:val="00F44DF9"/>
    <w:rsid w:val="00F44E22"/>
    <w:rsid w:val="00F44ED4"/>
    <w:rsid w:val="00F44F76"/>
    <w:rsid w:val="00F44F87"/>
    <w:rsid w:val="00F44FC4"/>
    <w:rsid w:val="00F45034"/>
    <w:rsid w:val="00F45037"/>
    <w:rsid w:val="00F4507C"/>
    <w:rsid w:val="00F45096"/>
    <w:rsid w:val="00F450B7"/>
    <w:rsid w:val="00F450E0"/>
    <w:rsid w:val="00F450FB"/>
    <w:rsid w:val="00F4517D"/>
    <w:rsid w:val="00F451CC"/>
    <w:rsid w:val="00F451E4"/>
    <w:rsid w:val="00F4521D"/>
    <w:rsid w:val="00F4525D"/>
    <w:rsid w:val="00F45269"/>
    <w:rsid w:val="00F45283"/>
    <w:rsid w:val="00F452BF"/>
    <w:rsid w:val="00F45319"/>
    <w:rsid w:val="00F45361"/>
    <w:rsid w:val="00F453E8"/>
    <w:rsid w:val="00F453F6"/>
    <w:rsid w:val="00F45519"/>
    <w:rsid w:val="00F455A4"/>
    <w:rsid w:val="00F455B5"/>
    <w:rsid w:val="00F455EC"/>
    <w:rsid w:val="00F455F6"/>
    <w:rsid w:val="00F4567D"/>
    <w:rsid w:val="00F45692"/>
    <w:rsid w:val="00F456DD"/>
    <w:rsid w:val="00F456E4"/>
    <w:rsid w:val="00F4570C"/>
    <w:rsid w:val="00F45722"/>
    <w:rsid w:val="00F45736"/>
    <w:rsid w:val="00F45764"/>
    <w:rsid w:val="00F457B4"/>
    <w:rsid w:val="00F45840"/>
    <w:rsid w:val="00F45846"/>
    <w:rsid w:val="00F45883"/>
    <w:rsid w:val="00F458F0"/>
    <w:rsid w:val="00F4593C"/>
    <w:rsid w:val="00F45997"/>
    <w:rsid w:val="00F459FD"/>
    <w:rsid w:val="00F45AA4"/>
    <w:rsid w:val="00F45AB9"/>
    <w:rsid w:val="00F45C12"/>
    <w:rsid w:val="00F45C7F"/>
    <w:rsid w:val="00F45CEA"/>
    <w:rsid w:val="00F45D31"/>
    <w:rsid w:val="00F45DC4"/>
    <w:rsid w:val="00F45E1C"/>
    <w:rsid w:val="00F45E6D"/>
    <w:rsid w:val="00F45EBA"/>
    <w:rsid w:val="00F45FC6"/>
    <w:rsid w:val="00F46008"/>
    <w:rsid w:val="00F46054"/>
    <w:rsid w:val="00F46059"/>
    <w:rsid w:val="00F4610B"/>
    <w:rsid w:val="00F4612F"/>
    <w:rsid w:val="00F461EC"/>
    <w:rsid w:val="00F46247"/>
    <w:rsid w:val="00F46252"/>
    <w:rsid w:val="00F462EF"/>
    <w:rsid w:val="00F4634F"/>
    <w:rsid w:val="00F46352"/>
    <w:rsid w:val="00F46358"/>
    <w:rsid w:val="00F4642E"/>
    <w:rsid w:val="00F46464"/>
    <w:rsid w:val="00F46554"/>
    <w:rsid w:val="00F465E0"/>
    <w:rsid w:val="00F465F3"/>
    <w:rsid w:val="00F46600"/>
    <w:rsid w:val="00F4662A"/>
    <w:rsid w:val="00F466CE"/>
    <w:rsid w:val="00F466FC"/>
    <w:rsid w:val="00F4679A"/>
    <w:rsid w:val="00F46872"/>
    <w:rsid w:val="00F468AF"/>
    <w:rsid w:val="00F468D4"/>
    <w:rsid w:val="00F468FE"/>
    <w:rsid w:val="00F46972"/>
    <w:rsid w:val="00F46AB2"/>
    <w:rsid w:val="00F46B69"/>
    <w:rsid w:val="00F46BDA"/>
    <w:rsid w:val="00F46BED"/>
    <w:rsid w:val="00F46C20"/>
    <w:rsid w:val="00F46C63"/>
    <w:rsid w:val="00F46C83"/>
    <w:rsid w:val="00F46C86"/>
    <w:rsid w:val="00F46CAD"/>
    <w:rsid w:val="00F46D1E"/>
    <w:rsid w:val="00F46D99"/>
    <w:rsid w:val="00F46E4F"/>
    <w:rsid w:val="00F46E7A"/>
    <w:rsid w:val="00F46ED7"/>
    <w:rsid w:val="00F46F18"/>
    <w:rsid w:val="00F46FC3"/>
    <w:rsid w:val="00F46FE2"/>
    <w:rsid w:val="00F4704D"/>
    <w:rsid w:val="00F47075"/>
    <w:rsid w:val="00F4717B"/>
    <w:rsid w:val="00F471CC"/>
    <w:rsid w:val="00F471DE"/>
    <w:rsid w:val="00F471E9"/>
    <w:rsid w:val="00F471EE"/>
    <w:rsid w:val="00F47200"/>
    <w:rsid w:val="00F47213"/>
    <w:rsid w:val="00F4729B"/>
    <w:rsid w:val="00F472D0"/>
    <w:rsid w:val="00F472F2"/>
    <w:rsid w:val="00F4733F"/>
    <w:rsid w:val="00F4739A"/>
    <w:rsid w:val="00F47403"/>
    <w:rsid w:val="00F47410"/>
    <w:rsid w:val="00F47489"/>
    <w:rsid w:val="00F474D4"/>
    <w:rsid w:val="00F47580"/>
    <w:rsid w:val="00F475B0"/>
    <w:rsid w:val="00F475E7"/>
    <w:rsid w:val="00F47676"/>
    <w:rsid w:val="00F4767A"/>
    <w:rsid w:val="00F47693"/>
    <w:rsid w:val="00F476B0"/>
    <w:rsid w:val="00F476B3"/>
    <w:rsid w:val="00F476FA"/>
    <w:rsid w:val="00F477B6"/>
    <w:rsid w:val="00F4780E"/>
    <w:rsid w:val="00F4784A"/>
    <w:rsid w:val="00F47865"/>
    <w:rsid w:val="00F479B0"/>
    <w:rsid w:val="00F479BD"/>
    <w:rsid w:val="00F47A7F"/>
    <w:rsid w:val="00F47AF1"/>
    <w:rsid w:val="00F47B48"/>
    <w:rsid w:val="00F47BF9"/>
    <w:rsid w:val="00F47C1B"/>
    <w:rsid w:val="00F47C63"/>
    <w:rsid w:val="00F47D4D"/>
    <w:rsid w:val="00F47D75"/>
    <w:rsid w:val="00F47D91"/>
    <w:rsid w:val="00F47DA9"/>
    <w:rsid w:val="00F47E36"/>
    <w:rsid w:val="00F47E7C"/>
    <w:rsid w:val="00F47E93"/>
    <w:rsid w:val="00F47EA8"/>
    <w:rsid w:val="00F47F78"/>
    <w:rsid w:val="00F47FAF"/>
    <w:rsid w:val="00F47FC5"/>
    <w:rsid w:val="00F47FF4"/>
    <w:rsid w:val="00F47FF9"/>
    <w:rsid w:val="00F500A7"/>
    <w:rsid w:val="00F500E1"/>
    <w:rsid w:val="00F500FC"/>
    <w:rsid w:val="00F50164"/>
    <w:rsid w:val="00F502B2"/>
    <w:rsid w:val="00F50345"/>
    <w:rsid w:val="00F50382"/>
    <w:rsid w:val="00F5039B"/>
    <w:rsid w:val="00F503F8"/>
    <w:rsid w:val="00F5046C"/>
    <w:rsid w:val="00F5048F"/>
    <w:rsid w:val="00F5049B"/>
    <w:rsid w:val="00F5054F"/>
    <w:rsid w:val="00F5055B"/>
    <w:rsid w:val="00F5056C"/>
    <w:rsid w:val="00F5057A"/>
    <w:rsid w:val="00F5058F"/>
    <w:rsid w:val="00F5063B"/>
    <w:rsid w:val="00F5063C"/>
    <w:rsid w:val="00F50640"/>
    <w:rsid w:val="00F50684"/>
    <w:rsid w:val="00F506EE"/>
    <w:rsid w:val="00F50766"/>
    <w:rsid w:val="00F507CB"/>
    <w:rsid w:val="00F507F9"/>
    <w:rsid w:val="00F50829"/>
    <w:rsid w:val="00F50844"/>
    <w:rsid w:val="00F50855"/>
    <w:rsid w:val="00F50858"/>
    <w:rsid w:val="00F508A8"/>
    <w:rsid w:val="00F50935"/>
    <w:rsid w:val="00F50951"/>
    <w:rsid w:val="00F50A2D"/>
    <w:rsid w:val="00F50A5A"/>
    <w:rsid w:val="00F50A5C"/>
    <w:rsid w:val="00F50BBA"/>
    <w:rsid w:val="00F50C3C"/>
    <w:rsid w:val="00F50CA9"/>
    <w:rsid w:val="00F50D21"/>
    <w:rsid w:val="00F50D59"/>
    <w:rsid w:val="00F50D71"/>
    <w:rsid w:val="00F50DB0"/>
    <w:rsid w:val="00F50DCD"/>
    <w:rsid w:val="00F50DFA"/>
    <w:rsid w:val="00F50E04"/>
    <w:rsid w:val="00F50E11"/>
    <w:rsid w:val="00F50E3A"/>
    <w:rsid w:val="00F50E9D"/>
    <w:rsid w:val="00F50E9F"/>
    <w:rsid w:val="00F50F2C"/>
    <w:rsid w:val="00F50F3C"/>
    <w:rsid w:val="00F50F42"/>
    <w:rsid w:val="00F50F53"/>
    <w:rsid w:val="00F50FA0"/>
    <w:rsid w:val="00F50FFA"/>
    <w:rsid w:val="00F51007"/>
    <w:rsid w:val="00F51070"/>
    <w:rsid w:val="00F51072"/>
    <w:rsid w:val="00F5108C"/>
    <w:rsid w:val="00F511A3"/>
    <w:rsid w:val="00F511A8"/>
    <w:rsid w:val="00F511AC"/>
    <w:rsid w:val="00F511DF"/>
    <w:rsid w:val="00F51234"/>
    <w:rsid w:val="00F512C6"/>
    <w:rsid w:val="00F512FE"/>
    <w:rsid w:val="00F51351"/>
    <w:rsid w:val="00F513E0"/>
    <w:rsid w:val="00F51479"/>
    <w:rsid w:val="00F5148F"/>
    <w:rsid w:val="00F5150C"/>
    <w:rsid w:val="00F51512"/>
    <w:rsid w:val="00F51555"/>
    <w:rsid w:val="00F51562"/>
    <w:rsid w:val="00F51581"/>
    <w:rsid w:val="00F515C4"/>
    <w:rsid w:val="00F5162A"/>
    <w:rsid w:val="00F51723"/>
    <w:rsid w:val="00F51788"/>
    <w:rsid w:val="00F517D8"/>
    <w:rsid w:val="00F51854"/>
    <w:rsid w:val="00F5185F"/>
    <w:rsid w:val="00F5187B"/>
    <w:rsid w:val="00F518D4"/>
    <w:rsid w:val="00F518F1"/>
    <w:rsid w:val="00F5191A"/>
    <w:rsid w:val="00F51939"/>
    <w:rsid w:val="00F5195C"/>
    <w:rsid w:val="00F519CA"/>
    <w:rsid w:val="00F519CD"/>
    <w:rsid w:val="00F519D7"/>
    <w:rsid w:val="00F519E6"/>
    <w:rsid w:val="00F51A56"/>
    <w:rsid w:val="00F51A6F"/>
    <w:rsid w:val="00F51A7A"/>
    <w:rsid w:val="00F51AAB"/>
    <w:rsid w:val="00F51AFD"/>
    <w:rsid w:val="00F51C0A"/>
    <w:rsid w:val="00F51CA4"/>
    <w:rsid w:val="00F51D5B"/>
    <w:rsid w:val="00F51DAD"/>
    <w:rsid w:val="00F51DBC"/>
    <w:rsid w:val="00F51DFB"/>
    <w:rsid w:val="00F51F71"/>
    <w:rsid w:val="00F51FD5"/>
    <w:rsid w:val="00F52018"/>
    <w:rsid w:val="00F52021"/>
    <w:rsid w:val="00F52039"/>
    <w:rsid w:val="00F5204B"/>
    <w:rsid w:val="00F520A7"/>
    <w:rsid w:val="00F520BC"/>
    <w:rsid w:val="00F520D4"/>
    <w:rsid w:val="00F52198"/>
    <w:rsid w:val="00F521A1"/>
    <w:rsid w:val="00F521A9"/>
    <w:rsid w:val="00F521C4"/>
    <w:rsid w:val="00F52228"/>
    <w:rsid w:val="00F522AE"/>
    <w:rsid w:val="00F522D0"/>
    <w:rsid w:val="00F523E7"/>
    <w:rsid w:val="00F52426"/>
    <w:rsid w:val="00F524CA"/>
    <w:rsid w:val="00F524CF"/>
    <w:rsid w:val="00F52565"/>
    <w:rsid w:val="00F525A4"/>
    <w:rsid w:val="00F526E8"/>
    <w:rsid w:val="00F526EF"/>
    <w:rsid w:val="00F52751"/>
    <w:rsid w:val="00F52782"/>
    <w:rsid w:val="00F52799"/>
    <w:rsid w:val="00F527AF"/>
    <w:rsid w:val="00F52843"/>
    <w:rsid w:val="00F5285C"/>
    <w:rsid w:val="00F528BE"/>
    <w:rsid w:val="00F52936"/>
    <w:rsid w:val="00F529A4"/>
    <w:rsid w:val="00F529B3"/>
    <w:rsid w:val="00F52A0C"/>
    <w:rsid w:val="00F52A30"/>
    <w:rsid w:val="00F52A4A"/>
    <w:rsid w:val="00F52A73"/>
    <w:rsid w:val="00F52A89"/>
    <w:rsid w:val="00F52A99"/>
    <w:rsid w:val="00F52AC3"/>
    <w:rsid w:val="00F52AD0"/>
    <w:rsid w:val="00F52ADB"/>
    <w:rsid w:val="00F52ADD"/>
    <w:rsid w:val="00F52B30"/>
    <w:rsid w:val="00F52B55"/>
    <w:rsid w:val="00F52BD7"/>
    <w:rsid w:val="00F52C89"/>
    <w:rsid w:val="00F52D14"/>
    <w:rsid w:val="00F52D37"/>
    <w:rsid w:val="00F52D48"/>
    <w:rsid w:val="00F52D4A"/>
    <w:rsid w:val="00F52D56"/>
    <w:rsid w:val="00F52D92"/>
    <w:rsid w:val="00F52E75"/>
    <w:rsid w:val="00F52EDB"/>
    <w:rsid w:val="00F52EE7"/>
    <w:rsid w:val="00F52EF0"/>
    <w:rsid w:val="00F52F1E"/>
    <w:rsid w:val="00F52F3A"/>
    <w:rsid w:val="00F52F4C"/>
    <w:rsid w:val="00F52FC2"/>
    <w:rsid w:val="00F52FDB"/>
    <w:rsid w:val="00F52FDE"/>
    <w:rsid w:val="00F52FE4"/>
    <w:rsid w:val="00F53004"/>
    <w:rsid w:val="00F53052"/>
    <w:rsid w:val="00F5306E"/>
    <w:rsid w:val="00F5307B"/>
    <w:rsid w:val="00F53125"/>
    <w:rsid w:val="00F531DC"/>
    <w:rsid w:val="00F53219"/>
    <w:rsid w:val="00F5321E"/>
    <w:rsid w:val="00F53236"/>
    <w:rsid w:val="00F5328B"/>
    <w:rsid w:val="00F532CB"/>
    <w:rsid w:val="00F532DD"/>
    <w:rsid w:val="00F5332B"/>
    <w:rsid w:val="00F5350D"/>
    <w:rsid w:val="00F53584"/>
    <w:rsid w:val="00F535B8"/>
    <w:rsid w:val="00F535CD"/>
    <w:rsid w:val="00F535F8"/>
    <w:rsid w:val="00F5360F"/>
    <w:rsid w:val="00F5363C"/>
    <w:rsid w:val="00F53668"/>
    <w:rsid w:val="00F53698"/>
    <w:rsid w:val="00F536EC"/>
    <w:rsid w:val="00F537D2"/>
    <w:rsid w:val="00F537E1"/>
    <w:rsid w:val="00F5388F"/>
    <w:rsid w:val="00F538EB"/>
    <w:rsid w:val="00F53942"/>
    <w:rsid w:val="00F539EE"/>
    <w:rsid w:val="00F53A40"/>
    <w:rsid w:val="00F53A80"/>
    <w:rsid w:val="00F53A85"/>
    <w:rsid w:val="00F53B0B"/>
    <w:rsid w:val="00F53B73"/>
    <w:rsid w:val="00F53B7C"/>
    <w:rsid w:val="00F53B8C"/>
    <w:rsid w:val="00F53CD9"/>
    <w:rsid w:val="00F53D18"/>
    <w:rsid w:val="00F53D19"/>
    <w:rsid w:val="00F53DB0"/>
    <w:rsid w:val="00F53DBD"/>
    <w:rsid w:val="00F53DE7"/>
    <w:rsid w:val="00F53E01"/>
    <w:rsid w:val="00F53E1D"/>
    <w:rsid w:val="00F53E40"/>
    <w:rsid w:val="00F53E42"/>
    <w:rsid w:val="00F53E76"/>
    <w:rsid w:val="00F53E81"/>
    <w:rsid w:val="00F53E8E"/>
    <w:rsid w:val="00F53EC9"/>
    <w:rsid w:val="00F53ECD"/>
    <w:rsid w:val="00F53EF0"/>
    <w:rsid w:val="00F53F14"/>
    <w:rsid w:val="00F53F18"/>
    <w:rsid w:val="00F53F66"/>
    <w:rsid w:val="00F53F69"/>
    <w:rsid w:val="00F53FB4"/>
    <w:rsid w:val="00F53FD9"/>
    <w:rsid w:val="00F53FE0"/>
    <w:rsid w:val="00F54049"/>
    <w:rsid w:val="00F5409E"/>
    <w:rsid w:val="00F540AD"/>
    <w:rsid w:val="00F540CE"/>
    <w:rsid w:val="00F5411B"/>
    <w:rsid w:val="00F54132"/>
    <w:rsid w:val="00F5414B"/>
    <w:rsid w:val="00F541FD"/>
    <w:rsid w:val="00F5429C"/>
    <w:rsid w:val="00F542B1"/>
    <w:rsid w:val="00F542CB"/>
    <w:rsid w:val="00F5432E"/>
    <w:rsid w:val="00F543DE"/>
    <w:rsid w:val="00F54416"/>
    <w:rsid w:val="00F54425"/>
    <w:rsid w:val="00F54466"/>
    <w:rsid w:val="00F5448D"/>
    <w:rsid w:val="00F544E6"/>
    <w:rsid w:val="00F544ED"/>
    <w:rsid w:val="00F544FF"/>
    <w:rsid w:val="00F54519"/>
    <w:rsid w:val="00F54543"/>
    <w:rsid w:val="00F54553"/>
    <w:rsid w:val="00F54569"/>
    <w:rsid w:val="00F5456B"/>
    <w:rsid w:val="00F545E6"/>
    <w:rsid w:val="00F545E8"/>
    <w:rsid w:val="00F546E9"/>
    <w:rsid w:val="00F546EA"/>
    <w:rsid w:val="00F546FB"/>
    <w:rsid w:val="00F547A5"/>
    <w:rsid w:val="00F54819"/>
    <w:rsid w:val="00F5481B"/>
    <w:rsid w:val="00F5497A"/>
    <w:rsid w:val="00F549B8"/>
    <w:rsid w:val="00F54A4F"/>
    <w:rsid w:val="00F54B39"/>
    <w:rsid w:val="00F54B48"/>
    <w:rsid w:val="00F54B84"/>
    <w:rsid w:val="00F54BB7"/>
    <w:rsid w:val="00F54C18"/>
    <w:rsid w:val="00F54CD7"/>
    <w:rsid w:val="00F54D31"/>
    <w:rsid w:val="00F54D60"/>
    <w:rsid w:val="00F54DC0"/>
    <w:rsid w:val="00F54DD3"/>
    <w:rsid w:val="00F54E1E"/>
    <w:rsid w:val="00F54E76"/>
    <w:rsid w:val="00F54EAE"/>
    <w:rsid w:val="00F54ECF"/>
    <w:rsid w:val="00F54F2B"/>
    <w:rsid w:val="00F54F90"/>
    <w:rsid w:val="00F54F9B"/>
    <w:rsid w:val="00F54FA4"/>
    <w:rsid w:val="00F54FFE"/>
    <w:rsid w:val="00F55023"/>
    <w:rsid w:val="00F55129"/>
    <w:rsid w:val="00F55130"/>
    <w:rsid w:val="00F551B1"/>
    <w:rsid w:val="00F551D5"/>
    <w:rsid w:val="00F5522E"/>
    <w:rsid w:val="00F55266"/>
    <w:rsid w:val="00F552F5"/>
    <w:rsid w:val="00F554BF"/>
    <w:rsid w:val="00F55502"/>
    <w:rsid w:val="00F55516"/>
    <w:rsid w:val="00F5553A"/>
    <w:rsid w:val="00F55591"/>
    <w:rsid w:val="00F555EC"/>
    <w:rsid w:val="00F55604"/>
    <w:rsid w:val="00F55686"/>
    <w:rsid w:val="00F5569B"/>
    <w:rsid w:val="00F55742"/>
    <w:rsid w:val="00F55798"/>
    <w:rsid w:val="00F557BF"/>
    <w:rsid w:val="00F557E5"/>
    <w:rsid w:val="00F557FE"/>
    <w:rsid w:val="00F55933"/>
    <w:rsid w:val="00F55934"/>
    <w:rsid w:val="00F559A3"/>
    <w:rsid w:val="00F559BE"/>
    <w:rsid w:val="00F55B67"/>
    <w:rsid w:val="00F55BBD"/>
    <w:rsid w:val="00F55C67"/>
    <w:rsid w:val="00F55C6C"/>
    <w:rsid w:val="00F55CBC"/>
    <w:rsid w:val="00F55CE3"/>
    <w:rsid w:val="00F55D0F"/>
    <w:rsid w:val="00F55D53"/>
    <w:rsid w:val="00F55D6B"/>
    <w:rsid w:val="00F55DB9"/>
    <w:rsid w:val="00F55F7D"/>
    <w:rsid w:val="00F55FC4"/>
    <w:rsid w:val="00F55FE1"/>
    <w:rsid w:val="00F5600E"/>
    <w:rsid w:val="00F5605E"/>
    <w:rsid w:val="00F56149"/>
    <w:rsid w:val="00F56169"/>
    <w:rsid w:val="00F5619F"/>
    <w:rsid w:val="00F561AF"/>
    <w:rsid w:val="00F561E5"/>
    <w:rsid w:val="00F56239"/>
    <w:rsid w:val="00F5625A"/>
    <w:rsid w:val="00F562B1"/>
    <w:rsid w:val="00F5633B"/>
    <w:rsid w:val="00F56347"/>
    <w:rsid w:val="00F56349"/>
    <w:rsid w:val="00F563AE"/>
    <w:rsid w:val="00F5646E"/>
    <w:rsid w:val="00F564A0"/>
    <w:rsid w:val="00F564C5"/>
    <w:rsid w:val="00F564EB"/>
    <w:rsid w:val="00F5655B"/>
    <w:rsid w:val="00F566B2"/>
    <w:rsid w:val="00F566D7"/>
    <w:rsid w:val="00F566E3"/>
    <w:rsid w:val="00F5678F"/>
    <w:rsid w:val="00F5683A"/>
    <w:rsid w:val="00F56889"/>
    <w:rsid w:val="00F56A0D"/>
    <w:rsid w:val="00F56A34"/>
    <w:rsid w:val="00F56A45"/>
    <w:rsid w:val="00F56AF5"/>
    <w:rsid w:val="00F56B0A"/>
    <w:rsid w:val="00F56B37"/>
    <w:rsid w:val="00F56C2C"/>
    <w:rsid w:val="00F56C39"/>
    <w:rsid w:val="00F56D22"/>
    <w:rsid w:val="00F56D40"/>
    <w:rsid w:val="00F56EFA"/>
    <w:rsid w:val="00F56F46"/>
    <w:rsid w:val="00F56F7B"/>
    <w:rsid w:val="00F56F99"/>
    <w:rsid w:val="00F57096"/>
    <w:rsid w:val="00F570BF"/>
    <w:rsid w:val="00F570EA"/>
    <w:rsid w:val="00F57101"/>
    <w:rsid w:val="00F57137"/>
    <w:rsid w:val="00F57174"/>
    <w:rsid w:val="00F5719F"/>
    <w:rsid w:val="00F57230"/>
    <w:rsid w:val="00F57232"/>
    <w:rsid w:val="00F57273"/>
    <w:rsid w:val="00F57275"/>
    <w:rsid w:val="00F57281"/>
    <w:rsid w:val="00F5728B"/>
    <w:rsid w:val="00F57290"/>
    <w:rsid w:val="00F5729C"/>
    <w:rsid w:val="00F57398"/>
    <w:rsid w:val="00F573CF"/>
    <w:rsid w:val="00F57410"/>
    <w:rsid w:val="00F57434"/>
    <w:rsid w:val="00F5744B"/>
    <w:rsid w:val="00F5749A"/>
    <w:rsid w:val="00F57517"/>
    <w:rsid w:val="00F5756C"/>
    <w:rsid w:val="00F5756F"/>
    <w:rsid w:val="00F575BE"/>
    <w:rsid w:val="00F576CA"/>
    <w:rsid w:val="00F5773F"/>
    <w:rsid w:val="00F57753"/>
    <w:rsid w:val="00F577C3"/>
    <w:rsid w:val="00F577FB"/>
    <w:rsid w:val="00F57830"/>
    <w:rsid w:val="00F57888"/>
    <w:rsid w:val="00F578CF"/>
    <w:rsid w:val="00F5792C"/>
    <w:rsid w:val="00F57961"/>
    <w:rsid w:val="00F5796D"/>
    <w:rsid w:val="00F57972"/>
    <w:rsid w:val="00F57994"/>
    <w:rsid w:val="00F579A3"/>
    <w:rsid w:val="00F57A04"/>
    <w:rsid w:val="00F57AB1"/>
    <w:rsid w:val="00F57AE4"/>
    <w:rsid w:val="00F57B30"/>
    <w:rsid w:val="00F57B35"/>
    <w:rsid w:val="00F57B5E"/>
    <w:rsid w:val="00F57B6B"/>
    <w:rsid w:val="00F57B8B"/>
    <w:rsid w:val="00F57B95"/>
    <w:rsid w:val="00F57BB2"/>
    <w:rsid w:val="00F57C18"/>
    <w:rsid w:val="00F57C55"/>
    <w:rsid w:val="00F57C5D"/>
    <w:rsid w:val="00F57CB0"/>
    <w:rsid w:val="00F57CDD"/>
    <w:rsid w:val="00F57D15"/>
    <w:rsid w:val="00F57DB8"/>
    <w:rsid w:val="00F57E68"/>
    <w:rsid w:val="00F57ECC"/>
    <w:rsid w:val="00F57F2B"/>
    <w:rsid w:val="00F57F97"/>
    <w:rsid w:val="00F57FE2"/>
    <w:rsid w:val="00F60048"/>
    <w:rsid w:val="00F6009E"/>
    <w:rsid w:val="00F6010E"/>
    <w:rsid w:val="00F60124"/>
    <w:rsid w:val="00F601CD"/>
    <w:rsid w:val="00F60206"/>
    <w:rsid w:val="00F602AC"/>
    <w:rsid w:val="00F60357"/>
    <w:rsid w:val="00F603D3"/>
    <w:rsid w:val="00F6040D"/>
    <w:rsid w:val="00F60461"/>
    <w:rsid w:val="00F6047D"/>
    <w:rsid w:val="00F60507"/>
    <w:rsid w:val="00F60533"/>
    <w:rsid w:val="00F60557"/>
    <w:rsid w:val="00F60686"/>
    <w:rsid w:val="00F606AE"/>
    <w:rsid w:val="00F606C7"/>
    <w:rsid w:val="00F60760"/>
    <w:rsid w:val="00F6076C"/>
    <w:rsid w:val="00F6082A"/>
    <w:rsid w:val="00F60884"/>
    <w:rsid w:val="00F608BF"/>
    <w:rsid w:val="00F608E7"/>
    <w:rsid w:val="00F608FA"/>
    <w:rsid w:val="00F60913"/>
    <w:rsid w:val="00F60925"/>
    <w:rsid w:val="00F609F1"/>
    <w:rsid w:val="00F609F3"/>
    <w:rsid w:val="00F60A05"/>
    <w:rsid w:val="00F60B0E"/>
    <w:rsid w:val="00F60B21"/>
    <w:rsid w:val="00F60B91"/>
    <w:rsid w:val="00F60B9C"/>
    <w:rsid w:val="00F60C55"/>
    <w:rsid w:val="00F60C6F"/>
    <w:rsid w:val="00F60CEF"/>
    <w:rsid w:val="00F60CF2"/>
    <w:rsid w:val="00F60D21"/>
    <w:rsid w:val="00F60D52"/>
    <w:rsid w:val="00F60E4E"/>
    <w:rsid w:val="00F60E60"/>
    <w:rsid w:val="00F60E7B"/>
    <w:rsid w:val="00F60E91"/>
    <w:rsid w:val="00F60EBF"/>
    <w:rsid w:val="00F60FB7"/>
    <w:rsid w:val="00F61010"/>
    <w:rsid w:val="00F61033"/>
    <w:rsid w:val="00F6105B"/>
    <w:rsid w:val="00F61093"/>
    <w:rsid w:val="00F6110F"/>
    <w:rsid w:val="00F61119"/>
    <w:rsid w:val="00F61126"/>
    <w:rsid w:val="00F61212"/>
    <w:rsid w:val="00F61342"/>
    <w:rsid w:val="00F613F9"/>
    <w:rsid w:val="00F61427"/>
    <w:rsid w:val="00F614D7"/>
    <w:rsid w:val="00F61504"/>
    <w:rsid w:val="00F6154F"/>
    <w:rsid w:val="00F6155E"/>
    <w:rsid w:val="00F6159B"/>
    <w:rsid w:val="00F61638"/>
    <w:rsid w:val="00F6171D"/>
    <w:rsid w:val="00F6178B"/>
    <w:rsid w:val="00F617AD"/>
    <w:rsid w:val="00F61936"/>
    <w:rsid w:val="00F61940"/>
    <w:rsid w:val="00F6199A"/>
    <w:rsid w:val="00F619D0"/>
    <w:rsid w:val="00F619F8"/>
    <w:rsid w:val="00F61A22"/>
    <w:rsid w:val="00F61A81"/>
    <w:rsid w:val="00F61AB3"/>
    <w:rsid w:val="00F61AC1"/>
    <w:rsid w:val="00F61AD7"/>
    <w:rsid w:val="00F61AF8"/>
    <w:rsid w:val="00F61B66"/>
    <w:rsid w:val="00F61B6D"/>
    <w:rsid w:val="00F61BE5"/>
    <w:rsid w:val="00F61D24"/>
    <w:rsid w:val="00F61D4D"/>
    <w:rsid w:val="00F61D50"/>
    <w:rsid w:val="00F61D66"/>
    <w:rsid w:val="00F61DD4"/>
    <w:rsid w:val="00F61DDF"/>
    <w:rsid w:val="00F61E2C"/>
    <w:rsid w:val="00F61E2D"/>
    <w:rsid w:val="00F61E65"/>
    <w:rsid w:val="00F61EC8"/>
    <w:rsid w:val="00F61EE0"/>
    <w:rsid w:val="00F61F78"/>
    <w:rsid w:val="00F61F85"/>
    <w:rsid w:val="00F6205F"/>
    <w:rsid w:val="00F62079"/>
    <w:rsid w:val="00F62122"/>
    <w:rsid w:val="00F6214E"/>
    <w:rsid w:val="00F62184"/>
    <w:rsid w:val="00F6219D"/>
    <w:rsid w:val="00F62202"/>
    <w:rsid w:val="00F6226D"/>
    <w:rsid w:val="00F622E6"/>
    <w:rsid w:val="00F62318"/>
    <w:rsid w:val="00F6233A"/>
    <w:rsid w:val="00F623B1"/>
    <w:rsid w:val="00F624AB"/>
    <w:rsid w:val="00F625A5"/>
    <w:rsid w:val="00F626A7"/>
    <w:rsid w:val="00F6274E"/>
    <w:rsid w:val="00F62770"/>
    <w:rsid w:val="00F62791"/>
    <w:rsid w:val="00F627A9"/>
    <w:rsid w:val="00F627B2"/>
    <w:rsid w:val="00F62849"/>
    <w:rsid w:val="00F6285B"/>
    <w:rsid w:val="00F62866"/>
    <w:rsid w:val="00F628EC"/>
    <w:rsid w:val="00F62A61"/>
    <w:rsid w:val="00F62A6D"/>
    <w:rsid w:val="00F62A78"/>
    <w:rsid w:val="00F62A8A"/>
    <w:rsid w:val="00F62AC7"/>
    <w:rsid w:val="00F62AEC"/>
    <w:rsid w:val="00F62B08"/>
    <w:rsid w:val="00F62BB0"/>
    <w:rsid w:val="00F62C25"/>
    <w:rsid w:val="00F62C43"/>
    <w:rsid w:val="00F62C92"/>
    <w:rsid w:val="00F62D06"/>
    <w:rsid w:val="00F62D43"/>
    <w:rsid w:val="00F62E11"/>
    <w:rsid w:val="00F62EDD"/>
    <w:rsid w:val="00F62F24"/>
    <w:rsid w:val="00F62F28"/>
    <w:rsid w:val="00F62F51"/>
    <w:rsid w:val="00F63121"/>
    <w:rsid w:val="00F63123"/>
    <w:rsid w:val="00F63148"/>
    <w:rsid w:val="00F6314F"/>
    <w:rsid w:val="00F631B9"/>
    <w:rsid w:val="00F63210"/>
    <w:rsid w:val="00F6322A"/>
    <w:rsid w:val="00F63317"/>
    <w:rsid w:val="00F6338E"/>
    <w:rsid w:val="00F6340F"/>
    <w:rsid w:val="00F63415"/>
    <w:rsid w:val="00F6344E"/>
    <w:rsid w:val="00F6344F"/>
    <w:rsid w:val="00F634B3"/>
    <w:rsid w:val="00F634F1"/>
    <w:rsid w:val="00F634F9"/>
    <w:rsid w:val="00F63520"/>
    <w:rsid w:val="00F63593"/>
    <w:rsid w:val="00F635FD"/>
    <w:rsid w:val="00F63730"/>
    <w:rsid w:val="00F63770"/>
    <w:rsid w:val="00F637CD"/>
    <w:rsid w:val="00F63825"/>
    <w:rsid w:val="00F638AA"/>
    <w:rsid w:val="00F638CD"/>
    <w:rsid w:val="00F638F4"/>
    <w:rsid w:val="00F63951"/>
    <w:rsid w:val="00F63974"/>
    <w:rsid w:val="00F639C2"/>
    <w:rsid w:val="00F639CB"/>
    <w:rsid w:val="00F63A25"/>
    <w:rsid w:val="00F63A44"/>
    <w:rsid w:val="00F63AA0"/>
    <w:rsid w:val="00F63AC8"/>
    <w:rsid w:val="00F63CB1"/>
    <w:rsid w:val="00F63CBD"/>
    <w:rsid w:val="00F63CE3"/>
    <w:rsid w:val="00F63CEA"/>
    <w:rsid w:val="00F63D20"/>
    <w:rsid w:val="00F63D5C"/>
    <w:rsid w:val="00F63DF2"/>
    <w:rsid w:val="00F63E0D"/>
    <w:rsid w:val="00F63E12"/>
    <w:rsid w:val="00F63E83"/>
    <w:rsid w:val="00F63E89"/>
    <w:rsid w:val="00F63EE8"/>
    <w:rsid w:val="00F63F15"/>
    <w:rsid w:val="00F63F29"/>
    <w:rsid w:val="00F63F5E"/>
    <w:rsid w:val="00F63F70"/>
    <w:rsid w:val="00F64013"/>
    <w:rsid w:val="00F6405D"/>
    <w:rsid w:val="00F64063"/>
    <w:rsid w:val="00F640B4"/>
    <w:rsid w:val="00F640F7"/>
    <w:rsid w:val="00F64119"/>
    <w:rsid w:val="00F64156"/>
    <w:rsid w:val="00F6425D"/>
    <w:rsid w:val="00F64281"/>
    <w:rsid w:val="00F642FE"/>
    <w:rsid w:val="00F64345"/>
    <w:rsid w:val="00F64379"/>
    <w:rsid w:val="00F643C3"/>
    <w:rsid w:val="00F6442A"/>
    <w:rsid w:val="00F6443E"/>
    <w:rsid w:val="00F64507"/>
    <w:rsid w:val="00F64539"/>
    <w:rsid w:val="00F64600"/>
    <w:rsid w:val="00F6463F"/>
    <w:rsid w:val="00F64718"/>
    <w:rsid w:val="00F6473A"/>
    <w:rsid w:val="00F64831"/>
    <w:rsid w:val="00F64835"/>
    <w:rsid w:val="00F6486A"/>
    <w:rsid w:val="00F64894"/>
    <w:rsid w:val="00F649A6"/>
    <w:rsid w:val="00F649D4"/>
    <w:rsid w:val="00F64A03"/>
    <w:rsid w:val="00F64A10"/>
    <w:rsid w:val="00F64ACD"/>
    <w:rsid w:val="00F64AFE"/>
    <w:rsid w:val="00F64B86"/>
    <w:rsid w:val="00F64B87"/>
    <w:rsid w:val="00F64BA5"/>
    <w:rsid w:val="00F64BAA"/>
    <w:rsid w:val="00F64BD6"/>
    <w:rsid w:val="00F64BEA"/>
    <w:rsid w:val="00F64C0D"/>
    <w:rsid w:val="00F64C56"/>
    <w:rsid w:val="00F64C63"/>
    <w:rsid w:val="00F64C71"/>
    <w:rsid w:val="00F64C73"/>
    <w:rsid w:val="00F64D3F"/>
    <w:rsid w:val="00F64D54"/>
    <w:rsid w:val="00F64D88"/>
    <w:rsid w:val="00F64D8D"/>
    <w:rsid w:val="00F64D8E"/>
    <w:rsid w:val="00F64DB8"/>
    <w:rsid w:val="00F64EC0"/>
    <w:rsid w:val="00F64F20"/>
    <w:rsid w:val="00F64F4D"/>
    <w:rsid w:val="00F64F98"/>
    <w:rsid w:val="00F64FA0"/>
    <w:rsid w:val="00F64FC7"/>
    <w:rsid w:val="00F64FD2"/>
    <w:rsid w:val="00F65012"/>
    <w:rsid w:val="00F6505B"/>
    <w:rsid w:val="00F650CC"/>
    <w:rsid w:val="00F650F2"/>
    <w:rsid w:val="00F65226"/>
    <w:rsid w:val="00F65228"/>
    <w:rsid w:val="00F652D6"/>
    <w:rsid w:val="00F652F0"/>
    <w:rsid w:val="00F65314"/>
    <w:rsid w:val="00F65377"/>
    <w:rsid w:val="00F653C2"/>
    <w:rsid w:val="00F65430"/>
    <w:rsid w:val="00F65447"/>
    <w:rsid w:val="00F654AA"/>
    <w:rsid w:val="00F6555F"/>
    <w:rsid w:val="00F6558C"/>
    <w:rsid w:val="00F65591"/>
    <w:rsid w:val="00F655B9"/>
    <w:rsid w:val="00F655E2"/>
    <w:rsid w:val="00F655FB"/>
    <w:rsid w:val="00F65637"/>
    <w:rsid w:val="00F656F4"/>
    <w:rsid w:val="00F656FF"/>
    <w:rsid w:val="00F6571C"/>
    <w:rsid w:val="00F65739"/>
    <w:rsid w:val="00F65754"/>
    <w:rsid w:val="00F65758"/>
    <w:rsid w:val="00F658A4"/>
    <w:rsid w:val="00F65947"/>
    <w:rsid w:val="00F659F2"/>
    <w:rsid w:val="00F65A14"/>
    <w:rsid w:val="00F65A1B"/>
    <w:rsid w:val="00F65AB7"/>
    <w:rsid w:val="00F65ABE"/>
    <w:rsid w:val="00F65C0E"/>
    <w:rsid w:val="00F65C1A"/>
    <w:rsid w:val="00F65C22"/>
    <w:rsid w:val="00F65C24"/>
    <w:rsid w:val="00F65C41"/>
    <w:rsid w:val="00F65C67"/>
    <w:rsid w:val="00F65D35"/>
    <w:rsid w:val="00F65DFC"/>
    <w:rsid w:val="00F65E3F"/>
    <w:rsid w:val="00F65EBC"/>
    <w:rsid w:val="00F65F85"/>
    <w:rsid w:val="00F65FD7"/>
    <w:rsid w:val="00F66055"/>
    <w:rsid w:val="00F66079"/>
    <w:rsid w:val="00F6607A"/>
    <w:rsid w:val="00F6608E"/>
    <w:rsid w:val="00F660AF"/>
    <w:rsid w:val="00F661F8"/>
    <w:rsid w:val="00F6620B"/>
    <w:rsid w:val="00F66273"/>
    <w:rsid w:val="00F662E7"/>
    <w:rsid w:val="00F66434"/>
    <w:rsid w:val="00F66437"/>
    <w:rsid w:val="00F66438"/>
    <w:rsid w:val="00F6649A"/>
    <w:rsid w:val="00F664AA"/>
    <w:rsid w:val="00F66512"/>
    <w:rsid w:val="00F6654D"/>
    <w:rsid w:val="00F66559"/>
    <w:rsid w:val="00F6658D"/>
    <w:rsid w:val="00F665CB"/>
    <w:rsid w:val="00F66615"/>
    <w:rsid w:val="00F66618"/>
    <w:rsid w:val="00F66634"/>
    <w:rsid w:val="00F6668C"/>
    <w:rsid w:val="00F6669E"/>
    <w:rsid w:val="00F666BD"/>
    <w:rsid w:val="00F666C9"/>
    <w:rsid w:val="00F666E6"/>
    <w:rsid w:val="00F667B1"/>
    <w:rsid w:val="00F66874"/>
    <w:rsid w:val="00F66894"/>
    <w:rsid w:val="00F6692C"/>
    <w:rsid w:val="00F66950"/>
    <w:rsid w:val="00F6695B"/>
    <w:rsid w:val="00F66A69"/>
    <w:rsid w:val="00F66A7B"/>
    <w:rsid w:val="00F66A9A"/>
    <w:rsid w:val="00F66AE8"/>
    <w:rsid w:val="00F66AFD"/>
    <w:rsid w:val="00F66B8E"/>
    <w:rsid w:val="00F66C43"/>
    <w:rsid w:val="00F66C76"/>
    <w:rsid w:val="00F66C91"/>
    <w:rsid w:val="00F66CA7"/>
    <w:rsid w:val="00F66DB8"/>
    <w:rsid w:val="00F66E05"/>
    <w:rsid w:val="00F66E09"/>
    <w:rsid w:val="00F66EFC"/>
    <w:rsid w:val="00F66F4D"/>
    <w:rsid w:val="00F66F95"/>
    <w:rsid w:val="00F66FAA"/>
    <w:rsid w:val="00F6700C"/>
    <w:rsid w:val="00F67032"/>
    <w:rsid w:val="00F6704E"/>
    <w:rsid w:val="00F670FE"/>
    <w:rsid w:val="00F67179"/>
    <w:rsid w:val="00F671AB"/>
    <w:rsid w:val="00F671D3"/>
    <w:rsid w:val="00F67263"/>
    <w:rsid w:val="00F67264"/>
    <w:rsid w:val="00F6726D"/>
    <w:rsid w:val="00F672E1"/>
    <w:rsid w:val="00F672E8"/>
    <w:rsid w:val="00F6730F"/>
    <w:rsid w:val="00F67350"/>
    <w:rsid w:val="00F673C7"/>
    <w:rsid w:val="00F674BB"/>
    <w:rsid w:val="00F675BE"/>
    <w:rsid w:val="00F675D1"/>
    <w:rsid w:val="00F67628"/>
    <w:rsid w:val="00F67676"/>
    <w:rsid w:val="00F676D6"/>
    <w:rsid w:val="00F676FD"/>
    <w:rsid w:val="00F6770B"/>
    <w:rsid w:val="00F6770E"/>
    <w:rsid w:val="00F6776A"/>
    <w:rsid w:val="00F677FA"/>
    <w:rsid w:val="00F67899"/>
    <w:rsid w:val="00F678B7"/>
    <w:rsid w:val="00F678DA"/>
    <w:rsid w:val="00F67A6D"/>
    <w:rsid w:val="00F67A79"/>
    <w:rsid w:val="00F67A9B"/>
    <w:rsid w:val="00F67B60"/>
    <w:rsid w:val="00F67BC5"/>
    <w:rsid w:val="00F67C23"/>
    <w:rsid w:val="00F67D5A"/>
    <w:rsid w:val="00F67D62"/>
    <w:rsid w:val="00F67D81"/>
    <w:rsid w:val="00F67DBA"/>
    <w:rsid w:val="00F67E0F"/>
    <w:rsid w:val="00F67E1A"/>
    <w:rsid w:val="00F67E54"/>
    <w:rsid w:val="00F67E6B"/>
    <w:rsid w:val="00F67E94"/>
    <w:rsid w:val="00F67ED8"/>
    <w:rsid w:val="00F67F00"/>
    <w:rsid w:val="00F67F6F"/>
    <w:rsid w:val="00F67FF7"/>
    <w:rsid w:val="00F69C3D"/>
    <w:rsid w:val="00F70001"/>
    <w:rsid w:val="00F70052"/>
    <w:rsid w:val="00F70078"/>
    <w:rsid w:val="00F70091"/>
    <w:rsid w:val="00F700A8"/>
    <w:rsid w:val="00F700DA"/>
    <w:rsid w:val="00F7010E"/>
    <w:rsid w:val="00F7018B"/>
    <w:rsid w:val="00F701C9"/>
    <w:rsid w:val="00F7025B"/>
    <w:rsid w:val="00F7027D"/>
    <w:rsid w:val="00F7028A"/>
    <w:rsid w:val="00F70308"/>
    <w:rsid w:val="00F7035A"/>
    <w:rsid w:val="00F703AC"/>
    <w:rsid w:val="00F703C4"/>
    <w:rsid w:val="00F703C7"/>
    <w:rsid w:val="00F703F6"/>
    <w:rsid w:val="00F704AD"/>
    <w:rsid w:val="00F704B0"/>
    <w:rsid w:val="00F704CA"/>
    <w:rsid w:val="00F704EC"/>
    <w:rsid w:val="00F70601"/>
    <w:rsid w:val="00F70647"/>
    <w:rsid w:val="00F70657"/>
    <w:rsid w:val="00F707A7"/>
    <w:rsid w:val="00F70807"/>
    <w:rsid w:val="00F70825"/>
    <w:rsid w:val="00F708C8"/>
    <w:rsid w:val="00F708D8"/>
    <w:rsid w:val="00F70924"/>
    <w:rsid w:val="00F7094A"/>
    <w:rsid w:val="00F709B4"/>
    <w:rsid w:val="00F709BE"/>
    <w:rsid w:val="00F709D4"/>
    <w:rsid w:val="00F70A1F"/>
    <w:rsid w:val="00F70A27"/>
    <w:rsid w:val="00F70A39"/>
    <w:rsid w:val="00F70AB8"/>
    <w:rsid w:val="00F70B31"/>
    <w:rsid w:val="00F70B48"/>
    <w:rsid w:val="00F70B77"/>
    <w:rsid w:val="00F70B8D"/>
    <w:rsid w:val="00F70BC1"/>
    <w:rsid w:val="00F70C12"/>
    <w:rsid w:val="00F70C80"/>
    <w:rsid w:val="00F70CB4"/>
    <w:rsid w:val="00F70D05"/>
    <w:rsid w:val="00F70D5C"/>
    <w:rsid w:val="00F70D65"/>
    <w:rsid w:val="00F70E35"/>
    <w:rsid w:val="00F70E47"/>
    <w:rsid w:val="00F70E52"/>
    <w:rsid w:val="00F70E9F"/>
    <w:rsid w:val="00F70EB6"/>
    <w:rsid w:val="00F70EB8"/>
    <w:rsid w:val="00F70F6B"/>
    <w:rsid w:val="00F70F71"/>
    <w:rsid w:val="00F70FAE"/>
    <w:rsid w:val="00F70FCE"/>
    <w:rsid w:val="00F70FF3"/>
    <w:rsid w:val="00F71077"/>
    <w:rsid w:val="00F710C3"/>
    <w:rsid w:val="00F710CF"/>
    <w:rsid w:val="00F710DB"/>
    <w:rsid w:val="00F710FD"/>
    <w:rsid w:val="00F7110E"/>
    <w:rsid w:val="00F711C6"/>
    <w:rsid w:val="00F712AD"/>
    <w:rsid w:val="00F712DE"/>
    <w:rsid w:val="00F71351"/>
    <w:rsid w:val="00F7135A"/>
    <w:rsid w:val="00F7135C"/>
    <w:rsid w:val="00F713EA"/>
    <w:rsid w:val="00F713FD"/>
    <w:rsid w:val="00F714AF"/>
    <w:rsid w:val="00F714DF"/>
    <w:rsid w:val="00F714F0"/>
    <w:rsid w:val="00F71522"/>
    <w:rsid w:val="00F71616"/>
    <w:rsid w:val="00F7162F"/>
    <w:rsid w:val="00F7165B"/>
    <w:rsid w:val="00F7166D"/>
    <w:rsid w:val="00F71677"/>
    <w:rsid w:val="00F716C8"/>
    <w:rsid w:val="00F71721"/>
    <w:rsid w:val="00F717B1"/>
    <w:rsid w:val="00F717BD"/>
    <w:rsid w:val="00F717E7"/>
    <w:rsid w:val="00F71807"/>
    <w:rsid w:val="00F718A3"/>
    <w:rsid w:val="00F71924"/>
    <w:rsid w:val="00F7196F"/>
    <w:rsid w:val="00F71A22"/>
    <w:rsid w:val="00F71A72"/>
    <w:rsid w:val="00F71A78"/>
    <w:rsid w:val="00F71A79"/>
    <w:rsid w:val="00F71B05"/>
    <w:rsid w:val="00F71B36"/>
    <w:rsid w:val="00F71BB3"/>
    <w:rsid w:val="00F71BC2"/>
    <w:rsid w:val="00F71C21"/>
    <w:rsid w:val="00F71CB9"/>
    <w:rsid w:val="00F71CEE"/>
    <w:rsid w:val="00F71D04"/>
    <w:rsid w:val="00F71D36"/>
    <w:rsid w:val="00F71D3E"/>
    <w:rsid w:val="00F71D5B"/>
    <w:rsid w:val="00F71DA7"/>
    <w:rsid w:val="00F71DBB"/>
    <w:rsid w:val="00F71DC7"/>
    <w:rsid w:val="00F71DCB"/>
    <w:rsid w:val="00F71E5F"/>
    <w:rsid w:val="00F71E8C"/>
    <w:rsid w:val="00F71F29"/>
    <w:rsid w:val="00F71FBB"/>
    <w:rsid w:val="00F71FE9"/>
    <w:rsid w:val="00F7200E"/>
    <w:rsid w:val="00F7200F"/>
    <w:rsid w:val="00F720C4"/>
    <w:rsid w:val="00F720EF"/>
    <w:rsid w:val="00F7211A"/>
    <w:rsid w:val="00F72139"/>
    <w:rsid w:val="00F72152"/>
    <w:rsid w:val="00F7219D"/>
    <w:rsid w:val="00F721AC"/>
    <w:rsid w:val="00F721B9"/>
    <w:rsid w:val="00F721BD"/>
    <w:rsid w:val="00F721C3"/>
    <w:rsid w:val="00F72206"/>
    <w:rsid w:val="00F72242"/>
    <w:rsid w:val="00F722D9"/>
    <w:rsid w:val="00F72305"/>
    <w:rsid w:val="00F723EE"/>
    <w:rsid w:val="00F7243C"/>
    <w:rsid w:val="00F7249F"/>
    <w:rsid w:val="00F724A1"/>
    <w:rsid w:val="00F72568"/>
    <w:rsid w:val="00F725F7"/>
    <w:rsid w:val="00F72696"/>
    <w:rsid w:val="00F726E3"/>
    <w:rsid w:val="00F726F3"/>
    <w:rsid w:val="00F7275D"/>
    <w:rsid w:val="00F727A3"/>
    <w:rsid w:val="00F72851"/>
    <w:rsid w:val="00F728D5"/>
    <w:rsid w:val="00F728FB"/>
    <w:rsid w:val="00F72908"/>
    <w:rsid w:val="00F729D7"/>
    <w:rsid w:val="00F729F9"/>
    <w:rsid w:val="00F72AAC"/>
    <w:rsid w:val="00F72B2D"/>
    <w:rsid w:val="00F72B4E"/>
    <w:rsid w:val="00F72B6E"/>
    <w:rsid w:val="00F72B8A"/>
    <w:rsid w:val="00F72BCD"/>
    <w:rsid w:val="00F72C6B"/>
    <w:rsid w:val="00F72C92"/>
    <w:rsid w:val="00F72CA9"/>
    <w:rsid w:val="00F72CEA"/>
    <w:rsid w:val="00F72D10"/>
    <w:rsid w:val="00F72D32"/>
    <w:rsid w:val="00F72D46"/>
    <w:rsid w:val="00F72DCB"/>
    <w:rsid w:val="00F72DCD"/>
    <w:rsid w:val="00F72E76"/>
    <w:rsid w:val="00F72E7D"/>
    <w:rsid w:val="00F72EA4"/>
    <w:rsid w:val="00F72EE2"/>
    <w:rsid w:val="00F72F42"/>
    <w:rsid w:val="00F72FE4"/>
    <w:rsid w:val="00F730BF"/>
    <w:rsid w:val="00F730D6"/>
    <w:rsid w:val="00F7314B"/>
    <w:rsid w:val="00F73187"/>
    <w:rsid w:val="00F732AF"/>
    <w:rsid w:val="00F732E0"/>
    <w:rsid w:val="00F73360"/>
    <w:rsid w:val="00F733A1"/>
    <w:rsid w:val="00F733D6"/>
    <w:rsid w:val="00F733DF"/>
    <w:rsid w:val="00F73435"/>
    <w:rsid w:val="00F7345E"/>
    <w:rsid w:val="00F73470"/>
    <w:rsid w:val="00F7355C"/>
    <w:rsid w:val="00F7362C"/>
    <w:rsid w:val="00F736FD"/>
    <w:rsid w:val="00F736FE"/>
    <w:rsid w:val="00F7370C"/>
    <w:rsid w:val="00F7375A"/>
    <w:rsid w:val="00F73774"/>
    <w:rsid w:val="00F73789"/>
    <w:rsid w:val="00F7378C"/>
    <w:rsid w:val="00F73800"/>
    <w:rsid w:val="00F73835"/>
    <w:rsid w:val="00F7397B"/>
    <w:rsid w:val="00F739E9"/>
    <w:rsid w:val="00F73A61"/>
    <w:rsid w:val="00F73A8C"/>
    <w:rsid w:val="00F73AB6"/>
    <w:rsid w:val="00F73ACA"/>
    <w:rsid w:val="00F73B22"/>
    <w:rsid w:val="00F73B3F"/>
    <w:rsid w:val="00F73B80"/>
    <w:rsid w:val="00F73B96"/>
    <w:rsid w:val="00F73BA6"/>
    <w:rsid w:val="00F73BEE"/>
    <w:rsid w:val="00F73BFC"/>
    <w:rsid w:val="00F73C77"/>
    <w:rsid w:val="00F73C90"/>
    <w:rsid w:val="00F73CC5"/>
    <w:rsid w:val="00F73D80"/>
    <w:rsid w:val="00F73EF5"/>
    <w:rsid w:val="00F73F0A"/>
    <w:rsid w:val="00F73FFF"/>
    <w:rsid w:val="00F74033"/>
    <w:rsid w:val="00F74050"/>
    <w:rsid w:val="00F740CF"/>
    <w:rsid w:val="00F74118"/>
    <w:rsid w:val="00F741AF"/>
    <w:rsid w:val="00F741C2"/>
    <w:rsid w:val="00F741F3"/>
    <w:rsid w:val="00F74214"/>
    <w:rsid w:val="00F74235"/>
    <w:rsid w:val="00F743DB"/>
    <w:rsid w:val="00F743FF"/>
    <w:rsid w:val="00F74462"/>
    <w:rsid w:val="00F74475"/>
    <w:rsid w:val="00F7455D"/>
    <w:rsid w:val="00F745C3"/>
    <w:rsid w:val="00F74619"/>
    <w:rsid w:val="00F746E3"/>
    <w:rsid w:val="00F74742"/>
    <w:rsid w:val="00F74870"/>
    <w:rsid w:val="00F7487F"/>
    <w:rsid w:val="00F74900"/>
    <w:rsid w:val="00F7497D"/>
    <w:rsid w:val="00F74A2D"/>
    <w:rsid w:val="00F74A4D"/>
    <w:rsid w:val="00F74B5A"/>
    <w:rsid w:val="00F74B73"/>
    <w:rsid w:val="00F74C0C"/>
    <w:rsid w:val="00F74C1A"/>
    <w:rsid w:val="00F74C27"/>
    <w:rsid w:val="00F74C8B"/>
    <w:rsid w:val="00F74D56"/>
    <w:rsid w:val="00F74E01"/>
    <w:rsid w:val="00F74F2D"/>
    <w:rsid w:val="00F74F43"/>
    <w:rsid w:val="00F74F88"/>
    <w:rsid w:val="00F74FEE"/>
    <w:rsid w:val="00F75011"/>
    <w:rsid w:val="00F75023"/>
    <w:rsid w:val="00F7504A"/>
    <w:rsid w:val="00F7513C"/>
    <w:rsid w:val="00F75177"/>
    <w:rsid w:val="00F751AA"/>
    <w:rsid w:val="00F751FD"/>
    <w:rsid w:val="00F75279"/>
    <w:rsid w:val="00F7528E"/>
    <w:rsid w:val="00F75295"/>
    <w:rsid w:val="00F752E9"/>
    <w:rsid w:val="00F752EF"/>
    <w:rsid w:val="00F75313"/>
    <w:rsid w:val="00F75333"/>
    <w:rsid w:val="00F753E2"/>
    <w:rsid w:val="00F753FB"/>
    <w:rsid w:val="00F75482"/>
    <w:rsid w:val="00F75509"/>
    <w:rsid w:val="00F7557C"/>
    <w:rsid w:val="00F755A3"/>
    <w:rsid w:val="00F75637"/>
    <w:rsid w:val="00F75803"/>
    <w:rsid w:val="00F75851"/>
    <w:rsid w:val="00F758F9"/>
    <w:rsid w:val="00F75952"/>
    <w:rsid w:val="00F759CF"/>
    <w:rsid w:val="00F759EA"/>
    <w:rsid w:val="00F75A40"/>
    <w:rsid w:val="00F75AE3"/>
    <w:rsid w:val="00F75B22"/>
    <w:rsid w:val="00F75B2E"/>
    <w:rsid w:val="00F75B55"/>
    <w:rsid w:val="00F75C06"/>
    <w:rsid w:val="00F75C4C"/>
    <w:rsid w:val="00F75C76"/>
    <w:rsid w:val="00F75C80"/>
    <w:rsid w:val="00F75D65"/>
    <w:rsid w:val="00F75DBC"/>
    <w:rsid w:val="00F75DF5"/>
    <w:rsid w:val="00F75E2E"/>
    <w:rsid w:val="00F75EAB"/>
    <w:rsid w:val="00F75F35"/>
    <w:rsid w:val="00F75F55"/>
    <w:rsid w:val="00F75F77"/>
    <w:rsid w:val="00F75F90"/>
    <w:rsid w:val="00F75FD0"/>
    <w:rsid w:val="00F75FE5"/>
    <w:rsid w:val="00F75FE9"/>
    <w:rsid w:val="00F76046"/>
    <w:rsid w:val="00F7605B"/>
    <w:rsid w:val="00F7606F"/>
    <w:rsid w:val="00F760BC"/>
    <w:rsid w:val="00F7619F"/>
    <w:rsid w:val="00F761E4"/>
    <w:rsid w:val="00F762D5"/>
    <w:rsid w:val="00F7634E"/>
    <w:rsid w:val="00F7636E"/>
    <w:rsid w:val="00F763AE"/>
    <w:rsid w:val="00F76412"/>
    <w:rsid w:val="00F76488"/>
    <w:rsid w:val="00F76516"/>
    <w:rsid w:val="00F76521"/>
    <w:rsid w:val="00F7654D"/>
    <w:rsid w:val="00F7657A"/>
    <w:rsid w:val="00F765E2"/>
    <w:rsid w:val="00F7661A"/>
    <w:rsid w:val="00F76622"/>
    <w:rsid w:val="00F76713"/>
    <w:rsid w:val="00F7675D"/>
    <w:rsid w:val="00F767DB"/>
    <w:rsid w:val="00F767ED"/>
    <w:rsid w:val="00F76856"/>
    <w:rsid w:val="00F76862"/>
    <w:rsid w:val="00F76877"/>
    <w:rsid w:val="00F768D5"/>
    <w:rsid w:val="00F76907"/>
    <w:rsid w:val="00F7692A"/>
    <w:rsid w:val="00F7692D"/>
    <w:rsid w:val="00F7695B"/>
    <w:rsid w:val="00F7696B"/>
    <w:rsid w:val="00F7698C"/>
    <w:rsid w:val="00F769C8"/>
    <w:rsid w:val="00F76A35"/>
    <w:rsid w:val="00F76A87"/>
    <w:rsid w:val="00F76A89"/>
    <w:rsid w:val="00F76AD0"/>
    <w:rsid w:val="00F76B08"/>
    <w:rsid w:val="00F76B6B"/>
    <w:rsid w:val="00F76C03"/>
    <w:rsid w:val="00F76C74"/>
    <w:rsid w:val="00F76CFA"/>
    <w:rsid w:val="00F76D87"/>
    <w:rsid w:val="00F76DBA"/>
    <w:rsid w:val="00F76E31"/>
    <w:rsid w:val="00F76EC1"/>
    <w:rsid w:val="00F76ED9"/>
    <w:rsid w:val="00F76FD7"/>
    <w:rsid w:val="00F77067"/>
    <w:rsid w:val="00F770DE"/>
    <w:rsid w:val="00F770E3"/>
    <w:rsid w:val="00F77183"/>
    <w:rsid w:val="00F771A7"/>
    <w:rsid w:val="00F771F9"/>
    <w:rsid w:val="00F772A7"/>
    <w:rsid w:val="00F7730C"/>
    <w:rsid w:val="00F7737F"/>
    <w:rsid w:val="00F77385"/>
    <w:rsid w:val="00F773C2"/>
    <w:rsid w:val="00F773D1"/>
    <w:rsid w:val="00F77405"/>
    <w:rsid w:val="00F775BA"/>
    <w:rsid w:val="00F775BB"/>
    <w:rsid w:val="00F775C2"/>
    <w:rsid w:val="00F775DB"/>
    <w:rsid w:val="00F77636"/>
    <w:rsid w:val="00F7763F"/>
    <w:rsid w:val="00F7765A"/>
    <w:rsid w:val="00F7768B"/>
    <w:rsid w:val="00F776AF"/>
    <w:rsid w:val="00F776C0"/>
    <w:rsid w:val="00F776E6"/>
    <w:rsid w:val="00F777A2"/>
    <w:rsid w:val="00F777D7"/>
    <w:rsid w:val="00F777F4"/>
    <w:rsid w:val="00F7781A"/>
    <w:rsid w:val="00F77883"/>
    <w:rsid w:val="00F778CC"/>
    <w:rsid w:val="00F7794B"/>
    <w:rsid w:val="00F779A8"/>
    <w:rsid w:val="00F779D2"/>
    <w:rsid w:val="00F77A1A"/>
    <w:rsid w:val="00F77A4D"/>
    <w:rsid w:val="00F77A5C"/>
    <w:rsid w:val="00F77A7C"/>
    <w:rsid w:val="00F77AE1"/>
    <w:rsid w:val="00F77AED"/>
    <w:rsid w:val="00F77AF4"/>
    <w:rsid w:val="00F77B9D"/>
    <w:rsid w:val="00F77C05"/>
    <w:rsid w:val="00F77C38"/>
    <w:rsid w:val="00F77C62"/>
    <w:rsid w:val="00F77CB4"/>
    <w:rsid w:val="00F77CCB"/>
    <w:rsid w:val="00F77CF6"/>
    <w:rsid w:val="00F77DD3"/>
    <w:rsid w:val="00F77EDA"/>
    <w:rsid w:val="00F77F16"/>
    <w:rsid w:val="00F77FAE"/>
    <w:rsid w:val="00F7C7AD"/>
    <w:rsid w:val="00F80195"/>
    <w:rsid w:val="00F80213"/>
    <w:rsid w:val="00F80214"/>
    <w:rsid w:val="00F8021C"/>
    <w:rsid w:val="00F80389"/>
    <w:rsid w:val="00F803F4"/>
    <w:rsid w:val="00F80450"/>
    <w:rsid w:val="00F80502"/>
    <w:rsid w:val="00F80521"/>
    <w:rsid w:val="00F8055D"/>
    <w:rsid w:val="00F80596"/>
    <w:rsid w:val="00F805B9"/>
    <w:rsid w:val="00F805CB"/>
    <w:rsid w:val="00F80620"/>
    <w:rsid w:val="00F8067E"/>
    <w:rsid w:val="00F80780"/>
    <w:rsid w:val="00F807EE"/>
    <w:rsid w:val="00F8086E"/>
    <w:rsid w:val="00F80962"/>
    <w:rsid w:val="00F80969"/>
    <w:rsid w:val="00F8096A"/>
    <w:rsid w:val="00F809A7"/>
    <w:rsid w:val="00F809F8"/>
    <w:rsid w:val="00F80A87"/>
    <w:rsid w:val="00F80AA8"/>
    <w:rsid w:val="00F80AD6"/>
    <w:rsid w:val="00F80AE1"/>
    <w:rsid w:val="00F80BBD"/>
    <w:rsid w:val="00F80BC4"/>
    <w:rsid w:val="00F80BDB"/>
    <w:rsid w:val="00F80BFA"/>
    <w:rsid w:val="00F80BFD"/>
    <w:rsid w:val="00F80C1C"/>
    <w:rsid w:val="00F80C9C"/>
    <w:rsid w:val="00F80CD2"/>
    <w:rsid w:val="00F80D46"/>
    <w:rsid w:val="00F80D83"/>
    <w:rsid w:val="00F80E0E"/>
    <w:rsid w:val="00F80E2A"/>
    <w:rsid w:val="00F80E34"/>
    <w:rsid w:val="00F80E79"/>
    <w:rsid w:val="00F80ED0"/>
    <w:rsid w:val="00F80ED8"/>
    <w:rsid w:val="00F80EE3"/>
    <w:rsid w:val="00F80EFD"/>
    <w:rsid w:val="00F80F3A"/>
    <w:rsid w:val="00F80F73"/>
    <w:rsid w:val="00F80FAB"/>
    <w:rsid w:val="00F80FAF"/>
    <w:rsid w:val="00F80FEE"/>
    <w:rsid w:val="00F810D5"/>
    <w:rsid w:val="00F810EE"/>
    <w:rsid w:val="00F81196"/>
    <w:rsid w:val="00F811B1"/>
    <w:rsid w:val="00F8122B"/>
    <w:rsid w:val="00F8122C"/>
    <w:rsid w:val="00F8122D"/>
    <w:rsid w:val="00F81234"/>
    <w:rsid w:val="00F812C3"/>
    <w:rsid w:val="00F81315"/>
    <w:rsid w:val="00F8138A"/>
    <w:rsid w:val="00F81467"/>
    <w:rsid w:val="00F8148D"/>
    <w:rsid w:val="00F8149E"/>
    <w:rsid w:val="00F814B2"/>
    <w:rsid w:val="00F8152D"/>
    <w:rsid w:val="00F81544"/>
    <w:rsid w:val="00F8154D"/>
    <w:rsid w:val="00F815B3"/>
    <w:rsid w:val="00F815D8"/>
    <w:rsid w:val="00F8162F"/>
    <w:rsid w:val="00F81639"/>
    <w:rsid w:val="00F816DA"/>
    <w:rsid w:val="00F816EA"/>
    <w:rsid w:val="00F816ED"/>
    <w:rsid w:val="00F81787"/>
    <w:rsid w:val="00F817F7"/>
    <w:rsid w:val="00F818D2"/>
    <w:rsid w:val="00F818E2"/>
    <w:rsid w:val="00F81940"/>
    <w:rsid w:val="00F8195F"/>
    <w:rsid w:val="00F8198E"/>
    <w:rsid w:val="00F81A1B"/>
    <w:rsid w:val="00F81A3F"/>
    <w:rsid w:val="00F81A40"/>
    <w:rsid w:val="00F81A6A"/>
    <w:rsid w:val="00F81AEC"/>
    <w:rsid w:val="00F81B2F"/>
    <w:rsid w:val="00F81B51"/>
    <w:rsid w:val="00F81B60"/>
    <w:rsid w:val="00F81B66"/>
    <w:rsid w:val="00F81B78"/>
    <w:rsid w:val="00F81BAA"/>
    <w:rsid w:val="00F81C15"/>
    <w:rsid w:val="00F81C22"/>
    <w:rsid w:val="00F81C2A"/>
    <w:rsid w:val="00F81D5B"/>
    <w:rsid w:val="00F81D5C"/>
    <w:rsid w:val="00F81E80"/>
    <w:rsid w:val="00F81EA3"/>
    <w:rsid w:val="00F81EFF"/>
    <w:rsid w:val="00F81F1F"/>
    <w:rsid w:val="00F81F7E"/>
    <w:rsid w:val="00F81F95"/>
    <w:rsid w:val="00F81FDA"/>
    <w:rsid w:val="00F82014"/>
    <w:rsid w:val="00F82076"/>
    <w:rsid w:val="00F82088"/>
    <w:rsid w:val="00F820B9"/>
    <w:rsid w:val="00F82126"/>
    <w:rsid w:val="00F8216B"/>
    <w:rsid w:val="00F821AF"/>
    <w:rsid w:val="00F821C5"/>
    <w:rsid w:val="00F821F5"/>
    <w:rsid w:val="00F8220E"/>
    <w:rsid w:val="00F8228C"/>
    <w:rsid w:val="00F822EC"/>
    <w:rsid w:val="00F82351"/>
    <w:rsid w:val="00F82353"/>
    <w:rsid w:val="00F82499"/>
    <w:rsid w:val="00F8250C"/>
    <w:rsid w:val="00F82555"/>
    <w:rsid w:val="00F8255F"/>
    <w:rsid w:val="00F825F0"/>
    <w:rsid w:val="00F8263B"/>
    <w:rsid w:val="00F82649"/>
    <w:rsid w:val="00F82665"/>
    <w:rsid w:val="00F82669"/>
    <w:rsid w:val="00F82733"/>
    <w:rsid w:val="00F8280F"/>
    <w:rsid w:val="00F8281C"/>
    <w:rsid w:val="00F82851"/>
    <w:rsid w:val="00F828AB"/>
    <w:rsid w:val="00F828DE"/>
    <w:rsid w:val="00F828E6"/>
    <w:rsid w:val="00F828F7"/>
    <w:rsid w:val="00F82908"/>
    <w:rsid w:val="00F82930"/>
    <w:rsid w:val="00F82948"/>
    <w:rsid w:val="00F829CF"/>
    <w:rsid w:val="00F82AAC"/>
    <w:rsid w:val="00F82AC2"/>
    <w:rsid w:val="00F82B24"/>
    <w:rsid w:val="00F82C3D"/>
    <w:rsid w:val="00F82C48"/>
    <w:rsid w:val="00F82CAA"/>
    <w:rsid w:val="00F82D16"/>
    <w:rsid w:val="00F82D26"/>
    <w:rsid w:val="00F82E13"/>
    <w:rsid w:val="00F82E6A"/>
    <w:rsid w:val="00F82E8A"/>
    <w:rsid w:val="00F82EC2"/>
    <w:rsid w:val="00F82EED"/>
    <w:rsid w:val="00F82F41"/>
    <w:rsid w:val="00F82F5B"/>
    <w:rsid w:val="00F82F8C"/>
    <w:rsid w:val="00F82FA0"/>
    <w:rsid w:val="00F83076"/>
    <w:rsid w:val="00F831B6"/>
    <w:rsid w:val="00F831D2"/>
    <w:rsid w:val="00F8326F"/>
    <w:rsid w:val="00F83271"/>
    <w:rsid w:val="00F832CD"/>
    <w:rsid w:val="00F83309"/>
    <w:rsid w:val="00F8331F"/>
    <w:rsid w:val="00F8337D"/>
    <w:rsid w:val="00F833C0"/>
    <w:rsid w:val="00F833D8"/>
    <w:rsid w:val="00F83447"/>
    <w:rsid w:val="00F83479"/>
    <w:rsid w:val="00F834CB"/>
    <w:rsid w:val="00F834E0"/>
    <w:rsid w:val="00F834EE"/>
    <w:rsid w:val="00F834F2"/>
    <w:rsid w:val="00F8354A"/>
    <w:rsid w:val="00F83555"/>
    <w:rsid w:val="00F8361E"/>
    <w:rsid w:val="00F83654"/>
    <w:rsid w:val="00F83689"/>
    <w:rsid w:val="00F836FE"/>
    <w:rsid w:val="00F83775"/>
    <w:rsid w:val="00F83784"/>
    <w:rsid w:val="00F83824"/>
    <w:rsid w:val="00F83880"/>
    <w:rsid w:val="00F83933"/>
    <w:rsid w:val="00F83934"/>
    <w:rsid w:val="00F83969"/>
    <w:rsid w:val="00F839B2"/>
    <w:rsid w:val="00F839F5"/>
    <w:rsid w:val="00F83A24"/>
    <w:rsid w:val="00F83A25"/>
    <w:rsid w:val="00F83A84"/>
    <w:rsid w:val="00F83B92"/>
    <w:rsid w:val="00F83BC0"/>
    <w:rsid w:val="00F83BE0"/>
    <w:rsid w:val="00F83C75"/>
    <w:rsid w:val="00F83C87"/>
    <w:rsid w:val="00F83CE2"/>
    <w:rsid w:val="00F83CF5"/>
    <w:rsid w:val="00F83D36"/>
    <w:rsid w:val="00F83D5D"/>
    <w:rsid w:val="00F83EE0"/>
    <w:rsid w:val="00F83F45"/>
    <w:rsid w:val="00F83FE5"/>
    <w:rsid w:val="00F83FF1"/>
    <w:rsid w:val="00F84000"/>
    <w:rsid w:val="00F84022"/>
    <w:rsid w:val="00F84095"/>
    <w:rsid w:val="00F84107"/>
    <w:rsid w:val="00F841A4"/>
    <w:rsid w:val="00F841B7"/>
    <w:rsid w:val="00F841FB"/>
    <w:rsid w:val="00F84236"/>
    <w:rsid w:val="00F8423F"/>
    <w:rsid w:val="00F842FA"/>
    <w:rsid w:val="00F8430B"/>
    <w:rsid w:val="00F84336"/>
    <w:rsid w:val="00F84348"/>
    <w:rsid w:val="00F8435D"/>
    <w:rsid w:val="00F84399"/>
    <w:rsid w:val="00F84435"/>
    <w:rsid w:val="00F8448C"/>
    <w:rsid w:val="00F844B0"/>
    <w:rsid w:val="00F84510"/>
    <w:rsid w:val="00F8452F"/>
    <w:rsid w:val="00F84594"/>
    <w:rsid w:val="00F845D0"/>
    <w:rsid w:val="00F845FA"/>
    <w:rsid w:val="00F8466B"/>
    <w:rsid w:val="00F846CC"/>
    <w:rsid w:val="00F84715"/>
    <w:rsid w:val="00F84736"/>
    <w:rsid w:val="00F8477A"/>
    <w:rsid w:val="00F8478B"/>
    <w:rsid w:val="00F847CE"/>
    <w:rsid w:val="00F847DC"/>
    <w:rsid w:val="00F848EA"/>
    <w:rsid w:val="00F84947"/>
    <w:rsid w:val="00F84A27"/>
    <w:rsid w:val="00F84A2D"/>
    <w:rsid w:val="00F84BFE"/>
    <w:rsid w:val="00F84CFB"/>
    <w:rsid w:val="00F84E36"/>
    <w:rsid w:val="00F84E45"/>
    <w:rsid w:val="00F84E47"/>
    <w:rsid w:val="00F84EEF"/>
    <w:rsid w:val="00F85025"/>
    <w:rsid w:val="00F850DB"/>
    <w:rsid w:val="00F8511E"/>
    <w:rsid w:val="00F85126"/>
    <w:rsid w:val="00F851F4"/>
    <w:rsid w:val="00F8528A"/>
    <w:rsid w:val="00F852DE"/>
    <w:rsid w:val="00F852F5"/>
    <w:rsid w:val="00F853A4"/>
    <w:rsid w:val="00F853BD"/>
    <w:rsid w:val="00F85480"/>
    <w:rsid w:val="00F854C9"/>
    <w:rsid w:val="00F854ED"/>
    <w:rsid w:val="00F85513"/>
    <w:rsid w:val="00F855B2"/>
    <w:rsid w:val="00F855F4"/>
    <w:rsid w:val="00F85623"/>
    <w:rsid w:val="00F8562A"/>
    <w:rsid w:val="00F8562F"/>
    <w:rsid w:val="00F856BC"/>
    <w:rsid w:val="00F8571E"/>
    <w:rsid w:val="00F857A4"/>
    <w:rsid w:val="00F857E7"/>
    <w:rsid w:val="00F85851"/>
    <w:rsid w:val="00F85871"/>
    <w:rsid w:val="00F858A9"/>
    <w:rsid w:val="00F858B9"/>
    <w:rsid w:val="00F8595D"/>
    <w:rsid w:val="00F859B7"/>
    <w:rsid w:val="00F859F1"/>
    <w:rsid w:val="00F85A00"/>
    <w:rsid w:val="00F85A49"/>
    <w:rsid w:val="00F85A59"/>
    <w:rsid w:val="00F85A88"/>
    <w:rsid w:val="00F85A97"/>
    <w:rsid w:val="00F85AEC"/>
    <w:rsid w:val="00F85B4D"/>
    <w:rsid w:val="00F85B88"/>
    <w:rsid w:val="00F85BCB"/>
    <w:rsid w:val="00F85C0A"/>
    <w:rsid w:val="00F85C16"/>
    <w:rsid w:val="00F85CBC"/>
    <w:rsid w:val="00F85CD9"/>
    <w:rsid w:val="00F85D1D"/>
    <w:rsid w:val="00F85D6F"/>
    <w:rsid w:val="00F85DB9"/>
    <w:rsid w:val="00F85E24"/>
    <w:rsid w:val="00F85E5D"/>
    <w:rsid w:val="00F85E80"/>
    <w:rsid w:val="00F85EB8"/>
    <w:rsid w:val="00F85ED9"/>
    <w:rsid w:val="00F85EE8"/>
    <w:rsid w:val="00F85F23"/>
    <w:rsid w:val="00F85F50"/>
    <w:rsid w:val="00F8604D"/>
    <w:rsid w:val="00F8606B"/>
    <w:rsid w:val="00F86088"/>
    <w:rsid w:val="00F86142"/>
    <w:rsid w:val="00F861A2"/>
    <w:rsid w:val="00F861C0"/>
    <w:rsid w:val="00F861D8"/>
    <w:rsid w:val="00F861E2"/>
    <w:rsid w:val="00F861EF"/>
    <w:rsid w:val="00F86288"/>
    <w:rsid w:val="00F86344"/>
    <w:rsid w:val="00F8634A"/>
    <w:rsid w:val="00F86365"/>
    <w:rsid w:val="00F863BD"/>
    <w:rsid w:val="00F86458"/>
    <w:rsid w:val="00F8648B"/>
    <w:rsid w:val="00F8648D"/>
    <w:rsid w:val="00F86501"/>
    <w:rsid w:val="00F8652C"/>
    <w:rsid w:val="00F86567"/>
    <w:rsid w:val="00F8657B"/>
    <w:rsid w:val="00F865F6"/>
    <w:rsid w:val="00F86675"/>
    <w:rsid w:val="00F866DF"/>
    <w:rsid w:val="00F867C5"/>
    <w:rsid w:val="00F8681E"/>
    <w:rsid w:val="00F86842"/>
    <w:rsid w:val="00F86845"/>
    <w:rsid w:val="00F86877"/>
    <w:rsid w:val="00F868B8"/>
    <w:rsid w:val="00F86901"/>
    <w:rsid w:val="00F86944"/>
    <w:rsid w:val="00F869A5"/>
    <w:rsid w:val="00F869AF"/>
    <w:rsid w:val="00F869B3"/>
    <w:rsid w:val="00F869E8"/>
    <w:rsid w:val="00F86A9B"/>
    <w:rsid w:val="00F86AA7"/>
    <w:rsid w:val="00F86B29"/>
    <w:rsid w:val="00F86B90"/>
    <w:rsid w:val="00F86BA7"/>
    <w:rsid w:val="00F86C61"/>
    <w:rsid w:val="00F86C8E"/>
    <w:rsid w:val="00F86CA0"/>
    <w:rsid w:val="00F86CC3"/>
    <w:rsid w:val="00F86D1F"/>
    <w:rsid w:val="00F86D7D"/>
    <w:rsid w:val="00F86D98"/>
    <w:rsid w:val="00F86DD3"/>
    <w:rsid w:val="00F86E0D"/>
    <w:rsid w:val="00F86E5E"/>
    <w:rsid w:val="00F86E7A"/>
    <w:rsid w:val="00F86F4F"/>
    <w:rsid w:val="00F86F76"/>
    <w:rsid w:val="00F8702C"/>
    <w:rsid w:val="00F87030"/>
    <w:rsid w:val="00F870A0"/>
    <w:rsid w:val="00F870DD"/>
    <w:rsid w:val="00F8711C"/>
    <w:rsid w:val="00F87150"/>
    <w:rsid w:val="00F8718B"/>
    <w:rsid w:val="00F872AC"/>
    <w:rsid w:val="00F872E1"/>
    <w:rsid w:val="00F8731E"/>
    <w:rsid w:val="00F873E4"/>
    <w:rsid w:val="00F873FC"/>
    <w:rsid w:val="00F87411"/>
    <w:rsid w:val="00F87447"/>
    <w:rsid w:val="00F874F6"/>
    <w:rsid w:val="00F874FE"/>
    <w:rsid w:val="00F8755D"/>
    <w:rsid w:val="00F875F0"/>
    <w:rsid w:val="00F8762B"/>
    <w:rsid w:val="00F8763D"/>
    <w:rsid w:val="00F8768D"/>
    <w:rsid w:val="00F876D3"/>
    <w:rsid w:val="00F8773E"/>
    <w:rsid w:val="00F87750"/>
    <w:rsid w:val="00F8778F"/>
    <w:rsid w:val="00F877AA"/>
    <w:rsid w:val="00F877AE"/>
    <w:rsid w:val="00F8785C"/>
    <w:rsid w:val="00F878C6"/>
    <w:rsid w:val="00F879DE"/>
    <w:rsid w:val="00F87A27"/>
    <w:rsid w:val="00F87AA9"/>
    <w:rsid w:val="00F87AAE"/>
    <w:rsid w:val="00F87C3C"/>
    <w:rsid w:val="00F87CDD"/>
    <w:rsid w:val="00F87D99"/>
    <w:rsid w:val="00F87DFC"/>
    <w:rsid w:val="00F87E46"/>
    <w:rsid w:val="00F87E53"/>
    <w:rsid w:val="00F87EFC"/>
    <w:rsid w:val="00F87FC6"/>
    <w:rsid w:val="00F87FD8"/>
    <w:rsid w:val="00F87FE2"/>
    <w:rsid w:val="00F9001F"/>
    <w:rsid w:val="00F9007E"/>
    <w:rsid w:val="00F900B2"/>
    <w:rsid w:val="00F900DE"/>
    <w:rsid w:val="00F90100"/>
    <w:rsid w:val="00F90104"/>
    <w:rsid w:val="00F90135"/>
    <w:rsid w:val="00F90171"/>
    <w:rsid w:val="00F901AB"/>
    <w:rsid w:val="00F901E7"/>
    <w:rsid w:val="00F901F9"/>
    <w:rsid w:val="00F90259"/>
    <w:rsid w:val="00F9028D"/>
    <w:rsid w:val="00F9029E"/>
    <w:rsid w:val="00F902E2"/>
    <w:rsid w:val="00F90353"/>
    <w:rsid w:val="00F9035E"/>
    <w:rsid w:val="00F903BD"/>
    <w:rsid w:val="00F904E6"/>
    <w:rsid w:val="00F90531"/>
    <w:rsid w:val="00F905BD"/>
    <w:rsid w:val="00F905C1"/>
    <w:rsid w:val="00F905E2"/>
    <w:rsid w:val="00F906A5"/>
    <w:rsid w:val="00F90754"/>
    <w:rsid w:val="00F90803"/>
    <w:rsid w:val="00F90965"/>
    <w:rsid w:val="00F90970"/>
    <w:rsid w:val="00F909AD"/>
    <w:rsid w:val="00F909FD"/>
    <w:rsid w:val="00F90A7D"/>
    <w:rsid w:val="00F90B0A"/>
    <w:rsid w:val="00F90BD8"/>
    <w:rsid w:val="00F90C32"/>
    <w:rsid w:val="00F90C6B"/>
    <w:rsid w:val="00F90D2F"/>
    <w:rsid w:val="00F90D3F"/>
    <w:rsid w:val="00F90D6B"/>
    <w:rsid w:val="00F90E0A"/>
    <w:rsid w:val="00F90E3C"/>
    <w:rsid w:val="00F90E88"/>
    <w:rsid w:val="00F90EB1"/>
    <w:rsid w:val="00F90F76"/>
    <w:rsid w:val="00F90F91"/>
    <w:rsid w:val="00F90FF0"/>
    <w:rsid w:val="00F9100F"/>
    <w:rsid w:val="00F9105B"/>
    <w:rsid w:val="00F91088"/>
    <w:rsid w:val="00F91091"/>
    <w:rsid w:val="00F91097"/>
    <w:rsid w:val="00F910DC"/>
    <w:rsid w:val="00F91126"/>
    <w:rsid w:val="00F911C4"/>
    <w:rsid w:val="00F9123F"/>
    <w:rsid w:val="00F91298"/>
    <w:rsid w:val="00F9129E"/>
    <w:rsid w:val="00F912B4"/>
    <w:rsid w:val="00F912E5"/>
    <w:rsid w:val="00F9138F"/>
    <w:rsid w:val="00F913A3"/>
    <w:rsid w:val="00F91439"/>
    <w:rsid w:val="00F9149D"/>
    <w:rsid w:val="00F914CE"/>
    <w:rsid w:val="00F915BC"/>
    <w:rsid w:val="00F91668"/>
    <w:rsid w:val="00F91689"/>
    <w:rsid w:val="00F91701"/>
    <w:rsid w:val="00F91840"/>
    <w:rsid w:val="00F918E4"/>
    <w:rsid w:val="00F91969"/>
    <w:rsid w:val="00F91BA3"/>
    <w:rsid w:val="00F91BAB"/>
    <w:rsid w:val="00F91BD5"/>
    <w:rsid w:val="00F91C5C"/>
    <w:rsid w:val="00F91C5D"/>
    <w:rsid w:val="00F91CCB"/>
    <w:rsid w:val="00F91D04"/>
    <w:rsid w:val="00F91D24"/>
    <w:rsid w:val="00F91D57"/>
    <w:rsid w:val="00F91DBD"/>
    <w:rsid w:val="00F91DE7"/>
    <w:rsid w:val="00F91E3F"/>
    <w:rsid w:val="00F91E56"/>
    <w:rsid w:val="00F91E6F"/>
    <w:rsid w:val="00F91E7F"/>
    <w:rsid w:val="00F91E97"/>
    <w:rsid w:val="00F91EBB"/>
    <w:rsid w:val="00F91EC8"/>
    <w:rsid w:val="00F91ED8"/>
    <w:rsid w:val="00F91F23"/>
    <w:rsid w:val="00F91FBC"/>
    <w:rsid w:val="00F92023"/>
    <w:rsid w:val="00F9209B"/>
    <w:rsid w:val="00F920BF"/>
    <w:rsid w:val="00F92176"/>
    <w:rsid w:val="00F92235"/>
    <w:rsid w:val="00F92241"/>
    <w:rsid w:val="00F92255"/>
    <w:rsid w:val="00F92285"/>
    <w:rsid w:val="00F92296"/>
    <w:rsid w:val="00F9229A"/>
    <w:rsid w:val="00F9229C"/>
    <w:rsid w:val="00F922B3"/>
    <w:rsid w:val="00F922F6"/>
    <w:rsid w:val="00F9233E"/>
    <w:rsid w:val="00F92371"/>
    <w:rsid w:val="00F923A2"/>
    <w:rsid w:val="00F924A3"/>
    <w:rsid w:val="00F924DE"/>
    <w:rsid w:val="00F9250C"/>
    <w:rsid w:val="00F925BC"/>
    <w:rsid w:val="00F92627"/>
    <w:rsid w:val="00F9269E"/>
    <w:rsid w:val="00F92701"/>
    <w:rsid w:val="00F92707"/>
    <w:rsid w:val="00F927E3"/>
    <w:rsid w:val="00F928A5"/>
    <w:rsid w:val="00F9290D"/>
    <w:rsid w:val="00F92945"/>
    <w:rsid w:val="00F92963"/>
    <w:rsid w:val="00F929AD"/>
    <w:rsid w:val="00F92B65"/>
    <w:rsid w:val="00F92B6E"/>
    <w:rsid w:val="00F92BC1"/>
    <w:rsid w:val="00F92BD7"/>
    <w:rsid w:val="00F92C16"/>
    <w:rsid w:val="00F92C7E"/>
    <w:rsid w:val="00F92C91"/>
    <w:rsid w:val="00F92CB2"/>
    <w:rsid w:val="00F92CF3"/>
    <w:rsid w:val="00F92D0A"/>
    <w:rsid w:val="00F92D46"/>
    <w:rsid w:val="00F92D6A"/>
    <w:rsid w:val="00F92E38"/>
    <w:rsid w:val="00F92F3D"/>
    <w:rsid w:val="00F92F48"/>
    <w:rsid w:val="00F92FC5"/>
    <w:rsid w:val="00F92FF6"/>
    <w:rsid w:val="00F9308C"/>
    <w:rsid w:val="00F9309C"/>
    <w:rsid w:val="00F930D0"/>
    <w:rsid w:val="00F93139"/>
    <w:rsid w:val="00F93181"/>
    <w:rsid w:val="00F931EA"/>
    <w:rsid w:val="00F93207"/>
    <w:rsid w:val="00F93309"/>
    <w:rsid w:val="00F93318"/>
    <w:rsid w:val="00F9331F"/>
    <w:rsid w:val="00F933BE"/>
    <w:rsid w:val="00F933C4"/>
    <w:rsid w:val="00F933C7"/>
    <w:rsid w:val="00F9342E"/>
    <w:rsid w:val="00F934E8"/>
    <w:rsid w:val="00F934F3"/>
    <w:rsid w:val="00F93529"/>
    <w:rsid w:val="00F93564"/>
    <w:rsid w:val="00F93595"/>
    <w:rsid w:val="00F9362D"/>
    <w:rsid w:val="00F93679"/>
    <w:rsid w:val="00F9368C"/>
    <w:rsid w:val="00F936D4"/>
    <w:rsid w:val="00F936F9"/>
    <w:rsid w:val="00F93760"/>
    <w:rsid w:val="00F93776"/>
    <w:rsid w:val="00F93807"/>
    <w:rsid w:val="00F9388F"/>
    <w:rsid w:val="00F939A4"/>
    <w:rsid w:val="00F939F0"/>
    <w:rsid w:val="00F93A1A"/>
    <w:rsid w:val="00F93A51"/>
    <w:rsid w:val="00F93AB1"/>
    <w:rsid w:val="00F93AE4"/>
    <w:rsid w:val="00F93B35"/>
    <w:rsid w:val="00F93C59"/>
    <w:rsid w:val="00F93C6E"/>
    <w:rsid w:val="00F93C93"/>
    <w:rsid w:val="00F93CF0"/>
    <w:rsid w:val="00F93D96"/>
    <w:rsid w:val="00F93EA2"/>
    <w:rsid w:val="00F93EBA"/>
    <w:rsid w:val="00F93F4E"/>
    <w:rsid w:val="00F93F76"/>
    <w:rsid w:val="00F93F99"/>
    <w:rsid w:val="00F93FD1"/>
    <w:rsid w:val="00F93FE7"/>
    <w:rsid w:val="00F9408F"/>
    <w:rsid w:val="00F940F0"/>
    <w:rsid w:val="00F94144"/>
    <w:rsid w:val="00F94167"/>
    <w:rsid w:val="00F94219"/>
    <w:rsid w:val="00F94260"/>
    <w:rsid w:val="00F942FA"/>
    <w:rsid w:val="00F9430B"/>
    <w:rsid w:val="00F94313"/>
    <w:rsid w:val="00F9435B"/>
    <w:rsid w:val="00F94421"/>
    <w:rsid w:val="00F945D3"/>
    <w:rsid w:val="00F9465C"/>
    <w:rsid w:val="00F9465E"/>
    <w:rsid w:val="00F9466A"/>
    <w:rsid w:val="00F946A3"/>
    <w:rsid w:val="00F946C2"/>
    <w:rsid w:val="00F946D9"/>
    <w:rsid w:val="00F946F0"/>
    <w:rsid w:val="00F9473F"/>
    <w:rsid w:val="00F9479A"/>
    <w:rsid w:val="00F947F5"/>
    <w:rsid w:val="00F9480F"/>
    <w:rsid w:val="00F94883"/>
    <w:rsid w:val="00F94916"/>
    <w:rsid w:val="00F94956"/>
    <w:rsid w:val="00F94976"/>
    <w:rsid w:val="00F949EE"/>
    <w:rsid w:val="00F94A1F"/>
    <w:rsid w:val="00F94A3C"/>
    <w:rsid w:val="00F94A63"/>
    <w:rsid w:val="00F94A6F"/>
    <w:rsid w:val="00F94A7F"/>
    <w:rsid w:val="00F94B57"/>
    <w:rsid w:val="00F94BA1"/>
    <w:rsid w:val="00F94BB0"/>
    <w:rsid w:val="00F94C52"/>
    <w:rsid w:val="00F94C7D"/>
    <w:rsid w:val="00F94CB5"/>
    <w:rsid w:val="00F94CB7"/>
    <w:rsid w:val="00F94CF1"/>
    <w:rsid w:val="00F94D87"/>
    <w:rsid w:val="00F94D9E"/>
    <w:rsid w:val="00F94E16"/>
    <w:rsid w:val="00F94E4B"/>
    <w:rsid w:val="00F94E6E"/>
    <w:rsid w:val="00F94F3D"/>
    <w:rsid w:val="00F94F4A"/>
    <w:rsid w:val="00F94F9B"/>
    <w:rsid w:val="00F95026"/>
    <w:rsid w:val="00F950AD"/>
    <w:rsid w:val="00F95138"/>
    <w:rsid w:val="00F95176"/>
    <w:rsid w:val="00F9517E"/>
    <w:rsid w:val="00F951C3"/>
    <w:rsid w:val="00F951F7"/>
    <w:rsid w:val="00F9523E"/>
    <w:rsid w:val="00F9526D"/>
    <w:rsid w:val="00F952AD"/>
    <w:rsid w:val="00F952DE"/>
    <w:rsid w:val="00F952F7"/>
    <w:rsid w:val="00F95378"/>
    <w:rsid w:val="00F953C7"/>
    <w:rsid w:val="00F95459"/>
    <w:rsid w:val="00F954C1"/>
    <w:rsid w:val="00F954D4"/>
    <w:rsid w:val="00F954E1"/>
    <w:rsid w:val="00F954FB"/>
    <w:rsid w:val="00F95504"/>
    <w:rsid w:val="00F95552"/>
    <w:rsid w:val="00F956B8"/>
    <w:rsid w:val="00F95712"/>
    <w:rsid w:val="00F9577B"/>
    <w:rsid w:val="00F957A2"/>
    <w:rsid w:val="00F95858"/>
    <w:rsid w:val="00F9588F"/>
    <w:rsid w:val="00F95890"/>
    <w:rsid w:val="00F95896"/>
    <w:rsid w:val="00F958D7"/>
    <w:rsid w:val="00F958D9"/>
    <w:rsid w:val="00F958F1"/>
    <w:rsid w:val="00F95906"/>
    <w:rsid w:val="00F9595B"/>
    <w:rsid w:val="00F95A0F"/>
    <w:rsid w:val="00F95A2B"/>
    <w:rsid w:val="00F95A3D"/>
    <w:rsid w:val="00F95A9B"/>
    <w:rsid w:val="00F95AB2"/>
    <w:rsid w:val="00F95AFC"/>
    <w:rsid w:val="00F95B03"/>
    <w:rsid w:val="00F95B16"/>
    <w:rsid w:val="00F95B5D"/>
    <w:rsid w:val="00F95B84"/>
    <w:rsid w:val="00F95B9B"/>
    <w:rsid w:val="00F95BD1"/>
    <w:rsid w:val="00F95CBC"/>
    <w:rsid w:val="00F95CD9"/>
    <w:rsid w:val="00F95D30"/>
    <w:rsid w:val="00F95E07"/>
    <w:rsid w:val="00F95E2B"/>
    <w:rsid w:val="00F95E47"/>
    <w:rsid w:val="00F95F4B"/>
    <w:rsid w:val="00F95F78"/>
    <w:rsid w:val="00F95F9C"/>
    <w:rsid w:val="00F95FA2"/>
    <w:rsid w:val="00F95FB0"/>
    <w:rsid w:val="00F95FE1"/>
    <w:rsid w:val="00F9606E"/>
    <w:rsid w:val="00F96119"/>
    <w:rsid w:val="00F96125"/>
    <w:rsid w:val="00F9622A"/>
    <w:rsid w:val="00F9633A"/>
    <w:rsid w:val="00F96356"/>
    <w:rsid w:val="00F9637F"/>
    <w:rsid w:val="00F96435"/>
    <w:rsid w:val="00F96448"/>
    <w:rsid w:val="00F9645A"/>
    <w:rsid w:val="00F96464"/>
    <w:rsid w:val="00F96484"/>
    <w:rsid w:val="00F9655E"/>
    <w:rsid w:val="00F96566"/>
    <w:rsid w:val="00F965B7"/>
    <w:rsid w:val="00F9672E"/>
    <w:rsid w:val="00F96786"/>
    <w:rsid w:val="00F967A1"/>
    <w:rsid w:val="00F9689D"/>
    <w:rsid w:val="00F9697D"/>
    <w:rsid w:val="00F96A4A"/>
    <w:rsid w:val="00F96B0F"/>
    <w:rsid w:val="00F96B57"/>
    <w:rsid w:val="00F96B98"/>
    <w:rsid w:val="00F96C18"/>
    <w:rsid w:val="00F96C7C"/>
    <w:rsid w:val="00F96D0E"/>
    <w:rsid w:val="00F96D2F"/>
    <w:rsid w:val="00F96DDA"/>
    <w:rsid w:val="00F96E52"/>
    <w:rsid w:val="00F96EC4"/>
    <w:rsid w:val="00F96F6E"/>
    <w:rsid w:val="00F96FA1"/>
    <w:rsid w:val="00F96FBC"/>
    <w:rsid w:val="00F96FC0"/>
    <w:rsid w:val="00F9703D"/>
    <w:rsid w:val="00F97061"/>
    <w:rsid w:val="00F9726A"/>
    <w:rsid w:val="00F972B0"/>
    <w:rsid w:val="00F973C1"/>
    <w:rsid w:val="00F973C2"/>
    <w:rsid w:val="00F973F9"/>
    <w:rsid w:val="00F974A6"/>
    <w:rsid w:val="00F974C5"/>
    <w:rsid w:val="00F975DF"/>
    <w:rsid w:val="00F97613"/>
    <w:rsid w:val="00F97619"/>
    <w:rsid w:val="00F97718"/>
    <w:rsid w:val="00F97769"/>
    <w:rsid w:val="00F97804"/>
    <w:rsid w:val="00F97808"/>
    <w:rsid w:val="00F9781E"/>
    <w:rsid w:val="00F97855"/>
    <w:rsid w:val="00F978EB"/>
    <w:rsid w:val="00F978F3"/>
    <w:rsid w:val="00F97938"/>
    <w:rsid w:val="00F9794A"/>
    <w:rsid w:val="00F9799E"/>
    <w:rsid w:val="00F979E2"/>
    <w:rsid w:val="00F979ED"/>
    <w:rsid w:val="00F979FD"/>
    <w:rsid w:val="00F97B87"/>
    <w:rsid w:val="00F97BA2"/>
    <w:rsid w:val="00F97BCB"/>
    <w:rsid w:val="00F97BEA"/>
    <w:rsid w:val="00F97C3E"/>
    <w:rsid w:val="00F97CF9"/>
    <w:rsid w:val="00F97DEB"/>
    <w:rsid w:val="00F97DFD"/>
    <w:rsid w:val="00F97E82"/>
    <w:rsid w:val="00F97F3E"/>
    <w:rsid w:val="00FA00C0"/>
    <w:rsid w:val="00FA00CE"/>
    <w:rsid w:val="00FA00EC"/>
    <w:rsid w:val="00FA0119"/>
    <w:rsid w:val="00FA012F"/>
    <w:rsid w:val="00FA019D"/>
    <w:rsid w:val="00FA01EE"/>
    <w:rsid w:val="00FA01F8"/>
    <w:rsid w:val="00FA0230"/>
    <w:rsid w:val="00FA032E"/>
    <w:rsid w:val="00FA033D"/>
    <w:rsid w:val="00FA034B"/>
    <w:rsid w:val="00FA044E"/>
    <w:rsid w:val="00FA0489"/>
    <w:rsid w:val="00FA04C8"/>
    <w:rsid w:val="00FA04E6"/>
    <w:rsid w:val="00FA04F8"/>
    <w:rsid w:val="00FA0535"/>
    <w:rsid w:val="00FA0587"/>
    <w:rsid w:val="00FA0629"/>
    <w:rsid w:val="00FA0635"/>
    <w:rsid w:val="00FA0678"/>
    <w:rsid w:val="00FA06A1"/>
    <w:rsid w:val="00FA06B7"/>
    <w:rsid w:val="00FA06E8"/>
    <w:rsid w:val="00FA070D"/>
    <w:rsid w:val="00FA0744"/>
    <w:rsid w:val="00FA0777"/>
    <w:rsid w:val="00FA079F"/>
    <w:rsid w:val="00FA07A0"/>
    <w:rsid w:val="00FA07F0"/>
    <w:rsid w:val="00FA07FE"/>
    <w:rsid w:val="00FA0827"/>
    <w:rsid w:val="00FA08BF"/>
    <w:rsid w:val="00FA08F5"/>
    <w:rsid w:val="00FA0922"/>
    <w:rsid w:val="00FA0950"/>
    <w:rsid w:val="00FA09C9"/>
    <w:rsid w:val="00FA09DE"/>
    <w:rsid w:val="00FA0A30"/>
    <w:rsid w:val="00FA0A48"/>
    <w:rsid w:val="00FA0A6B"/>
    <w:rsid w:val="00FA0A73"/>
    <w:rsid w:val="00FA0A9A"/>
    <w:rsid w:val="00FA0ABE"/>
    <w:rsid w:val="00FA0B13"/>
    <w:rsid w:val="00FA0B69"/>
    <w:rsid w:val="00FA0B70"/>
    <w:rsid w:val="00FA0BDA"/>
    <w:rsid w:val="00FA0BE9"/>
    <w:rsid w:val="00FA0BEE"/>
    <w:rsid w:val="00FA0C82"/>
    <w:rsid w:val="00FA0CB1"/>
    <w:rsid w:val="00FA0CD1"/>
    <w:rsid w:val="00FA0D35"/>
    <w:rsid w:val="00FA0D63"/>
    <w:rsid w:val="00FA0D71"/>
    <w:rsid w:val="00FA0D90"/>
    <w:rsid w:val="00FA0E33"/>
    <w:rsid w:val="00FA0EA7"/>
    <w:rsid w:val="00FA0EAF"/>
    <w:rsid w:val="00FA0EB6"/>
    <w:rsid w:val="00FA0F36"/>
    <w:rsid w:val="00FA0F90"/>
    <w:rsid w:val="00FA11D3"/>
    <w:rsid w:val="00FA11FE"/>
    <w:rsid w:val="00FA127B"/>
    <w:rsid w:val="00FA1319"/>
    <w:rsid w:val="00FA131F"/>
    <w:rsid w:val="00FA13D3"/>
    <w:rsid w:val="00FA1403"/>
    <w:rsid w:val="00FA1418"/>
    <w:rsid w:val="00FA14DA"/>
    <w:rsid w:val="00FA1511"/>
    <w:rsid w:val="00FA1522"/>
    <w:rsid w:val="00FA1551"/>
    <w:rsid w:val="00FA155E"/>
    <w:rsid w:val="00FA1596"/>
    <w:rsid w:val="00FA15AA"/>
    <w:rsid w:val="00FA16C2"/>
    <w:rsid w:val="00FA16C4"/>
    <w:rsid w:val="00FA16D0"/>
    <w:rsid w:val="00FA1722"/>
    <w:rsid w:val="00FA1740"/>
    <w:rsid w:val="00FA175E"/>
    <w:rsid w:val="00FA177D"/>
    <w:rsid w:val="00FA17CA"/>
    <w:rsid w:val="00FA1858"/>
    <w:rsid w:val="00FA1873"/>
    <w:rsid w:val="00FA1959"/>
    <w:rsid w:val="00FA196A"/>
    <w:rsid w:val="00FA19E5"/>
    <w:rsid w:val="00FA1A42"/>
    <w:rsid w:val="00FA1A9E"/>
    <w:rsid w:val="00FA1AB1"/>
    <w:rsid w:val="00FA1AE3"/>
    <w:rsid w:val="00FA1B35"/>
    <w:rsid w:val="00FA1B77"/>
    <w:rsid w:val="00FA1B8B"/>
    <w:rsid w:val="00FA1BA7"/>
    <w:rsid w:val="00FA1BB4"/>
    <w:rsid w:val="00FA1BDD"/>
    <w:rsid w:val="00FA1C7D"/>
    <w:rsid w:val="00FA1CA4"/>
    <w:rsid w:val="00FA1CFA"/>
    <w:rsid w:val="00FA1CFF"/>
    <w:rsid w:val="00FA1D37"/>
    <w:rsid w:val="00FA1D96"/>
    <w:rsid w:val="00FA1E46"/>
    <w:rsid w:val="00FA1E68"/>
    <w:rsid w:val="00FA1ECE"/>
    <w:rsid w:val="00FA1F72"/>
    <w:rsid w:val="00FA1F85"/>
    <w:rsid w:val="00FA1FAB"/>
    <w:rsid w:val="00FA1FB8"/>
    <w:rsid w:val="00FA201E"/>
    <w:rsid w:val="00FA20B7"/>
    <w:rsid w:val="00FA2128"/>
    <w:rsid w:val="00FA2190"/>
    <w:rsid w:val="00FA224C"/>
    <w:rsid w:val="00FA231E"/>
    <w:rsid w:val="00FA235D"/>
    <w:rsid w:val="00FA2377"/>
    <w:rsid w:val="00FA2402"/>
    <w:rsid w:val="00FA246A"/>
    <w:rsid w:val="00FA2472"/>
    <w:rsid w:val="00FA248B"/>
    <w:rsid w:val="00FA24B8"/>
    <w:rsid w:val="00FA24C5"/>
    <w:rsid w:val="00FA255D"/>
    <w:rsid w:val="00FA259F"/>
    <w:rsid w:val="00FA2620"/>
    <w:rsid w:val="00FA26C1"/>
    <w:rsid w:val="00FA26DA"/>
    <w:rsid w:val="00FA27C5"/>
    <w:rsid w:val="00FA27E0"/>
    <w:rsid w:val="00FA27F7"/>
    <w:rsid w:val="00FA281D"/>
    <w:rsid w:val="00FA2827"/>
    <w:rsid w:val="00FA2894"/>
    <w:rsid w:val="00FA28B8"/>
    <w:rsid w:val="00FA28C7"/>
    <w:rsid w:val="00FA2916"/>
    <w:rsid w:val="00FA291D"/>
    <w:rsid w:val="00FA29A8"/>
    <w:rsid w:val="00FA2A47"/>
    <w:rsid w:val="00FA2A72"/>
    <w:rsid w:val="00FA2A81"/>
    <w:rsid w:val="00FA2B48"/>
    <w:rsid w:val="00FA2B8F"/>
    <w:rsid w:val="00FA2BC0"/>
    <w:rsid w:val="00FA2BC9"/>
    <w:rsid w:val="00FA2BFE"/>
    <w:rsid w:val="00FA2C47"/>
    <w:rsid w:val="00FA2C65"/>
    <w:rsid w:val="00FA2C95"/>
    <w:rsid w:val="00FA2D9F"/>
    <w:rsid w:val="00FA2DDA"/>
    <w:rsid w:val="00FA2E20"/>
    <w:rsid w:val="00FA2E9C"/>
    <w:rsid w:val="00FA2ECA"/>
    <w:rsid w:val="00FA2EE8"/>
    <w:rsid w:val="00FA2EF7"/>
    <w:rsid w:val="00FA2F2A"/>
    <w:rsid w:val="00FA2F95"/>
    <w:rsid w:val="00FA2FC9"/>
    <w:rsid w:val="00FA3025"/>
    <w:rsid w:val="00FA3174"/>
    <w:rsid w:val="00FA327D"/>
    <w:rsid w:val="00FA3282"/>
    <w:rsid w:val="00FA328D"/>
    <w:rsid w:val="00FA3340"/>
    <w:rsid w:val="00FA3362"/>
    <w:rsid w:val="00FA33FB"/>
    <w:rsid w:val="00FA3424"/>
    <w:rsid w:val="00FA3427"/>
    <w:rsid w:val="00FA3483"/>
    <w:rsid w:val="00FA3490"/>
    <w:rsid w:val="00FA3588"/>
    <w:rsid w:val="00FA35C2"/>
    <w:rsid w:val="00FA3614"/>
    <w:rsid w:val="00FA3683"/>
    <w:rsid w:val="00FA3717"/>
    <w:rsid w:val="00FA3793"/>
    <w:rsid w:val="00FA37B1"/>
    <w:rsid w:val="00FA37CB"/>
    <w:rsid w:val="00FA38DD"/>
    <w:rsid w:val="00FA391A"/>
    <w:rsid w:val="00FA3997"/>
    <w:rsid w:val="00FA39DB"/>
    <w:rsid w:val="00FA39EF"/>
    <w:rsid w:val="00FA3A53"/>
    <w:rsid w:val="00FA3B4B"/>
    <w:rsid w:val="00FA3B71"/>
    <w:rsid w:val="00FA3C02"/>
    <w:rsid w:val="00FA3C16"/>
    <w:rsid w:val="00FA3C48"/>
    <w:rsid w:val="00FA3CA1"/>
    <w:rsid w:val="00FA3CBF"/>
    <w:rsid w:val="00FA3D1F"/>
    <w:rsid w:val="00FA3DB2"/>
    <w:rsid w:val="00FA3DF9"/>
    <w:rsid w:val="00FA3DFC"/>
    <w:rsid w:val="00FA3E39"/>
    <w:rsid w:val="00FA3EB0"/>
    <w:rsid w:val="00FA3EE5"/>
    <w:rsid w:val="00FA3F32"/>
    <w:rsid w:val="00FA3F42"/>
    <w:rsid w:val="00FA3FF0"/>
    <w:rsid w:val="00FA40FB"/>
    <w:rsid w:val="00FA4103"/>
    <w:rsid w:val="00FA4140"/>
    <w:rsid w:val="00FA4166"/>
    <w:rsid w:val="00FA4175"/>
    <w:rsid w:val="00FA41A2"/>
    <w:rsid w:val="00FA41DD"/>
    <w:rsid w:val="00FA4242"/>
    <w:rsid w:val="00FA4245"/>
    <w:rsid w:val="00FA4285"/>
    <w:rsid w:val="00FA4299"/>
    <w:rsid w:val="00FA42AF"/>
    <w:rsid w:val="00FA43E9"/>
    <w:rsid w:val="00FA4493"/>
    <w:rsid w:val="00FA45A4"/>
    <w:rsid w:val="00FA45B0"/>
    <w:rsid w:val="00FA45CB"/>
    <w:rsid w:val="00FA45F3"/>
    <w:rsid w:val="00FA4625"/>
    <w:rsid w:val="00FA4629"/>
    <w:rsid w:val="00FA46DB"/>
    <w:rsid w:val="00FA4704"/>
    <w:rsid w:val="00FA471F"/>
    <w:rsid w:val="00FA4737"/>
    <w:rsid w:val="00FA4788"/>
    <w:rsid w:val="00FA481B"/>
    <w:rsid w:val="00FA4831"/>
    <w:rsid w:val="00FA484A"/>
    <w:rsid w:val="00FA485F"/>
    <w:rsid w:val="00FA489E"/>
    <w:rsid w:val="00FA4934"/>
    <w:rsid w:val="00FA49BA"/>
    <w:rsid w:val="00FA49E2"/>
    <w:rsid w:val="00FA4A08"/>
    <w:rsid w:val="00FA4AFF"/>
    <w:rsid w:val="00FA4B24"/>
    <w:rsid w:val="00FA4B68"/>
    <w:rsid w:val="00FA4B7D"/>
    <w:rsid w:val="00FA4BC5"/>
    <w:rsid w:val="00FA4BF4"/>
    <w:rsid w:val="00FA4D48"/>
    <w:rsid w:val="00FA4E11"/>
    <w:rsid w:val="00FA4E2B"/>
    <w:rsid w:val="00FA4EBC"/>
    <w:rsid w:val="00FA4EE8"/>
    <w:rsid w:val="00FA4F11"/>
    <w:rsid w:val="00FA4F80"/>
    <w:rsid w:val="00FA4FCE"/>
    <w:rsid w:val="00FA4FEA"/>
    <w:rsid w:val="00FA5011"/>
    <w:rsid w:val="00FA503E"/>
    <w:rsid w:val="00FA5047"/>
    <w:rsid w:val="00FA507A"/>
    <w:rsid w:val="00FA510D"/>
    <w:rsid w:val="00FA512A"/>
    <w:rsid w:val="00FA515A"/>
    <w:rsid w:val="00FA519E"/>
    <w:rsid w:val="00FA5250"/>
    <w:rsid w:val="00FA5259"/>
    <w:rsid w:val="00FA526C"/>
    <w:rsid w:val="00FA52A8"/>
    <w:rsid w:val="00FA52E7"/>
    <w:rsid w:val="00FA531D"/>
    <w:rsid w:val="00FA53E8"/>
    <w:rsid w:val="00FA548C"/>
    <w:rsid w:val="00FA549C"/>
    <w:rsid w:val="00FA55C6"/>
    <w:rsid w:val="00FA56B0"/>
    <w:rsid w:val="00FA56D5"/>
    <w:rsid w:val="00FA576F"/>
    <w:rsid w:val="00FA578E"/>
    <w:rsid w:val="00FA58D1"/>
    <w:rsid w:val="00FA596F"/>
    <w:rsid w:val="00FA5971"/>
    <w:rsid w:val="00FA59BB"/>
    <w:rsid w:val="00FA59E1"/>
    <w:rsid w:val="00FA5A7C"/>
    <w:rsid w:val="00FA5AFD"/>
    <w:rsid w:val="00FA5B60"/>
    <w:rsid w:val="00FA5B8E"/>
    <w:rsid w:val="00FA5BB0"/>
    <w:rsid w:val="00FA5BC9"/>
    <w:rsid w:val="00FA5C05"/>
    <w:rsid w:val="00FA5C08"/>
    <w:rsid w:val="00FA5C8A"/>
    <w:rsid w:val="00FA5CA2"/>
    <w:rsid w:val="00FA5D4B"/>
    <w:rsid w:val="00FA5D5B"/>
    <w:rsid w:val="00FA5DC2"/>
    <w:rsid w:val="00FA5E5D"/>
    <w:rsid w:val="00FA5F7C"/>
    <w:rsid w:val="00FA5FA0"/>
    <w:rsid w:val="00FA5FA8"/>
    <w:rsid w:val="00FA5FAF"/>
    <w:rsid w:val="00FA604A"/>
    <w:rsid w:val="00FA6094"/>
    <w:rsid w:val="00FA6098"/>
    <w:rsid w:val="00FA60AD"/>
    <w:rsid w:val="00FA6101"/>
    <w:rsid w:val="00FA616D"/>
    <w:rsid w:val="00FA6189"/>
    <w:rsid w:val="00FA619B"/>
    <w:rsid w:val="00FA6205"/>
    <w:rsid w:val="00FA6245"/>
    <w:rsid w:val="00FA624A"/>
    <w:rsid w:val="00FA6292"/>
    <w:rsid w:val="00FA62A0"/>
    <w:rsid w:val="00FA62CC"/>
    <w:rsid w:val="00FA630A"/>
    <w:rsid w:val="00FA6323"/>
    <w:rsid w:val="00FA6334"/>
    <w:rsid w:val="00FA6357"/>
    <w:rsid w:val="00FA638C"/>
    <w:rsid w:val="00FA64EA"/>
    <w:rsid w:val="00FA64EF"/>
    <w:rsid w:val="00FA65CA"/>
    <w:rsid w:val="00FA67CE"/>
    <w:rsid w:val="00FA67F7"/>
    <w:rsid w:val="00FA6824"/>
    <w:rsid w:val="00FA6858"/>
    <w:rsid w:val="00FA686D"/>
    <w:rsid w:val="00FA6917"/>
    <w:rsid w:val="00FA6968"/>
    <w:rsid w:val="00FA69FB"/>
    <w:rsid w:val="00FA6A41"/>
    <w:rsid w:val="00FA6AA8"/>
    <w:rsid w:val="00FA6AF3"/>
    <w:rsid w:val="00FA6B4F"/>
    <w:rsid w:val="00FA6B9E"/>
    <w:rsid w:val="00FA6BF9"/>
    <w:rsid w:val="00FA6BFD"/>
    <w:rsid w:val="00FA6C12"/>
    <w:rsid w:val="00FA6C65"/>
    <w:rsid w:val="00FA6C7E"/>
    <w:rsid w:val="00FA6CAD"/>
    <w:rsid w:val="00FA6DE5"/>
    <w:rsid w:val="00FA6E01"/>
    <w:rsid w:val="00FA6E02"/>
    <w:rsid w:val="00FA6E07"/>
    <w:rsid w:val="00FA6E91"/>
    <w:rsid w:val="00FA6EA4"/>
    <w:rsid w:val="00FA6EE6"/>
    <w:rsid w:val="00FA6F1C"/>
    <w:rsid w:val="00FA6F2F"/>
    <w:rsid w:val="00FA6F3E"/>
    <w:rsid w:val="00FA6F4A"/>
    <w:rsid w:val="00FA7019"/>
    <w:rsid w:val="00FA70CE"/>
    <w:rsid w:val="00FA7134"/>
    <w:rsid w:val="00FA7225"/>
    <w:rsid w:val="00FA7280"/>
    <w:rsid w:val="00FA7286"/>
    <w:rsid w:val="00FA72A9"/>
    <w:rsid w:val="00FA73D5"/>
    <w:rsid w:val="00FA7427"/>
    <w:rsid w:val="00FA7435"/>
    <w:rsid w:val="00FA745B"/>
    <w:rsid w:val="00FA7502"/>
    <w:rsid w:val="00FA7517"/>
    <w:rsid w:val="00FA75EC"/>
    <w:rsid w:val="00FA767D"/>
    <w:rsid w:val="00FA76DC"/>
    <w:rsid w:val="00FA7704"/>
    <w:rsid w:val="00FA773B"/>
    <w:rsid w:val="00FA7769"/>
    <w:rsid w:val="00FA776F"/>
    <w:rsid w:val="00FA77B9"/>
    <w:rsid w:val="00FA77C3"/>
    <w:rsid w:val="00FA77ED"/>
    <w:rsid w:val="00FA78DF"/>
    <w:rsid w:val="00FA791F"/>
    <w:rsid w:val="00FA7956"/>
    <w:rsid w:val="00FA79C7"/>
    <w:rsid w:val="00FA7A29"/>
    <w:rsid w:val="00FA7A5C"/>
    <w:rsid w:val="00FA7AB7"/>
    <w:rsid w:val="00FA7AD7"/>
    <w:rsid w:val="00FA7B55"/>
    <w:rsid w:val="00FA7B9C"/>
    <w:rsid w:val="00FA7BC7"/>
    <w:rsid w:val="00FA7C4E"/>
    <w:rsid w:val="00FA7CD6"/>
    <w:rsid w:val="00FA7CE3"/>
    <w:rsid w:val="00FA7D65"/>
    <w:rsid w:val="00FA7D76"/>
    <w:rsid w:val="00FA7D8D"/>
    <w:rsid w:val="00FA7E9C"/>
    <w:rsid w:val="00FA7EB1"/>
    <w:rsid w:val="00FA7F20"/>
    <w:rsid w:val="00FB00D1"/>
    <w:rsid w:val="00FB00F3"/>
    <w:rsid w:val="00FB0100"/>
    <w:rsid w:val="00FB013B"/>
    <w:rsid w:val="00FB01F5"/>
    <w:rsid w:val="00FB022F"/>
    <w:rsid w:val="00FB0240"/>
    <w:rsid w:val="00FB03A6"/>
    <w:rsid w:val="00FB03B4"/>
    <w:rsid w:val="00FB0420"/>
    <w:rsid w:val="00FB0450"/>
    <w:rsid w:val="00FB0476"/>
    <w:rsid w:val="00FB04E0"/>
    <w:rsid w:val="00FB04F0"/>
    <w:rsid w:val="00FB05F5"/>
    <w:rsid w:val="00FB05FE"/>
    <w:rsid w:val="00FB0660"/>
    <w:rsid w:val="00FB0693"/>
    <w:rsid w:val="00FB06F0"/>
    <w:rsid w:val="00FB0715"/>
    <w:rsid w:val="00FB078C"/>
    <w:rsid w:val="00FB07E7"/>
    <w:rsid w:val="00FB087D"/>
    <w:rsid w:val="00FB0901"/>
    <w:rsid w:val="00FB0907"/>
    <w:rsid w:val="00FB0941"/>
    <w:rsid w:val="00FB097C"/>
    <w:rsid w:val="00FB0A78"/>
    <w:rsid w:val="00FB0A95"/>
    <w:rsid w:val="00FB0AFD"/>
    <w:rsid w:val="00FB0BEB"/>
    <w:rsid w:val="00FB0C0F"/>
    <w:rsid w:val="00FB0C3E"/>
    <w:rsid w:val="00FB0C74"/>
    <w:rsid w:val="00FB0CB9"/>
    <w:rsid w:val="00FB0CCC"/>
    <w:rsid w:val="00FB0CD3"/>
    <w:rsid w:val="00FB0D17"/>
    <w:rsid w:val="00FB0D2E"/>
    <w:rsid w:val="00FB0D58"/>
    <w:rsid w:val="00FB0D61"/>
    <w:rsid w:val="00FB0DA5"/>
    <w:rsid w:val="00FB0DB6"/>
    <w:rsid w:val="00FB0E0E"/>
    <w:rsid w:val="00FB0E48"/>
    <w:rsid w:val="00FB0E95"/>
    <w:rsid w:val="00FB0ED9"/>
    <w:rsid w:val="00FB0EE8"/>
    <w:rsid w:val="00FB0F33"/>
    <w:rsid w:val="00FB0F5A"/>
    <w:rsid w:val="00FB0F62"/>
    <w:rsid w:val="00FB0FB7"/>
    <w:rsid w:val="00FB0FC4"/>
    <w:rsid w:val="00FB0FE8"/>
    <w:rsid w:val="00FB0FEC"/>
    <w:rsid w:val="00FB0FF7"/>
    <w:rsid w:val="00FB1005"/>
    <w:rsid w:val="00FB107A"/>
    <w:rsid w:val="00FB1095"/>
    <w:rsid w:val="00FB10D5"/>
    <w:rsid w:val="00FB1120"/>
    <w:rsid w:val="00FB1157"/>
    <w:rsid w:val="00FB11C9"/>
    <w:rsid w:val="00FB1202"/>
    <w:rsid w:val="00FB123B"/>
    <w:rsid w:val="00FB124A"/>
    <w:rsid w:val="00FB124F"/>
    <w:rsid w:val="00FB12A6"/>
    <w:rsid w:val="00FB137C"/>
    <w:rsid w:val="00FB13D5"/>
    <w:rsid w:val="00FB1490"/>
    <w:rsid w:val="00FB14C4"/>
    <w:rsid w:val="00FB14C9"/>
    <w:rsid w:val="00FB151F"/>
    <w:rsid w:val="00FB155F"/>
    <w:rsid w:val="00FB1607"/>
    <w:rsid w:val="00FB1641"/>
    <w:rsid w:val="00FB1656"/>
    <w:rsid w:val="00FB16BC"/>
    <w:rsid w:val="00FB16E6"/>
    <w:rsid w:val="00FB17F2"/>
    <w:rsid w:val="00FB184D"/>
    <w:rsid w:val="00FB18A0"/>
    <w:rsid w:val="00FB18AB"/>
    <w:rsid w:val="00FB18CD"/>
    <w:rsid w:val="00FB18CE"/>
    <w:rsid w:val="00FB18CF"/>
    <w:rsid w:val="00FB18D2"/>
    <w:rsid w:val="00FB18DD"/>
    <w:rsid w:val="00FB18E6"/>
    <w:rsid w:val="00FB1974"/>
    <w:rsid w:val="00FB19E3"/>
    <w:rsid w:val="00FB19F0"/>
    <w:rsid w:val="00FB1A72"/>
    <w:rsid w:val="00FB1AA3"/>
    <w:rsid w:val="00FB1B72"/>
    <w:rsid w:val="00FB1CBE"/>
    <w:rsid w:val="00FB1D05"/>
    <w:rsid w:val="00FB1DB4"/>
    <w:rsid w:val="00FB1DDD"/>
    <w:rsid w:val="00FB1DE0"/>
    <w:rsid w:val="00FB1E62"/>
    <w:rsid w:val="00FB1E69"/>
    <w:rsid w:val="00FB1E7D"/>
    <w:rsid w:val="00FB1E9B"/>
    <w:rsid w:val="00FB1F84"/>
    <w:rsid w:val="00FB2000"/>
    <w:rsid w:val="00FB2059"/>
    <w:rsid w:val="00FB2123"/>
    <w:rsid w:val="00FB2157"/>
    <w:rsid w:val="00FB215E"/>
    <w:rsid w:val="00FB2230"/>
    <w:rsid w:val="00FB231B"/>
    <w:rsid w:val="00FB2327"/>
    <w:rsid w:val="00FB2361"/>
    <w:rsid w:val="00FB2374"/>
    <w:rsid w:val="00FB2375"/>
    <w:rsid w:val="00FB23B0"/>
    <w:rsid w:val="00FB23BB"/>
    <w:rsid w:val="00FB23F4"/>
    <w:rsid w:val="00FB24A8"/>
    <w:rsid w:val="00FB24BD"/>
    <w:rsid w:val="00FB24FF"/>
    <w:rsid w:val="00FB2528"/>
    <w:rsid w:val="00FB25E2"/>
    <w:rsid w:val="00FB2612"/>
    <w:rsid w:val="00FB26CA"/>
    <w:rsid w:val="00FB270B"/>
    <w:rsid w:val="00FB27E5"/>
    <w:rsid w:val="00FB27F0"/>
    <w:rsid w:val="00FB2838"/>
    <w:rsid w:val="00FB2893"/>
    <w:rsid w:val="00FB291C"/>
    <w:rsid w:val="00FB2955"/>
    <w:rsid w:val="00FB2975"/>
    <w:rsid w:val="00FB29AF"/>
    <w:rsid w:val="00FB29DF"/>
    <w:rsid w:val="00FB29E1"/>
    <w:rsid w:val="00FB2A14"/>
    <w:rsid w:val="00FB2A37"/>
    <w:rsid w:val="00FB2A4B"/>
    <w:rsid w:val="00FB2B42"/>
    <w:rsid w:val="00FB2B7E"/>
    <w:rsid w:val="00FB2BC2"/>
    <w:rsid w:val="00FB2C66"/>
    <w:rsid w:val="00FB2CA5"/>
    <w:rsid w:val="00FB2D30"/>
    <w:rsid w:val="00FB2D3E"/>
    <w:rsid w:val="00FB2DD1"/>
    <w:rsid w:val="00FB2DE9"/>
    <w:rsid w:val="00FB2E66"/>
    <w:rsid w:val="00FB2F2A"/>
    <w:rsid w:val="00FB2F94"/>
    <w:rsid w:val="00FB308C"/>
    <w:rsid w:val="00FB30DC"/>
    <w:rsid w:val="00FB3189"/>
    <w:rsid w:val="00FB31BB"/>
    <w:rsid w:val="00FB31E4"/>
    <w:rsid w:val="00FB3207"/>
    <w:rsid w:val="00FB3234"/>
    <w:rsid w:val="00FB3242"/>
    <w:rsid w:val="00FB3257"/>
    <w:rsid w:val="00FB3275"/>
    <w:rsid w:val="00FB32B7"/>
    <w:rsid w:val="00FB3301"/>
    <w:rsid w:val="00FB3365"/>
    <w:rsid w:val="00FB348A"/>
    <w:rsid w:val="00FB34D2"/>
    <w:rsid w:val="00FB34DB"/>
    <w:rsid w:val="00FB350F"/>
    <w:rsid w:val="00FB351A"/>
    <w:rsid w:val="00FB3562"/>
    <w:rsid w:val="00FB35C4"/>
    <w:rsid w:val="00FB369A"/>
    <w:rsid w:val="00FB36D6"/>
    <w:rsid w:val="00FB36DE"/>
    <w:rsid w:val="00FB3701"/>
    <w:rsid w:val="00FB37A5"/>
    <w:rsid w:val="00FB37E4"/>
    <w:rsid w:val="00FB38AB"/>
    <w:rsid w:val="00FB3932"/>
    <w:rsid w:val="00FB3999"/>
    <w:rsid w:val="00FB39CC"/>
    <w:rsid w:val="00FB39F1"/>
    <w:rsid w:val="00FB3A36"/>
    <w:rsid w:val="00FB3A75"/>
    <w:rsid w:val="00FB3A94"/>
    <w:rsid w:val="00FB3AB2"/>
    <w:rsid w:val="00FB3AD8"/>
    <w:rsid w:val="00FB3B4D"/>
    <w:rsid w:val="00FB3B6F"/>
    <w:rsid w:val="00FB3B83"/>
    <w:rsid w:val="00FB3B88"/>
    <w:rsid w:val="00FB3B9E"/>
    <w:rsid w:val="00FB3BAB"/>
    <w:rsid w:val="00FB3BAD"/>
    <w:rsid w:val="00FB3BB5"/>
    <w:rsid w:val="00FB3BE6"/>
    <w:rsid w:val="00FB3C3F"/>
    <w:rsid w:val="00FB3C7F"/>
    <w:rsid w:val="00FB3CBA"/>
    <w:rsid w:val="00FB3CD6"/>
    <w:rsid w:val="00FB3CEA"/>
    <w:rsid w:val="00FB3D02"/>
    <w:rsid w:val="00FB3E79"/>
    <w:rsid w:val="00FB3E80"/>
    <w:rsid w:val="00FB3E84"/>
    <w:rsid w:val="00FB3F21"/>
    <w:rsid w:val="00FB3F74"/>
    <w:rsid w:val="00FB3FC2"/>
    <w:rsid w:val="00FB4136"/>
    <w:rsid w:val="00FB4168"/>
    <w:rsid w:val="00FB417C"/>
    <w:rsid w:val="00FB434A"/>
    <w:rsid w:val="00FB4396"/>
    <w:rsid w:val="00FB4415"/>
    <w:rsid w:val="00FB4476"/>
    <w:rsid w:val="00FB4485"/>
    <w:rsid w:val="00FB44D9"/>
    <w:rsid w:val="00FB451A"/>
    <w:rsid w:val="00FB4562"/>
    <w:rsid w:val="00FB45BD"/>
    <w:rsid w:val="00FB4611"/>
    <w:rsid w:val="00FB479C"/>
    <w:rsid w:val="00FB47CE"/>
    <w:rsid w:val="00FB4815"/>
    <w:rsid w:val="00FB483B"/>
    <w:rsid w:val="00FB484B"/>
    <w:rsid w:val="00FB4956"/>
    <w:rsid w:val="00FB4997"/>
    <w:rsid w:val="00FB4A18"/>
    <w:rsid w:val="00FB4A85"/>
    <w:rsid w:val="00FB4AEE"/>
    <w:rsid w:val="00FB4B45"/>
    <w:rsid w:val="00FB4B72"/>
    <w:rsid w:val="00FB4B73"/>
    <w:rsid w:val="00FB4BF7"/>
    <w:rsid w:val="00FB4CBF"/>
    <w:rsid w:val="00FB4CD2"/>
    <w:rsid w:val="00FB4DF5"/>
    <w:rsid w:val="00FB4E1C"/>
    <w:rsid w:val="00FB4E29"/>
    <w:rsid w:val="00FB4EAF"/>
    <w:rsid w:val="00FB4F00"/>
    <w:rsid w:val="00FB4F6A"/>
    <w:rsid w:val="00FB4F82"/>
    <w:rsid w:val="00FB4FBE"/>
    <w:rsid w:val="00FB4FD7"/>
    <w:rsid w:val="00FB4FEA"/>
    <w:rsid w:val="00FB4FEE"/>
    <w:rsid w:val="00FB5156"/>
    <w:rsid w:val="00FB522F"/>
    <w:rsid w:val="00FB5252"/>
    <w:rsid w:val="00FB5264"/>
    <w:rsid w:val="00FB52A9"/>
    <w:rsid w:val="00FB52C6"/>
    <w:rsid w:val="00FB5306"/>
    <w:rsid w:val="00FB5374"/>
    <w:rsid w:val="00FB544A"/>
    <w:rsid w:val="00FB54C6"/>
    <w:rsid w:val="00FB5563"/>
    <w:rsid w:val="00FB5586"/>
    <w:rsid w:val="00FB55DF"/>
    <w:rsid w:val="00FB561B"/>
    <w:rsid w:val="00FB56A2"/>
    <w:rsid w:val="00FB5702"/>
    <w:rsid w:val="00FB5762"/>
    <w:rsid w:val="00FB57CF"/>
    <w:rsid w:val="00FB5803"/>
    <w:rsid w:val="00FB585A"/>
    <w:rsid w:val="00FB58B2"/>
    <w:rsid w:val="00FB5912"/>
    <w:rsid w:val="00FB5933"/>
    <w:rsid w:val="00FB59A8"/>
    <w:rsid w:val="00FB59B2"/>
    <w:rsid w:val="00FB59EA"/>
    <w:rsid w:val="00FB5A00"/>
    <w:rsid w:val="00FB5A59"/>
    <w:rsid w:val="00FB5A5E"/>
    <w:rsid w:val="00FB5A95"/>
    <w:rsid w:val="00FB5AA4"/>
    <w:rsid w:val="00FB5ABC"/>
    <w:rsid w:val="00FB5AD6"/>
    <w:rsid w:val="00FB5B8B"/>
    <w:rsid w:val="00FB5C04"/>
    <w:rsid w:val="00FB5C9A"/>
    <w:rsid w:val="00FB5CF8"/>
    <w:rsid w:val="00FB5D22"/>
    <w:rsid w:val="00FB5D38"/>
    <w:rsid w:val="00FB5DD1"/>
    <w:rsid w:val="00FB5DD8"/>
    <w:rsid w:val="00FB5E16"/>
    <w:rsid w:val="00FB5E82"/>
    <w:rsid w:val="00FB5EC4"/>
    <w:rsid w:val="00FB5EE1"/>
    <w:rsid w:val="00FB5F73"/>
    <w:rsid w:val="00FB5F7B"/>
    <w:rsid w:val="00FB6004"/>
    <w:rsid w:val="00FB604A"/>
    <w:rsid w:val="00FB6065"/>
    <w:rsid w:val="00FB60A0"/>
    <w:rsid w:val="00FB616B"/>
    <w:rsid w:val="00FB6230"/>
    <w:rsid w:val="00FB6294"/>
    <w:rsid w:val="00FB62AB"/>
    <w:rsid w:val="00FB62BD"/>
    <w:rsid w:val="00FB630F"/>
    <w:rsid w:val="00FB632E"/>
    <w:rsid w:val="00FB6367"/>
    <w:rsid w:val="00FB6383"/>
    <w:rsid w:val="00FB63A9"/>
    <w:rsid w:val="00FB64F7"/>
    <w:rsid w:val="00FB6519"/>
    <w:rsid w:val="00FB656D"/>
    <w:rsid w:val="00FB6592"/>
    <w:rsid w:val="00FB6692"/>
    <w:rsid w:val="00FB66DB"/>
    <w:rsid w:val="00FB6718"/>
    <w:rsid w:val="00FB6738"/>
    <w:rsid w:val="00FB6790"/>
    <w:rsid w:val="00FB680C"/>
    <w:rsid w:val="00FB683F"/>
    <w:rsid w:val="00FB6843"/>
    <w:rsid w:val="00FB6845"/>
    <w:rsid w:val="00FB6859"/>
    <w:rsid w:val="00FB6871"/>
    <w:rsid w:val="00FB6935"/>
    <w:rsid w:val="00FB6966"/>
    <w:rsid w:val="00FB6975"/>
    <w:rsid w:val="00FB6980"/>
    <w:rsid w:val="00FB69C6"/>
    <w:rsid w:val="00FB6A4A"/>
    <w:rsid w:val="00FB6A93"/>
    <w:rsid w:val="00FB6AF1"/>
    <w:rsid w:val="00FB6B1D"/>
    <w:rsid w:val="00FB6B7F"/>
    <w:rsid w:val="00FB6B8D"/>
    <w:rsid w:val="00FB6BAF"/>
    <w:rsid w:val="00FB6C02"/>
    <w:rsid w:val="00FB6C41"/>
    <w:rsid w:val="00FB6C7E"/>
    <w:rsid w:val="00FB6D19"/>
    <w:rsid w:val="00FB6D36"/>
    <w:rsid w:val="00FB6D66"/>
    <w:rsid w:val="00FB6DB1"/>
    <w:rsid w:val="00FB6E09"/>
    <w:rsid w:val="00FB6E3E"/>
    <w:rsid w:val="00FB6E48"/>
    <w:rsid w:val="00FB6F27"/>
    <w:rsid w:val="00FB6F7E"/>
    <w:rsid w:val="00FB7028"/>
    <w:rsid w:val="00FB70E7"/>
    <w:rsid w:val="00FB70F9"/>
    <w:rsid w:val="00FB715F"/>
    <w:rsid w:val="00FB72E0"/>
    <w:rsid w:val="00FB734E"/>
    <w:rsid w:val="00FB735B"/>
    <w:rsid w:val="00FB73C2"/>
    <w:rsid w:val="00FB73D9"/>
    <w:rsid w:val="00FB75DF"/>
    <w:rsid w:val="00FB75E4"/>
    <w:rsid w:val="00FB761D"/>
    <w:rsid w:val="00FB764A"/>
    <w:rsid w:val="00FB7653"/>
    <w:rsid w:val="00FB76E0"/>
    <w:rsid w:val="00FB76E7"/>
    <w:rsid w:val="00FB7793"/>
    <w:rsid w:val="00FB7829"/>
    <w:rsid w:val="00FB7836"/>
    <w:rsid w:val="00FB7838"/>
    <w:rsid w:val="00FB7862"/>
    <w:rsid w:val="00FB78DD"/>
    <w:rsid w:val="00FB7984"/>
    <w:rsid w:val="00FB79B4"/>
    <w:rsid w:val="00FB7A3B"/>
    <w:rsid w:val="00FB7A84"/>
    <w:rsid w:val="00FB7AB1"/>
    <w:rsid w:val="00FB7ADB"/>
    <w:rsid w:val="00FB7B18"/>
    <w:rsid w:val="00FB7B73"/>
    <w:rsid w:val="00FB7BA4"/>
    <w:rsid w:val="00FB7C2E"/>
    <w:rsid w:val="00FB7CC1"/>
    <w:rsid w:val="00FB7CF9"/>
    <w:rsid w:val="00FB7D24"/>
    <w:rsid w:val="00FB7E01"/>
    <w:rsid w:val="00FB7E2F"/>
    <w:rsid w:val="00FB7E49"/>
    <w:rsid w:val="00FB7E6E"/>
    <w:rsid w:val="00FB7E8C"/>
    <w:rsid w:val="00FB7F17"/>
    <w:rsid w:val="00FB7F3B"/>
    <w:rsid w:val="00FB7F53"/>
    <w:rsid w:val="00FB7F5D"/>
    <w:rsid w:val="00FB7F68"/>
    <w:rsid w:val="00FB7F6A"/>
    <w:rsid w:val="00FC003E"/>
    <w:rsid w:val="00FC0098"/>
    <w:rsid w:val="00FC0129"/>
    <w:rsid w:val="00FC01A4"/>
    <w:rsid w:val="00FC021D"/>
    <w:rsid w:val="00FC0238"/>
    <w:rsid w:val="00FC0244"/>
    <w:rsid w:val="00FC029B"/>
    <w:rsid w:val="00FC031D"/>
    <w:rsid w:val="00FC03C8"/>
    <w:rsid w:val="00FC03F4"/>
    <w:rsid w:val="00FC03F9"/>
    <w:rsid w:val="00FC0437"/>
    <w:rsid w:val="00FC04C2"/>
    <w:rsid w:val="00FC057A"/>
    <w:rsid w:val="00FC061E"/>
    <w:rsid w:val="00FC0624"/>
    <w:rsid w:val="00FC0658"/>
    <w:rsid w:val="00FC0671"/>
    <w:rsid w:val="00FC0677"/>
    <w:rsid w:val="00FC0765"/>
    <w:rsid w:val="00FC0767"/>
    <w:rsid w:val="00FC0778"/>
    <w:rsid w:val="00FC078F"/>
    <w:rsid w:val="00FC0898"/>
    <w:rsid w:val="00FC0903"/>
    <w:rsid w:val="00FC0990"/>
    <w:rsid w:val="00FC0995"/>
    <w:rsid w:val="00FC09A1"/>
    <w:rsid w:val="00FC09AD"/>
    <w:rsid w:val="00FC09B4"/>
    <w:rsid w:val="00FC0A1A"/>
    <w:rsid w:val="00FC0A51"/>
    <w:rsid w:val="00FC0A69"/>
    <w:rsid w:val="00FC0AA9"/>
    <w:rsid w:val="00FC0B8C"/>
    <w:rsid w:val="00FC0B95"/>
    <w:rsid w:val="00FC0C05"/>
    <w:rsid w:val="00FC0C40"/>
    <w:rsid w:val="00FC0D2A"/>
    <w:rsid w:val="00FC0D97"/>
    <w:rsid w:val="00FC0E3F"/>
    <w:rsid w:val="00FC0E57"/>
    <w:rsid w:val="00FC0E7D"/>
    <w:rsid w:val="00FC0E83"/>
    <w:rsid w:val="00FC0EE0"/>
    <w:rsid w:val="00FC0EE8"/>
    <w:rsid w:val="00FC0FF2"/>
    <w:rsid w:val="00FC1031"/>
    <w:rsid w:val="00FC1096"/>
    <w:rsid w:val="00FC10A6"/>
    <w:rsid w:val="00FC10BD"/>
    <w:rsid w:val="00FC10D0"/>
    <w:rsid w:val="00FC10E1"/>
    <w:rsid w:val="00FC1110"/>
    <w:rsid w:val="00FC114E"/>
    <w:rsid w:val="00FC11F6"/>
    <w:rsid w:val="00FC1209"/>
    <w:rsid w:val="00FC1245"/>
    <w:rsid w:val="00FC125A"/>
    <w:rsid w:val="00FC1264"/>
    <w:rsid w:val="00FC127F"/>
    <w:rsid w:val="00FC130C"/>
    <w:rsid w:val="00FC1324"/>
    <w:rsid w:val="00FC1342"/>
    <w:rsid w:val="00FC134F"/>
    <w:rsid w:val="00FC1363"/>
    <w:rsid w:val="00FC143D"/>
    <w:rsid w:val="00FC14B3"/>
    <w:rsid w:val="00FC157A"/>
    <w:rsid w:val="00FC159E"/>
    <w:rsid w:val="00FC1687"/>
    <w:rsid w:val="00FC17C6"/>
    <w:rsid w:val="00FC183A"/>
    <w:rsid w:val="00FC1847"/>
    <w:rsid w:val="00FC1849"/>
    <w:rsid w:val="00FC18EE"/>
    <w:rsid w:val="00FC192B"/>
    <w:rsid w:val="00FC19A8"/>
    <w:rsid w:val="00FC19D3"/>
    <w:rsid w:val="00FC19F9"/>
    <w:rsid w:val="00FC1A3A"/>
    <w:rsid w:val="00FC1A3E"/>
    <w:rsid w:val="00FC1A66"/>
    <w:rsid w:val="00FC1A8D"/>
    <w:rsid w:val="00FC1AB9"/>
    <w:rsid w:val="00FC1AE4"/>
    <w:rsid w:val="00FC1AF9"/>
    <w:rsid w:val="00FC1B15"/>
    <w:rsid w:val="00FC1B28"/>
    <w:rsid w:val="00FC1BD1"/>
    <w:rsid w:val="00FC1C27"/>
    <w:rsid w:val="00FC1C29"/>
    <w:rsid w:val="00FC1CB4"/>
    <w:rsid w:val="00FC1CC3"/>
    <w:rsid w:val="00FC1DF3"/>
    <w:rsid w:val="00FC1E1A"/>
    <w:rsid w:val="00FC1E7F"/>
    <w:rsid w:val="00FC1E9D"/>
    <w:rsid w:val="00FC1EFE"/>
    <w:rsid w:val="00FC1F75"/>
    <w:rsid w:val="00FC1F7B"/>
    <w:rsid w:val="00FC1FC5"/>
    <w:rsid w:val="00FC20D8"/>
    <w:rsid w:val="00FC20F0"/>
    <w:rsid w:val="00FC2180"/>
    <w:rsid w:val="00FC2181"/>
    <w:rsid w:val="00FC219D"/>
    <w:rsid w:val="00FC21A3"/>
    <w:rsid w:val="00FC2349"/>
    <w:rsid w:val="00FC24FE"/>
    <w:rsid w:val="00FC2512"/>
    <w:rsid w:val="00FC2584"/>
    <w:rsid w:val="00FC2646"/>
    <w:rsid w:val="00FC267A"/>
    <w:rsid w:val="00FC26AB"/>
    <w:rsid w:val="00FC271A"/>
    <w:rsid w:val="00FC272D"/>
    <w:rsid w:val="00FC277C"/>
    <w:rsid w:val="00FC28C9"/>
    <w:rsid w:val="00FC2910"/>
    <w:rsid w:val="00FC295D"/>
    <w:rsid w:val="00FC29A2"/>
    <w:rsid w:val="00FC29DC"/>
    <w:rsid w:val="00FC2A25"/>
    <w:rsid w:val="00FC2A2F"/>
    <w:rsid w:val="00FC2B22"/>
    <w:rsid w:val="00FC2B7C"/>
    <w:rsid w:val="00FC2B9F"/>
    <w:rsid w:val="00FC2BA3"/>
    <w:rsid w:val="00FC2BA7"/>
    <w:rsid w:val="00FC2BCC"/>
    <w:rsid w:val="00FC2BDE"/>
    <w:rsid w:val="00FC2C1C"/>
    <w:rsid w:val="00FC2CEE"/>
    <w:rsid w:val="00FC2D21"/>
    <w:rsid w:val="00FC2D80"/>
    <w:rsid w:val="00FC2DBE"/>
    <w:rsid w:val="00FC2E3D"/>
    <w:rsid w:val="00FC2E5C"/>
    <w:rsid w:val="00FC2EB5"/>
    <w:rsid w:val="00FC2F1E"/>
    <w:rsid w:val="00FC2F60"/>
    <w:rsid w:val="00FC2F8F"/>
    <w:rsid w:val="00FC30F1"/>
    <w:rsid w:val="00FC30FE"/>
    <w:rsid w:val="00FC3199"/>
    <w:rsid w:val="00FC31B2"/>
    <w:rsid w:val="00FC31EC"/>
    <w:rsid w:val="00FC32C2"/>
    <w:rsid w:val="00FC3317"/>
    <w:rsid w:val="00FC335E"/>
    <w:rsid w:val="00FC33D2"/>
    <w:rsid w:val="00FC3409"/>
    <w:rsid w:val="00FC3473"/>
    <w:rsid w:val="00FC347E"/>
    <w:rsid w:val="00FC3488"/>
    <w:rsid w:val="00FC34AB"/>
    <w:rsid w:val="00FC352D"/>
    <w:rsid w:val="00FC35E7"/>
    <w:rsid w:val="00FC365C"/>
    <w:rsid w:val="00FC3679"/>
    <w:rsid w:val="00FC369C"/>
    <w:rsid w:val="00FC36C4"/>
    <w:rsid w:val="00FC36CF"/>
    <w:rsid w:val="00FC36DB"/>
    <w:rsid w:val="00FC370F"/>
    <w:rsid w:val="00FC3807"/>
    <w:rsid w:val="00FC3840"/>
    <w:rsid w:val="00FC3913"/>
    <w:rsid w:val="00FC3928"/>
    <w:rsid w:val="00FC3945"/>
    <w:rsid w:val="00FC3954"/>
    <w:rsid w:val="00FC39D9"/>
    <w:rsid w:val="00FC3A57"/>
    <w:rsid w:val="00FC3B6A"/>
    <w:rsid w:val="00FC3B7A"/>
    <w:rsid w:val="00FC3BE1"/>
    <w:rsid w:val="00FC3C6F"/>
    <w:rsid w:val="00FC3CB7"/>
    <w:rsid w:val="00FC3D89"/>
    <w:rsid w:val="00FC3DA3"/>
    <w:rsid w:val="00FC3DA9"/>
    <w:rsid w:val="00FC3DF1"/>
    <w:rsid w:val="00FC3E15"/>
    <w:rsid w:val="00FC3E1F"/>
    <w:rsid w:val="00FC3E2B"/>
    <w:rsid w:val="00FC3E53"/>
    <w:rsid w:val="00FC3E69"/>
    <w:rsid w:val="00FC3E71"/>
    <w:rsid w:val="00FC3E8F"/>
    <w:rsid w:val="00FC3E9D"/>
    <w:rsid w:val="00FC3EF2"/>
    <w:rsid w:val="00FC3F15"/>
    <w:rsid w:val="00FC3F70"/>
    <w:rsid w:val="00FC3FFD"/>
    <w:rsid w:val="00FC4021"/>
    <w:rsid w:val="00FC40A4"/>
    <w:rsid w:val="00FC4137"/>
    <w:rsid w:val="00FC41A3"/>
    <w:rsid w:val="00FC41BF"/>
    <w:rsid w:val="00FC41E6"/>
    <w:rsid w:val="00FC425C"/>
    <w:rsid w:val="00FC42CF"/>
    <w:rsid w:val="00FC431A"/>
    <w:rsid w:val="00FC432A"/>
    <w:rsid w:val="00FC4380"/>
    <w:rsid w:val="00FC444B"/>
    <w:rsid w:val="00FC4475"/>
    <w:rsid w:val="00FC44E9"/>
    <w:rsid w:val="00FC4516"/>
    <w:rsid w:val="00FC45A1"/>
    <w:rsid w:val="00FC4630"/>
    <w:rsid w:val="00FC463C"/>
    <w:rsid w:val="00FC478A"/>
    <w:rsid w:val="00FC47A9"/>
    <w:rsid w:val="00FC47EE"/>
    <w:rsid w:val="00FC4856"/>
    <w:rsid w:val="00FC48BC"/>
    <w:rsid w:val="00FC48CB"/>
    <w:rsid w:val="00FC490E"/>
    <w:rsid w:val="00FC491E"/>
    <w:rsid w:val="00FC4921"/>
    <w:rsid w:val="00FC493D"/>
    <w:rsid w:val="00FC4941"/>
    <w:rsid w:val="00FC4A30"/>
    <w:rsid w:val="00FC4A70"/>
    <w:rsid w:val="00FC4AA7"/>
    <w:rsid w:val="00FC4AFC"/>
    <w:rsid w:val="00FC4B1A"/>
    <w:rsid w:val="00FC4B89"/>
    <w:rsid w:val="00FC4BDE"/>
    <w:rsid w:val="00FC4CF5"/>
    <w:rsid w:val="00FC4D06"/>
    <w:rsid w:val="00FC4D57"/>
    <w:rsid w:val="00FC4D93"/>
    <w:rsid w:val="00FC4D98"/>
    <w:rsid w:val="00FC4D9E"/>
    <w:rsid w:val="00FC4DFE"/>
    <w:rsid w:val="00FC4F55"/>
    <w:rsid w:val="00FC4FA6"/>
    <w:rsid w:val="00FC4FAE"/>
    <w:rsid w:val="00FC5031"/>
    <w:rsid w:val="00FC509B"/>
    <w:rsid w:val="00FC50C3"/>
    <w:rsid w:val="00FC517C"/>
    <w:rsid w:val="00FC5216"/>
    <w:rsid w:val="00FC526E"/>
    <w:rsid w:val="00FC5293"/>
    <w:rsid w:val="00FC543F"/>
    <w:rsid w:val="00FC546F"/>
    <w:rsid w:val="00FC54C5"/>
    <w:rsid w:val="00FC556A"/>
    <w:rsid w:val="00FC5676"/>
    <w:rsid w:val="00FC567B"/>
    <w:rsid w:val="00FC56B4"/>
    <w:rsid w:val="00FC56FC"/>
    <w:rsid w:val="00FC5708"/>
    <w:rsid w:val="00FC573F"/>
    <w:rsid w:val="00FC575E"/>
    <w:rsid w:val="00FC57B9"/>
    <w:rsid w:val="00FC57C4"/>
    <w:rsid w:val="00FC57C6"/>
    <w:rsid w:val="00FC5813"/>
    <w:rsid w:val="00FC585C"/>
    <w:rsid w:val="00FC5887"/>
    <w:rsid w:val="00FC589E"/>
    <w:rsid w:val="00FC58CB"/>
    <w:rsid w:val="00FC5956"/>
    <w:rsid w:val="00FC59A9"/>
    <w:rsid w:val="00FC59FD"/>
    <w:rsid w:val="00FC5AA7"/>
    <w:rsid w:val="00FC5B03"/>
    <w:rsid w:val="00FC5B55"/>
    <w:rsid w:val="00FC5B97"/>
    <w:rsid w:val="00FC5C52"/>
    <w:rsid w:val="00FC5C84"/>
    <w:rsid w:val="00FC5C9F"/>
    <w:rsid w:val="00FC5CF6"/>
    <w:rsid w:val="00FC5D3A"/>
    <w:rsid w:val="00FC5D85"/>
    <w:rsid w:val="00FC5E01"/>
    <w:rsid w:val="00FC5E07"/>
    <w:rsid w:val="00FC5E64"/>
    <w:rsid w:val="00FC5EBE"/>
    <w:rsid w:val="00FC5ECF"/>
    <w:rsid w:val="00FC5EFF"/>
    <w:rsid w:val="00FC5F12"/>
    <w:rsid w:val="00FC5FCF"/>
    <w:rsid w:val="00FC5FDA"/>
    <w:rsid w:val="00FC5FDB"/>
    <w:rsid w:val="00FC6020"/>
    <w:rsid w:val="00FC60F5"/>
    <w:rsid w:val="00FC6154"/>
    <w:rsid w:val="00FC616D"/>
    <w:rsid w:val="00FC61CB"/>
    <w:rsid w:val="00FC6311"/>
    <w:rsid w:val="00FC6324"/>
    <w:rsid w:val="00FC638B"/>
    <w:rsid w:val="00FC642B"/>
    <w:rsid w:val="00FC6451"/>
    <w:rsid w:val="00FC6473"/>
    <w:rsid w:val="00FC64BA"/>
    <w:rsid w:val="00FC64C5"/>
    <w:rsid w:val="00FC6513"/>
    <w:rsid w:val="00FC65CE"/>
    <w:rsid w:val="00FC6664"/>
    <w:rsid w:val="00FC66C4"/>
    <w:rsid w:val="00FC66D1"/>
    <w:rsid w:val="00FC6713"/>
    <w:rsid w:val="00FC671B"/>
    <w:rsid w:val="00FC681D"/>
    <w:rsid w:val="00FC6855"/>
    <w:rsid w:val="00FC68C0"/>
    <w:rsid w:val="00FC68F6"/>
    <w:rsid w:val="00FC6930"/>
    <w:rsid w:val="00FC6942"/>
    <w:rsid w:val="00FC6955"/>
    <w:rsid w:val="00FC69B7"/>
    <w:rsid w:val="00FC69DA"/>
    <w:rsid w:val="00FC69EB"/>
    <w:rsid w:val="00FC69F6"/>
    <w:rsid w:val="00FC6A3D"/>
    <w:rsid w:val="00FC6A5E"/>
    <w:rsid w:val="00FC6A7F"/>
    <w:rsid w:val="00FC6AAB"/>
    <w:rsid w:val="00FC6AD2"/>
    <w:rsid w:val="00FC6B22"/>
    <w:rsid w:val="00FC6B35"/>
    <w:rsid w:val="00FC6B78"/>
    <w:rsid w:val="00FC6B84"/>
    <w:rsid w:val="00FC6BA8"/>
    <w:rsid w:val="00FC6C8D"/>
    <w:rsid w:val="00FC6CE7"/>
    <w:rsid w:val="00FC6D8B"/>
    <w:rsid w:val="00FC6DD2"/>
    <w:rsid w:val="00FC6DD5"/>
    <w:rsid w:val="00FC6E41"/>
    <w:rsid w:val="00FC6F6C"/>
    <w:rsid w:val="00FC6F80"/>
    <w:rsid w:val="00FC6FC4"/>
    <w:rsid w:val="00FC6FE5"/>
    <w:rsid w:val="00FC7016"/>
    <w:rsid w:val="00FC7022"/>
    <w:rsid w:val="00FC709D"/>
    <w:rsid w:val="00FC711C"/>
    <w:rsid w:val="00FC719B"/>
    <w:rsid w:val="00FC71C0"/>
    <w:rsid w:val="00FC7227"/>
    <w:rsid w:val="00FC7265"/>
    <w:rsid w:val="00FC731E"/>
    <w:rsid w:val="00FC7455"/>
    <w:rsid w:val="00FC74EA"/>
    <w:rsid w:val="00FC75EE"/>
    <w:rsid w:val="00FC7631"/>
    <w:rsid w:val="00FC7664"/>
    <w:rsid w:val="00FC7687"/>
    <w:rsid w:val="00FC76C8"/>
    <w:rsid w:val="00FC7718"/>
    <w:rsid w:val="00FC775F"/>
    <w:rsid w:val="00FC776F"/>
    <w:rsid w:val="00FC77DF"/>
    <w:rsid w:val="00FC77F0"/>
    <w:rsid w:val="00FC781F"/>
    <w:rsid w:val="00FC78E3"/>
    <w:rsid w:val="00FC7948"/>
    <w:rsid w:val="00FC79FF"/>
    <w:rsid w:val="00FC7A1A"/>
    <w:rsid w:val="00FC7A34"/>
    <w:rsid w:val="00FC7A41"/>
    <w:rsid w:val="00FC7A54"/>
    <w:rsid w:val="00FC7A58"/>
    <w:rsid w:val="00FC7A5F"/>
    <w:rsid w:val="00FC7A71"/>
    <w:rsid w:val="00FC7B19"/>
    <w:rsid w:val="00FC7BDC"/>
    <w:rsid w:val="00FC7C0A"/>
    <w:rsid w:val="00FC7CB3"/>
    <w:rsid w:val="00FC7CD6"/>
    <w:rsid w:val="00FC7D9C"/>
    <w:rsid w:val="00FC7E59"/>
    <w:rsid w:val="00FC7E5C"/>
    <w:rsid w:val="00FC7E6E"/>
    <w:rsid w:val="00FC7F5F"/>
    <w:rsid w:val="00FD0001"/>
    <w:rsid w:val="00FD000B"/>
    <w:rsid w:val="00FD0065"/>
    <w:rsid w:val="00FD0080"/>
    <w:rsid w:val="00FD0083"/>
    <w:rsid w:val="00FD013F"/>
    <w:rsid w:val="00FD021C"/>
    <w:rsid w:val="00FD0226"/>
    <w:rsid w:val="00FD022D"/>
    <w:rsid w:val="00FD0270"/>
    <w:rsid w:val="00FD0324"/>
    <w:rsid w:val="00FD0370"/>
    <w:rsid w:val="00FD03F2"/>
    <w:rsid w:val="00FD0411"/>
    <w:rsid w:val="00FD0472"/>
    <w:rsid w:val="00FD0540"/>
    <w:rsid w:val="00FD0547"/>
    <w:rsid w:val="00FD0586"/>
    <w:rsid w:val="00FD0597"/>
    <w:rsid w:val="00FD073A"/>
    <w:rsid w:val="00FD0751"/>
    <w:rsid w:val="00FD0780"/>
    <w:rsid w:val="00FD07DB"/>
    <w:rsid w:val="00FD07DF"/>
    <w:rsid w:val="00FD07FB"/>
    <w:rsid w:val="00FD0808"/>
    <w:rsid w:val="00FD082D"/>
    <w:rsid w:val="00FD0848"/>
    <w:rsid w:val="00FD0970"/>
    <w:rsid w:val="00FD09F0"/>
    <w:rsid w:val="00FD09F4"/>
    <w:rsid w:val="00FD0A91"/>
    <w:rsid w:val="00FD0A99"/>
    <w:rsid w:val="00FD0BF7"/>
    <w:rsid w:val="00FD0C1F"/>
    <w:rsid w:val="00FD0C74"/>
    <w:rsid w:val="00FD0CBD"/>
    <w:rsid w:val="00FD0CC5"/>
    <w:rsid w:val="00FD0CF5"/>
    <w:rsid w:val="00FD0D68"/>
    <w:rsid w:val="00FD0D82"/>
    <w:rsid w:val="00FD0D8F"/>
    <w:rsid w:val="00FD0DC8"/>
    <w:rsid w:val="00FD0DF5"/>
    <w:rsid w:val="00FD0E0B"/>
    <w:rsid w:val="00FD0E1B"/>
    <w:rsid w:val="00FD0E3D"/>
    <w:rsid w:val="00FD0EA1"/>
    <w:rsid w:val="00FD0EDC"/>
    <w:rsid w:val="00FD0EF9"/>
    <w:rsid w:val="00FD1004"/>
    <w:rsid w:val="00FD1093"/>
    <w:rsid w:val="00FD10BE"/>
    <w:rsid w:val="00FD1124"/>
    <w:rsid w:val="00FD1148"/>
    <w:rsid w:val="00FD11C9"/>
    <w:rsid w:val="00FD1285"/>
    <w:rsid w:val="00FD128C"/>
    <w:rsid w:val="00FD12F3"/>
    <w:rsid w:val="00FD1364"/>
    <w:rsid w:val="00FD1387"/>
    <w:rsid w:val="00FD13C5"/>
    <w:rsid w:val="00FD1413"/>
    <w:rsid w:val="00FD1431"/>
    <w:rsid w:val="00FD14F3"/>
    <w:rsid w:val="00FD1519"/>
    <w:rsid w:val="00FD168E"/>
    <w:rsid w:val="00FD17C8"/>
    <w:rsid w:val="00FD1813"/>
    <w:rsid w:val="00FD1855"/>
    <w:rsid w:val="00FD18D4"/>
    <w:rsid w:val="00FD18FE"/>
    <w:rsid w:val="00FD1972"/>
    <w:rsid w:val="00FD19A4"/>
    <w:rsid w:val="00FD1A75"/>
    <w:rsid w:val="00FD1AF9"/>
    <w:rsid w:val="00FD1B47"/>
    <w:rsid w:val="00FD1B5B"/>
    <w:rsid w:val="00FD1BB1"/>
    <w:rsid w:val="00FD1BBD"/>
    <w:rsid w:val="00FD1BD7"/>
    <w:rsid w:val="00FD1C25"/>
    <w:rsid w:val="00FD1C68"/>
    <w:rsid w:val="00FD1C8F"/>
    <w:rsid w:val="00FD1C9C"/>
    <w:rsid w:val="00FD1CA2"/>
    <w:rsid w:val="00FD1CB3"/>
    <w:rsid w:val="00FD1CEC"/>
    <w:rsid w:val="00FD1D15"/>
    <w:rsid w:val="00FD1F37"/>
    <w:rsid w:val="00FD1F6D"/>
    <w:rsid w:val="00FD1FB1"/>
    <w:rsid w:val="00FD1FCA"/>
    <w:rsid w:val="00FD2026"/>
    <w:rsid w:val="00FD203F"/>
    <w:rsid w:val="00FD20E7"/>
    <w:rsid w:val="00FD2112"/>
    <w:rsid w:val="00FD212E"/>
    <w:rsid w:val="00FD2160"/>
    <w:rsid w:val="00FD2192"/>
    <w:rsid w:val="00FD21D1"/>
    <w:rsid w:val="00FD21DE"/>
    <w:rsid w:val="00FD21FA"/>
    <w:rsid w:val="00FD220C"/>
    <w:rsid w:val="00FD22A3"/>
    <w:rsid w:val="00FD22B4"/>
    <w:rsid w:val="00FD22D5"/>
    <w:rsid w:val="00FD2320"/>
    <w:rsid w:val="00FD233E"/>
    <w:rsid w:val="00FD2361"/>
    <w:rsid w:val="00FD23CC"/>
    <w:rsid w:val="00FD23D1"/>
    <w:rsid w:val="00FD2435"/>
    <w:rsid w:val="00FD2448"/>
    <w:rsid w:val="00FD246A"/>
    <w:rsid w:val="00FD2475"/>
    <w:rsid w:val="00FD256B"/>
    <w:rsid w:val="00FD25B7"/>
    <w:rsid w:val="00FD262A"/>
    <w:rsid w:val="00FD2673"/>
    <w:rsid w:val="00FD2694"/>
    <w:rsid w:val="00FD26C7"/>
    <w:rsid w:val="00FD26E8"/>
    <w:rsid w:val="00FD26FE"/>
    <w:rsid w:val="00FD2768"/>
    <w:rsid w:val="00FD2871"/>
    <w:rsid w:val="00FD28B2"/>
    <w:rsid w:val="00FD28B4"/>
    <w:rsid w:val="00FD2925"/>
    <w:rsid w:val="00FD2976"/>
    <w:rsid w:val="00FD29B0"/>
    <w:rsid w:val="00FD2A24"/>
    <w:rsid w:val="00FD2A3E"/>
    <w:rsid w:val="00FD2A4A"/>
    <w:rsid w:val="00FD2A5C"/>
    <w:rsid w:val="00FD2A7D"/>
    <w:rsid w:val="00FD2AEE"/>
    <w:rsid w:val="00FD2B19"/>
    <w:rsid w:val="00FD2BC0"/>
    <w:rsid w:val="00FD2BCB"/>
    <w:rsid w:val="00FD2C5E"/>
    <w:rsid w:val="00FD2CAC"/>
    <w:rsid w:val="00FD2DE0"/>
    <w:rsid w:val="00FD2E06"/>
    <w:rsid w:val="00FD2E29"/>
    <w:rsid w:val="00FD2EC6"/>
    <w:rsid w:val="00FD2ED6"/>
    <w:rsid w:val="00FD2ED9"/>
    <w:rsid w:val="00FD2F61"/>
    <w:rsid w:val="00FD2F7C"/>
    <w:rsid w:val="00FD2FCA"/>
    <w:rsid w:val="00FD305D"/>
    <w:rsid w:val="00FD30B7"/>
    <w:rsid w:val="00FD3116"/>
    <w:rsid w:val="00FD318E"/>
    <w:rsid w:val="00FD31B5"/>
    <w:rsid w:val="00FD323D"/>
    <w:rsid w:val="00FD324A"/>
    <w:rsid w:val="00FD32BD"/>
    <w:rsid w:val="00FD32C8"/>
    <w:rsid w:val="00FD3414"/>
    <w:rsid w:val="00FD343D"/>
    <w:rsid w:val="00FD3485"/>
    <w:rsid w:val="00FD3577"/>
    <w:rsid w:val="00FD358E"/>
    <w:rsid w:val="00FD35FB"/>
    <w:rsid w:val="00FD3606"/>
    <w:rsid w:val="00FD3616"/>
    <w:rsid w:val="00FD36EF"/>
    <w:rsid w:val="00FD379D"/>
    <w:rsid w:val="00FD37A8"/>
    <w:rsid w:val="00FD37BB"/>
    <w:rsid w:val="00FD3864"/>
    <w:rsid w:val="00FD3881"/>
    <w:rsid w:val="00FD38B8"/>
    <w:rsid w:val="00FD3942"/>
    <w:rsid w:val="00FD395E"/>
    <w:rsid w:val="00FD39EB"/>
    <w:rsid w:val="00FD39F7"/>
    <w:rsid w:val="00FD39FA"/>
    <w:rsid w:val="00FD3A07"/>
    <w:rsid w:val="00FD3A85"/>
    <w:rsid w:val="00FD3AFA"/>
    <w:rsid w:val="00FD3B2A"/>
    <w:rsid w:val="00FD3B8C"/>
    <w:rsid w:val="00FD3BC7"/>
    <w:rsid w:val="00FD3D53"/>
    <w:rsid w:val="00FD3D56"/>
    <w:rsid w:val="00FD3E0C"/>
    <w:rsid w:val="00FD3E3E"/>
    <w:rsid w:val="00FD3E7F"/>
    <w:rsid w:val="00FD3F10"/>
    <w:rsid w:val="00FD3F33"/>
    <w:rsid w:val="00FD3F7B"/>
    <w:rsid w:val="00FD3FC9"/>
    <w:rsid w:val="00FD3FDF"/>
    <w:rsid w:val="00FD4089"/>
    <w:rsid w:val="00FD40A9"/>
    <w:rsid w:val="00FD40C0"/>
    <w:rsid w:val="00FD40CF"/>
    <w:rsid w:val="00FD40FC"/>
    <w:rsid w:val="00FD410D"/>
    <w:rsid w:val="00FD41F6"/>
    <w:rsid w:val="00FD4221"/>
    <w:rsid w:val="00FD4230"/>
    <w:rsid w:val="00FD425C"/>
    <w:rsid w:val="00FD42E4"/>
    <w:rsid w:val="00FD4308"/>
    <w:rsid w:val="00FD4340"/>
    <w:rsid w:val="00FD43A3"/>
    <w:rsid w:val="00FD4481"/>
    <w:rsid w:val="00FD44A0"/>
    <w:rsid w:val="00FD4511"/>
    <w:rsid w:val="00FD451A"/>
    <w:rsid w:val="00FD4561"/>
    <w:rsid w:val="00FD45A9"/>
    <w:rsid w:val="00FD45B7"/>
    <w:rsid w:val="00FD469F"/>
    <w:rsid w:val="00FD46AC"/>
    <w:rsid w:val="00FD46EB"/>
    <w:rsid w:val="00FD4700"/>
    <w:rsid w:val="00FD473C"/>
    <w:rsid w:val="00FD478F"/>
    <w:rsid w:val="00FD4792"/>
    <w:rsid w:val="00FD488F"/>
    <w:rsid w:val="00FD4943"/>
    <w:rsid w:val="00FD49CE"/>
    <w:rsid w:val="00FD49E5"/>
    <w:rsid w:val="00FD4A16"/>
    <w:rsid w:val="00FD4AD6"/>
    <w:rsid w:val="00FD4B63"/>
    <w:rsid w:val="00FD4B6E"/>
    <w:rsid w:val="00FD4B9E"/>
    <w:rsid w:val="00FD4BC4"/>
    <w:rsid w:val="00FD4C57"/>
    <w:rsid w:val="00FD4C59"/>
    <w:rsid w:val="00FD4C6D"/>
    <w:rsid w:val="00FD4CA5"/>
    <w:rsid w:val="00FD4CC1"/>
    <w:rsid w:val="00FD4F13"/>
    <w:rsid w:val="00FD4F3C"/>
    <w:rsid w:val="00FD4F40"/>
    <w:rsid w:val="00FD4F5B"/>
    <w:rsid w:val="00FD4F87"/>
    <w:rsid w:val="00FD4FF3"/>
    <w:rsid w:val="00FD4FF7"/>
    <w:rsid w:val="00FD500F"/>
    <w:rsid w:val="00FD5056"/>
    <w:rsid w:val="00FD50C5"/>
    <w:rsid w:val="00FD512F"/>
    <w:rsid w:val="00FD51E4"/>
    <w:rsid w:val="00FD51EB"/>
    <w:rsid w:val="00FD51EC"/>
    <w:rsid w:val="00FD5227"/>
    <w:rsid w:val="00FD5266"/>
    <w:rsid w:val="00FD52AA"/>
    <w:rsid w:val="00FD52D2"/>
    <w:rsid w:val="00FD52D3"/>
    <w:rsid w:val="00FD5365"/>
    <w:rsid w:val="00FD53D3"/>
    <w:rsid w:val="00FD5444"/>
    <w:rsid w:val="00FD5450"/>
    <w:rsid w:val="00FD545A"/>
    <w:rsid w:val="00FD5496"/>
    <w:rsid w:val="00FD5576"/>
    <w:rsid w:val="00FD55AA"/>
    <w:rsid w:val="00FD55E4"/>
    <w:rsid w:val="00FD564B"/>
    <w:rsid w:val="00FD567A"/>
    <w:rsid w:val="00FD5699"/>
    <w:rsid w:val="00FD56A3"/>
    <w:rsid w:val="00FD56AD"/>
    <w:rsid w:val="00FD56B6"/>
    <w:rsid w:val="00FD56E0"/>
    <w:rsid w:val="00FD56F8"/>
    <w:rsid w:val="00FD5720"/>
    <w:rsid w:val="00FD5725"/>
    <w:rsid w:val="00FD574D"/>
    <w:rsid w:val="00FD57AA"/>
    <w:rsid w:val="00FD57E7"/>
    <w:rsid w:val="00FD57F8"/>
    <w:rsid w:val="00FD5851"/>
    <w:rsid w:val="00FD595D"/>
    <w:rsid w:val="00FD59F1"/>
    <w:rsid w:val="00FD5AD4"/>
    <w:rsid w:val="00FD5B03"/>
    <w:rsid w:val="00FD5B47"/>
    <w:rsid w:val="00FD5BAC"/>
    <w:rsid w:val="00FD5C66"/>
    <w:rsid w:val="00FD5C9D"/>
    <w:rsid w:val="00FD5CC7"/>
    <w:rsid w:val="00FD5D10"/>
    <w:rsid w:val="00FD5D53"/>
    <w:rsid w:val="00FD5DF2"/>
    <w:rsid w:val="00FD5EC0"/>
    <w:rsid w:val="00FD5F07"/>
    <w:rsid w:val="00FD61F1"/>
    <w:rsid w:val="00FD6285"/>
    <w:rsid w:val="00FD6287"/>
    <w:rsid w:val="00FD62DC"/>
    <w:rsid w:val="00FD62E9"/>
    <w:rsid w:val="00FD6303"/>
    <w:rsid w:val="00FD635C"/>
    <w:rsid w:val="00FD6369"/>
    <w:rsid w:val="00FD63C1"/>
    <w:rsid w:val="00FD641E"/>
    <w:rsid w:val="00FD6420"/>
    <w:rsid w:val="00FD646A"/>
    <w:rsid w:val="00FD64CB"/>
    <w:rsid w:val="00FD64CF"/>
    <w:rsid w:val="00FD64DB"/>
    <w:rsid w:val="00FD653D"/>
    <w:rsid w:val="00FD6557"/>
    <w:rsid w:val="00FD6561"/>
    <w:rsid w:val="00FD6579"/>
    <w:rsid w:val="00FD664A"/>
    <w:rsid w:val="00FD66C6"/>
    <w:rsid w:val="00FD6748"/>
    <w:rsid w:val="00FD6773"/>
    <w:rsid w:val="00FD6776"/>
    <w:rsid w:val="00FD6782"/>
    <w:rsid w:val="00FD67E2"/>
    <w:rsid w:val="00FD67F1"/>
    <w:rsid w:val="00FD683F"/>
    <w:rsid w:val="00FD690D"/>
    <w:rsid w:val="00FD69AC"/>
    <w:rsid w:val="00FD6A0C"/>
    <w:rsid w:val="00FD6AC5"/>
    <w:rsid w:val="00FD6AF2"/>
    <w:rsid w:val="00FD6B1E"/>
    <w:rsid w:val="00FD6B80"/>
    <w:rsid w:val="00FD6B82"/>
    <w:rsid w:val="00FD6BA0"/>
    <w:rsid w:val="00FD6C7C"/>
    <w:rsid w:val="00FD6CCA"/>
    <w:rsid w:val="00FD6D22"/>
    <w:rsid w:val="00FD6D4E"/>
    <w:rsid w:val="00FD6E57"/>
    <w:rsid w:val="00FD6F51"/>
    <w:rsid w:val="00FD709F"/>
    <w:rsid w:val="00FD70A5"/>
    <w:rsid w:val="00FD7161"/>
    <w:rsid w:val="00FD71CD"/>
    <w:rsid w:val="00FD7206"/>
    <w:rsid w:val="00FD728F"/>
    <w:rsid w:val="00FD72C0"/>
    <w:rsid w:val="00FD72CF"/>
    <w:rsid w:val="00FD72E2"/>
    <w:rsid w:val="00FD72FF"/>
    <w:rsid w:val="00FD7360"/>
    <w:rsid w:val="00FD73AE"/>
    <w:rsid w:val="00FD7416"/>
    <w:rsid w:val="00FD7481"/>
    <w:rsid w:val="00FD748A"/>
    <w:rsid w:val="00FD7491"/>
    <w:rsid w:val="00FD7496"/>
    <w:rsid w:val="00FD74CD"/>
    <w:rsid w:val="00FD7602"/>
    <w:rsid w:val="00FD7603"/>
    <w:rsid w:val="00FD7615"/>
    <w:rsid w:val="00FD76A4"/>
    <w:rsid w:val="00FD76D7"/>
    <w:rsid w:val="00FD76DB"/>
    <w:rsid w:val="00FD7726"/>
    <w:rsid w:val="00FD774C"/>
    <w:rsid w:val="00FD7837"/>
    <w:rsid w:val="00FD78E1"/>
    <w:rsid w:val="00FD7949"/>
    <w:rsid w:val="00FD7971"/>
    <w:rsid w:val="00FD7A2D"/>
    <w:rsid w:val="00FD7AA8"/>
    <w:rsid w:val="00FD7AF6"/>
    <w:rsid w:val="00FD7B1E"/>
    <w:rsid w:val="00FD7B5C"/>
    <w:rsid w:val="00FD7BF3"/>
    <w:rsid w:val="00FD7CC7"/>
    <w:rsid w:val="00FD7CE5"/>
    <w:rsid w:val="00FD7CFF"/>
    <w:rsid w:val="00FD7D68"/>
    <w:rsid w:val="00FD7D70"/>
    <w:rsid w:val="00FD7DEA"/>
    <w:rsid w:val="00FD7E2F"/>
    <w:rsid w:val="00FD7EFB"/>
    <w:rsid w:val="00FD7F4E"/>
    <w:rsid w:val="00FD7F8E"/>
    <w:rsid w:val="00FD7FC5"/>
    <w:rsid w:val="00FD7FE7"/>
    <w:rsid w:val="00FD7FFB"/>
    <w:rsid w:val="00FE006E"/>
    <w:rsid w:val="00FE00F1"/>
    <w:rsid w:val="00FE0155"/>
    <w:rsid w:val="00FE0158"/>
    <w:rsid w:val="00FE01FB"/>
    <w:rsid w:val="00FE0240"/>
    <w:rsid w:val="00FE0363"/>
    <w:rsid w:val="00FE03C1"/>
    <w:rsid w:val="00FE03F5"/>
    <w:rsid w:val="00FE044E"/>
    <w:rsid w:val="00FE0482"/>
    <w:rsid w:val="00FE050D"/>
    <w:rsid w:val="00FE0590"/>
    <w:rsid w:val="00FE05C7"/>
    <w:rsid w:val="00FE05CA"/>
    <w:rsid w:val="00FE05ED"/>
    <w:rsid w:val="00FE05FF"/>
    <w:rsid w:val="00FE06A8"/>
    <w:rsid w:val="00FE071F"/>
    <w:rsid w:val="00FE0791"/>
    <w:rsid w:val="00FE07A9"/>
    <w:rsid w:val="00FE0895"/>
    <w:rsid w:val="00FE0905"/>
    <w:rsid w:val="00FE098C"/>
    <w:rsid w:val="00FE099F"/>
    <w:rsid w:val="00FE09BD"/>
    <w:rsid w:val="00FE0AEA"/>
    <w:rsid w:val="00FE0AFB"/>
    <w:rsid w:val="00FE0B07"/>
    <w:rsid w:val="00FE0B0A"/>
    <w:rsid w:val="00FE0B93"/>
    <w:rsid w:val="00FE0BA0"/>
    <w:rsid w:val="00FE0BA1"/>
    <w:rsid w:val="00FE0BB1"/>
    <w:rsid w:val="00FE0BC8"/>
    <w:rsid w:val="00FE0C28"/>
    <w:rsid w:val="00FE0C32"/>
    <w:rsid w:val="00FE0C65"/>
    <w:rsid w:val="00FE0C85"/>
    <w:rsid w:val="00FE0D26"/>
    <w:rsid w:val="00FE0D2A"/>
    <w:rsid w:val="00FE0D35"/>
    <w:rsid w:val="00FE0D3F"/>
    <w:rsid w:val="00FE0DD1"/>
    <w:rsid w:val="00FE0E21"/>
    <w:rsid w:val="00FE0E23"/>
    <w:rsid w:val="00FE0FBA"/>
    <w:rsid w:val="00FE0FEC"/>
    <w:rsid w:val="00FE100F"/>
    <w:rsid w:val="00FE1028"/>
    <w:rsid w:val="00FE10C8"/>
    <w:rsid w:val="00FE10DA"/>
    <w:rsid w:val="00FE10F9"/>
    <w:rsid w:val="00FE110A"/>
    <w:rsid w:val="00FE11C8"/>
    <w:rsid w:val="00FE11F1"/>
    <w:rsid w:val="00FE1212"/>
    <w:rsid w:val="00FE12D6"/>
    <w:rsid w:val="00FE12E0"/>
    <w:rsid w:val="00FE12E7"/>
    <w:rsid w:val="00FE1339"/>
    <w:rsid w:val="00FE1398"/>
    <w:rsid w:val="00FE1449"/>
    <w:rsid w:val="00FE150D"/>
    <w:rsid w:val="00FE1534"/>
    <w:rsid w:val="00FE1538"/>
    <w:rsid w:val="00FE157C"/>
    <w:rsid w:val="00FE15D1"/>
    <w:rsid w:val="00FE15E3"/>
    <w:rsid w:val="00FE15EE"/>
    <w:rsid w:val="00FE1727"/>
    <w:rsid w:val="00FE178A"/>
    <w:rsid w:val="00FE1796"/>
    <w:rsid w:val="00FE1810"/>
    <w:rsid w:val="00FE18A0"/>
    <w:rsid w:val="00FE18A5"/>
    <w:rsid w:val="00FE18D0"/>
    <w:rsid w:val="00FE1A2A"/>
    <w:rsid w:val="00FE1A32"/>
    <w:rsid w:val="00FE1AC4"/>
    <w:rsid w:val="00FE1AD7"/>
    <w:rsid w:val="00FE1C79"/>
    <w:rsid w:val="00FE1CA6"/>
    <w:rsid w:val="00FE1D03"/>
    <w:rsid w:val="00FE1D1F"/>
    <w:rsid w:val="00FE1D46"/>
    <w:rsid w:val="00FE1DA5"/>
    <w:rsid w:val="00FE1DB6"/>
    <w:rsid w:val="00FE1DD8"/>
    <w:rsid w:val="00FE1DEC"/>
    <w:rsid w:val="00FE1E09"/>
    <w:rsid w:val="00FE1E11"/>
    <w:rsid w:val="00FE1E1A"/>
    <w:rsid w:val="00FE1E70"/>
    <w:rsid w:val="00FE1E7A"/>
    <w:rsid w:val="00FE1E7C"/>
    <w:rsid w:val="00FE1EA8"/>
    <w:rsid w:val="00FE1EFD"/>
    <w:rsid w:val="00FE1F17"/>
    <w:rsid w:val="00FE1F57"/>
    <w:rsid w:val="00FE1F5D"/>
    <w:rsid w:val="00FE1FC7"/>
    <w:rsid w:val="00FE214D"/>
    <w:rsid w:val="00FE2155"/>
    <w:rsid w:val="00FE21D7"/>
    <w:rsid w:val="00FE2284"/>
    <w:rsid w:val="00FE22A0"/>
    <w:rsid w:val="00FE23D5"/>
    <w:rsid w:val="00FE2419"/>
    <w:rsid w:val="00FE2463"/>
    <w:rsid w:val="00FE250A"/>
    <w:rsid w:val="00FE25A4"/>
    <w:rsid w:val="00FE263C"/>
    <w:rsid w:val="00FE2677"/>
    <w:rsid w:val="00FE26E9"/>
    <w:rsid w:val="00FE277E"/>
    <w:rsid w:val="00FE287A"/>
    <w:rsid w:val="00FE28A1"/>
    <w:rsid w:val="00FE28B5"/>
    <w:rsid w:val="00FE28DB"/>
    <w:rsid w:val="00FE2933"/>
    <w:rsid w:val="00FE2940"/>
    <w:rsid w:val="00FE29A5"/>
    <w:rsid w:val="00FE29DF"/>
    <w:rsid w:val="00FE2A4C"/>
    <w:rsid w:val="00FE2A69"/>
    <w:rsid w:val="00FE2AA5"/>
    <w:rsid w:val="00FE2AD2"/>
    <w:rsid w:val="00FE2B2B"/>
    <w:rsid w:val="00FE2B5B"/>
    <w:rsid w:val="00FE2C2A"/>
    <w:rsid w:val="00FE2C5B"/>
    <w:rsid w:val="00FE2C76"/>
    <w:rsid w:val="00FE2D01"/>
    <w:rsid w:val="00FE2D1D"/>
    <w:rsid w:val="00FE2D48"/>
    <w:rsid w:val="00FE2D5B"/>
    <w:rsid w:val="00FE2D65"/>
    <w:rsid w:val="00FE2DC0"/>
    <w:rsid w:val="00FE2E0E"/>
    <w:rsid w:val="00FE2E68"/>
    <w:rsid w:val="00FE2E6C"/>
    <w:rsid w:val="00FE2EC2"/>
    <w:rsid w:val="00FE2F60"/>
    <w:rsid w:val="00FE2F97"/>
    <w:rsid w:val="00FE2FA8"/>
    <w:rsid w:val="00FE2FB0"/>
    <w:rsid w:val="00FE300F"/>
    <w:rsid w:val="00FE3121"/>
    <w:rsid w:val="00FE3144"/>
    <w:rsid w:val="00FE3146"/>
    <w:rsid w:val="00FE31A9"/>
    <w:rsid w:val="00FE31F2"/>
    <w:rsid w:val="00FE3205"/>
    <w:rsid w:val="00FE3337"/>
    <w:rsid w:val="00FE3380"/>
    <w:rsid w:val="00FE3391"/>
    <w:rsid w:val="00FE339F"/>
    <w:rsid w:val="00FE33A4"/>
    <w:rsid w:val="00FE33B3"/>
    <w:rsid w:val="00FE33C8"/>
    <w:rsid w:val="00FE3446"/>
    <w:rsid w:val="00FE3493"/>
    <w:rsid w:val="00FE34B7"/>
    <w:rsid w:val="00FE350D"/>
    <w:rsid w:val="00FE3519"/>
    <w:rsid w:val="00FE35A1"/>
    <w:rsid w:val="00FE35DD"/>
    <w:rsid w:val="00FE35E1"/>
    <w:rsid w:val="00FE3630"/>
    <w:rsid w:val="00FE36EC"/>
    <w:rsid w:val="00FE36F6"/>
    <w:rsid w:val="00FE3842"/>
    <w:rsid w:val="00FE389E"/>
    <w:rsid w:val="00FE38DF"/>
    <w:rsid w:val="00FE3922"/>
    <w:rsid w:val="00FE3AAD"/>
    <w:rsid w:val="00FE3B10"/>
    <w:rsid w:val="00FE3B2B"/>
    <w:rsid w:val="00FE3B5C"/>
    <w:rsid w:val="00FE3B83"/>
    <w:rsid w:val="00FE3BAF"/>
    <w:rsid w:val="00FE3BCF"/>
    <w:rsid w:val="00FE3BDA"/>
    <w:rsid w:val="00FE3BEF"/>
    <w:rsid w:val="00FE3C6E"/>
    <w:rsid w:val="00FE3CA2"/>
    <w:rsid w:val="00FE3CB3"/>
    <w:rsid w:val="00FE3D12"/>
    <w:rsid w:val="00FE3D64"/>
    <w:rsid w:val="00FE3D6C"/>
    <w:rsid w:val="00FE3D93"/>
    <w:rsid w:val="00FE3EF6"/>
    <w:rsid w:val="00FE3F2B"/>
    <w:rsid w:val="00FE406B"/>
    <w:rsid w:val="00FE4076"/>
    <w:rsid w:val="00FE4095"/>
    <w:rsid w:val="00FE417D"/>
    <w:rsid w:val="00FE4181"/>
    <w:rsid w:val="00FE43D0"/>
    <w:rsid w:val="00FE44B1"/>
    <w:rsid w:val="00FE44C7"/>
    <w:rsid w:val="00FE44CA"/>
    <w:rsid w:val="00FE45F2"/>
    <w:rsid w:val="00FE4648"/>
    <w:rsid w:val="00FE46B2"/>
    <w:rsid w:val="00FE472B"/>
    <w:rsid w:val="00FE4740"/>
    <w:rsid w:val="00FE4779"/>
    <w:rsid w:val="00FE47CB"/>
    <w:rsid w:val="00FE47FC"/>
    <w:rsid w:val="00FE4817"/>
    <w:rsid w:val="00FE4856"/>
    <w:rsid w:val="00FE48DC"/>
    <w:rsid w:val="00FE4906"/>
    <w:rsid w:val="00FE4917"/>
    <w:rsid w:val="00FE492D"/>
    <w:rsid w:val="00FE4951"/>
    <w:rsid w:val="00FE4ABB"/>
    <w:rsid w:val="00FE4AC9"/>
    <w:rsid w:val="00FE4AF5"/>
    <w:rsid w:val="00FE4BE2"/>
    <w:rsid w:val="00FE4C49"/>
    <w:rsid w:val="00FE4C5A"/>
    <w:rsid w:val="00FE4CBB"/>
    <w:rsid w:val="00FE4CBC"/>
    <w:rsid w:val="00FE4D74"/>
    <w:rsid w:val="00FE4D98"/>
    <w:rsid w:val="00FE4DBA"/>
    <w:rsid w:val="00FE4DC0"/>
    <w:rsid w:val="00FE4DFB"/>
    <w:rsid w:val="00FE4E51"/>
    <w:rsid w:val="00FE4F9B"/>
    <w:rsid w:val="00FE5013"/>
    <w:rsid w:val="00FE506E"/>
    <w:rsid w:val="00FE5083"/>
    <w:rsid w:val="00FE50B9"/>
    <w:rsid w:val="00FE50D6"/>
    <w:rsid w:val="00FE50FD"/>
    <w:rsid w:val="00FE51FF"/>
    <w:rsid w:val="00FE5202"/>
    <w:rsid w:val="00FE5208"/>
    <w:rsid w:val="00FE5241"/>
    <w:rsid w:val="00FE5280"/>
    <w:rsid w:val="00FE52AB"/>
    <w:rsid w:val="00FE5399"/>
    <w:rsid w:val="00FE53D9"/>
    <w:rsid w:val="00FE5443"/>
    <w:rsid w:val="00FE5481"/>
    <w:rsid w:val="00FE568C"/>
    <w:rsid w:val="00FE5705"/>
    <w:rsid w:val="00FE5711"/>
    <w:rsid w:val="00FE57C8"/>
    <w:rsid w:val="00FE57DA"/>
    <w:rsid w:val="00FE57E4"/>
    <w:rsid w:val="00FE580F"/>
    <w:rsid w:val="00FE5840"/>
    <w:rsid w:val="00FE5878"/>
    <w:rsid w:val="00FE58CD"/>
    <w:rsid w:val="00FE595C"/>
    <w:rsid w:val="00FE5988"/>
    <w:rsid w:val="00FE5AC6"/>
    <w:rsid w:val="00FE5AE8"/>
    <w:rsid w:val="00FE5BC0"/>
    <w:rsid w:val="00FE5BEF"/>
    <w:rsid w:val="00FE5C2F"/>
    <w:rsid w:val="00FE5C50"/>
    <w:rsid w:val="00FE5C70"/>
    <w:rsid w:val="00FE5CBF"/>
    <w:rsid w:val="00FE5DF1"/>
    <w:rsid w:val="00FE5E15"/>
    <w:rsid w:val="00FE5F25"/>
    <w:rsid w:val="00FE5FA5"/>
    <w:rsid w:val="00FE5FC2"/>
    <w:rsid w:val="00FE5FC7"/>
    <w:rsid w:val="00FE60E9"/>
    <w:rsid w:val="00FE6127"/>
    <w:rsid w:val="00FE613F"/>
    <w:rsid w:val="00FE6195"/>
    <w:rsid w:val="00FE61A7"/>
    <w:rsid w:val="00FE61BA"/>
    <w:rsid w:val="00FE61FA"/>
    <w:rsid w:val="00FE6227"/>
    <w:rsid w:val="00FE6258"/>
    <w:rsid w:val="00FE628C"/>
    <w:rsid w:val="00FE632E"/>
    <w:rsid w:val="00FE633A"/>
    <w:rsid w:val="00FE6380"/>
    <w:rsid w:val="00FE63B1"/>
    <w:rsid w:val="00FE63B9"/>
    <w:rsid w:val="00FE63FA"/>
    <w:rsid w:val="00FE640F"/>
    <w:rsid w:val="00FE6442"/>
    <w:rsid w:val="00FE648F"/>
    <w:rsid w:val="00FE64D2"/>
    <w:rsid w:val="00FE6551"/>
    <w:rsid w:val="00FE6566"/>
    <w:rsid w:val="00FE6618"/>
    <w:rsid w:val="00FE6686"/>
    <w:rsid w:val="00FE66F7"/>
    <w:rsid w:val="00FE679C"/>
    <w:rsid w:val="00FE67D4"/>
    <w:rsid w:val="00FE684E"/>
    <w:rsid w:val="00FE68AA"/>
    <w:rsid w:val="00FE68BE"/>
    <w:rsid w:val="00FE6927"/>
    <w:rsid w:val="00FE693C"/>
    <w:rsid w:val="00FE694B"/>
    <w:rsid w:val="00FE6999"/>
    <w:rsid w:val="00FE69D3"/>
    <w:rsid w:val="00FE69DD"/>
    <w:rsid w:val="00FE6A0C"/>
    <w:rsid w:val="00FE6DAE"/>
    <w:rsid w:val="00FE6DCF"/>
    <w:rsid w:val="00FE6E08"/>
    <w:rsid w:val="00FE6E83"/>
    <w:rsid w:val="00FE6E98"/>
    <w:rsid w:val="00FE6F06"/>
    <w:rsid w:val="00FE6FBB"/>
    <w:rsid w:val="00FE6FDA"/>
    <w:rsid w:val="00FE70C6"/>
    <w:rsid w:val="00FE71E6"/>
    <w:rsid w:val="00FE7215"/>
    <w:rsid w:val="00FE7284"/>
    <w:rsid w:val="00FE72ED"/>
    <w:rsid w:val="00FE736C"/>
    <w:rsid w:val="00FE740D"/>
    <w:rsid w:val="00FE7418"/>
    <w:rsid w:val="00FE74AF"/>
    <w:rsid w:val="00FE74CE"/>
    <w:rsid w:val="00FE7531"/>
    <w:rsid w:val="00FE754A"/>
    <w:rsid w:val="00FE75A0"/>
    <w:rsid w:val="00FE7602"/>
    <w:rsid w:val="00FE7618"/>
    <w:rsid w:val="00FE7638"/>
    <w:rsid w:val="00FE768E"/>
    <w:rsid w:val="00FE768F"/>
    <w:rsid w:val="00FE76EE"/>
    <w:rsid w:val="00FE7702"/>
    <w:rsid w:val="00FE7764"/>
    <w:rsid w:val="00FE7830"/>
    <w:rsid w:val="00FE7890"/>
    <w:rsid w:val="00FE78B2"/>
    <w:rsid w:val="00FE78C4"/>
    <w:rsid w:val="00FE792A"/>
    <w:rsid w:val="00FE794D"/>
    <w:rsid w:val="00FE79B5"/>
    <w:rsid w:val="00FE7A39"/>
    <w:rsid w:val="00FE7A5B"/>
    <w:rsid w:val="00FE7A76"/>
    <w:rsid w:val="00FE7A9A"/>
    <w:rsid w:val="00FE7AB7"/>
    <w:rsid w:val="00FE7B13"/>
    <w:rsid w:val="00FE7B57"/>
    <w:rsid w:val="00FE7D05"/>
    <w:rsid w:val="00FE7D7E"/>
    <w:rsid w:val="00FE7D94"/>
    <w:rsid w:val="00FE7DA0"/>
    <w:rsid w:val="00FE7DB5"/>
    <w:rsid w:val="00FE7DC2"/>
    <w:rsid w:val="00FE7E20"/>
    <w:rsid w:val="00FE7E26"/>
    <w:rsid w:val="00FE7E4A"/>
    <w:rsid w:val="00FE7E64"/>
    <w:rsid w:val="00FE7EDE"/>
    <w:rsid w:val="00FE7FD2"/>
    <w:rsid w:val="00FF0026"/>
    <w:rsid w:val="00FF0045"/>
    <w:rsid w:val="00FF0136"/>
    <w:rsid w:val="00FF0152"/>
    <w:rsid w:val="00FF01F6"/>
    <w:rsid w:val="00FF0219"/>
    <w:rsid w:val="00FF023E"/>
    <w:rsid w:val="00FF035A"/>
    <w:rsid w:val="00FF03A7"/>
    <w:rsid w:val="00FF03D9"/>
    <w:rsid w:val="00FF0418"/>
    <w:rsid w:val="00FF0438"/>
    <w:rsid w:val="00FF0472"/>
    <w:rsid w:val="00FF04AF"/>
    <w:rsid w:val="00FF04DC"/>
    <w:rsid w:val="00FF0528"/>
    <w:rsid w:val="00FF059D"/>
    <w:rsid w:val="00FF05DD"/>
    <w:rsid w:val="00FF063E"/>
    <w:rsid w:val="00FF065D"/>
    <w:rsid w:val="00FF07A5"/>
    <w:rsid w:val="00FF08CA"/>
    <w:rsid w:val="00FF099B"/>
    <w:rsid w:val="00FF09C6"/>
    <w:rsid w:val="00FF0A06"/>
    <w:rsid w:val="00FF0ABC"/>
    <w:rsid w:val="00FF0AC6"/>
    <w:rsid w:val="00FF0B4C"/>
    <w:rsid w:val="00FF0C4F"/>
    <w:rsid w:val="00FF0C73"/>
    <w:rsid w:val="00FF0CE2"/>
    <w:rsid w:val="00FF0DBC"/>
    <w:rsid w:val="00FF0E79"/>
    <w:rsid w:val="00FF0ECE"/>
    <w:rsid w:val="00FF0EDE"/>
    <w:rsid w:val="00FF0EF5"/>
    <w:rsid w:val="00FF0EF6"/>
    <w:rsid w:val="00FF0EF9"/>
    <w:rsid w:val="00FF0F65"/>
    <w:rsid w:val="00FF0F6A"/>
    <w:rsid w:val="00FF0FE3"/>
    <w:rsid w:val="00FF10A0"/>
    <w:rsid w:val="00FF10B4"/>
    <w:rsid w:val="00FF11A6"/>
    <w:rsid w:val="00FF11AB"/>
    <w:rsid w:val="00FF11FD"/>
    <w:rsid w:val="00FF1238"/>
    <w:rsid w:val="00FF125E"/>
    <w:rsid w:val="00FF128E"/>
    <w:rsid w:val="00FF12E4"/>
    <w:rsid w:val="00FF12F8"/>
    <w:rsid w:val="00FF131E"/>
    <w:rsid w:val="00FF134A"/>
    <w:rsid w:val="00FF136F"/>
    <w:rsid w:val="00FF13D7"/>
    <w:rsid w:val="00FF1493"/>
    <w:rsid w:val="00FF14B0"/>
    <w:rsid w:val="00FF14E6"/>
    <w:rsid w:val="00FF15C8"/>
    <w:rsid w:val="00FF1602"/>
    <w:rsid w:val="00FF1661"/>
    <w:rsid w:val="00FF1769"/>
    <w:rsid w:val="00FF17AC"/>
    <w:rsid w:val="00FF181C"/>
    <w:rsid w:val="00FF181F"/>
    <w:rsid w:val="00FF18D2"/>
    <w:rsid w:val="00FF191A"/>
    <w:rsid w:val="00FF1934"/>
    <w:rsid w:val="00FF19D5"/>
    <w:rsid w:val="00FF19FB"/>
    <w:rsid w:val="00FF1A27"/>
    <w:rsid w:val="00FF1A91"/>
    <w:rsid w:val="00FF1A9A"/>
    <w:rsid w:val="00FF1A9B"/>
    <w:rsid w:val="00FF1ACB"/>
    <w:rsid w:val="00FF1B13"/>
    <w:rsid w:val="00FF1B9C"/>
    <w:rsid w:val="00FF1C5E"/>
    <w:rsid w:val="00FF1E05"/>
    <w:rsid w:val="00FF1E2F"/>
    <w:rsid w:val="00FF1E9C"/>
    <w:rsid w:val="00FF1EB5"/>
    <w:rsid w:val="00FF1F34"/>
    <w:rsid w:val="00FF20AB"/>
    <w:rsid w:val="00FF212F"/>
    <w:rsid w:val="00FF217D"/>
    <w:rsid w:val="00FF2227"/>
    <w:rsid w:val="00FF226D"/>
    <w:rsid w:val="00FF2295"/>
    <w:rsid w:val="00FF22B7"/>
    <w:rsid w:val="00FF22C0"/>
    <w:rsid w:val="00FF22FA"/>
    <w:rsid w:val="00FF232A"/>
    <w:rsid w:val="00FF23C8"/>
    <w:rsid w:val="00FF23F0"/>
    <w:rsid w:val="00FF2458"/>
    <w:rsid w:val="00FF24FA"/>
    <w:rsid w:val="00FF25EA"/>
    <w:rsid w:val="00FF268E"/>
    <w:rsid w:val="00FF26C9"/>
    <w:rsid w:val="00FF26D9"/>
    <w:rsid w:val="00FF2707"/>
    <w:rsid w:val="00FF270F"/>
    <w:rsid w:val="00FF2714"/>
    <w:rsid w:val="00FF278E"/>
    <w:rsid w:val="00FF285A"/>
    <w:rsid w:val="00FF28B2"/>
    <w:rsid w:val="00FF28CC"/>
    <w:rsid w:val="00FF28E3"/>
    <w:rsid w:val="00FF2903"/>
    <w:rsid w:val="00FF2927"/>
    <w:rsid w:val="00FF2993"/>
    <w:rsid w:val="00FF29AB"/>
    <w:rsid w:val="00FF2A08"/>
    <w:rsid w:val="00FF2A42"/>
    <w:rsid w:val="00FF2A4A"/>
    <w:rsid w:val="00FF2A6D"/>
    <w:rsid w:val="00FF2A8A"/>
    <w:rsid w:val="00FF2AC3"/>
    <w:rsid w:val="00FF2B3B"/>
    <w:rsid w:val="00FF2B76"/>
    <w:rsid w:val="00FF2B9C"/>
    <w:rsid w:val="00FF2BC7"/>
    <w:rsid w:val="00FF2BDD"/>
    <w:rsid w:val="00FF2C15"/>
    <w:rsid w:val="00FF2C2B"/>
    <w:rsid w:val="00FF2C8B"/>
    <w:rsid w:val="00FF2CA9"/>
    <w:rsid w:val="00FF2CB5"/>
    <w:rsid w:val="00FF2D3C"/>
    <w:rsid w:val="00FF2D9E"/>
    <w:rsid w:val="00FF2DEE"/>
    <w:rsid w:val="00FF2E20"/>
    <w:rsid w:val="00FF2EB2"/>
    <w:rsid w:val="00FF2F87"/>
    <w:rsid w:val="00FF3045"/>
    <w:rsid w:val="00FF30B2"/>
    <w:rsid w:val="00FF30C7"/>
    <w:rsid w:val="00FF30D1"/>
    <w:rsid w:val="00FF3105"/>
    <w:rsid w:val="00FF310F"/>
    <w:rsid w:val="00FF325E"/>
    <w:rsid w:val="00FF32EF"/>
    <w:rsid w:val="00FF330F"/>
    <w:rsid w:val="00FF33F0"/>
    <w:rsid w:val="00FF34E7"/>
    <w:rsid w:val="00FF34F2"/>
    <w:rsid w:val="00FF3555"/>
    <w:rsid w:val="00FF357D"/>
    <w:rsid w:val="00FF361F"/>
    <w:rsid w:val="00FF3637"/>
    <w:rsid w:val="00FF3642"/>
    <w:rsid w:val="00FF368E"/>
    <w:rsid w:val="00FF3706"/>
    <w:rsid w:val="00FF371D"/>
    <w:rsid w:val="00FF3794"/>
    <w:rsid w:val="00FF3796"/>
    <w:rsid w:val="00FF37C6"/>
    <w:rsid w:val="00FF381F"/>
    <w:rsid w:val="00FF3842"/>
    <w:rsid w:val="00FF38E4"/>
    <w:rsid w:val="00FF390A"/>
    <w:rsid w:val="00FF394C"/>
    <w:rsid w:val="00FF3950"/>
    <w:rsid w:val="00FF3A0B"/>
    <w:rsid w:val="00FF3A4D"/>
    <w:rsid w:val="00FF3B26"/>
    <w:rsid w:val="00FF3BC6"/>
    <w:rsid w:val="00FF3BE9"/>
    <w:rsid w:val="00FF3C07"/>
    <w:rsid w:val="00FF3C15"/>
    <w:rsid w:val="00FF3C3F"/>
    <w:rsid w:val="00FF3C5D"/>
    <w:rsid w:val="00FF3C76"/>
    <w:rsid w:val="00FF3C9C"/>
    <w:rsid w:val="00FF3CE3"/>
    <w:rsid w:val="00FF3D17"/>
    <w:rsid w:val="00FF3D37"/>
    <w:rsid w:val="00FF3D5B"/>
    <w:rsid w:val="00FF3D75"/>
    <w:rsid w:val="00FF3E48"/>
    <w:rsid w:val="00FF3E49"/>
    <w:rsid w:val="00FF3E86"/>
    <w:rsid w:val="00FF3ECA"/>
    <w:rsid w:val="00FF3EE5"/>
    <w:rsid w:val="00FF3FB7"/>
    <w:rsid w:val="00FF3FE5"/>
    <w:rsid w:val="00FF400A"/>
    <w:rsid w:val="00FF403B"/>
    <w:rsid w:val="00FF4040"/>
    <w:rsid w:val="00FF4044"/>
    <w:rsid w:val="00FF4199"/>
    <w:rsid w:val="00FF41B4"/>
    <w:rsid w:val="00FF41CD"/>
    <w:rsid w:val="00FF41DE"/>
    <w:rsid w:val="00FF41EF"/>
    <w:rsid w:val="00FF41F1"/>
    <w:rsid w:val="00FF428A"/>
    <w:rsid w:val="00FF4362"/>
    <w:rsid w:val="00FF4387"/>
    <w:rsid w:val="00FF43C2"/>
    <w:rsid w:val="00FF43FA"/>
    <w:rsid w:val="00FF4466"/>
    <w:rsid w:val="00FF4474"/>
    <w:rsid w:val="00FF44E2"/>
    <w:rsid w:val="00FF44F7"/>
    <w:rsid w:val="00FF4528"/>
    <w:rsid w:val="00FF4558"/>
    <w:rsid w:val="00FF45B9"/>
    <w:rsid w:val="00FF464D"/>
    <w:rsid w:val="00FF468D"/>
    <w:rsid w:val="00FF4726"/>
    <w:rsid w:val="00FF493E"/>
    <w:rsid w:val="00FF493F"/>
    <w:rsid w:val="00FF4983"/>
    <w:rsid w:val="00FF4A17"/>
    <w:rsid w:val="00FF4AD1"/>
    <w:rsid w:val="00FF4AE4"/>
    <w:rsid w:val="00FF4AF3"/>
    <w:rsid w:val="00FF4B9B"/>
    <w:rsid w:val="00FF4CA2"/>
    <w:rsid w:val="00FF4D24"/>
    <w:rsid w:val="00FF4D77"/>
    <w:rsid w:val="00FF4D7E"/>
    <w:rsid w:val="00FF4DD0"/>
    <w:rsid w:val="00FF4DD7"/>
    <w:rsid w:val="00FF4E0F"/>
    <w:rsid w:val="00FF4E69"/>
    <w:rsid w:val="00FF4ED6"/>
    <w:rsid w:val="00FF4EF0"/>
    <w:rsid w:val="00FF5069"/>
    <w:rsid w:val="00FF50C6"/>
    <w:rsid w:val="00FF519F"/>
    <w:rsid w:val="00FF51AF"/>
    <w:rsid w:val="00FF51BC"/>
    <w:rsid w:val="00FF523F"/>
    <w:rsid w:val="00FF52AD"/>
    <w:rsid w:val="00FF5335"/>
    <w:rsid w:val="00FF5384"/>
    <w:rsid w:val="00FF5386"/>
    <w:rsid w:val="00FF53A3"/>
    <w:rsid w:val="00FF53AA"/>
    <w:rsid w:val="00FF53AB"/>
    <w:rsid w:val="00FF53CD"/>
    <w:rsid w:val="00FF5425"/>
    <w:rsid w:val="00FF5433"/>
    <w:rsid w:val="00FF5517"/>
    <w:rsid w:val="00FF558B"/>
    <w:rsid w:val="00FF55D4"/>
    <w:rsid w:val="00FF5604"/>
    <w:rsid w:val="00FF5645"/>
    <w:rsid w:val="00FF56D6"/>
    <w:rsid w:val="00FF56F3"/>
    <w:rsid w:val="00FF571D"/>
    <w:rsid w:val="00FF57E5"/>
    <w:rsid w:val="00FF5807"/>
    <w:rsid w:val="00FF5877"/>
    <w:rsid w:val="00FF58F5"/>
    <w:rsid w:val="00FF5920"/>
    <w:rsid w:val="00FF59B0"/>
    <w:rsid w:val="00FF59E6"/>
    <w:rsid w:val="00FF59F4"/>
    <w:rsid w:val="00FF5AAE"/>
    <w:rsid w:val="00FF5B02"/>
    <w:rsid w:val="00FF5BAB"/>
    <w:rsid w:val="00FF5C6D"/>
    <w:rsid w:val="00FF5CFA"/>
    <w:rsid w:val="00FF5D4F"/>
    <w:rsid w:val="00FF5D76"/>
    <w:rsid w:val="00FF5D99"/>
    <w:rsid w:val="00FF5E3E"/>
    <w:rsid w:val="00FF5EE1"/>
    <w:rsid w:val="00FF5EF7"/>
    <w:rsid w:val="00FF5EFB"/>
    <w:rsid w:val="00FF5F89"/>
    <w:rsid w:val="00FF5F90"/>
    <w:rsid w:val="00FF5F9E"/>
    <w:rsid w:val="00FF6045"/>
    <w:rsid w:val="00FF6063"/>
    <w:rsid w:val="00FF60F1"/>
    <w:rsid w:val="00FF6107"/>
    <w:rsid w:val="00FF6218"/>
    <w:rsid w:val="00FF621F"/>
    <w:rsid w:val="00FF6224"/>
    <w:rsid w:val="00FF62B8"/>
    <w:rsid w:val="00FF62D3"/>
    <w:rsid w:val="00FF62E5"/>
    <w:rsid w:val="00FF62E8"/>
    <w:rsid w:val="00FF6395"/>
    <w:rsid w:val="00FF63A5"/>
    <w:rsid w:val="00FF63C0"/>
    <w:rsid w:val="00FF63D9"/>
    <w:rsid w:val="00FF641E"/>
    <w:rsid w:val="00FF6448"/>
    <w:rsid w:val="00FF647E"/>
    <w:rsid w:val="00FF6558"/>
    <w:rsid w:val="00FF659D"/>
    <w:rsid w:val="00FF65F3"/>
    <w:rsid w:val="00FF65F7"/>
    <w:rsid w:val="00FF6601"/>
    <w:rsid w:val="00FF66A0"/>
    <w:rsid w:val="00FF6716"/>
    <w:rsid w:val="00FF67C0"/>
    <w:rsid w:val="00FF67E9"/>
    <w:rsid w:val="00FF67F1"/>
    <w:rsid w:val="00FF6896"/>
    <w:rsid w:val="00FF690A"/>
    <w:rsid w:val="00FF690C"/>
    <w:rsid w:val="00FF693D"/>
    <w:rsid w:val="00FF6974"/>
    <w:rsid w:val="00FF6991"/>
    <w:rsid w:val="00FF699F"/>
    <w:rsid w:val="00FF69F9"/>
    <w:rsid w:val="00FF6A28"/>
    <w:rsid w:val="00FF6A8D"/>
    <w:rsid w:val="00FF6A9E"/>
    <w:rsid w:val="00FF6ABE"/>
    <w:rsid w:val="00FF6AC1"/>
    <w:rsid w:val="00FF6ACE"/>
    <w:rsid w:val="00FF6B3C"/>
    <w:rsid w:val="00FF6B64"/>
    <w:rsid w:val="00FF6B85"/>
    <w:rsid w:val="00FF6C13"/>
    <w:rsid w:val="00FF6C1B"/>
    <w:rsid w:val="00FF6C40"/>
    <w:rsid w:val="00FF6CA2"/>
    <w:rsid w:val="00FF6CAD"/>
    <w:rsid w:val="00FF6CC3"/>
    <w:rsid w:val="00FF6D2A"/>
    <w:rsid w:val="00FF6D31"/>
    <w:rsid w:val="00FF6DA3"/>
    <w:rsid w:val="00FF6DF0"/>
    <w:rsid w:val="00FF6E41"/>
    <w:rsid w:val="00FF6E70"/>
    <w:rsid w:val="00FF6E7C"/>
    <w:rsid w:val="00FF6F0E"/>
    <w:rsid w:val="00FF6F50"/>
    <w:rsid w:val="00FF6FF5"/>
    <w:rsid w:val="00FF6FFC"/>
    <w:rsid w:val="00FF700C"/>
    <w:rsid w:val="00FF702F"/>
    <w:rsid w:val="00FF7077"/>
    <w:rsid w:val="00FF712F"/>
    <w:rsid w:val="00FF714C"/>
    <w:rsid w:val="00FF7157"/>
    <w:rsid w:val="00FF71E1"/>
    <w:rsid w:val="00FF720D"/>
    <w:rsid w:val="00FF7257"/>
    <w:rsid w:val="00FF7259"/>
    <w:rsid w:val="00FF7283"/>
    <w:rsid w:val="00FF72B2"/>
    <w:rsid w:val="00FF72EB"/>
    <w:rsid w:val="00FF731D"/>
    <w:rsid w:val="00FF7381"/>
    <w:rsid w:val="00FF7408"/>
    <w:rsid w:val="00FF7421"/>
    <w:rsid w:val="00FF743E"/>
    <w:rsid w:val="00FF7498"/>
    <w:rsid w:val="00FF74CA"/>
    <w:rsid w:val="00FF75A2"/>
    <w:rsid w:val="00FF7639"/>
    <w:rsid w:val="00FF768F"/>
    <w:rsid w:val="00FF772F"/>
    <w:rsid w:val="00FF775B"/>
    <w:rsid w:val="00FF77D4"/>
    <w:rsid w:val="00FF7814"/>
    <w:rsid w:val="00FF7851"/>
    <w:rsid w:val="00FF78B9"/>
    <w:rsid w:val="00FF79B4"/>
    <w:rsid w:val="00FF79E1"/>
    <w:rsid w:val="00FF7A4B"/>
    <w:rsid w:val="00FF7A71"/>
    <w:rsid w:val="00FF7AAC"/>
    <w:rsid w:val="00FF7AC1"/>
    <w:rsid w:val="00FF7AC5"/>
    <w:rsid w:val="00FF7AFE"/>
    <w:rsid w:val="00FF7BC5"/>
    <w:rsid w:val="00FF7C07"/>
    <w:rsid w:val="00FF7C42"/>
    <w:rsid w:val="00FF7C7E"/>
    <w:rsid w:val="00FF7D77"/>
    <w:rsid w:val="00FF7DA7"/>
    <w:rsid w:val="00FF7E28"/>
    <w:rsid w:val="00FF7E30"/>
    <w:rsid w:val="00FF7E4F"/>
    <w:rsid w:val="00FF7E82"/>
    <w:rsid w:val="00FF7E87"/>
    <w:rsid w:val="00FF7F7E"/>
    <w:rsid w:val="00FF7FD8"/>
    <w:rsid w:val="01159106"/>
    <w:rsid w:val="011A0F10"/>
    <w:rsid w:val="011DE7A3"/>
    <w:rsid w:val="011FA54F"/>
    <w:rsid w:val="01236F64"/>
    <w:rsid w:val="0126B12F"/>
    <w:rsid w:val="01347602"/>
    <w:rsid w:val="014ED565"/>
    <w:rsid w:val="015516E3"/>
    <w:rsid w:val="015619B3"/>
    <w:rsid w:val="015D435D"/>
    <w:rsid w:val="016E447A"/>
    <w:rsid w:val="0170F129"/>
    <w:rsid w:val="018628B5"/>
    <w:rsid w:val="0188D341"/>
    <w:rsid w:val="018979B0"/>
    <w:rsid w:val="01A6C062"/>
    <w:rsid w:val="01A715C8"/>
    <w:rsid w:val="01BBDC36"/>
    <w:rsid w:val="01C0B654"/>
    <w:rsid w:val="01C0BC71"/>
    <w:rsid w:val="01C36BC6"/>
    <w:rsid w:val="01C9152F"/>
    <w:rsid w:val="01C95597"/>
    <w:rsid w:val="01CB11BF"/>
    <w:rsid w:val="01CB20ED"/>
    <w:rsid w:val="01CB639E"/>
    <w:rsid w:val="01D3BAC3"/>
    <w:rsid w:val="01E55BB7"/>
    <w:rsid w:val="01E74254"/>
    <w:rsid w:val="01E8D4FB"/>
    <w:rsid w:val="01FB6103"/>
    <w:rsid w:val="02128A7E"/>
    <w:rsid w:val="0234BFFE"/>
    <w:rsid w:val="024136D9"/>
    <w:rsid w:val="024196AC"/>
    <w:rsid w:val="025134AD"/>
    <w:rsid w:val="0251B23B"/>
    <w:rsid w:val="025918FE"/>
    <w:rsid w:val="0259A944"/>
    <w:rsid w:val="025D228B"/>
    <w:rsid w:val="0262F3A6"/>
    <w:rsid w:val="0267752F"/>
    <w:rsid w:val="02679DFB"/>
    <w:rsid w:val="0269AAA7"/>
    <w:rsid w:val="0274EE36"/>
    <w:rsid w:val="0276F955"/>
    <w:rsid w:val="02834B1B"/>
    <w:rsid w:val="0294BB43"/>
    <w:rsid w:val="02999EA1"/>
    <w:rsid w:val="029C610E"/>
    <w:rsid w:val="029E3BBA"/>
    <w:rsid w:val="02A183ED"/>
    <w:rsid w:val="02A1FBB9"/>
    <w:rsid w:val="02BA04B0"/>
    <w:rsid w:val="02BD5853"/>
    <w:rsid w:val="02D5FC6B"/>
    <w:rsid w:val="02DD1877"/>
    <w:rsid w:val="02DD4724"/>
    <w:rsid w:val="02E04A4A"/>
    <w:rsid w:val="02E7CFB9"/>
    <w:rsid w:val="02E87ED1"/>
    <w:rsid w:val="02EC3FFF"/>
    <w:rsid w:val="02EF234F"/>
    <w:rsid w:val="03003401"/>
    <w:rsid w:val="030C0360"/>
    <w:rsid w:val="0313E443"/>
    <w:rsid w:val="031732FC"/>
    <w:rsid w:val="032849CA"/>
    <w:rsid w:val="033B447F"/>
    <w:rsid w:val="034541CD"/>
    <w:rsid w:val="0346B705"/>
    <w:rsid w:val="034EC63F"/>
    <w:rsid w:val="03525DF8"/>
    <w:rsid w:val="0367D99A"/>
    <w:rsid w:val="0379D619"/>
    <w:rsid w:val="037DE95F"/>
    <w:rsid w:val="038B25C4"/>
    <w:rsid w:val="0393EDCB"/>
    <w:rsid w:val="03984369"/>
    <w:rsid w:val="039902B3"/>
    <w:rsid w:val="03B46769"/>
    <w:rsid w:val="03BB2AE3"/>
    <w:rsid w:val="03CCCB26"/>
    <w:rsid w:val="03D2B480"/>
    <w:rsid w:val="03EA409E"/>
    <w:rsid w:val="03F6A94A"/>
    <w:rsid w:val="03FFA7F0"/>
    <w:rsid w:val="0409CDF8"/>
    <w:rsid w:val="040FD087"/>
    <w:rsid w:val="0413709F"/>
    <w:rsid w:val="04229FC4"/>
    <w:rsid w:val="0427B341"/>
    <w:rsid w:val="042BFC00"/>
    <w:rsid w:val="042FE6D0"/>
    <w:rsid w:val="043039B0"/>
    <w:rsid w:val="0432DC2E"/>
    <w:rsid w:val="0435CFA4"/>
    <w:rsid w:val="043A05EE"/>
    <w:rsid w:val="04435E92"/>
    <w:rsid w:val="0456619D"/>
    <w:rsid w:val="0457C83E"/>
    <w:rsid w:val="045843F0"/>
    <w:rsid w:val="045C07B0"/>
    <w:rsid w:val="045CB55D"/>
    <w:rsid w:val="047AE756"/>
    <w:rsid w:val="047BE7DF"/>
    <w:rsid w:val="0497A9FD"/>
    <w:rsid w:val="0497B5B3"/>
    <w:rsid w:val="04A37DA8"/>
    <w:rsid w:val="04A6E80D"/>
    <w:rsid w:val="04ACF4D8"/>
    <w:rsid w:val="04AECA99"/>
    <w:rsid w:val="04C0E156"/>
    <w:rsid w:val="04C82845"/>
    <w:rsid w:val="04C991AF"/>
    <w:rsid w:val="04CBAE95"/>
    <w:rsid w:val="04D4386F"/>
    <w:rsid w:val="04E3D6D1"/>
    <w:rsid w:val="04E3F4C0"/>
    <w:rsid w:val="04FCFC69"/>
    <w:rsid w:val="04FEF6C0"/>
    <w:rsid w:val="05032B7D"/>
    <w:rsid w:val="05084652"/>
    <w:rsid w:val="050D2F17"/>
    <w:rsid w:val="05154B89"/>
    <w:rsid w:val="051641CE"/>
    <w:rsid w:val="0519BA60"/>
    <w:rsid w:val="0531CF9C"/>
    <w:rsid w:val="0531EEA6"/>
    <w:rsid w:val="053287C2"/>
    <w:rsid w:val="0533F240"/>
    <w:rsid w:val="0540703F"/>
    <w:rsid w:val="0542E008"/>
    <w:rsid w:val="05434F92"/>
    <w:rsid w:val="054B66A8"/>
    <w:rsid w:val="05545B2F"/>
    <w:rsid w:val="055F86B4"/>
    <w:rsid w:val="05637E55"/>
    <w:rsid w:val="056DF3FA"/>
    <w:rsid w:val="057C46E1"/>
    <w:rsid w:val="057EAC87"/>
    <w:rsid w:val="05971286"/>
    <w:rsid w:val="05B9DE69"/>
    <w:rsid w:val="05D42CF8"/>
    <w:rsid w:val="05D5990A"/>
    <w:rsid w:val="05D80910"/>
    <w:rsid w:val="05D91F99"/>
    <w:rsid w:val="05F57E34"/>
    <w:rsid w:val="05FA4BC3"/>
    <w:rsid w:val="05FAE86E"/>
    <w:rsid w:val="060AF417"/>
    <w:rsid w:val="0610F61D"/>
    <w:rsid w:val="061414EF"/>
    <w:rsid w:val="0616BAB4"/>
    <w:rsid w:val="06215444"/>
    <w:rsid w:val="0621859B"/>
    <w:rsid w:val="062B68E6"/>
    <w:rsid w:val="062E5D22"/>
    <w:rsid w:val="06337009"/>
    <w:rsid w:val="06352B51"/>
    <w:rsid w:val="06387E4C"/>
    <w:rsid w:val="06456980"/>
    <w:rsid w:val="0651BF5D"/>
    <w:rsid w:val="06658571"/>
    <w:rsid w:val="066E9154"/>
    <w:rsid w:val="066ECAE1"/>
    <w:rsid w:val="066FBD61"/>
    <w:rsid w:val="0675A53A"/>
    <w:rsid w:val="067A4E8A"/>
    <w:rsid w:val="067BE778"/>
    <w:rsid w:val="068184D2"/>
    <w:rsid w:val="068CC61C"/>
    <w:rsid w:val="0695BE91"/>
    <w:rsid w:val="06AB9A99"/>
    <w:rsid w:val="06B66834"/>
    <w:rsid w:val="06BCA2A2"/>
    <w:rsid w:val="06CC52B4"/>
    <w:rsid w:val="06DE604F"/>
    <w:rsid w:val="06E32963"/>
    <w:rsid w:val="0707847E"/>
    <w:rsid w:val="071C6579"/>
    <w:rsid w:val="071C7D91"/>
    <w:rsid w:val="071D8DA0"/>
    <w:rsid w:val="071EADBB"/>
    <w:rsid w:val="0723B51A"/>
    <w:rsid w:val="07283B49"/>
    <w:rsid w:val="072A1439"/>
    <w:rsid w:val="073AB13F"/>
    <w:rsid w:val="073C472A"/>
    <w:rsid w:val="07425028"/>
    <w:rsid w:val="074946A2"/>
    <w:rsid w:val="0755BBEF"/>
    <w:rsid w:val="075C50F4"/>
    <w:rsid w:val="076CFF49"/>
    <w:rsid w:val="07704200"/>
    <w:rsid w:val="0777DD25"/>
    <w:rsid w:val="077CC9F1"/>
    <w:rsid w:val="077CF416"/>
    <w:rsid w:val="077CF760"/>
    <w:rsid w:val="077DA0E5"/>
    <w:rsid w:val="077DBC06"/>
    <w:rsid w:val="078C8D5A"/>
    <w:rsid w:val="078E447E"/>
    <w:rsid w:val="078F900E"/>
    <w:rsid w:val="07913F32"/>
    <w:rsid w:val="0791825B"/>
    <w:rsid w:val="07A5CC6C"/>
    <w:rsid w:val="07A6C528"/>
    <w:rsid w:val="07CC074A"/>
    <w:rsid w:val="07DCBCDE"/>
    <w:rsid w:val="07E25E9D"/>
    <w:rsid w:val="07E8E519"/>
    <w:rsid w:val="07EA13AB"/>
    <w:rsid w:val="07F17FAB"/>
    <w:rsid w:val="07F75B5F"/>
    <w:rsid w:val="07FD06A1"/>
    <w:rsid w:val="07FD83D6"/>
    <w:rsid w:val="080707FB"/>
    <w:rsid w:val="0808F175"/>
    <w:rsid w:val="080B19F6"/>
    <w:rsid w:val="080C2158"/>
    <w:rsid w:val="080E2795"/>
    <w:rsid w:val="081AC9C6"/>
    <w:rsid w:val="081CC0CB"/>
    <w:rsid w:val="082E1C76"/>
    <w:rsid w:val="082F741D"/>
    <w:rsid w:val="08318D7E"/>
    <w:rsid w:val="083C642E"/>
    <w:rsid w:val="085203D8"/>
    <w:rsid w:val="08541A60"/>
    <w:rsid w:val="085B11AD"/>
    <w:rsid w:val="087263DE"/>
    <w:rsid w:val="0880DBEA"/>
    <w:rsid w:val="0881EB60"/>
    <w:rsid w:val="08898480"/>
    <w:rsid w:val="088DADE5"/>
    <w:rsid w:val="089A1E2F"/>
    <w:rsid w:val="089C5EE4"/>
    <w:rsid w:val="08A7F302"/>
    <w:rsid w:val="08B5F3C9"/>
    <w:rsid w:val="08C3ADB1"/>
    <w:rsid w:val="08C6AD97"/>
    <w:rsid w:val="08F2792F"/>
    <w:rsid w:val="08FA71CC"/>
    <w:rsid w:val="08FCCCEC"/>
    <w:rsid w:val="09035DCC"/>
    <w:rsid w:val="09084146"/>
    <w:rsid w:val="090CE347"/>
    <w:rsid w:val="090EE7E9"/>
    <w:rsid w:val="09131438"/>
    <w:rsid w:val="091A8723"/>
    <w:rsid w:val="091E7D1F"/>
    <w:rsid w:val="093BBA8C"/>
    <w:rsid w:val="093DFC06"/>
    <w:rsid w:val="095670A3"/>
    <w:rsid w:val="0966F17D"/>
    <w:rsid w:val="096F9102"/>
    <w:rsid w:val="09811216"/>
    <w:rsid w:val="098161DC"/>
    <w:rsid w:val="0982D7A6"/>
    <w:rsid w:val="09894B3C"/>
    <w:rsid w:val="099C429F"/>
    <w:rsid w:val="099F2996"/>
    <w:rsid w:val="09A378C5"/>
    <w:rsid w:val="09A86E7E"/>
    <w:rsid w:val="09BD8D19"/>
    <w:rsid w:val="09C0DE4F"/>
    <w:rsid w:val="09C47FD9"/>
    <w:rsid w:val="09C71189"/>
    <w:rsid w:val="09D8A3B0"/>
    <w:rsid w:val="09DF1B23"/>
    <w:rsid w:val="09DF9456"/>
    <w:rsid w:val="09E1AD95"/>
    <w:rsid w:val="09E98C70"/>
    <w:rsid w:val="09ECE898"/>
    <w:rsid w:val="09ECF8D3"/>
    <w:rsid w:val="09F53B7C"/>
    <w:rsid w:val="0A06F500"/>
    <w:rsid w:val="0A0BAF96"/>
    <w:rsid w:val="0A1F1AEB"/>
    <w:rsid w:val="0A22467F"/>
    <w:rsid w:val="0A2C5D84"/>
    <w:rsid w:val="0A2E1687"/>
    <w:rsid w:val="0A3AFA7C"/>
    <w:rsid w:val="0A4EDF7E"/>
    <w:rsid w:val="0A50F7A2"/>
    <w:rsid w:val="0A53383C"/>
    <w:rsid w:val="0A5760B2"/>
    <w:rsid w:val="0A5BF47B"/>
    <w:rsid w:val="0A5EEC9E"/>
    <w:rsid w:val="0A658031"/>
    <w:rsid w:val="0A661C10"/>
    <w:rsid w:val="0A6B56C8"/>
    <w:rsid w:val="0A78F610"/>
    <w:rsid w:val="0A8AA325"/>
    <w:rsid w:val="0A960190"/>
    <w:rsid w:val="0A961C9B"/>
    <w:rsid w:val="0AA1A616"/>
    <w:rsid w:val="0AAB4EA8"/>
    <w:rsid w:val="0AAFF4AB"/>
    <w:rsid w:val="0AB05FAF"/>
    <w:rsid w:val="0AB12004"/>
    <w:rsid w:val="0AB1D312"/>
    <w:rsid w:val="0ABF15DD"/>
    <w:rsid w:val="0AC4CC56"/>
    <w:rsid w:val="0AC946BE"/>
    <w:rsid w:val="0AD7E027"/>
    <w:rsid w:val="0AD9BF6E"/>
    <w:rsid w:val="0ADA1B36"/>
    <w:rsid w:val="0AE204D3"/>
    <w:rsid w:val="0AE864F8"/>
    <w:rsid w:val="0AE8751A"/>
    <w:rsid w:val="0AEF075E"/>
    <w:rsid w:val="0AFB2D03"/>
    <w:rsid w:val="0B01C0CC"/>
    <w:rsid w:val="0B0592AC"/>
    <w:rsid w:val="0B0FDEF3"/>
    <w:rsid w:val="0B15698E"/>
    <w:rsid w:val="0B1742B9"/>
    <w:rsid w:val="0B1ABA2D"/>
    <w:rsid w:val="0B2E8AB9"/>
    <w:rsid w:val="0B37AA5F"/>
    <w:rsid w:val="0B3CC5D5"/>
    <w:rsid w:val="0B415E1C"/>
    <w:rsid w:val="0B46EEC4"/>
    <w:rsid w:val="0B499CAC"/>
    <w:rsid w:val="0B64787F"/>
    <w:rsid w:val="0B6BEACA"/>
    <w:rsid w:val="0B7B2658"/>
    <w:rsid w:val="0B7E9516"/>
    <w:rsid w:val="0B7EAAFD"/>
    <w:rsid w:val="0B82EF1F"/>
    <w:rsid w:val="0B86060A"/>
    <w:rsid w:val="0B8B86F3"/>
    <w:rsid w:val="0B8BAD0F"/>
    <w:rsid w:val="0B980149"/>
    <w:rsid w:val="0B991EE3"/>
    <w:rsid w:val="0BA192EC"/>
    <w:rsid w:val="0BA99F2B"/>
    <w:rsid w:val="0BB49C4B"/>
    <w:rsid w:val="0BC2A500"/>
    <w:rsid w:val="0BD83CBC"/>
    <w:rsid w:val="0BD8D28A"/>
    <w:rsid w:val="0BDB1DD6"/>
    <w:rsid w:val="0BE4ADBC"/>
    <w:rsid w:val="0BE7D5E0"/>
    <w:rsid w:val="0C045559"/>
    <w:rsid w:val="0C04C1EE"/>
    <w:rsid w:val="0C222710"/>
    <w:rsid w:val="0C28535C"/>
    <w:rsid w:val="0C2CB4B9"/>
    <w:rsid w:val="0C34DF3E"/>
    <w:rsid w:val="0C368FA3"/>
    <w:rsid w:val="0C383ADC"/>
    <w:rsid w:val="0C53C903"/>
    <w:rsid w:val="0C54E65F"/>
    <w:rsid w:val="0C571217"/>
    <w:rsid w:val="0C655AA4"/>
    <w:rsid w:val="0C666BCD"/>
    <w:rsid w:val="0C66B546"/>
    <w:rsid w:val="0C73D2D4"/>
    <w:rsid w:val="0C7626F3"/>
    <w:rsid w:val="0C772E73"/>
    <w:rsid w:val="0C7C0EF5"/>
    <w:rsid w:val="0C8AC2A3"/>
    <w:rsid w:val="0C8B6AB0"/>
    <w:rsid w:val="0C912B58"/>
    <w:rsid w:val="0C95A4C8"/>
    <w:rsid w:val="0C95FABE"/>
    <w:rsid w:val="0C96530D"/>
    <w:rsid w:val="0CA0B731"/>
    <w:rsid w:val="0CA7F6DC"/>
    <w:rsid w:val="0CB73344"/>
    <w:rsid w:val="0CC28BD1"/>
    <w:rsid w:val="0CDE9C4A"/>
    <w:rsid w:val="0CE3027A"/>
    <w:rsid w:val="0CF1ACDB"/>
    <w:rsid w:val="0D114EE6"/>
    <w:rsid w:val="0D131209"/>
    <w:rsid w:val="0D1C8AE0"/>
    <w:rsid w:val="0D3F5AF6"/>
    <w:rsid w:val="0D40A675"/>
    <w:rsid w:val="0D45906B"/>
    <w:rsid w:val="0D4C6F52"/>
    <w:rsid w:val="0D4C7FDD"/>
    <w:rsid w:val="0D501C35"/>
    <w:rsid w:val="0D6670DD"/>
    <w:rsid w:val="0D6F1033"/>
    <w:rsid w:val="0D731DBE"/>
    <w:rsid w:val="0D7378E0"/>
    <w:rsid w:val="0D8128EE"/>
    <w:rsid w:val="0D82BD2F"/>
    <w:rsid w:val="0D887DD4"/>
    <w:rsid w:val="0D8B420F"/>
    <w:rsid w:val="0D8C55DF"/>
    <w:rsid w:val="0DA61CBF"/>
    <w:rsid w:val="0DA9ADDF"/>
    <w:rsid w:val="0DB326F7"/>
    <w:rsid w:val="0DB65E62"/>
    <w:rsid w:val="0DB89432"/>
    <w:rsid w:val="0DB90454"/>
    <w:rsid w:val="0DBE1877"/>
    <w:rsid w:val="0DCC282E"/>
    <w:rsid w:val="0DCE2469"/>
    <w:rsid w:val="0DCFE7CE"/>
    <w:rsid w:val="0DDA6312"/>
    <w:rsid w:val="0DDC4A35"/>
    <w:rsid w:val="0DDD8F6A"/>
    <w:rsid w:val="0DE965E8"/>
    <w:rsid w:val="0DF9C380"/>
    <w:rsid w:val="0E017E60"/>
    <w:rsid w:val="0E09820D"/>
    <w:rsid w:val="0E1A213B"/>
    <w:rsid w:val="0E266069"/>
    <w:rsid w:val="0E2AF183"/>
    <w:rsid w:val="0E2E49C4"/>
    <w:rsid w:val="0E2EE5B0"/>
    <w:rsid w:val="0E2FCC76"/>
    <w:rsid w:val="0E357FF1"/>
    <w:rsid w:val="0E37E766"/>
    <w:rsid w:val="0E3E7108"/>
    <w:rsid w:val="0E3FE8EC"/>
    <w:rsid w:val="0E4AAC29"/>
    <w:rsid w:val="0E4C19FB"/>
    <w:rsid w:val="0E4DF4B6"/>
    <w:rsid w:val="0E5546F1"/>
    <w:rsid w:val="0E7AC471"/>
    <w:rsid w:val="0E7CB787"/>
    <w:rsid w:val="0E7CC9A7"/>
    <w:rsid w:val="0E7E0121"/>
    <w:rsid w:val="0E8143CB"/>
    <w:rsid w:val="0E8BF0B3"/>
    <w:rsid w:val="0E8DFC5D"/>
    <w:rsid w:val="0E8F098C"/>
    <w:rsid w:val="0E916B02"/>
    <w:rsid w:val="0E96928F"/>
    <w:rsid w:val="0EB62FF1"/>
    <w:rsid w:val="0EBCCF13"/>
    <w:rsid w:val="0EBFEA36"/>
    <w:rsid w:val="0EC34C3F"/>
    <w:rsid w:val="0EEDE295"/>
    <w:rsid w:val="0EEE251D"/>
    <w:rsid w:val="0EEE8FB3"/>
    <w:rsid w:val="0EEF4053"/>
    <w:rsid w:val="0EFFE4CE"/>
    <w:rsid w:val="0F0A6B4C"/>
    <w:rsid w:val="0F1725C4"/>
    <w:rsid w:val="0F1A168E"/>
    <w:rsid w:val="0F1DA458"/>
    <w:rsid w:val="0F1F744F"/>
    <w:rsid w:val="0F2ADCB3"/>
    <w:rsid w:val="0F2BD464"/>
    <w:rsid w:val="0F348E6C"/>
    <w:rsid w:val="0F3DE0A2"/>
    <w:rsid w:val="0F3FF1C9"/>
    <w:rsid w:val="0F42BF58"/>
    <w:rsid w:val="0F53B29A"/>
    <w:rsid w:val="0F583D8C"/>
    <w:rsid w:val="0F62795C"/>
    <w:rsid w:val="0F694C2C"/>
    <w:rsid w:val="0F6A752C"/>
    <w:rsid w:val="0F7BAE65"/>
    <w:rsid w:val="0F7BB86A"/>
    <w:rsid w:val="0F985C45"/>
    <w:rsid w:val="0F9C732C"/>
    <w:rsid w:val="0FA52ACE"/>
    <w:rsid w:val="0FC162C4"/>
    <w:rsid w:val="0FC67E50"/>
    <w:rsid w:val="0FCB6FEF"/>
    <w:rsid w:val="0FE689A3"/>
    <w:rsid w:val="0FF170BE"/>
    <w:rsid w:val="0FF360DD"/>
    <w:rsid w:val="10064B10"/>
    <w:rsid w:val="1008B2AF"/>
    <w:rsid w:val="100D6E30"/>
    <w:rsid w:val="101244BD"/>
    <w:rsid w:val="1015538F"/>
    <w:rsid w:val="10178CC7"/>
    <w:rsid w:val="10184808"/>
    <w:rsid w:val="10184F71"/>
    <w:rsid w:val="101AC7BE"/>
    <w:rsid w:val="101F6E3C"/>
    <w:rsid w:val="102A761D"/>
    <w:rsid w:val="1030769C"/>
    <w:rsid w:val="10374D79"/>
    <w:rsid w:val="103A8C49"/>
    <w:rsid w:val="10433B63"/>
    <w:rsid w:val="1047B650"/>
    <w:rsid w:val="105B8510"/>
    <w:rsid w:val="105C429C"/>
    <w:rsid w:val="105F151D"/>
    <w:rsid w:val="10603E01"/>
    <w:rsid w:val="1076D817"/>
    <w:rsid w:val="10866358"/>
    <w:rsid w:val="109C2487"/>
    <w:rsid w:val="109E19CF"/>
    <w:rsid w:val="109E39A4"/>
    <w:rsid w:val="10A25D74"/>
    <w:rsid w:val="10AB6A1A"/>
    <w:rsid w:val="10AB82FF"/>
    <w:rsid w:val="10C42CB9"/>
    <w:rsid w:val="10D68A6C"/>
    <w:rsid w:val="10E16198"/>
    <w:rsid w:val="10E9FD6B"/>
    <w:rsid w:val="10ECD3EE"/>
    <w:rsid w:val="10ECF72A"/>
    <w:rsid w:val="10F9D34F"/>
    <w:rsid w:val="11018ED9"/>
    <w:rsid w:val="1105EDD6"/>
    <w:rsid w:val="110B0101"/>
    <w:rsid w:val="111B790E"/>
    <w:rsid w:val="111EEA72"/>
    <w:rsid w:val="1124F392"/>
    <w:rsid w:val="11289175"/>
    <w:rsid w:val="1139F0EF"/>
    <w:rsid w:val="113A27E3"/>
    <w:rsid w:val="11490FC1"/>
    <w:rsid w:val="1183005D"/>
    <w:rsid w:val="11866136"/>
    <w:rsid w:val="119339F2"/>
    <w:rsid w:val="1195BF04"/>
    <w:rsid w:val="119BFBD8"/>
    <w:rsid w:val="11A07F66"/>
    <w:rsid w:val="11A21A57"/>
    <w:rsid w:val="11A60394"/>
    <w:rsid w:val="11AC947B"/>
    <w:rsid w:val="11B2B299"/>
    <w:rsid w:val="11BC61E4"/>
    <w:rsid w:val="11C19A3C"/>
    <w:rsid w:val="11C274C9"/>
    <w:rsid w:val="11C5DC95"/>
    <w:rsid w:val="11C71019"/>
    <w:rsid w:val="11D01BA4"/>
    <w:rsid w:val="11E39FFD"/>
    <w:rsid w:val="11F9481F"/>
    <w:rsid w:val="11FE9041"/>
    <w:rsid w:val="120BB409"/>
    <w:rsid w:val="120D6187"/>
    <w:rsid w:val="12123238"/>
    <w:rsid w:val="1213C1C9"/>
    <w:rsid w:val="121766AD"/>
    <w:rsid w:val="1218BA84"/>
    <w:rsid w:val="121D6DBF"/>
    <w:rsid w:val="12294DE2"/>
    <w:rsid w:val="12294F4C"/>
    <w:rsid w:val="1255AFFE"/>
    <w:rsid w:val="12654A3C"/>
    <w:rsid w:val="12700250"/>
    <w:rsid w:val="127C8204"/>
    <w:rsid w:val="127DE2FB"/>
    <w:rsid w:val="1284B444"/>
    <w:rsid w:val="12852A2B"/>
    <w:rsid w:val="128E86F5"/>
    <w:rsid w:val="129376D9"/>
    <w:rsid w:val="129FBA53"/>
    <w:rsid w:val="12AEB6C8"/>
    <w:rsid w:val="12B3C84B"/>
    <w:rsid w:val="12B9BFAE"/>
    <w:rsid w:val="12C52327"/>
    <w:rsid w:val="12C5C022"/>
    <w:rsid w:val="12CD3376"/>
    <w:rsid w:val="12D12BD2"/>
    <w:rsid w:val="12E4A6FD"/>
    <w:rsid w:val="12E7D771"/>
    <w:rsid w:val="12EF0162"/>
    <w:rsid w:val="12F3A334"/>
    <w:rsid w:val="12F7E2DB"/>
    <w:rsid w:val="12F80AF6"/>
    <w:rsid w:val="12FA4269"/>
    <w:rsid w:val="12FD9588"/>
    <w:rsid w:val="1311C99F"/>
    <w:rsid w:val="132C5C5E"/>
    <w:rsid w:val="132EB0CB"/>
    <w:rsid w:val="13330694"/>
    <w:rsid w:val="1334716C"/>
    <w:rsid w:val="13398A8B"/>
    <w:rsid w:val="1347002C"/>
    <w:rsid w:val="134820C0"/>
    <w:rsid w:val="13681CBD"/>
    <w:rsid w:val="1372F5A0"/>
    <w:rsid w:val="13A1ED7B"/>
    <w:rsid w:val="13A59469"/>
    <w:rsid w:val="13AE4AEF"/>
    <w:rsid w:val="13B28043"/>
    <w:rsid w:val="13B827B9"/>
    <w:rsid w:val="13BA5EBD"/>
    <w:rsid w:val="13C31FD3"/>
    <w:rsid w:val="13CFA355"/>
    <w:rsid w:val="13CFDB7B"/>
    <w:rsid w:val="13D1E14A"/>
    <w:rsid w:val="13D21947"/>
    <w:rsid w:val="13D2A09E"/>
    <w:rsid w:val="13DDA378"/>
    <w:rsid w:val="13DEE0CC"/>
    <w:rsid w:val="13EB8D6C"/>
    <w:rsid w:val="13EC36BC"/>
    <w:rsid w:val="13EF42E0"/>
    <w:rsid w:val="13F0598E"/>
    <w:rsid w:val="140B1DF4"/>
    <w:rsid w:val="141B4DFD"/>
    <w:rsid w:val="1424F632"/>
    <w:rsid w:val="14325433"/>
    <w:rsid w:val="14359C64"/>
    <w:rsid w:val="1445488A"/>
    <w:rsid w:val="146771EB"/>
    <w:rsid w:val="146B16DD"/>
    <w:rsid w:val="147625AD"/>
    <w:rsid w:val="148116B9"/>
    <w:rsid w:val="148709BC"/>
    <w:rsid w:val="1487A491"/>
    <w:rsid w:val="148B42AD"/>
    <w:rsid w:val="148D3A41"/>
    <w:rsid w:val="148E402F"/>
    <w:rsid w:val="148E8DE0"/>
    <w:rsid w:val="148FC602"/>
    <w:rsid w:val="14938A9E"/>
    <w:rsid w:val="1495A0D2"/>
    <w:rsid w:val="149993BF"/>
    <w:rsid w:val="14A37F67"/>
    <w:rsid w:val="14AA589F"/>
    <w:rsid w:val="14B40F55"/>
    <w:rsid w:val="14BF63F8"/>
    <w:rsid w:val="14C31BFF"/>
    <w:rsid w:val="14D33613"/>
    <w:rsid w:val="14E09EAC"/>
    <w:rsid w:val="14ED7AF0"/>
    <w:rsid w:val="14EE1627"/>
    <w:rsid w:val="14EF2BF7"/>
    <w:rsid w:val="14F65DDC"/>
    <w:rsid w:val="1500DA7A"/>
    <w:rsid w:val="15010B16"/>
    <w:rsid w:val="150FEED8"/>
    <w:rsid w:val="1519609C"/>
    <w:rsid w:val="151E0FF3"/>
    <w:rsid w:val="15206BBA"/>
    <w:rsid w:val="1526DBD9"/>
    <w:rsid w:val="1530C5FE"/>
    <w:rsid w:val="153C6F07"/>
    <w:rsid w:val="1540DA31"/>
    <w:rsid w:val="15480B8A"/>
    <w:rsid w:val="154B36CF"/>
    <w:rsid w:val="1557F2C5"/>
    <w:rsid w:val="156023E7"/>
    <w:rsid w:val="1564C9A1"/>
    <w:rsid w:val="156A0C95"/>
    <w:rsid w:val="1584A881"/>
    <w:rsid w:val="158B8969"/>
    <w:rsid w:val="15959B0A"/>
    <w:rsid w:val="1598B049"/>
    <w:rsid w:val="159DAF10"/>
    <w:rsid w:val="15AE6F03"/>
    <w:rsid w:val="15B813FD"/>
    <w:rsid w:val="15D6EA32"/>
    <w:rsid w:val="15DEB04C"/>
    <w:rsid w:val="15E06E6D"/>
    <w:rsid w:val="15E4ED57"/>
    <w:rsid w:val="15E79D83"/>
    <w:rsid w:val="15E8A119"/>
    <w:rsid w:val="15EAB3D7"/>
    <w:rsid w:val="15EADBDD"/>
    <w:rsid w:val="15EFC5FE"/>
    <w:rsid w:val="15F3C416"/>
    <w:rsid w:val="15FC9286"/>
    <w:rsid w:val="160773D5"/>
    <w:rsid w:val="16116B69"/>
    <w:rsid w:val="16191248"/>
    <w:rsid w:val="161A5ACE"/>
    <w:rsid w:val="161ABC2D"/>
    <w:rsid w:val="161E1156"/>
    <w:rsid w:val="16231175"/>
    <w:rsid w:val="162471B3"/>
    <w:rsid w:val="1626ECAC"/>
    <w:rsid w:val="162F4105"/>
    <w:rsid w:val="16466B64"/>
    <w:rsid w:val="1650DEA5"/>
    <w:rsid w:val="165669EB"/>
    <w:rsid w:val="1666CE4D"/>
    <w:rsid w:val="16683D36"/>
    <w:rsid w:val="166ED4E6"/>
    <w:rsid w:val="16786A37"/>
    <w:rsid w:val="169280DF"/>
    <w:rsid w:val="1692D250"/>
    <w:rsid w:val="16A00C8A"/>
    <w:rsid w:val="16A8B480"/>
    <w:rsid w:val="16AFF5A4"/>
    <w:rsid w:val="16B3C7AC"/>
    <w:rsid w:val="16CEF582"/>
    <w:rsid w:val="16D7E569"/>
    <w:rsid w:val="16E9770E"/>
    <w:rsid w:val="16EF8F84"/>
    <w:rsid w:val="16F0BD39"/>
    <w:rsid w:val="16F59A0D"/>
    <w:rsid w:val="16F5AEA2"/>
    <w:rsid w:val="16FEAC56"/>
    <w:rsid w:val="17082FCF"/>
    <w:rsid w:val="170E0EDC"/>
    <w:rsid w:val="1712F849"/>
    <w:rsid w:val="1719FCB0"/>
    <w:rsid w:val="172AAE5C"/>
    <w:rsid w:val="172F0A67"/>
    <w:rsid w:val="173347FB"/>
    <w:rsid w:val="174C403E"/>
    <w:rsid w:val="174DF856"/>
    <w:rsid w:val="1752970C"/>
    <w:rsid w:val="1756C00D"/>
    <w:rsid w:val="1763E33B"/>
    <w:rsid w:val="17656C1C"/>
    <w:rsid w:val="17710117"/>
    <w:rsid w:val="17742366"/>
    <w:rsid w:val="1775F598"/>
    <w:rsid w:val="17890DE0"/>
    <w:rsid w:val="178FAB7F"/>
    <w:rsid w:val="17958F67"/>
    <w:rsid w:val="1797D9A2"/>
    <w:rsid w:val="17A95903"/>
    <w:rsid w:val="17BB1A3F"/>
    <w:rsid w:val="17C3C045"/>
    <w:rsid w:val="17CD3A71"/>
    <w:rsid w:val="17D766B4"/>
    <w:rsid w:val="17DAFF88"/>
    <w:rsid w:val="17DC1788"/>
    <w:rsid w:val="17E5B0D7"/>
    <w:rsid w:val="17E5D605"/>
    <w:rsid w:val="17ED329F"/>
    <w:rsid w:val="17FE5273"/>
    <w:rsid w:val="180708E5"/>
    <w:rsid w:val="180B9CA8"/>
    <w:rsid w:val="180FF79A"/>
    <w:rsid w:val="181F574A"/>
    <w:rsid w:val="18249B16"/>
    <w:rsid w:val="182D49AB"/>
    <w:rsid w:val="182F4560"/>
    <w:rsid w:val="1835F5C4"/>
    <w:rsid w:val="1858302B"/>
    <w:rsid w:val="18682E94"/>
    <w:rsid w:val="186C3421"/>
    <w:rsid w:val="18784EED"/>
    <w:rsid w:val="187CE9AB"/>
    <w:rsid w:val="1882C53B"/>
    <w:rsid w:val="1887334C"/>
    <w:rsid w:val="18AAEE01"/>
    <w:rsid w:val="18B402DF"/>
    <w:rsid w:val="18BCABE5"/>
    <w:rsid w:val="18BF0DD0"/>
    <w:rsid w:val="18C196C0"/>
    <w:rsid w:val="18CBFC22"/>
    <w:rsid w:val="18D2B85F"/>
    <w:rsid w:val="18DBA9E5"/>
    <w:rsid w:val="18DFF411"/>
    <w:rsid w:val="18E27AF1"/>
    <w:rsid w:val="18E3D02F"/>
    <w:rsid w:val="18E8988A"/>
    <w:rsid w:val="18EE4506"/>
    <w:rsid w:val="18F02AF8"/>
    <w:rsid w:val="18F217A4"/>
    <w:rsid w:val="18F9E1B1"/>
    <w:rsid w:val="18FD68E9"/>
    <w:rsid w:val="190EF6AF"/>
    <w:rsid w:val="191BEDFB"/>
    <w:rsid w:val="192C2D39"/>
    <w:rsid w:val="19307CA1"/>
    <w:rsid w:val="19363547"/>
    <w:rsid w:val="193B1FFF"/>
    <w:rsid w:val="193B708B"/>
    <w:rsid w:val="1942B12C"/>
    <w:rsid w:val="194955BB"/>
    <w:rsid w:val="194BBC42"/>
    <w:rsid w:val="19508022"/>
    <w:rsid w:val="1953EF69"/>
    <w:rsid w:val="19592F43"/>
    <w:rsid w:val="195B24E3"/>
    <w:rsid w:val="19604354"/>
    <w:rsid w:val="19605D4C"/>
    <w:rsid w:val="196B965F"/>
    <w:rsid w:val="19725B29"/>
    <w:rsid w:val="197855B9"/>
    <w:rsid w:val="1978A0C5"/>
    <w:rsid w:val="197A825C"/>
    <w:rsid w:val="1981C470"/>
    <w:rsid w:val="1995E9BC"/>
    <w:rsid w:val="199CBC9D"/>
    <w:rsid w:val="19A8265C"/>
    <w:rsid w:val="19A937EE"/>
    <w:rsid w:val="19AA5F7F"/>
    <w:rsid w:val="19AE054C"/>
    <w:rsid w:val="19BC03CB"/>
    <w:rsid w:val="19CDF8E7"/>
    <w:rsid w:val="19D23E7A"/>
    <w:rsid w:val="19D7CA9E"/>
    <w:rsid w:val="19EE9BE4"/>
    <w:rsid w:val="19F410FD"/>
    <w:rsid w:val="19F5F265"/>
    <w:rsid w:val="19FAD711"/>
    <w:rsid w:val="1A013DFD"/>
    <w:rsid w:val="1A0A6484"/>
    <w:rsid w:val="1A165B2F"/>
    <w:rsid w:val="1A16A768"/>
    <w:rsid w:val="1A235063"/>
    <w:rsid w:val="1A23F086"/>
    <w:rsid w:val="1A24C547"/>
    <w:rsid w:val="1A43CF66"/>
    <w:rsid w:val="1A460D44"/>
    <w:rsid w:val="1A5A15FB"/>
    <w:rsid w:val="1A657EA9"/>
    <w:rsid w:val="1A72FCEE"/>
    <w:rsid w:val="1A770B26"/>
    <w:rsid w:val="1A8BBC56"/>
    <w:rsid w:val="1A941DF1"/>
    <w:rsid w:val="1A942B8D"/>
    <w:rsid w:val="1AA16D30"/>
    <w:rsid w:val="1AA408C0"/>
    <w:rsid w:val="1AA84890"/>
    <w:rsid w:val="1AA9CA89"/>
    <w:rsid w:val="1AABBD44"/>
    <w:rsid w:val="1AB5CB81"/>
    <w:rsid w:val="1AC65B41"/>
    <w:rsid w:val="1AC76BBE"/>
    <w:rsid w:val="1ACA3A17"/>
    <w:rsid w:val="1ACC98AD"/>
    <w:rsid w:val="1ACEECAB"/>
    <w:rsid w:val="1ADD3ADB"/>
    <w:rsid w:val="1AE3FF9A"/>
    <w:rsid w:val="1AF2DC34"/>
    <w:rsid w:val="1B0B6F8D"/>
    <w:rsid w:val="1B141ADD"/>
    <w:rsid w:val="1B16555F"/>
    <w:rsid w:val="1B1C19C1"/>
    <w:rsid w:val="1B207D49"/>
    <w:rsid w:val="1B2CDDF9"/>
    <w:rsid w:val="1B32E999"/>
    <w:rsid w:val="1B340A12"/>
    <w:rsid w:val="1B42A34A"/>
    <w:rsid w:val="1B445841"/>
    <w:rsid w:val="1B49FCF3"/>
    <w:rsid w:val="1B4B3DFC"/>
    <w:rsid w:val="1B652841"/>
    <w:rsid w:val="1B6FE766"/>
    <w:rsid w:val="1B7958C2"/>
    <w:rsid w:val="1B80860E"/>
    <w:rsid w:val="1B8C86AE"/>
    <w:rsid w:val="1B907880"/>
    <w:rsid w:val="1BAC0C4D"/>
    <w:rsid w:val="1BB41D1A"/>
    <w:rsid w:val="1BBF6795"/>
    <w:rsid w:val="1BDFADEF"/>
    <w:rsid w:val="1BE48931"/>
    <w:rsid w:val="1BE6EB3D"/>
    <w:rsid w:val="1BE9F9A2"/>
    <w:rsid w:val="1BEE52CE"/>
    <w:rsid w:val="1C01EDB2"/>
    <w:rsid w:val="1C057EFD"/>
    <w:rsid w:val="1C06B76C"/>
    <w:rsid w:val="1C09919E"/>
    <w:rsid w:val="1C0ED624"/>
    <w:rsid w:val="1C1756D3"/>
    <w:rsid w:val="1C21D528"/>
    <w:rsid w:val="1C29592D"/>
    <w:rsid w:val="1C2DB77E"/>
    <w:rsid w:val="1C3140B1"/>
    <w:rsid w:val="1C31DDF9"/>
    <w:rsid w:val="1C322DCA"/>
    <w:rsid w:val="1C475524"/>
    <w:rsid w:val="1C49DC81"/>
    <w:rsid w:val="1C4C9EFB"/>
    <w:rsid w:val="1C4D7CB7"/>
    <w:rsid w:val="1C62F887"/>
    <w:rsid w:val="1C68FC9A"/>
    <w:rsid w:val="1C800C9C"/>
    <w:rsid w:val="1C806F4A"/>
    <w:rsid w:val="1C810417"/>
    <w:rsid w:val="1C992379"/>
    <w:rsid w:val="1C9EC8F5"/>
    <w:rsid w:val="1CA3C004"/>
    <w:rsid w:val="1CB32777"/>
    <w:rsid w:val="1CB989BB"/>
    <w:rsid w:val="1CBAB4BB"/>
    <w:rsid w:val="1CC0D8F2"/>
    <w:rsid w:val="1CC23BBA"/>
    <w:rsid w:val="1CC32B53"/>
    <w:rsid w:val="1CCF3D00"/>
    <w:rsid w:val="1CDC86A1"/>
    <w:rsid w:val="1CF46921"/>
    <w:rsid w:val="1CFA76BB"/>
    <w:rsid w:val="1CFE6AE2"/>
    <w:rsid w:val="1D064BCA"/>
    <w:rsid w:val="1D1F3D99"/>
    <w:rsid w:val="1D20CDCF"/>
    <w:rsid w:val="1D2C0848"/>
    <w:rsid w:val="1D2D2B25"/>
    <w:rsid w:val="1D2F3C36"/>
    <w:rsid w:val="1D2F9AA2"/>
    <w:rsid w:val="1D390D15"/>
    <w:rsid w:val="1D423997"/>
    <w:rsid w:val="1D50C4ED"/>
    <w:rsid w:val="1D51CEF3"/>
    <w:rsid w:val="1D5600B8"/>
    <w:rsid w:val="1D572DA2"/>
    <w:rsid w:val="1D5E9DEE"/>
    <w:rsid w:val="1D628E3C"/>
    <w:rsid w:val="1D65F4C2"/>
    <w:rsid w:val="1D6AE5CA"/>
    <w:rsid w:val="1D788E1C"/>
    <w:rsid w:val="1D8365ED"/>
    <w:rsid w:val="1D973CF9"/>
    <w:rsid w:val="1D9F7377"/>
    <w:rsid w:val="1DA1EA5F"/>
    <w:rsid w:val="1DA23F77"/>
    <w:rsid w:val="1DA927E4"/>
    <w:rsid w:val="1DC7508F"/>
    <w:rsid w:val="1DC83762"/>
    <w:rsid w:val="1DD18B46"/>
    <w:rsid w:val="1DE29C6E"/>
    <w:rsid w:val="1DE549F1"/>
    <w:rsid w:val="1DFA3CDB"/>
    <w:rsid w:val="1DFF1EDE"/>
    <w:rsid w:val="1E0056D5"/>
    <w:rsid w:val="1E00E756"/>
    <w:rsid w:val="1E0586CF"/>
    <w:rsid w:val="1E0C4D57"/>
    <w:rsid w:val="1E1020D6"/>
    <w:rsid w:val="1E10B038"/>
    <w:rsid w:val="1E12F849"/>
    <w:rsid w:val="1E15955D"/>
    <w:rsid w:val="1E18AD56"/>
    <w:rsid w:val="1E1BD44E"/>
    <w:rsid w:val="1E1CBD95"/>
    <w:rsid w:val="1E2223F4"/>
    <w:rsid w:val="1E2858E6"/>
    <w:rsid w:val="1E372617"/>
    <w:rsid w:val="1E511B11"/>
    <w:rsid w:val="1E52361B"/>
    <w:rsid w:val="1E6CE4A8"/>
    <w:rsid w:val="1E6E417E"/>
    <w:rsid w:val="1E83873E"/>
    <w:rsid w:val="1E865510"/>
    <w:rsid w:val="1E8CE958"/>
    <w:rsid w:val="1E9D42CE"/>
    <w:rsid w:val="1EA8E458"/>
    <w:rsid w:val="1EA8FC3D"/>
    <w:rsid w:val="1EA952B5"/>
    <w:rsid w:val="1EAD8EDB"/>
    <w:rsid w:val="1EAEEE49"/>
    <w:rsid w:val="1EB0A462"/>
    <w:rsid w:val="1ECD2EAE"/>
    <w:rsid w:val="1EE4DF2D"/>
    <w:rsid w:val="1EEAD0F1"/>
    <w:rsid w:val="1EED8680"/>
    <w:rsid w:val="1EF34315"/>
    <w:rsid w:val="1F1613D9"/>
    <w:rsid w:val="1F1C84B0"/>
    <w:rsid w:val="1F256229"/>
    <w:rsid w:val="1F29E6E6"/>
    <w:rsid w:val="1F2C8FDE"/>
    <w:rsid w:val="1F406350"/>
    <w:rsid w:val="1F40B012"/>
    <w:rsid w:val="1F4875CC"/>
    <w:rsid w:val="1F4BD7C0"/>
    <w:rsid w:val="1F4BDBEF"/>
    <w:rsid w:val="1F6AD384"/>
    <w:rsid w:val="1F6F31AF"/>
    <w:rsid w:val="1F72814F"/>
    <w:rsid w:val="1F79DB71"/>
    <w:rsid w:val="1F7B71A2"/>
    <w:rsid w:val="1F87D920"/>
    <w:rsid w:val="1F975066"/>
    <w:rsid w:val="1F98E134"/>
    <w:rsid w:val="1F99D70E"/>
    <w:rsid w:val="1FA23733"/>
    <w:rsid w:val="1FA87251"/>
    <w:rsid w:val="1FB3B5F2"/>
    <w:rsid w:val="1FBBED0A"/>
    <w:rsid w:val="1FBC0DBE"/>
    <w:rsid w:val="1FC29DE0"/>
    <w:rsid w:val="1FCBCB5C"/>
    <w:rsid w:val="1FCE61F9"/>
    <w:rsid w:val="1FCE83B5"/>
    <w:rsid w:val="1FD11C08"/>
    <w:rsid w:val="1FD678EF"/>
    <w:rsid w:val="1FE379A3"/>
    <w:rsid w:val="1FE4800B"/>
    <w:rsid w:val="1FE60DE9"/>
    <w:rsid w:val="20007BCF"/>
    <w:rsid w:val="20022344"/>
    <w:rsid w:val="200EB3A1"/>
    <w:rsid w:val="2010AE37"/>
    <w:rsid w:val="2011005E"/>
    <w:rsid w:val="2011C9E2"/>
    <w:rsid w:val="2012B73E"/>
    <w:rsid w:val="2015054E"/>
    <w:rsid w:val="2015DC90"/>
    <w:rsid w:val="2017B94D"/>
    <w:rsid w:val="20192858"/>
    <w:rsid w:val="201E86DE"/>
    <w:rsid w:val="20348638"/>
    <w:rsid w:val="203EE795"/>
    <w:rsid w:val="203FA187"/>
    <w:rsid w:val="204252AF"/>
    <w:rsid w:val="204DED82"/>
    <w:rsid w:val="205D81B1"/>
    <w:rsid w:val="2062A077"/>
    <w:rsid w:val="2063740F"/>
    <w:rsid w:val="207283D7"/>
    <w:rsid w:val="20891CD4"/>
    <w:rsid w:val="209BBE63"/>
    <w:rsid w:val="20A6BF90"/>
    <w:rsid w:val="20BC334A"/>
    <w:rsid w:val="20C17D7A"/>
    <w:rsid w:val="20CE3765"/>
    <w:rsid w:val="20D86944"/>
    <w:rsid w:val="20DF65E6"/>
    <w:rsid w:val="20E11417"/>
    <w:rsid w:val="20F27246"/>
    <w:rsid w:val="20FAEA73"/>
    <w:rsid w:val="210F429D"/>
    <w:rsid w:val="211CD06A"/>
    <w:rsid w:val="212A0018"/>
    <w:rsid w:val="213993BC"/>
    <w:rsid w:val="213E820A"/>
    <w:rsid w:val="21410292"/>
    <w:rsid w:val="2147C465"/>
    <w:rsid w:val="2157C810"/>
    <w:rsid w:val="215F5237"/>
    <w:rsid w:val="21639F13"/>
    <w:rsid w:val="2168D1C7"/>
    <w:rsid w:val="217853F1"/>
    <w:rsid w:val="21839C0A"/>
    <w:rsid w:val="21984A43"/>
    <w:rsid w:val="21A17756"/>
    <w:rsid w:val="21AC4E00"/>
    <w:rsid w:val="21B46D49"/>
    <w:rsid w:val="21CA5EB4"/>
    <w:rsid w:val="21D69C30"/>
    <w:rsid w:val="21D9712F"/>
    <w:rsid w:val="21DC3D74"/>
    <w:rsid w:val="21E1DED4"/>
    <w:rsid w:val="21E39EE8"/>
    <w:rsid w:val="21E81EA5"/>
    <w:rsid w:val="21F75E59"/>
    <w:rsid w:val="22018E6F"/>
    <w:rsid w:val="22057823"/>
    <w:rsid w:val="220827B5"/>
    <w:rsid w:val="2219C60C"/>
    <w:rsid w:val="221EAA6A"/>
    <w:rsid w:val="222F8869"/>
    <w:rsid w:val="22405D29"/>
    <w:rsid w:val="22464691"/>
    <w:rsid w:val="224F2295"/>
    <w:rsid w:val="2250BDE1"/>
    <w:rsid w:val="225EC171"/>
    <w:rsid w:val="22649999"/>
    <w:rsid w:val="2271D752"/>
    <w:rsid w:val="227B1569"/>
    <w:rsid w:val="22956CA6"/>
    <w:rsid w:val="22A43251"/>
    <w:rsid w:val="22B2C658"/>
    <w:rsid w:val="22BFF47F"/>
    <w:rsid w:val="22CA3F7C"/>
    <w:rsid w:val="22CCEFF4"/>
    <w:rsid w:val="22D08F82"/>
    <w:rsid w:val="22D72207"/>
    <w:rsid w:val="22DC7C9A"/>
    <w:rsid w:val="22F76B35"/>
    <w:rsid w:val="22F84FCC"/>
    <w:rsid w:val="22FA09C4"/>
    <w:rsid w:val="22FA5B33"/>
    <w:rsid w:val="22FDADF8"/>
    <w:rsid w:val="23032AF3"/>
    <w:rsid w:val="230A97B2"/>
    <w:rsid w:val="230E7554"/>
    <w:rsid w:val="231DAA92"/>
    <w:rsid w:val="2325F625"/>
    <w:rsid w:val="2335A90B"/>
    <w:rsid w:val="23376049"/>
    <w:rsid w:val="233E08BB"/>
    <w:rsid w:val="234A0574"/>
    <w:rsid w:val="235A4A07"/>
    <w:rsid w:val="2362CAF2"/>
    <w:rsid w:val="2370C613"/>
    <w:rsid w:val="23771BE1"/>
    <w:rsid w:val="237ADF77"/>
    <w:rsid w:val="237EC154"/>
    <w:rsid w:val="237F4BA5"/>
    <w:rsid w:val="237FFF02"/>
    <w:rsid w:val="238735F1"/>
    <w:rsid w:val="23931F6D"/>
    <w:rsid w:val="239A78B3"/>
    <w:rsid w:val="239AD2C5"/>
    <w:rsid w:val="23A59911"/>
    <w:rsid w:val="23AE92AE"/>
    <w:rsid w:val="23BD2592"/>
    <w:rsid w:val="23C269B4"/>
    <w:rsid w:val="23C55947"/>
    <w:rsid w:val="23C62FA4"/>
    <w:rsid w:val="23C660BB"/>
    <w:rsid w:val="23CBF2CB"/>
    <w:rsid w:val="23CFAAC9"/>
    <w:rsid w:val="23D33060"/>
    <w:rsid w:val="23DB7586"/>
    <w:rsid w:val="23DF8743"/>
    <w:rsid w:val="23E34811"/>
    <w:rsid w:val="23E42FFF"/>
    <w:rsid w:val="23EB78C7"/>
    <w:rsid w:val="240161F8"/>
    <w:rsid w:val="240C3AD6"/>
    <w:rsid w:val="2412A90C"/>
    <w:rsid w:val="2420AC46"/>
    <w:rsid w:val="2428DEED"/>
    <w:rsid w:val="242F9D33"/>
    <w:rsid w:val="2432C981"/>
    <w:rsid w:val="2434ADF6"/>
    <w:rsid w:val="243EF613"/>
    <w:rsid w:val="24477CC8"/>
    <w:rsid w:val="244924BE"/>
    <w:rsid w:val="244A40B3"/>
    <w:rsid w:val="2458CD4A"/>
    <w:rsid w:val="245CF9E8"/>
    <w:rsid w:val="246E9DFD"/>
    <w:rsid w:val="246F262A"/>
    <w:rsid w:val="247EF921"/>
    <w:rsid w:val="2480F44B"/>
    <w:rsid w:val="24869CA5"/>
    <w:rsid w:val="248A2794"/>
    <w:rsid w:val="2499D70A"/>
    <w:rsid w:val="24A06107"/>
    <w:rsid w:val="24AA65D4"/>
    <w:rsid w:val="24AC0605"/>
    <w:rsid w:val="24B037AC"/>
    <w:rsid w:val="24B2A1CB"/>
    <w:rsid w:val="24B849E4"/>
    <w:rsid w:val="24C15A57"/>
    <w:rsid w:val="24CE4A21"/>
    <w:rsid w:val="24D95BD1"/>
    <w:rsid w:val="24F0D350"/>
    <w:rsid w:val="24F1B3E0"/>
    <w:rsid w:val="24F9C5B1"/>
    <w:rsid w:val="25007725"/>
    <w:rsid w:val="2505052A"/>
    <w:rsid w:val="2505DE5D"/>
    <w:rsid w:val="2509648E"/>
    <w:rsid w:val="250D5C58"/>
    <w:rsid w:val="251A7672"/>
    <w:rsid w:val="252EC83E"/>
    <w:rsid w:val="252F28AB"/>
    <w:rsid w:val="2530F7D2"/>
    <w:rsid w:val="2532E17F"/>
    <w:rsid w:val="25475087"/>
    <w:rsid w:val="25486C9D"/>
    <w:rsid w:val="254D62E9"/>
    <w:rsid w:val="255AE7A8"/>
    <w:rsid w:val="2562416F"/>
    <w:rsid w:val="2562840E"/>
    <w:rsid w:val="25681BE8"/>
    <w:rsid w:val="257B629D"/>
    <w:rsid w:val="257C024C"/>
    <w:rsid w:val="258376B7"/>
    <w:rsid w:val="25847F32"/>
    <w:rsid w:val="2587C9B7"/>
    <w:rsid w:val="258B90DC"/>
    <w:rsid w:val="258EF735"/>
    <w:rsid w:val="2594AE02"/>
    <w:rsid w:val="2598E80B"/>
    <w:rsid w:val="25A07738"/>
    <w:rsid w:val="25A1872F"/>
    <w:rsid w:val="25BCE590"/>
    <w:rsid w:val="25D18E4A"/>
    <w:rsid w:val="25D412E0"/>
    <w:rsid w:val="25E90B3E"/>
    <w:rsid w:val="25EF1177"/>
    <w:rsid w:val="25F654EC"/>
    <w:rsid w:val="25F99CA2"/>
    <w:rsid w:val="260B097B"/>
    <w:rsid w:val="261979EB"/>
    <w:rsid w:val="261E3ED6"/>
    <w:rsid w:val="262B2174"/>
    <w:rsid w:val="262EAD10"/>
    <w:rsid w:val="2638030E"/>
    <w:rsid w:val="264BB815"/>
    <w:rsid w:val="264F136B"/>
    <w:rsid w:val="26576800"/>
    <w:rsid w:val="2659EEDF"/>
    <w:rsid w:val="2659F96C"/>
    <w:rsid w:val="265EA701"/>
    <w:rsid w:val="26602F70"/>
    <w:rsid w:val="2660C1AB"/>
    <w:rsid w:val="2664D7E5"/>
    <w:rsid w:val="266E5A8F"/>
    <w:rsid w:val="267C3E70"/>
    <w:rsid w:val="267D600B"/>
    <w:rsid w:val="26828488"/>
    <w:rsid w:val="26850052"/>
    <w:rsid w:val="26933CD3"/>
    <w:rsid w:val="26B355DE"/>
    <w:rsid w:val="26C20FD5"/>
    <w:rsid w:val="26C2EFC3"/>
    <w:rsid w:val="26C962D4"/>
    <w:rsid w:val="26DA2C86"/>
    <w:rsid w:val="26E8EBFD"/>
    <w:rsid w:val="26EA3EC9"/>
    <w:rsid w:val="26F52419"/>
    <w:rsid w:val="2701CF66"/>
    <w:rsid w:val="271B7709"/>
    <w:rsid w:val="27200DFF"/>
    <w:rsid w:val="272026A1"/>
    <w:rsid w:val="2724F142"/>
    <w:rsid w:val="273055DB"/>
    <w:rsid w:val="2759F44F"/>
    <w:rsid w:val="277571EE"/>
    <w:rsid w:val="2786CB76"/>
    <w:rsid w:val="2786F128"/>
    <w:rsid w:val="27897D9E"/>
    <w:rsid w:val="279791AD"/>
    <w:rsid w:val="2798B3B2"/>
    <w:rsid w:val="279DC931"/>
    <w:rsid w:val="27A15FDE"/>
    <w:rsid w:val="27A5914C"/>
    <w:rsid w:val="27AEB7F3"/>
    <w:rsid w:val="27B0DA68"/>
    <w:rsid w:val="27B9923B"/>
    <w:rsid w:val="27B9F73E"/>
    <w:rsid w:val="27BA5DE4"/>
    <w:rsid w:val="27BFF8EB"/>
    <w:rsid w:val="27C08112"/>
    <w:rsid w:val="27C83902"/>
    <w:rsid w:val="27D880A6"/>
    <w:rsid w:val="27DBEA13"/>
    <w:rsid w:val="27DD580D"/>
    <w:rsid w:val="27E0E968"/>
    <w:rsid w:val="27E91951"/>
    <w:rsid w:val="27EAFEF5"/>
    <w:rsid w:val="27EE18BC"/>
    <w:rsid w:val="28104A73"/>
    <w:rsid w:val="28113518"/>
    <w:rsid w:val="281BB696"/>
    <w:rsid w:val="281ECAD6"/>
    <w:rsid w:val="282353FD"/>
    <w:rsid w:val="28248018"/>
    <w:rsid w:val="28270999"/>
    <w:rsid w:val="282B7DA8"/>
    <w:rsid w:val="283C34C4"/>
    <w:rsid w:val="283DDC8A"/>
    <w:rsid w:val="2843087F"/>
    <w:rsid w:val="284438C1"/>
    <w:rsid w:val="28502636"/>
    <w:rsid w:val="28504B50"/>
    <w:rsid w:val="2851AFE9"/>
    <w:rsid w:val="28562E02"/>
    <w:rsid w:val="2863744F"/>
    <w:rsid w:val="2875AD6E"/>
    <w:rsid w:val="288300F0"/>
    <w:rsid w:val="2887169B"/>
    <w:rsid w:val="288D677D"/>
    <w:rsid w:val="28962093"/>
    <w:rsid w:val="289CAAEA"/>
    <w:rsid w:val="28BA7817"/>
    <w:rsid w:val="28BEA0EB"/>
    <w:rsid w:val="28BEFC1D"/>
    <w:rsid w:val="28C3AAE0"/>
    <w:rsid w:val="28D638E1"/>
    <w:rsid w:val="28D785AC"/>
    <w:rsid w:val="28DC9027"/>
    <w:rsid w:val="28DD069B"/>
    <w:rsid w:val="28E369FC"/>
    <w:rsid w:val="28FE87E5"/>
    <w:rsid w:val="290C4D2E"/>
    <w:rsid w:val="291EE1CC"/>
    <w:rsid w:val="29337623"/>
    <w:rsid w:val="2949D81B"/>
    <w:rsid w:val="29515B2C"/>
    <w:rsid w:val="295720AF"/>
    <w:rsid w:val="2958708C"/>
    <w:rsid w:val="29610881"/>
    <w:rsid w:val="2964AD3A"/>
    <w:rsid w:val="2971DC9E"/>
    <w:rsid w:val="2975AD90"/>
    <w:rsid w:val="29766074"/>
    <w:rsid w:val="297D407F"/>
    <w:rsid w:val="2986AEB6"/>
    <w:rsid w:val="298C4691"/>
    <w:rsid w:val="299CFA98"/>
    <w:rsid w:val="299D87BA"/>
    <w:rsid w:val="29B0719F"/>
    <w:rsid w:val="29B32022"/>
    <w:rsid w:val="29D6A75D"/>
    <w:rsid w:val="29D7043D"/>
    <w:rsid w:val="29E1514E"/>
    <w:rsid w:val="29E16F2F"/>
    <w:rsid w:val="29F64BB0"/>
    <w:rsid w:val="29F8FD4D"/>
    <w:rsid w:val="29FABF78"/>
    <w:rsid w:val="2A06E1A3"/>
    <w:rsid w:val="2A08FE1F"/>
    <w:rsid w:val="2A0AFC7E"/>
    <w:rsid w:val="2A0B0B3E"/>
    <w:rsid w:val="2A0FC3BC"/>
    <w:rsid w:val="2A112F60"/>
    <w:rsid w:val="2A11F8FD"/>
    <w:rsid w:val="2A1780A6"/>
    <w:rsid w:val="2A1A61C3"/>
    <w:rsid w:val="2A1DD051"/>
    <w:rsid w:val="2A24B6F7"/>
    <w:rsid w:val="2A5450ED"/>
    <w:rsid w:val="2A5C2BFA"/>
    <w:rsid w:val="2A644660"/>
    <w:rsid w:val="2A67FAEC"/>
    <w:rsid w:val="2A6BC3E3"/>
    <w:rsid w:val="2A6C1B90"/>
    <w:rsid w:val="2A7ABD49"/>
    <w:rsid w:val="2A7CB0BD"/>
    <w:rsid w:val="2A874DE5"/>
    <w:rsid w:val="2A89898E"/>
    <w:rsid w:val="2A932F7D"/>
    <w:rsid w:val="2AA12891"/>
    <w:rsid w:val="2AA8D998"/>
    <w:rsid w:val="2AB1C529"/>
    <w:rsid w:val="2ABB4BF8"/>
    <w:rsid w:val="2ABF04B5"/>
    <w:rsid w:val="2AC77024"/>
    <w:rsid w:val="2ACFC6D1"/>
    <w:rsid w:val="2AD6279D"/>
    <w:rsid w:val="2AD6AD0F"/>
    <w:rsid w:val="2AE4D805"/>
    <w:rsid w:val="2AEFC93F"/>
    <w:rsid w:val="2AF176E6"/>
    <w:rsid w:val="2AF22917"/>
    <w:rsid w:val="2AF72CB5"/>
    <w:rsid w:val="2B01AA99"/>
    <w:rsid w:val="2B043AA3"/>
    <w:rsid w:val="2B1263A1"/>
    <w:rsid w:val="2B16C0AC"/>
    <w:rsid w:val="2B1FFDE7"/>
    <w:rsid w:val="2B21A869"/>
    <w:rsid w:val="2B23DBE6"/>
    <w:rsid w:val="2B2411F9"/>
    <w:rsid w:val="2B297829"/>
    <w:rsid w:val="2B31D511"/>
    <w:rsid w:val="2B3B1DCB"/>
    <w:rsid w:val="2B40934C"/>
    <w:rsid w:val="2B44389D"/>
    <w:rsid w:val="2B453906"/>
    <w:rsid w:val="2B498445"/>
    <w:rsid w:val="2B4BDF23"/>
    <w:rsid w:val="2B4FE205"/>
    <w:rsid w:val="2B522D97"/>
    <w:rsid w:val="2B530B5A"/>
    <w:rsid w:val="2B532950"/>
    <w:rsid w:val="2B5F9268"/>
    <w:rsid w:val="2B6A7805"/>
    <w:rsid w:val="2B6EBE8C"/>
    <w:rsid w:val="2B7555BA"/>
    <w:rsid w:val="2B782C66"/>
    <w:rsid w:val="2B807C6F"/>
    <w:rsid w:val="2B841B0D"/>
    <w:rsid w:val="2B84E081"/>
    <w:rsid w:val="2B8C8172"/>
    <w:rsid w:val="2B8D9063"/>
    <w:rsid w:val="2B95A4E4"/>
    <w:rsid w:val="2B95C81D"/>
    <w:rsid w:val="2B9E29EB"/>
    <w:rsid w:val="2BA035D3"/>
    <w:rsid w:val="2BA223E9"/>
    <w:rsid w:val="2BB5E1E0"/>
    <w:rsid w:val="2BCD6871"/>
    <w:rsid w:val="2BD19711"/>
    <w:rsid w:val="2BD2652F"/>
    <w:rsid w:val="2BE423C4"/>
    <w:rsid w:val="2BEF4919"/>
    <w:rsid w:val="2BFA78A6"/>
    <w:rsid w:val="2C0ACEDB"/>
    <w:rsid w:val="2C12A90B"/>
    <w:rsid w:val="2C12B7F8"/>
    <w:rsid w:val="2C16A2FB"/>
    <w:rsid w:val="2C21BDD2"/>
    <w:rsid w:val="2C2E9D01"/>
    <w:rsid w:val="2C3B9D33"/>
    <w:rsid w:val="2C404C32"/>
    <w:rsid w:val="2C49D6B0"/>
    <w:rsid w:val="2C4CAC30"/>
    <w:rsid w:val="2C54550B"/>
    <w:rsid w:val="2C6AB97D"/>
    <w:rsid w:val="2C6CDE1B"/>
    <w:rsid w:val="2C70C8EF"/>
    <w:rsid w:val="2C7655E0"/>
    <w:rsid w:val="2C79BB1E"/>
    <w:rsid w:val="2C80747E"/>
    <w:rsid w:val="2C809835"/>
    <w:rsid w:val="2C873303"/>
    <w:rsid w:val="2C8C51FE"/>
    <w:rsid w:val="2C8E2FAD"/>
    <w:rsid w:val="2C9C61A6"/>
    <w:rsid w:val="2C9EC5D4"/>
    <w:rsid w:val="2CA588B0"/>
    <w:rsid w:val="2CA664BC"/>
    <w:rsid w:val="2CB39B4A"/>
    <w:rsid w:val="2CBCDA9A"/>
    <w:rsid w:val="2CBFFE76"/>
    <w:rsid w:val="2CC77EA3"/>
    <w:rsid w:val="2CD2C19C"/>
    <w:rsid w:val="2CD8F29C"/>
    <w:rsid w:val="2CEC04CD"/>
    <w:rsid w:val="2CEC726B"/>
    <w:rsid w:val="2CEE2E30"/>
    <w:rsid w:val="2CF2FE59"/>
    <w:rsid w:val="2CF471E9"/>
    <w:rsid w:val="2CF6D6D3"/>
    <w:rsid w:val="2CFCD312"/>
    <w:rsid w:val="2D013216"/>
    <w:rsid w:val="2D0280AA"/>
    <w:rsid w:val="2D0592B8"/>
    <w:rsid w:val="2D0A2DD5"/>
    <w:rsid w:val="2D11FF46"/>
    <w:rsid w:val="2D2EBBAB"/>
    <w:rsid w:val="2D2F1EEA"/>
    <w:rsid w:val="2D314213"/>
    <w:rsid w:val="2D33BF89"/>
    <w:rsid w:val="2D419163"/>
    <w:rsid w:val="2D456C6C"/>
    <w:rsid w:val="2D47FC56"/>
    <w:rsid w:val="2D5477CE"/>
    <w:rsid w:val="2D5CEFE9"/>
    <w:rsid w:val="2D67FF27"/>
    <w:rsid w:val="2D70954F"/>
    <w:rsid w:val="2D7145DC"/>
    <w:rsid w:val="2D76690D"/>
    <w:rsid w:val="2D78015F"/>
    <w:rsid w:val="2D7BB3EB"/>
    <w:rsid w:val="2D94166A"/>
    <w:rsid w:val="2D95898E"/>
    <w:rsid w:val="2D9B5AB7"/>
    <w:rsid w:val="2D9BA8F5"/>
    <w:rsid w:val="2D9FCA51"/>
    <w:rsid w:val="2DA68317"/>
    <w:rsid w:val="2DA695A4"/>
    <w:rsid w:val="2DB038ED"/>
    <w:rsid w:val="2DC72245"/>
    <w:rsid w:val="2DD5CD89"/>
    <w:rsid w:val="2DE4DF7C"/>
    <w:rsid w:val="2DEBE569"/>
    <w:rsid w:val="2E00E209"/>
    <w:rsid w:val="2E07CDFC"/>
    <w:rsid w:val="2E10BB5E"/>
    <w:rsid w:val="2E126418"/>
    <w:rsid w:val="2E1B6870"/>
    <w:rsid w:val="2E26D875"/>
    <w:rsid w:val="2E2DABC9"/>
    <w:rsid w:val="2E3702BD"/>
    <w:rsid w:val="2E3A6889"/>
    <w:rsid w:val="2E3BBE2B"/>
    <w:rsid w:val="2E3D1DB2"/>
    <w:rsid w:val="2E3F2C23"/>
    <w:rsid w:val="2E40A090"/>
    <w:rsid w:val="2E41FC3D"/>
    <w:rsid w:val="2E520C1D"/>
    <w:rsid w:val="2E5C1C02"/>
    <w:rsid w:val="2E612DCB"/>
    <w:rsid w:val="2E6B90B3"/>
    <w:rsid w:val="2E724E5C"/>
    <w:rsid w:val="2E73B328"/>
    <w:rsid w:val="2E7A37C7"/>
    <w:rsid w:val="2E8C55F0"/>
    <w:rsid w:val="2E8C93D2"/>
    <w:rsid w:val="2E90A9AB"/>
    <w:rsid w:val="2E9C5275"/>
    <w:rsid w:val="2E9D3633"/>
    <w:rsid w:val="2EBAAB28"/>
    <w:rsid w:val="2EBE1387"/>
    <w:rsid w:val="2EC07B1E"/>
    <w:rsid w:val="2ED02C2C"/>
    <w:rsid w:val="2EDA92F1"/>
    <w:rsid w:val="2EDFF288"/>
    <w:rsid w:val="2EE00A3A"/>
    <w:rsid w:val="2EE461C5"/>
    <w:rsid w:val="2EEB73E2"/>
    <w:rsid w:val="2F036B7B"/>
    <w:rsid w:val="2F197151"/>
    <w:rsid w:val="2F1A4B01"/>
    <w:rsid w:val="2F1C3AF4"/>
    <w:rsid w:val="2F3449A8"/>
    <w:rsid w:val="2F347128"/>
    <w:rsid w:val="2F3F8830"/>
    <w:rsid w:val="2F424F25"/>
    <w:rsid w:val="2F52BC8C"/>
    <w:rsid w:val="2F5471DF"/>
    <w:rsid w:val="2F5EE2F2"/>
    <w:rsid w:val="2F6CAA36"/>
    <w:rsid w:val="2F7DAA51"/>
    <w:rsid w:val="2F89E0EB"/>
    <w:rsid w:val="2F8D0EAD"/>
    <w:rsid w:val="2F8FC475"/>
    <w:rsid w:val="2F99A10D"/>
    <w:rsid w:val="2FAF4DFE"/>
    <w:rsid w:val="2FB4779C"/>
    <w:rsid w:val="2FBC1C58"/>
    <w:rsid w:val="2FBCCAF2"/>
    <w:rsid w:val="2FC0FE33"/>
    <w:rsid w:val="2FC7B042"/>
    <w:rsid w:val="2FCC56EA"/>
    <w:rsid w:val="2FCE75E4"/>
    <w:rsid w:val="2FCE9D83"/>
    <w:rsid w:val="2FD2D907"/>
    <w:rsid w:val="2FE69D27"/>
    <w:rsid w:val="2FED2B86"/>
    <w:rsid w:val="2FED7A44"/>
    <w:rsid w:val="2FF9D839"/>
    <w:rsid w:val="301D9E89"/>
    <w:rsid w:val="301E8EE3"/>
    <w:rsid w:val="30238C62"/>
    <w:rsid w:val="30317BA6"/>
    <w:rsid w:val="3033CABE"/>
    <w:rsid w:val="3035E698"/>
    <w:rsid w:val="304CA707"/>
    <w:rsid w:val="304F984E"/>
    <w:rsid w:val="305297D9"/>
    <w:rsid w:val="3054200E"/>
    <w:rsid w:val="3058D7BA"/>
    <w:rsid w:val="30676772"/>
    <w:rsid w:val="30693997"/>
    <w:rsid w:val="3076F86B"/>
    <w:rsid w:val="307C6EDC"/>
    <w:rsid w:val="307D60EF"/>
    <w:rsid w:val="307D6A98"/>
    <w:rsid w:val="307E1E7E"/>
    <w:rsid w:val="308A2C02"/>
    <w:rsid w:val="30908B16"/>
    <w:rsid w:val="30921332"/>
    <w:rsid w:val="309ADF81"/>
    <w:rsid w:val="309E4A35"/>
    <w:rsid w:val="30A3C4B1"/>
    <w:rsid w:val="30A6F5DB"/>
    <w:rsid w:val="30A824CB"/>
    <w:rsid w:val="30A8FB23"/>
    <w:rsid w:val="30AB58E7"/>
    <w:rsid w:val="30B559C2"/>
    <w:rsid w:val="30BB7C90"/>
    <w:rsid w:val="30C185FF"/>
    <w:rsid w:val="30CEB9DA"/>
    <w:rsid w:val="30D8ABF8"/>
    <w:rsid w:val="30DFC7A3"/>
    <w:rsid w:val="30E9F973"/>
    <w:rsid w:val="30EAE36B"/>
    <w:rsid w:val="30F3014E"/>
    <w:rsid w:val="30FF7D90"/>
    <w:rsid w:val="310597EE"/>
    <w:rsid w:val="31224844"/>
    <w:rsid w:val="313E4AEC"/>
    <w:rsid w:val="314044F1"/>
    <w:rsid w:val="314C92C8"/>
    <w:rsid w:val="314DB73C"/>
    <w:rsid w:val="315035B3"/>
    <w:rsid w:val="3151B397"/>
    <w:rsid w:val="3154314A"/>
    <w:rsid w:val="315B3BFF"/>
    <w:rsid w:val="3161E1AA"/>
    <w:rsid w:val="3170F5B2"/>
    <w:rsid w:val="3171988E"/>
    <w:rsid w:val="3178AA17"/>
    <w:rsid w:val="317E450D"/>
    <w:rsid w:val="31846A0F"/>
    <w:rsid w:val="3184CF0F"/>
    <w:rsid w:val="31AD96D9"/>
    <w:rsid w:val="31AE41DE"/>
    <w:rsid w:val="31B056AD"/>
    <w:rsid w:val="31B4E365"/>
    <w:rsid w:val="31B68110"/>
    <w:rsid w:val="31BA646B"/>
    <w:rsid w:val="31BB9AEF"/>
    <w:rsid w:val="31BF2C6F"/>
    <w:rsid w:val="31C31D02"/>
    <w:rsid w:val="31D4578A"/>
    <w:rsid w:val="31DCD367"/>
    <w:rsid w:val="31FF17D1"/>
    <w:rsid w:val="320CE6C4"/>
    <w:rsid w:val="32110CE6"/>
    <w:rsid w:val="32133A9B"/>
    <w:rsid w:val="321BB52C"/>
    <w:rsid w:val="322C3D61"/>
    <w:rsid w:val="322C46BB"/>
    <w:rsid w:val="324D9E0D"/>
    <w:rsid w:val="3250599A"/>
    <w:rsid w:val="32539C09"/>
    <w:rsid w:val="325451C2"/>
    <w:rsid w:val="3255A510"/>
    <w:rsid w:val="32599A27"/>
    <w:rsid w:val="325DE97E"/>
    <w:rsid w:val="326BB6C7"/>
    <w:rsid w:val="327ECF85"/>
    <w:rsid w:val="3289081E"/>
    <w:rsid w:val="328ACFAB"/>
    <w:rsid w:val="328E170E"/>
    <w:rsid w:val="3296CC07"/>
    <w:rsid w:val="329790DC"/>
    <w:rsid w:val="32987B2B"/>
    <w:rsid w:val="32A40BEE"/>
    <w:rsid w:val="32A640E9"/>
    <w:rsid w:val="32A8A9F1"/>
    <w:rsid w:val="32ABA7E6"/>
    <w:rsid w:val="32AC1E0E"/>
    <w:rsid w:val="32B2E79B"/>
    <w:rsid w:val="32B66306"/>
    <w:rsid w:val="32B7A807"/>
    <w:rsid w:val="32BF0706"/>
    <w:rsid w:val="32C0518B"/>
    <w:rsid w:val="32C2A2D5"/>
    <w:rsid w:val="32CAA96F"/>
    <w:rsid w:val="32CB3689"/>
    <w:rsid w:val="32CDB1E3"/>
    <w:rsid w:val="32CEDDFC"/>
    <w:rsid w:val="32D180E1"/>
    <w:rsid w:val="32DD5415"/>
    <w:rsid w:val="32E46773"/>
    <w:rsid w:val="32E85CF3"/>
    <w:rsid w:val="32EB69DB"/>
    <w:rsid w:val="32EC6B26"/>
    <w:rsid w:val="33096158"/>
    <w:rsid w:val="3309EAF3"/>
    <w:rsid w:val="33152386"/>
    <w:rsid w:val="33286099"/>
    <w:rsid w:val="33305B5A"/>
    <w:rsid w:val="333A3318"/>
    <w:rsid w:val="333BF3AF"/>
    <w:rsid w:val="334AD584"/>
    <w:rsid w:val="33506739"/>
    <w:rsid w:val="3351F1FD"/>
    <w:rsid w:val="335635C9"/>
    <w:rsid w:val="33570C05"/>
    <w:rsid w:val="335B591A"/>
    <w:rsid w:val="335FCA30"/>
    <w:rsid w:val="3360C3A9"/>
    <w:rsid w:val="336C3EC6"/>
    <w:rsid w:val="336CECD9"/>
    <w:rsid w:val="336D16A3"/>
    <w:rsid w:val="338A5692"/>
    <w:rsid w:val="3393E447"/>
    <w:rsid w:val="33A03A24"/>
    <w:rsid w:val="33A9888C"/>
    <w:rsid w:val="33AAAF48"/>
    <w:rsid w:val="33AB2616"/>
    <w:rsid w:val="33BD2DC7"/>
    <w:rsid w:val="33D077EF"/>
    <w:rsid w:val="33E3853A"/>
    <w:rsid w:val="33E618F7"/>
    <w:rsid w:val="33F840A3"/>
    <w:rsid w:val="33F962F9"/>
    <w:rsid w:val="33FC97D9"/>
    <w:rsid w:val="33FD4509"/>
    <w:rsid w:val="3415A713"/>
    <w:rsid w:val="3419388B"/>
    <w:rsid w:val="3423E7FC"/>
    <w:rsid w:val="343CFEC4"/>
    <w:rsid w:val="34452E0E"/>
    <w:rsid w:val="34515D84"/>
    <w:rsid w:val="34529A13"/>
    <w:rsid w:val="3456E399"/>
    <w:rsid w:val="345E164C"/>
    <w:rsid w:val="3466317F"/>
    <w:rsid w:val="34712BEB"/>
    <w:rsid w:val="347A203C"/>
    <w:rsid w:val="347CE413"/>
    <w:rsid w:val="34841204"/>
    <w:rsid w:val="34941FDD"/>
    <w:rsid w:val="34951422"/>
    <w:rsid w:val="3497F1C6"/>
    <w:rsid w:val="349D1998"/>
    <w:rsid w:val="34B7B4C5"/>
    <w:rsid w:val="34C60E1E"/>
    <w:rsid w:val="34CC6F20"/>
    <w:rsid w:val="34D17E91"/>
    <w:rsid w:val="34F20533"/>
    <w:rsid w:val="34F3EB27"/>
    <w:rsid w:val="34F50D3A"/>
    <w:rsid w:val="34F884F3"/>
    <w:rsid w:val="34FCA260"/>
    <w:rsid w:val="34FEF48B"/>
    <w:rsid w:val="350231D1"/>
    <w:rsid w:val="351125AF"/>
    <w:rsid w:val="351D76EE"/>
    <w:rsid w:val="354C06CF"/>
    <w:rsid w:val="354F1760"/>
    <w:rsid w:val="35595E2B"/>
    <w:rsid w:val="355D3095"/>
    <w:rsid w:val="356531B4"/>
    <w:rsid w:val="3567F459"/>
    <w:rsid w:val="35938441"/>
    <w:rsid w:val="35AF898E"/>
    <w:rsid w:val="35BFBCC0"/>
    <w:rsid w:val="35C32131"/>
    <w:rsid w:val="35C519AD"/>
    <w:rsid w:val="35CB83CB"/>
    <w:rsid w:val="35CED9CA"/>
    <w:rsid w:val="35CF451A"/>
    <w:rsid w:val="35D2EABD"/>
    <w:rsid w:val="35D3317C"/>
    <w:rsid w:val="35E721D3"/>
    <w:rsid w:val="35E9A386"/>
    <w:rsid w:val="35F88310"/>
    <w:rsid w:val="35F8A099"/>
    <w:rsid w:val="35F9DA6B"/>
    <w:rsid w:val="35FA3033"/>
    <w:rsid w:val="35FAA33B"/>
    <w:rsid w:val="35FEA066"/>
    <w:rsid w:val="360BF9E6"/>
    <w:rsid w:val="36126356"/>
    <w:rsid w:val="361ECBAB"/>
    <w:rsid w:val="36224B6E"/>
    <w:rsid w:val="3624C278"/>
    <w:rsid w:val="3627DC70"/>
    <w:rsid w:val="362A29BD"/>
    <w:rsid w:val="362DCCDC"/>
    <w:rsid w:val="362F5AB3"/>
    <w:rsid w:val="36366AF9"/>
    <w:rsid w:val="364E8005"/>
    <w:rsid w:val="3657E925"/>
    <w:rsid w:val="3658ED01"/>
    <w:rsid w:val="365A271B"/>
    <w:rsid w:val="3664D062"/>
    <w:rsid w:val="366861C5"/>
    <w:rsid w:val="366BD7FF"/>
    <w:rsid w:val="3676B295"/>
    <w:rsid w:val="36772101"/>
    <w:rsid w:val="367AE9A1"/>
    <w:rsid w:val="369F0B97"/>
    <w:rsid w:val="36A14E8C"/>
    <w:rsid w:val="36A1E69C"/>
    <w:rsid w:val="36A2AF84"/>
    <w:rsid w:val="36A66E1C"/>
    <w:rsid w:val="36A6C460"/>
    <w:rsid w:val="36AD8736"/>
    <w:rsid w:val="36ADE386"/>
    <w:rsid w:val="36C2EE47"/>
    <w:rsid w:val="36C83351"/>
    <w:rsid w:val="36DE9FF0"/>
    <w:rsid w:val="36E5D4D8"/>
    <w:rsid w:val="36F1152C"/>
    <w:rsid w:val="36F76F46"/>
    <w:rsid w:val="3707D65E"/>
    <w:rsid w:val="37093FC1"/>
    <w:rsid w:val="370BBD21"/>
    <w:rsid w:val="371961F8"/>
    <w:rsid w:val="3749A4EC"/>
    <w:rsid w:val="37521771"/>
    <w:rsid w:val="375F1152"/>
    <w:rsid w:val="376214A7"/>
    <w:rsid w:val="3767A354"/>
    <w:rsid w:val="37837FFB"/>
    <w:rsid w:val="378DB734"/>
    <w:rsid w:val="37921491"/>
    <w:rsid w:val="379EACC3"/>
    <w:rsid w:val="37A41C25"/>
    <w:rsid w:val="37AE188A"/>
    <w:rsid w:val="37B22493"/>
    <w:rsid w:val="37BA0B92"/>
    <w:rsid w:val="37C96FC7"/>
    <w:rsid w:val="37CD3CE4"/>
    <w:rsid w:val="37DFA1CA"/>
    <w:rsid w:val="37E0AE0B"/>
    <w:rsid w:val="37F8488F"/>
    <w:rsid w:val="37F87E4D"/>
    <w:rsid w:val="3800B9EB"/>
    <w:rsid w:val="3807B930"/>
    <w:rsid w:val="38084A07"/>
    <w:rsid w:val="3817D52B"/>
    <w:rsid w:val="382193E0"/>
    <w:rsid w:val="382B6061"/>
    <w:rsid w:val="382CBE33"/>
    <w:rsid w:val="382E228C"/>
    <w:rsid w:val="382E421F"/>
    <w:rsid w:val="383F1337"/>
    <w:rsid w:val="38401235"/>
    <w:rsid w:val="3841EFE7"/>
    <w:rsid w:val="38462EAB"/>
    <w:rsid w:val="38540633"/>
    <w:rsid w:val="386325AF"/>
    <w:rsid w:val="38639644"/>
    <w:rsid w:val="386AC9F0"/>
    <w:rsid w:val="3874120B"/>
    <w:rsid w:val="387F49F5"/>
    <w:rsid w:val="38941C9A"/>
    <w:rsid w:val="389D021A"/>
    <w:rsid w:val="38A4C569"/>
    <w:rsid w:val="38A8325C"/>
    <w:rsid w:val="38B79074"/>
    <w:rsid w:val="38BC051E"/>
    <w:rsid w:val="38BD1608"/>
    <w:rsid w:val="38C47E6C"/>
    <w:rsid w:val="38CFC794"/>
    <w:rsid w:val="38D0453A"/>
    <w:rsid w:val="38E8F748"/>
    <w:rsid w:val="38EAAB11"/>
    <w:rsid w:val="38EAE172"/>
    <w:rsid w:val="38F0017D"/>
    <w:rsid w:val="390320C6"/>
    <w:rsid w:val="390A149D"/>
    <w:rsid w:val="390D0B06"/>
    <w:rsid w:val="390D3EE8"/>
    <w:rsid w:val="390D8BE6"/>
    <w:rsid w:val="391134EC"/>
    <w:rsid w:val="391E644D"/>
    <w:rsid w:val="392222DA"/>
    <w:rsid w:val="392304E5"/>
    <w:rsid w:val="3929755B"/>
    <w:rsid w:val="392DC9DC"/>
    <w:rsid w:val="392F816B"/>
    <w:rsid w:val="3937A332"/>
    <w:rsid w:val="393E494F"/>
    <w:rsid w:val="3940B1E2"/>
    <w:rsid w:val="3957122F"/>
    <w:rsid w:val="3959BA2B"/>
    <w:rsid w:val="395C1EE5"/>
    <w:rsid w:val="39676AC2"/>
    <w:rsid w:val="39688FFD"/>
    <w:rsid w:val="396FEB5E"/>
    <w:rsid w:val="3978E5DB"/>
    <w:rsid w:val="39869256"/>
    <w:rsid w:val="399EA985"/>
    <w:rsid w:val="39C1B031"/>
    <w:rsid w:val="39D5778C"/>
    <w:rsid w:val="39E5E9C8"/>
    <w:rsid w:val="39E9C446"/>
    <w:rsid w:val="39EC2D7C"/>
    <w:rsid w:val="3A061C2F"/>
    <w:rsid w:val="3A0B8454"/>
    <w:rsid w:val="3A0F9A50"/>
    <w:rsid w:val="3A183E39"/>
    <w:rsid w:val="3A194D1C"/>
    <w:rsid w:val="3A20CFA3"/>
    <w:rsid w:val="3A21D567"/>
    <w:rsid w:val="3A22BC91"/>
    <w:rsid w:val="3A2B8661"/>
    <w:rsid w:val="3A35D1BB"/>
    <w:rsid w:val="3A3E10EC"/>
    <w:rsid w:val="3A46BA6A"/>
    <w:rsid w:val="3A4AC872"/>
    <w:rsid w:val="3A58A065"/>
    <w:rsid w:val="3A819DC6"/>
    <w:rsid w:val="3A8E5896"/>
    <w:rsid w:val="3AA00A2C"/>
    <w:rsid w:val="3AA024BC"/>
    <w:rsid w:val="3AAA5FE7"/>
    <w:rsid w:val="3AC652C1"/>
    <w:rsid w:val="3ACA4360"/>
    <w:rsid w:val="3ACDCDF2"/>
    <w:rsid w:val="3ADD0CDA"/>
    <w:rsid w:val="3AE78B2A"/>
    <w:rsid w:val="3AEE4A9F"/>
    <w:rsid w:val="3AF2FC0F"/>
    <w:rsid w:val="3AF69687"/>
    <w:rsid w:val="3AFDE7FA"/>
    <w:rsid w:val="3AFEB66B"/>
    <w:rsid w:val="3B00D58B"/>
    <w:rsid w:val="3B0445DB"/>
    <w:rsid w:val="3B05C1A7"/>
    <w:rsid w:val="3B05E4A3"/>
    <w:rsid w:val="3B0C8BFF"/>
    <w:rsid w:val="3B286ACA"/>
    <w:rsid w:val="3B297FC2"/>
    <w:rsid w:val="3B2B2112"/>
    <w:rsid w:val="3B2E89C9"/>
    <w:rsid w:val="3B354C88"/>
    <w:rsid w:val="3B39BEDD"/>
    <w:rsid w:val="3B3C9FE2"/>
    <w:rsid w:val="3B3FEC6E"/>
    <w:rsid w:val="3B47B177"/>
    <w:rsid w:val="3B48A8F2"/>
    <w:rsid w:val="3B5250CA"/>
    <w:rsid w:val="3B606181"/>
    <w:rsid w:val="3B6B02E6"/>
    <w:rsid w:val="3B6BEA8E"/>
    <w:rsid w:val="3B94EFF8"/>
    <w:rsid w:val="3B99B052"/>
    <w:rsid w:val="3B9D4B61"/>
    <w:rsid w:val="3BB47211"/>
    <w:rsid w:val="3BB5332B"/>
    <w:rsid w:val="3BB8C3FC"/>
    <w:rsid w:val="3BBBE967"/>
    <w:rsid w:val="3BC68CCD"/>
    <w:rsid w:val="3BCD9F0F"/>
    <w:rsid w:val="3BE884A3"/>
    <w:rsid w:val="3BEB360B"/>
    <w:rsid w:val="3C035AED"/>
    <w:rsid w:val="3C06E39C"/>
    <w:rsid w:val="3C0A5A5A"/>
    <w:rsid w:val="3C0F1750"/>
    <w:rsid w:val="3C13F52C"/>
    <w:rsid w:val="3C1494AD"/>
    <w:rsid w:val="3C21755B"/>
    <w:rsid w:val="3C42C9FC"/>
    <w:rsid w:val="3C43383F"/>
    <w:rsid w:val="3C505FE3"/>
    <w:rsid w:val="3C569623"/>
    <w:rsid w:val="3C578D93"/>
    <w:rsid w:val="3C5D22EF"/>
    <w:rsid w:val="3C627402"/>
    <w:rsid w:val="3C628BD7"/>
    <w:rsid w:val="3C661E10"/>
    <w:rsid w:val="3C7169E2"/>
    <w:rsid w:val="3C86859F"/>
    <w:rsid w:val="3C92DEE1"/>
    <w:rsid w:val="3C93400D"/>
    <w:rsid w:val="3C954768"/>
    <w:rsid w:val="3CA1D67E"/>
    <w:rsid w:val="3CA4D8DE"/>
    <w:rsid w:val="3CA4F615"/>
    <w:rsid w:val="3CA8AD42"/>
    <w:rsid w:val="3CB8CAEF"/>
    <w:rsid w:val="3CB99F82"/>
    <w:rsid w:val="3CBBAFC7"/>
    <w:rsid w:val="3CC3B129"/>
    <w:rsid w:val="3CC3B4B4"/>
    <w:rsid w:val="3CC4A1BC"/>
    <w:rsid w:val="3CC4ADF4"/>
    <w:rsid w:val="3CCD61C0"/>
    <w:rsid w:val="3CD2F2D7"/>
    <w:rsid w:val="3CD4EA0A"/>
    <w:rsid w:val="3CE2EB46"/>
    <w:rsid w:val="3CF54C46"/>
    <w:rsid w:val="3CF6FC5A"/>
    <w:rsid w:val="3CFCF543"/>
    <w:rsid w:val="3D049108"/>
    <w:rsid w:val="3D07140E"/>
    <w:rsid w:val="3D0E497D"/>
    <w:rsid w:val="3D2133C9"/>
    <w:rsid w:val="3D21EB24"/>
    <w:rsid w:val="3D2425DB"/>
    <w:rsid w:val="3D41E21A"/>
    <w:rsid w:val="3D4C2282"/>
    <w:rsid w:val="3D53F1CE"/>
    <w:rsid w:val="3D5E05AA"/>
    <w:rsid w:val="3D5F26F5"/>
    <w:rsid w:val="3D62EE95"/>
    <w:rsid w:val="3D6E56F9"/>
    <w:rsid w:val="3D7649F8"/>
    <w:rsid w:val="3D7B66B2"/>
    <w:rsid w:val="3D83086D"/>
    <w:rsid w:val="3D9E3787"/>
    <w:rsid w:val="3DA5EB88"/>
    <w:rsid w:val="3DB78FD6"/>
    <w:rsid w:val="3DBAC814"/>
    <w:rsid w:val="3DC15895"/>
    <w:rsid w:val="3DD07EAC"/>
    <w:rsid w:val="3DD6177B"/>
    <w:rsid w:val="3DDE4D0C"/>
    <w:rsid w:val="3DE419F3"/>
    <w:rsid w:val="3DED8641"/>
    <w:rsid w:val="3DEDCF1A"/>
    <w:rsid w:val="3DF167E5"/>
    <w:rsid w:val="3DF389CD"/>
    <w:rsid w:val="3DF61168"/>
    <w:rsid w:val="3DF7F102"/>
    <w:rsid w:val="3DFABED3"/>
    <w:rsid w:val="3E038BFD"/>
    <w:rsid w:val="3E0C28F6"/>
    <w:rsid w:val="3E13C8CB"/>
    <w:rsid w:val="3E1488E0"/>
    <w:rsid w:val="3E1903DC"/>
    <w:rsid w:val="3E1BC229"/>
    <w:rsid w:val="3E1C7F1F"/>
    <w:rsid w:val="3E1F9432"/>
    <w:rsid w:val="3E318F78"/>
    <w:rsid w:val="3E349AE6"/>
    <w:rsid w:val="3E37EC11"/>
    <w:rsid w:val="3E3B53BF"/>
    <w:rsid w:val="3E400DEF"/>
    <w:rsid w:val="3E416C61"/>
    <w:rsid w:val="3E49CB0F"/>
    <w:rsid w:val="3E7066F9"/>
    <w:rsid w:val="3E70F7BD"/>
    <w:rsid w:val="3E76EA20"/>
    <w:rsid w:val="3E8B455A"/>
    <w:rsid w:val="3E93033A"/>
    <w:rsid w:val="3EAD2B5E"/>
    <w:rsid w:val="3EB357EF"/>
    <w:rsid w:val="3EB488D4"/>
    <w:rsid w:val="3EBA96AA"/>
    <w:rsid w:val="3EBD0141"/>
    <w:rsid w:val="3EC805C2"/>
    <w:rsid w:val="3ED7C33C"/>
    <w:rsid w:val="3EDC49B4"/>
    <w:rsid w:val="3EDCF5A6"/>
    <w:rsid w:val="3EE16C64"/>
    <w:rsid w:val="3EE737E8"/>
    <w:rsid w:val="3EEAE3B2"/>
    <w:rsid w:val="3EF347B8"/>
    <w:rsid w:val="3EF77FB7"/>
    <w:rsid w:val="3EF96526"/>
    <w:rsid w:val="3EFDDA1F"/>
    <w:rsid w:val="3F03661C"/>
    <w:rsid w:val="3F09A0F2"/>
    <w:rsid w:val="3F0AC5E5"/>
    <w:rsid w:val="3F0AF5E4"/>
    <w:rsid w:val="3F159BD6"/>
    <w:rsid w:val="3F16FBAC"/>
    <w:rsid w:val="3F27E6D1"/>
    <w:rsid w:val="3F34CE7B"/>
    <w:rsid w:val="3F38EAC6"/>
    <w:rsid w:val="3F4BDB81"/>
    <w:rsid w:val="3F55811A"/>
    <w:rsid w:val="3F563DF2"/>
    <w:rsid w:val="3F663365"/>
    <w:rsid w:val="3F673212"/>
    <w:rsid w:val="3F6B7241"/>
    <w:rsid w:val="3F7741DE"/>
    <w:rsid w:val="3F78FCF4"/>
    <w:rsid w:val="3F7D7036"/>
    <w:rsid w:val="3F83C9DA"/>
    <w:rsid w:val="3F9F2391"/>
    <w:rsid w:val="3FA8F2B0"/>
    <w:rsid w:val="3FA90371"/>
    <w:rsid w:val="3FABE762"/>
    <w:rsid w:val="3FB00B4E"/>
    <w:rsid w:val="3FB21FCF"/>
    <w:rsid w:val="3FBF90CA"/>
    <w:rsid w:val="3FC9EF42"/>
    <w:rsid w:val="3FE95BFB"/>
    <w:rsid w:val="3FFABFEC"/>
    <w:rsid w:val="3FFAEC13"/>
    <w:rsid w:val="400131D9"/>
    <w:rsid w:val="40094108"/>
    <w:rsid w:val="40129878"/>
    <w:rsid w:val="4036F59F"/>
    <w:rsid w:val="4039253F"/>
    <w:rsid w:val="4044EA75"/>
    <w:rsid w:val="4050C244"/>
    <w:rsid w:val="405D5954"/>
    <w:rsid w:val="4062D6D9"/>
    <w:rsid w:val="40656EC6"/>
    <w:rsid w:val="40691014"/>
    <w:rsid w:val="40696C19"/>
    <w:rsid w:val="4070C71A"/>
    <w:rsid w:val="40792698"/>
    <w:rsid w:val="407F17B7"/>
    <w:rsid w:val="408D1D93"/>
    <w:rsid w:val="4090AB57"/>
    <w:rsid w:val="40A695BF"/>
    <w:rsid w:val="40A8FDE1"/>
    <w:rsid w:val="40C9042A"/>
    <w:rsid w:val="40D05204"/>
    <w:rsid w:val="40DBB8B3"/>
    <w:rsid w:val="40DED079"/>
    <w:rsid w:val="40E7EB26"/>
    <w:rsid w:val="40F167B6"/>
    <w:rsid w:val="40F3E2A6"/>
    <w:rsid w:val="40F9DB1A"/>
    <w:rsid w:val="40FB0E02"/>
    <w:rsid w:val="40FFF9F5"/>
    <w:rsid w:val="41003AA1"/>
    <w:rsid w:val="41081DBA"/>
    <w:rsid w:val="410F24A3"/>
    <w:rsid w:val="4119429E"/>
    <w:rsid w:val="412054AD"/>
    <w:rsid w:val="41206528"/>
    <w:rsid w:val="41224C32"/>
    <w:rsid w:val="4124E5EC"/>
    <w:rsid w:val="412832AA"/>
    <w:rsid w:val="41294980"/>
    <w:rsid w:val="412C154B"/>
    <w:rsid w:val="412DD5FA"/>
    <w:rsid w:val="41329256"/>
    <w:rsid w:val="41518A60"/>
    <w:rsid w:val="415948AE"/>
    <w:rsid w:val="415D8C1E"/>
    <w:rsid w:val="41617776"/>
    <w:rsid w:val="4165BE1D"/>
    <w:rsid w:val="417A3640"/>
    <w:rsid w:val="417CF59A"/>
    <w:rsid w:val="4187EE95"/>
    <w:rsid w:val="41930CD0"/>
    <w:rsid w:val="419513E7"/>
    <w:rsid w:val="41986335"/>
    <w:rsid w:val="419D3CDC"/>
    <w:rsid w:val="41A6AD14"/>
    <w:rsid w:val="41A78F6B"/>
    <w:rsid w:val="41B5AB6B"/>
    <w:rsid w:val="41B85023"/>
    <w:rsid w:val="41C4C5FC"/>
    <w:rsid w:val="41C59D91"/>
    <w:rsid w:val="41C6BA77"/>
    <w:rsid w:val="41CFD667"/>
    <w:rsid w:val="41D388D7"/>
    <w:rsid w:val="41D4BF32"/>
    <w:rsid w:val="41D745DB"/>
    <w:rsid w:val="41D9DA03"/>
    <w:rsid w:val="41E3314E"/>
    <w:rsid w:val="41E86188"/>
    <w:rsid w:val="41F2A6ED"/>
    <w:rsid w:val="41F76ABC"/>
    <w:rsid w:val="41F9BF5C"/>
    <w:rsid w:val="41FB4305"/>
    <w:rsid w:val="42039198"/>
    <w:rsid w:val="42086928"/>
    <w:rsid w:val="4233413B"/>
    <w:rsid w:val="423BD98A"/>
    <w:rsid w:val="4248AD29"/>
    <w:rsid w:val="424D955B"/>
    <w:rsid w:val="424F7BF1"/>
    <w:rsid w:val="4250B8B9"/>
    <w:rsid w:val="425C2DA4"/>
    <w:rsid w:val="425C787A"/>
    <w:rsid w:val="426DED2F"/>
    <w:rsid w:val="426DF076"/>
    <w:rsid w:val="4271DF81"/>
    <w:rsid w:val="4272A39C"/>
    <w:rsid w:val="4275BC83"/>
    <w:rsid w:val="42837DAD"/>
    <w:rsid w:val="4285703C"/>
    <w:rsid w:val="428CDD7B"/>
    <w:rsid w:val="428EF115"/>
    <w:rsid w:val="42916FD4"/>
    <w:rsid w:val="429C9A34"/>
    <w:rsid w:val="429D4CCA"/>
    <w:rsid w:val="42ABC80F"/>
    <w:rsid w:val="42AEDBF2"/>
    <w:rsid w:val="42B276D2"/>
    <w:rsid w:val="42C05638"/>
    <w:rsid w:val="42C098BB"/>
    <w:rsid w:val="42C670B7"/>
    <w:rsid w:val="42EBC259"/>
    <w:rsid w:val="42EBFA66"/>
    <w:rsid w:val="42F0E649"/>
    <w:rsid w:val="42F826C2"/>
    <w:rsid w:val="42F8ABEB"/>
    <w:rsid w:val="42FE7B7C"/>
    <w:rsid w:val="43090DF9"/>
    <w:rsid w:val="43091202"/>
    <w:rsid w:val="4321BECD"/>
    <w:rsid w:val="432244D9"/>
    <w:rsid w:val="43292C32"/>
    <w:rsid w:val="432BF17D"/>
    <w:rsid w:val="433473A5"/>
    <w:rsid w:val="43453A3E"/>
    <w:rsid w:val="434C7EC4"/>
    <w:rsid w:val="43585EBF"/>
    <w:rsid w:val="43625451"/>
    <w:rsid w:val="43664A64"/>
    <w:rsid w:val="4369B8E6"/>
    <w:rsid w:val="43728963"/>
    <w:rsid w:val="437FC5F8"/>
    <w:rsid w:val="4381D783"/>
    <w:rsid w:val="4384C89B"/>
    <w:rsid w:val="439374CD"/>
    <w:rsid w:val="43A3C9BC"/>
    <w:rsid w:val="43A53980"/>
    <w:rsid w:val="43A55044"/>
    <w:rsid w:val="43A5CF86"/>
    <w:rsid w:val="43CA1048"/>
    <w:rsid w:val="43DC053B"/>
    <w:rsid w:val="43EB3BD6"/>
    <w:rsid w:val="43F0A255"/>
    <w:rsid w:val="43F220DA"/>
    <w:rsid w:val="43F50311"/>
    <w:rsid w:val="43F5AE01"/>
    <w:rsid w:val="44016769"/>
    <w:rsid w:val="44038104"/>
    <w:rsid w:val="44050016"/>
    <w:rsid w:val="440CF19A"/>
    <w:rsid w:val="44180EB7"/>
    <w:rsid w:val="44186E00"/>
    <w:rsid w:val="4418AE6E"/>
    <w:rsid w:val="441A484B"/>
    <w:rsid w:val="441CFB88"/>
    <w:rsid w:val="44316B9A"/>
    <w:rsid w:val="443437F0"/>
    <w:rsid w:val="443689D3"/>
    <w:rsid w:val="443DF8B0"/>
    <w:rsid w:val="44449E64"/>
    <w:rsid w:val="4459F639"/>
    <w:rsid w:val="446D925A"/>
    <w:rsid w:val="4482DAA8"/>
    <w:rsid w:val="449D686F"/>
    <w:rsid w:val="44A463D6"/>
    <w:rsid w:val="44A80F4E"/>
    <w:rsid w:val="44B63D97"/>
    <w:rsid w:val="44BEE046"/>
    <w:rsid w:val="44C7E714"/>
    <w:rsid w:val="44CCD2A1"/>
    <w:rsid w:val="44D17AC2"/>
    <w:rsid w:val="44DA86A4"/>
    <w:rsid w:val="44DED253"/>
    <w:rsid w:val="44E7CA24"/>
    <w:rsid w:val="44F6D3FD"/>
    <w:rsid w:val="44FC6991"/>
    <w:rsid w:val="4511D5C4"/>
    <w:rsid w:val="4512EBC8"/>
    <w:rsid w:val="45174CFD"/>
    <w:rsid w:val="451F177E"/>
    <w:rsid w:val="452617D8"/>
    <w:rsid w:val="452AEFC0"/>
    <w:rsid w:val="45369D97"/>
    <w:rsid w:val="45414A91"/>
    <w:rsid w:val="4546A0EA"/>
    <w:rsid w:val="4546FE98"/>
    <w:rsid w:val="454A4D07"/>
    <w:rsid w:val="454D85C3"/>
    <w:rsid w:val="454D8FA6"/>
    <w:rsid w:val="45536C4A"/>
    <w:rsid w:val="4556C93F"/>
    <w:rsid w:val="456B8C62"/>
    <w:rsid w:val="4595B0E8"/>
    <w:rsid w:val="45A39489"/>
    <w:rsid w:val="45B87D83"/>
    <w:rsid w:val="45BC472E"/>
    <w:rsid w:val="45BC9ED9"/>
    <w:rsid w:val="45BECF93"/>
    <w:rsid w:val="45BFC0F1"/>
    <w:rsid w:val="45C58194"/>
    <w:rsid w:val="45C84F91"/>
    <w:rsid w:val="45CDB57C"/>
    <w:rsid w:val="45DB2C88"/>
    <w:rsid w:val="45DB365E"/>
    <w:rsid w:val="45DED5F2"/>
    <w:rsid w:val="45E6FF33"/>
    <w:rsid w:val="45ED8C44"/>
    <w:rsid w:val="45F2C6A6"/>
    <w:rsid w:val="45F3ABD0"/>
    <w:rsid w:val="45FE9A50"/>
    <w:rsid w:val="45FFDEC7"/>
    <w:rsid w:val="460DA2C8"/>
    <w:rsid w:val="46199E00"/>
    <w:rsid w:val="462DA752"/>
    <w:rsid w:val="4630D2CB"/>
    <w:rsid w:val="46330818"/>
    <w:rsid w:val="463316AD"/>
    <w:rsid w:val="463C86A3"/>
    <w:rsid w:val="464AD056"/>
    <w:rsid w:val="46558105"/>
    <w:rsid w:val="46585EBA"/>
    <w:rsid w:val="465F9F99"/>
    <w:rsid w:val="46698C79"/>
    <w:rsid w:val="46776065"/>
    <w:rsid w:val="467A3DC8"/>
    <w:rsid w:val="467C3CD5"/>
    <w:rsid w:val="467DD24F"/>
    <w:rsid w:val="4687A0C8"/>
    <w:rsid w:val="468AD241"/>
    <w:rsid w:val="468D363D"/>
    <w:rsid w:val="469C2215"/>
    <w:rsid w:val="46A118BF"/>
    <w:rsid w:val="46A5A8E8"/>
    <w:rsid w:val="46A7EAA2"/>
    <w:rsid w:val="46B266BB"/>
    <w:rsid w:val="46B44FC1"/>
    <w:rsid w:val="46C00492"/>
    <w:rsid w:val="46CC7CFD"/>
    <w:rsid w:val="46CEAD8D"/>
    <w:rsid w:val="46D956F0"/>
    <w:rsid w:val="46DE21D9"/>
    <w:rsid w:val="4708F67D"/>
    <w:rsid w:val="4716E6BF"/>
    <w:rsid w:val="472632A6"/>
    <w:rsid w:val="472E5E79"/>
    <w:rsid w:val="472F33C6"/>
    <w:rsid w:val="474AC77F"/>
    <w:rsid w:val="4769C8BE"/>
    <w:rsid w:val="477BC5C5"/>
    <w:rsid w:val="477D8718"/>
    <w:rsid w:val="4780A187"/>
    <w:rsid w:val="4781F95F"/>
    <w:rsid w:val="47853F67"/>
    <w:rsid w:val="4785E878"/>
    <w:rsid w:val="478F539C"/>
    <w:rsid w:val="479683CF"/>
    <w:rsid w:val="479C5089"/>
    <w:rsid w:val="479C8846"/>
    <w:rsid w:val="47A48F2B"/>
    <w:rsid w:val="47AA4CED"/>
    <w:rsid w:val="47B0FC9C"/>
    <w:rsid w:val="47B32D5F"/>
    <w:rsid w:val="47B46861"/>
    <w:rsid w:val="47B5FE36"/>
    <w:rsid w:val="47BE1C23"/>
    <w:rsid w:val="47C64101"/>
    <w:rsid w:val="47C721E2"/>
    <w:rsid w:val="47CB27E4"/>
    <w:rsid w:val="47DDA76F"/>
    <w:rsid w:val="47EC03C5"/>
    <w:rsid w:val="47F1218A"/>
    <w:rsid w:val="47F29B22"/>
    <w:rsid w:val="4807E4C0"/>
    <w:rsid w:val="48211761"/>
    <w:rsid w:val="48233442"/>
    <w:rsid w:val="4825B783"/>
    <w:rsid w:val="4827267C"/>
    <w:rsid w:val="482AC759"/>
    <w:rsid w:val="48323FFD"/>
    <w:rsid w:val="4839DE31"/>
    <w:rsid w:val="4841E7EB"/>
    <w:rsid w:val="484261E8"/>
    <w:rsid w:val="484A46C7"/>
    <w:rsid w:val="484B7EB9"/>
    <w:rsid w:val="48551AD3"/>
    <w:rsid w:val="485C2AA3"/>
    <w:rsid w:val="48603DF1"/>
    <w:rsid w:val="486B3ABD"/>
    <w:rsid w:val="487E5F25"/>
    <w:rsid w:val="4885AA74"/>
    <w:rsid w:val="4887D99A"/>
    <w:rsid w:val="488F3060"/>
    <w:rsid w:val="48924BC6"/>
    <w:rsid w:val="48A8D380"/>
    <w:rsid w:val="48AC6C65"/>
    <w:rsid w:val="48AFA118"/>
    <w:rsid w:val="48B980E3"/>
    <w:rsid w:val="48BAA940"/>
    <w:rsid w:val="48BE6C66"/>
    <w:rsid w:val="48D20D25"/>
    <w:rsid w:val="48DCE9D1"/>
    <w:rsid w:val="48E68829"/>
    <w:rsid w:val="48EF9771"/>
    <w:rsid w:val="48FA1BFF"/>
    <w:rsid w:val="48FE02FA"/>
    <w:rsid w:val="48FE92A3"/>
    <w:rsid w:val="48FF987D"/>
    <w:rsid w:val="4900816E"/>
    <w:rsid w:val="490894E8"/>
    <w:rsid w:val="4909A88F"/>
    <w:rsid w:val="490C26DF"/>
    <w:rsid w:val="49177D0B"/>
    <w:rsid w:val="492006A7"/>
    <w:rsid w:val="49304695"/>
    <w:rsid w:val="4937F322"/>
    <w:rsid w:val="4938C77D"/>
    <w:rsid w:val="495203F0"/>
    <w:rsid w:val="4954C8B7"/>
    <w:rsid w:val="495E72A9"/>
    <w:rsid w:val="496AC337"/>
    <w:rsid w:val="496AEA90"/>
    <w:rsid w:val="496E9CBF"/>
    <w:rsid w:val="49750124"/>
    <w:rsid w:val="497FB2CA"/>
    <w:rsid w:val="497FEA74"/>
    <w:rsid w:val="49803226"/>
    <w:rsid w:val="4981E612"/>
    <w:rsid w:val="498756A2"/>
    <w:rsid w:val="498D8CB6"/>
    <w:rsid w:val="498E1B57"/>
    <w:rsid w:val="49909694"/>
    <w:rsid w:val="49943216"/>
    <w:rsid w:val="4996FCEF"/>
    <w:rsid w:val="49993372"/>
    <w:rsid w:val="49A528B0"/>
    <w:rsid w:val="49AB2DE3"/>
    <w:rsid w:val="49AF32CA"/>
    <w:rsid w:val="49B5F9AE"/>
    <w:rsid w:val="49C03D79"/>
    <w:rsid w:val="49CA7BAE"/>
    <w:rsid w:val="49E36779"/>
    <w:rsid w:val="49E382E5"/>
    <w:rsid w:val="49E547C7"/>
    <w:rsid w:val="49F52E9A"/>
    <w:rsid w:val="49F82664"/>
    <w:rsid w:val="4A04C361"/>
    <w:rsid w:val="4A0EEB23"/>
    <w:rsid w:val="4A13D83B"/>
    <w:rsid w:val="4A1990CE"/>
    <w:rsid w:val="4A22F1DA"/>
    <w:rsid w:val="4A24095B"/>
    <w:rsid w:val="4A2FF49C"/>
    <w:rsid w:val="4A370364"/>
    <w:rsid w:val="4A456197"/>
    <w:rsid w:val="4A4BEEF9"/>
    <w:rsid w:val="4A4CD7F2"/>
    <w:rsid w:val="4A4D1BCF"/>
    <w:rsid w:val="4A65EB3A"/>
    <w:rsid w:val="4A7043F3"/>
    <w:rsid w:val="4A88F236"/>
    <w:rsid w:val="4A89634F"/>
    <w:rsid w:val="4A8A8536"/>
    <w:rsid w:val="4A8ECD14"/>
    <w:rsid w:val="4A946876"/>
    <w:rsid w:val="4A9918FF"/>
    <w:rsid w:val="4A9E9B28"/>
    <w:rsid w:val="4AA08731"/>
    <w:rsid w:val="4AA0F3B0"/>
    <w:rsid w:val="4AA2CC30"/>
    <w:rsid w:val="4AB946CE"/>
    <w:rsid w:val="4AC2BE92"/>
    <w:rsid w:val="4AE6BAF0"/>
    <w:rsid w:val="4B03584F"/>
    <w:rsid w:val="4B06C14C"/>
    <w:rsid w:val="4B0D0C5B"/>
    <w:rsid w:val="4B0E1DC7"/>
    <w:rsid w:val="4B0F9A96"/>
    <w:rsid w:val="4B170A8D"/>
    <w:rsid w:val="4B2C9C39"/>
    <w:rsid w:val="4B2F1CBC"/>
    <w:rsid w:val="4B30F3B3"/>
    <w:rsid w:val="4B343779"/>
    <w:rsid w:val="4B349F03"/>
    <w:rsid w:val="4B37B956"/>
    <w:rsid w:val="4B399D67"/>
    <w:rsid w:val="4B41768A"/>
    <w:rsid w:val="4B422AF8"/>
    <w:rsid w:val="4B4C13BA"/>
    <w:rsid w:val="4B4FA480"/>
    <w:rsid w:val="4B6877C5"/>
    <w:rsid w:val="4B778D4F"/>
    <w:rsid w:val="4B7CEA77"/>
    <w:rsid w:val="4BA80204"/>
    <w:rsid w:val="4BAE760B"/>
    <w:rsid w:val="4BC09DA7"/>
    <w:rsid w:val="4BCBCADE"/>
    <w:rsid w:val="4BD16E71"/>
    <w:rsid w:val="4BDDAADC"/>
    <w:rsid w:val="4BDF6EBD"/>
    <w:rsid w:val="4BE07933"/>
    <w:rsid w:val="4BE18A47"/>
    <w:rsid w:val="4BF08B9B"/>
    <w:rsid w:val="4BF4C7AF"/>
    <w:rsid w:val="4BFB9DD8"/>
    <w:rsid w:val="4C023D4F"/>
    <w:rsid w:val="4C0E76AD"/>
    <w:rsid w:val="4C16E5DF"/>
    <w:rsid w:val="4C2248F6"/>
    <w:rsid w:val="4C2DB87D"/>
    <w:rsid w:val="4C389C42"/>
    <w:rsid w:val="4C38DA18"/>
    <w:rsid w:val="4C3B43E1"/>
    <w:rsid w:val="4C3FD18D"/>
    <w:rsid w:val="4C52B713"/>
    <w:rsid w:val="4C652D2B"/>
    <w:rsid w:val="4C6B38BE"/>
    <w:rsid w:val="4C732DAB"/>
    <w:rsid w:val="4C739AE4"/>
    <w:rsid w:val="4C7817F7"/>
    <w:rsid w:val="4C7CE3DA"/>
    <w:rsid w:val="4C7DD815"/>
    <w:rsid w:val="4C81771A"/>
    <w:rsid w:val="4C8BB68A"/>
    <w:rsid w:val="4C8EC9DA"/>
    <w:rsid w:val="4C946E99"/>
    <w:rsid w:val="4C9BB24A"/>
    <w:rsid w:val="4C9CD3E6"/>
    <w:rsid w:val="4CAA1530"/>
    <w:rsid w:val="4CD345C3"/>
    <w:rsid w:val="4CD5E4AC"/>
    <w:rsid w:val="4CDACABE"/>
    <w:rsid w:val="4CDDB02E"/>
    <w:rsid w:val="4CE883AA"/>
    <w:rsid w:val="4CF8D9F9"/>
    <w:rsid w:val="4CFB27FA"/>
    <w:rsid w:val="4CFF3352"/>
    <w:rsid w:val="4D0702FC"/>
    <w:rsid w:val="4D0833FE"/>
    <w:rsid w:val="4D19F07C"/>
    <w:rsid w:val="4D2F82BE"/>
    <w:rsid w:val="4D3B8BD2"/>
    <w:rsid w:val="4D421104"/>
    <w:rsid w:val="4D56AA80"/>
    <w:rsid w:val="4D5A91FE"/>
    <w:rsid w:val="4D5B4535"/>
    <w:rsid w:val="4D6162CC"/>
    <w:rsid w:val="4D6F39AF"/>
    <w:rsid w:val="4D825F8D"/>
    <w:rsid w:val="4D89B7BB"/>
    <w:rsid w:val="4D8D7213"/>
    <w:rsid w:val="4D8E2558"/>
    <w:rsid w:val="4D9B352C"/>
    <w:rsid w:val="4DA332D4"/>
    <w:rsid w:val="4DB20379"/>
    <w:rsid w:val="4DBD56E8"/>
    <w:rsid w:val="4DBEE9E3"/>
    <w:rsid w:val="4DCFBA36"/>
    <w:rsid w:val="4DD4A141"/>
    <w:rsid w:val="4DDBBC62"/>
    <w:rsid w:val="4DDECA13"/>
    <w:rsid w:val="4DDEFD2B"/>
    <w:rsid w:val="4DDF54E5"/>
    <w:rsid w:val="4DE89AD4"/>
    <w:rsid w:val="4DEF2082"/>
    <w:rsid w:val="4DF1FEFF"/>
    <w:rsid w:val="4DF54373"/>
    <w:rsid w:val="4DF5B214"/>
    <w:rsid w:val="4DF7FA77"/>
    <w:rsid w:val="4DFCABB1"/>
    <w:rsid w:val="4DFD9AF5"/>
    <w:rsid w:val="4E135D48"/>
    <w:rsid w:val="4E1DA596"/>
    <w:rsid w:val="4E358AAC"/>
    <w:rsid w:val="4E41E2CD"/>
    <w:rsid w:val="4E463FF5"/>
    <w:rsid w:val="4E497790"/>
    <w:rsid w:val="4E573EBB"/>
    <w:rsid w:val="4E6368C3"/>
    <w:rsid w:val="4E63BE59"/>
    <w:rsid w:val="4E68B950"/>
    <w:rsid w:val="4E74F303"/>
    <w:rsid w:val="4E7C1E46"/>
    <w:rsid w:val="4E7D2E8F"/>
    <w:rsid w:val="4E9F0837"/>
    <w:rsid w:val="4EA95DD0"/>
    <w:rsid w:val="4EB2C2B6"/>
    <w:rsid w:val="4EB88F96"/>
    <w:rsid w:val="4EC2B0A6"/>
    <w:rsid w:val="4EC44611"/>
    <w:rsid w:val="4EC82748"/>
    <w:rsid w:val="4ED03B3D"/>
    <w:rsid w:val="4ED14E8D"/>
    <w:rsid w:val="4ED4A905"/>
    <w:rsid w:val="4ED4DF70"/>
    <w:rsid w:val="4ED68193"/>
    <w:rsid w:val="4ED6A40C"/>
    <w:rsid w:val="4EDA3F5D"/>
    <w:rsid w:val="4EEC3E63"/>
    <w:rsid w:val="4EEE2106"/>
    <w:rsid w:val="4EF348F2"/>
    <w:rsid w:val="4F0FE5AC"/>
    <w:rsid w:val="4F2422F6"/>
    <w:rsid w:val="4F26A1C7"/>
    <w:rsid w:val="4F333493"/>
    <w:rsid w:val="4F3CCE78"/>
    <w:rsid w:val="4F4A3020"/>
    <w:rsid w:val="4F52E3BF"/>
    <w:rsid w:val="4F5DB8D8"/>
    <w:rsid w:val="4F640D86"/>
    <w:rsid w:val="4F643B65"/>
    <w:rsid w:val="4F67ACAF"/>
    <w:rsid w:val="4F79AEEB"/>
    <w:rsid w:val="4F7B00DD"/>
    <w:rsid w:val="4F8035DD"/>
    <w:rsid w:val="4F8818DA"/>
    <w:rsid w:val="4F890430"/>
    <w:rsid w:val="4F895A4F"/>
    <w:rsid w:val="4F8985DB"/>
    <w:rsid w:val="4F9EFB5A"/>
    <w:rsid w:val="4FC1DFE2"/>
    <w:rsid w:val="4FD0B03E"/>
    <w:rsid w:val="4FD57D1F"/>
    <w:rsid w:val="4FD788C0"/>
    <w:rsid w:val="4FD943B8"/>
    <w:rsid w:val="4FE75482"/>
    <w:rsid w:val="4FE98D8D"/>
    <w:rsid w:val="4FEAE311"/>
    <w:rsid w:val="4FF3D58D"/>
    <w:rsid w:val="4FFABBE1"/>
    <w:rsid w:val="4FFDE581"/>
    <w:rsid w:val="500042AF"/>
    <w:rsid w:val="500D2EC7"/>
    <w:rsid w:val="5012968D"/>
    <w:rsid w:val="501700E2"/>
    <w:rsid w:val="5019C9A1"/>
    <w:rsid w:val="501AF05D"/>
    <w:rsid w:val="502D82BB"/>
    <w:rsid w:val="502FC38D"/>
    <w:rsid w:val="5036EC9F"/>
    <w:rsid w:val="503A2B75"/>
    <w:rsid w:val="503CF0C1"/>
    <w:rsid w:val="5040333C"/>
    <w:rsid w:val="5041AF91"/>
    <w:rsid w:val="5045DC90"/>
    <w:rsid w:val="505481D9"/>
    <w:rsid w:val="505D7D61"/>
    <w:rsid w:val="50633471"/>
    <w:rsid w:val="50654BAB"/>
    <w:rsid w:val="5069BCBF"/>
    <w:rsid w:val="506C79A3"/>
    <w:rsid w:val="5071F924"/>
    <w:rsid w:val="5077650C"/>
    <w:rsid w:val="507CCF19"/>
    <w:rsid w:val="507DD2AE"/>
    <w:rsid w:val="5084B986"/>
    <w:rsid w:val="50A5B2FB"/>
    <w:rsid w:val="50A62E32"/>
    <w:rsid w:val="50A89A0E"/>
    <w:rsid w:val="50AE9A88"/>
    <w:rsid w:val="50AF0344"/>
    <w:rsid w:val="50C3849B"/>
    <w:rsid w:val="50C5F341"/>
    <w:rsid w:val="50CA1325"/>
    <w:rsid w:val="50DC440E"/>
    <w:rsid w:val="50DE281C"/>
    <w:rsid w:val="50E88E3F"/>
    <w:rsid w:val="50E9C4AD"/>
    <w:rsid w:val="50EA4F74"/>
    <w:rsid w:val="50F5939D"/>
    <w:rsid w:val="5101598F"/>
    <w:rsid w:val="51097693"/>
    <w:rsid w:val="510C8461"/>
    <w:rsid w:val="5114BF5B"/>
    <w:rsid w:val="511D16DD"/>
    <w:rsid w:val="511F2A48"/>
    <w:rsid w:val="5121F8E9"/>
    <w:rsid w:val="51236B49"/>
    <w:rsid w:val="5127F814"/>
    <w:rsid w:val="512E0DD0"/>
    <w:rsid w:val="513385F4"/>
    <w:rsid w:val="513AFA1C"/>
    <w:rsid w:val="513C1485"/>
    <w:rsid w:val="51406133"/>
    <w:rsid w:val="514BD4BC"/>
    <w:rsid w:val="515F3D97"/>
    <w:rsid w:val="51870929"/>
    <w:rsid w:val="51A02043"/>
    <w:rsid w:val="51A0BB6F"/>
    <w:rsid w:val="51B24E87"/>
    <w:rsid w:val="51B48592"/>
    <w:rsid w:val="51BB89C2"/>
    <w:rsid w:val="51C164AE"/>
    <w:rsid w:val="51C2A457"/>
    <w:rsid w:val="51D28A30"/>
    <w:rsid w:val="51E96EFA"/>
    <w:rsid w:val="51EFDFE6"/>
    <w:rsid w:val="51F9377B"/>
    <w:rsid w:val="51FC8284"/>
    <w:rsid w:val="520E78CC"/>
    <w:rsid w:val="521BD458"/>
    <w:rsid w:val="5220C2E4"/>
    <w:rsid w:val="5223E17A"/>
    <w:rsid w:val="523BEC3E"/>
    <w:rsid w:val="525F9252"/>
    <w:rsid w:val="5263220A"/>
    <w:rsid w:val="5267A011"/>
    <w:rsid w:val="5285A6E6"/>
    <w:rsid w:val="528C9E87"/>
    <w:rsid w:val="52903BE9"/>
    <w:rsid w:val="5294CC1E"/>
    <w:rsid w:val="5295243B"/>
    <w:rsid w:val="52A4446F"/>
    <w:rsid w:val="52A8F456"/>
    <w:rsid w:val="52AA8064"/>
    <w:rsid w:val="52B06715"/>
    <w:rsid w:val="52BD79E2"/>
    <w:rsid w:val="52CBAA50"/>
    <w:rsid w:val="52CBD5AE"/>
    <w:rsid w:val="52DA1BF6"/>
    <w:rsid w:val="52E46E42"/>
    <w:rsid w:val="52EFAF04"/>
    <w:rsid w:val="52F31EC3"/>
    <w:rsid w:val="52F8381A"/>
    <w:rsid w:val="52FE63CD"/>
    <w:rsid w:val="531AB567"/>
    <w:rsid w:val="5321C478"/>
    <w:rsid w:val="5322805A"/>
    <w:rsid w:val="53241B74"/>
    <w:rsid w:val="533041AB"/>
    <w:rsid w:val="533A2662"/>
    <w:rsid w:val="533C19DC"/>
    <w:rsid w:val="533C2B49"/>
    <w:rsid w:val="53424DAE"/>
    <w:rsid w:val="5342E790"/>
    <w:rsid w:val="5345AFF5"/>
    <w:rsid w:val="5346578C"/>
    <w:rsid w:val="5346A7A8"/>
    <w:rsid w:val="53518DD7"/>
    <w:rsid w:val="5364C46A"/>
    <w:rsid w:val="53748E2D"/>
    <w:rsid w:val="537DE795"/>
    <w:rsid w:val="537F5BE9"/>
    <w:rsid w:val="5382865C"/>
    <w:rsid w:val="538812A4"/>
    <w:rsid w:val="538FB0DA"/>
    <w:rsid w:val="53940215"/>
    <w:rsid w:val="539947D8"/>
    <w:rsid w:val="5399F05C"/>
    <w:rsid w:val="539BFC20"/>
    <w:rsid w:val="539DEF9B"/>
    <w:rsid w:val="53A72067"/>
    <w:rsid w:val="53C88638"/>
    <w:rsid w:val="53CC9AEE"/>
    <w:rsid w:val="53E867FC"/>
    <w:rsid w:val="53E9CE0F"/>
    <w:rsid w:val="53EB2923"/>
    <w:rsid w:val="53F1BE1D"/>
    <w:rsid w:val="53F39B88"/>
    <w:rsid w:val="53F56EAB"/>
    <w:rsid w:val="53F65334"/>
    <w:rsid w:val="53FF4B5B"/>
    <w:rsid w:val="5403EDEB"/>
    <w:rsid w:val="54044A34"/>
    <w:rsid w:val="540F8E5F"/>
    <w:rsid w:val="542AD1CF"/>
    <w:rsid w:val="543BAE44"/>
    <w:rsid w:val="544B905B"/>
    <w:rsid w:val="545CCC7C"/>
    <w:rsid w:val="546C383A"/>
    <w:rsid w:val="5479BF40"/>
    <w:rsid w:val="548458C6"/>
    <w:rsid w:val="54968F03"/>
    <w:rsid w:val="54976D57"/>
    <w:rsid w:val="549D118C"/>
    <w:rsid w:val="54A32650"/>
    <w:rsid w:val="54AE2728"/>
    <w:rsid w:val="54B13C81"/>
    <w:rsid w:val="54B2E0A6"/>
    <w:rsid w:val="54B54CB2"/>
    <w:rsid w:val="54B69F60"/>
    <w:rsid w:val="54B791FB"/>
    <w:rsid w:val="54B8488C"/>
    <w:rsid w:val="54C43C9F"/>
    <w:rsid w:val="54C4C8DC"/>
    <w:rsid w:val="54C6D057"/>
    <w:rsid w:val="54D00F55"/>
    <w:rsid w:val="54D57DBB"/>
    <w:rsid w:val="54E9BE3E"/>
    <w:rsid w:val="54F2916B"/>
    <w:rsid w:val="55042D7E"/>
    <w:rsid w:val="55087243"/>
    <w:rsid w:val="55140EBA"/>
    <w:rsid w:val="55184302"/>
    <w:rsid w:val="551DF5B6"/>
    <w:rsid w:val="552003B2"/>
    <w:rsid w:val="5521B52B"/>
    <w:rsid w:val="5531B85D"/>
    <w:rsid w:val="553306E1"/>
    <w:rsid w:val="55344F1E"/>
    <w:rsid w:val="5536B294"/>
    <w:rsid w:val="5539874E"/>
    <w:rsid w:val="554A86FE"/>
    <w:rsid w:val="555135E7"/>
    <w:rsid w:val="555368B3"/>
    <w:rsid w:val="55588E89"/>
    <w:rsid w:val="556C9D2B"/>
    <w:rsid w:val="55742356"/>
    <w:rsid w:val="5575E031"/>
    <w:rsid w:val="5576C9F2"/>
    <w:rsid w:val="5578E77B"/>
    <w:rsid w:val="5589AA57"/>
    <w:rsid w:val="5595933B"/>
    <w:rsid w:val="559FFFC0"/>
    <w:rsid w:val="55B13C74"/>
    <w:rsid w:val="55C6C4E9"/>
    <w:rsid w:val="55CAA0C9"/>
    <w:rsid w:val="55CDA100"/>
    <w:rsid w:val="55D0AE70"/>
    <w:rsid w:val="55D81235"/>
    <w:rsid w:val="55DAD258"/>
    <w:rsid w:val="55EAD8DD"/>
    <w:rsid w:val="55F0ED13"/>
    <w:rsid w:val="55F25329"/>
    <w:rsid w:val="55F59FCF"/>
    <w:rsid w:val="55F60F3D"/>
    <w:rsid w:val="55FBC5CF"/>
    <w:rsid w:val="55FC1983"/>
    <w:rsid w:val="55FF4D30"/>
    <w:rsid w:val="56033EA0"/>
    <w:rsid w:val="560E8A32"/>
    <w:rsid w:val="560F7167"/>
    <w:rsid w:val="56122725"/>
    <w:rsid w:val="56200859"/>
    <w:rsid w:val="56242A11"/>
    <w:rsid w:val="562C5B7B"/>
    <w:rsid w:val="562D9282"/>
    <w:rsid w:val="56309CB5"/>
    <w:rsid w:val="563BFE55"/>
    <w:rsid w:val="5646A263"/>
    <w:rsid w:val="56649F2A"/>
    <w:rsid w:val="56669B5E"/>
    <w:rsid w:val="56697568"/>
    <w:rsid w:val="5677C19A"/>
    <w:rsid w:val="567BB896"/>
    <w:rsid w:val="567C279B"/>
    <w:rsid w:val="567F50F2"/>
    <w:rsid w:val="567F9735"/>
    <w:rsid w:val="568A2DB0"/>
    <w:rsid w:val="568D48D9"/>
    <w:rsid w:val="568EE03A"/>
    <w:rsid w:val="569DD2EB"/>
    <w:rsid w:val="56A03AD5"/>
    <w:rsid w:val="56B08053"/>
    <w:rsid w:val="56B18821"/>
    <w:rsid w:val="56B6BB46"/>
    <w:rsid w:val="56C562E8"/>
    <w:rsid w:val="56C65868"/>
    <w:rsid w:val="56CBBC3D"/>
    <w:rsid w:val="57185591"/>
    <w:rsid w:val="571CDDAB"/>
    <w:rsid w:val="5728C645"/>
    <w:rsid w:val="572D70A6"/>
    <w:rsid w:val="572DA529"/>
    <w:rsid w:val="572FA4C5"/>
    <w:rsid w:val="5735F67D"/>
    <w:rsid w:val="5736F867"/>
    <w:rsid w:val="573A4803"/>
    <w:rsid w:val="5741F95D"/>
    <w:rsid w:val="574F483F"/>
    <w:rsid w:val="5753C0B6"/>
    <w:rsid w:val="575441F8"/>
    <w:rsid w:val="5759B8C4"/>
    <w:rsid w:val="575ACF76"/>
    <w:rsid w:val="575FF592"/>
    <w:rsid w:val="57615373"/>
    <w:rsid w:val="576B9790"/>
    <w:rsid w:val="576E5BE8"/>
    <w:rsid w:val="577E7495"/>
    <w:rsid w:val="5783C62B"/>
    <w:rsid w:val="5787CB21"/>
    <w:rsid w:val="579E0327"/>
    <w:rsid w:val="57A2F65B"/>
    <w:rsid w:val="57AE783F"/>
    <w:rsid w:val="57AF032D"/>
    <w:rsid w:val="57B1AF04"/>
    <w:rsid w:val="57B46345"/>
    <w:rsid w:val="57B73ECF"/>
    <w:rsid w:val="57B9ABCA"/>
    <w:rsid w:val="57BFED8B"/>
    <w:rsid w:val="57C13476"/>
    <w:rsid w:val="57C7CC08"/>
    <w:rsid w:val="57D10CE1"/>
    <w:rsid w:val="57D53084"/>
    <w:rsid w:val="57EA00B7"/>
    <w:rsid w:val="57F0D340"/>
    <w:rsid w:val="57F24119"/>
    <w:rsid w:val="58056846"/>
    <w:rsid w:val="581B6F4B"/>
    <w:rsid w:val="581E12F1"/>
    <w:rsid w:val="581F2A2C"/>
    <w:rsid w:val="5825D75E"/>
    <w:rsid w:val="5833F4E3"/>
    <w:rsid w:val="58372754"/>
    <w:rsid w:val="583947CA"/>
    <w:rsid w:val="5839D50F"/>
    <w:rsid w:val="583FFB86"/>
    <w:rsid w:val="58404752"/>
    <w:rsid w:val="5842B9AF"/>
    <w:rsid w:val="5842E939"/>
    <w:rsid w:val="58486B94"/>
    <w:rsid w:val="5861DEED"/>
    <w:rsid w:val="586F8813"/>
    <w:rsid w:val="58710E4B"/>
    <w:rsid w:val="587808BA"/>
    <w:rsid w:val="587CFE37"/>
    <w:rsid w:val="587EB34A"/>
    <w:rsid w:val="5884951F"/>
    <w:rsid w:val="58953A21"/>
    <w:rsid w:val="58982796"/>
    <w:rsid w:val="58B1E252"/>
    <w:rsid w:val="58B3B36C"/>
    <w:rsid w:val="58C95A23"/>
    <w:rsid w:val="58CF83B0"/>
    <w:rsid w:val="58D0B1D2"/>
    <w:rsid w:val="58D170AA"/>
    <w:rsid w:val="58D26A46"/>
    <w:rsid w:val="58E34842"/>
    <w:rsid w:val="58F76A14"/>
    <w:rsid w:val="58F90948"/>
    <w:rsid w:val="58FA16AB"/>
    <w:rsid w:val="58FB8BF4"/>
    <w:rsid w:val="58FCB917"/>
    <w:rsid w:val="590184EB"/>
    <w:rsid w:val="59022015"/>
    <w:rsid w:val="59046473"/>
    <w:rsid w:val="5934878B"/>
    <w:rsid w:val="5941816A"/>
    <w:rsid w:val="594F715F"/>
    <w:rsid w:val="59554D38"/>
    <w:rsid w:val="59625D2D"/>
    <w:rsid w:val="596D73F9"/>
    <w:rsid w:val="5970BD25"/>
    <w:rsid w:val="5972B3F4"/>
    <w:rsid w:val="597B2A3B"/>
    <w:rsid w:val="59934D41"/>
    <w:rsid w:val="59976045"/>
    <w:rsid w:val="59999FBA"/>
    <w:rsid w:val="59A309FF"/>
    <w:rsid w:val="59B20654"/>
    <w:rsid w:val="59B5B7D3"/>
    <w:rsid w:val="59B75889"/>
    <w:rsid w:val="59CF104E"/>
    <w:rsid w:val="59D99196"/>
    <w:rsid w:val="59E14E5C"/>
    <w:rsid w:val="59EF3160"/>
    <w:rsid w:val="59F475FE"/>
    <w:rsid w:val="59F4CA2A"/>
    <w:rsid w:val="59F9B963"/>
    <w:rsid w:val="5A055199"/>
    <w:rsid w:val="5A0949AC"/>
    <w:rsid w:val="5A14DB4D"/>
    <w:rsid w:val="5A254994"/>
    <w:rsid w:val="5A2A39DB"/>
    <w:rsid w:val="5A317C08"/>
    <w:rsid w:val="5A3927FE"/>
    <w:rsid w:val="5A47A76B"/>
    <w:rsid w:val="5A4FA974"/>
    <w:rsid w:val="5A6A490A"/>
    <w:rsid w:val="5A742DAD"/>
    <w:rsid w:val="5A7B2A00"/>
    <w:rsid w:val="5A86FD12"/>
    <w:rsid w:val="5A8C2E50"/>
    <w:rsid w:val="5A8D3765"/>
    <w:rsid w:val="5A95CD1E"/>
    <w:rsid w:val="5A963851"/>
    <w:rsid w:val="5A98F5D4"/>
    <w:rsid w:val="5AA5EE82"/>
    <w:rsid w:val="5AA98FF1"/>
    <w:rsid w:val="5AB30ECC"/>
    <w:rsid w:val="5AB60C49"/>
    <w:rsid w:val="5ABBC1C7"/>
    <w:rsid w:val="5AC9B8DF"/>
    <w:rsid w:val="5ACC8BE5"/>
    <w:rsid w:val="5AD40F1B"/>
    <w:rsid w:val="5AE2F86A"/>
    <w:rsid w:val="5AF5C7FE"/>
    <w:rsid w:val="5AFEED97"/>
    <w:rsid w:val="5B03ABC7"/>
    <w:rsid w:val="5B11AAED"/>
    <w:rsid w:val="5B1A0C68"/>
    <w:rsid w:val="5B1B3735"/>
    <w:rsid w:val="5B1D3EA6"/>
    <w:rsid w:val="5B2FD879"/>
    <w:rsid w:val="5B3CE63B"/>
    <w:rsid w:val="5B40E499"/>
    <w:rsid w:val="5B41E1C8"/>
    <w:rsid w:val="5B424074"/>
    <w:rsid w:val="5B5332DA"/>
    <w:rsid w:val="5B5960B4"/>
    <w:rsid w:val="5B5DE326"/>
    <w:rsid w:val="5B703A4A"/>
    <w:rsid w:val="5B719B06"/>
    <w:rsid w:val="5B8E1002"/>
    <w:rsid w:val="5B906202"/>
    <w:rsid w:val="5B91590F"/>
    <w:rsid w:val="5B9527C0"/>
    <w:rsid w:val="5B9A8C1D"/>
    <w:rsid w:val="5BA5BCB9"/>
    <w:rsid w:val="5BAA2773"/>
    <w:rsid w:val="5BAA60D3"/>
    <w:rsid w:val="5BB359D9"/>
    <w:rsid w:val="5BB8D73B"/>
    <w:rsid w:val="5BBE1FFE"/>
    <w:rsid w:val="5BC91EC9"/>
    <w:rsid w:val="5BCA3EE3"/>
    <w:rsid w:val="5BCE4934"/>
    <w:rsid w:val="5BD68AD3"/>
    <w:rsid w:val="5BD7D1C9"/>
    <w:rsid w:val="5BDCC822"/>
    <w:rsid w:val="5BE6C6DB"/>
    <w:rsid w:val="5BEAEB0D"/>
    <w:rsid w:val="5BF02BA2"/>
    <w:rsid w:val="5BF54D4B"/>
    <w:rsid w:val="5BF8F818"/>
    <w:rsid w:val="5BFEEAE3"/>
    <w:rsid w:val="5C0AD340"/>
    <w:rsid w:val="5C0B1C2F"/>
    <w:rsid w:val="5C0DBF35"/>
    <w:rsid w:val="5C18D57C"/>
    <w:rsid w:val="5C1E1AC5"/>
    <w:rsid w:val="5C1E8EE1"/>
    <w:rsid w:val="5C2FA05B"/>
    <w:rsid w:val="5C37851F"/>
    <w:rsid w:val="5C429528"/>
    <w:rsid w:val="5C4F737C"/>
    <w:rsid w:val="5C5D31D5"/>
    <w:rsid w:val="5C60A6A2"/>
    <w:rsid w:val="5C6127C5"/>
    <w:rsid w:val="5C778EAA"/>
    <w:rsid w:val="5C791907"/>
    <w:rsid w:val="5C7E3555"/>
    <w:rsid w:val="5C9667CF"/>
    <w:rsid w:val="5CA14EBA"/>
    <w:rsid w:val="5CA4F1DD"/>
    <w:rsid w:val="5CAD4047"/>
    <w:rsid w:val="5CB73124"/>
    <w:rsid w:val="5CB84D96"/>
    <w:rsid w:val="5CBAF313"/>
    <w:rsid w:val="5CDE77E9"/>
    <w:rsid w:val="5CE2FAD3"/>
    <w:rsid w:val="5CF34E9A"/>
    <w:rsid w:val="5CFCF93D"/>
    <w:rsid w:val="5D08A99F"/>
    <w:rsid w:val="5D0952D1"/>
    <w:rsid w:val="5D0DB7E5"/>
    <w:rsid w:val="5D10CC61"/>
    <w:rsid w:val="5D17276F"/>
    <w:rsid w:val="5D1B82B8"/>
    <w:rsid w:val="5D1C35EF"/>
    <w:rsid w:val="5D1E4939"/>
    <w:rsid w:val="5D22EAE7"/>
    <w:rsid w:val="5D30CDFA"/>
    <w:rsid w:val="5D3580E6"/>
    <w:rsid w:val="5D4DA027"/>
    <w:rsid w:val="5D5159F6"/>
    <w:rsid w:val="5D54F316"/>
    <w:rsid w:val="5D665A8C"/>
    <w:rsid w:val="5D667AB3"/>
    <w:rsid w:val="5D6D2043"/>
    <w:rsid w:val="5D709541"/>
    <w:rsid w:val="5D752B36"/>
    <w:rsid w:val="5D8E9FE6"/>
    <w:rsid w:val="5D98E4FD"/>
    <w:rsid w:val="5D9E8F89"/>
    <w:rsid w:val="5DA58D35"/>
    <w:rsid w:val="5DA88F9F"/>
    <w:rsid w:val="5DAD01AE"/>
    <w:rsid w:val="5DB20BEF"/>
    <w:rsid w:val="5DB5FC70"/>
    <w:rsid w:val="5DBF885D"/>
    <w:rsid w:val="5DC23C29"/>
    <w:rsid w:val="5DC3B359"/>
    <w:rsid w:val="5DC78AE7"/>
    <w:rsid w:val="5DD9AFA1"/>
    <w:rsid w:val="5DDDED59"/>
    <w:rsid w:val="5DE59102"/>
    <w:rsid w:val="5DF00647"/>
    <w:rsid w:val="5DF0A901"/>
    <w:rsid w:val="5DF568DF"/>
    <w:rsid w:val="5DFE0BC4"/>
    <w:rsid w:val="5DFFEAE5"/>
    <w:rsid w:val="5E07C1E8"/>
    <w:rsid w:val="5E090DBF"/>
    <w:rsid w:val="5E098815"/>
    <w:rsid w:val="5E1D3578"/>
    <w:rsid w:val="5E229A48"/>
    <w:rsid w:val="5E26A471"/>
    <w:rsid w:val="5E273A95"/>
    <w:rsid w:val="5E2D47E5"/>
    <w:rsid w:val="5E30795D"/>
    <w:rsid w:val="5E35DF21"/>
    <w:rsid w:val="5E3A722D"/>
    <w:rsid w:val="5E3ACCD7"/>
    <w:rsid w:val="5E3B9448"/>
    <w:rsid w:val="5E3EE4D3"/>
    <w:rsid w:val="5E451BD2"/>
    <w:rsid w:val="5E459618"/>
    <w:rsid w:val="5E5317A2"/>
    <w:rsid w:val="5E64412D"/>
    <w:rsid w:val="5E7A0B6F"/>
    <w:rsid w:val="5E7C74CC"/>
    <w:rsid w:val="5E7F2D56"/>
    <w:rsid w:val="5E802F3B"/>
    <w:rsid w:val="5E850048"/>
    <w:rsid w:val="5E88E192"/>
    <w:rsid w:val="5E948E6F"/>
    <w:rsid w:val="5E9940B0"/>
    <w:rsid w:val="5EA1D300"/>
    <w:rsid w:val="5EA2CE5C"/>
    <w:rsid w:val="5EAAAEF6"/>
    <w:rsid w:val="5EACFD18"/>
    <w:rsid w:val="5EBB4A30"/>
    <w:rsid w:val="5EBE81B7"/>
    <w:rsid w:val="5EC4D03F"/>
    <w:rsid w:val="5EC605A3"/>
    <w:rsid w:val="5ED10EF6"/>
    <w:rsid w:val="5ED7FE5D"/>
    <w:rsid w:val="5EDDB198"/>
    <w:rsid w:val="5EE5740E"/>
    <w:rsid w:val="5EE7135E"/>
    <w:rsid w:val="5EEE4F55"/>
    <w:rsid w:val="5EF807B7"/>
    <w:rsid w:val="5EF96E8D"/>
    <w:rsid w:val="5F0253E8"/>
    <w:rsid w:val="5F029127"/>
    <w:rsid w:val="5F0A8EA4"/>
    <w:rsid w:val="5F159604"/>
    <w:rsid w:val="5F189913"/>
    <w:rsid w:val="5F1DD661"/>
    <w:rsid w:val="5F209379"/>
    <w:rsid w:val="5F22F94D"/>
    <w:rsid w:val="5F253190"/>
    <w:rsid w:val="5F340C9D"/>
    <w:rsid w:val="5F42D74A"/>
    <w:rsid w:val="5F47E735"/>
    <w:rsid w:val="5F5BD978"/>
    <w:rsid w:val="5F5F4062"/>
    <w:rsid w:val="5F64E8FC"/>
    <w:rsid w:val="5F6CAAA8"/>
    <w:rsid w:val="5F773121"/>
    <w:rsid w:val="5F7B765F"/>
    <w:rsid w:val="5F7DBA5A"/>
    <w:rsid w:val="5F7ED911"/>
    <w:rsid w:val="5F8A8C7D"/>
    <w:rsid w:val="5F8C236C"/>
    <w:rsid w:val="5F923002"/>
    <w:rsid w:val="5F94FD3F"/>
    <w:rsid w:val="5F968C98"/>
    <w:rsid w:val="5F9D7597"/>
    <w:rsid w:val="5F9FD74D"/>
    <w:rsid w:val="5FA97CAE"/>
    <w:rsid w:val="5FB5D75D"/>
    <w:rsid w:val="5FBD3F65"/>
    <w:rsid w:val="5FD08F7E"/>
    <w:rsid w:val="5FD8D4AF"/>
    <w:rsid w:val="5FE379DD"/>
    <w:rsid w:val="5FEC3A36"/>
    <w:rsid w:val="5FEF014B"/>
    <w:rsid w:val="5FF1E50C"/>
    <w:rsid w:val="5FFFC4D7"/>
    <w:rsid w:val="600070B2"/>
    <w:rsid w:val="60068C83"/>
    <w:rsid w:val="6009A793"/>
    <w:rsid w:val="600A11B3"/>
    <w:rsid w:val="600F29F5"/>
    <w:rsid w:val="600F631F"/>
    <w:rsid w:val="6012A89E"/>
    <w:rsid w:val="6032A1E8"/>
    <w:rsid w:val="6035DD56"/>
    <w:rsid w:val="603716F5"/>
    <w:rsid w:val="60403A1A"/>
    <w:rsid w:val="604587E6"/>
    <w:rsid w:val="604D9D31"/>
    <w:rsid w:val="6051800D"/>
    <w:rsid w:val="606B689E"/>
    <w:rsid w:val="6072A3ED"/>
    <w:rsid w:val="6077F218"/>
    <w:rsid w:val="607CEE0E"/>
    <w:rsid w:val="6080AF0B"/>
    <w:rsid w:val="608DCA1F"/>
    <w:rsid w:val="60961A83"/>
    <w:rsid w:val="6099E0F0"/>
    <w:rsid w:val="609CF03C"/>
    <w:rsid w:val="60B16CA0"/>
    <w:rsid w:val="60B355FC"/>
    <w:rsid w:val="60B5A260"/>
    <w:rsid w:val="60D2152E"/>
    <w:rsid w:val="60D44BA4"/>
    <w:rsid w:val="60E086A5"/>
    <w:rsid w:val="60E09364"/>
    <w:rsid w:val="60F0438C"/>
    <w:rsid w:val="60F26B5F"/>
    <w:rsid w:val="60F3B030"/>
    <w:rsid w:val="60FBBE7D"/>
    <w:rsid w:val="60FBD639"/>
    <w:rsid w:val="60FBE49A"/>
    <w:rsid w:val="610EA69A"/>
    <w:rsid w:val="611C88D8"/>
    <w:rsid w:val="611FC8DB"/>
    <w:rsid w:val="612BA63D"/>
    <w:rsid w:val="612C46A9"/>
    <w:rsid w:val="612FFFC0"/>
    <w:rsid w:val="613E1D13"/>
    <w:rsid w:val="61458AED"/>
    <w:rsid w:val="6152BDA1"/>
    <w:rsid w:val="615781BA"/>
    <w:rsid w:val="616813FC"/>
    <w:rsid w:val="616DF0BC"/>
    <w:rsid w:val="6182DA26"/>
    <w:rsid w:val="618E344D"/>
    <w:rsid w:val="619BB3DD"/>
    <w:rsid w:val="61A3B556"/>
    <w:rsid w:val="61B5842C"/>
    <w:rsid w:val="61B78E1C"/>
    <w:rsid w:val="61B8733A"/>
    <w:rsid w:val="61BD348B"/>
    <w:rsid w:val="61BE8755"/>
    <w:rsid w:val="61C6DEC9"/>
    <w:rsid w:val="61D962C2"/>
    <w:rsid w:val="61E4480C"/>
    <w:rsid w:val="61E6744C"/>
    <w:rsid w:val="61F3795A"/>
    <w:rsid w:val="61F40EA4"/>
    <w:rsid w:val="620BFA59"/>
    <w:rsid w:val="622195CE"/>
    <w:rsid w:val="6224340B"/>
    <w:rsid w:val="6225DE60"/>
    <w:rsid w:val="622B9CA3"/>
    <w:rsid w:val="623AF0B6"/>
    <w:rsid w:val="62487D1B"/>
    <w:rsid w:val="624EA86D"/>
    <w:rsid w:val="624EDEB2"/>
    <w:rsid w:val="6250AD5B"/>
    <w:rsid w:val="6253552A"/>
    <w:rsid w:val="6254B364"/>
    <w:rsid w:val="625BB771"/>
    <w:rsid w:val="62635D9B"/>
    <w:rsid w:val="626D416F"/>
    <w:rsid w:val="626D76E3"/>
    <w:rsid w:val="62826B2A"/>
    <w:rsid w:val="628D693E"/>
    <w:rsid w:val="62A1BC75"/>
    <w:rsid w:val="62B2F467"/>
    <w:rsid w:val="62B59933"/>
    <w:rsid w:val="62C02077"/>
    <w:rsid w:val="62C2B158"/>
    <w:rsid w:val="62E598EE"/>
    <w:rsid w:val="62EE88A9"/>
    <w:rsid w:val="62F9A4DB"/>
    <w:rsid w:val="63204F06"/>
    <w:rsid w:val="632F24C1"/>
    <w:rsid w:val="6330906B"/>
    <w:rsid w:val="633BD61A"/>
    <w:rsid w:val="63475489"/>
    <w:rsid w:val="6354FE1A"/>
    <w:rsid w:val="636A26E2"/>
    <w:rsid w:val="6372F72E"/>
    <w:rsid w:val="63730D00"/>
    <w:rsid w:val="63749FAA"/>
    <w:rsid w:val="6377B4C3"/>
    <w:rsid w:val="637A098F"/>
    <w:rsid w:val="63820D6E"/>
    <w:rsid w:val="6388AD78"/>
    <w:rsid w:val="638E2763"/>
    <w:rsid w:val="63963BB9"/>
    <w:rsid w:val="63AA1047"/>
    <w:rsid w:val="63AF84CF"/>
    <w:rsid w:val="63B28938"/>
    <w:rsid w:val="63C6907F"/>
    <w:rsid w:val="63D1FA60"/>
    <w:rsid w:val="63E0F262"/>
    <w:rsid w:val="6402DF49"/>
    <w:rsid w:val="6403B5C9"/>
    <w:rsid w:val="640BBAC6"/>
    <w:rsid w:val="64109EA9"/>
    <w:rsid w:val="64144026"/>
    <w:rsid w:val="6418ADEF"/>
    <w:rsid w:val="643CCCE1"/>
    <w:rsid w:val="6444429C"/>
    <w:rsid w:val="6444CC85"/>
    <w:rsid w:val="64519134"/>
    <w:rsid w:val="645DAEED"/>
    <w:rsid w:val="646117AC"/>
    <w:rsid w:val="64662FE2"/>
    <w:rsid w:val="6467C03C"/>
    <w:rsid w:val="647593D8"/>
    <w:rsid w:val="6479CDF9"/>
    <w:rsid w:val="647CA5AA"/>
    <w:rsid w:val="647DAC83"/>
    <w:rsid w:val="647EFE91"/>
    <w:rsid w:val="64807B08"/>
    <w:rsid w:val="648D282B"/>
    <w:rsid w:val="648EF84D"/>
    <w:rsid w:val="6491C352"/>
    <w:rsid w:val="6496A4E5"/>
    <w:rsid w:val="64971B5A"/>
    <w:rsid w:val="64A33689"/>
    <w:rsid w:val="64A7C549"/>
    <w:rsid w:val="64A815EA"/>
    <w:rsid w:val="64B13CC4"/>
    <w:rsid w:val="64B4A20B"/>
    <w:rsid w:val="64B9B0BB"/>
    <w:rsid w:val="64C8CBF7"/>
    <w:rsid w:val="64CE8E84"/>
    <w:rsid w:val="64DB7622"/>
    <w:rsid w:val="64E69475"/>
    <w:rsid w:val="64EB071B"/>
    <w:rsid w:val="64EE81B3"/>
    <w:rsid w:val="64F6BB1C"/>
    <w:rsid w:val="651117E3"/>
    <w:rsid w:val="6518346D"/>
    <w:rsid w:val="65348511"/>
    <w:rsid w:val="6542A285"/>
    <w:rsid w:val="654EA8C4"/>
    <w:rsid w:val="655B7C2C"/>
    <w:rsid w:val="6560DF63"/>
    <w:rsid w:val="6562D683"/>
    <w:rsid w:val="6563907F"/>
    <w:rsid w:val="6568F306"/>
    <w:rsid w:val="65746966"/>
    <w:rsid w:val="657483F3"/>
    <w:rsid w:val="657E7AB0"/>
    <w:rsid w:val="657F7394"/>
    <w:rsid w:val="65805E90"/>
    <w:rsid w:val="658E2B91"/>
    <w:rsid w:val="659B9A8F"/>
    <w:rsid w:val="659CC952"/>
    <w:rsid w:val="65A5475F"/>
    <w:rsid w:val="65A59858"/>
    <w:rsid w:val="65B29561"/>
    <w:rsid w:val="65C0EE80"/>
    <w:rsid w:val="65E6B880"/>
    <w:rsid w:val="65E82C63"/>
    <w:rsid w:val="65E9DD4A"/>
    <w:rsid w:val="65ED4EE3"/>
    <w:rsid w:val="65EE84B7"/>
    <w:rsid w:val="65F530D4"/>
    <w:rsid w:val="65F8AEEB"/>
    <w:rsid w:val="66043E11"/>
    <w:rsid w:val="661C776A"/>
    <w:rsid w:val="662342B0"/>
    <w:rsid w:val="662C85AE"/>
    <w:rsid w:val="662F2F56"/>
    <w:rsid w:val="662F810A"/>
    <w:rsid w:val="66321AB4"/>
    <w:rsid w:val="6635F3C1"/>
    <w:rsid w:val="663EA035"/>
    <w:rsid w:val="6645986E"/>
    <w:rsid w:val="6645DADC"/>
    <w:rsid w:val="66481847"/>
    <w:rsid w:val="664884BB"/>
    <w:rsid w:val="666FBB13"/>
    <w:rsid w:val="666FF1DB"/>
    <w:rsid w:val="667EA8AF"/>
    <w:rsid w:val="6680AE77"/>
    <w:rsid w:val="6689A0EB"/>
    <w:rsid w:val="6694FC9A"/>
    <w:rsid w:val="66A107AE"/>
    <w:rsid w:val="66A52769"/>
    <w:rsid w:val="66B37B44"/>
    <w:rsid w:val="66B74A99"/>
    <w:rsid w:val="66BA17BC"/>
    <w:rsid w:val="66BBE52B"/>
    <w:rsid w:val="66BE617F"/>
    <w:rsid w:val="66C5DC92"/>
    <w:rsid w:val="66C7D0DF"/>
    <w:rsid w:val="66D1EBC0"/>
    <w:rsid w:val="66DA88DF"/>
    <w:rsid w:val="66DEECA8"/>
    <w:rsid w:val="6702CC7B"/>
    <w:rsid w:val="670B1B59"/>
    <w:rsid w:val="670D212E"/>
    <w:rsid w:val="670DB237"/>
    <w:rsid w:val="672E3A05"/>
    <w:rsid w:val="673365DC"/>
    <w:rsid w:val="673AE026"/>
    <w:rsid w:val="673E0482"/>
    <w:rsid w:val="674D7A85"/>
    <w:rsid w:val="6752BDB6"/>
    <w:rsid w:val="6755B817"/>
    <w:rsid w:val="676169D4"/>
    <w:rsid w:val="6762F0E1"/>
    <w:rsid w:val="676DE543"/>
    <w:rsid w:val="67821F53"/>
    <w:rsid w:val="6791A9C5"/>
    <w:rsid w:val="67969AEC"/>
    <w:rsid w:val="67973F6E"/>
    <w:rsid w:val="679B9CBF"/>
    <w:rsid w:val="67B32B4F"/>
    <w:rsid w:val="67C116CC"/>
    <w:rsid w:val="67C4753C"/>
    <w:rsid w:val="67C4D329"/>
    <w:rsid w:val="67CAD955"/>
    <w:rsid w:val="67D39B37"/>
    <w:rsid w:val="67D55677"/>
    <w:rsid w:val="67DC6451"/>
    <w:rsid w:val="67DCF86C"/>
    <w:rsid w:val="67DD61E5"/>
    <w:rsid w:val="67E33928"/>
    <w:rsid w:val="67E62793"/>
    <w:rsid w:val="67FC7239"/>
    <w:rsid w:val="68137AD8"/>
    <w:rsid w:val="68201BAA"/>
    <w:rsid w:val="68344EA2"/>
    <w:rsid w:val="68490E32"/>
    <w:rsid w:val="685B5C5D"/>
    <w:rsid w:val="685E55AB"/>
    <w:rsid w:val="68638263"/>
    <w:rsid w:val="68656767"/>
    <w:rsid w:val="68662BC1"/>
    <w:rsid w:val="6875E91C"/>
    <w:rsid w:val="6879B1BB"/>
    <w:rsid w:val="68916F23"/>
    <w:rsid w:val="6899602F"/>
    <w:rsid w:val="689D0AD1"/>
    <w:rsid w:val="689D2944"/>
    <w:rsid w:val="68B243E7"/>
    <w:rsid w:val="68C65825"/>
    <w:rsid w:val="68D239D5"/>
    <w:rsid w:val="68D2F6B5"/>
    <w:rsid w:val="68D4BBFF"/>
    <w:rsid w:val="68D8E99D"/>
    <w:rsid w:val="68DA6E19"/>
    <w:rsid w:val="68DFEDA5"/>
    <w:rsid w:val="68E558AB"/>
    <w:rsid w:val="68E559F6"/>
    <w:rsid w:val="68E59D84"/>
    <w:rsid w:val="68E70BFA"/>
    <w:rsid w:val="68E729D5"/>
    <w:rsid w:val="68EB44FB"/>
    <w:rsid w:val="68F01A74"/>
    <w:rsid w:val="68F461E8"/>
    <w:rsid w:val="68F55BF7"/>
    <w:rsid w:val="68FC8F45"/>
    <w:rsid w:val="68FEA282"/>
    <w:rsid w:val="69091CC0"/>
    <w:rsid w:val="690B6CE9"/>
    <w:rsid w:val="691DD5A3"/>
    <w:rsid w:val="6925C41F"/>
    <w:rsid w:val="69328579"/>
    <w:rsid w:val="693627C2"/>
    <w:rsid w:val="69401AE7"/>
    <w:rsid w:val="69418E54"/>
    <w:rsid w:val="6943F103"/>
    <w:rsid w:val="6949A15B"/>
    <w:rsid w:val="694FA2CC"/>
    <w:rsid w:val="6952CB7A"/>
    <w:rsid w:val="6959DED5"/>
    <w:rsid w:val="6978A8F2"/>
    <w:rsid w:val="698784A6"/>
    <w:rsid w:val="69898F79"/>
    <w:rsid w:val="69900F41"/>
    <w:rsid w:val="69979073"/>
    <w:rsid w:val="6997C872"/>
    <w:rsid w:val="69A3D79C"/>
    <w:rsid w:val="69AAEEAE"/>
    <w:rsid w:val="69B65055"/>
    <w:rsid w:val="69C9A7BE"/>
    <w:rsid w:val="69CA123E"/>
    <w:rsid w:val="69CD7F79"/>
    <w:rsid w:val="69D85EA7"/>
    <w:rsid w:val="69DEF40E"/>
    <w:rsid w:val="69E711AA"/>
    <w:rsid w:val="69F5ACCC"/>
    <w:rsid w:val="69FCBB84"/>
    <w:rsid w:val="69FF39B4"/>
    <w:rsid w:val="6A011D71"/>
    <w:rsid w:val="6A102A61"/>
    <w:rsid w:val="6A176605"/>
    <w:rsid w:val="6A2B648A"/>
    <w:rsid w:val="6A2CFE27"/>
    <w:rsid w:val="6A4CE2F0"/>
    <w:rsid w:val="6A538D9B"/>
    <w:rsid w:val="6A575D37"/>
    <w:rsid w:val="6A5827DE"/>
    <w:rsid w:val="6A68583D"/>
    <w:rsid w:val="6A68DDBA"/>
    <w:rsid w:val="6A6C7CB9"/>
    <w:rsid w:val="6A70788A"/>
    <w:rsid w:val="6A759CFA"/>
    <w:rsid w:val="6A8388D9"/>
    <w:rsid w:val="6A9641B5"/>
    <w:rsid w:val="6AA535C6"/>
    <w:rsid w:val="6AAF1E1B"/>
    <w:rsid w:val="6AB22112"/>
    <w:rsid w:val="6ABAC797"/>
    <w:rsid w:val="6ABDFA2A"/>
    <w:rsid w:val="6AC6E242"/>
    <w:rsid w:val="6AC7E043"/>
    <w:rsid w:val="6AD0C490"/>
    <w:rsid w:val="6AD8E31F"/>
    <w:rsid w:val="6AE5B90B"/>
    <w:rsid w:val="6AF17B50"/>
    <w:rsid w:val="6AF3586F"/>
    <w:rsid w:val="6AF7E823"/>
    <w:rsid w:val="6AFBE406"/>
    <w:rsid w:val="6B2164D8"/>
    <w:rsid w:val="6B2DC714"/>
    <w:rsid w:val="6B2E122D"/>
    <w:rsid w:val="6B32F98F"/>
    <w:rsid w:val="6B3867DF"/>
    <w:rsid w:val="6B4D482B"/>
    <w:rsid w:val="6B52C54D"/>
    <w:rsid w:val="6B5CF724"/>
    <w:rsid w:val="6B5E0B77"/>
    <w:rsid w:val="6B69FC01"/>
    <w:rsid w:val="6B6D177A"/>
    <w:rsid w:val="6B75AA18"/>
    <w:rsid w:val="6B7D703D"/>
    <w:rsid w:val="6B941BE5"/>
    <w:rsid w:val="6BA4B82E"/>
    <w:rsid w:val="6BA7C842"/>
    <w:rsid w:val="6BBB1E86"/>
    <w:rsid w:val="6BBE181E"/>
    <w:rsid w:val="6BC07023"/>
    <w:rsid w:val="6BD4B53E"/>
    <w:rsid w:val="6BD87826"/>
    <w:rsid w:val="6BDD47CC"/>
    <w:rsid w:val="6BDFEDB1"/>
    <w:rsid w:val="6BE2B781"/>
    <w:rsid w:val="6BEE8EE6"/>
    <w:rsid w:val="6BF981A5"/>
    <w:rsid w:val="6C0676A8"/>
    <w:rsid w:val="6C0A2D65"/>
    <w:rsid w:val="6C0CD8AB"/>
    <w:rsid w:val="6C0E0E99"/>
    <w:rsid w:val="6C120B53"/>
    <w:rsid w:val="6C1BD029"/>
    <w:rsid w:val="6C2C8E63"/>
    <w:rsid w:val="6C442C8D"/>
    <w:rsid w:val="6C50D001"/>
    <w:rsid w:val="6C55E7B0"/>
    <w:rsid w:val="6C56FE26"/>
    <w:rsid w:val="6C655A7D"/>
    <w:rsid w:val="6C791628"/>
    <w:rsid w:val="6C86695E"/>
    <w:rsid w:val="6C8CB52B"/>
    <w:rsid w:val="6C8DDEB4"/>
    <w:rsid w:val="6C8E1C15"/>
    <w:rsid w:val="6CACF849"/>
    <w:rsid w:val="6CAE7378"/>
    <w:rsid w:val="6CAFE44C"/>
    <w:rsid w:val="6CB25C80"/>
    <w:rsid w:val="6CB6E328"/>
    <w:rsid w:val="6CC0DD4F"/>
    <w:rsid w:val="6CC4F26F"/>
    <w:rsid w:val="6CCA812A"/>
    <w:rsid w:val="6CCBAB87"/>
    <w:rsid w:val="6CCE4DDE"/>
    <w:rsid w:val="6CCE8456"/>
    <w:rsid w:val="6CE3F989"/>
    <w:rsid w:val="6CF60009"/>
    <w:rsid w:val="6D022162"/>
    <w:rsid w:val="6D03743C"/>
    <w:rsid w:val="6D07F0B3"/>
    <w:rsid w:val="6D188D4E"/>
    <w:rsid w:val="6D2A5C5A"/>
    <w:rsid w:val="6D338660"/>
    <w:rsid w:val="6D3579C3"/>
    <w:rsid w:val="6D44C53B"/>
    <w:rsid w:val="6D4C3FE6"/>
    <w:rsid w:val="6D5CF101"/>
    <w:rsid w:val="6D5D1341"/>
    <w:rsid w:val="6D647509"/>
    <w:rsid w:val="6D66C402"/>
    <w:rsid w:val="6D71EB47"/>
    <w:rsid w:val="6D77E193"/>
    <w:rsid w:val="6D83570E"/>
    <w:rsid w:val="6D89DE26"/>
    <w:rsid w:val="6D8B5847"/>
    <w:rsid w:val="6D934685"/>
    <w:rsid w:val="6D987761"/>
    <w:rsid w:val="6D9AD614"/>
    <w:rsid w:val="6DB78DEB"/>
    <w:rsid w:val="6DC3B7DA"/>
    <w:rsid w:val="6DCA9684"/>
    <w:rsid w:val="6DD90C93"/>
    <w:rsid w:val="6DD99E29"/>
    <w:rsid w:val="6DEAAFF8"/>
    <w:rsid w:val="6DEB5E44"/>
    <w:rsid w:val="6DEBCB41"/>
    <w:rsid w:val="6DF2160C"/>
    <w:rsid w:val="6DF62DE5"/>
    <w:rsid w:val="6E03909E"/>
    <w:rsid w:val="6E049E6F"/>
    <w:rsid w:val="6E058372"/>
    <w:rsid w:val="6E1E4508"/>
    <w:rsid w:val="6E20DA97"/>
    <w:rsid w:val="6E220ACB"/>
    <w:rsid w:val="6E2AE1E0"/>
    <w:rsid w:val="6E34BFB7"/>
    <w:rsid w:val="6E3ECDBB"/>
    <w:rsid w:val="6E518816"/>
    <w:rsid w:val="6E5BD1DD"/>
    <w:rsid w:val="6E686E8C"/>
    <w:rsid w:val="6E758ACD"/>
    <w:rsid w:val="6E78D7EC"/>
    <w:rsid w:val="6E9FC500"/>
    <w:rsid w:val="6EC20C87"/>
    <w:rsid w:val="6EC7AC85"/>
    <w:rsid w:val="6ECB2C62"/>
    <w:rsid w:val="6ECD541B"/>
    <w:rsid w:val="6EDCCFE1"/>
    <w:rsid w:val="6EE95776"/>
    <w:rsid w:val="6EE98981"/>
    <w:rsid w:val="6EFEF4F1"/>
    <w:rsid w:val="6F097CE0"/>
    <w:rsid w:val="6F0CA7D7"/>
    <w:rsid w:val="6F101A29"/>
    <w:rsid w:val="6F14FB6C"/>
    <w:rsid w:val="6F1FE8F4"/>
    <w:rsid w:val="6F204B9A"/>
    <w:rsid w:val="6F257493"/>
    <w:rsid w:val="6F27D66A"/>
    <w:rsid w:val="6F29C281"/>
    <w:rsid w:val="6F2BA4B9"/>
    <w:rsid w:val="6F2EF9D7"/>
    <w:rsid w:val="6F34AE8F"/>
    <w:rsid w:val="6F39FDB5"/>
    <w:rsid w:val="6F3D104D"/>
    <w:rsid w:val="6F40636D"/>
    <w:rsid w:val="6F53E522"/>
    <w:rsid w:val="6F5927A8"/>
    <w:rsid w:val="6F5C526B"/>
    <w:rsid w:val="6F61116C"/>
    <w:rsid w:val="6F6CFB8D"/>
    <w:rsid w:val="6F74427A"/>
    <w:rsid w:val="6F9B9DB3"/>
    <w:rsid w:val="6FAD98E1"/>
    <w:rsid w:val="6FB6F3BD"/>
    <w:rsid w:val="6FBBFA81"/>
    <w:rsid w:val="6FBD43FF"/>
    <w:rsid w:val="6FBDF5F2"/>
    <w:rsid w:val="6FBFAC91"/>
    <w:rsid w:val="6FD21B1D"/>
    <w:rsid w:val="6FD3B8F7"/>
    <w:rsid w:val="6FF0610C"/>
    <w:rsid w:val="6FF0686B"/>
    <w:rsid w:val="6FFAD125"/>
    <w:rsid w:val="6FFD84A5"/>
    <w:rsid w:val="7006B9BB"/>
    <w:rsid w:val="700A261A"/>
    <w:rsid w:val="700BA216"/>
    <w:rsid w:val="7027F4B4"/>
    <w:rsid w:val="702AFC62"/>
    <w:rsid w:val="702D114F"/>
    <w:rsid w:val="702FEE58"/>
    <w:rsid w:val="7034D7FA"/>
    <w:rsid w:val="7035F25F"/>
    <w:rsid w:val="70396F3C"/>
    <w:rsid w:val="70406FCF"/>
    <w:rsid w:val="7041336E"/>
    <w:rsid w:val="704557E3"/>
    <w:rsid w:val="704CB828"/>
    <w:rsid w:val="705A8B08"/>
    <w:rsid w:val="705CD845"/>
    <w:rsid w:val="706CEC0E"/>
    <w:rsid w:val="70754257"/>
    <w:rsid w:val="70759587"/>
    <w:rsid w:val="707F8214"/>
    <w:rsid w:val="7080D957"/>
    <w:rsid w:val="708815E9"/>
    <w:rsid w:val="708968E8"/>
    <w:rsid w:val="708B50DB"/>
    <w:rsid w:val="709708F6"/>
    <w:rsid w:val="70992B9C"/>
    <w:rsid w:val="709C23EC"/>
    <w:rsid w:val="709DE185"/>
    <w:rsid w:val="70A13374"/>
    <w:rsid w:val="70A3276D"/>
    <w:rsid w:val="70B38446"/>
    <w:rsid w:val="70B65347"/>
    <w:rsid w:val="70BF6790"/>
    <w:rsid w:val="70C8D596"/>
    <w:rsid w:val="70CA3A41"/>
    <w:rsid w:val="70CB0707"/>
    <w:rsid w:val="70CE1812"/>
    <w:rsid w:val="70D13059"/>
    <w:rsid w:val="70D31A9B"/>
    <w:rsid w:val="70D8B7EF"/>
    <w:rsid w:val="70DD6F7F"/>
    <w:rsid w:val="70DF0305"/>
    <w:rsid w:val="70ED8CE9"/>
    <w:rsid w:val="70F4DE23"/>
    <w:rsid w:val="70F7B5D6"/>
    <w:rsid w:val="70FC93BB"/>
    <w:rsid w:val="70FF9B49"/>
    <w:rsid w:val="71047260"/>
    <w:rsid w:val="710BE192"/>
    <w:rsid w:val="710BE583"/>
    <w:rsid w:val="710C8F7D"/>
    <w:rsid w:val="71108707"/>
    <w:rsid w:val="71161F71"/>
    <w:rsid w:val="711BE1AA"/>
    <w:rsid w:val="7123DA6A"/>
    <w:rsid w:val="713645A8"/>
    <w:rsid w:val="714C2BC2"/>
    <w:rsid w:val="714D1D6D"/>
    <w:rsid w:val="714F5C90"/>
    <w:rsid w:val="7155BB3D"/>
    <w:rsid w:val="71597BF9"/>
    <w:rsid w:val="715F5123"/>
    <w:rsid w:val="71611F95"/>
    <w:rsid w:val="71654996"/>
    <w:rsid w:val="7171B99B"/>
    <w:rsid w:val="717678F0"/>
    <w:rsid w:val="7179EC63"/>
    <w:rsid w:val="7188E99D"/>
    <w:rsid w:val="719B62EF"/>
    <w:rsid w:val="71ADD35B"/>
    <w:rsid w:val="71AE27E9"/>
    <w:rsid w:val="71B6A7A4"/>
    <w:rsid w:val="71BC564B"/>
    <w:rsid w:val="71E7507E"/>
    <w:rsid w:val="71E7EBEA"/>
    <w:rsid w:val="7204D59E"/>
    <w:rsid w:val="720ADA58"/>
    <w:rsid w:val="7214DDD1"/>
    <w:rsid w:val="72194CE7"/>
    <w:rsid w:val="7219F617"/>
    <w:rsid w:val="7225AE29"/>
    <w:rsid w:val="7225DB3D"/>
    <w:rsid w:val="72288A5B"/>
    <w:rsid w:val="72298A88"/>
    <w:rsid w:val="7232A311"/>
    <w:rsid w:val="7235AF6C"/>
    <w:rsid w:val="7238BAB0"/>
    <w:rsid w:val="7245C010"/>
    <w:rsid w:val="725BEDE9"/>
    <w:rsid w:val="72666AC8"/>
    <w:rsid w:val="72694882"/>
    <w:rsid w:val="726B065C"/>
    <w:rsid w:val="726E05E6"/>
    <w:rsid w:val="7272559C"/>
    <w:rsid w:val="72771E29"/>
    <w:rsid w:val="7281F0F8"/>
    <w:rsid w:val="72930D14"/>
    <w:rsid w:val="729849D7"/>
    <w:rsid w:val="729C70D4"/>
    <w:rsid w:val="72A147C1"/>
    <w:rsid w:val="72A1F285"/>
    <w:rsid w:val="72A563CF"/>
    <w:rsid w:val="72AE5107"/>
    <w:rsid w:val="72BB57EB"/>
    <w:rsid w:val="72C17BE9"/>
    <w:rsid w:val="72C216FA"/>
    <w:rsid w:val="72CAFC5A"/>
    <w:rsid w:val="72CB3921"/>
    <w:rsid w:val="72D23E4B"/>
    <w:rsid w:val="72D3D1F6"/>
    <w:rsid w:val="72E91D8C"/>
    <w:rsid w:val="72F260C7"/>
    <w:rsid w:val="72F63D88"/>
    <w:rsid w:val="72F9A3F1"/>
    <w:rsid w:val="72FA6DD7"/>
    <w:rsid w:val="72FB950B"/>
    <w:rsid w:val="73009E6B"/>
    <w:rsid w:val="730EB4A6"/>
    <w:rsid w:val="7322C939"/>
    <w:rsid w:val="733202E2"/>
    <w:rsid w:val="733CD255"/>
    <w:rsid w:val="734D8517"/>
    <w:rsid w:val="734E9FFB"/>
    <w:rsid w:val="7352C46A"/>
    <w:rsid w:val="73563BE7"/>
    <w:rsid w:val="735FAAB5"/>
    <w:rsid w:val="73625096"/>
    <w:rsid w:val="7367B97F"/>
    <w:rsid w:val="736F1EDF"/>
    <w:rsid w:val="73829A9B"/>
    <w:rsid w:val="7383C3E1"/>
    <w:rsid w:val="73907BD4"/>
    <w:rsid w:val="7391576A"/>
    <w:rsid w:val="73932559"/>
    <w:rsid w:val="73A26A6E"/>
    <w:rsid w:val="73AC28C2"/>
    <w:rsid w:val="73B08121"/>
    <w:rsid w:val="73B50B32"/>
    <w:rsid w:val="73B56742"/>
    <w:rsid w:val="73B71E44"/>
    <w:rsid w:val="73C4A602"/>
    <w:rsid w:val="73D1D5BC"/>
    <w:rsid w:val="73D86F61"/>
    <w:rsid w:val="73DC58BD"/>
    <w:rsid w:val="73E4C506"/>
    <w:rsid w:val="73E4EF91"/>
    <w:rsid w:val="73EA98A2"/>
    <w:rsid w:val="73EB3F74"/>
    <w:rsid w:val="73F38AD5"/>
    <w:rsid w:val="7404B542"/>
    <w:rsid w:val="740FEF9A"/>
    <w:rsid w:val="7414B682"/>
    <w:rsid w:val="7422AF7A"/>
    <w:rsid w:val="7449EB0D"/>
    <w:rsid w:val="744BC40E"/>
    <w:rsid w:val="745AE565"/>
    <w:rsid w:val="74655AB6"/>
    <w:rsid w:val="74764FB0"/>
    <w:rsid w:val="7480C85B"/>
    <w:rsid w:val="7481FA3E"/>
    <w:rsid w:val="748525B2"/>
    <w:rsid w:val="7488249F"/>
    <w:rsid w:val="7493149D"/>
    <w:rsid w:val="74936A9D"/>
    <w:rsid w:val="7496146D"/>
    <w:rsid w:val="74A5525A"/>
    <w:rsid w:val="74A6C38C"/>
    <w:rsid w:val="74AAFB9F"/>
    <w:rsid w:val="74CA710D"/>
    <w:rsid w:val="74D6CC06"/>
    <w:rsid w:val="74DB993F"/>
    <w:rsid w:val="74E0B43C"/>
    <w:rsid w:val="74E0CF91"/>
    <w:rsid w:val="74EECCF4"/>
    <w:rsid w:val="74F3739A"/>
    <w:rsid w:val="74FBFC76"/>
    <w:rsid w:val="750275C1"/>
    <w:rsid w:val="75087709"/>
    <w:rsid w:val="7509521B"/>
    <w:rsid w:val="7509B77E"/>
    <w:rsid w:val="7525B35B"/>
    <w:rsid w:val="753B703A"/>
    <w:rsid w:val="7541127C"/>
    <w:rsid w:val="75449F0D"/>
    <w:rsid w:val="75483DBD"/>
    <w:rsid w:val="754ED10A"/>
    <w:rsid w:val="75506051"/>
    <w:rsid w:val="75576F9C"/>
    <w:rsid w:val="7557874F"/>
    <w:rsid w:val="755FD94D"/>
    <w:rsid w:val="75734BEA"/>
    <w:rsid w:val="75801BCF"/>
    <w:rsid w:val="75818454"/>
    <w:rsid w:val="758D04CA"/>
    <w:rsid w:val="758F1875"/>
    <w:rsid w:val="75951E99"/>
    <w:rsid w:val="7596FDE1"/>
    <w:rsid w:val="75AA5F61"/>
    <w:rsid w:val="75CAB545"/>
    <w:rsid w:val="75D687D2"/>
    <w:rsid w:val="75E3F6D2"/>
    <w:rsid w:val="75E831B8"/>
    <w:rsid w:val="75EF603F"/>
    <w:rsid w:val="75F1ECA0"/>
    <w:rsid w:val="760FA565"/>
    <w:rsid w:val="761A4053"/>
    <w:rsid w:val="7629D597"/>
    <w:rsid w:val="763168BB"/>
    <w:rsid w:val="7634490A"/>
    <w:rsid w:val="76375DAB"/>
    <w:rsid w:val="7637D049"/>
    <w:rsid w:val="7638E898"/>
    <w:rsid w:val="763A14E7"/>
    <w:rsid w:val="764028F4"/>
    <w:rsid w:val="7640A667"/>
    <w:rsid w:val="76482DAD"/>
    <w:rsid w:val="7655B9D7"/>
    <w:rsid w:val="76595984"/>
    <w:rsid w:val="765D4C44"/>
    <w:rsid w:val="7662C79A"/>
    <w:rsid w:val="766B0760"/>
    <w:rsid w:val="766F53CA"/>
    <w:rsid w:val="76724E63"/>
    <w:rsid w:val="7681A84B"/>
    <w:rsid w:val="76863E30"/>
    <w:rsid w:val="768B1B26"/>
    <w:rsid w:val="769294FD"/>
    <w:rsid w:val="769514E9"/>
    <w:rsid w:val="76981480"/>
    <w:rsid w:val="769D277F"/>
    <w:rsid w:val="769E41B2"/>
    <w:rsid w:val="76B7B663"/>
    <w:rsid w:val="76CCBA50"/>
    <w:rsid w:val="76D07D11"/>
    <w:rsid w:val="76E1A7D2"/>
    <w:rsid w:val="76E224CB"/>
    <w:rsid w:val="76EA50AF"/>
    <w:rsid w:val="76EF37EB"/>
    <w:rsid w:val="76F97085"/>
    <w:rsid w:val="76F98CC8"/>
    <w:rsid w:val="7700DB49"/>
    <w:rsid w:val="7706CB97"/>
    <w:rsid w:val="770DD009"/>
    <w:rsid w:val="77113AB6"/>
    <w:rsid w:val="7714A25E"/>
    <w:rsid w:val="7717CCAA"/>
    <w:rsid w:val="772311AE"/>
    <w:rsid w:val="772E6453"/>
    <w:rsid w:val="773E4551"/>
    <w:rsid w:val="77401741"/>
    <w:rsid w:val="7756A5A3"/>
    <w:rsid w:val="775831AE"/>
    <w:rsid w:val="7767F059"/>
    <w:rsid w:val="776C78BE"/>
    <w:rsid w:val="776E5B9E"/>
    <w:rsid w:val="7775359E"/>
    <w:rsid w:val="77843512"/>
    <w:rsid w:val="7796137E"/>
    <w:rsid w:val="779A1BAB"/>
    <w:rsid w:val="779C2BED"/>
    <w:rsid w:val="77A26FBD"/>
    <w:rsid w:val="77A6F6C9"/>
    <w:rsid w:val="77A982CD"/>
    <w:rsid w:val="77B1C555"/>
    <w:rsid w:val="77B7B3DD"/>
    <w:rsid w:val="77BB27C3"/>
    <w:rsid w:val="77C73DAE"/>
    <w:rsid w:val="77E55E32"/>
    <w:rsid w:val="77EA82C2"/>
    <w:rsid w:val="77F6673C"/>
    <w:rsid w:val="77FC842A"/>
    <w:rsid w:val="77FEAA27"/>
    <w:rsid w:val="77FFB1FE"/>
    <w:rsid w:val="780DACE0"/>
    <w:rsid w:val="781DC048"/>
    <w:rsid w:val="781FAA05"/>
    <w:rsid w:val="7825B98F"/>
    <w:rsid w:val="78334F49"/>
    <w:rsid w:val="78424176"/>
    <w:rsid w:val="784612E1"/>
    <w:rsid w:val="784FC2CA"/>
    <w:rsid w:val="78509167"/>
    <w:rsid w:val="785981D2"/>
    <w:rsid w:val="785D24CA"/>
    <w:rsid w:val="7875AC4D"/>
    <w:rsid w:val="787DB922"/>
    <w:rsid w:val="787FB87F"/>
    <w:rsid w:val="78858B52"/>
    <w:rsid w:val="789783E3"/>
    <w:rsid w:val="789BCA27"/>
    <w:rsid w:val="789E7581"/>
    <w:rsid w:val="789E909C"/>
    <w:rsid w:val="78A188B9"/>
    <w:rsid w:val="78B5B8CF"/>
    <w:rsid w:val="78B7878D"/>
    <w:rsid w:val="78C17231"/>
    <w:rsid w:val="78C6B3B8"/>
    <w:rsid w:val="78CA4F10"/>
    <w:rsid w:val="78CE5C68"/>
    <w:rsid w:val="78D3AC71"/>
    <w:rsid w:val="78D81D51"/>
    <w:rsid w:val="78EED2BF"/>
    <w:rsid w:val="78F35430"/>
    <w:rsid w:val="78F646C9"/>
    <w:rsid w:val="78F7246C"/>
    <w:rsid w:val="78FE87F4"/>
    <w:rsid w:val="79067989"/>
    <w:rsid w:val="7909513B"/>
    <w:rsid w:val="7909FBBB"/>
    <w:rsid w:val="791E71C7"/>
    <w:rsid w:val="7921888F"/>
    <w:rsid w:val="7922D0C9"/>
    <w:rsid w:val="7922D3F5"/>
    <w:rsid w:val="7927C63C"/>
    <w:rsid w:val="7935868A"/>
    <w:rsid w:val="793A9964"/>
    <w:rsid w:val="7941F606"/>
    <w:rsid w:val="794558F0"/>
    <w:rsid w:val="79513E22"/>
    <w:rsid w:val="795336C8"/>
    <w:rsid w:val="7954057F"/>
    <w:rsid w:val="795AEB63"/>
    <w:rsid w:val="795DCF78"/>
    <w:rsid w:val="7966887A"/>
    <w:rsid w:val="7970D169"/>
    <w:rsid w:val="7971A58D"/>
    <w:rsid w:val="7974D146"/>
    <w:rsid w:val="7983452A"/>
    <w:rsid w:val="79856C16"/>
    <w:rsid w:val="7985C0A5"/>
    <w:rsid w:val="79866C1F"/>
    <w:rsid w:val="79894B12"/>
    <w:rsid w:val="79A660DA"/>
    <w:rsid w:val="79A7B2E2"/>
    <w:rsid w:val="79B6DF7B"/>
    <w:rsid w:val="79BA0C14"/>
    <w:rsid w:val="79BE58AF"/>
    <w:rsid w:val="79C71332"/>
    <w:rsid w:val="79D55A24"/>
    <w:rsid w:val="79F23D44"/>
    <w:rsid w:val="79F2CB38"/>
    <w:rsid w:val="79F7D034"/>
    <w:rsid w:val="7A01354B"/>
    <w:rsid w:val="7A050527"/>
    <w:rsid w:val="7A11B892"/>
    <w:rsid w:val="7A1C2DBD"/>
    <w:rsid w:val="7A1D4203"/>
    <w:rsid w:val="7A1EDAE7"/>
    <w:rsid w:val="7A25E20F"/>
    <w:rsid w:val="7A2D7C66"/>
    <w:rsid w:val="7A447057"/>
    <w:rsid w:val="7A487442"/>
    <w:rsid w:val="7A5DAEDD"/>
    <w:rsid w:val="7A61AD29"/>
    <w:rsid w:val="7A6475C9"/>
    <w:rsid w:val="7A79303A"/>
    <w:rsid w:val="7A7949A5"/>
    <w:rsid w:val="7A7BDA36"/>
    <w:rsid w:val="7A7E0928"/>
    <w:rsid w:val="7A8107E0"/>
    <w:rsid w:val="7A840F88"/>
    <w:rsid w:val="7A884BF6"/>
    <w:rsid w:val="7A8936AD"/>
    <w:rsid w:val="7A92231C"/>
    <w:rsid w:val="7A95A95E"/>
    <w:rsid w:val="7A9B2DF6"/>
    <w:rsid w:val="7A9B427B"/>
    <w:rsid w:val="7A9B6E11"/>
    <w:rsid w:val="7A9C6C66"/>
    <w:rsid w:val="7AA0BEC9"/>
    <w:rsid w:val="7AA26C6C"/>
    <w:rsid w:val="7AA51992"/>
    <w:rsid w:val="7AAB9AE7"/>
    <w:rsid w:val="7AB0BFDF"/>
    <w:rsid w:val="7ABA8E90"/>
    <w:rsid w:val="7AD08358"/>
    <w:rsid w:val="7AD43DB2"/>
    <w:rsid w:val="7AEA6402"/>
    <w:rsid w:val="7AEBF710"/>
    <w:rsid w:val="7AEDAA59"/>
    <w:rsid w:val="7B1BA02B"/>
    <w:rsid w:val="7B1D2181"/>
    <w:rsid w:val="7B2FAEB4"/>
    <w:rsid w:val="7B3C2363"/>
    <w:rsid w:val="7B3D35C9"/>
    <w:rsid w:val="7B423B34"/>
    <w:rsid w:val="7B4DA9D6"/>
    <w:rsid w:val="7B554AB5"/>
    <w:rsid w:val="7B6937B2"/>
    <w:rsid w:val="7B8077CA"/>
    <w:rsid w:val="7B8913C8"/>
    <w:rsid w:val="7B90BF23"/>
    <w:rsid w:val="7B996AFC"/>
    <w:rsid w:val="7B9A406D"/>
    <w:rsid w:val="7B9EA220"/>
    <w:rsid w:val="7B9F9468"/>
    <w:rsid w:val="7BA34D3A"/>
    <w:rsid w:val="7BA6E487"/>
    <w:rsid w:val="7BA867BB"/>
    <w:rsid w:val="7BAB115C"/>
    <w:rsid w:val="7BB8BB32"/>
    <w:rsid w:val="7BBC012B"/>
    <w:rsid w:val="7BC018F0"/>
    <w:rsid w:val="7BCBAD5D"/>
    <w:rsid w:val="7BCD5A46"/>
    <w:rsid w:val="7BCD79EC"/>
    <w:rsid w:val="7BD3E11A"/>
    <w:rsid w:val="7BD40880"/>
    <w:rsid w:val="7BDB468F"/>
    <w:rsid w:val="7BEAE9D9"/>
    <w:rsid w:val="7BEE714D"/>
    <w:rsid w:val="7BF5CC66"/>
    <w:rsid w:val="7BF71CAB"/>
    <w:rsid w:val="7C14E0EB"/>
    <w:rsid w:val="7C1A57C9"/>
    <w:rsid w:val="7C1FED91"/>
    <w:rsid w:val="7C23483A"/>
    <w:rsid w:val="7C23A639"/>
    <w:rsid w:val="7C25E2E5"/>
    <w:rsid w:val="7C366786"/>
    <w:rsid w:val="7C3A2671"/>
    <w:rsid w:val="7C3C8659"/>
    <w:rsid w:val="7C43BAC1"/>
    <w:rsid w:val="7C44B005"/>
    <w:rsid w:val="7C58DDC6"/>
    <w:rsid w:val="7C5A2C12"/>
    <w:rsid w:val="7C5DC797"/>
    <w:rsid w:val="7C63C2C8"/>
    <w:rsid w:val="7C6D67A1"/>
    <w:rsid w:val="7C774D08"/>
    <w:rsid w:val="7C7AF25D"/>
    <w:rsid w:val="7C8C066A"/>
    <w:rsid w:val="7C932CE7"/>
    <w:rsid w:val="7C9D07BE"/>
    <w:rsid w:val="7CA10085"/>
    <w:rsid w:val="7CAA1501"/>
    <w:rsid w:val="7CAB1599"/>
    <w:rsid w:val="7CADF668"/>
    <w:rsid w:val="7CB0EE61"/>
    <w:rsid w:val="7CB35EC0"/>
    <w:rsid w:val="7CB688A1"/>
    <w:rsid w:val="7CB6B0D7"/>
    <w:rsid w:val="7CB8561C"/>
    <w:rsid w:val="7CC63381"/>
    <w:rsid w:val="7CC7A818"/>
    <w:rsid w:val="7CCF72A8"/>
    <w:rsid w:val="7CDB9C4B"/>
    <w:rsid w:val="7CDE5483"/>
    <w:rsid w:val="7CE5446A"/>
    <w:rsid w:val="7D0098F1"/>
    <w:rsid w:val="7D00C8B8"/>
    <w:rsid w:val="7D0984D5"/>
    <w:rsid w:val="7D0FE144"/>
    <w:rsid w:val="7D10D4A4"/>
    <w:rsid w:val="7D131417"/>
    <w:rsid w:val="7D136997"/>
    <w:rsid w:val="7D1723CD"/>
    <w:rsid w:val="7D1ACAB6"/>
    <w:rsid w:val="7D1C3B9A"/>
    <w:rsid w:val="7D2133E5"/>
    <w:rsid w:val="7D437CB8"/>
    <w:rsid w:val="7D49BF7F"/>
    <w:rsid w:val="7D4DE423"/>
    <w:rsid w:val="7D509820"/>
    <w:rsid w:val="7D533633"/>
    <w:rsid w:val="7D59ED39"/>
    <w:rsid w:val="7D5C58D7"/>
    <w:rsid w:val="7D5F0037"/>
    <w:rsid w:val="7D5FBA8D"/>
    <w:rsid w:val="7D60C7F1"/>
    <w:rsid w:val="7D67840A"/>
    <w:rsid w:val="7D6AA6E2"/>
    <w:rsid w:val="7D76C5AE"/>
    <w:rsid w:val="7D78CE6F"/>
    <w:rsid w:val="7D7A8E3E"/>
    <w:rsid w:val="7D7BFD27"/>
    <w:rsid w:val="7D81499B"/>
    <w:rsid w:val="7D83999F"/>
    <w:rsid w:val="7D8B7963"/>
    <w:rsid w:val="7D956EA1"/>
    <w:rsid w:val="7D97B15D"/>
    <w:rsid w:val="7DA1A695"/>
    <w:rsid w:val="7DA437B9"/>
    <w:rsid w:val="7DA4FF4F"/>
    <w:rsid w:val="7DB35E09"/>
    <w:rsid w:val="7DD8F251"/>
    <w:rsid w:val="7DDF9D43"/>
    <w:rsid w:val="7DE882CC"/>
    <w:rsid w:val="7DEE8C23"/>
    <w:rsid w:val="7DF226A5"/>
    <w:rsid w:val="7DF5B25C"/>
    <w:rsid w:val="7DF97900"/>
    <w:rsid w:val="7DFD0147"/>
    <w:rsid w:val="7E19F9EC"/>
    <w:rsid w:val="7E26E789"/>
    <w:rsid w:val="7E2FBD0A"/>
    <w:rsid w:val="7E30DE7E"/>
    <w:rsid w:val="7E419CA9"/>
    <w:rsid w:val="7E4D1D02"/>
    <w:rsid w:val="7E53A43A"/>
    <w:rsid w:val="7E559049"/>
    <w:rsid w:val="7E6854B5"/>
    <w:rsid w:val="7E7CA082"/>
    <w:rsid w:val="7E7EB72C"/>
    <w:rsid w:val="7E82521B"/>
    <w:rsid w:val="7E950BBC"/>
    <w:rsid w:val="7E9BAC74"/>
    <w:rsid w:val="7E9EC59E"/>
    <w:rsid w:val="7EA209B9"/>
    <w:rsid w:val="7EAC15A3"/>
    <w:rsid w:val="7EAE8751"/>
    <w:rsid w:val="7EB233AA"/>
    <w:rsid w:val="7EB262B5"/>
    <w:rsid w:val="7EBE9CAF"/>
    <w:rsid w:val="7ECCC300"/>
    <w:rsid w:val="7ED00025"/>
    <w:rsid w:val="7ED5C5DC"/>
    <w:rsid w:val="7EDEC966"/>
    <w:rsid w:val="7EE5494E"/>
    <w:rsid w:val="7EE7A88D"/>
    <w:rsid w:val="7EE99BB5"/>
    <w:rsid w:val="7EED751F"/>
    <w:rsid w:val="7F064940"/>
    <w:rsid w:val="7F0D90D9"/>
    <w:rsid w:val="7F1F54CD"/>
    <w:rsid w:val="7F359B2F"/>
    <w:rsid w:val="7F3668B1"/>
    <w:rsid w:val="7F37C9D3"/>
    <w:rsid w:val="7F387A00"/>
    <w:rsid w:val="7F3C608D"/>
    <w:rsid w:val="7F45A2CE"/>
    <w:rsid w:val="7F53D207"/>
    <w:rsid w:val="7F575D26"/>
    <w:rsid w:val="7F795388"/>
    <w:rsid w:val="7F83A91A"/>
    <w:rsid w:val="7F867B27"/>
    <w:rsid w:val="7FBA0776"/>
    <w:rsid w:val="7FBA9928"/>
    <w:rsid w:val="7FC2CB20"/>
    <w:rsid w:val="7FC66782"/>
    <w:rsid w:val="7FD8B950"/>
    <w:rsid w:val="7FDBA8AC"/>
    <w:rsid w:val="7FE19C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D9709C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0ECD"/>
    <w:pPr>
      <w:spacing w:after="120" w:line="360" w:lineRule="auto"/>
      <w:jc w:val="both"/>
    </w:pPr>
    <w:rPr>
      <w:rFonts w:ascii="Georgia" w:hAnsi="Georgia"/>
    </w:rPr>
  </w:style>
  <w:style w:type="paragraph" w:styleId="Heading1">
    <w:name w:val="heading 1"/>
    <w:basedOn w:val="Normal"/>
    <w:next w:val="Normal"/>
    <w:link w:val="Heading1Char"/>
    <w:qFormat/>
    <w:rsid w:val="00920320"/>
    <w:pPr>
      <w:keepNext/>
      <w:keepLines/>
      <w:numPr>
        <w:numId w:val="8"/>
      </w:numPr>
      <w:spacing w:before="240" w:after="240" w:line="240" w:lineRule="auto"/>
      <w:ind w:right="720"/>
      <w:outlineLvl w:val="0"/>
    </w:pPr>
    <w:rPr>
      <w:rFonts w:ascii="Times New Roman" w:eastAsia="Times New Roman" w:hAnsi="Times New Roman" w:cs="Times New Roman"/>
      <w:b/>
      <w:bCs/>
    </w:rPr>
  </w:style>
  <w:style w:type="paragraph" w:styleId="Heading2">
    <w:name w:val="heading 2"/>
    <w:basedOn w:val="Normal"/>
    <w:next w:val="Normal"/>
    <w:link w:val="Heading2Char"/>
    <w:qFormat/>
    <w:rsid w:val="00920320"/>
    <w:pPr>
      <w:keepNext/>
      <w:keepLines/>
      <w:numPr>
        <w:numId w:val="19"/>
      </w:numPr>
      <w:spacing w:before="120" w:after="240" w:line="240" w:lineRule="auto"/>
      <w:outlineLvl w:val="1"/>
    </w:pPr>
    <w:rPr>
      <w:rFonts w:ascii="Times New Roman" w:eastAsia="Georgia" w:hAnsi="Times New Roman" w:cs="Georgia"/>
      <w:b/>
      <w:bCs/>
    </w:rPr>
  </w:style>
  <w:style w:type="paragraph" w:styleId="Heading3">
    <w:name w:val="heading 3"/>
    <w:basedOn w:val="Normal"/>
    <w:next w:val="Normal"/>
    <w:link w:val="Heading3Char"/>
    <w:qFormat/>
    <w:rsid w:val="00920320"/>
    <w:pPr>
      <w:keepNext/>
      <w:keepLines/>
      <w:numPr>
        <w:numId w:val="10"/>
      </w:numPr>
      <w:spacing w:before="120" w:after="240" w:line="240" w:lineRule="auto"/>
      <w:ind w:right="720"/>
      <w:outlineLvl w:val="2"/>
    </w:pPr>
    <w:rPr>
      <w:rFonts w:ascii="Times New Roman" w:eastAsia="Times New Roman" w:hAnsi="Times New Roman" w:cs="Times New Roman"/>
      <w:b/>
      <w:bCs/>
    </w:rPr>
  </w:style>
  <w:style w:type="paragraph" w:styleId="Heading4">
    <w:name w:val="heading 4"/>
    <w:basedOn w:val="Normal"/>
    <w:next w:val="Normal"/>
    <w:link w:val="Heading4Char"/>
    <w:qFormat/>
    <w:rsid w:val="00920320"/>
    <w:pPr>
      <w:keepNext/>
      <w:numPr>
        <w:numId w:val="6"/>
      </w:numPr>
      <w:tabs>
        <w:tab w:val="num" w:pos="2880"/>
      </w:tabs>
      <w:spacing w:before="60" w:after="240" w:line="240" w:lineRule="auto"/>
      <w:ind w:right="720"/>
      <w:jc w:val="left"/>
      <w:outlineLvl w:val="3"/>
    </w:pPr>
    <w:rPr>
      <w:rFonts w:ascii="Times New Roman" w:eastAsia="Times New Roman" w:hAnsi="Times New Roman" w:cs="Times New Roman"/>
      <w:i/>
      <w:iCs/>
    </w:rPr>
  </w:style>
  <w:style w:type="paragraph" w:styleId="Heading5">
    <w:name w:val="heading 5"/>
    <w:basedOn w:val="Normal"/>
    <w:next w:val="Normal"/>
    <w:link w:val="Heading5Char"/>
    <w:qFormat/>
    <w:rsid w:val="00442AB2"/>
    <w:pPr>
      <w:numPr>
        <w:ilvl w:val="4"/>
        <w:numId w:val="8"/>
      </w:numPr>
      <w:tabs>
        <w:tab w:val="num" w:pos="0"/>
      </w:tabs>
      <w:spacing w:before="120" w:after="60"/>
      <w:ind w:right="720"/>
      <w:outlineLvl w:val="4"/>
    </w:pPr>
    <w:rPr>
      <w:rFonts w:eastAsia="Times New Roman" w:cs="Arial"/>
      <w:sz w:val="22"/>
      <w:szCs w:val="22"/>
    </w:rPr>
  </w:style>
  <w:style w:type="paragraph" w:styleId="Heading6">
    <w:name w:val="heading 6"/>
    <w:basedOn w:val="Normal"/>
    <w:next w:val="Normal"/>
    <w:link w:val="Heading6Char"/>
    <w:qFormat/>
    <w:pPr>
      <w:numPr>
        <w:ilvl w:val="5"/>
        <w:numId w:val="8"/>
      </w:numPr>
      <w:tabs>
        <w:tab w:val="num" w:pos="0"/>
      </w:tabs>
      <w:spacing w:before="60" w:after="60"/>
      <w:ind w:right="720"/>
      <w:outlineLvl w:val="5"/>
    </w:pPr>
    <w:rPr>
      <w:rFonts w:eastAsia="Times New Roman" w:cs="Times New Roman"/>
      <w:i/>
      <w:iCs/>
      <w:sz w:val="22"/>
      <w:szCs w:val="22"/>
    </w:rPr>
  </w:style>
  <w:style w:type="paragraph" w:styleId="Heading7">
    <w:name w:val="heading 7"/>
    <w:basedOn w:val="Normal"/>
    <w:next w:val="Normal"/>
    <w:link w:val="Heading7Char"/>
    <w:qFormat/>
    <w:pPr>
      <w:numPr>
        <w:ilvl w:val="6"/>
        <w:numId w:val="8"/>
      </w:numPr>
      <w:tabs>
        <w:tab w:val="num" w:pos="0"/>
      </w:tabs>
      <w:spacing w:before="60" w:after="60"/>
      <w:ind w:right="720"/>
      <w:outlineLvl w:val="6"/>
    </w:pPr>
    <w:rPr>
      <w:rFonts w:ascii="TimesNewRomanPSMT" w:eastAsia="Georgia" w:hAnsi="TimesNewRomanPSMT" w:cs="TimesNewRomanPSMT"/>
      <w:sz w:val="20"/>
      <w:szCs w:val="20"/>
    </w:rPr>
  </w:style>
  <w:style w:type="paragraph" w:styleId="Heading8">
    <w:name w:val="heading 8"/>
    <w:basedOn w:val="Normal"/>
    <w:next w:val="Normal"/>
    <w:link w:val="Heading8Char"/>
    <w:qFormat/>
    <w:pPr>
      <w:numPr>
        <w:ilvl w:val="7"/>
        <w:numId w:val="8"/>
      </w:numPr>
      <w:tabs>
        <w:tab w:val="num" w:pos="0"/>
      </w:tabs>
      <w:spacing w:before="60" w:after="60"/>
      <w:ind w:right="720"/>
      <w:outlineLvl w:val="7"/>
    </w:pPr>
    <w:rPr>
      <w:rFonts w:ascii="TimesNewRomanPSMT" w:eastAsia="Georgia" w:hAnsi="TimesNewRomanPSMT" w:cs="TimesNewRomanPSMT"/>
      <w:i/>
      <w:iCs/>
      <w:sz w:val="20"/>
      <w:szCs w:val="20"/>
    </w:rPr>
  </w:style>
  <w:style w:type="paragraph" w:styleId="Heading9">
    <w:name w:val="heading 9"/>
    <w:basedOn w:val="Normal"/>
    <w:next w:val="Normal"/>
    <w:link w:val="Heading9Char"/>
    <w:qFormat/>
    <w:pPr>
      <w:numPr>
        <w:ilvl w:val="8"/>
        <w:numId w:val="8"/>
      </w:numPr>
      <w:tabs>
        <w:tab w:val="num" w:pos="0"/>
      </w:tabs>
      <w:spacing w:before="60" w:after="60"/>
      <w:ind w:right="720"/>
      <w:outlineLvl w:val="8"/>
    </w:pPr>
    <w:rPr>
      <w:rFonts w:ascii="TimesNewRomanPSMT" w:eastAsia="Georgia" w:hAnsi="TimesNewRomanPSMT" w:cs="TimesNewRomanPSMT"/>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character" w:customStyle="1" w:styleId="Heading1Char">
    <w:name w:val="Heading 1 Char"/>
    <w:basedOn w:val="DefaultParagraphFont"/>
    <w:link w:val="Heading1"/>
    <w:rsid w:val="00D50871"/>
    <w:rPr>
      <w:rFonts w:ascii="Times New Roman" w:eastAsia="Times New Roman" w:hAnsi="Times New Roman" w:cs="Times New Roman"/>
      <w:b/>
      <w:bCs/>
    </w:rPr>
  </w:style>
  <w:style w:type="character" w:customStyle="1" w:styleId="Heading2Char">
    <w:name w:val="Heading 2 Char"/>
    <w:basedOn w:val="DefaultParagraphFont"/>
    <w:link w:val="Heading2"/>
    <w:rsid w:val="00174A76"/>
    <w:rPr>
      <w:rFonts w:ascii="Times New Roman" w:eastAsia="Georgia" w:hAnsi="Times New Roman" w:cs="Georgia"/>
      <w:b/>
      <w:bCs/>
    </w:rPr>
  </w:style>
  <w:style w:type="character" w:customStyle="1" w:styleId="Heading3Char">
    <w:name w:val="Heading 3 Char"/>
    <w:basedOn w:val="DefaultParagraphFont"/>
    <w:link w:val="Heading3"/>
    <w:rPr>
      <w:rFonts w:ascii="Times New Roman" w:eastAsia="Times New Roman" w:hAnsi="Times New Roman" w:cs="Times New Roman"/>
      <w:b/>
      <w:bCs/>
    </w:rPr>
  </w:style>
  <w:style w:type="character" w:customStyle="1" w:styleId="Heading4Char">
    <w:name w:val="Heading 4 Char"/>
    <w:basedOn w:val="DefaultParagraphFont"/>
    <w:link w:val="Heading4"/>
    <w:rsid w:val="00275075"/>
    <w:rPr>
      <w:rFonts w:ascii="Times New Roman" w:eastAsia="Times New Roman" w:hAnsi="Times New Roman" w:cs="Times New Roman"/>
      <w:i/>
      <w:iCs/>
    </w:rPr>
  </w:style>
  <w:style w:type="character" w:customStyle="1" w:styleId="Heading5Char">
    <w:name w:val="Heading 5 Char"/>
    <w:basedOn w:val="DefaultParagraphFont"/>
    <w:link w:val="Heading5"/>
    <w:rPr>
      <w:rFonts w:ascii="Georgia" w:eastAsia="Times New Roman" w:hAnsi="Georgia" w:cs="Arial"/>
      <w:sz w:val="22"/>
      <w:szCs w:val="22"/>
    </w:rPr>
  </w:style>
  <w:style w:type="character" w:customStyle="1" w:styleId="Heading6Char">
    <w:name w:val="Heading 6 Char"/>
    <w:basedOn w:val="DefaultParagraphFont"/>
    <w:link w:val="Heading6"/>
    <w:rPr>
      <w:rFonts w:ascii="Georgia" w:eastAsia="Times New Roman" w:hAnsi="Georgia" w:cs="Times New Roman"/>
      <w:i/>
      <w:iCs/>
      <w:sz w:val="22"/>
      <w:szCs w:val="22"/>
    </w:rPr>
  </w:style>
  <w:style w:type="character" w:customStyle="1" w:styleId="Heading7Char">
    <w:name w:val="Heading 7 Char"/>
    <w:basedOn w:val="DefaultParagraphFont"/>
    <w:link w:val="Heading7"/>
    <w:rPr>
      <w:rFonts w:ascii="TimesNewRomanPSMT" w:eastAsia="Georgia" w:hAnsi="TimesNewRomanPSMT" w:cs="TimesNewRomanPSMT"/>
      <w:sz w:val="20"/>
      <w:szCs w:val="20"/>
    </w:rPr>
  </w:style>
  <w:style w:type="character" w:customStyle="1" w:styleId="Heading8Char">
    <w:name w:val="Heading 8 Char"/>
    <w:basedOn w:val="DefaultParagraphFont"/>
    <w:link w:val="Heading8"/>
    <w:rPr>
      <w:rFonts w:ascii="TimesNewRomanPSMT" w:eastAsia="Georgia" w:hAnsi="TimesNewRomanPSMT" w:cs="TimesNewRomanPSMT"/>
      <w:i/>
      <w:iCs/>
      <w:sz w:val="20"/>
      <w:szCs w:val="20"/>
    </w:rPr>
  </w:style>
  <w:style w:type="character" w:customStyle="1" w:styleId="Heading9Char">
    <w:name w:val="Heading 9 Char"/>
    <w:basedOn w:val="DefaultParagraphFont"/>
    <w:link w:val="Heading9"/>
    <w:rPr>
      <w:rFonts w:ascii="TimesNewRomanPSMT" w:eastAsia="Georgia" w:hAnsi="TimesNewRomanPSMT" w:cs="TimesNewRomanPSMT"/>
      <w:b/>
      <w:bCs/>
      <w:i/>
      <w:iCs/>
      <w:sz w:val="18"/>
      <w:szCs w:val="18"/>
    </w:rPr>
  </w:style>
  <w:style w:type="paragraph" w:styleId="BodyText">
    <w:name w:val="Body Text"/>
    <w:link w:val="BodyTextChar"/>
    <w:pPr>
      <w:numPr>
        <w:numId w:val="1"/>
      </w:numPr>
      <w:spacing w:after="120" w:line="480" w:lineRule="auto"/>
    </w:pPr>
    <w:rPr>
      <w:rFonts w:ascii="Georgia" w:eastAsia="Georgia" w:hAnsi="Georgia" w:cs="Georgia"/>
    </w:rPr>
  </w:style>
  <w:style w:type="character" w:customStyle="1" w:styleId="BodyTextChar">
    <w:name w:val="Body Text Char"/>
    <w:basedOn w:val="DefaultParagraphFont"/>
    <w:link w:val="BodyText"/>
    <w:rPr>
      <w:rFonts w:ascii="Georgia" w:eastAsia="Georgia" w:hAnsi="Georgia" w:cs="Georgia"/>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sid w:val="00114752"/>
    <w:rPr>
      <w:rFonts w:ascii="Times New Roman" w:hAnsi="Times New Roman"/>
      <w:sz w:val="20"/>
      <w:szCs w:val="20"/>
    </w:rPr>
  </w:style>
  <w:style w:type="character" w:customStyle="1" w:styleId="CommentTextChar">
    <w:name w:val="Comment Text Char"/>
    <w:basedOn w:val="DefaultParagraphFont"/>
    <w:link w:val="CommentText"/>
    <w:uiPriority w:val="9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paragraph" w:styleId="BalloonText">
    <w:name w:val="Balloon Text"/>
    <w:basedOn w:val="Normal"/>
    <w:link w:val="BalloonTextChar"/>
    <w:uiPriority w:val="99"/>
    <w:semiHidden/>
    <w:unhideWhenUsed/>
    <w:rsid w:val="00065080"/>
    <w:rPr>
      <w:rFonts w:ascii="Times New Roman" w:hAnsi="Times New Roman" w:cs="Symbol"/>
      <w:sz w:val="16"/>
      <w:szCs w:val="16"/>
    </w:rPr>
  </w:style>
  <w:style w:type="character" w:customStyle="1" w:styleId="BalloonTextChar">
    <w:name w:val="Balloon Text Char"/>
    <w:basedOn w:val="DefaultParagraphFont"/>
    <w:link w:val="BalloonText"/>
    <w:uiPriority w:val="99"/>
    <w:semiHidden/>
    <w:rPr>
      <w:rFonts w:ascii="Times New Roman" w:hAnsi="Times New Roman" w:cs="Symbol"/>
      <w:sz w:val="16"/>
      <w:szCs w:val="16"/>
    </w:rPr>
  </w:style>
  <w:style w:type="paragraph" w:styleId="Revision">
    <w:name w:val="Revision"/>
    <w:hidden/>
    <w:uiPriority w:val="99"/>
    <w:semiHidden/>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FootnoteText">
    <w:name w:val="footnote text"/>
    <w:aliases w:val="Footnote Text Char Char Char,Footnote Text Char Char Char Char Char,Footnote Text Char Char1 Char,Footnote Text Char1 Char,Footnote Text Char1 Char Char Char,fn Char Char Char,fn Char Char Char Char Char"/>
    <w:basedOn w:val="Normal"/>
    <w:link w:val="FootnoteTextChar"/>
    <w:uiPriority w:val="99"/>
    <w:unhideWhenUsed/>
    <w:rsid w:val="00016817"/>
    <w:pPr>
      <w:spacing w:line="240" w:lineRule="auto"/>
    </w:pPr>
    <w:rPr>
      <w:sz w:val="20"/>
      <w:szCs w:val="20"/>
    </w:rPr>
  </w:style>
  <w:style w:type="character" w:customStyle="1" w:styleId="FootnoteTextChar">
    <w:name w:val="Footnote Text Char"/>
    <w:aliases w:val="Footnote Text Char Char Char Char1,Footnote Text Char Char Char Char Char Char1,Footnote Text Char Char1 Char Char,Footnote Text Char1 Char Char1,Footnote Text Char1 Char Char Char Char1,fn Char Char Char Char1"/>
    <w:basedOn w:val="DefaultParagraphFont"/>
    <w:link w:val="FootnoteText"/>
    <w:uiPriority w:val="99"/>
    <w:rPr>
      <w:rFonts w:ascii="Times New Roman" w:hAnsi="Times New Roman"/>
      <w:sz w:val="20"/>
      <w:szCs w:val="20"/>
    </w:rPr>
  </w:style>
  <w:style w:type="character" w:styleId="FootnoteReference">
    <w:name w:val="footnote reference"/>
    <w:basedOn w:val="DefaultParagraphFont"/>
    <w:unhideWhenUsed/>
    <w:rPr>
      <w:vertAlign w:val="superscript"/>
    </w:rPr>
  </w:style>
  <w:style w:type="paragraph" w:customStyle="1" w:styleId="BodyTextChar1CharChar">
    <w:name w:val="Body  Text Char1 Char Char"/>
    <w:basedOn w:val="Normal"/>
    <w:pPr>
      <w:ind w:left="720" w:hanging="360"/>
    </w:pPr>
    <w:rPr>
      <w:rFonts w:eastAsia="Times New Roman" w:cs="Times New Roman"/>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n Char Char Char Char,fn Char Char Char Char Char Char"/>
    <w:rPr>
      <w:lang w:val="en-US" w:eastAsia="en-US" w:bidi="ar-SA"/>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TOCHeading">
    <w:name w:val="TOC Heading"/>
    <w:basedOn w:val="Heading1"/>
    <w:next w:val="Normal"/>
    <w:uiPriority w:val="39"/>
    <w:unhideWhenUsed/>
    <w:qFormat/>
    <w:pPr>
      <w:spacing w:after="0" w:line="259" w:lineRule="auto"/>
      <w:ind w:left="0" w:right="0" w:firstLine="0"/>
      <w:outlineLvl w:val="9"/>
    </w:pPr>
    <w:rPr>
      <w:rFonts w:asciiTheme="majorHAnsi" w:eastAsiaTheme="majorEastAsia" w:hAnsiTheme="majorHAnsi" w:cstheme="majorBidi"/>
      <w:b w:val="0"/>
      <w:bCs w:val="0"/>
      <w:caps/>
      <w:color w:val="365F91" w:themeColor="accent1" w:themeShade="BF"/>
      <w:sz w:val="32"/>
      <w:szCs w:val="32"/>
    </w:rPr>
  </w:style>
  <w:style w:type="paragraph" w:styleId="TOC1">
    <w:name w:val="toc 1"/>
    <w:basedOn w:val="Normal"/>
    <w:next w:val="Normal"/>
    <w:autoRedefine/>
    <w:uiPriority w:val="39"/>
    <w:unhideWhenUsed/>
    <w:rsid w:val="005A1A14"/>
    <w:pPr>
      <w:tabs>
        <w:tab w:val="left" w:pos="540"/>
        <w:tab w:val="right" w:leader="dot" w:pos="8640"/>
      </w:tabs>
      <w:spacing w:after="100"/>
      <w:ind w:left="540" w:right="720" w:hanging="540"/>
    </w:pPr>
  </w:style>
  <w:style w:type="paragraph" w:styleId="TOC2">
    <w:name w:val="toc 2"/>
    <w:basedOn w:val="Normal"/>
    <w:next w:val="Normal"/>
    <w:autoRedefine/>
    <w:uiPriority w:val="39"/>
    <w:unhideWhenUsed/>
    <w:pPr>
      <w:tabs>
        <w:tab w:val="left" w:pos="990"/>
        <w:tab w:val="right" w:leader="dot" w:pos="8640"/>
      </w:tabs>
      <w:ind w:left="990" w:right="720" w:hanging="420"/>
    </w:pPr>
    <w:rPr>
      <w:rFonts w:cs="Times New Roman"/>
      <w:noProof/>
    </w:rPr>
  </w:style>
  <w:style w:type="paragraph" w:styleId="TOC3">
    <w:name w:val="toc 3"/>
    <w:basedOn w:val="Normal"/>
    <w:next w:val="Normal"/>
    <w:autoRedefine/>
    <w:uiPriority w:val="39"/>
    <w:unhideWhenUsed/>
    <w:rsid w:val="005A1A14"/>
    <w:pPr>
      <w:tabs>
        <w:tab w:val="left" w:pos="1350"/>
        <w:tab w:val="right" w:leader="dot" w:pos="8640"/>
      </w:tabs>
      <w:ind w:left="1350" w:right="1170" w:hanging="360"/>
    </w:pPr>
  </w:style>
  <w:style w:type="paragraph" w:styleId="ListNumber">
    <w:name w:val="List Number"/>
    <w:basedOn w:val="Normal"/>
    <w:uiPriority w:val="99"/>
    <w:unhideWhenUsed/>
    <w:pPr>
      <w:numPr>
        <w:numId w:val="2"/>
      </w:numPr>
      <w:tabs>
        <w:tab w:val="clear" w:pos="360"/>
      </w:tabs>
      <w:spacing w:after="240"/>
      <w:ind w:left="0" w:firstLine="720"/>
      <w:contextualSpacing/>
    </w:pPr>
    <w:rPr>
      <w:rFonts w:cs="Times New Roman"/>
    </w:rPr>
  </w:style>
  <w:style w:type="table" w:styleId="TableGrid">
    <w:name w:val="Table Grid"/>
    <w:basedOn w:val="TableNormal"/>
    <w:uiPriority w:val="39"/>
    <w:pPr>
      <w:spacing w:after="120" w:line="480" w:lineRule="auto"/>
      <w:ind w:right="720"/>
    </w:pPr>
    <w:rPr>
      <w:rFonts w:ascii="Georgia" w:eastAsia="Georgia" w:hAnsi="Georgia" w:cs="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kadden2">
    <w:name w:val="Skadden2"/>
    <w:basedOn w:val="Normal"/>
    <w:link w:val="Skadden2Char"/>
    <w:pPr>
      <w:keepNext/>
      <w:keepLines/>
      <w:spacing w:after="240"/>
      <w:outlineLvl w:val="1"/>
    </w:pPr>
    <w:rPr>
      <w:rFonts w:eastAsia="SimSun"/>
      <w:color w:val="000000"/>
      <w:lang w:eastAsia="zh-CN"/>
    </w:rPr>
  </w:style>
  <w:style w:type="character" w:customStyle="1" w:styleId="Skadden2Char">
    <w:name w:val="Skadden2 Char"/>
    <w:basedOn w:val="DefaultParagraphFont"/>
    <w:link w:val="Skadden2"/>
    <w:rPr>
      <w:rFonts w:eastAsia="SimSun"/>
      <w:color w:val="000000"/>
      <w:lang w:eastAsia="zh-CN"/>
    </w:rPr>
  </w:style>
  <w:style w:type="character" w:customStyle="1" w:styleId="reference-text">
    <w:name w:val="reference-text"/>
    <w:basedOn w:val="DefaultParagraphFont"/>
  </w:style>
  <w:style w:type="character" w:customStyle="1" w:styleId="apple-converted-space">
    <w:name w:val="apple-converted-space"/>
    <w:basedOn w:val="DefaultParagraphFont"/>
  </w:style>
  <w:style w:type="paragraph" w:customStyle="1" w:styleId="SingleSpace">
    <w:name w:val="Single Space"/>
    <w:basedOn w:val="Normal"/>
    <w:link w:val="SingleSpaceChar"/>
    <w:pPr>
      <w:spacing w:line="288" w:lineRule="auto"/>
      <w:ind w:left="576" w:hanging="576"/>
    </w:pPr>
    <w:rPr>
      <w:rFonts w:eastAsia="Times New Roman" w:cs="Times New Roman"/>
    </w:rPr>
  </w:style>
  <w:style w:type="character" w:customStyle="1" w:styleId="SingleSpaceChar">
    <w:name w:val="Single Space Char"/>
    <w:basedOn w:val="DefaultParagraphFont"/>
    <w:link w:val="SingleSpace"/>
    <w:rPr>
      <w:rFonts w:ascii="Times New Roman" w:eastAsia="Times New Roman" w:hAnsi="Times New Roman" w:cs="Times New Roman"/>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BodyTextIndent">
    <w:name w:val="Body Text Indent"/>
    <w:basedOn w:val="Normal"/>
    <w:link w:val="BodyTextIndentChar"/>
    <w:uiPriority w:val="99"/>
    <w:semiHidden/>
    <w:unhideWhenUsed/>
    <w:pPr>
      <w:ind w:left="360"/>
    </w:pPr>
  </w:style>
  <w:style w:type="character" w:customStyle="1" w:styleId="BodyTextIndentChar">
    <w:name w:val="Body Text Indent Char"/>
    <w:basedOn w:val="DefaultParagraphFont"/>
    <w:link w:val="BodyTextIndent"/>
    <w:uiPriority w:val="99"/>
    <w:semiHidden/>
    <w:rPr>
      <w:rFonts w:ascii="Times New Roman" w:hAnsi="Times New Roman"/>
    </w:rPr>
  </w:style>
  <w:style w:type="paragraph" w:customStyle="1" w:styleId="Default">
    <w:name w:val="Default"/>
    <w:pPr>
      <w:autoSpaceDE w:val="0"/>
      <w:autoSpaceDN w:val="0"/>
      <w:adjustRightInd w:val="0"/>
    </w:pPr>
    <w:rPr>
      <w:rFonts w:ascii="Georgia" w:hAnsi="Georgia" w:cs="Georgia"/>
      <w:color w:val="000000"/>
    </w:rPr>
  </w:style>
  <w:style w:type="table" w:customStyle="1" w:styleId="GridTable41">
    <w:name w:val="Grid Table 41"/>
    <w:basedOn w:val="TableNormal"/>
    <w:uiPriority w:val="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DocID">
    <w:name w:val="DocID"/>
    <w:basedOn w:val="DefaultParagraphFont"/>
    <w:rPr>
      <w:rFonts w:ascii="TimesNewRomanPSMT" w:hAnsi="TimesNewRomanPSMT" w:cs="TimesNewRomanPSMT"/>
      <w:b w:val="0"/>
      <w:i w:val="0"/>
      <w:caps w:val="0"/>
      <w:vanish w:val="0"/>
      <w:color w:val="000000"/>
      <w:sz w:val="16"/>
      <w:u w:val="none"/>
    </w:rPr>
  </w:style>
  <w:style w:type="paragraph" w:customStyle="1" w:styleId="NumberedParagraphs">
    <w:name w:val="Numbered Paragraphs"/>
    <w:basedOn w:val="BodyTextChar1CharChar"/>
    <w:link w:val="NumberedParagraphsChar"/>
    <w:qFormat/>
    <w:rsid w:val="00364F2F"/>
    <w:pPr>
      <w:numPr>
        <w:numId w:val="4"/>
      </w:numPr>
      <w:ind w:left="0" w:firstLine="0"/>
    </w:pPr>
    <w:rPr>
      <w:rFonts w:ascii="Times New Roman" w:hAnsi="Times New Roman"/>
    </w:rPr>
  </w:style>
  <w:style w:type="character" w:customStyle="1" w:styleId="NumberedParagraphsChar">
    <w:name w:val="Numbered Paragraphs Char"/>
    <w:basedOn w:val="DefaultParagraphFont"/>
    <w:link w:val="NumberedParagraphs"/>
    <w:rsid w:val="00BA20D4"/>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AppendixParagraphs">
    <w:name w:val="Appendix Paragraphs"/>
    <w:basedOn w:val="Normal"/>
    <w:qFormat/>
    <w:rsid w:val="00102143"/>
    <w:pPr>
      <w:numPr>
        <w:numId w:val="3"/>
      </w:numPr>
      <w:ind w:left="0" w:firstLine="0"/>
    </w:pPr>
    <w:rPr>
      <w:rFonts w:cs="Times New Roman"/>
    </w:rPr>
  </w:style>
  <w:style w:type="paragraph" w:styleId="Caption">
    <w:name w:val="caption"/>
    <w:basedOn w:val="Normal"/>
    <w:next w:val="Normal"/>
    <w:uiPriority w:val="35"/>
    <w:unhideWhenUsed/>
    <w:qFormat/>
    <w:rsid w:val="00BB50F1"/>
    <w:pPr>
      <w:keepNext/>
      <w:spacing w:after="200"/>
      <w:jc w:val="center"/>
    </w:pPr>
    <w:rPr>
      <w:b/>
      <w:iCs/>
      <w:sz w:val="20"/>
      <w:szCs w:val="18"/>
    </w:rPr>
  </w:style>
  <w:style w:type="paragraph" w:styleId="NoSpacing">
    <w:name w:val="No Spacing"/>
    <w:uiPriority w:val="1"/>
    <w:qFormat/>
    <w:rsid w:val="00B27CEC"/>
  </w:style>
  <w:style w:type="character" w:customStyle="1" w:styleId="UnresolvedMention2">
    <w:name w:val="Unresolved Mention2"/>
    <w:basedOn w:val="DefaultParagraphFont"/>
    <w:uiPriority w:val="99"/>
    <w:semiHidden/>
    <w:unhideWhenUsed/>
    <w:rsid w:val="00D42E51"/>
    <w:rPr>
      <w:color w:val="808080"/>
      <w:shd w:val="clear" w:color="auto" w:fill="E6E6E6"/>
    </w:rPr>
  </w:style>
  <w:style w:type="character" w:customStyle="1" w:styleId="normaltextrun">
    <w:name w:val="normaltextrun"/>
    <w:basedOn w:val="DefaultParagraphFont"/>
    <w:rsid w:val="00182BD3"/>
  </w:style>
  <w:style w:type="character" w:customStyle="1" w:styleId="UnresolvedMention">
    <w:name w:val="Unresolved Mention"/>
    <w:basedOn w:val="DefaultParagraphFont"/>
    <w:uiPriority w:val="99"/>
    <w:unhideWhenUsed/>
    <w:rsid w:val="007B6570"/>
    <w:rPr>
      <w:color w:val="808080"/>
      <w:shd w:val="clear" w:color="auto" w:fill="E6E6E6"/>
    </w:rPr>
  </w:style>
  <w:style w:type="paragraph" w:customStyle="1" w:styleId="bullets">
    <w:name w:val="bullets"/>
    <w:basedOn w:val="NumberedParagraphs"/>
    <w:link w:val="bulletsChar"/>
    <w:qFormat/>
    <w:rsid w:val="00F12EC4"/>
    <w:pPr>
      <w:numPr>
        <w:numId w:val="26"/>
      </w:numPr>
    </w:pPr>
  </w:style>
  <w:style w:type="character" w:customStyle="1" w:styleId="bulletsChar">
    <w:name w:val="bullets Char"/>
    <w:basedOn w:val="NumberedParagraphsChar"/>
    <w:link w:val="bullets"/>
    <w:rsid w:val="005A226C"/>
    <w:rPr>
      <w:rFonts w:ascii="Times New Roman" w:eastAsia="Times New Roman" w:hAnsi="Times New Roman" w:cs="Times New Roman"/>
    </w:rPr>
  </w:style>
  <w:style w:type="character" w:styleId="PlaceholderText">
    <w:name w:val="Placeholder Text"/>
    <w:basedOn w:val="DefaultParagraphFont"/>
    <w:uiPriority w:val="99"/>
    <w:semiHidden/>
    <w:rsid w:val="003A5988"/>
    <w:rPr>
      <w:color w:val="808080"/>
    </w:rPr>
  </w:style>
  <w:style w:type="character" w:styleId="Mention">
    <w:name w:val="Mention"/>
    <w:basedOn w:val="DefaultParagraphFont"/>
    <w:uiPriority w:val="99"/>
    <w:unhideWhenUsed/>
    <w:rsid w:val="00B106ED"/>
    <w:rPr>
      <w:color w:val="2B579A"/>
      <w:shd w:val="clear" w:color="auto" w:fill="E1DFDD"/>
    </w:rPr>
  </w:style>
  <w:style w:type="paragraph" w:customStyle="1" w:styleId="Footnote">
    <w:name w:val="Footnote"/>
    <w:basedOn w:val="FootnoteText"/>
    <w:qFormat/>
    <w:rsid w:val="008A6486"/>
    <w:pPr>
      <w:spacing w:after="160"/>
      <w:jc w:val="left"/>
    </w:pPr>
    <w:rPr>
      <w:rFonts w:ascii="Times New Roman" w:eastAsiaTheme="minorHAnsi" w:hAnsi="Times New Roman" w:cs="Times New Roman"/>
    </w:rPr>
  </w:style>
  <w:style w:type="paragraph" w:styleId="ListBullet">
    <w:name w:val="List Bullet"/>
    <w:basedOn w:val="Normal"/>
    <w:uiPriority w:val="99"/>
    <w:unhideWhenUsed/>
    <w:rsid w:val="005102B9"/>
    <w:pPr>
      <w:numPr>
        <w:numId w:val="5"/>
      </w:numPr>
      <w:contextualSpacing/>
    </w:pPr>
  </w:style>
  <w:style w:type="paragraph" w:styleId="TOC4">
    <w:name w:val="toc 4"/>
    <w:basedOn w:val="Normal"/>
    <w:next w:val="Normal"/>
    <w:autoRedefine/>
    <w:uiPriority w:val="39"/>
    <w:unhideWhenUsed/>
    <w:rsid w:val="00C122A9"/>
    <w:pPr>
      <w:spacing w:after="100" w:line="259" w:lineRule="auto"/>
      <w:ind w:left="660"/>
      <w:jc w:val="left"/>
    </w:pPr>
    <w:rPr>
      <w:rFonts w:asciiTheme="minorHAnsi" w:hAnsiTheme="minorHAnsi"/>
      <w:sz w:val="22"/>
      <w:szCs w:val="22"/>
    </w:rPr>
  </w:style>
  <w:style w:type="paragraph" w:styleId="TOC5">
    <w:name w:val="toc 5"/>
    <w:basedOn w:val="Normal"/>
    <w:next w:val="Normal"/>
    <w:autoRedefine/>
    <w:uiPriority w:val="39"/>
    <w:unhideWhenUsed/>
    <w:rsid w:val="00C122A9"/>
    <w:pPr>
      <w:spacing w:after="100" w:line="259" w:lineRule="auto"/>
      <w:ind w:left="880"/>
      <w:jc w:val="left"/>
    </w:pPr>
    <w:rPr>
      <w:rFonts w:asciiTheme="minorHAnsi" w:hAnsiTheme="minorHAnsi"/>
      <w:sz w:val="22"/>
      <w:szCs w:val="22"/>
    </w:rPr>
  </w:style>
  <w:style w:type="paragraph" w:styleId="TOC6">
    <w:name w:val="toc 6"/>
    <w:basedOn w:val="Normal"/>
    <w:next w:val="Normal"/>
    <w:autoRedefine/>
    <w:uiPriority w:val="39"/>
    <w:unhideWhenUsed/>
    <w:rsid w:val="00C122A9"/>
    <w:pPr>
      <w:spacing w:after="100" w:line="259" w:lineRule="auto"/>
      <w:ind w:left="1100"/>
      <w:jc w:val="left"/>
    </w:pPr>
    <w:rPr>
      <w:rFonts w:asciiTheme="minorHAnsi" w:hAnsiTheme="minorHAnsi"/>
      <w:sz w:val="22"/>
      <w:szCs w:val="22"/>
    </w:rPr>
  </w:style>
  <w:style w:type="paragraph" w:styleId="TOC7">
    <w:name w:val="toc 7"/>
    <w:basedOn w:val="Normal"/>
    <w:next w:val="Normal"/>
    <w:autoRedefine/>
    <w:uiPriority w:val="39"/>
    <w:unhideWhenUsed/>
    <w:rsid w:val="00C122A9"/>
    <w:pPr>
      <w:spacing w:after="100" w:line="259" w:lineRule="auto"/>
      <w:ind w:left="1320"/>
      <w:jc w:val="left"/>
    </w:pPr>
    <w:rPr>
      <w:rFonts w:asciiTheme="minorHAnsi" w:hAnsiTheme="minorHAnsi"/>
      <w:sz w:val="22"/>
      <w:szCs w:val="22"/>
    </w:rPr>
  </w:style>
  <w:style w:type="paragraph" w:styleId="TOC8">
    <w:name w:val="toc 8"/>
    <w:basedOn w:val="Normal"/>
    <w:next w:val="Normal"/>
    <w:autoRedefine/>
    <w:uiPriority w:val="39"/>
    <w:unhideWhenUsed/>
    <w:rsid w:val="00C122A9"/>
    <w:pPr>
      <w:spacing w:after="100" w:line="259" w:lineRule="auto"/>
      <w:ind w:left="1540"/>
      <w:jc w:val="left"/>
    </w:pPr>
    <w:rPr>
      <w:rFonts w:asciiTheme="minorHAnsi" w:hAnsiTheme="minorHAnsi"/>
      <w:sz w:val="22"/>
      <w:szCs w:val="22"/>
    </w:rPr>
  </w:style>
  <w:style w:type="paragraph" w:styleId="TOC9">
    <w:name w:val="toc 9"/>
    <w:basedOn w:val="Normal"/>
    <w:next w:val="Normal"/>
    <w:autoRedefine/>
    <w:uiPriority w:val="39"/>
    <w:unhideWhenUsed/>
    <w:rsid w:val="00C122A9"/>
    <w:pPr>
      <w:spacing w:after="100" w:line="259" w:lineRule="auto"/>
      <w:ind w:left="1760"/>
      <w:jc w:val="left"/>
    </w:pPr>
    <w:rPr>
      <w:rFonts w:asciiTheme="minorHAnsi" w:hAnsiTheme="minorHAnsi"/>
      <w:sz w:val="22"/>
      <w:szCs w:val="22"/>
    </w:rPr>
  </w:style>
  <w:style w:type="paragraph" w:customStyle="1" w:styleId="TabletextR2">
    <w:name w:val="Tabletext R2"/>
    <w:basedOn w:val="Normal"/>
    <w:rsid w:val="00407862"/>
    <w:pPr>
      <w:keepNext/>
      <w:widowControl w:val="0"/>
      <w:spacing w:before="120" w:after="60" w:line="240" w:lineRule="auto"/>
      <w:jc w:val="left"/>
    </w:pPr>
    <w:rPr>
      <w:rFonts w:ascii="TimesNewRomanPSMT" w:eastAsia="Georgia" w:hAnsi="TimesNewRomanPSMT" w:cs="Georgia"/>
      <w:b/>
      <w:sz w:val="18"/>
      <w:szCs w:val="20"/>
    </w:rPr>
  </w:style>
  <w:style w:type="paragraph" w:customStyle="1" w:styleId="TabletextR3">
    <w:name w:val="Tabletext R3"/>
    <w:basedOn w:val="Normal"/>
    <w:rsid w:val="00407862"/>
    <w:pPr>
      <w:keepNext/>
      <w:widowControl w:val="0"/>
      <w:spacing w:before="120" w:after="60" w:line="240" w:lineRule="auto"/>
      <w:jc w:val="left"/>
    </w:pPr>
    <w:rPr>
      <w:rFonts w:ascii="TimesNewRomanPSMT" w:eastAsia="Georgia" w:hAnsi="TimesNewRomanPSMT" w:cs="Georgia"/>
      <w:sz w:val="18"/>
      <w:szCs w:val="20"/>
    </w:rPr>
  </w:style>
  <w:style w:type="paragraph" w:customStyle="1" w:styleId="ReportName">
    <w:name w:val="Report Name"/>
    <w:basedOn w:val="BodyText"/>
    <w:rsid w:val="00407862"/>
    <w:pPr>
      <w:numPr>
        <w:numId w:val="0"/>
      </w:numPr>
      <w:spacing w:after="240" w:line="264" w:lineRule="auto"/>
      <w:ind w:left="1440"/>
    </w:pPr>
    <w:rPr>
      <w:rFonts w:ascii="TimesNewRomanPSMT" w:hAnsi="TimesNewRomanPSMT"/>
      <w:color w:val="808080"/>
      <w:sz w:val="52"/>
      <w:szCs w:val="20"/>
    </w:rPr>
  </w:style>
  <w:style w:type="paragraph" w:customStyle="1" w:styleId="TitleInformation">
    <w:name w:val="Title Information"/>
    <w:basedOn w:val="Normal"/>
    <w:rsid w:val="00E230F5"/>
    <w:pPr>
      <w:spacing w:after="0" w:line="240" w:lineRule="auto"/>
      <w:jc w:val="left"/>
    </w:pPr>
    <w:rPr>
      <w:rFonts w:ascii="AdvOT3f82cb7c+20" w:eastAsia="Georgia" w:hAnsi="AdvOT3f82cb7c+20" w:cs="Georgia"/>
      <w:b/>
      <w:sz w:val="28"/>
    </w:rPr>
  </w:style>
  <w:style w:type="paragraph" w:customStyle="1" w:styleId="BulletParagraph">
    <w:name w:val="Bullet Paragraph"/>
    <w:basedOn w:val="NumberedParagraphs"/>
    <w:link w:val="BulletParagraphChar"/>
    <w:qFormat/>
    <w:rsid w:val="00FB6B1D"/>
    <w:pPr>
      <w:numPr>
        <w:numId w:val="17"/>
      </w:numPr>
    </w:pPr>
    <w:rPr>
      <w:rFonts w:eastAsia="Georgia" w:cs="Georgia"/>
    </w:rPr>
  </w:style>
  <w:style w:type="character" w:customStyle="1" w:styleId="BulletParagraphChar">
    <w:name w:val="Bullet Paragraph Char"/>
    <w:basedOn w:val="NumberedParagraphsChar"/>
    <w:link w:val="BulletParagraph"/>
    <w:rsid w:val="00B06A9B"/>
    <w:rPr>
      <w:rFonts w:ascii="Times New Roman" w:eastAsia="Georgia" w:hAnsi="Times New Roman" w:cs="Georgia"/>
    </w:rPr>
  </w:style>
  <w:style w:type="paragraph" w:customStyle="1" w:styleId="TableParagraph">
    <w:name w:val="Table Paragraph"/>
    <w:basedOn w:val="Normal"/>
    <w:uiPriority w:val="1"/>
    <w:qFormat/>
    <w:rsid w:val="00846847"/>
    <w:pPr>
      <w:widowControl w:val="0"/>
      <w:autoSpaceDE w:val="0"/>
      <w:autoSpaceDN w:val="0"/>
      <w:spacing w:before="4" w:after="0" w:line="125" w:lineRule="exact"/>
      <w:jc w:val="left"/>
    </w:pPr>
    <w:rPr>
      <w:rFonts w:ascii="TimesNewRomanPSMT" w:eastAsia="TimesNewRomanPSMT" w:hAnsi="TimesNewRomanPSMT" w:cs="TimesNewRomanPSM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0813">
      <w:bodyDiv w:val="1"/>
      <w:marLeft w:val="0"/>
      <w:marRight w:val="0"/>
      <w:marTop w:val="0"/>
      <w:marBottom w:val="0"/>
      <w:divBdr>
        <w:top w:val="none" w:sz="0" w:space="0" w:color="auto"/>
        <w:left w:val="none" w:sz="0" w:space="0" w:color="auto"/>
        <w:bottom w:val="none" w:sz="0" w:space="0" w:color="auto"/>
        <w:right w:val="none" w:sz="0" w:space="0" w:color="auto"/>
      </w:divBdr>
    </w:div>
    <w:div w:id="92941793">
      <w:bodyDiv w:val="1"/>
      <w:marLeft w:val="0"/>
      <w:marRight w:val="0"/>
      <w:marTop w:val="0"/>
      <w:marBottom w:val="0"/>
      <w:divBdr>
        <w:top w:val="none" w:sz="0" w:space="0" w:color="auto"/>
        <w:left w:val="none" w:sz="0" w:space="0" w:color="auto"/>
        <w:bottom w:val="none" w:sz="0" w:space="0" w:color="auto"/>
        <w:right w:val="none" w:sz="0" w:space="0" w:color="auto"/>
      </w:divBdr>
    </w:div>
    <w:div w:id="127287519">
      <w:bodyDiv w:val="1"/>
      <w:marLeft w:val="0"/>
      <w:marRight w:val="0"/>
      <w:marTop w:val="0"/>
      <w:marBottom w:val="0"/>
      <w:divBdr>
        <w:top w:val="none" w:sz="0" w:space="0" w:color="auto"/>
        <w:left w:val="none" w:sz="0" w:space="0" w:color="auto"/>
        <w:bottom w:val="none" w:sz="0" w:space="0" w:color="auto"/>
        <w:right w:val="none" w:sz="0" w:space="0" w:color="auto"/>
      </w:divBdr>
    </w:div>
    <w:div w:id="127355976">
      <w:bodyDiv w:val="1"/>
      <w:marLeft w:val="0"/>
      <w:marRight w:val="0"/>
      <w:marTop w:val="0"/>
      <w:marBottom w:val="0"/>
      <w:divBdr>
        <w:top w:val="none" w:sz="0" w:space="0" w:color="auto"/>
        <w:left w:val="none" w:sz="0" w:space="0" w:color="auto"/>
        <w:bottom w:val="none" w:sz="0" w:space="0" w:color="auto"/>
        <w:right w:val="none" w:sz="0" w:space="0" w:color="auto"/>
      </w:divBdr>
    </w:div>
    <w:div w:id="150370240">
      <w:bodyDiv w:val="1"/>
      <w:marLeft w:val="0"/>
      <w:marRight w:val="0"/>
      <w:marTop w:val="0"/>
      <w:marBottom w:val="0"/>
      <w:divBdr>
        <w:top w:val="none" w:sz="0" w:space="0" w:color="auto"/>
        <w:left w:val="none" w:sz="0" w:space="0" w:color="auto"/>
        <w:bottom w:val="none" w:sz="0" w:space="0" w:color="auto"/>
        <w:right w:val="none" w:sz="0" w:space="0" w:color="auto"/>
      </w:divBdr>
    </w:div>
    <w:div w:id="190188768">
      <w:bodyDiv w:val="1"/>
      <w:marLeft w:val="0"/>
      <w:marRight w:val="0"/>
      <w:marTop w:val="0"/>
      <w:marBottom w:val="0"/>
      <w:divBdr>
        <w:top w:val="none" w:sz="0" w:space="0" w:color="auto"/>
        <w:left w:val="none" w:sz="0" w:space="0" w:color="auto"/>
        <w:bottom w:val="none" w:sz="0" w:space="0" w:color="auto"/>
        <w:right w:val="none" w:sz="0" w:space="0" w:color="auto"/>
      </w:divBdr>
    </w:div>
    <w:div w:id="190531337">
      <w:bodyDiv w:val="1"/>
      <w:marLeft w:val="0"/>
      <w:marRight w:val="0"/>
      <w:marTop w:val="0"/>
      <w:marBottom w:val="0"/>
      <w:divBdr>
        <w:top w:val="none" w:sz="0" w:space="0" w:color="auto"/>
        <w:left w:val="none" w:sz="0" w:space="0" w:color="auto"/>
        <w:bottom w:val="none" w:sz="0" w:space="0" w:color="auto"/>
        <w:right w:val="none" w:sz="0" w:space="0" w:color="auto"/>
      </w:divBdr>
    </w:div>
    <w:div w:id="195045605">
      <w:bodyDiv w:val="1"/>
      <w:marLeft w:val="0"/>
      <w:marRight w:val="0"/>
      <w:marTop w:val="0"/>
      <w:marBottom w:val="0"/>
      <w:divBdr>
        <w:top w:val="none" w:sz="0" w:space="0" w:color="auto"/>
        <w:left w:val="none" w:sz="0" w:space="0" w:color="auto"/>
        <w:bottom w:val="none" w:sz="0" w:space="0" w:color="auto"/>
        <w:right w:val="none" w:sz="0" w:space="0" w:color="auto"/>
      </w:divBdr>
    </w:div>
    <w:div w:id="217517180">
      <w:bodyDiv w:val="1"/>
      <w:marLeft w:val="0"/>
      <w:marRight w:val="0"/>
      <w:marTop w:val="0"/>
      <w:marBottom w:val="0"/>
      <w:divBdr>
        <w:top w:val="none" w:sz="0" w:space="0" w:color="auto"/>
        <w:left w:val="none" w:sz="0" w:space="0" w:color="auto"/>
        <w:bottom w:val="none" w:sz="0" w:space="0" w:color="auto"/>
        <w:right w:val="none" w:sz="0" w:space="0" w:color="auto"/>
      </w:divBdr>
    </w:div>
    <w:div w:id="222833377">
      <w:bodyDiv w:val="1"/>
      <w:marLeft w:val="0"/>
      <w:marRight w:val="0"/>
      <w:marTop w:val="0"/>
      <w:marBottom w:val="0"/>
      <w:divBdr>
        <w:top w:val="none" w:sz="0" w:space="0" w:color="auto"/>
        <w:left w:val="none" w:sz="0" w:space="0" w:color="auto"/>
        <w:bottom w:val="none" w:sz="0" w:space="0" w:color="auto"/>
        <w:right w:val="none" w:sz="0" w:space="0" w:color="auto"/>
      </w:divBdr>
    </w:div>
    <w:div w:id="258147847">
      <w:bodyDiv w:val="1"/>
      <w:marLeft w:val="0"/>
      <w:marRight w:val="0"/>
      <w:marTop w:val="0"/>
      <w:marBottom w:val="0"/>
      <w:divBdr>
        <w:top w:val="none" w:sz="0" w:space="0" w:color="auto"/>
        <w:left w:val="none" w:sz="0" w:space="0" w:color="auto"/>
        <w:bottom w:val="none" w:sz="0" w:space="0" w:color="auto"/>
        <w:right w:val="none" w:sz="0" w:space="0" w:color="auto"/>
      </w:divBdr>
    </w:div>
    <w:div w:id="305404745">
      <w:bodyDiv w:val="1"/>
      <w:marLeft w:val="0"/>
      <w:marRight w:val="0"/>
      <w:marTop w:val="0"/>
      <w:marBottom w:val="0"/>
      <w:divBdr>
        <w:top w:val="none" w:sz="0" w:space="0" w:color="auto"/>
        <w:left w:val="none" w:sz="0" w:space="0" w:color="auto"/>
        <w:bottom w:val="none" w:sz="0" w:space="0" w:color="auto"/>
        <w:right w:val="none" w:sz="0" w:space="0" w:color="auto"/>
      </w:divBdr>
    </w:div>
    <w:div w:id="323246595">
      <w:bodyDiv w:val="1"/>
      <w:marLeft w:val="0"/>
      <w:marRight w:val="0"/>
      <w:marTop w:val="0"/>
      <w:marBottom w:val="0"/>
      <w:divBdr>
        <w:top w:val="none" w:sz="0" w:space="0" w:color="auto"/>
        <w:left w:val="none" w:sz="0" w:space="0" w:color="auto"/>
        <w:bottom w:val="none" w:sz="0" w:space="0" w:color="auto"/>
        <w:right w:val="none" w:sz="0" w:space="0" w:color="auto"/>
      </w:divBdr>
    </w:div>
    <w:div w:id="356808936">
      <w:bodyDiv w:val="1"/>
      <w:marLeft w:val="0"/>
      <w:marRight w:val="0"/>
      <w:marTop w:val="0"/>
      <w:marBottom w:val="0"/>
      <w:divBdr>
        <w:top w:val="none" w:sz="0" w:space="0" w:color="auto"/>
        <w:left w:val="none" w:sz="0" w:space="0" w:color="auto"/>
        <w:bottom w:val="none" w:sz="0" w:space="0" w:color="auto"/>
        <w:right w:val="none" w:sz="0" w:space="0" w:color="auto"/>
      </w:divBdr>
    </w:div>
    <w:div w:id="362638619">
      <w:bodyDiv w:val="1"/>
      <w:marLeft w:val="0"/>
      <w:marRight w:val="0"/>
      <w:marTop w:val="0"/>
      <w:marBottom w:val="0"/>
      <w:divBdr>
        <w:top w:val="none" w:sz="0" w:space="0" w:color="auto"/>
        <w:left w:val="none" w:sz="0" w:space="0" w:color="auto"/>
        <w:bottom w:val="none" w:sz="0" w:space="0" w:color="auto"/>
        <w:right w:val="none" w:sz="0" w:space="0" w:color="auto"/>
      </w:divBdr>
    </w:div>
    <w:div w:id="381828553">
      <w:bodyDiv w:val="1"/>
      <w:marLeft w:val="0"/>
      <w:marRight w:val="0"/>
      <w:marTop w:val="0"/>
      <w:marBottom w:val="0"/>
      <w:divBdr>
        <w:top w:val="none" w:sz="0" w:space="0" w:color="auto"/>
        <w:left w:val="none" w:sz="0" w:space="0" w:color="auto"/>
        <w:bottom w:val="none" w:sz="0" w:space="0" w:color="auto"/>
        <w:right w:val="none" w:sz="0" w:space="0" w:color="auto"/>
      </w:divBdr>
    </w:div>
    <w:div w:id="387538443">
      <w:bodyDiv w:val="1"/>
      <w:marLeft w:val="0"/>
      <w:marRight w:val="0"/>
      <w:marTop w:val="0"/>
      <w:marBottom w:val="0"/>
      <w:divBdr>
        <w:top w:val="none" w:sz="0" w:space="0" w:color="auto"/>
        <w:left w:val="none" w:sz="0" w:space="0" w:color="auto"/>
        <w:bottom w:val="none" w:sz="0" w:space="0" w:color="auto"/>
        <w:right w:val="none" w:sz="0" w:space="0" w:color="auto"/>
      </w:divBdr>
    </w:div>
    <w:div w:id="406654364">
      <w:bodyDiv w:val="1"/>
      <w:marLeft w:val="0"/>
      <w:marRight w:val="0"/>
      <w:marTop w:val="0"/>
      <w:marBottom w:val="0"/>
      <w:divBdr>
        <w:top w:val="none" w:sz="0" w:space="0" w:color="auto"/>
        <w:left w:val="none" w:sz="0" w:space="0" w:color="auto"/>
        <w:bottom w:val="none" w:sz="0" w:space="0" w:color="auto"/>
        <w:right w:val="none" w:sz="0" w:space="0" w:color="auto"/>
      </w:divBdr>
    </w:div>
    <w:div w:id="421145988">
      <w:bodyDiv w:val="1"/>
      <w:marLeft w:val="0"/>
      <w:marRight w:val="0"/>
      <w:marTop w:val="0"/>
      <w:marBottom w:val="0"/>
      <w:divBdr>
        <w:top w:val="none" w:sz="0" w:space="0" w:color="auto"/>
        <w:left w:val="none" w:sz="0" w:space="0" w:color="auto"/>
        <w:bottom w:val="none" w:sz="0" w:space="0" w:color="auto"/>
        <w:right w:val="none" w:sz="0" w:space="0" w:color="auto"/>
      </w:divBdr>
    </w:div>
    <w:div w:id="424958441">
      <w:bodyDiv w:val="1"/>
      <w:marLeft w:val="0"/>
      <w:marRight w:val="0"/>
      <w:marTop w:val="0"/>
      <w:marBottom w:val="0"/>
      <w:divBdr>
        <w:top w:val="none" w:sz="0" w:space="0" w:color="auto"/>
        <w:left w:val="none" w:sz="0" w:space="0" w:color="auto"/>
        <w:bottom w:val="none" w:sz="0" w:space="0" w:color="auto"/>
        <w:right w:val="none" w:sz="0" w:space="0" w:color="auto"/>
      </w:divBdr>
    </w:div>
    <w:div w:id="426734523">
      <w:bodyDiv w:val="1"/>
      <w:marLeft w:val="0"/>
      <w:marRight w:val="0"/>
      <w:marTop w:val="0"/>
      <w:marBottom w:val="0"/>
      <w:divBdr>
        <w:top w:val="none" w:sz="0" w:space="0" w:color="auto"/>
        <w:left w:val="none" w:sz="0" w:space="0" w:color="auto"/>
        <w:bottom w:val="none" w:sz="0" w:space="0" w:color="auto"/>
        <w:right w:val="none" w:sz="0" w:space="0" w:color="auto"/>
      </w:divBdr>
    </w:div>
    <w:div w:id="429085983">
      <w:bodyDiv w:val="1"/>
      <w:marLeft w:val="0"/>
      <w:marRight w:val="0"/>
      <w:marTop w:val="0"/>
      <w:marBottom w:val="0"/>
      <w:divBdr>
        <w:top w:val="none" w:sz="0" w:space="0" w:color="auto"/>
        <w:left w:val="none" w:sz="0" w:space="0" w:color="auto"/>
        <w:bottom w:val="none" w:sz="0" w:space="0" w:color="auto"/>
        <w:right w:val="none" w:sz="0" w:space="0" w:color="auto"/>
      </w:divBdr>
    </w:div>
    <w:div w:id="462192017">
      <w:bodyDiv w:val="1"/>
      <w:marLeft w:val="0"/>
      <w:marRight w:val="0"/>
      <w:marTop w:val="0"/>
      <w:marBottom w:val="0"/>
      <w:divBdr>
        <w:top w:val="none" w:sz="0" w:space="0" w:color="auto"/>
        <w:left w:val="none" w:sz="0" w:space="0" w:color="auto"/>
        <w:bottom w:val="none" w:sz="0" w:space="0" w:color="auto"/>
        <w:right w:val="none" w:sz="0" w:space="0" w:color="auto"/>
      </w:divBdr>
    </w:div>
    <w:div w:id="477844527">
      <w:bodyDiv w:val="1"/>
      <w:marLeft w:val="0"/>
      <w:marRight w:val="0"/>
      <w:marTop w:val="0"/>
      <w:marBottom w:val="0"/>
      <w:divBdr>
        <w:top w:val="none" w:sz="0" w:space="0" w:color="auto"/>
        <w:left w:val="none" w:sz="0" w:space="0" w:color="auto"/>
        <w:bottom w:val="none" w:sz="0" w:space="0" w:color="auto"/>
        <w:right w:val="none" w:sz="0" w:space="0" w:color="auto"/>
      </w:divBdr>
    </w:div>
    <w:div w:id="484320954">
      <w:bodyDiv w:val="1"/>
      <w:marLeft w:val="0"/>
      <w:marRight w:val="0"/>
      <w:marTop w:val="0"/>
      <w:marBottom w:val="0"/>
      <w:divBdr>
        <w:top w:val="none" w:sz="0" w:space="0" w:color="auto"/>
        <w:left w:val="none" w:sz="0" w:space="0" w:color="auto"/>
        <w:bottom w:val="none" w:sz="0" w:space="0" w:color="auto"/>
        <w:right w:val="none" w:sz="0" w:space="0" w:color="auto"/>
      </w:divBdr>
    </w:div>
    <w:div w:id="518665243">
      <w:bodyDiv w:val="1"/>
      <w:marLeft w:val="0"/>
      <w:marRight w:val="0"/>
      <w:marTop w:val="0"/>
      <w:marBottom w:val="0"/>
      <w:divBdr>
        <w:top w:val="none" w:sz="0" w:space="0" w:color="auto"/>
        <w:left w:val="none" w:sz="0" w:space="0" w:color="auto"/>
        <w:bottom w:val="none" w:sz="0" w:space="0" w:color="auto"/>
        <w:right w:val="none" w:sz="0" w:space="0" w:color="auto"/>
      </w:divBdr>
    </w:div>
    <w:div w:id="537159305">
      <w:bodyDiv w:val="1"/>
      <w:marLeft w:val="0"/>
      <w:marRight w:val="0"/>
      <w:marTop w:val="0"/>
      <w:marBottom w:val="0"/>
      <w:divBdr>
        <w:top w:val="none" w:sz="0" w:space="0" w:color="auto"/>
        <w:left w:val="none" w:sz="0" w:space="0" w:color="auto"/>
        <w:bottom w:val="none" w:sz="0" w:space="0" w:color="auto"/>
        <w:right w:val="none" w:sz="0" w:space="0" w:color="auto"/>
      </w:divBdr>
    </w:div>
    <w:div w:id="548955741">
      <w:bodyDiv w:val="1"/>
      <w:marLeft w:val="0"/>
      <w:marRight w:val="0"/>
      <w:marTop w:val="0"/>
      <w:marBottom w:val="0"/>
      <w:divBdr>
        <w:top w:val="none" w:sz="0" w:space="0" w:color="auto"/>
        <w:left w:val="none" w:sz="0" w:space="0" w:color="auto"/>
        <w:bottom w:val="none" w:sz="0" w:space="0" w:color="auto"/>
        <w:right w:val="none" w:sz="0" w:space="0" w:color="auto"/>
      </w:divBdr>
    </w:div>
    <w:div w:id="568930696">
      <w:bodyDiv w:val="1"/>
      <w:marLeft w:val="0"/>
      <w:marRight w:val="0"/>
      <w:marTop w:val="0"/>
      <w:marBottom w:val="0"/>
      <w:divBdr>
        <w:top w:val="none" w:sz="0" w:space="0" w:color="auto"/>
        <w:left w:val="none" w:sz="0" w:space="0" w:color="auto"/>
        <w:bottom w:val="none" w:sz="0" w:space="0" w:color="auto"/>
        <w:right w:val="none" w:sz="0" w:space="0" w:color="auto"/>
      </w:divBdr>
    </w:div>
    <w:div w:id="575357750">
      <w:bodyDiv w:val="1"/>
      <w:marLeft w:val="0"/>
      <w:marRight w:val="0"/>
      <w:marTop w:val="0"/>
      <w:marBottom w:val="0"/>
      <w:divBdr>
        <w:top w:val="none" w:sz="0" w:space="0" w:color="auto"/>
        <w:left w:val="none" w:sz="0" w:space="0" w:color="auto"/>
        <w:bottom w:val="none" w:sz="0" w:space="0" w:color="auto"/>
        <w:right w:val="none" w:sz="0" w:space="0" w:color="auto"/>
      </w:divBdr>
    </w:div>
    <w:div w:id="599795904">
      <w:bodyDiv w:val="1"/>
      <w:marLeft w:val="0"/>
      <w:marRight w:val="0"/>
      <w:marTop w:val="0"/>
      <w:marBottom w:val="0"/>
      <w:divBdr>
        <w:top w:val="none" w:sz="0" w:space="0" w:color="auto"/>
        <w:left w:val="none" w:sz="0" w:space="0" w:color="auto"/>
        <w:bottom w:val="none" w:sz="0" w:space="0" w:color="auto"/>
        <w:right w:val="none" w:sz="0" w:space="0" w:color="auto"/>
      </w:divBdr>
    </w:div>
    <w:div w:id="632253877">
      <w:bodyDiv w:val="1"/>
      <w:marLeft w:val="0"/>
      <w:marRight w:val="0"/>
      <w:marTop w:val="0"/>
      <w:marBottom w:val="0"/>
      <w:divBdr>
        <w:top w:val="none" w:sz="0" w:space="0" w:color="auto"/>
        <w:left w:val="none" w:sz="0" w:space="0" w:color="auto"/>
        <w:bottom w:val="none" w:sz="0" w:space="0" w:color="auto"/>
        <w:right w:val="none" w:sz="0" w:space="0" w:color="auto"/>
      </w:divBdr>
    </w:div>
    <w:div w:id="654533525">
      <w:bodyDiv w:val="1"/>
      <w:marLeft w:val="0"/>
      <w:marRight w:val="0"/>
      <w:marTop w:val="0"/>
      <w:marBottom w:val="0"/>
      <w:divBdr>
        <w:top w:val="none" w:sz="0" w:space="0" w:color="auto"/>
        <w:left w:val="none" w:sz="0" w:space="0" w:color="auto"/>
        <w:bottom w:val="none" w:sz="0" w:space="0" w:color="auto"/>
        <w:right w:val="none" w:sz="0" w:space="0" w:color="auto"/>
      </w:divBdr>
    </w:div>
    <w:div w:id="656806197">
      <w:bodyDiv w:val="1"/>
      <w:marLeft w:val="0"/>
      <w:marRight w:val="0"/>
      <w:marTop w:val="0"/>
      <w:marBottom w:val="0"/>
      <w:divBdr>
        <w:top w:val="none" w:sz="0" w:space="0" w:color="auto"/>
        <w:left w:val="none" w:sz="0" w:space="0" w:color="auto"/>
        <w:bottom w:val="none" w:sz="0" w:space="0" w:color="auto"/>
        <w:right w:val="none" w:sz="0" w:space="0" w:color="auto"/>
      </w:divBdr>
    </w:div>
    <w:div w:id="660279946">
      <w:bodyDiv w:val="1"/>
      <w:marLeft w:val="0"/>
      <w:marRight w:val="0"/>
      <w:marTop w:val="0"/>
      <w:marBottom w:val="0"/>
      <w:divBdr>
        <w:top w:val="none" w:sz="0" w:space="0" w:color="auto"/>
        <w:left w:val="none" w:sz="0" w:space="0" w:color="auto"/>
        <w:bottom w:val="none" w:sz="0" w:space="0" w:color="auto"/>
        <w:right w:val="none" w:sz="0" w:space="0" w:color="auto"/>
      </w:divBdr>
    </w:div>
    <w:div w:id="661617683">
      <w:bodyDiv w:val="1"/>
      <w:marLeft w:val="0"/>
      <w:marRight w:val="0"/>
      <w:marTop w:val="0"/>
      <w:marBottom w:val="0"/>
      <w:divBdr>
        <w:top w:val="none" w:sz="0" w:space="0" w:color="auto"/>
        <w:left w:val="none" w:sz="0" w:space="0" w:color="auto"/>
        <w:bottom w:val="none" w:sz="0" w:space="0" w:color="auto"/>
        <w:right w:val="none" w:sz="0" w:space="0" w:color="auto"/>
      </w:divBdr>
    </w:div>
    <w:div w:id="671639164">
      <w:bodyDiv w:val="1"/>
      <w:marLeft w:val="0"/>
      <w:marRight w:val="0"/>
      <w:marTop w:val="0"/>
      <w:marBottom w:val="0"/>
      <w:divBdr>
        <w:top w:val="none" w:sz="0" w:space="0" w:color="auto"/>
        <w:left w:val="none" w:sz="0" w:space="0" w:color="auto"/>
        <w:bottom w:val="none" w:sz="0" w:space="0" w:color="auto"/>
        <w:right w:val="none" w:sz="0" w:space="0" w:color="auto"/>
      </w:divBdr>
    </w:div>
    <w:div w:id="716659514">
      <w:bodyDiv w:val="1"/>
      <w:marLeft w:val="0"/>
      <w:marRight w:val="0"/>
      <w:marTop w:val="0"/>
      <w:marBottom w:val="0"/>
      <w:divBdr>
        <w:top w:val="none" w:sz="0" w:space="0" w:color="auto"/>
        <w:left w:val="none" w:sz="0" w:space="0" w:color="auto"/>
        <w:bottom w:val="none" w:sz="0" w:space="0" w:color="auto"/>
        <w:right w:val="none" w:sz="0" w:space="0" w:color="auto"/>
      </w:divBdr>
    </w:div>
    <w:div w:id="718044442">
      <w:bodyDiv w:val="1"/>
      <w:marLeft w:val="0"/>
      <w:marRight w:val="0"/>
      <w:marTop w:val="0"/>
      <w:marBottom w:val="0"/>
      <w:divBdr>
        <w:top w:val="none" w:sz="0" w:space="0" w:color="auto"/>
        <w:left w:val="none" w:sz="0" w:space="0" w:color="auto"/>
        <w:bottom w:val="none" w:sz="0" w:space="0" w:color="auto"/>
        <w:right w:val="none" w:sz="0" w:space="0" w:color="auto"/>
      </w:divBdr>
    </w:div>
    <w:div w:id="743456081">
      <w:bodyDiv w:val="1"/>
      <w:marLeft w:val="0"/>
      <w:marRight w:val="0"/>
      <w:marTop w:val="0"/>
      <w:marBottom w:val="0"/>
      <w:divBdr>
        <w:top w:val="none" w:sz="0" w:space="0" w:color="auto"/>
        <w:left w:val="none" w:sz="0" w:space="0" w:color="auto"/>
        <w:bottom w:val="none" w:sz="0" w:space="0" w:color="auto"/>
        <w:right w:val="none" w:sz="0" w:space="0" w:color="auto"/>
      </w:divBdr>
    </w:div>
    <w:div w:id="781262609">
      <w:bodyDiv w:val="1"/>
      <w:marLeft w:val="0"/>
      <w:marRight w:val="0"/>
      <w:marTop w:val="0"/>
      <w:marBottom w:val="0"/>
      <w:divBdr>
        <w:top w:val="none" w:sz="0" w:space="0" w:color="auto"/>
        <w:left w:val="none" w:sz="0" w:space="0" w:color="auto"/>
        <w:bottom w:val="none" w:sz="0" w:space="0" w:color="auto"/>
        <w:right w:val="none" w:sz="0" w:space="0" w:color="auto"/>
      </w:divBdr>
    </w:div>
    <w:div w:id="782456326">
      <w:bodyDiv w:val="1"/>
      <w:marLeft w:val="0"/>
      <w:marRight w:val="0"/>
      <w:marTop w:val="0"/>
      <w:marBottom w:val="0"/>
      <w:divBdr>
        <w:top w:val="none" w:sz="0" w:space="0" w:color="auto"/>
        <w:left w:val="none" w:sz="0" w:space="0" w:color="auto"/>
        <w:bottom w:val="none" w:sz="0" w:space="0" w:color="auto"/>
        <w:right w:val="none" w:sz="0" w:space="0" w:color="auto"/>
      </w:divBdr>
    </w:div>
    <w:div w:id="793713191">
      <w:bodyDiv w:val="1"/>
      <w:marLeft w:val="0"/>
      <w:marRight w:val="0"/>
      <w:marTop w:val="0"/>
      <w:marBottom w:val="0"/>
      <w:divBdr>
        <w:top w:val="none" w:sz="0" w:space="0" w:color="auto"/>
        <w:left w:val="none" w:sz="0" w:space="0" w:color="auto"/>
        <w:bottom w:val="none" w:sz="0" w:space="0" w:color="auto"/>
        <w:right w:val="none" w:sz="0" w:space="0" w:color="auto"/>
      </w:divBdr>
    </w:div>
    <w:div w:id="808744733">
      <w:bodyDiv w:val="1"/>
      <w:marLeft w:val="0"/>
      <w:marRight w:val="0"/>
      <w:marTop w:val="0"/>
      <w:marBottom w:val="0"/>
      <w:divBdr>
        <w:top w:val="none" w:sz="0" w:space="0" w:color="auto"/>
        <w:left w:val="none" w:sz="0" w:space="0" w:color="auto"/>
        <w:bottom w:val="none" w:sz="0" w:space="0" w:color="auto"/>
        <w:right w:val="none" w:sz="0" w:space="0" w:color="auto"/>
      </w:divBdr>
    </w:div>
    <w:div w:id="818838848">
      <w:bodyDiv w:val="1"/>
      <w:marLeft w:val="0"/>
      <w:marRight w:val="0"/>
      <w:marTop w:val="0"/>
      <w:marBottom w:val="0"/>
      <w:divBdr>
        <w:top w:val="none" w:sz="0" w:space="0" w:color="auto"/>
        <w:left w:val="none" w:sz="0" w:space="0" w:color="auto"/>
        <w:bottom w:val="none" w:sz="0" w:space="0" w:color="auto"/>
        <w:right w:val="none" w:sz="0" w:space="0" w:color="auto"/>
      </w:divBdr>
    </w:div>
    <w:div w:id="829906527">
      <w:bodyDiv w:val="1"/>
      <w:marLeft w:val="0"/>
      <w:marRight w:val="0"/>
      <w:marTop w:val="0"/>
      <w:marBottom w:val="0"/>
      <w:divBdr>
        <w:top w:val="none" w:sz="0" w:space="0" w:color="auto"/>
        <w:left w:val="none" w:sz="0" w:space="0" w:color="auto"/>
        <w:bottom w:val="none" w:sz="0" w:space="0" w:color="auto"/>
        <w:right w:val="none" w:sz="0" w:space="0" w:color="auto"/>
      </w:divBdr>
    </w:div>
    <w:div w:id="890924992">
      <w:bodyDiv w:val="1"/>
      <w:marLeft w:val="0"/>
      <w:marRight w:val="0"/>
      <w:marTop w:val="0"/>
      <w:marBottom w:val="0"/>
      <w:divBdr>
        <w:top w:val="none" w:sz="0" w:space="0" w:color="auto"/>
        <w:left w:val="none" w:sz="0" w:space="0" w:color="auto"/>
        <w:bottom w:val="none" w:sz="0" w:space="0" w:color="auto"/>
        <w:right w:val="none" w:sz="0" w:space="0" w:color="auto"/>
      </w:divBdr>
    </w:div>
    <w:div w:id="915475749">
      <w:bodyDiv w:val="1"/>
      <w:marLeft w:val="0"/>
      <w:marRight w:val="0"/>
      <w:marTop w:val="0"/>
      <w:marBottom w:val="0"/>
      <w:divBdr>
        <w:top w:val="none" w:sz="0" w:space="0" w:color="auto"/>
        <w:left w:val="none" w:sz="0" w:space="0" w:color="auto"/>
        <w:bottom w:val="none" w:sz="0" w:space="0" w:color="auto"/>
        <w:right w:val="none" w:sz="0" w:space="0" w:color="auto"/>
      </w:divBdr>
    </w:div>
    <w:div w:id="926577350">
      <w:bodyDiv w:val="1"/>
      <w:marLeft w:val="0"/>
      <w:marRight w:val="0"/>
      <w:marTop w:val="0"/>
      <w:marBottom w:val="0"/>
      <w:divBdr>
        <w:top w:val="none" w:sz="0" w:space="0" w:color="auto"/>
        <w:left w:val="none" w:sz="0" w:space="0" w:color="auto"/>
        <w:bottom w:val="none" w:sz="0" w:space="0" w:color="auto"/>
        <w:right w:val="none" w:sz="0" w:space="0" w:color="auto"/>
      </w:divBdr>
    </w:div>
    <w:div w:id="930164493">
      <w:bodyDiv w:val="1"/>
      <w:marLeft w:val="0"/>
      <w:marRight w:val="0"/>
      <w:marTop w:val="0"/>
      <w:marBottom w:val="0"/>
      <w:divBdr>
        <w:top w:val="none" w:sz="0" w:space="0" w:color="auto"/>
        <w:left w:val="none" w:sz="0" w:space="0" w:color="auto"/>
        <w:bottom w:val="none" w:sz="0" w:space="0" w:color="auto"/>
        <w:right w:val="none" w:sz="0" w:space="0" w:color="auto"/>
      </w:divBdr>
    </w:div>
    <w:div w:id="955915697">
      <w:bodyDiv w:val="1"/>
      <w:marLeft w:val="0"/>
      <w:marRight w:val="0"/>
      <w:marTop w:val="0"/>
      <w:marBottom w:val="0"/>
      <w:divBdr>
        <w:top w:val="none" w:sz="0" w:space="0" w:color="auto"/>
        <w:left w:val="none" w:sz="0" w:space="0" w:color="auto"/>
        <w:bottom w:val="none" w:sz="0" w:space="0" w:color="auto"/>
        <w:right w:val="none" w:sz="0" w:space="0" w:color="auto"/>
      </w:divBdr>
    </w:div>
    <w:div w:id="974870739">
      <w:bodyDiv w:val="1"/>
      <w:marLeft w:val="0"/>
      <w:marRight w:val="0"/>
      <w:marTop w:val="0"/>
      <w:marBottom w:val="0"/>
      <w:divBdr>
        <w:top w:val="none" w:sz="0" w:space="0" w:color="auto"/>
        <w:left w:val="none" w:sz="0" w:space="0" w:color="auto"/>
        <w:bottom w:val="none" w:sz="0" w:space="0" w:color="auto"/>
        <w:right w:val="none" w:sz="0" w:space="0" w:color="auto"/>
      </w:divBdr>
    </w:div>
    <w:div w:id="989401527">
      <w:bodyDiv w:val="1"/>
      <w:marLeft w:val="0"/>
      <w:marRight w:val="0"/>
      <w:marTop w:val="0"/>
      <w:marBottom w:val="0"/>
      <w:divBdr>
        <w:top w:val="none" w:sz="0" w:space="0" w:color="auto"/>
        <w:left w:val="none" w:sz="0" w:space="0" w:color="auto"/>
        <w:bottom w:val="none" w:sz="0" w:space="0" w:color="auto"/>
        <w:right w:val="none" w:sz="0" w:space="0" w:color="auto"/>
      </w:divBdr>
    </w:div>
    <w:div w:id="1019544833">
      <w:bodyDiv w:val="1"/>
      <w:marLeft w:val="0"/>
      <w:marRight w:val="0"/>
      <w:marTop w:val="0"/>
      <w:marBottom w:val="0"/>
      <w:divBdr>
        <w:top w:val="none" w:sz="0" w:space="0" w:color="auto"/>
        <w:left w:val="none" w:sz="0" w:space="0" w:color="auto"/>
        <w:bottom w:val="none" w:sz="0" w:space="0" w:color="auto"/>
        <w:right w:val="none" w:sz="0" w:space="0" w:color="auto"/>
      </w:divBdr>
    </w:div>
    <w:div w:id="1037656918">
      <w:bodyDiv w:val="1"/>
      <w:marLeft w:val="0"/>
      <w:marRight w:val="0"/>
      <w:marTop w:val="0"/>
      <w:marBottom w:val="0"/>
      <w:divBdr>
        <w:top w:val="none" w:sz="0" w:space="0" w:color="auto"/>
        <w:left w:val="none" w:sz="0" w:space="0" w:color="auto"/>
        <w:bottom w:val="none" w:sz="0" w:space="0" w:color="auto"/>
        <w:right w:val="none" w:sz="0" w:space="0" w:color="auto"/>
      </w:divBdr>
    </w:div>
    <w:div w:id="1038244254">
      <w:bodyDiv w:val="1"/>
      <w:marLeft w:val="0"/>
      <w:marRight w:val="0"/>
      <w:marTop w:val="0"/>
      <w:marBottom w:val="0"/>
      <w:divBdr>
        <w:top w:val="none" w:sz="0" w:space="0" w:color="auto"/>
        <w:left w:val="none" w:sz="0" w:space="0" w:color="auto"/>
        <w:bottom w:val="none" w:sz="0" w:space="0" w:color="auto"/>
        <w:right w:val="none" w:sz="0" w:space="0" w:color="auto"/>
      </w:divBdr>
    </w:div>
    <w:div w:id="1052534844">
      <w:bodyDiv w:val="1"/>
      <w:marLeft w:val="0"/>
      <w:marRight w:val="0"/>
      <w:marTop w:val="0"/>
      <w:marBottom w:val="0"/>
      <w:divBdr>
        <w:top w:val="none" w:sz="0" w:space="0" w:color="auto"/>
        <w:left w:val="none" w:sz="0" w:space="0" w:color="auto"/>
        <w:bottom w:val="none" w:sz="0" w:space="0" w:color="auto"/>
        <w:right w:val="none" w:sz="0" w:space="0" w:color="auto"/>
      </w:divBdr>
    </w:div>
    <w:div w:id="1062020246">
      <w:bodyDiv w:val="1"/>
      <w:marLeft w:val="0"/>
      <w:marRight w:val="0"/>
      <w:marTop w:val="0"/>
      <w:marBottom w:val="0"/>
      <w:divBdr>
        <w:top w:val="none" w:sz="0" w:space="0" w:color="auto"/>
        <w:left w:val="none" w:sz="0" w:space="0" w:color="auto"/>
        <w:bottom w:val="none" w:sz="0" w:space="0" w:color="auto"/>
        <w:right w:val="none" w:sz="0" w:space="0" w:color="auto"/>
      </w:divBdr>
    </w:div>
    <w:div w:id="1072192267">
      <w:bodyDiv w:val="1"/>
      <w:marLeft w:val="0"/>
      <w:marRight w:val="0"/>
      <w:marTop w:val="0"/>
      <w:marBottom w:val="0"/>
      <w:divBdr>
        <w:top w:val="none" w:sz="0" w:space="0" w:color="auto"/>
        <w:left w:val="none" w:sz="0" w:space="0" w:color="auto"/>
        <w:bottom w:val="none" w:sz="0" w:space="0" w:color="auto"/>
        <w:right w:val="none" w:sz="0" w:space="0" w:color="auto"/>
      </w:divBdr>
    </w:div>
    <w:div w:id="1104224281">
      <w:bodyDiv w:val="1"/>
      <w:marLeft w:val="0"/>
      <w:marRight w:val="0"/>
      <w:marTop w:val="0"/>
      <w:marBottom w:val="0"/>
      <w:divBdr>
        <w:top w:val="none" w:sz="0" w:space="0" w:color="auto"/>
        <w:left w:val="none" w:sz="0" w:space="0" w:color="auto"/>
        <w:bottom w:val="none" w:sz="0" w:space="0" w:color="auto"/>
        <w:right w:val="none" w:sz="0" w:space="0" w:color="auto"/>
      </w:divBdr>
    </w:div>
    <w:div w:id="1136528170">
      <w:bodyDiv w:val="1"/>
      <w:marLeft w:val="0"/>
      <w:marRight w:val="0"/>
      <w:marTop w:val="0"/>
      <w:marBottom w:val="0"/>
      <w:divBdr>
        <w:top w:val="none" w:sz="0" w:space="0" w:color="auto"/>
        <w:left w:val="none" w:sz="0" w:space="0" w:color="auto"/>
        <w:bottom w:val="none" w:sz="0" w:space="0" w:color="auto"/>
        <w:right w:val="none" w:sz="0" w:space="0" w:color="auto"/>
      </w:divBdr>
    </w:div>
    <w:div w:id="1140195841">
      <w:bodyDiv w:val="1"/>
      <w:marLeft w:val="0"/>
      <w:marRight w:val="0"/>
      <w:marTop w:val="0"/>
      <w:marBottom w:val="0"/>
      <w:divBdr>
        <w:top w:val="none" w:sz="0" w:space="0" w:color="auto"/>
        <w:left w:val="none" w:sz="0" w:space="0" w:color="auto"/>
        <w:bottom w:val="none" w:sz="0" w:space="0" w:color="auto"/>
        <w:right w:val="none" w:sz="0" w:space="0" w:color="auto"/>
      </w:divBdr>
    </w:div>
    <w:div w:id="1150443341">
      <w:bodyDiv w:val="1"/>
      <w:marLeft w:val="0"/>
      <w:marRight w:val="0"/>
      <w:marTop w:val="0"/>
      <w:marBottom w:val="0"/>
      <w:divBdr>
        <w:top w:val="none" w:sz="0" w:space="0" w:color="auto"/>
        <w:left w:val="none" w:sz="0" w:space="0" w:color="auto"/>
        <w:bottom w:val="none" w:sz="0" w:space="0" w:color="auto"/>
        <w:right w:val="none" w:sz="0" w:space="0" w:color="auto"/>
      </w:divBdr>
    </w:div>
    <w:div w:id="1163277018">
      <w:bodyDiv w:val="1"/>
      <w:marLeft w:val="0"/>
      <w:marRight w:val="0"/>
      <w:marTop w:val="0"/>
      <w:marBottom w:val="0"/>
      <w:divBdr>
        <w:top w:val="none" w:sz="0" w:space="0" w:color="auto"/>
        <w:left w:val="none" w:sz="0" w:space="0" w:color="auto"/>
        <w:bottom w:val="none" w:sz="0" w:space="0" w:color="auto"/>
        <w:right w:val="none" w:sz="0" w:space="0" w:color="auto"/>
      </w:divBdr>
    </w:div>
    <w:div w:id="1177503532">
      <w:bodyDiv w:val="1"/>
      <w:marLeft w:val="0"/>
      <w:marRight w:val="0"/>
      <w:marTop w:val="0"/>
      <w:marBottom w:val="0"/>
      <w:divBdr>
        <w:top w:val="none" w:sz="0" w:space="0" w:color="auto"/>
        <w:left w:val="none" w:sz="0" w:space="0" w:color="auto"/>
        <w:bottom w:val="none" w:sz="0" w:space="0" w:color="auto"/>
        <w:right w:val="none" w:sz="0" w:space="0" w:color="auto"/>
      </w:divBdr>
    </w:div>
    <w:div w:id="1187982529">
      <w:bodyDiv w:val="1"/>
      <w:marLeft w:val="0"/>
      <w:marRight w:val="0"/>
      <w:marTop w:val="0"/>
      <w:marBottom w:val="0"/>
      <w:divBdr>
        <w:top w:val="none" w:sz="0" w:space="0" w:color="auto"/>
        <w:left w:val="none" w:sz="0" w:space="0" w:color="auto"/>
        <w:bottom w:val="none" w:sz="0" w:space="0" w:color="auto"/>
        <w:right w:val="none" w:sz="0" w:space="0" w:color="auto"/>
      </w:divBdr>
    </w:div>
    <w:div w:id="1196693571">
      <w:bodyDiv w:val="1"/>
      <w:marLeft w:val="0"/>
      <w:marRight w:val="0"/>
      <w:marTop w:val="0"/>
      <w:marBottom w:val="0"/>
      <w:divBdr>
        <w:top w:val="none" w:sz="0" w:space="0" w:color="auto"/>
        <w:left w:val="none" w:sz="0" w:space="0" w:color="auto"/>
        <w:bottom w:val="none" w:sz="0" w:space="0" w:color="auto"/>
        <w:right w:val="none" w:sz="0" w:space="0" w:color="auto"/>
      </w:divBdr>
    </w:div>
    <w:div w:id="1202936643">
      <w:bodyDiv w:val="1"/>
      <w:marLeft w:val="0"/>
      <w:marRight w:val="0"/>
      <w:marTop w:val="0"/>
      <w:marBottom w:val="0"/>
      <w:divBdr>
        <w:top w:val="none" w:sz="0" w:space="0" w:color="auto"/>
        <w:left w:val="none" w:sz="0" w:space="0" w:color="auto"/>
        <w:bottom w:val="none" w:sz="0" w:space="0" w:color="auto"/>
        <w:right w:val="none" w:sz="0" w:space="0" w:color="auto"/>
      </w:divBdr>
    </w:div>
    <w:div w:id="1224297372">
      <w:bodyDiv w:val="1"/>
      <w:marLeft w:val="0"/>
      <w:marRight w:val="0"/>
      <w:marTop w:val="0"/>
      <w:marBottom w:val="0"/>
      <w:divBdr>
        <w:top w:val="none" w:sz="0" w:space="0" w:color="auto"/>
        <w:left w:val="none" w:sz="0" w:space="0" w:color="auto"/>
        <w:bottom w:val="none" w:sz="0" w:space="0" w:color="auto"/>
        <w:right w:val="none" w:sz="0" w:space="0" w:color="auto"/>
      </w:divBdr>
    </w:div>
    <w:div w:id="1227302037">
      <w:bodyDiv w:val="1"/>
      <w:marLeft w:val="0"/>
      <w:marRight w:val="0"/>
      <w:marTop w:val="0"/>
      <w:marBottom w:val="0"/>
      <w:divBdr>
        <w:top w:val="none" w:sz="0" w:space="0" w:color="auto"/>
        <w:left w:val="none" w:sz="0" w:space="0" w:color="auto"/>
        <w:bottom w:val="none" w:sz="0" w:space="0" w:color="auto"/>
        <w:right w:val="none" w:sz="0" w:space="0" w:color="auto"/>
      </w:divBdr>
    </w:div>
    <w:div w:id="1249315767">
      <w:bodyDiv w:val="1"/>
      <w:marLeft w:val="0"/>
      <w:marRight w:val="0"/>
      <w:marTop w:val="0"/>
      <w:marBottom w:val="0"/>
      <w:divBdr>
        <w:top w:val="none" w:sz="0" w:space="0" w:color="auto"/>
        <w:left w:val="none" w:sz="0" w:space="0" w:color="auto"/>
        <w:bottom w:val="none" w:sz="0" w:space="0" w:color="auto"/>
        <w:right w:val="none" w:sz="0" w:space="0" w:color="auto"/>
      </w:divBdr>
    </w:div>
    <w:div w:id="1288899331">
      <w:bodyDiv w:val="1"/>
      <w:marLeft w:val="0"/>
      <w:marRight w:val="0"/>
      <w:marTop w:val="0"/>
      <w:marBottom w:val="0"/>
      <w:divBdr>
        <w:top w:val="none" w:sz="0" w:space="0" w:color="auto"/>
        <w:left w:val="none" w:sz="0" w:space="0" w:color="auto"/>
        <w:bottom w:val="none" w:sz="0" w:space="0" w:color="auto"/>
        <w:right w:val="none" w:sz="0" w:space="0" w:color="auto"/>
      </w:divBdr>
    </w:div>
    <w:div w:id="1341666438">
      <w:bodyDiv w:val="1"/>
      <w:marLeft w:val="0"/>
      <w:marRight w:val="0"/>
      <w:marTop w:val="0"/>
      <w:marBottom w:val="0"/>
      <w:divBdr>
        <w:top w:val="none" w:sz="0" w:space="0" w:color="auto"/>
        <w:left w:val="none" w:sz="0" w:space="0" w:color="auto"/>
        <w:bottom w:val="none" w:sz="0" w:space="0" w:color="auto"/>
        <w:right w:val="none" w:sz="0" w:space="0" w:color="auto"/>
      </w:divBdr>
    </w:div>
    <w:div w:id="1355156480">
      <w:bodyDiv w:val="1"/>
      <w:marLeft w:val="0"/>
      <w:marRight w:val="0"/>
      <w:marTop w:val="0"/>
      <w:marBottom w:val="0"/>
      <w:divBdr>
        <w:top w:val="none" w:sz="0" w:space="0" w:color="auto"/>
        <w:left w:val="none" w:sz="0" w:space="0" w:color="auto"/>
        <w:bottom w:val="none" w:sz="0" w:space="0" w:color="auto"/>
        <w:right w:val="none" w:sz="0" w:space="0" w:color="auto"/>
      </w:divBdr>
    </w:div>
    <w:div w:id="1417484085">
      <w:bodyDiv w:val="1"/>
      <w:marLeft w:val="0"/>
      <w:marRight w:val="0"/>
      <w:marTop w:val="0"/>
      <w:marBottom w:val="0"/>
      <w:divBdr>
        <w:top w:val="none" w:sz="0" w:space="0" w:color="auto"/>
        <w:left w:val="none" w:sz="0" w:space="0" w:color="auto"/>
        <w:bottom w:val="none" w:sz="0" w:space="0" w:color="auto"/>
        <w:right w:val="none" w:sz="0" w:space="0" w:color="auto"/>
      </w:divBdr>
    </w:div>
    <w:div w:id="1418941176">
      <w:bodyDiv w:val="1"/>
      <w:marLeft w:val="0"/>
      <w:marRight w:val="0"/>
      <w:marTop w:val="0"/>
      <w:marBottom w:val="0"/>
      <w:divBdr>
        <w:top w:val="none" w:sz="0" w:space="0" w:color="auto"/>
        <w:left w:val="none" w:sz="0" w:space="0" w:color="auto"/>
        <w:bottom w:val="none" w:sz="0" w:space="0" w:color="auto"/>
        <w:right w:val="none" w:sz="0" w:space="0" w:color="auto"/>
      </w:divBdr>
    </w:div>
    <w:div w:id="1425107886">
      <w:bodyDiv w:val="1"/>
      <w:marLeft w:val="0"/>
      <w:marRight w:val="0"/>
      <w:marTop w:val="0"/>
      <w:marBottom w:val="0"/>
      <w:divBdr>
        <w:top w:val="none" w:sz="0" w:space="0" w:color="auto"/>
        <w:left w:val="none" w:sz="0" w:space="0" w:color="auto"/>
        <w:bottom w:val="none" w:sz="0" w:space="0" w:color="auto"/>
        <w:right w:val="none" w:sz="0" w:space="0" w:color="auto"/>
      </w:divBdr>
    </w:div>
    <w:div w:id="1453859821">
      <w:bodyDiv w:val="1"/>
      <w:marLeft w:val="0"/>
      <w:marRight w:val="0"/>
      <w:marTop w:val="0"/>
      <w:marBottom w:val="0"/>
      <w:divBdr>
        <w:top w:val="none" w:sz="0" w:space="0" w:color="auto"/>
        <w:left w:val="none" w:sz="0" w:space="0" w:color="auto"/>
        <w:bottom w:val="none" w:sz="0" w:space="0" w:color="auto"/>
        <w:right w:val="none" w:sz="0" w:space="0" w:color="auto"/>
      </w:divBdr>
    </w:div>
    <w:div w:id="1454404816">
      <w:bodyDiv w:val="1"/>
      <w:marLeft w:val="0"/>
      <w:marRight w:val="0"/>
      <w:marTop w:val="0"/>
      <w:marBottom w:val="0"/>
      <w:divBdr>
        <w:top w:val="none" w:sz="0" w:space="0" w:color="auto"/>
        <w:left w:val="none" w:sz="0" w:space="0" w:color="auto"/>
        <w:bottom w:val="none" w:sz="0" w:space="0" w:color="auto"/>
        <w:right w:val="none" w:sz="0" w:space="0" w:color="auto"/>
      </w:divBdr>
    </w:div>
    <w:div w:id="1560093180">
      <w:bodyDiv w:val="1"/>
      <w:marLeft w:val="0"/>
      <w:marRight w:val="0"/>
      <w:marTop w:val="0"/>
      <w:marBottom w:val="0"/>
      <w:divBdr>
        <w:top w:val="none" w:sz="0" w:space="0" w:color="auto"/>
        <w:left w:val="none" w:sz="0" w:space="0" w:color="auto"/>
        <w:bottom w:val="none" w:sz="0" w:space="0" w:color="auto"/>
        <w:right w:val="none" w:sz="0" w:space="0" w:color="auto"/>
      </w:divBdr>
    </w:div>
    <w:div w:id="1588615726">
      <w:bodyDiv w:val="1"/>
      <w:marLeft w:val="0"/>
      <w:marRight w:val="0"/>
      <w:marTop w:val="0"/>
      <w:marBottom w:val="0"/>
      <w:divBdr>
        <w:top w:val="none" w:sz="0" w:space="0" w:color="auto"/>
        <w:left w:val="none" w:sz="0" w:space="0" w:color="auto"/>
        <w:bottom w:val="none" w:sz="0" w:space="0" w:color="auto"/>
        <w:right w:val="none" w:sz="0" w:space="0" w:color="auto"/>
      </w:divBdr>
    </w:div>
    <w:div w:id="1616450498">
      <w:bodyDiv w:val="1"/>
      <w:marLeft w:val="0"/>
      <w:marRight w:val="0"/>
      <w:marTop w:val="0"/>
      <w:marBottom w:val="0"/>
      <w:divBdr>
        <w:top w:val="none" w:sz="0" w:space="0" w:color="auto"/>
        <w:left w:val="none" w:sz="0" w:space="0" w:color="auto"/>
        <w:bottom w:val="none" w:sz="0" w:space="0" w:color="auto"/>
        <w:right w:val="none" w:sz="0" w:space="0" w:color="auto"/>
      </w:divBdr>
    </w:div>
    <w:div w:id="1636450312">
      <w:bodyDiv w:val="1"/>
      <w:marLeft w:val="0"/>
      <w:marRight w:val="0"/>
      <w:marTop w:val="0"/>
      <w:marBottom w:val="0"/>
      <w:divBdr>
        <w:top w:val="none" w:sz="0" w:space="0" w:color="auto"/>
        <w:left w:val="none" w:sz="0" w:space="0" w:color="auto"/>
        <w:bottom w:val="none" w:sz="0" w:space="0" w:color="auto"/>
        <w:right w:val="none" w:sz="0" w:space="0" w:color="auto"/>
      </w:divBdr>
    </w:div>
    <w:div w:id="1691949426">
      <w:bodyDiv w:val="1"/>
      <w:marLeft w:val="0"/>
      <w:marRight w:val="0"/>
      <w:marTop w:val="0"/>
      <w:marBottom w:val="0"/>
      <w:divBdr>
        <w:top w:val="none" w:sz="0" w:space="0" w:color="auto"/>
        <w:left w:val="none" w:sz="0" w:space="0" w:color="auto"/>
        <w:bottom w:val="none" w:sz="0" w:space="0" w:color="auto"/>
        <w:right w:val="none" w:sz="0" w:space="0" w:color="auto"/>
      </w:divBdr>
    </w:div>
    <w:div w:id="1726374270">
      <w:bodyDiv w:val="1"/>
      <w:marLeft w:val="0"/>
      <w:marRight w:val="0"/>
      <w:marTop w:val="0"/>
      <w:marBottom w:val="0"/>
      <w:divBdr>
        <w:top w:val="none" w:sz="0" w:space="0" w:color="auto"/>
        <w:left w:val="none" w:sz="0" w:space="0" w:color="auto"/>
        <w:bottom w:val="none" w:sz="0" w:space="0" w:color="auto"/>
        <w:right w:val="none" w:sz="0" w:space="0" w:color="auto"/>
      </w:divBdr>
    </w:div>
    <w:div w:id="1747415528">
      <w:bodyDiv w:val="1"/>
      <w:marLeft w:val="0"/>
      <w:marRight w:val="0"/>
      <w:marTop w:val="0"/>
      <w:marBottom w:val="0"/>
      <w:divBdr>
        <w:top w:val="none" w:sz="0" w:space="0" w:color="auto"/>
        <w:left w:val="none" w:sz="0" w:space="0" w:color="auto"/>
        <w:bottom w:val="none" w:sz="0" w:space="0" w:color="auto"/>
        <w:right w:val="none" w:sz="0" w:space="0" w:color="auto"/>
      </w:divBdr>
    </w:div>
    <w:div w:id="1799563164">
      <w:bodyDiv w:val="1"/>
      <w:marLeft w:val="0"/>
      <w:marRight w:val="0"/>
      <w:marTop w:val="0"/>
      <w:marBottom w:val="0"/>
      <w:divBdr>
        <w:top w:val="none" w:sz="0" w:space="0" w:color="auto"/>
        <w:left w:val="none" w:sz="0" w:space="0" w:color="auto"/>
        <w:bottom w:val="none" w:sz="0" w:space="0" w:color="auto"/>
        <w:right w:val="none" w:sz="0" w:space="0" w:color="auto"/>
      </w:divBdr>
    </w:div>
    <w:div w:id="1844006632">
      <w:bodyDiv w:val="1"/>
      <w:marLeft w:val="0"/>
      <w:marRight w:val="0"/>
      <w:marTop w:val="0"/>
      <w:marBottom w:val="0"/>
      <w:divBdr>
        <w:top w:val="none" w:sz="0" w:space="0" w:color="auto"/>
        <w:left w:val="none" w:sz="0" w:space="0" w:color="auto"/>
        <w:bottom w:val="none" w:sz="0" w:space="0" w:color="auto"/>
        <w:right w:val="none" w:sz="0" w:space="0" w:color="auto"/>
      </w:divBdr>
    </w:div>
    <w:div w:id="1847355759">
      <w:bodyDiv w:val="1"/>
      <w:marLeft w:val="0"/>
      <w:marRight w:val="0"/>
      <w:marTop w:val="0"/>
      <w:marBottom w:val="0"/>
      <w:divBdr>
        <w:top w:val="none" w:sz="0" w:space="0" w:color="auto"/>
        <w:left w:val="none" w:sz="0" w:space="0" w:color="auto"/>
        <w:bottom w:val="none" w:sz="0" w:space="0" w:color="auto"/>
        <w:right w:val="none" w:sz="0" w:space="0" w:color="auto"/>
      </w:divBdr>
    </w:div>
    <w:div w:id="1879123099">
      <w:bodyDiv w:val="1"/>
      <w:marLeft w:val="0"/>
      <w:marRight w:val="0"/>
      <w:marTop w:val="0"/>
      <w:marBottom w:val="0"/>
      <w:divBdr>
        <w:top w:val="none" w:sz="0" w:space="0" w:color="auto"/>
        <w:left w:val="none" w:sz="0" w:space="0" w:color="auto"/>
        <w:bottom w:val="none" w:sz="0" w:space="0" w:color="auto"/>
        <w:right w:val="none" w:sz="0" w:space="0" w:color="auto"/>
      </w:divBdr>
    </w:div>
    <w:div w:id="1891648792">
      <w:bodyDiv w:val="1"/>
      <w:marLeft w:val="0"/>
      <w:marRight w:val="0"/>
      <w:marTop w:val="0"/>
      <w:marBottom w:val="0"/>
      <w:divBdr>
        <w:top w:val="none" w:sz="0" w:space="0" w:color="auto"/>
        <w:left w:val="none" w:sz="0" w:space="0" w:color="auto"/>
        <w:bottom w:val="none" w:sz="0" w:space="0" w:color="auto"/>
        <w:right w:val="none" w:sz="0" w:space="0" w:color="auto"/>
      </w:divBdr>
    </w:div>
    <w:div w:id="1929578132">
      <w:bodyDiv w:val="1"/>
      <w:marLeft w:val="0"/>
      <w:marRight w:val="0"/>
      <w:marTop w:val="0"/>
      <w:marBottom w:val="0"/>
      <w:divBdr>
        <w:top w:val="none" w:sz="0" w:space="0" w:color="auto"/>
        <w:left w:val="none" w:sz="0" w:space="0" w:color="auto"/>
        <w:bottom w:val="none" w:sz="0" w:space="0" w:color="auto"/>
        <w:right w:val="none" w:sz="0" w:space="0" w:color="auto"/>
      </w:divBdr>
    </w:div>
    <w:div w:id="1937977462">
      <w:bodyDiv w:val="1"/>
      <w:marLeft w:val="0"/>
      <w:marRight w:val="0"/>
      <w:marTop w:val="0"/>
      <w:marBottom w:val="0"/>
      <w:divBdr>
        <w:top w:val="none" w:sz="0" w:space="0" w:color="auto"/>
        <w:left w:val="none" w:sz="0" w:space="0" w:color="auto"/>
        <w:bottom w:val="none" w:sz="0" w:space="0" w:color="auto"/>
        <w:right w:val="none" w:sz="0" w:space="0" w:color="auto"/>
      </w:divBdr>
    </w:div>
    <w:div w:id="2077435599">
      <w:bodyDiv w:val="1"/>
      <w:marLeft w:val="0"/>
      <w:marRight w:val="0"/>
      <w:marTop w:val="0"/>
      <w:marBottom w:val="0"/>
      <w:divBdr>
        <w:top w:val="none" w:sz="0" w:space="0" w:color="auto"/>
        <w:left w:val="none" w:sz="0" w:space="0" w:color="auto"/>
        <w:bottom w:val="none" w:sz="0" w:space="0" w:color="auto"/>
        <w:right w:val="none" w:sz="0" w:space="0" w:color="auto"/>
      </w:divBdr>
    </w:div>
    <w:div w:id="2090417598">
      <w:bodyDiv w:val="1"/>
      <w:marLeft w:val="0"/>
      <w:marRight w:val="0"/>
      <w:marTop w:val="0"/>
      <w:marBottom w:val="0"/>
      <w:divBdr>
        <w:top w:val="none" w:sz="0" w:space="0" w:color="auto"/>
        <w:left w:val="none" w:sz="0" w:space="0" w:color="auto"/>
        <w:bottom w:val="none" w:sz="0" w:space="0" w:color="auto"/>
        <w:right w:val="none" w:sz="0" w:space="0" w:color="auto"/>
      </w:divBdr>
    </w:div>
    <w:div w:id="2099935102">
      <w:bodyDiv w:val="1"/>
      <w:marLeft w:val="0"/>
      <w:marRight w:val="0"/>
      <w:marTop w:val="0"/>
      <w:marBottom w:val="0"/>
      <w:divBdr>
        <w:top w:val="none" w:sz="0" w:space="0" w:color="auto"/>
        <w:left w:val="none" w:sz="0" w:space="0" w:color="auto"/>
        <w:bottom w:val="none" w:sz="0" w:space="0" w:color="auto"/>
        <w:right w:val="none" w:sz="0" w:space="0" w:color="auto"/>
      </w:divBdr>
    </w:div>
    <w:div w:id="2111856624">
      <w:bodyDiv w:val="1"/>
      <w:marLeft w:val="0"/>
      <w:marRight w:val="0"/>
      <w:marTop w:val="0"/>
      <w:marBottom w:val="0"/>
      <w:divBdr>
        <w:top w:val="none" w:sz="0" w:space="0" w:color="auto"/>
        <w:left w:val="none" w:sz="0" w:space="0" w:color="auto"/>
        <w:bottom w:val="none" w:sz="0" w:space="0" w:color="auto"/>
        <w:right w:val="none" w:sz="0" w:space="0" w:color="auto"/>
      </w:divBdr>
    </w:div>
    <w:div w:id="2117168700">
      <w:bodyDiv w:val="1"/>
      <w:marLeft w:val="0"/>
      <w:marRight w:val="0"/>
      <w:marTop w:val="0"/>
      <w:marBottom w:val="0"/>
      <w:divBdr>
        <w:top w:val="none" w:sz="0" w:space="0" w:color="auto"/>
        <w:left w:val="none" w:sz="0" w:space="0" w:color="auto"/>
        <w:bottom w:val="none" w:sz="0" w:space="0" w:color="auto"/>
        <w:right w:val="none" w:sz="0" w:space="0" w:color="auto"/>
      </w:divBdr>
    </w:div>
    <w:div w:id="2118981360">
      <w:bodyDiv w:val="1"/>
      <w:marLeft w:val="0"/>
      <w:marRight w:val="0"/>
      <w:marTop w:val="0"/>
      <w:marBottom w:val="0"/>
      <w:divBdr>
        <w:top w:val="none" w:sz="0" w:space="0" w:color="auto"/>
        <w:left w:val="none" w:sz="0" w:space="0" w:color="auto"/>
        <w:bottom w:val="none" w:sz="0" w:space="0" w:color="auto"/>
        <w:right w:val="none" w:sz="0" w:space="0" w:color="auto"/>
      </w:divBdr>
    </w:div>
    <w:div w:id="212946850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74A89-2308-402D-BB9B-2D7FA106E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32467</Words>
  <Characters>185064</Characters>
  <Application>Microsoft Office Word</Application>
  <DocSecurity>0</DocSecurity>
  <Lines>1542</Lines>
  <Paragraphs>434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217097</CharactersWithSpaces>
  <SharedDoc>false</SharedDoc>
  <HLinks>
    <vt:vector size="516" baseType="variant">
      <vt:variant>
        <vt:i4>1310777</vt:i4>
      </vt:variant>
      <vt:variant>
        <vt:i4>404</vt:i4>
      </vt:variant>
      <vt:variant>
        <vt:i4>0</vt:i4>
      </vt:variant>
      <vt:variant>
        <vt:i4>5</vt:i4>
      </vt:variant>
      <vt:variant>
        <vt:lpwstr/>
      </vt:variant>
      <vt:variant>
        <vt:lpwstr>_Toc88998406</vt:lpwstr>
      </vt:variant>
      <vt:variant>
        <vt:i4>1507385</vt:i4>
      </vt:variant>
      <vt:variant>
        <vt:i4>398</vt:i4>
      </vt:variant>
      <vt:variant>
        <vt:i4>0</vt:i4>
      </vt:variant>
      <vt:variant>
        <vt:i4>5</vt:i4>
      </vt:variant>
      <vt:variant>
        <vt:lpwstr/>
      </vt:variant>
      <vt:variant>
        <vt:lpwstr>_Toc88998405</vt:lpwstr>
      </vt:variant>
      <vt:variant>
        <vt:i4>1441849</vt:i4>
      </vt:variant>
      <vt:variant>
        <vt:i4>392</vt:i4>
      </vt:variant>
      <vt:variant>
        <vt:i4>0</vt:i4>
      </vt:variant>
      <vt:variant>
        <vt:i4>5</vt:i4>
      </vt:variant>
      <vt:variant>
        <vt:lpwstr/>
      </vt:variant>
      <vt:variant>
        <vt:lpwstr>_Toc88998404</vt:lpwstr>
      </vt:variant>
      <vt:variant>
        <vt:i4>1114169</vt:i4>
      </vt:variant>
      <vt:variant>
        <vt:i4>386</vt:i4>
      </vt:variant>
      <vt:variant>
        <vt:i4>0</vt:i4>
      </vt:variant>
      <vt:variant>
        <vt:i4>5</vt:i4>
      </vt:variant>
      <vt:variant>
        <vt:lpwstr/>
      </vt:variant>
      <vt:variant>
        <vt:lpwstr>_Toc88998403</vt:lpwstr>
      </vt:variant>
      <vt:variant>
        <vt:i4>1048633</vt:i4>
      </vt:variant>
      <vt:variant>
        <vt:i4>380</vt:i4>
      </vt:variant>
      <vt:variant>
        <vt:i4>0</vt:i4>
      </vt:variant>
      <vt:variant>
        <vt:i4>5</vt:i4>
      </vt:variant>
      <vt:variant>
        <vt:lpwstr/>
      </vt:variant>
      <vt:variant>
        <vt:lpwstr>_Toc88998402</vt:lpwstr>
      </vt:variant>
      <vt:variant>
        <vt:i4>1245241</vt:i4>
      </vt:variant>
      <vt:variant>
        <vt:i4>374</vt:i4>
      </vt:variant>
      <vt:variant>
        <vt:i4>0</vt:i4>
      </vt:variant>
      <vt:variant>
        <vt:i4>5</vt:i4>
      </vt:variant>
      <vt:variant>
        <vt:lpwstr/>
      </vt:variant>
      <vt:variant>
        <vt:lpwstr>_Toc88998401</vt:lpwstr>
      </vt:variant>
      <vt:variant>
        <vt:i4>1179705</vt:i4>
      </vt:variant>
      <vt:variant>
        <vt:i4>368</vt:i4>
      </vt:variant>
      <vt:variant>
        <vt:i4>0</vt:i4>
      </vt:variant>
      <vt:variant>
        <vt:i4>5</vt:i4>
      </vt:variant>
      <vt:variant>
        <vt:lpwstr/>
      </vt:variant>
      <vt:variant>
        <vt:lpwstr>_Toc88998400</vt:lpwstr>
      </vt:variant>
      <vt:variant>
        <vt:i4>1835056</vt:i4>
      </vt:variant>
      <vt:variant>
        <vt:i4>362</vt:i4>
      </vt:variant>
      <vt:variant>
        <vt:i4>0</vt:i4>
      </vt:variant>
      <vt:variant>
        <vt:i4>5</vt:i4>
      </vt:variant>
      <vt:variant>
        <vt:lpwstr/>
      </vt:variant>
      <vt:variant>
        <vt:lpwstr>_Toc88998399</vt:lpwstr>
      </vt:variant>
      <vt:variant>
        <vt:i4>1900592</vt:i4>
      </vt:variant>
      <vt:variant>
        <vt:i4>356</vt:i4>
      </vt:variant>
      <vt:variant>
        <vt:i4>0</vt:i4>
      </vt:variant>
      <vt:variant>
        <vt:i4>5</vt:i4>
      </vt:variant>
      <vt:variant>
        <vt:lpwstr/>
      </vt:variant>
      <vt:variant>
        <vt:lpwstr>_Toc88998398</vt:lpwstr>
      </vt:variant>
      <vt:variant>
        <vt:i4>1179696</vt:i4>
      </vt:variant>
      <vt:variant>
        <vt:i4>350</vt:i4>
      </vt:variant>
      <vt:variant>
        <vt:i4>0</vt:i4>
      </vt:variant>
      <vt:variant>
        <vt:i4>5</vt:i4>
      </vt:variant>
      <vt:variant>
        <vt:lpwstr/>
      </vt:variant>
      <vt:variant>
        <vt:lpwstr>_Toc88998397</vt:lpwstr>
      </vt:variant>
      <vt:variant>
        <vt:i4>1245232</vt:i4>
      </vt:variant>
      <vt:variant>
        <vt:i4>344</vt:i4>
      </vt:variant>
      <vt:variant>
        <vt:i4>0</vt:i4>
      </vt:variant>
      <vt:variant>
        <vt:i4>5</vt:i4>
      </vt:variant>
      <vt:variant>
        <vt:lpwstr/>
      </vt:variant>
      <vt:variant>
        <vt:lpwstr>_Toc88998396</vt:lpwstr>
      </vt:variant>
      <vt:variant>
        <vt:i4>1048624</vt:i4>
      </vt:variant>
      <vt:variant>
        <vt:i4>338</vt:i4>
      </vt:variant>
      <vt:variant>
        <vt:i4>0</vt:i4>
      </vt:variant>
      <vt:variant>
        <vt:i4>5</vt:i4>
      </vt:variant>
      <vt:variant>
        <vt:lpwstr/>
      </vt:variant>
      <vt:variant>
        <vt:lpwstr>_Toc88998395</vt:lpwstr>
      </vt:variant>
      <vt:variant>
        <vt:i4>1114160</vt:i4>
      </vt:variant>
      <vt:variant>
        <vt:i4>332</vt:i4>
      </vt:variant>
      <vt:variant>
        <vt:i4>0</vt:i4>
      </vt:variant>
      <vt:variant>
        <vt:i4>5</vt:i4>
      </vt:variant>
      <vt:variant>
        <vt:lpwstr/>
      </vt:variant>
      <vt:variant>
        <vt:lpwstr>_Toc88998394</vt:lpwstr>
      </vt:variant>
      <vt:variant>
        <vt:i4>1441840</vt:i4>
      </vt:variant>
      <vt:variant>
        <vt:i4>326</vt:i4>
      </vt:variant>
      <vt:variant>
        <vt:i4>0</vt:i4>
      </vt:variant>
      <vt:variant>
        <vt:i4>5</vt:i4>
      </vt:variant>
      <vt:variant>
        <vt:lpwstr/>
      </vt:variant>
      <vt:variant>
        <vt:lpwstr>_Toc88998393</vt:lpwstr>
      </vt:variant>
      <vt:variant>
        <vt:i4>1507376</vt:i4>
      </vt:variant>
      <vt:variant>
        <vt:i4>320</vt:i4>
      </vt:variant>
      <vt:variant>
        <vt:i4>0</vt:i4>
      </vt:variant>
      <vt:variant>
        <vt:i4>5</vt:i4>
      </vt:variant>
      <vt:variant>
        <vt:lpwstr/>
      </vt:variant>
      <vt:variant>
        <vt:lpwstr>_Toc88998392</vt:lpwstr>
      </vt:variant>
      <vt:variant>
        <vt:i4>1310768</vt:i4>
      </vt:variant>
      <vt:variant>
        <vt:i4>314</vt:i4>
      </vt:variant>
      <vt:variant>
        <vt:i4>0</vt:i4>
      </vt:variant>
      <vt:variant>
        <vt:i4>5</vt:i4>
      </vt:variant>
      <vt:variant>
        <vt:lpwstr/>
      </vt:variant>
      <vt:variant>
        <vt:lpwstr>_Toc88998391</vt:lpwstr>
      </vt:variant>
      <vt:variant>
        <vt:i4>1376304</vt:i4>
      </vt:variant>
      <vt:variant>
        <vt:i4>308</vt:i4>
      </vt:variant>
      <vt:variant>
        <vt:i4>0</vt:i4>
      </vt:variant>
      <vt:variant>
        <vt:i4>5</vt:i4>
      </vt:variant>
      <vt:variant>
        <vt:lpwstr/>
      </vt:variant>
      <vt:variant>
        <vt:lpwstr>_Toc88998390</vt:lpwstr>
      </vt:variant>
      <vt:variant>
        <vt:i4>1835057</vt:i4>
      </vt:variant>
      <vt:variant>
        <vt:i4>302</vt:i4>
      </vt:variant>
      <vt:variant>
        <vt:i4>0</vt:i4>
      </vt:variant>
      <vt:variant>
        <vt:i4>5</vt:i4>
      </vt:variant>
      <vt:variant>
        <vt:lpwstr/>
      </vt:variant>
      <vt:variant>
        <vt:lpwstr>_Toc88998389</vt:lpwstr>
      </vt:variant>
      <vt:variant>
        <vt:i4>1900593</vt:i4>
      </vt:variant>
      <vt:variant>
        <vt:i4>296</vt:i4>
      </vt:variant>
      <vt:variant>
        <vt:i4>0</vt:i4>
      </vt:variant>
      <vt:variant>
        <vt:i4>5</vt:i4>
      </vt:variant>
      <vt:variant>
        <vt:lpwstr/>
      </vt:variant>
      <vt:variant>
        <vt:lpwstr>_Toc88998388</vt:lpwstr>
      </vt:variant>
      <vt:variant>
        <vt:i4>1179697</vt:i4>
      </vt:variant>
      <vt:variant>
        <vt:i4>290</vt:i4>
      </vt:variant>
      <vt:variant>
        <vt:i4>0</vt:i4>
      </vt:variant>
      <vt:variant>
        <vt:i4>5</vt:i4>
      </vt:variant>
      <vt:variant>
        <vt:lpwstr/>
      </vt:variant>
      <vt:variant>
        <vt:lpwstr>_Toc88998387</vt:lpwstr>
      </vt:variant>
      <vt:variant>
        <vt:i4>1245233</vt:i4>
      </vt:variant>
      <vt:variant>
        <vt:i4>284</vt:i4>
      </vt:variant>
      <vt:variant>
        <vt:i4>0</vt:i4>
      </vt:variant>
      <vt:variant>
        <vt:i4>5</vt:i4>
      </vt:variant>
      <vt:variant>
        <vt:lpwstr/>
      </vt:variant>
      <vt:variant>
        <vt:lpwstr>_Toc88998386</vt:lpwstr>
      </vt:variant>
      <vt:variant>
        <vt:i4>1048625</vt:i4>
      </vt:variant>
      <vt:variant>
        <vt:i4>278</vt:i4>
      </vt:variant>
      <vt:variant>
        <vt:i4>0</vt:i4>
      </vt:variant>
      <vt:variant>
        <vt:i4>5</vt:i4>
      </vt:variant>
      <vt:variant>
        <vt:lpwstr/>
      </vt:variant>
      <vt:variant>
        <vt:lpwstr>_Toc88998385</vt:lpwstr>
      </vt:variant>
      <vt:variant>
        <vt:i4>1114161</vt:i4>
      </vt:variant>
      <vt:variant>
        <vt:i4>272</vt:i4>
      </vt:variant>
      <vt:variant>
        <vt:i4>0</vt:i4>
      </vt:variant>
      <vt:variant>
        <vt:i4>5</vt:i4>
      </vt:variant>
      <vt:variant>
        <vt:lpwstr/>
      </vt:variant>
      <vt:variant>
        <vt:lpwstr>_Toc88998384</vt:lpwstr>
      </vt:variant>
      <vt:variant>
        <vt:i4>1441841</vt:i4>
      </vt:variant>
      <vt:variant>
        <vt:i4>266</vt:i4>
      </vt:variant>
      <vt:variant>
        <vt:i4>0</vt:i4>
      </vt:variant>
      <vt:variant>
        <vt:i4>5</vt:i4>
      </vt:variant>
      <vt:variant>
        <vt:lpwstr/>
      </vt:variant>
      <vt:variant>
        <vt:lpwstr>_Toc88998383</vt:lpwstr>
      </vt:variant>
      <vt:variant>
        <vt:i4>1507377</vt:i4>
      </vt:variant>
      <vt:variant>
        <vt:i4>260</vt:i4>
      </vt:variant>
      <vt:variant>
        <vt:i4>0</vt:i4>
      </vt:variant>
      <vt:variant>
        <vt:i4>5</vt:i4>
      </vt:variant>
      <vt:variant>
        <vt:lpwstr/>
      </vt:variant>
      <vt:variant>
        <vt:lpwstr>_Toc88998382</vt:lpwstr>
      </vt:variant>
      <vt:variant>
        <vt:i4>1310769</vt:i4>
      </vt:variant>
      <vt:variant>
        <vt:i4>254</vt:i4>
      </vt:variant>
      <vt:variant>
        <vt:i4>0</vt:i4>
      </vt:variant>
      <vt:variant>
        <vt:i4>5</vt:i4>
      </vt:variant>
      <vt:variant>
        <vt:lpwstr/>
      </vt:variant>
      <vt:variant>
        <vt:lpwstr>_Toc88998381</vt:lpwstr>
      </vt:variant>
      <vt:variant>
        <vt:i4>1376305</vt:i4>
      </vt:variant>
      <vt:variant>
        <vt:i4>248</vt:i4>
      </vt:variant>
      <vt:variant>
        <vt:i4>0</vt:i4>
      </vt:variant>
      <vt:variant>
        <vt:i4>5</vt:i4>
      </vt:variant>
      <vt:variant>
        <vt:lpwstr/>
      </vt:variant>
      <vt:variant>
        <vt:lpwstr>_Toc88998380</vt:lpwstr>
      </vt:variant>
      <vt:variant>
        <vt:i4>1835070</vt:i4>
      </vt:variant>
      <vt:variant>
        <vt:i4>242</vt:i4>
      </vt:variant>
      <vt:variant>
        <vt:i4>0</vt:i4>
      </vt:variant>
      <vt:variant>
        <vt:i4>5</vt:i4>
      </vt:variant>
      <vt:variant>
        <vt:lpwstr/>
      </vt:variant>
      <vt:variant>
        <vt:lpwstr>_Toc88998379</vt:lpwstr>
      </vt:variant>
      <vt:variant>
        <vt:i4>1900606</vt:i4>
      </vt:variant>
      <vt:variant>
        <vt:i4>236</vt:i4>
      </vt:variant>
      <vt:variant>
        <vt:i4>0</vt:i4>
      </vt:variant>
      <vt:variant>
        <vt:i4>5</vt:i4>
      </vt:variant>
      <vt:variant>
        <vt:lpwstr/>
      </vt:variant>
      <vt:variant>
        <vt:lpwstr>_Toc88998378</vt:lpwstr>
      </vt:variant>
      <vt:variant>
        <vt:i4>1179710</vt:i4>
      </vt:variant>
      <vt:variant>
        <vt:i4>230</vt:i4>
      </vt:variant>
      <vt:variant>
        <vt:i4>0</vt:i4>
      </vt:variant>
      <vt:variant>
        <vt:i4>5</vt:i4>
      </vt:variant>
      <vt:variant>
        <vt:lpwstr/>
      </vt:variant>
      <vt:variant>
        <vt:lpwstr>_Toc88998377</vt:lpwstr>
      </vt:variant>
      <vt:variant>
        <vt:i4>1245246</vt:i4>
      </vt:variant>
      <vt:variant>
        <vt:i4>224</vt:i4>
      </vt:variant>
      <vt:variant>
        <vt:i4>0</vt:i4>
      </vt:variant>
      <vt:variant>
        <vt:i4>5</vt:i4>
      </vt:variant>
      <vt:variant>
        <vt:lpwstr/>
      </vt:variant>
      <vt:variant>
        <vt:lpwstr>_Toc88998376</vt:lpwstr>
      </vt:variant>
      <vt:variant>
        <vt:i4>1048638</vt:i4>
      </vt:variant>
      <vt:variant>
        <vt:i4>218</vt:i4>
      </vt:variant>
      <vt:variant>
        <vt:i4>0</vt:i4>
      </vt:variant>
      <vt:variant>
        <vt:i4>5</vt:i4>
      </vt:variant>
      <vt:variant>
        <vt:lpwstr/>
      </vt:variant>
      <vt:variant>
        <vt:lpwstr>_Toc88998375</vt:lpwstr>
      </vt:variant>
      <vt:variant>
        <vt:i4>1114174</vt:i4>
      </vt:variant>
      <vt:variant>
        <vt:i4>212</vt:i4>
      </vt:variant>
      <vt:variant>
        <vt:i4>0</vt:i4>
      </vt:variant>
      <vt:variant>
        <vt:i4>5</vt:i4>
      </vt:variant>
      <vt:variant>
        <vt:lpwstr/>
      </vt:variant>
      <vt:variant>
        <vt:lpwstr>_Toc88998374</vt:lpwstr>
      </vt:variant>
      <vt:variant>
        <vt:i4>1441854</vt:i4>
      </vt:variant>
      <vt:variant>
        <vt:i4>206</vt:i4>
      </vt:variant>
      <vt:variant>
        <vt:i4>0</vt:i4>
      </vt:variant>
      <vt:variant>
        <vt:i4>5</vt:i4>
      </vt:variant>
      <vt:variant>
        <vt:lpwstr/>
      </vt:variant>
      <vt:variant>
        <vt:lpwstr>_Toc88998373</vt:lpwstr>
      </vt:variant>
      <vt:variant>
        <vt:i4>1507390</vt:i4>
      </vt:variant>
      <vt:variant>
        <vt:i4>200</vt:i4>
      </vt:variant>
      <vt:variant>
        <vt:i4>0</vt:i4>
      </vt:variant>
      <vt:variant>
        <vt:i4>5</vt:i4>
      </vt:variant>
      <vt:variant>
        <vt:lpwstr/>
      </vt:variant>
      <vt:variant>
        <vt:lpwstr>_Toc88998372</vt:lpwstr>
      </vt:variant>
      <vt:variant>
        <vt:i4>1310782</vt:i4>
      </vt:variant>
      <vt:variant>
        <vt:i4>194</vt:i4>
      </vt:variant>
      <vt:variant>
        <vt:i4>0</vt:i4>
      </vt:variant>
      <vt:variant>
        <vt:i4>5</vt:i4>
      </vt:variant>
      <vt:variant>
        <vt:lpwstr/>
      </vt:variant>
      <vt:variant>
        <vt:lpwstr>_Toc88998371</vt:lpwstr>
      </vt:variant>
      <vt:variant>
        <vt:i4>1376318</vt:i4>
      </vt:variant>
      <vt:variant>
        <vt:i4>188</vt:i4>
      </vt:variant>
      <vt:variant>
        <vt:i4>0</vt:i4>
      </vt:variant>
      <vt:variant>
        <vt:i4>5</vt:i4>
      </vt:variant>
      <vt:variant>
        <vt:lpwstr/>
      </vt:variant>
      <vt:variant>
        <vt:lpwstr>_Toc88998370</vt:lpwstr>
      </vt:variant>
      <vt:variant>
        <vt:i4>1835071</vt:i4>
      </vt:variant>
      <vt:variant>
        <vt:i4>182</vt:i4>
      </vt:variant>
      <vt:variant>
        <vt:i4>0</vt:i4>
      </vt:variant>
      <vt:variant>
        <vt:i4>5</vt:i4>
      </vt:variant>
      <vt:variant>
        <vt:lpwstr/>
      </vt:variant>
      <vt:variant>
        <vt:lpwstr>_Toc88998369</vt:lpwstr>
      </vt:variant>
      <vt:variant>
        <vt:i4>1900607</vt:i4>
      </vt:variant>
      <vt:variant>
        <vt:i4>176</vt:i4>
      </vt:variant>
      <vt:variant>
        <vt:i4>0</vt:i4>
      </vt:variant>
      <vt:variant>
        <vt:i4>5</vt:i4>
      </vt:variant>
      <vt:variant>
        <vt:lpwstr/>
      </vt:variant>
      <vt:variant>
        <vt:lpwstr>_Toc88998368</vt:lpwstr>
      </vt:variant>
      <vt:variant>
        <vt:i4>1179711</vt:i4>
      </vt:variant>
      <vt:variant>
        <vt:i4>170</vt:i4>
      </vt:variant>
      <vt:variant>
        <vt:i4>0</vt:i4>
      </vt:variant>
      <vt:variant>
        <vt:i4>5</vt:i4>
      </vt:variant>
      <vt:variant>
        <vt:lpwstr/>
      </vt:variant>
      <vt:variant>
        <vt:lpwstr>_Toc88998367</vt:lpwstr>
      </vt:variant>
      <vt:variant>
        <vt:i4>1245247</vt:i4>
      </vt:variant>
      <vt:variant>
        <vt:i4>164</vt:i4>
      </vt:variant>
      <vt:variant>
        <vt:i4>0</vt:i4>
      </vt:variant>
      <vt:variant>
        <vt:i4>5</vt:i4>
      </vt:variant>
      <vt:variant>
        <vt:lpwstr/>
      </vt:variant>
      <vt:variant>
        <vt:lpwstr>_Toc88998366</vt:lpwstr>
      </vt:variant>
      <vt:variant>
        <vt:i4>1048639</vt:i4>
      </vt:variant>
      <vt:variant>
        <vt:i4>158</vt:i4>
      </vt:variant>
      <vt:variant>
        <vt:i4>0</vt:i4>
      </vt:variant>
      <vt:variant>
        <vt:i4>5</vt:i4>
      </vt:variant>
      <vt:variant>
        <vt:lpwstr/>
      </vt:variant>
      <vt:variant>
        <vt:lpwstr>_Toc88998365</vt:lpwstr>
      </vt:variant>
      <vt:variant>
        <vt:i4>1114175</vt:i4>
      </vt:variant>
      <vt:variant>
        <vt:i4>152</vt:i4>
      </vt:variant>
      <vt:variant>
        <vt:i4>0</vt:i4>
      </vt:variant>
      <vt:variant>
        <vt:i4>5</vt:i4>
      </vt:variant>
      <vt:variant>
        <vt:lpwstr/>
      </vt:variant>
      <vt:variant>
        <vt:lpwstr>_Toc88998364</vt:lpwstr>
      </vt:variant>
      <vt:variant>
        <vt:i4>1441855</vt:i4>
      </vt:variant>
      <vt:variant>
        <vt:i4>146</vt:i4>
      </vt:variant>
      <vt:variant>
        <vt:i4>0</vt:i4>
      </vt:variant>
      <vt:variant>
        <vt:i4>5</vt:i4>
      </vt:variant>
      <vt:variant>
        <vt:lpwstr/>
      </vt:variant>
      <vt:variant>
        <vt:lpwstr>_Toc88998363</vt:lpwstr>
      </vt:variant>
      <vt:variant>
        <vt:i4>1507391</vt:i4>
      </vt:variant>
      <vt:variant>
        <vt:i4>140</vt:i4>
      </vt:variant>
      <vt:variant>
        <vt:i4>0</vt:i4>
      </vt:variant>
      <vt:variant>
        <vt:i4>5</vt:i4>
      </vt:variant>
      <vt:variant>
        <vt:lpwstr/>
      </vt:variant>
      <vt:variant>
        <vt:lpwstr>_Toc88998362</vt:lpwstr>
      </vt:variant>
      <vt:variant>
        <vt:i4>1310783</vt:i4>
      </vt:variant>
      <vt:variant>
        <vt:i4>134</vt:i4>
      </vt:variant>
      <vt:variant>
        <vt:i4>0</vt:i4>
      </vt:variant>
      <vt:variant>
        <vt:i4>5</vt:i4>
      </vt:variant>
      <vt:variant>
        <vt:lpwstr/>
      </vt:variant>
      <vt:variant>
        <vt:lpwstr>_Toc88998361</vt:lpwstr>
      </vt:variant>
      <vt:variant>
        <vt:i4>1376319</vt:i4>
      </vt:variant>
      <vt:variant>
        <vt:i4>128</vt:i4>
      </vt:variant>
      <vt:variant>
        <vt:i4>0</vt:i4>
      </vt:variant>
      <vt:variant>
        <vt:i4>5</vt:i4>
      </vt:variant>
      <vt:variant>
        <vt:lpwstr/>
      </vt:variant>
      <vt:variant>
        <vt:lpwstr>_Toc88998360</vt:lpwstr>
      </vt:variant>
      <vt:variant>
        <vt:i4>1835068</vt:i4>
      </vt:variant>
      <vt:variant>
        <vt:i4>122</vt:i4>
      </vt:variant>
      <vt:variant>
        <vt:i4>0</vt:i4>
      </vt:variant>
      <vt:variant>
        <vt:i4>5</vt:i4>
      </vt:variant>
      <vt:variant>
        <vt:lpwstr/>
      </vt:variant>
      <vt:variant>
        <vt:lpwstr>_Toc88998359</vt:lpwstr>
      </vt:variant>
      <vt:variant>
        <vt:i4>1900604</vt:i4>
      </vt:variant>
      <vt:variant>
        <vt:i4>116</vt:i4>
      </vt:variant>
      <vt:variant>
        <vt:i4>0</vt:i4>
      </vt:variant>
      <vt:variant>
        <vt:i4>5</vt:i4>
      </vt:variant>
      <vt:variant>
        <vt:lpwstr/>
      </vt:variant>
      <vt:variant>
        <vt:lpwstr>_Toc88998358</vt:lpwstr>
      </vt:variant>
      <vt:variant>
        <vt:i4>1179708</vt:i4>
      </vt:variant>
      <vt:variant>
        <vt:i4>110</vt:i4>
      </vt:variant>
      <vt:variant>
        <vt:i4>0</vt:i4>
      </vt:variant>
      <vt:variant>
        <vt:i4>5</vt:i4>
      </vt:variant>
      <vt:variant>
        <vt:lpwstr/>
      </vt:variant>
      <vt:variant>
        <vt:lpwstr>_Toc88998357</vt:lpwstr>
      </vt:variant>
      <vt:variant>
        <vt:i4>1245244</vt:i4>
      </vt:variant>
      <vt:variant>
        <vt:i4>104</vt:i4>
      </vt:variant>
      <vt:variant>
        <vt:i4>0</vt:i4>
      </vt:variant>
      <vt:variant>
        <vt:i4>5</vt:i4>
      </vt:variant>
      <vt:variant>
        <vt:lpwstr/>
      </vt:variant>
      <vt:variant>
        <vt:lpwstr>_Toc88998356</vt:lpwstr>
      </vt:variant>
      <vt:variant>
        <vt:i4>1048636</vt:i4>
      </vt:variant>
      <vt:variant>
        <vt:i4>98</vt:i4>
      </vt:variant>
      <vt:variant>
        <vt:i4>0</vt:i4>
      </vt:variant>
      <vt:variant>
        <vt:i4>5</vt:i4>
      </vt:variant>
      <vt:variant>
        <vt:lpwstr/>
      </vt:variant>
      <vt:variant>
        <vt:lpwstr>_Toc88998355</vt:lpwstr>
      </vt:variant>
      <vt:variant>
        <vt:i4>1114172</vt:i4>
      </vt:variant>
      <vt:variant>
        <vt:i4>92</vt:i4>
      </vt:variant>
      <vt:variant>
        <vt:i4>0</vt:i4>
      </vt:variant>
      <vt:variant>
        <vt:i4>5</vt:i4>
      </vt:variant>
      <vt:variant>
        <vt:lpwstr/>
      </vt:variant>
      <vt:variant>
        <vt:lpwstr>_Toc88998354</vt:lpwstr>
      </vt:variant>
      <vt:variant>
        <vt:i4>1441852</vt:i4>
      </vt:variant>
      <vt:variant>
        <vt:i4>86</vt:i4>
      </vt:variant>
      <vt:variant>
        <vt:i4>0</vt:i4>
      </vt:variant>
      <vt:variant>
        <vt:i4>5</vt:i4>
      </vt:variant>
      <vt:variant>
        <vt:lpwstr/>
      </vt:variant>
      <vt:variant>
        <vt:lpwstr>_Toc88998353</vt:lpwstr>
      </vt:variant>
      <vt:variant>
        <vt:i4>1507388</vt:i4>
      </vt:variant>
      <vt:variant>
        <vt:i4>80</vt:i4>
      </vt:variant>
      <vt:variant>
        <vt:i4>0</vt:i4>
      </vt:variant>
      <vt:variant>
        <vt:i4>5</vt:i4>
      </vt:variant>
      <vt:variant>
        <vt:lpwstr/>
      </vt:variant>
      <vt:variant>
        <vt:lpwstr>_Toc88998352</vt:lpwstr>
      </vt:variant>
      <vt:variant>
        <vt:i4>1310780</vt:i4>
      </vt:variant>
      <vt:variant>
        <vt:i4>74</vt:i4>
      </vt:variant>
      <vt:variant>
        <vt:i4>0</vt:i4>
      </vt:variant>
      <vt:variant>
        <vt:i4>5</vt:i4>
      </vt:variant>
      <vt:variant>
        <vt:lpwstr/>
      </vt:variant>
      <vt:variant>
        <vt:lpwstr>_Toc88998351</vt:lpwstr>
      </vt:variant>
      <vt:variant>
        <vt:i4>1376316</vt:i4>
      </vt:variant>
      <vt:variant>
        <vt:i4>68</vt:i4>
      </vt:variant>
      <vt:variant>
        <vt:i4>0</vt:i4>
      </vt:variant>
      <vt:variant>
        <vt:i4>5</vt:i4>
      </vt:variant>
      <vt:variant>
        <vt:lpwstr/>
      </vt:variant>
      <vt:variant>
        <vt:lpwstr>_Toc88998350</vt:lpwstr>
      </vt:variant>
      <vt:variant>
        <vt:i4>1835069</vt:i4>
      </vt:variant>
      <vt:variant>
        <vt:i4>62</vt:i4>
      </vt:variant>
      <vt:variant>
        <vt:i4>0</vt:i4>
      </vt:variant>
      <vt:variant>
        <vt:i4>5</vt:i4>
      </vt:variant>
      <vt:variant>
        <vt:lpwstr/>
      </vt:variant>
      <vt:variant>
        <vt:lpwstr>_Toc88998349</vt:lpwstr>
      </vt:variant>
      <vt:variant>
        <vt:i4>1900605</vt:i4>
      </vt:variant>
      <vt:variant>
        <vt:i4>56</vt:i4>
      </vt:variant>
      <vt:variant>
        <vt:i4>0</vt:i4>
      </vt:variant>
      <vt:variant>
        <vt:i4>5</vt:i4>
      </vt:variant>
      <vt:variant>
        <vt:lpwstr/>
      </vt:variant>
      <vt:variant>
        <vt:lpwstr>_Toc88998348</vt:lpwstr>
      </vt:variant>
      <vt:variant>
        <vt:i4>1179709</vt:i4>
      </vt:variant>
      <vt:variant>
        <vt:i4>50</vt:i4>
      </vt:variant>
      <vt:variant>
        <vt:i4>0</vt:i4>
      </vt:variant>
      <vt:variant>
        <vt:i4>5</vt:i4>
      </vt:variant>
      <vt:variant>
        <vt:lpwstr/>
      </vt:variant>
      <vt:variant>
        <vt:lpwstr>_Toc88998347</vt:lpwstr>
      </vt:variant>
      <vt:variant>
        <vt:i4>1245245</vt:i4>
      </vt:variant>
      <vt:variant>
        <vt:i4>44</vt:i4>
      </vt:variant>
      <vt:variant>
        <vt:i4>0</vt:i4>
      </vt:variant>
      <vt:variant>
        <vt:i4>5</vt:i4>
      </vt:variant>
      <vt:variant>
        <vt:lpwstr/>
      </vt:variant>
      <vt:variant>
        <vt:lpwstr>_Toc88998346</vt:lpwstr>
      </vt:variant>
      <vt:variant>
        <vt:i4>1048637</vt:i4>
      </vt:variant>
      <vt:variant>
        <vt:i4>38</vt:i4>
      </vt:variant>
      <vt:variant>
        <vt:i4>0</vt:i4>
      </vt:variant>
      <vt:variant>
        <vt:i4>5</vt:i4>
      </vt:variant>
      <vt:variant>
        <vt:lpwstr/>
      </vt:variant>
      <vt:variant>
        <vt:lpwstr>_Toc88998345</vt:lpwstr>
      </vt:variant>
      <vt:variant>
        <vt:i4>1114173</vt:i4>
      </vt:variant>
      <vt:variant>
        <vt:i4>32</vt:i4>
      </vt:variant>
      <vt:variant>
        <vt:i4>0</vt:i4>
      </vt:variant>
      <vt:variant>
        <vt:i4>5</vt:i4>
      </vt:variant>
      <vt:variant>
        <vt:lpwstr/>
      </vt:variant>
      <vt:variant>
        <vt:lpwstr>_Toc88998344</vt:lpwstr>
      </vt:variant>
      <vt:variant>
        <vt:i4>1441853</vt:i4>
      </vt:variant>
      <vt:variant>
        <vt:i4>26</vt:i4>
      </vt:variant>
      <vt:variant>
        <vt:i4>0</vt:i4>
      </vt:variant>
      <vt:variant>
        <vt:i4>5</vt:i4>
      </vt:variant>
      <vt:variant>
        <vt:lpwstr/>
      </vt:variant>
      <vt:variant>
        <vt:lpwstr>_Toc88998343</vt:lpwstr>
      </vt:variant>
      <vt:variant>
        <vt:i4>1507389</vt:i4>
      </vt:variant>
      <vt:variant>
        <vt:i4>20</vt:i4>
      </vt:variant>
      <vt:variant>
        <vt:i4>0</vt:i4>
      </vt:variant>
      <vt:variant>
        <vt:i4>5</vt:i4>
      </vt:variant>
      <vt:variant>
        <vt:lpwstr/>
      </vt:variant>
      <vt:variant>
        <vt:lpwstr>_Toc88998342</vt:lpwstr>
      </vt:variant>
      <vt:variant>
        <vt:i4>1310781</vt:i4>
      </vt:variant>
      <vt:variant>
        <vt:i4>14</vt:i4>
      </vt:variant>
      <vt:variant>
        <vt:i4>0</vt:i4>
      </vt:variant>
      <vt:variant>
        <vt:i4>5</vt:i4>
      </vt:variant>
      <vt:variant>
        <vt:lpwstr/>
      </vt:variant>
      <vt:variant>
        <vt:lpwstr>_Toc88998341</vt:lpwstr>
      </vt:variant>
      <vt:variant>
        <vt:i4>1376317</vt:i4>
      </vt:variant>
      <vt:variant>
        <vt:i4>8</vt:i4>
      </vt:variant>
      <vt:variant>
        <vt:i4>0</vt:i4>
      </vt:variant>
      <vt:variant>
        <vt:i4>5</vt:i4>
      </vt:variant>
      <vt:variant>
        <vt:lpwstr/>
      </vt:variant>
      <vt:variant>
        <vt:lpwstr>_Toc88998340</vt:lpwstr>
      </vt:variant>
      <vt:variant>
        <vt:i4>1835066</vt:i4>
      </vt:variant>
      <vt:variant>
        <vt:i4>2</vt:i4>
      </vt:variant>
      <vt:variant>
        <vt:i4>0</vt:i4>
      </vt:variant>
      <vt:variant>
        <vt:i4>5</vt:i4>
      </vt:variant>
      <vt:variant>
        <vt:lpwstr/>
      </vt:variant>
      <vt:variant>
        <vt:lpwstr>_Toc88998339</vt:lpwstr>
      </vt:variant>
      <vt:variant>
        <vt:i4>5505149</vt:i4>
      </vt:variant>
      <vt:variant>
        <vt:i4>51</vt:i4>
      </vt:variant>
      <vt:variant>
        <vt:i4>0</vt:i4>
      </vt:variant>
      <vt:variant>
        <vt:i4>5</vt:i4>
      </vt:variant>
      <vt:variant>
        <vt:lpwstr>mailto:AGuha@crai.com</vt:lpwstr>
      </vt:variant>
      <vt:variant>
        <vt:lpwstr/>
      </vt:variant>
      <vt:variant>
        <vt:i4>5505149</vt:i4>
      </vt:variant>
      <vt:variant>
        <vt:i4>48</vt:i4>
      </vt:variant>
      <vt:variant>
        <vt:i4>0</vt:i4>
      </vt:variant>
      <vt:variant>
        <vt:i4>5</vt:i4>
      </vt:variant>
      <vt:variant>
        <vt:lpwstr>mailto:AGuha@crai.com</vt:lpwstr>
      </vt:variant>
      <vt:variant>
        <vt:lpwstr/>
      </vt:variant>
      <vt:variant>
        <vt:i4>5505149</vt:i4>
      </vt:variant>
      <vt:variant>
        <vt:i4>45</vt:i4>
      </vt:variant>
      <vt:variant>
        <vt:i4>0</vt:i4>
      </vt:variant>
      <vt:variant>
        <vt:i4>5</vt:i4>
      </vt:variant>
      <vt:variant>
        <vt:lpwstr>mailto:AGuha@crai.com</vt:lpwstr>
      </vt:variant>
      <vt:variant>
        <vt:lpwstr/>
      </vt:variant>
      <vt:variant>
        <vt:i4>5505149</vt:i4>
      </vt:variant>
      <vt:variant>
        <vt:i4>42</vt:i4>
      </vt:variant>
      <vt:variant>
        <vt:i4>0</vt:i4>
      </vt:variant>
      <vt:variant>
        <vt:i4>5</vt:i4>
      </vt:variant>
      <vt:variant>
        <vt:lpwstr>mailto:AGuha@crai.com</vt:lpwstr>
      </vt:variant>
      <vt:variant>
        <vt:lpwstr/>
      </vt:variant>
      <vt:variant>
        <vt:i4>3145747</vt:i4>
      </vt:variant>
      <vt:variant>
        <vt:i4>39</vt:i4>
      </vt:variant>
      <vt:variant>
        <vt:i4>0</vt:i4>
      </vt:variant>
      <vt:variant>
        <vt:i4>5</vt:i4>
      </vt:variant>
      <vt:variant>
        <vt:lpwstr>mailto:ftan@crai.com</vt:lpwstr>
      </vt:variant>
      <vt:variant>
        <vt:lpwstr/>
      </vt:variant>
      <vt:variant>
        <vt:i4>3014686</vt:i4>
      </vt:variant>
      <vt:variant>
        <vt:i4>36</vt:i4>
      </vt:variant>
      <vt:variant>
        <vt:i4>0</vt:i4>
      </vt:variant>
      <vt:variant>
        <vt:i4>5</vt:i4>
      </vt:variant>
      <vt:variant>
        <vt:lpwstr>mailto:bstearns@crai.com</vt:lpwstr>
      </vt:variant>
      <vt:variant>
        <vt:lpwstr/>
      </vt:variant>
      <vt:variant>
        <vt:i4>5505149</vt:i4>
      </vt:variant>
      <vt:variant>
        <vt:i4>33</vt:i4>
      </vt:variant>
      <vt:variant>
        <vt:i4>0</vt:i4>
      </vt:variant>
      <vt:variant>
        <vt:i4>5</vt:i4>
      </vt:variant>
      <vt:variant>
        <vt:lpwstr>mailto:AGuha@crai.com</vt:lpwstr>
      </vt:variant>
      <vt:variant>
        <vt:lpwstr/>
      </vt:variant>
      <vt:variant>
        <vt:i4>5505136</vt:i4>
      </vt:variant>
      <vt:variant>
        <vt:i4>30</vt:i4>
      </vt:variant>
      <vt:variant>
        <vt:i4>0</vt:i4>
      </vt:variant>
      <vt:variant>
        <vt:i4>5</vt:i4>
      </vt:variant>
      <vt:variant>
        <vt:lpwstr>mailto:SChan@crai.com</vt:lpwstr>
      </vt:variant>
      <vt:variant>
        <vt:lpwstr/>
      </vt:variant>
      <vt:variant>
        <vt:i4>5505149</vt:i4>
      </vt:variant>
      <vt:variant>
        <vt:i4>27</vt:i4>
      </vt:variant>
      <vt:variant>
        <vt:i4>0</vt:i4>
      </vt:variant>
      <vt:variant>
        <vt:i4>5</vt:i4>
      </vt:variant>
      <vt:variant>
        <vt:lpwstr>mailto:AGuha@crai.com</vt:lpwstr>
      </vt:variant>
      <vt:variant>
        <vt:lpwstr/>
      </vt:variant>
      <vt:variant>
        <vt:i4>3014686</vt:i4>
      </vt:variant>
      <vt:variant>
        <vt:i4>24</vt:i4>
      </vt:variant>
      <vt:variant>
        <vt:i4>0</vt:i4>
      </vt:variant>
      <vt:variant>
        <vt:i4>5</vt:i4>
      </vt:variant>
      <vt:variant>
        <vt:lpwstr>mailto:bstearns@crai.com</vt:lpwstr>
      </vt:variant>
      <vt:variant>
        <vt:lpwstr/>
      </vt:variant>
      <vt:variant>
        <vt:i4>5046376</vt:i4>
      </vt:variant>
      <vt:variant>
        <vt:i4>21</vt:i4>
      </vt:variant>
      <vt:variant>
        <vt:i4>0</vt:i4>
      </vt:variant>
      <vt:variant>
        <vt:i4>5</vt:i4>
      </vt:variant>
      <vt:variant>
        <vt:lpwstr>mailto:MHorn@crai.com</vt:lpwstr>
      </vt:variant>
      <vt:variant>
        <vt:lpwstr/>
      </vt:variant>
      <vt:variant>
        <vt:i4>6029424</vt:i4>
      </vt:variant>
      <vt:variant>
        <vt:i4>18</vt:i4>
      </vt:variant>
      <vt:variant>
        <vt:i4>0</vt:i4>
      </vt:variant>
      <vt:variant>
        <vt:i4>5</vt:i4>
      </vt:variant>
      <vt:variant>
        <vt:lpwstr>mailto:GDenis@crai.com</vt:lpwstr>
      </vt:variant>
      <vt:variant>
        <vt:lpwstr/>
      </vt:variant>
      <vt:variant>
        <vt:i4>5046376</vt:i4>
      </vt:variant>
      <vt:variant>
        <vt:i4>15</vt:i4>
      </vt:variant>
      <vt:variant>
        <vt:i4>0</vt:i4>
      </vt:variant>
      <vt:variant>
        <vt:i4>5</vt:i4>
      </vt:variant>
      <vt:variant>
        <vt:lpwstr>mailto:MHorn@crai.com</vt:lpwstr>
      </vt:variant>
      <vt:variant>
        <vt:lpwstr/>
      </vt:variant>
      <vt:variant>
        <vt:i4>3014686</vt:i4>
      </vt:variant>
      <vt:variant>
        <vt:i4>12</vt:i4>
      </vt:variant>
      <vt:variant>
        <vt:i4>0</vt:i4>
      </vt:variant>
      <vt:variant>
        <vt:i4>5</vt:i4>
      </vt:variant>
      <vt:variant>
        <vt:lpwstr>mailto:bstearns@crai.com</vt:lpwstr>
      </vt:variant>
      <vt:variant>
        <vt:lpwstr/>
      </vt:variant>
      <vt:variant>
        <vt:i4>5505136</vt:i4>
      </vt:variant>
      <vt:variant>
        <vt:i4>9</vt:i4>
      </vt:variant>
      <vt:variant>
        <vt:i4>0</vt:i4>
      </vt:variant>
      <vt:variant>
        <vt:i4>5</vt:i4>
      </vt:variant>
      <vt:variant>
        <vt:lpwstr>mailto:SChan@crai.com</vt:lpwstr>
      </vt:variant>
      <vt:variant>
        <vt:lpwstr/>
      </vt:variant>
      <vt:variant>
        <vt:i4>5505136</vt:i4>
      </vt:variant>
      <vt:variant>
        <vt:i4>6</vt:i4>
      </vt:variant>
      <vt:variant>
        <vt:i4>0</vt:i4>
      </vt:variant>
      <vt:variant>
        <vt:i4>5</vt:i4>
      </vt:variant>
      <vt:variant>
        <vt:lpwstr>mailto:SChan@crai.com</vt:lpwstr>
      </vt:variant>
      <vt:variant>
        <vt:lpwstr/>
      </vt:variant>
      <vt:variant>
        <vt:i4>3014686</vt:i4>
      </vt:variant>
      <vt:variant>
        <vt:i4>3</vt:i4>
      </vt:variant>
      <vt:variant>
        <vt:i4>0</vt:i4>
      </vt:variant>
      <vt:variant>
        <vt:i4>5</vt:i4>
      </vt:variant>
      <vt:variant>
        <vt:lpwstr>mailto:bstearns@crai.com</vt:lpwstr>
      </vt:variant>
      <vt:variant>
        <vt:lpwstr/>
      </vt:variant>
      <vt:variant>
        <vt:i4>5505136</vt:i4>
      </vt:variant>
      <vt:variant>
        <vt:i4>0</vt:i4>
      </vt:variant>
      <vt:variant>
        <vt:i4>0</vt:i4>
      </vt:variant>
      <vt:variant>
        <vt:i4>5</vt:i4>
      </vt:variant>
      <vt:variant>
        <vt:lpwstr>mailto:SChan@crai.com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2021-12-13T17:08:00Z</dcterms:created>
  <dcterms:modified xsi:type="dcterms:W3CDTF">2021-12-14T17:51:00Z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ffd51a4-5314-4c60-bce6-0affc34d9cd7_Enabled">
    <vt:lpwstr>true</vt:lpwstr>
  </property>
  <property fmtid="{D5CDD505-2E9C-101B-9397-08002B2CF9AE}" pid="3" name="MSIP_Label_dffd51a4-5314-4c60-bce6-0affc34d9cd7_SetDate">
    <vt:lpwstr>2021-11-30T01:37:08Z</vt:lpwstr>
  </property>
  <property fmtid="{D5CDD505-2E9C-101B-9397-08002B2CF9AE}" pid="4" name="MSIP_Label_dffd51a4-5314-4c60-bce6-0affc34d9cd7_Method">
    <vt:lpwstr>Standard</vt:lpwstr>
  </property>
  <property fmtid="{D5CDD505-2E9C-101B-9397-08002B2CF9AE}" pid="5" name="MSIP_Label_dffd51a4-5314-4c60-bce6-0affc34d9cd7_Name">
    <vt:lpwstr>dffd51a4-5314-4c60-bce6-0affc34d9cd7</vt:lpwstr>
  </property>
  <property fmtid="{D5CDD505-2E9C-101B-9397-08002B2CF9AE}" pid="6" name="MSIP_Label_dffd51a4-5314-4c60-bce6-0affc34d9cd7_SiteId">
    <vt:lpwstr>4a156c19-bc94-41ac-aacf-954686490869</vt:lpwstr>
  </property>
  <property fmtid="{D5CDD505-2E9C-101B-9397-08002B2CF9AE}" pid="7" name="MSIP_Label_dffd51a4-5314-4c60-bce6-0affc34d9cd7_ActionId">
    <vt:lpwstr>b1955de6-abea-4f77-a377-200288523432</vt:lpwstr>
  </property>
  <property fmtid="{D5CDD505-2E9C-101B-9397-08002B2CF9AE}" pid="8" name="MSIP_Label_dffd51a4-5314-4c60-bce6-0affc34d9cd7_ContentBits">
    <vt:lpwstr>0</vt:lpwstr>
  </property>
  <property fmtid="{D5CDD505-2E9C-101B-9397-08002B2CF9AE}" pid="9" name="_MarkAsFinal">
    <vt:bool>true</vt:bool>
  </property>
</Properties>
</file>